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09D3A9" w14:textId="4F1691FC" w:rsidR="00DE5124" w:rsidRPr="003D688F" w:rsidRDefault="00DE5124" w:rsidP="00DE5124">
      <w:pPr>
        <w:jc w:val="right"/>
        <w:rPr>
          <w:rFonts w:ascii="Arial" w:hAnsi="Arial" w:cs="Arial"/>
          <w:b/>
          <w:color w:val="000000" w:themeColor="text1"/>
          <w:sz w:val="16"/>
          <w:szCs w:val="16"/>
          <w:lang w:eastAsia="es-ES"/>
        </w:rPr>
      </w:pPr>
      <w:bookmarkStart w:id="0" w:name="_Hlk29548183"/>
      <w:bookmarkStart w:id="1" w:name="_Hlk28946138"/>
      <w:r w:rsidRPr="003D688F">
        <w:rPr>
          <w:rFonts w:ascii="Arial" w:hAnsi="Arial" w:cs="Arial"/>
          <w:b/>
          <w:color w:val="000000" w:themeColor="text1"/>
          <w:sz w:val="16"/>
          <w:szCs w:val="16"/>
          <w:lang w:eastAsia="es-ES"/>
        </w:rPr>
        <w:t>CCE-DES-FM-17</w:t>
      </w:r>
      <w:bookmarkEnd w:id="0"/>
      <w:bookmarkEnd w:id="1"/>
    </w:p>
    <w:p w14:paraId="2FEB4DFC" w14:textId="77777777" w:rsidR="00A41E3C" w:rsidRPr="003D688F" w:rsidRDefault="00A41E3C" w:rsidP="00DE5124">
      <w:pPr>
        <w:jc w:val="right"/>
        <w:rPr>
          <w:rFonts w:ascii="Arial" w:hAnsi="Arial" w:cs="Arial"/>
          <w:b/>
          <w:color w:val="000000" w:themeColor="text1"/>
          <w:sz w:val="16"/>
          <w:szCs w:val="16"/>
          <w:lang w:eastAsia="es-ES"/>
        </w:rPr>
      </w:pPr>
    </w:p>
    <w:p w14:paraId="2D8FF075" w14:textId="15034FCF" w:rsidR="001A2559" w:rsidRPr="003D688F" w:rsidRDefault="001A2559" w:rsidP="4B352AAE">
      <w:pPr>
        <w:spacing w:line="276" w:lineRule="auto"/>
        <w:jc w:val="both"/>
        <w:rPr>
          <w:rFonts w:ascii="Arial" w:eastAsia="Calibri" w:hAnsi="Arial" w:cs="Arial"/>
          <w:color w:val="000000" w:themeColor="text1"/>
          <w:sz w:val="22"/>
        </w:rPr>
      </w:pPr>
      <w:r w:rsidRPr="4B352AAE">
        <w:rPr>
          <w:rFonts w:ascii="Arial" w:eastAsia="Calibri" w:hAnsi="Arial" w:cs="Arial"/>
          <w:b/>
          <w:bCs/>
          <w:color w:val="000000" w:themeColor="text1"/>
          <w:sz w:val="22"/>
        </w:rPr>
        <w:t xml:space="preserve">SECOP </w:t>
      </w:r>
      <w:r w:rsidR="001F1B92" w:rsidRPr="4B352AAE">
        <w:rPr>
          <w:rFonts w:ascii="Arial" w:eastAsia="Calibri" w:hAnsi="Arial" w:cs="Arial"/>
          <w:b/>
          <w:bCs/>
          <w:color w:val="000000" w:themeColor="text1"/>
          <w:sz w:val="22"/>
        </w:rPr>
        <w:t>–</w:t>
      </w:r>
      <w:r w:rsidRPr="4B352AAE">
        <w:rPr>
          <w:rFonts w:ascii="Arial" w:eastAsia="Calibri" w:hAnsi="Arial" w:cs="Arial"/>
          <w:b/>
          <w:bCs/>
          <w:color w:val="000000" w:themeColor="text1"/>
          <w:sz w:val="22"/>
        </w:rPr>
        <w:t xml:space="preserve"> Publicidad – Entidades de régimen especial </w:t>
      </w:r>
      <w:r w:rsidR="001F1B92" w:rsidRPr="4B352AAE">
        <w:rPr>
          <w:rFonts w:ascii="Arial" w:eastAsia="Calibri" w:hAnsi="Arial" w:cs="Arial"/>
          <w:b/>
          <w:bCs/>
          <w:color w:val="000000" w:themeColor="text1"/>
          <w:sz w:val="22"/>
        </w:rPr>
        <w:t>–</w:t>
      </w:r>
      <w:r w:rsidRPr="4B352AAE">
        <w:rPr>
          <w:rFonts w:ascii="Arial" w:eastAsia="Calibri" w:hAnsi="Arial" w:cs="Arial"/>
          <w:b/>
          <w:bCs/>
          <w:color w:val="000000" w:themeColor="text1"/>
          <w:sz w:val="22"/>
        </w:rPr>
        <w:t xml:space="preserve"> Reiteración </w:t>
      </w:r>
      <w:r w:rsidR="2FAD06DD" w:rsidRPr="4B352AAE">
        <w:rPr>
          <w:rFonts w:ascii="Arial" w:eastAsia="Calibri" w:hAnsi="Arial" w:cs="Arial"/>
          <w:b/>
          <w:bCs/>
          <w:color w:val="000000" w:themeColor="text1"/>
          <w:sz w:val="22"/>
        </w:rPr>
        <w:t>–</w:t>
      </w:r>
      <w:r w:rsidRPr="4B352AAE">
        <w:rPr>
          <w:rFonts w:ascii="Arial" w:eastAsia="Calibri" w:hAnsi="Arial" w:cs="Arial"/>
          <w:b/>
          <w:bCs/>
          <w:color w:val="000000" w:themeColor="text1"/>
          <w:sz w:val="22"/>
        </w:rPr>
        <w:t xml:space="preserve"> Concepto unificado </w:t>
      </w:r>
      <w:r w:rsidR="24D4438D" w:rsidRPr="4B352AAE">
        <w:rPr>
          <w:rFonts w:ascii="Arial" w:eastAsia="Calibri" w:hAnsi="Arial" w:cs="Arial"/>
          <w:b/>
          <w:bCs/>
          <w:color w:val="000000" w:themeColor="text1"/>
          <w:sz w:val="22"/>
        </w:rPr>
        <w:t xml:space="preserve">– </w:t>
      </w:r>
      <w:r w:rsidRPr="4B352AAE">
        <w:rPr>
          <w:rFonts w:ascii="Arial" w:eastAsia="Calibri" w:hAnsi="Arial" w:cs="Arial"/>
          <w:b/>
          <w:bCs/>
          <w:color w:val="000000" w:themeColor="text1"/>
          <w:sz w:val="22"/>
        </w:rPr>
        <w:t>CU-003 de 2020</w:t>
      </w:r>
    </w:p>
    <w:p w14:paraId="06087D71" w14:textId="77777777" w:rsidR="001A2559" w:rsidRPr="003D688F" w:rsidRDefault="001A2559" w:rsidP="001A2559">
      <w:pPr>
        <w:spacing w:line="276" w:lineRule="auto"/>
        <w:jc w:val="both"/>
        <w:rPr>
          <w:rFonts w:ascii="Arial" w:hAnsi="Arial" w:cs="Arial"/>
          <w:color w:val="000000" w:themeColor="text1"/>
          <w:sz w:val="20"/>
          <w:szCs w:val="20"/>
        </w:rPr>
      </w:pPr>
    </w:p>
    <w:p w14:paraId="0EC10FBA" w14:textId="77777777" w:rsidR="001A2559" w:rsidRPr="003D688F" w:rsidRDefault="001A2559" w:rsidP="001A2559">
      <w:pPr>
        <w:jc w:val="both"/>
        <w:rPr>
          <w:rFonts w:ascii="Arial" w:eastAsia="Calibri" w:hAnsi="Arial" w:cs="Arial"/>
          <w:color w:val="000000" w:themeColor="text1"/>
          <w:sz w:val="20"/>
          <w:szCs w:val="20"/>
          <w:lang w:val="es-ES"/>
        </w:rPr>
      </w:pPr>
      <w:r w:rsidRPr="003D688F">
        <w:rPr>
          <w:rFonts w:ascii="Arial" w:eastAsia="Calibri" w:hAnsi="Arial" w:cs="Arial"/>
          <w:color w:val="000000" w:themeColor="text1"/>
          <w:sz w:val="20"/>
          <w:szCs w:val="20"/>
        </w:rPr>
        <w:t xml:space="preserve">La obligatoriedad de publicar las actuaciones contractuales de las entidades no depende de su régimen de contratación, sino de la ejecución de recursos públicos, pues así lo determinó, provisionalmente, el Consejo de Estado, Sección Tercera, Subsección C, en el auto del 14 de agosto de 2017, radicación número: 11001-03-26-000-2017-00031-00 [58.820], proferido por el Magistrado Jaime Orlando Santofimio. Ese deber no atiende a las condiciones fácticas que tengan las entidades excluidas del régimen de contratación estatal, sino ─se reitera─ al hecho de que la contratación implique la ejecución de recursos públicos. Así también lo indicó la Agencia Nacional de Contratación Pública en Concepto unificado CU-003 de 2020, que se reitera en esta oportunidad. </w:t>
      </w:r>
    </w:p>
    <w:p w14:paraId="1F85047A" w14:textId="77777777" w:rsidR="001A2559" w:rsidRPr="003D688F" w:rsidRDefault="001A2559" w:rsidP="001A2559">
      <w:pPr>
        <w:pStyle w:val="Prrafodelista"/>
        <w:spacing w:line="276" w:lineRule="auto"/>
        <w:ind w:left="0"/>
        <w:jc w:val="both"/>
        <w:rPr>
          <w:rFonts w:ascii="Arial" w:eastAsia="Calibri" w:hAnsi="Arial" w:cs="Arial"/>
          <w:color w:val="000000" w:themeColor="text1"/>
          <w:sz w:val="20"/>
          <w:szCs w:val="20"/>
        </w:rPr>
      </w:pPr>
    </w:p>
    <w:p w14:paraId="4D096EBF" w14:textId="73103D5E" w:rsidR="001A2559" w:rsidRPr="003D688F" w:rsidRDefault="001A2559" w:rsidP="001A2559">
      <w:pPr>
        <w:pStyle w:val="Prrafodelista"/>
        <w:spacing w:line="276" w:lineRule="auto"/>
        <w:ind w:left="0"/>
        <w:jc w:val="both"/>
        <w:rPr>
          <w:rFonts w:ascii="Arial" w:eastAsia="Calibri" w:hAnsi="Arial" w:cs="Arial"/>
          <w:b/>
          <w:color w:val="000000" w:themeColor="text1"/>
          <w:sz w:val="22"/>
          <w:szCs w:val="20"/>
        </w:rPr>
      </w:pPr>
      <w:r w:rsidRPr="003D688F">
        <w:rPr>
          <w:rFonts w:ascii="Arial" w:eastAsia="Calibri" w:hAnsi="Arial" w:cs="Arial"/>
          <w:b/>
          <w:color w:val="000000" w:themeColor="text1"/>
          <w:sz w:val="22"/>
          <w:szCs w:val="20"/>
        </w:rPr>
        <w:t xml:space="preserve">SECOP </w:t>
      </w:r>
      <w:r w:rsidR="001F1B92" w:rsidRPr="003D688F">
        <w:rPr>
          <w:rFonts w:ascii="Arial" w:eastAsia="Calibri" w:hAnsi="Arial" w:cs="Arial"/>
          <w:b/>
          <w:color w:val="000000" w:themeColor="text1"/>
          <w:sz w:val="22"/>
        </w:rPr>
        <w:t>–</w:t>
      </w:r>
      <w:r w:rsidRPr="003D688F">
        <w:rPr>
          <w:rFonts w:ascii="Arial" w:eastAsia="Calibri" w:hAnsi="Arial" w:cs="Arial"/>
          <w:b/>
          <w:color w:val="000000" w:themeColor="text1"/>
          <w:sz w:val="22"/>
          <w:szCs w:val="20"/>
        </w:rPr>
        <w:t xml:space="preserve"> Publicidad </w:t>
      </w:r>
      <w:r w:rsidR="001F1B92" w:rsidRPr="003D688F">
        <w:rPr>
          <w:rFonts w:ascii="Arial" w:eastAsia="Calibri" w:hAnsi="Arial" w:cs="Arial"/>
          <w:b/>
          <w:color w:val="000000" w:themeColor="text1"/>
          <w:sz w:val="22"/>
        </w:rPr>
        <w:t>–</w:t>
      </w:r>
      <w:r w:rsidRPr="003D688F">
        <w:rPr>
          <w:rFonts w:ascii="Arial" w:eastAsia="Calibri" w:hAnsi="Arial" w:cs="Arial"/>
          <w:b/>
          <w:color w:val="000000" w:themeColor="text1"/>
          <w:sz w:val="22"/>
          <w:szCs w:val="20"/>
        </w:rPr>
        <w:t xml:space="preserve"> Documentos </w:t>
      </w:r>
    </w:p>
    <w:p w14:paraId="7DEA7897" w14:textId="77777777" w:rsidR="001A2559" w:rsidRPr="003D688F" w:rsidRDefault="001A2559" w:rsidP="001A2559">
      <w:pPr>
        <w:pStyle w:val="Prrafodelista"/>
        <w:spacing w:line="276" w:lineRule="auto"/>
        <w:ind w:left="0"/>
        <w:jc w:val="both"/>
        <w:rPr>
          <w:rFonts w:ascii="Arial" w:eastAsia="Calibri" w:hAnsi="Arial" w:cs="Arial"/>
          <w:color w:val="000000" w:themeColor="text1"/>
          <w:sz w:val="20"/>
          <w:szCs w:val="20"/>
        </w:rPr>
      </w:pPr>
    </w:p>
    <w:p w14:paraId="31E5A5AE" w14:textId="77777777" w:rsidR="001519A8" w:rsidRPr="003D688F" w:rsidRDefault="008C1A17" w:rsidP="001519A8">
      <w:pPr>
        <w:spacing w:after="120"/>
        <w:jc w:val="both"/>
        <w:rPr>
          <w:rFonts w:ascii="Arial" w:eastAsia="Calibri" w:hAnsi="Arial" w:cs="Arial"/>
          <w:color w:val="000000" w:themeColor="text1"/>
          <w:sz w:val="20"/>
          <w:szCs w:val="20"/>
          <w:lang w:val="es-ES_tradnl"/>
        </w:rPr>
      </w:pPr>
      <w:r w:rsidRPr="003D688F">
        <w:rPr>
          <w:rFonts w:ascii="Arial" w:eastAsia="Calibri" w:hAnsi="Arial" w:cs="Arial"/>
          <w:color w:val="000000" w:themeColor="text1"/>
          <w:sz w:val="20"/>
          <w:szCs w:val="20"/>
          <w:lang w:val="es-ES_tradnl"/>
        </w:rPr>
        <w:t>E</w:t>
      </w:r>
      <w:r w:rsidRPr="003D688F">
        <w:rPr>
          <w:rFonts w:ascii="Arial" w:eastAsia="Calibri" w:hAnsi="Arial" w:cs="Arial"/>
          <w:color w:val="000000" w:themeColor="text1"/>
          <w:sz w:val="20"/>
          <w:szCs w:val="20"/>
        </w:rPr>
        <w:t xml:space="preserve">l Decreto 1081 de 2015 dispone que los documentos que deben publicar las entidades estatales, entre estas las empresas industriales y comerciales del Estado, son: i) las autorizaciones, requerimientos, aprobaciones o informes del supervisor o del interventor, que prueben la ejecución del contrato, </w:t>
      </w:r>
      <w:proofErr w:type="spellStart"/>
      <w:r w:rsidRPr="003D688F">
        <w:rPr>
          <w:rFonts w:ascii="Arial" w:eastAsia="Calibri" w:hAnsi="Arial" w:cs="Arial"/>
          <w:color w:val="000000" w:themeColor="text1"/>
          <w:sz w:val="20"/>
          <w:szCs w:val="20"/>
        </w:rPr>
        <w:t>ii</w:t>
      </w:r>
      <w:proofErr w:type="spellEnd"/>
      <w:r w:rsidRPr="003D688F">
        <w:rPr>
          <w:rFonts w:ascii="Arial" w:eastAsia="Calibri" w:hAnsi="Arial" w:cs="Arial"/>
          <w:color w:val="000000" w:themeColor="text1"/>
          <w:sz w:val="20"/>
          <w:szCs w:val="20"/>
        </w:rPr>
        <w:t xml:space="preserve">) en relación con los procedimientos, lineamientos y políticas en materia de adquisición, se deben publicar los documentos previstos en el manual de contratación de la entidad y, finalmente, </w:t>
      </w:r>
      <w:proofErr w:type="spellStart"/>
      <w:r w:rsidRPr="003D688F">
        <w:rPr>
          <w:rFonts w:ascii="Arial" w:eastAsia="Calibri" w:hAnsi="Arial" w:cs="Arial"/>
          <w:color w:val="000000" w:themeColor="text1"/>
          <w:sz w:val="20"/>
          <w:szCs w:val="20"/>
        </w:rPr>
        <w:t>iii</w:t>
      </w:r>
      <w:proofErr w:type="spellEnd"/>
      <w:r w:rsidRPr="003D688F">
        <w:rPr>
          <w:rFonts w:ascii="Arial" w:eastAsia="Calibri" w:hAnsi="Arial" w:cs="Arial"/>
          <w:color w:val="000000" w:themeColor="text1"/>
          <w:sz w:val="20"/>
          <w:szCs w:val="20"/>
        </w:rPr>
        <w:t xml:space="preserve">) el plan anual de adquisiciones. Deben publicarse </w:t>
      </w:r>
      <w:r w:rsidRPr="003D688F">
        <w:rPr>
          <w:rFonts w:ascii="Arial" w:eastAsia="Calibri" w:hAnsi="Arial" w:cs="Arial"/>
          <w:color w:val="000000" w:themeColor="text1"/>
          <w:sz w:val="20"/>
          <w:szCs w:val="20"/>
          <w:lang w:val="es-ES_tradnl"/>
        </w:rPr>
        <w:t>dentro de los tres (3) días siguientes a su expedición.</w:t>
      </w:r>
    </w:p>
    <w:p w14:paraId="5160E8A0" w14:textId="74253FBE" w:rsidR="008C1A17" w:rsidRPr="003D688F" w:rsidRDefault="008C1A17" w:rsidP="008C1A17">
      <w:pPr>
        <w:jc w:val="both"/>
        <w:rPr>
          <w:rFonts w:ascii="Arial" w:eastAsia="Calibri" w:hAnsi="Arial" w:cs="Arial"/>
          <w:color w:val="000000" w:themeColor="text1"/>
          <w:sz w:val="20"/>
          <w:szCs w:val="20"/>
        </w:rPr>
      </w:pPr>
      <w:r w:rsidRPr="003D688F">
        <w:rPr>
          <w:rFonts w:ascii="Arial" w:eastAsia="Calibri" w:hAnsi="Arial" w:cs="Arial"/>
          <w:color w:val="000000" w:themeColor="text1"/>
          <w:sz w:val="20"/>
          <w:szCs w:val="20"/>
        </w:rPr>
        <w:t xml:space="preserve">Frente al segundo grupo de documentos, debido a que estas entidades están sometidas al derecho privado, y por lo tanto no celebran sus procedimientos de selección con las modalidades previstas en la Ley 80 de 1993; cada una definirá en su manual de contratación el procedimiento y los documentos que emita </w:t>
      </w:r>
      <w:proofErr w:type="gramStart"/>
      <w:r w:rsidRPr="003D688F">
        <w:rPr>
          <w:rFonts w:ascii="Arial" w:eastAsia="Calibri" w:hAnsi="Arial" w:cs="Arial"/>
          <w:color w:val="000000" w:themeColor="text1"/>
          <w:sz w:val="20"/>
          <w:szCs w:val="20"/>
        </w:rPr>
        <w:t>para  contratar</w:t>
      </w:r>
      <w:proofErr w:type="gramEnd"/>
      <w:r w:rsidRPr="003D688F">
        <w:rPr>
          <w:rFonts w:ascii="Arial" w:eastAsia="Calibri" w:hAnsi="Arial" w:cs="Arial"/>
          <w:color w:val="000000" w:themeColor="text1"/>
          <w:sz w:val="20"/>
          <w:szCs w:val="20"/>
        </w:rPr>
        <w:t xml:space="preserve"> sus bienes, obras y servicios, frente a la totalidad de cuales aplica el deber de publicidad.</w:t>
      </w:r>
    </w:p>
    <w:p w14:paraId="3F632A85" w14:textId="7B927C10" w:rsidR="009F7B0A" w:rsidRPr="003D688F" w:rsidRDefault="009F7B0A" w:rsidP="008F6ABB">
      <w:pPr>
        <w:jc w:val="both"/>
        <w:rPr>
          <w:rFonts w:ascii="Arial" w:eastAsia="Calibri" w:hAnsi="Arial" w:cs="Arial"/>
          <w:color w:val="000000" w:themeColor="text1"/>
          <w:sz w:val="20"/>
          <w:szCs w:val="20"/>
        </w:rPr>
      </w:pPr>
    </w:p>
    <w:p w14:paraId="3DAE765C" w14:textId="08A88579" w:rsidR="00EA3146" w:rsidRPr="003D688F" w:rsidRDefault="000B5520" w:rsidP="008F6ABB">
      <w:pPr>
        <w:jc w:val="both"/>
        <w:rPr>
          <w:rFonts w:ascii="Arial" w:eastAsia="Calibri" w:hAnsi="Arial" w:cs="Arial"/>
          <w:color w:val="000000" w:themeColor="text1"/>
          <w:sz w:val="22"/>
          <w:lang w:val="es-ES_tradnl"/>
        </w:rPr>
      </w:pPr>
      <w:r w:rsidRPr="003D688F">
        <w:rPr>
          <w:rFonts w:ascii="Arial" w:eastAsia="Calibri" w:hAnsi="Arial" w:cs="Arial"/>
          <w:b/>
          <w:color w:val="000000" w:themeColor="text1"/>
          <w:sz w:val="22"/>
        </w:rPr>
        <w:t xml:space="preserve">SECOP – Publicación de documentos </w:t>
      </w:r>
      <w:bookmarkStart w:id="2" w:name="_Hlk39676694"/>
      <w:r w:rsidR="001F1B92" w:rsidRPr="003D688F">
        <w:rPr>
          <w:rFonts w:ascii="Arial" w:eastAsia="Calibri" w:hAnsi="Arial" w:cs="Arial"/>
          <w:b/>
          <w:color w:val="000000" w:themeColor="text1"/>
          <w:sz w:val="22"/>
        </w:rPr>
        <w:t>–</w:t>
      </w:r>
      <w:bookmarkEnd w:id="2"/>
      <w:r w:rsidRPr="003D688F">
        <w:rPr>
          <w:rFonts w:ascii="Arial" w:eastAsia="Calibri" w:hAnsi="Arial" w:cs="Arial"/>
          <w:b/>
          <w:color w:val="000000" w:themeColor="text1"/>
          <w:sz w:val="22"/>
        </w:rPr>
        <w:t xml:space="preserve"> Plazo </w:t>
      </w:r>
    </w:p>
    <w:p w14:paraId="2EEBE38C" w14:textId="2A852B55" w:rsidR="00EA3146" w:rsidRPr="003D688F" w:rsidRDefault="00EA3146" w:rsidP="008F6ABB">
      <w:pPr>
        <w:jc w:val="both"/>
        <w:rPr>
          <w:rFonts w:ascii="Arial" w:eastAsia="Calibri" w:hAnsi="Arial" w:cs="Arial"/>
          <w:color w:val="000000" w:themeColor="text1"/>
          <w:sz w:val="20"/>
          <w:szCs w:val="20"/>
          <w:lang w:val="es-ES_tradnl"/>
        </w:rPr>
      </w:pPr>
    </w:p>
    <w:p w14:paraId="669394F0" w14:textId="77777777" w:rsidR="001519A8" w:rsidRPr="003D688F" w:rsidRDefault="008C1A17" w:rsidP="000B5520">
      <w:pPr>
        <w:spacing w:after="120"/>
        <w:jc w:val="both"/>
        <w:rPr>
          <w:rFonts w:ascii="Arial" w:eastAsia="Calibri" w:hAnsi="Arial" w:cs="Arial"/>
          <w:color w:val="000000" w:themeColor="text1"/>
          <w:sz w:val="20"/>
          <w:szCs w:val="20"/>
        </w:rPr>
      </w:pPr>
      <w:r w:rsidRPr="003D688F">
        <w:rPr>
          <w:rFonts w:ascii="Arial" w:eastAsia="Calibri" w:hAnsi="Arial" w:cs="Arial"/>
          <w:color w:val="000000" w:themeColor="text1"/>
          <w:sz w:val="20"/>
          <w:szCs w:val="20"/>
        </w:rPr>
        <w:t>El Decreto 1082 de 2015, en el artículo 2.2.1.1.1.7.1, normativa que regula la publicidad en el SECOP, establece que las entidades están obligadas a publicar los documentos del proceso y los actos administrativos del proceso de contratación, dentro de los tres (3) días siguientes a su expedición. Además, establece el deber de las entidades de publicar oportunamente el aviso de convocatoria o la invitación en los procesos de contratación de mínima cuantía y el proyecto de pliego de condiciones en el SECOP para que presenten observaciones o soliciten aclaraciones. En este sentido, las entidades sometidas al régimen de contratación de Ley 80 de 1993 publicarán en el SECOP sus documentos dentro de los 3 días siguientes a su expedición.</w:t>
      </w:r>
    </w:p>
    <w:p w14:paraId="7259628F" w14:textId="10310A7D" w:rsidR="008C1A17" w:rsidRPr="003D688F" w:rsidRDefault="008C1A17" w:rsidP="000B5520">
      <w:pPr>
        <w:spacing w:after="120"/>
        <w:jc w:val="both"/>
        <w:rPr>
          <w:rFonts w:ascii="Arial" w:eastAsia="Calibri" w:hAnsi="Arial" w:cs="Arial"/>
          <w:color w:val="000000" w:themeColor="text1"/>
          <w:sz w:val="20"/>
          <w:szCs w:val="20"/>
          <w:lang w:val="es-ES_tradnl"/>
        </w:rPr>
      </w:pPr>
      <w:r w:rsidRPr="003D688F">
        <w:rPr>
          <w:rFonts w:ascii="Arial" w:eastAsia="Calibri" w:hAnsi="Arial" w:cs="Arial"/>
          <w:color w:val="000000" w:themeColor="text1"/>
          <w:sz w:val="20"/>
          <w:szCs w:val="20"/>
        </w:rPr>
        <w:t xml:space="preserve">Si bien, como se mencionó en el acápite anterior, el Decreto 1082 de 2015 no le aplica a las empresas industriales y comerciales del Estado, que por regla </w:t>
      </w:r>
      <w:proofErr w:type="gramStart"/>
      <w:r w:rsidRPr="003D688F">
        <w:rPr>
          <w:rFonts w:ascii="Arial" w:eastAsia="Calibri" w:hAnsi="Arial" w:cs="Arial"/>
          <w:color w:val="000000" w:themeColor="text1"/>
          <w:sz w:val="20"/>
          <w:szCs w:val="20"/>
        </w:rPr>
        <w:t>general  tienen</w:t>
      </w:r>
      <w:proofErr w:type="gramEnd"/>
      <w:r w:rsidRPr="003D688F">
        <w:rPr>
          <w:rFonts w:ascii="Arial" w:eastAsia="Calibri" w:hAnsi="Arial" w:cs="Arial"/>
          <w:color w:val="000000" w:themeColor="text1"/>
          <w:sz w:val="20"/>
          <w:szCs w:val="20"/>
        </w:rPr>
        <w:t xml:space="preserve"> como régimen de contratación el derecho privado, es posible aplicarles esta norma en virtud de la analogía, porque esta guarda similitud con el asunto tratado ya que regula la publicidad de los documentos en el SECOP y, por lo tanto, es viable aplicarle su consecuencia jurídica a las entidades de régimen especial. </w:t>
      </w:r>
    </w:p>
    <w:p w14:paraId="6A2702FB" w14:textId="77777777" w:rsidR="008C1A17" w:rsidRPr="003D688F" w:rsidRDefault="008C1A17" w:rsidP="000B5520">
      <w:pPr>
        <w:jc w:val="both"/>
        <w:rPr>
          <w:rFonts w:ascii="Arial" w:eastAsia="Calibri" w:hAnsi="Arial" w:cs="Arial"/>
          <w:color w:val="000000" w:themeColor="text1"/>
          <w:sz w:val="20"/>
          <w:szCs w:val="20"/>
          <w:lang w:val="es-ES_tradnl"/>
        </w:rPr>
      </w:pPr>
      <w:r w:rsidRPr="003D688F">
        <w:rPr>
          <w:rFonts w:ascii="Arial" w:eastAsia="Calibri" w:hAnsi="Arial" w:cs="Arial"/>
          <w:color w:val="000000" w:themeColor="text1"/>
          <w:sz w:val="20"/>
          <w:szCs w:val="20"/>
        </w:rPr>
        <w:t>Conforme a lo anterior, las entidades de régimen especial deben publicar sus documentos del proceso de contratación dentro de los tres (3) días siguientes a su expedición; porque a pesar de que en principio el artículo 2.2.1.1.1.7.1 del Decreto 1082 de 2015 no les aplica, sí es posible y necesario en virtud de la analogía.</w:t>
      </w:r>
    </w:p>
    <w:p w14:paraId="36FABEF1" w14:textId="24DDBBD5" w:rsidR="00E11BA5" w:rsidRPr="003D688F" w:rsidRDefault="00E11BA5" w:rsidP="00E11BA5">
      <w:pPr>
        <w:autoSpaceDE w:val="0"/>
        <w:autoSpaceDN w:val="0"/>
        <w:adjustRightInd w:val="0"/>
        <w:rPr>
          <w:rFonts w:ascii="Arial" w:hAnsi="Arial" w:cs="Arial"/>
          <w:color w:val="000000" w:themeColor="text1"/>
          <w:sz w:val="22"/>
          <w:lang w:val="es-CO"/>
        </w:rPr>
      </w:pPr>
      <w:bookmarkStart w:id="3" w:name="_Hlk38283712"/>
      <w:bookmarkStart w:id="4" w:name="_Hlk38449610"/>
      <w:r w:rsidRPr="003D688F">
        <w:rPr>
          <w:rFonts w:ascii="Arial" w:hAnsi="Arial" w:cs="Arial"/>
          <w:color w:val="000000" w:themeColor="text1"/>
          <w:sz w:val="22"/>
          <w:lang w:val="es-CO"/>
        </w:rPr>
        <w:lastRenderedPageBreak/>
        <w:t xml:space="preserve">Bogotá D.C., </w:t>
      </w:r>
      <w:r w:rsidRPr="003D688F">
        <w:rPr>
          <w:rFonts w:ascii="Arial" w:hAnsi="Arial" w:cs="Arial"/>
          <w:b/>
          <w:bCs/>
          <w:color w:val="000000" w:themeColor="text1"/>
          <w:sz w:val="22"/>
          <w:lang w:val="es-CO"/>
        </w:rPr>
        <w:t xml:space="preserve">06/05/2020 Hora 17:14:53s </w:t>
      </w:r>
    </w:p>
    <w:p w14:paraId="39C90A81" w14:textId="4C7BFFB6" w:rsidR="000D6359" w:rsidRPr="003D688F" w:rsidRDefault="00E11BA5" w:rsidP="00E11BA5">
      <w:pPr>
        <w:jc w:val="right"/>
        <w:rPr>
          <w:rFonts w:ascii="Arial" w:eastAsia="Calibri" w:hAnsi="Arial" w:cs="Arial"/>
          <w:color w:val="000000" w:themeColor="text1"/>
          <w:sz w:val="22"/>
        </w:rPr>
      </w:pPr>
      <w:proofErr w:type="spellStart"/>
      <w:r w:rsidRPr="003D688F">
        <w:rPr>
          <w:rFonts w:ascii="Arial" w:hAnsi="Arial" w:cs="Arial"/>
          <w:b/>
          <w:bCs/>
          <w:color w:val="000000" w:themeColor="text1"/>
          <w:sz w:val="22"/>
          <w:lang w:val="es-CO"/>
        </w:rPr>
        <w:t>N°</w:t>
      </w:r>
      <w:proofErr w:type="spellEnd"/>
      <w:r w:rsidRPr="003D688F">
        <w:rPr>
          <w:rFonts w:ascii="Arial" w:hAnsi="Arial" w:cs="Arial"/>
          <w:b/>
          <w:bCs/>
          <w:color w:val="000000" w:themeColor="text1"/>
          <w:sz w:val="22"/>
          <w:lang w:val="es-CO"/>
        </w:rPr>
        <w:t xml:space="preserve"> Radicado: 2202013000003451</w:t>
      </w:r>
    </w:p>
    <w:p w14:paraId="61FA099F" w14:textId="77777777" w:rsidR="000D6359" w:rsidRPr="003D688F" w:rsidRDefault="000D6359" w:rsidP="00B10353">
      <w:pPr>
        <w:rPr>
          <w:rFonts w:ascii="Arial" w:eastAsia="Calibri" w:hAnsi="Arial" w:cs="Arial"/>
          <w:color w:val="000000" w:themeColor="text1"/>
          <w:sz w:val="22"/>
        </w:rPr>
      </w:pPr>
    </w:p>
    <w:p w14:paraId="20147739" w14:textId="5DF05C04" w:rsidR="00BA22A9" w:rsidRPr="003D688F" w:rsidRDefault="00BA22A9" w:rsidP="00B10353">
      <w:pPr>
        <w:rPr>
          <w:rFonts w:ascii="Arial" w:eastAsia="Calibri" w:hAnsi="Arial" w:cs="Arial"/>
          <w:color w:val="000000" w:themeColor="text1"/>
          <w:sz w:val="22"/>
        </w:rPr>
      </w:pPr>
      <w:r w:rsidRPr="003D688F">
        <w:rPr>
          <w:rFonts w:ascii="Arial" w:eastAsia="Calibri" w:hAnsi="Arial" w:cs="Arial"/>
          <w:color w:val="000000" w:themeColor="text1"/>
          <w:sz w:val="22"/>
        </w:rPr>
        <w:t>Señor</w:t>
      </w:r>
      <w:r w:rsidR="00667FD6" w:rsidRPr="003D688F">
        <w:rPr>
          <w:rFonts w:ascii="Arial" w:eastAsia="Calibri" w:hAnsi="Arial" w:cs="Arial"/>
          <w:color w:val="000000" w:themeColor="text1"/>
          <w:sz w:val="22"/>
        </w:rPr>
        <w:t>a</w:t>
      </w:r>
    </w:p>
    <w:p w14:paraId="04E4047C" w14:textId="77777777" w:rsidR="00667FD6" w:rsidRPr="003D688F" w:rsidRDefault="00667FD6" w:rsidP="00B10353">
      <w:pPr>
        <w:rPr>
          <w:rFonts w:ascii="Arial" w:eastAsia="Calibri" w:hAnsi="Arial" w:cs="Arial"/>
          <w:b/>
          <w:color w:val="000000" w:themeColor="text1"/>
          <w:sz w:val="22"/>
        </w:rPr>
      </w:pPr>
      <w:r w:rsidRPr="003D688F">
        <w:rPr>
          <w:rFonts w:ascii="Arial" w:eastAsia="Calibri" w:hAnsi="Arial" w:cs="Arial"/>
          <w:b/>
          <w:color w:val="000000" w:themeColor="text1"/>
          <w:sz w:val="22"/>
        </w:rPr>
        <w:t>María Fernanda Carrillo Méndez</w:t>
      </w:r>
    </w:p>
    <w:p w14:paraId="31138D68" w14:textId="079B0E39" w:rsidR="00BA22A9" w:rsidRPr="003D688F" w:rsidRDefault="00667FD6" w:rsidP="00B10353">
      <w:pPr>
        <w:rPr>
          <w:rFonts w:ascii="Arial" w:eastAsia="Calibri" w:hAnsi="Arial" w:cs="Arial"/>
          <w:color w:val="000000" w:themeColor="text1"/>
          <w:sz w:val="22"/>
        </w:rPr>
      </w:pPr>
      <w:r w:rsidRPr="003D688F">
        <w:rPr>
          <w:rFonts w:ascii="Arial" w:eastAsia="Calibri" w:hAnsi="Arial" w:cs="Arial"/>
          <w:color w:val="000000" w:themeColor="text1"/>
          <w:sz w:val="22"/>
        </w:rPr>
        <w:t>Ciudad</w:t>
      </w:r>
    </w:p>
    <w:p w14:paraId="1C76F001" w14:textId="4876DFB9" w:rsidR="00765694" w:rsidRPr="003D688F" w:rsidRDefault="00765694" w:rsidP="00B10353">
      <w:pPr>
        <w:rPr>
          <w:rFonts w:ascii="Arial" w:eastAsia="Calibri" w:hAnsi="Arial" w:cs="Arial"/>
          <w:color w:val="000000" w:themeColor="text1"/>
          <w:sz w:val="22"/>
        </w:rPr>
      </w:pPr>
    </w:p>
    <w:p w14:paraId="56435A7F" w14:textId="52CFC82A" w:rsidR="00BA22A9" w:rsidRPr="003D688F" w:rsidRDefault="00BA22A9" w:rsidP="00B10353">
      <w:pPr>
        <w:jc w:val="center"/>
        <w:rPr>
          <w:rFonts w:ascii="Arial" w:eastAsia="Calibri" w:hAnsi="Arial" w:cs="Arial"/>
          <w:b/>
          <w:color w:val="000000" w:themeColor="text1"/>
          <w:sz w:val="22"/>
        </w:rPr>
      </w:pPr>
      <w:r w:rsidRPr="003D688F">
        <w:rPr>
          <w:rFonts w:ascii="Arial" w:eastAsia="Calibri" w:hAnsi="Arial" w:cs="Arial"/>
          <w:b/>
          <w:color w:val="000000" w:themeColor="text1"/>
          <w:sz w:val="22"/>
        </w:rPr>
        <w:t>Concepto C</w:t>
      </w:r>
      <w:r w:rsidR="00FA3B3B" w:rsidRPr="003D688F">
        <w:rPr>
          <w:rFonts w:ascii="Arial" w:eastAsia="Calibri" w:hAnsi="Arial" w:cs="Arial"/>
          <w:b/>
          <w:color w:val="000000" w:themeColor="text1"/>
          <w:sz w:val="22"/>
        </w:rPr>
        <w:t xml:space="preserve"> ― </w:t>
      </w:r>
      <w:r w:rsidR="00EA3146" w:rsidRPr="003D688F">
        <w:rPr>
          <w:rFonts w:ascii="Arial" w:eastAsia="Calibri" w:hAnsi="Arial" w:cs="Arial"/>
          <w:b/>
          <w:color w:val="000000" w:themeColor="text1"/>
          <w:sz w:val="22"/>
        </w:rPr>
        <w:t>312</w:t>
      </w:r>
      <w:r w:rsidR="001468EF" w:rsidRPr="003D688F">
        <w:rPr>
          <w:rFonts w:ascii="Arial" w:eastAsia="Calibri" w:hAnsi="Arial" w:cs="Arial"/>
          <w:b/>
          <w:color w:val="000000" w:themeColor="text1"/>
          <w:sz w:val="22"/>
        </w:rPr>
        <w:t xml:space="preserve"> </w:t>
      </w:r>
      <w:r w:rsidRPr="003D688F">
        <w:rPr>
          <w:rFonts w:ascii="Arial" w:eastAsia="Calibri" w:hAnsi="Arial" w:cs="Arial"/>
          <w:b/>
          <w:color w:val="000000" w:themeColor="text1"/>
          <w:sz w:val="22"/>
        </w:rPr>
        <w:t>de 2020</w:t>
      </w:r>
    </w:p>
    <w:p w14:paraId="70F38DC1" w14:textId="7AEBF63B" w:rsidR="00BA22A9" w:rsidRPr="003D688F" w:rsidRDefault="00BA22A9" w:rsidP="00B10353">
      <w:pPr>
        <w:rPr>
          <w:rFonts w:ascii="Arial" w:eastAsia="Calibri" w:hAnsi="Arial" w:cs="Arial"/>
          <w:color w:val="000000" w:themeColor="text1"/>
          <w:sz w:val="22"/>
        </w:rPr>
      </w:pPr>
    </w:p>
    <w:p w14:paraId="49523BB4" w14:textId="72C95569" w:rsidR="000D6359" w:rsidRPr="003D688F" w:rsidRDefault="000D6359" w:rsidP="00B10353">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D688F" w:rsidRPr="003D688F" w14:paraId="73DD4E85" w14:textId="77777777" w:rsidTr="007B2D62">
        <w:trPr>
          <w:trHeight w:val="1029"/>
        </w:trPr>
        <w:tc>
          <w:tcPr>
            <w:tcW w:w="2689" w:type="dxa"/>
            <w:hideMark/>
          </w:tcPr>
          <w:p w14:paraId="4A921A3A" w14:textId="77777777" w:rsidR="00BA22A9" w:rsidRPr="003D688F" w:rsidRDefault="00BA22A9" w:rsidP="00BA22A9">
            <w:pPr>
              <w:rPr>
                <w:rFonts w:ascii="Arial" w:eastAsia="Calibri" w:hAnsi="Arial" w:cs="Arial"/>
                <w:color w:val="000000" w:themeColor="text1"/>
                <w:sz w:val="22"/>
              </w:rPr>
            </w:pPr>
            <w:r w:rsidRPr="003D688F">
              <w:rPr>
                <w:rFonts w:ascii="Arial" w:eastAsia="Calibri" w:hAnsi="Arial" w:cs="Arial"/>
                <w:b/>
                <w:color w:val="000000" w:themeColor="text1"/>
                <w:sz w:val="22"/>
              </w:rPr>
              <w:t>Temas:</w:t>
            </w:r>
            <w:r w:rsidRPr="003D688F">
              <w:rPr>
                <w:rFonts w:ascii="Arial" w:eastAsia="Calibri" w:hAnsi="Arial" w:cs="Arial"/>
                <w:color w:val="000000" w:themeColor="text1"/>
                <w:sz w:val="22"/>
              </w:rPr>
              <w:t xml:space="preserve">              </w:t>
            </w:r>
          </w:p>
        </w:tc>
        <w:tc>
          <w:tcPr>
            <w:tcW w:w="6237" w:type="dxa"/>
            <w:hideMark/>
          </w:tcPr>
          <w:p w14:paraId="6204F950" w14:textId="5C4BBB45" w:rsidR="00BA22A9" w:rsidRPr="003D688F" w:rsidRDefault="00A41E3C" w:rsidP="00FB781F">
            <w:pPr>
              <w:jc w:val="both"/>
              <w:rPr>
                <w:rFonts w:ascii="Arial" w:eastAsia="Calibri" w:hAnsi="Arial" w:cs="Arial"/>
                <w:color w:val="000000" w:themeColor="text1"/>
                <w:sz w:val="22"/>
              </w:rPr>
            </w:pPr>
            <w:r w:rsidRPr="003D688F">
              <w:rPr>
                <w:rFonts w:ascii="Arial" w:eastAsia="Calibri" w:hAnsi="Arial" w:cs="Arial"/>
                <w:color w:val="000000" w:themeColor="text1"/>
                <w:sz w:val="22"/>
              </w:rPr>
              <w:t>SECOP – Publicidad – Entidades de régimen especial – Reiteración de Concepto unificado CU-003 de 2020 – Publicidad – Documentos</w:t>
            </w:r>
          </w:p>
        </w:tc>
      </w:tr>
      <w:tr w:rsidR="007B1526" w:rsidRPr="003D688F" w14:paraId="53A30614" w14:textId="77777777" w:rsidTr="00667FD6">
        <w:trPr>
          <w:trHeight w:val="264"/>
        </w:trPr>
        <w:tc>
          <w:tcPr>
            <w:tcW w:w="2689" w:type="dxa"/>
          </w:tcPr>
          <w:p w14:paraId="0C1A4A11" w14:textId="77777777" w:rsidR="00BA22A9" w:rsidRPr="003D688F" w:rsidRDefault="00BA22A9" w:rsidP="00BA22A9">
            <w:pPr>
              <w:rPr>
                <w:rFonts w:ascii="Arial" w:eastAsia="Calibri" w:hAnsi="Arial" w:cs="Arial"/>
                <w:b/>
                <w:color w:val="000000" w:themeColor="text1"/>
                <w:sz w:val="22"/>
              </w:rPr>
            </w:pPr>
            <w:r w:rsidRPr="003D688F">
              <w:rPr>
                <w:rFonts w:ascii="Arial" w:eastAsia="Calibri" w:hAnsi="Arial" w:cs="Arial"/>
                <w:b/>
                <w:color w:val="000000" w:themeColor="text1"/>
                <w:sz w:val="22"/>
              </w:rPr>
              <w:t>Radicación:</w:t>
            </w:r>
            <w:r w:rsidRPr="003D688F">
              <w:rPr>
                <w:rFonts w:ascii="Arial" w:eastAsia="Calibri" w:hAnsi="Arial" w:cs="Arial"/>
                <w:color w:val="000000" w:themeColor="text1"/>
                <w:sz w:val="22"/>
              </w:rPr>
              <w:t xml:space="preserve">                              </w:t>
            </w:r>
          </w:p>
        </w:tc>
        <w:tc>
          <w:tcPr>
            <w:tcW w:w="6237" w:type="dxa"/>
          </w:tcPr>
          <w:p w14:paraId="67982A7E" w14:textId="608C77BA" w:rsidR="00BA22A9" w:rsidRPr="003D688F" w:rsidRDefault="00BA22A9" w:rsidP="00BA22A9">
            <w:pPr>
              <w:jc w:val="both"/>
              <w:rPr>
                <w:rFonts w:ascii="Arial" w:eastAsia="Calibri" w:hAnsi="Arial" w:cs="Arial"/>
                <w:color w:val="000000" w:themeColor="text1"/>
                <w:sz w:val="22"/>
              </w:rPr>
            </w:pPr>
            <w:r w:rsidRPr="003D688F">
              <w:rPr>
                <w:rFonts w:ascii="Arial" w:eastAsia="Calibri" w:hAnsi="Arial" w:cs="Arial"/>
                <w:color w:val="000000" w:themeColor="text1"/>
                <w:sz w:val="22"/>
              </w:rPr>
              <w:t xml:space="preserve">Respuesta consulta # </w:t>
            </w:r>
            <w:bookmarkStart w:id="5" w:name="_Hlk38283666"/>
            <w:r w:rsidRPr="003D688F">
              <w:rPr>
                <w:rFonts w:ascii="Arial" w:eastAsia="Calibri" w:hAnsi="Arial" w:cs="Arial"/>
                <w:color w:val="000000" w:themeColor="text1"/>
                <w:sz w:val="22"/>
              </w:rPr>
              <w:t>420201</w:t>
            </w:r>
            <w:r w:rsidR="007B2D62" w:rsidRPr="003D688F">
              <w:rPr>
                <w:rFonts w:ascii="Arial" w:eastAsia="Calibri" w:hAnsi="Arial" w:cs="Arial"/>
                <w:color w:val="000000" w:themeColor="text1"/>
                <w:sz w:val="22"/>
              </w:rPr>
              <w:t>3</w:t>
            </w:r>
            <w:r w:rsidRPr="003D688F">
              <w:rPr>
                <w:rFonts w:ascii="Arial" w:eastAsia="Calibri" w:hAnsi="Arial" w:cs="Arial"/>
                <w:color w:val="000000" w:themeColor="text1"/>
                <w:sz w:val="22"/>
              </w:rPr>
              <w:t>00000</w:t>
            </w:r>
            <w:bookmarkEnd w:id="5"/>
            <w:r w:rsidR="00667FD6" w:rsidRPr="003D688F">
              <w:rPr>
                <w:rFonts w:ascii="Arial" w:eastAsia="Calibri" w:hAnsi="Arial" w:cs="Arial"/>
                <w:color w:val="000000" w:themeColor="text1"/>
                <w:sz w:val="22"/>
              </w:rPr>
              <w:t>3048</w:t>
            </w:r>
          </w:p>
        </w:tc>
      </w:tr>
    </w:tbl>
    <w:p w14:paraId="3E569C76" w14:textId="67DF116A" w:rsidR="000D6359" w:rsidRPr="003D688F" w:rsidRDefault="000D6359" w:rsidP="00E549E9">
      <w:pPr>
        <w:spacing w:before="120" w:line="276" w:lineRule="auto"/>
        <w:rPr>
          <w:rFonts w:ascii="Arial" w:eastAsia="Calibri" w:hAnsi="Arial" w:cs="Arial"/>
          <w:color w:val="000000" w:themeColor="text1"/>
          <w:sz w:val="22"/>
        </w:rPr>
      </w:pPr>
    </w:p>
    <w:p w14:paraId="4C4253CA" w14:textId="4D311685" w:rsidR="00BA22A9" w:rsidRPr="003D688F" w:rsidRDefault="00BA22A9" w:rsidP="00E549E9">
      <w:pPr>
        <w:spacing w:before="120" w:line="276" w:lineRule="auto"/>
        <w:rPr>
          <w:rFonts w:ascii="Arial" w:eastAsia="Calibri" w:hAnsi="Arial" w:cs="Arial"/>
          <w:color w:val="000000" w:themeColor="text1"/>
          <w:sz w:val="22"/>
        </w:rPr>
      </w:pPr>
      <w:r w:rsidRPr="003D688F">
        <w:rPr>
          <w:rFonts w:ascii="Arial" w:eastAsia="Calibri" w:hAnsi="Arial" w:cs="Arial"/>
          <w:color w:val="000000" w:themeColor="text1"/>
          <w:sz w:val="22"/>
        </w:rPr>
        <w:t>Estimad</w:t>
      </w:r>
      <w:r w:rsidR="00667FD6" w:rsidRPr="003D688F">
        <w:rPr>
          <w:rFonts w:ascii="Arial" w:eastAsia="Calibri" w:hAnsi="Arial" w:cs="Arial"/>
          <w:color w:val="000000" w:themeColor="text1"/>
          <w:sz w:val="22"/>
        </w:rPr>
        <w:t>a</w:t>
      </w:r>
      <w:r w:rsidRPr="003D688F">
        <w:rPr>
          <w:rFonts w:ascii="Arial" w:eastAsia="Calibri" w:hAnsi="Arial" w:cs="Arial"/>
          <w:color w:val="000000" w:themeColor="text1"/>
          <w:sz w:val="22"/>
        </w:rPr>
        <w:t xml:space="preserve"> señ</w:t>
      </w:r>
      <w:r w:rsidR="003F1E6F" w:rsidRPr="003D688F">
        <w:rPr>
          <w:rFonts w:ascii="Arial" w:eastAsia="Calibri" w:hAnsi="Arial" w:cs="Arial"/>
          <w:color w:val="000000" w:themeColor="text1"/>
          <w:sz w:val="22"/>
        </w:rPr>
        <w:t>or</w:t>
      </w:r>
      <w:r w:rsidR="00667FD6" w:rsidRPr="003D688F">
        <w:rPr>
          <w:rFonts w:ascii="Arial" w:eastAsia="Calibri" w:hAnsi="Arial" w:cs="Arial"/>
          <w:color w:val="000000" w:themeColor="text1"/>
          <w:sz w:val="22"/>
        </w:rPr>
        <w:t>a</w:t>
      </w:r>
      <w:r w:rsidR="003F1E6F" w:rsidRPr="003D688F">
        <w:rPr>
          <w:rFonts w:ascii="Arial" w:eastAsia="Calibri" w:hAnsi="Arial" w:cs="Arial"/>
          <w:color w:val="000000" w:themeColor="text1"/>
          <w:sz w:val="22"/>
        </w:rPr>
        <w:t xml:space="preserve"> </w:t>
      </w:r>
      <w:r w:rsidR="007B2D62" w:rsidRPr="003D688F">
        <w:rPr>
          <w:rFonts w:ascii="Arial" w:eastAsia="Calibri" w:hAnsi="Arial" w:cs="Arial"/>
          <w:color w:val="000000" w:themeColor="text1"/>
          <w:sz w:val="22"/>
        </w:rPr>
        <w:t>Ca</w:t>
      </w:r>
      <w:r w:rsidR="00667FD6" w:rsidRPr="003D688F">
        <w:rPr>
          <w:rFonts w:ascii="Arial" w:eastAsia="Calibri" w:hAnsi="Arial" w:cs="Arial"/>
          <w:color w:val="000000" w:themeColor="text1"/>
          <w:sz w:val="22"/>
        </w:rPr>
        <w:t>rrillo</w:t>
      </w:r>
    </w:p>
    <w:p w14:paraId="7E0DDA0E" w14:textId="77777777" w:rsidR="00D2522E" w:rsidRPr="003D688F" w:rsidRDefault="00D2522E" w:rsidP="00D2522E">
      <w:pPr>
        <w:spacing w:line="276" w:lineRule="auto"/>
        <w:jc w:val="both"/>
        <w:rPr>
          <w:rFonts w:ascii="Arial" w:eastAsia="Calibri" w:hAnsi="Arial" w:cs="Arial"/>
          <w:color w:val="000000" w:themeColor="text1"/>
          <w:sz w:val="22"/>
        </w:rPr>
      </w:pPr>
    </w:p>
    <w:p w14:paraId="27953E95" w14:textId="38E24D85" w:rsidR="00BA22A9" w:rsidRPr="003D688F" w:rsidRDefault="00BA22A9" w:rsidP="00D2522E">
      <w:pPr>
        <w:spacing w:line="276" w:lineRule="auto"/>
        <w:jc w:val="both"/>
        <w:rPr>
          <w:rFonts w:ascii="Arial" w:eastAsia="Calibri" w:hAnsi="Arial" w:cs="Arial"/>
          <w:color w:val="000000" w:themeColor="text1"/>
          <w:sz w:val="22"/>
        </w:rPr>
      </w:pPr>
      <w:r w:rsidRPr="003D688F">
        <w:rPr>
          <w:rFonts w:ascii="Arial" w:eastAsia="Calibri" w:hAnsi="Arial" w:cs="Arial"/>
          <w:color w:val="000000" w:themeColor="text1"/>
          <w:sz w:val="22"/>
        </w:rPr>
        <w:t>La Agencia Nacional de Contratación Pública — Colombia Compra Eficiente responde su</w:t>
      </w:r>
      <w:r w:rsidR="00017D43" w:rsidRPr="003D688F">
        <w:rPr>
          <w:rFonts w:ascii="Arial" w:eastAsia="Calibri" w:hAnsi="Arial" w:cs="Arial"/>
          <w:color w:val="000000" w:themeColor="text1"/>
          <w:sz w:val="22"/>
        </w:rPr>
        <w:t>s</w:t>
      </w:r>
      <w:r w:rsidRPr="003D688F">
        <w:rPr>
          <w:rFonts w:ascii="Arial" w:eastAsia="Calibri" w:hAnsi="Arial" w:cs="Arial"/>
          <w:color w:val="000000" w:themeColor="text1"/>
          <w:sz w:val="22"/>
        </w:rPr>
        <w:t xml:space="preserve"> consulta</w:t>
      </w:r>
      <w:r w:rsidR="00A219D9" w:rsidRPr="003D688F">
        <w:rPr>
          <w:rFonts w:ascii="Arial" w:eastAsia="Calibri" w:hAnsi="Arial" w:cs="Arial"/>
          <w:color w:val="000000" w:themeColor="text1"/>
          <w:sz w:val="22"/>
        </w:rPr>
        <w:t>s</w:t>
      </w:r>
      <w:r w:rsidR="00B4236B" w:rsidRPr="003D688F">
        <w:rPr>
          <w:rFonts w:ascii="Arial" w:eastAsia="Calibri" w:hAnsi="Arial" w:cs="Arial"/>
          <w:color w:val="000000" w:themeColor="text1"/>
          <w:sz w:val="22"/>
        </w:rPr>
        <w:t xml:space="preserve"> </w:t>
      </w:r>
      <w:r w:rsidR="0035671F" w:rsidRPr="003D688F">
        <w:rPr>
          <w:rFonts w:ascii="Arial" w:eastAsia="Calibri" w:hAnsi="Arial" w:cs="Arial"/>
          <w:color w:val="000000" w:themeColor="text1"/>
          <w:sz w:val="22"/>
        </w:rPr>
        <w:t xml:space="preserve">del </w:t>
      </w:r>
      <w:r w:rsidR="00667FD6" w:rsidRPr="003D688F">
        <w:rPr>
          <w:rFonts w:ascii="Arial" w:eastAsia="Calibri" w:hAnsi="Arial" w:cs="Arial"/>
          <w:color w:val="000000" w:themeColor="text1"/>
          <w:sz w:val="22"/>
        </w:rPr>
        <w:t>24</w:t>
      </w:r>
      <w:r w:rsidR="0035671F" w:rsidRPr="003D688F">
        <w:rPr>
          <w:rFonts w:ascii="Arial" w:eastAsia="Calibri" w:hAnsi="Arial" w:cs="Arial"/>
          <w:color w:val="000000" w:themeColor="text1"/>
          <w:sz w:val="22"/>
        </w:rPr>
        <w:t xml:space="preserve"> de abril de 202</w:t>
      </w:r>
      <w:r w:rsidR="00667FD6" w:rsidRPr="003D688F">
        <w:rPr>
          <w:rFonts w:ascii="Arial" w:eastAsia="Calibri" w:hAnsi="Arial" w:cs="Arial"/>
          <w:color w:val="000000" w:themeColor="text1"/>
          <w:sz w:val="22"/>
        </w:rPr>
        <w:t>0</w:t>
      </w:r>
      <w:r w:rsidR="0035671F" w:rsidRPr="003D688F">
        <w:rPr>
          <w:rFonts w:ascii="Arial" w:eastAsia="Calibri" w:hAnsi="Arial" w:cs="Arial"/>
          <w:color w:val="000000" w:themeColor="text1"/>
          <w:sz w:val="22"/>
        </w:rPr>
        <w:t>,</w:t>
      </w:r>
      <w:r w:rsidR="00C25D13" w:rsidRPr="003D688F">
        <w:rPr>
          <w:rFonts w:ascii="Arial" w:eastAsia="Calibri" w:hAnsi="Arial" w:cs="Arial"/>
          <w:color w:val="000000" w:themeColor="text1"/>
          <w:sz w:val="22"/>
        </w:rPr>
        <w:t xml:space="preserve"> en ejercicio de la competencia otorgada por el numeral</w:t>
      </w:r>
      <w:r w:rsidR="003A6C1F" w:rsidRPr="003D688F">
        <w:rPr>
          <w:rFonts w:ascii="Arial" w:eastAsia="Calibri" w:hAnsi="Arial" w:cs="Arial"/>
          <w:color w:val="000000" w:themeColor="text1"/>
          <w:sz w:val="22"/>
        </w:rPr>
        <w:t xml:space="preserve"> 5 del </w:t>
      </w:r>
      <w:r w:rsidR="00F55B6E" w:rsidRPr="003D688F">
        <w:rPr>
          <w:rFonts w:ascii="Arial" w:eastAsia="Calibri" w:hAnsi="Arial" w:cs="Arial"/>
          <w:color w:val="000000" w:themeColor="text1"/>
          <w:sz w:val="22"/>
        </w:rPr>
        <w:t xml:space="preserve">artículo </w:t>
      </w:r>
      <w:r w:rsidR="00AF2089" w:rsidRPr="003D688F">
        <w:rPr>
          <w:rFonts w:ascii="Arial" w:eastAsia="Calibri" w:hAnsi="Arial" w:cs="Arial"/>
          <w:color w:val="000000" w:themeColor="text1"/>
          <w:sz w:val="22"/>
        </w:rPr>
        <w:t xml:space="preserve">3 y </w:t>
      </w:r>
      <w:r w:rsidR="00BB4E71" w:rsidRPr="003D688F">
        <w:rPr>
          <w:rFonts w:ascii="Arial" w:eastAsia="Calibri" w:hAnsi="Arial" w:cs="Arial"/>
          <w:color w:val="000000" w:themeColor="text1"/>
          <w:sz w:val="22"/>
        </w:rPr>
        <w:t xml:space="preserve">por </w:t>
      </w:r>
      <w:r w:rsidR="00AF2089" w:rsidRPr="003D688F">
        <w:rPr>
          <w:rFonts w:ascii="Arial" w:eastAsia="Calibri" w:hAnsi="Arial" w:cs="Arial"/>
          <w:color w:val="000000" w:themeColor="text1"/>
          <w:sz w:val="22"/>
        </w:rPr>
        <w:t>el numeral 8 del artículo</w:t>
      </w:r>
      <w:r w:rsidR="0038689A" w:rsidRPr="003D688F">
        <w:rPr>
          <w:rFonts w:ascii="Arial" w:eastAsia="Calibri" w:hAnsi="Arial" w:cs="Arial"/>
          <w:color w:val="000000" w:themeColor="text1"/>
          <w:sz w:val="22"/>
        </w:rPr>
        <w:t xml:space="preserve"> 11</w:t>
      </w:r>
      <w:r w:rsidR="005C5EB0" w:rsidRPr="003D688F">
        <w:rPr>
          <w:rFonts w:ascii="Arial" w:eastAsia="Calibri" w:hAnsi="Arial" w:cs="Arial"/>
          <w:color w:val="000000" w:themeColor="text1"/>
          <w:sz w:val="22"/>
        </w:rPr>
        <w:t xml:space="preserve"> del Decreto 4170 de 2011.</w:t>
      </w:r>
    </w:p>
    <w:p w14:paraId="0E342EE3" w14:textId="77777777" w:rsidR="00A90C55" w:rsidRPr="003D688F" w:rsidRDefault="00A90C55" w:rsidP="00610361">
      <w:pPr>
        <w:spacing w:line="276" w:lineRule="auto"/>
        <w:jc w:val="both"/>
        <w:rPr>
          <w:rFonts w:ascii="Arial" w:eastAsia="Calibri" w:hAnsi="Arial" w:cs="Arial"/>
          <w:color w:val="000000" w:themeColor="text1"/>
          <w:sz w:val="22"/>
        </w:rPr>
      </w:pPr>
    </w:p>
    <w:p w14:paraId="238E9792" w14:textId="7CEB934A" w:rsidR="00BA22A9" w:rsidRPr="003D688F" w:rsidRDefault="00BA22A9" w:rsidP="006B4A03">
      <w:pPr>
        <w:pStyle w:val="Prrafodelista"/>
        <w:numPr>
          <w:ilvl w:val="0"/>
          <w:numId w:val="8"/>
        </w:numPr>
        <w:tabs>
          <w:tab w:val="left" w:pos="284"/>
        </w:tabs>
        <w:spacing w:line="276" w:lineRule="auto"/>
        <w:ind w:left="0" w:firstLine="0"/>
        <w:rPr>
          <w:rFonts w:ascii="Arial" w:eastAsia="Calibri" w:hAnsi="Arial" w:cs="Arial"/>
          <w:b/>
          <w:color w:val="000000" w:themeColor="text1"/>
          <w:sz w:val="22"/>
        </w:rPr>
      </w:pPr>
      <w:r w:rsidRPr="003D688F">
        <w:rPr>
          <w:rFonts w:ascii="Arial" w:eastAsia="Calibri" w:hAnsi="Arial" w:cs="Arial"/>
          <w:b/>
          <w:color w:val="000000" w:themeColor="text1"/>
          <w:sz w:val="22"/>
        </w:rPr>
        <w:t>Problemas planteados</w:t>
      </w:r>
    </w:p>
    <w:p w14:paraId="747E8055" w14:textId="77777777" w:rsidR="00EC268B" w:rsidRPr="003D688F" w:rsidRDefault="00EC268B" w:rsidP="00EC268B">
      <w:pPr>
        <w:pStyle w:val="Prrafodelista"/>
        <w:tabs>
          <w:tab w:val="left" w:pos="284"/>
        </w:tabs>
        <w:spacing w:line="276" w:lineRule="auto"/>
        <w:ind w:left="0"/>
        <w:rPr>
          <w:rFonts w:ascii="Arial" w:eastAsia="Calibri" w:hAnsi="Arial" w:cs="Arial"/>
          <w:b/>
          <w:color w:val="000000" w:themeColor="text1"/>
          <w:sz w:val="22"/>
        </w:rPr>
      </w:pPr>
    </w:p>
    <w:p w14:paraId="0006845D" w14:textId="668009B5" w:rsidR="00CD4F65" w:rsidRPr="003D688F" w:rsidRDefault="007E6773" w:rsidP="00667FD6">
      <w:pPr>
        <w:autoSpaceDE w:val="0"/>
        <w:autoSpaceDN w:val="0"/>
        <w:adjustRightInd w:val="0"/>
        <w:spacing w:line="276" w:lineRule="auto"/>
        <w:jc w:val="both"/>
        <w:rPr>
          <w:rFonts w:ascii="Arial" w:hAnsi="Arial" w:cs="Arial"/>
          <w:color w:val="000000" w:themeColor="text1"/>
          <w:sz w:val="22"/>
        </w:rPr>
      </w:pPr>
      <w:r w:rsidRPr="003D688F">
        <w:rPr>
          <w:rFonts w:ascii="Arial" w:eastAsia="Calibri" w:hAnsi="Arial" w:cs="Arial"/>
          <w:color w:val="000000" w:themeColor="text1"/>
          <w:sz w:val="22"/>
        </w:rPr>
        <w:t xml:space="preserve">Usted plantea </w:t>
      </w:r>
      <w:r w:rsidR="009D531C" w:rsidRPr="003D688F">
        <w:rPr>
          <w:rFonts w:ascii="Arial" w:eastAsia="Calibri" w:hAnsi="Arial" w:cs="Arial"/>
          <w:color w:val="000000" w:themeColor="text1"/>
          <w:sz w:val="22"/>
        </w:rPr>
        <w:t>el</w:t>
      </w:r>
      <w:r w:rsidR="00A90C55" w:rsidRPr="003D688F">
        <w:rPr>
          <w:rFonts w:ascii="Arial" w:eastAsia="Calibri" w:hAnsi="Arial" w:cs="Arial"/>
          <w:color w:val="000000" w:themeColor="text1"/>
          <w:sz w:val="22"/>
        </w:rPr>
        <w:t xml:space="preserve"> </w:t>
      </w:r>
      <w:r w:rsidRPr="003D688F">
        <w:rPr>
          <w:rFonts w:ascii="Arial" w:eastAsia="Calibri" w:hAnsi="Arial" w:cs="Arial"/>
          <w:color w:val="000000" w:themeColor="text1"/>
          <w:sz w:val="22"/>
        </w:rPr>
        <w:t>siguiente interrogante</w:t>
      </w:r>
      <w:r w:rsidR="00B41937" w:rsidRPr="003D688F">
        <w:rPr>
          <w:rFonts w:ascii="Arial" w:eastAsia="Calibri" w:hAnsi="Arial" w:cs="Arial"/>
          <w:color w:val="000000" w:themeColor="text1"/>
          <w:sz w:val="22"/>
        </w:rPr>
        <w:t xml:space="preserve"> </w:t>
      </w:r>
      <w:r w:rsidR="00667FD6" w:rsidRPr="003D688F">
        <w:rPr>
          <w:rFonts w:ascii="Arial" w:eastAsia="Calibri" w:hAnsi="Arial" w:cs="Arial"/>
          <w:color w:val="000000" w:themeColor="text1"/>
          <w:sz w:val="22"/>
        </w:rPr>
        <w:t xml:space="preserve">con relación a la empresas industriales y comerciales del Estado </w:t>
      </w:r>
      <w:r w:rsidR="00A90C55" w:rsidRPr="003D688F">
        <w:rPr>
          <w:rFonts w:ascii="Arial" w:eastAsia="Calibri" w:hAnsi="Arial" w:cs="Arial"/>
          <w:color w:val="000000" w:themeColor="text1"/>
          <w:sz w:val="22"/>
        </w:rPr>
        <w:t>«</w:t>
      </w:r>
      <w:r w:rsidR="00667FD6" w:rsidRPr="003D688F">
        <w:rPr>
          <w:rFonts w:ascii="Arial" w:hAnsi="Arial" w:cs="Arial"/>
          <w:color w:val="000000" w:themeColor="text1"/>
          <w:sz w:val="22"/>
          <w:lang w:val="es-CO"/>
        </w:rPr>
        <w:t>¿qué documentos de forma obligatoria debería publicar la entidad en la plataforma SECOP I?</w:t>
      </w:r>
      <w:r w:rsidR="009D531C" w:rsidRPr="003D688F">
        <w:rPr>
          <w:rFonts w:ascii="Arial" w:hAnsi="Arial" w:cs="Arial"/>
          <w:color w:val="000000" w:themeColor="text1"/>
          <w:sz w:val="22"/>
        </w:rPr>
        <w:t>»</w:t>
      </w:r>
      <w:r w:rsidR="00B41937" w:rsidRPr="003D688F">
        <w:rPr>
          <w:rFonts w:ascii="Arial" w:hAnsi="Arial" w:cs="Arial"/>
          <w:color w:val="000000" w:themeColor="text1"/>
          <w:sz w:val="22"/>
        </w:rPr>
        <w:t xml:space="preserve">. </w:t>
      </w:r>
    </w:p>
    <w:p w14:paraId="4A33A6E6" w14:textId="77777777" w:rsidR="00EE22BA" w:rsidRPr="003D688F" w:rsidRDefault="00EE22BA" w:rsidP="009A2449">
      <w:pPr>
        <w:spacing w:line="276" w:lineRule="auto"/>
        <w:ind w:left="709" w:right="709"/>
        <w:jc w:val="both"/>
        <w:rPr>
          <w:rFonts w:ascii="Arial" w:eastAsia="Calibri" w:hAnsi="Arial" w:cs="Arial"/>
          <w:color w:val="000000" w:themeColor="text1"/>
          <w:sz w:val="21"/>
          <w:szCs w:val="21"/>
        </w:rPr>
      </w:pPr>
    </w:p>
    <w:p w14:paraId="6D620AD0" w14:textId="77777777" w:rsidR="00BA22A9" w:rsidRPr="003D688F" w:rsidRDefault="00BA22A9" w:rsidP="00BA22A9">
      <w:pPr>
        <w:pStyle w:val="Prrafodelista"/>
        <w:numPr>
          <w:ilvl w:val="0"/>
          <w:numId w:val="8"/>
        </w:numPr>
        <w:tabs>
          <w:tab w:val="left" w:pos="284"/>
        </w:tabs>
        <w:spacing w:line="276" w:lineRule="auto"/>
        <w:ind w:left="0" w:firstLine="0"/>
        <w:rPr>
          <w:rFonts w:ascii="Arial" w:eastAsia="Calibri" w:hAnsi="Arial" w:cs="Arial"/>
          <w:b/>
          <w:color w:val="000000" w:themeColor="text1"/>
          <w:sz w:val="22"/>
        </w:rPr>
      </w:pPr>
      <w:r w:rsidRPr="003D688F">
        <w:rPr>
          <w:rFonts w:ascii="Arial" w:eastAsia="Calibri" w:hAnsi="Arial" w:cs="Arial"/>
          <w:b/>
          <w:color w:val="000000" w:themeColor="text1"/>
          <w:sz w:val="22"/>
        </w:rPr>
        <w:t>Consideraciones</w:t>
      </w:r>
    </w:p>
    <w:p w14:paraId="272943D1" w14:textId="23FC15B7" w:rsidR="00484856" w:rsidRPr="003D688F" w:rsidRDefault="00484856" w:rsidP="00B10353">
      <w:pPr>
        <w:spacing w:line="276" w:lineRule="auto"/>
        <w:jc w:val="both"/>
        <w:rPr>
          <w:rFonts w:ascii="Arial" w:eastAsia="Calibri" w:hAnsi="Arial" w:cs="Arial"/>
          <w:color w:val="000000" w:themeColor="text1"/>
          <w:sz w:val="22"/>
        </w:rPr>
      </w:pPr>
    </w:p>
    <w:p w14:paraId="75484855" w14:textId="5B66699B" w:rsidR="00CD4F65" w:rsidRPr="003D688F" w:rsidRDefault="00CD4F65" w:rsidP="001A2559">
      <w:pPr>
        <w:spacing w:line="276" w:lineRule="auto"/>
        <w:jc w:val="both"/>
        <w:rPr>
          <w:rFonts w:ascii="Arial" w:eastAsia="Calibri" w:hAnsi="Arial" w:cs="Arial"/>
          <w:color w:val="000000" w:themeColor="text1"/>
          <w:sz w:val="22"/>
        </w:rPr>
      </w:pPr>
      <w:r w:rsidRPr="003D688F">
        <w:rPr>
          <w:rFonts w:ascii="Arial" w:eastAsia="Calibri" w:hAnsi="Arial" w:cs="Arial"/>
          <w:color w:val="000000" w:themeColor="text1"/>
          <w:sz w:val="22"/>
        </w:rPr>
        <w:t xml:space="preserve">ara desarrollar los problemas planteados se explicará, en primer lugar, cómo el SECOP es la plataforma que las entidades deben utilizar para publicar la actividad contractual, para luego </w:t>
      </w:r>
      <w:r w:rsidR="00F74F25" w:rsidRPr="003D688F">
        <w:rPr>
          <w:rFonts w:ascii="Arial" w:eastAsia="Calibri" w:hAnsi="Arial" w:cs="Arial"/>
          <w:color w:val="000000" w:themeColor="text1"/>
          <w:sz w:val="22"/>
        </w:rPr>
        <w:t>identificar</w:t>
      </w:r>
      <w:r w:rsidRPr="003D688F">
        <w:rPr>
          <w:rFonts w:ascii="Arial" w:eastAsia="Calibri" w:hAnsi="Arial" w:cs="Arial"/>
          <w:color w:val="000000" w:themeColor="text1"/>
          <w:sz w:val="22"/>
        </w:rPr>
        <w:t xml:space="preserve"> los documentos contractuales que deben publicar las </w:t>
      </w:r>
      <w:r w:rsidR="00667FD6" w:rsidRPr="003D688F">
        <w:rPr>
          <w:rFonts w:ascii="Arial" w:eastAsia="Calibri" w:hAnsi="Arial" w:cs="Arial"/>
          <w:color w:val="000000" w:themeColor="text1"/>
          <w:sz w:val="22"/>
        </w:rPr>
        <w:t>empresas industriales y comerciales</w:t>
      </w:r>
      <w:r w:rsidRPr="003D688F">
        <w:rPr>
          <w:rFonts w:ascii="Arial" w:eastAsia="Calibri" w:hAnsi="Arial" w:cs="Arial"/>
          <w:color w:val="000000" w:themeColor="text1"/>
          <w:sz w:val="22"/>
        </w:rPr>
        <w:t xml:space="preserve"> del Estado en el SECOP I, y por último </w:t>
      </w:r>
      <w:r w:rsidR="00F74F25" w:rsidRPr="003D688F">
        <w:rPr>
          <w:rFonts w:ascii="Arial" w:eastAsia="Calibri" w:hAnsi="Arial" w:cs="Arial"/>
          <w:color w:val="000000" w:themeColor="text1"/>
          <w:sz w:val="22"/>
        </w:rPr>
        <w:t xml:space="preserve">precisar </w:t>
      </w:r>
      <w:r w:rsidRPr="003D688F">
        <w:rPr>
          <w:rFonts w:ascii="Arial" w:eastAsia="Calibri" w:hAnsi="Arial" w:cs="Arial"/>
          <w:color w:val="000000" w:themeColor="text1"/>
          <w:sz w:val="22"/>
        </w:rPr>
        <w:t xml:space="preserve">el momento de </w:t>
      </w:r>
      <w:r w:rsidR="00F74F25" w:rsidRPr="003D688F">
        <w:rPr>
          <w:rFonts w:ascii="Arial" w:eastAsia="Calibri" w:hAnsi="Arial" w:cs="Arial"/>
          <w:color w:val="000000" w:themeColor="text1"/>
          <w:sz w:val="22"/>
        </w:rPr>
        <w:t>la</w:t>
      </w:r>
      <w:r w:rsidRPr="003D688F">
        <w:rPr>
          <w:rFonts w:ascii="Arial" w:eastAsia="Calibri" w:hAnsi="Arial" w:cs="Arial"/>
          <w:color w:val="000000" w:themeColor="text1"/>
          <w:sz w:val="22"/>
        </w:rPr>
        <w:t xml:space="preserve"> publicación. </w:t>
      </w:r>
    </w:p>
    <w:p w14:paraId="3C82247C" w14:textId="77777777" w:rsidR="00F74F25" w:rsidRPr="003D688F" w:rsidRDefault="00F74F25" w:rsidP="00CD4F65">
      <w:pPr>
        <w:spacing w:line="276" w:lineRule="auto"/>
        <w:rPr>
          <w:rFonts w:ascii="Arial" w:eastAsia="Calibri" w:hAnsi="Arial" w:cs="Arial"/>
          <w:color w:val="000000" w:themeColor="text1"/>
          <w:sz w:val="22"/>
        </w:rPr>
      </w:pPr>
    </w:p>
    <w:p w14:paraId="6C7215A3" w14:textId="70898D21" w:rsidR="00CD4F65" w:rsidRPr="003D688F" w:rsidRDefault="00CD4F65" w:rsidP="00CD4F65">
      <w:pPr>
        <w:tabs>
          <w:tab w:val="left" w:pos="426"/>
        </w:tabs>
        <w:spacing w:line="276" w:lineRule="auto"/>
        <w:rPr>
          <w:rFonts w:ascii="Arial" w:eastAsia="Calibri" w:hAnsi="Arial" w:cs="Arial"/>
          <w:b/>
          <w:color w:val="000000" w:themeColor="text1"/>
          <w:sz w:val="22"/>
        </w:rPr>
      </w:pPr>
      <w:r w:rsidRPr="003D688F">
        <w:rPr>
          <w:rFonts w:ascii="Arial" w:eastAsia="Calibri" w:hAnsi="Arial" w:cs="Arial"/>
          <w:b/>
          <w:color w:val="000000" w:themeColor="text1"/>
          <w:sz w:val="22"/>
        </w:rPr>
        <w:t>2.1. Publicidad de los contratos en el Sistema Electrónico de Contratación Pública –SECOP–</w:t>
      </w:r>
    </w:p>
    <w:p w14:paraId="6FB50593" w14:textId="60174004" w:rsidR="00CD4F65" w:rsidRPr="003D688F" w:rsidRDefault="00CD4F65" w:rsidP="00CD4F65">
      <w:pPr>
        <w:pStyle w:val="Prrafodelista"/>
        <w:spacing w:line="276" w:lineRule="auto"/>
        <w:ind w:left="0" w:firstLine="709"/>
        <w:rPr>
          <w:rFonts w:ascii="Arial" w:eastAsia="Calibri" w:hAnsi="Arial" w:cs="Arial"/>
          <w:b/>
          <w:color w:val="000000" w:themeColor="text1"/>
          <w:sz w:val="22"/>
        </w:rPr>
      </w:pPr>
    </w:p>
    <w:p w14:paraId="0EA3BFE2" w14:textId="573CBE4A" w:rsidR="00CD4F65" w:rsidRPr="003D688F" w:rsidRDefault="00CD4F65" w:rsidP="001A2559">
      <w:pPr>
        <w:spacing w:line="276" w:lineRule="auto"/>
        <w:jc w:val="both"/>
        <w:rPr>
          <w:rFonts w:ascii="Arial" w:hAnsi="Arial" w:cs="Arial"/>
          <w:color w:val="000000" w:themeColor="text1"/>
          <w:sz w:val="22"/>
        </w:rPr>
      </w:pPr>
      <w:r w:rsidRPr="003D688F">
        <w:rPr>
          <w:rFonts w:ascii="Arial" w:eastAsia="Calibri" w:hAnsi="Arial" w:cs="Arial"/>
          <w:bCs/>
          <w:color w:val="000000" w:themeColor="text1"/>
          <w:sz w:val="22"/>
        </w:rPr>
        <w:t>La Agencia Nacional de Contratación Pública estudió por este tema en la consulta No. 4201913000005397 del 9 de agosto de 2019 y reiteró la posición en las siguientes consultas: 4201912000006611 del 25 de septiembre de</w:t>
      </w:r>
      <w:r w:rsidR="001A2559" w:rsidRPr="003D688F">
        <w:rPr>
          <w:rFonts w:ascii="Arial" w:eastAsia="Calibri" w:hAnsi="Arial" w:cs="Arial"/>
          <w:bCs/>
          <w:color w:val="000000" w:themeColor="text1"/>
          <w:sz w:val="22"/>
        </w:rPr>
        <w:t xml:space="preserve"> </w:t>
      </w:r>
      <w:r w:rsidRPr="003D688F">
        <w:rPr>
          <w:rFonts w:ascii="Arial" w:eastAsia="Calibri" w:hAnsi="Arial" w:cs="Arial"/>
          <w:bCs/>
          <w:color w:val="000000" w:themeColor="text1"/>
          <w:sz w:val="22"/>
        </w:rPr>
        <w:t>2019,</w:t>
      </w:r>
      <w:r w:rsidR="001A2559" w:rsidRPr="003D688F">
        <w:rPr>
          <w:rFonts w:ascii="Arial" w:eastAsia="Calibri" w:hAnsi="Arial" w:cs="Arial"/>
          <w:bCs/>
          <w:color w:val="000000" w:themeColor="text1"/>
          <w:sz w:val="22"/>
        </w:rPr>
        <w:t xml:space="preserve"> </w:t>
      </w:r>
      <w:r w:rsidRPr="003D688F">
        <w:rPr>
          <w:rFonts w:ascii="Arial" w:hAnsi="Arial" w:cs="Arial"/>
          <w:color w:val="000000" w:themeColor="text1"/>
          <w:sz w:val="22"/>
        </w:rPr>
        <w:t>4201913000006847 del 4 de octubre de 2019,</w:t>
      </w:r>
      <w:r w:rsidR="00F74F25" w:rsidRPr="003D688F">
        <w:rPr>
          <w:rFonts w:ascii="Arial" w:hAnsi="Arial" w:cs="Arial"/>
          <w:color w:val="000000" w:themeColor="text1"/>
          <w:sz w:val="22"/>
        </w:rPr>
        <w:t xml:space="preserve"> </w:t>
      </w:r>
      <w:r w:rsidR="00F74F25" w:rsidRPr="003D688F">
        <w:rPr>
          <w:rFonts w:ascii="Arial" w:hAnsi="Arial" w:cs="Arial"/>
          <w:bCs/>
          <w:color w:val="000000" w:themeColor="text1"/>
          <w:sz w:val="22"/>
        </w:rPr>
        <w:t>4201912000007828 del 13 de noviembre de 2019,</w:t>
      </w:r>
      <w:r w:rsidRPr="003D688F">
        <w:rPr>
          <w:rFonts w:ascii="Arial" w:hAnsi="Arial" w:cs="Arial"/>
          <w:color w:val="000000" w:themeColor="text1"/>
          <w:sz w:val="22"/>
        </w:rPr>
        <w:t xml:space="preserve"> </w:t>
      </w:r>
      <w:r w:rsidRPr="003D688F">
        <w:rPr>
          <w:rFonts w:ascii="Arial" w:eastAsia="Calibri" w:hAnsi="Arial" w:cs="Arial"/>
          <w:bCs/>
          <w:color w:val="000000" w:themeColor="text1"/>
          <w:sz w:val="22"/>
        </w:rPr>
        <w:t xml:space="preserve">4201912000007762 </w:t>
      </w:r>
      <w:r w:rsidRPr="003D688F">
        <w:rPr>
          <w:rFonts w:ascii="Arial" w:eastAsia="Calibri" w:hAnsi="Arial" w:cs="Arial"/>
          <w:bCs/>
          <w:color w:val="000000" w:themeColor="text1"/>
          <w:sz w:val="22"/>
        </w:rPr>
        <w:lastRenderedPageBreak/>
        <w:t xml:space="preserve">del 18 de noviembre de 2019, </w:t>
      </w:r>
      <w:r w:rsidR="001A2559" w:rsidRPr="003D688F">
        <w:rPr>
          <w:rFonts w:ascii="Arial" w:hAnsi="Arial" w:cs="Arial"/>
          <w:color w:val="000000" w:themeColor="text1"/>
          <w:sz w:val="22"/>
        </w:rPr>
        <w:t xml:space="preserve"> las cuales fueron unificadas en el concepto CU — 003 de 3 de enero de 2020, confirmado en radicado C— 061 de 21 de enero de 2020, C — 115 de 11 de febrero de 2020 y C — 149 de 14 de febrero de 2020.</w:t>
      </w:r>
      <w:r w:rsidRPr="003D688F">
        <w:rPr>
          <w:rFonts w:ascii="Arial" w:hAnsi="Arial" w:cs="Arial"/>
          <w:color w:val="000000" w:themeColor="text1"/>
          <w:sz w:val="22"/>
        </w:rPr>
        <w:t xml:space="preserve"> </w:t>
      </w:r>
      <w:r w:rsidRPr="003D688F">
        <w:rPr>
          <w:rFonts w:ascii="Arial" w:eastAsia="Calibri" w:hAnsi="Arial" w:cs="Arial"/>
          <w:color w:val="000000" w:themeColor="text1"/>
          <w:sz w:val="22"/>
        </w:rPr>
        <w:t>En todas sostuvo la idea que se reitera a</w:t>
      </w:r>
      <w:r w:rsidR="001A2559" w:rsidRPr="003D688F">
        <w:rPr>
          <w:rFonts w:ascii="Arial" w:eastAsia="Calibri" w:hAnsi="Arial" w:cs="Arial"/>
          <w:color w:val="000000" w:themeColor="text1"/>
          <w:sz w:val="22"/>
        </w:rPr>
        <w:t xml:space="preserve"> </w:t>
      </w:r>
      <w:r w:rsidRPr="003D688F">
        <w:rPr>
          <w:rFonts w:ascii="Arial" w:eastAsia="Calibri" w:hAnsi="Arial" w:cs="Arial"/>
          <w:color w:val="000000" w:themeColor="text1"/>
          <w:sz w:val="22"/>
        </w:rPr>
        <w:t>continuación:</w:t>
      </w:r>
      <w:r w:rsidRPr="003D688F">
        <w:rPr>
          <w:rFonts w:ascii="Arial" w:hAnsi="Arial" w:cs="Arial"/>
          <w:color w:val="000000" w:themeColor="text1"/>
          <w:sz w:val="22"/>
        </w:rPr>
        <w:t xml:space="preserve"> </w:t>
      </w:r>
    </w:p>
    <w:p w14:paraId="172104B4" w14:textId="77777777" w:rsidR="006A52CE" w:rsidRPr="003D688F" w:rsidRDefault="006A52CE" w:rsidP="001A2559">
      <w:pPr>
        <w:tabs>
          <w:tab w:val="left" w:pos="426"/>
        </w:tabs>
        <w:spacing w:line="276" w:lineRule="auto"/>
        <w:jc w:val="both"/>
        <w:rPr>
          <w:rFonts w:ascii="Arial" w:eastAsia="Calibri" w:hAnsi="Arial" w:cs="Arial"/>
          <w:color w:val="000000" w:themeColor="text1"/>
          <w:sz w:val="22"/>
        </w:rPr>
      </w:pPr>
    </w:p>
    <w:p w14:paraId="17E9CC64" w14:textId="42EAE6E7" w:rsidR="001A2559" w:rsidRPr="003D688F" w:rsidRDefault="001A2559" w:rsidP="001A2559">
      <w:pPr>
        <w:tabs>
          <w:tab w:val="left" w:pos="426"/>
        </w:tabs>
        <w:spacing w:line="276" w:lineRule="auto"/>
        <w:jc w:val="both"/>
        <w:rPr>
          <w:rFonts w:ascii="Arial" w:eastAsia="Calibri" w:hAnsi="Arial" w:cs="Arial"/>
          <w:b/>
          <w:color w:val="000000" w:themeColor="text1"/>
          <w:sz w:val="22"/>
        </w:rPr>
      </w:pPr>
      <w:r w:rsidRPr="003D688F">
        <w:rPr>
          <w:rFonts w:ascii="Arial" w:eastAsia="Calibri" w:hAnsi="Arial" w:cs="Arial"/>
          <w:color w:val="000000" w:themeColor="text1"/>
          <w:sz w:val="22"/>
        </w:rPr>
        <w:t xml:space="preserve">Para la Corte Constitucional el principio de publicidad es la garantía de las personas de conocer las actuaciones judiciales y administrativas y con base en ese conocimiento tener la posibilidad de exigir que se surtan conforme a la ley: </w:t>
      </w:r>
    </w:p>
    <w:p w14:paraId="7F52D83D" w14:textId="77777777" w:rsidR="001A2559" w:rsidRPr="003D688F" w:rsidRDefault="001A2559" w:rsidP="001A2559">
      <w:pPr>
        <w:ind w:firstLine="709"/>
        <w:jc w:val="both"/>
        <w:rPr>
          <w:rFonts w:ascii="Arial" w:eastAsia="Calibri" w:hAnsi="Arial" w:cs="Arial"/>
          <w:color w:val="000000" w:themeColor="text1"/>
          <w:sz w:val="22"/>
        </w:rPr>
      </w:pPr>
    </w:p>
    <w:p w14:paraId="283E9A0B" w14:textId="77777777" w:rsidR="001A2559" w:rsidRPr="003D688F" w:rsidRDefault="001A2559" w:rsidP="001A2559">
      <w:pPr>
        <w:tabs>
          <w:tab w:val="left" w:pos="3885"/>
        </w:tabs>
        <w:ind w:left="709" w:right="709"/>
        <w:jc w:val="both"/>
        <w:rPr>
          <w:rFonts w:ascii="Arial" w:hAnsi="Arial" w:cs="Arial"/>
          <w:color w:val="000000" w:themeColor="text1"/>
          <w:sz w:val="21"/>
          <w:szCs w:val="21"/>
          <w:lang w:val="es-ES"/>
        </w:rPr>
      </w:pPr>
      <w:r w:rsidRPr="003D688F">
        <w:rPr>
          <w:rFonts w:ascii="Arial" w:hAnsi="Arial" w:cs="Arial"/>
          <w:color w:val="000000" w:themeColor="text1"/>
          <w:sz w:val="21"/>
          <w:szCs w:val="21"/>
          <w:lang w:val="es-ES"/>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04A85178" w14:textId="77777777" w:rsidR="001A2559" w:rsidRPr="003D688F" w:rsidRDefault="001A2559" w:rsidP="001A2559">
      <w:pPr>
        <w:tabs>
          <w:tab w:val="left" w:pos="3885"/>
        </w:tabs>
        <w:ind w:left="709" w:right="709"/>
        <w:jc w:val="both"/>
        <w:rPr>
          <w:rFonts w:ascii="Arial" w:hAnsi="Arial" w:cs="Arial"/>
          <w:color w:val="000000" w:themeColor="text1"/>
          <w:sz w:val="21"/>
          <w:szCs w:val="21"/>
          <w:lang w:val="es-ES"/>
        </w:rPr>
      </w:pPr>
    </w:p>
    <w:p w14:paraId="484A2848" w14:textId="77777777" w:rsidR="001A2559" w:rsidRPr="003D688F" w:rsidRDefault="001A2559" w:rsidP="001A2559">
      <w:pPr>
        <w:tabs>
          <w:tab w:val="left" w:pos="3885"/>
          <w:tab w:val="left" w:pos="8222"/>
        </w:tabs>
        <w:ind w:left="709" w:right="709"/>
        <w:jc w:val="both"/>
        <w:rPr>
          <w:rFonts w:ascii="Arial" w:hAnsi="Arial" w:cs="Arial"/>
          <w:color w:val="000000" w:themeColor="text1"/>
          <w:sz w:val="22"/>
          <w:lang w:val="es-ES"/>
        </w:rPr>
      </w:pPr>
      <w:r w:rsidRPr="003D688F">
        <w:rPr>
          <w:rFonts w:ascii="Arial" w:hAnsi="Arial" w:cs="Arial"/>
          <w:color w:val="000000" w:themeColor="text1"/>
          <w:sz w:val="21"/>
          <w:szCs w:val="21"/>
          <w:lang w:val="es-ES"/>
        </w:rPr>
        <w:t xml:space="preserve">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w:t>
      </w:r>
      <w:proofErr w:type="gramStart"/>
      <w:r w:rsidRPr="003D688F">
        <w:rPr>
          <w:rFonts w:ascii="Arial" w:hAnsi="Arial" w:cs="Arial"/>
          <w:color w:val="000000" w:themeColor="text1"/>
          <w:sz w:val="21"/>
          <w:szCs w:val="21"/>
          <w:lang w:val="es-ES"/>
        </w:rPr>
        <w:t>autoridades públicas</w:t>
      </w:r>
      <w:proofErr w:type="gramEnd"/>
      <w:r w:rsidRPr="003D688F">
        <w:rPr>
          <w:rFonts w:ascii="Arial" w:hAnsi="Arial" w:cs="Arial"/>
          <w:color w:val="000000" w:themeColor="text1"/>
          <w:sz w:val="21"/>
          <w:szCs w:val="21"/>
          <w:lang w:val="es-ES"/>
        </w:rPr>
        <w:t xml:space="preserve"> y, a través de ese conocimiento, a exigir que ellas se surtan conforme a la ley</w:t>
      </w:r>
      <w:r w:rsidRPr="003D688F">
        <w:rPr>
          <w:rStyle w:val="Refdenotaalpie"/>
          <w:rFonts w:ascii="Arial" w:eastAsia="Calibri" w:hAnsi="Arial" w:cs="Arial"/>
          <w:color w:val="000000" w:themeColor="text1"/>
          <w:sz w:val="21"/>
          <w:szCs w:val="21"/>
        </w:rPr>
        <w:footnoteReference w:id="1"/>
      </w:r>
      <w:r w:rsidRPr="003D688F">
        <w:rPr>
          <w:rFonts w:ascii="Arial" w:eastAsia="Calibri" w:hAnsi="Arial" w:cs="Arial"/>
          <w:color w:val="000000" w:themeColor="text1"/>
          <w:sz w:val="21"/>
          <w:szCs w:val="21"/>
        </w:rPr>
        <w:t>.</w:t>
      </w:r>
    </w:p>
    <w:p w14:paraId="5FF83B21" w14:textId="77777777" w:rsidR="001A2559" w:rsidRPr="003D688F" w:rsidRDefault="001A2559" w:rsidP="001A2559">
      <w:pPr>
        <w:spacing w:line="276" w:lineRule="auto"/>
        <w:ind w:right="709"/>
        <w:jc w:val="both"/>
        <w:rPr>
          <w:rFonts w:ascii="Arial" w:eastAsia="Calibri" w:hAnsi="Arial" w:cs="Arial"/>
          <w:color w:val="000000" w:themeColor="text1"/>
          <w:sz w:val="22"/>
        </w:rPr>
      </w:pPr>
    </w:p>
    <w:p w14:paraId="39FAE901" w14:textId="45DD912D" w:rsidR="001A2559" w:rsidRPr="003D688F" w:rsidRDefault="001A2559" w:rsidP="00F74F25">
      <w:pPr>
        <w:spacing w:line="276" w:lineRule="auto"/>
        <w:ind w:firstLine="709"/>
        <w:jc w:val="both"/>
        <w:rPr>
          <w:rFonts w:ascii="Arial" w:eastAsia="Calibri" w:hAnsi="Arial" w:cs="Arial"/>
          <w:color w:val="000000" w:themeColor="text1"/>
          <w:sz w:val="22"/>
        </w:rPr>
      </w:pPr>
      <w:r w:rsidRPr="003D688F">
        <w:rPr>
          <w:rFonts w:ascii="Arial" w:eastAsia="Calibri" w:hAnsi="Arial" w:cs="Arial"/>
          <w:color w:val="000000" w:themeColor="text1"/>
          <w:sz w:val="22"/>
        </w:rPr>
        <w:t>El principio de publicidad impone a las autoridades administrativas el deber de dar a conocer sus actos, contratos y decisiones, para que se divulguen y eventualmente se controlen las actuaciones. El literal c) del artículo 3 de la Ley 1150 de 2007 establece que el Sistema Electrónico para la Contratación Pública –SECOP– «contará con la información oficial de la contratación realizada con dineros públicos, para lo cual establecerá los patrones a que haya lugar y se encargará de su difusión a través de canales electrónicos»</w:t>
      </w:r>
      <w:r w:rsidRPr="003D688F">
        <w:rPr>
          <w:rStyle w:val="Refdenotaalpie"/>
          <w:rFonts w:ascii="Arial" w:eastAsia="Calibri" w:hAnsi="Arial" w:cs="Arial"/>
          <w:color w:val="000000" w:themeColor="text1"/>
          <w:sz w:val="22"/>
        </w:rPr>
        <w:footnoteReference w:id="2"/>
      </w:r>
      <w:r w:rsidRPr="003D688F">
        <w:rPr>
          <w:rFonts w:ascii="Arial" w:eastAsia="Calibri" w:hAnsi="Arial" w:cs="Arial"/>
          <w:color w:val="000000" w:themeColor="text1"/>
          <w:sz w:val="22"/>
        </w:rPr>
        <w:t xml:space="preserve">. </w:t>
      </w:r>
    </w:p>
    <w:p w14:paraId="69C9988A" w14:textId="77777777" w:rsidR="001A2559" w:rsidRPr="003D688F" w:rsidRDefault="001A2559" w:rsidP="001A2559">
      <w:pPr>
        <w:spacing w:before="120" w:after="120" w:line="276" w:lineRule="auto"/>
        <w:ind w:firstLine="709"/>
        <w:jc w:val="both"/>
        <w:rPr>
          <w:rFonts w:ascii="Arial" w:eastAsia="Calibri" w:hAnsi="Arial" w:cs="Arial"/>
          <w:color w:val="000000" w:themeColor="text1"/>
          <w:sz w:val="22"/>
        </w:rPr>
      </w:pPr>
      <w:r w:rsidRPr="003D688F">
        <w:rPr>
          <w:rFonts w:ascii="Arial" w:hAnsi="Arial" w:cs="Arial"/>
          <w:color w:val="000000" w:themeColor="text1"/>
          <w:sz w:val="22"/>
        </w:rPr>
        <w:lastRenderedPageBreak/>
        <w:t>De otra parte, la Ley 1712 de 2014, por medio de la cual se crea la Ley de Transparencia y del Derecho de Acceso a la Información Pública Nacional y se dictan otras disposiciones,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3D688F">
        <w:rPr>
          <w:rStyle w:val="Refdenotaalpie"/>
          <w:rFonts w:ascii="Arial" w:hAnsi="Arial" w:cs="Arial"/>
          <w:color w:val="000000" w:themeColor="text1"/>
          <w:sz w:val="22"/>
        </w:rPr>
        <w:footnoteReference w:id="3"/>
      </w:r>
      <w:r w:rsidRPr="003D688F">
        <w:rPr>
          <w:rFonts w:ascii="Arial" w:hAnsi="Arial" w:cs="Arial"/>
          <w:color w:val="000000" w:themeColor="text1"/>
          <w:sz w:val="22"/>
        </w:rPr>
        <w:t xml:space="preserve">. El principio de transparencia en la información alude al deber de los sujetos de proporcionar y facilitar el acceso a la misma en los términos más amplios posibles, y a través de los medios y procedimientos que establezca la ley. </w:t>
      </w:r>
    </w:p>
    <w:p w14:paraId="75EDC36A" w14:textId="48A8F174" w:rsidR="001A2559" w:rsidRPr="003D688F" w:rsidRDefault="001A2559" w:rsidP="001A2559">
      <w:pPr>
        <w:pStyle w:val="NormalWeb"/>
        <w:spacing w:before="120" w:beforeAutospacing="0" w:after="120" w:afterAutospacing="0" w:line="276" w:lineRule="auto"/>
        <w:ind w:firstLine="709"/>
        <w:jc w:val="both"/>
        <w:rPr>
          <w:rFonts w:ascii="Arial" w:eastAsiaTheme="minorHAnsi" w:hAnsi="Arial" w:cs="Arial"/>
          <w:color w:val="000000" w:themeColor="text1"/>
          <w:sz w:val="22"/>
          <w:szCs w:val="22"/>
          <w:lang w:val="es-MX" w:eastAsia="en-US"/>
        </w:rPr>
      </w:pPr>
      <w:r w:rsidRPr="003D688F">
        <w:rPr>
          <w:rFonts w:ascii="Arial" w:eastAsiaTheme="minorHAnsi" w:hAnsi="Arial" w:cs="Arial"/>
          <w:color w:val="000000" w:themeColor="text1"/>
          <w:sz w:val="22"/>
          <w:szCs w:val="22"/>
          <w:lang w:val="es-MX" w:eastAsia="en-US"/>
        </w:rPr>
        <w:t>La ley citada establece, en el literal e) del artículo 9, que los sujetos obligados, que son todas las entidades públicas</w:t>
      </w:r>
      <w:r w:rsidRPr="003D688F">
        <w:rPr>
          <w:rStyle w:val="Refdenotaalpie"/>
          <w:rFonts w:ascii="Arial" w:eastAsiaTheme="minorHAnsi" w:hAnsi="Arial" w:cs="Arial"/>
          <w:color w:val="000000" w:themeColor="text1"/>
          <w:sz w:val="22"/>
          <w:szCs w:val="22"/>
          <w:lang w:val="es-MX" w:eastAsia="en-US"/>
        </w:rPr>
        <w:footnoteReference w:id="4"/>
      </w:r>
      <w:r w:rsidRPr="003D688F">
        <w:rPr>
          <w:rFonts w:ascii="Arial" w:eastAsiaTheme="minorHAnsi" w:hAnsi="Arial" w:cs="Arial"/>
          <w:color w:val="000000" w:themeColor="text1"/>
          <w:sz w:val="22"/>
          <w:szCs w:val="22"/>
          <w:lang w:val="es-MX" w:eastAsia="en-US"/>
        </w:rPr>
        <w:t>, deben publicar la información relativa a su contratación. Esta obligación fue desarrollada por el Decreto Único Reglamentario 1081 de 2015</w:t>
      </w:r>
      <w:r w:rsidRPr="003D688F">
        <w:rPr>
          <w:rStyle w:val="Refdenotaalpie"/>
          <w:rFonts w:ascii="Arial" w:eastAsiaTheme="minorHAnsi" w:hAnsi="Arial" w:cs="Arial"/>
          <w:color w:val="000000" w:themeColor="text1"/>
          <w:sz w:val="22"/>
          <w:szCs w:val="22"/>
          <w:lang w:val="es-MX" w:eastAsia="en-US"/>
        </w:rPr>
        <w:footnoteReference w:id="5"/>
      </w:r>
      <w:r w:rsidRPr="003D688F">
        <w:rPr>
          <w:rFonts w:ascii="Arial" w:eastAsiaTheme="minorHAnsi" w:hAnsi="Arial" w:cs="Arial"/>
          <w:color w:val="000000" w:themeColor="text1"/>
          <w:sz w:val="22"/>
          <w:szCs w:val="22"/>
          <w:lang w:val="es-MX" w:eastAsia="en-US"/>
        </w:rPr>
        <w:t>, el cual dispuso que la publicación de la información contractual de los sujetos obligados, que contratan con cargo a recursos públicos, debe hacerse en el Sistema Electrónico de Contratación Pública ─</w:t>
      </w:r>
      <w:r w:rsidRPr="003D688F">
        <w:rPr>
          <w:rFonts w:ascii="Arial" w:eastAsiaTheme="minorHAnsi" w:hAnsi="Arial" w:cs="Arial"/>
          <w:color w:val="000000" w:themeColor="text1"/>
          <w:sz w:val="22"/>
          <w:szCs w:val="22"/>
          <w:lang w:val="es-MX" w:eastAsia="en-US"/>
        </w:rPr>
        <w:softHyphen/>
        <w:t>SECOP.</w:t>
      </w:r>
    </w:p>
    <w:p w14:paraId="3D6EBF2E" w14:textId="77777777" w:rsidR="001A2559" w:rsidRPr="003D688F" w:rsidRDefault="001A2559" w:rsidP="001A2559">
      <w:pPr>
        <w:spacing w:before="120" w:after="120" w:line="276" w:lineRule="auto"/>
        <w:ind w:firstLine="709"/>
        <w:jc w:val="both"/>
        <w:rPr>
          <w:rFonts w:ascii="Arial" w:hAnsi="Arial" w:cs="Arial"/>
          <w:color w:val="000000" w:themeColor="text1"/>
          <w:sz w:val="22"/>
          <w:lang w:val="es-ES"/>
        </w:rPr>
      </w:pPr>
      <w:r w:rsidRPr="003D688F">
        <w:rPr>
          <w:rFonts w:ascii="Arial" w:hAnsi="Arial" w:cs="Arial"/>
          <w:color w:val="000000" w:themeColor="text1"/>
          <w:sz w:val="22"/>
        </w:rPr>
        <w:t xml:space="preserve">Asimismo, de </w:t>
      </w:r>
      <w:r w:rsidRPr="003D688F">
        <w:rPr>
          <w:rFonts w:ascii="Arial" w:hAnsi="Arial" w:cs="Arial"/>
          <w:color w:val="000000" w:themeColor="text1"/>
          <w:sz w:val="22"/>
          <w:lang w:val="es-ES"/>
        </w:rPr>
        <w:t xml:space="preserve">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5CA92359" w14:textId="77777777" w:rsidR="001A2559" w:rsidRPr="003D688F" w:rsidRDefault="001A2559" w:rsidP="001A2559">
      <w:pPr>
        <w:spacing w:before="120" w:after="120" w:line="276" w:lineRule="auto"/>
        <w:ind w:firstLine="709"/>
        <w:jc w:val="both"/>
        <w:rPr>
          <w:rFonts w:ascii="Arial" w:eastAsia="Calibri" w:hAnsi="Arial" w:cs="Arial"/>
          <w:color w:val="000000" w:themeColor="text1"/>
          <w:sz w:val="22"/>
        </w:rPr>
      </w:pPr>
      <w:r w:rsidRPr="003D688F">
        <w:rPr>
          <w:rFonts w:ascii="Arial" w:eastAsia="Calibri" w:hAnsi="Arial" w:cs="Arial"/>
          <w:color w:val="000000" w:themeColor="text1"/>
          <w:sz w:val="22"/>
        </w:rPr>
        <w:t xml:space="preserve">El derecho de acceso a la información pública o de interés público permite a toda persona, sin necesidad de acreditar calidad, interés o condición particular, conocer la </w:t>
      </w:r>
      <w:r w:rsidRPr="003D688F">
        <w:rPr>
          <w:rFonts w:ascii="Arial" w:eastAsia="Calibri" w:hAnsi="Arial" w:cs="Arial"/>
          <w:color w:val="000000" w:themeColor="text1"/>
          <w:sz w:val="22"/>
        </w:rPr>
        <w:lastRenderedPageBreak/>
        <w:t>existencia de información pública, acceder a la misma y difundirla o publicarla, según su interés</w:t>
      </w:r>
      <w:r w:rsidRPr="003D688F">
        <w:rPr>
          <w:rStyle w:val="Refdenotaalpie"/>
          <w:rFonts w:ascii="Arial" w:eastAsia="Calibri" w:hAnsi="Arial" w:cs="Arial"/>
          <w:color w:val="000000" w:themeColor="text1"/>
          <w:sz w:val="22"/>
        </w:rPr>
        <w:footnoteReference w:id="6"/>
      </w:r>
      <w:r w:rsidRPr="003D688F">
        <w:rPr>
          <w:rFonts w:ascii="Arial" w:eastAsia="Calibri" w:hAnsi="Arial" w:cs="Arial"/>
          <w:color w:val="000000" w:themeColor="text1"/>
          <w:sz w:val="22"/>
        </w:rPr>
        <w:t>.</w:t>
      </w:r>
    </w:p>
    <w:p w14:paraId="5FBDECCA" w14:textId="407D8A1D" w:rsidR="001A2559" w:rsidRPr="003D688F" w:rsidRDefault="001A2559" w:rsidP="001A2559">
      <w:pPr>
        <w:spacing w:before="120" w:after="120" w:line="276" w:lineRule="auto"/>
        <w:ind w:firstLine="709"/>
        <w:jc w:val="both"/>
        <w:rPr>
          <w:rFonts w:ascii="Arial" w:hAnsi="Arial" w:cs="Arial"/>
          <w:color w:val="000000" w:themeColor="text1"/>
          <w:sz w:val="22"/>
          <w:lang w:val="es-ES"/>
        </w:rPr>
      </w:pPr>
      <w:r w:rsidRPr="003D688F">
        <w:rPr>
          <w:rFonts w:ascii="Arial" w:hAnsi="Arial" w:cs="Arial"/>
          <w:color w:val="000000" w:themeColor="text1"/>
          <w:sz w:val="22"/>
          <w:lang w:val="es-ES"/>
        </w:rPr>
        <w:t>Para el año 2013, la Agencia Nacional de Contratación Pública ─ Colombia Compra Eficiente, mediante la Circular Externa No 1 del</w:t>
      </w:r>
      <w:r w:rsidRPr="003D688F">
        <w:rPr>
          <w:color w:val="000000" w:themeColor="text1"/>
          <w:sz w:val="22"/>
        </w:rPr>
        <w:t xml:space="preserve"> </w:t>
      </w:r>
      <w:r w:rsidRPr="003D688F">
        <w:rPr>
          <w:rFonts w:ascii="Arial" w:hAnsi="Arial" w:cs="Arial"/>
          <w:color w:val="000000" w:themeColor="text1"/>
          <w:sz w:val="22"/>
          <w:lang w:val="es-ES"/>
        </w:rPr>
        <w:t>21 de junio de 2013, recopilada en la Circular Externa Única, recordó a todas las entidades del Estado el deber de publicar oportunamente su actividad contractual en el SECOP, sin distin</w:t>
      </w:r>
      <w:r w:rsidR="00F74F25" w:rsidRPr="003D688F">
        <w:rPr>
          <w:rFonts w:ascii="Arial" w:hAnsi="Arial" w:cs="Arial"/>
          <w:color w:val="000000" w:themeColor="text1"/>
          <w:sz w:val="22"/>
          <w:lang w:val="es-ES"/>
        </w:rPr>
        <w:t>guir</w:t>
      </w:r>
      <w:r w:rsidRPr="003D688F">
        <w:rPr>
          <w:rFonts w:ascii="Arial" w:hAnsi="Arial" w:cs="Arial"/>
          <w:color w:val="000000" w:themeColor="text1"/>
          <w:sz w:val="22"/>
          <w:lang w:val="es-ES"/>
        </w:rPr>
        <w:t xml:space="preserve"> de su régimen jurídico, naturaleza jurídica o la pertenencia a una u otra rama del poder público</w:t>
      </w:r>
      <w:r w:rsidRPr="003D688F">
        <w:rPr>
          <w:rStyle w:val="Refdenotaalpie"/>
          <w:rFonts w:ascii="Arial" w:hAnsi="Arial" w:cs="Arial"/>
          <w:color w:val="000000" w:themeColor="text1"/>
          <w:sz w:val="22"/>
          <w:lang w:val="es-ES"/>
        </w:rPr>
        <w:footnoteReference w:id="7"/>
      </w:r>
      <w:r w:rsidRPr="003D688F">
        <w:rPr>
          <w:rFonts w:ascii="Arial" w:hAnsi="Arial" w:cs="Arial"/>
          <w:color w:val="000000" w:themeColor="text1"/>
          <w:sz w:val="22"/>
          <w:lang w:val="es-ES"/>
        </w:rPr>
        <w:t>. Además, la Circular Externa Única, en el numeral 1.1., establece, de manera enunciativa, que deben publicar en el SECOP: «2. Las entidades del Estado que tienen un régimen especial de contratación, siempre y cuando el contrato ejecute o tenga como fuente de financiación dineros públicos, sin importar su proporción, a través del módulo [Régimen Especial], de acuerdo con lo establecido en su propio manual de contratación».</w:t>
      </w:r>
    </w:p>
    <w:p w14:paraId="1431EAF6" w14:textId="77777777" w:rsidR="001A2559" w:rsidRPr="003D688F" w:rsidRDefault="001A2559" w:rsidP="001A2559">
      <w:pPr>
        <w:spacing w:line="276" w:lineRule="auto"/>
        <w:ind w:firstLine="709"/>
        <w:jc w:val="both"/>
        <w:rPr>
          <w:rFonts w:ascii="Arial" w:hAnsi="Arial" w:cs="Arial"/>
          <w:color w:val="000000" w:themeColor="text1"/>
          <w:sz w:val="22"/>
          <w:lang w:val="es-ES"/>
        </w:rPr>
      </w:pPr>
      <w:r w:rsidRPr="003D688F">
        <w:rPr>
          <w:rFonts w:ascii="Arial" w:hAnsi="Arial" w:cs="Arial"/>
          <w:color w:val="000000" w:themeColor="text1"/>
          <w:sz w:val="22"/>
          <w:lang w:val="es-ES"/>
        </w:rPr>
        <w:t>El debate sobre la obligatoriedad o no de publicar en el SECOP, para las entidades con régimen especial de contratación, ya fue definido, al menos de manera preliminar, por el Consejo de Estado. La Sección Tercera, Subsección C, en el Auto del 14 de agosto de 2017, Consejero Ponente Jaime Orlando Santofimio Gamboa, expresó que la obligación prevista en la Circular Externa No. 1 se ajusta a la normativa superior:</w:t>
      </w:r>
    </w:p>
    <w:p w14:paraId="5A0F9038" w14:textId="77777777" w:rsidR="001A2559" w:rsidRPr="003D688F" w:rsidRDefault="001A2559" w:rsidP="001A2559">
      <w:pPr>
        <w:spacing w:line="276" w:lineRule="auto"/>
        <w:jc w:val="both"/>
        <w:rPr>
          <w:rFonts w:ascii="Arial" w:hAnsi="Arial" w:cs="Arial"/>
          <w:color w:val="000000" w:themeColor="text1"/>
          <w:sz w:val="22"/>
          <w:lang w:val="es-ES"/>
        </w:rPr>
      </w:pPr>
    </w:p>
    <w:p w14:paraId="221C9EAB" w14:textId="77777777" w:rsidR="001A2559" w:rsidRPr="003D688F" w:rsidRDefault="001A2559" w:rsidP="001A2559">
      <w:pPr>
        <w:tabs>
          <w:tab w:val="left" w:pos="3885"/>
        </w:tabs>
        <w:ind w:left="709" w:right="709"/>
        <w:jc w:val="both"/>
        <w:rPr>
          <w:rFonts w:ascii="Arial" w:hAnsi="Arial" w:cs="Arial"/>
          <w:color w:val="000000" w:themeColor="text1"/>
          <w:sz w:val="21"/>
          <w:szCs w:val="21"/>
          <w:lang w:val="es-ES"/>
        </w:rPr>
      </w:pPr>
      <w:r w:rsidRPr="003D688F">
        <w:rPr>
          <w:rFonts w:ascii="Arial" w:hAnsi="Arial" w:cs="Arial"/>
          <w:color w:val="000000" w:themeColor="text1"/>
          <w:sz w:val="21"/>
          <w:szCs w:val="21"/>
          <w:lang w:val="es-ES"/>
        </w:rPr>
        <w:t>[…] resulta razonable concluir, en esta oportunidad, que en virtud del deber de información prescrito en el literal c) del artículo 3 o de la Ley 1150 de 2007 los sujetos obligados bajo tal norma [todos los que realizan contratación con dineros públicos] deben suministrar información sobre su contratación en términos veraces, auténticos y completos en el sistema electrónico SECOP, lo que incluye, entonces, todo acto que sea expresión de ejercicio o despliegue de actividad contractual.</w:t>
      </w:r>
    </w:p>
    <w:p w14:paraId="3EFFD64B" w14:textId="77777777" w:rsidR="001A2559" w:rsidRPr="003D688F" w:rsidRDefault="001A2559" w:rsidP="001A2559">
      <w:pPr>
        <w:tabs>
          <w:tab w:val="left" w:pos="3885"/>
        </w:tabs>
        <w:ind w:left="709" w:right="709"/>
        <w:jc w:val="both"/>
        <w:rPr>
          <w:rFonts w:ascii="Arial" w:hAnsi="Arial" w:cs="Arial"/>
          <w:color w:val="000000" w:themeColor="text1"/>
          <w:sz w:val="21"/>
          <w:szCs w:val="21"/>
          <w:lang w:val="es-ES"/>
        </w:rPr>
      </w:pPr>
    </w:p>
    <w:p w14:paraId="77CCE2B8" w14:textId="77777777" w:rsidR="001A2559" w:rsidRPr="003D688F" w:rsidRDefault="001A2559" w:rsidP="001A2559">
      <w:pPr>
        <w:tabs>
          <w:tab w:val="left" w:pos="3885"/>
        </w:tabs>
        <w:ind w:left="709" w:right="709"/>
        <w:jc w:val="both"/>
        <w:rPr>
          <w:rFonts w:ascii="Arial" w:hAnsi="Arial" w:cs="Arial"/>
          <w:color w:val="000000" w:themeColor="text1"/>
          <w:sz w:val="21"/>
          <w:szCs w:val="21"/>
          <w:lang w:val="es-ES"/>
        </w:rPr>
      </w:pPr>
      <w:r w:rsidRPr="003D688F">
        <w:rPr>
          <w:rFonts w:ascii="Arial" w:hAnsi="Arial" w:cs="Arial"/>
          <w:color w:val="000000" w:themeColor="text1"/>
          <w:sz w:val="21"/>
          <w:szCs w:val="21"/>
          <w:lang w:val="es-ES"/>
        </w:rPr>
        <w:t>11.5. ─Y es que, si se quiere en términos más detallados el literal c) del artículo 3o de la Ley en comento responde claramente las siguientes inquietudes: ¿Quiénes están obligados? los que realizan contratación con dineros públicos; ¿</w:t>
      </w:r>
      <w:proofErr w:type="gramStart"/>
      <w:r w:rsidRPr="003D688F">
        <w:rPr>
          <w:rFonts w:ascii="Arial" w:hAnsi="Arial" w:cs="Arial"/>
          <w:color w:val="000000" w:themeColor="text1"/>
          <w:sz w:val="21"/>
          <w:szCs w:val="21"/>
          <w:lang w:val="es-ES"/>
        </w:rPr>
        <w:t>en razón de</w:t>
      </w:r>
      <w:proofErr w:type="gramEnd"/>
      <w:r w:rsidRPr="003D688F">
        <w:rPr>
          <w:rFonts w:ascii="Arial" w:hAnsi="Arial" w:cs="Arial"/>
          <w:color w:val="000000" w:themeColor="text1"/>
          <w:sz w:val="21"/>
          <w:szCs w:val="21"/>
          <w:lang w:val="es-ES"/>
        </w:rPr>
        <w:t xml:space="preserve"> qué están obligados? En razón al manejo de tales recursos públicos y no por razón diferente; ¿Cuál es el límite o la extensión de ese deber? Única y exclusivamente comprende la información relativa a lo que sea objeto de contratación con recursos públicos, se excluyen de allí la que se realice con otras fuentes. ¿Dónde se debe surtir ese deber de información? Por conducto del sistema electrónico SECOP.</w:t>
      </w:r>
    </w:p>
    <w:p w14:paraId="0A22A721" w14:textId="77777777" w:rsidR="001A2559" w:rsidRPr="003D688F" w:rsidRDefault="001A2559" w:rsidP="001A2559">
      <w:pPr>
        <w:tabs>
          <w:tab w:val="left" w:pos="3885"/>
        </w:tabs>
        <w:ind w:left="709" w:right="709"/>
        <w:jc w:val="both"/>
        <w:rPr>
          <w:rFonts w:ascii="Arial" w:hAnsi="Arial" w:cs="Arial"/>
          <w:color w:val="000000" w:themeColor="text1"/>
          <w:sz w:val="21"/>
          <w:szCs w:val="21"/>
          <w:lang w:val="es-ES"/>
        </w:rPr>
      </w:pPr>
      <w:r w:rsidRPr="003D688F">
        <w:rPr>
          <w:rFonts w:ascii="Arial" w:hAnsi="Arial" w:cs="Arial"/>
          <w:color w:val="000000" w:themeColor="text1"/>
          <w:sz w:val="21"/>
          <w:szCs w:val="21"/>
          <w:lang w:val="es-ES"/>
        </w:rPr>
        <w:t>[…]</w:t>
      </w:r>
    </w:p>
    <w:p w14:paraId="6E72613F" w14:textId="77777777" w:rsidR="001A2559" w:rsidRPr="003D688F" w:rsidRDefault="001A2559" w:rsidP="001A2559">
      <w:pPr>
        <w:tabs>
          <w:tab w:val="left" w:pos="3885"/>
        </w:tabs>
        <w:ind w:left="709" w:right="709"/>
        <w:jc w:val="both"/>
        <w:rPr>
          <w:rFonts w:ascii="Arial" w:hAnsi="Arial" w:cs="Arial"/>
          <w:color w:val="000000" w:themeColor="text1"/>
          <w:sz w:val="21"/>
          <w:szCs w:val="21"/>
          <w:lang w:val="es-ES"/>
        </w:rPr>
      </w:pPr>
    </w:p>
    <w:p w14:paraId="350999EF" w14:textId="77777777" w:rsidR="001A2559" w:rsidRPr="003D688F" w:rsidRDefault="001A2559" w:rsidP="001A2559">
      <w:pPr>
        <w:tabs>
          <w:tab w:val="left" w:pos="3885"/>
        </w:tabs>
        <w:ind w:left="709" w:right="709"/>
        <w:jc w:val="both"/>
        <w:rPr>
          <w:rFonts w:ascii="Arial" w:hAnsi="Arial" w:cs="Arial"/>
          <w:color w:val="000000" w:themeColor="text1"/>
          <w:sz w:val="21"/>
          <w:szCs w:val="21"/>
          <w:lang w:val="es-ES"/>
        </w:rPr>
      </w:pPr>
      <w:r w:rsidRPr="003D688F">
        <w:rPr>
          <w:rFonts w:ascii="Arial" w:hAnsi="Arial" w:cs="Arial"/>
          <w:color w:val="000000" w:themeColor="text1"/>
          <w:sz w:val="21"/>
          <w:szCs w:val="21"/>
          <w:lang w:val="es-ES"/>
        </w:rPr>
        <w:lastRenderedPageBreak/>
        <w:t>Así, lo que resulta también razonable afirmar es que el aludido deber de informar ya se encontraba bien dispuesto y definido desde el precepto legal de 2007, pues del texto del inciso de marras se sabe qué, quién y cómo se debe satisfacer ese deber y no surgió, como parece anotarlo la Fundación, con la expedición de la Circular Externa contra la cual se promueve este juicio contencioso de legalidad. Y, agrega este Despacho, este deber vino a ser reiterado [no creado] en la Ley 1712 de 2014</w:t>
      </w:r>
      <w:r w:rsidRPr="003D688F">
        <w:rPr>
          <w:rStyle w:val="Refdenotaalpie"/>
          <w:rFonts w:ascii="Arial" w:hAnsi="Arial" w:cs="Arial"/>
          <w:color w:val="000000" w:themeColor="text1"/>
          <w:sz w:val="21"/>
          <w:szCs w:val="21"/>
        </w:rPr>
        <w:footnoteReference w:id="8"/>
      </w:r>
      <w:r w:rsidRPr="003D688F">
        <w:rPr>
          <w:rStyle w:val="Refdenotaalpie"/>
          <w:rFonts w:ascii="Arial" w:hAnsi="Arial" w:cs="Arial"/>
          <w:color w:val="000000" w:themeColor="text1"/>
          <w:sz w:val="21"/>
          <w:szCs w:val="21"/>
        </w:rPr>
        <w:t>.</w:t>
      </w:r>
    </w:p>
    <w:p w14:paraId="4C633CF7" w14:textId="77777777" w:rsidR="001A2559" w:rsidRPr="003D688F" w:rsidRDefault="001A2559" w:rsidP="001A2559">
      <w:pPr>
        <w:tabs>
          <w:tab w:val="left" w:pos="3885"/>
        </w:tabs>
        <w:spacing w:line="276" w:lineRule="auto"/>
        <w:ind w:left="709" w:right="709"/>
        <w:jc w:val="both"/>
        <w:rPr>
          <w:rFonts w:ascii="Arial" w:eastAsia="Calibri" w:hAnsi="Arial" w:cs="Arial"/>
          <w:color w:val="000000" w:themeColor="text1"/>
          <w:sz w:val="22"/>
        </w:rPr>
      </w:pPr>
    </w:p>
    <w:p w14:paraId="1626B317" w14:textId="77777777" w:rsidR="001A2559" w:rsidRPr="003D688F" w:rsidRDefault="001A2559" w:rsidP="001A2559">
      <w:pPr>
        <w:spacing w:line="276" w:lineRule="auto"/>
        <w:ind w:firstLine="708"/>
        <w:jc w:val="both"/>
        <w:rPr>
          <w:rFonts w:ascii="Arial" w:hAnsi="Arial" w:cs="Arial"/>
          <w:color w:val="000000" w:themeColor="text1"/>
          <w:sz w:val="22"/>
          <w:lang w:val="es-ES"/>
        </w:rPr>
      </w:pPr>
      <w:r w:rsidRPr="003D688F">
        <w:rPr>
          <w:rFonts w:ascii="Arial" w:hAnsi="Arial" w:cs="Arial"/>
          <w:color w:val="000000" w:themeColor="text1"/>
          <w:sz w:val="22"/>
          <w:lang w:val="es-ES"/>
        </w:rPr>
        <w:t xml:space="preserve">Adicionalmente, el deber de hacer pública la información contractual oficial no se determina por la naturaleza de la entidad ejecutora ─pública o privada─, ni del régimen sustantivo contractual que aplique, sea de la Ley 80 de 1993 o de los regímenes exceptuados. En particular, sobre el deber de publicidad de estos, el Consejo de Estado sostuvo: </w:t>
      </w:r>
    </w:p>
    <w:p w14:paraId="65B12749" w14:textId="77777777" w:rsidR="001A2559" w:rsidRPr="003D688F" w:rsidRDefault="001A2559" w:rsidP="001A2559">
      <w:pPr>
        <w:ind w:leftChars="709" w:left="1702" w:right="709" w:firstLine="2"/>
        <w:jc w:val="both"/>
        <w:rPr>
          <w:rFonts w:ascii="Arial" w:hAnsi="Arial" w:cs="Arial"/>
          <w:color w:val="000000" w:themeColor="text1"/>
          <w:sz w:val="21"/>
          <w:szCs w:val="21"/>
          <w:lang w:val="es-ES"/>
        </w:rPr>
      </w:pPr>
    </w:p>
    <w:p w14:paraId="583D029F" w14:textId="77777777" w:rsidR="001A2559" w:rsidRPr="003D688F" w:rsidRDefault="001A2559" w:rsidP="001A2559">
      <w:pPr>
        <w:ind w:leftChars="295" w:left="708" w:right="709"/>
        <w:jc w:val="both"/>
        <w:rPr>
          <w:rFonts w:ascii="Arial" w:hAnsi="Arial" w:cs="Arial"/>
          <w:color w:val="000000" w:themeColor="text1"/>
          <w:sz w:val="21"/>
          <w:szCs w:val="21"/>
          <w:lang w:val="es-ES"/>
        </w:rPr>
      </w:pPr>
      <w:r w:rsidRPr="003D688F">
        <w:rPr>
          <w:rFonts w:ascii="Arial" w:hAnsi="Arial" w:cs="Arial"/>
          <w:color w:val="000000" w:themeColor="text1"/>
          <w:sz w:val="21"/>
          <w:szCs w:val="21"/>
          <w:lang w:val="es-ES"/>
        </w:rPr>
        <w:t>Por consiguiente, otra conclusión natural de lo que se viene de decir es que la exigibilidad prevista en el literal c) del artículo 3° de la Ley 1150 de 2007 y aquella reflejada en la Circular Externa sobre deber de informar no alteran ni trastocan el régimen jurídico contractual, por la potísima razón que lo único que impone o carga a cuenta de los sujetos obligados es hacer público, publicitar, reportar, informar ciertos asuntos específicos: la completa actividad contractual que hayan ejecutado con cargo a tales recursos públicos, de donde se desprende que no se estructura ese deber informativo en relación a los negocios que celebren con cargo a recursos de otra índole.</w:t>
      </w:r>
    </w:p>
    <w:p w14:paraId="379A6534" w14:textId="77777777" w:rsidR="001A2559" w:rsidRPr="003D688F" w:rsidRDefault="001A2559" w:rsidP="001A2559">
      <w:pPr>
        <w:spacing w:line="276" w:lineRule="auto"/>
        <w:ind w:leftChars="709" w:left="1702" w:right="709"/>
        <w:jc w:val="both"/>
        <w:rPr>
          <w:rFonts w:ascii="Arial" w:hAnsi="Arial" w:cs="Arial"/>
          <w:color w:val="000000" w:themeColor="text1"/>
          <w:sz w:val="21"/>
          <w:szCs w:val="21"/>
          <w:lang w:val="es-ES"/>
        </w:rPr>
      </w:pPr>
    </w:p>
    <w:p w14:paraId="392954C2" w14:textId="77777777" w:rsidR="001A2559" w:rsidRPr="003D688F" w:rsidRDefault="001A2559" w:rsidP="001A2559">
      <w:pPr>
        <w:spacing w:line="276" w:lineRule="auto"/>
        <w:ind w:firstLine="708"/>
        <w:jc w:val="both"/>
        <w:rPr>
          <w:rFonts w:ascii="Arial" w:hAnsi="Arial" w:cs="Arial"/>
          <w:color w:val="000000" w:themeColor="text1"/>
          <w:sz w:val="22"/>
          <w:lang w:val="es-ES"/>
        </w:rPr>
      </w:pPr>
      <w:r w:rsidRPr="003D688F">
        <w:rPr>
          <w:rFonts w:ascii="Arial" w:hAnsi="Arial" w:cs="Arial"/>
          <w:color w:val="000000" w:themeColor="text1"/>
          <w:sz w:val="22"/>
          <w:lang w:val="es-ES"/>
        </w:rPr>
        <w:t xml:space="preserve">Nótese, entonces, que el Consejo de Estado asumió como criterio para determinar la obligatoriedad de publicar en el SECOP que la contratación se haga con recursos públicos, conclusión que extrajo del literal c) del artículo 3 de la Ley 1150 de 2007. Así pues, a partir de la anterior decisión, la obligación de publicar en el SECOP, por parte de las entidades con régimen especial, adquirió un elemento normativo adicional a las Leyes 1150 de 2007, 1712 de 2014 y la Circular Externa Única: un pronunciamiento del Consejo de Estado. </w:t>
      </w:r>
    </w:p>
    <w:p w14:paraId="01A55A4A" w14:textId="77777777" w:rsidR="001A2559" w:rsidRPr="003D688F" w:rsidRDefault="001A2559" w:rsidP="001A2559">
      <w:pPr>
        <w:spacing w:line="276" w:lineRule="auto"/>
        <w:jc w:val="both"/>
        <w:rPr>
          <w:rFonts w:ascii="Arial" w:hAnsi="Arial" w:cs="Arial"/>
          <w:color w:val="000000" w:themeColor="text1"/>
          <w:sz w:val="22"/>
          <w:lang w:val="es-ES"/>
        </w:rPr>
      </w:pPr>
    </w:p>
    <w:p w14:paraId="3F858B1F" w14:textId="77777777" w:rsidR="001A2559" w:rsidRPr="003D688F" w:rsidRDefault="001A2559" w:rsidP="001A2559">
      <w:pPr>
        <w:tabs>
          <w:tab w:val="left" w:pos="284"/>
          <w:tab w:val="left" w:pos="426"/>
        </w:tabs>
        <w:spacing w:line="276" w:lineRule="auto"/>
        <w:jc w:val="both"/>
        <w:rPr>
          <w:rFonts w:ascii="Arial" w:hAnsi="Arial" w:cs="Arial"/>
          <w:b/>
          <w:color w:val="000000" w:themeColor="text1"/>
          <w:sz w:val="22"/>
          <w:lang w:val="es-ES"/>
        </w:rPr>
      </w:pPr>
      <w:r w:rsidRPr="003D688F">
        <w:rPr>
          <w:rFonts w:ascii="Arial" w:hAnsi="Arial" w:cs="Arial"/>
          <w:b/>
          <w:color w:val="000000" w:themeColor="text1"/>
          <w:sz w:val="22"/>
          <w:lang w:val="es-ES"/>
        </w:rPr>
        <w:t xml:space="preserve">2.2. Precedentes de Colombia Compra Eficiente sobre los documentos que deben publicar en el SECOP las entidades de régimen especial </w:t>
      </w:r>
    </w:p>
    <w:p w14:paraId="0136ED9F" w14:textId="77777777" w:rsidR="001A2559" w:rsidRPr="003D688F" w:rsidRDefault="001A2559" w:rsidP="001A2559">
      <w:pPr>
        <w:pStyle w:val="Prrafodelista"/>
        <w:spacing w:line="276" w:lineRule="auto"/>
        <w:ind w:left="0"/>
        <w:jc w:val="both"/>
        <w:rPr>
          <w:rFonts w:ascii="Arial" w:hAnsi="Arial" w:cs="Arial"/>
          <w:b/>
          <w:color w:val="000000" w:themeColor="text1"/>
          <w:sz w:val="22"/>
          <w:lang w:val="es-ES"/>
        </w:rPr>
      </w:pPr>
    </w:p>
    <w:p w14:paraId="3346A509" w14:textId="77777777" w:rsidR="001A2559" w:rsidRPr="003D688F" w:rsidRDefault="001A2559" w:rsidP="001A2559">
      <w:pPr>
        <w:pStyle w:val="Prrafodelista"/>
        <w:spacing w:line="276" w:lineRule="auto"/>
        <w:ind w:left="0"/>
        <w:jc w:val="both"/>
        <w:rPr>
          <w:rFonts w:ascii="Arial" w:eastAsia="Calibri" w:hAnsi="Arial" w:cs="Arial"/>
          <w:color w:val="000000" w:themeColor="text1"/>
          <w:sz w:val="22"/>
          <w:lang w:val="es-ES"/>
        </w:rPr>
      </w:pPr>
      <w:r w:rsidRPr="003D688F">
        <w:rPr>
          <w:rFonts w:ascii="Arial" w:eastAsia="Calibri" w:hAnsi="Arial" w:cs="Arial"/>
          <w:color w:val="000000" w:themeColor="text1"/>
          <w:sz w:val="22"/>
          <w:lang w:val="es-ES"/>
        </w:rPr>
        <w:t xml:space="preserve">Determinada la obligación que tienen las entidades sujetas a un régimen especial de publicar su actividad contractual en el SECOP, a </w:t>
      </w:r>
      <w:proofErr w:type="gramStart"/>
      <w:r w:rsidRPr="003D688F">
        <w:rPr>
          <w:rFonts w:ascii="Arial" w:eastAsia="Calibri" w:hAnsi="Arial" w:cs="Arial"/>
          <w:color w:val="000000" w:themeColor="text1"/>
          <w:sz w:val="22"/>
          <w:lang w:val="es-ES"/>
        </w:rPr>
        <w:t>continuación</w:t>
      </w:r>
      <w:proofErr w:type="gramEnd"/>
      <w:r w:rsidRPr="003D688F">
        <w:rPr>
          <w:rFonts w:ascii="Arial" w:eastAsia="Calibri" w:hAnsi="Arial" w:cs="Arial"/>
          <w:color w:val="000000" w:themeColor="text1"/>
          <w:sz w:val="22"/>
          <w:lang w:val="es-ES"/>
        </w:rPr>
        <w:t xml:space="preserve"> se identificarán los documentos que deben publicar, n</w:t>
      </w:r>
      <w:r w:rsidRPr="003D688F">
        <w:rPr>
          <w:rFonts w:ascii="Arial" w:hAnsi="Arial" w:cs="Arial"/>
          <w:bCs/>
          <w:color w:val="000000" w:themeColor="text1"/>
          <w:sz w:val="22"/>
          <w:lang w:val="es-ES"/>
        </w:rPr>
        <w:t>o sin antes explicar la posición que la Agencia Nacional de Contratación Pública ─ Colombia Compra Eficiente ha adoptado desde el 2016 hasta el 2019.</w:t>
      </w:r>
    </w:p>
    <w:p w14:paraId="38360D8F" w14:textId="77777777" w:rsidR="001A2559" w:rsidRPr="003D688F" w:rsidRDefault="001A2559" w:rsidP="001A2559">
      <w:pPr>
        <w:spacing w:before="120" w:after="120" w:line="276" w:lineRule="auto"/>
        <w:ind w:firstLine="709"/>
        <w:jc w:val="both"/>
        <w:rPr>
          <w:rFonts w:ascii="Arial" w:hAnsi="Arial" w:cs="Arial"/>
          <w:bCs/>
          <w:color w:val="000000" w:themeColor="text1"/>
          <w:sz w:val="22"/>
          <w:lang w:val="es-ES"/>
        </w:rPr>
      </w:pPr>
      <w:r w:rsidRPr="003D688F">
        <w:rPr>
          <w:rFonts w:ascii="Arial" w:hAnsi="Arial" w:cs="Arial"/>
          <w:bCs/>
          <w:color w:val="000000" w:themeColor="text1"/>
          <w:sz w:val="22"/>
          <w:lang w:val="es-ES"/>
        </w:rPr>
        <w:lastRenderedPageBreak/>
        <w:t>En la consulta identificada con el Radicado No. 41612000877 del 15 de febrero de 2016, señaló que las empresas industriales y comerciales del Estado, las empresas de servicios públicos domiciliarios y las sociedades de economía mixta, todas sometidas a un régimen especial de contratación, debían publicar en el SECOP todos los documentos del proceso que define el Decreto 1082 de 2015, así como lo relativo a la ejecución del contrato. Lo anterior se fundamentó en el literal c) del artículo 3 de la Ley 1150 de 2007</w:t>
      </w:r>
      <w:r w:rsidRPr="003D688F">
        <w:rPr>
          <w:rStyle w:val="Refdenotaalpie"/>
          <w:rFonts w:ascii="Arial" w:hAnsi="Arial" w:cs="Arial"/>
          <w:bCs/>
          <w:color w:val="000000" w:themeColor="text1"/>
          <w:sz w:val="22"/>
          <w:lang w:val="es-ES"/>
        </w:rPr>
        <w:footnoteReference w:id="9"/>
      </w:r>
      <w:r w:rsidRPr="003D688F">
        <w:rPr>
          <w:rFonts w:ascii="Arial" w:hAnsi="Arial" w:cs="Arial"/>
          <w:bCs/>
          <w:color w:val="000000" w:themeColor="text1"/>
          <w:sz w:val="22"/>
          <w:lang w:val="es-ES"/>
        </w:rPr>
        <w:t>.</w:t>
      </w:r>
    </w:p>
    <w:p w14:paraId="0CB2EA47" w14:textId="77777777" w:rsidR="001A2559" w:rsidRPr="003D688F" w:rsidRDefault="001A2559" w:rsidP="001A2559">
      <w:pPr>
        <w:pStyle w:val="Prrafodelista"/>
        <w:spacing w:before="120" w:after="120" w:line="276" w:lineRule="auto"/>
        <w:ind w:left="0" w:firstLine="709"/>
        <w:jc w:val="both"/>
        <w:rPr>
          <w:rFonts w:ascii="Arial" w:eastAsia="Calibri" w:hAnsi="Arial" w:cs="Arial"/>
          <w:color w:val="000000" w:themeColor="text1"/>
          <w:sz w:val="22"/>
          <w:lang w:val="es-ES"/>
        </w:rPr>
      </w:pPr>
      <w:r w:rsidRPr="003D688F">
        <w:rPr>
          <w:rFonts w:ascii="Arial" w:hAnsi="Arial" w:cs="Arial"/>
          <w:color w:val="000000" w:themeColor="text1"/>
          <w:sz w:val="22"/>
          <w:lang w:val="es-ES"/>
        </w:rPr>
        <w:t xml:space="preserve">En este sentido, la Agencia Nacional de Contratación Pública, en virtud del literal c) del artículo 3 de la Ley 1150 de 2007, reconoció la obligatoriedad, por parte de las entidades de régimen especial, de publicar su actividad contractual en el SECOP. Ahora, con fundamento en el artículo 2.2.1.1.1.3.1 del Decreto 1082 de 2015, normativa que aplica a las entidades que se rigen por la Ley 80 de 1993, se enunciaron los </w:t>
      </w:r>
      <w:r w:rsidRPr="003D688F">
        <w:rPr>
          <w:rFonts w:ascii="Arial" w:eastAsia="Calibri" w:hAnsi="Arial" w:cs="Arial"/>
          <w:color w:val="000000" w:themeColor="text1"/>
          <w:sz w:val="22"/>
          <w:lang w:val="es-ES"/>
        </w:rPr>
        <w:t xml:space="preserve">documentos del proceso que se debían publicar. </w:t>
      </w:r>
    </w:p>
    <w:p w14:paraId="46D24DF4" w14:textId="77777777" w:rsidR="001A2559" w:rsidRPr="003D688F" w:rsidRDefault="001A2559" w:rsidP="001A2559">
      <w:pPr>
        <w:spacing w:before="120" w:after="120" w:line="276" w:lineRule="auto"/>
        <w:ind w:firstLine="709"/>
        <w:jc w:val="both"/>
        <w:rPr>
          <w:rFonts w:ascii="Arial" w:eastAsia="Calibri" w:hAnsi="Arial" w:cs="Arial"/>
          <w:color w:val="000000" w:themeColor="text1"/>
          <w:sz w:val="22"/>
          <w:lang w:val="es-ES"/>
        </w:rPr>
      </w:pPr>
      <w:r w:rsidRPr="003D688F">
        <w:rPr>
          <w:rFonts w:ascii="Arial" w:eastAsia="Calibri" w:hAnsi="Arial" w:cs="Arial"/>
          <w:color w:val="000000" w:themeColor="text1"/>
          <w:sz w:val="22"/>
          <w:lang w:val="es-ES"/>
        </w:rPr>
        <w:t xml:space="preserve">Posteriormente, en el año 2018, cambió el fundamento normativo que define los </w:t>
      </w:r>
      <w:r w:rsidRPr="003D688F">
        <w:rPr>
          <w:rFonts w:ascii="Arial" w:hAnsi="Arial" w:cs="Arial"/>
          <w:color w:val="000000" w:themeColor="text1"/>
          <w:sz w:val="22"/>
          <w:lang w:val="es-ES"/>
        </w:rPr>
        <w:t>documentos</w:t>
      </w:r>
      <w:r w:rsidRPr="003D688F">
        <w:rPr>
          <w:rFonts w:ascii="Arial" w:eastAsia="Calibri" w:hAnsi="Arial" w:cs="Arial"/>
          <w:color w:val="000000" w:themeColor="text1"/>
          <w:sz w:val="22"/>
          <w:lang w:val="es-ES"/>
        </w:rPr>
        <w:t xml:space="preserve"> que las entidades de régimen especial debían publicar en el SECOP. En el concepto con radicado No. 4201814000008329 del 8 de octubre de 2018 se dijo que en virtud del artículo 11 de la Ley 1712 de 2014, los destinatarios de las normas contenidas en la ley de transparencia deben publicar los procedimientos, lineamientos, políticas en materia de adquisiciones y compras, así como todos los datos de adjudicación y ejecución de contratos, incluidos concursos y licitaciones. Por lo tanto, los documentos que se deben publicar serán los previstos en el manual de contratación de cada entidad de régimen especial para la adquisición de un bien o servicio, y no los que define el artículo 2.2.1.1.1.3.1 del Decreto 1082 de 2015</w:t>
      </w:r>
      <w:r w:rsidRPr="003D688F">
        <w:rPr>
          <w:rStyle w:val="Refdenotaalpie"/>
          <w:rFonts w:ascii="Arial" w:eastAsia="Calibri" w:hAnsi="Arial" w:cs="Arial"/>
          <w:color w:val="000000" w:themeColor="text1"/>
          <w:sz w:val="22"/>
          <w:lang w:val="es-ES"/>
        </w:rPr>
        <w:footnoteReference w:id="10"/>
      </w:r>
      <w:r w:rsidRPr="003D688F">
        <w:rPr>
          <w:rFonts w:ascii="Arial" w:eastAsia="Calibri" w:hAnsi="Arial" w:cs="Arial"/>
          <w:color w:val="000000" w:themeColor="text1"/>
          <w:sz w:val="22"/>
          <w:lang w:val="es-ES"/>
        </w:rPr>
        <w:t xml:space="preserve">. </w:t>
      </w:r>
    </w:p>
    <w:p w14:paraId="0D057145" w14:textId="1B01BE99" w:rsidR="001A2559" w:rsidRPr="003D688F" w:rsidRDefault="001A2559" w:rsidP="001A2559">
      <w:pPr>
        <w:spacing w:before="120" w:after="120" w:line="276" w:lineRule="auto"/>
        <w:ind w:firstLine="709"/>
        <w:jc w:val="both"/>
        <w:rPr>
          <w:rFonts w:ascii="Arial" w:eastAsia="Calibri" w:hAnsi="Arial" w:cs="Arial"/>
          <w:color w:val="000000" w:themeColor="text1"/>
          <w:sz w:val="22"/>
          <w:lang w:val="es-ES"/>
        </w:rPr>
      </w:pPr>
      <w:r w:rsidRPr="003D688F">
        <w:rPr>
          <w:rFonts w:ascii="Arial" w:eastAsia="Calibri" w:hAnsi="Arial" w:cs="Arial"/>
          <w:color w:val="000000" w:themeColor="text1"/>
          <w:sz w:val="22"/>
          <w:lang w:val="es-ES"/>
        </w:rPr>
        <w:lastRenderedPageBreak/>
        <w:t>Conforme a lo anterior, en un primer momento la Agencia Nacional de Contratación Pública definió los documentos del proceso que las entidades de régimen especial debían publicar en el SECOP, con fundamento en el artículo 2.2.1.1.1.3.1 del Decreto 1082 de 2015; en un segundo momento se identificaron los documentos en virtud del literal g), del artículo 11 de la Ley 1712 de 2014 y lo previsto en el Decreto 10</w:t>
      </w:r>
      <w:r w:rsidR="009222B7" w:rsidRPr="003D688F">
        <w:rPr>
          <w:rFonts w:ascii="Arial" w:eastAsia="Calibri" w:hAnsi="Arial" w:cs="Arial"/>
          <w:color w:val="000000" w:themeColor="text1"/>
          <w:sz w:val="22"/>
          <w:lang w:val="es-ES"/>
        </w:rPr>
        <w:t>81</w:t>
      </w:r>
      <w:r w:rsidRPr="003D688F">
        <w:rPr>
          <w:rFonts w:ascii="Arial" w:eastAsia="Calibri" w:hAnsi="Arial" w:cs="Arial"/>
          <w:color w:val="000000" w:themeColor="text1"/>
          <w:sz w:val="22"/>
          <w:lang w:val="es-ES"/>
        </w:rPr>
        <w:t xml:space="preserve"> de 2015. Esta posición es la que se acogerá y desarrollará en esta consulta. </w:t>
      </w:r>
    </w:p>
    <w:p w14:paraId="24D71F90" w14:textId="77777777" w:rsidR="001A2559" w:rsidRPr="003D688F" w:rsidRDefault="001A2559" w:rsidP="001A2559">
      <w:pPr>
        <w:spacing w:before="120" w:after="120" w:line="276" w:lineRule="auto"/>
        <w:ind w:firstLine="709"/>
        <w:jc w:val="both"/>
        <w:rPr>
          <w:rFonts w:ascii="Arial" w:eastAsia="Calibri" w:hAnsi="Arial" w:cs="Arial"/>
          <w:color w:val="000000" w:themeColor="text1"/>
          <w:sz w:val="22"/>
        </w:rPr>
      </w:pPr>
      <w:r w:rsidRPr="003D688F">
        <w:rPr>
          <w:rFonts w:ascii="Arial" w:eastAsia="Calibri" w:hAnsi="Arial" w:cs="Arial"/>
          <w:color w:val="000000" w:themeColor="text1"/>
          <w:sz w:val="22"/>
        </w:rPr>
        <w:t xml:space="preserve">En efecto, la Ley 1712 de 2014, normativa que creó la Ley de Transparencia y del Derecho de Acceso a la Información Pública, señala en el literal g), artículo 11, que todo sujeto obligado debe publicar sus procedimientos, lineamientos, políticas en materia de adquisiciones y </w:t>
      </w:r>
      <w:r w:rsidRPr="003D688F">
        <w:rPr>
          <w:rFonts w:ascii="Arial" w:eastAsia="Calibri" w:hAnsi="Arial" w:cs="Arial"/>
          <w:color w:val="000000" w:themeColor="text1"/>
          <w:sz w:val="22"/>
          <w:lang w:val="es-ES"/>
        </w:rPr>
        <w:t>compras</w:t>
      </w:r>
      <w:r w:rsidRPr="003D688F">
        <w:rPr>
          <w:rFonts w:ascii="Arial" w:eastAsia="Calibri" w:hAnsi="Arial" w:cs="Arial"/>
          <w:color w:val="000000" w:themeColor="text1"/>
          <w:sz w:val="22"/>
        </w:rPr>
        <w:t xml:space="preserve">, así como todos los datos de adjudicación y ejecución de sus contratos. Lo anterior implica que se deberá publicar cada procedimiento para la adquisición de un producto o servicio, incluidos los datos de adjudicación y ejecución del contrato. </w:t>
      </w:r>
    </w:p>
    <w:p w14:paraId="6BE29354" w14:textId="0B77645B" w:rsidR="001A2559" w:rsidRPr="003D688F" w:rsidRDefault="001A2559" w:rsidP="009222B7">
      <w:pPr>
        <w:spacing w:before="120" w:after="120" w:line="276" w:lineRule="auto"/>
        <w:ind w:firstLine="709"/>
        <w:jc w:val="both"/>
        <w:rPr>
          <w:rFonts w:ascii="Arial" w:eastAsia="Calibri" w:hAnsi="Arial" w:cs="Arial"/>
          <w:color w:val="000000" w:themeColor="text1"/>
          <w:sz w:val="22"/>
        </w:rPr>
      </w:pPr>
      <w:r w:rsidRPr="003D688F">
        <w:rPr>
          <w:rFonts w:ascii="Arial" w:eastAsia="Calibri" w:hAnsi="Arial" w:cs="Arial"/>
          <w:color w:val="000000" w:themeColor="text1"/>
          <w:sz w:val="22"/>
        </w:rPr>
        <w:t xml:space="preserve">Luego, el Decreto </w:t>
      </w:r>
      <w:r w:rsidR="009222B7" w:rsidRPr="003D688F">
        <w:rPr>
          <w:rFonts w:ascii="Arial" w:eastAsia="Calibri" w:hAnsi="Arial" w:cs="Arial"/>
          <w:color w:val="000000" w:themeColor="text1"/>
          <w:sz w:val="22"/>
        </w:rPr>
        <w:t>1081 de 2015</w:t>
      </w:r>
      <w:r w:rsidRPr="003D688F">
        <w:rPr>
          <w:rFonts w:ascii="Arial" w:eastAsia="Calibri" w:hAnsi="Arial" w:cs="Arial"/>
          <w:color w:val="000000" w:themeColor="text1"/>
          <w:sz w:val="22"/>
        </w:rPr>
        <w:t>, «</w:t>
      </w:r>
      <w:r w:rsidR="009222B7" w:rsidRPr="003D688F">
        <w:rPr>
          <w:rFonts w:ascii="Arial" w:eastAsia="Calibri" w:hAnsi="Arial" w:cs="Arial"/>
          <w:color w:val="000000" w:themeColor="text1"/>
          <w:sz w:val="22"/>
        </w:rPr>
        <w:t>Por medio del cual se expide el Decreto Reglamentario Único del Sector Presidencia de la República</w:t>
      </w:r>
      <w:r w:rsidRPr="003D688F">
        <w:rPr>
          <w:rFonts w:ascii="Arial" w:eastAsia="Calibri" w:hAnsi="Arial" w:cs="Arial"/>
          <w:color w:val="000000" w:themeColor="text1"/>
          <w:sz w:val="22"/>
        </w:rPr>
        <w:t>»,</w:t>
      </w:r>
      <w:r w:rsidR="009222B7" w:rsidRPr="003D688F">
        <w:rPr>
          <w:rFonts w:ascii="Arial" w:eastAsia="Calibri" w:hAnsi="Arial" w:cs="Arial"/>
          <w:color w:val="000000" w:themeColor="text1"/>
          <w:sz w:val="22"/>
        </w:rPr>
        <w:t xml:space="preserve"> y en el cual quedó compilado el Decreto 103 de 2015, reglamentario de la Ley 1712 de 2014,</w:t>
      </w:r>
      <w:r w:rsidRPr="003D688F">
        <w:rPr>
          <w:rFonts w:ascii="Arial" w:eastAsia="Calibri" w:hAnsi="Arial" w:cs="Arial"/>
          <w:color w:val="000000" w:themeColor="text1"/>
          <w:sz w:val="22"/>
        </w:rPr>
        <w:t xml:space="preserve"> en el artículo </w:t>
      </w:r>
      <w:r w:rsidR="009222B7" w:rsidRPr="003D688F">
        <w:rPr>
          <w:rFonts w:ascii="Arial" w:eastAsia="Calibri" w:hAnsi="Arial" w:cs="Arial"/>
          <w:color w:val="000000" w:themeColor="text1"/>
          <w:sz w:val="22"/>
        </w:rPr>
        <w:t>2.1.1.2.1.8</w:t>
      </w:r>
      <w:r w:rsidRPr="003D688F">
        <w:rPr>
          <w:rFonts w:ascii="Arial" w:eastAsia="Calibri" w:hAnsi="Arial" w:cs="Arial"/>
          <w:color w:val="000000" w:themeColor="text1"/>
          <w:sz w:val="22"/>
        </w:rPr>
        <w:t>, señala, de forma enunciativa, que se debe publicar la información relativa a la ejecución del contrato, como las aprobaciones, autorizaciones, requerimientos o informes del supervisor o interventor, que aprueben la ejecución del contrato</w:t>
      </w:r>
      <w:r w:rsidRPr="003D688F">
        <w:rPr>
          <w:rStyle w:val="Refdenotaalpie"/>
          <w:rFonts w:ascii="Arial" w:eastAsia="Calibri" w:hAnsi="Arial" w:cs="Arial"/>
          <w:color w:val="000000" w:themeColor="text1"/>
          <w:sz w:val="22"/>
        </w:rPr>
        <w:footnoteReference w:id="11"/>
      </w:r>
      <w:r w:rsidRPr="003D688F">
        <w:rPr>
          <w:rFonts w:ascii="Arial" w:eastAsia="Calibri" w:hAnsi="Arial" w:cs="Arial"/>
          <w:color w:val="000000" w:themeColor="text1"/>
          <w:sz w:val="22"/>
        </w:rPr>
        <w:t xml:space="preserve">. Por su parte, el artículo </w:t>
      </w:r>
      <w:r w:rsidR="009222B7" w:rsidRPr="003D688F">
        <w:rPr>
          <w:rFonts w:ascii="Arial" w:eastAsia="Calibri" w:hAnsi="Arial" w:cs="Arial"/>
          <w:color w:val="000000" w:themeColor="text1"/>
          <w:sz w:val="22"/>
        </w:rPr>
        <w:t>2.1.1.2.1.9</w:t>
      </w:r>
      <w:r w:rsidRPr="003D688F">
        <w:rPr>
          <w:rFonts w:ascii="Arial" w:eastAsia="Calibri" w:hAnsi="Arial" w:cs="Arial"/>
          <w:color w:val="000000" w:themeColor="text1"/>
          <w:sz w:val="22"/>
        </w:rPr>
        <w:t xml:space="preserve"> señala que las entidades deberán publicar los procedimientos, lineamientos y políticas en materia de adquisición, que no son otros que los previstos en el manual de contratación, que se expidió de acuerdo con los lineamientos de la Agencia Nacional de Contratación Pública, el cual debe publicarse en el sitio web del sujeto obligado</w:t>
      </w:r>
      <w:r w:rsidRPr="003D688F">
        <w:rPr>
          <w:rStyle w:val="Refdenotaalpie"/>
          <w:rFonts w:ascii="Arial" w:eastAsia="Calibri" w:hAnsi="Arial" w:cs="Arial"/>
          <w:color w:val="000000" w:themeColor="text1"/>
          <w:sz w:val="22"/>
        </w:rPr>
        <w:footnoteReference w:id="12"/>
      </w:r>
      <w:r w:rsidRPr="003D688F">
        <w:rPr>
          <w:rFonts w:ascii="Arial" w:eastAsia="Calibri" w:hAnsi="Arial" w:cs="Arial"/>
          <w:color w:val="000000" w:themeColor="text1"/>
          <w:sz w:val="22"/>
        </w:rPr>
        <w:t xml:space="preserve">. Finalmente, el artículo </w:t>
      </w:r>
      <w:r w:rsidR="009222B7" w:rsidRPr="003D688F">
        <w:rPr>
          <w:rFonts w:ascii="Arial" w:eastAsia="Calibri" w:hAnsi="Arial" w:cs="Arial"/>
          <w:color w:val="000000" w:themeColor="text1"/>
          <w:sz w:val="22"/>
        </w:rPr>
        <w:t>2.1.1.2.1.10</w:t>
      </w:r>
      <w:r w:rsidRPr="003D688F">
        <w:rPr>
          <w:rFonts w:ascii="Arial" w:eastAsia="Calibri" w:hAnsi="Arial" w:cs="Arial"/>
          <w:color w:val="000000" w:themeColor="text1"/>
          <w:sz w:val="22"/>
        </w:rPr>
        <w:t xml:space="preserve"> establece la obligación que tienen las entidades de publicar en el SECOP el Plan Anual de Adquisiciones</w:t>
      </w:r>
      <w:r w:rsidRPr="003D688F">
        <w:rPr>
          <w:rStyle w:val="Refdenotaalpie"/>
          <w:rFonts w:ascii="Arial" w:eastAsia="Calibri" w:hAnsi="Arial" w:cs="Arial"/>
          <w:color w:val="000000" w:themeColor="text1"/>
          <w:sz w:val="22"/>
        </w:rPr>
        <w:footnoteReference w:id="13"/>
      </w:r>
      <w:r w:rsidRPr="003D688F">
        <w:rPr>
          <w:rFonts w:ascii="Arial" w:eastAsia="Calibri" w:hAnsi="Arial" w:cs="Arial"/>
          <w:color w:val="000000" w:themeColor="text1"/>
          <w:sz w:val="22"/>
        </w:rPr>
        <w:t xml:space="preserve">. </w:t>
      </w:r>
    </w:p>
    <w:p w14:paraId="6E3AEA4F" w14:textId="21EEA7AC" w:rsidR="001A2559" w:rsidRPr="003D688F" w:rsidRDefault="001A2559" w:rsidP="001A2559">
      <w:pPr>
        <w:spacing w:before="120" w:after="120" w:line="276" w:lineRule="auto"/>
        <w:ind w:firstLine="709"/>
        <w:jc w:val="both"/>
        <w:rPr>
          <w:rFonts w:ascii="Arial" w:eastAsia="Calibri" w:hAnsi="Arial" w:cs="Arial"/>
          <w:color w:val="000000" w:themeColor="text1"/>
          <w:sz w:val="22"/>
        </w:rPr>
      </w:pPr>
      <w:r w:rsidRPr="003D688F">
        <w:rPr>
          <w:rFonts w:ascii="Arial" w:eastAsia="Calibri" w:hAnsi="Arial" w:cs="Arial"/>
          <w:color w:val="000000" w:themeColor="text1"/>
          <w:sz w:val="22"/>
        </w:rPr>
        <w:lastRenderedPageBreak/>
        <w:t>De conformidad con lo anterior, el Decreto 10</w:t>
      </w:r>
      <w:r w:rsidR="009222B7" w:rsidRPr="003D688F">
        <w:rPr>
          <w:rFonts w:ascii="Arial" w:eastAsia="Calibri" w:hAnsi="Arial" w:cs="Arial"/>
          <w:color w:val="000000" w:themeColor="text1"/>
          <w:sz w:val="22"/>
        </w:rPr>
        <w:t>81</w:t>
      </w:r>
      <w:r w:rsidRPr="003D688F">
        <w:rPr>
          <w:rFonts w:ascii="Arial" w:eastAsia="Calibri" w:hAnsi="Arial" w:cs="Arial"/>
          <w:color w:val="000000" w:themeColor="text1"/>
          <w:sz w:val="22"/>
        </w:rPr>
        <w:t xml:space="preserve"> de 2015 señala que los documentos que deben publicar las entidades estatales, entre estas las empresas</w:t>
      </w:r>
      <w:r w:rsidR="00667FD6" w:rsidRPr="003D688F">
        <w:rPr>
          <w:rFonts w:ascii="Arial" w:eastAsia="Calibri" w:hAnsi="Arial" w:cs="Arial"/>
          <w:color w:val="000000" w:themeColor="text1"/>
          <w:sz w:val="22"/>
        </w:rPr>
        <w:t xml:space="preserve"> industriales y comerciales </w:t>
      </w:r>
      <w:r w:rsidRPr="003D688F">
        <w:rPr>
          <w:rFonts w:ascii="Arial" w:eastAsia="Calibri" w:hAnsi="Arial" w:cs="Arial"/>
          <w:color w:val="000000" w:themeColor="text1"/>
          <w:sz w:val="22"/>
        </w:rPr>
        <w:t xml:space="preserve">del Estado, independientemente de su régimen contractual aplicable, son: i) las autorizaciones, requerimientos, aprobaciones o informes del supervisor o del interventor, que prueben la ejecución del contrato, </w:t>
      </w:r>
      <w:proofErr w:type="spellStart"/>
      <w:r w:rsidRPr="003D688F">
        <w:rPr>
          <w:rFonts w:ascii="Arial" w:eastAsia="Calibri" w:hAnsi="Arial" w:cs="Arial"/>
          <w:color w:val="000000" w:themeColor="text1"/>
          <w:sz w:val="22"/>
        </w:rPr>
        <w:t>ii</w:t>
      </w:r>
      <w:proofErr w:type="spellEnd"/>
      <w:r w:rsidRPr="003D688F">
        <w:rPr>
          <w:rFonts w:ascii="Arial" w:eastAsia="Calibri" w:hAnsi="Arial" w:cs="Arial"/>
          <w:color w:val="000000" w:themeColor="text1"/>
          <w:sz w:val="22"/>
        </w:rPr>
        <w:t xml:space="preserve">) los procedimientos, lineamientos y políticas en materia de adquisición que corresponden a los  documentos que los conforman, previstos en el manual de contratación de la entidad, y finalmente, </w:t>
      </w:r>
      <w:proofErr w:type="spellStart"/>
      <w:r w:rsidRPr="003D688F">
        <w:rPr>
          <w:rFonts w:ascii="Arial" w:eastAsia="Calibri" w:hAnsi="Arial" w:cs="Arial"/>
          <w:color w:val="000000" w:themeColor="text1"/>
          <w:sz w:val="22"/>
        </w:rPr>
        <w:t>iii</w:t>
      </w:r>
      <w:proofErr w:type="spellEnd"/>
      <w:r w:rsidRPr="003D688F">
        <w:rPr>
          <w:rFonts w:ascii="Arial" w:eastAsia="Calibri" w:hAnsi="Arial" w:cs="Arial"/>
          <w:color w:val="000000" w:themeColor="text1"/>
          <w:sz w:val="22"/>
        </w:rPr>
        <w:t xml:space="preserve">) el plan anual de adquisiciones. </w:t>
      </w:r>
    </w:p>
    <w:p w14:paraId="653BCF02" w14:textId="77777777" w:rsidR="001A2559" w:rsidRPr="003D688F" w:rsidRDefault="001A2559" w:rsidP="001A2559">
      <w:pPr>
        <w:spacing w:before="120" w:after="120" w:line="276" w:lineRule="auto"/>
        <w:ind w:firstLine="709"/>
        <w:jc w:val="both"/>
        <w:rPr>
          <w:rFonts w:ascii="Arial" w:eastAsia="Calibri" w:hAnsi="Arial" w:cs="Arial"/>
          <w:color w:val="000000" w:themeColor="text1"/>
          <w:sz w:val="22"/>
        </w:rPr>
      </w:pPr>
      <w:r w:rsidRPr="003D688F">
        <w:rPr>
          <w:rFonts w:ascii="Arial" w:eastAsia="Calibri" w:hAnsi="Arial" w:cs="Arial"/>
          <w:color w:val="000000" w:themeColor="text1"/>
          <w:sz w:val="22"/>
        </w:rPr>
        <w:t xml:space="preserve">Frente al segundo grupo de documentos, debido a que estas entidades están sometidas al derecho privado, y por lo tanto no celebran sus procesos de contratación mediante las modalidades previstas en la Ley 80 de 1993, cada una definirá en su manual el procedimiento para contratar sus bienes y servicios. </w:t>
      </w:r>
    </w:p>
    <w:p w14:paraId="428178BC" w14:textId="7701A665" w:rsidR="001A2559" w:rsidRPr="003D688F" w:rsidRDefault="001A2559" w:rsidP="001A2559">
      <w:pPr>
        <w:pStyle w:val="Prrafodelista"/>
        <w:spacing w:before="120" w:after="120" w:line="276" w:lineRule="auto"/>
        <w:ind w:left="0" w:firstLine="709"/>
        <w:jc w:val="both"/>
        <w:rPr>
          <w:rFonts w:ascii="Arial" w:eastAsia="Calibri" w:hAnsi="Arial" w:cs="Arial"/>
          <w:color w:val="000000" w:themeColor="text1"/>
          <w:sz w:val="22"/>
        </w:rPr>
      </w:pPr>
      <w:r w:rsidRPr="003D688F">
        <w:rPr>
          <w:rFonts w:ascii="Arial" w:eastAsia="Calibri" w:hAnsi="Arial" w:cs="Arial"/>
          <w:color w:val="000000" w:themeColor="text1"/>
          <w:sz w:val="22"/>
        </w:rPr>
        <w:t xml:space="preserve">En este sentido, la entidad lo hará ya sea por medio de un procedimiento público, mediante el cual se realice una convocatoria y una evaluación para seleccionar la oferta más favorable; o a través de una contratación directa, cuando no es necesario realizar un proceso competitivo. En estos casos, el manual definirá las etapas y los documentos que forman parte del procedimiento que realicen; y se publicarán en la plataforma del SECOP para cada procedimiento de contratación que se adelante, incluido el acto de adjudicación, por expresa disposición del literal g) del artículo 11 de la Ley 1712 de 2014. </w:t>
      </w:r>
    </w:p>
    <w:p w14:paraId="7C01AB8B" w14:textId="54179D3B" w:rsidR="001A2559" w:rsidRPr="003D688F" w:rsidRDefault="001A2559" w:rsidP="00520096">
      <w:pPr>
        <w:shd w:val="clear" w:color="auto" w:fill="FFFFFF"/>
        <w:spacing w:before="120" w:line="276" w:lineRule="auto"/>
        <w:ind w:firstLine="709"/>
        <w:jc w:val="both"/>
        <w:rPr>
          <w:rFonts w:ascii="Arial" w:hAnsi="Arial" w:cs="Arial"/>
          <w:color w:val="000000" w:themeColor="text1"/>
          <w:sz w:val="22"/>
          <w:lang w:eastAsia="es-CO"/>
        </w:rPr>
      </w:pPr>
      <w:r w:rsidRPr="003D688F">
        <w:rPr>
          <w:rFonts w:ascii="Arial" w:eastAsia="Calibri" w:hAnsi="Arial" w:cs="Arial"/>
          <w:color w:val="000000" w:themeColor="text1"/>
          <w:sz w:val="22"/>
        </w:rPr>
        <w:t>Por lo tanto, en estos casos aplica la Ley 1712 de 2014 y el Decreto 10</w:t>
      </w:r>
      <w:r w:rsidR="009222B7" w:rsidRPr="003D688F">
        <w:rPr>
          <w:rFonts w:ascii="Arial" w:eastAsia="Calibri" w:hAnsi="Arial" w:cs="Arial"/>
          <w:color w:val="000000" w:themeColor="text1"/>
          <w:sz w:val="22"/>
        </w:rPr>
        <w:t>81</w:t>
      </w:r>
      <w:r w:rsidRPr="003D688F">
        <w:rPr>
          <w:rFonts w:ascii="Arial" w:eastAsia="Calibri" w:hAnsi="Arial" w:cs="Arial"/>
          <w:color w:val="000000" w:themeColor="text1"/>
          <w:sz w:val="22"/>
        </w:rPr>
        <w:t xml:space="preserve"> de 2015, no el Decreto 1082 de 2015, porque esta última norma rige a las entidades sometidas al Estatuto General de Contratación de la Administración Pública, y, por lo tanto, no aplica a las empresas </w:t>
      </w:r>
      <w:r w:rsidR="00667FD6" w:rsidRPr="003D688F">
        <w:rPr>
          <w:rFonts w:ascii="Arial" w:eastAsia="Calibri" w:hAnsi="Arial" w:cs="Arial"/>
          <w:color w:val="000000" w:themeColor="text1"/>
          <w:sz w:val="22"/>
        </w:rPr>
        <w:t>industriales y comerciales</w:t>
      </w:r>
      <w:r w:rsidRPr="003D688F">
        <w:rPr>
          <w:rFonts w:ascii="Arial" w:eastAsia="Calibri" w:hAnsi="Arial" w:cs="Arial"/>
          <w:color w:val="000000" w:themeColor="text1"/>
          <w:sz w:val="22"/>
        </w:rPr>
        <w:t xml:space="preserve"> del Estado</w:t>
      </w:r>
      <w:r w:rsidR="00667FD6" w:rsidRPr="003D688F">
        <w:rPr>
          <w:rFonts w:ascii="Arial" w:eastAsia="Calibri" w:hAnsi="Arial" w:cs="Arial"/>
          <w:color w:val="000000" w:themeColor="text1"/>
          <w:sz w:val="22"/>
        </w:rPr>
        <w:t xml:space="preserve"> que de conformidad con el artículo 14 de la Ley 1150 de 2007, </w:t>
      </w:r>
      <w:r w:rsidRPr="003D688F">
        <w:rPr>
          <w:rFonts w:ascii="Arial" w:eastAsia="Calibri" w:hAnsi="Arial" w:cs="Arial"/>
          <w:color w:val="000000" w:themeColor="text1"/>
          <w:sz w:val="22"/>
        </w:rPr>
        <w:t>se ri</w:t>
      </w:r>
      <w:r w:rsidR="00667FD6" w:rsidRPr="003D688F">
        <w:rPr>
          <w:rFonts w:ascii="Arial" w:eastAsia="Calibri" w:hAnsi="Arial" w:cs="Arial"/>
          <w:color w:val="000000" w:themeColor="text1"/>
          <w:sz w:val="22"/>
        </w:rPr>
        <w:t>jan</w:t>
      </w:r>
      <w:r w:rsidRPr="003D688F">
        <w:rPr>
          <w:rFonts w:ascii="Arial" w:eastAsia="Calibri" w:hAnsi="Arial" w:cs="Arial"/>
          <w:color w:val="000000" w:themeColor="text1"/>
          <w:sz w:val="22"/>
        </w:rPr>
        <w:t xml:space="preserve"> por el derecho privado</w:t>
      </w:r>
      <w:r w:rsidRPr="003D688F">
        <w:rPr>
          <w:rStyle w:val="Refdenotaalpie"/>
          <w:rFonts w:ascii="Arial" w:eastAsia="Calibri" w:hAnsi="Arial" w:cs="Arial"/>
          <w:color w:val="000000" w:themeColor="text1"/>
          <w:sz w:val="22"/>
        </w:rPr>
        <w:footnoteReference w:id="14"/>
      </w:r>
      <w:r w:rsidRPr="003D688F">
        <w:rPr>
          <w:rFonts w:ascii="Arial" w:eastAsia="Calibri" w:hAnsi="Arial" w:cs="Arial"/>
          <w:color w:val="000000" w:themeColor="text1"/>
          <w:sz w:val="22"/>
        </w:rPr>
        <w:t xml:space="preserve">. Por su parte, la Ley 1712 de 2014 </w:t>
      </w:r>
      <w:r w:rsidRPr="003D688F">
        <w:rPr>
          <w:rFonts w:ascii="Arial" w:eastAsia="Calibri" w:hAnsi="Arial" w:cs="Arial"/>
          <w:color w:val="000000" w:themeColor="text1"/>
          <w:sz w:val="22"/>
        </w:rPr>
        <w:lastRenderedPageBreak/>
        <w:t>y el Decreto reglamentario 10</w:t>
      </w:r>
      <w:r w:rsidR="009222B7" w:rsidRPr="003D688F">
        <w:rPr>
          <w:rFonts w:ascii="Arial" w:eastAsia="Calibri" w:hAnsi="Arial" w:cs="Arial"/>
          <w:color w:val="000000" w:themeColor="text1"/>
          <w:sz w:val="22"/>
        </w:rPr>
        <w:t>81</w:t>
      </w:r>
      <w:r w:rsidRPr="003D688F">
        <w:rPr>
          <w:rFonts w:ascii="Arial" w:eastAsia="Calibri" w:hAnsi="Arial" w:cs="Arial"/>
          <w:color w:val="000000" w:themeColor="text1"/>
          <w:sz w:val="22"/>
        </w:rPr>
        <w:t xml:space="preserve"> de 2015 rigen a cualquier entidad pública, incluyendo</w:t>
      </w:r>
      <w:r w:rsidRPr="003D688F">
        <w:rPr>
          <w:rFonts w:ascii="Arial" w:hAnsi="Arial" w:cs="Arial"/>
          <w:color w:val="000000" w:themeColor="text1"/>
          <w:sz w:val="22"/>
        </w:rPr>
        <w:t xml:space="preserve"> </w:t>
      </w:r>
      <w:r w:rsidRPr="003D688F">
        <w:rPr>
          <w:rFonts w:ascii="Arial" w:hAnsi="Arial" w:cs="Arial"/>
          <w:color w:val="000000" w:themeColor="text1"/>
          <w:sz w:val="22"/>
          <w:lang w:eastAsia="es-CO"/>
        </w:rPr>
        <w:t>las pertenecientes a todas las Ramas del Poder Público, en todos los niveles de la estructura estatal, central o descentralizada por servicios o territorialmente, en los órdenes nacional, departamental, municipal y distrital.</w:t>
      </w:r>
    </w:p>
    <w:p w14:paraId="0DF91EC6" w14:textId="1F0D3BC9" w:rsidR="007B1526" w:rsidRPr="003D688F" w:rsidRDefault="007B1526" w:rsidP="007B1526">
      <w:pPr>
        <w:pStyle w:val="Prrafodelista"/>
        <w:spacing w:before="120" w:after="120" w:line="276" w:lineRule="auto"/>
        <w:ind w:left="0" w:firstLine="709"/>
        <w:jc w:val="both"/>
        <w:rPr>
          <w:rFonts w:ascii="Arial" w:eastAsia="Calibri" w:hAnsi="Arial" w:cs="Arial"/>
          <w:color w:val="000000" w:themeColor="text1"/>
          <w:sz w:val="22"/>
        </w:rPr>
      </w:pPr>
      <w:r w:rsidRPr="003D688F">
        <w:rPr>
          <w:rFonts w:ascii="Arial" w:eastAsia="Calibri" w:hAnsi="Arial" w:cs="Arial"/>
          <w:color w:val="000000" w:themeColor="text1"/>
          <w:sz w:val="22"/>
        </w:rPr>
        <w:t xml:space="preserve">Identificados los documentos que deben publicar las entidades de régimen especial y su fundamento normativo, a </w:t>
      </w:r>
      <w:proofErr w:type="gramStart"/>
      <w:r w:rsidRPr="003D688F">
        <w:rPr>
          <w:rFonts w:ascii="Arial" w:eastAsia="Calibri" w:hAnsi="Arial" w:cs="Arial"/>
          <w:color w:val="000000" w:themeColor="text1"/>
          <w:sz w:val="22"/>
        </w:rPr>
        <w:t>continuación</w:t>
      </w:r>
      <w:proofErr w:type="gramEnd"/>
      <w:r w:rsidRPr="003D688F">
        <w:rPr>
          <w:rFonts w:ascii="Arial" w:eastAsia="Calibri" w:hAnsi="Arial" w:cs="Arial"/>
          <w:color w:val="000000" w:themeColor="text1"/>
          <w:sz w:val="22"/>
        </w:rPr>
        <w:t xml:space="preserve"> se explicará cu</w:t>
      </w:r>
      <w:r w:rsidR="00F74F25" w:rsidRPr="003D688F">
        <w:rPr>
          <w:rFonts w:ascii="Arial" w:eastAsia="Calibri" w:hAnsi="Arial" w:cs="Arial"/>
          <w:color w:val="000000" w:themeColor="text1"/>
          <w:sz w:val="22"/>
        </w:rPr>
        <w:t>á</w:t>
      </w:r>
      <w:r w:rsidRPr="003D688F">
        <w:rPr>
          <w:rFonts w:ascii="Arial" w:eastAsia="Calibri" w:hAnsi="Arial" w:cs="Arial"/>
          <w:color w:val="000000" w:themeColor="text1"/>
          <w:sz w:val="22"/>
        </w:rPr>
        <w:t xml:space="preserve">ndo se deben publicar, no sin antes </w:t>
      </w:r>
      <w:r w:rsidR="00F74F25" w:rsidRPr="003D688F">
        <w:rPr>
          <w:rFonts w:ascii="Arial" w:eastAsia="Calibri" w:hAnsi="Arial" w:cs="Arial"/>
          <w:color w:val="000000" w:themeColor="text1"/>
          <w:sz w:val="22"/>
        </w:rPr>
        <w:t>referirnos a</w:t>
      </w:r>
      <w:r w:rsidRPr="003D688F">
        <w:rPr>
          <w:rFonts w:ascii="Arial" w:eastAsia="Calibri" w:hAnsi="Arial" w:cs="Arial"/>
          <w:color w:val="000000" w:themeColor="text1"/>
          <w:sz w:val="22"/>
        </w:rPr>
        <w:t xml:space="preserve"> la posición que Colombia Compra Eficiente ha tenido en relación con este asunto. </w:t>
      </w:r>
    </w:p>
    <w:p w14:paraId="291E45A2" w14:textId="7528328C" w:rsidR="007B1526" w:rsidRPr="003D688F" w:rsidRDefault="007B1526" w:rsidP="007B1526">
      <w:pPr>
        <w:spacing w:before="120" w:after="120" w:line="276" w:lineRule="auto"/>
        <w:ind w:firstLine="709"/>
        <w:jc w:val="both"/>
        <w:rPr>
          <w:rFonts w:ascii="Arial" w:eastAsia="Calibri" w:hAnsi="Arial" w:cs="Arial"/>
          <w:color w:val="000000" w:themeColor="text1"/>
          <w:sz w:val="22"/>
        </w:rPr>
      </w:pPr>
      <w:r w:rsidRPr="003D688F">
        <w:rPr>
          <w:rFonts w:ascii="Arial" w:eastAsia="Calibri" w:hAnsi="Arial" w:cs="Arial"/>
          <w:color w:val="000000" w:themeColor="text1"/>
          <w:sz w:val="22"/>
        </w:rPr>
        <w:t xml:space="preserve">En el año 2017, en la consulta con radicado No. 4201713000005390 se </w:t>
      </w:r>
      <w:r w:rsidR="00F74F25" w:rsidRPr="003D688F">
        <w:rPr>
          <w:rFonts w:ascii="Arial" w:eastAsia="Calibri" w:hAnsi="Arial" w:cs="Arial"/>
          <w:color w:val="000000" w:themeColor="text1"/>
          <w:sz w:val="22"/>
        </w:rPr>
        <w:t>explicó</w:t>
      </w:r>
      <w:r w:rsidRPr="003D688F">
        <w:rPr>
          <w:rFonts w:ascii="Arial" w:eastAsia="Calibri" w:hAnsi="Arial" w:cs="Arial"/>
          <w:color w:val="000000" w:themeColor="text1"/>
          <w:sz w:val="22"/>
        </w:rPr>
        <w:t xml:space="preserve"> que: </w:t>
      </w:r>
      <w:r w:rsidR="00F74F25" w:rsidRPr="003D688F">
        <w:rPr>
          <w:rFonts w:ascii="Arial" w:eastAsia="Calibri" w:hAnsi="Arial" w:cs="Arial"/>
          <w:color w:val="000000" w:themeColor="text1"/>
          <w:sz w:val="22"/>
        </w:rPr>
        <w:t>«</w:t>
      </w:r>
      <w:r w:rsidRPr="003D688F">
        <w:rPr>
          <w:rFonts w:ascii="Arial" w:eastAsia="Calibri" w:hAnsi="Arial" w:cs="Arial"/>
          <w:color w:val="000000" w:themeColor="text1"/>
          <w:sz w:val="22"/>
        </w:rPr>
        <w:t>el plazo para publicar por parte de las entidades de régimen especial es el que se fije en el manual de contratación de la entidad»</w:t>
      </w:r>
      <w:r w:rsidRPr="003D688F">
        <w:rPr>
          <w:rStyle w:val="Refdenotaalpie"/>
          <w:rFonts w:ascii="Arial" w:eastAsia="Calibri" w:hAnsi="Arial" w:cs="Arial"/>
          <w:color w:val="000000" w:themeColor="text1"/>
          <w:sz w:val="22"/>
        </w:rPr>
        <w:footnoteReference w:id="15"/>
      </w:r>
      <w:r w:rsidRPr="003D688F">
        <w:rPr>
          <w:rFonts w:ascii="Arial" w:eastAsia="Calibri" w:hAnsi="Arial" w:cs="Arial"/>
          <w:color w:val="000000" w:themeColor="text1"/>
          <w:sz w:val="22"/>
        </w:rPr>
        <w:t>. Por su parte, en el año 2018, con la Circular Externa Única se cambió la postura y se indica: «las entidades que aun utilizan el SECOP I están obligadas a publicar los documentos del proceso dentro de los tres (3) días siguientes a su expedición</w:t>
      </w:r>
      <w:r w:rsidRPr="003D688F">
        <w:rPr>
          <w:rStyle w:val="Refdenotaalpie"/>
          <w:rFonts w:ascii="Arial" w:eastAsia="Calibri" w:hAnsi="Arial" w:cs="Arial"/>
          <w:color w:val="000000" w:themeColor="text1"/>
          <w:sz w:val="22"/>
        </w:rPr>
        <w:footnoteReference w:id="16"/>
      </w:r>
      <w:r w:rsidRPr="003D688F">
        <w:rPr>
          <w:rFonts w:ascii="Arial" w:eastAsia="Calibri" w:hAnsi="Arial" w:cs="Arial"/>
          <w:color w:val="000000" w:themeColor="text1"/>
          <w:sz w:val="22"/>
        </w:rPr>
        <w:t xml:space="preserve"> […]». De lo regulado en la Circular Externa Única se infiere que se otorga un tratamiento </w:t>
      </w:r>
      <w:r w:rsidR="000F4323" w:rsidRPr="003D688F">
        <w:rPr>
          <w:rFonts w:ascii="Arial" w:eastAsia="Calibri" w:hAnsi="Arial" w:cs="Arial"/>
          <w:color w:val="000000" w:themeColor="text1"/>
          <w:sz w:val="22"/>
        </w:rPr>
        <w:t>idéntico</w:t>
      </w:r>
      <w:r w:rsidRPr="003D688F">
        <w:rPr>
          <w:rFonts w:ascii="Arial" w:eastAsia="Calibri" w:hAnsi="Arial" w:cs="Arial"/>
          <w:color w:val="000000" w:themeColor="text1"/>
          <w:sz w:val="22"/>
        </w:rPr>
        <w:t xml:space="preserve"> a las entidades, independientemente de su régimen de contratación, por lo tanto, aplica el artículo 2.2.1.1.1.7.1. del Decreto 1082 de 2015. </w:t>
      </w:r>
    </w:p>
    <w:p w14:paraId="09621812" w14:textId="768BAE5E" w:rsidR="007B1526" w:rsidRPr="003D688F" w:rsidRDefault="007B1526" w:rsidP="007B1526">
      <w:pPr>
        <w:spacing w:before="120" w:after="120" w:line="276" w:lineRule="auto"/>
        <w:ind w:firstLine="709"/>
        <w:jc w:val="both"/>
        <w:rPr>
          <w:rFonts w:ascii="Arial" w:eastAsia="Calibri" w:hAnsi="Arial" w:cs="Arial"/>
          <w:color w:val="000000" w:themeColor="text1"/>
          <w:sz w:val="22"/>
        </w:rPr>
      </w:pPr>
      <w:r w:rsidRPr="003D688F">
        <w:rPr>
          <w:rFonts w:ascii="Arial" w:eastAsia="Calibri" w:hAnsi="Arial" w:cs="Arial"/>
          <w:color w:val="000000" w:themeColor="text1"/>
          <w:sz w:val="22"/>
        </w:rPr>
        <w:t xml:space="preserve">En este sentido, se han tenido dos posturas frente a la oportunidad de publicar los documentos en el SECOP. En un primer momento, la entidad tiene autonomía para determinar el plazo en su manual de contratación, debido a que no les aplica el Estatuto General de Contratación Pública; en un segundo momento, a partir de la expedición de la Circular Externa Única, tanto las entidades que se rigen por la Ley 80 como aquellas que tienen un estatuto de régimen especial, deberán publicar sus documentos, dentro de los </w:t>
      </w:r>
      <w:r w:rsidRPr="003D688F">
        <w:rPr>
          <w:rFonts w:ascii="Arial" w:eastAsia="Calibri" w:hAnsi="Arial" w:cs="Arial"/>
          <w:color w:val="000000" w:themeColor="text1"/>
          <w:sz w:val="22"/>
        </w:rPr>
        <w:lastRenderedPageBreak/>
        <w:t xml:space="preserve">tres (3) días siguientes a su expedición, por expresa disposición del artículo 2.2.1.1.1.7.1. del Decreto 1082 de 2015. Esta última posición es la que se acogerá y se desarrollará en esta consulta. </w:t>
      </w:r>
    </w:p>
    <w:p w14:paraId="13421135" w14:textId="67AD4109" w:rsidR="007B1526" w:rsidRPr="003D688F" w:rsidRDefault="007B1526" w:rsidP="007B1526">
      <w:pPr>
        <w:spacing w:before="120" w:after="120" w:line="276" w:lineRule="auto"/>
        <w:ind w:firstLine="709"/>
        <w:jc w:val="both"/>
        <w:rPr>
          <w:rFonts w:ascii="Arial" w:eastAsia="Calibri" w:hAnsi="Arial" w:cs="Arial"/>
          <w:color w:val="000000" w:themeColor="text1"/>
          <w:sz w:val="22"/>
        </w:rPr>
      </w:pPr>
      <w:r w:rsidRPr="003D688F">
        <w:rPr>
          <w:rFonts w:ascii="Arial" w:eastAsia="Calibri" w:hAnsi="Arial" w:cs="Arial"/>
          <w:color w:val="000000" w:themeColor="text1"/>
          <w:sz w:val="22"/>
        </w:rPr>
        <w:t>La Ley 1712 de 2014 y el Decreto 1081 de 2015, normas que i</w:t>
      </w:r>
      <w:r w:rsidR="000F4323" w:rsidRPr="003D688F">
        <w:rPr>
          <w:rFonts w:ascii="Arial" w:eastAsia="Calibri" w:hAnsi="Arial" w:cs="Arial"/>
          <w:color w:val="000000" w:themeColor="text1"/>
          <w:sz w:val="22"/>
        </w:rPr>
        <w:t>dentifican</w:t>
      </w:r>
      <w:r w:rsidRPr="003D688F">
        <w:rPr>
          <w:rFonts w:ascii="Arial" w:eastAsia="Calibri" w:hAnsi="Arial" w:cs="Arial"/>
          <w:color w:val="000000" w:themeColor="text1"/>
          <w:sz w:val="22"/>
        </w:rPr>
        <w:t xml:space="preserve"> los documentos que se deben publicar, no </w:t>
      </w:r>
      <w:r w:rsidR="000F4323" w:rsidRPr="003D688F">
        <w:rPr>
          <w:rFonts w:ascii="Arial" w:eastAsia="Calibri" w:hAnsi="Arial" w:cs="Arial"/>
          <w:color w:val="000000" w:themeColor="text1"/>
          <w:sz w:val="22"/>
        </w:rPr>
        <w:t>establecen</w:t>
      </w:r>
      <w:r w:rsidRPr="003D688F">
        <w:rPr>
          <w:rFonts w:ascii="Arial" w:eastAsia="Calibri" w:hAnsi="Arial" w:cs="Arial"/>
          <w:color w:val="000000" w:themeColor="text1"/>
          <w:sz w:val="22"/>
        </w:rPr>
        <w:t xml:space="preserve"> el momento para su divulgación, y en ese sentido existe un vacío normativo. En los casos que no exista norma aplicable, la Corte Constitucional, en la sentencia C-083 de 1995, reconoce a la analogía como una fuente de derecho autónoma a la que se pueden acudir para suplir el vacío. De esta forma, reconoce que: «la analogía es la aplicación de la ley a situaciones no contempladas expresamente a ellas, pero que sólo difieren a las que sí lo están en aspectos jurídicamente irrelevantes, es decir, ajenos a aquellos que explican y fundamentan la</w:t>
      </w:r>
      <w:r w:rsidRPr="003D688F">
        <w:rPr>
          <w:rFonts w:ascii="Arial" w:eastAsia="Calibri" w:hAnsi="Arial" w:cs="Arial"/>
          <w:i/>
          <w:color w:val="000000" w:themeColor="text1"/>
          <w:sz w:val="22"/>
        </w:rPr>
        <w:t xml:space="preserve"> </w:t>
      </w:r>
      <w:r w:rsidRPr="003D688F">
        <w:rPr>
          <w:rFonts w:ascii="Arial" w:eastAsia="Calibri" w:hAnsi="Arial" w:cs="Arial"/>
          <w:color w:val="000000" w:themeColor="text1"/>
          <w:sz w:val="22"/>
        </w:rPr>
        <w:t>razón de ser de la norma»</w:t>
      </w:r>
      <w:r w:rsidRPr="003D688F">
        <w:rPr>
          <w:rStyle w:val="Refdenotaalpie"/>
          <w:rFonts w:ascii="Arial" w:eastAsia="Calibri" w:hAnsi="Arial" w:cs="Arial"/>
          <w:color w:val="000000" w:themeColor="text1"/>
          <w:sz w:val="22"/>
        </w:rPr>
        <w:footnoteReference w:id="17"/>
      </w:r>
      <w:r w:rsidRPr="003D688F">
        <w:rPr>
          <w:rFonts w:ascii="Arial" w:eastAsia="Calibri" w:hAnsi="Arial" w:cs="Arial"/>
          <w:color w:val="000000" w:themeColor="text1"/>
          <w:sz w:val="22"/>
        </w:rPr>
        <w:t xml:space="preserve">. En este sentido, el juez razona por analogía, cuando aplica una ley frente una situación no contemplada explícitamente en ella, a partir del estudio de situaciones fácticas que fueron tratadas por el legislador y guardan similitud con el asunto tratado. </w:t>
      </w:r>
    </w:p>
    <w:p w14:paraId="689AC73D" w14:textId="44F02CD7" w:rsidR="007B1526" w:rsidRPr="003D688F" w:rsidRDefault="007B1526" w:rsidP="007B1526">
      <w:pPr>
        <w:spacing w:before="120" w:after="120" w:line="276" w:lineRule="auto"/>
        <w:ind w:firstLine="709"/>
        <w:jc w:val="both"/>
        <w:rPr>
          <w:rFonts w:ascii="Arial" w:eastAsia="Calibri" w:hAnsi="Arial" w:cs="Arial"/>
          <w:color w:val="000000" w:themeColor="text1"/>
          <w:sz w:val="22"/>
        </w:rPr>
      </w:pPr>
      <w:r w:rsidRPr="003D688F">
        <w:rPr>
          <w:rFonts w:ascii="Arial" w:eastAsia="Calibri" w:hAnsi="Arial" w:cs="Arial"/>
          <w:color w:val="000000" w:themeColor="text1"/>
          <w:sz w:val="22"/>
        </w:rPr>
        <w:t xml:space="preserve">El Decreto 1082 de 2015, en el artículo 2.2.1.1.1.7.1, normativa que regula la publicidad en el SECOP, establece que las entidades están obligadas a publicar los documentos del proceso y los actos administrativos del proceso de contratación, dentro de los tres (3) días siguientes a su expedición. Además, </w:t>
      </w:r>
      <w:r w:rsidR="000F4323" w:rsidRPr="003D688F">
        <w:rPr>
          <w:rFonts w:ascii="Arial" w:eastAsia="Calibri" w:hAnsi="Arial" w:cs="Arial"/>
          <w:color w:val="000000" w:themeColor="text1"/>
          <w:sz w:val="22"/>
        </w:rPr>
        <w:t>establece</w:t>
      </w:r>
      <w:r w:rsidRPr="003D688F">
        <w:rPr>
          <w:rFonts w:ascii="Arial" w:eastAsia="Calibri" w:hAnsi="Arial" w:cs="Arial"/>
          <w:color w:val="000000" w:themeColor="text1"/>
          <w:sz w:val="22"/>
        </w:rPr>
        <w:t xml:space="preserve"> el deber de las entidades de publicar oportunamente el aviso de convocatoria o la invitación en los procesos de contratación de mínima cuantía y el proyecto de pliego de condiciones en el SECOP para que presenten observaciones o soliciten aclaraciones</w:t>
      </w:r>
      <w:r w:rsidRPr="003D688F">
        <w:rPr>
          <w:rStyle w:val="Refdenotaalpie"/>
          <w:rFonts w:ascii="Arial" w:eastAsia="Calibri" w:hAnsi="Arial" w:cs="Arial"/>
          <w:color w:val="000000" w:themeColor="text1"/>
          <w:sz w:val="22"/>
        </w:rPr>
        <w:footnoteReference w:id="18"/>
      </w:r>
      <w:r w:rsidRPr="003D688F">
        <w:rPr>
          <w:rFonts w:ascii="Arial" w:eastAsia="Calibri" w:hAnsi="Arial" w:cs="Arial"/>
          <w:color w:val="000000" w:themeColor="text1"/>
          <w:sz w:val="22"/>
        </w:rPr>
        <w:t xml:space="preserve">. En este sentido, las entidades sometidas al régimen de contratación de Ley 80 de 1993 publicarán en el SECOP sus documentos dentro de los 3 días siguientes a su expedición. </w:t>
      </w:r>
    </w:p>
    <w:p w14:paraId="14DA56B7" w14:textId="0623F0F8" w:rsidR="007B1526" w:rsidRPr="003D688F" w:rsidRDefault="007B1526" w:rsidP="007B1526">
      <w:pPr>
        <w:spacing w:before="120" w:after="120" w:line="276" w:lineRule="auto"/>
        <w:ind w:firstLine="709"/>
        <w:jc w:val="both"/>
        <w:rPr>
          <w:rFonts w:ascii="Arial" w:eastAsia="Calibri" w:hAnsi="Arial" w:cs="Arial"/>
          <w:color w:val="000000" w:themeColor="text1"/>
          <w:sz w:val="22"/>
        </w:rPr>
      </w:pPr>
      <w:r w:rsidRPr="003D688F">
        <w:rPr>
          <w:rFonts w:ascii="Arial" w:eastAsia="Calibri" w:hAnsi="Arial" w:cs="Arial"/>
          <w:color w:val="000000" w:themeColor="text1"/>
          <w:sz w:val="22"/>
        </w:rPr>
        <w:t xml:space="preserve">Si bien, como se mencionó en el acápite anterior, el Decreto 1082 de 2015 no </w:t>
      </w:r>
      <w:r w:rsidR="000F4323" w:rsidRPr="003D688F">
        <w:rPr>
          <w:rFonts w:ascii="Arial" w:eastAsia="Calibri" w:hAnsi="Arial" w:cs="Arial"/>
          <w:color w:val="000000" w:themeColor="text1"/>
          <w:sz w:val="22"/>
        </w:rPr>
        <w:t xml:space="preserve">le </w:t>
      </w:r>
      <w:r w:rsidRPr="003D688F">
        <w:rPr>
          <w:rFonts w:ascii="Arial" w:eastAsia="Calibri" w:hAnsi="Arial" w:cs="Arial"/>
          <w:color w:val="000000" w:themeColor="text1"/>
          <w:sz w:val="22"/>
        </w:rPr>
        <w:t xml:space="preserve">aplica a las empresas industriales y comerciales del Estado, que por regla </w:t>
      </w:r>
      <w:proofErr w:type="gramStart"/>
      <w:r w:rsidRPr="003D688F">
        <w:rPr>
          <w:rFonts w:ascii="Arial" w:eastAsia="Calibri" w:hAnsi="Arial" w:cs="Arial"/>
          <w:color w:val="000000" w:themeColor="text1"/>
          <w:sz w:val="22"/>
        </w:rPr>
        <w:t>general  tienen</w:t>
      </w:r>
      <w:proofErr w:type="gramEnd"/>
      <w:r w:rsidRPr="003D688F">
        <w:rPr>
          <w:rFonts w:ascii="Arial" w:eastAsia="Calibri" w:hAnsi="Arial" w:cs="Arial"/>
          <w:color w:val="000000" w:themeColor="text1"/>
          <w:sz w:val="22"/>
        </w:rPr>
        <w:t xml:space="preserve"> como régimen de contratación el derecho privado, </w:t>
      </w:r>
      <w:r w:rsidR="000F4323" w:rsidRPr="003D688F">
        <w:rPr>
          <w:rFonts w:ascii="Arial" w:eastAsia="Calibri" w:hAnsi="Arial" w:cs="Arial"/>
          <w:color w:val="000000" w:themeColor="text1"/>
          <w:sz w:val="22"/>
        </w:rPr>
        <w:t xml:space="preserve">es </w:t>
      </w:r>
      <w:r w:rsidRPr="003D688F">
        <w:rPr>
          <w:rFonts w:ascii="Arial" w:eastAsia="Calibri" w:hAnsi="Arial" w:cs="Arial"/>
          <w:color w:val="000000" w:themeColor="text1"/>
          <w:sz w:val="22"/>
        </w:rPr>
        <w:t>posible aplicarle</w:t>
      </w:r>
      <w:r w:rsidR="000F4323" w:rsidRPr="003D688F">
        <w:rPr>
          <w:rFonts w:ascii="Arial" w:eastAsia="Calibri" w:hAnsi="Arial" w:cs="Arial"/>
          <w:color w:val="000000" w:themeColor="text1"/>
          <w:sz w:val="22"/>
        </w:rPr>
        <w:t>s</w:t>
      </w:r>
      <w:r w:rsidRPr="003D688F">
        <w:rPr>
          <w:rFonts w:ascii="Arial" w:eastAsia="Calibri" w:hAnsi="Arial" w:cs="Arial"/>
          <w:color w:val="000000" w:themeColor="text1"/>
          <w:sz w:val="22"/>
        </w:rPr>
        <w:t xml:space="preserve"> esta norma en virtud de la analogía</w:t>
      </w:r>
      <w:r w:rsidR="000F4323" w:rsidRPr="003D688F">
        <w:rPr>
          <w:rFonts w:ascii="Arial" w:eastAsia="Calibri" w:hAnsi="Arial" w:cs="Arial"/>
          <w:color w:val="000000" w:themeColor="text1"/>
          <w:sz w:val="22"/>
        </w:rPr>
        <w:t>,</w:t>
      </w:r>
      <w:r w:rsidRPr="003D688F">
        <w:rPr>
          <w:rFonts w:ascii="Arial" w:eastAsia="Calibri" w:hAnsi="Arial" w:cs="Arial"/>
          <w:color w:val="000000" w:themeColor="text1"/>
          <w:sz w:val="22"/>
        </w:rPr>
        <w:t xml:space="preserve"> </w:t>
      </w:r>
      <w:r w:rsidR="000F4323" w:rsidRPr="003D688F">
        <w:rPr>
          <w:rFonts w:ascii="Arial" w:eastAsia="Calibri" w:hAnsi="Arial" w:cs="Arial"/>
          <w:color w:val="000000" w:themeColor="text1"/>
          <w:sz w:val="22"/>
        </w:rPr>
        <w:t xml:space="preserve">porque </w:t>
      </w:r>
      <w:r w:rsidRPr="003D688F">
        <w:rPr>
          <w:rFonts w:ascii="Arial" w:eastAsia="Calibri" w:hAnsi="Arial" w:cs="Arial"/>
          <w:color w:val="000000" w:themeColor="text1"/>
          <w:sz w:val="22"/>
        </w:rPr>
        <w:t xml:space="preserve">esta guarda similitud con el asunto tratado ya que regula la publicidad de los documentos </w:t>
      </w:r>
      <w:r w:rsidR="000F4323" w:rsidRPr="003D688F">
        <w:rPr>
          <w:rFonts w:ascii="Arial" w:eastAsia="Calibri" w:hAnsi="Arial" w:cs="Arial"/>
          <w:color w:val="000000" w:themeColor="text1"/>
          <w:sz w:val="22"/>
        </w:rPr>
        <w:t xml:space="preserve">en el </w:t>
      </w:r>
      <w:r w:rsidRPr="003D688F">
        <w:rPr>
          <w:rFonts w:ascii="Arial" w:eastAsia="Calibri" w:hAnsi="Arial" w:cs="Arial"/>
          <w:color w:val="000000" w:themeColor="text1"/>
          <w:sz w:val="22"/>
        </w:rPr>
        <w:t xml:space="preserve">SECOP y, por lo tanto, es viable aplicarle </w:t>
      </w:r>
      <w:r w:rsidR="000F4323" w:rsidRPr="003D688F">
        <w:rPr>
          <w:rFonts w:ascii="Arial" w:eastAsia="Calibri" w:hAnsi="Arial" w:cs="Arial"/>
          <w:color w:val="000000" w:themeColor="text1"/>
          <w:sz w:val="22"/>
        </w:rPr>
        <w:t>su</w:t>
      </w:r>
      <w:r w:rsidRPr="003D688F">
        <w:rPr>
          <w:rFonts w:ascii="Arial" w:eastAsia="Calibri" w:hAnsi="Arial" w:cs="Arial"/>
          <w:color w:val="000000" w:themeColor="text1"/>
          <w:sz w:val="22"/>
        </w:rPr>
        <w:t xml:space="preserve"> consecuencia jurídica a las entidades de régimen especial. </w:t>
      </w:r>
    </w:p>
    <w:p w14:paraId="173D5F02" w14:textId="31FD2044" w:rsidR="007B1526" w:rsidRPr="003D688F" w:rsidRDefault="007B1526" w:rsidP="007B1526">
      <w:pPr>
        <w:tabs>
          <w:tab w:val="left" w:pos="426"/>
        </w:tabs>
        <w:spacing w:before="120" w:line="276" w:lineRule="auto"/>
        <w:ind w:firstLine="425"/>
        <w:jc w:val="both"/>
        <w:rPr>
          <w:rFonts w:ascii="Arial" w:eastAsia="Calibri" w:hAnsi="Arial" w:cs="Arial"/>
          <w:color w:val="000000" w:themeColor="text1"/>
          <w:sz w:val="22"/>
          <w:lang w:val="es-ES_tradnl"/>
        </w:rPr>
      </w:pPr>
      <w:r w:rsidRPr="003D688F">
        <w:rPr>
          <w:rFonts w:ascii="Arial" w:eastAsia="Calibri" w:hAnsi="Arial" w:cs="Arial"/>
          <w:color w:val="000000" w:themeColor="text1"/>
          <w:sz w:val="22"/>
        </w:rPr>
        <w:lastRenderedPageBreak/>
        <w:t>A su vez, no es posible que las entidades definan el momento en el cual publicarán sus documentos contractuales</w:t>
      </w:r>
      <w:r w:rsidR="000F4323" w:rsidRPr="003D688F">
        <w:rPr>
          <w:rFonts w:ascii="Arial" w:eastAsia="Calibri" w:hAnsi="Arial" w:cs="Arial"/>
          <w:color w:val="000000" w:themeColor="text1"/>
          <w:sz w:val="22"/>
        </w:rPr>
        <w:t>,</w:t>
      </w:r>
      <w:r w:rsidRPr="003D688F">
        <w:rPr>
          <w:rFonts w:ascii="Arial" w:eastAsia="Calibri" w:hAnsi="Arial" w:cs="Arial"/>
          <w:color w:val="000000" w:themeColor="text1"/>
          <w:sz w:val="22"/>
        </w:rPr>
        <w:t xml:space="preserve"> porque es un asunto que debe definir el legislador o el gobierno por medio de un reglament</w:t>
      </w:r>
      <w:r w:rsidR="000F4323" w:rsidRPr="003D688F">
        <w:rPr>
          <w:rFonts w:ascii="Arial" w:eastAsia="Calibri" w:hAnsi="Arial" w:cs="Arial"/>
          <w:color w:val="000000" w:themeColor="text1"/>
          <w:sz w:val="22"/>
        </w:rPr>
        <w:t>o</w:t>
      </w:r>
      <w:r w:rsidRPr="003D688F">
        <w:rPr>
          <w:rFonts w:ascii="Arial" w:eastAsia="Calibri" w:hAnsi="Arial" w:cs="Arial"/>
          <w:color w:val="000000" w:themeColor="text1"/>
          <w:sz w:val="22"/>
        </w:rPr>
        <w:t xml:space="preserve">. Si bien en </w:t>
      </w:r>
      <w:r w:rsidR="000F4323" w:rsidRPr="003D688F">
        <w:rPr>
          <w:rFonts w:ascii="Arial" w:eastAsia="Calibri" w:hAnsi="Arial" w:cs="Arial"/>
          <w:color w:val="000000" w:themeColor="text1"/>
          <w:sz w:val="22"/>
        </w:rPr>
        <w:t xml:space="preserve">el </w:t>
      </w:r>
      <w:r w:rsidRPr="003D688F">
        <w:rPr>
          <w:rFonts w:ascii="Arial" w:eastAsia="Calibri" w:hAnsi="Arial" w:cs="Arial"/>
          <w:color w:val="000000" w:themeColor="text1"/>
          <w:sz w:val="22"/>
        </w:rPr>
        <w:t xml:space="preserve">concepto emitido en respuesta a la consulta con radicado </w:t>
      </w:r>
      <w:r w:rsidRPr="003D688F">
        <w:rPr>
          <w:rFonts w:ascii="Arial" w:eastAsia="Calibri" w:hAnsi="Arial" w:cs="Arial"/>
          <w:color w:val="000000" w:themeColor="text1"/>
          <w:sz w:val="22"/>
          <w:lang w:val="es-ES_tradnl"/>
        </w:rPr>
        <w:t xml:space="preserve">No. 4201814000001443 del 16 de febrero de 2018, la Subdirección de Gestión Contractual afirmó, a modo de </w:t>
      </w:r>
      <w:proofErr w:type="spellStart"/>
      <w:r w:rsidRPr="003D688F">
        <w:rPr>
          <w:rFonts w:ascii="Arial" w:eastAsia="Calibri" w:hAnsi="Arial" w:cs="Arial"/>
          <w:i/>
          <w:color w:val="000000" w:themeColor="text1"/>
          <w:sz w:val="22"/>
          <w:lang w:val="es-ES_tradnl"/>
        </w:rPr>
        <w:t>obiter</w:t>
      </w:r>
      <w:proofErr w:type="spellEnd"/>
      <w:r w:rsidRPr="003D688F">
        <w:rPr>
          <w:rFonts w:ascii="Arial" w:eastAsia="Calibri" w:hAnsi="Arial" w:cs="Arial"/>
          <w:i/>
          <w:color w:val="000000" w:themeColor="text1"/>
          <w:sz w:val="22"/>
          <w:lang w:val="es-ES_tradnl"/>
        </w:rPr>
        <w:t xml:space="preserve"> </w:t>
      </w:r>
      <w:proofErr w:type="spellStart"/>
      <w:r w:rsidRPr="003D688F">
        <w:rPr>
          <w:rFonts w:ascii="Arial" w:eastAsia="Calibri" w:hAnsi="Arial" w:cs="Arial"/>
          <w:i/>
          <w:color w:val="000000" w:themeColor="text1"/>
          <w:sz w:val="22"/>
          <w:lang w:val="es-ES_tradnl"/>
        </w:rPr>
        <w:t>dict</w:t>
      </w:r>
      <w:r w:rsidR="000F4323" w:rsidRPr="003D688F">
        <w:rPr>
          <w:rFonts w:ascii="Arial" w:eastAsia="Calibri" w:hAnsi="Arial" w:cs="Arial"/>
          <w:i/>
          <w:color w:val="000000" w:themeColor="text1"/>
          <w:sz w:val="22"/>
          <w:lang w:val="es-ES_tradnl"/>
        </w:rPr>
        <w:t>um</w:t>
      </w:r>
      <w:proofErr w:type="spellEnd"/>
      <w:r w:rsidRPr="003D688F">
        <w:rPr>
          <w:rFonts w:ascii="Arial" w:eastAsia="Calibri" w:hAnsi="Arial" w:cs="Arial"/>
          <w:color w:val="000000" w:themeColor="text1"/>
          <w:sz w:val="22"/>
          <w:lang w:val="es-ES_tradnl"/>
        </w:rPr>
        <w:t xml:space="preserve">, que «Las Entidades Estatales de régimen especial deben publicar su actividad contractual en el SECOP a más tardar en los tres días siguientes a la expedición del documento o en el término establecido en su Manual de Contratación, salvo que este último defina un plazo menor al establecido en el Decreto 1082 de 2015», en conceptos posteriores, como el expedido en respuesta a las consultas con radicado No. </w:t>
      </w:r>
      <w:r w:rsidRPr="003D688F">
        <w:rPr>
          <w:rFonts w:ascii="Arial" w:eastAsia="Calibri" w:hAnsi="Arial" w:cs="Arial"/>
          <w:color w:val="000000" w:themeColor="text1"/>
          <w:sz w:val="22"/>
        </w:rPr>
        <w:t>4201912000008073 del 2 de diciembre de 2019, 420201200000029 del 3 de diciembre de 2019 y</w:t>
      </w:r>
      <w:r w:rsidRPr="003D688F">
        <w:rPr>
          <w:rFonts w:ascii="Arial" w:eastAsia="Calibri" w:hAnsi="Arial" w:cs="Arial"/>
          <w:color w:val="000000" w:themeColor="text1"/>
          <w:sz w:val="22"/>
          <w:lang w:val="es-ES_tradnl"/>
        </w:rPr>
        <w:t xml:space="preserve"> 4202012000000944 del 10 de febrero de 2020, esta Subdirección varió dicha consideración, decantándose por la reserva legal y reglamentaria –en decretos del gobierno nacional– que existe sobre esta materia. </w:t>
      </w:r>
    </w:p>
    <w:p w14:paraId="28728FDE" w14:textId="77777777" w:rsidR="007B1526" w:rsidRPr="003D688F" w:rsidRDefault="007B1526" w:rsidP="007B1526">
      <w:pPr>
        <w:tabs>
          <w:tab w:val="left" w:pos="426"/>
        </w:tabs>
        <w:spacing w:before="120" w:line="276" w:lineRule="auto"/>
        <w:ind w:firstLine="425"/>
        <w:jc w:val="both"/>
        <w:rPr>
          <w:rFonts w:ascii="Arial" w:eastAsia="Calibri" w:hAnsi="Arial" w:cs="Arial"/>
          <w:color w:val="000000" w:themeColor="text1"/>
          <w:sz w:val="22"/>
          <w:lang w:val="es-ES_tradnl"/>
        </w:rPr>
      </w:pPr>
      <w:r w:rsidRPr="003D688F">
        <w:rPr>
          <w:rFonts w:ascii="Arial" w:eastAsia="Calibri" w:hAnsi="Arial" w:cs="Arial"/>
          <w:color w:val="000000" w:themeColor="text1"/>
          <w:sz w:val="22"/>
        </w:rPr>
        <w:t>Conforme a lo anterior, las entidades de régimen especial deben publicar sus documentos del proceso de contratación dentro de los tres (3) días siguientes a su expedición; porque a pesar de que en principio el artículo 2.2.1.1.1.7.1 del Decreto 1082 de 2015 no les aplica, sí es posible y necesario en virtud de la analogía.</w:t>
      </w:r>
    </w:p>
    <w:p w14:paraId="4E05FDB5" w14:textId="74BC7D5F" w:rsidR="007B1526" w:rsidRPr="003D688F" w:rsidRDefault="007B1526" w:rsidP="007B1526">
      <w:pPr>
        <w:spacing w:before="120" w:after="120" w:line="276" w:lineRule="auto"/>
        <w:ind w:firstLine="709"/>
        <w:jc w:val="both"/>
        <w:rPr>
          <w:rFonts w:ascii="Arial" w:eastAsia="Calibri" w:hAnsi="Arial" w:cs="Arial"/>
          <w:color w:val="000000" w:themeColor="text1"/>
          <w:sz w:val="22"/>
        </w:rPr>
      </w:pPr>
      <w:r w:rsidRPr="003D688F">
        <w:rPr>
          <w:rFonts w:ascii="Arial" w:eastAsia="Calibri" w:hAnsi="Arial" w:cs="Arial"/>
          <w:color w:val="000000" w:themeColor="text1"/>
          <w:sz w:val="22"/>
        </w:rPr>
        <w:t xml:space="preserve">En todo caso, si se adoptara la posición del Consejo de Estado, explicada con anterioridad,  es decir, que la obligación de publicar en el SECOP se apoya del literal c) del artículo 3 de la Ley 1150 de 2007, entonces también se debe publicar toda la contratación realizada con recursos públicos, independientemente del régimen de contratación de la entidad, porque el Decreto 1082 de 2015 reglamenta el artículo 3 de la Ley 1150 de 2007, </w:t>
      </w:r>
      <w:r w:rsidR="000F4323" w:rsidRPr="003D688F">
        <w:rPr>
          <w:rFonts w:ascii="Arial" w:eastAsia="Calibri" w:hAnsi="Arial" w:cs="Arial"/>
          <w:color w:val="000000" w:themeColor="text1"/>
          <w:sz w:val="22"/>
        </w:rPr>
        <w:t xml:space="preserve">y entonces </w:t>
      </w:r>
      <w:r w:rsidRPr="003D688F">
        <w:rPr>
          <w:rFonts w:ascii="Arial" w:eastAsia="Calibri" w:hAnsi="Arial" w:cs="Arial"/>
          <w:color w:val="000000" w:themeColor="text1"/>
          <w:sz w:val="22"/>
        </w:rPr>
        <w:t xml:space="preserve">se aplicaría el artículo 2.2.1.1.1.7.1. </w:t>
      </w:r>
    </w:p>
    <w:p w14:paraId="00B5DA2F" w14:textId="77777777" w:rsidR="009222B7" w:rsidRPr="003D688F" w:rsidRDefault="009222B7" w:rsidP="001A2559">
      <w:pPr>
        <w:pStyle w:val="Prrafodelista"/>
        <w:tabs>
          <w:tab w:val="left" w:pos="284"/>
        </w:tabs>
        <w:spacing w:line="276" w:lineRule="auto"/>
        <w:ind w:left="0"/>
        <w:jc w:val="both"/>
        <w:rPr>
          <w:rFonts w:ascii="Arial" w:eastAsia="Calibri" w:hAnsi="Arial" w:cs="Arial"/>
          <w:b/>
          <w:color w:val="000000" w:themeColor="text1"/>
          <w:sz w:val="22"/>
          <w:lang w:val="es-ES_tradnl"/>
        </w:rPr>
      </w:pPr>
    </w:p>
    <w:p w14:paraId="57F5E991" w14:textId="2CF9A82F" w:rsidR="001A2559" w:rsidRPr="003D688F" w:rsidRDefault="001A2559" w:rsidP="001A2559">
      <w:pPr>
        <w:pStyle w:val="Prrafodelista"/>
        <w:tabs>
          <w:tab w:val="left" w:pos="284"/>
        </w:tabs>
        <w:spacing w:line="276" w:lineRule="auto"/>
        <w:ind w:left="0"/>
        <w:jc w:val="both"/>
        <w:rPr>
          <w:rFonts w:ascii="Arial" w:eastAsia="Calibri" w:hAnsi="Arial" w:cs="Arial"/>
          <w:color w:val="000000" w:themeColor="text1"/>
          <w:sz w:val="22"/>
          <w:lang w:val="es-ES_tradnl"/>
        </w:rPr>
      </w:pPr>
      <w:r w:rsidRPr="003D688F">
        <w:rPr>
          <w:rFonts w:ascii="Arial" w:eastAsia="Calibri" w:hAnsi="Arial" w:cs="Arial"/>
          <w:b/>
          <w:color w:val="000000" w:themeColor="text1"/>
          <w:sz w:val="22"/>
          <w:lang w:val="es-ES_tradnl"/>
        </w:rPr>
        <w:t>3. Respuesta</w:t>
      </w:r>
    </w:p>
    <w:p w14:paraId="100E394B" w14:textId="77777777" w:rsidR="001A2559" w:rsidRPr="003D688F" w:rsidRDefault="001A2559" w:rsidP="001A2559">
      <w:pPr>
        <w:spacing w:line="276" w:lineRule="auto"/>
        <w:ind w:left="709" w:right="709"/>
        <w:jc w:val="both"/>
        <w:rPr>
          <w:rFonts w:ascii="Arial" w:eastAsia="Calibri" w:hAnsi="Arial" w:cs="Arial"/>
          <w:i/>
          <w:color w:val="000000" w:themeColor="text1"/>
          <w:sz w:val="22"/>
          <w:lang w:val="es-ES_tradnl"/>
        </w:rPr>
      </w:pPr>
    </w:p>
    <w:p w14:paraId="0CB8AF04" w14:textId="2F1DC236" w:rsidR="001A2559" w:rsidRPr="003D688F" w:rsidRDefault="006A52CE" w:rsidP="001A2559">
      <w:pPr>
        <w:spacing w:line="276" w:lineRule="auto"/>
        <w:ind w:left="709" w:right="709"/>
        <w:jc w:val="both"/>
        <w:rPr>
          <w:rFonts w:ascii="Arial" w:eastAsia="Calibri" w:hAnsi="Arial" w:cs="Arial"/>
          <w:color w:val="000000" w:themeColor="text1"/>
          <w:sz w:val="22"/>
          <w:lang w:val="es-ES_tradnl"/>
        </w:rPr>
      </w:pPr>
      <w:r w:rsidRPr="003D688F">
        <w:rPr>
          <w:rFonts w:ascii="Arial" w:eastAsia="Calibri" w:hAnsi="Arial" w:cs="Arial"/>
          <w:color w:val="000000" w:themeColor="text1"/>
          <w:sz w:val="22"/>
        </w:rPr>
        <w:t>«</w:t>
      </w:r>
      <w:r w:rsidR="007B1526" w:rsidRPr="003D688F">
        <w:rPr>
          <w:rFonts w:ascii="Arial" w:eastAsia="Calibri" w:hAnsi="Arial" w:cs="Arial"/>
          <w:color w:val="000000" w:themeColor="text1"/>
          <w:sz w:val="22"/>
          <w:lang w:val="es-CO"/>
        </w:rPr>
        <w:t>¿Qué documentos de forma obligatoria debería publicar la entidad en la plataforma SECOP I?</w:t>
      </w:r>
      <w:r w:rsidR="007B1526" w:rsidRPr="003D688F">
        <w:rPr>
          <w:rFonts w:ascii="Arial" w:eastAsia="Calibri" w:hAnsi="Arial" w:cs="Arial"/>
          <w:color w:val="000000" w:themeColor="text1"/>
          <w:sz w:val="22"/>
        </w:rPr>
        <w:t>»</w:t>
      </w:r>
    </w:p>
    <w:p w14:paraId="241EEBD8" w14:textId="77777777" w:rsidR="001A2559" w:rsidRPr="003D688F" w:rsidRDefault="001A2559" w:rsidP="001A2559">
      <w:pPr>
        <w:spacing w:line="276" w:lineRule="auto"/>
        <w:ind w:firstLine="709"/>
        <w:jc w:val="both"/>
        <w:rPr>
          <w:rFonts w:ascii="Arial" w:eastAsia="Calibri" w:hAnsi="Arial" w:cs="Arial"/>
          <w:color w:val="000000" w:themeColor="text1"/>
          <w:sz w:val="22"/>
          <w:lang w:val="es-ES_tradnl"/>
        </w:rPr>
      </w:pPr>
    </w:p>
    <w:p w14:paraId="6A278594" w14:textId="1A58535A" w:rsidR="006A52CE" w:rsidRPr="003D688F" w:rsidRDefault="00520096" w:rsidP="000F4323">
      <w:pPr>
        <w:spacing w:before="120" w:after="120" w:line="276" w:lineRule="auto"/>
        <w:jc w:val="both"/>
        <w:rPr>
          <w:rFonts w:ascii="Arial" w:eastAsia="Calibri" w:hAnsi="Arial" w:cs="Arial"/>
          <w:color w:val="000000" w:themeColor="text1"/>
          <w:sz w:val="22"/>
        </w:rPr>
      </w:pPr>
      <w:r w:rsidRPr="003D688F">
        <w:rPr>
          <w:rFonts w:ascii="Arial" w:eastAsia="Calibri" w:hAnsi="Arial" w:cs="Arial"/>
          <w:color w:val="000000" w:themeColor="text1"/>
          <w:sz w:val="22"/>
          <w:lang w:val="es-ES_tradnl"/>
        </w:rPr>
        <w:t>E</w:t>
      </w:r>
      <w:r w:rsidR="006A52CE" w:rsidRPr="003D688F">
        <w:rPr>
          <w:rFonts w:ascii="Arial" w:eastAsia="Calibri" w:hAnsi="Arial" w:cs="Arial"/>
          <w:color w:val="000000" w:themeColor="text1"/>
          <w:sz w:val="22"/>
        </w:rPr>
        <w:t>l Decreto 10</w:t>
      </w:r>
      <w:r w:rsidR="009222B7" w:rsidRPr="003D688F">
        <w:rPr>
          <w:rFonts w:ascii="Arial" w:eastAsia="Calibri" w:hAnsi="Arial" w:cs="Arial"/>
          <w:color w:val="000000" w:themeColor="text1"/>
          <w:sz w:val="22"/>
        </w:rPr>
        <w:t>81</w:t>
      </w:r>
      <w:r w:rsidR="006A52CE" w:rsidRPr="003D688F">
        <w:rPr>
          <w:rFonts w:ascii="Arial" w:eastAsia="Calibri" w:hAnsi="Arial" w:cs="Arial"/>
          <w:color w:val="000000" w:themeColor="text1"/>
          <w:sz w:val="22"/>
        </w:rPr>
        <w:t xml:space="preserve"> de 2015 </w:t>
      </w:r>
      <w:r w:rsidR="000F4323" w:rsidRPr="003D688F">
        <w:rPr>
          <w:rFonts w:ascii="Arial" w:eastAsia="Calibri" w:hAnsi="Arial" w:cs="Arial"/>
          <w:color w:val="000000" w:themeColor="text1"/>
          <w:sz w:val="22"/>
        </w:rPr>
        <w:t>dispone</w:t>
      </w:r>
      <w:r w:rsidR="006A52CE" w:rsidRPr="003D688F">
        <w:rPr>
          <w:rFonts w:ascii="Arial" w:eastAsia="Calibri" w:hAnsi="Arial" w:cs="Arial"/>
          <w:color w:val="000000" w:themeColor="text1"/>
          <w:sz w:val="22"/>
        </w:rPr>
        <w:t xml:space="preserve"> que los documentos que debe</w:t>
      </w:r>
      <w:r w:rsidR="000F4323" w:rsidRPr="003D688F">
        <w:rPr>
          <w:rFonts w:ascii="Arial" w:eastAsia="Calibri" w:hAnsi="Arial" w:cs="Arial"/>
          <w:color w:val="000000" w:themeColor="text1"/>
          <w:sz w:val="22"/>
        </w:rPr>
        <w:t>n</w:t>
      </w:r>
      <w:r w:rsidR="006A52CE" w:rsidRPr="003D688F">
        <w:rPr>
          <w:rFonts w:ascii="Arial" w:eastAsia="Calibri" w:hAnsi="Arial" w:cs="Arial"/>
          <w:color w:val="000000" w:themeColor="text1"/>
          <w:sz w:val="22"/>
        </w:rPr>
        <w:t xml:space="preserve"> publicar las entidades estatales, entre estas las empresas </w:t>
      </w:r>
      <w:r w:rsidR="00667FD6" w:rsidRPr="003D688F">
        <w:rPr>
          <w:rFonts w:ascii="Arial" w:eastAsia="Calibri" w:hAnsi="Arial" w:cs="Arial"/>
          <w:color w:val="000000" w:themeColor="text1"/>
          <w:sz w:val="22"/>
        </w:rPr>
        <w:t>industriales y comerciales</w:t>
      </w:r>
      <w:r w:rsidR="006A52CE" w:rsidRPr="003D688F">
        <w:rPr>
          <w:rFonts w:ascii="Arial" w:eastAsia="Calibri" w:hAnsi="Arial" w:cs="Arial"/>
          <w:color w:val="000000" w:themeColor="text1"/>
          <w:sz w:val="22"/>
        </w:rPr>
        <w:t xml:space="preserve"> del Estado, son: i) las autorizaciones, requerimientos, aprobaciones o informes del supervisor o del interventor, que prueben la ejecución del contrato, </w:t>
      </w:r>
      <w:proofErr w:type="spellStart"/>
      <w:r w:rsidR="006A52CE" w:rsidRPr="003D688F">
        <w:rPr>
          <w:rFonts w:ascii="Arial" w:eastAsia="Calibri" w:hAnsi="Arial" w:cs="Arial"/>
          <w:color w:val="000000" w:themeColor="text1"/>
          <w:sz w:val="22"/>
        </w:rPr>
        <w:t>ii</w:t>
      </w:r>
      <w:proofErr w:type="spellEnd"/>
      <w:r w:rsidR="006A52CE" w:rsidRPr="003D688F">
        <w:rPr>
          <w:rFonts w:ascii="Arial" w:eastAsia="Calibri" w:hAnsi="Arial" w:cs="Arial"/>
          <w:color w:val="000000" w:themeColor="text1"/>
          <w:sz w:val="22"/>
        </w:rPr>
        <w:t>) en relación con los procedimientos, lineamientos y políticas en materia de adquisición</w:t>
      </w:r>
      <w:r w:rsidR="000F4323" w:rsidRPr="003D688F">
        <w:rPr>
          <w:rFonts w:ascii="Arial" w:eastAsia="Calibri" w:hAnsi="Arial" w:cs="Arial"/>
          <w:color w:val="000000" w:themeColor="text1"/>
          <w:sz w:val="22"/>
        </w:rPr>
        <w:t>,</w:t>
      </w:r>
      <w:r w:rsidR="006A52CE" w:rsidRPr="003D688F">
        <w:rPr>
          <w:rFonts w:ascii="Arial" w:eastAsia="Calibri" w:hAnsi="Arial" w:cs="Arial"/>
          <w:color w:val="000000" w:themeColor="text1"/>
          <w:sz w:val="22"/>
        </w:rPr>
        <w:t xml:space="preserve"> se debe</w:t>
      </w:r>
      <w:r w:rsidR="000F4323" w:rsidRPr="003D688F">
        <w:rPr>
          <w:rFonts w:ascii="Arial" w:eastAsia="Calibri" w:hAnsi="Arial" w:cs="Arial"/>
          <w:color w:val="000000" w:themeColor="text1"/>
          <w:sz w:val="22"/>
        </w:rPr>
        <w:t>n</w:t>
      </w:r>
      <w:r w:rsidR="006A52CE" w:rsidRPr="003D688F">
        <w:rPr>
          <w:rFonts w:ascii="Arial" w:eastAsia="Calibri" w:hAnsi="Arial" w:cs="Arial"/>
          <w:color w:val="000000" w:themeColor="text1"/>
          <w:sz w:val="22"/>
        </w:rPr>
        <w:t xml:space="preserve"> publicar los documentos previstos en el manual de contratación de la entidad y, finalmente, </w:t>
      </w:r>
      <w:proofErr w:type="spellStart"/>
      <w:r w:rsidR="006A52CE" w:rsidRPr="003D688F">
        <w:rPr>
          <w:rFonts w:ascii="Arial" w:eastAsia="Calibri" w:hAnsi="Arial" w:cs="Arial"/>
          <w:color w:val="000000" w:themeColor="text1"/>
          <w:sz w:val="22"/>
        </w:rPr>
        <w:t>iii</w:t>
      </w:r>
      <w:proofErr w:type="spellEnd"/>
      <w:r w:rsidR="006A52CE" w:rsidRPr="003D688F">
        <w:rPr>
          <w:rFonts w:ascii="Arial" w:eastAsia="Calibri" w:hAnsi="Arial" w:cs="Arial"/>
          <w:color w:val="000000" w:themeColor="text1"/>
          <w:sz w:val="22"/>
        </w:rPr>
        <w:t xml:space="preserve">) el plan anual de adquisiciones. </w:t>
      </w:r>
      <w:r w:rsidR="000F4323" w:rsidRPr="003D688F">
        <w:rPr>
          <w:rFonts w:ascii="Arial" w:eastAsia="Calibri" w:hAnsi="Arial" w:cs="Arial"/>
          <w:color w:val="000000" w:themeColor="text1"/>
          <w:sz w:val="22"/>
        </w:rPr>
        <w:t>D</w:t>
      </w:r>
      <w:r w:rsidR="006A52CE" w:rsidRPr="003D688F">
        <w:rPr>
          <w:rFonts w:ascii="Arial" w:eastAsia="Calibri" w:hAnsi="Arial" w:cs="Arial"/>
          <w:color w:val="000000" w:themeColor="text1"/>
          <w:sz w:val="22"/>
        </w:rPr>
        <w:t xml:space="preserve">eben publicarse </w:t>
      </w:r>
      <w:r w:rsidR="006A52CE" w:rsidRPr="003D688F">
        <w:rPr>
          <w:rFonts w:ascii="Arial" w:eastAsia="Calibri" w:hAnsi="Arial" w:cs="Arial"/>
          <w:color w:val="000000" w:themeColor="text1"/>
          <w:sz w:val="22"/>
          <w:lang w:val="es-ES_tradnl"/>
        </w:rPr>
        <w:t>dentro de los tres (3) días siguientes a su expedición.</w:t>
      </w:r>
    </w:p>
    <w:p w14:paraId="093C81BE" w14:textId="4B890645" w:rsidR="006A52CE" w:rsidRPr="003D688F" w:rsidRDefault="006A52CE" w:rsidP="006A52CE">
      <w:pPr>
        <w:spacing w:before="120" w:after="120" w:line="276" w:lineRule="auto"/>
        <w:ind w:firstLine="708"/>
        <w:jc w:val="both"/>
        <w:rPr>
          <w:rFonts w:ascii="Arial" w:eastAsia="Calibri" w:hAnsi="Arial" w:cs="Arial"/>
          <w:color w:val="000000" w:themeColor="text1"/>
          <w:sz w:val="22"/>
        </w:rPr>
      </w:pPr>
      <w:r w:rsidRPr="003D688F">
        <w:rPr>
          <w:rFonts w:ascii="Arial" w:eastAsia="Calibri" w:hAnsi="Arial" w:cs="Arial"/>
          <w:color w:val="000000" w:themeColor="text1"/>
          <w:sz w:val="22"/>
        </w:rPr>
        <w:t>Frente al segundo grupo de documentos, debido a que estas entidades están sometidas al derecho privado, y por lo tanto no celebran sus proce</w:t>
      </w:r>
      <w:r w:rsidR="000F4323" w:rsidRPr="003D688F">
        <w:rPr>
          <w:rFonts w:ascii="Arial" w:eastAsia="Calibri" w:hAnsi="Arial" w:cs="Arial"/>
          <w:color w:val="000000" w:themeColor="text1"/>
          <w:sz w:val="22"/>
        </w:rPr>
        <w:t>dimientos</w:t>
      </w:r>
      <w:r w:rsidRPr="003D688F">
        <w:rPr>
          <w:rFonts w:ascii="Arial" w:eastAsia="Calibri" w:hAnsi="Arial" w:cs="Arial"/>
          <w:color w:val="000000" w:themeColor="text1"/>
          <w:sz w:val="22"/>
        </w:rPr>
        <w:t xml:space="preserve"> de selección </w:t>
      </w:r>
      <w:r w:rsidRPr="003D688F">
        <w:rPr>
          <w:rFonts w:ascii="Arial" w:eastAsia="Calibri" w:hAnsi="Arial" w:cs="Arial"/>
          <w:color w:val="000000" w:themeColor="text1"/>
          <w:sz w:val="22"/>
        </w:rPr>
        <w:lastRenderedPageBreak/>
        <w:t xml:space="preserve">con las modalidades previstas en la Ley 80 de 1993; cada una definirá en su </w:t>
      </w:r>
      <w:r w:rsidR="000F4323" w:rsidRPr="003D688F">
        <w:rPr>
          <w:rFonts w:ascii="Arial" w:eastAsia="Calibri" w:hAnsi="Arial" w:cs="Arial"/>
          <w:color w:val="000000" w:themeColor="text1"/>
          <w:sz w:val="22"/>
        </w:rPr>
        <w:t>m</w:t>
      </w:r>
      <w:r w:rsidRPr="003D688F">
        <w:rPr>
          <w:rFonts w:ascii="Arial" w:eastAsia="Calibri" w:hAnsi="Arial" w:cs="Arial"/>
          <w:color w:val="000000" w:themeColor="text1"/>
          <w:sz w:val="22"/>
        </w:rPr>
        <w:t xml:space="preserve">anual de contratación el procedimiento y los documentos que emita </w:t>
      </w:r>
      <w:proofErr w:type="gramStart"/>
      <w:r w:rsidRPr="003D688F">
        <w:rPr>
          <w:rFonts w:ascii="Arial" w:eastAsia="Calibri" w:hAnsi="Arial" w:cs="Arial"/>
          <w:color w:val="000000" w:themeColor="text1"/>
          <w:sz w:val="22"/>
        </w:rPr>
        <w:t>para  contrata</w:t>
      </w:r>
      <w:r w:rsidR="000F4323" w:rsidRPr="003D688F">
        <w:rPr>
          <w:rFonts w:ascii="Arial" w:eastAsia="Calibri" w:hAnsi="Arial" w:cs="Arial"/>
          <w:color w:val="000000" w:themeColor="text1"/>
          <w:sz w:val="22"/>
        </w:rPr>
        <w:t>r</w:t>
      </w:r>
      <w:proofErr w:type="gramEnd"/>
      <w:r w:rsidR="000F4323" w:rsidRPr="003D688F">
        <w:rPr>
          <w:rFonts w:ascii="Arial" w:eastAsia="Calibri" w:hAnsi="Arial" w:cs="Arial"/>
          <w:color w:val="000000" w:themeColor="text1"/>
          <w:sz w:val="22"/>
        </w:rPr>
        <w:t xml:space="preserve"> </w:t>
      </w:r>
      <w:r w:rsidRPr="003D688F">
        <w:rPr>
          <w:rFonts w:ascii="Arial" w:eastAsia="Calibri" w:hAnsi="Arial" w:cs="Arial"/>
          <w:color w:val="000000" w:themeColor="text1"/>
          <w:sz w:val="22"/>
        </w:rPr>
        <w:t>sus bienes, obras y servicios, frente a</w:t>
      </w:r>
      <w:r w:rsidR="000F4323" w:rsidRPr="003D688F">
        <w:rPr>
          <w:rFonts w:ascii="Arial" w:eastAsia="Calibri" w:hAnsi="Arial" w:cs="Arial"/>
          <w:color w:val="000000" w:themeColor="text1"/>
          <w:sz w:val="22"/>
        </w:rPr>
        <w:t xml:space="preserve"> la totalidad de</w:t>
      </w:r>
      <w:r w:rsidRPr="003D688F">
        <w:rPr>
          <w:rFonts w:ascii="Arial" w:eastAsia="Calibri" w:hAnsi="Arial" w:cs="Arial"/>
          <w:color w:val="000000" w:themeColor="text1"/>
          <w:sz w:val="22"/>
        </w:rPr>
        <w:t xml:space="preserve"> cuales aplica el deber de publicidad.</w:t>
      </w:r>
    </w:p>
    <w:p w14:paraId="4F8CEBDE" w14:textId="7953F947" w:rsidR="00EB76C1" w:rsidRPr="003D688F" w:rsidRDefault="00EB76C1" w:rsidP="003D4E6B">
      <w:pPr>
        <w:spacing w:line="276" w:lineRule="auto"/>
        <w:jc w:val="both"/>
        <w:rPr>
          <w:rFonts w:ascii="Arial" w:eastAsia="Calibri" w:hAnsi="Arial" w:cs="Arial"/>
          <w:color w:val="000000" w:themeColor="text1"/>
          <w:sz w:val="22"/>
        </w:rPr>
      </w:pPr>
    </w:p>
    <w:p w14:paraId="12038E8E" w14:textId="32600B1C" w:rsidR="00BA22A9" w:rsidRPr="003D688F" w:rsidRDefault="00BA22A9" w:rsidP="008F6ABB">
      <w:pPr>
        <w:spacing w:line="276" w:lineRule="auto"/>
        <w:jc w:val="both"/>
        <w:rPr>
          <w:rFonts w:ascii="Arial" w:eastAsia="Calibri" w:hAnsi="Arial" w:cs="Arial"/>
          <w:color w:val="000000" w:themeColor="text1"/>
          <w:sz w:val="22"/>
        </w:rPr>
      </w:pPr>
      <w:r w:rsidRPr="6D8A9569">
        <w:rPr>
          <w:rFonts w:ascii="Arial" w:eastAsia="Calibri" w:hAnsi="Arial" w:cs="Arial"/>
          <w:color w:val="000000" w:themeColor="text1"/>
          <w:sz w:val="22"/>
        </w:rPr>
        <w:t>Este concepto tiene el alcance previsto en el artículo 28 del Código de Procedimiento Administrativo y de lo Contencioso Administrativo.</w:t>
      </w:r>
    </w:p>
    <w:p w14:paraId="792EE550" w14:textId="69BD7EE9" w:rsidR="00BA22A9" w:rsidRPr="003D688F" w:rsidRDefault="009D5015" w:rsidP="6D8A9569">
      <w:pPr>
        <w:spacing w:line="276" w:lineRule="auto"/>
        <w:jc w:val="both"/>
        <w:rPr>
          <w:rFonts w:ascii="Arial" w:eastAsia="Calibri" w:hAnsi="Arial" w:cs="Arial"/>
          <w:color w:val="000000" w:themeColor="text1"/>
          <w:sz w:val="22"/>
        </w:rPr>
      </w:pPr>
      <w:r w:rsidRPr="003D688F">
        <w:rPr>
          <w:rFonts w:ascii="Arial" w:eastAsia="Calibri" w:hAnsi="Arial" w:cs="Arial"/>
          <w:noProof/>
          <w:color w:val="000000" w:themeColor="text1"/>
          <w:sz w:val="22"/>
          <w:lang w:val="es-ES_tradnl" w:eastAsia="es-ES_tradnl"/>
        </w:rPr>
        <mc:AlternateContent>
          <mc:Choice Requires="wps">
            <w:drawing>
              <wp:anchor distT="0" distB="0" distL="114300" distR="114300" simplePos="0" relativeHeight="251659264" behindDoc="0" locked="0" layoutInCell="1" allowOverlap="1" wp14:anchorId="1E0127D7" wp14:editId="0ADEB913">
                <wp:simplePos x="0" y="0"/>
                <wp:positionH relativeFrom="page">
                  <wp:posOffset>1514475</wp:posOffset>
                </wp:positionH>
                <wp:positionV relativeFrom="paragraph">
                  <wp:posOffset>-664</wp:posOffset>
                </wp:positionV>
                <wp:extent cx="4686300" cy="0"/>
                <wp:effectExtent l="0" t="0" r="19050" b="19050"/>
                <wp:wrapNone/>
                <wp:docPr id="5" name="Conector recto 5"/>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anchor>
            </w:drawing>
          </mc:Choice>
          <mc:Fallback xmlns:mo="http://schemas.microsoft.com/office/mac/office/2008/main" xmlns:mv="urn:schemas-microsoft-com:mac:vml" xmlns:a14="http://schemas.microsoft.com/office/drawing/2010/main" xmlns:pic="http://schemas.openxmlformats.org/drawingml/2006/picture" xmlns:a="http://schemas.openxmlformats.org/drawingml/2006/main">
            <w:pict>
              <v:line id="Conector recto 5" style="position:absolute;z-index:2516592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o:spid="_x0000_s1026" strokecolor="#dbdbdb" from="119.25pt,-.05pt" to="488.25pt,-.05pt" w14:anchorId="38B226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">
                <w10:wrap anchorx="page"/>
              </v:line>
            </w:pict>
          </mc:Fallback>
        </mc:AlternateContent>
      </w:r>
    </w:p>
    <w:p w14:paraId="45415EAF" w14:textId="681273FB" w:rsidR="00BA22A9" w:rsidRPr="003D688F" w:rsidRDefault="30ACAFD7" w:rsidP="00B10353">
      <w:pPr>
        <w:spacing w:line="276" w:lineRule="auto"/>
        <w:jc w:val="both"/>
      </w:pPr>
      <w:r w:rsidRPr="6D8A9569">
        <w:rPr>
          <w:rFonts w:ascii="Arial" w:eastAsia="Times New Roman" w:hAnsi="Arial" w:cs="Arial"/>
          <w:color w:val="000000" w:themeColor="text1"/>
          <w:sz w:val="22"/>
          <w:lang w:eastAsia="es-CO"/>
        </w:rPr>
        <w:t>Atentamente,</w:t>
      </w:r>
    </w:p>
    <w:p w14:paraId="0AFF22CE" w14:textId="6205E60E" w:rsidR="00BA22A9" w:rsidRPr="003D688F" w:rsidRDefault="00BA22A9" w:rsidP="00B10353">
      <w:pPr>
        <w:spacing w:line="276" w:lineRule="auto"/>
        <w:jc w:val="both"/>
      </w:pPr>
    </w:p>
    <w:p w14:paraId="31B78C24" w14:textId="38CD495A" w:rsidR="00BA22A9" w:rsidRPr="003D688F" w:rsidRDefault="30ACAFD7" w:rsidP="00B10353">
      <w:pPr>
        <w:spacing w:line="276" w:lineRule="auto"/>
        <w:jc w:val="both"/>
      </w:pPr>
      <w:r>
        <w:t xml:space="preserve">                       </w:t>
      </w:r>
      <w:r>
        <w:rPr>
          <w:noProof/>
        </w:rPr>
        <w:drawing>
          <wp:inline distT="0" distB="0" distL="0" distR="0" wp14:anchorId="5D8011BE" wp14:editId="72FC8B23">
            <wp:extent cx="2771775" cy="990600"/>
            <wp:effectExtent l="0" t="0" r="0" b="0"/>
            <wp:docPr id="1406296428" name="Imagen 1406296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771775" cy="990600"/>
                    </a:xfrm>
                    <a:prstGeom prst="rect">
                      <a:avLst/>
                    </a:prstGeom>
                  </pic:spPr>
                </pic:pic>
              </a:graphicData>
            </a:graphic>
          </wp:inline>
        </w:drawing>
      </w:r>
    </w:p>
    <w:p w14:paraId="4004C20E" w14:textId="77777777" w:rsidR="00BA22A9" w:rsidRPr="003D688F" w:rsidRDefault="00BA22A9" w:rsidP="00BA22A9">
      <w:pPr>
        <w:rPr>
          <w:rFonts w:ascii="Arial" w:hAnsi="Arial" w:cs="Arial"/>
          <w:color w:val="000000" w:themeColor="text1"/>
        </w:rPr>
      </w:pPr>
    </w:p>
    <w:tbl>
      <w:tblPr>
        <w:tblStyle w:val="Tablaconcuadrcula"/>
        <w:tblpPr w:leftFromText="141" w:rightFromText="141" w:vertAnchor="text" w:horzAnchor="page" w:tblpX="1265" w:tblpY="13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3D688F" w:rsidRPr="003D688F" w14:paraId="02A3E25B" w14:textId="77777777" w:rsidTr="008A0BE8">
        <w:trPr>
          <w:trHeight w:val="286"/>
        </w:trPr>
        <w:tc>
          <w:tcPr>
            <w:tcW w:w="817" w:type="dxa"/>
            <w:vAlign w:val="center"/>
          </w:tcPr>
          <w:p w14:paraId="22DCB2FF" w14:textId="77777777" w:rsidR="008A0BE8" w:rsidRPr="003D688F" w:rsidRDefault="008A0BE8" w:rsidP="008A0BE8">
            <w:pPr>
              <w:rPr>
                <w:rFonts w:ascii="Arial" w:eastAsia="Times New Roman" w:hAnsi="Arial" w:cs="Arial"/>
                <w:color w:val="000000" w:themeColor="text1"/>
                <w:sz w:val="14"/>
                <w:szCs w:val="14"/>
                <w:lang w:eastAsia="es-ES"/>
              </w:rPr>
            </w:pPr>
            <w:r w:rsidRPr="003D688F">
              <w:rPr>
                <w:rFonts w:ascii="Arial" w:eastAsia="Times New Roman" w:hAnsi="Arial" w:cs="Arial"/>
                <w:color w:val="000000" w:themeColor="text1"/>
                <w:sz w:val="14"/>
                <w:szCs w:val="14"/>
                <w:lang w:eastAsia="es-ES"/>
              </w:rPr>
              <w:t>Elaboró:</w:t>
            </w:r>
          </w:p>
        </w:tc>
        <w:tc>
          <w:tcPr>
            <w:tcW w:w="4445" w:type="dxa"/>
            <w:tcBorders>
              <w:bottom w:val="dotted" w:sz="4" w:space="0" w:color="7F7F7F" w:themeColor="text1" w:themeTint="80"/>
            </w:tcBorders>
            <w:vAlign w:val="center"/>
          </w:tcPr>
          <w:p w14:paraId="6503D38F" w14:textId="155A6863" w:rsidR="00F74F25" w:rsidRPr="003D688F" w:rsidRDefault="00213F0E" w:rsidP="00F74F25">
            <w:pPr>
              <w:rPr>
                <w:rFonts w:ascii="Arial" w:eastAsia="Times New Roman" w:hAnsi="Arial" w:cs="Arial"/>
                <w:color w:val="000000" w:themeColor="text1"/>
                <w:sz w:val="14"/>
                <w:szCs w:val="14"/>
                <w:lang w:eastAsia="es-ES"/>
              </w:rPr>
            </w:pPr>
            <w:r w:rsidRPr="003D688F">
              <w:rPr>
                <w:rFonts w:ascii="Arial" w:eastAsia="Times New Roman" w:hAnsi="Arial" w:cs="Arial"/>
                <w:color w:val="000000" w:themeColor="text1"/>
                <w:sz w:val="14"/>
                <w:szCs w:val="14"/>
                <w:lang w:eastAsia="es-ES"/>
              </w:rPr>
              <w:t>Alejandro Sarmiento Cantillo</w:t>
            </w:r>
          </w:p>
          <w:p w14:paraId="29AA3AF0" w14:textId="53226B07" w:rsidR="008A0BE8" w:rsidRPr="003D688F" w:rsidRDefault="00213F0E" w:rsidP="00F74F25">
            <w:pPr>
              <w:rPr>
                <w:rFonts w:ascii="Arial" w:eastAsia="Times New Roman" w:hAnsi="Arial" w:cs="Arial"/>
                <w:color w:val="000000" w:themeColor="text1"/>
                <w:sz w:val="14"/>
                <w:szCs w:val="14"/>
                <w:lang w:eastAsia="es-ES"/>
              </w:rPr>
            </w:pPr>
            <w:r w:rsidRPr="003D688F">
              <w:rPr>
                <w:rFonts w:ascii="Arial" w:eastAsia="Times New Roman" w:hAnsi="Arial" w:cs="Arial"/>
                <w:color w:val="000000" w:themeColor="text1"/>
                <w:sz w:val="14"/>
                <w:szCs w:val="14"/>
                <w:lang w:eastAsia="es-ES"/>
              </w:rPr>
              <w:t>Contratista, Subdirección de Gestión Contractual</w:t>
            </w:r>
          </w:p>
        </w:tc>
      </w:tr>
      <w:tr w:rsidR="003D688F" w:rsidRPr="003D688F" w14:paraId="0CA35E64" w14:textId="77777777" w:rsidTr="008A0BE8">
        <w:trPr>
          <w:trHeight w:val="299"/>
        </w:trPr>
        <w:tc>
          <w:tcPr>
            <w:tcW w:w="817" w:type="dxa"/>
            <w:vAlign w:val="center"/>
          </w:tcPr>
          <w:p w14:paraId="642F7660" w14:textId="77777777" w:rsidR="008A0BE8" w:rsidRPr="003D688F" w:rsidRDefault="008A0BE8" w:rsidP="008A0BE8">
            <w:pPr>
              <w:rPr>
                <w:rFonts w:ascii="Arial" w:eastAsia="Times New Roman" w:hAnsi="Arial" w:cs="Arial"/>
                <w:color w:val="000000" w:themeColor="text1"/>
                <w:sz w:val="14"/>
                <w:szCs w:val="14"/>
                <w:lang w:eastAsia="es-ES"/>
              </w:rPr>
            </w:pPr>
            <w:r w:rsidRPr="003D688F">
              <w:rPr>
                <w:rFonts w:ascii="Arial" w:eastAsia="Times New Roman" w:hAnsi="Arial" w:cs="Arial"/>
                <w:color w:val="000000" w:themeColor="text1"/>
                <w:sz w:val="14"/>
                <w:szCs w:val="14"/>
                <w:lang w:eastAsia="es-ES"/>
              </w:rPr>
              <w:t>Revisó:</w:t>
            </w:r>
          </w:p>
        </w:tc>
        <w:tc>
          <w:tcPr>
            <w:tcW w:w="4445" w:type="dxa"/>
            <w:tcBorders>
              <w:top w:val="dotted" w:sz="4" w:space="0" w:color="7F7F7F" w:themeColor="text1" w:themeTint="80"/>
              <w:bottom w:val="dotted" w:sz="4" w:space="0" w:color="7F7F7F" w:themeColor="text1" w:themeTint="80"/>
            </w:tcBorders>
            <w:vAlign w:val="center"/>
          </w:tcPr>
          <w:p w14:paraId="6F282590" w14:textId="77777777" w:rsidR="00213F0E" w:rsidRPr="003D688F" w:rsidRDefault="00213F0E" w:rsidP="00213F0E">
            <w:pPr>
              <w:rPr>
                <w:rFonts w:ascii="Arial" w:eastAsia="Times New Roman" w:hAnsi="Arial" w:cs="Arial"/>
                <w:color w:val="000000" w:themeColor="text1"/>
                <w:sz w:val="14"/>
                <w:szCs w:val="14"/>
                <w:lang w:eastAsia="es-ES"/>
              </w:rPr>
            </w:pPr>
            <w:r w:rsidRPr="003D688F">
              <w:rPr>
                <w:rFonts w:ascii="Arial" w:eastAsia="Times New Roman" w:hAnsi="Arial" w:cs="Arial"/>
                <w:color w:val="000000" w:themeColor="text1"/>
                <w:sz w:val="14"/>
                <w:szCs w:val="14"/>
                <w:lang w:eastAsia="es-ES"/>
              </w:rPr>
              <w:t>Fabián Gonzalo Marín Cortés</w:t>
            </w:r>
          </w:p>
          <w:p w14:paraId="41D467EA" w14:textId="7235FD7F" w:rsidR="008A0BE8" w:rsidRPr="003D688F" w:rsidRDefault="00213F0E" w:rsidP="00213F0E">
            <w:pPr>
              <w:rPr>
                <w:rFonts w:ascii="Arial" w:eastAsia="Times New Roman" w:hAnsi="Arial" w:cs="Arial"/>
                <w:color w:val="000000" w:themeColor="text1"/>
                <w:sz w:val="14"/>
                <w:szCs w:val="14"/>
                <w:lang w:eastAsia="es-ES"/>
              </w:rPr>
            </w:pPr>
            <w:r w:rsidRPr="003D688F">
              <w:rPr>
                <w:rFonts w:ascii="Arial" w:eastAsia="Times New Roman" w:hAnsi="Arial" w:cs="Arial"/>
                <w:color w:val="000000" w:themeColor="text1"/>
                <w:sz w:val="14"/>
                <w:szCs w:val="14"/>
                <w:lang w:eastAsia="es-ES"/>
              </w:rPr>
              <w:t>Subdirector de Gestión Contractual</w:t>
            </w:r>
          </w:p>
        </w:tc>
      </w:tr>
      <w:tr w:rsidR="003D688F" w:rsidRPr="003D688F" w14:paraId="1C7A7BCC" w14:textId="77777777" w:rsidTr="008A0BE8">
        <w:trPr>
          <w:trHeight w:val="272"/>
        </w:trPr>
        <w:tc>
          <w:tcPr>
            <w:tcW w:w="817" w:type="dxa"/>
            <w:vAlign w:val="center"/>
          </w:tcPr>
          <w:p w14:paraId="7268E8C2" w14:textId="77777777" w:rsidR="008A0BE8" w:rsidRPr="003D688F" w:rsidRDefault="008A0BE8" w:rsidP="008A0BE8">
            <w:pPr>
              <w:rPr>
                <w:rFonts w:ascii="Arial" w:eastAsia="Times New Roman" w:hAnsi="Arial" w:cs="Arial"/>
                <w:color w:val="000000" w:themeColor="text1"/>
                <w:sz w:val="14"/>
                <w:szCs w:val="14"/>
                <w:lang w:eastAsia="es-ES"/>
              </w:rPr>
            </w:pPr>
            <w:r w:rsidRPr="003D688F">
              <w:rPr>
                <w:rFonts w:ascii="Arial" w:eastAsia="Times New Roman" w:hAnsi="Arial" w:cs="Arial"/>
                <w:color w:val="000000" w:themeColor="text1"/>
                <w:sz w:val="14"/>
                <w:szCs w:val="14"/>
                <w:lang w:eastAsia="es-ES"/>
              </w:rPr>
              <w:t>Aprobó:</w:t>
            </w:r>
          </w:p>
        </w:tc>
        <w:tc>
          <w:tcPr>
            <w:tcW w:w="4445" w:type="dxa"/>
            <w:tcBorders>
              <w:top w:val="dotted" w:sz="4" w:space="0" w:color="7F7F7F" w:themeColor="text1" w:themeTint="80"/>
              <w:bottom w:val="dotted" w:sz="4" w:space="0" w:color="7F7F7F" w:themeColor="text1" w:themeTint="80"/>
            </w:tcBorders>
            <w:vAlign w:val="center"/>
          </w:tcPr>
          <w:p w14:paraId="3DB650CA" w14:textId="77777777" w:rsidR="008A0BE8" w:rsidRPr="003D688F" w:rsidRDefault="008A0BE8" w:rsidP="008A0BE8">
            <w:pPr>
              <w:rPr>
                <w:rFonts w:ascii="Arial" w:eastAsia="Times New Roman" w:hAnsi="Arial" w:cs="Arial"/>
                <w:color w:val="000000" w:themeColor="text1"/>
                <w:sz w:val="14"/>
                <w:szCs w:val="14"/>
                <w:lang w:eastAsia="es-ES"/>
              </w:rPr>
            </w:pPr>
            <w:r w:rsidRPr="003D688F">
              <w:rPr>
                <w:rFonts w:ascii="Arial" w:eastAsia="Times New Roman" w:hAnsi="Arial" w:cs="Arial"/>
                <w:color w:val="000000" w:themeColor="text1"/>
                <w:sz w:val="14"/>
                <w:szCs w:val="14"/>
                <w:lang w:eastAsia="es-ES"/>
              </w:rPr>
              <w:t>Fabián Gonzalo Marín Cortés</w:t>
            </w:r>
          </w:p>
          <w:p w14:paraId="16462808" w14:textId="77777777" w:rsidR="008A0BE8" w:rsidRPr="003D688F" w:rsidRDefault="008A0BE8" w:rsidP="008A0BE8">
            <w:pPr>
              <w:rPr>
                <w:rFonts w:ascii="Arial" w:eastAsia="Times New Roman" w:hAnsi="Arial" w:cs="Arial"/>
                <w:color w:val="000000" w:themeColor="text1"/>
                <w:sz w:val="14"/>
                <w:szCs w:val="14"/>
                <w:lang w:eastAsia="es-ES"/>
              </w:rPr>
            </w:pPr>
            <w:r w:rsidRPr="003D688F">
              <w:rPr>
                <w:rFonts w:ascii="Arial" w:eastAsia="Times New Roman" w:hAnsi="Arial" w:cs="Arial"/>
                <w:color w:val="000000" w:themeColor="text1"/>
                <w:sz w:val="14"/>
                <w:szCs w:val="14"/>
                <w:lang w:eastAsia="es-ES"/>
              </w:rPr>
              <w:t>Subdirector de Gestión Contractual</w:t>
            </w:r>
          </w:p>
        </w:tc>
      </w:tr>
      <w:bookmarkEnd w:id="3"/>
      <w:bookmarkEnd w:id="4"/>
    </w:tbl>
    <w:p w14:paraId="35B56F46" w14:textId="77777777" w:rsidR="00746E08" w:rsidRPr="003D688F" w:rsidRDefault="00746E08" w:rsidP="00746E08">
      <w:pPr>
        <w:rPr>
          <w:rFonts w:ascii="Arial" w:eastAsia="Times New Roman" w:hAnsi="Arial" w:cs="Arial"/>
          <w:color w:val="000000" w:themeColor="text1"/>
          <w:sz w:val="16"/>
          <w:szCs w:val="16"/>
          <w:lang w:eastAsia="es-ES"/>
        </w:rPr>
      </w:pPr>
    </w:p>
    <w:sectPr w:rsidR="00746E08" w:rsidRPr="003D688F" w:rsidSect="00015765">
      <w:headerReference w:type="default" r:id="rId12"/>
      <w:footerReference w:type="default" r:id="rId13"/>
      <w:pgSz w:w="12240" w:h="15840"/>
      <w:pgMar w:top="1928" w:right="1701" w:bottom="1361"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D90994" w14:textId="77777777" w:rsidR="009B33E8" w:rsidRDefault="009B33E8">
      <w:r>
        <w:separator/>
      </w:r>
    </w:p>
  </w:endnote>
  <w:endnote w:type="continuationSeparator" w:id="0">
    <w:p w14:paraId="3D9DBDD2" w14:textId="77777777" w:rsidR="009B33E8" w:rsidRDefault="009B33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A43FA8" w:rsidRDefault="00A43FA8" w:rsidP="00322937">
    <w:pPr>
      <w:pStyle w:val="Sinespaciado"/>
      <w:jc w:val="right"/>
      <w:rPr>
        <w:rFonts w:ascii="Arial" w:hAnsi="Arial" w:cs="Arial"/>
        <w:sz w:val="18"/>
        <w:szCs w:val="18"/>
      </w:rPr>
    </w:pPr>
  </w:p>
  <w:p w14:paraId="7A3785F3" w14:textId="2EF28465" w:rsidR="00A43FA8" w:rsidRPr="008217B7" w:rsidRDefault="00A43FA8"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293FBF">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293FBF">
      <w:rPr>
        <w:rFonts w:ascii="Arial" w:hAnsi="Arial" w:cs="Arial"/>
        <w:b/>
        <w:bCs/>
        <w:noProof/>
        <w:color w:val="7F7F7F" w:themeColor="text1" w:themeTint="80"/>
        <w:sz w:val="16"/>
        <w:szCs w:val="16"/>
      </w:rPr>
      <w:t>14</w:t>
    </w:r>
    <w:r w:rsidRPr="00084B97">
      <w:rPr>
        <w:rFonts w:ascii="Arial" w:hAnsi="Arial" w:cs="Arial"/>
        <w:b/>
        <w:bCs/>
        <w:color w:val="7F7F7F" w:themeColor="text1" w:themeTint="80"/>
        <w:sz w:val="16"/>
        <w:szCs w:val="16"/>
      </w:rPr>
      <w:fldChar w:fldCharType="end"/>
    </w:r>
  </w:p>
  <w:p w14:paraId="48FC6A04" w14:textId="5FD1A7C9" w:rsidR="00A43FA8" w:rsidRDefault="4B352AAE" w:rsidP="00322937">
    <w:pPr>
      <w:pStyle w:val="Piedepgina"/>
      <w:jc w:val="center"/>
      <w:rPr>
        <w:lang w:val="es-ES"/>
      </w:rPr>
    </w:pPr>
    <w:r>
      <w:rPr>
        <w:noProof/>
      </w:rPr>
      <w:drawing>
        <wp:inline distT="0" distB="0" distL="0" distR="0" wp14:anchorId="608B196D" wp14:editId="373A5521">
          <wp:extent cx="3700130" cy="519139"/>
          <wp:effectExtent l="0" t="0" r="0" b="0"/>
          <wp:docPr id="204939994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A43FA8" w:rsidRDefault="00A43FA8" w:rsidP="007B0854">
    <w:pPr>
      <w:pStyle w:val="Piedepgina"/>
      <w:jc w:val="center"/>
      <w:rPr>
        <w:lang w:val="es-ES"/>
      </w:rPr>
    </w:pPr>
  </w:p>
  <w:p w14:paraId="6C0EFC49" w14:textId="77777777" w:rsidR="00A43FA8" w:rsidRPr="007B0854" w:rsidRDefault="00A43FA8"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AEC59A" w14:textId="77777777" w:rsidR="009B33E8" w:rsidRDefault="009B33E8">
      <w:r>
        <w:separator/>
      </w:r>
    </w:p>
  </w:footnote>
  <w:footnote w:type="continuationSeparator" w:id="0">
    <w:p w14:paraId="6469AC3B" w14:textId="77777777" w:rsidR="009B33E8" w:rsidRDefault="009B33E8">
      <w:r>
        <w:continuationSeparator/>
      </w:r>
    </w:p>
  </w:footnote>
  <w:footnote w:id="1">
    <w:p w14:paraId="33B2D95C" w14:textId="77777777" w:rsidR="001A2559" w:rsidRPr="003D688F" w:rsidRDefault="001A2559" w:rsidP="001A2559">
      <w:pPr>
        <w:pStyle w:val="Textonotapie"/>
        <w:ind w:firstLine="709"/>
        <w:jc w:val="both"/>
        <w:rPr>
          <w:rFonts w:ascii="Arial" w:hAnsi="Arial" w:cs="Arial"/>
          <w:color w:val="000000" w:themeColor="text1"/>
          <w:sz w:val="19"/>
          <w:szCs w:val="19"/>
        </w:rPr>
      </w:pPr>
      <w:r w:rsidRPr="003D688F">
        <w:rPr>
          <w:rStyle w:val="Refdenotaalpie"/>
          <w:rFonts w:ascii="Arial" w:hAnsi="Arial" w:cs="Arial"/>
          <w:color w:val="000000" w:themeColor="text1"/>
          <w:sz w:val="19"/>
          <w:szCs w:val="19"/>
        </w:rPr>
        <w:footnoteRef/>
      </w:r>
      <w:r w:rsidRPr="003D688F">
        <w:rPr>
          <w:rFonts w:ascii="Arial" w:hAnsi="Arial" w:cs="Arial"/>
          <w:color w:val="000000" w:themeColor="text1"/>
          <w:sz w:val="19"/>
          <w:szCs w:val="19"/>
        </w:rPr>
        <w:t xml:space="preserve"> Corte Constitucional. Sentencia C- 341 del 4 de junio de 2014. M. P. Mauricio González Cuervo.</w:t>
      </w:r>
    </w:p>
    <w:p w14:paraId="6F495B7C" w14:textId="77777777" w:rsidR="001A2559" w:rsidRPr="003D688F" w:rsidRDefault="001A2559" w:rsidP="001A2559">
      <w:pPr>
        <w:pStyle w:val="Textonotapie"/>
        <w:ind w:firstLine="709"/>
        <w:jc w:val="both"/>
        <w:rPr>
          <w:rFonts w:ascii="Arial" w:hAnsi="Arial" w:cs="Arial"/>
          <w:color w:val="000000" w:themeColor="text1"/>
          <w:sz w:val="19"/>
          <w:szCs w:val="19"/>
        </w:rPr>
      </w:pPr>
    </w:p>
  </w:footnote>
  <w:footnote w:id="2">
    <w:p w14:paraId="6C47A5AC" w14:textId="77777777" w:rsidR="001A2559" w:rsidRPr="003D688F" w:rsidRDefault="001A2559" w:rsidP="001A2559">
      <w:pPr>
        <w:pStyle w:val="Textonotapie"/>
        <w:ind w:firstLine="709"/>
        <w:jc w:val="both"/>
        <w:rPr>
          <w:rFonts w:ascii="Arial" w:hAnsi="Arial" w:cs="Arial"/>
          <w:color w:val="000000" w:themeColor="text1"/>
          <w:sz w:val="19"/>
          <w:szCs w:val="19"/>
        </w:rPr>
      </w:pPr>
      <w:r w:rsidRPr="003D688F">
        <w:rPr>
          <w:rStyle w:val="Refdenotaalpie"/>
          <w:rFonts w:ascii="Arial" w:hAnsi="Arial" w:cs="Arial"/>
          <w:color w:val="000000" w:themeColor="text1"/>
          <w:sz w:val="19"/>
          <w:szCs w:val="19"/>
        </w:rPr>
        <w:footnoteRef/>
      </w:r>
      <w:r w:rsidRPr="003D688F">
        <w:rPr>
          <w:rFonts w:ascii="Arial" w:hAnsi="Arial" w:cs="Arial"/>
          <w:color w:val="000000" w:themeColor="text1"/>
          <w:sz w:val="19"/>
          <w:szCs w:val="19"/>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13AB9A9E" w14:textId="77777777" w:rsidR="001A2559" w:rsidRPr="003D688F" w:rsidRDefault="001A2559" w:rsidP="001A2559">
      <w:pPr>
        <w:pStyle w:val="Textonotapie"/>
        <w:ind w:firstLine="709"/>
        <w:jc w:val="both"/>
        <w:rPr>
          <w:rFonts w:ascii="Arial" w:hAnsi="Arial" w:cs="Arial"/>
          <w:color w:val="000000" w:themeColor="text1"/>
          <w:sz w:val="19"/>
          <w:szCs w:val="19"/>
        </w:rPr>
      </w:pPr>
      <w:r w:rsidRPr="003D688F">
        <w:rPr>
          <w:rFonts w:ascii="Arial" w:hAnsi="Arial" w:cs="Arial"/>
          <w:color w:val="000000" w:themeColor="text1"/>
          <w:sz w:val="19"/>
          <w:szCs w:val="19"/>
        </w:rPr>
        <w:t>»Lo anterior, sin perjuicio de las publicaciones previstas en el numeral 3 del artículo 30 de la Ley 80 de 1993.</w:t>
      </w:r>
    </w:p>
    <w:p w14:paraId="39575EDD" w14:textId="77777777" w:rsidR="001A2559" w:rsidRPr="003D688F" w:rsidRDefault="001A2559" w:rsidP="001A2559">
      <w:pPr>
        <w:pStyle w:val="Textonotapie"/>
        <w:ind w:firstLine="709"/>
        <w:jc w:val="both"/>
        <w:rPr>
          <w:rFonts w:ascii="Arial" w:hAnsi="Arial" w:cs="Arial"/>
          <w:color w:val="000000" w:themeColor="text1"/>
          <w:sz w:val="19"/>
          <w:szCs w:val="19"/>
        </w:rPr>
      </w:pPr>
      <w:r w:rsidRPr="003D688F">
        <w:rPr>
          <w:rFonts w:ascii="Arial" w:hAnsi="Arial" w:cs="Arial"/>
          <w:color w:val="000000" w:themeColor="text1"/>
          <w:sz w:val="19"/>
          <w:szCs w:val="19"/>
        </w:rPr>
        <w:t xml:space="preserve">»Con el fin de materializar los objetivos a que se refiere el inciso anterior, el Gobierno Nacional desarrollará el Sistema Electrónico para la Contratación Pública, Secop, el cual: </w:t>
      </w:r>
    </w:p>
    <w:p w14:paraId="67DF185A" w14:textId="77777777" w:rsidR="001A2559" w:rsidRPr="003D688F" w:rsidRDefault="001A2559" w:rsidP="001A2559">
      <w:pPr>
        <w:pStyle w:val="Textonotapie"/>
        <w:ind w:firstLine="709"/>
        <w:jc w:val="both"/>
        <w:rPr>
          <w:rFonts w:ascii="Arial" w:hAnsi="Arial" w:cs="Arial"/>
          <w:color w:val="000000" w:themeColor="text1"/>
          <w:sz w:val="19"/>
          <w:szCs w:val="19"/>
        </w:rPr>
      </w:pPr>
      <w:r w:rsidRPr="003D688F">
        <w:rPr>
          <w:rFonts w:ascii="Arial" w:hAnsi="Arial" w:cs="Arial"/>
          <w:color w:val="000000" w:themeColor="text1"/>
          <w:sz w:val="19"/>
          <w:szCs w:val="19"/>
        </w:rPr>
        <w:t>[…]</w:t>
      </w:r>
    </w:p>
    <w:p w14:paraId="74B62D41" w14:textId="77777777" w:rsidR="001A2559" w:rsidRPr="003D688F" w:rsidRDefault="001A2559" w:rsidP="001A2559">
      <w:pPr>
        <w:pStyle w:val="Textonotapie"/>
        <w:ind w:firstLine="709"/>
        <w:jc w:val="both"/>
        <w:rPr>
          <w:rFonts w:ascii="Arial" w:hAnsi="Arial" w:cs="Arial"/>
          <w:color w:val="000000" w:themeColor="text1"/>
          <w:sz w:val="19"/>
          <w:szCs w:val="19"/>
        </w:rPr>
      </w:pPr>
      <w:r w:rsidRPr="003D688F">
        <w:rPr>
          <w:rFonts w:ascii="Arial" w:hAnsi="Arial" w:cs="Arial"/>
          <w:color w:val="000000" w:themeColor="text1"/>
          <w:sz w:val="19"/>
          <w:szCs w:val="19"/>
        </w:rPr>
        <w:t xml:space="preserve">»c) Contará con la información oficial de la contratación realizada con dineros públicos, para lo cual establecerá los patrones a que haya lugar y se encargará de su difusión a través de canales electrónico». </w:t>
      </w:r>
    </w:p>
    <w:p w14:paraId="0BF2FA6C" w14:textId="77777777" w:rsidR="001A2559" w:rsidRPr="003D688F" w:rsidRDefault="001A2559" w:rsidP="001A2559">
      <w:pPr>
        <w:pStyle w:val="Textonotapie"/>
        <w:jc w:val="both"/>
        <w:rPr>
          <w:rFonts w:ascii="Arial" w:hAnsi="Arial" w:cs="Arial"/>
          <w:color w:val="000000" w:themeColor="text1"/>
          <w:sz w:val="19"/>
          <w:szCs w:val="19"/>
        </w:rPr>
      </w:pPr>
    </w:p>
  </w:footnote>
  <w:footnote w:id="3">
    <w:p w14:paraId="037DB29E" w14:textId="77777777" w:rsidR="001A2559" w:rsidRPr="003D688F" w:rsidRDefault="001A2559" w:rsidP="001A2559">
      <w:pPr>
        <w:pStyle w:val="Textonotapie"/>
        <w:ind w:firstLine="709"/>
        <w:jc w:val="both"/>
        <w:rPr>
          <w:rFonts w:ascii="Arial" w:hAnsi="Arial" w:cs="Arial"/>
          <w:color w:val="000000" w:themeColor="text1"/>
          <w:sz w:val="19"/>
          <w:szCs w:val="19"/>
        </w:rPr>
      </w:pPr>
      <w:r w:rsidRPr="003D688F">
        <w:rPr>
          <w:rStyle w:val="Refdenotaalpie"/>
          <w:rFonts w:ascii="Arial" w:hAnsi="Arial" w:cs="Arial"/>
          <w:color w:val="000000" w:themeColor="text1"/>
          <w:sz w:val="19"/>
          <w:szCs w:val="19"/>
        </w:rPr>
        <w:footnoteRef/>
      </w:r>
      <w:r w:rsidRPr="003D688F">
        <w:rPr>
          <w:rFonts w:ascii="Arial" w:hAnsi="Arial" w:cs="Arial"/>
          <w:color w:val="000000" w:themeColor="text1"/>
          <w:sz w:val="19"/>
          <w:szCs w:val="19"/>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0839FF6A" w14:textId="77777777" w:rsidR="001A2559" w:rsidRPr="003D688F" w:rsidRDefault="001A2559" w:rsidP="001A2559">
      <w:pPr>
        <w:pStyle w:val="Textonotapie"/>
        <w:ind w:firstLine="709"/>
        <w:jc w:val="both"/>
        <w:rPr>
          <w:rFonts w:ascii="Arial" w:hAnsi="Arial" w:cs="Arial"/>
          <w:color w:val="000000" w:themeColor="text1"/>
          <w:sz w:val="19"/>
          <w:szCs w:val="19"/>
        </w:rPr>
      </w:pPr>
    </w:p>
  </w:footnote>
  <w:footnote w:id="4">
    <w:p w14:paraId="340838D6" w14:textId="77777777" w:rsidR="001A2559" w:rsidRPr="003D688F" w:rsidRDefault="001A2559" w:rsidP="001A2559">
      <w:pPr>
        <w:pStyle w:val="Textonotapie"/>
        <w:ind w:firstLine="709"/>
        <w:jc w:val="both"/>
        <w:rPr>
          <w:rFonts w:ascii="Arial" w:hAnsi="Arial" w:cs="Arial"/>
          <w:color w:val="000000" w:themeColor="text1"/>
          <w:sz w:val="19"/>
          <w:szCs w:val="19"/>
        </w:rPr>
      </w:pPr>
      <w:r w:rsidRPr="003D688F">
        <w:rPr>
          <w:rStyle w:val="Refdenotaalpie"/>
          <w:rFonts w:ascii="Arial" w:hAnsi="Arial" w:cs="Arial"/>
          <w:color w:val="000000" w:themeColor="text1"/>
          <w:sz w:val="19"/>
          <w:szCs w:val="19"/>
        </w:rPr>
        <w:footnoteRef/>
      </w:r>
      <w:r w:rsidRPr="003D688F">
        <w:rPr>
          <w:rFonts w:ascii="Arial" w:hAnsi="Arial" w:cs="Arial"/>
          <w:color w:val="000000" w:themeColor="text1"/>
          <w:sz w:val="19"/>
          <w:szCs w:val="19"/>
        </w:rPr>
        <w:t xml:space="preserve"> Ley 1712 de 2014: «Artículo 5. Ámbito de aplicación. Las disposiciones de esta ley serán aplicables a las siguientes personas en calidad de sujetos obligados: </w:t>
      </w:r>
    </w:p>
    <w:p w14:paraId="3A792D7A" w14:textId="77777777" w:rsidR="001A2559" w:rsidRPr="003D688F" w:rsidRDefault="001A2559" w:rsidP="001A2559">
      <w:pPr>
        <w:pStyle w:val="Textonotapie"/>
        <w:ind w:firstLine="709"/>
        <w:jc w:val="both"/>
        <w:rPr>
          <w:rFonts w:ascii="Arial" w:hAnsi="Arial" w:cs="Arial"/>
          <w:color w:val="000000" w:themeColor="text1"/>
          <w:sz w:val="19"/>
          <w:szCs w:val="19"/>
        </w:rPr>
      </w:pPr>
      <w:r w:rsidRPr="003D688F">
        <w:rPr>
          <w:rFonts w:ascii="Arial" w:hAnsi="Arial" w:cs="Arial"/>
          <w:color w:val="000000" w:themeColor="text1"/>
          <w:sz w:val="19"/>
          <w:szCs w:val="19"/>
        </w:rPr>
        <w:t>»a) Toda entidad pública, incluyendo las pertenecientes a todas las Ramas del Poder Público, en todos los niveles de la estructura estatal, central o descentralizada por servicios o territorialmente, en los órdenes nacional, departamental, municipal y distrital». Obsérvese que este artículo no efectúa distinción alguna sobre el régimen jurídico aplicable a los sujetos obligados.</w:t>
      </w:r>
    </w:p>
    <w:p w14:paraId="55D282F3" w14:textId="77777777" w:rsidR="001A2559" w:rsidRPr="003D688F" w:rsidRDefault="001A2559" w:rsidP="001A2559">
      <w:pPr>
        <w:pStyle w:val="Textonotapie"/>
        <w:ind w:firstLine="709"/>
        <w:jc w:val="both"/>
        <w:rPr>
          <w:rFonts w:ascii="Arial" w:hAnsi="Arial" w:cs="Arial"/>
          <w:color w:val="000000" w:themeColor="text1"/>
          <w:sz w:val="19"/>
          <w:szCs w:val="19"/>
        </w:rPr>
      </w:pPr>
    </w:p>
  </w:footnote>
  <w:footnote w:id="5">
    <w:p w14:paraId="07F6981F" w14:textId="77777777" w:rsidR="001A2559" w:rsidRPr="003D688F" w:rsidRDefault="001A2559" w:rsidP="001A2559">
      <w:pPr>
        <w:pStyle w:val="Textonotapie"/>
        <w:ind w:firstLine="709"/>
        <w:jc w:val="both"/>
        <w:rPr>
          <w:rFonts w:ascii="Arial" w:hAnsi="Arial" w:cs="Arial"/>
          <w:color w:val="000000" w:themeColor="text1"/>
          <w:sz w:val="19"/>
          <w:szCs w:val="19"/>
        </w:rPr>
      </w:pPr>
      <w:r w:rsidRPr="003D688F">
        <w:rPr>
          <w:rFonts w:ascii="Arial" w:hAnsi="Arial" w:cs="Arial"/>
          <w:color w:val="000000" w:themeColor="text1"/>
          <w:sz w:val="19"/>
          <w:szCs w:val="19"/>
          <w:vertAlign w:val="superscript"/>
          <w:lang w:val="es-ES" w:eastAsia="es-ES"/>
        </w:rPr>
        <w:footnoteRef/>
      </w:r>
      <w:r w:rsidRPr="003D688F">
        <w:rPr>
          <w:rFonts w:ascii="Arial" w:hAnsi="Arial" w:cs="Arial"/>
          <w:color w:val="000000" w:themeColor="text1"/>
          <w:sz w:val="19"/>
          <w:szCs w:val="19"/>
          <w:vertAlign w:val="superscript"/>
          <w:lang w:val="es-ES" w:eastAsia="es-ES"/>
        </w:rPr>
        <w:t xml:space="preserve"> </w:t>
      </w:r>
      <w:r w:rsidRPr="003D688F">
        <w:rPr>
          <w:rFonts w:ascii="Arial" w:hAnsi="Arial" w:cs="Arial"/>
          <w:color w:val="000000" w:themeColor="text1"/>
          <w:sz w:val="19"/>
          <w:szCs w:val="19"/>
          <w:lang w:val="es-ES" w:eastAsia="es-ES"/>
        </w:rPr>
        <w:t>«</w:t>
      </w:r>
      <w:r w:rsidRPr="003D688F">
        <w:rPr>
          <w:rFonts w:ascii="Arial" w:hAnsi="Arial" w:cs="Arial"/>
          <w:color w:val="000000" w:themeColor="text1"/>
          <w:sz w:val="19"/>
          <w:szCs w:val="19"/>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1A3689B2" w14:textId="77777777" w:rsidR="001A2559" w:rsidRPr="003D688F" w:rsidRDefault="001A2559" w:rsidP="001A2559">
      <w:pPr>
        <w:pStyle w:val="Textonotapie"/>
        <w:ind w:firstLine="709"/>
        <w:jc w:val="both"/>
        <w:rPr>
          <w:rFonts w:ascii="Arial" w:hAnsi="Arial" w:cs="Arial"/>
          <w:color w:val="000000" w:themeColor="text1"/>
          <w:sz w:val="19"/>
          <w:szCs w:val="19"/>
          <w:lang w:val="es-ES" w:eastAsia="es-ES"/>
        </w:rPr>
      </w:pPr>
      <w:r w:rsidRPr="003D688F">
        <w:rPr>
          <w:rFonts w:ascii="Arial" w:hAnsi="Arial" w:cs="Arial"/>
          <w:color w:val="000000" w:themeColor="text1"/>
          <w:sz w:val="19"/>
          <w:szCs w:val="19"/>
        </w:rPr>
        <w:t>[…].</w:t>
      </w:r>
    </w:p>
    <w:p w14:paraId="394D407D" w14:textId="77777777" w:rsidR="001A2559" w:rsidRPr="003D688F" w:rsidRDefault="001A2559" w:rsidP="001A2559">
      <w:pPr>
        <w:pStyle w:val="Textonotapie"/>
        <w:ind w:firstLine="709"/>
        <w:jc w:val="both"/>
        <w:rPr>
          <w:rFonts w:ascii="Arial" w:hAnsi="Arial" w:cs="Arial"/>
          <w:color w:val="000000" w:themeColor="text1"/>
          <w:sz w:val="19"/>
          <w:szCs w:val="19"/>
          <w:lang w:val="es-ES" w:eastAsia="es-ES"/>
        </w:rPr>
      </w:pPr>
      <w:r w:rsidRPr="003D688F">
        <w:rPr>
          <w:rFonts w:ascii="Arial" w:hAnsi="Arial" w:cs="Arial"/>
          <w:color w:val="000000" w:themeColor="text1"/>
          <w:sz w:val="19"/>
          <w:szCs w:val="19"/>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63AFD88B" w14:textId="77777777" w:rsidR="001A2559" w:rsidRPr="003D688F" w:rsidRDefault="001A2559" w:rsidP="001A2559">
      <w:pPr>
        <w:pStyle w:val="Textonotapie"/>
        <w:ind w:firstLine="709"/>
        <w:jc w:val="both"/>
        <w:rPr>
          <w:rFonts w:ascii="Arial" w:hAnsi="Arial" w:cs="Arial"/>
          <w:color w:val="000000" w:themeColor="text1"/>
          <w:sz w:val="19"/>
          <w:szCs w:val="19"/>
          <w:lang w:val="es-ES" w:eastAsia="es-ES"/>
        </w:rPr>
      </w:pPr>
    </w:p>
  </w:footnote>
  <w:footnote w:id="6">
    <w:p w14:paraId="6C13443B" w14:textId="77777777" w:rsidR="001A2559" w:rsidRPr="003D688F" w:rsidRDefault="001A2559" w:rsidP="001A2559">
      <w:pPr>
        <w:pStyle w:val="Textonotapie"/>
        <w:ind w:firstLine="709"/>
        <w:jc w:val="both"/>
        <w:rPr>
          <w:rFonts w:ascii="Arial" w:hAnsi="Arial" w:cs="Arial"/>
          <w:color w:val="000000" w:themeColor="text1"/>
          <w:sz w:val="19"/>
          <w:szCs w:val="19"/>
        </w:rPr>
      </w:pPr>
      <w:r w:rsidRPr="003D688F">
        <w:rPr>
          <w:rStyle w:val="Refdenotaalpie"/>
          <w:rFonts w:ascii="Arial" w:hAnsi="Arial" w:cs="Arial"/>
          <w:color w:val="000000" w:themeColor="text1"/>
          <w:sz w:val="19"/>
          <w:szCs w:val="19"/>
        </w:rPr>
        <w:footnoteRef/>
      </w:r>
      <w:r w:rsidRPr="003D688F">
        <w:rPr>
          <w:rFonts w:ascii="Arial" w:hAnsi="Arial" w:cs="Arial"/>
          <w:color w:val="000000" w:themeColor="text1"/>
          <w:sz w:val="19"/>
          <w:szCs w:val="19"/>
        </w:rPr>
        <w:t xml:space="preserve"> C</w:t>
      </w:r>
      <w:r w:rsidRPr="003D688F">
        <w:rPr>
          <w:rFonts w:ascii="Arial" w:hAnsi="Arial" w:cs="Arial"/>
          <w:color w:val="000000" w:themeColor="text1"/>
          <w:sz w:val="19"/>
          <w:szCs w:val="19"/>
          <w:lang w:val="es-ES" w:eastAsia="es-ES"/>
        </w:rPr>
        <w:t xml:space="preserve">orte Constitucional. Sentencia C-274 de 9 de mayo de 2013. M.P. María Victoria Calle Correa. </w:t>
      </w:r>
    </w:p>
    <w:p w14:paraId="3A2D6F50" w14:textId="77777777" w:rsidR="001A2559" w:rsidRPr="003D688F" w:rsidRDefault="001A2559" w:rsidP="001A2559">
      <w:pPr>
        <w:pStyle w:val="Textonotapie"/>
        <w:ind w:firstLine="709"/>
        <w:jc w:val="both"/>
        <w:rPr>
          <w:rFonts w:ascii="Arial" w:hAnsi="Arial" w:cs="Arial"/>
          <w:color w:val="000000" w:themeColor="text1"/>
          <w:sz w:val="19"/>
          <w:szCs w:val="19"/>
        </w:rPr>
      </w:pPr>
    </w:p>
  </w:footnote>
  <w:footnote w:id="7">
    <w:p w14:paraId="7C142ED8" w14:textId="77777777" w:rsidR="001A2559" w:rsidRPr="003D688F" w:rsidRDefault="001A2559" w:rsidP="001A2559">
      <w:pPr>
        <w:pStyle w:val="Textonotapie"/>
        <w:ind w:firstLine="709"/>
        <w:jc w:val="both"/>
        <w:rPr>
          <w:rFonts w:ascii="Arial" w:hAnsi="Arial" w:cs="Arial"/>
          <w:color w:val="000000" w:themeColor="text1"/>
          <w:sz w:val="19"/>
          <w:szCs w:val="19"/>
        </w:rPr>
      </w:pPr>
      <w:r w:rsidRPr="003D688F">
        <w:rPr>
          <w:rStyle w:val="Refdenotaalpie"/>
          <w:rFonts w:ascii="Arial" w:hAnsi="Arial" w:cs="Arial"/>
          <w:color w:val="000000" w:themeColor="text1"/>
          <w:sz w:val="19"/>
          <w:szCs w:val="19"/>
        </w:rPr>
        <w:footnoteRef/>
      </w:r>
      <w:r w:rsidRPr="003D688F">
        <w:rPr>
          <w:rFonts w:ascii="Arial" w:hAnsi="Arial" w:cs="Arial"/>
          <w:color w:val="000000" w:themeColor="text1"/>
          <w:sz w:val="19"/>
          <w:szCs w:val="19"/>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p w14:paraId="2D560C0E" w14:textId="77777777" w:rsidR="001A2559" w:rsidRPr="003D688F" w:rsidRDefault="001A2559" w:rsidP="001A2559">
      <w:pPr>
        <w:pStyle w:val="Textonotapie"/>
        <w:ind w:firstLine="709"/>
        <w:jc w:val="both"/>
        <w:rPr>
          <w:rFonts w:ascii="Arial" w:hAnsi="Arial" w:cs="Arial"/>
          <w:color w:val="000000" w:themeColor="text1"/>
          <w:sz w:val="19"/>
          <w:szCs w:val="19"/>
        </w:rPr>
      </w:pPr>
    </w:p>
  </w:footnote>
  <w:footnote w:id="8">
    <w:p w14:paraId="59194B07" w14:textId="77777777" w:rsidR="001A2559" w:rsidRPr="003D688F" w:rsidRDefault="001A2559" w:rsidP="001A2559">
      <w:pPr>
        <w:pStyle w:val="Textonotapie"/>
        <w:ind w:firstLine="709"/>
        <w:jc w:val="both"/>
        <w:rPr>
          <w:rFonts w:ascii="Arial" w:hAnsi="Arial" w:cs="Arial"/>
          <w:color w:val="000000" w:themeColor="text1"/>
          <w:sz w:val="19"/>
          <w:szCs w:val="19"/>
        </w:rPr>
      </w:pPr>
      <w:r w:rsidRPr="003D688F">
        <w:rPr>
          <w:rStyle w:val="Refdenotaalpie"/>
          <w:rFonts w:ascii="Arial" w:hAnsi="Arial" w:cs="Arial"/>
          <w:color w:val="000000" w:themeColor="text1"/>
          <w:sz w:val="19"/>
          <w:szCs w:val="19"/>
        </w:rPr>
        <w:footnoteRef/>
      </w:r>
      <w:r w:rsidRPr="003D688F">
        <w:rPr>
          <w:rFonts w:ascii="Arial" w:hAnsi="Arial" w:cs="Arial"/>
          <w:color w:val="000000" w:themeColor="text1"/>
          <w:sz w:val="19"/>
          <w:szCs w:val="19"/>
        </w:rPr>
        <w:t xml:space="preserve"> Consejo de Estado. Sección Tercera. Subsección C. Auto del 14 de agosto de 2017. Exp. 58.820. C.P. Jaime Orlando Santofimio Gamboa. </w:t>
      </w:r>
    </w:p>
    <w:p w14:paraId="3A60327F" w14:textId="77777777" w:rsidR="001A2559" w:rsidRPr="003D688F" w:rsidRDefault="001A2559" w:rsidP="001A2559">
      <w:pPr>
        <w:pStyle w:val="Textonotapie"/>
        <w:ind w:firstLine="709"/>
        <w:jc w:val="both"/>
        <w:rPr>
          <w:rFonts w:ascii="Arial" w:hAnsi="Arial" w:cs="Arial"/>
          <w:color w:val="000000" w:themeColor="text1"/>
          <w:sz w:val="19"/>
          <w:szCs w:val="19"/>
        </w:rPr>
      </w:pPr>
    </w:p>
  </w:footnote>
  <w:footnote w:id="9">
    <w:p w14:paraId="177DFBA5" w14:textId="77777777" w:rsidR="001A2559" w:rsidRPr="003D688F" w:rsidRDefault="001A2559" w:rsidP="001A2559">
      <w:pPr>
        <w:pStyle w:val="Prrafodelista"/>
        <w:ind w:left="0" w:firstLine="709"/>
        <w:jc w:val="both"/>
        <w:rPr>
          <w:rFonts w:ascii="Arial" w:hAnsi="Arial" w:cs="Arial"/>
          <w:bCs/>
          <w:color w:val="000000" w:themeColor="text1"/>
          <w:sz w:val="19"/>
          <w:szCs w:val="19"/>
          <w:lang w:val="es-ES"/>
        </w:rPr>
      </w:pPr>
      <w:r w:rsidRPr="003D688F">
        <w:rPr>
          <w:rStyle w:val="Refdenotaalpie"/>
          <w:rFonts w:ascii="Arial" w:hAnsi="Arial" w:cs="Arial"/>
          <w:color w:val="000000" w:themeColor="text1"/>
          <w:sz w:val="19"/>
          <w:szCs w:val="19"/>
        </w:rPr>
        <w:footnoteRef/>
      </w:r>
      <w:r w:rsidRPr="003D688F">
        <w:rPr>
          <w:rFonts w:ascii="Arial" w:hAnsi="Arial" w:cs="Arial"/>
          <w:color w:val="000000" w:themeColor="text1"/>
          <w:sz w:val="19"/>
          <w:szCs w:val="19"/>
        </w:rPr>
        <w:t xml:space="preserve"> </w:t>
      </w:r>
      <w:r w:rsidRPr="003D688F">
        <w:rPr>
          <w:rFonts w:ascii="Arial" w:hAnsi="Arial" w:cs="Arial"/>
          <w:bCs/>
          <w:color w:val="000000" w:themeColor="text1"/>
          <w:sz w:val="19"/>
          <w:szCs w:val="19"/>
          <w:lang w:val="es-ES"/>
        </w:rPr>
        <w:t xml:space="preserve">La anterior posición fue reiterada en las siguientes consultas de los años 2016 y 2017: 416130000999 del 23 de febrero de 2016, 4201613000005457 del 24 de octubre de 2016, 42017000001243 del 15 de marzo de 2017, 4201714000003623 del 21 de julio de 2017, entre otras. En estas consultas se señaló que las entidades con régimen especial de contratación publicarán los documentos del proceso que define el Decreto 1082 de 2015, es decir: (a) los estudios y documentos previos, (b) el aviso de convocatoria; (c) los pliegos de condiciones o la invitación; (d) las Adendas; (e) la oferta; (f) el informe de evaluación; (g) el contrato; y cualquier otro documento expedido por la Entidad Estatal durante el Proceso.  </w:t>
      </w:r>
    </w:p>
    <w:p w14:paraId="572BA3AF" w14:textId="77777777" w:rsidR="001A2559" w:rsidRPr="003D688F" w:rsidRDefault="001A2559" w:rsidP="001A2559">
      <w:pPr>
        <w:pStyle w:val="Textonotapie"/>
        <w:ind w:firstLine="709"/>
        <w:jc w:val="both"/>
        <w:rPr>
          <w:rFonts w:ascii="Arial" w:hAnsi="Arial" w:cs="Arial"/>
          <w:color w:val="000000" w:themeColor="text1"/>
          <w:sz w:val="19"/>
          <w:szCs w:val="19"/>
          <w:lang w:val="es-ES"/>
        </w:rPr>
      </w:pPr>
    </w:p>
  </w:footnote>
  <w:footnote w:id="10">
    <w:p w14:paraId="40335A00" w14:textId="77777777" w:rsidR="001A2559" w:rsidRPr="003D688F" w:rsidRDefault="001A2559" w:rsidP="001A2559">
      <w:pPr>
        <w:pStyle w:val="Textonotapie"/>
        <w:ind w:firstLine="709"/>
        <w:jc w:val="both"/>
        <w:rPr>
          <w:rFonts w:ascii="Arial" w:hAnsi="Arial" w:cs="Arial"/>
          <w:color w:val="000000" w:themeColor="text1"/>
          <w:sz w:val="19"/>
          <w:szCs w:val="19"/>
        </w:rPr>
      </w:pPr>
      <w:r w:rsidRPr="003D688F">
        <w:rPr>
          <w:rStyle w:val="Refdenotaalpie"/>
          <w:rFonts w:ascii="Arial" w:hAnsi="Arial" w:cs="Arial"/>
          <w:color w:val="000000" w:themeColor="text1"/>
          <w:sz w:val="19"/>
          <w:szCs w:val="19"/>
        </w:rPr>
        <w:footnoteRef/>
      </w:r>
      <w:r w:rsidRPr="003D688F">
        <w:rPr>
          <w:rFonts w:ascii="Arial" w:hAnsi="Arial" w:cs="Arial"/>
          <w:color w:val="000000" w:themeColor="text1"/>
          <w:sz w:val="19"/>
          <w:szCs w:val="19"/>
        </w:rPr>
        <w:t xml:space="preserve"> Esta posición se reiteró en las siguientes consultas: No. 4201813000006842 del 16 de agosto de 2018, 4201813000010011 del 5 de diciembre de 2018, 4201813000009778 del 29 de octubre de 2018, entre otros, Al respecto se indicó lo siguiente: «Las Entidades con regímenes especiales de contratación están obligadas publicar en el SECOP la información resultante de su actividad contractual en todas sus fases que se ejecute con cargo a recursos públicos, según los procedimientos de selección que tengan definidos en su manual de contratación. Estos documentos incluyen invitaciones a participar, documentos de apertura de procesos, términos de referencia, pliegos de condiciones o sus equivalentes, documentos relativos al procedimiento de selección como observaciones y respuesta, informes de evaluación, ofertas ganadoras, contratos, evidencia del seguimiento a la ejecución, actas de liquidación, entre otros.</w:t>
      </w:r>
    </w:p>
    <w:p w14:paraId="0D107B49" w14:textId="77777777" w:rsidR="001A2559" w:rsidRPr="003D688F" w:rsidRDefault="001A2559" w:rsidP="001A2559">
      <w:pPr>
        <w:pStyle w:val="Textonotapie"/>
        <w:ind w:firstLine="709"/>
        <w:jc w:val="both"/>
        <w:rPr>
          <w:rFonts w:ascii="Arial" w:hAnsi="Arial" w:cs="Arial"/>
          <w:color w:val="000000" w:themeColor="text1"/>
          <w:sz w:val="19"/>
          <w:szCs w:val="19"/>
        </w:rPr>
      </w:pPr>
      <w:r w:rsidRPr="003D688F">
        <w:rPr>
          <w:rFonts w:ascii="Arial" w:hAnsi="Arial" w:cs="Arial"/>
          <w:color w:val="000000" w:themeColor="text1"/>
          <w:sz w:val="19"/>
          <w:szCs w:val="19"/>
        </w:rPr>
        <w:t>»Así las cosas, se precisa que en la normativa no existe una lista taxativa de los documentos que debe contener cada etapa del Proceso de Contratación, ya que algunos de dichos documentos dependerán de la dinámica en la que se desarrolle la actividad contractual de la Entidad Estatal y de lo establecido en el manual de contratación».</w:t>
      </w:r>
    </w:p>
    <w:p w14:paraId="4C56455C" w14:textId="77777777" w:rsidR="001A2559" w:rsidRPr="003D688F" w:rsidRDefault="001A2559" w:rsidP="001A2559">
      <w:pPr>
        <w:pStyle w:val="Textonotapie"/>
        <w:ind w:firstLine="709"/>
        <w:jc w:val="both"/>
        <w:rPr>
          <w:rFonts w:ascii="Arial" w:hAnsi="Arial" w:cs="Arial"/>
          <w:color w:val="000000" w:themeColor="text1"/>
          <w:sz w:val="19"/>
          <w:szCs w:val="19"/>
        </w:rPr>
      </w:pPr>
    </w:p>
  </w:footnote>
  <w:footnote w:id="11">
    <w:p w14:paraId="24AFA9D9" w14:textId="34527A66" w:rsidR="001A2559" w:rsidRPr="003D688F" w:rsidRDefault="001A2559" w:rsidP="001A2559">
      <w:pPr>
        <w:pStyle w:val="Textonotapie"/>
        <w:ind w:firstLine="709"/>
        <w:jc w:val="both"/>
        <w:rPr>
          <w:rFonts w:ascii="Arial" w:hAnsi="Arial" w:cs="Arial"/>
          <w:color w:val="000000" w:themeColor="text1"/>
          <w:sz w:val="19"/>
          <w:szCs w:val="19"/>
        </w:rPr>
      </w:pPr>
      <w:r w:rsidRPr="003D688F">
        <w:rPr>
          <w:rStyle w:val="Refdenotaalpie"/>
          <w:rFonts w:ascii="Arial" w:hAnsi="Arial" w:cs="Arial"/>
          <w:color w:val="000000" w:themeColor="text1"/>
          <w:sz w:val="19"/>
          <w:szCs w:val="19"/>
        </w:rPr>
        <w:footnoteRef/>
      </w:r>
      <w:r w:rsidRPr="003D688F">
        <w:rPr>
          <w:rFonts w:ascii="Arial" w:hAnsi="Arial" w:cs="Arial"/>
          <w:color w:val="000000" w:themeColor="text1"/>
          <w:sz w:val="19"/>
          <w:szCs w:val="19"/>
        </w:rPr>
        <w:t xml:space="preserve"> Decreto 10</w:t>
      </w:r>
      <w:r w:rsidR="009222B7" w:rsidRPr="003D688F">
        <w:rPr>
          <w:rFonts w:ascii="Arial" w:hAnsi="Arial" w:cs="Arial"/>
          <w:color w:val="000000" w:themeColor="text1"/>
          <w:sz w:val="19"/>
          <w:szCs w:val="19"/>
        </w:rPr>
        <w:t>81</w:t>
      </w:r>
      <w:r w:rsidRPr="003D688F">
        <w:rPr>
          <w:rFonts w:ascii="Arial" w:hAnsi="Arial" w:cs="Arial"/>
          <w:color w:val="000000" w:themeColor="text1"/>
          <w:sz w:val="19"/>
          <w:szCs w:val="19"/>
        </w:rPr>
        <w:t xml:space="preserve"> de 2015: «</w:t>
      </w:r>
      <w:r w:rsidR="009222B7" w:rsidRPr="003D688F">
        <w:rPr>
          <w:rFonts w:ascii="Arial" w:hAnsi="Arial" w:cs="Arial"/>
          <w:color w:val="000000" w:themeColor="text1"/>
          <w:sz w:val="19"/>
          <w:szCs w:val="19"/>
        </w:rPr>
        <w:t xml:space="preserve">Artículo 2.1.1.2.1.8. Publicación de la ejecución de contratos. Para efectos del cumplimiento de la obligación contenida en el literal g) del artículo 11 de la Ley 1712 de 2014, relativa a la información sobre la ejecución de contratos, el sujeto obligado debe publicar las aprobaciones, autorizaciones, requerimientos o informes del supervisor o del interventor, que prueben la ejecución del contrato. </w:t>
      </w:r>
      <w:r w:rsidRPr="003D688F">
        <w:rPr>
          <w:rFonts w:ascii="Arial" w:hAnsi="Arial" w:cs="Arial"/>
          <w:color w:val="000000" w:themeColor="text1"/>
          <w:sz w:val="19"/>
          <w:szCs w:val="19"/>
        </w:rPr>
        <w:t>».</w:t>
      </w:r>
    </w:p>
    <w:p w14:paraId="0213B1FE" w14:textId="77777777" w:rsidR="001A2559" w:rsidRPr="003D688F" w:rsidRDefault="001A2559" w:rsidP="001A2559">
      <w:pPr>
        <w:pStyle w:val="Textonotapie"/>
        <w:ind w:firstLine="709"/>
        <w:jc w:val="both"/>
        <w:rPr>
          <w:rFonts w:ascii="Arial" w:hAnsi="Arial" w:cs="Arial"/>
          <w:color w:val="000000" w:themeColor="text1"/>
          <w:sz w:val="19"/>
          <w:szCs w:val="19"/>
        </w:rPr>
      </w:pPr>
    </w:p>
  </w:footnote>
  <w:footnote w:id="12">
    <w:p w14:paraId="48A00DAD" w14:textId="74248082" w:rsidR="001A2559" w:rsidRPr="003D688F" w:rsidRDefault="001A2559" w:rsidP="001A2559">
      <w:pPr>
        <w:pStyle w:val="Textonotapie"/>
        <w:ind w:firstLine="709"/>
        <w:jc w:val="both"/>
        <w:rPr>
          <w:rFonts w:ascii="Arial" w:hAnsi="Arial" w:cs="Arial"/>
          <w:color w:val="000000" w:themeColor="text1"/>
          <w:sz w:val="19"/>
          <w:szCs w:val="19"/>
        </w:rPr>
      </w:pPr>
      <w:r w:rsidRPr="003D688F">
        <w:rPr>
          <w:rStyle w:val="Refdenotaalpie"/>
          <w:rFonts w:ascii="Arial" w:hAnsi="Arial" w:cs="Arial"/>
          <w:color w:val="000000" w:themeColor="text1"/>
          <w:sz w:val="19"/>
          <w:szCs w:val="19"/>
        </w:rPr>
        <w:footnoteRef/>
      </w:r>
      <w:r w:rsidRPr="003D688F">
        <w:rPr>
          <w:rFonts w:ascii="Arial" w:hAnsi="Arial" w:cs="Arial"/>
          <w:color w:val="000000" w:themeColor="text1"/>
          <w:sz w:val="19"/>
          <w:szCs w:val="19"/>
        </w:rPr>
        <w:t xml:space="preserve"> Decreto 10</w:t>
      </w:r>
      <w:r w:rsidR="009222B7" w:rsidRPr="003D688F">
        <w:rPr>
          <w:rFonts w:ascii="Arial" w:hAnsi="Arial" w:cs="Arial"/>
          <w:color w:val="000000" w:themeColor="text1"/>
          <w:sz w:val="19"/>
          <w:szCs w:val="19"/>
        </w:rPr>
        <w:t>81</w:t>
      </w:r>
      <w:r w:rsidRPr="003D688F">
        <w:rPr>
          <w:rFonts w:ascii="Arial" w:hAnsi="Arial" w:cs="Arial"/>
          <w:color w:val="000000" w:themeColor="text1"/>
          <w:sz w:val="19"/>
          <w:szCs w:val="19"/>
        </w:rPr>
        <w:t xml:space="preserve"> de 2015: «</w:t>
      </w:r>
      <w:r w:rsidR="009222B7" w:rsidRPr="003D688F">
        <w:rPr>
          <w:rFonts w:ascii="Arial" w:hAnsi="Arial" w:cs="Arial"/>
          <w:color w:val="000000" w:themeColor="text1"/>
          <w:sz w:val="19"/>
          <w:szCs w:val="19"/>
        </w:rPr>
        <w:t xml:space="preserve">Artículo 2.1.1.2.1.9. Publicación de procedimientos, lineamientos y políticas en materia de adquisición y compras. Para los sujetos obligados que contratan con cargo a recursos públicos, los procedimientos, lineamientos y políticas en materia de adquisición y compras de los que trata el literal g) del artículo 11 de la Ley 1712 de 2014 son los previstos en el manual de contratación expedido conforme a las directrices señaladas por la Agencia Nacional de Contratación Pública –Colombia Compra Eficiente–, el cual debe estar publicado en el sitio web oficial del sujeto obligado. </w:t>
      </w:r>
      <w:r w:rsidRPr="003D688F">
        <w:rPr>
          <w:rFonts w:ascii="Arial" w:hAnsi="Arial" w:cs="Arial"/>
          <w:color w:val="000000" w:themeColor="text1"/>
          <w:sz w:val="19"/>
          <w:szCs w:val="19"/>
        </w:rPr>
        <w:t>».</w:t>
      </w:r>
    </w:p>
    <w:p w14:paraId="3F398CBA" w14:textId="77777777" w:rsidR="001A2559" w:rsidRPr="003D688F" w:rsidRDefault="001A2559" w:rsidP="001A2559">
      <w:pPr>
        <w:pStyle w:val="Textonotapie"/>
        <w:ind w:firstLine="709"/>
        <w:jc w:val="both"/>
        <w:rPr>
          <w:rFonts w:ascii="Arial" w:hAnsi="Arial" w:cs="Arial"/>
          <w:color w:val="000000" w:themeColor="text1"/>
          <w:sz w:val="19"/>
          <w:szCs w:val="19"/>
        </w:rPr>
      </w:pPr>
    </w:p>
  </w:footnote>
  <w:footnote w:id="13">
    <w:p w14:paraId="02B54FF6" w14:textId="19FA2688" w:rsidR="009222B7" w:rsidRPr="003D688F" w:rsidRDefault="001A2559" w:rsidP="009222B7">
      <w:pPr>
        <w:pStyle w:val="Textonotapie"/>
        <w:ind w:firstLine="709"/>
        <w:jc w:val="both"/>
        <w:rPr>
          <w:rFonts w:ascii="Arial" w:hAnsi="Arial" w:cs="Arial"/>
          <w:color w:val="000000" w:themeColor="text1"/>
          <w:sz w:val="19"/>
          <w:szCs w:val="19"/>
        </w:rPr>
      </w:pPr>
      <w:r w:rsidRPr="003D688F">
        <w:rPr>
          <w:rStyle w:val="Refdenotaalpie"/>
          <w:rFonts w:ascii="Arial" w:hAnsi="Arial" w:cs="Arial"/>
          <w:color w:val="000000" w:themeColor="text1"/>
          <w:sz w:val="19"/>
          <w:szCs w:val="19"/>
        </w:rPr>
        <w:footnoteRef/>
      </w:r>
      <w:r w:rsidRPr="003D688F">
        <w:rPr>
          <w:rFonts w:ascii="Arial" w:hAnsi="Arial" w:cs="Arial"/>
          <w:color w:val="000000" w:themeColor="text1"/>
          <w:sz w:val="19"/>
          <w:szCs w:val="19"/>
        </w:rPr>
        <w:t xml:space="preserve"> Decreto 10</w:t>
      </w:r>
      <w:r w:rsidR="009222B7" w:rsidRPr="003D688F">
        <w:rPr>
          <w:rFonts w:ascii="Arial" w:hAnsi="Arial" w:cs="Arial"/>
          <w:color w:val="000000" w:themeColor="text1"/>
          <w:sz w:val="19"/>
          <w:szCs w:val="19"/>
        </w:rPr>
        <w:t>81</w:t>
      </w:r>
      <w:r w:rsidRPr="003D688F">
        <w:rPr>
          <w:rFonts w:ascii="Arial" w:hAnsi="Arial" w:cs="Arial"/>
          <w:color w:val="000000" w:themeColor="text1"/>
          <w:sz w:val="19"/>
          <w:szCs w:val="19"/>
        </w:rPr>
        <w:t xml:space="preserve"> de 2015: «</w:t>
      </w:r>
      <w:r w:rsidR="009222B7" w:rsidRPr="003D688F">
        <w:rPr>
          <w:rFonts w:ascii="Arial" w:hAnsi="Arial" w:cs="Arial"/>
          <w:color w:val="000000" w:themeColor="text1"/>
          <w:sz w:val="19"/>
          <w:szCs w:val="19"/>
        </w:rPr>
        <w:t xml:space="preserve">Artículo 2.1.1.2.1.10. Publicación del Plan Anual de Adquisiciones. Los sujetos obligados que contratan con cargo a recursos públicos deben publicar en su página web y en el SECOP el Plan Anual de Adquisiciones, de acuerdo con lo previsto en el artículo 74 de la Ley 1474 de 2011, el literal e) del artículo 9° de la Ley 1712 de 2014 y el Decreto 1510 de 2013, o el que lo modifique, sustituya o adicione. </w:t>
      </w:r>
    </w:p>
    <w:p w14:paraId="5A86C98D" w14:textId="042CA176" w:rsidR="009222B7" w:rsidRPr="003D688F" w:rsidRDefault="009222B7" w:rsidP="009222B7">
      <w:pPr>
        <w:pStyle w:val="Textonotapie"/>
        <w:ind w:firstLine="709"/>
        <w:jc w:val="both"/>
        <w:rPr>
          <w:rFonts w:ascii="Arial" w:hAnsi="Arial" w:cs="Arial"/>
          <w:color w:val="000000" w:themeColor="text1"/>
          <w:sz w:val="19"/>
          <w:szCs w:val="19"/>
        </w:rPr>
      </w:pPr>
      <w:r w:rsidRPr="003D688F">
        <w:rPr>
          <w:rFonts w:ascii="Arial" w:hAnsi="Arial" w:cs="Arial"/>
          <w:color w:val="000000" w:themeColor="text1"/>
          <w:sz w:val="19"/>
          <w:szCs w:val="19"/>
        </w:rPr>
        <w:t xml:space="preserve">»Los sujetos obligados que no contratan con cargo a recursos públicos no están obligados a publicar su Plan Anual de Adquisiciones. </w:t>
      </w:r>
    </w:p>
    <w:p w14:paraId="50392212" w14:textId="3569D8E2" w:rsidR="009222B7" w:rsidRPr="003D688F" w:rsidRDefault="009222B7" w:rsidP="009222B7">
      <w:pPr>
        <w:pStyle w:val="Textonotapie"/>
        <w:ind w:firstLine="709"/>
        <w:jc w:val="both"/>
        <w:rPr>
          <w:rFonts w:ascii="Arial" w:hAnsi="Arial" w:cs="Arial"/>
          <w:color w:val="000000" w:themeColor="text1"/>
          <w:sz w:val="19"/>
          <w:szCs w:val="19"/>
        </w:rPr>
      </w:pPr>
      <w:r w:rsidRPr="003D688F">
        <w:rPr>
          <w:rFonts w:ascii="Arial" w:hAnsi="Arial" w:cs="Arial"/>
          <w:color w:val="000000" w:themeColor="text1"/>
          <w:sz w:val="19"/>
          <w:szCs w:val="19"/>
        </w:rPr>
        <w:t xml:space="preserve">»Los sujetos obligados que contratan con cargo a recursos públicos y recursos privados, deben publicar en su página web y en el SECOP el Plan Anual de Adquisiciones para los recursos de carácter público que ejecutarán en el año. </w:t>
      </w:r>
    </w:p>
    <w:p w14:paraId="247BEDD8" w14:textId="02C55620" w:rsidR="001A2559" w:rsidRPr="003D688F" w:rsidRDefault="009222B7" w:rsidP="009222B7">
      <w:pPr>
        <w:pStyle w:val="Textonotapie"/>
        <w:ind w:firstLine="709"/>
        <w:jc w:val="both"/>
        <w:rPr>
          <w:rFonts w:ascii="Arial" w:hAnsi="Arial" w:cs="Arial"/>
          <w:color w:val="000000" w:themeColor="text1"/>
          <w:sz w:val="19"/>
          <w:szCs w:val="19"/>
        </w:rPr>
      </w:pPr>
      <w:r w:rsidRPr="003D688F">
        <w:rPr>
          <w:rFonts w:ascii="Arial" w:hAnsi="Arial" w:cs="Arial"/>
          <w:color w:val="000000" w:themeColor="text1"/>
          <w:sz w:val="19"/>
          <w:szCs w:val="19"/>
        </w:rPr>
        <w:t>»Se entenderá como definición de Plan Anual de Adquisiciones respecto a todos los sujetos obligados que contratan con recursos públicos, la prevista en el artículo 3° del Decreto 1510 de 2013, o el que lo modifique, sustituya o adicione</w:t>
      </w:r>
      <w:r w:rsidR="001A2559" w:rsidRPr="003D688F">
        <w:rPr>
          <w:rFonts w:ascii="Arial" w:hAnsi="Arial" w:cs="Arial"/>
          <w:color w:val="000000" w:themeColor="text1"/>
          <w:sz w:val="19"/>
          <w:szCs w:val="19"/>
        </w:rPr>
        <w:t>».</w:t>
      </w:r>
    </w:p>
    <w:p w14:paraId="41602AF2" w14:textId="77777777" w:rsidR="001A2559" w:rsidRPr="003D688F" w:rsidRDefault="001A2559" w:rsidP="001A2559">
      <w:pPr>
        <w:pStyle w:val="Textonotapie"/>
        <w:ind w:firstLine="709"/>
        <w:jc w:val="both"/>
        <w:rPr>
          <w:rFonts w:ascii="Arial" w:hAnsi="Arial" w:cs="Arial"/>
          <w:color w:val="000000" w:themeColor="text1"/>
          <w:sz w:val="19"/>
          <w:szCs w:val="19"/>
        </w:rPr>
      </w:pPr>
    </w:p>
  </w:footnote>
  <w:footnote w:id="14">
    <w:p w14:paraId="7C112253" w14:textId="2EE07DA6" w:rsidR="001A2559" w:rsidRPr="003D688F" w:rsidRDefault="001A2559" w:rsidP="00667FD6">
      <w:pPr>
        <w:pStyle w:val="Textonotapie"/>
        <w:ind w:firstLine="709"/>
        <w:jc w:val="both"/>
        <w:rPr>
          <w:rFonts w:ascii="Arial" w:hAnsi="Arial" w:cs="Arial"/>
          <w:color w:val="000000" w:themeColor="text1"/>
          <w:sz w:val="19"/>
          <w:szCs w:val="19"/>
        </w:rPr>
      </w:pPr>
      <w:r w:rsidRPr="003D688F">
        <w:rPr>
          <w:rStyle w:val="Refdenotaalpie"/>
          <w:rFonts w:ascii="Arial" w:hAnsi="Arial" w:cs="Arial"/>
          <w:color w:val="000000" w:themeColor="text1"/>
          <w:sz w:val="19"/>
          <w:szCs w:val="19"/>
        </w:rPr>
        <w:footnoteRef/>
      </w:r>
      <w:r w:rsidRPr="003D688F">
        <w:rPr>
          <w:rFonts w:ascii="Arial" w:hAnsi="Arial" w:cs="Arial"/>
          <w:color w:val="000000" w:themeColor="text1"/>
          <w:sz w:val="19"/>
          <w:szCs w:val="19"/>
        </w:rPr>
        <w:t xml:space="preserve"> </w:t>
      </w:r>
      <w:r w:rsidR="00667FD6" w:rsidRPr="003D688F">
        <w:rPr>
          <w:rFonts w:ascii="Arial" w:hAnsi="Arial" w:cs="Arial"/>
          <w:color w:val="000000" w:themeColor="text1"/>
          <w:sz w:val="19"/>
          <w:szCs w:val="19"/>
        </w:rPr>
        <w:t xml:space="preserve">Ley 1150 de 2007 </w:t>
      </w:r>
      <w:r w:rsidRPr="003D688F">
        <w:rPr>
          <w:rFonts w:ascii="Arial" w:hAnsi="Arial" w:cs="Arial"/>
          <w:color w:val="000000" w:themeColor="text1"/>
          <w:sz w:val="19"/>
          <w:szCs w:val="19"/>
        </w:rPr>
        <w:t>«</w:t>
      </w:r>
      <w:r w:rsidR="00667FD6" w:rsidRPr="003D688F">
        <w:rPr>
          <w:color w:val="000000" w:themeColor="text1"/>
        </w:rPr>
        <w:t xml:space="preserve"> </w:t>
      </w:r>
      <w:r w:rsidR="00667FD6" w:rsidRPr="003D688F">
        <w:rPr>
          <w:rFonts w:ascii="Arial" w:hAnsi="Arial" w:cs="Arial"/>
          <w:color w:val="000000" w:themeColor="text1"/>
          <w:sz w:val="19"/>
          <w:szCs w:val="19"/>
        </w:rPr>
        <w:t>Artículo 14.Las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estarán sometidas al Estatuto General de Contratación de la Administración Pública,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 sin perjuicio de lo previsto en el artículo 13 de la presente ley. Se exceptúan los contratos de ciencia y tecnología, que se regirán por la Ley 29 de 1990 y las disposiciones normativas existentes</w:t>
      </w:r>
      <w:r w:rsidRPr="003D688F">
        <w:rPr>
          <w:rFonts w:ascii="Arial" w:hAnsi="Arial" w:cs="Arial"/>
          <w:color w:val="000000" w:themeColor="text1"/>
          <w:sz w:val="19"/>
          <w:szCs w:val="19"/>
        </w:rPr>
        <w:t xml:space="preserve">». </w:t>
      </w:r>
    </w:p>
  </w:footnote>
  <w:footnote w:id="15">
    <w:p w14:paraId="56E2DC39" w14:textId="77777777" w:rsidR="007B1526" w:rsidRPr="003D688F" w:rsidRDefault="007B1526" w:rsidP="007B1526">
      <w:pPr>
        <w:pStyle w:val="Textonotapie"/>
        <w:ind w:firstLine="709"/>
        <w:jc w:val="both"/>
        <w:rPr>
          <w:rFonts w:ascii="Arial" w:hAnsi="Arial" w:cs="Arial"/>
          <w:color w:val="000000" w:themeColor="text1"/>
          <w:sz w:val="19"/>
          <w:szCs w:val="19"/>
        </w:rPr>
      </w:pPr>
      <w:r w:rsidRPr="003D688F">
        <w:rPr>
          <w:rStyle w:val="Refdenotaalpie"/>
          <w:rFonts w:ascii="Arial" w:hAnsi="Arial" w:cs="Arial"/>
          <w:color w:val="000000" w:themeColor="text1"/>
          <w:sz w:val="19"/>
          <w:szCs w:val="19"/>
        </w:rPr>
        <w:footnoteRef/>
      </w:r>
      <w:r w:rsidRPr="003D688F">
        <w:rPr>
          <w:rFonts w:ascii="Arial" w:hAnsi="Arial" w:cs="Arial"/>
          <w:color w:val="000000" w:themeColor="text1"/>
          <w:sz w:val="19"/>
          <w:szCs w:val="19"/>
        </w:rPr>
        <w:t xml:space="preserve"> Esta posición fue acogida en las siguientes consultas Rad. 4201813000006240: «Las Entidades Estatales que cuentan con régimen especial de contratación pueden aplicar las reglas contenidas en su propio manual de contratación, en consecuencia, estas entidades pueden establecer un término diferente a los 3 días que determina el Decreto 1082 de 2015 para publicar su actividad contractual en SECOP.</w:t>
      </w:r>
    </w:p>
    <w:p w14:paraId="58275DE2" w14:textId="77777777" w:rsidR="007B1526" w:rsidRPr="003D688F" w:rsidRDefault="007B1526" w:rsidP="007B1526">
      <w:pPr>
        <w:pStyle w:val="Textonotapie"/>
        <w:ind w:firstLine="709"/>
        <w:jc w:val="both"/>
        <w:rPr>
          <w:rFonts w:ascii="Arial" w:hAnsi="Arial" w:cs="Arial"/>
          <w:color w:val="000000" w:themeColor="text1"/>
          <w:sz w:val="19"/>
          <w:szCs w:val="19"/>
        </w:rPr>
      </w:pPr>
      <w:r w:rsidRPr="003D688F">
        <w:rPr>
          <w:rFonts w:ascii="Arial" w:hAnsi="Arial" w:cs="Arial"/>
          <w:color w:val="000000" w:themeColor="text1"/>
          <w:sz w:val="19"/>
          <w:szCs w:val="19"/>
        </w:rPr>
        <w:t>»En todo caso, en virtud del principio de transparencia al cual están sujetas las entidades de régimen especial, el término que establezcan en su manual de contratación debe garantizar que el SECOP cuente con la información del Sistema de Compra Pública de forma oportuna. Recomendamos a las entidades de régimen especial publicar su información contractual una vez la tengan disponible ya que esa información es relevante para el Sistema de Compra Pública».</w:t>
      </w:r>
    </w:p>
    <w:p w14:paraId="79498582" w14:textId="77777777" w:rsidR="007B1526" w:rsidRPr="003D688F" w:rsidRDefault="007B1526" w:rsidP="007B1526">
      <w:pPr>
        <w:pStyle w:val="Textonotapie"/>
        <w:ind w:firstLine="709"/>
        <w:jc w:val="both"/>
        <w:rPr>
          <w:rFonts w:ascii="Arial" w:hAnsi="Arial" w:cs="Arial"/>
          <w:color w:val="000000" w:themeColor="text1"/>
          <w:sz w:val="19"/>
          <w:szCs w:val="19"/>
        </w:rPr>
      </w:pPr>
    </w:p>
  </w:footnote>
  <w:footnote w:id="16">
    <w:p w14:paraId="1493C756" w14:textId="77777777" w:rsidR="007B1526" w:rsidRPr="003D688F" w:rsidRDefault="007B1526" w:rsidP="007B1526">
      <w:pPr>
        <w:pStyle w:val="Textonotapie"/>
        <w:ind w:firstLine="709"/>
        <w:jc w:val="both"/>
        <w:rPr>
          <w:rFonts w:ascii="Arial" w:hAnsi="Arial" w:cs="Arial"/>
          <w:color w:val="000000" w:themeColor="text1"/>
          <w:sz w:val="19"/>
          <w:szCs w:val="19"/>
        </w:rPr>
      </w:pPr>
      <w:r w:rsidRPr="003D688F">
        <w:rPr>
          <w:rStyle w:val="Refdenotaalpie"/>
          <w:rFonts w:ascii="Arial" w:hAnsi="Arial" w:cs="Arial"/>
          <w:color w:val="000000" w:themeColor="text1"/>
          <w:sz w:val="19"/>
          <w:szCs w:val="19"/>
        </w:rPr>
        <w:footnoteRef/>
      </w:r>
      <w:r w:rsidRPr="003D688F">
        <w:rPr>
          <w:rFonts w:ascii="Arial" w:hAnsi="Arial" w:cs="Arial"/>
          <w:color w:val="000000" w:themeColor="text1"/>
          <w:sz w:val="19"/>
          <w:szCs w:val="19"/>
        </w:rPr>
        <w:t xml:space="preserve"> Circular Externa Única: «Numeral 1.2 Oportunidad en la publicación de la información en el SECOP: Las Entidades que aún utilizan el SECOP I están obligadas a publicar en el SECOP los Documentos del Proceso dentro de los tres (3) días siguientes a su expedición.</w:t>
      </w:r>
    </w:p>
    <w:p w14:paraId="0452F281" w14:textId="77777777" w:rsidR="007B1526" w:rsidRPr="003D688F" w:rsidRDefault="007B1526" w:rsidP="007B1526">
      <w:pPr>
        <w:pStyle w:val="Textonotapie"/>
        <w:ind w:firstLine="709"/>
        <w:jc w:val="both"/>
        <w:rPr>
          <w:rFonts w:ascii="Arial" w:hAnsi="Arial" w:cs="Arial"/>
          <w:color w:val="000000" w:themeColor="text1"/>
          <w:sz w:val="19"/>
          <w:szCs w:val="19"/>
        </w:rPr>
      </w:pPr>
      <w:r w:rsidRPr="003D688F">
        <w:rPr>
          <w:rFonts w:ascii="Arial" w:hAnsi="Arial" w:cs="Arial"/>
          <w:color w:val="000000" w:themeColor="text1"/>
          <w:sz w:val="19"/>
          <w:szCs w:val="19"/>
        </w:rPr>
        <w:t xml:space="preserve">»La información registrada por las Entidades en el SECOP II y en la Tienda Virtual del Estado Colombiano, está disponible en tiempo real en razón a que las actuaciones del Proceso de Contratación tienen lugar electrónicamente a través de dichas plataformas transaccionales. </w:t>
      </w:r>
    </w:p>
    <w:p w14:paraId="7D2E048B" w14:textId="77777777" w:rsidR="007B1526" w:rsidRPr="003D688F" w:rsidRDefault="007B1526" w:rsidP="007B1526">
      <w:pPr>
        <w:pStyle w:val="Textonotapie"/>
        <w:ind w:firstLine="709"/>
        <w:jc w:val="both"/>
        <w:rPr>
          <w:rFonts w:ascii="Arial" w:hAnsi="Arial" w:cs="Arial"/>
          <w:color w:val="000000" w:themeColor="text1"/>
          <w:sz w:val="19"/>
          <w:szCs w:val="19"/>
        </w:rPr>
      </w:pPr>
      <w:r w:rsidRPr="003D688F">
        <w:rPr>
          <w:rFonts w:ascii="Arial" w:hAnsi="Arial" w:cs="Arial"/>
          <w:color w:val="000000" w:themeColor="text1"/>
          <w:sz w:val="19"/>
          <w:szCs w:val="19"/>
        </w:rPr>
        <w:t>»Con respecto a los documentos que no son generados electrónicamente, el SECOP II permite publicarlos a través de un “mensaje público” o como un “documento del proceso”, para la publicidad de dichos documentos la Entidad Estatal tiene el plazo de tres días siguientes a su expedición».</w:t>
      </w:r>
    </w:p>
  </w:footnote>
  <w:footnote w:id="17">
    <w:p w14:paraId="697145D9" w14:textId="77777777" w:rsidR="007B1526" w:rsidRPr="003D688F" w:rsidRDefault="007B1526" w:rsidP="007B1526">
      <w:pPr>
        <w:pStyle w:val="Textonotapie"/>
        <w:ind w:firstLine="709"/>
        <w:jc w:val="both"/>
        <w:rPr>
          <w:rFonts w:ascii="Arial" w:hAnsi="Arial" w:cs="Arial"/>
          <w:color w:val="000000" w:themeColor="text1"/>
          <w:sz w:val="19"/>
          <w:szCs w:val="19"/>
        </w:rPr>
      </w:pPr>
      <w:r w:rsidRPr="003D688F">
        <w:rPr>
          <w:rStyle w:val="Refdenotaalpie"/>
          <w:rFonts w:ascii="Arial" w:hAnsi="Arial" w:cs="Arial"/>
          <w:color w:val="000000" w:themeColor="text1"/>
          <w:sz w:val="19"/>
          <w:szCs w:val="19"/>
        </w:rPr>
        <w:footnoteRef/>
      </w:r>
      <w:r w:rsidRPr="003D688F">
        <w:rPr>
          <w:rFonts w:ascii="Arial" w:hAnsi="Arial" w:cs="Arial"/>
          <w:color w:val="000000" w:themeColor="text1"/>
          <w:sz w:val="19"/>
          <w:szCs w:val="19"/>
        </w:rPr>
        <w:t xml:space="preserve"> Corte Constitucional. Sentencia C- 083 del 1 de marzo de 1995. M.P. Carlos Gaviria Díaz.</w:t>
      </w:r>
    </w:p>
    <w:p w14:paraId="399191B0" w14:textId="77777777" w:rsidR="007B1526" w:rsidRPr="003D688F" w:rsidRDefault="007B1526" w:rsidP="007B1526">
      <w:pPr>
        <w:pStyle w:val="Textonotapie"/>
        <w:ind w:firstLine="709"/>
        <w:jc w:val="both"/>
        <w:rPr>
          <w:rFonts w:ascii="Arial" w:hAnsi="Arial" w:cs="Arial"/>
          <w:color w:val="000000" w:themeColor="text1"/>
          <w:sz w:val="19"/>
          <w:szCs w:val="19"/>
        </w:rPr>
      </w:pPr>
    </w:p>
  </w:footnote>
  <w:footnote w:id="18">
    <w:p w14:paraId="208EF072" w14:textId="77777777" w:rsidR="007B1526" w:rsidRPr="003D688F" w:rsidRDefault="007B1526" w:rsidP="007B1526">
      <w:pPr>
        <w:pStyle w:val="Textonotapie"/>
        <w:ind w:firstLine="709"/>
        <w:jc w:val="both"/>
        <w:rPr>
          <w:rFonts w:ascii="Arial" w:hAnsi="Arial" w:cs="Arial"/>
          <w:color w:val="000000" w:themeColor="text1"/>
          <w:sz w:val="19"/>
          <w:szCs w:val="19"/>
        </w:rPr>
      </w:pPr>
      <w:r w:rsidRPr="003D688F">
        <w:rPr>
          <w:rStyle w:val="Refdenotaalpie"/>
          <w:rFonts w:ascii="Arial" w:hAnsi="Arial" w:cs="Arial"/>
          <w:color w:val="000000" w:themeColor="text1"/>
          <w:sz w:val="19"/>
          <w:szCs w:val="19"/>
        </w:rPr>
        <w:footnoteRef/>
      </w:r>
      <w:r w:rsidRPr="003D688F">
        <w:rPr>
          <w:rFonts w:ascii="Arial" w:hAnsi="Arial" w:cs="Arial"/>
          <w:color w:val="000000" w:themeColor="text1"/>
          <w:sz w:val="19"/>
          <w:szCs w:val="19"/>
        </w:rPr>
        <w:t xml:space="preserve"> Decreto 1082 de 2015 «Artículo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14:paraId="26AB0149" w14:textId="77777777" w:rsidR="007B1526" w:rsidRPr="003D688F" w:rsidRDefault="007B1526" w:rsidP="007B1526">
      <w:pPr>
        <w:pStyle w:val="Textonotapie"/>
        <w:ind w:firstLine="709"/>
        <w:jc w:val="both"/>
        <w:rPr>
          <w:rFonts w:ascii="Arial" w:hAnsi="Arial" w:cs="Arial"/>
          <w:color w:val="000000" w:themeColor="text1"/>
          <w:sz w:val="19"/>
          <w:szCs w:val="19"/>
        </w:rPr>
      </w:pPr>
      <w:r w:rsidRPr="003D688F">
        <w:rPr>
          <w:rFonts w:ascii="Arial" w:hAnsi="Arial" w:cs="Arial"/>
          <w:color w:val="000000" w:themeColor="text1"/>
          <w:sz w:val="19"/>
          <w:szCs w:val="19"/>
        </w:rPr>
        <w:t>»La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A43FA8" w:rsidRDefault="00A43FA8">
    <w:pPr>
      <w:pStyle w:val="Encabezado"/>
    </w:pPr>
    <w:r>
      <w:rPr>
        <w:noProof/>
        <w:lang w:val="es-ES_tradnl" w:eastAsia="es-ES_tradnl"/>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DC73F5C"/>
    <w:multiLevelType w:val="multilevel"/>
    <w:tmpl w:val="AA5C0016"/>
    <w:lvl w:ilvl="0">
      <w:start w:val="1"/>
      <w:numFmt w:val="decimal"/>
      <w:lvlText w:val="%1."/>
      <w:lvlJc w:val="left"/>
      <w:pPr>
        <w:ind w:left="36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0C61FCE"/>
    <w:multiLevelType w:val="hybridMultilevel"/>
    <w:tmpl w:val="B9265A48"/>
    <w:lvl w:ilvl="0" w:tplc="AD5882F0">
      <w:start w:val="14"/>
      <w:numFmt w:val="bullet"/>
      <w:lvlText w:val="—"/>
      <w:lvlJc w:val="left"/>
      <w:pPr>
        <w:ind w:left="720" w:hanging="360"/>
      </w:pPr>
      <w:rPr>
        <w:rFonts w:ascii="Arial" w:eastAsia="Calibr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4704319"/>
    <w:multiLevelType w:val="hybridMultilevel"/>
    <w:tmpl w:val="5CF46284"/>
    <w:lvl w:ilvl="0" w:tplc="58981ED0">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E063A23"/>
    <w:multiLevelType w:val="hybridMultilevel"/>
    <w:tmpl w:val="EEE66F06"/>
    <w:lvl w:ilvl="0" w:tplc="76A89634">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7" w15:restartNumberingAfterBreak="0">
    <w:nsid w:val="4762497B"/>
    <w:multiLevelType w:val="hybridMultilevel"/>
    <w:tmpl w:val="9528AFFC"/>
    <w:lvl w:ilvl="0" w:tplc="6E94BFEE">
      <w:start w:val="1"/>
      <w:numFmt w:val="lowerRoman"/>
      <w:lvlText w:val="%1)"/>
      <w:lvlJc w:val="left"/>
      <w:pPr>
        <w:ind w:left="1800" w:hanging="720"/>
      </w:pPr>
      <w:rPr>
        <w:rFonts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8"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5D7D5B46"/>
    <w:multiLevelType w:val="hybridMultilevel"/>
    <w:tmpl w:val="CD1EA26C"/>
    <w:lvl w:ilvl="0" w:tplc="44107A50">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2" w15:restartNumberingAfterBreak="0">
    <w:nsid w:val="627C75E4"/>
    <w:multiLevelType w:val="hybridMultilevel"/>
    <w:tmpl w:val="124C736E"/>
    <w:lvl w:ilvl="0" w:tplc="54B64B8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4" w15:restartNumberingAfterBreak="0">
    <w:nsid w:val="71BC7ED6"/>
    <w:multiLevelType w:val="hybridMultilevel"/>
    <w:tmpl w:val="F6E67F0C"/>
    <w:lvl w:ilvl="0" w:tplc="0964B51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79410817"/>
    <w:multiLevelType w:val="hybridMultilevel"/>
    <w:tmpl w:val="124C736E"/>
    <w:lvl w:ilvl="0" w:tplc="54B64B8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7C440DC2"/>
    <w:multiLevelType w:val="hybridMultilevel"/>
    <w:tmpl w:val="8CBEB672"/>
    <w:lvl w:ilvl="0" w:tplc="B72230D8">
      <w:start w:val="1"/>
      <w:numFmt w:val="lowerRoman"/>
      <w:lvlText w:val="%1)"/>
      <w:lvlJc w:val="left"/>
      <w:pPr>
        <w:ind w:left="1425" w:hanging="720"/>
      </w:pPr>
      <w:rPr>
        <w:rFonts w:ascii="Arial" w:eastAsia="Calibri" w:hAnsi="Arial" w:cs="Arial"/>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num w:numId="1">
    <w:abstractNumId w:val="5"/>
  </w:num>
  <w:num w:numId="2">
    <w:abstractNumId w:val="4"/>
  </w:num>
  <w:num w:numId="3">
    <w:abstractNumId w:val="8"/>
  </w:num>
  <w:num w:numId="4">
    <w:abstractNumId w:val="9"/>
  </w:num>
  <w:num w:numId="5">
    <w:abstractNumId w:val="13"/>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1"/>
  </w:num>
  <w:num w:numId="9">
    <w:abstractNumId w:val="16"/>
  </w:num>
  <w:num w:numId="10">
    <w:abstractNumId w:val="2"/>
  </w:num>
  <w:num w:numId="11">
    <w:abstractNumId w:val="6"/>
  </w:num>
  <w:num w:numId="12">
    <w:abstractNumId w:val="14"/>
  </w:num>
  <w:num w:numId="13">
    <w:abstractNumId w:val="7"/>
  </w:num>
  <w:num w:numId="14">
    <w:abstractNumId w:val="12"/>
  </w:num>
  <w:num w:numId="15">
    <w:abstractNumId w:val="15"/>
  </w:num>
  <w:num w:numId="16">
    <w:abstractNumId w:val="3"/>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hideSpellingErrors/>
  <w:hideGrammatical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42A"/>
    <w:rsid w:val="000020D3"/>
    <w:rsid w:val="00002C6B"/>
    <w:rsid w:val="00003F7C"/>
    <w:rsid w:val="000048CA"/>
    <w:rsid w:val="00004DBF"/>
    <w:rsid w:val="00004F00"/>
    <w:rsid w:val="0000562F"/>
    <w:rsid w:val="0000655E"/>
    <w:rsid w:val="000078A0"/>
    <w:rsid w:val="00007D2A"/>
    <w:rsid w:val="0001127D"/>
    <w:rsid w:val="000130DF"/>
    <w:rsid w:val="00013780"/>
    <w:rsid w:val="000142C6"/>
    <w:rsid w:val="000142E3"/>
    <w:rsid w:val="0001453F"/>
    <w:rsid w:val="0001500A"/>
    <w:rsid w:val="000152E6"/>
    <w:rsid w:val="000155B8"/>
    <w:rsid w:val="00015765"/>
    <w:rsid w:val="00015A08"/>
    <w:rsid w:val="000161CF"/>
    <w:rsid w:val="000164A5"/>
    <w:rsid w:val="000173E0"/>
    <w:rsid w:val="0001751A"/>
    <w:rsid w:val="00017D43"/>
    <w:rsid w:val="00017ED8"/>
    <w:rsid w:val="00020786"/>
    <w:rsid w:val="00020D91"/>
    <w:rsid w:val="00020F00"/>
    <w:rsid w:val="00021744"/>
    <w:rsid w:val="00022AB6"/>
    <w:rsid w:val="000230F6"/>
    <w:rsid w:val="00023516"/>
    <w:rsid w:val="0002419B"/>
    <w:rsid w:val="0002473E"/>
    <w:rsid w:val="00024F08"/>
    <w:rsid w:val="00025437"/>
    <w:rsid w:val="0002698E"/>
    <w:rsid w:val="00026ED4"/>
    <w:rsid w:val="00027148"/>
    <w:rsid w:val="000301BA"/>
    <w:rsid w:val="00030433"/>
    <w:rsid w:val="000311E0"/>
    <w:rsid w:val="000318B0"/>
    <w:rsid w:val="000330B0"/>
    <w:rsid w:val="000339C2"/>
    <w:rsid w:val="00035138"/>
    <w:rsid w:val="00035582"/>
    <w:rsid w:val="00040F8F"/>
    <w:rsid w:val="00041ECA"/>
    <w:rsid w:val="00041EFC"/>
    <w:rsid w:val="00041F59"/>
    <w:rsid w:val="00042092"/>
    <w:rsid w:val="00042CFF"/>
    <w:rsid w:val="00042F27"/>
    <w:rsid w:val="00043143"/>
    <w:rsid w:val="00043878"/>
    <w:rsid w:val="00043FC3"/>
    <w:rsid w:val="000459D0"/>
    <w:rsid w:val="00046036"/>
    <w:rsid w:val="00047723"/>
    <w:rsid w:val="000478A9"/>
    <w:rsid w:val="00050838"/>
    <w:rsid w:val="00050CEE"/>
    <w:rsid w:val="00050E0F"/>
    <w:rsid w:val="000518AA"/>
    <w:rsid w:val="000519C1"/>
    <w:rsid w:val="00052533"/>
    <w:rsid w:val="00052A34"/>
    <w:rsid w:val="00052FE5"/>
    <w:rsid w:val="0005313E"/>
    <w:rsid w:val="00053583"/>
    <w:rsid w:val="00054590"/>
    <w:rsid w:val="00054B19"/>
    <w:rsid w:val="00055DFA"/>
    <w:rsid w:val="000562F0"/>
    <w:rsid w:val="00060FA9"/>
    <w:rsid w:val="0006116C"/>
    <w:rsid w:val="000611E8"/>
    <w:rsid w:val="0006194B"/>
    <w:rsid w:val="00061AC0"/>
    <w:rsid w:val="00062739"/>
    <w:rsid w:val="00062CC1"/>
    <w:rsid w:val="00063ED3"/>
    <w:rsid w:val="00064538"/>
    <w:rsid w:val="000656E6"/>
    <w:rsid w:val="00065A0E"/>
    <w:rsid w:val="00065B67"/>
    <w:rsid w:val="000663AB"/>
    <w:rsid w:val="00066E28"/>
    <w:rsid w:val="00067D96"/>
    <w:rsid w:val="00071C0D"/>
    <w:rsid w:val="00071D50"/>
    <w:rsid w:val="0007231A"/>
    <w:rsid w:val="00073203"/>
    <w:rsid w:val="00073431"/>
    <w:rsid w:val="0007374F"/>
    <w:rsid w:val="00073EE0"/>
    <w:rsid w:val="00075739"/>
    <w:rsid w:val="00075F2C"/>
    <w:rsid w:val="000771D5"/>
    <w:rsid w:val="0007786B"/>
    <w:rsid w:val="0007792B"/>
    <w:rsid w:val="00080157"/>
    <w:rsid w:val="00080692"/>
    <w:rsid w:val="0008096C"/>
    <w:rsid w:val="000816EA"/>
    <w:rsid w:val="00082A48"/>
    <w:rsid w:val="00082EFF"/>
    <w:rsid w:val="00084B97"/>
    <w:rsid w:val="0008657D"/>
    <w:rsid w:val="00086AFA"/>
    <w:rsid w:val="00086C22"/>
    <w:rsid w:val="00086F0C"/>
    <w:rsid w:val="00087316"/>
    <w:rsid w:val="000917AE"/>
    <w:rsid w:val="00091B9F"/>
    <w:rsid w:val="000921B4"/>
    <w:rsid w:val="0009238E"/>
    <w:rsid w:val="00092788"/>
    <w:rsid w:val="000927C2"/>
    <w:rsid w:val="0009281E"/>
    <w:rsid w:val="00092B13"/>
    <w:rsid w:val="000938EA"/>
    <w:rsid w:val="0009391B"/>
    <w:rsid w:val="000942EB"/>
    <w:rsid w:val="0009735A"/>
    <w:rsid w:val="00097C6C"/>
    <w:rsid w:val="000A0439"/>
    <w:rsid w:val="000A064C"/>
    <w:rsid w:val="000A09D2"/>
    <w:rsid w:val="000A2BAB"/>
    <w:rsid w:val="000A3A91"/>
    <w:rsid w:val="000A3C4E"/>
    <w:rsid w:val="000A3CBD"/>
    <w:rsid w:val="000A426B"/>
    <w:rsid w:val="000A4AAE"/>
    <w:rsid w:val="000A502E"/>
    <w:rsid w:val="000A511D"/>
    <w:rsid w:val="000A5BD3"/>
    <w:rsid w:val="000A6122"/>
    <w:rsid w:val="000A628F"/>
    <w:rsid w:val="000A66F3"/>
    <w:rsid w:val="000A7B03"/>
    <w:rsid w:val="000B0465"/>
    <w:rsid w:val="000B0F5D"/>
    <w:rsid w:val="000B0FB0"/>
    <w:rsid w:val="000B103F"/>
    <w:rsid w:val="000B258E"/>
    <w:rsid w:val="000B2850"/>
    <w:rsid w:val="000B2CB3"/>
    <w:rsid w:val="000B359C"/>
    <w:rsid w:val="000B38BD"/>
    <w:rsid w:val="000B41A7"/>
    <w:rsid w:val="000B49DF"/>
    <w:rsid w:val="000B4D45"/>
    <w:rsid w:val="000B5520"/>
    <w:rsid w:val="000B5E82"/>
    <w:rsid w:val="000B626B"/>
    <w:rsid w:val="000B70B5"/>
    <w:rsid w:val="000B7851"/>
    <w:rsid w:val="000B7F0E"/>
    <w:rsid w:val="000C1102"/>
    <w:rsid w:val="000C1707"/>
    <w:rsid w:val="000C1873"/>
    <w:rsid w:val="000C190D"/>
    <w:rsid w:val="000C26DF"/>
    <w:rsid w:val="000C44C9"/>
    <w:rsid w:val="000C4AA1"/>
    <w:rsid w:val="000C6BC4"/>
    <w:rsid w:val="000C6E4B"/>
    <w:rsid w:val="000C739C"/>
    <w:rsid w:val="000C73C7"/>
    <w:rsid w:val="000C7A3B"/>
    <w:rsid w:val="000D0ACC"/>
    <w:rsid w:val="000D22FB"/>
    <w:rsid w:val="000D30A6"/>
    <w:rsid w:val="000D343E"/>
    <w:rsid w:val="000D479C"/>
    <w:rsid w:val="000D4C50"/>
    <w:rsid w:val="000D5B32"/>
    <w:rsid w:val="000D6318"/>
    <w:rsid w:val="000D6359"/>
    <w:rsid w:val="000D65F5"/>
    <w:rsid w:val="000D6AFB"/>
    <w:rsid w:val="000E0A73"/>
    <w:rsid w:val="000E0D1E"/>
    <w:rsid w:val="000E14F6"/>
    <w:rsid w:val="000E15ED"/>
    <w:rsid w:val="000E3937"/>
    <w:rsid w:val="000E43A0"/>
    <w:rsid w:val="000E4D78"/>
    <w:rsid w:val="000E4DFD"/>
    <w:rsid w:val="000E4F7B"/>
    <w:rsid w:val="000F0697"/>
    <w:rsid w:val="000F07CE"/>
    <w:rsid w:val="000F09BB"/>
    <w:rsid w:val="000F0D68"/>
    <w:rsid w:val="000F0F07"/>
    <w:rsid w:val="000F14E8"/>
    <w:rsid w:val="000F2436"/>
    <w:rsid w:val="000F4323"/>
    <w:rsid w:val="000F4CD3"/>
    <w:rsid w:val="000F6C08"/>
    <w:rsid w:val="000F7072"/>
    <w:rsid w:val="0010237D"/>
    <w:rsid w:val="0010274B"/>
    <w:rsid w:val="00102E6B"/>
    <w:rsid w:val="00103915"/>
    <w:rsid w:val="001039BF"/>
    <w:rsid w:val="00103A69"/>
    <w:rsid w:val="00104161"/>
    <w:rsid w:val="001054A2"/>
    <w:rsid w:val="00107A30"/>
    <w:rsid w:val="0011003B"/>
    <w:rsid w:val="001104F6"/>
    <w:rsid w:val="00111CD1"/>
    <w:rsid w:val="00113B52"/>
    <w:rsid w:val="00115B65"/>
    <w:rsid w:val="00115FC9"/>
    <w:rsid w:val="00116DD5"/>
    <w:rsid w:val="00117502"/>
    <w:rsid w:val="00117513"/>
    <w:rsid w:val="00120422"/>
    <w:rsid w:val="0012068A"/>
    <w:rsid w:val="00121B07"/>
    <w:rsid w:val="001221CB"/>
    <w:rsid w:val="00122B23"/>
    <w:rsid w:val="00125559"/>
    <w:rsid w:val="00126752"/>
    <w:rsid w:val="00126BB4"/>
    <w:rsid w:val="00126E35"/>
    <w:rsid w:val="001273A7"/>
    <w:rsid w:val="00130DC6"/>
    <w:rsid w:val="00131ABE"/>
    <w:rsid w:val="0013213A"/>
    <w:rsid w:val="0013442F"/>
    <w:rsid w:val="00134F34"/>
    <w:rsid w:val="0013525C"/>
    <w:rsid w:val="0013543D"/>
    <w:rsid w:val="001356ED"/>
    <w:rsid w:val="0013612A"/>
    <w:rsid w:val="00137D19"/>
    <w:rsid w:val="00137FFA"/>
    <w:rsid w:val="001436C6"/>
    <w:rsid w:val="00143855"/>
    <w:rsid w:val="001444AE"/>
    <w:rsid w:val="0014671C"/>
    <w:rsid w:val="001468EF"/>
    <w:rsid w:val="001470D6"/>
    <w:rsid w:val="00150664"/>
    <w:rsid w:val="001513DE"/>
    <w:rsid w:val="001519A8"/>
    <w:rsid w:val="001519CE"/>
    <w:rsid w:val="0015261D"/>
    <w:rsid w:val="00152F23"/>
    <w:rsid w:val="00152F4E"/>
    <w:rsid w:val="0015312F"/>
    <w:rsid w:val="00156953"/>
    <w:rsid w:val="00156B65"/>
    <w:rsid w:val="00156F1B"/>
    <w:rsid w:val="0015752F"/>
    <w:rsid w:val="00160334"/>
    <w:rsid w:val="00160D40"/>
    <w:rsid w:val="0016229B"/>
    <w:rsid w:val="00163A2E"/>
    <w:rsid w:val="00163BA4"/>
    <w:rsid w:val="0016431F"/>
    <w:rsid w:val="00165B9C"/>
    <w:rsid w:val="00166859"/>
    <w:rsid w:val="0017053E"/>
    <w:rsid w:val="0017092C"/>
    <w:rsid w:val="00170B6D"/>
    <w:rsid w:val="00170D41"/>
    <w:rsid w:val="00171201"/>
    <w:rsid w:val="00171527"/>
    <w:rsid w:val="00171EA0"/>
    <w:rsid w:val="00172946"/>
    <w:rsid w:val="00174E00"/>
    <w:rsid w:val="001752C6"/>
    <w:rsid w:val="0017578E"/>
    <w:rsid w:val="0017651B"/>
    <w:rsid w:val="0017669C"/>
    <w:rsid w:val="00177618"/>
    <w:rsid w:val="0018028E"/>
    <w:rsid w:val="00180CAE"/>
    <w:rsid w:val="00181312"/>
    <w:rsid w:val="00181B42"/>
    <w:rsid w:val="00181CA0"/>
    <w:rsid w:val="0018230E"/>
    <w:rsid w:val="00184602"/>
    <w:rsid w:val="001868F6"/>
    <w:rsid w:val="00186FD1"/>
    <w:rsid w:val="00187267"/>
    <w:rsid w:val="001876F7"/>
    <w:rsid w:val="0019180F"/>
    <w:rsid w:val="00193107"/>
    <w:rsid w:val="00193E9B"/>
    <w:rsid w:val="001945BB"/>
    <w:rsid w:val="00194762"/>
    <w:rsid w:val="00195D3C"/>
    <w:rsid w:val="00195EB8"/>
    <w:rsid w:val="00195F16"/>
    <w:rsid w:val="00196172"/>
    <w:rsid w:val="00196F5B"/>
    <w:rsid w:val="001A0C18"/>
    <w:rsid w:val="001A1BA8"/>
    <w:rsid w:val="001A21C4"/>
    <w:rsid w:val="001A23EA"/>
    <w:rsid w:val="001A2559"/>
    <w:rsid w:val="001A284A"/>
    <w:rsid w:val="001A29B7"/>
    <w:rsid w:val="001A3705"/>
    <w:rsid w:val="001A3E11"/>
    <w:rsid w:val="001A50BF"/>
    <w:rsid w:val="001A5222"/>
    <w:rsid w:val="001A59AC"/>
    <w:rsid w:val="001A5BD9"/>
    <w:rsid w:val="001A6036"/>
    <w:rsid w:val="001A650A"/>
    <w:rsid w:val="001A6CA1"/>
    <w:rsid w:val="001A7116"/>
    <w:rsid w:val="001B0444"/>
    <w:rsid w:val="001B0B4F"/>
    <w:rsid w:val="001B1203"/>
    <w:rsid w:val="001B34CF"/>
    <w:rsid w:val="001B39D9"/>
    <w:rsid w:val="001B4048"/>
    <w:rsid w:val="001B5CE7"/>
    <w:rsid w:val="001B666C"/>
    <w:rsid w:val="001B6906"/>
    <w:rsid w:val="001B731D"/>
    <w:rsid w:val="001B7466"/>
    <w:rsid w:val="001B7F08"/>
    <w:rsid w:val="001C1F9C"/>
    <w:rsid w:val="001C4350"/>
    <w:rsid w:val="001C4593"/>
    <w:rsid w:val="001C4DED"/>
    <w:rsid w:val="001C61C0"/>
    <w:rsid w:val="001C62A1"/>
    <w:rsid w:val="001C79BB"/>
    <w:rsid w:val="001D0FF9"/>
    <w:rsid w:val="001D17D9"/>
    <w:rsid w:val="001D1E85"/>
    <w:rsid w:val="001D262B"/>
    <w:rsid w:val="001D3276"/>
    <w:rsid w:val="001D32CB"/>
    <w:rsid w:val="001D3846"/>
    <w:rsid w:val="001D46FE"/>
    <w:rsid w:val="001D4AE9"/>
    <w:rsid w:val="001D60D3"/>
    <w:rsid w:val="001D69DD"/>
    <w:rsid w:val="001E0375"/>
    <w:rsid w:val="001E10A7"/>
    <w:rsid w:val="001E175B"/>
    <w:rsid w:val="001E1C24"/>
    <w:rsid w:val="001E26AB"/>
    <w:rsid w:val="001E2B0B"/>
    <w:rsid w:val="001E69F5"/>
    <w:rsid w:val="001E7D67"/>
    <w:rsid w:val="001F04AC"/>
    <w:rsid w:val="001F140C"/>
    <w:rsid w:val="001F1B92"/>
    <w:rsid w:val="001F1E12"/>
    <w:rsid w:val="001F4453"/>
    <w:rsid w:val="001F4D79"/>
    <w:rsid w:val="001F4E27"/>
    <w:rsid w:val="001F569D"/>
    <w:rsid w:val="001F5C1B"/>
    <w:rsid w:val="001F73AD"/>
    <w:rsid w:val="001F744E"/>
    <w:rsid w:val="00202718"/>
    <w:rsid w:val="002031C1"/>
    <w:rsid w:val="00203D28"/>
    <w:rsid w:val="00204DB3"/>
    <w:rsid w:val="00205BD8"/>
    <w:rsid w:val="0020632A"/>
    <w:rsid w:val="00206AE9"/>
    <w:rsid w:val="002072DF"/>
    <w:rsid w:val="00210605"/>
    <w:rsid w:val="002110EB"/>
    <w:rsid w:val="00211338"/>
    <w:rsid w:val="0021180F"/>
    <w:rsid w:val="00211BB0"/>
    <w:rsid w:val="00212888"/>
    <w:rsid w:val="002139DE"/>
    <w:rsid w:val="00213A09"/>
    <w:rsid w:val="00213F0E"/>
    <w:rsid w:val="00215255"/>
    <w:rsid w:val="00216F80"/>
    <w:rsid w:val="0021710C"/>
    <w:rsid w:val="0022149D"/>
    <w:rsid w:val="0022247B"/>
    <w:rsid w:val="002225BB"/>
    <w:rsid w:val="002238F9"/>
    <w:rsid w:val="00224F1E"/>
    <w:rsid w:val="0022670B"/>
    <w:rsid w:val="0022729A"/>
    <w:rsid w:val="002275F8"/>
    <w:rsid w:val="00230B9D"/>
    <w:rsid w:val="00231C7B"/>
    <w:rsid w:val="00232698"/>
    <w:rsid w:val="00233F1C"/>
    <w:rsid w:val="00234645"/>
    <w:rsid w:val="002346BA"/>
    <w:rsid w:val="00234B84"/>
    <w:rsid w:val="00234D59"/>
    <w:rsid w:val="00236B42"/>
    <w:rsid w:val="00236C3C"/>
    <w:rsid w:val="00236CEB"/>
    <w:rsid w:val="00240C53"/>
    <w:rsid w:val="00240E16"/>
    <w:rsid w:val="00240E19"/>
    <w:rsid w:val="00241AEF"/>
    <w:rsid w:val="00243870"/>
    <w:rsid w:val="00244521"/>
    <w:rsid w:val="00244BBC"/>
    <w:rsid w:val="00244C0A"/>
    <w:rsid w:val="00245446"/>
    <w:rsid w:val="0024563E"/>
    <w:rsid w:val="0024773C"/>
    <w:rsid w:val="002500DF"/>
    <w:rsid w:val="002509AC"/>
    <w:rsid w:val="00250C91"/>
    <w:rsid w:val="00251635"/>
    <w:rsid w:val="002525B1"/>
    <w:rsid w:val="00253BD6"/>
    <w:rsid w:val="0025459E"/>
    <w:rsid w:val="0025479C"/>
    <w:rsid w:val="00256AE4"/>
    <w:rsid w:val="00257321"/>
    <w:rsid w:val="0025759C"/>
    <w:rsid w:val="00257984"/>
    <w:rsid w:val="00257B3B"/>
    <w:rsid w:val="00260154"/>
    <w:rsid w:val="0026261D"/>
    <w:rsid w:val="0026265B"/>
    <w:rsid w:val="002626B4"/>
    <w:rsid w:val="0026284F"/>
    <w:rsid w:val="0026593D"/>
    <w:rsid w:val="00265A81"/>
    <w:rsid w:val="00265F17"/>
    <w:rsid w:val="00266B26"/>
    <w:rsid w:val="002678A0"/>
    <w:rsid w:val="00267B8E"/>
    <w:rsid w:val="00270EAA"/>
    <w:rsid w:val="00271891"/>
    <w:rsid w:val="0027322D"/>
    <w:rsid w:val="00273832"/>
    <w:rsid w:val="00273978"/>
    <w:rsid w:val="00273AAE"/>
    <w:rsid w:val="002740C5"/>
    <w:rsid w:val="002758CB"/>
    <w:rsid w:val="00275E80"/>
    <w:rsid w:val="00277DDC"/>
    <w:rsid w:val="00280DF5"/>
    <w:rsid w:val="00282FE2"/>
    <w:rsid w:val="00283532"/>
    <w:rsid w:val="00284184"/>
    <w:rsid w:val="0028487F"/>
    <w:rsid w:val="00286186"/>
    <w:rsid w:val="00286B7A"/>
    <w:rsid w:val="00287C56"/>
    <w:rsid w:val="00291A19"/>
    <w:rsid w:val="00291A2C"/>
    <w:rsid w:val="002924CD"/>
    <w:rsid w:val="00292579"/>
    <w:rsid w:val="00292E93"/>
    <w:rsid w:val="0029342E"/>
    <w:rsid w:val="00293FA8"/>
    <w:rsid w:val="00293FBF"/>
    <w:rsid w:val="0029401E"/>
    <w:rsid w:val="002941B8"/>
    <w:rsid w:val="00295308"/>
    <w:rsid w:val="00295E32"/>
    <w:rsid w:val="00295E57"/>
    <w:rsid w:val="00296460"/>
    <w:rsid w:val="00296463"/>
    <w:rsid w:val="002969BC"/>
    <w:rsid w:val="00297C23"/>
    <w:rsid w:val="002A0043"/>
    <w:rsid w:val="002A0D45"/>
    <w:rsid w:val="002A2269"/>
    <w:rsid w:val="002A23F7"/>
    <w:rsid w:val="002A5C49"/>
    <w:rsid w:val="002A6616"/>
    <w:rsid w:val="002B0068"/>
    <w:rsid w:val="002B0C19"/>
    <w:rsid w:val="002B1137"/>
    <w:rsid w:val="002B1235"/>
    <w:rsid w:val="002B16D4"/>
    <w:rsid w:val="002B1D91"/>
    <w:rsid w:val="002B26D6"/>
    <w:rsid w:val="002B2E33"/>
    <w:rsid w:val="002B353D"/>
    <w:rsid w:val="002B53B8"/>
    <w:rsid w:val="002B56A6"/>
    <w:rsid w:val="002B5A46"/>
    <w:rsid w:val="002B690C"/>
    <w:rsid w:val="002B69EA"/>
    <w:rsid w:val="002B716D"/>
    <w:rsid w:val="002B763B"/>
    <w:rsid w:val="002C00F3"/>
    <w:rsid w:val="002C0F45"/>
    <w:rsid w:val="002C119D"/>
    <w:rsid w:val="002C1446"/>
    <w:rsid w:val="002C1B67"/>
    <w:rsid w:val="002C1D5F"/>
    <w:rsid w:val="002C2452"/>
    <w:rsid w:val="002C24D5"/>
    <w:rsid w:val="002C2C00"/>
    <w:rsid w:val="002C3900"/>
    <w:rsid w:val="002C4C0C"/>
    <w:rsid w:val="002C65CE"/>
    <w:rsid w:val="002C66CD"/>
    <w:rsid w:val="002C6E18"/>
    <w:rsid w:val="002D0829"/>
    <w:rsid w:val="002D1383"/>
    <w:rsid w:val="002D1632"/>
    <w:rsid w:val="002D1C0C"/>
    <w:rsid w:val="002D3F19"/>
    <w:rsid w:val="002D522E"/>
    <w:rsid w:val="002D569D"/>
    <w:rsid w:val="002D5F6B"/>
    <w:rsid w:val="002D67DC"/>
    <w:rsid w:val="002D79E9"/>
    <w:rsid w:val="002E00E3"/>
    <w:rsid w:val="002E066B"/>
    <w:rsid w:val="002E0960"/>
    <w:rsid w:val="002E18B5"/>
    <w:rsid w:val="002E385F"/>
    <w:rsid w:val="002E3BE9"/>
    <w:rsid w:val="002E56E8"/>
    <w:rsid w:val="002E6EB8"/>
    <w:rsid w:val="002E7165"/>
    <w:rsid w:val="002F0029"/>
    <w:rsid w:val="002F0294"/>
    <w:rsid w:val="002F1553"/>
    <w:rsid w:val="002F1759"/>
    <w:rsid w:val="002F2B2E"/>
    <w:rsid w:val="002F2BDD"/>
    <w:rsid w:val="002F2F1D"/>
    <w:rsid w:val="002F3CE9"/>
    <w:rsid w:val="002F4849"/>
    <w:rsid w:val="002F4F42"/>
    <w:rsid w:val="002F605B"/>
    <w:rsid w:val="002F6B43"/>
    <w:rsid w:val="002F7BEF"/>
    <w:rsid w:val="002F7F83"/>
    <w:rsid w:val="0030041A"/>
    <w:rsid w:val="003033BA"/>
    <w:rsid w:val="00303F20"/>
    <w:rsid w:val="00304113"/>
    <w:rsid w:val="003049D5"/>
    <w:rsid w:val="00304EC8"/>
    <w:rsid w:val="003057B2"/>
    <w:rsid w:val="0030664E"/>
    <w:rsid w:val="00307459"/>
    <w:rsid w:val="00310F6E"/>
    <w:rsid w:val="00312877"/>
    <w:rsid w:val="00313382"/>
    <w:rsid w:val="003138FF"/>
    <w:rsid w:val="0031396A"/>
    <w:rsid w:val="00313A60"/>
    <w:rsid w:val="003144A3"/>
    <w:rsid w:val="00317691"/>
    <w:rsid w:val="0032017B"/>
    <w:rsid w:val="003204D3"/>
    <w:rsid w:val="00320603"/>
    <w:rsid w:val="0032206C"/>
    <w:rsid w:val="00322271"/>
    <w:rsid w:val="00322937"/>
    <w:rsid w:val="00322BA2"/>
    <w:rsid w:val="0032311F"/>
    <w:rsid w:val="0032519A"/>
    <w:rsid w:val="003252D8"/>
    <w:rsid w:val="003259F0"/>
    <w:rsid w:val="00325A3A"/>
    <w:rsid w:val="00327BDD"/>
    <w:rsid w:val="00332005"/>
    <w:rsid w:val="003323C9"/>
    <w:rsid w:val="00332516"/>
    <w:rsid w:val="00332D62"/>
    <w:rsid w:val="00333368"/>
    <w:rsid w:val="003333FB"/>
    <w:rsid w:val="003334E7"/>
    <w:rsid w:val="00334999"/>
    <w:rsid w:val="003349A5"/>
    <w:rsid w:val="00334B47"/>
    <w:rsid w:val="00334F9D"/>
    <w:rsid w:val="00335F0E"/>
    <w:rsid w:val="00336712"/>
    <w:rsid w:val="00336897"/>
    <w:rsid w:val="00337945"/>
    <w:rsid w:val="0034177C"/>
    <w:rsid w:val="0034268A"/>
    <w:rsid w:val="0034444F"/>
    <w:rsid w:val="00345134"/>
    <w:rsid w:val="00346096"/>
    <w:rsid w:val="0034680A"/>
    <w:rsid w:val="00346BD3"/>
    <w:rsid w:val="0034748E"/>
    <w:rsid w:val="003474FD"/>
    <w:rsid w:val="0035006A"/>
    <w:rsid w:val="0035171F"/>
    <w:rsid w:val="00351925"/>
    <w:rsid w:val="00351EAD"/>
    <w:rsid w:val="00352C84"/>
    <w:rsid w:val="00353147"/>
    <w:rsid w:val="00353DD5"/>
    <w:rsid w:val="0035431C"/>
    <w:rsid w:val="00354482"/>
    <w:rsid w:val="003545EF"/>
    <w:rsid w:val="00354D4B"/>
    <w:rsid w:val="0035533F"/>
    <w:rsid w:val="00355B83"/>
    <w:rsid w:val="003564A6"/>
    <w:rsid w:val="0035653A"/>
    <w:rsid w:val="0035671F"/>
    <w:rsid w:val="0035753D"/>
    <w:rsid w:val="0036037E"/>
    <w:rsid w:val="00360C2B"/>
    <w:rsid w:val="00362275"/>
    <w:rsid w:val="00362B65"/>
    <w:rsid w:val="00362E84"/>
    <w:rsid w:val="003630DA"/>
    <w:rsid w:val="003649DE"/>
    <w:rsid w:val="0036505D"/>
    <w:rsid w:val="003658F8"/>
    <w:rsid w:val="00365E12"/>
    <w:rsid w:val="003662A4"/>
    <w:rsid w:val="00366C70"/>
    <w:rsid w:val="00366CC3"/>
    <w:rsid w:val="00372A00"/>
    <w:rsid w:val="00372FA7"/>
    <w:rsid w:val="003731A5"/>
    <w:rsid w:val="003735D3"/>
    <w:rsid w:val="0037412D"/>
    <w:rsid w:val="00374467"/>
    <w:rsid w:val="00375331"/>
    <w:rsid w:val="00377431"/>
    <w:rsid w:val="0038037B"/>
    <w:rsid w:val="0038198E"/>
    <w:rsid w:val="003828E4"/>
    <w:rsid w:val="00384C21"/>
    <w:rsid w:val="00384E46"/>
    <w:rsid w:val="003851F6"/>
    <w:rsid w:val="003852EA"/>
    <w:rsid w:val="00386456"/>
    <w:rsid w:val="0038689A"/>
    <w:rsid w:val="00387205"/>
    <w:rsid w:val="003879DA"/>
    <w:rsid w:val="00391570"/>
    <w:rsid w:val="003928BA"/>
    <w:rsid w:val="00392CD0"/>
    <w:rsid w:val="003939E7"/>
    <w:rsid w:val="00393A5C"/>
    <w:rsid w:val="0039449D"/>
    <w:rsid w:val="003945DE"/>
    <w:rsid w:val="00395814"/>
    <w:rsid w:val="0039653A"/>
    <w:rsid w:val="003966C8"/>
    <w:rsid w:val="0039686B"/>
    <w:rsid w:val="00397723"/>
    <w:rsid w:val="00397C22"/>
    <w:rsid w:val="003A0069"/>
    <w:rsid w:val="003A0878"/>
    <w:rsid w:val="003A14F0"/>
    <w:rsid w:val="003A1700"/>
    <w:rsid w:val="003A24C2"/>
    <w:rsid w:val="003A317B"/>
    <w:rsid w:val="003A39E3"/>
    <w:rsid w:val="003A4BFE"/>
    <w:rsid w:val="003A4C50"/>
    <w:rsid w:val="003A581E"/>
    <w:rsid w:val="003A61EC"/>
    <w:rsid w:val="003A64BF"/>
    <w:rsid w:val="003A6C1F"/>
    <w:rsid w:val="003A70A2"/>
    <w:rsid w:val="003A78E0"/>
    <w:rsid w:val="003B0348"/>
    <w:rsid w:val="003B1B0F"/>
    <w:rsid w:val="003B2884"/>
    <w:rsid w:val="003B309D"/>
    <w:rsid w:val="003B3206"/>
    <w:rsid w:val="003B39DA"/>
    <w:rsid w:val="003B4371"/>
    <w:rsid w:val="003B4825"/>
    <w:rsid w:val="003B4C76"/>
    <w:rsid w:val="003B4DDA"/>
    <w:rsid w:val="003B50BD"/>
    <w:rsid w:val="003B51CB"/>
    <w:rsid w:val="003B5432"/>
    <w:rsid w:val="003B608E"/>
    <w:rsid w:val="003B67A2"/>
    <w:rsid w:val="003B6DC7"/>
    <w:rsid w:val="003B71D8"/>
    <w:rsid w:val="003B74FA"/>
    <w:rsid w:val="003C22CA"/>
    <w:rsid w:val="003C26D5"/>
    <w:rsid w:val="003C3690"/>
    <w:rsid w:val="003C3A6B"/>
    <w:rsid w:val="003C426A"/>
    <w:rsid w:val="003C4422"/>
    <w:rsid w:val="003C6131"/>
    <w:rsid w:val="003C7A5F"/>
    <w:rsid w:val="003C7DAE"/>
    <w:rsid w:val="003D3093"/>
    <w:rsid w:val="003D3C2E"/>
    <w:rsid w:val="003D3E2D"/>
    <w:rsid w:val="003D4456"/>
    <w:rsid w:val="003D4467"/>
    <w:rsid w:val="003D4E6B"/>
    <w:rsid w:val="003D688F"/>
    <w:rsid w:val="003E001D"/>
    <w:rsid w:val="003E14BA"/>
    <w:rsid w:val="003E23EA"/>
    <w:rsid w:val="003E3695"/>
    <w:rsid w:val="003E3BC4"/>
    <w:rsid w:val="003E4C6C"/>
    <w:rsid w:val="003E657C"/>
    <w:rsid w:val="003E7355"/>
    <w:rsid w:val="003E73F1"/>
    <w:rsid w:val="003E7F15"/>
    <w:rsid w:val="003F084D"/>
    <w:rsid w:val="003F0BB9"/>
    <w:rsid w:val="003F0F09"/>
    <w:rsid w:val="003F1E6F"/>
    <w:rsid w:val="003F2C90"/>
    <w:rsid w:val="003F3B9D"/>
    <w:rsid w:val="003F4472"/>
    <w:rsid w:val="003F4886"/>
    <w:rsid w:val="003F4FAC"/>
    <w:rsid w:val="003F5A0D"/>
    <w:rsid w:val="003F5D87"/>
    <w:rsid w:val="003F5F0D"/>
    <w:rsid w:val="003F7F27"/>
    <w:rsid w:val="004007D7"/>
    <w:rsid w:val="0040111B"/>
    <w:rsid w:val="00401511"/>
    <w:rsid w:val="004015AE"/>
    <w:rsid w:val="00404D7A"/>
    <w:rsid w:val="00404F7E"/>
    <w:rsid w:val="0040503E"/>
    <w:rsid w:val="00406553"/>
    <w:rsid w:val="00407A8A"/>
    <w:rsid w:val="00407EFE"/>
    <w:rsid w:val="00410806"/>
    <w:rsid w:val="004110C1"/>
    <w:rsid w:val="00411FA4"/>
    <w:rsid w:val="00412F7D"/>
    <w:rsid w:val="00413E4A"/>
    <w:rsid w:val="0041629E"/>
    <w:rsid w:val="00416CE1"/>
    <w:rsid w:val="00416F9D"/>
    <w:rsid w:val="00422B39"/>
    <w:rsid w:val="00423AD3"/>
    <w:rsid w:val="00423F9F"/>
    <w:rsid w:val="00425CA8"/>
    <w:rsid w:val="00426DF2"/>
    <w:rsid w:val="00430285"/>
    <w:rsid w:val="00431738"/>
    <w:rsid w:val="00432555"/>
    <w:rsid w:val="0043379B"/>
    <w:rsid w:val="0043379F"/>
    <w:rsid w:val="00434D34"/>
    <w:rsid w:val="00436487"/>
    <w:rsid w:val="00436701"/>
    <w:rsid w:val="0043673A"/>
    <w:rsid w:val="00436CF2"/>
    <w:rsid w:val="00436EE1"/>
    <w:rsid w:val="0044094B"/>
    <w:rsid w:val="00441949"/>
    <w:rsid w:val="00441E6D"/>
    <w:rsid w:val="0044219E"/>
    <w:rsid w:val="0044228D"/>
    <w:rsid w:val="004422D6"/>
    <w:rsid w:val="00446012"/>
    <w:rsid w:val="00446133"/>
    <w:rsid w:val="00446954"/>
    <w:rsid w:val="00447189"/>
    <w:rsid w:val="00447914"/>
    <w:rsid w:val="004502C6"/>
    <w:rsid w:val="00450374"/>
    <w:rsid w:val="004503CA"/>
    <w:rsid w:val="00450793"/>
    <w:rsid w:val="004508FF"/>
    <w:rsid w:val="0045122B"/>
    <w:rsid w:val="00451785"/>
    <w:rsid w:val="00451F4F"/>
    <w:rsid w:val="0045222D"/>
    <w:rsid w:val="00452602"/>
    <w:rsid w:val="004526D3"/>
    <w:rsid w:val="00452A0D"/>
    <w:rsid w:val="0045499B"/>
    <w:rsid w:val="004558DD"/>
    <w:rsid w:val="004568C7"/>
    <w:rsid w:val="00457A81"/>
    <w:rsid w:val="00457BC1"/>
    <w:rsid w:val="00460729"/>
    <w:rsid w:val="00460D59"/>
    <w:rsid w:val="004613DB"/>
    <w:rsid w:val="004616A9"/>
    <w:rsid w:val="004617CF"/>
    <w:rsid w:val="004625D0"/>
    <w:rsid w:val="00462C5C"/>
    <w:rsid w:val="00463469"/>
    <w:rsid w:val="00463CBF"/>
    <w:rsid w:val="00464836"/>
    <w:rsid w:val="00464867"/>
    <w:rsid w:val="00464BE7"/>
    <w:rsid w:val="004651EF"/>
    <w:rsid w:val="00466DD2"/>
    <w:rsid w:val="0047017D"/>
    <w:rsid w:val="004705A2"/>
    <w:rsid w:val="004709D9"/>
    <w:rsid w:val="00470D26"/>
    <w:rsid w:val="0047137B"/>
    <w:rsid w:val="00471F23"/>
    <w:rsid w:val="00472E62"/>
    <w:rsid w:val="0047438D"/>
    <w:rsid w:val="00476670"/>
    <w:rsid w:val="004772DA"/>
    <w:rsid w:val="004772E9"/>
    <w:rsid w:val="00477ABF"/>
    <w:rsid w:val="00481F31"/>
    <w:rsid w:val="00482235"/>
    <w:rsid w:val="004823D1"/>
    <w:rsid w:val="00484856"/>
    <w:rsid w:val="00484A3A"/>
    <w:rsid w:val="00484B0A"/>
    <w:rsid w:val="004858BC"/>
    <w:rsid w:val="004866BF"/>
    <w:rsid w:val="00486E19"/>
    <w:rsid w:val="00487936"/>
    <w:rsid w:val="004902ED"/>
    <w:rsid w:val="00491BA4"/>
    <w:rsid w:val="00491F1C"/>
    <w:rsid w:val="0049241A"/>
    <w:rsid w:val="004926EF"/>
    <w:rsid w:val="00493E5B"/>
    <w:rsid w:val="0049440E"/>
    <w:rsid w:val="00494646"/>
    <w:rsid w:val="00495988"/>
    <w:rsid w:val="004A06D8"/>
    <w:rsid w:val="004A0D1E"/>
    <w:rsid w:val="004A1030"/>
    <w:rsid w:val="004A194E"/>
    <w:rsid w:val="004A1C01"/>
    <w:rsid w:val="004A1D82"/>
    <w:rsid w:val="004A2579"/>
    <w:rsid w:val="004A26B5"/>
    <w:rsid w:val="004A2777"/>
    <w:rsid w:val="004A34D2"/>
    <w:rsid w:val="004A396E"/>
    <w:rsid w:val="004A3E56"/>
    <w:rsid w:val="004A41C5"/>
    <w:rsid w:val="004A627A"/>
    <w:rsid w:val="004A7062"/>
    <w:rsid w:val="004A7BC6"/>
    <w:rsid w:val="004B0381"/>
    <w:rsid w:val="004B0502"/>
    <w:rsid w:val="004B09FE"/>
    <w:rsid w:val="004B0C80"/>
    <w:rsid w:val="004B0EF1"/>
    <w:rsid w:val="004B323E"/>
    <w:rsid w:val="004B4965"/>
    <w:rsid w:val="004B680F"/>
    <w:rsid w:val="004B708C"/>
    <w:rsid w:val="004B72C6"/>
    <w:rsid w:val="004B7962"/>
    <w:rsid w:val="004C0F66"/>
    <w:rsid w:val="004C2076"/>
    <w:rsid w:val="004C32B5"/>
    <w:rsid w:val="004C4DAC"/>
    <w:rsid w:val="004C54DA"/>
    <w:rsid w:val="004C58D0"/>
    <w:rsid w:val="004C6A5A"/>
    <w:rsid w:val="004C72F9"/>
    <w:rsid w:val="004C7664"/>
    <w:rsid w:val="004C7D8B"/>
    <w:rsid w:val="004D1B34"/>
    <w:rsid w:val="004D1E36"/>
    <w:rsid w:val="004D22F5"/>
    <w:rsid w:val="004D2C56"/>
    <w:rsid w:val="004D4CD7"/>
    <w:rsid w:val="004D6024"/>
    <w:rsid w:val="004D6B1A"/>
    <w:rsid w:val="004D7167"/>
    <w:rsid w:val="004D7247"/>
    <w:rsid w:val="004E1522"/>
    <w:rsid w:val="004E1AFE"/>
    <w:rsid w:val="004E1D7D"/>
    <w:rsid w:val="004E2121"/>
    <w:rsid w:val="004E24B4"/>
    <w:rsid w:val="004E376E"/>
    <w:rsid w:val="004E3CCA"/>
    <w:rsid w:val="004E4412"/>
    <w:rsid w:val="004E74C0"/>
    <w:rsid w:val="004F0D23"/>
    <w:rsid w:val="004F1329"/>
    <w:rsid w:val="004F262A"/>
    <w:rsid w:val="004F2B88"/>
    <w:rsid w:val="004F5FFC"/>
    <w:rsid w:val="004F71B4"/>
    <w:rsid w:val="004F74A8"/>
    <w:rsid w:val="004F7652"/>
    <w:rsid w:val="004F778C"/>
    <w:rsid w:val="0050096C"/>
    <w:rsid w:val="00500B28"/>
    <w:rsid w:val="00500E46"/>
    <w:rsid w:val="005010D1"/>
    <w:rsid w:val="0050147A"/>
    <w:rsid w:val="00502027"/>
    <w:rsid w:val="005022F4"/>
    <w:rsid w:val="005030EA"/>
    <w:rsid w:val="0050382F"/>
    <w:rsid w:val="0050395A"/>
    <w:rsid w:val="00503C30"/>
    <w:rsid w:val="00504CFE"/>
    <w:rsid w:val="005056EE"/>
    <w:rsid w:val="0050666F"/>
    <w:rsid w:val="0051074C"/>
    <w:rsid w:val="00510814"/>
    <w:rsid w:val="00510D99"/>
    <w:rsid w:val="00510FCA"/>
    <w:rsid w:val="00511E1C"/>
    <w:rsid w:val="0051256D"/>
    <w:rsid w:val="00512F6A"/>
    <w:rsid w:val="00513A64"/>
    <w:rsid w:val="00513AF2"/>
    <w:rsid w:val="00514118"/>
    <w:rsid w:val="00514281"/>
    <w:rsid w:val="0051450C"/>
    <w:rsid w:val="005148D7"/>
    <w:rsid w:val="005158B4"/>
    <w:rsid w:val="0051637C"/>
    <w:rsid w:val="005174FC"/>
    <w:rsid w:val="00517B77"/>
    <w:rsid w:val="00520096"/>
    <w:rsid w:val="00521105"/>
    <w:rsid w:val="00524F09"/>
    <w:rsid w:val="0052547D"/>
    <w:rsid w:val="005278E6"/>
    <w:rsid w:val="00527B56"/>
    <w:rsid w:val="00527FB0"/>
    <w:rsid w:val="005310DF"/>
    <w:rsid w:val="00531103"/>
    <w:rsid w:val="005317FA"/>
    <w:rsid w:val="00531BFC"/>
    <w:rsid w:val="0053299A"/>
    <w:rsid w:val="0053339B"/>
    <w:rsid w:val="00533C19"/>
    <w:rsid w:val="005355A1"/>
    <w:rsid w:val="00537521"/>
    <w:rsid w:val="00540751"/>
    <w:rsid w:val="00540A4F"/>
    <w:rsid w:val="00541058"/>
    <w:rsid w:val="00541E29"/>
    <w:rsid w:val="00541F5C"/>
    <w:rsid w:val="00542157"/>
    <w:rsid w:val="005440DB"/>
    <w:rsid w:val="0054413A"/>
    <w:rsid w:val="005443DD"/>
    <w:rsid w:val="00544C5B"/>
    <w:rsid w:val="00544EF8"/>
    <w:rsid w:val="00546363"/>
    <w:rsid w:val="005472FD"/>
    <w:rsid w:val="00547D71"/>
    <w:rsid w:val="00554B18"/>
    <w:rsid w:val="005564CA"/>
    <w:rsid w:val="005570A8"/>
    <w:rsid w:val="0055743D"/>
    <w:rsid w:val="00557C62"/>
    <w:rsid w:val="00557FDD"/>
    <w:rsid w:val="0056055D"/>
    <w:rsid w:val="00560C72"/>
    <w:rsid w:val="0056182B"/>
    <w:rsid w:val="0056283E"/>
    <w:rsid w:val="00563A5C"/>
    <w:rsid w:val="00564FC2"/>
    <w:rsid w:val="00565877"/>
    <w:rsid w:val="00567928"/>
    <w:rsid w:val="00571FD6"/>
    <w:rsid w:val="00572591"/>
    <w:rsid w:val="005728F1"/>
    <w:rsid w:val="00572C3A"/>
    <w:rsid w:val="00572F5F"/>
    <w:rsid w:val="00573D5D"/>
    <w:rsid w:val="00574143"/>
    <w:rsid w:val="00574BA4"/>
    <w:rsid w:val="00574E90"/>
    <w:rsid w:val="005756AA"/>
    <w:rsid w:val="00576BBB"/>
    <w:rsid w:val="005771A5"/>
    <w:rsid w:val="00580B03"/>
    <w:rsid w:val="00583A09"/>
    <w:rsid w:val="00583C2D"/>
    <w:rsid w:val="00584771"/>
    <w:rsid w:val="00584BC5"/>
    <w:rsid w:val="00584E0C"/>
    <w:rsid w:val="005852BA"/>
    <w:rsid w:val="00586E4D"/>
    <w:rsid w:val="00590516"/>
    <w:rsid w:val="005907A9"/>
    <w:rsid w:val="005909ED"/>
    <w:rsid w:val="00590E4F"/>
    <w:rsid w:val="005912A0"/>
    <w:rsid w:val="005924EF"/>
    <w:rsid w:val="005957C8"/>
    <w:rsid w:val="005958F3"/>
    <w:rsid w:val="00595D86"/>
    <w:rsid w:val="00596DE4"/>
    <w:rsid w:val="00597883"/>
    <w:rsid w:val="00597DAB"/>
    <w:rsid w:val="005A1976"/>
    <w:rsid w:val="005A1A73"/>
    <w:rsid w:val="005A1AA6"/>
    <w:rsid w:val="005A220D"/>
    <w:rsid w:val="005A2C83"/>
    <w:rsid w:val="005A2FD9"/>
    <w:rsid w:val="005A38D8"/>
    <w:rsid w:val="005A4FFA"/>
    <w:rsid w:val="005A555D"/>
    <w:rsid w:val="005A61F1"/>
    <w:rsid w:val="005A7850"/>
    <w:rsid w:val="005A7A24"/>
    <w:rsid w:val="005A7FAA"/>
    <w:rsid w:val="005B0D75"/>
    <w:rsid w:val="005B15CA"/>
    <w:rsid w:val="005B1993"/>
    <w:rsid w:val="005B3CD8"/>
    <w:rsid w:val="005B4756"/>
    <w:rsid w:val="005B5AD6"/>
    <w:rsid w:val="005B5B57"/>
    <w:rsid w:val="005C0AE8"/>
    <w:rsid w:val="005C162D"/>
    <w:rsid w:val="005C1AC6"/>
    <w:rsid w:val="005C2779"/>
    <w:rsid w:val="005C2EF4"/>
    <w:rsid w:val="005C3A6A"/>
    <w:rsid w:val="005C3EA4"/>
    <w:rsid w:val="005C4AB8"/>
    <w:rsid w:val="005C4B97"/>
    <w:rsid w:val="005C5EB0"/>
    <w:rsid w:val="005C7600"/>
    <w:rsid w:val="005C79A2"/>
    <w:rsid w:val="005C7AED"/>
    <w:rsid w:val="005D0D7F"/>
    <w:rsid w:val="005D10F1"/>
    <w:rsid w:val="005D1FEF"/>
    <w:rsid w:val="005D2539"/>
    <w:rsid w:val="005D263C"/>
    <w:rsid w:val="005D2D9B"/>
    <w:rsid w:val="005D3438"/>
    <w:rsid w:val="005D4C4C"/>
    <w:rsid w:val="005D4CC1"/>
    <w:rsid w:val="005D50AA"/>
    <w:rsid w:val="005D51FA"/>
    <w:rsid w:val="005D5542"/>
    <w:rsid w:val="005D6977"/>
    <w:rsid w:val="005D6CAC"/>
    <w:rsid w:val="005D791B"/>
    <w:rsid w:val="005E0888"/>
    <w:rsid w:val="005E3D00"/>
    <w:rsid w:val="005E529C"/>
    <w:rsid w:val="005E5B57"/>
    <w:rsid w:val="005E6118"/>
    <w:rsid w:val="005E640D"/>
    <w:rsid w:val="005E7395"/>
    <w:rsid w:val="005F197B"/>
    <w:rsid w:val="005F1B4D"/>
    <w:rsid w:val="005F1F78"/>
    <w:rsid w:val="005F2102"/>
    <w:rsid w:val="005F26E3"/>
    <w:rsid w:val="005F3AEA"/>
    <w:rsid w:val="005F48AA"/>
    <w:rsid w:val="005F48C8"/>
    <w:rsid w:val="005F4FAB"/>
    <w:rsid w:val="005F6740"/>
    <w:rsid w:val="005F67B3"/>
    <w:rsid w:val="00600C3F"/>
    <w:rsid w:val="0060167D"/>
    <w:rsid w:val="00602939"/>
    <w:rsid w:val="006032CA"/>
    <w:rsid w:val="00604809"/>
    <w:rsid w:val="00604E35"/>
    <w:rsid w:val="006053B5"/>
    <w:rsid w:val="00606400"/>
    <w:rsid w:val="00606CC8"/>
    <w:rsid w:val="00606D1C"/>
    <w:rsid w:val="00606EAE"/>
    <w:rsid w:val="006072D1"/>
    <w:rsid w:val="00607888"/>
    <w:rsid w:val="00610361"/>
    <w:rsid w:val="0061081B"/>
    <w:rsid w:val="006118C9"/>
    <w:rsid w:val="0061304B"/>
    <w:rsid w:val="00613442"/>
    <w:rsid w:val="00613CA4"/>
    <w:rsid w:val="00614817"/>
    <w:rsid w:val="00614AAB"/>
    <w:rsid w:val="006158F0"/>
    <w:rsid w:val="00617C35"/>
    <w:rsid w:val="006208FE"/>
    <w:rsid w:val="00621165"/>
    <w:rsid w:val="00621A78"/>
    <w:rsid w:val="00622F73"/>
    <w:rsid w:val="00623168"/>
    <w:rsid w:val="00623B77"/>
    <w:rsid w:val="00624C50"/>
    <w:rsid w:val="0062540D"/>
    <w:rsid w:val="00625F19"/>
    <w:rsid w:val="00627BEE"/>
    <w:rsid w:val="00627CE3"/>
    <w:rsid w:val="00630258"/>
    <w:rsid w:val="00630A35"/>
    <w:rsid w:val="00630B32"/>
    <w:rsid w:val="00630FDF"/>
    <w:rsid w:val="006313F4"/>
    <w:rsid w:val="006317D9"/>
    <w:rsid w:val="00632269"/>
    <w:rsid w:val="0063261F"/>
    <w:rsid w:val="00633262"/>
    <w:rsid w:val="006338A8"/>
    <w:rsid w:val="00633DBF"/>
    <w:rsid w:val="00633E03"/>
    <w:rsid w:val="00633EC0"/>
    <w:rsid w:val="00634350"/>
    <w:rsid w:val="0063508B"/>
    <w:rsid w:val="006350E6"/>
    <w:rsid w:val="00636D35"/>
    <w:rsid w:val="0064058D"/>
    <w:rsid w:val="006441E9"/>
    <w:rsid w:val="00644ADC"/>
    <w:rsid w:val="00645159"/>
    <w:rsid w:val="006453C1"/>
    <w:rsid w:val="00645CF8"/>
    <w:rsid w:val="006464BC"/>
    <w:rsid w:val="0064734D"/>
    <w:rsid w:val="00647C3A"/>
    <w:rsid w:val="00650FDB"/>
    <w:rsid w:val="0065118A"/>
    <w:rsid w:val="0065154D"/>
    <w:rsid w:val="00651659"/>
    <w:rsid w:val="00654AD5"/>
    <w:rsid w:val="00655371"/>
    <w:rsid w:val="00655552"/>
    <w:rsid w:val="00656997"/>
    <w:rsid w:val="00656BD3"/>
    <w:rsid w:val="00656C7D"/>
    <w:rsid w:val="006609AB"/>
    <w:rsid w:val="006613B1"/>
    <w:rsid w:val="00662F65"/>
    <w:rsid w:val="00663314"/>
    <w:rsid w:val="0066452D"/>
    <w:rsid w:val="00664556"/>
    <w:rsid w:val="00664EBA"/>
    <w:rsid w:val="00665553"/>
    <w:rsid w:val="006660FA"/>
    <w:rsid w:val="00666303"/>
    <w:rsid w:val="0066696D"/>
    <w:rsid w:val="006676AA"/>
    <w:rsid w:val="00667FD6"/>
    <w:rsid w:val="00670AFD"/>
    <w:rsid w:val="006715BC"/>
    <w:rsid w:val="00672379"/>
    <w:rsid w:val="006726C7"/>
    <w:rsid w:val="006732EF"/>
    <w:rsid w:val="006745D9"/>
    <w:rsid w:val="00675DAA"/>
    <w:rsid w:val="0067671D"/>
    <w:rsid w:val="00676959"/>
    <w:rsid w:val="0067719F"/>
    <w:rsid w:val="00677428"/>
    <w:rsid w:val="00680ACA"/>
    <w:rsid w:val="00680CD0"/>
    <w:rsid w:val="00680EE3"/>
    <w:rsid w:val="006811A6"/>
    <w:rsid w:val="00681957"/>
    <w:rsid w:val="0068678E"/>
    <w:rsid w:val="00690195"/>
    <w:rsid w:val="006905C1"/>
    <w:rsid w:val="006905D6"/>
    <w:rsid w:val="00691277"/>
    <w:rsid w:val="00693363"/>
    <w:rsid w:val="00693EB0"/>
    <w:rsid w:val="00694390"/>
    <w:rsid w:val="00694523"/>
    <w:rsid w:val="00695596"/>
    <w:rsid w:val="00695B23"/>
    <w:rsid w:val="00696669"/>
    <w:rsid w:val="006966AB"/>
    <w:rsid w:val="0069763C"/>
    <w:rsid w:val="00697665"/>
    <w:rsid w:val="006A0BB2"/>
    <w:rsid w:val="006A0BC3"/>
    <w:rsid w:val="006A0F37"/>
    <w:rsid w:val="006A14C3"/>
    <w:rsid w:val="006A1B54"/>
    <w:rsid w:val="006A490E"/>
    <w:rsid w:val="006A4CD0"/>
    <w:rsid w:val="006A52CE"/>
    <w:rsid w:val="006A667D"/>
    <w:rsid w:val="006A6C98"/>
    <w:rsid w:val="006A7CB5"/>
    <w:rsid w:val="006A7FD0"/>
    <w:rsid w:val="006B02DD"/>
    <w:rsid w:val="006B0A01"/>
    <w:rsid w:val="006B1211"/>
    <w:rsid w:val="006B2D2D"/>
    <w:rsid w:val="006B340F"/>
    <w:rsid w:val="006B4131"/>
    <w:rsid w:val="006B419C"/>
    <w:rsid w:val="006B4A03"/>
    <w:rsid w:val="006B4BC9"/>
    <w:rsid w:val="006B5469"/>
    <w:rsid w:val="006B5E52"/>
    <w:rsid w:val="006B6D5F"/>
    <w:rsid w:val="006B7C79"/>
    <w:rsid w:val="006C02B8"/>
    <w:rsid w:val="006C12D6"/>
    <w:rsid w:val="006C16C4"/>
    <w:rsid w:val="006C1A9B"/>
    <w:rsid w:val="006C3315"/>
    <w:rsid w:val="006C34C1"/>
    <w:rsid w:val="006C40B0"/>
    <w:rsid w:val="006C4865"/>
    <w:rsid w:val="006C4FB6"/>
    <w:rsid w:val="006C55B0"/>
    <w:rsid w:val="006C59F1"/>
    <w:rsid w:val="006C5CBB"/>
    <w:rsid w:val="006C5FF8"/>
    <w:rsid w:val="006D05F7"/>
    <w:rsid w:val="006D0944"/>
    <w:rsid w:val="006D1A6C"/>
    <w:rsid w:val="006D316E"/>
    <w:rsid w:val="006D391A"/>
    <w:rsid w:val="006D4D3E"/>
    <w:rsid w:val="006D50BE"/>
    <w:rsid w:val="006D524B"/>
    <w:rsid w:val="006D6BBC"/>
    <w:rsid w:val="006D7687"/>
    <w:rsid w:val="006E0572"/>
    <w:rsid w:val="006E178E"/>
    <w:rsid w:val="006E321E"/>
    <w:rsid w:val="006E3401"/>
    <w:rsid w:val="006E3C68"/>
    <w:rsid w:val="006E4184"/>
    <w:rsid w:val="006E4ED6"/>
    <w:rsid w:val="006E5518"/>
    <w:rsid w:val="006E691B"/>
    <w:rsid w:val="006E7BD4"/>
    <w:rsid w:val="006F0339"/>
    <w:rsid w:val="006F1C0D"/>
    <w:rsid w:val="006F2A0F"/>
    <w:rsid w:val="006F2C91"/>
    <w:rsid w:val="006F3DDD"/>
    <w:rsid w:val="006F5452"/>
    <w:rsid w:val="006F77C0"/>
    <w:rsid w:val="006F7B98"/>
    <w:rsid w:val="00700094"/>
    <w:rsid w:val="0070018D"/>
    <w:rsid w:val="00700C40"/>
    <w:rsid w:val="00702675"/>
    <w:rsid w:val="007027E7"/>
    <w:rsid w:val="00702B8B"/>
    <w:rsid w:val="00703A0F"/>
    <w:rsid w:val="00703B28"/>
    <w:rsid w:val="00705631"/>
    <w:rsid w:val="0070611C"/>
    <w:rsid w:val="007065A8"/>
    <w:rsid w:val="00706A51"/>
    <w:rsid w:val="00710305"/>
    <w:rsid w:val="0071288C"/>
    <w:rsid w:val="007132FB"/>
    <w:rsid w:val="0071348C"/>
    <w:rsid w:val="0071390D"/>
    <w:rsid w:val="00714530"/>
    <w:rsid w:val="00714B3E"/>
    <w:rsid w:val="00715E83"/>
    <w:rsid w:val="00715EAA"/>
    <w:rsid w:val="00717566"/>
    <w:rsid w:val="00720AC5"/>
    <w:rsid w:val="0072169F"/>
    <w:rsid w:val="00721B75"/>
    <w:rsid w:val="0072307E"/>
    <w:rsid w:val="00723A7A"/>
    <w:rsid w:val="00723ABB"/>
    <w:rsid w:val="007240C9"/>
    <w:rsid w:val="00724AFD"/>
    <w:rsid w:val="00726A61"/>
    <w:rsid w:val="00726E84"/>
    <w:rsid w:val="00727520"/>
    <w:rsid w:val="00727F26"/>
    <w:rsid w:val="00730618"/>
    <w:rsid w:val="00731222"/>
    <w:rsid w:val="00731CBB"/>
    <w:rsid w:val="0073322B"/>
    <w:rsid w:val="00733F5A"/>
    <w:rsid w:val="00734286"/>
    <w:rsid w:val="007346C5"/>
    <w:rsid w:val="00734F7F"/>
    <w:rsid w:val="00735685"/>
    <w:rsid w:val="00735C4B"/>
    <w:rsid w:val="00736DE3"/>
    <w:rsid w:val="0073748A"/>
    <w:rsid w:val="00737765"/>
    <w:rsid w:val="00740500"/>
    <w:rsid w:val="007407BE"/>
    <w:rsid w:val="00741A2C"/>
    <w:rsid w:val="00742A69"/>
    <w:rsid w:val="00742DD2"/>
    <w:rsid w:val="0074303C"/>
    <w:rsid w:val="0074669E"/>
    <w:rsid w:val="00746E08"/>
    <w:rsid w:val="007479F8"/>
    <w:rsid w:val="00747C96"/>
    <w:rsid w:val="00750174"/>
    <w:rsid w:val="0075094E"/>
    <w:rsid w:val="007509D3"/>
    <w:rsid w:val="00751421"/>
    <w:rsid w:val="00751E94"/>
    <w:rsid w:val="007522E8"/>
    <w:rsid w:val="007526B2"/>
    <w:rsid w:val="007559ED"/>
    <w:rsid w:val="0075604B"/>
    <w:rsid w:val="0075647A"/>
    <w:rsid w:val="00756A3D"/>
    <w:rsid w:val="00757208"/>
    <w:rsid w:val="00760526"/>
    <w:rsid w:val="00761A6B"/>
    <w:rsid w:val="00761DBC"/>
    <w:rsid w:val="00762634"/>
    <w:rsid w:val="00762AEC"/>
    <w:rsid w:val="007634AD"/>
    <w:rsid w:val="00764D4E"/>
    <w:rsid w:val="00764E67"/>
    <w:rsid w:val="00765694"/>
    <w:rsid w:val="00765B48"/>
    <w:rsid w:val="00767F50"/>
    <w:rsid w:val="00770CEE"/>
    <w:rsid w:val="00770F51"/>
    <w:rsid w:val="0077377C"/>
    <w:rsid w:val="0077470A"/>
    <w:rsid w:val="00775007"/>
    <w:rsid w:val="007759E8"/>
    <w:rsid w:val="00776709"/>
    <w:rsid w:val="0078122E"/>
    <w:rsid w:val="00781331"/>
    <w:rsid w:val="00782053"/>
    <w:rsid w:val="00782878"/>
    <w:rsid w:val="00783027"/>
    <w:rsid w:val="007839BF"/>
    <w:rsid w:val="007843B6"/>
    <w:rsid w:val="00785913"/>
    <w:rsid w:val="00786353"/>
    <w:rsid w:val="007866FF"/>
    <w:rsid w:val="00786CB0"/>
    <w:rsid w:val="00786E20"/>
    <w:rsid w:val="00787DC5"/>
    <w:rsid w:val="0079028F"/>
    <w:rsid w:val="00790AC4"/>
    <w:rsid w:val="00791E28"/>
    <w:rsid w:val="007934AE"/>
    <w:rsid w:val="0079381B"/>
    <w:rsid w:val="00793EC8"/>
    <w:rsid w:val="00794171"/>
    <w:rsid w:val="00795647"/>
    <w:rsid w:val="007963B2"/>
    <w:rsid w:val="007A05B2"/>
    <w:rsid w:val="007A07E4"/>
    <w:rsid w:val="007A179D"/>
    <w:rsid w:val="007A3612"/>
    <w:rsid w:val="007A3911"/>
    <w:rsid w:val="007A399C"/>
    <w:rsid w:val="007A3D08"/>
    <w:rsid w:val="007A53EF"/>
    <w:rsid w:val="007A6DE0"/>
    <w:rsid w:val="007A7761"/>
    <w:rsid w:val="007B0854"/>
    <w:rsid w:val="007B1526"/>
    <w:rsid w:val="007B204E"/>
    <w:rsid w:val="007B2571"/>
    <w:rsid w:val="007B2D62"/>
    <w:rsid w:val="007B3524"/>
    <w:rsid w:val="007B3CCE"/>
    <w:rsid w:val="007B4540"/>
    <w:rsid w:val="007B495B"/>
    <w:rsid w:val="007B5414"/>
    <w:rsid w:val="007B58F4"/>
    <w:rsid w:val="007B6EA2"/>
    <w:rsid w:val="007B7CED"/>
    <w:rsid w:val="007C097B"/>
    <w:rsid w:val="007C256E"/>
    <w:rsid w:val="007C3FAF"/>
    <w:rsid w:val="007C552A"/>
    <w:rsid w:val="007C5D1C"/>
    <w:rsid w:val="007C643C"/>
    <w:rsid w:val="007C72EC"/>
    <w:rsid w:val="007C755B"/>
    <w:rsid w:val="007D0056"/>
    <w:rsid w:val="007D02FD"/>
    <w:rsid w:val="007D0313"/>
    <w:rsid w:val="007D0FED"/>
    <w:rsid w:val="007D2D49"/>
    <w:rsid w:val="007D2E15"/>
    <w:rsid w:val="007D2FC7"/>
    <w:rsid w:val="007D319C"/>
    <w:rsid w:val="007D543F"/>
    <w:rsid w:val="007D5A5A"/>
    <w:rsid w:val="007D6000"/>
    <w:rsid w:val="007D6AEE"/>
    <w:rsid w:val="007D74F0"/>
    <w:rsid w:val="007E0393"/>
    <w:rsid w:val="007E043C"/>
    <w:rsid w:val="007E04BB"/>
    <w:rsid w:val="007E0C2B"/>
    <w:rsid w:val="007E2D42"/>
    <w:rsid w:val="007E33FB"/>
    <w:rsid w:val="007E392D"/>
    <w:rsid w:val="007E4FB0"/>
    <w:rsid w:val="007E5073"/>
    <w:rsid w:val="007E5253"/>
    <w:rsid w:val="007E61BB"/>
    <w:rsid w:val="007E6773"/>
    <w:rsid w:val="007E758C"/>
    <w:rsid w:val="007F0CE8"/>
    <w:rsid w:val="007F12AC"/>
    <w:rsid w:val="007F1C03"/>
    <w:rsid w:val="007F2386"/>
    <w:rsid w:val="007F316B"/>
    <w:rsid w:val="007F3369"/>
    <w:rsid w:val="007F3386"/>
    <w:rsid w:val="007F5252"/>
    <w:rsid w:val="007F6728"/>
    <w:rsid w:val="007F6B46"/>
    <w:rsid w:val="007F6B96"/>
    <w:rsid w:val="007F6BC0"/>
    <w:rsid w:val="007F72CB"/>
    <w:rsid w:val="007F737B"/>
    <w:rsid w:val="00800380"/>
    <w:rsid w:val="008003EA"/>
    <w:rsid w:val="008007F7"/>
    <w:rsid w:val="00800CB0"/>
    <w:rsid w:val="00802BF5"/>
    <w:rsid w:val="00802FA2"/>
    <w:rsid w:val="008035BB"/>
    <w:rsid w:val="0080413E"/>
    <w:rsid w:val="00805341"/>
    <w:rsid w:val="00805892"/>
    <w:rsid w:val="00805C47"/>
    <w:rsid w:val="00805E3B"/>
    <w:rsid w:val="0080720B"/>
    <w:rsid w:val="00807754"/>
    <w:rsid w:val="00807D70"/>
    <w:rsid w:val="00807F70"/>
    <w:rsid w:val="0081079D"/>
    <w:rsid w:val="00810E94"/>
    <w:rsid w:val="00811198"/>
    <w:rsid w:val="00812889"/>
    <w:rsid w:val="008128E6"/>
    <w:rsid w:val="00812CF7"/>
    <w:rsid w:val="0081319D"/>
    <w:rsid w:val="00815C43"/>
    <w:rsid w:val="008161A0"/>
    <w:rsid w:val="00817A08"/>
    <w:rsid w:val="00820AAA"/>
    <w:rsid w:val="00820B4A"/>
    <w:rsid w:val="008217B7"/>
    <w:rsid w:val="00821A69"/>
    <w:rsid w:val="008236D2"/>
    <w:rsid w:val="0082471E"/>
    <w:rsid w:val="00824BA7"/>
    <w:rsid w:val="008255B9"/>
    <w:rsid w:val="0082606C"/>
    <w:rsid w:val="0083119B"/>
    <w:rsid w:val="008317CC"/>
    <w:rsid w:val="008325CA"/>
    <w:rsid w:val="00833494"/>
    <w:rsid w:val="0083389E"/>
    <w:rsid w:val="00833D10"/>
    <w:rsid w:val="00836AC5"/>
    <w:rsid w:val="00836EAB"/>
    <w:rsid w:val="0084011C"/>
    <w:rsid w:val="00840625"/>
    <w:rsid w:val="0084146C"/>
    <w:rsid w:val="008415E3"/>
    <w:rsid w:val="008422C6"/>
    <w:rsid w:val="008434CF"/>
    <w:rsid w:val="00843A94"/>
    <w:rsid w:val="00843B34"/>
    <w:rsid w:val="00844611"/>
    <w:rsid w:val="00845FC8"/>
    <w:rsid w:val="008502CC"/>
    <w:rsid w:val="008502F9"/>
    <w:rsid w:val="0085092D"/>
    <w:rsid w:val="00850F79"/>
    <w:rsid w:val="0085136E"/>
    <w:rsid w:val="0085175C"/>
    <w:rsid w:val="00851933"/>
    <w:rsid w:val="00853B4B"/>
    <w:rsid w:val="00853CE7"/>
    <w:rsid w:val="00854029"/>
    <w:rsid w:val="00854370"/>
    <w:rsid w:val="008548AC"/>
    <w:rsid w:val="00855F56"/>
    <w:rsid w:val="00856420"/>
    <w:rsid w:val="008605DD"/>
    <w:rsid w:val="00861CBE"/>
    <w:rsid w:val="008629DE"/>
    <w:rsid w:val="00863B45"/>
    <w:rsid w:val="00864F2E"/>
    <w:rsid w:val="00866D4C"/>
    <w:rsid w:val="00867267"/>
    <w:rsid w:val="0086772B"/>
    <w:rsid w:val="00867FA2"/>
    <w:rsid w:val="00870445"/>
    <w:rsid w:val="00870F97"/>
    <w:rsid w:val="0087139E"/>
    <w:rsid w:val="0087255F"/>
    <w:rsid w:val="00872B3B"/>
    <w:rsid w:val="0087326A"/>
    <w:rsid w:val="008741CF"/>
    <w:rsid w:val="00874D55"/>
    <w:rsid w:val="00875469"/>
    <w:rsid w:val="0087549E"/>
    <w:rsid w:val="00877050"/>
    <w:rsid w:val="00877A16"/>
    <w:rsid w:val="00877D34"/>
    <w:rsid w:val="00880023"/>
    <w:rsid w:val="008800ED"/>
    <w:rsid w:val="008807A6"/>
    <w:rsid w:val="00880C7D"/>
    <w:rsid w:val="008820EF"/>
    <w:rsid w:val="0088288B"/>
    <w:rsid w:val="0088292E"/>
    <w:rsid w:val="00883014"/>
    <w:rsid w:val="0088373F"/>
    <w:rsid w:val="00883844"/>
    <w:rsid w:val="00884680"/>
    <w:rsid w:val="008847A7"/>
    <w:rsid w:val="00890802"/>
    <w:rsid w:val="00890A55"/>
    <w:rsid w:val="00890A9A"/>
    <w:rsid w:val="00891993"/>
    <w:rsid w:val="00891DEC"/>
    <w:rsid w:val="00894248"/>
    <w:rsid w:val="008948DF"/>
    <w:rsid w:val="00894E41"/>
    <w:rsid w:val="00895565"/>
    <w:rsid w:val="00895A22"/>
    <w:rsid w:val="00896B8A"/>
    <w:rsid w:val="0089774F"/>
    <w:rsid w:val="008977E5"/>
    <w:rsid w:val="00897CFE"/>
    <w:rsid w:val="008A0392"/>
    <w:rsid w:val="008A0BE8"/>
    <w:rsid w:val="008A0D56"/>
    <w:rsid w:val="008A113A"/>
    <w:rsid w:val="008A1C8C"/>
    <w:rsid w:val="008A22FB"/>
    <w:rsid w:val="008A24D7"/>
    <w:rsid w:val="008A265E"/>
    <w:rsid w:val="008A2781"/>
    <w:rsid w:val="008A36B6"/>
    <w:rsid w:val="008A4788"/>
    <w:rsid w:val="008A5F52"/>
    <w:rsid w:val="008A66DC"/>
    <w:rsid w:val="008A6EB9"/>
    <w:rsid w:val="008A7F4C"/>
    <w:rsid w:val="008B1B8A"/>
    <w:rsid w:val="008B2228"/>
    <w:rsid w:val="008B2CF7"/>
    <w:rsid w:val="008B365E"/>
    <w:rsid w:val="008B423D"/>
    <w:rsid w:val="008B6CE8"/>
    <w:rsid w:val="008B721F"/>
    <w:rsid w:val="008B7830"/>
    <w:rsid w:val="008B7AE1"/>
    <w:rsid w:val="008C0576"/>
    <w:rsid w:val="008C0E1F"/>
    <w:rsid w:val="008C1250"/>
    <w:rsid w:val="008C193F"/>
    <w:rsid w:val="008C1A17"/>
    <w:rsid w:val="008C33B6"/>
    <w:rsid w:val="008C39D2"/>
    <w:rsid w:val="008C66F3"/>
    <w:rsid w:val="008C73D8"/>
    <w:rsid w:val="008C75C7"/>
    <w:rsid w:val="008C7FE6"/>
    <w:rsid w:val="008D294A"/>
    <w:rsid w:val="008D47C2"/>
    <w:rsid w:val="008D53A2"/>
    <w:rsid w:val="008D6624"/>
    <w:rsid w:val="008D6EC1"/>
    <w:rsid w:val="008D7089"/>
    <w:rsid w:val="008E023A"/>
    <w:rsid w:val="008E0826"/>
    <w:rsid w:val="008E11F9"/>
    <w:rsid w:val="008E121F"/>
    <w:rsid w:val="008E1A00"/>
    <w:rsid w:val="008E1C15"/>
    <w:rsid w:val="008E365E"/>
    <w:rsid w:val="008E3A2A"/>
    <w:rsid w:val="008E52A4"/>
    <w:rsid w:val="008E705D"/>
    <w:rsid w:val="008E70DB"/>
    <w:rsid w:val="008E7BB9"/>
    <w:rsid w:val="008F0098"/>
    <w:rsid w:val="008F08FE"/>
    <w:rsid w:val="008F1E12"/>
    <w:rsid w:val="008F25EF"/>
    <w:rsid w:val="008F331A"/>
    <w:rsid w:val="008F3623"/>
    <w:rsid w:val="008F4074"/>
    <w:rsid w:val="008F534C"/>
    <w:rsid w:val="008F538E"/>
    <w:rsid w:val="008F5BE0"/>
    <w:rsid w:val="008F5BFC"/>
    <w:rsid w:val="008F6ABB"/>
    <w:rsid w:val="0090042B"/>
    <w:rsid w:val="00900D56"/>
    <w:rsid w:val="00900F3C"/>
    <w:rsid w:val="009016FC"/>
    <w:rsid w:val="0090174A"/>
    <w:rsid w:val="00901EDA"/>
    <w:rsid w:val="00901F3D"/>
    <w:rsid w:val="009022C1"/>
    <w:rsid w:val="00902D39"/>
    <w:rsid w:val="00903CBC"/>
    <w:rsid w:val="009047C5"/>
    <w:rsid w:val="00904DDB"/>
    <w:rsid w:val="00904E06"/>
    <w:rsid w:val="00905B35"/>
    <w:rsid w:val="00906935"/>
    <w:rsid w:val="00906D3F"/>
    <w:rsid w:val="009101A5"/>
    <w:rsid w:val="00910AAA"/>
    <w:rsid w:val="00910B8D"/>
    <w:rsid w:val="00911B7F"/>
    <w:rsid w:val="00912A37"/>
    <w:rsid w:val="00912D3F"/>
    <w:rsid w:val="00912F8B"/>
    <w:rsid w:val="00916046"/>
    <w:rsid w:val="009161B3"/>
    <w:rsid w:val="009167D7"/>
    <w:rsid w:val="00916BC7"/>
    <w:rsid w:val="009201F3"/>
    <w:rsid w:val="009209D7"/>
    <w:rsid w:val="0092194E"/>
    <w:rsid w:val="0092226D"/>
    <w:rsid w:val="009222B7"/>
    <w:rsid w:val="00923BC1"/>
    <w:rsid w:val="009242FF"/>
    <w:rsid w:val="0092483A"/>
    <w:rsid w:val="00925E4F"/>
    <w:rsid w:val="00927679"/>
    <w:rsid w:val="00930062"/>
    <w:rsid w:val="00934A68"/>
    <w:rsid w:val="00934C73"/>
    <w:rsid w:val="00935C90"/>
    <w:rsid w:val="009371C8"/>
    <w:rsid w:val="009403A7"/>
    <w:rsid w:val="00940C04"/>
    <w:rsid w:val="009415ED"/>
    <w:rsid w:val="009420E0"/>
    <w:rsid w:val="00942F3F"/>
    <w:rsid w:val="00944F0D"/>
    <w:rsid w:val="00944F8A"/>
    <w:rsid w:val="0094508D"/>
    <w:rsid w:val="00945684"/>
    <w:rsid w:val="00946F67"/>
    <w:rsid w:val="00947A1C"/>
    <w:rsid w:val="00947A56"/>
    <w:rsid w:val="00950059"/>
    <w:rsid w:val="0095044E"/>
    <w:rsid w:val="009525B7"/>
    <w:rsid w:val="009528AE"/>
    <w:rsid w:val="009530E8"/>
    <w:rsid w:val="0095335C"/>
    <w:rsid w:val="00953647"/>
    <w:rsid w:val="0095385A"/>
    <w:rsid w:val="00954553"/>
    <w:rsid w:val="00954EA8"/>
    <w:rsid w:val="00955930"/>
    <w:rsid w:val="00955B7F"/>
    <w:rsid w:val="009578E8"/>
    <w:rsid w:val="00960168"/>
    <w:rsid w:val="009602A1"/>
    <w:rsid w:val="00961252"/>
    <w:rsid w:val="00962706"/>
    <w:rsid w:val="0096275E"/>
    <w:rsid w:val="00962DAD"/>
    <w:rsid w:val="009646C1"/>
    <w:rsid w:val="00964E57"/>
    <w:rsid w:val="009650ED"/>
    <w:rsid w:val="009651B8"/>
    <w:rsid w:val="00966AFD"/>
    <w:rsid w:val="00966E63"/>
    <w:rsid w:val="00970386"/>
    <w:rsid w:val="00970B51"/>
    <w:rsid w:val="009719B0"/>
    <w:rsid w:val="00971CDC"/>
    <w:rsid w:val="00973B5E"/>
    <w:rsid w:val="00973D37"/>
    <w:rsid w:val="00975E8B"/>
    <w:rsid w:val="00975EC6"/>
    <w:rsid w:val="009764E0"/>
    <w:rsid w:val="00976599"/>
    <w:rsid w:val="009779D4"/>
    <w:rsid w:val="00977C8E"/>
    <w:rsid w:val="00980899"/>
    <w:rsid w:val="00980FE9"/>
    <w:rsid w:val="00981341"/>
    <w:rsid w:val="00981AEC"/>
    <w:rsid w:val="009836D0"/>
    <w:rsid w:val="0098580C"/>
    <w:rsid w:val="009865B6"/>
    <w:rsid w:val="0098671F"/>
    <w:rsid w:val="00987147"/>
    <w:rsid w:val="00987301"/>
    <w:rsid w:val="00990126"/>
    <w:rsid w:val="00990AEE"/>
    <w:rsid w:val="00990BFE"/>
    <w:rsid w:val="009910EF"/>
    <w:rsid w:val="009916DA"/>
    <w:rsid w:val="00992F84"/>
    <w:rsid w:val="00993FD7"/>
    <w:rsid w:val="009945BB"/>
    <w:rsid w:val="009947DB"/>
    <w:rsid w:val="00995357"/>
    <w:rsid w:val="00995F97"/>
    <w:rsid w:val="0099782E"/>
    <w:rsid w:val="009978AB"/>
    <w:rsid w:val="00997E39"/>
    <w:rsid w:val="009A0CF4"/>
    <w:rsid w:val="009A0D5E"/>
    <w:rsid w:val="009A0E6F"/>
    <w:rsid w:val="009A13B5"/>
    <w:rsid w:val="009A1EDC"/>
    <w:rsid w:val="009A2449"/>
    <w:rsid w:val="009A25A3"/>
    <w:rsid w:val="009A3949"/>
    <w:rsid w:val="009A5A98"/>
    <w:rsid w:val="009A5D65"/>
    <w:rsid w:val="009A5F34"/>
    <w:rsid w:val="009A6C8E"/>
    <w:rsid w:val="009A77E3"/>
    <w:rsid w:val="009B0C2E"/>
    <w:rsid w:val="009B18FD"/>
    <w:rsid w:val="009B2874"/>
    <w:rsid w:val="009B2EFC"/>
    <w:rsid w:val="009B3329"/>
    <w:rsid w:val="009B33E8"/>
    <w:rsid w:val="009C117E"/>
    <w:rsid w:val="009C1D7D"/>
    <w:rsid w:val="009C2C85"/>
    <w:rsid w:val="009C4ADA"/>
    <w:rsid w:val="009C50EC"/>
    <w:rsid w:val="009C5F58"/>
    <w:rsid w:val="009C75FC"/>
    <w:rsid w:val="009C7E94"/>
    <w:rsid w:val="009D01FA"/>
    <w:rsid w:val="009D1D2F"/>
    <w:rsid w:val="009D38B3"/>
    <w:rsid w:val="009D4730"/>
    <w:rsid w:val="009D5015"/>
    <w:rsid w:val="009D5269"/>
    <w:rsid w:val="009D531C"/>
    <w:rsid w:val="009D62C3"/>
    <w:rsid w:val="009D68DA"/>
    <w:rsid w:val="009E1D2D"/>
    <w:rsid w:val="009E405A"/>
    <w:rsid w:val="009E4B65"/>
    <w:rsid w:val="009E4C76"/>
    <w:rsid w:val="009E4EDE"/>
    <w:rsid w:val="009E6031"/>
    <w:rsid w:val="009E680D"/>
    <w:rsid w:val="009E721A"/>
    <w:rsid w:val="009E754A"/>
    <w:rsid w:val="009F0250"/>
    <w:rsid w:val="009F0BD0"/>
    <w:rsid w:val="009F228F"/>
    <w:rsid w:val="009F2950"/>
    <w:rsid w:val="009F2B05"/>
    <w:rsid w:val="009F4A5A"/>
    <w:rsid w:val="009F5299"/>
    <w:rsid w:val="009F59C2"/>
    <w:rsid w:val="009F70B9"/>
    <w:rsid w:val="009F739F"/>
    <w:rsid w:val="009F74DF"/>
    <w:rsid w:val="009F7B0A"/>
    <w:rsid w:val="00A0089B"/>
    <w:rsid w:val="00A01EAA"/>
    <w:rsid w:val="00A02035"/>
    <w:rsid w:val="00A02AD6"/>
    <w:rsid w:val="00A03AEC"/>
    <w:rsid w:val="00A04EE8"/>
    <w:rsid w:val="00A054E0"/>
    <w:rsid w:val="00A06104"/>
    <w:rsid w:val="00A11AF8"/>
    <w:rsid w:val="00A11E7B"/>
    <w:rsid w:val="00A11E97"/>
    <w:rsid w:val="00A131B4"/>
    <w:rsid w:val="00A13947"/>
    <w:rsid w:val="00A14083"/>
    <w:rsid w:val="00A147D1"/>
    <w:rsid w:val="00A14C37"/>
    <w:rsid w:val="00A155F8"/>
    <w:rsid w:val="00A16471"/>
    <w:rsid w:val="00A167C9"/>
    <w:rsid w:val="00A16841"/>
    <w:rsid w:val="00A16A18"/>
    <w:rsid w:val="00A211E3"/>
    <w:rsid w:val="00A219D9"/>
    <w:rsid w:val="00A229B7"/>
    <w:rsid w:val="00A22FBC"/>
    <w:rsid w:val="00A24560"/>
    <w:rsid w:val="00A24CAD"/>
    <w:rsid w:val="00A26BFD"/>
    <w:rsid w:val="00A271B8"/>
    <w:rsid w:val="00A27651"/>
    <w:rsid w:val="00A27EDB"/>
    <w:rsid w:val="00A30168"/>
    <w:rsid w:val="00A322B4"/>
    <w:rsid w:val="00A335ED"/>
    <w:rsid w:val="00A33991"/>
    <w:rsid w:val="00A34538"/>
    <w:rsid w:val="00A34560"/>
    <w:rsid w:val="00A35D44"/>
    <w:rsid w:val="00A36775"/>
    <w:rsid w:val="00A36F25"/>
    <w:rsid w:val="00A37FB6"/>
    <w:rsid w:val="00A410E2"/>
    <w:rsid w:val="00A41B6C"/>
    <w:rsid w:val="00A41E3C"/>
    <w:rsid w:val="00A42001"/>
    <w:rsid w:val="00A43175"/>
    <w:rsid w:val="00A4320E"/>
    <w:rsid w:val="00A43FA8"/>
    <w:rsid w:val="00A44B90"/>
    <w:rsid w:val="00A457F7"/>
    <w:rsid w:val="00A45ACF"/>
    <w:rsid w:val="00A47045"/>
    <w:rsid w:val="00A5091A"/>
    <w:rsid w:val="00A5131D"/>
    <w:rsid w:val="00A51711"/>
    <w:rsid w:val="00A52C97"/>
    <w:rsid w:val="00A52D0B"/>
    <w:rsid w:val="00A52E90"/>
    <w:rsid w:val="00A53286"/>
    <w:rsid w:val="00A53585"/>
    <w:rsid w:val="00A541CC"/>
    <w:rsid w:val="00A54E33"/>
    <w:rsid w:val="00A575B0"/>
    <w:rsid w:val="00A57EB8"/>
    <w:rsid w:val="00A610B8"/>
    <w:rsid w:val="00A6162B"/>
    <w:rsid w:val="00A619B9"/>
    <w:rsid w:val="00A62496"/>
    <w:rsid w:val="00A64056"/>
    <w:rsid w:val="00A64B27"/>
    <w:rsid w:val="00A65D14"/>
    <w:rsid w:val="00A67017"/>
    <w:rsid w:val="00A7024A"/>
    <w:rsid w:val="00A705DE"/>
    <w:rsid w:val="00A7084E"/>
    <w:rsid w:val="00A70E24"/>
    <w:rsid w:val="00A714F9"/>
    <w:rsid w:val="00A73795"/>
    <w:rsid w:val="00A73C36"/>
    <w:rsid w:val="00A73FD1"/>
    <w:rsid w:val="00A74CAD"/>
    <w:rsid w:val="00A75CEF"/>
    <w:rsid w:val="00A775B0"/>
    <w:rsid w:val="00A77BDA"/>
    <w:rsid w:val="00A82ECC"/>
    <w:rsid w:val="00A83510"/>
    <w:rsid w:val="00A83E3E"/>
    <w:rsid w:val="00A8551A"/>
    <w:rsid w:val="00A85C29"/>
    <w:rsid w:val="00A85F56"/>
    <w:rsid w:val="00A8664A"/>
    <w:rsid w:val="00A8666B"/>
    <w:rsid w:val="00A86AC1"/>
    <w:rsid w:val="00A86E40"/>
    <w:rsid w:val="00A872AE"/>
    <w:rsid w:val="00A87369"/>
    <w:rsid w:val="00A878FD"/>
    <w:rsid w:val="00A907E5"/>
    <w:rsid w:val="00A90C55"/>
    <w:rsid w:val="00A91139"/>
    <w:rsid w:val="00A91717"/>
    <w:rsid w:val="00A920EF"/>
    <w:rsid w:val="00A921D6"/>
    <w:rsid w:val="00A923D7"/>
    <w:rsid w:val="00A9483A"/>
    <w:rsid w:val="00A956BC"/>
    <w:rsid w:val="00A962F0"/>
    <w:rsid w:val="00A96C55"/>
    <w:rsid w:val="00A97447"/>
    <w:rsid w:val="00A975FF"/>
    <w:rsid w:val="00AA0462"/>
    <w:rsid w:val="00AA08E7"/>
    <w:rsid w:val="00AA0BF6"/>
    <w:rsid w:val="00AA1836"/>
    <w:rsid w:val="00AA292E"/>
    <w:rsid w:val="00AA29F7"/>
    <w:rsid w:val="00AA304E"/>
    <w:rsid w:val="00AA3312"/>
    <w:rsid w:val="00AA3615"/>
    <w:rsid w:val="00AA3648"/>
    <w:rsid w:val="00AA3E1F"/>
    <w:rsid w:val="00AA442B"/>
    <w:rsid w:val="00AA44AF"/>
    <w:rsid w:val="00AA669D"/>
    <w:rsid w:val="00AA7234"/>
    <w:rsid w:val="00AA7C55"/>
    <w:rsid w:val="00AB1F97"/>
    <w:rsid w:val="00AB1FB9"/>
    <w:rsid w:val="00AB3860"/>
    <w:rsid w:val="00AB4107"/>
    <w:rsid w:val="00AB509E"/>
    <w:rsid w:val="00AB5620"/>
    <w:rsid w:val="00AB5E69"/>
    <w:rsid w:val="00AB5F26"/>
    <w:rsid w:val="00AB6124"/>
    <w:rsid w:val="00AB70AD"/>
    <w:rsid w:val="00AB7289"/>
    <w:rsid w:val="00AB7572"/>
    <w:rsid w:val="00AB788C"/>
    <w:rsid w:val="00AB7CAA"/>
    <w:rsid w:val="00AC08D3"/>
    <w:rsid w:val="00AC15D9"/>
    <w:rsid w:val="00AC20D7"/>
    <w:rsid w:val="00AC2143"/>
    <w:rsid w:val="00AC28A7"/>
    <w:rsid w:val="00AC2FC3"/>
    <w:rsid w:val="00AC3C8A"/>
    <w:rsid w:val="00AC3E67"/>
    <w:rsid w:val="00AC48F1"/>
    <w:rsid w:val="00AC52D9"/>
    <w:rsid w:val="00AC56ED"/>
    <w:rsid w:val="00AC621D"/>
    <w:rsid w:val="00AD0A12"/>
    <w:rsid w:val="00AD1929"/>
    <w:rsid w:val="00AD37FA"/>
    <w:rsid w:val="00AD4542"/>
    <w:rsid w:val="00AD580B"/>
    <w:rsid w:val="00AD665A"/>
    <w:rsid w:val="00AD6FF9"/>
    <w:rsid w:val="00AD77F3"/>
    <w:rsid w:val="00AD7B8F"/>
    <w:rsid w:val="00AD7F28"/>
    <w:rsid w:val="00AE020D"/>
    <w:rsid w:val="00AE08DA"/>
    <w:rsid w:val="00AE13FC"/>
    <w:rsid w:val="00AE1AA0"/>
    <w:rsid w:val="00AE3F3A"/>
    <w:rsid w:val="00AE4236"/>
    <w:rsid w:val="00AE4568"/>
    <w:rsid w:val="00AE47F2"/>
    <w:rsid w:val="00AE5421"/>
    <w:rsid w:val="00AE5765"/>
    <w:rsid w:val="00AE5C0E"/>
    <w:rsid w:val="00AE6C4D"/>
    <w:rsid w:val="00AE7AE2"/>
    <w:rsid w:val="00AF04FE"/>
    <w:rsid w:val="00AF051E"/>
    <w:rsid w:val="00AF14AC"/>
    <w:rsid w:val="00AF1BDF"/>
    <w:rsid w:val="00AF2089"/>
    <w:rsid w:val="00AF2347"/>
    <w:rsid w:val="00AF2EDF"/>
    <w:rsid w:val="00AF3EEF"/>
    <w:rsid w:val="00AF5AE0"/>
    <w:rsid w:val="00AF6FB3"/>
    <w:rsid w:val="00AF7517"/>
    <w:rsid w:val="00B0190E"/>
    <w:rsid w:val="00B025C2"/>
    <w:rsid w:val="00B041C7"/>
    <w:rsid w:val="00B04E78"/>
    <w:rsid w:val="00B05815"/>
    <w:rsid w:val="00B071E7"/>
    <w:rsid w:val="00B07667"/>
    <w:rsid w:val="00B0787E"/>
    <w:rsid w:val="00B07C17"/>
    <w:rsid w:val="00B10353"/>
    <w:rsid w:val="00B1150B"/>
    <w:rsid w:val="00B11581"/>
    <w:rsid w:val="00B11815"/>
    <w:rsid w:val="00B12932"/>
    <w:rsid w:val="00B13EC0"/>
    <w:rsid w:val="00B1405A"/>
    <w:rsid w:val="00B14E2C"/>
    <w:rsid w:val="00B15AE0"/>
    <w:rsid w:val="00B162E7"/>
    <w:rsid w:val="00B162ED"/>
    <w:rsid w:val="00B165CF"/>
    <w:rsid w:val="00B17153"/>
    <w:rsid w:val="00B174C3"/>
    <w:rsid w:val="00B176A4"/>
    <w:rsid w:val="00B179C7"/>
    <w:rsid w:val="00B17C4E"/>
    <w:rsid w:val="00B218AC"/>
    <w:rsid w:val="00B22E22"/>
    <w:rsid w:val="00B23305"/>
    <w:rsid w:val="00B23548"/>
    <w:rsid w:val="00B23E57"/>
    <w:rsid w:val="00B2403A"/>
    <w:rsid w:val="00B243DF"/>
    <w:rsid w:val="00B26965"/>
    <w:rsid w:val="00B270CF"/>
    <w:rsid w:val="00B27C1A"/>
    <w:rsid w:val="00B305CD"/>
    <w:rsid w:val="00B306B1"/>
    <w:rsid w:val="00B30B5D"/>
    <w:rsid w:val="00B30DAD"/>
    <w:rsid w:val="00B30EEA"/>
    <w:rsid w:val="00B3111A"/>
    <w:rsid w:val="00B313D5"/>
    <w:rsid w:val="00B31FB3"/>
    <w:rsid w:val="00B32C12"/>
    <w:rsid w:val="00B3327E"/>
    <w:rsid w:val="00B33898"/>
    <w:rsid w:val="00B33F01"/>
    <w:rsid w:val="00B3580D"/>
    <w:rsid w:val="00B363DE"/>
    <w:rsid w:val="00B36F3E"/>
    <w:rsid w:val="00B37A62"/>
    <w:rsid w:val="00B37FB6"/>
    <w:rsid w:val="00B40230"/>
    <w:rsid w:val="00B41937"/>
    <w:rsid w:val="00B42327"/>
    <w:rsid w:val="00B4236B"/>
    <w:rsid w:val="00B43546"/>
    <w:rsid w:val="00B43603"/>
    <w:rsid w:val="00B445F5"/>
    <w:rsid w:val="00B4532B"/>
    <w:rsid w:val="00B46EB2"/>
    <w:rsid w:val="00B473D9"/>
    <w:rsid w:val="00B47BB9"/>
    <w:rsid w:val="00B47D1A"/>
    <w:rsid w:val="00B52581"/>
    <w:rsid w:val="00B525CB"/>
    <w:rsid w:val="00B52E18"/>
    <w:rsid w:val="00B53385"/>
    <w:rsid w:val="00B53868"/>
    <w:rsid w:val="00B53B68"/>
    <w:rsid w:val="00B5535C"/>
    <w:rsid w:val="00B5621C"/>
    <w:rsid w:val="00B56B4F"/>
    <w:rsid w:val="00B5777D"/>
    <w:rsid w:val="00B57868"/>
    <w:rsid w:val="00B61183"/>
    <w:rsid w:val="00B61C7A"/>
    <w:rsid w:val="00B63872"/>
    <w:rsid w:val="00B63CB2"/>
    <w:rsid w:val="00B643CE"/>
    <w:rsid w:val="00B6452D"/>
    <w:rsid w:val="00B64811"/>
    <w:rsid w:val="00B64DEB"/>
    <w:rsid w:val="00B64EDB"/>
    <w:rsid w:val="00B66A26"/>
    <w:rsid w:val="00B66A9E"/>
    <w:rsid w:val="00B6750E"/>
    <w:rsid w:val="00B67669"/>
    <w:rsid w:val="00B676FB"/>
    <w:rsid w:val="00B679A1"/>
    <w:rsid w:val="00B67B81"/>
    <w:rsid w:val="00B7273F"/>
    <w:rsid w:val="00B7315F"/>
    <w:rsid w:val="00B740B1"/>
    <w:rsid w:val="00B744EF"/>
    <w:rsid w:val="00B7453A"/>
    <w:rsid w:val="00B75CDE"/>
    <w:rsid w:val="00B7700A"/>
    <w:rsid w:val="00B774FD"/>
    <w:rsid w:val="00B80451"/>
    <w:rsid w:val="00B822A7"/>
    <w:rsid w:val="00B85762"/>
    <w:rsid w:val="00B8638A"/>
    <w:rsid w:val="00B8652C"/>
    <w:rsid w:val="00B87D98"/>
    <w:rsid w:val="00B9068D"/>
    <w:rsid w:val="00B90BE1"/>
    <w:rsid w:val="00B91B8E"/>
    <w:rsid w:val="00B936F3"/>
    <w:rsid w:val="00B94EDD"/>
    <w:rsid w:val="00B96F29"/>
    <w:rsid w:val="00BA010A"/>
    <w:rsid w:val="00BA0355"/>
    <w:rsid w:val="00BA0FCE"/>
    <w:rsid w:val="00BA129F"/>
    <w:rsid w:val="00BA1474"/>
    <w:rsid w:val="00BA1AB9"/>
    <w:rsid w:val="00BA22A9"/>
    <w:rsid w:val="00BA2829"/>
    <w:rsid w:val="00BA2D67"/>
    <w:rsid w:val="00BA369B"/>
    <w:rsid w:val="00BA36EE"/>
    <w:rsid w:val="00BA4319"/>
    <w:rsid w:val="00BA47FF"/>
    <w:rsid w:val="00BA6769"/>
    <w:rsid w:val="00BA6CAD"/>
    <w:rsid w:val="00BA6E6A"/>
    <w:rsid w:val="00BA75DE"/>
    <w:rsid w:val="00BB00EC"/>
    <w:rsid w:val="00BB061D"/>
    <w:rsid w:val="00BB07A4"/>
    <w:rsid w:val="00BB17F0"/>
    <w:rsid w:val="00BB18AE"/>
    <w:rsid w:val="00BB21F4"/>
    <w:rsid w:val="00BB2914"/>
    <w:rsid w:val="00BB29E9"/>
    <w:rsid w:val="00BB3081"/>
    <w:rsid w:val="00BB331F"/>
    <w:rsid w:val="00BB4E71"/>
    <w:rsid w:val="00BB5D66"/>
    <w:rsid w:val="00BB6307"/>
    <w:rsid w:val="00BB63FA"/>
    <w:rsid w:val="00BB658E"/>
    <w:rsid w:val="00BB7EE5"/>
    <w:rsid w:val="00BC03B3"/>
    <w:rsid w:val="00BC0CD1"/>
    <w:rsid w:val="00BC143E"/>
    <w:rsid w:val="00BC1A00"/>
    <w:rsid w:val="00BC25CD"/>
    <w:rsid w:val="00BC294A"/>
    <w:rsid w:val="00BC2EB7"/>
    <w:rsid w:val="00BC3513"/>
    <w:rsid w:val="00BC3633"/>
    <w:rsid w:val="00BD0148"/>
    <w:rsid w:val="00BD0442"/>
    <w:rsid w:val="00BD1EDA"/>
    <w:rsid w:val="00BD22F7"/>
    <w:rsid w:val="00BD247A"/>
    <w:rsid w:val="00BD25A7"/>
    <w:rsid w:val="00BD57DB"/>
    <w:rsid w:val="00BD5A8C"/>
    <w:rsid w:val="00BD66F4"/>
    <w:rsid w:val="00BD75B7"/>
    <w:rsid w:val="00BD78FE"/>
    <w:rsid w:val="00BD7AEF"/>
    <w:rsid w:val="00BE0628"/>
    <w:rsid w:val="00BE2416"/>
    <w:rsid w:val="00BE3274"/>
    <w:rsid w:val="00BE35B3"/>
    <w:rsid w:val="00BE5BCB"/>
    <w:rsid w:val="00BE5D41"/>
    <w:rsid w:val="00BE5F24"/>
    <w:rsid w:val="00BE62B7"/>
    <w:rsid w:val="00BE6C2C"/>
    <w:rsid w:val="00BE7664"/>
    <w:rsid w:val="00BF04BA"/>
    <w:rsid w:val="00BF17D3"/>
    <w:rsid w:val="00BF188A"/>
    <w:rsid w:val="00BF2833"/>
    <w:rsid w:val="00BF4219"/>
    <w:rsid w:val="00BF5623"/>
    <w:rsid w:val="00BF5CBC"/>
    <w:rsid w:val="00BF7DB0"/>
    <w:rsid w:val="00C00969"/>
    <w:rsid w:val="00C00BB1"/>
    <w:rsid w:val="00C01378"/>
    <w:rsid w:val="00C03ACB"/>
    <w:rsid w:val="00C03EFE"/>
    <w:rsid w:val="00C07794"/>
    <w:rsid w:val="00C113FE"/>
    <w:rsid w:val="00C11A27"/>
    <w:rsid w:val="00C11C0D"/>
    <w:rsid w:val="00C1281E"/>
    <w:rsid w:val="00C149B0"/>
    <w:rsid w:val="00C15753"/>
    <w:rsid w:val="00C17545"/>
    <w:rsid w:val="00C227EF"/>
    <w:rsid w:val="00C22BD5"/>
    <w:rsid w:val="00C24368"/>
    <w:rsid w:val="00C252EE"/>
    <w:rsid w:val="00C25D13"/>
    <w:rsid w:val="00C260FC"/>
    <w:rsid w:val="00C30364"/>
    <w:rsid w:val="00C30E74"/>
    <w:rsid w:val="00C313BC"/>
    <w:rsid w:val="00C3362A"/>
    <w:rsid w:val="00C33983"/>
    <w:rsid w:val="00C34032"/>
    <w:rsid w:val="00C40657"/>
    <w:rsid w:val="00C407B5"/>
    <w:rsid w:val="00C431CD"/>
    <w:rsid w:val="00C435A3"/>
    <w:rsid w:val="00C43CE3"/>
    <w:rsid w:val="00C45E88"/>
    <w:rsid w:val="00C47864"/>
    <w:rsid w:val="00C47AAC"/>
    <w:rsid w:val="00C500EE"/>
    <w:rsid w:val="00C50145"/>
    <w:rsid w:val="00C53019"/>
    <w:rsid w:val="00C546B8"/>
    <w:rsid w:val="00C55BA5"/>
    <w:rsid w:val="00C57C56"/>
    <w:rsid w:val="00C57E7A"/>
    <w:rsid w:val="00C607AA"/>
    <w:rsid w:val="00C63B28"/>
    <w:rsid w:val="00C643F8"/>
    <w:rsid w:val="00C64A18"/>
    <w:rsid w:val="00C65237"/>
    <w:rsid w:val="00C653FB"/>
    <w:rsid w:val="00C65C9D"/>
    <w:rsid w:val="00C65E43"/>
    <w:rsid w:val="00C6620B"/>
    <w:rsid w:val="00C6688A"/>
    <w:rsid w:val="00C6755C"/>
    <w:rsid w:val="00C718C1"/>
    <w:rsid w:val="00C73E8A"/>
    <w:rsid w:val="00C8034E"/>
    <w:rsid w:val="00C80665"/>
    <w:rsid w:val="00C80741"/>
    <w:rsid w:val="00C81223"/>
    <w:rsid w:val="00C82114"/>
    <w:rsid w:val="00C82E66"/>
    <w:rsid w:val="00C84E96"/>
    <w:rsid w:val="00C854BD"/>
    <w:rsid w:val="00C87152"/>
    <w:rsid w:val="00C87C7E"/>
    <w:rsid w:val="00C91051"/>
    <w:rsid w:val="00C917EA"/>
    <w:rsid w:val="00C91A60"/>
    <w:rsid w:val="00C9247E"/>
    <w:rsid w:val="00C940BE"/>
    <w:rsid w:val="00C95E8B"/>
    <w:rsid w:val="00C9605A"/>
    <w:rsid w:val="00C964EC"/>
    <w:rsid w:val="00C966DA"/>
    <w:rsid w:val="00C96CF7"/>
    <w:rsid w:val="00C9701D"/>
    <w:rsid w:val="00CA0620"/>
    <w:rsid w:val="00CA1BB7"/>
    <w:rsid w:val="00CA2ADB"/>
    <w:rsid w:val="00CA30D7"/>
    <w:rsid w:val="00CA3113"/>
    <w:rsid w:val="00CA3A50"/>
    <w:rsid w:val="00CA3BB4"/>
    <w:rsid w:val="00CA4180"/>
    <w:rsid w:val="00CA4715"/>
    <w:rsid w:val="00CA74A2"/>
    <w:rsid w:val="00CA7C99"/>
    <w:rsid w:val="00CB0879"/>
    <w:rsid w:val="00CB1BDC"/>
    <w:rsid w:val="00CB2348"/>
    <w:rsid w:val="00CB68F4"/>
    <w:rsid w:val="00CB7E83"/>
    <w:rsid w:val="00CC00CD"/>
    <w:rsid w:val="00CC0920"/>
    <w:rsid w:val="00CC1043"/>
    <w:rsid w:val="00CC1419"/>
    <w:rsid w:val="00CC16C3"/>
    <w:rsid w:val="00CC1E8E"/>
    <w:rsid w:val="00CC1EAA"/>
    <w:rsid w:val="00CC2B3E"/>
    <w:rsid w:val="00CC40FC"/>
    <w:rsid w:val="00CC438C"/>
    <w:rsid w:val="00CC45BF"/>
    <w:rsid w:val="00CC589F"/>
    <w:rsid w:val="00CC5E7D"/>
    <w:rsid w:val="00CC5FAA"/>
    <w:rsid w:val="00CC650B"/>
    <w:rsid w:val="00CC6B88"/>
    <w:rsid w:val="00CD0F52"/>
    <w:rsid w:val="00CD1F6D"/>
    <w:rsid w:val="00CD21D2"/>
    <w:rsid w:val="00CD2693"/>
    <w:rsid w:val="00CD281A"/>
    <w:rsid w:val="00CD32E6"/>
    <w:rsid w:val="00CD34CF"/>
    <w:rsid w:val="00CD3FD2"/>
    <w:rsid w:val="00CD4F65"/>
    <w:rsid w:val="00CD5E4E"/>
    <w:rsid w:val="00CD6030"/>
    <w:rsid w:val="00CD657A"/>
    <w:rsid w:val="00CD6FDA"/>
    <w:rsid w:val="00CD7D7E"/>
    <w:rsid w:val="00CE0121"/>
    <w:rsid w:val="00CE0956"/>
    <w:rsid w:val="00CE0A8E"/>
    <w:rsid w:val="00CE21E7"/>
    <w:rsid w:val="00CE2CF1"/>
    <w:rsid w:val="00CE3CCF"/>
    <w:rsid w:val="00CE3DEC"/>
    <w:rsid w:val="00CE4775"/>
    <w:rsid w:val="00CE4C12"/>
    <w:rsid w:val="00CE4EFE"/>
    <w:rsid w:val="00CE5BBD"/>
    <w:rsid w:val="00CE5EB6"/>
    <w:rsid w:val="00CE5EFE"/>
    <w:rsid w:val="00CE7183"/>
    <w:rsid w:val="00CE776A"/>
    <w:rsid w:val="00CE79D0"/>
    <w:rsid w:val="00CF0724"/>
    <w:rsid w:val="00CF1774"/>
    <w:rsid w:val="00CF27F8"/>
    <w:rsid w:val="00CF2DCA"/>
    <w:rsid w:val="00CF33F3"/>
    <w:rsid w:val="00CF5C30"/>
    <w:rsid w:val="00CF5DBF"/>
    <w:rsid w:val="00CF74E8"/>
    <w:rsid w:val="00D00C29"/>
    <w:rsid w:val="00D01760"/>
    <w:rsid w:val="00D02423"/>
    <w:rsid w:val="00D02462"/>
    <w:rsid w:val="00D02736"/>
    <w:rsid w:val="00D03FDC"/>
    <w:rsid w:val="00D04ADE"/>
    <w:rsid w:val="00D054B8"/>
    <w:rsid w:val="00D0571D"/>
    <w:rsid w:val="00D07D4A"/>
    <w:rsid w:val="00D07FC4"/>
    <w:rsid w:val="00D100F4"/>
    <w:rsid w:val="00D10F1C"/>
    <w:rsid w:val="00D11160"/>
    <w:rsid w:val="00D1196A"/>
    <w:rsid w:val="00D11CEB"/>
    <w:rsid w:val="00D11DF5"/>
    <w:rsid w:val="00D12D94"/>
    <w:rsid w:val="00D133FD"/>
    <w:rsid w:val="00D13892"/>
    <w:rsid w:val="00D144D7"/>
    <w:rsid w:val="00D14BBA"/>
    <w:rsid w:val="00D166EF"/>
    <w:rsid w:val="00D16E39"/>
    <w:rsid w:val="00D177B2"/>
    <w:rsid w:val="00D17F09"/>
    <w:rsid w:val="00D21017"/>
    <w:rsid w:val="00D21334"/>
    <w:rsid w:val="00D2185D"/>
    <w:rsid w:val="00D21C7E"/>
    <w:rsid w:val="00D21FE3"/>
    <w:rsid w:val="00D220DA"/>
    <w:rsid w:val="00D221E1"/>
    <w:rsid w:val="00D223B6"/>
    <w:rsid w:val="00D225E6"/>
    <w:rsid w:val="00D22A24"/>
    <w:rsid w:val="00D23713"/>
    <w:rsid w:val="00D2522E"/>
    <w:rsid w:val="00D25709"/>
    <w:rsid w:val="00D267A0"/>
    <w:rsid w:val="00D27895"/>
    <w:rsid w:val="00D27B09"/>
    <w:rsid w:val="00D310A9"/>
    <w:rsid w:val="00D31281"/>
    <w:rsid w:val="00D331A2"/>
    <w:rsid w:val="00D334D9"/>
    <w:rsid w:val="00D3476C"/>
    <w:rsid w:val="00D34F4B"/>
    <w:rsid w:val="00D35039"/>
    <w:rsid w:val="00D3511E"/>
    <w:rsid w:val="00D369EF"/>
    <w:rsid w:val="00D373B8"/>
    <w:rsid w:val="00D37524"/>
    <w:rsid w:val="00D37619"/>
    <w:rsid w:val="00D37A35"/>
    <w:rsid w:val="00D40007"/>
    <w:rsid w:val="00D40DF8"/>
    <w:rsid w:val="00D427FB"/>
    <w:rsid w:val="00D42868"/>
    <w:rsid w:val="00D43481"/>
    <w:rsid w:val="00D436D7"/>
    <w:rsid w:val="00D4505E"/>
    <w:rsid w:val="00D4544E"/>
    <w:rsid w:val="00D461FA"/>
    <w:rsid w:val="00D46FBE"/>
    <w:rsid w:val="00D514F0"/>
    <w:rsid w:val="00D55DB3"/>
    <w:rsid w:val="00D56875"/>
    <w:rsid w:val="00D60327"/>
    <w:rsid w:val="00D60BFB"/>
    <w:rsid w:val="00D61A5A"/>
    <w:rsid w:val="00D61ACF"/>
    <w:rsid w:val="00D61C81"/>
    <w:rsid w:val="00D65156"/>
    <w:rsid w:val="00D6550B"/>
    <w:rsid w:val="00D6637B"/>
    <w:rsid w:val="00D66605"/>
    <w:rsid w:val="00D67081"/>
    <w:rsid w:val="00D67B67"/>
    <w:rsid w:val="00D67ED5"/>
    <w:rsid w:val="00D702F9"/>
    <w:rsid w:val="00D7064D"/>
    <w:rsid w:val="00D71B8E"/>
    <w:rsid w:val="00D71FCE"/>
    <w:rsid w:val="00D72332"/>
    <w:rsid w:val="00D72E9D"/>
    <w:rsid w:val="00D7355B"/>
    <w:rsid w:val="00D7365B"/>
    <w:rsid w:val="00D737D8"/>
    <w:rsid w:val="00D74178"/>
    <w:rsid w:val="00D744C2"/>
    <w:rsid w:val="00D7509A"/>
    <w:rsid w:val="00D762D6"/>
    <w:rsid w:val="00D77217"/>
    <w:rsid w:val="00D77451"/>
    <w:rsid w:val="00D82C7C"/>
    <w:rsid w:val="00D82CE5"/>
    <w:rsid w:val="00D83799"/>
    <w:rsid w:val="00D83F17"/>
    <w:rsid w:val="00D850E6"/>
    <w:rsid w:val="00D861D6"/>
    <w:rsid w:val="00D86DC5"/>
    <w:rsid w:val="00D9148F"/>
    <w:rsid w:val="00D92BBB"/>
    <w:rsid w:val="00D944DD"/>
    <w:rsid w:val="00D960C0"/>
    <w:rsid w:val="00DA0BD3"/>
    <w:rsid w:val="00DA1356"/>
    <w:rsid w:val="00DA18BE"/>
    <w:rsid w:val="00DA1D25"/>
    <w:rsid w:val="00DA218C"/>
    <w:rsid w:val="00DA2A01"/>
    <w:rsid w:val="00DA2B96"/>
    <w:rsid w:val="00DA41D6"/>
    <w:rsid w:val="00DA5AB1"/>
    <w:rsid w:val="00DA5B8A"/>
    <w:rsid w:val="00DA6356"/>
    <w:rsid w:val="00DA64FE"/>
    <w:rsid w:val="00DA6BA3"/>
    <w:rsid w:val="00DA7509"/>
    <w:rsid w:val="00DA77E7"/>
    <w:rsid w:val="00DB033E"/>
    <w:rsid w:val="00DB06D2"/>
    <w:rsid w:val="00DB172C"/>
    <w:rsid w:val="00DB1AE2"/>
    <w:rsid w:val="00DB2C59"/>
    <w:rsid w:val="00DB3B0B"/>
    <w:rsid w:val="00DB40E0"/>
    <w:rsid w:val="00DB45AB"/>
    <w:rsid w:val="00DB47B5"/>
    <w:rsid w:val="00DB52FA"/>
    <w:rsid w:val="00DB5D13"/>
    <w:rsid w:val="00DB618D"/>
    <w:rsid w:val="00DB68B9"/>
    <w:rsid w:val="00DB75D6"/>
    <w:rsid w:val="00DB763A"/>
    <w:rsid w:val="00DB7B8E"/>
    <w:rsid w:val="00DB7CD8"/>
    <w:rsid w:val="00DC056E"/>
    <w:rsid w:val="00DC056F"/>
    <w:rsid w:val="00DC0BB4"/>
    <w:rsid w:val="00DC144C"/>
    <w:rsid w:val="00DC1DCA"/>
    <w:rsid w:val="00DC2A15"/>
    <w:rsid w:val="00DC348A"/>
    <w:rsid w:val="00DC3CAC"/>
    <w:rsid w:val="00DC3D1E"/>
    <w:rsid w:val="00DC4048"/>
    <w:rsid w:val="00DC5E43"/>
    <w:rsid w:val="00DC5F0C"/>
    <w:rsid w:val="00DC62A3"/>
    <w:rsid w:val="00DC62E5"/>
    <w:rsid w:val="00DC67B0"/>
    <w:rsid w:val="00DC681B"/>
    <w:rsid w:val="00DC7F2E"/>
    <w:rsid w:val="00DD0A21"/>
    <w:rsid w:val="00DD14A5"/>
    <w:rsid w:val="00DD1DD9"/>
    <w:rsid w:val="00DD2D43"/>
    <w:rsid w:val="00DD4882"/>
    <w:rsid w:val="00DD51BC"/>
    <w:rsid w:val="00DD5670"/>
    <w:rsid w:val="00DD734A"/>
    <w:rsid w:val="00DD735D"/>
    <w:rsid w:val="00DD78C4"/>
    <w:rsid w:val="00DD7CF2"/>
    <w:rsid w:val="00DE0938"/>
    <w:rsid w:val="00DE1016"/>
    <w:rsid w:val="00DE1175"/>
    <w:rsid w:val="00DE182A"/>
    <w:rsid w:val="00DE1B6D"/>
    <w:rsid w:val="00DE2690"/>
    <w:rsid w:val="00DE2F1D"/>
    <w:rsid w:val="00DE3119"/>
    <w:rsid w:val="00DE39B3"/>
    <w:rsid w:val="00DE3C78"/>
    <w:rsid w:val="00DE3D72"/>
    <w:rsid w:val="00DE41CD"/>
    <w:rsid w:val="00DE43DA"/>
    <w:rsid w:val="00DE5124"/>
    <w:rsid w:val="00DE5D06"/>
    <w:rsid w:val="00DE7692"/>
    <w:rsid w:val="00DE770A"/>
    <w:rsid w:val="00DF05E1"/>
    <w:rsid w:val="00DF1AF7"/>
    <w:rsid w:val="00DF236B"/>
    <w:rsid w:val="00DF35ED"/>
    <w:rsid w:val="00DF3701"/>
    <w:rsid w:val="00DF395B"/>
    <w:rsid w:val="00DF5138"/>
    <w:rsid w:val="00DF6159"/>
    <w:rsid w:val="00DF6328"/>
    <w:rsid w:val="00DF6566"/>
    <w:rsid w:val="00DF7A6C"/>
    <w:rsid w:val="00DF7F96"/>
    <w:rsid w:val="00E026BB"/>
    <w:rsid w:val="00E060C4"/>
    <w:rsid w:val="00E06860"/>
    <w:rsid w:val="00E10178"/>
    <w:rsid w:val="00E1071A"/>
    <w:rsid w:val="00E10EE8"/>
    <w:rsid w:val="00E11BA5"/>
    <w:rsid w:val="00E125D0"/>
    <w:rsid w:val="00E13306"/>
    <w:rsid w:val="00E13AB8"/>
    <w:rsid w:val="00E13BC5"/>
    <w:rsid w:val="00E13F51"/>
    <w:rsid w:val="00E14E0D"/>
    <w:rsid w:val="00E152E0"/>
    <w:rsid w:val="00E164E5"/>
    <w:rsid w:val="00E170F8"/>
    <w:rsid w:val="00E17401"/>
    <w:rsid w:val="00E20C03"/>
    <w:rsid w:val="00E2184C"/>
    <w:rsid w:val="00E21A8B"/>
    <w:rsid w:val="00E21FD3"/>
    <w:rsid w:val="00E2279C"/>
    <w:rsid w:val="00E231C8"/>
    <w:rsid w:val="00E23217"/>
    <w:rsid w:val="00E23B63"/>
    <w:rsid w:val="00E23C67"/>
    <w:rsid w:val="00E24218"/>
    <w:rsid w:val="00E24AB7"/>
    <w:rsid w:val="00E24CC0"/>
    <w:rsid w:val="00E25706"/>
    <w:rsid w:val="00E25CB3"/>
    <w:rsid w:val="00E27C20"/>
    <w:rsid w:val="00E304DC"/>
    <w:rsid w:val="00E30AE3"/>
    <w:rsid w:val="00E30EFF"/>
    <w:rsid w:val="00E311BA"/>
    <w:rsid w:val="00E314E6"/>
    <w:rsid w:val="00E31A9F"/>
    <w:rsid w:val="00E31D3A"/>
    <w:rsid w:val="00E32180"/>
    <w:rsid w:val="00E32C94"/>
    <w:rsid w:val="00E32E87"/>
    <w:rsid w:val="00E33A7D"/>
    <w:rsid w:val="00E33B62"/>
    <w:rsid w:val="00E35C0F"/>
    <w:rsid w:val="00E36C74"/>
    <w:rsid w:val="00E36ED1"/>
    <w:rsid w:val="00E37230"/>
    <w:rsid w:val="00E377D9"/>
    <w:rsid w:val="00E377FA"/>
    <w:rsid w:val="00E4143A"/>
    <w:rsid w:val="00E435F2"/>
    <w:rsid w:val="00E437AB"/>
    <w:rsid w:val="00E4422A"/>
    <w:rsid w:val="00E44938"/>
    <w:rsid w:val="00E44E85"/>
    <w:rsid w:val="00E45C4E"/>
    <w:rsid w:val="00E472CA"/>
    <w:rsid w:val="00E508D3"/>
    <w:rsid w:val="00E52850"/>
    <w:rsid w:val="00E52CEF"/>
    <w:rsid w:val="00E52FCE"/>
    <w:rsid w:val="00E53BEB"/>
    <w:rsid w:val="00E549E9"/>
    <w:rsid w:val="00E609BD"/>
    <w:rsid w:val="00E6136C"/>
    <w:rsid w:val="00E61D16"/>
    <w:rsid w:val="00E622FB"/>
    <w:rsid w:val="00E62F4F"/>
    <w:rsid w:val="00E631D8"/>
    <w:rsid w:val="00E63AE5"/>
    <w:rsid w:val="00E63CDB"/>
    <w:rsid w:val="00E63D0C"/>
    <w:rsid w:val="00E66B9A"/>
    <w:rsid w:val="00E6749B"/>
    <w:rsid w:val="00E67609"/>
    <w:rsid w:val="00E71A84"/>
    <w:rsid w:val="00E72B16"/>
    <w:rsid w:val="00E737E5"/>
    <w:rsid w:val="00E74705"/>
    <w:rsid w:val="00E76729"/>
    <w:rsid w:val="00E7782E"/>
    <w:rsid w:val="00E77D59"/>
    <w:rsid w:val="00E814AA"/>
    <w:rsid w:val="00E81A62"/>
    <w:rsid w:val="00E81A75"/>
    <w:rsid w:val="00E830A2"/>
    <w:rsid w:val="00E8343C"/>
    <w:rsid w:val="00E84207"/>
    <w:rsid w:val="00E85D4E"/>
    <w:rsid w:val="00E85ECA"/>
    <w:rsid w:val="00E86D96"/>
    <w:rsid w:val="00E913A1"/>
    <w:rsid w:val="00E91EDD"/>
    <w:rsid w:val="00E92A74"/>
    <w:rsid w:val="00E92F57"/>
    <w:rsid w:val="00E940F1"/>
    <w:rsid w:val="00E947C0"/>
    <w:rsid w:val="00E94CE5"/>
    <w:rsid w:val="00E954A3"/>
    <w:rsid w:val="00E95FB7"/>
    <w:rsid w:val="00E96C64"/>
    <w:rsid w:val="00E97541"/>
    <w:rsid w:val="00E97BC5"/>
    <w:rsid w:val="00EA0203"/>
    <w:rsid w:val="00EA1421"/>
    <w:rsid w:val="00EA22A5"/>
    <w:rsid w:val="00EA3146"/>
    <w:rsid w:val="00EA3271"/>
    <w:rsid w:val="00EA40A3"/>
    <w:rsid w:val="00EA477B"/>
    <w:rsid w:val="00EA4CA9"/>
    <w:rsid w:val="00EA5137"/>
    <w:rsid w:val="00EA572E"/>
    <w:rsid w:val="00EA5C4C"/>
    <w:rsid w:val="00EA63D2"/>
    <w:rsid w:val="00EA666F"/>
    <w:rsid w:val="00EB0DE5"/>
    <w:rsid w:val="00EB27F2"/>
    <w:rsid w:val="00EB340D"/>
    <w:rsid w:val="00EB5921"/>
    <w:rsid w:val="00EB5C48"/>
    <w:rsid w:val="00EB5CEA"/>
    <w:rsid w:val="00EB76C1"/>
    <w:rsid w:val="00EB7A25"/>
    <w:rsid w:val="00EC268B"/>
    <w:rsid w:val="00EC33B9"/>
    <w:rsid w:val="00EC628B"/>
    <w:rsid w:val="00EC7EFE"/>
    <w:rsid w:val="00ED068F"/>
    <w:rsid w:val="00ED149A"/>
    <w:rsid w:val="00ED2BE0"/>
    <w:rsid w:val="00ED41B2"/>
    <w:rsid w:val="00ED52D1"/>
    <w:rsid w:val="00ED54D6"/>
    <w:rsid w:val="00ED5626"/>
    <w:rsid w:val="00ED60DF"/>
    <w:rsid w:val="00EE00DA"/>
    <w:rsid w:val="00EE044A"/>
    <w:rsid w:val="00EE1009"/>
    <w:rsid w:val="00EE14A5"/>
    <w:rsid w:val="00EE22BA"/>
    <w:rsid w:val="00EE2774"/>
    <w:rsid w:val="00EE2F7B"/>
    <w:rsid w:val="00EE4B65"/>
    <w:rsid w:val="00EE4C00"/>
    <w:rsid w:val="00EE55B9"/>
    <w:rsid w:val="00EE59B5"/>
    <w:rsid w:val="00EE5A06"/>
    <w:rsid w:val="00EE5D43"/>
    <w:rsid w:val="00EF000D"/>
    <w:rsid w:val="00EF0584"/>
    <w:rsid w:val="00EF0F3E"/>
    <w:rsid w:val="00EF14B9"/>
    <w:rsid w:val="00EF21B8"/>
    <w:rsid w:val="00EF23ED"/>
    <w:rsid w:val="00EF35C2"/>
    <w:rsid w:val="00EF5227"/>
    <w:rsid w:val="00EF52E7"/>
    <w:rsid w:val="00EF57D2"/>
    <w:rsid w:val="00EF61CE"/>
    <w:rsid w:val="00EF6427"/>
    <w:rsid w:val="00EF7152"/>
    <w:rsid w:val="00EF7CD9"/>
    <w:rsid w:val="00F00E98"/>
    <w:rsid w:val="00F01A5F"/>
    <w:rsid w:val="00F02556"/>
    <w:rsid w:val="00F02C21"/>
    <w:rsid w:val="00F02F6D"/>
    <w:rsid w:val="00F048BC"/>
    <w:rsid w:val="00F04E37"/>
    <w:rsid w:val="00F05E93"/>
    <w:rsid w:val="00F05F36"/>
    <w:rsid w:val="00F068F4"/>
    <w:rsid w:val="00F07626"/>
    <w:rsid w:val="00F078DF"/>
    <w:rsid w:val="00F107DE"/>
    <w:rsid w:val="00F10CAD"/>
    <w:rsid w:val="00F10ED2"/>
    <w:rsid w:val="00F119DE"/>
    <w:rsid w:val="00F12855"/>
    <w:rsid w:val="00F12E8C"/>
    <w:rsid w:val="00F13209"/>
    <w:rsid w:val="00F1320C"/>
    <w:rsid w:val="00F1332C"/>
    <w:rsid w:val="00F13633"/>
    <w:rsid w:val="00F1486A"/>
    <w:rsid w:val="00F15490"/>
    <w:rsid w:val="00F1555A"/>
    <w:rsid w:val="00F16446"/>
    <w:rsid w:val="00F1773B"/>
    <w:rsid w:val="00F17886"/>
    <w:rsid w:val="00F20068"/>
    <w:rsid w:val="00F206D5"/>
    <w:rsid w:val="00F20726"/>
    <w:rsid w:val="00F218E6"/>
    <w:rsid w:val="00F22404"/>
    <w:rsid w:val="00F22646"/>
    <w:rsid w:val="00F22D50"/>
    <w:rsid w:val="00F22D7A"/>
    <w:rsid w:val="00F23493"/>
    <w:rsid w:val="00F246D6"/>
    <w:rsid w:val="00F249B4"/>
    <w:rsid w:val="00F249B5"/>
    <w:rsid w:val="00F254CC"/>
    <w:rsid w:val="00F25ED5"/>
    <w:rsid w:val="00F260BA"/>
    <w:rsid w:val="00F267EE"/>
    <w:rsid w:val="00F270A5"/>
    <w:rsid w:val="00F303EC"/>
    <w:rsid w:val="00F316F5"/>
    <w:rsid w:val="00F31A1D"/>
    <w:rsid w:val="00F324C0"/>
    <w:rsid w:val="00F3472E"/>
    <w:rsid w:val="00F357E7"/>
    <w:rsid w:val="00F3693B"/>
    <w:rsid w:val="00F36BB5"/>
    <w:rsid w:val="00F37157"/>
    <w:rsid w:val="00F372D2"/>
    <w:rsid w:val="00F402FD"/>
    <w:rsid w:val="00F40599"/>
    <w:rsid w:val="00F4094F"/>
    <w:rsid w:val="00F42B15"/>
    <w:rsid w:val="00F430A9"/>
    <w:rsid w:val="00F43C2D"/>
    <w:rsid w:val="00F43C80"/>
    <w:rsid w:val="00F442F0"/>
    <w:rsid w:val="00F44379"/>
    <w:rsid w:val="00F443D6"/>
    <w:rsid w:val="00F45A81"/>
    <w:rsid w:val="00F460D4"/>
    <w:rsid w:val="00F47665"/>
    <w:rsid w:val="00F52F83"/>
    <w:rsid w:val="00F5311E"/>
    <w:rsid w:val="00F5386C"/>
    <w:rsid w:val="00F53BE5"/>
    <w:rsid w:val="00F54939"/>
    <w:rsid w:val="00F552A6"/>
    <w:rsid w:val="00F5536F"/>
    <w:rsid w:val="00F555BE"/>
    <w:rsid w:val="00F5587E"/>
    <w:rsid w:val="00F55B6E"/>
    <w:rsid w:val="00F56AE4"/>
    <w:rsid w:val="00F56CA8"/>
    <w:rsid w:val="00F56CB7"/>
    <w:rsid w:val="00F60C30"/>
    <w:rsid w:val="00F61336"/>
    <w:rsid w:val="00F62306"/>
    <w:rsid w:val="00F62E7E"/>
    <w:rsid w:val="00F631BE"/>
    <w:rsid w:val="00F64EB8"/>
    <w:rsid w:val="00F65686"/>
    <w:rsid w:val="00F65850"/>
    <w:rsid w:val="00F675BE"/>
    <w:rsid w:val="00F70A57"/>
    <w:rsid w:val="00F7112F"/>
    <w:rsid w:val="00F712ED"/>
    <w:rsid w:val="00F716B8"/>
    <w:rsid w:val="00F717B7"/>
    <w:rsid w:val="00F72A15"/>
    <w:rsid w:val="00F72F33"/>
    <w:rsid w:val="00F737DB"/>
    <w:rsid w:val="00F7412B"/>
    <w:rsid w:val="00F7432F"/>
    <w:rsid w:val="00F745A5"/>
    <w:rsid w:val="00F74F25"/>
    <w:rsid w:val="00F762C6"/>
    <w:rsid w:val="00F80305"/>
    <w:rsid w:val="00F8048F"/>
    <w:rsid w:val="00F82893"/>
    <w:rsid w:val="00F83838"/>
    <w:rsid w:val="00F83FF2"/>
    <w:rsid w:val="00F842D9"/>
    <w:rsid w:val="00F84691"/>
    <w:rsid w:val="00F84899"/>
    <w:rsid w:val="00F859F0"/>
    <w:rsid w:val="00F87254"/>
    <w:rsid w:val="00F87C3E"/>
    <w:rsid w:val="00F911D4"/>
    <w:rsid w:val="00F915D0"/>
    <w:rsid w:val="00F91C32"/>
    <w:rsid w:val="00F91F95"/>
    <w:rsid w:val="00F925F7"/>
    <w:rsid w:val="00F9299C"/>
    <w:rsid w:val="00F92AB5"/>
    <w:rsid w:val="00F952F9"/>
    <w:rsid w:val="00F961C4"/>
    <w:rsid w:val="00F962BF"/>
    <w:rsid w:val="00F967BB"/>
    <w:rsid w:val="00F971E7"/>
    <w:rsid w:val="00FA120E"/>
    <w:rsid w:val="00FA121E"/>
    <w:rsid w:val="00FA14DE"/>
    <w:rsid w:val="00FA19B8"/>
    <w:rsid w:val="00FA3AEE"/>
    <w:rsid w:val="00FA3B3B"/>
    <w:rsid w:val="00FA3E29"/>
    <w:rsid w:val="00FA4333"/>
    <w:rsid w:val="00FA4BFC"/>
    <w:rsid w:val="00FA508A"/>
    <w:rsid w:val="00FA553E"/>
    <w:rsid w:val="00FA61F3"/>
    <w:rsid w:val="00FA6D8A"/>
    <w:rsid w:val="00FB01E5"/>
    <w:rsid w:val="00FB2CA4"/>
    <w:rsid w:val="00FB33BA"/>
    <w:rsid w:val="00FB364B"/>
    <w:rsid w:val="00FB56C6"/>
    <w:rsid w:val="00FB5D8C"/>
    <w:rsid w:val="00FB6646"/>
    <w:rsid w:val="00FB6D91"/>
    <w:rsid w:val="00FB7032"/>
    <w:rsid w:val="00FB781F"/>
    <w:rsid w:val="00FC0041"/>
    <w:rsid w:val="00FC075A"/>
    <w:rsid w:val="00FC133A"/>
    <w:rsid w:val="00FC1A07"/>
    <w:rsid w:val="00FC2A34"/>
    <w:rsid w:val="00FC4C3C"/>
    <w:rsid w:val="00FC4FE8"/>
    <w:rsid w:val="00FC7795"/>
    <w:rsid w:val="00FD0EF2"/>
    <w:rsid w:val="00FD101F"/>
    <w:rsid w:val="00FD1137"/>
    <w:rsid w:val="00FD365C"/>
    <w:rsid w:val="00FD458C"/>
    <w:rsid w:val="00FD4943"/>
    <w:rsid w:val="00FD4B00"/>
    <w:rsid w:val="00FD5759"/>
    <w:rsid w:val="00FD63FB"/>
    <w:rsid w:val="00FD699E"/>
    <w:rsid w:val="00FD6A5D"/>
    <w:rsid w:val="00FD7BFD"/>
    <w:rsid w:val="00FD7F5B"/>
    <w:rsid w:val="00FE08A6"/>
    <w:rsid w:val="00FE0E65"/>
    <w:rsid w:val="00FE100D"/>
    <w:rsid w:val="00FE141E"/>
    <w:rsid w:val="00FE1B89"/>
    <w:rsid w:val="00FE3617"/>
    <w:rsid w:val="00FE3CA5"/>
    <w:rsid w:val="00FE42ED"/>
    <w:rsid w:val="00FE68CC"/>
    <w:rsid w:val="00FE6B6C"/>
    <w:rsid w:val="00FE7785"/>
    <w:rsid w:val="00FE7983"/>
    <w:rsid w:val="00FF216D"/>
    <w:rsid w:val="00FF286F"/>
    <w:rsid w:val="00FF29F6"/>
    <w:rsid w:val="00FF4081"/>
    <w:rsid w:val="00FF435B"/>
    <w:rsid w:val="00FF479C"/>
    <w:rsid w:val="00FF543C"/>
    <w:rsid w:val="00FF5A12"/>
    <w:rsid w:val="00FF660C"/>
    <w:rsid w:val="00FF6E90"/>
    <w:rsid w:val="00FF755E"/>
    <w:rsid w:val="24D4438D"/>
    <w:rsid w:val="2FAD06DD"/>
    <w:rsid w:val="30ACAFD7"/>
    <w:rsid w:val="4B352AAE"/>
    <w:rsid w:val="6D8A956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paragraph" w:styleId="Ttulo2">
    <w:name w:val="heading 2"/>
    <w:basedOn w:val="Normal"/>
    <w:next w:val="Normal"/>
    <w:link w:val="Ttulo2Car"/>
    <w:unhideWhenUsed/>
    <w:qFormat/>
    <w:rsid w:val="003852EA"/>
    <w:pPr>
      <w:keepNext/>
      <w:jc w:val="both"/>
      <w:outlineLvl w:val="1"/>
    </w:pPr>
    <w:rPr>
      <w:rFonts w:ascii="Century Gothic" w:eastAsia="Times New Roman" w:hAnsi="Century Gothic" w:cs="Arial"/>
      <w:b/>
      <w:sz w:val="22"/>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aliases w:val="Footnote Text Char Char Char Char Car,Footnote Text Cha Car,Footnote Text Char Char Char Car,FA Fußnotentext Car,FA Fuﬂnotentext Car,texto de nota al p Car"/>
    <w:basedOn w:val="Fuentedeprrafopredeter"/>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013780"/>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A22A9"/>
    <w:pPr>
      <w:autoSpaceDE w:val="0"/>
      <w:autoSpaceDN w:val="0"/>
      <w:adjustRightInd w:val="0"/>
      <w:spacing w:after="0" w:line="240" w:lineRule="auto"/>
    </w:pPr>
    <w:rPr>
      <w:rFonts w:ascii="Arial" w:hAnsi="Arial" w:cs="Arial"/>
      <w:color w:val="000000"/>
      <w:sz w:val="24"/>
      <w:szCs w:val="24"/>
    </w:rPr>
  </w:style>
  <w:style w:type="character" w:styleId="Textoennegrita">
    <w:name w:val="Strong"/>
    <w:basedOn w:val="Fuentedeprrafopredeter"/>
    <w:uiPriority w:val="22"/>
    <w:qFormat/>
    <w:rsid w:val="00B9068D"/>
    <w:rPr>
      <w:b/>
      <w:bCs/>
    </w:rPr>
  </w:style>
  <w:style w:type="character" w:styleId="nfasis">
    <w:name w:val="Emphasis"/>
    <w:basedOn w:val="Fuentedeprrafopredeter"/>
    <w:uiPriority w:val="20"/>
    <w:qFormat/>
    <w:rsid w:val="00B9068D"/>
    <w:rPr>
      <w:i/>
      <w:iCs/>
    </w:rPr>
  </w:style>
  <w:style w:type="character" w:styleId="Textodelmarcadordeposicin">
    <w:name w:val="Placeholder Text"/>
    <w:basedOn w:val="Fuentedeprrafopredeter"/>
    <w:uiPriority w:val="99"/>
    <w:semiHidden/>
    <w:rsid w:val="00E24218"/>
    <w:rPr>
      <w:color w:val="808080"/>
    </w:rPr>
  </w:style>
  <w:style w:type="character" w:customStyle="1" w:styleId="Mencinsinresolver1">
    <w:name w:val="Mención sin resolver1"/>
    <w:basedOn w:val="Fuentedeprrafopredeter"/>
    <w:uiPriority w:val="99"/>
    <w:semiHidden/>
    <w:unhideWhenUsed/>
    <w:rsid w:val="007E61BB"/>
    <w:rPr>
      <w:color w:val="605E5C"/>
      <w:shd w:val="clear" w:color="auto" w:fill="E1DFDD"/>
    </w:rPr>
  </w:style>
  <w:style w:type="paragraph" w:customStyle="1" w:styleId="textocaja">
    <w:name w:val="textocaja"/>
    <w:basedOn w:val="Normal"/>
    <w:rsid w:val="006726C7"/>
    <w:pPr>
      <w:spacing w:before="100" w:beforeAutospacing="1" w:after="100" w:afterAutospacing="1"/>
      <w:jc w:val="both"/>
    </w:pPr>
    <w:rPr>
      <w:rFonts w:ascii="Georgia" w:eastAsia="Times New Roman" w:hAnsi="Georgia" w:cs="Times New Roman"/>
      <w:sz w:val="22"/>
      <w:lang w:val="es-CO" w:eastAsia="es-CO"/>
    </w:rPr>
  </w:style>
  <w:style w:type="paragraph" w:styleId="Textoindependiente">
    <w:name w:val="Body Text"/>
    <w:basedOn w:val="Normal"/>
    <w:link w:val="TextoindependienteCar"/>
    <w:uiPriority w:val="99"/>
    <w:semiHidden/>
    <w:unhideWhenUsed/>
    <w:rsid w:val="00F02556"/>
    <w:pPr>
      <w:spacing w:before="100" w:beforeAutospacing="1" w:after="100" w:afterAutospacing="1"/>
    </w:pPr>
    <w:rPr>
      <w:rFonts w:ascii="Times New Roman" w:eastAsia="Times New Roman" w:hAnsi="Times New Roman" w:cs="Times New Roman"/>
      <w:szCs w:val="24"/>
      <w:lang w:val="es-CO" w:eastAsia="es-CO"/>
    </w:rPr>
  </w:style>
  <w:style w:type="character" w:customStyle="1" w:styleId="TextoindependienteCar">
    <w:name w:val="Texto independiente Car"/>
    <w:basedOn w:val="Fuentedeprrafopredeter"/>
    <w:link w:val="Textoindependiente"/>
    <w:uiPriority w:val="99"/>
    <w:semiHidden/>
    <w:rsid w:val="00F02556"/>
    <w:rPr>
      <w:rFonts w:ascii="Times New Roman" w:eastAsia="Times New Roman" w:hAnsi="Times New Roman" w:cs="Times New Roman"/>
      <w:sz w:val="24"/>
      <w:szCs w:val="24"/>
      <w:lang w:eastAsia="es-CO"/>
    </w:rPr>
  </w:style>
  <w:style w:type="character" w:customStyle="1" w:styleId="Ttulo2Car">
    <w:name w:val="Título 2 Car"/>
    <w:basedOn w:val="Fuentedeprrafopredeter"/>
    <w:link w:val="Ttulo2"/>
    <w:rsid w:val="003852EA"/>
    <w:rPr>
      <w:rFonts w:ascii="Century Gothic" w:eastAsia="Times New Roman" w:hAnsi="Century Gothic" w:cs="Arial"/>
      <w:b/>
      <w:lang w:val="es-ES" w:eastAsia="es-ES"/>
    </w:rPr>
  </w:style>
  <w:style w:type="character" w:customStyle="1" w:styleId="nacep">
    <w:name w:val="n_acep"/>
    <w:basedOn w:val="Fuentedeprrafopredeter"/>
    <w:rsid w:val="001436C6"/>
  </w:style>
  <w:style w:type="character" w:customStyle="1" w:styleId="u">
    <w:name w:val="u"/>
    <w:basedOn w:val="Fuentedeprrafopredeter"/>
    <w:rsid w:val="00050838"/>
  </w:style>
  <w:style w:type="character" w:customStyle="1" w:styleId="NormalWebCar">
    <w:name w:val="Normal (Web) Car"/>
    <w:link w:val="NormalWeb"/>
    <w:uiPriority w:val="99"/>
    <w:rsid w:val="00CD4F65"/>
    <w:rPr>
      <w:rFonts w:ascii="Times New Roman" w:eastAsia="Times New Roman" w:hAnsi="Times New Roman" w:cs="Times New Roman"/>
      <w:sz w:val="24"/>
      <w:szCs w:val="24"/>
      <w:lang w:eastAsia="es-CO"/>
    </w:rPr>
  </w:style>
  <w:style w:type="paragraph" w:customStyle="1" w:styleId="m1280678090329625985xmsonormal">
    <w:name w:val="m_1280678090329625985xmsonormal"/>
    <w:basedOn w:val="Normal"/>
    <w:rsid w:val="001D1E85"/>
    <w:pPr>
      <w:spacing w:before="100" w:beforeAutospacing="1" w:after="100" w:afterAutospacing="1"/>
    </w:pPr>
    <w:rPr>
      <w:rFonts w:ascii="Times New Roman" w:hAnsi="Times New Roman" w:cs="Times New Roman"/>
      <w:szCs w:val="24"/>
      <w:lang w:val="es-ES_tradnl"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298662">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4835325">
      <w:bodyDiv w:val="1"/>
      <w:marLeft w:val="0"/>
      <w:marRight w:val="0"/>
      <w:marTop w:val="0"/>
      <w:marBottom w:val="0"/>
      <w:divBdr>
        <w:top w:val="none" w:sz="0" w:space="0" w:color="auto"/>
        <w:left w:val="none" w:sz="0" w:space="0" w:color="auto"/>
        <w:bottom w:val="none" w:sz="0" w:space="0" w:color="auto"/>
        <w:right w:val="none" w:sz="0" w:space="0" w:color="auto"/>
      </w:divBdr>
    </w:div>
    <w:div w:id="74859803">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46116411">
      <w:bodyDiv w:val="1"/>
      <w:marLeft w:val="0"/>
      <w:marRight w:val="0"/>
      <w:marTop w:val="0"/>
      <w:marBottom w:val="0"/>
      <w:divBdr>
        <w:top w:val="none" w:sz="0" w:space="0" w:color="auto"/>
        <w:left w:val="none" w:sz="0" w:space="0" w:color="auto"/>
        <w:bottom w:val="none" w:sz="0" w:space="0" w:color="auto"/>
        <w:right w:val="none" w:sz="0" w:space="0" w:color="auto"/>
      </w:divBdr>
    </w:div>
    <w:div w:id="263342648">
      <w:bodyDiv w:val="1"/>
      <w:marLeft w:val="0"/>
      <w:marRight w:val="0"/>
      <w:marTop w:val="0"/>
      <w:marBottom w:val="0"/>
      <w:divBdr>
        <w:top w:val="none" w:sz="0" w:space="0" w:color="auto"/>
        <w:left w:val="none" w:sz="0" w:space="0" w:color="auto"/>
        <w:bottom w:val="none" w:sz="0" w:space="0" w:color="auto"/>
        <w:right w:val="none" w:sz="0" w:space="0" w:color="auto"/>
      </w:divBdr>
    </w:div>
    <w:div w:id="265843300">
      <w:bodyDiv w:val="1"/>
      <w:marLeft w:val="0"/>
      <w:marRight w:val="0"/>
      <w:marTop w:val="0"/>
      <w:marBottom w:val="0"/>
      <w:divBdr>
        <w:top w:val="none" w:sz="0" w:space="0" w:color="auto"/>
        <w:left w:val="none" w:sz="0" w:space="0" w:color="auto"/>
        <w:bottom w:val="none" w:sz="0" w:space="0" w:color="auto"/>
        <w:right w:val="none" w:sz="0" w:space="0" w:color="auto"/>
      </w:divBdr>
    </w:div>
    <w:div w:id="276451897">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13341538">
      <w:bodyDiv w:val="1"/>
      <w:marLeft w:val="0"/>
      <w:marRight w:val="0"/>
      <w:marTop w:val="0"/>
      <w:marBottom w:val="0"/>
      <w:divBdr>
        <w:top w:val="none" w:sz="0" w:space="0" w:color="auto"/>
        <w:left w:val="none" w:sz="0" w:space="0" w:color="auto"/>
        <w:bottom w:val="none" w:sz="0" w:space="0" w:color="auto"/>
        <w:right w:val="none" w:sz="0" w:space="0" w:color="auto"/>
      </w:divBdr>
    </w:div>
    <w:div w:id="422992938">
      <w:bodyDiv w:val="1"/>
      <w:marLeft w:val="0"/>
      <w:marRight w:val="0"/>
      <w:marTop w:val="0"/>
      <w:marBottom w:val="0"/>
      <w:divBdr>
        <w:top w:val="none" w:sz="0" w:space="0" w:color="auto"/>
        <w:left w:val="none" w:sz="0" w:space="0" w:color="auto"/>
        <w:bottom w:val="none" w:sz="0" w:space="0" w:color="auto"/>
        <w:right w:val="none" w:sz="0" w:space="0" w:color="auto"/>
      </w:divBdr>
    </w:div>
    <w:div w:id="497505712">
      <w:bodyDiv w:val="1"/>
      <w:marLeft w:val="0"/>
      <w:marRight w:val="0"/>
      <w:marTop w:val="0"/>
      <w:marBottom w:val="0"/>
      <w:divBdr>
        <w:top w:val="none" w:sz="0" w:space="0" w:color="auto"/>
        <w:left w:val="none" w:sz="0" w:space="0" w:color="auto"/>
        <w:bottom w:val="none" w:sz="0" w:space="0" w:color="auto"/>
        <w:right w:val="none" w:sz="0" w:space="0" w:color="auto"/>
      </w:divBdr>
    </w:div>
    <w:div w:id="502742086">
      <w:bodyDiv w:val="1"/>
      <w:marLeft w:val="0"/>
      <w:marRight w:val="0"/>
      <w:marTop w:val="0"/>
      <w:marBottom w:val="0"/>
      <w:divBdr>
        <w:top w:val="none" w:sz="0" w:space="0" w:color="auto"/>
        <w:left w:val="none" w:sz="0" w:space="0" w:color="auto"/>
        <w:bottom w:val="none" w:sz="0" w:space="0" w:color="auto"/>
        <w:right w:val="none" w:sz="0" w:space="0" w:color="auto"/>
      </w:divBdr>
    </w:div>
    <w:div w:id="507796221">
      <w:bodyDiv w:val="1"/>
      <w:marLeft w:val="0"/>
      <w:marRight w:val="0"/>
      <w:marTop w:val="0"/>
      <w:marBottom w:val="0"/>
      <w:divBdr>
        <w:top w:val="none" w:sz="0" w:space="0" w:color="auto"/>
        <w:left w:val="none" w:sz="0" w:space="0" w:color="auto"/>
        <w:bottom w:val="none" w:sz="0" w:space="0" w:color="auto"/>
        <w:right w:val="none" w:sz="0" w:space="0" w:color="auto"/>
      </w:divBdr>
    </w:div>
    <w:div w:id="529994347">
      <w:bodyDiv w:val="1"/>
      <w:marLeft w:val="0"/>
      <w:marRight w:val="0"/>
      <w:marTop w:val="0"/>
      <w:marBottom w:val="0"/>
      <w:divBdr>
        <w:top w:val="none" w:sz="0" w:space="0" w:color="auto"/>
        <w:left w:val="none" w:sz="0" w:space="0" w:color="auto"/>
        <w:bottom w:val="none" w:sz="0" w:space="0" w:color="auto"/>
        <w:right w:val="none" w:sz="0" w:space="0" w:color="auto"/>
      </w:divBdr>
    </w:div>
    <w:div w:id="533346310">
      <w:bodyDiv w:val="1"/>
      <w:marLeft w:val="0"/>
      <w:marRight w:val="0"/>
      <w:marTop w:val="0"/>
      <w:marBottom w:val="0"/>
      <w:divBdr>
        <w:top w:val="none" w:sz="0" w:space="0" w:color="auto"/>
        <w:left w:val="none" w:sz="0" w:space="0" w:color="auto"/>
        <w:bottom w:val="none" w:sz="0" w:space="0" w:color="auto"/>
        <w:right w:val="none" w:sz="0" w:space="0" w:color="auto"/>
      </w:divBdr>
    </w:div>
    <w:div w:id="611329338">
      <w:bodyDiv w:val="1"/>
      <w:marLeft w:val="0"/>
      <w:marRight w:val="0"/>
      <w:marTop w:val="0"/>
      <w:marBottom w:val="0"/>
      <w:divBdr>
        <w:top w:val="none" w:sz="0" w:space="0" w:color="auto"/>
        <w:left w:val="none" w:sz="0" w:space="0" w:color="auto"/>
        <w:bottom w:val="none" w:sz="0" w:space="0" w:color="auto"/>
        <w:right w:val="none" w:sz="0" w:space="0" w:color="auto"/>
      </w:divBdr>
    </w:div>
    <w:div w:id="665206259">
      <w:bodyDiv w:val="1"/>
      <w:marLeft w:val="0"/>
      <w:marRight w:val="0"/>
      <w:marTop w:val="0"/>
      <w:marBottom w:val="0"/>
      <w:divBdr>
        <w:top w:val="none" w:sz="0" w:space="0" w:color="auto"/>
        <w:left w:val="none" w:sz="0" w:space="0" w:color="auto"/>
        <w:bottom w:val="none" w:sz="0" w:space="0" w:color="auto"/>
        <w:right w:val="none" w:sz="0" w:space="0" w:color="auto"/>
      </w:divBdr>
    </w:div>
    <w:div w:id="800271304">
      <w:bodyDiv w:val="1"/>
      <w:marLeft w:val="0"/>
      <w:marRight w:val="0"/>
      <w:marTop w:val="0"/>
      <w:marBottom w:val="0"/>
      <w:divBdr>
        <w:top w:val="none" w:sz="0" w:space="0" w:color="auto"/>
        <w:left w:val="none" w:sz="0" w:space="0" w:color="auto"/>
        <w:bottom w:val="none" w:sz="0" w:space="0" w:color="auto"/>
        <w:right w:val="none" w:sz="0" w:space="0" w:color="auto"/>
      </w:divBdr>
    </w:div>
    <w:div w:id="864951089">
      <w:bodyDiv w:val="1"/>
      <w:marLeft w:val="0"/>
      <w:marRight w:val="0"/>
      <w:marTop w:val="0"/>
      <w:marBottom w:val="0"/>
      <w:divBdr>
        <w:top w:val="none" w:sz="0" w:space="0" w:color="auto"/>
        <w:left w:val="none" w:sz="0" w:space="0" w:color="auto"/>
        <w:bottom w:val="none" w:sz="0" w:space="0" w:color="auto"/>
        <w:right w:val="none" w:sz="0" w:space="0" w:color="auto"/>
      </w:divBdr>
    </w:div>
    <w:div w:id="866063594">
      <w:bodyDiv w:val="1"/>
      <w:marLeft w:val="0"/>
      <w:marRight w:val="0"/>
      <w:marTop w:val="0"/>
      <w:marBottom w:val="0"/>
      <w:divBdr>
        <w:top w:val="none" w:sz="0" w:space="0" w:color="auto"/>
        <w:left w:val="none" w:sz="0" w:space="0" w:color="auto"/>
        <w:bottom w:val="none" w:sz="0" w:space="0" w:color="auto"/>
        <w:right w:val="none" w:sz="0" w:space="0" w:color="auto"/>
      </w:divBdr>
    </w:div>
    <w:div w:id="910194243">
      <w:bodyDiv w:val="1"/>
      <w:marLeft w:val="0"/>
      <w:marRight w:val="0"/>
      <w:marTop w:val="0"/>
      <w:marBottom w:val="0"/>
      <w:divBdr>
        <w:top w:val="none" w:sz="0" w:space="0" w:color="auto"/>
        <w:left w:val="none" w:sz="0" w:space="0" w:color="auto"/>
        <w:bottom w:val="none" w:sz="0" w:space="0" w:color="auto"/>
        <w:right w:val="none" w:sz="0" w:space="0" w:color="auto"/>
      </w:divBdr>
    </w:div>
    <w:div w:id="932587630">
      <w:bodyDiv w:val="1"/>
      <w:marLeft w:val="0"/>
      <w:marRight w:val="0"/>
      <w:marTop w:val="0"/>
      <w:marBottom w:val="0"/>
      <w:divBdr>
        <w:top w:val="none" w:sz="0" w:space="0" w:color="auto"/>
        <w:left w:val="none" w:sz="0" w:space="0" w:color="auto"/>
        <w:bottom w:val="none" w:sz="0" w:space="0" w:color="auto"/>
        <w:right w:val="none" w:sz="0" w:space="0" w:color="auto"/>
      </w:divBdr>
    </w:div>
    <w:div w:id="938833628">
      <w:bodyDiv w:val="1"/>
      <w:marLeft w:val="0"/>
      <w:marRight w:val="0"/>
      <w:marTop w:val="0"/>
      <w:marBottom w:val="0"/>
      <w:divBdr>
        <w:top w:val="none" w:sz="0" w:space="0" w:color="auto"/>
        <w:left w:val="none" w:sz="0" w:space="0" w:color="auto"/>
        <w:bottom w:val="none" w:sz="0" w:space="0" w:color="auto"/>
        <w:right w:val="none" w:sz="0" w:space="0" w:color="auto"/>
      </w:divBdr>
      <w:divsChild>
        <w:div w:id="1461878712">
          <w:marLeft w:val="0"/>
          <w:marRight w:val="0"/>
          <w:marTop w:val="0"/>
          <w:marBottom w:val="0"/>
          <w:divBdr>
            <w:top w:val="none" w:sz="0" w:space="0" w:color="auto"/>
            <w:left w:val="none" w:sz="0" w:space="0" w:color="auto"/>
            <w:bottom w:val="none" w:sz="0" w:space="0" w:color="auto"/>
            <w:right w:val="none" w:sz="0" w:space="0" w:color="auto"/>
          </w:divBdr>
          <w:divsChild>
            <w:div w:id="1491286849">
              <w:marLeft w:val="0"/>
              <w:marRight w:val="0"/>
              <w:marTop w:val="0"/>
              <w:marBottom w:val="0"/>
              <w:divBdr>
                <w:top w:val="none" w:sz="0" w:space="0" w:color="auto"/>
                <w:left w:val="none" w:sz="0" w:space="0" w:color="auto"/>
                <w:bottom w:val="none" w:sz="0" w:space="0" w:color="auto"/>
                <w:right w:val="none" w:sz="0" w:space="0" w:color="auto"/>
              </w:divBdr>
            </w:div>
          </w:divsChild>
        </w:div>
        <w:div w:id="752750107">
          <w:marLeft w:val="0"/>
          <w:marRight w:val="0"/>
          <w:marTop w:val="0"/>
          <w:marBottom w:val="0"/>
          <w:divBdr>
            <w:top w:val="none" w:sz="0" w:space="0" w:color="auto"/>
            <w:left w:val="none" w:sz="0" w:space="0" w:color="auto"/>
            <w:bottom w:val="none" w:sz="0" w:space="0" w:color="auto"/>
            <w:right w:val="none" w:sz="0" w:space="0" w:color="auto"/>
          </w:divBdr>
          <w:divsChild>
            <w:div w:id="172887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667858">
      <w:bodyDiv w:val="1"/>
      <w:marLeft w:val="0"/>
      <w:marRight w:val="0"/>
      <w:marTop w:val="0"/>
      <w:marBottom w:val="0"/>
      <w:divBdr>
        <w:top w:val="none" w:sz="0" w:space="0" w:color="auto"/>
        <w:left w:val="none" w:sz="0" w:space="0" w:color="auto"/>
        <w:bottom w:val="none" w:sz="0" w:space="0" w:color="auto"/>
        <w:right w:val="none" w:sz="0" w:space="0" w:color="auto"/>
      </w:divBdr>
    </w:div>
    <w:div w:id="1022705072">
      <w:bodyDiv w:val="1"/>
      <w:marLeft w:val="0"/>
      <w:marRight w:val="0"/>
      <w:marTop w:val="0"/>
      <w:marBottom w:val="0"/>
      <w:divBdr>
        <w:top w:val="none" w:sz="0" w:space="0" w:color="auto"/>
        <w:left w:val="none" w:sz="0" w:space="0" w:color="auto"/>
        <w:bottom w:val="none" w:sz="0" w:space="0" w:color="auto"/>
        <w:right w:val="none" w:sz="0" w:space="0" w:color="auto"/>
      </w:divBdr>
    </w:div>
    <w:div w:id="1043210650">
      <w:bodyDiv w:val="1"/>
      <w:marLeft w:val="0"/>
      <w:marRight w:val="0"/>
      <w:marTop w:val="0"/>
      <w:marBottom w:val="0"/>
      <w:divBdr>
        <w:top w:val="none" w:sz="0" w:space="0" w:color="auto"/>
        <w:left w:val="none" w:sz="0" w:space="0" w:color="auto"/>
        <w:bottom w:val="none" w:sz="0" w:space="0" w:color="auto"/>
        <w:right w:val="none" w:sz="0" w:space="0" w:color="auto"/>
      </w:divBdr>
    </w:div>
    <w:div w:id="1194270620">
      <w:bodyDiv w:val="1"/>
      <w:marLeft w:val="0"/>
      <w:marRight w:val="0"/>
      <w:marTop w:val="0"/>
      <w:marBottom w:val="0"/>
      <w:divBdr>
        <w:top w:val="none" w:sz="0" w:space="0" w:color="auto"/>
        <w:left w:val="none" w:sz="0" w:space="0" w:color="auto"/>
        <w:bottom w:val="none" w:sz="0" w:space="0" w:color="auto"/>
        <w:right w:val="none" w:sz="0" w:space="0" w:color="auto"/>
      </w:divBdr>
    </w:div>
    <w:div w:id="1203790537">
      <w:bodyDiv w:val="1"/>
      <w:marLeft w:val="0"/>
      <w:marRight w:val="0"/>
      <w:marTop w:val="0"/>
      <w:marBottom w:val="0"/>
      <w:divBdr>
        <w:top w:val="none" w:sz="0" w:space="0" w:color="auto"/>
        <w:left w:val="none" w:sz="0" w:space="0" w:color="auto"/>
        <w:bottom w:val="none" w:sz="0" w:space="0" w:color="auto"/>
        <w:right w:val="none" w:sz="0" w:space="0" w:color="auto"/>
      </w:divBdr>
    </w:div>
    <w:div w:id="122240695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91883079">
      <w:bodyDiv w:val="1"/>
      <w:marLeft w:val="0"/>
      <w:marRight w:val="0"/>
      <w:marTop w:val="0"/>
      <w:marBottom w:val="0"/>
      <w:divBdr>
        <w:top w:val="none" w:sz="0" w:space="0" w:color="auto"/>
        <w:left w:val="none" w:sz="0" w:space="0" w:color="auto"/>
        <w:bottom w:val="none" w:sz="0" w:space="0" w:color="auto"/>
        <w:right w:val="none" w:sz="0" w:space="0" w:color="auto"/>
      </w:divBdr>
    </w:div>
    <w:div w:id="1442795265">
      <w:bodyDiv w:val="1"/>
      <w:marLeft w:val="0"/>
      <w:marRight w:val="0"/>
      <w:marTop w:val="0"/>
      <w:marBottom w:val="0"/>
      <w:divBdr>
        <w:top w:val="none" w:sz="0" w:space="0" w:color="auto"/>
        <w:left w:val="none" w:sz="0" w:space="0" w:color="auto"/>
        <w:bottom w:val="none" w:sz="0" w:space="0" w:color="auto"/>
        <w:right w:val="none" w:sz="0" w:space="0" w:color="auto"/>
      </w:divBdr>
    </w:div>
    <w:div w:id="1571689379">
      <w:bodyDiv w:val="1"/>
      <w:marLeft w:val="0"/>
      <w:marRight w:val="0"/>
      <w:marTop w:val="0"/>
      <w:marBottom w:val="0"/>
      <w:divBdr>
        <w:top w:val="none" w:sz="0" w:space="0" w:color="auto"/>
        <w:left w:val="none" w:sz="0" w:space="0" w:color="auto"/>
        <w:bottom w:val="none" w:sz="0" w:space="0" w:color="auto"/>
        <w:right w:val="none" w:sz="0" w:space="0" w:color="auto"/>
      </w:divBdr>
    </w:div>
    <w:div w:id="1583639110">
      <w:bodyDiv w:val="1"/>
      <w:marLeft w:val="0"/>
      <w:marRight w:val="0"/>
      <w:marTop w:val="0"/>
      <w:marBottom w:val="0"/>
      <w:divBdr>
        <w:top w:val="none" w:sz="0" w:space="0" w:color="auto"/>
        <w:left w:val="none" w:sz="0" w:space="0" w:color="auto"/>
        <w:bottom w:val="none" w:sz="0" w:space="0" w:color="auto"/>
        <w:right w:val="none" w:sz="0" w:space="0" w:color="auto"/>
      </w:divBdr>
    </w:div>
    <w:div w:id="1620137380">
      <w:bodyDiv w:val="1"/>
      <w:marLeft w:val="0"/>
      <w:marRight w:val="0"/>
      <w:marTop w:val="0"/>
      <w:marBottom w:val="0"/>
      <w:divBdr>
        <w:top w:val="none" w:sz="0" w:space="0" w:color="auto"/>
        <w:left w:val="none" w:sz="0" w:space="0" w:color="auto"/>
        <w:bottom w:val="none" w:sz="0" w:space="0" w:color="auto"/>
        <w:right w:val="none" w:sz="0" w:space="0" w:color="auto"/>
      </w:divBdr>
    </w:div>
    <w:div w:id="1624069791">
      <w:bodyDiv w:val="1"/>
      <w:marLeft w:val="0"/>
      <w:marRight w:val="0"/>
      <w:marTop w:val="0"/>
      <w:marBottom w:val="0"/>
      <w:divBdr>
        <w:top w:val="none" w:sz="0" w:space="0" w:color="auto"/>
        <w:left w:val="none" w:sz="0" w:space="0" w:color="auto"/>
        <w:bottom w:val="none" w:sz="0" w:space="0" w:color="auto"/>
        <w:right w:val="none" w:sz="0" w:space="0" w:color="auto"/>
      </w:divBdr>
    </w:div>
    <w:div w:id="1697383940">
      <w:bodyDiv w:val="1"/>
      <w:marLeft w:val="0"/>
      <w:marRight w:val="0"/>
      <w:marTop w:val="0"/>
      <w:marBottom w:val="0"/>
      <w:divBdr>
        <w:top w:val="none" w:sz="0" w:space="0" w:color="auto"/>
        <w:left w:val="none" w:sz="0" w:space="0" w:color="auto"/>
        <w:bottom w:val="none" w:sz="0" w:space="0" w:color="auto"/>
        <w:right w:val="none" w:sz="0" w:space="0" w:color="auto"/>
      </w:divBdr>
    </w:div>
    <w:div w:id="1724866852">
      <w:bodyDiv w:val="1"/>
      <w:marLeft w:val="0"/>
      <w:marRight w:val="0"/>
      <w:marTop w:val="0"/>
      <w:marBottom w:val="0"/>
      <w:divBdr>
        <w:top w:val="none" w:sz="0" w:space="0" w:color="auto"/>
        <w:left w:val="none" w:sz="0" w:space="0" w:color="auto"/>
        <w:bottom w:val="none" w:sz="0" w:space="0" w:color="auto"/>
        <w:right w:val="none" w:sz="0" w:space="0" w:color="auto"/>
      </w:divBdr>
    </w:div>
    <w:div w:id="1821995934">
      <w:bodyDiv w:val="1"/>
      <w:marLeft w:val="0"/>
      <w:marRight w:val="0"/>
      <w:marTop w:val="0"/>
      <w:marBottom w:val="0"/>
      <w:divBdr>
        <w:top w:val="none" w:sz="0" w:space="0" w:color="auto"/>
        <w:left w:val="none" w:sz="0" w:space="0" w:color="auto"/>
        <w:bottom w:val="none" w:sz="0" w:space="0" w:color="auto"/>
        <w:right w:val="none" w:sz="0" w:space="0" w:color="auto"/>
      </w:divBdr>
    </w:div>
    <w:div w:id="1844196729">
      <w:bodyDiv w:val="1"/>
      <w:marLeft w:val="0"/>
      <w:marRight w:val="0"/>
      <w:marTop w:val="0"/>
      <w:marBottom w:val="0"/>
      <w:divBdr>
        <w:top w:val="none" w:sz="0" w:space="0" w:color="auto"/>
        <w:left w:val="none" w:sz="0" w:space="0" w:color="auto"/>
        <w:bottom w:val="none" w:sz="0" w:space="0" w:color="auto"/>
        <w:right w:val="none" w:sz="0" w:space="0" w:color="auto"/>
      </w:divBdr>
    </w:div>
    <w:div w:id="1997103245">
      <w:bodyDiv w:val="1"/>
      <w:marLeft w:val="0"/>
      <w:marRight w:val="0"/>
      <w:marTop w:val="0"/>
      <w:marBottom w:val="0"/>
      <w:divBdr>
        <w:top w:val="none" w:sz="0" w:space="0" w:color="auto"/>
        <w:left w:val="none" w:sz="0" w:space="0" w:color="auto"/>
        <w:bottom w:val="none" w:sz="0" w:space="0" w:color="auto"/>
        <w:right w:val="none" w:sz="0" w:space="0" w:color="auto"/>
      </w:divBdr>
    </w:div>
    <w:div w:id="1997493031">
      <w:bodyDiv w:val="1"/>
      <w:marLeft w:val="0"/>
      <w:marRight w:val="0"/>
      <w:marTop w:val="0"/>
      <w:marBottom w:val="0"/>
      <w:divBdr>
        <w:top w:val="none" w:sz="0" w:space="0" w:color="auto"/>
        <w:left w:val="none" w:sz="0" w:space="0" w:color="auto"/>
        <w:bottom w:val="none" w:sz="0" w:space="0" w:color="auto"/>
        <w:right w:val="none" w:sz="0" w:space="0" w:color="auto"/>
      </w:divBdr>
    </w:div>
    <w:div w:id="2030905743">
      <w:bodyDiv w:val="1"/>
      <w:marLeft w:val="0"/>
      <w:marRight w:val="0"/>
      <w:marTop w:val="0"/>
      <w:marBottom w:val="0"/>
      <w:divBdr>
        <w:top w:val="none" w:sz="0" w:space="0" w:color="auto"/>
        <w:left w:val="none" w:sz="0" w:space="0" w:color="auto"/>
        <w:bottom w:val="none" w:sz="0" w:space="0" w:color="auto"/>
        <w:right w:val="none" w:sz="0" w:space="0" w:color="auto"/>
      </w:divBdr>
    </w:div>
    <w:div w:id="2114087025">
      <w:bodyDiv w:val="1"/>
      <w:marLeft w:val="0"/>
      <w:marRight w:val="0"/>
      <w:marTop w:val="0"/>
      <w:marBottom w:val="0"/>
      <w:divBdr>
        <w:top w:val="none" w:sz="0" w:space="0" w:color="auto"/>
        <w:left w:val="none" w:sz="0" w:space="0" w:color="auto"/>
        <w:bottom w:val="none" w:sz="0" w:space="0" w:color="auto"/>
        <w:right w:val="none" w:sz="0" w:space="0" w:color="auto"/>
      </w:divBdr>
    </w:div>
    <w:div w:id="2115712201">
      <w:bodyDiv w:val="1"/>
      <w:marLeft w:val="0"/>
      <w:marRight w:val="0"/>
      <w:marTop w:val="0"/>
      <w:marBottom w:val="0"/>
      <w:divBdr>
        <w:top w:val="none" w:sz="0" w:space="0" w:color="auto"/>
        <w:left w:val="none" w:sz="0" w:space="0" w:color="auto"/>
        <w:bottom w:val="none" w:sz="0" w:space="0" w:color="auto"/>
        <w:right w:val="none" w:sz="0" w:space="0" w:color="auto"/>
      </w:divBdr>
    </w:div>
    <w:div w:id="2127656506">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CD81906E-852D-40B1-8354-69BD1C3EC5D5}">
  <ds:schemaRefs>
    <ds:schemaRef ds:uri="http://schemas.openxmlformats.org/officeDocument/2006/bibliography"/>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E08BEEA0-C8AC-4A27-9B73-94EB3CBB7A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3492BD-0C06-429E-90DC-E65713642BFA}">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4207</Words>
  <Characters>23140</Characters>
  <Application>Microsoft Office Word</Application>
  <DocSecurity>0</DocSecurity>
  <Lines>192</Lines>
  <Paragraphs>54</Paragraphs>
  <ScaleCrop>false</ScaleCrop>
  <Company/>
  <LinksUpToDate>false</LinksUpToDate>
  <CharactersWithSpaces>27293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11</cp:revision>
  <cp:lastPrinted>2020-01-30T15:05:00Z</cp:lastPrinted>
  <dcterms:created xsi:type="dcterms:W3CDTF">2020-05-06T22:24:00Z</dcterms:created>
  <dcterms:modified xsi:type="dcterms:W3CDTF">2020-08-04T12:20:00Z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