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4C4BF" w14:textId="77777777" w:rsidR="00714833" w:rsidRPr="00F176B9" w:rsidRDefault="00714833" w:rsidP="00F176B9">
      <w:pPr>
        <w:tabs>
          <w:tab w:val="left" w:pos="426"/>
        </w:tabs>
        <w:spacing w:after="0" w:line="240" w:lineRule="auto"/>
        <w:rPr>
          <w:rFonts w:ascii="Arial" w:eastAsia="Calibri" w:hAnsi="Arial" w:cs="Arial"/>
          <w:noProof/>
          <w:sz w:val="20"/>
          <w:szCs w:val="20"/>
          <w:lang w:val="es-ES_tradnl"/>
        </w:rPr>
      </w:pPr>
      <w:bookmarkStart w:id="0" w:name="_Hlk78821436"/>
    </w:p>
    <w:p w14:paraId="3CA2361A" w14:textId="77777777" w:rsidR="001453EF" w:rsidRPr="003F3340" w:rsidRDefault="001453EF" w:rsidP="001453EF">
      <w:pPr>
        <w:tabs>
          <w:tab w:val="left" w:pos="426"/>
        </w:tabs>
        <w:spacing w:after="0" w:line="240" w:lineRule="auto"/>
        <w:rPr>
          <w:rFonts w:ascii="Arial" w:eastAsia="Calibri" w:hAnsi="Arial" w:cs="Arial"/>
          <w:b/>
          <w:bCs/>
          <w:sz w:val="22"/>
        </w:rPr>
      </w:pPr>
      <w:bookmarkStart w:id="1" w:name="_Hlk77165666"/>
      <w:r w:rsidRPr="003F3340">
        <w:rPr>
          <w:rFonts w:ascii="Arial" w:eastAsia="Calibri" w:hAnsi="Arial" w:cs="Arial"/>
          <w:b/>
          <w:bCs/>
          <w:sz w:val="22"/>
        </w:rPr>
        <w:t xml:space="preserve">LEY DE GARANTÍAS ELECTORALES ‒ Finalidad </w:t>
      </w:r>
    </w:p>
    <w:p w14:paraId="3602575E" w14:textId="77777777" w:rsidR="001453EF" w:rsidRPr="00523017" w:rsidRDefault="001453EF" w:rsidP="001453EF">
      <w:pPr>
        <w:tabs>
          <w:tab w:val="left" w:pos="426"/>
        </w:tabs>
        <w:spacing w:after="0" w:line="240" w:lineRule="auto"/>
        <w:rPr>
          <w:rFonts w:ascii="Arial" w:eastAsia="Calibri" w:hAnsi="Arial" w:cs="Arial"/>
          <w:b/>
          <w:bCs/>
          <w:sz w:val="20"/>
          <w:szCs w:val="20"/>
        </w:rPr>
      </w:pPr>
    </w:p>
    <w:p w14:paraId="12DE7569" w14:textId="77777777" w:rsidR="001453EF" w:rsidRDefault="001453EF" w:rsidP="001453EF">
      <w:pPr>
        <w:tabs>
          <w:tab w:val="left" w:pos="426"/>
        </w:tabs>
        <w:spacing w:after="0" w:line="240" w:lineRule="auto"/>
        <w:rPr>
          <w:rFonts w:ascii="Arial" w:eastAsia="Calibri" w:hAnsi="Arial" w:cs="Arial"/>
          <w:bCs/>
          <w:noProof/>
          <w:sz w:val="20"/>
          <w:szCs w:val="20"/>
        </w:rPr>
      </w:pPr>
      <w:r w:rsidRPr="00523017">
        <w:rPr>
          <w:rFonts w:ascii="Arial" w:eastAsia="Calibri" w:hAnsi="Arial" w:cs="Arial"/>
          <w:noProof/>
          <w:sz w:val="20"/>
          <w:szCs w:val="20"/>
          <w:lang w:val="es-ES_tradnl"/>
        </w:rPr>
        <w:t xml:space="preserve">[…] </w:t>
      </w:r>
      <w:r w:rsidRPr="004F1089">
        <w:rPr>
          <w:rFonts w:ascii="Arial" w:eastAsia="Calibri" w:hAnsi="Arial" w:cs="Arial"/>
          <w:bCs/>
          <w:noProof/>
          <w:sz w:val="20"/>
          <w:szCs w:val="20"/>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Pr>
          <w:rFonts w:ascii="Arial" w:eastAsia="Calibri" w:hAnsi="Arial" w:cs="Arial"/>
          <w:bCs/>
          <w:noProof/>
          <w:sz w:val="20"/>
          <w:szCs w:val="20"/>
        </w:rPr>
        <w:t>.</w:t>
      </w:r>
    </w:p>
    <w:p w14:paraId="7B4B02D3" w14:textId="77777777" w:rsidR="001453EF" w:rsidRPr="00523017" w:rsidRDefault="001453EF" w:rsidP="001453EF">
      <w:pPr>
        <w:tabs>
          <w:tab w:val="left" w:pos="426"/>
        </w:tabs>
        <w:spacing w:after="0" w:line="240" w:lineRule="auto"/>
        <w:rPr>
          <w:rFonts w:ascii="Arial" w:eastAsia="Calibri" w:hAnsi="Arial" w:cs="Arial"/>
          <w:noProof/>
          <w:sz w:val="20"/>
          <w:szCs w:val="20"/>
          <w:lang w:val="es-ES_tradnl"/>
        </w:rPr>
      </w:pPr>
    </w:p>
    <w:p w14:paraId="07B85603" w14:textId="77777777" w:rsidR="001453EF" w:rsidRPr="003F3340" w:rsidRDefault="001453EF" w:rsidP="001453EF">
      <w:pPr>
        <w:tabs>
          <w:tab w:val="left" w:pos="426"/>
        </w:tabs>
        <w:spacing w:after="0" w:line="240" w:lineRule="auto"/>
        <w:rPr>
          <w:rFonts w:ascii="Arial" w:eastAsia="Calibri" w:hAnsi="Arial" w:cs="Arial"/>
          <w:b/>
          <w:noProof/>
          <w:sz w:val="22"/>
        </w:rPr>
      </w:pPr>
      <w:r w:rsidRPr="003F3340">
        <w:rPr>
          <w:rFonts w:ascii="Arial" w:eastAsia="Calibri" w:hAnsi="Arial" w:cs="Arial"/>
          <w:b/>
          <w:noProof/>
          <w:sz w:val="22"/>
        </w:rPr>
        <w:t xml:space="preserve">LEY DE GARANTÍAS ELECTORALES </w:t>
      </w:r>
      <w:r w:rsidRPr="003F3340">
        <w:rPr>
          <w:rFonts w:ascii="Arial" w:eastAsia="Calibri" w:hAnsi="Arial" w:cs="Arial"/>
          <w:bCs/>
          <w:noProof/>
          <w:sz w:val="22"/>
        </w:rPr>
        <w:t>–</w:t>
      </w:r>
      <w:r w:rsidRPr="003F3340">
        <w:rPr>
          <w:rFonts w:ascii="Arial" w:eastAsia="Calibri" w:hAnsi="Arial" w:cs="Arial"/>
          <w:b/>
          <w:noProof/>
          <w:sz w:val="22"/>
        </w:rPr>
        <w:t xml:space="preserve"> Restricciones – Contratación – Tipos de elección</w:t>
      </w:r>
    </w:p>
    <w:p w14:paraId="45C86038" w14:textId="77777777" w:rsidR="001453EF" w:rsidRPr="00523017" w:rsidRDefault="001453EF" w:rsidP="001453EF">
      <w:pPr>
        <w:tabs>
          <w:tab w:val="left" w:pos="426"/>
        </w:tabs>
        <w:spacing w:after="0" w:line="240" w:lineRule="auto"/>
        <w:rPr>
          <w:rFonts w:ascii="Arial" w:eastAsia="Calibri" w:hAnsi="Arial" w:cs="Arial"/>
          <w:noProof/>
          <w:sz w:val="20"/>
          <w:szCs w:val="20"/>
        </w:rPr>
      </w:pPr>
    </w:p>
    <w:p w14:paraId="332027DA" w14:textId="77777777" w:rsidR="001453EF" w:rsidRPr="00977E05" w:rsidRDefault="001453EF" w:rsidP="001453EF">
      <w:pPr>
        <w:tabs>
          <w:tab w:val="left" w:pos="426"/>
        </w:tabs>
        <w:spacing w:after="0" w:line="240" w:lineRule="auto"/>
        <w:rPr>
          <w:rFonts w:ascii="Arial" w:eastAsia="Calibri" w:hAnsi="Arial" w:cs="Arial"/>
          <w:noProof/>
          <w:sz w:val="20"/>
          <w:szCs w:val="20"/>
          <w:lang w:val="es-ES_tradnl" w:bidi="es-ES"/>
        </w:rPr>
      </w:pPr>
      <w:r>
        <w:rPr>
          <w:rFonts w:ascii="Arial" w:eastAsia="Calibri" w:hAnsi="Arial" w:cs="Arial"/>
          <w:noProof/>
          <w:sz w:val="20"/>
          <w:szCs w:val="20"/>
          <w:lang w:val="es-ES_tradnl" w:bidi="es-ES"/>
        </w:rPr>
        <w:t xml:space="preserve">[…] </w:t>
      </w:r>
      <w:r w:rsidRPr="00977E05">
        <w:rPr>
          <w:rFonts w:ascii="Arial" w:eastAsia="Calibri" w:hAnsi="Arial" w:cs="Arial"/>
          <w:noProof/>
          <w:sz w:val="20"/>
          <w:szCs w:val="20"/>
          <w:lang w:val="es-ES_tradnl" w:bidi="es-ES"/>
        </w:rPr>
        <w:t xml:space="preserve">la Ley 996 de 2005 establece dos (2) tipos de restricciones en materia de contratación, las cuales coinciden parcialmente. </w:t>
      </w:r>
      <w:r w:rsidRPr="00977E05">
        <w:rPr>
          <w:rFonts w:ascii="Arial" w:eastAsia="Calibri" w:hAnsi="Arial" w:cs="Arial"/>
          <w:i/>
          <w:iCs/>
          <w:noProof/>
          <w:sz w:val="20"/>
          <w:szCs w:val="20"/>
          <w:lang w:val="es-ES_tradnl" w:bidi="es-ES"/>
        </w:rPr>
        <w:t>En primer lugar</w:t>
      </w:r>
      <w:r w:rsidRPr="00977E05">
        <w:rPr>
          <w:rFonts w:ascii="Arial" w:eastAsia="Calibri" w:hAnsi="Arial" w:cs="Arial"/>
          <w:noProof/>
          <w:sz w:val="20"/>
          <w:szCs w:val="20"/>
          <w:lang w:val="es-ES_tradnl"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977E05">
        <w:rPr>
          <w:rFonts w:ascii="Arial" w:eastAsia="Calibri" w:hAnsi="Arial" w:cs="Arial"/>
          <w:i/>
          <w:iCs/>
          <w:noProof/>
          <w:sz w:val="20"/>
          <w:szCs w:val="20"/>
          <w:lang w:val="es-ES_tradnl" w:bidi="es-ES"/>
        </w:rPr>
        <w:t>En segundo lugar</w:t>
      </w:r>
      <w:r w:rsidRPr="00977E05">
        <w:rPr>
          <w:rFonts w:ascii="Arial" w:eastAsia="Calibri" w:hAnsi="Arial" w:cs="Arial"/>
          <w:noProof/>
          <w:sz w:val="20"/>
          <w:szCs w:val="20"/>
          <w:lang w:val="es-ES_tradnl"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3A5920F" w14:textId="77777777" w:rsidR="001453EF" w:rsidRPr="00523017" w:rsidRDefault="001453EF" w:rsidP="001453EF">
      <w:pPr>
        <w:tabs>
          <w:tab w:val="left" w:pos="426"/>
        </w:tabs>
        <w:spacing w:after="0" w:line="240" w:lineRule="auto"/>
        <w:rPr>
          <w:rFonts w:ascii="Arial" w:eastAsia="Calibri" w:hAnsi="Arial" w:cs="Arial"/>
          <w:noProof/>
          <w:sz w:val="20"/>
          <w:szCs w:val="20"/>
          <w:lang w:val="es-CO"/>
        </w:rPr>
      </w:pPr>
    </w:p>
    <w:p w14:paraId="31E14EAC" w14:textId="77777777" w:rsidR="001453EF" w:rsidRPr="003F3340" w:rsidRDefault="001453EF" w:rsidP="001453EF">
      <w:pPr>
        <w:tabs>
          <w:tab w:val="left" w:pos="426"/>
        </w:tabs>
        <w:spacing w:after="0" w:line="240" w:lineRule="auto"/>
        <w:rPr>
          <w:rFonts w:ascii="Arial" w:eastAsia="Calibri" w:hAnsi="Arial" w:cs="Arial"/>
          <w:b/>
          <w:noProof/>
          <w:sz w:val="22"/>
        </w:rPr>
      </w:pPr>
      <w:r w:rsidRPr="003F3340">
        <w:rPr>
          <w:rFonts w:ascii="Arial" w:eastAsia="Calibri" w:hAnsi="Arial" w:cs="Arial"/>
          <w:b/>
          <w:noProof/>
          <w:sz w:val="22"/>
        </w:rPr>
        <w:t>LEY DE GARANTÍAS ELECTORALES ‒ Suscripción de cesiones – Requisitos</w:t>
      </w:r>
    </w:p>
    <w:p w14:paraId="2B93F4D4" w14:textId="77777777" w:rsidR="001453EF" w:rsidRPr="00523017" w:rsidRDefault="001453EF" w:rsidP="001453EF">
      <w:pPr>
        <w:tabs>
          <w:tab w:val="left" w:pos="426"/>
        </w:tabs>
        <w:spacing w:after="0" w:line="240" w:lineRule="auto"/>
        <w:rPr>
          <w:rFonts w:ascii="Arial" w:eastAsia="Calibri" w:hAnsi="Arial" w:cs="Arial"/>
          <w:noProof/>
          <w:sz w:val="20"/>
          <w:szCs w:val="20"/>
          <w:lang w:val="es-ES"/>
        </w:rPr>
      </w:pPr>
    </w:p>
    <w:p w14:paraId="66242269" w14:textId="77777777" w:rsidR="001453EF" w:rsidRDefault="001453EF" w:rsidP="001453EF">
      <w:pPr>
        <w:tabs>
          <w:tab w:val="left" w:pos="426"/>
        </w:tabs>
        <w:spacing w:after="0" w:line="240" w:lineRule="auto"/>
        <w:rPr>
          <w:rFonts w:ascii="Arial" w:eastAsia="Calibri" w:hAnsi="Arial" w:cs="Arial"/>
          <w:bCs/>
          <w:noProof/>
          <w:sz w:val="20"/>
          <w:szCs w:val="20"/>
        </w:rPr>
      </w:pPr>
      <w:r>
        <w:rPr>
          <w:rFonts w:ascii="Arial" w:eastAsia="Calibri" w:hAnsi="Arial" w:cs="Arial"/>
          <w:bCs/>
          <w:noProof/>
          <w:sz w:val="20"/>
          <w:szCs w:val="20"/>
        </w:rPr>
        <w:t xml:space="preserve">[…] </w:t>
      </w:r>
      <w:r w:rsidRPr="009C3AFE">
        <w:rPr>
          <w:rFonts w:ascii="Arial" w:eastAsia="Calibri" w:hAnsi="Arial" w:cs="Arial"/>
          <w:bCs/>
          <w:noProof/>
          <w:sz w:val="20"/>
          <w:szCs w:val="20"/>
        </w:rPr>
        <w:t xml:space="preserve">la suscripción de cesiones de contratos suscritos antes del inicio del período durante el que rigen las restricciones de los artículos 33 y 38 de la Ley 996 de 2005, no se encuentra dentro del ámbito de aplicación de dichas normas. Esto significa que, las entidades estatales pueden válidamente realizar tales actuaciones sobre los contratos que se encuentren vigentes, incluso en el transcurso de los períodos preelectorales en los que las aludidas restricciones tienen vigor. Lo anterior, toda vez que las referidas normas no prohíben la suscripción de cesiones de contratos. </w:t>
      </w:r>
    </w:p>
    <w:p w14:paraId="1348F53B" w14:textId="77777777" w:rsidR="001453EF" w:rsidRPr="009C3AFE" w:rsidRDefault="001453EF" w:rsidP="001453EF">
      <w:pPr>
        <w:tabs>
          <w:tab w:val="left" w:pos="426"/>
        </w:tabs>
        <w:spacing w:after="0" w:line="240" w:lineRule="auto"/>
        <w:rPr>
          <w:rFonts w:ascii="Arial" w:eastAsia="Calibri" w:hAnsi="Arial" w:cs="Arial"/>
          <w:bCs/>
          <w:noProof/>
          <w:sz w:val="20"/>
          <w:szCs w:val="20"/>
        </w:rPr>
      </w:pPr>
    </w:p>
    <w:p w14:paraId="70F49F2A" w14:textId="77777777" w:rsidR="001453EF" w:rsidRPr="009C3AFE" w:rsidRDefault="001453EF" w:rsidP="001453EF">
      <w:pPr>
        <w:tabs>
          <w:tab w:val="left" w:pos="426"/>
        </w:tabs>
        <w:spacing w:after="0" w:line="240" w:lineRule="auto"/>
        <w:rPr>
          <w:rFonts w:ascii="Arial" w:eastAsia="Calibri" w:hAnsi="Arial" w:cs="Arial"/>
          <w:bCs/>
          <w:noProof/>
          <w:sz w:val="20"/>
          <w:szCs w:val="20"/>
        </w:rPr>
      </w:pPr>
      <w:r w:rsidRPr="009C3AFE">
        <w:rPr>
          <w:rFonts w:ascii="Arial" w:eastAsia="Calibri" w:hAnsi="Arial" w:cs="Arial"/>
          <w:bCs/>
          <w:noProof/>
          <w:sz w:val="20"/>
          <w:szCs w:val="20"/>
        </w:rPr>
        <w:t xml:space="preserve">Cabe resaltar que, tal posibilidad se encuentra supeditada a que las cesiones, se realicen conforme a las demás normas que deban ser aplicadas para la realización de estas actuaciones, de suerte que, al margen de la no transgresión de la Ley de Garantías, con su celebración no se contravengan otras disposiciones del marco jurídico que les aplica. Adicionalmente, según lo manifestado por la Procuraduría General de la Nación en las circulares Nos. 016 del 3 de septiembre de 2013, 005 del 7 de abril de 2015 y 007 del 22 de mayo de 2017, así como por esta Agencia en las circulares Nos. 3 de 16 de agosto de 2013, 19 de 30 de julio de 2015, 24 de 12 de mayo de 2017 y la Circular Externa Única, al igual que por el Departamento Administrativo de la Presidencia de la República en conjunto con el Departamento Administrativo de la Función Pública en la Circular Conjunta 100-006 del 16 de </w:t>
      </w:r>
      <w:r w:rsidRPr="009C3AFE">
        <w:rPr>
          <w:rFonts w:ascii="Arial" w:eastAsia="Calibri" w:hAnsi="Arial" w:cs="Arial"/>
          <w:bCs/>
          <w:noProof/>
          <w:sz w:val="20"/>
          <w:szCs w:val="20"/>
        </w:rPr>
        <w:lastRenderedPageBreak/>
        <w:t>noviembre de 2021, resulta indispensable que en la celebración de prórrogas, adiciones, modificaciones o cesiones de contratos, durante la vigencia de la Ley de Garantías, se cumplan los principios de planeación, transparencia y responsabilidad.</w:t>
      </w:r>
    </w:p>
    <w:p w14:paraId="738AFA14" w14:textId="77777777" w:rsidR="001453EF" w:rsidRDefault="001453EF" w:rsidP="001453EF">
      <w:pPr>
        <w:rPr>
          <w:rFonts w:ascii="Arial" w:eastAsia="Calibri" w:hAnsi="Arial" w:cs="Arial"/>
          <w:noProof/>
          <w:sz w:val="20"/>
          <w:szCs w:val="20"/>
          <w:lang w:val="es-ES"/>
        </w:rPr>
      </w:pPr>
      <w:r>
        <w:rPr>
          <w:rFonts w:ascii="Arial" w:eastAsia="Calibri" w:hAnsi="Arial" w:cs="Arial"/>
          <w:noProof/>
          <w:sz w:val="20"/>
          <w:szCs w:val="20"/>
          <w:lang w:val="es-ES"/>
        </w:rPr>
        <w:br w:type="page"/>
      </w:r>
    </w:p>
    <w:bookmarkEnd w:id="1"/>
    <w:bookmarkEnd w:id="0"/>
    <w:p w14:paraId="202820AD" w14:textId="671F1875" w:rsidR="00D228A3" w:rsidRDefault="001D59BA" w:rsidP="001D59BA">
      <w:pPr>
        <w:spacing w:after="0" w:line="240" w:lineRule="auto"/>
        <w:jc w:val="right"/>
        <w:rPr>
          <w:rFonts w:ascii="Arial" w:eastAsia="Calibri" w:hAnsi="Arial" w:cs="Arial"/>
          <w:sz w:val="22"/>
          <w:lang w:val="es-CO"/>
        </w:rPr>
      </w:pPr>
      <w:r w:rsidRPr="001D59BA">
        <w:rPr>
          <w:rFonts w:ascii="Arial" w:eastAsia="Calibri" w:hAnsi="Arial" w:cs="Arial"/>
          <w:noProof/>
          <w:sz w:val="22"/>
          <w:lang w:val="es-CO"/>
        </w:rPr>
        <w:lastRenderedPageBreak/>
        <w:drawing>
          <wp:inline distT="0" distB="0" distL="0" distR="0" wp14:anchorId="65356D4F" wp14:editId="3D83EDDC">
            <wp:extent cx="3550285" cy="832339"/>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72769" cy="837610"/>
                    </a:xfrm>
                    <a:prstGeom prst="rect">
                      <a:avLst/>
                    </a:prstGeom>
                    <a:noFill/>
                    <a:ln>
                      <a:noFill/>
                    </a:ln>
                  </pic:spPr>
                </pic:pic>
              </a:graphicData>
            </a:graphic>
          </wp:inline>
        </w:drawing>
      </w:r>
    </w:p>
    <w:p w14:paraId="6BDF4F1E" w14:textId="77777777" w:rsidR="006E74A5" w:rsidRDefault="006E74A5" w:rsidP="00F176B9">
      <w:pPr>
        <w:spacing w:after="0" w:line="240" w:lineRule="auto"/>
        <w:rPr>
          <w:rFonts w:ascii="Arial" w:eastAsia="Calibri" w:hAnsi="Arial" w:cs="Arial"/>
          <w:sz w:val="22"/>
          <w:lang w:val="es-CO"/>
        </w:rPr>
      </w:pPr>
    </w:p>
    <w:p w14:paraId="02FCA8A3" w14:textId="77777777" w:rsidR="006E74A5" w:rsidRDefault="006E74A5" w:rsidP="00F176B9">
      <w:pPr>
        <w:spacing w:after="0" w:line="240" w:lineRule="auto"/>
        <w:rPr>
          <w:rFonts w:ascii="Arial" w:eastAsia="Calibri" w:hAnsi="Arial" w:cs="Arial"/>
          <w:sz w:val="22"/>
          <w:lang w:val="es-CO"/>
        </w:rPr>
      </w:pPr>
    </w:p>
    <w:p w14:paraId="5C57C696" w14:textId="77777777" w:rsidR="006E74A5" w:rsidRDefault="006E74A5" w:rsidP="00F176B9">
      <w:pPr>
        <w:spacing w:after="0" w:line="240" w:lineRule="auto"/>
        <w:rPr>
          <w:rFonts w:ascii="Arial" w:eastAsia="Calibri" w:hAnsi="Arial" w:cs="Arial"/>
          <w:sz w:val="22"/>
          <w:lang w:val="es-CO"/>
        </w:rPr>
      </w:pPr>
    </w:p>
    <w:p w14:paraId="6156B69A" w14:textId="77777777" w:rsidR="006E74A5" w:rsidRDefault="006E74A5" w:rsidP="00F176B9">
      <w:pPr>
        <w:spacing w:after="0" w:line="240" w:lineRule="auto"/>
        <w:rPr>
          <w:rFonts w:ascii="Arial" w:eastAsia="Calibri" w:hAnsi="Arial" w:cs="Arial"/>
          <w:sz w:val="22"/>
          <w:lang w:val="es-CO"/>
        </w:rPr>
      </w:pPr>
    </w:p>
    <w:p w14:paraId="6A81B1B9" w14:textId="4010D8B7" w:rsidR="00303D47" w:rsidRPr="00F176B9" w:rsidRDefault="004653E7" w:rsidP="00F176B9">
      <w:pPr>
        <w:spacing w:after="0" w:line="240" w:lineRule="auto"/>
        <w:rPr>
          <w:rFonts w:ascii="Arial" w:eastAsia="Calibri" w:hAnsi="Arial" w:cs="Arial"/>
          <w:sz w:val="22"/>
          <w:lang w:val="es-CO"/>
        </w:rPr>
      </w:pPr>
      <w:r w:rsidRPr="00F176B9">
        <w:rPr>
          <w:rFonts w:ascii="Arial" w:eastAsia="Calibri" w:hAnsi="Arial" w:cs="Arial"/>
          <w:sz w:val="22"/>
          <w:lang w:val="es-CO"/>
        </w:rPr>
        <w:t>Señor</w:t>
      </w:r>
    </w:p>
    <w:p w14:paraId="38F5C0DE" w14:textId="47C53FBD" w:rsidR="004653E7" w:rsidRPr="00F176B9" w:rsidRDefault="00C11C22" w:rsidP="00F176B9">
      <w:pPr>
        <w:spacing w:after="0" w:line="240" w:lineRule="auto"/>
        <w:rPr>
          <w:rFonts w:ascii="Arial" w:eastAsia="Calibri" w:hAnsi="Arial" w:cs="Arial"/>
          <w:b/>
          <w:sz w:val="22"/>
          <w:lang w:val="es-CO"/>
        </w:rPr>
      </w:pPr>
      <w:r>
        <w:rPr>
          <w:rFonts w:ascii="Arial" w:eastAsia="Calibri" w:hAnsi="Arial" w:cs="Arial"/>
          <w:b/>
          <w:sz w:val="22"/>
          <w:lang w:val="es-CO"/>
        </w:rPr>
        <w:t>Yesid Francisco Perea Mosquera</w:t>
      </w:r>
    </w:p>
    <w:p w14:paraId="72352372" w14:textId="706D7FE6" w:rsidR="00303D47" w:rsidRPr="00F176B9" w:rsidRDefault="006D44E6" w:rsidP="00F176B9">
      <w:pPr>
        <w:spacing w:after="0" w:line="240" w:lineRule="auto"/>
        <w:rPr>
          <w:rFonts w:ascii="Arial" w:eastAsia="Calibri" w:hAnsi="Arial" w:cs="Arial"/>
          <w:sz w:val="22"/>
          <w:lang w:val="es-CO"/>
        </w:rPr>
      </w:pPr>
      <w:r>
        <w:rPr>
          <w:rFonts w:ascii="Arial" w:eastAsia="Calibri" w:hAnsi="Arial" w:cs="Arial"/>
          <w:sz w:val="22"/>
          <w:lang w:val="es-CO"/>
        </w:rPr>
        <w:t>Quibdó</w:t>
      </w:r>
      <w:r w:rsidR="006E74A5">
        <w:rPr>
          <w:rFonts w:ascii="Arial" w:eastAsia="Calibri" w:hAnsi="Arial" w:cs="Arial"/>
          <w:sz w:val="22"/>
          <w:lang w:val="es-CO"/>
        </w:rPr>
        <w:t>, Chocó</w:t>
      </w:r>
    </w:p>
    <w:p w14:paraId="20C73A65" w14:textId="77777777" w:rsidR="002B72C0" w:rsidRPr="00F176B9" w:rsidRDefault="002B72C0" w:rsidP="00F176B9">
      <w:pPr>
        <w:spacing w:after="0" w:line="240" w:lineRule="auto"/>
        <w:rPr>
          <w:rFonts w:ascii="Arial" w:eastAsia="Calibri" w:hAnsi="Arial" w:cs="Arial"/>
          <w:sz w:val="22"/>
          <w:lang w:val="es-CO"/>
        </w:rPr>
      </w:pPr>
    </w:p>
    <w:p w14:paraId="6316E3D6" w14:textId="1037F097" w:rsidR="00FE0395" w:rsidRPr="00F176B9" w:rsidRDefault="00904CD9" w:rsidP="00F176B9">
      <w:pPr>
        <w:spacing w:after="0" w:line="240" w:lineRule="auto"/>
        <w:rPr>
          <w:rFonts w:ascii="Arial" w:hAnsi="Arial" w:cs="Arial"/>
          <w:sz w:val="22"/>
          <w:lang w:val="es-CO"/>
        </w:rPr>
      </w:pPr>
      <w:r w:rsidRPr="00F176B9">
        <w:rPr>
          <w:rFonts w:ascii="Arial" w:eastAsia="Calibri" w:hAnsi="Arial" w:cs="Arial"/>
          <w:sz w:val="22"/>
          <w:lang w:val="es-CO"/>
        </w:rPr>
        <w:t xml:space="preserve">                                            </w:t>
      </w:r>
      <w:r w:rsidRPr="00F176B9">
        <w:rPr>
          <w:rFonts w:ascii="Arial" w:eastAsia="Calibri" w:hAnsi="Arial" w:cs="Arial"/>
          <w:b/>
          <w:sz w:val="22"/>
          <w:lang w:val="es-CO"/>
        </w:rPr>
        <w:t>Concepto C –</w:t>
      </w:r>
      <w:r w:rsidR="000E190F" w:rsidRPr="00F176B9">
        <w:rPr>
          <w:rFonts w:ascii="Arial" w:eastAsia="Calibri" w:hAnsi="Arial" w:cs="Arial"/>
          <w:b/>
          <w:sz w:val="22"/>
          <w:lang w:val="es-CO"/>
        </w:rPr>
        <w:t xml:space="preserve"> </w:t>
      </w:r>
      <w:r w:rsidR="00C11C22">
        <w:rPr>
          <w:rFonts w:ascii="Arial" w:eastAsia="Calibri" w:hAnsi="Arial" w:cs="Arial"/>
          <w:b/>
          <w:sz w:val="22"/>
          <w:lang w:val="es-CO"/>
        </w:rPr>
        <w:t>312</w:t>
      </w:r>
      <w:r w:rsidR="00DA4FD9" w:rsidRPr="00F176B9">
        <w:rPr>
          <w:rFonts w:ascii="Arial" w:eastAsia="Calibri" w:hAnsi="Arial" w:cs="Arial"/>
          <w:b/>
          <w:sz w:val="22"/>
          <w:lang w:val="es-CO"/>
        </w:rPr>
        <w:t xml:space="preserve"> </w:t>
      </w:r>
      <w:r w:rsidR="00285D82" w:rsidRPr="00F176B9">
        <w:rPr>
          <w:rFonts w:ascii="Arial" w:eastAsia="Calibri" w:hAnsi="Arial" w:cs="Arial"/>
          <w:b/>
          <w:sz w:val="22"/>
          <w:lang w:val="es-CO"/>
        </w:rPr>
        <w:t>de 202</w:t>
      </w:r>
      <w:r w:rsidR="001640BC" w:rsidRPr="00F176B9">
        <w:rPr>
          <w:rFonts w:ascii="Arial" w:eastAsia="Calibri" w:hAnsi="Arial" w:cs="Arial"/>
          <w:b/>
          <w:sz w:val="22"/>
          <w:lang w:val="es-CO"/>
        </w:rPr>
        <w:t>2</w:t>
      </w:r>
      <w:r w:rsidR="00B346CC" w:rsidRPr="00F176B9">
        <w:rPr>
          <w:rFonts w:ascii="Arial" w:hAnsi="Arial" w:cs="Arial"/>
          <w:sz w:val="22"/>
          <w:lang w:val="es-CO"/>
        </w:rPr>
        <w:t xml:space="preserve"> </w:t>
      </w:r>
    </w:p>
    <w:p w14:paraId="4736A594" w14:textId="77777777" w:rsidR="00303D47" w:rsidRPr="00F176B9" w:rsidRDefault="00303D47" w:rsidP="00F176B9">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176B9" w:rsidRPr="00F176B9" w14:paraId="1701BC3D" w14:textId="77777777" w:rsidTr="000641BE">
        <w:trPr>
          <w:trHeight w:val="485"/>
        </w:trPr>
        <w:tc>
          <w:tcPr>
            <w:tcW w:w="2689" w:type="dxa"/>
            <w:hideMark/>
          </w:tcPr>
          <w:p w14:paraId="69F7D7B9" w14:textId="77777777" w:rsidR="00714833" w:rsidRPr="00F176B9" w:rsidRDefault="00714833" w:rsidP="00F176B9">
            <w:pPr>
              <w:contextualSpacing/>
              <w:rPr>
                <w:rFonts w:ascii="Arial" w:eastAsia="Calibri" w:hAnsi="Arial" w:cs="Arial"/>
                <w:noProof/>
                <w:sz w:val="22"/>
                <w:lang w:val="es-ES_tradnl"/>
              </w:rPr>
            </w:pPr>
            <w:r w:rsidRPr="00F176B9">
              <w:rPr>
                <w:rFonts w:ascii="Arial" w:eastAsia="Calibri" w:hAnsi="Arial" w:cs="Arial"/>
                <w:b/>
                <w:noProof/>
                <w:sz w:val="22"/>
                <w:lang w:val="es-ES_tradnl"/>
              </w:rPr>
              <w:t>Temas:</w:t>
            </w:r>
            <w:r w:rsidRPr="00F176B9">
              <w:rPr>
                <w:rFonts w:ascii="Arial" w:eastAsia="Calibri" w:hAnsi="Arial" w:cs="Arial"/>
                <w:noProof/>
                <w:sz w:val="22"/>
                <w:lang w:val="es-ES_tradnl"/>
              </w:rPr>
              <w:t xml:space="preserve">        </w:t>
            </w:r>
          </w:p>
        </w:tc>
        <w:tc>
          <w:tcPr>
            <w:tcW w:w="6237" w:type="dxa"/>
            <w:hideMark/>
          </w:tcPr>
          <w:p w14:paraId="6A77440D" w14:textId="2D31290A" w:rsidR="00AC1839" w:rsidRPr="00F176B9" w:rsidRDefault="007B0724" w:rsidP="00F176B9">
            <w:pPr>
              <w:spacing w:after="120"/>
              <w:ind w:right="703"/>
              <w:jc w:val="both"/>
              <w:rPr>
                <w:rFonts w:ascii="Arial" w:eastAsia="Calibri" w:hAnsi="Arial" w:cs="Arial"/>
                <w:bCs/>
                <w:sz w:val="22"/>
              </w:rPr>
            </w:pPr>
            <w:r w:rsidRPr="007B0724">
              <w:rPr>
                <w:rFonts w:ascii="Arial" w:eastAsia="Calibri" w:hAnsi="Arial" w:cs="Arial"/>
                <w:bCs/>
                <w:sz w:val="22"/>
              </w:rPr>
              <w:t xml:space="preserve">LEY DE GARANTÍAS ELECTORALES ‒ Finalidad </w:t>
            </w:r>
            <w:r>
              <w:rPr>
                <w:rFonts w:ascii="Arial" w:eastAsia="Calibri" w:hAnsi="Arial" w:cs="Arial"/>
                <w:bCs/>
                <w:sz w:val="22"/>
              </w:rPr>
              <w:t xml:space="preserve">/ </w:t>
            </w:r>
            <w:r w:rsidRPr="007B0724">
              <w:rPr>
                <w:rFonts w:ascii="Arial" w:eastAsia="Calibri" w:hAnsi="Arial" w:cs="Arial"/>
                <w:bCs/>
                <w:sz w:val="22"/>
              </w:rPr>
              <w:t>LEY DE GARANTÍAS ELECTORALES – Restricciones – Contratación – Tipos de elección</w:t>
            </w:r>
            <w:r>
              <w:rPr>
                <w:rFonts w:ascii="Arial" w:eastAsia="Calibri" w:hAnsi="Arial" w:cs="Arial"/>
                <w:bCs/>
                <w:sz w:val="22"/>
              </w:rPr>
              <w:t xml:space="preserve"> / </w:t>
            </w:r>
            <w:r w:rsidRPr="007B0724">
              <w:rPr>
                <w:rFonts w:ascii="Arial" w:eastAsia="Calibri" w:hAnsi="Arial" w:cs="Arial"/>
                <w:bCs/>
                <w:sz w:val="22"/>
              </w:rPr>
              <w:t>LEY DE GARANTÍAS ELECTORALES ‒ Suscripción de cesiones – Requisitos</w:t>
            </w:r>
          </w:p>
          <w:p w14:paraId="641BBBD5" w14:textId="7C7AA2BA" w:rsidR="00714833" w:rsidRPr="00F176B9" w:rsidRDefault="00714833" w:rsidP="00F176B9">
            <w:pPr>
              <w:spacing w:after="120"/>
              <w:rPr>
                <w:rFonts w:ascii="Arial" w:eastAsia="Calibri" w:hAnsi="Arial" w:cs="Arial"/>
                <w:bCs/>
                <w:sz w:val="22"/>
              </w:rPr>
            </w:pPr>
          </w:p>
        </w:tc>
      </w:tr>
      <w:tr w:rsidR="00B66D78" w:rsidRPr="00F176B9" w14:paraId="4074FCE6" w14:textId="77777777" w:rsidTr="000641BE">
        <w:tc>
          <w:tcPr>
            <w:tcW w:w="2689" w:type="dxa"/>
          </w:tcPr>
          <w:p w14:paraId="389F2C2E" w14:textId="77777777" w:rsidR="00FE0395" w:rsidRPr="00F176B9" w:rsidRDefault="00FE0395" w:rsidP="00F176B9">
            <w:pPr>
              <w:contextualSpacing/>
              <w:rPr>
                <w:rFonts w:ascii="Arial" w:eastAsia="Calibri" w:hAnsi="Arial" w:cs="Arial"/>
                <w:b/>
                <w:noProof/>
                <w:sz w:val="22"/>
                <w:lang w:val="es-ES_tradnl"/>
              </w:rPr>
            </w:pPr>
            <w:r w:rsidRPr="00F176B9">
              <w:rPr>
                <w:rFonts w:ascii="Arial" w:eastAsia="Calibri" w:hAnsi="Arial" w:cs="Arial"/>
                <w:b/>
                <w:noProof/>
                <w:sz w:val="22"/>
                <w:lang w:val="es-ES_tradnl"/>
              </w:rPr>
              <w:t>Radicación:</w:t>
            </w:r>
            <w:r w:rsidRPr="00F176B9">
              <w:rPr>
                <w:rFonts w:ascii="Arial" w:eastAsia="Calibri" w:hAnsi="Arial" w:cs="Arial"/>
                <w:noProof/>
                <w:sz w:val="22"/>
                <w:lang w:val="es-ES_tradnl"/>
              </w:rPr>
              <w:t xml:space="preserve">                              </w:t>
            </w:r>
          </w:p>
        </w:tc>
        <w:tc>
          <w:tcPr>
            <w:tcW w:w="6237" w:type="dxa"/>
          </w:tcPr>
          <w:p w14:paraId="290F0664" w14:textId="52003D92" w:rsidR="00FE0395" w:rsidRPr="00F176B9" w:rsidRDefault="00FE0395" w:rsidP="00F176B9">
            <w:pPr>
              <w:contextualSpacing/>
              <w:jc w:val="both"/>
              <w:rPr>
                <w:rFonts w:ascii="Arial" w:eastAsia="Calibri" w:hAnsi="Arial" w:cs="Arial"/>
                <w:noProof/>
                <w:sz w:val="22"/>
                <w:lang w:val="es-ES_tradnl"/>
              </w:rPr>
            </w:pPr>
            <w:r w:rsidRPr="00F176B9">
              <w:rPr>
                <w:rFonts w:ascii="Arial" w:eastAsia="Calibri" w:hAnsi="Arial" w:cs="Arial"/>
                <w:noProof/>
                <w:sz w:val="22"/>
                <w:lang w:val="es-ES_tradnl"/>
              </w:rPr>
              <w:t xml:space="preserve">Respuesta a consulta </w:t>
            </w:r>
            <w:r w:rsidR="004653E7" w:rsidRPr="00F176B9">
              <w:rPr>
                <w:rFonts w:ascii="Arial" w:eastAsia="Calibri" w:hAnsi="Arial" w:cs="Arial"/>
                <w:noProof/>
                <w:sz w:val="22"/>
                <w:lang w:val="es-ES_tradnl"/>
              </w:rPr>
              <w:t>P2022</w:t>
            </w:r>
            <w:r w:rsidR="00CF4A4E">
              <w:rPr>
                <w:rFonts w:ascii="Arial" w:eastAsia="Calibri" w:hAnsi="Arial" w:cs="Arial"/>
                <w:noProof/>
                <w:sz w:val="22"/>
                <w:lang w:val="es-ES_tradnl"/>
              </w:rPr>
              <w:t>0401003346</w:t>
            </w:r>
          </w:p>
        </w:tc>
      </w:tr>
    </w:tbl>
    <w:p w14:paraId="0CB3D4D0" w14:textId="77777777" w:rsidR="00FE0395" w:rsidRPr="00F176B9" w:rsidRDefault="00FE0395" w:rsidP="00F176B9">
      <w:pPr>
        <w:spacing w:after="0" w:line="240" w:lineRule="auto"/>
        <w:rPr>
          <w:rFonts w:ascii="Arial" w:eastAsia="Calibri" w:hAnsi="Arial" w:cs="Arial"/>
          <w:sz w:val="22"/>
          <w:lang w:val="es-CO"/>
        </w:rPr>
      </w:pPr>
    </w:p>
    <w:p w14:paraId="3C6248D2" w14:textId="77777777" w:rsidR="00F246FE" w:rsidRPr="00F176B9" w:rsidRDefault="00F246FE" w:rsidP="00F176B9">
      <w:pPr>
        <w:spacing w:after="0" w:line="240" w:lineRule="auto"/>
        <w:rPr>
          <w:rFonts w:ascii="Arial" w:eastAsia="Calibri" w:hAnsi="Arial" w:cs="Arial"/>
          <w:sz w:val="22"/>
          <w:lang w:val="es-CO"/>
        </w:rPr>
      </w:pPr>
    </w:p>
    <w:p w14:paraId="0ADE9D41" w14:textId="2324399B" w:rsidR="00990612" w:rsidRPr="00F176B9" w:rsidRDefault="00990612" w:rsidP="00F176B9">
      <w:pPr>
        <w:spacing w:after="0"/>
        <w:rPr>
          <w:rFonts w:ascii="Arial" w:eastAsia="Calibri" w:hAnsi="Arial" w:cs="Arial"/>
          <w:sz w:val="22"/>
          <w:lang w:val="es-CO"/>
        </w:rPr>
      </w:pPr>
      <w:r w:rsidRPr="00F176B9">
        <w:rPr>
          <w:rFonts w:ascii="Arial" w:eastAsia="Calibri" w:hAnsi="Arial" w:cs="Arial"/>
          <w:sz w:val="22"/>
          <w:lang w:val="es-CO"/>
        </w:rPr>
        <w:t>Estimad</w:t>
      </w:r>
      <w:r w:rsidR="001260C4">
        <w:rPr>
          <w:rFonts w:ascii="Arial" w:eastAsia="Calibri" w:hAnsi="Arial" w:cs="Arial"/>
          <w:sz w:val="22"/>
          <w:lang w:val="es-CO"/>
        </w:rPr>
        <w:t>o</w:t>
      </w:r>
      <w:r w:rsidR="009D7290" w:rsidRPr="00F176B9">
        <w:rPr>
          <w:rFonts w:ascii="Arial" w:eastAsia="Calibri" w:hAnsi="Arial" w:cs="Arial"/>
          <w:sz w:val="22"/>
          <w:lang w:val="es-CO"/>
        </w:rPr>
        <w:t xml:space="preserve"> </w:t>
      </w:r>
      <w:r w:rsidR="004653E7" w:rsidRPr="00F176B9">
        <w:rPr>
          <w:rFonts w:ascii="Arial" w:eastAsia="Calibri" w:hAnsi="Arial" w:cs="Arial"/>
          <w:sz w:val="22"/>
          <w:lang w:val="es-CO"/>
        </w:rPr>
        <w:t>señor</w:t>
      </w:r>
      <w:r w:rsidR="001640BC" w:rsidRPr="00F176B9">
        <w:rPr>
          <w:rFonts w:ascii="Arial" w:eastAsia="Calibri" w:hAnsi="Arial" w:cs="Arial"/>
          <w:sz w:val="22"/>
          <w:lang w:val="es-CO"/>
        </w:rPr>
        <w:t xml:space="preserve"> </w:t>
      </w:r>
      <w:r w:rsidR="006D44E6">
        <w:rPr>
          <w:rFonts w:ascii="Arial" w:eastAsia="Calibri" w:hAnsi="Arial" w:cs="Arial"/>
          <w:sz w:val="22"/>
          <w:lang w:val="es-CO"/>
        </w:rPr>
        <w:t>Perea Mosquera:</w:t>
      </w:r>
    </w:p>
    <w:p w14:paraId="19436ABB" w14:textId="77777777" w:rsidR="00990612" w:rsidRPr="00F176B9" w:rsidRDefault="00990612" w:rsidP="00F176B9">
      <w:pPr>
        <w:spacing w:after="0"/>
        <w:ind w:firstLine="709"/>
        <w:rPr>
          <w:rFonts w:ascii="Arial" w:eastAsia="Calibri" w:hAnsi="Arial" w:cs="Arial"/>
          <w:sz w:val="22"/>
          <w:lang w:val="es-CO"/>
        </w:rPr>
      </w:pPr>
    </w:p>
    <w:p w14:paraId="4A62508A" w14:textId="3804A3EE" w:rsidR="00990612" w:rsidRPr="00F176B9" w:rsidRDefault="00990612" w:rsidP="00F176B9">
      <w:pPr>
        <w:spacing w:after="0"/>
        <w:ind w:right="51"/>
        <w:rPr>
          <w:rFonts w:ascii="Arial" w:eastAsia="Calibri" w:hAnsi="Arial" w:cs="Arial"/>
          <w:sz w:val="22"/>
          <w:lang w:val="es-CO"/>
        </w:rPr>
      </w:pPr>
      <w:r w:rsidRPr="00F176B9">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F176B9">
        <w:rPr>
          <w:rFonts w:ascii="Arial" w:eastAsia="Calibri" w:hAnsi="Arial" w:cs="Arial"/>
          <w:sz w:val="22"/>
          <w:lang w:val="es-CO"/>
        </w:rPr>
        <w:t xml:space="preserve"> responde</w:t>
      </w:r>
      <w:r w:rsidRPr="00F176B9">
        <w:rPr>
          <w:rFonts w:ascii="Arial" w:eastAsia="Calibri" w:hAnsi="Arial" w:cs="Arial"/>
          <w:sz w:val="22"/>
          <w:lang w:val="es-CO"/>
        </w:rPr>
        <w:t xml:space="preserve"> la consulta </w:t>
      </w:r>
      <w:r w:rsidR="00FE65B4" w:rsidRPr="00F176B9">
        <w:rPr>
          <w:rFonts w:ascii="Arial" w:eastAsia="Calibri" w:hAnsi="Arial" w:cs="Arial"/>
          <w:sz w:val="22"/>
          <w:lang w:val="es-CO"/>
        </w:rPr>
        <w:t xml:space="preserve">radicada </w:t>
      </w:r>
      <w:r w:rsidRPr="00F176B9">
        <w:rPr>
          <w:rFonts w:ascii="Arial" w:eastAsia="Calibri" w:hAnsi="Arial" w:cs="Arial"/>
          <w:sz w:val="22"/>
          <w:lang w:val="es-CO"/>
        </w:rPr>
        <w:t xml:space="preserve">el </w:t>
      </w:r>
      <w:r w:rsidR="006D44E6">
        <w:rPr>
          <w:rFonts w:ascii="Arial" w:eastAsia="Calibri" w:hAnsi="Arial" w:cs="Arial"/>
          <w:sz w:val="22"/>
          <w:lang w:val="es-CO"/>
        </w:rPr>
        <w:t xml:space="preserve">1 </w:t>
      </w:r>
      <w:r w:rsidR="00975490" w:rsidRPr="00F176B9">
        <w:rPr>
          <w:rFonts w:ascii="Arial" w:eastAsia="Calibri" w:hAnsi="Arial" w:cs="Arial"/>
          <w:sz w:val="22"/>
          <w:lang w:val="es-CO"/>
        </w:rPr>
        <w:t>de</w:t>
      </w:r>
      <w:r w:rsidR="006D44E6">
        <w:rPr>
          <w:rFonts w:ascii="Arial" w:eastAsia="Calibri" w:hAnsi="Arial" w:cs="Arial"/>
          <w:sz w:val="22"/>
          <w:lang w:val="es-CO"/>
        </w:rPr>
        <w:t xml:space="preserve"> abril</w:t>
      </w:r>
      <w:r w:rsidR="00E3568A" w:rsidRPr="00F176B9">
        <w:rPr>
          <w:rFonts w:ascii="Arial" w:eastAsia="Calibri" w:hAnsi="Arial" w:cs="Arial"/>
          <w:sz w:val="22"/>
          <w:lang w:val="es-CO"/>
        </w:rPr>
        <w:t xml:space="preserve"> </w:t>
      </w:r>
      <w:r w:rsidRPr="00F176B9">
        <w:rPr>
          <w:rFonts w:ascii="Arial" w:eastAsia="Calibri" w:hAnsi="Arial" w:cs="Arial"/>
          <w:sz w:val="22"/>
          <w:lang w:val="es-CO"/>
        </w:rPr>
        <w:t>de 202</w:t>
      </w:r>
      <w:r w:rsidR="004653E7" w:rsidRPr="00F176B9">
        <w:rPr>
          <w:rFonts w:ascii="Arial" w:eastAsia="Calibri" w:hAnsi="Arial" w:cs="Arial"/>
          <w:sz w:val="22"/>
          <w:lang w:val="es-CO"/>
        </w:rPr>
        <w:t>2</w:t>
      </w:r>
      <w:r w:rsidRPr="00F176B9">
        <w:rPr>
          <w:rFonts w:ascii="Arial" w:eastAsia="Calibri" w:hAnsi="Arial" w:cs="Arial"/>
          <w:sz w:val="22"/>
          <w:lang w:val="es-CO"/>
        </w:rPr>
        <w:t xml:space="preserve">. </w:t>
      </w:r>
    </w:p>
    <w:p w14:paraId="6512D341" w14:textId="77777777" w:rsidR="00303D47" w:rsidRPr="00F176B9" w:rsidRDefault="00303D47" w:rsidP="00F176B9">
      <w:pPr>
        <w:spacing w:after="0"/>
        <w:rPr>
          <w:rFonts w:ascii="Arial" w:eastAsia="Calibri" w:hAnsi="Arial" w:cs="Arial"/>
          <w:sz w:val="22"/>
          <w:lang w:val="es-CO"/>
        </w:rPr>
      </w:pPr>
    </w:p>
    <w:p w14:paraId="3B0D1063" w14:textId="33CFB035" w:rsidR="005A114C" w:rsidRPr="00F176B9" w:rsidRDefault="002B72C0" w:rsidP="00F176B9">
      <w:pPr>
        <w:tabs>
          <w:tab w:val="left" w:pos="284"/>
        </w:tabs>
        <w:spacing w:after="0"/>
        <w:rPr>
          <w:rFonts w:ascii="Arial" w:eastAsia="Calibri" w:hAnsi="Arial" w:cs="Arial"/>
          <w:b/>
          <w:sz w:val="22"/>
          <w:lang w:val="es-CO"/>
        </w:rPr>
      </w:pPr>
      <w:r w:rsidRPr="00F176B9">
        <w:rPr>
          <w:rFonts w:ascii="Arial" w:eastAsia="Calibri" w:hAnsi="Arial" w:cs="Arial"/>
          <w:b/>
          <w:sz w:val="22"/>
          <w:lang w:val="es-CO"/>
        </w:rPr>
        <w:t xml:space="preserve">1. </w:t>
      </w:r>
      <w:r w:rsidR="00990612" w:rsidRPr="00F176B9">
        <w:rPr>
          <w:rFonts w:ascii="Arial" w:eastAsia="Calibri" w:hAnsi="Arial" w:cs="Arial"/>
          <w:b/>
          <w:sz w:val="22"/>
          <w:lang w:val="es-CO"/>
        </w:rPr>
        <w:t xml:space="preserve">Problema planteado </w:t>
      </w:r>
    </w:p>
    <w:p w14:paraId="2FBDB7F6" w14:textId="77777777" w:rsidR="005A114C" w:rsidRPr="007B78B9" w:rsidRDefault="005A114C" w:rsidP="00F176B9">
      <w:pPr>
        <w:pStyle w:val="Prrafodelista"/>
        <w:tabs>
          <w:tab w:val="left" w:pos="284"/>
        </w:tabs>
        <w:spacing w:after="0"/>
        <w:ind w:left="0" w:firstLine="709"/>
        <w:rPr>
          <w:rFonts w:ascii="Arial" w:eastAsia="Calibri" w:hAnsi="Arial" w:cs="Arial"/>
          <w:b/>
          <w:sz w:val="18"/>
          <w:szCs w:val="18"/>
          <w:lang w:val="es-CO"/>
        </w:rPr>
      </w:pPr>
    </w:p>
    <w:p w14:paraId="6639328B" w14:textId="77FBAD2F" w:rsidR="00714833" w:rsidRPr="007D1FD8" w:rsidRDefault="004653E7" w:rsidP="00F176B9">
      <w:pPr>
        <w:autoSpaceDE w:val="0"/>
        <w:autoSpaceDN w:val="0"/>
        <w:adjustRightInd w:val="0"/>
        <w:spacing w:after="0"/>
        <w:rPr>
          <w:rFonts w:ascii="Arial" w:hAnsi="Arial" w:cs="Arial"/>
          <w:sz w:val="21"/>
          <w:szCs w:val="21"/>
          <w:lang w:val="es-CO"/>
        </w:rPr>
      </w:pPr>
      <w:bookmarkStart w:id="2" w:name="_Hlk58917991"/>
      <w:bookmarkStart w:id="3" w:name="_Hlk56103000"/>
      <w:r w:rsidRPr="00F176B9">
        <w:rPr>
          <w:rFonts w:ascii="Arial" w:hAnsi="Arial" w:cs="Arial"/>
          <w:sz w:val="22"/>
        </w:rPr>
        <w:t xml:space="preserve">Usted realiza </w:t>
      </w:r>
      <w:r w:rsidR="00C67716">
        <w:rPr>
          <w:rFonts w:ascii="Arial" w:hAnsi="Arial" w:cs="Arial"/>
          <w:sz w:val="22"/>
        </w:rPr>
        <w:t xml:space="preserve">la siguiente </w:t>
      </w:r>
      <w:r w:rsidRPr="00F176B9">
        <w:rPr>
          <w:rFonts w:ascii="Arial" w:hAnsi="Arial" w:cs="Arial"/>
          <w:sz w:val="22"/>
        </w:rPr>
        <w:t>consulta</w:t>
      </w:r>
      <w:r w:rsidR="008C710C" w:rsidRPr="00F176B9">
        <w:rPr>
          <w:rFonts w:ascii="Arial" w:hAnsi="Arial" w:cs="Arial"/>
          <w:sz w:val="22"/>
          <w:shd w:val="clear" w:color="auto" w:fill="FFFFFF"/>
        </w:rPr>
        <w:t xml:space="preserve">: </w:t>
      </w:r>
      <w:r w:rsidR="008C710C" w:rsidRPr="007D1FD8">
        <w:rPr>
          <w:rFonts w:ascii="Arial" w:hAnsi="Arial" w:cs="Arial"/>
          <w:sz w:val="21"/>
          <w:szCs w:val="21"/>
          <w:shd w:val="clear" w:color="auto" w:fill="FFFFFF"/>
        </w:rPr>
        <w:t>«</w:t>
      </w:r>
      <w:bookmarkStart w:id="4" w:name="_Hlk101815807"/>
      <w:r w:rsidR="001453EF" w:rsidRPr="001453EF">
        <w:rPr>
          <w:rFonts w:ascii="Arial" w:hAnsi="Arial" w:cs="Arial"/>
          <w:sz w:val="21"/>
          <w:szCs w:val="21"/>
          <w:shd w:val="clear" w:color="auto" w:fill="FFFFFF"/>
        </w:rPr>
        <w:t>Atento Saludo; tengo la siguiente duda:</w:t>
      </w:r>
      <w:r w:rsidR="00135C93">
        <w:rPr>
          <w:rFonts w:ascii="Arial" w:hAnsi="Arial" w:cs="Arial"/>
          <w:sz w:val="21"/>
          <w:szCs w:val="21"/>
          <w:shd w:val="clear" w:color="auto" w:fill="FFFFFF"/>
        </w:rPr>
        <w:t xml:space="preserve"> (sic)</w:t>
      </w:r>
      <w:r w:rsidR="001453EF" w:rsidRPr="001453EF">
        <w:rPr>
          <w:rFonts w:ascii="Arial" w:hAnsi="Arial" w:cs="Arial"/>
          <w:sz w:val="21"/>
          <w:szCs w:val="21"/>
          <w:shd w:val="clear" w:color="auto" w:fill="FFFFFF"/>
        </w:rPr>
        <w:t xml:space="preserve"> una orden de prestación de servicios puede cederse en ley de garantías?</w:t>
      </w:r>
      <w:bookmarkEnd w:id="4"/>
      <w:r w:rsidRPr="007D1FD8">
        <w:rPr>
          <w:rFonts w:ascii="Arial" w:hAnsi="Arial" w:cs="Arial"/>
          <w:sz w:val="21"/>
          <w:szCs w:val="21"/>
        </w:rPr>
        <w:t>»</w:t>
      </w:r>
      <w:r w:rsidR="0067388D" w:rsidRPr="007D1FD8">
        <w:rPr>
          <w:rFonts w:ascii="Arial" w:hAnsi="Arial" w:cs="Arial"/>
          <w:sz w:val="21"/>
          <w:szCs w:val="21"/>
        </w:rPr>
        <w:t>.</w:t>
      </w:r>
    </w:p>
    <w:p w14:paraId="0340A3A7" w14:textId="77777777" w:rsidR="009F3C99" w:rsidRPr="00F176B9" w:rsidRDefault="009F3C99" w:rsidP="00F176B9">
      <w:pPr>
        <w:tabs>
          <w:tab w:val="left" w:pos="426"/>
        </w:tabs>
        <w:spacing w:after="0"/>
        <w:rPr>
          <w:rFonts w:ascii="Arial" w:eastAsia="Calibri" w:hAnsi="Arial" w:cs="Arial"/>
          <w:sz w:val="22"/>
          <w:lang w:val="es-CO"/>
        </w:rPr>
      </w:pPr>
    </w:p>
    <w:bookmarkEnd w:id="2"/>
    <w:bookmarkEnd w:id="3"/>
    <w:p w14:paraId="509ED1DE" w14:textId="63729AFF" w:rsidR="005027F0" w:rsidRDefault="002B72C0" w:rsidP="00F176B9">
      <w:pPr>
        <w:tabs>
          <w:tab w:val="left" w:pos="284"/>
        </w:tabs>
        <w:spacing w:after="0"/>
        <w:rPr>
          <w:rFonts w:ascii="Arial" w:eastAsia="Calibri" w:hAnsi="Arial" w:cs="Arial"/>
          <w:b/>
          <w:sz w:val="22"/>
          <w:lang w:val="es-CO"/>
        </w:rPr>
      </w:pPr>
      <w:r w:rsidRPr="00F176B9">
        <w:rPr>
          <w:rFonts w:ascii="Arial" w:eastAsia="Calibri" w:hAnsi="Arial" w:cs="Arial"/>
          <w:b/>
          <w:sz w:val="22"/>
          <w:lang w:val="es-CO"/>
        </w:rPr>
        <w:t xml:space="preserve">2. </w:t>
      </w:r>
      <w:r w:rsidR="00990612" w:rsidRPr="00F176B9">
        <w:rPr>
          <w:rFonts w:ascii="Arial" w:eastAsia="Calibri" w:hAnsi="Arial" w:cs="Arial"/>
          <w:b/>
          <w:sz w:val="22"/>
          <w:lang w:val="es-CO"/>
        </w:rPr>
        <w:t>Consideraciones</w:t>
      </w:r>
    </w:p>
    <w:p w14:paraId="3EB11908" w14:textId="332E79FC" w:rsidR="003A4C65" w:rsidRDefault="003A4C65" w:rsidP="00F176B9">
      <w:pPr>
        <w:tabs>
          <w:tab w:val="left" w:pos="284"/>
        </w:tabs>
        <w:spacing w:after="0"/>
        <w:rPr>
          <w:rFonts w:ascii="Arial" w:eastAsia="Calibri" w:hAnsi="Arial" w:cs="Arial"/>
          <w:b/>
          <w:sz w:val="22"/>
          <w:lang w:val="es-CO"/>
        </w:rPr>
      </w:pPr>
    </w:p>
    <w:p w14:paraId="1B0A4F73" w14:textId="7035A2C7" w:rsidR="008F39BD" w:rsidRDefault="003A4C65" w:rsidP="00B162E3">
      <w:pPr>
        <w:spacing w:after="0"/>
        <w:rPr>
          <w:rFonts w:ascii="Arial" w:eastAsia="Calibri" w:hAnsi="Arial" w:cs="Arial"/>
          <w:sz w:val="22"/>
        </w:rPr>
      </w:pPr>
      <w:r w:rsidRPr="00504597">
        <w:rPr>
          <w:rFonts w:ascii="Arial" w:eastAsia="Calibri" w:hAnsi="Arial" w:cs="Arial"/>
          <w:color w:val="000000" w:themeColor="text1"/>
          <w:sz w:val="22"/>
        </w:rPr>
        <w:t xml:space="preserve">Para responder sus interrogantes, </w:t>
      </w:r>
      <w:r w:rsidRPr="00504597">
        <w:rPr>
          <w:rFonts w:ascii="Arial" w:eastAsia="Calibri" w:hAnsi="Arial" w:cs="Arial"/>
          <w:color w:val="000000" w:themeColor="text1"/>
          <w:sz w:val="22"/>
          <w:lang w:val="es-ES"/>
        </w:rPr>
        <w:t>se analizarán los siguientes temas</w:t>
      </w:r>
      <w:r w:rsidRPr="00504597">
        <w:rPr>
          <w:rFonts w:ascii="Arial" w:hAnsi="Arial" w:cs="Arial"/>
          <w:color w:val="000000" w:themeColor="text1"/>
          <w:sz w:val="22"/>
          <w:lang w:val="es-ES"/>
        </w:rPr>
        <w:t>:</w:t>
      </w:r>
      <w:r>
        <w:rPr>
          <w:rFonts w:ascii="Arial" w:hAnsi="Arial" w:cs="Arial"/>
          <w:color w:val="000000" w:themeColor="text1"/>
          <w:sz w:val="22"/>
          <w:lang w:val="es-ES"/>
        </w:rPr>
        <w:t xml:space="preserve"> </w:t>
      </w:r>
      <w:r w:rsidRPr="003F3340">
        <w:rPr>
          <w:rFonts w:ascii="Arial" w:eastAsia="Calibri" w:hAnsi="Arial" w:cs="Arial"/>
          <w:bCs/>
          <w:sz w:val="22"/>
          <w:lang w:val="es-CO"/>
        </w:rPr>
        <w:t xml:space="preserve">i) definición y finalidad de la Ley de Garantías Electorales: alcance de las restricciones, y </w:t>
      </w:r>
      <w:proofErr w:type="spellStart"/>
      <w:r w:rsidRPr="003F3340">
        <w:rPr>
          <w:rFonts w:ascii="Arial" w:eastAsia="Calibri" w:hAnsi="Arial" w:cs="Arial"/>
          <w:bCs/>
          <w:sz w:val="22"/>
          <w:lang w:val="es-CO"/>
        </w:rPr>
        <w:t>ii</w:t>
      </w:r>
      <w:proofErr w:type="spellEnd"/>
      <w:r w:rsidRPr="003F3340">
        <w:rPr>
          <w:rFonts w:ascii="Arial" w:eastAsia="Calibri" w:hAnsi="Arial" w:cs="Arial"/>
          <w:bCs/>
          <w:sz w:val="22"/>
          <w:lang w:val="es-CO"/>
        </w:rPr>
        <w:t xml:space="preserve">) </w:t>
      </w:r>
      <w:bookmarkStart w:id="5" w:name="_Hlk95213284"/>
      <w:r w:rsidRPr="003F3340">
        <w:rPr>
          <w:rFonts w:ascii="Arial" w:eastAsia="Calibri" w:hAnsi="Arial" w:cs="Arial"/>
          <w:bCs/>
          <w:sz w:val="22"/>
          <w:lang w:val="es-CO"/>
        </w:rPr>
        <w:t>análisis de la posibilidad de suscribir prórrogas, adiciones, modificaciones y cesiones en el marco de la Ley de Garantías Electorales.</w:t>
      </w:r>
      <w:bookmarkEnd w:id="5"/>
      <w:r w:rsidR="00114A81">
        <w:rPr>
          <w:rFonts w:ascii="Arial" w:eastAsia="Calibri" w:hAnsi="Arial" w:cs="Arial"/>
          <w:sz w:val="22"/>
        </w:rPr>
        <w:t xml:space="preserve"> </w:t>
      </w:r>
      <w:r w:rsidR="008F39BD" w:rsidRPr="003F3340">
        <w:rPr>
          <w:rFonts w:ascii="Arial" w:eastAsia="Calibri" w:hAnsi="Arial" w:cs="Arial"/>
          <w:sz w:val="22"/>
        </w:rPr>
        <w:t xml:space="preserve">La Agencia Nacional de Contratación </w:t>
      </w:r>
      <w:r w:rsidR="008F39BD" w:rsidRPr="003F3340">
        <w:rPr>
          <w:rFonts w:ascii="Arial" w:eastAsia="Calibri" w:hAnsi="Arial" w:cs="Arial"/>
          <w:sz w:val="22"/>
        </w:rPr>
        <w:lastRenderedPageBreak/>
        <w:t xml:space="preserve">Pública </w:t>
      </w:r>
      <w:r w:rsidR="00F91CA6" w:rsidRPr="003F3340">
        <w:rPr>
          <w:rFonts w:ascii="Arial" w:eastAsia="Calibri" w:hAnsi="Arial" w:cs="Arial"/>
          <w:sz w:val="22"/>
        </w:rPr>
        <w:t>–</w:t>
      </w:r>
      <w:r w:rsidR="008F39BD" w:rsidRPr="003F3340">
        <w:rPr>
          <w:rFonts w:ascii="Arial" w:eastAsia="Calibri" w:hAnsi="Arial" w:cs="Arial"/>
          <w:sz w:val="22"/>
        </w:rPr>
        <w:t xml:space="preserve"> Colombia Compra Eficiente </w:t>
      </w:r>
      <w:r w:rsidR="00A56A79" w:rsidRPr="003F3340">
        <w:rPr>
          <w:rFonts w:ascii="Arial" w:eastAsia="Calibri" w:hAnsi="Arial" w:cs="Arial"/>
          <w:sz w:val="22"/>
        </w:rPr>
        <w:t>ha impartido lineamientos sobre la</w:t>
      </w:r>
      <w:r w:rsidR="008F39BD" w:rsidRPr="003F3340">
        <w:rPr>
          <w:rFonts w:ascii="Arial" w:eastAsia="Calibri" w:hAnsi="Arial" w:cs="Arial"/>
          <w:sz w:val="22"/>
        </w:rPr>
        <w:t xml:space="preserve"> </w:t>
      </w:r>
      <w:r w:rsidR="00D05E28" w:rsidRPr="003F3340">
        <w:rPr>
          <w:rFonts w:ascii="Arial" w:eastAsia="Calibri" w:hAnsi="Arial" w:cs="Arial"/>
          <w:sz w:val="22"/>
        </w:rPr>
        <w:t>aplicación de la Ley 996 de 2005</w:t>
      </w:r>
      <w:r w:rsidR="00A56A79" w:rsidRPr="003F3340">
        <w:rPr>
          <w:rFonts w:ascii="Arial" w:eastAsia="Calibri" w:hAnsi="Arial" w:cs="Arial"/>
          <w:sz w:val="22"/>
        </w:rPr>
        <w:t xml:space="preserve"> y también se ha pronunciado</w:t>
      </w:r>
      <w:r w:rsidR="008F39BD" w:rsidRPr="003F3340">
        <w:rPr>
          <w:rFonts w:ascii="Arial" w:eastAsia="Calibri" w:hAnsi="Arial" w:cs="Arial"/>
          <w:sz w:val="22"/>
        </w:rPr>
        <w:t xml:space="preserve"> </w:t>
      </w:r>
      <w:r w:rsidR="00735A39" w:rsidRPr="003F3340">
        <w:rPr>
          <w:rFonts w:ascii="Arial" w:eastAsia="Calibri" w:hAnsi="Arial" w:cs="Arial"/>
          <w:sz w:val="22"/>
        </w:rPr>
        <w:t>al respecto</w:t>
      </w:r>
      <w:r w:rsidR="004755D2" w:rsidRPr="003F3340">
        <w:rPr>
          <w:rFonts w:ascii="Arial" w:eastAsia="Calibri" w:hAnsi="Arial" w:cs="Arial"/>
          <w:sz w:val="22"/>
        </w:rPr>
        <w:t>, entre otros,</w:t>
      </w:r>
      <w:r w:rsidR="00735A39" w:rsidRPr="003F3340">
        <w:rPr>
          <w:rFonts w:ascii="Arial" w:eastAsia="Calibri" w:hAnsi="Arial" w:cs="Arial"/>
          <w:sz w:val="22"/>
        </w:rPr>
        <w:t xml:space="preserve"> </w:t>
      </w:r>
      <w:r w:rsidR="008F39BD" w:rsidRPr="003F3340">
        <w:rPr>
          <w:rFonts w:ascii="Arial" w:eastAsia="Calibri" w:hAnsi="Arial" w:cs="Arial"/>
          <w:sz w:val="22"/>
        </w:rPr>
        <w:t xml:space="preserve">en los </w:t>
      </w:r>
      <w:r w:rsidR="00F91CA6" w:rsidRPr="003F3340">
        <w:rPr>
          <w:rFonts w:ascii="Arial" w:eastAsia="Calibri" w:hAnsi="Arial" w:cs="Arial"/>
          <w:sz w:val="22"/>
        </w:rPr>
        <w:t>C</w:t>
      </w:r>
      <w:r w:rsidR="008F39BD" w:rsidRPr="003F3340">
        <w:rPr>
          <w:rFonts w:ascii="Arial" w:eastAsia="Calibri" w:hAnsi="Arial" w:cs="Arial"/>
          <w:sz w:val="22"/>
        </w:rPr>
        <w:t xml:space="preserve">onceptos </w:t>
      </w:r>
      <w:r w:rsidR="004D1653" w:rsidRPr="003F3340">
        <w:rPr>
          <w:rFonts w:ascii="Arial" w:eastAsia="Calibri" w:hAnsi="Arial" w:cs="Arial"/>
          <w:sz w:val="22"/>
        </w:rPr>
        <w:t xml:space="preserve">4201912000004632 del 6 de agosto de 2019, </w:t>
      </w:r>
      <w:r w:rsidR="00A56A79" w:rsidRPr="003F3340">
        <w:rPr>
          <w:rFonts w:ascii="Arial" w:eastAsia="Calibri" w:hAnsi="Arial" w:cs="Arial"/>
          <w:sz w:val="22"/>
        </w:rPr>
        <w:t>2201913000005655 del 8 de agosto de 2019,</w:t>
      </w:r>
      <w:r w:rsidR="00735A39" w:rsidRPr="003F3340">
        <w:rPr>
          <w:rFonts w:ascii="Arial" w:eastAsia="Calibri" w:hAnsi="Arial" w:cs="Arial"/>
          <w:sz w:val="22"/>
        </w:rPr>
        <w:t xml:space="preserve"> </w:t>
      </w:r>
      <w:r w:rsidR="003767EE" w:rsidRPr="003F3340">
        <w:rPr>
          <w:rFonts w:ascii="Arial" w:eastAsia="Calibri" w:hAnsi="Arial" w:cs="Arial"/>
          <w:sz w:val="22"/>
        </w:rPr>
        <w:t>2201913000006283 del 27 de agosto de 2019</w:t>
      </w:r>
      <w:r w:rsidR="00D047D3" w:rsidRPr="003F3340">
        <w:rPr>
          <w:rFonts w:ascii="Arial" w:eastAsia="Calibri" w:hAnsi="Arial" w:cs="Arial"/>
          <w:sz w:val="22"/>
        </w:rPr>
        <w:t>, 2201913000006521 del 3 de septiembre de 2019,</w:t>
      </w:r>
      <w:r w:rsidR="00AD2E44" w:rsidRPr="003F3340">
        <w:rPr>
          <w:rFonts w:ascii="Arial" w:eastAsia="Calibri" w:hAnsi="Arial" w:cs="Arial"/>
          <w:sz w:val="22"/>
        </w:rPr>
        <w:t xml:space="preserve"> 2201913000006634 del 6 de septiembre de 2019, </w:t>
      </w:r>
      <w:r w:rsidR="004F5F6A" w:rsidRPr="003F3340">
        <w:rPr>
          <w:rFonts w:ascii="Arial" w:eastAsia="Calibri" w:hAnsi="Arial" w:cs="Arial"/>
          <w:sz w:val="22"/>
        </w:rPr>
        <w:t xml:space="preserve">2201913000006639 del 9 de septiembre de 2019, </w:t>
      </w:r>
      <w:r w:rsidR="003528F0" w:rsidRPr="003F3340">
        <w:rPr>
          <w:rFonts w:ascii="Arial" w:eastAsia="Calibri" w:hAnsi="Arial" w:cs="Arial"/>
          <w:sz w:val="22"/>
        </w:rPr>
        <w:t xml:space="preserve">2201913000007430 del 7 de octubre de 2019, </w:t>
      </w:r>
      <w:r w:rsidR="00C8219B" w:rsidRPr="003F3340">
        <w:rPr>
          <w:rFonts w:ascii="Arial" w:eastAsia="Calibri" w:hAnsi="Arial" w:cs="Arial"/>
          <w:sz w:val="22"/>
        </w:rPr>
        <w:t xml:space="preserve">2201913000007565 del 10 de octubre de 2019, </w:t>
      </w:r>
      <w:r w:rsidR="00D63081" w:rsidRPr="003F3340">
        <w:rPr>
          <w:rFonts w:ascii="Arial" w:eastAsia="Calibri" w:hAnsi="Arial" w:cs="Arial"/>
          <w:sz w:val="22"/>
        </w:rPr>
        <w:t>2201913000008259 del 6 de noviembre de 2019</w:t>
      </w:r>
      <w:r w:rsidR="00F83810" w:rsidRPr="003F3340">
        <w:rPr>
          <w:rFonts w:ascii="Arial" w:eastAsia="Calibri" w:hAnsi="Arial" w:cs="Arial"/>
          <w:sz w:val="22"/>
        </w:rPr>
        <w:t xml:space="preserve">, </w:t>
      </w:r>
      <w:r w:rsidR="00F11CF5" w:rsidRPr="003F3340">
        <w:rPr>
          <w:rFonts w:ascii="Arial" w:eastAsia="Calibri" w:hAnsi="Arial" w:cs="Arial"/>
          <w:sz w:val="22"/>
        </w:rPr>
        <w:t>C-</w:t>
      </w:r>
      <w:r w:rsidR="006E6202" w:rsidRPr="003F3340">
        <w:rPr>
          <w:rFonts w:ascii="Arial" w:eastAsia="Calibri" w:hAnsi="Arial" w:cs="Arial"/>
          <w:sz w:val="22"/>
        </w:rPr>
        <w:t xml:space="preserve">074 del 17 de marzo de 2021, C-075 del 16 de marzo de 2021, </w:t>
      </w:r>
      <w:r w:rsidR="00F83810" w:rsidRPr="003F3340">
        <w:rPr>
          <w:rFonts w:ascii="Arial" w:eastAsia="Calibri" w:hAnsi="Arial" w:cs="Arial"/>
          <w:sz w:val="22"/>
        </w:rPr>
        <w:t>C-227 de 2021</w:t>
      </w:r>
      <w:r w:rsidR="00815027" w:rsidRPr="003F3340">
        <w:rPr>
          <w:rFonts w:ascii="Arial" w:eastAsia="Calibri" w:hAnsi="Arial" w:cs="Arial"/>
          <w:sz w:val="22"/>
        </w:rPr>
        <w:t xml:space="preserve"> </w:t>
      </w:r>
      <w:r w:rsidR="00F83810" w:rsidRPr="003F3340">
        <w:rPr>
          <w:rFonts w:ascii="Arial" w:eastAsia="Calibri" w:hAnsi="Arial" w:cs="Arial"/>
          <w:sz w:val="22"/>
        </w:rPr>
        <w:t>del 5 de mayo de 2021</w:t>
      </w:r>
      <w:r w:rsidR="00A21624" w:rsidRPr="003F3340">
        <w:rPr>
          <w:rFonts w:ascii="Arial" w:eastAsia="Calibri" w:hAnsi="Arial" w:cs="Arial"/>
          <w:sz w:val="22"/>
        </w:rPr>
        <w:t>, C-259 del 2 de junio de 2021,</w:t>
      </w:r>
      <w:r w:rsidR="00AC004D" w:rsidRPr="003F3340">
        <w:rPr>
          <w:rFonts w:ascii="Arial" w:eastAsia="Calibri" w:hAnsi="Arial" w:cs="Arial"/>
          <w:sz w:val="22"/>
        </w:rPr>
        <w:t xml:space="preserve"> C-296 del 22 de junio de 2021, C-337 del 13 de julio de 2021, </w:t>
      </w:r>
      <w:r w:rsidR="006D5415" w:rsidRPr="003F3340">
        <w:rPr>
          <w:rFonts w:ascii="Arial" w:eastAsia="Calibri" w:hAnsi="Arial" w:cs="Arial"/>
          <w:sz w:val="22"/>
        </w:rPr>
        <w:t xml:space="preserve">C-350 del 16 de julio de 2021, </w:t>
      </w:r>
      <w:r w:rsidR="004832C7" w:rsidRPr="003F3340">
        <w:rPr>
          <w:rFonts w:ascii="Arial" w:eastAsia="Calibri" w:hAnsi="Arial" w:cs="Arial"/>
          <w:sz w:val="22"/>
        </w:rPr>
        <w:t xml:space="preserve">C-352 del 27 de julio de 2021, C-374 del </w:t>
      </w:r>
      <w:r w:rsidR="00907E9D" w:rsidRPr="003F3340">
        <w:rPr>
          <w:rFonts w:ascii="Arial" w:eastAsia="Calibri" w:hAnsi="Arial" w:cs="Arial"/>
          <w:sz w:val="22"/>
        </w:rPr>
        <w:t>16 de septiembre de 2021, C-381</w:t>
      </w:r>
      <w:r w:rsidR="00C355B4" w:rsidRPr="003F3340">
        <w:rPr>
          <w:rFonts w:ascii="Arial" w:eastAsia="Calibri" w:hAnsi="Arial" w:cs="Arial"/>
          <w:sz w:val="22"/>
        </w:rPr>
        <w:t xml:space="preserve"> del 2 de agosto de 2021, C-391 del 11 de agosto de 2021, </w:t>
      </w:r>
      <w:r w:rsidR="00B91CF1" w:rsidRPr="003F3340">
        <w:rPr>
          <w:rFonts w:ascii="Arial" w:eastAsia="Calibri" w:hAnsi="Arial" w:cs="Arial"/>
          <w:sz w:val="22"/>
        </w:rPr>
        <w:t xml:space="preserve">C-396 del 13 de agosto de 2021, C-401 del </w:t>
      </w:r>
      <w:r w:rsidR="00B95717" w:rsidRPr="003F3340">
        <w:rPr>
          <w:rFonts w:ascii="Arial" w:eastAsia="Calibri" w:hAnsi="Arial" w:cs="Arial"/>
          <w:sz w:val="22"/>
        </w:rPr>
        <w:t>10 de agosto de 2021, C-413 del 17 de agosto de 2021,</w:t>
      </w:r>
      <w:r w:rsidR="00482A4E" w:rsidRPr="003F3340">
        <w:rPr>
          <w:rFonts w:ascii="Arial" w:eastAsia="Calibri" w:hAnsi="Arial" w:cs="Arial"/>
          <w:sz w:val="22"/>
        </w:rPr>
        <w:t xml:space="preserve"> C-439 </w:t>
      </w:r>
      <w:r w:rsidR="00937362" w:rsidRPr="003F3340">
        <w:rPr>
          <w:rFonts w:ascii="Arial" w:eastAsia="Calibri" w:hAnsi="Arial" w:cs="Arial"/>
          <w:sz w:val="22"/>
        </w:rPr>
        <w:t xml:space="preserve"> del 27 de agosto de 2021, C-456 del </w:t>
      </w:r>
      <w:r w:rsidR="00895AA2" w:rsidRPr="003F3340">
        <w:rPr>
          <w:rFonts w:ascii="Arial" w:eastAsia="Calibri" w:hAnsi="Arial" w:cs="Arial"/>
          <w:sz w:val="22"/>
        </w:rPr>
        <w:t xml:space="preserve">3 de septiembre de 2021, C-481 del 98 de septiembre de 2021, </w:t>
      </w:r>
      <w:r w:rsidR="00A23088" w:rsidRPr="003F3340">
        <w:rPr>
          <w:rFonts w:ascii="Arial" w:eastAsia="Calibri" w:hAnsi="Arial" w:cs="Arial"/>
          <w:sz w:val="22"/>
        </w:rPr>
        <w:t xml:space="preserve">C-495 del 15 de septiembre de 2021, C-497 del </w:t>
      </w:r>
      <w:r w:rsidR="00D92C46" w:rsidRPr="003F3340">
        <w:rPr>
          <w:rFonts w:ascii="Arial" w:eastAsia="Calibri" w:hAnsi="Arial" w:cs="Arial"/>
          <w:sz w:val="22"/>
        </w:rPr>
        <w:t xml:space="preserve">15 de septiembre de 2021, C-499 </w:t>
      </w:r>
      <w:r w:rsidR="00D1440B" w:rsidRPr="003F3340">
        <w:rPr>
          <w:rFonts w:ascii="Arial" w:eastAsia="Calibri" w:hAnsi="Arial" w:cs="Arial"/>
          <w:sz w:val="22"/>
        </w:rPr>
        <w:t xml:space="preserve">del 15 de septiembre de 2021, C-523 del 10 de octubre de 2021, </w:t>
      </w:r>
      <w:r w:rsidR="006F0E22" w:rsidRPr="003F3340">
        <w:rPr>
          <w:rFonts w:ascii="Arial" w:eastAsia="Calibri" w:hAnsi="Arial" w:cs="Arial"/>
          <w:sz w:val="22"/>
        </w:rPr>
        <w:t xml:space="preserve">C-528 del 27 de septiembre de 2021, C-543 del </w:t>
      </w:r>
      <w:r w:rsidR="002B1BDA" w:rsidRPr="003F3340">
        <w:rPr>
          <w:rFonts w:ascii="Arial" w:eastAsia="Calibri" w:hAnsi="Arial" w:cs="Arial"/>
          <w:sz w:val="22"/>
        </w:rPr>
        <w:t xml:space="preserve">9 de </w:t>
      </w:r>
      <w:r w:rsidR="005B373F" w:rsidRPr="003F3340">
        <w:rPr>
          <w:rFonts w:ascii="Arial" w:eastAsia="Calibri" w:hAnsi="Arial" w:cs="Arial"/>
          <w:sz w:val="22"/>
        </w:rPr>
        <w:t>noviembre</w:t>
      </w:r>
      <w:r w:rsidR="002B1BDA" w:rsidRPr="003F3340">
        <w:rPr>
          <w:rFonts w:ascii="Arial" w:eastAsia="Calibri" w:hAnsi="Arial" w:cs="Arial"/>
          <w:sz w:val="22"/>
        </w:rPr>
        <w:t xml:space="preserve"> de 2021, C-550 del</w:t>
      </w:r>
      <w:r w:rsidR="005B373F" w:rsidRPr="003F3340">
        <w:rPr>
          <w:rFonts w:ascii="Arial" w:eastAsia="Calibri" w:hAnsi="Arial" w:cs="Arial"/>
          <w:sz w:val="22"/>
        </w:rPr>
        <w:t xml:space="preserve"> 5 de octubre de 2021, </w:t>
      </w:r>
      <w:r w:rsidR="0059058A" w:rsidRPr="003F3340">
        <w:rPr>
          <w:rFonts w:ascii="Arial" w:eastAsia="Calibri" w:hAnsi="Arial" w:cs="Arial"/>
          <w:sz w:val="22"/>
        </w:rPr>
        <w:t xml:space="preserve">C-557 del 7 de octubre de 2021, C-563 del 8 de octubre de 2021, </w:t>
      </w:r>
      <w:r w:rsidR="008E197B" w:rsidRPr="003F3340">
        <w:rPr>
          <w:rFonts w:ascii="Arial" w:eastAsia="Calibri" w:hAnsi="Arial" w:cs="Arial"/>
          <w:sz w:val="22"/>
        </w:rPr>
        <w:t>C-606 del 3 de noviembre de 2021, C-614 del 2 de noviembre de 2021, C-</w:t>
      </w:r>
      <w:r w:rsidR="005C4C81" w:rsidRPr="003F3340">
        <w:rPr>
          <w:rFonts w:ascii="Arial" w:eastAsia="Calibri" w:hAnsi="Arial" w:cs="Arial"/>
          <w:sz w:val="22"/>
        </w:rPr>
        <w:t>633 del 11 de noviembre de 2021, C-634 del 11 de noviembre de 2021</w:t>
      </w:r>
      <w:r w:rsidR="003630B0" w:rsidRPr="003F3340">
        <w:rPr>
          <w:rFonts w:ascii="Arial" w:eastAsia="Calibri" w:hAnsi="Arial" w:cs="Arial"/>
          <w:sz w:val="22"/>
        </w:rPr>
        <w:t>,</w:t>
      </w:r>
      <w:r w:rsidR="005C4C81" w:rsidRPr="003F3340">
        <w:rPr>
          <w:rFonts w:ascii="Arial" w:eastAsia="Calibri" w:hAnsi="Arial" w:cs="Arial"/>
          <w:sz w:val="22"/>
        </w:rPr>
        <w:t xml:space="preserve"> C-636 del 16 de noviembre de 2021</w:t>
      </w:r>
      <w:r w:rsidR="003630B0" w:rsidRPr="003F3340">
        <w:rPr>
          <w:rFonts w:ascii="Arial" w:eastAsia="Calibri" w:hAnsi="Arial" w:cs="Arial"/>
          <w:sz w:val="22"/>
        </w:rPr>
        <w:t>, C-</w:t>
      </w:r>
      <w:r w:rsidR="00975490" w:rsidRPr="003F3340">
        <w:rPr>
          <w:rFonts w:ascii="Arial" w:eastAsia="Calibri" w:hAnsi="Arial" w:cs="Arial"/>
          <w:sz w:val="22"/>
        </w:rPr>
        <w:t>677 del 4 de diciembre de 2021</w:t>
      </w:r>
      <w:r w:rsidR="0067388D" w:rsidRPr="003F3340">
        <w:rPr>
          <w:rFonts w:ascii="Arial" w:eastAsia="Calibri" w:hAnsi="Arial" w:cs="Arial"/>
          <w:sz w:val="22"/>
        </w:rPr>
        <w:t>, C-693 del 9 de diciembre de 2021</w:t>
      </w:r>
      <w:r w:rsidR="00AF5644" w:rsidRPr="003F3340">
        <w:rPr>
          <w:rFonts w:ascii="Arial" w:eastAsia="Calibri" w:hAnsi="Arial" w:cs="Arial"/>
          <w:sz w:val="22"/>
        </w:rPr>
        <w:t xml:space="preserve">, </w:t>
      </w:r>
      <w:r w:rsidR="00975490" w:rsidRPr="003F3340">
        <w:rPr>
          <w:rFonts w:ascii="Arial" w:eastAsia="Calibri" w:hAnsi="Arial" w:cs="Arial"/>
          <w:sz w:val="22"/>
        </w:rPr>
        <w:t>C-695 del 22 de diciembre de 2021</w:t>
      </w:r>
      <w:r w:rsidR="00AF5644" w:rsidRPr="003F3340">
        <w:rPr>
          <w:rFonts w:ascii="Arial" w:eastAsia="Calibri" w:hAnsi="Arial" w:cs="Arial"/>
          <w:sz w:val="22"/>
        </w:rPr>
        <w:t>, C-726 del 24 de enero de 2022, C-736 del 31 de enero de 2022</w:t>
      </w:r>
      <w:r w:rsidR="00C05889" w:rsidRPr="003F3340">
        <w:rPr>
          <w:rFonts w:ascii="Arial" w:eastAsia="Calibri" w:hAnsi="Arial" w:cs="Arial"/>
          <w:sz w:val="22"/>
        </w:rPr>
        <w:t>, C-116 del 18 de febrero de 2022, C-115 del 22 de marzo de 2022</w:t>
      </w:r>
      <w:r w:rsidR="00E970AD" w:rsidRPr="003F3340">
        <w:rPr>
          <w:rFonts w:ascii="Arial" w:eastAsia="Calibri" w:hAnsi="Arial" w:cs="Arial"/>
          <w:sz w:val="22"/>
        </w:rPr>
        <w:t>, C-145 del 28 de marzo de 2022, C-147 del 4 de abril de 2022</w:t>
      </w:r>
      <w:r w:rsidR="00AA59F5" w:rsidRPr="003F3340">
        <w:rPr>
          <w:rFonts w:ascii="Arial" w:eastAsia="Calibri" w:hAnsi="Arial" w:cs="Arial"/>
          <w:sz w:val="22"/>
        </w:rPr>
        <w:t>, C-151 del 5 de abril de 2022</w:t>
      </w:r>
      <w:r w:rsidR="00CF7778" w:rsidRPr="003F3340">
        <w:rPr>
          <w:rFonts w:ascii="Arial" w:eastAsia="Calibri" w:hAnsi="Arial" w:cs="Arial"/>
          <w:sz w:val="22"/>
        </w:rPr>
        <w:t xml:space="preserve"> y C-157 del 11 de abril de 2022</w:t>
      </w:r>
      <w:r w:rsidR="00F83810" w:rsidRPr="003F3340">
        <w:rPr>
          <w:rFonts w:ascii="Arial" w:eastAsia="Calibri" w:hAnsi="Arial" w:cs="Arial"/>
          <w:sz w:val="22"/>
        </w:rPr>
        <w:t xml:space="preserve">. </w:t>
      </w:r>
      <w:r w:rsidR="00D05E28" w:rsidRPr="003F3340">
        <w:rPr>
          <w:rFonts w:ascii="Arial" w:eastAsia="Calibri" w:hAnsi="Arial" w:cs="Arial"/>
          <w:sz w:val="22"/>
        </w:rPr>
        <w:t>La</w:t>
      </w:r>
      <w:r w:rsidR="008F39BD" w:rsidRPr="003F3340">
        <w:rPr>
          <w:rFonts w:ascii="Arial" w:eastAsia="Calibri" w:hAnsi="Arial" w:cs="Arial"/>
          <w:sz w:val="22"/>
        </w:rPr>
        <w:t xml:space="preserve"> tesis desarrollada en estos conceptos </w:t>
      </w:r>
      <w:r w:rsidR="00D05E28" w:rsidRPr="003F3340">
        <w:rPr>
          <w:rFonts w:ascii="Arial" w:eastAsia="Calibri" w:hAnsi="Arial" w:cs="Arial"/>
          <w:sz w:val="22"/>
        </w:rPr>
        <w:t>se</w:t>
      </w:r>
      <w:r w:rsidR="009E16CE" w:rsidRPr="003F3340">
        <w:rPr>
          <w:rFonts w:ascii="Arial" w:eastAsia="Calibri" w:hAnsi="Arial" w:cs="Arial"/>
          <w:sz w:val="22"/>
        </w:rPr>
        <w:t xml:space="preserve"> reitera y</w:t>
      </w:r>
      <w:r w:rsidR="00D05E28" w:rsidRPr="003F3340">
        <w:rPr>
          <w:rFonts w:ascii="Arial" w:eastAsia="Calibri" w:hAnsi="Arial" w:cs="Arial"/>
          <w:sz w:val="22"/>
        </w:rPr>
        <w:t xml:space="preserve"> complementa</w:t>
      </w:r>
      <w:r w:rsidR="008F39BD" w:rsidRPr="003F3340">
        <w:rPr>
          <w:rFonts w:ascii="Arial" w:eastAsia="Calibri" w:hAnsi="Arial" w:cs="Arial"/>
          <w:sz w:val="22"/>
        </w:rPr>
        <w:t xml:space="preserve"> </w:t>
      </w:r>
      <w:r w:rsidR="00815027" w:rsidRPr="003F3340">
        <w:rPr>
          <w:rFonts w:ascii="Arial" w:eastAsia="Calibri" w:hAnsi="Arial" w:cs="Arial"/>
          <w:sz w:val="22"/>
        </w:rPr>
        <w:t>a continuación</w:t>
      </w:r>
      <w:r w:rsidR="002B72C0" w:rsidRPr="003F3340">
        <w:rPr>
          <w:rFonts w:ascii="Arial" w:eastAsia="Calibri" w:hAnsi="Arial" w:cs="Arial"/>
          <w:sz w:val="22"/>
        </w:rPr>
        <w:t>:</w:t>
      </w:r>
    </w:p>
    <w:p w14:paraId="0D9A655E" w14:textId="6CCB24A3" w:rsidR="00F15A44" w:rsidRDefault="00F15A44" w:rsidP="003A4C65">
      <w:pPr>
        <w:spacing w:after="0"/>
        <w:ind w:firstLine="709"/>
        <w:rPr>
          <w:rFonts w:ascii="Arial" w:eastAsia="Calibri" w:hAnsi="Arial" w:cs="Arial"/>
          <w:sz w:val="22"/>
        </w:rPr>
      </w:pPr>
    </w:p>
    <w:p w14:paraId="703FD1CE" w14:textId="77777777" w:rsidR="00F15A44" w:rsidRPr="00D7373B" w:rsidRDefault="00F15A44" w:rsidP="00F15A44">
      <w:pPr>
        <w:tabs>
          <w:tab w:val="left" w:pos="426"/>
        </w:tabs>
        <w:spacing w:after="0"/>
        <w:rPr>
          <w:rFonts w:ascii="Arial" w:eastAsia="Calibri" w:hAnsi="Arial" w:cs="Arial"/>
          <w:b/>
          <w:bCs/>
          <w:sz w:val="22"/>
          <w:lang w:val="es-CO"/>
        </w:rPr>
      </w:pPr>
      <w:r w:rsidRPr="00FF5EBA">
        <w:rPr>
          <w:rFonts w:ascii="Arial" w:eastAsia="Calibri" w:hAnsi="Arial" w:cs="Arial"/>
          <w:b/>
          <w:bCs/>
          <w:sz w:val="22"/>
          <w:lang w:val="es-CO"/>
        </w:rPr>
        <w:t>2.1. Definición y finalidad de la Ley de Garantías Electorales: alcance de las restricciones</w:t>
      </w:r>
    </w:p>
    <w:p w14:paraId="5B60CDC3" w14:textId="77777777" w:rsidR="00F15A44" w:rsidRPr="00D7373B" w:rsidRDefault="00F15A44" w:rsidP="00F15A44">
      <w:pPr>
        <w:tabs>
          <w:tab w:val="left" w:pos="426"/>
        </w:tabs>
        <w:spacing w:after="0"/>
        <w:ind w:firstLine="709"/>
        <w:rPr>
          <w:rFonts w:ascii="Arial" w:eastAsia="Calibri" w:hAnsi="Arial" w:cs="Arial"/>
          <w:bCs/>
          <w:sz w:val="22"/>
          <w:lang w:val="es-CO"/>
        </w:rPr>
      </w:pPr>
    </w:p>
    <w:p w14:paraId="2BC28A7B" w14:textId="77777777" w:rsidR="00F15A44" w:rsidRPr="00D7373B" w:rsidRDefault="00F15A44" w:rsidP="00F15A44">
      <w:pPr>
        <w:tabs>
          <w:tab w:val="left" w:pos="426"/>
        </w:tabs>
        <w:spacing w:after="120"/>
        <w:rPr>
          <w:rFonts w:ascii="Arial" w:eastAsia="Times New Roman" w:hAnsi="Arial" w:cs="Arial"/>
          <w:bCs/>
          <w:sz w:val="22"/>
          <w:lang w:val="es-CO" w:eastAsia="es-CO"/>
        </w:rPr>
      </w:pPr>
      <w:r w:rsidRPr="00D7373B">
        <w:rPr>
          <w:rFonts w:ascii="Arial" w:eastAsia="Calibri" w:hAnsi="Arial" w:cs="Arial"/>
          <w:bCs/>
          <w:sz w:val="22"/>
          <w:lang w:val="es-CO"/>
        </w:rPr>
        <w:t>El ordenamiento jurídico colombiano contempla previsiones claras para evitar la obtención de beneficios personales en asuntos propios de la administración pública</w:t>
      </w:r>
      <w:r w:rsidRPr="00D7373B">
        <w:rPr>
          <w:rFonts w:ascii="Arial" w:eastAsia="Calibri" w:hAnsi="Arial" w:cs="Arial"/>
          <w:bCs/>
          <w:i/>
          <w:iCs/>
          <w:sz w:val="22"/>
          <w:lang w:val="es-CO"/>
        </w:rPr>
        <w:t xml:space="preserve">. </w:t>
      </w:r>
      <w:r w:rsidRPr="00D7373B">
        <w:rPr>
          <w:rFonts w:ascii="Arial" w:eastAsia="Calibri" w:hAnsi="Arial" w:cs="Arial"/>
          <w:bCs/>
          <w:sz w:val="22"/>
          <w:lang w:val="es-CO"/>
        </w:rPr>
        <w:t xml:space="preserve">Por ejemplo, el artículo 127 de la Constitución Política establece una prohibición </w:t>
      </w:r>
      <w:r w:rsidRPr="00D7373B">
        <w:rPr>
          <w:rFonts w:ascii="Arial" w:eastAsia="Calibri" w:hAnsi="Arial" w:cs="Arial"/>
          <w:bCs/>
          <w:sz w:val="22"/>
          <w:lang w:val="es-CO"/>
        </w:rPr>
        <w:lastRenderedPageBreak/>
        <w:t>contractual a los servidores públicos y en cuanto a aspectos políticos establece restricciones a ciertos empleados del Estado, incluso en época no electoral</w:t>
      </w:r>
      <w:r w:rsidRPr="00D7373B">
        <w:rPr>
          <w:rStyle w:val="Refdenotaalpie"/>
          <w:rFonts w:ascii="Arial" w:eastAsia="Calibri" w:hAnsi="Arial" w:cs="Arial"/>
          <w:bCs/>
          <w:sz w:val="22"/>
          <w:lang w:val="es-CO"/>
        </w:rPr>
        <w:footnoteReference w:id="1"/>
      </w:r>
      <w:r w:rsidRPr="00D7373B">
        <w:rPr>
          <w:rFonts w:ascii="Arial" w:eastAsia="Calibri" w:hAnsi="Arial" w:cs="Arial"/>
          <w:bCs/>
          <w:sz w:val="22"/>
          <w:lang w:val="es-CO"/>
        </w:rPr>
        <w:t xml:space="preserve">. </w:t>
      </w:r>
    </w:p>
    <w:p w14:paraId="614765F3" w14:textId="77777777" w:rsidR="00F15A44" w:rsidRPr="00D7373B" w:rsidRDefault="00F15A44" w:rsidP="00F15A44">
      <w:pPr>
        <w:tabs>
          <w:tab w:val="left" w:pos="426"/>
        </w:tabs>
        <w:spacing w:after="0"/>
        <w:ind w:firstLine="709"/>
        <w:rPr>
          <w:rFonts w:ascii="Arial" w:eastAsia="Times New Roman" w:hAnsi="Arial" w:cs="Arial"/>
          <w:bCs/>
          <w:sz w:val="22"/>
          <w:lang w:eastAsia="es-CO"/>
        </w:rPr>
      </w:pPr>
      <w:r w:rsidRPr="00D7373B">
        <w:rPr>
          <w:rFonts w:ascii="Arial" w:eastAsia="Times New Roman" w:hAnsi="Arial" w:cs="Arial"/>
          <w:bCs/>
          <w:sz w:val="22"/>
          <w:lang w:val="es-CO" w:eastAsia="es-CO"/>
        </w:rPr>
        <w:t>En el mismo sentido</w:t>
      </w:r>
      <w:r w:rsidRPr="00D7373B">
        <w:rPr>
          <w:rFonts w:ascii="Arial" w:eastAsia="Times New Roman" w:hAnsi="Arial" w:cs="Arial"/>
          <w:bCs/>
          <w:sz w:val="22"/>
          <w:lang w:eastAsia="es-CO"/>
        </w:rPr>
        <w:t xml:space="preserve">, </w:t>
      </w:r>
      <w:bookmarkStart w:id="6" w:name="_Hlk95742888"/>
      <w:r w:rsidRPr="00D7373B">
        <w:rPr>
          <w:rFonts w:ascii="Arial" w:eastAsia="Times New Roman" w:hAnsi="Arial" w:cs="Arial"/>
          <w:bCs/>
          <w:sz w:val="22"/>
          <w:lang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bookmarkEnd w:id="6"/>
      <w:r w:rsidRPr="00D7373B">
        <w:rPr>
          <w:rStyle w:val="Refdenotaalpie"/>
          <w:rFonts w:ascii="Arial" w:eastAsia="Times New Roman" w:hAnsi="Arial" w:cs="Arial"/>
          <w:bCs/>
          <w:sz w:val="22"/>
          <w:lang w:eastAsia="es-CO"/>
        </w:rPr>
        <w:footnoteReference w:id="2"/>
      </w:r>
      <w:r w:rsidRPr="00D7373B">
        <w:rPr>
          <w:rFonts w:ascii="Arial" w:eastAsia="Times New Roman"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D7373B">
        <w:rPr>
          <w:rFonts w:ascii="Arial" w:eastAsia="Calibri" w:hAnsi="Arial" w:cs="Arial"/>
          <w:noProof/>
          <w:sz w:val="22"/>
          <w:lang w:val="es-ES_tradnl"/>
        </w:rPr>
        <w:t xml:space="preserve"> </w:t>
      </w:r>
      <w:r w:rsidRPr="00D7373B">
        <w:rPr>
          <w:rFonts w:ascii="Arial" w:eastAsia="Times New Roman" w:hAnsi="Arial" w:cs="Arial"/>
          <w:bCs/>
          <w:sz w:val="22"/>
          <w:lang w:eastAsia="es-CO"/>
        </w:rPr>
        <w:t>En armonía con lo anterior, la Corte Constitucional ha abordado la definición de la Ley de Garantías Electorales. De esta manera, explica que tiene como propósito:</w:t>
      </w:r>
    </w:p>
    <w:p w14:paraId="0B1F103E" w14:textId="77777777" w:rsidR="00F15A44" w:rsidRPr="00D7373B" w:rsidRDefault="00F15A44" w:rsidP="00F15A44">
      <w:pPr>
        <w:spacing w:after="0"/>
        <w:ind w:right="709"/>
        <w:rPr>
          <w:rFonts w:ascii="Arial" w:eastAsia="Times New Roman" w:hAnsi="Arial" w:cs="Arial"/>
          <w:sz w:val="21"/>
          <w:szCs w:val="21"/>
          <w:lang w:val="es-ES" w:eastAsia="es-CO"/>
        </w:rPr>
      </w:pPr>
    </w:p>
    <w:p w14:paraId="41BEE2C1" w14:textId="77777777" w:rsidR="00F15A44" w:rsidRPr="00D7373B" w:rsidRDefault="00F15A44" w:rsidP="00F15A44">
      <w:pPr>
        <w:spacing w:after="0" w:line="240" w:lineRule="auto"/>
        <w:ind w:left="709" w:right="709"/>
        <w:rPr>
          <w:rFonts w:ascii="Arial" w:eastAsia="Times New Roman" w:hAnsi="Arial" w:cs="Arial"/>
          <w:bCs/>
          <w:sz w:val="21"/>
          <w:szCs w:val="21"/>
          <w:lang w:eastAsia="es-CO"/>
        </w:rPr>
      </w:pPr>
      <w:r w:rsidRPr="00D7373B">
        <w:rPr>
          <w:rFonts w:ascii="Arial" w:eastAsia="Times New Roman" w:hAnsi="Arial" w:cs="Arial"/>
          <w:sz w:val="21"/>
          <w:szCs w:val="21"/>
          <w:lang w:val="es-ES" w:eastAsia="es-CO"/>
        </w:rPr>
        <w:t xml:space="preserve">[…] </w:t>
      </w:r>
      <w:r w:rsidRPr="00D7373B">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530DE3D9" w14:textId="77777777" w:rsidR="00F15A44" w:rsidRPr="00D7373B" w:rsidRDefault="00F15A44" w:rsidP="00F15A44">
      <w:pPr>
        <w:spacing w:after="120" w:line="240" w:lineRule="auto"/>
        <w:ind w:left="709" w:right="709"/>
        <w:rPr>
          <w:rFonts w:ascii="Arial" w:eastAsia="Times New Roman" w:hAnsi="Arial" w:cs="Arial"/>
          <w:bCs/>
          <w:sz w:val="21"/>
          <w:szCs w:val="21"/>
          <w:lang w:eastAsia="es-CO"/>
        </w:rPr>
      </w:pPr>
      <w:r w:rsidRPr="00D7373B">
        <w:rPr>
          <w:rFonts w:ascii="Arial" w:eastAsia="Times New Roman" w:hAnsi="Arial" w:cs="Arial"/>
          <w:bCs/>
          <w:sz w:val="21"/>
          <w:szCs w:val="21"/>
          <w:lang w:eastAsia="es-CO"/>
        </w:rPr>
        <w:t xml:space="preserve">[…] </w:t>
      </w:r>
    </w:p>
    <w:p w14:paraId="56EADE96" w14:textId="77777777" w:rsidR="00F15A44" w:rsidRPr="00D7373B" w:rsidRDefault="00F15A44" w:rsidP="00F15A44">
      <w:pPr>
        <w:spacing w:after="0" w:line="240" w:lineRule="auto"/>
        <w:ind w:left="709" w:right="709"/>
        <w:rPr>
          <w:rFonts w:ascii="Arial" w:eastAsia="Times New Roman" w:hAnsi="Arial" w:cs="Arial"/>
          <w:bCs/>
          <w:sz w:val="21"/>
          <w:szCs w:val="21"/>
          <w:lang w:eastAsia="es-CO"/>
        </w:rPr>
      </w:pPr>
      <w:r w:rsidRPr="00D7373B">
        <w:rPr>
          <w:rFonts w:ascii="Arial" w:eastAsia="Times New Roman" w:hAnsi="Arial" w:cs="Arial"/>
          <w:bCs/>
          <w:sz w:val="21"/>
          <w:szCs w:val="21"/>
          <w:lang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w:t>
      </w:r>
      <w:r w:rsidRPr="00D7373B">
        <w:rPr>
          <w:rFonts w:ascii="Arial" w:eastAsia="Times New Roman" w:hAnsi="Arial" w:cs="Arial"/>
          <w:bCs/>
          <w:sz w:val="21"/>
          <w:szCs w:val="21"/>
          <w:lang w:eastAsia="es-CO"/>
        </w:rPr>
        <w:lastRenderedPageBreak/>
        <w:t>las ideas y las propuestas las que definan el ascenso al poder, y no el músculo económico de los que se lo disputan.</w:t>
      </w:r>
      <w:r w:rsidRPr="00D7373B">
        <w:rPr>
          <w:rStyle w:val="Refdenotaalpie"/>
          <w:rFonts w:ascii="Arial" w:hAnsi="Arial" w:cs="Arial"/>
          <w:sz w:val="20"/>
          <w:szCs w:val="20"/>
        </w:rPr>
        <w:footnoteReference w:id="3"/>
      </w:r>
    </w:p>
    <w:p w14:paraId="0B6A09C5" w14:textId="77777777" w:rsidR="00F15A44" w:rsidRPr="00D7373B" w:rsidRDefault="00F15A44" w:rsidP="00F15A44">
      <w:pPr>
        <w:spacing w:after="0"/>
        <w:ind w:left="709" w:right="709"/>
        <w:rPr>
          <w:rFonts w:ascii="Arial" w:eastAsia="Times New Roman" w:hAnsi="Arial" w:cs="Arial"/>
          <w:bCs/>
          <w:sz w:val="21"/>
          <w:szCs w:val="21"/>
          <w:lang w:eastAsia="es-CO"/>
        </w:rPr>
      </w:pPr>
    </w:p>
    <w:p w14:paraId="7E0585E8" w14:textId="77777777" w:rsidR="00F15A44" w:rsidRPr="00D7373B" w:rsidRDefault="00F15A44" w:rsidP="00F15A44">
      <w:pPr>
        <w:spacing w:after="0"/>
        <w:ind w:firstLine="709"/>
        <w:rPr>
          <w:rFonts w:ascii="Arial" w:eastAsia="Times New Roman" w:hAnsi="Arial" w:cs="Arial"/>
          <w:bCs/>
          <w:sz w:val="22"/>
          <w:lang w:eastAsia="es-CO"/>
        </w:rPr>
      </w:pPr>
      <w:r w:rsidRPr="00D7373B">
        <w:rPr>
          <w:rFonts w:ascii="Arial" w:eastAsia="Times New Roman"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4EF1017" w14:textId="77777777" w:rsidR="00F15A44" w:rsidRPr="00D7373B" w:rsidRDefault="00F15A44" w:rsidP="00F15A44">
      <w:pPr>
        <w:spacing w:after="0"/>
        <w:ind w:firstLine="709"/>
        <w:rPr>
          <w:rFonts w:ascii="Arial" w:eastAsia="Times New Roman" w:hAnsi="Arial" w:cs="Arial"/>
          <w:bCs/>
          <w:sz w:val="22"/>
          <w:lang w:eastAsia="es-CO"/>
        </w:rPr>
      </w:pPr>
    </w:p>
    <w:p w14:paraId="5249111B" w14:textId="77777777" w:rsidR="00F15A44" w:rsidRPr="00D7373B" w:rsidRDefault="00F15A44" w:rsidP="00F15A44">
      <w:pPr>
        <w:spacing w:after="120" w:line="240" w:lineRule="auto"/>
        <w:ind w:left="709" w:right="709"/>
        <w:rPr>
          <w:rFonts w:ascii="Arial" w:eastAsia="Times New Roman" w:hAnsi="Arial" w:cs="Arial"/>
          <w:bCs/>
          <w:sz w:val="21"/>
          <w:szCs w:val="21"/>
          <w:lang w:eastAsia="es-CO"/>
        </w:rPr>
      </w:pPr>
      <w:r w:rsidRPr="00D7373B">
        <w:rPr>
          <w:rFonts w:ascii="Arial" w:eastAsia="Times New Roman"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8220EFA" w14:textId="77777777" w:rsidR="00F15A44" w:rsidRPr="00D7373B" w:rsidRDefault="00F15A44" w:rsidP="00F15A44">
      <w:pPr>
        <w:spacing w:after="0" w:line="240" w:lineRule="auto"/>
        <w:ind w:left="709" w:right="709"/>
        <w:rPr>
          <w:rFonts w:ascii="Arial" w:eastAsia="Times New Roman" w:hAnsi="Arial" w:cs="Arial"/>
          <w:bCs/>
          <w:sz w:val="21"/>
          <w:szCs w:val="21"/>
          <w:lang w:eastAsia="es-CO"/>
        </w:rPr>
      </w:pPr>
      <w:r w:rsidRPr="00D7373B">
        <w:rPr>
          <w:rFonts w:ascii="Arial" w:eastAsia="Times New Roman" w:hAnsi="Arial" w:cs="Arial"/>
          <w:bCs/>
          <w:sz w:val="21"/>
          <w:szCs w:val="21"/>
          <w:lang w:eastAsia="es-CO"/>
        </w:rPr>
        <w:t>La jurisprudencia de la Corte Constitucional</w:t>
      </w:r>
      <w:r w:rsidRPr="00D7373B">
        <w:rPr>
          <w:rStyle w:val="Refdenotaalpie"/>
          <w:rFonts w:ascii="Arial" w:eastAsia="Times New Roman" w:hAnsi="Arial" w:cs="Arial"/>
          <w:bCs/>
          <w:sz w:val="21"/>
          <w:szCs w:val="21"/>
          <w:lang w:eastAsia="es-CO"/>
        </w:rPr>
        <w:footnoteReference w:id="4"/>
      </w:r>
      <w:r w:rsidRPr="00D7373B">
        <w:rPr>
          <w:rFonts w:ascii="Arial" w:eastAsia="Times New Roman" w:hAnsi="Arial" w:cs="Arial"/>
          <w:bCs/>
          <w:sz w:val="21"/>
          <w:szCs w:val="21"/>
          <w:lang w:eastAsia="es-CO"/>
        </w:rPr>
        <w:t> y del Consejo de Estado</w:t>
      </w:r>
      <w:r w:rsidRPr="00D7373B">
        <w:rPr>
          <w:rStyle w:val="Refdenotaalpie"/>
          <w:rFonts w:ascii="Arial" w:eastAsia="Times New Roman" w:hAnsi="Arial" w:cs="Arial"/>
          <w:bCs/>
          <w:sz w:val="21"/>
          <w:szCs w:val="21"/>
          <w:lang w:eastAsia="es-CO"/>
        </w:rPr>
        <w:footnoteReference w:id="5"/>
      </w:r>
      <w:r w:rsidRPr="00D7373B">
        <w:rPr>
          <w:rFonts w:ascii="Arial" w:eastAsia="Times New Roman"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w:t>
      </w:r>
      <w:r w:rsidRPr="00D7373B">
        <w:rPr>
          <w:rFonts w:ascii="Arial" w:eastAsia="Times New Roman" w:hAnsi="Arial" w:cs="Arial"/>
          <w:bCs/>
          <w:sz w:val="21"/>
          <w:szCs w:val="21"/>
          <w:lang w:eastAsia="es-CO"/>
        </w:rPr>
        <w:lastRenderedPageBreak/>
        <w:t>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D7373B">
        <w:rPr>
          <w:rStyle w:val="Refdenotaalpie"/>
          <w:rFonts w:ascii="Arial" w:eastAsia="Times New Roman" w:hAnsi="Arial" w:cs="Arial"/>
          <w:bCs/>
          <w:sz w:val="22"/>
          <w:lang w:eastAsia="es-CO"/>
        </w:rPr>
        <w:footnoteReference w:id="6"/>
      </w:r>
      <w:r w:rsidRPr="00D7373B">
        <w:rPr>
          <w:rFonts w:ascii="Arial" w:eastAsia="Times New Roman" w:hAnsi="Arial" w:cs="Arial"/>
          <w:bCs/>
          <w:sz w:val="21"/>
          <w:szCs w:val="21"/>
          <w:lang w:eastAsia="es-CO"/>
        </w:rPr>
        <w:t>.</w:t>
      </w:r>
    </w:p>
    <w:p w14:paraId="2DA56251" w14:textId="77777777" w:rsidR="00F15A44" w:rsidRPr="00D7373B" w:rsidRDefault="00F15A44" w:rsidP="00F15A44">
      <w:pPr>
        <w:spacing w:after="0"/>
        <w:ind w:right="709"/>
        <w:rPr>
          <w:rFonts w:ascii="Arial" w:eastAsia="Times New Roman" w:hAnsi="Arial" w:cs="Arial"/>
          <w:bCs/>
          <w:sz w:val="21"/>
          <w:szCs w:val="21"/>
          <w:lang w:eastAsia="es-CO"/>
        </w:rPr>
      </w:pPr>
    </w:p>
    <w:p w14:paraId="3CB97A91" w14:textId="77777777" w:rsidR="00F15A44" w:rsidRPr="00D7373B" w:rsidRDefault="00F15A44" w:rsidP="00F15A44">
      <w:pPr>
        <w:spacing w:after="120"/>
        <w:rPr>
          <w:rFonts w:ascii="Arial" w:eastAsia="Arial" w:hAnsi="Arial" w:cs="Arial"/>
          <w:sz w:val="22"/>
          <w:lang w:val="es-ES" w:eastAsia="es-ES" w:bidi="es-ES"/>
        </w:rPr>
      </w:pPr>
      <w:r w:rsidRPr="00D7373B">
        <w:rPr>
          <w:rFonts w:ascii="Arial" w:eastAsia="Times New Roman" w:hAnsi="Arial" w:cs="Arial"/>
          <w:bCs/>
          <w:sz w:val="22"/>
          <w:lang w:eastAsia="es-CO"/>
        </w:rPr>
        <w:tab/>
        <w:t>De</w:t>
      </w:r>
      <w:r w:rsidRPr="00D7373B">
        <w:rPr>
          <w:rFonts w:ascii="Arial" w:eastAsia="Arial" w:hAnsi="Arial" w:cs="Arial"/>
          <w:sz w:val="22"/>
          <w:lang w:val="es-ES"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329FEEE8" w14:textId="77777777" w:rsidR="00F15A44" w:rsidRPr="00D7373B" w:rsidRDefault="00F15A44" w:rsidP="00F15A44">
      <w:pPr>
        <w:spacing w:after="120"/>
        <w:ind w:firstLine="708"/>
        <w:rPr>
          <w:rFonts w:ascii="Arial" w:eastAsia="Calibri" w:hAnsi="Arial" w:cs="Arial"/>
          <w:sz w:val="22"/>
          <w:lang w:val="es-CO"/>
        </w:rPr>
      </w:pPr>
      <w:r w:rsidRPr="00D7373B">
        <w:rPr>
          <w:rFonts w:ascii="Arial" w:eastAsia="Calibri" w:hAnsi="Arial" w:cs="Arial"/>
          <w:sz w:val="22"/>
          <w:lang w:val="es-CO"/>
        </w:rPr>
        <w:t xml:space="preserve">Por un lado, el artículo 33 de la Ley 996 de 2005 prohíbe </w:t>
      </w:r>
      <w:r w:rsidRPr="00D7373B">
        <w:rPr>
          <w:rFonts w:ascii="Arial" w:eastAsia="Calibri" w:hAnsi="Arial" w:cs="Arial"/>
          <w:bCs/>
          <w:sz w:val="22"/>
          <w:lang w:val="es-CO"/>
        </w:rPr>
        <w:t xml:space="preserve">«[…] </w:t>
      </w:r>
      <w:r w:rsidRPr="00D7373B">
        <w:rPr>
          <w:rFonts w:ascii="Arial" w:eastAsia="Calibri" w:hAnsi="Arial" w:cs="Arial"/>
          <w:sz w:val="22"/>
          <w:lang w:val="es-CO"/>
        </w:rPr>
        <w:t>la contratación directa por parte de todos los entes del Estado</w:t>
      </w:r>
      <w:r w:rsidRPr="00D7373B">
        <w:rPr>
          <w:rFonts w:ascii="Arial" w:eastAsia="Calibri" w:hAnsi="Arial" w:cs="Arial"/>
          <w:bCs/>
          <w:sz w:val="22"/>
          <w:lang w:val="es-CO"/>
        </w:rPr>
        <w:t>»</w:t>
      </w:r>
      <w:r w:rsidRPr="00D7373B">
        <w:rPr>
          <w:rFonts w:ascii="Arial" w:eastAsia="Calibri" w:hAnsi="Arial" w:cs="Arial"/>
          <w:sz w:val="22"/>
          <w:lang w:val="es-CO"/>
        </w:rPr>
        <w:t xml:space="preserve"> durante los cuatro (4) meses anteriores a las elecciones presidenciales, salvo </w:t>
      </w:r>
      <w:r w:rsidRPr="00D7373B">
        <w:rPr>
          <w:rFonts w:ascii="Arial" w:eastAsia="Calibri" w:hAnsi="Arial" w:cs="Arial"/>
          <w:bCs/>
          <w:sz w:val="22"/>
          <w:lang w:val="es-CO"/>
        </w:rPr>
        <w:t xml:space="preserve">«[…] </w:t>
      </w:r>
      <w:r w:rsidRPr="00D7373B">
        <w:rPr>
          <w:rFonts w:ascii="Arial" w:eastAsia="Calibri" w:hAnsi="Arial" w:cs="Arial"/>
          <w:sz w:val="22"/>
          <w:lang w:val="es-CO"/>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D7373B">
        <w:rPr>
          <w:rFonts w:ascii="Arial" w:eastAsia="Calibri" w:hAnsi="Arial" w:cs="Arial"/>
          <w:bCs/>
          <w:sz w:val="22"/>
          <w:lang w:val="es-CO"/>
        </w:rPr>
        <w:t>»</w:t>
      </w:r>
      <w:r w:rsidRPr="00D7373B">
        <w:rPr>
          <w:rFonts w:ascii="Arial" w:eastAsia="Calibri" w:hAnsi="Arial" w:cs="Arial"/>
          <w:bCs/>
          <w:sz w:val="22"/>
          <w:vertAlign w:val="superscript"/>
          <w:lang w:val="es-CO"/>
        </w:rPr>
        <w:footnoteReference w:id="7"/>
      </w:r>
      <w:r w:rsidRPr="00D7373B">
        <w:rPr>
          <w:rFonts w:ascii="Arial" w:eastAsia="Calibri" w:hAnsi="Arial" w:cs="Arial"/>
          <w:sz w:val="22"/>
          <w:lang w:val="es-CO"/>
        </w:rPr>
        <w:t>.</w:t>
      </w:r>
    </w:p>
    <w:p w14:paraId="3C9D1924" w14:textId="77777777" w:rsidR="00F15A44" w:rsidRPr="00D7373B" w:rsidRDefault="00F15A44" w:rsidP="00F15A44">
      <w:pPr>
        <w:widowControl w:val="0"/>
        <w:autoSpaceDE w:val="0"/>
        <w:autoSpaceDN w:val="0"/>
        <w:spacing w:after="120"/>
        <w:ind w:firstLine="709"/>
        <w:rPr>
          <w:rFonts w:ascii="Arial" w:eastAsia="Calibri" w:hAnsi="Arial" w:cs="Arial"/>
          <w:sz w:val="22"/>
        </w:rPr>
      </w:pPr>
      <w:r w:rsidRPr="00D7373B">
        <w:rPr>
          <w:rFonts w:ascii="Arial" w:eastAsia="Calibri" w:hAnsi="Arial" w:cs="Arial"/>
          <w:sz w:val="22"/>
          <w:lang w:val="es-CO"/>
        </w:rPr>
        <w:t xml:space="preserve">Por otro lado, el parágrafo del artículo 38 de la Ley 996 de 2005 prevé una </w:t>
      </w:r>
      <w:r w:rsidRPr="00D7373B">
        <w:rPr>
          <w:rFonts w:ascii="Arial" w:eastAsia="Calibri" w:hAnsi="Arial" w:cs="Arial"/>
          <w:sz w:val="22"/>
          <w:lang w:val="es-CO"/>
        </w:rPr>
        <w:lastRenderedPageBreak/>
        <w:t xml:space="preserve">restricción, aplicable respecto de cualquier tipo de contienda electoral, que prohíbe a los gobernadores, alcaldes municipales o distritales, secretarios, gerentes y directores de entidades descentralizadas del orden municipal, departamental o distrital dentro de los 4 meses anteriores a la respectiva elección </w:t>
      </w:r>
      <w:r w:rsidRPr="00D7373B">
        <w:rPr>
          <w:rFonts w:ascii="Arial" w:eastAsia="Calibri" w:hAnsi="Arial" w:cs="Arial"/>
          <w:bCs/>
          <w:sz w:val="22"/>
          <w:lang w:val="es-CO"/>
        </w:rPr>
        <w:t xml:space="preserve">«[…] </w:t>
      </w:r>
      <w:r w:rsidRPr="00D7373B">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7373B">
        <w:rPr>
          <w:rFonts w:ascii="Arial" w:eastAsia="Calibri" w:hAnsi="Arial" w:cs="Arial"/>
          <w:bCs/>
          <w:sz w:val="19"/>
          <w:szCs w:val="19"/>
          <w:lang w:val="es-CO"/>
        </w:rPr>
        <w:t>»</w:t>
      </w:r>
      <w:r w:rsidRPr="00D7373B">
        <w:rPr>
          <w:rFonts w:ascii="Arial" w:eastAsia="Calibri" w:hAnsi="Arial" w:cs="Arial"/>
          <w:bCs/>
          <w:sz w:val="19"/>
          <w:szCs w:val="19"/>
          <w:vertAlign w:val="superscript"/>
          <w:lang w:val="es-CO"/>
        </w:rPr>
        <w:footnoteReference w:id="8"/>
      </w:r>
      <w:r w:rsidRPr="00D7373B">
        <w:rPr>
          <w:rFonts w:ascii="Arial" w:eastAsia="Calibri" w:hAnsi="Arial" w:cs="Arial"/>
          <w:sz w:val="22"/>
        </w:rPr>
        <w:t xml:space="preserve">. </w:t>
      </w:r>
    </w:p>
    <w:p w14:paraId="5F92F2E3" w14:textId="142683DD" w:rsidR="00F15A44" w:rsidRPr="00D7373B" w:rsidRDefault="00F15A44" w:rsidP="00F15A44">
      <w:pPr>
        <w:widowControl w:val="0"/>
        <w:autoSpaceDE w:val="0"/>
        <w:autoSpaceDN w:val="0"/>
        <w:spacing w:after="160"/>
        <w:ind w:firstLine="709"/>
        <w:rPr>
          <w:rFonts w:ascii="Arial" w:eastAsia="Arial" w:hAnsi="Arial" w:cs="Arial"/>
          <w:sz w:val="22"/>
          <w:lang w:val="es-ES" w:eastAsia="es-ES" w:bidi="es-ES"/>
        </w:rPr>
      </w:pPr>
      <w:r w:rsidRPr="00D7373B">
        <w:rPr>
          <w:rFonts w:ascii="Arial" w:eastAsia="Arial" w:hAnsi="Arial" w:cs="Arial"/>
          <w:sz w:val="22"/>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237CD5CB" w14:textId="77777777" w:rsidR="00F15A44" w:rsidRPr="00D7373B" w:rsidRDefault="00F15A44" w:rsidP="00F15A44">
      <w:pPr>
        <w:widowControl w:val="0"/>
        <w:autoSpaceDE w:val="0"/>
        <w:autoSpaceDN w:val="0"/>
        <w:spacing w:after="0" w:line="240" w:lineRule="auto"/>
        <w:ind w:left="709" w:right="709"/>
        <w:rPr>
          <w:rFonts w:ascii="Arial" w:eastAsia="Arial" w:hAnsi="Arial" w:cs="Arial"/>
          <w:sz w:val="21"/>
          <w:szCs w:val="21"/>
          <w:lang w:val="es-ES" w:eastAsia="es-ES" w:bidi="es-ES"/>
        </w:rPr>
      </w:pPr>
      <w:r w:rsidRPr="00D7373B">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D7373B">
        <w:rPr>
          <w:rFonts w:ascii="Arial" w:eastAsia="Arial" w:hAnsi="Arial" w:cs="Arial"/>
          <w:bCs/>
          <w:sz w:val="21"/>
          <w:szCs w:val="21"/>
          <w:lang w:val="es-ES" w:eastAsia="es-ES" w:bidi="es-ES"/>
        </w:rPr>
        <w:t xml:space="preserve">En cambio, para elecciones en general, excluyendo las correspondientes a </w:t>
      </w:r>
      <w:proofErr w:type="gramStart"/>
      <w:r w:rsidRPr="00D7373B">
        <w:rPr>
          <w:rFonts w:ascii="Arial" w:eastAsia="Arial" w:hAnsi="Arial" w:cs="Arial"/>
          <w:bCs/>
          <w:sz w:val="21"/>
          <w:szCs w:val="21"/>
          <w:lang w:val="es-ES" w:eastAsia="es-ES" w:bidi="es-ES"/>
        </w:rPr>
        <w:t>Presidente</w:t>
      </w:r>
      <w:proofErr w:type="gramEnd"/>
      <w:r w:rsidRPr="00D7373B">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D7373B">
        <w:rPr>
          <w:rFonts w:ascii="Arial" w:eastAsia="Arial" w:hAnsi="Arial" w:cs="Arial"/>
          <w:sz w:val="21"/>
          <w:szCs w:val="21"/>
          <w:lang w:val="es-ES" w:eastAsia="es-ES" w:bidi="es-ES"/>
        </w:rPr>
        <w:t>.</w:t>
      </w:r>
      <w:r w:rsidRPr="00D7373B">
        <w:rPr>
          <w:rFonts w:ascii="Arial" w:eastAsia="Arial" w:hAnsi="Arial" w:cs="Arial"/>
          <w:sz w:val="21"/>
          <w:szCs w:val="21"/>
          <w:vertAlign w:val="superscript"/>
          <w:lang w:val="es-ES" w:eastAsia="es-ES" w:bidi="es-ES"/>
        </w:rPr>
        <w:footnoteReference w:id="9"/>
      </w:r>
    </w:p>
    <w:p w14:paraId="072292BC" w14:textId="77777777" w:rsidR="00F15A44" w:rsidRPr="00D7373B" w:rsidRDefault="00F15A44" w:rsidP="00F15A44">
      <w:pPr>
        <w:widowControl w:val="0"/>
        <w:autoSpaceDE w:val="0"/>
        <w:autoSpaceDN w:val="0"/>
        <w:spacing w:before="8" w:after="0"/>
        <w:jc w:val="left"/>
        <w:rPr>
          <w:rFonts w:ascii="Arial" w:eastAsia="Arial" w:hAnsi="Arial" w:cs="Arial"/>
          <w:sz w:val="22"/>
          <w:lang w:val="es-ES" w:eastAsia="es-ES" w:bidi="es-ES"/>
        </w:rPr>
      </w:pPr>
    </w:p>
    <w:p w14:paraId="5463DC6F" w14:textId="77777777" w:rsidR="00F15A44" w:rsidRPr="00D7373B" w:rsidRDefault="00F15A44" w:rsidP="00F15A44">
      <w:pPr>
        <w:spacing w:after="120"/>
        <w:ind w:firstLine="709"/>
        <w:rPr>
          <w:rFonts w:ascii="Arial" w:eastAsia="Arial" w:hAnsi="Arial" w:cs="Arial"/>
          <w:sz w:val="22"/>
          <w:lang w:val="es-ES" w:eastAsia="es-ES" w:bidi="es-ES"/>
        </w:rPr>
      </w:pPr>
      <w:r w:rsidRPr="00D7373B">
        <w:rPr>
          <w:rFonts w:ascii="Arial" w:eastAsia="Arial" w:hAnsi="Arial" w:cs="Arial"/>
          <w:sz w:val="22"/>
          <w:lang w:val="es-ES" w:eastAsia="es-ES" w:bidi="es-ES"/>
        </w:rPr>
        <w:lastRenderedPageBreak/>
        <w:t xml:space="preserve">De conformidad con lo anterior, la Ley 996 de 2005 establece dos (2) tipos de restricciones en materia de contratación, las cuales coinciden parcialmente. </w:t>
      </w:r>
      <w:r w:rsidRPr="00D7373B">
        <w:rPr>
          <w:rFonts w:ascii="Arial" w:eastAsia="Arial" w:hAnsi="Arial" w:cs="Arial"/>
          <w:i/>
          <w:iCs/>
          <w:sz w:val="22"/>
          <w:lang w:val="es-ES" w:eastAsia="es-ES" w:bidi="es-ES"/>
        </w:rPr>
        <w:t>En primer lugar</w:t>
      </w:r>
      <w:r w:rsidRPr="00D7373B">
        <w:rPr>
          <w:rFonts w:ascii="Arial" w:eastAsia="Arial" w:hAnsi="Arial" w:cs="Arial"/>
          <w:sz w:val="22"/>
          <w:lang w:val="es-ES" w:eastAsia="es-ES" w:bidi="es-ES"/>
        </w:rPr>
        <w:t xml:space="preserve">, la del artículo 33 que opera solo respecto de las elecciones presidenciales, en virtud de la cual queda proscrita la contratación directa por parte de todos los entes del Estado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votaciones más altas, de conformidad con el artículo 190 de la Constitución Política. Para estos efectos, la restricción se extenderá hasta la fecha en la que se realice la segunda vuelta. </w:t>
      </w:r>
      <w:r w:rsidRPr="00D7373B">
        <w:rPr>
          <w:rFonts w:ascii="Arial" w:eastAsia="Arial" w:hAnsi="Arial" w:cs="Arial"/>
          <w:i/>
          <w:iCs/>
          <w:sz w:val="22"/>
          <w:lang w:val="es-ES" w:eastAsia="es-ES" w:bidi="es-ES"/>
        </w:rPr>
        <w:t>En segundo lugar</w:t>
      </w:r>
      <w:r w:rsidRPr="00D7373B">
        <w:rPr>
          <w:rFonts w:ascii="Arial" w:eastAsia="Arial" w:hAnsi="Arial" w:cs="Arial"/>
          <w:sz w:val="22"/>
          <w:lang w:val="es-ES" w:eastAsia="es-ES" w:bidi="es-ES"/>
        </w:rPr>
        <w:t>, también se encuentra la prohibición del parágrafo del artículo 38, el cual debe aplicarse respecto de cualquier tipo de contienda electoral –incluidas las presidenciales–, y que prohíbe la celebración de convenios interadministrativos que impliquen la ejecución de recursos públicos dentro de los cuatro (4) meses anteriores a la respectiva jornada de votaciones, la cual aplica en relación con las autoridades señaladas en dicha disposición.</w:t>
      </w:r>
    </w:p>
    <w:p w14:paraId="160C79A0" w14:textId="77777777" w:rsidR="00F15A44" w:rsidRPr="00D7373B" w:rsidRDefault="00F15A44" w:rsidP="00F15A44">
      <w:pPr>
        <w:spacing w:after="120"/>
        <w:ind w:firstLine="709"/>
        <w:rPr>
          <w:rFonts w:ascii="Arial" w:eastAsia="Arial" w:hAnsi="Arial" w:cs="Arial"/>
          <w:sz w:val="22"/>
          <w:lang w:val="es-ES" w:eastAsia="es-ES" w:bidi="es-ES"/>
        </w:rPr>
      </w:pPr>
      <w:r w:rsidRPr="00D7373B">
        <w:rPr>
          <w:rFonts w:ascii="Arial" w:eastAsia="Arial" w:hAnsi="Arial" w:cs="Arial"/>
          <w:sz w:val="22"/>
          <w:lang w:val="es-ES" w:eastAsia="es-ES" w:bidi="es-ES"/>
        </w:rPr>
        <w:t xml:space="preserve">Ambas restricciones no son excluyentes, lo que permite concluir que en el período preelectoral para elección de </w:t>
      </w:r>
      <w:proofErr w:type="gramStart"/>
      <w:r w:rsidRPr="00D7373B">
        <w:rPr>
          <w:rFonts w:ascii="Arial" w:eastAsia="Arial" w:hAnsi="Arial" w:cs="Arial"/>
          <w:sz w:val="22"/>
          <w:lang w:val="es-ES" w:eastAsia="es-ES" w:bidi="es-ES"/>
        </w:rPr>
        <w:t>Presidente</w:t>
      </w:r>
      <w:proofErr w:type="gramEnd"/>
      <w:r w:rsidRPr="00D7373B">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D7373B">
        <w:rPr>
          <w:rFonts w:ascii="Arial" w:eastAsia="Arial" w:hAnsi="Arial" w:cs="Arial"/>
          <w:sz w:val="22"/>
          <w:lang w:val="es-ES" w:eastAsia="es-ES" w:bidi="es-ES"/>
        </w:rPr>
        <w:t>Presidente</w:t>
      </w:r>
      <w:proofErr w:type="gramEnd"/>
      <w:r w:rsidRPr="00D7373B">
        <w:rPr>
          <w:rFonts w:ascii="Arial" w:eastAsia="Arial" w:hAnsi="Arial" w:cs="Arial"/>
          <w:sz w:val="22"/>
          <w:lang w:val="es-ES" w:eastAsia="es-ES" w:bidi="es-ES"/>
        </w:rPr>
        <w:t xml:space="preserve"> de la República, las autoridades allí mencionadas solo deben aplicar las restricciones contenidas en el parágrafo del artículo 38.</w:t>
      </w:r>
    </w:p>
    <w:p w14:paraId="77A2A6CB" w14:textId="77777777" w:rsidR="00F15A44" w:rsidRPr="00D7373B" w:rsidRDefault="00F15A44" w:rsidP="00F15A44">
      <w:pPr>
        <w:spacing w:after="0"/>
        <w:ind w:firstLine="708"/>
        <w:rPr>
          <w:rFonts w:ascii="Arial" w:eastAsia="Arial" w:hAnsi="Arial" w:cs="Arial"/>
          <w:sz w:val="22"/>
          <w:lang w:val="es-ES" w:eastAsia="es-ES" w:bidi="es-ES"/>
        </w:rPr>
      </w:pPr>
      <w:r w:rsidRPr="00D7373B">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D7373B">
        <w:rPr>
          <w:rFonts w:ascii="Arial" w:eastAsia="Arial" w:hAnsi="Arial" w:cs="Arial"/>
          <w:sz w:val="22"/>
          <w:lang w:val="es-ES" w:eastAsia="es-ES" w:bidi="es-ES"/>
        </w:rPr>
        <w:t>Presidente</w:t>
      </w:r>
      <w:proofErr w:type="gramEnd"/>
      <w:r w:rsidRPr="00D7373B">
        <w:rPr>
          <w:rFonts w:ascii="Arial" w:eastAsia="Arial" w:hAnsi="Arial" w:cs="Arial"/>
          <w:sz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35E5B860" w14:textId="77777777" w:rsidR="00F15A44" w:rsidRPr="00D7373B" w:rsidRDefault="00F15A44" w:rsidP="00F15A44">
      <w:pPr>
        <w:spacing w:after="0"/>
        <w:rPr>
          <w:rFonts w:ascii="Arial" w:eastAsia="Times New Roman" w:hAnsi="Arial" w:cs="Arial"/>
          <w:bCs/>
          <w:sz w:val="22"/>
          <w:lang w:val="es-ES" w:eastAsia="es-CO"/>
        </w:rPr>
      </w:pPr>
    </w:p>
    <w:p w14:paraId="48DF13D1" w14:textId="77777777" w:rsidR="00F15A44" w:rsidRPr="00D7373B" w:rsidRDefault="00F15A44" w:rsidP="00F15A44">
      <w:pPr>
        <w:spacing w:after="0"/>
        <w:rPr>
          <w:rFonts w:ascii="Arial" w:eastAsia="Times New Roman" w:hAnsi="Arial" w:cs="Arial"/>
          <w:b/>
          <w:bCs/>
          <w:sz w:val="22"/>
          <w:lang w:eastAsia="es-CO"/>
        </w:rPr>
      </w:pPr>
      <w:r w:rsidRPr="00FF5EBA">
        <w:rPr>
          <w:rFonts w:ascii="Arial" w:eastAsia="Times New Roman" w:hAnsi="Arial" w:cs="Arial"/>
          <w:b/>
          <w:sz w:val="22"/>
          <w:lang w:val="es-ES" w:eastAsia="es-CO"/>
        </w:rPr>
        <w:t xml:space="preserve">2.2. </w:t>
      </w:r>
      <w:r w:rsidRPr="00FF5EBA">
        <w:rPr>
          <w:rFonts w:ascii="Arial" w:eastAsia="Times New Roman" w:hAnsi="Arial" w:cs="Arial"/>
          <w:b/>
          <w:bCs/>
          <w:sz w:val="22"/>
          <w:lang w:val="es-CO" w:eastAsia="es-CO"/>
        </w:rPr>
        <w:t>Análisis de la posibilidad de suscribir prórrogas, adiciones, modificaciones y cesiones</w:t>
      </w:r>
    </w:p>
    <w:p w14:paraId="310803B5" w14:textId="77777777" w:rsidR="00F15A44" w:rsidRPr="00D7373B" w:rsidRDefault="00F15A44" w:rsidP="00F15A44">
      <w:pPr>
        <w:spacing w:after="0"/>
        <w:rPr>
          <w:rFonts w:ascii="Arial" w:eastAsia="Times New Roman" w:hAnsi="Arial" w:cs="Arial"/>
          <w:b/>
          <w:sz w:val="22"/>
          <w:lang w:val="es-ES" w:eastAsia="es-CO"/>
        </w:rPr>
      </w:pPr>
    </w:p>
    <w:p w14:paraId="1B82F4DF" w14:textId="77777777" w:rsidR="00F15A44" w:rsidRPr="00D7373B" w:rsidRDefault="00F15A44" w:rsidP="00F15A44">
      <w:pPr>
        <w:spacing w:after="160"/>
        <w:rPr>
          <w:rFonts w:ascii="Arial" w:eastAsia="Times New Roman" w:hAnsi="Arial" w:cs="Arial"/>
          <w:bCs/>
          <w:sz w:val="22"/>
          <w:lang w:val="es-ES" w:eastAsia="es-CO"/>
        </w:rPr>
      </w:pPr>
      <w:r w:rsidRPr="00D7373B">
        <w:rPr>
          <w:rFonts w:ascii="Arial" w:eastAsia="Times New Roman" w:hAnsi="Arial" w:cs="Arial"/>
          <w:bCs/>
          <w:sz w:val="22"/>
          <w:lang w:val="es-ES" w:eastAsia="es-CO"/>
        </w:rPr>
        <w:t xml:space="preserve">En cuanto a la celebración de prórrogas, adiciones, modificaciones o cesiones de los contratos suscritos antes de la </w:t>
      </w:r>
      <w:proofErr w:type="gramStart"/>
      <w:r w:rsidRPr="00D7373B">
        <w:rPr>
          <w:rFonts w:ascii="Arial" w:eastAsia="Times New Roman" w:hAnsi="Arial" w:cs="Arial"/>
          <w:bCs/>
          <w:sz w:val="22"/>
          <w:lang w:val="es-ES" w:eastAsia="es-CO"/>
        </w:rPr>
        <w:t>entrada en vigencia</w:t>
      </w:r>
      <w:proofErr w:type="gramEnd"/>
      <w:r w:rsidRPr="00D7373B">
        <w:rPr>
          <w:rFonts w:ascii="Arial" w:eastAsia="Times New Roman" w:hAnsi="Arial" w:cs="Arial"/>
          <w:bCs/>
          <w:sz w:val="22"/>
          <w:lang w:val="es-ES" w:eastAsia="es-CO"/>
        </w:rPr>
        <w:t xml:space="preserve"> de las prohibiciones anotadas una vez éstas han comenzado a surtir efectos, esta Agencia, reiteradamente, ha señalado que dichas actuaciones pueden tener lugar, sin que con ello se transgredan las restricciones explicadas. Lo anterior, siempre que se cumplan los principios de planeación, transparencia y responsabilidad. Esto por cuanto se ha considerado que actuaciones como cesiones, prórrogas, modificaciones y adiciones de contratos vigentes, no se encuentran dentro del ámbito de aplicación de las mencionadas restricciones. </w:t>
      </w:r>
    </w:p>
    <w:p w14:paraId="09F8D8BF" w14:textId="77777777" w:rsidR="00F15A44" w:rsidRPr="00D7373B" w:rsidRDefault="00F15A44" w:rsidP="00F15A44">
      <w:pPr>
        <w:spacing w:after="160"/>
        <w:ind w:firstLine="709"/>
        <w:rPr>
          <w:rFonts w:ascii="Arial" w:eastAsia="Times New Roman" w:hAnsi="Arial" w:cs="Arial"/>
          <w:bCs/>
          <w:sz w:val="22"/>
          <w:lang w:eastAsia="es-CO"/>
        </w:rPr>
      </w:pPr>
      <w:r w:rsidRPr="00D7373B">
        <w:rPr>
          <w:rFonts w:ascii="Arial" w:eastAsia="Times New Roman" w:hAnsi="Arial" w:cs="Arial"/>
          <w:bCs/>
          <w:sz w:val="22"/>
          <w:lang w:val="es-ES" w:eastAsia="es-CO"/>
        </w:rPr>
        <w:t xml:space="preserve">De hecho, esta fue la postura que asumió en su momento Colombia Compra Eficiente en la Circular No. 3 del 16 de agosto de 2013, expedida con el fin de establecer unas pautas para el cumplimiento de las restricciones a la contratación pública establecidas en la Ley 996 de 2005, en los meses anteriores a las elecciones presidenciales que tuvieron lugar en el 2014. En el texto de la mencionada Circular, en relación con la restricción del artículo 33 </w:t>
      </w:r>
      <w:r w:rsidRPr="00D7373B">
        <w:rPr>
          <w:rFonts w:ascii="Arial" w:eastAsia="Times New Roman" w:hAnsi="Arial" w:cs="Arial"/>
          <w:bCs/>
          <w:i/>
          <w:iCs/>
          <w:sz w:val="22"/>
          <w:lang w:val="es-ES" w:eastAsia="es-CO"/>
        </w:rPr>
        <w:t>ibidem</w:t>
      </w:r>
      <w:r w:rsidRPr="00D7373B">
        <w:rPr>
          <w:rFonts w:ascii="Arial" w:eastAsia="Times New Roman" w:hAnsi="Arial" w:cs="Arial"/>
          <w:bCs/>
          <w:sz w:val="22"/>
          <w:lang w:val="es-ES" w:eastAsia="es-CO"/>
        </w:rPr>
        <w:t xml:space="preserve">, la Agencia sostuvo que </w:t>
      </w:r>
      <w:r w:rsidRPr="00D7373B">
        <w:rPr>
          <w:rFonts w:ascii="Arial" w:eastAsia="Times New Roman" w:hAnsi="Arial" w:cs="Arial"/>
          <w:bCs/>
          <w:sz w:val="22"/>
          <w:lang w:eastAsia="es-CO"/>
        </w:rPr>
        <w:t>«Las prórrogas, modificaciones o adiciones, y la cesión de los contratos suscritos antes del período de la campaña presidencial están permitidas durante la campaña de acuerdo con lo establecido en las normas aplicables, siempre que tales prórrogas, modificaciones o adiciones, y cesiones cumplan los principios de planeación, transparencia y responsabilidad»</w:t>
      </w:r>
      <w:r w:rsidRPr="00D7373B">
        <w:rPr>
          <w:rStyle w:val="Refdenotaalpie"/>
          <w:rFonts w:ascii="Arial" w:eastAsia="Times New Roman" w:hAnsi="Arial" w:cs="Arial"/>
          <w:bCs/>
          <w:sz w:val="22"/>
          <w:lang w:eastAsia="es-CO"/>
        </w:rPr>
        <w:footnoteReference w:id="10"/>
      </w:r>
      <w:r w:rsidRPr="00D7373B">
        <w:rPr>
          <w:rFonts w:ascii="Arial" w:eastAsia="Times New Roman" w:hAnsi="Arial" w:cs="Arial"/>
          <w:bCs/>
          <w:sz w:val="22"/>
          <w:lang w:eastAsia="es-CO"/>
        </w:rPr>
        <w:t xml:space="preserve">. </w:t>
      </w:r>
    </w:p>
    <w:p w14:paraId="2A9FC0AD" w14:textId="77777777" w:rsidR="00F15A44" w:rsidRPr="00D7373B" w:rsidRDefault="00F15A44" w:rsidP="00F15A44">
      <w:pPr>
        <w:spacing w:after="160"/>
        <w:ind w:firstLine="709"/>
        <w:rPr>
          <w:rFonts w:ascii="Arial" w:eastAsia="Times New Roman" w:hAnsi="Arial" w:cs="Arial"/>
          <w:bCs/>
          <w:sz w:val="22"/>
          <w:lang w:eastAsia="es-CO"/>
        </w:rPr>
      </w:pPr>
      <w:r w:rsidRPr="00D7373B">
        <w:rPr>
          <w:rFonts w:ascii="Arial" w:eastAsia="Times New Roman" w:hAnsi="Arial" w:cs="Arial"/>
          <w:bCs/>
          <w:sz w:val="22"/>
          <w:lang w:eastAsia="es-CO"/>
        </w:rPr>
        <w:t xml:space="preserve">Respecto del contenido de esta última Circular, se llama la atención sobre el condicionamiento relativo a que el contrato objeto de prórroga, adición, modificación o cesión se encuentre vigente al momento de realizar alguna de estas actuaciones. Esto se justifica en el hecho de que realizar una modificación, prórroga, adición o cesión de un contrato cuyo plazo de ejecución ha fenecido, en realidad supone celebrar un nuevo contrato, actuación que supondría una transgresión no solo de las </w:t>
      </w:r>
      <w:r w:rsidRPr="00D7373B">
        <w:rPr>
          <w:rFonts w:ascii="Arial" w:eastAsia="Times New Roman" w:hAnsi="Arial" w:cs="Arial"/>
          <w:bCs/>
          <w:sz w:val="22"/>
          <w:lang w:eastAsia="es-CO"/>
        </w:rPr>
        <w:lastRenderedPageBreak/>
        <w:t xml:space="preserve">restricciones establecidas en la Ley 996 de 2005, sino también de las normas que rigen los procedimientos de selección. </w:t>
      </w:r>
    </w:p>
    <w:p w14:paraId="4DAF638B" w14:textId="77777777" w:rsidR="00F15A44" w:rsidRPr="00D7373B" w:rsidRDefault="00F15A44" w:rsidP="00F15A44">
      <w:pPr>
        <w:spacing w:after="160"/>
        <w:ind w:firstLine="709"/>
        <w:rPr>
          <w:rFonts w:ascii="Arial" w:eastAsia="Times New Roman" w:hAnsi="Arial" w:cs="Arial"/>
          <w:bCs/>
          <w:sz w:val="22"/>
          <w:lang w:eastAsia="es-CO"/>
        </w:rPr>
      </w:pPr>
      <w:r w:rsidRPr="00D7373B">
        <w:rPr>
          <w:rFonts w:ascii="Arial" w:eastAsia="Times New Roman" w:hAnsi="Arial" w:cs="Arial"/>
          <w:bCs/>
          <w:sz w:val="22"/>
          <w:lang w:eastAsia="es-CO"/>
        </w:rPr>
        <w:t xml:space="preserve">La interpretación mencionada ha sido compartida por la Procuraduría General de la Nación, órgano de control, que se ha referido en varias de las circulares expedidas sobre la posibilidad de suscribir adiciones, modificaciones, prórrogas y cesiones de contratos suscritos antes del inicio de las restricciones de la Ley de Garantías Electorales. Particularmente, en las Circulares No. 016 del 3 de septiembre de 2013, 005 del 7 de abril de 2015 y 007 del 22 de mayo de 2017, todas expedidas desde el despacho del Procurador General, en las que se formularon consideraciones a modo de recomendaciones, dirigidas a los servidores públicos avocados a la celebración de las actuaciones a las que se refiere la hipótesis objeto de consulta. En la última de las circulares referidas, de manera casi idéntica a lo señalado en las anteriores, previa referencia a las restricciones de los artículos 33 y 38 de la Ley 996 de 2005, se insta a los servidores públicos a: </w:t>
      </w:r>
    </w:p>
    <w:p w14:paraId="5C8ABC43" w14:textId="77777777" w:rsidR="00F15A44" w:rsidRPr="00D7373B" w:rsidRDefault="00F15A44" w:rsidP="00F15A44">
      <w:pPr>
        <w:spacing w:after="160" w:line="240" w:lineRule="auto"/>
        <w:ind w:left="709" w:right="709"/>
        <w:rPr>
          <w:rFonts w:ascii="Arial" w:eastAsia="Times New Roman" w:hAnsi="Arial" w:cs="Arial"/>
          <w:bCs/>
          <w:sz w:val="21"/>
          <w:szCs w:val="21"/>
          <w:lang w:eastAsia="es-CO"/>
        </w:rPr>
      </w:pPr>
      <w:r w:rsidRPr="00D7373B">
        <w:rPr>
          <w:rFonts w:ascii="Arial" w:eastAsia="Times New Roman" w:hAnsi="Arial" w:cs="Arial"/>
          <w:bCs/>
          <w:sz w:val="21"/>
          <w:szCs w:val="21"/>
          <w:lang w:eastAsia="es-CO"/>
        </w:rPr>
        <w:t>«Verificar el sustento técnico, económico, legal y de cualquier otra índole de las prórrogas, modificaciones o adiciones de los contratos suscritos antes de la entrada en vigencia de las prohibiciones anotadas, así como la cesión de estos, velando porque siempre cumplan las reglas aplicables a la materia, dentro de los principios de selección objetiva, libre concurrencia, planeación, transparencia y responsabilidad»</w:t>
      </w:r>
      <w:r w:rsidRPr="00D7373B">
        <w:rPr>
          <w:rStyle w:val="Refdenotaalpie"/>
          <w:rFonts w:ascii="Arial" w:eastAsia="Times New Roman" w:hAnsi="Arial" w:cs="Arial"/>
          <w:bCs/>
          <w:sz w:val="21"/>
          <w:szCs w:val="21"/>
          <w:lang w:eastAsia="es-CO"/>
        </w:rPr>
        <w:footnoteReference w:id="11"/>
      </w:r>
      <w:r w:rsidRPr="00D7373B">
        <w:rPr>
          <w:rFonts w:ascii="Arial" w:eastAsia="Times New Roman" w:hAnsi="Arial" w:cs="Arial"/>
          <w:bCs/>
          <w:sz w:val="21"/>
          <w:szCs w:val="21"/>
          <w:lang w:eastAsia="es-CO"/>
        </w:rPr>
        <w:t xml:space="preserve">. </w:t>
      </w:r>
    </w:p>
    <w:p w14:paraId="51653E57" w14:textId="77777777" w:rsidR="00F15A44" w:rsidRPr="00D7373B" w:rsidRDefault="00F15A44" w:rsidP="00F15A44">
      <w:pPr>
        <w:spacing w:after="160"/>
        <w:ind w:firstLine="709"/>
        <w:rPr>
          <w:rFonts w:ascii="Arial" w:eastAsia="Times New Roman" w:hAnsi="Arial" w:cs="Arial"/>
          <w:bCs/>
          <w:sz w:val="22"/>
          <w:lang w:eastAsia="x-none"/>
        </w:rPr>
      </w:pPr>
      <w:r w:rsidRPr="00D7373B">
        <w:rPr>
          <w:rFonts w:ascii="Arial" w:eastAsia="Times New Roman" w:hAnsi="Arial" w:cs="Arial"/>
          <w:bCs/>
          <w:sz w:val="22"/>
          <w:lang w:eastAsia="x-none"/>
        </w:rPr>
        <w:t xml:space="preserve">De acuerdo con lo anterior, la suscripción de cesiones, modificaciones, adiciones y prórrogas de contratos celebrados antes de los periodos preelectorales durante los que rigen las restricciones de los artículos 33 y 38 de la Ley de Garantías, es una posibilidad que ha sido considerada como jurídicamente válida, no solo por esta Agencia en su calidad de ente rector en materia de contratación pública, sino también por la Procuraduría General de la Nación, en calidad de órgano de control y máxima autoridad disciplinaria. Dicho ente, lejos de ubicar estas actuaciones dentro del ámbito de aplicación de las mencionadas restricciones, ha formulado recomendaciones para su adecuada celebración durante la vigencia de las referidas restricciones. En ese sentido, la Procuraduría y la Agencia, en las circulares antes mencionadas, han coincidido en señalar que esta posibilidad de realizar prórrogas, </w:t>
      </w:r>
      <w:r w:rsidRPr="00D7373B">
        <w:rPr>
          <w:rFonts w:ascii="Arial" w:eastAsia="Times New Roman" w:hAnsi="Arial" w:cs="Arial"/>
          <w:bCs/>
          <w:sz w:val="22"/>
          <w:lang w:eastAsia="x-none"/>
        </w:rPr>
        <w:lastRenderedPageBreak/>
        <w:t xml:space="preserve">adiciones, modificaciones y cesiones en las condiciones advertidas está sujeta a que se cumplan los principios de planeación, transparencia y responsabilidad. </w:t>
      </w:r>
    </w:p>
    <w:p w14:paraId="34156DF1" w14:textId="77777777" w:rsidR="00F15A44" w:rsidRPr="00D7373B" w:rsidRDefault="00F15A44" w:rsidP="00F15A44">
      <w:pPr>
        <w:spacing w:after="160"/>
        <w:ind w:firstLine="708"/>
        <w:rPr>
          <w:rFonts w:ascii="Arial" w:eastAsia="Times New Roman" w:hAnsi="Arial" w:cs="Arial"/>
          <w:bCs/>
          <w:sz w:val="22"/>
          <w:lang w:eastAsia="x-none"/>
        </w:rPr>
      </w:pPr>
      <w:r w:rsidRPr="00D7373B">
        <w:rPr>
          <w:rFonts w:ascii="Arial" w:eastAsia="Times New Roman" w:hAnsi="Arial" w:cs="Arial"/>
          <w:bCs/>
          <w:sz w:val="22"/>
          <w:lang w:eastAsia="x-none"/>
        </w:rPr>
        <w:t xml:space="preserve">De forma similar, en la Circular Externa Única del 16 de abril de 2019, la Agencia Nacional de Contratación Pública – Colombia Compra Eficiente, en el numeral 15.5 señaló lo siguiente: </w:t>
      </w:r>
    </w:p>
    <w:p w14:paraId="35278454" w14:textId="77777777" w:rsidR="00F15A44" w:rsidRPr="00D7373B" w:rsidRDefault="00F15A44" w:rsidP="00F15A44">
      <w:pPr>
        <w:spacing w:after="160" w:line="240" w:lineRule="auto"/>
        <w:ind w:left="709" w:right="709"/>
        <w:rPr>
          <w:rFonts w:ascii="Arial" w:eastAsia="Times New Roman" w:hAnsi="Arial" w:cs="Arial"/>
          <w:bCs/>
          <w:sz w:val="21"/>
          <w:szCs w:val="21"/>
          <w:lang w:eastAsia="es-CO"/>
        </w:rPr>
      </w:pPr>
      <w:r w:rsidRPr="00D7373B">
        <w:rPr>
          <w:rFonts w:ascii="Arial" w:eastAsia="Times New Roman" w:hAnsi="Arial" w:cs="Arial"/>
          <w:bCs/>
          <w:sz w:val="21"/>
          <w:szCs w:val="21"/>
          <w:lang w:eastAsia="es-CO"/>
        </w:rPr>
        <w:t xml:space="preserve">La Ley de Garantías no establece restricciones para las prórrogas, modificaciones o adiciones, y la cesión de los contratos suscritos antes del período electoral, siempre que tales prórrogas, modificaciones, adiciones y cesiones cumplan los principios de planeación, transparencia y responsabilidad. </w:t>
      </w:r>
    </w:p>
    <w:p w14:paraId="480C52D2" w14:textId="77777777" w:rsidR="00F15A44" w:rsidRPr="00D7373B" w:rsidRDefault="00F15A44" w:rsidP="00F15A44">
      <w:pPr>
        <w:spacing w:after="160" w:line="240" w:lineRule="auto"/>
        <w:ind w:left="709" w:right="709"/>
        <w:rPr>
          <w:rFonts w:ascii="Arial" w:eastAsia="Times New Roman" w:hAnsi="Arial" w:cs="Arial"/>
          <w:bCs/>
          <w:sz w:val="21"/>
          <w:szCs w:val="21"/>
          <w:lang w:eastAsia="es-CO"/>
        </w:rPr>
      </w:pPr>
      <w:r w:rsidRPr="00D7373B">
        <w:rPr>
          <w:rFonts w:ascii="Arial" w:eastAsia="Times New Roman" w:hAnsi="Arial" w:cs="Arial"/>
          <w:bCs/>
          <w:sz w:val="21"/>
          <w:szCs w:val="21"/>
          <w:lang w:eastAsia="es-CO"/>
        </w:rPr>
        <w:t>En este sentido,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w:t>
      </w:r>
    </w:p>
    <w:p w14:paraId="1BD226FF" w14:textId="77777777" w:rsidR="00F15A44" w:rsidRPr="00D7373B" w:rsidRDefault="00F15A44" w:rsidP="00F15A44">
      <w:pPr>
        <w:spacing w:after="160"/>
        <w:ind w:firstLine="709"/>
        <w:rPr>
          <w:rFonts w:ascii="Arial" w:eastAsia="Times New Roman" w:hAnsi="Arial" w:cs="Arial"/>
          <w:bCs/>
          <w:sz w:val="22"/>
          <w:lang w:eastAsia="x-none"/>
        </w:rPr>
      </w:pPr>
      <w:r w:rsidRPr="00D7373B">
        <w:rPr>
          <w:rFonts w:ascii="Arial" w:eastAsia="Times New Roman" w:hAnsi="Arial" w:cs="Arial"/>
          <w:bCs/>
          <w:sz w:val="22"/>
          <w:lang w:eastAsia="x-none"/>
        </w:rPr>
        <w:t>En atención a esta interpretación y a las orientaciones incluidas en las referidas circulares, las entidades estatales han desarrollado su gestión contractual, para evitar eventuales transgresiones a las restricciones en comento. Esto se refleja en el contenido de la Circular Conjunta 100-006 del 16 de noviembre de 2021, expedida por los directores del Departamento Administrativo de la Presidencia de la República -DAPRE- y del Departamento Administrativo de la Función Pública -DAFP-, en la que se acoge la interpretación expuesta en los párrafos precedentes, y se insta a actuar conforme a la misma a todos los ministros, directores de departamentos administrativos, superintendentes, gerentes y directores de entidades descentralizadas en la Rama Ejecutiva del orden nacional, así como gobernadores, alcaldes municipales y/o distritales, secretarios, gerentes y directores de entidades descentralizadas del orden municipal, departamental o distrital</w:t>
      </w:r>
      <w:r w:rsidRPr="00D7373B">
        <w:rPr>
          <w:rStyle w:val="Refdenotaalpie"/>
          <w:rFonts w:ascii="Arial" w:eastAsia="Times New Roman" w:hAnsi="Arial" w:cs="Arial"/>
          <w:bCs/>
          <w:sz w:val="22"/>
          <w:lang w:eastAsia="x-none"/>
        </w:rPr>
        <w:footnoteReference w:id="12"/>
      </w:r>
      <w:r w:rsidRPr="00D7373B">
        <w:rPr>
          <w:rFonts w:ascii="Arial" w:eastAsia="Times New Roman" w:hAnsi="Arial" w:cs="Arial"/>
          <w:bCs/>
          <w:sz w:val="22"/>
          <w:lang w:eastAsia="x-none"/>
        </w:rPr>
        <w:t>.</w:t>
      </w:r>
    </w:p>
    <w:p w14:paraId="682EBCE8" w14:textId="77777777" w:rsidR="00F15A44" w:rsidRPr="00D7373B" w:rsidRDefault="00F15A44" w:rsidP="00F15A44">
      <w:pPr>
        <w:spacing w:after="160"/>
        <w:ind w:firstLine="709"/>
        <w:rPr>
          <w:rFonts w:ascii="Arial" w:eastAsia="Times New Roman" w:hAnsi="Arial" w:cs="Arial"/>
          <w:bCs/>
          <w:sz w:val="22"/>
          <w:lang w:eastAsia="x-none"/>
        </w:rPr>
      </w:pPr>
      <w:r w:rsidRPr="00D7373B">
        <w:rPr>
          <w:rFonts w:ascii="Arial" w:eastAsia="Times New Roman" w:hAnsi="Arial" w:cs="Arial"/>
          <w:bCs/>
          <w:sz w:val="22"/>
          <w:lang w:eastAsia="x-none"/>
        </w:rPr>
        <w:lastRenderedPageBreak/>
        <w:t xml:space="preserve">Sin perjuicio de lo anterior, debe precisarse que si bien se estima válida la suscripción de las referidas actuaciones durante los períodos preelectorales en los que aplican las restricciones analizadas, en la medida en que, </w:t>
      </w:r>
      <w:r w:rsidRPr="00D7373B">
        <w:rPr>
          <w:rFonts w:ascii="Arial" w:eastAsia="Times New Roman" w:hAnsi="Arial" w:cs="Arial"/>
          <w:bCs/>
          <w:i/>
          <w:iCs/>
          <w:sz w:val="22"/>
          <w:lang w:eastAsia="x-none"/>
        </w:rPr>
        <w:t>per se,</w:t>
      </w:r>
      <w:r w:rsidRPr="00D7373B">
        <w:rPr>
          <w:rFonts w:ascii="Arial" w:eastAsia="Times New Roman" w:hAnsi="Arial" w:cs="Arial"/>
          <w:bCs/>
          <w:sz w:val="22"/>
          <w:lang w:eastAsia="x-none"/>
        </w:rPr>
        <w:t xml:space="preserve"> no suponen una vulneración de las prohibiciones mencionadas, ello no significa que puedan realizarse todo tipo de prórrogas, adiciones, modificaciones o cesiones sin reparar en si estas se ajustan o no a las demás disposiciones normativas conforme a las cuales deben ser realizadas. En este sentido, si, por ejemplo, en vigencia de las referidas restricciones se pretendiera realizar la cesión de un contrato, esto estaría condicionado a que el eventual cesionario del contratista fuere una persona con capacidad jurídica para ejecutar el contrato</w:t>
      </w:r>
      <w:r w:rsidRPr="00D7373B">
        <w:rPr>
          <w:rStyle w:val="Refdenotaalpie"/>
          <w:rFonts w:ascii="Arial" w:eastAsia="Times New Roman" w:hAnsi="Arial" w:cs="Arial"/>
          <w:bCs/>
          <w:sz w:val="22"/>
          <w:lang w:eastAsia="x-none"/>
        </w:rPr>
        <w:footnoteReference w:id="13"/>
      </w:r>
      <w:r w:rsidRPr="00D7373B">
        <w:rPr>
          <w:rFonts w:ascii="Arial" w:eastAsia="Times New Roman" w:hAnsi="Arial" w:cs="Arial"/>
          <w:bCs/>
          <w:sz w:val="22"/>
          <w:lang w:eastAsia="x-none"/>
        </w:rPr>
        <w:t>, por lo que no resultaría viable realizar la cesión en favor de una persona objeto de alguna inhabilidad</w:t>
      </w:r>
      <w:r w:rsidRPr="00D7373B">
        <w:rPr>
          <w:rStyle w:val="Refdenotaalpie"/>
          <w:rFonts w:ascii="Arial" w:eastAsia="Times New Roman" w:hAnsi="Arial" w:cs="Arial"/>
          <w:bCs/>
          <w:sz w:val="22"/>
          <w:lang w:eastAsia="x-none"/>
        </w:rPr>
        <w:footnoteReference w:id="14"/>
      </w:r>
      <w:r w:rsidRPr="00D7373B">
        <w:rPr>
          <w:rFonts w:ascii="Arial" w:eastAsia="Times New Roman" w:hAnsi="Arial" w:cs="Arial"/>
          <w:bCs/>
          <w:sz w:val="22"/>
          <w:lang w:eastAsia="x-none"/>
        </w:rPr>
        <w:t xml:space="preserve">. Además, el análisis concreto sobre la procedencia en cada caso concreto corresponde realizarlo a cada entidad estatal. </w:t>
      </w:r>
    </w:p>
    <w:p w14:paraId="4E62DDA9" w14:textId="79999A70" w:rsidR="00AE39BD" w:rsidRDefault="00114A81" w:rsidP="003F3340">
      <w:pPr>
        <w:tabs>
          <w:tab w:val="left" w:pos="426"/>
        </w:tabs>
        <w:spacing w:after="0"/>
        <w:rPr>
          <w:rFonts w:ascii="Arial" w:eastAsia="Times New Roman" w:hAnsi="Arial" w:cs="Arial"/>
          <w:bCs/>
          <w:sz w:val="22"/>
          <w:lang w:eastAsia="x-none"/>
        </w:rPr>
      </w:pPr>
      <w:r>
        <w:rPr>
          <w:rFonts w:ascii="Arial" w:eastAsia="Times New Roman" w:hAnsi="Arial" w:cs="Arial"/>
          <w:bCs/>
          <w:sz w:val="22"/>
          <w:lang w:eastAsia="x-none"/>
        </w:rPr>
        <w:tab/>
      </w:r>
      <w:r w:rsidR="00F15A44" w:rsidRPr="00D7373B">
        <w:rPr>
          <w:rFonts w:ascii="Arial" w:eastAsia="Times New Roman" w:hAnsi="Arial" w:cs="Arial"/>
          <w:bCs/>
          <w:sz w:val="22"/>
          <w:lang w:eastAsia="x-none"/>
        </w:rPr>
        <w:t xml:space="preserve">Debe advertirse que estas limitaciones temporales a la contratación directa durante la campaña presidencial y a la celebración de los convenios y contratos interadministrativos frente a los comicios a cargos de elección popular, requiere que los órganos y entidades que tengan capacidad contractual planifiquen su gestión contractual con suficiente antelación a los períodos de elección presidencial o de elecciones de cualquier otro cargo, según el caso, de forma que no se vea afectada la función administrativa en razón de la restricción impuesta por la Ley de Garantías Electorales. De ahí la importancia de que los principios de planeación, transparencia y responsabilidad se materialicen en la eventual celebración de prórrogas, modificaciones, adiciones o cesiones de los contratos vigentes suscritos antes del </w:t>
      </w:r>
      <w:r w:rsidR="00F15A44" w:rsidRPr="00D7373B">
        <w:rPr>
          <w:rFonts w:ascii="Arial" w:eastAsia="Times New Roman" w:hAnsi="Arial" w:cs="Arial"/>
          <w:bCs/>
          <w:sz w:val="22"/>
          <w:lang w:eastAsia="x-none"/>
        </w:rPr>
        <w:lastRenderedPageBreak/>
        <w:t xml:space="preserve">inicio de las restricciones aplicables, por cuenta de los artículos 33 y 38 de la Ley 996 de 2005 en materia de contratación pública. </w:t>
      </w:r>
    </w:p>
    <w:p w14:paraId="0384BA85" w14:textId="77777777" w:rsidR="00B0312C" w:rsidRPr="000D75DD" w:rsidRDefault="00B0312C" w:rsidP="00C529C9">
      <w:pPr>
        <w:spacing w:after="0"/>
        <w:rPr>
          <w:rFonts w:ascii="Arial" w:eastAsia="Calibri" w:hAnsi="Arial" w:cs="Arial"/>
          <w:sz w:val="22"/>
        </w:rPr>
      </w:pPr>
    </w:p>
    <w:p w14:paraId="52ACB68C" w14:textId="65210C65" w:rsidR="001C1A26" w:rsidRPr="000D75DD" w:rsidRDefault="00231E50" w:rsidP="00F176B9">
      <w:pPr>
        <w:spacing w:after="0"/>
        <w:rPr>
          <w:rFonts w:ascii="Arial" w:eastAsia="Calibri" w:hAnsi="Arial" w:cs="Arial"/>
          <w:b/>
          <w:sz w:val="22"/>
          <w:lang w:val="es-CO"/>
        </w:rPr>
      </w:pPr>
      <w:r w:rsidRPr="000D75DD">
        <w:rPr>
          <w:rFonts w:ascii="Arial" w:eastAsia="Calibri" w:hAnsi="Arial" w:cs="Arial"/>
          <w:b/>
          <w:sz w:val="22"/>
          <w:lang w:val="es-CO"/>
        </w:rPr>
        <w:t>3</w:t>
      </w:r>
      <w:r w:rsidR="00CF2AA3" w:rsidRPr="000D75DD">
        <w:rPr>
          <w:rFonts w:ascii="Arial" w:eastAsia="Calibri" w:hAnsi="Arial" w:cs="Arial"/>
          <w:b/>
          <w:sz w:val="22"/>
          <w:lang w:val="es-CO"/>
        </w:rPr>
        <w:t>. Respuest</w:t>
      </w:r>
      <w:r w:rsidR="001C1A26" w:rsidRPr="000D75DD">
        <w:rPr>
          <w:rFonts w:ascii="Arial" w:eastAsia="Calibri" w:hAnsi="Arial" w:cs="Arial"/>
          <w:b/>
          <w:sz w:val="22"/>
          <w:lang w:val="es-CO"/>
        </w:rPr>
        <w:t>a</w:t>
      </w:r>
    </w:p>
    <w:p w14:paraId="79A8F50A" w14:textId="77777777" w:rsidR="00264924" w:rsidRPr="000D75DD" w:rsidRDefault="00264924" w:rsidP="00F176B9">
      <w:pPr>
        <w:spacing w:after="0" w:line="240" w:lineRule="auto"/>
        <w:rPr>
          <w:rFonts w:ascii="Arial" w:eastAsia="Calibri" w:hAnsi="Arial" w:cs="Arial"/>
          <w:bCs/>
          <w:sz w:val="22"/>
          <w:lang w:val="es-CO"/>
        </w:rPr>
      </w:pPr>
    </w:p>
    <w:p w14:paraId="6C647347" w14:textId="466A0EDC" w:rsidR="00C7127A" w:rsidRPr="000D75DD" w:rsidRDefault="008C710C" w:rsidP="00F176B9">
      <w:pPr>
        <w:spacing w:after="0" w:line="240" w:lineRule="auto"/>
        <w:ind w:left="709" w:right="709"/>
        <w:rPr>
          <w:rFonts w:ascii="Arial" w:eastAsia="Times New Roman" w:hAnsi="Arial" w:cs="Arial"/>
          <w:sz w:val="21"/>
          <w:szCs w:val="21"/>
          <w:shd w:val="clear" w:color="auto" w:fill="FFFFFF"/>
          <w:lang w:val="es-CO" w:eastAsia="es-CO"/>
        </w:rPr>
      </w:pPr>
      <w:bookmarkStart w:id="7" w:name="_Hlk101816169"/>
      <w:bookmarkStart w:id="8" w:name="_Hlk57650395"/>
      <w:r w:rsidRPr="000D75DD">
        <w:rPr>
          <w:rFonts w:ascii="Arial" w:eastAsia="Times New Roman" w:hAnsi="Arial" w:cs="Arial"/>
          <w:sz w:val="21"/>
          <w:szCs w:val="21"/>
          <w:shd w:val="clear" w:color="auto" w:fill="FFFFFF"/>
          <w:lang w:val="es-CO" w:eastAsia="es-CO"/>
        </w:rPr>
        <w:t>«</w:t>
      </w:r>
      <w:bookmarkEnd w:id="7"/>
      <w:r w:rsidR="00135C93" w:rsidRPr="001453EF">
        <w:rPr>
          <w:rFonts w:ascii="Arial" w:hAnsi="Arial" w:cs="Arial"/>
          <w:sz w:val="21"/>
          <w:szCs w:val="21"/>
          <w:shd w:val="clear" w:color="auto" w:fill="FFFFFF"/>
        </w:rPr>
        <w:t>Atento Saludo; tengo la siguiente duda:</w:t>
      </w:r>
      <w:r w:rsidR="00135C93">
        <w:rPr>
          <w:rFonts w:ascii="Arial" w:hAnsi="Arial" w:cs="Arial"/>
          <w:sz w:val="21"/>
          <w:szCs w:val="21"/>
          <w:shd w:val="clear" w:color="auto" w:fill="FFFFFF"/>
        </w:rPr>
        <w:t xml:space="preserve"> (sic) </w:t>
      </w:r>
      <w:r w:rsidR="00135C93" w:rsidRPr="001453EF">
        <w:rPr>
          <w:rFonts w:ascii="Arial" w:hAnsi="Arial" w:cs="Arial"/>
          <w:sz w:val="21"/>
          <w:szCs w:val="21"/>
          <w:shd w:val="clear" w:color="auto" w:fill="FFFFFF"/>
        </w:rPr>
        <w:t>una orden de prestación de servicios puede cederse en ley de garantías?</w:t>
      </w:r>
      <w:r w:rsidR="00135C93" w:rsidRPr="007D1FD8">
        <w:rPr>
          <w:rFonts w:ascii="Arial" w:hAnsi="Arial" w:cs="Arial"/>
          <w:sz w:val="21"/>
          <w:szCs w:val="21"/>
        </w:rPr>
        <w:t>».</w:t>
      </w:r>
      <w:r w:rsidR="00135C93">
        <w:rPr>
          <w:rFonts w:ascii="Arial" w:eastAsia="Times New Roman" w:hAnsi="Arial" w:cs="Arial"/>
          <w:sz w:val="21"/>
          <w:szCs w:val="21"/>
          <w:shd w:val="clear" w:color="auto" w:fill="FFFFFF"/>
          <w:lang w:val="es-CO" w:eastAsia="es-CO"/>
        </w:rPr>
        <w:t xml:space="preserve"> </w:t>
      </w:r>
      <w:r w:rsidR="00135C93" w:rsidRPr="007D1FD8" w:rsidDel="00135C93">
        <w:rPr>
          <w:rFonts w:ascii="Arial" w:hAnsi="Arial" w:cs="Arial"/>
          <w:sz w:val="21"/>
          <w:szCs w:val="21"/>
          <w:shd w:val="clear" w:color="auto" w:fill="FFFFFF"/>
        </w:rPr>
        <w:t xml:space="preserve"> </w:t>
      </w:r>
      <w:bookmarkStart w:id="9" w:name="_Hlk101816210"/>
    </w:p>
    <w:bookmarkEnd w:id="9"/>
    <w:p w14:paraId="040A4938" w14:textId="77777777" w:rsidR="008C710C" w:rsidRPr="000D75DD" w:rsidRDefault="008C710C" w:rsidP="00F176B9">
      <w:pPr>
        <w:spacing w:after="0" w:line="240" w:lineRule="auto"/>
        <w:ind w:left="709" w:right="709"/>
        <w:rPr>
          <w:rFonts w:ascii="Arial" w:eastAsia="Times New Roman" w:hAnsi="Arial" w:cs="Arial"/>
          <w:sz w:val="22"/>
          <w:lang w:val="es-CO" w:eastAsia="es-ES_tradnl"/>
        </w:rPr>
      </w:pPr>
    </w:p>
    <w:p w14:paraId="30B13E1E" w14:textId="57E7479C" w:rsidR="00447B2D" w:rsidRPr="00D7373B" w:rsidRDefault="00447B2D" w:rsidP="00447B2D">
      <w:pPr>
        <w:spacing w:after="160"/>
        <w:rPr>
          <w:rFonts w:ascii="Arial" w:eastAsia="Times New Roman" w:hAnsi="Arial" w:cs="Arial"/>
          <w:bCs/>
          <w:sz w:val="22"/>
          <w:lang w:eastAsia="es-CO"/>
        </w:rPr>
      </w:pPr>
      <w:r w:rsidRPr="00D7373B">
        <w:rPr>
          <w:rFonts w:ascii="Arial" w:eastAsia="Times New Roman" w:hAnsi="Arial" w:cs="Arial"/>
          <w:bCs/>
          <w:sz w:val="22"/>
          <w:lang w:eastAsia="es-CO"/>
        </w:rPr>
        <w:t xml:space="preserve">Conforme a lo expuesto, la realización de cesiones de contratos suscritos antes del inicio del período durante el que rigen las restricciones de los artículos 33 y 38 de la Ley 996 de 2005, no se encuentra dentro del ámbito de aplicación de dichas prohibiciones. Esto significa que las entidades estatales pueden válidamente realizar tales actuaciones sobre los contratos que se encuentren vigentes, incluso en el transcurso de los períodos preelectorales en los que las aludidas restricciones tienen vigor. Lo anterior, toda vez que las referidas normas no prohíben la suscripción de cesiones de contratos. </w:t>
      </w:r>
    </w:p>
    <w:p w14:paraId="7664EB6D" w14:textId="7891E829" w:rsidR="00B45158" w:rsidRPr="000D75DD" w:rsidRDefault="00447B2D" w:rsidP="00B162E3">
      <w:pPr>
        <w:spacing w:after="0"/>
        <w:ind w:firstLine="709"/>
        <w:rPr>
          <w:rFonts w:ascii="Arial" w:eastAsia="Calibri" w:hAnsi="Arial" w:cs="Arial"/>
          <w:sz w:val="22"/>
        </w:rPr>
      </w:pPr>
      <w:r w:rsidRPr="00D7373B">
        <w:rPr>
          <w:rFonts w:ascii="Arial" w:eastAsia="Times New Roman" w:hAnsi="Arial" w:cs="Arial"/>
          <w:bCs/>
          <w:sz w:val="22"/>
          <w:lang w:eastAsia="es-CO"/>
        </w:rPr>
        <w:t>Cabe resaltar que tal posibilidad se encuentra supeditada a que las cesiones se realicen conforme a las demás normas que deban ser aplicadas para la realización de estas actuaciones, de suerte que, al margen de la no transgresión de la Ley de Garantías, con su celebración no se contravengan otras disposiciones del marco jurídico que les aplica. Adicionalmente, según lo manifestado por la Procuraduría General de la Nación en las circulares Nos. 016 del 3 de septiembre de 2013, 005 del 7 de abril de 2015 y 007 del 22 de mayo de 2017, así como por esta Agencia en las circulares Nos. 3 de 16 de agosto de 2013, 19 del 30 de julio de 2015, 24 del 12 de mayo de 2017 y la Circular Externa Única, al igual que por el Departamento Administrativo de la Presidencia de la República en conjunto con el Departamento Administrativo de la Función Pública en la Circular Conjunta 100-006 del 16 de noviembre de 2021, resulta indispensable que las entidades estatales en la celebración de prórrogas, adiciones, modificaciones o cesiones de contratos, durante la vigencia de la Ley de Garantías, orienten su actividad contractual atendiendo los principios de planeación, transparencia y responsabilidad.</w:t>
      </w:r>
    </w:p>
    <w:p w14:paraId="0FC32752" w14:textId="77777777" w:rsidR="00D228A3" w:rsidRPr="000D75DD" w:rsidRDefault="00D228A3" w:rsidP="007B78B9">
      <w:pPr>
        <w:spacing w:after="0"/>
        <w:ind w:firstLine="709"/>
        <w:rPr>
          <w:rFonts w:ascii="Arial" w:eastAsia="Calibri" w:hAnsi="Arial" w:cs="Arial"/>
          <w:sz w:val="22"/>
          <w:lang w:val="es-CO"/>
        </w:rPr>
      </w:pPr>
    </w:p>
    <w:p w14:paraId="06025F48" w14:textId="1C6BD03F" w:rsidR="00506085" w:rsidRPr="000D75DD" w:rsidRDefault="00506085" w:rsidP="00F176B9">
      <w:pPr>
        <w:spacing w:after="0"/>
        <w:rPr>
          <w:rFonts w:ascii="Times New Roman" w:eastAsia="Times New Roman" w:hAnsi="Times New Roman" w:cs="Times New Roman"/>
          <w:szCs w:val="24"/>
          <w:lang w:val="es-CO" w:eastAsia="es-ES_tradnl"/>
        </w:rPr>
      </w:pPr>
      <w:r w:rsidRPr="000D75DD">
        <w:rPr>
          <w:rFonts w:ascii="Arial" w:eastAsia="Calibri" w:hAnsi="Arial" w:cs="Arial"/>
          <w:sz w:val="22"/>
          <w:lang w:val="es-CO"/>
        </w:rPr>
        <w:t>Este concepto tiene el alcance previsto en el artículo 28 del Código de Procedimiento Administrativo y de lo Contencioso Administrativo.</w:t>
      </w:r>
      <w:r w:rsidRPr="000D75DD">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21A4F31"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0827501E" w14:textId="77777777" w:rsidR="00717A45" w:rsidRPr="000D75DD" w:rsidRDefault="00717A45" w:rsidP="00F176B9">
      <w:pPr>
        <w:spacing w:after="0"/>
        <w:rPr>
          <w:noProof/>
        </w:rPr>
      </w:pPr>
    </w:p>
    <w:p w14:paraId="240E0475" w14:textId="55B126B8" w:rsidR="00506085" w:rsidRPr="000D75DD" w:rsidRDefault="00506085" w:rsidP="00F176B9">
      <w:pPr>
        <w:rPr>
          <w:rFonts w:ascii="Arial" w:eastAsia="Times New Roman" w:hAnsi="Arial" w:cs="Arial"/>
          <w:sz w:val="22"/>
          <w:lang w:val="es-CO" w:eastAsia="es-CO"/>
        </w:rPr>
      </w:pPr>
      <w:r w:rsidRPr="000D75DD">
        <w:rPr>
          <w:rFonts w:ascii="Arial" w:eastAsia="Times New Roman" w:hAnsi="Arial" w:cs="Arial"/>
          <w:sz w:val="22"/>
          <w:lang w:val="es-CO" w:eastAsia="es-CO"/>
        </w:rPr>
        <w:t>Atentamente,</w:t>
      </w:r>
    </w:p>
    <w:p w14:paraId="300BE44C" w14:textId="033AE512" w:rsidR="00843449" w:rsidRPr="000D75DD" w:rsidRDefault="001D59BA" w:rsidP="00F176B9">
      <w:pPr>
        <w:jc w:val="center"/>
        <w:rPr>
          <w:rFonts w:ascii="Arial" w:eastAsia="Times New Roman" w:hAnsi="Arial" w:cs="Arial"/>
          <w:sz w:val="18"/>
          <w:szCs w:val="20"/>
          <w:lang w:eastAsia="es-CO"/>
        </w:rPr>
      </w:pPr>
      <w:r w:rsidRPr="00570FD2">
        <w:rPr>
          <w:rFonts w:ascii="Arial" w:hAnsi="Arial" w:cs="Arial"/>
          <w:noProof/>
          <w:color w:val="000000" w:themeColor="text1"/>
          <w:sz w:val="22"/>
        </w:rPr>
        <w:lastRenderedPageBreak/>
        <w:drawing>
          <wp:inline distT="0" distB="0" distL="0" distR="0" wp14:anchorId="1381BFA6" wp14:editId="73A20F0E">
            <wp:extent cx="2714625" cy="1152525"/>
            <wp:effectExtent l="0" t="0" r="9525"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299FA360" w14:textId="2C6292E6" w:rsidR="009F596F" w:rsidRPr="000D75DD" w:rsidRDefault="009F596F" w:rsidP="00F176B9">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F176B9" w:rsidRPr="000D75DD" w14:paraId="59E26AD8" w14:textId="77777777" w:rsidTr="00DE279B">
        <w:trPr>
          <w:trHeight w:val="315"/>
        </w:trPr>
        <w:tc>
          <w:tcPr>
            <w:tcW w:w="812" w:type="dxa"/>
            <w:vAlign w:val="center"/>
            <w:hideMark/>
          </w:tcPr>
          <w:p w14:paraId="53421173"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6E5507FB" w14:textId="77777777" w:rsidR="00F354B5" w:rsidRPr="00F354B5" w:rsidRDefault="00F354B5" w:rsidP="00F354B5">
            <w:pPr>
              <w:rPr>
                <w:rFonts w:ascii="Arial" w:eastAsia="Times New Roman" w:hAnsi="Arial" w:cs="Arial"/>
                <w:color w:val="000000" w:themeColor="text1"/>
                <w:sz w:val="16"/>
                <w:szCs w:val="16"/>
                <w:lang w:val="es-ES_tradnl" w:eastAsia="es-ES"/>
              </w:rPr>
            </w:pPr>
            <w:r w:rsidRPr="00F354B5">
              <w:rPr>
                <w:rFonts w:ascii="Arial" w:eastAsia="Times New Roman" w:hAnsi="Arial" w:cs="Arial"/>
                <w:color w:val="000000" w:themeColor="text1"/>
                <w:sz w:val="16"/>
                <w:szCs w:val="16"/>
                <w:lang w:val="es-ES_tradnl" w:eastAsia="es-ES"/>
              </w:rPr>
              <w:t>Gabriel Alejandro Murcia Taboada</w:t>
            </w:r>
          </w:p>
          <w:p w14:paraId="3F63272B" w14:textId="4F20144E" w:rsidR="00843449" w:rsidRPr="000D75DD" w:rsidRDefault="00F354B5" w:rsidP="00F354B5">
            <w:pPr>
              <w:rPr>
                <w:rFonts w:ascii="Arial" w:eastAsia="Times New Roman" w:hAnsi="Arial" w:cs="Arial"/>
                <w:sz w:val="16"/>
                <w:szCs w:val="16"/>
                <w:lang w:val="es-CO" w:eastAsia="es-ES"/>
              </w:rPr>
            </w:pPr>
            <w:r w:rsidRPr="00F354B5">
              <w:rPr>
                <w:rFonts w:ascii="Arial" w:eastAsia="Times New Roman" w:hAnsi="Arial" w:cs="Arial"/>
                <w:color w:val="000000" w:themeColor="text1"/>
                <w:sz w:val="16"/>
                <w:szCs w:val="16"/>
                <w:lang w:val="es-ES_tradnl" w:eastAsia="es-ES"/>
              </w:rPr>
              <w:t>Contratista de la Subdirección de Gestión Contractual</w:t>
            </w:r>
          </w:p>
        </w:tc>
      </w:tr>
      <w:tr w:rsidR="00F176B9" w:rsidRPr="000D75DD" w14:paraId="363E18D7" w14:textId="77777777" w:rsidTr="00DE279B">
        <w:trPr>
          <w:trHeight w:val="330"/>
        </w:trPr>
        <w:tc>
          <w:tcPr>
            <w:tcW w:w="812" w:type="dxa"/>
            <w:vAlign w:val="center"/>
            <w:hideMark/>
          </w:tcPr>
          <w:p w14:paraId="5E29D295"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09079" w14:textId="52250CF4" w:rsidR="00843449" w:rsidRPr="000D75DD" w:rsidRDefault="00F354B5"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Alejandro Sarmiento Cantillo</w:t>
            </w:r>
          </w:p>
          <w:p w14:paraId="30332C7A"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Gestor T1-15 de la Subdirección de Gestión Contractual</w:t>
            </w:r>
          </w:p>
        </w:tc>
      </w:tr>
      <w:tr w:rsidR="00F176B9" w:rsidRPr="00F176B9" w14:paraId="4231B1F9" w14:textId="77777777" w:rsidTr="00DE279B">
        <w:trPr>
          <w:trHeight w:val="300"/>
        </w:trPr>
        <w:tc>
          <w:tcPr>
            <w:tcW w:w="812" w:type="dxa"/>
            <w:vAlign w:val="center"/>
            <w:hideMark/>
          </w:tcPr>
          <w:p w14:paraId="074BC5C1"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Jorge Augusto Tirado Navarro</w:t>
            </w:r>
          </w:p>
          <w:p w14:paraId="4A949C01" w14:textId="77777777" w:rsidR="00843449" w:rsidRPr="00F176B9"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Subdirector de Gestión Contractual ANCP – CCE</w:t>
            </w:r>
          </w:p>
        </w:tc>
      </w:tr>
      <w:bookmarkEnd w:id="8"/>
    </w:tbl>
    <w:p w14:paraId="20333B98" w14:textId="77777777" w:rsidR="006674C1" w:rsidRPr="00F176B9" w:rsidRDefault="006674C1" w:rsidP="00F176B9">
      <w:pPr>
        <w:spacing w:after="120"/>
        <w:contextualSpacing/>
        <w:rPr>
          <w:rFonts w:ascii="Arial" w:eastAsia="Calibri" w:hAnsi="Arial" w:cs="Arial"/>
          <w:b/>
          <w:bCs/>
          <w:sz w:val="20"/>
          <w:szCs w:val="20"/>
        </w:rPr>
      </w:pPr>
    </w:p>
    <w:sectPr w:rsidR="006674C1" w:rsidRPr="00F176B9" w:rsidSect="003D603B">
      <w:headerReference w:type="default" r:id="rId13"/>
      <w:footerReference w:type="default" r:id="rId14"/>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197A7" w14:textId="77777777" w:rsidR="00241AB9" w:rsidRDefault="00241AB9">
      <w:r>
        <w:separator/>
      </w:r>
    </w:p>
  </w:endnote>
  <w:endnote w:type="continuationSeparator" w:id="0">
    <w:p w14:paraId="6E55A158" w14:textId="77777777" w:rsidR="00241AB9" w:rsidRDefault="00241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BC200" w14:textId="77777777" w:rsidR="00241AB9" w:rsidRDefault="00241AB9">
      <w:r>
        <w:separator/>
      </w:r>
    </w:p>
  </w:footnote>
  <w:footnote w:type="continuationSeparator" w:id="0">
    <w:p w14:paraId="753884B1" w14:textId="77777777" w:rsidR="00241AB9" w:rsidRDefault="00241AB9">
      <w:r>
        <w:continuationSeparator/>
      </w:r>
    </w:p>
  </w:footnote>
  <w:footnote w:id="1">
    <w:p w14:paraId="20ADFDA6" w14:textId="77777777" w:rsidR="00F15A44" w:rsidRPr="00C259DD" w:rsidRDefault="00F15A44" w:rsidP="00F15A44">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El artícu</w:t>
      </w:r>
      <w:r w:rsidRPr="00C259DD">
        <w:rPr>
          <w:rFonts w:ascii="Arial" w:hAnsi="Arial" w:cs="Arial"/>
          <w:sz w:val="19"/>
          <w:szCs w:val="19"/>
        </w:rPr>
        <w:t xml:space="preserve">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DE88925" w14:textId="77777777" w:rsidR="00F15A44" w:rsidRPr="00C259DD" w:rsidRDefault="00F15A44" w:rsidP="00F15A44">
      <w:pPr>
        <w:pStyle w:val="Textonotapie"/>
        <w:spacing w:after="0" w:line="240" w:lineRule="auto"/>
        <w:ind w:firstLine="709"/>
        <w:rPr>
          <w:rFonts w:ascii="Arial" w:hAnsi="Arial" w:cs="Arial"/>
          <w:sz w:val="19"/>
          <w:szCs w:val="19"/>
        </w:rPr>
      </w:pPr>
      <w:r w:rsidRPr="00C259DD">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6CE220FD" w14:textId="77777777" w:rsidR="00F15A44" w:rsidRPr="00C259DD" w:rsidRDefault="00F15A44" w:rsidP="00F15A44">
      <w:pPr>
        <w:pStyle w:val="Textonotapie"/>
        <w:spacing w:after="0" w:line="240" w:lineRule="auto"/>
        <w:ind w:firstLine="709"/>
        <w:rPr>
          <w:rFonts w:ascii="Arial" w:hAnsi="Arial" w:cs="Arial"/>
          <w:sz w:val="19"/>
          <w:szCs w:val="19"/>
        </w:rPr>
      </w:pPr>
    </w:p>
  </w:footnote>
  <w:footnote w:id="2">
    <w:p w14:paraId="3A186DDD" w14:textId="77777777" w:rsidR="00F15A44" w:rsidRDefault="00F15A44" w:rsidP="00F15A44">
      <w:pPr>
        <w:pStyle w:val="Textonotapie"/>
        <w:spacing w:after="0"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Gaceta del Congreso de la República No. 71 del 2005.</w:t>
      </w:r>
    </w:p>
    <w:p w14:paraId="563B9D1D" w14:textId="77777777" w:rsidR="00F15A44" w:rsidRPr="00C259DD" w:rsidRDefault="00F15A44" w:rsidP="00F15A44">
      <w:pPr>
        <w:pStyle w:val="Textonotapie"/>
        <w:spacing w:after="0" w:line="240" w:lineRule="auto"/>
        <w:ind w:firstLine="709"/>
        <w:rPr>
          <w:rFonts w:ascii="Arial" w:hAnsi="Arial" w:cs="Arial"/>
          <w:sz w:val="19"/>
          <w:szCs w:val="19"/>
        </w:rPr>
      </w:pPr>
    </w:p>
  </w:footnote>
  <w:footnote w:id="3">
    <w:p w14:paraId="4807359B" w14:textId="77777777" w:rsidR="00F15A44" w:rsidRPr="00C259DD" w:rsidRDefault="00F15A44" w:rsidP="00F15A44">
      <w:pPr>
        <w:pStyle w:val="Textonotapie"/>
        <w:spacing w:after="0"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Corte Constitucional, Sentencia C- 1153 de 2005, M.P. Marco Gerardo Monroy Cabra.</w:t>
      </w:r>
    </w:p>
    <w:p w14:paraId="57A04D81" w14:textId="77777777" w:rsidR="00F15A44" w:rsidRPr="00C259DD" w:rsidRDefault="00F15A44" w:rsidP="00F15A44">
      <w:pPr>
        <w:pStyle w:val="Textonotapie"/>
        <w:spacing w:after="0" w:line="240" w:lineRule="auto"/>
        <w:ind w:firstLine="709"/>
        <w:rPr>
          <w:rFonts w:ascii="Arial" w:hAnsi="Arial" w:cs="Arial"/>
          <w:sz w:val="19"/>
          <w:szCs w:val="19"/>
        </w:rPr>
      </w:pPr>
    </w:p>
  </w:footnote>
  <w:footnote w:id="4">
    <w:p w14:paraId="3BCA31AB" w14:textId="77777777" w:rsidR="00F15A44" w:rsidRPr="00C259DD" w:rsidRDefault="00F15A44" w:rsidP="00F15A44">
      <w:pPr>
        <w:pStyle w:val="Textonotapie"/>
        <w:spacing w:after="0"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56E044DC" w14:textId="77777777" w:rsidR="00F15A44" w:rsidRPr="00C259DD" w:rsidRDefault="00F15A44" w:rsidP="00F15A44">
      <w:pPr>
        <w:pStyle w:val="Textonotapie"/>
        <w:spacing w:after="0" w:line="240" w:lineRule="auto"/>
        <w:ind w:firstLine="709"/>
        <w:rPr>
          <w:rFonts w:ascii="Arial" w:hAnsi="Arial" w:cs="Arial"/>
          <w:sz w:val="19"/>
          <w:szCs w:val="19"/>
        </w:rPr>
      </w:pPr>
    </w:p>
  </w:footnote>
  <w:footnote w:id="5">
    <w:p w14:paraId="74BEA0A8" w14:textId="77777777" w:rsidR="00F15A44" w:rsidRPr="00C259DD" w:rsidRDefault="00F15A44" w:rsidP="00F15A44">
      <w:pPr>
        <w:pStyle w:val="Textonotapie"/>
        <w:spacing w:after="0" w:line="240" w:lineRule="auto"/>
        <w:ind w:firstLine="709"/>
        <w:rPr>
          <w:rFonts w:ascii="Arial" w:hAnsi="Arial" w:cs="Arial"/>
          <w:sz w:val="19"/>
          <w:szCs w:val="19"/>
          <w:lang w:val="es-CO"/>
        </w:rPr>
      </w:pPr>
      <w:r w:rsidRPr="00C259DD">
        <w:rPr>
          <w:rStyle w:val="Refdenotaalpie"/>
          <w:rFonts w:ascii="Arial" w:hAnsi="Arial" w:cs="Arial"/>
          <w:sz w:val="19"/>
          <w:szCs w:val="19"/>
        </w:rPr>
        <w:footnoteRef/>
      </w:r>
      <w:r w:rsidRPr="00C259DD">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50264D15" w14:textId="77777777" w:rsidR="00F15A44" w:rsidRPr="00C259DD" w:rsidRDefault="00F15A44" w:rsidP="00F15A44">
      <w:pPr>
        <w:pStyle w:val="Textonotapie"/>
        <w:spacing w:after="0" w:line="240" w:lineRule="auto"/>
        <w:ind w:firstLine="709"/>
        <w:rPr>
          <w:rFonts w:ascii="Arial" w:hAnsi="Arial" w:cs="Arial"/>
          <w:sz w:val="19"/>
          <w:szCs w:val="19"/>
          <w:lang w:val="es-CO"/>
        </w:rPr>
      </w:pPr>
    </w:p>
  </w:footnote>
  <w:footnote w:id="6">
    <w:p w14:paraId="686808CD" w14:textId="77777777" w:rsidR="00F15A44" w:rsidRPr="00C259DD" w:rsidRDefault="00F15A44" w:rsidP="00F15A44">
      <w:pPr>
        <w:pStyle w:val="Textonotapie"/>
        <w:spacing w:after="0"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Consejo de Estado, Sala de Consulta y Servicio Civil de fecha 24 de julio de 2013, radicado 2166, Consejero Ponente: Álvaro Namén Vargas.  </w:t>
      </w:r>
    </w:p>
    <w:p w14:paraId="7A268912" w14:textId="77777777" w:rsidR="00F15A44" w:rsidRPr="00C259DD" w:rsidRDefault="00F15A44" w:rsidP="00F15A44">
      <w:pPr>
        <w:pStyle w:val="Textonotapie"/>
        <w:spacing w:after="0" w:line="240" w:lineRule="auto"/>
        <w:ind w:firstLine="709"/>
        <w:rPr>
          <w:rFonts w:ascii="Arial" w:hAnsi="Arial" w:cs="Arial"/>
          <w:sz w:val="19"/>
          <w:szCs w:val="19"/>
        </w:rPr>
      </w:pPr>
    </w:p>
  </w:footnote>
  <w:footnote w:id="7">
    <w:p w14:paraId="33656742" w14:textId="77777777" w:rsidR="00F15A44" w:rsidRPr="00C259DD" w:rsidRDefault="00F15A44" w:rsidP="00F15A44">
      <w:pPr>
        <w:spacing w:after="0" w:line="240" w:lineRule="auto"/>
        <w:ind w:firstLine="709"/>
        <w:rPr>
          <w:rFonts w:ascii="Arial" w:eastAsia="Times New Roman"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w:t>
      </w:r>
      <w:r w:rsidRPr="00C259DD">
        <w:rPr>
          <w:rFonts w:ascii="Arial" w:eastAsia="Calibri" w:hAnsi="Arial" w:cs="Arial"/>
          <w:bCs/>
          <w:color w:val="000000"/>
          <w:sz w:val="19"/>
          <w:szCs w:val="19"/>
        </w:rPr>
        <w:t>«</w:t>
      </w:r>
      <w:r w:rsidRPr="00C259DD">
        <w:rPr>
          <w:rFonts w:ascii="Arial" w:eastAsia="Times New Roman"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54372239" w14:textId="77777777" w:rsidR="00F15A44" w:rsidRPr="00C259DD" w:rsidRDefault="00F15A44" w:rsidP="00F15A44">
      <w:pPr>
        <w:spacing w:after="0" w:line="240" w:lineRule="auto"/>
        <w:ind w:firstLine="709"/>
        <w:rPr>
          <w:rFonts w:ascii="Arial" w:eastAsia="Times New Roman" w:hAnsi="Arial" w:cs="Arial"/>
          <w:sz w:val="19"/>
          <w:szCs w:val="19"/>
        </w:rPr>
      </w:pPr>
      <w:r w:rsidRPr="00C259DD">
        <w:rPr>
          <w:rFonts w:ascii="Arial" w:eastAsia="Calibri" w:hAnsi="Arial" w:cs="Arial"/>
          <w:bCs/>
          <w:color w:val="000000"/>
          <w:sz w:val="19"/>
          <w:szCs w:val="19"/>
        </w:rPr>
        <w:t>»</w:t>
      </w:r>
      <w:r w:rsidRPr="00C259DD">
        <w:rPr>
          <w:rFonts w:ascii="Arial" w:eastAsia="Times New Roman"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259DD">
        <w:rPr>
          <w:rFonts w:ascii="Arial" w:eastAsia="Calibri" w:hAnsi="Arial" w:cs="Arial"/>
          <w:bCs/>
          <w:color w:val="000000"/>
          <w:sz w:val="19"/>
          <w:szCs w:val="19"/>
        </w:rPr>
        <w:t>»</w:t>
      </w:r>
      <w:r w:rsidRPr="00C259DD">
        <w:rPr>
          <w:rFonts w:ascii="Arial" w:eastAsia="Times New Roman" w:hAnsi="Arial" w:cs="Arial"/>
          <w:sz w:val="19"/>
          <w:szCs w:val="19"/>
        </w:rPr>
        <w:t>.</w:t>
      </w:r>
    </w:p>
    <w:p w14:paraId="6228B6FA" w14:textId="77777777" w:rsidR="00F15A44" w:rsidRPr="00C259DD" w:rsidRDefault="00F15A44" w:rsidP="00F15A44">
      <w:pPr>
        <w:spacing w:after="0" w:line="240" w:lineRule="auto"/>
        <w:ind w:firstLine="709"/>
        <w:rPr>
          <w:rFonts w:ascii="Arial" w:eastAsia="Times New Roman" w:hAnsi="Arial" w:cs="Arial"/>
          <w:sz w:val="19"/>
          <w:szCs w:val="19"/>
        </w:rPr>
      </w:pPr>
    </w:p>
  </w:footnote>
  <w:footnote w:id="8">
    <w:p w14:paraId="4F007F98" w14:textId="77777777" w:rsidR="00F15A44" w:rsidRPr="00C259DD" w:rsidRDefault="00F15A44" w:rsidP="00F15A44">
      <w:pPr>
        <w:pStyle w:val="NormalWeb"/>
        <w:spacing w:before="0" w:beforeAutospacing="0" w:after="0" w:afterAutospacing="0" w:line="240" w:lineRule="auto"/>
        <w:ind w:firstLine="709"/>
        <w:rPr>
          <w:rFonts w:ascii="Arial" w:hAnsi="Arial" w:cs="Arial"/>
          <w:sz w:val="19"/>
          <w:szCs w:val="19"/>
          <w:lang w:val="es-MX"/>
        </w:rPr>
      </w:pPr>
      <w:r w:rsidRPr="00C259DD">
        <w:rPr>
          <w:rStyle w:val="Refdenotaalpie"/>
          <w:rFonts w:ascii="Arial" w:hAnsi="Arial" w:cs="Arial"/>
          <w:sz w:val="19"/>
          <w:szCs w:val="19"/>
        </w:rPr>
        <w:footnoteRef/>
      </w:r>
      <w:r w:rsidRPr="00C259DD">
        <w:rPr>
          <w:rFonts w:ascii="Arial" w:hAnsi="Arial" w:cs="Arial"/>
          <w:sz w:val="19"/>
          <w:szCs w:val="19"/>
        </w:rPr>
        <w:t xml:space="preserve"> </w:t>
      </w:r>
      <w:r w:rsidRPr="00C259DD">
        <w:rPr>
          <w:rFonts w:ascii="Arial" w:eastAsia="Calibri" w:hAnsi="Arial" w:cs="Arial"/>
          <w:bCs/>
          <w:color w:val="000000"/>
          <w:sz w:val="19"/>
          <w:szCs w:val="19"/>
        </w:rPr>
        <w:t>«</w:t>
      </w:r>
      <w:r w:rsidRPr="00C259DD">
        <w:rPr>
          <w:rFonts w:ascii="Arial" w:hAnsi="Arial" w:cs="Arial"/>
          <w:sz w:val="19"/>
          <w:szCs w:val="19"/>
          <w:lang w:val="es-MX"/>
        </w:rPr>
        <w:t>Artículo 38. Prohibiciones para los servidores públicos. A los empleados del Estado les está prohibido:</w:t>
      </w:r>
    </w:p>
    <w:p w14:paraId="612BBDD6" w14:textId="77777777" w:rsidR="00F15A44" w:rsidRPr="00C259DD" w:rsidRDefault="00F15A44" w:rsidP="00F15A44">
      <w:pPr>
        <w:pStyle w:val="NormalWeb"/>
        <w:spacing w:before="0" w:beforeAutospacing="0" w:after="0" w:afterAutospacing="0" w:line="240" w:lineRule="auto"/>
        <w:ind w:firstLine="709"/>
        <w:rPr>
          <w:rFonts w:ascii="Arial" w:hAnsi="Arial" w:cs="Arial"/>
          <w:sz w:val="19"/>
          <w:szCs w:val="19"/>
          <w:lang w:val="es-MX"/>
        </w:rPr>
      </w:pPr>
      <w:r w:rsidRPr="00C259DD">
        <w:rPr>
          <w:rFonts w:ascii="Arial" w:eastAsia="Calibri" w:hAnsi="Arial" w:cs="Arial"/>
          <w:bCs/>
          <w:color w:val="000000"/>
          <w:sz w:val="19"/>
          <w:szCs w:val="19"/>
        </w:rPr>
        <w:t>»</w:t>
      </w:r>
      <w:r w:rsidRPr="00C259DD">
        <w:rPr>
          <w:rFonts w:ascii="Arial" w:hAnsi="Arial" w:cs="Arial"/>
          <w:sz w:val="19"/>
          <w:szCs w:val="19"/>
          <w:lang w:val="es-MX"/>
        </w:rPr>
        <w:t xml:space="preserve"> […]</w:t>
      </w:r>
    </w:p>
    <w:p w14:paraId="661EAFDA" w14:textId="77777777" w:rsidR="00F15A44" w:rsidRPr="00C259DD" w:rsidRDefault="00F15A44" w:rsidP="00F15A44">
      <w:pPr>
        <w:pStyle w:val="NormalWeb"/>
        <w:spacing w:before="0" w:beforeAutospacing="0" w:after="0" w:afterAutospacing="0" w:line="240" w:lineRule="auto"/>
        <w:ind w:firstLine="709"/>
        <w:rPr>
          <w:rFonts w:ascii="Arial" w:hAnsi="Arial" w:cs="Arial"/>
          <w:sz w:val="19"/>
          <w:szCs w:val="19"/>
          <w:lang w:val="es-MX"/>
        </w:rPr>
      </w:pPr>
      <w:r w:rsidRPr="00C259DD">
        <w:rPr>
          <w:rFonts w:ascii="Arial" w:eastAsia="Calibri" w:hAnsi="Arial" w:cs="Arial"/>
          <w:bCs/>
          <w:color w:val="000000"/>
          <w:sz w:val="19"/>
          <w:szCs w:val="19"/>
        </w:rPr>
        <w:t>»</w:t>
      </w:r>
      <w:r w:rsidRPr="00C259DD">
        <w:rPr>
          <w:rStyle w:val="baj"/>
          <w:rFonts w:ascii="Arial" w:hAnsi="Arial" w:cs="Arial"/>
          <w:sz w:val="19"/>
          <w:szCs w:val="19"/>
          <w:lang w:val="es-MX"/>
        </w:rPr>
        <w:t xml:space="preserve"> Parágrafo.</w:t>
      </w:r>
      <w:r w:rsidRPr="00C259DD">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259DD">
        <w:rPr>
          <w:rFonts w:ascii="Arial" w:eastAsia="Calibri" w:hAnsi="Arial" w:cs="Arial"/>
          <w:bCs/>
          <w:color w:val="000000"/>
          <w:sz w:val="19"/>
          <w:szCs w:val="19"/>
        </w:rPr>
        <w:t>»</w:t>
      </w:r>
      <w:r w:rsidRPr="00C259DD">
        <w:rPr>
          <w:rFonts w:ascii="Arial" w:hAnsi="Arial" w:cs="Arial"/>
          <w:sz w:val="19"/>
          <w:szCs w:val="19"/>
          <w:lang w:val="es-MX"/>
        </w:rPr>
        <w:t>.</w:t>
      </w:r>
    </w:p>
    <w:p w14:paraId="424D3ABA" w14:textId="77777777" w:rsidR="00F15A44" w:rsidRPr="00C259DD" w:rsidRDefault="00F15A44" w:rsidP="00F15A44">
      <w:pPr>
        <w:pStyle w:val="NormalWeb"/>
        <w:spacing w:before="0" w:beforeAutospacing="0" w:after="0" w:afterAutospacing="0" w:line="240" w:lineRule="auto"/>
        <w:ind w:firstLine="709"/>
        <w:rPr>
          <w:rFonts w:ascii="Arial" w:hAnsi="Arial" w:cs="Arial"/>
          <w:sz w:val="19"/>
          <w:szCs w:val="19"/>
          <w:lang w:val="es-MX"/>
        </w:rPr>
      </w:pPr>
    </w:p>
  </w:footnote>
  <w:footnote w:id="9">
    <w:p w14:paraId="27D2C711" w14:textId="77777777" w:rsidR="00F15A44" w:rsidRPr="00C259DD" w:rsidRDefault="00F15A44" w:rsidP="00F15A44">
      <w:pPr>
        <w:spacing w:after="0" w:line="240" w:lineRule="auto"/>
        <w:ind w:left="100" w:right="244" w:firstLine="709"/>
        <w:rPr>
          <w:rFonts w:ascii="Arial" w:hAnsi="Arial" w:cs="Arial"/>
          <w:sz w:val="19"/>
          <w:szCs w:val="19"/>
          <w:lang w:val="es-ES"/>
        </w:rPr>
      </w:pPr>
      <w:r w:rsidRPr="00C259DD">
        <w:rPr>
          <w:rStyle w:val="Refdenotaalpie"/>
          <w:rFonts w:ascii="Arial" w:hAnsi="Arial" w:cs="Arial"/>
          <w:sz w:val="19"/>
          <w:szCs w:val="19"/>
        </w:rPr>
        <w:footnoteRef/>
      </w:r>
      <w:r w:rsidRPr="00C259DD">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0">
    <w:p w14:paraId="5C2B9451" w14:textId="77777777" w:rsidR="00F15A44" w:rsidRPr="00C259DD" w:rsidRDefault="00F15A44" w:rsidP="00F15A44">
      <w:pPr>
        <w:pStyle w:val="Textonotapie"/>
        <w:spacing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Agencia Nacional de contratación Pública – Colombia Compra Eficiente. Circular No. 3 del 16 de agosto de 2013. Consultada el 29 de diciembre de 2021 en la página web: </w:t>
      </w:r>
      <w:hyperlink r:id="rId1" w:history="1">
        <w:r w:rsidRPr="00C259DD">
          <w:rPr>
            <w:rStyle w:val="Hipervnculo"/>
            <w:rFonts w:ascii="Arial" w:hAnsi="Arial" w:cs="Arial"/>
            <w:color w:val="auto"/>
            <w:sz w:val="19"/>
            <w:szCs w:val="19"/>
          </w:rPr>
          <w:t>https://colombiacompra.gov.co/sites/cce_public/files/cce_circulares/20130816circular3leygarantias.pdf</w:t>
        </w:r>
      </w:hyperlink>
      <w:r w:rsidRPr="00C259DD">
        <w:rPr>
          <w:rFonts w:ascii="Arial" w:hAnsi="Arial" w:cs="Arial"/>
          <w:sz w:val="19"/>
          <w:szCs w:val="19"/>
        </w:rPr>
        <w:t xml:space="preserve"> </w:t>
      </w:r>
    </w:p>
  </w:footnote>
  <w:footnote w:id="11">
    <w:p w14:paraId="0EE5C9A9" w14:textId="77777777" w:rsidR="00F15A44" w:rsidRPr="00C259DD" w:rsidRDefault="00F15A44" w:rsidP="00F15A44">
      <w:pPr>
        <w:pStyle w:val="Textonotapie"/>
        <w:spacing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Procuraduría General de la Nación. Circular No. 007 del 22 de mayo de 2021. Consultada el 29 de diciembre de 2021 en la página web: </w:t>
      </w:r>
      <w:hyperlink r:id="rId2" w:history="1">
        <w:r w:rsidRPr="00C259DD">
          <w:rPr>
            <w:rStyle w:val="Hipervnculo"/>
            <w:rFonts w:ascii="Arial" w:hAnsi="Arial" w:cs="Arial"/>
            <w:color w:val="auto"/>
            <w:sz w:val="19"/>
            <w:szCs w:val="19"/>
          </w:rPr>
          <w:t>https://www.procuraduria.gov.co/portal/relatoria_normatividad.page</w:t>
        </w:r>
      </w:hyperlink>
      <w:r>
        <w:rPr>
          <w:rFonts w:ascii="Arial" w:hAnsi="Arial" w:cs="Arial"/>
          <w:sz w:val="19"/>
          <w:szCs w:val="19"/>
        </w:rPr>
        <w:t>.</w:t>
      </w:r>
    </w:p>
  </w:footnote>
  <w:footnote w:id="12">
    <w:p w14:paraId="207610E5" w14:textId="77777777" w:rsidR="00F15A44" w:rsidRPr="00C259DD" w:rsidRDefault="00F15A44" w:rsidP="00F15A44">
      <w:pPr>
        <w:pStyle w:val="Textonotapie"/>
        <w:spacing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Dicha circular indica: «La Ley de Garantías no establece restricciones para las prórrogas, modificaciones o adiciones, ni para la cesión de los contratos suscritos antes del período de la campaña presidencial. Estas se pueden celebrar de conformidad con los principios de planeación, transparencia y de responsabilidad establecidos en la Ley 80 de 1993, y demás normas que resulten aplicables a cada caso». Consultada el 29 de diciembre de 2021 en la página web: https://dapre.presidencia.gov.co/normativa/normativa/CIRCULAR%20CONJUNTA%20100-06%20DE%202021.pdf</w:t>
      </w:r>
    </w:p>
  </w:footnote>
  <w:footnote w:id="13">
    <w:p w14:paraId="6C72D304" w14:textId="77777777" w:rsidR="00F15A44" w:rsidRDefault="00F15A44" w:rsidP="00F15A44">
      <w:pPr>
        <w:pStyle w:val="Textonotapie"/>
        <w:spacing w:after="0"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Ley 80 de 1993: «Articulo 6o. De la capacidad para contratar. Pueden celebrar contratos con las entidades estatales las personas consideradas legalmente capaces en las disposiciones vigentes […]</w:t>
      </w:r>
      <w:r>
        <w:rPr>
          <w:rFonts w:ascii="Arial" w:hAnsi="Arial" w:cs="Arial"/>
          <w:sz w:val="19"/>
          <w:szCs w:val="19"/>
        </w:rPr>
        <w:t>»</w:t>
      </w:r>
    </w:p>
    <w:p w14:paraId="0C1638A4" w14:textId="77777777" w:rsidR="00F15A44" w:rsidRPr="00C259DD" w:rsidRDefault="00F15A44" w:rsidP="00F15A44">
      <w:pPr>
        <w:pStyle w:val="Textonotapie"/>
        <w:spacing w:after="0" w:line="240" w:lineRule="auto"/>
        <w:ind w:firstLine="709"/>
        <w:rPr>
          <w:rFonts w:ascii="Arial" w:hAnsi="Arial" w:cs="Arial"/>
          <w:sz w:val="19"/>
          <w:szCs w:val="19"/>
        </w:rPr>
      </w:pPr>
      <w:r>
        <w:rPr>
          <w:rFonts w:ascii="Arial" w:hAnsi="Arial" w:cs="Arial"/>
          <w:sz w:val="19"/>
          <w:szCs w:val="19"/>
        </w:rPr>
        <w:t>«</w:t>
      </w:r>
      <w:r w:rsidRPr="00C259DD">
        <w:rPr>
          <w:rFonts w:ascii="Arial" w:hAnsi="Arial" w:cs="Arial"/>
          <w:sz w:val="19"/>
          <w:szCs w:val="19"/>
        </w:rPr>
        <w:t xml:space="preserve">Articulo 8o. De las inhabilidades e incompatibilidades para contratar. </w:t>
      </w:r>
    </w:p>
    <w:p w14:paraId="4B87AC8A" w14:textId="77777777" w:rsidR="00F15A44" w:rsidRDefault="00F15A44" w:rsidP="00F15A44">
      <w:pPr>
        <w:pStyle w:val="Textonotapie"/>
        <w:spacing w:after="0" w:line="240" w:lineRule="auto"/>
        <w:ind w:firstLine="709"/>
        <w:rPr>
          <w:rFonts w:ascii="Arial" w:hAnsi="Arial" w:cs="Arial"/>
          <w:sz w:val="19"/>
          <w:szCs w:val="19"/>
        </w:rPr>
      </w:pPr>
      <w:r w:rsidRPr="00C259DD">
        <w:rPr>
          <w:rFonts w:ascii="Arial" w:hAnsi="Arial" w:cs="Arial"/>
          <w:sz w:val="19"/>
          <w:szCs w:val="19"/>
        </w:rPr>
        <w:t>»1o. Son inhábiles para participar en licitaciones o concursos y para celebrar contratos con las entidades estatales: »a) Las personas que se hallen inhabilitadas para contratar por la Constitución y las leyes […]»</w:t>
      </w:r>
      <w:r>
        <w:rPr>
          <w:rFonts w:ascii="Arial" w:hAnsi="Arial" w:cs="Arial"/>
          <w:sz w:val="19"/>
          <w:szCs w:val="19"/>
        </w:rPr>
        <w:t>.</w:t>
      </w:r>
    </w:p>
    <w:p w14:paraId="2EF3167B" w14:textId="77777777" w:rsidR="00F15A44" w:rsidRPr="00C259DD" w:rsidRDefault="00F15A44" w:rsidP="00F15A44">
      <w:pPr>
        <w:pStyle w:val="Textonotapie"/>
        <w:spacing w:after="0" w:line="240" w:lineRule="auto"/>
        <w:ind w:firstLine="709"/>
        <w:rPr>
          <w:rFonts w:ascii="Arial" w:hAnsi="Arial" w:cs="Arial"/>
          <w:sz w:val="19"/>
          <w:szCs w:val="19"/>
        </w:rPr>
      </w:pPr>
    </w:p>
  </w:footnote>
  <w:footnote w:id="14">
    <w:p w14:paraId="3EB23930" w14:textId="77777777" w:rsidR="00F15A44" w:rsidRPr="00C259DD" w:rsidRDefault="00F15A44" w:rsidP="00F15A44">
      <w:pPr>
        <w:pStyle w:val="Textonotapie"/>
        <w:spacing w:line="240" w:lineRule="auto"/>
        <w:ind w:firstLine="709"/>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Constitución Política de Colombia: «Artículo 122. […] Sin perjuicio de las demás sanciones que establezca la ley, no podrán ser inscritos como candidatos a cargos de elección popular, ni elegidos, ni designados como servidores públicos, ni celebrar personalmente, o por interpuesta persona, contratos con el Estado, quienes hayan sido condenados, en cualquier tiempo, por la comisión de delitos que afecten el patrimonio del Estado o quienes hayan sido condenados por delitos relacionados con la pertenencia, promoción o financiación de grupos armados ilegales, delitos de lesa humanidad o por narcotráfico en Colombia o en el exterior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06723387">
    <w:abstractNumId w:val="11"/>
  </w:num>
  <w:num w:numId="2" w16cid:durableId="1958440169">
    <w:abstractNumId w:val="9"/>
  </w:num>
  <w:num w:numId="3" w16cid:durableId="316155424">
    <w:abstractNumId w:val="15"/>
  </w:num>
  <w:num w:numId="4" w16cid:durableId="1768383740">
    <w:abstractNumId w:val="21"/>
  </w:num>
  <w:num w:numId="5" w16cid:durableId="1484350696">
    <w:abstractNumId w:val="23"/>
  </w:num>
  <w:num w:numId="6" w16cid:durableId="158911959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0550102">
    <w:abstractNumId w:val="6"/>
  </w:num>
  <w:num w:numId="8" w16cid:durableId="1737043428">
    <w:abstractNumId w:val="24"/>
  </w:num>
  <w:num w:numId="9" w16cid:durableId="1268270013">
    <w:abstractNumId w:val="6"/>
    <w:lvlOverride w:ilvl="0">
      <w:startOverride w:val="1"/>
    </w:lvlOverride>
  </w:num>
  <w:num w:numId="10" w16cid:durableId="706569284">
    <w:abstractNumId w:val="25"/>
  </w:num>
  <w:num w:numId="11" w16cid:durableId="1309550324">
    <w:abstractNumId w:val="7"/>
  </w:num>
  <w:num w:numId="12" w16cid:durableId="2042898743">
    <w:abstractNumId w:val="2"/>
  </w:num>
  <w:num w:numId="13" w16cid:durableId="290479431">
    <w:abstractNumId w:val="4"/>
  </w:num>
  <w:num w:numId="14" w16cid:durableId="1064569126">
    <w:abstractNumId w:val="20"/>
  </w:num>
  <w:num w:numId="15" w16cid:durableId="1195926361">
    <w:abstractNumId w:val="13"/>
  </w:num>
  <w:num w:numId="16" w16cid:durableId="1651592925">
    <w:abstractNumId w:val="10"/>
  </w:num>
  <w:num w:numId="17" w16cid:durableId="646201754">
    <w:abstractNumId w:val="14"/>
  </w:num>
  <w:num w:numId="18" w16cid:durableId="209729287">
    <w:abstractNumId w:val="16"/>
  </w:num>
  <w:num w:numId="19" w16cid:durableId="506094081">
    <w:abstractNumId w:val="5"/>
  </w:num>
  <w:num w:numId="20" w16cid:durableId="728847338">
    <w:abstractNumId w:val="27"/>
  </w:num>
  <w:num w:numId="21" w16cid:durableId="2070036288">
    <w:abstractNumId w:val="22"/>
  </w:num>
  <w:num w:numId="22" w16cid:durableId="1975478088">
    <w:abstractNumId w:val="18"/>
  </w:num>
  <w:num w:numId="23" w16cid:durableId="1406099759">
    <w:abstractNumId w:val="17"/>
  </w:num>
  <w:num w:numId="24" w16cid:durableId="1081949993">
    <w:abstractNumId w:val="8"/>
  </w:num>
  <w:num w:numId="25" w16cid:durableId="2041709872">
    <w:abstractNumId w:val="19"/>
  </w:num>
  <w:num w:numId="26" w16cid:durableId="1114787580">
    <w:abstractNumId w:val="1"/>
  </w:num>
  <w:num w:numId="27" w16cid:durableId="2065519921">
    <w:abstractNumId w:val="12"/>
  </w:num>
  <w:num w:numId="28" w16cid:durableId="869076342">
    <w:abstractNumId w:val="26"/>
  </w:num>
  <w:num w:numId="29" w16cid:durableId="123697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10D"/>
    <w:rsid w:val="0000268F"/>
    <w:rsid w:val="000029BC"/>
    <w:rsid w:val="000031A6"/>
    <w:rsid w:val="00003AEE"/>
    <w:rsid w:val="0000404B"/>
    <w:rsid w:val="00004F5E"/>
    <w:rsid w:val="0000645E"/>
    <w:rsid w:val="0000682D"/>
    <w:rsid w:val="00006906"/>
    <w:rsid w:val="000105E2"/>
    <w:rsid w:val="00010981"/>
    <w:rsid w:val="00011726"/>
    <w:rsid w:val="000123BA"/>
    <w:rsid w:val="000126BB"/>
    <w:rsid w:val="00012A1B"/>
    <w:rsid w:val="000136DC"/>
    <w:rsid w:val="0001574B"/>
    <w:rsid w:val="000165EE"/>
    <w:rsid w:val="00016F33"/>
    <w:rsid w:val="00016FAC"/>
    <w:rsid w:val="0001726A"/>
    <w:rsid w:val="0001794A"/>
    <w:rsid w:val="0001795B"/>
    <w:rsid w:val="00020801"/>
    <w:rsid w:val="000208AF"/>
    <w:rsid w:val="00020D8D"/>
    <w:rsid w:val="000236CF"/>
    <w:rsid w:val="00024BE5"/>
    <w:rsid w:val="00025A4D"/>
    <w:rsid w:val="00026AD9"/>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37F22"/>
    <w:rsid w:val="000465F7"/>
    <w:rsid w:val="00046F46"/>
    <w:rsid w:val="000471AA"/>
    <w:rsid w:val="0004770A"/>
    <w:rsid w:val="000503A1"/>
    <w:rsid w:val="00050E2C"/>
    <w:rsid w:val="00051590"/>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57D35"/>
    <w:rsid w:val="00061727"/>
    <w:rsid w:val="00061C7B"/>
    <w:rsid w:val="0006235E"/>
    <w:rsid w:val="0006293E"/>
    <w:rsid w:val="0006331A"/>
    <w:rsid w:val="00063E52"/>
    <w:rsid w:val="000641BE"/>
    <w:rsid w:val="00064542"/>
    <w:rsid w:val="0006625D"/>
    <w:rsid w:val="00067665"/>
    <w:rsid w:val="00070770"/>
    <w:rsid w:val="00070A22"/>
    <w:rsid w:val="00071D6E"/>
    <w:rsid w:val="00072274"/>
    <w:rsid w:val="000743C2"/>
    <w:rsid w:val="0007460B"/>
    <w:rsid w:val="000751BB"/>
    <w:rsid w:val="0007590A"/>
    <w:rsid w:val="0007639B"/>
    <w:rsid w:val="00077C34"/>
    <w:rsid w:val="00077D20"/>
    <w:rsid w:val="00077E04"/>
    <w:rsid w:val="00077E1C"/>
    <w:rsid w:val="00080D35"/>
    <w:rsid w:val="00081AF3"/>
    <w:rsid w:val="00081B2F"/>
    <w:rsid w:val="00081E50"/>
    <w:rsid w:val="0008260E"/>
    <w:rsid w:val="000828E9"/>
    <w:rsid w:val="00083B1B"/>
    <w:rsid w:val="00083BE4"/>
    <w:rsid w:val="00084DC0"/>
    <w:rsid w:val="0008592F"/>
    <w:rsid w:val="00085CC3"/>
    <w:rsid w:val="0008644C"/>
    <w:rsid w:val="00086C08"/>
    <w:rsid w:val="000873C1"/>
    <w:rsid w:val="00087888"/>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97B95"/>
    <w:rsid w:val="000A15CB"/>
    <w:rsid w:val="000A1B81"/>
    <w:rsid w:val="000A1DA7"/>
    <w:rsid w:val="000A2C01"/>
    <w:rsid w:val="000A4D0D"/>
    <w:rsid w:val="000A5189"/>
    <w:rsid w:val="000A668C"/>
    <w:rsid w:val="000A66CF"/>
    <w:rsid w:val="000A7E46"/>
    <w:rsid w:val="000B0A9A"/>
    <w:rsid w:val="000B103F"/>
    <w:rsid w:val="000B1C28"/>
    <w:rsid w:val="000B2DA6"/>
    <w:rsid w:val="000B3893"/>
    <w:rsid w:val="000B3F99"/>
    <w:rsid w:val="000B41CF"/>
    <w:rsid w:val="000B4AA9"/>
    <w:rsid w:val="000B4FC6"/>
    <w:rsid w:val="000B53D0"/>
    <w:rsid w:val="000B680C"/>
    <w:rsid w:val="000B707E"/>
    <w:rsid w:val="000C00B6"/>
    <w:rsid w:val="000C0B7C"/>
    <w:rsid w:val="000C21BA"/>
    <w:rsid w:val="000C2DD2"/>
    <w:rsid w:val="000C5BA1"/>
    <w:rsid w:val="000C6347"/>
    <w:rsid w:val="000C7235"/>
    <w:rsid w:val="000C73E5"/>
    <w:rsid w:val="000C755D"/>
    <w:rsid w:val="000C7BB6"/>
    <w:rsid w:val="000D0148"/>
    <w:rsid w:val="000D05AD"/>
    <w:rsid w:val="000D0AFA"/>
    <w:rsid w:val="000D17D2"/>
    <w:rsid w:val="000D28E0"/>
    <w:rsid w:val="000D2ADD"/>
    <w:rsid w:val="000D457E"/>
    <w:rsid w:val="000D5150"/>
    <w:rsid w:val="000D58C2"/>
    <w:rsid w:val="000D75DD"/>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6869"/>
    <w:rsid w:val="000F7AE4"/>
    <w:rsid w:val="001000EC"/>
    <w:rsid w:val="001015E9"/>
    <w:rsid w:val="001017F1"/>
    <w:rsid w:val="001024CE"/>
    <w:rsid w:val="00102AA1"/>
    <w:rsid w:val="00103915"/>
    <w:rsid w:val="00103D3D"/>
    <w:rsid w:val="00104423"/>
    <w:rsid w:val="00104CDA"/>
    <w:rsid w:val="00105B6D"/>
    <w:rsid w:val="001065D1"/>
    <w:rsid w:val="00106AC5"/>
    <w:rsid w:val="00106B75"/>
    <w:rsid w:val="00107244"/>
    <w:rsid w:val="001100DE"/>
    <w:rsid w:val="001112CF"/>
    <w:rsid w:val="00111438"/>
    <w:rsid w:val="00111636"/>
    <w:rsid w:val="00112192"/>
    <w:rsid w:val="00112D2F"/>
    <w:rsid w:val="00112D6B"/>
    <w:rsid w:val="001139AE"/>
    <w:rsid w:val="00114236"/>
    <w:rsid w:val="00114A81"/>
    <w:rsid w:val="00114E2B"/>
    <w:rsid w:val="001152BA"/>
    <w:rsid w:val="0011561C"/>
    <w:rsid w:val="0011730D"/>
    <w:rsid w:val="00121409"/>
    <w:rsid w:val="001214FF"/>
    <w:rsid w:val="001229C6"/>
    <w:rsid w:val="00122B23"/>
    <w:rsid w:val="00123C67"/>
    <w:rsid w:val="00124E73"/>
    <w:rsid w:val="00124EC3"/>
    <w:rsid w:val="00124EE5"/>
    <w:rsid w:val="00125291"/>
    <w:rsid w:val="00125390"/>
    <w:rsid w:val="00125D4C"/>
    <w:rsid w:val="00126087"/>
    <w:rsid w:val="001260C4"/>
    <w:rsid w:val="0012687C"/>
    <w:rsid w:val="0012754A"/>
    <w:rsid w:val="00127BA6"/>
    <w:rsid w:val="0013045B"/>
    <w:rsid w:val="001308DC"/>
    <w:rsid w:val="001310A5"/>
    <w:rsid w:val="001316AB"/>
    <w:rsid w:val="0013236F"/>
    <w:rsid w:val="001332D0"/>
    <w:rsid w:val="00134030"/>
    <w:rsid w:val="001344AA"/>
    <w:rsid w:val="00134DC6"/>
    <w:rsid w:val="001355F5"/>
    <w:rsid w:val="00135C93"/>
    <w:rsid w:val="00137BA1"/>
    <w:rsid w:val="00137FFA"/>
    <w:rsid w:val="00140015"/>
    <w:rsid w:val="001406ED"/>
    <w:rsid w:val="00141C42"/>
    <w:rsid w:val="00141E84"/>
    <w:rsid w:val="00141F99"/>
    <w:rsid w:val="001420C8"/>
    <w:rsid w:val="001425C5"/>
    <w:rsid w:val="001448B5"/>
    <w:rsid w:val="001453EF"/>
    <w:rsid w:val="0014582F"/>
    <w:rsid w:val="00145AAA"/>
    <w:rsid w:val="00146E1D"/>
    <w:rsid w:val="00147605"/>
    <w:rsid w:val="0014792F"/>
    <w:rsid w:val="001509CD"/>
    <w:rsid w:val="00151D31"/>
    <w:rsid w:val="001520A3"/>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D78"/>
    <w:rsid w:val="0016262F"/>
    <w:rsid w:val="0016397F"/>
    <w:rsid w:val="001640BC"/>
    <w:rsid w:val="001650A0"/>
    <w:rsid w:val="00165EA8"/>
    <w:rsid w:val="0016680A"/>
    <w:rsid w:val="00167B9D"/>
    <w:rsid w:val="00167F0C"/>
    <w:rsid w:val="00170733"/>
    <w:rsid w:val="00170813"/>
    <w:rsid w:val="00170C89"/>
    <w:rsid w:val="00170E51"/>
    <w:rsid w:val="00171D50"/>
    <w:rsid w:val="00172B2A"/>
    <w:rsid w:val="00172E0A"/>
    <w:rsid w:val="00173980"/>
    <w:rsid w:val="00173D30"/>
    <w:rsid w:val="00174107"/>
    <w:rsid w:val="00174FBC"/>
    <w:rsid w:val="0017528B"/>
    <w:rsid w:val="001755EC"/>
    <w:rsid w:val="00175795"/>
    <w:rsid w:val="001765FA"/>
    <w:rsid w:val="001770E9"/>
    <w:rsid w:val="00177BAA"/>
    <w:rsid w:val="00180B3B"/>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64A"/>
    <w:rsid w:val="001B4A46"/>
    <w:rsid w:val="001B4CC5"/>
    <w:rsid w:val="001B4D86"/>
    <w:rsid w:val="001B528A"/>
    <w:rsid w:val="001B53B4"/>
    <w:rsid w:val="001B59D6"/>
    <w:rsid w:val="001B6044"/>
    <w:rsid w:val="001B686F"/>
    <w:rsid w:val="001B7618"/>
    <w:rsid w:val="001B7DEA"/>
    <w:rsid w:val="001C1A26"/>
    <w:rsid w:val="001C219D"/>
    <w:rsid w:val="001C33CB"/>
    <w:rsid w:val="001C398F"/>
    <w:rsid w:val="001C5292"/>
    <w:rsid w:val="001C722C"/>
    <w:rsid w:val="001C775D"/>
    <w:rsid w:val="001D0988"/>
    <w:rsid w:val="001D172E"/>
    <w:rsid w:val="001D1FD0"/>
    <w:rsid w:val="001D2E79"/>
    <w:rsid w:val="001D59BA"/>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610D"/>
    <w:rsid w:val="001E75AD"/>
    <w:rsid w:val="001F0524"/>
    <w:rsid w:val="001F0570"/>
    <w:rsid w:val="001F13B9"/>
    <w:rsid w:val="001F140A"/>
    <w:rsid w:val="001F1781"/>
    <w:rsid w:val="001F1AFA"/>
    <w:rsid w:val="001F267A"/>
    <w:rsid w:val="001F2AD0"/>
    <w:rsid w:val="001F2FC2"/>
    <w:rsid w:val="001F3276"/>
    <w:rsid w:val="001F3D53"/>
    <w:rsid w:val="001F416A"/>
    <w:rsid w:val="001F4316"/>
    <w:rsid w:val="001F4F3C"/>
    <w:rsid w:val="001F55B5"/>
    <w:rsid w:val="001F59AB"/>
    <w:rsid w:val="001F5E0A"/>
    <w:rsid w:val="001F62DC"/>
    <w:rsid w:val="001F63E1"/>
    <w:rsid w:val="001F6AAC"/>
    <w:rsid w:val="001F790E"/>
    <w:rsid w:val="0020033D"/>
    <w:rsid w:val="002005CC"/>
    <w:rsid w:val="002007D2"/>
    <w:rsid w:val="00200F34"/>
    <w:rsid w:val="00203F1A"/>
    <w:rsid w:val="00204114"/>
    <w:rsid w:val="00204C65"/>
    <w:rsid w:val="00204F6E"/>
    <w:rsid w:val="00204FCD"/>
    <w:rsid w:val="0020536A"/>
    <w:rsid w:val="002059AF"/>
    <w:rsid w:val="0020646E"/>
    <w:rsid w:val="00206BC8"/>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4570"/>
    <w:rsid w:val="00225A48"/>
    <w:rsid w:val="002261EB"/>
    <w:rsid w:val="0022655C"/>
    <w:rsid w:val="0022678E"/>
    <w:rsid w:val="002272CA"/>
    <w:rsid w:val="00227541"/>
    <w:rsid w:val="00227D81"/>
    <w:rsid w:val="002311BD"/>
    <w:rsid w:val="0023158E"/>
    <w:rsid w:val="00231E50"/>
    <w:rsid w:val="0023236C"/>
    <w:rsid w:val="00233A24"/>
    <w:rsid w:val="00233DF3"/>
    <w:rsid w:val="0023484E"/>
    <w:rsid w:val="00234B84"/>
    <w:rsid w:val="00235B42"/>
    <w:rsid w:val="00236137"/>
    <w:rsid w:val="00236740"/>
    <w:rsid w:val="00237253"/>
    <w:rsid w:val="00237329"/>
    <w:rsid w:val="002400B3"/>
    <w:rsid w:val="00240225"/>
    <w:rsid w:val="00240A06"/>
    <w:rsid w:val="002416BA"/>
    <w:rsid w:val="00241AB9"/>
    <w:rsid w:val="002427B1"/>
    <w:rsid w:val="0024280B"/>
    <w:rsid w:val="00244181"/>
    <w:rsid w:val="002446B8"/>
    <w:rsid w:val="00244C00"/>
    <w:rsid w:val="0024535C"/>
    <w:rsid w:val="002457FD"/>
    <w:rsid w:val="00245C7E"/>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57F4E"/>
    <w:rsid w:val="00261631"/>
    <w:rsid w:val="00264666"/>
    <w:rsid w:val="00264924"/>
    <w:rsid w:val="00264AE6"/>
    <w:rsid w:val="00265C96"/>
    <w:rsid w:val="00265CEB"/>
    <w:rsid w:val="00265ED0"/>
    <w:rsid w:val="00265F6D"/>
    <w:rsid w:val="00266E0C"/>
    <w:rsid w:val="0026775B"/>
    <w:rsid w:val="00270234"/>
    <w:rsid w:val="0027071C"/>
    <w:rsid w:val="0027122E"/>
    <w:rsid w:val="00272C62"/>
    <w:rsid w:val="002755B8"/>
    <w:rsid w:val="00275701"/>
    <w:rsid w:val="00276521"/>
    <w:rsid w:val="00276D7E"/>
    <w:rsid w:val="00277428"/>
    <w:rsid w:val="002806C6"/>
    <w:rsid w:val="002812E1"/>
    <w:rsid w:val="00281E62"/>
    <w:rsid w:val="00281ED6"/>
    <w:rsid w:val="00282493"/>
    <w:rsid w:val="0028312F"/>
    <w:rsid w:val="00283380"/>
    <w:rsid w:val="00284F66"/>
    <w:rsid w:val="00285D7E"/>
    <w:rsid w:val="00285D82"/>
    <w:rsid w:val="00285FED"/>
    <w:rsid w:val="0028630C"/>
    <w:rsid w:val="00286660"/>
    <w:rsid w:val="00286A53"/>
    <w:rsid w:val="00287542"/>
    <w:rsid w:val="002877E9"/>
    <w:rsid w:val="0029159E"/>
    <w:rsid w:val="002933BF"/>
    <w:rsid w:val="002937F6"/>
    <w:rsid w:val="00293B18"/>
    <w:rsid w:val="00293EA5"/>
    <w:rsid w:val="00294801"/>
    <w:rsid w:val="00294EFD"/>
    <w:rsid w:val="0029562E"/>
    <w:rsid w:val="002956E0"/>
    <w:rsid w:val="00296D38"/>
    <w:rsid w:val="00296FA3"/>
    <w:rsid w:val="0029772C"/>
    <w:rsid w:val="002A1031"/>
    <w:rsid w:val="002A1308"/>
    <w:rsid w:val="002A3472"/>
    <w:rsid w:val="002A34C5"/>
    <w:rsid w:val="002A3C58"/>
    <w:rsid w:val="002A4F10"/>
    <w:rsid w:val="002A632D"/>
    <w:rsid w:val="002A63F4"/>
    <w:rsid w:val="002B03FF"/>
    <w:rsid w:val="002B0B61"/>
    <w:rsid w:val="002B0CA6"/>
    <w:rsid w:val="002B1AAF"/>
    <w:rsid w:val="002B1BDA"/>
    <w:rsid w:val="002B287D"/>
    <w:rsid w:val="002B36EB"/>
    <w:rsid w:val="002B3BD7"/>
    <w:rsid w:val="002B3DA6"/>
    <w:rsid w:val="002B3F20"/>
    <w:rsid w:val="002B484D"/>
    <w:rsid w:val="002B4907"/>
    <w:rsid w:val="002B5092"/>
    <w:rsid w:val="002B50DA"/>
    <w:rsid w:val="002B5AD8"/>
    <w:rsid w:val="002B5ED5"/>
    <w:rsid w:val="002B72C0"/>
    <w:rsid w:val="002B7DD1"/>
    <w:rsid w:val="002C05A7"/>
    <w:rsid w:val="002C087E"/>
    <w:rsid w:val="002C09B8"/>
    <w:rsid w:val="002C0DF9"/>
    <w:rsid w:val="002C27C5"/>
    <w:rsid w:val="002C2BF2"/>
    <w:rsid w:val="002C4BB5"/>
    <w:rsid w:val="002C6D5B"/>
    <w:rsid w:val="002C7E7F"/>
    <w:rsid w:val="002D0C96"/>
    <w:rsid w:val="002D2D19"/>
    <w:rsid w:val="002D3456"/>
    <w:rsid w:val="002D4BB3"/>
    <w:rsid w:val="002D5D70"/>
    <w:rsid w:val="002D6942"/>
    <w:rsid w:val="002D7A44"/>
    <w:rsid w:val="002D7E62"/>
    <w:rsid w:val="002D7F92"/>
    <w:rsid w:val="002E0633"/>
    <w:rsid w:val="002E0A18"/>
    <w:rsid w:val="002E1888"/>
    <w:rsid w:val="002E1964"/>
    <w:rsid w:val="002E19A5"/>
    <w:rsid w:val="002E1E7E"/>
    <w:rsid w:val="002E27E0"/>
    <w:rsid w:val="002E39A3"/>
    <w:rsid w:val="002E5EB7"/>
    <w:rsid w:val="002E6150"/>
    <w:rsid w:val="002E631C"/>
    <w:rsid w:val="002E6B6F"/>
    <w:rsid w:val="002E74C9"/>
    <w:rsid w:val="002E7874"/>
    <w:rsid w:val="002F0800"/>
    <w:rsid w:val="002F3451"/>
    <w:rsid w:val="002F3606"/>
    <w:rsid w:val="002F3CF5"/>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152"/>
    <w:rsid w:val="003112B5"/>
    <w:rsid w:val="0031293C"/>
    <w:rsid w:val="00312DEB"/>
    <w:rsid w:val="00312F3D"/>
    <w:rsid w:val="00313BBA"/>
    <w:rsid w:val="00313CB3"/>
    <w:rsid w:val="00313D9F"/>
    <w:rsid w:val="00314352"/>
    <w:rsid w:val="00314899"/>
    <w:rsid w:val="00315623"/>
    <w:rsid w:val="00316182"/>
    <w:rsid w:val="003203D9"/>
    <w:rsid w:val="0032072B"/>
    <w:rsid w:val="00320DFD"/>
    <w:rsid w:val="003210F8"/>
    <w:rsid w:val="00321947"/>
    <w:rsid w:val="00323ECD"/>
    <w:rsid w:val="00326A5D"/>
    <w:rsid w:val="00326F22"/>
    <w:rsid w:val="00327032"/>
    <w:rsid w:val="003276A0"/>
    <w:rsid w:val="003278FA"/>
    <w:rsid w:val="0033002D"/>
    <w:rsid w:val="00330686"/>
    <w:rsid w:val="00332906"/>
    <w:rsid w:val="00332B6F"/>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DC7"/>
    <w:rsid w:val="00350DCD"/>
    <w:rsid w:val="00351383"/>
    <w:rsid w:val="003528F0"/>
    <w:rsid w:val="00352927"/>
    <w:rsid w:val="00352FE4"/>
    <w:rsid w:val="00353FDF"/>
    <w:rsid w:val="00354545"/>
    <w:rsid w:val="00354FD8"/>
    <w:rsid w:val="003551A5"/>
    <w:rsid w:val="003555B4"/>
    <w:rsid w:val="00356A4C"/>
    <w:rsid w:val="00360753"/>
    <w:rsid w:val="00360A53"/>
    <w:rsid w:val="00362486"/>
    <w:rsid w:val="00362CEC"/>
    <w:rsid w:val="00362F73"/>
    <w:rsid w:val="003630B0"/>
    <w:rsid w:val="00363A73"/>
    <w:rsid w:val="0036497E"/>
    <w:rsid w:val="00364F1A"/>
    <w:rsid w:val="00366B93"/>
    <w:rsid w:val="00366C32"/>
    <w:rsid w:val="00367ACD"/>
    <w:rsid w:val="0037099D"/>
    <w:rsid w:val="00372A55"/>
    <w:rsid w:val="003735C0"/>
    <w:rsid w:val="0037401A"/>
    <w:rsid w:val="00374753"/>
    <w:rsid w:val="0037676F"/>
    <w:rsid w:val="003767EE"/>
    <w:rsid w:val="00377AD6"/>
    <w:rsid w:val="00377BF5"/>
    <w:rsid w:val="00381B41"/>
    <w:rsid w:val="00382349"/>
    <w:rsid w:val="003833D7"/>
    <w:rsid w:val="003839DC"/>
    <w:rsid w:val="00383C5B"/>
    <w:rsid w:val="00383DDA"/>
    <w:rsid w:val="00384041"/>
    <w:rsid w:val="00384B44"/>
    <w:rsid w:val="00384F42"/>
    <w:rsid w:val="00385EC9"/>
    <w:rsid w:val="00386456"/>
    <w:rsid w:val="00387241"/>
    <w:rsid w:val="00387E1C"/>
    <w:rsid w:val="0039010E"/>
    <w:rsid w:val="003901D8"/>
    <w:rsid w:val="00390732"/>
    <w:rsid w:val="00390B41"/>
    <w:rsid w:val="0039100A"/>
    <w:rsid w:val="00391D93"/>
    <w:rsid w:val="00392714"/>
    <w:rsid w:val="00392E7E"/>
    <w:rsid w:val="00392F63"/>
    <w:rsid w:val="00393184"/>
    <w:rsid w:val="0039340C"/>
    <w:rsid w:val="003934DD"/>
    <w:rsid w:val="00394337"/>
    <w:rsid w:val="00395BF9"/>
    <w:rsid w:val="00396D23"/>
    <w:rsid w:val="003978D0"/>
    <w:rsid w:val="003A0468"/>
    <w:rsid w:val="003A046A"/>
    <w:rsid w:val="003A0603"/>
    <w:rsid w:val="003A1031"/>
    <w:rsid w:val="003A1157"/>
    <w:rsid w:val="003A25E4"/>
    <w:rsid w:val="003A2A86"/>
    <w:rsid w:val="003A2C66"/>
    <w:rsid w:val="003A2D28"/>
    <w:rsid w:val="003A433D"/>
    <w:rsid w:val="003A4C65"/>
    <w:rsid w:val="003A4F71"/>
    <w:rsid w:val="003A581E"/>
    <w:rsid w:val="003A5E28"/>
    <w:rsid w:val="003A651C"/>
    <w:rsid w:val="003A6DA8"/>
    <w:rsid w:val="003B0136"/>
    <w:rsid w:val="003B0B16"/>
    <w:rsid w:val="003B3D8A"/>
    <w:rsid w:val="003B4162"/>
    <w:rsid w:val="003B5540"/>
    <w:rsid w:val="003B6EE4"/>
    <w:rsid w:val="003B79A5"/>
    <w:rsid w:val="003C1943"/>
    <w:rsid w:val="003C347B"/>
    <w:rsid w:val="003C3D13"/>
    <w:rsid w:val="003C40DD"/>
    <w:rsid w:val="003C4141"/>
    <w:rsid w:val="003C432C"/>
    <w:rsid w:val="003C50C9"/>
    <w:rsid w:val="003C62BD"/>
    <w:rsid w:val="003C71EE"/>
    <w:rsid w:val="003C7DC2"/>
    <w:rsid w:val="003D2137"/>
    <w:rsid w:val="003D284B"/>
    <w:rsid w:val="003D40F4"/>
    <w:rsid w:val="003D4187"/>
    <w:rsid w:val="003D43F8"/>
    <w:rsid w:val="003D4F72"/>
    <w:rsid w:val="003D603B"/>
    <w:rsid w:val="003D6CF0"/>
    <w:rsid w:val="003D70AA"/>
    <w:rsid w:val="003D73F1"/>
    <w:rsid w:val="003E07B4"/>
    <w:rsid w:val="003E11A8"/>
    <w:rsid w:val="003E14B0"/>
    <w:rsid w:val="003E15E5"/>
    <w:rsid w:val="003E1ABD"/>
    <w:rsid w:val="003E1F12"/>
    <w:rsid w:val="003E443D"/>
    <w:rsid w:val="003E5505"/>
    <w:rsid w:val="003E55AE"/>
    <w:rsid w:val="003E5C80"/>
    <w:rsid w:val="003E5ED1"/>
    <w:rsid w:val="003E6682"/>
    <w:rsid w:val="003E7261"/>
    <w:rsid w:val="003E7A20"/>
    <w:rsid w:val="003E7AAD"/>
    <w:rsid w:val="003F088B"/>
    <w:rsid w:val="003F0FBE"/>
    <w:rsid w:val="003F165C"/>
    <w:rsid w:val="003F28CF"/>
    <w:rsid w:val="003F2AD2"/>
    <w:rsid w:val="003F30B1"/>
    <w:rsid w:val="003F328D"/>
    <w:rsid w:val="003F3340"/>
    <w:rsid w:val="003F47E5"/>
    <w:rsid w:val="003F5439"/>
    <w:rsid w:val="003F5CDD"/>
    <w:rsid w:val="003F5D5D"/>
    <w:rsid w:val="003F60D3"/>
    <w:rsid w:val="003F6F65"/>
    <w:rsid w:val="003F7E6A"/>
    <w:rsid w:val="00400083"/>
    <w:rsid w:val="0040059A"/>
    <w:rsid w:val="00402FD5"/>
    <w:rsid w:val="00403A30"/>
    <w:rsid w:val="00404797"/>
    <w:rsid w:val="00405524"/>
    <w:rsid w:val="00406868"/>
    <w:rsid w:val="00406898"/>
    <w:rsid w:val="00407BD2"/>
    <w:rsid w:val="0041043C"/>
    <w:rsid w:val="004106B4"/>
    <w:rsid w:val="00411B85"/>
    <w:rsid w:val="00412132"/>
    <w:rsid w:val="00412214"/>
    <w:rsid w:val="0041266E"/>
    <w:rsid w:val="00413E71"/>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54D"/>
    <w:rsid w:val="00437BF5"/>
    <w:rsid w:val="00437BF8"/>
    <w:rsid w:val="00440E0E"/>
    <w:rsid w:val="004422D6"/>
    <w:rsid w:val="00442BFD"/>
    <w:rsid w:val="00444A46"/>
    <w:rsid w:val="00445EE4"/>
    <w:rsid w:val="00446B03"/>
    <w:rsid w:val="00446CAA"/>
    <w:rsid w:val="00447095"/>
    <w:rsid w:val="00447483"/>
    <w:rsid w:val="00447B2D"/>
    <w:rsid w:val="004507CF"/>
    <w:rsid w:val="00452BCB"/>
    <w:rsid w:val="0045342C"/>
    <w:rsid w:val="004537E3"/>
    <w:rsid w:val="004547B6"/>
    <w:rsid w:val="00454B0F"/>
    <w:rsid w:val="00454C62"/>
    <w:rsid w:val="0045548D"/>
    <w:rsid w:val="00456BF3"/>
    <w:rsid w:val="004570AB"/>
    <w:rsid w:val="004573BC"/>
    <w:rsid w:val="004620B3"/>
    <w:rsid w:val="00463997"/>
    <w:rsid w:val="004648D2"/>
    <w:rsid w:val="004652E5"/>
    <w:rsid w:val="004653E7"/>
    <w:rsid w:val="0046604D"/>
    <w:rsid w:val="00471F7A"/>
    <w:rsid w:val="0047250D"/>
    <w:rsid w:val="0047358F"/>
    <w:rsid w:val="0047429E"/>
    <w:rsid w:val="00474434"/>
    <w:rsid w:val="0047444E"/>
    <w:rsid w:val="00474614"/>
    <w:rsid w:val="00474880"/>
    <w:rsid w:val="004750AA"/>
    <w:rsid w:val="004755D2"/>
    <w:rsid w:val="004768C9"/>
    <w:rsid w:val="00476A0B"/>
    <w:rsid w:val="00477A49"/>
    <w:rsid w:val="00477BFF"/>
    <w:rsid w:val="00480940"/>
    <w:rsid w:val="00481FA4"/>
    <w:rsid w:val="004821AB"/>
    <w:rsid w:val="00482A4E"/>
    <w:rsid w:val="004832C7"/>
    <w:rsid w:val="00485197"/>
    <w:rsid w:val="00485AD7"/>
    <w:rsid w:val="00485ED3"/>
    <w:rsid w:val="004866CB"/>
    <w:rsid w:val="00487569"/>
    <w:rsid w:val="004878C1"/>
    <w:rsid w:val="00487986"/>
    <w:rsid w:val="004928C4"/>
    <w:rsid w:val="00492EB5"/>
    <w:rsid w:val="00493E48"/>
    <w:rsid w:val="0049475A"/>
    <w:rsid w:val="0049505C"/>
    <w:rsid w:val="00496626"/>
    <w:rsid w:val="0049684A"/>
    <w:rsid w:val="00496DBC"/>
    <w:rsid w:val="00497B27"/>
    <w:rsid w:val="00497F48"/>
    <w:rsid w:val="004A0A76"/>
    <w:rsid w:val="004A34D2"/>
    <w:rsid w:val="004A36C3"/>
    <w:rsid w:val="004A3CCB"/>
    <w:rsid w:val="004A411B"/>
    <w:rsid w:val="004A486C"/>
    <w:rsid w:val="004A488B"/>
    <w:rsid w:val="004A5218"/>
    <w:rsid w:val="004A5B0B"/>
    <w:rsid w:val="004A5B41"/>
    <w:rsid w:val="004A606D"/>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544E"/>
    <w:rsid w:val="004C6C01"/>
    <w:rsid w:val="004C7677"/>
    <w:rsid w:val="004D1653"/>
    <w:rsid w:val="004D1B75"/>
    <w:rsid w:val="004D1CE5"/>
    <w:rsid w:val="004D2B08"/>
    <w:rsid w:val="004D2C64"/>
    <w:rsid w:val="004D3473"/>
    <w:rsid w:val="004D3521"/>
    <w:rsid w:val="004D4556"/>
    <w:rsid w:val="004D47D0"/>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900"/>
    <w:rsid w:val="004E4A6B"/>
    <w:rsid w:val="004E4AB3"/>
    <w:rsid w:val="004E5102"/>
    <w:rsid w:val="004E5B78"/>
    <w:rsid w:val="004E5BC5"/>
    <w:rsid w:val="004E6147"/>
    <w:rsid w:val="004E638B"/>
    <w:rsid w:val="004E6C63"/>
    <w:rsid w:val="004F00FF"/>
    <w:rsid w:val="004F0B50"/>
    <w:rsid w:val="004F1050"/>
    <w:rsid w:val="004F1065"/>
    <w:rsid w:val="004F32CC"/>
    <w:rsid w:val="004F38A9"/>
    <w:rsid w:val="004F4394"/>
    <w:rsid w:val="004F46FC"/>
    <w:rsid w:val="004F4EB9"/>
    <w:rsid w:val="004F5711"/>
    <w:rsid w:val="004F5F6A"/>
    <w:rsid w:val="004F71C2"/>
    <w:rsid w:val="0050188C"/>
    <w:rsid w:val="00501BC4"/>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2B5"/>
    <w:rsid w:val="00513A69"/>
    <w:rsid w:val="00513AF2"/>
    <w:rsid w:val="005144E0"/>
    <w:rsid w:val="005152C2"/>
    <w:rsid w:val="005153B7"/>
    <w:rsid w:val="00516462"/>
    <w:rsid w:val="0051690C"/>
    <w:rsid w:val="005200B5"/>
    <w:rsid w:val="00521B54"/>
    <w:rsid w:val="005222B7"/>
    <w:rsid w:val="00522983"/>
    <w:rsid w:val="0052307C"/>
    <w:rsid w:val="0052446F"/>
    <w:rsid w:val="00524F8D"/>
    <w:rsid w:val="00525D6C"/>
    <w:rsid w:val="005268C9"/>
    <w:rsid w:val="0052715F"/>
    <w:rsid w:val="00527CC7"/>
    <w:rsid w:val="00527D39"/>
    <w:rsid w:val="005305AF"/>
    <w:rsid w:val="00531545"/>
    <w:rsid w:val="00533367"/>
    <w:rsid w:val="00533C01"/>
    <w:rsid w:val="00535161"/>
    <w:rsid w:val="0053557D"/>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46A34"/>
    <w:rsid w:val="00550551"/>
    <w:rsid w:val="00551DC1"/>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3DEE"/>
    <w:rsid w:val="00564281"/>
    <w:rsid w:val="00566EEE"/>
    <w:rsid w:val="00567CF6"/>
    <w:rsid w:val="00570BD6"/>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87B36"/>
    <w:rsid w:val="0059058A"/>
    <w:rsid w:val="00590963"/>
    <w:rsid w:val="00590DD9"/>
    <w:rsid w:val="00590E6F"/>
    <w:rsid w:val="00591C90"/>
    <w:rsid w:val="00591F4C"/>
    <w:rsid w:val="0059266D"/>
    <w:rsid w:val="00592AC9"/>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54CB"/>
    <w:rsid w:val="005A6DCD"/>
    <w:rsid w:val="005A79FE"/>
    <w:rsid w:val="005B0132"/>
    <w:rsid w:val="005B2AF3"/>
    <w:rsid w:val="005B2F60"/>
    <w:rsid w:val="005B373F"/>
    <w:rsid w:val="005B4049"/>
    <w:rsid w:val="005B41D2"/>
    <w:rsid w:val="005B43FE"/>
    <w:rsid w:val="005B4AA6"/>
    <w:rsid w:val="005B5336"/>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6D84"/>
    <w:rsid w:val="005D064A"/>
    <w:rsid w:val="005D1CE8"/>
    <w:rsid w:val="005D29B5"/>
    <w:rsid w:val="005D3445"/>
    <w:rsid w:val="005D37F7"/>
    <w:rsid w:val="005D3807"/>
    <w:rsid w:val="005D3A4B"/>
    <w:rsid w:val="005D474D"/>
    <w:rsid w:val="005D552E"/>
    <w:rsid w:val="005D5C5D"/>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348"/>
    <w:rsid w:val="005F0C78"/>
    <w:rsid w:val="005F1050"/>
    <w:rsid w:val="005F137C"/>
    <w:rsid w:val="005F3431"/>
    <w:rsid w:val="005F4AB3"/>
    <w:rsid w:val="005F4BF5"/>
    <w:rsid w:val="005F5C6D"/>
    <w:rsid w:val="006007CC"/>
    <w:rsid w:val="00600FA4"/>
    <w:rsid w:val="00601496"/>
    <w:rsid w:val="0060197B"/>
    <w:rsid w:val="00601E1F"/>
    <w:rsid w:val="00601FCA"/>
    <w:rsid w:val="006028B1"/>
    <w:rsid w:val="00602A32"/>
    <w:rsid w:val="006030AA"/>
    <w:rsid w:val="00603999"/>
    <w:rsid w:val="00603BDE"/>
    <w:rsid w:val="006044E9"/>
    <w:rsid w:val="00604737"/>
    <w:rsid w:val="00610C94"/>
    <w:rsid w:val="00611379"/>
    <w:rsid w:val="00611D58"/>
    <w:rsid w:val="00612142"/>
    <w:rsid w:val="00612BDB"/>
    <w:rsid w:val="00612ED3"/>
    <w:rsid w:val="00613073"/>
    <w:rsid w:val="006133BD"/>
    <w:rsid w:val="006134DB"/>
    <w:rsid w:val="006135E8"/>
    <w:rsid w:val="00613F45"/>
    <w:rsid w:val="0061564E"/>
    <w:rsid w:val="00616C91"/>
    <w:rsid w:val="00616F60"/>
    <w:rsid w:val="00617024"/>
    <w:rsid w:val="00617066"/>
    <w:rsid w:val="006178DB"/>
    <w:rsid w:val="00620CBF"/>
    <w:rsid w:val="00620E47"/>
    <w:rsid w:val="0062127B"/>
    <w:rsid w:val="006219B0"/>
    <w:rsid w:val="00622002"/>
    <w:rsid w:val="006231D1"/>
    <w:rsid w:val="00623F97"/>
    <w:rsid w:val="00624730"/>
    <w:rsid w:val="00624D8F"/>
    <w:rsid w:val="0062567A"/>
    <w:rsid w:val="0062792C"/>
    <w:rsid w:val="00632406"/>
    <w:rsid w:val="006334A8"/>
    <w:rsid w:val="00633633"/>
    <w:rsid w:val="00633AB3"/>
    <w:rsid w:val="006360B1"/>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78"/>
    <w:rsid w:val="006524A2"/>
    <w:rsid w:val="006524BE"/>
    <w:rsid w:val="00652A5C"/>
    <w:rsid w:val="006533F8"/>
    <w:rsid w:val="006537D0"/>
    <w:rsid w:val="0065455F"/>
    <w:rsid w:val="00655360"/>
    <w:rsid w:val="00655371"/>
    <w:rsid w:val="00655569"/>
    <w:rsid w:val="00656388"/>
    <w:rsid w:val="006563C3"/>
    <w:rsid w:val="00661024"/>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16ED"/>
    <w:rsid w:val="006729E6"/>
    <w:rsid w:val="00672A0B"/>
    <w:rsid w:val="00672B53"/>
    <w:rsid w:val="00672EEC"/>
    <w:rsid w:val="0067317F"/>
    <w:rsid w:val="00673789"/>
    <w:rsid w:val="0067388D"/>
    <w:rsid w:val="00673AB7"/>
    <w:rsid w:val="00673AB9"/>
    <w:rsid w:val="00674512"/>
    <w:rsid w:val="00675933"/>
    <w:rsid w:val="00676340"/>
    <w:rsid w:val="00681A07"/>
    <w:rsid w:val="00682D0A"/>
    <w:rsid w:val="00683085"/>
    <w:rsid w:val="0068338B"/>
    <w:rsid w:val="00683404"/>
    <w:rsid w:val="00683D48"/>
    <w:rsid w:val="00686E92"/>
    <w:rsid w:val="006914D0"/>
    <w:rsid w:val="0069158F"/>
    <w:rsid w:val="006916C0"/>
    <w:rsid w:val="00691C58"/>
    <w:rsid w:val="00692BB0"/>
    <w:rsid w:val="00693CC2"/>
    <w:rsid w:val="00694B76"/>
    <w:rsid w:val="00695E74"/>
    <w:rsid w:val="0069678A"/>
    <w:rsid w:val="00697665"/>
    <w:rsid w:val="00697D73"/>
    <w:rsid w:val="006A00B7"/>
    <w:rsid w:val="006A049D"/>
    <w:rsid w:val="006A0BF9"/>
    <w:rsid w:val="006A12F4"/>
    <w:rsid w:val="006A1A12"/>
    <w:rsid w:val="006A2013"/>
    <w:rsid w:val="006A2F2D"/>
    <w:rsid w:val="006A3206"/>
    <w:rsid w:val="006A3CD1"/>
    <w:rsid w:val="006A3CF2"/>
    <w:rsid w:val="006A454C"/>
    <w:rsid w:val="006A5273"/>
    <w:rsid w:val="006A58B8"/>
    <w:rsid w:val="006A64A9"/>
    <w:rsid w:val="006A7FD0"/>
    <w:rsid w:val="006B161A"/>
    <w:rsid w:val="006B2195"/>
    <w:rsid w:val="006B34D7"/>
    <w:rsid w:val="006B4C1B"/>
    <w:rsid w:val="006B5004"/>
    <w:rsid w:val="006B5571"/>
    <w:rsid w:val="006B55C5"/>
    <w:rsid w:val="006B7576"/>
    <w:rsid w:val="006C0662"/>
    <w:rsid w:val="006C084F"/>
    <w:rsid w:val="006C0B38"/>
    <w:rsid w:val="006C14D1"/>
    <w:rsid w:val="006C2EB8"/>
    <w:rsid w:val="006C41CF"/>
    <w:rsid w:val="006C453C"/>
    <w:rsid w:val="006C4F96"/>
    <w:rsid w:val="006C5A51"/>
    <w:rsid w:val="006C627E"/>
    <w:rsid w:val="006C68E5"/>
    <w:rsid w:val="006C6A3B"/>
    <w:rsid w:val="006C6E36"/>
    <w:rsid w:val="006C7E2B"/>
    <w:rsid w:val="006D09F8"/>
    <w:rsid w:val="006D18A5"/>
    <w:rsid w:val="006D23BA"/>
    <w:rsid w:val="006D2CB8"/>
    <w:rsid w:val="006D2CF6"/>
    <w:rsid w:val="006D40DC"/>
    <w:rsid w:val="006D4498"/>
    <w:rsid w:val="006D44E6"/>
    <w:rsid w:val="006D4EC2"/>
    <w:rsid w:val="006D4F07"/>
    <w:rsid w:val="006D5176"/>
    <w:rsid w:val="006D5415"/>
    <w:rsid w:val="006D5EA2"/>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E74A5"/>
    <w:rsid w:val="006F0E22"/>
    <w:rsid w:val="006F2EC7"/>
    <w:rsid w:val="006F3DAA"/>
    <w:rsid w:val="006F514F"/>
    <w:rsid w:val="006F5461"/>
    <w:rsid w:val="006F70A0"/>
    <w:rsid w:val="00700377"/>
    <w:rsid w:val="007008A4"/>
    <w:rsid w:val="00700E8E"/>
    <w:rsid w:val="007018AF"/>
    <w:rsid w:val="00701D9E"/>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30EA"/>
    <w:rsid w:val="00713DE5"/>
    <w:rsid w:val="00713FA0"/>
    <w:rsid w:val="00714254"/>
    <w:rsid w:val="00714718"/>
    <w:rsid w:val="00714833"/>
    <w:rsid w:val="00714C43"/>
    <w:rsid w:val="00715929"/>
    <w:rsid w:val="0071654A"/>
    <w:rsid w:val="007173EA"/>
    <w:rsid w:val="00717A45"/>
    <w:rsid w:val="00717D15"/>
    <w:rsid w:val="0072005B"/>
    <w:rsid w:val="00720966"/>
    <w:rsid w:val="007210EC"/>
    <w:rsid w:val="0072127D"/>
    <w:rsid w:val="007229B0"/>
    <w:rsid w:val="00723351"/>
    <w:rsid w:val="00724809"/>
    <w:rsid w:val="007252B4"/>
    <w:rsid w:val="00725AC2"/>
    <w:rsid w:val="00726DBE"/>
    <w:rsid w:val="00727EAE"/>
    <w:rsid w:val="00727FB6"/>
    <w:rsid w:val="007300F3"/>
    <w:rsid w:val="007303E0"/>
    <w:rsid w:val="00730AB8"/>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06F2"/>
    <w:rsid w:val="00751EE7"/>
    <w:rsid w:val="00752568"/>
    <w:rsid w:val="00752CB1"/>
    <w:rsid w:val="0075455D"/>
    <w:rsid w:val="00754621"/>
    <w:rsid w:val="0075582E"/>
    <w:rsid w:val="0075647A"/>
    <w:rsid w:val="00756E36"/>
    <w:rsid w:val="007573C1"/>
    <w:rsid w:val="007574E5"/>
    <w:rsid w:val="007605B5"/>
    <w:rsid w:val="007611DB"/>
    <w:rsid w:val="007634AD"/>
    <w:rsid w:val="00764CD2"/>
    <w:rsid w:val="0076566F"/>
    <w:rsid w:val="007656E6"/>
    <w:rsid w:val="00765BE2"/>
    <w:rsid w:val="007673F0"/>
    <w:rsid w:val="0076744F"/>
    <w:rsid w:val="00767455"/>
    <w:rsid w:val="007679AF"/>
    <w:rsid w:val="007701D9"/>
    <w:rsid w:val="00772C6C"/>
    <w:rsid w:val="007741D9"/>
    <w:rsid w:val="007743B6"/>
    <w:rsid w:val="007748F6"/>
    <w:rsid w:val="00774A8C"/>
    <w:rsid w:val="007750BB"/>
    <w:rsid w:val="00775779"/>
    <w:rsid w:val="00776ED5"/>
    <w:rsid w:val="007809E9"/>
    <w:rsid w:val="00780D84"/>
    <w:rsid w:val="0078122E"/>
    <w:rsid w:val="0078165F"/>
    <w:rsid w:val="00782024"/>
    <w:rsid w:val="00782DC1"/>
    <w:rsid w:val="007831EF"/>
    <w:rsid w:val="00783506"/>
    <w:rsid w:val="0078442B"/>
    <w:rsid w:val="007853BD"/>
    <w:rsid w:val="00785A12"/>
    <w:rsid w:val="00785E18"/>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724"/>
    <w:rsid w:val="007B0854"/>
    <w:rsid w:val="007B0F2D"/>
    <w:rsid w:val="007B0F58"/>
    <w:rsid w:val="007B16E2"/>
    <w:rsid w:val="007B234F"/>
    <w:rsid w:val="007B24B5"/>
    <w:rsid w:val="007B44DA"/>
    <w:rsid w:val="007B5F82"/>
    <w:rsid w:val="007B6218"/>
    <w:rsid w:val="007B6351"/>
    <w:rsid w:val="007B78B9"/>
    <w:rsid w:val="007C0326"/>
    <w:rsid w:val="007C0A36"/>
    <w:rsid w:val="007C2221"/>
    <w:rsid w:val="007C36EC"/>
    <w:rsid w:val="007C3946"/>
    <w:rsid w:val="007C60A9"/>
    <w:rsid w:val="007C6117"/>
    <w:rsid w:val="007C6410"/>
    <w:rsid w:val="007C672F"/>
    <w:rsid w:val="007C7077"/>
    <w:rsid w:val="007C7370"/>
    <w:rsid w:val="007C7638"/>
    <w:rsid w:val="007C7F04"/>
    <w:rsid w:val="007D0305"/>
    <w:rsid w:val="007D0F47"/>
    <w:rsid w:val="007D1727"/>
    <w:rsid w:val="007D1AD1"/>
    <w:rsid w:val="007D1FD8"/>
    <w:rsid w:val="007D28C9"/>
    <w:rsid w:val="007D40E2"/>
    <w:rsid w:val="007D58E1"/>
    <w:rsid w:val="007D5E0B"/>
    <w:rsid w:val="007D65D4"/>
    <w:rsid w:val="007D71A4"/>
    <w:rsid w:val="007E01FC"/>
    <w:rsid w:val="007E03C8"/>
    <w:rsid w:val="007E044F"/>
    <w:rsid w:val="007E1384"/>
    <w:rsid w:val="007E4585"/>
    <w:rsid w:val="007E56BA"/>
    <w:rsid w:val="007E5B03"/>
    <w:rsid w:val="007E6035"/>
    <w:rsid w:val="007E750C"/>
    <w:rsid w:val="007F047F"/>
    <w:rsid w:val="007F0D40"/>
    <w:rsid w:val="007F168F"/>
    <w:rsid w:val="007F25AB"/>
    <w:rsid w:val="007F2AC3"/>
    <w:rsid w:val="007F3452"/>
    <w:rsid w:val="007F367B"/>
    <w:rsid w:val="007F3F7B"/>
    <w:rsid w:val="007F4347"/>
    <w:rsid w:val="007F5F3B"/>
    <w:rsid w:val="007F723E"/>
    <w:rsid w:val="007F72CB"/>
    <w:rsid w:val="00800175"/>
    <w:rsid w:val="00802A13"/>
    <w:rsid w:val="00802D30"/>
    <w:rsid w:val="00804C29"/>
    <w:rsid w:val="00804CE6"/>
    <w:rsid w:val="00804EB1"/>
    <w:rsid w:val="0080594C"/>
    <w:rsid w:val="008101D2"/>
    <w:rsid w:val="00810C11"/>
    <w:rsid w:val="00810CB8"/>
    <w:rsid w:val="008111B0"/>
    <w:rsid w:val="00811ED3"/>
    <w:rsid w:val="008125CD"/>
    <w:rsid w:val="0081348A"/>
    <w:rsid w:val="00813504"/>
    <w:rsid w:val="00815027"/>
    <w:rsid w:val="008159D3"/>
    <w:rsid w:val="00816191"/>
    <w:rsid w:val="00816302"/>
    <w:rsid w:val="0081643A"/>
    <w:rsid w:val="00816A51"/>
    <w:rsid w:val="00817A26"/>
    <w:rsid w:val="00817CA8"/>
    <w:rsid w:val="00817DDD"/>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BC"/>
    <w:rsid w:val="00834864"/>
    <w:rsid w:val="008349A7"/>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4E9"/>
    <w:rsid w:val="00853776"/>
    <w:rsid w:val="008541AC"/>
    <w:rsid w:val="00854DBB"/>
    <w:rsid w:val="00856468"/>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65EEA"/>
    <w:rsid w:val="008700C1"/>
    <w:rsid w:val="008705DE"/>
    <w:rsid w:val="00871295"/>
    <w:rsid w:val="0087249D"/>
    <w:rsid w:val="00873BCF"/>
    <w:rsid w:val="00874A6C"/>
    <w:rsid w:val="00877366"/>
    <w:rsid w:val="0087745C"/>
    <w:rsid w:val="00877FC5"/>
    <w:rsid w:val="00880626"/>
    <w:rsid w:val="00881690"/>
    <w:rsid w:val="00881742"/>
    <w:rsid w:val="008817ED"/>
    <w:rsid w:val="0088243F"/>
    <w:rsid w:val="00882EA0"/>
    <w:rsid w:val="00883662"/>
    <w:rsid w:val="00883715"/>
    <w:rsid w:val="0088457C"/>
    <w:rsid w:val="00885287"/>
    <w:rsid w:val="00885AA7"/>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97ED9"/>
    <w:rsid w:val="008A0425"/>
    <w:rsid w:val="008A0A11"/>
    <w:rsid w:val="008A0B2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299"/>
    <w:rsid w:val="008B3EAF"/>
    <w:rsid w:val="008B4490"/>
    <w:rsid w:val="008C0AF6"/>
    <w:rsid w:val="008C0ED3"/>
    <w:rsid w:val="008C26E3"/>
    <w:rsid w:val="008C2BFB"/>
    <w:rsid w:val="008C41C5"/>
    <w:rsid w:val="008C4353"/>
    <w:rsid w:val="008C596E"/>
    <w:rsid w:val="008C6600"/>
    <w:rsid w:val="008C6B51"/>
    <w:rsid w:val="008C710C"/>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EBF"/>
    <w:rsid w:val="008E6F70"/>
    <w:rsid w:val="008E7D23"/>
    <w:rsid w:val="008F0394"/>
    <w:rsid w:val="008F14CC"/>
    <w:rsid w:val="008F1D84"/>
    <w:rsid w:val="008F1E25"/>
    <w:rsid w:val="008F2734"/>
    <w:rsid w:val="008F30C9"/>
    <w:rsid w:val="008F39BD"/>
    <w:rsid w:val="008F4123"/>
    <w:rsid w:val="008F489B"/>
    <w:rsid w:val="008F5C25"/>
    <w:rsid w:val="008F646E"/>
    <w:rsid w:val="008F6E4A"/>
    <w:rsid w:val="008F71EB"/>
    <w:rsid w:val="008F7353"/>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B86"/>
    <w:rsid w:val="009110E3"/>
    <w:rsid w:val="0091237C"/>
    <w:rsid w:val="00914F02"/>
    <w:rsid w:val="00915E71"/>
    <w:rsid w:val="0091678A"/>
    <w:rsid w:val="00916A72"/>
    <w:rsid w:val="00916C89"/>
    <w:rsid w:val="0091746C"/>
    <w:rsid w:val="00917585"/>
    <w:rsid w:val="009176F3"/>
    <w:rsid w:val="00917700"/>
    <w:rsid w:val="0092110B"/>
    <w:rsid w:val="009213FA"/>
    <w:rsid w:val="00921659"/>
    <w:rsid w:val="009217EE"/>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BFF"/>
    <w:rsid w:val="00937C4F"/>
    <w:rsid w:val="00937E01"/>
    <w:rsid w:val="00937E58"/>
    <w:rsid w:val="00940531"/>
    <w:rsid w:val="0094059F"/>
    <w:rsid w:val="00940714"/>
    <w:rsid w:val="009409CA"/>
    <w:rsid w:val="009418E8"/>
    <w:rsid w:val="009424CF"/>
    <w:rsid w:val="00942B12"/>
    <w:rsid w:val="00944342"/>
    <w:rsid w:val="00944EA4"/>
    <w:rsid w:val="00945AD3"/>
    <w:rsid w:val="009465F7"/>
    <w:rsid w:val="00946737"/>
    <w:rsid w:val="00946C75"/>
    <w:rsid w:val="00946CFA"/>
    <w:rsid w:val="00947536"/>
    <w:rsid w:val="00947D1F"/>
    <w:rsid w:val="00947D28"/>
    <w:rsid w:val="00947EF5"/>
    <w:rsid w:val="00950258"/>
    <w:rsid w:val="00951364"/>
    <w:rsid w:val="009521FC"/>
    <w:rsid w:val="00952E20"/>
    <w:rsid w:val="0095385A"/>
    <w:rsid w:val="00953A90"/>
    <w:rsid w:val="00954ABD"/>
    <w:rsid w:val="00955CAC"/>
    <w:rsid w:val="00955E10"/>
    <w:rsid w:val="009568DA"/>
    <w:rsid w:val="00956C80"/>
    <w:rsid w:val="00956E82"/>
    <w:rsid w:val="009604AE"/>
    <w:rsid w:val="00961FA1"/>
    <w:rsid w:val="00962034"/>
    <w:rsid w:val="00962A37"/>
    <w:rsid w:val="00964C6F"/>
    <w:rsid w:val="00965849"/>
    <w:rsid w:val="00967FE3"/>
    <w:rsid w:val="00970217"/>
    <w:rsid w:val="00971941"/>
    <w:rsid w:val="00971A67"/>
    <w:rsid w:val="009738F8"/>
    <w:rsid w:val="00973D6C"/>
    <w:rsid w:val="00973F55"/>
    <w:rsid w:val="00975490"/>
    <w:rsid w:val="00975D1B"/>
    <w:rsid w:val="00976CC3"/>
    <w:rsid w:val="00977088"/>
    <w:rsid w:val="0098054E"/>
    <w:rsid w:val="00981B5D"/>
    <w:rsid w:val="00982489"/>
    <w:rsid w:val="00984DFB"/>
    <w:rsid w:val="009859D0"/>
    <w:rsid w:val="009866C8"/>
    <w:rsid w:val="009874B4"/>
    <w:rsid w:val="00987DBA"/>
    <w:rsid w:val="00987F32"/>
    <w:rsid w:val="00990612"/>
    <w:rsid w:val="00990A26"/>
    <w:rsid w:val="00990A2F"/>
    <w:rsid w:val="0099113C"/>
    <w:rsid w:val="0099114C"/>
    <w:rsid w:val="0099165C"/>
    <w:rsid w:val="00995007"/>
    <w:rsid w:val="0099549D"/>
    <w:rsid w:val="00995CA3"/>
    <w:rsid w:val="009966E7"/>
    <w:rsid w:val="00996D56"/>
    <w:rsid w:val="009A0B76"/>
    <w:rsid w:val="009A1A89"/>
    <w:rsid w:val="009A1A94"/>
    <w:rsid w:val="009A1B74"/>
    <w:rsid w:val="009A1C15"/>
    <w:rsid w:val="009A353C"/>
    <w:rsid w:val="009A3AEB"/>
    <w:rsid w:val="009A4864"/>
    <w:rsid w:val="009B053C"/>
    <w:rsid w:val="009B0BF6"/>
    <w:rsid w:val="009B0CB9"/>
    <w:rsid w:val="009B17C2"/>
    <w:rsid w:val="009B19D2"/>
    <w:rsid w:val="009B1BF2"/>
    <w:rsid w:val="009B2695"/>
    <w:rsid w:val="009B29F8"/>
    <w:rsid w:val="009B5EA5"/>
    <w:rsid w:val="009B6258"/>
    <w:rsid w:val="009B63F0"/>
    <w:rsid w:val="009B7EC0"/>
    <w:rsid w:val="009C02BD"/>
    <w:rsid w:val="009C0EC1"/>
    <w:rsid w:val="009C17B9"/>
    <w:rsid w:val="009C1933"/>
    <w:rsid w:val="009C1FFB"/>
    <w:rsid w:val="009C24BD"/>
    <w:rsid w:val="009C28F4"/>
    <w:rsid w:val="009C2A57"/>
    <w:rsid w:val="009C375E"/>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D1B"/>
    <w:rsid w:val="009E16CE"/>
    <w:rsid w:val="009E1F5A"/>
    <w:rsid w:val="009E245B"/>
    <w:rsid w:val="009E2882"/>
    <w:rsid w:val="009E3217"/>
    <w:rsid w:val="009E411D"/>
    <w:rsid w:val="009E4454"/>
    <w:rsid w:val="009E48B1"/>
    <w:rsid w:val="009E50F2"/>
    <w:rsid w:val="009E5DF3"/>
    <w:rsid w:val="009E6915"/>
    <w:rsid w:val="009E70F0"/>
    <w:rsid w:val="009F0BCE"/>
    <w:rsid w:val="009F1817"/>
    <w:rsid w:val="009F1BD6"/>
    <w:rsid w:val="009F2418"/>
    <w:rsid w:val="009F3083"/>
    <w:rsid w:val="009F3C99"/>
    <w:rsid w:val="009F48F0"/>
    <w:rsid w:val="009F57D1"/>
    <w:rsid w:val="009F596F"/>
    <w:rsid w:val="009F6369"/>
    <w:rsid w:val="009F6523"/>
    <w:rsid w:val="009F6B3F"/>
    <w:rsid w:val="009F773F"/>
    <w:rsid w:val="009F7802"/>
    <w:rsid w:val="009F7D1F"/>
    <w:rsid w:val="00A00987"/>
    <w:rsid w:val="00A0154B"/>
    <w:rsid w:val="00A01F14"/>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3C9"/>
    <w:rsid w:val="00A118A0"/>
    <w:rsid w:val="00A136ED"/>
    <w:rsid w:val="00A14F3C"/>
    <w:rsid w:val="00A17B91"/>
    <w:rsid w:val="00A206C9"/>
    <w:rsid w:val="00A20C68"/>
    <w:rsid w:val="00A21624"/>
    <w:rsid w:val="00A23088"/>
    <w:rsid w:val="00A23E37"/>
    <w:rsid w:val="00A24560"/>
    <w:rsid w:val="00A24CAF"/>
    <w:rsid w:val="00A25834"/>
    <w:rsid w:val="00A25EC5"/>
    <w:rsid w:val="00A26731"/>
    <w:rsid w:val="00A26D28"/>
    <w:rsid w:val="00A2734F"/>
    <w:rsid w:val="00A27EFE"/>
    <w:rsid w:val="00A30501"/>
    <w:rsid w:val="00A305CD"/>
    <w:rsid w:val="00A308D1"/>
    <w:rsid w:val="00A3167C"/>
    <w:rsid w:val="00A316F7"/>
    <w:rsid w:val="00A31770"/>
    <w:rsid w:val="00A31AAB"/>
    <w:rsid w:val="00A3216E"/>
    <w:rsid w:val="00A32529"/>
    <w:rsid w:val="00A32559"/>
    <w:rsid w:val="00A338FC"/>
    <w:rsid w:val="00A33A2C"/>
    <w:rsid w:val="00A34538"/>
    <w:rsid w:val="00A35156"/>
    <w:rsid w:val="00A36062"/>
    <w:rsid w:val="00A37529"/>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C05"/>
    <w:rsid w:val="00A86F68"/>
    <w:rsid w:val="00A87177"/>
    <w:rsid w:val="00A87B23"/>
    <w:rsid w:val="00A923B7"/>
    <w:rsid w:val="00A95B45"/>
    <w:rsid w:val="00A95D9F"/>
    <w:rsid w:val="00A97342"/>
    <w:rsid w:val="00AA03C4"/>
    <w:rsid w:val="00AA077E"/>
    <w:rsid w:val="00AA18DB"/>
    <w:rsid w:val="00AA195D"/>
    <w:rsid w:val="00AA1C27"/>
    <w:rsid w:val="00AA33BA"/>
    <w:rsid w:val="00AA3DEF"/>
    <w:rsid w:val="00AA442B"/>
    <w:rsid w:val="00AA58FD"/>
    <w:rsid w:val="00AA59F5"/>
    <w:rsid w:val="00AA671A"/>
    <w:rsid w:val="00AA686E"/>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7FB"/>
    <w:rsid w:val="00AD48B1"/>
    <w:rsid w:val="00AD493D"/>
    <w:rsid w:val="00AD4EBB"/>
    <w:rsid w:val="00AD5E7A"/>
    <w:rsid w:val="00AD6135"/>
    <w:rsid w:val="00AD73E8"/>
    <w:rsid w:val="00AD7A11"/>
    <w:rsid w:val="00AD7C52"/>
    <w:rsid w:val="00AE0AC7"/>
    <w:rsid w:val="00AE1289"/>
    <w:rsid w:val="00AE19FC"/>
    <w:rsid w:val="00AE1FAC"/>
    <w:rsid w:val="00AE3710"/>
    <w:rsid w:val="00AE39BD"/>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644"/>
    <w:rsid w:val="00AF5CE1"/>
    <w:rsid w:val="00AF6D47"/>
    <w:rsid w:val="00AF713D"/>
    <w:rsid w:val="00AF7FCE"/>
    <w:rsid w:val="00B00F9B"/>
    <w:rsid w:val="00B01850"/>
    <w:rsid w:val="00B02601"/>
    <w:rsid w:val="00B029E3"/>
    <w:rsid w:val="00B0312C"/>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2E3"/>
    <w:rsid w:val="00B16C38"/>
    <w:rsid w:val="00B16C94"/>
    <w:rsid w:val="00B16D08"/>
    <w:rsid w:val="00B16D7C"/>
    <w:rsid w:val="00B16E58"/>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C57"/>
    <w:rsid w:val="00B33D08"/>
    <w:rsid w:val="00B340FE"/>
    <w:rsid w:val="00B346CC"/>
    <w:rsid w:val="00B351B5"/>
    <w:rsid w:val="00B35587"/>
    <w:rsid w:val="00B360BE"/>
    <w:rsid w:val="00B36547"/>
    <w:rsid w:val="00B36E67"/>
    <w:rsid w:val="00B371E9"/>
    <w:rsid w:val="00B401D0"/>
    <w:rsid w:val="00B403DE"/>
    <w:rsid w:val="00B40A2A"/>
    <w:rsid w:val="00B42A55"/>
    <w:rsid w:val="00B439B4"/>
    <w:rsid w:val="00B43AA5"/>
    <w:rsid w:val="00B43C9B"/>
    <w:rsid w:val="00B442B7"/>
    <w:rsid w:val="00B45158"/>
    <w:rsid w:val="00B45DA9"/>
    <w:rsid w:val="00B46798"/>
    <w:rsid w:val="00B46BC7"/>
    <w:rsid w:val="00B50315"/>
    <w:rsid w:val="00B512C3"/>
    <w:rsid w:val="00B513FE"/>
    <w:rsid w:val="00B51451"/>
    <w:rsid w:val="00B5146F"/>
    <w:rsid w:val="00B515CA"/>
    <w:rsid w:val="00B51689"/>
    <w:rsid w:val="00B5178D"/>
    <w:rsid w:val="00B525CB"/>
    <w:rsid w:val="00B531D7"/>
    <w:rsid w:val="00B53F68"/>
    <w:rsid w:val="00B54F70"/>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67C3D"/>
    <w:rsid w:val="00B70169"/>
    <w:rsid w:val="00B70283"/>
    <w:rsid w:val="00B7078C"/>
    <w:rsid w:val="00B710C4"/>
    <w:rsid w:val="00B71561"/>
    <w:rsid w:val="00B7287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41"/>
    <w:rsid w:val="00B81ACB"/>
    <w:rsid w:val="00B81F14"/>
    <w:rsid w:val="00B8385C"/>
    <w:rsid w:val="00B83F84"/>
    <w:rsid w:val="00B84B3E"/>
    <w:rsid w:val="00B85623"/>
    <w:rsid w:val="00B87B9E"/>
    <w:rsid w:val="00B90205"/>
    <w:rsid w:val="00B90B22"/>
    <w:rsid w:val="00B90B34"/>
    <w:rsid w:val="00B91CF1"/>
    <w:rsid w:val="00B91EAD"/>
    <w:rsid w:val="00B92CB6"/>
    <w:rsid w:val="00B93287"/>
    <w:rsid w:val="00B94B1F"/>
    <w:rsid w:val="00B9556D"/>
    <w:rsid w:val="00B95717"/>
    <w:rsid w:val="00B979C2"/>
    <w:rsid w:val="00BA0FA8"/>
    <w:rsid w:val="00BA101A"/>
    <w:rsid w:val="00BA1433"/>
    <w:rsid w:val="00BA2BEC"/>
    <w:rsid w:val="00BA32EF"/>
    <w:rsid w:val="00BA4904"/>
    <w:rsid w:val="00BA4B5B"/>
    <w:rsid w:val="00BA549C"/>
    <w:rsid w:val="00BA54F0"/>
    <w:rsid w:val="00BA5B4B"/>
    <w:rsid w:val="00BA6306"/>
    <w:rsid w:val="00BB16AA"/>
    <w:rsid w:val="00BB325C"/>
    <w:rsid w:val="00BB32EA"/>
    <w:rsid w:val="00BB37BD"/>
    <w:rsid w:val="00BB5B30"/>
    <w:rsid w:val="00BB5C7A"/>
    <w:rsid w:val="00BB7738"/>
    <w:rsid w:val="00BB7CF2"/>
    <w:rsid w:val="00BC0980"/>
    <w:rsid w:val="00BC1901"/>
    <w:rsid w:val="00BC20AF"/>
    <w:rsid w:val="00BC2F8F"/>
    <w:rsid w:val="00BC3610"/>
    <w:rsid w:val="00BC3A7B"/>
    <w:rsid w:val="00BC3E50"/>
    <w:rsid w:val="00BC46FA"/>
    <w:rsid w:val="00BC4CFC"/>
    <w:rsid w:val="00BC5E6E"/>
    <w:rsid w:val="00BC638A"/>
    <w:rsid w:val="00BC754C"/>
    <w:rsid w:val="00BC7A70"/>
    <w:rsid w:val="00BD075C"/>
    <w:rsid w:val="00BD0942"/>
    <w:rsid w:val="00BD09C9"/>
    <w:rsid w:val="00BD1370"/>
    <w:rsid w:val="00BD16E4"/>
    <w:rsid w:val="00BD3ADF"/>
    <w:rsid w:val="00BD404B"/>
    <w:rsid w:val="00BD4104"/>
    <w:rsid w:val="00BD418A"/>
    <w:rsid w:val="00BD484B"/>
    <w:rsid w:val="00BD5979"/>
    <w:rsid w:val="00BD5F18"/>
    <w:rsid w:val="00BD5F91"/>
    <w:rsid w:val="00BD78FE"/>
    <w:rsid w:val="00BE1B2E"/>
    <w:rsid w:val="00BE1EB7"/>
    <w:rsid w:val="00BE3C30"/>
    <w:rsid w:val="00BE43C0"/>
    <w:rsid w:val="00BE4C31"/>
    <w:rsid w:val="00BE5743"/>
    <w:rsid w:val="00BE60C5"/>
    <w:rsid w:val="00BE62F9"/>
    <w:rsid w:val="00BE646C"/>
    <w:rsid w:val="00BE68A7"/>
    <w:rsid w:val="00BE7972"/>
    <w:rsid w:val="00BF0438"/>
    <w:rsid w:val="00BF0945"/>
    <w:rsid w:val="00BF0F80"/>
    <w:rsid w:val="00BF2195"/>
    <w:rsid w:val="00BF239F"/>
    <w:rsid w:val="00BF26EF"/>
    <w:rsid w:val="00BF2870"/>
    <w:rsid w:val="00BF2E6F"/>
    <w:rsid w:val="00BF38C7"/>
    <w:rsid w:val="00BF3E3E"/>
    <w:rsid w:val="00BF3E9C"/>
    <w:rsid w:val="00BF46EB"/>
    <w:rsid w:val="00BF52BB"/>
    <w:rsid w:val="00BF5655"/>
    <w:rsid w:val="00BF59DD"/>
    <w:rsid w:val="00BF6F68"/>
    <w:rsid w:val="00BF7FBC"/>
    <w:rsid w:val="00C01713"/>
    <w:rsid w:val="00C01888"/>
    <w:rsid w:val="00C0300E"/>
    <w:rsid w:val="00C03968"/>
    <w:rsid w:val="00C03D7A"/>
    <w:rsid w:val="00C04038"/>
    <w:rsid w:val="00C05889"/>
    <w:rsid w:val="00C06AA8"/>
    <w:rsid w:val="00C06C24"/>
    <w:rsid w:val="00C06D8D"/>
    <w:rsid w:val="00C06F4E"/>
    <w:rsid w:val="00C074ED"/>
    <w:rsid w:val="00C07969"/>
    <w:rsid w:val="00C07BA3"/>
    <w:rsid w:val="00C07EFC"/>
    <w:rsid w:val="00C1063D"/>
    <w:rsid w:val="00C108FF"/>
    <w:rsid w:val="00C11C22"/>
    <w:rsid w:val="00C128D8"/>
    <w:rsid w:val="00C13117"/>
    <w:rsid w:val="00C13B27"/>
    <w:rsid w:val="00C140C5"/>
    <w:rsid w:val="00C14392"/>
    <w:rsid w:val="00C14CDE"/>
    <w:rsid w:val="00C14D9E"/>
    <w:rsid w:val="00C15F8E"/>
    <w:rsid w:val="00C16340"/>
    <w:rsid w:val="00C1755A"/>
    <w:rsid w:val="00C20311"/>
    <w:rsid w:val="00C20858"/>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1E79"/>
    <w:rsid w:val="00C32E42"/>
    <w:rsid w:val="00C33584"/>
    <w:rsid w:val="00C355B4"/>
    <w:rsid w:val="00C358C6"/>
    <w:rsid w:val="00C35C94"/>
    <w:rsid w:val="00C35CCA"/>
    <w:rsid w:val="00C36B79"/>
    <w:rsid w:val="00C3789F"/>
    <w:rsid w:val="00C37E77"/>
    <w:rsid w:val="00C40376"/>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5029B"/>
    <w:rsid w:val="00C50FFB"/>
    <w:rsid w:val="00C51383"/>
    <w:rsid w:val="00C5178F"/>
    <w:rsid w:val="00C529C9"/>
    <w:rsid w:val="00C52AA0"/>
    <w:rsid w:val="00C52E69"/>
    <w:rsid w:val="00C53904"/>
    <w:rsid w:val="00C539FA"/>
    <w:rsid w:val="00C53C40"/>
    <w:rsid w:val="00C54A9A"/>
    <w:rsid w:val="00C54E31"/>
    <w:rsid w:val="00C54E4E"/>
    <w:rsid w:val="00C5659C"/>
    <w:rsid w:val="00C579C6"/>
    <w:rsid w:val="00C606C0"/>
    <w:rsid w:val="00C60A58"/>
    <w:rsid w:val="00C611EF"/>
    <w:rsid w:val="00C61389"/>
    <w:rsid w:val="00C63537"/>
    <w:rsid w:val="00C63B97"/>
    <w:rsid w:val="00C63E4C"/>
    <w:rsid w:val="00C64C51"/>
    <w:rsid w:val="00C6585A"/>
    <w:rsid w:val="00C67675"/>
    <w:rsid w:val="00C67716"/>
    <w:rsid w:val="00C70C9A"/>
    <w:rsid w:val="00C7127A"/>
    <w:rsid w:val="00C713D7"/>
    <w:rsid w:val="00C71798"/>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5EAF"/>
    <w:rsid w:val="00C878E8"/>
    <w:rsid w:val="00C87A79"/>
    <w:rsid w:val="00C87FB1"/>
    <w:rsid w:val="00C90A72"/>
    <w:rsid w:val="00C91D94"/>
    <w:rsid w:val="00C91E02"/>
    <w:rsid w:val="00C92306"/>
    <w:rsid w:val="00C92639"/>
    <w:rsid w:val="00C94383"/>
    <w:rsid w:val="00C949D9"/>
    <w:rsid w:val="00C95026"/>
    <w:rsid w:val="00C9670A"/>
    <w:rsid w:val="00C969DD"/>
    <w:rsid w:val="00C9707B"/>
    <w:rsid w:val="00C974E8"/>
    <w:rsid w:val="00C97546"/>
    <w:rsid w:val="00CA0AB5"/>
    <w:rsid w:val="00CA0C3E"/>
    <w:rsid w:val="00CA1177"/>
    <w:rsid w:val="00CA131B"/>
    <w:rsid w:val="00CA1540"/>
    <w:rsid w:val="00CA287E"/>
    <w:rsid w:val="00CA2B13"/>
    <w:rsid w:val="00CA3F40"/>
    <w:rsid w:val="00CA44C0"/>
    <w:rsid w:val="00CA44E6"/>
    <w:rsid w:val="00CA4B84"/>
    <w:rsid w:val="00CA5926"/>
    <w:rsid w:val="00CA5AD8"/>
    <w:rsid w:val="00CA5FFD"/>
    <w:rsid w:val="00CA6B80"/>
    <w:rsid w:val="00CA7139"/>
    <w:rsid w:val="00CA73A8"/>
    <w:rsid w:val="00CB084F"/>
    <w:rsid w:val="00CB127A"/>
    <w:rsid w:val="00CB1B38"/>
    <w:rsid w:val="00CB1D4D"/>
    <w:rsid w:val="00CB21C6"/>
    <w:rsid w:val="00CB22AF"/>
    <w:rsid w:val="00CB2894"/>
    <w:rsid w:val="00CB3DAB"/>
    <w:rsid w:val="00CB4B63"/>
    <w:rsid w:val="00CB4C30"/>
    <w:rsid w:val="00CB532E"/>
    <w:rsid w:val="00CB5663"/>
    <w:rsid w:val="00CB58CF"/>
    <w:rsid w:val="00CB61ED"/>
    <w:rsid w:val="00CB6518"/>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709"/>
    <w:rsid w:val="00CD2B02"/>
    <w:rsid w:val="00CD39D4"/>
    <w:rsid w:val="00CD47FC"/>
    <w:rsid w:val="00CD4833"/>
    <w:rsid w:val="00CD4CEE"/>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2AA3"/>
    <w:rsid w:val="00CF2CA1"/>
    <w:rsid w:val="00CF2EF6"/>
    <w:rsid w:val="00CF38A3"/>
    <w:rsid w:val="00CF397F"/>
    <w:rsid w:val="00CF404E"/>
    <w:rsid w:val="00CF4690"/>
    <w:rsid w:val="00CF4A4E"/>
    <w:rsid w:val="00CF4DAF"/>
    <w:rsid w:val="00CF532E"/>
    <w:rsid w:val="00CF5675"/>
    <w:rsid w:val="00CF6B14"/>
    <w:rsid w:val="00CF7778"/>
    <w:rsid w:val="00CF7DE3"/>
    <w:rsid w:val="00D004A0"/>
    <w:rsid w:val="00D03273"/>
    <w:rsid w:val="00D04268"/>
    <w:rsid w:val="00D047D3"/>
    <w:rsid w:val="00D0488F"/>
    <w:rsid w:val="00D04F45"/>
    <w:rsid w:val="00D054BD"/>
    <w:rsid w:val="00D05E28"/>
    <w:rsid w:val="00D063D2"/>
    <w:rsid w:val="00D06D43"/>
    <w:rsid w:val="00D07E72"/>
    <w:rsid w:val="00D07F68"/>
    <w:rsid w:val="00D1038E"/>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28A3"/>
    <w:rsid w:val="00D23B7C"/>
    <w:rsid w:val="00D24CC2"/>
    <w:rsid w:val="00D24E22"/>
    <w:rsid w:val="00D250D0"/>
    <w:rsid w:val="00D25B15"/>
    <w:rsid w:val="00D30416"/>
    <w:rsid w:val="00D31F4A"/>
    <w:rsid w:val="00D32C9D"/>
    <w:rsid w:val="00D3549C"/>
    <w:rsid w:val="00D356F9"/>
    <w:rsid w:val="00D35D5C"/>
    <w:rsid w:val="00D361D0"/>
    <w:rsid w:val="00D37454"/>
    <w:rsid w:val="00D376C1"/>
    <w:rsid w:val="00D40159"/>
    <w:rsid w:val="00D40DDB"/>
    <w:rsid w:val="00D429EC"/>
    <w:rsid w:val="00D43978"/>
    <w:rsid w:val="00D44121"/>
    <w:rsid w:val="00D44846"/>
    <w:rsid w:val="00D454B6"/>
    <w:rsid w:val="00D478EC"/>
    <w:rsid w:val="00D502F1"/>
    <w:rsid w:val="00D50796"/>
    <w:rsid w:val="00D5088B"/>
    <w:rsid w:val="00D521EA"/>
    <w:rsid w:val="00D52852"/>
    <w:rsid w:val="00D52B1B"/>
    <w:rsid w:val="00D52CF7"/>
    <w:rsid w:val="00D53EA2"/>
    <w:rsid w:val="00D542C3"/>
    <w:rsid w:val="00D544C5"/>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4F1E"/>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4FD9"/>
    <w:rsid w:val="00DA5253"/>
    <w:rsid w:val="00DA5AB1"/>
    <w:rsid w:val="00DA6996"/>
    <w:rsid w:val="00DA6EE1"/>
    <w:rsid w:val="00DA7078"/>
    <w:rsid w:val="00DA72B4"/>
    <w:rsid w:val="00DB12BD"/>
    <w:rsid w:val="00DB236B"/>
    <w:rsid w:val="00DB2BFA"/>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160B"/>
    <w:rsid w:val="00DD1C18"/>
    <w:rsid w:val="00DD2116"/>
    <w:rsid w:val="00DD21A2"/>
    <w:rsid w:val="00DD2D30"/>
    <w:rsid w:val="00DD31A9"/>
    <w:rsid w:val="00DD3432"/>
    <w:rsid w:val="00DD5E33"/>
    <w:rsid w:val="00DD6339"/>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83C"/>
    <w:rsid w:val="00DE6B11"/>
    <w:rsid w:val="00DE6E79"/>
    <w:rsid w:val="00DE6FE1"/>
    <w:rsid w:val="00DE70DC"/>
    <w:rsid w:val="00DF0AB4"/>
    <w:rsid w:val="00DF0AE3"/>
    <w:rsid w:val="00DF1287"/>
    <w:rsid w:val="00DF1308"/>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3B36"/>
    <w:rsid w:val="00E240CB"/>
    <w:rsid w:val="00E240E7"/>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A26"/>
    <w:rsid w:val="00E425E7"/>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2D01"/>
    <w:rsid w:val="00E54AE8"/>
    <w:rsid w:val="00E5557F"/>
    <w:rsid w:val="00E5588F"/>
    <w:rsid w:val="00E60196"/>
    <w:rsid w:val="00E60756"/>
    <w:rsid w:val="00E618EA"/>
    <w:rsid w:val="00E61E09"/>
    <w:rsid w:val="00E62ACD"/>
    <w:rsid w:val="00E62C5F"/>
    <w:rsid w:val="00E63108"/>
    <w:rsid w:val="00E6402F"/>
    <w:rsid w:val="00E6457F"/>
    <w:rsid w:val="00E64B60"/>
    <w:rsid w:val="00E66E98"/>
    <w:rsid w:val="00E6724C"/>
    <w:rsid w:val="00E67E83"/>
    <w:rsid w:val="00E7057D"/>
    <w:rsid w:val="00E71AEB"/>
    <w:rsid w:val="00E72E97"/>
    <w:rsid w:val="00E737A7"/>
    <w:rsid w:val="00E7503A"/>
    <w:rsid w:val="00E768B7"/>
    <w:rsid w:val="00E76D76"/>
    <w:rsid w:val="00E76F51"/>
    <w:rsid w:val="00E76F61"/>
    <w:rsid w:val="00E7700C"/>
    <w:rsid w:val="00E776ED"/>
    <w:rsid w:val="00E80C3F"/>
    <w:rsid w:val="00E8112D"/>
    <w:rsid w:val="00E81AFD"/>
    <w:rsid w:val="00E832F8"/>
    <w:rsid w:val="00E8330E"/>
    <w:rsid w:val="00E83789"/>
    <w:rsid w:val="00E854A0"/>
    <w:rsid w:val="00E86E90"/>
    <w:rsid w:val="00E87315"/>
    <w:rsid w:val="00E90810"/>
    <w:rsid w:val="00E91203"/>
    <w:rsid w:val="00E91477"/>
    <w:rsid w:val="00E91585"/>
    <w:rsid w:val="00E915AC"/>
    <w:rsid w:val="00E9178F"/>
    <w:rsid w:val="00E917AE"/>
    <w:rsid w:val="00E91DA5"/>
    <w:rsid w:val="00E92488"/>
    <w:rsid w:val="00E94DA3"/>
    <w:rsid w:val="00E970AD"/>
    <w:rsid w:val="00E97548"/>
    <w:rsid w:val="00E9754A"/>
    <w:rsid w:val="00E9760B"/>
    <w:rsid w:val="00E97CC7"/>
    <w:rsid w:val="00E97E46"/>
    <w:rsid w:val="00EA04EF"/>
    <w:rsid w:val="00EA1131"/>
    <w:rsid w:val="00EA3483"/>
    <w:rsid w:val="00EA38C4"/>
    <w:rsid w:val="00EA6BEE"/>
    <w:rsid w:val="00EA704D"/>
    <w:rsid w:val="00EA79EB"/>
    <w:rsid w:val="00EB0DF1"/>
    <w:rsid w:val="00EB3AB3"/>
    <w:rsid w:val="00EB5145"/>
    <w:rsid w:val="00EB7836"/>
    <w:rsid w:val="00EB7E20"/>
    <w:rsid w:val="00EC08B0"/>
    <w:rsid w:val="00EC2A8B"/>
    <w:rsid w:val="00EC3B81"/>
    <w:rsid w:val="00EC443D"/>
    <w:rsid w:val="00EC4988"/>
    <w:rsid w:val="00EC4A47"/>
    <w:rsid w:val="00EC58BE"/>
    <w:rsid w:val="00EC5A9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7F90"/>
    <w:rsid w:val="00EE094E"/>
    <w:rsid w:val="00EE1CCD"/>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EB1"/>
    <w:rsid w:val="00F01322"/>
    <w:rsid w:val="00F02183"/>
    <w:rsid w:val="00F038E5"/>
    <w:rsid w:val="00F03B2B"/>
    <w:rsid w:val="00F04511"/>
    <w:rsid w:val="00F04CC2"/>
    <w:rsid w:val="00F058FE"/>
    <w:rsid w:val="00F05D63"/>
    <w:rsid w:val="00F05F75"/>
    <w:rsid w:val="00F06B15"/>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5A44"/>
    <w:rsid w:val="00F160B9"/>
    <w:rsid w:val="00F16C53"/>
    <w:rsid w:val="00F17613"/>
    <w:rsid w:val="00F176B9"/>
    <w:rsid w:val="00F20348"/>
    <w:rsid w:val="00F20F65"/>
    <w:rsid w:val="00F23A10"/>
    <w:rsid w:val="00F24361"/>
    <w:rsid w:val="00F246FE"/>
    <w:rsid w:val="00F26EF6"/>
    <w:rsid w:val="00F277D0"/>
    <w:rsid w:val="00F27A52"/>
    <w:rsid w:val="00F30A5C"/>
    <w:rsid w:val="00F3240B"/>
    <w:rsid w:val="00F354B5"/>
    <w:rsid w:val="00F355D3"/>
    <w:rsid w:val="00F368C1"/>
    <w:rsid w:val="00F36B58"/>
    <w:rsid w:val="00F36E11"/>
    <w:rsid w:val="00F37460"/>
    <w:rsid w:val="00F379A3"/>
    <w:rsid w:val="00F37C6E"/>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701A7"/>
    <w:rsid w:val="00F71570"/>
    <w:rsid w:val="00F7173E"/>
    <w:rsid w:val="00F71883"/>
    <w:rsid w:val="00F726FC"/>
    <w:rsid w:val="00F728C3"/>
    <w:rsid w:val="00F72BAE"/>
    <w:rsid w:val="00F7558E"/>
    <w:rsid w:val="00F76205"/>
    <w:rsid w:val="00F801B3"/>
    <w:rsid w:val="00F803F1"/>
    <w:rsid w:val="00F809EF"/>
    <w:rsid w:val="00F81111"/>
    <w:rsid w:val="00F8177B"/>
    <w:rsid w:val="00F81B47"/>
    <w:rsid w:val="00F83810"/>
    <w:rsid w:val="00F83B75"/>
    <w:rsid w:val="00F84899"/>
    <w:rsid w:val="00F8492C"/>
    <w:rsid w:val="00F85499"/>
    <w:rsid w:val="00F859F0"/>
    <w:rsid w:val="00F86883"/>
    <w:rsid w:val="00F8789E"/>
    <w:rsid w:val="00F91CA6"/>
    <w:rsid w:val="00F92E29"/>
    <w:rsid w:val="00F93448"/>
    <w:rsid w:val="00F94AEF"/>
    <w:rsid w:val="00FA06A3"/>
    <w:rsid w:val="00FA0AD1"/>
    <w:rsid w:val="00FA0E3E"/>
    <w:rsid w:val="00FA2ACB"/>
    <w:rsid w:val="00FA310C"/>
    <w:rsid w:val="00FA3B5A"/>
    <w:rsid w:val="00FA40C0"/>
    <w:rsid w:val="00FA4A30"/>
    <w:rsid w:val="00FA4B7C"/>
    <w:rsid w:val="00FA4CDC"/>
    <w:rsid w:val="00FA540E"/>
    <w:rsid w:val="00FA6587"/>
    <w:rsid w:val="00FA6DE2"/>
    <w:rsid w:val="00FA723D"/>
    <w:rsid w:val="00FB0D40"/>
    <w:rsid w:val="00FB301D"/>
    <w:rsid w:val="00FB42FF"/>
    <w:rsid w:val="00FB47F3"/>
    <w:rsid w:val="00FB516F"/>
    <w:rsid w:val="00FB5564"/>
    <w:rsid w:val="00FB58AF"/>
    <w:rsid w:val="00FB5BF9"/>
    <w:rsid w:val="00FC0B6A"/>
    <w:rsid w:val="00FC0F82"/>
    <w:rsid w:val="00FC3D45"/>
    <w:rsid w:val="00FC4647"/>
    <w:rsid w:val="00FC6EB3"/>
    <w:rsid w:val="00FC711A"/>
    <w:rsid w:val="00FC7299"/>
    <w:rsid w:val="00FC7C2E"/>
    <w:rsid w:val="00FC7F10"/>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0EBA"/>
    <w:rsid w:val="00FE125A"/>
    <w:rsid w:val="00FE141E"/>
    <w:rsid w:val="00FE1AF1"/>
    <w:rsid w:val="00FE24F4"/>
    <w:rsid w:val="00FE2A33"/>
    <w:rsid w:val="00FE46AA"/>
    <w:rsid w:val="00FE5ECC"/>
    <w:rsid w:val="00FE65B4"/>
    <w:rsid w:val="00FE674D"/>
    <w:rsid w:val="00FF10B9"/>
    <w:rsid w:val="00FF2832"/>
    <w:rsid w:val="00FF3657"/>
    <w:rsid w:val="00FF417D"/>
    <w:rsid w:val="00FF49BD"/>
    <w:rsid w:val="00FF4A64"/>
    <w:rsid w:val="00FF521D"/>
    <w:rsid w:val="00FF5C43"/>
    <w:rsid w:val="00FF5EBA"/>
    <w:rsid w:val="00FF60FB"/>
    <w:rsid w:val="00FF66DD"/>
    <w:rsid w:val="00FF6C03"/>
    <w:rsid w:val="00FF6F65"/>
    <w:rsid w:val="00FF7737"/>
    <w:rsid w:val="00FF773A"/>
    <w:rsid w:val="00FF7E87"/>
    <w:rsid w:val="03C30222"/>
    <w:rsid w:val="127BF070"/>
    <w:rsid w:val="1756A024"/>
    <w:rsid w:val="374C1BEF"/>
    <w:rsid w:val="4AD19253"/>
    <w:rsid w:val="73FCB41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 w:type="character" w:styleId="Mencinsinresolver">
    <w:name w:val="Unresolved Mention"/>
    <w:basedOn w:val="Fuentedeprrafopredeter"/>
    <w:uiPriority w:val="99"/>
    <w:semiHidden/>
    <w:unhideWhenUsed/>
    <w:rsid w:val="00946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896840">
      <w:bodyDiv w:val="1"/>
      <w:marLeft w:val="0"/>
      <w:marRight w:val="0"/>
      <w:marTop w:val="0"/>
      <w:marBottom w:val="0"/>
      <w:divBdr>
        <w:top w:val="none" w:sz="0" w:space="0" w:color="auto"/>
        <w:left w:val="none" w:sz="0" w:space="0" w:color="auto"/>
        <w:bottom w:val="none" w:sz="0" w:space="0" w:color="auto"/>
        <w:right w:val="none" w:sz="0" w:space="0" w:color="auto"/>
      </w:divBdr>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procuraduria.gov.co/portal/relatoria_normatividad.page" TargetMode="External"/><Relationship Id="rId1" Type="http://schemas.openxmlformats.org/officeDocument/2006/relationships/hyperlink" Target="https://colombiacompra.gov.co/sites/cce_public/files/cce_circulares/20130816circular3leygarantia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15</Pages>
  <Words>4363</Words>
  <Characters>24002</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MARIA CLAUDIA DE LA OSSA BOBADILLA</cp:lastModifiedBy>
  <cp:revision>2</cp:revision>
  <dcterms:created xsi:type="dcterms:W3CDTF">2022-05-24T16:46:00Z</dcterms:created>
  <dcterms:modified xsi:type="dcterms:W3CDTF">2022-05-24T16:46:00Z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