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ACB61" w14:textId="77777777" w:rsidR="000D3FCF" w:rsidRPr="00481068" w:rsidRDefault="000D3FCF" w:rsidP="000D3FCF">
      <w:pPr>
        <w:spacing w:line="276" w:lineRule="auto"/>
        <w:jc w:val="right"/>
        <w:rPr>
          <w:rFonts w:ascii="Arial" w:eastAsia="Calibri" w:hAnsi="Arial" w:cs="Arial"/>
          <w:b/>
          <w:bCs/>
          <w:sz w:val="16"/>
          <w:szCs w:val="16"/>
        </w:rPr>
      </w:pPr>
      <w:r w:rsidRPr="00481068">
        <w:rPr>
          <w:rFonts w:ascii="Arial" w:hAnsi="Arial" w:cs="Arial"/>
          <w:b/>
          <w:bCs/>
          <w:sz w:val="16"/>
          <w:szCs w:val="16"/>
          <w:lang w:eastAsia="es-ES"/>
        </w:rPr>
        <w:t>CCE-DES-FM-17</w:t>
      </w:r>
    </w:p>
    <w:p w14:paraId="08877547" w14:textId="77777777" w:rsidR="000D3FCF" w:rsidRDefault="000D3FCF" w:rsidP="007323DA">
      <w:pPr>
        <w:spacing w:after="120"/>
        <w:contextualSpacing/>
        <w:jc w:val="both"/>
        <w:rPr>
          <w:rFonts w:ascii="Arial" w:eastAsia="Calibri" w:hAnsi="Arial" w:cs="Arial"/>
          <w:b/>
          <w:bCs/>
          <w:color w:val="000000" w:themeColor="text1"/>
          <w:sz w:val="22"/>
          <w:lang w:val="es-ES_tradnl"/>
        </w:rPr>
      </w:pPr>
    </w:p>
    <w:p w14:paraId="0DAE9567" w14:textId="6D98587C" w:rsidR="007323DA" w:rsidRPr="00041124" w:rsidRDefault="007323DA" w:rsidP="007323DA">
      <w:pPr>
        <w:spacing w:after="120"/>
        <w:contextualSpacing/>
        <w:jc w:val="both"/>
        <w:rPr>
          <w:rFonts w:ascii="Arial" w:eastAsia="Calibri" w:hAnsi="Arial" w:cs="Arial"/>
          <w:b/>
          <w:bCs/>
          <w:color w:val="000000" w:themeColor="text1"/>
          <w:sz w:val="20"/>
          <w:szCs w:val="20"/>
          <w:lang w:val="es-ES_tradnl"/>
        </w:rPr>
      </w:pPr>
      <w:r w:rsidRPr="00041124">
        <w:rPr>
          <w:rFonts w:ascii="Arial" w:eastAsia="Calibri" w:hAnsi="Arial" w:cs="Arial"/>
          <w:b/>
          <w:bCs/>
          <w:color w:val="000000" w:themeColor="text1"/>
          <w:sz w:val="20"/>
          <w:szCs w:val="20"/>
          <w:lang w:val="es-ES_tradnl"/>
        </w:rPr>
        <w:t>LEY DE GARANTÍAS ELECTORALES – Finalidad</w:t>
      </w:r>
    </w:p>
    <w:p w14:paraId="7DA65A5E" w14:textId="77777777" w:rsidR="007323DA" w:rsidRPr="00041124" w:rsidRDefault="007323DA" w:rsidP="007323DA">
      <w:pPr>
        <w:spacing w:after="120"/>
        <w:contextualSpacing/>
        <w:jc w:val="both"/>
        <w:rPr>
          <w:rFonts w:ascii="Arial" w:eastAsia="Calibri" w:hAnsi="Arial" w:cs="Arial"/>
          <w:color w:val="000000" w:themeColor="text1"/>
          <w:sz w:val="20"/>
          <w:szCs w:val="20"/>
          <w:lang w:val="es-ES_tradnl"/>
        </w:rPr>
      </w:pPr>
    </w:p>
    <w:p w14:paraId="71E5D310" w14:textId="77777777" w:rsidR="007323DA" w:rsidRPr="00041124" w:rsidRDefault="007323DA" w:rsidP="007323DA">
      <w:pPr>
        <w:tabs>
          <w:tab w:val="left" w:pos="426"/>
        </w:tabs>
        <w:spacing w:after="120"/>
        <w:jc w:val="both"/>
        <w:rPr>
          <w:rFonts w:ascii="Arial" w:hAnsi="Arial" w:cs="Arial"/>
          <w:bCs/>
          <w:color w:val="000000" w:themeColor="text1"/>
          <w:sz w:val="20"/>
          <w:szCs w:val="20"/>
          <w:lang w:eastAsia="es-CO"/>
        </w:rPr>
      </w:pPr>
      <w:r w:rsidRPr="00041124">
        <w:rPr>
          <w:rFonts w:ascii="Arial" w:hAnsi="Arial" w:cs="Arial"/>
          <w:bCs/>
          <w:color w:val="000000" w:themeColor="text1"/>
          <w:sz w:val="20"/>
          <w:szCs w:val="20"/>
          <w:lang w:eastAsia="es-CO"/>
        </w:rPr>
        <w:t>El ordenamiento jurídico colombiano contempla previsiones claras para evitar la obtención de beneficios personales en asuntos propios de la administración pública</w:t>
      </w:r>
      <w:r w:rsidRPr="00041124">
        <w:rPr>
          <w:rFonts w:ascii="Arial" w:hAnsi="Arial" w:cs="Arial"/>
          <w:bCs/>
          <w:i/>
          <w:iCs/>
          <w:color w:val="000000" w:themeColor="text1"/>
          <w:sz w:val="20"/>
          <w:szCs w:val="20"/>
          <w:lang w:eastAsia="es-CO"/>
        </w:rPr>
        <w:t xml:space="preserve">. </w:t>
      </w:r>
      <w:r w:rsidRPr="00041124">
        <w:rPr>
          <w:rFonts w:ascii="Arial" w:hAnsi="Arial" w:cs="Arial"/>
          <w:bCs/>
          <w:color w:val="000000" w:themeColor="text1"/>
          <w:sz w:val="20"/>
          <w:szCs w:val="20"/>
          <w:lang w:eastAsia="es-CO"/>
        </w:rPr>
        <w:t>Por ejemplo, el artículo 127 de la Constitución Política establece una prohibición contractual a los servidores públicos y en cuanto a aspectos políticos consagra restricciones a ciertos empleados del Estado, incluso en época no electoral. 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041124">
        <w:rPr>
          <w:rFonts w:ascii="Arial" w:hAnsi="Arial" w:cs="Arial"/>
          <w:bCs/>
          <w:color w:val="000000" w:themeColor="text1"/>
          <w:sz w:val="20"/>
          <w:szCs w:val="20"/>
          <w:lang w:val="es-ES_tradnl" w:eastAsia="es-CO"/>
        </w:rPr>
        <w:t xml:space="preserve"> </w:t>
      </w:r>
      <w:r w:rsidRPr="00041124">
        <w:rPr>
          <w:rFonts w:ascii="Arial" w:hAnsi="Arial" w:cs="Arial"/>
          <w:bCs/>
          <w:color w:val="000000" w:themeColor="text1"/>
          <w:sz w:val="20"/>
          <w:szCs w:val="20"/>
          <w:lang w:eastAsia="es-CO"/>
        </w:rPr>
        <w:t>En armonía con lo anterior, la Corte Constitucional ha abordado la definición de la Ley de Garantías Electorales</w:t>
      </w:r>
      <w:r w:rsidRPr="00041124">
        <w:rPr>
          <w:rFonts w:ascii="Arial" w:hAnsi="Arial" w:cs="Arial"/>
          <w:bCs/>
          <w:color w:val="000000" w:themeColor="text1"/>
          <w:sz w:val="20"/>
          <w:szCs w:val="20"/>
          <w:lang w:val="es-ES_tradnl" w:eastAsia="es-CO"/>
        </w:rPr>
        <w:t xml:space="preserve">. </w:t>
      </w:r>
      <w:r w:rsidRPr="00041124">
        <w:rPr>
          <w:rFonts w:ascii="Arial" w:hAnsi="Arial" w:cs="Arial"/>
          <w:bCs/>
          <w:color w:val="000000" w:themeColor="text1"/>
          <w:sz w:val="20"/>
          <w:szCs w:val="20"/>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18DF0407" w14:textId="77777777" w:rsidR="007323DA" w:rsidRPr="00041124" w:rsidRDefault="007323DA" w:rsidP="007323DA">
      <w:pPr>
        <w:tabs>
          <w:tab w:val="left" w:pos="426"/>
        </w:tabs>
        <w:jc w:val="both"/>
        <w:rPr>
          <w:rFonts w:ascii="Arial" w:eastAsia="Calibri" w:hAnsi="Arial" w:cs="Arial"/>
          <w:bCs/>
          <w:color w:val="000000" w:themeColor="text1"/>
          <w:sz w:val="20"/>
          <w:szCs w:val="20"/>
          <w:lang w:val="es-ES_tradnl"/>
        </w:rPr>
      </w:pPr>
    </w:p>
    <w:p w14:paraId="3EAA33B8" w14:textId="77777777" w:rsidR="007323DA" w:rsidRPr="00041124" w:rsidRDefault="007323DA" w:rsidP="007323DA">
      <w:pPr>
        <w:tabs>
          <w:tab w:val="left" w:pos="426"/>
        </w:tabs>
        <w:jc w:val="both"/>
        <w:rPr>
          <w:rFonts w:ascii="Arial" w:eastAsia="Calibri" w:hAnsi="Arial" w:cs="Arial"/>
          <w:b/>
          <w:bCs/>
          <w:color w:val="000000" w:themeColor="text1"/>
          <w:sz w:val="20"/>
          <w:szCs w:val="20"/>
          <w:lang w:val="es-ES_tradnl"/>
        </w:rPr>
      </w:pPr>
      <w:bookmarkStart w:id="0" w:name="_Hlk77152637"/>
      <w:bookmarkStart w:id="1" w:name="_Hlk77157066"/>
      <w:r w:rsidRPr="00041124">
        <w:rPr>
          <w:rFonts w:ascii="Arial" w:eastAsia="Calibri" w:hAnsi="Arial" w:cs="Arial"/>
          <w:b/>
          <w:bCs/>
          <w:color w:val="000000" w:themeColor="text1"/>
          <w:sz w:val="20"/>
          <w:szCs w:val="20"/>
          <w:lang w:val="es-ES_tradnl"/>
        </w:rPr>
        <w:t>LEY DE GARANTÍAS ELECTORALES ‒</w:t>
      </w:r>
      <w:bookmarkEnd w:id="0"/>
      <w:r w:rsidRPr="00041124">
        <w:rPr>
          <w:rFonts w:ascii="Arial" w:eastAsia="Calibri" w:hAnsi="Arial" w:cs="Arial"/>
          <w:b/>
          <w:bCs/>
          <w:color w:val="000000" w:themeColor="text1"/>
          <w:sz w:val="20"/>
          <w:szCs w:val="20"/>
          <w:lang w:val="es-ES_tradnl"/>
        </w:rPr>
        <w:t xml:space="preserve"> Restricciones </w:t>
      </w:r>
      <w:bookmarkStart w:id="2" w:name="_Hlk77157034"/>
      <w:r w:rsidRPr="00041124">
        <w:rPr>
          <w:rFonts w:ascii="Arial" w:eastAsia="Calibri" w:hAnsi="Arial" w:cs="Arial"/>
          <w:b/>
          <w:bCs/>
          <w:color w:val="000000" w:themeColor="text1"/>
          <w:sz w:val="20"/>
          <w:szCs w:val="20"/>
          <w:lang w:val="es-ES_tradnl"/>
        </w:rPr>
        <w:t xml:space="preserve">‒ </w:t>
      </w:r>
      <w:bookmarkEnd w:id="2"/>
      <w:r w:rsidRPr="00041124">
        <w:rPr>
          <w:rFonts w:ascii="Arial" w:eastAsia="Calibri" w:hAnsi="Arial" w:cs="Arial"/>
          <w:b/>
          <w:bCs/>
          <w:color w:val="000000" w:themeColor="text1"/>
          <w:sz w:val="20"/>
          <w:szCs w:val="20"/>
          <w:lang w:val="es-ES_tradnl"/>
        </w:rPr>
        <w:t>Contratación</w:t>
      </w:r>
      <w:bookmarkStart w:id="3" w:name="_Hlk77153098"/>
      <w:r w:rsidRPr="00041124">
        <w:rPr>
          <w:rFonts w:ascii="Arial" w:eastAsia="Calibri" w:hAnsi="Arial" w:cs="Arial"/>
          <w:b/>
          <w:bCs/>
          <w:color w:val="000000" w:themeColor="text1"/>
          <w:sz w:val="20"/>
          <w:szCs w:val="20"/>
          <w:lang w:val="es-ES_tradnl"/>
        </w:rPr>
        <w:t xml:space="preserve"> ‒ Tipos de elección</w:t>
      </w:r>
      <w:bookmarkEnd w:id="3"/>
      <w:r w:rsidRPr="00041124">
        <w:rPr>
          <w:rFonts w:ascii="Arial" w:eastAsia="Calibri" w:hAnsi="Arial" w:cs="Arial"/>
          <w:b/>
          <w:bCs/>
          <w:color w:val="000000" w:themeColor="text1"/>
          <w:sz w:val="20"/>
          <w:szCs w:val="20"/>
          <w:lang w:val="es-ES_tradnl"/>
        </w:rPr>
        <w:t xml:space="preserve"> </w:t>
      </w:r>
    </w:p>
    <w:p w14:paraId="228EF602" w14:textId="77777777" w:rsidR="007323DA" w:rsidRPr="00041124" w:rsidRDefault="007323DA" w:rsidP="007323DA">
      <w:pPr>
        <w:tabs>
          <w:tab w:val="left" w:pos="426"/>
        </w:tabs>
        <w:jc w:val="both"/>
        <w:rPr>
          <w:rFonts w:ascii="Arial" w:eastAsia="Calibri" w:hAnsi="Arial" w:cs="Arial"/>
          <w:b/>
          <w:bCs/>
          <w:color w:val="000000" w:themeColor="text1"/>
          <w:sz w:val="20"/>
          <w:szCs w:val="20"/>
          <w:lang w:val="es-ES_tradnl"/>
        </w:rPr>
      </w:pPr>
    </w:p>
    <w:p w14:paraId="61806E3C" w14:textId="77777777" w:rsidR="007323DA" w:rsidRPr="00041124" w:rsidRDefault="007323DA" w:rsidP="007323DA">
      <w:pPr>
        <w:tabs>
          <w:tab w:val="left" w:pos="426"/>
        </w:tabs>
        <w:jc w:val="both"/>
        <w:rPr>
          <w:rFonts w:ascii="Arial" w:hAnsi="Arial" w:cs="Arial"/>
          <w:bCs/>
          <w:color w:val="000000" w:themeColor="text1"/>
          <w:sz w:val="20"/>
          <w:szCs w:val="20"/>
          <w:lang w:val="es-ES_tradnl" w:eastAsia="es-CO" w:bidi="es-ES"/>
        </w:rPr>
      </w:pPr>
      <w:bookmarkStart w:id="4" w:name="_Hlk77165666"/>
      <w:bookmarkEnd w:id="1"/>
      <w:r w:rsidRPr="00041124">
        <w:rPr>
          <w:rFonts w:ascii="Arial" w:hAnsi="Arial" w:cs="Arial"/>
          <w:bCs/>
          <w:color w:val="000000" w:themeColor="text1"/>
          <w:sz w:val="20"/>
          <w:szCs w:val="20"/>
          <w:lang w:val="es-ES_tradnl" w:eastAsia="es-CO"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 </w:t>
      </w:r>
      <w:r w:rsidRPr="00041124">
        <w:rPr>
          <w:rFonts w:ascii="Arial" w:hAnsi="Arial" w:cs="Arial"/>
          <w:bCs/>
          <w:color w:val="000000" w:themeColor="text1"/>
          <w:sz w:val="20"/>
          <w:szCs w:val="20"/>
          <w:lang w:eastAsia="es-CO"/>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041124">
        <w:rPr>
          <w:rFonts w:ascii="Arial" w:hAnsi="Arial" w:cs="Arial"/>
          <w:bCs/>
          <w:color w:val="000000" w:themeColor="text1"/>
          <w:sz w:val="20"/>
          <w:szCs w:val="20"/>
          <w:lang w:val="es-ES_tradnl" w:eastAsia="es-CO" w:bidi="es-ES"/>
        </w:rPr>
        <w:t xml:space="preserve"> </w:t>
      </w:r>
      <w:r w:rsidRPr="00041124">
        <w:rPr>
          <w:rFonts w:ascii="Arial" w:hAnsi="Arial" w:cs="Arial"/>
          <w:bCs/>
          <w:color w:val="000000" w:themeColor="text1"/>
          <w:sz w:val="20"/>
          <w:szCs w:val="20"/>
          <w:lang w:eastAsia="es-CO"/>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w:t>
      </w:r>
      <w:r w:rsidRPr="00041124">
        <w:rPr>
          <w:rFonts w:ascii="Arial" w:hAnsi="Arial" w:cs="Arial"/>
          <w:bCs/>
          <w:color w:val="000000" w:themeColor="text1"/>
          <w:sz w:val="20"/>
          <w:szCs w:val="20"/>
          <w:lang w:eastAsia="es-CO"/>
        </w:rPr>
        <w:lastRenderedPageBreak/>
        <w:t>como tampoco de las que participen como miembros de sus juntas directivas, en o para reuniones de carácter proselitista»</w:t>
      </w:r>
    </w:p>
    <w:p w14:paraId="1711E6E4" w14:textId="77777777" w:rsidR="007323DA" w:rsidRPr="00041124" w:rsidRDefault="007323DA" w:rsidP="007323DA">
      <w:pPr>
        <w:tabs>
          <w:tab w:val="left" w:pos="426"/>
        </w:tabs>
        <w:jc w:val="both"/>
        <w:rPr>
          <w:rFonts w:ascii="Arial" w:eastAsia="Calibri" w:hAnsi="Arial" w:cs="Arial"/>
          <w:b/>
          <w:bCs/>
          <w:sz w:val="20"/>
          <w:szCs w:val="20"/>
          <w:lang w:val="es-ES_tradnl"/>
        </w:rPr>
      </w:pPr>
      <w:r w:rsidRPr="00041124">
        <w:rPr>
          <w:rFonts w:ascii="Arial" w:eastAsia="Calibri" w:hAnsi="Arial" w:cs="Arial"/>
          <w:b/>
          <w:bCs/>
          <w:sz w:val="20"/>
          <w:szCs w:val="20"/>
          <w:lang w:val="es-ES_tradnl"/>
        </w:rPr>
        <w:t xml:space="preserve">LEY DE GARANTÍAS ELECTORALES ─ Prohibición artículo 33 ‒ </w:t>
      </w:r>
      <w:bookmarkEnd w:id="4"/>
      <w:r w:rsidRPr="00041124">
        <w:rPr>
          <w:rFonts w:ascii="Arial" w:eastAsia="Calibri" w:hAnsi="Arial" w:cs="Arial"/>
          <w:b/>
          <w:bCs/>
          <w:sz w:val="20"/>
          <w:szCs w:val="20"/>
          <w:lang w:val="es-ES_tradnl"/>
        </w:rPr>
        <w:t xml:space="preserve">Contratación directa ‒ Alcance </w:t>
      </w:r>
    </w:p>
    <w:p w14:paraId="24D36C4E" w14:textId="77777777" w:rsidR="007323DA" w:rsidRPr="00041124" w:rsidRDefault="007323DA" w:rsidP="007323DA">
      <w:pPr>
        <w:tabs>
          <w:tab w:val="left" w:pos="426"/>
        </w:tabs>
        <w:jc w:val="both"/>
        <w:rPr>
          <w:rFonts w:ascii="Arial" w:eastAsia="Calibri" w:hAnsi="Arial" w:cs="Arial"/>
          <w:noProof/>
          <w:sz w:val="20"/>
          <w:szCs w:val="20"/>
          <w:lang w:val="es-ES_tradnl"/>
        </w:rPr>
      </w:pPr>
    </w:p>
    <w:p w14:paraId="5DEEBE02" w14:textId="77777777" w:rsidR="007323DA" w:rsidRPr="00041124" w:rsidRDefault="007323DA" w:rsidP="007323DA">
      <w:pPr>
        <w:jc w:val="both"/>
        <w:rPr>
          <w:rFonts w:ascii="Arial" w:hAnsi="Arial" w:cs="Arial"/>
          <w:bCs/>
          <w:sz w:val="20"/>
          <w:szCs w:val="20"/>
          <w:lang w:val="es-ES_tradnl" w:eastAsia="x-none"/>
        </w:rPr>
      </w:pPr>
      <w:r w:rsidRPr="00041124">
        <w:rPr>
          <w:rFonts w:ascii="Arial" w:eastAsia="Calibri" w:hAnsi="Arial" w:cs="Arial"/>
          <w:noProof/>
          <w:sz w:val="20"/>
          <w:szCs w:val="20"/>
          <w:lang w:val="es-ES_tradnl"/>
        </w:rPr>
        <w:t xml:space="preserve">[…] </w:t>
      </w:r>
      <w:r w:rsidRPr="00041124">
        <w:rPr>
          <w:rFonts w:ascii="Arial" w:hAnsi="Arial" w:cs="Arial"/>
          <w:bCs/>
          <w:sz w:val="20"/>
          <w:szCs w:val="20"/>
          <w:lang w:val="es-ES_tradnl" w:eastAsia="x-none"/>
        </w:rPr>
        <w:t>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041124">
        <w:rPr>
          <w:rFonts w:ascii="Arial" w:hAnsi="Arial" w:cs="Arial"/>
          <w:sz w:val="20"/>
          <w:szCs w:val="20"/>
          <w:vertAlign w:val="superscript"/>
          <w:lang w:val="es-ES_tradnl" w:eastAsia="x-none"/>
        </w:rPr>
        <w:t xml:space="preserve">. </w:t>
      </w:r>
      <w:r w:rsidRPr="00041124">
        <w:rPr>
          <w:rFonts w:ascii="Arial" w:hAnsi="Arial" w:cs="Arial"/>
          <w:bCs/>
          <w:sz w:val="20"/>
          <w:szCs w:val="20"/>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041124">
        <w:rPr>
          <w:rFonts w:ascii="Arial" w:hAnsi="Arial" w:cs="Arial"/>
          <w:sz w:val="20"/>
          <w:szCs w:val="20"/>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2AFC2C1E" w14:textId="77777777" w:rsidR="007323DA" w:rsidRPr="00041124" w:rsidRDefault="007323DA" w:rsidP="007323DA">
      <w:pPr>
        <w:jc w:val="both"/>
        <w:rPr>
          <w:rFonts w:ascii="Arial" w:hAnsi="Arial" w:cs="Arial"/>
          <w:b/>
          <w:bCs/>
          <w:sz w:val="20"/>
          <w:szCs w:val="20"/>
          <w:lang w:val="es-ES_tradnl" w:eastAsia="es-ES"/>
        </w:rPr>
      </w:pPr>
    </w:p>
    <w:p w14:paraId="27354920" w14:textId="77777777" w:rsidR="007323DA" w:rsidRPr="00041124" w:rsidRDefault="007323DA" w:rsidP="007323DA">
      <w:pPr>
        <w:shd w:val="clear" w:color="auto" w:fill="FFFFFF"/>
        <w:jc w:val="both"/>
        <w:rPr>
          <w:rFonts w:ascii="Arial" w:hAnsi="Arial" w:cs="Arial"/>
          <w:b/>
          <w:bCs/>
          <w:sz w:val="20"/>
          <w:szCs w:val="20"/>
          <w:lang w:val="es-ES_tradnl" w:eastAsia="es-CO"/>
        </w:rPr>
      </w:pPr>
      <w:r w:rsidRPr="00041124">
        <w:rPr>
          <w:rFonts w:ascii="Arial" w:hAnsi="Arial" w:cs="Arial"/>
          <w:b/>
          <w:bCs/>
          <w:sz w:val="20"/>
          <w:szCs w:val="20"/>
          <w:lang w:val="es-ES_tradnl" w:eastAsia="es-CO"/>
        </w:rPr>
        <w:t xml:space="preserve">LEY DE GARANTÍAS ELECTORALES </w:t>
      </w:r>
      <w:bookmarkStart w:id="5" w:name="_Hlk77022358"/>
      <w:r w:rsidRPr="00041124">
        <w:rPr>
          <w:rFonts w:ascii="Arial" w:hAnsi="Arial" w:cs="Arial"/>
          <w:b/>
          <w:bCs/>
          <w:sz w:val="20"/>
          <w:szCs w:val="20"/>
          <w:lang w:val="es-ES_tradnl" w:eastAsia="es-CO"/>
        </w:rPr>
        <w:t>‒</w:t>
      </w:r>
      <w:bookmarkEnd w:id="5"/>
      <w:r w:rsidRPr="00041124">
        <w:rPr>
          <w:rFonts w:ascii="Arial" w:hAnsi="Arial" w:cs="Arial"/>
          <w:b/>
          <w:bCs/>
          <w:sz w:val="20"/>
          <w:szCs w:val="20"/>
          <w:lang w:val="es-ES_tradnl" w:eastAsia="es-CO"/>
        </w:rPr>
        <w:t xml:space="preserve"> Excepciones</w:t>
      </w:r>
      <w:r w:rsidRPr="00041124">
        <w:rPr>
          <w:rFonts w:ascii="Arial" w:hAnsi="Arial" w:cs="Arial"/>
          <w:b/>
          <w:sz w:val="20"/>
          <w:szCs w:val="20"/>
          <w:lang w:val="es-ES_tradnl" w:eastAsia="es-CO"/>
        </w:rPr>
        <w:t xml:space="preserve"> </w:t>
      </w:r>
    </w:p>
    <w:p w14:paraId="42431C61" w14:textId="77777777" w:rsidR="007323DA" w:rsidRPr="00041124" w:rsidRDefault="007323DA" w:rsidP="007323DA">
      <w:pPr>
        <w:shd w:val="clear" w:color="auto" w:fill="FFFFFF"/>
        <w:jc w:val="both"/>
        <w:rPr>
          <w:rFonts w:ascii="Arial" w:hAnsi="Arial" w:cs="Arial"/>
          <w:b/>
          <w:sz w:val="20"/>
          <w:szCs w:val="20"/>
          <w:lang w:val="es-ES_tradnl" w:eastAsia="es-CO"/>
        </w:rPr>
      </w:pPr>
    </w:p>
    <w:p w14:paraId="23A48138" w14:textId="77777777" w:rsidR="007323DA" w:rsidRPr="00041124" w:rsidRDefault="007323DA" w:rsidP="007323DA">
      <w:pPr>
        <w:tabs>
          <w:tab w:val="left" w:pos="426"/>
        </w:tabs>
        <w:jc w:val="both"/>
        <w:rPr>
          <w:rFonts w:ascii="Arial" w:eastAsia="Calibri" w:hAnsi="Arial" w:cs="Arial"/>
          <w:sz w:val="20"/>
          <w:szCs w:val="20"/>
          <w:lang w:val="es-ES_tradnl"/>
        </w:rPr>
      </w:pPr>
      <w:r w:rsidRPr="00041124">
        <w:rPr>
          <w:rFonts w:ascii="Arial" w:hAnsi="Arial" w:cs="Arial"/>
          <w:sz w:val="20"/>
          <w:szCs w:val="20"/>
          <w:lang w:val="es-ES_tradnl" w:eastAsia="x-none"/>
        </w:rPr>
        <w:t xml:space="preserve">[…] </w:t>
      </w:r>
      <w:r w:rsidRPr="00041124">
        <w:rPr>
          <w:rFonts w:ascii="Arial" w:hAnsi="Arial" w:cs="Arial"/>
          <w:bCs/>
          <w:sz w:val="20"/>
          <w:szCs w:val="20"/>
          <w:lang w:val="es-ES_tradnl"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041124">
        <w:rPr>
          <w:rFonts w:ascii="Arial" w:hAnsi="Arial" w:cs="Arial"/>
          <w:bCs/>
          <w:sz w:val="20"/>
          <w:szCs w:val="20"/>
          <w:lang w:val="es-ES_tradnl" w:eastAsia="x-none"/>
        </w:rPr>
        <w:t>ii</w:t>
      </w:r>
      <w:proofErr w:type="spellEnd"/>
      <w:r w:rsidRPr="00041124">
        <w:rPr>
          <w:rFonts w:ascii="Arial" w:hAnsi="Arial" w:cs="Arial"/>
          <w:bCs/>
          <w:sz w:val="20"/>
          <w:szCs w:val="20"/>
          <w:lang w:val="es-ES_tradnl" w:eastAsia="x-none"/>
        </w:rPr>
        <w:t xml:space="preserve">) los contratos de crédito público; </w:t>
      </w:r>
      <w:proofErr w:type="spellStart"/>
      <w:r w:rsidRPr="00041124">
        <w:rPr>
          <w:rFonts w:ascii="Arial" w:hAnsi="Arial" w:cs="Arial"/>
          <w:bCs/>
          <w:sz w:val="20"/>
          <w:szCs w:val="20"/>
          <w:lang w:val="es-ES_tradnl" w:eastAsia="x-none"/>
        </w:rPr>
        <w:t>iii</w:t>
      </w:r>
      <w:proofErr w:type="spellEnd"/>
      <w:r w:rsidRPr="00041124">
        <w:rPr>
          <w:rFonts w:ascii="Arial" w:hAnsi="Arial" w:cs="Arial"/>
          <w:bCs/>
          <w:sz w:val="20"/>
          <w:szCs w:val="20"/>
          <w:lang w:val="es-ES_tradnl" w:eastAsia="x-none"/>
        </w:rPr>
        <w:t xml:space="preserve">) los requeridos para cubrir las emergencias educativas, sanitarias y desastres; </w:t>
      </w:r>
      <w:proofErr w:type="spellStart"/>
      <w:r w:rsidRPr="00041124">
        <w:rPr>
          <w:rFonts w:ascii="Arial" w:hAnsi="Arial" w:cs="Arial"/>
          <w:bCs/>
          <w:sz w:val="20"/>
          <w:szCs w:val="20"/>
          <w:lang w:val="es-ES_tradnl" w:eastAsia="x-none"/>
        </w:rPr>
        <w:t>iv</w:t>
      </w:r>
      <w:proofErr w:type="spellEnd"/>
      <w:r w:rsidRPr="00041124">
        <w:rPr>
          <w:rFonts w:ascii="Arial" w:hAnsi="Arial" w:cs="Arial"/>
          <w:bCs/>
          <w:sz w:val="20"/>
          <w:szCs w:val="20"/>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78FDFBDC" w14:textId="77777777" w:rsidR="007323DA" w:rsidRPr="00041124" w:rsidRDefault="007323DA" w:rsidP="007323DA">
      <w:pPr>
        <w:tabs>
          <w:tab w:val="left" w:pos="426"/>
        </w:tabs>
        <w:jc w:val="both"/>
        <w:rPr>
          <w:rFonts w:ascii="Arial" w:eastAsia="Calibri" w:hAnsi="Arial" w:cs="Arial"/>
          <w:noProof/>
          <w:sz w:val="20"/>
          <w:szCs w:val="20"/>
          <w:lang w:val="es-ES_tradnl"/>
        </w:rPr>
      </w:pPr>
    </w:p>
    <w:p w14:paraId="42B421CE" w14:textId="77777777" w:rsidR="007323DA" w:rsidRPr="00041124" w:rsidRDefault="007323DA" w:rsidP="007323DA">
      <w:pPr>
        <w:jc w:val="both"/>
        <w:rPr>
          <w:rFonts w:ascii="Arial" w:hAnsi="Arial" w:cs="Arial"/>
          <w:b/>
          <w:sz w:val="20"/>
          <w:szCs w:val="20"/>
          <w:lang w:val="es-ES_tradnl" w:eastAsia="es-CO"/>
        </w:rPr>
      </w:pPr>
      <w:r w:rsidRPr="00041124">
        <w:rPr>
          <w:rFonts w:ascii="Arial" w:hAnsi="Arial" w:cs="Arial"/>
          <w:b/>
          <w:bCs/>
          <w:sz w:val="20"/>
          <w:szCs w:val="20"/>
          <w:lang w:val="es-ES_tradnl" w:eastAsia="es-CO"/>
        </w:rPr>
        <w:t xml:space="preserve">LEY DE GARANTÍAS ELECTORALES </w:t>
      </w:r>
      <w:bookmarkStart w:id="6" w:name="_Hlk77166669"/>
      <w:r w:rsidRPr="00041124">
        <w:rPr>
          <w:rFonts w:ascii="Arial" w:hAnsi="Arial" w:cs="Arial"/>
          <w:b/>
          <w:bCs/>
          <w:sz w:val="20"/>
          <w:szCs w:val="20"/>
          <w:lang w:val="es-ES_tradnl" w:eastAsia="es-CO"/>
        </w:rPr>
        <w:t>‒</w:t>
      </w:r>
      <w:bookmarkEnd w:id="6"/>
      <w:r w:rsidRPr="00041124">
        <w:rPr>
          <w:rFonts w:ascii="Arial" w:hAnsi="Arial" w:cs="Arial"/>
          <w:b/>
          <w:bCs/>
          <w:sz w:val="20"/>
          <w:szCs w:val="20"/>
          <w:lang w:val="es-ES_tradnl" w:eastAsia="es-CO"/>
        </w:rPr>
        <w:t xml:space="preserve"> </w:t>
      </w:r>
      <w:r w:rsidRPr="00041124">
        <w:rPr>
          <w:rFonts w:ascii="Arial" w:hAnsi="Arial" w:cs="Arial"/>
          <w:b/>
          <w:sz w:val="20"/>
          <w:szCs w:val="20"/>
          <w:lang w:val="es-ES_tradnl" w:eastAsia="es-CO"/>
        </w:rPr>
        <w:t xml:space="preserve">Prohibición del artículo 33 </w:t>
      </w:r>
      <w:r w:rsidRPr="00041124">
        <w:rPr>
          <w:rFonts w:ascii="Arial" w:hAnsi="Arial" w:cs="Arial"/>
          <w:b/>
          <w:bCs/>
          <w:sz w:val="20"/>
          <w:szCs w:val="20"/>
          <w:lang w:val="es-ES_tradnl" w:eastAsia="es-CO"/>
        </w:rPr>
        <w:t>‒ Destinatarios</w:t>
      </w:r>
    </w:p>
    <w:p w14:paraId="1381B17B" w14:textId="77777777" w:rsidR="007323DA" w:rsidRPr="00041124" w:rsidRDefault="007323DA" w:rsidP="007323DA">
      <w:pPr>
        <w:tabs>
          <w:tab w:val="left" w:pos="426"/>
        </w:tabs>
        <w:jc w:val="both"/>
        <w:rPr>
          <w:rFonts w:ascii="Arial" w:eastAsia="Calibri" w:hAnsi="Arial" w:cs="Arial"/>
          <w:noProof/>
          <w:sz w:val="20"/>
          <w:szCs w:val="20"/>
          <w:lang w:val="es-ES_tradnl"/>
        </w:rPr>
      </w:pPr>
    </w:p>
    <w:p w14:paraId="718286C2" w14:textId="77777777" w:rsidR="007323DA" w:rsidRPr="00041124" w:rsidRDefault="007323DA" w:rsidP="007323DA">
      <w:pPr>
        <w:tabs>
          <w:tab w:val="left" w:pos="426"/>
        </w:tabs>
        <w:jc w:val="both"/>
        <w:rPr>
          <w:rFonts w:ascii="Arial" w:hAnsi="Arial" w:cs="Arial"/>
          <w:bCs/>
          <w:sz w:val="20"/>
          <w:szCs w:val="20"/>
          <w:lang w:val="es-ES_tradnl" w:eastAsia="x-none"/>
        </w:rPr>
      </w:pPr>
      <w:r w:rsidRPr="00041124">
        <w:rPr>
          <w:rFonts w:ascii="Arial" w:hAnsi="Arial" w:cs="Arial"/>
          <w:bCs/>
          <w:sz w:val="20"/>
          <w:szCs w:val="20"/>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041124">
        <w:rPr>
          <w:rFonts w:ascii="Arial" w:eastAsia="Calibri" w:hAnsi="Arial" w:cs="Arial"/>
          <w:sz w:val="20"/>
          <w:szCs w:val="20"/>
          <w:lang w:val="es-ES_tradnl"/>
        </w:rPr>
        <w:t xml:space="preserve"> </w:t>
      </w:r>
      <w:r w:rsidRPr="00041124">
        <w:rPr>
          <w:rFonts w:ascii="Arial" w:hAnsi="Arial" w:cs="Arial"/>
          <w:bCs/>
          <w:sz w:val="20"/>
          <w:szCs w:val="20"/>
          <w:lang w:val="es-ES_tradnl" w:eastAsia="x-none"/>
        </w:rPr>
        <w:t>En efecto, tal como lo ha sostenido el Consejo de Estado, el vocablo «todos» utilizado por el legislador comprende</w:t>
      </w:r>
      <w:r w:rsidRPr="00041124">
        <w:rPr>
          <w:rFonts w:ascii="Arial" w:eastAsia="Calibri" w:hAnsi="Arial" w:cs="Arial"/>
          <w:sz w:val="20"/>
          <w:szCs w:val="20"/>
          <w:lang w:val="es-ES_tradnl"/>
        </w:rPr>
        <w:t xml:space="preserve"> </w:t>
      </w:r>
      <w:r w:rsidRPr="00041124">
        <w:rPr>
          <w:rFonts w:ascii="Arial" w:hAnsi="Arial" w:cs="Arial"/>
          <w:bCs/>
          <w:sz w:val="20"/>
          <w:szCs w:val="20"/>
          <w:lang w:val="es-ES_tradnl"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3778C0D4" w14:textId="77777777" w:rsidR="007323DA" w:rsidRPr="00041124" w:rsidRDefault="007323DA" w:rsidP="007323DA">
      <w:pPr>
        <w:widowControl w:val="0"/>
        <w:autoSpaceDE w:val="0"/>
        <w:autoSpaceDN w:val="0"/>
        <w:jc w:val="both"/>
        <w:rPr>
          <w:rFonts w:ascii="Arial" w:eastAsia="Arial" w:hAnsi="Arial" w:cs="Arial"/>
          <w:color w:val="000000" w:themeColor="text1"/>
          <w:sz w:val="20"/>
          <w:szCs w:val="20"/>
          <w:lang w:val="es-ES_tradnl" w:eastAsia="es-ES" w:bidi="es-ES"/>
        </w:rPr>
      </w:pPr>
    </w:p>
    <w:p w14:paraId="2E8A64B3" w14:textId="77777777" w:rsidR="007323DA" w:rsidRPr="00041124" w:rsidRDefault="007323DA" w:rsidP="007323DA">
      <w:pPr>
        <w:tabs>
          <w:tab w:val="left" w:pos="3374"/>
        </w:tabs>
        <w:jc w:val="both"/>
        <w:rPr>
          <w:rFonts w:ascii="Arial" w:eastAsia="Calibri" w:hAnsi="Arial" w:cs="Arial"/>
          <w:b/>
          <w:bCs/>
          <w:sz w:val="20"/>
          <w:szCs w:val="20"/>
        </w:rPr>
      </w:pPr>
      <w:r w:rsidRPr="00041124">
        <w:rPr>
          <w:rFonts w:ascii="Arial" w:eastAsia="Calibri" w:hAnsi="Arial" w:cs="Arial"/>
          <w:b/>
          <w:color w:val="000000" w:themeColor="text1"/>
          <w:sz w:val="20"/>
          <w:szCs w:val="20"/>
        </w:rPr>
        <w:t xml:space="preserve">ORGANISMOS INTERNACIONALES – </w:t>
      </w:r>
      <w:r w:rsidRPr="00041124">
        <w:rPr>
          <w:rFonts w:ascii="Arial" w:eastAsia="Calibri" w:hAnsi="Arial" w:cs="Arial"/>
          <w:b/>
          <w:bCs/>
          <w:sz w:val="20"/>
          <w:szCs w:val="20"/>
        </w:rPr>
        <w:t xml:space="preserve">Régimen de contratación </w:t>
      </w:r>
    </w:p>
    <w:p w14:paraId="0E45FF25" w14:textId="77777777" w:rsidR="007323DA" w:rsidRPr="00041124" w:rsidRDefault="007323DA" w:rsidP="007323DA">
      <w:pPr>
        <w:jc w:val="both"/>
        <w:rPr>
          <w:rFonts w:ascii="Arial" w:eastAsia="Calibri" w:hAnsi="Arial" w:cs="Arial"/>
          <w:color w:val="000000" w:themeColor="text1"/>
          <w:sz w:val="20"/>
          <w:szCs w:val="20"/>
        </w:rPr>
      </w:pPr>
    </w:p>
    <w:p w14:paraId="2E59F94C" w14:textId="77777777" w:rsidR="007323DA" w:rsidRPr="00041124" w:rsidRDefault="007323DA" w:rsidP="007323DA">
      <w:pPr>
        <w:jc w:val="both"/>
        <w:rPr>
          <w:rFonts w:ascii="Arial" w:hAnsi="Arial" w:cs="Arial"/>
          <w:bCs/>
          <w:sz w:val="20"/>
          <w:szCs w:val="20"/>
          <w:lang w:eastAsia="x-none"/>
        </w:rPr>
      </w:pPr>
      <w:r w:rsidRPr="00041124">
        <w:rPr>
          <w:rFonts w:ascii="Arial" w:hAnsi="Arial" w:cs="Arial"/>
          <w:bCs/>
          <w:sz w:val="20"/>
          <w:szCs w:val="20"/>
          <w:lang w:val="es-ES" w:eastAsia="x-none"/>
        </w:rPr>
        <w:t xml:space="preserve">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w:t>
      </w:r>
      <w:r w:rsidRPr="00041124">
        <w:rPr>
          <w:rFonts w:ascii="Arial" w:hAnsi="Arial" w:cs="Arial"/>
          <w:bCs/>
          <w:sz w:val="20"/>
          <w:szCs w:val="20"/>
          <w:lang w:val="es-ES" w:eastAsia="x-none"/>
        </w:rPr>
        <w:lastRenderedPageBreak/>
        <w:t>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r w:rsidRPr="00041124">
        <w:rPr>
          <w:rFonts w:ascii="Arial" w:hAnsi="Arial" w:cs="Arial"/>
          <w:bCs/>
          <w:sz w:val="20"/>
          <w:szCs w:val="20"/>
          <w:lang w:val="es-ES_tradnl" w:eastAsia="x-none"/>
        </w:rPr>
        <w:t xml:space="preserve">. </w:t>
      </w:r>
    </w:p>
    <w:p w14:paraId="4CBD9DB1" w14:textId="77777777" w:rsidR="007323DA" w:rsidRPr="00041124" w:rsidRDefault="007323DA" w:rsidP="007323DA">
      <w:pPr>
        <w:tabs>
          <w:tab w:val="left" w:pos="3374"/>
        </w:tabs>
        <w:jc w:val="both"/>
        <w:rPr>
          <w:rFonts w:ascii="Arial" w:eastAsia="Calibri" w:hAnsi="Arial" w:cs="Arial"/>
          <w:sz w:val="20"/>
          <w:szCs w:val="20"/>
        </w:rPr>
      </w:pPr>
    </w:p>
    <w:p w14:paraId="21577B46" w14:textId="77777777" w:rsidR="007323DA" w:rsidRPr="00041124" w:rsidRDefault="007323DA" w:rsidP="007323DA">
      <w:pPr>
        <w:tabs>
          <w:tab w:val="left" w:pos="3374"/>
        </w:tabs>
        <w:jc w:val="both"/>
        <w:rPr>
          <w:rFonts w:ascii="Arial" w:eastAsia="Calibri" w:hAnsi="Arial" w:cs="Arial"/>
          <w:b/>
          <w:bCs/>
          <w:sz w:val="20"/>
          <w:szCs w:val="20"/>
        </w:rPr>
      </w:pPr>
      <w:r w:rsidRPr="00041124">
        <w:rPr>
          <w:rFonts w:ascii="Arial" w:eastAsia="Calibri" w:hAnsi="Arial" w:cs="Arial"/>
          <w:b/>
          <w:bCs/>
          <w:sz w:val="20"/>
          <w:szCs w:val="20"/>
        </w:rPr>
        <w:t>ORGANISMOS INTERNACIONALES – Ley de Garantías Electorales – Restricción – Contratación Directa – Artículo 33 – Alcance – Concepto CU – 180 de 2022</w:t>
      </w:r>
    </w:p>
    <w:p w14:paraId="3420FC74" w14:textId="77777777" w:rsidR="007323DA" w:rsidRPr="00041124" w:rsidRDefault="007323DA" w:rsidP="007323DA">
      <w:pPr>
        <w:tabs>
          <w:tab w:val="left" w:pos="3374"/>
        </w:tabs>
        <w:jc w:val="both"/>
        <w:rPr>
          <w:rFonts w:ascii="Arial" w:eastAsia="Calibri" w:hAnsi="Arial" w:cs="Arial"/>
          <w:b/>
          <w:bCs/>
          <w:sz w:val="20"/>
          <w:szCs w:val="20"/>
        </w:rPr>
      </w:pPr>
    </w:p>
    <w:p w14:paraId="7081C7AD" w14:textId="77777777" w:rsidR="007323DA" w:rsidRPr="00041124" w:rsidRDefault="007323DA" w:rsidP="007323DA">
      <w:pPr>
        <w:jc w:val="both"/>
        <w:rPr>
          <w:rFonts w:ascii="Arial" w:hAnsi="Arial" w:cs="Arial"/>
          <w:bCs/>
          <w:sz w:val="20"/>
          <w:szCs w:val="20"/>
          <w:lang w:val="es-ES" w:eastAsia="x-none"/>
        </w:rPr>
      </w:pPr>
      <w:r w:rsidRPr="00041124">
        <w:rPr>
          <w:rFonts w:ascii="Arial" w:hAnsi="Arial" w:cs="Arial"/>
          <w:bCs/>
          <w:sz w:val="20"/>
          <w:szCs w:val="20"/>
          <w:lang w:val="es-ES" w:eastAsia="x-none"/>
        </w:rPr>
        <w:t>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relacionadas con la oportunidad, tiempos, fases, etapas etc. de los procedimientos de selección, entonces, serán dichas previsiones las que regirán el convenio y la contratación respectiva (bien sean contratos, donaciones, asistencias técnicas y sus derivados) y, por ende, la norma del artículo 33 no será derecho aplicable a la misma. 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w:t>
      </w:r>
      <w:r w:rsidRPr="00041124">
        <w:rPr>
          <w:rFonts w:ascii="Arial" w:hAnsi="Arial" w:cs="Arial"/>
          <w:bCs/>
          <w:sz w:val="20"/>
          <w:szCs w:val="20"/>
          <w:lang w:eastAsia="x-none"/>
        </w:rPr>
        <w:t>.</w:t>
      </w:r>
    </w:p>
    <w:p w14:paraId="3DD63A60" w14:textId="77777777" w:rsidR="007323DA" w:rsidRPr="00041124" w:rsidRDefault="007323DA" w:rsidP="007323DA">
      <w:pPr>
        <w:jc w:val="both"/>
        <w:rPr>
          <w:rFonts w:ascii="Arial" w:hAnsi="Arial" w:cs="Arial"/>
          <w:bCs/>
          <w:sz w:val="20"/>
          <w:szCs w:val="20"/>
          <w:lang w:eastAsia="x-none"/>
        </w:rPr>
      </w:pPr>
    </w:p>
    <w:p w14:paraId="5E8A3889" w14:textId="77777777" w:rsidR="007323DA" w:rsidRPr="00041124" w:rsidRDefault="007323DA" w:rsidP="007323DA">
      <w:pPr>
        <w:jc w:val="both"/>
        <w:rPr>
          <w:rFonts w:ascii="Arial" w:hAnsi="Arial" w:cs="Arial"/>
          <w:bCs/>
          <w:sz w:val="20"/>
          <w:szCs w:val="20"/>
          <w:lang w:eastAsia="x-none"/>
        </w:rPr>
      </w:pPr>
    </w:p>
    <w:p w14:paraId="77A7BA6E" w14:textId="77777777" w:rsidR="007323DA" w:rsidRPr="00041124" w:rsidRDefault="007323DA" w:rsidP="007323DA">
      <w:pPr>
        <w:jc w:val="both"/>
        <w:rPr>
          <w:rFonts w:ascii="Arial" w:hAnsi="Arial" w:cs="Arial"/>
          <w:bCs/>
          <w:sz w:val="20"/>
          <w:szCs w:val="20"/>
          <w:lang w:eastAsia="x-none"/>
        </w:rPr>
      </w:pPr>
    </w:p>
    <w:p w14:paraId="78A805EB" w14:textId="77777777" w:rsidR="007323DA" w:rsidRPr="00481068" w:rsidRDefault="007323DA" w:rsidP="007323DA">
      <w:pPr>
        <w:tabs>
          <w:tab w:val="left" w:pos="3374"/>
        </w:tabs>
        <w:jc w:val="both"/>
        <w:rPr>
          <w:rFonts w:ascii="Arial" w:eastAsia="Calibri" w:hAnsi="Arial" w:cs="Arial"/>
          <w:sz w:val="22"/>
        </w:rPr>
      </w:pPr>
    </w:p>
    <w:p w14:paraId="60F8013B" w14:textId="77777777" w:rsidR="007323DA" w:rsidRPr="00481068" w:rsidRDefault="007323DA" w:rsidP="007323DA">
      <w:pPr>
        <w:tabs>
          <w:tab w:val="left" w:pos="3374"/>
        </w:tabs>
        <w:jc w:val="both"/>
        <w:rPr>
          <w:rFonts w:ascii="Arial" w:eastAsia="Calibri" w:hAnsi="Arial" w:cs="Arial"/>
          <w:sz w:val="22"/>
        </w:rPr>
      </w:pPr>
    </w:p>
    <w:p w14:paraId="25540DD3" w14:textId="77777777" w:rsidR="007323DA" w:rsidRPr="00481068" w:rsidRDefault="007323DA" w:rsidP="007323DA">
      <w:pPr>
        <w:tabs>
          <w:tab w:val="left" w:pos="3374"/>
        </w:tabs>
        <w:jc w:val="both"/>
        <w:rPr>
          <w:rFonts w:ascii="Arial" w:eastAsia="Calibri" w:hAnsi="Arial" w:cs="Arial"/>
          <w:sz w:val="22"/>
        </w:rPr>
      </w:pPr>
    </w:p>
    <w:p w14:paraId="24A325E1" w14:textId="77777777" w:rsidR="007323DA" w:rsidRPr="00481068" w:rsidRDefault="007323DA" w:rsidP="007323DA">
      <w:pPr>
        <w:tabs>
          <w:tab w:val="left" w:pos="3374"/>
        </w:tabs>
        <w:jc w:val="both"/>
        <w:rPr>
          <w:rFonts w:ascii="Arial" w:eastAsia="Calibri" w:hAnsi="Arial" w:cs="Arial"/>
          <w:sz w:val="22"/>
        </w:rPr>
      </w:pPr>
    </w:p>
    <w:p w14:paraId="21F0F47E" w14:textId="7207068A" w:rsidR="007323DA" w:rsidRDefault="007323DA" w:rsidP="007323DA">
      <w:pPr>
        <w:tabs>
          <w:tab w:val="left" w:pos="3374"/>
        </w:tabs>
        <w:jc w:val="both"/>
        <w:rPr>
          <w:rFonts w:ascii="Arial" w:eastAsia="Calibri" w:hAnsi="Arial" w:cs="Arial"/>
          <w:sz w:val="22"/>
        </w:rPr>
      </w:pPr>
    </w:p>
    <w:p w14:paraId="1292D452" w14:textId="25E80EC1" w:rsidR="00041124" w:rsidRDefault="00041124" w:rsidP="007323DA">
      <w:pPr>
        <w:tabs>
          <w:tab w:val="left" w:pos="3374"/>
        </w:tabs>
        <w:jc w:val="both"/>
        <w:rPr>
          <w:rFonts w:ascii="Arial" w:eastAsia="Calibri" w:hAnsi="Arial" w:cs="Arial"/>
          <w:sz w:val="22"/>
        </w:rPr>
      </w:pPr>
    </w:p>
    <w:p w14:paraId="528AC818" w14:textId="77777777" w:rsidR="00041124" w:rsidRPr="00481068" w:rsidRDefault="00041124" w:rsidP="007323DA">
      <w:pPr>
        <w:tabs>
          <w:tab w:val="left" w:pos="3374"/>
        </w:tabs>
        <w:jc w:val="both"/>
        <w:rPr>
          <w:rFonts w:ascii="Arial" w:eastAsia="Calibri" w:hAnsi="Arial" w:cs="Arial"/>
          <w:sz w:val="22"/>
        </w:rPr>
      </w:pPr>
    </w:p>
    <w:p w14:paraId="33E051C0" w14:textId="77777777" w:rsidR="007323DA" w:rsidRPr="00481068" w:rsidRDefault="007323DA" w:rsidP="007323DA">
      <w:pPr>
        <w:tabs>
          <w:tab w:val="left" w:pos="3374"/>
        </w:tabs>
        <w:jc w:val="both"/>
        <w:rPr>
          <w:rFonts w:ascii="Arial" w:eastAsia="Calibri" w:hAnsi="Arial" w:cs="Arial"/>
          <w:sz w:val="22"/>
        </w:rPr>
      </w:pPr>
    </w:p>
    <w:p w14:paraId="3FAD13A2" w14:textId="77777777" w:rsidR="007323DA" w:rsidRPr="00481068" w:rsidRDefault="007323DA" w:rsidP="007323DA">
      <w:pPr>
        <w:tabs>
          <w:tab w:val="left" w:pos="3374"/>
        </w:tabs>
        <w:jc w:val="both"/>
        <w:rPr>
          <w:rFonts w:ascii="Arial" w:eastAsia="Calibri" w:hAnsi="Arial" w:cs="Arial"/>
          <w:sz w:val="22"/>
        </w:rPr>
      </w:pPr>
    </w:p>
    <w:p w14:paraId="6DD7025E" w14:textId="77777777" w:rsidR="007323DA" w:rsidRPr="00481068" w:rsidRDefault="007323DA" w:rsidP="007323DA">
      <w:pPr>
        <w:tabs>
          <w:tab w:val="left" w:pos="3374"/>
        </w:tabs>
        <w:jc w:val="both"/>
        <w:rPr>
          <w:rFonts w:ascii="Arial" w:eastAsia="Calibri" w:hAnsi="Arial" w:cs="Arial"/>
          <w:sz w:val="22"/>
        </w:rPr>
      </w:pPr>
    </w:p>
    <w:p w14:paraId="6C82CC27" w14:textId="77777777" w:rsidR="007323DA" w:rsidRPr="00481068" w:rsidRDefault="007323DA" w:rsidP="007323DA">
      <w:pPr>
        <w:tabs>
          <w:tab w:val="left" w:pos="3374"/>
        </w:tabs>
        <w:jc w:val="both"/>
        <w:rPr>
          <w:rFonts w:ascii="Arial" w:eastAsia="Calibri" w:hAnsi="Arial" w:cs="Arial"/>
          <w:sz w:val="22"/>
        </w:rPr>
      </w:pPr>
    </w:p>
    <w:p w14:paraId="70DEE5AF" w14:textId="77777777" w:rsidR="007323DA" w:rsidRPr="00481068" w:rsidRDefault="007323DA" w:rsidP="007323DA">
      <w:pPr>
        <w:tabs>
          <w:tab w:val="left" w:pos="3374"/>
        </w:tabs>
        <w:jc w:val="both"/>
        <w:rPr>
          <w:rFonts w:ascii="Arial" w:eastAsia="Calibri" w:hAnsi="Arial" w:cs="Arial"/>
          <w:sz w:val="22"/>
        </w:rPr>
      </w:pPr>
    </w:p>
    <w:p w14:paraId="321E4B9C" w14:textId="77777777" w:rsidR="007323DA" w:rsidRPr="00481068" w:rsidRDefault="007323DA" w:rsidP="007323DA">
      <w:pPr>
        <w:tabs>
          <w:tab w:val="left" w:pos="3374"/>
        </w:tabs>
        <w:jc w:val="both"/>
        <w:rPr>
          <w:rFonts w:ascii="Arial" w:eastAsia="Calibri" w:hAnsi="Arial" w:cs="Arial"/>
          <w:sz w:val="22"/>
        </w:rPr>
      </w:pPr>
    </w:p>
    <w:p w14:paraId="4F475BD7" w14:textId="77777777" w:rsidR="007323DA" w:rsidRPr="00481068" w:rsidRDefault="007323DA" w:rsidP="007323DA">
      <w:pPr>
        <w:tabs>
          <w:tab w:val="left" w:pos="3374"/>
        </w:tabs>
        <w:jc w:val="both"/>
        <w:rPr>
          <w:rFonts w:ascii="Arial" w:eastAsia="Calibri" w:hAnsi="Arial" w:cs="Arial"/>
          <w:sz w:val="22"/>
        </w:rPr>
      </w:pPr>
    </w:p>
    <w:p w14:paraId="7F9B1B79" w14:textId="77777777" w:rsidR="007323DA" w:rsidRPr="00481068" w:rsidRDefault="007323DA" w:rsidP="007323DA">
      <w:pPr>
        <w:tabs>
          <w:tab w:val="left" w:pos="3374"/>
        </w:tabs>
        <w:jc w:val="both"/>
        <w:rPr>
          <w:rFonts w:ascii="Arial" w:eastAsia="Calibri" w:hAnsi="Arial" w:cs="Arial"/>
          <w:sz w:val="22"/>
        </w:rPr>
      </w:pPr>
    </w:p>
    <w:p w14:paraId="7C79DF06" w14:textId="77777777" w:rsidR="007323DA" w:rsidRPr="00481068" w:rsidRDefault="007323DA" w:rsidP="007323DA">
      <w:pPr>
        <w:tabs>
          <w:tab w:val="left" w:pos="3374"/>
        </w:tabs>
        <w:jc w:val="both"/>
        <w:rPr>
          <w:rFonts w:ascii="Arial" w:eastAsia="Calibri" w:hAnsi="Arial" w:cs="Arial"/>
          <w:sz w:val="22"/>
        </w:rPr>
      </w:pPr>
    </w:p>
    <w:p w14:paraId="6A6DE2F0" w14:textId="77777777" w:rsidR="007323DA" w:rsidRPr="00481068" w:rsidRDefault="007323DA" w:rsidP="007323DA">
      <w:pPr>
        <w:tabs>
          <w:tab w:val="left" w:pos="3374"/>
        </w:tabs>
        <w:jc w:val="both"/>
        <w:rPr>
          <w:rFonts w:ascii="Arial" w:eastAsia="Calibri" w:hAnsi="Arial" w:cs="Arial"/>
          <w:sz w:val="22"/>
        </w:rPr>
      </w:pPr>
    </w:p>
    <w:p w14:paraId="72023C3C" w14:textId="77777777" w:rsidR="007323DA" w:rsidRPr="00481068" w:rsidRDefault="007323DA" w:rsidP="007323DA">
      <w:pPr>
        <w:jc w:val="both"/>
        <w:rPr>
          <w:rFonts w:ascii="Arial" w:eastAsia="Calibri" w:hAnsi="Arial" w:cs="Arial"/>
          <w:noProof/>
          <w:color w:val="000000" w:themeColor="text1"/>
          <w:sz w:val="22"/>
        </w:rPr>
      </w:pPr>
    </w:p>
    <w:p w14:paraId="5C651189" w14:textId="52767DD9" w:rsidR="00A7002F" w:rsidRPr="00A7002F" w:rsidRDefault="00A7002F" w:rsidP="00A7002F">
      <w:pPr>
        <w:jc w:val="right"/>
        <w:rPr>
          <w:rFonts w:ascii="Times New Roman" w:eastAsia="Times New Roman" w:hAnsi="Times New Roman" w:cs="Times New Roman"/>
          <w:szCs w:val="24"/>
          <w:lang w:val="es-CO" w:eastAsia="es-MX"/>
        </w:rPr>
      </w:pPr>
      <w:bookmarkStart w:id="7" w:name="_Hlk103091065"/>
    </w:p>
    <w:p w14:paraId="5ACDB1B9" w14:textId="77777777" w:rsidR="007323DA" w:rsidRPr="00895B07" w:rsidRDefault="007323DA" w:rsidP="007323DA">
      <w:pPr>
        <w:jc w:val="right"/>
        <w:rPr>
          <w:rFonts w:ascii="Arial" w:hAnsi="Arial" w:cs="Arial"/>
          <w:sz w:val="16"/>
          <w:szCs w:val="16"/>
        </w:rPr>
      </w:pPr>
      <w:r w:rsidRPr="00895B07">
        <w:rPr>
          <w:rFonts w:ascii="Arial" w:hAnsi="Arial" w:cs="Arial"/>
          <w:sz w:val="16"/>
          <w:szCs w:val="16"/>
        </w:rPr>
        <w:t>CCE-DES-FM-17</w:t>
      </w:r>
      <w:bookmarkEnd w:id="7"/>
      <w:r w:rsidRPr="00895B07">
        <w:rPr>
          <w:rFonts w:ascii="Arial" w:hAnsi="Arial" w:cs="Arial"/>
          <w:sz w:val="16"/>
          <w:szCs w:val="16"/>
        </w:rPr>
        <w:t xml:space="preserve"> </w:t>
      </w:r>
    </w:p>
    <w:p w14:paraId="2027DDA7" w14:textId="77777777" w:rsidR="007323DA" w:rsidRDefault="007323DA" w:rsidP="007323DA"/>
    <w:p w14:paraId="346F022C" w14:textId="3D4BF444" w:rsidR="007323DA" w:rsidRPr="00895B07" w:rsidRDefault="00A7002F" w:rsidP="00A7002F">
      <w:pPr>
        <w:jc w:val="right"/>
        <w:rPr>
          <w:rFonts w:ascii="Arial" w:eastAsia="Calibri" w:hAnsi="Arial" w:cs="Arial"/>
          <w:noProof/>
          <w:sz w:val="22"/>
        </w:rPr>
      </w:pPr>
      <w:r w:rsidRPr="00A7002F">
        <w:rPr>
          <w:rFonts w:ascii="Times New Roman" w:eastAsia="Times New Roman" w:hAnsi="Times New Roman" w:cs="Times New Roman"/>
          <w:szCs w:val="24"/>
          <w:lang w:val="es-CO" w:eastAsia="es-MX"/>
        </w:rPr>
        <w:fldChar w:fldCharType="begin"/>
      </w:r>
      <w:r w:rsidRPr="00A7002F">
        <w:rPr>
          <w:rFonts w:ascii="Times New Roman" w:eastAsia="Times New Roman" w:hAnsi="Times New Roman" w:cs="Times New Roman"/>
          <w:szCs w:val="24"/>
          <w:lang w:val="es-CO" w:eastAsia="es-MX"/>
        </w:rPr>
        <w:instrText xml:space="preserve"> INCLUDEPICTURE "/var/folders/tb/0fmk9b510f57pz5rwhv8lnpw0000gp/T/com.microsoft.Word/WebArchiveCopyPasteTempFiles/page1image40012432" \* MERGEFORMATINET </w:instrText>
      </w:r>
      <w:r w:rsidRPr="00A7002F">
        <w:rPr>
          <w:rFonts w:ascii="Times New Roman" w:eastAsia="Times New Roman" w:hAnsi="Times New Roman" w:cs="Times New Roman"/>
          <w:szCs w:val="24"/>
          <w:lang w:val="es-CO" w:eastAsia="es-MX"/>
        </w:rPr>
        <w:fldChar w:fldCharType="separate"/>
      </w:r>
      <w:r w:rsidRPr="00A7002F">
        <w:rPr>
          <w:rFonts w:ascii="Times New Roman" w:eastAsia="Times New Roman" w:hAnsi="Times New Roman" w:cs="Times New Roman"/>
          <w:noProof/>
          <w:szCs w:val="24"/>
          <w:lang w:val="es-CO" w:eastAsia="es-MX"/>
        </w:rPr>
        <w:drawing>
          <wp:inline distT="0" distB="0" distL="0" distR="0" wp14:anchorId="3692D8DE" wp14:editId="3A96912B">
            <wp:extent cx="2402205" cy="614045"/>
            <wp:effectExtent l="0" t="0" r="0" b="0"/>
            <wp:docPr id="1" name="Imagen 1" descr="page1image40012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400124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205" cy="614045"/>
                    </a:xfrm>
                    <a:prstGeom prst="rect">
                      <a:avLst/>
                    </a:prstGeom>
                    <a:noFill/>
                    <a:ln>
                      <a:noFill/>
                    </a:ln>
                  </pic:spPr>
                </pic:pic>
              </a:graphicData>
            </a:graphic>
          </wp:inline>
        </w:drawing>
      </w:r>
      <w:r w:rsidRPr="00A7002F">
        <w:rPr>
          <w:rFonts w:ascii="Times New Roman" w:eastAsia="Times New Roman" w:hAnsi="Times New Roman" w:cs="Times New Roman"/>
          <w:szCs w:val="24"/>
          <w:lang w:val="es-CO" w:eastAsia="es-MX"/>
        </w:rPr>
        <w:fldChar w:fldCharType="end"/>
      </w:r>
    </w:p>
    <w:p w14:paraId="6E57F558" w14:textId="77777777" w:rsidR="007323DA" w:rsidRPr="00481068" w:rsidRDefault="007323DA" w:rsidP="007323DA">
      <w:pPr>
        <w:rPr>
          <w:rFonts w:ascii="Arial" w:eastAsia="Calibri" w:hAnsi="Arial" w:cs="Arial"/>
          <w:sz w:val="22"/>
        </w:rPr>
      </w:pPr>
    </w:p>
    <w:p w14:paraId="7EDF90DC" w14:textId="57FDEB69" w:rsidR="00C87C91" w:rsidRDefault="00C87C91" w:rsidP="007323DA">
      <w:pPr>
        <w:jc w:val="both"/>
        <w:rPr>
          <w:rFonts w:ascii="Arial" w:eastAsia="Calibri" w:hAnsi="Arial" w:cs="Arial"/>
          <w:sz w:val="22"/>
        </w:rPr>
      </w:pPr>
      <w:bookmarkStart w:id="8" w:name="_Hlk96417464"/>
      <w:r>
        <w:rPr>
          <w:rFonts w:ascii="Arial" w:eastAsia="Calibri" w:hAnsi="Arial" w:cs="Arial"/>
          <w:sz w:val="22"/>
        </w:rPr>
        <w:t>Bogotá D.C., 17 de mayo de 2022</w:t>
      </w:r>
    </w:p>
    <w:p w14:paraId="69F3B3C8" w14:textId="77777777" w:rsidR="00C87C91" w:rsidRDefault="00C87C91" w:rsidP="007323DA">
      <w:pPr>
        <w:jc w:val="both"/>
        <w:rPr>
          <w:rFonts w:ascii="Arial" w:eastAsia="Calibri" w:hAnsi="Arial" w:cs="Arial"/>
          <w:sz w:val="22"/>
        </w:rPr>
      </w:pPr>
    </w:p>
    <w:p w14:paraId="3F6C20B0" w14:textId="61C55250" w:rsidR="007323DA" w:rsidRPr="00481068" w:rsidRDefault="007323DA" w:rsidP="007323DA">
      <w:pPr>
        <w:jc w:val="both"/>
        <w:rPr>
          <w:rFonts w:ascii="Arial" w:eastAsia="Calibri" w:hAnsi="Arial" w:cs="Arial"/>
          <w:sz w:val="22"/>
        </w:rPr>
      </w:pPr>
      <w:r w:rsidRPr="00481068">
        <w:rPr>
          <w:rFonts w:ascii="Arial" w:eastAsia="Calibri" w:hAnsi="Arial" w:cs="Arial"/>
          <w:sz w:val="22"/>
        </w:rPr>
        <w:t>Señor</w:t>
      </w:r>
      <w:r w:rsidR="00F80E90">
        <w:rPr>
          <w:rFonts w:ascii="Arial" w:eastAsia="Calibri" w:hAnsi="Arial" w:cs="Arial"/>
          <w:sz w:val="22"/>
        </w:rPr>
        <w:t>es</w:t>
      </w:r>
    </w:p>
    <w:p w14:paraId="322ED32F" w14:textId="23EAA01F" w:rsidR="007323DA" w:rsidRDefault="00F80E90" w:rsidP="007323DA">
      <w:pPr>
        <w:jc w:val="both"/>
        <w:rPr>
          <w:rFonts w:ascii="Arial" w:eastAsia="Calibri" w:hAnsi="Arial" w:cs="Arial"/>
          <w:b/>
          <w:sz w:val="22"/>
        </w:rPr>
      </w:pPr>
      <w:r>
        <w:rPr>
          <w:rFonts w:ascii="Arial" w:eastAsia="Calibri" w:hAnsi="Arial" w:cs="Arial"/>
          <w:b/>
          <w:sz w:val="22"/>
        </w:rPr>
        <w:t>Ministerio de Educación Nacional</w:t>
      </w:r>
    </w:p>
    <w:p w14:paraId="0B929FFD" w14:textId="6A1D0FF4" w:rsidR="00F80E90" w:rsidRPr="00094B98" w:rsidRDefault="00F80E90" w:rsidP="007323DA">
      <w:pPr>
        <w:jc w:val="both"/>
        <w:rPr>
          <w:rFonts w:ascii="Arial" w:eastAsia="Calibri" w:hAnsi="Arial" w:cs="Arial"/>
          <w:bCs/>
          <w:sz w:val="22"/>
        </w:rPr>
      </w:pPr>
      <w:r w:rsidRPr="00094B98">
        <w:rPr>
          <w:rFonts w:ascii="Arial" w:eastAsia="Calibri" w:hAnsi="Arial" w:cs="Arial"/>
          <w:bCs/>
          <w:sz w:val="22"/>
        </w:rPr>
        <w:t xml:space="preserve">Bogotá. D.C </w:t>
      </w:r>
    </w:p>
    <w:p w14:paraId="38BB8BD4" w14:textId="77777777" w:rsidR="00CE1383" w:rsidRPr="00481068" w:rsidRDefault="00CE1383" w:rsidP="007323DA">
      <w:pPr>
        <w:jc w:val="both"/>
        <w:rPr>
          <w:rFonts w:ascii="Arial" w:eastAsia="Calibri" w:hAnsi="Arial" w:cs="Arial"/>
          <w:b/>
          <w:sz w:val="22"/>
        </w:rPr>
      </w:pPr>
    </w:p>
    <w:p w14:paraId="49688458" w14:textId="77777777" w:rsidR="007323DA" w:rsidRPr="00481068" w:rsidRDefault="007323DA" w:rsidP="007323DA">
      <w:pPr>
        <w:jc w:val="both"/>
        <w:rPr>
          <w:rFonts w:ascii="Arial" w:eastAsia="Calibri" w:hAnsi="Arial" w:cs="Arial"/>
          <w:color w:val="FF0000"/>
          <w:sz w:val="22"/>
        </w:rPr>
      </w:pPr>
    </w:p>
    <w:p w14:paraId="49AA0EBE" w14:textId="77777777" w:rsidR="007323DA" w:rsidRPr="00481068" w:rsidRDefault="007323DA" w:rsidP="007323DA">
      <w:pPr>
        <w:jc w:val="both"/>
        <w:rPr>
          <w:rFonts w:ascii="Arial" w:eastAsia="Calibri" w:hAnsi="Arial" w:cs="Arial"/>
          <w:color w:val="FF0000"/>
          <w:sz w:val="22"/>
        </w:rPr>
      </w:pPr>
    </w:p>
    <w:p w14:paraId="1C0462A5" w14:textId="5D1E9716" w:rsidR="007323DA" w:rsidRPr="00481068" w:rsidRDefault="007323DA" w:rsidP="007323DA">
      <w:pPr>
        <w:jc w:val="both"/>
        <w:rPr>
          <w:rFonts w:ascii="Arial" w:eastAsia="Calibri" w:hAnsi="Arial" w:cs="Arial"/>
          <w:sz w:val="22"/>
        </w:rPr>
      </w:pPr>
      <w:r w:rsidRPr="00481068">
        <w:rPr>
          <w:rFonts w:ascii="Arial" w:eastAsia="Calibri" w:hAnsi="Arial" w:cs="Arial"/>
          <w:sz w:val="22"/>
        </w:rPr>
        <w:t xml:space="preserve">                                            </w:t>
      </w:r>
      <w:r w:rsidRPr="00481068">
        <w:rPr>
          <w:rFonts w:ascii="Arial" w:eastAsia="Calibri" w:hAnsi="Arial" w:cs="Arial"/>
          <w:b/>
          <w:sz w:val="22"/>
        </w:rPr>
        <w:t xml:space="preserve">Concepto C – </w:t>
      </w:r>
      <w:r w:rsidR="007A4DC5">
        <w:rPr>
          <w:rFonts w:ascii="Arial" w:eastAsia="Calibri" w:hAnsi="Arial" w:cs="Arial"/>
          <w:b/>
          <w:sz w:val="22"/>
        </w:rPr>
        <w:t>313</w:t>
      </w:r>
      <w:r w:rsidR="007A4DC5" w:rsidRPr="00481068">
        <w:rPr>
          <w:rFonts w:ascii="Arial" w:eastAsia="Calibri" w:hAnsi="Arial" w:cs="Arial"/>
          <w:b/>
          <w:sz w:val="22"/>
        </w:rPr>
        <w:t xml:space="preserve"> </w:t>
      </w:r>
      <w:r w:rsidRPr="00481068">
        <w:rPr>
          <w:rFonts w:ascii="Arial" w:eastAsia="Calibri" w:hAnsi="Arial" w:cs="Arial"/>
          <w:b/>
          <w:sz w:val="22"/>
        </w:rPr>
        <w:t>de 2022</w:t>
      </w:r>
      <w:r w:rsidRPr="00481068">
        <w:rPr>
          <w:rFonts w:ascii="Arial" w:eastAsia="Calibri" w:hAnsi="Arial" w:cs="Arial"/>
          <w:sz w:val="22"/>
        </w:rPr>
        <w:t xml:space="preserve"> </w:t>
      </w:r>
    </w:p>
    <w:p w14:paraId="6F4922B0" w14:textId="77777777" w:rsidR="007323DA" w:rsidRPr="00481068" w:rsidRDefault="007323DA" w:rsidP="007323DA">
      <w:pPr>
        <w:jc w:val="both"/>
        <w:rPr>
          <w:rFonts w:ascii="Arial" w:eastAsia="Calibri" w:hAnsi="Arial" w:cs="Arial"/>
          <w:b/>
          <w:sz w:val="22"/>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323DA" w:rsidRPr="00481068" w14:paraId="3324296A" w14:textId="77777777" w:rsidTr="005106B1">
        <w:trPr>
          <w:trHeight w:val="485"/>
        </w:trPr>
        <w:tc>
          <w:tcPr>
            <w:tcW w:w="2689" w:type="dxa"/>
            <w:hideMark/>
          </w:tcPr>
          <w:p w14:paraId="63C4B677" w14:textId="77777777" w:rsidR="007323DA" w:rsidRPr="00481068" w:rsidRDefault="007323DA" w:rsidP="005106B1">
            <w:pPr>
              <w:contextualSpacing/>
              <w:rPr>
                <w:rFonts w:ascii="Arial" w:eastAsia="Calibri" w:hAnsi="Arial" w:cs="Arial"/>
                <w:noProof/>
                <w:sz w:val="22"/>
                <w:lang w:val="es-ES_tradnl"/>
              </w:rPr>
            </w:pPr>
            <w:r w:rsidRPr="00481068">
              <w:rPr>
                <w:rFonts w:ascii="Arial" w:eastAsia="Calibri" w:hAnsi="Arial" w:cs="Arial"/>
                <w:b/>
                <w:noProof/>
                <w:sz w:val="22"/>
                <w:lang w:val="es-ES_tradnl"/>
              </w:rPr>
              <w:t>Temas:</w:t>
            </w:r>
            <w:r w:rsidRPr="00481068">
              <w:rPr>
                <w:rFonts w:ascii="Arial" w:eastAsia="Calibri" w:hAnsi="Arial" w:cs="Arial"/>
                <w:noProof/>
                <w:sz w:val="22"/>
                <w:lang w:val="es-ES_tradnl"/>
              </w:rPr>
              <w:t xml:space="preserve">        </w:t>
            </w:r>
          </w:p>
        </w:tc>
        <w:tc>
          <w:tcPr>
            <w:tcW w:w="6237" w:type="dxa"/>
            <w:hideMark/>
          </w:tcPr>
          <w:p w14:paraId="0C98EF3E" w14:textId="77777777" w:rsidR="007323DA" w:rsidRPr="00481068" w:rsidRDefault="007323DA" w:rsidP="005106B1">
            <w:pPr>
              <w:spacing w:after="120"/>
              <w:contextualSpacing/>
              <w:jc w:val="both"/>
              <w:rPr>
                <w:rFonts w:ascii="Arial" w:hAnsi="Arial" w:cs="Arial"/>
                <w:bCs/>
                <w:sz w:val="22"/>
                <w:lang w:val="es-ES_tradnl" w:eastAsia="es-CO"/>
              </w:rPr>
            </w:pPr>
            <w:r w:rsidRPr="00481068">
              <w:rPr>
                <w:rFonts w:ascii="Arial" w:eastAsia="Calibri" w:hAnsi="Arial" w:cs="Arial"/>
                <w:bCs/>
                <w:color w:val="000000" w:themeColor="text1"/>
                <w:sz w:val="22"/>
                <w:lang w:val="es-ES_tradnl"/>
              </w:rPr>
              <w:t xml:space="preserve">LEY DE GARANTÍAS ELECTORALES – Finalidad / LEY DE GARANTÍAS ELECTORALES ‒ Restricciones ‒ Contratación ‒ Tipos de elección / </w:t>
            </w:r>
            <w:r w:rsidRPr="00481068">
              <w:rPr>
                <w:rFonts w:ascii="Arial" w:eastAsia="Calibri" w:hAnsi="Arial" w:cs="Arial"/>
                <w:bCs/>
                <w:sz w:val="22"/>
                <w:lang w:val="es-ES_tradnl"/>
              </w:rPr>
              <w:t xml:space="preserve">LEY DE GARANTÍAS ELECTORALES ─ Prohibición artículo 33 ‒ Contratación directa ‒ Alcance / </w:t>
            </w:r>
            <w:r w:rsidRPr="00481068">
              <w:rPr>
                <w:rFonts w:ascii="Arial" w:hAnsi="Arial" w:cs="Arial"/>
                <w:bCs/>
                <w:sz w:val="22"/>
                <w:lang w:val="es-ES_tradnl" w:eastAsia="es-CO"/>
              </w:rPr>
              <w:t>LEY DE GARANTÍAS ELECTORALES ‒ Excepciones</w:t>
            </w:r>
            <w:r w:rsidRPr="00481068">
              <w:rPr>
                <w:rFonts w:ascii="Arial" w:hAnsi="Arial" w:cs="Arial"/>
                <w:sz w:val="22"/>
                <w:lang w:val="es-ES_tradnl" w:eastAsia="es-CO"/>
              </w:rPr>
              <w:t xml:space="preserve"> / </w:t>
            </w:r>
            <w:r w:rsidRPr="00481068">
              <w:rPr>
                <w:rFonts w:ascii="Arial" w:hAnsi="Arial" w:cs="Arial"/>
                <w:bCs/>
                <w:sz w:val="22"/>
                <w:lang w:val="es-ES_tradnl" w:eastAsia="es-CO"/>
              </w:rPr>
              <w:t xml:space="preserve">LEY DE GARANTÍAS ELECTORALES ‒ </w:t>
            </w:r>
            <w:r w:rsidRPr="00481068">
              <w:rPr>
                <w:rFonts w:ascii="Arial" w:hAnsi="Arial" w:cs="Arial"/>
                <w:sz w:val="22"/>
                <w:lang w:val="es-ES_tradnl" w:eastAsia="es-CO"/>
              </w:rPr>
              <w:t xml:space="preserve">Prohibición del artículo 33 </w:t>
            </w:r>
            <w:r w:rsidRPr="00481068">
              <w:rPr>
                <w:rFonts w:ascii="Arial" w:hAnsi="Arial" w:cs="Arial"/>
                <w:bCs/>
                <w:sz w:val="22"/>
                <w:lang w:val="es-ES_tradnl" w:eastAsia="es-CO"/>
              </w:rPr>
              <w:t>‒ Destinatarios / ORGANISMOS INTERNACIONALES – Régimen de contratación / ORGANISMOS INTERNACIONALES – Ley de garantías electorales – Restricción – Contratación Directa – Artículo 33 – Alcance – Unificación de criterios</w:t>
            </w:r>
          </w:p>
          <w:p w14:paraId="621EC23D" w14:textId="77777777" w:rsidR="007323DA" w:rsidRPr="00481068" w:rsidRDefault="007323DA" w:rsidP="005106B1">
            <w:pPr>
              <w:spacing w:after="120"/>
              <w:contextualSpacing/>
              <w:jc w:val="both"/>
              <w:rPr>
                <w:rFonts w:ascii="Arial" w:eastAsia="Calibri" w:hAnsi="Arial" w:cs="Arial"/>
                <w:b/>
                <w:sz w:val="12"/>
                <w:szCs w:val="12"/>
                <w:lang w:eastAsia="es-MX"/>
              </w:rPr>
            </w:pPr>
          </w:p>
          <w:p w14:paraId="510E7826" w14:textId="77777777" w:rsidR="007323DA" w:rsidRPr="00481068" w:rsidRDefault="007323DA" w:rsidP="005106B1">
            <w:pPr>
              <w:spacing w:after="120"/>
              <w:rPr>
                <w:rFonts w:ascii="Arial" w:eastAsia="Calibri" w:hAnsi="Arial" w:cs="Arial"/>
                <w:bCs/>
                <w:sz w:val="22"/>
              </w:rPr>
            </w:pPr>
          </w:p>
        </w:tc>
      </w:tr>
      <w:tr w:rsidR="007323DA" w:rsidRPr="00481068" w14:paraId="2CADF570" w14:textId="77777777" w:rsidTr="005106B1">
        <w:trPr>
          <w:trHeight w:val="231"/>
        </w:trPr>
        <w:tc>
          <w:tcPr>
            <w:tcW w:w="2689" w:type="dxa"/>
          </w:tcPr>
          <w:p w14:paraId="0D5598A9" w14:textId="77777777" w:rsidR="007323DA" w:rsidRPr="00481068" w:rsidRDefault="007323DA" w:rsidP="005106B1">
            <w:pPr>
              <w:contextualSpacing/>
              <w:rPr>
                <w:rFonts w:ascii="Arial" w:eastAsia="Calibri" w:hAnsi="Arial" w:cs="Arial"/>
                <w:b/>
                <w:noProof/>
                <w:sz w:val="22"/>
                <w:lang w:val="es-ES_tradnl"/>
              </w:rPr>
            </w:pPr>
            <w:r w:rsidRPr="00481068">
              <w:rPr>
                <w:rFonts w:ascii="Arial" w:eastAsia="Calibri" w:hAnsi="Arial" w:cs="Arial"/>
                <w:b/>
                <w:noProof/>
                <w:sz w:val="22"/>
                <w:lang w:val="es-ES_tradnl"/>
              </w:rPr>
              <w:t>Radicación:</w:t>
            </w:r>
            <w:r w:rsidRPr="00481068">
              <w:rPr>
                <w:rFonts w:ascii="Arial" w:eastAsia="Calibri" w:hAnsi="Arial" w:cs="Arial"/>
                <w:noProof/>
                <w:sz w:val="22"/>
                <w:lang w:val="es-ES_tradnl"/>
              </w:rPr>
              <w:t xml:space="preserve">                              </w:t>
            </w:r>
          </w:p>
        </w:tc>
        <w:tc>
          <w:tcPr>
            <w:tcW w:w="6237" w:type="dxa"/>
          </w:tcPr>
          <w:p w14:paraId="27CE3402" w14:textId="570BFF28" w:rsidR="007323DA" w:rsidRPr="00481068" w:rsidRDefault="007323DA" w:rsidP="005106B1">
            <w:pPr>
              <w:jc w:val="both"/>
              <w:rPr>
                <w:rFonts w:ascii="Arial" w:eastAsia="Calibri" w:hAnsi="Arial" w:cs="Arial"/>
                <w:noProof/>
                <w:sz w:val="22"/>
                <w:lang w:val="es-ES_tradnl"/>
              </w:rPr>
            </w:pPr>
            <w:r w:rsidRPr="00481068">
              <w:rPr>
                <w:rFonts w:ascii="Arial" w:eastAsia="Calibri" w:hAnsi="Arial" w:cs="Arial"/>
                <w:noProof/>
                <w:sz w:val="22"/>
                <w:lang w:val="es-ES_tradnl"/>
              </w:rPr>
              <w:t>Respuesta a la</w:t>
            </w:r>
            <w:r w:rsidR="00094B98">
              <w:rPr>
                <w:rFonts w:ascii="Arial" w:eastAsia="Calibri" w:hAnsi="Arial" w:cs="Arial"/>
                <w:noProof/>
                <w:sz w:val="22"/>
                <w:lang w:val="es-ES_tradnl"/>
              </w:rPr>
              <w:t>s</w:t>
            </w:r>
            <w:r w:rsidRPr="00481068">
              <w:rPr>
                <w:rFonts w:ascii="Arial" w:eastAsia="Calibri" w:hAnsi="Arial" w:cs="Arial"/>
                <w:noProof/>
                <w:sz w:val="22"/>
                <w:lang w:val="es-ES_tradnl"/>
              </w:rPr>
              <w:t xml:space="preserve"> consulta</w:t>
            </w:r>
            <w:r w:rsidR="00094B98">
              <w:rPr>
                <w:rFonts w:ascii="Arial" w:eastAsia="Calibri" w:hAnsi="Arial" w:cs="Arial"/>
                <w:noProof/>
                <w:sz w:val="22"/>
                <w:lang w:val="es-ES_tradnl"/>
              </w:rPr>
              <w:t xml:space="preserve">s </w:t>
            </w:r>
            <w:r w:rsidR="00455D76">
              <w:rPr>
                <w:rFonts w:ascii="Arial" w:eastAsia="Calibri" w:hAnsi="Arial" w:cs="Arial"/>
                <w:noProof/>
                <w:sz w:val="22"/>
                <w:lang w:val="es-ES_tradnl"/>
              </w:rPr>
              <w:t>P20220404003385 y P20220403003352</w:t>
            </w:r>
          </w:p>
        </w:tc>
      </w:tr>
    </w:tbl>
    <w:p w14:paraId="28AD92D2" w14:textId="77777777" w:rsidR="007323DA" w:rsidRPr="00481068" w:rsidRDefault="007323DA" w:rsidP="007323DA">
      <w:pPr>
        <w:jc w:val="both"/>
        <w:rPr>
          <w:rFonts w:ascii="Arial" w:eastAsia="Calibri" w:hAnsi="Arial" w:cs="Arial"/>
          <w:sz w:val="22"/>
        </w:rPr>
      </w:pPr>
    </w:p>
    <w:p w14:paraId="25E6408E" w14:textId="77777777" w:rsidR="007323DA" w:rsidRPr="00481068" w:rsidRDefault="007323DA" w:rsidP="007323DA">
      <w:pPr>
        <w:jc w:val="both"/>
        <w:rPr>
          <w:rFonts w:ascii="Arial" w:eastAsia="Calibri" w:hAnsi="Arial" w:cs="Arial"/>
          <w:sz w:val="22"/>
        </w:rPr>
      </w:pPr>
    </w:p>
    <w:p w14:paraId="061E0806" w14:textId="70AC618B" w:rsidR="007323DA" w:rsidRPr="00481068" w:rsidRDefault="00F80E90" w:rsidP="00094B98">
      <w:pPr>
        <w:spacing w:line="276" w:lineRule="auto"/>
        <w:jc w:val="both"/>
        <w:rPr>
          <w:rFonts w:ascii="Arial" w:eastAsia="Calibri" w:hAnsi="Arial" w:cs="Arial"/>
          <w:sz w:val="22"/>
        </w:rPr>
      </w:pPr>
      <w:r>
        <w:rPr>
          <w:rFonts w:ascii="Arial" w:eastAsia="Calibri" w:hAnsi="Arial" w:cs="Arial"/>
          <w:sz w:val="22"/>
        </w:rPr>
        <w:t xml:space="preserve">Estimados señores: </w:t>
      </w:r>
    </w:p>
    <w:p w14:paraId="492685A0" w14:textId="5F64274A" w:rsidR="007323DA" w:rsidRPr="00481068" w:rsidRDefault="007323DA" w:rsidP="007323DA">
      <w:pPr>
        <w:spacing w:line="276" w:lineRule="auto"/>
        <w:ind w:right="51"/>
        <w:jc w:val="both"/>
        <w:rPr>
          <w:rFonts w:ascii="Arial" w:eastAsia="Calibri" w:hAnsi="Arial" w:cs="Arial"/>
          <w:sz w:val="22"/>
        </w:rPr>
      </w:pPr>
      <w:r w:rsidRPr="00481068">
        <w:rPr>
          <w:rFonts w:ascii="Arial" w:eastAsia="Calibri" w:hAnsi="Arial" w:cs="Arial"/>
          <w:sz w:val="22"/>
        </w:rPr>
        <w:t xml:space="preserve">En ejercicio de la competencia otorgada por el numeral 8 del artículo 11 y el numeral 5 del artículo 3 del Decreto Ley 4170 de 2011, la Agencia Nacional de Contratación Pública – Colombia Compra Eficiente responde la consulta radicada el </w:t>
      </w:r>
      <w:r w:rsidR="001A7765">
        <w:rPr>
          <w:rFonts w:ascii="Arial" w:eastAsia="Calibri" w:hAnsi="Arial" w:cs="Arial"/>
          <w:sz w:val="22"/>
        </w:rPr>
        <w:t>3</w:t>
      </w:r>
      <w:r w:rsidR="00455D76">
        <w:rPr>
          <w:rFonts w:ascii="Arial" w:eastAsia="Calibri" w:hAnsi="Arial" w:cs="Arial"/>
          <w:sz w:val="22"/>
        </w:rPr>
        <w:t xml:space="preserve"> y 4</w:t>
      </w:r>
      <w:r w:rsidR="001A7765" w:rsidRPr="00481068">
        <w:rPr>
          <w:rFonts w:ascii="Arial" w:eastAsia="Calibri" w:hAnsi="Arial" w:cs="Arial"/>
          <w:sz w:val="22"/>
        </w:rPr>
        <w:t xml:space="preserve"> </w:t>
      </w:r>
      <w:r w:rsidRPr="00481068">
        <w:rPr>
          <w:rFonts w:ascii="Arial" w:eastAsia="Calibri" w:hAnsi="Arial" w:cs="Arial"/>
          <w:sz w:val="22"/>
        </w:rPr>
        <w:t>de</w:t>
      </w:r>
      <w:r w:rsidR="001A7765">
        <w:rPr>
          <w:rFonts w:ascii="Arial" w:eastAsia="Calibri" w:hAnsi="Arial" w:cs="Arial"/>
          <w:sz w:val="22"/>
        </w:rPr>
        <w:t xml:space="preserve"> abril</w:t>
      </w:r>
      <w:r w:rsidRPr="00481068">
        <w:rPr>
          <w:rFonts w:ascii="Arial" w:eastAsia="Calibri" w:hAnsi="Arial" w:cs="Arial"/>
          <w:sz w:val="22"/>
        </w:rPr>
        <w:t xml:space="preserve"> de 2022. </w:t>
      </w:r>
    </w:p>
    <w:p w14:paraId="65E134D9" w14:textId="77777777" w:rsidR="007323DA" w:rsidRPr="00481068" w:rsidRDefault="007323DA" w:rsidP="007323DA">
      <w:pPr>
        <w:spacing w:line="276" w:lineRule="auto"/>
        <w:jc w:val="both"/>
        <w:rPr>
          <w:rFonts w:ascii="Arial" w:eastAsia="Calibri" w:hAnsi="Arial" w:cs="Arial"/>
          <w:sz w:val="22"/>
        </w:rPr>
      </w:pPr>
    </w:p>
    <w:p w14:paraId="0BB54DFD" w14:textId="77777777" w:rsidR="007323DA" w:rsidRPr="00481068" w:rsidRDefault="007323DA" w:rsidP="007323DA">
      <w:pPr>
        <w:tabs>
          <w:tab w:val="left" w:pos="284"/>
        </w:tabs>
        <w:spacing w:line="276" w:lineRule="auto"/>
        <w:jc w:val="both"/>
        <w:rPr>
          <w:rFonts w:ascii="Arial" w:eastAsia="Calibri" w:hAnsi="Arial" w:cs="Arial"/>
          <w:b/>
          <w:sz w:val="22"/>
        </w:rPr>
      </w:pPr>
      <w:r w:rsidRPr="00481068">
        <w:rPr>
          <w:rFonts w:ascii="Arial" w:eastAsia="Calibri" w:hAnsi="Arial" w:cs="Arial"/>
          <w:b/>
          <w:sz w:val="22"/>
        </w:rPr>
        <w:t xml:space="preserve">1. Problema planteado </w:t>
      </w:r>
    </w:p>
    <w:p w14:paraId="7F3B5768" w14:textId="4B4CD9F1" w:rsidR="007323DA" w:rsidRDefault="005915DB" w:rsidP="007323DA">
      <w:pPr>
        <w:pStyle w:val="NormalWeb"/>
        <w:rPr>
          <w:rFonts w:ascii="Arial" w:hAnsi="Arial" w:cs="Arial"/>
          <w:color w:val="000000"/>
          <w:sz w:val="22"/>
          <w:szCs w:val="22"/>
          <w:lang w:val="es-ES_tradnl"/>
        </w:rPr>
      </w:pPr>
      <w:bookmarkStart w:id="9" w:name="_Hlk58917991"/>
      <w:bookmarkStart w:id="10" w:name="_Hlk56103000"/>
      <w:bookmarkStart w:id="11" w:name="_Hlk98832248"/>
      <w:bookmarkStart w:id="12" w:name="_Hlk94514883"/>
      <w:r>
        <w:rPr>
          <w:rFonts w:ascii="Arial" w:hAnsi="Arial" w:cs="Arial"/>
          <w:color w:val="000000"/>
          <w:sz w:val="22"/>
          <w:szCs w:val="22"/>
          <w:lang w:val="es-ES_tradnl"/>
        </w:rPr>
        <w:t xml:space="preserve">Usted realiza los siguientes interrogantes: </w:t>
      </w:r>
    </w:p>
    <w:bookmarkEnd w:id="9"/>
    <w:bookmarkEnd w:id="10"/>
    <w:bookmarkEnd w:id="11"/>
    <w:bookmarkEnd w:id="12"/>
    <w:p w14:paraId="03E92266" w14:textId="4AB7A490" w:rsidR="00CE1383" w:rsidRPr="005915DB" w:rsidRDefault="005915DB" w:rsidP="00094B98">
      <w:pPr>
        <w:pStyle w:val="Prrafodelista"/>
        <w:spacing w:before="100" w:beforeAutospacing="1" w:after="100" w:afterAutospacing="1"/>
        <w:ind w:right="709"/>
        <w:jc w:val="both"/>
        <w:rPr>
          <w:rFonts w:ascii="Arial" w:eastAsia="Times New Roman" w:hAnsi="Arial" w:cs="Arial"/>
          <w:sz w:val="21"/>
          <w:szCs w:val="21"/>
          <w:lang w:val="es-CO" w:eastAsia="es-MX"/>
        </w:rPr>
      </w:pPr>
      <w:r w:rsidRPr="005915DB">
        <w:rPr>
          <w:rFonts w:ascii="Arial" w:hAnsi="Arial" w:cs="Arial"/>
          <w:sz w:val="21"/>
          <w:szCs w:val="21"/>
        </w:rPr>
        <w:lastRenderedPageBreak/>
        <w:t>«</w:t>
      </w:r>
      <w:r w:rsidR="00CE1383" w:rsidRPr="005915DB">
        <w:rPr>
          <w:rFonts w:ascii="Arial" w:eastAsia="Times New Roman" w:hAnsi="Arial" w:cs="Arial"/>
          <w:sz w:val="21"/>
          <w:szCs w:val="21"/>
          <w:lang w:val="es-CO" w:eastAsia="es-MX"/>
        </w:rPr>
        <w:t xml:space="preserve">¿Le es aplicable el concepto 106 a las contrataciones financiadas con recursos del Contrato de </w:t>
      </w:r>
      <w:r w:rsidRPr="005915DB">
        <w:rPr>
          <w:rFonts w:ascii="Arial" w:eastAsia="Times New Roman" w:hAnsi="Arial" w:cs="Arial"/>
          <w:sz w:val="21"/>
          <w:szCs w:val="21"/>
          <w:lang w:val="es-CO" w:eastAsia="es-MX"/>
        </w:rPr>
        <w:t>Préstamo</w:t>
      </w:r>
      <w:r w:rsidR="00CE1383" w:rsidRPr="005915DB">
        <w:rPr>
          <w:rFonts w:ascii="Arial" w:eastAsia="Times New Roman" w:hAnsi="Arial" w:cs="Arial"/>
          <w:sz w:val="21"/>
          <w:szCs w:val="21"/>
          <w:lang w:val="es-CO" w:eastAsia="es-MX"/>
        </w:rPr>
        <w:t xml:space="preserve"> 4902/OC-CO suscrito con el Banco Interamericano de Desarrollo? (se anexa contrato)</w:t>
      </w:r>
      <w:r w:rsidRPr="005915DB">
        <w:rPr>
          <w:rFonts w:ascii="Arial" w:hAnsi="Arial" w:cs="Arial"/>
          <w:sz w:val="21"/>
          <w:szCs w:val="21"/>
          <w:lang w:val="es-ES"/>
        </w:rPr>
        <w:t>».</w:t>
      </w:r>
    </w:p>
    <w:p w14:paraId="2C3BC5B0" w14:textId="77777777" w:rsidR="00892B04" w:rsidRDefault="00892B04" w:rsidP="00892B04">
      <w:pPr>
        <w:pStyle w:val="Prrafodelista"/>
        <w:spacing w:before="100" w:beforeAutospacing="1" w:after="100" w:afterAutospacing="1"/>
        <w:ind w:right="709"/>
        <w:jc w:val="both"/>
        <w:rPr>
          <w:rFonts w:ascii="Arial" w:hAnsi="Arial" w:cs="Arial"/>
          <w:sz w:val="21"/>
          <w:szCs w:val="21"/>
        </w:rPr>
      </w:pPr>
    </w:p>
    <w:p w14:paraId="21D95A94" w14:textId="675A5A83" w:rsidR="00CE1383" w:rsidRPr="005915DB" w:rsidRDefault="00CE1383" w:rsidP="00094B98">
      <w:pPr>
        <w:pStyle w:val="Prrafodelista"/>
        <w:spacing w:before="100" w:beforeAutospacing="1" w:after="100" w:afterAutospacing="1"/>
        <w:ind w:right="709"/>
        <w:jc w:val="both"/>
        <w:rPr>
          <w:rFonts w:ascii="Arial" w:eastAsia="Times New Roman" w:hAnsi="Arial" w:cs="Arial"/>
          <w:sz w:val="21"/>
          <w:szCs w:val="21"/>
          <w:lang w:val="es-CO" w:eastAsia="es-MX"/>
        </w:rPr>
      </w:pPr>
      <w:r w:rsidRPr="005915DB">
        <w:rPr>
          <w:rFonts w:ascii="Arial" w:eastAsia="Times New Roman" w:hAnsi="Arial" w:cs="Arial"/>
          <w:sz w:val="21"/>
          <w:szCs w:val="21"/>
          <w:lang w:val="es-CO" w:eastAsia="es-MX"/>
        </w:rPr>
        <w:t xml:space="preserve">¿Las contrataciones financiadas con recursos del Contrato de </w:t>
      </w:r>
      <w:r w:rsidR="00041124" w:rsidRPr="005915DB">
        <w:rPr>
          <w:rFonts w:ascii="Arial" w:eastAsia="Times New Roman" w:hAnsi="Arial" w:cs="Arial"/>
          <w:sz w:val="21"/>
          <w:szCs w:val="21"/>
          <w:lang w:val="es-CO" w:eastAsia="es-MX"/>
        </w:rPr>
        <w:t>Préstamo</w:t>
      </w:r>
      <w:r w:rsidRPr="005915DB">
        <w:rPr>
          <w:rFonts w:ascii="Arial" w:eastAsia="Times New Roman" w:hAnsi="Arial" w:cs="Arial"/>
          <w:sz w:val="21"/>
          <w:szCs w:val="21"/>
          <w:lang w:val="es-CO" w:eastAsia="es-MX"/>
        </w:rPr>
        <w:t xml:space="preserve"> 4902/OC- CO se entienden contratos de </w:t>
      </w:r>
      <w:r w:rsidR="00041124" w:rsidRPr="005915DB">
        <w:rPr>
          <w:rFonts w:ascii="Arial" w:eastAsia="Times New Roman" w:hAnsi="Arial" w:cs="Arial"/>
          <w:sz w:val="21"/>
          <w:szCs w:val="21"/>
          <w:lang w:val="es-CO" w:eastAsia="es-MX"/>
        </w:rPr>
        <w:t>crédito</w:t>
      </w:r>
      <w:r w:rsidRPr="005915DB">
        <w:rPr>
          <w:rFonts w:ascii="Arial" w:eastAsia="Times New Roman" w:hAnsi="Arial" w:cs="Arial"/>
          <w:sz w:val="21"/>
          <w:szCs w:val="21"/>
          <w:lang w:val="es-CO" w:eastAsia="es-MX"/>
        </w:rPr>
        <w:t xml:space="preserve"> </w:t>
      </w:r>
      <w:r w:rsidR="00041124" w:rsidRPr="005915DB">
        <w:rPr>
          <w:rFonts w:ascii="Arial" w:eastAsia="Times New Roman" w:hAnsi="Arial" w:cs="Arial"/>
          <w:sz w:val="21"/>
          <w:szCs w:val="21"/>
          <w:lang w:val="es-CO" w:eastAsia="es-MX"/>
        </w:rPr>
        <w:t>público</w:t>
      </w:r>
      <w:r w:rsidRPr="005915DB">
        <w:rPr>
          <w:rFonts w:ascii="Arial" w:eastAsia="Times New Roman" w:hAnsi="Arial" w:cs="Arial"/>
          <w:sz w:val="21"/>
          <w:szCs w:val="21"/>
          <w:lang w:val="es-CO" w:eastAsia="es-MX"/>
        </w:rPr>
        <w:t xml:space="preserve">, y, por tanto, ¿las Selecciones Directa del Programa </w:t>
      </w:r>
      <w:r w:rsidR="00041124" w:rsidRPr="005915DB">
        <w:rPr>
          <w:rFonts w:ascii="Arial" w:eastAsia="Times New Roman" w:hAnsi="Arial" w:cs="Arial"/>
          <w:sz w:val="21"/>
          <w:szCs w:val="21"/>
          <w:lang w:val="es-CO" w:eastAsia="es-MX"/>
        </w:rPr>
        <w:t>estarían</w:t>
      </w:r>
      <w:r w:rsidRPr="005915DB">
        <w:rPr>
          <w:rFonts w:ascii="Arial" w:eastAsia="Times New Roman" w:hAnsi="Arial" w:cs="Arial"/>
          <w:sz w:val="21"/>
          <w:szCs w:val="21"/>
          <w:lang w:val="es-CO" w:eastAsia="es-MX"/>
        </w:rPr>
        <w:t xml:space="preserve"> exceptuadas de las restricciones establecidas en la Ley de </w:t>
      </w:r>
      <w:r w:rsidR="00041124" w:rsidRPr="005915DB">
        <w:rPr>
          <w:rFonts w:ascii="Arial" w:eastAsia="Times New Roman" w:hAnsi="Arial" w:cs="Arial"/>
          <w:sz w:val="21"/>
          <w:szCs w:val="21"/>
          <w:lang w:val="es-CO" w:eastAsia="es-MX"/>
        </w:rPr>
        <w:t>Garantías</w:t>
      </w:r>
      <w:r w:rsidRPr="005915DB">
        <w:rPr>
          <w:rFonts w:ascii="Arial" w:eastAsia="Times New Roman" w:hAnsi="Arial" w:cs="Arial"/>
          <w:sz w:val="21"/>
          <w:szCs w:val="21"/>
          <w:lang w:val="es-CO" w:eastAsia="es-MX"/>
        </w:rPr>
        <w:t xml:space="preserve"> </w:t>
      </w:r>
      <w:r w:rsidR="00041124" w:rsidRPr="005915DB">
        <w:rPr>
          <w:rFonts w:ascii="Arial" w:eastAsia="Times New Roman" w:hAnsi="Arial" w:cs="Arial"/>
          <w:sz w:val="21"/>
          <w:szCs w:val="21"/>
          <w:lang w:val="es-CO" w:eastAsia="es-MX"/>
        </w:rPr>
        <w:t>Electorales?</w:t>
      </w:r>
      <w:r w:rsidRPr="005915DB">
        <w:rPr>
          <w:rFonts w:ascii="Arial" w:eastAsia="Times New Roman" w:hAnsi="Arial" w:cs="Arial"/>
          <w:sz w:val="21"/>
          <w:szCs w:val="21"/>
          <w:lang w:val="es-CO" w:eastAsia="es-MX"/>
        </w:rPr>
        <w:t xml:space="preserve"> Lo anterior de conformidad con lo analizado por Colombia Compra Eficiente en el concepto C-559 de 2021, lo que ha sido el fundamento de la entidad para continuar el cumplimiento de las metas a ser alcanzadas en </w:t>
      </w:r>
      <w:r w:rsidR="00041124" w:rsidRPr="005915DB">
        <w:rPr>
          <w:rFonts w:ascii="Arial" w:eastAsia="Times New Roman" w:hAnsi="Arial" w:cs="Arial"/>
          <w:sz w:val="21"/>
          <w:szCs w:val="21"/>
          <w:lang w:val="es-CO" w:eastAsia="es-MX"/>
        </w:rPr>
        <w:t>ejecución</w:t>
      </w:r>
      <w:r w:rsidRPr="005915DB">
        <w:rPr>
          <w:rFonts w:ascii="Arial" w:eastAsia="Times New Roman" w:hAnsi="Arial" w:cs="Arial"/>
          <w:sz w:val="21"/>
          <w:szCs w:val="21"/>
          <w:lang w:val="es-CO" w:eastAsia="es-MX"/>
        </w:rPr>
        <w:t xml:space="preserve"> del Programa 4902/OC-CO</w:t>
      </w:r>
      <w:r w:rsidR="005915DB" w:rsidRPr="005915DB">
        <w:rPr>
          <w:rFonts w:ascii="Arial" w:hAnsi="Arial" w:cs="Arial"/>
          <w:sz w:val="21"/>
          <w:szCs w:val="21"/>
          <w:lang w:val="es-ES"/>
        </w:rPr>
        <w:t xml:space="preserve">». </w:t>
      </w:r>
    </w:p>
    <w:p w14:paraId="51920C41" w14:textId="77777777" w:rsidR="007323DA" w:rsidRPr="00481068" w:rsidRDefault="007323DA" w:rsidP="007323DA">
      <w:pPr>
        <w:tabs>
          <w:tab w:val="left" w:pos="284"/>
        </w:tabs>
        <w:spacing w:line="276" w:lineRule="auto"/>
        <w:jc w:val="both"/>
        <w:rPr>
          <w:rFonts w:ascii="Arial" w:eastAsia="Calibri" w:hAnsi="Arial" w:cs="Arial"/>
          <w:b/>
          <w:sz w:val="22"/>
        </w:rPr>
      </w:pPr>
      <w:r w:rsidRPr="00481068">
        <w:rPr>
          <w:rFonts w:ascii="Arial" w:eastAsia="Calibri" w:hAnsi="Arial" w:cs="Arial"/>
          <w:b/>
          <w:sz w:val="22"/>
        </w:rPr>
        <w:t>2. Consideraciones</w:t>
      </w:r>
    </w:p>
    <w:p w14:paraId="6AED091B" w14:textId="77777777" w:rsidR="007323DA" w:rsidRPr="00481068" w:rsidRDefault="007323DA" w:rsidP="007323DA">
      <w:pPr>
        <w:tabs>
          <w:tab w:val="left" w:pos="426"/>
        </w:tabs>
        <w:spacing w:line="276" w:lineRule="auto"/>
        <w:ind w:firstLine="709"/>
        <w:jc w:val="both"/>
        <w:rPr>
          <w:rFonts w:ascii="Arial" w:eastAsia="Calibri" w:hAnsi="Arial" w:cs="Arial"/>
          <w:bCs/>
          <w:sz w:val="22"/>
        </w:rPr>
      </w:pPr>
    </w:p>
    <w:p w14:paraId="22834C71" w14:textId="77777777" w:rsidR="007323DA" w:rsidRPr="00481068" w:rsidRDefault="007323DA" w:rsidP="007323DA">
      <w:pPr>
        <w:spacing w:line="276" w:lineRule="auto"/>
        <w:jc w:val="both"/>
        <w:rPr>
          <w:rFonts w:ascii="Arial" w:eastAsia="Calibri" w:hAnsi="Arial" w:cs="Arial"/>
          <w:color w:val="000000"/>
          <w:sz w:val="22"/>
        </w:rPr>
      </w:pPr>
      <w:r w:rsidRPr="00481068">
        <w:rPr>
          <w:rFonts w:ascii="Arial" w:eastAsia="Calibri" w:hAnsi="Arial" w:cs="Arial"/>
          <w:color w:val="000000"/>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481068">
        <w:rPr>
          <w:rFonts w:ascii="Arial" w:eastAsia="Calibri" w:hAnsi="Arial" w:cs="Arial"/>
          <w:color w:val="000000"/>
          <w:sz w:val="22"/>
          <w:vertAlign w:val="superscript"/>
        </w:rPr>
        <w:footnoteReference w:id="2"/>
      </w:r>
      <w:r w:rsidRPr="00481068">
        <w:rPr>
          <w:rFonts w:ascii="Arial" w:eastAsia="Calibri" w:hAnsi="Arial" w:cs="Arial"/>
          <w:color w:val="000000"/>
          <w:sz w:val="22"/>
        </w:rPr>
        <w:t>.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221859CD" w14:textId="77777777" w:rsidR="007323DA" w:rsidRPr="00481068" w:rsidRDefault="007323DA" w:rsidP="007323DA">
      <w:pPr>
        <w:spacing w:before="120" w:line="276" w:lineRule="auto"/>
        <w:ind w:firstLine="708"/>
        <w:jc w:val="both"/>
        <w:rPr>
          <w:rFonts w:ascii="Arial" w:eastAsia="Calibri" w:hAnsi="Arial" w:cs="Arial"/>
          <w:color w:val="000000"/>
          <w:sz w:val="22"/>
        </w:rPr>
      </w:pPr>
      <w:r w:rsidRPr="00481068">
        <w:rPr>
          <w:rFonts w:ascii="Arial" w:eastAsia="Calibri" w:hAnsi="Arial" w:cs="Arial"/>
          <w:color w:val="000000"/>
          <w:sz w:val="22"/>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w:t>
      </w:r>
      <w:r w:rsidRPr="00481068">
        <w:rPr>
          <w:rFonts w:ascii="Arial" w:eastAsia="Calibri" w:hAnsi="Arial" w:cs="Arial"/>
          <w:color w:val="000000"/>
          <w:sz w:val="22"/>
        </w:rPr>
        <w:lastRenderedPageBreak/>
        <w:t>entidad que adelanta el procedimiento de selección y, en caso de conflicto, a las autoridades judiciales, fiscales y disciplinarias.</w:t>
      </w:r>
    </w:p>
    <w:p w14:paraId="1B39E3A5" w14:textId="77777777" w:rsidR="007323DA" w:rsidRPr="00481068" w:rsidRDefault="007323DA" w:rsidP="007323DA">
      <w:pPr>
        <w:spacing w:before="120" w:line="276" w:lineRule="auto"/>
        <w:ind w:firstLine="708"/>
        <w:jc w:val="both"/>
        <w:rPr>
          <w:rFonts w:ascii="Arial" w:eastAsia="Calibri" w:hAnsi="Arial" w:cs="Arial"/>
          <w:color w:val="000000"/>
          <w:sz w:val="22"/>
        </w:rPr>
      </w:pPr>
      <w:r w:rsidRPr="00481068">
        <w:rPr>
          <w:rFonts w:ascii="Arial" w:eastAsia="Calibri" w:hAnsi="Arial" w:cs="Arial"/>
          <w:bCs/>
          <w:color w:val="000000"/>
          <w:sz w:val="22"/>
          <w:lang w:eastAsia="es-CO"/>
        </w:rPr>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16DEE013" w14:textId="77777777" w:rsidR="007323DA" w:rsidRPr="00481068" w:rsidRDefault="007323DA" w:rsidP="007323DA">
      <w:pPr>
        <w:spacing w:before="120" w:line="276" w:lineRule="auto"/>
        <w:ind w:firstLine="708"/>
        <w:jc w:val="both"/>
        <w:rPr>
          <w:rFonts w:ascii="Arial" w:eastAsia="Calibri" w:hAnsi="Arial" w:cs="Arial"/>
          <w:color w:val="000000"/>
          <w:sz w:val="22"/>
        </w:rPr>
      </w:pPr>
      <w:r w:rsidRPr="00481068">
        <w:rPr>
          <w:rFonts w:ascii="Arial" w:eastAsia="Calibri" w:hAnsi="Arial" w:cs="Arial"/>
          <w:color w:val="000000"/>
          <w:sz w:val="22"/>
        </w:rPr>
        <w:t xml:space="preserve">Sin perjuicio de lo anterior, </w:t>
      </w:r>
      <w:r w:rsidRPr="00481068">
        <w:rPr>
          <w:rFonts w:ascii="Arial" w:eastAsia="Calibri" w:hAnsi="Arial" w:cs="Arial"/>
          <w:color w:val="000000"/>
          <w:sz w:val="22"/>
          <w:lang w:val="es-ES"/>
        </w:rPr>
        <w:t xml:space="preserve">la Agencia –dentro de los límites de sus atribuciones, esto es, </w:t>
      </w:r>
      <w:bookmarkStart w:id="13" w:name="_Hlk61025408"/>
      <w:r w:rsidRPr="00481068">
        <w:rPr>
          <w:rFonts w:ascii="Arial" w:eastAsia="Calibri" w:hAnsi="Arial" w:cs="Arial"/>
          <w:color w:val="000000"/>
          <w:sz w:val="22"/>
          <w:lang w:val="es-ES"/>
        </w:rPr>
        <w:t>haciendo abstracción del caso particular expuesto por el peticionario</w:t>
      </w:r>
      <w:bookmarkEnd w:id="13"/>
      <w:r w:rsidRPr="00481068">
        <w:rPr>
          <w:rFonts w:ascii="Arial" w:eastAsia="Calibri" w:hAnsi="Arial" w:cs="Arial"/>
          <w:color w:val="000000"/>
          <w:sz w:val="22"/>
          <w:lang w:val="es-ES"/>
        </w:rPr>
        <w:t xml:space="preserve">– resolverá la consulta conforme a las normas generales en materia de contratación estatal. </w:t>
      </w:r>
      <w:r w:rsidRPr="00481068">
        <w:rPr>
          <w:rFonts w:ascii="Arial" w:eastAsia="Calibri" w:hAnsi="Arial" w:cs="Arial"/>
          <w:color w:val="000000" w:themeColor="text1"/>
          <w:sz w:val="22"/>
          <w:lang w:val="es-ES"/>
        </w:rPr>
        <w:t>Con este objetivo se analizarán los siguientes temas</w:t>
      </w:r>
      <w:r w:rsidRPr="00481068">
        <w:rPr>
          <w:rFonts w:ascii="Arial" w:eastAsia="Calibri" w:hAnsi="Arial" w:cs="Arial"/>
          <w:color w:val="000000"/>
          <w:sz w:val="22"/>
        </w:rPr>
        <w:t xml:space="preserve">: </w:t>
      </w:r>
      <w:r w:rsidRPr="00481068">
        <w:rPr>
          <w:rFonts w:ascii="Arial" w:eastAsia="Calibri" w:hAnsi="Arial" w:cs="Arial"/>
          <w:color w:val="000000"/>
          <w:sz w:val="22"/>
          <w:lang w:val="es-ES_tradnl"/>
        </w:rPr>
        <w:t xml:space="preserve">i) alcance de las restricciones establecidas en la Ley 996 de 2005 –más conocida como «Ley de Garantías Electorales»–, </w:t>
      </w:r>
      <w:proofErr w:type="spellStart"/>
      <w:r w:rsidRPr="00481068">
        <w:rPr>
          <w:rFonts w:ascii="Arial" w:eastAsia="Calibri" w:hAnsi="Arial" w:cs="Arial"/>
          <w:color w:val="000000"/>
          <w:sz w:val="22"/>
          <w:lang w:val="es-ES_tradnl"/>
        </w:rPr>
        <w:t>ii</w:t>
      </w:r>
      <w:proofErr w:type="spellEnd"/>
      <w:r w:rsidRPr="00481068">
        <w:rPr>
          <w:rFonts w:ascii="Arial" w:eastAsia="Calibri" w:hAnsi="Arial" w:cs="Arial"/>
          <w:color w:val="000000"/>
          <w:sz w:val="22"/>
          <w:lang w:val="es-ES_tradnl"/>
        </w:rPr>
        <w:t xml:space="preserve">) restricciones especiales aplicables de cara a las elecciones presidenciales, </w:t>
      </w:r>
      <w:proofErr w:type="spellStart"/>
      <w:r w:rsidRPr="00481068">
        <w:rPr>
          <w:rFonts w:ascii="Arial" w:eastAsia="Calibri" w:hAnsi="Arial" w:cs="Arial"/>
          <w:color w:val="000000"/>
          <w:sz w:val="22"/>
          <w:lang w:val="es-ES_tradnl"/>
        </w:rPr>
        <w:t>iii</w:t>
      </w:r>
      <w:proofErr w:type="spellEnd"/>
      <w:r w:rsidRPr="00481068">
        <w:rPr>
          <w:rFonts w:ascii="Arial" w:eastAsia="Calibri" w:hAnsi="Arial" w:cs="Arial"/>
          <w:color w:val="000000"/>
          <w:sz w:val="22"/>
          <w:lang w:val="es-ES_tradnl"/>
        </w:rPr>
        <w:t>) aplicación de la Ley de Garantías Electorales a la contratación directa sometida a los reglamentos de los organismos de cooperación, asistencia o ayuda internacional</w:t>
      </w:r>
      <w:r w:rsidRPr="00481068">
        <w:rPr>
          <w:rFonts w:ascii="Arial" w:eastAsia="Calibri" w:hAnsi="Arial" w:cs="Arial"/>
          <w:color w:val="000000"/>
          <w:sz w:val="22"/>
        </w:rPr>
        <w:t>.</w:t>
      </w:r>
    </w:p>
    <w:p w14:paraId="7F46F60A" w14:textId="77777777" w:rsidR="007323DA" w:rsidRPr="00481068" w:rsidRDefault="007323DA" w:rsidP="007323DA">
      <w:pPr>
        <w:tabs>
          <w:tab w:val="left" w:pos="426"/>
        </w:tabs>
        <w:spacing w:before="120" w:line="276" w:lineRule="auto"/>
        <w:ind w:firstLine="709"/>
        <w:jc w:val="both"/>
        <w:rPr>
          <w:rFonts w:ascii="Arial" w:hAnsi="Arial" w:cs="Arial"/>
          <w:sz w:val="22"/>
        </w:rPr>
      </w:pPr>
      <w:r w:rsidRPr="00481068">
        <w:rPr>
          <w:rFonts w:ascii="Arial" w:eastAsia="Calibri" w:hAnsi="Arial" w:cs="Arial"/>
          <w:color w:val="000000"/>
          <w:sz w:val="22"/>
        </w:rPr>
        <w:t xml:space="preserve"> La Agencia Nacional de Contratación Pública – Colombia Compra Eficiente se ha pronunciado en diferentes ocasiones sobre la Ley de Garantías Electorales,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C-429 del 27 de agosto de 2021, C-456 del 3 de septiembre, C-481 del 9 de septiembre de 2021, C- 528 del 27 de septiembre de 2021, C-550 del 5 de octubre de 2021, C-523 del 10 de octubre de 2021, C-614 del 2 de noviembre de 2021 y C-543 del 11 de noviembre de 2021, C-633 del 11 de noviembre de 2021, 681 del 7 de diciembre de 2021, C-686 del 21 de diciembre de 2021, C-697 del 3 de enero de 2022, C-009 del 15 de febrero de 2022, C-005 del 16 de febrero de  2022, C-014 del 18 de febrero de 2022, C- 022 del 21 de febrero de 2022, C-045 del 3 de marzo de 2022, C-064 del 8 de marzo de 2022, C-072 del 11 de marzo de 2022, C-097 del 18 de febrero de 2022, C-116 del 18 de febrero de 2022 y C-077 del 17 de marzo de 2022, entre otros. </w:t>
      </w:r>
    </w:p>
    <w:p w14:paraId="6059E63A" w14:textId="77777777" w:rsidR="007323DA" w:rsidRPr="00481068" w:rsidRDefault="007323DA" w:rsidP="007323DA">
      <w:pPr>
        <w:tabs>
          <w:tab w:val="left" w:pos="426"/>
        </w:tabs>
        <w:spacing w:before="120" w:line="276" w:lineRule="auto"/>
        <w:ind w:firstLine="709"/>
        <w:jc w:val="both"/>
        <w:rPr>
          <w:rFonts w:ascii="Arial" w:eastAsia="Calibri" w:hAnsi="Arial" w:cs="Arial"/>
          <w:sz w:val="22"/>
          <w:lang w:val="es-ES"/>
        </w:rPr>
      </w:pPr>
      <w:r w:rsidRPr="00481068">
        <w:rPr>
          <w:rFonts w:ascii="Arial" w:hAnsi="Arial" w:cs="Arial"/>
          <w:sz w:val="22"/>
        </w:rPr>
        <w:t xml:space="preserve">Los conceptos mencionados en el párrafo precedente fueron complementados, en lo pertinente, por el Concepto CU-180 del 8 de abril de 2022, en el que se efectuaron </w:t>
      </w:r>
      <w:r w:rsidRPr="00481068">
        <w:rPr>
          <w:rFonts w:ascii="Arial" w:hAnsi="Arial" w:cs="Arial"/>
          <w:sz w:val="22"/>
        </w:rPr>
        <w:lastRenderedPageBreak/>
        <w:t xml:space="preserve">algunas precisiones sobre los Conceptos </w:t>
      </w:r>
      <w:r w:rsidRPr="00481068">
        <w:rPr>
          <w:rFonts w:ascii="Arial" w:hAnsi="Arial" w:cs="Arial"/>
          <w:bCs/>
          <w:sz w:val="22"/>
        </w:rPr>
        <w:t>C-296 del 22 de junio</w:t>
      </w:r>
      <w:r w:rsidRPr="00481068">
        <w:rPr>
          <w:rFonts w:ascii="Arial" w:hAnsi="Arial" w:cs="Arial"/>
          <w:sz w:val="22"/>
        </w:rPr>
        <w:t xml:space="preserve"> de 2021, C-559 del 31 de agosto de 2021 y C-100 de 29 de marzo de 2022, relacionados con la aplicación de la Ley de Garantías Electorales frente a la contratación con organismos internacionales. </w:t>
      </w:r>
      <w:bookmarkStart w:id="14" w:name="_Hlk102372764"/>
      <w:bookmarkStart w:id="15" w:name="_Hlk102372981"/>
      <w:r w:rsidRPr="00481068">
        <w:rPr>
          <w:rFonts w:ascii="Arial" w:eastAsia="Calibri" w:hAnsi="Arial" w:cs="Arial"/>
          <w:sz w:val="22"/>
          <w:lang w:val="es-ES"/>
        </w:rPr>
        <w:t>De acuerdo con el artículo 10 de la Ley 1437 de 2011, es necesario tener en cuenta que «</w:t>
      </w:r>
      <w:r w:rsidRPr="00481068">
        <w:rPr>
          <w:rFonts w:ascii="Arial" w:eastAsia="Calibri" w:hAnsi="Arial" w:cs="Arial"/>
          <w:sz w:val="22"/>
        </w:rPr>
        <w:t>Al resolver los asuntos de su competencia, las autoridades aplicarán las disposiciones constitucionales, legales y reglamentarias de manera uniforme a situaciones que tengan los mismos supuestos fácticos y jurídicos». Por tanto,</w:t>
      </w:r>
      <w:r w:rsidRPr="00481068">
        <w:rPr>
          <w:rFonts w:ascii="Arial" w:eastAsia="Calibri" w:hAnsi="Arial" w:cs="Arial"/>
          <w:sz w:val="22"/>
          <w:lang w:val="es-ES"/>
        </w:rPr>
        <w:t xml:space="preserve"> la tesis desarrollada en el Concepto de Unificación CU-180 del 8 de abril de 2022 se reitera a continuación</w:t>
      </w:r>
      <w:bookmarkEnd w:id="14"/>
      <w:r w:rsidRPr="00481068">
        <w:rPr>
          <w:rFonts w:ascii="Arial" w:eastAsia="Calibri" w:hAnsi="Arial" w:cs="Arial"/>
          <w:sz w:val="22"/>
          <w:lang w:val="es-ES"/>
        </w:rPr>
        <w:t>:</w:t>
      </w:r>
    </w:p>
    <w:bookmarkEnd w:id="15"/>
    <w:p w14:paraId="73E21E00" w14:textId="77777777" w:rsidR="007323DA" w:rsidRPr="00481068" w:rsidRDefault="007323DA" w:rsidP="007323DA">
      <w:pPr>
        <w:spacing w:line="276" w:lineRule="auto"/>
        <w:contextualSpacing/>
        <w:jc w:val="both"/>
        <w:rPr>
          <w:rFonts w:ascii="Arial" w:eastAsia="Calibri" w:hAnsi="Arial" w:cs="Arial"/>
          <w:color w:val="000000"/>
          <w:sz w:val="22"/>
        </w:rPr>
      </w:pPr>
    </w:p>
    <w:p w14:paraId="44A5EB86" w14:textId="77777777" w:rsidR="007323DA" w:rsidRPr="00481068" w:rsidRDefault="007323DA" w:rsidP="007323DA">
      <w:pPr>
        <w:tabs>
          <w:tab w:val="left" w:pos="426"/>
        </w:tabs>
        <w:spacing w:line="276" w:lineRule="auto"/>
        <w:jc w:val="both"/>
        <w:rPr>
          <w:rFonts w:ascii="Arial" w:eastAsia="Calibri" w:hAnsi="Arial" w:cs="Arial"/>
          <w:b/>
          <w:bCs/>
          <w:sz w:val="22"/>
          <w:lang w:val="es-ES_tradnl"/>
        </w:rPr>
      </w:pPr>
      <w:r w:rsidRPr="00481068">
        <w:rPr>
          <w:rFonts w:ascii="Arial" w:eastAsia="Calibri" w:hAnsi="Arial" w:cs="Arial"/>
          <w:b/>
          <w:bCs/>
          <w:sz w:val="22"/>
          <w:lang w:val="es-ES_tradnl"/>
        </w:rPr>
        <w:t>2.1. Definición y finalidad de la Ley de Garantías Electorales: alcance de las restricciones</w:t>
      </w:r>
    </w:p>
    <w:p w14:paraId="2C494188" w14:textId="77777777" w:rsidR="007323DA" w:rsidRPr="00481068" w:rsidRDefault="007323DA" w:rsidP="007323DA">
      <w:pPr>
        <w:tabs>
          <w:tab w:val="left" w:pos="426"/>
        </w:tabs>
        <w:spacing w:line="276" w:lineRule="auto"/>
        <w:ind w:firstLine="709"/>
        <w:jc w:val="both"/>
        <w:rPr>
          <w:rFonts w:ascii="Arial" w:eastAsia="Calibri" w:hAnsi="Arial" w:cs="Arial"/>
          <w:bCs/>
          <w:sz w:val="22"/>
          <w:lang w:val="es-ES_tradnl"/>
        </w:rPr>
      </w:pPr>
    </w:p>
    <w:p w14:paraId="1163CDAF" w14:textId="77777777" w:rsidR="007323DA" w:rsidRPr="00481068" w:rsidRDefault="007323DA" w:rsidP="007323DA">
      <w:pPr>
        <w:tabs>
          <w:tab w:val="left" w:pos="426"/>
        </w:tabs>
        <w:spacing w:after="120" w:line="276" w:lineRule="auto"/>
        <w:jc w:val="both"/>
        <w:rPr>
          <w:rFonts w:ascii="Arial" w:hAnsi="Arial" w:cs="Arial"/>
          <w:bCs/>
          <w:sz w:val="22"/>
          <w:lang w:eastAsia="es-CO"/>
        </w:rPr>
      </w:pPr>
      <w:r w:rsidRPr="00481068">
        <w:rPr>
          <w:rFonts w:ascii="Arial" w:eastAsia="Calibri" w:hAnsi="Arial" w:cs="Arial"/>
          <w:bCs/>
          <w:sz w:val="22"/>
        </w:rPr>
        <w:t>El ordenamiento jurídico colombiano contempla previsiones claras para evitar la obtención de beneficios personales en asuntos propios de la administración pública</w:t>
      </w:r>
      <w:r w:rsidRPr="00481068">
        <w:rPr>
          <w:rFonts w:ascii="Arial" w:eastAsia="Calibri" w:hAnsi="Arial" w:cs="Arial"/>
          <w:bCs/>
          <w:i/>
          <w:iCs/>
          <w:sz w:val="22"/>
        </w:rPr>
        <w:t xml:space="preserve">. </w:t>
      </w:r>
      <w:r w:rsidRPr="00481068">
        <w:rPr>
          <w:rFonts w:ascii="Arial" w:eastAsia="Calibri" w:hAnsi="Arial" w:cs="Arial"/>
          <w:bCs/>
          <w:sz w:val="22"/>
        </w:rPr>
        <w:t>Por ejemplo, el artículo 127 de la Constitución Política establece una prohibición contractual a los servidores públicos y en cuanto a aspectos políticos consagra restricciones a ciertos empleados del Estado, incluso en época no electoral</w:t>
      </w:r>
      <w:r w:rsidRPr="00481068">
        <w:rPr>
          <w:rFonts w:ascii="Arial" w:eastAsia="Calibri" w:hAnsi="Arial" w:cs="Arial"/>
          <w:bCs/>
          <w:sz w:val="22"/>
          <w:vertAlign w:val="superscript"/>
        </w:rPr>
        <w:footnoteReference w:id="3"/>
      </w:r>
      <w:r w:rsidRPr="00481068">
        <w:rPr>
          <w:rFonts w:ascii="Arial" w:eastAsia="Calibri" w:hAnsi="Arial" w:cs="Arial"/>
          <w:bCs/>
          <w:sz w:val="22"/>
        </w:rPr>
        <w:t xml:space="preserve">. </w:t>
      </w:r>
    </w:p>
    <w:p w14:paraId="3CD66CCB" w14:textId="77777777" w:rsidR="007323DA" w:rsidRPr="00481068" w:rsidRDefault="007323DA" w:rsidP="007323DA">
      <w:pPr>
        <w:tabs>
          <w:tab w:val="left" w:pos="426"/>
        </w:tabs>
        <w:spacing w:line="276" w:lineRule="auto"/>
        <w:ind w:firstLine="709"/>
        <w:jc w:val="both"/>
        <w:rPr>
          <w:rFonts w:ascii="Arial" w:hAnsi="Arial" w:cs="Arial"/>
          <w:bCs/>
          <w:sz w:val="22"/>
          <w:lang w:eastAsia="es-CO"/>
        </w:rPr>
      </w:pPr>
      <w:r w:rsidRPr="00481068">
        <w:rPr>
          <w:rFonts w:ascii="Arial" w:hAnsi="Arial" w:cs="Arial"/>
          <w:bCs/>
          <w:sz w:val="22"/>
          <w:lang w:eastAsia="es-CO"/>
        </w:rPr>
        <w:t xml:space="preserve">En el mismo sentido, </w:t>
      </w:r>
      <w:bookmarkStart w:id="16" w:name="_Hlk99576829"/>
      <w:r w:rsidRPr="00481068">
        <w:rPr>
          <w:rFonts w:ascii="Arial" w:hAnsi="Arial" w:cs="Arial"/>
          <w:bCs/>
          <w:sz w:val="22"/>
          <w:lang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81068">
        <w:rPr>
          <w:rFonts w:ascii="Arial" w:hAnsi="Arial" w:cs="Arial"/>
          <w:bCs/>
          <w:sz w:val="22"/>
          <w:vertAlign w:val="superscript"/>
          <w:lang w:eastAsia="es-CO"/>
        </w:rPr>
        <w:footnoteReference w:id="4"/>
      </w:r>
      <w:r w:rsidRPr="00481068">
        <w:rPr>
          <w:rFonts w:ascii="Arial" w:hAnsi="Arial" w:cs="Arial"/>
          <w:bCs/>
          <w:sz w:val="22"/>
          <w:lang w:eastAsia="es-CO"/>
        </w:rPr>
        <w:t>. En esta medida, introduce limitaciones para realizar nombramientos, postulaciones, contrataciones o cualquier otro tipo de actividad que implique destinación de recursos públicos bajo el devenir propio de las entidades estatales.</w:t>
      </w:r>
      <w:r w:rsidRPr="00481068">
        <w:rPr>
          <w:rFonts w:ascii="Arial" w:eastAsia="Calibri" w:hAnsi="Arial" w:cs="Arial"/>
          <w:noProof/>
          <w:sz w:val="22"/>
          <w:lang w:val="es-ES_tradnl"/>
        </w:rPr>
        <w:t xml:space="preserve"> </w:t>
      </w:r>
      <w:bookmarkEnd w:id="16"/>
      <w:r w:rsidRPr="00481068">
        <w:rPr>
          <w:rFonts w:ascii="Arial" w:hAnsi="Arial" w:cs="Arial"/>
          <w:bCs/>
          <w:sz w:val="22"/>
          <w:lang w:eastAsia="es-CO"/>
        </w:rPr>
        <w:t>En armonía con lo anterior, la Corte Constitucional ha abordado la definición de la Ley de Garantías Electorales. De esta manera, explica que tiene como propósito:</w:t>
      </w:r>
    </w:p>
    <w:p w14:paraId="091886C2" w14:textId="77777777" w:rsidR="007323DA" w:rsidRPr="00481068" w:rsidRDefault="007323DA" w:rsidP="007323DA">
      <w:pPr>
        <w:spacing w:line="276" w:lineRule="auto"/>
        <w:ind w:right="709"/>
        <w:contextualSpacing/>
        <w:jc w:val="both"/>
        <w:rPr>
          <w:rFonts w:ascii="Arial" w:hAnsi="Arial" w:cs="Arial"/>
          <w:sz w:val="22"/>
          <w:lang w:val="es-ES" w:eastAsia="es-CO"/>
        </w:rPr>
      </w:pPr>
    </w:p>
    <w:p w14:paraId="0CF6803E" w14:textId="08105D86" w:rsidR="007323DA" w:rsidRPr="00481068" w:rsidRDefault="00041124" w:rsidP="007323DA">
      <w:pPr>
        <w:ind w:left="709" w:right="709"/>
        <w:contextualSpacing/>
        <w:jc w:val="both"/>
        <w:rPr>
          <w:rFonts w:ascii="Arial" w:hAnsi="Arial" w:cs="Arial"/>
          <w:bCs/>
          <w:sz w:val="21"/>
          <w:szCs w:val="21"/>
          <w:lang w:eastAsia="es-CO"/>
        </w:rPr>
      </w:pPr>
      <w:r w:rsidRPr="006337DF">
        <w:rPr>
          <w:rFonts w:ascii="Arial" w:hAnsi="Arial" w:cs="Arial"/>
          <w:sz w:val="21"/>
          <w:szCs w:val="21"/>
        </w:rPr>
        <w:lastRenderedPageBreak/>
        <w:t>«</w:t>
      </w:r>
      <w:r w:rsidR="007323DA" w:rsidRPr="00481068">
        <w:rPr>
          <w:rFonts w:ascii="Arial" w:hAnsi="Arial" w:cs="Arial"/>
          <w:sz w:val="21"/>
          <w:szCs w:val="21"/>
          <w:lang w:val="es-ES" w:eastAsia="es-CO"/>
        </w:rPr>
        <w:t xml:space="preserve">[…] </w:t>
      </w:r>
      <w:r w:rsidR="007323DA" w:rsidRPr="00481068">
        <w:rPr>
          <w:rFonts w:ascii="Arial"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67A2941A" w14:textId="77777777" w:rsidR="007323DA" w:rsidRPr="00481068" w:rsidRDefault="007323DA" w:rsidP="007323DA">
      <w:pPr>
        <w:ind w:left="709" w:right="709"/>
        <w:contextualSpacing/>
        <w:jc w:val="both"/>
        <w:rPr>
          <w:rFonts w:ascii="Arial" w:hAnsi="Arial" w:cs="Arial"/>
          <w:bCs/>
          <w:sz w:val="21"/>
          <w:szCs w:val="21"/>
          <w:lang w:eastAsia="es-CO"/>
        </w:rPr>
      </w:pPr>
      <w:r w:rsidRPr="00481068">
        <w:rPr>
          <w:rFonts w:ascii="Arial" w:hAnsi="Arial" w:cs="Arial"/>
          <w:bCs/>
          <w:sz w:val="21"/>
          <w:szCs w:val="21"/>
          <w:lang w:eastAsia="es-CO"/>
        </w:rPr>
        <w:t xml:space="preserve">[…] </w:t>
      </w:r>
    </w:p>
    <w:p w14:paraId="63189185" w14:textId="77777777" w:rsidR="007323DA" w:rsidRPr="00481068" w:rsidRDefault="007323DA" w:rsidP="007323DA">
      <w:pPr>
        <w:ind w:right="709"/>
        <w:contextualSpacing/>
        <w:jc w:val="both"/>
        <w:rPr>
          <w:rFonts w:ascii="Arial" w:hAnsi="Arial" w:cs="Arial"/>
          <w:bCs/>
          <w:sz w:val="21"/>
          <w:szCs w:val="21"/>
          <w:lang w:eastAsia="es-CO"/>
        </w:rPr>
      </w:pPr>
    </w:p>
    <w:p w14:paraId="4093809F" w14:textId="4504F034" w:rsidR="007323DA" w:rsidRPr="00481068" w:rsidRDefault="007323DA" w:rsidP="007323DA">
      <w:pPr>
        <w:ind w:left="709" w:right="709"/>
        <w:contextualSpacing/>
        <w:jc w:val="both"/>
        <w:rPr>
          <w:rFonts w:ascii="Arial" w:hAnsi="Arial" w:cs="Arial"/>
          <w:bCs/>
          <w:sz w:val="21"/>
          <w:szCs w:val="21"/>
          <w:lang w:eastAsia="es-CO"/>
        </w:rPr>
      </w:pPr>
      <w:r w:rsidRPr="00481068">
        <w:rPr>
          <w:rFonts w:ascii="Arial"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00E87543" w:rsidRPr="006337DF">
        <w:rPr>
          <w:rFonts w:ascii="Arial" w:hAnsi="Arial" w:cs="Arial"/>
          <w:sz w:val="21"/>
          <w:szCs w:val="21"/>
        </w:rPr>
        <w:t>»</w:t>
      </w:r>
      <w:r w:rsidRPr="00481068">
        <w:rPr>
          <w:rFonts w:ascii="Arial" w:eastAsia="Calibri" w:hAnsi="Arial" w:cs="Arial"/>
          <w:sz w:val="20"/>
          <w:szCs w:val="20"/>
          <w:vertAlign w:val="superscript"/>
        </w:rPr>
        <w:footnoteReference w:id="5"/>
      </w:r>
    </w:p>
    <w:p w14:paraId="75BA1D6A" w14:textId="77777777" w:rsidR="007323DA" w:rsidRPr="00481068" w:rsidRDefault="007323DA" w:rsidP="007323DA">
      <w:pPr>
        <w:spacing w:line="276" w:lineRule="auto"/>
        <w:ind w:left="709" w:right="709"/>
        <w:contextualSpacing/>
        <w:jc w:val="both"/>
        <w:rPr>
          <w:rFonts w:ascii="Arial" w:hAnsi="Arial" w:cs="Arial"/>
          <w:bCs/>
          <w:sz w:val="22"/>
          <w:lang w:eastAsia="es-CO"/>
        </w:rPr>
      </w:pPr>
    </w:p>
    <w:p w14:paraId="00075A8E" w14:textId="77777777" w:rsidR="007323DA" w:rsidRPr="00481068" w:rsidRDefault="007323DA" w:rsidP="007323DA">
      <w:pPr>
        <w:spacing w:line="276" w:lineRule="auto"/>
        <w:ind w:firstLine="709"/>
        <w:jc w:val="both"/>
        <w:rPr>
          <w:rFonts w:ascii="Arial" w:hAnsi="Arial" w:cs="Arial"/>
          <w:bCs/>
          <w:sz w:val="22"/>
          <w:lang w:eastAsia="es-CO"/>
        </w:rPr>
      </w:pPr>
      <w:bookmarkStart w:id="17" w:name="_Hlk78818186"/>
      <w:r w:rsidRPr="00481068">
        <w:rPr>
          <w:rFonts w:ascii="Arial" w:hAnsi="Arial" w:cs="Arial"/>
          <w:bCs/>
          <w:sz w:val="22"/>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7"/>
      <w:r w:rsidRPr="00481068">
        <w:rPr>
          <w:rFonts w:ascii="Arial" w:hAnsi="Arial" w:cs="Arial"/>
          <w:bCs/>
          <w:sz w:val="22"/>
          <w:lang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3529B48E" w14:textId="77777777" w:rsidR="007323DA" w:rsidRPr="00481068" w:rsidRDefault="007323DA" w:rsidP="007323DA">
      <w:pPr>
        <w:spacing w:line="276" w:lineRule="auto"/>
        <w:ind w:firstLine="709"/>
        <w:contextualSpacing/>
        <w:jc w:val="both"/>
        <w:rPr>
          <w:rFonts w:ascii="Arial" w:hAnsi="Arial" w:cs="Arial"/>
          <w:bCs/>
          <w:sz w:val="22"/>
          <w:lang w:eastAsia="es-CO"/>
        </w:rPr>
      </w:pPr>
    </w:p>
    <w:p w14:paraId="1C00838E" w14:textId="104F38E5" w:rsidR="007323DA" w:rsidRPr="00481068" w:rsidRDefault="007323DA" w:rsidP="007323DA">
      <w:pPr>
        <w:ind w:left="709" w:right="709"/>
        <w:contextualSpacing/>
        <w:jc w:val="both"/>
        <w:rPr>
          <w:rFonts w:ascii="Arial" w:hAnsi="Arial" w:cs="Arial"/>
          <w:bCs/>
          <w:sz w:val="21"/>
          <w:szCs w:val="21"/>
          <w:lang w:eastAsia="es-CO"/>
        </w:rPr>
      </w:pPr>
      <w:r w:rsidRPr="00481068">
        <w:rPr>
          <w:rFonts w:ascii="Arial" w:hAnsi="Arial" w:cs="Arial"/>
          <w:bCs/>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AC3A923" w14:textId="77777777" w:rsidR="007323DA" w:rsidRPr="00481068" w:rsidRDefault="007323DA" w:rsidP="007323DA">
      <w:pPr>
        <w:ind w:left="709" w:right="709"/>
        <w:contextualSpacing/>
        <w:jc w:val="both"/>
        <w:rPr>
          <w:rFonts w:ascii="Arial" w:hAnsi="Arial" w:cs="Arial"/>
          <w:bCs/>
          <w:sz w:val="21"/>
          <w:szCs w:val="21"/>
          <w:lang w:eastAsia="es-CO"/>
        </w:rPr>
      </w:pPr>
    </w:p>
    <w:p w14:paraId="1F3C99A8" w14:textId="4A4672D8" w:rsidR="007323DA" w:rsidRPr="00481068" w:rsidRDefault="007323DA" w:rsidP="007323DA">
      <w:pPr>
        <w:ind w:left="709" w:right="709"/>
        <w:contextualSpacing/>
        <w:jc w:val="both"/>
        <w:rPr>
          <w:rFonts w:ascii="Arial" w:hAnsi="Arial" w:cs="Arial"/>
          <w:bCs/>
          <w:sz w:val="21"/>
          <w:szCs w:val="21"/>
          <w:lang w:eastAsia="es-CO"/>
        </w:rPr>
      </w:pPr>
      <w:r w:rsidRPr="00481068">
        <w:rPr>
          <w:rFonts w:ascii="Arial" w:hAnsi="Arial" w:cs="Arial"/>
          <w:bCs/>
          <w:sz w:val="21"/>
          <w:szCs w:val="21"/>
          <w:lang w:eastAsia="es-CO"/>
        </w:rPr>
        <w:lastRenderedPageBreak/>
        <w:t>La jurisprudencia de la Corte Constitucional</w:t>
      </w:r>
      <w:r w:rsidRPr="00481068">
        <w:rPr>
          <w:rFonts w:ascii="Arial" w:hAnsi="Arial" w:cs="Arial"/>
          <w:bCs/>
          <w:sz w:val="21"/>
          <w:szCs w:val="21"/>
          <w:vertAlign w:val="superscript"/>
          <w:lang w:eastAsia="es-CO"/>
        </w:rPr>
        <w:footnoteReference w:id="6"/>
      </w:r>
      <w:r w:rsidRPr="00481068">
        <w:rPr>
          <w:rFonts w:ascii="Arial" w:hAnsi="Arial" w:cs="Arial"/>
          <w:bCs/>
          <w:sz w:val="21"/>
          <w:szCs w:val="21"/>
          <w:lang w:eastAsia="es-CO"/>
        </w:rPr>
        <w:t> y del Consejo de Estado</w:t>
      </w:r>
      <w:r w:rsidRPr="00481068">
        <w:rPr>
          <w:rFonts w:ascii="Arial" w:hAnsi="Arial" w:cs="Arial"/>
          <w:bCs/>
          <w:sz w:val="21"/>
          <w:szCs w:val="21"/>
          <w:vertAlign w:val="superscript"/>
          <w:lang w:eastAsia="es-CO"/>
        </w:rPr>
        <w:footnoteReference w:id="7"/>
      </w:r>
      <w:r w:rsidRPr="00481068">
        <w:rPr>
          <w:rFonts w:ascii="Arial" w:hAnsi="Arial" w:cs="Arial"/>
          <w:bCs/>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E87543">
        <w:rPr>
          <w:rFonts w:ascii="Arial" w:hAnsi="Arial" w:cs="Arial"/>
          <w:bCs/>
          <w:sz w:val="21"/>
          <w:szCs w:val="21"/>
          <w:lang w:eastAsia="es-CO"/>
        </w:rPr>
        <w:t>.</w:t>
      </w:r>
      <w:r w:rsidRPr="00481068">
        <w:rPr>
          <w:rFonts w:ascii="Arial" w:hAnsi="Arial" w:cs="Arial"/>
          <w:bCs/>
          <w:vertAlign w:val="superscript"/>
          <w:lang w:eastAsia="es-CO"/>
        </w:rPr>
        <w:footnoteReference w:id="8"/>
      </w:r>
    </w:p>
    <w:p w14:paraId="72DF71C2" w14:textId="77777777" w:rsidR="007323DA" w:rsidRPr="00481068" w:rsidRDefault="007323DA" w:rsidP="007323DA">
      <w:pPr>
        <w:spacing w:line="276" w:lineRule="auto"/>
        <w:ind w:right="709"/>
        <w:contextualSpacing/>
        <w:jc w:val="both"/>
        <w:rPr>
          <w:rFonts w:ascii="Arial" w:hAnsi="Arial" w:cs="Arial"/>
          <w:bCs/>
          <w:sz w:val="22"/>
          <w:lang w:eastAsia="es-CO"/>
        </w:rPr>
      </w:pPr>
    </w:p>
    <w:p w14:paraId="011C145E" w14:textId="77777777" w:rsidR="007323DA" w:rsidRPr="00481068" w:rsidRDefault="007323DA" w:rsidP="007323DA">
      <w:pPr>
        <w:spacing w:after="120" w:line="276" w:lineRule="auto"/>
        <w:jc w:val="both"/>
        <w:rPr>
          <w:rFonts w:ascii="Arial" w:eastAsia="Arial" w:hAnsi="Arial" w:cs="Arial"/>
          <w:sz w:val="22"/>
          <w:lang w:val="es-ES" w:eastAsia="es-ES" w:bidi="es-ES"/>
        </w:rPr>
      </w:pPr>
      <w:r w:rsidRPr="00481068">
        <w:rPr>
          <w:rFonts w:ascii="Arial" w:hAnsi="Arial" w:cs="Arial"/>
          <w:bCs/>
          <w:sz w:val="22"/>
          <w:lang w:eastAsia="es-CO"/>
        </w:rPr>
        <w:tab/>
        <w:t>De</w:t>
      </w:r>
      <w:r w:rsidRPr="00481068">
        <w:rPr>
          <w:rFonts w:ascii="Arial" w:eastAsia="Arial" w:hAnsi="Arial" w:cs="Arial"/>
          <w:sz w:val="22"/>
          <w:lang w:val="es-ES" w:eastAsia="es-ES" w:bidi="es-ES"/>
        </w:rPr>
        <w:t xml:space="preserve"> conformidad con lo anterior, </w:t>
      </w:r>
      <w:bookmarkStart w:id="18" w:name="_Hlk77236098"/>
      <w:r w:rsidRPr="00481068">
        <w:rPr>
          <w:rFonts w:ascii="Arial" w:eastAsia="Arial" w:hAnsi="Arial" w:cs="Arial"/>
          <w:sz w:val="22"/>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8"/>
    </w:p>
    <w:p w14:paraId="2D461B6A" w14:textId="77777777" w:rsidR="007323DA" w:rsidRPr="00481068" w:rsidRDefault="007323DA" w:rsidP="007323DA">
      <w:pPr>
        <w:spacing w:after="120" w:line="276" w:lineRule="auto"/>
        <w:ind w:firstLine="708"/>
        <w:jc w:val="both"/>
        <w:rPr>
          <w:rFonts w:ascii="Arial" w:eastAsia="Calibri" w:hAnsi="Arial" w:cs="Arial"/>
          <w:sz w:val="22"/>
        </w:rPr>
      </w:pPr>
      <w:r w:rsidRPr="00481068">
        <w:rPr>
          <w:rFonts w:ascii="Arial" w:eastAsia="Calibri" w:hAnsi="Arial" w:cs="Arial"/>
          <w:sz w:val="22"/>
        </w:rPr>
        <w:t xml:space="preserve">Por un lado, el artículo 33 de la Ley 996 de 2005 prohíbe </w:t>
      </w:r>
      <w:r w:rsidRPr="00481068">
        <w:rPr>
          <w:rFonts w:ascii="Arial" w:eastAsia="Calibri" w:hAnsi="Arial" w:cs="Arial"/>
          <w:bCs/>
          <w:sz w:val="22"/>
        </w:rPr>
        <w:t xml:space="preserve">«[…] </w:t>
      </w:r>
      <w:r w:rsidRPr="00481068">
        <w:rPr>
          <w:rFonts w:ascii="Arial" w:eastAsia="Calibri" w:hAnsi="Arial" w:cs="Arial"/>
          <w:sz w:val="22"/>
        </w:rPr>
        <w:t>la contratación directa por parte de todos los entes del Estado</w:t>
      </w:r>
      <w:r w:rsidRPr="00481068">
        <w:rPr>
          <w:rFonts w:ascii="Arial" w:eastAsia="Calibri" w:hAnsi="Arial" w:cs="Arial"/>
          <w:bCs/>
          <w:sz w:val="22"/>
        </w:rPr>
        <w:t>»</w:t>
      </w:r>
      <w:r w:rsidRPr="00481068">
        <w:rPr>
          <w:rFonts w:ascii="Arial" w:eastAsia="Calibri" w:hAnsi="Arial" w:cs="Arial"/>
          <w:sz w:val="22"/>
        </w:rPr>
        <w:t xml:space="preserve"> durante los cuatro (4) meses anteriores a las elecciones presidenciales, salvo </w:t>
      </w:r>
      <w:r w:rsidRPr="00481068">
        <w:rPr>
          <w:rFonts w:ascii="Arial" w:eastAsia="Calibri" w:hAnsi="Arial" w:cs="Arial"/>
          <w:bCs/>
          <w:sz w:val="22"/>
        </w:rPr>
        <w:t xml:space="preserve">«[…] </w:t>
      </w:r>
      <w:r w:rsidRPr="00481068">
        <w:rPr>
          <w:rFonts w:ascii="Arial" w:eastAsia="Calibri" w:hAnsi="Arial" w:cs="Arial"/>
          <w:sz w:val="22"/>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w:t>
      </w:r>
      <w:r w:rsidRPr="00481068">
        <w:rPr>
          <w:rFonts w:ascii="Arial" w:eastAsia="Calibri" w:hAnsi="Arial" w:cs="Arial"/>
          <w:sz w:val="22"/>
        </w:rPr>
        <w:lastRenderedPageBreak/>
        <w:t>sido objeto de atentados, acciones terroristas, desastres naturales o casos de fuerza mayor, y los que deban realizar las entidades sanitarias y hospitalarias</w:t>
      </w:r>
      <w:r w:rsidRPr="00481068">
        <w:rPr>
          <w:rFonts w:ascii="Arial" w:eastAsia="Calibri" w:hAnsi="Arial" w:cs="Arial"/>
          <w:bCs/>
          <w:sz w:val="22"/>
        </w:rPr>
        <w:t>»</w:t>
      </w:r>
      <w:r w:rsidRPr="00481068">
        <w:rPr>
          <w:rFonts w:ascii="Arial" w:eastAsia="Calibri" w:hAnsi="Arial" w:cs="Arial"/>
          <w:bCs/>
          <w:sz w:val="22"/>
          <w:vertAlign w:val="superscript"/>
        </w:rPr>
        <w:footnoteReference w:id="9"/>
      </w:r>
      <w:r w:rsidRPr="00481068">
        <w:rPr>
          <w:rFonts w:ascii="Arial" w:eastAsia="Calibri" w:hAnsi="Arial" w:cs="Arial"/>
          <w:sz w:val="22"/>
        </w:rPr>
        <w:t>.</w:t>
      </w:r>
    </w:p>
    <w:p w14:paraId="75966D00" w14:textId="77777777" w:rsidR="007323DA" w:rsidRPr="00481068" w:rsidRDefault="007323DA" w:rsidP="007323DA">
      <w:pPr>
        <w:widowControl w:val="0"/>
        <w:autoSpaceDE w:val="0"/>
        <w:autoSpaceDN w:val="0"/>
        <w:spacing w:line="276" w:lineRule="auto"/>
        <w:ind w:right="113" w:firstLine="708"/>
        <w:contextualSpacing/>
        <w:jc w:val="both"/>
        <w:rPr>
          <w:rFonts w:ascii="Arial" w:eastAsia="Arial" w:hAnsi="Arial" w:cs="Arial"/>
          <w:sz w:val="22"/>
          <w:lang w:val="es-ES" w:eastAsia="es-ES" w:bidi="es-ES"/>
        </w:rPr>
      </w:pPr>
      <w:r w:rsidRPr="00481068">
        <w:rPr>
          <w:rFonts w:ascii="Arial" w:eastAsia="Calibri" w:hAnsi="Arial" w:cs="Arial"/>
          <w:sz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81068">
        <w:rPr>
          <w:rFonts w:ascii="Arial" w:eastAsia="Calibri" w:hAnsi="Arial" w:cs="Arial"/>
          <w:bCs/>
          <w:sz w:val="22"/>
        </w:rPr>
        <w:t xml:space="preserve">«[…] </w:t>
      </w:r>
      <w:r w:rsidRPr="00481068">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81068">
        <w:rPr>
          <w:rFonts w:ascii="Arial" w:eastAsia="Calibri" w:hAnsi="Arial" w:cs="Arial"/>
          <w:bCs/>
          <w:sz w:val="22"/>
        </w:rPr>
        <w:t>»</w:t>
      </w:r>
      <w:r w:rsidRPr="00481068">
        <w:rPr>
          <w:rFonts w:ascii="Arial" w:eastAsia="Calibri" w:hAnsi="Arial" w:cs="Arial"/>
          <w:bCs/>
          <w:sz w:val="22"/>
          <w:vertAlign w:val="superscript"/>
        </w:rPr>
        <w:footnoteReference w:id="10"/>
      </w:r>
      <w:r w:rsidRPr="00481068">
        <w:rPr>
          <w:rFonts w:ascii="Arial" w:eastAsia="Calibri" w:hAnsi="Arial" w:cs="Arial"/>
          <w:sz w:val="22"/>
        </w:rPr>
        <w:t>.</w:t>
      </w:r>
      <w:r w:rsidRPr="00481068">
        <w:rPr>
          <w:rFonts w:ascii="Arial" w:eastAsia="Arial" w:hAnsi="Arial" w:cs="Arial"/>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26E086E2" w14:textId="77777777" w:rsidR="007323DA" w:rsidRPr="00481068" w:rsidRDefault="007323DA" w:rsidP="007323DA">
      <w:pPr>
        <w:widowControl w:val="0"/>
        <w:autoSpaceDE w:val="0"/>
        <w:autoSpaceDN w:val="0"/>
        <w:spacing w:line="276" w:lineRule="auto"/>
        <w:ind w:left="805" w:right="812"/>
        <w:contextualSpacing/>
        <w:jc w:val="both"/>
        <w:rPr>
          <w:rFonts w:ascii="Arial" w:eastAsia="Arial" w:hAnsi="Arial" w:cs="Arial"/>
          <w:sz w:val="22"/>
          <w:lang w:val="es-ES" w:eastAsia="es-ES" w:bidi="es-ES"/>
        </w:rPr>
      </w:pPr>
    </w:p>
    <w:p w14:paraId="0EA3614C" w14:textId="5CFCE3BD" w:rsidR="007323DA" w:rsidRPr="00481068" w:rsidRDefault="00702537" w:rsidP="007323DA">
      <w:pPr>
        <w:widowControl w:val="0"/>
        <w:autoSpaceDE w:val="0"/>
        <w:autoSpaceDN w:val="0"/>
        <w:ind w:left="709" w:right="709"/>
        <w:contextualSpacing/>
        <w:jc w:val="both"/>
        <w:rPr>
          <w:rFonts w:ascii="Arial" w:eastAsia="Arial" w:hAnsi="Arial" w:cs="Arial"/>
          <w:sz w:val="21"/>
          <w:szCs w:val="21"/>
          <w:lang w:val="es-ES" w:eastAsia="es-ES" w:bidi="es-ES"/>
        </w:rPr>
      </w:pPr>
      <w:r w:rsidRPr="006337DF">
        <w:rPr>
          <w:rFonts w:ascii="Arial" w:hAnsi="Arial" w:cs="Arial"/>
          <w:sz w:val="21"/>
          <w:szCs w:val="21"/>
        </w:rPr>
        <w:t>«</w:t>
      </w:r>
      <w:r w:rsidR="007323DA" w:rsidRPr="00481068">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1" w:name="_Hlk76109421"/>
      <w:r w:rsidR="007323DA" w:rsidRPr="00481068">
        <w:rPr>
          <w:rFonts w:ascii="Arial" w:eastAsia="Arial" w:hAnsi="Arial" w:cs="Arial"/>
          <w:sz w:val="21"/>
          <w:szCs w:val="21"/>
          <w:lang w:val="es-ES" w:eastAsia="es-ES" w:bidi="es-ES"/>
        </w:rPr>
        <w:t>se integran parcialmente</w:t>
      </w:r>
      <w:bookmarkEnd w:id="21"/>
      <w:r w:rsidR="007323DA" w:rsidRPr="00481068">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w:t>
      </w:r>
      <w:r w:rsidR="007323DA" w:rsidRPr="00481068">
        <w:rPr>
          <w:rFonts w:ascii="Arial" w:eastAsia="Arial" w:hAnsi="Arial" w:cs="Arial"/>
          <w:sz w:val="21"/>
          <w:szCs w:val="21"/>
          <w:lang w:val="es-ES" w:eastAsia="es-ES" w:bidi="es-ES"/>
        </w:rPr>
        <w:lastRenderedPageBreak/>
        <w:t xml:space="preserve">excepciones, así como las del parágrafo del artículo 38. </w:t>
      </w:r>
      <w:r w:rsidR="007323DA" w:rsidRPr="00481068">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007323DA" w:rsidRPr="00481068">
        <w:rPr>
          <w:rFonts w:ascii="Arial" w:eastAsia="Arial" w:hAnsi="Arial" w:cs="Arial"/>
          <w:sz w:val="21"/>
          <w:szCs w:val="21"/>
          <w:lang w:val="es-ES" w:eastAsia="es-ES" w:bidi="es-ES"/>
        </w:rPr>
        <w:t>.</w:t>
      </w:r>
      <w:r w:rsidR="00E87543" w:rsidRPr="006337DF">
        <w:rPr>
          <w:rFonts w:ascii="Arial" w:hAnsi="Arial" w:cs="Arial"/>
          <w:sz w:val="21"/>
          <w:szCs w:val="21"/>
        </w:rPr>
        <w:t>»</w:t>
      </w:r>
      <w:r w:rsidR="007323DA" w:rsidRPr="00481068">
        <w:rPr>
          <w:rFonts w:ascii="Arial" w:eastAsia="Arial" w:hAnsi="Arial" w:cs="Arial"/>
          <w:sz w:val="21"/>
          <w:szCs w:val="21"/>
          <w:vertAlign w:val="superscript"/>
          <w:lang w:val="es-ES" w:eastAsia="es-ES" w:bidi="es-ES"/>
        </w:rPr>
        <w:footnoteReference w:id="11"/>
      </w:r>
    </w:p>
    <w:p w14:paraId="2CD8683E" w14:textId="77777777" w:rsidR="007323DA" w:rsidRPr="00481068" w:rsidRDefault="007323DA" w:rsidP="007323DA">
      <w:pPr>
        <w:widowControl w:val="0"/>
        <w:autoSpaceDE w:val="0"/>
        <w:autoSpaceDN w:val="0"/>
        <w:spacing w:line="276" w:lineRule="auto"/>
        <w:contextualSpacing/>
        <w:rPr>
          <w:rFonts w:ascii="Arial" w:eastAsia="Arial" w:hAnsi="Arial" w:cs="Arial"/>
          <w:sz w:val="22"/>
          <w:lang w:val="es-ES" w:eastAsia="es-ES" w:bidi="es-ES"/>
        </w:rPr>
      </w:pPr>
    </w:p>
    <w:p w14:paraId="0523DEE1" w14:textId="77777777" w:rsidR="007323DA" w:rsidRPr="00481068" w:rsidRDefault="007323DA" w:rsidP="007323DA">
      <w:pPr>
        <w:spacing w:after="120" w:line="276" w:lineRule="auto"/>
        <w:ind w:firstLine="709"/>
        <w:jc w:val="both"/>
        <w:rPr>
          <w:rFonts w:ascii="Arial" w:eastAsia="Arial" w:hAnsi="Arial" w:cs="Arial"/>
          <w:sz w:val="22"/>
          <w:lang w:val="es-ES" w:eastAsia="es-ES" w:bidi="es-ES"/>
        </w:rPr>
      </w:pPr>
      <w:r w:rsidRPr="00481068">
        <w:rPr>
          <w:rFonts w:ascii="Arial" w:eastAsia="Arial" w:hAnsi="Arial" w:cs="Arial"/>
          <w:sz w:val="22"/>
          <w:lang w:val="es-ES" w:eastAsia="es-ES" w:bidi="es-ES"/>
        </w:rPr>
        <w:t xml:space="preserve">De conformidad con lo anterior, </w:t>
      </w:r>
      <w:bookmarkStart w:id="22" w:name="_Hlk77236420"/>
      <w:bookmarkStart w:id="23" w:name="_Hlk78818435"/>
      <w:bookmarkStart w:id="24" w:name="_Hlk75780333"/>
      <w:r w:rsidRPr="00481068">
        <w:rPr>
          <w:rFonts w:ascii="Arial" w:eastAsia="Arial" w:hAnsi="Arial" w:cs="Arial"/>
          <w:sz w:val="22"/>
          <w:lang w:val="es-ES" w:eastAsia="es-ES" w:bidi="es-ES"/>
        </w:rPr>
        <w:t xml:space="preserve">la Ley 996 de 2005 establece dos (2) tipos de restricciones en materia de contratación, las cuales coinciden parcialmente. </w:t>
      </w:r>
      <w:r w:rsidRPr="00481068">
        <w:rPr>
          <w:rFonts w:ascii="Arial" w:eastAsia="Arial" w:hAnsi="Arial" w:cs="Arial"/>
          <w:i/>
          <w:iCs/>
          <w:sz w:val="22"/>
          <w:lang w:val="es-ES" w:eastAsia="es-ES" w:bidi="es-ES"/>
        </w:rPr>
        <w:t>En primer lugar</w:t>
      </w:r>
      <w:r w:rsidRPr="00481068">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81068">
        <w:rPr>
          <w:rFonts w:ascii="Arial" w:eastAsia="Arial" w:hAnsi="Arial" w:cs="Arial"/>
          <w:i/>
          <w:iCs/>
          <w:sz w:val="22"/>
          <w:lang w:val="es-ES" w:eastAsia="es-ES" w:bidi="es-ES"/>
        </w:rPr>
        <w:t>En segundo lugar</w:t>
      </w:r>
      <w:r w:rsidRPr="00481068">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2"/>
    </w:p>
    <w:bookmarkEnd w:id="23"/>
    <w:p w14:paraId="4C2A14BC" w14:textId="77777777" w:rsidR="007323DA" w:rsidRPr="00481068" w:rsidRDefault="007323DA" w:rsidP="007323DA">
      <w:pPr>
        <w:spacing w:after="120" w:line="276" w:lineRule="auto"/>
        <w:ind w:firstLine="709"/>
        <w:jc w:val="both"/>
        <w:rPr>
          <w:rFonts w:ascii="Arial" w:eastAsia="Arial" w:hAnsi="Arial" w:cs="Arial"/>
          <w:sz w:val="22"/>
          <w:lang w:val="es-ES" w:eastAsia="es-ES" w:bidi="es-ES"/>
        </w:rPr>
      </w:pPr>
      <w:r w:rsidRPr="00481068">
        <w:rPr>
          <w:rFonts w:ascii="Arial" w:eastAsia="Arial" w:hAnsi="Arial" w:cs="Arial"/>
          <w:sz w:val="22"/>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24"/>
    <w:p w14:paraId="056A5694" w14:textId="77777777" w:rsidR="007323DA" w:rsidRPr="00481068" w:rsidRDefault="007323DA" w:rsidP="007323DA">
      <w:pPr>
        <w:spacing w:before="120" w:line="276" w:lineRule="auto"/>
        <w:ind w:firstLine="708"/>
        <w:jc w:val="both"/>
        <w:rPr>
          <w:rFonts w:ascii="Arial" w:eastAsia="Arial" w:hAnsi="Arial" w:cs="Arial"/>
          <w:sz w:val="22"/>
          <w:lang w:val="es-ES_tradnl" w:eastAsia="es-ES" w:bidi="es-ES"/>
        </w:rPr>
      </w:pPr>
      <w:r w:rsidRPr="00481068">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w:t>
      </w:r>
      <w:r w:rsidRPr="00481068">
        <w:rPr>
          <w:rFonts w:ascii="Arial" w:eastAsia="Arial" w:hAnsi="Arial" w:cs="Arial"/>
          <w:sz w:val="22"/>
          <w:lang w:val="es-ES" w:eastAsia="es-ES" w:bidi="es-ES"/>
        </w:rPr>
        <w:lastRenderedPageBreak/>
        <w:t xml:space="preserve">ejercido la presidencia o que la haya ejercido por un tiempo inferior a tres (3) meses durante el respectivo cuatrienio, en forma continua o discontinua, conforme al artículo 197 de la Constitución Política.  </w:t>
      </w:r>
    </w:p>
    <w:p w14:paraId="5B881CEB" w14:textId="77777777" w:rsidR="007323DA" w:rsidRPr="00481068" w:rsidRDefault="007323DA" w:rsidP="007323DA">
      <w:pPr>
        <w:spacing w:line="276" w:lineRule="auto"/>
        <w:jc w:val="both"/>
        <w:rPr>
          <w:rFonts w:ascii="Arial" w:eastAsia="Arial" w:hAnsi="Arial" w:cs="Arial"/>
          <w:sz w:val="22"/>
          <w:lang w:val="es-ES_tradnl" w:eastAsia="es-ES" w:bidi="es-ES"/>
        </w:rPr>
      </w:pPr>
    </w:p>
    <w:p w14:paraId="0FCA4335" w14:textId="77777777" w:rsidR="007323DA" w:rsidRPr="00481068" w:rsidRDefault="007323DA" w:rsidP="007323DA">
      <w:pPr>
        <w:spacing w:line="276" w:lineRule="auto"/>
        <w:jc w:val="both"/>
        <w:rPr>
          <w:rFonts w:ascii="Arial" w:eastAsia="Calibri" w:hAnsi="Arial" w:cs="Arial"/>
          <w:b/>
          <w:sz w:val="22"/>
          <w:lang w:val="es-ES_tradnl" w:eastAsia="es-CO"/>
        </w:rPr>
      </w:pPr>
      <w:r w:rsidRPr="00481068">
        <w:rPr>
          <w:rFonts w:ascii="Arial" w:eastAsia="Calibri" w:hAnsi="Arial" w:cs="Arial"/>
          <w:b/>
          <w:sz w:val="22"/>
          <w:lang w:val="es-ES_tradnl" w:eastAsia="es-CO"/>
        </w:rPr>
        <w:t xml:space="preserve">2.2. </w:t>
      </w:r>
      <w:r w:rsidRPr="00481068">
        <w:rPr>
          <w:rFonts w:ascii="Arial" w:eastAsia="Calibri" w:hAnsi="Arial" w:cs="Arial"/>
          <w:b/>
          <w:bCs/>
          <w:sz w:val="22"/>
          <w:lang w:val="es-ES_tradnl" w:eastAsia="es-CO"/>
        </w:rPr>
        <w:t>Restricciones en elecciones presidenciales: prohibición del artículo 33 de la Ley 996 de 2005</w:t>
      </w:r>
    </w:p>
    <w:p w14:paraId="5D8107F1" w14:textId="77777777" w:rsidR="007323DA" w:rsidRPr="00481068" w:rsidRDefault="007323DA" w:rsidP="007323DA">
      <w:pPr>
        <w:spacing w:line="276" w:lineRule="auto"/>
        <w:jc w:val="both"/>
        <w:rPr>
          <w:rFonts w:ascii="Arial" w:eastAsia="Calibri" w:hAnsi="Arial" w:cs="Arial"/>
          <w:bCs/>
          <w:sz w:val="22"/>
          <w:lang w:val="es-ES_tradnl" w:eastAsia="x-none"/>
        </w:rPr>
      </w:pPr>
    </w:p>
    <w:p w14:paraId="3A1A9187" w14:textId="77777777" w:rsidR="007323DA" w:rsidRPr="00481068" w:rsidRDefault="007323DA" w:rsidP="007323DA">
      <w:pPr>
        <w:spacing w:line="276" w:lineRule="auto"/>
        <w:jc w:val="both"/>
        <w:rPr>
          <w:rFonts w:ascii="Arial" w:eastAsia="Calibri" w:hAnsi="Arial" w:cs="Arial"/>
          <w:bCs/>
          <w:sz w:val="22"/>
          <w:lang w:val="es-ES_tradnl" w:eastAsia="es-CO"/>
        </w:rPr>
      </w:pPr>
      <w:r w:rsidRPr="00481068">
        <w:rPr>
          <w:rFonts w:ascii="Arial" w:eastAsia="Calibri" w:hAnsi="Arial" w:cs="Arial"/>
          <w:bCs/>
          <w:sz w:val="22"/>
          <w:lang w:val="es-ES_tradnl" w:eastAsia="x-none"/>
        </w:rPr>
        <w:t xml:space="preserve">El ámbito material de la prohibición contenida en el artículo 33 de la ley 996 de 2005 está delimitado por la expresión </w:t>
      </w:r>
      <w:r w:rsidRPr="00481068">
        <w:rPr>
          <w:rFonts w:ascii="Arial" w:eastAsia="Calibri" w:hAnsi="Arial" w:cs="Arial"/>
          <w:bCs/>
          <w:sz w:val="20"/>
          <w:szCs w:val="20"/>
          <w:lang w:val="es-ES_tradnl"/>
        </w:rPr>
        <w:t>«</w:t>
      </w:r>
      <w:r w:rsidRPr="00481068">
        <w:rPr>
          <w:rFonts w:ascii="Arial" w:eastAsia="Calibri" w:hAnsi="Arial" w:cs="Arial"/>
          <w:bCs/>
          <w:sz w:val="22"/>
          <w:lang w:val="es-ES_tradnl" w:eastAsia="x-none"/>
        </w:rPr>
        <w:t>queda prohibida la contratación directa</w:t>
      </w:r>
      <w:r w:rsidRPr="00481068">
        <w:rPr>
          <w:rFonts w:ascii="Arial" w:eastAsia="Calibri" w:hAnsi="Arial" w:cs="Arial"/>
          <w:sz w:val="20"/>
          <w:szCs w:val="20"/>
          <w:lang w:val="es-ES_tradnl"/>
        </w:rPr>
        <w:t>»</w:t>
      </w:r>
      <w:r w:rsidRPr="00481068">
        <w:rPr>
          <w:rFonts w:ascii="Arial" w:eastAsia="Calibri" w:hAnsi="Arial" w:cs="Arial"/>
          <w:bCs/>
          <w:sz w:val="22"/>
          <w:lang w:val="es-ES_tradnl" w:eastAsia="x-none"/>
        </w:rPr>
        <w:t xml:space="preserve">. </w:t>
      </w:r>
      <w:r w:rsidRPr="00481068">
        <w:rPr>
          <w:rFonts w:ascii="Arial" w:eastAsia="Calibri" w:hAnsi="Arial" w:cs="Arial"/>
          <w:sz w:val="22"/>
          <w:lang w:val="es-ES_tradnl" w:eastAsia="es-CO"/>
        </w:rPr>
        <w:t xml:space="preserve"> A propósito de esta restricción de la Ley de Garantías Electorales, la Sala de Consulta y Servicio Civil del Consejo de Estado ha considerado que:</w:t>
      </w:r>
    </w:p>
    <w:p w14:paraId="284DADE1" w14:textId="77777777" w:rsidR="007323DA" w:rsidRPr="00481068" w:rsidRDefault="007323DA" w:rsidP="007323DA">
      <w:pPr>
        <w:spacing w:line="259" w:lineRule="auto"/>
        <w:ind w:left="708" w:right="709"/>
        <w:jc w:val="both"/>
        <w:rPr>
          <w:rFonts w:ascii="Arial" w:eastAsia="Calibri" w:hAnsi="Arial" w:cs="Arial"/>
          <w:sz w:val="22"/>
          <w:lang w:val="es-ES_tradnl"/>
        </w:rPr>
      </w:pPr>
    </w:p>
    <w:p w14:paraId="47144F4E" w14:textId="0BB0B784" w:rsidR="007323DA" w:rsidRPr="00481068" w:rsidRDefault="007323DA" w:rsidP="007323DA">
      <w:pPr>
        <w:spacing w:after="120"/>
        <w:ind w:left="709" w:right="709"/>
        <w:jc w:val="both"/>
        <w:rPr>
          <w:rFonts w:ascii="Arial" w:eastAsia="Calibri" w:hAnsi="Arial" w:cs="Arial"/>
          <w:sz w:val="21"/>
          <w:szCs w:val="21"/>
          <w:lang w:val="es-ES_tradnl"/>
        </w:rPr>
      </w:pPr>
      <w:r w:rsidRPr="00481068">
        <w:rPr>
          <w:rFonts w:ascii="Arial" w:eastAsia="Calibri" w:hAnsi="Arial" w:cs="Arial"/>
          <w:sz w:val="21"/>
          <w:szCs w:val="21"/>
          <w:lang w:val="es-ES_tradnl"/>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81068">
        <w:rPr>
          <w:rFonts w:ascii="Arial" w:eastAsia="Calibri" w:hAnsi="Arial" w:cs="Arial"/>
          <w:sz w:val="21"/>
          <w:szCs w:val="21"/>
          <w:vertAlign w:val="superscript"/>
        </w:rPr>
        <w:footnoteReference w:id="12"/>
      </w:r>
      <w:r w:rsidRPr="00481068">
        <w:rPr>
          <w:rFonts w:ascii="Arial" w:eastAsia="Calibri" w:hAnsi="Arial" w:cs="Arial"/>
          <w:sz w:val="21"/>
          <w:szCs w:val="21"/>
          <w:lang w:val="es-ES_tradnl"/>
        </w:rPr>
        <w:t>.</w:t>
      </w:r>
    </w:p>
    <w:p w14:paraId="71333082" w14:textId="157CFDC6" w:rsidR="007323DA" w:rsidRPr="00481068" w:rsidRDefault="007323DA" w:rsidP="007323DA">
      <w:pPr>
        <w:ind w:left="708" w:right="709"/>
        <w:jc w:val="both"/>
        <w:rPr>
          <w:rFonts w:ascii="Arial" w:eastAsia="Calibri" w:hAnsi="Arial" w:cs="Arial"/>
          <w:sz w:val="21"/>
          <w:szCs w:val="21"/>
          <w:lang w:val="es-ES_tradnl"/>
        </w:rPr>
      </w:pPr>
      <w:r w:rsidRPr="00481068">
        <w:rPr>
          <w:rFonts w:ascii="Arial" w:eastAsia="Calibri" w:hAnsi="Arial" w:cs="Arial"/>
          <w:sz w:val="21"/>
          <w:szCs w:val="21"/>
          <w:lang w:val="es-ES_tradnl"/>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481068">
        <w:rPr>
          <w:rFonts w:ascii="Arial" w:eastAsia="Calibri" w:hAnsi="Arial" w:cs="Arial"/>
          <w:sz w:val="21"/>
          <w:szCs w:val="21"/>
          <w:vertAlign w:val="superscript"/>
        </w:rPr>
        <w:footnoteReference w:id="13"/>
      </w:r>
      <w:r w:rsidRPr="00481068">
        <w:rPr>
          <w:rFonts w:ascii="Arial" w:eastAsia="Calibri" w:hAnsi="Arial" w:cs="Arial"/>
          <w:sz w:val="21"/>
          <w:szCs w:val="21"/>
          <w:vertAlign w:val="superscript"/>
          <w:lang w:val="es-ES_tradnl"/>
        </w:rPr>
        <w:t>.</w:t>
      </w:r>
      <w:r w:rsidRPr="00481068">
        <w:rPr>
          <w:rFonts w:ascii="Arial" w:eastAsia="Calibri" w:hAnsi="Arial" w:cs="Arial"/>
          <w:sz w:val="21"/>
          <w:szCs w:val="21"/>
          <w:lang w:val="es-ES_tradnl"/>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E87543">
        <w:rPr>
          <w:rFonts w:ascii="Arial" w:eastAsia="Calibri" w:hAnsi="Arial" w:cs="Arial"/>
          <w:sz w:val="21"/>
          <w:szCs w:val="21"/>
          <w:lang w:val="es-ES_tradnl"/>
        </w:rPr>
        <w:t>.</w:t>
      </w:r>
      <w:r w:rsidRPr="00481068">
        <w:rPr>
          <w:rFonts w:ascii="Arial" w:eastAsia="Calibri" w:hAnsi="Arial" w:cs="Arial"/>
          <w:sz w:val="21"/>
          <w:szCs w:val="21"/>
          <w:vertAlign w:val="superscript"/>
        </w:rPr>
        <w:footnoteReference w:id="14"/>
      </w:r>
    </w:p>
    <w:p w14:paraId="53D8EEE0" w14:textId="77777777" w:rsidR="007323DA" w:rsidRPr="00481068" w:rsidRDefault="007323DA" w:rsidP="007323DA">
      <w:pPr>
        <w:shd w:val="clear" w:color="auto" w:fill="FFFFFF"/>
        <w:spacing w:line="276" w:lineRule="auto"/>
        <w:ind w:firstLine="709"/>
        <w:jc w:val="both"/>
        <w:rPr>
          <w:rFonts w:ascii="Arial" w:eastAsia="Calibri" w:hAnsi="Arial" w:cs="Arial"/>
          <w:sz w:val="22"/>
          <w:lang w:val="es-ES_tradnl" w:eastAsia="x-none"/>
        </w:rPr>
      </w:pPr>
    </w:p>
    <w:p w14:paraId="4450E6C2" w14:textId="77777777" w:rsidR="007323DA" w:rsidRPr="00481068" w:rsidRDefault="007323DA" w:rsidP="007323DA">
      <w:pPr>
        <w:spacing w:line="276" w:lineRule="auto"/>
        <w:ind w:firstLine="708"/>
        <w:jc w:val="both"/>
        <w:rPr>
          <w:rFonts w:ascii="Arial" w:eastAsia="Calibri" w:hAnsi="Arial" w:cs="Arial"/>
          <w:bCs/>
          <w:sz w:val="22"/>
          <w:lang w:val="es-ES_tradnl" w:eastAsia="x-none"/>
        </w:rPr>
      </w:pPr>
      <w:r w:rsidRPr="00481068">
        <w:rPr>
          <w:rFonts w:ascii="Arial" w:eastAsia="Calibri" w:hAnsi="Arial" w:cs="Arial"/>
          <w:sz w:val="22"/>
          <w:lang w:val="es-ES_tradnl" w:eastAsia="x-none"/>
        </w:rPr>
        <w:t xml:space="preserve">De acuerdo con el citado concepto, la prohibición del artículo 33 de la Ley de Garantías Electorales se refiere a </w:t>
      </w:r>
      <w:r w:rsidRPr="00481068">
        <w:rPr>
          <w:rFonts w:ascii="Arial" w:eastAsia="Calibri" w:hAnsi="Arial" w:cs="Arial"/>
          <w:sz w:val="19"/>
          <w:szCs w:val="19"/>
          <w:lang w:val="es-ES_tradnl" w:eastAsia="en-GB"/>
        </w:rPr>
        <w:t>«</w:t>
      </w:r>
      <w:r w:rsidRPr="00481068">
        <w:rPr>
          <w:rFonts w:ascii="Arial" w:eastAsia="Calibri" w:hAnsi="Arial" w:cs="Arial"/>
          <w:sz w:val="22"/>
          <w:lang w:val="es-ES_tradnl" w:eastAsia="x-none"/>
        </w:rPr>
        <w:t xml:space="preserve">cualquier sistema que no implique convocatoria pública </w:t>
      </w:r>
      <w:r w:rsidRPr="00481068">
        <w:rPr>
          <w:rFonts w:ascii="Arial" w:eastAsia="Calibri" w:hAnsi="Arial" w:cs="Arial"/>
          <w:sz w:val="22"/>
          <w:lang w:val="es-ES_tradnl" w:eastAsia="x-none"/>
        </w:rPr>
        <w:lastRenderedPageBreak/>
        <w:t>y posibilidad de pluralidad de oferentes</w:t>
      </w:r>
      <w:r w:rsidRPr="00481068">
        <w:rPr>
          <w:rFonts w:ascii="Arial" w:eastAsia="Calibri" w:hAnsi="Arial" w:cs="Arial"/>
          <w:sz w:val="22"/>
          <w:lang w:val="es-ES_tradnl" w:eastAsia="en-GB"/>
        </w:rPr>
        <w:t>»</w:t>
      </w:r>
      <w:r w:rsidRPr="00481068">
        <w:rPr>
          <w:rFonts w:ascii="Arial" w:eastAsia="Calibri" w:hAnsi="Arial" w:cs="Arial"/>
          <w:sz w:val="22"/>
          <w:lang w:val="es-ES_tradnl" w:eastAsia="x-none"/>
        </w:rPr>
        <w:t>,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w:t>
      </w:r>
      <w:r w:rsidRPr="00481068">
        <w:rPr>
          <w:rFonts w:ascii="Arial" w:eastAsia="Calibri" w:hAnsi="Arial" w:cs="Arial"/>
          <w:sz w:val="22"/>
          <w:vertAlign w:val="superscript"/>
        </w:rPr>
        <w:footnoteReference w:id="15"/>
      </w:r>
      <w:r w:rsidRPr="00481068">
        <w:rPr>
          <w:rFonts w:ascii="Arial" w:eastAsia="Calibri" w:hAnsi="Arial" w:cs="Arial"/>
          <w:sz w:val="22"/>
          <w:lang w:val="es-ES_tradnl" w:eastAsia="x-none"/>
        </w:rPr>
        <w:t xml:space="preserve"> y sistematizó las causales de contratación directa</w:t>
      </w:r>
      <w:r w:rsidRPr="00481068">
        <w:rPr>
          <w:rFonts w:ascii="Arial" w:eastAsia="Calibri" w:hAnsi="Arial" w:cs="Arial"/>
          <w:sz w:val="22"/>
          <w:vertAlign w:val="superscript"/>
        </w:rPr>
        <w:footnoteReference w:id="16"/>
      </w:r>
      <w:r w:rsidRPr="00481068">
        <w:rPr>
          <w:rFonts w:ascii="Arial" w:eastAsia="Calibri" w:hAnsi="Arial" w:cs="Arial"/>
          <w:sz w:val="22"/>
          <w:lang w:val="es-ES_tradnl" w:eastAsia="x-none"/>
        </w:rPr>
        <w:t>.</w:t>
      </w:r>
    </w:p>
    <w:p w14:paraId="6EB18314" w14:textId="77777777" w:rsidR="007323DA" w:rsidRPr="00481068" w:rsidRDefault="007323DA" w:rsidP="007323DA">
      <w:pPr>
        <w:spacing w:before="120" w:line="276" w:lineRule="auto"/>
        <w:ind w:firstLine="708"/>
        <w:jc w:val="both"/>
        <w:rPr>
          <w:rFonts w:ascii="Arial" w:eastAsia="Calibri" w:hAnsi="Arial" w:cs="Arial"/>
          <w:sz w:val="22"/>
          <w:lang w:val="es-ES_tradnl" w:eastAsia="x-none"/>
        </w:rPr>
      </w:pPr>
      <w:r w:rsidRPr="00481068">
        <w:rPr>
          <w:rFonts w:ascii="Arial" w:eastAsia="Calibri" w:hAnsi="Arial" w:cs="Arial"/>
          <w:sz w:val="22"/>
          <w:lang w:val="es-ES_tradnl" w:eastAsia="x-none"/>
        </w:rPr>
        <w:t xml:space="preserve">De esta forma, se ha depurado la noción de </w:t>
      </w:r>
      <w:r w:rsidRPr="00481068">
        <w:rPr>
          <w:rFonts w:ascii="Arial" w:eastAsia="Calibri" w:hAnsi="Arial" w:cs="Arial"/>
          <w:sz w:val="22"/>
          <w:lang w:val="es-ES_tradnl" w:eastAsia="en-GB"/>
        </w:rPr>
        <w:t>«</w:t>
      </w:r>
      <w:r w:rsidRPr="00481068">
        <w:rPr>
          <w:rFonts w:ascii="Arial" w:eastAsia="Calibri" w:hAnsi="Arial" w:cs="Arial"/>
          <w:sz w:val="22"/>
          <w:lang w:val="es-ES_tradnl" w:eastAsia="x-none"/>
        </w:rPr>
        <w:t>contratación directa</w:t>
      </w:r>
      <w:r w:rsidRPr="00481068">
        <w:rPr>
          <w:rFonts w:ascii="Arial" w:eastAsia="Calibri" w:hAnsi="Arial" w:cs="Arial"/>
          <w:sz w:val="22"/>
          <w:lang w:val="es-ES_tradnl" w:eastAsia="en-GB"/>
        </w:rPr>
        <w:t>»</w:t>
      </w:r>
      <w:r w:rsidRPr="00481068">
        <w:rPr>
          <w:rFonts w:ascii="Arial" w:eastAsia="Calibri" w:hAnsi="Arial" w:cs="Arial"/>
          <w:sz w:val="22"/>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81068">
        <w:rPr>
          <w:rFonts w:ascii="Arial" w:eastAsia="Calibri" w:hAnsi="Arial" w:cs="Arial"/>
          <w:sz w:val="22"/>
          <w:vertAlign w:val="superscript"/>
        </w:rPr>
        <w:footnoteReference w:id="17"/>
      </w:r>
      <w:r w:rsidRPr="00481068">
        <w:rPr>
          <w:rFonts w:ascii="Arial" w:eastAsia="Calibri" w:hAnsi="Arial" w:cs="Arial"/>
          <w:sz w:val="22"/>
          <w:lang w:val="es-ES_tradnl" w:eastAsia="x-none"/>
        </w:rPr>
        <w:t>, han establecido sistemas de contratación que implican convocatoria pública y participación de varios oferentes</w:t>
      </w:r>
      <w:r w:rsidRPr="00481068">
        <w:rPr>
          <w:rFonts w:ascii="Arial" w:eastAsia="Calibri" w:hAnsi="Arial" w:cs="Arial"/>
          <w:sz w:val="22"/>
          <w:lang w:val="es-ES_tradnl" w:eastAsia="en-GB"/>
        </w:rPr>
        <w:t>»</w:t>
      </w:r>
      <w:r w:rsidRPr="00481068">
        <w:rPr>
          <w:rFonts w:ascii="Arial" w:eastAsia="Calibri" w:hAnsi="Arial" w:cs="Arial"/>
          <w:sz w:val="22"/>
          <w:lang w:val="es-ES_tradnl" w:eastAsia="x-none"/>
        </w:rPr>
        <w:t xml:space="preserve">. </w:t>
      </w:r>
    </w:p>
    <w:p w14:paraId="2AFE97F8" w14:textId="77777777" w:rsidR="007323DA" w:rsidRPr="00481068" w:rsidRDefault="007323DA" w:rsidP="007323DA">
      <w:pPr>
        <w:spacing w:before="120" w:line="276" w:lineRule="auto"/>
        <w:ind w:firstLine="708"/>
        <w:jc w:val="both"/>
        <w:rPr>
          <w:rFonts w:ascii="Arial" w:eastAsia="Calibri" w:hAnsi="Arial" w:cs="Arial"/>
          <w:bCs/>
          <w:sz w:val="22"/>
          <w:lang w:val="es-ES_tradnl" w:eastAsia="es-CO"/>
        </w:rPr>
      </w:pPr>
      <w:r w:rsidRPr="00481068">
        <w:rPr>
          <w:rFonts w:ascii="Arial" w:eastAsia="Calibri" w:hAnsi="Arial" w:cs="Arial"/>
          <w:bCs/>
          <w:sz w:val="22"/>
          <w:lang w:val="es-ES_tradnl" w:eastAsia="x-none"/>
        </w:rPr>
        <w:t>E</w:t>
      </w:r>
      <w:r w:rsidRPr="00481068">
        <w:rPr>
          <w:rFonts w:ascii="Arial" w:eastAsia="Calibri" w:hAnsi="Arial" w:cs="Arial"/>
          <w:sz w:val="22"/>
          <w:lang w:val="es-ES_tradnl"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481068">
        <w:rPr>
          <w:rFonts w:ascii="Arial" w:eastAsia="Calibri" w:hAnsi="Arial" w:cs="Arial"/>
          <w:sz w:val="22"/>
          <w:vertAlign w:val="superscript"/>
        </w:rPr>
        <w:footnoteReference w:id="18"/>
      </w:r>
      <w:r w:rsidRPr="00481068">
        <w:rPr>
          <w:rFonts w:ascii="Arial" w:eastAsia="Calibri" w:hAnsi="Arial" w:cs="Arial"/>
          <w:sz w:val="22"/>
          <w:lang w:val="es-ES_tradnl" w:eastAsia="x-none"/>
        </w:rPr>
        <w:t xml:space="preserve">. </w:t>
      </w:r>
    </w:p>
    <w:p w14:paraId="0418C8C2" w14:textId="77777777" w:rsidR="007323DA" w:rsidRPr="00481068" w:rsidRDefault="007323DA" w:rsidP="007323DA">
      <w:pPr>
        <w:spacing w:before="120" w:line="276" w:lineRule="auto"/>
        <w:ind w:firstLine="708"/>
        <w:jc w:val="both"/>
        <w:rPr>
          <w:rFonts w:ascii="Arial" w:eastAsia="Calibri" w:hAnsi="Arial" w:cs="Arial"/>
          <w:bCs/>
          <w:sz w:val="22"/>
          <w:lang w:val="es-ES_tradnl" w:eastAsia="es-CO"/>
        </w:rPr>
      </w:pPr>
      <w:r w:rsidRPr="00481068">
        <w:rPr>
          <w:rFonts w:ascii="Arial" w:eastAsia="Calibri" w:hAnsi="Arial" w:cs="Arial"/>
          <w:bCs/>
          <w:sz w:val="22"/>
          <w:lang w:val="es-ES_tradnl"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w:t>
      </w:r>
      <w:r w:rsidRPr="00481068">
        <w:rPr>
          <w:rFonts w:ascii="Arial" w:eastAsia="Calibri" w:hAnsi="Arial" w:cs="Arial"/>
          <w:bCs/>
          <w:sz w:val="22"/>
          <w:lang w:val="es-ES_tradnl" w:eastAsia="es-CO"/>
        </w:rPr>
        <w:lastRenderedPageBreak/>
        <w:t>entidades que tengan un régimen especial de contratación. No obstante, también se observa que luego de la expedición de Ley 1150 de 2007, el Consejo de Estado comenzó a delimitar con mayor precisión el término de «contratación directa».</w:t>
      </w:r>
    </w:p>
    <w:p w14:paraId="45DA6EC7" w14:textId="77777777" w:rsidR="007323DA" w:rsidRPr="00481068" w:rsidRDefault="007323DA" w:rsidP="007323DA">
      <w:pPr>
        <w:spacing w:before="120" w:line="276" w:lineRule="auto"/>
        <w:ind w:firstLine="708"/>
        <w:jc w:val="both"/>
        <w:rPr>
          <w:rFonts w:ascii="Arial" w:eastAsia="Calibri" w:hAnsi="Arial" w:cs="Arial"/>
          <w:bCs/>
          <w:sz w:val="22"/>
          <w:lang w:val="es-ES_tradnl" w:eastAsia="x-none"/>
        </w:rPr>
      </w:pPr>
      <w:r w:rsidRPr="00481068">
        <w:rPr>
          <w:rFonts w:ascii="Arial" w:eastAsia="Calibri" w:hAnsi="Arial" w:cs="Arial"/>
          <w:bCs/>
          <w:sz w:val="22"/>
          <w:lang w:val="es-ES_tradnl"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81068">
        <w:rPr>
          <w:rFonts w:ascii="Arial" w:eastAsia="Calibri" w:hAnsi="Arial" w:cs="Arial"/>
          <w:sz w:val="22"/>
          <w:vertAlign w:val="superscript"/>
        </w:rPr>
        <w:footnoteReference w:id="19"/>
      </w:r>
      <w:r w:rsidRPr="00481068">
        <w:rPr>
          <w:rFonts w:ascii="Arial" w:eastAsia="Calibri" w:hAnsi="Arial" w:cs="Arial"/>
          <w:bCs/>
          <w:sz w:val="22"/>
          <w:lang w:val="es-ES_tradnl" w:eastAsia="x-none"/>
        </w:rPr>
        <w:t>.</w:t>
      </w:r>
      <w:r w:rsidRPr="00481068">
        <w:rPr>
          <w:rFonts w:ascii="Arial" w:eastAsia="Calibri" w:hAnsi="Arial" w:cs="Arial"/>
          <w:sz w:val="22"/>
          <w:vertAlign w:val="superscript"/>
          <w:lang w:val="es-ES_tradnl" w:eastAsia="x-none"/>
        </w:rPr>
        <w:t xml:space="preserve"> </w:t>
      </w:r>
    </w:p>
    <w:p w14:paraId="67D899E3" w14:textId="77777777" w:rsidR="007323DA" w:rsidRPr="00481068" w:rsidRDefault="007323DA" w:rsidP="007323DA">
      <w:pPr>
        <w:spacing w:before="120" w:line="276" w:lineRule="auto"/>
        <w:ind w:firstLine="708"/>
        <w:jc w:val="both"/>
        <w:rPr>
          <w:rFonts w:ascii="Arial" w:eastAsia="Calibri" w:hAnsi="Arial" w:cs="Arial"/>
          <w:sz w:val="22"/>
          <w:lang w:val="es-ES_tradnl" w:eastAsia="x-none"/>
        </w:rPr>
      </w:pPr>
      <w:r w:rsidRPr="00481068">
        <w:rPr>
          <w:rFonts w:ascii="Arial" w:eastAsia="Calibri" w:hAnsi="Arial" w:cs="Arial"/>
          <w:bCs/>
          <w:sz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481068">
        <w:rPr>
          <w:rFonts w:ascii="Arial" w:eastAsia="Calibri" w:hAnsi="Arial" w:cs="Arial"/>
          <w:sz w:val="22"/>
          <w:lang w:val="es-ES_tradnl"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procedimientos.</w:t>
      </w:r>
    </w:p>
    <w:p w14:paraId="7B94923F" w14:textId="77777777" w:rsidR="007323DA" w:rsidRPr="00481068" w:rsidRDefault="007323DA" w:rsidP="007323DA">
      <w:pPr>
        <w:spacing w:before="120" w:line="276" w:lineRule="auto"/>
        <w:ind w:firstLine="708"/>
        <w:jc w:val="both"/>
        <w:rPr>
          <w:rFonts w:ascii="Arial" w:eastAsia="Calibri" w:hAnsi="Arial" w:cs="Arial"/>
          <w:bCs/>
          <w:sz w:val="22"/>
          <w:lang w:val="es-ES_tradnl" w:eastAsia="x-none"/>
        </w:rPr>
      </w:pPr>
      <w:r w:rsidRPr="00481068">
        <w:rPr>
          <w:rFonts w:ascii="Arial" w:eastAsia="Calibri" w:hAnsi="Arial" w:cs="Arial"/>
          <w:bCs/>
          <w:sz w:val="22"/>
          <w:lang w:val="es-ES_tradnl"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sidRPr="00481068">
        <w:rPr>
          <w:rFonts w:ascii="Arial" w:eastAsia="Calibri" w:hAnsi="Arial" w:cs="Arial"/>
          <w:sz w:val="22"/>
          <w:vertAlign w:val="superscript"/>
        </w:rPr>
        <w:footnoteReference w:id="20"/>
      </w:r>
      <w:r w:rsidRPr="00481068">
        <w:rPr>
          <w:rFonts w:ascii="Arial" w:eastAsia="Calibri" w:hAnsi="Arial" w:cs="Arial"/>
          <w:bCs/>
          <w:sz w:val="22"/>
          <w:lang w:val="es-ES_tradnl" w:eastAsia="es-CO"/>
        </w:rPr>
        <w:t>. Esto sin que ello haga nugatoria la restricción de la contratación directa y siempre que cumplan los principios de planeación, transparencia y responsabilidad.</w:t>
      </w:r>
    </w:p>
    <w:p w14:paraId="0DBB7399" w14:textId="77777777" w:rsidR="007323DA" w:rsidRPr="00481068" w:rsidRDefault="007323DA" w:rsidP="007323DA">
      <w:pPr>
        <w:spacing w:before="120" w:line="276" w:lineRule="auto"/>
        <w:ind w:firstLine="708"/>
        <w:jc w:val="both"/>
        <w:rPr>
          <w:rFonts w:ascii="Arial" w:eastAsia="Calibri" w:hAnsi="Arial" w:cs="Arial"/>
          <w:bCs/>
          <w:sz w:val="22"/>
          <w:lang w:val="es-ES_tradnl" w:eastAsia="es-CO"/>
        </w:rPr>
      </w:pPr>
      <w:r w:rsidRPr="00481068">
        <w:rPr>
          <w:rFonts w:ascii="Arial" w:eastAsia="Calibri" w:hAnsi="Arial" w:cs="Arial"/>
          <w:bCs/>
          <w:sz w:val="22"/>
          <w:lang w:val="es-ES_tradnl"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w:t>
      </w:r>
      <w:proofErr w:type="spellStart"/>
      <w:r w:rsidRPr="00481068">
        <w:rPr>
          <w:rFonts w:ascii="Arial" w:eastAsia="Calibri" w:hAnsi="Arial" w:cs="Arial"/>
          <w:bCs/>
          <w:sz w:val="22"/>
          <w:lang w:val="es-ES_tradnl" w:eastAsia="x-none"/>
        </w:rPr>
        <w:t>ii</w:t>
      </w:r>
      <w:proofErr w:type="spellEnd"/>
      <w:r w:rsidRPr="00481068">
        <w:rPr>
          <w:rFonts w:ascii="Arial" w:eastAsia="Calibri" w:hAnsi="Arial" w:cs="Arial"/>
          <w:bCs/>
          <w:sz w:val="22"/>
          <w:lang w:val="es-ES_tradnl" w:eastAsia="x-none"/>
        </w:rPr>
        <w:t xml:space="preserve">) los contratos de crédito público; </w:t>
      </w:r>
      <w:proofErr w:type="spellStart"/>
      <w:r w:rsidRPr="00481068">
        <w:rPr>
          <w:rFonts w:ascii="Arial" w:eastAsia="Calibri" w:hAnsi="Arial" w:cs="Arial"/>
          <w:bCs/>
          <w:sz w:val="22"/>
          <w:lang w:val="es-ES_tradnl" w:eastAsia="x-none"/>
        </w:rPr>
        <w:t>iii</w:t>
      </w:r>
      <w:proofErr w:type="spellEnd"/>
      <w:r w:rsidRPr="00481068">
        <w:rPr>
          <w:rFonts w:ascii="Arial" w:eastAsia="Calibri" w:hAnsi="Arial" w:cs="Arial"/>
          <w:bCs/>
          <w:sz w:val="22"/>
          <w:lang w:val="es-ES_tradnl" w:eastAsia="x-none"/>
        </w:rPr>
        <w:t xml:space="preserve">) los requeridos para cubrir las emergencias educativas, sanitarias y desastres; </w:t>
      </w:r>
      <w:proofErr w:type="spellStart"/>
      <w:r w:rsidRPr="00481068">
        <w:rPr>
          <w:rFonts w:ascii="Arial" w:eastAsia="Calibri" w:hAnsi="Arial" w:cs="Arial"/>
          <w:bCs/>
          <w:sz w:val="22"/>
          <w:lang w:val="es-ES_tradnl" w:eastAsia="x-none"/>
        </w:rPr>
        <w:t>iv</w:t>
      </w:r>
      <w:proofErr w:type="spellEnd"/>
      <w:r w:rsidRPr="00481068">
        <w:rPr>
          <w:rFonts w:ascii="Arial" w:eastAsia="Calibri" w:hAnsi="Arial" w:cs="Arial"/>
          <w:bCs/>
          <w:sz w:val="22"/>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81068">
        <w:rPr>
          <w:rFonts w:ascii="Arial" w:eastAsia="Calibri" w:hAnsi="Arial" w:cs="Arial"/>
          <w:bCs/>
          <w:sz w:val="22"/>
          <w:lang w:val="es-ES_tradnl" w:eastAsia="es-CO"/>
        </w:rPr>
        <w:t xml:space="preserve"> Es responsabilidad del respectivo ente del Estado, examinar en </w:t>
      </w:r>
      <w:r w:rsidRPr="00481068">
        <w:rPr>
          <w:rFonts w:ascii="Arial" w:eastAsia="Calibri" w:hAnsi="Arial" w:cs="Arial"/>
          <w:bCs/>
          <w:sz w:val="22"/>
          <w:lang w:val="es-ES_tradnl" w:eastAsia="es-CO"/>
        </w:rPr>
        <w:lastRenderedPageBreak/>
        <w:t>cada caso la naturaleza de las actividades que adelanta y determinar si las mismas se enmarcan en alguna de las mencionadas excepciones, de manera que se le permita realizar la contratación que necesite en forma directa.</w:t>
      </w:r>
    </w:p>
    <w:p w14:paraId="6B4E8008" w14:textId="77777777" w:rsidR="007323DA" w:rsidRPr="00481068" w:rsidRDefault="007323DA" w:rsidP="007323DA">
      <w:pPr>
        <w:spacing w:before="120" w:line="276" w:lineRule="auto"/>
        <w:ind w:firstLine="708"/>
        <w:jc w:val="both"/>
        <w:rPr>
          <w:rFonts w:ascii="Arial" w:eastAsia="Calibri" w:hAnsi="Arial" w:cs="Arial"/>
          <w:bCs/>
          <w:sz w:val="22"/>
          <w:lang w:val="es-ES_tradnl" w:eastAsia="x-none"/>
        </w:rPr>
      </w:pPr>
      <w:r w:rsidRPr="00481068">
        <w:rPr>
          <w:rFonts w:ascii="Arial" w:eastAsia="Calibri" w:hAnsi="Arial" w:cs="Arial"/>
          <w:bCs/>
          <w:sz w:val="22"/>
          <w:lang w:val="es-ES_tradnl"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481068">
        <w:rPr>
          <w:rFonts w:ascii="Arial" w:eastAsia="Calibri" w:hAnsi="Arial" w:cs="Arial"/>
          <w:sz w:val="22"/>
          <w:vertAlign w:val="superscript"/>
        </w:rPr>
        <w:footnoteReference w:id="21"/>
      </w:r>
      <w:r w:rsidRPr="00481068">
        <w:rPr>
          <w:rFonts w:ascii="Arial" w:eastAsia="Calibri" w:hAnsi="Arial" w:cs="Arial"/>
          <w:bCs/>
          <w:sz w:val="22"/>
          <w:lang w:val="es-ES_tradnl"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1E2348FF" w14:textId="77777777" w:rsidR="007323DA" w:rsidRDefault="007323DA" w:rsidP="007323DA">
      <w:pPr>
        <w:spacing w:line="276" w:lineRule="auto"/>
        <w:jc w:val="both"/>
        <w:rPr>
          <w:rFonts w:ascii="Arial" w:hAnsi="Arial" w:cs="Arial"/>
          <w:b/>
          <w:sz w:val="22"/>
          <w:lang w:eastAsia="x-none"/>
        </w:rPr>
      </w:pPr>
    </w:p>
    <w:p w14:paraId="4AB43148" w14:textId="77777777" w:rsidR="007323DA" w:rsidRPr="00C84F90" w:rsidRDefault="007323DA" w:rsidP="00094B98">
      <w:pPr>
        <w:spacing w:line="276" w:lineRule="auto"/>
        <w:ind w:firstLine="708"/>
        <w:jc w:val="both"/>
        <w:rPr>
          <w:rFonts w:ascii="Arial" w:hAnsi="Arial" w:cs="Arial"/>
          <w:b/>
          <w:sz w:val="22"/>
          <w:lang w:eastAsia="x-none"/>
        </w:rPr>
      </w:pPr>
      <w:r w:rsidRPr="00094B98">
        <w:rPr>
          <w:rFonts w:ascii="Arial" w:hAnsi="Arial" w:cs="Arial"/>
          <w:b/>
          <w:i/>
          <w:iCs/>
          <w:sz w:val="22"/>
          <w:lang w:eastAsia="x-none"/>
        </w:rPr>
        <w:t>2.2.1.</w:t>
      </w:r>
      <w:r w:rsidRPr="00C84F90">
        <w:rPr>
          <w:rFonts w:ascii="Arial" w:hAnsi="Arial" w:cs="Arial"/>
          <w:b/>
          <w:sz w:val="22"/>
          <w:lang w:eastAsia="x-none"/>
        </w:rPr>
        <w:t xml:space="preserve">  Destinatarios de la restricción del artículo 33 de la Ley 996 de 2005</w:t>
      </w:r>
    </w:p>
    <w:p w14:paraId="7DD37E67" w14:textId="77777777" w:rsidR="007323DA" w:rsidRPr="00C84F90" w:rsidRDefault="007323DA" w:rsidP="007323DA">
      <w:pPr>
        <w:spacing w:line="276" w:lineRule="auto"/>
        <w:jc w:val="both"/>
        <w:rPr>
          <w:rFonts w:ascii="Arial" w:hAnsi="Arial" w:cs="Arial"/>
          <w:bCs/>
          <w:sz w:val="22"/>
          <w:lang w:eastAsia="x-none"/>
        </w:rPr>
      </w:pPr>
    </w:p>
    <w:p w14:paraId="35A54129" w14:textId="77777777" w:rsidR="007323DA" w:rsidRPr="00C84F90" w:rsidRDefault="007323DA" w:rsidP="007323DA">
      <w:pPr>
        <w:spacing w:line="276" w:lineRule="auto"/>
        <w:jc w:val="both"/>
        <w:rPr>
          <w:rFonts w:ascii="Arial" w:hAnsi="Arial" w:cs="Arial"/>
          <w:bCs/>
          <w:sz w:val="22"/>
          <w:lang w:eastAsia="x-none"/>
        </w:rPr>
      </w:pPr>
      <w:r w:rsidRPr="00C84F90">
        <w:rPr>
          <w:rFonts w:ascii="Arial" w:hAnsi="Arial" w:cs="Arial"/>
          <w:bCs/>
          <w:sz w:val="22"/>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C84F90">
        <w:t xml:space="preserve"> </w:t>
      </w:r>
      <w:r w:rsidRPr="00C84F90">
        <w:rPr>
          <w:rFonts w:ascii="Arial" w:hAnsi="Arial" w:cs="Arial"/>
          <w:bCs/>
          <w:sz w:val="22"/>
          <w:lang w:eastAsia="x-none"/>
        </w:rPr>
        <w:t>En efecto, tal como lo ha sostenido el Consejo de Estado, el vocablo «todos» utilizado por el legislador comprende</w:t>
      </w:r>
      <w:r w:rsidRPr="00C84F90">
        <w:t xml:space="preserve"> </w:t>
      </w:r>
      <w:r w:rsidRPr="00C84F90">
        <w:rPr>
          <w:rFonts w:ascii="Arial" w:hAnsi="Arial" w:cs="Arial"/>
          <w:bCs/>
          <w:sz w:val="22"/>
          <w:lang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1FC19298" w14:textId="77777777" w:rsidR="007323DA" w:rsidRPr="00C84F90" w:rsidRDefault="007323DA" w:rsidP="007323DA">
      <w:pPr>
        <w:spacing w:line="276" w:lineRule="auto"/>
        <w:ind w:firstLine="708"/>
        <w:jc w:val="both"/>
        <w:rPr>
          <w:rFonts w:ascii="Arial" w:hAnsi="Arial" w:cs="Arial"/>
          <w:bCs/>
          <w:sz w:val="22"/>
          <w:lang w:eastAsia="x-none"/>
        </w:rPr>
      </w:pPr>
    </w:p>
    <w:p w14:paraId="60219CBF" w14:textId="2FE7C887" w:rsidR="007323DA" w:rsidRPr="00C84F90" w:rsidRDefault="007323DA" w:rsidP="007323DA">
      <w:pPr>
        <w:ind w:left="708" w:right="709"/>
        <w:jc w:val="both"/>
        <w:rPr>
          <w:rFonts w:ascii="Arial" w:hAnsi="Arial" w:cs="Arial"/>
          <w:bCs/>
          <w:sz w:val="21"/>
          <w:szCs w:val="21"/>
          <w:lang w:eastAsia="es-CO"/>
        </w:rPr>
      </w:pPr>
      <w:r w:rsidRPr="00C84F90">
        <w:rPr>
          <w:rFonts w:ascii="Arial" w:hAnsi="Arial" w:cs="Arial"/>
          <w:bCs/>
          <w:sz w:val="21"/>
          <w:szCs w:val="21"/>
          <w:lang w:eastAsia="x-none"/>
        </w:rPr>
        <w:t xml:space="preserve">El artículo 33 de la ley 996 de 2005, </w:t>
      </w:r>
      <w:bookmarkStart w:id="25" w:name="_Hlk75787147"/>
      <w:r w:rsidRPr="00C84F90">
        <w:rPr>
          <w:rFonts w:ascii="Arial" w:hAnsi="Arial" w:cs="Arial"/>
          <w:bCs/>
          <w:sz w:val="21"/>
          <w:szCs w:val="21"/>
          <w:lang w:eastAsia="x-none"/>
        </w:rPr>
        <w:t xml:space="preserve">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w:t>
      </w:r>
      <w:r w:rsidRPr="00C84F90">
        <w:rPr>
          <w:rFonts w:ascii="Arial" w:hAnsi="Arial" w:cs="Arial"/>
          <w:bCs/>
          <w:sz w:val="21"/>
          <w:szCs w:val="21"/>
          <w:lang w:eastAsia="x-none"/>
        </w:rPr>
        <w:lastRenderedPageBreak/>
        <w:t>industriales y comerciales del Estado) y a los municipios prestadores directos, incluyendo las excepciones contenidas en el segundo inciso de esta norma</w:t>
      </w:r>
      <w:r>
        <w:rPr>
          <w:rFonts w:ascii="Arial" w:hAnsi="Arial" w:cs="Arial"/>
          <w:bCs/>
          <w:sz w:val="21"/>
          <w:szCs w:val="21"/>
          <w:lang w:eastAsia="x-none"/>
        </w:rPr>
        <w:t>.</w:t>
      </w:r>
      <w:r w:rsidRPr="00C84F90">
        <w:rPr>
          <w:rFonts w:ascii="Arial" w:hAnsi="Arial" w:cs="Arial"/>
          <w:bCs/>
          <w:sz w:val="21"/>
          <w:szCs w:val="21"/>
          <w:vertAlign w:val="superscript"/>
          <w:lang w:eastAsia="x-none"/>
        </w:rPr>
        <w:footnoteReference w:id="22"/>
      </w:r>
      <w:r w:rsidRPr="00C84F90">
        <w:rPr>
          <w:rFonts w:ascii="Arial" w:hAnsi="Arial" w:cs="Arial"/>
          <w:bCs/>
          <w:sz w:val="21"/>
          <w:szCs w:val="21"/>
          <w:lang w:eastAsia="es-CO"/>
        </w:rPr>
        <w:t xml:space="preserve"> </w:t>
      </w:r>
    </w:p>
    <w:p w14:paraId="048728D4" w14:textId="77777777" w:rsidR="007323DA" w:rsidRPr="00C84F90" w:rsidRDefault="007323DA" w:rsidP="007323DA">
      <w:pPr>
        <w:spacing w:line="276" w:lineRule="auto"/>
        <w:ind w:firstLine="708"/>
        <w:jc w:val="both"/>
        <w:rPr>
          <w:rFonts w:ascii="Arial" w:hAnsi="Arial" w:cs="Arial"/>
          <w:bCs/>
          <w:sz w:val="22"/>
          <w:lang w:eastAsia="es-CO"/>
        </w:rPr>
      </w:pPr>
    </w:p>
    <w:p w14:paraId="5035ED89" w14:textId="77777777" w:rsidR="007323DA" w:rsidRPr="00C84F90" w:rsidRDefault="007323DA" w:rsidP="007323DA">
      <w:pPr>
        <w:spacing w:line="276" w:lineRule="auto"/>
        <w:ind w:firstLine="708"/>
        <w:jc w:val="both"/>
        <w:rPr>
          <w:rFonts w:ascii="Arial" w:hAnsi="Arial" w:cs="Arial"/>
          <w:sz w:val="22"/>
        </w:rPr>
      </w:pPr>
      <w:r>
        <w:rPr>
          <w:rFonts w:ascii="Arial" w:hAnsi="Arial" w:cs="Arial"/>
          <w:bCs/>
          <w:sz w:val="22"/>
          <w:lang w:eastAsia="x-none"/>
        </w:rPr>
        <w:t>De igual forma, e</w:t>
      </w:r>
      <w:r w:rsidRPr="00C84F90">
        <w:rPr>
          <w:rFonts w:ascii="Arial" w:hAnsi="Arial" w:cs="Arial"/>
          <w:bCs/>
          <w:sz w:val="22"/>
          <w:lang w:eastAsia="x-none"/>
        </w:rPr>
        <w:t>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C84F90">
        <w:rPr>
          <w:rFonts w:ascii="Arial" w:hAnsi="Arial" w:cs="Arial"/>
          <w:vertAlign w:val="superscript"/>
        </w:rPr>
        <w:footnoteReference w:id="23"/>
      </w:r>
      <w:r w:rsidRPr="00C84F90">
        <w:rPr>
          <w:rFonts w:ascii="Arial" w:hAnsi="Arial" w:cs="Arial"/>
          <w:bCs/>
          <w:sz w:val="22"/>
          <w:lang w:eastAsia="x-none"/>
        </w:rPr>
        <w:t>.</w:t>
      </w:r>
      <w:r w:rsidRPr="00C84F90">
        <w:rPr>
          <w:rFonts w:ascii="Arial" w:hAnsi="Arial" w:cs="Arial"/>
          <w:sz w:val="22"/>
        </w:rPr>
        <w:t xml:space="preserve"> Sin embargo, debe precisarse el siguiente aspecto que distinguió la Sala de Consulta y Servicio Civil:</w:t>
      </w:r>
    </w:p>
    <w:p w14:paraId="3FE6742A" w14:textId="77777777" w:rsidR="007323DA" w:rsidRPr="00C84F90" w:rsidRDefault="007323DA" w:rsidP="007323DA">
      <w:pPr>
        <w:spacing w:line="276" w:lineRule="auto"/>
        <w:jc w:val="both"/>
        <w:rPr>
          <w:rFonts w:ascii="Arial" w:hAnsi="Arial" w:cs="Arial"/>
          <w:sz w:val="22"/>
        </w:rPr>
      </w:pPr>
    </w:p>
    <w:p w14:paraId="07034F78" w14:textId="72652F32" w:rsidR="007323DA" w:rsidRPr="00C84F90" w:rsidRDefault="007323DA" w:rsidP="007323DA">
      <w:pPr>
        <w:ind w:left="708" w:right="709"/>
        <w:jc w:val="both"/>
        <w:rPr>
          <w:rFonts w:ascii="Arial" w:hAnsi="Arial" w:cs="Arial"/>
          <w:sz w:val="21"/>
          <w:szCs w:val="21"/>
        </w:rPr>
      </w:pPr>
      <w:r w:rsidRPr="00C84F90">
        <w:rPr>
          <w:rFonts w:ascii="Arial" w:hAnsi="Arial" w:cs="Arial"/>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Arial" w:hAnsi="Arial" w:cs="Arial"/>
          <w:sz w:val="21"/>
          <w:szCs w:val="21"/>
        </w:rPr>
        <w:t>.</w:t>
      </w:r>
      <w:r w:rsidRPr="00C84F90">
        <w:rPr>
          <w:rFonts w:ascii="Arial" w:hAnsi="Arial" w:cs="Arial"/>
          <w:vertAlign w:val="superscript"/>
        </w:rPr>
        <w:footnoteReference w:id="24"/>
      </w:r>
      <w:r w:rsidRPr="009F1B7D">
        <w:rPr>
          <w:rFonts w:ascii="Arial" w:hAnsi="Arial" w:cs="Arial"/>
          <w:sz w:val="21"/>
          <w:szCs w:val="21"/>
          <w:lang w:val="es-ES"/>
        </w:rPr>
        <w:t xml:space="preserve"> </w:t>
      </w:r>
    </w:p>
    <w:p w14:paraId="250C6AC3" w14:textId="77777777" w:rsidR="007323DA" w:rsidRPr="00C84F90" w:rsidRDefault="007323DA" w:rsidP="007323DA">
      <w:pPr>
        <w:spacing w:line="276" w:lineRule="auto"/>
        <w:jc w:val="both"/>
        <w:rPr>
          <w:rFonts w:ascii="Arial" w:hAnsi="Arial" w:cs="Arial"/>
          <w:sz w:val="22"/>
        </w:rPr>
      </w:pPr>
    </w:p>
    <w:p w14:paraId="68688F35" w14:textId="77777777" w:rsidR="007323DA" w:rsidRPr="00C84F90" w:rsidRDefault="007323DA" w:rsidP="007323DA">
      <w:pPr>
        <w:spacing w:after="120" w:line="276" w:lineRule="auto"/>
        <w:ind w:firstLine="709"/>
        <w:jc w:val="both"/>
        <w:rPr>
          <w:rFonts w:ascii="Arial" w:hAnsi="Arial" w:cs="Arial"/>
          <w:bCs/>
          <w:sz w:val="22"/>
          <w:lang w:eastAsia="x-none"/>
        </w:rPr>
      </w:pPr>
      <w:r w:rsidRPr="00C84F90">
        <w:rPr>
          <w:rFonts w:ascii="Arial" w:hAnsi="Arial" w:cs="Arial"/>
          <w:sz w:val="22"/>
        </w:rPr>
        <w:lastRenderedPageBreak/>
        <w:t>Aplicando este razonamiento,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r w:rsidRPr="00C84F90">
        <w:rPr>
          <w:rFonts w:ascii="Arial" w:hAnsi="Arial" w:cs="Arial"/>
          <w:vertAlign w:val="superscript"/>
        </w:rPr>
        <w:t xml:space="preserve"> </w:t>
      </w:r>
      <w:r w:rsidRPr="00C84F90">
        <w:rPr>
          <w:rFonts w:ascii="Arial" w:hAnsi="Arial" w:cs="Arial"/>
          <w:sz w:val="22"/>
          <w:vertAlign w:val="superscript"/>
        </w:rPr>
        <w:footnoteReference w:id="25"/>
      </w:r>
      <w:r w:rsidRPr="00C84F90">
        <w:rPr>
          <w:rFonts w:ascii="Arial" w:hAnsi="Arial" w:cs="Arial"/>
          <w:sz w:val="22"/>
        </w:rPr>
        <w:t>.</w:t>
      </w:r>
    </w:p>
    <w:bookmarkEnd w:id="25"/>
    <w:p w14:paraId="0E4AD254" w14:textId="77777777" w:rsidR="007323DA" w:rsidRPr="000405D1" w:rsidRDefault="007323DA" w:rsidP="00094B98">
      <w:pPr>
        <w:spacing w:line="276" w:lineRule="auto"/>
        <w:ind w:firstLine="708"/>
        <w:jc w:val="both"/>
        <w:rPr>
          <w:rFonts w:ascii="Arial" w:eastAsia="Times New Roman" w:hAnsi="Arial" w:cs="Arial"/>
          <w:bCs/>
          <w:sz w:val="22"/>
          <w:lang w:eastAsia="x-none"/>
        </w:rPr>
      </w:pPr>
      <w:r w:rsidRPr="00C84F90">
        <w:rPr>
          <w:rFonts w:ascii="Arial" w:hAnsi="Arial" w:cs="Arial"/>
          <w:sz w:val="22"/>
        </w:rPr>
        <w:t xml:space="preserve">Por lo tanto, la restricción prevista en la Ley 996 de 2005, </w:t>
      </w:r>
      <w:r w:rsidRPr="00C84F90">
        <w:rPr>
          <w:rFonts w:ascii="Arial" w:hAnsi="Arial" w:cs="Arial"/>
          <w:bCs/>
          <w:sz w:val="22"/>
          <w:lang w:eastAsia="x-none"/>
        </w:rPr>
        <w:t xml:space="preserve">teniendo en cuenta la finalidad de la ley de garantías electorales, cobija a cualquier ente público que pueda a través de la contratación directa romper el equilibrio entre los candidatos en </w:t>
      </w:r>
      <w:r>
        <w:rPr>
          <w:rFonts w:ascii="Arial" w:hAnsi="Arial" w:cs="Arial"/>
          <w:bCs/>
          <w:sz w:val="22"/>
          <w:lang w:eastAsia="x-none"/>
        </w:rPr>
        <w:t xml:space="preserve">desarrollo de </w:t>
      </w:r>
      <w:r w:rsidRPr="00C84F90">
        <w:rPr>
          <w:rFonts w:ascii="Arial" w:hAnsi="Arial" w:cs="Arial"/>
          <w:bCs/>
          <w:sz w:val="22"/>
          <w:lang w:eastAsia="x-none"/>
        </w:rPr>
        <w:t>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67738D78" w14:textId="77777777" w:rsidR="007323DA" w:rsidRPr="00481068" w:rsidRDefault="007323DA" w:rsidP="007323DA">
      <w:pPr>
        <w:tabs>
          <w:tab w:val="left" w:pos="426"/>
        </w:tabs>
        <w:spacing w:line="276" w:lineRule="auto"/>
        <w:jc w:val="both"/>
        <w:rPr>
          <w:rFonts w:ascii="Arial" w:eastAsia="Calibri" w:hAnsi="Arial" w:cs="Arial"/>
          <w:bCs/>
          <w:sz w:val="22"/>
          <w:lang w:val="es-ES" w:eastAsia="es-CO"/>
        </w:rPr>
      </w:pPr>
    </w:p>
    <w:p w14:paraId="57073432" w14:textId="77777777" w:rsidR="007323DA" w:rsidRPr="00481068" w:rsidRDefault="007323DA" w:rsidP="007323DA">
      <w:pPr>
        <w:spacing w:line="276" w:lineRule="auto"/>
        <w:jc w:val="both"/>
        <w:rPr>
          <w:rFonts w:ascii="Arial" w:eastAsia="Calibri" w:hAnsi="Arial" w:cs="Arial"/>
          <w:sz w:val="22"/>
        </w:rPr>
      </w:pPr>
      <w:r w:rsidRPr="00481068">
        <w:rPr>
          <w:rFonts w:ascii="Arial" w:eastAsia="Calibri" w:hAnsi="Arial" w:cs="Arial"/>
          <w:b/>
          <w:bCs/>
          <w:color w:val="000000"/>
          <w:sz w:val="22"/>
        </w:rPr>
        <w:t xml:space="preserve">2.3. </w:t>
      </w:r>
      <w:r w:rsidRPr="00481068">
        <w:rPr>
          <w:rFonts w:ascii="Arial" w:hAnsi="Arial" w:cs="Arial"/>
          <w:b/>
          <w:bCs/>
          <w:color w:val="000000" w:themeColor="text1"/>
          <w:sz w:val="22"/>
        </w:rPr>
        <w:t>Contratos con organismos internacionales y restricciones de la Ley de Garantías para la contratación directa</w:t>
      </w:r>
    </w:p>
    <w:p w14:paraId="4A6A48D1" w14:textId="77777777" w:rsidR="007323DA" w:rsidRPr="00481068" w:rsidRDefault="007323DA" w:rsidP="007323DA">
      <w:pPr>
        <w:snapToGrid w:val="0"/>
        <w:spacing w:line="276" w:lineRule="auto"/>
        <w:jc w:val="both"/>
        <w:rPr>
          <w:rFonts w:ascii="Arial" w:eastAsia="Calibri" w:hAnsi="Arial" w:cs="Arial"/>
          <w:bCs/>
          <w:sz w:val="22"/>
        </w:rPr>
      </w:pPr>
    </w:p>
    <w:p w14:paraId="6A784DEB" w14:textId="77777777" w:rsidR="007323DA" w:rsidRPr="00481068" w:rsidRDefault="007323DA" w:rsidP="007323DA">
      <w:pPr>
        <w:spacing w:after="120" w:line="276" w:lineRule="auto"/>
        <w:jc w:val="both"/>
        <w:rPr>
          <w:rFonts w:ascii="Arial" w:hAnsi="Arial" w:cs="Arial"/>
          <w:sz w:val="22"/>
          <w:lang w:val="es-ES"/>
        </w:rPr>
      </w:pPr>
      <w:bookmarkStart w:id="26" w:name="_Hlk99449041"/>
      <w:r w:rsidRPr="00481068">
        <w:rPr>
          <w:rFonts w:ascii="Arial" w:hAnsi="Arial" w:cs="Arial"/>
          <w:sz w:val="22"/>
          <w:lang w:val="es-ES"/>
        </w:rPr>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w:t>
      </w:r>
      <w:r w:rsidRPr="00481068">
        <w:rPr>
          <w:rStyle w:val="Refdenotaalpie"/>
          <w:rFonts w:ascii="Arial" w:hAnsi="Arial" w:cs="Arial"/>
          <w:sz w:val="22"/>
        </w:rPr>
        <w:footnoteReference w:id="26"/>
      </w:r>
      <w:r w:rsidRPr="00481068">
        <w:rPr>
          <w:rFonts w:ascii="Arial" w:hAnsi="Arial" w:cs="Arial"/>
          <w:sz w:val="22"/>
          <w:lang w:val="es-ES"/>
        </w:rPr>
        <w:t xml:space="preserve">,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245221F7" w14:textId="77777777" w:rsidR="007323DA" w:rsidRPr="00481068" w:rsidRDefault="007323DA" w:rsidP="007323DA">
      <w:pPr>
        <w:pStyle w:val="Prrafodelista"/>
        <w:snapToGrid w:val="0"/>
        <w:spacing w:before="120" w:after="120" w:line="276" w:lineRule="auto"/>
        <w:ind w:left="0" w:firstLine="709"/>
        <w:jc w:val="both"/>
        <w:rPr>
          <w:rFonts w:ascii="Arial" w:eastAsia="Calibri" w:hAnsi="Arial" w:cs="Arial"/>
          <w:sz w:val="22"/>
        </w:rPr>
      </w:pPr>
      <w:bookmarkStart w:id="27" w:name="_Hlk99449078"/>
      <w:bookmarkEnd w:id="26"/>
      <w:r w:rsidRPr="00481068">
        <w:rPr>
          <w:rFonts w:ascii="Arial" w:eastAsia="Calibri" w:hAnsi="Arial" w:cs="Arial"/>
          <w:sz w:val="22"/>
        </w:rPr>
        <w:lastRenderedPageBreak/>
        <w:t>El artículo 13 de la Ley 80 de 1993 regula de forma general el régimen aplicable a los contratos que celebren las entidades referidas en el artículo segundo del estatuto</w:t>
      </w:r>
      <w:r w:rsidRPr="00481068">
        <w:rPr>
          <w:rStyle w:val="Refdenotaalpie"/>
          <w:rFonts w:ascii="Arial" w:hAnsi="Arial" w:cs="Arial"/>
          <w:sz w:val="22"/>
        </w:rPr>
        <w:footnoteReference w:id="27"/>
      </w:r>
      <w:r w:rsidRPr="00481068">
        <w:rPr>
          <w:rFonts w:ascii="Arial" w:eastAsia="Calibri" w:hAnsi="Arial" w:cs="Arial"/>
          <w:sz w:val="22"/>
        </w:rPr>
        <w:t xml:space="preserve">, señalando en el inciso primero, como primer criterio, la aplicabilidad de las disposiciones civiles y comerciales nacionales, sin perjuicio de la aplicación prevalente de las contenidas en el Estatuto General de Contratación de la Administración Pública.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 </w:t>
      </w:r>
      <w:bookmarkEnd w:id="27"/>
    </w:p>
    <w:p w14:paraId="7DEDC24A" w14:textId="77777777" w:rsidR="007323DA" w:rsidRPr="00481068" w:rsidRDefault="007323DA" w:rsidP="007323DA">
      <w:pPr>
        <w:pStyle w:val="Prrafodelista"/>
        <w:snapToGrid w:val="0"/>
        <w:spacing w:before="120" w:after="120" w:line="276" w:lineRule="auto"/>
        <w:ind w:left="0" w:firstLine="709"/>
        <w:jc w:val="both"/>
        <w:rPr>
          <w:rFonts w:ascii="Arial" w:eastAsia="Calibri" w:hAnsi="Arial" w:cs="Arial"/>
          <w:sz w:val="12"/>
          <w:szCs w:val="12"/>
        </w:rPr>
      </w:pPr>
    </w:p>
    <w:p w14:paraId="25438E9D" w14:textId="77777777" w:rsidR="007323DA" w:rsidRPr="00481068" w:rsidRDefault="007323DA" w:rsidP="007323DA">
      <w:pPr>
        <w:pStyle w:val="Prrafodelista"/>
        <w:snapToGrid w:val="0"/>
        <w:spacing w:line="276" w:lineRule="auto"/>
        <w:ind w:left="0" w:firstLine="709"/>
        <w:jc w:val="both"/>
        <w:rPr>
          <w:rFonts w:ascii="Arial" w:eastAsia="Calibri" w:hAnsi="Arial" w:cs="Arial"/>
          <w:sz w:val="22"/>
        </w:rPr>
      </w:pPr>
      <w:r w:rsidRPr="00481068">
        <w:rPr>
          <w:rFonts w:ascii="Arial" w:eastAsia="Calibri" w:hAnsi="Arial" w:cs="Arial"/>
          <w:sz w:val="22"/>
        </w:rPr>
        <w:t>Nótese cómo el artículo citado permite que las entidades estatales no se rijan siempre por la normativa colombiana, permitiendo, en algunos casos, la aplicación de la ley extranjera. Además de los supuestos anteriores, el Consejo de Estado explica, en general, los siguientes escenarios, en los cuales el régimen jurídico puede ser uno diferente al prescrito en el derecho nacional, pese a tratarse de contratos sometidos, en principio, a la Ley 80 de 1993:</w:t>
      </w:r>
    </w:p>
    <w:p w14:paraId="2BC2EF15" w14:textId="77777777" w:rsidR="007323DA" w:rsidRPr="00481068" w:rsidRDefault="007323DA" w:rsidP="007323DA">
      <w:pPr>
        <w:pStyle w:val="Prrafodelista"/>
        <w:snapToGrid w:val="0"/>
        <w:spacing w:line="276" w:lineRule="auto"/>
        <w:ind w:left="0" w:firstLine="709"/>
        <w:jc w:val="both"/>
        <w:rPr>
          <w:rFonts w:ascii="Arial" w:eastAsia="Calibri" w:hAnsi="Arial" w:cs="Arial"/>
          <w:sz w:val="22"/>
        </w:rPr>
      </w:pPr>
    </w:p>
    <w:p w14:paraId="705ACE7E" w14:textId="2C31AE8B" w:rsidR="007323DA" w:rsidRPr="00481068" w:rsidRDefault="007323DA" w:rsidP="007323DA">
      <w:pPr>
        <w:pStyle w:val="Prrafodelista"/>
        <w:ind w:left="709" w:right="709"/>
        <w:jc w:val="both"/>
        <w:rPr>
          <w:rFonts w:ascii="Arial" w:eastAsia="MS Mincho" w:hAnsi="Arial" w:cs="Arial"/>
          <w:sz w:val="21"/>
          <w:szCs w:val="21"/>
          <w:lang w:eastAsia="es-ES"/>
        </w:rPr>
      </w:pPr>
      <w:r w:rsidRPr="00481068">
        <w:rPr>
          <w:rFonts w:ascii="Arial" w:eastAsia="MS Mincho" w:hAnsi="Arial" w:cs="Arial"/>
          <w:sz w:val="21"/>
          <w:szCs w:val="21"/>
          <w:lang w:eastAsia="es-ES"/>
        </w:rPr>
        <w:t xml:space="preserve">i) Contratos celebrados en el exterior, los cuales se podrán regir en su ejecución por las reglas del país donde se ha suscrito, salvo cuando su cumplimiento deba hacerse en Colombia, caso en el cual se aplicará la legislación nacional, ii) Contratos celebrados en territorio colombiano que deben ejecutarse o cumplirse en el extranjero, en tal caso podrá regirse bajo legislación foránea, salvo aquella parte que deba ejecutarse o cumplirse en Colombia, la cual se regirá por el derecho nacional, iii)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w:t>
      </w:r>
      <w:r w:rsidRPr="00481068">
        <w:rPr>
          <w:rFonts w:ascii="Arial" w:eastAsia="MS Mincho" w:hAnsi="Arial" w:cs="Arial"/>
          <w:sz w:val="21"/>
          <w:szCs w:val="21"/>
          <w:lang w:eastAsia="es-ES"/>
        </w:rPr>
        <w:lastRenderedPageBreak/>
        <w:t>adjudicación y cláusulas especiales de ejecución, cumplimiento, pagos y ajustes</w:t>
      </w:r>
      <w:r w:rsidR="000445FF">
        <w:rPr>
          <w:rFonts w:ascii="Arial" w:eastAsia="MS Mincho" w:hAnsi="Arial" w:cs="Arial"/>
          <w:sz w:val="21"/>
          <w:szCs w:val="21"/>
          <w:lang w:eastAsia="es-ES"/>
        </w:rPr>
        <w:t>.</w:t>
      </w:r>
      <w:r w:rsidRPr="00481068">
        <w:rPr>
          <w:rStyle w:val="Refdenotaalpie"/>
          <w:rFonts w:ascii="Arial" w:hAnsi="Arial" w:cs="Arial"/>
          <w:sz w:val="21"/>
          <w:szCs w:val="21"/>
        </w:rPr>
        <w:footnoteReference w:id="28"/>
      </w:r>
      <w:r w:rsidRPr="00481068">
        <w:rPr>
          <w:rFonts w:ascii="Arial" w:eastAsia="MS Mincho" w:hAnsi="Arial" w:cs="Arial"/>
          <w:sz w:val="21"/>
          <w:szCs w:val="21"/>
          <w:lang w:eastAsia="es-ES"/>
        </w:rPr>
        <w:t xml:space="preserve"> </w:t>
      </w:r>
    </w:p>
    <w:p w14:paraId="66B0BE1E" w14:textId="77777777" w:rsidR="007323DA" w:rsidRPr="00481068" w:rsidRDefault="007323DA" w:rsidP="007323DA">
      <w:pPr>
        <w:pStyle w:val="Prrafodelista"/>
        <w:spacing w:before="120"/>
        <w:ind w:left="851" w:right="709"/>
        <w:rPr>
          <w:rFonts w:ascii="Arial" w:eastAsia="Calibri" w:hAnsi="Arial" w:cs="Arial"/>
          <w:sz w:val="22"/>
        </w:rPr>
      </w:pPr>
    </w:p>
    <w:p w14:paraId="257A78F7" w14:textId="77777777" w:rsidR="007323DA" w:rsidRPr="00481068" w:rsidRDefault="007323DA" w:rsidP="007323DA">
      <w:pPr>
        <w:spacing w:line="276" w:lineRule="auto"/>
        <w:ind w:firstLine="709"/>
        <w:jc w:val="both"/>
        <w:rPr>
          <w:rFonts w:ascii="Arial" w:eastAsia="Calibri" w:hAnsi="Arial" w:cs="Arial"/>
          <w:sz w:val="22"/>
          <w:lang w:val="es-ES"/>
        </w:rPr>
      </w:pPr>
      <w:r w:rsidRPr="00481068">
        <w:rPr>
          <w:rFonts w:ascii="Arial" w:eastAsia="Calibri" w:hAnsi="Arial" w:cs="Arial"/>
          <w:sz w:val="22"/>
          <w:lang w:val="es-ES"/>
        </w:rPr>
        <w:t>La redacción original del artículo 13 de la Ley 80 de 1993 incluía un inciso cuarto en el que se regulaba el régimen aplicable a los contratos suscritos con organismos internacionales, estableciendo otros supuestos donde era posible aplicar un régimen distinto al del Estatuto General de Contratación de la Administración Pública –en adelante EGCAP–</w:t>
      </w:r>
      <w:r w:rsidRPr="00481068">
        <w:rPr>
          <w:rStyle w:val="Refdenotaalpie"/>
          <w:rFonts w:ascii="Arial" w:eastAsia="Calibri" w:hAnsi="Arial" w:cs="Arial"/>
          <w:sz w:val="22"/>
        </w:rPr>
        <w:footnoteReference w:id="29"/>
      </w:r>
      <w:r w:rsidRPr="00481068">
        <w:rPr>
          <w:rFonts w:ascii="Arial" w:eastAsia="Calibri" w:hAnsi="Arial" w:cs="Arial"/>
          <w:sz w:val="22"/>
          <w:lang w:val="es-ES"/>
        </w:rPr>
        <w:t xml:space="preserve">. Sin embargo, el artículo 20 de la Ley 1150 de 2007 modificó el régimen contractual aplicable a los contratos o convenios suscritos con organismos internacionales, estableciendo, para algunos casos, la posible definición del régimen dependiendo del porcentaje de participación que el organismo internacional tuviera frente a dichos contratos, a partir del cual establece una potestad discrecional en torno a la elección del régimen contractual aplicable. Así, el artículo 20 de la citada norma señala que «podrán» ser sometidos a los reglamentos de tales entidades, en lo que tiene que ver con el inciso primero de dicho artículo. </w:t>
      </w:r>
    </w:p>
    <w:p w14:paraId="667F5D11" w14:textId="77777777" w:rsidR="007323DA" w:rsidRPr="00481068" w:rsidRDefault="007323DA" w:rsidP="007323DA">
      <w:pPr>
        <w:spacing w:before="120" w:after="120" w:line="276" w:lineRule="auto"/>
        <w:ind w:firstLine="709"/>
        <w:jc w:val="both"/>
        <w:rPr>
          <w:rFonts w:ascii="Arial" w:eastAsia="Calibri" w:hAnsi="Arial" w:cs="Arial"/>
          <w:sz w:val="22"/>
          <w:lang w:val="es-ES"/>
        </w:rPr>
      </w:pPr>
      <w:r w:rsidRPr="00481068">
        <w:rPr>
          <w:rFonts w:ascii="Arial" w:eastAsia="Calibri" w:hAnsi="Arial" w:cs="Arial"/>
          <w:sz w:val="22"/>
          <w:lang w:val="es-ES"/>
        </w:rPr>
        <w:t>Para comprender el alcance del régimen aplicable a los contratos o convenios que se suscriban con organismos internacionales, de acuerdo con la financiación de estos, resulta necesario analizar el artículo 20 de la Ley 1150 de 2007</w:t>
      </w:r>
      <w:r w:rsidRPr="00481068">
        <w:rPr>
          <w:rStyle w:val="Refdenotaalpie"/>
          <w:rFonts w:ascii="Arial" w:eastAsia="Calibri" w:hAnsi="Arial" w:cs="Arial"/>
          <w:sz w:val="22"/>
        </w:rPr>
        <w:footnoteReference w:id="30"/>
      </w:r>
      <w:r w:rsidRPr="00481068">
        <w:rPr>
          <w:rFonts w:ascii="Arial" w:eastAsia="Calibri" w:hAnsi="Arial" w:cs="Arial"/>
          <w:sz w:val="22"/>
          <w:lang w:val="es-ES"/>
        </w:rPr>
        <w:t xml:space="preserve">. De conformidad con este </w:t>
      </w:r>
      <w:r w:rsidRPr="00481068">
        <w:rPr>
          <w:rFonts w:ascii="Arial" w:eastAsia="Calibri" w:hAnsi="Arial" w:cs="Arial"/>
          <w:sz w:val="22"/>
          <w:lang w:val="es-ES"/>
        </w:rPr>
        <w:lastRenderedPageBreak/>
        <w:t xml:space="preserve">artículo, en lo que tiene que ver con el </w:t>
      </w:r>
      <w:r w:rsidRPr="00481068">
        <w:rPr>
          <w:rFonts w:ascii="Arial" w:eastAsia="Calibri" w:hAnsi="Arial" w:cs="Arial"/>
          <w:i/>
          <w:iCs/>
          <w:sz w:val="22"/>
          <w:lang w:val="es-ES"/>
        </w:rPr>
        <w:t>inciso primero</w:t>
      </w:r>
      <w:r w:rsidRPr="00481068">
        <w:rPr>
          <w:rFonts w:ascii="Arial" w:eastAsia="Calibri" w:hAnsi="Arial" w:cs="Arial"/>
          <w:sz w:val="22"/>
          <w:lang w:val="es-ES"/>
        </w:rPr>
        <w:t xml:space="preserve">,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w:t>
      </w:r>
    </w:p>
    <w:p w14:paraId="3F223E00" w14:textId="77777777" w:rsidR="007323DA" w:rsidRPr="00481068" w:rsidRDefault="007323DA" w:rsidP="007323DA">
      <w:pPr>
        <w:spacing w:before="120" w:line="276" w:lineRule="auto"/>
        <w:ind w:firstLine="709"/>
        <w:jc w:val="both"/>
        <w:rPr>
          <w:rFonts w:ascii="Arial" w:eastAsia="Calibri" w:hAnsi="Arial" w:cs="Arial"/>
          <w:sz w:val="22"/>
          <w:lang w:val="es-ES"/>
        </w:rPr>
      </w:pPr>
      <w:r w:rsidRPr="00481068">
        <w:rPr>
          <w:rFonts w:ascii="Arial" w:eastAsia="Calibri" w:hAnsi="Arial" w:cs="Arial"/>
          <w:sz w:val="22"/>
          <w:lang w:val="es-ES"/>
        </w:rPr>
        <w:t xml:space="preserve">Por otro lado, la norma establece un segundo criterio, en el </w:t>
      </w:r>
      <w:r w:rsidRPr="00481068">
        <w:rPr>
          <w:rFonts w:ascii="Arial" w:eastAsia="Calibri" w:hAnsi="Arial" w:cs="Arial"/>
          <w:i/>
          <w:iCs/>
          <w:sz w:val="22"/>
          <w:lang w:val="es-ES"/>
        </w:rPr>
        <w:t>inciso segundo,</w:t>
      </w:r>
      <w:r w:rsidRPr="00481068">
        <w:rPr>
          <w:rFonts w:ascii="Arial" w:eastAsia="Calibri" w:hAnsi="Arial" w:cs="Arial"/>
          <w:sz w:val="22"/>
          <w:lang w:val="es-ES"/>
        </w:rPr>
        <w:t xml:space="preserve"> para determinar la posibilidad de aplicar los reglamentos de los organismos internacionales. Este segundo criterio depende del objeto del convenio o contrato a celebrar, de manera que en dichos casos se puede pactar el sometimiento a los reglamentos de estas entidades. En tal sentido, los otros supuestos en que es posible someter el régimen contractual a los reglamentos de los organismos internacionales son los siguientes: </w:t>
      </w:r>
    </w:p>
    <w:p w14:paraId="1FB16443" w14:textId="77777777" w:rsidR="007323DA" w:rsidRPr="00481068" w:rsidRDefault="007323DA" w:rsidP="007323DA">
      <w:pPr>
        <w:spacing w:line="276" w:lineRule="auto"/>
        <w:ind w:firstLine="709"/>
        <w:jc w:val="both"/>
        <w:rPr>
          <w:rFonts w:ascii="Arial" w:eastAsia="Calibri" w:hAnsi="Arial" w:cs="Arial"/>
          <w:sz w:val="22"/>
          <w:lang w:val="es-ES"/>
        </w:rPr>
      </w:pPr>
    </w:p>
    <w:p w14:paraId="73602525" w14:textId="77777777" w:rsidR="007323DA" w:rsidRPr="00481068" w:rsidRDefault="007323DA" w:rsidP="007323DA">
      <w:pPr>
        <w:pStyle w:val="Prrafodelista"/>
        <w:numPr>
          <w:ilvl w:val="0"/>
          <w:numId w:val="29"/>
        </w:numPr>
        <w:spacing w:after="200" w:line="276" w:lineRule="auto"/>
        <w:ind w:left="1134" w:right="709" w:hanging="141"/>
        <w:jc w:val="both"/>
        <w:rPr>
          <w:rFonts w:ascii="Arial" w:eastAsia="Calibri" w:hAnsi="Arial" w:cs="Arial"/>
          <w:sz w:val="21"/>
          <w:szCs w:val="21"/>
        </w:rPr>
      </w:pPr>
      <w:r w:rsidRPr="00481068">
        <w:rPr>
          <w:rFonts w:ascii="Arial" w:eastAsia="Calibri" w:hAnsi="Arial" w:cs="Arial"/>
          <w:sz w:val="21"/>
          <w:szCs w:val="21"/>
        </w:rPr>
        <w:t xml:space="preserve">Desarrollo de programas de promoción, prevención y atención en salud. </w:t>
      </w:r>
    </w:p>
    <w:p w14:paraId="4A7DEF3B" w14:textId="77777777" w:rsidR="007323DA" w:rsidRPr="00481068" w:rsidRDefault="007323DA" w:rsidP="007323DA">
      <w:pPr>
        <w:pStyle w:val="Prrafodelista"/>
        <w:numPr>
          <w:ilvl w:val="0"/>
          <w:numId w:val="29"/>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necesarios para la operación de la OIT.</w:t>
      </w:r>
    </w:p>
    <w:p w14:paraId="5C4F8EC3" w14:textId="77777777" w:rsidR="007323DA" w:rsidRPr="00481068" w:rsidRDefault="007323DA" w:rsidP="007323DA">
      <w:pPr>
        <w:pStyle w:val="Prrafodelista"/>
        <w:numPr>
          <w:ilvl w:val="0"/>
          <w:numId w:val="29"/>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que se ejecuten en desarrollo del sistema integrado de monitoreo de cultivos ilícitos.</w:t>
      </w:r>
    </w:p>
    <w:p w14:paraId="7324B0FE" w14:textId="77777777" w:rsidR="007323DA" w:rsidRPr="00481068" w:rsidRDefault="007323DA" w:rsidP="007323DA">
      <w:pPr>
        <w:pStyle w:val="Prrafodelista"/>
        <w:numPr>
          <w:ilvl w:val="0"/>
          <w:numId w:val="29"/>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para la operación del programa mundial de alimentos.</w:t>
      </w:r>
    </w:p>
    <w:p w14:paraId="61A6FE87" w14:textId="77777777" w:rsidR="007323DA" w:rsidRPr="00481068" w:rsidRDefault="007323DA" w:rsidP="007323DA">
      <w:pPr>
        <w:pStyle w:val="Prrafodelista"/>
        <w:numPr>
          <w:ilvl w:val="0"/>
          <w:numId w:val="29"/>
        </w:numPr>
        <w:spacing w:line="276" w:lineRule="auto"/>
        <w:ind w:left="1134" w:right="709" w:hanging="141"/>
        <w:jc w:val="both"/>
        <w:rPr>
          <w:rFonts w:ascii="Arial" w:hAnsi="Arial" w:cs="Arial"/>
          <w:sz w:val="21"/>
          <w:szCs w:val="21"/>
        </w:rPr>
      </w:pPr>
      <w:r w:rsidRPr="00481068">
        <w:rPr>
          <w:rFonts w:ascii="Arial" w:hAnsi="Arial" w:cs="Arial"/>
          <w:sz w:val="21"/>
          <w:szCs w:val="21"/>
        </w:rPr>
        <w:t>Contratos y convenios para el desarrollo de programas de apoyo educativo a población desplazada y vulnerable adelantados por la Unesco y la OIM.</w:t>
      </w:r>
    </w:p>
    <w:p w14:paraId="5E7F5D6E" w14:textId="77777777" w:rsidR="007323DA" w:rsidRPr="00481068" w:rsidRDefault="007323DA" w:rsidP="007323DA">
      <w:pPr>
        <w:pStyle w:val="Prrafodelista"/>
        <w:numPr>
          <w:ilvl w:val="0"/>
          <w:numId w:val="29"/>
        </w:numPr>
        <w:spacing w:line="276" w:lineRule="auto"/>
        <w:ind w:left="1134" w:right="709" w:hanging="141"/>
        <w:jc w:val="both"/>
        <w:rPr>
          <w:rFonts w:ascii="Arial" w:hAnsi="Arial" w:cs="Arial"/>
          <w:sz w:val="22"/>
        </w:rPr>
      </w:pPr>
      <w:r w:rsidRPr="00481068">
        <w:rPr>
          <w:rFonts w:ascii="Arial" w:hAnsi="Arial" w:cs="Arial"/>
          <w:sz w:val="21"/>
          <w:szCs w:val="21"/>
        </w:rPr>
        <w:t>Los contratos o convenios financiados con fondos de los organismos multilaterales de crédito y entes gubernamentales extranjeros.</w:t>
      </w:r>
      <w:r w:rsidRPr="00481068">
        <w:rPr>
          <w:rFonts w:ascii="Arial" w:hAnsi="Arial" w:cs="Arial"/>
          <w:sz w:val="22"/>
        </w:rPr>
        <w:t xml:space="preserve"> </w:t>
      </w:r>
    </w:p>
    <w:p w14:paraId="57301D60" w14:textId="77777777" w:rsidR="007323DA" w:rsidRPr="00481068" w:rsidRDefault="007323DA" w:rsidP="007323DA">
      <w:pPr>
        <w:pStyle w:val="Prrafodelista"/>
        <w:ind w:left="1429"/>
        <w:rPr>
          <w:rFonts w:ascii="Arial" w:hAnsi="Arial" w:cs="Arial"/>
          <w:sz w:val="22"/>
        </w:rPr>
      </w:pPr>
    </w:p>
    <w:p w14:paraId="6BE3D299" w14:textId="77777777" w:rsidR="007323DA" w:rsidRPr="00481068" w:rsidRDefault="007323DA" w:rsidP="007323DA">
      <w:pPr>
        <w:spacing w:line="276" w:lineRule="auto"/>
        <w:ind w:firstLine="709"/>
        <w:jc w:val="both"/>
        <w:rPr>
          <w:rFonts w:ascii="Arial" w:eastAsia="Calibri" w:hAnsi="Arial" w:cs="Arial"/>
          <w:sz w:val="22"/>
          <w:lang w:val="es-ES"/>
        </w:rPr>
      </w:pPr>
      <w:r w:rsidRPr="00481068">
        <w:rPr>
          <w:rFonts w:ascii="Arial" w:eastAsia="Calibri" w:hAnsi="Arial" w:cs="Arial"/>
          <w:sz w:val="22"/>
          <w:lang w:val="es-ES"/>
        </w:rPr>
        <w:t xml:space="preserve">En los supuestos anteriores, regulados en el inciso segundo del artículo 20, independientemente del monto de los aportes de cada una de las partes, es posible optar </w:t>
      </w:r>
      <w:r w:rsidRPr="00481068">
        <w:rPr>
          <w:rFonts w:ascii="Arial" w:eastAsia="Calibri" w:hAnsi="Arial" w:cs="Arial"/>
          <w:sz w:val="22"/>
          <w:lang w:val="es-ES"/>
        </w:rPr>
        <w:lastRenderedPageBreak/>
        <w:t>por someter el contrato a los reglamentos de dichos organismos o bien someterlos al EGCAP, es decir, configurado alguno de los presupuestos anteriores es posible elegir cualquiera de los dos (2) regímenes indicados. Al respecto, en el concepto C-374 del 27 de julio de 2020, esta Agencia –después de analizar el artículo 20 de la Ley 1150 de 2007– concluyó que:</w:t>
      </w:r>
    </w:p>
    <w:p w14:paraId="1E1338E9" w14:textId="77777777" w:rsidR="007323DA" w:rsidRPr="00481068" w:rsidRDefault="007323DA" w:rsidP="007323DA">
      <w:pPr>
        <w:spacing w:line="276" w:lineRule="auto"/>
        <w:ind w:firstLine="709"/>
        <w:jc w:val="both"/>
        <w:rPr>
          <w:rFonts w:ascii="Arial" w:eastAsia="Calibri" w:hAnsi="Arial" w:cs="Arial"/>
          <w:sz w:val="22"/>
          <w:lang w:val="es-ES"/>
        </w:rPr>
      </w:pPr>
    </w:p>
    <w:p w14:paraId="627B09E6" w14:textId="6CF2BCA1" w:rsidR="007323DA" w:rsidRPr="00481068" w:rsidRDefault="00E87543" w:rsidP="007323DA">
      <w:pPr>
        <w:ind w:left="709" w:right="709"/>
        <w:jc w:val="both"/>
        <w:rPr>
          <w:rFonts w:ascii="Arial" w:eastAsia="Calibri" w:hAnsi="Arial" w:cs="Arial"/>
          <w:sz w:val="21"/>
          <w:szCs w:val="21"/>
          <w:lang w:val="es-ES"/>
        </w:rPr>
      </w:pPr>
      <w:r w:rsidRPr="006337DF">
        <w:rPr>
          <w:rFonts w:ascii="Arial" w:hAnsi="Arial" w:cs="Arial"/>
          <w:sz w:val="21"/>
          <w:szCs w:val="21"/>
        </w:rPr>
        <w:t>«</w:t>
      </w:r>
      <w:r w:rsidR="007323DA" w:rsidRPr="00481068">
        <w:rPr>
          <w:rFonts w:ascii="Arial" w:eastAsia="Calibri" w:hAnsi="Arial" w:cs="Arial"/>
          <w:sz w:val="21"/>
          <w:szCs w:val="21"/>
          <w:lang w:val="es-ES"/>
        </w:rPr>
        <w:t>[…]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r w:rsidRPr="006337DF">
        <w:rPr>
          <w:rFonts w:ascii="Arial" w:hAnsi="Arial" w:cs="Arial"/>
          <w:sz w:val="21"/>
          <w:szCs w:val="21"/>
        </w:rPr>
        <w:t>»</w:t>
      </w:r>
    </w:p>
    <w:p w14:paraId="2537B2CB" w14:textId="77777777" w:rsidR="007323DA" w:rsidRPr="00481068" w:rsidRDefault="007323DA" w:rsidP="007323DA">
      <w:pPr>
        <w:ind w:left="709" w:right="709"/>
        <w:jc w:val="both"/>
        <w:rPr>
          <w:rFonts w:ascii="Arial" w:eastAsia="Calibri" w:hAnsi="Arial" w:cs="Arial"/>
          <w:sz w:val="22"/>
          <w:lang w:val="es-ES"/>
        </w:rPr>
      </w:pPr>
    </w:p>
    <w:p w14:paraId="64D2E159" w14:textId="77777777" w:rsidR="007323DA" w:rsidRPr="00481068" w:rsidRDefault="007323DA" w:rsidP="007323DA">
      <w:pPr>
        <w:spacing w:after="120" w:line="276" w:lineRule="auto"/>
        <w:ind w:firstLine="709"/>
        <w:jc w:val="both"/>
        <w:rPr>
          <w:rFonts w:ascii="Arial" w:hAnsi="Arial" w:cs="Arial"/>
          <w:sz w:val="22"/>
        </w:rPr>
      </w:pPr>
      <w:r w:rsidRPr="00481068">
        <w:rPr>
          <w:rFonts w:ascii="Arial" w:eastAsia="Calibri" w:hAnsi="Arial" w:cs="Arial"/>
          <w:sz w:val="22"/>
          <w:lang w:val="es-ES"/>
        </w:rPr>
        <w:t>De otra parte, en relación con los contratos del inciso primero del artículo 20 de la Ley 1150 de 2007, conviene mencionar que dentro de la ejecución del contrato o convenio pueden presentarse situaciones en las que el porcentaje de los aportes sea modificado, en virtud de su adición o no ejecución en los términos pactados, por lo que, previendo este escenario, el artículo 2.2.1.2.4.4.1. del Decreto 1082 de 2015 dispuso que: «se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481068">
        <w:rPr>
          <w:rStyle w:val="Refdenotaalpie"/>
          <w:rFonts w:ascii="Arial" w:eastAsia="Calibri" w:hAnsi="Arial" w:cs="Arial"/>
          <w:sz w:val="22"/>
        </w:rPr>
        <w:footnoteReference w:id="31"/>
      </w:r>
      <w:r w:rsidRPr="00481068">
        <w:rPr>
          <w:rFonts w:ascii="Arial" w:eastAsia="Calibri" w:hAnsi="Arial" w:cs="Arial"/>
          <w:sz w:val="22"/>
          <w:lang w:val="es-ES"/>
        </w:rPr>
        <w:t xml:space="preserve">. Así las cosas, la entidad contratante debe realizar un constante </w:t>
      </w:r>
      <w:r w:rsidRPr="00481068">
        <w:rPr>
          <w:rFonts w:ascii="Arial" w:eastAsia="Calibri" w:hAnsi="Arial" w:cs="Arial"/>
          <w:sz w:val="22"/>
          <w:lang w:val="es-ES"/>
        </w:rPr>
        <w:lastRenderedPageBreak/>
        <w:t>monitoreo respecto de los aportes de cada una de las partes para determinar si se debe realizar un ajuste frente al régimen aplicable, esto es, en relación con los contratos regulados en el inciso primero del artículo 20 de la Ley 1150 de 2007</w:t>
      </w:r>
      <w:r w:rsidRPr="00481068">
        <w:rPr>
          <w:rFonts w:ascii="Arial" w:hAnsi="Arial" w:cs="Arial"/>
          <w:sz w:val="22"/>
        </w:rPr>
        <w:t xml:space="preserve">. </w:t>
      </w:r>
    </w:p>
    <w:p w14:paraId="091BF7BD" w14:textId="77777777" w:rsidR="007323DA" w:rsidRPr="00481068" w:rsidRDefault="007323DA" w:rsidP="007323DA">
      <w:pPr>
        <w:snapToGrid w:val="0"/>
        <w:spacing w:after="120" w:line="276" w:lineRule="auto"/>
        <w:ind w:firstLine="709"/>
        <w:jc w:val="both"/>
        <w:rPr>
          <w:rFonts w:ascii="Arial" w:eastAsia="Calibri" w:hAnsi="Arial" w:cs="Arial"/>
          <w:sz w:val="22"/>
          <w:lang w:val="es-ES"/>
        </w:rPr>
      </w:pPr>
      <w:r w:rsidRPr="00481068">
        <w:rPr>
          <w:rFonts w:ascii="Arial" w:hAnsi="Arial" w:cs="Arial"/>
          <w:sz w:val="22"/>
        </w:rPr>
        <w:t xml:space="preserve">Ahora bien, de acuerdo con el </w:t>
      </w:r>
      <w:r w:rsidRPr="00481068">
        <w:rPr>
          <w:rFonts w:ascii="Arial" w:eastAsia="Calibri" w:hAnsi="Arial" w:cs="Arial"/>
          <w:sz w:val="22"/>
          <w:lang w:val="es-ES"/>
        </w:rPr>
        <w:t>Concepto CU-180 del 8 de abril de 2022 de esta Agencia, el artículo 20 de la Ley 1150 de 2007 dispone una excepción a la regla general del artículo 13 de la Ley 80 de 1993, según la cual las normas aplicables tanto a la celebración como ejecución del contrato estatal serán las nacionales, siempre y cuando el respectivo acuerdo sea celebrado o ejecutado en el territorio nacional. Por tanto, sobre el artículo 33 de la Ley de Garantías</w:t>
      </w:r>
      <w:r w:rsidRPr="00481068">
        <w:rPr>
          <w:rFonts w:ascii="Arial" w:eastAsia="Calibri" w:hAnsi="Arial" w:cs="Arial"/>
          <w:sz w:val="22"/>
        </w:rPr>
        <w:t xml:space="preserve">, </w:t>
      </w:r>
      <w:r w:rsidRPr="00481068">
        <w:rPr>
          <w:rFonts w:ascii="Arial" w:eastAsia="Calibri" w:hAnsi="Arial" w:cs="Arial"/>
          <w:sz w:val="22"/>
          <w:lang w:val="es-ES"/>
        </w:rPr>
        <w:t xml:space="preserve">la Agencia –al retomar la tesis del Concepto C-559 del 31 de agosto de 2021– consideró lo siguiente: «[…] </w:t>
      </w:r>
      <w:r w:rsidRPr="00481068">
        <w:rPr>
          <w:rFonts w:ascii="Arial" w:eastAsia="Calibri" w:hAnsi="Arial" w:cs="Arial"/>
          <w:i/>
          <w:iCs/>
          <w:sz w:val="22"/>
          <w:lang w:val="es-ES"/>
        </w:rPr>
        <w:t>dado que</w:t>
      </w:r>
      <w:r w:rsidRPr="00481068">
        <w:rPr>
          <w:rFonts w:ascii="Arial" w:eastAsia="Calibri" w:hAnsi="Arial" w:cs="Arial"/>
          <w:sz w:val="22"/>
          <w:lang w:val="es-ES"/>
        </w:rPr>
        <w:t xml:space="preserve"> […] </w:t>
      </w:r>
      <w:r w:rsidRPr="00481068">
        <w:rPr>
          <w:rFonts w:ascii="Arial" w:eastAsia="Calibri" w:hAnsi="Arial" w:cs="Arial"/>
          <w:i/>
          <w:iCs/>
          <w:sz w:val="22"/>
          <w:lang w:val="es-ES"/>
        </w:rPr>
        <w:t>existen algunos casos en los cuales el legislador habilitó a las entidades públicas para que suscribieran contratos cuyo régimen es distinto al derecho nacional,</w:t>
      </w:r>
      <w:r w:rsidRPr="00481068">
        <w:rPr>
          <w:rFonts w:ascii="Arial" w:eastAsia="Calibri" w:hAnsi="Arial" w:cs="Arial"/>
          <w:sz w:val="22"/>
          <w:lang w:val="es-ES"/>
        </w:rPr>
        <w:t xml:space="preserve"> […] </w:t>
      </w:r>
      <w:r w:rsidRPr="00481068">
        <w:rPr>
          <w:rFonts w:ascii="Arial" w:eastAsia="Calibri" w:hAnsi="Arial" w:cs="Arial"/>
          <w:i/>
          <w:iCs/>
          <w:sz w:val="22"/>
          <w:lang w:val="es-ES"/>
        </w:rPr>
        <w:t>en estos eventos dicha restricción no sería aplicable</w:t>
      </w:r>
      <w:r w:rsidRPr="00481068">
        <w:rPr>
          <w:rFonts w:ascii="Arial" w:eastAsia="Calibri" w:hAnsi="Arial" w:cs="Arial"/>
          <w:sz w:val="22"/>
          <w:lang w:val="es-ES"/>
        </w:rPr>
        <w:t xml:space="preserve">» (Énfasis fuera de texto). </w:t>
      </w:r>
    </w:p>
    <w:p w14:paraId="10FBD06D" w14:textId="77777777" w:rsidR="007323DA" w:rsidRPr="00481068" w:rsidRDefault="007323DA" w:rsidP="007323DA">
      <w:pPr>
        <w:snapToGrid w:val="0"/>
        <w:spacing w:line="276" w:lineRule="auto"/>
        <w:ind w:firstLine="708"/>
        <w:jc w:val="both"/>
        <w:rPr>
          <w:rFonts w:ascii="Arial" w:eastAsia="Calibri" w:hAnsi="Arial" w:cs="Arial"/>
          <w:sz w:val="22"/>
          <w:lang w:val="es-ES"/>
        </w:rPr>
      </w:pPr>
      <w:r w:rsidRPr="00481068">
        <w:rPr>
          <w:rFonts w:ascii="Arial" w:eastAsia="Calibri" w:hAnsi="Arial" w:cs="Arial"/>
          <w:sz w:val="22"/>
          <w:lang w:val="es-ES"/>
        </w:rPr>
        <w:t>Para efectos de la tesis unificada, el artículo 20 de la Ley 1150 de 2007 implica un régimen exceptuado distinto a los demás, en la medida que el derecho aplicable a estos contratos no es el derecho nacional, sino disposiciones de carácter internacional, normas que se materializan a través de los reglamentos de los organismos de cooperación, asistencia o ayuda. Así las cosas, en el Concepto CU-180 del 8 de abril de 2022, la Agencia estimó que:</w:t>
      </w:r>
    </w:p>
    <w:p w14:paraId="27779302" w14:textId="77777777" w:rsidR="007323DA" w:rsidRPr="00481068" w:rsidRDefault="007323DA" w:rsidP="007323DA">
      <w:pPr>
        <w:snapToGrid w:val="0"/>
        <w:spacing w:line="276" w:lineRule="auto"/>
        <w:jc w:val="both"/>
        <w:rPr>
          <w:rFonts w:ascii="Arial" w:eastAsia="Calibri" w:hAnsi="Arial" w:cs="Arial"/>
          <w:sz w:val="22"/>
          <w:lang w:val="es-ES"/>
        </w:rPr>
      </w:pPr>
    </w:p>
    <w:p w14:paraId="314F6A0D" w14:textId="311BD92B" w:rsidR="007323DA" w:rsidRPr="00481068" w:rsidRDefault="007323DA" w:rsidP="007323DA">
      <w:pPr>
        <w:snapToGrid w:val="0"/>
        <w:spacing w:after="120"/>
        <w:ind w:left="709" w:right="709"/>
        <w:jc w:val="both"/>
        <w:rPr>
          <w:rFonts w:ascii="Arial" w:eastAsia="Calibri" w:hAnsi="Arial" w:cs="Arial"/>
          <w:sz w:val="21"/>
          <w:szCs w:val="21"/>
          <w:lang w:val="es-ES"/>
        </w:rPr>
      </w:pPr>
      <w:r w:rsidRPr="00481068">
        <w:rPr>
          <w:rFonts w:ascii="Arial" w:eastAsia="Calibri" w:hAnsi="Arial" w:cs="Arial"/>
          <w:sz w:val="21"/>
          <w:szCs w:val="21"/>
          <w:lang w:val="es-ES"/>
        </w:rPr>
        <w:t>[</w:t>
      </w:r>
      <w:r w:rsidR="000445FF">
        <w:rPr>
          <w:rFonts w:ascii="Arial" w:eastAsia="Calibri" w:hAnsi="Arial" w:cs="Arial"/>
          <w:sz w:val="21"/>
          <w:szCs w:val="21"/>
          <w:lang w:val="es-ES"/>
        </w:rPr>
        <w:t>S]</w:t>
      </w:r>
      <w:proofErr w:type="spellStart"/>
      <w:r w:rsidRPr="00481068">
        <w:rPr>
          <w:rFonts w:ascii="Arial" w:eastAsia="Calibri" w:hAnsi="Arial" w:cs="Arial"/>
          <w:sz w:val="21"/>
          <w:szCs w:val="21"/>
          <w:lang w:val="es-ES"/>
        </w:rPr>
        <w:t>iempre</w:t>
      </w:r>
      <w:proofErr w:type="spellEnd"/>
      <w:r w:rsidRPr="00481068">
        <w:rPr>
          <w:rFonts w:ascii="Arial" w:eastAsia="Calibri" w:hAnsi="Arial" w:cs="Arial"/>
          <w:sz w:val="21"/>
          <w:szCs w:val="21"/>
          <w:lang w:val="es-ES"/>
        </w:rPr>
        <w:t xml:space="preserve"> y cuando se cumplan con los requisitos que el artículo 20 impone, las partes que deseen contratar podrán incorporar las normas contenidas en los </w:t>
      </w:r>
      <w:r w:rsidRPr="00481068">
        <w:rPr>
          <w:rFonts w:ascii="Arial" w:eastAsia="Calibri" w:hAnsi="Arial" w:cs="Arial"/>
          <w:sz w:val="21"/>
          <w:szCs w:val="21"/>
          <w:lang w:val="es-ES"/>
        </w:rPr>
        <w:lastRenderedPageBreak/>
        <w:t xml:space="preserve">reglamentos de los organismos internacionales, de forma completa y absoluta o de manera sectorizada y parcial. En este último caso, entonces, podrán convenir, por ejemplo, que al contrato se apliquen solo ciertas normas extranjeras de su reglamento relacionadas con el procedimiento de selección o la forma de celebrar el contrato, y estipular que la ejecución de este se regirá por el ordenamiento nacional. </w:t>
      </w:r>
    </w:p>
    <w:p w14:paraId="4EA442A6" w14:textId="77777777" w:rsidR="007323DA" w:rsidRPr="00481068" w:rsidRDefault="007323DA" w:rsidP="007323DA">
      <w:pPr>
        <w:snapToGrid w:val="0"/>
        <w:spacing w:after="120"/>
        <w:ind w:left="709" w:right="709"/>
        <w:jc w:val="both"/>
        <w:rPr>
          <w:rFonts w:ascii="Arial" w:eastAsia="Calibri" w:hAnsi="Arial" w:cs="Arial"/>
          <w:sz w:val="21"/>
          <w:szCs w:val="21"/>
          <w:lang w:val="es-ES"/>
        </w:rPr>
      </w:pPr>
      <w:r w:rsidRPr="00481068">
        <w:rPr>
          <w:rFonts w:ascii="Arial" w:eastAsia="Calibri" w:hAnsi="Arial" w:cs="Arial"/>
          <w:sz w:val="21"/>
          <w:szCs w:val="21"/>
          <w:lang w:val="es-ES"/>
        </w:rPr>
        <w:t xml:space="preserve">En todo caso, dada la naturaleza potestativa de la variación de régimen normativo que gobierna el contrato, las partes serán las encargadas de establecer el alcance de tal variación, optando por el régimen nacional o por el internacional, o bien por ambos de manera alternada, consecutiva o paralela. </w:t>
      </w:r>
    </w:p>
    <w:p w14:paraId="0E9DB08D" w14:textId="77777777" w:rsidR="007323DA" w:rsidRPr="00481068" w:rsidRDefault="007323DA" w:rsidP="007323DA">
      <w:pPr>
        <w:snapToGrid w:val="0"/>
        <w:spacing w:after="120"/>
        <w:ind w:left="709" w:right="709"/>
        <w:jc w:val="both"/>
        <w:rPr>
          <w:rFonts w:ascii="Arial" w:eastAsia="Calibri" w:hAnsi="Arial" w:cs="Arial"/>
          <w:sz w:val="21"/>
          <w:szCs w:val="21"/>
          <w:lang w:val="es-ES"/>
        </w:rPr>
      </w:pPr>
      <w:r w:rsidRPr="00481068">
        <w:rPr>
          <w:rFonts w:ascii="Arial" w:eastAsia="Calibri" w:hAnsi="Arial" w:cs="Arial"/>
          <w:sz w:val="21"/>
          <w:szCs w:val="21"/>
          <w:lang w:val="es-ES"/>
        </w:rPr>
        <w:t>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relacionadas con la oportunidad, tiempos, fases, etapas etc. de los procedimientos de selección, entonces, serán dichas previsiones las que regirán el convenio y la contratación respectiva (bien sean contratos, donaciones, asistencias técnicas y sus derivados) y, por ende, la norma del artículo 33 no será derecho aplicable a la misma.</w:t>
      </w:r>
    </w:p>
    <w:p w14:paraId="528AC752" w14:textId="77777777" w:rsidR="007323DA" w:rsidRPr="00481068" w:rsidRDefault="007323DA" w:rsidP="007323DA">
      <w:pPr>
        <w:snapToGrid w:val="0"/>
        <w:spacing w:after="120"/>
        <w:ind w:left="709" w:right="709"/>
        <w:jc w:val="both"/>
        <w:rPr>
          <w:rFonts w:ascii="Arial" w:eastAsia="Calibri" w:hAnsi="Arial" w:cs="Arial"/>
          <w:sz w:val="21"/>
          <w:szCs w:val="21"/>
          <w:lang w:val="es-ES"/>
        </w:rPr>
      </w:pPr>
      <w:r w:rsidRPr="00481068">
        <w:rPr>
          <w:rFonts w:ascii="Arial" w:eastAsia="Calibri" w:hAnsi="Arial" w:cs="Arial"/>
          <w:sz w:val="21"/>
          <w:szCs w:val="21"/>
          <w:lang w:val="es-ES"/>
        </w:rPr>
        <w:t xml:space="preserve">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 </w:t>
      </w:r>
    </w:p>
    <w:p w14:paraId="310D742D" w14:textId="14671F7D" w:rsidR="007323DA" w:rsidRPr="00481068" w:rsidRDefault="007323DA" w:rsidP="007323DA">
      <w:pPr>
        <w:snapToGrid w:val="0"/>
        <w:ind w:left="709" w:right="709"/>
        <w:jc w:val="both"/>
        <w:rPr>
          <w:rFonts w:ascii="Arial" w:eastAsia="Calibri" w:hAnsi="Arial" w:cs="Arial"/>
          <w:sz w:val="22"/>
          <w:lang w:val="es-ES"/>
        </w:rPr>
      </w:pPr>
      <w:r w:rsidRPr="00481068">
        <w:rPr>
          <w:rFonts w:ascii="Arial" w:eastAsia="Calibri" w:hAnsi="Arial" w:cs="Arial"/>
          <w:sz w:val="21"/>
          <w:szCs w:val="21"/>
          <w:lang w:val="es-ES"/>
        </w:rPr>
        <w:t xml:space="preserve">Así las cosas, con el fin de unificar los criterios expresados en los conceptos emitidos por esta Subdirección en pasadas oportunidades, es menester precisar que, si bien la prohibición para la contratación directa contenida en el artículo 33 de la Ley de Garantías Electorales aplica a todos los entes del Estado cualquiera que sea el régimen jurídico de contratación de carácter nacional, no puede obviarse que, de conformidad con el artículo 20 de la Ley 1150 de 2007, el legislador ha permitido que en ciertos casos las partes que pretendan celebrar </w:t>
      </w:r>
      <w:r w:rsidRPr="00481068">
        <w:rPr>
          <w:rFonts w:ascii="Arial" w:eastAsia="Calibri" w:hAnsi="Arial" w:cs="Arial"/>
          <w:sz w:val="21"/>
          <w:szCs w:val="21"/>
          <w:lang w:val="es-ES"/>
        </w:rPr>
        <w:lastRenderedPageBreak/>
        <w:t>un contrato regulado por esta última disposición pueden optar por aplicar la normativa nacional o la internacional de manera absoluta o parcial</w:t>
      </w:r>
      <w:r w:rsidR="00E87543">
        <w:rPr>
          <w:rFonts w:ascii="Arial" w:eastAsia="Calibri" w:hAnsi="Arial" w:cs="Arial"/>
          <w:sz w:val="21"/>
          <w:szCs w:val="21"/>
          <w:lang w:val="es-ES"/>
        </w:rPr>
        <w:t>.</w:t>
      </w:r>
      <w:r w:rsidRPr="00481068">
        <w:rPr>
          <w:rStyle w:val="Refdenotaalpie"/>
          <w:rFonts w:ascii="Arial" w:eastAsia="Calibri" w:hAnsi="Arial" w:cs="Arial"/>
          <w:sz w:val="21"/>
          <w:szCs w:val="21"/>
          <w:lang w:val="es-ES"/>
        </w:rPr>
        <w:footnoteReference w:id="32"/>
      </w:r>
    </w:p>
    <w:p w14:paraId="6C2E9E96" w14:textId="77777777" w:rsidR="007323DA" w:rsidRPr="00481068" w:rsidRDefault="007323DA" w:rsidP="007323DA">
      <w:pPr>
        <w:snapToGrid w:val="0"/>
        <w:spacing w:line="276" w:lineRule="auto"/>
        <w:jc w:val="both"/>
        <w:rPr>
          <w:rFonts w:ascii="Arial" w:eastAsia="Calibri" w:hAnsi="Arial" w:cs="Arial"/>
          <w:sz w:val="22"/>
          <w:lang w:val="es-ES"/>
        </w:rPr>
      </w:pPr>
    </w:p>
    <w:p w14:paraId="5386E231" w14:textId="77777777" w:rsidR="007323DA" w:rsidRPr="00481068" w:rsidRDefault="007323DA" w:rsidP="007323DA">
      <w:pPr>
        <w:snapToGrid w:val="0"/>
        <w:spacing w:line="276" w:lineRule="auto"/>
        <w:jc w:val="both"/>
        <w:rPr>
          <w:rFonts w:ascii="Arial" w:eastAsia="Calibri" w:hAnsi="Arial" w:cs="Arial"/>
          <w:bCs/>
          <w:sz w:val="22"/>
          <w:lang w:val="es-ES"/>
        </w:rPr>
      </w:pPr>
      <w:r w:rsidRPr="00481068">
        <w:rPr>
          <w:rFonts w:ascii="Arial" w:eastAsia="Calibri" w:hAnsi="Arial" w:cs="Arial"/>
          <w:sz w:val="22"/>
          <w:lang w:val="es-ES"/>
        </w:rPr>
        <w:tab/>
        <w:t xml:space="preserve">De acuerdo con la fundamentación del concepto citado, lo anterior no implica una violación de las normas nacionales, puesto que la contratación con los sujetos previstos en el artículo 20 de la Ley 1150 de 2007 se encuentra amparada por tratados, convenios o convenciones ratificados por el Estado e incorporados debidamente al ordenamiento jurídico interno. De esta manera, en dicho concepto también estimó que este régimen de excepcionalidad obedece a </w:t>
      </w:r>
      <w:r w:rsidRPr="00481068">
        <w:rPr>
          <w:rFonts w:ascii="Arial" w:eastAsia="Calibri" w:hAnsi="Arial" w:cs="Arial"/>
          <w:sz w:val="22"/>
          <w:lang w:val="es-ES_tradnl"/>
        </w:rPr>
        <w:t xml:space="preserve">razones de política económica exterior y de apertura para obtener la colaboración efectiva de los organismos multilaterales de crédito. En este contexto, «[…] </w:t>
      </w:r>
      <w:r w:rsidRPr="00481068">
        <w:rPr>
          <w:rFonts w:ascii="Arial" w:eastAsia="Calibri" w:hAnsi="Arial" w:cs="Arial"/>
          <w:sz w:val="22"/>
          <w:lang w:val="es-ES"/>
        </w:rPr>
        <w:t>la finalidad de la prohibición del artículo 33 de la Ley de Garantías Electorales es evitar la utilización de la contratación directa como mecanismo para que, con recursos públicos, una entidad estatal favorezca o impulse a cierto candidato, partido o movimiento político. Vista así, dicha finalidad no parecería acomodarse a la contratación con los sujetos internacionales catalogados en el artículo 20 de la Ley 1150 de 2007, menos aún, cuando se trata de contratos financiados con recursos provenientes de los organismos internacionales o de entidades gubernamentales extranjeras».</w:t>
      </w:r>
    </w:p>
    <w:p w14:paraId="4A9DA447" w14:textId="77777777" w:rsidR="00E87543" w:rsidRPr="00481068" w:rsidRDefault="00E87543" w:rsidP="00094B98">
      <w:pPr>
        <w:spacing w:before="120"/>
        <w:ind w:firstLine="709"/>
        <w:contextualSpacing/>
        <w:jc w:val="both"/>
        <w:rPr>
          <w:rFonts w:ascii="Arial" w:eastAsia="Calibri" w:hAnsi="Arial" w:cs="Arial"/>
          <w:bCs/>
          <w:sz w:val="22"/>
          <w:lang w:eastAsia="es-CO"/>
        </w:rPr>
      </w:pPr>
    </w:p>
    <w:p w14:paraId="3AEF8851" w14:textId="58A8342D" w:rsidR="007323DA" w:rsidRPr="00094B98" w:rsidRDefault="005E4B48" w:rsidP="00094B98">
      <w:pPr>
        <w:spacing w:line="276" w:lineRule="auto"/>
        <w:jc w:val="both"/>
        <w:rPr>
          <w:rFonts w:ascii="Arial" w:eastAsia="Calibri" w:hAnsi="Arial" w:cs="Arial"/>
          <w:b/>
          <w:sz w:val="22"/>
        </w:rPr>
      </w:pPr>
      <w:r>
        <w:rPr>
          <w:rFonts w:ascii="Arial" w:eastAsia="Calibri" w:hAnsi="Arial" w:cs="Arial"/>
          <w:b/>
          <w:sz w:val="22"/>
        </w:rPr>
        <w:t xml:space="preserve">3. </w:t>
      </w:r>
      <w:r w:rsidR="007323DA" w:rsidRPr="00094B98">
        <w:rPr>
          <w:rFonts w:ascii="Arial" w:eastAsia="Calibri" w:hAnsi="Arial" w:cs="Arial"/>
          <w:b/>
          <w:sz w:val="22"/>
        </w:rPr>
        <w:t>Respuesta</w:t>
      </w:r>
    </w:p>
    <w:p w14:paraId="4351A2CF" w14:textId="77777777" w:rsidR="00E87543" w:rsidRPr="00F52028" w:rsidRDefault="00E87543" w:rsidP="00E87543">
      <w:pPr>
        <w:pStyle w:val="Prrafodelista"/>
        <w:spacing w:line="276" w:lineRule="auto"/>
        <w:jc w:val="both"/>
        <w:rPr>
          <w:rFonts w:ascii="Arial" w:eastAsia="Calibri" w:hAnsi="Arial" w:cs="Arial"/>
          <w:b/>
          <w:sz w:val="22"/>
        </w:rPr>
      </w:pPr>
    </w:p>
    <w:p w14:paraId="653698E4" w14:textId="7E68D8D5" w:rsidR="00F52028" w:rsidRPr="00E87543" w:rsidRDefault="00F52028" w:rsidP="00094B98">
      <w:pPr>
        <w:pStyle w:val="Prrafodelista"/>
        <w:spacing w:before="100" w:beforeAutospacing="1" w:after="100" w:afterAutospacing="1"/>
        <w:ind w:left="1066" w:right="709"/>
        <w:jc w:val="both"/>
        <w:rPr>
          <w:rFonts w:ascii="Arial" w:eastAsia="Times New Roman" w:hAnsi="Arial" w:cs="Arial"/>
          <w:sz w:val="21"/>
          <w:szCs w:val="21"/>
          <w:lang w:val="es-CO" w:eastAsia="es-MX"/>
        </w:rPr>
      </w:pPr>
      <w:r w:rsidRPr="00E87543">
        <w:rPr>
          <w:rFonts w:ascii="Arial" w:hAnsi="Arial" w:cs="Arial"/>
          <w:sz w:val="21"/>
          <w:szCs w:val="21"/>
        </w:rPr>
        <w:t>«</w:t>
      </w:r>
      <w:r w:rsidRPr="00E87543">
        <w:rPr>
          <w:rFonts w:ascii="Arial" w:eastAsia="Times New Roman" w:hAnsi="Arial" w:cs="Arial"/>
          <w:sz w:val="21"/>
          <w:szCs w:val="21"/>
          <w:lang w:val="es-CO" w:eastAsia="es-MX"/>
        </w:rPr>
        <w:t>¿Le es aplicable el concepto 106 a las contrataciones financiadas con recursos del Contrato de Préstamo 4902/OC-CO suscrito con el Banco Interamericano de Desarrollo? (se anexa contrato)</w:t>
      </w:r>
      <w:r w:rsidRPr="00E87543">
        <w:rPr>
          <w:rFonts w:ascii="Arial" w:hAnsi="Arial" w:cs="Arial"/>
          <w:sz w:val="21"/>
          <w:szCs w:val="21"/>
          <w:lang w:val="es-ES"/>
        </w:rPr>
        <w:t>.</w:t>
      </w:r>
    </w:p>
    <w:p w14:paraId="0E1266A4" w14:textId="77777777" w:rsidR="00FE43AD" w:rsidRDefault="00FE43AD" w:rsidP="00FE43AD">
      <w:pPr>
        <w:pStyle w:val="Prrafodelista"/>
        <w:spacing w:before="100" w:beforeAutospacing="1" w:after="100" w:afterAutospacing="1"/>
        <w:ind w:left="1066" w:right="709"/>
        <w:jc w:val="both"/>
        <w:rPr>
          <w:rFonts w:ascii="Arial" w:hAnsi="Arial" w:cs="Arial"/>
          <w:sz w:val="21"/>
          <w:szCs w:val="21"/>
        </w:rPr>
      </w:pPr>
    </w:p>
    <w:p w14:paraId="7A94425C" w14:textId="17535247" w:rsidR="00F52028" w:rsidRPr="00F52028" w:rsidRDefault="00F52028" w:rsidP="00094B98">
      <w:pPr>
        <w:pStyle w:val="Prrafodelista"/>
        <w:spacing w:before="100" w:beforeAutospacing="1" w:after="100" w:afterAutospacing="1"/>
        <w:ind w:left="1066" w:right="709"/>
        <w:jc w:val="both"/>
        <w:rPr>
          <w:rFonts w:ascii="Arial" w:eastAsia="Times New Roman" w:hAnsi="Arial" w:cs="Arial"/>
          <w:sz w:val="21"/>
          <w:szCs w:val="21"/>
          <w:lang w:val="es-CO" w:eastAsia="es-MX"/>
        </w:rPr>
      </w:pPr>
      <w:r w:rsidRPr="00E87543">
        <w:rPr>
          <w:rFonts w:ascii="Arial" w:eastAsia="Times New Roman" w:hAnsi="Arial" w:cs="Arial"/>
          <w:sz w:val="21"/>
          <w:szCs w:val="21"/>
          <w:lang w:val="es-CO" w:eastAsia="es-MX"/>
        </w:rPr>
        <w:t xml:space="preserve">¿Las contrataciones financiadas con recursos del Contrato de </w:t>
      </w:r>
      <w:r w:rsidR="00EF671A" w:rsidRPr="00E87543">
        <w:rPr>
          <w:rFonts w:ascii="Arial" w:eastAsia="Times New Roman" w:hAnsi="Arial" w:cs="Arial"/>
          <w:sz w:val="21"/>
          <w:szCs w:val="21"/>
          <w:lang w:val="es-CO" w:eastAsia="es-MX"/>
        </w:rPr>
        <w:t>Préstamo</w:t>
      </w:r>
      <w:r w:rsidRPr="00E87543">
        <w:rPr>
          <w:rFonts w:ascii="Arial" w:eastAsia="Times New Roman" w:hAnsi="Arial" w:cs="Arial"/>
          <w:sz w:val="21"/>
          <w:szCs w:val="21"/>
          <w:lang w:val="es-CO" w:eastAsia="es-MX"/>
        </w:rPr>
        <w:t xml:space="preserve"> 4902/OC- CO se entienden contratos de </w:t>
      </w:r>
      <w:r w:rsidR="00EF671A" w:rsidRPr="00E87543">
        <w:rPr>
          <w:rFonts w:ascii="Arial" w:eastAsia="Times New Roman" w:hAnsi="Arial" w:cs="Arial"/>
          <w:sz w:val="21"/>
          <w:szCs w:val="21"/>
          <w:lang w:val="es-CO" w:eastAsia="es-MX"/>
        </w:rPr>
        <w:t>crédito</w:t>
      </w:r>
      <w:r w:rsidRPr="00E87543">
        <w:rPr>
          <w:rFonts w:ascii="Arial" w:eastAsia="Times New Roman" w:hAnsi="Arial" w:cs="Arial"/>
          <w:sz w:val="21"/>
          <w:szCs w:val="21"/>
          <w:lang w:val="es-CO" w:eastAsia="es-MX"/>
        </w:rPr>
        <w:t xml:space="preserve"> </w:t>
      </w:r>
      <w:proofErr w:type="spellStart"/>
      <w:r w:rsidRPr="00E87543">
        <w:rPr>
          <w:rFonts w:ascii="Arial" w:eastAsia="Times New Roman" w:hAnsi="Arial" w:cs="Arial"/>
          <w:sz w:val="21"/>
          <w:szCs w:val="21"/>
          <w:lang w:val="es-CO" w:eastAsia="es-MX"/>
        </w:rPr>
        <w:t>público</w:t>
      </w:r>
      <w:proofErr w:type="spellEnd"/>
      <w:r w:rsidRPr="00E87543">
        <w:rPr>
          <w:rFonts w:ascii="Arial" w:eastAsia="Times New Roman" w:hAnsi="Arial" w:cs="Arial"/>
          <w:sz w:val="21"/>
          <w:szCs w:val="21"/>
          <w:lang w:val="es-CO" w:eastAsia="es-MX"/>
        </w:rPr>
        <w:t xml:space="preserve">, y, por tanto, ¿las </w:t>
      </w:r>
      <w:r w:rsidRPr="00E87543">
        <w:rPr>
          <w:rFonts w:ascii="Arial" w:eastAsia="Times New Roman" w:hAnsi="Arial" w:cs="Arial"/>
          <w:sz w:val="21"/>
          <w:szCs w:val="21"/>
          <w:lang w:val="es-CO" w:eastAsia="es-MX"/>
        </w:rPr>
        <w:lastRenderedPageBreak/>
        <w:t xml:space="preserve">Selecciones Directa del Programa </w:t>
      </w:r>
      <w:r w:rsidR="00EF671A" w:rsidRPr="00E87543">
        <w:rPr>
          <w:rFonts w:ascii="Arial" w:eastAsia="Times New Roman" w:hAnsi="Arial" w:cs="Arial"/>
          <w:sz w:val="21"/>
          <w:szCs w:val="21"/>
          <w:lang w:val="es-CO" w:eastAsia="es-MX"/>
        </w:rPr>
        <w:t>estarían</w:t>
      </w:r>
      <w:r w:rsidRPr="00E87543">
        <w:rPr>
          <w:rFonts w:ascii="Arial" w:eastAsia="Times New Roman" w:hAnsi="Arial" w:cs="Arial"/>
          <w:sz w:val="21"/>
          <w:szCs w:val="21"/>
          <w:lang w:val="es-CO" w:eastAsia="es-MX"/>
        </w:rPr>
        <w:t xml:space="preserve"> exceptuadas de las restricciones establecidas en la Ley de </w:t>
      </w:r>
      <w:r w:rsidR="00EF671A" w:rsidRPr="00E87543">
        <w:rPr>
          <w:rFonts w:ascii="Arial" w:eastAsia="Times New Roman" w:hAnsi="Arial" w:cs="Arial"/>
          <w:sz w:val="21"/>
          <w:szCs w:val="21"/>
          <w:lang w:val="es-CO" w:eastAsia="es-MX"/>
        </w:rPr>
        <w:t>Garantías</w:t>
      </w:r>
      <w:r w:rsidRPr="00E87543">
        <w:rPr>
          <w:rFonts w:ascii="Arial" w:eastAsia="Times New Roman" w:hAnsi="Arial" w:cs="Arial"/>
          <w:sz w:val="21"/>
          <w:szCs w:val="21"/>
          <w:lang w:val="es-CO" w:eastAsia="es-MX"/>
        </w:rPr>
        <w:t xml:space="preserve"> Electorales?. Lo anterior de conformidad con lo analizado por Colombia Compra Eficiente en el concepto C-559 de 2021, lo que ha sido el fundamento de la entidad para continuar el cumplimiento de las metas a ser</w:t>
      </w:r>
      <w:r w:rsidRPr="005915DB">
        <w:rPr>
          <w:rFonts w:ascii="Arial" w:eastAsia="Times New Roman" w:hAnsi="Arial" w:cs="Arial"/>
          <w:sz w:val="21"/>
          <w:szCs w:val="21"/>
          <w:lang w:val="es-CO" w:eastAsia="es-MX"/>
        </w:rPr>
        <w:t xml:space="preserve"> alcanzadas en </w:t>
      </w:r>
      <w:proofErr w:type="spellStart"/>
      <w:r w:rsidRPr="005915DB">
        <w:rPr>
          <w:rFonts w:ascii="Arial" w:eastAsia="Times New Roman" w:hAnsi="Arial" w:cs="Arial"/>
          <w:sz w:val="21"/>
          <w:szCs w:val="21"/>
          <w:lang w:val="es-CO" w:eastAsia="es-MX"/>
        </w:rPr>
        <w:t>ejecución</w:t>
      </w:r>
      <w:proofErr w:type="spellEnd"/>
      <w:r w:rsidRPr="005915DB">
        <w:rPr>
          <w:rFonts w:ascii="Arial" w:eastAsia="Times New Roman" w:hAnsi="Arial" w:cs="Arial"/>
          <w:sz w:val="21"/>
          <w:szCs w:val="21"/>
          <w:lang w:val="es-CO" w:eastAsia="es-MX"/>
        </w:rPr>
        <w:t xml:space="preserve"> del Programa 4902/OC-CO</w:t>
      </w:r>
      <w:r w:rsidRPr="005915DB">
        <w:rPr>
          <w:rFonts w:ascii="Arial" w:hAnsi="Arial" w:cs="Arial"/>
          <w:sz w:val="21"/>
          <w:szCs w:val="21"/>
          <w:lang w:val="es-ES"/>
        </w:rPr>
        <w:t xml:space="preserve">». </w:t>
      </w:r>
    </w:p>
    <w:p w14:paraId="33C778FD" w14:textId="1E272AB2" w:rsidR="00EF671A" w:rsidRPr="00EF671A" w:rsidRDefault="00EF671A" w:rsidP="00094B98">
      <w:pPr>
        <w:spacing w:before="120" w:after="120" w:line="276" w:lineRule="auto"/>
        <w:jc w:val="both"/>
        <w:rPr>
          <w:rFonts w:ascii="Arial" w:hAnsi="Arial" w:cs="Arial"/>
          <w:bCs/>
          <w:sz w:val="22"/>
          <w:lang w:eastAsia="es-CO"/>
        </w:rPr>
      </w:pPr>
      <w:r w:rsidRPr="00EF671A">
        <w:rPr>
          <w:rFonts w:ascii="Arial" w:hAnsi="Arial" w:cs="Arial"/>
          <w:color w:val="000000"/>
          <w:sz w:val="22"/>
        </w:rPr>
        <w:t xml:space="preserve">De conformidad con las anteriores consideraciones, sea lo primero resaltar que la competencia </w:t>
      </w:r>
      <w:r w:rsidRPr="00EF671A">
        <w:rPr>
          <w:rFonts w:ascii="Arial" w:eastAsia="Calibri" w:hAnsi="Arial" w:cs="Arial"/>
          <w:color w:val="000000"/>
          <w:sz w:val="22"/>
        </w:rPr>
        <w:t xml:space="preserve">de esta Agencia se debe limitar a la interpretación de normas generales y, por definición, no puede extenderse a la resolución de controversias, ni a brindar asesorías sobre casos puntuales. </w:t>
      </w:r>
      <w:r w:rsidRPr="00EF671A">
        <w:rPr>
          <w:rFonts w:ascii="Arial" w:eastAsia="Calibri" w:hAnsi="Arial" w:cs="Arial"/>
          <w:bCs/>
          <w:color w:val="000000"/>
          <w:sz w:val="22"/>
          <w:lang w:eastAsia="es-CO"/>
        </w:rPr>
        <w:t xml:space="preserve">Bajo esta perspectiva, corresponde a cada entidad pública, en ejercicio de su competencia y previa valoración de los elementos fácticos y jurídicos, determinar si es procedente o no la celebración de cartas de entendimiento o memorandos de entendimiento, toda vez que no existe normatividad vigente sobre la materia y por ende no existe posibilidad de que se cumpla con la función de interpretación concedida a la Agencia, tal como lo estableció </w:t>
      </w:r>
      <w:r w:rsidRPr="00EF671A">
        <w:rPr>
          <w:rFonts w:ascii="Arial" w:hAnsi="Arial" w:cs="Arial"/>
          <w:bCs/>
          <w:sz w:val="22"/>
          <w:lang w:val="es-ES" w:eastAsia="es-CO"/>
        </w:rPr>
        <w:t>el artículo 10 de la Ley 1437 de 2011, el cual dispone que «</w:t>
      </w:r>
      <w:r w:rsidRPr="00EF671A">
        <w:rPr>
          <w:rFonts w:ascii="Arial" w:hAnsi="Arial" w:cs="Arial"/>
          <w:bCs/>
          <w:sz w:val="22"/>
          <w:lang w:eastAsia="es-CO"/>
        </w:rPr>
        <w:t xml:space="preserve">Al resolver los asuntos de su competencia, las autoridades aplicarán las disposiciones constitucionales, legales y reglamentarias de manera uniforme a situaciones que tengan los mismos supuestos fácticos y jurídicos». </w:t>
      </w:r>
    </w:p>
    <w:p w14:paraId="2C8E3086" w14:textId="1C342545" w:rsidR="00F52028" w:rsidRPr="00EF671A" w:rsidRDefault="00EF671A" w:rsidP="00EF671A">
      <w:pPr>
        <w:pStyle w:val="Textoindependiente"/>
        <w:spacing w:before="120"/>
        <w:ind w:firstLine="708"/>
        <w:jc w:val="both"/>
        <w:rPr>
          <w:rFonts w:ascii="Arial" w:eastAsia="Times New Roman" w:hAnsi="Arial" w:cs="Arial"/>
          <w:bCs/>
          <w:color w:val="000000" w:themeColor="text1"/>
          <w:lang w:eastAsia="es-ES_tradnl"/>
        </w:rPr>
      </w:pPr>
      <w:r>
        <w:rPr>
          <w:rFonts w:ascii="Arial" w:eastAsia="Times New Roman" w:hAnsi="Arial" w:cs="Arial"/>
          <w:bCs/>
          <w:color w:val="000000" w:themeColor="text1"/>
          <w:lang w:eastAsia="es-ES_tradnl"/>
        </w:rPr>
        <w:t>En este sentido, y también d</w:t>
      </w:r>
      <w:r w:rsidR="00E87543" w:rsidRPr="00EF671A">
        <w:rPr>
          <w:rFonts w:ascii="Arial" w:eastAsia="Times New Roman" w:hAnsi="Arial" w:cs="Arial"/>
          <w:bCs/>
          <w:color w:val="000000" w:themeColor="text1"/>
          <w:lang w:eastAsia="es-ES_tradnl"/>
        </w:rPr>
        <w:t xml:space="preserve">e conformidad con las consideraciones que anteceden, </w:t>
      </w:r>
      <w:r w:rsidR="00F52028" w:rsidRPr="00EF671A">
        <w:rPr>
          <w:rFonts w:ascii="Arial" w:eastAsia="Times New Roman" w:hAnsi="Arial" w:cs="Arial"/>
          <w:bCs/>
          <w:color w:val="000000" w:themeColor="text1"/>
          <w:lang w:eastAsia="es-ES_tradnl"/>
        </w:rPr>
        <w:t xml:space="preserve">y en virtud de lo establecido por el artículo 20 de la Ley 1150 de 2007, </w:t>
      </w:r>
      <w:r w:rsidR="00E87543" w:rsidRPr="00EF671A">
        <w:rPr>
          <w:rFonts w:ascii="Arial" w:eastAsia="Times New Roman" w:hAnsi="Arial" w:cs="Arial"/>
          <w:bCs/>
          <w:color w:val="000000" w:themeColor="text1"/>
          <w:lang w:eastAsia="es-ES_tradnl"/>
        </w:rPr>
        <w:t>en</w:t>
      </w:r>
      <w:r w:rsidR="00F52028" w:rsidRPr="00EF671A">
        <w:rPr>
          <w:rFonts w:ascii="Arial" w:eastAsia="Times New Roman" w:hAnsi="Arial" w:cs="Arial"/>
          <w:bCs/>
          <w:color w:val="000000" w:themeColor="text1"/>
          <w:lang w:eastAsia="es-ES_tradnl"/>
        </w:rPr>
        <w:t xml:space="preserve"> el caso en el que el convenio de cooperación internacional suscrito entre una entidad estatal y un organismo internacional, </w:t>
      </w:r>
      <w:r w:rsidR="00F52028" w:rsidRPr="00EF671A">
        <w:rPr>
          <w:rFonts w:ascii="Arial" w:hAnsi="Arial" w:cs="Arial"/>
        </w:rPr>
        <w:t>organismos de cooperación, asistencia o ayuda internacionales o personas extranjeras de derecho público,</w:t>
      </w:r>
      <w:r w:rsidR="00F52028" w:rsidRPr="00EF671A">
        <w:rPr>
          <w:rFonts w:ascii="Arial" w:eastAsia="Times New Roman" w:hAnsi="Arial" w:cs="Arial"/>
          <w:bCs/>
          <w:color w:val="000000" w:themeColor="text1"/>
          <w:lang w:eastAsia="es-ES_tradnl"/>
        </w:rPr>
        <w:t xml:space="preserve"> se haya iniciado con base en la normatividad extranjera prevista para ello, no aplicará la restricción establecida por el artículo 33 de la Ley de Garantías Electorales. </w:t>
      </w:r>
    </w:p>
    <w:p w14:paraId="65E843FE" w14:textId="43F65B8A" w:rsidR="00F52028" w:rsidRPr="00F52028" w:rsidRDefault="00EF671A" w:rsidP="00EF671A">
      <w:pPr>
        <w:spacing w:before="120" w:after="120" w:line="276" w:lineRule="auto"/>
        <w:ind w:firstLine="708"/>
        <w:jc w:val="both"/>
        <w:rPr>
          <w:rFonts w:ascii="Arial" w:eastAsia="Calibri" w:hAnsi="Arial" w:cs="Arial"/>
          <w:color w:val="000000"/>
          <w:sz w:val="22"/>
        </w:rPr>
      </w:pPr>
      <w:r w:rsidRPr="00EF671A">
        <w:rPr>
          <w:rFonts w:ascii="Arial" w:hAnsi="Arial" w:cs="Arial"/>
          <w:bCs/>
          <w:sz w:val="22"/>
          <w:lang w:eastAsia="es-CO"/>
        </w:rPr>
        <w:t>De este modo, s</w:t>
      </w:r>
      <w:r w:rsidR="00F52028" w:rsidRPr="00EF671A">
        <w:rPr>
          <w:rFonts w:ascii="Arial" w:hAnsi="Arial" w:cs="Arial"/>
          <w:bCs/>
          <w:sz w:val="22"/>
          <w:lang w:eastAsia="es-CO"/>
        </w:rPr>
        <w:t xml:space="preserve">e reitera la tesis del </w:t>
      </w:r>
      <w:r w:rsidR="00F52028" w:rsidRPr="00EF671A">
        <w:rPr>
          <w:rFonts w:ascii="Arial" w:hAnsi="Arial" w:cs="Arial"/>
          <w:bCs/>
          <w:sz w:val="22"/>
          <w:lang w:val="es-ES" w:eastAsia="es-CO"/>
        </w:rPr>
        <w:t xml:space="preserve">Concepto de Unificación CU-180 del 8 de abril de 2022. </w:t>
      </w:r>
      <w:r w:rsidR="00F52028" w:rsidRPr="00EF671A">
        <w:rPr>
          <w:rFonts w:ascii="Arial" w:eastAsia="Calibri" w:hAnsi="Arial" w:cs="Arial"/>
          <w:sz w:val="22"/>
          <w:lang w:val="es-ES"/>
        </w:rPr>
        <w:t>Por tanto, sobre el artículo 33 de la Ley de Garantías</w:t>
      </w:r>
      <w:r w:rsidR="00F52028" w:rsidRPr="00EF671A">
        <w:rPr>
          <w:rFonts w:ascii="Arial" w:eastAsia="Calibri" w:hAnsi="Arial" w:cs="Arial"/>
          <w:sz w:val="22"/>
        </w:rPr>
        <w:t xml:space="preserve">, </w:t>
      </w:r>
      <w:r w:rsidR="00F52028" w:rsidRPr="00EF671A">
        <w:rPr>
          <w:rFonts w:ascii="Arial" w:eastAsia="Calibri" w:hAnsi="Arial" w:cs="Arial"/>
          <w:sz w:val="22"/>
          <w:lang w:val="es-ES"/>
        </w:rPr>
        <w:t xml:space="preserve">la Agencia –al retomar la tesis del Concepto C-559 del 31 de agosto de 2021– consideró lo siguiente: «[…] </w:t>
      </w:r>
      <w:r w:rsidR="00F52028" w:rsidRPr="00EF671A">
        <w:rPr>
          <w:rFonts w:ascii="Arial" w:eastAsia="Calibri" w:hAnsi="Arial" w:cs="Arial"/>
          <w:i/>
          <w:iCs/>
          <w:sz w:val="22"/>
          <w:lang w:val="es-ES"/>
        </w:rPr>
        <w:t>dado que</w:t>
      </w:r>
      <w:r w:rsidR="00F52028" w:rsidRPr="00EF671A">
        <w:rPr>
          <w:rFonts w:ascii="Arial" w:eastAsia="Calibri" w:hAnsi="Arial" w:cs="Arial"/>
          <w:sz w:val="22"/>
          <w:lang w:val="es-ES"/>
        </w:rPr>
        <w:t xml:space="preserve"> […] </w:t>
      </w:r>
      <w:r w:rsidR="00F52028" w:rsidRPr="00EF671A">
        <w:rPr>
          <w:rFonts w:ascii="Arial" w:eastAsia="Calibri" w:hAnsi="Arial" w:cs="Arial"/>
          <w:i/>
          <w:iCs/>
          <w:sz w:val="22"/>
          <w:lang w:val="es-ES"/>
        </w:rPr>
        <w:t>existen algunos casos en los cual</w:t>
      </w:r>
      <w:r w:rsidR="00F52028" w:rsidRPr="00F52028">
        <w:rPr>
          <w:rFonts w:ascii="Arial" w:eastAsia="Calibri" w:hAnsi="Arial" w:cs="Arial"/>
          <w:i/>
          <w:iCs/>
          <w:sz w:val="22"/>
          <w:lang w:val="es-ES"/>
        </w:rPr>
        <w:t>es el legislador habilitó a las entidades públicas para que suscribieran contratos cuyo régimen es distinto al derecho nacional,</w:t>
      </w:r>
      <w:r w:rsidR="00F52028" w:rsidRPr="00F52028">
        <w:rPr>
          <w:rFonts w:ascii="Arial" w:eastAsia="Calibri" w:hAnsi="Arial" w:cs="Arial"/>
          <w:sz w:val="22"/>
          <w:lang w:val="es-ES"/>
        </w:rPr>
        <w:t xml:space="preserve"> […] </w:t>
      </w:r>
      <w:r w:rsidR="00F52028" w:rsidRPr="00F52028">
        <w:rPr>
          <w:rFonts w:ascii="Arial" w:eastAsia="Calibri" w:hAnsi="Arial" w:cs="Arial"/>
          <w:i/>
          <w:iCs/>
          <w:sz w:val="22"/>
          <w:lang w:val="es-ES"/>
        </w:rPr>
        <w:t>en estos eventos dicha restricción no sería aplicable</w:t>
      </w:r>
      <w:r w:rsidR="00F52028" w:rsidRPr="00F52028">
        <w:rPr>
          <w:rFonts w:ascii="Arial" w:eastAsia="Calibri" w:hAnsi="Arial" w:cs="Arial"/>
          <w:sz w:val="22"/>
          <w:lang w:val="es-ES"/>
        </w:rPr>
        <w:t xml:space="preserve">» (Énfasis fuera de texto). </w:t>
      </w:r>
    </w:p>
    <w:p w14:paraId="1A8553C6" w14:textId="77777777" w:rsidR="00F52028" w:rsidRPr="00481068" w:rsidRDefault="00F52028" w:rsidP="00F52028">
      <w:pPr>
        <w:spacing w:before="120" w:line="276" w:lineRule="auto"/>
        <w:ind w:firstLine="851"/>
        <w:jc w:val="both"/>
        <w:rPr>
          <w:rFonts w:ascii="Arial" w:eastAsia="Calibri" w:hAnsi="Arial" w:cs="Arial"/>
          <w:sz w:val="22"/>
          <w:lang w:val="es-ES"/>
        </w:rPr>
      </w:pPr>
      <w:r w:rsidRPr="00F52028">
        <w:rPr>
          <w:rFonts w:ascii="Arial" w:eastAsia="Calibri" w:hAnsi="Arial" w:cs="Arial"/>
          <w:sz w:val="22"/>
          <w:lang w:val="es-ES"/>
        </w:rPr>
        <w:t>Para efectos de la tesis unificada, el artículo 20 de la Ley 1150 de 2007 implica un régimen exceptuado distinto a los demás, en la medida que</w:t>
      </w:r>
      <w:r w:rsidRPr="00481068">
        <w:rPr>
          <w:rFonts w:ascii="Arial" w:eastAsia="Calibri" w:hAnsi="Arial" w:cs="Arial"/>
          <w:sz w:val="22"/>
          <w:lang w:val="es-ES"/>
        </w:rPr>
        <w:t xml:space="preserve"> el derecho aplicable a estos contratos no es el derecho nacional, sino disposiciones de carácter internacional, normas que se materializan a través de los reglamentos de los organismos de cooperación, asistencia o ayuda. Así las cosas:</w:t>
      </w:r>
    </w:p>
    <w:p w14:paraId="07EB8702" w14:textId="77777777" w:rsidR="00F52028" w:rsidRPr="00481068" w:rsidRDefault="00F52028" w:rsidP="00F52028">
      <w:pPr>
        <w:spacing w:line="276" w:lineRule="auto"/>
        <w:jc w:val="both"/>
        <w:rPr>
          <w:rFonts w:ascii="Arial" w:eastAsia="Calibri" w:hAnsi="Arial" w:cs="Arial"/>
          <w:sz w:val="22"/>
          <w:lang w:val="es-ES"/>
        </w:rPr>
      </w:pPr>
      <w:r w:rsidRPr="00481068">
        <w:rPr>
          <w:rFonts w:ascii="Arial" w:eastAsia="Calibri" w:hAnsi="Arial" w:cs="Arial"/>
          <w:sz w:val="22"/>
          <w:lang w:val="es-ES"/>
        </w:rPr>
        <w:lastRenderedPageBreak/>
        <w:tab/>
      </w:r>
    </w:p>
    <w:p w14:paraId="31C72BA8" w14:textId="727CF7D8" w:rsidR="00F52028" w:rsidRPr="00985B9C" w:rsidRDefault="00EF671A" w:rsidP="00094B98">
      <w:pPr>
        <w:ind w:left="709" w:right="709"/>
        <w:jc w:val="both"/>
        <w:rPr>
          <w:rFonts w:ascii="Arial" w:eastAsia="Calibri" w:hAnsi="Arial" w:cs="Arial"/>
          <w:sz w:val="21"/>
          <w:szCs w:val="21"/>
          <w:lang w:val="es-ES"/>
        </w:rPr>
      </w:pPr>
      <w:r w:rsidRPr="00985B9C">
        <w:rPr>
          <w:rFonts w:ascii="Arial" w:hAnsi="Arial" w:cs="Arial"/>
          <w:sz w:val="21"/>
          <w:szCs w:val="21"/>
        </w:rPr>
        <w:t>«</w:t>
      </w:r>
      <w:r w:rsidR="00985B9C" w:rsidRPr="00985B9C">
        <w:rPr>
          <w:rFonts w:ascii="Arial" w:hAnsi="Arial" w:cs="Arial"/>
          <w:sz w:val="21"/>
          <w:szCs w:val="21"/>
        </w:rPr>
        <w:t>L</w:t>
      </w:r>
      <w:r w:rsidR="00F52028" w:rsidRPr="00985B9C">
        <w:rPr>
          <w:rFonts w:ascii="Arial" w:eastAsia="Calibri" w:hAnsi="Arial" w:cs="Arial"/>
          <w:sz w:val="21"/>
          <w:szCs w:val="21"/>
          <w:lang w:val="es-ES"/>
        </w:rPr>
        <w:t>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relacionadas con la oportunidad, tiempos, fases, etapas etc. de los procedimientos de selección, entonces, serán dichas previsiones las que regirán el convenio y la contratación respectiva (bien sean contratos, donaciones, asistencias técnicas y sus derivados) y, por ende, la norma del artículo 33 no será derecho aplicable a la misma.</w:t>
      </w:r>
    </w:p>
    <w:p w14:paraId="5B86315E" w14:textId="77777777" w:rsidR="00985B9C" w:rsidRPr="00481068" w:rsidRDefault="00985B9C" w:rsidP="00094B98">
      <w:pPr>
        <w:spacing w:line="276" w:lineRule="auto"/>
        <w:ind w:left="709" w:right="709"/>
        <w:jc w:val="both"/>
        <w:rPr>
          <w:rFonts w:ascii="Arial" w:eastAsia="Calibri" w:hAnsi="Arial" w:cs="Arial"/>
          <w:sz w:val="21"/>
          <w:szCs w:val="21"/>
          <w:lang w:val="es-ES"/>
        </w:rPr>
      </w:pPr>
    </w:p>
    <w:p w14:paraId="50BA7C6D" w14:textId="7921D8FF" w:rsidR="00F52028" w:rsidRPr="00481068" w:rsidRDefault="00F52028" w:rsidP="00094B98">
      <w:pPr>
        <w:tabs>
          <w:tab w:val="left" w:pos="709"/>
        </w:tabs>
        <w:snapToGrid w:val="0"/>
        <w:ind w:left="709" w:right="709"/>
        <w:jc w:val="both"/>
        <w:rPr>
          <w:rFonts w:ascii="Arial" w:eastAsia="Calibri" w:hAnsi="Arial" w:cs="Arial"/>
          <w:sz w:val="21"/>
          <w:szCs w:val="21"/>
          <w:lang w:val="es-ES"/>
        </w:rPr>
      </w:pPr>
      <w:r w:rsidRPr="00481068">
        <w:rPr>
          <w:rFonts w:ascii="Arial" w:eastAsia="Calibri" w:hAnsi="Arial" w:cs="Arial"/>
          <w:sz w:val="21"/>
          <w:szCs w:val="21"/>
          <w:lang w:val="es-ES"/>
        </w:rPr>
        <w:t>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w:t>
      </w:r>
      <w:bookmarkStart w:id="28" w:name="_Hlk103091300"/>
      <w:r w:rsidR="00E87543" w:rsidRPr="006337DF">
        <w:rPr>
          <w:rFonts w:ascii="Arial" w:hAnsi="Arial" w:cs="Arial"/>
          <w:sz w:val="21"/>
          <w:szCs w:val="21"/>
        </w:rPr>
        <w:t>»</w:t>
      </w:r>
      <w:bookmarkEnd w:id="28"/>
    </w:p>
    <w:p w14:paraId="1D44446E" w14:textId="77777777" w:rsidR="00F52028" w:rsidRPr="00481068" w:rsidRDefault="00F52028" w:rsidP="00F52028">
      <w:pPr>
        <w:spacing w:line="276" w:lineRule="auto"/>
        <w:jc w:val="both"/>
        <w:rPr>
          <w:rFonts w:ascii="Arial" w:hAnsi="Arial" w:cs="Arial"/>
          <w:bCs/>
          <w:sz w:val="22"/>
          <w:lang w:val="es-ES" w:eastAsia="es-CO"/>
        </w:rPr>
      </w:pPr>
    </w:p>
    <w:p w14:paraId="5F01F9D7" w14:textId="77777777" w:rsidR="00F52028" w:rsidRPr="00481068" w:rsidRDefault="00F52028" w:rsidP="00F52028">
      <w:pPr>
        <w:spacing w:line="276" w:lineRule="auto"/>
        <w:ind w:firstLine="709"/>
        <w:jc w:val="both"/>
        <w:rPr>
          <w:rFonts w:ascii="Arial" w:eastAsia="Calibri" w:hAnsi="Arial" w:cs="Arial"/>
          <w:color w:val="000000"/>
          <w:sz w:val="22"/>
        </w:rPr>
      </w:pPr>
      <w:r w:rsidRPr="00481068">
        <w:rPr>
          <w:rFonts w:ascii="Arial" w:eastAsia="Calibri" w:hAnsi="Arial" w:cs="Arial"/>
          <w:bCs/>
          <w:color w:val="000000"/>
          <w:sz w:val="22"/>
          <w:lang w:eastAsia="es-CO"/>
        </w:rPr>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481068">
        <w:rPr>
          <w:rFonts w:ascii="Arial" w:hAnsi="Arial" w:cs="Arial"/>
          <w:sz w:val="22"/>
          <w:lang w:eastAsia="x-none"/>
        </w:rPr>
        <w:t>.</w:t>
      </w:r>
    </w:p>
    <w:p w14:paraId="124D5D2D" w14:textId="77777777" w:rsidR="007323DA" w:rsidRPr="00481068" w:rsidRDefault="007323DA" w:rsidP="00094B98">
      <w:pPr>
        <w:contextualSpacing/>
        <w:jc w:val="both"/>
        <w:rPr>
          <w:rFonts w:ascii="Arial" w:eastAsia="Calibri" w:hAnsi="Arial" w:cs="Arial"/>
          <w:bCs/>
          <w:color w:val="FF0000"/>
          <w:sz w:val="22"/>
        </w:rPr>
      </w:pPr>
    </w:p>
    <w:p w14:paraId="20AC5DA5" w14:textId="77777777" w:rsidR="007323DA" w:rsidRPr="00481068" w:rsidRDefault="007323DA" w:rsidP="007323DA">
      <w:pPr>
        <w:spacing w:line="276" w:lineRule="auto"/>
        <w:jc w:val="both"/>
        <w:rPr>
          <w:rFonts w:ascii="Arial" w:hAnsi="Arial" w:cs="Arial"/>
          <w:color w:val="000000" w:themeColor="text1"/>
          <w:sz w:val="22"/>
          <w:lang w:val="es-ES_tradnl"/>
        </w:rPr>
      </w:pPr>
      <w:bookmarkStart w:id="29" w:name="_Hlk57650395"/>
      <w:r w:rsidRPr="00481068">
        <w:rPr>
          <w:rFonts w:ascii="Arial" w:hAnsi="Arial" w:cs="Arial"/>
          <w:color w:val="000000" w:themeColor="text1"/>
          <w:sz w:val="22"/>
          <w:lang w:val="es-ES_tradnl"/>
        </w:rPr>
        <w:t>Este concepto tiene el alcance previsto en el artículo 28 del Código de Procedimiento Administrativo y de lo Contencioso Administrativo.</w:t>
      </w:r>
    </w:p>
    <w:bookmarkEnd w:id="8"/>
    <w:bookmarkEnd w:id="29"/>
    <w:p w14:paraId="57F38CD1" w14:textId="77777777" w:rsidR="003D7368" w:rsidRPr="00481068" w:rsidRDefault="003D7368" w:rsidP="007323DA">
      <w:pPr>
        <w:spacing w:before="120" w:line="276" w:lineRule="auto"/>
        <w:jc w:val="both"/>
        <w:rPr>
          <w:rFonts w:ascii="Arial" w:hAnsi="Arial" w:cs="Arial"/>
          <w:color w:val="000000" w:themeColor="text1"/>
          <w:sz w:val="22"/>
          <w:lang w:val="es-ES_tradnl"/>
        </w:rPr>
      </w:pPr>
    </w:p>
    <w:p w14:paraId="427E4B87" w14:textId="53960752" w:rsidR="007323DA" w:rsidRDefault="007323DA" w:rsidP="007323DA">
      <w:pPr>
        <w:pStyle w:val="NormalWeb"/>
        <w:spacing w:before="0" w:beforeAutospacing="0" w:after="0" w:afterAutospacing="0" w:line="276" w:lineRule="auto"/>
        <w:jc w:val="both"/>
        <w:rPr>
          <w:rFonts w:ascii="Arial" w:hAnsi="Arial" w:cs="Arial"/>
          <w:lang w:val="es-ES_tradnl"/>
        </w:rPr>
      </w:pPr>
      <w:r w:rsidRPr="00481068">
        <w:rPr>
          <w:rFonts w:ascii="Arial" w:hAnsi="Arial" w:cs="Arial"/>
          <w:color w:val="000000" w:themeColor="text1"/>
          <w:sz w:val="22"/>
          <w:szCs w:val="22"/>
          <w:lang w:val="es-ES_tradnl"/>
        </w:rPr>
        <w:t>Atentamente,</w:t>
      </w:r>
      <w:r>
        <w:rPr>
          <w:rFonts w:ascii="Arial" w:hAnsi="Arial" w:cs="Arial"/>
          <w:lang w:val="es-ES_tradnl"/>
        </w:rPr>
        <w:t xml:space="preserve"> </w:t>
      </w:r>
    </w:p>
    <w:p w14:paraId="05C102AE" w14:textId="17A06A95" w:rsidR="00EF671A" w:rsidRDefault="009330B9" w:rsidP="009330B9">
      <w:pPr>
        <w:pStyle w:val="NormalWeb"/>
        <w:spacing w:before="0" w:beforeAutospacing="0" w:after="0" w:afterAutospacing="0" w:line="276" w:lineRule="auto"/>
        <w:jc w:val="center"/>
        <w:rPr>
          <w:rFonts w:ascii="Arial" w:hAnsi="Arial" w:cs="Arial"/>
          <w:lang w:val="es-ES_tradnl"/>
        </w:rPr>
      </w:pPr>
      <w:r w:rsidRPr="009000E4">
        <w:rPr>
          <w:rFonts w:ascii="Arial" w:hAnsi="Arial" w:cs="Arial"/>
          <w:noProof/>
          <w:lang w:val="es-ES_tradnl"/>
        </w:rPr>
        <w:lastRenderedPageBreak/>
        <w:drawing>
          <wp:inline distT="0" distB="0" distL="0" distR="0" wp14:anchorId="002599CB" wp14:editId="3D89B50C">
            <wp:extent cx="2514600" cy="1114425"/>
            <wp:effectExtent l="0" t="0" r="0" b="952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2732023E" w14:textId="77777777" w:rsidR="000445FF" w:rsidRPr="009F5860" w:rsidRDefault="000445FF" w:rsidP="00EC26CF">
      <w:pPr>
        <w:jc w:val="center"/>
        <w:rPr>
          <w:rFonts w:ascii="Arial" w:hAnsi="Arial" w:cs="Arial"/>
          <w:sz w:val="22"/>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0266D4" w:rsidRPr="009F5860" w14:paraId="3D795E5D" w14:textId="77777777" w:rsidTr="00094B98">
        <w:trPr>
          <w:trHeight w:val="315"/>
        </w:trPr>
        <w:tc>
          <w:tcPr>
            <w:tcW w:w="812" w:type="dxa"/>
            <w:vAlign w:val="center"/>
            <w:hideMark/>
          </w:tcPr>
          <w:p w14:paraId="763B13BD" w14:textId="77777777" w:rsidR="000266D4" w:rsidRPr="009F5860" w:rsidRDefault="000266D4" w:rsidP="007B7C5A">
            <w:pPr>
              <w:rPr>
                <w:rFonts w:ascii="Arial" w:hAnsi="Arial" w:cs="Arial"/>
                <w:sz w:val="16"/>
                <w:szCs w:val="16"/>
                <w:lang w:val="es-ES" w:eastAsia="es-ES"/>
              </w:rPr>
            </w:pPr>
            <w:r w:rsidRPr="009F5860">
              <w:rPr>
                <w:rFonts w:ascii="Arial" w:hAnsi="Arial" w:cs="Arial"/>
                <w:sz w:val="16"/>
                <w:szCs w:val="16"/>
                <w:lang w:val="es-ES" w:eastAsia="es-ES"/>
              </w:rPr>
              <w:t>Elaboró:</w:t>
            </w:r>
          </w:p>
        </w:tc>
        <w:tc>
          <w:tcPr>
            <w:tcW w:w="4291" w:type="dxa"/>
            <w:tcBorders>
              <w:top w:val="nil"/>
              <w:left w:val="nil"/>
              <w:bottom w:val="dotted" w:sz="4" w:space="0" w:color="7F7F7F" w:themeColor="text1" w:themeTint="80"/>
              <w:right w:val="nil"/>
            </w:tcBorders>
            <w:vAlign w:val="center"/>
            <w:hideMark/>
          </w:tcPr>
          <w:p w14:paraId="655A3BEF" w14:textId="77777777" w:rsidR="005C5D24" w:rsidRPr="005C5D24" w:rsidRDefault="005C5D24" w:rsidP="005C5D24">
            <w:pPr>
              <w:rPr>
                <w:rFonts w:ascii="Arial" w:hAnsi="Arial" w:cs="Arial"/>
                <w:sz w:val="16"/>
                <w:szCs w:val="16"/>
                <w:lang w:val="es-ES" w:eastAsia="es-ES"/>
              </w:rPr>
            </w:pPr>
            <w:r w:rsidRPr="005C5D24">
              <w:rPr>
                <w:rFonts w:ascii="Arial" w:hAnsi="Arial" w:cs="Arial"/>
                <w:sz w:val="16"/>
                <w:szCs w:val="16"/>
                <w:lang w:val="es-ES" w:eastAsia="es-ES"/>
              </w:rPr>
              <w:t xml:space="preserve">Camilo Perdomo Villamil </w:t>
            </w:r>
          </w:p>
          <w:p w14:paraId="37B1DD08" w14:textId="77777777" w:rsidR="000266D4" w:rsidRPr="009F5860" w:rsidRDefault="000266D4" w:rsidP="007B7C5A">
            <w:pPr>
              <w:rPr>
                <w:rFonts w:ascii="Arial" w:hAnsi="Arial" w:cs="Arial"/>
                <w:sz w:val="16"/>
                <w:szCs w:val="16"/>
                <w:lang w:val="es-ES" w:eastAsia="es-ES"/>
              </w:rPr>
            </w:pPr>
            <w:r w:rsidRPr="009F5860">
              <w:rPr>
                <w:rFonts w:ascii="Arial" w:hAnsi="Arial" w:cs="Arial"/>
                <w:sz w:val="16"/>
                <w:szCs w:val="16"/>
                <w:lang w:val="es-ES" w:eastAsia="es-ES"/>
              </w:rPr>
              <w:t>Contratista de la Subdirección de Gestión Contractual</w:t>
            </w:r>
          </w:p>
        </w:tc>
      </w:tr>
      <w:tr w:rsidR="000266D4" w:rsidRPr="009F5860" w14:paraId="2E6D8904" w14:textId="77777777" w:rsidTr="00094B98">
        <w:trPr>
          <w:trHeight w:val="330"/>
        </w:trPr>
        <w:tc>
          <w:tcPr>
            <w:tcW w:w="812" w:type="dxa"/>
            <w:vAlign w:val="center"/>
            <w:hideMark/>
          </w:tcPr>
          <w:p w14:paraId="7425E32F" w14:textId="77777777" w:rsidR="000266D4" w:rsidRPr="009F5860" w:rsidRDefault="000266D4" w:rsidP="000266D4">
            <w:pPr>
              <w:rPr>
                <w:rFonts w:ascii="Arial" w:hAnsi="Arial" w:cs="Arial"/>
                <w:sz w:val="16"/>
                <w:szCs w:val="16"/>
                <w:lang w:val="es-ES" w:eastAsia="es-ES"/>
              </w:rPr>
            </w:pPr>
            <w:r w:rsidRPr="009F5860">
              <w:rPr>
                <w:rFonts w:ascii="Arial" w:hAnsi="Arial" w:cs="Arial"/>
                <w:sz w:val="16"/>
                <w:szCs w:val="16"/>
                <w:lang w:val="es-ES"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B54DE30" w14:textId="77777777" w:rsidR="00944CCC" w:rsidRPr="00C00312" w:rsidRDefault="00944CCC" w:rsidP="00944CCC">
            <w:pPr>
              <w:rPr>
                <w:rFonts w:ascii="Arial" w:hAnsi="Arial" w:cs="Arial"/>
                <w:sz w:val="16"/>
                <w:szCs w:val="16"/>
                <w:lang w:val="es-ES" w:eastAsia="es-ES"/>
              </w:rPr>
            </w:pPr>
            <w:r>
              <w:rPr>
                <w:rFonts w:ascii="Arial" w:hAnsi="Arial" w:cs="Arial"/>
                <w:sz w:val="16"/>
                <w:szCs w:val="16"/>
                <w:lang w:val="es-ES" w:eastAsia="es-ES"/>
              </w:rPr>
              <w:t>Alejandro Sarmiento Cantillo</w:t>
            </w:r>
          </w:p>
          <w:p w14:paraId="1B83E825" w14:textId="1CE8A69C" w:rsidR="000266D4" w:rsidRPr="009F5860" w:rsidRDefault="00944CCC" w:rsidP="000266D4">
            <w:pPr>
              <w:rPr>
                <w:rFonts w:ascii="Arial" w:hAnsi="Arial" w:cs="Arial"/>
                <w:sz w:val="16"/>
                <w:szCs w:val="16"/>
                <w:lang w:val="es-ES" w:eastAsia="es-ES"/>
              </w:rPr>
            </w:pPr>
            <w:r w:rsidRPr="00C00312">
              <w:rPr>
                <w:rFonts w:ascii="Arial" w:hAnsi="Arial" w:cs="Arial"/>
                <w:sz w:val="16"/>
                <w:szCs w:val="16"/>
                <w:lang w:val="es-ES" w:eastAsia="es-ES"/>
              </w:rPr>
              <w:t>Gestor T1-15 de la Subdirección de Gestión Contractual</w:t>
            </w:r>
          </w:p>
        </w:tc>
      </w:tr>
      <w:tr w:rsidR="000266D4" w:rsidRPr="0008465D" w14:paraId="2D7F8FE3" w14:textId="77777777" w:rsidTr="00094B98">
        <w:trPr>
          <w:trHeight w:val="300"/>
        </w:trPr>
        <w:tc>
          <w:tcPr>
            <w:tcW w:w="812" w:type="dxa"/>
            <w:vAlign w:val="center"/>
            <w:hideMark/>
          </w:tcPr>
          <w:p w14:paraId="3B2E336C" w14:textId="77777777" w:rsidR="000266D4" w:rsidRPr="009F5860" w:rsidRDefault="000266D4" w:rsidP="000266D4">
            <w:pPr>
              <w:rPr>
                <w:rFonts w:ascii="Arial" w:hAnsi="Arial" w:cs="Arial"/>
                <w:sz w:val="16"/>
                <w:szCs w:val="16"/>
                <w:lang w:val="es-ES" w:eastAsia="es-ES"/>
              </w:rPr>
            </w:pPr>
            <w:r w:rsidRPr="009F5860">
              <w:rPr>
                <w:rFonts w:ascii="Arial" w:hAnsi="Arial" w:cs="Arial"/>
                <w:sz w:val="16"/>
                <w:szCs w:val="16"/>
                <w:lang w:val="es-ES"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334454F6" w14:textId="77777777" w:rsidR="00150200" w:rsidRPr="00150200" w:rsidRDefault="00150200" w:rsidP="00150200">
            <w:pPr>
              <w:rPr>
                <w:rFonts w:ascii="Arial" w:hAnsi="Arial" w:cs="Arial"/>
                <w:sz w:val="16"/>
                <w:szCs w:val="16"/>
                <w:lang w:val="es-ES_tradnl" w:eastAsia="es-ES"/>
              </w:rPr>
            </w:pPr>
            <w:r w:rsidRPr="00150200">
              <w:rPr>
                <w:rFonts w:ascii="Arial" w:hAnsi="Arial" w:cs="Arial"/>
                <w:sz w:val="16"/>
                <w:szCs w:val="16"/>
                <w:lang w:val="es-ES_tradnl" w:eastAsia="es-ES"/>
              </w:rPr>
              <w:t>Jorge Augusto Tirado Navarro</w:t>
            </w:r>
          </w:p>
          <w:p w14:paraId="63C23BDE" w14:textId="5F7C37D5" w:rsidR="000266D4" w:rsidRPr="0008465D" w:rsidRDefault="00150200" w:rsidP="00150200">
            <w:pPr>
              <w:rPr>
                <w:rFonts w:ascii="Arial" w:hAnsi="Arial" w:cs="Arial"/>
                <w:sz w:val="16"/>
                <w:szCs w:val="16"/>
                <w:lang w:val="es-ES" w:eastAsia="es-ES"/>
              </w:rPr>
            </w:pPr>
            <w:r w:rsidRPr="00150200">
              <w:rPr>
                <w:rFonts w:ascii="Arial" w:hAnsi="Arial" w:cs="Arial"/>
                <w:sz w:val="16"/>
                <w:szCs w:val="16"/>
                <w:lang w:val="es-ES_tradnl" w:eastAsia="es-ES"/>
              </w:rPr>
              <w:t>Subdirector de Gestión Contractual ANCP – CCE</w:t>
            </w:r>
          </w:p>
        </w:tc>
      </w:tr>
    </w:tbl>
    <w:p w14:paraId="3A069318" w14:textId="77777777" w:rsidR="000266D4" w:rsidRPr="00B60BAC" w:rsidRDefault="000266D4" w:rsidP="00EF671A">
      <w:pPr>
        <w:tabs>
          <w:tab w:val="left" w:pos="426"/>
        </w:tabs>
        <w:spacing w:before="120" w:after="120" w:line="276" w:lineRule="auto"/>
        <w:jc w:val="both"/>
        <w:rPr>
          <w:rFonts w:ascii="Arial" w:eastAsia="Calibri" w:hAnsi="Arial" w:cs="Arial"/>
          <w:bCs/>
          <w:sz w:val="22"/>
          <w:lang w:val="es-ES_tradnl"/>
        </w:rPr>
      </w:pPr>
    </w:p>
    <w:sectPr w:rsidR="000266D4" w:rsidRPr="00B60BAC"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785FA" w14:textId="77777777" w:rsidR="00FD1655" w:rsidRDefault="00FD1655">
      <w:r>
        <w:separator/>
      </w:r>
    </w:p>
  </w:endnote>
  <w:endnote w:type="continuationSeparator" w:id="0">
    <w:p w14:paraId="385AE12E" w14:textId="77777777" w:rsidR="00FD1655" w:rsidRDefault="00FD1655">
      <w:r>
        <w:continuationSeparator/>
      </w:r>
    </w:p>
  </w:endnote>
  <w:endnote w:type="continuationNotice" w:id="1">
    <w:p w14:paraId="129588F4" w14:textId="77777777" w:rsidR="00FD1655" w:rsidRDefault="00FD16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2A01454E" w:rsidR="000A47AF" w:rsidRDefault="000A47AF" w:rsidP="00322937">
    <w:pPr>
      <w:pStyle w:val="Sinespaciado"/>
      <w:jc w:val="right"/>
      <w:rPr>
        <w:rFonts w:ascii="Arial" w:hAnsi="Arial" w:cs="Arial"/>
        <w:sz w:val="18"/>
        <w:szCs w:val="18"/>
      </w:rPr>
    </w:pPr>
  </w:p>
  <w:p w14:paraId="7A3785F3" w14:textId="278E7DE2" w:rsidR="000A47AF" w:rsidRPr="008217B7" w:rsidRDefault="000A47A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0A47AF" w:rsidRDefault="4E700C15" w:rsidP="00322937">
    <w:pPr>
      <w:pStyle w:val="Piedepgina"/>
      <w:jc w:val="center"/>
      <w:rPr>
        <w:lang w:val="es-ES"/>
      </w:rPr>
    </w:pPr>
    <w:r>
      <w:rPr>
        <w:noProof/>
      </w:rPr>
      <w:drawing>
        <wp:inline distT="0" distB="0" distL="0" distR="0" wp14:anchorId="608B196D" wp14:editId="32E786D9">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0A47AF" w:rsidRDefault="000A47AF" w:rsidP="007B0854">
    <w:pPr>
      <w:pStyle w:val="Piedepgina"/>
      <w:jc w:val="center"/>
      <w:rPr>
        <w:lang w:val="es-ES"/>
      </w:rPr>
    </w:pPr>
  </w:p>
  <w:p w14:paraId="6C0EFC49" w14:textId="77777777" w:rsidR="000A47AF" w:rsidRPr="007B0854" w:rsidRDefault="000A47AF" w:rsidP="007B0854">
    <w:pPr>
      <w:pStyle w:val="Piedepgina"/>
      <w:jc w:val="center"/>
      <w:rPr>
        <w:lang w:val="es-ES"/>
      </w:rPr>
    </w:pPr>
  </w:p>
  <w:p w14:paraId="01E6CE61" w14:textId="77777777" w:rsidR="00183D77" w:rsidRDefault="00183D77"/>
  <w:p w14:paraId="0B5203B5" w14:textId="77777777" w:rsidR="00183D77" w:rsidRDefault="00183D77"/>
  <w:p w14:paraId="7E41A88B" w14:textId="77777777" w:rsidR="00183D77" w:rsidRDefault="00183D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DE7DF" w14:textId="77777777" w:rsidR="00FD1655" w:rsidRDefault="00FD1655">
      <w:r>
        <w:separator/>
      </w:r>
    </w:p>
  </w:footnote>
  <w:footnote w:type="continuationSeparator" w:id="0">
    <w:p w14:paraId="0B76950B" w14:textId="77777777" w:rsidR="00FD1655" w:rsidRDefault="00FD1655">
      <w:r>
        <w:continuationSeparator/>
      </w:r>
    </w:p>
  </w:footnote>
  <w:footnote w:type="continuationNotice" w:id="1">
    <w:p w14:paraId="4950B27D" w14:textId="77777777" w:rsidR="00FD1655" w:rsidRDefault="00FD1655"/>
  </w:footnote>
  <w:footnote w:id="2">
    <w:p w14:paraId="4C2594CA" w14:textId="77777777" w:rsidR="007323DA" w:rsidRPr="00E5489D" w:rsidRDefault="007323DA" w:rsidP="007323DA">
      <w:pPr>
        <w:pStyle w:val="Textonotapie"/>
        <w:ind w:firstLine="708"/>
        <w:contextualSpacing/>
        <w:jc w:val="both"/>
        <w:rPr>
          <w:rFonts w:ascii="Arial" w:hAnsi="Arial" w:cs="Arial"/>
          <w:sz w:val="19"/>
          <w:szCs w:val="19"/>
        </w:rPr>
      </w:pPr>
      <w:r w:rsidRPr="00E5489D">
        <w:rPr>
          <w:rStyle w:val="Refdenotaalpie"/>
          <w:rFonts w:ascii="Arial" w:hAnsi="Arial" w:cs="Arial"/>
          <w:sz w:val="19"/>
          <w:szCs w:val="19"/>
        </w:rPr>
        <w:footnoteRef/>
      </w:r>
      <w:r w:rsidRPr="00E5489D">
        <w:rPr>
          <w:rFonts w:ascii="Arial" w:hAnsi="Arial" w:cs="Arial"/>
          <w:sz w:val="19"/>
          <w:szCs w:val="19"/>
        </w:rPr>
        <w:t xml:space="preserve"> «Artículo 3°. Funciones. La Agencia Nacional de Contratación Pública –Colombia Compra Eficiente– ejercerá las siguientes funciones: </w:t>
      </w:r>
    </w:p>
    <w:p w14:paraId="58C9DBE1" w14:textId="77777777" w:rsidR="007323DA" w:rsidRPr="00E5489D" w:rsidRDefault="007323DA" w:rsidP="007323DA">
      <w:pPr>
        <w:pStyle w:val="Textonotapie"/>
        <w:ind w:firstLine="709"/>
        <w:contextualSpacing/>
        <w:jc w:val="both"/>
        <w:rPr>
          <w:rFonts w:ascii="Arial" w:hAnsi="Arial" w:cs="Arial"/>
          <w:sz w:val="19"/>
          <w:szCs w:val="19"/>
          <w:lang w:val="es-ES"/>
        </w:rPr>
      </w:pPr>
      <w:r w:rsidRPr="00E5489D">
        <w:rPr>
          <w:rFonts w:ascii="Arial" w:hAnsi="Arial" w:cs="Arial"/>
          <w:sz w:val="19"/>
          <w:szCs w:val="19"/>
          <w:lang w:val="es-ES"/>
        </w:rPr>
        <w:t xml:space="preserve">»[...] </w:t>
      </w:r>
    </w:p>
    <w:p w14:paraId="5305200D" w14:textId="77777777" w:rsidR="007323DA" w:rsidRPr="00E5489D" w:rsidRDefault="007323DA" w:rsidP="007323DA">
      <w:pPr>
        <w:pStyle w:val="Textonotapie"/>
        <w:ind w:firstLine="709"/>
        <w:contextualSpacing/>
        <w:jc w:val="both"/>
        <w:rPr>
          <w:rFonts w:ascii="Arial" w:hAnsi="Arial" w:cs="Arial"/>
          <w:sz w:val="19"/>
          <w:szCs w:val="19"/>
          <w:lang w:val="es-ES"/>
        </w:rPr>
      </w:pPr>
      <w:r w:rsidRPr="00E5489D">
        <w:rPr>
          <w:rFonts w:ascii="Arial" w:hAnsi="Arial" w:cs="Arial"/>
          <w:sz w:val="19"/>
          <w:szCs w:val="19"/>
          <w:lang w:val="es-ES"/>
        </w:rPr>
        <w:t>»5. Absolver consultas sobre la aplicación de normas de carácter general y expedir circulares externas en materia de compras y contratación pública».</w:t>
      </w:r>
    </w:p>
    <w:p w14:paraId="06AB8059" w14:textId="77777777" w:rsidR="007323DA" w:rsidRPr="00E5489D" w:rsidRDefault="007323DA" w:rsidP="007323DA">
      <w:pPr>
        <w:pStyle w:val="Textonotapie"/>
        <w:ind w:firstLine="709"/>
        <w:contextualSpacing/>
        <w:jc w:val="both"/>
        <w:rPr>
          <w:rFonts w:ascii="Arial" w:hAnsi="Arial" w:cs="Arial"/>
          <w:sz w:val="19"/>
          <w:szCs w:val="19"/>
          <w:lang w:val="es-ES"/>
        </w:rPr>
      </w:pPr>
      <w:r w:rsidRPr="00E5489D">
        <w:rPr>
          <w:rFonts w:ascii="Arial" w:eastAsia="Times New Roman" w:hAnsi="Arial" w:cs="Arial"/>
          <w:sz w:val="19"/>
          <w:szCs w:val="19"/>
          <w:lang w:val="es-CO" w:eastAsia="es-ES_tradnl"/>
        </w:rPr>
        <w:t>«</w:t>
      </w:r>
      <w:r w:rsidRPr="00E5489D">
        <w:rPr>
          <w:rFonts w:ascii="Arial" w:hAnsi="Arial" w:cs="Arial"/>
          <w:sz w:val="19"/>
          <w:szCs w:val="19"/>
          <w:lang w:val="es-ES"/>
        </w:rPr>
        <w:t xml:space="preserve">Artículo 11. Subdirección de Gestión Contractual. Son funciones de la Subdirección de Gestión Contractual las siguientes: </w:t>
      </w:r>
    </w:p>
    <w:p w14:paraId="7C677FD7" w14:textId="77777777" w:rsidR="007323DA" w:rsidRPr="00E5489D" w:rsidRDefault="007323DA" w:rsidP="007323DA">
      <w:pPr>
        <w:pStyle w:val="Textonotapie"/>
        <w:ind w:firstLine="709"/>
        <w:contextualSpacing/>
        <w:jc w:val="both"/>
        <w:rPr>
          <w:rFonts w:ascii="Arial" w:hAnsi="Arial" w:cs="Arial"/>
          <w:sz w:val="19"/>
          <w:szCs w:val="19"/>
          <w:lang w:val="es-ES"/>
        </w:rPr>
      </w:pPr>
      <w:r w:rsidRPr="00E5489D">
        <w:rPr>
          <w:rFonts w:ascii="Arial" w:hAnsi="Arial" w:cs="Arial"/>
          <w:sz w:val="19"/>
          <w:szCs w:val="19"/>
          <w:lang w:val="es-ES"/>
        </w:rPr>
        <w:t xml:space="preserve">»[...] </w:t>
      </w:r>
    </w:p>
    <w:p w14:paraId="29A04D13" w14:textId="77777777" w:rsidR="007323DA" w:rsidRPr="00E5489D" w:rsidRDefault="007323DA" w:rsidP="007323DA">
      <w:pPr>
        <w:pStyle w:val="Textonotapie"/>
        <w:ind w:firstLine="708"/>
        <w:contextualSpacing/>
        <w:jc w:val="both"/>
        <w:rPr>
          <w:rFonts w:ascii="Arial" w:hAnsi="Arial" w:cs="Arial"/>
          <w:sz w:val="19"/>
          <w:szCs w:val="19"/>
        </w:rPr>
      </w:pPr>
      <w:r w:rsidRPr="00E5489D">
        <w:rPr>
          <w:rFonts w:ascii="Arial" w:eastAsia="Times New Roman" w:hAnsi="Arial" w:cs="Arial"/>
          <w:sz w:val="19"/>
          <w:szCs w:val="19"/>
          <w:lang w:val="es-CO" w:eastAsia="es-ES_tradnl"/>
        </w:rPr>
        <w:t>»</w:t>
      </w:r>
      <w:r w:rsidRPr="00E5489D">
        <w:rPr>
          <w:rFonts w:ascii="Arial" w:hAnsi="Arial" w:cs="Arial"/>
          <w:sz w:val="19"/>
          <w:szCs w:val="19"/>
          <w:lang w:val="es-ES"/>
        </w:rPr>
        <w:t>8. Absolver consultas sobre la aplicación de normas de carácter general».</w:t>
      </w:r>
    </w:p>
  </w:footnote>
  <w:footnote w:id="3">
    <w:p w14:paraId="05B99006" w14:textId="77777777" w:rsidR="007323DA" w:rsidRPr="00E5489D" w:rsidRDefault="007323DA" w:rsidP="007323DA">
      <w:pPr>
        <w:pStyle w:val="Textonotapie"/>
        <w:ind w:firstLine="709"/>
        <w:contextualSpacing/>
        <w:jc w:val="both"/>
        <w:rPr>
          <w:rFonts w:ascii="Arial" w:hAnsi="Arial" w:cs="Arial"/>
          <w:sz w:val="19"/>
          <w:szCs w:val="19"/>
        </w:rPr>
      </w:pPr>
      <w:r w:rsidRPr="00E5489D">
        <w:rPr>
          <w:rStyle w:val="Refdenotaalpie"/>
          <w:rFonts w:ascii="Arial" w:hAnsi="Arial" w:cs="Arial"/>
          <w:sz w:val="19"/>
          <w:szCs w:val="19"/>
        </w:rPr>
        <w:footnoteRef/>
      </w:r>
      <w:r w:rsidRPr="00E5489D">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AD6D98C" w14:textId="77777777" w:rsidR="007323DA" w:rsidRPr="00E5489D" w:rsidRDefault="007323DA" w:rsidP="007323DA">
      <w:pPr>
        <w:pStyle w:val="Textonotapie"/>
        <w:ind w:firstLine="709"/>
        <w:contextualSpacing/>
        <w:jc w:val="both"/>
        <w:rPr>
          <w:rFonts w:ascii="Arial" w:hAnsi="Arial" w:cs="Arial"/>
          <w:sz w:val="19"/>
          <w:szCs w:val="19"/>
        </w:rPr>
      </w:pPr>
      <w:r w:rsidRPr="00E5489D">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4">
    <w:p w14:paraId="5F649F82" w14:textId="77777777" w:rsidR="007323DA" w:rsidRPr="00E5489D" w:rsidRDefault="007323DA" w:rsidP="007323DA">
      <w:pPr>
        <w:pStyle w:val="Textonotapie"/>
        <w:ind w:firstLine="709"/>
        <w:contextualSpacing/>
        <w:jc w:val="both"/>
        <w:rPr>
          <w:rFonts w:ascii="Arial" w:hAnsi="Arial" w:cs="Arial"/>
          <w:sz w:val="19"/>
          <w:szCs w:val="19"/>
        </w:rPr>
      </w:pPr>
      <w:r w:rsidRPr="00E5489D">
        <w:rPr>
          <w:rStyle w:val="Refdenotaalpie"/>
          <w:rFonts w:ascii="Arial" w:hAnsi="Arial" w:cs="Arial"/>
          <w:sz w:val="19"/>
          <w:szCs w:val="19"/>
        </w:rPr>
        <w:footnoteRef/>
      </w:r>
      <w:r w:rsidRPr="00E5489D">
        <w:rPr>
          <w:rFonts w:ascii="Arial" w:hAnsi="Arial" w:cs="Arial"/>
          <w:sz w:val="19"/>
          <w:szCs w:val="19"/>
        </w:rPr>
        <w:t xml:space="preserve"> Gaceta del Congreso de la República No. 71 del 2005.</w:t>
      </w:r>
    </w:p>
  </w:footnote>
  <w:footnote w:id="5">
    <w:p w14:paraId="32481B4A" w14:textId="627AD25F" w:rsidR="007323DA" w:rsidRPr="00E5489D" w:rsidRDefault="007323DA" w:rsidP="007323DA">
      <w:pPr>
        <w:pStyle w:val="Textonotapie"/>
        <w:ind w:firstLine="709"/>
        <w:contextualSpacing/>
        <w:jc w:val="both"/>
        <w:rPr>
          <w:rFonts w:ascii="Arial" w:hAnsi="Arial" w:cs="Arial"/>
          <w:sz w:val="19"/>
          <w:szCs w:val="19"/>
        </w:rPr>
      </w:pPr>
      <w:r w:rsidRPr="00E5489D">
        <w:rPr>
          <w:rStyle w:val="Refdenotaalpie"/>
          <w:rFonts w:ascii="Arial" w:hAnsi="Arial" w:cs="Arial"/>
          <w:sz w:val="19"/>
          <w:szCs w:val="19"/>
        </w:rPr>
        <w:footnoteRef/>
      </w:r>
      <w:r w:rsidRPr="00E5489D">
        <w:rPr>
          <w:rFonts w:ascii="Arial" w:hAnsi="Arial" w:cs="Arial"/>
          <w:sz w:val="19"/>
          <w:szCs w:val="19"/>
        </w:rPr>
        <w:t xml:space="preserve"> Corte Constitucional, Sentencia C- 1153 de 2005, M.P. Marco Gerardo Monroy Cabra.</w:t>
      </w:r>
    </w:p>
    <w:p w14:paraId="1CE56539" w14:textId="77777777" w:rsidR="00892B04" w:rsidRPr="00E5489D" w:rsidRDefault="00892B04" w:rsidP="007323DA">
      <w:pPr>
        <w:pStyle w:val="Textonotapie"/>
        <w:ind w:firstLine="709"/>
        <w:contextualSpacing/>
        <w:jc w:val="both"/>
        <w:rPr>
          <w:rFonts w:ascii="Arial" w:hAnsi="Arial" w:cs="Arial"/>
          <w:sz w:val="19"/>
          <w:szCs w:val="19"/>
        </w:rPr>
      </w:pPr>
    </w:p>
  </w:footnote>
  <w:footnote w:id="6">
    <w:p w14:paraId="134BB04A" w14:textId="77777777" w:rsidR="007323DA" w:rsidRPr="00E5489D" w:rsidRDefault="007323DA" w:rsidP="007323DA">
      <w:pPr>
        <w:pStyle w:val="Textonotapie"/>
        <w:ind w:firstLine="709"/>
        <w:contextualSpacing/>
        <w:jc w:val="both"/>
        <w:rPr>
          <w:rFonts w:ascii="Arial" w:hAnsi="Arial" w:cs="Arial"/>
          <w:sz w:val="19"/>
          <w:szCs w:val="19"/>
        </w:rPr>
      </w:pPr>
      <w:r w:rsidRPr="00E5489D">
        <w:rPr>
          <w:rStyle w:val="Refdenotaalpie"/>
          <w:rFonts w:ascii="Arial" w:hAnsi="Arial" w:cs="Arial"/>
          <w:sz w:val="19"/>
          <w:szCs w:val="19"/>
        </w:rPr>
        <w:footnoteRef/>
      </w:r>
      <w:r w:rsidRPr="00E5489D">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072B1258" w14:textId="77777777" w:rsidR="00892B04" w:rsidRPr="00E5489D" w:rsidRDefault="00892B04" w:rsidP="007323DA">
      <w:pPr>
        <w:pStyle w:val="Textonotapie"/>
        <w:ind w:firstLine="709"/>
        <w:contextualSpacing/>
        <w:jc w:val="both"/>
        <w:rPr>
          <w:rFonts w:ascii="Arial" w:hAnsi="Arial" w:cs="Arial"/>
          <w:sz w:val="19"/>
          <w:szCs w:val="19"/>
          <w:lang w:val="es-CO"/>
        </w:rPr>
      </w:pPr>
    </w:p>
    <w:p w14:paraId="59B6C885" w14:textId="774AAF11" w:rsidR="007323DA" w:rsidRPr="00E5489D" w:rsidRDefault="007323DA" w:rsidP="007323DA">
      <w:pPr>
        <w:pStyle w:val="Textonotapie"/>
        <w:ind w:firstLine="709"/>
        <w:contextualSpacing/>
        <w:jc w:val="both"/>
        <w:rPr>
          <w:rFonts w:ascii="Arial" w:hAnsi="Arial" w:cs="Arial"/>
          <w:sz w:val="19"/>
          <w:szCs w:val="19"/>
          <w:lang w:val="es-CO"/>
        </w:rPr>
      </w:pPr>
      <w:r w:rsidRPr="00E5489D">
        <w:rPr>
          <w:rStyle w:val="Refdenotaalpie"/>
          <w:rFonts w:ascii="Arial" w:hAnsi="Arial" w:cs="Arial"/>
          <w:sz w:val="19"/>
          <w:szCs w:val="19"/>
        </w:rPr>
        <w:footnoteRef/>
      </w:r>
      <w:r w:rsidRPr="00E5489D">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543774A6" w14:textId="4A7738EE" w:rsidR="007323DA" w:rsidRPr="00E5489D" w:rsidRDefault="007323DA" w:rsidP="007323DA">
      <w:pPr>
        <w:pStyle w:val="Textonotapie"/>
        <w:ind w:firstLine="709"/>
        <w:contextualSpacing/>
        <w:jc w:val="both"/>
        <w:rPr>
          <w:rFonts w:ascii="Arial" w:hAnsi="Arial" w:cs="Arial"/>
          <w:sz w:val="19"/>
          <w:szCs w:val="19"/>
        </w:rPr>
      </w:pPr>
      <w:r w:rsidRPr="00E5489D">
        <w:rPr>
          <w:rStyle w:val="Refdenotaalpie"/>
          <w:rFonts w:ascii="Arial" w:hAnsi="Arial" w:cs="Arial"/>
          <w:sz w:val="19"/>
          <w:szCs w:val="19"/>
        </w:rPr>
        <w:footnoteRef/>
      </w:r>
      <w:r w:rsidRPr="00E5489D">
        <w:rPr>
          <w:rFonts w:ascii="Arial" w:hAnsi="Arial" w:cs="Arial"/>
          <w:sz w:val="19"/>
          <w:szCs w:val="19"/>
        </w:rPr>
        <w:t xml:space="preserve"> Consejo de Estado, Sala de Consulta y Servicio Civil de fecha 24 de julio de 2013, radicado 2166, Consejero Ponente: Álvaro Namén Vargas.  </w:t>
      </w:r>
    </w:p>
    <w:p w14:paraId="5ACFE8E3" w14:textId="77777777" w:rsidR="00892B04" w:rsidRPr="00E5489D" w:rsidRDefault="00892B04" w:rsidP="007323DA">
      <w:pPr>
        <w:pStyle w:val="Textonotapie"/>
        <w:ind w:firstLine="709"/>
        <w:contextualSpacing/>
        <w:jc w:val="both"/>
        <w:rPr>
          <w:rFonts w:ascii="Arial" w:hAnsi="Arial" w:cs="Arial"/>
          <w:sz w:val="19"/>
          <w:szCs w:val="19"/>
        </w:rPr>
      </w:pPr>
    </w:p>
  </w:footnote>
  <w:footnote w:id="9">
    <w:p w14:paraId="6E82F871" w14:textId="77777777" w:rsidR="007323DA" w:rsidRPr="00E5489D" w:rsidRDefault="007323DA" w:rsidP="007323DA">
      <w:pPr>
        <w:ind w:firstLine="709"/>
        <w:contextualSpacing/>
        <w:jc w:val="both"/>
        <w:rPr>
          <w:rFonts w:ascii="Arial" w:hAnsi="Arial" w:cs="Arial"/>
          <w:sz w:val="19"/>
          <w:szCs w:val="19"/>
        </w:rPr>
      </w:pPr>
      <w:r w:rsidRPr="00E5489D">
        <w:rPr>
          <w:rStyle w:val="Refdenotaalpie"/>
          <w:rFonts w:ascii="Arial" w:hAnsi="Arial" w:cs="Arial"/>
          <w:sz w:val="19"/>
          <w:szCs w:val="19"/>
        </w:rPr>
        <w:footnoteRef/>
      </w:r>
      <w:r w:rsidRPr="00E5489D">
        <w:rPr>
          <w:rFonts w:ascii="Arial" w:hAnsi="Arial" w:cs="Arial"/>
          <w:sz w:val="19"/>
          <w:szCs w:val="19"/>
        </w:rPr>
        <w:t xml:space="preserve"> </w:t>
      </w:r>
      <w:bookmarkStart w:id="19" w:name="33"/>
      <w:r w:rsidRPr="00E5489D">
        <w:rPr>
          <w:rFonts w:ascii="Arial" w:eastAsia="Calibri" w:hAnsi="Arial" w:cs="Arial"/>
          <w:color w:val="000000"/>
          <w:sz w:val="19"/>
          <w:szCs w:val="19"/>
        </w:rPr>
        <w:t>«</w:t>
      </w:r>
      <w:r w:rsidRPr="00E5489D">
        <w:rPr>
          <w:rFonts w:ascii="Arial" w:hAnsi="Arial" w:cs="Arial"/>
          <w:sz w:val="19"/>
          <w:szCs w:val="19"/>
        </w:rPr>
        <w:t>Artículo 33. Restricciones a la contratación pública.</w:t>
      </w:r>
      <w:bookmarkEnd w:id="19"/>
      <w:r w:rsidRPr="00E5489D">
        <w:rPr>
          <w:rFonts w:ascii="Arial"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3181F5B9" w14:textId="77777777" w:rsidR="007323DA" w:rsidRPr="00E5489D" w:rsidRDefault="007323DA" w:rsidP="007323DA">
      <w:pPr>
        <w:ind w:firstLine="709"/>
        <w:contextualSpacing/>
        <w:jc w:val="both"/>
        <w:rPr>
          <w:rFonts w:ascii="Arial" w:hAnsi="Arial" w:cs="Arial"/>
          <w:sz w:val="19"/>
          <w:szCs w:val="19"/>
        </w:rPr>
      </w:pPr>
      <w:r w:rsidRPr="00E5489D">
        <w:rPr>
          <w:rFonts w:ascii="Arial" w:eastAsia="Calibri" w:hAnsi="Arial" w:cs="Arial"/>
          <w:color w:val="000000"/>
          <w:sz w:val="19"/>
          <w:szCs w:val="19"/>
        </w:rPr>
        <w:t>»</w:t>
      </w:r>
      <w:r w:rsidRPr="00E5489D">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5489D">
        <w:rPr>
          <w:rFonts w:ascii="Arial" w:eastAsia="Calibri" w:hAnsi="Arial" w:cs="Arial"/>
          <w:color w:val="000000"/>
          <w:sz w:val="19"/>
          <w:szCs w:val="19"/>
        </w:rPr>
        <w:t>»</w:t>
      </w:r>
      <w:r w:rsidRPr="00E5489D">
        <w:rPr>
          <w:rFonts w:ascii="Arial" w:hAnsi="Arial" w:cs="Arial"/>
          <w:sz w:val="19"/>
          <w:szCs w:val="19"/>
        </w:rPr>
        <w:t>.</w:t>
      </w:r>
    </w:p>
  </w:footnote>
  <w:footnote w:id="10">
    <w:p w14:paraId="61BC789F" w14:textId="77777777" w:rsidR="007323DA" w:rsidRPr="00E5489D" w:rsidRDefault="007323DA" w:rsidP="007323DA">
      <w:pPr>
        <w:pStyle w:val="NormalWeb"/>
        <w:spacing w:before="0" w:beforeAutospacing="0" w:after="0" w:afterAutospacing="0"/>
        <w:ind w:firstLine="709"/>
        <w:contextualSpacing/>
        <w:jc w:val="both"/>
        <w:rPr>
          <w:rFonts w:ascii="Arial" w:hAnsi="Arial" w:cs="Arial"/>
          <w:sz w:val="19"/>
          <w:szCs w:val="19"/>
          <w:lang w:val="es-MX"/>
        </w:rPr>
      </w:pPr>
      <w:r w:rsidRPr="00E5489D">
        <w:rPr>
          <w:rStyle w:val="Refdenotaalpie"/>
          <w:rFonts w:ascii="Arial" w:hAnsi="Arial" w:cs="Arial"/>
          <w:sz w:val="19"/>
          <w:szCs w:val="19"/>
        </w:rPr>
        <w:footnoteRef/>
      </w:r>
      <w:r w:rsidRPr="00E5489D">
        <w:rPr>
          <w:rFonts w:ascii="Arial" w:hAnsi="Arial" w:cs="Arial"/>
          <w:sz w:val="19"/>
          <w:szCs w:val="19"/>
        </w:rPr>
        <w:t xml:space="preserve"> </w:t>
      </w:r>
      <w:bookmarkStart w:id="20" w:name="38"/>
      <w:r w:rsidRPr="00E5489D">
        <w:rPr>
          <w:rFonts w:ascii="Arial" w:eastAsia="Calibri" w:hAnsi="Arial" w:cs="Arial"/>
          <w:color w:val="000000"/>
          <w:sz w:val="19"/>
          <w:szCs w:val="19"/>
        </w:rPr>
        <w:t>«</w:t>
      </w:r>
      <w:r w:rsidRPr="00E5489D">
        <w:rPr>
          <w:rFonts w:ascii="Arial" w:hAnsi="Arial" w:cs="Arial"/>
          <w:sz w:val="19"/>
          <w:szCs w:val="19"/>
          <w:lang w:val="es-MX"/>
        </w:rPr>
        <w:t>Artículo 38. Prohibiciones para los servidores públicos. A los empleados del Estado les está prohibido:</w:t>
      </w:r>
      <w:bookmarkEnd w:id="20"/>
    </w:p>
    <w:p w14:paraId="166C515E" w14:textId="77777777" w:rsidR="007323DA" w:rsidRPr="00E5489D" w:rsidRDefault="007323DA" w:rsidP="007323DA">
      <w:pPr>
        <w:pStyle w:val="NormalWeb"/>
        <w:spacing w:before="0" w:beforeAutospacing="0" w:after="0" w:afterAutospacing="0"/>
        <w:ind w:firstLine="709"/>
        <w:contextualSpacing/>
        <w:jc w:val="both"/>
        <w:rPr>
          <w:rFonts w:ascii="Arial" w:hAnsi="Arial" w:cs="Arial"/>
          <w:sz w:val="19"/>
          <w:szCs w:val="19"/>
          <w:lang w:val="es-MX"/>
        </w:rPr>
      </w:pPr>
      <w:r w:rsidRPr="00E5489D">
        <w:rPr>
          <w:rFonts w:ascii="Arial" w:eastAsia="Calibri" w:hAnsi="Arial" w:cs="Arial"/>
          <w:color w:val="000000"/>
          <w:sz w:val="19"/>
          <w:szCs w:val="19"/>
        </w:rPr>
        <w:t>»</w:t>
      </w:r>
      <w:r w:rsidRPr="00E5489D">
        <w:rPr>
          <w:rFonts w:ascii="Arial" w:hAnsi="Arial" w:cs="Arial"/>
          <w:sz w:val="19"/>
          <w:szCs w:val="19"/>
          <w:lang w:val="es-MX"/>
        </w:rPr>
        <w:t xml:space="preserve"> […]</w:t>
      </w:r>
    </w:p>
    <w:p w14:paraId="547A4250" w14:textId="37BE5D4B" w:rsidR="007323DA" w:rsidRPr="00E5489D" w:rsidRDefault="007323DA" w:rsidP="007323DA">
      <w:pPr>
        <w:pStyle w:val="NormalWeb"/>
        <w:spacing w:before="0" w:beforeAutospacing="0" w:after="0" w:afterAutospacing="0"/>
        <w:ind w:firstLine="709"/>
        <w:contextualSpacing/>
        <w:jc w:val="both"/>
        <w:rPr>
          <w:rFonts w:ascii="Arial" w:hAnsi="Arial" w:cs="Arial"/>
          <w:sz w:val="19"/>
          <w:szCs w:val="19"/>
          <w:lang w:val="es-MX"/>
        </w:rPr>
      </w:pPr>
      <w:r w:rsidRPr="00E5489D">
        <w:rPr>
          <w:rFonts w:ascii="Arial" w:eastAsia="Calibri" w:hAnsi="Arial" w:cs="Arial"/>
          <w:color w:val="000000"/>
          <w:sz w:val="19"/>
          <w:szCs w:val="19"/>
        </w:rPr>
        <w:t>»</w:t>
      </w:r>
      <w:r w:rsidRPr="00E5489D">
        <w:rPr>
          <w:rStyle w:val="baj"/>
          <w:rFonts w:ascii="Arial" w:hAnsi="Arial" w:cs="Arial"/>
          <w:sz w:val="19"/>
          <w:szCs w:val="19"/>
          <w:lang w:val="es-MX"/>
        </w:rPr>
        <w:t xml:space="preserve"> Parágrafo.</w:t>
      </w:r>
      <w:r w:rsidRPr="00E5489D">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5489D">
        <w:rPr>
          <w:rFonts w:ascii="Arial" w:eastAsia="Calibri" w:hAnsi="Arial" w:cs="Arial"/>
          <w:color w:val="000000"/>
          <w:sz w:val="19"/>
          <w:szCs w:val="19"/>
        </w:rPr>
        <w:t>»</w:t>
      </w:r>
      <w:r w:rsidRPr="00E5489D">
        <w:rPr>
          <w:rFonts w:ascii="Arial" w:hAnsi="Arial" w:cs="Arial"/>
          <w:sz w:val="19"/>
          <w:szCs w:val="19"/>
          <w:lang w:val="es-MX"/>
        </w:rPr>
        <w:t>.</w:t>
      </w:r>
    </w:p>
    <w:p w14:paraId="1D0DC770" w14:textId="77777777" w:rsidR="00892B04" w:rsidRPr="00E5489D" w:rsidRDefault="00892B04" w:rsidP="007323DA">
      <w:pPr>
        <w:pStyle w:val="NormalWeb"/>
        <w:spacing w:before="0" w:beforeAutospacing="0" w:after="0" w:afterAutospacing="0"/>
        <w:ind w:firstLine="709"/>
        <w:contextualSpacing/>
        <w:jc w:val="both"/>
        <w:rPr>
          <w:rFonts w:ascii="Arial" w:hAnsi="Arial" w:cs="Arial"/>
          <w:sz w:val="19"/>
          <w:szCs w:val="19"/>
          <w:lang w:val="es-MX"/>
        </w:rPr>
      </w:pPr>
    </w:p>
  </w:footnote>
  <w:footnote w:id="11">
    <w:p w14:paraId="714ED59F" w14:textId="77777777" w:rsidR="007323DA" w:rsidRPr="00E5489D" w:rsidRDefault="007323DA" w:rsidP="007323DA">
      <w:pPr>
        <w:ind w:left="100" w:right="244" w:firstLine="709"/>
        <w:contextualSpacing/>
        <w:jc w:val="both"/>
        <w:rPr>
          <w:rFonts w:ascii="Arial" w:hAnsi="Arial" w:cs="Arial"/>
          <w:sz w:val="19"/>
          <w:szCs w:val="19"/>
          <w:lang w:val="es-ES"/>
        </w:rPr>
      </w:pPr>
      <w:r w:rsidRPr="00E5489D">
        <w:rPr>
          <w:rStyle w:val="Refdenotaalpie"/>
          <w:rFonts w:ascii="Arial" w:hAnsi="Arial" w:cs="Arial"/>
          <w:sz w:val="19"/>
          <w:szCs w:val="19"/>
        </w:rPr>
        <w:footnoteRef/>
      </w:r>
      <w:r w:rsidRPr="00E5489D">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2">
    <w:p w14:paraId="78661770" w14:textId="15D3C54F" w:rsidR="007323DA" w:rsidRPr="00E5489D" w:rsidRDefault="007323DA" w:rsidP="007323DA">
      <w:pPr>
        <w:pStyle w:val="Textonotapie"/>
        <w:ind w:firstLine="709"/>
        <w:jc w:val="both"/>
        <w:rPr>
          <w:rFonts w:ascii="Arial" w:hAnsi="Arial" w:cs="Arial"/>
          <w:color w:val="000000"/>
          <w:sz w:val="19"/>
          <w:szCs w:val="19"/>
        </w:rPr>
      </w:pPr>
      <w:r w:rsidRPr="00E5489D">
        <w:rPr>
          <w:rStyle w:val="Refdenotaalpie"/>
          <w:rFonts w:ascii="Arial" w:hAnsi="Arial" w:cs="Arial"/>
          <w:sz w:val="19"/>
          <w:szCs w:val="19"/>
        </w:rPr>
        <w:footnoteRef/>
      </w:r>
      <w:r w:rsidRPr="00E5489D">
        <w:rPr>
          <w:rFonts w:ascii="Arial" w:hAnsi="Arial" w:cs="Arial"/>
          <w:color w:val="000000"/>
          <w:sz w:val="19"/>
          <w:szCs w:val="19"/>
        </w:rPr>
        <w:t xml:space="preserve"> «</w:t>
      </w:r>
      <w:r w:rsidRPr="00E5489D">
        <w:rPr>
          <w:rFonts w:ascii="Arial" w:hAnsi="Arial" w:cs="Arial"/>
          <w:color w:val="000000"/>
          <w:sz w:val="19"/>
          <w:szCs w:val="19"/>
          <w:lang w:val="es-ES"/>
        </w:rPr>
        <w:t xml:space="preserve">[25] </w:t>
      </w:r>
      <w:r w:rsidRPr="00E5489D">
        <w:rPr>
          <w:rFonts w:ascii="Arial" w:hAnsi="Arial" w:cs="Arial"/>
          <w:color w:val="000000"/>
          <w:sz w:val="19"/>
          <w:szCs w:val="19"/>
        </w:rPr>
        <w:t>Cfr. Consejo de Estado. Sección Tercera. Sentencia de 3 de diciembre de 2007. Radicados: 24.715, 25.206, 25.409, 24.524, 27.834, 25.410, 26.105, 28.244, 31.447 -acumulados-».</w:t>
      </w:r>
    </w:p>
    <w:p w14:paraId="784511CE" w14:textId="77777777" w:rsidR="00892B04" w:rsidRPr="00E5489D" w:rsidRDefault="00892B04" w:rsidP="007323DA">
      <w:pPr>
        <w:pStyle w:val="Textonotapie"/>
        <w:ind w:firstLine="709"/>
        <w:jc w:val="both"/>
        <w:rPr>
          <w:rFonts w:ascii="Arial" w:hAnsi="Arial" w:cs="Arial"/>
          <w:color w:val="000000"/>
          <w:sz w:val="19"/>
          <w:szCs w:val="19"/>
        </w:rPr>
      </w:pPr>
    </w:p>
  </w:footnote>
  <w:footnote w:id="13">
    <w:p w14:paraId="7F9E2C6E" w14:textId="77777777" w:rsidR="007323DA" w:rsidRPr="00E5489D" w:rsidRDefault="007323DA" w:rsidP="007323DA">
      <w:pPr>
        <w:pStyle w:val="Textonotapie"/>
        <w:ind w:firstLine="709"/>
        <w:jc w:val="both"/>
        <w:rPr>
          <w:rFonts w:ascii="Arial" w:hAnsi="Arial" w:cs="Arial"/>
          <w:color w:val="000000"/>
          <w:sz w:val="19"/>
          <w:szCs w:val="19"/>
        </w:rPr>
      </w:pPr>
      <w:r w:rsidRPr="00E5489D">
        <w:rPr>
          <w:rStyle w:val="Refdenotaalpie"/>
          <w:rFonts w:ascii="Arial" w:hAnsi="Arial" w:cs="Arial"/>
          <w:sz w:val="19"/>
          <w:szCs w:val="19"/>
        </w:rPr>
        <w:footnoteRef/>
      </w:r>
      <w:r w:rsidRPr="00E5489D">
        <w:rPr>
          <w:rFonts w:ascii="Arial" w:hAnsi="Arial" w:cs="Arial"/>
          <w:color w:val="000000"/>
          <w:sz w:val="19"/>
          <w:szCs w:val="19"/>
        </w:rPr>
        <w:t xml:space="preserve"> «</w:t>
      </w:r>
      <w:r w:rsidRPr="00E5489D">
        <w:rPr>
          <w:rFonts w:ascii="Arial" w:hAnsi="Arial" w:cs="Arial"/>
          <w:color w:val="000000"/>
          <w:sz w:val="19"/>
          <w:szCs w:val="19"/>
          <w:lang w:val="es-ES"/>
        </w:rPr>
        <w:t xml:space="preserve">[26] </w:t>
      </w:r>
      <w:r w:rsidRPr="00E5489D">
        <w:rPr>
          <w:rFonts w:ascii="Arial" w:hAnsi="Arial" w:cs="Arial"/>
          <w:color w:val="000000"/>
          <w:sz w:val="19"/>
          <w:szCs w:val="19"/>
        </w:rPr>
        <w:t>Al respecto ver el concepto 1712 de 2 de febrero de 2006. Consejo de Estado Sala de Consulta y Servicio Civil».</w:t>
      </w:r>
    </w:p>
  </w:footnote>
  <w:footnote w:id="14">
    <w:p w14:paraId="3E058990" w14:textId="77777777" w:rsidR="00892B04" w:rsidRPr="00E5489D" w:rsidRDefault="00892B04" w:rsidP="007323DA">
      <w:pPr>
        <w:pStyle w:val="Textonotapie"/>
        <w:ind w:firstLine="709"/>
        <w:jc w:val="both"/>
        <w:rPr>
          <w:rFonts w:ascii="Arial" w:hAnsi="Arial" w:cs="Arial"/>
          <w:color w:val="000000"/>
          <w:sz w:val="19"/>
          <w:szCs w:val="19"/>
        </w:rPr>
      </w:pPr>
    </w:p>
    <w:p w14:paraId="721B64D4" w14:textId="0BCC7733" w:rsidR="007323DA" w:rsidRPr="00E5489D" w:rsidRDefault="007323DA" w:rsidP="007323DA">
      <w:pPr>
        <w:pStyle w:val="Textonotapie"/>
        <w:ind w:firstLine="709"/>
        <w:jc w:val="both"/>
        <w:rPr>
          <w:rFonts w:ascii="Arial" w:hAnsi="Arial" w:cs="Arial"/>
          <w:color w:val="000000"/>
          <w:sz w:val="19"/>
          <w:szCs w:val="19"/>
        </w:rPr>
      </w:pPr>
      <w:r w:rsidRPr="00E5489D">
        <w:rPr>
          <w:rStyle w:val="Refdenotaalpie"/>
          <w:rFonts w:ascii="Arial" w:hAnsi="Arial" w:cs="Arial"/>
          <w:sz w:val="19"/>
          <w:szCs w:val="19"/>
        </w:rPr>
        <w:footnoteRef/>
      </w:r>
      <w:r w:rsidRPr="00E5489D">
        <w:rPr>
          <w:rFonts w:ascii="Arial" w:hAnsi="Arial" w:cs="Arial"/>
          <w:color w:val="000000"/>
          <w:sz w:val="19"/>
          <w:szCs w:val="19"/>
        </w:rPr>
        <w:t xml:space="preserve"> Consejo de Estado. Sala de Consulta y Servicio Civil. Concepto del 2 de septiembre de 2013. Radicación número: 11001-03-06-000-2013-00412-00 (2168). Consejero Ponente: Álvaro Namén Vargas.</w:t>
      </w:r>
    </w:p>
  </w:footnote>
  <w:footnote w:id="15">
    <w:p w14:paraId="7D2CF5C6" w14:textId="77777777" w:rsidR="00892B04" w:rsidRPr="00E5489D" w:rsidRDefault="00892B04" w:rsidP="007323DA">
      <w:pPr>
        <w:pStyle w:val="Textonotapie"/>
        <w:ind w:firstLine="709"/>
        <w:jc w:val="both"/>
        <w:rPr>
          <w:rFonts w:ascii="Arial" w:hAnsi="Arial" w:cs="Arial"/>
          <w:color w:val="000000"/>
          <w:sz w:val="19"/>
          <w:szCs w:val="19"/>
        </w:rPr>
      </w:pPr>
    </w:p>
    <w:p w14:paraId="1FF8165F" w14:textId="27A4ED36" w:rsidR="007323DA" w:rsidRPr="00E5489D" w:rsidRDefault="007323DA" w:rsidP="007323DA">
      <w:pPr>
        <w:pStyle w:val="Textonotapie"/>
        <w:ind w:firstLine="709"/>
        <w:jc w:val="both"/>
        <w:rPr>
          <w:rFonts w:ascii="Arial" w:hAnsi="Arial" w:cs="Arial"/>
          <w:color w:val="000000"/>
          <w:sz w:val="19"/>
          <w:szCs w:val="19"/>
          <w:lang w:val="es-ES"/>
        </w:rPr>
      </w:pPr>
      <w:r w:rsidRPr="00E5489D">
        <w:rPr>
          <w:rStyle w:val="Refdenotaalpie"/>
          <w:rFonts w:ascii="Arial" w:hAnsi="Arial" w:cs="Arial"/>
          <w:sz w:val="19"/>
          <w:szCs w:val="19"/>
        </w:rPr>
        <w:footnoteRef/>
      </w:r>
      <w:r w:rsidRPr="00E5489D">
        <w:rPr>
          <w:rFonts w:ascii="Arial" w:hAnsi="Arial" w:cs="Arial"/>
          <w:color w:val="000000"/>
          <w:sz w:val="19"/>
          <w:szCs w:val="19"/>
        </w:rPr>
        <w:t xml:space="preserve"> </w:t>
      </w:r>
      <w:r w:rsidRPr="00E5489D">
        <w:rPr>
          <w:rFonts w:ascii="Arial" w:hAnsi="Arial" w:cs="Arial"/>
          <w:color w:val="000000"/>
          <w:sz w:val="19"/>
          <w:szCs w:val="19"/>
          <w:lang w:val="es-ES"/>
        </w:rPr>
        <w:t xml:space="preserve">Artículo 2. </w:t>
      </w:r>
    </w:p>
  </w:footnote>
  <w:footnote w:id="16">
    <w:p w14:paraId="2A4DA2A6" w14:textId="77777777" w:rsidR="00892B04" w:rsidRPr="00E5489D" w:rsidRDefault="00892B04" w:rsidP="007323DA">
      <w:pPr>
        <w:pStyle w:val="Textonotapie"/>
        <w:ind w:firstLine="709"/>
        <w:jc w:val="both"/>
        <w:rPr>
          <w:rFonts w:ascii="Arial" w:hAnsi="Arial" w:cs="Arial"/>
          <w:color w:val="000000"/>
          <w:sz w:val="19"/>
          <w:szCs w:val="19"/>
        </w:rPr>
      </w:pPr>
    </w:p>
    <w:p w14:paraId="0B7F1002" w14:textId="3ADF79BA" w:rsidR="007323DA" w:rsidRPr="00E5489D" w:rsidRDefault="007323DA" w:rsidP="007323DA">
      <w:pPr>
        <w:pStyle w:val="Textonotapie"/>
        <w:ind w:firstLine="709"/>
        <w:jc w:val="both"/>
        <w:rPr>
          <w:rFonts w:ascii="Arial" w:hAnsi="Arial" w:cs="Arial"/>
          <w:color w:val="000000"/>
          <w:sz w:val="19"/>
          <w:szCs w:val="19"/>
          <w:lang w:val="es-ES"/>
        </w:rPr>
      </w:pPr>
      <w:r w:rsidRPr="00E5489D">
        <w:rPr>
          <w:rStyle w:val="Refdenotaalpie"/>
          <w:rFonts w:ascii="Arial" w:hAnsi="Arial" w:cs="Arial"/>
          <w:sz w:val="19"/>
          <w:szCs w:val="19"/>
        </w:rPr>
        <w:footnoteRef/>
      </w:r>
      <w:r w:rsidRPr="00E5489D">
        <w:rPr>
          <w:rFonts w:ascii="Arial" w:hAnsi="Arial" w:cs="Arial"/>
          <w:color w:val="000000"/>
          <w:sz w:val="19"/>
          <w:szCs w:val="19"/>
        </w:rPr>
        <w:t xml:space="preserve"> </w:t>
      </w:r>
      <w:r w:rsidRPr="00E5489D">
        <w:rPr>
          <w:rFonts w:ascii="Arial" w:hAnsi="Arial" w:cs="Arial"/>
          <w:i/>
          <w:color w:val="000000"/>
          <w:sz w:val="19"/>
          <w:szCs w:val="19"/>
          <w:lang w:val="es-ES"/>
        </w:rPr>
        <w:t>Ídem</w:t>
      </w:r>
      <w:r w:rsidRPr="00E5489D">
        <w:rPr>
          <w:rFonts w:ascii="Arial" w:hAnsi="Arial" w:cs="Arial"/>
          <w:color w:val="000000"/>
          <w:sz w:val="19"/>
          <w:szCs w:val="19"/>
          <w:lang w:val="es-ES"/>
        </w:rPr>
        <w:t>.</w:t>
      </w:r>
    </w:p>
  </w:footnote>
  <w:footnote w:id="17">
    <w:p w14:paraId="2495D9DF" w14:textId="39BCEF6A" w:rsidR="007323DA" w:rsidRPr="00E5489D" w:rsidRDefault="007323DA" w:rsidP="007323DA">
      <w:pPr>
        <w:pStyle w:val="Textonotapie"/>
        <w:ind w:firstLine="709"/>
        <w:jc w:val="both"/>
        <w:rPr>
          <w:rFonts w:ascii="Arial" w:hAnsi="Arial" w:cs="Arial"/>
          <w:color w:val="000000"/>
          <w:sz w:val="19"/>
          <w:szCs w:val="19"/>
          <w:lang w:val="es-ES"/>
        </w:rPr>
      </w:pPr>
      <w:r w:rsidRPr="00E5489D">
        <w:rPr>
          <w:rStyle w:val="Refdenotaalpie"/>
          <w:rFonts w:ascii="Arial" w:hAnsi="Arial" w:cs="Arial"/>
          <w:sz w:val="19"/>
          <w:szCs w:val="19"/>
        </w:rPr>
        <w:footnoteRef/>
      </w:r>
      <w:r w:rsidRPr="00E5489D">
        <w:rPr>
          <w:rStyle w:val="Refdenotaalpie"/>
          <w:rFonts w:ascii="Arial" w:hAnsi="Arial" w:cs="Arial"/>
          <w:color w:val="000000"/>
          <w:sz w:val="19"/>
          <w:szCs w:val="19"/>
        </w:rPr>
        <w:t xml:space="preserve"> </w:t>
      </w:r>
      <w:r w:rsidRPr="00E5489D">
        <w:rPr>
          <w:rFonts w:ascii="Arial" w:hAnsi="Arial" w:cs="Arial"/>
          <w:color w:val="000000"/>
          <w:sz w:val="19"/>
          <w:szCs w:val="19"/>
          <w:lang w:val="es-ES"/>
        </w:rPr>
        <w:t xml:space="preserve">«[…] A este respecto, cabe recordar que el artículo 860 del Código de Comercio regula la licitación en el derecho privado». </w:t>
      </w:r>
    </w:p>
    <w:p w14:paraId="2039975E" w14:textId="77777777" w:rsidR="003F2BBA" w:rsidRPr="00E5489D" w:rsidRDefault="003F2BBA" w:rsidP="007323DA">
      <w:pPr>
        <w:pStyle w:val="Textonotapie"/>
        <w:ind w:firstLine="709"/>
        <w:jc w:val="both"/>
        <w:rPr>
          <w:rFonts w:ascii="Arial" w:hAnsi="Arial" w:cs="Arial"/>
          <w:color w:val="000000"/>
          <w:sz w:val="19"/>
          <w:szCs w:val="19"/>
          <w:lang w:val="es-ES"/>
        </w:rPr>
      </w:pPr>
    </w:p>
  </w:footnote>
  <w:footnote w:id="18">
    <w:p w14:paraId="23D3FBE2" w14:textId="77777777" w:rsidR="007323DA" w:rsidRPr="00E5489D" w:rsidRDefault="007323DA" w:rsidP="007323DA">
      <w:pPr>
        <w:shd w:val="clear" w:color="auto" w:fill="FFFFFF"/>
        <w:ind w:firstLine="709"/>
        <w:jc w:val="both"/>
        <w:rPr>
          <w:rFonts w:ascii="Arial" w:hAnsi="Arial" w:cs="Arial"/>
          <w:color w:val="000000"/>
          <w:sz w:val="19"/>
          <w:szCs w:val="19"/>
          <w:lang w:val="es-ES"/>
        </w:rPr>
      </w:pPr>
      <w:r w:rsidRPr="00E5489D">
        <w:rPr>
          <w:rStyle w:val="Refdenotaalpie"/>
          <w:rFonts w:ascii="Arial" w:hAnsi="Arial" w:cs="Arial"/>
          <w:sz w:val="19"/>
          <w:szCs w:val="19"/>
        </w:rPr>
        <w:footnoteRef/>
      </w:r>
      <w:r w:rsidRPr="00E5489D">
        <w:rPr>
          <w:rStyle w:val="Refdenotaalpie"/>
          <w:rFonts w:ascii="Arial" w:hAnsi="Arial" w:cs="Arial"/>
          <w:color w:val="000000"/>
          <w:sz w:val="19"/>
          <w:szCs w:val="19"/>
        </w:rPr>
        <w:t xml:space="preserve"> </w:t>
      </w:r>
      <w:r w:rsidRPr="00E5489D">
        <w:rPr>
          <w:rFonts w:ascii="Arial" w:hAnsi="Arial" w:cs="Arial"/>
          <w:color w:val="000000"/>
          <w:sz w:val="19"/>
          <w:szCs w:val="19"/>
          <w:lang w:val="es-ES"/>
        </w:rPr>
        <w:t>Consejo de Estado. Sala de Consulta y Servicio Civil, Concepto de 8 de mayo de 2018. Radicación Número: 11001-03-06-000-2018-00095-00(2382). Consejero Ponente: Álvaro Namén Vargas.</w:t>
      </w:r>
    </w:p>
  </w:footnote>
  <w:footnote w:id="19">
    <w:p w14:paraId="4A44A35D" w14:textId="77777777" w:rsidR="003F2BBA" w:rsidRPr="00E5489D" w:rsidRDefault="003F2BBA" w:rsidP="007323DA">
      <w:pPr>
        <w:pStyle w:val="Textonotapie"/>
        <w:ind w:firstLine="709"/>
        <w:jc w:val="both"/>
        <w:rPr>
          <w:rFonts w:ascii="Arial" w:hAnsi="Arial" w:cs="Arial"/>
          <w:color w:val="000000"/>
          <w:sz w:val="19"/>
          <w:szCs w:val="19"/>
        </w:rPr>
      </w:pPr>
    </w:p>
    <w:p w14:paraId="1672C59A" w14:textId="43E52EE3" w:rsidR="007323DA" w:rsidRPr="00E5489D" w:rsidRDefault="007323DA" w:rsidP="007323DA">
      <w:pPr>
        <w:pStyle w:val="Textonotapie"/>
        <w:ind w:firstLine="709"/>
        <w:jc w:val="both"/>
        <w:rPr>
          <w:rFonts w:ascii="Arial" w:hAnsi="Arial" w:cs="Arial"/>
          <w:color w:val="000000"/>
          <w:sz w:val="19"/>
          <w:szCs w:val="19"/>
        </w:rPr>
      </w:pPr>
      <w:r w:rsidRPr="00E5489D">
        <w:rPr>
          <w:rStyle w:val="Refdenotaalpie"/>
          <w:rFonts w:ascii="Arial" w:hAnsi="Arial" w:cs="Arial"/>
          <w:sz w:val="19"/>
          <w:szCs w:val="19"/>
        </w:rPr>
        <w:footnoteRef/>
      </w:r>
      <w:r w:rsidRPr="00E5489D">
        <w:rPr>
          <w:rFonts w:ascii="Arial" w:hAnsi="Arial" w:cs="Arial"/>
          <w:color w:val="000000"/>
          <w:sz w:val="19"/>
          <w:szCs w:val="19"/>
        </w:rPr>
        <w:t xml:space="preserve"> Consejo de Estado. Sala de Consulta y Servicio Civil. Concepto del 08 de mayo de 2018. Exp. 2.382. C.P. Álvaro Namén Vargas.</w:t>
      </w:r>
    </w:p>
  </w:footnote>
  <w:footnote w:id="20">
    <w:p w14:paraId="4C1356C6" w14:textId="53F5C1B5" w:rsidR="007323DA" w:rsidRPr="00E5489D" w:rsidRDefault="007323DA" w:rsidP="007323DA">
      <w:pPr>
        <w:pStyle w:val="Textonotapie"/>
        <w:ind w:firstLine="709"/>
        <w:jc w:val="both"/>
        <w:rPr>
          <w:rFonts w:ascii="Arial" w:hAnsi="Arial" w:cs="Arial"/>
          <w:color w:val="000000"/>
          <w:sz w:val="19"/>
          <w:szCs w:val="19"/>
        </w:rPr>
      </w:pPr>
      <w:r w:rsidRPr="00E5489D">
        <w:rPr>
          <w:rStyle w:val="Refdenotaalpie"/>
          <w:rFonts w:ascii="Arial" w:hAnsi="Arial" w:cs="Arial"/>
          <w:sz w:val="19"/>
          <w:szCs w:val="19"/>
        </w:rPr>
        <w:footnoteRef/>
      </w:r>
      <w:r w:rsidRPr="00E5489D">
        <w:rPr>
          <w:rFonts w:ascii="Arial" w:hAnsi="Arial" w:cs="Arial"/>
          <w:color w:val="000000"/>
          <w:sz w:val="19"/>
          <w:szCs w:val="19"/>
        </w:rPr>
        <w:t xml:space="preserve"> Cfr. Concepto C-757 del 30 de diciembre de 2021.</w:t>
      </w:r>
    </w:p>
    <w:p w14:paraId="161523DC" w14:textId="77777777" w:rsidR="003F2BBA" w:rsidRPr="00E5489D" w:rsidRDefault="003F2BBA" w:rsidP="007323DA">
      <w:pPr>
        <w:pStyle w:val="Textonotapie"/>
        <w:ind w:firstLine="709"/>
        <w:jc w:val="both"/>
        <w:rPr>
          <w:rFonts w:ascii="Arial" w:hAnsi="Arial" w:cs="Arial"/>
          <w:color w:val="000000"/>
          <w:sz w:val="19"/>
          <w:szCs w:val="19"/>
        </w:rPr>
      </w:pPr>
    </w:p>
  </w:footnote>
  <w:footnote w:id="21">
    <w:p w14:paraId="1CF4BBC1" w14:textId="77777777" w:rsidR="007323DA" w:rsidRPr="00E5489D" w:rsidRDefault="007323DA" w:rsidP="007323DA">
      <w:pPr>
        <w:pStyle w:val="Textonotapie"/>
        <w:ind w:firstLine="709"/>
        <w:jc w:val="both"/>
        <w:rPr>
          <w:rFonts w:ascii="Arial" w:hAnsi="Arial" w:cs="Arial"/>
          <w:color w:val="000000"/>
          <w:sz w:val="19"/>
          <w:szCs w:val="19"/>
        </w:rPr>
      </w:pPr>
      <w:r w:rsidRPr="00E5489D">
        <w:rPr>
          <w:rStyle w:val="Refdenotaalpie"/>
          <w:rFonts w:ascii="Arial" w:hAnsi="Arial" w:cs="Arial"/>
          <w:sz w:val="19"/>
          <w:szCs w:val="19"/>
        </w:rPr>
        <w:footnoteRef/>
      </w:r>
      <w:r w:rsidRPr="00E5489D">
        <w:rPr>
          <w:rFonts w:ascii="Arial" w:hAnsi="Arial" w:cs="Arial"/>
          <w:color w:val="000000"/>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1A6EBB2E" w14:textId="77777777" w:rsidR="007323DA" w:rsidRPr="00E5489D" w:rsidRDefault="007323DA" w:rsidP="007323DA">
      <w:pPr>
        <w:ind w:firstLine="709"/>
        <w:jc w:val="both"/>
        <w:rPr>
          <w:rFonts w:ascii="Arial" w:hAnsi="Arial" w:cs="Arial"/>
          <w:sz w:val="19"/>
          <w:szCs w:val="19"/>
        </w:rPr>
      </w:pPr>
      <w:r w:rsidRPr="00E5489D">
        <w:rPr>
          <w:rStyle w:val="Refdenotaalpie"/>
          <w:rFonts w:ascii="Arial" w:hAnsi="Arial" w:cs="Arial"/>
          <w:sz w:val="19"/>
          <w:szCs w:val="19"/>
        </w:rPr>
        <w:footnoteRef/>
      </w:r>
      <w:r w:rsidRPr="00E5489D">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250F865D" w14:textId="77777777" w:rsidR="007323DA" w:rsidRPr="00E5489D" w:rsidRDefault="007323DA" w:rsidP="007323DA">
      <w:pPr>
        <w:pStyle w:val="Textonotapie"/>
        <w:ind w:right="51" w:firstLine="709"/>
        <w:jc w:val="both"/>
        <w:rPr>
          <w:rFonts w:ascii="Arial" w:hAnsi="Arial" w:cs="Arial"/>
          <w:sz w:val="19"/>
          <w:szCs w:val="19"/>
        </w:rPr>
      </w:pPr>
      <w:r w:rsidRPr="00E5489D">
        <w:rPr>
          <w:rStyle w:val="Refdenotaalpie"/>
          <w:rFonts w:ascii="Arial" w:hAnsi="Arial" w:cs="Arial"/>
          <w:sz w:val="19"/>
          <w:szCs w:val="19"/>
        </w:rPr>
        <w:footnoteRef/>
      </w:r>
      <w:r w:rsidRPr="00E5489D">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r w:rsidRPr="00E5489D">
        <w:rPr>
          <w:rFonts w:ascii="Arial" w:eastAsia="Times New Roman" w:hAnsi="Arial" w:cs="Arial"/>
          <w:sz w:val="19"/>
          <w:szCs w:val="19"/>
          <w:lang w:eastAsia="x-none"/>
        </w:rPr>
        <w:t xml:space="preserve"> «</w:t>
      </w:r>
      <w:r w:rsidRPr="00E5489D">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E5489D">
        <w:rPr>
          <w:rFonts w:ascii="Arial" w:eastAsia="Times New Roman" w:hAnsi="Arial" w:cs="Arial"/>
          <w:sz w:val="19"/>
          <w:szCs w:val="19"/>
          <w:lang w:eastAsia="x-none"/>
        </w:rPr>
        <w:t>».</w:t>
      </w:r>
    </w:p>
  </w:footnote>
  <w:footnote w:id="24">
    <w:p w14:paraId="5FA26F88" w14:textId="77777777" w:rsidR="007323DA" w:rsidRPr="00E5489D" w:rsidRDefault="007323DA" w:rsidP="007323DA">
      <w:pPr>
        <w:pStyle w:val="Textonotapie"/>
        <w:ind w:right="51" w:firstLine="709"/>
        <w:jc w:val="both"/>
        <w:rPr>
          <w:rFonts w:ascii="Arial" w:hAnsi="Arial" w:cs="Arial"/>
          <w:sz w:val="19"/>
          <w:szCs w:val="19"/>
        </w:rPr>
      </w:pPr>
      <w:r w:rsidRPr="00E5489D">
        <w:rPr>
          <w:rStyle w:val="Refdenotaalpie"/>
          <w:rFonts w:ascii="Arial" w:hAnsi="Arial" w:cs="Arial"/>
          <w:sz w:val="19"/>
          <w:szCs w:val="19"/>
        </w:rPr>
        <w:footnoteRef/>
      </w:r>
      <w:r w:rsidRPr="00E5489D">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p w14:paraId="759D94C3" w14:textId="77777777" w:rsidR="007323DA" w:rsidRPr="00E5489D" w:rsidRDefault="007323DA" w:rsidP="007323DA">
      <w:pPr>
        <w:pStyle w:val="Textonotapie"/>
        <w:ind w:right="51" w:firstLine="709"/>
        <w:jc w:val="both"/>
        <w:rPr>
          <w:rFonts w:ascii="Arial" w:hAnsi="Arial" w:cs="Arial"/>
          <w:sz w:val="19"/>
          <w:szCs w:val="19"/>
        </w:rPr>
      </w:pPr>
    </w:p>
  </w:footnote>
  <w:footnote w:id="25">
    <w:p w14:paraId="3960ED4F" w14:textId="77777777" w:rsidR="007323DA" w:rsidRPr="00E5489D" w:rsidRDefault="007323DA" w:rsidP="007323DA">
      <w:pPr>
        <w:pStyle w:val="Textonotapie"/>
        <w:ind w:right="51" w:firstLine="709"/>
        <w:jc w:val="both"/>
        <w:rPr>
          <w:rFonts w:ascii="Arial" w:hAnsi="Arial" w:cs="Arial"/>
          <w:sz w:val="19"/>
          <w:szCs w:val="19"/>
        </w:rPr>
      </w:pPr>
      <w:r w:rsidRPr="00E5489D">
        <w:rPr>
          <w:rStyle w:val="Refdenotaalpie"/>
          <w:rFonts w:ascii="Arial" w:hAnsi="Arial" w:cs="Arial"/>
          <w:sz w:val="19"/>
          <w:szCs w:val="19"/>
        </w:rPr>
        <w:footnoteRef/>
      </w:r>
      <w:r w:rsidRPr="00E5489D">
        <w:rPr>
          <w:rFonts w:ascii="Arial" w:hAnsi="Arial" w:cs="Arial"/>
          <w:sz w:val="19"/>
          <w:szCs w:val="19"/>
        </w:rPr>
        <w:t xml:space="preserve"> Consejo de Estado. Sala de Consulta y Servicio Civil, ídem.</w:t>
      </w:r>
    </w:p>
  </w:footnote>
  <w:footnote w:id="26">
    <w:p w14:paraId="567CBBE6" w14:textId="6407C0E6" w:rsidR="007323DA" w:rsidRPr="00E5489D" w:rsidRDefault="007323DA" w:rsidP="007323DA">
      <w:pPr>
        <w:pStyle w:val="Textonotapie"/>
        <w:ind w:firstLine="709"/>
        <w:jc w:val="both"/>
        <w:rPr>
          <w:rFonts w:ascii="Arial" w:hAnsi="Arial" w:cs="Arial"/>
          <w:color w:val="000000" w:themeColor="text1"/>
          <w:sz w:val="19"/>
          <w:szCs w:val="19"/>
          <w:lang w:val="es-CO"/>
        </w:rPr>
      </w:pPr>
      <w:r w:rsidRPr="00E5489D">
        <w:rPr>
          <w:rStyle w:val="Refdenotaalpie"/>
          <w:rFonts w:ascii="Arial" w:hAnsi="Arial" w:cs="Arial"/>
          <w:sz w:val="19"/>
          <w:szCs w:val="19"/>
        </w:rPr>
        <w:footnoteRef/>
      </w:r>
      <w:r w:rsidRPr="00E5489D">
        <w:rPr>
          <w:rFonts w:ascii="Arial" w:hAnsi="Arial" w:cs="Arial"/>
          <w:color w:val="000000" w:themeColor="text1"/>
          <w:sz w:val="19"/>
          <w:szCs w:val="19"/>
          <w:lang w:val="es-CO"/>
        </w:rPr>
        <w:t xml:space="preserve"> FIGUEROA U. Organismos internacionales. 2ª edición. Santiago de Chile: Editorial RIL editores, 2010.</w:t>
      </w:r>
    </w:p>
    <w:p w14:paraId="18801C1D" w14:textId="77777777" w:rsidR="00FE43AD" w:rsidRPr="00E5489D" w:rsidRDefault="00FE43AD" w:rsidP="007323DA">
      <w:pPr>
        <w:pStyle w:val="Textonotapie"/>
        <w:ind w:firstLine="709"/>
        <w:jc w:val="both"/>
        <w:rPr>
          <w:rFonts w:ascii="Arial" w:hAnsi="Arial" w:cs="Arial"/>
          <w:color w:val="000000" w:themeColor="text1"/>
          <w:sz w:val="19"/>
          <w:szCs w:val="19"/>
          <w:lang w:val="es-CO"/>
        </w:rPr>
      </w:pPr>
    </w:p>
  </w:footnote>
  <w:footnote w:id="27">
    <w:p w14:paraId="0A415C58" w14:textId="77777777" w:rsidR="007323DA" w:rsidRPr="00E5489D" w:rsidRDefault="007323DA" w:rsidP="007323DA">
      <w:pPr>
        <w:pStyle w:val="NormalWeb"/>
        <w:spacing w:before="0" w:beforeAutospacing="0" w:after="0" w:afterAutospacing="0"/>
        <w:ind w:firstLine="709"/>
        <w:jc w:val="both"/>
        <w:rPr>
          <w:rFonts w:ascii="Arial" w:hAnsi="Arial" w:cs="Arial"/>
          <w:color w:val="000000" w:themeColor="text1"/>
          <w:sz w:val="19"/>
          <w:szCs w:val="19"/>
        </w:rPr>
      </w:pPr>
      <w:r w:rsidRPr="00E5489D">
        <w:rPr>
          <w:rStyle w:val="Refdenotaalpie"/>
          <w:rFonts w:ascii="Arial" w:hAnsi="Arial" w:cs="Arial"/>
          <w:sz w:val="19"/>
          <w:szCs w:val="19"/>
        </w:rPr>
        <w:footnoteRef/>
      </w:r>
      <w:r w:rsidRPr="00E5489D">
        <w:rPr>
          <w:rFonts w:ascii="Arial" w:hAnsi="Arial" w:cs="Arial"/>
          <w:color w:val="000000" w:themeColor="text1"/>
          <w:sz w:val="19"/>
          <w:szCs w:val="19"/>
        </w:rPr>
        <w:t xml:space="preserve"> Ley 80 de 1993: «Artículo 13. De la normatividad aplicable a los contratos estatales. Los contratos que celebren las entidades a que se refiere el artículo </w:t>
      </w:r>
      <w:hyperlink r:id="rId1" w:anchor="2" w:history="1">
        <w:r w:rsidRPr="00E5489D">
          <w:t>2</w:t>
        </w:r>
      </w:hyperlink>
      <w:r w:rsidRPr="00E5489D">
        <w:rPr>
          <w:rFonts w:ascii="Arial" w:hAnsi="Arial" w:cs="Arial"/>
          <w:color w:val="000000" w:themeColor="text1"/>
          <w:sz w:val="19"/>
          <w:szCs w:val="19"/>
        </w:rPr>
        <w:t>o. del presente estatuto se regirán por las disposiciones comerciales y civiles pertinentes, salvo en las materias particularmente reguladas en esta ley.</w:t>
      </w:r>
    </w:p>
    <w:p w14:paraId="08806421" w14:textId="77777777" w:rsidR="007323DA" w:rsidRPr="00E5489D" w:rsidRDefault="007323DA" w:rsidP="007323DA">
      <w:pPr>
        <w:pStyle w:val="NormalWeb"/>
        <w:spacing w:before="0" w:beforeAutospacing="0" w:after="0" w:afterAutospacing="0"/>
        <w:ind w:firstLine="709"/>
        <w:jc w:val="both"/>
        <w:rPr>
          <w:rFonts w:ascii="Arial" w:hAnsi="Arial" w:cs="Arial"/>
          <w:color w:val="000000" w:themeColor="text1"/>
          <w:sz w:val="19"/>
          <w:szCs w:val="19"/>
        </w:rPr>
      </w:pPr>
      <w:r w:rsidRPr="00E5489D">
        <w:rPr>
          <w:rFonts w:ascii="Arial" w:hAnsi="Arial" w:cs="Arial"/>
          <w:color w:val="000000" w:themeColor="text1"/>
          <w:sz w:val="19"/>
          <w:szCs w:val="19"/>
        </w:rPr>
        <w:t>»Los contratos celebrados en el exterior se podrán regir en su ejecución por las reglas del país en donde se hayan suscrito, a menos que deban cumplirse en Colombia»</w:t>
      </w:r>
    </w:p>
    <w:p w14:paraId="408DF664" w14:textId="77777777" w:rsidR="007323DA" w:rsidRPr="00E5489D" w:rsidRDefault="007323DA" w:rsidP="007323DA">
      <w:pPr>
        <w:pStyle w:val="NormalWeb"/>
        <w:spacing w:before="0" w:beforeAutospacing="0" w:after="0" w:afterAutospacing="0"/>
        <w:ind w:firstLine="709"/>
        <w:jc w:val="both"/>
        <w:rPr>
          <w:rFonts w:ascii="Arial" w:hAnsi="Arial" w:cs="Arial"/>
          <w:color w:val="000000" w:themeColor="text1"/>
          <w:sz w:val="19"/>
          <w:szCs w:val="19"/>
        </w:rPr>
      </w:pPr>
      <w:r w:rsidRPr="00E5489D">
        <w:rPr>
          <w:rFonts w:ascii="Arial" w:hAnsi="Arial" w:cs="Arial"/>
          <w:color w:val="000000" w:themeColor="text1"/>
          <w:sz w:val="19"/>
          <w:szCs w:val="19"/>
        </w:rPr>
        <w:t>»Los contratos que se celebren en Colombia y deban ejecutarse o cumplirse en el extranjero, podrán someterse a la ley extranjera».</w:t>
      </w:r>
    </w:p>
  </w:footnote>
  <w:footnote w:id="28">
    <w:p w14:paraId="21324135" w14:textId="287BA818" w:rsidR="007323DA" w:rsidRDefault="007323DA" w:rsidP="007323DA">
      <w:pPr>
        <w:pStyle w:val="Textonotapie"/>
        <w:ind w:firstLine="709"/>
        <w:jc w:val="both"/>
        <w:rPr>
          <w:rFonts w:ascii="Arial" w:hAnsi="Arial" w:cs="Arial"/>
          <w:color w:val="000000" w:themeColor="text1"/>
          <w:sz w:val="19"/>
          <w:szCs w:val="19"/>
          <w:lang w:val="es-CO"/>
        </w:rPr>
      </w:pPr>
      <w:r w:rsidRPr="00E5489D">
        <w:rPr>
          <w:rStyle w:val="Refdenotaalpie"/>
          <w:rFonts w:ascii="Arial" w:hAnsi="Arial" w:cs="Arial"/>
          <w:sz w:val="19"/>
          <w:szCs w:val="19"/>
        </w:rPr>
        <w:footnoteRef/>
      </w:r>
      <w:r w:rsidRPr="00E5489D">
        <w:rPr>
          <w:rFonts w:ascii="Arial" w:hAnsi="Arial" w:cs="Arial"/>
          <w:color w:val="000000" w:themeColor="text1"/>
          <w:sz w:val="19"/>
          <w:szCs w:val="19"/>
        </w:rPr>
        <w:t xml:space="preserve"> Consejo de Estado. Sección Tercera, Subsección C. Sentencia del 26 de noviembre de 2015. </w:t>
      </w:r>
      <w:r w:rsidRPr="00E5489D">
        <w:rPr>
          <w:rFonts w:ascii="Arial" w:hAnsi="Arial" w:cs="Arial"/>
          <w:color w:val="000000" w:themeColor="text1"/>
          <w:sz w:val="19"/>
          <w:szCs w:val="19"/>
          <w:lang w:val="es-ES_tradnl"/>
        </w:rPr>
        <w:t xml:space="preserve">Exp. </w:t>
      </w:r>
      <w:r w:rsidRPr="00E5489D">
        <w:rPr>
          <w:rFonts w:ascii="Arial" w:hAnsi="Arial" w:cs="Arial"/>
          <w:color w:val="000000" w:themeColor="text1"/>
          <w:sz w:val="19"/>
          <w:szCs w:val="19"/>
          <w:lang w:val="es-CO"/>
        </w:rPr>
        <w:t xml:space="preserve">54.069. C.P Jaime Orlando Santofimio Gamboa. </w:t>
      </w:r>
    </w:p>
    <w:p w14:paraId="2AEC7564" w14:textId="77777777" w:rsidR="000445FF" w:rsidRPr="00E5489D" w:rsidRDefault="000445FF" w:rsidP="007323DA">
      <w:pPr>
        <w:pStyle w:val="Textonotapie"/>
        <w:ind w:firstLine="709"/>
        <w:jc w:val="both"/>
        <w:rPr>
          <w:rFonts w:ascii="Arial" w:hAnsi="Arial" w:cs="Arial"/>
          <w:color w:val="000000" w:themeColor="text1"/>
          <w:sz w:val="19"/>
          <w:szCs w:val="19"/>
          <w:lang w:val="es-ES_tradnl"/>
        </w:rPr>
      </w:pPr>
    </w:p>
  </w:footnote>
  <w:footnote w:id="29">
    <w:p w14:paraId="1FFC50CB" w14:textId="77777777" w:rsidR="007323DA" w:rsidRPr="00E5489D" w:rsidRDefault="007323DA" w:rsidP="007323DA">
      <w:pPr>
        <w:pStyle w:val="Textonotapie"/>
        <w:ind w:firstLine="709"/>
        <w:jc w:val="both"/>
        <w:rPr>
          <w:rFonts w:ascii="Arial" w:hAnsi="Arial" w:cs="Arial"/>
          <w:color w:val="000000" w:themeColor="text1"/>
          <w:sz w:val="19"/>
          <w:szCs w:val="19"/>
          <w:lang w:eastAsia="es-CO"/>
        </w:rPr>
      </w:pPr>
      <w:r w:rsidRPr="00E5489D">
        <w:rPr>
          <w:rStyle w:val="Refdenotaalpie"/>
          <w:rFonts w:ascii="Arial" w:hAnsi="Arial" w:cs="Arial"/>
          <w:sz w:val="19"/>
          <w:szCs w:val="19"/>
        </w:rPr>
        <w:footnoteRef/>
      </w:r>
      <w:r w:rsidRPr="00E5489D">
        <w:rPr>
          <w:rFonts w:ascii="Arial" w:hAnsi="Arial" w:cs="Arial"/>
          <w:color w:val="000000" w:themeColor="text1"/>
          <w:sz w:val="19"/>
          <w:szCs w:val="19"/>
        </w:rPr>
        <w:t xml:space="preserve"> </w:t>
      </w:r>
      <w:r w:rsidRPr="00E5489D">
        <w:rPr>
          <w:rFonts w:ascii="Arial" w:hAnsi="Arial" w:cs="Arial"/>
          <w:color w:val="000000" w:themeColor="text1"/>
          <w:sz w:val="19"/>
          <w:szCs w:val="19"/>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footnote>
  <w:footnote w:id="30">
    <w:p w14:paraId="2DB43A9D" w14:textId="77777777" w:rsidR="007323DA" w:rsidRPr="00E5489D" w:rsidRDefault="007323DA" w:rsidP="007323DA">
      <w:pPr>
        <w:pStyle w:val="NormalWeb"/>
        <w:spacing w:before="0" w:beforeAutospacing="0" w:after="0" w:afterAutospacing="0"/>
        <w:ind w:firstLine="709"/>
        <w:jc w:val="both"/>
        <w:rPr>
          <w:rFonts w:ascii="Arial" w:hAnsi="Arial" w:cs="Arial"/>
          <w:color w:val="000000" w:themeColor="text1"/>
          <w:sz w:val="19"/>
          <w:szCs w:val="19"/>
        </w:rPr>
      </w:pPr>
      <w:r w:rsidRPr="00E5489D">
        <w:rPr>
          <w:rStyle w:val="Refdenotaalpie"/>
          <w:rFonts w:ascii="Arial" w:hAnsi="Arial" w:cs="Arial"/>
          <w:sz w:val="19"/>
          <w:szCs w:val="19"/>
        </w:rPr>
        <w:footnoteRef/>
      </w:r>
      <w:r w:rsidRPr="00E5489D">
        <w:rPr>
          <w:rFonts w:ascii="Arial" w:hAnsi="Arial" w:cs="Arial"/>
          <w:color w:val="000000" w:themeColor="text1"/>
          <w:sz w:val="19"/>
          <w:szCs w:val="19"/>
        </w:rPr>
        <w:t xml:space="preserve"> Ley 1150 de 2007. «Artículo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de 1993. Los recursos de contrapartida vinculados a estas operaciones podrán tener el mismo tratamiento.</w:t>
      </w:r>
    </w:p>
    <w:p w14:paraId="76395BB8" w14:textId="77777777" w:rsidR="007323DA" w:rsidRPr="00E5489D" w:rsidRDefault="007323DA" w:rsidP="007323DA">
      <w:pPr>
        <w:pStyle w:val="NormalWeb"/>
        <w:spacing w:before="0" w:beforeAutospacing="0" w:after="0" w:afterAutospacing="0"/>
        <w:ind w:firstLine="709"/>
        <w:jc w:val="both"/>
        <w:rPr>
          <w:rFonts w:ascii="Arial" w:hAnsi="Arial" w:cs="Arial"/>
          <w:color w:val="000000" w:themeColor="text1"/>
          <w:sz w:val="19"/>
          <w:szCs w:val="19"/>
        </w:rPr>
      </w:pPr>
      <w:r w:rsidRPr="00E5489D">
        <w:rPr>
          <w:rFonts w:ascii="Arial" w:hAnsi="Arial" w:cs="Arial"/>
          <w:color w:val="000000" w:themeColor="text1"/>
          <w:sz w:val="19"/>
          <w:szCs w:val="19"/>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11809503" w14:textId="77777777" w:rsidR="007323DA" w:rsidRPr="00E5489D" w:rsidRDefault="007323DA" w:rsidP="007323DA">
      <w:pPr>
        <w:pStyle w:val="NormalWeb"/>
        <w:spacing w:before="0" w:beforeAutospacing="0" w:after="0" w:afterAutospacing="0"/>
        <w:ind w:firstLine="709"/>
        <w:jc w:val="both"/>
        <w:rPr>
          <w:rFonts w:ascii="Arial" w:hAnsi="Arial" w:cs="Arial"/>
          <w:color w:val="000000" w:themeColor="text1"/>
          <w:sz w:val="19"/>
          <w:szCs w:val="19"/>
        </w:rPr>
      </w:pPr>
      <w:r w:rsidRPr="00E5489D">
        <w:rPr>
          <w:rFonts w:ascii="Arial" w:hAnsi="Arial" w:cs="Arial"/>
          <w:color w:val="000000" w:themeColor="text1"/>
          <w:sz w:val="19"/>
          <w:szCs w:val="19"/>
        </w:rPr>
        <w:t>»Las entidades estatales no podrán celebrar contratos o convenios para la administración o gerencia de sus recursos propios o de aquellos que les asignen los presupuestos públicos, con organismos de cooperación, asistencia o ayuda internacional.</w:t>
      </w:r>
    </w:p>
    <w:p w14:paraId="0CE14E9D" w14:textId="77777777" w:rsidR="007323DA" w:rsidRPr="00E5489D" w:rsidRDefault="007323DA" w:rsidP="007323DA">
      <w:pPr>
        <w:pStyle w:val="NormalWeb"/>
        <w:spacing w:before="0" w:beforeAutospacing="0" w:after="0" w:afterAutospacing="0"/>
        <w:ind w:firstLine="709"/>
        <w:jc w:val="both"/>
        <w:rPr>
          <w:rFonts w:ascii="Arial" w:hAnsi="Arial" w:cs="Arial"/>
          <w:color w:val="000000" w:themeColor="text1"/>
          <w:sz w:val="19"/>
          <w:szCs w:val="19"/>
        </w:rPr>
      </w:pPr>
      <w:r w:rsidRPr="00E5489D">
        <w:rPr>
          <w:rFonts w:ascii="Arial" w:hAnsi="Arial" w:cs="Arial"/>
          <w:color w:val="000000" w:themeColor="text1"/>
          <w:sz w:val="19"/>
          <w:szCs w:val="19"/>
        </w:rPr>
        <w:t>»</w:t>
      </w:r>
      <w:r w:rsidRPr="00E5489D">
        <w:rPr>
          <w:rStyle w:val="baj"/>
          <w:rFonts w:ascii="Arial" w:hAnsi="Arial" w:cs="Arial"/>
          <w:color w:val="000000" w:themeColor="text1"/>
          <w:sz w:val="19"/>
          <w:szCs w:val="19"/>
        </w:rPr>
        <w:t>PARÁGRAFO 1o.</w:t>
      </w:r>
      <w:r w:rsidRPr="00E5489D">
        <w:rPr>
          <w:rFonts w:ascii="Arial" w:hAnsi="Arial" w:cs="Arial"/>
          <w:color w:val="000000" w:themeColor="text1"/>
          <w:sz w:val="19"/>
          <w:szCs w:val="19"/>
        </w:rPr>
        <w:t> Los contratos o acuerdos celebrados con personas extranjeras de derecho público, podrán someterse a las reglas de tales organismos.</w:t>
      </w:r>
    </w:p>
    <w:p w14:paraId="3A918B31" w14:textId="77777777" w:rsidR="007323DA" w:rsidRPr="00E5489D" w:rsidRDefault="007323DA" w:rsidP="007323DA">
      <w:pPr>
        <w:pStyle w:val="NormalWeb"/>
        <w:spacing w:before="0" w:beforeAutospacing="0" w:after="0" w:afterAutospacing="0"/>
        <w:ind w:firstLine="709"/>
        <w:jc w:val="both"/>
        <w:rPr>
          <w:rFonts w:ascii="Arial" w:hAnsi="Arial" w:cs="Arial"/>
          <w:color w:val="000000" w:themeColor="text1"/>
          <w:sz w:val="19"/>
          <w:szCs w:val="19"/>
        </w:rPr>
      </w:pPr>
      <w:r w:rsidRPr="00E5489D">
        <w:rPr>
          <w:rFonts w:ascii="Arial" w:hAnsi="Arial" w:cs="Arial"/>
          <w:color w:val="000000" w:themeColor="text1"/>
          <w:sz w:val="19"/>
          <w:szCs w:val="19"/>
        </w:rPr>
        <w:t>»</w:t>
      </w:r>
      <w:r w:rsidRPr="00E5489D">
        <w:rPr>
          <w:rStyle w:val="baj"/>
          <w:rFonts w:ascii="Arial" w:hAnsi="Arial" w:cs="Arial"/>
          <w:color w:val="000000" w:themeColor="text1"/>
          <w:sz w:val="19"/>
          <w:szCs w:val="19"/>
        </w:rPr>
        <w:t>PARÁGRAFO 2o.</w:t>
      </w:r>
      <w:r w:rsidRPr="00E5489D">
        <w:rPr>
          <w:rFonts w:ascii="Arial" w:hAnsi="Arial" w:cs="Arial"/>
          <w:color w:val="000000" w:themeColor="text1"/>
          <w:sz w:val="19"/>
          <w:szCs w:val="19"/>
        </w:rPr>
        <w:t> Las entidades estatales tendrán la obligación de reportar la información a los organismos de control y al Secop relativa a la ejecución de los contratos a los que se refiere el presente artículo.</w:t>
      </w:r>
    </w:p>
    <w:p w14:paraId="7C95AC71" w14:textId="77777777" w:rsidR="007323DA" w:rsidRPr="00E5489D" w:rsidRDefault="007323DA" w:rsidP="007323DA">
      <w:pPr>
        <w:pStyle w:val="NormalWeb"/>
        <w:spacing w:before="0" w:beforeAutospacing="0" w:after="0" w:afterAutospacing="0"/>
        <w:ind w:firstLine="709"/>
        <w:jc w:val="both"/>
        <w:rPr>
          <w:rFonts w:ascii="Arial" w:hAnsi="Arial" w:cs="Arial"/>
          <w:color w:val="000000" w:themeColor="text1"/>
          <w:sz w:val="19"/>
          <w:szCs w:val="19"/>
        </w:rPr>
      </w:pPr>
      <w:r w:rsidRPr="00E5489D">
        <w:rPr>
          <w:rFonts w:ascii="Arial" w:hAnsi="Arial" w:cs="Arial"/>
          <w:color w:val="000000" w:themeColor="text1"/>
          <w:sz w:val="19"/>
          <w:szCs w:val="19"/>
        </w:rPr>
        <w:t>»</w:t>
      </w:r>
      <w:r w:rsidRPr="00E5489D">
        <w:rPr>
          <w:rStyle w:val="baj"/>
          <w:rFonts w:ascii="Arial" w:hAnsi="Arial" w:cs="Arial"/>
          <w:color w:val="000000" w:themeColor="text1"/>
          <w:sz w:val="19"/>
          <w:szCs w:val="19"/>
        </w:rPr>
        <w:t>PARÁGRAFO 3o.</w:t>
      </w:r>
      <w:r w:rsidRPr="00E5489D">
        <w:rPr>
          <w:rFonts w:ascii="Arial" w:hAnsi="Arial" w:cs="Arial"/>
          <w:color w:val="000000" w:themeColor="text1"/>
          <w:sz w:val="19"/>
          <w:szCs w:val="19"/>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footnote>
  <w:footnote w:id="31">
    <w:p w14:paraId="15055C7F" w14:textId="77777777" w:rsidR="007323DA" w:rsidRPr="00E5489D" w:rsidRDefault="007323DA" w:rsidP="007323D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E5489D">
        <w:rPr>
          <w:rStyle w:val="Refdenotaalpie"/>
          <w:rFonts w:ascii="Arial" w:hAnsi="Arial" w:cs="Arial"/>
          <w:sz w:val="19"/>
          <w:szCs w:val="19"/>
        </w:rPr>
        <w:footnoteRef/>
      </w:r>
      <w:r w:rsidRPr="00E5489D">
        <w:rPr>
          <w:rFonts w:ascii="Arial" w:hAnsi="Arial" w:cs="Arial"/>
          <w:color w:val="000000" w:themeColor="text1"/>
          <w:sz w:val="19"/>
          <w:szCs w:val="19"/>
        </w:rPr>
        <w:t xml:space="preserve"> Decreto 1082 de 2015. «Artículo </w:t>
      </w:r>
      <w:r w:rsidRPr="00E5489D">
        <w:rPr>
          <w:rStyle w:val="Textoennegrita"/>
          <w:rFonts w:ascii="Arial" w:hAnsi="Arial" w:cs="Arial"/>
          <w:b w:val="0"/>
          <w:bCs w:val="0"/>
          <w:color w:val="000000" w:themeColor="text1"/>
          <w:sz w:val="19"/>
          <w:szCs w:val="19"/>
        </w:rPr>
        <w:t>2.2.1.2.4.4.1. </w:t>
      </w:r>
      <w:r w:rsidRPr="00E5489D">
        <w:rPr>
          <w:rStyle w:val="nfasis"/>
          <w:rFonts w:ascii="Arial" w:hAnsi="Arial" w:cs="Arial"/>
          <w:color w:val="000000" w:themeColor="text1"/>
          <w:sz w:val="19"/>
          <w:szCs w:val="19"/>
        </w:rPr>
        <w:t>Régimen aplicable a los contratos o convenios de cooperación Internacional. </w:t>
      </w:r>
      <w:r w:rsidRPr="00E5489D">
        <w:rPr>
          <w:rFonts w:ascii="Arial" w:hAnsi="Arial" w:cs="Arial"/>
          <w:color w:val="000000" w:themeColor="text1"/>
          <w:sz w:val="19"/>
          <w:szCs w:val="19"/>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09BA27EA" w14:textId="77777777" w:rsidR="007323DA" w:rsidRPr="00E5489D" w:rsidRDefault="007323DA" w:rsidP="007323D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E5489D">
        <w:rPr>
          <w:rFonts w:ascii="Arial" w:hAnsi="Arial" w:cs="Arial"/>
          <w:color w:val="000000" w:themeColor="text1"/>
          <w:sz w:val="19"/>
          <w:szCs w:val="19"/>
        </w:rPr>
        <w:t>»</w:t>
      </w:r>
      <w:r w:rsidRPr="00E5489D">
        <w:rPr>
          <w:rFonts w:ascii="Arial" w:hAnsi="Arial" w:cs="Arial"/>
          <w:i/>
          <w:iCs/>
          <w:color w:val="000000" w:themeColor="text1"/>
          <w:sz w:val="19"/>
          <w:szCs w:val="19"/>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E5489D">
        <w:rPr>
          <w:rFonts w:ascii="Arial" w:hAnsi="Arial" w:cs="Arial"/>
          <w:color w:val="000000" w:themeColor="text1"/>
          <w:sz w:val="19"/>
          <w:szCs w:val="19"/>
        </w:rPr>
        <w:t>.</w:t>
      </w:r>
    </w:p>
    <w:p w14:paraId="459A0331" w14:textId="77777777" w:rsidR="007323DA" w:rsidRPr="00E5489D" w:rsidRDefault="007323DA" w:rsidP="007323D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E5489D">
        <w:rPr>
          <w:rFonts w:ascii="Arial" w:hAnsi="Arial" w:cs="Arial"/>
          <w:color w:val="000000" w:themeColor="text1"/>
          <w:sz w:val="19"/>
          <w:szCs w:val="19"/>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14:paraId="407937B5" w14:textId="77777777" w:rsidR="007323DA" w:rsidRPr="00E5489D" w:rsidRDefault="007323DA" w:rsidP="007323D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E5489D">
        <w:rPr>
          <w:rFonts w:ascii="Arial" w:hAnsi="Arial" w:cs="Arial"/>
          <w:color w:val="000000" w:themeColor="text1"/>
          <w:sz w:val="19"/>
          <w:szCs w:val="19"/>
        </w:rPr>
        <w:t>»Los recursos generados en desarrollo de los contratos o convenios financiados con fondos de los organismos de cooperación, asistencia o ayudas internacionales no deben ser tenidos en cuenta para determinar los porcentajes de los aportes de las partes». (Cursiva fuera del original).</w:t>
      </w:r>
    </w:p>
    <w:p w14:paraId="055AEA7B" w14:textId="77777777" w:rsidR="007323DA" w:rsidRPr="00E5489D" w:rsidRDefault="007323DA" w:rsidP="007323D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E5489D">
        <w:rPr>
          <w:rFonts w:ascii="Arial" w:hAnsi="Arial" w:cs="Arial"/>
          <w:color w:val="000000" w:themeColor="text1"/>
          <w:sz w:val="19"/>
          <w:szCs w:val="19"/>
        </w:rPr>
        <w:t>»Los contratos o convenios financiados con fondos de los organismos multilaterales de crédito, entes gubernamentales extranjeros o personas extranjeras de derecho público, así como aquellos a los que se refiere el inciso 2 del artículo 20 de la </w:t>
      </w:r>
      <w:hyperlink r:id="rId2" w:history="1">
        <w:r w:rsidRPr="00E5489D">
          <w:rPr>
            <w:rStyle w:val="Hipervnculo"/>
            <w:rFonts w:ascii="Arial" w:hAnsi="Arial" w:cs="Arial"/>
            <w:color w:val="000000" w:themeColor="text1"/>
            <w:sz w:val="19"/>
            <w:szCs w:val="19"/>
          </w:rPr>
          <w:t>Ley 1150 de 2007</w:t>
        </w:r>
      </w:hyperlink>
      <w:r w:rsidRPr="00E5489D">
        <w:rPr>
          <w:rFonts w:ascii="Arial" w:hAnsi="Arial" w:cs="Arial"/>
          <w:color w:val="000000" w:themeColor="text1"/>
          <w:sz w:val="19"/>
          <w:szCs w:val="19"/>
        </w:rPr>
        <w:t>,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w:t>
      </w:r>
      <w:hyperlink r:id="rId3" w:history="1">
        <w:r w:rsidRPr="00E5489D">
          <w:rPr>
            <w:rStyle w:val="Hipervnculo"/>
            <w:rFonts w:ascii="Arial" w:hAnsi="Arial" w:cs="Arial"/>
            <w:color w:val="000000" w:themeColor="text1"/>
            <w:sz w:val="19"/>
            <w:szCs w:val="19"/>
          </w:rPr>
          <w:t> Ley 1150 de 2007</w:t>
        </w:r>
      </w:hyperlink>
      <w:r w:rsidRPr="00E5489D">
        <w:rPr>
          <w:rFonts w:ascii="Arial" w:hAnsi="Arial" w:cs="Arial"/>
          <w:color w:val="000000" w:themeColor="text1"/>
          <w:sz w:val="19"/>
          <w:szCs w:val="19"/>
        </w:rPr>
        <w:t>.</w:t>
      </w:r>
    </w:p>
    <w:p w14:paraId="0BE22E5A" w14:textId="77777777" w:rsidR="007323DA" w:rsidRPr="00E5489D" w:rsidRDefault="007323DA" w:rsidP="007323D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E5489D">
        <w:rPr>
          <w:rFonts w:ascii="Arial" w:hAnsi="Arial" w:cs="Arial"/>
          <w:color w:val="000000" w:themeColor="text1"/>
          <w:sz w:val="19"/>
          <w:szCs w:val="19"/>
        </w:rPr>
        <w:t>»Los contratos con personas extranjeras de derecho público se deben celebrar y ejecutar según se acuerde entre las partes».</w:t>
      </w:r>
    </w:p>
  </w:footnote>
  <w:footnote w:id="32">
    <w:p w14:paraId="7F18F8F9" w14:textId="77777777" w:rsidR="007323DA" w:rsidRPr="00E5489D" w:rsidRDefault="007323DA" w:rsidP="007323D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E5489D">
        <w:rPr>
          <w:rStyle w:val="Refdenotaalpie"/>
          <w:rFonts w:ascii="Arial" w:hAnsi="Arial" w:cs="Arial"/>
          <w:sz w:val="19"/>
          <w:szCs w:val="19"/>
        </w:rPr>
        <w:footnoteRef/>
      </w:r>
      <w:r w:rsidRPr="00E5489D">
        <w:rPr>
          <w:rFonts w:ascii="Arial" w:hAnsi="Arial" w:cs="Arial"/>
          <w:sz w:val="19"/>
          <w:szCs w:val="19"/>
        </w:rPr>
        <w:t xml:space="preserve"> </w:t>
      </w:r>
      <w:r w:rsidRPr="00E5489D">
        <w:rPr>
          <w:rFonts w:ascii="Arial" w:hAnsi="Arial" w:cs="Arial"/>
          <w:color w:val="000000" w:themeColor="text1"/>
          <w:sz w:val="19"/>
          <w:szCs w:val="19"/>
        </w:rPr>
        <w:t xml:space="preserve">En otros apartes del Concepto CU-180 del 8 de abril de 2022 se sintetizó la postura de unificación en los siguientes términos: «En este orden de ideas, esta Subdirección unifica su criterio en torno a la aplicación de la prohibición del artículo 33 de la Ley de Garantías Electorales, en el sentido de que, cuando una entidad pública con fundamento en el artículo 20 de la Ley 1150 de 2007 acuerde la aplicación del reglamento del organismo internacional, de la persona pública extranjera o del organismo de asistencia, ayuda o cooperación internacional, se deberá precisar en el respectivo contrato o convenio el alcance de tal variación de régimen y si ello implica acoger la totalidad de las normas del reglamento extranjero o si, por el contrario, solo se aplicarán ciertos aspectos en él regulados. </w:t>
      </w:r>
    </w:p>
    <w:p w14:paraId="7C147731" w14:textId="77777777" w:rsidR="007323DA" w:rsidRPr="00E5489D" w:rsidRDefault="007323DA" w:rsidP="007323DA">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E5489D">
        <w:rPr>
          <w:rFonts w:ascii="Arial" w:hAnsi="Arial" w:cs="Arial"/>
          <w:color w:val="000000" w:themeColor="text1"/>
          <w:sz w:val="19"/>
          <w:szCs w:val="19"/>
        </w:rPr>
        <w:t>»En uno y otro caso, si el reglamento del organismo o sujeto internacional que las partes han convenido en aplicar regula todo lo relacionado con el procedimiento de selección de contratistas y las oportunidades para que sea realizado, la prohibición para contratar directamente establecida en el artículo 33 de la Ley de Garantías Electorales no será derecho aplicable al convenio o contrato y sus derivados. Por el contrario, si el convenio en el que se varíe el régimen normativo toca aspectos o etapas distintas al procedimiento para la selección del contratista, la prohibición del artículo 33 de la Ley de Garantías Electorales sí será derecho aplicable a la actividad contractual».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4E75A9CD" w:rsidR="000A47AF" w:rsidRDefault="000A47AF">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14477A" w14:textId="77777777" w:rsidR="00183D77" w:rsidRDefault="00183D77"/>
  <w:p w14:paraId="592B4C14" w14:textId="77777777" w:rsidR="00183D77" w:rsidRDefault="00183D77"/>
  <w:p w14:paraId="39BFA986" w14:textId="77777777" w:rsidR="00183D77" w:rsidRDefault="00183D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433F0"/>
    <w:multiLevelType w:val="hybridMultilevel"/>
    <w:tmpl w:val="304A0488"/>
    <w:lvl w:ilvl="0" w:tplc="601C9E02">
      <w:start w:val="1"/>
      <w:numFmt w:val="decimal"/>
      <w:lvlText w:val="%1."/>
      <w:lvlJc w:val="left"/>
      <w:pPr>
        <w:ind w:left="720" w:hanging="360"/>
      </w:pPr>
      <w:rPr>
        <w:rFonts w:ascii="Arial" w:hAnsi="Arial" w:cs="Arial" w:hint="default"/>
        <w:color w:val="000000"/>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65A012B"/>
    <w:multiLevelType w:val="hybridMultilevel"/>
    <w:tmpl w:val="AC6E8220"/>
    <w:lvl w:ilvl="0" w:tplc="AB882AE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E885B92"/>
    <w:multiLevelType w:val="hybridMultilevel"/>
    <w:tmpl w:val="E1B6B956"/>
    <w:lvl w:ilvl="0" w:tplc="8A2887F2">
      <w:start w:val="1"/>
      <w:numFmt w:val="decimal"/>
      <w:lvlText w:val="%1."/>
      <w:lvlJc w:val="left"/>
      <w:pPr>
        <w:ind w:left="720" w:hanging="360"/>
      </w:pPr>
      <w:rPr>
        <w:rFonts w:eastAsiaTheme="minorHAns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BD4B4B"/>
    <w:multiLevelType w:val="hybridMultilevel"/>
    <w:tmpl w:val="54D6FA92"/>
    <w:lvl w:ilvl="0" w:tplc="F0C8C954">
      <w:start w:val="1"/>
      <w:numFmt w:val="decimal"/>
      <w:lvlText w:val="%1."/>
      <w:lvlJc w:val="left"/>
      <w:pPr>
        <w:ind w:left="720" w:hanging="360"/>
      </w:pPr>
      <w:rPr>
        <w:rFonts w:ascii="Verdana" w:hAnsi="Verdana"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6"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2AD0CF0"/>
    <w:multiLevelType w:val="hybridMultilevel"/>
    <w:tmpl w:val="304A0488"/>
    <w:lvl w:ilvl="0" w:tplc="FFFFFFFF">
      <w:start w:val="1"/>
      <w:numFmt w:val="decimal"/>
      <w:lvlText w:val="%1."/>
      <w:lvlJc w:val="left"/>
      <w:pPr>
        <w:ind w:left="720" w:hanging="360"/>
      </w:pPr>
      <w:rPr>
        <w:rFonts w:ascii="Arial" w:hAnsi="Arial" w:cs="Arial" w:hint="default"/>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9" w15:restartNumberingAfterBreak="0">
    <w:nsid w:val="72B130D3"/>
    <w:multiLevelType w:val="hybridMultilevel"/>
    <w:tmpl w:val="304A0488"/>
    <w:lvl w:ilvl="0" w:tplc="FFFFFFFF">
      <w:start w:val="1"/>
      <w:numFmt w:val="decimal"/>
      <w:lvlText w:val="%1."/>
      <w:lvlJc w:val="left"/>
      <w:pPr>
        <w:ind w:left="720" w:hanging="360"/>
      </w:pPr>
      <w:rPr>
        <w:rFonts w:ascii="Arial" w:hAnsi="Arial" w:cs="Arial" w:hint="default"/>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1"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445270627">
    <w:abstractNumId w:val="13"/>
  </w:num>
  <w:num w:numId="2" w16cid:durableId="1695038877">
    <w:abstractNumId w:val="11"/>
  </w:num>
  <w:num w:numId="3" w16cid:durableId="1531214341">
    <w:abstractNumId w:val="17"/>
  </w:num>
  <w:num w:numId="4" w16cid:durableId="790442644">
    <w:abstractNumId w:val="22"/>
  </w:num>
  <w:num w:numId="5" w16cid:durableId="1260678501">
    <w:abstractNumId w:val="27"/>
  </w:num>
  <w:num w:numId="6" w16cid:durableId="1087191063">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9798656">
    <w:abstractNumId w:val="24"/>
  </w:num>
  <w:num w:numId="8" w16cid:durableId="272128414">
    <w:abstractNumId w:val="1"/>
  </w:num>
  <w:num w:numId="9" w16cid:durableId="1707638553">
    <w:abstractNumId w:val="4"/>
  </w:num>
  <w:num w:numId="10" w16cid:durableId="14714355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02137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5092196">
    <w:abstractNumId w:val="12"/>
  </w:num>
  <w:num w:numId="13" w16cid:durableId="223105452">
    <w:abstractNumId w:val="16"/>
  </w:num>
  <w:num w:numId="14" w16cid:durableId="253517298">
    <w:abstractNumId w:val="9"/>
  </w:num>
  <w:num w:numId="15" w16cid:durableId="1433623751">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4953109">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56399991">
    <w:abstractNumId w:val="30"/>
  </w:num>
  <w:num w:numId="18" w16cid:durableId="1518960134">
    <w:abstractNumId w:val="18"/>
  </w:num>
  <w:num w:numId="19" w16cid:durableId="604654584">
    <w:abstractNumId w:val="3"/>
  </w:num>
  <w:num w:numId="20" w16cid:durableId="1667126314">
    <w:abstractNumId w:val="31"/>
  </w:num>
  <w:num w:numId="21" w16cid:durableId="1674062011">
    <w:abstractNumId w:val="19"/>
  </w:num>
  <w:num w:numId="22" w16cid:durableId="1888832006">
    <w:abstractNumId w:val="7"/>
  </w:num>
  <w:num w:numId="23" w16cid:durableId="940600456">
    <w:abstractNumId w:val="5"/>
  </w:num>
  <w:num w:numId="24" w16cid:durableId="424884948">
    <w:abstractNumId w:val="28"/>
  </w:num>
  <w:num w:numId="25" w16cid:durableId="907688112">
    <w:abstractNumId w:val="23"/>
  </w:num>
  <w:num w:numId="26" w16cid:durableId="57552710">
    <w:abstractNumId w:val="26"/>
  </w:num>
  <w:num w:numId="27" w16cid:durableId="221599526">
    <w:abstractNumId w:val="6"/>
  </w:num>
  <w:num w:numId="28" w16cid:durableId="1320311027">
    <w:abstractNumId w:val="20"/>
  </w:num>
  <w:num w:numId="29" w16cid:durableId="10199649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6700054">
    <w:abstractNumId w:val="0"/>
  </w:num>
  <w:num w:numId="31" w16cid:durableId="87971969">
    <w:abstractNumId w:val="21"/>
  </w:num>
  <w:num w:numId="32" w16cid:durableId="1019552411">
    <w:abstractNumId w:val="29"/>
  </w:num>
  <w:num w:numId="33" w16cid:durableId="1384793599">
    <w:abstractNumId w:val="14"/>
  </w:num>
  <w:num w:numId="34" w16cid:durableId="175654908">
    <w:abstractNumId w:val="8"/>
  </w:num>
  <w:num w:numId="35" w16cid:durableId="19218690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317"/>
    <w:rsid w:val="00002D94"/>
    <w:rsid w:val="000046CC"/>
    <w:rsid w:val="00004EC6"/>
    <w:rsid w:val="000055D9"/>
    <w:rsid w:val="000059D3"/>
    <w:rsid w:val="000064A0"/>
    <w:rsid w:val="0001035E"/>
    <w:rsid w:val="00016CFF"/>
    <w:rsid w:val="00022E15"/>
    <w:rsid w:val="000266D4"/>
    <w:rsid w:val="000279B3"/>
    <w:rsid w:val="000300AA"/>
    <w:rsid w:val="00032912"/>
    <w:rsid w:val="00037573"/>
    <w:rsid w:val="00040DEA"/>
    <w:rsid w:val="00041124"/>
    <w:rsid w:val="000445FF"/>
    <w:rsid w:val="00045246"/>
    <w:rsid w:val="000472FF"/>
    <w:rsid w:val="0004752B"/>
    <w:rsid w:val="000529A0"/>
    <w:rsid w:val="00053EE1"/>
    <w:rsid w:val="0005551F"/>
    <w:rsid w:val="00055A31"/>
    <w:rsid w:val="0005657D"/>
    <w:rsid w:val="000565DF"/>
    <w:rsid w:val="00056BD1"/>
    <w:rsid w:val="00063887"/>
    <w:rsid w:val="0006537A"/>
    <w:rsid w:val="00071907"/>
    <w:rsid w:val="000721E4"/>
    <w:rsid w:val="000744B4"/>
    <w:rsid w:val="000747C8"/>
    <w:rsid w:val="00076A78"/>
    <w:rsid w:val="00080ACD"/>
    <w:rsid w:val="00082FC1"/>
    <w:rsid w:val="00084B97"/>
    <w:rsid w:val="0008539A"/>
    <w:rsid w:val="000938AD"/>
    <w:rsid w:val="000942EB"/>
    <w:rsid w:val="00094B98"/>
    <w:rsid w:val="0009676A"/>
    <w:rsid w:val="000A0158"/>
    <w:rsid w:val="000A2092"/>
    <w:rsid w:val="000A296C"/>
    <w:rsid w:val="000A3A9D"/>
    <w:rsid w:val="000A3B5A"/>
    <w:rsid w:val="000A3C64"/>
    <w:rsid w:val="000A47AF"/>
    <w:rsid w:val="000A4B58"/>
    <w:rsid w:val="000A617B"/>
    <w:rsid w:val="000A7C27"/>
    <w:rsid w:val="000B0FAB"/>
    <w:rsid w:val="000B103F"/>
    <w:rsid w:val="000B419B"/>
    <w:rsid w:val="000B7A43"/>
    <w:rsid w:val="000C122C"/>
    <w:rsid w:val="000C2392"/>
    <w:rsid w:val="000C639D"/>
    <w:rsid w:val="000C75EC"/>
    <w:rsid w:val="000C7EDB"/>
    <w:rsid w:val="000D0ED2"/>
    <w:rsid w:val="000D10ED"/>
    <w:rsid w:val="000D1DDD"/>
    <w:rsid w:val="000D1EBE"/>
    <w:rsid w:val="000D2339"/>
    <w:rsid w:val="000D2424"/>
    <w:rsid w:val="000D3FCF"/>
    <w:rsid w:val="000D68EA"/>
    <w:rsid w:val="000D7D13"/>
    <w:rsid w:val="000E004B"/>
    <w:rsid w:val="000E11AD"/>
    <w:rsid w:val="000E2BB6"/>
    <w:rsid w:val="000E3509"/>
    <w:rsid w:val="000E5DAF"/>
    <w:rsid w:val="000F14E8"/>
    <w:rsid w:val="000F576E"/>
    <w:rsid w:val="000F5896"/>
    <w:rsid w:val="001019AF"/>
    <w:rsid w:val="00103915"/>
    <w:rsid w:val="001051E5"/>
    <w:rsid w:val="001055C4"/>
    <w:rsid w:val="00106AB7"/>
    <w:rsid w:val="00106E99"/>
    <w:rsid w:val="00107323"/>
    <w:rsid w:val="00112405"/>
    <w:rsid w:val="001124A9"/>
    <w:rsid w:val="00113705"/>
    <w:rsid w:val="00122B23"/>
    <w:rsid w:val="00125BED"/>
    <w:rsid w:val="00125C59"/>
    <w:rsid w:val="00125C66"/>
    <w:rsid w:val="00127AF2"/>
    <w:rsid w:val="00130016"/>
    <w:rsid w:val="001344EB"/>
    <w:rsid w:val="001350C4"/>
    <w:rsid w:val="00135A5C"/>
    <w:rsid w:val="00136BF7"/>
    <w:rsid w:val="00137E3E"/>
    <w:rsid w:val="00137FFA"/>
    <w:rsid w:val="001402C5"/>
    <w:rsid w:val="00141245"/>
    <w:rsid w:val="001418A4"/>
    <w:rsid w:val="001434A4"/>
    <w:rsid w:val="001458D4"/>
    <w:rsid w:val="00145CF3"/>
    <w:rsid w:val="00146B80"/>
    <w:rsid w:val="00146DE2"/>
    <w:rsid w:val="00150200"/>
    <w:rsid w:val="00150F04"/>
    <w:rsid w:val="00151978"/>
    <w:rsid w:val="001559B1"/>
    <w:rsid w:val="00160401"/>
    <w:rsid w:val="00161B15"/>
    <w:rsid w:val="00161B32"/>
    <w:rsid w:val="0016200B"/>
    <w:rsid w:val="00163A34"/>
    <w:rsid w:val="001640DB"/>
    <w:rsid w:val="00165D90"/>
    <w:rsid w:val="00167950"/>
    <w:rsid w:val="00170A22"/>
    <w:rsid w:val="001753F7"/>
    <w:rsid w:val="00177B94"/>
    <w:rsid w:val="00180477"/>
    <w:rsid w:val="001811A6"/>
    <w:rsid w:val="00182E2B"/>
    <w:rsid w:val="00182F57"/>
    <w:rsid w:val="00183D77"/>
    <w:rsid w:val="0018492C"/>
    <w:rsid w:val="00185773"/>
    <w:rsid w:val="00187333"/>
    <w:rsid w:val="00195789"/>
    <w:rsid w:val="00196CBA"/>
    <w:rsid w:val="0019733B"/>
    <w:rsid w:val="001A0E2A"/>
    <w:rsid w:val="001A0F0E"/>
    <w:rsid w:val="001A2ADE"/>
    <w:rsid w:val="001A2DD2"/>
    <w:rsid w:val="001A3EC0"/>
    <w:rsid w:val="001A7765"/>
    <w:rsid w:val="001B0444"/>
    <w:rsid w:val="001B07AA"/>
    <w:rsid w:val="001B2456"/>
    <w:rsid w:val="001B2A1D"/>
    <w:rsid w:val="001B3D7D"/>
    <w:rsid w:val="001B42B4"/>
    <w:rsid w:val="001B47ED"/>
    <w:rsid w:val="001B76A8"/>
    <w:rsid w:val="001C26F2"/>
    <w:rsid w:val="001C2D80"/>
    <w:rsid w:val="001C31F8"/>
    <w:rsid w:val="001C3E5C"/>
    <w:rsid w:val="001C435C"/>
    <w:rsid w:val="001C6D2E"/>
    <w:rsid w:val="001D6E9F"/>
    <w:rsid w:val="001E2FB8"/>
    <w:rsid w:val="001F0E9B"/>
    <w:rsid w:val="001F115F"/>
    <w:rsid w:val="001F2356"/>
    <w:rsid w:val="001F2F72"/>
    <w:rsid w:val="001F4546"/>
    <w:rsid w:val="001F7547"/>
    <w:rsid w:val="00202A9C"/>
    <w:rsid w:val="0020632A"/>
    <w:rsid w:val="00206EB0"/>
    <w:rsid w:val="0021094E"/>
    <w:rsid w:val="002110EB"/>
    <w:rsid w:val="00211338"/>
    <w:rsid w:val="00211388"/>
    <w:rsid w:val="0021234D"/>
    <w:rsid w:val="00212DA2"/>
    <w:rsid w:val="00213052"/>
    <w:rsid w:val="00213A1F"/>
    <w:rsid w:val="002143A8"/>
    <w:rsid w:val="0021491F"/>
    <w:rsid w:val="002157D0"/>
    <w:rsid w:val="00216BE6"/>
    <w:rsid w:val="00222383"/>
    <w:rsid w:val="002304E7"/>
    <w:rsid w:val="00232F46"/>
    <w:rsid w:val="00233A94"/>
    <w:rsid w:val="00234B84"/>
    <w:rsid w:val="0024107C"/>
    <w:rsid w:val="0024506E"/>
    <w:rsid w:val="00245778"/>
    <w:rsid w:val="00247712"/>
    <w:rsid w:val="002545BD"/>
    <w:rsid w:val="00254960"/>
    <w:rsid w:val="0025797C"/>
    <w:rsid w:val="00261CA9"/>
    <w:rsid w:val="002634F5"/>
    <w:rsid w:val="00263ECC"/>
    <w:rsid w:val="00270886"/>
    <w:rsid w:val="00270F5A"/>
    <w:rsid w:val="002714DA"/>
    <w:rsid w:val="002739C3"/>
    <w:rsid w:val="002747D6"/>
    <w:rsid w:val="00274B85"/>
    <w:rsid w:val="002765EE"/>
    <w:rsid w:val="002801FE"/>
    <w:rsid w:val="0028243F"/>
    <w:rsid w:val="00283FB7"/>
    <w:rsid w:val="0028449C"/>
    <w:rsid w:val="00286A04"/>
    <w:rsid w:val="002928F0"/>
    <w:rsid w:val="00294800"/>
    <w:rsid w:val="00294F8D"/>
    <w:rsid w:val="00295A3E"/>
    <w:rsid w:val="00297CE1"/>
    <w:rsid w:val="002A19F5"/>
    <w:rsid w:val="002A6476"/>
    <w:rsid w:val="002A712A"/>
    <w:rsid w:val="002B21FB"/>
    <w:rsid w:val="002B25ED"/>
    <w:rsid w:val="002B5281"/>
    <w:rsid w:val="002B6146"/>
    <w:rsid w:val="002C3D17"/>
    <w:rsid w:val="002C496D"/>
    <w:rsid w:val="002C4AFE"/>
    <w:rsid w:val="002C4C0C"/>
    <w:rsid w:val="002C62F3"/>
    <w:rsid w:val="002C69DB"/>
    <w:rsid w:val="002C7125"/>
    <w:rsid w:val="002D66CE"/>
    <w:rsid w:val="002D708C"/>
    <w:rsid w:val="002D7E0C"/>
    <w:rsid w:val="002E214A"/>
    <w:rsid w:val="002E2392"/>
    <w:rsid w:val="002E55ED"/>
    <w:rsid w:val="002F49AB"/>
    <w:rsid w:val="00302C23"/>
    <w:rsid w:val="003033BA"/>
    <w:rsid w:val="00304741"/>
    <w:rsid w:val="00304B88"/>
    <w:rsid w:val="00305BDF"/>
    <w:rsid w:val="00310967"/>
    <w:rsid w:val="00311B20"/>
    <w:rsid w:val="00312F9D"/>
    <w:rsid w:val="0031426E"/>
    <w:rsid w:val="00321169"/>
    <w:rsid w:val="00322937"/>
    <w:rsid w:val="003264C6"/>
    <w:rsid w:val="00326FF2"/>
    <w:rsid w:val="00327372"/>
    <w:rsid w:val="00327A5C"/>
    <w:rsid w:val="0033092C"/>
    <w:rsid w:val="00331B20"/>
    <w:rsid w:val="00331FBE"/>
    <w:rsid w:val="00332769"/>
    <w:rsid w:val="00332A9D"/>
    <w:rsid w:val="00333786"/>
    <w:rsid w:val="00333B5D"/>
    <w:rsid w:val="00334D06"/>
    <w:rsid w:val="00336729"/>
    <w:rsid w:val="003370E7"/>
    <w:rsid w:val="0034177C"/>
    <w:rsid w:val="0034322C"/>
    <w:rsid w:val="003432C8"/>
    <w:rsid w:val="003467EA"/>
    <w:rsid w:val="0034680A"/>
    <w:rsid w:val="00352AB9"/>
    <w:rsid w:val="00352F08"/>
    <w:rsid w:val="00353678"/>
    <w:rsid w:val="00353DD5"/>
    <w:rsid w:val="00355189"/>
    <w:rsid w:val="00356E40"/>
    <w:rsid w:val="00361021"/>
    <w:rsid w:val="00363B8C"/>
    <w:rsid w:val="003640A6"/>
    <w:rsid w:val="003713CB"/>
    <w:rsid w:val="00371889"/>
    <w:rsid w:val="00371FC5"/>
    <w:rsid w:val="00376ADC"/>
    <w:rsid w:val="003775C1"/>
    <w:rsid w:val="003779D5"/>
    <w:rsid w:val="00382349"/>
    <w:rsid w:val="003856A6"/>
    <w:rsid w:val="00386456"/>
    <w:rsid w:val="00387D23"/>
    <w:rsid w:val="003949F2"/>
    <w:rsid w:val="003953D2"/>
    <w:rsid w:val="00396DE4"/>
    <w:rsid w:val="00397FF0"/>
    <w:rsid w:val="003A0878"/>
    <w:rsid w:val="003A137E"/>
    <w:rsid w:val="003A2039"/>
    <w:rsid w:val="003A2109"/>
    <w:rsid w:val="003A5718"/>
    <w:rsid w:val="003A581E"/>
    <w:rsid w:val="003B09C2"/>
    <w:rsid w:val="003B2B10"/>
    <w:rsid w:val="003B3E7C"/>
    <w:rsid w:val="003B4C4C"/>
    <w:rsid w:val="003B6C79"/>
    <w:rsid w:val="003C1AF4"/>
    <w:rsid w:val="003C27D7"/>
    <w:rsid w:val="003C465F"/>
    <w:rsid w:val="003D7368"/>
    <w:rsid w:val="003E2DDF"/>
    <w:rsid w:val="003E3D71"/>
    <w:rsid w:val="003F14DE"/>
    <w:rsid w:val="003F1DE4"/>
    <w:rsid w:val="003F2BBA"/>
    <w:rsid w:val="003F78F9"/>
    <w:rsid w:val="003F79C4"/>
    <w:rsid w:val="00400E2E"/>
    <w:rsid w:val="004021D6"/>
    <w:rsid w:val="00405E73"/>
    <w:rsid w:val="004068B0"/>
    <w:rsid w:val="00407E41"/>
    <w:rsid w:val="00413FFA"/>
    <w:rsid w:val="00415084"/>
    <w:rsid w:val="004178A0"/>
    <w:rsid w:val="00423F9F"/>
    <w:rsid w:val="00427D43"/>
    <w:rsid w:val="00431CAB"/>
    <w:rsid w:val="00432813"/>
    <w:rsid w:val="00434787"/>
    <w:rsid w:val="00435489"/>
    <w:rsid w:val="0043561A"/>
    <w:rsid w:val="004422D6"/>
    <w:rsid w:val="00442F3F"/>
    <w:rsid w:val="00447D96"/>
    <w:rsid w:val="0045255A"/>
    <w:rsid w:val="00452576"/>
    <w:rsid w:val="0045271D"/>
    <w:rsid w:val="00452803"/>
    <w:rsid w:val="00452ED2"/>
    <w:rsid w:val="00454217"/>
    <w:rsid w:val="00455354"/>
    <w:rsid w:val="00455D76"/>
    <w:rsid w:val="0045661E"/>
    <w:rsid w:val="00456E03"/>
    <w:rsid w:val="00461B68"/>
    <w:rsid w:val="00461B96"/>
    <w:rsid w:val="00464030"/>
    <w:rsid w:val="00466520"/>
    <w:rsid w:val="0046677A"/>
    <w:rsid w:val="00470F8A"/>
    <w:rsid w:val="00474C5E"/>
    <w:rsid w:val="00475A1B"/>
    <w:rsid w:val="004808DE"/>
    <w:rsid w:val="004861B4"/>
    <w:rsid w:val="00486600"/>
    <w:rsid w:val="00490C1C"/>
    <w:rsid w:val="0049241A"/>
    <w:rsid w:val="00492B4A"/>
    <w:rsid w:val="00494A1C"/>
    <w:rsid w:val="004956A7"/>
    <w:rsid w:val="00495786"/>
    <w:rsid w:val="00497A1B"/>
    <w:rsid w:val="004A08D1"/>
    <w:rsid w:val="004A34D2"/>
    <w:rsid w:val="004A357A"/>
    <w:rsid w:val="004B0CD0"/>
    <w:rsid w:val="004B2369"/>
    <w:rsid w:val="004B602F"/>
    <w:rsid w:val="004C1243"/>
    <w:rsid w:val="004C19EE"/>
    <w:rsid w:val="004C1E98"/>
    <w:rsid w:val="004C22F7"/>
    <w:rsid w:val="004D245F"/>
    <w:rsid w:val="004E1615"/>
    <w:rsid w:val="004E5B1F"/>
    <w:rsid w:val="004E61D5"/>
    <w:rsid w:val="004F30A6"/>
    <w:rsid w:val="00505308"/>
    <w:rsid w:val="005053B0"/>
    <w:rsid w:val="0051074C"/>
    <w:rsid w:val="00511A0E"/>
    <w:rsid w:val="00511F8C"/>
    <w:rsid w:val="00512961"/>
    <w:rsid w:val="00512C4F"/>
    <w:rsid w:val="00513AF2"/>
    <w:rsid w:val="00514110"/>
    <w:rsid w:val="00514622"/>
    <w:rsid w:val="00515801"/>
    <w:rsid w:val="005200B7"/>
    <w:rsid w:val="00522C81"/>
    <w:rsid w:val="00523559"/>
    <w:rsid w:val="005245A5"/>
    <w:rsid w:val="00525706"/>
    <w:rsid w:val="005262CF"/>
    <w:rsid w:val="00530F05"/>
    <w:rsid w:val="00530FEA"/>
    <w:rsid w:val="005312DB"/>
    <w:rsid w:val="00532762"/>
    <w:rsid w:val="00534245"/>
    <w:rsid w:val="005404CB"/>
    <w:rsid w:val="0054311A"/>
    <w:rsid w:val="0054408C"/>
    <w:rsid w:val="0054413A"/>
    <w:rsid w:val="005449E9"/>
    <w:rsid w:val="0054771C"/>
    <w:rsid w:val="00551E7C"/>
    <w:rsid w:val="005527B3"/>
    <w:rsid w:val="00552E97"/>
    <w:rsid w:val="0055305B"/>
    <w:rsid w:val="005564CA"/>
    <w:rsid w:val="005612E5"/>
    <w:rsid w:val="0056182B"/>
    <w:rsid w:val="00562315"/>
    <w:rsid w:val="00562A57"/>
    <w:rsid w:val="005634FD"/>
    <w:rsid w:val="005715A2"/>
    <w:rsid w:val="00573BE5"/>
    <w:rsid w:val="005756AA"/>
    <w:rsid w:val="005813DE"/>
    <w:rsid w:val="0058223E"/>
    <w:rsid w:val="00582B0B"/>
    <w:rsid w:val="005868D7"/>
    <w:rsid w:val="00586DD4"/>
    <w:rsid w:val="0059030D"/>
    <w:rsid w:val="005915DB"/>
    <w:rsid w:val="00594FFF"/>
    <w:rsid w:val="005A00D7"/>
    <w:rsid w:val="005A145F"/>
    <w:rsid w:val="005A1976"/>
    <w:rsid w:val="005A35EF"/>
    <w:rsid w:val="005A3F3E"/>
    <w:rsid w:val="005A54FD"/>
    <w:rsid w:val="005A579F"/>
    <w:rsid w:val="005A58CE"/>
    <w:rsid w:val="005A5A3D"/>
    <w:rsid w:val="005B10F8"/>
    <w:rsid w:val="005B1C54"/>
    <w:rsid w:val="005B2B61"/>
    <w:rsid w:val="005B3CF3"/>
    <w:rsid w:val="005B4004"/>
    <w:rsid w:val="005C0652"/>
    <w:rsid w:val="005C117E"/>
    <w:rsid w:val="005C3047"/>
    <w:rsid w:val="005C5C52"/>
    <w:rsid w:val="005C5D24"/>
    <w:rsid w:val="005C7F06"/>
    <w:rsid w:val="005D153B"/>
    <w:rsid w:val="005D1A48"/>
    <w:rsid w:val="005D1FAE"/>
    <w:rsid w:val="005D2C3E"/>
    <w:rsid w:val="005D51FA"/>
    <w:rsid w:val="005D7861"/>
    <w:rsid w:val="005D791B"/>
    <w:rsid w:val="005E1574"/>
    <w:rsid w:val="005E164A"/>
    <w:rsid w:val="005E1D71"/>
    <w:rsid w:val="005E4B48"/>
    <w:rsid w:val="005E5A60"/>
    <w:rsid w:val="005E66BE"/>
    <w:rsid w:val="005E6E4C"/>
    <w:rsid w:val="005F2C11"/>
    <w:rsid w:val="005F3969"/>
    <w:rsid w:val="005F46FD"/>
    <w:rsid w:val="005F5153"/>
    <w:rsid w:val="005F5F8F"/>
    <w:rsid w:val="005F688C"/>
    <w:rsid w:val="006003F5"/>
    <w:rsid w:val="0060057C"/>
    <w:rsid w:val="006030A3"/>
    <w:rsid w:val="0060361A"/>
    <w:rsid w:val="006043FE"/>
    <w:rsid w:val="00604CF2"/>
    <w:rsid w:val="0060534E"/>
    <w:rsid w:val="006065A2"/>
    <w:rsid w:val="00610326"/>
    <w:rsid w:val="00614817"/>
    <w:rsid w:val="00615029"/>
    <w:rsid w:val="00615D36"/>
    <w:rsid w:val="006167DA"/>
    <w:rsid w:val="00620B93"/>
    <w:rsid w:val="00620DB3"/>
    <w:rsid w:val="00621056"/>
    <w:rsid w:val="00622313"/>
    <w:rsid w:val="00623AC2"/>
    <w:rsid w:val="0062633A"/>
    <w:rsid w:val="00633DBF"/>
    <w:rsid w:val="00637451"/>
    <w:rsid w:val="00640C1D"/>
    <w:rsid w:val="00651506"/>
    <w:rsid w:val="006516B8"/>
    <w:rsid w:val="00653896"/>
    <w:rsid w:val="00655371"/>
    <w:rsid w:val="006559D1"/>
    <w:rsid w:val="00662BB0"/>
    <w:rsid w:val="0066455D"/>
    <w:rsid w:val="0066493E"/>
    <w:rsid w:val="00666B29"/>
    <w:rsid w:val="006673AF"/>
    <w:rsid w:val="00670210"/>
    <w:rsid w:val="00670B20"/>
    <w:rsid w:val="00671CAA"/>
    <w:rsid w:val="006726AA"/>
    <w:rsid w:val="006731B0"/>
    <w:rsid w:val="0067359B"/>
    <w:rsid w:val="006738BC"/>
    <w:rsid w:val="00675F64"/>
    <w:rsid w:val="00676127"/>
    <w:rsid w:val="00676428"/>
    <w:rsid w:val="00681DB8"/>
    <w:rsid w:val="00684444"/>
    <w:rsid w:val="00685FA7"/>
    <w:rsid w:val="00687259"/>
    <w:rsid w:val="006903E9"/>
    <w:rsid w:val="006908DB"/>
    <w:rsid w:val="00691104"/>
    <w:rsid w:val="00692C8D"/>
    <w:rsid w:val="00694A15"/>
    <w:rsid w:val="00695F93"/>
    <w:rsid w:val="0069634F"/>
    <w:rsid w:val="00697665"/>
    <w:rsid w:val="00697CA8"/>
    <w:rsid w:val="006A3B6B"/>
    <w:rsid w:val="006A7CB5"/>
    <w:rsid w:val="006A7FD0"/>
    <w:rsid w:val="006B1B56"/>
    <w:rsid w:val="006B22D4"/>
    <w:rsid w:val="006B43F6"/>
    <w:rsid w:val="006B46C8"/>
    <w:rsid w:val="006B4EF4"/>
    <w:rsid w:val="006B6746"/>
    <w:rsid w:val="006C0A3F"/>
    <w:rsid w:val="006C405D"/>
    <w:rsid w:val="006C4782"/>
    <w:rsid w:val="006D7687"/>
    <w:rsid w:val="006E0572"/>
    <w:rsid w:val="006E552C"/>
    <w:rsid w:val="006F021B"/>
    <w:rsid w:val="006F1275"/>
    <w:rsid w:val="006F1872"/>
    <w:rsid w:val="00700883"/>
    <w:rsid w:val="00701CE7"/>
    <w:rsid w:val="00702537"/>
    <w:rsid w:val="00703CFA"/>
    <w:rsid w:val="00705631"/>
    <w:rsid w:val="007057EC"/>
    <w:rsid w:val="0070660C"/>
    <w:rsid w:val="00715C29"/>
    <w:rsid w:val="00715EAA"/>
    <w:rsid w:val="00717496"/>
    <w:rsid w:val="007201D3"/>
    <w:rsid w:val="00721257"/>
    <w:rsid w:val="00722CE7"/>
    <w:rsid w:val="00723116"/>
    <w:rsid w:val="00723D9F"/>
    <w:rsid w:val="0072427F"/>
    <w:rsid w:val="00725AFD"/>
    <w:rsid w:val="00726A65"/>
    <w:rsid w:val="00726E6A"/>
    <w:rsid w:val="007279B4"/>
    <w:rsid w:val="00727F71"/>
    <w:rsid w:val="007323DA"/>
    <w:rsid w:val="00732F7D"/>
    <w:rsid w:val="00733B90"/>
    <w:rsid w:val="0073425D"/>
    <w:rsid w:val="00734BFF"/>
    <w:rsid w:val="00736278"/>
    <w:rsid w:val="00740243"/>
    <w:rsid w:val="00742DD2"/>
    <w:rsid w:val="00743635"/>
    <w:rsid w:val="00743BC8"/>
    <w:rsid w:val="007441A2"/>
    <w:rsid w:val="007444F8"/>
    <w:rsid w:val="00745035"/>
    <w:rsid w:val="00746A83"/>
    <w:rsid w:val="00746E08"/>
    <w:rsid w:val="00747259"/>
    <w:rsid w:val="00747C96"/>
    <w:rsid w:val="0075094E"/>
    <w:rsid w:val="007522E8"/>
    <w:rsid w:val="00755064"/>
    <w:rsid w:val="0075647A"/>
    <w:rsid w:val="007634AD"/>
    <w:rsid w:val="00770B33"/>
    <w:rsid w:val="00771442"/>
    <w:rsid w:val="007739E1"/>
    <w:rsid w:val="00773BC8"/>
    <w:rsid w:val="007750D6"/>
    <w:rsid w:val="007769DC"/>
    <w:rsid w:val="00776D19"/>
    <w:rsid w:val="00776DF7"/>
    <w:rsid w:val="00780199"/>
    <w:rsid w:val="00780F32"/>
    <w:rsid w:val="0078122E"/>
    <w:rsid w:val="00781CF5"/>
    <w:rsid w:val="00785E45"/>
    <w:rsid w:val="0078715B"/>
    <w:rsid w:val="007873A0"/>
    <w:rsid w:val="00790037"/>
    <w:rsid w:val="00790653"/>
    <w:rsid w:val="007909AE"/>
    <w:rsid w:val="0079299F"/>
    <w:rsid w:val="0079381F"/>
    <w:rsid w:val="00795647"/>
    <w:rsid w:val="007A2F81"/>
    <w:rsid w:val="007A4DC5"/>
    <w:rsid w:val="007A5354"/>
    <w:rsid w:val="007A5EB3"/>
    <w:rsid w:val="007B0854"/>
    <w:rsid w:val="007B0869"/>
    <w:rsid w:val="007B4DE6"/>
    <w:rsid w:val="007B6EC8"/>
    <w:rsid w:val="007C05BB"/>
    <w:rsid w:val="007C1BE1"/>
    <w:rsid w:val="007C2837"/>
    <w:rsid w:val="007C29FB"/>
    <w:rsid w:val="007C2EB2"/>
    <w:rsid w:val="007D66E2"/>
    <w:rsid w:val="007D7656"/>
    <w:rsid w:val="007E4AA9"/>
    <w:rsid w:val="007E4E80"/>
    <w:rsid w:val="007E527E"/>
    <w:rsid w:val="007F067B"/>
    <w:rsid w:val="007F22A0"/>
    <w:rsid w:val="007F4CF6"/>
    <w:rsid w:val="007F6023"/>
    <w:rsid w:val="007F6B46"/>
    <w:rsid w:val="007F72CB"/>
    <w:rsid w:val="007F785F"/>
    <w:rsid w:val="0080431C"/>
    <w:rsid w:val="00811C61"/>
    <w:rsid w:val="0081204F"/>
    <w:rsid w:val="0081444F"/>
    <w:rsid w:val="00814737"/>
    <w:rsid w:val="0081678E"/>
    <w:rsid w:val="00817396"/>
    <w:rsid w:val="0081766B"/>
    <w:rsid w:val="008217B7"/>
    <w:rsid w:val="00824088"/>
    <w:rsid w:val="00826122"/>
    <w:rsid w:val="0082700C"/>
    <w:rsid w:val="008277D3"/>
    <w:rsid w:val="0083119B"/>
    <w:rsid w:val="00831220"/>
    <w:rsid w:val="00832937"/>
    <w:rsid w:val="00836EAB"/>
    <w:rsid w:val="0083724E"/>
    <w:rsid w:val="00844AFA"/>
    <w:rsid w:val="0085092D"/>
    <w:rsid w:val="00850F79"/>
    <w:rsid w:val="00851DFA"/>
    <w:rsid w:val="00857630"/>
    <w:rsid w:val="00860716"/>
    <w:rsid w:val="0086183C"/>
    <w:rsid w:val="008618BB"/>
    <w:rsid w:val="00861FAA"/>
    <w:rsid w:val="00863624"/>
    <w:rsid w:val="00863ED2"/>
    <w:rsid w:val="0086755D"/>
    <w:rsid w:val="0087039D"/>
    <w:rsid w:val="008720B5"/>
    <w:rsid w:val="0087534A"/>
    <w:rsid w:val="00881451"/>
    <w:rsid w:val="00885A16"/>
    <w:rsid w:val="00886323"/>
    <w:rsid w:val="00887548"/>
    <w:rsid w:val="00892B04"/>
    <w:rsid w:val="0089774F"/>
    <w:rsid w:val="008978EB"/>
    <w:rsid w:val="008A1491"/>
    <w:rsid w:val="008A5007"/>
    <w:rsid w:val="008A796E"/>
    <w:rsid w:val="008B10A0"/>
    <w:rsid w:val="008B1306"/>
    <w:rsid w:val="008B193D"/>
    <w:rsid w:val="008B4559"/>
    <w:rsid w:val="008C033A"/>
    <w:rsid w:val="008C11F0"/>
    <w:rsid w:val="008C45BD"/>
    <w:rsid w:val="008C57A8"/>
    <w:rsid w:val="008D0142"/>
    <w:rsid w:val="008D185E"/>
    <w:rsid w:val="008D2E97"/>
    <w:rsid w:val="008D4A7B"/>
    <w:rsid w:val="008D5139"/>
    <w:rsid w:val="008D57F7"/>
    <w:rsid w:val="008D69B1"/>
    <w:rsid w:val="008D747C"/>
    <w:rsid w:val="008E1503"/>
    <w:rsid w:val="008E1C15"/>
    <w:rsid w:val="008E2465"/>
    <w:rsid w:val="008E6B43"/>
    <w:rsid w:val="008E7D6E"/>
    <w:rsid w:val="008F2004"/>
    <w:rsid w:val="008F47E2"/>
    <w:rsid w:val="008F4B5E"/>
    <w:rsid w:val="008F538E"/>
    <w:rsid w:val="00902E5C"/>
    <w:rsid w:val="00903857"/>
    <w:rsid w:val="009047C5"/>
    <w:rsid w:val="009106F5"/>
    <w:rsid w:val="00922047"/>
    <w:rsid w:val="009233DF"/>
    <w:rsid w:val="00926E92"/>
    <w:rsid w:val="0092758D"/>
    <w:rsid w:val="00932C29"/>
    <w:rsid w:val="009330B9"/>
    <w:rsid w:val="00933333"/>
    <w:rsid w:val="0093417D"/>
    <w:rsid w:val="00937401"/>
    <w:rsid w:val="00942296"/>
    <w:rsid w:val="009422A0"/>
    <w:rsid w:val="0094231D"/>
    <w:rsid w:val="00944CCC"/>
    <w:rsid w:val="00945163"/>
    <w:rsid w:val="00945EB8"/>
    <w:rsid w:val="00950C81"/>
    <w:rsid w:val="009528B3"/>
    <w:rsid w:val="0095385A"/>
    <w:rsid w:val="0095402D"/>
    <w:rsid w:val="0095780A"/>
    <w:rsid w:val="00966C46"/>
    <w:rsid w:val="00971412"/>
    <w:rsid w:val="009715D4"/>
    <w:rsid w:val="00972860"/>
    <w:rsid w:val="00973D7A"/>
    <w:rsid w:val="00974C92"/>
    <w:rsid w:val="00975D16"/>
    <w:rsid w:val="00977951"/>
    <w:rsid w:val="00982D34"/>
    <w:rsid w:val="009831DD"/>
    <w:rsid w:val="0098427D"/>
    <w:rsid w:val="00985B9C"/>
    <w:rsid w:val="009862C1"/>
    <w:rsid w:val="009865D5"/>
    <w:rsid w:val="009868CC"/>
    <w:rsid w:val="00991BE0"/>
    <w:rsid w:val="00992809"/>
    <w:rsid w:val="009953AD"/>
    <w:rsid w:val="009A6C94"/>
    <w:rsid w:val="009A7370"/>
    <w:rsid w:val="009A7808"/>
    <w:rsid w:val="009B0019"/>
    <w:rsid w:val="009B026A"/>
    <w:rsid w:val="009B56EC"/>
    <w:rsid w:val="009B7B3C"/>
    <w:rsid w:val="009C118E"/>
    <w:rsid w:val="009C1812"/>
    <w:rsid w:val="009C5CBA"/>
    <w:rsid w:val="009C7EC7"/>
    <w:rsid w:val="009D424B"/>
    <w:rsid w:val="009D429E"/>
    <w:rsid w:val="009D45A0"/>
    <w:rsid w:val="009D701E"/>
    <w:rsid w:val="009E02D8"/>
    <w:rsid w:val="009E0326"/>
    <w:rsid w:val="009E0AA0"/>
    <w:rsid w:val="009E0AA6"/>
    <w:rsid w:val="009E2481"/>
    <w:rsid w:val="009E2F55"/>
    <w:rsid w:val="009E3DB3"/>
    <w:rsid w:val="009E495B"/>
    <w:rsid w:val="009E535E"/>
    <w:rsid w:val="009E61EA"/>
    <w:rsid w:val="009E6BCF"/>
    <w:rsid w:val="009E719B"/>
    <w:rsid w:val="009E74F4"/>
    <w:rsid w:val="009E751B"/>
    <w:rsid w:val="009F14E8"/>
    <w:rsid w:val="009F59C2"/>
    <w:rsid w:val="009F7299"/>
    <w:rsid w:val="00A0188B"/>
    <w:rsid w:val="00A02186"/>
    <w:rsid w:val="00A021E2"/>
    <w:rsid w:val="00A0301B"/>
    <w:rsid w:val="00A041BC"/>
    <w:rsid w:val="00A06E51"/>
    <w:rsid w:val="00A070D3"/>
    <w:rsid w:val="00A127D2"/>
    <w:rsid w:val="00A13AAC"/>
    <w:rsid w:val="00A13B39"/>
    <w:rsid w:val="00A1403F"/>
    <w:rsid w:val="00A17358"/>
    <w:rsid w:val="00A20264"/>
    <w:rsid w:val="00A221AC"/>
    <w:rsid w:val="00A2270E"/>
    <w:rsid w:val="00A24287"/>
    <w:rsid w:val="00A24560"/>
    <w:rsid w:val="00A253C3"/>
    <w:rsid w:val="00A337FB"/>
    <w:rsid w:val="00A34538"/>
    <w:rsid w:val="00A37FB6"/>
    <w:rsid w:val="00A42844"/>
    <w:rsid w:val="00A431FE"/>
    <w:rsid w:val="00A45FAA"/>
    <w:rsid w:val="00A501CA"/>
    <w:rsid w:val="00A53281"/>
    <w:rsid w:val="00A53E79"/>
    <w:rsid w:val="00A6057E"/>
    <w:rsid w:val="00A62C77"/>
    <w:rsid w:val="00A64271"/>
    <w:rsid w:val="00A668BA"/>
    <w:rsid w:val="00A7002F"/>
    <w:rsid w:val="00A70D25"/>
    <w:rsid w:val="00A715F6"/>
    <w:rsid w:val="00A73709"/>
    <w:rsid w:val="00A8043B"/>
    <w:rsid w:val="00A82AF0"/>
    <w:rsid w:val="00A839EF"/>
    <w:rsid w:val="00A8430C"/>
    <w:rsid w:val="00A8512C"/>
    <w:rsid w:val="00A852EB"/>
    <w:rsid w:val="00A854AC"/>
    <w:rsid w:val="00A86EBD"/>
    <w:rsid w:val="00A91512"/>
    <w:rsid w:val="00A9477A"/>
    <w:rsid w:val="00A95153"/>
    <w:rsid w:val="00A952A6"/>
    <w:rsid w:val="00A965EA"/>
    <w:rsid w:val="00AA08E7"/>
    <w:rsid w:val="00AA16A5"/>
    <w:rsid w:val="00AA1C3E"/>
    <w:rsid w:val="00AA442B"/>
    <w:rsid w:val="00AA669D"/>
    <w:rsid w:val="00AA68E2"/>
    <w:rsid w:val="00AA73E0"/>
    <w:rsid w:val="00AA7416"/>
    <w:rsid w:val="00AA7812"/>
    <w:rsid w:val="00AB0018"/>
    <w:rsid w:val="00AB0520"/>
    <w:rsid w:val="00AB0E40"/>
    <w:rsid w:val="00AB2BA0"/>
    <w:rsid w:val="00AB6E2C"/>
    <w:rsid w:val="00AC0D43"/>
    <w:rsid w:val="00AC1E34"/>
    <w:rsid w:val="00AC24AF"/>
    <w:rsid w:val="00AC49DA"/>
    <w:rsid w:val="00AC75AB"/>
    <w:rsid w:val="00AC7739"/>
    <w:rsid w:val="00AD3E4D"/>
    <w:rsid w:val="00AE24CB"/>
    <w:rsid w:val="00AE491A"/>
    <w:rsid w:val="00AE4D29"/>
    <w:rsid w:val="00AE68C2"/>
    <w:rsid w:val="00AF26CF"/>
    <w:rsid w:val="00AF3F88"/>
    <w:rsid w:val="00AF45AA"/>
    <w:rsid w:val="00B01474"/>
    <w:rsid w:val="00B02849"/>
    <w:rsid w:val="00B04BA9"/>
    <w:rsid w:val="00B05A55"/>
    <w:rsid w:val="00B05FD8"/>
    <w:rsid w:val="00B06595"/>
    <w:rsid w:val="00B06D20"/>
    <w:rsid w:val="00B13EC0"/>
    <w:rsid w:val="00B142B9"/>
    <w:rsid w:val="00B1449F"/>
    <w:rsid w:val="00B15019"/>
    <w:rsid w:val="00B15CEA"/>
    <w:rsid w:val="00B214ED"/>
    <w:rsid w:val="00B22E22"/>
    <w:rsid w:val="00B251C2"/>
    <w:rsid w:val="00B304F8"/>
    <w:rsid w:val="00B30910"/>
    <w:rsid w:val="00B30D48"/>
    <w:rsid w:val="00B324EA"/>
    <w:rsid w:val="00B3296D"/>
    <w:rsid w:val="00B35763"/>
    <w:rsid w:val="00B3622A"/>
    <w:rsid w:val="00B40595"/>
    <w:rsid w:val="00B42225"/>
    <w:rsid w:val="00B4347D"/>
    <w:rsid w:val="00B43F68"/>
    <w:rsid w:val="00B45DF9"/>
    <w:rsid w:val="00B46978"/>
    <w:rsid w:val="00B525CB"/>
    <w:rsid w:val="00B530AE"/>
    <w:rsid w:val="00B57782"/>
    <w:rsid w:val="00B60230"/>
    <w:rsid w:val="00B60BAC"/>
    <w:rsid w:val="00B63872"/>
    <w:rsid w:val="00B63CB2"/>
    <w:rsid w:val="00B63E7F"/>
    <w:rsid w:val="00B64EDB"/>
    <w:rsid w:val="00B656B3"/>
    <w:rsid w:val="00B70328"/>
    <w:rsid w:val="00B709C8"/>
    <w:rsid w:val="00B7252A"/>
    <w:rsid w:val="00B7315F"/>
    <w:rsid w:val="00B74C52"/>
    <w:rsid w:val="00B7534F"/>
    <w:rsid w:val="00B83E21"/>
    <w:rsid w:val="00B90817"/>
    <w:rsid w:val="00B91B8E"/>
    <w:rsid w:val="00B9230A"/>
    <w:rsid w:val="00B93E59"/>
    <w:rsid w:val="00B94AEB"/>
    <w:rsid w:val="00B95436"/>
    <w:rsid w:val="00B97305"/>
    <w:rsid w:val="00BA1382"/>
    <w:rsid w:val="00BA22FC"/>
    <w:rsid w:val="00BA2F25"/>
    <w:rsid w:val="00BA37F9"/>
    <w:rsid w:val="00BA4771"/>
    <w:rsid w:val="00BB31D3"/>
    <w:rsid w:val="00BB5AF6"/>
    <w:rsid w:val="00BB6E5C"/>
    <w:rsid w:val="00BC007C"/>
    <w:rsid w:val="00BC57E0"/>
    <w:rsid w:val="00BC6501"/>
    <w:rsid w:val="00BD15F7"/>
    <w:rsid w:val="00BD1CEE"/>
    <w:rsid w:val="00BD2B3F"/>
    <w:rsid w:val="00BD447D"/>
    <w:rsid w:val="00BD62B6"/>
    <w:rsid w:val="00BD664D"/>
    <w:rsid w:val="00BD78FE"/>
    <w:rsid w:val="00BE2DB4"/>
    <w:rsid w:val="00BE3565"/>
    <w:rsid w:val="00BE4AF4"/>
    <w:rsid w:val="00BE4B35"/>
    <w:rsid w:val="00BF1C81"/>
    <w:rsid w:val="00BF23A3"/>
    <w:rsid w:val="00BF5980"/>
    <w:rsid w:val="00BF7712"/>
    <w:rsid w:val="00BF7C52"/>
    <w:rsid w:val="00C15A13"/>
    <w:rsid w:val="00C165FC"/>
    <w:rsid w:val="00C2118A"/>
    <w:rsid w:val="00C229DD"/>
    <w:rsid w:val="00C258BA"/>
    <w:rsid w:val="00C273CC"/>
    <w:rsid w:val="00C27707"/>
    <w:rsid w:val="00C30123"/>
    <w:rsid w:val="00C32017"/>
    <w:rsid w:val="00C3264A"/>
    <w:rsid w:val="00C419E3"/>
    <w:rsid w:val="00C41E6A"/>
    <w:rsid w:val="00C45E00"/>
    <w:rsid w:val="00C46EA9"/>
    <w:rsid w:val="00C47B95"/>
    <w:rsid w:val="00C50CA8"/>
    <w:rsid w:val="00C53AC7"/>
    <w:rsid w:val="00C57033"/>
    <w:rsid w:val="00C610FB"/>
    <w:rsid w:val="00C62ECC"/>
    <w:rsid w:val="00C630F3"/>
    <w:rsid w:val="00C63E99"/>
    <w:rsid w:val="00C6581D"/>
    <w:rsid w:val="00C732A4"/>
    <w:rsid w:val="00C74C9E"/>
    <w:rsid w:val="00C768FD"/>
    <w:rsid w:val="00C76E32"/>
    <w:rsid w:val="00C811FF"/>
    <w:rsid w:val="00C86516"/>
    <w:rsid w:val="00C87C91"/>
    <w:rsid w:val="00C90182"/>
    <w:rsid w:val="00C90AC4"/>
    <w:rsid w:val="00C913E3"/>
    <w:rsid w:val="00C91B89"/>
    <w:rsid w:val="00C91F75"/>
    <w:rsid w:val="00C934F1"/>
    <w:rsid w:val="00C93AB7"/>
    <w:rsid w:val="00C93D8C"/>
    <w:rsid w:val="00C97D94"/>
    <w:rsid w:val="00CA0EEF"/>
    <w:rsid w:val="00CA383B"/>
    <w:rsid w:val="00CA3A35"/>
    <w:rsid w:val="00CA48A4"/>
    <w:rsid w:val="00CB38DD"/>
    <w:rsid w:val="00CB43A0"/>
    <w:rsid w:val="00CB5F4F"/>
    <w:rsid w:val="00CB7A3E"/>
    <w:rsid w:val="00CC00CD"/>
    <w:rsid w:val="00CC11F9"/>
    <w:rsid w:val="00CC315F"/>
    <w:rsid w:val="00CD1721"/>
    <w:rsid w:val="00CD318C"/>
    <w:rsid w:val="00CE0566"/>
    <w:rsid w:val="00CE1383"/>
    <w:rsid w:val="00CE2969"/>
    <w:rsid w:val="00CE4D2A"/>
    <w:rsid w:val="00CF272C"/>
    <w:rsid w:val="00CF550D"/>
    <w:rsid w:val="00CF7EA6"/>
    <w:rsid w:val="00D01760"/>
    <w:rsid w:val="00D025E9"/>
    <w:rsid w:val="00D0412A"/>
    <w:rsid w:val="00D046A1"/>
    <w:rsid w:val="00D056A5"/>
    <w:rsid w:val="00D1040E"/>
    <w:rsid w:val="00D10606"/>
    <w:rsid w:val="00D10E7C"/>
    <w:rsid w:val="00D13FEB"/>
    <w:rsid w:val="00D150F4"/>
    <w:rsid w:val="00D16E39"/>
    <w:rsid w:val="00D17E38"/>
    <w:rsid w:val="00D21BB5"/>
    <w:rsid w:val="00D223B6"/>
    <w:rsid w:val="00D24489"/>
    <w:rsid w:val="00D31BE6"/>
    <w:rsid w:val="00D31C6A"/>
    <w:rsid w:val="00D32256"/>
    <w:rsid w:val="00D32352"/>
    <w:rsid w:val="00D330B8"/>
    <w:rsid w:val="00D3532E"/>
    <w:rsid w:val="00D36A58"/>
    <w:rsid w:val="00D41E3A"/>
    <w:rsid w:val="00D44435"/>
    <w:rsid w:val="00D50F51"/>
    <w:rsid w:val="00D547F0"/>
    <w:rsid w:val="00D557A4"/>
    <w:rsid w:val="00D57940"/>
    <w:rsid w:val="00D60327"/>
    <w:rsid w:val="00D61290"/>
    <w:rsid w:val="00D63EFC"/>
    <w:rsid w:val="00D64E0B"/>
    <w:rsid w:val="00D7159F"/>
    <w:rsid w:val="00D72C79"/>
    <w:rsid w:val="00D72E9D"/>
    <w:rsid w:val="00D74158"/>
    <w:rsid w:val="00D7587B"/>
    <w:rsid w:val="00D75E99"/>
    <w:rsid w:val="00D80493"/>
    <w:rsid w:val="00D82CE5"/>
    <w:rsid w:val="00D8342C"/>
    <w:rsid w:val="00D84608"/>
    <w:rsid w:val="00D853BF"/>
    <w:rsid w:val="00D93726"/>
    <w:rsid w:val="00D94657"/>
    <w:rsid w:val="00D9640A"/>
    <w:rsid w:val="00D96760"/>
    <w:rsid w:val="00D96CAD"/>
    <w:rsid w:val="00D96F24"/>
    <w:rsid w:val="00D974C8"/>
    <w:rsid w:val="00DA5510"/>
    <w:rsid w:val="00DA5AB1"/>
    <w:rsid w:val="00DA71AD"/>
    <w:rsid w:val="00DB0148"/>
    <w:rsid w:val="00DB1AFF"/>
    <w:rsid w:val="00DB5CB5"/>
    <w:rsid w:val="00DB6B98"/>
    <w:rsid w:val="00DB7276"/>
    <w:rsid w:val="00DC1944"/>
    <w:rsid w:val="00DC430C"/>
    <w:rsid w:val="00DC518A"/>
    <w:rsid w:val="00DC62E5"/>
    <w:rsid w:val="00DC7BD2"/>
    <w:rsid w:val="00DD5EC6"/>
    <w:rsid w:val="00DD7115"/>
    <w:rsid w:val="00DD735D"/>
    <w:rsid w:val="00DE02B7"/>
    <w:rsid w:val="00DE0E3E"/>
    <w:rsid w:val="00DE2630"/>
    <w:rsid w:val="00DE3119"/>
    <w:rsid w:val="00DE52D6"/>
    <w:rsid w:val="00DE6601"/>
    <w:rsid w:val="00DE76E6"/>
    <w:rsid w:val="00DE78C7"/>
    <w:rsid w:val="00DF236B"/>
    <w:rsid w:val="00DF2F4F"/>
    <w:rsid w:val="00DF4451"/>
    <w:rsid w:val="00DF453C"/>
    <w:rsid w:val="00DF6A2A"/>
    <w:rsid w:val="00DF6A8C"/>
    <w:rsid w:val="00E0142A"/>
    <w:rsid w:val="00E01B70"/>
    <w:rsid w:val="00E109DD"/>
    <w:rsid w:val="00E12707"/>
    <w:rsid w:val="00E13AB8"/>
    <w:rsid w:val="00E149D6"/>
    <w:rsid w:val="00E16A32"/>
    <w:rsid w:val="00E20C2F"/>
    <w:rsid w:val="00E23999"/>
    <w:rsid w:val="00E25CB3"/>
    <w:rsid w:val="00E267B7"/>
    <w:rsid w:val="00E27359"/>
    <w:rsid w:val="00E33B62"/>
    <w:rsid w:val="00E344C8"/>
    <w:rsid w:val="00E356DF"/>
    <w:rsid w:val="00E361EA"/>
    <w:rsid w:val="00E36CEB"/>
    <w:rsid w:val="00E37F96"/>
    <w:rsid w:val="00E4143A"/>
    <w:rsid w:val="00E42188"/>
    <w:rsid w:val="00E43B20"/>
    <w:rsid w:val="00E47985"/>
    <w:rsid w:val="00E47AD2"/>
    <w:rsid w:val="00E51ACB"/>
    <w:rsid w:val="00E53189"/>
    <w:rsid w:val="00E5489D"/>
    <w:rsid w:val="00E54EA7"/>
    <w:rsid w:val="00E558C8"/>
    <w:rsid w:val="00E56090"/>
    <w:rsid w:val="00E5641B"/>
    <w:rsid w:val="00E565B9"/>
    <w:rsid w:val="00E57660"/>
    <w:rsid w:val="00E6143E"/>
    <w:rsid w:val="00E63F11"/>
    <w:rsid w:val="00E654EE"/>
    <w:rsid w:val="00E669B0"/>
    <w:rsid w:val="00E677A9"/>
    <w:rsid w:val="00E71BD5"/>
    <w:rsid w:val="00E82D14"/>
    <w:rsid w:val="00E8395B"/>
    <w:rsid w:val="00E87543"/>
    <w:rsid w:val="00E87DD5"/>
    <w:rsid w:val="00E90220"/>
    <w:rsid w:val="00E91454"/>
    <w:rsid w:val="00E934F4"/>
    <w:rsid w:val="00E95100"/>
    <w:rsid w:val="00E9556D"/>
    <w:rsid w:val="00E95FC9"/>
    <w:rsid w:val="00E961A5"/>
    <w:rsid w:val="00EA1767"/>
    <w:rsid w:val="00EA3E75"/>
    <w:rsid w:val="00EA5464"/>
    <w:rsid w:val="00EA6435"/>
    <w:rsid w:val="00EB3343"/>
    <w:rsid w:val="00EB436C"/>
    <w:rsid w:val="00EC0E7E"/>
    <w:rsid w:val="00EC164A"/>
    <w:rsid w:val="00EC1910"/>
    <w:rsid w:val="00EC1CE7"/>
    <w:rsid w:val="00EC26CF"/>
    <w:rsid w:val="00EC3850"/>
    <w:rsid w:val="00EC3C1E"/>
    <w:rsid w:val="00EC50ED"/>
    <w:rsid w:val="00EC5DE8"/>
    <w:rsid w:val="00ED0ED8"/>
    <w:rsid w:val="00ED4037"/>
    <w:rsid w:val="00ED587F"/>
    <w:rsid w:val="00EE0C5C"/>
    <w:rsid w:val="00EE55E7"/>
    <w:rsid w:val="00EE59B5"/>
    <w:rsid w:val="00EF005A"/>
    <w:rsid w:val="00EF17BF"/>
    <w:rsid w:val="00EF4D78"/>
    <w:rsid w:val="00EF671A"/>
    <w:rsid w:val="00F017F5"/>
    <w:rsid w:val="00F1108B"/>
    <w:rsid w:val="00F12666"/>
    <w:rsid w:val="00F14256"/>
    <w:rsid w:val="00F20F92"/>
    <w:rsid w:val="00F21C5F"/>
    <w:rsid w:val="00F23BE9"/>
    <w:rsid w:val="00F257B4"/>
    <w:rsid w:val="00F25971"/>
    <w:rsid w:val="00F30727"/>
    <w:rsid w:val="00F31980"/>
    <w:rsid w:val="00F31A68"/>
    <w:rsid w:val="00F35B82"/>
    <w:rsid w:val="00F36681"/>
    <w:rsid w:val="00F36B35"/>
    <w:rsid w:val="00F41E63"/>
    <w:rsid w:val="00F42E49"/>
    <w:rsid w:val="00F463A8"/>
    <w:rsid w:val="00F46FE1"/>
    <w:rsid w:val="00F47D16"/>
    <w:rsid w:val="00F47F2D"/>
    <w:rsid w:val="00F50E11"/>
    <w:rsid w:val="00F52028"/>
    <w:rsid w:val="00F55286"/>
    <w:rsid w:val="00F55BC8"/>
    <w:rsid w:val="00F55FDD"/>
    <w:rsid w:val="00F56584"/>
    <w:rsid w:val="00F574C1"/>
    <w:rsid w:val="00F57729"/>
    <w:rsid w:val="00F57B4F"/>
    <w:rsid w:val="00F57B72"/>
    <w:rsid w:val="00F57C75"/>
    <w:rsid w:val="00F57F91"/>
    <w:rsid w:val="00F6159E"/>
    <w:rsid w:val="00F67177"/>
    <w:rsid w:val="00F702A6"/>
    <w:rsid w:val="00F715EE"/>
    <w:rsid w:val="00F7357E"/>
    <w:rsid w:val="00F7517F"/>
    <w:rsid w:val="00F76963"/>
    <w:rsid w:val="00F7741E"/>
    <w:rsid w:val="00F8031F"/>
    <w:rsid w:val="00F80E90"/>
    <w:rsid w:val="00F82742"/>
    <w:rsid w:val="00F84255"/>
    <w:rsid w:val="00F84899"/>
    <w:rsid w:val="00F859F0"/>
    <w:rsid w:val="00F87E29"/>
    <w:rsid w:val="00F90B96"/>
    <w:rsid w:val="00F92839"/>
    <w:rsid w:val="00F92BDD"/>
    <w:rsid w:val="00F941F3"/>
    <w:rsid w:val="00F9522F"/>
    <w:rsid w:val="00F95DAA"/>
    <w:rsid w:val="00F979BB"/>
    <w:rsid w:val="00FA050F"/>
    <w:rsid w:val="00FA22FF"/>
    <w:rsid w:val="00FA3CCA"/>
    <w:rsid w:val="00FA4DCC"/>
    <w:rsid w:val="00FB236D"/>
    <w:rsid w:val="00FB27B7"/>
    <w:rsid w:val="00FB384A"/>
    <w:rsid w:val="00FB510B"/>
    <w:rsid w:val="00FB5572"/>
    <w:rsid w:val="00FB56AC"/>
    <w:rsid w:val="00FB656D"/>
    <w:rsid w:val="00FB6738"/>
    <w:rsid w:val="00FC113C"/>
    <w:rsid w:val="00FC1644"/>
    <w:rsid w:val="00FC18DC"/>
    <w:rsid w:val="00FC1D91"/>
    <w:rsid w:val="00FC32DA"/>
    <w:rsid w:val="00FC7C7B"/>
    <w:rsid w:val="00FD10FB"/>
    <w:rsid w:val="00FD1655"/>
    <w:rsid w:val="00FD2A74"/>
    <w:rsid w:val="00FD388C"/>
    <w:rsid w:val="00FE0323"/>
    <w:rsid w:val="00FE06EB"/>
    <w:rsid w:val="00FE098C"/>
    <w:rsid w:val="00FE0AC3"/>
    <w:rsid w:val="00FE141E"/>
    <w:rsid w:val="00FE1E7C"/>
    <w:rsid w:val="00FE2265"/>
    <w:rsid w:val="00FE22C6"/>
    <w:rsid w:val="00FE42ED"/>
    <w:rsid w:val="00FE43AD"/>
    <w:rsid w:val="00FE5C5A"/>
    <w:rsid w:val="00FE71C5"/>
    <w:rsid w:val="00FF031D"/>
    <w:rsid w:val="00FF232F"/>
    <w:rsid w:val="00FF3ACC"/>
    <w:rsid w:val="00FF5FA6"/>
    <w:rsid w:val="00FF77F7"/>
    <w:rsid w:val="043B8242"/>
    <w:rsid w:val="11C12446"/>
    <w:rsid w:val="136B4A4F"/>
    <w:rsid w:val="1883EC25"/>
    <w:rsid w:val="25D89E92"/>
    <w:rsid w:val="36CA11E8"/>
    <w:rsid w:val="389A21D5"/>
    <w:rsid w:val="47E41D8C"/>
    <w:rsid w:val="4D1BA0F8"/>
    <w:rsid w:val="4E700C15"/>
    <w:rsid w:val="515F75E6"/>
    <w:rsid w:val="59BDB65A"/>
    <w:rsid w:val="5A0DC56D"/>
    <w:rsid w:val="5AE8A8C0"/>
    <w:rsid w:val="676BD565"/>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3515154B-E1D1-4014-97F9-FFE5BBEC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2D4"/>
    <w:pPr>
      <w:spacing w:after="0" w:line="240" w:lineRule="auto"/>
    </w:pPr>
    <w:rPr>
      <w:sz w:val="24"/>
      <w:lang w:val="es-MX"/>
    </w:rPr>
  </w:style>
  <w:style w:type="paragraph" w:styleId="Ttulo1">
    <w:name w:val="heading 1"/>
    <w:basedOn w:val="Normal"/>
    <w:link w:val="Ttulo1Car"/>
    <w:uiPriority w:val="1"/>
    <w:qFormat/>
    <w:rsid w:val="00732F7D"/>
    <w:pPr>
      <w:widowControl w:val="0"/>
      <w:autoSpaceDE w:val="0"/>
      <w:autoSpaceDN w:val="0"/>
      <w:ind w:left="660" w:hanging="366"/>
      <w:outlineLvl w:val="0"/>
    </w:pPr>
    <w:rPr>
      <w:rFonts w:ascii="Arial" w:eastAsia="Arial" w:hAnsi="Arial" w:cs="Arial"/>
      <w:b/>
      <w:bCs/>
      <w:sz w:val="22"/>
      <w:lang w:val="es-ES"/>
    </w:rPr>
  </w:style>
  <w:style w:type="paragraph" w:styleId="Ttulo2">
    <w:name w:val="heading 2"/>
    <w:basedOn w:val="Normal"/>
    <w:next w:val="Normal"/>
    <w:link w:val="Ttulo2Car"/>
    <w:uiPriority w:val="9"/>
    <w:semiHidden/>
    <w:unhideWhenUsed/>
    <w:qFormat/>
    <w:rsid w:val="00732F7D"/>
    <w:pPr>
      <w:keepNext/>
      <w:keepLines/>
      <w:spacing w:before="40"/>
      <w:outlineLvl w:val="1"/>
    </w:pPr>
    <w:rPr>
      <w:rFonts w:asciiTheme="majorHAnsi" w:eastAsiaTheme="majorEastAsia" w:hAnsiTheme="majorHAnsi" w:cstheme="majorBidi"/>
      <w:color w:val="365F91" w:themeColor="accent1" w:themeShade="BF"/>
      <w:sz w:val="26"/>
      <w:szCs w:val="26"/>
      <w:lang w:val="es-CO"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CC11F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86183C"/>
    <w:rPr>
      <w:b/>
      <w:bCs/>
    </w:rPr>
  </w:style>
  <w:style w:type="character" w:styleId="nfasis">
    <w:name w:val="Emphasis"/>
    <w:basedOn w:val="Fuentedeprrafopredeter"/>
    <w:uiPriority w:val="20"/>
    <w:qFormat/>
    <w:rsid w:val="0086183C"/>
    <w:rPr>
      <w:i/>
      <w:iCs/>
    </w:rPr>
  </w:style>
  <w:style w:type="character" w:customStyle="1" w:styleId="toctoggle">
    <w:name w:val="toctoggle"/>
    <w:basedOn w:val="Fuentedeprrafopredeter"/>
    <w:rsid w:val="0086183C"/>
  </w:style>
  <w:style w:type="character" w:customStyle="1" w:styleId="NormalWebCar">
    <w:name w:val="Normal (Web) Car"/>
    <w:link w:val="NormalWeb"/>
    <w:uiPriority w:val="99"/>
    <w:rsid w:val="001F4546"/>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1434A4"/>
    <w:pPr>
      <w:spacing w:after="160" w:line="240" w:lineRule="exact"/>
    </w:pPr>
    <w:rPr>
      <w:sz w:val="22"/>
      <w:vertAlign w:val="superscript"/>
      <w:lang w:val="es-CO"/>
    </w:rPr>
  </w:style>
  <w:style w:type="paragraph" w:styleId="Revisin">
    <w:name w:val="Revision"/>
    <w:hidden/>
    <w:uiPriority w:val="99"/>
    <w:semiHidden/>
    <w:rsid w:val="00817396"/>
    <w:pPr>
      <w:spacing w:after="0" w:line="240" w:lineRule="auto"/>
    </w:pPr>
    <w:rPr>
      <w:sz w:val="24"/>
      <w:lang w:val="es-MX"/>
    </w:rPr>
  </w:style>
  <w:style w:type="character" w:styleId="Mencinsinresolver">
    <w:name w:val="Unresolved Mention"/>
    <w:basedOn w:val="Fuentedeprrafopredeter"/>
    <w:uiPriority w:val="99"/>
    <w:unhideWhenUsed/>
    <w:rsid w:val="00EB3343"/>
    <w:rPr>
      <w:color w:val="605E5C"/>
      <w:shd w:val="clear" w:color="auto" w:fill="E1DFDD"/>
    </w:rPr>
  </w:style>
  <w:style w:type="paragraph" w:customStyle="1" w:styleId="Normal11pt">
    <w:name w:val="Normal + 11 pt"/>
    <w:aliases w:val="Negro,Justificado,Izquierda:  -0,95 cm,Derecha:  0,04 cm"/>
    <w:basedOn w:val="Normal"/>
    <w:uiPriority w:val="99"/>
    <w:rsid w:val="0019733B"/>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1"/>
    <w:rsid w:val="00732F7D"/>
    <w:rPr>
      <w:rFonts w:ascii="Arial" w:eastAsia="Arial" w:hAnsi="Arial" w:cs="Arial"/>
      <w:b/>
      <w:bCs/>
      <w:lang w:val="es-ES"/>
    </w:rPr>
  </w:style>
  <w:style w:type="character" w:customStyle="1" w:styleId="Ttulo2Car">
    <w:name w:val="Título 2 Car"/>
    <w:basedOn w:val="Fuentedeprrafopredeter"/>
    <w:link w:val="Ttulo2"/>
    <w:uiPriority w:val="9"/>
    <w:semiHidden/>
    <w:rsid w:val="00732F7D"/>
    <w:rPr>
      <w:rFonts w:asciiTheme="majorHAnsi" w:eastAsiaTheme="majorEastAsia" w:hAnsiTheme="majorHAnsi" w:cstheme="majorBidi"/>
      <w:color w:val="365F91" w:themeColor="accent1" w:themeShade="BF"/>
      <w:sz w:val="26"/>
      <w:szCs w:val="26"/>
      <w:lang w:eastAsia="es-ES_tradnl"/>
    </w:rPr>
  </w:style>
  <w:style w:type="character" w:customStyle="1" w:styleId="Mencinsinresolver2">
    <w:name w:val="Mención sin resolver2"/>
    <w:basedOn w:val="Fuentedeprrafopredeter"/>
    <w:uiPriority w:val="99"/>
    <w:semiHidden/>
    <w:unhideWhenUsed/>
    <w:rsid w:val="00732F7D"/>
    <w:rPr>
      <w:color w:val="605E5C"/>
      <w:shd w:val="clear" w:color="auto" w:fill="E1DFDD"/>
    </w:rPr>
  </w:style>
  <w:style w:type="paragraph" w:customStyle="1" w:styleId="paragraph">
    <w:name w:val="paragraph"/>
    <w:basedOn w:val="Normal"/>
    <w:rsid w:val="00732F7D"/>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732F7D"/>
  </w:style>
  <w:style w:type="character" w:customStyle="1" w:styleId="normaltextrun">
    <w:name w:val="normaltextrun"/>
    <w:basedOn w:val="Fuentedeprrafopredeter"/>
    <w:rsid w:val="00732F7D"/>
  </w:style>
  <w:style w:type="character" w:customStyle="1" w:styleId="eop">
    <w:name w:val="eop"/>
    <w:basedOn w:val="Fuentedeprrafopredeter"/>
    <w:rsid w:val="00732F7D"/>
  </w:style>
  <w:style w:type="character" w:customStyle="1" w:styleId="spellingerror">
    <w:name w:val="spellingerror"/>
    <w:basedOn w:val="Fuentedeprrafopredeter"/>
    <w:rsid w:val="00732F7D"/>
  </w:style>
  <w:style w:type="character" w:styleId="Nmerodepgina">
    <w:name w:val="page number"/>
    <w:basedOn w:val="Fuentedeprrafopredeter"/>
    <w:uiPriority w:val="99"/>
    <w:semiHidden/>
    <w:unhideWhenUsed/>
    <w:rsid w:val="00732F7D"/>
  </w:style>
  <w:style w:type="paragraph" w:styleId="Sangradetextonormal">
    <w:name w:val="Body Text Indent"/>
    <w:basedOn w:val="Normal"/>
    <w:link w:val="SangradetextonormalCar"/>
    <w:uiPriority w:val="99"/>
    <w:semiHidden/>
    <w:unhideWhenUsed/>
    <w:rsid w:val="00732F7D"/>
    <w:pPr>
      <w:spacing w:after="120"/>
      <w:ind w:left="283"/>
    </w:pPr>
  </w:style>
  <w:style w:type="character" w:customStyle="1" w:styleId="SangradetextonormalCar">
    <w:name w:val="Sangría de texto normal Car"/>
    <w:basedOn w:val="Fuentedeprrafopredeter"/>
    <w:link w:val="Sangradetextonormal"/>
    <w:uiPriority w:val="99"/>
    <w:semiHidden/>
    <w:rsid w:val="00732F7D"/>
    <w:rPr>
      <w:sz w:val="24"/>
      <w:lang w:val="es-MX"/>
    </w:rPr>
  </w:style>
  <w:style w:type="character" w:customStyle="1" w:styleId="baj">
    <w:name w:val="b_aj"/>
    <w:basedOn w:val="Fuentedeprrafopredeter"/>
    <w:rsid w:val="00732F7D"/>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732F7D"/>
    <w:pPr>
      <w:jc w:val="both"/>
    </w:pPr>
    <w:rPr>
      <w:rFonts w:ascii="Calibri" w:eastAsia="Calibri" w:hAnsi="Calibri" w:cs="Calibri"/>
      <w:sz w:val="22"/>
      <w:vertAlign w:val="superscript"/>
      <w:lang w:val="es-CO" w:eastAsia="es-CO"/>
    </w:rPr>
  </w:style>
  <w:style w:type="character" w:styleId="Refdenotaalfinal">
    <w:name w:val="endnote reference"/>
    <w:basedOn w:val="Fuentedeprrafopredeter"/>
    <w:uiPriority w:val="99"/>
    <w:semiHidden/>
    <w:unhideWhenUsed/>
    <w:rsid w:val="00732F7D"/>
    <w:rPr>
      <w:vertAlign w:val="superscript"/>
    </w:rPr>
  </w:style>
  <w:style w:type="table" w:customStyle="1" w:styleId="Tablaconcuadrcula11">
    <w:name w:val="Tabla con cuadrícula11"/>
    <w:basedOn w:val="Tablanormal"/>
    <w:next w:val="Tablaconcuadrcula"/>
    <w:uiPriority w:val="39"/>
    <w:rsid w:val="00732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3830383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647760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45719941">
      <w:bodyDiv w:val="1"/>
      <w:marLeft w:val="0"/>
      <w:marRight w:val="0"/>
      <w:marTop w:val="0"/>
      <w:marBottom w:val="0"/>
      <w:divBdr>
        <w:top w:val="none" w:sz="0" w:space="0" w:color="auto"/>
        <w:left w:val="none" w:sz="0" w:space="0" w:color="auto"/>
        <w:bottom w:val="none" w:sz="0" w:space="0" w:color="auto"/>
        <w:right w:val="none" w:sz="0" w:space="0" w:color="auto"/>
      </w:divBdr>
      <w:divsChild>
        <w:div w:id="1046106515">
          <w:marLeft w:val="0"/>
          <w:marRight w:val="0"/>
          <w:marTop w:val="0"/>
          <w:marBottom w:val="0"/>
          <w:divBdr>
            <w:top w:val="none" w:sz="0" w:space="0" w:color="auto"/>
            <w:left w:val="none" w:sz="0" w:space="0" w:color="auto"/>
            <w:bottom w:val="none" w:sz="0" w:space="0" w:color="auto"/>
            <w:right w:val="none" w:sz="0" w:space="0" w:color="auto"/>
          </w:divBdr>
        </w:div>
      </w:divsChild>
    </w:div>
    <w:div w:id="355740476">
      <w:bodyDiv w:val="1"/>
      <w:marLeft w:val="0"/>
      <w:marRight w:val="0"/>
      <w:marTop w:val="0"/>
      <w:marBottom w:val="0"/>
      <w:divBdr>
        <w:top w:val="none" w:sz="0" w:space="0" w:color="auto"/>
        <w:left w:val="none" w:sz="0" w:space="0" w:color="auto"/>
        <w:bottom w:val="none" w:sz="0" w:space="0" w:color="auto"/>
        <w:right w:val="none" w:sz="0" w:space="0" w:color="auto"/>
      </w:divBdr>
      <w:divsChild>
        <w:div w:id="686441747">
          <w:marLeft w:val="0"/>
          <w:marRight w:val="0"/>
          <w:marTop w:val="0"/>
          <w:marBottom w:val="0"/>
          <w:divBdr>
            <w:top w:val="none" w:sz="0" w:space="0" w:color="auto"/>
            <w:left w:val="none" w:sz="0" w:space="0" w:color="auto"/>
            <w:bottom w:val="none" w:sz="0" w:space="0" w:color="auto"/>
            <w:right w:val="none" w:sz="0" w:space="0" w:color="auto"/>
          </w:divBdr>
        </w:div>
      </w:divsChild>
    </w:div>
    <w:div w:id="552733096">
      <w:bodyDiv w:val="1"/>
      <w:marLeft w:val="0"/>
      <w:marRight w:val="0"/>
      <w:marTop w:val="0"/>
      <w:marBottom w:val="0"/>
      <w:divBdr>
        <w:top w:val="none" w:sz="0" w:space="0" w:color="auto"/>
        <w:left w:val="none" w:sz="0" w:space="0" w:color="auto"/>
        <w:bottom w:val="none" w:sz="0" w:space="0" w:color="auto"/>
        <w:right w:val="none" w:sz="0" w:space="0" w:color="auto"/>
      </w:divBdr>
    </w:div>
    <w:div w:id="585963826">
      <w:bodyDiv w:val="1"/>
      <w:marLeft w:val="0"/>
      <w:marRight w:val="0"/>
      <w:marTop w:val="0"/>
      <w:marBottom w:val="0"/>
      <w:divBdr>
        <w:top w:val="none" w:sz="0" w:space="0" w:color="auto"/>
        <w:left w:val="none" w:sz="0" w:space="0" w:color="auto"/>
        <w:bottom w:val="none" w:sz="0" w:space="0" w:color="auto"/>
        <w:right w:val="none" w:sz="0" w:space="0" w:color="auto"/>
      </w:divBdr>
    </w:div>
    <w:div w:id="651254561">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2875487">
      <w:bodyDiv w:val="1"/>
      <w:marLeft w:val="0"/>
      <w:marRight w:val="0"/>
      <w:marTop w:val="0"/>
      <w:marBottom w:val="0"/>
      <w:divBdr>
        <w:top w:val="none" w:sz="0" w:space="0" w:color="auto"/>
        <w:left w:val="none" w:sz="0" w:space="0" w:color="auto"/>
        <w:bottom w:val="none" w:sz="0" w:space="0" w:color="auto"/>
        <w:right w:val="none" w:sz="0" w:space="0" w:color="auto"/>
      </w:divBdr>
    </w:div>
    <w:div w:id="811487668">
      <w:bodyDiv w:val="1"/>
      <w:marLeft w:val="0"/>
      <w:marRight w:val="0"/>
      <w:marTop w:val="0"/>
      <w:marBottom w:val="0"/>
      <w:divBdr>
        <w:top w:val="none" w:sz="0" w:space="0" w:color="auto"/>
        <w:left w:val="none" w:sz="0" w:space="0" w:color="auto"/>
        <w:bottom w:val="none" w:sz="0" w:space="0" w:color="auto"/>
        <w:right w:val="none" w:sz="0" w:space="0" w:color="auto"/>
      </w:divBdr>
      <w:divsChild>
        <w:div w:id="961351749">
          <w:marLeft w:val="0"/>
          <w:marRight w:val="0"/>
          <w:marTop w:val="0"/>
          <w:marBottom w:val="0"/>
          <w:divBdr>
            <w:top w:val="none" w:sz="0" w:space="0" w:color="auto"/>
            <w:left w:val="none" w:sz="0" w:space="0" w:color="auto"/>
            <w:bottom w:val="none" w:sz="0" w:space="0" w:color="auto"/>
            <w:right w:val="none" w:sz="0" w:space="0" w:color="auto"/>
          </w:divBdr>
          <w:divsChild>
            <w:div w:id="583538784">
              <w:marLeft w:val="0"/>
              <w:marRight w:val="0"/>
              <w:marTop w:val="0"/>
              <w:marBottom w:val="0"/>
              <w:divBdr>
                <w:top w:val="none" w:sz="0" w:space="0" w:color="auto"/>
                <w:left w:val="none" w:sz="0" w:space="0" w:color="auto"/>
                <w:bottom w:val="none" w:sz="0" w:space="0" w:color="auto"/>
                <w:right w:val="none" w:sz="0" w:space="0" w:color="auto"/>
              </w:divBdr>
              <w:divsChild>
                <w:div w:id="70001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784373">
      <w:bodyDiv w:val="1"/>
      <w:marLeft w:val="0"/>
      <w:marRight w:val="0"/>
      <w:marTop w:val="0"/>
      <w:marBottom w:val="0"/>
      <w:divBdr>
        <w:top w:val="none" w:sz="0" w:space="0" w:color="auto"/>
        <w:left w:val="none" w:sz="0" w:space="0" w:color="auto"/>
        <w:bottom w:val="none" w:sz="0" w:space="0" w:color="auto"/>
        <w:right w:val="none" w:sz="0" w:space="0" w:color="auto"/>
      </w:divBdr>
      <w:divsChild>
        <w:div w:id="266274114">
          <w:marLeft w:val="0"/>
          <w:marRight w:val="0"/>
          <w:marTop w:val="0"/>
          <w:marBottom w:val="0"/>
          <w:divBdr>
            <w:top w:val="none" w:sz="0" w:space="0" w:color="auto"/>
            <w:left w:val="none" w:sz="0" w:space="0" w:color="auto"/>
            <w:bottom w:val="none" w:sz="0" w:space="0" w:color="auto"/>
            <w:right w:val="none" w:sz="0" w:space="0" w:color="auto"/>
          </w:divBdr>
        </w:div>
      </w:divsChild>
    </w:div>
    <w:div w:id="916282276">
      <w:bodyDiv w:val="1"/>
      <w:marLeft w:val="0"/>
      <w:marRight w:val="0"/>
      <w:marTop w:val="0"/>
      <w:marBottom w:val="0"/>
      <w:divBdr>
        <w:top w:val="none" w:sz="0" w:space="0" w:color="auto"/>
        <w:left w:val="none" w:sz="0" w:space="0" w:color="auto"/>
        <w:bottom w:val="none" w:sz="0" w:space="0" w:color="auto"/>
        <w:right w:val="none" w:sz="0" w:space="0" w:color="auto"/>
      </w:divBdr>
    </w:div>
    <w:div w:id="919101865">
      <w:bodyDiv w:val="1"/>
      <w:marLeft w:val="0"/>
      <w:marRight w:val="0"/>
      <w:marTop w:val="0"/>
      <w:marBottom w:val="0"/>
      <w:divBdr>
        <w:top w:val="none" w:sz="0" w:space="0" w:color="auto"/>
        <w:left w:val="none" w:sz="0" w:space="0" w:color="auto"/>
        <w:bottom w:val="none" w:sz="0" w:space="0" w:color="auto"/>
        <w:right w:val="none" w:sz="0" w:space="0" w:color="auto"/>
      </w:divBdr>
      <w:divsChild>
        <w:div w:id="1344168581">
          <w:marLeft w:val="0"/>
          <w:marRight w:val="0"/>
          <w:marTop w:val="0"/>
          <w:marBottom w:val="0"/>
          <w:divBdr>
            <w:top w:val="none" w:sz="0" w:space="0" w:color="auto"/>
            <w:left w:val="none" w:sz="0" w:space="0" w:color="auto"/>
            <w:bottom w:val="none" w:sz="0" w:space="0" w:color="auto"/>
            <w:right w:val="none" w:sz="0" w:space="0" w:color="auto"/>
          </w:divBdr>
          <w:divsChild>
            <w:div w:id="846292534">
              <w:marLeft w:val="0"/>
              <w:marRight w:val="0"/>
              <w:marTop w:val="0"/>
              <w:marBottom w:val="0"/>
              <w:divBdr>
                <w:top w:val="none" w:sz="0" w:space="0" w:color="auto"/>
                <w:left w:val="none" w:sz="0" w:space="0" w:color="auto"/>
                <w:bottom w:val="none" w:sz="0" w:space="0" w:color="auto"/>
                <w:right w:val="none" w:sz="0" w:space="0" w:color="auto"/>
              </w:divBdr>
              <w:divsChild>
                <w:div w:id="188502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97615">
      <w:bodyDiv w:val="1"/>
      <w:marLeft w:val="0"/>
      <w:marRight w:val="0"/>
      <w:marTop w:val="0"/>
      <w:marBottom w:val="0"/>
      <w:divBdr>
        <w:top w:val="none" w:sz="0" w:space="0" w:color="auto"/>
        <w:left w:val="none" w:sz="0" w:space="0" w:color="auto"/>
        <w:bottom w:val="none" w:sz="0" w:space="0" w:color="auto"/>
        <w:right w:val="none" w:sz="0" w:space="0" w:color="auto"/>
      </w:divBdr>
    </w:div>
    <w:div w:id="987131905">
      <w:bodyDiv w:val="1"/>
      <w:marLeft w:val="0"/>
      <w:marRight w:val="0"/>
      <w:marTop w:val="0"/>
      <w:marBottom w:val="0"/>
      <w:divBdr>
        <w:top w:val="none" w:sz="0" w:space="0" w:color="auto"/>
        <w:left w:val="none" w:sz="0" w:space="0" w:color="auto"/>
        <w:bottom w:val="none" w:sz="0" w:space="0" w:color="auto"/>
        <w:right w:val="none" w:sz="0" w:space="0" w:color="auto"/>
      </w:divBdr>
      <w:divsChild>
        <w:div w:id="1149399484">
          <w:marLeft w:val="0"/>
          <w:marRight w:val="0"/>
          <w:marTop w:val="0"/>
          <w:marBottom w:val="0"/>
          <w:divBdr>
            <w:top w:val="none" w:sz="0" w:space="0" w:color="auto"/>
            <w:left w:val="none" w:sz="0" w:space="0" w:color="auto"/>
            <w:bottom w:val="none" w:sz="0" w:space="0" w:color="auto"/>
            <w:right w:val="none" w:sz="0" w:space="0" w:color="auto"/>
          </w:divBdr>
          <w:divsChild>
            <w:div w:id="1905724051">
              <w:marLeft w:val="0"/>
              <w:marRight w:val="0"/>
              <w:marTop w:val="0"/>
              <w:marBottom w:val="0"/>
              <w:divBdr>
                <w:top w:val="none" w:sz="0" w:space="0" w:color="auto"/>
                <w:left w:val="none" w:sz="0" w:space="0" w:color="auto"/>
                <w:bottom w:val="none" w:sz="0" w:space="0" w:color="auto"/>
                <w:right w:val="none" w:sz="0" w:space="0" w:color="auto"/>
              </w:divBdr>
            </w:div>
          </w:divsChild>
        </w:div>
        <w:div w:id="307974226">
          <w:marLeft w:val="0"/>
          <w:marRight w:val="0"/>
          <w:marTop w:val="0"/>
          <w:marBottom w:val="0"/>
          <w:divBdr>
            <w:top w:val="none" w:sz="0" w:space="0" w:color="auto"/>
            <w:left w:val="none" w:sz="0" w:space="0" w:color="auto"/>
            <w:bottom w:val="none" w:sz="0" w:space="0" w:color="auto"/>
            <w:right w:val="none" w:sz="0" w:space="0" w:color="auto"/>
          </w:divBdr>
          <w:divsChild>
            <w:div w:id="1848598795">
              <w:marLeft w:val="0"/>
              <w:marRight w:val="0"/>
              <w:marTop w:val="0"/>
              <w:marBottom w:val="0"/>
              <w:divBdr>
                <w:top w:val="none" w:sz="0" w:space="0" w:color="auto"/>
                <w:left w:val="none" w:sz="0" w:space="0" w:color="auto"/>
                <w:bottom w:val="none" w:sz="0" w:space="0" w:color="auto"/>
                <w:right w:val="none" w:sz="0" w:space="0" w:color="auto"/>
              </w:divBdr>
            </w:div>
          </w:divsChild>
        </w:div>
        <w:div w:id="1343119098">
          <w:marLeft w:val="0"/>
          <w:marRight w:val="0"/>
          <w:marTop w:val="0"/>
          <w:marBottom w:val="0"/>
          <w:divBdr>
            <w:top w:val="none" w:sz="0" w:space="0" w:color="auto"/>
            <w:left w:val="none" w:sz="0" w:space="0" w:color="auto"/>
            <w:bottom w:val="none" w:sz="0" w:space="0" w:color="auto"/>
            <w:right w:val="none" w:sz="0" w:space="0" w:color="auto"/>
          </w:divBdr>
          <w:divsChild>
            <w:div w:id="162673499">
              <w:marLeft w:val="0"/>
              <w:marRight w:val="0"/>
              <w:marTop w:val="0"/>
              <w:marBottom w:val="0"/>
              <w:divBdr>
                <w:top w:val="none" w:sz="0" w:space="0" w:color="auto"/>
                <w:left w:val="none" w:sz="0" w:space="0" w:color="auto"/>
                <w:bottom w:val="none" w:sz="0" w:space="0" w:color="auto"/>
                <w:right w:val="none" w:sz="0" w:space="0" w:color="auto"/>
              </w:divBdr>
            </w:div>
          </w:divsChild>
        </w:div>
        <w:div w:id="1859925628">
          <w:marLeft w:val="0"/>
          <w:marRight w:val="0"/>
          <w:marTop w:val="0"/>
          <w:marBottom w:val="0"/>
          <w:divBdr>
            <w:top w:val="none" w:sz="0" w:space="0" w:color="auto"/>
            <w:left w:val="none" w:sz="0" w:space="0" w:color="auto"/>
            <w:bottom w:val="none" w:sz="0" w:space="0" w:color="auto"/>
            <w:right w:val="none" w:sz="0" w:space="0" w:color="auto"/>
          </w:divBdr>
          <w:divsChild>
            <w:div w:id="12052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34671">
      <w:bodyDiv w:val="1"/>
      <w:marLeft w:val="0"/>
      <w:marRight w:val="0"/>
      <w:marTop w:val="0"/>
      <w:marBottom w:val="0"/>
      <w:divBdr>
        <w:top w:val="none" w:sz="0" w:space="0" w:color="auto"/>
        <w:left w:val="none" w:sz="0" w:space="0" w:color="auto"/>
        <w:bottom w:val="none" w:sz="0" w:space="0" w:color="auto"/>
        <w:right w:val="none" w:sz="0" w:space="0" w:color="auto"/>
      </w:divBdr>
      <w:divsChild>
        <w:div w:id="954558296">
          <w:marLeft w:val="0"/>
          <w:marRight w:val="0"/>
          <w:marTop w:val="0"/>
          <w:marBottom w:val="0"/>
          <w:divBdr>
            <w:top w:val="none" w:sz="0" w:space="0" w:color="auto"/>
            <w:left w:val="none" w:sz="0" w:space="0" w:color="auto"/>
            <w:bottom w:val="none" w:sz="0" w:space="0" w:color="auto"/>
            <w:right w:val="none" w:sz="0" w:space="0" w:color="auto"/>
          </w:divBdr>
        </w:div>
      </w:divsChild>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20640483">
      <w:bodyDiv w:val="1"/>
      <w:marLeft w:val="0"/>
      <w:marRight w:val="0"/>
      <w:marTop w:val="0"/>
      <w:marBottom w:val="0"/>
      <w:divBdr>
        <w:top w:val="none" w:sz="0" w:space="0" w:color="auto"/>
        <w:left w:val="none" w:sz="0" w:space="0" w:color="auto"/>
        <w:bottom w:val="none" w:sz="0" w:space="0" w:color="auto"/>
        <w:right w:val="none" w:sz="0" w:space="0" w:color="auto"/>
      </w:divBdr>
    </w:div>
    <w:div w:id="1512255681">
      <w:bodyDiv w:val="1"/>
      <w:marLeft w:val="0"/>
      <w:marRight w:val="0"/>
      <w:marTop w:val="0"/>
      <w:marBottom w:val="0"/>
      <w:divBdr>
        <w:top w:val="none" w:sz="0" w:space="0" w:color="auto"/>
        <w:left w:val="none" w:sz="0" w:space="0" w:color="auto"/>
        <w:bottom w:val="none" w:sz="0" w:space="0" w:color="auto"/>
        <w:right w:val="none" w:sz="0" w:space="0" w:color="auto"/>
      </w:divBdr>
    </w:div>
    <w:div w:id="155616583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8883587">
      <w:bodyDiv w:val="1"/>
      <w:marLeft w:val="0"/>
      <w:marRight w:val="0"/>
      <w:marTop w:val="0"/>
      <w:marBottom w:val="0"/>
      <w:divBdr>
        <w:top w:val="none" w:sz="0" w:space="0" w:color="auto"/>
        <w:left w:val="none" w:sz="0" w:space="0" w:color="auto"/>
        <w:bottom w:val="none" w:sz="0" w:space="0" w:color="auto"/>
        <w:right w:val="none" w:sz="0" w:space="0" w:color="auto"/>
      </w:divBdr>
    </w:div>
    <w:div w:id="1623611852">
      <w:bodyDiv w:val="1"/>
      <w:marLeft w:val="0"/>
      <w:marRight w:val="0"/>
      <w:marTop w:val="0"/>
      <w:marBottom w:val="0"/>
      <w:divBdr>
        <w:top w:val="none" w:sz="0" w:space="0" w:color="auto"/>
        <w:left w:val="none" w:sz="0" w:space="0" w:color="auto"/>
        <w:bottom w:val="none" w:sz="0" w:space="0" w:color="auto"/>
        <w:right w:val="none" w:sz="0" w:space="0" w:color="auto"/>
      </w:divBdr>
    </w:div>
    <w:div w:id="1673145430">
      <w:bodyDiv w:val="1"/>
      <w:marLeft w:val="0"/>
      <w:marRight w:val="0"/>
      <w:marTop w:val="0"/>
      <w:marBottom w:val="0"/>
      <w:divBdr>
        <w:top w:val="none" w:sz="0" w:space="0" w:color="auto"/>
        <w:left w:val="none" w:sz="0" w:space="0" w:color="auto"/>
        <w:bottom w:val="none" w:sz="0" w:space="0" w:color="auto"/>
        <w:right w:val="none" w:sz="0" w:space="0" w:color="auto"/>
      </w:divBdr>
    </w:div>
    <w:div w:id="1909804437">
      <w:bodyDiv w:val="1"/>
      <w:marLeft w:val="0"/>
      <w:marRight w:val="0"/>
      <w:marTop w:val="0"/>
      <w:marBottom w:val="0"/>
      <w:divBdr>
        <w:top w:val="none" w:sz="0" w:space="0" w:color="auto"/>
        <w:left w:val="none" w:sz="0" w:space="0" w:color="auto"/>
        <w:bottom w:val="none" w:sz="0" w:space="0" w:color="auto"/>
        <w:right w:val="none" w:sz="0" w:space="0" w:color="auto"/>
      </w:divBdr>
    </w:div>
    <w:div w:id="1996107802">
      <w:bodyDiv w:val="1"/>
      <w:marLeft w:val="0"/>
      <w:marRight w:val="0"/>
      <w:marTop w:val="0"/>
      <w:marBottom w:val="0"/>
      <w:divBdr>
        <w:top w:val="none" w:sz="0" w:space="0" w:color="auto"/>
        <w:left w:val="none" w:sz="0" w:space="0" w:color="auto"/>
        <w:bottom w:val="none" w:sz="0" w:space="0" w:color="auto"/>
        <w:right w:val="none" w:sz="0" w:space="0" w:color="auto"/>
      </w:divBdr>
      <w:divsChild>
        <w:div w:id="753355057">
          <w:marLeft w:val="0"/>
          <w:marRight w:val="0"/>
          <w:marTop w:val="0"/>
          <w:marBottom w:val="0"/>
          <w:divBdr>
            <w:top w:val="none" w:sz="0" w:space="0" w:color="auto"/>
            <w:left w:val="none" w:sz="0" w:space="0" w:color="auto"/>
            <w:bottom w:val="none" w:sz="0" w:space="0" w:color="auto"/>
            <w:right w:val="none" w:sz="0" w:space="0" w:color="auto"/>
          </w:divBdr>
          <w:divsChild>
            <w:div w:id="1605723618">
              <w:marLeft w:val="0"/>
              <w:marRight w:val="0"/>
              <w:marTop w:val="0"/>
              <w:marBottom w:val="0"/>
              <w:divBdr>
                <w:top w:val="none" w:sz="0" w:space="0" w:color="auto"/>
                <w:left w:val="none" w:sz="0" w:space="0" w:color="auto"/>
                <w:bottom w:val="none" w:sz="0" w:space="0" w:color="auto"/>
                <w:right w:val="none" w:sz="0" w:space="0" w:color="auto"/>
              </w:divBdr>
              <w:divsChild>
                <w:div w:id="34906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031795">
      <w:bodyDiv w:val="1"/>
      <w:marLeft w:val="0"/>
      <w:marRight w:val="0"/>
      <w:marTop w:val="0"/>
      <w:marBottom w:val="0"/>
      <w:divBdr>
        <w:top w:val="none" w:sz="0" w:space="0" w:color="auto"/>
        <w:left w:val="none" w:sz="0" w:space="0" w:color="auto"/>
        <w:bottom w:val="none" w:sz="0" w:space="0" w:color="auto"/>
        <w:right w:val="none" w:sz="0" w:space="0" w:color="auto"/>
      </w:divBdr>
      <w:divsChild>
        <w:div w:id="1378240900">
          <w:marLeft w:val="0"/>
          <w:marRight w:val="0"/>
          <w:marTop w:val="0"/>
          <w:marBottom w:val="0"/>
          <w:divBdr>
            <w:top w:val="none" w:sz="0" w:space="0" w:color="auto"/>
            <w:left w:val="none" w:sz="0" w:space="0" w:color="auto"/>
            <w:bottom w:val="none" w:sz="0" w:space="0" w:color="auto"/>
            <w:right w:val="none" w:sz="0" w:space="0" w:color="auto"/>
          </w:divBdr>
        </w:div>
      </w:divsChild>
    </w:div>
    <w:div w:id="2037274124">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512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1150_2007.html" TargetMode="External"/><Relationship Id="rId2" Type="http://schemas.openxmlformats.org/officeDocument/2006/relationships/hyperlink" Target="http://www.secretariasenado.gov.co/senado/basedoc/ley_1150_2007.html" TargetMode="External"/><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77A4082-7DB8-EA4E-857D-245F6E660B4D}">
  <ds:schemaRefs>
    <ds:schemaRef ds:uri="http://schemas.openxmlformats.org/officeDocument/2006/bibliography"/>
  </ds:schemaRefs>
</ds:datastoreItem>
</file>

<file path=customXml/itemProps4.xml><?xml version="1.0" encoding="utf-8"?>
<ds:datastoreItem xmlns:ds="http://schemas.openxmlformats.org/officeDocument/2006/customXml" ds:itemID="{BC17D005-9C6F-48BA-A0BF-AD6A0D26A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9</TotalTime>
  <Pages>27</Pages>
  <Words>9094</Words>
  <Characters>50023</Characters>
  <Application>Microsoft Office Word</Application>
  <DocSecurity>0</DocSecurity>
  <Lines>416</Lines>
  <Paragraphs>117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Martin Rojas Mejia</cp:lastModifiedBy>
  <cp:revision>9</cp:revision>
  <cp:lastPrinted>2020-01-30T18:05:00Z</cp:lastPrinted>
  <dcterms:created xsi:type="dcterms:W3CDTF">2022-05-17T14:18:00Z</dcterms:created>
  <dcterms:modified xsi:type="dcterms:W3CDTF">2022-06-01T19:54:00Z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