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7BA26" w14:textId="77777777" w:rsidR="00BE1E33" w:rsidRPr="004E17A8" w:rsidRDefault="00BE1E33" w:rsidP="00BE1E33">
      <w:pPr>
        <w:jc w:val="right"/>
        <w:rPr>
          <w:rFonts w:ascii="Arial" w:hAnsi="Arial" w:cs="Arial"/>
          <w:bCs/>
          <w:sz w:val="16"/>
          <w:szCs w:val="16"/>
          <w:lang w:eastAsia="es-ES"/>
        </w:rPr>
      </w:pPr>
      <w:r w:rsidRPr="004E17A8">
        <w:rPr>
          <w:rFonts w:ascii="Arial" w:hAnsi="Arial" w:cs="Arial"/>
          <w:b/>
          <w:sz w:val="16"/>
          <w:szCs w:val="16"/>
          <w:lang w:eastAsia="es-ES"/>
        </w:rPr>
        <w:tab/>
      </w:r>
      <w:r w:rsidRPr="004E17A8">
        <w:rPr>
          <w:rFonts w:ascii="Arial" w:hAnsi="Arial" w:cs="Arial"/>
          <w:bCs/>
          <w:sz w:val="16"/>
          <w:szCs w:val="16"/>
          <w:lang w:eastAsia="es-ES"/>
        </w:rPr>
        <w:t>CCE-DES-FM-17</w:t>
      </w:r>
    </w:p>
    <w:p w14:paraId="30106002" w14:textId="77777777" w:rsidR="005204A7" w:rsidRPr="004E17A8" w:rsidRDefault="005204A7" w:rsidP="005204A7">
      <w:pPr>
        <w:jc w:val="both"/>
        <w:rPr>
          <w:rFonts w:ascii="Arial" w:eastAsia="Calibri" w:hAnsi="Arial" w:cs="Arial"/>
          <w:b/>
          <w:sz w:val="20"/>
          <w:szCs w:val="20"/>
        </w:rPr>
      </w:pPr>
    </w:p>
    <w:p w14:paraId="7F4004B0" w14:textId="3948B9A8" w:rsidR="005204A7" w:rsidRPr="004E17A8" w:rsidRDefault="00F85C73" w:rsidP="005204A7">
      <w:pPr>
        <w:jc w:val="both"/>
        <w:rPr>
          <w:rFonts w:ascii="Arial" w:eastAsia="Calibri" w:hAnsi="Arial" w:cs="Arial"/>
          <w:b/>
          <w:sz w:val="22"/>
        </w:rPr>
      </w:pPr>
      <w:r w:rsidRPr="004E17A8">
        <w:rPr>
          <w:rFonts w:ascii="Arial" w:eastAsia="Calibri" w:hAnsi="Arial" w:cs="Arial"/>
          <w:b/>
          <w:sz w:val="22"/>
        </w:rPr>
        <w:t xml:space="preserve">LEY DE EMPRENDIMIENTO </w:t>
      </w:r>
      <w:r w:rsidR="00AF3236" w:rsidRPr="004E17A8">
        <w:rPr>
          <w:rFonts w:ascii="Arial" w:eastAsia="Calibri" w:hAnsi="Arial" w:cs="Arial"/>
          <w:b/>
          <w:sz w:val="22"/>
        </w:rPr>
        <w:t xml:space="preserve">– </w:t>
      </w:r>
      <w:r w:rsidRPr="004E17A8">
        <w:rPr>
          <w:rFonts w:ascii="Arial" w:eastAsia="Calibri" w:hAnsi="Arial" w:cs="Arial"/>
          <w:b/>
          <w:sz w:val="22"/>
        </w:rPr>
        <w:t>Finalidad</w:t>
      </w:r>
      <w:r w:rsidR="00AF3236" w:rsidRPr="004E17A8">
        <w:rPr>
          <w:rFonts w:ascii="Arial" w:eastAsia="Calibri" w:hAnsi="Arial" w:cs="Arial"/>
          <w:b/>
          <w:sz w:val="22"/>
        </w:rPr>
        <w:t xml:space="preserve"> </w:t>
      </w:r>
    </w:p>
    <w:p w14:paraId="5600DD94" w14:textId="77777777" w:rsidR="005204A7" w:rsidRPr="004E17A8" w:rsidRDefault="005204A7" w:rsidP="005204A7">
      <w:pPr>
        <w:jc w:val="both"/>
        <w:rPr>
          <w:rFonts w:ascii="Arial" w:eastAsia="Calibri" w:hAnsi="Arial" w:cs="Arial"/>
          <w:sz w:val="20"/>
          <w:szCs w:val="20"/>
        </w:rPr>
      </w:pPr>
    </w:p>
    <w:p w14:paraId="3AA0AF3C" w14:textId="2AE436CF" w:rsidR="005204A7" w:rsidRPr="004E17A8" w:rsidRDefault="00420BF6" w:rsidP="005204A7">
      <w:pPr>
        <w:jc w:val="both"/>
        <w:rPr>
          <w:rFonts w:ascii="Arial" w:eastAsia="Calibri" w:hAnsi="Arial" w:cs="Arial"/>
          <w:bCs/>
          <w:sz w:val="20"/>
          <w:szCs w:val="20"/>
        </w:rPr>
      </w:pPr>
      <w:r w:rsidRPr="004E17A8">
        <w:rPr>
          <w:rFonts w:ascii="Arial" w:eastAsia="Calibri" w:hAnsi="Arial" w:cs="Arial"/>
          <w:bCs/>
          <w:sz w:val="20"/>
          <w:szCs w:val="20"/>
        </w:rPr>
        <w:t xml:space="preserve">El pasado 31 de diciembre, en congruencia con el «Pacto por el emprendimiento, la formalización y la productividad» del Plan Nacional de Desarrollo 2018-2022, el </w:t>
      </w:r>
      <w:proofErr w:type="gramStart"/>
      <w:r w:rsidRPr="004E17A8">
        <w:rPr>
          <w:rFonts w:ascii="Arial" w:eastAsia="Calibri" w:hAnsi="Arial" w:cs="Arial"/>
          <w:bCs/>
          <w:sz w:val="20"/>
          <w:szCs w:val="20"/>
        </w:rPr>
        <w:t>Presidente</w:t>
      </w:r>
      <w:proofErr w:type="gramEnd"/>
      <w:r w:rsidRPr="004E17A8">
        <w:rPr>
          <w:rFonts w:ascii="Arial" w:eastAsia="Calibri" w:hAnsi="Arial" w:cs="Arial"/>
          <w:bCs/>
          <w:sz w:val="20"/>
          <w:szCs w:val="20"/>
        </w:rPr>
        <w:t xml:space="preserve"> de la República sancionó la Ley 2069 de 2020 para impulsar el nacimiento de nuevas empresas que incentiven la generación de empleo en país. Dicha Ley busca generar la reactivación de la economía y fomentar la actividad emprendedora, y por ello, tiene como uno de sus propósitos propiciar un entorno para ayudar al crecimiento, consolidación y sostenibilidad de esas iniciativas, generando mayor desarrollo social, creación de las empresas y mejoras tanto en la productividad como en la competitividad. De esta manera, la ley en comento también concreta la «Política de formalización empresarial» del Documento CONPES 3956 del 8 de enero de 2019.</w:t>
      </w:r>
    </w:p>
    <w:p w14:paraId="00373B6C" w14:textId="77777777" w:rsidR="00420BF6" w:rsidRPr="004E17A8" w:rsidRDefault="00420BF6" w:rsidP="005204A7">
      <w:pPr>
        <w:jc w:val="both"/>
        <w:rPr>
          <w:rFonts w:ascii="Arial" w:eastAsia="Calibri" w:hAnsi="Arial" w:cs="Arial"/>
          <w:b/>
          <w:sz w:val="20"/>
          <w:szCs w:val="20"/>
        </w:rPr>
      </w:pPr>
    </w:p>
    <w:p w14:paraId="416F63BE" w14:textId="1FDFFEC1" w:rsidR="005204A7" w:rsidRPr="004E17A8" w:rsidRDefault="005A10A9" w:rsidP="005204A7">
      <w:pPr>
        <w:jc w:val="both"/>
        <w:rPr>
          <w:rFonts w:ascii="Arial" w:eastAsia="Calibri" w:hAnsi="Arial" w:cs="Arial"/>
          <w:b/>
          <w:sz w:val="22"/>
        </w:rPr>
      </w:pPr>
      <w:r w:rsidRPr="004E17A8">
        <w:rPr>
          <w:rFonts w:ascii="Arial" w:eastAsia="Calibri" w:hAnsi="Arial" w:cs="Arial"/>
          <w:b/>
          <w:sz w:val="22"/>
        </w:rPr>
        <w:t>RELACIÓN ENTRE LA LEY Y EL REGLAMENTO</w:t>
      </w:r>
      <w:r w:rsidR="00DB3513" w:rsidRPr="004E17A8">
        <w:rPr>
          <w:rFonts w:ascii="Arial" w:eastAsia="Calibri" w:hAnsi="Arial" w:cs="Arial"/>
          <w:b/>
          <w:sz w:val="22"/>
        </w:rPr>
        <w:t xml:space="preserve"> – Tesis de la aplicación directa – Tesis de la reglamentación</w:t>
      </w:r>
      <w:r w:rsidR="00C8308A" w:rsidRPr="004E17A8">
        <w:rPr>
          <w:rFonts w:ascii="Arial" w:eastAsia="Calibri" w:hAnsi="Arial" w:cs="Arial"/>
          <w:b/>
          <w:sz w:val="22"/>
        </w:rPr>
        <w:t xml:space="preserve"> – Diferencias</w:t>
      </w:r>
    </w:p>
    <w:p w14:paraId="69524CC8" w14:textId="77777777" w:rsidR="005204A7" w:rsidRPr="004E17A8" w:rsidRDefault="005204A7" w:rsidP="005204A7">
      <w:pPr>
        <w:jc w:val="both"/>
        <w:rPr>
          <w:rFonts w:ascii="Arial" w:eastAsia="Calibri" w:hAnsi="Arial" w:cs="Arial"/>
          <w:b/>
          <w:sz w:val="20"/>
          <w:szCs w:val="20"/>
        </w:rPr>
      </w:pPr>
    </w:p>
    <w:p w14:paraId="034E73F0" w14:textId="77777777" w:rsidR="00420BF6" w:rsidRPr="004E17A8" w:rsidRDefault="005A10A9" w:rsidP="00420BF6">
      <w:pPr>
        <w:jc w:val="both"/>
        <w:rPr>
          <w:rFonts w:ascii="Arial" w:eastAsia="Calibri" w:hAnsi="Arial" w:cs="Arial"/>
          <w:bCs/>
          <w:sz w:val="20"/>
          <w:szCs w:val="20"/>
        </w:rPr>
      </w:pPr>
      <w:r w:rsidRPr="004E17A8">
        <w:rPr>
          <w:rFonts w:ascii="Arial" w:eastAsia="Calibri" w:hAnsi="Arial" w:cs="Arial"/>
          <w:bCs/>
          <w:sz w:val="20"/>
          <w:szCs w:val="20"/>
        </w:rPr>
        <w:t xml:space="preserve">[…] </w:t>
      </w:r>
      <w:r w:rsidR="00420BF6" w:rsidRPr="004E17A8">
        <w:rPr>
          <w:rFonts w:ascii="Arial" w:eastAsia="Calibri" w:hAnsi="Arial" w:cs="Arial"/>
          <w:bCs/>
          <w:sz w:val="20"/>
          <w:szCs w:val="20"/>
        </w:rPr>
        <w:t xml:space="preserve">quien opte por la tesis de la aplicación directa debe sostener que la intervención del reglamento es accesoria, no necesaria: el Congreso de la República ejerce su competencia para la expedición de las leyes sin que normas de inferior jerarquía condicionen su vigencia o aplicación. En este contexto, cualquier espacio abierto de decisión –siempre que no esté sometido a reserva– habilita el ejercicio de potestades discrecionales por parte de las entidades públicas, salvo que el reglamento eventualmente los limite. </w:t>
      </w:r>
    </w:p>
    <w:p w14:paraId="15510FBD" w14:textId="77777777" w:rsidR="00420BF6" w:rsidRPr="004E17A8" w:rsidRDefault="00420BF6" w:rsidP="00420BF6">
      <w:pPr>
        <w:jc w:val="both"/>
        <w:rPr>
          <w:rFonts w:ascii="Arial" w:eastAsia="Calibri" w:hAnsi="Arial" w:cs="Arial"/>
          <w:bCs/>
          <w:sz w:val="20"/>
          <w:szCs w:val="20"/>
        </w:rPr>
      </w:pPr>
    </w:p>
    <w:p w14:paraId="6F0F33E9" w14:textId="101773C0" w:rsidR="005A10A9" w:rsidRPr="004E17A8" w:rsidRDefault="00420BF6" w:rsidP="00420BF6">
      <w:pPr>
        <w:jc w:val="both"/>
        <w:rPr>
          <w:rFonts w:ascii="Arial" w:eastAsia="Calibri" w:hAnsi="Arial" w:cs="Arial"/>
          <w:bCs/>
          <w:sz w:val="20"/>
          <w:szCs w:val="20"/>
        </w:rPr>
      </w:pPr>
      <w:r w:rsidRPr="004E17A8">
        <w:rPr>
          <w:rFonts w:ascii="Arial" w:eastAsia="Calibri" w:hAnsi="Arial" w:cs="Arial"/>
          <w:bCs/>
          <w:sz w:val="20"/>
          <w:szCs w:val="20"/>
        </w:rPr>
        <w:t>De esta manera, a menor precisión de la ley, mayor es el campo de acción del reglamento: en este el funcionario competente tiene libertad para expedir o no las normas correspondientes. Por ello, la jurisprudencia explica que la competencia reglamentaria prevista en el artículo 189.11 superior también corresponde a un poder discrecional. En este contexto, si la expedición de reglamentos no es obligatoria, la ausencia de estos no excusa la inaplicación de la ley, pues contiene unos elementos mínimos que vinculan directamente a los destinatarios.</w:t>
      </w:r>
    </w:p>
    <w:p w14:paraId="0195D622" w14:textId="20F9DB5F" w:rsidR="005204A7" w:rsidRPr="004E17A8" w:rsidRDefault="005204A7" w:rsidP="005204A7">
      <w:pPr>
        <w:jc w:val="both"/>
        <w:rPr>
          <w:rFonts w:ascii="Arial" w:eastAsia="Calibri" w:hAnsi="Arial" w:cs="Arial"/>
          <w:sz w:val="20"/>
          <w:szCs w:val="20"/>
        </w:rPr>
      </w:pPr>
    </w:p>
    <w:p w14:paraId="1CDB5685" w14:textId="28DA6486" w:rsidR="005204A7" w:rsidRPr="004E17A8" w:rsidRDefault="00C8308A" w:rsidP="005204A7">
      <w:pPr>
        <w:jc w:val="both"/>
        <w:rPr>
          <w:rFonts w:ascii="Arial" w:eastAsia="Calibri" w:hAnsi="Arial" w:cs="Arial"/>
          <w:b/>
          <w:sz w:val="22"/>
        </w:rPr>
      </w:pPr>
      <w:r w:rsidRPr="004E17A8">
        <w:rPr>
          <w:rFonts w:ascii="Arial" w:eastAsia="Calibri" w:hAnsi="Arial" w:cs="Arial"/>
          <w:b/>
          <w:sz w:val="22"/>
        </w:rPr>
        <w:t xml:space="preserve">REGLAMENTACIÓN PREVIA – Ley </w:t>
      </w:r>
      <w:r w:rsidR="005A10A9" w:rsidRPr="004E17A8">
        <w:rPr>
          <w:rFonts w:ascii="Arial" w:eastAsia="Calibri" w:hAnsi="Arial" w:cs="Arial"/>
          <w:b/>
          <w:sz w:val="22"/>
        </w:rPr>
        <w:t>2069 de 2020</w:t>
      </w:r>
    </w:p>
    <w:p w14:paraId="6327B2C6" w14:textId="77777777" w:rsidR="0028617E" w:rsidRPr="004E17A8" w:rsidRDefault="0028617E" w:rsidP="005204A7">
      <w:pPr>
        <w:jc w:val="both"/>
        <w:rPr>
          <w:rFonts w:ascii="Arial" w:eastAsia="Calibri" w:hAnsi="Arial" w:cs="Arial"/>
          <w:b/>
          <w:sz w:val="20"/>
          <w:szCs w:val="20"/>
        </w:rPr>
      </w:pPr>
    </w:p>
    <w:p w14:paraId="37448274" w14:textId="0EE143E3" w:rsidR="00420BF6" w:rsidRPr="004E17A8" w:rsidRDefault="00420BF6" w:rsidP="00420BF6">
      <w:pPr>
        <w:jc w:val="both"/>
        <w:rPr>
          <w:rFonts w:ascii="Arial" w:eastAsia="Calibri" w:hAnsi="Arial" w:cs="Arial"/>
          <w:bCs/>
          <w:sz w:val="20"/>
          <w:szCs w:val="20"/>
          <w:lang w:val="es-ES"/>
        </w:rPr>
      </w:pPr>
      <w:r w:rsidRPr="004E17A8">
        <w:rPr>
          <w:rFonts w:ascii="Arial" w:eastAsia="Calibri" w:hAnsi="Arial" w:cs="Arial"/>
          <w:bCs/>
          <w:sz w:val="20"/>
          <w:szCs w:val="20"/>
          <w:lang w:val="es-ES"/>
        </w:rPr>
        <w:t xml:space="preserve">La referencia hecha en una ley a que el Gobierno Nacional reglamentará la materia indica que el reglamento es indispensable para el cumplimiento de </w:t>
      </w:r>
      <w:proofErr w:type="gramStart"/>
      <w:r w:rsidRPr="004E17A8">
        <w:rPr>
          <w:rFonts w:ascii="Arial" w:eastAsia="Calibri" w:hAnsi="Arial" w:cs="Arial"/>
          <w:bCs/>
          <w:sz w:val="20"/>
          <w:szCs w:val="20"/>
          <w:lang w:val="es-ES"/>
        </w:rPr>
        <w:t>la misma</w:t>
      </w:r>
      <w:proofErr w:type="gramEnd"/>
      <w:r w:rsidRPr="004E17A8">
        <w:rPr>
          <w:rFonts w:ascii="Arial" w:eastAsia="Calibri" w:hAnsi="Arial" w:cs="Arial"/>
          <w:bCs/>
          <w:sz w:val="20"/>
          <w:szCs w:val="20"/>
          <w:lang w:val="es-ES"/>
        </w:rPr>
        <w:t xml:space="preserve">. Naturalmente, este reconocimiento no siempre implica que la ley está sometida a condición para </w:t>
      </w:r>
      <w:proofErr w:type="gramStart"/>
      <w:r w:rsidRPr="004E17A8">
        <w:rPr>
          <w:rFonts w:ascii="Arial" w:eastAsia="Calibri" w:hAnsi="Arial" w:cs="Arial"/>
          <w:bCs/>
          <w:sz w:val="20"/>
          <w:szCs w:val="20"/>
          <w:lang w:val="es-ES"/>
        </w:rPr>
        <w:t>entrar en vigencia</w:t>
      </w:r>
      <w:proofErr w:type="gramEnd"/>
      <w:r w:rsidRPr="004E17A8">
        <w:rPr>
          <w:rFonts w:ascii="Arial" w:eastAsia="Calibri" w:hAnsi="Arial" w:cs="Arial"/>
          <w:bCs/>
          <w:sz w:val="20"/>
          <w:szCs w:val="20"/>
          <w:lang w:val="es-ES"/>
        </w:rPr>
        <w:t xml:space="preserve">; pero cuando ello se analiza con otros elementos que obran en este sentido, como los antecedentes legislativos, es posible utilizar la referencia al reglamento como una prueba de que la ley moduló sus efectos en el tiempo y se encuentra sometida a condición. Para la Subdirección de Gestión Contractual, las consideraciones de los párrafos precedentes también son aplicables al tema objeto de consulta, ya que el Congreso de la República dispuso la expedición de un decreto reglamentario para detallar el contenido los artículos 31, 32, 34 y 36 de la Ley 2069 de 2020. Por ello, en ausencia de desarrollo normativo posterior existe una laguna técnica que impide aplicar estas disposiciones. </w:t>
      </w:r>
    </w:p>
    <w:p w14:paraId="041AB012" w14:textId="77777777" w:rsidR="00420BF6" w:rsidRPr="004E17A8" w:rsidRDefault="00420BF6" w:rsidP="00420BF6">
      <w:pPr>
        <w:jc w:val="both"/>
        <w:rPr>
          <w:rFonts w:ascii="Arial" w:eastAsia="Calibri" w:hAnsi="Arial" w:cs="Arial"/>
          <w:bCs/>
          <w:sz w:val="20"/>
          <w:szCs w:val="20"/>
          <w:lang w:val="es-ES"/>
        </w:rPr>
      </w:pPr>
    </w:p>
    <w:p w14:paraId="091FB4A7" w14:textId="53C6D7B6" w:rsidR="00A55BF1" w:rsidRPr="004E17A8" w:rsidRDefault="00420BF6" w:rsidP="00420BF6">
      <w:pPr>
        <w:jc w:val="both"/>
        <w:rPr>
          <w:rFonts w:ascii="Arial" w:eastAsia="Calibri" w:hAnsi="Arial" w:cs="Arial"/>
          <w:bCs/>
          <w:sz w:val="20"/>
          <w:szCs w:val="20"/>
          <w:lang w:val="es-ES"/>
        </w:rPr>
      </w:pPr>
      <w:r w:rsidRPr="004E17A8">
        <w:rPr>
          <w:rFonts w:ascii="Arial" w:eastAsia="Calibri" w:hAnsi="Arial" w:cs="Arial"/>
          <w:bCs/>
          <w:sz w:val="20"/>
          <w:szCs w:val="20"/>
          <w:lang w:val="es-ES"/>
        </w:rPr>
        <w:t xml:space="preserve">En este caso, la necesidad de la reglamentación previa también deriva de los antecedentes legislativos. En lo pertinente, el texto inicial de los artículos 15 y 17 del Proyecto de Ley No. 122 de 2020 disponía que la necesidad del reglamento en lo relacionado con i) los criterios diferenciales para </w:t>
      </w:r>
      <w:proofErr w:type="spellStart"/>
      <w:r w:rsidRPr="004E17A8">
        <w:rPr>
          <w:rFonts w:ascii="Arial" w:eastAsia="Calibri" w:hAnsi="Arial" w:cs="Arial"/>
          <w:bCs/>
          <w:sz w:val="20"/>
          <w:szCs w:val="20"/>
          <w:lang w:val="es-ES"/>
        </w:rPr>
        <w:t>mipymes</w:t>
      </w:r>
      <w:proofErr w:type="spellEnd"/>
      <w:r w:rsidRPr="004E17A8">
        <w:rPr>
          <w:rFonts w:ascii="Arial" w:eastAsia="Calibri" w:hAnsi="Arial" w:cs="Arial"/>
          <w:bCs/>
          <w:sz w:val="20"/>
          <w:szCs w:val="20"/>
          <w:lang w:val="es-ES"/>
        </w:rPr>
        <w:t xml:space="preserve"> y </w:t>
      </w:r>
      <w:proofErr w:type="spellStart"/>
      <w:r w:rsidRPr="004E17A8">
        <w:rPr>
          <w:rFonts w:ascii="Arial" w:eastAsia="Calibri" w:hAnsi="Arial" w:cs="Arial"/>
          <w:bCs/>
          <w:sz w:val="20"/>
          <w:szCs w:val="20"/>
          <w:lang w:val="es-ES"/>
        </w:rPr>
        <w:t>ii</w:t>
      </w:r>
      <w:proofErr w:type="spellEnd"/>
      <w:r w:rsidRPr="004E17A8">
        <w:rPr>
          <w:rFonts w:ascii="Arial" w:eastAsia="Calibri" w:hAnsi="Arial" w:cs="Arial"/>
          <w:bCs/>
          <w:sz w:val="20"/>
          <w:szCs w:val="20"/>
          <w:lang w:val="es-ES"/>
        </w:rPr>
        <w:t xml:space="preserve">) las convocatorias limitadas a </w:t>
      </w:r>
      <w:proofErr w:type="spellStart"/>
      <w:r w:rsidRPr="004E17A8">
        <w:rPr>
          <w:rFonts w:ascii="Arial" w:eastAsia="Calibri" w:hAnsi="Arial" w:cs="Arial"/>
          <w:bCs/>
          <w:sz w:val="20"/>
          <w:szCs w:val="20"/>
          <w:lang w:val="es-ES"/>
        </w:rPr>
        <w:t>mipymes</w:t>
      </w:r>
      <w:proofErr w:type="spellEnd"/>
      <w:r w:rsidRPr="004E17A8">
        <w:rPr>
          <w:rFonts w:ascii="Arial" w:eastAsia="Calibri" w:hAnsi="Arial" w:cs="Arial"/>
          <w:bCs/>
          <w:sz w:val="20"/>
          <w:szCs w:val="20"/>
          <w:lang w:val="es-ES"/>
        </w:rPr>
        <w:t>, así como el fomento en la ejecución de los contratos estatales por parte de sujetos de especial protección.</w:t>
      </w:r>
    </w:p>
    <w:p w14:paraId="63ADF079" w14:textId="77777777" w:rsidR="00420BF6" w:rsidRPr="004E17A8" w:rsidRDefault="00420BF6" w:rsidP="00420BF6">
      <w:pPr>
        <w:jc w:val="both"/>
        <w:rPr>
          <w:rFonts w:ascii="Arial" w:eastAsia="Calibri" w:hAnsi="Arial" w:cs="Arial"/>
          <w:bCs/>
          <w:sz w:val="20"/>
          <w:szCs w:val="20"/>
          <w:lang w:val="es-ES"/>
        </w:rPr>
      </w:pPr>
    </w:p>
    <w:p w14:paraId="54103D09" w14:textId="0E025F42" w:rsidR="00EC4205" w:rsidRDefault="00EC4205" w:rsidP="005C5B7C">
      <w:pPr>
        <w:jc w:val="both"/>
        <w:rPr>
          <w:rFonts w:ascii="Arial" w:eastAsia="Calibri" w:hAnsi="Arial" w:cs="Arial"/>
          <w:sz w:val="22"/>
        </w:rPr>
      </w:pPr>
    </w:p>
    <w:p w14:paraId="0C0D2A6A" w14:textId="3179B448" w:rsidR="00EC4205" w:rsidRPr="004E17A8" w:rsidRDefault="00EC4205" w:rsidP="00EC4205">
      <w:pPr>
        <w:jc w:val="right"/>
        <w:rPr>
          <w:rFonts w:ascii="Arial" w:eastAsia="Calibri" w:hAnsi="Arial" w:cs="Arial"/>
          <w:sz w:val="22"/>
        </w:rPr>
      </w:pPr>
      <w:r w:rsidRPr="00EC4205">
        <w:rPr>
          <w:rFonts w:ascii="Arial" w:eastAsia="Calibri" w:hAnsi="Arial" w:cs="Arial"/>
          <w:sz w:val="22"/>
        </w:rPr>
        <w:drawing>
          <wp:inline distT="0" distB="0" distL="0" distR="0" wp14:anchorId="25060021" wp14:editId="25BD07CC">
            <wp:extent cx="2971800" cy="781665"/>
            <wp:effectExtent l="0" t="0" r="0" b="0"/>
            <wp:docPr id="1" name="Imagen 1"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Interfaz de usuario gráfica, Texto&#10;&#10;Descripción generada automáticamente"/>
                    <pic:cNvPicPr/>
                  </pic:nvPicPr>
                  <pic:blipFill>
                    <a:blip r:embed="rId11"/>
                    <a:stretch>
                      <a:fillRect/>
                    </a:stretch>
                  </pic:blipFill>
                  <pic:spPr>
                    <a:xfrm>
                      <a:off x="0" y="0"/>
                      <a:ext cx="2988671" cy="786102"/>
                    </a:xfrm>
                    <a:prstGeom prst="rect">
                      <a:avLst/>
                    </a:prstGeom>
                  </pic:spPr>
                </pic:pic>
              </a:graphicData>
            </a:graphic>
          </wp:inline>
        </w:drawing>
      </w:r>
    </w:p>
    <w:p w14:paraId="4ADAFB23" w14:textId="77777777" w:rsidR="004E17A8" w:rsidRPr="004E17A8" w:rsidRDefault="004E17A8" w:rsidP="00BE1E33">
      <w:pPr>
        <w:rPr>
          <w:rFonts w:ascii="Arial" w:eastAsia="Calibri" w:hAnsi="Arial" w:cs="Arial"/>
          <w:sz w:val="22"/>
        </w:rPr>
      </w:pPr>
    </w:p>
    <w:p w14:paraId="73D51859" w14:textId="6B65BAA6" w:rsidR="00BE1E33" w:rsidRPr="004E17A8" w:rsidRDefault="00E6266E" w:rsidP="00BE1E33">
      <w:pPr>
        <w:rPr>
          <w:rFonts w:ascii="Arial" w:eastAsia="Calibri" w:hAnsi="Arial" w:cs="Arial"/>
          <w:sz w:val="22"/>
        </w:rPr>
      </w:pPr>
      <w:r w:rsidRPr="004E17A8">
        <w:rPr>
          <w:rFonts w:ascii="Arial" w:eastAsia="Calibri" w:hAnsi="Arial" w:cs="Arial"/>
          <w:sz w:val="22"/>
        </w:rPr>
        <w:t>Señor</w:t>
      </w:r>
    </w:p>
    <w:p w14:paraId="454D04DB" w14:textId="74974CAF" w:rsidR="00D1499C" w:rsidRPr="004E17A8" w:rsidRDefault="00D1499C" w:rsidP="00BE1E33">
      <w:pPr>
        <w:rPr>
          <w:rFonts w:ascii="Arial" w:eastAsia="Calibri" w:hAnsi="Arial" w:cs="Arial"/>
          <w:b/>
          <w:sz w:val="22"/>
        </w:rPr>
      </w:pPr>
      <w:r w:rsidRPr="004E17A8">
        <w:rPr>
          <w:rFonts w:ascii="Arial" w:eastAsia="Calibri" w:hAnsi="Arial" w:cs="Arial"/>
          <w:b/>
          <w:sz w:val="22"/>
        </w:rPr>
        <w:t>Nilton Javier Caicedo Vidal</w:t>
      </w:r>
    </w:p>
    <w:p w14:paraId="04EF8353" w14:textId="7D1301B0" w:rsidR="00BE1E33" w:rsidRPr="004E17A8" w:rsidRDefault="00EA21E0" w:rsidP="00BE1E33">
      <w:pPr>
        <w:rPr>
          <w:rFonts w:ascii="Arial" w:eastAsia="Calibri" w:hAnsi="Arial" w:cs="Arial"/>
          <w:sz w:val="22"/>
        </w:rPr>
      </w:pPr>
      <w:r w:rsidRPr="004E17A8">
        <w:rPr>
          <w:rFonts w:ascii="Arial" w:eastAsia="Calibri" w:hAnsi="Arial" w:cs="Arial"/>
          <w:sz w:val="22"/>
        </w:rPr>
        <w:t>C</w:t>
      </w:r>
      <w:r w:rsidR="00D1499C" w:rsidRPr="004E17A8">
        <w:rPr>
          <w:rFonts w:ascii="Arial" w:eastAsia="Calibri" w:hAnsi="Arial" w:cs="Arial"/>
          <w:sz w:val="22"/>
        </w:rPr>
        <w:t>ali, Valle del Cauca</w:t>
      </w:r>
    </w:p>
    <w:p w14:paraId="19414064" w14:textId="5B6DA9D8" w:rsidR="008C3ACC" w:rsidRDefault="008C3ACC" w:rsidP="00BE1E33">
      <w:pPr>
        <w:rPr>
          <w:rFonts w:ascii="Arial" w:eastAsia="Calibri" w:hAnsi="Arial" w:cs="Arial"/>
          <w:sz w:val="22"/>
        </w:rPr>
      </w:pPr>
    </w:p>
    <w:p w14:paraId="1919AF38" w14:textId="77777777" w:rsidR="001637A0" w:rsidRPr="004E17A8" w:rsidRDefault="001637A0" w:rsidP="00BE1E33">
      <w:pPr>
        <w:rPr>
          <w:rFonts w:ascii="Arial" w:eastAsia="Calibri" w:hAnsi="Arial" w:cs="Arial"/>
          <w:sz w:val="22"/>
        </w:rPr>
      </w:pPr>
    </w:p>
    <w:p w14:paraId="5CEA4ADF" w14:textId="24DB1DE7" w:rsidR="00BE1E33" w:rsidRPr="004E17A8" w:rsidRDefault="00BE1E33" w:rsidP="00BE1E33">
      <w:pPr>
        <w:ind w:firstLine="2694"/>
        <w:rPr>
          <w:rFonts w:ascii="Arial" w:eastAsia="Calibri" w:hAnsi="Arial" w:cs="Arial"/>
          <w:b/>
          <w:sz w:val="22"/>
        </w:rPr>
      </w:pPr>
      <w:r w:rsidRPr="004E17A8">
        <w:rPr>
          <w:rFonts w:ascii="Arial" w:eastAsia="Calibri" w:hAnsi="Arial" w:cs="Arial"/>
          <w:b/>
          <w:sz w:val="22"/>
        </w:rPr>
        <w:t xml:space="preserve">Concepto C </w:t>
      </w:r>
      <w:r w:rsidR="00490DBF" w:rsidRPr="004E17A8">
        <w:rPr>
          <w:rFonts w:ascii="Arial" w:eastAsia="Calibri" w:hAnsi="Arial" w:cs="Arial"/>
          <w:b/>
          <w:sz w:val="22"/>
        </w:rPr>
        <w:t>–</w:t>
      </w:r>
      <w:r w:rsidRPr="004E17A8">
        <w:rPr>
          <w:rFonts w:ascii="Arial" w:eastAsia="Calibri" w:hAnsi="Arial" w:cs="Arial"/>
          <w:b/>
          <w:sz w:val="22"/>
        </w:rPr>
        <w:t xml:space="preserve"> </w:t>
      </w:r>
      <w:r w:rsidR="00E32D5F" w:rsidRPr="004E17A8">
        <w:rPr>
          <w:rFonts w:ascii="Arial" w:eastAsia="Calibri" w:hAnsi="Arial" w:cs="Arial"/>
          <w:b/>
          <w:sz w:val="22"/>
        </w:rPr>
        <w:t>315</w:t>
      </w:r>
      <w:r w:rsidR="000100E8" w:rsidRPr="004E17A8">
        <w:rPr>
          <w:rFonts w:ascii="Arial" w:eastAsia="Calibri" w:hAnsi="Arial" w:cs="Arial"/>
          <w:b/>
          <w:sz w:val="22"/>
        </w:rPr>
        <w:t xml:space="preserve"> </w:t>
      </w:r>
      <w:r w:rsidRPr="004E17A8">
        <w:rPr>
          <w:rFonts w:ascii="Arial" w:eastAsia="Calibri" w:hAnsi="Arial" w:cs="Arial"/>
          <w:b/>
          <w:sz w:val="22"/>
        </w:rPr>
        <w:t>de 202</w:t>
      </w:r>
      <w:r w:rsidR="00C95532" w:rsidRPr="004E17A8">
        <w:rPr>
          <w:rFonts w:ascii="Arial" w:eastAsia="Calibri" w:hAnsi="Arial" w:cs="Arial"/>
          <w:b/>
          <w:sz w:val="22"/>
        </w:rPr>
        <w:t>1</w:t>
      </w:r>
    </w:p>
    <w:p w14:paraId="234727AD" w14:textId="77777777" w:rsidR="00BE1E33" w:rsidRPr="004E17A8" w:rsidRDefault="00BE1E33" w:rsidP="00BE1E33">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E17A8" w:rsidRPr="004E17A8" w14:paraId="2553E4F3" w14:textId="77777777" w:rsidTr="00AC43E7">
        <w:tc>
          <w:tcPr>
            <w:tcW w:w="2689" w:type="dxa"/>
            <w:hideMark/>
          </w:tcPr>
          <w:p w14:paraId="7BC9E971" w14:textId="77777777" w:rsidR="00BE1E33" w:rsidRPr="004E17A8" w:rsidRDefault="00BE1E33" w:rsidP="00AC43E7">
            <w:pPr>
              <w:rPr>
                <w:rFonts w:ascii="Arial" w:eastAsia="Calibri" w:hAnsi="Arial" w:cs="Arial"/>
                <w:sz w:val="22"/>
              </w:rPr>
            </w:pPr>
            <w:r w:rsidRPr="004E17A8">
              <w:rPr>
                <w:rFonts w:ascii="Arial" w:eastAsia="Calibri" w:hAnsi="Arial" w:cs="Arial"/>
                <w:b/>
                <w:sz w:val="22"/>
              </w:rPr>
              <w:t>Temas:</w:t>
            </w:r>
            <w:r w:rsidRPr="004E17A8">
              <w:rPr>
                <w:rFonts w:ascii="Arial" w:eastAsia="Calibri" w:hAnsi="Arial" w:cs="Arial"/>
                <w:sz w:val="22"/>
              </w:rPr>
              <w:t xml:space="preserve">           </w:t>
            </w:r>
          </w:p>
          <w:p w14:paraId="0C0D8CD7" w14:textId="77777777" w:rsidR="00BE1E33" w:rsidRPr="004E17A8" w:rsidRDefault="00BE1E33" w:rsidP="00AC43E7">
            <w:pPr>
              <w:rPr>
                <w:rFonts w:ascii="Arial" w:eastAsia="Calibri" w:hAnsi="Arial" w:cs="Arial"/>
                <w:sz w:val="22"/>
              </w:rPr>
            </w:pPr>
            <w:r w:rsidRPr="004E17A8">
              <w:rPr>
                <w:rFonts w:ascii="Arial" w:eastAsia="Calibri" w:hAnsi="Arial" w:cs="Arial"/>
                <w:sz w:val="22"/>
              </w:rPr>
              <w:t xml:space="preserve">                           </w:t>
            </w:r>
          </w:p>
        </w:tc>
        <w:tc>
          <w:tcPr>
            <w:tcW w:w="6237" w:type="dxa"/>
            <w:hideMark/>
          </w:tcPr>
          <w:p w14:paraId="0F35FDBD" w14:textId="2AE6D0A3" w:rsidR="00BE1E33" w:rsidRPr="004E17A8" w:rsidRDefault="00E7389E">
            <w:pPr>
              <w:jc w:val="both"/>
              <w:rPr>
                <w:rFonts w:ascii="Arial" w:eastAsia="Calibri" w:hAnsi="Arial" w:cs="Arial"/>
                <w:sz w:val="22"/>
              </w:rPr>
            </w:pPr>
            <w:r w:rsidRPr="004E17A8">
              <w:rPr>
                <w:rFonts w:ascii="Arial" w:eastAsia="Calibri" w:hAnsi="Arial" w:cs="Arial"/>
                <w:sz w:val="22"/>
              </w:rPr>
              <w:t>LEY DE EMPRENDIMIENTO – Finalidad</w:t>
            </w:r>
            <w:r w:rsidR="00A648E0" w:rsidRPr="004E17A8">
              <w:rPr>
                <w:rFonts w:ascii="Arial" w:eastAsia="Calibri" w:hAnsi="Arial" w:cs="Arial"/>
                <w:sz w:val="22"/>
              </w:rPr>
              <w:t xml:space="preserve"> </w:t>
            </w:r>
            <w:r w:rsidR="00FA0CF5" w:rsidRPr="004E17A8">
              <w:rPr>
                <w:rFonts w:ascii="Arial" w:eastAsia="Calibri" w:hAnsi="Arial" w:cs="Arial"/>
                <w:sz w:val="22"/>
              </w:rPr>
              <w:t xml:space="preserve">/ </w:t>
            </w:r>
            <w:r w:rsidRPr="004E17A8">
              <w:rPr>
                <w:rFonts w:ascii="Arial" w:eastAsia="Calibri" w:hAnsi="Arial" w:cs="Arial"/>
                <w:sz w:val="22"/>
              </w:rPr>
              <w:t>RELACIÓN ENTRE LA LEY Y EL REGLAMENTO – Tesis de la aplicación directa – Tesis de la reglamentación – Diferencias</w:t>
            </w:r>
            <w:r w:rsidR="00C8308A" w:rsidRPr="004E17A8">
              <w:rPr>
                <w:rFonts w:ascii="Arial" w:eastAsia="Calibri" w:hAnsi="Arial" w:cs="Arial"/>
                <w:sz w:val="22"/>
              </w:rPr>
              <w:t xml:space="preserve"> / </w:t>
            </w:r>
            <w:r w:rsidRPr="004E17A8">
              <w:rPr>
                <w:rFonts w:ascii="Arial" w:eastAsia="Calibri" w:hAnsi="Arial" w:cs="Arial"/>
                <w:sz w:val="22"/>
              </w:rPr>
              <w:t>REGLAMENTACIÓN PREVIA – Ley 2069 de 2020</w:t>
            </w:r>
            <w:r w:rsidR="0089219C" w:rsidRPr="004E17A8">
              <w:rPr>
                <w:rFonts w:ascii="Arial" w:eastAsia="Calibri" w:hAnsi="Arial" w:cs="Arial"/>
                <w:sz w:val="22"/>
              </w:rPr>
              <w:t xml:space="preserve"> </w:t>
            </w:r>
          </w:p>
        </w:tc>
      </w:tr>
      <w:tr w:rsidR="003F6D32" w:rsidRPr="004E17A8" w14:paraId="20F2A3B6" w14:textId="77777777" w:rsidTr="00AC43E7">
        <w:tc>
          <w:tcPr>
            <w:tcW w:w="2689" w:type="dxa"/>
          </w:tcPr>
          <w:p w14:paraId="1E82F4FA" w14:textId="77777777" w:rsidR="00BE1E33" w:rsidRPr="004E17A8" w:rsidRDefault="00BE1E33" w:rsidP="00AC43E7">
            <w:pPr>
              <w:spacing w:before="120"/>
              <w:rPr>
                <w:rFonts w:ascii="Arial" w:eastAsia="Calibri" w:hAnsi="Arial" w:cs="Arial"/>
                <w:b/>
                <w:sz w:val="22"/>
              </w:rPr>
            </w:pPr>
            <w:r w:rsidRPr="004E17A8">
              <w:rPr>
                <w:rFonts w:ascii="Arial" w:eastAsia="Calibri" w:hAnsi="Arial" w:cs="Arial"/>
                <w:b/>
                <w:sz w:val="22"/>
              </w:rPr>
              <w:t>Radicación:</w:t>
            </w:r>
            <w:r w:rsidRPr="004E17A8">
              <w:rPr>
                <w:rFonts w:ascii="Arial" w:eastAsia="Calibri" w:hAnsi="Arial" w:cs="Arial"/>
                <w:sz w:val="22"/>
              </w:rPr>
              <w:t xml:space="preserve">                              </w:t>
            </w:r>
          </w:p>
        </w:tc>
        <w:tc>
          <w:tcPr>
            <w:tcW w:w="6237" w:type="dxa"/>
          </w:tcPr>
          <w:p w14:paraId="20FCE53A" w14:textId="79332D2D" w:rsidR="00BE1E33" w:rsidRPr="004E17A8" w:rsidRDefault="00BE1E33" w:rsidP="00AC43E7">
            <w:pPr>
              <w:spacing w:before="120"/>
              <w:jc w:val="both"/>
              <w:rPr>
                <w:rFonts w:ascii="Arial" w:eastAsia="Calibri" w:hAnsi="Arial" w:cs="Arial"/>
                <w:sz w:val="22"/>
              </w:rPr>
            </w:pPr>
            <w:r w:rsidRPr="004E17A8">
              <w:rPr>
                <w:rFonts w:ascii="Arial" w:eastAsia="Calibri" w:hAnsi="Arial" w:cs="Arial"/>
                <w:sz w:val="22"/>
              </w:rPr>
              <w:t>Respuesta a consulta</w:t>
            </w:r>
            <w:r w:rsidR="00C95532" w:rsidRPr="004E17A8">
              <w:rPr>
                <w:rFonts w:ascii="Arial" w:eastAsia="Calibri" w:hAnsi="Arial" w:cs="Arial"/>
                <w:sz w:val="22"/>
              </w:rPr>
              <w:t>s</w:t>
            </w:r>
            <w:r w:rsidRPr="004E17A8">
              <w:rPr>
                <w:rFonts w:ascii="Arial" w:eastAsia="Calibri" w:hAnsi="Arial" w:cs="Arial"/>
                <w:sz w:val="22"/>
              </w:rPr>
              <w:t xml:space="preserve"> </w:t>
            </w:r>
            <w:r w:rsidR="002A4BC4" w:rsidRPr="004E17A8">
              <w:rPr>
                <w:rFonts w:ascii="Arial" w:eastAsia="Calibri" w:hAnsi="Arial" w:cs="Arial"/>
                <w:sz w:val="22"/>
              </w:rPr>
              <w:t xml:space="preserve"># </w:t>
            </w:r>
            <w:r w:rsidR="00E32D5F" w:rsidRPr="004E17A8">
              <w:rPr>
                <w:rFonts w:ascii="Arial" w:eastAsia="Calibri" w:hAnsi="Arial" w:cs="Arial"/>
                <w:sz w:val="22"/>
              </w:rPr>
              <w:t>P20210516004236</w:t>
            </w:r>
          </w:p>
        </w:tc>
      </w:tr>
    </w:tbl>
    <w:p w14:paraId="177F3517" w14:textId="77777777" w:rsidR="00BE1E33" w:rsidRPr="004E17A8" w:rsidRDefault="00BE1E33" w:rsidP="00E250E0">
      <w:pPr>
        <w:jc w:val="both"/>
        <w:rPr>
          <w:rFonts w:ascii="Arial" w:eastAsia="Calibri" w:hAnsi="Arial" w:cs="Arial"/>
          <w:sz w:val="22"/>
        </w:rPr>
      </w:pPr>
    </w:p>
    <w:p w14:paraId="06248123" w14:textId="77777777" w:rsidR="00BE1E33" w:rsidRPr="004E17A8" w:rsidRDefault="00BE1E33" w:rsidP="00BE1E33">
      <w:pPr>
        <w:jc w:val="both"/>
        <w:rPr>
          <w:rFonts w:ascii="Arial" w:eastAsia="Calibri" w:hAnsi="Arial" w:cs="Arial"/>
          <w:sz w:val="22"/>
        </w:rPr>
      </w:pPr>
    </w:p>
    <w:p w14:paraId="417ABDA8" w14:textId="0479A46E" w:rsidR="00BE1E33" w:rsidRPr="004E17A8" w:rsidRDefault="00BE1E33" w:rsidP="00BE1E33">
      <w:pPr>
        <w:rPr>
          <w:rFonts w:ascii="Arial" w:eastAsia="Calibri" w:hAnsi="Arial" w:cs="Arial"/>
          <w:sz w:val="22"/>
        </w:rPr>
      </w:pPr>
      <w:r w:rsidRPr="004E17A8">
        <w:rPr>
          <w:rFonts w:ascii="Arial" w:eastAsia="Calibri" w:hAnsi="Arial" w:cs="Arial"/>
          <w:sz w:val="22"/>
        </w:rPr>
        <w:t>Estimad</w:t>
      </w:r>
      <w:r w:rsidR="00D1499C" w:rsidRPr="004E17A8">
        <w:rPr>
          <w:rFonts w:ascii="Arial" w:eastAsia="Calibri" w:hAnsi="Arial" w:cs="Arial"/>
          <w:sz w:val="22"/>
        </w:rPr>
        <w:t>o</w:t>
      </w:r>
      <w:r w:rsidR="009C27A9" w:rsidRPr="004E17A8">
        <w:rPr>
          <w:rFonts w:ascii="Arial" w:eastAsia="Calibri" w:hAnsi="Arial" w:cs="Arial"/>
          <w:sz w:val="22"/>
        </w:rPr>
        <w:t xml:space="preserve"> </w:t>
      </w:r>
      <w:r w:rsidR="008C3ACC" w:rsidRPr="004E17A8">
        <w:rPr>
          <w:rFonts w:ascii="Arial" w:eastAsia="Calibri" w:hAnsi="Arial" w:cs="Arial"/>
          <w:sz w:val="22"/>
        </w:rPr>
        <w:t>señor</w:t>
      </w:r>
      <w:r w:rsidR="00C95532" w:rsidRPr="004E17A8">
        <w:rPr>
          <w:rFonts w:ascii="Arial" w:eastAsia="Calibri" w:hAnsi="Arial" w:cs="Arial"/>
          <w:sz w:val="22"/>
        </w:rPr>
        <w:t xml:space="preserve"> </w:t>
      </w:r>
      <w:r w:rsidR="007F0F42" w:rsidRPr="004E17A8">
        <w:rPr>
          <w:rFonts w:ascii="Arial" w:eastAsia="Calibri" w:hAnsi="Arial" w:cs="Arial"/>
          <w:sz w:val="22"/>
        </w:rPr>
        <w:t>Caicedo</w:t>
      </w:r>
      <w:r w:rsidRPr="004E17A8">
        <w:rPr>
          <w:rFonts w:ascii="Arial" w:eastAsia="Calibri" w:hAnsi="Arial" w:cs="Arial"/>
          <w:sz w:val="22"/>
        </w:rPr>
        <w:t>:</w:t>
      </w:r>
    </w:p>
    <w:p w14:paraId="1CCABABD" w14:textId="77777777" w:rsidR="00BE1E33" w:rsidRPr="004E17A8" w:rsidRDefault="00BE1E33" w:rsidP="00BE1E33">
      <w:pPr>
        <w:rPr>
          <w:rFonts w:ascii="Arial" w:eastAsia="Calibri" w:hAnsi="Arial" w:cs="Arial"/>
          <w:sz w:val="22"/>
        </w:rPr>
      </w:pPr>
    </w:p>
    <w:p w14:paraId="286A9CEF" w14:textId="3CD86472" w:rsidR="00BE1E33" w:rsidRPr="004E17A8" w:rsidRDefault="00BE1E33" w:rsidP="00BE1E33">
      <w:pPr>
        <w:spacing w:line="276" w:lineRule="auto"/>
        <w:jc w:val="both"/>
        <w:rPr>
          <w:rFonts w:ascii="Arial" w:eastAsia="Calibri" w:hAnsi="Arial" w:cs="Arial"/>
          <w:sz w:val="22"/>
        </w:rPr>
      </w:pPr>
      <w:r w:rsidRPr="004E17A8">
        <w:rPr>
          <w:rFonts w:ascii="Arial" w:eastAsia="Calibri" w:hAnsi="Arial" w:cs="Arial"/>
          <w:sz w:val="22"/>
        </w:rPr>
        <w:t xml:space="preserve">En ejercicio de la competencia otorgada por los artículos 11, numeral 8º, y 3º, numeral 5º, del Decreto Ley 4170 de 2011, la Agencia Nacional de Contratación Pública − Colombia Compra Eficiente responde </w:t>
      </w:r>
      <w:r w:rsidR="008544EE" w:rsidRPr="004E17A8">
        <w:rPr>
          <w:rFonts w:ascii="Arial" w:eastAsia="Calibri" w:hAnsi="Arial" w:cs="Arial"/>
          <w:sz w:val="22"/>
        </w:rPr>
        <w:t>su</w:t>
      </w:r>
      <w:r w:rsidR="00C15574" w:rsidRPr="004E17A8">
        <w:rPr>
          <w:rFonts w:ascii="Arial" w:eastAsia="Calibri" w:hAnsi="Arial" w:cs="Arial"/>
          <w:sz w:val="22"/>
        </w:rPr>
        <w:t xml:space="preserve"> consulta </w:t>
      </w:r>
      <w:r w:rsidR="007F0F42" w:rsidRPr="004E17A8">
        <w:rPr>
          <w:rFonts w:ascii="Arial" w:eastAsia="Calibri" w:hAnsi="Arial" w:cs="Arial"/>
          <w:sz w:val="22"/>
        </w:rPr>
        <w:t>d</w:t>
      </w:r>
      <w:r w:rsidRPr="004E17A8">
        <w:rPr>
          <w:rFonts w:ascii="Arial" w:eastAsia="Calibri" w:hAnsi="Arial" w:cs="Arial"/>
          <w:sz w:val="22"/>
        </w:rPr>
        <w:t xml:space="preserve">el </w:t>
      </w:r>
      <w:r w:rsidR="007F0F42" w:rsidRPr="004E17A8">
        <w:rPr>
          <w:rFonts w:ascii="Arial" w:eastAsia="Calibri" w:hAnsi="Arial" w:cs="Arial"/>
          <w:sz w:val="22"/>
        </w:rPr>
        <w:t xml:space="preserve">16 </w:t>
      </w:r>
      <w:r w:rsidR="008E4AD1" w:rsidRPr="004E17A8">
        <w:rPr>
          <w:rFonts w:ascii="Arial" w:eastAsia="Calibri" w:hAnsi="Arial" w:cs="Arial"/>
          <w:sz w:val="22"/>
        </w:rPr>
        <w:t xml:space="preserve">de </w:t>
      </w:r>
      <w:r w:rsidR="007F0F42" w:rsidRPr="004E17A8">
        <w:rPr>
          <w:rFonts w:ascii="Arial" w:eastAsia="Calibri" w:hAnsi="Arial" w:cs="Arial"/>
          <w:sz w:val="22"/>
        </w:rPr>
        <w:t>mayo</w:t>
      </w:r>
      <w:r w:rsidR="008E4AD1" w:rsidRPr="004E17A8">
        <w:rPr>
          <w:rFonts w:ascii="Arial" w:eastAsia="Calibri" w:hAnsi="Arial" w:cs="Arial"/>
          <w:sz w:val="22"/>
        </w:rPr>
        <w:t xml:space="preserve"> de 2021</w:t>
      </w:r>
      <w:r w:rsidRPr="004E17A8">
        <w:rPr>
          <w:rFonts w:ascii="Arial" w:eastAsia="Calibri" w:hAnsi="Arial" w:cs="Arial"/>
          <w:sz w:val="22"/>
        </w:rPr>
        <w:t xml:space="preserve">. </w:t>
      </w:r>
    </w:p>
    <w:p w14:paraId="1D13401D" w14:textId="77777777" w:rsidR="00BE1E33" w:rsidRPr="004E17A8" w:rsidRDefault="00BE1E33" w:rsidP="004E17A8">
      <w:pPr>
        <w:jc w:val="both"/>
        <w:rPr>
          <w:rFonts w:ascii="Arial" w:eastAsia="Calibri" w:hAnsi="Arial" w:cs="Arial"/>
          <w:sz w:val="22"/>
        </w:rPr>
      </w:pPr>
    </w:p>
    <w:p w14:paraId="068F505C" w14:textId="77777777" w:rsidR="00BE1E33" w:rsidRPr="004E17A8" w:rsidRDefault="00BE1E33" w:rsidP="00BE1E33">
      <w:pPr>
        <w:pStyle w:val="Prrafodelista"/>
        <w:numPr>
          <w:ilvl w:val="0"/>
          <w:numId w:val="1"/>
        </w:numPr>
        <w:tabs>
          <w:tab w:val="left" w:pos="284"/>
        </w:tabs>
        <w:spacing w:line="276" w:lineRule="auto"/>
        <w:ind w:left="0" w:firstLine="0"/>
        <w:jc w:val="both"/>
        <w:rPr>
          <w:rFonts w:ascii="Arial" w:eastAsia="Calibri" w:hAnsi="Arial" w:cs="Arial"/>
          <w:b/>
          <w:sz w:val="22"/>
        </w:rPr>
      </w:pPr>
      <w:r w:rsidRPr="004E17A8">
        <w:rPr>
          <w:rFonts w:ascii="Arial" w:eastAsia="Calibri" w:hAnsi="Arial" w:cs="Arial"/>
          <w:b/>
          <w:sz w:val="22"/>
        </w:rPr>
        <w:t xml:space="preserve">Problemas planteados </w:t>
      </w:r>
    </w:p>
    <w:p w14:paraId="430A9943" w14:textId="77777777" w:rsidR="00BE1E33" w:rsidRPr="004E17A8" w:rsidRDefault="00BE1E33" w:rsidP="004E17A8">
      <w:pPr>
        <w:tabs>
          <w:tab w:val="left" w:pos="426"/>
        </w:tabs>
        <w:jc w:val="both"/>
        <w:rPr>
          <w:rFonts w:ascii="Arial" w:eastAsia="Calibri" w:hAnsi="Arial" w:cs="Arial"/>
          <w:b/>
          <w:sz w:val="22"/>
        </w:rPr>
      </w:pPr>
    </w:p>
    <w:p w14:paraId="639F29F2" w14:textId="4365D737" w:rsidR="00183CCB" w:rsidRPr="004E17A8" w:rsidRDefault="008E4AD1" w:rsidP="00900A01">
      <w:pPr>
        <w:tabs>
          <w:tab w:val="left" w:pos="426"/>
        </w:tabs>
        <w:spacing w:line="276" w:lineRule="auto"/>
        <w:jc w:val="both"/>
        <w:rPr>
          <w:rFonts w:ascii="Arial" w:eastAsia="Calibri" w:hAnsi="Arial" w:cs="Arial"/>
          <w:sz w:val="22"/>
        </w:rPr>
      </w:pPr>
      <w:bookmarkStart w:id="0" w:name="_Hlk49352499"/>
      <w:bookmarkStart w:id="1" w:name="_Hlk41142281"/>
      <w:bookmarkStart w:id="2" w:name="_Hlk41043439"/>
      <w:r w:rsidRPr="004E17A8">
        <w:rPr>
          <w:rFonts w:ascii="Arial" w:eastAsia="Calibri" w:hAnsi="Arial" w:cs="Arial"/>
          <w:sz w:val="22"/>
        </w:rPr>
        <w:t>En relación con la Ley 2069 de 202</w:t>
      </w:r>
      <w:bookmarkStart w:id="3" w:name="_Hlk63882769"/>
      <w:bookmarkEnd w:id="0"/>
      <w:bookmarkEnd w:id="1"/>
      <w:bookmarkEnd w:id="2"/>
      <w:r w:rsidR="00183CCB" w:rsidRPr="004E17A8">
        <w:rPr>
          <w:rFonts w:ascii="Arial" w:eastAsia="Calibri" w:hAnsi="Arial" w:cs="Arial"/>
          <w:sz w:val="22"/>
        </w:rPr>
        <w:t xml:space="preserve">0, </w:t>
      </w:r>
      <w:r w:rsidR="00900A01" w:rsidRPr="004E17A8">
        <w:rPr>
          <w:rFonts w:ascii="Arial" w:eastAsia="Calibri" w:hAnsi="Arial" w:cs="Arial"/>
          <w:sz w:val="22"/>
        </w:rPr>
        <w:t>usted realiza</w:t>
      </w:r>
      <w:r w:rsidR="00183CCB" w:rsidRPr="004E17A8">
        <w:rPr>
          <w:rFonts w:ascii="Arial" w:eastAsia="Calibri" w:hAnsi="Arial" w:cs="Arial"/>
          <w:sz w:val="22"/>
        </w:rPr>
        <w:t xml:space="preserve"> la siguiente </w:t>
      </w:r>
      <w:r w:rsidR="00900A01" w:rsidRPr="004E17A8">
        <w:rPr>
          <w:rFonts w:ascii="Arial" w:eastAsia="Calibri" w:hAnsi="Arial" w:cs="Arial"/>
          <w:sz w:val="22"/>
        </w:rPr>
        <w:t>consulta</w:t>
      </w:r>
      <w:r w:rsidR="00183CCB" w:rsidRPr="004E17A8">
        <w:rPr>
          <w:rFonts w:ascii="Arial" w:eastAsia="Calibri" w:hAnsi="Arial" w:cs="Arial"/>
          <w:sz w:val="22"/>
        </w:rPr>
        <w:t>:</w:t>
      </w:r>
      <w:bookmarkEnd w:id="3"/>
      <w:r w:rsidR="00900A01" w:rsidRPr="004E17A8">
        <w:rPr>
          <w:rFonts w:ascii="Arial" w:eastAsia="Calibri" w:hAnsi="Arial" w:cs="Arial"/>
          <w:sz w:val="22"/>
        </w:rPr>
        <w:t xml:space="preserve"> </w:t>
      </w:r>
      <w:r w:rsidR="00F85D31" w:rsidRPr="004E17A8">
        <w:rPr>
          <w:rFonts w:ascii="Arial" w:hAnsi="Arial" w:cs="Arial"/>
          <w:sz w:val="22"/>
          <w:lang w:val="es-CO"/>
        </w:rPr>
        <w:t xml:space="preserve">«[…] </w:t>
      </w:r>
      <w:r w:rsidR="00900A01" w:rsidRPr="004E17A8">
        <w:rPr>
          <w:rFonts w:ascii="Arial" w:hAnsi="Arial" w:cs="Arial"/>
          <w:sz w:val="22"/>
          <w:lang w:val="es-CO"/>
        </w:rPr>
        <w:t xml:space="preserve">¿A consideración de la Agencia Nacional de Contratación los artículos 30 al 36, contenidos en el Capítulo III de la Ley 2069 de 2020 son de aplicación inmediata, </w:t>
      </w:r>
      <w:proofErr w:type="gramStart"/>
      <w:r w:rsidR="00900A01" w:rsidRPr="004E17A8">
        <w:rPr>
          <w:rFonts w:ascii="Arial" w:hAnsi="Arial" w:cs="Arial"/>
          <w:sz w:val="22"/>
          <w:lang w:val="es-CO"/>
        </w:rPr>
        <w:t>a pesar que</w:t>
      </w:r>
      <w:proofErr w:type="gramEnd"/>
      <w:r w:rsidR="00900A01" w:rsidRPr="004E17A8">
        <w:rPr>
          <w:rFonts w:ascii="Arial" w:hAnsi="Arial" w:cs="Arial"/>
          <w:sz w:val="22"/>
          <w:lang w:val="es-CO"/>
        </w:rPr>
        <w:t xml:space="preserve"> en cada uno de sus artículos se encuentran supeditados a la expedición del reglamento por parte del Gobierno Nacional?</w:t>
      </w:r>
      <w:r w:rsidR="00183CCB" w:rsidRPr="004E17A8">
        <w:rPr>
          <w:rFonts w:ascii="Arial" w:hAnsi="Arial" w:cs="Arial"/>
          <w:sz w:val="22"/>
          <w:lang w:val="es-CO"/>
        </w:rPr>
        <w:t xml:space="preserve"> […</w:t>
      </w:r>
      <w:r w:rsidR="003E49B3" w:rsidRPr="004E17A8">
        <w:rPr>
          <w:rFonts w:ascii="Arial" w:hAnsi="Arial" w:cs="Arial"/>
          <w:sz w:val="22"/>
          <w:lang w:val="es-CO"/>
        </w:rPr>
        <w:t>]</w:t>
      </w:r>
      <w:r w:rsidR="00183CCB" w:rsidRPr="004E17A8">
        <w:rPr>
          <w:rFonts w:ascii="Arial" w:hAnsi="Arial" w:cs="Arial"/>
          <w:sz w:val="22"/>
          <w:lang w:val="es-CO"/>
        </w:rPr>
        <w:t>»</w:t>
      </w:r>
      <w:r w:rsidR="003E49B3" w:rsidRPr="004E17A8">
        <w:rPr>
          <w:rFonts w:ascii="Arial" w:hAnsi="Arial" w:cs="Arial"/>
          <w:sz w:val="22"/>
          <w:lang w:val="es-CO"/>
        </w:rPr>
        <w:t>.</w:t>
      </w:r>
    </w:p>
    <w:p w14:paraId="199B2883" w14:textId="77777777" w:rsidR="00F103DC" w:rsidRPr="004E17A8" w:rsidRDefault="00F103DC" w:rsidP="004E17A8">
      <w:pPr>
        <w:tabs>
          <w:tab w:val="left" w:pos="709"/>
        </w:tabs>
        <w:jc w:val="both"/>
        <w:rPr>
          <w:rFonts w:ascii="Arial" w:eastAsia="Calibri" w:hAnsi="Arial" w:cs="Arial"/>
          <w:sz w:val="22"/>
        </w:rPr>
      </w:pPr>
    </w:p>
    <w:p w14:paraId="4FA382BE" w14:textId="3E67759C" w:rsidR="001D59C7" w:rsidRPr="004E17A8" w:rsidRDefault="00BE1E33" w:rsidP="001D59C7">
      <w:pPr>
        <w:pStyle w:val="Prrafodelista"/>
        <w:numPr>
          <w:ilvl w:val="0"/>
          <w:numId w:val="1"/>
        </w:numPr>
        <w:tabs>
          <w:tab w:val="left" w:pos="426"/>
        </w:tabs>
        <w:spacing w:line="276" w:lineRule="auto"/>
        <w:ind w:left="284" w:hanging="284"/>
        <w:jc w:val="both"/>
        <w:rPr>
          <w:rFonts w:ascii="Arial" w:eastAsia="Calibri" w:hAnsi="Arial" w:cs="Arial"/>
          <w:b/>
          <w:sz w:val="22"/>
        </w:rPr>
      </w:pPr>
      <w:r w:rsidRPr="004E17A8">
        <w:rPr>
          <w:rFonts w:ascii="Arial" w:eastAsia="Calibri" w:hAnsi="Arial" w:cs="Arial"/>
          <w:b/>
          <w:sz w:val="22"/>
        </w:rPr>
        <w:t>Consideraciones</w:t>
      </w:r>
    </w:p>
    <w:p w14:paraId="2217C81A" w14:textId="77777777" w:rsidR="001D59C7" w:rsidRPr="004E17A8" w:rsidRDefault="001D59C7" w:rsidP="004E17A8">
      <w:pPr>
        <w:tabs>
          <w:tab w:val="left" w:pos="426"/>
        </w:tabs>
        <w:jc w:val="both"/>
        <w:rPr>
          <w:rFonts w:ascii="Arial" w:eastAsia="Calibri" w:hAnsi="Arial" w:cs="Arial"/>
          <w:bCs/>
          <w:sz w:val="22"/>
        </w:rPr>
      </w:pPr>
    </w:p>
    <w:p w14:paraId="61868583" w14:textId="6E99A3BA" w:rsidR="001D59C7" w:rsidRPr="004E17A8" w:rsidRDefault="001D59C7" w:rsidP="0089219C">
      <w:pPr>
        <w:tabs>
          <w:tab w:val="left" w:pos="426"/>
        </w:tabs>
        <w:spacing w:after="120" w:line="276" w:lineRule="auto"/>
        <w:jc w:val="both"/>
        <w:rPr>
          <w:rFonts w:ascii="Arial" w:eastAsia="Calibri" w:hAnsi="Arial" w:cs="Arial"/>
          <w:bCs/>
          <w:sz w:val="22"/>
        </w:rPr>
      </w:pPr>
      <w:r w:rsidRPr="004E17A8">
        <w:rPr>
          <w:rFonts w:ascii="Arial" w:eastAsia="Calibri" w:hAnsi="Arial" w:cs="Arial"/>
          <w:bCs/>
          <w:sz w:val="22"/>
        </w:rPr>
        <w:t>Para resolver la inquietud planteada</w:t>
      </w:r>
      <w:r w:rsidR="005976C5">
        <w:rPr>
          <w:rFonts w:ascii="Arial" w:eastAsia="Calibri" w:hAnsi="Arial" w:cs="Arial"/>
          <w:bCs/>
          <w:sz w:val="22"/>
        </w:rPr>
        <w:t>,</w:t>
      </w:r>
      <w:r w:rsidRPr="004E17A8">
        <w:rPr>
          <w:rFonts w:ascii="Arial" w:eastAsia="Calibri" w:hAnsi="Arial" w:cs="Arial"/>
          <w:bCs/>
          <w:sz w:val="22"/>
        </w:rPr>
        <w:t xml:space="preserve"> se explicará</w:t>
      </w:r>
      <w:r w:rsidR="009646AE" w:rsidRPr="004E17A8">
        <w:rPr>
          <w:rFonts w:ascii="Arial" w:eastAsia="Calibri" w:hAnsi="Arial" w:cs="Arial"/>
          <w:bCs/>
          <w:sz w:val="22"/>
        </w:rPr>
        <w:t xml:space="preserve"> </w:t>
      </w:r>
      <w:r w:rsidR="00357201" w:rsidRPr="004E17A8">
        <w:rPr>
          <w:rFonts w:ascii="Arial" w:eastAsia="Calibri" w:hAnsi="Arial" w:cs="Arial"/>
          <w:bCs/>
          <w:sz w:val="22"/>
        </w:rPr>
        <w:t xml:space="preserve">la postura de esta Agencia en torno a </w:t>
      </w:r>
      <w:r w:rsidR="009646AE" w:rsidRPr="004E17A8">
        <w:rPr>
          <w:rFonts w:ascii="Arial" w:eastAsia="Calibri" w:hAnsi="Arial" w:cs="Arial"/>
          <w:bCs/>
          <w:sz w:val="22"/>
        </w:rPr>
        <w:t>la necesidad de la reglamentación</w:t>
      </w:r>
      <w:r w:rsidR="00ED2B88" w:rsidRPr="004E17A8">
        <w:rPr>
          <w:rFonts w:ascii="Arial" w:eastAsia="Calibri" w:hAnsi="Arial" w:cs="Arial"/>
          <w:bCs/>
          <w:sz w:val="22"/>
        </w:rPr>
        <w:t xml:space="preserve"> de los artículos </w:t>
      </w:r>
      <w:r w:rsidR="00580163" w:rsidRPr="004E17A8">
        <w:rPr>
          <w:rFonts w:ascii="Arial" w:eastAsia="Calibri" w:hAnsi="Arial" w:cs="Arial"/>
          <w:bCs/>
          <w:sz w:val="22"/>
        </w:rPr>
        <w:t>30 a</w:t>
      </w:r>
      <w:r w:rsidR="000221C2" w:rsidRPr="004E17A8">
        <w:rPr>
          <w:rFonts w:ascii="Arial" w:eastAsia="Calibri" w:hAnsi="Arial" w:cs="Arial"/>
          <w:bCs/>
          <w:sz w:val="22"/>
        </w:rPr>
        <w:t xml:space="preserve"> 36 de la </w:t>
      </w:r>
      <w:bookmarkStart w:id="4" w:name="_Hlk63688922"/>
      <w:r w:rsidR="000221C2" w:rsidRPr="004E17A8">
        <w:rPr>
          <w:rFonts w:ascii="Arial" w:eastAsia="Calibri" w:hAnsi="Arial" w:cs="Arial"/>
          <w:bCs/>
          <w:sz w:val="22"/>
        </w:rPr>
        <w:t>Ley 2069 de 2020</w:t>
      </w:r>
      <w:bookmarkEnd w:id="4"/>
      <w:r w:rsidR="000221C2" w:rsidRPr="004E17A8">
        <w:rPr>
          <w:rFonts w:ascii="Arial" w:eastAsia="Calibri" w:hAnsi="Arial" w:cs="Arial"/>
          <w:bCs/>
          <w:sz w:val="22"/>
        </w:rPr>
        <w:t xml:space="preserve"> como una condición para</w:t>
      </w:r>
      <w:r w:rsidR="00917B15" w:rsidRPr="004E17A8">
        <w:rPr>
          <w:rFonts w:ascii="Arial" w:eastAsia="Calibri" w:hAnsi="Arial" w:cs="Arial"/>
          <w:bCs/>
          <w:sz w:val="22"/>
        </w:rPr>
        <w:t xml:space="preserve"> su</w:t>
      </w:r>
      <w:r w:rsidR="000221C2" w:rsidRPr="004E17A8">
        <w:rPr>
          <w:rFonts w:ascii="Arial" w:eastAsia="Calibri" w:hAnsi="Arial" w:cs="Arial"/>
          <w:bCs/>
          <w:sz w:val="22"/>
        </w:rPr>
        <w:t xml:space="preserve"> </w:t>
      </w:r>
      <w:r w:rsidR="00917B15" w:rsidRPr="004E17A8">
        <w:rPr>
          <w:rFonts w:ascii="Arial" w:eastAsia="Calibri" w:hAnsi="Arial" w:cs="Arial"/>
          <w:bCs/>
          <w:sz w:val="22"/>
        </w:rPr>
        <w:t>entrada vigencia</w:t>
      </w:r>
      <w:r w:rsidR="008B4658" w:rsidRPr="004E17A8">
        <w:rPr>
          <w:rFonts w:ascii="Arial" w:eastAsia="Calibri" w:hAnsi="Arial" w:cs="Arial"/>
          <w:bCs/>
          <w:sz w:val="22"/>
        </w:rPr>
        <w:t>.</w:t>
      </w:r>
      <w:r w:rsidR="00917B15" w:rsidRPr="004E17A8">
        <w:rPr>
          <w:rFonts w:ascii="Arial" w:eastAsia="Calibri" w:hAnsi="Arial" w:cs="Arial"/>
          <w:bCs/>
          <w:sz w:val="22"/>
        </w:rPr>
        <w:t xml:space="preserve"> </w:t>
      </w:r>
      <w:r w:rsidR="008B4658" w:rsidRPr="004E17A8">
        <w:rPr>
          <w:rFonts w:ascii="Arial" w:eastAsia="Calibri" w:hAnsi="Arial" w:cs="Arial"/>
          <w:bCs/>
          <w:sz w:val="22"/>
        </w:rPr>
        <w:t>Para ello</w:t>
      </w:r>
      <w:r w:rsidR="000238BE">
        <w:rPr>
          <w:rFonts w:ascii="Arial" w:eastAsia="Calibri" w:hAnsi="Arial" w:cs="Arial"/>
          <w:bCs/>
          <w:sz w:val="22"/>
        </w:rPr>
        <w:t xml:space="preserve">, </w:t>
      </w:r>
      <w:r w:rsidR="000238BE" w:rsidRPr="004E17A8">
        <w:rPr>
          <w:rFonts w:ascii="Arial" w:eastAsia="Calibri" w:hAnsi="Arial" w:cs="Arial"/>
          <w:bCs/>
          <w:sz w:val="22"/>
        </w:rPr>
        <w:t>teniendo en cuenta el contenido de cada una de estas normas</w:t>
      </w:r>
      <w:r w:rsidR="000238BE">
        <w:rPr>
          <w:rFonts w:ascii="Arial" w:eastAsia="Calibri" w:hAnsi="Arial" w:cs="Arial"/>
          <w:bCs/>
          <w:sz w:val="22"/>
        </w:rPr>
        <w:t>,</w:t>
      </w:r>
      <w:r w:rsidR="008B4658" w:rsidRPr="004E17A8">
        <w:rPr>
          <w:rFonts w:ascii="Arial" w:eastAsia="Calibri" w:hAnsi="Arial" w:cs="Arial"/>
          <w:bCs/>
          <w:sz w:val="22"/>
        </w:rPr>
        <w:t xml:space="preserve"> se </w:t>
      </w:r>
      <w:r w:rsidR="00917B15" w:rsidRPr="004E17A8">
        <w:rPr>
          <w:rFonts w:ascii="Arial" w:eastAsia="Calibri" w:hAnsi="Arial" w:cs="Arial"/>
          <w:bCs/>
          <w:sz w:val="22"/>
        </w:rPr>
        <w:t>an</w:t>
      </w:r>
      <w:r w:rsidR="008B4658" w:rsidRPr="004E17A8">
        <w:rPr>
          <w:rFonts w:ascii="Arial" w:eastAsia="Calibri" w:hAnsi="Arial" w:cs="Arial"/>
          <w:bCs/>
          <w:sz w:val="22"/>
        </w:rPr>
        <w:t>alizará</w:t>
      </w:r>
      <w:r w:rsidR="00917B15" w:rsidRPr="004E17A8">
        <w:rPr>
          <w:rFonts w:ascii="Arial" w:eastAsia="Calibri" w:hAnsi="Arial" w:cs="Arial"/>
          <w:bCs/>
          <w:sz w:val="22"/>
        </w:rPr>
        <w:t xml:space="preserve"> del contenido de </w:t>
      </w:r>
      <w:r w:rsidR="008B4658" w:rsidRPr="004E17A8">
        <w:rPr>
          <w:rFonts w:ascii="Arial" w:eastAsia="Calibri" w:hAnsi="Arial" w:cs="Arial"/>
          <w:bCs/>
          <w:sz w:val="22"/>
        </w:rPr>
        <w:t xml:space="preserve">cada </w:t>
      </w:r>
      <w:r w:rsidR="00917B15" w:rsidRPr="004E17A8">
        <w:rPr>
          <w:rFonts w:ascii="Arial" w:eastAsia="Calibri" w:hAnsi="Arial" w:cs="Arial"/>
          <w:bCs/>
          <w:sz w:val="22"/>
        </w:rPr>
        <w:t>disposici</w:t>
      </w:r>
      <w:r w:rsidR="008B4658" w:rsidRPr="004E17A8">
        <w:rPr>
          <w:rFonts w:ascii="Arial" w:eastAsia="Calibri" w:hAnsi="Arial" w:cs="Arial"/>
          <w:bCs/>
          <w:sz w:val="22"/>
        </w:rPr>
        <w:t xml:space="preserve">ón </w:t>
      </w:r>
      <w:r w:rsidR="005976C5">
        <w:rPr>
          <w:rFonts w:ascii="Arial" w:eastAsia="Calibri" w:hAnsi="Arial" w:cs="Arial"/>
          <w:bCs/>
          <w:sz w:val="22"/>
        </w:rPr>
        <w:t>para</w:t>
      </w:r>
      <w:r w:rsidR="006A6F12" w:rsidRPr="004E17A8">
        <w:rPr>
          <w:rFonts w:ascii="Arial" w:eastAsia="Calibri" w:hAnsi="Arial" w:cs="Arial"/>
          <w:bCs/>
          <w:sz w:val="22"/>
        </w:rPr>
        <w:t xml:space="preserve"> responder </w:t>
      </w:r>
      <w:r w:rsidR="005976C5">
        <w:rPr>
          <w:rFonts w:ascii="Arial" w:eastAsia="Calibri" w:hAnsi="Arial" w:cs="Arial"/>
          <w:bCs/>
          <w:sz w:val="22"/>
        </w:rPr>
        <w:t>e</w:t>
      </w:r>
      <w:r w:rsidR="00357201" w:rsidRPr="004E17A8">
        <w:rPr>
          <w:rFonts w:ascii="Arial" w:eastAsia="Calibri" w:hAnsi="Arial" w:cs="Arial"/>
          <w:bCs/>
          <w:sz w:val="22"/>
        </w:rPr>
        <w:t>l</w:t>
      </w:r>
      <w:r w:rsidR="00502957" w:rsidRPr="004E17A8">
        <w:rPr>
          <w:rFonts w:ascii="Arial" w:eastAsia="Calibri" w:hAnsi="Arial" w:cs="Arial"/>
          <w:bCs/>
          <w:sz w:val="22"/>
        </w:rPr>
        <w:t xml:space="preserve"> interrogante</w:t>
      </w:r>
      <w:r w:rsidR="00357201" w:rsidRPr="004E17A8">
        <w:rPr>
          <w:rFonts w:ascii="Arial" w:eastAsia="Calibri" w:hAnsi="Arial" w:cs="Arial"/>
          <w:bCs/>
          <w:sz w:val="22"/>
        </w:rPr>
        <w:t xml:space="preserve"> planteado</w:t>
      </w:r>
      <w:r w:rsidR="009646AE" w:rsidRPr="004E17A8">
        <w:rPr>
          <w:rFonts w:ascii="Arial" w:eastAsia="Calibri" w:hAnsi="Arial" w:cs="Arial"/>
          <w:bCs/>
          <w:sz w:val="22"/>
        </w:rPr>
        <w:t xml:space="preserve">. </w:t>
      </w:r>
    </w:p>
    <w:p w14:paraId="32E73C98" w14:textId="172AF7FB" w:rsidR="00C646A4" w:rsidRPr="004E17A8" w:rsidRDefault="00C646A4" w:rsidP="00C646A4">
      <w:pPr>
        <w:spacing w:line="276" w:lineRule="auto"/>
        <w:ind w:firstLine="708"/>
        <w:jc w:val="both"/>
        <w:rPr>
          <w:rFonts w:ascii="Arial" w:eastAsia="Calibri" w:hAnsi="Arial" w:cs="Arial"/>
          <w:bCs/>
          <w:sz w:val="22"/>
        </w:rPr>
      </w:pPr>
      <w:r w:rsidRPr="004E17A8">
        <w:rPr>
          <w:rFonts w:ascii="Arial" w:eastAsia="Calibri" w:hAnsi="Arial" w:cs="Arial"/>
          <w:sz w:val="22"/>
          <w:lang w:val="es-ES_tradnl"/>
        </w:rPr>
        <w:lastRenderedPageBreak/>
        <w:t>La Agencia Nacional de Contratación Pública – Colombia Compra Eficiente se ha pronunciado sobre la vigencia de las disposiciones de</w:t>
      </w:r>
      <w:r w:rsidRPr="004E17A8">
        <w:rPr>
          <w:rFonts w:ascii="Arial" w:eastAsia="Calibri" w:hAnsi="Arial" w:cs="Arial"/>
          <w:bCs/>
          <w:sz w:val="22"/>
        </w:rPr>
        <w:t xml:space="preserve"> la Ley 2069 de 2020 en los conceptos C-009, C-012, C-013, C-015, C-016, C-026 del 4 de febrero de 2021, así como en los conceptos C-006 del 5 de febrero de 2021, C-043 del 9 de febrero de 2021, C-007 del 16 de febrero de 2021, C-081 y C-087 del 23 de febrero de 2021, C-044 del 3 de marzo de 2021, C-056 del 10 de marzo de 2021, C-061 del 10 de marzo de 2021, C-055 del 10 de marzo de 2021, C-058 del 11 de marzo de 2021, C-069 del 12 de marzo de 2021, C-101 del 24 de marzo de 202, C-102 del 25 de marzo de 2021, C-136, C-138 y C-139 del 7 de abril de 2021, C-141 del 08 de abril de 2021, C-162 y C-165 de 13 de abril de 2021, C-164 del 19 de abril de 2021, C-160 del 20 de abril de 2021, C-166 del 23 de abril de 2021, C-175 del 26 de abril de 2021, C-191 del 26 de abril de 2021, C-181 del 28 de abril de 2021, C-187 del 28 de abril de 2021, C-192 del 29 de abril de 2021, C-100 y C-206 del 3 de mayo de 2021, C-198 del 5 de mayo de 2021, C-203 del 6 de mayo de 2021, C-180, C-207, C-209 y C-210 del 10 de mayo de 2021, C-211 del 115 de mayo de 2021, C-221 del 18 de mayo de 2021, C-239 del 25 de mayo de 2021, C-235 del 27 de mayo de 2021, C-265 del 1 de junio de 2021, C-272 del 9 de junio de 2021 y C-302 del 24 de junio de 2021. Algunas de las consideraciones expuestas en </w:t>
      </w:r>
      <w:r w:rsidR="000238BE">
        <w:rPr>
          <w:rFonts w:ascii="Arial" w:eastAsia="Calibri" w:hAnsi="Arial" w:cs="Arial"/>
          <w:bCs/>
          <w:sz w:val="22"/>
        </w:rPr>
        <w:t>estos</w:t>
      </w:r>
      <w:r w:rsidR="000238BE" w:rsidRPr="004E17A8">
        <w:rPr>
          <w:rFonts w:ascii="Arial" w:eastAsia="Calibri" w:hAnsi="Arial" w:cs="Arial"/>
          <w:bCs/>
          <w:sz w:val="22"/>
        </w:rPr>
        <w:t xml:space="preserve"> </w:t>
      </w:r>
      <w:r w:rsidRPr="004E17A8">
        <w:rPr>
          <w:rFonts w:ascii="Arial" w:eastAsia="Calibri" w:hAnsi="Arial" w:cs="Arial"/>
          <w:bCs/>
          <w:sz w:val="22"/>
        </w:rPr>
        <w:t>conceptos se reiteran a continuación.</w:t>
      </w:r>
    </w:p>
    <w:p w14:paraId="79EC5C11" w14:textId="77777777" w:rsidR="00710FD2" w:rsidRPr="004E17A8" w:rsidRDefault="00710FD2" w:rsidP="00A148CF">
      <w:pPr>
        <w:tabs>
          <w:tab w:val="left" w:pos="426"/>
        </w:tabs>
        <w:spacing w:line="276" w:lineRule="auto"/>
        <w:jc w:val="both"/>
        <w:rPr>
          <w:rFonts w:ascii="Arial" w:eastAsia="Calibri" w:hAnsi="Arial" w:cs="Arial"/>
          <w:bCs/>
          <w:sz w:val="22"/>
        </w:rPr>
      </w:pPr>
    </w:p>
    <w:p w14:paraId="3B46707D" w14:textId="41D8976E" w:rsidR="00A148CF" w:rsidRPr="004E17A8" w:rsidRDefault="00A148CF" w:rsidP="00A148CF">
      <w:pPr>
        <w:tabs>
          <w:tab w:val="left" w:pos="426"/>
        </w:tabs>
        <w:spacing w:line="276" w:lineRule="auto"/>
        <w:jc w:val="both"/>
        <w:rPr>
          <w:rFonts w:ascii="Arial" w:eastAsia="Calibri" w:hAnsi="Arial" w:cs="Arial"/>
          <w:b/>
          <w:sz w:val="22"/>
        </w:rPr>
      </w:pPr>
      <w:r w:rsidRPr="004E17A8">
        <w:rPr>
          <w:rFonts w:ascii="Arial" w:eastAsia="Calibri" w:hAnsi="Arial" w:cs="Arial"/>
          <w:b/>
          <w:sz w:val="22"/>
        </w:rPr>
        <w:t xml:space="preserve">2.1. </w:t>
      </w:r>
      <w:r w:rsidR="00BF26A3" w:rsidRPr="004E17A8">
        <w:rPr>
          <w:rFonts w:ascii="Arial" w:eastAsia="Calibri" w:hAnsi="Arial" w:cs="Arial"/>
          <w:b/>
          <w:sz w:val="22"/>
        </w:rPr>
        <w:t xml:space="preserve">Impacto de la Ley 2069 de 2020 </w:t>
      </w:r>
      <w:r w:rsidR="004855A3" w:rsidRPr="004E17A8">
        <w:rPr>
          <w:rFonts w:ascii="Arial" w:eastAsia="Calibri" w:hAnsi="Arial" w:cs="Arial"/>
          <w:b/>
          <w:sz w:val="22"/>
        </w:rPr>
        <w:t>en la contratación estatal</w:t>
      </w:r>
    </w:p>
    <w:p w14:paraId="1733D190" w14:textId="39FB383C" w:rsidR="00407B6E" w:rsidRPr="004E17A8" w:rsidRDefault="00407B6E" w:rsidP="00A148CF">
      <w:pPr>
        <w:tabs>
          <w:tab w:val="left" w:pos="426"/>
        </w:tabs>
        <w:spacing w:line="276" w:lineRule="auto"/>
        <w:jc w:val="both"/>
        <w:rPr>
          <w:rFonts w:ascii="Arial" w:eastAsia="Calibri" w:hAnsi="Arial" w:cs="Arial"/>
          <w:b/>
          <w:sz w:val="22"/>
        </w:rPr>
      </w:pPr>
    </w:p>
    <w:p w14:paraId="7BE5EC34" w14:textId="62ABE9AA" w:rsidR="00AA2812" w:rsidRPr="004E17A8" w:rsidRDefault="00911EA3" w:rsidP="00F52D84">
      <w:pPr>
        <w:tabs>
          <w:tab w:val="left" w:pos="709"/>
        </w:tabs>
        <w:spacing w:after="120" w:line="276" w:lineRule="auto"/>
        <w:jc w:val="both"/>
        <w:rPr>
          <w:rFonts w:ascii="Arial" w:eastAsia="Calibri" w:hAnsi="Arial" w:cs="Arial"/>
          <w:bCs/>
          <w:sz w:val="21"/>
          <w:szCs w:val="21"/>
        </w:rPr>
      </w:pPr>
      <w:bookmarkStart w:id="5" w:name="_Hlk63883948"/>
      <w:r w:rsidRPr="004E17A8">
        <w:rPr>
          <w:rFonts w:ascii="Arial" w:eastAsia="Calibri" w:hAnsi="Arial" w:cs="Arial"/>
          <w:bCs/>
          <w:sz w:val="22"/>
        </w:rPr>
        <w:t>El pasado 31 de diciembre,</w:t>
      </w:r>
      <w:r w:rsidR="00173A9E" w:rsidRPr="004E17A8">
        <w:rPr>
          <w:rFonts w:ascii="Arial" w:eastAsia="Calibri" w:hAnsi="Arial" w:cs="Arial"/>
          <w:bCs/>
          <w:sz w:val="22"/>
        </w:rPr>
        <w:t xml:space="preserve"> en congruencia con el «Pacto por el emprendimiento, la formalización y la productividad» del Plan Nacional de Desarrollo 2018-2022,</w:t>
      </w:r>
      <w:r w:rsidRPr="004E17A8">
        <w:rPr>
          <w:rFonts w:ascii="Arial" w:eastAsia="Calibri" w:hAnsi="Arial" w:cs="Arial"/>
          <w:bCs/>
          <w:sz w:val="22"/>
        </w:rPr>
        <w:t xml:space="preserve"> el </w:t>
      </w:r>
      <w:proofErr w:type="gramStart"/>
      <w:r w:rsidRPr="004E17A8">
        <w:rPr>
          <w:rFonts w:ascii="Arial" w:eastAsia="Calibri" w:hAnsi="Arial" w:cs="Arial"/>
          <w:bCs/>
          <w:sz w:val="22"/>
        </w:rPr>
        <w:t>Presidente</w:t>
      </w:r>
      <w:proofErr w:type="gramEnd"/>
      <w:r w:rsidRPr="004E17A8">
        <w:rPr>
          <w:rFonts w:ascii="Arial" w:eastAsia="Calibri" w:hAnsi="Arial" w:cs="Arial"/>
          <w:bCs/>
          <w:sz w:val="22"/>
        </w:rPr>
        <w:t xml:space="preserve"> de la República sancionó la Ley 206</w:t>
      </w:r>
      <w:r w:rsidR="00BD4E32" w:rsidRPr="004E17A8">
        <w:rPr>
          <w:rFonts w:ascii="Arial" w:eastAsia="Calibri" w:hAnsi="Arial" w:cs="Arial"/>
          <w:bCs/>
          <w:sz w:val="22"/>
        </w:rPr>
        <w:t>9</w:t>
      </w:r>
      <w:r w:rsidRPr="004E17A8">
        <w:rPr>
          <w:rFonts w:ascii="Arial" w:eastAsia="Calibri" w:hAnsi="Arial" w:cs="Arial"/>
          <w:bCs/>
          <w:sz w:val="22"/>
        </w:rPr>
        <w:t xml:space="preserve"> de 2020 para impulsar el nacimiento de nuevas empresas que incentiven la generación de empleo en país. </w:t>
      </w:r>
      <w:r w:rsidR="000238BE">
        <w:rPr>
          <w:rFonts w:ascii="Arial" w:eastAsia="Calibri" w:hAnsi="Arial" w:cs="Arial"/>
          <w:bCs/>
          <w:sz w:val="22"/>
        </w:rPr>
        <w:t>Esta ley pretende</w:t>
      </w:r>
      <w:r w:rsidR="00502957" w:rsidRPr="004E17A8">
        <w:rPr>
          <w:rFonts w:ascii="Arial" w:eastAsia="Calibri" w:hAnsi="Arial" w:cs="Arial"/>
          <w:bCs/>
          <w:sz w:val="22"/>
        </w:rPr>
        <w:t xml:space="preserve"> generar la</w:t>
      </w:r>
      <w:r w:rsidR="0075749C" w:rsidRPr="004E17A8">
        <w:rPr>
          <w:rFonts w:ascii="Arial" w:eastAsia="Calibri" w:hAnsi="Arial" w:cs="Arial"/>
          <w:bCs/>
          <w:sz w:val="22"/>
        </w:rPr>
        <w:t xml:space="preserve"> reactivación de la economía</w:t>
      </w:r>
      <w:r w:rsidR="00BD4E32" w:rsidRPr="004E17A8">
        <w:rPr>
          <w:rFonts w:ascii="Arial" w:eastAsia="Calibri" w:hAnsi="Arial" w:cs="Arial"/>
          <w:bCs/>
          <w:sz w:val="22"/>
        </w:rPr>
        <w:t xml:space="preserve"> y foment</w:t>
      </w:r>
      <w:r w:rsidR="00502957" w:rsidRPr="004E17A8">
        <w:rPr>
          <w:rFonts w:ascii="Arial" w:eastAsia="Calibri" w:hAnsi="Arial" w:cs="Arial"/>
          <w:bCs/>
          <w:sz w:val="22"/>
        </w:rPr>
        <w:t>ar</w:t>
      </w:r>
      <w:r w:rsidR="00BD4E32" w:rsidRPr="004E17A8">
        <w:rPr>
          <w:rFonts w:ascii="Arial" w:eastAsia="Calibri" w:hAnsi="Arial" w:cs="Arial"/>
          <w:bCs/>
          <w:sz w:val="22"/>
        </w:rPr>
        <w:t xml:space="preserve"> la actividad emprendedora</w:t>
      </w:r>
      <w:r w:rsidR="0075749C" w:rsidRPr="004E17A8">
        <w:rPr>
          <w:rFonts w:ascii="Arial" w:eastAsia="Calibri" w:hAnsi="Arial" w:cs="Arial"/>
          <w:bCs/>
          <w:sz w:val="22"/>
        </w:rPr>
        <w:t xml:space="preserve">, </w:t>
      </w:r>
      <w:r w:rsidR="00502957" w:rsidRPr="004E17A8">
        <w:rPr>
          <w:rFonts w:ascii="Arial" w:eastAsia="Calibri" w:hAnsi="Arial" w:cs="Arial"/>
          <w:bCs/>
          <w:sz w:val="22"/>
        </w:rPr>
        <w:t xml:space="preserve">y por ello, tiene como uno de sus propósitos </w:t>
      </w:r>
      <w:r w:rsidR="0075749C" w:rsidRPr="004E17A8">
        <w:rPr>
          <w:rFonts w:ascii="Arial" w:eastAsia="Calibri" w:hAnsi="Arial" w:cs="Arial"/>
          <w:bCs/>
          <w:sz w:val="22"/>
        </w:rPr>
        <w:t>propicia</w:t>
      </w:r>
      <w:r w:rsidR="00502957" w:rsidRPr="004E17A8">
        <w:rPr>
          <w:rFonts w:ascii="Arial" w:eastAsia="Calibri" w:hAnsi="Arial" w:cs="Arial"/>
          <w:bCs/>
          <w:sz w:val="22"/>
        </w:rPr>
        <w:t>r</w:t>
      </w:r>
      <w:r w:rsidR="0075749C" w:rsidRPr="004E17A8">
        <w:rPr>
          <w:rFonts w:ascii="Arial" w:eastAsia="Calibri" w:hAnsi="Arial" w:cs="Arial"/>
          <w:bCs/>
          <w:sz w:val="22"/>
        </w:rPr>
        <w:t xml:space="preserve"> un entorno para ayudar al crecimiento</w:t>
      </w:r>
      <w:r w:rsidR="00BD4E32" w:rsidRPr="004E17A8">
        <w:rPr>
          <w:rFonts w:ascii="Arial" w:eastAsia="Calibri" w:hAnsi="Arial" w:cs="Arial"/>
          <w:bCs/>
          <w:sz w:val="22"/>
        </w:rPr>
        <w:t>, consolidación y sostenibilidad</w:t>
      </w:r>
      <w:r w:rsidR="0075749C" w:rsidRPr="004E17A8">
        <w:rPr>
          <w:rFonts w:ascii="Arial" w:eastAsia="Calibri" w:hAnsi="Arial" w:cs="Arial"/>
          <w:bCs/>
          <w:sz w:val="22"/>
        </w:rPr>
        <w:t xml:space="preserve"> de esas iniciativas, generando mayor desarrollo social, </w:t>
      </w:r>
      <w:r w:rsidR="00AA2812" w:rsidRPr="004E17A8">
        <w:rPr>
          <w:rFonts w:ascii="Arial" w:eastAsia="Calibri" w:hAnsi="Arial" w:cs="Arial"/>
          <w:bCs/>
          <w:sz w:val="22"/>
        </w:rPr>
        <w:t>creación</w:t>
      </w:r>
      <w:r w:rsidR="0075749C" w:rsidRPr="004E17A8">
        <w:rPr>
          <w:rFonts w:ascii="Arial" w:eastAsia="Calibri" w:hAnsi="Arial" w:cs="Arial"/>
          <w:bCs/>
          <w:sz w:val="22"/>
        </w:rPr>
        <w:t xml:space="preserve"> de las empresas y mejoras tanto en la productividad co</w:t>
      </w:r>
      <w:r w:rsidR="00BD4E32" w:rsidRPr="004E17A8">
        <w:rPr>
          <w:rFonts w:ascii="Arial" w:eastAsia="Calibri" w:hAnsi="Arial" w:cs="Arial"/>
          <w:bCs/>
          <w:sz w:val="22"/>
        </w:rPr>
        <w:t>mo</w:t>
      </w:r>
      <w:r w:rsidR="0075749C" w:rsidRPr="004E17A8">
        <w:rPr>
          <w:rFonts w:ascii="Arial" w:eastAsia="Calibri" w:hAnsi="Arial" w:cs="Arial"/>
          <w:bCs/>
          <w:sz w:val="22"/>
        </w:rPr>
        <w:t xml:space="preserve"> en la competitividad</w:t>
      </w:r>
      <w:r w:rsidR="00BD4E32" w:rsidRPr="004E17A8">
        <w:rPr>
          <w:rStyle w:val="Refdenotaalpie"/>
          <w:rFonts w:ascii="Arial" w:eastAsia="Calibri" w:hAnsi="Arial" w:cs="Arial"/>
          <w:bCs/>
          <w:sz w:val="22"/>
        </w:rPr>
        <w:footnoteReference w:id="1"/>
      </w:r>
      <w:r w:rsidR="0075749C" w:rsidRPr="004E17A8">
        <w:rPr>
          <w:rFonts w:ascii="Arial" w:eastAsia="Calibri" w:hAnsi="Arial" w:cs="Arial"/>
          <w:bCs/>
          <w:sz w:val="22"/>
        </w:rPr>
        <w:t>.</w:t>
      </w:r>
      <w:r w:rsidR="00AA2812" w:rsidRPr="004E17A8">
        <w:rPr>
          <w:rFonts w:ascii="Arial" w:eastAsia="Calibri" w:hAnsi="Arial" w:cs="Arial"/>
          <w:bCs/>
          <w:sz w:val="22"/>
        </w:rPr>
        <w:t xml:space="preserve"> De esta manera</w:t>
      </w:r>
      <w:r w:rsidR="002A7CEA" w:rsidRPr="004E17A8">
        <w:rPr>
          <w:rFonts w:ascii="Arial" w:eastAsia="Calibri" w:hAnsi="Arial" w:cs="Arial"/>
          <w:bCs/>
          <w:sz w:val="22"/>
        </w:rPr>
        <w:t xml:space="preserve">, </w:t>
      </w:r>
      <w:r w:rsidR="00AA2812" w:rsidRPr="004E17A8">
        <w:rPr>
          <w:rFonts w:ascii="Arial" w:eastAsia="Calibri" w:hAnsi="Arial" w:cs="Arial"/>
          <w:bCs/>
          <w:sz w:val="22"/>
        </w:rPr>
        <w:t>l</w:t>
      </w:r>
      <w:r w:rsidR="002A7CEA" w:rsidRPr="004E17A8">
        <w:rPr>
          <w:rFonts w:ascii="Arial" w:eastAsia="Calibri" w:hAnsi="Arial" w:cs="Arial"/>
          <w:bCs/>
          <w:sz w:val="22"/>
        </w:rPr>
        <w:t>a ley</w:t>
      </w:r>
      <w:r w:rsidR="00AA2812" w:rsidRPr="004E17A8">
        <w:rPr>
          <w:rFonts w:ascii="Arial" w:eastAsia="Calibri" w:hAnsi="Arial" w:cs="Arial"/>
          <w:bCs/>
          <w:sz w:val="22"/>
        </w:rPr>
        <w:t xml:space="preserve"> en comento</w:t>
      </w:r>
      <w:r w:rsidR="002A7CEA" w:rsidRPr="004E17A8">
        <w:rPr>
          <w:rFonts w:ascii="Arial" w:eastAsia="Calibri" w:hAnsi="Arial" w:cs="Arial"/>
          <w:bCs/>
          <w:sz w:val="22"/>
        </w:rPr>
        <w:t xml:space="preserve"> también concreta la </w:t>
      </w:r>
      <w:bookmarkStart w:id="6" w:name="_Hlk63692496"/>
      <w:r w:rsidR="002A7CEA" w:rsidRPr="004E17A8">
        <w:rPr>
          <w:rFonts w:ascii="Arial" w:eastAsia="Calibri" w:hAnsi="Arial" w:cs="Arial"/>
          <w:bCs/>
          <w:sz w:val="22"/>
        </w:rPr>
        <w:t>«Política de formalización empresarial»</w:t>
      </w:r>
      <w:bookmarkEnd w:id="6"/>
      <w:r w:rsidR="002A7CEA" w:rsidRPr="004E17A8">
        <w:rPr>
          <w:rFonts w:ascii="Arial" w:eastAsia="Calibri" w:hAnsi="Arial" w:cs="Arial"/>
          <w:bCs/>
          <w:sz w:val="22"/>
        </w:rPr>
        <w:t xml:space="preserve"> del Documento CONPES 3956 del 8 de enero de 2019</w:t>
      </w:r>
      <w:r w:rsidR="00AA2812" w:rsidRPr="004E17A8">
        <w:rPr>
          <w:rStyle w:val="Refdenotaalpie"/>
          <w:rFonts w:ascii="Arial" w:eastAsia="Calibri" w:hAnsi="Arial" w:cs="Arial"/>
          <w:bCs/>
          <w:sz w:val="22"/>
        </w:rPr>
        <w:footnoteReference w:id="2"/>
      </w:r>
      <w:r w:rsidR="00AA2812" w:rsidRPr="004E17A8">
        <w:rPr>
          <w:rFonts w:ascii="Arial" w:eastAsia="Calibri" w:hAnsi="Arial" w:cs="Arial"/>
          <w:bCs/>
          <w:sz w:val="22"/>
        </w:rPr>
        <w:t>.</w:t>
      </w:r>
      <w:bookmarkEnd w:id="5"/>
    </w:p>
    <w:p w14:paraId="4081EE3D" w14:textId="16ECE4AE" w:rsidR="00AA2812" w:rsidRPr="004E17A8" w:rsidRDefault="00AA2812" w:rsidP="00F52D84">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lastRenderedPageBreak/>
        <w:tab/>
        <w:t xml:space="preserve">Por ello, la </w:t>
      </w:r>
      <w:r w:rsidR="009C7248" w:rsidRPr="004E17A8">
        <w:rPr>
          <w:rFonts w:ascii="Arial" w:eastAsia="Calibri" w:hAnsi="Arial" w:cs="Arial"/>
          <w:bCs/>
          <w:sz w:val="22"/>
        </w:rPr>
        <w:t>ley</w:t>
      </w:r>
      <w:r w:rsidR="00F52D84" w:rsidRPr="004E17A8">
        <w:rPr>
          <w:rFonts w:ascii="Arial" w:eastAsia="Calibri" w:hAnsi="Arial" w:cs="Arial"/>
          <w:bCs/>
          <w:sz w:val="22"/>
        </w:rPr>
        <w:t xml:space="preserve"> impulsa medidas </w:t>
      </w:r>
      <w:r w:rsidR="00321F81" w:rsidRPr="004E17A8">
        <w:rPr>
          <w:rFonts w:ascii="Arial" w:eastAsia="Calibri" w:hAnsi="Arial" w:cs="Arial"/>
          <w:bCs/>
          <w:sz w:val="22"/>
        </w:rPr>
        <w:t>para</w:t>
      </w:r>
      <w:r w:rsidR="00F52D84" w:rsidRPr="004E17A8">
        <w:rPr>
          <w:rFonts w:ascii="Arial" w:eastAsia="Calibri" w:hAnsi="Arial" w:cs="Arial"/>
          <w:bCs/>
          <w:sz w:val="22"/>
        </w:rPr>
        <w:t xml:space="preserve"> i) reducir cargas y trámites para los emprendedores del país</w:t>
      </w:r>
      <w:r w:rsidR="00321F81" w:rsidRPr="004E17A8">
        <w:rPr>
          <w:rFonts w:ascii="Arial" w:eastAsia="Calibri" w:hAnsi="Arial" w:cs="Arial"/>
          <w:bCs/>
          <w:sz w:val="22"/>
        </w:rPr>
        <w:t>;</w:t>
      </w:r>
      <w:r w:rsidR="00F52D84" w:rsidRPr="004E17A8">
        <w:rPr>
          <w:rFonts w:ascii="Arial" w:eastAsia="Calibri" w:hAnsi="Arial" w:cs="Arial"/>
          <w:bCs/>
          <w:sz w:val="22"/>
        </w:rPr>
        <w:t xml:space="preserve"> </w:t>
      </w:r>
      <w:proofErr w:type="spellStart"/>
      <w:r w:rsidR="00F52D84" w:rsidRPr="004E17A8">
        <w:rPr>
          <w:rFonts w:ascii="Arial" w:eastAsia="Calibri" w:hAnsi="Arial" w:cs="Arial"/>
          <w:bCs/>
          <w:sz w:val="22"/>
        </w:rPr>
        <w:t>ii</w:t>
      </w:r>
      <w:proofErr w:type="spellEnd"/>
      <w:r w:rsidR="00F52D84" w:rsidRPr="004E17A8">
        <w:rPr>
          <w:rFonts w:ascii="Arial" w:eastAsia="Calibri" w:hAnsi="Arial" w:cs="Arial"/>
          <w:bCs/>
          <w:sz w:val="22"/>
        </w:rPr>
        <w:t xml:space="preserve">) </w:t>
      </w:r>
      <w:r w:rsidR="00321F81" w:rsidRPr="004E17A8">
        <w:rPr>
          <w:rFonts w:ascii="Arial" w:eastAsia="Calibri" w:hAnsi="Arial" w:cs="Arial"/>
          <w:bCs/>
          <w:sz w:val="22"/>
        </w:rPr>
        <w:t xml:space="preserve">facilitar su acceso al sistema de compras y contratación pública; </w:t>
      </w:r>
      <w:proofErr w:type="spellStart"/>
      <w:r w:rsidR="00321F81" w:rsidRPr="004E17A8">
        <w:rPr>
          <w:rFonts w:ascii="Arial" w:eastAsia="Calibri" w:hAnsi="Arial" w:cs="Arial"/>
          <w:bCs/>
          <w:sz w:val="22"/>
        </w:rPr>
        <w:t>iii</w:t>
      </w:r>
      <w:proofErr w:type="spellEnd"/>
      <w:r w:rsidR="00321F81" w:rsidRPr="004E17A8">
        <w:rPr>
          <w:rFonts w:ascii="Arial" w:eastAsia="Calibri" w:hAnsi="Arial" w:cs="Arial"/>
          <w:bCs/>
          <w:sz w:val="22"/>
        </w:rPr>
        <w:t xml:space="preserve">) incentivar el crecimiento económico con la llegada de más actores al ecosistema de inversión y financiación; </w:t>
      </w:r>
      <w:proofErr w:type="spellStart"/>
      <w:r w:rsidR="00321F81" w:rsidRPr="004E17A8">
        <w:rPr>
          <w:rFonts w:ascii="Arial" w:eastAsia="Calibri" w:hAnsi="Arial" w:cs="Arial"/>
          <w:bCs/>
          <w:sz w:val="22"/>
        </w:rPr>
        <w:t>iv</w:t>
      </w:r>
      <w:proofErr w:type="spellEnd"/>
      <w:r w:rsidR="00321F81" w:rsidRPr="004E17A8">
        <w:rPr>
          <w:rFonts w:ascii="Arial" w:eastAsia="Calibri" w:hAnsi="Arial" w:cs="Arial"/>
          <w:bCs/>
          <w:sz w:val="22"/>
        </w:rPr>
        <w:t>) focalizar esfuerzos, optimizar la gestión de recursos e incentivar una visión integral del desarrollo productivo a través del fortalecimiento institucional; v) facilitar la apropiación del emprendimiento y la cultura emprendedora en la juventud colombiana</w:t>
      </w:r>
      <w:r w:rsidR="00A1541C" w:rsidRPr="004E17A8">
        <w:rPr>
          <w:rFonts w:ascii="Arial" w:eastAsia="Calibri" w:hAnsi="Arial" w:cs="Arial"/>
          <w:bCs/>
          <w:sz w:val="22"/>
        </w:rPr>
        <w:t>; así como</w:t>
      </w:r>
      <w:r w:rsidR="00321F81" w:rsidRPr="004E17A8">
        <w:rPr>
          <w:rFonts w:ascii="Arial" w:eastAsia="Calibri" w:hAnsi="Arial" w:cs="Arial"/>
          <w:bCs/>
          <w:sz w:val="22"/>
        </w:rPr>
        <w:t xml:space="preserve"> vi) </w:t>
      </w:r>
      <w:r w:rsidR="00D40D7D" w:rsidRPr="004E17A8">
        <w:rPr>
          <w:rFonts w:ascii="Arial" w:eastAsia="Calibri" w:hAnsi="Arial" w:cs="Arial"/>
          <w:bCs/>
          <w:sz w:val="22"/>
        </w:rPr>
        <w:t>o</w:t>
      </w:r>
      <w:r w:rsidR="00321F81" w:rsidRPr="004E17A8">
        <w:rPr>
          <w:rFonts w:ascii="Arial" w:eastAsia="Calibri" w:hAnsi="Arial" w:cs="Arial"/>
          <w:bCs/>
          <w:sz w:val="22"/>
        </w:rPr>
        <w:t>torgar beneficios para emprendedores,</w:t>
      </w:r>
      <w:r w:rsidR="00A1541C" w:rsidRPr="004E17A8">
        <w:rPr>
          <w:rFonts w:ascii="Arial" w:eastAsia="Calibri" w:hAnsi="Arial" w:cs="Arial"/>
          <w:bCs/>
          <w:sz w:val="22"/>
        </w:rPr>
        <w:t xml:space="preserve"> especialmente, estableciendo un enfoque diferencial respecto a los miembros de las poblaciones más vulnerables,</w:t>
      </w:r>
      <w:r w:rsidR="00321F81" w:rsidRPr="004E17A8">
        <w:rPr>
          <w:rFonts w:ascii="Arial" w:eastAsia="Calibri" w:hAnsi="Arial" w:cs="Arial"/>
          <w:bCs/>
          <w:sz w:val="22"/>
        </w:rPr>
        <w:t xml:space="preserve"> que les permita avanzar en su actividad y </w:t>
      </w:r>
      <w:r w:rsidR="00D40D7D" w:rsidRPr="004E17A8">
        <w:rPr>
          <w:rFonts w:ascii="Arial" w:eastAsia="Calibri" w:hAnsi="Arial" w:cs="Arial"/>
          <w:bCs/>
          <w:sz w:val="22"/>
        </w:rPr>
        <w:t>desarrollar</w:t>
      </w:r>
      <w:r w:rsidR="00321F81" w:rsidRPr="004E17A8">
        <w:rPr>
          <w:rFonts w:ascii="Arial" w:eastAsia="Calibri" w:hAnsi="Arial" w:cs="Arial"/>
          <w:bCs/>
          <w:sz w:val="22"/>
        </w:rPr>
        <w:t xml:space="preserve"> </w:t>
      </w:r>
      <w:r w:rsidR="00A1541C" w:rsidRPr="004E17A8">
        <w:rPr>
          <w:rFonts w:ascii="Arial" w:eastAsia="Calibri" w:hAnsi="Arial" w:cs="Arial"/>
          <w:bCs/>
          <w:sz w:val="22"/>
        </w:rPr>
        <w:t>sus iniciativas</w:t>
      </w:r>
      <w:r w:rsidR="00A1541C" w:rsidRPr="004E17A8">
        <w:rPr>
          <w:rStyle w:val="Refdenotaalpie"/>
          <w:rFonts w:ascii="Arial" w:eastAsia="Calibri" w:hAnsi="Arial" w:cs="Arial"/>
          <w:bCs/>
          <w:sz w:val="22"/>
        </w:rPr>
        <w:footnoteReference w:id="3"/>
      </w:r>
      <w:r w:rsidR="00321F81" w:rsidRPr="004E17A8">
        <w:rPr>
          <w:rFonts w:ascii="Arial" w:eastAsia="Calibri" w:hAnsi="Arial" w:cs="Arial"/>
          <w:bCs/>
          <w:sz w:val="22"/>
        </w:rPr>
        <w:t>.</w:t>
      </w:r>
    </w:p>
    <w:p w14:paraId="2B79286E" w14:textId="09E6FE45" w:rsidR="006F2503" w:rsidRPr="004E17A8" w:rsidRDefault="00E21B55" w:rsidP="00E356C9">
      <w:pPr>
        <w:tabs>
          <w:tab w:val="left" w:pos="709"/>
        </w:tabs>
        <w:spacing w:line="276" w:lineRule="auto"/>
        <w:jc w:val="both"/>
        <w:rPr>
          <w:rFonts w:ascii="Arial" w:eastAsia="Calibri" w:hAnsi="Arial" w:cs="Arial"/>
          <w:bCs/>
          <w:sz w:val="22"/>
        </w:rPr>
      </w:pPr>
      <w:r w:rsidRPr="004E17A8">
        <w:rPr>
          <w:rFonts w:ascii="Arial" w:eastAsia="Calibri" w:hAnsi="Arial" w:cs="Arial"/>
          <w:bCs/>
          <w:sz w:val="22"/>
        </w:rPr>
        <w:tab/>
        <w:t xml:space="preserve">Para efectos de la consulta, </w:t>
      </w:r>
      <w:bookmarkStart w:id="8" w:name="_Hlk63848566"/>
      <w:r w:rsidRPr="004E17A8">
        <w:rPr>
          <w:rFonts w:ascii="Arial" w:eastAsia="Calibri" w:hAnsi="Arial" w:cs="Arial"/>
          <w:bCs/>
          <w:sz w:val="22"/>
        </w:rPr>
        <w:t>los artículo</w:t>
      </w:r>
      <w:r w:rsidR="00EE2BBD" w:rsidRPr="004E17A8">
        <w:rPr>
          <w:rFonts w:ascii="Arial" w:eastAsia="Calibri" w:hAnsi="Arial" w:cs="Arial"/>
          <w:bCs/>
          <w:sz w:val="22"/>
        </w:rPr>
        <w:t xml:space="preserve">s </w:t>
      </w:r>
      <w:r w:rsidR="009C7248" w:rsidRPr="004E17A8">
        <w:rPr>
          <w:rFonts w:ascii="Arial" w:eastAsia="Calibri" w:hAnsi="Arial" w:cs="Arial"/>
          <w:bCs/>
          <w:sz w:val="22"/>
        </w:rPr>
        <w:t>30, 31, 32, 33, 34, 35 y 36 de la Ley 2069 de 2020</w:t>
      </w:r>
      <w:bookmarkEnd w:id="8"/>
      <w:r w:rsidR="00917B15" w:rsidRPr="004E17A8">
        <w:rPr>
          <w:rFonts w:ascii="Arial" w:eastAsia="Calibri" w:hAnsi="Arial" w:cs="Arial"/>
          <w:bCs/>
          <w:sz w:val="22"/>
        </w:rPr>
        <w:t xml:space="preserve"> crean </w:t>
      </w:r>
      <w:r w:rsidR="009C7248" w:rsidRPr="004E17A8">
        <w:rPr>
          <w:rFonts w:ascii="Arial" w:eastAsia="Calibri" w:hAnsi="Arial" w:cs="Arial"/>
          <w:bCs/>
          <w:sz w:val="22"/>
        </w:rPr>
        <w:t>una serie de incentivos para las personas interesadas en celebrar contratos con el Estado</w:t>
      </w:r>
      <w:r w:rsidR="00917B15" w:rsidRPr="004E17A8">
        <w:rPr>
          <w:rFonts w:ascii="Arial" w:eastAsia="Calibri" w:hAnsi="Arial" w:cs="Arial"/>
          <w:bCs/>
          <w:sz w:val="22"/>
        </w:rPr>
        <w:t xml:space="preserve">. </w:t>
      </w:r>
      <w:r w:rsidR="00EA3C76" w:rsidRPr="004E17A8">
        <w:rPr>
          <w:rFonts w:ascii="Arial" w:eastAsia="Calibri" w:hAnsi="Arial" w:cs="Arial"/>
          <w:bCs/>
          <w:sz w:val="22"/>
        </w:rPr>
        <w:t>Particularmente, conforme a la exposición de motivos, «</w:t>
      </w:r>
      <w:r w:rsidR="00EA3C76" w:rsidRPr="004E17A8">
        <w:rPr>
          <w:rFonts w:ascii="Arial" w:hAnsi="Arial" w:cs="Arial"/>
          <w:sz w:val="22"/>
        </w:rPr>
        <w:t xml:space="preserve">[…] </w:t>
      </w:r>
      <w:r w:rsidR="00EA3C76" w:rsidRPr="004E17A8">
        <w:rPr>
          <w:rFonts w:ascii="Arial" w:eastAsia="Calibri" w:hAnsi="Arial" w:cs="Arial"/>
          <w:bCs/>
          <w:sz w:val="22"/>
        </w:rPr>
        <w:t xml:space="preserve">propone facilitar el acceso de </w:t>
      </w:r>
      <w:r w:rsidR="00303F05" w:rsidRPr="004E17A8">
        <w:rPr>
          <w:rFonts w:ascii="Arial" w:eastAsia="Calibri" w:hAnsi="Arial" w:cs="Arial"/>
          <w:bCs/>
          <w:sz w:val="22"/>
        </w:rPr>
        <w:t xml:space="preserve">las </w:t>
      </w:r>
      <w:proofErr w:type="spellStart"/>
      <w:r w:rsidR="00303F05" w:rsidRPr="004E17A8">
        <w:rPr>
          <w:rFonts w:ascii="Arial" w:eastAsia="Calibri" w:hAnsi="Arial" w:cs="Arial"/>
          <w:bCs/>
          <w:sz w:val="22"/>
        </w:rPr>
        <w:t>mipymes</w:t>
      </w:r>
      <w:proofErr w:type="spellEnd"/>
      <w:r w:rsidR="00303F05" w:rsidRPr="004E17A8">
        <w:rPr>
          <w:rFonts w:ascii="Arial" w:eastAsia="Calibri" w:hAnsi="Arial" w:cs="Arial"/>
          <w:bCs/>
          <w:sz w:val="22"/>
        </w:rPr>
        <w:t xml:space="preserve"> a la modalidad de contratación de mínima cuantía, la limitación de estos procesos a </w:t>
      </w:r>
      <w:proofErr w:type="spellStart"/>
      <w:r w:rsidR="00303F05" w:rsidRPr="004E17A8">
        <w:rPr>
          <w:rFonts w:ascii="Arial" w:eastAsia="Calibri" w:hAnsi="Arial" w:cs="Arial"/>
          <w:bCs/>
          <w:sz w:val="22"/>
        </w:rPr>
        <w:t>mipymes</w:t>
      </w:r>
      <w:proofErr w:type="spellEnd"/>
      <w:r w:rsidR="00303F05" w:rsidRPr="004E17A8">
        <w:rPr>
          <w:rFonts w:ascii="Arial" w:eastAsia="Calibri" w:hAnsi="Arial" w:cs="Arial"/>
          <w:bCs/>
          <w:sz w:val="22"/>
        </w:rPr>
        <w:t xml:space="preserve">, define la posibilidad de establecer criterios diferenciales a favor de las </w:t>
      </w:r>
      <w:proofErr w:type="spellStart"/>
      <w:r w:rsidR="00303F05" w:rsidRPr="004E17A8">
        <w:rPr>
          <w:rFonts w:ascii="Arial" w:eastAsia="Calibri" w:hAnsi="Arial" w:cs="Arial"/>
          <w:bCs/>
          <w:sz w:val="22"/>
        </w:rPr>
        <w:t>mipymes</w:t>
      </w:r>
      <w:proofErr w:type="spellEnd"/>
      <w:r w:rsidR="00303F05" w:rsidRPr="004E17A8">
        <w:rPr>
          <w:rFonts w:ascii="Arial" w:eastAsia="Calibri" w:hAnsi="Arial" w:cs="Arial"/>
          <w:bCs/>
          <w:sz w:val="22"/>
        </w:rPr>
        <w:t xml:space="preserve"> en</w:t>
      </w:r>
      <w:r w:rsidR="00EA3C76" w:rsidRPr="004E17A8">
        <w:rPr>
          <w:rFonts w:ascii="Arial" w:eastAsia="Calibri" w:hAnsi="Arial" w:cs="Arial"/>
          <w:bCs/>
          <w:sz w:val="22"/>
        </w:rPr>
        <w:t xml:space="preserve"> los procesos de contratación pública, amplía el ámbito de aplicación de las medidas de compras públicas a entidades que hoy están excluidas, establece la creación de un sistema de información e indicadores para evaluar la efectividad de las medidas adoptadas y define la inclusión de factores de desempate en los procesos de contratación pública que priorizan este segmento</w:t>
      </w:r>
      <w:r w:rsidR="00F32C99" w:rsidRPr="004E17A8">
        <w:rPr>
          <w:rFonts w:ascii="Arial" w:eastAsia="Calibri" w:hAnsi="Arial" w:cs="Arial"/>
          <w:bCs/>
          <w:sz w:val="22"/>
        </w:rPr>
        <w:t>»</w:t>
      </w:r>
      <w:r w:rsidR="00F32C99" w:rsidRPr="004E17A8">
        <w:rPr>
          <w:rStyle w:val="Refdenotaalpie"/>
          <w:rFonts w:ascii="Arial" w:eastAsia="Calibri" w:hAnsi="Arial" w:cs="Arial"/>
          <w:bCs/>
          <w:sz w:val="22"/>
        </w:rPr>
        <w:footnoteReference w:id="4"/>
      </w:r>
      <w:r w:rsidR="00EA3C76" w:rsidRPr="004E17A8">
        <w:rPr>
          <w:rFonts w:ascii="Arial" w:eastAsia="Calibri" w:hAnsi="Arial" w:cs="Arial"/>
          <w:bCs/>
          <w:sz w:val="22"/>
        </w:rPr>
        <w:t xml:space="preserve">. </w:t>
      </w:r>
      <w:r w:rsidR="00F32C99" w:rsidRPr="004E17A8">
        <w:rPr>
          <w:rFonts w:ascii="Arial" w:eastAsia="Calibri" w:hAnsi="Arial" w:cs="Arial"/>
          <w:bCs/>
          <w:sz w:val="22"/>
        </w:rPr>
        <w:t>Por ello, antes de analizar si la reglamentación de las normas anteriormente citadas</w:t>
      </w:r>
      <w:r w:rsidR="005455D7" w:rsidRPr="004E17A8">
        <w:rPr>
          <w:rFonts w:ascii="Arial" w:eastAsia="Calibri" w:hAnsi="Arial" w:cs="Arial"/>
          <w:bCs/>
          <w:sz w:val="22"/>
        </w:rPr>
        <w:t xml:space="preserve"> es una condición para su </w:t>
      </w:r>
      <w:proofErr w:type="gramStart"/>
      <w:r w:rsidR="005455D7" w:rsidRPr="004E17A8">
        <w:rPr>
          <w:rFonts w:ascii="Arial" w:eastAsia="Calibri" w:hAnsi="Arial" w:cs="Arial"/>
          <w:bCs/>
          <w:sz w:val="22"/>
        </w:rPr>
        <w:t>entrada en vigencia</w:t>
      </w:r>
      <w:proofErr w:type="gramEnd"/>
      <w:r w:rsidR="00F32C99" w:rsidRPr="004E17A8">
        <w:rPr>
          <w:rFonts w:ascii="Arial" w:eastAsia="Calibri" w:hAnsi="Arial" w:cs="Arial"/>
          <w:bCs/>
          <w:sz w:val="22"/>
        </w:rPr>
        <w:t xml:space="preserve">, conviene precisar </w:t>
      </w:r>
      <w:r w:rsidR="00DC0FCD" w:rsidRPr="004E17A8">
        <w:rPr>
          <w:rFonts w:ascii="Arial" w:eastAsia="Calibri" w:hAnsi="Arial" w:cs="Arial"/>
          <w:bCs/>
          <w:sz w:val="22"/>
        </w:rPr>
        <w:t xml:space="preserve">su </w:t>
      </w:r>
      <w:r w:rsidR="00F32C99" w:rsidRPr="004E17A8">
        <w:rPr>
          <w:rFonts w:ascii="Arial" w:eastAsia="Calibri" w:hAnsi="Arial" w:cs="Arial"/>
          <w:bCs/>
          <w:sz w:val="22"/>
        </w:rPr>
        <w:t>sentido y alcance</w:t>
      </w:r>
      <w:r w:rsidR="00E356C9" w:rsidRPr="004E17A8">
        <w:rPr>
          <w:rFonts w:ascii="Arial" w:eastAsia="Calibri" w:hAnsi="Arial" w:cs="Arial"/>
          <w:bCs/>
          <w:sz w:val="22"/>
        </w:rPr>
        <w:t>:</w:t>
      </w:r>
    </w:p>
    <w:p w14:paraId="47951D0E" w14:textId="77777777" w:rsidR="00E356C9" w:rsidRPr="004E17A8" w:rsidRDefault="00E356C9" w:rsidP="00E356C9">
      <w:pPr>
        <w:tabs>
          <w:tab w:val="left" w:pos="709"/>
        </w:tabs>
        <w:spacing w:line="276" w:lineRule="auto"/>
        <w:jc w:val="both"/>
        <w:rPr>
          <w:rFonts w:ascii="Arial" w:eastAsia="Calibri" w:hAnsi="Arial" w:cs="Arial"/>
          <w:bCs/>
          <w:sz w:val="22"/>
        </w:rPr>
      </w:pPr>
    </w:p>
    <w:p w14:paraId="18D20CBF" w14:textId="4266F323" w:rsidR="00E356C9" w:rsidRPr="004E17A8" w:rsidRDefault="00E356C9" w:rsidP="00E356C9">
      <w:pPr>
        <w:tabs>
          <w:tab w:val="left" w:pos="709"/>
        </w:tabs>
        <w:spacing w:line="276" w:lineRule="auto"/>
        <w:jc w:val="both"/>
        <w:rPr>
          <w:rFonts w:ascii="Arial" w:eastAsia="Calibri" w:hAnsi="Arial" w:cs="Arial"/>
          <w:b/>
          <w:i/>
          <w:iCs/>
          <w:sz w:val="22"/>
        </w:rPr>
      </w:pPr>
      <w:r w:rsidRPr="004E17A8">
        <w:rPr>
          <w:rFonts w:ascii="Arial" w:eastAsia="Calibri" w:hAnsi="Arial" w:cs="Arial"/>
          <w:b/>
          <w:i/>
          <w:iCs/>
          <w:sz w:val="22"/>
        </w:rPr>
        <w:t>2.</w:t>
      </w:r>
      <w:r w:rsidR="008F2837" w:rsidRPr="004E17A8">
        <w:rPr>
          <w:rFonts w:ascii="Arial" w:eastAsia="Calibri" w:hAnsi="Arial" w:cs="Arial"/>
          <w:b/>
          <w:i/>
          <w:iCs/>
          <w:sz w:val="22"/>
        </w:rPr>
        <w:t>1</w:t>
      </w:r>
      <w:r w:rsidRPr="004E17A8">
        <w:rPr>
          <w:rFonts w:ascii="Arial" w:eastAsia="Calibri" w:hAnsi="Arial" w:cs="Arial"/>
          <w:b/>
          <w:i/>
          <w:iCs/>
          <w:sz w:val="22"/>
        </w:rPr>
        <w:t xml:space="preserve">.1. </w:t>
      </w:r>
      <w:bookmarkStart w:id="9" w:name="_Hlk64292850"/>
      <w:proofErr w:type="spellStart"/>
      <w:r w:rsidRPr="004E17A8">
        <w:rPr>
          <w:rFonts w:ascii="Arial" w:eastAsia="Calibri" w:hAnsi="Arial" w:cs="Arial"/>
          <w:b/>
          <w:i/>
          <w:iCs/>
          <w:sz w:val="22"/>
        </w:rPr>
        <w:t>Mipymes</w:t>
      </w:r>
      <w:proofErr w:type="spellEnd"/>
      <w:r w:rsidRPr="004E17A8">
        <w:rPr>
          <w:rFonts w:ascii="Arial" w:eastAsia="Calibri" w:hAnsi="Arial" w:cs="Arial"/>
          <w:b/>
          <w:i/>
          <w:iCs/>
          <w:sz w:val="22"/>
        </w:rPr>
        <w:t xml:space="preserve"> y mínima cuantía</w:t>
      </w:r>
      <w:bookmarkEnd w:id="9"/>
    </w:p>
    <w:p w14:paraId="36B7F4FA" w14:textId="77777777" w:rsidR="00E356C9" w:rsidRPr="004E17A8" w:rsidRDefault="00E356C9" w:rsidP="00E356C9">
      <w:pPr>
        <w:tabs>
          <w:tab w:val="left" w:pos="709"/>
        </w:tabs>
        <w:spacing w:line="276" w:lineRule="auto"/>
        <w:jc w:val="both"/>
        <w:rPr>
          <w:rFonts w:ascii="Arial" w:eastAsia="Calibri" w:hAnsi="Arial" w:cs="Arial"/>
          <w:b/>
          <w:sz w:val="22"/>
        </w:rPr>
      </w:pPr>
    </w:p>
    <w:p w14:paraId="7B01CAB3" w14:textId="4A3DF8DB" w:rsidR="00DC4444" w:rsidRPr="004E17A8" w:rsidRDefault="00E356C9" w:rsidP="00DC4444">
      <w:pPr>
        <w:tabs>
          <w:tab w:val="left" w:pos="709"/>
        </w:tabs>
        <w:spacing w:after="120" w:line="276" w:lineRule="auto"/>
        <w:jc w:val="both"/>
        <w:rPr>
          <w:rFonts w:ascii="Arial" w:eastAsia="Calibri" w:hAnsi="Arial" w:cs="Arial"/>
          <w:bCs/>
          <w:sz w:val="22"/>
          <w:lang w:val="es-ES_tradnl"/>
        </w:rPr>
      </w:pPr>
      <w:r w:rsidRPr="004E17A8">
        <w:rPr>
          <w:rFonts w:ascii="Arial" w:eastAsia="Calibri" w:hAnsi="Arial" w:cs="Arial"/>
          <w:bCs/>
          <w:sz w:val="22"/>
        </w:rPr>
        <w:t>E</w:t>
      </w:r>
      <w:r w:rsidR="005455D7" w:rsidRPr="004E17A8">
        <w:rPr>
          <w:rFonts w:ascii="Arial" w:eastAsia="Calibri" w:hAnsi="Arial" w:cs="Arial"/>
          <w:bCs/>
          <w:sz w:val="22"/>
        </w:rPr>
        <w:t xml:space="preserve">l artículo 30 de la Ley 2069 de 2020 modifica el numeral 5 del artículo 2 de la Ley 1150 de 2007, el cual regula </w:t>
      </w:r>
      <w:r w:rsidR="00DC4444" w:rsidRPr="004E17A8">
        <w:rPr>
          <w:rFonts w:ascii="Arial" w:eastAsia="Calibri" w:hAnsi="Arial" w:cs="Arial"/>
          <w:bCs/>
          <w:sz w:val="22"/>
        </w:rPr>
        <w:t>la</w:t>
      </w:r>
      <w:r w:rsidR="005455D7" w:rsidRPr="004E17A8">
        <w:rPr>
          <w:rFonts w:ascii="Arial" w:eastAsia="Calibri" w:hAnsi="Arial" w:cs="Arial"/>
          <w:bCs/>
          <w:sz w:val="22"/>
        </w:rPr>
        <w:t xml:space="preserve"> mínima cuantía. </w:t>
      </w:r>
      <w:r w:rsidR="00DC4444" w:rsidRPr="004E17A8">
        <w:rPr>
          <w:rFonts w:ascii="Arial" w:eastAsia="Calibri" w:hAnsi="Arial" w:cs="Arial"/>
          <w:bCs/>
          <w:sz w:val="22"/>
          <w:lang w:val="es-ES_tradnl"/>
        </w:rPr>
        <w:t xml:space="preserve">En esta modalidad de selección, la entidad estatal realiza una convocatoria pública para recibir ofertas de bienes o servicios cuyo valor no excede el diez por ciento –10%– de la menor cuantía. Fue creada por el artículo 94 de la </w:t>
      </w:r>
      <w:r w:rsidR="00DC4444" w:rsidRPr="004E17A8">
        <w:rPr>
          <w:rFonts w:ascii="Arial" w:eastAsia="Calibri" w:hAnsi="Arial" w:cs="Arial"/>
          <w:bCs/>
          <w:sz w:val="22"/>
          <w:lang w:val="es-ES_tradnl"/>
        </w:rPr>
        <w:lastRenderedPageBreak/>
        <w:t>Ley 1474 de 2011, disponiendo que el factor determinante para adelantarl</w:t>
      </w:r>
      <w:r w:rsidR="00BC0AD1" w:rsidRPr="004E17A8">
        <w:rPr>
          <w:rFonts w:ascii="Arial" w:eastAsia="Calibri" w:hAnsi="Arial" w:cs="Arial"/>
          <w:bCs/>
          <w:sz w:val="22"/>
          <w:lang w:val="es-ES_tradnl"/>
        </w:rPr>
        <w:t>a</w:t>
      </w:r>
      <w:r w:rsidR="00DC4444" w:rsidRPr="004E17A8">
        <w:rPr>
          <w:rFonts w:ascii="Arial" w:eastAsia="Calibri" w:hAnsi="Arial" w:cs="Arial"/>
          <w:bCs/>
          <w:sz w:val="22"/>
          <w:lang w:val="es-ES_tradnl"/>
        </w:rPr>
        <w:t xml:space="preserve"> </w:t>
      </w:r>
      <w:r w:rsidR="0064635E" w:rsidRPr="004E17A8">
        <w:rPr>
          <w:rFonts w:ascii="Arial" w:eastAsia="Calibri" w:hAnsi="Arial" w:cs="Arial"/>
          <w:bCs/>
          <w:sz w:val="22"/>
          <w:lang w:val="es-ES_tradnl"/>
        </w:rPr>
        <w:t>es el valor del presupuesto oficial</w:t>
      </w:r>
      <w:r w:rsidR="00DC4444" w:rsidRPr="004E17A8">
        <w:rPr>
          <w:rFonts w:ascii="Arial" w:eastAsia="Calibri" w:hAnsi="Arial" w:cs="Arial"/>
          <w:bCs/>
          <w:sz w:val="22"/>
          <w:lang w:val="es-ES_tradnl"/>
        </w:rPr>
        <w:t xml:space="preserve"> con independencia de su objeto. </w:t>
      </w:r>
      <w:r w:rsidR="0064635E" w:rsidRPr="004E17A8">
        <w:rPr>
          <w:rFonts w:ascii="Arial" w:eastAsia="Calibri" w:hAnsi="Arial" w:cs="Arial"/>
          <w:bCs/>
          <w:sz w:val="22"/>
          <w:lang w:val="es-ES_tradnl"/>
        </w:rPr>
        <w:t>Por lo demás, como en este procedimiento el contrato se perfecciona con la aceptación de la oferta, se considera un sucedáneo de los denominados «contratos sin formalidades plenas»</w:t>
      </w:r>
      <w:r w:rsidR="0064635E" w:rsidRPr="004E17A8">
        <w:rPr>
          <w:rStyle w:val="Refdenotaalpie"/>
          <w:rFonts w:ascii="Arial" w:eastAsia="Calibri" w:hAnsi="Arial" w:cs="Arial"/>
          <w:bCs/>
          <w:sz w:val="22"/>
          <w:lang w:val="es-ES_tradnl"/>
        </w:rPr>
        <w:footnoteReference w:id="5"/>
      </w:r>
      <w:r w:rsidR="0064635E" w:rsidRPr="004E17A8">
        <w:rPr>
          <w:rFonts w:ascii="Arial" w:eastAsia="Calibri" w:hAnsi="Arial" w:cs="Arial"/>
          <w:bCs/>
          <w:sz w:val="22"/>
          <w:lang w:val="es-ES_tradnl"/>
        </w:rPr>
        <w:t>.</w:t>
      </w:r>
    </w:p>
    <w:p w14:paraId="3FB494E9" w14:textId="3A118EB4" w:rsidR="00106148" w:rsidRPr="004E17A8" w:rsidRDefault="00760606" w:rsidP="00DC4444">
      <w:pPr>
        <w:tabs>
          <w:tab w:val="left" w:pos="709"/>
        </w:tabs>
        <w:spacing w:after="120" w:line="276" w:lineRule="auto"/>
        <w:jc w:val="both"/>
        <w:rPr>
          <w:rFonts w:ascii="Arial" w:eastAsia="Calibri" w:hAnsi="Arial" w:cs="Arial"/>
          <w:bCs/>
          <w:sz w:val="22"/>
          <w:lang w:val="es-ES_tradnl"/>
        </w:rPr>
      </w:pPr>
      <w:r w:rsidRPr="004E17A8">
        <w:rPr>
          <w:rFonts w:ascii="Arial" w:eastAsia="Calibri" w:hAnsi="Arial" w:cs="Arial"/>
          <w:bCs/>
          <w:sz w:val="22"/>
          <w:lang w:val="es-ES_tradnl"/>
        </w:rPr>
        <w:tab/>
      </w:r>
      <w:r w:rsidR="0005595F" w:rsidRPr="004E17A8">
        <w:rPr>
          <w:rFonts w:ascii="Arial" w:eastAsia="Calibri" w:hAnsi="Arial" w:cs="Arial"/>
          <w:bCs/>
          <w:sz w:val="22"/>
          <w:lang w:val="es-ES_tradnl"/>
        </w:rPr>
        <w:t xml:space="preserve">En esencia, </w:t>
      </w:r>
      <w:r w:rsidR="0005595F" w:rsidRPr="004E17A8">
        <w:rPr>
          <w:rFonts w:ascii="Arial" w:eastAsia="Calibri" w:hAnsi="Arial" w:cs="Arial"/>
          <w:bCs/>
          <w:sz w:val="22"/>
        </w:rPr>
        <w:t xml:space="preserve">el artículo 30 de la Ley 2069 de 2020 conserva a grandes rasgos </w:t>
      </w:r>
      <w:r w:rsidR="00660495" w:rsidRPr="004E17A8">
        <w:rPr>
          <w:rFonts w:ascii="Arial" w:eastAsia="Calibri" w:hAnsi="Arial" w:cs="Arial"/>
          <w:bCs/>
          <w:sz w:val="22"/>
        </w:rPr>
        <w:t xml:space="preserve">el procedimiento </w:t>
      </w:r>
      <w:r w:rsidR="0005595F" w:rsidRPr="004E17A8">
        <w:rPr>
          <w:rFonts w:ascii="Arial" w:eastAsia="Calibri" w:hAnsi="Arial" w:cs="Arial"/>
          <w:bCs/>
          <w:sz w:val="22"/>
        </w:rPr>
        <w:t xml:space="preserve">previsto en el derogado </w:t>
      </w:r>
      <w:r w:rsidR="0005595F" w:rsidRPr="004E17A8">
        <w:rPr>
          <w:rFonts w:ascii="Arial" w:eastAsia="Calibri" w:hAnsi="Arial" w:cs="Arial"/>
          <w:bCs/>
          <w:sz w:val="22"/>
          <w:lang w:val="es-ES_tradnl"/>
        </w:rPr>
        <w:t>artículo 94 de la Ley 1474 de 2011</w:t>
      </w:r>
      <w:r w:rsidR="00BF4B4C" w:rsidRPr="004E17A8">
        <w:rPr>
          <w:rFonts w:ascii="Arial" w:eastAsia="Calibri" w:hAnsi="Arial" w:cs="Arial"/>
          <w:bCs/>
          <w:sz w:val="22"/>
          <w:lang w:val="es-ES_tradnl"/>
        </w:rPr>
        <w:t>, el cual define los aspectos generales del procedimiento contractual</w:t>
      </w:r>
      <w:r w:rsidR="00660495" w:rsidRPr="004E17A8">
        <w:rPr>
          <w:rStyle w:val="Refdenotaalpie"/>
          <w:rFonts w:ascii="Arial" w:eastAsia="Calibri" w:hAnsi="Arial" w:cs="Arial"/>
          <w:bCs/>
          <w:sz w:val="22"/>
          <w:lang w:val="es-ES_tradnl"/>
        </w:rPr>
        <w:footnoteReference w:id="6"/>
      </w:r>
      <w:r w:rsidR="00660495" w:rsidRPr="004E17A8">
        <w:rPr>
          <w:rFonts w:ascii="Arial" w:eastAsia="Calibri" w:hAnsi="Arial" w:cs="Arial"/>
          <w:bCs/>
          <w:sz w:val="22"/>
          <w:lang w:val="es-ES_tradnl"/>
        </w:rPr>
        <w:t>.</w:t>
      </w:r>
      <w:r w:rsidR="00106148" w:rsidRPr="004E17A8">
        <w:rPr>
          <w:rFonts w:ascii="Arial" w:eastAsia="Calibri" w:hAnsi="Arial" w:cs="Arial"/>
          <w:bCs/>
          <w:sz w:val="22"/>
          <w:lang w:val="es-ES_tradnl"/>
        </w:rPr>
        <w:t xml:space="preserve"> No obstante,</w:t>
      </w:r>
      <w:r w:rsidRPr="004E17A8">
        <w:rPr>
          <w:rFonts w:ascii="Arial" w:eastAsia="Calibri" w:hAnsi="Arial" w:cs="Arial"/>
          <w:bCs/>
          <w:sz w:val="22"/>
          <w:lang w:val="es-ES_tradnl"/>
        </w:rPr>
        <w:t xml:space="preserve"> aludiendo expresamente </w:t>
      </w:r>
      <w:r w:rsidR="00BB4B39" w:rsidRPr="004E17A8">
        <w:rPr>
          <w:rFonts w:ascii="Arial" w:eastAsia="Calibri" w:hAnsi="Arial" w:cs="Arial"/>
          <w:bCs/>
          <w:sz w:val="22"/>
          <w:lang w:val="es-ES_tradnl"/>
        </w:rPr>
        <w:t>a</w:t>
      </w:r>
      <w:r w:rsidRPr="004E17A8">
        <w:rPr>
          <w:rFonts w:ascii="Arial" w:eastAsia="Calibri" w:hAnsi="Arial" w:cs="Arial"/>
          <w:bCs/>
          <w:sz w:val="22"/>
          <w:lang w:val="es-ES_tradnl"/>
        </w:rPr>
        <w:t>l desarrollo reglamentario,</w:t>
      </w:r>
      <w:r w:rsidR="00106148" w:rsidRPr="004E17A8">
        <w:rPr>
          <w:rFonts w:ascii="Arial" w:eastAsia="Calibri" w:hAnsi="Arial" w:cs="Arial"/>
          <w:bCs/>
          <w:sz w:val="22"/>
          <w:lang w:val="es-ES_tradnl"/>
        </w:rPr>
        <w:t xml:space="preserve"> el parágrafo primero introduce el siguiente cambio: «Las particularidades del procedimiento aquí previsto, así como la posibilidad que tengan las entidades de realizar estas adquisiciones </w:t>
      </w:r>
      <w:r w:rsidR="00303F05" w:rsidRPr="004E17A8">
        <w:rPr>
          <w:rFonts w:ascii="Arial" w:eastAsia="Calibri" w:hAnsi="Arial" w:cs="Arial"/>
          <w:bCs/>
          <w:i/>
          <w:iCs/>
          <w:sz w:val="22"/>
          <w:lang w:val="es-ES_tradnl"/>
        </w:rPr>
        <w:t xml:space="preserve">a </w:t>
      </w:r>
      <w:proofErr w:type="spellStart"/>
      <w:r w:rsidR="00303F05" w:rsidRPr="004E17A8">
        <w:rPr>
          <w:rFonts w:ascii="Arial" w:eastAsia="Calibri" w:hAnsi="Arial" w:cs="Arial"/>
          <w:bCs/>
          <w:i/>
          <w:iCs/>
          <w:sz w:val="22"/>
          <w:lang w:val="es-ES_tradnl"/>
        </w:rPr>
        <w:t>mipymes</w:t>
      </w:r>
      <w:proofErr w:type="spellEnd"/>
      <w:r w:rsidR="00303F05" w:rsidRPr="004E17A8">
        <w:rPr>
          <w:rFonts w:ascii="Arial" w:eastAsia="Calibri" w:hAnsi="Arial" w:cs="Arial"/>
          <w:bCs/>
          <w:sz w:val="22"/>
          <w:lang w:val="es-ES_tradnl"/>
        </w:rPr>
        <w:t xml:space="preserve"> </w:t>
      </w:r>
      <w:r w:rsidR="00106148" w:rsidRPr="004E17A8">
        <w:rPr>
          <w:rFonts w:ascii="Arial" w:eastAsia="Calibri" w:hAnsi="Arial" w:cs="Arial"/>
          <w:bCs/>
          <w:sz w:val="22"/>
          <w:lang w:val="es-ES_tradnl"/>
        </w:rPr>
        <w:t>o establecimientos que correspondan a la definición de "gran almacén" señalada por la Superintendencia de Industria y Comercio, se determinarán en el reglamento que para el efecto expida el Gobierno Nacional» (Énfasis fuera de texto).</w:t>
      </w:r>
      <w:r w:rsidR="00660495" w:rsidRPr="004E17A8">
        <w:rPr>
          <w:rFonts w:ascii="Arial" w:eastAsia="Calibri" w:hAnsi="Arial" w:cs="Arial"/>
          <w:bCs/>
          <w:sz w:val="22"/>
          <w:lang w:val="es-ES_tradnl"/>
        </w:rPr>
        <w:t xml:space="preserve"> </w:t>
      </w:r>
    </w:p>
    <w:p w14:paraId="1B8440A4" w14:textId="116DEE02" w:rsidR="00760606" w:rsidRPr="004E17A8" w:rsidRDefault="00106148" w:rsidP="00060618">
      <w:pPr>
        <w:tabs>
          <w:tab w:val="left" w:pos="709"/>
        </w:tabs>
        <w:spacing w:after="120" w:line="276" w:lineRule="auto"/>
        <w:jc w:val="both"/>
        <w:rPr>
          <w:rFonts w:ascii="Arial" w:eastAsia="Calibri" w:hAnsi="Arial" w:cs="Arial"/>
          <w:bCs/>
          <w:sz w:val="22"/>
          <w:lang w:val="es-ES_tradnl"/>
        </w:rPr>
      </w:pPr>
      <w:r w:rsidRPr="004E17A8">
        <w:rPr>
          <w:rFonts w:ascii="Arial" w:eastAsia="Calibri" w:hAnsi="Arial" w:cs="Arial"/>
          <w:bCs/>
          <w:sz w:val="22"/>
          <w:lang w:val="es-ES_tradnl"/>
        </w:rPr>
        <w:tab/>
        <w:t>Est</w:t>
      </w:r>
      <w:r w:rsidR="00225FBD" w:rsidRPr="004E17A8">
        <w:rPr>
          <w:rFonts w:ascii="Arial" w:eastAsia="Calibri" w:hAnsi="Arial" w:cs="Arial"/>
          <w:bCs/>
          <w:sz w:val="22"/>
          <w:lang w:val="es-ES_tradnl"/>
        </w:rPr>
        <w:t>a</w:t>
      </w:r>
      <w:r w:rsidRPr="004E17A8">
        <w:rPr>
          <w:rFonts w:ascii="Arial" w:eastAsia="Calibri" w:hAnsi="Arial" w:cs="Arial"/>
          <w:bCs/>
          <w:sz w:val="22"/>
          <w:lang w:val="es-ES_tradnl"/>
        </w:rPr>
        <w:t xml:space="preserve"> m</w:t>
      </w:r>
      <w:r w:rsidR="00225FBD" w:rsidRPr="004E17A8">
        <w:rPr>
          <w:rFonts w:ascii="Arial" w:eastAsia="Calibri" w:hAnsi="Arial" w:cs="Arial"/>
          <w:bCs/>
          <w:sz w:val="22"/>
          <w:lang w:val="es-ES_tradnl"/>
        </w:rPr>
        <w:t>odificación</w:t>
      </w:r>
      <w:r w:rsidRPr="004E17A8">
        <w:rPr>
          <w:rFonts w:ascii="Arial" w:eastAsia="Calibri" w:hAnsi="Arial" w:cs="Arial"/>
          <w:bCs/>
          <w:sz w:val="22"/>
          <w:lang w:val="es-ES_tradnl"/>
        </w:rPr>
        <w:t xml:space="preserve"> es importante, </w:t>
      </w:r>
      <w:r w:rsidR="00C30A46" w:rsidRPr="004E17A8">
        <w:rPr>
          <w:rFonts w:ascii="Arial" w:eastAsia="Calibri" w:hAnsi="Arial" w:cs="Arial"/>
          <w:bCs/>
          <w:sz w:val="22"/>
          <w:lang w:val="es-ES_tradnl"/>
        </w:rPr>
        <w:t>pues</w:t>
      </w:r>
      <w:r w:rsidR="00D456BE" w:rsidRPr="004E17A8">
        <w:rPr>
          <w:rFonts w:ascii="Arial" w:eastAsia="Calibri" w:hAnsi="Arial" w:cs="Arial"/>
          <w:bCs/>
          <w:sz w:val="22"/>
          <w:lang w:val="es-ES_tradnl"/>
        </w:rPr>
        <w:t xml:space="preserve"> antes de la Ley de Emprendimiento</w:t>
      </w:r>
      <w:r w:rsidRPr="004E17A8">
        <w:rPr>
          <w:rFonts w:ascii="Arial" w:eastAsia="Calibri" w:hAnsi="Arial" w:cs="Arial"/>
          <w:bCs/>
          <w:sz w:val="22"/>
          <w:lang w:val="es-ES_tradnl"/>
        </w:rPr>
        <w:t xml:space="preserve"> era</w:t>
      </w:r>
      <w:r w:rsidR="00D456BE" w:rsidRPr="004E17A8">
        <w:rPr>
          <w:rFonts w:ascii="Arial" w:eastAsia="Calibri" w:hAnsi="Arial" w:cs="Arial"/>
          <w:bCs/>
          <w:sz w:val="22"/>
          <w:lang w:val="es-ES_tradnl"/>
        </w:rPr>
        <w:t xml:space="preserve"> imposible limitar a </w:t>
      </w:r>
      <w:bookmarkStart w:id="10" w:name="_Hlk63763766"/>
      <w:proofErr w:type="spellStart"/>
      <w:r w:rsidR="00D456BE" w:rsidRPr="004E17A8">
        <w:rPr>
          <w:rFonts w:ascii="Arial" w:eastAsia="Calibri" w:hAnsi="Arial" w:cs="Arial"/>
          <w:bCs/>
          <w:sz w:val="22"/>
          <w:lang w:val="es-ES_tradnl"/>
        </w:rPr>
        <w:t>mipymes</w:t>
      </w:r>
      <w:bookmarkEnd w:id="10"/>
      <w:proofErr w:type="spellEnd"/>
      <w:r w:rsidR="00E11440" w:rsidRPr="004E17A8">
        <w:rPr>
          <w:rFonts w:ascii="Arial" w:eastAsia="Calibri" w:hAnsi="Arial" w:cs="Arial"/>
          <w:bCs/>
          <w:sz w:val="22"/>
          <w:lang w:val="es-ES_tradnl"/>
        </w:rPr>
        <w:t xml:space="preserve"> la</w:t>
      </w:r>
      <w:r w:rsidRPr="004E17A8">
        <w:rPr>
          <w:rFonts w:ascii="Arial" w:eastAsia="Calibri" w:hAnsi="Arial" w:cs="Arial"/>
          <w:bCs/>
          <w:sz w:val="22"/>
          <w:lang w:val="es-ES_tradnl"/>
        </w:rPr>
        <w:t xml:space="preserve"> mínima cuantía</w:t>
      </w:r>
      <w:r w:rsidR="00D456BE" w:rsidRPr="004E17A8">
        <w:rPr>
          <w:rFonts w:ascii="Arial" w:eastAsia="Calibri" w:hAnsi="Arial" w:cs="Arial"/>
          <w:bCs/>
          <w:sz w:val="22"/>
          <w:lang w:val="es-ES_tradnl"/>
        </w:rPr>
        <w:t>, especialmente, cuando el artículo 94 la Ley 1474 de 2011 disponía que no era aplicable</w:t>
      </w:r>
      <w:r w:rsidR="00E11440" w:rsidRPr="004E17A8">
        <w:rPr>
          <w:rFonts w:ascii="Arial" w:eastAsia="Calibri" w:hAnsi="Arial" w:cs="Arial"/>
          <w:bCs/>
          <w:sz w:val="22"/>
          <w:lang w:val="es-ES_tradnl"/>
        </w:rPr>
        <w:t xml:space="preserve"> la Ley 816 de 2003, «Por medio de la cual se apoya a la industria nacional a través de la contratación pública</w:t>
      </w:r>
      <w:r w:rsidR="00E11440" w:rsidRPr="004E17A8">
        <w:rPr>
          <w:rFonts w:ascii="Arial" w:hAnsi="Arial" w:cs="Arial"/>
          <w:sz w:val="22"/>
        </w:rPr>
        <w:t xml:space="preserve">», ni </w:t>
      </w:r>
      <w:r w:rsidR="00D456BE" w:rsidRPr="004E17A8">
        <w:rPr>
          <w:rFonts w:ascii="Arial" w:eastAsia="Calibri" w:hAnsi="Arial" w:cs="Arial"/>
          <w:bCs/>
          <w:sz w:val="22"/>
          <w:lang w:val="es-ES_tradnl"/>
        </w:rPr>
        <w:t xml:space="preserve">el artículo 12 de la Ley 1150 de 2007, relacionado con la promoción del desarrollo en la contratación pública. </w:t>
      </w:r>
      <w:r w:rsidR="00880A60" w:rsidRPr="004E17A8">
        <w:rPr>
          <w:rFonts w:ascii="Arial" w:eastAsia="Calibri" w:hAnsi="Arial" w:cs="Arial"/>
          <w:bCs/>
          <w:sz w:val="22"/>
          <w:lang w:val="es-ES_tradnl"/>
        </w:rPr>
        <w:t>A</w:t>
      </w:r>
      <w:r w:rsidR="00225FBD" w:rsidRPr="004E17A8">
        <w:rPr>
          <w:rFonts w:ascii="Arial" w:eastAsia="Calibri" w:hAnsi="Arial" w:cs="Arial"/>
          <w:bCs/>
          <w:sz w:val="22"/>
          <w:lang w:val="es-ES_tradnl"/>
        </w:rPr>
        <w:t xml:space="preserve"> partir de la expedición d</w:t>
      </w:r>
      <w:r w:rsidR="00880A60" w:rsidRPr="004E17A8">
        <w:rPr>
          <w:rFonts w:ascii="Arial" w:eastAsia="Calibri" w:hAnsi="Arial" w:cs="Arial"/>
          <w:bCs/>
          <w:sz w:val="22"/>
          <w:lang w:val="es-ES_tradnl"/>
        </w:rPr>
        <w:t>el artículo 30, parágrafo 2, de la Ley 2069 de 2020</w:t>
      </w:r>
      <w:r w:rsidR="00016F8F" w:rsidRPr="004E17A8">
        <w:rPr>
          <w:rFonts w:ascii="Arial" w:eastAsia="Calibri" w:hAnsi="Arial" w:cs="Arial"/>
          <w:bCs/>
          <w:sz w:val="22"/>
          <w:lang w:val="es-ES_tradnl"/>
        </w:rPr>
        <w:t xml:space="preserve">, «La contratación </w:t>
      </w:r>
      <w:r w:rsidR="00016F8F" w:rsidRPr="004E17A8">
        <w:rPr>
          <w:rFonts w:ascii="Arial" w:eastAsia="Calibri" w:hAnsi="Arial" w:cs="Arial"/>
          <w:bCs/>
          <w:sz w:val="22"/>
          <w:lang w:val="es-ES_tradnl"/>
        </w:rPr>
        <w:lastRenderedPageBreak/>
        <w:t>a que se refiere el presente artículo se realizará exclusivamente con las reglas en él contempladas y en su reglamentación. En particular no se aplicará lo previsto en la Ley 816 de 2003»</w:t>
      </w:r>
      <w:r w:rsidR="00EE52B1" w:rsidRPr="004E17A8">
        <w:rPr>
          <w:rFonts w:ascii="Arial" w:eastAsia="Calibri" w:hAnsi="Arial" w:cs="Arial"/>
          <w:bCs/>
          <w:sz w:val="22"/>
          <w:lang w:val="es-ES_tradnl"/>
        </w:rPr>
        <w:t>. Es decir, al no prohibir la aplicación del artículo 12 de la Ley 1150 de 2007, la norma</w:t>
      </w:r>
      <w:r w:rsidR="00760606" w:rsidRPr="004E17A8">
        <w:rPr>
          <w:rFonts w:ascii="Arial" w:eastAsia="Calibri" w:hAnsi="Arial" w:cs="Arial"/>
          <w:bCs/>
          <w:sz w:val="22"/>
          <w:lang w:val="es-ES_tradnl"/>
        </w:rPr>
        <w:t xml:space="preserve"> –además de reiterar la importancia de su reglamentación posterior–</w:t>
      </w:r>
      <w:r w:rsidR="00EE52B1" w:rsidRPr="004E17A8">
        <w:rPr>
          <w:rFonts w:ascii="Arial" w:eastAsia="Calibri" w:hAnsi="Arial" w:cs="Arial"/>
          <w:bCs/>
          <w:sz w:val="22"/>
          <w:lang w:val="es-ES_tradnl"/>
        </w:rPr>
        <w:t xml:space="preserve"> </w:t>
      </w:r>
      <w:r w:rsidR="00E11440" w:rsidRPr="004E17A8">
        <w:rPr>
          <w:rFonts w:ascii="Arial" w:eastAsia="Calibri" w:hAnsi="Arial" w:cs="Arial"/>
          <w:bCs/>
          <w:sz w:val="22"/>
          <w:lang w:val="es-ES_tradnl"/>
        </w:rPr>
        <w:t>permit</w:t>
      </w:r>
      <w:r w:rsidR="00EE52B1" w:rsidRPr="004E17A8">
        <w:rPr>
          <w:rFonts w:ascii="Arial" w:eastAsia="Calibri" w:hAnsi="Arial" w:cs="Arial"/>
          <w:bCs/>
          <w:sz w:val="22"/>
          <w:lang w:val="es-ES_tradnl"/>
        </w:rPr>
        <w:t>e</w:t>
      </w:r>
      <w:r w:rsidR="00E11440" w:rsidRPr="004E17A8">
        <w:rPr>
          <w:rFonts w:ascii="Arial" w:eastAsia="Calibri" w:hAnsi="Arial" w:cs="Arial"/>
          <w:bCs/>
          <w:sz w:val="22"/>
          <w:lang w:val="es-ES_tradnl"/>
        </w:rPr>
        <w:t xml:space="preserve"> las convocatorias limitadas a </w:t>
      </w:r>
      <w:proofErr w:type="spellStart"/>
      <w:r w:rsidR="00E11440" w:rsidRPr="004E17A8">
        <w:rPr>
          <w:rFonts w:ascii="Arial" w:eastAsia="Calibri" w:hAnsi="Arial" w:cs="Arial"/>
          <w:bCs/>
          <w:sz w:val="22"/>
          <w:lang w:val="es-ES_tradnl"/>
        </w:rPr>
        <w:t>mipymes</w:t>
      </w:r>
      <w:proofErr w:type="spellEnd"/>
      <w:r w:rsidR="00E11440" w:rsidRPr="004E17A8">
        <w:rPr>
          <w:rFonts w:ascii="Arial" w:eastAsia="Calibri" w:hAnsi="Arial" w:cs="Arial"/>
          <w:bCs/>
          <w:sz w:val="22"/>
          <w:lang w:val="es-ES_tradnl"/>
        </w:rPr>
        <w:t xml:space="preserve"> en esta modalidad de selección</w:t>
      </w:r>
      <w:r w:rsidR="00016F8F" w:rsidRPr="004E17A8">
        <w:rPr>
          <w:rFonts w:ascii="Arial" w:eastAsia="Calibri" w:hAnsi="Arial" w:cs="Arial"/>
          <w:bCs/>
          <w:sz w:val="22"/>
          <w:lang w:val="es-ES_tradnl"/>
        </w:rPr>
        <w:t>.</w:t>
      </w:r>
    </w:p>
    <w:p w14:paraId="78B1455E" w14:textId="4EB4046B" w:rsidR="00BF4B4C" w:rsidRPr="004E17A8" w:rsidRDefault="00060618" w:rsidP="00060618">
      <w:pPr>
        <w:tabs>
          <w:tab w:val="left" w:pos="709"/>
        </w:tabs>
        <w:spacing w:after="120" w:line="276" w:lineRule="auto"/>
        <w:jc w:val="both"/>
        <w:rPr>
          <w:rFonts w:ascii="Arial" w:eastAsia="Calibri" w:hAnsi="Arial" w:cs="Arial"/>
          <w:bCs/>
          <w:sz w:val="22"/>
          <w:lang w:val="es-ES_tradnl"/>
        </w:rPr>
      </w:pPr>
      <w:r w:rsidRPr="004E17A8">
        <w:rPr>
          <w:rFonts w:ascii="Arial" w:eastAsia="Calibri" w:hAnsi="Arial" w:cs="Arial"/>
          <w:bCs/>
          <w:sz w:val="22"/>
          <w:lang w:val="es-ES_tradnl"/>
        </w:rPr>
        <w:tab/>
        <w:t xml:space="preserve">Como se observa, </w:t>
      </w:r>
      <w:r w:rsidR="007E6B89" w:rsidRPr="004E17A8">
        <w:rPr>
          <w:rFonts w:ascii="Arial" w:eastAsia="Calibri" w:hAnsi="Arial" w:cs="Arial"/>
          <w:bCs/>
          <w:sz w:val="22"/>
          <w:lang w:val="es-ES_tradnl"/>
        </w:rPr>
        <w:t>el</w:t>
      </w:r>
      <w:r w:rsidRPr="004E17A8">
        <w:rPr>
          <w:rFonts w:ascii="Arial" w:eastAsia="Calibri" w:hAnsi="Arial" w:cs="Arial"/>
          <w:bCs/>
          <w:sz w:val="22"/>
          <w:lang w:val="es-ES_tradnl"/>
        </w:rPr>
        <w:t xml:space="preserve"> parágrafo 1 del artículo 30 de la Ley 2069 de 2020 dispone que el reglamento es importante para regular i) las </w:t>
      </w:r>
      <w:r w:rsidR="005B7A4C" w:rsidRPr="004E17A8">
        <w:rPr>
          <w:rFonts w:ascii="Arial" w:eastAsia="Calibri" w:hAnsi="Arial" w:cs="Arial"/>
          <w:bCs/>
          <w:sz w:val="22"/>
          <w:lang w:val="es-ES_tradnl"/>
        </w:rPr>
        <w:t>«</w:t>
      </w:r>
      <w:r w:rsidRPr="004E17A8">
        <w:rPr>
          <w:rFonts w:ascii="Arial" w:eastAsia="Calibri" w:hAnsi="Arial" w:cs="Arial"/>
          <w:bCs/>
          <w:sz w:val="22"/>
          <w:lang w:val="es-ES_tradnl"/>
        </w:rPr>
        <w:t>particularidades del procedimiento de selección</w:t>
      </w:r>
      <w:r w:rsidR="005B7A4C" w:rsidRPr="004E17A8">
        <w:rPr>
          <w:rFonts w:ascii="Arial" w:eastAsia="Calibri" w:hAnsi="Arial" w:cs="Arial"/>
          <w:bCs/>
          <w:sz w:val="22"/>
          <w:lang w:val="es-ES_tradnl"/>
        </w:rPr>
        <w:t>»</w:t>
      </w:r>
      <w:r w:rsidRPr="004E17A8">
        <w:rPr>
          <w:rFonts w:ascii="Arial" w:eastAsia="Calibri" w:hAnsi="Arial" w:cs="Arial"/>
          <w:bCs/>
          <w:sz w:val="22"/>
          <w:lang w:val="es-ES_tradnl"/>
        </w:rPr>
        <w:t xml:space="preserve"> y </w:t>
      </w:r>
      <w:proofErr w:type="spellStart"/>
      <w:r w:rsidRPr="004E17A8">
        <w:rPr>
          <w:rFonts w:ascii="Arial" w:eastAsia="Calibri" w:hAnsi="Arial" w:cs="Arial"/>
          <w:bCs/>
          <w:sz w:val="22"/>
          <w:lang w:val="es-ES_tradnl"/>
        </w:rPr>
        <w:t>ii</w:t>
      </w:r>
      <w:proofErr w:type="spellEnd"/>
      <w:r w:rsidRPr="004E17A8">
        <w:rPr>
          <w:rFonts w:ascii="Arial" w:eastAsia="Calibri" w:hAnsi="Arial" w:cs="Arial"/>
          <w:bCs/>
          <w:sz w:val="22"/>
          <w:lang w:val="es-ES_tradnl"/>
        </w:rPr>
        <w:t xml:space="preserve">) la posibilidad de realizar estas adquisiciones a </w:t>
      </w:r>
      <w:proofErr w:type="spellStart"/>
      <w:r w:rsidRPr="004E17A8">
        <w:rPr>
          <w:rFonts w:ascii="Arial" w:eastAsia="Calibri" w:hAnsi="Arial" w:cs="Arial"/>
          <w:bCs/>
          <w:sz w:val="22"/>
          <w:lang w:val="es-ES_tradnl"/>
        </w:rPr>
        <w:t>mipymes</w:t>
      </w:r>
      <w:proofErr w:type="spellEnd"/>
      <w:r w:rsidRPr="004E17A8">
        <w:rPr>
          <w:rFonts w:ascii="Arial" w:eastAsia="Calibri" w:hAnsi="Arial" w:cs="Arial"/>
          <w:bCs/>
          <w:sz w:val="22"/>
          <w:lang w:val="es-ES_tradnl"/>
        </w:rPr>
        <w:t xml:space="preserve"> </w:t>
      </w:r>
      <w:r w:rsidR="00974634" w:rsidRPr="004E17A8">
        <w:rPr>
          <w:rFonts w:ascii="Arial" w:eastAsia="Calibri" w:hAnsi="Arial" w:cs="Arial"/>
          <w:bCs/>
          <w:sz w:val="22"/>
          <w:lang w:val="es-ES_tradnl"/>
        </w:rPr>
        <w:t>o establecimientos que correspondan a la definición de «gran almacén»</w:t>
      </w:r>
      <w:r w:rsidR="00D46B8E" w:rsidRPr="004E17A8">
        <w:rPr>
          <w:rFonts w:ascii="Arial" w:eastAsia="Calibri" w:hAnsi="Arial" w:cs="Arial"/>
          <w:bCs/>
          <w:sz w:val="22"/>
          <w:lang w:val="es-ES_tradnl"/>
        </w:rPr>
        <w:t>.</w:t>
      </w:r>
      <w:r w:rsidR="006246B7" w:rsidRPr="004E17A8">
        <w:rPr>
          <w:rFonts w:ascii="Arial" w:eastAsia="Calibri" w:hAnsi="Arial" w:cs="Arial"/>
          <w:bCs/>
          <w:sz w:val="22"/>
          <w:lang w:val="es-ES_tradnl"/>
        </w:rPr>
        <w:t xml:space="preserve"> No obstante, ¿es necesario el desarrollo normativo para la vigencia de la mínima cuantía? En principio</w:t>
      </w:r>
      <w:r w:rsidR="00BF4B4C" w:rsidRPr="004E17A8">
        <w:rPr>
          <w:rFonts w:ascii="Arial" w:eastAsia="Calibri" w:hAnsi="Arial" w:cs="Arial"/>
          <w:bCs/>
          <w:sz w:val="22"/>
          <w:lang w:val="es-ES_tradnl"/>
        </w:rPr>
        <w:t>,</w:t>
      </w:r>
      <w:r w:rsidR="006246B7" w:rsidRPr="004E17A8">
        <w:rPr>
          <w:rFonts w:ascii="Arial" w:eastAsia="Calibri" w:hAnsi="Arial" w:cs="Arial"/>
          <w:bCs/>
          <w:sz w:val="22"/>
          <w:lang w:val="es-ES_tradnl"/>
        </w:rPr>
        <w:t xml:space="preserve"> la respuesta positiva a esta inquietud se fundamentaría en la necesidad de que el reglamento </w:t>
      </w:r>
      <w:r w:rsidR="002F2655" w:rsidRPr="004E17A8">
        <w:rPr>
          <w:rFonts w:ascii="Arial" w:eastAsia="Calibri" w:hAnsi="Arial" w:cs="Arial"/>
          <w:bCs/>
          <w:sz w:val="22"/>
          <w:lang w:val="es-ES_tradnl"/>
        </w:rPr>
        <w:t>precise</w:t>
      </w:r>
      <w:r w:rsidR="006246B7" w:rsidRPr="004E17A8">
        <w:rPr>
          <w:rFonts w:ascii="Arial" w:eastAsia="Calibri" w:hAnsi="Arial" w:cs="Arial"/>
          <w:bCs/>
          <w:sz w:val="22"/>
          <w:lang w:val="es-ES_tradnl"/>
        </w:rPr>
        <w:t xml:space="preserve"> los detalles del procedimiento de selección. </w:t>
      </w:r>
    </w:p>
    <w:p w14:paraId="4A28E4FF" w14:textId="6B1A6698" w:rsidR="000B5C52" w:rsidRPr="004E17A8" w:rsidRDefault="00BF4B4C" w:rsidP="001E0DB0">
      <w:pPr>
        <w:tabs>
          <w:tab w:val="left" w:pos="709"/>
        </w:tabs>
        <w:spacing w:after="120" w:line="276" w:lineRule="auto"/>
        <w:jc w:val="both"/>
        <w:rPr>
          <w:rFonts w:ascii="Arial" w:eastAsia="Calibri" w:hAnsi="Arial" w:cs="Arial"/>
          <w:bCs/>
          <w:sz w:val="22"/>
          <w:lang w:val="es-ES_tradnl"/>
        </w:rPr>
      </w:pPr>
      <w:r w:rsidRPr="004E17A8">
        <w:rPr>
          <w:rFonts w:ascii="Arial" w:eastAsia="Calibri" w:hAnsi="Arial" w:cs="Arial"/>
          <w:bCs/>
          <w:sz w:val="22"/>
          <w:lang w:val="es-ES_tradnl"/>
        </w:rPr>
        <w:tab/>
        <w:t xml:space="preserve">La </w:t>
      </w:r>
      <w:r w:rsidR="00467002" w:rsidRPr="004E17A8">
        <w:rPr>
          <w:rFonts w:ascii="Arial" w:eastAsia="Calibri" w:hAnsi="Arial" w:cs="Arial"/>
          <w:bCs/>
          <w:sz w:val="22"/>
          <w:lang w:val="es-ES_tradnl"/>
        </w:rPr>
        <w:t>Agencia</w:t>
      </w:r>
      <w:r w:rsidRPr="004E17A8">
        <w:rPr>
          <w:rFonts w:ascii="Arial" w:eastAsia="Calibri" w:hAnsi="Arial" w:cs="Arial"/>
          <w:bCs/>
          <w:sz w:val="22"/>
          <w:lang w:val="es-ES_tradnl"/>
        </w:rPr>
        <w:t xml:space="preserve"> no comparte esta tesis, porque si la ley define los aspectos generales del procedimiento, estos vinculan directamente a l</w:t>
      </w:r>
      <w:r w:rsidR="00675E0A" w:rsidRPr="004E17A8">
        <w:rPr>
          <w:rFonts w:ascii="Arial" w:eastAsia="Calibri" w:hAnsi="Arial" w:cs="Arial"/>
          <w:bCs/>
          <w:sz w:val="22"/>
          <w:lang w:val="es-ES_tradnl"/>
        </w:rPr>
        <w:t>as entidades estatales</w:t>
      </w:r>
      <w:r w:rsidR="00C410C3" w:rsidRPr="004E17A8">
        <w:rPr>
          <w:rFonts w:ascii="Arial" w:eastAsia="Calibri" w:hAnsi="Arial" w:cs="Arial"/>
          <w:bCs/>
          <w:sz w:val="22"/>
          <w:lang w:val="es-ES_tradnl"/>
        </w:rPr>
        <w:t xml:space="preserve">. </w:t>
      </w:r>
      <w:r w:rsidR="005B7A4C" w:rsidRPr="004E17A8">
        <w:rPr>
          <w:rFonts w:ascii="Arial" w:eastAsia="Calibri" w:hAnsi="Arial" w:cs="Arial"/>
          <w:bCs/>
          <w:sz w:val="22"/>
          <w:lang w:val="es-ES_tradnl"/>
        </w:rPr>
        <w:t>En efecto</w:t>
      </w:r>
      <w:r w:rsidR="006437B9" w:rsidRPr="004E17A8">
        <w:rPr>
          <w:rFonts w:ascii="Arial" w:eastAsia="Calibri" w:hAnsi="Arial" w:cs="Arial"/>
          <w:bCs/>
          <w:sz w:val="22"/>
          <w:lang w:val="es-ES_tradnl"/>
        </w:rPr>
        <w:t>, «[…] el propósito del legislador fue delimitar sólo los principios que rigen la contratación pública, con el fin de orientar la gestión contractual. A diferencia de una ley general o de una ley marco, la técnica legislativa de los principios no busca un desarrollo ulterior a través del reglamento, sino unas bases para la actuación inmediata, sin que sea necesaria la intermediación del desarrollo reglamentario</w:t>
      </w:r>
      <w:r w:rsidR="002B43BA" w:rsidRPr="004E17A8">
        <w:rPr>
          <w:rFonts w:ascii="Arial" w:eastAsia="Calibri" w:hAnsi="Arial" w:cs="Arial"/>
          <w:bCs/>
          <w:sz w:val="22"/>
          <w:lang w:val="es-ES_tradnl"/>
        </w:rPr>
        <w:t xml:space="preserve"> […]</w:t>
      </w:r>
      <w:r w:rsidR="006437B9" w:rsidRPr="004E17A8">
        <w:rPr>
          <w:rFonts w:ascii="Arial" w:eastAsia="Calibri" w:hAnsi="Arial" w:cs="Arial"/>
          <w:bCs/>
          <w:sz w:val="22"/>
          <w:lang w:val="es-ES_tradnl"/>
        </w:rPr>
        <w:t>»</w:t>
      </w:r>
      <w:r w:rsidR="006437B9" w:rsidRPr="004E17A8">
        <w:rPr>
          <w:rStyle w:val="Refdenotaalpie"/>
          <w:rFonts w:ascii="Arial" w:eastAsia="Calibri" w:hAnsi="Arial" w:cs="Arial"/>
          <w:bCs/>
          <w:sz w:val="22"/>
          <w:lang w:val="es-ES_tradnl"/>
        </w:rPr>
        <w:footnoteReference w:id="7"/>
      </w:r>
      <w:r w:rsidR="006437B9" w:rsidRPr="004E17A8">
        <w:rPr>
          <w:rFonts w:ascii="Arial" w:eastAsia="Calibri" w:hAnsi="Arial" w:cs="Arial"/>
          <w:bCs/>
          <w:sz w:val="22"/>
          <w:lang w:val="es-ES_tradnl"/>
        </w:rPr>
        <w:t>.</w:t>
      </w:r>
      <w:r w:rsidR="002F2655" w:rsidRPr="004E17A8">
        <w:rPr>
          <w:rFonts w:ascii="Arial" w:eastAsia="Calibri" w:hAnsi="Arial" w:cs="Arial"/>
          <w:bCs/>
          <w:sz w:val="22"/>
          <w:lang w:val="es-ES_tradnl"/>
        </w:rPr>
        <w:t xml:space="preserve"> </w:t>
      </w:r>
    </w:p>
    <w:p w14:paraId="7FBC5022" w14:textId="71A0B0BD" w:rsidR="006246B7" w:rsidRPr="004E17A8" w:rsidRDefault="000B5C52">
      <w:pPr>
        <w:tabs>
          <w:tab w:val="left" w:pos="709"/>
        </w:tabs>
        <w:spacing w:line="276" w:lineRule="auto"/>
        <w:jc w:val="both"/>
        <w:rPr>
          <w:rFonts w:ascii="Arial" w:eastAsia="Calibri" w:hAnsi="Arial" w:cs="Arial"/>
          <w:bCs/>
          <w:sz w:val="22"/>
          <w:lang w:val="es-ES_tradnl"/>
        </w:rPr>
      </w:pPr>
      <w:r w:rsidRPr="004E17A8">
        <w:rPr>
          <w:rFonts w:ascii="Arial" w:eastAsia="Calibri" w:hAnsi="Arial" w:cs="Arial"/>
          <w:bCs/>
          <w:sz w:val="22"/>
          <w:lang w:val="es-ES_tradnl"/>
        </w:rPr>
        <w:tab/>
      </w:r>
      <w:r w:rsidR="002B43BA" w:rsidRPr="004E17A8">
        <w:rPr>
          <w:rFonts w:ascii="Arial" w:eastAsia="Calibri" w:hAnsi="Arial" w:cs="Arial"/>
          <w:bCs/>
          <w:sz w:val="22"/>
          <w:lang w:val="es-ES_tradnl"/>
        </w:rPr>
        <w:t xml:space="preserve">Por tanto, </w:t>
      </w:r>
      <w:r w:rsidR="00B86C5A" w:rsidRPr="004E17A8">
        <w:rPr>
          <w:rFonts w:ascii="Arial" w:eastAsia="Calibri" w:hAnsi="Arial" w:cs="Arial"/>
          <w:bCs/>
          <w:sz w:val="22"/>
          <w:lang w:val="es-ES_tradnl"/>
        </w:rPr>
        <w:t>dado</w:t>
      </w:r>
      <w:r w:rsidR="002B43BA" w:rsidRPr="004E17A8">
        <w:rPr>
          <w:rFonts w:ascii="Arial" w:eastAsia="Calibri" w:hAnsi="Arial" w:cs="Arial"/>
          <w:bCs/>
          <w:sz w:val="22"/>
          <w:lang w:val="es-ES_tradnl"/>
        </w:rPr>
        <w:t xml:space="preserve"> </w:t>
      </w:r>
      <w:r w:rsidR="00542236" w:rsidRPr="004E17A8">
        <w:rPr>
          <w:rFonts w:ascii="Arial" w:eastAsia="Calibri" w:hAnsi="Arial" w:cs="Arial"/>
          <w:bCs/>
          <w:sz w:val="22"/>
          <w:lang w:val="es-ES_tradnl"/>
        </w:rPr>
        <w:t>que el artículo 30 de la Ley 2069 de 2020 regula aspectos</w:t>
      </w:r>
      <w:r w:rsidR="007E6B89" w:rsidRPr="004E17A8">
        <w:rPr>
          <w:rFonts w:ascii="Arial" w:eastAsia="Calibri" w:hAnsi="Arial" w:cs="Arial"/>
          <w:bCs/>
          <w:sz w:val="22"/>
          <w:lang w:val="es-ES_tradnl"/>
        </w:rPr>
        <w:t xml:space="preserve"> de la mínima cuantía</w:t>
      </w:r>
      <w:r w:rsidR="00542236" w:rsidRPr="004E17A8">
        <w:rPr>
          <w:rFonts w:ascii="Arial" w:eastAsia="Calibri" w:hAnsi="Arial" w:cs="Arial"/>
          <w:bCs/>
          <w:sz w:val="22"/>
          <w:lang w:val="es-ES_tradnl"/>
        </w:rPr>
        <w:t xml:space="preserve"> como i) el término mínimo para publicar la invitación, </w:t>
      </w:r>
      <w:proofErr w:type="spellStart"/>
      <w:r w:rsidR="00542236" w:rsidRPr="004E17A8">
        <w:rPr>
          <w:rFonts w:ascii="Arial" w:eastAsia="Calibri" w:hAnsi="Arial" w:cs="Arial"/>
          <w:bCs/>
          <w:sz w:val="22"/>
          <w:lang w:val="es-ES_tradnl"/>
        </w:rPr>
        <w:t>ii</w:t>
      </w:r>
      <w:proofErr w:type="spellEnd"/>
      <w:r w:rsidR="00542236" w:rsidRPr="004E17A8">
        <w:rPr>
          <w:rFonts w:ascii="Arial" w:eastAsia="Calibri" w:hAnsi="Arial" w:cs="Arial"/>
          <w:bCs/>
          <w:sz w:val="22"/>
          <w:lang w:val="es-ES_tradnl"/>
        </w:rPr>
        <w:t xml:space="preserve">) el plazo mínimo de recepción de las ofertas, </w:t>
      </w:r>
      <w:proofErr w:type="spellStart"/>
      <w:r w:rsidR="00542236" w:rsidRPr="004E17A8">
        <w:rPr>
          <w:rFonts w:ascii="Arial" w:eastAsia="Calibri" w:hAnsi="Arial" w:cs="Arial"/>
          <w:bCs/>
          <w:sz w:val="22"/>
          <w:lang w:val="es-ES_tradnl"/>
        </w:rPr>
        <w:t>iii</w:t>
      </w:r>
      <w:proofErr w:type="spellEnd"/>
      <w:r w:rsidR="00542236" w:rsidRPr="004E17A8">
        <w:rPr>
          <w:rFonts w:ascii="Arial" w:eastAsia="Calibri" w:hAnsi="Arial" w:cs="Arial"/>
          <w:bCs/>
          <w:sz w:val="22"/>
          <w:lang w:val="es-ES_tradnl"/>
        </w:rPr>
        <w:t xml:space="preserve">) el factor de evaluación que define la selección del proponente y </w:t>
      </w:r>
      <w:proofErr w:type="spellStart"/>
      <w:r w:rsidR="00542236" w:rsidRPr="004E17A8">
        <w:rPr>
          <w:rFonts w:ascii="Arial" w:eastAsia="Calibri" w:hAnsi="Arial" w:cs="Arial"/>
          <w:bCs/>
          <w:sz w:val="22"/>
          <w:lang w:val="es-ES_tradnl"/>
        </w:rPr>
        <w:t>iv</w:t>
      </w:r>
      <w:proofErr w:type="spellEnd"/>
      <w:r w:rsidR="00542236" w:rsidRPr="004E17A8">
        <w:rPr>
          <w:rFonts w:ascii="Arial" w:eastAsia="Calibri" w:hAnsi="Arial" w:cs="Arial"/>
          <w:bCs/>
          <w:sz w:val="22"/>
          <w:lang w:val="es-ES_tradnl"/>
        </w:rPr>
        <w:t xml:space="preserve">) el perfeccionamiento del contrato, las entidades deben estructurar sus procedimientos de selección de acuerdo con estos parámetros, los cuales tienen una </w:t>
      </w:r>
      <w:r w:rsidR="002F2655" w:rsidRPr="004E17A8">
        <w:rPr>
          <w:rFonts w:ascii="Arial" w:eastAsia="Calibri" w:hAnsi="Arial" w:cs="Arial"/>
          <w:bCs/>
          <w:sz w:val="22"/>
          <w:lang w:val="es-ES_tradnl"/>
        </w:rPr>
        <w:t xml:space="preserve">aplicación </w:t>
      </w:r>
      <w:r w:rsidR="00542236" w:rsidRPr="004E17A8">
        <w:rPr>
          <w:rFonts w:ascii="Arial" w:eastAsia="Calibri" w:hAnsi="Arial" w:cs="Arial"/>
          <w:bCs/>
          <w:sz w:val="22"/>
          <w:lang w:val="es-ES_tradnl"/>
        </w:rPr>
        <w:t xml:space="preserve">inmediata sin que el reglamento condicione </w:t>
      </w:r>
      <w:r w:rsidR="007E6B89" w:rsidRPr="004E17A8">
        <w:rPr>
          <w:rFonts w:ascii="Arial" w:eastAsia="Calibri" w:hAnsi="Arial" w:cs="Arial"/>
          <w:bCs/>
          <w:sz w:val="22"/>
          <w:lang w:val="es-ES_tradnl"/>
        </w:rPr>
        <w:t>s</w:t>
      </w:r>
      <w:r w:rsidR="00467002" w:rsidRPr="004E17A8">
        <w:rPr>
          <w:rFonts w:ascii="Arial" w:eastAsia="Calibri" w:hAnsi="Arial" w:cs="Arial"/>
          <w:bCs/>
          <w:sz w:val="22"/>
          <w:lang w:val="es-ES_tradnl"/>
        </w:rPr>
        <w:t>u</w:t>
      </w:r>
      <w:r w:rsidR="007E6B89" w:rsidRPr="004E17A8">
        <w:rPr>
          <w:rFonts w:ascii="Arial" w:eastAsia="Calibri" w:hAnsi="Arial" w:cs="Arial"/>
          <w:bCs/>
          <w:sz w:val="22"/>
          <w:lang w:val="es-ES_tradnl"/>
        </w:rPr>
        <w:t xml:space="preserve"> vigencia</w:t>
      </w:r>
      <w:r w:rsidR="00542236" w:rsidRPr="004E17A8">
        <w:rPr>
          <w:rFonts w:ascii="Arial" w:eastAsia="Calibri" w:hAnsi="Arial" w:cs="Arial"/>
          <w:bCs/>
          <w:sz w:val="22"/>
          <w:lang w:val="es-ES_tradnl"/>
        </w:rPr>
        <w:t>.</w:t>
      </w:r>
      <w:r w:rsidR="002F2655" w:rsidRPr="004E17A8">
        <w:rPr>
          <w:rFonts w:ascii="Arial" w:eastAsia="Calibri" w:hAnsi="Arial" w:cs="Arial"/>
          <w:bCs/>
          <w:sz w:val="22"/>
          <w:lang w:val="es-ES_tradnl"/>
        </w:rPr>
        <w:t xml:space="preserve"> </w:t>
      </w:r>
      <w:r w:rsidR="007E6B89" w:rsidRPr="004E17A8">
        <w:rPr>
          <w:rFonts w:ascii="Arial" w:eastAsia="Calibri" w:hAnsi="Arial" w:cs="Arial"/>
          <w:bCs/>
          <w:sz w:val="22"/>
          <w:lang w:val="es-ES_tradnl"/>
        </w:rPr>
        <w:t>En otras palabras</w:t>
      </w:r>
      <w:r w:rsidRPr="004E17A8">
        <w:rPr>
          <w:rFonts w:ascii="Arial" w:eastAsia="Calibri" w:hAnsi="Arial" w:cs="Arial"/>
          <w:bCs/>
          <w:sz w:val="22"/>
          <w:lang w:val="es-ES_tradnl"/>
        </w:rPr>
        <w:t xml:space="preserve">, </w:t>
      </w:r>
      <w:r w:rsidR="007E6B89" w:rsidRPr="004E17A8">
        <w:rPr>
          <w:rFonts w:ascii="Arial" w:eastAsia="Calibri" w:hAnsi="Arial" w:cs="Arial"/>
          <w:bCs/>
          <w:sz w:val="22"/>
          <w:lang w:val="es-ES_tradnl"/>
        </w:rPr>
        <w:t xml:space="preserve">la mínima cuantía es directamente aplicable, sin perjuicio de que </w:t>
      </w:r>
      <w:r w:rsidR="00BE505F" w:rsidRPr="004E17A8">
        <w:rPr>
          <w:rFonts w:ascii="Arial" w:eastAsia="Calibri" w:hAnsi="Arial" w:cs="Arial"/>
          <w:bCs/>
          <w:sz w:val="22"/>
          <w:lang w:val="es-ES_tradnl"/>
        </w:rPr>
        <w:t xml:space="preserve">mediante </w:t>
      </w:r>
      <w:r w:rsidR="007E6B89" w:rsidRPr="004E17A8">
        <w:rPr>
          <w:rFonts w:ascii="Arial" w:eastAsia="Calibri" w:hAnsi="Arial" w:cs="Arial"/>
          <w:bCs/>
          <w:sz w:val="22"/>
          <w:lang w:val="es-ES_tradnl"/>
        </w:rPr>
        <w:t xml:space="preserve">el ejercicio de la potestad reglamentaria se desarrolle </w:t>
      </w:r>
      <w:r w:rsidRPr="004E17A8">
        <w:rPr>
          <w:rFonts w:ascii="Arial" w:eastAsia="Calibri" w:hAnsi="Arial" w:cs="Arial"/>
          <w:bCs/>
          <w:sz w:val="22"/>
          <w:lang w:val="es-ES_tradnl"/>
        </w:rPr>
        <w:t xml:space="preserve">específicamente la «Singularidad, especialidad e individualidad» del trámite, así como </w:t>
      </w:r>
      <w:r w:rsidR="007E6B89" w:rsidRPr="004E17A8">
        <w:rPr>
          <w:rFonts w:ascii="Arial" w:eastAsia="Calibri" w:hAnsi="Arial" w:cs="Arial"/>
          <w:bCs/>
          <w:sz w:val="22"/>
          <w:lang w:val="es-ES_tradnl"/>
        </w:rPr>
        <w:t>realización</w:t>
      </w:r>
      <w:r w:rsidRPr="004E17A8">
        <w:rPr>
          <w:rFonts w:ascii="Arial" w:eastAsia="Calibri" w:hAnsi="Arial" w:cs="Arial"/>
          <w:bCs/>
          <w:sz w:val="22"/>
          <w:lang w:val="es-ES_tradnl"/>
        </w:rPr>
        <w:t xml:space="preserve"> estas adquisiciones a </w:t>
      </w:r>
      <w:proofErr w:type="spellStart"/>
      <w:r w:rsidRPr="004E17A8">
        <w:rPr>
          <w:rFonts w:ascii="Arial" w:eastAsia="Calibri" w:hAnsi="Arial" w:cs="Arial"/>
          <w:bCs/>
          <w:sz w:val="22"/>
          <w:lang w:val="es-ES_tradnl"/>
        </w:rPr>
        <w:t>mipymes</w:t>
      </w:r>
      <w:proofErr w:type="spellEnd"/>
      <w:r w:rsidRPr="004E17A8">
        <w:rPr>
          <w:rFonts w:ascii="Arial" w:eastAsia="Calibri" w:hAnsi="Arial" w:cs="Arial"/>
          <w:bCs/>
          <w:sz w:val="22"/>
          <w:lang w:val="es-ES_tradnl"/>
        </w:rPr>
        <w:t xml:space="preserve"> o establecimientos que correspondan a la definición de «gran almacén».</w:t>
      </w:r>
    </w:p>
    <w:p w14:paraId="63124259" w14:textId="77777777" w:rsidR="00E356C9" w:rsidRPr="004E17A8" w:rsidRDefault="00E356C9" w:rsidP="00E356C9">
      <w:pPr>
        <w:tabs>
          <w:tab w:val="left" w:pos="709"/>
        </w:tabs>
        <w:spacing w:line="276" w:lineRule="auto"/>
        <w:jc w:val="both"/>
        <w:rPr>
          <w:rFonts w:ascii="Arial" w:eastAsia="Calibri" w:hAnsi="Arial" w:cs="Arial"/>
          <w:bCs/>
          <w:sz w:val="22"/>
          <w:lang w:val="es-ES_tradnl"/>
        </w:rPr>
      </w:pPr>
    </w:p>
    <w:p w14:paraId="42CFCFAA" w14:textId="11A31AB6" w:rsidR="00E356C9" w:rsidRPr="004E17A8" w:rsidRDefault="00E356C9" w:rsidP="00E356C9">
      <w:pPr>
        <w:tabs>
          <w:tab w:val="left" w:pos="709"/>
        </w:tabs>
        <w:spacing w:line="276" w:lineRule="auto"/>
        <w:jc w:val="both"/>
        <w:rPr>
          <w:rFonts w:ascii="Arial" w:eastAsia="Calibri" w:hAnsi="Arial" w:cs="Arial"/>
          <w:b/>
          <w:i/>
          <w:iCs/>
          <w:sz w:val="22"/>
          <w:lang w:val="es-ES_tradnl"/>
        </w:rPr>
      </w:pPr>
      <w:r w:rsidRPr="004E17A8">
        <w:rPr>
          <w:rFonts w:ascii="Arial" w:eastAsia="Calibri" w:hAnsi="Arial" w:cs="Arial"/>
          <w:b/>
          <w:i/>
          <w:iCs/>
          <w:sz w:val="22"/>
          <w:lang w:val="es-ES_tradnl"/>
        </w:rPr>
        <w:t>2.</w:t>
      </w:r>
      <w:r w:rsidR="008F2837" w:rsidRPr="004E17A8">
        <w:rPr>
          <w:rFonts w:ascii="Arial" w:eastAsia="Calibri" w:hAnsi="Arial" w:cs="Arial"/>
          <w:b/>
          <w:i/>
          <w:iCs/>
          <w:sz w:val="22"/>
          <w:lang w:val="es-ES_tradnl"/>
        </w:rPr>
        <w:t>1</w:t>
      </w:r>
      <w:r w:rsidRPr="004E17A8">
        <w:rPr>
          <w:rFonts w:ascii="Arial" w:eastAsia="Calibri" w:hAnsi="Arial" w:cs="Arial"/>
          <w:b/>
          <w:i/>
          <w:iCs/>
          <w:sz w:val="22"/>
          <w:lang w:val="es-ES_tradnl"/>
        </w:rPr>
        <w:t xml:space="preserve">.2. Criterios diferenciales para </w:t>
      </w:r>
      <w:proofErr w:type="spellStart"/>
      <w:r w:rsidRPr="004E17A8">
        <w:rPr>
          <w:rFonts w:ascii="Arial" w:eastAsia="Calibri" w:hAnsi="Arial" w:cs="Arial"/>
          <w:b/>
          <w:i/>
          <w:iCs/>
          <w:sz w:val="22"/>
          <w:lang w:val="es-ES_tradnl"/>
        </w:rPr>
        <w:t>mipymes</w:t>
      </w:r>
      <w:proofErr w:type="spellEnd"/>
      <w:r w:rsidRPr="004E17A8">
        <w:rPr>
          <w:rFonts w:ascii="Arial" w:eastAsia="Calibri" w:hAnsi="Arial" w:cs="Arial"/>
          <w:b/>
          <w:i/>
          <w:iCs/>
          <w:sz w:val="22"/>
          <w:lang w:val="es-ES_tradnl"/>
        </w:rPr>
        <w:t xml:space="preserve"> en el sistema de compra pública</w:t>
      </w:r>
    </w:p>
    <w:p w14:paraId="5ACC1460" w14:textId="77777777" w:rsidR="00E356C9" w:rsidRPr="004E17A8" w:rsidRDefault="00E356C9" w:rsidP="00E356C9">
      <w:pPr>
        <w:tabs>
          <w:tab w:val="left" w:pos="709"/>
        </w:tabs>
        <w:spacing w:line="276" w:lineRule="auto"/>
        <w:jc w:val="both"/>
        <w:rPr>
          <w:rFonts w:ascii="Arial" w:eastAsia="Calibri" w:hAnsi="Arial" w:cs="Arial"/>
          <w:bCs/>
          <w:sz w:val="22"/>
          <w:lang w:val="es-ES_tradnl"/>
        </w:rPr>
      </w:pPr>
    </w:p>
    <w:p w14:paraId="683C8B36" w14:textId="4BCABA65" w:rsidR="00314DE7" w:rsidRPr="004E17A8" w:rsidRDefault="00E356C9" w:rsidP="00DC4444">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lang w:val="es-ES_tradnl"/>
        </w:rPr>
        <w:t>E</w:t>
      </w:r>
      <w:r w:rsidR="00760606" w:rsidRPr="004E17A8">
        <w:rPr>
          <w:rFonts w:ascii="Arial" w:eastAsia="Calibri" w:hAnsi="Arial" w:cs="Arial"/>
          <w:bCs/>
          <w:sz w:val="22"/>
          <w:lang w:val="es-ES_tradnl"/>
        </w:rPr>
        <w:t xml:space="preserve">l artículo 31 </w:t>
      </w:r>
      <w:r w:rsidR="00760606" w:rsidRPr="004E17A8">
        <w:rPr>
          <w:rFonts w:ascii="Arial" w:eastAsia="Calibri" w:hAnsi="Arial" w:cs="Arial"/>
          <w:bCs/>
          <w:sz w:val="22"/>
        </w:rPr>
        <w:t xml:space="preserve">de la Ley 2069 de 2020 introduce criterios diferenciales para el acceso de las </w:t>
      </w:r>
      <w:proofErr w:type="spellStart"/>
      <w:r w:rsidR="00760606" w:rsidRPr="004E17A8">
        <w:rPr>
          <w:rFonts w:ascii="Arial" w:eastAsia="Calibri" w:hAnsi="Arial" w:cs="Arial"/>
          <w:bCs/>
          <w:sz w:val="22"/>
        </w:rPr>
        <w:t>mipymes</w:t>
      </w:r>
      <w:proofErr w:type="spellEnd"/>
      <w:r w:rsidR="00760606" w:rsidRPr="004E17A8">
        <w:rPr>
          <w:rFonts w:ascii="Arial" w:eastAsia="Calibri" w:hAnsi="Arial" w:cs="Arial"/>
          <w:bCs/>
          <w:sz w:val="22"/>
        </w:rPr>
        <w:t xml:space="preserve"> al sistema de compras y contratación pública</w:t>
      </w:r>
      <w:r w:rsidR="00002331" w:rsidRPr="004E17A8">
        <w:rPr>
          <w:rFonts w:ascii="Arial" w:eastAsia="Calibri" w:hAnsi="Arial" w:cs="Arial"/>
          <w:bCs/>
          <w:sz w:val="22"/>
        </w:rPr>
        <w:t xml:space="preserve">. Para estos efectos, el inciso primero dispone que «Las Entidades Estatales de acuerdo con el análisis de Sector </w:t>
      </w:r>
      <w:bookmarkStart w:id="11" w:name="_Hlk63767562"/>
      <w:r w:rsidR="00002331" w:rsidRPr="004E17A8">
        <w:rPr>
          <w:rFonts w:ascii="Arial" w:eastAsia="Calibri" w:hAnsi="Arial" w:cs="Arial"/>
          <w:bCs/>
          <w:sz w:val="22"/>
        </w:rPr>
        <w:t>podrán incluir, en los Documentos del Proceso, requisitos diferenciales y puntajes adicionales</w:t>
      </w:r>
      <w:bookmarkEnd w:id="11"/>
      <w:r w:rsidR="00002331" w:rsidRPr="004E17A8">
        <w:rPr>
          <w:rFonts w:ascii="Arial" w:eastAsia="Calibri" w:hAnsi="Arial" w:cs="Arial"/>
          <w:bCs/>
          <w:sz w:val="22"/>
        </w:rPr>
        <w:t xml:space="preserve">, en función </w:t>
      </w:r>
      <w:r w:rsidR="00002331" w:rsidRPr="004E17A8">
        <w:rPr>
          <w:rFonts w:ascii="Arial" w:eastAsia="Calibri" w:hAnsi="Arial" w:cs="Arial"/>
          <w:bCs/>
          <w:sz w:val="22"/>
        </w:rPr>
        <w:lastRenderedPageBreak/>
        <w:t>del tamaño empresarial para la promoción del acceso de las MIPYMES al mercado de Compras Públicas</w:t>
      </w:r>
      <w:r w:rsidR="00BD0B60" w:rsidRPr="004E17A8">
        <w:rPr>
          <w:rFonts w:ascii="Arial" w:eastAsia="Calibri" w:hAnsi="Arial" w:cs="Arial"/>
          <w:bCs/>
          <w:sz w:val="22"/>
        </w:rPr>
        <w:t>»</w:t>
      </w:r>
      <w:r w:rsidR="00002331" w:rsidRPr="004E17A8">
        <w:rPr>
          <w:rFonts w:ascii="Arial" w:eastAsia="Calibri" w:hAnsi="Arial" w:cs="Arial"/>
          <w:bCs/>
          <w:sz w:val="22"/>
        </w:rPr>
        <w:t>.</w:t>
      </w:r>
      <w:r w:rsidR="00BD0B60" w:rsidRPr="004E17A8">
        <w:rPr>
          <w:rFonts w:ascii="Arial" w:eastAsia="Calibri" w:hAnsi="Arial" w:cs="Arial"/>
          <w:bCs/>
          <w:sz w:val="22"/>
        </w:rPr>
        <w:t xml:space="preserve">  </w:t>
      </w:r>
    </w:p>
    <w:p w14:paraId="1B911EED" w14:textId="6F786475" w:rsidR="00360468" w:rsidRPr="004E17A8" w:rsidRDefault="00314DE7">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r>
      <w:r w:rsidR="00943FB9" w:rsidRPr="004E17A8">
        <w:rPr>
          <w:rFonts w:ascii="Arial" w:eastAsia="Calibri" w:hAnsi="Arial" w:cs="Arial"/>
          <w:bCs/>
          <w:sz w:val="22"/>
        </w:rPr>
        <w:t>L</w:t>
      </w:r>
      <w:r w:rsidRPr="004E17A8">
        <w:rPr>
          <w:rFonts w:ascii="Arial" w:eastAsia="Calibri" w:hAnsi="Arial" w:cs="Arial"/>
          <w:bCs/>
          <w:sz w:val="22"/>
        </w:rPr>
        <w:t xml:space="preserve">a aplicación de los «criterios diferenciales», los cuales incluyen tanto los «requisitos diferenciales» como los «puntajes adicionales», depende </w:t>
      </w:r>
      <w:r w:rsidR="00332336" w:rsidRPr="004E17A8">
        <w:rPr>
          <w:rFonts w:ascii="Arial" w:eastAsia="Calibri" w:hAnsi="Arial" w:cs="Arial"/>
          <w:bCs/>
          <w:sz w:val="22"/>
        </w:rPr>
        <w:t>de las conclusiones d</w:t>
      </w:r>
      <w:r w:rsidRPr="004E17A8">
        <w:rPr>
          <w:rFonts w:ascii="Arial" w:eastAsia="Calibri" w:hAnsi="Arial" w:cs="Arial"/>
          <w:bCs/>
          <w:sz w:val="22"/>
        </w:rPr>
        <w:t xml:space="preserve">el </w:t>
      </w:r>
      <w:r w:rsidR="00332336" w:rsidRPr="004E17A8">
        <w:rPr>
          <w:rFonts w:ascii="Arial" w:eastAsia="Calibri" w:hAnsi="Arial" w:cs="Arial"/>
          <w:bCs/>
          <w:sz w:val="22"/>
        </w:rPr>
        <w:t>estudio</w:t>
      </w:r>
      <w:r w:rsidRPr="004E17A8">
        <w:rPr>
          <w:rFonts w:ascii="Arial" w:eastAsia="Calibri" w:hAnsi="Arial" w:cs="Arial"/>
          <w:bCs/>
          <w:sz w:val="22"/>
        </w:rPr>
        <w:t xml:space="preserve"> del sector. Esto significa </w:t>
      </w:r>
      <w:proofErr w:type="gramStart"/>
      <w:r w:rsidRPr="004E17A8">
        <w:rPr>
          <w:rFonts w:ascii="Arial" w:eastAsia="Calibri" w:hAnsi="Arial" w:cs="Arial"/>
          <w:bCs/>
          <w:sz w:val="22"/>
        </w:rPr>
        <w:t>que</w:t>
      </w:r>
      <w:proofErr w:type="gramEnd"/>
      <w:r w:rsidRPr="004E17A8">
        <w:rPr>
          <w:rFonts w:ascii="Arial" w:eastAsia="Calibri" w:hAnsi="Arial" w:cs="Arial"/>
          <w:bCs/>
          <w:sz w:val="22"/>
        </w:rPr>
        <w:t xml:space="preserve"> </w:t>
      </w:r>
      <w:bookmarkStart w:id="12" w:name="_Hlk63771460"/>
      <w:r w:rsidRPr="004E17A8">
        <w:rPr>
          <w:rFonts w:ascii="Arial" w:eastAsia="Calibri" w:hAnsi="Arial" w:cs="Arial"/>
          <w:bCs/>
          <w:sz w:val="22"/>
        </w:rPr>
        <w:t xml:space="preserve">si después </w:t>
      </w:r>
      <w:r w:rsidR="00332336" w:rsidRPr="004E17A8">
        <w:rPr>
          <w:rFonts w:ascii="Arial" w:eastAsia="Calibri" w:hAnsi="Arial" w:cs="Arial"/>
          <w:bCs/>
          <w:sz w:val="22"/>
        </w:rPr>
        <w:t>del análisis de mercado de los potenciales oferentes</w:t>
      </w:r>
      <w:bookmarkEnd w:id="12"/>
      <w:r w:rsidR="00332336" w:rsidRPr="004E17A8">
        <w:rPr>
          <w:rFonts w:ascii="Arial" w:eastAsia="Calibri" w:hAnsi="Arial" w:cs="Arial"/>
          <w:bCs/>
          <w:sz w:val="22"/>
        </w:rPr>
        <w:t xml:space="preserve"> no existe la posibilidad de que alguna </w:t>
      </w:r>
      <w:proofErr w:type="spellStart"/>
      <w:r w:rsidR="00332336" w:rsidRPr="004E17A8">
        <w:rPr>
          <w:rFonts w:ascii="Arial" w:eastAsia="Calibri" w:hAnsi="Arial" w:cs="Arial"/>
          <w:bCs/>
          <w:sz w:val="22"/>
        </w:rPr>
        <w:t>mipyme</w:t>
      </w:r>
      <w:proofErr w:type="spellEnd"/>
      <w:r w:rsidR="00332336" w:rsidRPr="004E17A8">
        <w:rPr>
          <w:rFonts w:ascii="Arial" w:eastAsia="Calibri" w:hAnsi="Arial" w:cs="Arial"/>
          <w:bCs/>
          <w:sz w:val="22"/>
        </w:rPr>
        <w:t xml:space="preserve"> se presente al procedimiento de selección, </w:t>
      </w:r>
      <w:r w:rsidR="00EB593B" w:rsidRPr="004E17A8">
        <w:rPr>
          <w:rFonts w:ascii="Arial" w:eastAsia="Calibri" w:hAnsi="Arial" w:cs="Arial"/>
          <w:bCs/>
          <w:sz w:val="22"/>
        </w:rPr>
        <w:t xml:space="preserve">carece de sentido aplicar </w:t>
      </w:r>
      <w:r w:rsidR="00332336" w:rsidRPr="004E17A8">
        <w:rPr>
          <w:rFonts w:ascii="Arial" w:eastAsia="Calibri" w:hAnsi="Arial" w:cs="Arial"/>
          <w:bCs/>
          <w:sz w:val="22"/>
        </w:rPr>
        <w:t xml:space="preserve">el artículo en comento por sustracción de materia: </w:t>
      </w:r>
      <w:r w:rsidR="00332336" w:rsidRPr="004E17A8">
        <w:rPr>
          <w:rFonts w:ascii="Arial" w:eastAsia="Calibri" w:hAnsi="Arial" w:cs="Arial"/>
          <w:bCs/>
          <w:i/>
          <w:iCs/>
          <w:sz w:val="22"/>
        </w:rPr>
        <w:t xml:space="preserve">ad </w:t>
      </w:r>
      <w:proofErr w:type="spellStart"/>
      <w:r w:rsidR="00332336" w:rsidRPr="004E17A8">
        <w:rPr>
          <w:rFonts w:ascii="Arial" w:eastAsia="Calibri" w:hAnsi="Arial" w:cs="Arial"/>
          <w:bCs/>
          <w:i/>
          <w:iCs/>
          <w:sz w:val="22"/>
        </w:rPr>
        <w:t>imposibilia</w:t>
      </w:r>
      <w:proofErr w:type="spellEnd"/>
      <w:r w:rsidR="00332336" w:rsidRPr="004E17A8">
        <w:rPr>
          <w:rFonts w:ascii="Arial" w:eastAsia="Calibri" w:hAnsi="Arial" w:cs="Arial"/>
          <w:bCs/>
          <w:i/>
          <w:iCs/>
          <w:sz w:val="22"/>
        </w:rPr>
        <w:t xml:space="preserve"> </w:t>
      </w:r>
      <w:proofErr w:type="spellStart"/>
      <w:r w:rsidR="00332336" w:rsidRPr="004E17A8">
        <w:rPr>
          <w:rFonts w:ascii="Arial" w:eastAsia="Calibri" w:hAnsi="Arial" w:cs="Arial"/>
          <w:bCs/>
          <w:i/>
          <w:iCs/>
          <w:sz w:val="22"/>
        </w:rPr>
        <w:t>nemo</w:t>
      </w:r>
      <w:proofErr w:type="spellEnd"/>
      <w:r w:rsidR="00332336" w:rsidRPr="004E17A8">
        <w:rPr>
          <w:rFonts w:ascii="Arial" w:eastAsia="Calibri" w:hAnsi="Arial" w:cs="Arial"/>
          <w:bCs/>
          <w:i/>
          <w:iCs/>
          <w:sz w:val="22"/>
        </w:rPr>
        <w:t xml:space="preserve"> </w:t>
      </w:r>
      <w:proofErr w:type="spellStart"/>
      <w:r w:rsidR="00332336" w:rsidRPr="004E17A8">
        <w:rPr>
          <w:rFonts w:ascii="Arial" w:eastAsia="Calibri" w:hAnsi="Arial" w:cs="Arial"/>
          <w:bCs/>
          <w:i/>
          <w:iCs/>
          <w:sz w:val="22"/>
        </w:rPr>
        <w:t>tenetur</w:t>
      </w:r>
      <w:proofErr w:type="spellEnd"/>
      <w:r w:rsidR="00332336" w:rsidRPr="004E17A8">
        <w:rPr>
          <w:rFonts w:ascii="Arial" w:eastAsia="Calibri" w:hAnsi="Arial" w:cs="Arial"/>
          <w:bCs/>
          <w:sz w:val="22"/>
        </w:rPr>
        <w:t xml:space="preserve">. </w:t>
      </w:r>
    </w:p>
    <w:p w14:paraId="36566DAE" w14:textId="77777777" w:rsidR="008F2837" w:rsidRPr="004E17A8" w:rsidRDefault="00360468" w:rsidP="008F2837">
      <w:pPr>
        <w:tabs>
          <w:tab w:val="left" w:pos="709"/>
        </w:tabs>
        <w:spacing w:line="276" w:lineRule="auto"/>
        <w:jc w:val="both"/>
        <w:rPr>
          <w:rFonts w:ascii="Arial" w:eastAsia="Calibri" w:hAnsi="Arial" w:cs="Arial"/>
          <w:bCs/>
          <w:sz w:val="22"/>
        </w:rPr>
      </w:pPr>
      <w:r w:rsidRPr="004E17A8">
        <w:rPr>
          <w:rFonts w:ascii="Arial" w:eastAsia="Calibri" w:hAnsi="Arial" w:cs="Arial"/>
          <w:bCs/>
          <w:sz w:val="22"/>
        </w:rPr>
        <w:tab/>
        <w:t>No obstante, el inciso segundo y</w:t>
      </w:r>
      <w:r w:rsidR="00916912" w:rsidRPr="004E17A8">
        <w:rPr>
          <w:rFonts w:ascii="Arial" w:eastAsia="Calibri" w:hAnsi="Arial" w:cs="Arial"/>
          <w:bCs/>
          <w:sz w:val="22"/>
        </w:rPr>
        <w:t xml:space="preserve"> el parágrafo del </w:t>
      </w:r>
      <w:r w:rsidRPr="004E17A8">
        <w:rPr>
          <w:rFonts w:ascii="Arial" w:eastAsia="Calibri" w:hAnsi="Arial" w:cs="Arial"/>
          <w:bCs/>
          <w:sz w:val="22"/>
          <w:lang w:val="es-ES_tradnl"/>
        </w:rPr>
        <w:t xml:space="preserve">artículo 31 </w:t>
      </w:r>
      <w:r w:rsidRPr="004E17A8">
        <w:rPr>
          <w:rFonts w:ascii="Arial" w:eastAsia="Calibri" w:hAnsi="Arial" w:cs="Arial"/>
          <w:bCs/>
          <w:sz w:val="22"/>
        </w:rPr>
        <w:t>de la Ley 2069 de 2020 disponen</w:t>
      </w:r>
      <w:r w:rsidR="00916912" w:rsidRPr="004E17A8">
        <w:rPr>
          <w:rFonts w:ascii="Arial" w:eastAsia="Calibri" w:hAnsi="Arial" w:cs="Arial"/>
          <w:bCs/>
          <w:sz w:val="22"/>
        </w:rPr>
        <w:t>, respectivamente,</w:t>
      </w:r>
      <w:r w:rsidRPr="004E17A8">
        <w:rPr>
          <w:rFonts w:ascii="Arial" w:eastAsia="Calibri" w:hAnsi="Arial" w:cs="Arial"/>
          <w:bCs/>
          <w:sz w:val="22"/>
        </w:rPr>
        <w:t xml:space="preserve"> que «El Gobierno Nacional reglamentará la definición de los criterios diferenciales, sobre reglas objetivas [relacionadas con </w:t>
      </w:r>
      <w:r w:rsidR="00EB593B" w:rsidRPr="004E17A8">
        <w:rPr>
          <w:rFonts w:ascii="Arial" w:eastAsia="Calibri" w:hAnsi="Arial" w:cs="Arial"/>
          <w:bCs/>
          <w:sz w:val="22"/>
        </w:rPr>
        <w:t>«</w:t>
      </w:r>
      <w:r w:rsidRPr="004E17A8">
        <w:rPr>
          <w:rFonts w:ascii="Arial" w:eastAsia="Calibri" w:hAnsi="Arial" w:cs="Arial"/>
          <w:bCs/>
          <w:sz w:val="22"/>
        </w:rPr>
        <w:t>requisitos diferenciales</w:t>
      </w:r>
      <w:r w:rsidR="00EB593B" w:rsidRPr="004E17A8">
        <w:rPr>
          <w:rFonts w:ascii="Arial" w:eastAsia="Calibri" w:hAnsi="Arial" w:cs="Arial"/>
          <w:bCs/>
          <w:sz w:val="22"/>
        </w:rPr>
        <w:t>»</w:t>
      </w:r>
      <w:r w:rsidRPr="004E17A8">
        <w:rPr>
          <w:rFonts w:ascii="Arial" w:eastAsia="Calibri" w:hAnsi="Arial" w:cs="Arial"/>
          <w:bCs/>
          <w:sz w:val="22"/>
        </w:rPr>
        <w:t xml:space="preserve"> y </w:t>
      </w:r>
      <w:r w:rsidR="00EB593B" w:rsidRPr="004E17A8">
        <w:rPr>
          <w:rFonts w:ascii="Arial" w:eastAsia="Calibri" w:hAnsi="Arial" w:cs="Arial"/>
          <w:bCs/>
          <w:sz w:val="22"/>
        </w:rPr>
        <w:t>«</w:t>
      </w:r>
      <w:r w:rsidRPr="004E17A8">
        <w:rPr>
          <w:rFonts w:ascii="Arial" w:eastAsia="Calibri" w:hAnsi="Arial" w:cs="Arial"/>
          <w:bCs/>
          <w:sz w:val="22"/>
        </w:rPr>
        <w:t>puntajes adicionales</w:t>
      </w:r>
      <w:r w:rsidR="00EB593B" w:rsidRPr="004E17A8">
        <w:rPr>
          <w:rFonts w:ascii="Arial" w:eastAsia="Calibri" w:hAnsi="Arial" w:cs="Arial"/>
          <w:bCs/>
          <w:sz w:val="22"/>
        </w:rPr>
        <w:t>»</w:t>
      </w:r>
      <w:r w:rsidRPr="004E17A8">
        <w:rPr>
          <w:rFonts w:ascii="Arial" w:eastAsia="Calibri" w:hAnsi="Arial" w:cs="Arial"/>
          <w:bCs/>
          <w:sz w:val="22"/>
        </w:rPr>
        <w:t>] que podrán implementar las Entidades Estatales</w:t>
      </w:r>
      <w:r w:rsidR="00916912" w:rsidRPr="004E17A8">
        <w:rPr>
          <w:rFonts w:ascii="Arial" w:eastAsia="Calibri" w:hAnsi="Arial" w:cs="Arial"/>
          <w:bCs/>
          <w:sz w:val="22"/>
        </w:rPr>
        <w:t>» (Corchetes fuera de texto) y que «Dentro de los criterios diferenciales que reglamente el Gobierno Nacional se dará prioridad a la contratación de producción nacional sin perjuicio de los compromisos comerciales adquiridos con otros Estados</w:t>
      </w:r>
      <w:r w:rsidR="0026012E" w:rsidRPr="004E17A8">
        <w:rPr>
          <w:rFonts w:ascii="Arial" w:eastAsia="Calibri" w:hAnsi="Arial" w:cs="Arial"/>
          <w:bCs/>
          <w:sz w:val="22"/>
        </w:rPr>
        <w:t xml:space="preserve">». Es decir, </w:t>
      </w:r>
      <w:r w:rsidR="00EB593B" w:rsidRPr="004E17A8">
        <w:rPr>
          <w:rFonts w:ascii="Arial" w:eastAsia="Calibri" w:hAnsi="Arial" w:cs="Arial"/>
          <w:bCs/>
          <w:sz w:val="22"/>
        </w:rPr>
        <w:t>esta norma también dispone el desarrollo reglamentario como una condición previa para su aplicación.</w:t>
      </w:r>
    </w:p>
    <w:p w14:paraId="4B26638A" w14:textId="3E82ADE8" w:rsidR="00EB593B" w:rsidRPr="004E17A8" w:rsidRDefault="00EB593B" w:rsidP="008F2837">
      <w:pPr>
        <w:tabs>
          <w:tab w:val="left" w:pos="709"/>
        </w:tabs>
        <w:spacing w:line="276" w:lineRule="auto"/>
        <w:jc w:val="both"/>
        <w:rPr>
          <w:rFonts w:ascii="Arial" w:eastAsia="Calibri" w:hAnsi="Arial" w:cs="Arial"/>
          <w:bCs/>
          <w:sz w:val="22"/>
        </w:rPr>
      </w:pPr>
      <w:r w:rsidRPr="004E17A8">
        <w:rPr>
          <w:rFonts w:ascii="Arial" w:eastAsia="Calibri" w:hAnsi="Arial" w:cs="Arial"/>
          <w:bCs/>
          <w:sz w:val="22"/>
        </w:rPr>
        <w:t xml:space="preserve"> </w:t>
      </w:r>
    </w:p>
    <w:p w14:paraId="0F25E2D0" w14:textId="5EA01291" w:rsidR="008F2837" w:rsidRPr="004E17A8" w:rsidRDefault="008F2837" w:rsidP="008F2837">
      <w:pPr>
        <w:tabs>
          <w:tab w:val="left" w:pos="709"/>
        </w:tabs>
        <w:spacing w:line="276" w:lineRule="auto"/>
        <w:jc w:val="both"/>
        <w:rPr>
          <w:rFonts w:ascii="Arial" w:eastAsia="Calibri" w:hAnsi="Arial" w:cs="Arial"/>
          <w:b/>
          <w:i/>
          <w:iCs/>
          <w:sz w:val="22"/>
        </w:rPr>
      </w:pPr>
      <w:r w:rsidRPr="004E17A8">
        <w:rPr>
          <w:rFonts w:ascii="Arial" w:eastAsia="Calibri" w:hAnsi="Arial" w:cs="Arial"/>
          <w:b/>
          <w:i/>
          <w:iCs/>
          <w:sz w:val="22"/>
        </w:rPr>
        <w:t>2.1.3. Criterios diferenciales para emprendimientos y empresas de mujeres en el sistema de compras públicas</w:t>
      </w:r>
    </w:p>
    <w:p w14:paraId="3DF526AF" w14:textId="77777777" w:rsidR="008F2837" w:rsidRPr="004E17A8" w:rsidRDefault="008F2837" w:rsidP="008F2837">
      <w:pPr>
        <w:tabs>
          <w:tab w:val="left" w:pos="709"/>
        </w:tabs>
        <w:spacing w:line="276" w:lineRule="auto"/>
        <w:jc w:val="both"/>
        <w:rPr>
          <w:rFonts w:ascii="Arial" w:eastAsia="Calibri" w:hAnsi="Arial" w:cs="Arial"/>
          <w:b/>
          <w:sz w:val="22"/>
        </w:rPr>
      </w:pPr>
    </w:p>
    <w:p w14:paraId="7496333C" w14:textId="09C10140" w:rsidR="002A6E24" w:rsidRPr="004E17A8" w:rsidRDefault="008F2837" w:rsidP="00DC4444">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E</w:t>
      </w:r>
      <w:r w:rsidR="00384856" w:rsidRPr="004E17A8">
        <w:rPr>
          <w:rFonts w:ascii="Arial" w:eastAsia="Calibri" w:hAnsi="Arial" w:cs="Arial"/>
          <w:bCs/>
          <w:sz w:val="22"/>
        </w:rPr>
        <w:t>l artículo 32 de la Ley 2069 de 2020 regula criterios diferenciales para los «emprendimientos y empresas de mujeres» en el sistema de compras y contratación pública</w:t>
      </w:r>
      <w:r w:rsidR="00952C49" w:rsidRPr="004E17A8">
        <w:rPr>
          <w:rFonts w:ascii="Arial" w:eastAsia="Calibri" w:hAnsi="Arial" w:cs="Arial"/>
          <w:bCs/>
          <w:sz w:val="22"/>
        </w:rPr>
        <w:t xml:space="preserve">. En relación con este aspecto, el inciso primero de la norma citada prescribe lo siguiente: «De acuerdo con el resultado del análisis del sector, las entidades estatales incluirán requisitos diferenciales y puntajes adicionales en los procesos de </w:t>
      </w:r>
      <w:bookmarkStart w:id="13" w:name="_Hlk63770487"/>
      <w:r w:rsidR="00952C49" w:rsidRPr="004E17A8">
        <w:rPr>
          <w:rFonts w:ascii="Arial" w:eastAsia="Calibri" w:hAnsi="Arial" w:cs="Arial"/>
          <w:bCs/>
          <w:sz w:val="22"/>
        </w:rPr>
        <w:t>licitación pública, selección abreviada de menor cuantía y concurso de méritos</w:t>
      </w:r>
      <w:bookmarkEnd w:id="13"/>
      <w:r w:rsidR="00952C49" w:rsidRPr="004E17A8">
        <w:rPr>
          <w:rFonts w:ascii="Arial" w:eastAsia="Calibri" w:hAnsi="Arial" w:cs="Arial"/>
          <w:bCs/>
          <w:sz w:val="22"/>
        </w:rPr>
        <w:t>, así como en los procesos competitivos que adelanten las entidades estatales que no apliquen en su gestión contractual el Estatuto General de Contratación Administrativa, como medidas de acción afirmativa, para incentivar emprendimientos y empresas de mujeres en el sistema de compras públicas, sin perjuicio de los compromisos adquiridos por Colombia en los acuerdos comerciales en vigor».</w:t>
      </w:r>
    </w:p>
    <w:p w14:paraId="443EE9F5" w14:textId="37E471A4" w:rsidR="00E35D07" w:rsidRPr="004E17A8" w:rsidRDefault="00952C49" w:rsidP="00DC4444">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t xml:space="preserve">El contraste con la norma analizada </w:t>
      </w:r>
      <w:r w:rsidR="00E35D07" w:rsidRPr="004E17A8">
        <w:rPr>
          <w:rFonts w:ascii="Arial" w:eastAsia="Calibri" w:hAnsi="Arial" w:cs="Arial"/>
          <w:bCs/>
          <w:sz w:val="22"/>
        </w:rPr>
        <w:t xml:space="preserve">anteriormente </w:t>
      </w:r>
      <w:r w:rsidRPr="004E17A8">
        <w:rPr>
          <w:rFonts w:ascii="Arial" w:eastAsia="Calibri" w:hAnsi="Arial" w:cs="Arial"/>
          <w:bCs/>
          <w:sz w:val="22"/>
        </w:rPr>
        <w:t xml:space="preserve">salta a la vista. Por un lado, a diferencia del artículo 31 de la Ley de Emprendimiento, </w:t>
      </w:r>
      <w:r w:rsidR="00B15460" w:rsidRPr="004E17A8">
        <w:rPr>
          <w:rFonts w:ascii="Arial" w:eastAsia="Calibri" w:hAnsi="Arial" w:cs="Arial"/>
          <w:bCs/>
          <w:sz w:val="22"/>
        </w:rPr>
        <w:t xml:space="preserve">los «criterios diferenciales» artículo 32 </w:t>
      </w:r>
      <w:r w:rsidR="00B15460" w:rsidRPr="004E17A8">
        <w:rPr>
          <w:rFonts w:ascii="Arial" w:eastAsia="Calibri" w:hAnsi="Arial" w:cs="Arial"/>
          <w:bCs/>
          <w:i/>
          <w:iCs/>
          <w:sz w:val="22"/>
        </w:rPr>
        <w:t>ibidem</w:t>
      </w:r>
      <w:r w:rsidR="00B15460" w:rsidRPr="004E17A8">
        <w:rPr>
          <w:rFonts w:ascii="Arial" w:eastAsia="Calibri" w:hAnsi="Arial" w:cs="Arial"/>
          <w:bCs/>
          <w:sz w:val="22"/>
        </w:rPr>
        <w:t xml:space="preserve"> –que incluyen tanto los «requisitos diferenciales» como los «puntajes adicionales»– aplican a «[…] los procesos de licitación pública, selección abreviada de menor cuantía y concurso de méritos […]», excluyendo las demás modalidades de selección</w:t>
      </w:r>
      <w:r w:rsidR="00E35D07" w:rsidRPr="004E17A8">
        <w:rPr>
          <w:rFonts w:ascii="Arial" w:eastAsia="Calibri" w:hAnsi="Arial" w:cs="Arial"/>
          <w:bCs/>
          <w:sz w:val="22"/>
        </w:rPr>
        <w:t xml:space="preserve"> del artículo 2 de la Ley 1150 de 2007</w:t>
      </w:r>
      <w:r w:rsidR="00B15460" w:rsidRPr="004E17A8">
        <w:rPr>
          <w:rFonts w:ascii="Arial" w:eastAsia="Calibri" w:hAnsi="Arial" w:cs="Arial"/>
          <w:bCs/>
          <w:sz w:val="22"/>
        </w:rPr>
        <w:t>. Por otra parte,</w:t>
      </w:r>
      <w:r w:rsidR="00D72C96" w:rsidRPr="004E17A8">
        <w:rPr>
          <w:rFonts w:ascii="Arial" w:eastAsia="Calibri" w:hAnsi="Arial" w:cs="Arial"/>
          <w:bCs/>
          <w:sz w:val="22"/>
        </w:rPr>
        <w:t xml:space="preserve"> sin distinciones ulteriores, la</w:t>
      </w:r>
      <w:r w:rsidR="00B15460" w:rsidRPr="004E17A8">
        <w:rPr>
          <w:rFonts w:ascii="Arial" w:eastAsia="Calibri" w:hAnsi="Arial" w:cs="Arial"/>
          <w:bCs/>
          <w:sz w:val="22"/>
        </w:rPr>
        <w:t xml:space="preserve"> </w:t>
      </w:r>
      <w:r w:rsidR="00733B55" w:rsidRPr="004E17A8">
        <w:rPr>
          <w:rFonts w:ascii="Arial" w:eastAsia="Calibri" w:hAnsi="Arial" w:cs="Arial"/>
          <w:bCs/>
          <w:sz w:val="22"/>
        </w:rPr>
        <w:t>norma</w:t>
      </w:r>
      <w:r w:rsidR="00B15460" w:rsidRPr="004E17A8">
        <w:rPr>
          <w:rFonts w:ascii="Arial" w:eastAsia="Calibri" w:hAnsi="Arial" w:cs="Arial"/>
          <w:bCs/>
          <w:sz w:val="22"/>
        </w:rPr>
        <w:t xml:space="preserve"> en comento</w:t>
      </w:r>
      <w:r w:rsidR="00E35D07" w:rsidRPr="004E17A8">
        <w:rPr>
          <w:rFonts w:ascii="Arial" w:eastAsia="Calibri" w:hAnsi="Arial" w:cs="Arial"/>
          <w:bCs/>
          <w:sz w:val="22"/>
        </w:rPr>
        <w:t xml:space="preserve"> también</w:t>
      </w:r>
      <w:r w:rsidR="00B15460" w:rsidRPr="004E17A8">
        <w:rPr>
          <w:rFonts w:ascii="Arial" w:eastAsia="Calibri" w:hAnsi="Arial" w:cs="Arial"/>
          <w:bCs/>
          <w:sz w:val="22"/>
        </w:rPr>
        <w:t xml:space="preserve"> se e</w:t>
      </w:r>
      <w:r w:rsidR="00E35D07" w:rsidRPr="004E17A8">
        <w:rPr>
          <w:rFonts w:ascii="Arial" w:eastAsia="Calibri" w:hAnsi="Arial" w:cs="Arial"/>
          <w:bCs/>
          <w:sz w:val="22"/>
        </w:rPr>
        <w:t>x</w:t>
      </w:r>
      <w:r w:rsidR="00B15460" w:rsidRPr="004E17A8">
        <w:rPr>
          <w:rFonts w:ascii="Arial" w:eastAsia="Calibri" w:hAnsi="Arial" w:cs="Arial"/>
          <w:bCs/>
          <w:sz w:val="22"/>
        </w:rPr>
        <w:t>tiende</w:t>
      </w:r>
      <w:r w:rsidR="00E35D07" w:rsidRPr="004E17A8">
        <w:rPr>
          <w:rFonts w:ascii="Arial" w:eastAsia="Calibri" w:hAnsi="Arial" w:cs="Arial"/>
          <w:bCs/>
          <w:sz w:val="22"/>
        </w:rPr>
        <w:t xml:space="preserve"> </w:t>
      </w:r>
      <w:r w:rsidR="00733B55" w:rsidRPr="004E17A8">
        <w:rPr>
          <w:rFonts w:ascii="Arial" w:eastAsia="Calibri" w:hAnsi="Arial" w:cs="Arial"/>
          <w:bCs/>
          <w:sz w:val="22"/>
        </w:rPr>
        <w:t xml:space="preserve">a </w:t>
      </w:r>
      <w:r w:rsidR="00E35D07" w:rsidRPr="004E17A8">
        <w:rPr>
          <w:rFonts w:ascii="Arial" w:eastAsia="Calibri" w:hAnsi="Arial" w:cs="Arial"/>
          <w:bCs/>
          <w:sz w:val="22"/>
        </w:rPr>
        <w:t>todos los procedimientos competitivos previstos en el manual</w:t>
      </w:r>
      <w:r w:rsidR="00D72C96" w:rsidRPr="004E17A8">
        <w:rPr>
          <w:rFonts w:ascii="Arial" w:eastAsia="Calibri" w:hAnsi="Arial" w:cs="Arial"/>
          <w:bCs/>
          <w:sz w:val="22"/>
        </w:rPr>
        <w:t xml:space="preserve"> de las entidades excluidas de la Ley 80 de 1993</w:t>
      </w:r>
      <w:r w:rsidR="002A6E24" w:rsidRPr="004E17A8">
        <w:rPr>
          <w:rFonts w:ascii="Arial" w:eastAsia="Calibri" w:hAnsi="Arial" w:cs="Arial"/>
          <w:bCs/>
          <w:sz w:val="22"/>
        </w:rPr>
        <w:t xml:space="preserve">.   </w:t>
      </w:r>
      <w:r w:rsidR="00C329B9" w:rsidRPr="004E17A8">
        <w:rPr>
          <w:rFonts w:ascii="Arial" w:eastAsia="Calibri" w:hAnsi="Arial" w:cs="Arial"/>
          <w:bCs/>
          <w:sz w:val="22"/>
        </w:rPr>
        <w:t xml:space="preserve"> </w:t>
      </w:r>
      <w:r w:rsidR="00E35D07" w:rsidRPr="004E17A8">
        <w:rPr>
          <w:rFonts w:ascii="Arial" w:eastAsia="Calibri" w:hAnsi="Arial" w:cs="Arial"/>
          <w:bCs/>
          <w:sz w:val="22"/>
        </w:rPr>
        <w:t xml:space="preserve"> </w:t>
      </w:r>
    </w:p>
    <w:p w14:paraId="0B425B07" w14:textId="39019C1D" w:rsidR="008F2837" w:rsidRPr="004E17A8" w:rsidRDefault="00E35D07" w:rsidP="008F2837">
      <w:pPr>
        <w:tabs>
          <w:tab w:val="left" w:pos="709"/>
        </w:tabs>
        <w:spacing w:line="276" w:lineRule="auto"/>
        <w:jc w:val="both"/>
        <w:rPr>
          <w:rFonts w:ascii="Arial" w:eastAsia="Calibri" w:hAnsi="Arial" w:cs="Arial"/>
          <w:bCs/>
          <w:sz w:val="22"/>
        </w:rPr>
      </w:pPr>
      <w:r w:rsidRPr="004E17A8">
        <w:rPr>
          <w:rFonts w:ascii="Arial" w:eastAsia="Calibri" w:hAnsi="Arial" w:cs="Arial"/>
          <w:bCs/>
          <w:sz w:val="22"/>
        </w:rPr>
        <w:lastRenderedPageBreak/>
        <w:tab/>
      </w:r>
      <w:r w:rsidR="00C07492" w:rsidRPr="004E17A8">
        <w:rPr>
          <w:rFonts w:ascii="Arial" w:eastAsia="Calibri" w:hAnsi="Arial" w:cs="Arial"/>
          <w:bCs/>
          <w:sz w:val="22"/>
        </w:rPr>
        <w:t xml:space="preserve">No obstante, </w:t>
      </w:r>
      <w:bookmarkStart w:id="14" w:name="_Hlk63879101"/>
      <w:r w:rsidR="00C07492" w:rsidRPr="004E17A8">
        <w:rPr>
          <w:rFonts w:ascii="Arial" w:eastAsia="Calibri" w:hAnsi="Arial" w:cs="Arial"/>
          <w:bCs/>
          <w:sz w:val="22"/>
        </w:rPr>
        <w:t xml:space="preserve">el artículo 32 de la Ley 2069 de 2020 –al igual que </w:t>
      </w:r>
      <w:r w:rsidR="003458D4" w:rsidRPr="004E17A8">
        <w:rPr>
          <w:rFonts w:ascii="Arial" w:eastAsia="Calibri" w:hAnsi="Arial" w:cs="Arial"/>
          <w:bCs/>
          <w:sz w:val="22"/>
        </w:rPr>
        <w:t xml:space="preserve">el </w:t>
      </w:r>
      <w:r w:rsidR="00C07492" w:rsidRPr="004E17A8">
        <w:rPr>
          <w:rFonts w:ascii="Arial" w:eastAsia="Calibri" w:hAnsi="Arial" w:cs="Arial"/>
          <w:bCs/>
          <w:sz w:val="22"/>
        </w:rPr>
        <w:t xml:space="preserve">artículo 31– también alude a la necesidad del desarrollo normativo posterior. Al respecto, el parágrafo dispone que «La definición de emprendimientos y empresas de mujeres se reglamentará por el gobierno nacional». Si bien el desarrollo de este concepto condiciona la vigencia de todo el artículo en su conjunto, no cabe duda </w:t>
      </w:r>
      <w:proofErr w:type="gramStart"/>
      <w:r w:rsidR="00C07492" w:rsidRPr="004E17A8">
        <w:rPr>
          <w:rFonts w:ascii="Arial" w:eastAsia="Calibri" w:hAnsi="Arial" w:cs="Arial"/>
          <w:bCs/>
          <w:sz w:val="22"/>
        </w:rPr>
        <w:t>que</w:t>
      </w:r>
      <w:proofErr w:type="gramEnd"/>
      <w:r w:rsidR="00C07492" w:rsidRPr="004E17A8">
        <w:rPr>
          <w:rFonts w:ascii="Arial" w:eastAsia="Calibri" w:hAnsi="Arial" w:cs="Arial"/>
          <w:bCs/>
          <w:sz w:val="22"/>
        </w:rPr>
        <w:t xml:space="preserve"> el reglamento podría intervenir a la definición de los «criterios diferenciales» aunque no exista habilitación expresa por parte del Congreso de la República. Esto en la medida que la potestad reglamentaria </w:t>
      </w:r>
      <w:r w:rsidR="002E08E8" w:rsidRPr="004E17A8">
        <w:rPr>
          <w:rFonts w:ascii="Arial" w:eastAsia="Calibri" w:hAnsi="Arial" w:cs="Arial"/>
          <w:bCs/>
          <w:sz w:val="22"/>
        </w:rPr>
        <w:t xml:space="preserve">se </w:t>
      </w:r>
      <w:r w:rsidR="00C07492" w:rsidRPr="004E17A8">
        <w:rPr>
          <w:rFonts w:ascii="Arial" w:eastAsia="Calibri" w:hAnsi="Arial" w:cs="Arial"/>
          <w:bCs/>
          <w:sz w:val="22"/>
        </w:rPr>
        <w:t xml:space="preserve">deriva del artículo 189.11 de la Constitución Política </w:t>
      </w:r>
      <w:r w:rsidR="002E08E8" w:rsidRPr="004E17A8">
        <w:rPr>
          <w:rFonts w:ascii="Arial" w:eastAsia="Calibri" w:hAnsi="Arial" w:cs="Arial"/>
          <w:bCs/>
          <w:sz w:val="22"/>
        </w:rPr>
        <w:t>p</w:t>
      </w:r>
      <w:r w:rsidR="00C07492" w:rsidRPr="004E17A8">
        <w:rPr>
          <w:rFonts w:ascii="Arial" w:eastAsia="Calibri" w:hAnsi="Arial" w:cs="Arial"/>
          <w:bCs/>
          <w:sz w:val="22"/>
        </w:rPr>
        <w:t xml:space="preserve">ara la cumplida ejecución de la ley. </w:t>
      </w:r>
    </w:p>
    <w:bookmarkEnd w:id="14"/>
    <w:p w14:paraId="4EC5CDF7" w14:textId="77777777" w:rsidR="008F2837" w:rsidRPr="004E17A8" w:rsidRDefault="008F2837" w:rsidP="008F2837">
      <w:pPr>
        <w:tabs>
          <w:tab w:val="left" w:pos="709"/>
        </w:tabs>
        <w:spacing w:line="276" w:lineRule="auto"/>
        <w:jc w:val="both"/>
        <w:rPr>
          <w:rFonts w:ascii="Arial" w:eastAsia="Calibri" w:hAnsi="Arial" w:cs="Arial"/>
          <w:bCs/>
          <w:sz w:val="22"/>
        </w:rPr>
      </w:pPr>
    </w:p>
    <w:p w14:paraId="21218FB9" w14:textId="77777777" w:rsidR="008F2837" w:rsidRPr="004E17A8" w:rsidRDefault="008F2837" w:rsidP="008F2837">
      <w:pPr>
        <w:tabs>
          <w:tab w:val="left" w:pos="709"/>
        </w:tabs>
        <w:spacing w:line="276" w:lineRule="auto"/>
        <w:jc w:val="both"/>
        <w:rPr>
          <w:rFonts w:ascii="Arial" w:eastAsia="Calibri" w:hAnsi="Arial" w:cs="Arial"/>
          <w:b/>
          <w:i/>
          <w:iCs/>
          <w:sz w:val="22"/>
        </w:rPr>
      </w:pPr>
      <w:r w:rsidRPr="004E17A8">
        <w:rPr>
          <w:rFonts w:ascii="Arial" w:eastAsia="Calibri" w:hAnsi="Arial" w:cs="Arial"/>
          <w:b/>
          <w:i/>
          <w:iCs/>
          <w:sz w:val="22"/>
        </w:rPr>
        <w:t xml:space="preserve">2.1.4. Promoción del acceso de las </w:t>
      </w:r>
      <w:proofErr w:type="spellStart"/>
      <w:r w:rsidRPr="004E17A8">
        <w:rPr>
          <w:rFonts w:ascii="Arial" w:eastAsia="Calibri" w:hAnsi="Arial" w:cs="Arial"/>
          <w:b/>
          <w:i/>
          <w:iCs/>
          <w:sz w:val="22"/>
        </w:rPr>
        <w:t>mipymes</w:t>
      </w:r>
      <w:proofErr w:type="spellEnd"/>
      <w:r w:rsidRPr="004E17A8">
        <w:rPr>
          <w:rFonts w:ascii="Arial" w:eastAsia="Calibri" w:hAnsi="Arial" w:cs="Arial"/>
          <w:b/>
          <w:i/>
          <w:iCs/>
          <w:sz w:val="22"/>
        </w:rPr>
        <w:t xml:space="preserve"> al mercado de compras públicas</w:t>
      </w:r>
    </w:p>
    <w:p w14:paraId="492CF769" w14:textId="2BB385D2" w:rsidR="00B459BE" w:rsidRPr="004E17A8" w:rsidRDefault="008F2837" w:rsidP="008F2837">
      <w:pPr>
        <w:tabs>
          <w:tab w:val="left" w:pos="709"/>
        </w:tabs>
        <w:spacing w:line="276" w:lineRule="auto"/>
        <w:jc w:val="both"/>
        <w:rPr>
          <w:rFonts w:ascii="Arial" w:eastAsia="Calibri" w:hAnsi="Arial" w:cs="Arial"/>
          <w:b/>
          <w:i/>
          <w:iCs/>
          <w:sz w:val="22"/>
        </w:rPr>
      </w:pPr>
      <w:r w:rsidRPr="004E17A8">
        <w:rPr>
          <w:rFonts w:ascii="Arial" w:eastAsia="Calibri" w:hAnsi="Arial" w:cs="Arial"/>
          <w:b/>
          <w:i/>
          <w:iCs/>
          <w:sz w:val="22"/>
        </w:rPr>
        <w:t xml:space="preserve"> </w:t>
      </w:r>
    </w:p>
    <w:p w14:paraId="6F09653F" w14:textId="67A0C855" w:rsidR="001C2478" w:rsidRPr="004E17A8" w:rsidRDefault="008F2837" w:rsidP="00346C0A">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E</w:t>
      </w:r>
      <w:r w:rsidR="002814EA" w:rsidRPr="004E17A8">
        <w:rPr>
          <w:rFonts w:ascii="Arial" w:eastAsia="Calibri" w:hAnsi="Arial" w:cs="Arial"/>
          <w:bCs/>
          <w:sz w:val="22"/>
        </w:rPr>
        <w:t>l artículo 33</w:t>
      </w:r>
      <w:r w:rsidR="00D6075E" w:rsidRPr="004E17A8">
        <w:rPr>
          <w:rFonts w:ascii="Arial" w:eastAsia="Calibri" w:hAnsi="Arial" w:cs="Arial"/>
          <w:bCs/>
          <w:sz w:val="22"/>
        </w:rPr>
        <w:t xml:space="preserve"> de la Ley 2069 de 2020 modifica el artículo 12 de la Ley 590 de 2000, </w:t>
      </w:r>
      <w:r w:rsidR="0032785E" w:rsidRPr="004E17A8">
        <w:rPr>
          <w:rFonts w:ascii="Arial" w:eastAsia="Calibri" w:hAnsi="Arial" w:cs="Arial"/>
          <w:bCs/>
          <w:sz w:val="22"/>
        </w:rPr>
        <w:t>el</w:t>
      </w:r>
      <w:r w:rsidR="00D6075E" w:rsidRPr="004E17A8">
        <w:rPr>
          <w:rFonts w:ascii="Arial" w:eastAsia="Calibri" w:hAnsi="Arial" w:cs="Arial"/>
          <w:bCs/>
          <w:sz w:val="22"/>
        </w:rPr>
        <w:t xml:space="preserve"> cual regula la promoción del acceso de las </w:t>
      </w:r>
      <w:proofErr w:type="spellStart"/>
      <w:r w:rsidR="00D6075E" w:rsidRPr="004E17A8">
        <w:rPr>
          <w:rFonts w:ascii="Arial" w:eastAsia="Calibri" w:hAnsi="Arial" w:cs="Arial"/>
          <w:bCs/>
          <w:sz w:val="22"/>
        </w:rPr>
        <w:t>mipymes</w:t>
      </w:r>
      <w:proofErr w:type="spellEnd"/>
      <w:r w:rsidR="00D6075E" w:rsidRPr="004E17A8">
        <w:rPr>
          <w:rFonts w:ascii="Arial" w:eastAsia="Calibri" w:hAnsi="Arial" w:cs="Arial"/>
          <w:bCs/>
          <w:sz w:val="22"/>
        </w:rPr>
        <w:t xml:space="preserve"> al mercado de compras públicas. Al respecto, contiene una serie de deberes </w:t>
      </w:r>
      <w:r w:rsidR="00346C0A" w:rsidRPr="004E17A8">
        <w:rPr>
          <w:rFonts w:ascii="Arial" w:eastAsia="Calibri" w:hAnsi="Arial" w:cs="Arial"/>
          <w:bCs/>
          <w:sz w:val="22"/>
        </w:rPr>
        <w:t xml:space="preserve">para las </w:t>
      </w:r>
      <w:r w:rsidR="0032785E" w:rsidRPr="004E17A8">
        <w:rPr>
          <w:rFonts w:ascii="Arial" w:eastAsia="Calibri" w:hAnsi="Arial" w:cs="Arial"/>
          <w:bCs/>
          <w:sz w:val="22"/>
        </w:rPr>
        <w:t xml:space="preserve">entidades estatales indistintamente de su régimen de contratación, los patrimonios autónomos constituidos por </w:t>
      </w:r>
      <w:r w:rsidR="006D1691" w:rsidRPr="004E17A8">
        <w:rPr>
          <w:rFonts w:ascii="Arial" w:eastAsia="Calibri" w:hAnsi="Arial" w:cs="Arial"/>
          <w:bCs/>
          <w:sz w:val="22"/>
        </w:rPr>
        <w:t xml:space="preserve">entidades estatales </w:t>
      </w:r>
      <w:r w:rsidR="0032785E" w:rsidRPr="004E17A8">
        <w:rPr>
          <w:rFonts w:ascii="Arial" w:eastAsia="Calibri" w:hAnsi="Arial" w:cs="Arial"/>
          <w:bCs/>
          <w:sz w:val="22"/>
        </w:rPr>
        <w:t>y los particulares que ejecuten recursos públicos,</w:t>
      </w:r>
      <w:r w:rsidR="00346C0A" w:rsidRPr="004E17A8">
        <w:rPr>
          <w:rFonts w:ascii="Arial" w:eastAsia="Calibri" w:hAnsi="Arial" w:cs="Arial"/>
          <w:bCs/>
          <w:sz w:val="22"/>
        </w:rPr>
        <w:t xml:space="preserve"> cuyo incumplimiento estructura una causal de mala conducta</w:t>
      </w:r>
      <w:r w:rsidR="00EE0D77" w:rsidRPr="004E17A8">
        <w:rPr>
          <w:rStyle w:val="Refdenotaalpie"/>
          <w:rFonts w:ascii="Arial" w:eastAsia="Calibri" w:hAnsi="Arial" w:cs="Arial"/>
          <w:bCs/>
          <w:sz w:val="22"/>
        </w:rPr>
        <w:footnoteReference w:id="8"/>
      </w:r>
      <w:r w:rsidR="00346C0A" w:rsidRPr="004E17A8">
        <w:rPr>
          <w:rFonts w:ascii="Arial" w:eastAsia="Calibri" w:hAnsi="Arial" w:cs="Arial"/>
          <w:bCs/>
          <w:sz w:val="22"/>
        </w:rPr>
        <w:t>.</w:t>
      </w:r>
      <w:r w:rsidR="00147906" w:rsidRPr="004E17A8">
        <w:rPr>
          <w:rFonts w:ascii="Arial" w:eastAsia="Calibri" w:hAnsi="Arial" w:cs="Arial"/>
          <w:bCs/>
          <w:sz w:val="22"/>
        </w:rPr>
        <w:t xml:space="preserve"> </w:t>
      </w:r>
      <w:r w:rsidR="00346C0A" w:rsidRPr="004E17A8">
        <w:rPr>
          <w:rFonts w:ascii="Arial" w:hAnsi="Arial" w:cs="Arial"/>
          <w:sz w:val="22"/>
        </w:rPr>
        <w:t xml:space="preserve">Las obligaciones citadas fomentan la actividad de las empresas que, </w:t>
      </w:r>
      <w:r w:rsidR="00346C0A" w:rsidRPr="004E17A8">
        <w:rPr>
          <w:rFonts w:ascii="Arial" w:hAnsi="Arial" w:cs="Arial"/>
          <w:sz w:val="22"/>
        </w:rPr>
        <w:lastRenderedPageBreak/>
        <w:t xml:space="preserve">por su tamaño o capacidad económica, no podrían competir en condiciones de igualdad con aquellas que cuentan con grandes capitales y plantas de personal. De </w:t>
      </w:r>
      <w:r w:rsidR="00EE0D77" w:rsidRPr="004E17A8">
        <w:rPr>
          <w:rFonts w:ascii="Arial" w:hAnsi="Arial" w:cs="Arial"/>
          <w:sz w:val="22"/>
        </w:rPr>
        <w:t>esta manera</w:t>
      </w:r>
      <w:r w:rsidR="00346C0A" w:rsidRPr="004E17A8">
        <w:rPr>
          <w:rFonts w:ascii="Arial" w:hAnsi="Arial" w:cs="Arial"/>
          <w:sz w:val="22"/>
        </w:rPr>
        <w:t>, no solo estas pequeñas unidades de explotación económica se hacen visibles dentro del mercado de bienes y servicios requeridos por las entidades públicas, sino que se promueve de manera directa el crecimiento de las regiones en las que se desarrolla tal actividad económica.</w:t>
      </w:r>
      <w:r w:rsidR="00CE332E" w:rsidRPr="004E17A8">
        <w:rPr>
          <w:rFonts w:ascii="Arial" w:hAnsi="Arial" w:cs="Arial"/>
          <w:sz w:val="22"/>
        </w:rPr>
        <w:t xml:space="preserve"> </w:t>
      </w:r>
    </w:p>
    <w:p w14:paraId="12BA8762" w14:textId="4B1D1B57" w:rsidR="00346C0A" w:rsidRPr="004E17A8" w:rsidRDefault="001C2478" w:rsidP="001E0DB0">
      <w:pPr>
        <w:spacing w:line="276" w:lineRule="auto"/>
        <w:jc w:val="both"/>
        <w:rPr>
          <w:rFonts w:ascii="Arial" w:hAnsi="Arial" w:cs="Arial"/>
          <w:sz w:val="22"/>
        </w:rPr>
      </w:pPr>
      <w:r w:rsidRPr="004E17A8">
        <w:rPr>
          <w:rFonts w:ascii="Arial" w:hAnsi="Arial" w:cs="Arial"/>
          <w:sz w:val="22"/>
        </w:rPr>
        <w:tab/>
      </w:r>
      <w:r w:rsidR="00F36CDA" w:rsidRPr="004E17A8">
        <w:rPr>
          <w:rFonts w:ascii="Arial" w:hAnsi="Arial" w:cs="Arial"/>
          <w:sz w:val="22"/>
        </w:rPr>
        <w:t>L</w:t>
      </w:r>
      <w:r w:rsidR="00346C0A" w:rsidRPr="004E17A8">
        <w:rPr>
          <w:rFonts w:ascii="Arial" w:hAnsi="Arial" w:cs="Arial"/>
          <w:sz w:val="22"/>
        </w:rPr>
        <w:t xml:space="preserve">o importante es que la norma </w:t>
      </w:r>
      <w:r w:rsidR="00EE0D77" w:rsidRPr="004E17A8">
        <w:rPr>
          <w:rFonts w:ascii="Arial" w:hAnsi="Arial" w:cs="Arial"/>
          <w:sz w:val="22"/>
        </w:rPr>
        <w:t xml:space="preserve">analizada </w:t>
      </w:r>
      <w:r w:rsidR="00346C0A" w:rsidRPr="004E17A8">
        <w:rPr>
          <w:rFonts w:ascii="Arial" w:hAnsi="Arial" w:cs="Arial"/>
          <w:sz w:val="22"/>
        </w:rPr>
        <w:t>no alude a la necesidad de una reglamentación posterior</w:t>
      </w:r>
      <w:r w:rsidR="00F36CDA" w:rsidRPr="004E17A8">
        <w:rPr>
          <w:rFonts w:ascii="Arial" w:hAnsi="Arial" w:cs="Arial"/>
          <w:sz w:val="22"/>
        </w:rPr>
        <w:t xml:space="preserve">, por lo que </w:t>
      </w:r>
      <w:r w:rsidR="002E08E8" w:rsidRPr="004E17A8">
        <w:rPr>
          <w:rFonts w:ascii="Arial" w:hAnsi="Arial" w:cs="Arial"/>
          <w:sz w:val="22"/>
        </w:rPr>
        <w:t xml:space="preserve">los </w:t>
      </w:r>
      <w:r w:rsidR="00F36CDA" w:rsidRPr="004E17A8">
        <w:rPr>
          <w:rFonts w:ascii="Arial" w:hAnsi="Arial" w:cs="Arial"/>
          <w:sz w:val="22"/>
        </w:rPr>
        <w:t xml:space="preserve">deberes prescritos en el </w:t>
      </w:r>
      <w:r w:rsidR="00F36CDA" w:rsidRPr="004E17A8">
        <w:rPr>
          <w:rFonts w:ascii="Arial" w:eastAsia="Calibri" w:hAnsi="Arial" w:cs="Arial"/>
          <w:bCs/>
          <w:sz w:val="22"/>
        </w:rPr>
        <w:t>artículo 33 de la Ley 2069 de 2020</w:t>
      </w:r>
      <w:r w:rsidR="00346C0A" w:rsidRPr="004E17A8">
        <w:rPr>
          <w:rFonts w:ascii="Arial" w:hAnsi="Arial" w:cs="Arial"/>
          <w:sz w:val="22"/>
        </w:rPr>
        <w:t xml:space="preserve"> </w:t>
      </w:r>
      <w:r w:rsidR="00F36CDA" w:rsidRPr="004E17A8">
        <w:rPr>
          <w:rFonts w:ascii="Arial" w:hAnsi="Arial" w:cs="Arial"/>
          <w:sz w:val="22"/>
        </w:rPr>
        <w:t>son de cumplimiento inmediato</w:t>
      </w:r>
      <w:r w:rsidR="00EE0D77" w:rsidRPr="004E17A8">
        <w:rPr>
          <w:rFonts w:ascii="Arial" w:hAnsi="Arial" w:cs="Arial"/>
          <w:sz w:val="22"/>
        </w:rPr>
        <w:t>.</w:t>
      </w:r>
      <w:r w:rsidR="00845774" w:rsidRPr="004E17A8">
        <w:rPr>
          <w:rFonts w:ascii="Arial" w:hAnsi="Arial" w:cs="Arial"/>
          <w:sz w:val="22"/>
        </w:rPr>
        <w:t xml:space="preserve"> Por tanto, conforme </w:t>
      </w:r>
      <w:r w:rsidRPr="004E17A8">
        <w:rPr>
          <w:rFonts w:ascii="Arial" w:hAnsi="Arial" w:cs="Arial"/>
          <w:sz w:val="22"/>
        </w:rPr>
        <w:t xml:space="preserve">al marco normativo que regule el acceso de las </w:t>
      </w:r>
      <w:proofErr w:type="spellStart"/>
      <w:r w:rsidRPr="004E17A8">
        <w:rPr>
          <w:rFonts w:ascii="Arial" w:hAnsi="Arial" w:cs="Arial"/>
          <w:sz w:val="22"/>
        </w:rPr>
        <w:t>mipymes</w:t>
      </w:r>
      <w:proofErr w:type="spellEnd"/>
      <w:r w:rsidRPr="004E17A8">
        <w:rPr>
          <w:rFonts w:ascii="Arial" w:hAnsi="Arial" w:cs="Arial"/>
          <w:sz w:val="22"/>
        </w:rPr>
        <w:t xml:space="preserve"> al mercado de compras públicas</w:t>
      </w:r>
      <w:r w:rsidR="00845774" w:rsidRPr="004E17A8">
        <w:rPr>
          <w:rFonts w:ascii="Arial" w:hAnsi="Arial" w:cs="Arial"/>
          <w:sz w:val="22"/>
        </w:rPr>
        <w:t>, las entidades deberán adoptar las medidas necesarias para el acatamiento de esta disposición.</w:t>
      </w:r>
      <w:r w:rsidR="00F36CDA" w:rsidRPr="004E17A8">
        <w:rPr>
          <w:rFonts w:ascii="Arial" w:hAnsi="Arial" w:cs="Arial"/>
          <w:sz w:val="22"/>
        </w:rPr>
        <w:t xml:space="preserve"> </w:t>
      </w:r>
    </w:p>
    <w:p w14:paraId="59AD7982" w14:textId="77777777" w:rsidR="008F2837" w:rsidRPr="004E17A8" w:rsidRDefault="008F2837" w:rsidP="008F2837">
      <w:pPr>
        <w:tabs>
          <w:tab w:val="left" w:pos="709"/>
        </w:tabs>
        <w:spacing w:line="276" w:lineRule="auto"/>
        <w:jc w:val="both"/>
        <w:rPr>
          <w:rFonts w:ascii="Arial" w:hAnsi="Arial" w:cs="Arial"/>
          <w:sz w:val="22"/>
        </w:rPr>
      </w:pPr>
    </w:p>
    <w:p w14:paraId="6D450EBA" w14:textId="78CC5977" w:rsidR="008F2837" w:rsidRPr="004E17A8" w:rsidRDefault="008F2837" w:rsidP="008F2837">
      <w:pPr>
        <w:tabs>
          <w:tab w:val="left" w:pos="709"/>
        </w:tabs>
        <w:spacing w:line="276" w:lineRule="auto"/>
        <w:jc w:val="both"/>
        <w:rPr>
          <w:rFonts w:ascii="Arial" w:hAnsi="Arial" w:cs="Arial"/>
          <w:b/>
          <w:bCs/>
          <w:i/>
          <w:iCs/>
          <w:sz w:val="22"/>
        </w:rPr>
      </w:pPr>
      <w:r w:rsidRPr="004E17A8">
        <w:rPr>
          <w:rFonts w:ascii="Arial" w:hAnsi="Arial" w:cs="Arial"/>
          <w:b/>
          <w:bCs/>
          <w:i/>
          <w:iCs/>
          <w:sz w:val="22"/>
        </w:rPr>
        <w:t>2.1.5. Promoción del desarrollo en la contratación pública</w:t>
      </w:r>
    </w:p>
    <w:p w14:paraId="52913273" w14:textId="77777777" w:rsidR="008F2837" w:rsidRPr="004E17A8" w:rsidRDefault="008F2837" w:rsidP="008F2837">
      <w:pPr>
        <w:tabs>
          <w:tab w:val="left" w:pos="709"/>
        </w:tabs>
        <w:spacing w:line="276" w:lineRule="auto"/>
        <w:jc w:val="both"/>
        <w:rPr>
          <w:rFonts w:ascii="Arial" w:eastAsia="Calibri" w:hAnsi="Arial" w:cs="Arial"/>
          <w:b/>
          <w:bCs/>
          <w:sz w:val="22"/>
        </w:rPr>
      </w:pPr>
    </w:p>
    <w:p w14:paraId="70A70296" w14:textId="36AEB00C" w:rsidR="00C00709" w:rsidRPr="004E17A8" w:rsidRDefault="008F2837" w:rsidP="000E37D0">
      <w:pPr>
        <w:tabs>
          <w:tab w:val="left" w:pos="709"/>
        </w:tabs>
        <w:spacing w:line="276" w:lineRule="auto"/>
        <w:jc w:val="both"/>
        <w:rPr>
          <w:rFonts w:ascii="Arial" w:eastAsia="Calibri" w:hAnsi="Arial" w:cs="Arial"/>
          <w:bCs/>
          <w:sz w:val="22"/>
        </w:rPr>
      </w:pPr>
      <w:r w:rsidRPr="004E17A8">
        <w:rPr>
          <w:rFonts w:ascii="Arial" w:eastAsia="Calibri" w:hAnsi="Arial" w:cs="Arial"/>
          <w:bCs/>
          <w:sz w:val="22"/>
        </w:rPr>
        <w:t>C</w:t>
      </w:r>
      <w:r w:rsidR="00332059" w:rsidRPr="004E17A8">
        <w:rPr>
          <w:rFonts w:ascii="Arial" w:eastAsia="Calibri" w:hAnsi="Arial" w:cs="Arial"/>
          <w:bCs/>
          <w:sz w:val="22"/>
        </w:rPr>
        <w:t>omo una medida complementaria a la prevista en el artículo 30 de la Ley 2069 de 2020,</w:t>
      </w:r>
      <w:r w:rsidR="00B459BE" w:rsidRPr="004E17A8">
        <w:rPr>
          <w:rFonts w:ascii="Arial" w:eastAsia="Calibri" w:hAnsi="Arial" w:cs="Arial"/>
          <w:bCs/>
          <w:sz w:val="22"/>
        </w:rPr>
        <w:t xml:space="preserve"> el artículo 3</w:t>
      </w:r>
      <w:r w:rsidR="00CA4E8A" w:rsidRPr="004E17A8">
        <w:rPr>
          <w:rFonts w:ascii="Arial" w:eastAsia="Calibri" w:hAnsi="Arial" w:cs="Arial"/>
          <w:bCs/>
          <w:sz w:val="22"/>
        </w:rPr>
        <w:t>4</w:t>
      </w:r>
      <w:r w:rsidR="00332059" w:rsidRPr="004E17A8">
        <w:rPr>
          <w:rFonts w:ascii="Arial" w:eastAsia="Calibri" w:hAnsi="Arial" w:cs="Arial"/>
          <w:bCs/>
          <w:sz w:val="22"/>
        </w:rPr>
        <w:t xml:space="preserve"> </w:t>
      </w:r>
      <w:r w:rsidR="00332059" w:rsidRPr="004E17A8">
        <w:rPr>
          <w:rFonts w:ascii="Arial" w:eastAsia="Calibri" w:hAnsi="Arial" w:cs="Arial"/>
          <w:bCs/>
          <w:i/>
          <w:iCs/>
          <w:sz w:val="22"/>
        </w:rPr>
        <w:t>ibidem</w:t>
      </w:r>
      <w:r w:rsidR="00B459BE" w:rsidRPr="004E17A8">
        <w:rPr>
          <w:rFonts w:ascii="Arial" w:eastAsia="Calibri" w:hAnsi="Arial" w:cs="Arial"/>
          <w:bCs/>
          <w:sz w:val="22"/>
        </w:rPr>
        <w:t xml:space="preserve"> modifica el artículo 12 de la Ley 1150 de 2007, el cual regula la promoción del desarrollo en la contratación pública</w:t>
      </w:r>
      <w:r w:rsidR="00F40A01" w:rsidRPr="004E17A8">
        <w:rPr>
          <w:rFonts w:ascii="Arial" w:eastAsia="Calibri" w:hAnsi="Arial" w:cs="Arial"/>
          <w:bCs/>
          <w:sz w:val="22"/>
        </w:rPr>
        <w:t>. Inicialmente, la redacción de la Ley 1150 fue modificada por el artículo 32 de la Ley 1450 de 2011</w:t>
      </w:r>
      <w:r w:rsidR="002E08E8" w:rsidRPr="004E17A8">
        <w:rPr>
          <w:rFonts w:ascii="Arial" w:eastAsia="Calibri" w:hAnsi="Arial" w:cs="Arial"/>
          <w:bCs/>
          <w:sz w:val="22"/>
        </w:rPr>
        <w:t>,</w:t>
      </w:r>
      <w:r w:rsidR="00C00709" w:rsidRPr="004E17A8">
        <w:rPr>
          <w:rFonts w:ascii="Arial" w:eastAsia="Calibri" w:hAnsi="Arial" w:cs="Arial"/>
          <w:bCs/>
          <w:sz w:val="22"/>
        </w:rPr>
        <w:t xml:space="preserve"> pero </w:t>
      </w:r>
      <w:r w:rsidR="00955598" w:rsidRPr="004E17A8">
        <w:rPr>
          <w:rFonts w:ascii="Arial" w:eastAsia="Calibri" w:hAnsi="Arial" w:cs="Arial"/>
          <w:bCs/>
          <w:sz w:val="22"/>
        </w:rPr>
        <w:t xml:space="preserve">esta última quedó derogada </w:t>
      </w:r>
      <w:r w:rsidR="00C00709" w:rsidRPr="004E17A8">
        <w:rPr>
          <w:rFonts w:ascii="Arial" w:eastAsia="Calibri" w:hAnsi="Arial" w:cs="Arial"/>
          <w:bCs/>
          <w:sz w:val="22"/>
        </w:rPr>
        <w:t xml:space="preserve">con la expedición de la Ley de Emprendimiento. Resaltando los cambios relevantes, la norma dispone </w:t>
      </w:r>
      <w:r w:rsidR="00955598" w:rsidRPr="004E17A8">
        <w:rPr>
          <w:rFonts w:ascii="Arial" w:eastAsia="Calibri" w:hAnsi="Arial" w:cs="Arial"/>
          <w:bCs/>
          <w:sz w:val="22"/>
        </w:rPr>
        <w:t>lo siguiente</w:t>
      </w:r>
      <w:r w:rsidR="00C00709" w:rsidRPr="004E17A8">
        <w:rPr>
          <w:rFonts w:ascii="Arial" w:eastAsia="Calibri" w:hAnsi="Arial" w:cs="Arial"/>
          <w:bCs/>
          <w:sz w:val="22"/>
        </w:rPr>
        <w:t>:</w:t>
      </w:r>
      <w:r w:rsidR="00B459BE" w:rsidRPr="004E17A8">
        <w:rPr>
          <w:rFonts w:ascii="Arial" w:eastAsia="Calibri" w:hAnsi="Arial" w:cs="Arial"/>
          <w:bCs/>
          <w:sz w:val="22"/>
        </w:rPr>
        <w:t xml:space="preserve"> </w:t>
      </w:r>
      <w:r w:rsidR="00C07492" w:rsidRPr="004E17A8">
        <w:rPr>
          <w:rFonts w:ascii="Arial" w:eastAsia="Calibri" w:hAnsi="Arial" w:cs="Arial"/>
          <w:bCs/>
          <w:sz w:val="22"/>
        </w:rPr>
        <w:t xml:space="preserve">  </w:t>
      </w:r>
    </w:p>
    <w:p w14:paraId="758401B9" w14:textId="77777777" w:rsidR="000E37D0" w:rsidRPr="004E17A8" w:rsidRDefault="000E37D0" w:rsidP="000E37D0">
      <w:pPr>
        <w:tabs>
          <w:tab w:val="left" w:pos="709"/>
        </w:tabs>
        <w:spacing w:line="276" w:lineRule="auto"/>
        <w:jc w:val="both"/>
        <w:rPr>
          <w:rFonts w:ascii="Arial" w:eastAsia="Calibri" w:hAnsi="Arial" w:cs="Arial"/>
          <w:bCs/>
          <w:sz w:val="22"/>
        </w:rPr>
      </w:pPr>
    </w:p>
    <w:p w14:paraId="7BBA0DBB" w14:textId="081C0E6E" w:rsidR="00C00709" w:rsidRPr="004E17A8" w:rsidRDefault="00C00709" w:rsidP="00D3555B">
      <w:pPr>
        <w:tabs>
          <w:tab w:val="left" w:pos="1276"/>
        </w:tabs>
        <w:ind w:left="709" w:right="709"/>
        <w:jc w:val="both"/>
        <w:rPr>
          <w:rFonts w:ascii="Arial" w:eastAsia="Calibri" w:hAnsi="Arial" w:cs="Arial"/>
          <w:bCs/>
          <w:sz w:val="21"/>
          <w:szCs w:val="21"/>
        </w:rPr>
      </w:pPr>
      <w:r w:rsidRPr="004E17A8">
        <w:rPr>
          <w:rFonts w:ascii="Arial" w:eastAsia="Calibri" w:hAnsi="Arial" w:cs="Arial"/>
          <w:bCs/>
          <w:sz w:val="21"/>
          <w:szCs w:val="21"/>
        </w:rPr>
        <w:t xml:space="preserve">De conformidad con lo dispuesto en los artículos 13, 333 y 334 de la Constitución Política, el Gobierno Nacional definirá las condiciones y los montos de acuerdo con los compromisos internacionales vigentes, para que, en desarrollo de los Procesos de Contratación, las Entidades Estatales </w:t>
      </w:r>
      <w:r w:rsidRPr="004E17A8">
        <w:rPr>
          <w:rFonts w:ascii="Arial" w:eastAsia="Calibri" w:hAnsi="Arial" w:cs="Arial"/>
          <w:bCs/>
          <w:i/>
          <w:iCs/>
          <w:sz w:val="21"/>
          <w:szCs w:val="21"/>
        </w:rPr>
        <w:t>indistintamente de su régimen de contratación, los patrimonios autónomos constituidos por Entidades Estatales y los particulares que ejecuten recursos públicos,</w:t>
      </w:r>
      <w:r w:rsidRPr="004E17A8">
        <w:rPr>
          <w:rFonts w:ascii="Arial" w:eastAsia="Calibri" w:hAnsi="Arial" w:cs="Arial"/>
          <w:bCs/>
          <w:sz w:val="21"/>
          <w:szCs w:val="21"/>
        </w:rPr>
        <w:t xml:space="preserve"> adopten en beneficio de las </w:t>
      </w:r>
      <w:proofErr w:type="spellStart"/>
      <w:r w:rsidRPr="004E17A8">
        <w:rPr>
          <w:rFonts w:ascii="Arial" w:eastAsia="Calibri" w:hAnsi="Arial" w:cs="Arial"/>
          <w:bCs/>
          <w:sz w:val="21"/>
          <w:szCs w:val="21"/>
        </w:rPr>
        <w:t>Mipyme</w:t>
      </w:r>
      <w:proofErr w:type="spellEnd"/>
      <w:r w:rsidRPr="004E17A8">
        <w:rPr>
          <w:rFonts w:ascii="Arial" w:eastAsia="Calibri" w:hAnsi="Arial" w:cs="Arial"/>
          <w:bCs/>
          <w:sz w:val="21"/>
          <w:szCs w:val="21"/>
        </w:rPr>
        <w:t xml:space="preserve">, convocatorias limitadas a estas en las que, previo a la Resolución de apertura del proceso respectivo, se haya manifestado el interés </w:t>
      </w:r>
      <w:r w:rsidRPr="004E17A8">
        <w:rPr>
          <w:rFonts w:ascii="Arial" w:eastAsia="Calibri" w:hAnsi="Arial" w:cs="Arial"/>
          <w:bCs/>
          <w:i/>
          <w:iCs/>
          <w:sz w:val="21"/>
          <w:szCs w:val="21"/>
        </w:rPr>
        <w:t xml:space="preserve">de por lo menos dos (2) </w:t>
      </w:r>
      <w:proofErr w:type="spellStart"/>
      <w:r w:rsidRPr="004E17A8">
        <w:rPr>
          <w:rFonts w:ascii="Arial" w:eastAsia="Calibri" w:hAnsi="Arial" w:cs="Arial"/>
          <w:bCs/>
          <w:i/>
          <w:iCs/>
          <w:sz w:val="21"/>
          <w:szCs w:val="21"/>
        </w:rPr>
        <w:t>Mipyme</w:t>
      </w:r>
      <w:proofErr w:type="spellEnd"/>
      <w:r w:rsidRPr="004E17A8">
        <w:rPr>
          <w:rFonts w:ascii="Arial" w:eastAsia="Calibri" w:hAnsi="Arial" w:cs="Arial"/>
          <w:bCs/>
          <w:sz w:val="21"/>
          <w:szCs w:val="21"/>
        </w:rPr>
        <w:t>.</w:t>
      </w:r>
    </w:p>
    <w:p w14:paraId="41F53129" w14:textId="376252B3" w:rsidR="00C00709" w:rsidRPr="004E17A8" w:rsidRDefault="00C00709" w:rsidP="00D3555B">
      <w:pPr>
        <w:tabs>
          <w:tab w:val="left" w:pos="1276"/>
        </w:tabs>
        <w:spacing w:before="120"/>
        <w:ind w:left="709" w:right="709"/>
        <w:jc w:val="both"/>
        <w:rPr>
          <w:rFonts w:ascii="Arial" w:eastAsia="Calibri" w:hAnsi="Arial" w:cs="Arial"/>
          <w:bCs/>
          <w:sz w:val="21"/>
          <w:szCs w:val="21"/>
        </w:rPr>
      </w:pPr>
      <w:r w:rsidRPr="004E17A8">
        <w:rPr>
          <w:rFonts w:ascii="Arial" w:eastAsia="Calibri" w:hAnsi="Arial" w:cs="Arial"/>
          <w:bCs/>
          <w:sz w:val="21"/>
          <w:szCs w:val="21"/>
        </w:rPr>
        <w:t xml:space="preserve">Asimismo, el reglamento podrá establecer condiciones preferenciales en favor de la oferta de bienes y servicios producidos por las </w:t>
      </w:r>
      <w:proofErr w:type="spellStart"/>
      <w:r w:rsidRPr="004E17A8">
        <w:rPr>
          <w:rFonts w:ascii="Arial" w:eastAsia="Calibri" w:hAnsi="Arial" w:cs="Arial"/>
          <w:bCs/>
          <w:sz w:val="21"/>
          <w:szCs w:val="21"/>
        </w:rPr>
        <w:t>Mipyme</w:t>
      </w:r>
      <w:proofErr w:type="spellEnd"/>
      <w:r w:rsidRPr="004E17A8">
        <w:rPr>
          <w:rFonts w:ascii="Arial" w:eastAsia="Calibri" w:hAnsi="Arial" w:cs="Arial"/>
          <w:bCs/>
          <w:sz w:val="21"/>
          <w:szCs w:val="21"/>
        </w:rPr>
        <w:t>, respetando los montos y las condiciones contenidas en los compromisos internacionales vigentes</w:t>
      </w:r>
      <w:r w:rsidRPr="004E17A8">
        <w:rPr>
          <w:rFonts w:ascii="Arial" w:eastAsia="Calibri" w:hAnsi="Arial" w:cs="Arial"/>
          <w:bCs/>
          <w:i/>
          <w:iCs/>
          <w:sz w:val="21"/>
          <w:szCs w:val="21"/>
        </w:rPr>
        <w:t>, cuando sean aplicables</w:t>
      </w:r>
      <w:r w:rsidRPr="004E17A8">
        <w:rPr>
          <w:rFonts w:ascii="Arial" w:eastAsia="Calibri" w:hAnsi="Arial" w:cs="Arial"/>
          <w:bCs/>
          <w:sz w:val="21"/>
          <w:szCs w:val="21"/>
        </w:rPr>
        <w:t>.</w:t>
      </w:r>
    </w:p>
    <w:p w14:paraId="766BCFDA" w14:textId="53C660B2" w:rsidR="00C00709" w:rsidRPr="004E17A8" w:rsidRDefault="00C00709" w:rsidP="00D3555B">
      <w:pPr>
        <w:tabs>
          <w:tab w:val="left" w:pos="1276"/>
        </w:tabs>
        <w:spacing w:before="120"/>
        <w:ind w:left="709" w:right="709"/>
        <w:jc w:val="both"/>
        <w:rPr>
          <w:rFonts w:ascii="Arial" w:eastAsia="Calibri" w:hAnsi="Arial" w:cs="Arial"/>
          <w:bCs/>
          <w:sz w:val="21"/>
          <w:szCs w:val="21"/>
        </w:rPr>
      </w:pPr>
      <w:r w:rsidRPr="004E17A8">
        <w:rPr>
          <w:rFonts w:ascii="Arial" w:eastAsia="Calibri" w:hAnsi="Arial" w:cs="Arial"/>
          <w:bCs/>
          <w:sz w:val="21"/>
          <w:szCs w:val="21"/>
        </w:rPr>
        <w:t>En todo caso, se deberá garantizar la satisfacción de las condiciones técnicas y económicas requeridas en el Proceso de Contratación</w:t>
      </w:r>
      <w:r w:rsidR="004C0463" w:rsidRPr="004E17A8">
        <w:rPr>
          <w:rStyle w:val="Refdenotaalpie"/>
          <w:rFonts w:ascii="Arial" w:eastAsia="Calibri" w:hAnsi="Arial" w:cs="Arial"/>
          <w:bCs/>
          <w:sz w:val="21"/>
          <w:szCs w:val="21"/>
        </w:rPr>
        <w:footnoteReference w:id="9"/>
      </w:r>
      <w:r w:rsidRPr="004E17A8">
        <w:rPr>
          <w:rFonts w:ascii="Arial" w:eastAsia="Calibri" w:hAnsi="Arial" w:cs="Arial"/>
          <w:bCs/>
          <w:sz w:val="21"/>
          <w:szCs w:val="21"/>
        </w:rPr>
        <w:t>.</w:t>
      </w:r>
      <w:r w:rsidR="002814EA" w:rsidRPr="004E17A8">
        <w:rPr>
          <w:rFonts w:ascii="Arial" w:eastAsia="Calibri" w:hAnsi="Arial" w:cs="Arial"/>
          <w:bCs/>
          <w:sz w:val="21"/>
          <w:szCs w:val="21"/>
        </w:rPr>
        <w:t xml:space="preserve"> (Énfasis fuera de texto)</w:t>
      </w:r>
    </w:p>
    <w:p w14:paraId="7C785FFB" w14:textId="77777777" w:rsidR="000E37D0" w:rsidRPr="004E17A8" w:rsidRDefault="000E37D0" w:rsidP="000E37D0">
      <w:pPr>
        <w:tabs>
          <w:tab w:val="left" w:pos="1276"/>
        </w:tabs>
        <w:spacing w:line="276" w:lineRule="auto"/>
        <w:ind w:left="709" w:right="709"/>
        <w:jc w:val="both"/>
        <w:rPr>
          <w:rFonts w:ascii="Arial" w:eastAsia="Calibri" w:hAnsi="Arial" w:cs="Arial"/>
          <w:bCs/>
          <w:sz w:val="22"/>
        </w:rPr>
      </w:pPr>
    </w:p>
    <w:p w14:paraId="3F19D657" w14:textId="3CA947F5" w:rsidR="001F3224" w:rsidRPr="004E17A8" w:rsidRDefault="00EE0D77" w:rsidP="00247506">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r>
      <w:r w:rsidR="00147906" w:rsidRPr="004E17A8">
        <w:rPr>
          <w:rFonts w:ascii="Arial" w:eastAsia="Calibri" w:hAnsi="Arial" w:cs="Arial"/>
          <w:bCs/>
          <w:sz w:val="22"/>
        </w:rPr>
        <w:t>En contraste con la redacción de la Ley 1450 de 2011</w:t>
      </w:r>
      <w:r w:rsidRPr="004E17A8">
        <w:rPr>
          <w:rFonts w:ascii="Arial" w:eastAsia="Calibri" w:hAnsi="Arial" w:cs="Arial"/>
          <w:bCs/>
          <w:sz w:val="22"/>
        </w:rPr>
        <w:t>,</w:t>
      </w:r>
      <w:r w:rsidR="00147906" w:rsidRPr="004E17A8">
        <w:rPr>
          <w:rFonts w:ascii="Arial" w:eastAsia="Calibri" w:hAnsi="Arial" w:cs="Arial"/>
          <w:bCs/>
          <w:sz w:val="22"/>
        </w:rPr>
        <w:t xml:space="preserve"> la</w:t>
      </w:r>
      <w:r w:rsidR="009C00FA" w:rsidRPr="004E17A8">
        <w:rPr>
          <w:rFonts w:ascii="Arial" w:eastAsia="Calibri" w:hAnsi="Arial" w:cs="Arial"/>
          <w:bCs/>
          <w:sz w:val="22"/>
        </w:rPr>
        <w:t xml:space="preserve"> Ley de Emprendimiento amplía la limitación a </w:t>
      </w:r>
      <w:proofErr w:type="spellStart"/>
      <w:r w:rsidR="009C00FA" w:rsidRPr="004E17A8">
        <w:rPr>
          <w:rFonts w:ascii="Arial" w:eastAsia="Calibri" w:hAnsi="Arial" w:cs="Arial"/>
          <w:bCs/>
          <w:sz w:val="22"/>
        </w:rPr>
        <w:t>mipymes</w:t>
      </w:r>
      <w:proofErr w:type="spellEnd"/>
      <w:r w:rsidR="009C00FA" w:rsidRPr="004E17A8">
        <w:rPr>
          <w:rFonts w:ascii="Arial" w:eastAsia="Calibri" w:hAnsi="Arial" w:cs="Arial"/>
          <w:bCs/>
          <w:sz w:val="22"/>
        </w:rPr>
        <w:t xml:space="preserve"> de forma </w:t>
      </w:r>
      <w:r w:rsidR="00407072" w:rsidRPr="004E17A8">
        <w:rPr>
          <w:rFonts w:ascii="Arial" w:eastAsia="Calibri" w:hAnsi="Arial" w:cs="Arial"/>
          <w:bCs/>
          <w:sz w:val="22"/>
        </w:rPr>
        <w:t>qu</w:t>
      </w:r>
      <w:r w:rsidR="009C00FA" w:rsidRPr="004E17A8">
        <w:rPr>
          <w:rFonts w:ascii="Arial" w:eastAsia="Calibri" w:hAnsi="Arial" w:cs="Arial"/>
          <w:bCs/>
          <w:sz w:val="22"/>
        </w:rPr>
        <w:t xml:space="preserve">e ya </w:t>
      </w:r>
      <w:r w:rsidR="00685A29" w:rsidRPr="004E17A8">
        <w:rPr>
          <w:rFonts w:ascii="Arial" w:eastAsia="Calibri" w:hAnsi="Arial" w:cs="Arial"/>
          <w:bCs/>
          <w:sz w:val="22"/>
        </w:rPr>
        <w:t xml:space="preserve">no </w:t>
      </w:r>
      <w:r w:rsidR="009C00FA" w:rsidRPr="004E17A8">
        <w:rPr>
          <w:rFonts w:ascii="Arial" w:eastAsia="Calibri" w:hAnsi="Arial" w:cs="Arial"/>
          <w:bCs/>
          <w:sz w:val="22"/>
        </w:rPr>
        <w:t xml:space="preserve">solo aplica en los procedimientos de selección </w:t>
      </w:r>
      <w:r w:rsidR="00685A29" w:rsidRPr="004E17A8">
        <w:rPr>
          <w:rFonts w:ascii="Arial" w:eastAsia="Calibri" w:hAnsi="Arial" w:cs="Arial"/>
          <w:bCs/>
          <w:sz w:val="22"/>
        </w:rPr>
        <w:t>de las entidades sometidas a la Ley 80 de 1993, sino que se extiende a la gestión contractual de las entidades exceptuadas, los patrimonios autónomos y los particulares que ejecuten recursos públicos.</w:t>
      </w:r>
      <w:r w:rsidR="00247506" w:rsidRPr="004E17A8">
        <w:rPr>
          <w:rFonts w:ascii="Arial" w:eastAsia="Calibri" w:hAnsi="Arial" w:cs="Arial"/>
          <w:bCs/>
          <w:sz w:val="22"/>
        </w:rPr>
        <w:t xml:space="preserve"> Por lo demás, la norma congela en el rango de ley el número de interesados que debe solicitar la limitación. </w:t>
      </w:r>
    </w:p>
    <w:p w14:paraId="11D158E4" w14:textId="51760301" w:rsidR="00F21F84" w:rsidRPr="004E17A8" w:rsidRDefault="001F3224" w:rsidP="00247506">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r>
      <w:r w:rsidR="00247506" w:rsidRPr="004E17A8">
        <w:rPr>
          <w:rFonts w:ascii="Arial" w:eastAsia="Calibri" w:hAnsi="Arial" w:cs="Arial"/>
          <w:bCs/>
          <w:sz w:val="22"/>
        </w:rPr>
        <w:t>Sin embargo,</w:t>
      </w:r>
      <w:r w:rsidR="00EE0D77" w:rsidRPr="004E17A8">
        <w:rPr>
          <w:rFonts w:ascii="Arial" w:eastAsia="Calibri" w:hAnsi="Arial" w:cs="Arial"/>
          <w:bCs/>
          <w:sz w:val="22"/>
        </w:rPr>
        <w:t xml:space="preserve"> también alude a la necesidad del desarrollo reglamentario</w:t>
      </w:r>
      <w:r w:rsidR="00247506" w:rsidRPr="004E17A8">
        <w:rPr>
          <w:rFonts w:ascii="Arial" w:eastAsia="Calibri" w:hAnsi="Arial" w:cs="Arial"/>
          <w:bCs/>
          <w:sz w:val="22"/>
        </w:rPr>
        <w:t xml:space="preserve"> posterior, por lo que no </w:t>
      </w:r>
      <w:r w:rsidR="00E75547" w:rsidRPr="004E17A8">
        <w:rPr>
          <w:rFonts w:ascii="Arial" w:eastAsia="Calibri" w:hAnsi="Arial" w:cs="Arial"/>
          <w:bCs/>
          <w:sz w:val="22"/>
        </w:rPr>
        <w:t>es</w:t>
      </w:r>
      <w:r w:rsidR="00247506" w:rsidRPr="004E17A8">
        <w:rPr>
          <w:rFonts w:ascii="Arial" w:eastAsia="Calibri" w:hAnsi="Arial" w:cs="Arial"/>
          <w:bCs/>
          <w:sz w:val="22"/>
        </w:rPr>
        <w:t xml:space="preserve"> posib</w:t>
      </w:r>
      <w:r w:rsidR="00E75547" w:rsidRPr="004E17A8">
        <w:rPr>
          <w:rFonts w:ascii="Arial" w:eastAsia="Calibri" w:hAnsi="Arial" w:cs="Arial"/>
          <w:bCs/>
          <w:sz w:val="22"/>
        </w:rPr>
        <w:t>le</w:t>
      </w:r>
      <w:r w:rsidR="00247506" w:rsidRPr="004E17A8">
        <w:rPr>
          <w:rFonts w:ascii="Arial" w:eastAsia="Calibri" w:hAnsi="Arial" w:cs="Arial"/>
          <w:bCs/>
          <w:sz w:val="22"/>
        </w:rPr>
        <w:t xml:space="preserve"> aplicarla directamente </w:t>
      </w:r>
      <w:r w:rsidR="00E75547" w:rsidRPr="004E17A8">
        <w:rPr>
          <w:rFonts w:ascii="Arial" w:eastAsia="Calibri" w:hAnsi="Arial" w:cs="Arial"/>
          <w:bCs/>
          <w:sz w:val="22"/>
        </w:rPr>
        <w:t>desde la fecha de</w:t>
      </w:r>
      <w:r w:rsidR="00247506" w:rsidRPr="004E17A8">
        <w:rPr>
          <w:rFonts w:ascii="Arial" w:eastAsia="Calibri" w:hAnsi="Arial" w:cs="Arial"/>
          <w:bCs/>
          <w:sz w:val="22"/>
        </w:rPr>
        <w:t xml:space="preserve"> su expedición.</w:t>
      </w:r>
      <w:r w:rsidR="007A3166" w:rsidRPr="004E17A8">
        <w:rPr>
          <w:rFonts w:ascii="Arial" w:eastAsia="Calibri" w:hAnsi="Arial" w:cs="Arial"/>
          <w:bCs/>
          <w:sz w:val="22"/>
        </w:rPr>
        <w:t xml:space="preserve"> Lo propio sucede cuando la norma dispone que «[…] 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 […]». Esto significa que los mecanismos de fomento requieren un desarrollo posterior para su aplicación en los procedimientos contractuales.</w:t>
      </w:r>
    </w:p>
    <w:p w14:paraId="54064B98" w14:textId="58423D07" w:rsidR="00DF1AB7" w:rsidRPr="004E17A8" w:rsidRDefault="00303F05" w:rsidP="00DF1AB7">
      <w:pPr>
        <w:spacing w:before="120" w:line="276" w:lineRule="auto"/>
        <w:ind w:firstLine="709"/>
        <w:jc w:val="both"/>
        <w:rPr>
          <w:rFonts w:ascii="Arial" w:eastAsia="Calibri" w:hAnsi="Arial" w:cs="Arial"/>
          <w:sz w:val="22"/>
          <w:lang w:val="es-ES_tradnl"/>
        </w:rPr>
      </w:pPr>
      <w:r w:rsidRPr="004E17A8">
        <w:rPr>
          <w:rFonts w:ascii="Arial" w:eastAsia="Calibri" w:hAnsi="Arial" w:cs="Arial"/>
          <w:bCs/>
          <w:sz w:val="22"/>
        </w:rPr>
        <w:t>Ahora bien</w:t>
      </w:r>
      <w:r w:rsidR="002A7DF5" w:rsidRPr="004E17A8">
        <w:rPr>
          <w:rFonts w:ascii="Arial" w:eastAsia="Calibri" w:hAnsi="Arial" w:cs="Arial"/>
          <w:bCs/>
          <w:sz w:val="22"/>
        </w:rPr>
        <w:t xml:space="preserve">, </w:t>
      </w:r>
      <w:r w:rsidR="00DF1AB7" w:rsidRPr="004E17A8">
        <w:rPr>
          <w:rFonts w:ascii="Arial" w:eastAsia="Calibri" w:hAnsi="Arial" w:cs="Arial"/>
          <w:sz w:val="22"/>
          <w:lang w:val="es-ES_tradnl"/>
        </w:rPr>
        <w:t xml:space="preserve">conviene preguntarse qué sucede con la vigencia del artículo 2.2.1.2.4.2.2. del Decreto 1082 de 2015, que, hasta la expedición de la Ley 2069 de 2020, </w:t>
      </w:r>
      <w:r w:rsidR="00845416">
        <w:rPr>
          <w:rFonts w:ascii="Arial" w:eastAsia="Calibri" w:hAnsi="Arial" w:cs="Arial"/>
          <w:sz w:val="22"/>
          <w:lang w:val="es-ES_tradnl"/>
        </w:rPr>
        <w:t>regulaba</w:t>
      </w:r>
      <w:r w:rsidR="00845416" w:rsidRPr="004E17A8">
        <w:rPr>
          <w:rFonts w:ascii="Arial" w:eastAsia="Calibri" w:hAnsi="Arial" w:cs="Arial"/>
          <w:sz w:val="22"/>
          <w:lang w:val="es-ES_tradnl"/>
        </w:rPr>
        <w:t xml:space="preserve"> </w:t>
      </w:r>
      <w:r w:rsidR="00DF1AB7" w:rsidRPr="004E17A8">
        <w:rPr>
          <w:rFonts w:ascii="Arial" w:eastAsia="Calibri" w:hAnsi="Arial" w:cs="Arial"/>
          <w:sz w:val="22"/>
          <w:lang w:val="es-ES_tradnl"/>
        </w:rPr>
        <w:t xml:space="preserve">las convocatorias limitadas a </w:t>
      </w:r>
      <w:proofErr w:type="spellStart"/>
      <w:r w:rsidR="00DF1AB7" w:rsidRPr="004E17A8">
        <w:rPr>
          <w:rFonts w:ascii="Arial" w:eastAsia="Calibri" w:hAnsi="Arial" w:cs="Arial"/>
          <w:sz w:val="22"/>
          <w:lang w:val="es-ES_tradnl"/>
        </w:rPr>
        <w:t>mipymes</w:t>
      </w:r>
      <w:proofErr w:type="spellEnd"/>
      <w:r w:rsidR="00DF1AB7" w:rsidRPr="004E17A8">
        <w:rPr>
          <w:rFonts w:ascii="Arial" w:eastAsia="Calibri" w:hAnsi="Arial" w:cs="Arial"/>
          <w:sz w:val="22"/>
          <w:lang w:val="es-ES_tradnl"/>
        </w:rPr>
        <w:t>. C</w:t>
      </w:r>
      <w:proofErr w:type="spellStart"/>
      <w:r w:rsidR="00DF1AB7" w:rsidRPr="004E17A8">
        <w:rPr>
          <w:rFonts w:ascii="Arial" w:eastAsia="Calibri" w:hAnsi="Arial" w:cs="Arial"/>
          <w:bCs/>
          <w:sz w:val="22"/>
        </w:rPr>
        <w:t>onforme</w:t>
      </w:r>
      <w:proofErr w:type="spellEnd"/>
      <w:r w:rsidR="00DF1AB7" w:rsidRPr="004E17A8">
        <w:rPr>
          <w:rFonts w:ascii="Arial" w:eastAsia="Calibri" w:hAnsi="Arial" w:cs="Arial"/>
          <w:bCs/>
          <w:sz w:val="22"/>
        </w:rPr>
        <w:t xml:space="preserve"> a lo explicado en el Concepto C-043 del 9 de febrero de 2020</w:t>
      </w:r>
      <w:r w:rsidR="00DF1AB7" w:rsidRPr="004E17A8">
        <w:rPr>
          <w:rFonts w:ascii="Arial" w:eastAsia="Calibri" w:hAnsi="Arial" w:cs="Arial"/>
          <w:sz w:val="22"/>
          <w:lang w:val="es-ES_tradnl"/>
        </w:rPr>
        <w:t xml:space="preserve">, dicho artículo del Decreto reglamentario no está vigente, porque su contenido es contrario al artículo 34 de la Ley 2069 de 2020. En tal sentido, ha perdido fuerza ejecutoria, de conformidad con el artículo 91, numeral 2, de la Ley 1437 de 2011, el cual establece que los actos administrativos –categoría que, como es sabido, incluye los decretos reglamentarios– dejan de ser obligatorios o decaen «Cuando desaparezcan sus fundamentos de hecho o de derecho». </w:t>
      </w:r>
    </w:p>
    <w:p w14:paraId="108EE83A" w14:textId="77777777" w:rsidR="00DF1AB7" w:rsidRPr="004E17A8" w:rsidRDefault="00DF1AB7" w:rsidP="00DF1AB7">
      <w:pPr>
        <w:spacing w:before="120" w:line="276" w:lineRule="auto"/>
        <w:ind w:firstLine="709"/>
        <w:jc w:val="both"/>
        <w:rPr>
          <w:rFonts w:ascii="Arial" w:eastAsia="Calibri" w:hAnsi="Arial" w:cs="Arial"/>
          <w:sz w:val="22"/>
          <w:lang w:val="es-ES_tradnl"/>
        </w:rPr>
      </w:pPr>
      <w:r w:rsidRPr="004E17A8">
        <w:rPr>
          <w:rFonts w:ascii="Arial" w:eastAsia="Calibri" w:hAnsi="Arial" w:cs="Arial"/>
          <w:sz w:val="22"/>
          <w:lang w:val="es-ES_tradnl"/>
        </w:rPr>
        <w:t xml:space="preserve">Si los decretos reglamentarios que profiere el </w:t>
      </w:r>
      <w:proofErr w:type="gramStart"/>
      <w:r w:rsidRPr="004E17A8">
        <w:rPr>
          <w:rFonts w:ascii="Arial" w:eastAsia="Calibri" w:hAnsi="Arial" w:cs="Arial"/>
          <w:sz w:val="22"/>
          <w:lang w:val="es-ES_tradnl"/>
        </w:rPr>
        <w:t>Presidente</w:t>
      </w:r>
      <w:proofErr w:type="gramEnd"/>
      <w:r w:rsidRPr="004E17A8">
        <w:rPr>
          <w:rFonts w:ascii="Arial" w:eastAsia="Calibri" w:hAnsi="Arial" w:cs="Arial"/>
          <w:sz w:val="22"/>
          <w:lang w:val="es-ES_tradnl"/>
        </w:rPr>
        <w:t xml:space="preserve"> de la República en ejercicio de la potestad que le confiere el artículo 189, numeral 11, de la Constitución Política, buscan «la cumplida ejecución de las leyes», y si la disposición legal que había servido de </w:t>
      </w:r>
      <w:r w:rsidRPr="004E17A8">
        <w:rPr>
          <w:rFonts w:ascii="Arial" w:eastAsia="Calibri" w:hAnsi="Arial" w:cs="Arial"/>
          <w:sz w:val="22"/>
          <w:lang w:val="es-ES_tradnl"/>
        </w:rPr>
        <w:lastRenderedPageBreak/>
        <w:t>fundamento a la expedición del artículo 2.2.1.2.4.2.2. del Decreto 1082 de 2015 –es decir, el artículo 12 de la Ley 1150 de 2007– fue modificado por el artículo 34 de la Ley 2069 de 2020, puede concluirse que la disposición reglamentaria decayó, por desaparición de su fundamento de derecho. Es decir, el fundamento de derecho, que era el contenido del artículo 12 de la Ley 1150 de 2007, fue subrogado por el artículo 34 de la Ley 2069 de 2020. Sin embargo, no es solo por una razón formal que se deduce la pérdida de fuerza ejecutoria del artículo 2.2.1.2.4.2.2. del Decreto 1082 de 2015, sino también por un argumento material, como se explica a continuación.</w:t>
      </w:r>
    </w:p>
    <w:p w14:paraId="556FC306" w14:textId="77777777" w:rsidR="00DF1AB7" w:rsidRPr="004E17A8" w:rsidRDefault="00DF1AB7" w:rsidP="00DF1AB7">
      <w:pPr>
        <w:spacing w:before="120" w:line="276" w:lineRule="auto"/>
        <w:ind w:firstLine="709"/>
        <w:jc w:val="both"/>
        <w:rPr>
          <w:rFonts w:ascii="Arial" w:eastAsia="Calibri" w:hAnsi="Arial" w:cs="Arial"/>
          <w:sz w:val="22"/>
          <w:lang w:val="es-ES_tradnl"/>
        </w:rPr>
      </w:pPr>
      <w:r w:rsidRPr="004E17A8">
        <w:rPr>
          <w:rFonts w:ascii="Arial" w:eastAsia="Calibri" w:hAnsi="Arial" w:cs="Arial"/>
          <w:sz w:val="22"/>
          <w:lang w:val="es-ES_tradnl"/>
        </w:rPr>
        <w:t xml:space="preserve">Además de que el artículo 2.2.1.2.4.2.2. del Decreto 1082 de 2015 perdió el fundamento legal, su contenido es contrario al del nuevo artículo 12 de la Ley 1150 de 2007, modificado por el artículo 34 de la Ley 2069 de 2020. En efecto, este último artículo no consagra las mismas exigencias para las convocatorias limitadas a </w:t>
      </w:r>
      <w:proofErr w:type="spellStart"/>
      <w:r w:rsidRPr="004E17A8">
        <w:rPr>
          <w:rFonts w:ascii="Arial" w:eastAsia="Calibri" w:hAnsi="Arial" w:cs="Arial"/>
          <w:sz w:val="22"/>
          <w:lang w:val="es-ES_tradnl"/>
        </w:rPr>
        <w:t>mipymes</w:t>
      </w:r>
      <w:proofErr w:type="spellEnd"/>
      <w:r w:rsidRPr="004E17A8">
        <w:rPr>
          <w:rFonts w:ascii="Arial" w:eastAsia="Calibri" w:hAnsi="Arial" w:cs="Arial"/>
          <w:sz w:val="22"/>
          <w:lang w:val="es-ES_tradnl"/>
        </w:rPr>
        <w:t xml:space="preserve">. Concretamente, no incluye todos los requisitos que, hasta la </w:t>
      </w:r>
      <w:proofErr w:type="gramStart"/>
      <w:r w:rsidRPr="004E17A8">
        <w:rPr>
          <w:rFonts w:ascii="Arial" w:eastAsia="Calibri" w:hAnsi="Arial" w:cs="Arial"/>
          <w:sz w:val="22"/>
          <w:lang w:val="es-ES_tradnl"/>
        </w:rPr>
        <w:t>entrada en vigencia</w:t>
      </w:r>
      <w:proofErr w:type="gramEnd"/>
      <w:r w:rsidRPr="004E17A8">
        <w:rPr>
          <w:rFonts w:ascii="Arial" w:eastAsia="Calibri" w:hAnsi="Arial" w:cs="Arial"/>
          <w:sz w:val="22"/>
          <w:lang w:val="es-ES_tradnl"/>
        </w:rPr>
        <w:t xml:space="preserve"> de la Ley 2069 de 2020, establecía el artículo 2.2.1.2.4.2.2. del Decreto 1082 de 2015. Esta norma indicaba en su primer inciso que la entidad estatal solo podía limitar la convocatoria a las </w:t>
      </w:r>
      <w:proofErr w:type="spellStart"/>
      <w:r w:rsidRPr="004E17A8">
        <w:rPr>
          <w:rFonts w:ascii="Arial" w:eastAsia="Calibri" w:hAnsi="Arial" w:cs="Arial"/>
          <w:sz w:val="22"/>
          <w:lang w:val="es-ES_tradnl"/>
        </w:rPr>
        <w:t>mipymes</w:t>
      </w:r>
      <w:proofErr w:type="spellEnd"/>
      <w:r w:rsidRPr="004E17A8">
        <w:rPr>
          <w:rFonts w:ascii="Arial" w:eastAsia="Calibri" w:hAnsi="Arial" w:cs="Arial"/>
          <w:sz w:val="22"/>
          <w:lang w:val="es-ES_tradnl"/>
        </w:rPr>
        <w:t xml:space="preserve"> nacionales si se trataba de procesos de selección de licitación pública, selección abreviada y concursos de méritos. Por su parte, tal restricción no se encuentra en el artículo 34 de la Ley 2069 de 2020.</w:t>
      </w:r>
    </w:p>
    <w:p w14:paraId="3B99A1BC" w14:textId="5CE13027" w:rsidR="00DF1AB7" w:rsidRPr="004E17A8" w:rsidRDefault="00DF1AB7" w:rsidP="00DF1AB7">
      <w:pPr>
        <w:spacing w:before="120" w:line="276" w:lineRule="auto"/>
        <w:ind w:firstLine="709"/>
        <w:jc w:val="both"/>
        <w:rPr>
          <w:rFonts w:ascii="Arial" w:eastAsia="Calibri" w:hAnsi="Arial" w:cs="Arial"/>
          <w:sz w:val="22"/>
          <w:lang w:val="es-ES_tradnl"/>
        </w:rPr>
      </w:pPr>
      <w:r w:rsidRPr="004E17A8">
        <w:rPr>
          <w:rFonts w:ascii="Arial" w:eastAsia="Calibri" w:hAnsi="Arial" w:cs="Arial"/>
          <w:sz w:val="22"/>
          <w:lang w:val="es-ES_tradnl"/>
        </w:rPr>
        <w:t xml:space="preserve">Adicionalmente, el numeral 1 del artículo 2.2.1.2.4.2.2. del Decreto 1082 de 2015 exigía que el valor del proceso de contratación en el que pretendiera limitarse la convocatoria a </w:t>
      </w:r>
      <w:proofErr w:type="spellStart"/>
      <w:r w:rsidRPr="004E17A8">
        <w:rPr>
          <w:rFonts w:ascii="Arial" w:eastAsia="Calibri" w:hAnsi="Arial" w:cs="Arial"/>
          <w:sz w:val="22"/>
          <w:lang w:val="es-ES_tradnl"/>
        </w:rPr>
        <w:t>mipymes</w:t>
      </w:r>
      <w:proofErr w:type="spellEnd"/>
      <w:r w:rsidRPr="004E17A8">
        <w:rPr>
          <w:rFonts w:ascii="Arial" w:eastAsia="Calibri" w:hAnsi="Arial" w:cs="Arial"/>
          <w:sz w:val="22"/>
          <w:lang w:val="es-ES_tradnl"/>
        </w:rPr>
        <w:t xml:space="preserve"> fuera «[…] menor a ciento veinticinco mil dólares de los Estados Unidos de América (US$125.000), liquidados con la tasa de cambio que para el efecto determina cada dos años el Ministerio de Comercio, Industria y Turismo». Este requisito tampoco se observa </w:t>
      </w:r>
      <w:r w:rsidR="000428C3" w:rsidRPr="004E17A8">
        <w:rPr>
          <w:rFonts w:ascii="Arial" w:eastAsia="Calibri" w:hAnsi="Arial" w:cs="Arial"/>
          <w:sz w:val="22"/>
          <w:lang w:val="es-ES_tradnl"/>
        </w:rPr>
        <w:t xml:space="preserve">expresamente regulado </w:t>
      </w:r>
      <w:r w:rsidRPr="004E17A8">
        <w:rPr>
          <w:rFonts w:ascii="Arial" w:eastAsia="Calibri" w:hAnsi="Arial" w:cs="Arial"/>
          <w:sz w:val="22"/>
          <w:lang w:val="es-ES_tradnl"/>
        </w:rPr>
        <w:t>en el artículo 34 de la Ley 2069 de 2020</w:t>
      </w:r>
      <w:r w:rsidR="000428C3" w:rsidRPr="004E17A8">
        <w:rPr>
          <w:rFonts w:ascii="Arial" w:eastAsia="Calibri" w:hAnsi="Arial" w:cs="Arial"/>
          <w:sz w:val="22"/>
          <w:lang w:val="es-ES_tradnl"/>
        </w:rPr>
        <w:t>, porque la definición del monto corresponde al decreto que lo reglamente</w:t>
      </w:r>
      <w:r w:rsidRPr="004E17A8">
        <w:rPr>
          <w:rFonts w:ascii="Arial" w:eastAsia="Calibri" w:hAnsi="Arial" w:cs="Arial"/>
          <w:sz w:val="22"/>
          <w:lang w:val="es-ES_tradnl"/>
        </w:rPr>
        <w:t>.</w:t>
      </w:r>
    </w:p>
    <w:p w14:paraId="0FDE79FF" w14:textId="77777777" w:rsidR="00DF1AB7" w:rsidRPr="004E17A8" w:rsidRDefault="00DF1AB7" w:rsidP="00DF1AB7">
      <w:pPr>
        <w:spacing w:before="120" w:line="276" w:lineRule="auto"/>
        <w:ind w:firstLine="709"/>
        <w:jc w:val="both"/>
        <w:rPr>
          <w:rFonts w:ascii="Arial" w:eastAsia="Calibri" w:hAnsi="Arial" w:cs="Arial"/>
          <w:sz w:val="22"/>
          <w:lang w:val="es-ES_tradnl"/>
        </w:rPr>
      </w:pPr>
      <w:r w:rsidRPr="004E17A8">
        <w:rPr>
          <w:rFonts w:ascii="Arial" w:eastAsia="Calibri" w:hAnsi="Arial" w:cs="Arial"/>
          <w:sz w:val="22"/>
          <w:lang w:val="es-ES_tradnl"/>
        </w:rPr>
        <w:t xml:space="preserve">A lo anterior debe agregarse que mientras la nueva disposición legal indica que la convocatoria limitada a </w:t>
      </w:r>
      <w:proofErr w:type="spellStart"/>
      <w:r w:rsidRPr="004E17A8">
        <w:rPr>
          <w:rFonts w:ascii="Arial" w:eastAsia="Calibri" w:hAnsi="Arial" w:cs="Arial"/>
          <w:sz w:val="22"/>
          <w:lang w:val="es-ES_tradnl"/>
        </w:rPr>
        <w:t>mipymes</w:t>
      </w:r>
      <w:proofErr w:type="spellEnd"/>
      <w:r w:rsidRPr="004E17A8">
        <w:rPr>
          <w:rFonts w:ascii="Arial" w:eastAsia="Calibri" w:hAnsi="Arial" w:cs="Arial"/>
          <w:sz w:val="22"/>
          <w:lang w:val="es-ES_tradnl"/>
        </w:rPr>
        <w:t xml:space="preserve"> debe hacerse cuando por lo menos </w:t>
      </w:r>
      <w:r w:rsidRPr="004E17A8">
        <w:rPr>
          <w:rFonts w:ascii="Arial" w:eastAsia="Calibri" w:hAnsi="Arial" w:cs="Arial"/>
          <w:i/>
          <w:iCs/>
          <w:sz w:val="22"/>
          <w:lang w:val="es-ES_tradnl"/>
        </w:rPr>
        <w:t>dos (2)</w:t>
      </w:r>
      <w:r w:rsidRPr="004E17A8">
        <w:rPr>
          <w:rFonts w:ascii="Arial" w:eastAsia="Calibri" w:hAnsi="Arial" w:cs="Arial"/>
          <w:sz w:val="22"/>
          <w:lang w:val="es-ES_tradnl"/>
        </w:rPr>
        <w:t xml:space="preserve"> de estas hayan manifestado su interés antes de la resolución de apertura del proceso respectivo, el artículo 2.2.1.2.4.2.2. del Decreto 1082 de 2015 condicionaba la limitación de la convocatoria a que la entidad estatal hubiera recibido solicitudes de por lo menos </w:t>
      </w:r>
      <w:r w:rsidRPr="004E17A8">
        <w:rPr>
          <w:rFonts w:ascii="Arial" w:eastAsia="Calibri" w:hAnsi="Arial" w:cs="Arial"/>
          <w:i/>
          <w:iCs/>
          <w:sz w:val="22"/>
          <w:lang w:val="es-ES_tradnl"/>
        </w:rPr>
        <w:t>tres (3)</w:t>
      </w:r>
      <w:r w:rsidRPr="004E17A8">
        <w:rPr>
          <w:rFonts w:ascii="Arial" w:eastAsia="Calibri" w:hAnsi="Arial" w:cs="Arial"/>
          <w:sz w:val="22"/>
          <w:lang w:val="es-ES_tradnl"/>
        </w:rPr>
        <w:t xml:space="preserve"> </w:t>
      </w:r>
      <w:proofErr w:type="spellStart"/>
      <w:r w:rsidRPr="004E17A8">
        <w:rPr>
          <w:rFonts w:ascii="Arial" w:eastAsia="Calibri" w:hAnsi="Arial" w:cs="Arial"/>
          <w:sz w:val="22"/>
          <w:lang w:val="es-ES_tradnl"/>
        </w:rPr>
        <w:t>mipymes</w:t>
      </w:r>
      <w:proofErr w:type="spellEnd"/>
      <w:r w:rsidRPr="004E17A8">
        <w:rPr>
          <w:rFonts w:ascii="Arial" w:eastAsia="Calibri" w:hAnsi="Arial" w:cs="Arial"/>
          <w:sz w:val="22"/>
          <w:lang w:val="es-ES_tradnl"/>
        </w:rPr>
        <w:t>, a más tardar un día hábil antes de la apertura del proceso de selección.</w:t>
      </w:r>
    </w:p>
    <w:p w14:paraId="64FAF72A" w14:textId="6BB135D4" w:rsidR="00DF1AB7" w:rsidRPr="004E17A8" w:rsidRDefault="00DF1AB7" w:rsidP="00DF1AB7">
      <w:pPr>
        <w:spacing w:before="120" w:line="276" w:lineRule="auto"/>
        <w:ind w:firstLine="709"/>
        <w:jc w:val="both"/>
        <w:rPr>
          <w:rFonts w:ascii="Arial" w:eastAsia="Calibri" w:hAnsi="Arial" w:cs="Arial"/>
          <w:sz w:val="22"/>
          <w:lang w:val="es-ES_tradnl"/>
        </w:rPr>
      </w:pPr>
      <w:r w:rsidRPr="004E17A8">
        <w:rPr>
          <w:rFonts w:ascii="Arial" w:eastAsia="Calibri" w:hAnsi="Arial" w:cs="Arial"/>
          <w:sz w:val="22"/>
          <w:lang w:val="es-ES_tradnl"/>
        </w:rPr>
        <w:t xml:space="preserve">Las diferencias evidenciadas son suficientes para mostrar que, además de la pérdida de fuerza ejecutoria del artículo 2.2.1.2.4.2.2. del Decreto 1082 de 2015, por la desaparición de su fundamento de derecho, se advierte una manifiesta oposición entre dicho enunciado normativo y el nuevo contenido del artículo 12 de la Ley 1150 de 2007, modificado por el artículo 34 de la Ley 2069 de 2020. Ante esta contradicción, se debe aplicar la consecuencia jurídica prevista en el artículo 84 de la Ley 2069 de 2020, según la cual </w:t>
      </w:r>
      <w:proofErr w:type="spellStart"/>
      <w:r w:rsidRPr="004E17A8">
        <w:rPr>
          <w:rFonts w:ascii="Arial" w:eastAsia="Calibri" w:hAnsi="Arial" w:cs="Arial"/>
          <w:sz w:val="22"/>
          <w:lang w:val="es-ES_tradnl"/>
        </w:rPr>
        <w:t>esta</w:t>
      </w:r>
      <w:proofErr w:type="spellEnd"/>
      <w:r w:rsidRPr="004E17A8">
        <w:rPr>
          <w:rFonts w:ascii="Arial" w:eastAsia="Calibri" w:hAnsi="Arial" w:cs="Arial"/>
          <w:sz w:val="22"/>
          <w:lang w:val="es-ES_tradnl"/>
        </w:rPr>
        <w:t xml:space="preserve"> «deroga […] todas las disposiciones que le sean contrarias». </w:t>
      </w:r>
      <w:r w:rsidR="00407072" w:rsidRPr="004E17A8">
        <w:rPr>
          <w:rFonts w:ascii="Arial" w:eastAsia="Calibri" w:hAnsi="Arial" w:cs="Arial"/>
          <w:sz w:val="22"/>
          <w:lang w:val="es-ES_tradnl"/>
        </w:rPr>
        <w:t>Así</w:t>
      </w:r>
      <w:r w:rsidRPr="004E17A8">
        <w:rPr>
          <w:rFonts w:ascii="Arial" w:eastAsia="Calibri" w:hAnsi="Arial" w:cs="Arial"/>
          <w:sz w:val="22"/>
          <w:lang w:val="es-ES_tradnl"/>
        </w:rPr>
        <w:t xml:space="preserve">, puede afirmarse </w:t>
      </w:r>
      <w:r w:rsidRPr="004E17A8">
        <w:rPr>
          <w:rFonts w:ascii="Arial" w:eastAsia="Calibri" w:hAnsi="Arial" w:cs="Arial"/>
          <w:sz w:val="22"/>
          <w:lang w:val="es-ES_tradnl"/>
        </w:rPr>
        <w:lastRenderedPageBreak/>
        <w:t xml:space="preserve">que, además del decaimiento del artículo 2.2.1.2.4.2.2. del Decreto 1082 de 2015, </w:t>
      </w:r>
      <w:r w:rsidR="00FF1F8D" w:rsidRPr="004E17A8">
        <w:rPr>
          <w:rFonts w:ascii="Arial" w:eastAsia="Calibri" w:hAnsi="Arial" w:cs="Arial"/>
          <w:sz w:val="22"/>
          <w:lang w:val="es-ES_tradnl"/>
        </w:rPr>
        <w:t xml:space="preserve">esta disposición </w:t>
      </w:r>
      <w:r w:rsidRPr="004E17A8">
        <w:rPr>
          <w:rFonts w:ascii="Arial" w:eastAsia="Calibri" w:hAnsi="Arial" w:cs="Arial"/>
          <w:sz w:val="22"/>
          <w:lang w:val="es-ES_tradnl"/>
        </w:rPr>
        <w:t>debe entenderse derogad</w:t>
      </w:r>
      <w:r w:rsidR="00FF1F8D" w:rsidRPr="004E17A8">
        <w:rPr>
          <w:rFonts w:ascii="Arial" w:eastAsia="Calibri" w:hAnsi="Arial" w:cs="Arial"/>
          <w:sz w:val="22"/>
          <w:lang w:val="es-ES_tradnl"/>
        </w:rPr>
        <w:t>a</w:t>
      </w:r>
      <w:r w:rsidRPr="004E17A8">
        <w:rPr>
          <w:rFonts w:ascii="Arial" w:eastAsia="Calibri" w:hAnsi="Arial" w:cs="Arial"/>
          <w:sz w:val="22"/>
          <w:lang w:val="es-ES_tradnl"/>
        </w:rPr>
        <w:t>.</w:t>
      </w:r>
    </w:p>
    <w:p w14:paraId="0AE8E3B2" w14:textId="034D24B4" w:rsidR="00DF1AB7" w:rsidRPr="004E17A8" w:rsidRDefault="00DF1AB7" w:rsidP="00DF1AB7">
      <w:pPr>
        <w:spacing w:before="120" w:line="276" w:lineRule="auto"/>
        <w:ind w:firstLine="709"/>
        <w:jc w:val="both"/>
        <w:rPr>
          <w:rFonts w:ascii="Arial" w:eastAsia="Calibri" w:hAnsi="Arial" w:cs="Arial"/>
          <w:sz w:val="22"/>
          <w:lang w:val="es-ES_tradnl"/>
        </w:rPr>
      </w:pPr>
      <w:r w:rsidRPr="004E17A8">
        <w:rPr>
          <w:rFonts w:ascii="Arial" w:eastAsia="Calibri" w:hAnsi="Arial" w:cs="Arial"/>
          <w:sz w:val="22"/>
          <w:lang w:val="es-ES_tradnl"/>
        </w:rPr>
        <w:t xml:space="preserve">Por último, </w:t>
      </w:r>
      <w:r w:rsidR="00241857">
        <w:rPr>
          <w:rFonts w:ascii="Arial" w:eastAsia="Calibri" w:hAnsi="Arial" w:cs="Arial"/>
          <w:sz w:val="22"/>
          <w:lang w:val="es-ES_tradnl"/>
        </w:rPr>
        <w:t xml:space="preserve">carece de sentido argumentar </w:t>
      </w:r>
      <w:r w:rsidRPr="004E17A8">
        <w:rPr>
          <w:rFonts w:ascii="Arial" w:eastAsia="Calibri" w:hAnsi="Arial" w:cs="Arial"/>
          <w:sz w:val="22"/>
          <w:lang w:val="es-ES_tradnl"/>
        </w:rPr>
        <w:t xml:space="preserve">que los apartados normativos del artículo 2.2.1.2.4.2.2. del Decreto 1082 de 2015 que, en su texto, no sean contrarios a la nueva regulación contenida en el artículo 34 de la Ley 2069 de 2020 pueden seguirse aplicando. </w:t>
      </w:r>
      <w:r w:rsidR="00241857">
        <w:rPr>
          <w:rFonts w:ascii="Arial" w:eastAsia="Calibri" w:hAnsi="Arial" w:cs="Arial"/>
          <w:sz w:val="22"/>
          <w:lang w:val="es-ES_tradnl"/>
        </w:rPr>
        <w:t>La Agencia no comparte esta idea</w:t>
      </w:r>
      <w:r w:rsidRPr="004E17A8">
        <w:rPr>
          <w:rFonts w:ascii="Arial" w:eastAsia="Calibri" w:hAnsi="Arial" w:cs="Arial"/>
          <w:sz w:val="22"/>
          <w:lang w:val="es-ES_tradnl"/>
        </w:rPr>
        <w:t xml:space="preserve">, porque el artículo 34, reiteradamente, señala que el gobierno nacional debe definir las condiciones para la aplicación de las reglas recientemente expedidas, que permitan llevar a cabo las convocatorias limitadas a </w:t>
      </w:r>
      <w:proofErr w:type="spellStart"/>
      <w:r w:rsidRPr="004E17A8">
        <w:rPr>
          <w:rFonts w:ascii="Arial" w:eastAsia="Calibri" w:hAnsi="Arial" w:cs="Arial"/>
          <w:sz w:val="22"/>
          <w:lang w:val="es-ES_tradnl"/>
        </w:rPr>
        <w:t>mipymes</w:t>
      </w:r>
      <w:proofErr w:type="spellEnd"/>
      <w:r w:rsidRPr="004E17A8">
        <w:rPr>
          <w:rFonts w:ascii="Arial" w:eastAsia="Calibri" w:hAnsi="Arial" w:cs="Arial"/>
          <w:sz w:val="22"/>
          <w:lang w:val="es-ES_tradnl"/>
        </w:rPr>
        <w:t xml:space="preserve">, lo cual </w:t>
      </w:r>
      <w:r w:rsidR="00F2205B">
        <w:rPr>
          <w:rFonts w:ascii="Arial" w:eastAsia="Calibri" w:hAnsi="Arial" w:cs="Arial"/>
          <w:sz w:val="22"/>
          <w:lang w:val="es-ES_tradnl"/>
        </w:rPr>
        <w:t>evidencia</w:t>
      </w:r>
      <w:r w:rsidRPr="004E17A8">
        <w:rPr>
          <w:rFonts w:ascii="Arial" w:eastAsia="Calibri" w:hAnsi="Arial" w:cs="Arial"/>
          <w:sz w:val="22"/>
          <w:lang w:val="es-ES_tradnl"/>
        </w:rPr>
        <w:t xml:space="preserve"> la voluntad legislativa de establecer la necesidad de una nueva reglamentación de dicha materia. En tal sentido, el gobierno nacional podría, mediante el decreto reglamentario que expida, definir nuevas condiciones y montos para las convocatorias limitadas a </w:t>
      </w:r>
      <w:proofErr w:type="spellStart"/>
      <w:r w:rsidRPr="004E17A8">
        <w:rPr>
          <w:rFonts w:ascii="Arial" w:eastAsia="Calibri" w:hAnsi="Arial" w:cs="Arial"/>
          <w:sz w:val="22"/>
          <w:lang w:val="es-ES_tradnl"/>
        </w:rPr>
        <w:t>mipymes</w:t>
      </w:r>
      <w:proofErr w:type="spellEnd"/>
      <w:r w:rsidRPr="004E17A8">
        <w:rPr>
          <w:rFonts w:ascii="Arial" w:eastAsia="Calibri" w:hAnsi="Arial" w:cs="Arial"/>
          <w:sz w:val="22"/>
          <w:lang w:val="es-ES_tradnl"/>
        </w:rPr>
        <w:t xml:space="preserve">. Por ende, mientras ello no suceda, las entidades estatales, los patrimonios autónomos constituidos por estas y los particulares que ejecuten recursos públicos, no pueden adoptar convocatorias limitadas a </w:t>
      </w:r>
      <w:proofErr w:type="spellStart"/>
      <w:r w:rsidRPr="004E17A8">
        <w:rPr>
          <w:rFonts w:ascii="Arial" w:eastAsia="Calibri" w:hAnsi="Arial" w:cs="Arial"/>
          <w:sz w:val="22"/>
          <w:lang w:val="es-ES_tradnl"/>
        </w:rPr>
        <w:t>mipymes</w:t>
      </w:r>
      <w:proofErr w:type="spellEnd"/>
      <w:r w:rsidRPr="004E17A8">
        <w:rPr>
          <w:rFonts w:ascii="Arial" w:eastAsia="Calibri" w:hAnsi="Arial" w:cs="Arial"/>
          <w:sz w:val="22"/>
          <w:lang w:val="es-ES_tradnl"/>
        </w:rPr>
        <w:t xml:space="preserve">, pues al tenor del artículo 34 de la Ley 2069 de 2020, la eficacia de esta norma quedó condicionada a la expedición del decreto reglamentario que fije las condiciones de su operatividad.    </w:t>
      </w:r>
    </w:p>
    <w:p w14:paraId="375E2969" w14:textId="2373EA8C" w:rsidR="002A7DF5" w:rsidRPr="004E17A8" w:rsidRDefault="00E356C9" w:rsidP="00DF1AB7">
      <w:pPr>
        <w:tabs>
          <w:tab w:val="left" w:pos="709"/>
        </w:tabs>
        <w:spacing w:line="276" w:lineRule="auto"/>
        <w:jc w:val="both"/>
        <w:rPr>
          <w:rFonts w:ascii="Arial" w:eastAsia="Calibri" w:hAnsi="Arial" w:cs="Arial"/>
          <w:bCs/>
          <w:sz w:val="22"/>
        </w:rPr>
      </w:pPr>
      <w:r w:rsidRPr="004E17A8">
        <w:rPr>
          <w:rFonts w:ascii="Arial" w:eastAsia="Calibri" w:hAnsi="Arial" w:cs="Arial"/>
          <w:bCs/>
          <w:sz w:val="22"/>
        </w:rPr>
        <w:t xml:space="preserve"> </w:t>
      </w:r>
    </w:p>
    <w:p w14:paraId="74FC8B99" w14:textId="78F558EE" w:rsidR="008F2837" w:rsidRPr="004E17A8" w:rsidRDefault="008F2837" w:rsidP="008F2837">
      <w:pPr>
        <w:tabs>
          <w:tab w:val="left" w:pos="709"/>
        </w:tabs>
        <w:spacing w:line="276" w:lineRule="auto"/>
        <w:jc w:val="both"/>
        <w:rPr>
          <w:rFonts w:ascii="Arial" w:eastAsia="Calibri" w:hAnsi="Arial" w:cs="Arial"/>
          <w:b/>
          <w:i/>
          <w:iCs/>
          <w:sz w:val="22"/>
        </w:rPr>
      </w:pPr>
      <w:r w:rsidRPr="004E17A8">
        <w:rPr>
          <w:rFonts w:ascii="Arial" w:eastAsia="Calibri" w:hAnsi="Arial" w:cs="Arial"/>
          <w:b/>
          <w:i/>
          <w:iCs/>
          <w:sz w:val="22"/>
        </w:rPr>
        <w:t>2.1.6. Factores de desempate</w:t>
      </w:r>
    </w:p>
    <w:p w14:paraId="7761A894" w14:textId="77777777" w:rsidR="008F2837" w:rsidRPr="004E17A8" w:rsidRDefault="008F2837" w:rsidP="008F2837">
      <w:pPr>
        <w:tabs>
          <w:tab w:val="left" w:pos="709"/>
        </w:tabs>
        <w:spacing w:line="276" w:lineRule="auto"/>
        <w:jc w:val="both"/>
        <w:rPr>
          <w:rFonts w:ascii="Arial" w:eastAsia="Calibri" w:hAnsi="Arial" w:cs="Arial"/>
          <w:b/>
          <w:sz w:val="22"/>
        </w:rPr>
      </w:pPr>
    </w:p>
    <w:p w14:paraId="31FB4CDF" w14:textId="558DD011" w:rsidR="007A3166" w:rsidRPr="004E17A8" w:rsidRDefault="008F2837" w:rsidP="00247506">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E</w:t>
      </w:r>
      <w:r w:rsidR="00EC1912" w:rsidRPr="004E17A8">
        <w:rPr>
          <w:rFonts w:ascii="Arial" w:eastAsia="Calibri" w:hAnsi="Arial" w:cs="Arial"/>
          <w:bCs/>
          <w:sz w:val="22"/>
        </w:rPr>
        <w:t>l artículo 35 de la Ley 2069 de 2020 regula los factores de desempate</w:t>
      </w:r>
      <w:r w:rsidR="00EC1912" w:rsidRPr="004E17A8">
        <w:rPr>
          <w:rStyle w:val="Refdenotaalpie"/>
          <w:rFonts w:ascii="Arial" w:eastAsia="Calibri" w:hAnsi="Arial" w:cs="Arial"/>
          <w:bCs/>
          <w:sz w:val="22"/>
        </w:rPr>
        <w:footnoteReference w:id="10"/>
      </w:r>
      <w:r w:rsidR="00EC1912" w:rsidRPr="004E17A8">
        <w:rPr>
          <w:rFonts w:ascii="Arial" w:eastAsia="Calibri" w:hAnsi="Arial" w:cs="Arial"/>
          <w:bCs/>
          <w:sz w:val="22"/>
        </w:rPr>
        <w:t xml:space="preserve">. </w:t>
      </w:r>
      <w:r w:rsidR="00C0447F" w:rsidRPr="004E17A8">
        <w:rPr>
          <w:rFonts w:ascii="Arial" w:eastAsia="Calibri" w:hAnsi="Arial" w:cs="Arial"/>
          <w:bCs/>
          <w:sz w:val="22"/>
        </w:rPr>
        <w:t xml:space="preserve">Conforme a la norma citada, estos aplican en los procedimientos de selección de las entidades sometidas </w:t>
      </w:r>
      <w:r w:rsidR="00C0447F" w:rsidRPr="004E17A8">
        <w:rPr>
          <w:rFonts w:ascii="Arial" w:eastAsia="Calibri" w:hAnsi="Arial" w:cs="Arial"/>
          <w:bCs/>
          <w:sz w:val="22"/>
        </w:rPr>
        <w:lastRenderedPageBreak/>
        <w:t>al Estatuto General, las entidades exceptuadas de la Ley 80 de 1993 y los patrimonios autónomos</w:t>
      </w:r>
      <w:r w:rsidR="00943FB9" w:rsidRPr="004E17A8">
        <w:rPr>
          <w:rFonts w:ascii="Arial" w:eastAsia="Calibri" w:hAnsi="Arial" w:cs="Arial"/>
          <w:bCs/>
          <w:sz w:val="22"/>
        </w:rPr>
        <w:t xml:space="preserve"> constituidos por entidades estatales</w:t>
      </w:r>
      <w:r w:rsidR="00C0447F" w:rsidRPr="004E17A8">
        <w:rPr>
          <w:rFonts w:ascii="Arial" w:eastAsia="Calibri" w:hAnsi="Arial" w:cs="Arial"/>
          <w:bCs/>
          <w:sz w:val="22"/>
        </w:rPr>
        <w:t>. Incluso, al consagra</w:t>
      </w:r>
      <w:r w:rsidR="007A3166" w:rsidRPr="004E17A8">
        <w:rPr>
          <w:rFonts w:ascii="Arial" w:eastAsia="Calibri" w:hAnsi="Arial" w:cs="Arial"/>
          <w:bCs/>
          <w:sz w:val="22"/>
        </w:rPr>
        <w:t>rse</w:t>
      </w:r>
      <w:r w:rsidR="00C0447F" w:rsidRPr="004E17A8">
        <w:rPr>
          <w:rFonts w:ascii="Arial" w:eastAsia="Calibri" w:hAnsi="Arial" w:cs="Arial"/>
          <w:bCs/>
          <w:sz w:val="22"/>
        </w:rPr>
        <w:t xml:space="preserve"> en la ley, generan la derogación y decaimiento de los previstos en el artículo </w:t>
      </w:r>
      <w:r w:rsidR="00653401" w:rsidRPr="004E17A8">
        <w:rPr>
          <w:rFonts w:ascii="Arial" w:eastAsia="Calibri" w:hAnsi="Arial" w:cs="Arial"/>
          <w:bCs/>
          <w:sz w:val="22"/>
        </w:rPr>
        <w:t>2.2.1.1.2.2.9 del Decreto 1082 de 2015</w:t>
      </w:r>
      <w:r w:rsidR="00F21F84" w:rsidRPr="004E17A8">
        <w:rPr>
          <w:rFonts w:ascii="Arial" w:eastAsia="Calibri" w:hAnsi="Arial" w:cs="Arial"/>
          <w:bCs/>
          <w:sz w:val="22"/>
        </w:rPr>
        <w:t>, pues se trata de una norma superior y posterior que genera la pérdida de los fundamentos de derecho en los previstos en el Decreto Único Reglamentario del Sector Administrativo de Planeación Nacional</w:t>
      </w:r>
      <w:r w:rsidR="00653401" w:rsidRPr="004E17A8">
        <w:rPr>
          <w:rFonts w:ascii="Arial" w:eastAsia="Calibri" w:hAnsi="Arial" w:cs="Arial"/>
          <w:bCs/>
          <w:sz w:val="22"/>
        </w:rPr>
        <w:t xml:space="preserve">. </w:t>
      </w:r>
      <w:r w:rsidR="00C0447F" w:rsidRPr="004E17A8">
        <w:rPr>
          <w:rFonts w:ascii="Arial" w:eastAsia="Calibri" w:hAnsi="Arial" w:cs="Arial"/>
          <w:bCs/>
          <w:sz w:val="22"/>
        </w:rPr>
        <w:t xml:space="preserve"> </w:t>
      </w:r>
    </w:p>
    <w:p w14:paraId="20F97169" w14:textId="71E4EFF5" w:rsidR="007A3166" w:rsidRPr="004E17A8" w:rsidRDefault="00577D24" w:rsidP="007A3166">
      <w:pPr>
        <w:spacing w:before="120" w:line="276" w:lineRule="auto"/>
        <w:ind w:firstLine="708"/>
        <w:jc w:val="both"/>
        <w:rPr>
          <w:rFonts w:ascii="Arial" w:eastAsia="Calibri" w:hAnsi="Arial" w:cs="Arial"/>
          <w:sz w:val="22"/>
          <w:lang w:val="es-ES_tradnl"/>
        </w:rPr>
      </w:pPr>
      <w:r w:rsidRPr="004E17A8">
        <w:rPr>
          <w:rFonts w:ascii="Arial" w:eastAsia="Calibri" w:hAnsi="Arial" w:cs="Arial"/>
          <w:bCs/>
          <w:sz w:val="22"/>
        </w:rPr>
        <w:t>Aunque</w:t>
      </w:r>
      <w:r w:rsidR="007A3166" w:rsidRPr="004E17A8">
        <w:rPr>
          <w:rFonts w:ascii="Arial" w:eastAsia="Calibri" w:hAnsi="Arial" w:cs="Arial"/>
          <w:bCs/>
          <w:sz w:val="22"/>
        </w:rPr>
        <w:t xml:space="preserve"> algunas normas</w:t>
      </w:r>
      <w:r w:rsidR="00EC67CA" w:rsidRPr="004E17A8">
        <w:rPr>
          <w:rFonts w:ascii="Arial" w:eastAsia="Calibri" w:hAnsi="Arial" w:cs="Arial"/>
          <w:bCs/>
          <w:sz w:val="22"/>
        </w:rPr>
        <w:t xml:space="preserve"> de la Ley de Emprendimiento</w:t>
      </w:r>
      <w:r w:rsidR="007A3166" w:rsidRPr="004E17A8">
        <w:rPr>
          <w:rFonts w:ascii="Arial" w:eastAsia="Calibri" w:hAnsi="Arial" w:cs="Arial"/>
          <w:bCs/>
          <w:sz w:val="22"/>
        </w:rPr>
        <w:t xml:space="preserve"> </w:t>
      </w:r>
      <w:r w:rsidR="00EC67CA" w:rsidRPr="004E17A8">
        <w:rPr>
          <w:rFonts w:ascii="Arial" w:eastAsia="Calibri" w:hAnsi="Arial" w:cs="Arial"/>
          <w:bCs/>
          <w:sz w:val="22"/>
        </w:rPr>
        <w:t>aluden a</w:t>
      </w:r>
      <w:r w:rsidR="007A3166" w:rsidRPr="004E17A8">
        <w:rPr>
          <w:rFonts w:ascii="Arial" w:eastAsia="Calibri" w:hAnsi="Arial" w:cs="Arial"/>
          <w:bCs/>
          <w:sz w:val="22"/>
        </w:rPr>
        <w:t xml:space="preserve"> la reglamentación posterior, </w:t>
      </w:r>
      <w:r w:rsidR="00245C98" w:rsidRPr="004E17A8">
        <w:rPr>
          <w:rFonts w:ascii="Arial" w:eastAsia="Calibri" w:hAnsi="Arial" w:cs="Arial"/>
          <w:sz w:val="22"/>
          <w:lang w:val="es-ES_tradnl"/>
        </w:rPr>
        <w:t>esta no condiciona la vigencia</w:t>
      </w:r>
      <w:r w:rsidR="007A3166" w:rsidRPr="004E17A8">
        <w:rPr>
          <w:rFonts w:ascii="Arial" w:eastAsia="Calibri" w:hAnsi="Arial" w:cs="Arial"/>
          <w:sz w:val="22"/>
          <w:lang w:val="es-ES_tradnl"/>
        </w:rPr>
        <w:t xml:space="preserve"> </w:t>
      </w:r>
      <w:r w:rsidR="00245C98" w:rsidRPr="004E17A8">
        <w:rPr>
          <w:rFonts w:ascii="Arial" w:eastAsia="Calibri" w:hAnsi="Arial" w:cs="Arial"/>
          <w:sz w:val="22"/>
          <w:lang w:val="es-ES_tradnl"/>
        </w:rPr>
        <w:t>d</w:t>
      </w:r>
      <w:r w:rsidR="007A3166" w:rsidRPr="004E17A8">
        <w:rPr>
          <w:rFonts w:ascii="Arial" w:eastAsia="Calibri" w:hAnsi="Arial" w:cs="Arial"/>
          <w:sz w:val="22"/>
          <w:lang w:val="es-ES_tradnl"/>
        </w:rPr>
        <w:t xml:space="preserve">el artículo 35. En efecto, </w:t>
      </w:r>
      <w:r w:rsidR="007A3166" w:rsidRPr="004E17A8">
        <w:rPr>
          <w:rFonts w:ascii="Arial" w:hAnsi="Arial" w:cs="Arial"/>
          <w:sz w:val="22"/>
          <w:lang w:val="es-ES_tradnl"/>
        </w:rPr>
        <w:t xml:space="preserve">si bien los factores de </w:t>
      </w:r>
      <w:r w:rsidR="007A3166" w:rsidRPr="004E17A8">
        <w:rPr>
          <w:rFonts w:ascii="Arial" w:hAnsi="Arial" w:cs="Arial"/>
          <w:sz w:val="22"/>
          <w:lang w:val="es-ES_tradnl"/>
        </w:rPr>
        <w:lastRenderedPageBreak/>
        <w:t>desempate deben aplicarse «</w:t>
      </w:r>
      <w:r w:rsidR="007A3166" w:rsidRPr="004E17A8">
        <w:rPr>
          <w:rFonts w:ascii="Arial" w:hAnsi="Arial" w:cs="Arial"/>
          <w:lang w:val="es-ES_tradnl"/>
        </w:rPr>
        <w:t xml:space="preserve">[…] </w:t>
      </w:r>
      <w:r w:rsidR="007A3166" w:rsidRPr="004E17A8">
        <w:rPr>
          <w:rFonts w:ascii="Arial" w:hAnsi="Arial" w:cs="Arial"/>
          <w:sz w:val="22"/>
          <w:lang w:val="es-ES_tradnl"/>
        </w:rPr>
        <w:t xml:space="preserve">de forma sucesiva y excluyente para seleccionar al oferente favorecido, respetando en todo caso los compromisos internacionales vigentes» –según lo dispone el inciso primero–, el parágrafo tercero del mencionado artículo establece que «El Gobierno Nacional podrá reglamentar la aplicación de factores de desempate en casos en que concurran dos o más de los factores aquí previstos». En otras palabras, dicho parágrafo le asigna potestad reglamentaria al gobierno nacional para definir factores que permitan desempatar las ofertas en aquellos casos en que varios oferentes reúnan al tiempo dos o más de los factores previstos en el artículo 35. </w:t>
      </w:r>
      <w:r w:rsidR="007A3166" w:rsidRPr="004E17A8">
        <w:rPr>
          <w:rFonts w:ascii="Arial" w:eastAsia="Calibri" w:hAnsi="Arial" w:cs="Arial"/>
          <w:sz w:val="22"/>
          <w:lang w:val="es-ES_tradnl"/>
        </w:rPr>
        <w:t xml:space="preserve"> </w:t>
      </w:r>
    </w:p>
    <w:p w14:paraId="1C808936" w14:textId="4EFC7DBC" w:rsidR="007A3166" w:rsidRPr="004E17A8" w:rsidRDefault="007A3166" w:rsidP="007A3166">
      <w:pPr>
        <w:spacing w:before="120" w:line="276" w:lineRule="auto"/>
        <w:ind w:firstLine="709"/>
        <w:jc w:val="both"/>
        <w:rPr>
          <w:rFonts w:ascii="Arial" w:eastAsia="Calibri" w:hAnsi="Arial" w:cs="Arial"/>
          <w:sz w:val="22"/>
          <w:lang w:val="es-ES_tradnl"/>
        </w:rPr>
      </w:pPr>
      <w:r w:rsidRPr="004E17A8">
        <w:rPr>
          <w:rFonts w:ascii="Arial" w:eastAsia="Calibri" w:hAnsi="Arial" w:cs="Arial"/>
          <w:sz w:val="22"/>
          <w:lang w:val="es-ES_tradnl"/>
        </w:rPr>
        <w:t>Como se observa se trata de una competencia que, en concordancia con el artículo 189.11 superior, el gobierno nacional puede ejercer discrecionalmente para la ejecución de las leyes. Por tanto, sin perjuicio de que el Gobierno Nacional ejerza la potestad reglamentaria para regular los casos en que concurren dos o más de los factores de desempate, no es necesaria la existencia del reglamento como presupuesto necesario para aplicar el artículo 35 de la Ley 2069 de 2020. De este modo, se concluye que los factores de desempate del artículo citado son exigibles desde la fecha de su promulgación, es decir, deben tenerse en cuenta en los procesos de selección que se inicien después del 31 de diciembre de 2020.</w:t>
      </w:r>
    </w:p>
    <w:p w14:paraId="47707A13" w14:textId="77777777" w:rsidR="008F2837" w:rsidRPr="004E17A8" w:rsidRDefault="008F2837" w:rsidP="008F2837">
      <w:pPr>
        <w:spacing w:line="276" w:lineRule="auto"/>
        <w:ind w:firstLine="709"/>
        <w:jc w:val="both"/>
        <w:rPr>
          <w:rFonts w:ascii="Arial" w:eastAsia="Calibri" w:hAnsi="Arial" w:cs="Arial"/>
          <w:sz w:val="22"/>
          <w:lang w:val="es-ES_tradnl"/>
        </w:rPr>
      </w:pPr>
    </w:p>
    <w:p w14:paraId="442ED2BB" w14:textId="5F9FAE14" w:rsidR="008F2837" w:rsidRPr="004E17A8" w:rsidRDefault="008F2837" w:rsidP="008F2837">
      <w:pPr>
        <w:spacing w:line="276" w:lineRule="auto"/>
        <w:jc w:val="both"/>
        <w:rPr>
          <w:rFonts w:ascii="Arial" w:eastAsia="Calibri" w:hAnsi="Arial" w:cs="Arial"/>
          <w:b/>
          <w:bCs/>
          <w:i/>
          <w:iCs/>
          <w:sz w:val="22"/>
          <w:lang w:val="es-ES_tradnl"/>
        </w:rPr>
      </w:pPr>
      <w:r w:rsidRPr="004E17A8">
        <w:rPr>
          <w:rFonts w:ascii="Arial" w:eastAsia="Calibri" w:hAnsi="Arial" w:cs="Arial"/>
          <w:b/>
          <w:bCs/>
          <w:i/>
          <w:iCs/>
          <w:sz w:val="22"/>
          <w:lang w:val="es-ES_tradnl"/>
        </w:rPr>
        <w:t>3.1.7. Promoción de las compras públicas de tecnología e innovación</w:t>
      </w:r>
    </w:p>
    <w:p w14:paraId="0BE6273C" w14:textId="77777777" w:rsidR="008F2837" w:rsidRPr="004E17A8" w:rsidRDefault="008F2837" w:rsidP="008F2837">
      <w:pPr>
        <w:spacing w:line="276" w:lineRule="auto"/>
        <w:jc w:val="both"/>
        <w:rPr>
          <w:rFonts w:ascii="Arial" w:eastAsia="Calibri" w:hAnsi="Arial" w:cs="Arial"/>
          <w:b/>
          <w:bCs/>
          <w:sz w:val="22"/>
          <w:lang w:val="es-ES_tradnl"/>
        </w:rPr>
      </w:pPr>
    </w:p>
    <w:p w14:paraId="627FEA2E" w14:textId="44725D01" w:rsidR="004774F6" w:rsidRPr="004E17A8" w:rsidRDefault="008F2837" w:rsidP="00943FB9">
      <w:pPr>
        <w:spacing w:line="276" w:lineRule="auto"/>
        <w:jc w:val="both"/>
        <w:rPr>
          <w:rFonts w:ascii="Arial" w:eastAsia="Calibri" w:hAnsi="Arial" w:cs="Arial"/>
          <w:sz w:val="22"/>
          <w:lang w:val="es-ES_tradnl"/>
        </w:rPr>
      </w:pPr>
      <w:r w:rsidRPr="004E17A8">
        <w:rPr>
          <w:rFonts w:ascii="Arial" w:eastAsia="Calibri" w:hAnsi="Arial" w:cs="Arial"/>
          <w:sz w:val="22"/>
          <w:lang w:val="es-ES_tradnl"/>
        </w:rPr>
        <w:t>E</w:t>
      </w:r>
      <w:r w:rsidR="00EC67CA" w:rsidRPr="004E17A8">
        <w:rPr>
          <w:rFonts w:ascii="Arial" w:eastAsia="Calibri" w:hAnsi="Arial" w:cs="Arial"/>
          <w:sz w:val="22"/>
          <w:lang w:val="es-ES_tradnl"/>
        </w:rPr>
        <w:t xml:space="preserve">l </w:t>
      </w:r>
      <w:r w:rsidR="00984BD3" w:rsidRPr="004E17A8">
        <w:rPr>
          <w:rFonts w:ascii="Arial" w:eastAsia="Calibri" w:hAnsi="Arial" w:cs="Arial"/>
          <w:sz w:val="22"/>
          <w:lang w:val="es-ES_tradnl"/>
        </w:rPr>
        <w:t xml:space="preserve">inciso primero del </w:t>
      </w:r>
      <w:r w:rsidR="00EC67CA" w:rsidRPr="004E17A8">
        <w:rPr>
          <w:rFonts w:ascii="Arial" w:eastAsia="Calibri" w:hAnsi="Arial" w:cs="Arial"/>
          <w:sz w:val="22"/>
          <w:lang w:val="es-ES_tradnl"/>
        </w:rPr>
        <w:t xml:space="preserve">artículo 36 de la </w:t>
      </w:r>
      <w:bookmarkStart w:id="16" w:name="_Hlk63848395"/>
      <w:r w:rsidR="00EC67CA" w:rsidRPr="004E17A8">
        <w:rPr>
          <w:rFonts w:ascii="Arial" w:eastAsia="Calibri" w:hAnsi="Arial" w:cs="Arial"/>
          <w:sz w:val="22"/>
          <w:lang w:val="es-ES_tradnl"/>
        </w:rPr>
        <w:t>Ley 2069 de 2020</w:t>
      </w:r>
      <w:bookmarkEnd w:id="16"/>
      <w:r w:rsidR="006A2DDA" w:rsidRPr="004E17A8">
        <w:rPr>
          <w:rFonts w:ascii="Arial" w:eastAsia="Calibri" w:hAnsi="Arial" w:cs="Arial"/>
          <w:sz w:val="22"/>
          <w:lang w:val="es-ES_tradnl"/>
        </w:rPr>
        <w:t xml:space="preserve"> </w:t>
      </w:r>
      <w:r w:rsidR="00477FF1" w:rsidRPr="004E17A8">
        <w:rPr>
          <w:rFonts w:ascii="Arial" w:eastAsia="Calibri" w:hAnsi="Arial" w:cs="Arial"/>
          <w:sz w:val="22"/>
          <w:lang w:val="es-ES_tradnl"/>
        </w:rPr>
        <w:t>dispone que «Las entidades estatales, de acuerdo con los lineamientos que establezca la Agencia Nacional de Contratación Pública ­Colombia Compra Eficiente, procuraran generar inversiones o compras que permitan involucrar nuevas tecnologías, herramientas tecnológicas e innovación en sus funciones o sistemas, que permitan generar mejores servicios a los ciudadanos, fomentar el desarrollo tecnológico del Estado, y promover en las empresas y emprendedores nacionales la necesidad de innovar y usar la tecnología dentro de su negocio. El Gobierno Nacional reglamentará esta materia».</w:t>
      </w:r>
      <w:r w:rsidR="00984BD3" w:rsidRPr="004E17A8">
        <w:rPr>
          <w:rFonts w:ascii="Arial" w:eastAsia="Calibri" w:hAnsi="Arial" w:cs="Arial"/>
          <w:sz w:val="22"/>
          <w:lang w:val="es-ES_tradnl"/>
        </w:rPr>
        <w:t xml:space="preserve"> </w:t>
      </w:r>
      <w:r w:rsidR="00943FB9" w:rsidRPr="004E17A8">
        <w:rPr>
          <w:rFonts w:ascii="Arial" w:eastAsia="Calibri" w:hAnsi="Arial" w:cs="Arial"/>
          <w:sz w:val="22"/>
          <w:lang w:val="es-ES_tradnl"/>
        </w:rPr>
        <w:t>E</w:t>
      </w:r>
      <w:r w:rsidR="00477FF1" w:rsidRPr="004E17A8">
        <w:rPr>
          <w:rFonts w:ascii="Arial" w:eastAsia="Calibri" w:hAnsi="Arial" w:cs="Arial"/>
          <w:sz w:val="22"/>
          <w:lang w:val="es-ES_tradnl"/>
        </w:rPr>
        <w:t xml:space="preserve">n este caso se observa nuevamente que la promoción de compras públicas de tecnología e innovación es </w:t>
      </w:r>
      <w:r w:rsidR="00984BD3" w:rsidRPr="004E17A8">
        <w:rPr>
          <w:rFonts w:ascii="Arial" w:eastAsia="Calibri" w:hAnsi="Arial" w:cs="Arial"/>
          <w:sz w:val="22"/>
          <w:lang w:val="es-ES_tradnl"/>
        </w:rPr>
        <w:t xml:space="preserve">un </w:t>
      </w:r>
      <w:r w:rsidR="00477FF1" w:rsidRPr="004E17A8">
        <w:rPr>
          <w:rFonts w:ascii="Arial" w:eastAsia="Calibri" w:hAnsi="Arial" w:cs="Arial"/>
          <w:sz w:val="22"/>
          <w:lang w:val="es-ES_tradnl"/>
        </w:rPr>
        <w:t xml:space="preserve">deber cuyo cumplimiento se sujeta tanto a la reglamentación de la materia </w:t>
      </w:r>
      <w:r w:rsidR="00984BD3" w:rsidRPr="004E17A8">
        <w:rPr>
          <w:rFonts w:ascii="Arial" w:eastAsia="Calibri" w:hAnsi="Arial" w:cs="Arial"/>
          <w:sz w:val="22"/>
          <w:lang w:val="es-ES_tradnl"/>
        </w:rPr>
        <w:t>como a los lineamientos de esta Agencia</w:t>
      </w:r>
      <w:r w:rsidR="0061104C" w:rsidRPr="004E17A8">
        <w:rPr>
          <w:rFonts w:ascii="Arial" w:eastAsia="Calibri" w:hAnsi="Arial" w:cs="Arial"/>
          <w:sz w:val="22"/>
          <w:lang w:val="es-ES_tradnl"/>
        </w:rPr>
        <w:t xml:space="preserve">, razón por </w:t>
      </w:r>
      <w:r w:rsidR="004774F6" w:rsidRPr="004E17A8">
        <w:rPr>
          <w:rFonts w:ascii="Arial" w:eastAsia="Calibri" w:hAnsi="Arial" w:cs="Arial"/>
          <w:sz w:val="22"/>
          <w:lang w:val="es-ES_tradnl"/>
        </w:rPr>
        <w:t>que</w:t>
      </w:r>
      <w:r w:rsidR="0061104C" w:rsidRPr="004E17A8">
        <w:rPr>
          <w:rFonts w:ascii="Arial" w:eastAsia="Calibri" w:hAnsi="Arial" w:cs="Arial"/>
          <w:sz w:val="22"/>
          <w:lang w:val="es-ES_tradnl"/>
        </w:rPr>
        <w:t xml:space="preserve"> requieren un desarrollo normativo posterior</w:t>
      </w:r>
      <w:r w:rsidR="00984BD3" w:rsidRPr="004E17A8">
        <w:rPr>
          <w:rFonts w:ascii="Arial" w:eastAsia="Calibri" w:hAnsi="Arial" w:cs="Arial"/>
          <w:sz w:val="22"/>
          <w:lang w:val="es-ES_tradnl"/>
        </w:rPr>
        <w:t>.</w:t>
      </w:r>
    </w:p>
    <w:p w14:paraId="4DDD6EBB" w14:textId="76D68389" w:rsidR="004774F6" w:rsidRPr="004E17A8" w:rsidRDefault="004774F6" w:rsidP="004774F6">
      <w:pPr>
        <w:spacing w:before="120" w:line="276" w:lineRule="auto"/>
        <w:ind w:firstLine="709"/>
        <w:jc w:val="both"/>
        <w:rPr>
          <w:rFonts w:ascii="Arial" w:eastAsia="Calibri" w:hAnsi="Arial" w:cs="Arial"/>
          <w:sz w:val="22"/>
          <w:lang w:val="es-ES_tradnl"/>
        </w:rPr>
      </w:pPr>
      <w:r w:rsidRPr="004E17A8">
        <w:rPr>
          <w:rFonts w:ascii="Arial" w:eastAsia="Calibri" w:hAnsi="Arial" w:cs="Arial"/>
          <w:i/>
          <w:iCs/>
          <w:sz w:val="22"/>
          <w:lang w:val="es-ES_tradnl"/>
        </w:rPr>
        <w:t>En resumen</w:t>
      </w:r>
      <w:r w:rsidRPr="004E17A8">
        <w:rPr>
          <w:rFonts w:ascii="Arial" w:eastAsia="Calibri" w:hAnsi="Arial" w:cs="Arial"/>
          <w:sz w:val="22"/>
          <w:lang w:val="es-ES_tradnl"/>
        </w:rPr>
        <w:t xml:space="preserve">, los artículos 31, 32, 34 y 36 de la Ley 2069 de 2020 aluden a la necesidad </w:t>
      </w:r>
      <w:r w:rsidR="00264348" w:rsidRPr="004E17A8">
        <w:rPr>
          <w:rFonts w:ascii="Arial" w:eastAsia="Calibri" w:hAnsi="Arial" w:cs="Arial"/>
          <w:sz w:val="22"/>
          <w:lang w:val="es-ES_tradnl"/>
        </w:rPr>
        <w:t xml:space="preserve">de expedir normas complementarias, mientras que los artículos </w:t>
      </w:r>
      <w:r w:rsidR="00023000" w:rsidRPr="004E17A8">
        <w:rPr>
          <w:rFonts w:ascii="Arial" w:eastAsia="Calibri" w:hAnsi="Arial" w:cs="Arial"/>
          <w:sz w:val="22"/>
          <w:lang w:val="es-ES_tradnl"/>
        </w:rPr>
        <w:t xml:space="preserve">30, </w:t>
      </w:r>
      <w:r w:rsidR="00264348" w:rsidRPr="004E17A8">
        <w:rPr>
          <w:rFonts w:ascii="Arial" w:eastAsia="Calibri" w:hAnsi="Arial" w:cs="Arial"/>
          <w:sz w:val="22"/>
          <w:lang w:val="es-ES_tradnl"/>
        </w:rPr>
        <w:t xml:space="preserve">33 y 35 –sin perjuicio del ejercicio eventual de la competencia prevista en el artículo 189.11 superior– son de aplicación directa. Por tanto, corresponde analizar si la reglamentación del primer grupo de normas anteriormente mencionado condiciona o no su </w:t>
      </w:r>
      <w:proofErr w:type="gramStart"/>
      <w:r w:rsidR="00264348" w:rsidRPr="004E17A8">
        <w:rPr>
          <w:rFonts w:ascii="Arial" w:eastAsia="Calibri" w:hAnsi="Arial" w:cs="Arial"/>
          <w:sz w:val="22"/>
          <w:lang w:val="es-ES_tradnl"/>
        </w:rPr>
        <w:t>entrada en vigencia</w:t>
      </w:r>
      <w:proofErr w:type="gramEnd"/>
      <w:r w:rsidR="00264348" w:rsidRPr="004E17A8">
        <w:rPr>
          <w:rFonts w:ascii="Arial" w:eastAsia="Calibri" w:hAnsi="Arial" w:cs="Arial"/>
          <w:sz w:val="22"/>
          <w:lang w:val="es-ES_tradnl"/>
        </w:rPr>
        <w:t xml:space="preserve">. Este tema se abordará en el siguiente acápite.  </w:t>
      </w:r>
      <w:r w:rsidR="00984BD3" w:rsidRPr="004E17A8">
        <w:rPr>
          <w:rFonts w:ascii="Arial" w:eastAsia="Calibri" w:hAnsi="Arial" w:cs="Arial"/>
          <w:sz w:val="22"/>
          <w:lang w:val="es-ES_tradnl"/>
        </w:rPr>
        <w:t xml:space="preserve"> </w:t>
      </w:r>
    </w:p>
    <w:p w14:paraId="5FED13E0" w14:textId="22570163" w:rsidR="00911EA3" w:rsidRPr="004E17A8" w:rsidRDefault="00911EA3" w:rsidP="000D6C6D">
      <w:pPr>
        <w:tabs>
          <w:tab w:val="left" w:pos="709"/>
        </w:tabs>
        <w:spacing w:line="276" w:lineRule="auto"/>
        <w:jc w:val="both"/>
        <w:rPr>
          <w:rFonts w:ascii="Arial" w:eastAsia="Calibri" w:hAnsi="Arial" w:cs="Arial"/>
          <w:bCs/>
          <w:sz w:val="22"/>
        </w:rPr>
      </w:pPr>
    </w:p>
    <w:p w14:paraId="7EDCFA25" w14:textId="7E754CB5" w:rsidR="00A66937" w:rsidRPr="004E17A8" w:rsidRDefault="00A66937" w:rsidP="000D6C6D">
      <w:pPr>
        <w:tabs>
          <w:tab w:val="left" w:pos="709"/>
        </w:tabs>
        <w:spacing w:line="276" w:lineRule="auto"/>
        <w:jc w:val="both"/>
        <w:rPr>
          <w:rFonts w:ascii="Arial" w:eastAsia="Calibri" w:hAnsi="Arial" w:cs="Arial"/>
          <w:bCs/>
          <w:sz w:val="22"/>
        </w:rPr>
      </w:pPr>
    </w:p>
    <w:p w14:paraId="750CB1EA" w14:textId="77777777" w:rsidR="00A66937" w:rsidRPr="004E17A8" w:rsidRDefault="00A66937" w:rsidP="000D6C6D">
      <w:pPr>
        <w:tabs>
          <w:tab w:val="left" w:pos="709"/>
        </w:tabs>
        <w:spacing w:line="276" w:lineRule="auto"/>
        <w:jc w:val="both"/>
        <w:rPr>
          <w:rFonts w:ascii="Arial" w:eastAsia="Calibri" w:hAnsi="Arial" w:cs="Arial"/>
          <w:bCs/>
          <w:sz w:val="22"/>
        </w:rPr>
      </w:pPr>
    </w:p>
    <w:p w14:paraId="6CE68610" w14:textId="2BD8A3B4" w:rsidR="000D6C6D" w:rsidRPr="004E17A8" w:rsidRDefault="000D6C6D" w:rsidP="005000FC">
      <w:pPr>
        <w:tabs>
          <w:tab w:val="left" w:pos="709"/>
        </w:tabs>
        <w:spacing w:line="276" w:lineRule="auto"/>
        <w:jc w:val="both"/>
        <w:rPr>
          <w:rFonts w:ascii="Arial" w:eastAsia="Calibri" w:hAnsi="Arial" w:cs="Arial"/>
          <w:b/>
          <w:sz w:val="22"/>
        </w:rPr>
      </w:pPr>
      <w:r w:rsidRPr="004E17A8">
        <w:rPr>
          <w:rFonts w:ascii="Arial" w:eastAsia="Calibri" w:hAnsi="Arial" w:cs="Arial"/>
          <w:b/>
          <w:sz w:val="22"/>
        </w:rPr>
        <w:t xml:space="preserve">2.2. </w:t>
      </w:r>
      <w:r w:rsidR="004774F6" w:rsidRPr="004E17A8">
        <w:rPr>
          <w:rFonts w:ascii="Arial" w:eastAsia="Calibri" w:hAnsi="Arial" w:cs="Arial"/>
          <w:b/>
          <w:sz w:val="22"/>
        </w:rPr>
        <w:t>I</w:t>
      </w:r>
      <w:r w:rsidRPr="004E17A8">
        <w:rPr>
          <w:rFonts w:ascii="Arial" w:eastAsia="Calibri" w:hAnsi="Arial" w:cs="Arial"/>
          <w:b/>
          <w:sz w:val="22"/>
        </w:rPr>
        <w:t>ntervención necesaria del reglamento</w:t>
      </w:r>
      <w:r w:rsidR="00EC52AE" w:rsidRPr="004E17A8">
        <w:rPr>
          <w:rFonts w:ascii="Arial" w:eastAsia="Calibri" w:hAnsi="Arial" w:cs="Arial"/>
          <w:b/>
          <w:sz w:val="22"/>
        </w:rPr>
        <w:t xml:space="preserve"> para </w:t>
      </w:r>
      <w:r w:rsidR="004774F6" w:rsidRPr="004E17A8">
        <w:rPr>
          <w:rFonts w:ascii="Arial" w:eastAsia="Calibri" w:hAnsi="Arial" w:cs="Arial"/>
          <w:b/>
          <w:sz w:val="22"/>
        </w:rPr>
        <w:t>la</w:t>
      </w:r>
      <w:r w:rsidR="00EC52AE" w:rsidRPr="004E17A8">
        <w:rPr>
          <w:rFonts w:ascii="Arial" w:eastAsia="Calibri" w:hAnsi="Arial" w:cs="Arial"/>
          <w:b/>
          <w:sz w:val="22"/>
        </w:rPr>
        <w:t xml:space="preserve"> efectividad</w:t>
      </w:r>
      <w:r w:rsidR="004774F6" w:rsidRPr="004E17A8">
        <w:rPr>
          <w:rFonts w:ascii="Arial" w:eastAsia="Calibri" w:hAnsi="Arial" w:cs="Arial"/>
          <w:b/>
          <w:sz w:val="22"/>
        </w:rPr>
        <w:t xml:space="preserve"> de la Ley 2069 de 2020 </w:t>
      </w:r>
      <w:r w:rsidR="004855A3" w:rsidRPr="004E17A8">
        <w:rPr>
          <w:rFonts w:ascii="Arial" w:eastAsia="Calibri" w:hAnsi="Arial" w:cs="Arial"/>
          <w:b/>
          <w:sz w:val="22"/>
        </w:rPr>
        <w:t xml:space="preserve">en el </w:t>
      </w:r>
      <w:bookmarkStart w:id="17" w:name="_Hlk63693402"/>
      <w:r w:rsidR="004855A3" w:rsidRPr="004E17A8">
        <w:rPr>
          <w:rFonts w:ascii="Arial" w:eastAsia="Calibri" w:hAnsi="Arial" w:cs="Arial"/>
          <w:b/>
          <w:sz w:val="22"/>
        </w:rPr>
        <w:t>sistema de compras pública</w:t>
      </w:r>
      <w:bookmarkEnd w:id="17"/>
      <w:r w:rsidR="004855A3" w:rsidRPr="004E17A8">
        <w:rPr>
          <w:rFonts w:ascii="Arial" w:eastAsia="Calibri" w:hAnsi="Arial" w:cs="Arial"/>
          <w:b/>
          <w:sz w:val="22"/>
        </w:rPr>
        <w:t>s</w:t>
      </w:r>
    </w:p>
    <w:p w14:paraId="5D4D2A29" w14:textId="77777777" w:rsidR="005000FC" w:rsidRPr="004E17A8" w:rsidRDefault="005000FC" w:rsidP="005000FC">
      <w:pPr>
        <w:tabs>
          <w:tab w:val="left" w:pos="709"/>
        </w:tabs>
        <w:spacing w:line="276" w:lineRule="auto"/>
        <w:jc w:val="both"/>
        <w:rPr>
          <w:rFonts w:ascii="Arial" w:eastAsia="Calibri" w:hAnsi="Arial" w:cs="Arial"/>
          <w:bCs/>
          <w:sz w:val="22"/>
        </w:rPr>
      </w:pPr>
    </w:p>
    <w:p w14:paraId="3A896D62" w14:textId="36A485A9" w:rsidR="000C5D09" w:rsidRPr="004E17A8" w:rsidRDefault="004855A3" w:rsidP="008B66F0">
      <w:pPr>
        <w:tabs>
          <w:tab w:val="left" w:pos="709"/>
        </w:tabs>
        <w:spacing w:after="120" w:line="276" w:lineRule="auto"/>
        <w:jc w:val="both"/>
        <w:rPr>
          <w:rFonts w:ascii="Arial" w:eastAsia="Calibri" w:hAnsi="Arial" w:cs="Arial"/>
          <w:bCs/>
          <w:sz w:val="22"/>
        </w:rPr>
      </w:pPr>
      <w:r w:rsidRPr="004E17A8">
        <w:rPr>
          <w:rFonts w:ascii="Arial" w:eastAsia="Calibri" w:hAnsi="Arial" w:cs="Arial"/>
          <w:sz w:val="22"/>
          <w:lang w:val="es-ES_tradnl"/>
        </w:rPr>
        <w:t>Entre otros aspectos, l</w:t>
      </w:r>
      <w:r w:rsidR="00264348" w:rsidRPr="004E17A8">
        <w:rPr>
          <w:rFonts w:ascii="Arial" w:eastAsia="Calibri" w:hAnsi="Arial" w:cs="Arial"/>
          <w:sz w:val="22"/>
          <w:lang w:val="es-ES_tradnl"/>
        </w:rPr>
        <w:t>os artículos 31, 32, 34 y 36 de la Ley 2069 de 2020</w:t>
      </w:r>
      <w:r w:rsidR="00B85AB7" w:rsidRPr="004E17A8">
        <w:rPr>
          <w:rFonts w:ascii="Arial" w:eastAsia="Calibri" w:hAnsi="Arial" w:cs="Arial"/>
          <w:bCs/>
          <w:sz w:val="22"/>
        </w:rPr>
        <w:t xml:space="preserve"> dispone</w:t>
      </w:r>
      <w:r w:rsidR="00264348" w:rsidRPr="004E17A8">
        <w:rPr>
          <w:rFonts w:ascii="Arial" w:eastAsia="Calibri" w:hAnsi="Arial" w:cs="Arial"/>
          <w:bCs/>
          <w:sz w:val="22"/>
        </w:rPr>
        <w:t>n</w:t>
      </w:r>
      <w:r w:rsidR="00B85AB7" w:rsidRPr="004E17A8">
        <w:rPr>
          <w:rFonts w:ascii="Arial" w:eastAsia="Calibri" w:hAnsi="Arial" w:cs="Arial"/>
          <w:bCs/>
          <w:sz w:val="22"/>
        </w:rPr>
        <w:t xml:space="preserve"> que el </w:t>
      </w:r>
      <w:r w:rsidR="00D7248C" w:rsidRPr="004E17A8">
        <w:rPr>
          <w:rFonts w:ascii="Arial" w:eastAsia="Calibri" w:hAnsi="Arial" w:cs="Arial"/>
          <w:bCs/>
          <w:sz w:val="22"/>
        </w:rPr>
        <w:t>g</w:t>
      </w:r>
      <w:r w:rsidR="00B85AB7" w:rsidRPr="004E17A8">
        <w:rPr>
          <w:rFonts w:ascii="Arial" w:eastAsia="Calibri" w:hAnsi="Arial" w:cs="Arial"/>
          <w:bCs/>
          <w:sz w:val="22"/>
        </w:rPr>
        <w:t xml:space="preserve">obierno </w:t>
      </w:r>
      <w:r w:rsidR="00D7248C" w:rsidRPr="004E17A8">
        <w:rPr>
          <w:rFonts w:ascii="Arial" w:eastAsia="Calibri" w:hAnsi="Arial" w:cs="Arial"/>
          <w:bCs/>
          <w:sz w:val="22"/>
        </w:rPr>
        <w:t>n</w:t>
      </w:r>
      <w:r w:rsidR="00B85AB7" w:rsidRPr="004E17A8">
        <w:rPr>
          <w:rFonts w:ascii="Arial" w:eastAsia="Calibri" w:hAnsi="Arial" w:cs="Arial"/>
          <w:bCs/>
          <w:sz w:val="22"/>
        </w:rPr>
        <w:t>acional reglamentará</w:t>
      </w:r>
      <w:r w:rsidR="00264348" w:rsidRPr="004E17A8">
        <w:rPr>
          <w:rFonts w:ascii="Arial" w:eastAsia="Calibri" w:hAnsi="Arial" w:cs="Arial"/>
          <w:bCs/>
          <w:sz w:val="22"/>
        </w:rPr>
        <w:t xml:space="preserve"> i) </w:t>
      </w:r>
      <w:r w:rsidRPr="004E17A8">
        <w:rPr>
          <w:rFonts w:ascii="Arial" w:eastAsia="Calibri" w:hAnsi="Arial" w:cs="Arial"/>
          <w:bCs/>
          <w:sz w:val="22"/>
        </w:rPr>
        <w:t xml:space="preserve">los </w:t>
      </w:r>
      <w:r w:rsidR="00264348" w:rsidRPr="004E17A8">
        <w:rPr>
          <w:rFonts w:ascii="Arial" w:eastAsia="Calibri" w:hAnsi="Arial" w:cs="Arial"/>
          <w:bCs/>
          <w:sz w:val="22"/>
        </w:rPr>
        <w:t xml:space="preserve">criterios diferenciales para </w:t>
      </w:r>
      <w:proofErr w:type="spellStart"/>
      <w:r w:rsidR="00264348" w:rsidRPr="004E17A8">
        <w:rPr>
          <w:rFonts w:ascii="Arial" w:eastAsia="Calibri" w:hAnsi="Arial" w:cs="Arial"/>
          <w:bCs/>
          <w:sz w:val="22"/>
        </w:rPr>
        <w:t>mipymes</w:t>
      </w:r>
      <w:proofErr w:type="spellEnd"/>
      <w:r w:rsidRPr="004E17A8">
        <w:rPr>
          <w:rFonts w:ascii="Arial" w:eastAsia="Calibri" w:hAnsi="Arial" w:cs="Arial"/>
          <w:bCs/>
          <w:sz w:val="22"/>
        </w:rPr>
        <w:t xml:space="preserve">, </w:t>
      </w:r>
      <w:proofErr w:type="spellStart"/>
      <w:r w:rsidRPr="004E17A8">
        <w:rPr>
          <w:rFonts w:ascii="Arial" w:eastAsia="Calibri" w:hAnsi="Arial" w:cs="Arial"/>
          <w:bCs/>
          <w:sz w:val="22"/>
        </w:rPr>
        <w:t>ii</w:t>
      </w:r>
      <w:proofErr w:type="spellEnd"/>
      <w:r w:rsidRPr="004E17A8">
        <w:rPr>
          <w:rFonts w:ascii="Arial" w:eastAsia="Calibri" w:hAnsi="Arial" w:cs="Arial"/>
          <w:bCs/>
          <w:sz w:val="22"/>
        </w:rPr>
        <w:t xml:space="preserve">) la definición de «emprendimientos y empresas de mujeres», </w:t>
      </w:r>
      <w:proofErr w:type="spellStart"/>
      <w:r w:rsidRPr="004E17A8">
        <w:rPr>
          <w:rFonts w:ascii="Arial" w:eastAsia="Calibri" w:hAnsi="Arial" w:cs="Arial"/>
          <w:bCs/>
          <w:sz w:val="22"/>
        </w:rPr>
        <w:t>i</w:t>
      </w:r>
      <w:r w:rsidR="00023000" w:rsidRPr="004E17A8">
        <w:rPr>
          <w:rFonts w:ascii="Arial" w:eastAsia="Calibri" w:hAnsi="Arial" w:cs="Arial"/>
          <w:bCs/>
          <w:sz w:val="22"/>
        </w:rPr>
        <w:t>ii</w:t>
      </w:r>
      <w:proofErr w:type="spellEnd"/>
      <w:r w:rsidRPr="004E17A8">
        <w:rPr>
          <w:rFonts w:ascii="Arial" w:eastAsia="Calibri" w:hAnsi="Arial" w:cs="Arial"/>
          <w:bCs/>
          <w:sz w:val="22"/>
        </w:rPr>
        <w:t xml:space="preserve">) las convocatorias limitadas a </w:t>
      </w:r>
      <w:proofErr w:type="spellStart"/>
      <w:r w:rsidRPr="004E17A8">
        <w:rPr>
          <w:rFonts w:ascii="Arial" w:eastAsia="Calibri" w:hAnsi="Arial" w:cs="Arial"/>
          <w:bCs/>
          <w:sz w:val="22"/>
        </w:rPr>
        <w:t>mipymes</w:t>
      </w:r>
      <w:proofErr w:type="spellEnd"/>
      <w:r w:rsidR="00AE1FDC" w:rsidRPr="004E17A8">
        <w:rPr>
          <w:rFonts w:ascii="Arial" w:eastAsia="Calibri" w:hAnsi="Arial" w:cs="Arial"/>
          <w:bCs/>
          <w:sz w:val="22"/>
        </w:rPr>
        <w:t xml:space="preserve"> y el fomento en la ejecución de los contratos estatales por parte de sujetos de especial protección</w:t>
      </w:r>
      <w:r w:rsidR="00023000" w:rsidRPr="004E17A8">
        <w:rPr>
          <w:rFonts w:ascii="Arial" w:eastAsia="Calibri" w:hAnsi="Arial" w:cs="Arial"/>
          <w:bCs/>
          <w:sz w:val="22"/>
        </w:rPr>
        <w:t>,</w:t>
      </w:r>
      <w:r w:rsidRPr="004E17A8">
        <w:rPr>
          <w:rFonts w:ascii="Arial" w:eastAsia="Calibri" w:hAnsi="Arial" w:cs="Arial"/>
          <w:bCs/>
          <w:sz w:val="22"/>
        </w:rPr>
        <w:t xml:space="preserve"> </w:t>
      </w:r>
      <w:r w:rsidR="00AE1FDC" w:rsidRPr="004E17A8">
        <w:rPr>
          <w:rFonts w:ascii="Arial" w:eastAsia="Calibri" w:hAnsi="Arial" w:cs="Arial"/>
          <w:bCs/>
          <w:sz w:val="22"/>
        </w:rPr>
        <w:t>así como</w:t>
      </w:r>
      <w:r w:rsidRPr="004E17A8">
        <w:rPr>
          <w:rFonts w:ascii="Arial" w:eastAsia="Calibri" w:hAnsi="Arial" w:cs="Arial"/>
          <w:bCs/>
          <w:sz w:val="22"/>
        </w:rPr>
        <w:t xml:space="preserve"> </w:t>
      </w:r>
      <w:proofErr w:type="spellStart"/>
      <w:r w:rsidR="00023000" w:rsidRPr="004E17A8">
        <w:rPr>
          <w:rFonts w:ascii="Arial" w:eastAsia="Calibri" w:hAnsi="Arial" w:cs="Arial"/>
          <w:bCs/>
          <w:sz w:val="22"/>
        </w:rPr>
        <w:t>i</w:t>
      </w:r>
      <w:r w:rsidRPr="004E17A8">
        <w:rPr>
          <w:rFonts w:ascii="Arial" w:eastAsia="Calibri" w:hAnsi="Arial" w:cs="Arial"/>
          <w:bCs/>
          <w:sz w:val="22"/>
        </w:rPr>
        <w:t>v</w:t>
      </w:r>
      <w:proofErr w:type="spellEnd"/>
      <w:r w:rsidRPr="004E17A8">
        <w:rPr>
          <w:rFonts w:ascii="Arial" w:eastAsia="Calibri" w:hAnsi="Arial" w:cs="Arial"/>
          <w:bCs/>
          <w:sz w:val="22"/>
        </w:rPr>
        <w:t>)</w:t>
      </w:r>
      <w:r w:rsidR="00264348" w:rsidRPr="004E17A8">
        <w:rPr>
          <w:rFonts w:ascii="Arial" w:eastAsia="Calibri" w:hAnsi="Arial" w:cs="Arial"/>
          <w:bCs/>
          <w:sz w:val="22"/>
        </w:rPr>
        <w:t xml:space="preserve"> </w:t>
      </w:r>
      <w:r w:rsidR="00023000" w:rsidRPr="004E17A8">
        <w:rPr>
          <w:rFonts w:ascii="Arial" w:eastAsia="Calibri" w:hAnsi="Arial" w:cs="Arial"/>
          <w:bCs/>
          <w:sz w:val="22"/>
        </w:rPr>
        <w:t xml:space="preserve">la </w:t>
      </w:r>
      <w:r w:rsidRPr="004E17A8">
        <w:rPr>
          <w:rFonts w:ascii="Arial" w:eastAsia="Calibri" w:hAnsi="Arial" w:cs="Arial"/>
          <w:bCs/>
          <w:sz w:val="22"/>
        </w:rPr>
        <w:t xml:space="preserve">promoción de las compras públicas de tecnología e innovación. En este contexto, es necesario analizar si las entidades pueden aplicar </w:t>
      </w:r>
      <w:r w:rsidR="00202680" w:rsidRPr="004E17A8">
        <w:rPr>
          <w:rFonts w:ascii="Arial" w:eastAsia="Calibri" w:hAnsi="Arial" w:cs="Arial"/>
          <w:bCs/>
          <w:sz w:val="22"/>
        </w:rPr>
        <w:t>directamente</w:t>
      </w:r>
      <w:r w:rsidRPr="004E17A8">
        <w:rPr>
          <w:rFonts w:ascii="Arial" w:eastAsia="Calibri" w:hAnsi="Arial" w:cs="Arial"/>
          <w:bCs/>
          <w:sz w:val="22"/>
        </w:rPr>
        <w:t xml:space="preserve"> las normas citadas</w:t>
      </w:r>
      <w:r w:rsidR="00202680" w:rsidRPr="004E17A8">
        <w:rPr>
          <w:rFonts w:ascii="Arial" w:eastAsia="Calibri" w:hAnsi="Arial" w:cs="Arial"/>
          <w:bCs/>
          <w:sz w:val="22"/>
        </w:rPr>
        <w:t xml:space="preserve"> o, por el contrario, si su efectividad está condicionada </w:t>
      </w:r>
      <w:r w:rsidR="000C5D09" w:rsidRPr="004E17A8">
        <w:rPr>
          <w:rFonts w:ascii="Arial" w:eastAsia="Calibri" w:hAnsi="Arial" w:cs="Arial"/>
          <w:bCs/>
          <w:sz w:val="22"/>
        </w:rPr>
        <w:t>a</w:t>
      </w:r>
      <w:r w:rsidR="00202680" w:rsidRPr="004E17A8">
        <w:rPr>
          <w:rFonts w:ascii="Arial" w:eastAsia="Calibri" w:hAnsi="Arial" w:cs="Arial"/>
          <w:bCs/>
          <w:sz w:val="22"/>
        </w:rPr>
        <w:t xml:space="preserve"> la expedición </w:t>
      </w:r>
      <w:r w:rsidR="006C31B0" w:rsidRPr="004E17A8">
        <w:rPr>
          <w:rFonts w:ascii="Arial" w:eastAsia="Calibri" w:hAnsi="Arial" w:cs="Arial"/>
          <w:bCs/>
          <w:sz w:val="22"/>
        </w:rPr>
        <w:t xml:space="preserve">del </w:t>
      </w:r>
      <w:r w:rsidR="000C5D09" w:rsidRPr="004E17A8">
        <w:rPr>
          <w:rFonts w:ascii="Arial" w:eastAsia="Calibri" w:hAnsi="Arial" w:cs="Arial"/>
          <w:bCs/>
          <w:sz w:val="22"/>
        </w:rPr>
        <w:t>reglamento</w:t>
      </w:r>
      <w:r w:rsidR="00202680" w:rsidRPr="004E17A8">
        <w:rPr>
          <w:rFonts w:ascii="Arial" w:eastAsia="Calibri" w:hAnsi="Arial" w:cs="Arial"/>
          <w:bCs/>
          <w:sz w:val="22"/>
        </w:rPr>
        <w:t xml:space="preserve"> correspondiente. </w:t>
      </w:r>
    </w:p>
    <w:p w14:paraId="6833138A" w14:textId="38537440" w:rsidR="00346578" w:rsidRPr="004E17A8" w:rsidRDefault="000C5D09" w:rsidP="009F2056">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r>
      <w:r w:rsidR="004855A3" w:rsidRPr="004E17A8">
        <w:rPr>
          <w:rFonts w:ascii="Arial" w:eastAsia="Calibri" w:hAnsi="Arial" w:cs="Arial"/>
          <w:bCs/>
          <w:sz w:val="22"/>
        </w:rPr>
        <w:t>L</w:t>
      </w:r>
      <w:r w:rsidR="00202680" w:rsidRPr="004E17A8">
        <w:rPr>
          <w:rFonts w:ascii="Arial" w:eastAsia="Calibri" w:hAnsi="Arial" w:cs="Arial"/>
          <w:bCs/>
          <w:sz w:val="22"/>
        </w:rPr>
        <w:t xml:space="preserve">a respuesta </w:t>
      </w:r>
      <w:r w:rsidRPr="004E17A8">
        <w:rPr>
          <w:rFonts w:ascii="Arial" w:eastAsia="Calibri" w:hAnsi="Arial" w:cs="Arial"/>
          <w:bCs/>
          <w:sz w:val="22"/>
        </w:rPr>
        <w:t>a</w:t>
      </w:r>
      <w:r w:rsidR="00202680" w:rsidRPr="004E17A8">
        <w:rPr>
          <w:rFonts w:ascii="Arial" w:eastAsia="Calibri" w:hAnsi="Arial" w:cs="Arial"/>
          <w:bCs/>
          <w:sz w:val="22"/>
        </w:rPr>
        <w:t xml:space="preserve"> </w:t>
      </w:r>
      <w:r w:rsidR="002930DB" w:rsidRPr="004E17A8">
        <w:rPr>
          <w:rFonts w:ascii="Arial" w:eastAsia="Calibri" w:hAnsi="Arial" w:cs="Arial"/>
          <w:bCs/>
          <w:sz w:val="22"/>
        </w:rPr>
        <w:t>la</w:t>
      </w:r>
      <w:r w:rsidR="00202680" w:rsidRPr="004E17A8">
        <w:rPr>
          <w:rFonts w:ascii="Arial" w:eastAsia="Calibri" w:hAnsi="Arial" w:cs="Arial"/>
          <w:bCs/>
          <w:sz w:val="22"/>
        </w:rPr>
        <w:t xml:space="preserve"> inquietud </w:t>
      </w:r>
      <w:r w:rsidR="002930DB" w:rsidRPr="004E17A8">
        <w:rPr>
          <w:rFonts w:ascii="Arial" w:eastAsia="Calibri" w:hAnsi="Arial" w:cs="Arial"/>
          <w:bCs/>
          <w:sz w:val="22"/>
        </w:rPr>
        <w:t xml:space="preserve">planteada </w:t>
      </w:r>
      <w:r w:rsidR="00726DD0" w:rsidRPr="004E17A8">
        <w:rPr>
          <w:rFonts w:ascii="Arial" w:eastAsia="Calibri" w:hAnsi="Arial" w:cs="Arial"/>
          <w:bCs/>
          <w:sz w:val="22"/>
        </w:rPr>
        <w:t xml:space="preserve">en </w:t>
      </w:r>
      <w:r w:rsidR="002930DB" w:rsidRPr="004E17A8">
        <w:rPr>
          <w:rFonts w:ascii="Arial" w:eastAsia="Calibri" w:hAnsi="Arial" w:cs="Arial"/>
          <w:bCs/>
          <w:sz w:val="22"/>
        </w:rPr>
        <w:t xml:space="preserve">el párrafo precedente </w:t>
      </w:r>
      <w:r w:rsidR="00202680" w:rsidRPr="004E17A8">
        <w:rPr>
          <w:rFonts w:ascii="Arial" w:eastAsia="Calibri" w:hAnsi="Arial" w:cs="Arial"/>
          <w:bCs/>
          <w:sz w:val="22"/>
        </w:rPr>
        <w:t xml:space="preserve">es </w:t>
      </w:r>
      <w:r w:rsidR="006C31B0" w:rsidRPr="004E17A8">
        <w:rPr>
          <w:rFonts w:ascii="Arial" w:eastAsia="Calibri" w:hAnsi="Arial" w:cs="Arial"/>
          <w:bCs/>
          <w:sz w:val="22"/>
        </w:rPr>
        <w:t>de enorme importancia</w:t>
      </w:r>
      <w:r w:rsidRPr="004E17A8">
        <w:rPr>
          <w:rFonts w:ascii="Arial" w:eastAsia="Calibri" w:hAnsi="Arial" w:cs="Arial"/>
          <w:bCs/>
          <w:sz w:val="22"/>
        </w:rPr>
        <w:t xml:space="preserve"> </w:t>
      </w:r>
      <w:r w:rsidR="002930DB" w:rsidRPr="004E17A8">
        <w:rPr>
          <w:rFonts w:ascii="Arial" w:eastAsia="Calibri" w:hAnsi="Arial" w:cs="Arial"/>
          <w:bCs/>
          <w:sz w:val="22"/>
        </w:rPr>
        <w:t>por</w:t>
      </w:r>
      <w:r w:rsidRPr="004E17A8">
        <w:rPr>
          <w:rFonts w:ascii="Arial" w:eastAsia="Calibri" w:hAnsi="Arial" w:cs="Arial"/>
          <w:bCs/>
          <w:sz w:val="22"/>
        </w:rPr>
        <w:t xml:space="preserve"> los efectos prácticos de ambas </w:t>
      </w:r>
      <w:r w:rsidR="004855A3" w:rsidRPr="004E17A8">
        <w:rPr>
          <w:rFonts w:ascii="Arial" w:eastAsia="Calibri" w:hAnsi="Arial" w:cs="Arial"/>
          <w:bCs/>
          <w:sz w:val="22"/>
        </w:rPr>
        <w:t>posiciones</w:t>
      </w:r>
      <w:r w:rsidRPr="004E17A8">
        <w:rPr>
          <w:rFonts w:ascii="Arial" w:eastAsia="Calibri" w:hAnsi="Arial" w:cs="Arial"/>
          <w:bCs/>
          <w:sz w:val="22"/>
        </w:rPr>
        <w:t xml:space="preserve">. </w:t>
      </w:r>
      <w:r w:rsidR="002930DB" w:rsidRPr="004E17A8">
        <w:rPr>
          <w:rFonts w:ascii="Arial" w:eastAsia="Calibri" w:hAnsi="Arial" w:cs="Arial"/>
          <w:bCs/>
          <w:sz w:val="22"/>
        </w:rPr>
        <w:t>Por un lado</w:t>
      </w:r>
      <w:r w:rsidRPr="004E17A8">
        <w:rPr>
          <w:rFonts w:ascii="Arial" w:eastAsia="Calibri" w:hAnsi="Arial" w:cs="Arial"/>
          <w:bCs/>
          <w:sz w:val="22"/>
        </w:rPr>
        <w:t xml:space="preserve">, </w:t>
      </w:r>
      <w:bookmarkStart w:id="18" w:name="_Hlk63884320"/>
      <w:r w:rsidRPr="004E17A8">
        <w:rPr>
          <w:rFonts w:ascii="Arial" w:eastAsia="Calibri" w:hAnsi="Arial" w:cs="Arial"/>
          <w:bCs/>
          <w:sz w:val="22"/>
        </w:rPr>
        <w:t xml:space="preserve">quien opte por la </w:t>
      </w:r>
      <w:r w:rsidRPr="004E17A8">
        <w:rPr>
          <w:rFonts w:ascii="Arial" w:eastAsia="Calibri" w:hAnsi="Arial" w:cs="Arial"/>
          <w:bCs/>
          <w:i/>
          <w:iCs/>
          <w:sz w:val="22"/>
        </w:rPr>
        <w:t>tesis de la aplicación directa</w:t>
      </w:r>
      <w:r w:rsidRPr="004E17A8">
        <w:rPr>
          <w:rFonts w:ascii="Arial" w:eastAsia="Calibri" w:hAnsi="Arial" w:cs="Arial"/>
          <w:bCs/>
          <w:sz w:val="22"/>
        </w:rPr>
        <w:t xml:space="preserve"> </w:t>
      </w:r>
      <w:r w:rsidR="00DD0609" w:rsidRPr="004E17A8">
        <w:rPr>
          <w:rFonts w:ascii="Arial" w:eastAsia="Calibri" w:hAnsi="Arial" w:cs="Arial"/>
          <w:bCs/>
          <w:sz w:val="22"/>
        </w:rPr>
        <w:t>debe sostener que</w:t>
      </w:r>
      <w:r w:rsidR="00B04C69" w:rsidRPr="004E17A8">
        <w:rPr>
          <w:rFonts w:ascii="Arial" w:eastAsia="Calibri" w:hAnsi="Arial" w:cs="Arial"/>
          <w:bCs/>
          <w:sz w:val="22"/>
        </w:rPr>
        <w:t xml:space="preserve"> la intervención del reglamento es accesoria, no necesaria</w:t>
      </w:r>
      <w:r w:rsidR="006C375B" w:rsidRPr="004E17A8">
        <w:rPr>
          <w:rFonts w:ascii="Arial" w:eastAsia="Calibri" w:hAnsi="Arial" w:cs="Arial"/>
          <w:bCs/>
          <w:sz w:val="22"/>
        </w:rPr>
        <w:t xml:space="preserve">: </w:t>
      </w:r>
      <w:r w:rsidR="00B04C69" w:rsidRPr="004E17A8">
        <w:rPr>
          <w:rFonts w:ascii="Arial" w:eastAsia="Calibri" w:hAnsi="Arial" w:cs="Arial"/>
          <w:bCs/>
          <w:sz w:val="22"/>
        </w:rPr>
        <w:t>el Congreso de la República ejerce su competencia para la expedición de la</w:t>
      </w:r>
      <w:r w:rsidR="00967BCD" w:rsidRPr="004E17A8">
        <w:rPr>
          <w:rFonts w:ascii="Arial" w:eastAsia="Calibri" w:hAnsi="Arial" w:cs="Arial"/>
          <w:bCs/>
          <w:sz w:val="22"/>
        </w:rPr>
        <w:t>s</w:t>
      </w:r>
      <w:r w:rsidR="00B04C69" w:rsidRPr="004E17A8">
        <w:rPr>
          <w:rFonts w:ascii="Arial" w:eastAsia="Calibri" w:hAnsi="Arial" w:cs="Arial"/>
          <w:bCs/>
          <w:sz w:val="22"/>
        </w:rPr>
        <w:t xml:space="preserve"> leyes sin que normas de inferior jerarquía condicionen </w:t>
      </w:r>
      <w:r w:rsidR="00967BCD" w:rsidRPr="004E17A8">
        <w:rPr>
          <w:rFonts w:ascii="Arial" w:eastAsia="Calibri" w:hAnsi="Arial" w:cs="Arial"/>
          <w:bCs/>
          <w:sz w:val="22"/>
        </w:rPr>
        <w:t xml:space="preserve">su vigencia o aplicación. En este contexto, cualquier espacio abierto de decisión –siempre que no esté sometido a reserva– habilita el ejercicio de potestades discrecionales por parte de las entidades públicas, salvo que el reglamento eventualmente los limite. </w:t>
      </w:r>
      <w:bookmarkEnd w:id="18"/>
    </w:p>
    <w:p w14:paraId="1487AA36" w14:textId="0A817A5D" w:rsidR="009F2056" w:rsidRPr="004E17A8" w:rsidRDefault="00346578" w:rsidP="009F2056">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r>
      <w:r w:rsidR="00967BCD" w:rsidRPr="004E17A8">
        <w:rPr>
          <w:rFonts w:ascii="Arial" w:eastAsia="Calibri" w:hAnsi="Arial" w:cs="Arial"/>
          <w:bCs/>
          <w:sz w:val="22"/>
        </w:rPr>
        <w:t>De esta manera, a menor precisión de la ley, mayor es el campo de acción del reglamento</w:t>
      </w:r>
      <w:r w:rsidR="006F248F" w:rsidRPr="004E17A8">
        <w:rPr>
          <w:rFonts w:ascii="Arial" w:eastAsia="Calibri" w:hAnsi="Arial" w:cs="Arial"/>
          <w:bCs/>
          <w:sz w:val="22"/>
        </w:rPr>
        <w:t>: en este el</w:t>
      </w:r>
      <w:r w:rsidR="00967BCD" w:rsidRPr="004E17A8">
        <w:rPr>
          <w:rFonts w:ascii="Arial" w:eastAsia="Calibri" w:hAnsi="Arial" w:cs="Arial"/>
          <w:bCs/>
          <w:sz w:val="22"/>
        </w:rPr>
        <w:t xml:space="preserve"> funcionario competente </w:t>
      </w:r>
      <w:r w:rsidR="006F248F" w:rsidRPr="004E17A8">
        <w:rPr>
          <w:rFonts w:ascii="Arial" w:eastAsia="Calibri" w:hAnsi="Arial" w:cs="Arial"/>
          <w:bCs/>
          <w:sz w:val="22"/>
        </w:rPr>
        <w:t xml:space="preserve">tiene libertad para expedir o no las normas correspondientes. Por ello, </w:t>
      </w:r>
      <w:r w:rsidR="00A24DBA" w:rsidRPr="004E17A8">
        <w:rPr>
          <w:rFonts w:ascii="Arial" w:eastAsia="Calibri" w:hAnsi="Arial" w:cs="Arial"/>
          <w:bCs/>
          <w:sz w:val="22"/>
        </w:rPr>
        <w:t xml:space="preserve">la </w:t>
      </w:r>
      <w:r w:rsidR="00A57F88" w:rsidRPr="004E17A8">
        <w:rPr>
          <w:rFonts w:ascii="Arial" w:eastAsia="Calibri" w:hAnsi="Arial" w:cs="Arial"/>
          <w:bCs/>
          <w:sz w:val="22"/>
        </w:rPr>
        <w:t>jurisprudencia</w:t>
      </w:r>
      <w:r w:rsidR="006F248F" w:rsidRPr="004E17A8">
        <w:rPr>
          <w:rFonts w:ascii="Arial" w:eastAsia="Calibri" w:hAnsi="Arial" w:cs="Arial"/>
          <w:bCs/>
          <w:sz w:val="22"/>
        </w:rPr>
        <w:t xml:space="preserve"> explica que la competencia reglamentaria prevista en el artículo 189.11 superior </w:t>
      </w:r>
      <w:r w:rsidR="006C375B" w:rsidRPr="004E17A8">
        <w:rPr>
          <w:rFonts w:ascii="Arial" w:eastAsia="Calibri" w:hAnsi="Arial" w:cs="Arial"/>
          <w:bCs/>
          <w:sz w:val="22"/>
        </w:rPr>
        <w:t xml:space="preserve">también </w:t>
      </w:r>
      <w:r w:rsidR="006E0BE4" w:rsidRPr="004E17A8">
        <w:rPr>
          <w:rFonts w:ascii="Arial" w:eastAsia="Calibri" w:hAnsi="Arial" w:cs="Arial"/>
          <w:bCs/>
          <w:sz w:val="22"/>
        </w:rPr>
        <w:t xml:space="preserve">corresponde </w:t>
      </w:r>
      <w:r w:rsidR="006C375B" w:rsidRPr="004E17A8">
        <w:rPr>
          <w:rFonts w:ascii="Arial" w:eastAsia="Calibri" w:hAnsi="Arial" w:cs="Arial"/>
          <w:bCs/>
          <w:sz w:val="22"/>
        </w:rPr>
        <w:t>a un poder</w:t>
      </w:r>
      <w:r w:rsidR="006F248F" w:rsidRPr="004E17A8">
        <w:rPr>
          <w:rFonts w:ascii="Arial" w:eastAsia="Calibri" w:hAnsi="Arial" w:cs="Arial"/>
          <w:bCs/>
          <w:sz w:val="22"/>
        </w:rPr>
        <w:t xml:space="preserve"> discrecional</w:t>
      </w:r>
      <w:r w:rsidR="00614771" w:rsidRPr="004E17A8">
        <w:rPr>
          <w:rStyle w:val="Refdenotaalpie"/>
          <w:rFonts w:ascii="Arial" w:eastAsia="Calibri" w:hAnsi="Arial" w:cs="Arial"/>
          <w:bCs/>
          <w:sz w:val="22"/>
        </w:rPr>
        <w:footnoteReference w:id="11"/>
      </w:r>
      <w:r w:rsidR="006E0BE4" w:rsidRPr="004E17A8">
        <w:rPr>
          <w:rFonts w:ascii="Arial" w:eastAsia="Calibri" w:hAnsi="Arial" w:cs="Arial"/>
          <w:bCs/>
          <w:sz w:val="22"/>
        </w:rPr>
        <w:t xml:space="preserve">. </w:t>
      </w:r>
      <w:r w:rsidR="009F2056" w:rsidRPr="004E17A8">
        <w:rPr>
          <w:rFonts w:ascii="Arial" w:eastAsia="Calibri" w:hAnsi="Arial" w:cs="Arial"/>
          <w:bCs/>
          <w:sz w:val="22"/>
        </w:rPr>
        <w:t>En este contexto, si la expedición de reglamentos no es obligatoria, la ausencia de estos no excusa la inaplicación de la ley, pues contiene unos elementos mínimos que vinculan directamente a los destinatarios.</w:t>
      </w:r>
    </w:p>
    <w:p w14:paraId="74A1A793" w14:textId="3BAA2FA5" w:rsidR="006F15B4" w:rsidRPr="004E17A8" w:rsidRDefault="008675EC" w:rsidP="009F2056">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t>Este es</w:t>
      </w:r>
      <w:r w:rsidR="006C31B0" w:rsidRPr="004E17A8">
        <w:rPr>
          <w:rFonts w:ascii="Arial" w:eastAsia="Calibri" w:hAnsi="Arial" w:cs="Arial"/>
          <w:bCs/>
          <w:sz w:val="22"/>
        </w:rPr>
        <w:t xml:space="preserve"> el</w:t>
      </w:r>
      <w:r w:rsidRPr="004E17A8">
        <w:rPr>
          <w:rFonts w:ascii="Arial" w:eastAsia="Calibri" w:hAnsi="Arial" w:cs="Arial"/>
          <w:bCs/>
          <w:sz w:val="22"/>
        </w:rPr>
        <w:t xml:space="preserve"> caso de lo previsto en los artículos </w:t>
      </w:r>
      <w:r w:rsidR="006F15B4" w:rsidRPr="004E17A8">
        <w:rPr>
          <w:rFonts w:ascii="Arial" w:eastAsia="Calibri" w:hAnsi="Arial" w:cs="Arial"/>
          <w:bCs/>
          <w:sz w:val="22"/>
        </w:rPr>
        <w:t xml:space="preserve">30, </w:t>
      </w:r>
      <w:r w:rsidRPr="004E17A8">
        <w:rPr>
          <w:rFonts w:ascii="Arial" w:eastAsia="Calibri" w:hAnsi="Arial" w:cs="Arial"/>
          <w:bCs/>
          <w:sz w:val="22"/>
        </w:rPr>
        <w:t xml:space="preserve">33 y 35 de la Ley de Emprendimiento. </w:t>
      </w:r>
      <w:r w:rsidR="006F15B4" w:rsidRPr="004E17A8">
        <w:rPr>
          <w:rFonts w:ascii="Arial" w:eastAsia="Calibri" w:hAnsi="Arial" w:cs="Arial"/>
          <w:bCs/>
          <w:sz w:val="22"/>
        </w:rPr>
        <w:t xml:space="preserve">En relación con las </w:t>
      </w:r>
      <w:proofErr w:type="spellStart"/>
      <w:r w:rsidR="006F15B4" w:rsidRPr="004E17A8">
        <w:rPr>
          <w:rFonts w:ascii="Arial" w:eastAsia="Calibri" w:hAnsi="Arial" w:cs="Arial"/>
          <w:bCs/>
          <w:sz w:val="22"/>
        </w:rPr>
        <w:t>mipymes</w:t>
      </w:r>
      <w:proofErr w:type="spellEnd"/>
      <w:r w:rsidR="006F15B4" w:rsidRPr="004E17A8">
        <w:rPr>
          <w:rFonts w:ascii="Arial" w:eastAsia="Calibri" w:hAnsi="Arial" w:cs="Arial"/>
          <w:bCs/>
          <w:sz w:val="22"/>
        </w:rPr>
        <w:t xml:space="preserve"> y mínima cuantía</w:t>
      </w:r>
      <w:r w:rsidR="00B86C5A" w:rsidRPr="004E17A8">
        <w:rPr>
          <w:rFonts w:ascii="Arial" w:eastAsia="Calibri" w:hAnsi="Arial" w:cs="Arial"/>
          <w:bCs/>
          <w:sz w:val="22"/>
        </w:rPr>
        <w:t xml:space="preserve">, </w:t>
      </w:r>
      <w:r w:rsidR="00B86C5A" w:rsidRPr="004E17A8">
        <w:rPr>
          <w:rFonts w:ascii="Arial" w:eastAsia="Calibri" w:hAnsi="Arial" w:cs="Arial"/>
          <w:bCs/>
          <w:sz w:val="22"/>
          <w:lang w:val="es-ES_tradnl"/>
        </w:rPr>
        <w:t xml:space="preserve">dado que el artículo 30 de la Ley 2069 de 2020 regula aspectos como i) el término mínimo para publicar la invitación, </w:t>
      </w:r>
      <w:proofErr w:type="spellStart"/>
      <w:r w:rsidR="00B86C5A" w:rsidRPr="004E17A8">
        <w:rPr>
          <w:rFonts w:ascii="Arial" w:eastAsia="Calibri" w:hAnsi="Arial" w:cs="Arial"/>
          <w:bCs/>
          <w:sz w:val="22"/>
          <w:lang w:val="es-ES_tradnl"/>
        </w:rPr>
        <w:t>ii</w:t>
      </w:r>
      <w:proofErr w:type="spellEnd"/>
      <w:r w:rsidR="00B86C5A" w:rsidRPr="004E17A8">
        <w:rPr>
          <w:rFonts w:ascii="Arial" w:eastAsia="Calibri" w:hAnsi="Arial" w:cs="Arial"/>
          <w:bCs/>
          <w:sz w:val="22"/>
          <w:lang w:val="es-ES_tradnl"/>
        </w:rPr>
        <w:t xml:space="preserve">) el plazo mínimo de recepción de las ofertas, </w:t>
      </w:r>
      <w:proofErr w:type="spellStart"/>
      <w:r w:rsidR="00B86C5A" w:rsidRPr="004E17A8">
        <w:rPr>
          <w:rFonts w:ascii="Arial" w:eastAsia="Calibri" w:hAnsi="Arial" w:cs="Arial"/>
          <w:bCs/>
          <w:sz w:val="22"/>
          <w:lang w:val="es-ES_tradnl"/>
        </w:rPr>
        <w:t>iii</w:t>
      </w:r>
      <w:proofErr w:type="spellEnd"/>
      <w:r w:rsidR="00B86C5A" w:rsidRPr="004E17A8">
        <w:rPr>
          <w:rFonts w:ascii="Arial" w:eastAsia="Calibri" w:hAnsi="Arial" w:cs="Arial"/>
          <w:bCs/>
          <w:sz w:val="22"/>
          <w:lang w:val="es-ES_tradnl"/>
        </w:rPr>
        <w:t xml:space="preserve">) el factor de evaluación que define la selección del proponente y </w:t>
      </w:r>
      <w:proofErr w:type="spellStart"/>
      <w:r w:rsidR="00B86C5A" w:rsidRPr="004E17A8">
        <w:rPr>
          <w:rFonts w:ascii="Arial" w:eastAsia="Calibri" w:hAnsi="Arial" w:cs="Arial"/>
          <w:bCs/>
          <w:sz w:val="22"/>
          <w:lang w:val="es-ES_tradnl"/>
        </w:rPr>
        <w:t>iv</w:t>
      </w:r>
      <w:proofErr w:type="spellEnd"/>
      <w:r w:rsidR="00B86C5A" w:rsidRPr="004E17A8">
        <w:rPr>
          <w:rFonts w:ascii="Arial" w:eastAsia="Calibri" w:hAnsi="Arial" w:cs="Arial"/>
          <w:bCs/>
          <w:sz w:val="22"/>
          <w:lang w:val="es-ES_tradnl"/>
        </w:rPr>
        <w:t xml:space="preserve">) el perfeccionamiento del contrato, las entidades deben estructurar sus procedimientos de selección de acuerdo con estos parámetros, los cuales tienen una aplicación inmediata sin que el reglamento condicione la vigencia de la mínima cuantía. Esto </w:t>
      </w:r>
      <w:r w:rsidR="00B86C5A" w:rsidRPr="004E17A8">
        <w:rPr>
          <w:rFonts w:ascii="Arial" w:eastAsia="Calibri" w:hAnsi="Arial" w:cs="Arial"/>
          <w:bCs/>
          <w:sz w:val="22"/>
        </w:rPr>
        <w:t>sin perjuicio de que el Gobierno Nacional</w:t>
      </w:r>
      <w:r w:rsidR="007E6B89" w:rsidRPr="004E17A8">
        <w:rPr>
          <w:rFonts w:ascii="Arial" w:eastAsia="Calibri" w:hAnsi="Arial" w:cs="Arial"/>
          <w:bCs/>
          <w:sz w:val="22"/>
        </w:rPr>
        <w:t xml:space="preserve">, conforme a lo dispuesto en el </w:t>
      </w:r>
      <w:r w:rsidR="007E6B89" w:rsidRPr="004E17A8">
        <w:rPr>
          <w:rFonts w:ascii="Arial" w:eastAsia="Calibri" w:hAnsi="Arial" w:cs="Arial"/>
          <w:bCs/>
          <w:sz w:val="22"/>
        </w:rPr>
        <w:lastRenderedPageBreak/>
        <w:t xml:space="preserve">parágrafo 1 </w:t>
      </w:r>
      <w:r w:rsidR="007E6B89" w:rsidRPr="004E17A8">
        <w:rPr>
          <w:rFonts w:ascii="Arial" w:eastAsia="Calibri" w:hAnsi="Arial" w:cs="Arial"/>
          <w:bCs/>
          <w:i/>
          <w:iCs/>
          <w:sz w:val="22"/>
        </w:rPr>
        <w:t>ibidem</w:t>
      </w:r>
      <w:r w:rsidR="007E6B89" w:rsidRPr="004E17A8">
        <w:rPr>
          <w:rFonts w:ascii="Arial" w:eastAsia="Calibri" w:hAnsi="Arial" w:cs="Arial"/>
          <w:bCs/>
          <w:sz w:val="22"/>
        </w:rPr>
        <w:t>,</w:t>
      </w:r>
      <w:r w:rsidR="00B86C5A" w:rsidRPr="004E17A8">
        <w:rPr>
          <w:rFonts w:ascii="Arial" w:eastAsia="Calibri" w:hAnsi="Arial" w:cs="Arial"/>
          <w:bCs/>
          <w:sz w:val="22"/>
        </w:rPr>
        <w:t xml:space="preserve"> ejerza la potestad reglamentaria para </w:t>
      </w:r>
      <w:r w:rsidR="00B86C5A" w:rsidRPr="004E17A8">
        <w:rPr>
          <w:rFonts w:ascii="Arial" w:eastAsia="Calibri" w:hAnsi="Arial" w:cs="Arial"/>
          <w:bCs/>
          <w:sz w:val="22"/>
          <w:lang w:val="es-ES_tradnl"/>
        </w:rPr>
        <w:t xml:space="preserve">regular tanto las particularidades del procedimiento de selección como la posibilidad de realizar estas adquisiciones a </w:t>
      </w:r>
      <w:proofErr w:type="spellStart"/>
      <w:r w:rsidR="00B86C5A" w:rsidRPr="004E17A8">
        <w:rPr>
          <w:rFonts w:ascii="Arial" w:eastAsia="Calibri" w:hAnsi="Arial" w:cs="Arial"/>
          <w:bCs/>
          <w:sz w:val="22"/>
          <w:lang w:val="es-ES_tradnl"/>
        </w:rPr>
        <w:t>mipymes</w:t>
      </w:r>
      <w:proofErr w:type="spellEnd"/>
      <w:r w:rsidR="00B86C5A" w:rsidRPr="004E17A8">
        <w:rPr>
          <w:rFonts w:ascii="Arial" w:eastAsia="Calibri" w:hAnsi="Arial" w:cs="Arial"/>
          <w:bCs/>
          <w:sz w:val="22"/>
          <w:lang w:val="es-ES_tradnl"/>
        </w:rPr>
        <w:t xml:space="preserve"> o establecimientos que correspondan a la definición de «gran almacén».</w:t>
      </w:r>
    </w:p>
    <w:p w14:paraId="2DC387DC" w14:textId="78A69C93" w:rsidR="008675EC" w:rsidRPr="004E17A8" w:rsidRDefault="006F15B4" w:rsidP="009F2056">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r>
      <w:r w:rsidR="008675EC" w:rsidRPr="004E17A8">
        <w:rPr>
          <w:rFonts w:ascii="Arial" w:eastAsia="Calibri" w:hAnsi="Arial" w:cs="Arial"/>
          <w:bCs/>
          <w:sz w:val="22"/>
        </w:rPr>
        <w:t xml:space="preserve">En lo que se refiere a la promoción del acceso de las </w:t>
      </w:r>
      <w:proofErr w:type="spellStart"/>
      <w:r w:rsidR="008675EC" w:rsidRPr="004E17A8">
        <w:rPr>
          <w:rFonts w:ascii="Arial" w:eastAsia="Calibri" w:hAnsi="Arial" w:cs="Arial"/>
          <w:bCs/>
          <w:sz w:val="22"/>
        </w:rPr>
        <w:t>mipymes</w:t>
      </w:r>
      <w:proofErr w:type="spellEnd"/>
      <w:r w:rsidR="008675EC" w:rsidRPr="004E17A8">
        <w:rPr>
          <w:rFonts w:ascii="Arial" w:eastAsia="Calibri" w:hAnsi="Arial" w:cs="Arial"/>
          <w:bCs/>
          <w:sz w:val="22"/>
        </w:rPr>
        <w:t xml:space="preserve"> al mercado de compras públicas, la legislación consagra una serie de deberes que </w:t>
      </w:r>
      <w:r w:rsidR="006C31B0" w:rsidRPr="004E17A8">
        <w:rPr>
          <w:rFonts w:ascii="Arial" w:eastAsia="Calibri" w:hAnsi="Arial" w:cs="Arial"/>
          <w:bCs/>
          <w:sz w:val="22"/>
        </w:rPr>
        <w:t xml:space="preserve">deben </w:t>
      </w:r>
      <w:r w:rsidR="008675EC" w:rsidRPr="004E17A8">
        <w:rPr>
          <w:rFonts w:ascii="Arial" w:eastAsia="Calibri" w:hAnsi="Arial" w:cs="Arial"/>
          <w:bCs/>
          <w:sz w:val="22"/>
        </w:rPr>
        <w:t xml:space="preserve">cumplir </w:t>
      </w:r>
      <w:r w:rsidR="00E1000A" w:rsidRPr="004E17A8">
        <w:rPr>
          <w:rFonts w:ascii="Arial" w:eastAsia="Calibri" w:hAnsi="Arial" w:cs="Arial"/>
          <w:bCs/>
          <w:sz w:val="22"/>
        </w:rPr>
        <w:t xml:space="preserve">los destinatarios </w:t>
      </w:r>
      <w:r w:rsidR="008675EC" w:rsidRPr="004E17A8">
        <w:rPr>
          <w:rFonts w:ascii="Arial" w:eastAsia="Calibri" w:hAnsi="Arial" w:cs="Arial"/>
          <w:bCs/>
          <w:sz w:val="22"/>
        </w:rPr>
        <w:t>en su gestión contractual. Aunque el alcance de estas obligaciones puede delimitarse por otras leyes o reglamentos, lo importante es que el artículo 3</w:t>
      </w:r>
      <w:r w:rsidR="00E91C29" w:rsidRPr="004E17A8">
        <w:rPr>
          <w:rFonts w:ascii="Arial" w:eastAsia="Calibri" w:hAnsi="Arial" w:cs="Arial"/>
          <w:bCs/>
          <w:sz w:val="22"/>
        </w:rPr>
        <w:t>3</w:t>
      </w:r>
      <w:r w:rsidR="008675EC" w:rsidRPr="004E17A8">
        <w:rPr>
          <w:rFonts w:ascii="Arial" w:eastAsia="Calibri" w:hAnsi="Arial" w:cs="Arial"/>
          <w:bCs/>
          <w:sz w:val="22"/>
        </w:rPr>
        <w:t xml:space="preserve"> consagra elementos mínimos que las entidades deben acatar so pena de una causal de mala conducta.</w:t>
      </w:r>
    </w:p>
    <w:p w14:paraId="19157FED" w14:textId="749F8401" w:rsidR="00E2375B" w:rsidRPr="004E17A8" w:rsidRDefault="00E2375B" w:rsidP="009F2056">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t xml:space="preserve">Igualmente, </w:t>
      </w:r>
      <w:r w:rsidR="00400466" w:rsidRPr="004E17A8">
        <w:rPr>
          <w:rFonts w:ascii="Arial" w:eastAsia="Calibri" w:hAnsi="Arial" w:cs="Arial"/>
          <w:bCs/>
          <w:sz w:val="22"/>
        </w:rPr>
        <w:t xml:space="preserve">respecto a </w:t>
      </w:r>
      <w:r w:rsidRPr="004E17A8">
        <w:rPr>
          <w:rFonts w:ascii="Arial" w:eastAsia="Calibri" w:hAnsi="Arial" w:cs="Arial"/>
          <w:bCs/>
          <w:sz w:val="22"/>
        </w:rPr>
        <w:t xml:space="preserve">los factores de desempate, se encuentra que los mismos se elevaron a rango de ley, por lo que ni el reglamento ni el pliego de condiciones pueden </w:t>
      </w:r>
      <w:r w:rsidR="00996849" w:rsidRPr="004E17A8">
        <w:rPr>
          <w:rFonts w:ascii="Arial" w:eastAsia="Calibri" w:hAnsi="Arial" w:cs="Arial"/>
          <w:bCs/>
          <w:sz w:val="22"/>
        </w:rPr>
        <w:t>modificarlos, adicionarlos o suprimirlos</w:t>
      </w:r>
      <w:r w:rsidRPr="004E17A8">
        <w:rPr>
          <w:rFonts w:ascii="Arial" w:eastAsia="Calibri" w:hAnsi="Arial" w:cs="Arial"/>
          <w:bCs/>
          <w:sz w:val="22"/>
        </w:rPr>
        <w:t>. En este sentido, las causales del artículo 35 son obligatorias en los procedimientos de selección de las entidades sometidas al Estatuto General, las entidades exceptuadas de la Ley 80 de 1993 y los patrimonios autónomos</w:t>
      </w:r>
      <w:r w:rsidR="00400466" w:rsidRPr="004E17A8">
        <w:rPr>
          <w:rFonts w:ascii="Arial" w:eastAsia="Calibri" w:hAnsi="Arial" w:cs="Arial"/>
          <w:bCs/>
          <w:sz w:val="22"/>
        </w:rPr>
        <w:t>. De esta manera, sin perjuicio de lo dispuesto en el parágrafo 3 para los casos en que concurren dos o más de los factores de desempate, no requiere de una reglamentación previa para s</w:t>
      </w:r>
      <w:r w:rsidR="00E91C29" w:rsidRPr="004E17A8">
        <w:rPr>
          <w:rFonts w:ascii="Arial" w:eastAsia="Calibri" w:hAnsi="Arial" w:cs="Arial"/>
          <w:bCs/>
          <w:sz w:val="22"/>
        </w:rPr>
        <w:t>u</w:t>
      </w:r>
      <w:r w:rsidR="00400466" w:rsidRPr="004E17A8">
        <w:rPr>
          <w:rFonts w:ascii="Arial" w:eastAsia="Calibri" w:hAnsi="Arial" w:cs="Arial"/>
          <w:bCs/>
          <w:sz w:val="22"/>
        </w:rPr>
        <w:t xml:space="preserve"> exigibilidad</w:t>
      </w:r>
      <w:r w:rsidRPr="004E17A8">
        <w:rPr>
          <w:rFonts w:ascii="Arial" w:eastAsia="Calibri" w:hAnsi="Arial" w:cs="Arial"/>
          <w:bCs/>
          <w:sz w:val="22"/>
        </w:rPr>
        <w:t xml:space="preserve">. </w:t>
      </w:r>
    </w:p>
    <w:p w14:paraId="26EF600D" w14:textId="5F87E55E" w:rsidR="00834AA0" w:rsidRPr="004E17A8" w:rsidRDefault="00400466" w:rsidP="00834AA0">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t xml:space="preserve">Sin perjuicio de los anterior, </w:t>
      </w:r>
      <w:r w:rsidR="00834AA0" w:rsidRPr="004E17A8">
        <w:rPr>
          <w:rFonts w:ascii="Arial" w:eastAsia="Calibri" w:hAnsi="Arial" w:cs="Arial"/>
          <w:bCs/>
          <w:sz w:val="22"/>
        </w:rPr>
        <w:t xml:space="preserve">es necesario considerar que el artículo 35 de la Ley 2069 de 2020 no establece un medio específico para acreditar las circunstancias a las que se refiere cada causal. Por lo tanto, conforme a lo explicado por esta Agencia en los Conceptos C-012, C-015 y C-016 del 4 de febrero de 2021, corresponde a la entidad contratante analizar si el ordenamiento jurídico, en otras disposiciones legales o reglamentarias, exige un documento especial o si, por el contrario, hay libertad probatoria. Este análisis debe realizarse de manera independiente frente a cada numeral.  </w:t>
      </w:r>
    </w:p>
    <w:p w14:paraId="6D17BEAA" w14:textId="26980284" w:rsidR="00400466" w:rsidRPr="004E17A8" w:rsidRDefault="00834AA0" w:rsidP="00834AA0">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t xml:space="preserve">En caso de que no exista «tarifa legal», es decir, en el evento en que la ley o el reglamento no definan un medio probatorio para acreditar la circunstancia correspondiente, la entidad estatal contratante tiene discrecionalidad para establecer en el pliego de condiciones o en el documento equivalente de qué manera el proponente podrá probar que se halla </w:t>
      </w:r>
      <w:r w:rsidR="00623899" w:rsidRPr="004E17A8">
        <w:rPr>
          <w:rFonts w:ascii="Arial" w:eastAsia="Calibri" w:hAnsi="Arial" w:cs="Arial"/>
          <w:bCs/>
          <w:sz w:val="22"/>
        </w:rPr>
        <w:t>en</w:t>
      </w:r>
      <w:r w:rsidRPr="004E17A8">
        <w:rPr>
          <w:rFonts w:ascii="Arial" w:eastAsia="Calibri" w:hAnsi="Arial" w:cs="Arial"/>
          <w:bCs/>
          <w:sz w:val="22"/>
        </w:rPr>
        <w:t xml:space="preserve"> la condición que permite aplicar la regla de desempate. Por supuesto, el decreto reglamentario que expida el gobierno nacional para garantizar la cumplida ejecución de la Ley 2069 de 2020 podría establecer los medios de prueba, así como las autoridades encargadas de certificar las circunstancias del artículo 35. Sin embargo, mientras ello no suceda, deberá aplicarse el criterio indicado con anterioridad.</w:t>
      </w:r>
    </w:p>
    <w:p w14:paraId="4ED705FD" w14:textId="30A54803" w:rsidR="00132DBE" w:rsidRPr="004E17A8" w:rsidRDefault="00882A05" w:rsidP="00A57F88">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r>
      <w:bookmarkStart w:id="19" w:name="_Hlk63884375"/>
      <w:r w:rsidR="00834AA0" w:rsidRPr="004E17A8">
        <w:rPr>
          <w:rFonts w:ascii="Arial" w:eastAsia="Calibri" w:hAnsi="Arial" w:cs="Arial"/>
          <w:bCs/>
          <w:sz w:val="22"/>
        </w:rPr>
        <w:t>Ahora bien</w:t>
      </w:r>
      <w:r w:rsidRPr="004E17A8">
        <w:rPr>
          <w:rFonts w:ascii="Arial" w:eastAsia="Calibri" w:hAnsi="Arial" w:cs="Arial"/>
          <w:bCs/>
          <w:sz w:val="22"/>
        </w:rPr>
        <w:t>, la relación entr</w:t>
      </w:r>
      <w:r w:rsidR="00BB1223" w:rsidRPr="004E17A8">
        <w:rPr>
          <w:rFonts w:ascii="Arial" w:eastAsia="Calibri" w:hAnsi="Arial" w:cs="Arial"/>
          <w:bCs/>
          <w:sz w:val="22"/>
        </w:rPr>
        <w:t>e</w:t>
      </w:r>
      <w:r w:rsidRPr="004E17A8">
        <w:rPr>
          <w:rFonts w:ascii="Arial" w:eastAsia="Calibri" w:hAnsi="Arial" w:cs="Arial"/>
          <w:bCs/>
          <w:sz w:val="22"/>
        </w:rPr>
        <w:t xml:space="preserve"> </w:t>
      </w:r>
      <w:r w:rsidR="0054595C" w:rsidRPr="004E17A8">
        <w:rPr>
          <w:rFonts w:ascii="Arial" w:eastAsia="Calibri" w:hAnsi="Arial" w:cs="Arial"/>
          <w:bCs/>
          <w:sz w:val="22"/>
        </w:rPr>
        <w:t>estas dos (2) fuentes del derecho</w:t>
      </w:r>
      <w:r w:rsidRPr="004E17A8">
        <w:rPr>
          <w:rFonts w:ascii="Arial" w:eastAsia="Calibri" w:hAnsi="Arial" w:cs="Arial"/>
          <w:bCs/>
          <w:sz w:val="22"/>
        </w:rPr>
        <w:t xml:space="preserve"> es</w:t>
      </w:r>
      <w:r w:rsidR="0054595C" w:rsidRPr="004E17A8">
        <w:rPr>
          <w:rFonts w:ascii="Arial" w:eastAsia="Calibri" w:hAnsi="Arial" w:cs="Arial"/>
          <w:bCs/>
          <w:sz w:val="22"/>
        </w:rPr>
        <w:t xml:space="preserve"> totalmente</w:t>
      </w:r>
      <w:r w:rsidRPr="004E17A8">
        <w:rPr>
          <w:rFonts w:ascii="Arial" w:eastAsia="Calibri" w:hAnsi="Arial" w:cs="Arial"/>
          <w:bCs/>
          <w:sz w:val="22"/>
        </w:rPr>
        <w:t xml:space="preserve"> </w:t>
      </w:r>
      <w:r w:rsidR="00BB1223" w:rsidRPr="004E17A8">
        <w:rPr>
          <w:rFonts w:ascii="Arial" w:eastAsia="Calibri" w:hAnsi="Arial" w:cs="Arial"/>
          <w:bCs/>
          <w:sz w:val="22"/>
        </w:rPr>
        <w:t xml:space="preserve">diferente en la </w:t>
      </w:r>
      <w:r w:rsidR="00BB1223" w:rsidRPr="004E17A8">
        <w:rPr>
          <w:rFonts w:ascii="Arial" w:eastAsia="Calibri" w:hAnsi="Arial" w:cs="Arial"/>
          <w:bCs/>
          <w:i/>
          <w:iCs/>
          <w:sz w:val="22"/>
        </w:rPr>
        <w:t>tesis de la reglamentación</w:t>
      </w:r>
      <w:r w:rsidR="00BB1223" w:rsidRPr="004E17A8">
        <w:rPr>
          <w:rFonts w:ascii="Arial" w:eastAsia="Calibri" w:hAnsi="Arial" w:cs="Arial"/>
          <w:bCs/>
          <w:sz w:val="22"/>
        </w:rPr>
        <w:t xml:space="preserve">. </w:t>
      </w:r>
      <w:r w:rsidR="0054595C" w:rsidRPr="004E17A8">
        <w:rPr>
          <w:rFonts w:ascii="Arial" w:eastAsia="Calibri" w:hAnsi="Arial" w:cs="Arial"/>
          <w:bCs/>
          <w:sz w:val="22"/>
        </w:rPr>
        <w:t xml:space="preserve">Para estos efectos, si bien el Congreso de la República conserva la cláusula general de competencia normativa para la expedición de las leyes, sujeta su aplicación a una norma de menor jerarquía que regule aspectos de </w:t>
      </w:r>
      <w:r w:rsidR="0054595C" w:rsidRPr="004E17A8">
        <w:rPr>
          <w:rFonts w:ascii="Arial" w:eastAsia="Calibri" w:hAnsi="Arial" w:cs="Arial"/>
          <w:bCs/>
          <w:sz w:val="22"/>
        </w:rPr>
        <w:lastRenderedPageBreak/>
        <w:t>detalle</w:t>
      </w:r>
      <w:r w:rsidR="000A2BEF" w:rsidRPr="004E17A8">
        <w:rPr>
          <w:rFonts w:ascii="Arial" w:eastAsia="Calibri" w:hAnsi="Arial" w:cs="Arial"/>
          <w:bCs/>
          <w:sz w:val="22"/>
        </w:rPr>
        <w:t xml:space="preserve">, por lo que exige </w:t>
      </w:r>
      <w:r w:rsidR="0054595C" w:rsidRPr="004E17A8">
        <w:rPr>
          <w:rFonts w:ascii="Arial" w:eastAsia="Calibri" w:hAnsi="Arial" w:cs="Arial"/>
          <w:bCs/>
          <w:sz w:val="22"/>
        </w:rPr>
        <w:t xml:space="preserve">la </w:t>
      </w:r>
      <w:r w:rsidR="000A2BEF" w:rsidRPr="004E17A8">
        <w:rPr>
          <w:rFonts w:ascii="Arial" w:eastAsia="Calibri" w:hAnsi="Arial" w:cs="Arial"/>
          <w:bCs/>
          <w:sz w:val="22"/>
        </w:rPr>
        <w:t>expedición del decreto reglamentario correspondiente</w:t>
      </w:r>
      <w:bookmarkEnd w:id="19"/>
      <w:r w:rsidR="000A2BEF" w:rsidRPr="004E17A8">
        <w:rPr>
          <w:rFonts w:ascii="Arial" w:eastAsia="Calibri" w:hAnsi="Arial" w:cs="Arial"/>
          <w:bCs/>
          <w:sz w:val="22"/>
        </w:rPr>
        <w:t xml:space="preserve">. Este el caso </w:t>
      </w:r>
      <w:r w:rsidR="009F2056" w:rsidRPr="004E17A8">
        <w:rPr>
          <w:rFonts w:ascii="Arial" w:eastAsia="Calibri" w:hAnsi="Arial" w:cs="Arial"/>
          <w:bCs/>
          <w:sz w:val="22"/>
        </w:rPr>
        <w:t>de los</w:t>
      </w:r>
      <w:r w:rsidR="009F2056" w:rsidRPr="004E17A8">
        <w:rPr>
          <w:rFonts w:ascii="Arial" w:eastAsia="Calibri" w:hAnsi="Arial" w:cs="Arial"/>
          <w:sz w:val="22"/>
          <w:lang w:val="es-ES_tradnl"/>
        </w:rPr>
        <w:t xml:space="preserve"> artículos 31, 32, 34 y 36 de la Ley de Emprendimiento</w:t>
      </w:r>
      <w:r w:rsidR="005C0309" w:rsidRPr="004E17A8">
        <w:rPr>
          <w:rFonts w:ascii="Arial" w:eastAsia="Calibri" w:hAnsi="Arial" w:cs="Arial"/>
          <w:bCs/>
          <w:sz w:val="22"/>
        </w:rPr>
        <w:t xml:space="preserve">. </w:t>
      </w:r>
    </w:p>
    <w:p w14:paraId="15626209" w14:textId="086AE999" w:rsidR="000D6C6D" w:rsidRPr="004E17A8" w:rsidRDefault="00132DBE" w:rsidP="00A57F88">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r>
      <w:r w:rsidR="009F2056" w:rsidRPr="004E17A8">
        <w:rPr>
          <w:rFonts w:ascii="Arial" w:eastAsia="Calibri" w:hAnsi="Arial" w:cs="Arial"/>
          <w:bCs/>
          <w:sz w:val="22"/>
        </w:rPr>
        <w:t>En efecto</w:t>
      </w:r>
      <w:r w:rsidR="005C0309" w:rsidRPr="004E17A8">
        <w:rPr>
          <w:rFonts w:ascii="Arial" w:eastAsia="Calibri" w:hAnsi="Arial" w:cs="Arial"/>
          <w:bCs/>
          <w:sz w:val="22"/>
        </w:rPr>
        <w:t xml:space="preserve">, </w:t>
      </w:r>
      <w:r w:rsidR="009F2056" w:rsidRPr="004E17A8">
        <w:rPr>
          <w:rFonts w:ascii="Arial" w:eastAsia="Calibri" w:hAnsi="Arial" w:cs="Arial"/>
          <w:bCs/>
          <w:sz w:val="22"/>
        </w:rPr>
        <w:t xml:space="preserve">estas disposiciones </w:t>
      </w:r>
      <w:r w:rsidR="005C0309" w:rsidRPr="004E17A8">
        <w:rPr>
          <w:rFonts w:ascii="Arial" w:eastAsia="Calibri" w:hAnsi="Arial" w:cs="Arial"/>
          <w:bCs/>
          <w:sz w:val="22"/>
        </w:rPr>
        <w:t>contiene</w:t>
      </w:r>
      <w:r w:rsidR="009F2056" w:rsidRPr="004E17A8">
        <w:rPr>
          <w:rFonts w:ascii="Arial" w:eastAsia="Calibri" w:hAnsi="Arial" w:cs="Arial"/>
          <w:bCs/>
          <w:sz w:val="22"/>
        </w:rPr>
        <w:t>n</w:t>
      </w:r>
      <w:r w:rsidR="005C0309" w:rsidRPr="004E17A8">
        <w:rPr>
          <w:rFonts w:ascii="Arial" w:eastAsia="Calibri" w:hAnsi="Arial" w:cs="Arial"/>
          <w:bCs/>
          <w:sz w:val="22"/>
        </w:rPr>
        <w:t xml:space="preserve"> un mandato de reglamentación que debe acatar el </w:t>
      </w:r>
      <w:r w:rsidR="009F2056" w:rsidRPr="004E17A8">
        <w:rPr>
          <w:rFonts w:ascii="Arial" w:eastAsia="Calibri" w:hAnsi="Arial" w:cs="Arial"/>
          <w:bCs/>
          <w:sz w:val="22"/>
        </w:rPr>
        <w:t>Gobierno Nacional</w:t>
      </w:r>
      <w:r w:rsidR="00BE35F3" w:rsidRPr="004E17A8">
        <w:rPr>
          <w:rStyle w:val="Refdenotaalpie"/>
          <w:rFonts w:ascii="Arial" w:eastAsia="Calibri" w:hAnsi="Arial" w:cs="Arial"/>
          <w:bCs/>
          <w:sz w:val="22"/>
        </w:rPr>
        <w:footnoteReference w:id="12"/>
      </w:r>
      <w:r w:rsidR="005C0309" w:rsidRPr="004E17A8">
        <w:rPr>
          <w:rFonts w:ascii="Arial" w:eastAsia="Calibri" w:hAnsi="Arial" w:cs="Arial"/>
          <w:bCs/>
          <w:sz w:val="22"/>
        </w:rPr>
        <w:t xml:space="preserve">. </w:t>
      </w:r>
      <w:r w:rsidRPr="004E17A8">
        <w:rPr>
          <w:rFonts w:ascii="Arial" w:eastAsia="Calibri" w:hAnsi="Arial" w:cs="Arial"/>
          <w:bCs/>
          <w:sz w:val="22"/>
        </w:rPr>
        <w:t>Sin el decreto la ley es inaplicable</w:t>
      </w:r>
      <w:r w:rsidR="00BE4E3F" w:rsidRPr="004E17A8">
        <w:rPr>
          <w:rFonts w:ascii="Arial" w:eastAsia="Calibri" w:hAnsi="Arial" w:cs="Arial"/>
          <w:bCs/>
          <w:sz w:val="22"/>
        </w:rPr>
        <w:t>,</w:t>
      </w:r>
      <w:r w:rsidRPr="004E17A8">
        <w:rPr>
          <w:rFonts w:ascii="Arial" w:eastAsia="Calibri" w:hAnsi="Arial" w:cs="Arial"/>
          <w:bCs/>
          <w:sz w:val="22"/>
        </w:rPr>
        <w:t xml:space="preserve"> porque delega en una fuente de inferior jerarquía la definición de los aspectos relevantes para efectividad de los mandatos contenidos en</w:t>
      </w:r>
      <w:r w:rsidR="00BE4E3F" w:rsidRPr="004E17A8">
        <w:rPr>
          <w:rFonts w:ascii="Arial" w:eastAsia="Calibri" w:hAnsi="Arial" w:cs="Arial"/>
          <w:bCs/>
          <w:sz w:val="22"/>
        </w:rPr>
        <w:t xml:space="preserve"> la misma. En estos casos, la omisión reglamentaria genera una </w:t>
      </w:r>
      <w:r w:rsidR="00BE4E3F" w:rsidRPr="004E17A8">
        <w:rPr>
          <w:rFonts w:ascii="Arial" w:eastAsia="Calibri" w:hAnsi="Arial" w:cs="Arial"/>
          <w:bCs/>
          <w:i/>
          <w:iCs/>
          <w:sz w:val="22"/>
        </w:rPr>
        <w:t>laguna técnica</w:t>
      </w:r>
      <w:r w:rsidR="00BE4E3F" w:rsidRPr="004E17A8">
        <w:rPr>
          <w:rFonts w:ascii="Arial" w:eastAsia="Calibri" w:hAnsi="Arial" w:cs="Arial"/>
          <w:bCs/>
          <w:sz w:val="22"/>
        </w:rPr>
        <w:t xml:space="preserve">, </w:t>
      </w:r>
      <w:r w:rsidR="00363D0D" w:rsidRPr="004E17A8">
        <w:rPr>
          <w:rFonts w:ascii="Arial" w:eastAsia="Calibri" w:hAnsi="Arial" w:cs="Arial"/>
          <w:bCs/>
          <w:sz w:val="22"/>
        </w:rPr>
        <w:t xml:space="preserve">la cual se produce </w:t>
      </w:r>
      <w:r w:rsidR="001A2D72" w:rsidRPr="004E17A8">
        <w:rPr>
          <w:rFonts w:ascii="Arial" w:eastAsia="Calibri" w:hAnsi="Arial" w:cs="Arial"/>
          <w:bCs/>
          <w:sz w:val="22"/>
        </w:rPr>
        <w:t xml:space="preserve">«[…] cuando falta en [el ordenamiento] una norma cuya existencia </w:t>
      </w:r>
      <w:r w:rsidR="0053325A" w:rsidRPr="004E17A8">
        <w:rPr>
          <w:rFonts w:ascii="Arial" w:eastAsia="Calibri" w:hAnsi="Arial" w:cs="Arial"/>
          <w:bCs/>
          <w:sz w:val="22"/>
        </w:rPr>
        <w:t xml:space="preserve">es condición necesaria para la eficacia (y/o para la efectividad) de otra norma. </w:t>
      </w:r>
      <w:r w:rsidR="00CB4B83" w:rsidRPr="004E17A8">
        <w:rPr>
          <w:rFonts w:ascii="Arial" w:eastAsia="Calibri" w:hAnsi="Arial" w:cs="Arial"/>
          <w:bCs/>
          <w:sz w:val="22"/>
        </w:rPr>
        <w:t>P</w:t>
      </w:r>
      <w:r w:rsidR="0053325A" w:rsidRPr="004E17A8">
        <w:rPr>
          <w:rFonts w:ascii="Arial" w:eastAsia="Calibri" w:hAnsi="Arial" w:cs="Arial"/>
          <w:bCs/>
          <w:sz w:val="22"/>
        </w:rPr>
        <w:t>or tanto</w:t>
      </w:r>
      <w:r w:rsidR="00CB4B83" w:rsidRPr="004E17A8">
        <w:rPr>
          <w:rFonts w:ascii="Arial" w:eastAsia="Calibri" w:hAnsi="Arial" w:cs="Arial"/>
          <w:bCs/>
          <w:sz w:val="22"/>
        </w:rPr>
        <w:t>, sucede</w:t>
      </w:r>
      <w:r w:rsidR="0053325A" w:rsidRPr="004E17A8">
        <w:rPr>
          <w:rFonts w:ascii="Arial" w:eastAsia="Calibri" w:hAnsi="Arial" w:cs="Arial"/>
          <w:bCs/>
          <w:sz w:val="22"/>
        </w:rPr>
        <w:t xml:space="preserve"> que una norma no puede producir efectos jurídicos (y/o no puede ser obedecida o aplicada) en ausencia de otras normas que […] la concreten» (Corchetes fuera de texto)</w:t>
      </w:r>
      <w:r w:rsidR="0053325A" w:rsidRPr="004E17A8">
        <w:rPr>
          <w:rStyle w:val="Refdenotaalpie"/>
          <w:rFonts w:ascii="Arial" w:eastAsia="Calibri" w:hAnsi="Arial" w:cs="Arial"/>
          <w:bCs/>
          <w:sz w:val="22"/>
        </w:rPr>
        <w:footnoteReference w:id="13"/>
      </w:r>
      <w:r w:rsidR="0053325A" w:rsidRPr="004E17A8">
        <w:rPr>
          <w:rFonts w:ascii="Arial" w:eastAsia="Calibri" w:hAnsi="Arial" w:cs="Arial"/>
          <w:bCs/>
          <w:sz w:val="22"/>
        </w:rPr>
        <w:t>.</w:t>
      </w:r>
    </w:p>
    <w:p w14:paraId="59DF8FF2" w14:textId="708E26EB" w:rsidR="00122311" w:rsidRPr="004E17A8" w:rsidRDefault="00122311" w:rsidP="00A57F88">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r>
      <w:r w:rsidR="006E3902" w:rsidRPr="00393811">
        <w:rPr>
          <w:rFonts w:ascii="Arial" w:eastAsia="Calibri" w:hAnsi="Arial" w:cs="Arial"/>
          <w:bCs/>
          <w:color w:val="000000" w:themeColor="text1"/>
          <w:sz w:val="22"/>
        </w:rPr>
        <w:t xml:space="preserve">Este tipo de lagunas no son ajenas a la contratación estatal, ya que –conforme a los antecedentes de la consulta– el procedimiento para la cesión unilateral del contrato del artículo 9 de la Ley 2014 de 2019 también estaba condicionado por su reglamentación previa en los términos del parágrafo 2 </w:t>
      </w:r>
      <w:r w:rsidR="006E3902" w:rsidRPr="00393811">
        <w:rPr>
          <w:rFonts w:ascii="Arial" w:eastAsia="Calibri" w:hAnsi="Arial" w:cs="Arial"/>
          <w:bCs/>
          <w:i/>
          <w:iCs/>
          <w:color w:val="000000" w:themeColor="text1"/>
          <w:sz w:val="22"/>
        </w:rPr>
        <w:t>ibidem</w:t>
      </w:r>
      <w:r w:rsidR="006E3902" w:rsidRPr="00393811">
        <w:rPr>
          <w:rFonts w:ascii="Arial" w:eastAsia="Calibri" w:hAnsi="Arial" w:cs="Arial"/>
          <w:bCs/>
          <w:color w:val="000000" w:themeColor="text1"/>
          <w:sz w:val="22"/>
        </w:rPr>
        <w:t xml:space="preserve"> antes de su declaratoria de inconstitucionalidad</w:t>
      </w:r>
      <w:r w:rsidR="006E3902" w:rsidRPr="00393811">
        <w:rPr>
          <w:rStyle w:val="Refdenotaalpie"/>
          <w:rFonts w:ascii="Arial" w:eastAsia="Calibri" w:hAnsi="Arial" w:cs="Arial"/>
          <w:bCs/>
          <w:color w:val="000000" w:themeColor="text1"/>
          <w:sz w:val="22"/>
        </w:rPr>
        <w:footnoteReference w:id="14"/>
      </w:r>
      <w:r w:rsidR="00903844" w:rsidRPr="004E17A8">
        <w:rPr>
          <w:rFonts w:ascii="Arial" w:eastAsia="Calibri" w:hAnsi="Arial" w:cs="Arial"/>
          <w:bCs/>
          <w:sz w:val="22"/>
        </w:rPr>
        <w:t xml:space="preserve">. Para llegar a esta conclusión, es necesario tener en cuenta que las </w:t>
      </w:r>
      <w:r w:rsidR="00903844" w:rsidRPr="004E17A8">
        <w:rPr>
          <w:rFonts w:ascii="Arial" w:eastAsia="Calibri" w:hAnsi="Arial" w:cs="Arial"/>
          <w:bCs/>
          <w:sz w:val="22"/>
        </w:rPr>
        <w:lastRenderedPageBreak/>
        <w:t>normas jurídicas, por regla general, producen efectos a partir de su promulgación o publicación. De allí se derivan principios tales como la irretroactividad de la ley y su efecto general inmediato</w:t>
      </w:r>
      <w:r w:rsidR="0040085D" w:rsidRPr="004E17A8">
        <w:rPr>
          <w:rStyle w:val="Refdenotaalpie"/>
          <w:rFonts w:ascii="Arial" w:eastAsia="Calibri" w:hAnsi="Arial" w:cs="Arial"/>
          <w:bCs/>
          <w:sz w:val="22"/>
        </w:rPr>
        <w:footnoteReference w:id="15"/>
      </w:r>
      <w:r w:rsidR="0040085D" w:rsidRPr="004E17A8">
        <w:rPr>
          <w:rFonts w:ascii="Arial" w:eastAsia="Calibri" w:hAnsi="Arial" w:cs="Arial"/>
          <w:bCs/>
          <w:sz w:val="22"/>
        </w:rPr>
        <w:t xml:space="preserve">. </w:t>
      </w:r>
    </w:p>
    <w:p w14:paraId="05778DE3" w14:textId="69D3864B" w:rsidR="0040085D" w:rsidRPr="004E17A8" w:rsidRDefault="0040085D" w:rsidP="0040085D">
      <w:pPr>
        <w:spacing w:after="120" w:line="276" w:lineRule="auto"/>
        <w:ind w:firstLine="709"/>
        <w:jc w:val="both"/>
        <w:rPr>
          <w:rFonts w:ascii="Arial" w:eastAsia="Calibri" w:hAnsi="Arial" w:cs="Arial"/>
          <w:sz w:val="22"/>
          <w:lang w:val="es-ES"/>
        </w:rPr>
      </w:pPr>
      <w:r w:rsidRPr="004E17A8">
        <w:rPr>
          <w:rFonts w:ascii="Arial" w:eastAsia="Calibri" w:hAnsi="Arial" w:cs="Arial"/>
          <w:sz w:val="22"/>
          <w:lang w:val="es-ES"/>
        </w:rPr>
        <w:t xml:space="preserve">Sin embargo, las leyes pueden modular sus efectos en el tiempo y establecer para el inicio de su entrada en vigor un plazo o una condición. Ejemplo de una norma que establece un plazo es la Ley 1952 de 2019, por medio de la cual se expide el Código Disciplinario Único, cuyo artículo 265 disponía «la presente ley entrará a regir cuatro meses después de su sanción y publicación». El artículo 140 de la Ley 1955 de 2019 prorrogó este plazo hasta el 1 de julio de 2021. </w:t>
      </w:r>
    </w:p>
    <w:p w14:paraId="3827E870" w14:textId="0890557F" w:rsidR="00E007E6" w:rsidRPr="004E17A8" w:rsidRDefault="00CB4B83" w:rsidP="00E007E6">
      <w:pPr>
        <w:spacing w:line="276" w:lineRule="auto"/>
        <w:ind w:firstLine="709"/>
        <w:jc w:val="both"/>
        <w:rPr>
          <w:rFonts w:ascii="Arial" w:eastAsia="Calibri" w:hAnsi="Arial" w:cs="Arial"/>
          <w:sz w:val="22"/>
          <w:lang w:val="es-ES"/>
        </w:rPr>
      </w:pPr>
      <w:r w:rsidRPr="004E17A8">
        <w:rPr>
          <w:rFonts w:ascii="Arial" w:eastAsia="Calibri" w:hAnsi="Arial" w:cs="Arial"/>
          <w:sz w:val="22"/>
          <w:lang w:val="es-ES"/>
        </w:rPr>
        <w:t>Sin embargo,</w:t>
      </w:r>
      <w:r w:rsidR="0040085D" w:rsidRPr="004E17A8">
        <w:rPr>
          <w:rFonts w:ascii="Arial" w:eastAsia="Calibri" w:hAnsi="Arial" w:cs="Arial"/>
          <w:sz w:val="22"/>
          <w:lang w:val="es-ES"/>
        </w:rPr>
        <w:t xml:space="preserve"> las leyes pueden establecer no un plazo sino una condición para modular sus efectos en el tiempo. La condición más usual es someter la vigencia a la expedición de un reglamento. En este sentido, el parágrafo transitorio del artículo 2 de la Ley 1150 de 2007 estableció «Hasta tanto el Gobierno Nacional no expidiere el reglamento respectivo, no se podrá hacer uso de la selección abreviada como modalidad de selección». La ley creó una modalidad de selección, la selección abreviada</w:t>
      </w:r>
      <w:r w:rsidR="007154DA" w:rsidRPr="004E17A8">
        <w:rPr>
          <w:rFonts w:ascii="Arial" w:eastAsia="Calibri" w:hAnsi="Arial" w:cs="Arial"/>
          <w:sz w:val="22"/>
          <w:lang w:val="es-ES"/>
        </w:rPr>
        <w:t>; pero</w:t>
      </w:r>
      <w:r w:rsidR="0040085D" w:rsidRPr="004E17A8">
        <w:rPr>
          <w:rFonts w:ascii="Arial" w:eastAsia="Calibri" w:hAnsi="Arial" w:cs="Arial"/>
          <w:sz w:val="22"/>
          <w:lang w:val="es-ES"/>
        </w:rPr>
        <w:t xml:space="preserve"> esas normas no podían aplicarse hasta que no se cumpliera la condición: </w:t>
      </w:r>
      <w:r w:rsidR="00854F21" w:rsidRPr="004E17A8">
        <w:rPr>
          <w:rFonts w:ascii="Arial" w:eastAsia="Calibri" w:hAnsi="Arial" w:cs="Arial"/>
          <w:sz w:val="22"/>
          <w:lang w:val="es-ES"/>
        </w:rPr>
        <w:t xml:space="preserve">la </w:t>
      </w:r>
      <w:r w:rsidR="0040085D" w:rsidRPr="004E17A8">
        <w:rPr>
          <w:rFonts w:ascii="Arial" w:eastAsia="Calibri" w:hAnsi="Arial" w:cs="Arial"/>
          <w:sz w:val="22"/>
          <w:lang w:val="es-ES"/>
        </w:rPr>
        <w:t>expedi</w:t>
      </w:r>
      <w:r w:rsidR="00854F21" w:rsidRPr="004E17A8">
        <w:rPr>
          <w:rFonts w:ascii="Arial" w:eastAsia="Calibri" w:hAnsi="Arial" w:cs="Arial"/>
          <w:sz w:val="22"/>
          <w:lang w:val="es-ES"/>
        </w:rPr>
        <w:t>ción d</w:t>
      </w:r>
      <w:r w:rsidR="0040085D" w:rsidRPr="004E17A8">
        <w:rPr>
          <w:rFonts w:ascii="Arial" w:eastAsia="Calibri" w:hAnsi="Arial" w:cs="Arial"/>
          <w:sz w:val="22"/>
          <w:lang w:val="es-ES"/>
        </w:rPr>
        <w:t>el reglamento</w:t>
      </w:r>
      <w:r w:rsidR="00E007E6" w:rsidRPr="004E17A8">
        <w:rPr>
          <w:rFonts w:ascii="Arial" w:eastAsia="Calibri" w:hAnsi="Arial" w:cs="Arial"/>
          <w:sz w:val="22"/>
          <w:lang w:val="es-ES"/>
        </w:rPr>
        <w:t xml:space="preserve">. Sobre este asunto, es preciso llamar la atención sobre la jurisprudencia. Al respecto, el Consejo de Estado considera que: </w:t>
      </w:r>
    </w:p>
    <w:p w14:paraId="6E0CF04B" w14:textId="77777777" w:rsidR="00E007E6" w:rsidRPr="004E17A8" w:rsidRDefault="00E007E6" w:rsidP="00F85C73">
      <w:pPr>
        <w:shd w:val="clear" w:color="auto" w:fill="FFFFFF"/>
        <w:spacing w:line="276" w:lineRule="auto"/>
        <w:ind w:left="709" w:right="760"/>
        <w:jc w:val="both"/>
        <w:rPr>
          <w:rFonts w:ascii="Arial" w:eastAsia="Calibri" w:hAnsi="Arial" w:cs="Arial"/>
          <w:sz w:val="22"/>
          <w:lang w:val="es-ES"/>
        </w:rPr>
      </w:pPr>
    </w:p>
    <w:p w14:paraId="016B64C3" w14:textId="4765F63D" w:rsidR="00E007E6" w:rsidRPr="004E17A8" w:rsidRDefault="00E007E6" w:rsidP="00E007E6">
      <w:pPr>
        <w:shd w:val="clear" w:color="auto" w:fill="FFFFFF"/>
        <w:ind w:left="709" w:right="760"/>
        <w:jc w:val="both"/>
        <w:rPr>
          <w:rFonts w:ascii="Arial" w:eastAsia="Calibri" w:hAnsi="Arial" w:cs="Arial"/>
          <w:sz w:val="21"/>
          <w:szCs w:val="21"/>
          <w:lang w:val="es-ES"/>
        </w:rPr>
      </w:pPr>
      <w:r w:rsidRPr="004E17A8">
        <w:rPr>
          <w:rFonts w:ascii="Arial" w:eastAsia="Calibri" w:hAnsi="Arial" w:cs="Arial"/>
          <w:sz w:val="21"/>
          <w:szCs w:val="21"/>
          <w:lang w:val="es-ES"/>
        </w:rPr>
        <w:t>[…] el Presidente de la República no requiere autorización por parte del Legislador para el ejercicio de su facultad reglamentaria, de manera que si éste establece en la ley que el mismo reglamentará la materia, dicha indicación debe entenderse simplemente como el reconocimiento de que para su efectivo cumplimiento es necesaria la expedición de una reglamentación, bajo el concepto de colaboración armónica que sustenta la estructura y el funcionamiento del Estado (inciso 2 del artículo 113 C.P)</w:t>
      </w:r>
      <w:r w:rsidRPr="004E17A8">
        <w:rPr>
          <w:rStyle w:val="Refdenotaalpie"/>
          <w:rFonts w:ascii="Arial" w:eastAsia="Calibri" w:hAnsi="Arial" w:cs="Arial"/>
          <w:sz w:val="21"/>
          <w:szCs w:val="21"/>
          <w:lang w:val="es-ES"/>
        </w:rPr>
        <w:footnoteReference w:id="16"/>
      </w:r>
      <w:r w:rsidRPr="004E17A8">
        <w:rPr>
          <w:rFonts w:ascii="Arial" w:eastAsia="Calibri" w:hAnsi="Arial" w:cs="Arial"/>
          <w:sz w:val="21"/>
          <w:szCs w:val="21"/>
          <w:lang w:val="es-ES"/>
        </w:rPr>
        <w:t>.</w:t>
      </w:r>
    </w:p>
    <w:p w14:paraId="10053587" w14:textId="77777777" w:rsidR="00E007E6" w:rsidRPr="004E17A8" w:rsidRDefault="00E007E6" w:rsidP="00F85C73">
      <w:pPr>
        <w:shd w:val="clear" w:color="auto" w:fill="FFFFFF"/>
        <w:spacing w:line="276" w:lineRule="auto"/>
        <w:ind w:left="709" w:right="760"/>
        <w:jc w:val="both"/>
        <w:rPr>
          <w:rFonts w:ascii="Arial" w:eastAsia="Calibri" w:hAnsi="Arial" w:cs="Arial"/>
          <w:sz w:val="22"/>
          <w:lang w:val="es-ES"/>
        </w:rPr>
      </w:pPr>
    </w:p>
    <w:p w14:paraId="096F1A71" w14:textId="7044D303" w:rsidR="00F53D1E" w:rsidRPr="004E17A8" w:rsidRDefault="00E007E6" w:rsidP="00E007E6">
      <w:pPr>
        <w:shd w:val="clear" w:color="auto" w:fill="FFFFFF"/>
        <w:spacing w:after="120" w:line="276" w:lineRule="auto"/>
        <w:ind w:right="51" w:firstLine="709"/>
        <w:jc w:val="both"/>
        <w:rPr>
          <w:rFonts w:ascii="Arial" w:eastAsia="Calibri" w:hAnsi="Arial" w:cs="Arial"/>
          <w:sz w:val="22"/>
          <w:lang w:val="es-ES"/>
        </w:rPr>
      </w:pPr>
      <w:bookmarkStart w:id="20" w:name="_Hlk63884655"/>
      <w:r w:rsidRPr="004E17A8">
        <w:rPr>
          <w:rFonts w:ascii="Arial" w:eastAsia="Calibri" w:hAnsi="Arial" w:cs="Arial"/>
          <w:sz w:val="22"/>
          <w:lang w:val="es-ES"/>
        </w:rPr>
        <w:t xml:space="preserve">La referencia hecha en una ley a que el Gobierno Nacional reglamentará la materia </w:t>
      </w:r>
      <w:r w:rsidR="004F4A4D" w:rsidRPr="004E17A8">
        <w:rPr>
          <w:rFonts w:ascii="Arial" w:eastAsia="Calibri" w:hAnsi="Arial" w:cs="Arial"/>
          <w:sz w:val="22"/>
          <w:lang w:val="es-ES"/>
        </w:rPr>
        <w:t>indica</w:t>
      </w:r>
      <w:r w:rsidRPr="004E17A8">
        <w:rPr>
          <w:rFonts w:ascii="Arial" w:eastAsia="Calibri" w:hAnsi="Arial" w:cs="Arial"/>
          <w:sz w:val="22"/>
          <w:lang w:val="es-ES"/>
        </w:rPr>
        <w:t xml:space="preserve"> que el reglamento es indispensable para el cumplimiento de </w:t>
      </w:r>
      <w:proofErr w:type="gramStart"/>
      <w:r w:rsidRPr="004E17A8">
        <w:rPr>
          <w:rFonts w:ascii="Arial" w:eastAsia="Calibri" w:hAnsi="Arial" w:cs="Arial"/>
          <w:sz w:val="22"/>
          <w:lang w:val="es-ES"/>
        </w:rPr>
        <w:t>la misma</w:t>
      </w:r>
      <w:proofErr w:type="gramEnd"/>
      <w:r w:rsidRPr="004E17A8">
        <w:rPr>
          <w:rFonts w:ascii="Arial" w:eastAsia="Calibri" w:hAnsi="Arial" w:cs="Arial"/>
          <w:sz w:val="22"/>
          <w:lang w:val="es-ES"/>
        </w:rPr>
        <w:t xml:space="preserve">. </w:t>
      </w:r>
      <w:r w:rsidR="006E7418" w:rsidRPr="004E17A8">
        <w:rPr>
          <w:rFonts w:ascii="Arial" w:eastAsia="Calibri" w:hAnsi="Arial" w:cs="Arial"/>
          <w:sz w:val="22"/>
          <w:lang w:val="es-ES"/>
        </w:rPr>
        <w:t>Naturalmente, este</w:t>
      </w:r>
      <w:r w:rsidRPr="004E17A8">
        <w:rPr>
          <w:rFonts w:ascii="Arial" w:eastAsia="Calibri" w:hAnsi="Arial" w:cs="Arial"/>
          <w:sz w:val="22"/>
          <w:lang w:val="es-ES"/>
        </w:rPr>
        <w:t xml:space="preserve"> reconocimiento no siempre implica que la ley </w:t>
      </w:r>
      <w:r w:rsidR="006E7418" w:rsidRPr="004E17A8">
        <w:rPr>
          <w:rFonts w:ascii="Arial" w:eastAsia="Calibri" w:hAnsi="Arial" w:cs="Arial"/>
          <w:sz w:val="22"/>
          <w:lang w:val="es-ES"/>
        </w:rPr>
        <w:t>está</w:t>
      </w:r>
      <w:r w:rsidRPr="004E17A8">
        <w:rPr>
          <w:rFonts w:ascii="Arial" w:eastAsia="Calibri" w:hAnsi="Arial" w:cs="Arial"/>
          <w:sz w:val="22"/>
          <w:lang w:val="es-ES"/>
        </w:rPr>
        <w:t xml:space="preserve"> sometida a condición para </w:t>
      </w:r>
      <w:proofErr w:type="gramStart"/>
      <w:r w:rsidRPr="004E17A8">
        <w:rPr>
          <w:rFonts w:ascii="Arial" w:eastAsia="Calibri" w:hAnsi="Arial" w:cs="Arial"/>
          <w:sz w:val="22"/>
          <w:lang w:val="es-ES"/>
        </w:rPr>
        <w:t xml:space="preserve">entrar </w:t>
      </w:r>
      <w:r w:rsidR="006E7418" w:rsidRPr="004E17A8">
        <w:rPr>
          <w:rFonts w:ascii="Arial" w:eastAsia="Calibri" w:hAnsi="Arial" w:cs="Arial"/>
          <w:sz w:val="22"/>
          <w:lang w:val="es-ES"/>
        </w:rPr>
        <w:t>en vigencia</w:t>
      </w:r>
      <w:proofErr w:type="gramEnd"/>
      <w:r w:rsidRPr="004E17A8">
        <w:rPr>
          <w:rFonts w:ascii="Arial" w:eastAsia="Calibri" w:hAnsi="Arial" w:cs="Arial"/>
          <w:sz w:val="22"/>
          <w:lang w:val="es-ES"/>
        </w:rPr>
        <w:t>; pero cuando ello se analiza con otros elementos que obran en este sentido, como los antecedentes legislativos, es posible utilizar la referencia al reglamento como una prueba de que la ley moduló sus efectos en el tiempo y se encuentra sometida a condición.</w:t>
      </w:r>
    </w:p>
    <w:bookmarkEnd w:id="20"/>
    <w:p w14:paraId="023D601B" w14:textId="4B2EC334" w:rsidR="001972D2" w:rsidRPr="004E17A8" w:rsidRDefault="00C67E1B" w:rsidP="001972D2">
      <w:pPr>
        <w:shd w:val="clear" w:color="auto" w:fill="FFFFFF"/>
        <w:spacing w:after="120" w:line="276" w:lineRule="auto"/>
        <w:ind w:right="51" w:firstLine="709"/>
        <w:jc w:val="both"/>
        <w:rPr>
          <w:rFonts w:ascii="Arial" w:eastAsia="Calibri" w:hAnsi="Arial" w:cs="Arial"/>
          <w:bCs/>
          <w:sz w:val="22"/>
        </w:rPr>
      </w:pPr>
      <w:r w:rsidRPr="004E17A8">
        <w:rPr>
          <w:rFonts w:ascii="Arial" w:eastAsia="Calibri" w:hAnsi="Arial" w:cs="Arial"/>
          <w:sz w:val="22"/>
          <w:lang w:val="es-ES"/>
        </w:rPr>
        <w:lastRenderedPageBreak/>
        <w:t>Para</w:t>
      </w:r>
      <w:r w:rsidR="000156B3" w:rsidRPr="004E17A8">
        <w:rPr>
          <w:rFonts w:ascii="Arial" w:eastAsia="Calibri" w:hAnsi="Arial" w:cs="Arial"/>
          <w:sz w:val="22"/>
          <w:lang w:val="es-ES"/>
        </w:rPr>
        <w:t xml:space="preserve"> la</w:t>
      </w:r>
      <w:r w:rsidRPr="004E17A8">
        <w:rPr>
          <w:rFonts w:ascii="Arial" w:eastAsia="Calibri" w:hAnsi="Arial" w:cs="Arial"/>
          <w:sz w:val="22"/>
          <w:lang w:val="es-ES"/>
        </w:rPr>
        <w:t xml:space="preserve"> Subdirección de Gestión Contractual, l</w:t>
      </w:r>
      <w:r w:rsidR="00F53D1E" w:rsidRPr="004E17A8">
        <w:rPr>
          <w:rFonts w:ascii="Arial" w:eastAsia="Calibri" w:hAnsi="Arial" w:cs="Arial"/>
          <w:sz w:val="22"/>
          <w:lang w:val="es-ES"/>
        </w:rPr>
        <w:t>as consideraciones de los párrafos precedentes también son aplicables al tema objeto de consulta, ya que el Congreso de la República dispuso la expedición de un decreto reglamentario</w:t>
      </w:r>
      <w:r w:rsidR="007154DA" w:rsidRPr="004E17A8">
        <w:rPr>
          <w:rFonts w:ascii="Arial" w:eastAsia="Calibri" w:hAnsi="Arial" w:cs="Arial"/>
          <w:sz w:val="22"/>
          <w:lang w:val="es-ES"/>
        </w:rPr>
        <w:t xml:space="preserve"> para detallar el contenido </w:t>
      </w:r>
      <w:r w:rsidR="007154DA" w:rsidRPr="004E17A8">
        <w:rPr>
          <w:rFonts w:ascii="Arial" w:eastAsia="Calibri" w:hAnsi="Arial" w:cs="Arial"/>
          <w:sz w:val="22"/>
          <w:lang w:val="es-ES_tradnl"/>
        </w:rPr>
        <w:t>los artículos 31, 32, 34 y 36 de la Ley 2069 de 2020</w:t>
      </w:r>
      <w:r w:rsidRPr="004E17A8">
        <w:rPr>
          <w:rFonts w:ascii="Arial" w:eastAsia="Calibri" w:hAnsi="Arial" w:cs="Arial"/>
          <w:sz w:val="22"/>
          <w:lang w:val="es-ES"/>
        </w:rPr>
        <w:t xml:space="preserve">. Por ello, en ausencia de </w:t>
      </w:r>
      <w:r w:rsidR="005E1FA3" w:rsidRPr="004E17A8">
        <w:rPr>
          <w:rFonts w:ascii="Arial" w:eastAsia="Calibri" w:hAnsi="Arial" w:cs="Arial"/>
          <w:sz w:val="22"/>
          <w:lang w:val="es-ES"/>
        </w:rPr>
        <w:t>desarrollo normativo posterior</w:t>
      </w:r>
      <w:r w:rsidRPr="004E17A8">
        <w:rPr>
          <w:rFonts w:ascii="Arial" w:eastAsia="Calibri" w:hAnsi="Arial" w:cs="Arial"/>
          <w:sz w:val="22"/>
          <w:lang w:val="es-ES"/>
        </w:rPr>
        <w:t xml:space="preserve"> existe una </w:t>
      </w:r>
      <w:r w:rsidRPr="004E17A8">
        <w:rPr>
          <w:rFonts w:ascii="Arial" w:eastAsia="Calibri" w:hAnsi="Arial" w:cs="Arial"/>
          <w:i/>
          <w:iCs/>
          <w:sz w:val="22"/>
          <w:lang w:val="es-ES"/>
        </w:rPr>
        <w:t>laguna técnica</w:t>
      </w:r>
      <w:r w:rsidRPr="004E17A8">
        <w:rPr>
          <w:rFonts w:ascii="Arial" w:eastAsia="Calibri" w:hAnsi="Arial" w:cs="Arial"/>
          <w:sz w:val="22"/>
          <w:lang w:val="es-ES"/>
        </w:rPr>
        <w:t xml:space="preserve"> que impide </w:t>
      </w:r>
      <w:r w:rsidR="005E1FA3" w:rsidRPr="004E17A8">
        <w:rPr>
          <w:rFonts w:ascii="Arial" w:eastAsia="Calibri" w:hAnsi="Arial" w:cs="Arial"/>
          <w:sz w:val="22"/>
          <w:lang w:val="es-ES"/>
        </w:rPr>
        <w:t xml:space="preserve">aplicar </w:t>
      </w:r>
      <w:r w:rsidR="009300D6" w:rsidRPr="004E17A8">
        <w:rPr>
          <w:rFonts w:ascii="Arial" w:eastAsia="Calibri" w:hAnsi="Arial" w:cs="Arial"/>
          <w:sz w:val="22"/>
          <w:lang w:val="es-ES"/>
        </w:rPr>
        <w:t>estas disposiciones</w:t>
      </w:r>
      <w:r w:rsidR="00256337" w:rsidRPr="004E17A8">
        <w:rPr>
          <w:rFonts w:ascii="Arial" w:eastAsia="Calibri" w:hAnsi="Arial" w:cs="Arial"/>
          <w:bCs/>
          <w:sz w:val="22"/>
        </w:rPr>
        <w:t>.</w:t>
      </w:r>
      <w:r w:rsidR="001972D2" w:rsidRPr="004E17A8">
        <w:rPr>
          <w:rFonts w:ascii="Arial" w:eastAsia="Calibri" w:hAnsi="Arial" w:cs="Arial"/>
          <w:bCs/>
          <w:sz w:val="22"/>
        </w:rPr>
        <w:t xml:space="preserve"> </w:t>
      </w:r>
    </w:p>
    <w:p w14:paraId="2B1E05FB" w14:textId="1BB6E625" w:rsidR="00B7346F" w:rsidRPr="004E17A8" w:rsidRDefault="001972D2" w:rsidP="00B7346F">
      <w:pPr>
        <w:shd w:val="clear" w:color="auto" w:fill="FFFFFF"/>
        <w:spacing w:after="120" w:line="276" w:lineRule="auto"/>
        <w:ind w:right="51" w:firstLine="709"/>
        <w:jc w:val="both"/>
        <w:rPr>
          <w:rFonts w:ascii="Arial" w:eastAsia="Calibri" w:hAnsi="Arial" w:cs="Arial"/>
          <w:bCs/>
          <w:sz w:val="22"/>
        </w:rPr>
      </w:pPr>
      <w:r w:rsidRPr="004E17A8">
        <w:rPr>
          <w:rFonts w:ascii="Arial" w:eastAsia="Calibri" w:hAnsi="Arial" w:cs="Arial"/>
          <w:bCs/>
          <w:sz w:val="22"/>
        </w:rPr>
        <w:t xml:space="preserve">En este caso, la necesidad de la reglamentación previa también deriva de los antecedentes legislativos. En lo pertinente, el texto inicial </w:t>
      </w:r>
      <w:r w:rsidR="00AE1FDC" w:rsidRPr="004E17A8">
        <w:rPr>
          <w:rFonts w:ascii="Arial" w:eastAsia="Calibri" w:hAnsi="Arial" w:cs="Arial"/>
          <w:bCs/>
          <w:sz w:val="22"/>
        </w:rPr>
        <w:t>de los artículos 15 y 17</w:t>
      </w:r>
      <w:r w:rsidRPr="004E17A8">
        <w:rPr>
          <w:rFonts w:ascii="Arial" w:eastAsia="Calibri" w:hAnsi="Arial" w:cs="Arial"/>
          <w:bCs/>
          <w:sz w:val="22"/>
        </w:rPr>
        <w:t xml:space="preserve"> </w:t>
      </w:r>
      <w:r w:rsidR="00B81DBB" w:rsidRPr="004E17A8">
        <w:rPr>
          <w:rFonts w:ascii="Arial" w:eastAsia="Calibri" w:hAnsi="Arial" w:cs="Arial"/>
          <w:bCs/>
          <w:sz w:val="22"/>
        </w:rPr>
        <w:t xml:space="preserve">del </w:t>
      </w:r>
      <w:r w:rsidRPr="004E17A8">
        <w:rPr>
          <w:rFonts w:ascii="Arial" w:eastAsia="Calibri" w:hAnsi="Arial" w:cs="Arial"/>
          <w:bCs/>
          <w:sz w:val="22"/>
        </w:rPr>
        <w:t xml:space="preserve">Proyecto de Ley No. </w:t>
      </w:r>
      <w:r w:rsidR="00AE1FDC" w:rsidRPr="004E17A8">
        <w:rPr>
          <w:rFonts w:ascii="Arial" w:eastAsia="Calibri" w:hAnsi="Arial" w:cs="Arial"/>
          <w:bCs/>
          <w:sz w:val="22"/>
        </w:rPr>
        <w:t>122</w:t>
      </w:r>
      <w:r w:rsidRPr="004E17A8">
        <w:rPr>
          <w:rFonts w:ascii="Arial" w:eastAsia="Calibri" w:hAnsi="Arial" w:cs="Arial"/>
          <w:bCs/>
          <w:sz w:val="22"/>
        </w:rPr>
        <w:t xml:space="preserve"> de 2</w:t>
      </w:r>
      <w:r w:rsidR="00AE1FDC" w:rsidRPr="004E17A8">
        <w:rPr>
          <w:rFonts w:ascii="Arial" w:eastAsia="Calibri" w:hAnsi="Arial" w:cs="Arial"/>
          <w:bCs/>
          <w:sz w:val="22"/>
        </w:rPr>
        <w:t>020</w:t>
      </w:r>
      <w:r w:rsidRPr="004E17A8">
        <w:rPr>
          <w:rFonts w:ascii="Arial" w:eastAsia="Calibri" w:hAnsi="Arial" w:cs="Arial"/>
          <w:bCs/>
          <w:sz w:val="22"/>
        </w:rPr>
        <w:t xml:space="preserve"> disponía que </w:t>
      </w:r>
      <w:r w:rsidR="00AE1FDC" w:rsidRPr="004E17A8">
        <w:rPr>
          <w:rFonts w:ascii="Arial" w:eastAsia="Calibri" w:hAnsi="Arial" w:cs="Arial"/>
          <w:bCs/>
          <w:sz w:val="22"/>
        </w:rPr>
        <w:t xml:space="preserve">la necesidad del reglamento en lo relacionado con i) los criterios diferenciales para </w:t>
      </w:r>
      <w:proofErr w:type="spellStart"/>
      <w:r w:rsidR="00AE1FDC" w:rsidRPr="004E17A8">
        <w:rPr>
          <w:rFonts w:ascii="Arial" w:eastAsia="Calibri" w:hAnsi="Arial" w:cs="Arial"/>
          <w:bCs/>
          <w:sz w:val="22"/>
        </w:rPr>
        <w:t>mipymes</w:t>
      </w:r>
      <w:proofErr w:type="spellEnd"/>
      <w:r w:rsidR="00AE1FDC" w:rsidRPr="004E17A8">
        <w:rPr>
          <w:rFonts w:ascii="Arial" w:eastAsia="Calibri" w:hAnsi="Arial" w:cs="Arial"/>
          <w:bCs/>
          <w:sz w:val="22"/>
        </w:rPr>
        <w:t xml:space="preserve"> y </w:t>
      </w:r>
      <w:proofErr w:type="spellStart"/>
      <w:r w:rsidR="00AE1FDC" w:rsidRPr="004E17A8">
        <w:rPr>
          <w:rFonts w:ascii="Arial" w:eastAsia="Calibri" w:hAnsi="Arial" w:cs="Arial"/>
          <w:bCs/>
          <w:sz w:val="22"/>
        </w:rPr>
        <w:t>ii</w:t>
      </w:r>
      <w:proofErr w:type="spellEnd"/>
      <w:r w:rsidR="00AE1FDC" w:rsidRPr="004E17A8">
        <w:rPr>
          <w:rFonts w:ascii="Arial" w:eastAsia="Calibri" w:hAnsi="Arial" w:cs="Arial"/>
          <w:bCs/>
          <w:sz w:val="22"/>
        </w:rPr>
        <w:t xml:space="preserve">) las convocatorias limitadas a </w:t>
      </w:r>
      <w:proofErr w:type="spellStart"/>
      <w:r w:rsidR="00AE1FDC" w:rsidRPr="004E17A8">
        <w:rPr>
          <w:rFonts w:ascii="Arial" w:eastAsia="Calibri" w:hAnsi="Arial" w:cs="Arial"/>
          <w:bCs/>
          <w:sz w:val="22"/>
        </w:rPr>
        <w:t>mipymes</w:t>
      </w:r>
      <w:proofErr w:type="spellEnd"/>
      <w:r w:rsidR="00B81DBB" w:rsidRPr="004E17A8">
        <w:rPr>
          <w:rFonts w:ascii="Arial" w:eastAsia="Calibri" w:hAnsi="Arial" w:cs="Arial"/>
          <w:bCs/>
          <w:sz w:val="22"/>
        </w:rPr>
        <w:t>, así como</w:t>
      </w:r>
      <w:r w:rsidR="00AE1FDC" w:rsidRPr="004E17A8">
        <w:rPr>
          <w:rFonts w:ascii="Arial" w:eastAsia="Calibri" w:hAnsi="Arial" w:cs="Arial"/>
          <w:bCs/>
          <w:sz w:val="22"/>
        </w:rPr>
        <w:t xml:space="preserve"> el fomento en la ejecución de los contratos estatales por parte de sujetos de especial protección</w:t>
      </w:r>
      <w:r w:rsidR="005716A8" w:rsidRPr="004E17A8">
        <w:rPr>
          <w:rStyle w:val="Refdenotaalpie"/>
          <w:rFonts w:ascii="Arial" w:eastAsia="Calibri" w:hAnsi="Arial" w:cs="Arial"/>
          <w:bCs/>
          <w:sz w:val="22"/>
        </w:rPr>
        <w:footnoteReference w:id="17"/>
      </w:r>
      <w:r w:rsidRPr="004E17A8">
        <w:rPr>
          <w:rFonts w:ascii="Arial" w:eastAsia="Calibri" w:hAnsi="Arial" w:cs="Arial"/>
          <w:bCs/>
          <w:sz w:val="22"/>
        </w:rPr>
        <w:t>.</w:t>
      </w:r>
      <w:r w:rsidR="005716A8" w:rsidRPr="004E17A8">
        <w:rPr>
          <w:rFonts w:ascii="Arial" w:eastAsia="Calibri" w:hAnsi="Arial" w:cs="Arial"/>
          <w:bCs/>
          <w:sz w:val="22"/>
        </w:rPr>
        <w:t xml:space="preserve"> </w:t>
      </w:r>
    </w:p>
    <w:p w14:paraId="41569066" w14:textId="5C1E8704" w:rsidR="003A5040" w:rsidRPr="004E17A8" w:rsidRDefault="00F40FB9" w:rsidP="00B7346F">
      <w:pPr>
        <w:shd w:val="clear" w:color="auto" w:fill="FFFFFF"/>
        <w:spacing w:after="120" w:line="276" w:lineRule="auto"/>
        <w:ind w:right="51" w:firstLine="709"/>
        <w:jc w:val="both"/>
        <w:rPr>
          <w:rFonts w:ascii="Arial" w:eastAsia="Calibri" w:hAnsi="Arial" w:cs="Arial"/>
          <w:bCs/>
          <w:sz w:val="22"/>
        </w:rPr>
      </w:pPr>
      <w:r w:rsidRPr="004E17A8">
        <w:rPr>
          <w:rFonts w:ascii="Arial" w:eastAsia="Calibri" w:hAnsi="Arial" w:cs="Arial"/>
          <w:bCs/>
          <w:sz w:val="22"/>
        </w:rPr>
        <w:t>Como puede verificarse en las Gacetas del Congreso No. 1334 del 18 de noviembre de 20</w:t>
      </w:r>
      <w:r w:rsidR="00111299" w:rsidRPr="004E17A8">
        <w:rPr>
          <w:rFonts w:ascii="Arial" w:eastAsia="Calibri" w:hAnsi="Arial" w:cs="Arial"/>
          <w:bCs/>
          <w:sz w:val="22"/>
        </w:rPr>
        <w:t>20</w:t>
      </w:r>
      <w:r w:rsidRPr="004E17A8">
        <w:rPr>
          <w:rFonts w:ascii="Arial" w:eastAsia="Calibri" w:hAnsi="Arial" w:cs="Arial"/>
          <w:bCs/>
          <w:sz w:val="22"/>
        </w:rPr>
        <w:t xml:space="preserve"> y 1389 de 14 de diciembre de 2020</w:t>
      </w:r>
      <w:r w:rsidR="005716A8" w:rsidRPr="004E17A8">
        <w:rPr>
          <w:rFonts w:ascii="Arial" w:eastAsia="Calibri" w:hAnsi="Arial" w:cs="Arial"/>
          <w:bCs/>
          <w:sz w:val="22"/>
        </w:rPr>
        <w:t xml:space="preserve">, </w:t>
      </w:r>
      <w:r w:rsidRPr="004E17A8">
        <w:rPr>
          <w:rFonts w:ascii="Arial" w:eastAsia="Calibri" w:hAnsi="Arial" w:cs="Arial"/>
          <w:bCs/>
          <w:sz w:val="22"/>
        </w:rPr>
        <w:t>además de que</w:t>
      </w:r>
      <w:r w:rsidR="005716A8" w:rsidRPr="004E17A8">
        <w:rPr>
          <w:rFonts w:ascii="Arial" w:eastAsia="Calibri" w:hAnsi="Arial" w:cs="Arial"/>
          <w:bCs/>
          <w:sz w:val="22"/>
        </w:rPr>
        <w:t xml:space="preserve"> </w:t>
      </w:r>
      <w:r w:rsidRPr="004E17A8">
        <w:rPr>
          <w:rFonts w:ascii="Arial" w:eastAsia="Calibri" w:hAnsi="Arial" w:cs="Arial"/>
          <w:bCs/>
          <w:sz w:val="22"/>
        </w:rPr>
        <w:t xml:space="preserve">–para </w:t>
      </w:r>
      <w:r w:rsidR="005716A8" w:rsidRPr="004E17A8">
        <w:rPr>
          <w:rFonts w:ascii="Arial" w:eastAsia="Calibri" w:hAnsi="Arial" w:cs="Arial"/>
          <w:bCs/>
          <w:sz w:val="22"/>
        </w:rPr>
        <w:t xml:space="preserve">el </w:t>
      </w:r>
      <w:r w:rsidRPr="004E17A8">
        <w:rPr>
          <w:rFonts w:ascii="Arial" w:eastAsia="Calibri" w:hAnsi="Arial" w:cs="Arial"/>
          <w:bCs/>
          <w:sz w:val="22"/>
        </w:rPr>
        <w:t>segundo</w:t>
      </w:r>
      <w:r w:rsidR="005716A8" w:rsidRPr="004E17A8">
        <w:rPr>
          <w:rFonts w:ascii="Arial" w:eastAsia="Calibri" w:hAnsi="Arial" w:cs="Arial"/>
          <w:bCs/>
          <w:sz w:val="22"/>
        </w:rPr>
        <w:t xml:space="preserve"> debate</w:t>
      </w:r>
      <w:r w:rsidRPr="004E17A8">
        <w:rPr>
          <w:rFonts w:ascii="Arial" w:eastAsia="Calibri" w:hAnsi="Arial" w:cs="Arial"/>
          <w:bCs/>
          <w:sz w:val="22"/>
        </w:rPr>
        <w:t>–</w:t>
      </w:r>
      <w:r w:rsidR="005716A8" w:rsidRPr="004E17A8">
        <w:rPr>
          <w:rFonts w:ascii="Arial" w:eastAsia="Calibri" w:hAnsi="Arial" w:cs="Arial"/>
          <w:bCs/>
          <w:sz w:val="22"/>
        </w:rPr>
        <w:t xml:space="preserve"> </w:t>
      </w:r>
      <w:r w:rsidRPr="004E17A8">
        <w:rPr>
          <w:rFonts w:ascii="Arial" w:eastAsia="Calibri" w:hAnsi="Arial" w:cs="Arial"/>
          <w:bCs/>
          <w:sz w:val="22"/>
        </w:rPr>
        <w:t xml:space="preserve">el artículo </w:t>
      </w:r>
      <w:r w:rsidR="00865110">
        <w:rPr>
          <w:rFonts w:ascii="Arial" w:eastAsia="Calibri" w:hAnsi="Arial" w:cs="Arial"/>
          <w:bCs/>
          <w:sz w:val="22"/>
        </w:rPr>
        <w:t>3</w:t>
      </w:r>
      <w:r w:rsidRPr="004E17A8">
        <w:rPr>
          <w:rFonts w:ascii="Arial" w:eastAsia="Calibri" w:hAnsi="Arial" w:cs="Arial"/>
          <w:bCs/>
          <w:sz w:val="22"/>
        </w:rPr>
        <w:t xml:space="preserve">4 dispuso que la definición de «emprendimientos y empresas de mujeres» correspondería al reglamento, el artículo 36 del texto conciliado incluye </w:t>
      </w:r>
      <w:r w:rsidR="00B7346F" w:rsidRPr="004E17A8">
        <w:rPr>
          <w:rFonts w:ascii="Arial" w:eastAsia="Calibri" w:hAnsi="Arial" w:cs="Arial"/>
          <w:bCs/>
          <w:sz w:val="22"/>
        </w:rPr>
        <w:t>lo propio</w:t>
      </w:r>
      <w:r w:rsidRPr="004E17A8">
        <w:rPr>
          <w:rFonts w:ascii="Arial" w:eastAsia="Calibri" w:hAnsi="Arial" w:cs="Arial"/>
          <w:bCs/>
          <w:sz w:val="22"/>
        </w:rPr>
        <w:t xml:space="preserve"> para las compras públicas de tecnología e innovación</w:t>
      </w:r>
      <w:r w:rsidR="005716A8" w:rsidRPr="004E17A8">
        <w:rPr>
          <w:rFonts w:ascii="Arial" w:eastAsia="Calibri" w:hAnsi="Arial" w:cs="Arial"/>
          <w:bCs/>
          <w:sz w:val="22"/>
        </w:rPr>
        <w:t>.</w:t>
      </w:r>
      <w:r w:rsidRPr="004E17A8">
        <w:rPr>
          <w:rFonts w:ascii="Arial" w:eastAsia="Calibri" w:hAnsi="Arial" w:cs="Arial"/>
          <w:bCs/>
          <w:sz w:val="22"/>
        </w:rPr>
        <w:t xml:space="preserve"> </w:t>
      </w:r>
      <w:r w:rsidR="002A7DF5" w:rsidRPr="004E17A8">
        <w:rPr>
          <w:rFonts w:ascii="Arial" w:eastAsia="Calibri" w:hAnsi="Arial" w:cs="Arial"/>
          <w:bCs/>
          <w:sz w:val="22"/>
        </w:rPr>
        <w:t>Incluso</w:t>
      </w:r>
      <w:r w:rsidR="003637C4" w:rsidRPr="004E17A8">
        <w:rPr>
          <w:rFonts w:ascii="Arial" w:eastAsia="Calibri" w:hAnsi="Arial" w:cs="Arial"/>
          <w:bCs/>
          <w:sz w:val="22"/>
        </w:rPr>
        <w:t xml:space="preserve">, tratándose </w:t>
      </w:r>
      <w:r w:rsidR="00B7346F" w:rsidRPr="004E17A8">
        <w:rPr>
          <w:rFonts w:ascii="Arial" w:eastAsia="Calibri" w:hAnsi="Arial" w:cs="Arial"/>
          <w:bCs/>
          <w:sz w:val="22"/>
        </w:rPr>
        <w:t xml:space="preserve">de </w:t>
      </w:r>
      <w:r w:rsidR="00B7346F" w:rsidRPr="004E17A8">
        <w:rPr>
          <w:rFonts w:ascii="Arial" w:eastAsia="Calibri" w:hAnsi="Arial" w:cs="Arial"/>
          <w:sz w:val="22"/>
          <w:lang w:val="es-ES_tradnl"/>
        </w:rPr>
        <w:t>los artículos 31, 32, 34 y 36 de la Ley 2069 de 2020</w:t>
      </w:r>
      <w:r w:rsidR="00B7346F" w:rsidRPr="004E17A8">
        <w:rPr>
          <w:rFonts w:ascii="Arial" w:eastAsia="Calibri" w:hAnsi="Arial" w:cs="Arial"/>
          <w:bCs/>
          <w:sz w:val="22"/>
        </w:rPr>
        <w:t xml:space="preserve"> </w:t>
      </w:r>
      <w:r w:rsidR="003637C4" w:rsidRPr="004E17A8">
        <w:rPr>
          <w:rFonts w:ascii="Arial" w:eastAsia="Calibri" w:hAnsi="Arial" w:cs="Arial"/>
          <w:bCs/>
          <w:sz w:val="22"/>
        </w:rPr>
        <w:t>la remisión al reglamento es razonable y está justificada</w:t>
      </w:r>
      <w:r w:rsidR="00B7346F" w:rsidRPr="004E17A8">
        <w:rPr>
          <w:rFonts w:ascii="Arial" w:eastAsia="Calibri" w:hAnsi="Arial" w:cs="Arial"/>
          <w:bCs/>
          <w:sz w:val="22"/>
        </w:rPr>
        <w:t xml:space="preserve">, pues </w:t>
      </w:r>
      <w:r w:rsidR="003637C4" w:rsidRPr="004E17A8">
        <w:rPr>
          <w:rFonts w:ascii="Arial" w:eastAsia="Calibri" w:hAnsi="Arial" w:cs="Arial"/>
          <w:bCs/>
          <w:sz w:val="22"/>
        </w:rPr>
        <w:t>si eventualmente</w:t>
      </w:r>
      <w:r w:rsidR="00B7346F" w:rsidRPr="004E17A8">
        <w:rPr>
          <w:rFonts w:ascii="Arial" w:eastAsia="Calibri" w:hAnsi="Arial" w:cs="Arial"/>
          <w:bCs/>
          <w:sz w:val="22"/>
        </w:rPr>
        <w:t xml:space="preserve"> la concreción de estos aspectos se dejara a la discrecionalidad de las entidades contratantes, generaría un clima de inseguridad e incertidumbre para los interesados en acceder al sistema de compras públicas. Desde esta perspectiva, la exigencia de la reglamentación tiene pretensiones unificadoras.  </w:t>
      </w:r>
      <w:r w:rsidR="00ED047B" w:rsidRPr="004E17A8">
        <w:rPr>
          <w:rFonts w:ascii="Arial" w:eastAsia="Calibri" w:hAnsi="Arial" w:cs="Arial"/>
          <w:bCs/>
          <w:sz w:val="22"/>
        </w:rPr>
        <w:t xml:space="preserve">  </w:t>
      </w:r>
    </w:p>
    <w:p w14:paraId="569B55B5" w14:textId="22C1CFE5" w:rsidR="002B3689" w:rsidRPr="004E17A8" w:rsidRDefault="003D3000" w:rsidP="001972D2">
      <w:pPr>
        <w:shd w:val="clear" w:color="auto" w:fill="FFFFFF"/>
        <w:spacing w:after="120" w:line="276" w:lineRule="auto"/>
        <w:ind w:right="51" w:firstLine="709"/>
        <w:jc w:val="both"/>
        <w:rPr>
          <w:rFonts w:ascii="Arial" w:eastAsia="Calibri" w:hAnsi="Arial" w:cs="Arial"/>
          <w:bCs/>
          <w:sz w:val="22"/>
        </w:rPr>
      </w:pPr>
      <w:r w:rsidRPr="004E17A8">
        <w:rPr>
          <w:rFonts w:ascii="Arial" w:eastAsia="Calibri" w:hAnsi="Arial" w:cs="Arial"/>
          <w:bCs/>
          <w:sz w:val="22"/>
        </w:rPr>
        <w:t>Por tanto</w:t>
      </w:r>
      <w:r w:rsidR="003A5040" w:rsidRPr="004E17A8">
        <w:rPr>
          <w:rFonts w:ascii="Arial" w:eastAsia="Calibri" w:hAnsi="Arial" w:cs="Arial"/>
          <w:bCs/>
          <w:sz w:val="22"/>
        </w:rPr>
        <w:t xml:space="preserve">, </w:t>
      </w:r>
      <w:bookmarkStart w:id="21" w:name="_Hlk51668471"/>
      <w:r w:rsidR="003A5040" w:rsidRPr="004E17A8">
        <w:rPr>
          <w:rFonts w:ascii="Arial" w:eastAsia="Calibri" w:hAnsi="Arial" w:cs="Arial"/>
          <w:bCs/>
          <w:sz w:val="22"/>
        </w:rPr>
        <w:t>si bien en principio el ejercicio de la potestad reglamentaria es discrecional, esta puede ser excepcionalmente obligatoria</w:t>
      </w:r>
      <w:r w:rsidR="002B3689" w:rsidRPr="004E17A8">
        <w:rPr>
          <w:rFonts w:ascii="Arial" w:eastAsia="Calibri" w:hAnsi="Arial" w:cs="Arial"/>
          <w:bCs/>
          <w:sz w:val="22"/>
        </w:rPr>
        <w:t xml:space="preserve"> para efectividad de la ley</w:t>
      </w:r>
      <w:r w:rsidR="003A5040" w:rsidRPr="004E17A8">
        <w:rPr>
          <w:rFonts w:ascii="Arial" w:eastAsia="Calibri" w:hAnsi="Arial" w:cs="Arial"/>
          <w:bCs/>
          <w:sz w:val="22"/>
        </w:rPr>
        <w:t>. Por ejemplo,</w:t>
      </w:r>
      <w:r w:rsidR="00AC3DCF" w:rsidRPr="004E17A8">
        <w:rPr>
          <w:rFonts w:ascii="Arial" w:eastAsia="Calibri" w:hAnsi="Arial" w:cs="Arial"/>
          <w:bCs/>
          <w:sz w:val="22"/>
        </w:rPr>
        <w:t xml:space="preserve"> para la doctrina</w:t>
      </w:r>
      <w:r w:rsidR="003A5040" w:rsidRPr="004E17A8">
        <w:rPr>
          <w:rFonts w:ascii="Arial" w:eastAsia="Calibri" w:hAnsi="Arial" w:cs="Arial"/>
          <w:bCs/>
          <w:sz w:val="22"/>
        </w:rPr>
        <w:t xml:space="preserve"> esto último sucede cuando «[…] la necesidad del reglamento es inminente, y así nace desde la norma que confiere la potestad reglamentaria</w:t>
      </w:r>
      <w:r w:rsidR="00AC3DCF" w:rsidRPr="004E17A8">
        <w:rPr>
          <w:rFonts w:ascii="Arial" w:eastAsia="Calibri" w:hAnsi="Arial" w:cs="Arial"/>
          <w:bCs/>
          <w:sz w:val="22"/>
        </w:rPr>
        <w:t xml:space="preserve"> […]»</w:t>
      </w:r>
      <w:r w:rsidR="00AC3DCF" w:rsidRPr="004E17A8">
        <w:rPr>
          <w:rStyle w:val="Refdenotaalpie"/>
          <w:rFonts w:ascii="Arial" w:eastAsia="Calibri" w:hAnsi="Arial" w:cs="Arial"/>
          <w:bCs/>
          <w:sz w:val="22"/>
        </w:rPr>
        <w:footnoteReference w:id="18"/>
      </w:r>
      <w:r w:rsidR="00AC3DCF" w:rsidRPr="004E17A8">
        <w:rPr>
          <w:rFonts w:ascii="Arial" w:eastAsia="Calibri" w:hAnsi="Arial" w:cs="Arial"/>
          <w:bCs/>
          <w:sz w:val="22"/>
        </w:rPr>
        <w:t>. En este tipo de situaciones, «[…] las autoridades no tienen -ni tuvieron- la posibilidad de escoger entre expedir el acto o dejar de hacerlo. Es decir, se trata de una potestad reglada, desde el punto de vista de la necesidad de la actuación»</w:t>
      </w:r>
      <w:r w:rsidR="00AC3DCF" w:rsidRPr="004E17A8">
        <w:rPr>
          <w:rStyle w:val="Refdenotaalpie"/>
          <w:rFonts w:ascii="Arial" w:eastAsia="Calibri" w:hAnsi="Arial" w:cs="Arial"/>
          <w:bCs/>
          <w:sz w:val="22"/>
        </w:rPr>
        <w:footnoteReference w:id="19"/>
      </w:r>
      <w:r w:rsidR="00AC3DCF" w:rsidRPr="004E17A8">
        <w:rPr>
          <w:rFonts w:ascii="Arial" w:eastAsia="Calibri" w:hAnsi="Arial" w:cs="Arial"/>
          <w:bCs/>
          <w:sz w:val="22"/>
        </w:rPr>
        <w:t>.</w:t>
      </w:r>
    </w:p>
    <w:p w14:paraId="4231D579" w14:textId="460143EF" w:rsidR="00A148CF" w:rsidRPr="004E17A8" w:rsidRDefault="005E6397" w:rsidP="002B3689">
      <w:pPr>
        <w:shd w:val="clear" w:color="auto" w:fill="FFFFFF"/>
        <w:spacing w:line="276" w:lineRule="auto"/>
        <w:ind w:right="51" w:firstLine="709"/>
        <w:jc w:val="both"/>
        <w:rPr>
          <w:rFonts w:ascii="Arial" w:eastAsia="Calibri" w:hAnsi="Arial" w:cs="Arial"/>
          <w:bCs/>
          <w:sz w:val="22"/>
        </w:rPr>
      </w:pPr>
      <w:r>
        <w:rPr>
          <w:rFonts w:ascii="Arial" w:eastAsia="Calibri" w:hAnsi="Arial" w:cs="Arial"/>
          <w:bCs/>
          <w:sz w:val="22"/>
        </w:rPr>
        <w:t>Por tanto</w:t>
      </w:r>
      <w:r w:rsidR="002B3689" w:rsidRPr="004E17A8">
        <w:rPr>
          <w:rFonts w:ascii="Arial" w:eastAsia="Calibri" w:hAnsi="Arial" w:cs="Arial"/>
          <w:bCs/>
          <w:sz w:val="22"/>
        </w:rPr>
        <w:t>, es posible afirmar que</w:t>
      </w:r>
      <w:bookmarkEnd w:id="21"/>
      <w:r w:rsidR="00251F8A" w:rsidRPr="004E17A8">
        <w:rPr>
          <w:rFonts w:ascii="Arial" w:eastAsia="Calibri" w:hAnsi="Arial" w:cs="Arial"/>
          <w:bCs/>
          <w:sz w:val="22"/>
        </w:rPr>
        <w:t xml:space="preserve">, </w:t>
      </w:r>
      <w:bookmarkStart w:id="22" w:name="_Hlk63884107"/>
      <w:r w:rsidR="00251F8A" w:rsidRPr="004E17A8">
        <w:rPr>
          <w:rFonts w:ascii="Arial" w:eastAsia="Calibri" w:hAnsi="Arial" w:cs="Arial"/>
          <w:bCs/>
          <w:sz w:val="22"/>
        </w:rPr>
        <w:t xml:space="preserve">en </w:t>
      </w:r>
      <w:r w:rsidR="00251F8A" w:rsidRPr="004E17A8">
        <w:rPr>
          <w:rFonts w:ascii="Arial" w:eastAsia="Calibri" w:hAnsi="Arial" w:cs="Arial"/>
          <w:sz w:val="22"/>
          <w:lang w:val="es-ES_tradnl"/>
        </w:rPr>
        <w:t>los artículos 31, 32, 34 y 36</w:t>
      </w:r>
      <w:r w:rsidR="00251F8A" w:rsidRPr="004E17A8">
        <w:rPr>
          <w:rFonts w:ascii="Arial" w:eastAsia="Calibri" w:hAnsi="Arial" w:cs="Arial"/>
          <w:bCs/>
          <w:sz w:val="22"/>
        </w:rPr>
        <w:t xml:space="preserve">, el Congreso de la República reconoce la necesidad de un reglamento para el efectivo cumplimiento de la </w:t>
      </w:r>
      <w:r w:rsidR="00251F8A" w:rsidRPr="004E17A8">
        <w:rPr>
          <w:rFonts w:ascii="Arial" w:eastAsia="Calibri" w:hAnsi="Arial" w:cs="Arial"/>
          <w:sz w:val="22"/>
          <w:lang w:val="es-ES_tradnl"/>
        </w:rPr>
        <w:t>Ley 2069 de 2020</w:t>
      </w:r>
      <w:r w:rsidR="00251F8A" w:rsidRPr="004E17A8">
        <w:rPr>
          <w:rFonts w:ascii="Arial" w:eastAsia="Calibri" w:hAnsi="Arial" w:cs="Arial"/>
          <w:bCs/>
          <w:sz w:val="22"/>
        </w:rPr>
        <w:t xml:space="preserve">, lo que demuestra, para el caso concreto, una vigencia sometida a condición para los temas regulados en estas normas. Esta conclusión se ajusta no solo a los </w:t>
      </w:r>
      <w:r w:rsidR="00251F8A" w:rsidRPr="004E17A8">
        <w:rPr>
          <w:rFonts w:ascii="Arial" w:eastAsia="Calibri" w:hAnsi="Arial" w:cs="Arial"/>
          <w:bCs/>
          <w:sz w:val="22"/>
        </w:rPr>
        <w:lastRenderedPageBreak/>
        <w:t xml:space="preserve">antecedentes del proyecto de ley, sino también a la necesidad de claridad que debe introducir el reglamento en relación con i) los criterios diferenciales para </w:t>
      </w:r>
      <w:proofErr w:type="spellStart"/>
      <w:r w:rsidR="00251F8A" w:rsidRPr="004E17A8">
        <w:rPr>
          <w:rFonts w:ascii="Arial" w:eastAsia="Calibri" w:hAnsi="Arial" w:cs="Arial"/>
          <w:bCs/>
          <w:sz w:val="22"/>
        </w:rPr>
        <w:t>mipymes</w:t>
      </w:r>
      <w:proofErr w:type="spellEnd"/>
      <w:r w:rsidR="00251F8A" w:rsidRPr="004E17A8">
        <w:rPr>
          <w:rFonts w:ascii="Arial" w:eastAsia="Calibri" w:hAnsi="Arial" w:cs="Arial"/>
          <w:bCs/>
          <w:sz w:val="22"/>
        </w:rPr>
        <w:t xml:space="preserve">, </w:t>
      </w:r>
      <w:proofErr w:type="spellStart"/>
      <w:r w:rsidR="00251F8A" w:rsidRPr="004E17A8">
        <w:rPr>
          <w:rFonts w:ascii="Arial" w:eastAsia="Calibri" w:hAnsi="Arial" w:cs="Arial"/>
          <w:bCs/>
          <w:sz w:val="22"/>
        </w:rPr>
        <w:t>ii</w:t>
      </w:r>
      <w:proofErr w:type="spellEnd"/>
      <w:r w:rsidR="00251F8A" w:rsidRPr="004E17A8">
        <w:rPr>
          <w:rFonts w:ascii="Arial" w:eastAsia="Calibri" w:hAnsi="Arial" w:cs="Arial"/>
          <w:bCs/>
          <w:sz w:val="22"/>
        </w:rPr>
        <w:t xml:space="preserve">) la definición de «emprendimientos y empresas de mujeres», </w:t>
      </w:r>
      <w:proofErr w:type="spellStart"/>
      <w:r w:rsidR="00251F8A" w:rsidRPr="004E17A8">
        <w:rPr>
          <w:rFonts w:ascii="Arial" w:eastAsia="Calibri" w:hAnsi="Arial" w:cs="Arial"/>
          <w:bCs/>
          <w:sz w:val="22"/>
        </w:rPr>
        <w:t>i</w:t>
      </w:r>
      <w:r w:rsidR="006F15B4" w:rsidRPr="004E17A8">
        <w:rPr>
          <w:rFonts w:ascii="Arial" w:eastAsia="Calibri" w:hAnsi="Arial" w:cs="Arial"/>
          <w:bCs/>
          <w:sz w:val="22"/>
        </w:rPr>
        <w:t>ii</w:t>
      </w:r>
      <w:proofErr w:type="spellEnd"/>
      <w:r w:rsidR="00251F8A" w:rsidRPr="004E17A8">
        <w:rPr>
          <w:rFonts w:ascii="Arial" w:eastAsia="Calibri" w:hAnsi="Arial" w:cs="Arial"/>
          <w:bCs/>
          <w:sz w:val="22"/>
        </w:rPr>
        <w:t xml:space="preserve">) las convocatorias limitadas a </w:t>
      </w:r>
      <w:proofErr w:type="spellStart"/>
      <w:r w:rsidR="00251F8A" w:rsidRPr="004E17A8">
        <w:rPr>
          <w:rFonts w:ascii="Arial" w:eastAsia="Calibri" w:hAnsi="Arial" w:cs="Arial"/>
          <w:bCs/>
          <w:sz w:val="22"/>
        </w:rPr>
        <w:t>mipymes</w:t>
      </w:r>
      <w:proofErr w:type="spellEnd"/>
      <w:r w:rsidR="00251F8A" w:rsidRPr="004E17A8">
        <w:rPr>
          <w:rFonts w:ascii="Arial" w:eastAsia="Calibri" w:hAnsi="Arial" w:cs="Arial"/>
          <w:bCs/>
          <w:sz w:val="22"/>
        </w:rPr>
        <w:t xml:space="preserve"> y el fomento en la ejecución de los contratos estatales por parte de sujetos de especial protección</w:t>
      </w:r>
      <w:r w:rsidR="006F15B4" w:rsidRPr="004E17A8">
        <w:rPr>
          <w:rFonts w:ascii="Arial" w:eastAsia="Calibri" w:hAnsi="Arial" w:cs="Arial"/>
          <w:bCs/>
          <w:sz w:val="22"/>
        </w:rPr>
        <w:t>,</w:t>
      </w:r>
      <w:r w:rsidR="00251F8A" w:rsidRPr="004E17A8">
        <w:rPr>
          <w:rFonts w:ascii="Arial" w:eastAsia="Calibri" w:hAnsi="Arial" w:cs="Arial"/>
          <w:bCs/>
          <w:sz w:val="22"/>
        </w:rPr>
        <w:t xml:space="preserve"> así como </w:t>
      </w:r>
      <w:proofErr w:type="spellStart"/>
      <w:r w:rsidR="006F15B4" w:rsidRPr="004E17A8">
        <w:rPr>
          <w:rFonts w:ascii="Arial" w:eastAsia="Calibri" w:hAnsi="Arial" w:cs="Arial"/>
          <w:bCs/>
          <w:sz w:val="22"/>
        </w:rPr>
        <w:t>i</w:t>
      </w:r>
      <w:r w:rsidR="00251F8A" w:rsidRPr="004E17A8">
        <w:rPr>
          <w:rFonts w:ascii="Arial" w:eastAsia="Calibri" w:hAnsi="Arial" w:cs="Arial"/>
          <w:bCs/>
          <w:sz w:val="22"/>
        </w:rPr>
        <w:t>v</w:t>
      </w:r>
      <w:proofErr w:type="spellEnd"/>
      <w:r w:rsidR="00251F8A" w:rsidRPr="004E17A8">
        <w:rPr>
          <w:rFonts w:ascii="Arial" w:eastAsia="Calibri" w:hAnsi="Arial" w:cs="Arial"/>
          <w:bCs/>
          <w:sz w:val="22"/>
        </w:rPr>
        <w:t xml:space="preserve">) </w:t>
      </w:r>
      <w:r w:rsidR="006F15B4" w:rsidRPr="004E17A8">
        <w:rPr>
          <w:rFonts w:ascii="Arial" w:eastAsia="Calibri" w:hAnsi="Arial" w:cs="Arial"/>
          <w:bCs/>
          <w:sz w:val="22"/>
        </w:rPr>
        <w:t xml:space="preserve">la </w:t>
      </w:r>
      <w:r w:rsidR="00251F8A" w:rsidRPr="004E17A8">
        <w:rPr>
          <w:rFonts w:ascii="Arial" w:eastAsia="Calibri" w:hAnsi="Arial" w:cs="Arial"/>
          <w:bCs/>
          <w:sz w:val="22"/>
        </w:rPr>
        <w:t>promoción de las compras públicas de tecnología e innovación.</w:t>
      </w:r>
    </w:p>
    <w:p w14:paraId="6C0309DA" w14:textId="77777777" w:rsidR="009C67E9" w:rsidRPr="004E17A8" w:rsidRDefault="009C67E9" w:rsidP="002B3689">
      <w:pPr>
        <w:shd w:val="clear" w:color="auto" w:fill="FFFFFF"/>
        <w:spacing w:line="276" w:lineRule="auto"/>
        <w:ind w:right="51" w:firstLine="709"/>
        <w:jc w:val="both"/>
        <w:rPr>
          <w:rFonts w:ascii="Arial" w:eastAsia="Calibri" w:hAnsi="Arial" w:cs="Arial"/>
          <w:bCs/>
          <w:sz w:val="22"/>
        </w:rPr>
      </w:pPr>
    </w:p>
    <w:bookmarkEnd w:id="22"/>
    <w:p w14:paraId="4DAE4437" w14:textId="77777777" w:rsidR="00BE1E33" w:rsidRPr="004E17A8" w:rsidRDefault="00BE1E33" w:rsidP="00BE1E33">
      <w:pPr>
        <w:pStyle w:val="Prrafodelista"/>
        <w:numPr>
          <w:ilvl w:val="0"/>
          <w:numId w:val="1"/>
        </w:numPr>
        <w:tabs>
          <w:tab w:val="left" w:pos="284"/>
        </w:tabs>
        <w:spacing w:line="276" w:lineRule="auto"/>
        <w:ind w:left="0" w:firstLine="0"/>
        <w:rPr>
          <w:rFonts w:ascii="Arial" w:hAnsi="Arial" w:cs="Arial"/>
          <w:b/>
          <w:bCs/>
          <w:sz w:val="22"/>
          <w:lang w:val="es-CO"/>
        </w:rPr>
      </w:pPr>
      <w:r w:rsidRPr="004E17A8">
        <w:rPr>
          <w:rFonts w:ascii="Arial" w:hAnsi="Arial" w:cs="Arial"/>
          <w:b/>
          <w:bCs/>
          <w:sz w:val="22"/>
          <w:lang w:val="es-CO"/>
        </w:rPr>
        <w:t xml:space="preserve">Respuesta </w:t>
      </w:r>
    </w:p>
    <w:p w14:paraId="317BE2F9" w14:textId="77777777" w:rsidR="00BE1E33" w:rsidRPr="004E17A8" w:rsidRDefault="00BE1E33" w:rsidP="00BE1E33">
      <w:pPr>
        <w:spacing w:line="276" w:lineRule="auto"/>
        <w:ind w:right="709"/>
        <w:jc w:val="both"/>
        <w:rPr>
          <w:rFonts w:ascii="Arial" w:hAnsi="Arial" w:cs="Arial"/>
          <w:sz w:val="22"/>
          <w:lang w:val="es-CO"/>
        </w:rPr>
      </w:pPr>
    </w:p>
    <w:p w14:paraId="54A2DF66" w14:textId="3553E7E8" w:rsidR="00A13B60" w:rsidRPr="004E17A8" w:rsidRDefault="009C67E9" w:rsidP="009C67E9">
      <w:pPr>
        <w:ind w:left="709" w:right="709"/>
        <w:jc w:val="both"/>
        <w:rPr>
          <w:rFonts w:ascii="Arial" w:hAnsi="Arial" w:cs="Arial"/>
          <w:sz w:val="21"/>
          <w:szCs w:val="21"/>
          <w:lang w:val="es-CO"/>
        </w:rPr>
      </w:pPr>
      <w:r w:rsidRPr="004E17A8">
        <w:rPr>
          <w:rFonts w:ascii="Arial" w:hAnsi="Arial" w:cs="Arial"/>
          <w:sz w:val="21"/>
          <w:szCs w:val="21"/>
          <w:lang w:val="es-CO"/>
        </w:rPr>
        <w:t xml:space="preserve">«[…] ¿A consideración de la Agencia Nacional de Contratación los artículos 30 al 36, contenidos en el Capítulo III de la Ley 2069 de 2020 son de aplicación inmediata, </w:t>
      </w:r>
      <w:proofErr w:type="gramStart"/>
      <w:r w:rsidRPr="004E17A8">
        <w:rPr>
          <w:rFonts w:ascii="Arial" w:hAnsi="Arial" w:cs="Arial"/>
          <w:sz w:val="21"/>
          <w:szCs w:val="21"/>
          <w:lang w:val="es-CO"/>
        </w:rPr>
        <w:t>a pesar que</w:t>
      </w:r>
      <w:proofErr w:type="gramEnd"/>
      <w:r w:rsidRPr="004E17A8">
        <w:rPr>
          <w:rFonts w:ascii="Arial" w:hAnsi="Arial" w:cs="Arial"/>
          <w:sz w:val="21"/>
          <w:szCs w:val="21"/>
          <w:lang w:val="es-CO"/>
        </w:rPr>
        <w:t xml:space="preserve"> en cada uno de sus artículos se encuentran supeditados a la expedición del reglamento por parte del Gobierno Nacional? […]»</w:t>
      </w:r>
      <w:r w:rsidR="00180FE3">
        <w:rPr>
          <w:rFonts w:ascii="Arial" w:hAnsi="Arial" w:cs="Arial"/>
          <w:sz w:val="21"/>
          <w:szCs w:val="21"/>
          <w:lang w:val="es-CO"/>
        </w:rPr>
        <w:t>.</w:t>
      </w:r>
    </w:p>
    <w:p w14:paraId="694E7F02" w14:textId="77777777" w:rsidR="009C67E9" w:rsidRPr="004E17A8" w:rsidRDefault="009C67E9" w:rsidP="002C352C">
      <w:pPr>
        <w:spacing w:line="276" w:lineRule="auto"/>
        <w:ind w:left="709" w:right="709"/>
        <w:jc w:val="both"/>
        <w:rPr>
          <w:rFonts w:ascii="Arial" w:eastAsia="Calibri" w:hAnsi="Arial" w:cs="Arial"/>
          <w:sz w:val="22"/>
        </w:rPr>
      </w:pPr>
    </w:p>
    <w:p w14:paraId="146937CF" w14:textId="32B0D03E" w:rsidR="00E91C29" w:rsidRPr="004E17A8" w:rsidRDefault="00315AB7" w:rsidP="00E91C29">
      <w:pPr>
        <w:spacing w:after="120" w:line="276" w:lineRule="auto"/>
        <w:jc w:val="both"/>
        <w:rPr>
          <w:rFonts w:ascii="Arial" w:eastAsia="Calibri" w:hAnsi="Arial" w:cs="Arial"/>
          <w:bCs/>
          <w:sz w:val="22"/>
        </w:rPr>
      </w:pPr>
      <w:r w:rsidRPr="004E17A8">
        <w:rPr>
          <w:rFonts w:ascii="Arial" w:eastAsia="Calibri" w:hAnsi="Arial" w:cs="Arial"/>
          <w:sz w:val="22"/>
        </w:rPr>
        <w:t>Conforme a lo explicado en el presente concepto</w:t>
      </w:r>
      <w:r w:rsidR="00E91C29" w:rsidRPr="004E17A8">
        <w:rPr>
          <w:rFonts w:ascii="Arial" w:eastAsia="Calibri" w:hAnsi="Arial" w:cs="Arial"/>
          <w:bCs/>
          <w:sz w:val="22"/>
        </w:rPr>
        <w:t xml:space="preserve">, en </w:t>
      </w:r>
      <w:r w:rsidR="00E91C29" w:rsidRPr="004E17A8">
        <w:rPr>
          <w:rFonts w:ascii="Arial" w:eastAsia="Calibri" w:hAnsi="Arial" w:cs="Arial"/>
          <w:sz w:val="22"/>
          <w:lang w:val="es-ES_tradnl"/>
        </w:rPr>
        <w:t>los artículos 31, 32, 34 y 36</w:t>
      </w:r>
      <w:r w:rsidR="00E91C29" w:rsidRPr="004E17A8">
        <w:rPr>
          <w:rFonts w:ascii="Arial" w:eastAsia="Calibri" w:hAnsi="Arial" w:cs="Arial"/>
          <w:bCs/>
          <w:sz w:val="22"/>
        </w:rPr>
        <w:t xml:space="preserve">, el Congreso de la República reconoce la necesidad de un reglamento para el efectivo cumplimiento de la </w:t>
      </w:r>
      <w:r w:rsidR="00E91C29" w:rsidRPr="004E17A8">
        <w:rPr>
          <w:rFonts w:ascii="Arial" w:eastAsia="Calibri" w:hAnsi="Arial" w:cs="Arial"/>
          <w:sz w:val="22"/>
          <w:lang w:val="es-ES_tradnl"/>
        </w:rPr>
        <w:t>Ley 2069 de 2020</w:t>
      </w:r>
      <w:r w:rsidR="00E91C29" w:rsidRPr="004E17A8">
        <w:rPr>
          <w:rFonts w:ascii="Arial" w:eastAsia="Calibri" w:hAnsi="Arial" w:cs="Arial"/>
          <w:bCs/>
          <w:sz w:val="22"/>
        </w:rPr>
        <w:t>, lo que demuestra, para el caso concreto, una vigencia sometida a condición para los temas regulados en estas normas. Esta conclusión se ajusta</w:t>
      </w:r>
      <w:r w:rsidR="00251F8A" w:rsidRPr="004E17A8">
        <w:rPr>
          <w:rFonts w:ascii="Arial" w:eastAsia="Calibri" w:hAnsi="Arial" w:cs="Arial"/>
          <w:bCs/>
          <w:sz w:val="22"/>
        </w:rPr>
        <w:t xml:space="preserve"> no solo a los antecedentes del proyecto de ley, sino también</w:t>
      </w:r>
      <w:r w:rsidR="00E91C29" w:rsidRPr="004E17A8">
        <w:rPr>
          <w:rFonts w:ascii="Arial" w:eastAsia="Calibri" w:hAnsi="Arial" w:cs="Arial"/>
          <w:bCs/>
          <w:sz w:val="22"/>
        </w:rPr>
        <w:t xml:space="preserve"> a la necesidad de claridad que debe introducir el reglamento en relación con </w:t>
      </w:r>
      <w:r w:rsidR="006F15B4" w:rsidRPr="004E17A8">
        <w:rPr>
          <w:rFonts w:ascii="Arial" w:eastAsia="Calibri" w:hAnsi="Arial" w:cs="Arial"/>
          <w:bCs/>
          <w:sz w:val="22"/>
        </w:rPr>
        <w:t xml:space="preserve">i) los criterios diferenciales para </w:t>
      </w:r>
      <w:proofErr w:type="spellStart"/>
      <w:r w:rsidR="006F15B4" w:rsidRPr="004E17A8">
        <w:rPr>
          <w:rFonts w:ascii="Arial" w:eastAsia="Calibri" w:hAnsi="Arial" w:cs="Arial"/>
          <w:bCs/>
          <w:sz w:val="22"/>
        </w:rPr>
        <w:t>mipymes</w:t>
      </w:r>
      <w:proofErr w:type="spellEnd"/>
      <w:r w:rsidR="006F15B4" w:rsidRPr="004E17A8">
        <w:rPr>
          <w:rFonts w:ascii="Arial" w:eastAsia="Calibri" w:hAnsi="Arial" w:cs="Arial"/>
          <w:bCs/>
          <w:sz w:val="22"/>
        </w:rPr>
        <w:t xml:space="preserve">, </w:t>
      </w:r>
      <w:proofErr w:type="spellStart"/>
      <w:r w:rsidR="006F15B4" w:rsidRPr="004E17A8">
        <w:rPr>
          <w:rFonts w:ascii="Arial" w:eastAsia="Calibri" w:hAnsi="Arial" w:cs="Arial"/>
          <w:bCs/>
          <w:sz w:val="22"/>
        </w:rPr>
        <w:t>ii</w:t>
      </w:r>
      <w:proofErr w:type="spellEnd"/>
      <w:r w:rsidR="006F15B4" w:rsidRPr="004E17A8">
        <w:rPr>
          <w:rFonts w:ascii="Arial" w:eastAsia="Calibri" w:hAnsi="Arial" w:cs="Arial"/>
          <w:bCs/>
          <w:sz w:val="22"/>
        </w:rPr>
        <w:t xml:space="preserve">) la definición de «emprendimientos y empresas de mujeres», </w:t>
      </w:r>
      <w:proofErr w:type="spellStart"/>
      <w:r w:rsidR="006F15B4" w:rsidRPr="004E17A8">
        <w:rPr>
          <w:rFonts w:ascii="Arial" w:eastAsia="Calibri" w:hAnsi="Arial" w:cs="Arial"/>
          <w:bCs/>
          <w:sz w:val="22"/>
        </w:rPr>
        <w:t>iii</w:t>
      </w:r>
      <w:proofErr w:type="spellEnd"/>
      <w:r w:rsidR="006F15B4" w:rsidRPr="004E17A8">
        <w:rPr>
          <w:rFonts w:ascii="Arial" w:eastAsia="Calibri" w:hAnsi="Arial" w:cs="Arial"/>
          <w:bCs/>
          <w:sz w:val="22"/>
        </w:rPr>
        <w:t xml:space="preserve">) las convocatorias limitadas a </w:t>
      </w:r>
      <w:proofErr w:type="spellStart"/>
      <w:r w:rsidR="006F15B4" w:rsidRPr="004E17A8">
        <w:rPr>
          <w:rFonts w:ascii="Arial" w:eastAsia="Calibri" w:hAnsi="Arial" w:cs="Arial"/>
          <w:bCs/>
          <w:sz w:val="22"/>
        </w:rPr>
        <w:t>mipymes</w:t>
      </w:r>
      <w:proofErr w:type="spellEnd"/>
      <w:r w:rsidR="006F15B4" w:rsidRPr="004E17A8">
        <w:rPr>
          <w:rFonts w:ascii="Arial" w:eastAsia="Calibri" w:hAnsi="Arial" w:cs="Arial"/>
          <w:bCs/>
          <w:sz w:val="22"/>
        </w:rPr>
        <w:t xml:space="preserve"> y el fomento en la ejecución de los contratos estatales por parte de sujetos de especial protección, así como </w:t>
      </w:r>
      <w:proofErr w:type="spellStart"/>
      <w:r w:rsidR="006F15B4" w:rsidRPr="004E17A8">
        <w:rPr>
          <w:rFonts w:ascii="Arial" w:eastAsia="Calibri" w:hAnsi="Arial" w:cs="Arial"/>
          <w:bCs/>
          <w:sz w:val="22"/>
        </w:rPr>
        <w:t>iv</w:t>
      </w:r>
      <w:proofErr w:type="spellEnd"/>
      <w:r w:rsidR="006F15B4" w:rsidRPr="004E17A8">
        <w:rPr>
          <w:rFonts w:ascii="Arial" w:eastAsia="Calibri" w:hAnsi="Arial" w:cs="Arial"/>
          <w:bCs/>
          <w:sz w:val="22"/>
        </w:rPr>
        <w:t>) la promoción de las compras públicas de tecnología e innovación</w:t>
      </w:r>
      <w:r w:rsidR="00E91C29" w:rsidRPr="004E17A8">
        <w:rPr>
          <w:rFonts w:ascii="Arial" w:eastAsia="Calibri" w:hAnsi="Arial" w:cs="Arial"/>
          <w:bCs/>
          <w:sz w:val="22"/>
        </w:rPr>
        <w:t>.</w:t>
      </w:r>
    </w:p>
    <w:p w14:paraId="7ED754EF" w14:textId="2E6FB395" w:rsidR="00B86C5A" w:rsidRPr="004E17A8" w:rsidRDefault="00E91C29" w:rsidP="00E91C29">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t xml:space="preserve">Por el contrario, </w:t>
      </w:r>
      <w:r w:rsidR="00B86C5A" w:rsidRPr="004E17A8">
        <w:rPr>
          <w:rFonts w:ascii="Arial" w:eastAsia="Calibri" w:hAnsi="Arial" w:cs="Arial"/>
          <w:bCs/>
          <w:sz w:val="22"/>
        </w:rPr>
        <w:t xml:space="preserve">en relación con las </w:t>
      </w:r>
      <w:proofErr w:type="spellStart"/>
      <w:r w:rsidR="00B86C5A" w:rsidRPr="004E17A8">
        <w:rPr>
          <w:rFonts w:ascii="Arial" w:eastAsia="Calibri" w:hAnsi="Arial" w:cs="Arial"/>
          <w:bCs/>
          <w:sz w:val="22"/>
        </w:rPr>
        <w:t>mipymes</w:t>
      </w:r>
      <w:proofErr w:type="spellEnd"/>
      <w:r w:rsidR="00B86C5A" w:rsidRPr="004E17A8">
        <w:rPr>
          <w:rFonts w:ascii="Arial" w:eastAsia="Calibri" w:hAnsi="Arial" w:cs="Arial"/>
          <w:bCs/>
          <w:sz w:val="22"/>
        </w:rPr>
        <w:t xml:space="preserve"> y </w:t>
      </w:r>
      <w:r w:rsidR="00BC6DAA" w:rsidRPr="004E17A8">
        <w:rPr>
          <w:rFonts w:ascii="Arial" w:eastAsia="Calibri" w:hAnsi="Arial" w:cs="Arial"/>
          <w:bCs/>
          <w:sz w:val="22"/>
        </w:rPr>
        <w:t xml:space="preserve">la </w:t>
      </w:r>
      <w:r w:rsidR="00B86C5A" w:rsidRPr="004E17A8">
        <w:rPr>
          <w:rFonts w:ascii="Arial" w:eastAsia="Calibri" w:hAnsi="Arial" w:cs="Arial"/>
          <w:bCs/>
          <w:sz w:val="22"/>
        </w:rPr>
        <w:t xml:space="preserve">mínima cuantía, </w:t>
      </w:r>
      <w:r w:rsidR="00B86C5A" w:rsidRPr="004E17A8">
        <w:rPr>
          <w:rFonts w:ascii="Arial" w:eastAsia="Calibri" w:hAnsi="Arial" w:cs="Arial"/>
          <w:bCs/>
          <w:sz w:val="22"/>
          <w:lang w:val="es-ES_tradnl"/>
        </w:rPr>
        <w:t xml:space="preserve">dado que el artículo 30 de la Ley 2069 de 2020 regula aspectos como i) el término mínimo para publicar la invitación, </w:t>
      </w:r>
      <w:proofErr w:type="spellStart"/>
      <w:r w:rsidR="00B86C5A" w:rsidRPr="004E17A8">
        <w:rPr>
          <w:rFonts w:ascii="Arial" w:eastAsia="Calibri" w:hAnsi="Arial" w:cs="Arial"/>
          <w:bCs/>
          <w:sz w:val="22"/>
          <w:lang w:val="es-ES_tradnl"/>
        </w:rPr>
        <w:t>ii</w:t>
      </w:r>
      <w:proofErr w:type="spellEnd"/>
      <w:r w:rsidR="00B86C5A" w:rsidRPr="004E17A8">
        <w:rPr>
          <w:rFonts w:ascii="Arial" w:eastAsia="Calibri" w:hAnsi="Arial" w:cs="Arial"/>
          <w:bCs/>
          <w:sz w:val="22"/>
          <w:lang w:val="es-ES_tradnl"/>
        </w:rPr>
        <w:t xml:space="preserve">) el plazo mínimo de recepción de las ofertas, </w:t>
      </w:r>
      <w:proofErr w:type="spellStart"/>
      <w:r w:rsidR="00B86C5A" w:rsidRPr="004E17A8">
        <w:rPr>
          <w:rFonts w:ascii="Arial" w:eastAsia="Calibri" w:hAnsi="Arial" w:cs="Arial"/>
          <w:bCs/>
          <w:sz w:val="22"/>
          <w:lang w:val="es-ES_tradnl"/>
        </w:rPr>
        <w:t>iii</w:t>
      </w:r>
      <w:proofErr w:type="spellEnd"/>
      <w:r w:rsidR="00B86C5A" w:rsidRPr="004E17A8">
        <w:rPr>
          <w:rFonts w:ascii="Arial" w:eastAsia="Calibri" w:hAnsi="Arial" w:cs="Arial"/>
          <w:bCs/>
          <w:sz w:val="22"/>
          <w:lang w:val="es-ES_tradnl"/>
        </w:rPr>
        <w:t xml:space="preserve">) el factor de evaluación que define la selección del proponente y </w:t>
      </w:r>
      <w:proofErr w:type="spellStart"/>
      <w:r w:rsidR="00B86C5A" w:rsidRPr="004E17A8">
        <w:rPr>
          <w:rFonts w:ascii="Arial" w:eastAsia="Calibri" w:hAnsi="Arial" w:cs="Arial"/>
          <w:bCs/>
          <w:sz w:val="22"/>
          <w:lang w:val="es-ES_tradnl"/>
        </w:rPr>
        <w:t>iv</w:t>
      </w:r>
      <w:proofErr w:type="spellEnd"/>
      <w:r w:rsidR="00B86C5A" w:rsidRPr="004E17A8">
        <w:rPr>
          <w:rFonts w:ascii="Arial" w:eastAsia="Calibri" w:hAnsi="Arial" w:cs="Arial"/>
          <w:bCs/>
          <w:sz w:val="22"/>
          <w:lang w:val="es-ES_tradnl"/>
        </w:rPr>
        <w:t xml:space="preserve">) el perfeccionamiento del contrato, las entidades deben estructurar sus procedimientos de selección de acuerdo con estos parámetros, los cuales tienen una aplicación inmediata sin que el reglamento condicione la vigencia de la mínima cuantía. Esto </w:t>
      </w:r>
      <w:r w:rsidR="00B86C5A" w:rsidRPr="004E17A8">
        <w:rPr>
          <w:rFonts w:ascii="Arial" w:eastAsia="Calibri" w:hAnsi="Arial" w:cs="Arial"/>
          <w:bCs/>
          <w:sz w:val="22"/>
        </w:rPr>
        <w:t>sin perjuicio de que el Gobierno Nacional</w:t>
      </w:r>
      <w:r w:rsidR="00DA1396" w:rsidRPr="004E17A8">
        <w:rPr>
          <w:rFonts w:ascii="Arial" w:eastAsia="Calibri" w:hAnsi="Arial" w:cs="Arial"/>
          <w:bCs/>
          <w:sz w:val="22"/>
        </w:rPr>
        <w:t xml:space="preserve">, conforme a lo dispuesto en el parágrafo 1 </w:t>
      </w:r>
      <w:r w:rsidR="00DA1396" w:rsidRPr="004E17A8">
        <w:rPr>
          <w:rFonts w:ascii="Arial" w:eastAsia="Calibri" w:hAnsi="Arial" w:cs="Arial"/>
          <w:bCs/>
          <w:i/>
          <w:iCs/>
          <w:sz w:val="22"/>
        </w:rPr>
        <w:t xml:space="preserve">ibidem, </w:t>
      </w:r>
      <w:r w:rsidR="00B86C5A" w:rsidRPr="004E17A8">
        <w:rPr>
          <w:rFonts w:ascii="Arial" w:eastAsia="Calibri" w:hAnsi="Arial" w:cs="Arial"/>
          <w:bCs/>
          <w:sz w:val="22"/>
        </w:rPr>
        <w:t xml:space="preserve">ejerza la potestad reglamentaria para </w:t>
      </w:r>
      <w:r w:rsidR="00B86C5A" w:rsidRPr="004E17A8">
        <w:rPr>
          <w:rFonts w:ascii="Arial" w:eastAsia="Calibri" w:hAnsi="Arial" w:cs="Arial"/>
          <w:bCs/>
          <w:sz w:val="22"/>
          <w:lang w:val="es-ES_tradnl"/>
        </w:rPr>
        <w:t xml:space="preserve">regular tanto las particularidades del procedimiento de selección como la posibilidad de realizar estas adquisiciones a </w:t>
      </w:r>
      <w:proofErr w:type="spellStart"/>
      <w:r w:rsidR="00B86C5A" w:rsidRPr="004E17A8">
        <w:rPr>
          <w:rFonts w:ascii="Arial" w:eastAsia="Calibri" w:hAnsi="Arial" w:cs="Arial"/>
          <w:bCs/>
          <w:sz w:val="22"/>
          <w:lang w:val="es-ES_tradnl"/>
        </w:rPr>
        <w:t>mipymes</w:t>
      </w:r>
      <w:proofErr w:type="spellEnd"/>
      <w:r w:rsidR="00B86C5A" w:rsidRPr="004E17A8">
        <w:rPr>
          <w:rFonts w:ascii="Arial" w:eastAsia="Calibri" w:hAnsi="Arial" w:cs="Arial"/>
          <w:bCs/>
          <w:sz w:val="22"/>
          <w:lang w:val="es-ES_tradnl"/>
        </w:rPr>
        <w:t xml:space="preserve"> o establecimientos que correspondan a la definición de «gran almacén»</w:t>
      </w:r>
      <w:r w:rsidR="005145FB" w:rsidRPr="004E17A8">
        <w:rPr>
          <w:rFonts w:ascii="Arial" w:eastAsia="Calibri" w:hAnsi="Arial" w:cs="Arial"/>
          <w:bCs/>
          <w:sz w:val="22"/>
          <w:lang w:val="es-ES_tradnl"/>
        </w:rPr>
        <w:t>, temas que están exclusivamente reservados al decreto correspondiente</w:t>
      </w:r>
      <w:r w:rsidR="00B86C5A" w:rsidRPr="004E17A8">
        <w:rPr>
          <w:rFonts w:ascii="Arial" w:eastAsia="Calibri" w:hAnsi="Arial" w:cs="Arial"/>
          <w:bCs/>
          <w:sz w:val="22"/>
          <w:lang w:val="es-ES_tradnl"/>
        </w:rPr>
        <w:t>.</w:t>
      </w:r>
    </w:p>
    <w:p w14:paraId="5A08955A" w14:textId="4E76F3C7" w:rsidR="00E91C29" w:rsidRPr="004E17A8" w:rsidRDefault="00DD39FB" w:rsidP="00E91C29">
      <w:pPr>
        <w:tabs>
          <w:tab w:val="left" w:pos="709"/>
        </w:tabs>
        <w:spacing w:after="120" w:line="276" w:lineRule="auto"/>
        <w:jc w:val="both"/>
        <w:rPr>
          <w:rFonts w:ascii="Arial" w:eastAsia="Calibri" w:hAnsi="Arial" w:cs="Arial"/>
          <w:bCs/>
          <w:sz w:val="22"/>
        </w:rPr>
      </w:pPr>
      <w:r w:rsidRPr="004E17A8">
        <w:rPr>
          <w:rFonts w:ascii="Arial" w:eastAsia="Calibri" w:hAnsi="Arial" w:cs="Arial"/>
          <w:bCs/>
          <w:sz w:val="22"/>
        </w:rPr>
        <w:tab/>
        <w:t>E</w:t>
      </w:r>
      <w:r w:rsidR="00E91C29" w:rsidRPr="004E17A8">
        <w:rPr>
          <w:rFonts w:ascii="Arial" w:eastAsia="Calibri" w:hAnsi="Arial" w:cs="Arial"/>
          <w:bCs/>
          <w:sz w:val="22"/>
        </w:rPr>
        <w:t xml:space="preserve">n lo que se refiere a la promoción del acceso de las </w:t>
      </w:r>
      <w:proofErr w:type="spellStart"/>
      <w:r w:rsidR="00E91C29" w:rsidRPr="004E17A8">
        <w:rPr>
          <w:rFonts w:ascii="Arial" w:eastAsia="Calibri" w:hAnsi="Arial" w:cs="Arial"/>
          <w:bCs/>
          <w:sz w:val="22"/>
        </w:rPr>
        <w:t>mipymes</w:t>
      </w:r>
      <w:proofErr w:type="spellEnd"/>
      <w:r w:rsidR="00E91C29" w:rsidRPr="004E17A8">
        <w:rPr>
          <w:rFonts w:ascii="Arial" w:eastAsia="Calibri" w:hAnsi="Arial" w:cs="Arial"/>
          <w:bCs/>
          <w:sz w:val="22"/>
        </w:rPr>
        <w:t xml:space="preserve"> al mercado de compras públicas, la legislación consagra una serie de deberes </w:t>
      </w:r>
      <w:r w:rsidR="00813976" w:rsidRPr="004E17A8">
        <w:rPr>
          <w:rFonts w:ascii="Arial" w:eastAsia="Calibri" w:hAnsi="Arial" w:cs="Arial"/>
          <w:bCs/>
          <w:sz w:val="22"/>
        </w:rPr>
        <w:t>exigibles a</w:t>
      </w:r>
      <w:r w:rsidR="00E91C29" w:rsidRPr="004E17A8">
        <w:rPr>
          <w:rFonts w:ascii="Arial" w:eastAsia="Calibri" w:hAnsi="Arial" w:cs="Arial"/>
          <w:bCs/>
          <w:sz w:val="22"/>
        </w:rPr>
        <w:t xml:space="preserve"> los destinatarios en su gestión contractual</w:t>
      </w:r>
      <w:r w:rsidR="00107B39" w:rsidRPr="004E17A8">
        <w:rPr>
          <w:rFonts w:ascii="Arial" w:eastAsia="Calibri" w:hAnsi="Arial" w:cs="Arial"/>
          <w:bCs/>
          <w:sz w:val="22"/>
        </w:rPr>
        <w:t>, los cuales son de aplicación directa</w:t>
      </w:r>
      <w:r w:rsidR="00E91C29" w:rsidRPr="004E17A8">
        <w:rPr>
          <w:rFonts w:ascii="Arial" w:eastAsia="Calibri" w:hAnsi="Arial" w:cs="Arial"/>
          <w:bCs/>
          <w:sz w:val="22"/>
        </w:rPr>
        <w:t xml:space="preserve">. Aunque el alcance de estas obligaciones puede delimitarse por otras leyes o reglamentos, lo importante es que el </w:t>
      </w:r>
      <w:r w:rsidR="00E91C29" w:rsidRPr="004E17A8">
        <w:rPr>
          <w:rFonts w:ascii="Arial" w:eastAsia="Calibri" w:hAnsi="Arial" w:cs="Arial"/>
          <w:bCs/>
          <w:sz w:val="22"/>
        </w:rPr>
        <w:lastRenderedPageBreak/>
        <w:t>artículo 33 de la Ley de Emprendimiento consagra elementos mínimos que las entidades deben acatar so pena de una causal de mala conducta</w:t>
      </w:r>
      <w:r w:rsidR="00E334FD" w:rsidRPr="004E17A8">
        <w:rPr>
          <w:rFonts w:ascii="Arial" w:eastAsia="Calibri" w:hAnsi="Arial" w:cs="Arial"/>
          <w:bCs/>
          <w:sz w:val="22"/>
        </w:rPr>
        <w:t>.</w:t>
      </w:r>
    </w:p>
    <w:p w14:paraId="1656955C" w14:textId="7D696A33" w:rsidR="00E91C29" w:rsidRPr="004E17A8" w:rsidRDefault="00E91C29" w:rsidP="009B2484">
      <w:pPr>
        <w:tabs>
          <w:tab w:val="left" w:pos="709"/>
        </w:tabs>
        <w:spacing w:line="276" w:lineRule="auto"/>
        <w:jc w:val="both"/>
        <w:rPr>
          <w:rFonts w:ascii="Arial" w:eastAsia="Calibri" w:hAnsi="Arial" w:cs="Arial"/>
          <w:bCs/>
          <w:sz w:val="22"/>
        </w:rPr>
      </w:pPr>
      <w:r w:rsidRPr="004E17A8">
        <w:rPr>
          <w:rFonts w:ascii="Arial" w:eastAsia="Calibri" w:hAnsi="Arial" w:cs="Arial"/>
          <w:bCs/>
          <w:sz w:val="22"/>
        </w:rPr>
        <w:tab/>
        <w:t>Igualmente, respecto a los factores de desempate, se encuentra que los mismos se elevaron a rango de ley, por lo que ni el reglamento ni el pliego de condiciones pueden modificarl</w:t>
      </w:r>
      <w:r w:rsidR="00996849" w:rsidRPr="004E17A8">
        <w:rPr>
          <w:rFonts w:ascii="Arial" w:eastAsia="Calibri" w:hAnsi="Arial" w:cs="Arial"/>
          <w:bCs/>
          <w:sz w:val="22"/>
        </w:rPr>
        <w:t>o</w:t>
      </w:r>
      <w:r w:rsidRPr="004E17A8">
        <w:rPr>
          <w:rFonts w:ascii="Arial" w:eastAsia="Calibri" w:hAnsi="Arial" w:cs="Arial"/>
          <w:bCs/>
          <w:sz w:val="22"/>
        </w:rPr>
        <w:t>s, adicionarl</w:t>
      </w:r>
      <w:r w:rsidR="00996849" w:rsidRPr="004E17A8">
        <w:rPr>
          <w:rFonts w:ascii="Arial" w:eastAsia="Calibri" w:hAnsi="Arial" w:cs="Arial"/>
          <w:bCs/>
          <w:sz w:val="22"/>
        </w:rPr>
        <w:t>o</w:t>
      </w:r>
      <w:r w:rsidRPr="004E17A8">
        <w:rPr>
          <w:rFonts w:ascii="Arial" w:eastAsia="Calibri" w:hAnsi="Arial" w:cs="Arial"/>
          <w:bCs/>
          <w:sz w:val="22"/>
        </w:rPr>
        <w:t>s o suprimirl</w:t>
      </w:r>
      <w:r w:rsidR="00996849" w:rsidRPr="004E17A8">
        <w:rPr>
          <w:rFonts w:ascii="Arial" w:eastAsia="Calibri" w:hAnsi="Arial" w:cs="Arial"/>
          <w:bCs/>
          <w:sz w:val="22"/>
        </w:rPr>
        <w:t>o</w:t>
      </w:r>
      <w:r w:rsidRPr="004E17A8">
        <w:rPr>
          <w:rFonts w:ascii="Arial" w:eastAsia="Calibri" w:hAnsi="Arial" w:cs="Arial"/>
          <w:bCs/>
          <w:sz w:val="22"/>
        </w:rPr>
        <w:t>s</w:t>
      </w:r>
      <w:r w:rsidR="00E447FC" w:rsidRPr="004E17A8">
        <w:rPr>
          <w:rFonts w:ascii="Arial" w:eastAsia="Calibri" w:hAnsi="Arial" w:cs="Arial"/>
          <w:bCs/>
          <w:sz w:val="22"/>
        </w:rPr>
        <w:t>.</w:t>
      </w:r>
      <w:r w:rsidRPr="004E17A8">
        <w:rPr>
          <w:rFonts w:ascii="Arial" w:eastAsia="Calibri" w:hAnsi="Arial" w:cs="Arial"/>
          <w:bCs/>
          <w:sz w:val="22"/>
        </w:rPr>
        <w:t xml:space="preserve"> En este sentido, las causales del artículo 35 son obligatorias en los procedimientos de selección de las entidades sometidas al Estatuto General, las entidades exceptuadas de la Ley 80 de 1993 y los patrimonios autónomos. De esta manera, sin perjuicio de lo dispuesto en el parágrafo 3 para los casos en que concurren dos o más de los factores de desempate, no requiere de una reglamentación previa para que su exigibilidad. </w:t>
      </w:r>
    </w:p>
    <w:p w14:paraId="428B5557" w14:textId="77777777" w:rsidR="00085476" w:rsidRPr="004E17A8" w:rsidRDefault="00085476" w:rsidP="00E250E0">
      <w:pPr>
        <w:autoSpaceDE w:val="0"/>
        <w:autoSpaceDN w:val="0"/>
        <w:adjustRightInd w:val="0"/>
        <w:spacing w:after="120"/>
        <w:ind w:left="709" w:right="709"/>
        <w:jc w:val="both"/>
        <w:rPr>
          <w:rFonts w:ascii="Arial" w:hAnsi="Arial" w:cs="Arial"/>
          <w:sz w:val="21"/>
          <w:szCs w:val="21"/>
          <w:lang w:val="es-CO"/>
        </w:rPr>
      </w:pPr>
    </w:p>
    <w:p w14:paraId="78A474DF" w14:textId="77777777" w:rsidR="00A55BF1" w:rsidRPr="004E17A8" w:rsidRDefault="00E05344" w:rsidP="00A55BF1">
      <w:pPr>
        <w:spacing w:line="276" w:lineRule="auto"/>
        <w:jc w:val="both"/>
        <w:rPr>
          <w:rFonts w:ascii="Arial" w:hAnsi="Arial" w:cs="Arial"/>
          <w:sz w:val="22"/>
        </w:rPr>
      </w:pPr>
      <w:r w:rsidRPr="004E17A8">
        <w:rPr>
          <w:rFonts w:ascii="Arial" w:eastAsia="Calibri" w:hAnsi="Arial" w:cs="Arial"/>
          <w:sz w:val="22"/>
        </w:rPr>
        <w:t>Este concepto tiene el alcance previsto en el artículo 28 del Código de Procedimiento Administrativo y de lo Contencioso Administrativo</w:t>
      </w:r>
      <w:r w:rsidR="00BE1E33" w:rsidRPr="004E17A8">
        <w:rPr>
          <w:rFonts w:ascii="Arial" w:eastAsia="Calibri" w:hAnsi="Arial" w:cs="Arial"/>
          <w:sz w:val="22"/>
        </w:rPr>
        <w:t>.</w:t>
      </w:r>
    </w:p>
    <w:p w14:paraId="58248B2B" w14:textId="77777777" w:rsidR="00A55BF1" w:rsidRPr="004E17A8" w:rsidRDefault="00A55BF1" w:rsidP="00A55BF1">
      <w:pPr>
        <w:pStyle w:val="NormalWeb"/>
        <w:spacing w:before="0" w:beforeAutospacing="0" w:after="0" w:afterAutospacing="0" w:line="276" w:lineRule="auto"/>
        <w:jc w:val="both"/>
        <w:rPr>
          <w:rFonts w:ascii="Arial" w:hAnsi="Arial" w:cs="Arial"/>
          <w:sz w:val="16"/>
          <w:szCs w:val="16"/>
          <w:lang w:val="es-MX"/>
        </w:rPr>
      </w:pPr>
    </w:p>
    <w:p w14:paraId="0CFBC9B7" w14:textId="77777777" w:rsidR="00A55BF1" w:rsidRPr="004E17A8" w:rsidRDefault="00A55BF1" w:rsidP="00A55BF1">
      <w:pPr>
        <w:pStyle w:val="NormalWeb"/>
        <w:spacing w:before="0" w:beforeAutospacing="0" w:after="0" w:afterAutospacing="0" w:line="276" w:lineRule="auto"/>
        <w:jc w:val="both"/>
        <w:rPr>
          <w:rFonts w:ascii="Arial" w:hAnsi="Arial" w:cs="Arial"/>
          <w:sz w:val="22"/>
          <w:szCs w:val="22"/>
          <w:lang w:val="es-MX"/>
        </w:rPr>
      </w:pPr>
      <w:r w:rsidRPr="004E17A8">
        <w:rPr>
          <w:rFonts w:ascii="Arial" w:hAnsi="Arial" w:cs="Arial"/>
          <w:sz w:val="22"/>
          <w:szCs w:val="22"/>
          <w:lang w:val="es-MX"/>
        </w:rPr>
        <w:t>Atentamente,</w:t>
      </w:r>
    </w:p>
    <w:p w14:paraId="327623D5" w14:textId="36C48BE4" w:rsidR="00A55BF1" w:rsidRPr="004E17A8" w:rsidRDefault="00EC4205" w:rsidP="00A55BF1">
      <w:pPr>
        <w:jc w:val="center"/>
        <w:rPr>
          <w:rFonts w:ascii="Arial" w:eastAsia="Times New Roman" w:hAnsi="Arial" w:cs="Arial"/>
          <w:sz w:val="18"/>
          <w:szCs w:val="20"/>
          <w:lang w:eastAsia="es-CO"/>
        </w:rPr>
      </w:pPr>
      <w:r>
        <w:rPr>
          <w:noProof/>
        </w:rPr>
        <w:drawing>
          <wp:inline distT="0" distB="0" distL="0" distR="0" wp14:anchorId="2D378398" wp14:editId="45C028EC">
            <wp:extent cx="2519680" cy="1116330"/>
            <wp:effectExtent l="0" t="0" r="0" b="762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a:picLocks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2519680" cy="1116330"/>
                    </a:xfrm>
                    <a:prstGeom prst="rect">
                      <a:avLst/>
                    </a:prstGeom>
                  </pic:spPr>
                </pic:pic>
              </a:graphicData>
            </a:graphic>
          </wp:inline>
        </w:drawing>
      </w:r>
    </w:p>
    <w:p w14:paraId="79497E9D" w14:textId="77777777" w:rsidR="00A55BF1" w:rsidRPr="004E17A8" w:rsidRDefault="00A55BF1" w:rsidP="00A55BF1">
      <w:pPr>
        <w:jc w:val="center"/>
        <w:rPr>
          <w:rFonts w:ascii="Arial" w:eastAsia="Times New Roman" w:hAnsi="Arial" w:cs="Arial"/>
          <w:sz w:val="18"/>
          <w:szCs w:val="20"/>
          <w:lang w:eastAsia="es-CO"/>
        </w:rPr>
      </w:pPr>
    </w:p>
    <w:p w14:paraId="138B3DE1" w14:textId="62B3C4B0" w:rsidR="00A55BF1" w:rsidRPr="004E17A8" w:rsidRDefault="00A55BF1" w:rsidP="00A55BF1">
      <w:pPr>
        <w:jc w:val="center"/>
        <w:rPr>
          <w:rFonts w:ascii="Arial" w:eastAsia="Times New Roman" w:hAnsi="Arial" w:cs="Arial"/>
          <w:sz w:val="18"/>
          <w:szCs w:val="20"/>
          <w:lang w:eastAsia="es-CO"/>
        </w:rPr>
      </w:pPr>
    </w:p>
    <w:p w14:paraId="1C72015A" w14:textId="77777777" w:rsidR="00E334FD" w:rsidRPr="004E17A8" w:rsidRDefault="00E334FD" w:rsidP="00A55BF1">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4E17A8" w:rsidRPr="004E17A8" w14:paraId="570E1242" w14:textId="77777777" w:rsidTr="00460200">
        <w:trPr>
          <w:trHeight w:val="315"/>
        </w:trPr>
        <w:tc>
          <w:tcPr>
            <w:tcW w:w="812" w:type="dxa"/>
            <w:vAlign w:val="center"/>
            <w:hideMark/>
          </w:tcPr>
          <w:p w14:paraId="5FD1A97E" w14:textId="77777777" w:rsidR="00A55BF1" w:rsidRPr="004E17A8" w:rsidRDefault="00A55BF1" w:rsidP="00460200">
            <w:pPr>
              <w:rPr>
                <w:rFonts w:ascii="Arial" w:eastAsia="Times New Roman" w:hAnsi="Arial" w:cs="Arial"/>
                <w:sz w:val="16"/>
                <w:szCs w:val="16"/>
                <w:lang w:eastAsia="es-ES"/>
              </w:rPr>
            </w:pPr>
            <w:r w:rsidRPr="004E17A8">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09602EED" w14:textId="77777777" w:rsidR="00A55BF1" w:rsidRPr="004E17A8" w:rsidRDefault="00A55BF1" w:rsidP="00460200">
            <w:pPr>
              <w:rPr>
                <w:rFonts w:ascii="Arial" w:eastAsia="Times New Roman" w:hAnsi="Arial" w:cs="Arial"/>
                <w:sz w:val="16"/>
                <w:szCs w:val="16"/>
                <w:lang w:eastAsia="es-ES"/>
              </w:rPr>
            </w:pPr>
            <w:r w:rsidRPr="004E17A8">
              <w:rPr>
                <w:rFonts w:ascii="Arial" w:eastAsia="Times New Roman" w:hAnsi="Arial" w:cs="Arial"/>
                <w:sz w:val="16"/>
                <w:szCs w:val="16"/>
                <w:lang w:eastAsia="es-ES"/>
              </w:rPr>
              <w:t>Alejandro Sarmiento Cantillo</w:t>
            </w:r>
          </w:p>
          <w:p w14:paraId="49F50001" w14:textId="77777777" w:rsidR="00A55BF1" w:rsidRPr="004E17A8" w:rsidRDefault="00A55BF1" w:rsidP="00460200">
            <w:pPr>
              <w:rPr>
                <w:rFonts w:ascii="Arial" w:eastAsia="Times New Roman" w:hAnsi="Arial" w:cs="Arial"/>
                <w:sz w:val="16"/>
                <w:szCs w:val="16"/>
                <w:lang w:eastAsia="es-ES"/>
              </w:rPr>
            </w:pPr>
            <w:r w:rsidRPr="004E17A8">
              <w:rPr>
                <w:rFonts w:ascii="Arial" w:eastAsia="Times New Roman" w:hAnsi="Arial" w:cs="Arial"/>
                <w:sz w:val="16"/>
                <w:szCs w:val="16"/>
                <w:lang w:eastAsia="es-ES"/>
              </w:rPr>
              <w:t>Gestor T1-11 de la Subdirección de Gestión Contractual</w:t>
            </w:r>
          </w:p>
        </w:tc>
      </w:tr>
      <w:tr w:rsidR="004E17A8" w:rsidRPr="004E17A8" w14:paraId="12C22515" w14:textId="77777777" w:rsidTr="00460200">
        <w:trPr>
          <w:trHeight w:val="330"/>
        </w:trPr>
        <w:tc>
          <w:tcPr>
            <w:tcW w:w="812" w:type="dxa"/>
            <w:vAlign w:val="center"/>
            <w:hideMark/>
          </w:tcPr>
          <w:p w14:paraId="51DF5D65" w14:textId="77777777" w:rsidR="00A55BF1" w:rsidRPr="004E17A8" w:rsidRDefault="00A55BF1" w:rsidP="00460200">
            <w:pPr>
              <w:rPr>
                <w:rFonts w:ascii="Arial" w:eastAsia="Times New Roman" w:hAnsi="Arial" w:cs="Arial"/>
                <w:sz w:val="16"/>
                <w:szCs w:val="16"/>
                <w:lang w:eastAsia="es-ES"/>
              </w:rPr>
            </w:pPr>
            <w:r w:rsidRPr="004E17A8">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10EC95B" w14:textId="77777777" w:rsidR="00A55BF1" w:rsidRPr="004E17A8" w:rsidRDefault="00A55BF1" w:rsidP="00460200">
            <w:pPr>
              <w:rPr>
                <w:rFonts w:ascii="Arial" w:eastAsia="Times New Roman" w:hAnsi="Arial" w:cs="Arial"/>
                <w:sz w:val="16"/>
                <w:szCs w:val="16"/>
                <w:lang w:eastAsia="es-ES"/>
              </w:rPr>
            </w:pPr>
            <w:r w:rsidRPr="004E17A8">
              <w:rPr>
                <w:rFonts w:ascii="Arial" w:eastAsia="Times New Roman" w:hAnsi="Arial" w:cs="Arial"/>
                <w:sz w:val="16"/>
                <w:szCs w:val="16"/>
                <w:lang w:eastAsia="es-ES"/>
              </w:rPr>
              <w:t>Juan David Montoya Penagos</w:t>
            </w:r>
          </w:p>
          <w:p w14:paraId="2F4F5D7C" w14:textId="77777777" w:rsidR="00A55BF1" w:rsidRPr="004E17A8" w:rsidRDefault="00A55BF1" w:rsidP="00460200">
            <w:pPr>
              <w:rPr>
                <w:rFonts w:ascii="Arial" w:eastAsia="Times New Roman" w:hAnsi="Arial" w:cs="Arial"/>
                <w:sz w:val="16"/>
                <w:szCs w:val="16"/>
                <w:lang w:eastAsia="es-ES"/>
              </w:rPr>
            </w:pPr>
            <w:r w:rsidRPr="004E17A8">
              <w:rPr>
                <w:rFonts w:ascii="Arial" w:eastAsia="Times New Roman" w:hAnsi="Arial" w:cs="Arial"/>
                <w:sz w:val="16"/>
                <w:szCs w:val="16"/>
                <w:lang w:eastAsia="es-ES"/>
              </w:rPr>
              <w:t>Gestor T1-15 de la Subdirección de Gestión Contractual</w:t>
            </w:r>
          </w:p>
        </w:tc>
      </w:tr>
      <w:tr w:rsidR="00515DA2" w:rsidRPr="004E17A8" w14:paraId="05CDC1BF" w14:textId="77777777" w:rsidTr="00460200">
        <w:trPr>
          <w:trHeight w:val="300"/>
        </w:trPr>
        <w:tc>
          <w:tcPr>
            <w:tcW w:w="812" w:type="dxa"/>
            <w:vAlign w:val="center"/>
            <w:hideMark/>
          </w:tcPr>
          <w:p w14:paraId="3D155D19" w14:textId="77777777" w:rsidR="00A55BF1" w:rsidRPr="004E17A8" w:rsidRDefault="00A55BF1" w:rsidP="00460200">
            <w:pPr>
              <w:rPr>
                <w:rFonts w:ascii="Arial" w:eastAsia="Times New Roman" w:hAnsi="Arial" w:cs="Arial"/>
                <w:sz w:val="16"/>
                <w:szCs w:val="16"/>
                <w:lang w:eastAsia="es-ES"/>
              </w:rPr>
            </w:pPr>
            <w:r w:rsidRPr="004E17A8">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7A16EB1" w14:textId="77777777" w:rsidR="00A55BF1" w:rsidRPr="004E17A8" w:rsidRDefault="00A55BF1" w:rsidP="00460200">
            <w:pPr>
              <w:rPr>
                <w:rFonts w:ascii="Arial" w:eastAsia="Times New Roman" w:hAnsi="Arial" w:cs="Arial"/>
                <w:sz w:val="16"/>
                <w:szCs w:val="16"/>
                <w:lang w:eastAsia="es-ES"/>
              </w:rPr>
            </w:pPr>
            <w:r w:rsidRPr="004E17A8">
              <w:rPr>
                <w:rFonts w:ascii="Arial" w:eastAsia="Times New Roman" w:hAnsi="Arial" w:cs="Arial"/>
                <w:sz w:val="16"/>
                <w:szCs w:val="16"/>
                <w:lang w:eastAsia="es-ES"/>
              </w:rPr>
              <w:t>Jorge Augusto Tirado Navarro</w:t>
            </w:r>
          </w:p>
          <w:p w14:paraId="07208653" w14:textId="77777777" w:rsidR="00A55BF1" w:rsidRPr="004E17A8" w:rsidRDefault="00A55BF1" w:rsidP="00460200">
            <w:pPr>
              <w:rPr>
                <w:rFonts w:ascii="Arial" w:eastAsia="Times New Roman" w:hAnsi="Arial" w:cs="Arial"/>
                <w:sz w:val="16"/>
                <w:szCs w:val="16"/>
                <w:lang w:eastAsia="es-ES"/>
              </w:rPr>
            </w:pPr>
            <w:r w:rsidRPr="004E17A8">
              <w:rPr>
                <w:rFonts w:ascii="Arial" w:eastAsia="Times New Roman" w:hAnsi="Arial" w:cs="Arial"/>
                <w:sz w:val="16"/>
                <w:szCs w:val="16"/>
                <w:lang w:eastAsia="es-ES"/>
              </w:rPr>
              <w:t>Subdirector de Gestión Contractual</w:t>
            </w:r>
          </w:p>
        </w:tc>
      </w:tr>
    </w:tbl>
    <w:p w14:paraId="085A31AB" w14:textId="418E7A94" w:rsidR="006C5955" w:rsidRPr="004E17A8" w:rsidRDefault="006C5955" w:rsidP="00A55BF1">
      <w:pPr>
        <w:spacing w:line="276" w:lineRule="auto"/>
        <w:jc w:val="both"/>
      </w:pPr>
    </w:p>
    <w:sectPr w:rsidR="006C5955" w:rsidRPr="004E17A8" w:rsidSect="00AC43E7">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6CA0D7" w14:textId="77777777" w:rsidR="00C46998" w:rsidRDefault="00C46998" w:rsidP="008C487C">
      <w:r>
        <w:separator/>
      </w:r>
    </w:p>
  </w:endnote>
  <w:endnote w:type="continuationSeparator" w:id="0">
    <w:p w14:paraId="089CCCCE" w14:textId="77777777" w:rsidR="00C46998" w:rsidRDefault="00C46998" w:rsidP="008C48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7B59A" w14:textId="3A65DB1A" w:rsidR="00AE1FDC" w:rsidRDefault="00AE1FDC" w:rsidP="00AC43E7">
    <w:pPr>
      <w:pStyle w:val="Sinespaciado"/>
      <w:jc w:val="right"/>
      <w:rPr>
        <w:rFonts w:ascii="Arial" w:hAnsi="Arial" w:cs="Arial"/>
        <w:sz w:val="18"/>
        <w:szCs w:val="18"/>
      </w:rPr>
    </w:pPr>
  </w:p>
  <w:p w14:paraId="709352A1" w14:textId="77777777" w:rsidR="00AE1FDC" w:rsidRDefault="00AE1FDC" w:rsidP="00AC43E7">
    <w:pPr>
      <w:pStyle w:val="Sinespaciado"/>
      <w:jc w:val="right"/>
      <w:rPr>
        <w:rFonts w:ascii="Arial" w:hAnsi="Arial" w:cs="Arial"/>
        <w:sz w:val="18"/>
        <w:szCs w:val="18"/>
      </w:rPr>
    </w:pPr>
  </w:p>
  <w:p w14:paraId="3D3EB348" w14:textId="77777777" w:rsidR="00AE1FDC" w:rsidRPr="008217B7" w:rsidRDefault="00AE1FDC" w:rsidP="00AC43E7">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29709EEF" w14:textId="77777777" w:rsidR="00AE1FDC" w:rsidRDefault="00AE1FDC" w:rsidP="00AC43E7">
    <w:pPr>
      <w:pStyle w:val="Piedepgina"/>
      <w:jc w:val="center"/>
      <w:rPr>
        <w:lang w:val="es-ES"/>
      </w:rPr>
    </w:pPr>
    <w:r>
      <w:rPr>
        <w:noProof/>
      </w:rPr>
      <w:drawing>
        <wp:inline distT="0" distB="0" distL="0" distR="0" wp14:anchorId="0323F87D" wp14:editId="160091C1">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08DFF21" w14:textId="77777777" w:rsidR="00AE1FDC" w:rsidRPr="00E756AC" w:rsidRDefault="00AE1FDC" w:rsidP="00AC43E7">
    <w:pPr>
      <w:pStyle w:val="Piedepgina"/>
      <w:jc w:val="center"/>
      <w:rPr>
        <w:sz w:val="18"/>
        <w:szCs w:val="18"/>
        <w:lang w:val="es-ES"/>
      </w:rPr>
    </w:pPr>
  </w:p>
  <w:p w14:paraId="428179B1" w14:textId="77777777" w:rsidR="00AE1FDC" w:rsidRPr="00E756AC" w:rsidRDefault="00AE1FDC" w:rsidP="00AC43E7">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46CCB3" w14:textId="77777777" w:rsidR="00C46998" w:rsidRDefault="00C46998" w:rsidP="008C487C">
      <w:r>
        <w:separator/>
      </w:r>
    </w:p>
  </w:footnote>
  <w:footnote w:type="continuationSeparator" w:id="0">
    <w:p w14:paraId="60ED22D8" w14:textId="77777777" w:rsidR="00C46998" w:rsidRDefault="00C46998" w:rsidP="008C487C">
      <w:r>
        <w:continuationSeparator/>
      </w:r>
    </w:p>
  </w:footnote>
  <w:footnote w:id="1">
    <w:p w14:paraId="693C8BD4" w14:textId="4DF4F9B1" w:rsidR="00AE1FDC" w:rsidRPr="00BD4E32" w:rsidRDefault="00AE1FDC" w:rsidP="00BD4E32">
      <w:pPr>
        <w:pStyle w:val="Textonotapie"/>
        <w:ind w:firstLine="708"/>
        <w:jc w:val="both"/>
        <w:rPr>
          <w:rFonts w:ascii="Arial" w:hAnsi="Arial" w:cs="Arial"/>
          <w:sz w:val="19"/>
          <w:szCs w:val="19"/>
        </w:rPr>
      </w:pPr>
      <w:r w:rsidRPr="00BD4E32">
        <w:rPr>
          <w:rStyle w:val="Refdenotaalpie"/>
          <w:rFonts w:ascii="Arial" w:hAnsi="Arial" w:cs="Arial"/>
          <w:sz w:val="19"/>
          <w:szCs w:val="19"/>
        </w:rPr>
        <w:footnoteRef/>
      </w:r>
      <w:r w:rsidRPr="00BD4E32">
        <w:rPr>
          <w:rFonts w:ascii="Arial" w:hAnsi="Arial" w:cs="Arial"/>
          <w:sz w:val="19"/>
          <w:szCs w:val="19"/>
        </w:rPr>
        <w:t xml:space="preserve"> </w:t>
      </w:r>
      <w:r>
        <w:rPr>
          <w:rFonts w:ascii="Arial" w:hAnsi="Arial" w:cs="Arial"/>
          <w:sz w:val="19"/>
          <w:szCs w:val="19"/>
        </w:rPr>
        <w:t>Conforme al artículo 1 de la Ley 2064 de 2020, «</w:t>
      </w:r>
      <w:r w:rsidRPr="00BD4E32">
        <w:rPr>
          <w:rFonts w:ascii="Arial" w:hAnsi="Arial" w:cs="Arial"/>
          <w:sz w:val="19"/>
          <w:szCs w:val="19"/>
        </w:rPr>
        <w:t>La presente Ley tiene por objeto establecer un marco regulatorio que propicie el emprendimiento y el crecimiento, consolidación y sostenibilidad de las empresas, con el fin de aumentar el bienestar social y generar equidad.</w:t>
      </w:r>
    </w:p>
    <w:p w14:paraId="63C67429" w14:textId="4B6A05B6" w:rsidR="00AE1FDC" w:rsidRDefault="00AE1FDC" w:rsidP="00BD4E32">
      <w:pPr>
        <w:pStyle w:val="Textonotapie"/>
        <w:ind w:firstLine="708"/>
        <w:jc w:val="both"/>
        <w:rPr>
          <w:rFonts w:ascii="Arial" w:hAnsi="Arial" w:cs="Arial"/>
          <w:sz w:val="19"/>
          <w:szCs w:val="19"/>
        </w:rPr>
      </w:pPr>
      <w:r>
        <w:rPr>
          <w:rFonts w:ascii="Arial" w:hAnsi="Arial" w:cs="Arial"/>
          <w:sz w:val="19"/>
          <w:szCs w:val="19"/>
        </w:rPr>
        <w:t>»</w:t>
      </w:r>
      <w:r w:rsidRPr="00BD4E32">
        <w:rPr>
          <w:rFonts w:ascii="Arial" w:hAnsi="Arial" w:cs="Arial"/>
          <w:sz w:val="19"/>
          <w:szCs w:val="19"/>
        </w:rPr>
        <w:t>Dicho marco delineará un enfoque regionalizado de acuerdo a las realidades socioeconómicos de cada región</w:t>
      </w:r>
      <w:r>
        <w:rPr>
          <w:rFonts w:ascii="Arial" w:hAnsi="Arial" w:cs="Arial"/>
          <w:sz w:val="19"/>
          <w:szCs w:val="19"/>
        </w:rPr>
        <w:t>»</w:t>
      </w:r>
      <w:r w:rsidRPr="00BD4E32">
        <w:rPr>
          <w:rFonts w:ascii="Arial" w:hAnsi="Arial" w:cs="Arial"/>
          <w:sz w:val="19"/>
          <w:szCs w:val="19"/>
        </w:rPr>
        <w:t>.</w:t>
      </w:r>
    </w:p>
    <w:p w14:paraId="3D69FA06" w14:textId="77777777" w:rsidR="00AE1FDC" w:rsidRPr="00BD4E32" w:rsidRDefault="00AE1FDC" w:rsidP="00BD4E32">
      <w:pPr>
        <w:pStyle w:val="Textonotapie"/>
        <w:ind w:firstLine="708"/>
        <w:jc w:val="both"/>
        <w:rPr>
          <w:rFonts w:ascii="Arial" w:hAnsi="Arial" w:cs="Arial"/>
          <w:sz w:val="19"/>
          <w:szCs w:val="19"/>
          <w:lang w:val="es-ES"/>
        </w:rPr>
      </w:pPr>
    </w:p>
  </w:footnote>
  <w:footnote w:id="2">
    <w:p w14:paraId="1AAB25C1" w14:textId="41F1449F" w:rsidR="00AE1FDC" w:rsidRPr="00F52D84" w:rsidRDefault="00AE1FDC" w:rsidP="00F52D84">
      <w:pPr>
        <w:pStyle w:val="Textonotapie"/>
        <w:ind w:firstLine="708"/>
        <w:jc w:val="both"/>
        <w:rPr>
          <w:rFonts w:ascii="Arial" w:hAnsi="Arial" w:cs="Arial"/>
          <w:bCs/>
          <w:sz w:val="19"/>
          <w:szCs w:val="19"/>
        </w:rPr>
      </w:pPr>
      <w:r w:rsidRPr="00AA2812">
        <w:rPr>
          <w:rStyle w:val="Refdenotaalpie"/>
          <w:rFonts w:ascii="Arial" w:hAnsi="Arial" w:cs="Arial"/>
          <w:sz w:val="19"/>
          <w:szCs w:val="19"/>
        </w:rPr>
        <w:footnoteRef/>
      </w:r>
      <w:r w:rsidRPr="00AA2812">
        <w:rPr>
          <w:rFonts w:ascii="Arial" w:hAnsi="Arial" w:cs="Arial"/>
          <w:sz w:val="19"/>
          <w:szCs w:val="19"/>
        </w:rPr>
        <w:t xml:space="preserve"> </w:t>
      </w:r>
      <w:r>
        <w:rPr>
          <w:rFonts w:ascii="Arial" w:hAnsi="Arial" w:cs="Arial"/>
          <w:bCs/>
          <w:sz w:val="19"/>
          <w:szCs w:val="19"/>
        </w:rPr>
        <w:t xml:space="preserve">Esta política </w:t>
      </w:r>
      <w:r w:rsidRPr="00AA2812">
        <w:rPr>
          <w:rFonts w:ascii="Arial" w:hAnsi="Arial" w:cs="Arial"/>
          <w:bCs/>
          <w:sz w:val="19"/>
          <w:szCs w:val="19"/>
        </w:rPr>
        <w:t>se justifica en la medida que:</w:t>
      </w:r>
      <w:r>
        <w:rPr>
          <w:rFonts w:ascii="Arial" w:hAnsi="Arial" w:cs="Arial"/>
          <w:bCs/>
          <w:sz w:val="19"/>
          <w:szCs w:val="19"/>
        </w:rPr>
        <w:t xml:space="preserve"> «</w:t>
      </w:r>
      <w:r w:rsidRPr="00AA2812">
        <w:rPr>
          <w:rFonts w:ascii="Arial" w:hAnsi="Arial" w:cs="Arial"/>
          <w:bCs/>
          <w:sz w:val="19"/>
          <w:szCs w:val="19"/>
        </w:rPr>
        <w:t>Cuando una empresa decide ser formal se generan beneficios para la sociedad más allá de los que la empresa recibe (externalidades positivas). Estos beneficios […] incluyen la inserción de más trabajadores al sistema de aseguramiento social, un mayor cumplimiento de las normas sectoriales que buscan proteger la salud de los consumidores y mayores ingresos tributarios para la inversión pública. De igual manera, cuando una empresa decide ser informal, su decisión genera costos para la sociedad más allá de los asumidos por la empresa (externalidades negativas). Algunos de estos son competencia desleal con empresas formales, ya que estas últimas asumen costos adicionales (por ejemplo, pago de registros, seguridad social e impuestos), y el aumento de la corrupción porque, en ocasiones, la manera en que empresas informales evaden el control de los requisitos de formalidad es vía pagos ilegales</w:t>
      </w:r>
      <w:r>
        <w:rPr>
          <w:rFonts w:ascii="Arial" w:hAnsi="Arial" w:cs="Arial"/>
          <w:bCs/>
          <w:sz w:val="19"/>
          <w:szCs w:val="19"/>
        </w:rPr>
        <w:t xml:space="preserve">» (Cfr. </w:t>
      </w:r>
      <w:r w:rsidRPr="00AA2812">
        <w:rPr>
          <w:rFonts w:ascii="Arial" w:hAnsi="Arial" w:cs="Arial"/>
          <w:sz w:val="19"/>
          <w:szCs w:val="19"/>
        </w:rPr>
        <w:t>CONSEJO NACIONAL DE POLÍTICA ECONÓMICA Y SOCIAL</w:t>
      </w:r>
      <w:r>
        <w:rPr>
          <w:rFonts w:ascii="Arial" w:hAnsi="Arial" w:cs="Arial"/>
          <w:sz w:val="19"/>
          <w:szCs w:val="19"/>
        </w:rPr>
        <w:t xml:space="preserve">. </w:t>
      </w:r>
      <w:r w:rsidRPr="00AA2812">
        <w:rPr>
          <w:rFonts w:ascii="Arial" w:hAnsi="Arial" w:cs="Arial"/>
          <w:sz w:val="19"/>
          <w:szCs w:val="19"/>
        </w:rPr>
        <w:t>Documento 3956 del 8 de enero de 2019</w:t>
      </w:r>
      <w:r>
        <w:rPr>
          <w:rFonts w:ascii="Arial" w:hAnsi="Arial" w:cs="Arial"/>
          <w:sz w:val="19"/>
          <w:szCs w:val="19"/>
        </w:rPr>
        <w:t xml:space="preserve">: </w:t>
      </w:r>
      <w:r w:rsidRPr="00AA2812">
        <w:rPr>
          <w:rFonts w:ascii="Arial" w:hAnsi="Arial" w:cs="Arial"/>
          <w:sz w:val="19"/>
          <w:szCs w:val="19"/>
        </w:rPr>
        <w:t>«Política de formalización empresarial»</w:t>
      </w:r>
      <w:r>
        <w:rPr>
          <w:rFonts w:ascii="Arial" w:hAnsi="Arial" w:cs="Arial"/>
          <w:sz w:val="19"/>
          <w:szCs w:val="19"/>
        </w:rPr>
        <w:t xml:space="preserve">. Archivo consultado el 8 de febrero de 2021 en la página web </w:t>
      </w:r>
      <w:hyperlink r:id="rId1" w:history="1">
        <w:r w:rsidRPr="00DB0616">
          <w:rPr>
            <w:rStyle w:val="Hipervnculo"/>
            <w:rFonts w:ascii="Arial" w:hAnsi="Arial" w:cs="Arial"/>
            <w:sz w:val="19"/>
            <w:szCs w:val="19"/>
          </w:rPr>
          <w:t>https://colaboracion.dnp.gov.co/CDT/Conpes/Econ%C3%B3micos/3956.pdf</w:t>
        </w:r>
      </w:hyperlink>
      <w:r>
        <w:rPr>
          <w:rFonts w:ascii="Arial" w:hAnsi="Arial" w:cs="Arial"/>
          <w:sz w:val="19"/>
          <w:szCs w:val="19"/>
        </w:rPr>
        <w:t xml:space="preserve">).  </w:t>
      </w:r>
    </w:p>
    <w:p w14:paraId="154CBEB2" w14:textId="77777777" w:rsidR="00AE1FDC" w:rsidRPr="00AA2812" w:rsidRDefault="00AE1FDC" w:rsidP="00F52D84">
      <w:pPr>
        <w:pStyle w:val="Textonotapie"/>
        <w:ind w:firstLine="708"/>
        <w:jc w:val="both"/>
        <w:rPr>
          <w:rFonts w:ascii="Arial" w:hAnsi="Arial" w:cs="Arial"/>
          <w:sz w:val="19"/>
          <w:szCs w:val="19"/>
          <w:lang w:val="es-ES"/>
        </w:rPr>
      </w:pPr>
    </w:p>
  </w:footnote>
  <w:footnote w:id="3">
    <w:p w14:paraId="5A113705" w14:textId="63D4C055" w:rsidR="00AE1FDC" w:rsidRDefault="00AE1FDC" w:rsidP="00A1541C">
      <w:pPr>
        <w:pStyle w:val="Textonotapie"/>
        <w:ind w:firstLine="708"/>
        <w:jc w:val="both"/>
        <w:rPr>
          <w:rFonts w:ascii="Arial" w:hAnsi="Arial" w:cs="Arial"/>
          <w:sz w:val="19"/>
          <w:szCs w:val="19"/>
        </w:rPr>
      </w:pPr>
      <w:r w:rsidRPr="00A1541C">
        <w:rPr>
          <w:rStyle w:val="Refdenotaalpie"/>
          <w:rFonts w:ascii="Arial" w:hAnsi="Arial" w:cs="Arial"/>
          <w:sz w:val="19"/>
          <w:szCs w:val="19"/>
        </w:rPr>
        <w:footnoteRef/>
      </w:r>
      <w:r>
        <w:rPr>
          <w:rFonts w:ascii="Arial" w:hAnsi="Arial" w:cs="Arial"/>
          <w:sz w:val="19"/>
          <w:szCs w:val="19"/>
        </w:rPr>
        <w:t xml:space="preserve"> </w:t>
      </w:r>
      <w:bookmarkStart w:id="7" w:name="_Hlk63862868"/>
      <w:r>
        <w:rPr>
          <w:rFonts w:ascii="Arial" w:hAnsi="Arial" w:cs="Arial"/>
          <w:sz w:val="19"/>
          <w:szCs w:val="19"/>
        </w:rPr>
        <w:t xml:space="preserve">CONGRESO DE LA REPÚBLICA. Gaceta No. 670 del 11 de agosto de 2020. Exposición de motivos del Proyecto de Ley No. 122 de 2020 Cámara. p. 13. </w:t>
      </w:r>
    </w:p>
    <w:p w14:paraId="73E359DD" w14:textId="77777777" w:rsidR="00303F05" w:rsidRPr="00A1541C" w:rsidRDefault="00303F05" w:rsidP="00A1541C">
      <w:pPr>
        <w:pStyle w:val="Textonotapie"/>
        <w:ind w:firstLine="708"/>
        <w:jc w:val="both"/>
        <w:rPr>
          <w:rFonts w:ascii="Arial" w:hAnsi="Arial" w:cs="Arial"/>
          <w:sz w:val="19"/>
          <w:szCs w:val="19"/>
          <w:lang w:val="es-ES"/>
        </w:rPr>
      </w:pPr>
    </w:p>
    <w:bookmarkEnd w:id="7"/>
  </w:footnote>
  <w:footnote w:id="4">
    <w:p w14:paraId="5787D22A" w14:textId="6A3C8CB1" w:rsidR="00AE1FDC" w:rsidRDefault="00AE1FDC" w:rsidP="00F32C99">
      <w:pPr>
        <w:pStyle w:val="Textonotapie"/>
        <w:ind w:firstLine="708"/>
        <w:jc w:val="both"/>
        <w:rPr>
          <w:rFonts w:ascii="Arial" w:hAnsi="Arial" w:cs="Arial"/>
          <w:sz w:val="19"/>
          <w:szCs w:val="19"/>
        </w:rPr>
      </w:pPr>
      <w:r w:rsidRPr="00F32C99">
        <w:rPr>
          <w:rStyle w:val="Refdenotaalpie"/>
          <w:rFonts w:ascii="Arial" w:hAnsi="Arial" w:cs="Arial"/>
          <w:sz w:val="19"/>
          <w:szCs w:val="19"/>
        </w:rPr>
        <w:footnoteRef/>
      </w:r>
      <w:r w:rsidRPr="00F32C99">
        <w:rPr>
          <w:rFonts w:ascii="Arial" w:hAnsi="Arial" w:cs="Arial"/>
          <w:sz w:val="19"/>
          <w:szCs w:val="19"/>
        </w:rPr>
        <w:t xml:space="preserve"> </w:t>
      </w:r>
      <w:r w:rsidRPr="00F32C99">
        <w:rPr>
          <w:rFonts w:ascii="Arial" w:hAnsi="Arial" w:cs="Arial"/>
          <w:i/>
          <w:iCs/>
          <w:sz w:val="19"/>
          <w:szCs w:val="19"/>
        </w:rPr>
        <w:t>Ibidem</w:t>
      </w:r>
      <w:r>
        <w:rPr>
          <w:rFonts w:ascii="Arial" w:hAnsi="Arial" w:cs="Arial"/>
          <w:sz w:val="19"/>
          <w:szCs w:val="19"/>
        </w:rPr>
        <w:t>. p. 18.</w:t>
      </w:r>
    </w:p>
    <w:p w14:paraId="265B6D07" w14:textId="77777777" w:rsidR="00AE1FDC" w:rsidRPr="00F32C99" w:rsidRDefault="00AE1FDC" w:rsidP="00F32C99">
      <w:pPr>
        <w:pStyle w:val="Textonotapie"/>
        <w:ind w:firstLine="708"/>
        <w:jc w:val="both"/>
        <w:rPr>
          <w:rFonts w:ascii="Arial" w:hAnsi="Arial" w:cs="Arial"/>
          <w:sz w:val="19"/>
          <w:szCs w:val="19"/>
          <w:lang w:val="es-ES"/>
        </w:rPr>
      </w:pPr>
    </w:p>
  </w:footnote>
  <w:footnote w:id="5">
    <w:p w14:paraId="03226C49" w14:textId="52913013" w:rsidR="00AE1FDC" w:rsidRDefault="00AE1FDC" w:rsidP="00CD087C">
      <w:pPr>
        <w:pStyle w:val="Textonotapie"/>
        <w:ind w:firstLine="708"/>
        <w:jc w:val="both"/>
        <w:rPr>
          <w:rFonts w:ascii="Arial" w:hAnsi="Arial" w:cs="Arial"/>
          <w:sz w:val="19"/>
          <w:szCs w:val="19"/>
        </w:rPr>
      </w:pPr>
      <w:r w:rsidRPr="00CD087C">
        <w:rPr>
          <w:rStyle w:val="Refdenotaalpie"/>
          <w:rFonts w:ascii="Arial" w:hAnsi="Arial" w:cs="Arial"/>
          <w:sz w:val="19"/>
          <w:szCs w:val="19"/>
        </w:rPr>
        <w:footnoteRef/>
      </w:r>
      <w:r w:rsidRPr="00CD087C">
        <w:rPr>
          <w:rFonts w:ascii="Arial" w:hAnsi="Arial" w:cs="Arial"/>
          <w:sz w:val="19"/>
          <w:szCs w:val="19"/>
        </w:rPr>
        <w:t xml:space="preserve"> Al respecto</w:t>
      </w:r>
      <w:r>
        <w:rPr>
          <w:rFonts w:ascii="Arial" w:hAnsi="Arial" w:cs="Arial"/>
          <w:sz w:val="19"/>
          <w:szCs w:val="19"/>
        </w:rPr>
        <w:t xml:space="preserve">, la jurisprudencia explica que «[…] </w:t>
      </w:r>
      <w:r w:rsidRPr="00CD087C">
        <w:rPr>
          <w:rFonts w:ascii="Arial" w:hAnsi="Arial" w:cs="Arial"/>
          <w:sz w:val="19"/>
          <w:szCs w:val="19"/>
        </w:rPr>
        <w:t>los contratos sin formalidades plenas no están previstos por la legislación nacional, pues</w:t>
      </w:r>
      <w:r>
        <w:rPr>
          <w:rFonts w:ascii="Arial" w:hAnsi="Arial" w:cs="Arial"/>
          <w:sz w:val="19"/>
          <w:szCs w:val="19"/>
        </w:rPr>
        <w:t xml:space="preserve"> […]</w:t>
      </w:r>
      <w:r w:rsidRPr="00CD087C">
        <w:rPr>
          <w:rFonts w:ascii="Arial" w:hAnsi="Arial" w:cs="Arial"/>
          <w:sz w:val="19"/>
          <w:szCs w:val="19"/>
        </w:rPr>
        <w:t xml:space="preserve"> el parágrafo del artículo 39 de la Ley 80 de 1993 fue derogado por el artículo 32 de la Ley 1150 de 2007. Ahora se les denomina contratos de mínima cuantía y se encuentran regulados por los artículos 2 de la Ley 1150 de 2007 y 94 de la Ley 1474 de 2011 </w:t>
      </w:r>
      <w:r>
        <w:rPr>
          <w:rFonts w:ascii="Arial" w:hAnsi="Arial" w:cs="Arial"/>
          <w:sz w:val="19"/>
          <w:szCs w:val="19"/>
        </w:rPr>
        <w:t>[…]</w:t>
      </w:r>
      <w:r w:rsidRPr="00CD087C">
        <w:rPr>
          <w:rFonts w:ascii="Arial" w:hAnsi="Arial" w:cs="Arial"/>
          <w:sz w:val="19"/>
          <w:szCs w:val="19"/>
        </w:rPr>
        <w:t>;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w:t>
      </w:r>
      <w:r>
        <w:rPr>
          <w:rFonts w:ascii="Arial" w:hAnsi="Arial" w:cs="Arial"/>
          <w:sz w:val="19"/>
          <w:szCs w:val="19"/>
        </w:rPr>
        <w:t xml:space="preserve">» (CONSEJO DE ESTADO. Sección Tercera. Subsección A. Sentencia del 3 de octubre de 2012. Exp. 26.140. C.P. </w:t>
      </w:r>
      <w:r w:rsidRPr="0005595F">
        <w:rPr>
          <w:rFonts w:ascii="Arial" w:hAnsi="Arial" w:cs="Arial"/>
          <w:sz w:val="19"/>
          <w:szCs w:val="19"/>
        </w:rPr>
        <w:t>Carlos Alberto Zambrano Barrera</w:t>
      </w:r>
      <w:r>
        <w:rPr>
          <w:rFonts w:ascii="Arial" w:hAnsi="Arial" w:cs="Arial"/>
          <w:sz w:val="19"/>
          <w:szCs w:val="19"/>
        </w:rPr>
        <w:t>).</w:t>
      </w:r>
    </w:p>
    <w:p w14:paraId="26EE2A29" w14:textId="77777777" w:rsidR="00AE1FDC" w:rsidRPr="00CD087C" w:rsidRDefault="00AE1FDC" w:rsidP="00CD087C">
      <w:pPr>
        <w:pStyle w:val="Textonotapie"/>
        <w:ind w:firstLine="708"/>
        <w:jc w:val="both"/>
        <w:rPr>
          <w:rFonts w:ascii="Arial" w:hAnsi="Arial" w:cs="Arial"/>
          <w:sz w:val="19"/>
          <w:szCs w:val="19"/>
          <w:lang w:val="es-ES"/>
        </w:rPr>
      </w:pPr>
    </w:p>
  </w:footnote>
  <w:footnote w:id="6">
    <w:p w14:paraId="11AE51D5" w14:textId="1DDB291F" w:rsidR="00AE1FDC" w:rsidRPr="00660495" w:rsidRDefault="00AE1FDC" w:rsidP="00A2450A">
      <w:pPr>
        <w:pStyle w:val="Textonotapie"/>
        <w:ind w:firstLine="708"/>
        <w:jc w:val="both"/>
        <w:rPr>
          <w:rFonts w:ascii="Arial" w:hAnsi="Arial" w:cs="Arial"/>
          <w:sz w:val="19"/>
          <w:szCs w:val="19"/>
        </w:rPr>
      </w:pPr>
      <w:r w:rsidRPr="00660495">
        <w:rPr>
          <w:rStyle w:val="Refdenotaalpie"/>
          <w:rFonts w:ascii="Arial" w:hAnsi="Arial" w:cs="Arial"/>
          <w:sz w:val="19"/>
          <w:szCs w:val="19"/>
        </w:rPr>
        <w:footnoteRef/>
      </w:r>
      <w:r w:rsidRPr="00660495">
        <w:rPr>
          <w:rFonts w:ascii="Arial" w:hAnsi="Arial" w:cs="Arial"/>
          <w:sz w:val="19"/>
          <w:szCs w:val="19"/>
        </w:rPr>
        <w:t xml:space="preserve"> </w:t>
      </w:r>
      <w:r>
        <w:rPr>
          <w:rFonts w:ascii="Arial" w:hAnsi="Arial" w:cs="Arial"/>
          <w:sz w:val="19"/>
          <w:szCs w:val="19"/>
        </w:rPr>
        <w:t>Ambas normas disponen lo siguiente: «</w:t>
      </w:r>
      <w:r w:rsidRPr="00660495">
        <w:rPr>
          <w:rFonts w:ascii="Arial" w:hAnsi="Arial" w:cs="Arial"/>
          <w:sz w:val="19"/>
          <w:szCs w:val="19"/>
        </w:rPr>
        <w:t>5) Contratación mínima cuantía. La contratación cuyo valor no excede del 10 por ciento de la menor cuantía de la entidad independientemente de su objeto, se efectuará de conformidad con las siguientes reglas:</w:t>
      </w:r>
    </w:p>
    <w:p w14:paraId="5E4EB9E2" w14:textId="38EC8C2F" w:rsidR="00AE1FDC" w:rsidRPr="00660495" w:rsidRDefault="00AE1FDC" w:rsidP="00A2450A">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a) Se publicará una invitación, por un término no inferior a un día hábil, en la cual se señalará el objeto a contratar, el presupuesto destinado para tal fin, así como las condiciones técnicas exigidas;</w:t>
      </w:r>
    </w:p>
    <w:p w14:paraId="08E94BFF" w14:textId="71893CC0" w:rsidR="00AE1FDC" w:rsidRPr="00660495" w:rsidRDefault="00AE1FDC" w:rsidP="00106148">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b) El término previsto en la invitación para presentar la oferta no podrá ser inferior a un día hábil;</w:t>
      </w:r>
    </w:p>
    <w:p w14:paraId="18232A34" w14:textId="5956C9D1" w:rsidR="00AE1FDC" w:rsidRPr="00660495" w:rsidRDefault="00AE1FDC" w:rsidP="00106148">
      <w:pPr>
        <w:pStyle w:val="Textonotapie"/>
        <w:ind w:firstLine="708"/>
        <w:jc w:val="both"/>
        <w:rPr>
          <w:rFonts w:ascii="Arial" w:hAnsi="Arial" w:cs="Arial"/>
          <w:sz w:val="19"/>
          <w:szCs w:val="19"/>
        </w:rPr>
      </w:pPr>
      <w:r>
        <w:rPr>
          <w:rFonts w:ascii="Arial" w:hAnsi="Arial" w:cs="Arial"/>
          <w:sz w:val="19"/>
          <w:szCs w:val="19"/>
        </w:rPr>
        <w:t>»</w:t>
      </w:r>
      <w:r w:rsidRPr="00660495">
        <w:rPr>
          <w:rFonts w:ascii="Arial" w:hAnsi="Arial" w:cs="Arial"/>
          <w:sz w:val="19"/>
          <w:szCs w:val="19"/>
        </w:rPr>
        <w:t>c) La entidad seleccionará, mediante comunicación de aceptación de la oferta, la propuesta con el menor precio, siempre y cuando cumpla con las condiciones exigidas;</w:t>
      </w:r>
    </w:p>
    <w:p w14:paraId="5FE746B5" w14:textId="316DB8C9" w:rsidR="00AE1FDC" w:rsidRPr="00660495" w:rsidRDefault="00AE1FDC" w:rsidP="00660495">
      <w:pPr>
        <w:pStyle w:val="Textonotapie"/>
        <w:ind w:firstLine="708"/>
        <w:jc w:val="both"/>
        <w:rPr>
          <w:rFonts w:ascii="Arial" w:hAnsi="Arial" w:cs="Arial"/>
          <w:sz w:val="19"/>
          <w:szCs w:val="19"/>
          <w:lang w:val="es-ES"/>
        </w:rPr>
      </w:pPr>
      <w:r>
        <w:rPr>
          <w:rFonts w:ascii="Arial" w:hAnsi="Arial" w:cs="Arial"/>
          <w:sz w:val="19"/>
          <w:szCs w:val="19"/>
        </w:rPr>
        <w:t>»</w:t>
      </w:r>
      <w:r w:rsidRPr="00660495">
        <w:rPr>
          <w:rFonts w:ascii="Arial" w:hAnsi="Arial" w:cs="Arial"/>
          <w:sz w:val="19"/>
          <w:szCs w:val="19"/>
        </w:rPr>
        <w:t>d) La comunicación de aceptación junto con la oferta constituye para todos los efectos el contrato celebrado, con base en lo cual se efectuará el respectivo registro presupuestal</w:t>
      </w:r>
      <w:r>
        <w:rPr>
          <w:rFonts w:ascii="Arial" w:hAnsi="Arial" w:cs="Arial"/>
          <w:sz w:val="19"/>
          <w:szCs w:val="19"/>
        </w:rPr>
        <w:t>»</w:t>
      </w:r>
      <w:r w:rsidRPr="00660495">
        <w:rPr>
          <w:rFonts w:ascii="Arial" w:hAnsi="Arial" w:cs="Arial"/>
          <w:sz w:val="19"/>
          <w:szCs w:val="19"/>
        </w:rPr>
        <w:t>.</w:t>
      </w:r>
    </w:p>
  </w:footnote>
  <w:footnote w:id="7">
    <w:p w14:paraId="1C193152" w14:textId="6CA9DF45" w:rsidR="006437B9" w:rsidRPr="001E0DB0" w:rsidRDefault="006437B9" w:rsidP="001E0DB0">
      <w:pPr>
        <w:pStyle w:val="Textonotapie"/>
        <w:ind w:firstLine="708"/>
        <w:jc w:val="both"/>
        <w:rPr>
          <w:rFonts w:ascii="Arial" w:hAnsi="Arial" w:cs="Arial"/>
          <w:sz w:val="19"/>
          <w:szCs w:val="19"/>
          <w:lang w:val="es-ES"/>
        </w:rPr>
      </w:pPr>
      <w:r w:rsidRPr="001E0DB0">
        <w:rPr>
          <w:rStyle w:val="Refdenotaalpie"/>
          <w:rFonts w:ascii="Arial" w:hAnsi="Arial" w:cs="Arial"/>
          <w:sz w:val="19"/>
          <w:szCs w:val="19"/>
        </w:rPr>
        <w:footnoteRef/>
      </w:r>
      <w:r w:rsidRPr="001E0DB0">
        <w:rPr>
          <w:rFonts w:ascii="Arial" w:hAnsi="Arial" w:cs="Arial"/>
          <w:sz w:val="19"/>
          <w:szCs w:val="19"/>
        </w:rPr>
        <w:t xml:space="preserve"> </w:t>
      </w:r>
      <w:r>
        <w:rPr>
          <w:rFonts w:ascii="Arial" w:hAnsi="Arial" w:cs="Arial"/>
          <w:sz w:val="19"/>
          <w:szCs w:val="19"/>
        </w:rPr>
        <w:t>BENAVIDES</w:t>
      </w:r>
      <w:r w:rsidR="002B43BA">
        <w:rPr>
          <w:rFonts w:ascii="Arial" w:hAnsi="Arial" w:cs="Arial"/>
          <w:sz w:val="19"/>
          <w:szCs w:val="19"/>
        </w:rPr>
        <w:t>, José Luis. La potestad reglamentaria en la contratación pública. En: Contratos públicos: Estudios. Bogotá: Universidad Externado de Colombia, 2014.</w:t>
      </w:r>
      <w:r>
        <w:rPr>
          <w:rFonts w:ascii="Arial" w:hAnsi="Arial" w:cs="Arial"/>
          <w:sz w:val="19"/>
          <w:szCs w:val="19"/>
        </w:rPr>
        <w:t xml:space="preserve"> </w:t>
      </w:r>
      <w:r w:rsidRPr="001E0DB0">
        <w:rPr>
          <w:rFonts w:ascii="Arial" w:hAnsi="Arial" w:cs="Arial"/>
          <w:sz w:val="19"/>
          <w:szCs w:val="19"/>
        </w:rPr>
        <w:t>p. 174</w:t>
      </w:r>
      <w:r w:rsidR="002B43BA">
        <w:rPr>
          <w:rFonts w:ascii="Arial" w:hAnsi="Arial" w:cs="Arial"/>
          <w:sz w:val="19"/>
          <w:szCs w:val="19"/>
        </w:rPr>
        <w:t>.</w:t>
      </w:r>
    </w:p>
  </w:footnote>
  <w:footnote w:id="8">
    <w:p w14:paraId="5611142B" w14:textId="17BCF996" w:rsidR="00AE1FDC" w:rsidRPr="00643D19" w:rsidRDefault="00AE1FDC" w:rsidP="00EE0D77">
      <w:pPr>
        <w:ind w:firstLine="708"/>
        <w:jc w:val="both"/>
        <w:rPr>
          <w:rFonts w:ascii="Arial" w:hAnsi="Arial" w:cs="Arial"/>
          <w:sz w:val="19"/>
          <w:szCs w:val="19"/>
        </w:rPr>
      </w:pPr>
      <w:r w:rsidRPr="00EE0D77">
        <w:rPr>
          <w:rStyle w:val="Refdenotaalpie"/>
          <w:rFonts w:ascii="Arial" w:hAnsi="Arial" w:cs="Arial"/>
          <w:sz w:val="19"/>
          <w:szCs w:val="19"/>
        </w:rPr>
        <w:footnoteRef/>
      </w:r>
      <w:r w:rsidRPr="00EE0D77">
        <w:rPr>
          <w:rFonts w:ascii="Arial" w:hAnsi="Arial" w:cs="Arial"/>
          <w:sz w:val="19"/>
          <w:szCs w:val="19"/>
        </w:rPr>
        <w:t xml:space="preserve"> </w:t>
      </w:r>
      <w:r w:rsidRPr="00643D19">
        <w:rPr>
          <w:rFonts w:ascii="Arial" w:hAnsi="Arial" w:cs="Arial"/>
          <w:sz w:val="19"/>
          <w:szCs w:val="19"/>
        </w:rPr>
        <w:t>El artículo 33 de la Ley de Emprendimiento dispone lo siguiente: «Con el fin de promover el acceso de las MIPYMES al mercado de Compras Públicas, las</w:t>
      </w:r>
      <w:r w:rsidR="005E5E63">
        <w:rPr>
          <w:rFonts w:ascii="Arial" w:hAnsi="Arial" w:cs="Arial"/>
          <w:sz w:val="19"/>
          <w:szCs w:val="19"/>
        </w:rPr>
        <w:t xml:space="preserve"> </w:t>
      </w:r>
      <w:r w:rsidR="005E5E63" w:rsidRPr="005E5E63">
        <w:rPr>
          <w:rFonts w:ascii="Arial" w:hAnsi="Arial" w:cs="Arial"/>
          <w:sz w:val="19"/>
          <w:szCs w:val="19"/>
        </w:rPr>
        <w:t>Entidades Estatales indistintamente de su régimen de contratación, los patrimonios autónomos constituidos por Entidades Estatales y los particulares que ejecuten recursos públicos</w:t>
      </w:r>
      <w:r w:rsidRPr="00643D19">
        <w:rPr>
          <w:rFonts w:ascii="Arial" w:hAnsi="Arial" w:cs="Arial"/>
          <w:sz w:val="19"/>
          <w:szCs w:val="19"/>
        </w:rPr>
        <w:t>:</w:t>
      </w:r>
    </w:p>
    <w:p w14:paraId="683FA81C"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»1. Deberán en el Análisis de Sector identificar las MIPYMES que podrían ser potenciales proveedoras directas o indirectas, con el fin de definir reglas que promuevan y faciliten su participación en el Proceso de Contratación.</w:t>
      </w:r>
    </w:p>
    <w:p w14:paraId="6D2128FD"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»2. Desarrollarán programas de aplicación de la normativa del Sistema de Compra Pública, en especial, la relacionada con las disposiciones que promueven la participación de las MIPYMES en las compras públicas, los incentivos y el Secop.</w:t>
      </w:r>
    </w:p>
    <w:p w14:paraId="2C2E648D"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»3. Promoverán e incrementarán, conforme a su respectivo presupuesto, la participación de micro, pequeñas y medianas empresas como proveedoras de los bienes y servicios que aquellas demanden.</w:t>
      </w:r>
    </w:p>
    <w:p w14:paraId="0AD44BC5"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»4. Establecerán, en observancia de lo dispuesto en el artículo 11 de la presente ley, procedimientos administrativos que faciliten a micro, pequeñas y medianas empresas, el cumplimento de los requisitos y trámites relativos a pedidos, recepción de bienes o servicios, condiciones de pago y acceso a la información, por medios idóneos, sobre sus programas de inversión y de gasto.</w:t>
      </w:r>
    </w:p>
    <w:p w14:paraId="0D6B702E"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»5. Preferirán en condiciones de igual precio, calidad y capacidad de suministros y servicio a las MIPYMES nacionales.</w:t>
      </w:r>
    </w:p>
    <w:p w14:paraId="6DBB3D3F"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»6. Promoverán la división del Proceso de Contratación en lotes o segmentos que faciliten la participación de las MIPYMES en el Proceso de Contratación.</w:t>
      </w:r>
    </w:p>
    <w:p w14:paraId="43297DFE"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»7. La Agencia Nacional de Contratación Pública - Colombia Compra Eficiente y el Ministerio de Comercio, Industria y Turismo, crearán un sistema de indicadores con el fin de evaluar anualmente la efectividad de la inclusión de las MIPYMES al mercado de compras públicas. A partir de esta evaluación, el Gobierno Nacional promoverá las mejoras que faciliten el acceso de éstas al mercado estatal a través de la implementación de ajustes normativos, nuevas herramientas, incentivos e instrumentos financieros.</w:t>
      </w:r>
    </w:p>
    <w:p w14:paraId="29D34687" w14:textId="77777777" w:rsidR="00AE1FDC" w:rsidRPr="00643D19" w:rsidRDefault="00AE1FDC" w:rsidP="00EE0D77">
      <w:pPr>
        <w:ind w:firstLine="708"/>
        <w:jc w:val="both"/>
        <w:rPr>
          <w:rFonts w:ascii="Arial" w:hAnsi="Arial" w:cs="Arial"/>
          <w:sz w:val="19"/>
          <w:szCs w:val="19"/>
        </w:rPr>
      </w:pPr>
      <w:r w:rsidRPr="00643D19">
        <w:rPr>
          <w:rFonts w:ascii="Arial" w:hAnsi="Arial" w:cs="Arial"/>
          <w:sz w:val="19"/>
          <w:szCs w:val="19"/>
        </w:rPr>
        <w:t>»8. En los dos primeros meses de cada año las entidades estatales definidas en este artículo deberán remitir información a la Agencia Nacional de Contratación Pública - Colombia Compra Eficiente-, sobre el cumplimiento y resultados de la adopción de las medidas establecidas en la presente disposición durante el año inmediatamente anterior, lo cual servirá como insumo para la evaluación anual de qué trata el presente numeral.</w:t>
      </w:r>
    </w:p>
    <w:p w14:paraId="0779F5CA" w14:textId="1EA34AA6" w:rsidR="00AE1FDC" w:rsidRPr="00EE0D77" w:rsidRDefault="00AE1FDC" w:rsidP="00EE0D77">
      <w:pPr>
        <w:ind w:firstLine="708"/>
        <w:jc w:val="both"/>
        <w:rPr>
          <w:rFonts w:ascii="Arial" w:hAnsi="Arial" w:cs="Arial"/>
          <w:sz w:val="19"/>
          <w:szCs w:val="19"/>
        </w:rPr>
      </w:pPr>
      <w:r w:rsidRPr="00643D19">
        <w:rPr>
          <w:rFonts w:ascii="Arial" w:hAnsi="Arial" w:cs="Arial"/>
          <w:sz w:val="19"/>
          <w:szCs w:val="19"/>
        </w:rPr>
        <w:t>»PARÁGRAFO. El incumplimiento de los deberes de que trata el presente artículo por parte de los servidores públicos constituirá causal de mala conducta».</w:t>
      </w:r>
    </w:p>
  </w:footnote>
  <w:footnote w:id="9">
    <w:p w14:paraId="269B1D22" w14:textId="2B0DDCE2" w:rsidR="00AE1FDC" w:rsidRPr="004C0463" w:rsidRDefault="00AE1FDC" w:rsidP="002814EA">
      <w:pPr>
        <w:pStyle w:val="Textonotapie"/>
        <w:ind w:firstLine="708"/>
        <w:jc w:val="both"/>
        <w:rPr>
          <w:rFonts w:ascii="Arial" w:hAnsi="Arial" w:cs="Arial"/>
          <w:sz w:val="19"/>
          <w:szCs w:val="19"/>
        </w:rPr>
      </w:pPr>
      <w:r w:rsidRPr="004C0463">
        <w:rPr>
          <w:rStyle w:val="Refdenotaalpie"/>
          <w:rFonts w:ascii="Arial" w:hAnsi="Arial" w:cs="Arial"/>
          <w:sz w:val="19"/>
          <w:szCs w:val="19"/>
        </w:rPr>
        <w:footnoteRef/>
      </w:r>
      <w:r w:rsidRPr="004C0463">
        <w:rPr>
          <w:rFonts w:ascii="Arial" w:hAnsi="Arial" w:cs="Arial"/>
          <w:sz w:val="19"/>
          <w:szCs w:val="19"/>
        </w:rPr>
        <w:t xml:space="preserve"> </w:t>
      </w:r>
      <w:r>
        <w:rPr>
          <w:rFonts w:ascii="Arial" w:hAnsi="Arial" w:cs="Arial"/>
          <w:sz w:val="19"/>
          <w:szCs w:val="19"/>
        </w:rPr>
        <w:t>En los demás incisos, ambas normas tienen una redacción similar cuando prescriben que: «</w:t>
      </w:r>
      <w:r w:rsidRPr="004C0463">
        <w:rPr>
          <w:rFonts w:ascii="Arial" w:hAnsi="Arial" w:cs="Arial"/>
          <w:sz w:val="19"/>
          <w:szCs w:val="19"/>
        </w:rPr>
        <w:t xml:space="preserve">De igual forma, en los pliegos de condiciones </w:t>
      </w:r>
      <w:bookmarkStart w:id="15" w:name="_Hlk63844516"/>
      <w:r w:rsidRPr="004C0463">
        <w:rPr>
          <w:rFonts w:ascii="Arial" w:hAnsi="Arial" w:cs="Arial"/>
          <w:sz w:val="19"/>
          <w:szCs w:val="19"/>
        </w:rPr>
        <w:t>las entidades estatales, dispondrán, de mecanismos que fomenten en la ejecución de los contratos estatales la provisión de bienes y servicios por población en pobreza extrema, desplazados por la violencia, personas en proceso de reintegración y, sujetos de especial protección constitucional en las condiciones que señale el reglamento</w:t>
      </w:r>
      <w:bookmarkEnd w:id="15"/>
      <w:r w:rsidRPr="004C0463">
        <w:rPr>
          <w:rFonts w:ascii="Arial" w:hAnsi="Arial" w:cs="Arial"/>
          <w:sz w:val="19"/>
          <w:szCs w:val="19"/>
        </w:rPr>
        <w:t>; siempre que se garanticen las condiciones de calidad y cumplimiento del objeto contractual</w:t>
      </w:r>
      <w:r>
        <w:rPr>
          <w:rFonts w:ascii="Arial" w:hAnsi="Arial" w:cs="Arial"/>
          <w:sz w:val="19"/>
          <w:szCs w:val="19"/>
        </w:rPr>
        <w:t>.</w:t>
      </w:r>
    </w:p>
    <w:p w14:paraId="2508B068" w14:textId="409EC349" w:rsidR="00AE1FDC" w:rsidRPr="004C0463" w:rsidRDefault="00AE1FDC" w:rsidP="002814EA">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1°. En los procesos de selección que se desarrollen con base en el primer inciso, las entidades podrán realizar las convocatorias limitadas que beneficien a las Mipymes del ámbito municipal o departamental correspondiente al de la ejecución del contrato.</w:t>
      </w:r>
    </w:p>
    <w:p w14:paraId="2A4D40CE" w14:textId="25B6A2C9" w:rsidR="00AE1FDC" w:rsidRPr="004C0463" w:rsidRDefault="00AE1FDC" w:rsidP="004C0463">
      <w:pPr>
        <w:pStyle w:val="Textonotapie"/>
        <w:ind w:firstLine="708"/>
        <w:jc w:val="both"/>
        <w:rPr>
          <w:rFonts w:ascii="Arial" w:hAnsi="Arial" w:cs="Arial"/>
          <w:sz w:val="19"/>
          <w:szCs w:val="19"/>
        </w:rPr>
      </w:pPr>
      <w:r>
        <w:rPr>
          <w:rFonts w:ascii="Arial" w:hAnsi="Arial" w:cs="Arial"/>
          <w:sz w:val="19"/>
          <w:szCs w:val="19"/>
        </w:rPr>
        <w:t>»</w:t>
      </w:r>
      <w:r w:rsidRPr="004C0463">
        <w:rPr>
          <w:rFonts w:ascii="Arial" w:hAnsi="Arial" w:cs="Arial"/>
          <w:sz w:val="19"/>
          <w:szCs w:val="19"/>
        </w:rPr>
        <w:t>Parágrafo 2°. Sin perjuicio de lo dispuesto en los artículos 5 y 6 de la Ley 1150 de 2007, para que las Mipymes puedan participar en las convocatorias a las que se refiere este artículo, deberán acreditar como mínimo un año de existencia, para lo cual deberán presentar el certificado expedido por la cámara de comercio o por la autoridad que sea competente para dicha acreditación.</w:t>
      </w:r>
    </w:p>
    <w:p w14:paraId="4E4C3640" w14:textId="2654E9DD" w:rsidR="00AE1FDC" w:rsidRPr="004C0463" w:rsidRDefault="00AE1FDC" w:rsidP="001B0EDD">
      <w:pPr>
        <w:pStyle w:val="Textonotapie"/>
        <w:ind w:firstLine="708"/>
        <w:jc w:val="both"/>
        <w:rPr>
          <w:rFonts w:ascii="Arial" w:hAnsi="Arial" w:cs="Arial"/>
          <w:sz w:val="19"/>
          <w:szCs w:val="19"/>
          <w:lang w:val="es-ES"/>
        </w:rPr>
      </w:pPr>
      <w:r>
        <w:rPr>
          <w:rFonts w:ascii="Arial" w:hAnsi="Arial" w:cs="Arial"/>
          <w:sz w:val="19"/>
          <w:szCs w:val="19"/>
        </w:rPr>
        <w:t>»</w:t>
      </w:r>
      <w:r w:rsidRPr="004C0463">
        <w:rPr>
          <w:rFonts w:ascii="Arial" w:hAnsi="Arial" w:cs="Arial"/>
          <w:sz w:val="19"/>
          <w:szCs w:val="19"/>
        </w:rPr>
        <w:t>Parágrafo 3°. En la ejecución de los contratos a que se refiere el presente artículo, las entidades y los contratistas, deberán observar lo dispuesto en los artículos 90 a 95 de la Ley 418 de 1997 y las normas que la modifiquen, adicionen o subroguen.</w:t>
      </w:r>
      <w:r>
        <w:rPr>
          <w:rFonts w:ascii="Arial" w:hAnsi="Arial" w:cs="Arial"/>
          <w:sz w:val="19"/>
          <w:szCs w:val="19"/>
        </w:rPr>
        <w:t xml:space="preserve"> </w:t>
      </w:r>
    </w:p>
  </w:footnote>
  <w:footnote w:id="10">
    <w:p w14:paraId="3B736F32" w14:textId="77777777" w:rsidR="00AE1FDC" w:rsidRPr="007D00A7" w:rsidRDefault="00AE1FDC" w:rsidP="00C0447F">
      <w:pPr>
        <w:ind w:firstLine="708"/>
        <w:jc w:val="both"/>
        <w:rPr>
          <w:rFonts w:ascii="Arial" w:hAnsi="Arial" w:cs="Arial"/>
          <w:sz w:val="19"/>
          <w:szCs w:val="19"/>
        </w:rPr>
      </w:pPr>
      <w:r w:rsidRPr="00682C32">
        <w:rPr>
          <w:rStyle w:val="Refdenotaalpie"/>
          <w:rFonts w:ascii="Arial" w:hAnsi="Arial" w:cs="Arial"/>
          <w:sz w:val="19"/>
          <w:szCs w:val="19"/>
        </w:rPr>
        <w:footnoteRef/>
      </w:r>
      <w:r w:rsidRPr="00682C32">
        <w:rPr>
          <w:rFonts w:ascii="Arial" w:hAnsi="Arial" w:cs="Arial"/>
          <w:sz w:val="19"/>
          <w:szCs w:val="19"/>
        </w:rPr>
        <w:t xml:space="preserve"> </w:t>
      </w:r>
      <w:r>
        <w:rPr>
          <w:rFonts w:ascii="Arial" w:hAnsi="Arial" w:cs="Arial"/>
          <w:sz w:val="19"/>
          <w:szCs w:val="19"/>
        </w:rPr>
        <w:t>«</w:t>
      </w:r>
      <w:r w:rsidRPr="007D00A7">
        <w:rPr>
          <w:rFonts w:ascii="Arial" w:hAnsi="Arial" w:cs="Arial"/>
          <w:sz w:val="19"/>
          <w:szCs w:val="19"/>
        </w:rPr>
        <w:t>En caso de empate en el puntaje total de dos o más ofertas en los Procesos de Contratación realizados con cargo a recursos públicos, los Procesos de Contratación realizados por las Entidades Estatales indistintamente de su régimen de contratación, así como los celebrados por los Procesos de Contratación de los patrimonios autónomos constituidos por Entidades Estatales, el contratante deberá utilizar las siguientes reglas de forma sucesiva y excluyente para seleccionar al oferente favorecido, respetando en todo caso los compromisos internacionales vigentes.</w:t>
      </w:r>
    </w:p>
    <w:p w14:paraId="567DB306"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 Preferir la oferta de bienes o servicios nacionales frente a la oferta de bienes o servicios extranjeros.</w:t>
      </w:r>
    </w:p>
    <w:p w14:paraId="2F49C034"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2. Preferir la propuesta de la mujer cabeza de familia, mujeres víctimas de la violencia intrafamiliar o de la persona jurídica en la cual participe o participen mayoritariamente; o, la de un proponente plural constituido por mujeres cabeza de familia, mujeres víctimas de violencia intrafamiliar y/o personas jurídicas en las cuales participe o participen mayoritariamente.</w:t>
      </w:r>
    </w:p>
    <w:p w14:paraId="3B5F4842"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3. Preferir la propuesta presentada por el oferente que acredite en las condiciones establecidas en la ley que por lo menos el diez por ciento (10%) de su nómina está en condición de discapacidad a la que se refiere la Ley 361 de 1997. Si la oferta es presentada por un proponente plural, el integrante del oferente que acredite que el diez por ciento (10%) de su nómina está en condición de discapacidad en los términos del presente numeral, debe tener una participación de por lo menos el veinticinco por ciento (25%) en el consorcio, unión temporal o promesa de sociedad futura y aportar mínimo el veinticinco por ciento (25%) de la experiencia acreditada en la oferta.</w:t>
      </w:r>
    </w:p>
    <w:p w14:paraId="5163DCC0"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4. Preferir la propuesta presentada por el oferente que acredite la vinculación en mayor proporción de personas mayores que no sean beneficiarios de la pensión de vejez, familiar o de sobrevivencia y que hayan cumplido el requisito de edad de pensión establecido en la Ley.</w:t>
      </w:r>
    </w:p>
    <w:p w14:paraId="7F18843E"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5. Preferir la propuesta presentada por el oferente que acredite, en las condiciones establecidas en la ley, que por lo menos diez por ciento (10%) de su nómina pertenece a población indígena, negra, afrocolombiana, raizal, palanquera, Rrom o gitanas.</w:t>
      </w:r>
    </w:p>
    <w:p w14:paraId="6A963E33"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6. Preferir la propuesta de personas en proceso de reintegración o reincorporación o de la persona jurídica en la cual participe o participen mayoritariamente; o, la de un proponente plural constituido por personas en proceso de reincorporación, y/o personas jurídicas en las cuales participe o participen mayoritariamente.</w:t>
      </w:r>
    </w:p>
    <w:p w14:paraId="20DD1826"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7. Preferir la oferta presentada por un proponente plural siempre que: (a) esté conformado por al menos una madre cabeza de familia y/o una persona en proceso de reincorporación o reintegración, o una persona jurídica en la cual participe o participen mayoritariamente, y, que tenga una participación de por lo menos el veinticinco por ciento (25%) en el proponente plural; (b) la madre cabeza de familia, la persona en proceso de reincorporación o reintegración, o la persona jurídica aporte mínimo el veinticinco por ciento (25%) de la experiencia acreditada en la oferta; y (c) ni la madre cabeza de familia o persona en proceso de reincorporación o reintegración, ni la persona jurídica, ni sus accionistas, socios o representantes legales sean empleados, socios o accionistas de los miembros del proponente plural.</w:t>
      </w:r>
    </w:p>
    <w:p w14:paraId="5CF439AD"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8. Preferir la oferta presentada por una Mipyme o cooperativas o asociaciones mutuales; o un proponente plural constituido por Mipymes, cooperativas o asociaciones mutuales.</w:t>
      </w:r>
    </w:p>
    <w:p w14:paraId="205593D1"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9. Preferir la oferta presentada por el proponente plural constituido por micro y/o pequeñas empresas, cooperativas o asociaciones mutuales.</w:t>
      </w:r>
    </w:p>
    <w:p w14:paraId="0E1476F8"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10. Preferir al oferente que acredite de acuerdo con sus estados financieros o información contable con corte a 31 de diciembre del año anterior, por lo menos el veinticinco por ciento (25%) del total de pagos realizados a MIPYNIES, cooperativas o asociaciones mutuales por concepto de proveeduría del oferente, realizados durante el año anterior; o, la oferta presentada por un proponente plural siempre que: (a) esté conformado por al menos una MIPYME, cooperativa o asociación mutual que tenga una participación de por lo menos el veinticinco por ciento (25%); (b) la MIPYME, cooperativa o asociación mutual aporte mínimo el veinticinco por ciento (25%) de la experiencia acreditada en la oferta; y (c) ni la MIPYME, cooperativa o asociación mutual ni sus accionistas, socios o representantes legales sean empleados, socios o accionistas de los miembros del proponente plural.</w:t>
      </w:r>
    </w:p>
    <w:p w14:paraId="4224CADB"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11. Preferir las empresas reconocidas y establecidas como Sociedad de Beneficio e Interés Colectivo o Sociedad BIC, del segmento MIPYMES.</w:t>
      </w:r>
    </w:p>
    <w:p w14:paraId="18870755"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12. Utilizar un método aleatorio para seleccionar el oferente, método que deberá haber sido previsto previamente en los Documentos del Proceso.</w:t>
      </w:r>
    </w:p>
    <w:p w14:paraId="0F30FE35"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1°. Los factores de desempate serán aplicables en el caso de las cooperativas y asociaciones mutuales que cumplan con los criterios de clasificación empresarial, definidos por el Decreto 957 de 2019, priorizando aquellas que sean micro, pequeñas o medianas.</w:t>
      </w:r>
    </w:p>
    <w:p w14:paraId="6594DED0" w14:textId="77777777" w:rsidR="00AE1FDC" w:rsidRPr="007D00A7"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2°. Para los criterios enunciados que involucren la vinculación de capital humano, el oferente deberá acreditar una antigüedad igual o mayor a un año. Para los casos de constitución inferior a un año se tendrá en cuenta a aquellos trabajadores que hayan estado vinculados desde el momento de constitución de la misma.</w:t>
      </w:r>
    </w:p>
    <w:p w14:paraId="08832348" w14:textId="53310A00" w:rsidR="00AE1FDC" w:rsidRPr="00C0447F" w:rsidRDefault="00AE1FDC" w:rsidP="00C0447F">
      <w:pPr>
        <w:ind w:firstLine="708"/>
        <w:jc w:val="both"/>
        <w:rPr>
          <w:rFonts w:ascii="Arial" w:hAnsi="Arial" w:cs="Arial"/>
          <w:sz w:val="19"/>
          <w:szCs w:val="19"/>
        </w:rPr>
      </w:pPr>
      <w:r>
        <w:rPr>
          <w:rFonts w:ascii="Arial" w:hAnsi="Arial" w:cs="Arial"/>
          <w:sz w:val="19"/>
          <w:szCs w:val="19"/>
        </w:rPr>
        <w:t>»</w:t>
      </w:r>
      <w:r w:rsidRPr="007D00A7">
        <w:rPr>
          <w:rFonts w:ascii="Arial" w:hAnsi="Arial" w:cs="Arial"/>
          <w:sz w:val="19"/>
          <w:szCs w:val="19"/>
        </w:rPr>
        <w:t>Parágrafo 3°. El Gobierno Nacional podrá reglamentar la aplicación de factores de desempate en casos en que concurran dos o más de los factores aquí previstos</w:t>
      </w:r>
      <w:r>
        <w:rPr>
          <w:rFonts w:ascii="Arial" w:hAnsi="Arial" w:cs="Arial"/>
          <w:sz w:val="19"/>
          <w:szCs w:val="19"/>
        </w:rPr>
        <w:t>»</w:t>
      </w:r>
      <w:r w:rsidRPr="007D00A7">
        <w:rPr>
          <w:rFonts w:ascii="Arial" w:hAnsi="Arial" w:cs="Arial"/>
          <w:sz w:val="19"/>
          <w:szCs w:val="19"/>
        </w:rPr>
        <w:t>.</w:t>
      </w:r>
    </w:p>
  </w:footnote>
  <w:footnote w:id="11">
    <w:p w14:paraId="74F5EC46" w14:textId="229C90D7" w:rsidR="00AE1FDC" w:rsidRPr="00614771" w:rsidRDefault="00AE1FDC">
      <w:pPr>
        <w:pStyle w:val="Textonotapie"/>
        <w:ind w:firstLine="708"/>
        <w:jc w:val="both"/>
        <w:rPr>
          <w:rFonts w:ascii="Arial" w:hAnsi="Arial" w:cs="Arial"/>
          <w:sz w:val="19"/>
          <w:szCs w:val="19"/>
          <w:lang w:val="es-ES"/>
        </w:rPr>
      </w:pPr>
      <w:r w:rsidRPr="00614771">
        <w:rPr>
          <w:rStyle w:val="Refdenotaalpie"/>
          <w:rFonts w:ascii="Arial" w:hAnsi="Arial" w:cs="Arial"/>
          <w:sz w:val="19"/>
          <w:szCs w:val="19"/>
        </w:rPr>
        <w:footnoteRef/>
      </w:r>
      <w:r w:rsidRPr="00614771">
        <w:rPr>
          <w:rFonts w:ascii="Arial" w:hAnsi="Arial" w:cs="Arial"/>
          <w:sz w:val="19"/>
          <w:szCs w:val="19"/>
        </w:rPr>
        <w:t xml:space="preserve"> </w:t>
      </w:r>
      <w:r>
        <w:rPr>
          <w:rFonts w:ascii="Arial" w:hAnsi="Arial" w:cs="Arial"/>
          <w:sz w:val="19"/>
          <w:szCs w:val="19"/>
        </w:rPr>
        <w:t>El artículo 189.11 de la Constitución Política de 1991 dispone que corresponde al Presidente de la República «</w:t>
      </w:r>
      <w:r w:rsidRPr="00614771">
        <w:rPr>
          <w:rFonts w:ascii="Arial" w:hAnsi="Arial" w:cs="Arial"/>
          <w:sz w:val="19"/>
          <w:szCs w:val="19"/>
        </w:rPr>
        <w:t>Ejercer la potestad reglamentaria, mediante la expedición de los decretos, resoluciones y órdenes necesarios para la cumplida ejecución de las leyes</w:t>
      </w:r>
      <w:r>
        <w:rPr>
          <w:rFonts w:ascii="Arial" w:hAnsi="Arial" w:cs="Arial"/>
          <w:sz w:val="19"/>
          <w:szCs w:val="19"/>
        </w:rPr>
        <w:t xml:space="preserve">».  </w:t>
      </w:r>
    </w:p>
  </w:footnote>
  <w:footnote w:id="12">
    <w:p w14:paraId="2F2BD17E" w14:textId="1C6F14D1" w:rsidR="00AE1FDC" w:rsidRDefault="00AE1FDC" w:rsidP="00DA1F59">
      <w:pPr>
        <w:pStyle w:val="Textonotapie"/>
        <w:ind w:firstLine="708"/>
        <w:jc w:val="both"/>
        <w:rPr>
          <w:rFonts w:ascii="Arial" w:hAnsi="Arial" w:cs="Arial"/>
          <w:sz w:val="19"/>
          <w:szCs w:val="19"/>
        </w:rPr>
      </w:pPr>
      <w:r w:rsidRPr="00DA1F59">
        <w:rPr>
          <w:rStyle w:val="Refdenotaalpie"/>
          <w:rFonts w:ascii="Arial" w:hAnsi="Arial" w:cs="Arial"/>
          <w:sz w:val="19"/>
          <w:szCs w:val="19"/>
        </w:rPr>
        <w:footnoteRef/>
      </w:r>
      <w:r w:rsidRPr="00DA1F59">
        <w:rPr>
          <w:rFonts w:ascii="Arial" w:hAnsi="Arial" w:cs="Arial"/>
          <w:sz w:val="19"/>
          <w:szCs w:val="19"/>
        </w:rPr>
        <w:t xml:space="preserve"> No en vano, la Corte Constitucional explica que</w:t>
      </w:r>
      <w:r>
        <w:rPr>
          <w:rFonts w:ascii="Arial" w:hAnsi="Arial" w:cs="Arial"/>
          <w:sz w:val="19"/>
          <w:szCs w:val="19"/>
        </w:rPr>
        <w:t xml:space="preserve"> estos casos la potestad reglamentaria</w:t>
      </w:r>
      <w:r w:rsidRPr="00DA1F59">
        <w:rPr>
          <w:rFonts w:ascii="Arial" w:hAnsi="Arial" w:cs="Arial"/>
          <w:sz w:val="19"/>
          <w:szCs w:val="19"/>
        </w:rPr>
        <w:t xml:space="preserve"> «[…] puede ejercerse por </w:t>
      </w:r>
      <w:r>
        <w:rPr>
          <w:rFonts w:ascii="Arial" w:hAnsi="Arial" w:cs="Arial"/>
          <w:sz w:val="19"/>
          <w:szCs w:val="19"/>
        </w:rPr>
        <w:t>[el Gobierno Nacional]</w:t>
      </w:r>
      <w:r w:rsidRPr="00DA1F59">
        <w:rPr>
          <w:rFonts w:ascii="Arial" w:hAnsi="Arial" w:cs="Arial"/>
          <w:sz w:val="19"/>
          <w:szCs w:val="19"/>
        </w:rPr>
        <w:t xml:space="preserve"> en cualquier tiempo, sin que sea posible que por ley se introduzca en esta materia limitación temporal alguna. Ello no quiere decir, sin embargo, que el legislador no pueda, para lograr la efectividad de una ley, disponer que el Gobierno deba reglamentarla dentro de un tiempo determinado</w:t>
      </w:r>
      <w:r>
        <w:rPr>
          <w:rFonts w:ascii="Arial" w:hAnsi="Arial" w:cs="Arial"/>
          <w:sz w:val="19"/>
          <w:szCs w:val="19"/>
        </w:rPr>
        <w:t xml:space="preserve">. </w:t>
      </w:r>
      <w:r w:rsidRPr="00132DBE">
        <w:rPr>
          <w:rFonts w:ascii="Arial" w:hAnsi="Arial" w:cs="Arial"/>
          <w:sz w:val="19"/>
          <w:szCs w:val="19"/>
        </w:rPr>
        <w:t xml:space="preserve">Tal mandato del legislador no impide que el Presidente expida la reglamentación antes del término previsto, ni lo inhabilita para el ejercicio de la potestad reglamentaria vencido ese plazo. Tampoco implica que expedida una reglamentación dentro del plazo fijado por el legislador el Presidente pierda competencia para expedir nuevos reglamentos o para modificar, adicionar o derogar sus propios reglamentos. </w:t>
      </w:r>
      <w:r w:rsidRPr="00132DBE">
        <w:rPr>
          <w:rFonts w:ascii="Arial" w:hAnsi="Arial" w:cs="Arial"/>
          <w:i/>
          <w:iCs/>
          <w:sz w:val="19"/>
          <w:szCs w:val="19"/>
        </w:rPr>
        <w:t>La única consecuencia normativa del término establecido por el legislador es la de imponerle al Presidente de la República el deber de reglamentar la ley dentro de dicho plazo</w:t>
      </w:r>
      <w:r>
        <w:rPr>
          <w:rFonts w:ascii="Arial" w:hAnsi="Arial" w:cs="Arial"/>
          <w:sz w:val="19"/>
          <w:szCs w:val="19"/>
        </w:rPr>
        <w:t>» (CORTE CONSTITUCIONAL. Sentencia C-805 de 2001. M.P. Rodrigo Escobar Gil. Corchetes y énfasis fuera de texto).</w:t>
      </w:r>
      <w:r w:rsidRPr="00DA1F59">
        <w:rPr>
          <w:rFonts w:ascii="Arial" w:hAnsi="Arial" w:cs="Arial"/>
          <w:sz w:val="19"/>
          <w:szCs w:val="19"/>
        </w:rPr>
        <w:t xml:space="preserve">  </w:t>
      </w:r>
    </w:p>
    <w:p w14:paraId="6C7E4547" w14:textId="77777777" w:rsidR="00AE1FDC" w:rsidRPr="00DA1F59" w:rsidRDefault="00AE1FDC" w:rsidP="00DA1F59">
      <w:pPr>
        <w:pStyle w:val="Textonotapie"/>
        <w:ind w:firstLine="708"/>
        <w:jc w:val="both"/>
        <w:rPr>
          <w:rFonts w:ascii="Arial" w:hAnsi="Arial" w:cs="Arial"/>
          <w:sz w:val="19"/>
          <w:szCs w:val="19"/>
          <w:lang w:val="es-ES"/>
        </w:rPr>
      </w:pPr>
    </w:p>
  </w:footnote>
  <w:footnote w:id="13">
    <w:p w14:paraId="4267F02A" w14:textId="7846A2C7" w:rsidR="00AE1FDC" w:rsidRDefault="00AE1FDC">
      <w:pPr>
        <w:pStyle w:val="Textonotapie"/>
        <w:ind w:firstLine="708"/>
        <w:jc w:val="both"/>
        <w:rPr>
          <w:rFonts w:ascii="Arial" w:hAnsi="Arial" w:cs="Arial"/>
          <w:sz w:val="19"/>
          <w:szCs w:val="19"/>
        </w:rPr>
      </w:pPr>
      <w:r w:rsidRPr="0053325A">
        <w:rPr>
          <w:rStyle w:val="Refdenotaalpie"/>
          <w:rFonts w:ascii="Arial" w:hAnsi="Arial" w:cs="Arial"/>
          <w:sz w:val="19"/>
          <w:szCs w:val="19"/>
        </w:rPr>
        <w:footnoteRef/>
      </w:r>
      <w:r w:rsidRPr="0053325A">
        <w:rPr>
          <w:rFonts w:ascii="Arial" w:hAnsi="Arial" w:cs="Arial"/>
          <w:sz w:val="19"/>
          <w:szCs w:val="19"/>
        </w:rPr>
        <w:t xml:space="preserve"> </w:t>
      </w:r>
      <w:r>
        <w:rPr>
          <w:rFonts w:ascii="Arial" w:hAnsi="Arial" w:cs="Arial"/>
          <w:sz w:val="19"/>
          <w:szCs w:val="19"/>
        </w:rPr>
        <w:t xml:space="preserve">GUASTINI, Riccardo. Interpretar y argumentar. Madrid: Centro de Estudios Políticos y Constitucionales, 2014. p. 145. El autor también propone los siguientes ejemplos de </w:t>
      </w:r>
      <w:r w:rsidRPr="00122311">
        <w:rPr>
          <w:rFonts w:ascii="Arial" w:hAnsi="Arial" w:cs="Arial"/>
          <w:i/>
          <w:iCs/>
          <w:sz w:val="19"/>
          <w:szCs w:val="19"/>
        </w:rPr>
        <w:t>lagunas técnicas</w:t>
      </w:r>
      <w:r>
        <w:rPr>
          <w:rFonts w:ascii="Arial" w:hAnsi="Arial" w:cs="Arial"/>
          <w:sz w:val="19"/>
          <w:szCs w:val="19"/>
        </w:rPr>
        <w:t xml:space="preserve">: «[…] </w:t>
      </w:r>
      <w:r w:rsidRPr="00122311">
        <w:rPr>
          <w:rFonts w:ascii="Arial" w:hAnsi="Arial" w:cs="Arial"/>
          <w:sz w:val="19"/>
          <w:szCs w:val="19"/>
        </w:rPr>
        <w:t>una norma prescribe la periódica convocatoria de un</w:t>
      </w:r>
      <w:r>
        <w:rPr>
          <w:rFonts w:ascii="Arial" w:hAnsi="Arial" w:cs="Arial"/>
          <w:sz w:val="19"/>
          <w:szCs w:val="19"/>
        </w:rPr>
        <w:t xml:space="preserve"> </w:t>
      </w:r>
      <w:r w:rsidRPr="00122311">
        <w:rPr>
          <w:rFonts w:ascii="Arial" w:hAnsi="Arial" w:cs="Arial"/>
          <w:sz w:val="19"/>
          <w:szCs w:val="19"/>
        </w:rPr>
        <w:t>órgano; pero ninguna norma determina qué sujeto es el competente para</w:t>
      </w:r>
      <w:r>
        <w:rPr>
          <w:rFonts w:ascii="Arial" w:hAnsi="Arial" w:cs="Arial"/>
          <w:sz w:val="19"/>
          <w:szCs w:val="19"/>
        </w:rPr>
        <w:t xml:space="preserve"> </w:t>
      </w:r>
      <w:r w:rsidRPr="00122311">
        <w:rPr>
          <w:rFonts w:ascii="Arial" w:hAnsi="Arial" w:cs="Arial"/>
          <w:sz w:val="19"/>
          <w:szCs w:val="19"/>
        </w:rPr>
        <w:t>convocarlo; una norma instituye cierto órgano electivo, pero ninguna</w:t>
      </w:r>
      <w:r>
        <w:rPr>
          <w:rFonts w:ascii="Arial" w:hAnsi="Arial" w:cs="Arial"/>
          <w:sz w:val="19"/>
          <w:szCs w:val="19"/>
        </w:rPr>
        <w:t xml:space="preserve"> </w:t>
      </w:r>
      <w:r w:rsidRPr="00122311">
        <w:rPr>
          <w:rFonts w:ascii="Arial" w:hAnsi="Arial" w:cs="Arial"/>
          <w:sz w:val="19"/>
          <w:szCs w:val="19"/>
        </w:rPr>
        <w:t>norma establece qué sistema electoral debe adoptarse; una norma recomienda perseguir cierto fin, pero ninguna norma establece qué medios</w:t>
      </w:r>
      <w:r>
        <w:rPr>
          <w:rFonts w:ascii="Arial" w:hAnsi="Arial" w:cs="Arial"/>
          <w:sz w:val="19"/>
          <w:szCs w:val="19"/>
        </w:rPr>
        <w:t xml:space="preserve"> </w:t>
      </w:r>
      <w:r w:rsidRPr="00122311">
        <w:rPr>
          <w:rFonts w:ascii="Arial" w:hAnsi="Arial" w:cs="Arial"/>
          <w:sz w:val="19"/>
          <w:szCs w:val="19"/>
        </w:rPr>
        <w:t>deben utilizarse; etc</w:t>
      </w:r>
      <w:r>
        <w:rPr>
          <w:rFonts w:ascii="Arial" w:hAnsi="Arial" w:cs="Arial"/>
          <w:sz w:val="19"/>
          <w:szCs w:val="19"/>
        </w:rPr>
        <w:t>.» (</w:t>
      </w:r>
      <w:r w:rsidRPr="0040085D">
        <w:rPr>
          <w:rFonts w:ascii="Arial" w:hAnsi="Arial" w:cs="Arial"/>
          <w:i/>
          <w:iCs/>
          <w:sz w:val="19"/>
          <w:szCs w:val="19"/>
        </w:rPr>
        <w:t>Ibidem</w:t>
      </w:r>
      <w:r>
        <w:rPr>
          <w:rFonts w:ascii="Arial" w:hAnsi="Arial" w:cs="Arial"/>
          <w:sz w:val="19"/>
          <w:szCs w:val="19"/>
        </w:rPr>
        <w:t xml:space="preserve">).  </w:t>
      </w:r>
    </w:p>
    <w:p w14:paraId="48DF9292" w14:textId="77777777" w:rsidR="00674BC1" w:rsidRPr="00122311" w:rsidRDefault="00674BC1">
      <w:pPr>
        <w:pStyle w:val="Textonotapie"/>
        <w:ind w:firstLine="708"/>
        <w:jc w:val="both"/>
        <w:rPr>
          <w:rFonts w:ascii="Arial" w:hAnsi="Arial" w:cs="Arial"/>
          <w:sz w:val="19"/>
          <w:szCs w:val="19"/>
        </w:rPr>
      </w:pPr>
    </w:p>
  </w:footnote>
  <w:footnote w:id="14">
    <w:p w14:paraId="27A7C912" w14:textId="77777777" w:rsidR="006E3902" w:rsidRPr="006B567C" w:rsidRDefault="006E3902" w:rsidP="006E3902">
      <w:pPr>
        <w:spacing w:line="259" w:lineRule="auto"/>
        <w:ind w:firstLine="708"/>
        <w:jc w:val="both"/>
        <w:rPr>
          <w:rFonts w:ascii="Arial" w:hAnsi="Arial" w:cs="Arial"/>
          <w:sz w:val="19"/>
          <w:szCs w:val="19"/>
        </w:rPr>
      </w:pPr>
      <w:r w:rsidRPr="0090547E">
        <w:rPr>
          <w:rStyle w:val="Refdenotaalpie"/>
          <w:rFonts w:ascii="Arial" w:hAnsi="Arial" w:cs="Arial"/>
          <w:sz w:val="19"/>
          <w:szCs w:val="19"/>
        </w:rPr>
        <w:footnoteRef/>
      </w:r>
      <w:r w:rsidRPr="0090547E">
        <w:rPr>
          <w:rFonts w:ascii="Arial" w:hAnsi="Arial" w:cs="Arial"/>
          <w:sz w:val="19"/>
          <w:szCs w:val="19"/>
        </w:rPr>
        <w:t xml:space="preserve"> El parágrafo 2 de la norma citada disponía que «El Gobierno nacional reglamentará el procedimiento de la cesión del contrato de que trata este artículo, en término no mayor a seis (6) meses». No obstante, conforme al comunicado de prensa del 25 de febrero de 2021, la norma fue declarada inexequible por la Corte Constitucional. Para estos efectos, «[…] la Corte consideró inexequible la atribución de facultades reglamentarias para el propósito de señalar cómo y a quién se va a ceder el contrato, pues tales asuntos deben ser definidos directamente por la ley […]». Por lo demás, «[…] Aclaró que la potestad reglamentaria opera solamente después de esta determinación legislativa» (Cfr. </w:t>
      </w:r>
      <w:hyperlink r:id="rId2" w:history="1">
        <w:r w:rsidRPr="0090547E">
          <w:rPr>
            <w:rStyle w:val="Hipervnculo"/>
            <w:rFonts w:ascii="Arial" w:hAnsi="Arial" w:cs="Arial"/>
            <w:sz w:val="19"/>
            <w:szCs w:val="19"/>
          </w:rPr>
          <w:t>https://www.beltranpardo.com/wp-content/uploads/2021/02/CorteConstitucional_Inexequibilidadpar%C3%A1grafo2Art6L2014.pdf</w:t>
        </w:r>
      </w:hyperlink>
      <w:r w:rsidRPr="0090547E">
        <w:rPr>
          <w:rFonts w:ascii="Arial" w:hAnsi="Arial" w:cs="Arial"/>
          <w:sz w:val="19"/>
          <w:szCs w:val="19"/>
        </w:rPr>
        <w:t>).</w:t>
      </w:r>
      <w:r>
        <w:rPr>
          <w:rFonts w:ascii="Arial" w:hAnsi="Arial" w:cs="Arial"/>
          <w:sz w:val="19"/>
          <w:szCs w:val="19"/>
        </w:rPr>
        <w:t xml:space="preserve">  </w:t>
      </w:r>
    </w:p>
    <w:p w14:paraId="6AD978CD" w14:textId="77777777" w:rsidR="006E3902" w:rsidRPr="00E611D3" w:rsidRDefault="006E3902" w:rsidP="006E3902">
      <w:pPr>
        <w:pStyle w:val="Textonotapie"/>
        <w:ind w:firstLine="708"/>
        <w:jc w:val="both"/>
        <w:rPr>
          <w:rFonts w:ascii="Arial" w:hAnsi="Arial" w:cs="Arial"/>
          <w:sz w:val="19"/>
          <w:szCs w:val="19"/>
          <w:lang w:val="es-ES"/>
        </w:rPr>
      </w:pPr>
    </w:p>
  </w:footnote>
  <w:footnote w:id="15">
    <w:p w14:paraId="06AA1A51" w14:textId="4279EC0C" w:rsidR="005838F8" w:rsidRPr="0040085D" w:rsidRDefault="00AE1FDC">
      <w:pPr>
        <w:pStyle w:val="Textonotapie"/>
        <w:ind w:firstLine="708"/>
        <w:jc w:val="both"/>
        <w:rPr>
          <w:rFonts w:ascii="Arial" w:hAnsi="Arial" w:cs="Arial"/>
          <w:sz w:val="19"/>
          <w:szCs w:val="19"/>
          <w:lang w:val="es-ES"/>
        </w:rPr>
      </w:pPr>
      <w:r w:rsidRPr="0040085D">
        <w:rPr>
          <w:rStyle w:val="Refdenotaalpie"/>
          <w:rFonts w:ascii="Arial" w:hAnsi="Arial" w:cs="Arial"/>
          <w:sz w:val="19"/>
          <w:szCs w:val="19"/>
        </w:rPr>
        <w:footnoteRef/>
      </w:r>
      <w:r w:rsidRPr="0040085D">
        <w:rPr>
          <w:rFonts w:ascii="Arial" w:hAnsi="Arial" w:cs="Arial"/>
          <w:sz w:val="19"/>
          <w:szCs w:val="19"/>
        </w:rPr>
        <w:t xml:space="preserve"> </w:t>
      </w:r>
      <w:r>
        <w:rPr>
          <w:rFonts w:ascii="Arial" w:hAnsi="Arial" w:cs="Arial"/>
          <w:sz w:val="19"/>
          <w:szCs w:val="19"/>
        </w:rPr>
        <w:t xml:space="preserve">Cfr. </w:t>
      </w:r>
      <w:r w:rsidRPr="0040085D">
        <w:rPr>
          <w:rFonts w:ascii="Arial" w:hAnsi="Arial" w:cs="Arial"/>
          <w:sz w:val="19"/>
          <w:szCs w:val="19"/>
        </w:rPr>
        <w:t>CORTE CONSTITUCIONAL. Sentencia C-619 del 14 de junio de 2001. M.P. Marco Gerardo Monr</w:t>
      </w:r>
      <w:r>
        <w:rPr>
          <w:rFonts w:ascii="Arial" w:hAnsi="Arial" w:cs="Arial"/>
          <w:sz w:val="19"/>
          <w:szCs w:val="19"/>
        </w:rPr>
        <w:t>o</w:t>
      </w:r>
      <w:r w:rsidRPr="0040085D">
        <w:rPr>
          <w:rFonts w:ascii="Arial" w:hAnsi="Arial" w:cs="Arial"/>
          <w:sz w:val="19"/>
          <w:szCs w:val="19"/>
        </w:rPr>
        <w:t>y Cabra</w:t>
      </w:r>
      <w:r>
        <w:rPr>
          <w:rFonts w:ascii="Arial" w:hAnsi="Arial" w:cs="Arial"/>
          <w:sz w:val="19"/>
          <w:szCs w:val="19"/>
        </w:rPr>
        <w:t xml:space="preserve">. </w:t>
      </w:r>
    </w:p>
  </w:footnote>
  <w:footnote w:id="16">
    <w:p w14:paraId="3615E422" w14:textId="3958F11E" w:rsidR="00AE1FDC" w:rsidRDefault="00AE1FDC" w:rsidP="00E007E6">
      <w:pPr>
        <w:pStyle w:val="Textonotapie"/>
        <w:ind w:firstLine="708"/>
        <w:jc w:val="both"/>
        <w:rPr>
          <w:rFonts w:ascii="Arial" w:hAnsi="Arial" w:cs="Arial"/>
          <w:sz w:val="19"/>
          <w:szCs w:val="19"/>
        </w:rPr>
      </w:pPr>
      <w:r w:rsidRPr="00002995">
        <w:rPr>
          <w:rStyle w:val="Refdenotaalpie"/>
          <w:rFonts w:ascii="Arial" w:hAnsi="Arial" w:cs="Arial"/>
          <w:sz w:val="19"/>
          <w:szCs w:val="19"/>
        </w:rPr>
        <w:footnoteRef/>
      </w:r>
      <w:r w:rsidRPr="00002995">
        <w:rPr>
          <w:rFonts w:ascii="Arial" w:hAnsi="Arial" w:cs="Arial"/>
          <w:sz w:val="19"/>
          <w:szCs w:val="19"/>
        </w:rPr>
        <w:t xml:space="preserve"> CONSEJO DE ESTADO. Sección Tercera. Auto de 1 de abril de 2009. Exp. 36476. M.P. Ruth Stella Correa Palacio.  </w:t>
      </w:r>
    </w:p>
    <w:p w14:paraId="2426EECE" w14:textId="77777777" w:rsidR="002267EA" w:rsidRPr="00002995" w:rsidRDefault="002267EA" w:rsidP="00E007E6">
      <w:pPr>
        <w:pStyle w:val="Textonotapie"/>
        <w:ind w:firstLine="708"/>
        <w:jc w:val="both"/>
        <w:rPr>
          <w:rFonts w:ascii="Arial" w:hAnsi="Arial" w:cs="Arial"/>
          <w:sz w:val="19"/>
          <w:szCs w:val="19"/>
        </w:rPr>
      </w:pPr>
    </w:p>
  </w:footnote>
  <w:footnote w:id="17">
    <w:p w14:paraId="115C4FD1" w14:textId="6D65009D" w:rsidR="00AE1FDC" w:rsidRDefault="00AE1FDC">
      <w:pPr>
        <w:pStyle w:val="Textonotapie"/>
        <w:ind w:firstLine="708"/>
        <w:jc w:val="both"/>
        <w:rPr>
          <w:rFonts w:ascii="Arial" w:hAnsi="Arial" w:cs="Arial"/>
          <w:sz w:val="19"/>
          <w:szCs w:val="19"/>
        </w:rPr>
      </w:pPr>
      <w:r w:rsidRPr="002267EA">
        <w:rPr>
          <w:rStyle w:val="Refdenotaalpie"/>
          <w:rFonts w:ascii="Arial" w:hAnsi="Arial" w:cs="Arial"/>
          <w:sz w:val="19"/>
          <w:szCs w:val="19"/>
        </w:rPr>
        <w:footnoteRef/>
      </w:r>
      <w:r w:rsidRPr="002267EA">
        <w:rPr>
          <w:rFonts w:ascii="Arial" w:hAnsi="Arial" w:cs="Arial"/>
          <w:sz w:val="19"/>
          <w:szCs w:val="19"/>
        </w:rPr>
        <w:t xml:space="preserve"> </w:t>
      </w:r>
      <w:r w:rsidR="002267EA" w:rsidRPr="002267EA">
        <w:rPr>
          <w:rFonts w:ascii="Arial" w:hAnsi="Arial" w:cs="Arial"/>
          <w:sz w:val="19"/>
          <w:szCs w:val="19"/>
        </w:rPr>
        <w:t>CONGRESO DE LA REPÚBLICA. Gaceta No. 670 del 11 de agosto de 2020. Exposición de motivos del Proyecto de Ley No. 122 de 2020 Cámara. pp. 3-4.</w:t>
      </w:r>
    </w:p>
    <w:p w14:paraId="56D58211" w14:textId="77777777" w:rsidR="009C67E9" w:rsidRPr="005716A8" w:rsidRDefault="009C67E9">
      <w:pPr>
        <w:pStyle w:val="Textonotapie"/>
        <w:ind w:firstLine="708"/>
        <w:jc w:val="both"/>
        <w:rPr>
          <w:rFonts w:ascii="Arial" w:hAnsi="Arial" w:cs="Arial"/>
          <w:sz w:val="19"/>
          <w:szCs w:val="19"/>
          <w:lang w:val="es-ES"/>
        </w:rPr>
      </w:pPr>
    </w:p>
  </w:footnote>
  <w:footnote w:id="18">
    <w:p w14:paraId="3F26FFE4" w14:textId="4E53E61E" w:rsidR="00AE1FDC" w:rsidRDefault="00AE1FDC" w:rsidP="00AC3DCF">
      <w:pPr>
        <w:pStyle w:val="Textonotapie"/>
        <w:ind w:firstLine="708"/>
        <w:jc w:val="both"/>
        <w:rPr>
          <w:rFonts w:ascii="Arial" w:hAnsi="Arial" w:cs="Arial"/>
          <w:sz w:val="19"/>
          <w:szCs w:val="19"/>
        </w:rPr>
      </w:pPr>
      <w:r w:rsidRPr="00AC3DCF">
        <w:rPr>
          <w:rStyle w:val="Refdenotaalpie"/>
          <w:rFonts w:ascii="Arial" w:hAnsi="Arial" w:cs="Arial"/>
          <w:sz w:val="19"/>
          <w:szCs w:val="19"/>
        </w:rPr>
        <w:footnoteRef/>
      </w:r>
      <w:r w:rsidRPr="00AC3DCF">
        <w:rPr>
          <w:rFonts w:ascii="Arial" w:hAnsi="Arial" w:cs="Arial"/>
          <w:sz w:val="19"/>
          <w:szCs w:val="19"/>
        </w:rPr>
        <w:t xml:space="preserve"> </w:t>
      </w:r>
      <w:r>
        <w:rPr>
          <w:rFonts w:ascii="Arial" w:hAnsi="Arial" w:cs="Arial"/>
          <w:sz w:val="19"/>
          <w:szCs w:val="19"/>
        </w:rPr>
        <w:t>MARÍN CORTÉS, Fabián Gonzalo. El reglamento, como fuente del derecho administrativo. En: las fuentes del derecho administrativo. Texto inédito. p. 203.</w:t>
      </w:r>
    </w:p>
    <w:p w14:paraId="03AFE039" w14:textId="77777777" w:rsidR="00AE1FDC" w:rsidRPr="00AC3DCF" w:rsidRDefault="00AE1FDC" w:rsidP="00AC3DCF">
      <w:pPr>
        <w:pStyle w:val="Textonotapie"/>
        <w:ind w:firstLine="708"/>
        <w:jc w:val="both"/>
        <w:rPr>
          <w:rFonts w:ascii="Arial" w:hAnsi="Arial" w:cs="Arial"/>
          <w:sz w:val="19"/>
          <w:szCs w:val="19"/>
          <w:lang w:val="es-ES"/>
        </w:rPr>
      </w:pPr>
    </w:p>
  </w:footnote>
  <w:footnote w:id="19">
    <w:p w14:paraId="706AFF3A" w14:textId="10C8ADFE" w:rsidR="00AE1FDC" w:rsidRPr="00AC3DCF" w:rsidRDefault="00AE1FDC" w:rsidP="00AC3DCF">
      <w:pPr>
        <w:pStyle w:val="Textonotapie"/>
        <w:ind w:firstLine="708"/>
        <w:jc w:val="both"/>
        <w:rPr>
          <w:rFonts w:ascii="Arial" w:hAnsi="Arial" w:cs="Arial"/>
          <w:sz w:val="19"/>
          <w:szCs w:val="19"/>
          <w:lang w:val="es-ES"/>
        </w:rPr>
      </w:pPr>
      <w:r w:rsidRPr="00AC3DCF">
        <w:rPr>
          <w:rStyle w:val="Refdenotaalpie"/>
          <w:rFonts w:ascii="Arial" w:hAnsi="Arial" w:cs="Arial"/>
          <w:sz w:val="19"/>
          <w:szCs w:val="19"/>
        </w:rPr>
        <w:footnoteRef/>
      </w:r>
      <w:r w:rsidRPr="00AC3DCF">
        <w:rPr>
          <w:rFonts w:ascii="Arial" w:hAnsi="Arial" w:cs="Arial"/>
          <w:sz w:val="19"/>
          <w:szCs w:val="19"/>
        </w:rPr>
        <w:t xml:space="preserve"> </w:t>
      </w:r>
      <w:r w:rsidRPr="002B3689">
        <w:rPr>
          <w:rFonts w:ascii="Arial" w:hAnsi="Arial" w:cs="Arial"/>
          <w:i/>
          <w:iCs/>
          <w:sz w:val="19"/>
          <w:szCs w:val="19"/>
        </w:rPr>
        <w:t>Ibidem</w:t>
      </w:r>
      <w:r>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98637" w14:textId="77777777" w:rsidR="00AE1FDC" w:rsidRDefault="00AE1FDC">
    <w:pPr>
      <w:pStyle w:val="Encabezado"/>
    </w:pPr>
    <w:r>
      <w:rPr>
        <w:noProof/>
        <w:lang w:val="es-CO" w:eastAsia="es-CO"/>
      </w:rPr>
      <w:drawing>
        <wp:anchor distT="0" distB="0" distL="114300" distR="114300" simplePos="0" relativeHeight="251659264" behindDoc="1" locked="0" layoutInCell="1" allowOverlap="1" wp14:anchorId="683F734A" wp14:editId="6536D205">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E96C8B24"/>
    <w:lvl w:ilvl="0">
      <w:start w:val="1"/>
      <w:numFmt w:val="decimal"/>
      <w:lvlText w:val="%1."/>
      <w:lvlJc w:val="left"/>
      <w:pPr>
        <w:ind w:left="7874" w:hanging="360"/>
      </w:pPr>
      <w:rPr>
        <w:b/>
        <w:bCs w:val="0"/>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2"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5DC52852"/>
    <w:multiLevelType w:val="multilevel"/>
    <w:tmpl w:val="10667D14"/>
    <w:lvl w:ilvl="0">
      <w:start w:val="1"/>
      <w:numFmt w:val="decimal"/>
      <w:lvlText w:val="%1."/>
      <w:lvlJc w:val="left"/>
      <w:pPr>
        <w:ind w:left="360" w:hanging="360"/>
      </w:pPr>
      <w:rPr>
        <w:rFonts w:hint="default"/>
        <w:color w:val="auto"/>
        <w:sz w:val="20"/>
        <w:szCs w:val="20"/>
      </w:rPr>
    </w:lvl>
    <w:lvl w:ilvl="1">
      <w:start w:val="1"/>
      <w:numFmt w:val="decimal"/>
      <w:lvlText w:val="3.%2."/>
      <w:lvlJc w:val="left"/>
      <w:pPr>
        <w:ind w:left="1004" w:hanging="720"/>
      </w:pPr>
      <w:rPr>
        <w:rFonts w:hint="default"/>
        <w:b/>
        <w:i w:val="0"/>
        <w:color w:val="000000"/>
      </w:rPr>
    </w:lvl>
    <w:lvl w:ilvl="2">
      <w:start w:val="1"/>
      <w:numFmt w:val="decimal"/>
      <w:lvlText w:val="3.5.%3."/>
      <w:lvlJc w:val="left"/>
      <w:pPr>
        <w:ind w:left="964" w:hanging="624"/>
      </w:pPr>
      <w:rPr>
        <w:rFonts w:hint="default"/>
        <w:b w:val="0"/>
        <w:bCs/>
        <w:i w:val="0"/>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num w:numId="1" w16cid:durableId="2044860634">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583794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1129671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145851129">
    <w:abstractNumId w:val="1"/>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1268076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1018977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487C"/>
    <w:rsid w:val="00001BE0"/>
    <w:rsid w:val="00001E3D"/>
    <w:rsid w:val="00002331"/>
    <w:rsid w:val="000031FE"/>
    <w:rsid w:val="000047EA"/>
    <w:rsid w:val="000072CE"/>
    <w:rsid w:val="000100E8"/>
    <w:rsid w:val="00010A06"/>
    <w:rsid w:val="00010D30"/>
    <w:rsid w:val="00013319"/>
    <w:rsid w:val="00013780"/>
    <w:rsid w:val="000137A9"/>
    <w:rsid w:val="00013C14"/>
    <w:rsid w:val="000156B3"/>
    <w:rsid w:val="00015B3C"/>
    <w:rsid w:val="00016F8F"/>
    <w:rsid w:val="00021180"/>
    <w:rsid w:val="000221C2"/>
    <w:rsid w:val="00023000"/>
    <w:rsid w:val="00023057"/>
    <w:rsid w:val="000238BE"/>
    <w:rsid w:val="00024771"/>
    <w:rsid w:val="00026A6E"/>
    <w:rsid w:val="00026CCB"/>
    <w:rsid w:val="0003091B"/>
    <w:rsid w:val="000324C9"/>
    <w:rsid w:val="000333A2"/>
    <w:rsid w:val="00034108"/>
    <w:rsid w:val="000347F4"/>
    <w:rsid w:val="00034853"/>
    <w:rsid w:val="000348F4"/>
    <w:rsid w:val="0003568E"/>
    <w:rsid w:val="0003601F"/>
    <w:rsid w:val="0003625C"/>
    <w:rsid w:val="000368FC"/>
    <w:rsid w:val="00036E73"/>
    <w:rsid w:val="00037414"/>
    <w:rsid w:val="00040C88"/>
    <w:rsid w:val="00040D6E"/>
    <w:rsid w:val="000428C3"/>
    <w:rsid w:val="00042C0C"/>
    <w:rsid w:val="000439E9"/>
    <w:rsid w:val="00043A4D"/>
    <w:rsid w:val="000445B5"/>
    <w:rsid w:val="00044FF2"/>
    <w:rsid w:val="000466AB"/>
    <w:rsid w:val="000466AC"/>
    <w:rsid w:val="00047050"/>
    <w:rsid w:val="00051D31"/>
    <w:rsid w:val="00053D7E"/>
    <w:rsid w:val="00054B43"/>
    <w:rsid w:val="00054E9A"/>
    <w:rsid w:val="0005595F"/>
    <w:rsid w:val="000563ED"/>
    <w:rsid w:val="00056B40"/>
    <w:rsid w:val="00057B7C"/>
    <w:rsid w:val="00060618"/>
    <w:rsid w:val="00061E34"/>
    <w:rsid w:val="00061EE4"/>
    <w:rsid w:val="00062512"/>
    <w:rsid w:val="00062B0D"/>
    <w:rsid w:val="00064834"/>
    <w:rsid w:val="0006519B"/>
    <w:rsid w:val="00070FE3"/>
    <w:rsid w:val="00072EB9"/>
    <w:rsid w:val="0007306B"/>
    <w:rsid w:val="000757B4"/>
    <w:rsid w:val="000763E2"/>
    <w:rsid w:val="00076F69"/>
    <w:rsid w:val="00083BE1"/>
    <w:rsid w:val="00085476"/>
    <w:rsid w:val="00086A16"/>
    <w:rsid w:val="00091039"/>
    <w:rsid w:val="00091570"/>
    <w:rsid w:val="0009161E"/>
    <w:rsid w:val="00091D8F"/>
    <w:rsid w:val="00091F2D"/>
    <w:rsid w:val="000929DE"/>
    <w:rsid w:val="00093392"/>
    <w:rsid w:val="00093E58"/>
    <w:rsid w:val="00095C76"/>
    <w:rsid w:val="0009620A"/>
    <w:rsid w:val="00097CD6"/>
    <w:rsid w:val="00097D8F"/>
    <w:rsid w:val="000A1DBA"/>
    <w:rsid w:val="000A2BEF"/>
    <w:rsid w:val="000A3B96"/>
    <w:rsid w:val="000A4C83"/>
    <w:rsid w:val="000A5E30"/>
    <w:rsid w:val="000A6338"/>
    <w:rsid w:val="000A667E"/>
    <w:rsid w:val="000A6B6F"/>
    <w:rsid w:val="000A70D5"/>
    <w:rsid w:val="000B4A19"/>
    <w:rsid w:val="000B5C52"/>
    <w:rsid w:val="000C0E39"/>
    <w:rsid w:val="000C26A0"/>
    <w:rsid w:val="000C3BD4"/>
    <w:rsid w:val="000C3D66"/>
    <w:rsid w:val="000C4A2C"/>
    <w:rsid w:val="000C51AF"/>
    <w:rsid w:val="000C5830"/>
    <w:rsid w:val="000C5C37"/>
    <w:rsid w:val="000C5D09"/>
    <w:rsid w:val="000C610E"/>
    <w:rsid w:val="000C61D7"/>
    <w:rsid w:val="000C79F1"/>
    <w:rsid w:val="000D088F"/>
    <w:rsid w:val="000D1766"/>
    <w:rsid w:val="000D6C6D"/>
    <w:rsid w:val="000E0AB3"/>
    <w:rsid w:val="000E284C"/>
    <w:rsid w:val="000E37D0"/>
    <w:rsid w:val="000E4925"/>
    <w:rsid w:val="000E4A3C"/>
    <w:rsid w:val="000E577A"/>
    <w:rsid w:val="000E57DB"/>
    <w:rsid w:val="000E5BB2"/>
    <w:rsid w:val="000E6867"/>
    <w:rsid w:val="000E68C2"/>
    <w:rsid w:val="000F1B34"/>
    <w:rsid w:val="000F1E3D"/>
    <w:rsid w:val="000F211E"/>
    <w:rsid w:val="000F5340"/>
    <w:rsid w:val="00100AEC"/>
    <w:rsid w:val="00103CA7"/>
    <w:rsid w:val="00104D9B"/>
    <w:rsid w:val="001056C0"/>
    <w:rsid w:val="00105A2E"/>
    <w:rsid w:val="00106148"/>
    <w:rsid w:val="00107607"/>
    <w:rsid w:val="00107B39"/>
    <w:rsid w:val="00110B59"/>
    <w:rsid w:val="00111299"/>
    <w:rsid w:val="00112597"/>
    <w:rsid w:val="001127E9"/>
    <w:rsid w:val="001141CE"/>
    <w:rsid w:val="00114431"/>
    <w:rsid w:val="0011538C"/>
    <w:rsid w:val="0011544E"/>
    <w:rsid w:val="0012074A"/>
    <w:rsid w:val="00120C8D"/>
    <w:rsid w:val="0012181C"/>
    <w:rsid w:val="00122311"/>
    <w:rsid w:val="00123543"/>
    <w:rsid w:val="001240CD"/>
    <w:rsid w:val="00127F76"/>
    <w:rsid w:val="001321AB"/>
    <w:rsid w:val="0013282D"/>
    <w:rsid w:val="00132DBE"/>
    <w:rsid w:val="00132FDE"/>
    <w:rsid w:val="0013709F"/>
    <w:rsid w:val="00140285"/>
    <w:rsid w:val="00140E57"/>
    <w:rsid w:val="00141B19"/>
    <w:rsid w:val="00141C64"/>
    <w:rsid w:val="001427B1"/>
    <w:rsid w:val="001427C6"/>
    <w:rsid w:val="001427E8"/>
    <w:rsid w:val="00142E4E"/>
    <w:rsid w:val="00143498"/>
    <w:rsid w:val="0014462B"/>
    <w:rsid w:val="0014660B"/>
    <w:rsid w:val="00146D5B"/>
    <w:rsid w:val="00147906"/>
    <w:rsid w:val="001501ED"/>
    <w:rsid w:val="00150DA3"/>
    <w:rsid w:val="00151596"/>
    <w:rsid w:val="00152F17"/>
    <w:rsid w:val="00153913"/>
    <w:rsid w:val="0015466A"/>
    <w:rsid w:val="00154EC0"/>
    <w:rsid w:val="001573F8"/>
    <w:rsid w:val="00162BA0"/>
    <w:rsid w:val="001637A0"/>
    <w:rsid w:val="00163EED"/>
    <w:rsid w:val="00164E79"/>
    <w:rsid w:val="00165584"/>
    <w:rsid w:val="00166C81"/>
    <w:rsid w:val="00173A9E"/>
    <w:rsid w:val="0017603D"/>
    <w:rsid w:val="001764B9"/>
    <w:rsid w:val="00177F00"/>
    <w:rsid w:val="00180FE3"/>
    <w:rsid w:val="0018164B"/>
    <w:rsid w:val="00181A3E"/>
    <w:rsid w:val="00183447"/>
    <w:rsid w:val="00183A65"/>
    <w:rsid w:val="00183CCB"/>
    <w:rsid w:val="00185441"/>
    <w:rsid w:val="001865DB"/>
    <w:rsid w:val="001879C4"/>
    <w:rsid w:val="0019156F"/>
    <w:rsid w:val="00192B72"/>
    <w:rsid w:val="00193074"/>
    <w:rsid w:val="00193C83"/>
    <w:rsid w:val="00194C50"/>
    <w:rsid w:val="00196FB5"/>
    <w:rsid w:val="001972D2"/>
    <w:rsid w:val="001A0AEB"/>
    <w:rsid w:val="001A2D72"/>
    <w:rsid w:val="001A496D"/>
    <w:rsid w:val="001A535A"/>
    <w:rsid w:val="001B0364"/>
    <w:rsid w:val="001B0EDD"/>
    <w:rsid w:val="001B269D"/>
    <w:rsid w:val="001B2E5D"/>
    <w:rsid w:val="001B4977"/>
    <w:rsid w:val="001B53BD"/>
    <w:rsid w:val="001B5A26"/>
    <w:rsid w:val="001B5E36"/>
    <w:rsid w:val="001C1354"/>
    <w:rsid w:val="001C1D25"/>
    <w:rsid w:val="001C2478"/>
    <w:rsid w:val="001C2AE5"/>
    <w:rsid w:val="001C6E3F"/>
    <w:rsid w:val="001D08B2"/>
    <w:rsid w:val="001D1277"/>
    <w:rsid w:val="001D248F"/>
    <w:rsid w:val="001D2BDC"/>
    <w:rsid w:val="001D38A0"/>
    <w:rsid w:val="001D4424"/>
    <w:rsid w:val="001D59C7"/>
    <w:rsid w:val="001D5ECE"/>
    <w:rsid w:val="001D7073"/>
    <w:rsid w:val="001D733B"/>
    <w:rsid w:val="001D7420"/>
    <w:rsid w:val="001D7FD4"/>
    <w:rsid w:val="001E0DB0"/>
    <w:rsid w:val="001E123B"/>
    <w:rsid w:val="001E1735"/>
    <w:rsid w:val="001E1C6D"/>
    <w:rsid w:val="001E20C2"/>
    <w:rsid w:val="001E3F37"/>
    <w:rsid w:val="001E44A9"/>
    <w:rsid w:val="001E5745"/>
    <w:rsid w:val="001E5DBB"/>
    <w:rsid w:val="001E66BB"/>
    <w:rsid w:val="001E685F"/>
    <w:rsid w:val="001E7044"/>
    <w:rsid w:val="001F1051"/>
    <w:rsid w:val="001F1A2D"/>
    <w:rsid w:val="001F311C"/>
    <w:rsid w:val="001F3224"/>
    <w:rsid w:val="001F34A8"/>
    <w:rsid w:val="001F40B2"/>
    <w:rsid w:val="001F4B99"/>
    <w:rsid w:val="001F680B"/>
    <w:rsid w:val="001F6BA7"/>
    <w:rsid w:val="001F7005"/>
    <w:rsid w:val="001F70F8"/>
    <w:rsid w:val="00200F92"/>
    <w:rsid w:val="00202680"/>
    <w:rsid w:val="00202ECA"/>
    <w:rsid w:val="002034AD"/>
    <w:rsid w:val="00203BF1"/>
    <w:rsid w:val="00203F46"/>
    <w:rsid w:val="002042F7"/>
    <w:rsid w:val="002057A7"/>
    <w:rsid w:val="00207033"/>
    <w:rsid w:val="00210D66"/>
    <w:rsid w:val="00211C6F"/>
    <w:rsid w:val="00212E91"/>
    <w:rsid w:val="00216A65"/>
    <w:rsid w:val="00217339"/>
    <w:rsid w:val="00222204"/>
    <w:rsid w:val="0022306C"/>
    <w:rsid w:val="002239B4"/>
    <w:rsid w:val="00224D5C"/>
    <w:rsid w:val="00225FBD"/>
    <w:rsid w:val="002267EA"/>
    <w:rsid w:val="00227C2D"/>
    <w:rsid w:val="00227D08"/>
    <w:rsid w:val="0023008F"/>
    <w:rsid w:val="0023180C"/>
    <w:rsid w:val="00233653"/>
    <w:rsid w:val="00234C6C"/>
    <w:rsid w:val="0023576D"/>
    <w:rsid w:val="0023728A"/>
    <w:rsid w:val="00237522"/>
    <w:rsid w:val="00241857"/>
    <w:rsid w:val="002430D1"/>
    <w:rsid w:val="002442D1"/>
    <w:rsid w:val="00244A28"/>
    <w:rsid w:val="00245C98"/>
    <w:rsid w:val="00245CF3"/>
    <w:rsid w:val="002466F4"/>
    <w:rsid w:val="00247506"/>
    <w:rsid w:val="00247EBA"/>
    <w:rsid w:val="0025095A"/>
    <w:rsid w:val="00250A60"/>
    <w:rsid w:val="00251547"/>
    <w:rsid w:val="00251997"/>
    <w:rsid w:val="00251F8A"/>
    <w:rsid w:val="00252F2D"/>
    <w:rsid w:val="002532DE"/>
    <w:rsid w:val="00253FB7"/>
    <w:rsid w:val="00254030"/>
    <w:rsid w:val="00256337"/>
    <w:rsid w:val="00256893"/>
    <w:rsid w:val="0026012E"/>
    <w:rsid w:val="00264151"/>
    <w:rsid w:val="00264348"/>
    <w:rsid w:val="00265031"/>
    <w:rsid w:val="0026520C"/>
    <w:rsid w:val="00266277"/>
    <w:rsid w:val="00270009"/>
    <w:rsid w:val="002711ED"/>
    <w:rsid w:val="002723C7"/>
    <w:rsid w:val="00273277"/>
    <w:rsid w:val="00273DA3"/>
    <w:rsid w:val="0027436C"/>
    <w:rsid w:val="002764BA"/>
    <w:rsid w:val="002807AD"/>
    <w:rsid w:val="002814BC"/>
    <w:rsid w:val="002814EA"/>
    <w:rsid w:val="00282CDA"/>
    <w:rsid w:val="00282D8F"/>
    <w:rsid w:val="00283163"/>
    <w:rsid w:val="0028403E"/>
    <w:rsid w:val="002844A2"/>
    <w:rsid w:val="00284A16"/>
    <w:rsid w:val="00284C12"/>
    <w:rsid w:val="0028617E"/>
    <w:rsid w:val="00286834"/>
    <w:rsid w:val="00286FAD"/>
    <w:rsid w:val="0028712C"/>
    <w:rsid w:val="00292416"/>
    <w:rsid w:val="0029247F"/>
    <w:rsid w:val="002930DB"/>
    <w:rsid w:val="00295636"/>
    <w:rsid w:val="002965BC"/>
    <w:rsid w:val="002969F8"/>
    <w:rsid w:val="00296DBA"/>
    <w:rsid w:val="00297358"/>
    <w:rsid w:val="002A153A"/>
    <w:rsid w:val="002A29CE"/>
    <w:rsid w:val="002A2A80"/>
    <w:rsid w:val="002A2D67"/>
    <w:rsid w:val="002A4BC4"/>
    <w:rsid w:val="002A6417"/>
    <w:rsid w:val="002A6631"/>
    <w:rsid w:val="002A6E24"/>
    <w:rsid w:val="002A7CEA"/>
    <w:rsid w:val="002A7DF5"/>
    <w:rsid w:val="002B282F"/>
    <w:rsid w:val="002B3689"/>
    <w:rsid w:val="002B43BA"/>
    <w:rsid w:val="002B45AD"/>
    <w:rsid w:val="002B4B30"/>
    <w:rsid w:val="002B4F96"/>
    <w:rsid w:val="002B56DF"/>
    <w:rsid w:val="002B6370"/>
    <w:rsid w:val="002B647D"/>
    <w:rsid w:val="002B79E1"/>
    <w:rsid w:val="002B7D1F"/>
    <w:rsid w:val="002C004E"/>
    <w:rsid w:val="002C1969"/>
    <w:rsid w:val="002C352C"/>
    <w:rsid w:val="002C3CAC"/>
    <w:rsid w:val="002C441F"/>
    <w:rsid w:val="002C4D8A"/>
    <w:rsid w:val="002C7A63"/>
    <w:rsid w:val="002D00EA"/>
    <w:rsid w:val="002D06BB"/>
    <w:rsid w:val="002D2B71"/>
    <w:rsid w:val="002D2C34"/>
    <w:rsid w:val="002D413A"/>
    <w:rsid w:val="002D6514"/>
    <w:rsid w:val="002D7211"/>
    <w:rsid w:val="002D75B8"/>
    <w:rsid w:val="002E08E8"/>
    <w:rsid w:val="002E320B"/>
    <w:rsid w:val="002E4348"/>
    <w:rsid w:val="002E5AEA"/>
    <w:rsid w:val="002E67C5"/>
    <w:rsid w:val="002E6CEC"/>
    <w:rsid w:val="002E7BC2"/>
    <w:rsid w:val="002F0756"/>
    <w:rsid w:val="002F1C33"/>
    <w:rsid w:val="002F2416"/>
    <w:rsid w:val="002F2655"/>
    <w:rsid w:val="002F2DB4"/>
    <w:rsid w:val="002F47DB"/>
    <w:rsid w:val="002F63BB"/>
    <w:rsid w:val="002F64DD"/>
    <w:rsid w:val="002F675B"/>
    <w:rsid w:val="002F6C10"/>
    <w:rsid w:val="002F6DBB"/>
    <w:rsid w:val="002F6EF8"/>
    <w:rsid w:val="002F701E"/>
    <w:rsid w:val="002F7E90"/>
    <w:rsid w:val="003001AC"/>
    <w:rsid w:val="00302F9F"/>
    <w:rsid w:val="00303EC5"/>
    <w:rsid w:val="00303F05"/>
    <w:rsid w:val="00304386"/>
    <w:rsid w:val="00307469"/>
    <w:rsid w:val="00310915"/>
    <w:rsid w:val="00312164"/>
    <w:rsid w:val="00312203"/>
    <w:rsid w:val="00312A01"/>
    <w:rsid w:val="00312B8F"/>
    <w:rsid w:val="00314DE7"/>
    <w:rsid w:val="00315AB7"/>
    <w:rsid w:val="00321F81"/>
    <w:rsid w:val="00322FD9"/>
    <w:rsid w:val="00323336"/>
    <w:rsid w:val="00326B54"/>
    <w:rsid w:val="0032785E"/>
    <w:rsid w:val="00331B41"/>
    <w:rsid w:val="00332059"/>
    <w:rsid w:val="00332336"/>
    <w:rsid w:val="0033366E"/>
    <w:rsid w:val="00334E97"/>
    <w:rsid w:val="0033718D"/>
    <w:rsid w:val="003373C2"/>
    <w:rsid w:val="003401FE"/>
    <w:rsid w:val="00340A7A"/>
    <w:rsid w:val="00340B66"/>
    <w:rsid w:val="003417F0"/>
    <w:rsid w:val="00341835"/>
    <w:rsid w:val="00341ECA"/>
    <w:rsid w:val="003445AA"/>
    <w:rsid w:val="003446E3"/>
    <w:rsid w:val="00344791"/>
    <w:rsid w:val="003458D4"/>
    <w:rsid w:val="00346578"/>
    <w:rsid w:val="00346ACB"/>
    <w:rsid w:val="00346B9D"/>
    <w:rsid w:val="00346C0A"/>
    <w:rsid w:val="00350A47"/>
    <w:rsid w:val="0035346C"/>
    <w:rsid w:val="003535D2"/>
    <w:rsid w:val="00356B57"/>
    <w:rsid w:val="00357201"/>
    <w:rsid w:val="00360468"/>
    <w:rsid w:val="0036125C"/>
    <w:rsid w:val="003637C4"/>
    <w:rsid w:val="00363D0D"/>
    <w:rsid w:val="003656F2"/>
    <w:rsid w:val="00377CD3"/>
    <w:rsid w:val="00381DFA"/>
    <w:rsid w:val="003825A4"/>
    <w:rsid w:val="00384856"/>
    <w:rsid w:val="00387D0F"/>
    <w:rsid w:val="00390DCF"/>
    <w:rsid w:val="00396821"/>
    <w:rsid w:val="00396A09"/>
    <w:rsid w:val="003A06BB"/>
    <w:rsid w:val="003A2944"/>
    <w:rsid w:val="003A3718"/>
    <w:rsid w:val="003A5040"/>
    <w:rsid w:val="003B0DEF"/>
    <w:rsid w:val="003B6378"/>
    <w:rsid w:val="003B712F"/>
    <w:rsid w:val="003B7185"/>
    <w:rsid w:val="003C01B5"/>
    <w:rsid w:val="003C12E6"/>
    <w:rsid w:val="003C2074"/>
    <w:rsid w:val="003C2C44"/>
    <w:rsid w:val="003C335A"/>
    <w:rsid w:val="003C3ADB"/>
    <w:rsid w:val="003C44F9"/>
    <w:rsid w:val="003C4F6C"/>
    <w:rsid w:val="003C611C"/>
    <w:rsid w:val="003C6749"/>
    <w:rsid w:val="003C6AE8"/>
    <w:rsid w:val="003C702D"/>
    <w:rsid w:val="003C7207"/>
    <w:rsid w:val="003D0670"/>
    <w:rsid w:val="003D0E4A"/>
    <w:rsid w:val="003D0E7D"/>
    <w:rsid w:val="003D11B5"/>
    <w:rsid w:val="003D134C"/>
    <w:rsid w:val="003D3000"/>
    <w:rsid w:val="003D4164"/>
    <w:rsid w:val="003D4BD3"/>
    <w:rsid w:val="003D50C3"/>
    <w:rsid w:val="003D591F"/>
    <w:rsid w:val="003D69A5"/>
    <w:rsid w:val="003D6EC1"/>
    <w:rsid w:val="003D6FFB"/>
    <w:rsid w:val="003E14F9"/>
    <w:rsid w:val="003E3D3D"/>
    <w:rsid w:val="003E44AA"/>
    <w:rsid w:val="003E49B3"/>
    <w:rsid w:val="003E4FB7"/>
    <w:rsid w:val="003E7946"/>
    <w:rsid w:val="003F17D5"/>
    <w:rsid w:val="003F309F"/>
    <w:rsid w:val="003F3119"/>
    <w:rsid w:val="003F4E8A"/>
    <w:rsid w:val="003F6D32"/>
    <w:rsid w:val="004003F2"/>
    <w:rsid w:val="00400466"/>
    <w:rsid w:val="0040085D"/>
    <w:rsid w:val="00403412"/>
    <w:rsid w:val="00407072"/>
    <w:rsid w:val="004077AE"/>
    <w:rsid w:val="00407B6E"/>
    <w:rsid w:val="00411760"/>
    <w:rsid w:val="004161D4"/>
    <w:rsid w:val="0041633C"/>
    <w:rsid w:val="00417723"/>
    <w:rsid w:val="0041784E"/>
    <w:rsid w:val="00417922"/>
    <w:rsid w:val="00417F88"/>
    <w:rsid w:val="004208F0"/>
    <w:rsid w:val="00420BF6"/>
    <w:rsid w:val="004219CA"/>
    <w:rsid w:val="00421EA9"/>
    <w:rsid w:val="00424512"/>
    <w:rsid w:val="004266E5"/>
    <w:rsid w:val="0042703E"/>
    <w:rsid w:val="00430B5A"/>
    <w:rsid w:val="00431C20"/>
    <w:rsid w:val="004344F0"/>
    <w:rsid w:val="00434F58"/>
    <w:rsid w:val="0044207D"/>
    <w:rsid w:val="004429ED"/>
    <w:rsid w:val="004439E2"/>
    <w:rsid w:val="00447FE5"/>
    <w:rsid w:val="00451231"/>
    <w:rsid w:val="004526D3"/>
    <w:rsid w:val="00452C1C"/>
    <w:rsid w:val="00452E90"/>
    <w:rsid w:val="0045419F"/>
    <w:rsid w:val="00456D35"/>
    <w:rsid w:val="00457459"/>
    <w:rsid w:val="00457CF2"/>
    <w:rsid w:val="004604D7"/>
    <w:rsid w:val="00460FAC"/>
    <w:rsid w:val="004610DA"/>
    <w:rsid w:val="004617B8"/>
    <w:rsid w:val="00461E4C"/>
    <w:rsid w:val="00462A87"/>
    <w:rsid w:val="00463CA6"/>
    <w:rsid w:val="00463E5F"/>
    <w:rsid w:val="00464D59"/>
    <w:rsid w:val="0046504E"/>
    <w:rsid w:val="00465195"/>
    <w:rsid w:val="00467002"/>
    <w:rsid w:val="00467620"/>
    <w:rsid w:val="00467C7C"/>
    <w:rsid w:val="00470ECB"/>
    <w:rsid w:val="004758FE"/>
    <w:rsid w:val="00476BF7"/>
    <w:rsid w:val="00476C17"/>
    <w:rsid w:val="004774F6"/>
    <w:rsid w:val="0047796D"/>
    <w:rsid w:val="00477FF1"/>
    <w:rsid w:val="00480836"/>
    <w:rsid w:val="004830C8"/>
    <w:rsid w:val="004830F0"/>
    <w:rsid w:val="004837AB"/>
    <w:rsid w:val="00483A2F"/>
    <w:rsid w:val="004855A3"/>
    <w:rsid w:val="004865F9"/>
    <w:rsid w:val="00490DBF"/>
    <w:rsid w:val="004910BB"/>
    <w:rsid w:val="00491C25"/>
    <w:rsid w:val="00491F16"/>
    <w:rsid w:val="0049357E"/>
    <w:rsid w:val="00494840"/>
    <w:rsid w:val="00495DF2"/>
    <w:rsid w:val="0049739C"/>
    <w:rsid w:val="004A128C"/>
    <w:rsid w:val="004A1C13"/>
    <w:rsid w:val="004A1DD4"/>
    <w:rsid w:val="004A5E27"/>
    <w:rsid w:val="004A5E72"/>
    <w:rsid w:val="004A6EE1"/>
    <w:rsid w:val="004B0107"/>
    <w:rsid w:val="004B07EC"/>
    <w:rsid w:val="004B1BEC"/>
    <w:rsid w:val="004B1BEE"/>
    <w:rsid w:val="004B2AB8"/>
    <w:rsid w:val="004B5B9E"/>
    <w:rsid w:val="004C0463"/>
    <w:rsid w:val="004C0E5D"/>
    <w:rsid w:val="004C3F61"/>
    <w:rsid w:val="004C725D"/>
    <w:rsid w:val="004D05B1"/>
    <w:rsid w:val="004D1293"/>
    <w:rsid w:val="004D1ADE"/>
    <w:rsid w:val="004D770C"/>
    <w:rsid w:val="004E0D21"/>
    <w:rsid w:val="004E1265"/>
    <w:rsid w:val="004E17A8"/>
    <w:rsid w:val="004E1A93"/>
    <w:rsid w:val="004E370E"/>
    <w:rsid w:val="004E7442"/>
    <w:rsid w:val="004E7EAE"/>
    <w:rsid w:val="004F2563"/>
    <w:rsid w:val="004F31BC"/>
    <w:rsid w:val="004F4387"/>
    <w:rsid w:val="004F4A4D"/>
    <w:rsid w:val="004F5D59"/>
    <w:rsid w:val="004F6F82"/>
    <w:rsid w:val="005000FC"/>
    <w:rsid w:val="00502957"/>
    <w:rsid w:val="00502EBB"/>
    <w:rsid w:val="00510BF5"/>
    <w:rsid w:val="00510EDC"/>
    <w:rsid w:val="0051290F"/>
    <w:rsid w:val="00513233"/>
    <w:rsid w:val="005145FB"/>
    <w:rsid w:val="005148D1"/>
    <w:rsid w:val="00515597"/>
    <w:rsid w:val="00515DA2"/>
    <w:rsid w:val="005204A7"/>
    <w:rsid w:val="00521BA7"/>
    <w:rsid w:val="005227FC"/>
    <w:rsid w:val="005237BA"/>
    <w:rsid w:val="00524924"/>
    <w:rsid w:val="00524F94"/>
    <w:rsid w:val="005252E2"/>
    <w:rsid w:val="005268CB"/>
    <w:rsid w:val="00530C01"/>
    <w:rsid w:val="0053325A"/>
    <w:rsid w:val="00535C6F"/>
    <w:rsid w:val="00535D5D"/>
    <w:rsid w:val="005379AD"/>
    <w:rsid w:val="00542236"/>
    <w:rsid w:val="005455D7"/>
    <w:rsid w:val="0054595C"/>
    <w:rsid w:val="00546341"/>
    <w:rsid w:val="00546920"/>
    <w:rsid w:val="00546A42"/>
    <w:rsid w:val="0054785D"/>
    <w:rsid w:val="005505C3"/>
    <w:rsid w:val="005511D5"/>
    <w:rsid w:val="00552A39"/>
    <w:rsid w:val="00552C4D"/>
    <w:rsid w:val="0055492B"/>
    <w:rsid w:val="00554A31"/>
    <w:rsid w:val="005604A7"/>
    <w:rsid w:val="005609D5"/>
    <w:rsid w:val="00563974"/>
    <w:rsid w:val="005678B1"/>
    <w:rsid w:val="005716A8"/>
    <w:rsid w:val="005725CA"/>
    <w:rsid w:val="005727F6"/>
    <w:rsid w:val="00574162"/>
    <w:rsid w:val="00575DC6"/>
    <w:rsid w:val="00575FF2"/>
    <w:rsid w:val="005760C8"/>
    <w:rsid w:val="00577CD4"/>
    <w:rsid w:val="00577D24"/>
    <w:rsid w:val="00580163"/>
    <w:rsid w:val="005820AB"/>
    <w:rsid w:val="005838F8"/>
    <w:rsid w:val="00585FB5"/>
    <w:rsid w:val="005908C0"/>
    <w:rsid w:val="00590EE1"/>
    <w:rsid w:val="00591586"/>
    <w:rsid w:val="00592878"/>
    <w:rsid w:val="005929DC"/>
    <w:rsid w:val="00592DB1"/>
    <w:rsid w:val="00593BBC"/>
    <w:rsid w:val="00595363"/>
    <w:rsid w:val="00595A2B"/>
    <w:rsid w:val="005976C5"/>
    <w:rsid w:val="005A006F"/>
    <w:rsid w:val="005A10A9"/>
    <w:rsid w:val="005A17D2"/>
    <w:rsid w:val="005A1EB0"/>
    <w:rsid w:val="005A3C39"/>
    <w:rsid w:val="005A5E4A"/>
    <w:rsid w:val="005A7787"/>
    <w:rsid w:val="005A7E8F"/>
    <w:rsid w:val="005B04FB"/>
    <w:rsid w:val="005B5766"/>
    <w:rsid w:val="005B7357"/>
    <w:rsid w:val="005B7373"/>
    <w:rsid w:val="005B77BE"/>
    <w:rsid w:val="005B7A4C"/>
    <w:rsid w:val="005C0309"/>
    <w:rsid w:val="005C1D36"/>
    <w:rsid w:val="005C5055"/>
    <w:rsid w:val="005C5B7C"/>
    <w:rsid w:val="005C5CFB"/>
    <w:rsid w:val="005C6272"/>
    <w:rsid w:val="005C673B"/>
    <w:rsid w:val="005D12B4"/>
    <w:rsid w:val="005D1E09"/>
    <w:rsid w:val="005D284B"/>
    <w:rsid w:val="005D4CDB"/>
    <w:rsid w:val="005D5105"/>
    <w:rsid w:val="005E1FA3"/>
    <w:rsid w:val="005E247C"/>
    <w:rsid w:val="005E2E13"/>
    <w:rsid w:val="005E3D4F"/>
    <w:rsid w:val="005E5E63"/>
    <w:rsid w:val="005E6397"/>
    <w:rsid w:val="005E7BBC"/>
    <w:rsid w:val="005F029C"/>
    <w:rsid w:val="005F08FA"/>
    <w:rsid w:val="005F12C4"/>
    <w:rsid w:val="005F16DD"/>
    <w:rsid w:val="005F19B1"/>
    <w:rsid w:val="005F3319"/>
    <w:rsid w:val="005F42ED"/>
    <w:rsid w:val="005F4324"/>
    <w:rsid w:val="005F4477"/>
    <w:rsid w:val="005F50DD"/>
    <w:rsid w:val="005F5D19"/>
    <w:rsid w:val="005F65B9"/>
    <w:rsid w:val="005F6CBF"/>
    <w:rsid w:val="006005BB"/>
    <w:rsid w:val="006005DC"/>
    <w:rsid w:val="00600E42"/>
    <w:rsid w:val="006012B8"/>
    <w:rsid w:val="0060138D"/>
    <w:rsid w:val="006018AA"/>
    <w:rsid w:val="00603C7F"/>
    <w:rsid w:val="00603CAA"/>
    <w:rsid w:val="00604CF2"/>
    <w:rsid w:val="006100F4"/>
    <w:rsid w:val="0061104C"/>
    <w:rsid w:val="00611C06"/>
    <w:rsid w:val="00612D14"/>
    <w:rsid w:val="00612D4B"/>
    <w:rsid w:val="006135E6"/>
    <w:rsid w:val="00614771"/>
    <w:rsid w:val="0061558D"/>
    <w:rsid w:val="0061747D"/>
    <w:rsid w:val="00617940"/>
    <w:rsid w:val="00623899"/>
    <w:rsid w:val="006246B7"/>
    <w:rsid w:val="006253B7"/>
    <w:rsid w:val="00625567"/>
    <w:rsid w:val="006276B8"/>
    <w:rsid w:val="00632E10"/>
    <w:rsid w:val="00632EA5"/>
    <w:rsid w:val="00635CBC"/>
    <w:rsid w:val="00637F5E"/>
    <w:rsid w:val="00641A0C"/>
    <w:rsid w:val="006437B9"/>
    <w:rsid w:val="00644F52"/>
    <w:rsid w:val="00645FCF"/>
    <w:rsid w:val="0064635E"/>
    <w:rsid w:val="006517C3"/>
    <w:rsid w:val="006520A9"/>
    <w:rsid w:val="006525FD"/>
    <w:rsid w:val="00653401"/>
    <w:rsid w:val="00653B17"/>
    <w:rsid w:val="00654483"/>
    <w:rsid w:val="00655EAE"/>
    <w:rsid w:val="006563B5"/>
    <w:rsid w:val="0065701C"/>
    <w:rsid w:val="00660495"/>
    <w:rsid w:val="006604A6"/>
    <w:rsid w:val="00662792"/>
    <w:rsid w:val="00664620"/>
    <w:rsid w:val="00664EDD"/>
    <w:rsid w:val="00666E8C"/>
    <w:rsid w:val="00667243"/>
    <w:rsid w:val="00667868"/>
    <w:rsid w:val="00670FBC"/>
    <w:rsid w:val="00671B54"/>
    <w:rsid w:val="0067265E"/>
    <w:rsid w:val="00673DB8"/>
    <w:rsid w:val="00673E73"/>
    <w:rsid w:val="00674BC1"/>
    <w:rsid w:val="00674F46"/>
    <w:rsid w:val="006754AC"/>
    <w:rsid w:val="00675BFE"/>
    <w:rsid w:val="00675E0A"/>
    <w:rsid w:val="00676722"/>
    <w:rsid w:val="0067691D"/>
    <w:rsid w:val="00677C90"/>
    <w:rsid w:val="006818B6"/>
    <w:rsid w:val="006824B8"/>
    <w:rsid w:val="0068288E"/>
    <w:rsid w:val="00682C32"/>
    <w:rsid w:val="006832D2"/>
    <w:rsid w:val="006836B1"/>
    <w:rsid w:val="00683DC0"/>
    <w:rsid w:val="006843B8"/>
    <w:rsid w:val="006852EB"/>
    <w:rsid w:val="00685A29"/>
    <w:rsid w:val="00687167"/>
    <w:rsid w:val="006929BA"/>
    <w:rsid w:val="00692ABF"/>
    <w:rsid w:val="00692BBD"/>
    <w:rsid w:val="00693313"/>
    <w:rsid w:val="0069332A"/>
    <w:rsid w:val="00694209"/>
    <w:rsid w:val="00697056"/>
    <w:rsid w:val="00697718"/>
    <w:rsid w:val="00697A99"/>
    <w:rsid w:val="006A1226"/>
    <w:rsid w:val="006A172E"/>
    <w:rsid w:val="006A2035"/>
    <w:rsid w:val="006A2DDA"/>
    <w:rsid w:val="006A3329"/>
    <w:rsid w:val="006A35E4"/>
    <w:rsid w:val="006A6F12"/>
    <w:rsid w:val="006A7743"/>
    <w:rsid w:val="006A7E26"/>
    <w:rsid w:val="006B13E2"/>
    <w:rsid w:val="006B150B"/>
    <w:rsid w:val="006B1785"/>
    <w:rsid w:val="006B317D"/>
    <w:rsid w:val="006B45AB"/>
    <w:rsid w:val="006B67E2"/>
    <w:rsid w:val="006B6C6A"/>
    <w:rsid w:val="006B7F25"/>
    <w:rsid w:val="006C15D5"/>
    <w:rsid w:val="006C1C02"/>
    <w:rsid w:val="006C234F"/>
    <w:rsid w:val="006C2D0C"/>
    <w:rsid w:val="006C31B0"/>
    <w:rsid w:val="006C375B"/>
    <w:rsid w:val="006C3D0C"/>
    <w:rsid w:val="006C53D0"/>
    <w:rsid w:val="006C58E0"/>
    <w:rsid w:val="006C5955"/>
    <w:rsid w:val="006C5EBD"/>
    <w:rsid w:val="006D0131"/>
    <w:rsid w:val="006D12BD"/>
    <w:rsid w:val="006D1375"/>
    <w:rsid w:val="006D1691"/>
    <w:rsid w:val="006D2335"/>
    <w:rsid w:val="006D2BE9"/>
    <w:rsid w:val="006D3570"/>
    <w:rsid w:val="006D3624"/>
    <w:rsid w:val="006D39A8"/>
    <w:rsid w:val="006D4391"/>
    <w:rsid w:val="006D519D"/>
    <w:rsid w:val="006D7067"/>
    <w:rsid w:val="006D71C0"/>
    <w:rsid w:val="006E0BE4"/>
    <w:rsid w:val="006E13EF"/>
    <w:rsid w:val="006E15EC"/>
    <w:rsid w:val="006E20AA"/>
    <w:rsid w:val="006E3902"/>
    <w:rsid w:val="006E4EE7"/>
    <w:rsid w:val="006E65C2"/>
    <w:rsid w:val="006E6D5D"/>
    <w:rsid w:val="006E7418"/>
    <w:rsid w:val="006F15B4"/>
    <w:rsid w:val="006F248F"/>
    <w:rsid w:val="006F2503"/>
    <w:rsid w:val="006F31BC"/>
    <w:rsid w:val="006F3802"/>
    <w:rsid w:val="006F39D0"/>
    <w:rsid w:val="006F39EF"/>
    <w:rsid w:val="006F3B66"/>
    <w:rsid w:val="006F3FF9"/>
    <w:rsid w:val="006F4E05"/>
    <w:rsid w:val="006F4E88"/>
    <w:rsid w:val="006F64D1"/>
    <w:rsid w:val="006F661B"/>
    <w:rsid w:val="006F7746"/>
    <w:rsid w:val="007005EA"/>
    <w:rsid w:val="00700E33"/>
    <w:rsid w:val="00702DAA"/>
    <w:rsid w:val="0070582B"/>
    <w:rsid w:val="007066FB"/>
    <w:rsid w:val="00707A9D"/>
    <w:rsid w:val="00710FD2"/>
    <w:rsid w:val="00711157"/>
    <w:rsid w:val="007119E2"/>
    <w:rsid w:val="00714800"/>
    <w:rsid w:val="007154DA"/>
    <w:rsid w:val="00715B7E"/>
    <w:rsid w:val="00715F0D"/>
    <w:rsid w:val="00717930"/>
    <w:rsid w:val="00720A28"/>
    <w:rsid w:val="0072152F"/>
    <w:rsid w:val="00721C21"/>
    <w:rsid w:val="00721CAF"/>
    <w:rsid w:val="007229FD"/>
    <w:rsid w:val="007232CA"/>
    <w:rsid w:val="00726DD0"/>
    <w:rsid w:val="00730CDB"/>
    <w:rsid w:val="007323E9"/>
    <w:rsid w:val="00733B55"/>
    <w:rsid w:val="00736945"/>
    <w:rsid w:val="00736C89"/>
    <w:rsid w:val="00741408"/>
    <w:rsid w:val="00741707"/>
    <w:rsid w:val="0074177D"/>
    <w:rsid w:val="00741965"/>
    <w:rsid w:val="00742ADC"/>
    <w:rsid w:val="0074421C"/>
    <w:rsid w:val="00745744"/>
    <w:rsid w:val="00745A21"/>
    <w:rsid w:val="007464B2"/>
    <w:rsid w:val="00746876"/>
    <w:rsid w:val="0075032A"/>
    <w:rsid w:val="00750C12"/>
    <w:rsid w:val="00752A7D"/>
    <w:rsid w:val="00754433"/>
    <w:rsid w:val="00755996"/>
    <w:rsid w:val="0075749C"/>
    <w:rsid w:val="00760606"/>
    <w:rsid w:val="00763652"/>
    <w:rsid w:val="00763A36"/>
    <w:rsid w:val="00764602"/>
    <w:rsid w:val="00764BF7"/>
    <w:rsid w:val="00764EA5"/>
    <w:rsid w:val="007650D8"/>
    <w:rsid w:val="00766030"/>
    <w:rsid w:val="00766CBE"/>
    <w:rsid w:val="00767B80"/>
    <w:rsid w:val="00767E9A"/>
    <w:rsid w:val="00770D7D"/>
    <w:rsid w:val="00770E2C"/>
    <w:rsid w:val="00771030"/>
    <w:rsid w:val="00772497"/>
    <w:rsid w:val="00774197"/>
    <w:rsid w:val="007745AE"/>
    <w:rsid w:val="007754C3"/>
    <w:rsid w:val="0077638E"/>
    <w:rsid w:val="007768FE"/>
    <w:rsid w:val="00780C18"/>
    <w:rsid w:val="00787284"/>
    <w:rsid w:val="007902C3"/>
    <w:rsid w:val="00790BB8"/>
    <w:rsid w:val="00791377"/>
    <w:rsid w:val="007915BB"/>
    <w:rsid w:val="00792251"/>
    <w:rsid w:val="00795C86"/>
    <w:rsid w:val="007A01A1"/>
    <w:rsid w:val="007A0B25"/>
    <w:rsid w:val="007A2E39"/>
    <w:rsid w:val="007A3166"/>
    <w:rsid w:val="007A45E7"/>
    <w:rsid w:val="007A5D42"/>
    <w:rsid w:val="007A7263"/>
    <w:rsid w:val="007A73BE"/>
    <w:rsid w:val="007A7657"/>
    <w:rsid w:val="007B110B"/>
    <w:rsid w:val="007B1754"/>
    <w:rsid w:val="007B29A8"/>
    <w:rsid w:val="007B2BD2"/>
    <w:rsid w:val="007B4AAA"/>
    <w:rsid w:val="007C3EFB"/>
    <w:rsid w:val="007C6431"/>
    <w:rsid w:val="007C654E"/>
    <w:rsid w:val="007C6894"/>
    <w:rsid w:val="007D02F0"/>
    <w:rsid w:val="007D3035"/>
    <w:rsid w:val="007D35C4"/>
    <w:rsid w:val="007D3B8C"/>
    <w:rsid w:val="007D4B50"/>
    <w:rsid w:val="007D5652"/>
    <w:rsid w:val="007D57EF"/>
    <w:rsid w:val="007D6205"/>
    <w:rsid w:val="007D62C7"/>
    <w:rsid w:val="007D6B53"/>
    <w:rsid w:val="007D6D97"/>
    <w:rsid w:val="007E001D"/>
    <w:rsid w:val="007E6B89"/>
    <w:rsid w:val="007F0F42"/>
    <w:rsid w:val="007F1B9C"/>
    <w:rsid w:val="007F2142"/>
    <w:rsid w:val="007F3777"/>
    <w:rsid w:val="007F5F0C"/>
    <w:rsid w:val="007F6028"/>
    <w:rsid w:val="007F63BA"/>
    <w:rsid w:val="007F70C4"/>
    <w:rsid w:val="007F7AC6"/>
    <w:rsid w:val="008007EE"/>
    <w:rsid w:val="008012DE"/>
    <w:rsid w:val="00803061"/>
    <w:rsid w:val="008057D4"/>
    <w:rsid w:val="00807EEE"/>
    <w:rsid w:val="008103E9"/>
    <w:rsid w:val="00811110"/>
    <w:rsid w:val="00811DAC"/>
    <w:rsid w:val="0081329F"/>
    <w:rsid w:val="00813465"/>
    <w:rsid w:val="008135F4"/>
    <w:rsid w:val="00813893"/>
    <w:rsid w:val="00813976"/>
    <w:rsid w:val="00813F60"/>
    <w:rsid w:val="00814330"/>
    <w:rsid w:val="0081594A"/>
    <w:rsid w:val="0082266E"/>
    <w:rsid w:val="008234E2"/>
    <w:rsid w:val="00823927"/>
    <w:rsid w:val="00824361"/>
    <w:rsid w:val="008250B0"/>
    <w:rsid w:val="00825FD3"/>
    <w:rsid w:val="00826793"/>
    <w:rsid w:val="0083146F"/>
    <w:rsid w:val="008327EE"/>
    <w:rsid w:val="00833F8E"/>
    <w:rsid w:val="00834AA0"/>
    <w:rsid w:val="0083539E"/>
    <w:rsid w:val="00836E22"/>
    <w:rsid w:val="00836E71"/>
    <w:rsid w:val="00837EBE"/>
    <w:rsid w:val="00840396"/>
    <w:rsid w:val="00842E74"/>
    <w:rsid w:val="00843BE5"/>
    <w:rsid w:val="00843E78"/>
    <w:rsid w:val="00844E88"/>
    <w:rsid w:val="00845416"/>
    <w:rsid w:val="00845774"/>
    <w:rsid w:val="00852D21"/>
    <w:rsid w:val="008532D8"/>
    <w:rsid w:val="008535C9"/>
    <w:rsid w:val="008543FB"/>
    <w:rsid w:val="008544EE"/>
    <w:rsid w:val="008546FE"/>
    <w:rsid w:val="00854F21"/>
    <w:rsid w:val="008561E0"/>
    <w:rsid w:val="00856B64"/>
    <w:rsid w:val="00860A39"/>
    <w:rsid w:val="0086177D"/>
    <w:rsid w:val="00862463"/>
    <w:rsid w:val="00863DD9"/>
    <w:rsid w:val="00865110"/>
    <w:rsid w:val="00865960"/>
    <w:rsid w:val="00866446"/>
    <w:rsid w:val="008665FF"/>
    <w:rsid w:val="0086741B"/>
    <w:rsid w:val="008675EC"/>
    <w:rsid w:val="00867CD2"/>
    <w:rsid w:val="00870933"/>
    <w:rsid w:val="00870B16"/>
    <w:rsid w:val="00870E92"/>
    <w:rsid w:val="0087112F"/>
    <w:rsid w:val="00871568"/>
    <w:rsid w:val="00872D25"/>
    <w:rsid w:val="00874E17"/>
    <w:rsid w:val="0087510D"/>
    <w:rsid w:val="00876A87"/>
    <w:rsid w:val="0087712D"/>
    <w:rsid w:val="00880A60"/>
    <w:rsid w:val="00881CD2"/>
    <w:rsid w:val="00882A05"/>
    <w:rsid w:val="00884103"/>
    <w:rsid w:val="00885C88"/>
    <w:rsid w:val="00886E66"/>
    <w:rsid w:val="00886F29"/>
    <w:rsid w:val="00887704"/>
    <w:rsid w:val="00887A55"/>
    <w:rsid w:val="00887AE5"/>
    <w:rsid w:val="00890B23"/>
    <w:rsid w:val="008917A3"/>
    <w:rsid w:val="00891984"/>
    <w:rsid w:val="00891A49"/>
    <w:rsid w:val="0089219C"/>
    <w:rsid w:val="00892CC1"/>
    <w:rsid w:val="0089319F"/>
    <w:rsid w:val="008979E1"/>
    <w:rsid w:val="00897DAB"/>
    <w:rsid w:val="008A0633"/>
    <w:rsid w:val="008A275F"/>
    <w:rsid w:val="008A3386"/>
    <w:rsid w:val="008A53F2"/>
    <w:rsid w:val="008A5766"/>
    <w:rsid w:val="008B09B1"/>
    <w:rsid w:val="008B4658"/>
    <w:rsid w:val="008B6430"/>
    <w:rsid w:val="008B66F0"/>
    <w:rsid w:val="008B727C"/>
    <w:rsid w:val="008B7A53"/>
    <w:rsid w:val="008C24B6"/>
    <w:rsid w:val="008C3ACC"/>
    <w:rsid w:val="008C3FB6"/>
    <w:rsid w:val="008C487C"/>
    <w:rsid w:val="008C4C28"/>
    <w:rsid w:val="008D11E3"/>
    <w:rsid w:val="008D20F8"/>
    <w:rsid w:val="008D28AD"/>
    <w:rsid w:val="008D28DA"/>
    <w:rsid w:val="008D2E03"/>
    <w:rsid w:val="008D3473"/>
    <w:rsid w:val="008D4167"/>
    <w:rsid w:val="008D539C"/>
    <w:rsid w:val="008D575A"/>
    <w:rsid w:val="008D58AE"/>
    <w:rsid w:val="008D66AC"/>
    <w:rsid w:val="008D7A9D"/>
    <w:rsid w:val="008E034E"/>
    <w:rsid w:val="008E038F"/>
    <w:rsid w:val="008E0FCC"/>
    <w:rsid w:val="008E21A3"/>
    <w:rsid w:val="008E2C56"/>
    <w:rsid w:val="008E2FE3"/>
    <w:rsid w:val="008E3012"/>
    <w:rsid w:val="008E4AD1"/>
    <w:rsid w:val="008E54E3"/>
    <w:rsid w:val="008E5698"/>
    <w:rsid w:val="008E5F34"/>
    <w:rsid w:val="008E63A1"/>
    <w:rsid w:val="008E6B88"/>
    <w:rsid w:val="008E7D3F"/>
    <w:rsid w:val="008F00CF"/>
    <w:rsid w:val="008F0E10"/>
    <w:rsid w:val="008F2267"/>
    <w:rsid w:val="008F2837"/>
    <w:rsid w:val="008F2F63"/>
    <w:rsid w:val="008F3011"/>
    <w:rsid w:val="008F3EE2"/>
    <w:rsid w:val="008F4B08"/>
    <w:rsid w:val="008F51F6"/>
    <w:rsid w:val="008F5D4C"/>
    <w:rsid w:val="008F6030"/>
    <w:rsid w:val="008F67FD"/>
    <w:rsid w:val="008F6D40"/>
    <w:rsid w:val="009008B3"/>
    <w:rsid w:val="00900A01"/>
    <w:rsid w:val="00903844"/>
    <w:rsid w:val="00903E02"/>
    <w:rsid w:val="00904226"/>
    <w:rsid w:val="00905A7E"/>
    <w:rsid w:val="00905B18"/>
    <w:rsid w:val="00905B2F"/>
    <w:rsid w:val="00906DB5"/>
    <w:rsid w:val="009113DE"/>
    <w:rsid w:val="00911EA3"/>
    <w:rsid w:val="00916912"/>
    <w:rsid w:val="00917B15"/>
    <w:rsid w:val="009211CB"/>
    <w:rsid w:val="009231E0"/>
    <w:rsid w:val="00923548"/>
    <w:rsid w:val="00923B70"/>
    <w:rsid w:val="00925293"/>
    <w:rsid w:val="00926241"/>
    <w:rsid w:val="00926A61"/>
    <w:rsid w:val="00926B0D"/>
    <w:rsid w:val="00926B22"/>
    <w:rsid w:val="00927C8F"/>
    <w:rsid w:val="009300D6"/>
    <w:rsid w:val="00930B6C"/>
    <w:rsid w:val="00930DE9"/>
    <w:rsid w:val="00930E4B"/>
    <w:rsid w:val="00931485"/>
    <w:rsid w:val="00937277"/>
    <w:rsid w:val="00942C91"/>
    <w:rsid w:val="00942E45"/>
    <w:rsid w:val="009436DA"/>
    <w:rsid w:val="00943862"/>
    <w:rsid w:val="00943FB9"/>
    <w:rsid w:val="0094508D"/>
    <w:rsid w:val="00945F32"/>
    <w:rsid w:val="00946E85"/>
    <w:rsid w:val="0094787E"/>
    <w:rsid w:val="00947C5C"/>
    <w:rsid w:val="009506A7"/>
    <w:rsid w:val="00950763"/>
    <w:rsid w:val="0095113A"/>
    <w:rsid w:val="00952C49"/>
    <w:rsid w:val="00952E50"/>
    <w:rsid w:val="00954CF5"/>
    <w:rsid w:val="00955598"/>
    <w:rsid w:val="00955D20"/>
    <w:rsid w:val="009565F3"/>
    <w:rsid w:val="00956630"/>
    <w:rsid w:val="009605FA"/>
    <w:rsid w:val="0096368F"/>
    <w:rsid w:val="009646AE"/>
    <w:rsid w:val="00964883"/>
    <w:rsid w:val="0096646C"/>
    <w:rsid w:val="00966A37"/>
    <w:rsid w:val="00967230"/>
    <w:rsid w:val="00967BCD"/>
    <w:rsid w:val="00970176"/>
    <w:rsid w:val="00972087"/>
    <w:rsid w:val="00972C13"/>
    <w:rsid w:val="0097420F"/>
    <w:rsid w:val="0097456D"/>
    <w:rsid w:val="00974634"/>
    <w:rsid w:val="00974A47"/>
    <w:rsid w:val="00976BF4"/>
    <w:rsid w:val="00980920"/>
    <w:rsid w:val="009812D7"/>
    <w:rsid w:val="00982E99"/>
    <w:rsid w:val="009841EF"/>
    <w:rsid w:val="00984BD3"/>
    <w:rsid w:val="00990391"/>
    <w:rsid w:val="00992151"/>
    <w:rsid w:val="00992422"/>
    <w:rsid w:val="009947D1"/>
    <w:rsid w:val="00994B40"/>
    <w:rsid w:val="00996159"/>
    <w:rsid w:val="009961B3"/>
    <w:rsid w:val="00996849"/>
    <w:rsid w:val="009A12B9"/>
    <w:rsid w:val="009A3AC9"/>
    <w:rsid w:val="009A3C25"/>
    <w:rsid w:val="009A4BF0"/>
    <w:rsid w:val="009A5714"/>
    <w:rsid w:val="009A5DA7"/>
    <w:rsid w:val="009B1AEC"/>
    <w:rsid w:val="009B2484"/>
    <w:rsid w:val="009B2E1A"/>
    <w:rsid w:val="009B326F"/>
    <w:rsid w:val="009B4506"/>
    <w:rsid w:val="009B65A2"/>
    <w:rsid w:val="009B7329"/>
    <w:rsid w:val="009B78F8"/>
    <w:rsid w:val="009C00FA"/>
    <w:rsid w:val="009C0F6B"/>
    <w:rsid w:val="009C1D68"/>
    <w:rsid w:val="009C1FFE"/>
    <w:rsid w:val="009C27A9"/>
    <w:rsid w:val="009C3485"/>
    <w:rsid w:val="009C5D2B"/>
    <w:rsid w:val="009C67E9"/>
    <w:rsid w:val="009C68EF"/>
    <w:rsid w:val="009C6F83"/>
    <w:rsid w:val="009C7248"/>
    <w:rsid w:val="009D11B7"/>
    <w:rsid w:val="009D16ED"/>
    <w:rsid w:val="009D1D57"/>
    <w:rsid w:val="009D4F8F"/>
    <w:rsid w:val="009D79AA"/>
    <w:rsid w:val="009E2544"/>
    <w:rsid w:val="009E2770"/>
    <w:rsid w:val="009E467C"/>
    <w:rsid w:val="009E4710"/>
    <w:rsid w:val="009E4A43"/>
    <w:rsid w:val="009E4CE2"/>
    <w:rsid w:val="009E6225"/>
    <w:rsid w:val="009F0069"/>
    <w:rsid w:val="009F2056"/>
    <w:rsid w:val="009F2261"/>
    <w:rsid w:val="009F2933"/>
    <w:rsid w:val="009F3537"/>
    <w:rsid w:val="009F43F4"/>
    <w:rsid w:val="009F5A22"/>
    <w:rsid w:val="009F6ADC"/>
    <w:rsid w:val="009F78A4"/>
    <w:rsid w:val="009F796E"/>
    <w:rsid w:val="00A00D59"/>
    <w:rsid w:val="00A019A5"/>
    <w:rsid w:val="00A032F8"/>
    <w:rsid w:val="00A03858"/>
    <w:rsid w:val="00A04A6A"/>
    <w:rsid w:val="00A10347"/>
    <w:rsid w:val="00A12DBA"/>
    <w:rsid w:val="00A13B60"/>
    <w:rsid w:val="00A148CF"/>
    <w:rsid w:val="00A14C36"/>
    <w:rsid w:val="00A15390"/>
    <w:rsid w:val="00A1541C"/>
    <w:rsid w:val="00A158AB"/>
    <w:rsid w:val="00A2450A"/>
    <w:rsid w:val="00A24DBA"/>
    <w:rsid w:val="00A24F53"/>
    <w:rsid w:val="00A25657"/>
    <w:rsid w:val="00A262AF"/>
    <w:rsid w:val="00A304BE"/>
    <w:rsid w:val="00A329B6"/>
    <w:rsid w:val="00A367A1"/>
    <w:rsid w:val="00A37E67"/>
    <w:rsid w:val="00A40178"/>
    <w:rsid w:val="00A415D2"/>
    <w:rsid w:val="00A44EF8"/>
    <w:rsid w:val="00A460BA"/>
    <w:rsid w:val="00A46CF8"/>
    <w:rsid w:val="00A46FE1"/>
    <w:rsid w:val="00A47022"/>
    <w:rsid w:val="00A4744F"/>
    <w:rsid w:val="00A510F6"/>
    <w:rsid w:val="00A54828"/>
    <w:rsid w:val="00A55BF1"/>
    <w:rsid w:val="00A57F74"/>
    <w:rsid w:val="00A57F88"/>
    <w:rsid w:val="00A61A04"/>
    <w:rsid w:val="00A62588"/>
    <w:rsid w:val="00A627B3"/>
    <w:rsid w:val="00A648E0"/>
    <w:rsid w:val="00A651C9"/>
    <w:rsid w:val="00A66937"/>
    <w:rsid w:val="00A67D0F"/>
    <w:rsid w:val="00A67EB8"/>
    <w:rsid w:val="00A70E2D"/>
    <w:rsid w:val="00A71723"/>
    <w:rsid w:val="00A73161"/>
    <w:rsid w:val="00A740E7"/>
    <w:rsid w:val="00A74621"/>
    <w:rsid w:val="00A74B63"/>
    <w:rsid w:val="00A762F4"/>
    <w:rsid w:val="00A767EC"/>
    <w:rsid w:val="00A80739"/>
    <w:rsid w:val="00A83829"/>
    <w:rsid w:val="00A83FCC"/>
    <w:rsid w:val="00A862C0"/>
    <w:rsid w:val="00A862CB"/>
    <w:rsid w:val="00A87EE1"/>
    <w:rsid w:val="00A9000F"/>
    <w:rsid w:val="00A906FE"/>
    <w:rsid w:val="00A91A20"/>
    <w:rsid w:val="00A9229F"/>
    <w:rsid w:val="00A944AC"/>
    <w:rsid w:val="00A94D81"/>
    <w:rsid w:val="00A95100"/>
    <w:rsid w:val="00A97A15"/>
    <w:rsid w:val="00AA0652"/>
    <w:rsid w:val="00AA1162"/>
    <w:rsid w:val="00AA2812"/>
    <w:rsid w:val="00AA2A39"/>
    <w:rsid w:val="00AA2C16"/>
    <w:rsid w:val="00AA47C5"/>
    <w:rsid w:val="00AA501F"/>
    <w:rsid w:val="00AA5AEE"/>
    <w:rsid w:val="00AA615B"/>
    <w:rsid w:val="00AA6272"/>
    <w:rsid w:val="00AB0DED"/>
    <w:rsid w:val="00AB14AB"/>
    <w:rsid w:val="00AB45BD"/>
    <w:rsid w:val="00AB5263"/>
    <w:rsid w:val="00AB57D3"/>
    <w:rsid w:val="00AC0C81"/>
    <w:rsid w:val="00AC1B48"/>
    <w:rsid w:val="00AC29D6"/>
    <w:rsid w:val="00AC3DCF"/>
    <w:rsid w:val="00AC43E7"/>
    <w:rsid w:val="00AC5D46"/>
    <w:rsid w:val="00AC69F6"/>
    <w:rsid w:val="00AD0F2A"/>
    <w:rsid w:val="00AD1E1B"/>
    <w:rsid w:val="00AD2C29"/>
    <w:rsid w:val="00AD4BD5"/>
    <w:rsid w:val="00AD54C3"/>
    <w:rsid w:val="00AD6339"/>
    <w:rsid w:val="00AD7725"/>
    <w:rsid w:val="00AE0018"/>
    <w:rsid w:val="00AE00EC"/>
    <w:rsid w:val="00AE0522"/>
    <w:rsid w:val="00AE1FDC"/>
    <w:rsid w:val="00AE37DB"/>
    <w:rsid w:val="00AE668A"/>
    <w:rsid w:val="00AE6858"/>
    <w:rsid w:val="00AE689C"/>
    <w:rsid w:val="00AE6AA3"/>
    <w:rsid w:val="00AE7EF0"/>
    <w:rsid w:val="00AF0A55"/>
    <w:rsid w:val="00AF2EFF"/>
    <w:rsid w:val="00AF3236"/>
    <w:rsid w:val="00AF387F"/>
    <w:rsid w:val="00AF41B6"/>
    <w:rsid w:val="00AF497F"/>
    <w:rsid w:val="00AF535F"/>
    <w:rsid w:val="00AF5C62"/>
    <w:rsid w:val="00AF633E"/>
    <w:rsid w:val="00AF643C"/>
    <w:rsid w:val="00AF6B2F"/>
    <w:rsid w:val="00AF7270"/>
    <w:rsid w:val="00AF727E"/>
    <w:rsid w:val="00B00055"/>
    <w:rsid w:val="00B04C69"/>
    <w:rsid w:val="00B07013"/>
    <w:rsid w:val="00B10490"/>
    <w:rsid w:val="00B1075A"/>
    <w:rsid w:val="00B11F92"/>
    <w:rsid w:val="00B120A7"/>
    <w:rsid w:val="00B13C71"/>
    <w:rsid w:val="00B14450"/>
    <w:rsid w:val="00B15460"/>
    <w:rsid w:val="00B1586E"/>
    <w:rsid w:val="00B16AAC"/>
    <w:rsid w:val="00B17BC5"/>
    <w:rsid w:val="00B2045A"/>
    <w:rsid w:val="00B20582"/>
    <w:rsid w:val="00B2158C"/>
    <w:rsid w:val="00B217CA"/>
    <w:rsid w:val="00B22526"/>
    <w:rsid w:val="00B24E57"/>
    <w:rsid w:val="00B26584"/>
    <w:rsid w:val="00B302D7"/>
    <w:rsid w:val="00B30A67"/>
    <w:rsid w:val="00B30D96"/>
    <w:rsid w:val="00B336AC"/>
    <w:rsid w:val="00B34281"/>
    <w:rsid w:val="00B3678E"/>
    <w:rsid w:val="00B3795F"/>
    <w:rsid w:val="00B4135D"/>
    <w:rsid w:val="00B42262"/>
    <w:rsid w:val="00B425E4"/>
    <w:rsid w:val="00B42B2C"/>
    <w:rsid w:val="00B459BE"/>
    <w:rsid w:val="00B459C9"/>
    <w:rsid w:val="00B5123E"/>
    <w:rsid w:val="00B51B58"/>
    <w:rsid w:val="00B522C4"/>
    <w:rsid w:val="00B52B0E"/>
    <w:rsid w:val="00B52FDB"/>
    <w:rsid w:val="00B5337D"/>
    <w:rsid w:val="00B533F4"/>
    <w:rsid w:val="00B53C2E"/>
    <w:rsid w:val="00B54444"/>
    <w:rsid w:val="00B566A4"/>
    <w:rsid w:val="00B56F23"/>
    <w:rsid w:val="00B57FC4"/>
    <w:rsid w:val="00B600E1"/>
    <w:rsid w:val="00B604F8"/>
    <w:rsid w:val="00B61D4A"/>
    <w:rsid w:val="00B62BEA"/>
    <w:rsid w:val="00B63732"/>
    <w:rsid w:val="00B64B90"/>
    <w:rsid w:val="00B65290"/>
    <w:rsid w:val="00B66E91"/>
    <w:rsid w:val="00B70E26"/>
    <w:rsid w:val="00B71364"/>
    <w:rsid w:val="00B71B3C"/>
    <w:rsid w:val="00B726D5"/>
    <w:rsid w:val="00B72758"/>
    <w:rsid w:val="00B7319C"/>
    <w:rsid w:val="00B7346F"/>
    <w:rsid w:val="00B7517F"/>
    <w:rsid w:val="00B80E36"/>
    <w:rsid w:val="00B81DBB"/>
    <w:rsid w:val="00B82606"/>
    <w:rsid w:val="00B82DA0"/>
    <w:rsid w:val="00B8552F"/>
    <w:rsid w:val="00B85AB7"/>
    <w:rsid w:val="00B85B0A"/>
    <w:rsid w:val="00B861DA"/>
    <w:rsid w:val="00B86C5A"/>
    <w:rsid w:val="00B86CB5"/>
    <w:rsid w:val="00B86D58"/>
    <w:rsid w:val="00B8744D"/>
    <w:rsid w:val="00B8745F"/>
    <w:rsid w:val="00B9066A"/>
    <w:rsid w:val="00B90754"/>
    <w:rsid w:val="00B90BBE"/>
    <w:rsid w:val="00B91B78"/>
    <w:rsid w:val="00B93013"/>
    <w:rsid w:val="00B936F7"/>
    <w:rsid w:val="00B93888"/>
    <w:rsid w:val="00B9416B"/>
    <w:rsid w:val="00B9425C"/>
    <w:rsid w:val="00B9572C"/>
    <w:rsid w:val="00B95A93"/>
    <w:rsid w:val="00B96020"/>
    <w:rsid w:val="00B9752B"/>
    <w:rsid w:val="00B9782C"/>
    <w:rsid w:val="00B97D95"/>
    <w:rsid w:val="00B97E3C"/>
    <w:rsid w:val="00BA0158"/>
    <w:rsid w:val="00BA04F9"/>
    <w:rsid w:val="00BA7E78"/>
    <w:rsid w:val="00BB0833"/>
    <w:rsid w:val="00BB0EA7"/>
    <w:rsid w:val="00BB1223"/>
    <w:rsid w:val="00BB3527"/>
    <w:rsid w:val="00BB3CAB"/>
    <w:rsid w:val="00BB4B39"/>
    <w:rsid w:val="00BB4CDF"/>
    <w:rsid w:val="00BB595B"/>
    <w:rsid w:val="00BB59F9"/>
    <w:rsid w:val="00BB5B0E"/>
    <w:rsid w:val="00BB7561"/>
    <w:rsid w:val="00BC0AD1"/>
    <w:rsid w:val="00BC15B8"/>
    <w:rsid w:val="00BC2773"/>
    <w:rsid w:val="00BC5279"/>
    <w:rsid w:val="00BC6C4E"/>
    <w:rsid w:val="00BC6DAA"/>
    <w:rsid w:val="00BC7B6A"/>
    <w:rsid w:val="00BD0B60"/>
    <w:rsid w:val="00BD0EAC"/>
    <w:rsid w:val="00BD2540"/>
    <w:rsid w:val="00BD31AB"/>
    <w:rsid w:val="00BD46F6"/>
    <w:rsid w:val="00BD49D0"/>
    <w:rsid w:val="00BD4AA0"/>
    <w:rsid w:val="00BD4E32"/>
    <w:rsid w:val="00BD58A7"/>
    <w:rsid w:val="00BD6EE4"/>
    <w:rsid w:val="00BE1E33"/>
    <w:rsid w:val="00BE2ACC"/>
    <w:rsid w:val="00BE2AD3"/>
    <w:rsid w:val="00BE35F3"/>
    <w:rsid w:val="00BE36F7"/>
    <w:rsid w:val="00BE4E3F"/>
    <w:rsid w:val="00BE505F"/>
    <w:rsid w:val="00BE65AD"/>
    <w:rsid w:val="00BF1156"/>
    <w:rsid w:val="00BF19F3"/>
    <w:rsid w:val="00BF2443"/>
    <w:rsid w:val="00BF26A3"/>
    <w:rsid w:val="00BF34FD"/>
    <w:rsid w:val="00BF39E3"/>
    <w:rsid w:val="00BF4B4C"/>
    <w:rsid w:val="00BF72B9"/>
    <w:rsid w:val="00BF72F6"/>
    <w:rsid w:val="00C00709"/>
    <w:rsid w:val="00C00DCB"/>
    <w:rsid w:val="00C01BC4"/>
    <w:rsid w:val="00C04114"/>
    <w:rsid w:val="00C0447F"/>
    <w:rsid w:val="00C0550E"/>
    <w:rsid w:val="00C07492"/>
    <w:rsid w:val="00C07755"/>
    <w:rsid w:val="00C07B5E"/>
    <w:rsid w:val="00C07C4E"/>
    <w:rsid w:val="00C10D3E"/>
    <w:rsid w:val="00C10DE8"/>
    <w:rsid w:val="00C12201"/>
    <w:rsid w:val="00C12946"/>
    <w:rsid w:val="00C12AD2"/>
    <w:rsid w:val="00C12C83"/>
    <w:rsid w:val="00C134EE"/>
    <w:rsid w:val="00C1405A"/>
    <w:rsid w:val="00C14E7D"/>
    <w:rsid w:val="00C14F61"/>
    <w:rsid w:val="00C15574"/>
    <w:rsid w:val="00C2018B"/>
    <w:rsid w:val="00C2021F"/>
    <w:rsid w:val="00C2197A"/>
    <w:rsid w:val="00C2347A"/>
    <w:rsid w:val="00C25E95"/>
    <w:rsid w:val="00C30A46"/>
    <w:rsid w:val="00C30E1E"/>
    <w:rsid w:val="00C31412"/>
    <w:rsid w:val="00C3189D"/>
    <w:rsid w:val="00C329B9"/>
    <w:rsid w:val="00C362A0"/>
    <w:rsid w:val="00C365AF"/>
    <w:rsid w:val="00C367CD"/>
    <w:rsid w:val="00C40139"/>
    <w:rsid w:val="00C410C3"/>
    <w:rsid w:val="00C42740"/>
    <w:rsid w:val="00C43C6C"/>
    <w:rsid w:val="00C4526C"/>
    <w:rsid w:val="00C46998"/>
    <w:rsid w:val="00C50B1B"/>
    <w:rsid w:val="00C50C99"/>
    <w:rsid w:val="00C52801"/>
    <w:rsid w:val="00C5395E"/>
    <w:rsid w:val="00C53B7D"/>
    <w:rsid w:val="00C60C0C"/>
    <w:rsid w:val="00C61C54"/>
    <w:rsid w:val="00C6210F"/>
    <w:rsid w:val="00C631DC"/>
    <w:rsid w:val="00C646A4"/>
    <w:rsid w:val="00C67E1B"/>
    <w:rsid w:val="00C703AD"/>
    <w:rsid w:val="00C7127C"/>
    <w:rsid w:val="00C745C6"/>
    <w:rsid w:val="00C750BA"/>
    <w:rsid w:val="00C75839"/>
    <w:rsid w:val="00C75FA8"/>
    <w:rsid w:val="00C7706E"/>
    <w:rsid w:val="00C77811"/>
    <w:rsid w:val="00C81AB7"/>
    <w:rsid w:val="00C826EF"/>
    <w:rsid w:val="00C8308A"/>
    <w:rsid w:val="00C83E36"/>
    <w:rsid w:val="00C84288"/>
    <w:rsid w:val="00C8442D"/>
    <w:rsid w:val="00C84841"/>
    <w:rsid w:val="00C85287"/>
    <w:rsid w:val="00C85FA6"/>
    <w:rsid w:val="00C868B5"/>
    <w:rsid w:val="00C9170B"/>
    <w:rsid w:val="00C95532"/>
    <w:rsid w:val="00C95AC9"/>
    <w:rsid w:val="00C964DE"/>
    <w:rsid w:val="00C969C2"/>
    <w:rsid w:val="00C96F18"/>
    <w:rsid w:val="00CA270A"/>
    <w:rsid w:val="00CA304F"/>
    <w:rsid w:val="00CA4545"/>
    <w:rsid w:val="00CA4E8A"/>
    <w:rsid w:val="00CA51AC"/>
    <w:rsid w:val="00CA51DE"/>
    <w:rsid w:val="00CA5790"/>
    <w:rsid w:val="00CA634C"/>
    <w:rsid w:val="00CA652B"/>
    <w:rsid w:val="00CA75F5"/>
    <w:rsid w:val="00CA7BFF"/>
    <w:rsid w:val="00CB003C"/>
    <w:rsid w:val="00CB0482"/>
    <w:rsid w:val="00CB0C4E"/>
    <w:rsid w:val="00CB12E5"/>
    <w:rsid w:val="00CB2670"/>
    <w:rsid w:val="00CB3684"/>
    <w:rsid w:val="00CB4B83"/>
    <w:rsid w:val="00CB54BF"/>
    <w:rsid w:val="00CB55CF"/>
    <w:rsid w:val="00CB59D4"/>
    <w:rsid w:val="00CC0C56"/>
    <w:rsid w:val="00CC11B6"/>
    <w:rsid w:val="00CC4245"/>
    <w:rsid w:val="00CC6782"/>
    <w:rsid w:val="00CD087C"/>
    <w:rsid w:val="00CD23FE"/>
    <w:rsid w:val="00CD319D"/>
    <w:rsid w:val="00CD33C1"/>
    <w:rsid w:val="00CD5B4D"/>
    <w:rsid w:val="00CE037C"/>
    <w:rsid w:val="00CE15BE"/>
    <w:rsid w:val="00CE332E"/>
    <w:rsid w:val="00CE35D5"/>
    <w:rsid w:val="00CE530A"/>
    <w:rsid w:val="00CE6E64"/>
    <w:rsid w:val="00CF0665"/>
    <w:rsid w:val="00CF09D9"/>
    <w:rsid w:val="00CF182A"/>
    <w:rsid w:val="00CF1BF9"/>
    <w:rsid w:val="00CF1F1E"/>
    <w:rsid w:val="00CF282F"/>
    <w:rsid w:val="00CF326B"/>
    <w:rsid w:val="00CF5CC1"/>
    <w:rsid w:val="00CF5FDD"/>
    <w:rsid w:val="00CF7D98"/>
    <w:rsid w:val="00D003E0"/>
    <w:rsid w:val="00D029D8"/>
    <w:rsid w:val="00D02A84"/>
    <w:rsid w:val="00D0300E"/>
    <w:rsid w:val="00D04CE5"/>
    <w:rsid w:val="00D054B2"/>
    <w:rsid w:val="00D07245"/>
    <w:rsid w:val="00D0763E"/>
    <w:rsid w:val="00D11186"/>
    <w:rsid w:val="00D122AA"/>
    <w:rsid w:val="00D12644"/>
    <w:rsid w:val="00D134CC"/>
    <w:rsid w:val="00D142E0"/>
    <w:rsid w:val="00D14450"/>
    <w:rsid w:val="00D1499C"/>
    <w:rsid w:val="00D14C1E"/>
    <w:rsid w:val="00D20C1D"/>
    <w:rsid w:val="00D24682"/>
    <w:rsid w:val="00D24F06"/>
    <w:rsid w:val="00D25AEF"/>
    <w:rsid w:val="00D279FE"/>
    <w:rsid w:val="00D313E5"/>
    <w:rsid w:val="00D31785"/>
    <w:rsid w:val="00D32391"/>
    <w:rsid w:val="00D349EE"/>
    <w:rsid w:val="00D35298"/>
    <w:rsid w:val="00D3555B"/>
    <w:rsid w:val="00D36296"/>
    <w:rsid w:val="00D3674F"/>
    <w:rsid w:val="00D36DC3"/>
    <w:rsid w:val="00D40D7D"/>
    <w:rsid w:val="00D4126F"/>
    <w:rsid w:val="00D418AD"/>
    <w:rsid w:val="00D42C1B"/>
    <w:rsid w:val="00D4371D"/>
    <w:rsid w:val="00D44227"/>
    <w:rsid w:val="00D456BE"/>
    <w:rsid w:val="00D461BE"/>
    <w:rsid w:val="00D46629"/>
    <w:rsid w:val="00D46B8E"/>
    <w:rsid w:val="00D5087C"/>
    <w:rsid w:val="00D51312"/>
    <w:rsid w:val="00D51B22"/>
    <w:rsid w:val="00D51CE7"/>
    <w:rsid w:val="00D51D54"/>
    <w:rsid w:val="00D527B1"/>
    <w:rsid w:val="00D527DA"/>
    <w:rsid w:val="00D54C90"/>
    <w:rsid w:val="00D54DF5"/>
    <w:rsid w:val="00D554BA"/>
    <w:rsid w:val="00D56D47"/>
    <w:rsid w:val="00D57835"/>
    <w:rsid w:val="00D6075E"/>
    <w:rsid w:val="00D60CF3"/>
    <w:rsid w:val="00D613F3"/>
    <w:rsid w:val="00D619D2"/>
    <w:rsid w:val="00D655FB"/>
    <w:rsid w:val="00D70FB4"/>
    <w:rsid w:val="00D7248C"/>
    <w:rsid w:val="00D72C96"/>
    <w:rsid w:val="00D73854"/>
    <w:rsid w:val="00D73A38"/>
    <w:rsid w:val="00D74A1C"/>
    <w:rsid w:val="00D761DB"/>
    <w:rsid w:val="00D76FA9"/>
    <w:rsid w:val="00D7769B"/>
    <w:rsid w:val="00D77AA9"/>
    <w:rsid w:val="00D8146F"/>
    <w:rsid w:val="00D815C1"/>
    <w:rsid w:val="00D82E7D"/>
    <w:rsid w:val="00D850F4"/>
    <w:rsid w:val="00D85C85"/>
    <w:rsid w:val="00D85E33"/>
    <w:rsid w:val="00D866EC"/>
    <w:rsid w:val="00D9096A"/>
    <w:rsid w:val="00D928CF"/>
    <w:rsid w:val="00D92F6C"/>
    <w:rsid w:val="00D93514"/>
    <w:rsid w:val="00D93AED"/>
    <w:rsid w:val="00D94695"/>
    <w:rsid w:val="00D9530A"/>
    <w:rsid w:val="00D95879"/>
    <w:rsid w:val="00D97A6B"/>
    <w:rsid w:val="00DA0770"/>
    <w:rsid w:val="00DA1396"/>
    <w:rsid w:val="00DA1F59"/>
    <w:rsid w:val="00DA2FA3"/>
    <w:rsid w:val="00DA546F"/>
    <w:rsid w:val="00DA65B2"/>
    <w:rsid w:val="00DA7875"/>
    <w:rsid w:val="00DB0AD7"/>
    <w:rsid w:val="00DB2A4B"/>
    <w:rsid w:val="00DB3513"/>
    <w:rsid w:val="00DB3DCA"/>
    <w:rsid w:val="00DB751D"/>
    <w:rsid w:val="00DC09BD"/>
    <w:rsid w:val="00DC0FCD"/>
    <w:rsid w:val="00DC133D"/>
    <w:rsid w:val="00DC162E"/>
    <w:rsid w:val="00DC35CE"/>
    <w:rsid w:val="00DC3B1E"/>
    <w:rsid w:val="00DC3FB4"/>
    <w:rsid w:val="00DC432A"/>
    <w:rsid w:val="00DC4444"/>
    <w:rsid w:val="00DC4C93"/>
    <w:rsid w:val="00DC679E"/>
    <w:rsid w:val="00DD032F"/>
    <w:rsid w:val="00DD0609"/>
    <w:rsid w:val="00DD0E98"/>
    <w:rsid w:val="00DD14BC"/>
    <w:rsid w:val="00DD259F"/>
    <w:rsid w:val="00DD39FB"/>
    <w:rsid w:val="00DD4D47"/>
    <w:rsid w:val="00DD565E"/>
    <w:rsid w:val="00DD76AF"/>
    <w:rsid w:val="00DE1E41"/>
    <w:rsid w:val="00DE2F7C"/>
    <w:rsid w:val="00DE3F87"/>
    <w:rsid w:val="00DE5013"/>
    <w:rsid w:val="00DE54BD"/>
    <w:rsid w:val="00DE57DA"/>
    <w:rsid w:val="00DE5D1A"/>
    <w:rsid w:val="00DE64DE"/>
    <w:rsid w:val="00DE73B4"/>
    <w:rsid w:val="00DE787B"/>
    <w:rsid w:val="00DE7AB4"/>
    <w:rsid w:val="00DF1AB7"/>
    <w:rsid w:val="00DF2E8B"/>
    <w:rsid w:val="00DF4D86"/>
    <w:rsid w:val="00DF5688"/>
    <w:rsid w:val="00DF63E3"/>
    <w:rsid w:val="00DF6B09"/>
    <w:rsid w:val="00E0064C"/>
    <w:rsid w:val="00E007E6"/>
    <w:rsid w:val="00E00B41"/>
    <w:rsid w:val="00E01D84"/>
    <w:rsid w:val="00E03EBC"/>
    <w:rsid w:val="00E048AB"/>
    <w:rsid w:val="00E05193"/>
    <w:rsid w:val="00E052D3"/>
    <w:rsid w:val="00E05344"/>
    <w:rsid w:val="00E05DA1"/>
    <w:rsid w:val="00E1000A"/>
    <w:rsid w:val="00E104CD"/>
    <w:rsid w:val="00E1067F"/>
    <w:rsid w:val="00E111AA"/>
    <w:rsid w:val="00E11440"/>
    <w:rsid w:val="00E11BD1"/>
    <w:rsid w:val="00E137BB"/>
    <w:rsid w:val="00E13FDD"/>
    <w:rsid w:val="00E15A72"/>
    <w:rsid w:val="00E20266"/>
    <w:rsid w:val="00E205F2"/>
    <w:rsid w:val="00E20C44"/>
    <w:rsid w:val="00E21B55"/>
    <w:rsid w:val="00E235DD"/>
    <w:rsid w:val="00E2375B"/>
    <w:rsid w:val="00E23B80"/>
    <w:rsid w:val="00E250E0"/>
    <w:rsid w:val="00E261CD"/>
    <w:rsid w:val="00E26266"/>
    <w:rsid w:val="00E27473"/>
    <w:rsid w:val="00E30356"/>
    <w:rsid w:val="00E3199C"/>
    <w:rsid w:val="00E32D5F"/>
    <w:rsid w:val="00E334FD"/>
    <w:rsid w:val="00E3352E"/>
    <w:rsid w:val="00E34732"/>
    <w:rsid w:val="00E356C9"/>
    <w:rsid w:val="00E35D07"/>
    <w:rsid w:val="00E40987"/>
    <w:rsid w:val="00E41E74"/>
    <w:rsid w:val="00E42D0B"/>
    <w:rsid w:val="00E43A1A"/>
    <w:rsid w:val="00E441BF"/>
    <w:rsid w:val="00E447FC"/>
    <w:rsid w:val="00E5029D"/>
    <w:rsid w:val="00E51679"/>
    <w:rsid w:val="00E528C8"/>
    <w:rsid w:val="00E5311A"/>
    <w:rsid w:val="00E54CD1"/>
    <w:rsid w:val="00E56980"/>
    <w:rsid w:val="00E56B59"/>
    <w:rsid w:val="00E611D3"/>
    <w:rsid w:val="00E61551"/>
    <w:rsid w:val="00E6266E"/>
    <w:rsid w:val="00E62D29"/>
    <w:rsid w:val="00E64988"/>
    <w:rsid w:val="00E64A38"/>
    <w:rsid w:val="00E64D49"/>
    <w:rsid w:val="00E66B43"/>
    <w:rsid w:val="00E66FFF"/>
    <w:rsid w:val="00E70AA7"/>
    <w:rsid w:val="00E719F6"/>
    <w:rsid w:val="00E725EE"/>
    <w:rsid w:val="00E72ACE"/>
    <w:rsid w:val="00E72D25"/>
    <w:rsid w:val="00E7345E"/>
    <w:rsid w:val="00E7389E"/>
    <w:rsid w:val="00E75547"/>
    <w:rsid w:val="00E756AC"/>
    <w:rsid w:val="00E777CB"/>
    <w:rsid w:val="00E77EDC"/>
    <w:rsid w:val="00E80334"/>
    <w:rsid w:val="00E8168D"/>
    <w:rsid w:val="00E8381A"/>
    <w:rsid w:val="00E847F2"/>
    <w:rsid w:val="00E86CD9"/>
    <w:rsid w:val="00E86FB8"/>
    <w:rsid w:val="00E87596"/>
    <w:rsid w:val="00E87794"/>
    <w:rsid w:val="00E91C29"/>
    <w:rsid w:val="00E9480E"/>
    <w:rsid w:val="00E94E8E"/>
    <w:rsid w:val="00E95436"/>
    <w:rsid w:val="00E96422"/>
    <w:rsid w:val="00E97B21"/>
    <w:rsid w:val="00E97F71"/>
    <w:rsid w:val="00EA21E0"/>
    <w:rsid w:val="00EA3421"/>
    <w:rsid w:val="00EA3C76"/>
    <w:rsid w:val="00EA5A59"/>
    <w:rsid w:val="00EA62F1"/>
    <w:rsid w:val="00EA6693"/>
    <w:rsid w:val="00EB331D"/>
    <w:rsid w:val="00EB34E7"/>
    <w:rsid w:val="00EB3D8F"/>
    <w:rsid w:val="00EB593B"/>
    <w:rsid w:val="00EB6BD3"/>
    <w:rsid w:val="00EC1912"/>
    <w:rsid w:val="00EC3B89"/>
    <w:rsid w:val="00EC4205"/>
    <w:rsid w:val="00EC52AE"/>
    <w:rsid w:val="00EC634C"/>
    <w:rsid w:val="00EC67CA"/>
    <w:rsid w:val="00EC7B1F"/>
    <w:rsid w:val="00ED047B"/>
    <w:rsid w:val="00ED0FE3"/>
    <w:rsid w:val="00ED1DBA"/>
    <w:rsid w:val="00ED2910"/>
    <w:rsid w:val="00ED2B88"/>
    <w:rsid w:val="00ED3482"/>
    <w:rsid w:val="00ED3526"/>
    <w:rsid w:val="00ED3F7E"/>
    <w:rsid w:val="00ED4715"/>
    <w:rsid w:val="00ED47DC"/>
    <w:rsid w:val="00ED6A34"/>
    <w:rsid w:val="00ED7ACF"/>
    <w:rsid w:val="00EE0D77"/>
    <w:rsid w:val="00EE2BBD"/>
    <w:rsid w:val="00EE3B97"/>
    <w:rsid w:val="00EE52B1"/>
    <w:rsid w:val="00EE6AAE"/>
    <w:rsid w:val="00EF02BC"/>
    <w:rsid w:val="00EF2CA6"/>
    <w:rsid w:val="00EF2D0D"/>
    <w:rsid w:val="00EF4EAB"/>
    <w:rsid w:val="00EF5B40"/>
    <w:rsid w:val="00EF7502"/>
    <w:rsid w:val="00F00432"/>
    <w:rsid w:val="00F01BA0"/>
    <w:rsid w:val="00F02034"/>
    <w:rsid w:val="00F03884"/>
    <w:rsid w:val="00F03E21"/>
    <w:rsid w:val="00F0411C"/>
    <w:rsid w:val="00F041F6"/>
    <w:rsid w:val="00F046A8"/>
    <w:rsid w:val="00F0556F"/>
    <w:rsid w:val="00F103DC"/>
    <w:rsid w:val="00F117B1"/>
    <w:rsid w:val="00F128A4"/>
    <w:rsid w:val="00F134F9"/>
    <w:rsid w:val="00F1524D"/>
    <w:rsid w:val="00F157AD"/>
    <w:rsid w:val="00F166ED"/>
    <w:rsid w:val="00F16799"/>
    <w:rsid w:val="00F1697E"/>
    <w:rsid w:val="00F1752D"/>
    <w:rsid w:val="00F20979"/>
    <w:rsid w:val="00F21D1D"/>
    <w:rsid w:val="00F21F84"/>
    <w:rsid w:val="00F2205B"/>
    <w:rsid w:val="00F232CF"/>
    <w:rsid w:val="00F2461C"/>
    <w:rsid w:val="00F24BD9"/>
    <w:rsid w:val="00F24C62"/>
    <w:rsid w:val="00F24FC8"/>
    <w:rsid w:val="00F2664F"/>
    <w:rsid w:val="00F26D0F"/>
    <w:rsid w:val="00F30C1E"/>
    <w:rsid w:val="00F326A6"/>
    <w:rsid w:val="00F32C99"/>
    <w:rsid w:val="00F331F0"/>
    <w:rsid w:val="00F34138"/>
    <w:rsid w:val="00F34FFB"/>
    <w:rsid w:val="00F35E57"/>
    <w:rsid w:val="00F36CDA"/>
    <w:rsid w:val="00F36F83"/>
    <w:rsid w:val="00F40A01"/>
    <w:rsid w:val="00F40FB9"/>
    <w:rsid w:val="00F44566"/>
    <w:rsid w:val="00F460A6"/>
    <w:rsid w:val="00F4673F"/>
    <w:rsid w:val="00F47ACE"/>
    <w:rsid w:val="00F47FCE"/>
    <w:rsid w:val="00F501D2"/>
    <w:rsid w:val="00F518BA"/>
    <w:rsid w:val="00F51D56"/>
    <w:rsid w:val="00F522B3"/>
    <w:rsid w:val="00F5266F"/>
    <w:rsid w:val="00F52BC9"/>
    <w:rsid w:val="00F52D84"/>
    <w:rsid w:val="00F533C0"/>
    <w:rsid w:val="00F53D1E"/>
    <w:rsid w:val="00F557C0"/>
    <w:rsid w:val="00F56447"/>
    <w:rsid w:val="00F56A1D"/>
    <w:rsid w:val="00F5798C"/>
    <w:rsid w:val="00F61A04"/>
    <w:rsid w:val="00F625EB"/>
    <w:rsid w:val="00F64055"/>
    <w:rsid w:val="00F6564C"/>
    <w:rsid w:val="00F65D1F"/>
    <w:rsid w:val="00F66C70"/>
    <w:rsid w:val="00F66FC8"/>
    <w:rsid w:val="00F710C6"/>
    <w:rsid w:val="00F7142A"/>
    <w:rsid w:val="00F71E7D"/>
    <w:rsid w:val="00F722BD"/>
    <w:rsid w:val="00F72873"/>
    <w:rsid w:val="00F735C8"/>
    <w:rsid w:val="00F73620"/>
    <w:rsid w:val="00F74C34"/>
    <w:rsid w:val="00F758ED"/>
    <w:rsid w:val="00F81854"/>
    <w:rsid w:val="00F82ED9"/>
    <w:rsid w:val="00F83C51"/>
    <w:rsid w:val="00F85C73"/>
    <w:rsid w:val="00F85D31"/>
    <w:rsid w:val="00F87415"/>
    <w:rsid w:val="00F91CF0"/>
    <w:rsid w:val="00F91DA7"/>
    <w:rsid w:val="00F9481A"/>
    <w:rsid w:val="00F956D1"/>
    <w:rsid w:val="00F95742"/>
    <w:rsid w:val="00F9683D"/>
    <w:rsid w:val="00F9687F"/>
    <w:rsid w:val="00F97F15"/>
    <w:rsid w:val="00FA08DE"/>
    <w:rsid w:val="00FA0CF5"/>
    <w:rsid w:val="00FA2D9D"/>
    <w:rsid w:val="00FA770D"/>
    <w:rsid w:val="00FA77B7"/>
    <w:rsid w:val="00FB01C6"/>
    <w:rsid w:val="00FB328E"/>
    <w:rsid w:val="00FB3430"/>
    <w:rsid w:val="00FB5834"/>
    <w:rsid w:val="00FB5E18"/>
    <w:rsid w:val="00FB67C7"/>
    <w:rsid w:val="00FC007C"/>
    <w:rsid w:val="00FC1567"/>
    <w:rsid w:val="00FC2626"/>
    <w:rsid w:val="00FC33B7"/>
    <w:rsid w:val="00FC3766"/>
    <w:rsid w:val="00FC4572"/>
    <w:rsid w:val="00FC5712"/>
    <w:rsid w:val="00FC755D"/>
    <w:rsid w:val="00FD0EDB"/>
    <w:rsid w:val="00FD386C"/>
    <w:rsid w:val="00FD3922"/>
    <w:rsid w:val="00FD6452"/>
    <w:rsid w:val="00FE2B90"/>
    <w:rsid w:val="00FE4D55"/>
    <w:rsid w:val="00FF0A4E"/>
    <w:rsid w:val="00FF0A84"/>
    <w:rsid w:val="00FF14A6"/>
    <w:rsid w:val="00FF1F8D"/>
    <w:rsid w:val="00FF285D"/>
    <w:rsid w:val="00FF37A3"/>
    <w:rsid w:val="00FF3F9C"/>
    <w:rsid w:val="00FF4E7C"/>
    <w:rsid w:val="00FF5875"/>
    <w:rsid w:val="00FF63A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50F1F1"/>
  <w15:chartTrackingRefBased/>
  <w15:docId w15:val="{BC932481-D884-4528-9B02-C5C5F77CC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546F"/>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8C487C"/>
    <w:pPr>
      <w:tabs>
        <w:tab w:val="center" w:pos="4419"/>
        <w:tab w:val="right" w:pos="8838"/>
      </w:tabs>
    </w:pPr>
  </w:style>
  <w:style w:type="character" w:customStyle="1" w:styleId="PiedepginaCar">
    <w:name w:val="Pie de página Car"/>
    <w:basedOn w:val="Fuentedeprrafopredeter"/>
    <w:link w:val="Piedepgina"/>
    <w:uiPriority w:val="99"/>
    <w:rsid w:val="008C487C"/>
    <w:rPr>
      <w:sz w:val="24"/>
      <w:lang w:val="es-MX"/>
    </w:rPr>
  </w:style>
  <w:style w:type="paragraph" w:styleId="Encabezado">
    <w:name w:val="header"/>
    <w:basedOn w:val="Normal"/>
    <w:link w:val="EncabezadoCar"/>
    <w:uiPriority w:val="99"/>
    <w:unhideWhenUsed/>
    <w:rsid w:val="008C487C"/>
    <w:pPr>
      <w:tabs>
        <w:tab w:val="center" w:pos="4252"/>
        <w:tab w:val="right" w:pos="8504"/>
      </w:tabs>
    </w:pPr>
  </w:style>
  <w:style w:type="character" w:customStyle="1" w:styleId="EncabezadoCar">
    <w:name w:val="Encabezado Car"/>
    <w:basedOn w:val="Fuentedeprrafopredeter"/>
    <w:link w:val="Encabezado"/>
    <w:uiPriority w:val="99"/>
    <w:rsid w:val="008C487C"/>
    <w:rPr>
      <w:sz w:val="24"/>
      <w:lang w:val="es-MX"/>
    </w:rPr>
  </w:style>
  <w:style w:type="table" w:styleId="Tablaconcuadrcula">
    <w:name w:val="Table Grid"/>
    <w:basedOn w:val="Tablanormal"/>
    <w:uiPriority w:val="59"/>
    <w:rsid w:val="008C487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8C487C"/>
    <w:pPr>
      <w:ind w:left="720"/>
      <w:contextualSpacing/>
    </w:pPr>
  </w:style>
  <w:style w:type="paragraph" w:styleId="Sinespaciado">
    <w:name w:val="No Spacing"/>
    <w:uiPriority w:val="1"/>
    <w:qFormat/>
    <w:rsid w:val="008C487C"/>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8C487C"/>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8C487C"/>
    <w:rPr>
      <w:sz w:val="20"/>
      <w:szCs w:val="20"/>
    </w:rPr>
  </w:style>
  <w:style w:type="character" w:customStyle="1" w:styleId="TextonotapieCar1">
    <w:name w:val="Texto nota pie Car1"/>
    <w:basedOn w:val="Fuentedeprrafopredeter"/>
    <w:uiPriority w:val="99"/>
    <w:semiHidden/>
    <w:rsid w:val="008C487C"/>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C487C"/>
    <w:rPr>
      <w:sz w:val="24"/>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R,F"/>
    <w:basedOn w:val="Fuentedeprrafopredeter"/>
    <w:link w:val="Appelnotedebasde"/>
    <w:uiPriority w:val="99"/>
    <w:unhideWhenUsed/>
    <w:qFormat/>
    <w:rsid w:val="008C487C"/>
    <w:rPr>
      <w:vertAlign w:val="superscript"/>
    </w:rPr>
  </w:style>
  <w:style w:type="character" w:styleId="Hipervnculo">
    <w:name w:val="Hyperlink"/>
    <w:basedOn w:val="Fuentedeprrafopredeter"/>
    <w:uiPriority w:val="99"/>
    <w:unhideWhenUsed/>
    <w:rsid w:val="008C487C"/>
    <w:rPr>
      <w:color w:val="0563C1" w:themeColor="hyperlink"/>
      <w:u w:val="single"/>
    </w:rPr>
  </w:style>
  <w:style w:type="paragraph" w:styleId="Textodeglobo">
    <w:name w:val="Balloon Text"/>
    <w:basedOn w:val="Normal"/>
    <w:link w:val="TextodegloboCar"/>
    <w:uiPriority w:val="99"/>
    <w:semiHidden/>
    <w:unhideWhenUsed/>
    <w:rsid w:val="00B65290"/>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65290"/>
    <w:rPr>
      <w:rFonts w:ascii="Segoe UI" w:hAnsi="Segoe UI" w:cs="Segoe UI"/>
      <w:sz w:val="18"/>
      <w:szCs w:val="18"/>
      <w:lang w:val="es-MX"/>
    </w:rPr>
  </w:style>
  <w:style w:type="paragraph" w:customStyle="1" w:styleId="Default">
    <w:name w:val="Default"/>
    <w:rsid w:val="00430B5A"/>
    <w:pPr>
      <w:autoSpaceDE w:val="0"/>
      <w:autoSpaceDN w:val="0"/>
      <w:adjustRightInd w:val="0"/>
      <w:spacing w:after="0" w:line="240" w:lineRule="auto"/>
    </w:pPr>
    <w:rPr>
      <w:rFonts w:ascii="Arial" w:hAnsi="Arial" w:cs="Arial"/>
      <w:color w:val="000000"/>
      <w:sz w:val="24"/>
      <w:szCs w:val="24"/>
      <w:lang w:val="es-MX"/>
    </w:rPr>
  </w:style>
  <w:style w:type="character" w:styleId="Mencinsinresolver">
    <w:name w:val="Unresolved Mention"/>
    <w:basedOn w:val="Fuentedeprrafopredeter"/>
    <w:uiPriority w:val="99"/>
    <w:semiHidden/>
    <w:unhideWhenUsed/>
    <w:rsid w:val="00BE2AD3"/>
    <w:rPr>
      <w:color w:val="605E5C"/>
      <w:shd w:val="clear" w:color="auto" w:fill="E1DFDD"/>
    </w:rPr>
  </w:style>
  <w:style w:type="paragraph" w:customStyle="1" w:styleId="InviasNormal">
    <w:name w:val="Invias Normal"/>
    <w:basedOn w:val="Normal"/>
    <w:link w:val="InviasNormalCar"/>
    <w:qFormat/>
    <w:rsid w:val="00BE1E33"/>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E1E33"/>
    <w:rPr>
      <w:rFonts w:ascii="Arial Narrow" w:eastAsia="Times New Roman" w:hAnsi="Arial Narrow" w:cs="Times New Roman"/>
      <w:color w:val="3B3838"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BE1E33"/>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BE1E33"/>
    <w:rPr>
      <w:rFonts w:ascii="Arial Narrow" w:eastAsia="Times New Roman" w:hAnsi="Arial Narrow" w:cs="Times New Roman"/>
      <w:sz w:val="24"/>
      <w:szCs w:val="24"/>
      <w:lang w:val="en-US" w:eastAsia="es-ES"/>
    </w:rPr>
  </w:style>
  <w:style w:type="character" w:styleId="Refdecomentario">
    <w:name w:val="annotation reference"/>
    <w:basedOn w:val="Fuentedeprrafopredeter"/>
    <w:uiPriority w:val="99"/>
    <w:semiHidden/>
    <w:unhideWhenUsed/>
    <w:rsid w:val="006C15D5"/>
    <w:rPr>
      <w:sz w:val="16"/>
      <w:szCs w:val="16"/>
    </w:rPr>
  </w:style>
  <w:style w:type="paragraph" w:styleId="Textocomentario">
    <w:name w:val="annotation text"/>
    <w:basedOn w:val="Normal"/>
    <w:link w:val="TextocomentarioCar"/>
    <w:uiPriority w:val="99"/>
    <w:semiHidden/>
    <w:unhideWhenUsed/>
    <w:rsid w:val="006C15D5"/>
    <w:rPr>
      <w:sz w:val="20"/>
      <w:szCs w:val="20"/>
    </w:rPr>
  </w:style>
  <w:style w:type="character" w:customStyle="1" w:styleId="TextocomentarioCar">
    <w:name w:val="Texto comentario Car"/>
    <w:basedOn w:val="Fuentedeprrafopredeter"/>
    <w:link w:val="Textocomentario"/>
    <w:uiPriority w:val="99"/>
    <w:semiHidden/>
    <w:rsid w:val="006C15D5"/>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6C15D5"/>
    <w:rPr>
      <w:b/>
      <w:bCs/>
    </w:rPr>
  </w:style>
  <w:style w:type="character" w:customStyle="1" w:styleId="AsuntodelcomentarioCar">
    <w:name w:val="Asunto del comentario Car"/>
    <w:basedOn w:val="TextocomentarioCar"/>
    <w:link w:val="Asuntodelcomentario"/>
    <w:uiPriority w:val="99"/>
    <w:semiHidden/>
    <w:rsid w:val="006C15D5"/>
    <w:rPr>
      <w:b/>
      <w:bCs/>
      <w:sz w:val="20"/>
      <w:szCs w:val="20"/>
      <w:lang w:val="es-MX"/>
    </w:rPr>
  </w:style>
  <w:style w:type="paragraph" w:styleId="NormalWeb">
    <w:name w:val="Normal (Web)"/>
    <w:basedOn w:val="Normal"/>
    <w:link w:val="NormalWebCar"/>
    <w:uiPriority w:val="99"/>
    <w:unhideWhenUsed/>
    <w:rsid w:val="00B54444"/>
    <w:pPr>
      <w:spacing w:before="100" w:beforeAutospacing="1" w:after="100" w:afterAutospacing="1"/>
    </w:pPr>
    <w:rPr>
      <w:rFonts w:ascii="Times New Roman" w:eastAsia="Times New Roman" w:hAnsi="Times New Roman" w:cs="Times New Roman"/>
      <w:szCs w:val="24"/>
      <w:lang w:val="es-CO" w:eastAsia="es-CO"/>
    </w:rPr>
  </w:style>
  <w:style w:type="character" w:styleId="Textoennegrita">
    <w:name w:val="Strong"/>
    <w:basedOn w:val="Fuentedeprrafopredeter"/>
    <w:uiPriority w:val="22"/>
    <w:qFormat/>
    <w:rsid w:val="00B54444"/>
    <w:rPr>
      <w:b/>
      <w:bCs/>
    </w:rPr>
  </w:style>
  <w:style w:type="character" w:styleId="nfasis">
    <w:name w:val="Emphasis"/>
    <w:basedOn w:val="Fuentedeprrafopredeter"/>
    <w:uiPriority w:val="20"/>
    <w:qFormat/>
    <w:rsid w:val="00B54444"/>
    <w:rPr>
      <w:i/>
      <w:iCs/>
    </w:rPr>
  </w:style>
  <w:style w:type="paragraph" w:styleId="Textoindependiente">
    <w:name w:val="Body Text"/>
    <w:basedOn w:val="Normal"/>
    <w:link w:val="TextoindependienteCar"/>
    <w:uiPriority w:val="1"/>
    <w:qFormat/>
    <w:rsid w:val="00813F60"/>
    <w:pPr>
      <w:widowControl w:val="0"/>
      <w:autoSpaceDE w:val="0"/>
      <w:autoSpaceDN w:val="0"/>
    </w:pPr>
    <w:rPr>
      <w:rFonts w:ascii="Arial" w:eastAsia="Arial" w:hAnsi="Arial" w:cs="Arial"/>
      <w:sz w:val="22"/>
      <w:lang w:val="es-ES"/>
    </w:rPr>
  </w:style>
  <w:style w:type="character" w:customStyle="1" w:styleId="TextoindependienteCar">
    <w:name w:val="Texto independiente Car"/>
    <w:basedOn w:val="Fuentedeprrafopredeter"/>
    <w:link w:val="Textoindependiente"/>
    <w:uiPriority w:val="1"/>
    <w:rsid w:val="00813F60"/>
    <w:rPr>
      <w:rFonts w:ascii="Arial" w:eastAsia="Arial" w:hAnsi="Arial" w:cs="Arial"/>
      <w:lang w:val="es-ES"/>
    </w:rPr>
  </w:style>
  <w:style w:type="paragraph" w:customStyle="1" w:styleId="Appelnotedebasde">
    <w:name w:val="Appel note de bas de..."/>
    <w:basedOn w:val="Normal"/>
    <w:link w:val="Refdenotaalpie"/>
    <w:uiPriority w:val="99"/>
    <w:rsid w:val="0074177D"/>
    <w:pPr>
      <w:spacing w:after="160" w:line="240" w:lineRule="exact"/>
    </w:pPr>
    <w:rPr>
      <w:sz w:val="22"/>
      <w:vertAlign w:val="superscript"/>
      <w:lang w:val="es-CO"/>
    </w:rPr>
  </w:style>
  <w:style w:type="character" w:customStyle="1" w:styleId="normaltextrun">
    <w:name w:val="normaltextrun"/>
    <w:basedOn w:val="Fuentedeprrafopredeter"/>
    <w:rsid w:val="008E034E"/>
  </w:style>
  <w:style w:type="character" w:customStyle="1" w:styleId="NormalWebCar">
    <w:name w:val="Normal (Web) Car"/>
    <w:link w:val="NormalWeb"/>
    <w:uiPriority w:val="99"/>
    <w:rsid w:val="00A55BF1"/>
    <w:rPr>
      <w:rFonts w:ascii="Times New Roman" w:eastAsia="Times New Roman" w:hAnsi="Times New Roman" w:cs="Times New Roman"/>
      <w:sz w:val="24"/>
      <w:szCs w:val="24"/>
      <w:lang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80216">
      <w:bodyDiv w:val="1"/>
      <w:marLeft w:val="0"/>
      <w:marRight w:val="0"/>
      <w:marTop w:val="0"/>
      <w:marBottom w:val="0"/>
      <w:divBdr>
        <w:top w:val="none" w:sz="0" w:space="0" w:color="auto"/>
        <w:left w:val="none" w:sz="0" w:space="0" w:color="auto"/>
        <w:bottom w:val="none" w:sz="0" w:space="0" w:color="auto"/>
        <w:right w:val="none" w:sz="0" w:space="0" w:color="auto"/>
      </w:divBdr>
    </w:div>
    <w:div w:id="240528206">
      <w:bodyDiv w:val="1"/>
      <w:marLeft w:val="0"/>
      <w:marRight w:val="0"/>
      <w:marTop w:val="0"/>
      <w:marBottom w:val="0"/>
      <w:divBdr>
        <w:top w:val="none" w:sz="0" w:space="0" w:color="auto"/>
        <w:left w:val="none" w:sz="0" w:space="0" w:color="auto"/>
        <w:bottom w:val="none" w:sz="0" w:space="0" w:color="auto"/>
        <w:right w:val="none" w:sz="0" w:space="0" w:color="auto"/>
      </w:divBdr>
    </w:div>
    <w:div w:id="291710021">
      <w:bodyDiv w:val="1"/>
      <w:marLeft w:val="0"/>
      <w:marRight w:val="0"/>
      <w:marTop w:val="0"/>
      <w:marBottom w:val="0"/>
      <w:divBdr>
        <w:top w:val="none" w:sz="0" w:space="0" w:color="auto"/>
        <w:left w:val="none" w:sz="0" w:space="0" w:color="auto"/>
        <w:bottom w:val="none" w:sz="0" w:space="0" w:color="auto"/>
        <w:right w:val="none" w:sz="0" w:space="0" w:color="auto"/>
      </w:divBdr>
    </w:div>
    <w:div w:id="350184025">
      <w:bodyDiv w:val="1"/>
      <w:marLeft w:val="0"/>
      <w:marRight w:val="0"/>
      <w:marTop w:val="0"/>
      <w:marBottom w:val="0"/>
      <w:divBdr>
        <w:top w:val="none" w:sz="0" w:space="0" w:color="auto"/>
        <w:left w:val="none" w:sz="0" w:space="0" w:color="auto"/>
        <w:bottom w:val="none" w:sz="0" w:space="0" w:color="auto"/>
        <w:right w:val="none" w:sz="0" w:space="0" w:color="auto"/>
      </w:divBdr>
    </w:div>
    <w:div w:id="387456528">
      <w:bodyDiv w:val="1"/>
      <w:marLeft w:val="0"/>
      <w:marRight w:val="0"/>
      <w:marTop w:val="0"/>
      <w:marBottom w:val="0"/>
      <w:divBdr>
        <w:top w:val="none" w:sz="0" w:space="0" w:color="auto"/>
        <w:left w:val="none" w:sz="0" w:space="0" w:color="auto"/>
        <w:bottom w:val="none" w:sz="0" w:space="0" w:color="auto"/>
        <w:right w:val="none" w:sz="0" w:space="0" w:color="auto"/>
      </w:divBdr>
    </w:div>
    <w:div w:id="434638637">
      <w:bodyDiv w:val="1"/>
      <w:marLeft w:val="0"/>
      <w:marRight w:val="0"/>
      <w:marTop w:val="0"/>
      <w:marBottom w:val="0"/>
      <w:divBdr>
        <w:top w:val="none" w:sz="0" w:space="0" w:color="auto"/>
        <w:left w:val="none" w:sz="0" w:space="0" w:color="auto"/>
        <w:bottom w:val="none" w:sz="0" w:space="0" w:color="auto"/>
        <w:right w:val="none" w:sz="0" w:space="0" w:color="auto"/>
      </w:divBdr>
    </w:div>
    <w:div w:id="650404190">
      <w:bodyDiv w:val="1"/>
      <w:marLeft w:val="0"/>
      <w:marRight w:val="0"/>
      <w:marTop w:val="0"/>
      <w:marBottom w:val="0"/>
      <w:divBdr>
        <w:top w:val="none" w:sz="0" w:space="0" w:color="auto"/>
        <w:left w:val="none" w:sz="0" w:space="0" w:color="auto"/>
        <w:bottom w:val="none" w:sz="0" w:space="0" w:color="auto"/>
        <w:right w:val="none" w:sz="0" w:space="0" w:color="auto"/>
      </w:divBdr>
    </w:div>
    <w:div w:id="1036271008">
      <w:bodyDiv w:val="1"/>
      <w:marLeft w:val="0"/>
      <w:marRight w:val="0"/>
      <w:marTop w:val="0"/>
      <w:marBottom w:val="0"/>
      <w:divBdr>
        <w:top w:val="none" w:sz="0" w:space="0" w:color="auto"/>
        <w:left w:val="none" w:sz="0" w:space="0" w:color="auto"/>
        <w:bottom w:val="none" w:sz="0" w:space="0" w:color="auto"/>
        <w:right w:val="none" w:sz="0" w:space="0" w:color="auto"/>
      </w:divBdr>
    </w:div>
    <w:div w:id="1183013446">
      <w:bodyDiv w:val="1"/>
      <w:marLeft w:val="0"/>
      <w:marRight w:val="0"/>
      <w:marTop w:val="0"/>
      <w:marBottom w:val="0"/>
      <w:divBdr>
        <w:top w:val="none" w:sz="0" w:space="0" w:color="auto"/>
        <w:left w:val="none" w:sz="0" w:space="0" w:color="auto"/>
        <w:bottom w:val="none" w:sz="0" w:space="0" w:color="auto"/>
        <w:right w:val="none" w:sz="0" w:space="0" w:color="auto"/>
      </w:divBdr>
    </w:div>
    <w:div w:id="1224413492">
      <w:bodyDiv w:val="1"/>
      <w:marLeft w:val="0"/>
      <w:marRight w:val="0"/>
      <w:marTop w:val="0"/>
      <w:marBottom w:val="0"/>
      <w:divBdr>
        <w:top w:val="none" w:sz="0" w:space="0" w:color="auto"/>
        <w:left w:val="none" w:sz="0" w:space="0" w:color="auto"/>
        <w:bottom w:val="none" w:sz="0" w:space="0" w:color="auto"/>
        <w:right w:val="none" w:sz="0" w:space="0" w:color="auto"/>
      </w:divBdr>
    </w:div>
    <w:div w:id="1434474778">
      <w:bodyDiv w:val="1"/>
      <w:marLeft w:val="0"/>
      <w:marRight w:val="0"/>
      <w:marTop w:val="0"/>
      <w:marBottom w:val="0"/>
      <w:divBdr>
        <w:top w:val="none" w:sz="0" w:space="0" w:color="auto"/>
        <w:left w:val="none" w:sz="0" w:space="0" w:color="auto"/>
        <w:bottom w:val="none" w:sz="0" w:space="0" w:color="auto"/>
        <w:right w:val="none" w:sz="0" w:space="0" w:color="auto"/>
      </w:divBdr>
      <w:divsChild>
        <w:div w:id="1359042044">
          <w:marLeft w:val="0"/>
          <w:marRight w:val="0"/>
          <w:marTop w:val="0"/>
          <w:marBottom w:val="0"/>
          <w:divBdr>
            <w:top w:val="none" w:sz="0" w:space="0" w:color="auto"/>
            <w:left w:val="none" w:sz="0" w:space="0" w:color="auto"/>
            <w:bottom w:val="none" w:sz="0" w:space="0" w:color="auto"/>
            <w:right w:val="none" w:sz="0" w:space="0" w:color="auto"/>
          </w:divBdr>
        </w:div>
        <w:div w:id="1178500611">
          <w:marLeft w:val="0"/>
          <w:marRight w:val="0"/>
          <w:marTop w:val="0"/>
          <w:marBottom w:val="0"/>
          <w:divBdr>
            <w:top w:val="none" w:sz="0" w:space="0" w:color="auto"/>
            <w:left w:val="none" w:sz="0" w:space="0" w:color="auto"/>
            <w:bottom w:val="none" w:sz="0" w:space="0" w:color="auto"/>
            <w:right w:val="none" w:sz="0" w:space="0" w:color="auto"/>
          </w:divBdr>
        </w:div>
      </w:divsChild>
    </w:div>
    <w:div w:id="1469201352">
      <w:bodyDiv w:val="1"/>
      <w:marLeft w:val="0"/>
      <w:marRight w:val="0"/>
      <w:marTop w:val="0"/>
      <w:marBottom w:val="0"/>
      <w:divBdr>
        <w:top w:val="none" w:sz="0" w:space="0" w:color="auto"/>
        <w:left w:val="none" w:sz="0" w:space="0" w:color="auto"/>
        <w:bottom w:val="none" w:sz="0" w:space="0" w:color="auto"/>
        <w:right w:val="none" w:sz="0" w:space="0" w:color="auto"/>
      </w:divBdr>
    </w:div>
    <w:div w:id="1522163456">
      <w:bodyDiv w:val="1"/>
      <w:marLeft w:val="0"/>
      <w:marRight w:val="0"/>
      <w:marTop w:val="0"/>
      <w:marBottom w:val="0"/>
      <w:divBdr>
        <w:top w:val="none" w:sz="0" w:space="0" w:color="auto"/>
        <w:left w:val="none" w:sz="0" w:space="0" w:color="auto"/>
        <w:bottom w:val="none" w:sz="0" w:space="0" w:color="auto"/>
        <w:right w:val="none" w:sz="0" w:space="0" w:color="auto"/>
      </w:divBdr>
    </w:div>
    <w:div w:id="1776485066">
      <w:bodyDiv w:val="1"/>
      <w:marLeft w:val="0"/>
      <w:marRight w:val="0"/>
      <w:marTop w:val="0"/>
      <w:marBottom w:val="0"/>
      <w:divBdr>
        <w:top w:val="none" w:sz="0" w:space="0" w:color="auto"/>
        <w:left w:val="none" w:sz="0" w:space="0" w:color="auto"/>
        <w:bottom w:val="none" w:sz="0" w:space="0" w:color="auto"/>
        <w:right w:val="none" w:sz="0" w:space="0" w:color="auto"/>
      </w:divBdr>
    </w:div>
    <w:div w:id="1782605694">
      <w:bodyDiv w:val="1"/>
      <w:marLeft w:val="0"/>
      <w:marRight w:val="0"/>
      <w:marTop w:val="0"/>
      <w:marBottom w:val="0"/>
      <w:divBdr>
        <w:top w:val="none" w:sz="0" w:space="0" w:color="auto"/>
        <w:left w:val="none" w:sz="0" w:space="0" w:color="auto"/>
        <w:bottom w:val="none" w:sz="0" w:space="0" w:color="auto"/>
        <w:right w:val="none" w:sz="0" w:space="0" w:color="auto"/>
      </w:divBdr>
    </w:div>
    <w:div w:id="1871409429">
      <w:bodyDiv w:val="1"/>
      <w:marLeft w:val="0"/>
      <w:marRight w:val="0"/>
      <w:marTop w:val="0"/>
      <w:marBottom w:val="0"/>
      <w:divBdr>
        <w:top w:val="none" w:sz="0" w:space="0" w:color="auto"/>
        <w:left w:val="none" w:sz="0" w:space="0" w:color="auto"/>
        <w:bottom w:val="none" w:sz="0" w:space="0" w:color="auto"/>
        <w:right w:val="none" w:sz="0" w:space="0" w:color="auto"/>
      </w:divBdr>
    </w:div>
    <w:div w:id="1886990557">
      <w:bodyDiv w:val="1"/>
      <w:marLeft w:val="0"/>
      <w:marRight w:val="0"/>
      <w:marTop w:val="0"/>
      <w:marBottom w:val="0"/>
      <w:divBdr>
        <w:top w:val="none" w:sz="0" w:space="0" w:color="auto"/>
        <w:left w:val="none" w:sz="0" w:space="0" w:color="auto"/>
        <w:bottom w:val="none" w:sz="0" w:space="0" w:color="auto"/>
        <w:right w:val="none" w:sz="0" w:space="0" w:color="auto"/>
      </w:divBdr>
    </w:div>
    <w:div w:id="1994025110">
      <w:bodyDiv w:val="1"/>
      <w:marLeft w:val="0"/>
      <w:marRight w:val="0"/>
      <w:marTop w:val="0"/>
      <w:marBottom w:val="0"/>
      <w:divBdr>
        <w:top w:val="none" w:sz="0" w:space="0" w:color="auto"/>
        <w:left w:val="none" w:sz="0" w:space="0" w:color="auto"/>
        <w:bottom w:val="none" w:sz="0" w:space="0" w:color="auto"/>
        <w:right w:val="none" w:sz="0" w:space="0" w:color="auto"/>
      </w:divBdr>
    </w:div>
    <w:div w:id="2035572424">
      <w:bodyDiv w:val="1"/>
      <w:marLeft w:val="0"/>
      <w:marRight w:val="0"/>
      <w:marTop w:val="0"/>
      <w:marBottom w:val="0"/>
      <w:divBdr>
        <w:top w:val="none" w:sz="0" w:space="0" w:color="auto"/>
        <w:left w:val="none" w:sz="0" w:space="0" w:color="auto"/>
        <w:bottom w:val="none" w:sz="0" w:space="0" w:color="auto"/>
        <w:right w:val="none" w:sz="0" w:space="0" w:color="auto"/>
      </w:divBdr>
    </w:div>
    <w:div w:id="2096632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2" Type="http://schemas.openxmlformats.org/officeDocument/2006/relationships/hyperlink" Target="https://www.beltranpardo.com/wp-content/uploads/2021/02/CorteConstitucional_Inexequibilidadpar%C3%A1grafo2Art6L2014.pdf" TargetMode="External"/><Relationship Id="rId1" Type="http://schemas.openxmlformats.org/officeDocument/2006/relationships/hyperlink" Target="https://colaboracion.dnp.gov.co/CDT/Conpes/Econ%C3%B3micos/3956.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C0A85C5-6DD7-49F7-8710-03CB77B71D21}">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52B8A85D-C4C6-9049-A8EB-2692A3D634C9}">
  <ds:schemaRefs>
    <ds:schemaRef ds:uri="http://schemas.openxmlformats.org/officeDocument/2006/bibliography"/>
  </ds:schemaRefs>
</ds:datastoreItem>
</file>

<file path=customXml/itemProps3.xml><?xml version="1.0" encoding="utf-8"?>
<ds:datastoreItem xmlns:ds="http://schemas.openxmlformats.org/officeDocument/2006/customXml" ds:itemID="{997BBF3F-E837-4F88-BCB0-0E632895B878}">
  <ds:schemaRefs>
    <ds:schemaRef ds:uri="http://schemas.microsoft.com/sharepoint/v3/contenttype/forms"/>
  </ds:schemaRefs>
</ds:datastoreItem>
</file>

<file path=customXml/itemProps4.xml><?xml version="1.0" encoding="utf-8"?>
<ds:datastoreItem xmlns:ds="http://schemas.openxmlformats.org/officeDocument/2006/customXml" ds:itemID="{FE8BDA37-C730-4A53-88EC-CF3613C453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7284</Words>
  <Characters>40064</Characters>
  <Application>Microsoft Office Word</Application>
  <DocSecurity>0</DocSecurity>
  <Lines>333</Lines>
  <Paragraphs>94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Castellanos</dc:creator>
  <cp:keywords/>
  <dc:description/>
  <cp:lastModifiedBy>Martin Rojas Mejia</cp:lastModifiedBy>
  <cp:revision>2</cp:revision>
  <cp:lastPrinted>2020-03-17T17:42:00Z</cp:lastPrinted>
  <dcterms:created xsi:type="dcterms:W3CDTF">2022-04-12T15:53:00Z</dcterms:created>
  <dcterms:modified xsi:type="dcterms:W3CDTF">2022-04-12T15:53:00Z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