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39DAD8" w14:textId="77777777" w:rsidR="002629A3" w:rsidRPr="002A58B7" w:rsidRDefault="002629A3" w:rsidP="0071526C">
      <w:pPr>
        <w:pStyle w:val="paragraph"/>
        <w:spacing w:before="0" w:beforeAutospacing="0" w:after="0" w:afterAutospacing="0"/>
        <w:jc w:val="both"/>
        <w:textAlignment w:val="baseline"/>
        <w:rPr>
          <w:rStyle w:val="normaltextrun"/>
          <w:rFonts w:ascii="Arial" w:hAnsi="Arial" w:cs="Arial"/>
          <w:b/>
          <w:bCs/>
          <w:color w:val="000000" w:themeColor="text1"/>
          <w:sz w:val="22"/>
          <w:szCs w:val="22"/>
        </w:rPr>
      </w:pPr>
    </w:p>
    <w:p w14:paraId="0CE89019" w14:textId="77777777" w:rsidR="00107669" w:rsidRPr="002A58B7" w:rsidRDefault="00107669" w:rsidP="00107669">
      <w:pPr>
        <w:spacing w:after="0" w:line="240" w:lineRule="auto"/>
        <w:rPr>
          <w:rFonts w:ascii="Arial" w:eastAsia="Calibri" w:hAnsi="Arial" w:cs="Arial"/>
          <w:b/>
          <w:color w:val="000000" w:themeColor="text1"/>
          <w:sz w:val="22"/>
          <w:szCs w:val="24"/>
          <w:lang w:val="es-ES_tradnl" w:eastAsia="es-ES_tradnl"/>
        </w:rPr>
      </w:pPr>
      <w:r w:rsidRPr="002A58B7">
        <w:rPr>
          <w:rFonts w:ascii="Arial" w:eastAsia="Calibri" w:hAnsi="Arial" w:cs="Arial"/>
          <w:b/>
          <w:color w:val="000000" w:themeColor="text1"/>
          <w:sz w:val="22"/>
          <w:szCs w:val="24"/>
          <w:lang w:val="es-ES_tradnl" w:eastAsia="es-ES_tradnl"/>
        </w:rPr>
        <w:t xml:space="preserve">LEY DE EMPRENDIMIENTO – Ley 2069 de 2020 – Vigencia </w:t>
      </w:r>
    </w:p>
    <w:p w14:paraId="50ECCCE6" w14:textId="77777777" w:rsidR="00107669" w:rsidRPr="002A58B7" w:rsidRDefault="00107669" w:rsidP="00107669">
      <w:pPr>
        <w:spacing w:after="0" w:line="240" w:lineRule="auto"/>
        <w:rPr>
          <w:rFonts w:ascii="Arial" w:eastAsia="Calibri" w:hAnsi="Arial" w:cs="Arial"/>
          <w:b/>
          <w:color w:val="000000" w:themeColor="text1"/>
          <w:sz w:val="22"/>
          <w:szCs w:val="24"/>
          <w:lang w:val="es-ES_tradnl" w:eastAsia="es-ES_tradnl"/>
        </w:rPr>
      </w:pPr>
    </w:p>
    <w:p w14:paraId="01BCF5C8" w14:textId="5B473F00" w:rsidR="009B5869" w:rsidRPr="004234B3" w:rsidRDefault="009B5869" w:rsidP="004234B3">
      <w:pPr>
        <w:spacing w:after="0" w:line="240" w:lineRule="auto"/>
        <w:rPr>
          <w:rFonts w:ascii="Arial" w:eastAsia="Calibri" w:hAnsi="Arial" w:cs="Arial"/>
          <w:color w:val="000000" w:themeColor="text1"/>
          <w:sz w:val="20"/>
          <w:szCs w:val="20"/>
          <w:lang w:val="es-ES_tradnl" w:eastAsia="es-ES_tradnl"/>
        </w:rPr>
      </w:pPr>
      <w:r w:rsidRPr="004234B3">
        <w:rPr>
          <w:rFonts w:ascii="Arial" w:eastAsia="Calibri" w:hAnsi="Arial" w:cs="Arial"/>
          <w:color w:val="000000" w:themeColor="text1"/>
          <w:sz w:val="20"/>
          <w:szCs w:val="20"/>
          <w:lang w:val="es-ES_tradnl" w:eastAsia="es-ES_tradnl"/>
        </w:rPr>
        <w:t>El 31 de diciembre de 2020 se promulgó la Ley 2069, «Por medio de la cual se impulsa el emprendimiento en Colombia». De acuerdo con el artículo 84, «La presente Ley rige a partir del momento de su promulgación […]», lo que significa que es obligatoria para sus destinatarios desde esa fecha. Lo anterior, sin perjuicio de la posibilidad de que el gobierno nacional, en ejercicio de la potestad reglamentaria que le confiere el artículo 189, numeral 11, de la Constitución Política, expida el decreto correspondiente que permita la cumplida ejecución de esta Ley.</w:t>
      </w:r>
    </w:p>
    <w:p w14:paraId="5748B891" w14:textId="77777777" w:rsidR="009B5869" w:rsidRPr="004234B3" w:rsidRDefault="009B5869" w:rsidP="004234B3">
      <w:pPr>
        <w:spacing w:after="0" w:line="240" w:lineRule="auto"/>
        <w:rPr>
          <w:rFonts w:ascii="Arial" w:eastAsia="Calibri" w:hAnsi="Arial" w:cs="Arial"/>
          <w:color w:val="000000" w:themeColor="text1"/>
          <w:sz w:val="20"/>
          <w:szCs w:val="20"/>
          <w:lang w:val="es-ES_tradnl" w:eastAsia="es-ES_tradnl"/>
        </w:rPr>
      </w:pPr>
    </w:p>
    <w:p w14:paraId="5E3304E3" w14:textId="04D452FE" w:rsidR="009B5869" w:rsidRPr="004234B3" w:rsidRDefault="009B5869" w:rsidP="004234B3">
      <w:pPr>
        <w:spacing w:after="0" w:line="240" w:lineRule="auto"/>
        <w:rPr>
          <w:rFonts w:ascii="Arial" w:eastAsia="Calibri" w:hAnsi="Arial" w:cs="Arial"/>
          <w:color w:val="000000" w:themeColor="text1"/>
          <w:sz w:val="20"/>
          <w:szCs w:val="20"/>
          <w:lang w:val="es-ES_tradnl" w:eastAsia="es-ES_tradnl"/>
        </w:rPr>
      </w:pPr>
      <w:r w:rsidRPr="004234B3">
        <w:rPr>
          <w:rFonts w:ascii="Arial" w:eastAsia="Calibri" w:hAnsi="Arial" w:cs="Arial"/>
          <w:color w:val="000000" w:themeColor="text1"/>
          <w:sz w:val="20"/>
          <w:szCs w:val="20"/>
          <w:lang w:val="es-ES_tradnl" w:eastAsia="es-ES_tradnl"/>
        </w:rPr>
        <w:t xml:space="preserve">En cuanto a su contenido, es importante señalar que, como dispone el artículo 1, aquella «tiene por objeto establecer un marco regulatorio que propicie el emprendimiento y el crecimiento, consolidación y sostenibilidad de las empresas, con el fin de aumentar el bienestar social y generar equidad». Esto, a partir de «[…] un enfoque regionalizado </w:t>
      </w:r>
      <w:proofErr w:type="gramStart"/>
      <w:r w:rsidRPr="004234B3">
        <w:rPr>
          <w:rFonts w:ascii="Arial" w:eastAsia="Calibri" w:hAnsi="Arial" w:cs="Arial"/>
          <w:color w:val="000000" w:themeColor="text1"/>
          <w:sz w:val="20"/>
          <w:szCs w:val="20"/>
          <w:lang w:val="es-ES_tradnl" w:eastAsia="es-ES_tradnl"/>
        </w:rPr>
        <w:t>de acuerdo a</w:t>
      </w:r>
      <w:proofErr w:type="gramEnd"/>
      <w:r w:rsidRPr="004234B3">
        <w:rPr>
          <w:rFonts w:ascii="Arial" w:eastAsia="Calibri" w:hAnsi="Arial" w:cs="Arial"/>
          <w:color w:val="000000" w:themeColor="text1"/>
          <w:sz w:val="20"/>
          <w:szCs w:val="20"/>
          <w:lang w:val="es-ES_tradnl" w:eastAsia="es-ES_tradnl"/>
        </w:rPr>
        <w:t xml:space="preserve"> las realidades socioeconómicas de cada región». En desarrollo de esta finalidad, se establecen medidas de apoyo para las micro, pequeñas y medianas empresas –</w:t>
      </w:r>
      <w:proofErr w:type="spellStart"/>
      <w:r w:rsidRPr="004234B3">
        <w:rPr>
          <w:rFonts w:ascii="Arial" w:eastAsia="Calibri" w:hAnsi="Arial" w:cs="Arial"/>
          <w:color w:val="000000" w:themeColor="text1"/>
          <w:sz w:val="20"/>
          <w:szCs w:val="20"/>
          <w:lang w:val="es-ES_tradnl" w:eastAsia="es-ES_tradnl"/>
        </w:rPr>
        <w:t>mipymes</w:t>
      </w:r>
      <w:proofErr w:type="spellEnd"/>
      <w:r w:rsidRPr="004234B3">
        <w:rPr>
          <w:rFonts w:ascii="Arial" w:eastAsia="Calibri" w:hAnsi="Arial" w:cs="Arial"/>
          <w:color w:val="000000" w:themeColor="text1"/>
          <w:sz w:val="20"/>
          <w:szCs w:val="20"/>
          <w:lang w:val="es-ES_tradnl" w:eastAsia="es-ES_tradnl"/>
        </w:rPr>
        <w:t>–, mediante la racionalización y simplificación de los trámites y tarifas, así como incentivos a favor de aquellas dentro del sistema de compras y contratación pública. También se consagran mecanismos de acceso al financiamiento, se unifican las fuentes de emprendimiento y de desarrollo empresarial, para fortalecer y promover los distintos sectores de la economía</w:t>
      </w:r>
      <w:r w:rsidRPr="004234B3">
        <w:rPr>
          <w:rFonts w:ascii="Arial" w:eastAsia="Calibri" w:hAnsi="Arial" w:cs="Arial"/>
          <w:color w:val="000000" w:themeColor="text1"/>
          <w:sz w:val="20"/>
          <w:szCs w:val="20"/>
          <w:vertAlign w:val="superscript"/>
          <w:lang w:val="es-ES_tradnl" w:eastAsia="es-ES_tradnl"/>
        </w:rPr>
        <w:t xml:space="preserve"> </w:t>
      </w:r>
      <w:r w:rsidRPr="004234B3">
        <w:rPr>
          <w:rFonts w:ascii="Arial" w:eastAsia="Calibri" w:hAnsi="Arial" w:cs="Arial"/>
          <w:color w:val="000000" w:themeColor="text1"/>
          <w:sz w:val="20"/>
          <w:szCs w:val="20"/>
          <w:lang w:val="es-ES_tradnl" w:eastAsia="es-ES_tradnl"/>
        </w:rPr>
        <w:t>y se prevén medidas de educación para el emprendimiento y la innovación.</w:t>
      </w:r>
    </w:p>
    <w:p w14:paraId="28DB7950" w14:textId="77777777" w:rsidR="009B5869" w:rsidRDefault="009B5869" w:rsidP="009B5869">
      <w:pPr>
        <w:spacing w:after="0" w:line="240" w:lineRule="auto"/>
        <w:rPr>
          <w:rFonts w:ascii="Arial" w:eastAsia="Calibri" w:hAnsi="Arial" w:cs="Arial"/>
          <w:color w:val="000000" w:themeColor="text1"/>
          <w:sz w:val="22"/>
          <w:lang w:val="es-ES_tradnl" w:eastAsia="es-ES_tradnl"/>
        </w:rPr>
      </w:pPr>
    </w:p>
    <w:p w14:paraId="3ABF287B" w14:textId="77777777" w:rsidR="00107669" w:rsidRPr="002A58B7" w:rsidRDefault="00107669" w:rsidP="00107669">
      <w:pPr>
        <w:spacing w:after="0" w:line="240" w:lineRule="auto"/>
        <w:rPr>
          <w:rFonts w:ascii="Arial" w:eastAsia="Calibri" w:hAnsi="Arial" w:cs="Arial"/>
          <w:b/>
          <w:color w:val="000000" w:themeColor="text1"/>
          <w:sz w:val="22"/>
          <w:szCs w:val="24"/>
          <w:lang w:val="es-ES_tradnl" w:eastAsia="es-ES_tradnl"/>
        </w:rPr>
      </w:pPr>
      <w:r w:rsidRPr="002A58B7">
        <w:rPr>
          <w:rFonts w:ascii="Arial" w:eastAsia="Calibri" w:hAnsi="Arial" w:cs="Arial"/>
          <w:b/>
          <w:color w:val="000000" w:themeColor="text1"/>
          <w:sz w:val="22"/>
          <w:szCs w:val="24"/>
          <w:lang w:val="es-ES_tradnl" w:eastAsia="es-ES_tradnl"/>
        </w:rPr>
        <w:t xml:space="preserve">MIPYMES – Artículo 34 de la Ley 2069 de 2020 – artículo 5 del Decreto 1860 de 2021 Convocatorias limitadas territorialmente - Vigencia </w:t>
      </w:r>
    </w:p>
    <w:p w14:paraId="5280CD86" w14:textId="77777777" w:rsidR="00107669" w:rsidRPr="004234B3" w:rsidRDefault="00107669" w:rsidP="004234B3">
      <w:pPr>
        <w:spacing w:after="0" w:line="240" w:lineRule="auto"/>
        <w:rPr>
          <w:rFonts w:ascii="Arial" w:eastAsia="Calibri" w:hAnsi="Arial" w:cs="Arial"/>
          <w:color w:val="000000" w:themeColor="text1"/>
          <w:sz w:val="20"/>
          <w:szCs w:val="20"/>
          <w:lang w:val="es-ES_tradnl" w:eastAsia="es-ES_tradnl"/>
        </w:rPr>
      </w:pPr>
    </w:p>
    <w:p w14:paraId="50A4F49C" w14:textId="572D8E48" w:rsidR="004234B3" w:rsidRDefault="004234B3" w:rsidP="004234B3">
      <w:pPr>
        <w:spacing w:after="0" w:line="240" w:lineRule="auto"/>
        <w:rPr>
          <w:rFonts w:ascii="Arial" w:eastAsia="Calibri" w:hAnsi="Arial" w:cs="Arial"/>
          <w:color w:val="000000" w:themeColor="text1"/>
          <w:sz w:val="20"/>
          <w:szCs w:val="20"/>
          <w:lang w:val="es-ES_tradnl" w:eastAsia="es-ES_tradnl"/>
        </w:rPr>
      </w:pPr>
      <w:r w:rsidRPr="004234B3">
        <w:rPr>
          <w:rFonts w:ascii="Arial" w:eastAsia="Calibri" w:hAnsi="Arial" w:cs="Arial"/>
          <w:color w:val="000000" w:themeColor="text1"/>
          <w:sz w:val="20"/>
          <w:szCs w:val="20"/>
          <w:lang w:val="es-ES_tradnl" w:eastAsia="es-ES_tradnl"/>
        </w:rPr>
        <w:t xml:space="preserve">Luego de explicar las reglas incluidas en la nueva regulación de la promoción del desarrollo en la contratación estatal, previstas en el artículo 34 de la Ley 2069 de 2020, y habiendo aclarado que dicha norma modificó el artículo 12 de la Ley 1150 de 2007, conviene preguntarse qué sucedió con la vigencia del artículo 2.2.1.2.4.2.2. original del Decreto 1082 de 2015, que, hasta la expedición de la Ley 2069 de 2020, regía las convocatorias limitadas a </w:t>
      </w:r>
      <w:proofErr w:type="spellStart"/>
      <w:r w:rsidRPr="004234B3">
        <w:rPr>
          <w:rFonts w:ascii="Arial" w:eastAsia="Calibri" w:hAnsi="Arial" w:cs="Arial"/>
          <w:color w:val="000000" w:themeColor="text1"/>
          <w:sz w:val="20"/>
          <w:szCs w:val="20"/>
          <w:lang w:val="es-ES_tradnl" w:eastAsia="es-ES_tradnl"/>
        </w:rPr>
        <w:t>Mipymes</w:t>
      </w:r>
      <w:proofErr w:type="spellEnd"/>
      <w:r w:rsidRPr="004234B3">
        <w:rPr>
          <w:rFonts w:ascii="Arial" w:eastAsia="Calibri" w:hAnsi="Arial" w:cs="Arial"/>
          <w:color w:val="000000" w:themeColor="text1"/>
          <w:sz w:val="20"/>
          <w:szCs w:val="20"/>
          <w:lang w:val="es-ES_tradnl" w:eastAsia="es-ES_tradnl"/>
        </w:rPr>
        <w:t xml:space="preserve">. En opinión de esta Agencia, dicho artículo del Decreto reglamentario perdió vigencia, porque su contenido era contrario al del artículo 34 de la Ley 2069 de 2020. En tal sentido, operó la pérdida de fuerza ejecutoria, de conformidad con el artículo 91, numeral 2, de la Ley 1437 de 2011, que establece que los actos administrativos –categoría que, como es sabido, incluye los decretos reglamentarios– dejan de ser obligatorios o decaen «Cuando desaparezcan sus fundamentos de hecho o de derecho». </w:t>
      </w:r>
    </w:p>
    <w:p w14:paraId="09B837FA" w14:textId="77777777" w:rsidR="004234B3" w:rsidRPr="004234B3" w:rsidRDefault="004234B3" w:rsidP="004234B3">
      <w:pPr>
        <w:spacing w:after="0" w:line="240" w:lineRule="auto"/>
        <w:rPr>
          <w:rFonts w:ascii="Arial" w:eastAsia="Calibri" w:hAnsi="Arial" w:cs="Arial"/>
          <w:color w:val="000000" w:themeColor="text1"/>
          <w:sz w:val="20"/>
          <w:szCs w:val="20"/>
          <w:lang w:val="es-ES_tradnl" w:eastAsia="es-ES_tradnl"/>
        </w:rPr>
      </w:pPr>
    </w:p>
    <w:p w14:paraId="6348E1BB" w14:textId="77777777" w:rsidR="004234B3" w:rsidRPr="004234B3" w:rsidRDefault="004234B3" w:rsidP="004234B3">
      <w:pPr>
        <w:spacing w:after="0" w:line="240" w:lineRule="auto"/>
        <w:rPr>
          <w:rFonts w:ascii="Arial" w:eastAsia="Calibri" w:hAnsi="Arial" w:cs="Arial"/>
          <w:color w:val="000000" w:themeColor="text1"/>
          <w:sz w:val="20"/>
          <w:szCs w:val="20"/>
          <w:lang w:val="es-ES_tradnl" w:eastAsia="es-ES_tradnl"/>
        </w:rPr>
      </w:pPr>
      <w:r w:rsidRPr="004234B3">
        <w:rPr>
          <w:rFonts w:ascii="Arial" w:eastAsia="Calibri" w:hAnsi="Arial" w:cs="Arial"/>
          <w:color w:val="000000" w:themeColor="text1"/>
          <w:sz w:val="20"/>
          <w:szCs w:val="20"/>
          <w:lang w:val="es-ES_tradnl" w:eastAsia="es-ES_tradnl"/>
        </w:rPr>
        <w:t xml:space="preserve">Lo anterior quedó reafirmado con la expedición del Decreto 1860 de 24 de diciembre de 2021, reglamento que modificó, entre otros aspectos, la Subsección 5 de la Sección 1 del Capítulo 2 del Título 1 de la Parte 2 del Libro 2 y los artículos 2.2.1.2.4.2.2. y 2.2.1.2.4.2.3. y siguientes del Decreto 1082 de 2015, Único Reglamentario del Sector Administrativo de Planeación Nacional. Estas modificaciones, </w:t>
      </w:r>
      <w:r w:rsidRPr="004234B3">
        <w:rPr>
          <w:rFonts w:ascii="Arial" w:eastAsia="Calibri" w:hAnsi="Arial" w:cs="Arial"/>
          <w:color w:val="000000" w:themeColor="text1"/>
          <w:sz w:val="20"/>
          <w:szCs w:val="20"/>
          <w:lang w:val="es-ES_tradnl"/>
        </w:rPr>
        <w:t>de acuerdo con el artículo 8 del Decreto 1860 de 2021 «aplicarán a los procedimientos de selección cuya invitación, aviso de convocatoria o documento equivalente se publique a los tres (3) meses contados a partir de su expedición», esto es, a partir del 24 de marzo de 2022</w:t>
      </w:r>
      <w:r w:rsidRPr="004234B3">
        <w:rPr>
          <w:rFonts w:ascii="Arial" w:eastAsia="Calibri" w:hAnsi="Arial" w:cs="Arial"/>
          <w:color w:val="000000" w:themeColor="text1"/>
          <w:sz w:val="20"/>
          <w:szCs w:val="20"/>
          <w:lang w:val="es-ES_tradnl" w:eastAsia="es-ES_tradnl"/>
        </w:rPr>
        <w:t>.</w:t>
      </w:r>
    </w:p>
    <w:p w14:paraId="2A02CF57" w14:textId="77777777" w:rsidR="00107669" w:rsidRPr="002A58B7" w:rsidRDefault="00107669" w:rsidP="00107669">
      <w:pPr>
        <w:spacing w:after="0" w:line="240" w:lineRule="auto"/>
        <w:rPr>
          <w:rFonts w:ascii="Arial" w:eastAsia="Calibri" w:hAnsi="Arial" w:cs="Arial"/>
          <w:b/>
          <w:color w:val="000000" w:themeColor="text1"/>
          <w:sz w:val="22"/>
          <w:szCs w:val="24"/>
          <w:lang w:val="es-ES_tradnl" w:eastAsia="es-ES_tradnl"/>
        </w:rPr>
      </w:pPr>
    </w:p>
    <w:p w14:paraId="48D8F4CD" w14:textId="77777777" w:rsidR="00107669" w:rsidRPr="002A58B7" w:rsidRDefault="00107669" w:rsidP="00107669">
      <w:pPr>
        <w:spacing w:after="0" w:line="240" w:lineRule="auto"/>
        <w:rPr>
          <w:rFonts w:ascii="Arial" w:eastAsia="Arial" w:hAnsi="Arial" w:cs="Arial"/>
          <w:b/>
          <w:color w:val="000000" w:themeColor="text1"/>
          <w:sz w:val="22"/>
          <w:szCs w:val="24"/>
          <w:lang w:val="es-CO" w:eastAsia="es-ES_tradnl"/>
        </w:rPr>
      </w:pPr>
      <w:bookmarkStart w:id="0" w:name="_Hlk57736164"/>
      <w:r w:rsidRPr="002A58B7">
        <w:rPr>
          <w:rFonts w:ascii="Arial" w:eastAsia="Arial" w:hAnsi="Arial" w:cs="Arial"/>
          <w:b/>
          <w:color w:val="000000" w:themeColor="text1"/>
          <w:sz w:val="22"/>
          <w:szCs w:val="24"/>
          <w:lang w:val="es-CO" w:eastAsia="es-ES_tradnl"/>
        </w:rPr>
        <w:t xml:space="preserve">CONVOCATORIAS LIMITADAS A MIPYMES NACIONALES – Limitación territorial – Relevancia del domicilio de la </w:t>
      </w:r>
      <w:proofErr w:type="spellStart"/>
      <w:r w:rsidRPr="002A58B7">
        <w:rPr>
          <w:rFonts w:ascii="Arial" w:eastAsia="Arial" w:hAnsi="Arial" w:cs="Arial"/>
          <w:b/>
          <w:color w:val="000000" w:themeColor="text1"/>
          <w:sz w:val="22"/>
          <w:szCs w:val="24"/>
          <w:lang w:val="es-CO" w:eastAsia="es-ES_tradnl"/>
        </w:rPr>
        <w:t>Mipymes</w:t>
      </w:r>
      <w:proofErr w:type="spellEnd"/>
    </w:p>
    <w:bookmarkEnd w:id="0"/>
    <w:p w14:paraId="46343F27" w14:textId="77777777" w:rsidR="00107669" w:rsidRPr="004234B3" w:rsidRDefault="00107669" w:rsidP="004234B3">
      <w:pPr>
        <w:spacing w:after="0" w:line="240" w:lineRule="auto"/>
        <w:rPr>
          <w:rFonts w:ascii="Arial" w:eastAsia="Arial" w:hAnsi="Arial" w:cs="Arial"/>
          <w:b/>
          <w:color w:val="000000" w:themeColor="text1"/>
          <w:sz w:val="20"/>
          <w:szCs w:val="20"/>
          <w:lang w:val="es-CO" w:eastAsia="es-ES_tradnl"/>
        </w:rPr>
      </w:pPr>
    </w:p>
    <w:p w14:paraId="14FC1E5D" w14:textId="5DEB729F" w:rsidR="004234B3" w:rsidRPr="004234B3" w:rsidRDefault="004234B3" w:rsidP="004234B3">
      <w:pPr>
        <w:spacing w:after="0" w:line="240" w:lineRule="auto"/>
        <w:rPr>
          <w:rFonts w:ascii="Arial" w:eastAsia="Calibri" w:hAnsi="Arial" w:cs="Arial"/>
          <w:color w:val="000000" w:themeColor="text1"/>
          <w:sz w:val="20"/>
          <w:szCs w:val="20"/>
          <w:lang w:val="es-ES_tradnl" w:eastAsia="es-ES_tradnl"/>
        </w:rPr>
      </w:pPr>
      <w:r w:rsidRPr="004234B3">
        <w:rPr>
          <w:rFonts w:ascii="Arial" w:eastAsia="Calibri" w:hAnsi="Arial" w:cs="Arial"/>
          <w:color w:val="000000" w:themeColor="text1"/>
          <w:sz w:val="20"/>
          <w:szCs w:val="20"/>
          <w:lang w:val="es-ES_tradnl" w:eastAsia="es-ES_tradnl"/>
        </w:rPr>
        <w:t xml:space="preserve">La norma reglamentaria coincide con la redacción del parágrafo 1 del artículo 34 de la Ley 2069 de 2020, según el cual, solo es posible limitar convocatorias a la participación de </w:t>
      </w:r>
      <w:proofErr w:type="spellStart"/>
      <w:r w:rsidRPr="004234B3">
        <w:rPr>
          <w:rFonts w:ascii="Arial" w:eastAsia="Calibri" w:hAnsi="Arial" w:cs="Arial"/>
          <w:color w:val="000000" w:themeColor="text1"/>
          <w:sz w:val="20"/>
          <w:szCs w:val="20"/>
          <w:lang w:val="es-ES_tradnl" w:eastAsia="es-ES_tradnl"/>
        </w:rPr>
        <w:t>mipymes</w:t>
      </w:r>
      <w:proofErr w:type="spellEnd"/>
      <w:r w:rsidRPr="004234B3">
        <w:rPr>
          <w:rFonts w:ascii="Arial" w:eastAsia="Calibri" w:hAnsi="Arial" w:cs="Arial"/>
          <w:color w:val="000000" w:themeColor="text1"/>
          <w:sz w:val="20"/>
          <w:szCs w:val="20"/>
          <w:lang w:val="es-ES_tradnl" w:eastAsia="es-ES_tradnl"/>
        </w:rPr>
        <w:t xml:space="preserve"> «[…] </w:t>
      </w:r>
      <w:r w:rsidRPr="004234B3">
        <w:rPr>
          <w:rFonts w:ascii="Arial" w:eastAsia="Calibri" w:hAnsi="Arial" w:cs="Arial"/>
          <w:color w:val="000000" w:themeColor="text1"/>
          <w:sz w:val="20"/>
          <w:szCs w:val="20"/>
          <w:lang w:val="es-CO" w:eastAsia="es-ES_tradnl"/>
        </w:rPr>
        <w:t xml:space="preserve">del </w:t>
      </w:r>
      <w:r w:rsidRPr="004234B3">
        <w:rPr>
          <w:rFonts w:ascii="Arial" w:eastAsia="Calibri" w:hAnsi="Arial" w:cs="Arial"/>
          <w:color w:val="000000" w:themeColor="text1"/>
          <w:sz w:val="20"/>
          <w:szCs w:val="20"/>
          <w:lang w:val="es-CO" w:eastAsia="es-ES_tradnl"/>
        </w:rPr>
        <w:lastRenderedPageBreak/>
        <w:t>ámbito municipal o departamental correspondiente al de la ejecución del contrato</w:t>
      </w:r>
      <w:r w:rsidRPr="004234B3">
        <w:rPr>
          <w:rFonts w:ascii="Arial" w:eastAsia="Calibri" w:hAnsi="Arial" w:cs="Arial"/>
          <w:color w:val="000000" w:themeColor="text1"/>
          <w:sz w:val="20"/>
          <w:szCs w:val="20"/>
          <w:lang w:val="es-ES_tradnl" w:eastAsia="es-ES_tradnl"/>
        </w:rPr>
        <w:t xml:space="preserve">». En tales términos, la norma citada contempla la posibilidad de limitar convocatorias a </w:t>
      </w:r>
      <w:proofErr w:type="spellStart"/>
      <w:r w:rsidRPr="004234B3">
        <w:rPr>
          <w:rFonts w:ascii="Arial" w:eastAsia="Calibri" w:hAnsi="Arial" w:cs="Arial"/>
          <w:color w:val="000000" w:themeColor="text1"/>
          <w:sz w:val="20"/>
          <w:szCs w:val="20"/>
          <w:lang w:val="es-ES_tradnl" w:eastAsia="es-ES_tradnl"/>
        </w:rPr>
        <w:t>mipymes</w:t>
      </w:r>
      <w:proofErr w:type="spellEnd"/>
      <w:r w:rsidRPr="004234B3">
        <w:rPr>
          <w:rFonts w:ascii="Arial" w:eastAsia="Calibri" w:hAnsi="Arial" w:cs="Arial"/>
          <w:color w:val="000000" w:themeColor="text1"/>
          <w:sz w:val="20"/>
          <w:szCs w:val="20"/>
          <w:lang w:val="es-ES_tradnl" w:eastAsia="es-ES_tradnl"/>
        </w:rPr>
        <w:t xml:space="preserve"> con domicilio en esos dos tipos de ámbitos territoriales. </w:t>
      </w:r>
    </w:p>
    <w:p w14:paraId="62E53B47" w14:textId="77777777" w:rsidR="004234B3" w:rsidRPr="004234B3" w:rsidRDefault="004234B3" w:rsidP="004234B3">
      <w:pPr>
        <w:spacing w:after="0" w:line="240" w:lineRule="auto"/>
        <w:rPr>
          <w:rFonts w:ascii="Arial" w:eastAsia="Arial" w:hAnsi="Arial" w:cs="Arial"/>
          <w:color w:val="000000" w:themeColor="text1"/>
          <w:sz w:val="20"/>
          <w:szCs w:val="20"/>
        </w:rPr>
      </w:pPr>
    </w:p>
    <w:p w14:paraId="272593E7" w14:textId="7D05CF0E" w:rsidR="004234B3" w:rsidRPr="004234B3" w:rsidRDefault="004234B3" w:rsidP="004234B3">
      <w:pPr>
        <w:spacing w:after="0" w:line="240" w:lineRule="auto"/>
        <w:rPr>
          <w:rFonts w:ascii="Arial" w:eastAsia="Arial" w:hAnsi="Arial" w:cs="Arial"/>
          <w:color w:val="000000" w:themeColor="text1"/>
          <w:sz w:val="20"/>
          <w:szCs w:val="20"/>
        </w:rPr>
      </w:pPr>
      <w:r w:rsidRPr="004234B3">
        <w:rPr>
          <w:rFonts w:ascii="Arial" w:eastAsia="Arial" w:hAnsi="Arial" w:cs="Arial"/>
          <w:color w:val="000000" w:themeColor="text1"/>
          <w:sz w:val="20"/>
          <w:szCs w:val="20"/>
        </w:rPr>
        <w:t xml:space="preserve">En ese sentido, toda empresa constituida bajo las leyes colombianas o que tenga su domicilio principal en el territorio colombiano y, además, cumpla los criterios previstos por la Ley 590 de 2000 y el Decreto 957 de 2019, será considerada </w:t>
      </w:r>
      <w:proofErr w:type="spellStart"/>
      <w:r w:rsidRPr="004234B3">
        <w:rPr>
          <w:rFonts w:ascii="Arial" w:eastAsia="Arial" w:hAnsi="Arial" w:cs="Arial"/>
          <w:color w:val="000000" w:themeColor="text1"/>
          <w:sz w:val="20"/>
          <w:szCs w:val="20"/>
        </w:rPr>
        <w:t>Mipyme</w:t>
      </w:r>
      <w:proofErr w:type="spellEnd"/>
      <w:r w:rsidRPr="004234B3">
        <w:rPr>
          <w:rFonts w:ascii="Arial" w:eastAsia="Arial" w:hAnsi="Arial" w:cs="Arial"/>
          <w:color w:val="000000" w:themeColor="text1"/>
          <w:sz w:val="20"/>
          <w:szCs w:val="20"/>
        </w:rPr>
        <w:t xml:space="preserve"> nacional. Además, las normas de contratación permiten que las </w:t>
      </w:r>
      <w:proofErr w:type="spellStart"/>
      <w:r w:rsidRPr="004234B3">
        <w:rPr>
          <w:rFonts w:ascii="Arial" w:eastAsia="Arial" w:hAnsi="Arial" w:cs="Arial"/>
          <w:color w:val="000000" w:themeColor="text1"/>
          <w:sz w:val="20"/>
          <w:szCs w:val="20"/>
        </w:rPr>
        <w:t>Mipymes</w:t>
      </w:r>
      <w:proofErr w:type="spellEnd"/>
      <w:r w:rsidRPr="004234B3">
        <w:rPr>
          <w:rFonts w:ascii="Arial" w:eastAsia="Arial" w:hAnsi="Arial" w:cs="Arial"/>
          <w:color w:val="000000" w:themeColor="text1"/>
          <w:sz w:val="20"/>
          <w:szCs w:val="20"/>
        </w:rPr>
        <w:t xml:space="preserve"> nacionales puedan beneficiarse de la ejecución de un contrato dentro del ámbito territorial en la que tienen su «domicilio», siempre que el proceso de contratación efectivamente se limite a </w:t>
      </w:r>
      <w:proofErr w:type="spellStart"/>
      <w:r w:rsidRPr="004234B3">
        <w:rPr>
          <w:rFonts w:ascii="Arial" w:eastAsia="Arial" w:hAnsi="Arial" w:cs="Arial"/>
          <w:color w:val="000000" w:themeColor="text1"/>
          <w:sz w:val="20"/>
          <w:szCs w:val="20"/>
        </w:rPr>
        <w:t>Mipymes</w:t>
      </w:r>
      <w:proofErr w:type="spellEnd"/>
      <w:r w:rsidRPr="004234B3">
        <w:rPr>
          <w:rFonts w:ascii="Arial" w:eastAsia="Arial" w:hAnsi="Arial" w:cs="Arial"/>
          <w:color w:val="000000" w:themeColor="text1"/>
          <w:sz w:val="20"/>
          <w:szCs w:val="20"/>
        </w:rPr>
        <w:t xml:space="preserve"> domiciliadas en determinado ámbito territorial, de conformidad con las reglas establecidas en el Decreto 1082 de 2015, modificado por el Decreto 1860 de 2021.</w:t>
      </w:r>
    </w:p>
    <w:p w14:paraId="05D1D6AC" w14:textId="77777777" w:rsidR="004234B3" w:rsidRPr="004234B3" w:rsidRDefault="004234B3" w:rsidP="004234B3">
      <w:pPr>
        <w:spacing w:after="0" w:line="240" w:lineRule="auto"/>
        <w:rPr>
          <w:rFonts w:ascii="Arial" w:eastAsia="Arial" w:hAnsi="Arial" w:cs="Arial"/>
          <w:color w:val="000000" w:themeColor="text1"/>
          <w:sz w:val="20"/>
          <w:szCs w:val="20"/>
        </w:rPr>
      </w:pPr>
    </w:p>
    <w:p w14:paraId="67A7CEA5" w14:textId="1A0D285A" w:rsidR="004234B3" w:rsidRPr="004234B3" w:rsidRDefault="004234B3" w:rsidP="004234B3">
      <w:pPr>
        <w:spacing w:after="0" w:line="240" w:lineRule="auto"/>
        <w:rPr>
          <w:rFonts w:ascii="Arial" w:eastAsia="Arial" w:hAnsi="Arial" w:cs="Arial"/>
          <w:color w:val="000000" w:themeColor="text1"/>
          <w:sz w:val="20"/>
          <w:szCs w:val="20"/>
        </w:rPr>
      </w:pPr>
      <w:r w:rsidRPr="004234B3">
        <w:rPr>
          <w:rFonts w:ascii="Arial" w:eastAsia="Arial" w:hAnsi="Arial" w:cs="Arial"/>
          <w:color w:val="000000" w:themeColor="text1"/>
          <w:sz w:val="20"/>
          <w:szCs w:val="20"/>
        </w:rPr>
        <w:t>En armonía con lo anterior, el artículo 2.2.1.2.4.2.3. del Decreto 1082 de 2015, modificado por el artículo 5 del Decreto 1860 de 2021 se refiere a las «</w:t>
      </w:r>
      <w:proofErr w:type="spellStart"/>
      <w:r w:rsidRPr="004234B3">
        <w:rPr>
          <w:rFonts w:ascii="Arial" w:eastAsia="Arial" w:hAnsi="Arial" w:cs="Arial"/>
          <w:color w:val="000000" w:themeColor="text1"/>
          <w:sz w:val="20"/>
          <w:szCs w:val="20"/>
        </w:rPr>
        <w:t>mipyme</w:t>
      </w:r>
      <w:proofErr w:type="spellEnd"/>
      <w:r w:rsidRPr="004234B3">
        <w:rPr>
          <w:rFonts w:ascii="Arial" w:eastAsia="Arial" w:hAnsi="Arial" w:cs="Arial"/>
          <w:color w:val="000000" w:themeColor="text1"/>
          <w:sz w:val="20"/>
          <w:szCs w:val="20"/>
        </w:rPr>
        <w:t xml:space="preserve"> colombianas que tengan domicilio en los departamentos o municipios en donde se va a ejecutar el contrato». Esta precisión es importante, pues el incentivo previsto en la norma únicamente aplica en el lugar de ejecución del contrato en el que la </w:t>
      </w:r>
      <w:proofErr w:type="spellStart"/>
      <w:r w:rsidRPr="004234B3">
        <w:rPr>
          <w:rFonts w:ascii="Arial" w:eastAsia="Arial" w:hAnsi="Arial" w:cs="Arial"/>
          <w:color w:val="000000" w:themeColor="text1"/>
          <w:sz w:val="20"/>
          <w:szCs w:val="20"/>
        </w:rPr>
        <w:t>Mipyme</w:t>
      </w:r>
      <w:proofErr w:type="spellEnd"/>
      <w:r w:rsidRPr="004234B3">
        <w:rPr>
          <w:rFonts w:ascii="Arial" w:eastAsia="Arial" w:hAnsi="Arial" w:cs="Arial"/>
          <w:color w:val="000000" w:themeColor="text1"/>
          <w:sz w:val="20"/>
          <w:szCs w:val="20"/>
        </w:rPr>
        <w:t xml:space="preserve"> tiene su «domicilio», y no en donde tiene sucursales o establecimientos de comercio. </w:t>
      </w:r>
    </w:p>
    <w:p w14:paraId="4CA390AA" w14:textId="77777777" w:rsidR="004234B3" w:rsidRPr="004234B3" w:rsidRDefault="004234B3" w:rsidP="004234B3">
      <w:pPr>
        <w:spacing w:after="0" w:line="240" w:lineRule="auto"/>
        <w:rPr>
          <w:rFonts w:ascii="Arial" w:eastAsia="Times New Roman" w:hAnsi="Arial" w:cs="Arial"/>
          <w:bCs/>
          <w:color w:val="000000" w:themeColor="text1"/>
          <w:sz w:val="20"/>
          <w:szCs w:val="20"/>
          <w:lang w:val="es-CO" w:eastAsia="es-ES"/>
        </w:rPr>
      </w:pPr>
    </w:p>
    <w:p w14:paraId="2BAF85F4" w14:textId="5ED9DE45" w:rsidR="004234B3" w:rsidRPr="004234B3" w:rsidRDefault="004234B3" w:rsidP="004234B3">
      <w:pPr>
        <w:spacing w:after="0" w:line="240" w:lineRule="auto"/>
        <w:rPr>
          <w:rFonts w:ascii="Arial" w:hAnsi="Arial" w:cs="Arial"/>
          <w:color w:val="000000" w:themeColor="text1"/>
          <w:sz w:val="20"/>
          <w:szCs w:val="20"/>
        </w:rPr>
      </w:pPr>
      <w:r w:rsidRPr="004234B3">
        <w:rPr>
          <w:rFonts w:ascii="Arial" w:eastAsia="Times New Roman" w:hAnsi="Arial" w:cs="Arial"/>
          <w:bCs/>
          <w:color w:val="000000" w:themeColor="text1"/>
          <w:sz w:val="20"/>
          <w:szCs w:val="20"/>
          <w:lang w:val="es-CO" w:eastAsia="es-ES"/>
        </w:rPr>
        <w:t xml:space="preserve">Para explicar las implicaciones del artículo, </w:t>
      </w:r>
      <w:r w:rsidRPr="004234B3">
        <w:rPr>
          <w:rFonts w:ascii="Arial" w:hAnsi="Arial" w:cs="Arial"/>
          <w:color w:val="000000" w:themeColor="text1"/>
          <w:sz w:val="20"/>
          <w:szCs w:val="20"/>
        </w:rPr>
        <w:t xml:space="preserve">en primera instancia, debe analizarse el alcance del término «domicilio» que, para el caso de las sociedades, se constituye en uno de los atributos de su personalidad, que, en derecho, son aquellas propiedades o características de identidad, propias de las personas, sean estas naturales o jurídicas, como titulares de derechos. En esta línea, este término es definido por el Código Civil en el artículo 76, el cual lo concibe como la residencia acompañada real o presuntivamente del ánimo de permanecer en ella, lo cual, para el caso de las sociedades se interpreta como el sitio donde éstas tienen el asiento principal de sus negocios. </w:t>
      </w:r>
    </w:p>
    <w:p w14:paraId="792E4482" w14:textId="77777777" w:rsidR="004234B3" w:rsidRPr="004234B3" w:rsidRDefault="004234B3" w:rsidP="004234B3">
      <w:pPr>
        <w:spacing w:after="0" w:line="240" w:lineRule="auto"/>
        <w:rPr>
          <w:rFonts w:ascii="Arial" w:hAnsi="Arial" w:cs="Arial"/>
          <w:color w:val="000000" w:themeColor="text1"/>
          <w:sz w:val="20"/>
          <w:szCs w:val="20"/>
        </w:rPr>
      </w:pPr>
    </w:p>
    <w:p w14:paraId="07B2BEB5" w14:textId="131EE47C" w:rsidR="004234B3" w:rsidRDefault="004234B3" w:rsidP="004234B3">
      <w:pPr>
        <w:spacing w:after="0" w:line="240" w:lineRule="auto"/>
        <w:rPr>
          <w:rFonts w:ascii="Arial" w:eastAsia="Arial" w:hAnsi="Arial" w:cs="Arial"/>
          <w:color w:val="000000" w:themeColor="text1"/>
          <w:sz w:val="20"/>
          <w:szCs w:val="20"/>
        </w:rPr>
      </w:pPr>
      <w:r w:rsidRPr="004234B3">
        <w:rPr>
          <w:rFonts w:ascii="Arial" w:hAnsi="Arial" w:cs="Arial"/>
          <w:color w:val="000000" w:themeColor="text1"/>
          <w:sz w:val="20"/>
          <w:szCs w:val="20"/>
        </w:rPr>
        <w:t xml:space="preserve">El </w:t>
      </w:r>
      <w:r w:rsidRPr="004234B3">
        <w:rPr>
          <w:rFonts w:ascii="Arial" w:eastAsia="Arial" w:hAnsi="Arial" w:cs="Arial"/>
          <w:color w:val="000000" w:themeColor="text1"/>
          <w:sz w:val="20"/>
          <w:szCs w:val="20"/>
        </w:rPr>
        <w:t xml:space="preserve">artículo 263 del Código de Comercio define las sucursales como «los establecimientos de comercio abiertos por una sociedad, dentro o fuera de su domicilio, para el desarrollo de los negocios sociales o parte de ellos, administrados por mandatarios con facultades para representar la sociedad». Nótese que la norma se refiere a los conceptos de «sucursal» y «domicilio» de forma diferente, de lo que se deriva que las sociedades comerciales tienen un domicilio y pueden tener una o varias sucursales que son establecimientos de comercio, esto es, bienes mercantiles pertenecientes a la sociedad. En ese mismo sentido, los artículos 110 y 111 </w:t>
      </w:r>
      <w:proofErr w:type="spellStart"/>
      <w:r w:rsidRPr="004234B3">
        <w:rPr>
          <w:rFonts w:ascii="Arial" w:eastAsia="Arial" w:hAnsi="Arial" w:cs="Arial"/>
          <w:i/>
          <w:color w:val="000000" w:themeColor="text1"/>
          <w:sz w:val="20"/>
          <w:szCs w:val="20"/>
        </w:rPr>
        <w:t>ibídem</w:t>
      </w:r>
      <w:proofErr w:type="spellEnd"/>
      <w:r w:rsidRPr="004234B3">
        <w:rPr>
          <w:rFonts w:ascii="Arial" w:eastAsia="Arial" w:hAnsi="Arial" w:cs="Arial"/>
          <w:color w:val="000000" w:themeColor="text1"/>
          <w:sz w:val="20"/>
          <w:szCs w:val="20"/>
        </w:rPr>
        <w:t xml:space="preserve"> se refieren a tales conceptos de forma independiente. El uno para referirse a los requisitos de constitución de una sociedad comercial y el otro para determinar el lugar donde se debe inscribir la escritura pública de constitución de la sociedad comercial. De esta manera, si el legislador distinguió entre uno y otro, y si el reglamento se refiere al «domicilio», se entiende que no es procedente extender el beneficio contenido en el artículo 2.2.1.2.4.2.3. </w:t>
      </w:r>
      <w:proofErr w:type="spellStart"/>
      <w:r w:rsidRPr="004234B3">
        <w:rPr>
          <w:rFonts w:ascii="Arial" w:eastAsia="Arial" w:hAnsi="Arial" w:cs="Arial"/>
          <w:i/>
          <w:color w:val="000000" w:themeColor="text1"/>
          <w:sz w:val="20"/>
          <w:szCs w:val="20"/>
        </w:rPr>
        <w:t>ibídem</w:t>
      </w:r>
      <w:proofErr w:type="spellEnd"/>
      <w:r w:rsidRPr="004234B3">
        <w:rPr>
          <w:rFonts w:ascii="Arial" w:eastAsia="Arial" w:hAnsi="Arial" w:cs="Arial"/>
          <w:i/>
          <w:color w:val="000000" w:themeColor="text1"/>
          <w:sz w:val="20"/>
          <w:szCs w:val="20"/>
        </w:rPr>
        <w:t xml:space="preserve"> </w:t>
      </w:r>
      <w:r w:rsidRPr="004234B3">
        <w:rPr>
          <w:rFonts w:ascii="Arial" w:eastAsia="Arial" w:hAnsi="Arial" w:cs="Arial"/>
          <w:color w:val="000000" w:themeColor="text1"/>
          <w:sz w:val="20"/>
          <w:szCs w:val="20"/>
        </w:rPr>
        <w:t>a las entidades que tienen «sucursales» en el municipio o departamento en donde se va a ejecutar el contrato estatal.</w:t>
      </w:r>
    </w:p>
    <w:p w14:paraId="23302D02" w14:textId="77777777" w:rsidR="004234B3" w:rsidRPr="004234B3" w:rsidRDefault="004234B3" w:rsidP="004234B3">
      <w:pPr>
        <w:spacing w:after="0" w:line="240" w:lineRule="auto"/>
        <w:rPr>
          <w:rFonts w:ascii="Arial" w:hAnsi="Arial" w:cs="Arial"/>
          <w:color w:val="000000" w:themeColor="text1"/>
          <w:sz w:val="20"/>
          <w:szCs w:val="20"/>
        </w:rPr>
      </w:pPr>
    </w:p>
    <w:p w14:paraId="6F4AC9CB" w14:textId="14DA0963" w:rsidR="004234B3" w:rsidRPr="004234B3" w:rsidRDefault="004234B3" w:rsidP="004234B3">
      <w:pPr>
        <w:spacing w:after="0" w:line="240" w:lineRule="auto"/>
        <w:rPr>
          <w:rFonts w:ascii="Arial" w:eastAsia="Arial" w:hAnsi="Arial" w:cs="Arial"/>
          <w:color w:val="000000" w:themeColor="text1"/>
          <w:sz w:val="20"/>
          <w:szCs w:val="20"/>
        </w:rPr>
      </w:pPr>
      <w:r w:rsidRPr="004234B3">
        <w:rPr>
          <w:rFonts w:ascii="Arial" w:eastAsia="Arial" w:hAnsi="Arial" w:cs="Arial"/>
          <w:color w:val="000000" w:themeColor="text1"/>
          <w:sz w:val="20"/>
          <w:szCs w:val="20"/>
        </w:rPr>
        <w:t xml:space="preserve">Sin perjuicio de lo anterior, no puede perderse de vista que la decisión de limitar «a </w:t>
      </w:r>
      <w:proofErr w:type="spellStart"/>
      <w:r w:rsidRPr="004234B3">
        <w:rPr>
          <w:rFonts w:ascii="Arial" w:eastAsia="Arial" w:hAnsi="Arial" w:cs="Arial"/>
          <w:color w:val="000000" w:themeColor="text1"/>
          <w:sz w:val="20"/>
          <w:szCs w:val="20"/>
        </w:rPr>
        <w:t>Mipyme</w:t>
      </w:r>
      <w:proofErr w:type="spellEnd"/>
      <w:r w:rsidRPr="004234B3">
        <w:rPr>
          <w:rFonts w:ascii="Arial" w:eastAsia="Arial" w:hAnsi="Arial" w:cs="Arial"/>
          <w:color w:val="000000" w:themeColor="text1"/>
          <w:sz w:val="20"/>
          <w:szCs w:val="20"/>
        </w:rPr>
        <w:t xml:space="preserve"> colombianas que tengan domicilio en los departamentos o municipios en donde se va a ejecutar el contrato», aunque es facultativa de la entidad, está supeditada a que se verifiquen los requisitos establecidos en los numerales 1 y 2 del artículo 2.2.1.2.4.2.2. del Decreto 1082 de 2015, modificado por el Decreto 1860 de 2021. En ese sentido, si la entidad no recibió las solicitudes para limitar la convocatoria a </w:t>
      </w:r>
      <w:proofErr w:type="spellStart"/>
      <w:r w:rsidRPr="004234B3">
        <w:rPr>
          <w:rFonts w:ascii="Arial" w:eastAsia="Arial" w:hAnsi="Arial" w:cs="Arial"/>
          <w:color w:val="000000" w:themeColor="text1"/>
          <w:sz w:val="20"/>
          <w:szCs w:val="20"/>
        </w:rPr>
        <w:t>Mipymes</w:t>
      </w:r>
      <w:proofErr w:type="spellEnd"/>
      <w:r w:rsidRPr="004234B3">
        <w:rPr>
          <w:rFonts w:ascii="Arial" w:eastAsia="Arial" w:hAnsi="Arial" w:cs="Arial"/>
          <w:color w:val="000000" w:themeColor="text1"/>
          <w:sz w:val="20"/>
          <w:szCs w:val="20"/>
        </w:rPr>
        <w:t xml:space="preserve">, no puede </w:t>
      </w:r>
      <w:proofErr w:type="gramStart"/>
      <w:r w:rsidRPr="004234B3">
        <w:rPr>
          <w:rFonts w:ascii="Arial" w:eastAsia="Arial" w:hAnsi="Arial" w:cs="Arial"/>
          <w:i/>
          <w:color w:val="000000" w:themeColor="text1"/>
          <w:sz w:val="20"/>
          <w:szCs w:val="20"/>
        </w:rPr>
        <w:t>motu propio</w:t>
      </w:r>
      <w:proofErr w:type="gramEnd"/>
      <w:r w:rsidRPr="004234B3">
        <w:rPr>
          <w:rFonts w:ascii="Arial" w:eastAsia="Arial" w:hAnsi="Arial" w:cs="Arial"/>
          <w:i/>
          <w:color w:val="000000" w:themeColor="text1"/>
          <w:sz w:val="20"/>
          <w:szCs w:val="20"/>
        </w:rPr>
        <w:t xml:space="preserve"> </w:t>
      </w:r>
      <w:r w:rsidRPr="004234B3">
        <w:rPr>
          <w:rFonts w:ascii="Arial" w:eastAsia="Arial" w:hAnsi="Arial" w:cs="Arial"/>
          <w:color w:val="000000" w:themeColor="text1"/>
          <w:sz w:val="20"/>
          <w:szCs w:val="20"/>
        </w:rPr>
        <w:t xml:space="preserve">proceder con la «limitación territorial» de que trata el artículo 2.2.1.2.4.2.3. del Decreto 1082 de 2015. Esto debido a que el ejercicio de esta facultad solo puede darse ante la «limitación a </w:t>
      </w:r>
      <w:proofErr w:type="spellStart"/>
      <w:r w:rsidRPr="004234B3">
        <w:rPr>
          <w:rFonts w:ascii="Arial" w:eastAsia="Arial" w:hAnsi="Arial" w:cs="Arial"/>
          <w:color w:val="000000" w:themeColor="text1"/>
          <w:sz w:val="20"/>
          <w:szCs w:val="20"/>
        </w:rPr>
        <w:t>Mipymes</w:t>
      </w:r>
      <w:proofErr w:type="spellEnd"/>
      <w:r w:rsidRPr="004234B3">
        <w:rPr>
          <w:rFonts w:ascii="Arial" w:eastAsia="Arial" w:hAnsi="Arial" w:cs="Arial"/>
          <w:color w:val="000000" w:themeColor="text1"/>
          <w:sz w:val="20"/>
          <w:szCs w:val="20"/>
        </w:rPr>
        <w:t xml:space="preserve"> colombianas», lo cual supone verificar los supuestos legales establecidos en los mencionados numerales.</w:t>
      </w:r>
    </w:p>
    <w:p w14:paraId="72F21BB3" w14:textId="4459C513" w:rsidR="00107669" w:rsidRPr="002A58B7" w:rsidRDefault="00107669" w:rsidP="004234B3">
      <w:pPr>
        <w:spacing w:after="120" w:line="240" w:lineRule="auto"/>
        <w:rPr>
          <w:rFonts w:ascii="Arial" w:eastAsia="Arial" w:hAnsi="Arial" w:cs="Arial"/>
          <w:color w:val="000000" w:themeColor="text1"/>
          <w:sz w:val="20"/>
          <w:szCs w:val="20"/>
          <w:lang w:val="es-CO" w:eastAsia="es-ES_tradnl"/>
        </w:rPr>
      </w:pPr>
    </w:p>
    <w:p w14:paraId="4D1D93C5" w14:textId="5C71FBFE" w:rsidR="00107669" w:rsidRPr="002A58B7" w:rsidRDefault="00043A02" w:rsidP="00107669">
      <w:pPr>
        <w:spacing w:after="0" w:line="240" w:lineRule="auto"/>
        <w:rPr>
          <w:rFonts w:ascii="Arial" w:eastAsia="Calibri" w:hAnsi="Arial" w:cs="Arial"/>
          <w:b/>
          <w:color w:val="000000" w:themeColor="text1"/>
          <w:sz w:val="22"/>
          <w:szCs w:val="24"/>
          <w:lang w:val="es-ES_tradnl" w:eastAsia="es-ES_tradnl"/>
        </w:rPr>
      </w:pPr>
      <w:r>
        <w:rPr>
          <w:rFonts w:ascii="Times New Roman" w:eastAsia="Arial MT" w:hAnsi="Arial MT" w:cs="Arial MT"/>
          <w:noProof/>
          <w:sz w:val="20"/>
          <w:lang w:val="en-US"/>
        </w:rPr>
        <w:lastRenderedPageBreak/>
        <w:drawing>
          <wp:anchor distT="0" distB="0" distL="114300" distR="114300" simplePos="0" relativeHeight="251660288" behindDoc="0" locked="0" layoutInCell="1" allowOverlap="1" wp14:anchorId="54EFE22C" wp14:editId="5A5D8B0D">
            <wp:simplePos x="0" y="0"/>
            <wp:positionH relativeFrom="column">
              <wp:posOffset>3139440</wp:posOffset>
            </wp:positionH>
            <wp:positionV relativeFrom="paragraph">
              <wp:posOffset>126365</wp:posOffset>
            </wp:positionV>
            <wp:extent cx="2400300" cy="615950"/>
            <wp:effectExtent l="0" t="0" r="0" b="0"/>
            <wp:wrapSquare wrapText="bothSides"/>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400300" cy="615950"/>
                    </a:xfrm>
                    <a:prstGeom prst="rect">
                      <a:avLst/>
                    </a:prstGeom>
                    <a:noFill/>
                    <a:ln>
                      <a:noFill/>
                    </a:ln>
                  </pic:spPr>
                </pic:pic>
              </a:graphicData>
            </a:graphic>
          </wp:anchor>
        </w:drawing>
      </w:r>
    </w:p>
    <w:p w14:paraId="736BC59B" w14:textId="4709C25B" w:rsidR="00043A02" w:rsidRPr="00043A02" w:rsidRDefault="00043A02" w:rsidP="00043A02">
      <w:pPr>
        <w:widowControl w:val="0"/>
        <w:autoSpaceDE w:val="0"/>
        <w:autoSpaceDN w:val="0"/>
        <w:spacing w:after="0" w:line="240" w:lineRule="auto"/>
        <w:ind w:left="3812"/>
        <w:jc w:val="left"/>
        <w:rPr>
          <w:rFonts w:ascii="Times New Roman" w:eastAsia="Arial MT" w:hAnsi="Arial MT" w:cs="Arial MT"/>
          <w:sz w:val="20"/>
          <w:lang w:val="es-ES"/>
        </w:rPr>
      </w:pPr>
    </w:p>
    <w:p w14:paraId="0888C0A6" w14:textId="77777777" w:rsidR="00043A02" w:rsidRPr="00043A02" w:rsidRDefault="00043A02" w:rsidP="00043A02">
      <w:pPr>
        <w:widowControl w:val="0"/>
        <w:autoSpaceDE w:val="0"/>
        <w:autoSpaceDN w:val="0"/>
        <w:spacing w:after="0" w:line="240" w:lineRule="auto"/>
        <w:jc w:val="left"/>
        <w:rPr>
          <w:rFonts w:ascii="Times New Roman" w:eastAsia="Arial MT" w:hAnsi="Arial MT" w:cs="Arial MT"/>
          <w:sz w:val="20"/>
          <w:lang w:val="es-ES"/>
        </w:rPr>
      </w:pPr>
    </w:p>
    <w:p w14:paraId="0153652B" w14:textId="77777777" w:rsidR="00043A02" w:rsidRPr="00043A02" w:rsidRDefault="00043A02" w:rsidP="00043A02">
      <w:pPr>
        <w:widowControl w:val="0"/>
        <w:autoSpaceDE w:val="0"/>
        <w:autoSpaceDN w:val="0"/>
        <w:spacing w:after="0" w:line="240" w:lineRule="auto"/>
        <w:jc w:val="left"/>
        <w:rPr>
          <w:rFonts w:ascii="Times New Roman" w:eastAsia="Arial MT" w:hAnsi="Arial MT" w:cs="Arial MT"/>
          <w:sz w:val="20"/>
          <w:lang w:val="es-ES"/>
        </w:rPr>
      </w:pPr>
    </w:p>
    <w:p w14:paraId="775CD352" w14:textId="77777777" w:rsidR="00043A02" w:rsidRPr="00043A02" w:rsidRDefault="00043A02" w:rsidP="00043A02">
      <w:pPr>
        <w:widowControl w:val="0"/>
        <w:autoSpaceDE w:val="0"/>
        <w:autoSpaceDN w:val="0"/>
        <w:spacing w:before="2" w:after="0" w:line="240" w:lineRule="auto"/>
        <w:jc w:val="left"/>
        <w:rPr>
          <w:rFonts w:ascii="Times New Roman" w:eastAsia="Arial MT" w:hAnsi="Arial MT" w:cs="Arial MT"/>
          <w:sz w:val="19"/>
          <w:lang w:val="es-ES"/>
        </w:rPr>
      </w:pPr>
    </w:p>
    <w:p w14:paraId="4A8C8653" w14:textId="77777777" w:rsidR="00043A02" w:rsidRDefault="00043A02" w:rsidP="00043A02">
      <w:pPr>
        <w:widowControl w:val="0"/>
        <w:autoSpaceDE w:val="0"/>
        <w:autoSpaceDN w:val="0"/>
        <w:spacing w:before="94" w:after="0" w:line="240" w:lineRule="auto"/>
        <w:ind w:right="533"/>
        <w:jc w:val="right"/>
        <w:rPr>
          <w:rFonts w:ascii="Arial" w:eastAsia="Arial MT" w:hAnsi="Arial MT" w:cs="Arial MT"/>
          <w:b/>
          <w:color w:val="585858"/>
          <w:sz w:val="18"/>
          <w:lang w:val="es-ES"/>
        </w:rPr>
      </w:pPr>
    </w:p>
    <w:p w14:paraId="3F23F38A" w14:textId="59B68801" w:rsidR="00043A02" w:rsidRPr="00043A02" w:rsidRDefault="00043A02" w:rsidP="00043A02">
      <w:pPr>
        <w:widowControl w:val="0"/>
        <w:autoSpaceDE w:val="0"/>
        <w:autoSpaceDN w:val="0"/>
        <w:spacing w:before="94" w:after="0" w:line="240" w:lineRule="auto"/>
        <w:ind w:right="533"/>
        <w:jc w:val="right"/>
        <w:rPr>
          <w:rFonts w:ascii="Arial" w:eastAsia="Arial MT" w:hAnsi="Arial MT" w:cs="Arial MT"/>
          <w:b/>
          <w:sz w:val="18"/>
          <w:lang w:val="es-ES"/>
        </w:rPr>
      </w:pPr>
      <w:r w:rsidRPr="00043A02">
        <w:rPr>
          <w:rFonts w:ascii="Arial" w:eastAsia="Arial MT" w:hAnsi="Arial MT" w:cs="Arial MT"/>
          <w:b/>
          <w:color w:val="585858"/>
          <w:sz w:val="18"/>
          <w:lang w:val="es-ES"/>
        </w:rPr>
        <w:t>CCE-DES-FM-17</w:t>
      </w:r>
    </w:p>
    <w:p w14:paraId="6142D929" w14:textId="77777777" w:rsidR="00043A02" w:rsidRPr="00043A02" w:rsidRDefault="00043A02" w:rsidP="00043A02">
      <w:pPr>
        <w:widowControl w:val="0"/>
        <w:autoSpaceDE w:val="0"/>
        <w:autoSpaceDN w:val="0"/>
        <w:spacing w:after="0" w:line="240" w:lineRule="auto"/>
        <w:jc w:val="left"/>
        <w:rPr>
          <w:rFonts w:ascii="Arial" w:eastAsia="Arial MT" w:hAnsi="Arial MT" w:cs="Arial MT"/>
          <w:b/>
          <w:sz w:val="20"/>
          <w:lang w:val="es-ES"/>
        </w:rPr>
      </w:pPr>
    </w:p>
    <w:p w14:paraId="453D2C5E" w14:textId="4FEBA1B4" w:rsidR="005C1D3E" w:rsidRPr="00043A02" w:rsidRDefault="00043A02" w:rsidP="00043A02">
      <w:pPr>
        <w:widowControl w:val="0"/>
        <w:autoSpaceDE w:val="0"/>
        <w:autoSpaceDN w:val="0"/>
        <w:spacing w:after="0" w:line="240" w:lineRule="auto"/>
        <w:ind w:left="100"/>
        <w:jc w:val="left"/>
        <w:rPr>
          <w:rFonts w:ascii="Arial MT" w:eastAsia="Arial MT" w:hAnsi="Arial MT" w:cs="Arial MT"/>
          <w:sz w:val="22"/>
          <w:lang w:val="es-ES"/>
        </w:rPr>
      </w:pPr>
      <w:r w:rsidRPr="00043A02">
        <w:rPr>
          <w:rFonts w:ascii="Arial MT" w:eastAsia="Arial MT" w:hAnsi="Arial MT" w:cs="Arial MT"/>
          <w:color w:val="4E4D4D"/>
          <w:sz w:val="22"/>
          <w:lang w:val="es-ES"/>
        </w:rPr>
        <w:t>Bogotá,</w:t>
      </w:r>
      <w:r w:rsidRPr="00043A02">
        <w:rPr>
          <w:rFonts w:ascii="Arial MT" w:eastAsia="Arial MT" w:hAnsi="Arial MT" w:cs="Arial MT"/>
          <w:color w:val="4E4D4D"/>
          <w:spacing w:val="-1"/>
          <w:sz w:val="22"/>
          <w:lang w:val="es-ES"/>
        </w:rPr>
        <w:t xml:space="preserve"> </w:t>
      </w:r>
      <w:r w:rsidRPr="00043A02">
        <w:rPr>
          <w:rFonts w:ascii="Arial MT" w:eastAsia="Arial MT" w:hAnsi="Arial MT" w:cs="Arial MT"/>
          <w:color w:val="4E4D4D"/>
          <w:sz w:val="22"/>
          <w:lang w:val="es-ES"/>
        </w:rPr>
        <w:t>18</w:t>
      </w:r>
      <w:r w:rsidRPr="00043A02">
        <w:rPr>
          <w:rFonts w:ascii="Arial MT" w:eastAsia="Arial MT" w:hAnsi="Arial MT" w:cs="Arial MT"/>
          <w:color w:val="4E4D4D"/>
          <w:spacing w:val="-4"/>
          <w:sz w:val="22"/>
          <w:lang w:val="es-ES"/>
        </w:rPr>
        <w:t xml:space="preserve"> </w:t>
      </w:r>
      <w:proofErr w:type="gramStart"/>
      <w:r w:rsidRPr="00043A02">
        <w:rPr>
          <w:rFonts w:ascii="Arial MT" w:eastAsia="Arial MT" w:hAnsi="Arial MT" w:cs="Arial MT"/>
          <w:color w:val="4E4D4D"/>
          <w:sz w:val="22"/>
          <w:lang w:val="es-ES"/>
        </w:rPr>
        <w:t>Mayo</w:t>
      </w:r>
      <w:proofErr w:type="gramEnd"/>
      <w:r w:rsidRPr="00043A02">
        <w:rPr>
          <w:rFonts w:ascii="Arial MT" w:eastAsia="Arial MT" w:hAnsi="Arial MT" w:cs="Arial MT"/>
          <w:color w:val="4E4D4D"/>
          <w:spacing w:val="-3"/>
          <w:sz w:val="22"/>
          <w:lang w:val="es-ES"/>
        </w:rPr>
        <w:t xml:space="preserve"> </w:t>
      </w:r>
      <w:r w:rsidRPr="00043A02">
        <w:rPr>
          <w:rFonts w:ascii="Arial MT" w:eastAsia="Arial MT" w:hAnsi="Arial MT" w:cs="Arial MT"/>
          <w:color w:val="4E4D4D"/>
          <w:sz w:val="22"/>
          <w:lang w:val="es-ES"/>
        </w:rPr>
        <w:t>2022</w:t>
      </w:r>
    </w:p>
    <w:p w14:paraId="59A36403" w14:textId="3AB3414B" w:rsidR="005C1D3E" w:rsidRPr="002A58B7" w:rsidRDefault="005C1D3E" w:rsidP="0071526C">
      <w:pPr>
        <w:widowControl w:val="0"/>
        <w:autoSpaceDE w:val="0"/>
        <w:autoSpaceDN w:val="0"/>
        <w:spacing w:before="45" w:after="0" w:line="490" w:lineRule="exact"/>
        <w:ind w:left="100" w:right="6280"/>
        <w:jc w:val="left"/>
        <w:rPr>
          <w:rFonts w:ascii="Arial MT" w:eastAsia="Arial MT" w:hAnsi="Arial MT" w:cs="Arial MT"/>
          <w:color w:val="000000" w:themeColor="text1"/>
          <w:sz w:val="22"/>
          <w:lang w:val="es-ES"/>
        </w:rPr>
      </w:pPr>
      <w:r w:rsidRPr="002A58B7">
        <w:rPr>
          <w:rFonts w:ascii="Arial MT" w:eastAsia="Arial MT" w:hAnsi="Arial MT" w:cs="Arial MT"/>
          <w:color w:val="000000" w:themeColor="text1"/>
          <w:sz w:val="22"/>
          <w:lang w:val="es-ES"/>
        </w:rPr>
        <w:t>Señor</w:t>
      </w:r>
    </w:p>
    <w:p w14:paraId="7EEF2961" w14:textId="2329EF8C" w:rsidR="0071526C" w:rsidRPr="002A58B7" w:rsidRDefault="005C1D3E" w:rsidP="0071526C">
      <w:pPr>
        <w:widowControl w:val="0"/>
        <w:autoSpaceDE w:val="0"/>
        <w:autoSpaceDN w:val="0"/>
        <w:spacing w:after="0" w:line="203" w:lineRule="exact"/>
        <w:ind w:left="100"/>
        <w:jc w:val="left"/>
        <w:outlineLvl w:val="0"/>
        <w:rPr>
          <w:rFonts w:ascii="Arial" w:eastAsia="Arial" w:hAnsi="Arial" w:cs="Arial"/>
          <w:b/>
          <w:bCs/>
          <w:color w:val="000000" w:themeColor="text1"/>
          <w:sz w:val="22"/>
          <w:lang w:val="es-ES"/>
        </w:rPr>
      </w:pPr>
      <w:r w:rsidRPr="002A58B7">
        <w:rPr>
          <w:rFonts w:ascii="Arial" w:eastAsia="Arial" w:hAnsi="Arial" w:cs="Arial"/>
          <w:b/>
          <w:bCs/>
          <w:color w:val="000000" w:themeColor="text1"/>
          <w:sz w:val="22"/>
          <w:lang w:val="es-ES"/>
        </w:rPr>
        <w:t>William Sosa</w:t>
      </w:r>
    </w:p>
    <w:p w14:paraId="430A3226" w14:textId="088CA197" w:rsidR="005C1D3E" w:rsidRPr="002A58B7" w:rsidRDefault="005C1D3E" w:rsidP="0071526C">
      <w:pPr>
        <w:widowControl w:val="0"/>
        <w:autoSpaceDE w:val="0"/>
        <w:autoSpaceDN w:val="0"/>
        <w:spacing w:after="0" w:line="240" w:lineRule="auto"/>
        <w:ind w:left="100"/>
        <w:jc w:val="left"/>
        <w:rPr>
          <w:rFonts w:ascii="Arial MT" w:eastAsia="Arial MT" w:hAnsi="Arial MT" w:cs="Arial MT"/>
          <w:color w:val="000000" w:themeColor="text1"/>
          <w:sz w:val="22"/>
          <w:lang w:val="es-ES"/>
        </w:rPr>
      </w:pPr>
      <w:r w:rsidRPr="002A58B7">
        <w:rPr>
          <w:rFonts w:ascii="Arial MT" w:eastAsia="Arial MT" w:hAnsi="Arial MT" w:cs="Arial MT"/>
          <w:color w:val="000000" w:themeColor="text1"/>
          <w:sz w:val="22"/>
          <w:lang w:val="es-ES"/>
        </w:rPr>
        <w:t xml:space="preserve">Grupo </w:t>
      </w:r>
      <w:proofErr w:type="spellStart"/>
      <w:r w:rsidRPr="002A58B7">
        <w:rPr>
          <w:rFonts w:ascii="Arial MT" w:eastAsia="Arial MT" w:hAnsi="Arial MT" w:cs="Arial MT"/>
          <w:color w:val="000000" w:themeColor="text1"/>
          <w:sz w:val="22"/>
          <w:lang w:val="es-ES"/>
        </w:rPr>
        <w:t>Jenisa</w:t>
      </w:r>
      <w:proofErr w:type="spellEnd"/>
      <w:r w:rsidRPr="002A58B7">
        <w:rPr>
          <w:rFonts w:ascii="Arial MT" w:eastAsia="Arial MT" w:hAnsi="Arial MT" w:cs="Arial MT"/>
          <w:color w:val="000000" w:themeColor="text1"/>
          <w:sz w:val="22"/>
          <w:lang w:val="es-ES"/>
        </w:rPr>
        <w:t xml:space="preserve"> S.A.S.</w:t>
      </w:r>
    </w:p>
    <w:p w14:paraId="161FE02B" w14:textId="5FB994DF" w:rsidR="005C1D3E" w:rsidRPr="002A58B7" w:rsidRDefault="005C1D3E" w:rsidP="0071526C">
      <w:pPr>
        <w:widowControl w:val="0"/>
        <w:autoSpaceDE w:val="0"/>
        <w:autoSpaceDN w:val="0"/>
        <w:spacing w:after="0" w:line="240" w:lineRule="auto"/>
        <w:ind w:left="100"/>
        <w:jc w:val="left"/>
        <w:rPr>
          <w:rFonts w:ascii="Arial MT" w:eastAsia="Arial MT" w:hAnsi="Arial MT" w:cs="Arial MT"/>
          <w:color w:val="000000" w:themeColor="text1"/>
          <w:sz w:val="22"/>
          <w:lang w:val="es-ES"/>
        </w:rPr>
      </w:pPr>
      <w:r w:rsidRPr="002A58B7">
        <w:rPr>
          <w:rFonts w:ascii="Arial MT" w:eastAsia="Arial MT" w:hAnsi="Arial MT" w:cs="Arial MT"/>
          <w:color w:val="000000" w:themeColor="text1"/>
          <w:sz w:val="22"/>
          <w:lang w:val="es-ES"/>
        </w:rPr>
        <w:t xml:space="preserve">Bogotá D.C. </w:t>
      </w:r>
    </w:p>
    <w:p w14:paraId="6D910B2C" w14:textId="77777777" w:rsidR="005C1D3E" w:rsidRPr="002A58B7" w:rsidRDefault="005C1D3E" w:rsidP="005C1D3E">
      <w:pPr>
        <w:widowControl w:val="0"/>
        <w:autoSpaceDE w:val="0"/>
        <w:autoSpaceDN w:val="0"/>
        <w:spacing w:after="0" w:line="240" w:lineRule="auto"/>
        <w:jc w:val="left"/>
        <w:rPr>
          <w:rFonts w:ascii="Arial MT" w:eastAsia="Arial MT" w:hAnsi="Arial MT" w:cs="Arial MT"/>
          <w:color w:val="000000" w:themeColor="text1"/>
          <w:sz w:val="22"/>
          <w:lang w:val="es-ES"/>
        </w:rPr>
      </w:pPr>
    </w:p>
    <w:p w14:paraId="506DAD6F" w14:textId="60D75FA9" w:rsidR="000C6406" w:rsidRPr="002A58B7" w:rsidRDefault="000C6406">
      <w:pPr>
        <w:spacing w:after="0" w:line="240" w:lineRule="auto"/>
        <w:rPr>
          <w:rFonts w:ascii="Arial" w:eastAsia="Calibri" w:hAnsi="Arial" w:cs="Arial"/>
          <w:color w:val="000000" w:themeColor="text1"/>
          <w:sz w:val="22"/>
          <w:lang w:val="es-CO"/>
        </w:rPr>
      </w:pPr>
    </w:p>
    <w:p w14:paraId="425712DB" w14:textId="4CBFC9BB" w:rsidR="00D45D43" w:rsidRPr="002A58B7" w:rsidRDefault="00D45D43">
      <w:pPr>
        <w:spacing w:after="0" w:line="240" w:lineRule="auto"/>
        <w:rPr>
          <w:rFonts w:ascii="Arial" w:hAnsi="Arial" w:cs="Arial"/>
          <w:color w:val="000000" w:themeColor="text1"/>
          <w:sz w:val="22"/>
          <w:lang w:val="es-CO"/>
        </w:rPr>
      </w:pPr>
      <w:r w:rsidRPr="002A58B7">
        <w:rPr>
          <w:rFonts w:ascii="Arial" w:eastAsia="Calibri" w:hAnsi="Arial" w:cs="Arial"/>
          <w:color w:val="000000" w:themeColor="text1"/>
          <w:sz w:val="22"/>
          <w:lang w:val="es-CO"/>
        </w:rPr>
        <w:t xml:space="preserve">                                                </w:t>
      </w:r>
      <w:r w:rsidR="000C6406" w:rsidRPr="002A58B7">
        <w:rPr>
          <w:rFonts w:ascii="Arial" w:eastAsia="Calibri" w:hAnsi="Arial" w:cs="Arial"/>
          <w:color w:val="000000" w:themeColor="text1"/>
          <w:sz w:val="22"/>
          <w:lang w:val="es-CO"/>
        </w:rPr>
        <w:t xml:space="preserve"> </w:t>
      </w:r>
      <w:r w:rsidRPr="002A58B7">
        <w:rPr>
          <w:rFonts w:ascii="Arial" w:eastAsia="Calibri" w:hAnsi="Arial" w:cs="Arial"/>
          <w:b/>
          <w:color w:val="000000" w:themeColor="text1"/>
          <w:sz w:val="22"/>
          <w:lang w:val="es-CO"/>
        </w:rPr>
        <w:t>Concepto C</w:t>
      </w:r>
      <w:r w:rsidR="007B23EC" w:rsidRPr="002A58B7">
        <w:rPr>
          <w:rFonts w:ascii="Arial" w:eastAsia="Calibri" w:hAnsi="Arial" w:cs="Arial"/>
          <w:b/>
          <w:color w:val="000000" w:themeColor="text1"/>
          <w:sz w:val="22"/>
          <w:lang w:val="es-CO"/>
        </w:rPr>
        <w:t xml:space="preserve"> – </w:t>
      </w:r>
      <w:r w:rsidR="00F14AC5" w:rsidRPr="002A58B7">
        <w:rPr>
          <w:rFonts w:ascii="Arial" w:eastAsia="Calibri" w:hAnsi="Arial" w:cs="Arial"/>
          <w:b/>
          <w:color w:val="000000" w:themeColor="text1"/>
          <w:sz w:val="22"/>
          <w:lang w:val="es-CO"/>
        </w:rPr>
        <w:t>315 de 2022</w:t>
      </w:r>
    </w:p>
    <w:p w14:paraId="7B46A0F4" w14:textId="77777777" w:rsidR="000865E3" w:rsidRPr="002A58B7" w:rsidRDefault="000865E3">
      <w:pPr>
        <w:spacing w:after="0" w:line="240" w:lineRule="auto"/>
        <w:rPr>
          <w:rFonts w:ascii="Arial" w:eastAsia="Calibri" w:hAnsi="Arial" w:cs="Arial"/>
          <w:b/>
          <w:color w:val="000000" w:themeColor="text1"/>
          <w:sz w:val="22"/>
          <w:lang w:val="es-CO"/>
        </w:rPr>
      </w:pPr>
    </w:p>
    <w:tbl>
      <w:tblPr>
        <w:tblStyle w:val="Tablaconcuadrcula1"/>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977"/>
        <w:gridCol w:w="5949"/>
      </w:tblGrid>
      <w:tr w:rsidR="002A58B7" w:rsidRPr="002A58B7" w14:paraId="2F506374" w14:textId="77777777" w:rsidTr="00296985">
        <w:trPr>
          <w:trHeight w:val="1038"/>
        </w:trPr>
        <w:tc>
          <w:tcPr>
            <w:tcW w:w="2977" w:type="dxa"/>
            <w:hideMark/>
          </w:tcPr>
          <w:p w14:paraId="457F7D77" w14:textId="505C624F" w:rsidR="00107669" w:rsidRPr="002A58B7" w:rsidRDefault="00107669" w:rsidP="0024769F">
            <w:pPr>
              <w:spacing w:line="240" w:lineRule="auto"/>
              <w:contextualSpacing/>
              <w:rPr>
                <w:rFonts w:ascii="Arial" w:eastAsia="Calibri" w:hAnsi="Arial" w:cs="Arial"/>
                <w:noProof/>
                <w:color w:val="000000" w:themeColor="text1"/>
                <w:lang w:val="es-ES_tradnl"/>
              </w:rPr>
            </w:pPr>
            <w:r w:rsidRPr="002A58B7">
              <w:rPr>
                <w:rFonts w:ascii="Arial" w:eastAsia="Calibri" w:hAnsi="Arial" w:cs="Arial"/>
                <w:b/>
                <w:noProof/>
                <w:color w:val="000000" w:themeColor="text1"/>
                <w:lang w:val="es-ES_tradnl"/>
              </w:rPr>
              <w:t>Temas:</w:t>
            </w:r>
            <w:r w:rsidRPr="002A58B7">
              <w:rPr>
                <w:rFonts w:ascii="Arial" w:eastAsia="Calibri" w:hAnsi="Arial" w:cs="Arial"/>
                <w:noProof/>
                <w:color w:val="000000" w:themeColor="text1"/>
                <w:lang w:val="es-ES_tradnl"/>
              </w:rPr>
              <w:t xml:space="preserve">        </w:t>
            </w:r>
          </w:p>
        </w:tc>
        <w:tc>
          <w:tcPr>
            <w:tcW w:w="5949" w:type="dxa"/>
            <w:hideMark/>
          </w:tcPr>
          <w:p w14:paraId="0C25F075" w14:textId="29E7E016" w:rsidR="00107669" w:rsidRPr="002A58B7" w:rsidRDefault="00107669" w:rsidP="00107669">
            <w:pPr>
              <w:spacing w:after="0" w:line="240" w:lineRule="auto"/>
              <w:contextualSpacing/>
              <w:rPr>
                <w:rFonts w:ascii="Arial" w:eastAsia="Calibri" w:hAnsi="Arial" w:cs="Arial"/>
                <w:bCs/>
                <w:color w:val="000000" w:themeColor="text1"/>
                <w:lang w:val="es-ES_tradnl"/>
              </w:rPr>
            </w:pPr>
            <w:r w:rsidRPr="002A58B7">
              <w:rPr>
                <w:rFonts w:ascii="Arial" w:eastAsia="Calibri" w:hAnsi="Arial" w:cs="Arial"/>
                <w:bCs/>
                <w:color w:val="000000" w:themeColor="text1"/>
                <w:lang w:val="es-ES_tradnl"/>
              </w:rPr>
              <w:t>LEY DE EMPRENDIMIENTO – Ley 2069 de 2020 – Vigencia / MIPYMES – Artículo 34 de la Ley 2069 de 2020 – artí</w:t>
            </w:r>
            <w:r w:rsidR="00082B94">
              <w:rPr>
                <w:rFonts w:ascii="Arial" w:eastAsia="Calibri" w:hAnsi="Arial" w:cs="Arial"/>
                <w:bCs/>
                <w:color w:val="000000" w:themeColor="text1"/>
                <w:lang w:val="es-ES_tradnl"/>
              </w:rPr>
              <w:t xml:space="preserve">culo 5 del Decreto 1860 de 2021 – </w:t>
            </w:r>
            <w:r w:rsidRPr="002A58B7">
              <w:rPr>
                <w:rFonts w:ascii="Arial" w:eastAsia="Calibri" w:hAnsi="Arial" w:cs="Arial"/>
                <w:bCs/>
                <w:color w:val="000000" w:themeColor="text1"/>
                <w:lang w:val="es-ES_tradnl"/>
              </w:rPr>
              <w:t>Convocatorias limitadas territorialmente - Vigencia / CONVOCATORIAS LIMITADAS A MIPYMES NACIONALES – Limitación territorial – Releva</w:t>
            </w:r>
            <w:r w:rsidR="00082B94">
              <w:rPr>
                <w:rFonts w:ascii="Arial" w:eastAsia="Calibri" w:hAnsi="Arial" w:cs="Arial"/>
                <w:bCs/>
                <w:color w:val="000000" w:themeColor="text1"/>
                <w:lang w:val="es-ES_tradnl"/>
              </w:rPr>
              <w:t xml:space="preserve">ncia del domicilio de la </w:t>
            </w:r>
            <w:proofErr w:type="spellStart"/>
            <w:r w:rsidR="00082B94">
              <w:rPr>
                <w:rFonts w:ascii="Arial" w:eastAsia="Calibri" w:hAnsi="Arial" w:cs="Arial"/>
                <w:bCs/>
                <w:color w:val="000000" w:themeColor="text1"/>
                <w:lang w:val="es-ES_tradnl"/>
              </w:rPr>
              <w:t>Mipyme</w:t>
            </w:r>
            <w:proofErr w:type="spellEnd"/>
            <w:r w:rsidR="00082B94">
              <w:rPr>
                <w:rFonts w:ascii="Arial" w:eastAsia="Calibri" w:hAnsi="Arial" w:cs="Arial"/>
                <w:bCs/>
                <w:color w:val="000000" w:themeColor="text1"/>
                <w:lang w:val="es-ES_tradnl"/>
              </w:rPr>
              <w:t>.</w:t>
            </w:r>
            <w:r w:rsidR="00E04B80" w:rsidRPr="002A58B7">
              <w:rPr>
                <w:rFonts w:ascii="Arial" w:eastAsia="Calibri" w:hAnsi="Arial" w:cs="Arial"/>
                <w:bCs/>
                <w:color w:val="000000" w:themeColor="text1"/>
                <w:lang w:val="es-ES_tradnl"/>
              </w:rPr>
              <w:t xml:space="preserve"> </w:t>
            </w:r>
          </w:p>
          <w:p w14:paraId="0AD9AA83" w14:textId="77777777" w:rsidR="00107669" w:rsidRPr="002A58B7" w:rsidRDefault="00107669" w:rsidP="00107669">
            <w:pPr>
              <w:spacing w:after="0" w:line="240" w:lineRule="auto"/>
              <w:contextualSpacing/>
              <w:rPr>
                <w:rFonts w:ascii="Arial" w:eastAsia="Calibri" w:hAnsi="Arial" w:cs="Arial"/>
                <w:bCs/>
                <w:color w:val="000000" w:themeColor="text1"/>
                <w:lang w:val="es-ES_tradnl"/>
              </w:rPr>
            </w:pPr>
          </w:p>
          <w:p w14:paraId="7477B464" w14:textId="0F92B941" w:rsidR="00107669" w:rsidRPr="002A58B7" w:rsidRDefault="00107669" w:rsidP="00107669">
            <w:pPr>
              <w:spacing w:after="0" w:line="240" w:lineRule="auto"/>
              <w:contextualSpacing/>
              <w:rPr>
                <w:rFonts w:ascii="Arial" w:eastAsia="Calibri" w:hAnsi="Arial" w:cs="Arial"/>
                <w:bCs/>
                <w:color w:val="000000" w:themeColor="text1"/>
              </w:rPr>
            </w:pPr>
          </w:p>
        </w:tc>
      </w:tr>
      <w:tr w:rsidR="00107669" w:rsidRPr="002A58B7" w14:paraId="5B6E69F2" w14:textId="77777777" w:rsidTr="00296985">
        <w:trPr>
          <w:trHeight w:val="198"/>
        </w:trPr>
        <w:tc>
          <w:tcPr>
            <w:tcW w:w="2977" w:type="dxa"/>
          </w:tcPr>
          <w:p w14:paraId="3A042E2F" w14:textId="77777777" w:rsidR="00107669" w:rsidRPr="002A58B7" w:rsidRDefault="00107669" w:rsidP="0024769F">
            <w:pPr>
              <w:spacing w:after="0" w:line="240" w:lineRule="auto"/>
              <w:rPr>
                <w:rFonts w:ascii="Arial" w:eastAsia="Calibri" w:hAnsi="Arial" w:cs="Arial"/>
                <w:b/>
                <w:noProof/>
                <w:color w:val="000000" w:themeColor="text1"/>
                <w:lang w:val="es-ES_tradnl"/>
              </w:rPr>
            </w:pPr>
            <w:r w:rsidRPr="002A58B7">
              <w:rPr>
                <w:rFonts w:ascii="Arial" w:eastAsia="Calibri" w:hAnsi="Arial" w:cs="Arial"/>
                <w:b/>
                <w:noProof/>
                <w:color w:val="000000" w:themeColor="text1"/>
                <w:lang w:val="es-ES_tradnl"/>
              </w:rPr>
              <w:t>Radicación:</w:t>
            </w:r>
            <w:r w:rsidRPr="002A58B7">
              <w:rPr>
                <w:rFonts w:ascii="Arial" w:eastAsia="Calibri" w:hAnsi="Arial" w:cs="Arial"/>
                <w:noProof/>
                <w:color w:val="000000" w:themeColor="text1"/>
                <w:lang w:val="es-ES_tradnl"/>
              </w:rPr>
              <w:t xml:space="preserve">                              </w:t>
            </w:r>
          </w:p>
        </w:tc>
        <w:tc>
          <w:tcPr>
            <w:tcW w:w="5949" w:type="dxa"/>
          </w:tcPr>
          <w:p w14:paraId="4D6CA122" w14:textId="4AA3D861" w:rsidR="00107669" w:rsidRPr="002A58B7" w:rsidRDefault="00107669" w:rsidP="00107669">
            <w:pPr>
              <w:spacing w:after="0" w:line="240" w:lineRule="auto"/>
              <w:ind w:right="136"/>
              <w:contextualSpacing/>
              <w:rPr>
                <w:rFonts w:ascii="Arial" w:eastAsia="Calibri" w:hAnsi="Arial" w:cs="Arial"/>
                <w:noProof/>
                <w:color w:val="000000" w:themeColor="text1"/>
                <w:lang w:val="es-ES_tradnl"/>
              </w:rPr>
            </w:pPr>
            <w:r w:rsidRPr="002A58B7">
              <w:rPr>
                <w:rFonts w:ascii="Arial" w:eastAsia="Calibri" w:hAnsi="Arial" w:cs="Arial"/>
                <w:noProof/>
                <w:color w:val="000000" w:themeColor="text1"/>
                <w:lang w:val="es-ES_tradnl"/>
              </w:rPr>
              <w:t xml:space="preserve">Respuesta a </w:t>
            </w:r>
            <w:proofErr w:type="gramStart"/>
            <w:r w:rsidRPr="002A58B7">
              <w:rPr>
                <w:rFonts w:ascii="Arial" w:eastAsia="Calibri" w:hAnsi="Arial" w:cs="Arial"/>
                <w:noProof/>
                <w:color w:val="000000" w:themeColor="text1"/>
                <w:lang w:val="es-ES_tradnl"/>
              </w:rPr>
              <w:t xml:space="preserve">consulta </w:t>
            </w:r>
            <w:r w:rsidRPr="002A58B7">
              <w:rPr>
                <w:rFonts w:ascii="Arial" w:hAnsi="Arial" w:cs="Arial"/>
                <w:bCs/>
                <w:color w:val="000000" w:themeColor="text1"/>
                <w:shd w:val="clear" w:color="auto" w:fill="FFFFFF"/>
              </w:rPr>
              <w:t> P</w:t>
            </w:r>
            <w:proofErr w:type="gramEnd"/>
            <w:r w:rsidRPr="002A58B7">
              <w:rPr>
                <w:rFonts w:ascii="Arial" w:hAnsi="Arial" w:cs="Arial"/>
                <w:bCs/>
                <w:color w:val="000000" w:themeColor="text1"/>
                <w:shd w:val="clear" w:color="auto" w:fill="FFFFFF"/>
              </w:rPr>
              <w:t>20220404003373</w:t>
            </w:r>
          </w:p>
        </w:tc>
      </w:tr>
    </w:tbl>
    <w:p w14:paraId="35E34587" w14:textId="77777777" w:rsidR="00D45D43" w:rsidRPr="002A58B7" w:rsidRDefault="00D45D43">
      <w:pPr>
        <w:spacing w:after="0" w:line="240" w:lineRule="auto"/>
        <w:rPr>
          <w:rFonts w:ascii="Arial" w:eastAsia="Calibri" w:hAnsi="Arial" w:cs="Arial"/>
          <w:color w:val="000000" w:themeColor="text1"/>
          <w:sz w:val="22"/>
          <w:lang w:val="es-CO"/>
        </w:rPr>
      </w:pPr>
    </w:p>
    <w:p w14:paraId="6AEF12FF" w14:textId="77777777" w:rsidR="00D45D43" w:rsidRPr="002A58B7" w:rsidRDefault="00D45D43">
      <w:pPr>
        <w:spacing w:after="0" w:line="240" w:lineRule="auto"/>
        <w:rPr>
          <w:rFonts w:ascii="Arial" w:eastAsia="Calibri" w:hAnsi="Arial" w:cs="Arial"/>
          <w:color w:val="000000" w:themeColor="text1"/>
          <w:sz w:val="22"/>
          <w:lang w:val="es-CO"/>
        </w:rPr>
      </w:pPr>
    </w:p>
    <w:p w14:paraId="70B8C15C" w14:textId="5C34CAE2" w:rsidR="00D45D43" w:rsidRPr="002A58B7" w:rsidRDefault="00D45D43" w:rsidP="00001D47">
      <w:pPr>
        <w:spacing w:after="0"/>
        <w:rPr>
          <w:rFonts w:ascii="Arial" w:eastAsia="Calibri" w:hAnsi="Arial" w:cs="Arial"/>
          <w:color w:val="000000" w:themeColor="text1"/>
          <w:sz w:val="22"/>
          <w:lang w:val="es-CO"/>
        </w:rPr>
      </w:pPr>
      <w:r w:rsidRPr="002A58B7">
        <w:rPr>
          <w:rFonts w:ascii="Arial" w:eastAsia="Calibri" w:hAnsi="Arial" w:cs="Arial"/>
          <w:color w:val="000000" w:themeColor="text1"/>
          <w:sz w:val="22"/>
          <w:lang w:val="es-CO"/>
        </w:rPr>
        <w:t>Estimad</w:t>
      </w:r>
      <w:r w:rsidR="0007079B" w:rsidRPr="002A58B7">
        <w:rPr>
          <w:rFonts w:ascii="Arial" w:eastAsia="Calibri" w:hAnsi="Arial" w:cs="Arial"/>
          <w:color w:val="000000" w:themeColor="text1"/>
          <w:sz w:val="22"/>
          <w:lang w:val="es-CO"/>
        </w:rPr>
        <w:t>o</w:t>
      </w:r>
      <w:r w:rsidR="005C1D3E" w:rsidRPr="002A58B7">
        <w:rPr>
          <w:rFonts w:ascii="Arial" w:eastAsia="Calibri" w:hAnsi="Arial" w:cs="Arial"/>
          <w:color w:val="000000" w:themeColor="text1"/>
          <w:sz w:val="22"/>
          <w:lang w:val="es-CO"/>
        </w:rPr>
        <w:t xml:space="preserve"> Señor Sosa</w:t>
      </w:r>
      <w:r w:rsidRPr="002A58B7">
        <w:rPr>
          <w:rFonts w:ascii="Arial" w:eastAsia="Calibri" w:hAnsi="Arial" w:cs="Arial"/>
          <w:color w:val="000000" w:themeColor="text1"/>
          <w:sz w:val="22"/>
          <w:lang w:val="es-CO"/>
        </w:rPr>
        <w:t>:</w:t>
      </w:r>
    </w:p>
    <w:p w14:paraId="7ADEE905" w14:textId="77777777" w:rsidR="00D45D43" w:rsidRPr="002A58B7" w:rsidRDefault="00D45D43" w:rsidP="00001D47">
      <w:pPr>
        <w:spacing w:after="0"/>
        <w:ind w:firstLine="709"/>
        <w:rPr>
          <w:rFonts w:ascii="Arial" w:eastAsia="Calibri" w:hAnsi="Arial" w:cs="Arial"/>
          <w:color w:val="000000" w:themeColor="text1"/>
          <w:sz w:val="22"/>
          <w:lang w:val="es-CO"/>
        </w:rPr>
      </w:pPr>
    </w:p>
    <w:p w14:paraId="549E55BB" w14:textId="135306BD" w:rsidR="00D45D43" w:rsidRPr="002A58B7" w:rsidRDefault="00D45D43" w:rsidP="00001D47">
      <w:pPr>
        <w:spacing w:after="0"/>
        <w:ind w:right="51"/>
        <w:rPr>
          <w:rFonts w:ascii="Arial" w:eastAsia="Calibri" w:hAnsi="Arial" w:cs="Arial"/>
          <w:color w:val="000000" w:themeColor="text1"/>
          <w:sz w:val="22"/>
          <w:lang w:val="es-CO"/>
        </w:rPr>
      </w:pPr>
      <w:r w:rsidRPr="002A58B7">
        <w:rPr>
          <w:rFonts w:ascii="Arial" w:eastAsia="Calibri" w:hAnsi="Arial" w:cs="Arial"/>
          <w:color w:val="000000" w:themeColor="text1"/>
          <w:sz w:val="22"/>
          <w:lang w:val="es-CO"/>
        </w:rPr>
        <w:t>En ejercicio de la función otorgada por el numeral 8 del artículo 11 y el numeral 5 del artículo 3 del Decreto Ley 4170 de 2011, la Agencia Nacional de Contratación Pública – Colombia Compra Eficiente responde la consulta</w:t>
      </w:r>
      <w:r w:rsidR="00347E32" w:rsidRPr="002A58B7">
        <w:rPr>
          <w:rFonts w:ascii="Arial" w:eastAsia="Calibri" w:hAnsi="Arial" w:cs="Arial"/>
          <w:color w:val="000000" w:themeColor="text1"/>
          <w:sz w:val="22"/>
          <w:lang w:val="es-CO"/>
        </w:rPr>
        <w:t xml:space="preserve"> </w:t>
      </w:r>
      <w:r w:rsidR="005F5BE7" w:rsidRPr="002A58B7">
        <w:rPr>
          <w:rFonts w:ascii="Arial" w:eastAsia="Calibri" w:hAnsi="Arial" w:cs="Arial"/>
          <w:color w:val="000000" w:themeColor="text1"/>
          <w:sz w:val="22"/>
          <w:lang w:val="es-CO"/>
        </w:rPr>
        <w:t xml:space="preserve">realizada </w:t>
      </w:r>
      <w:r w:rsidRPr="002A58B7">
        <w:rPr>
          <w:rFonts w:ascii="Arial" w:eastAsia="Calibri" w:hAnsi="Arial" w:cs="Arial"/>
          <w:color w:val="000000" w:themeColor="text1"/>
          <w:sz w:val="22"/>
          <w:lang w:val="es-CO"/>
        </w:rPr>
        <w:t>el</w:t>
      </w:r>
      <w:r w:rsidR="005C1D3E" w:rsidRPr="002A58B7">
        <w:rPr>
          <w:rFonts w:ascii="Arial" w:eastAsia="Calibri" w:hAnsi="Arial" w:cs="Arial"/>
          <w:color w:val="000000" w:themeColor="text1"/>
          <w:sz w:val="22"/>
          <w:lang w:val="es-CO"/>
        </w:rPr>
        <w:t xml:space="preserve"> 4 de abril de 2022</w:t>
      </w:r>
      <w:r w:rsidR="003A6169" w:rsidRPr="002A58B7">
        <w:rPr>
          <w:rFonts w:ascii="Arial" w:eastAsia="Calibri" w:hAnsi="Arial" w:cs="Arial"/>
          <w:color w:val="000000" w:themeColor="text1"/>
          <w:sz w:val="22"/>
          <w:lang w:val="es-CO"/>
        </w:rPr>
        <w:t>.</w:t>
      </w:r>
    </w:p>
    <w:p w14:paraId="717463E9" w14:textId="77777777" w:rsidR="000865E3" w:rsidRPr="002A58B7" w:rsidRDefault="000865E3" w:rsidP="00001D47">
      <w:pPr>
        <w:spacing w:after="0"/>
        <w:rPr>
          <w:rFonts w:ascii="Arial" w:eastAsia="Calibri" w:hAnsi="Arial" w:cs="Arial"/>
          <w:color w:val="000000" w:themeColor="text1"/>
          <w:sz w:val="22"/>
          <w:lang w:val="es-CO"/>
        </w:rPr>
      </w:pPr>
    </w:p>
    <w:p w14:paraId="7AE4AC66" w14:textId="46581DE8" w:rsidR="005F5BE7" w:rsidRPr="002A58B7" w:rsidRDefault="00F80890" w:rsidP="005E3465">
      <w:pPr>
        <w:tabs>
          <w:tab w:val="left" w:pos="284"/>
        </w:tabs>
        <w:spacing w:after="0"/>
        <w:rPr>
          <w:rFonts w:ascii="Arial" w:eastAsia="Calibri" w:hAnsi="Arial" w:cs="Arial"/>
          <w:b/>
          <w:color w:val="000000" w:themeColor="text1"/>
          <w:sz w:val="22"/>
          <w:lang w:val="es-CO"/>
        </w:rPr>
      </w:pPr>
      <w:r w:rsidRPr="002A58B7">
        <w:rPr>
          <w:rFonts w:ascii="Arial" w:eastAsia="Calibri" w:hAnsi="Arial" w:cs="Arial"/>
          <w:b/>
          <w:color w:val="000000" w:themeColor="text1"/>
          <w:sz w:val="22"/>
          <w:lang w:val="es-CO"/>
        </w:rPr>
        <w:t xml:space="preserve">1. </w:t>
      </w:r>
      <w:r w:rsidR="00D45D43" w:rsidRPr="002A58B7">
        <w:rPr>
          <w:rFonts w:ascii="Arial" w:eastAsia="Calibri" w:hAnsi="Arial" w:cs="Arial"/>
          <w:b/>
          <w:color w:val="000000" w:themeColor="text1"/>
          <w:sz w:val="22"/>
          <w:lang w:val="es-CO"/>
        </w:rPr>
        <w:t>Problema planteado</w:t>
      </w:r>
      <w:bookmarkStart w:id="1" w:name="_Hlk78213421"/>
      <w:bookmarkStart w:id="2" w:name="_Hlk78192084"/>
      <w:bookmarkStart w:id="3" w:name="_Hlk58917991"/>
      <w:bookmarkStart w:id="4" w:name="_Hlk56103000"/>
    </w:p>
    <w:p w14:paraId="53CF7820" w14:textId="6E7EE905" w:rsidR="005E3465" w:rsidRPr="002A58B7" w:rsidRDefault="005E3465">
      <w:pPr>
        <w:tabs>
          <w:tab w:val="left" w:pos="284"/>
        </w:tabs>
        <w:spacing w:after="0"/>
        <w:rPr>
          <w:rFonts w:ascii="Arial" w:eastAsia="Calibri" w:hAnsi="Arial" w:cs="Arial"/>
          <w:b/>
          <w:color w:val="000000" w:themeColor="text1"/>
          <w:sz w:val="22"/>
          <w:lang w:val="es-CO"/>
        </w:rPr>
      </w:pPr>
    </w:p>
    <w:bookmarkEnd w:id="1"/>
    <w:bookmarkEnd w:id="2"/>
    <w:bookmarkEnd w:id="3"/>
    <w:bookmarkEnd w:id="4"/>
    <w:p w14:paraId="0F2BCC12" w14:textId="25E4B98C" w:rsidR="005E3465" w:rsidRPr="002A58B7" w:rsidRDefault="009A6425" w:rsidP="005C1D3E">
      <w:pPr>
        <w:spacing w:after="0"/>
        <w:rPr>
          <w:rFonts w:ascii="Arial" w:eastAsia="Calibri" w:hAnsi="Arial" w:cs="Arial"/>
          <w:color w:val="000000" w:themeColor="text1"/>
          <w:sz w:val="22"/>
          <w:lang w:val="es-CO"/>
        </w:rPr>
      </w:pPr>
      <w:r w:rsidRPr="002A58B7">
        <w:rPr>
          <w:rFonts w:ascii="Arial" w:eastAsia="Calibri" w:hAnsi="Arial" w:cs="Arial"/>
          <w:color w:val="000000" w:themeColor="text1"/>
          <w:sz w:val="22"/>
          <w:lang w:val="es-ES_tradnl" w:eastAsia="es-ES_tradnl"/>
        </w:rPr>
        <w:t>Usted realiza la siguiente consulta:</w:t>
      </w:r>
      <w:r w:rsidR="002D633D" w:rsidRPr="002A58B7">
        <w:rPr>
          <w:rFonts w:ascii="Arial" w:eastAsia="Calibri" w:hAnsi="Arial" w:cs="Arial"/>
          <w:color w:val="000000" w:themeColor="text1"/>
          <w:sz w:val="22"/>
          <w:lang w:val="es-ES_tradnl"/>
        </w:rPr>
        <w:t xml:space="preserve"> </w:t>
      </w:r>
      <w:bookmarkStart w:id="5" w:name="_Hlk88143514"/>
      <w:r w:rsidR="002D633D" w:rsidRPr="002A58B7">
        <w:rPr>
          <w:rFonts w:ascii="Arial" w:eastAsia="Calibri" w:hAnsi="Arial" w:cs="Arial"/>
          <w:color w:val="000000" w:themeColor="text1"/>
          <w:sz w:val="22"/>
          <w:lang w:val="es-ES_tradnl"/>
        </w:rPr>
        <w:t>«</w:t>
      </w:r>
      <w:r w:rsidR="005C1D3E" w:rsidRPr="002A58B7">
        <w:rPr>
          <w:rFonts w:ascii="Arial" w:eastAsia="Calibri" w:hAnsi="Arial" w:cs="Arial"/>
          <w:color w:val="000000" w:themeColor="text1"/>
          <w:sz w:val="22"/>
          <w:lang w:val="es-CO"/>
        </w:rPr>
        <w:t xml:space="preserve">[…] solicito aclarar si el domicilio de un establecimiento de comercio es válido para la acreditación de la territorialidad en los términos establecidos en el Artículo 2.2.1.2.4.2.3. del decreto 1860 de 2021.Lo anterior en el caso de que una empresa tenga como domicilio principal por ejemplo la ciudad de </w:t>
      </w:r>
      <w:proofErr w:type="gramStart"/>
      <w:r w:rsidR="005C1D3E" w:rsidRPr="002A58B7">
        <w:rPr>
          <w:rFonts w:ascii="Arial" w:eastAsia="Calibri" w:hAnsi="Arial" w:cs="Arial"/>
          <w:color w:val="000000" w:themeColor="text1"/>
          <w:sz w:val="22"/>
          <w:lang w:val="es-CO"/>
        </w:rPr>
        <w:t>Bogotá</w:t>
      </w:r>
      <w:proofErr w:type="gramEnd"/>
      <w:r w:rsidR="005C1D3E" w:rsidRPr="002A58B7">
        <w:rPr>
          <w:rFonts w:ascii="Arial" w:eastAsia="Calibri" w:hAnsi="Arial" w:cs="Arial"/>
          <w:color w:val="000000" w:themeColor="text1"/>
          <w:sz w:val="22"/>
          <w:lang w:val="es-CO"/>
        </w:rPr>
        <w:t xml:space="preserve"> pero tenga establecimiento de comercio en la ciudad de Medellín y desee participar en un proceso de selección de mínima cuantía en la ciudad de Medellín</w:t>
      </w:r>
      <w:r w:rsidR="002D633D" w:rsidRPr="002A58B7">
        <w:rPr>
          <w:rFonts w:ascii="Arial" w:eastAsia="Calibri" w:hAnsi="Arial" w:cs="Arial"/>
          <w:color w:val="000000" w:themeColor="text1"/>
          <w:sz w:val="22"/>
          <w:lang w:val="es-ES_tradnl"/>
        </w:rPr>
        <w:t>».</w:t>
      </w:r>
      <w:bookmarkEnd w:id="5"/>
    </w:p>
    <w:p w14:paraId="5B0B30D5" w14:textId="77777777" w:rsidR="009A6425" w:rsidRPr="002A58B7" w:rsidRDefault="009A6425" w:rsidP="00BF0F70">
      <w:pPr>
        <w:pStyle w:val="NormalWeb"/>
        <w:spacing w:before="0" w:beforeAutospacing="0" w:after="0" w:afterAutospacing="0"/>
        <w:rPr>
          <w:rFonts w:ascii="Arial" w:hAnsi="Arial" w:cs="Arial"/>
          <w:color w:val="000000" w:themeColor="text1"/>
          <w:sz w:val="22"/>
          <w:szCs w:val="22"/>
        </w:rPr>
      </w:pPr>
    </w:p>
    <w:p w14:paraId="416ED36B" w14:textId="1E408457" w:rsidR="00D45D43" w:rsidRPr="002A58B7" w:rsidRDefault="0029475E" w:rsidP="005E3465">
      <w:pPr>
        <w:pStyle w:val="NormalWeb"/>
        <w:spacing w:before="0" w:beforeAutospacing="0" w:after="0" w:afterAutospacing="0"/>
        <w:rPr>
          <w:rFonts w:ascii="Arial" w:eastAsia="Calibri" w:hAnsi="Arial" w:cs="Arial"/>
          <w:b/>
          <w:color w:val="000000" w:themeColor="text1"/>
          <w:sz w:val="22"/>
          <w:szCs w:val="22"/>
        </w:rPr>
      </w:pPr>
      <w:r w:rsidRPr="002A58B7">
        <w:rPr>
          <w:rFonts w:ascii="Arial" w:eastAsia="Calibri" w:hAnsi="Arial" w:cs="Arial"/>
          <w:b/>
          <w:color w:val="000000" w:themeColor="text1"/>
          <w:sz w:val="22"/>
          <w:szCs w:val="22"/>
        </w:rPr>
        <w:t xml:space="preserve">2. </w:t>
      </w:r>
      <w:r w:rsidR="00D45D43" w:rsidRPr="002A58B7">
        <w:rPr>
          <w:rFonts w:ascii="Arial" w:eastAsia="Calibri" w:hAnsi="Arial" w:cs="Arial"/>
          <w:b/>
          <w:color w:val="000000" w:themeColor="text1"/>
          <w:sz w:val="22"/>
          <w:szCs w:val="22"/>
        </w:rPr>
        <w:t>Consideraciones</w:t>
      </w:r>
    </w:p>
    <w:p w14:paraId="06D8817E" w14:textId="77777777" w:rsidR="00DE2F2B" w:rsidRPr="002A58B7" w:rsidRDefault="00DE2F2B" w:rsidP="00DE2F2B">
      <w:pPr>
        <w:spacing w:after="0"/>
        <w:rPr>
          <w:rFonts w:ascii="Arial" w:eastAsia="Calibri" w:hAnsi="Arial" w:cs="Arial"/>
          <w:color w:val="000000" w:themeColor="text1"/>
          <w:sz w:val="22"/>
          <w:lang w:val="es-ES_tradnl" w:eastAsia="es-ES_tradnl"/>
        </w:rPr>
      </w:pPr>
    </w:p>
    <w:p w14:paraId="54566B71" w14:textId="420CBD7E" w:rsidR="0024769F" w:rsidRPr="002A58B7" w:rsidRDefault="0024769F" w:rsidP="0024769F">
      <w:pPr>
        <w:spacing w:after="0"/>
        <w:rPr>
          <w:rFonts w:ascii="Arial" w:eastAsia="Calibri" w:hAnsi="Arial" w:cs="Arial"/>
          <w:color w:val="000000" w:themeColor="text1"/>
          <w:sz w:val="22"/>
          <w:lang w:val="es-ES_tradnl" w:eastAsia="es-ES_tradnl"/>
        </w:rPr>
      </w:pPr>
      <w:r w:rsidRPr="002A58B7">
        <w:rPr>
          <w:rFonts w:ascii="Arial" w:eastAsia="Calibri" w:hAnsi="Arial" w:cs="Arial"/>
          <w:color w:val="000000" w:themeColor="text1"/>
          <w:sz w:val="22"/>
          <w:lang w:val="es-ES_tradnl" w:eastAsia="es-ES_tradnl"/>
        </w:rPr>
        <w:t xml:space="preserve">La Subdirección de Gestión Contractual responderá la consulta, luego de analizar los siguientes temas: i) vigencia y ámbito de aplicación de la Ley 2069 de 2020, y </w:t>
      </w:r>
      <w:proofErr w:type="spellStart"/>
      <w:r w:rsidRPr="002A58B7">
        <w:rPr>
          <w:rFonts w:ascii="Arial" w:eastAsia="Calibri" w:hAnsi="Arial" w:cs="Arial"/>
          <w:color w:val="000000" w:themeColor="text1"/>
          <w:sz w:val="22"/>
          <w:lang w:val="es-ES_tradnl" w:eastAsia="es-ES_tradnl"/>
        </w:rPr>
        <w:t>ii</w:t>
      </w:r>
      <w:proofErr w:type="spellEnd"/>
      <w:r w:rsidRPr="002A58B7">
        <w:rPr>
          <w:rFonts w:ascii="Arial" w:eastAsia="Calibri" w:hAnsi="Arial" w:cs="Arial"/>
          <w:color w:val="000000" w:themeColor="text1"/>
          <w:sz w:val="22"/>
          <w:lang w:val="es-ES_tradnl" w:eastAsia="es-ES_tradnl"/>
        </w:rPr>
        <w:t xml:space="preserve">) Regulación de las convocatorias limitadas a </w:t>
      </w:r>
      <w:proofErr w:type="spellStart"/>
      <w:r w:rsidRPr="002A58B7">
        <w:rPr>
          <w:rFonts w:ascii="Arial" w:eastAsia="Calibri" w:hAnsi="Arial" w:cs="Arial"/>
          <w:color w:val="000000" w:themeColor="text1"/>
          <w:sz w:val="22"/>
          <w:lang w:val="es-ES_tradnl" w:eastAsia="es-ES_tradnl"/>
        </w:rPr>
        <w:t>mipymes</w:t>
      </w:r>
      <w:proofErr w:type="spellEnd"/>
      <w:r w:rsidRPr="002A58B7">
        <w:rPr>
          <w:rFonts w:ascii="Arial" w:eastAsia="Calibri" w:hAnsi="Arial" w:cs="Arial"/>
          <w:color w:val="000000" w:themeColor="text1"/>
          <w:sz w:val="22"/>
          <w:lang w:val="es-ES_tradnl" w:eastAsia="es-ES_tradnl"/>
        </w:rPr>
        <w:t xml:space="preserve"> en el ámbito territorial en el artículo 34 de la Ley 2069 de 2020 y el Decreto 1860 de 2021.</w:t>
      </w:r>
    </w:p>
    <w:p w14:paraId="1264AD84" w14:textId="7790542C" w:rsidR="0024769F" w:rsidRPr="002A58B7" w:rsidRDefault="0024769F" w:rsidP="0024769F">
      <w:pPr>
        <w:spacing w:before="120" w:after="0"/>
        <w:ind w:firstLine="709"/>
        <w:rPr>
          <w:rFonts w:ascii="Arial" w:eastAsia="Calibri" w:hAnsi="Arial" w:cs="Arial"/>
          <w:color w:val="000000" w:themeColor="text1"/>
          <w:sz w:val="22"/>
          <w:lang w:val="es-ES_tradnl" w:eastAsia="es-ES_tradnl"/>
        </w:rPr>
      </w:pPr>
      <w:r w:rsidRPr="002A58B7">
        <w:rPr>
          <w:rFonts w:ascii="Arial" w:eastAsia="Calibri" w:hAnsi="Arial" w:cs="Arial"/>
          <w:color w:val="000000" w:themeColor="text1"/>
          <w:sz w:val="22"/>
          <w:lang w:val="es-ES_tradnl" w:eastAsia="es-ES_tradnl"/>
        </w:rPr>
        <w:t xml:space="preserve">La Agencia Nacional de Contratación Pública – Colombia Compra Eficiente se pronunció sobre la nueva regulación de la promoción del desarrollo en la contratación estatal contenida en el artículo 34 de la Ley 2069 de 2020 en los conceptos C-043 del 09 de febrero de 2021, C-005 del 16 de febrero de 2021, C-081 del 23 de febrero de 2021, C-087 del 23 de febrero de 2021, C-025 del 25 de febrero de 2021, C-037 del 26 de febrero de 2021, C-035 del 02 de marzo de 2021, C-040 del 02 de marzo de 2021, C-044 del 03 de marzo de 2021, C-102 del 25 de marzo de 2021, C-125 del 05 de abril de 2021, C-127 del 06 de abril de 2021,  C-130 del 07 de abril de 2021, C-144 del 07 de abril de 2021, C-141 del 08 de abril de 2021, C-114 del 13 de abril de 2021, C−151 del 12 de abril de 2021,  C-160 del 20 de abril de 2021, C−189 del 26 de abril de 2021, C-206 del 3 de mayo de 2021, C-208 del 10 de mayo de 2021, C-211 del 11 de mayo de 2021, C-234 del 24 de mayo de 2021, C-271 del 9 de junio de 2021, C-306 del 28 de junio de 2021, C-426 del 18 de agosto de 2021, C-309 del 24 de agosto de 2021 y C-455 del 31 de agosto de 2021. Sobre las limitaciones territoriales de convocatorias </w:t>
      </w:r>
      <w:proofErr w:type="spellStart"/>
      <w:r w:rsidRPr="002A58B7">
        <w:rPr>
          <w:rFonts w:ascii="Arial" w:eastAsia="Calibri" w:hAnsi="Arial" w:cs="Arial"/>
          <w:color w:val="000000" w:themeColor="text1"/>
          <w:sz w:val="22"/>
          <w:lang w:val="es-ES_tradnl" w:eastAsia="es-ES_tradnl"/>
        </w:rPr>
        <w:t>mipyme</w:t>
      </w:r>
      <w:proofErr w:type="spellEnd"/>
      <w:r w:rsidRPr="002A58B7">
        <w:rPr>
          <w:rFonts w:ascii="Arial" w:eastAsia="Calibri" w:hAnsi="Arial" w:cs="Arial"/>
          <w:color w:val="000000" w:themeColor="text1"/>
          <w:sz w:val="22"/>
          <w:lang w:val="es-ES_tradnl" w:eastAsia="es-ES_tradnl"/>
        </w:rPr>
        <w:t xml:space="preserve"> se pronunció en el Concepto C-705 de 7 de diciembre de 2020 y C-438 de 27 de septiembre de 2021, C-041 del 2 de marzo de 2022, entre otros. Las consideraciones de estos conceptos se reiteran a continuación y se complementan en lo pertinente:</w:t>
      </w:r>
    </w:p>
    <w:p w14:paraId="7A12E162" w14:textId="77777777" w:rsidR="00DE2F2B" w:rsidRPr="002A58B7" w:rsidRDefault="00DE2F2B" w:rsidP="00DE2F2B">
      <w:pPr>
        <w:spacing w:after="0"/>
        <w:rPr>
          <w:rFonts w:ascii="Arial" w:eastAsia="Calibri" w:hAnsi="Arial" w:cs="Arial"/>
          <w:color w:val="000000" w:themeColor="text1"/>
          <w:sz w:val="22"/>
          <w:lang w:val="es-ES_tradnl" w:eastAsia="es-ES_tradnl"/>
        </w:rPr>
      </w:pPr>
    </w:p>
    <w:p w14:paraId="415D7126" w14:textId="77777777" w:rsidR="00DE2F2B" w:rsidRPr="002A58B7" w:rsidRDefault="00DE2F2B" w:rsidP="00DE2F2B">
      <w:pPr>
        <w:spacing w:after="0"/>
        <w:rPr>
          <w:rFonts w:ascii="Arial" w:eastAsia="Calibri" w:hAnsi="Arial" w:cs="Arial"/>
          <w:b/>
          <w:bCs/>
          <w:color w:val="000000" w:themeColor="text1"/>
          <w:sz w:val="22"/>
          <w:lang w:val="es-ES_tradnl" w:eastAsia="es-ES_tradnl"/>
        </w:rPr>
      </w:pPr>
      <w:r w:rsidRPr="002A58B7">
        <w:rPr>
          <w:rFonts w:ascii="Arial" w:eastAsia="Calibri" w:hAnsi="Arial" w:cs="Arial"/>
          <w:b/>
          <w:bCs/>
          <w:color w:val="000000" w:themeColor="text1"/>
          <w:sz w:val="22"/>
          <w:lang w:val="es-ES_tradnl" w:eastAsia="es-ES_tradnl"/>
        </w:rPr>
        <w:t>2.1. Vigencia y ámbito de aplicación de la Ley 2069 de 2020</w:t>
      </w:r>
    </w:p>
    <w:p w14:paraId="38CAA515" w14:textId="2382EDB7" w:rsidR="00DE2F2B" w:rsidRPr="002A58B7" w:rsidRDefault="00DE2F2B" w:rsidP="00DE2F2B">
      <w:pPr>
        <w:spacing w:after="0"/>
        <w:rPr>
          <w:rFonts w:ascii="Arial" w:eastAsia="Calibri" w:hAnsi="Arial" w:cs="Arial"/>
          <w:color w:val="000000" w:themeColor="text1"/>
          <w:sz w:val="22"/>
          <w:lang w:val="es-ES_tradnl" w:eastAsia="es-ES_tradnl"/>
        </w:rPr>
      </w:pPr>
    </w:p>
    <w:p w14:paraId="0709CD5B" w14:textId="77777777" w:rsidR="0024769F" w:rsidRPr="002A58B7" w:rsidRDefault="0024769F" w:rsidP="0024769F">
      <w:pPr>
        <w:spacing w:after="0"/>
        <w:rPr>
          <w:rFonts w:ascii="Arial" w:eastAsia="Calibri" w:hAnsi="Arial" w:cs="Arial"/>
          <w:color w:val="000000" w:themeColor="text1"/>
          <w:sz w:val="22"/>
          <w:lang w:val="es-ES_tradnl" w:eastAsia="es-ES_tradnl"/>
        </w:rPr>
      </w:pPr>
      <w:r w:rsidRPr="002A58B7">
        <w:rPr>
          <w:rFonts w:ascii="Arial" w:eastAsia="Calibri" w:hAnsi="Arial" w:cs="Arial"/>
          <w:color w:val="000000" w:themeColor="text1"/>
          <w:sz w:val="22"/>
          <w:lang w:val="es-ES_tradnl" w:eastAsia="es-ES_tradnl"/>
        </w:rPr>
        <w:t>El 31 de diciembre de 2020 se promulgó la Ley 2069, «Por medio de la cual se impulsa el emprendimiento en Colombia». De acuerdo con el artículo 84, «La presente Ley rige a partir del momento de su promulgación […]», lo que significa que es obligatoria para sus destinatarios desde esa fecha. Lo anterior, sin perjuicio de la posibilidad de que el gobierno nacional, en ejercicio de la potestad reglamentaria que le confiere el artículo 189, numeral 11, de la Constitución Política, expida el decreto correspondiente que permita la cumplida ejecución de esta Ley.</w:t>
      </w:r>
    </w:p>
    <w:p w14:paraId="1E17DCB9" w14:textId="54767333" w:rsidR="0024769F" w:rsidRPr="002A58B7" w:rsidRDefault="0024769F" w:rsidP="0024769F">
      <w:pPr>
        <w:spacing w:before="120" w:after="0"/>
        <w:ind w:firstLine="709"/>
        <w:rPr>
          <w:rFonts w:ascii="Arial" w:eastAsia="Calibri" w:hAnsi="Arial" w:cs="Arial"/>
          <w:color w:val="000000" w:themeColor="text1"/>
          <w:sz w:val="22"/>
          <w:lang w:val="es-ES_tradnl" w:eastAsia="es-ES_tradnl"/>
        </w:rPr>
      </w:pPr>
      <w:r w:rsidRPr="002A58B7">
        <w:rPr>
          <w:rFonts w:ascii="Arial" w:eastAsia="Calibri" w:hAnsi="Arial" w:cs="Arial"/>
          <w:color w:val="000000" w:themeColor="text1"/>
          <w:sz w:val="22"/>
          <w:lang w:val="es-ES_tradnl" w:eastAsia="es-ES_tradnl"/>
        </w:rPr>
        <w:t>En cuan</w:t>
      </w:r>
      <w:r w:rsidR="00C152AA" w:rsidRPr="002A58B7">
        <w:rPr>
          <w:rFonts w:ascii="Arial" w:eastAsia="Calibri" w:hAnsi="Arial" w:cs="Arial"/>
          <w:color w:val="000000" w:themeColor="text1"/>
          <w:sz w:val="22"/>
          <w:lang w:val="es-ES_tradnl" w:eastAsia="es-ES_tradnl"/>
        </w:rPr>
        <w:t>t</w:t>
      </w:r>
      <w:r w:rsidRPr="002A58B7">
        <w:rPr>
          <w:rFonts w:ascii="Arial" w:eastAsia="Calibri" w:hAnsi="Arial" w:cs="Arial"/>
          <w:color w:val="000000" w:themeColor="text1"/>
          <w:sz w:val="22"/>
          <w:lang w:val="es-ES_tradnl" w:eastAsia="es-ES_tradnl"/>
        </w:rPr>
        <w:t xml:space="preserve">o a su contenido, es importante señalar que, como dispone el artículo 1, aquella «tiene por objeto establecer un marco regulatorio que propicie el emprendimiento y el crecimiento, consolidación y sostenibilidad de las empresas, con el fin de aumentar el bienestar social y generar equidad». Esto, a partir de «[…] un enfoque regionalizado </w:t>
      </w:r>
      <w:proofErr w:type="gramStart"/>
      <w:r w:rsidRPr="002A58B7">
        <w:rPr>
          <w:rFonts w:ascii="Arial" w:eastAsia="Calibri" w:hAnsi="Arial" w:cs="Arial"/>
          <w:color w:val="000000" w:themeColor="text1"/>
          <w:sz w:val="22"/>
          <w:lang w:val="es-ES_tradnl" w:eastAsia="es-ES_tradnl"/>
        </w:rPr>
        <w:t>de acuerdo a</w:t>
      </w:r>
      <w:proofErr w:type="gramEnd"/>
      <w:r w:rsidRPr="002A58B7">
        <w:rPr>
          <w:rFonts w:ascii="Arial" w:eastAsia="Calibri" w:hAnsi="Arial" w:cs="Arial"/>
          <w:color w:val="000000" w:themeColor="text1"/>
          <w:sz w:val="22"/>
          <w:lang w:val="es-ES_tradnl" w:eastAsia="es-ES_tradnl"/>
        </w:rPr>
        <w:t xml:space="preserve"> las realidades socioeconómicas de cada región». En desarrollo de esta finalidad, se establecen medidas de apoyo para las micro, pequeñas y medianas empresas –</w:t>
      </w:r>
      <w:proofErr w:type="spellStart"/>
      <w:r w:rsidRPr="002A58B7">
        <w:rPr>
          <w:rFonts w:ascii="Arial" w:eastAsia="Calibri" w:hAnsi="Arial" w:cs="Arial"/>
          <w:color w:val="000000" w:themeColor="text1"/>
          <w:sz w:val="22"/>
          <w:lang w:val="es-ES_tradnl" w:eastAsia="es-ES_tradnl"/>
        </w:rPr>
        <w:lastRenderedPageBreak/>
        <w:t>mipymes</w:t>
      </w:r>
      <w:proofErr w:type="spellEnd"/>
      <w:r w:rsidRPr="002A58B7">
        <w:rPr>
          <w:rFonts w:ascii="Arial" w:eastAsia="Calibri" w:hAnsi="Arial" w:cs="Arial"/>
          <w:color w:val="000000" w:themeColor="text1"/>
          <w:sz w:val="22"/>
          <w:lang w:val="es-ES_tradnl" w:eastAsia="es-ES_tradnl"/>
        </w:rPr>
        <w:t>–, mediante la racionalización y simplificación de los trámites y tarifas</w:t>
      </w:r>
      <w:r w:rsidRPr="002A58B7">
        <w:rPr>
          <w:rFonts w:ascii="Arial" w:eastAsia="Calibri" w:hAnsi="Arial" w:cs="Arial"/>
          <w:color w:val="000000" w:themeColor="text1"/>
          <w:sz w:val="22"/>
          <w:vertAlign w:val="superscript"/>
          <w:lang w:val="es-ES_tradnl" w:eastAsia="es-ES_tradnl"/>
        </w:rPr>
        <w:footnoteReference w:id="1"/>
      </w:r>
      <w:r w:rsidRPr="002A58B7">
        <w:rPr>
          <w:rFonts w:ascii="Arial" w:eastAsia="Calibri" w:hAnsi="Arial" w:cs="Arial"/>
          <w:color w:val="000000" w:themeColor="text1"/>
          <w:sz w:val="22"/>
          <w:lang w:val="es-ES_tradnl" w:eastAsia="es-ES_tradnl"/>
        </w:rPr>
        <w:t>, así como incentivos a favor de aquellas dentro del sistema de compras y contratación pública</w:t>
      </w:r>
      <w:r w:rsidRPr="002A58B7">
        <w:rPr>
          <w:rFonts w:ascii="Arial" w:eastAsia="Calibri" w:hAnsi="Arial" w:cs="Arial"/>
          <w:color w:val="000000" w:themeColor="text1"/>
          <w:sz w:val="22"/>
          <w:vertAlign w:val="superscript"/>
          <w:lang w:val="es-ES_tradnl" w:eastAsia="es-ES_tradnl"/>
        </w:rPr>
        <w:footnoteReference w:id="2"/>
      </w:r>
      <w:r w:rsidRPr="002A58B7">
        <w:rPr>
          <w:rFonts w:ascii="Arial" w:eastAsia="Calibri" w:hAnsi="Arial" w:cs="Arial"/>
          <w:color w:val="000000" w:themeColor="text1"/>
          <w:sz w:val="22"/>
          <w:lang w:val="es-ES_tradnl" w:eastAsia="es-ES_tradnl"/>
        </w:rPr>
        <w:t>. También se consagran mecanismos de acceso al financiamiento</w:t>
      </w:r>
      <w:r w:rsidRPr="002A58B7">
        <w:rPr>
          <w:rFonts w:ascii="Arial" w:eastAsia="Calibri" w:hAnsi="Arial" w:cs="Arial"/>
          <w:color w:val="000000" w:themeColor="text1"/>
          <w:sz w:val="22"/>
          <w:vertAlign w:val="superscript"/>
          <w:lang w:val="es-ES_tradnl" w:eastAsia="es-ES_tradnl"/>
        </w:rPr>
        <w:footnoteReference w:id="3"/>
      </w:r>
      <w:r w:rsidRPr="002A58B7">
        <w:rPr>
          <w:rFonts w:ascii="Arial" w:eastAsia="Calibri" w:hAnsi="Arial" w:cs="Arial"/>
          <w:color w:val="000000" w:themeColor="text1"/>
          <w:sz w:val="22"/>
          <w:lang w:val="es-ES_tradnl" w:eastAsia="es-ES_tradnl"/>
        </w:rPr>
        <w:t>, se unifican las fuentes de emprendimiento y de desarrollo empresarial, para fortalecer y promover los distintos sectores de la economía</w:t>
      </w:r>
      <w:r w:rsidRPr="002A58B7">
        <w:rPr>
          <w:rFonts w:ascii="Arial" w:eastAsia="Calibri" w:hAnsi="Arial" w:cs="Arial"/>
          <w:color w:val="000000" w:themeColor="text1"/>
          <w:sz w:val="22"/>
          <w:vertAlign w:val="superscript"/>
          <w:lang w:val="es-ES_tradnl" w:eastAsia="es-ES_tradnl"/>
        </w:rPr>
        <w:footnoteReference w:id="4"/>
      </w:r>
      <w:r w:rsidRPr="002A58B7">
        <w:rPr>
          <w:rFonts w:ascii="Arial" w:eastAsia="Calibri" w:hAnsi="Arial" w:cs="Arial"/>
          <w:color w:val="000000" w:themeColor="text1"/>
          <w:sz w:val="22"/>
          <w:lang w:val="es-ES_tradnl" w:eastAsia="es-ES_tradnl"/>
        </w:rPr>
        <w:t xml:space="preserve"> y se prevén medidas de educación para el emprendimiento y la innovación</w:t>
      </w:r>
      <w:r w:rsidRPr="002A58B7">
        <w:rPr>
          <w:rFonts w:ascii="Arial" w:eastAsia="Calibri" w:hAnsi="Arial" w:cs="Arial"/>
          <w:color w:val="000000" w:themeColor="text1"/>
          <w:sz w:val="22"/>
          <w:vertAlign w:val="superscript"/>
          <w:lang w:val="es-ES_tradnl" w:eastAsia="es-ES_tradnl"/>
        </w:rPr>
        <w:footnoteReference w:id="5"/>
      </w:r>
      <w:r w:rsidRPr="002A58B7">
        <w:rPr>
          <w:rFonts w:ascii="Arial" w:eastAsia="Calibri" w:hAnsi="Arial" w:cs="Arial"/>
          <w:color w:val="000000" w:themeColor="text1"/>
          <w:sz w:val="22"/>
          <w:lang w:val="es-ES_tradnl" w:eastAsia="es-ES_tradnl"/>
        </w:rPr>
        <w:t>.</w:t>
      </w:r>
    </w:p>
    <w:p w14:paraId="147B75AF" w14:textId="77777777" w:rsidR="0024769F" w:rsidRPr="002A58B7" w:rsidRDefault="0024769F" w:rsidP="0024769F">
      <w:pPr>
        <w:spacing w:before="120" w:after="0"/>
        <w:ind w:firstLine="709"/>
        <w:rPr>
          <w:rFonts w:ascii="Arial" w:eastAsia="Calibri" w:hAnsi="Arial" w:cs="Arial"/>
          <w:color w:val="000000" w:themeColor="text1"/>
          <w:sz w:val="22"/>
          <w:lang w:val="es-ES_tradnl" w:eastAsia="es-ES_tradnl"/>
        </w:rPr>
      </w:pPr>
      <w:r w:rsidRPr="002A58B7">
        <w:rPr>
          <w:rFonts w:ascii="Arial" w:eastAsia="Calibri" w:hAnsi="Arial" w:cs="Arial"/>
          <w:color w:val="000000" w:themeColor="text1"/>
          <w:sz w:val="22"/>
          <w:lang w:val="es-ES_tradnl" w:eastAsia="es-ES_tradnl"/>
        </w:rPr>
        <w:t xml:space="preserve">Como se indicó, parte de la Ley 2069 contiene normas que modifican algunos aspectos de la contratación estatal para promover el emprendimiento. Concretamente, aquellas se encuentran en el Capítulo III –artículos 30 al 36–. En su orden, tales artículos consagran: i) reglas sobre la participación de las </w:t>
      </w:r>
      <w:proofErr w:type="spellStart"/>
      <w:r w:rsidRPr="002A58B7">
        <w:rPr>
          <w:rFonts w:ascii="Arial" w:eastAsia="Calibri" w:hAnsi="Arial" w:cs="Arial"/>
          <w:color w:val="000000" w:themeColor="text1"/>
          <w:sz w:val="22"/>
          <w:lang w:val="es-ES_tradnl" w:eastAsia="es-ES_tradnl"/>
        </w:rPr>
        <w:t>mipymes</w:t>
      </w:r>
      <w:proofErr w:type="spellEnd"/>
      <w:r w:rsidRPr="002A58B7">
        <w:rPr>
          <w:rFonts w:ascii="Arial" w:eastAsia="Calibri" w:hAnsi="Arial" w:cs="Arial"/>
          <w:color w:val="000000" w:themeColor="text1"/>
          <w:sz w:val="22"/>
          <w:lang w:val="es-ES_tradnl" w:eastAsia="es-ES_tradnl"/>
        </w:rPr>
        <w:t xml:space="preserve"> en el procedimiento de mínima cuantía, </w:t>
      </w:r>
      <w:proofErr w:type="spellStart"/>
      <w:r w:rsidRPr="002A58B7">
        <w:rPr>
          <w:rFonts w:ascii="Arial" w:eastAsia="Calibri" w:hAnsi="Arial" w:cs="Arial"/>
          <w:color w:val="000000" w:themeColor="text1"/>
          <w:sz w:val="22"/>
          <w:lang w:val="es-ES_tradnl" w:eastAsia="es-ES_tradnl"/>
        </w:rPr>
        <w:t>ii</w:t>
      </w:r>
      <w:proofErr w:type="spellEnd"/>
      <w:r w:rsidRPr="002A58B7">
        <w:rPr>
          <w:rFonts w:ascii="Arial" w:eastAsia="Calibri" w:hAnsi="Arial" w:cs="Arial"/>
          <w:color w:val="000000" w:themeColor="text1"/>
          <w:sz w:val="22"/>
          <w:lang w:val="es-ES_tradnl" w:eastAsia="es-ES_tradnl"/>
        </w:rPr>
        <w:t xml:space="preserve">) criterios diferenciales para </w:t>
      </w:r>
      <w:proofErr w:type="spellStart"/>
      <w:r w:rsidRPr="002A58B7">
        <w:rPr>
          <w:rFonts w:ascii="Arial" w:eastAsia="Calibri" w:hAnsi="Arial" w:cs="Arial"/>
          <w:color w:val="000000" w:themeColor="text1"/>
          <w:sz w:val="22"/>
          <w:lang w:val="es-ES_tradnl" w:eastAsia="es-ES_tradnl"/>
        </w:rPr>
        <w:t>mipymes</w:t>
      </w:r>
      <w:proofErr w:type="spellEnd"/>
      <w:r w:rsidRPr="002A58B7">
        <w:rPr>
          <w:rFonts w:ascii="Arial" w:eastAsia="Calibri" w:hAnsi="Arial" w:cs="Arial"/>
          <w:color w:val="000000" w:themeColor="text1"/>
          <w:sz w:val="22"/>
          <w:lang w:val="es-ES_tradnl" w:eastAsia="es-ES_tradnl"/>
        </w:rPr>
        <w:t xml:space="preserve"> en el sistema de compras públicas, </w:t>
      </w:r>
      <w:proofErr w:type="spellStart"/>
      <w:r w:rsidRPr="002A58B7">
        <w:rPr>
          <w:rFonts w:ascii="Arial" w:eastAsia="Calibri" w:hAnsi="Arial" w:cs="Arial"/>
          <w:color w:val="000000" w:themeColor="text1"/>
          <w:sz w:val="22"/>
          <w:lang w:val="es-ES_tradnl" w:eastAsia="es-ES_tradnl"/>
        </w:rPr>
        <w:t>iii</w:t>
      </w:r>
      <w:proofErr w:type="spellEnd"/>
      <w:r w:rsidRPr="002A58B7">
        <w:rPr>
          <w:rFonts w:ascii="Arial" w:eastAsia="Calibri" w:hAnsi="Arial" w:cs="Arial"/>
          <w:color w:val="000000" w:themeColor="text1"/>
          <w:sz w:val="22"/>
          <w:lang w:val="es-ES_tradnl" w:eastAsia="es-ES_tradnl"/>
        </w:rPr>
        <w:t xml:space="preserve">) criterios diferenciales para emprendimientos y empresas de mujeres en el sistema de compras públicas, </w:t>
      </w:r>
      <w:proofErr w:type="spellStart"/>
      <w:r w:rsidRPr="002A58B7">
        <w:rPr>
          <w:rFonts w:ascii="Arial" w:eastAsia="Calibri" w:hAnsi="Arial" w:cs="Arial"/>
          <w:color w:val="000000" w:themeColor="text1"/>
          <w:sz w:val="22"/>
          <w:lang w:val="es-ES_tradnl" w:eastAsia="es-ES_tradnl"/>
        </w:rPr>
        <w:t>iv</w:t>
      </w:r>
      <w:proofErr w:type="spellEnd"/>
      <w:r w:rsidRPr="002A58B7">
        <w:rPr>
          <w:rFonts w:ascii="Arial" w:eastAsia="Calibri" w:hAnsi="Arial" w:cs="Arial"/>
          <w:color w:val="000000" w:themeColor="text1"/>
          <w:sz w:val="22"/>
          <w:lang w:val="es-ES_tradnl" w:eastAsia="es-ES_tradnl"/>
        </w:rPr>
        <w:t xml:space="preserve">) promoción del acceso de las </w:t>
      </w:r>
      <w:proofErr w:type="spellStart"/>
      <w:r w:rsidRPr="002A58B7">
        <w:rPr>
          <w:rFonts w:ascii="Arial" w:eastAsia="Calibri" w:hAnsi="Arial" w:cs="Arial"/>
          <w:color w:val="000000" w:themeColor="text1"/>
          <w:sz w:val="22"/>
          <w:lang w:val="es-ES_tradnl" w:eastAsia="es-ES_tradnl"/>
        </w:rPr>
        <w:t>mipymes</w:t>
      </w:r>
      <w:proofErr w:type="spellEnd"/>
      <w:r w:rsidRPr="002A58B7">
        <w:rPr>
          <w:rFonts w:ascii="Arial" w:eastAsia="Calibri" w:hAnsi="Arial" w:cs="Arial"/>
          <w:color w:val="000000" w:themeColor="text1"/>
          <w:sz w:val="22"/>
          <w:lang w:val="es-ES_tradnl" w:eastAsia="es-ES_tradnl"/>
        </w:rPr>
        <w:t xml:space="preserve"> al mercado de compras públicas, v) promoción del desarrollo en la contratación pública, vi) un nuevo régimen de factores de desempate y vi) un llamado a las entidades estatales para que promuevan compras públicas en el marco de la tecnología y la innovación. Teniendo en cuenta que la consulta está relacionada con la interpretación del artículo 34 de la referida ley, a continuación, se estudiará el contenido y alcance de dichas normas.  </w:t>
      </w:r>
    </w:p>
    <w:p w14:paraId="70E63E59" w14:textId="77777777" w:rsidR="0024769F" w:rsidRPr="002A58B7" w:rsidRDefault="0024769F" w:rsidP="00DE2F2B">
      <w:pPr>
        <w:spacing w:after="0"/>
        <w:rPr>
          <w:rFonts w:ascii="Arial" w:eastAsia="Calibri" w:hAnsi="Arial" w:cs="Arial"/>
          <w:color w:val="000000" w:themeColor="text1"/>
          <w:sz w:val="22"/>
          <w:lang w:val="es-ES_tradnl" w:eastAsia="es-ES_tradnl"/>
        </w:rPr>
      </w:pPr>
    </w:p>
    <w:p w14:paraId="46EB8DD2" w14:textId="5F2E4690" w:rsidR="00107669" w:rsidRPr="002A58B7" w:rsidRDefault="00107669" w:rsidP="00107669">
      <w:pPr>
        <w:spacing w:after="0"/>
        <w:rPr>
          <w:rFonts w:ascii="Arial" w:eastAsia="Calibri" w:hAnsi="Arial" w:cs="Arial"/>
          <w:b/>
          <w:bCs/>
          <w:color w:val="000000" w:themeColor="text1"/>
          <w:sz w:val="22"/>
          <w:lang w:val="es-ES_tradnl" w:eastAsia="es-ES_tradnl"/>
        </w:rPr>
      </w:pPr>
      <w:r w:rsidRPr="002A58B7">
        <w:rPr>
          <w:rFonts w:ascii="Arial" w:eastAsia="Calibri" w:hAnsi="Arial" w:cs="Arial"/>
          <w:b/>
          <w:bCs/>
          <w:color w:val="000000" w:themeColor="text1"/>
          <w:sz w:val="22"/>
          <w:lang w:val="es-ES_tradnl" w:eastAsia="es-ES_tradnl"/>
        </w:rPr>
        <w:t xml:space="preserve">2.2. Regulación de las convocatorias limitadas a </w:t>
      </w:r>
      <w:proofErr w:type="spellStart"/>
      <w:r w:rsidR="00C152AA" w:rsidRPr="002A58B7">
        <w:rPr>
          <w:rFonts w:ascii="Arial" w:eastAsia="Calibri" w:hAnsi="Arial" w:cs="Arial"/>
          <w:b/>
          <w:bCs/>
          <w:color w:val="000000" w:themeColor="text1"/>
          <w:sz w:val="22"/>
          <w:lang w:val="es-ES_tradnl" w:eastAsia="es-ES_tradnl"/>
        </w:rPr>
        <w:t>M</w:t>
      </w:r>
      <w:r w:rsidRPr="002A58B7">
        <w:rPr>
          <w:rFonts w:ascii="Arial" w:eastAsia="Calibri" w:hAnsi="Arial" w:cs="Arial"/>
          <w:b/>
          <w:bCs/>
          <w:color w:val="000000" w:themeColor="text1"/>
          <w:sz w:val="22"/>
          <w:lang w:val="es-ES_tradnl" w:eastAsia="es-ES_tradnl"/>
        </w:rPr>
        <w:t>ipymes</w:t>
      </w:r>
      <w:proofErr w:type="spellEnd"/>
      <w:r w:rsidRPr="002A58B7">
        <w:rPr>
          <w:rFonts w:ascii="Arial" w:eastAsia="Calibri" w:hAnsi="Arial" w:cs="Arial"/>
          <w:b/>
          <w:bCs/>
          <w:color w:val="000000" w:themeColor="text1"/>
          <w:sz w:val="22"/>
          <w:lang w:val="es-ES_tradnl" w:eastAsia="es-ES_tradnl"/>
        </w:rPr>
        <w:t xml:space="preserve"> en el ámbito territorial en el artículo 34 de la Ley 2069 de 2020 y el Decreto 1860 de 2021 </w:t>
      </w:r>
    </w:p>
    <w:p w14:paraId="55AC8821" w14:textId="77777777" w:rsidR="00107669" w:rsidRPr="002A58B7" w:rsidRDefault="00107669" w:rsidP="00107669">
      <w:pPr>
        <w:spacing w:after="0"/>
        <w:rPr>
          <w:rFonts w:ascii="Arial" w:eastAsia="Calibri" w:hAnsi="Arial" w:cs="Arial"/>
          <w:color w:val="000000" w:themeColor="text1"/>
          <w:sz w:val="22"/>
          <w:lang w:val="es-ES_tradnl" w:eastAsia="es-ES_tradnl"/>
        </w:rPr>
      </w:pPr>
    </w:p>
    <w:p w14:paraId="56EF47D5" w14:textId="77777777" w:rsidR="00107669" w:rsidRPr="002A58B7" w:rsidRDefault="00107669" w:rsidP="00107669">
      <w:pPr>
        <w:spacing w:after="0"/>
        <w:rPr>
          <w:rFonts w:ascii="Arial" w:eastAsia="Calibri" w:hAnsi="Arial" w:cs="Arial"/>
          <w:color w:val="000000" w:themeColor="text1"/>
          <w:sz w:val="22"/>
          <w:lang w:val="es-ES_tradnl" w:eastAsia="es-ES_tradnl"/>
        </w:rPr>
      </w:pPr>
      <w:r w:rsidRPr="002A58B7">
        <w:rPr>
          <w:rFonts w:ascii="Arial" w:eastAsia="Calibri" w:hAnsi="Arial" w:cs="Arial"/>
          <w:color w:val="000000" w:themeColor="text1"/>
          <w:sz w:val="22"/>
          <w:lang w:val="es-ES_tradnl" w:eastAsia="es-ES_tradnl"/>
        </w:rPr>
        <w:t>El artículo 34 de la Ley 2069 de 2020 establece nuevas reglas sobre la promoción al desarrollo en la contratación estatal. Concretamente, modifica el contenido del artículo 12 de la Ley 1150 de 2007</w:t>
      </w:r>
      <w:r w:rsidRPr="002A58B7">
        <w:rPr>
          <w:rFonts w:ascii="Arial" w:eastAsia="Calibri" w:hAnsi="Arial" w:cs="Arial"/>
          <w:color w:val="000000" w:themeColor="text1"/>
          <w:sz w:val="22"/>
          <w:vertAlign w:val="superscript"/>
          <w:lang w:val="es-ES_tradnl" w:eastAsia="es-ES_tradnl"/>
        </w:rPr>
        <w:footnoteReference w:id="6"/>
      </w:r>
      <w:r w:rsidRPr="002A58B7">
        <w:rPr>
          <w:rFonts w:ascii="Arial" w:eastAsia="Calibri" w:hAnsi="Arial" w:cs="Arial"/>
          <w:color w:val="000000" w:themeColor="text1"/>
          <w:sz w:val="22"/>
          <w:lang w:val="es-ES_tradnl" w:eastAsia="es-ES_tradnl"/>
        </w:rPr>
        <w:t>, prescribiendo lo que se indica a continuación:</w:t>
      </w:r>
    </w:p>
    <w:p w14:paraId="34A39B29" w14:textId="0D55F6C1" w:rsidR="00107669" w:rsidRPr="002A58B7" w:rsidRDefault="00107669" w:rsidP="00107669">
      <w:pPr>
        <w:spacing w:before="120" w:after="0"/>
        <w:ind w:firstLine="709"/>
        <w:rPr>
          <w:rFonts w:ascii="Arial" w:eastAsia="Calibri" w:hAnsi="Arial" w:cs="Arial"/>
          <w:color w:val="000000" w:themeColor="text1"/>
          <w:sz w:val="22"/>
          <w:lang w:val="es-ES_tradnl" w:eastAsia="es-ES_tradnl"/>
        </w:rPr>
      </w:pPr>
      <w:r w:rsidRPr="002A58B7">
        <w:rPr>
          <w:rFonts w:ascii="Arial" w:eastAsia="Calibri" w:hAnsi="Arial" w:cs="Arial"/>
          <w:color w:val="000000" w:themeColor="text1"/>
          <w:sz w:val="22"/>
          <w:lang w:val="es-ES_tradnl" w:eastAsia="es-ES_tradnl"/>
        </w:rPr>
        <w:lastRenderedPageBreak/>
        <w:t xml:space="preserve">i) Encomienda, </w:t>
      </w:r>
      <w:r w:rsidR="00C152AA" w:rsidRPr="002A58B7">
        <w:rPr>
          <w:rFonts w:ascii="Arial" w:eastAsia="Calibri" w:hAnsi="Arial" w:cs="Arial"/>
          <w:color w:val="000000" w:themeColor="text1"/>
          <w:sz w:val="22"/>
          <w:lang w:val="es-ES_tradnl"/>
        </w:rPr>
        <w:t>al gobierno nacional el deber de</w:t>
      </w:r>
      <w:r w:rsidR="00C152AA" w:rsidRPr="002A58B7" w:rsidDel="004B12C3">
        <w:rPr>
          <w:rFonts w:ascii="Arial" w:eastAsia="Calibri" w:hAnsi="Arial" w:cs="Arial"/>
          <w:color w:val="000000" w:themeColor="text1"/>
          <w:sz w:val="22"/>
          <w:lang w:val="es-ES_tradnl"/>
        </w:rPr>
        <w:t xml:space="preserve"> </w:t>
      </w:r>
      <w:r w:rsidRPr="002A58B7">
        <w:rPr>
          <w:rFonts w:ascii="Arial" w:eastAsia="Calibri" w:hAnsi="Arial" w:cs="Arial"/>
          <w:color w:val="000000" w:themeColor="text1"/>
          <w:sz w:val="22"/>
          <w:lang w:val="es-ES_tradnl" w:eastAsia="es-ES_tradnl"/>
        </w:rPr>
        <w:t xml:space="preserve">definir las condiciones y los montos para que las entidades estatales –cualquiera sea su régimen contractual–, los patrimonios autónomos constituidos por aquellas y los particulares que administren recursos </w:t>
      </w:r>
      <w:proofErr w:type="gramStart"/>
      <w:r w:rsidRPr="002A58B7">
        <w:rPr>
          <w:rFonts w:ascii="Arial" w:eastAsia="Calibri" w:hAnsi="Arial" w:cs="Arial"/>
          <w:color w:val="000000" w:themeColor="text1"/>
          <w:sz w:val="22"/>
          <w:lang w:val="es-ES_tradnl" w:eastAsia="es-ES_tradnl"/>
        </w:rPr>
        <w:t>públicos,</w:t>
      </w:r>
      <w:proofErr w:type="gramEnd"/>
      <w:r w:rsidRPr="002A58B7">
        <w:rPr>
          <w:rFonts w:ascii="Arial" w:eastAsia="Calibri" w:hAnsi="Arial" w:cs="Arial"/>
          <w:color w:val="000000" w:themeColor="text1"/>
          <w:sz w:val="22"/>
          <w:lang w:val="es-ES_tradnl" w:eastAsia="es-ES_tradnl"/>
        </w:rPr>
        <w:t xml:space="preserve"> efectúen convocatorias limitadas a </w:t>
      </w:r>
      <w:proofErr w:type="spellStart"/>
      <w:r w:rsidRPr="002A58B7">
        <w:rPr>
          <w:rFonts w:ascii="Arial" w:eastAsia="Calibri" w:hAnsi="Arial" w:cs="Arial"/>
          <w:color w:val="000000" w:themeColor="text1"/>
          <w:sz w:val="22"/>
          <w:lang w:val="es-ES_tradnl" w:eastAsia="es-ES_tradnl"/>
        </w:rPr>
        <w:t>mipymes</w:t>
      </w:r>
      <w:proofErr w:type="spellEnd"/>
      <w:r w:rsidRPr="002A58B7">
        <w:rPr>
          <w:rFonts w:ascii="Arial" w:eastAsia="Calibri" w:hAnsi="Arial" w:cs="Arial"/>
          <w:color w:val="000000" w:themeColor="text1"/>
          <w:sz w:val="22"/>
          <w:lang w:val="es-ES_tradnl" w:eastAsia="es-ES_tradnl"/>
        </w:rPr>
        <w:t xml:space="preserve"> en los procesos de contratación. Y agrega que estas convocatorias se pueden realizar también en el ámbito municipal o departamental en el que se ejecute el contrato. </w:t>
      </w:r>
    </w:p>
    <w:p w14:paraId="03843323" w14:textId="77777777" w:rsidR="00107669" w:rsidRPr="002A58B7" w:rsidRDefault="00107669" w:rsidP="00107669">
      <w:pPr>
        <w:spacing w:before="120" w:after="0"/>
        <w:ind w:firstLine="709"/>
        <w:rPr>
          <w:rFonts w:ascii="Arial" w:eastAsia="Calibri" w:hAnsi="Arial" w:cs="Arial"/>
          <w:color w:val="000000" w:themeColor="text1"/>
          <w:sz w:val="22"/>
          <w:lang w:val="es-ES_tradnl" w:eastAsia="es-ES_tradnl"/>
        </w:rPr>
      </w:pPr>
      <w:proofErr w:type="spellStart"/>
      <w:r w:rsidRPr="002A58B7">
        <w:rPr>
          <w:rFonts w:ascii="Arial" w:eastAsia="Calibri" w:hAnsi="Arial" w:cs="Arial"/>
          <w:color w:val="000000" w:themeColor="text1"/>
          <w:sz w:val="22"/>
          <w:lang w:val="es-ES_tradnl" w:eastAsia="es-ES_tradnl"/>
        </w:rPr>
        <w:t>ii</w:t>
      </w:r>
      <w:proofErr w:type="spellEnd"/>
      <w:r w:rsidRPr="002A58B7">
        <w:rPr>
          <w:rFonts w:ascii="Arial" w:eastAsia="Calibri" w:hAnsi="Arial" w:cs="Arial"/>
          <w:color w:val="000000" w:themeColor="text1"/>
          <w:sz w:val="22"/>
          <w:lang w:val="es-ES_tradnl" w:eastAsia="es-ES_tradnl"/>
        </w:rPr>
        <w:t xml:space="preserve">) Indica que dichas convocatorias se deben efectuar siempre y cuando, antes del acto administrativo de apertura del proceso de selección, por lo menos dos (2) </w:t>
      </w:r>
      <w:proofErr w:type="spellStart"/>
      <w:r w:rsidRPr="002A58B7">
        <w:rPr>
          <w:rFonts w:ascii="Arial" w:eastAsia="Calibri" w:hAnsi="Arial" w:cs="Arial"/>
          <w:color w:val="000000" w:themeColor="text1"/>
          <w:sz w:val="22"/>
          <w:lang w:val="es-ES_tradnl" w:eastAsia="es-ES_tradnl"/>
        </w:rPr>
        <w:t>mipymes</w:t>
      </w:r>
      <w:proofErr w:type="spellEnd"/>
      <w:r w:rsidRPr="002A58B7">
        <w:rPr>
          <w:rFonts w:ascii="Arial" w:eastAsia="Calibri" w:hAnsi="Arial" w:cs="Arial"/>
          <w:color w:val="000000" w:themeColor="text1"/>
          <w:sz w:val="22"/>
          <w:lang w:val="es-ES_tradnl" w:eastAsia="es-ES_tradnl"/>
        </w:rPr>
        <w:t xml:space="preserve"> hayan manifestado su interés.</w:t>
      </w:r>
    </w:p>
    <w:p w14:paraId="01AA84E2" w14:textId="77777777" w:rsidR="00107669" w:rsidRPr="002A58B7" w:rsidRDefault="00107669" w:rsidP="00107669">
      <w:pPr>
        <w:spacing w:before="120" w:after="0"/>
        <w:ind w:firstLine="709"/>
        <w:rPr>
          <w:rFonts w:ascii="Arial" w:eastAsia="Calibri" w:hAnsi="Arial" w:cs="Arial"/>
          <w:color w:val="000000" w:themeColor="text1"/>
          <w:sz w:val="22"/>
          <w:lang w:val="es-ES_tradnl" w:eastAsia="es-ES_tradnl"/>
        </w:rPr>
      </w:pPr>
      <w:proofErr w:type="spellStart"/>
      <w:r w:rsidRPr="002A58B7">
        <w:rPr>
          <w:rFonts w:ascii="Arial" w:eastAsia="Calibri" w:hAnsi="Arial" w:cs="Arial"/>
          <w:color w:val="000000" w:themeColor="text1"/>
          <w:sz w:val="22"/>
          <w:lang w:val="es-ES_tradnl" w:eastAsia="es-ES_tradnl"/>
        </w:rPr>
        <w:t>iii</w:t>
      </w:r>
      <w:proofErr w:type="spellEnd"/>
      <w:r w:rsidRPr="002A58B7">
        <w:rPr>
          <w:rFonts w:ascii="Arial" w:eastAsia="Calibri" w:hAnsi="Arial" w:cs="Arial"/>
          <w:color w:val="000000" w:themeColor="text1"/>
          <w:sz w:val="22"/>
          <w:lang w:val="es-ES_tradnl" w:eastAsia="es-ES_tradnl"/>
        </w:rPr>
        <w:t>) Determina que uno de los parámetros que deberá tener en cuenta el gobierno nacional para reglamentar la materia es el cumplimiento de los compromisos internacionales vigentes. Es decir que se deberán considerar las estipulaciones contenidas en los tratados comerciales suscritos entre Colombia y otros Estados.</w:t>
      </w:r>
    </w:p>
    <w:p w14:paraId="05B88A4D" w14:textId="77777777" w:rsidR="00107669" w:rsidRPr="002A58B7" w:rsidRDefault="00107669" w:rsidP="00107669">
      <w:pPr>
        <w:spacing w:before="120" w:after="0"/>
        <w:ind w:firstLine="709"/>
        <w:rPr>
          <w:rFonts w:ascii="Arial" w:eastAsia="Calibri" w:hAnsi="Arial" w:cs="Arial"/>
          <w:color w:val="000000" w:themeColor="text1"/>
          <w:sz w:val="22"/>
          <w:lang w:val="es-ES_tradnl" w:eastAsia="es-ES_tradnl"/>
        </w:rPr>
      </w:pPr>
      <w:proofErr w:type="spellStart"/>
      <w:r w:rsidRPr="002A58B7">
        <w:rPr>
          <w:rFonts w:ascii="Arial" w:eastAsia="Calibri" w:hAnsi="Arial" w:cs="Arial"/>
          <w:color w:val="000000" w:themeColor="text1"/>
          <w:sz w:val="22"/>
          <w:lang w:val="es-ES_tradnl" w:eastAsia="es-ES_tradnl"/>
        </w:rPr>
        <w:t>iv</w:t>
      </w:r>
      <w:proofErr w:type="spellEnd"/>
      <w:r w:rsidRPr="002A58B7">
        <w:rPr>
          <w:rFonts w:ascii="Arial" w:eastAsia="Calibri" w:hAnsi="Arial" w:cs="Arial"/>
          <w:color w:val="000000" w:themeColor="text1"/>
          <w:sz w:val="22"/>
          <w:lang w:val="es-ES_tradnl" w:eastAsia="es-ES_tradnl"/>
        </w:rPr>
        <w:t xml:space="preserve">) Establece que, en el reglamento, el gobierno nacional podría establecer condiciones preferenciales para los bienes y servicios producidos por las </w:t>
      </w:r>
      <w:proofErr w:type="spellStart"/>
      <w:r w:rsidRPr="002A58B7">
        <w:rPr>
          <w:rFonts w:ascii="Arial" w:eastAsia="Calibri" w:hAnsi="Arial" w:cs="Arial"/>
          <w:color w:val="000000" w:themeColor="text1"/>
          <w:sz w:val="22"/>
          <w:lang w:val="es-ES_tradnl" w:eastAsia="es-ES_tradnl"/>
        </w:rPr>
        <w:t>mipymes</w:t>
      </w:r>
      <w:proofErr w:type="spellEnd"/>
      <w:r w:rsidRPr="002A58B7">
        <w:rPr>
          <w:rFonts w:ascii="Arial" w:eastAsia="Calibri" w:hAnsi="Arial" w:cs="Arial"/>
          <w:color w:val="000000" w:themeColor="text1"/>
          <w:sz w:val="22"/>
          <w:lang w:val="es-ES_tradnl" w:eastAsia="es-ES_tradnl"/>
        </w:rPr>
        <w:t>, sin contrariar los compromisos internacionales vigentes.</w:t>
      </w:r>
    </w:p>
    <w:p w14:paraId="139E684C" w14:textId="77777777" w:rsidR="00107669" w:rsidRPr="002A58B7" w:rsidRDefault="00107669" w:rsidP="00107669">
      <w:pPr>
        <w:spacing w:before="120" w:after="0"/>
        <w:ind w:firstLine="709"/>
        <w:rPr>
          <w:rFonts w:ascii="Arial" w:eastAsia="Calibri" w:hAnsi="Arial" w:cs="Arial"/>
          <w:color w:val="000000" w:themeColor="text1"/>
          <w:sz w:val="22"/>
          <w:lang w:val="es-ES_tradnl" w:eastAsia="es-ES_tradnl"/>
        </w:rPr>
      </w:pPr>
      <w:r w:rsidRPr="002A58B7">
        <w:rPr>
          <w:rFonts w:ascii="Arial" w:eastAsia="Calibri" w:hAnsi="Arial" w:cs="Arial"/>
          <w:color w:val="000000" w:themeColor="text1"/>
          <w:sz w:val="22"/>
          <w:lang w:val="es-ES_tradnl" w:eastAsia="es-ES_tradnl"/>
        </w:rPr>
        <w:t xml:space="preserve">v)  Aclara que tanto las convocatorias limitadas a </w:t>
      </w:r>
      <w:proofErr w:type="spellStart"/>
      <w:r w:rsidRPr="002A58B7">
        <w:rPr>
          <w:rFonts w:ascii="Arial" w:eastAsia="Calibri" w:hAnsi="Arial" w:cs="Arial"/>
          <w:color w:val="000000" w:themeColor="text1"/>
          <w:sz w:val="22"/>
          <w:lang w:val="es-ES_tradnl" w:eastAsia="es-ES_tradnl"/>
        </w:rPr>
        <w:t>mipymes</w:t>
      </w:r>
      <w:proofErr w:type="spellEnd"/>
      <w:r w:rsidRPr="002A58B7">
        <w:rPr>
          <w:rFonts w:ascii="Arial" w:eastAsia="Calibri" w:hAnsi="Arial" w:cs="Arial"/>
          <w:color w:val="000000" w:themeColor="text1"/>
          <w:sz w:val="22"/>
          <w:lang w:val="es-ES_tradnl" w:eastAsia="es-ES_tradnl"/>
        </w:rPr>
        <w:t>, como las condiciones preferenciales a favor de los bienes y servicios producidos por estas, no es óbice para que deban cumplir las exigencias técnicas y económicas del proceso de selección.</w:t>
      </w:r>
    </w:p>
    <w:p w14:paraId="3F13D82F" w14:textId="218509AF" w:rsidR="00107669" w:rsidRPr="002A58B7" w:rsidRDefault="00107669" w:rsidP="00107669">
      <w:pPr>
        <w:spacing w:before="120" w:after="0"/>
        <w:ind w:firstLine="709"/>
        <w:rPr>
          <w:rFonts w:ascii="Arial" w:eastAsia="Calibri" w:hAnsi="Arial" w:cs="Arial"/>
          <w:color w:val="000000" w:themeColor="text1"/>
          <w:sz w:val="22"/>
          <w:lang w:val="es-ES_tradnl" w:eastAsia="es-ES_tradnl"/>
        </w:rPr>
      </w:pPr>
      <w:r w:rsidRPr="002A58B7">
        <w:rPr>
          <w:rFonts w:ascii="Arial" w:eastAsia="Calibri" w:hAnsi="Arial" w:cs="Arial"/>
          <w:color w:val="000000" w:themeColor="text1"/>
          <w:sz w:val="22"/>
          <w:lang w:val="es-ES_tradnl" w:eastAsia="es-ES_tradnl"/>
        </w:rPr>
        <w:lastRenderedPageBreak/>
        <w:t xml:space="preserve">vi) Señala que el reglamento a cargo del gobierno nacional, además de las convocatorias limitadas a </w:t>
      </w:r>
      <w:proofErr w:type="spellStart"/>
      <w:r w:rsidR="005904E5">
        <w:rPr>
          <w:rFonts w:ascii="Arial" w:eastAsia="Calibri" w:hAnsi="Arial" w:cs="Arial"/>
          <w:color w:val="000000" w:themeColor="text1"/>
          <w:sz w:val="22"/>
          <w:lang w:val="es-ES_tradnl" w:eastAsia="es-ES_tradnl"/>
        </w:rPr>
        <w:t>M</w:t>
      </w:r>
      <w:r w:rsidRPr="002A58B7">
        <w:rPr>
          <w:rFonts w:ascii="Arial" w:eastAsia="Calibri" w:hAnsi="Arial" w:cs="Arial"/>
          <w:color w:val="000000" w:themeColor="text1"/>
          <w:sz w:val="22"/>
          <w:lang w:val="es-ES_tradnl" w:eastAsia="es-ES_tradnl"/>
        </w:rPr>
        <w:t>ipymes</w:t>
      </w:r>
      <w:proofErr w:type="spellEnd"/>
      <w:r w:rsidRPr="002A58B7">
        <w:rPr>
          <w:rFonts w:ascii="Arial" w:eastAsia="Calibri" w:hAnsi="Arial" w:cs="Arial"/>
          <w:color w:val="000000" w:themeColor="text1"/>
          <w:sz w:val="22"/>
          <w:lang w:val="es-ES_tradnl" w:eastAsia="es-ES_tradnl"/>
        </w:rPr>
        <w:t xml:space="preserve">, deberá contener disposiciones </w:t>
      </w:r>
      <w:r w:rsidR="00C152AA" w:rsidRPr="002A58B7">
        <w:rPr>
          <w:rFonts w:ascii="Arial" w:eastAsia="Calibri" w:hAnsi="Arial" w:cs="Arial"/>
          <w:color w:val="000000" w:themeColor="text1"/>
          <w:sz w:val="22"/>
          <w:lang w:val="es-ES_tradnl"/>
        </w:rPr>
        <w:t xml:space="preserve">que fomenten en la ejecución de los contratos estatales la provisión de bienes y servicios por parte de </w:t>
      </w:r>
      <w:r w:rsidRPr="002A58B7">
        <w:rPr>
          <w:rFonts w:ascii="Arial" w:eastAsia="Calibri" w:hAnsi="Arial" w:cs="Arial"/>
          <w:color w:val="000000" w:themeColor="text1"/>
          <w:sz w:val="22"/>
          <w:lang w:val="es-ES_tradnl" w:eastAsia="es-ES_tradnl"/>
        </w:rPr>
        <w:t>algunas personas que gozan de especial protección constitucional. Entre tales personas se encuentran las que tengan condiciones de pobreza extrema, las desplazadas por la violencia y quienes estén en procesos de reintegración o reincorporación, entre otras que incluya el reglamento.</w:t>
      </w:r>
    </w:p>
    <w:p w14:paraId="77595096" w14:textId="07D13859" w:rsidR="00107669" w:rsidRPr="002A58B7" w:rsidRDefault="00107669" w:rsidP="00107669">
      <w:pPr>
        <w:spacing w:before="120" w:after="0"/>
        <w:ind w:firstLine="709"/>
        <w:rPr>
          <w:rFonts w:ascii="Arial" w:eastAsia="Calibri" w:hAnsi="Arial" w:cs="Arial"/>
          <w:color w:val="000000" w:themeColor="text1"/>
          <w:sz w:val="22"/>
          <w:lang w:val="es-ES_tradnl" w:eastAsia="es-ES_tradnl"/>
        </w:rPr>
      </w:pPr>
      <w:proofErr w:type="spellStart"/>
      <w:r w:rsidRPr="002A58B7">
        <w:rPr>
          <w:rFonts w:ascii="Arial" w:eastAsia="Calibri" w:hAnsi="Arial" w:cs="Arial"/>
          <w:color w:val="000000" w:themeColor="text1"/>
          <w:sz w:val="22"/>
          <w:lang w:val="es-ES_tradnl" w:eastAsia="es-ES_tradnl"/>
        </w:rPr>
        <w:t>vii</w:t>
      </w:r>
      <w:proofErr w:type="spellEnd"/>
      <w:r w:rsidRPr="002A58B7">
        <w:rPr>
          <w:rFonts w:ascii="Arial" w:eastAsia="Calibri" w:hAnsi="Arial" w:cs="Arial"/>
          <w:color w:val="000000" w:themeColor="text1"/>
          <w:sz w:val="22"/>
          <w:lang w:val="es-ES_tradnl" w:eastAsia="es-ES_tradnl"/>
        </w:rPr>
        <w:t xml:space="preserve">) Precisa que la posibilidad de participar en convocatorias limitadas a </w:t>
      </w:r>
      <w:proofErr w:type="spellStart"/>
      <w:r w:rsidR="005904E5">
        <w:rPr>
          <w:rFonts w:ascii="Arial" w:eastAsia="Calibri" w:hAnsi="Arial" w:cs="Arial"/>
          <w:color w:val="000000" w:themeColor="text1"/>
          <w:sz w:val="22"/>
          <w:lang w:val="es-ES_tradnl" w:eastAsia="es-ES_tradnl"/>
        </w:rPr>
        <w:t>M</w:t>
      </w:r>
      <w:r w:rsidRPr="002A58B7">
        <w:rPr>
          <w:rFonts w:ascii="Arial" w:eastAsia="Calibri" w:hAnsi="Arial" w:cs="Arial"/>
          <w:color w:val="000000" w:themeColor="text1"/>
          <w:sz w:val="22"/>
          <w:lang w:val="es-ES_tradnl" w:eastAsia="es-ES_tradnl"/>
        </w:rPr>
        <w:t>ipymes</w:t>
      </w:r>
      <w:proofErr w:type="spellEnd"/>
      <w:r w:rsidRPr="002A58B7">
        <w:rPr>
          <w:rFonts w:ascii="Arial" w:eastAsia="Calibri" w:hAnsi="Arial" w:cs="Arial"/>
          <w:color w:val="000000" w:themeColor="text1"/>
          <w:sz w:val="22"/>
          <w:lang w:val="es-ES_tradnl" w:eastAsia="es-ES_tradnl"/>
        </w:rPr>
        <w:t xml:space="preserve"> se encuentra condicionada a que estas acrediten como mínimo un año de existencia, con el certificado expedido por la cámara de comercio respectiva o por la autoridad que sea competente para ello.</w:t>
      </w:r>
    </w:p>
    <w:p w14:paraId="387573FE" w14:textId="77777777" w:rsidR="00107669" w:rsidRPr="002A58B7" w:rsidRDefault="00107669" w:rsidP="00107669">
      <w:pPr>
        <w:spacing w:before="120" w:after="0"/>
        <w:ind w:firstLine="709"/>
        <w:rPr>
          <w:rFonts w:ascii="Arial" w:eastAsia="Calibri" w:hAnsi="Arial" w:cs="Arial"/>
          <w:color w:val="000000" w:themeColor="text1"/>
          <w:sz w:val="22"/>
          <w:lang w:val="es-ES_tradnl" w:eastAsia="es-ES_tradnl"/>
        </w:rPr>
      </w:pPr>
      <w:proofErr w:type="spellStart"/>
      <w:r w:rsidRPr="002A58B7">
        <w:rPr>
          <w:rFonts w:ascii="Arial" w:eastAsia="Calibri" w:hAnsi="Arial" w:cs="Arial"/>
          <w:color w:val="000000" w:themeColor="text1"/>
          <w:sz w:val="22"/>
          <w:lang w:val="es-ES_tradnl" w:eastAsia="es-ES_tradnl"/>
        </w:rPr>
        <w:t>viii</w:t>
      </w:r>
      <w:proofErr w:type="spellEnd"/>
      <w:r w:rsidRPr="002A58B7">
        <w:rPr>
          <w:rFonts w:ascii="Arial" w:eastAsia="Calibri" w:hAnsi="Arial" w:cs="Arial"/>
          <w:color w:val="000000" w:themeColor="text1"/>
          <w:sz w:val="22"/>
          <w:lang w:val="es-ES_tradnl" w:eastAsia="es-ES_tradnl"/>
        </w:rPr>
        <w:t>) Hace obligatorio el cumplimiento de lo dispuesto en los artículos 90 a 95 de la Ley 418 de 1997 –normas que establecen la obligación de declarar la caducidad y la liquidación unilateral cuando el contratista beneficie grupos armados organizados al margen de la ley– en la ejecución de los contratos celebrados en virtud del artículo 34 de la Ley 2069 de 2020.</w:t>
      </w:r>
    </w:p>
    <w:p w14:paraId="0CEFA786" w14:textId="77777777" w:rsidR="00107669" w:rsidRPr="002A58B7" w:rsidRDefault="00107669" w:rsidP="00107669">
      <w:pPr>
        <w:spacing w:before="120" w:after="0"/>
        <w:ind w:firstLine="709"/>
        <w:rPr>
          <w:rFonts w:ascii="Arial" w:eastAsia="Calibri" w:hAnsi="Arial" w:cs="Arial"/>
          <w:color w:val="000000" w:themeColor="text1"/>
          <w:sz w:val="22"/>
          <w:lang w:val="es-ES_tradnl" w:eastAsia="es-ES_tradnl"/>
        </w:rPr>
      </w:pPr>
      <w:r w:rsidRPr="002A58B7">
        <w:rPr>
          <w:rFonts w:ascii="Arial" w:eastAsia="Calibri" w:hAnsi="Arial" w:cs="Arial"/>
          <w:color w:val="000000" w:themeColor="text1"/>
          <w:sz w:val="22"/>
          <w:lang w:val="es-ES_tradnl" w:eastAsia="es-ES_tradnl"/>
        </w:rPr>
        <w:t xml:space="preserve">A partir de lo anterior, el artículo 34 de la Ley 2069 de 2020 sustituyó íntegramente el contenido del artículo 12 de la Ley 1150 de 2007. En este sentido, frente a esta última norma se produjo el fenómeno de la subrogación, el cual explica la Corte Constitucional en los siguientes términos: </w:t>
      </w:r>
    </w:p>
    <w:p w14:paraId="60FA87C2" w14:textId="77777777" w:rsidR="00107669" w:rsidRPr="002A58B7" w:rsidRDefault="00107669" w:rsidP="00107669">
      <w:pPr>
        <w:spacing w:after="0"/>
        <w:ind w:left="709" w:right="709"/>
        <w:rPr>
          <w:rFonts w:ascii="Arial" w:eastAsia="Calibri" w:hAnsi="Arial" w:cs="Arial"/>
          <w:color w:val="000000" w:themeColor="text1"/>
          <w:sz w:val="21"/>
          <w:szCs w:val="21"/>
          <w:lang w:val="es-ES_tradnl" w:eastAsia="es-ES_tradnl"/>
        </w:rPr>
      </w:pPr>
    </w:p>
    <w:p w14:paraId="063713A4" w14:textId="77777777" w:rsidR="00107669" w:rsidRPr="002A58B7" w:rsidRDefault="00107669" w:rsidP="00107669">
      <w:pPr>
        <w:spacing w:after="0" w:line="240" w:lineRule="auto"/>
        <w:ind w:left="709" w:right="709"/>
        <w:rPr>
          <w:rFonts w:ascii="Arial" w:eastAsia="Calibri" w:hAnsi="Arial" w:cs="Arial"/>
          <w:color w:val="000000" w:themeColor="text1"/>
          <w:sz w:val="21"/>
          <w:szCs w:val="21"/>
          <w:lang w:val="es-ES_tradnl" w:eastAsia="es-ES_tradnl"/>
        </w:rPr>
      </w:pPr>
      <w:r w:rsidRPr="002A58B7">
        <w:rPr>
          <w:rFonts w:ascii="Arial" w:eastAsia="Calibri" w:hAnsi="Arial" w:cs="Arial"/>
          <w:color w:val="000000" w:themeColor="text1"/>
          <w:sz w:val="21"/>
          <w:szCs w:val="21"/>
          <w:lang w:val="es-ES_tradnl" w:eastAsia="es-ES_tradnl"/>
        </w:rPr>
        <w:t>La subrogación es entendida como el acto de sustituir una norma por otra. No se trata de una derogación simple, como quiera que antes que abolir o anular una disposición del sistema normativo establecido, lo que hace es poner un texto normativo en lugar de otro. Como resultado de la subrogación, las normas jurídicas preexistentes y afectadas con la medida pueden en parte ser derogadas, modificadas y en parte sustituidas por otras nuevas; pero también la subrogación puede incluir la reproducción de apartes normativos provenientes del texto legal que se subroga</w:t>
      </w:r>
      <w:r w:rsidRPr="002A58B7">
        <w:rPr>
          <w:rFonts w:ascii="Arial" w:eastAsia="Calibri" w:hAnsi="Arial" w:cs="Arial"/>
          <w:color w:val="000000" w:themeColor="text1"/>
          <w:sz w:val="21"/>
          <w:szCs w:val="21"/>
          <w:vertAlign w:val="superscript"/>
          <w:lang w:val="es-ES_tradnl" w:eastAsia="es-ES_tradnl"/>
        </w:rPr>
        <w:footnoteReference w:id="7"/>
      </w:r>
      <w:r w:rsidRPr="002A58B7">
        <w:rPr>
          <w:rFonts w:ascii="Arial" w:eastAsia="Calibri" w:hAnsi="Arial" w:cs="Arial"/>
          <w:color w:val="000000" w:themeColor="text1"/>
          <w:sz w:val="21"/>
          <w:szCs w:val="21"/>
          <w:lang w:val="es-ES_tradnl" w:eastAsia="es-ES_tradnl"/>
        </w:rPr>
        <w:t>.</w:t>
      </w:r>
    </w:p>
    <w:p w14:paraId="09F93F37" w14:textId="77777777" w:rsidR="00107669" w:rsidRPr="002A58B7" w:rsidRDefault="00107669" w:rsidP="00107669">
      <w:pPr>
        <w:spacing w:after="0"/>
        <w:ind w:firstLine="709"/>
        <w:rPr>
          <w:rFonts w:ascii="Arial" w:eastAsia="Calibri" w:hAnsi="Arial" w:cs="Arial"/>
          <w:color w:val="000000" w:themeColor="text1"/>
          <w:sz w:val="22"/>
          <w:lang w:val="es-ES_tradnl" w:eastAsia="es-ES_tradnl"/>
        </w:rPr>
      </w:pPr>
    </w:p>
    <w:p w14:paraId="39FAE325" w14:textId="006B6389" w:rsidR="00107669" w:rsidRPr="002A58B7" w:rsidRDefault="00107669" w:rsidP="00107669">
      <w:pPr>
        <w:spacing w:after="0"/>
        <w:ind w:firstLine="709"/>
        <w:rPr>
          <w:rFonts w:ascii="Arial" w:eastAsia="Calibri" w:hAnsi="Arial" w:cs="Arial"/>
          <w:color w:val="000000" w:themeColor="text1"/>
          <w:sz w:val="22"/>
          <w:lang w:val="es-ES_tradnl" w:eastAsia="es-ES_tradnl"/>
        </w:rPr>
      </w:pPr>
      <w:r w:rsidRPr="002A58B7">
        <w:rPr>
          <w:rFonts w:ascii="Arial" w:eastAsia="Calibri" w:hAnsi="Arial" w:cs="Arial"/>
          <w:color w:val="000000" w:themeColor="text1"/>
          <w:sz w:val="22"/>
          <w:lang w:val="es-ES_tradnl" w:eastAsia="es-ES_tradnl"/>
        </w:rPr>
        <w:t xml:space="preserve">La subrogación es, entonces, una forma de derogación de </w:t>
      </w:r>
      <w:r w:rsidR="00C152AA" w:rsidRPr="002A58B7">
        <w:rPr>
          <w:rFonts w:ascii="Arial" w:eastAsia="Calibri" w:hAnsi="Arial" w:cs="Arial"/>
          <w:color w:val="000000" w:themeColor="text1"/>
          <w:sz w:val="22"/>
          <w:lang w:val="es-ES_tradnl" w:eastAsia="es-ES_tradnl"/>
        </w:rPr>
        <w:t>las normas jurídicas</w:t>
      </w:r>
      <w:r w:rsidRPr="002A58B7">
        <w:rPr>
          <w:rFonts w:ascii="Arial" w:eastAsia="Calibri" w:hAnsi="Arial" w:cs="Arial"/>
          <w:color w:val="000000" w:themeColor="text1"/>
          <w:sz w:val="22"/>
          <w:lang w:val="es-ES_tradnl" w:eastAsia="es-ES_tradnl"/>
        </w:rPr>
        <w:t xml:space="preserve">, que consiste en el reemplazo de su contenido por un enunciado normativo nuevo. Se distingue de la derogación simple en que en este último evento la disposición normativa posterior no sustituye el texto, sino que solo le hace perder vigencia a la disposición normativa anterior. Como lo explica la Corte Constitucional, la subrogación puede presentarse bien porque el enunciado normativo regule de manera diferente una materia o porque reproduzca </w:t>
      </w:r>
      <w:r w:rsidRPr="002A58B7">
        <w:rPr>
          <w:rFonts w:ascii="Arial" w:eastAsia="Calibri" w:hAnsi="Arial" w:cs="Arial"/>
          <w:color w:val="000000" w:themeColor="text1"/>
          <w:sz w:val="22"/>
          <w:lang w:val="es-ES_tradnl" w:eastAsia="es-ES_tradnl"/>
        </w:rPr>
        <w:lastRenderedPageBreak/>
        <w:t>apartados normativos de otra. Pero lo cierto es que, en uno u otro caso, la disposición normativa anterior pierde vigencia.</w:t>
      </w:r>
    </w:p>
    <w:p w14:paraId="68E8C4D3" w14:textId="7E5338D0" w:rsidR="00107669" w:rsidRPr="002A58B7" w:rsidRDefault="00107669" w:rsidP="00107669">
      <w:pPr>
        <w:spacing w:before="120" w:after="0"/>
        <w:ind w:firstLine="709"/>
        <w:rPr>
          <w:rFonts w:ascii="Arial" w:eastAsia="Calibri" w:hAnsi="Arial" w:cs="Arial"/>
          <w:color w:val="000000" w:themeColor="text1"/>
          <w:sz w:val="22"/>
          <w:lang w:val="es-ES_tradnl" w:eastAsia="es-ES_tradnl"/>
        </w:rPr>
      </w:pPr>
      <w:r w:rsidRPr="002A58B7">
        <w:rPr>
          <w:rFonts w:ascii="Arial" w:eastAsia="Calibri" w:hAnsi="Arial" w:cs="Arial"/>
          <w:color w:val="000000" w:themeColor="text1"/>
          <w:sz w:val="22"/>
          <w:lang w:val="es-ES_tradnl" w:eastAsia="es-ES_tradnl"/>
        </w:rPr>
        <w:t xml:space="preserve">Luego de explicar las reglas incluidas en la nueva regulación de la promoción del desarrollo en la contratación estatal, previstas en el artículo 34 de la Ley 2069 de 2020, y habiendo aclarado que dicha norma modificó el artículo 12 de la Ley 1150 de 2007, conviene preguntarse qué sucedió con la vigencia del artículo 2.2.1.2.4.2.2. </w:t>
      </w:r>
      <w:r w:rsidR="00AD2EFD" w:rsidRPr="002A58B7">
        <w:rPr>
          <w:rFonts w:ascii="Arial" w:eastAsia="Calibri" w:hAnsi="Arial" w:cs="Arial"/>
          <w:color w:val="000000" w:themeColor="text1"/>
          <w:sz w:val="22"/>
          <w:lang w:val="es-ES_tradnl" w:eastAsia="es-ES_tradnl"/>
        </w:rPr>
        <w:t xml:space="preserve">original </w:t>
      </w:r>
      <w:r w:rsidRPr="002A58B7">
        <w:rPr>
          <w:rFonts w:ascii="Arial" w:eastAsia="Calibri" w:hAnsi="Arial" w:cs="Arial"/>
          <w:color w:val="000000" w:themeColor="text1"/>
          <w:sz w:val="22"/>
          <w:lang w:val="es-ES_tradnl" w:eastAsia="es-ES_tradnl"/>
        </w:rPr>
        <w:t xml:space="preserve">del Decreto 1082 de 2015, que, hasta la expedición de la Ley 2069 de 2020, regía las convocatorias limitadas a </w:t>
      </w:r>
      <w:proofErr w:type="spellStart"/>
      <w:r w:rsidR="005904E5">
        <w:rPr>
          <w:rFonts w:ascii="Arial" w:eastAsia="Calibri" w:hAnsi="Arial" w:cs="Arial"/>
          <w:color w:val="000000" w:themeColor="text1"/>
          <w:sz w:val="22"/>
          <w:lang w:val="es-ES_tradnl" w:eastAsia="es-ES_tradnl"/>
        </w:rPr>
        <w:t>M</w:t>
      </w:r>
      <w:r w:rsidRPr="002A58B7">
        <w:rPr>
          <w:rFonts w:ascii="Arial" w:eastAsia="Calibri" w:hAnsi="Arial" w:cs="Arial"/>
          <w:color w:val="000000" w:themeColor="text1"/>
          <w:sz w:val="22"/>
          <w:lang w:val="es-ES_tradnl" w:eastAsia="es-ES_tradnl"/>
        </w:rPr>
        <w:t>ipymes</w:t>
      </w:r>
      <w:proofErr w:type="spellEnd"/>
      <w:r w:rsidRPr="002A58B7">
        <w:rPr>
          <w:rFonts w:ascii="Arial" w:eastAsia="Calibri" w:hAnsi="Arial" w:cs="Arial"/>
          <w:color w:val="000000" w:themeColor="text1"/>
          <w:sz w:val="22"/>
          <w:lang w:val="es-ES_tradnl" w:eastAsia="es-ES_tradnl"/>
        </w:rPr>
        <w:t xml:space="preserve">. En opinión de esta Agencia, dicho artículo del Decreto reglamentario perdió vigencia, porque su contenido era contrario al del artículo 34 de la Ley 2069 de 2020. En tal sentido, operó la pérdida de fuerza ejecutoria, de conformidad con el artículo 91, numeral 2, de la Ley 1437 de 2011, que establece que los actos administrativos –categoría que, como es sabido, incluye los decretos reglamentarios– dejan de ser obligatorios o decaen «Cuando desaparezcan sus fundamentos de hecho o de derecho». </w:t>
      </w:r>
    </w:p>
    <w:p w14:paraId="44D3D04F" w14:textId="4FE6075E" w:rsidR="00107669" w:rsidRPr="002A58B7" w:rsidRDefault="00107669" w:rsidP="00107669">
      <w:pPr>
        <w:spacing w:before="120" w:after="0"/>
        <w:ind w:firstLine="709"/>
        <w:rPr>
          <w:rFonts w:ascii="Arial" w:eastAsia="Calibri" w:hAnsi="Arial" w:cs="Arial"/>
          <w:color w:val="000000" w:themeColor="text1"/>
          <w:sz w:val="22"/>
          <w:lang w:val="es-ES_tradnl" w:eastAsia="es-ES_tradnl"/>
        </w:rPr>
      </w:pPr>
      <w:r w:rsidRPr="002A58B7">
        <w:rPr>
          <w:rFonts w:ascii="Arial" w:eastAsia="Calibri" w:hAnsi="Arial" w:cs="Arial"/>
          <w:color w:val="000000" w:themeColor="text1"/>
          <w:sz w:val="22"/>
          <w:lang w:val="es-ES_tradnl" w:eastAsia="es-ES_tradnl"/>
        </w:rPr>
        <w:t>Lo anterior quedó reafirmado con la expedición del Decreto 1860 de 24 de diciembre de 2021, reglamento que modificó, entre otros aspectos, la Subsección 5 de la Sección 1 del Capítulo 2 del Título 1 de la Parte 2 del Libro 2 y los artículos 2.2.1.2.4.2.2. y 2.2.1.2.4.2.3. y siguientes del Decreto 1082 de 2015, Único Reglamentario del Sector Administrativo de Planeación Nacional. Esta</w:t>
      </w:r>
      <w:r w:rsidR="00AD2EFD" w:rsidRPr="002A58B7">
        <w:rPr>
          <w:rFonts w:ascii="Arial" w:eastAsia="Calibri" w:hAnsi="Arial" w:cs="Arial"/>
          <w:color w:val="000000" w:themeColor="text1"/>
          <w:sz w:val="22"/>
          <w:lang w:val="es-ES_tradnl" w:eastAsia="es-ES_tradnl"/>
        </w:rPr>
        <w:t>s</w:t>
      </w:r>
      <w:r w:rsidRPr="002A58B7">
        <w:rPr>
          <w:rFonts w:ascii="Arial" w:eastAsia="Calibri" w:hAnsi="Arial" w:cs="Arial"/>
          <w:color w:val="000000" w:themeColor="text1"/>
          <w:sz w:val="22"/>
          <w:lang w:val="es-ES_tradnl" w:eastAsia="es-ES_tradnl"/>
        </w:rPr>
        <w:t xml:space="preserve"> modificaci</w:t>
      </w:r>
      <w:r w:rsidR="00AD2EFD" w:rsidRPr="002A58B7">
        <w:rPr>
          <w:rFonts w:ascii="Arial" w:eastAsia="Calibri" w:hAnsi="Arial" w:cs="Arial"/>
          <w:color w:val="000000" w:themeColor="text1"/>
          <w:sz w:val="22"/>
          <w:lang w:val="es-ES_tradnl" w:eastAsia="es-ES_tradnl"/>
        </w:rPr>
        <w:t>o</w:t>
      </w:r>
      <w:r w:rsidRPr="002A58B7">
        <w:rPr>
          <w:rFonts w:ascii="Arial" w:eastAsia="Calibri" w:hAnsi="Arial" w:cs="Arial"/>
          <w:color w:val="000000" w:themeColor="text1"/>
          <w:sz w:val="22"/>
          <w:lang w:val="es-ES_tradnl" w:eastAsia="es-ES_tradnl"/>
        </w:rPr>
        <w:t>n</w:t>
      </w:r>
      <w:r w:rsidR="00AD2EFD" w:rsidRPr="002A58B7">
        <w:rPr>
          <w:rFonts w:ascii="Arial" w:eastAsia="Calibri" w:hAnsi="Arial" w:cs="Arial"/>
          <w:color w:val="000000" w:themeColor="text1"/>
          <w:sz w:val="22"/>
          <w:lang w:val="es-ES_tradnl" w:eastAsia="es-ES_tradnl"/>
        </w:rPr>
        <w:t>es,</w:t>
      </w:r>
      <w:r w:rsidRPr="002A58B7">
        <w:rPr>
          <w:rFonts w:ascii="Arial" w:eastAsia="Calibri" w:hAnsi="Arial" w:cs="Arial"/>
          <w:color w:val="000000" w:themeColor="text1"/>
          <w:sz w:val="22"/>
          <w:lang w:val="es-ES_tradnl" w:eastAsia="es-ES_tradnl"/>
        </w:rPr>
        <w:t xml:space="preserve"> </w:t>
      </w:r>
      <w:r w:rsidR="00AD2EFD" w:rsidRPr="002A58B7">
        <w:rPr>
          <w:rFonts w:ascii="Arial" w:eastAsia="Calibri" w:hAnsi="Arial" w:cs="Arial"/>
          <w:color w:val="000000" w:themeColor="text1"/>
          <w:sz w:val="22"/>
          <w:lang w:val="es-ES_tradnl"/>
        </w:rPr>
        <w:t>de acuerdo con el artículo 8 del Decreto 1860 de 2021 «aplicarán a los procedimientos de selección cuya invitación, aviso de convocatoria o documento equivalente se publique a los tres (3) meses contados a partir de su expedición», esto es, a partir del 24 de marzo de 2022</w:t>
      </w:r>
      <w:r w:rsidRPr="002A58B7">
        <w:rPr>
          <w:rFonts w:ascii="Arial" w:eastAsia="Calibri" w:hAnsi="Arial" w:cs="Arial"/>
          <w:color w:val="000000" w:themeColor="text1"/>
          <w:sz w:val="22"/>
          <w:lang w:val="es-ES_tradnl" w:eastAsia="es-ES_tradnl"/>
        </w:rPr>
        <w:t>.</w:t>
      </w:r>
    </w:p>
    <w:p w14:paraId="0CEB31A2" w14:textId="46B576A4" w:rsidR="00107669" w:rsidRPr="002A58B7" w:rsidRDefault="00107669" w:rsidP="00107669">
      <w:pPr>
        <w:spacing w:before="120" w:after="0"/>
        <w:ind w:firstLine="709"/>
        <w:rPr>
          <w:rFonts w:ascii="Arial" w:eastAsia="Calibri" w:hAnsi="Arial" w:cs="Arial"/>
          <w:color w:val="000000" w:themeColor="text1"/>
          <w:sz w:val="22"/>
          <w:lang w:val="es-ES_tradnl" w:eastAsia="es-ES_tradnl"/>
        </w:rPr>
      </w:pPr>
      <w:r w:rsidRPr="002A58B7">
        <w:rPr>
          <w:rFonts w:ascii="Arial" w:eastAsia="Calibri" w:hAnsi="Arial" w:cs="Arial"/>
          <w:color w:val="000000" w:themeColor="text1"/>
          <w:sz w:val="22"/>
          <w:lang w:val="es-ES_tradnl" w:eastAsia="es-ES_tradnl"/>
        </w:rPr>
        <w:t>Por otro lado, en cuanto a lo dispuesto por el antiguo artículo 2.2.1.2.4.2.3 del Decreto 1082 de 2015</w:t>
      </w:r>
      <w:r w:rsidRPr="002A58B7">
        <w:rPr>
          <w:rFonts w:ascii="Arial" w:eastAsia="Calibri" w:hAnsi="Arial" w:cs="Arial"/>
          <w:color w:val="000000" w:themeColor="text1"/>
          <w:sz w:val="22"/>
          <w:vertAlign w:val="superscript"/>
          <w:lang w:val="es-ES_tradnl" w:eastAsia="es-ES_tradnl"/>
        </w:rPr>
        <w:footnoteReference w:id="8"/>
      </w:r>
      <w:r w:rsidRPr="002A58B7">
        <w:rPr>
          <w:rFonts w:ascii="Arial" w:eastAsia="Calibri" w:hAnsi="Arial" w:cs="Arial"/>
          <w:color w:val="000000" w:themeColor="text1"/>
          <w:sz w:val="22"/>
          <w:lang w:val="es-ES_tradnl" w:eastAsia="es-ES_tradnl"/>
        </w:rPr>
        <w:t xml:space="preserve">, que regulaba la posibilidad de limitar convocatorias a </w:t>
      </w:r>
      <w:proofErr w:type="spellStart"/>
      <w:r w:rsidR="005904E5">
        <w:rPr>
          <w:rFonts w:ascii="Arial" w:eastAsia="Calibri" w:hAnsi="Arial" w:cs="Arial"/>
          <w:color w:val="000000" w:themeColor="text1"/>
          <w:sz w:val="22"/>
          <w:lang w:val="es-ES_tradnl" w:eastAsia="es-ES_tradnl"/>
        </w:rPr>
        <w:t>M</w:t>
      </w:r>
      <w:r w:rsidRPr="002A58B7">
        <w:rPr>
          <w:rFonts w:ascii="Arial" w:eastAsia="Calibri" w:hAnsi="Arial" w:cs="Arial"/>
          <w:color w:val="000000" w:themeColor="text1"/>
          <w:sz w:val="22"/>
          <w:lang w:val="es-ES_tradnl" w:eastAsia="es-ES_tradnl"/>
        </w:rPr>
        <w:t>ipymes</w:t>
      </w:r>
      <w:proofErr w:type="spellEnd"/>
      <w:r w:rsidRPr="002A58B7">
        <w:rPr>
          <w:rFonts w:ascii="Arial" w:eastAsia="Calibri" w:hAnsi="Arial" w:cs="Arial"/>
          <w:color w:val="000000" w:themeColor="text1"/>
          <w:sz w:val="22"/>
          <w:lang w:val="es-ES_tradnl" w:eastAsia="es-ES_tradnl"/>
        </w:rPr>
        <w:t xml:space="preserve"> domiciliadas en un determinado ámbito territorial, se estima que este, al igual que el artículo 2.2.1.2.4.2.2, también se afectó por el fenómeno del decaimiento y hoy quedó sustituido por lo dispuesto en el Decreto 1860 de 2021. </w:t>
      </w:r>
    </w:p>
    <w:p w14:paraId="35DBB98B" w14:textId="3A955515" w:rsidR="00107669" w:rsidRPr="00C023FE" w:rsidRDefault="00107669" w:rsidP="00107669">
      <w:pPr>
        <w:spacing w:before="120" w:after="0"/>
        <w:ind w:firstLine="709"/>
        <w:rPr>
          <w:rFonts w:ascii="Arial" w:eastAsia="Calibri" w:hAnsi="Arial" w:cs="Arial"/>
          <w:color w:val="000000" w:themeColor="text1"/>
          <w:sz w:val="22"/>
          <w:szCs w:val="24"/>
          <w:lang w:val="es-CO" w:eastAsia="es-ES_tradnl"/>
        </w:rPr>
      </w:pPr>
      <w:r w:rsidRPr="00C023FE">
        <w:rPr>
          <w:rFonts w:ascii="Arial" w:eastAsia="Calibri" w:hAnsi="Arial" w:cs="Arial"/>
          <w:color w:val="000000" w:themeColor="text1"/>
          <w:sz w:val="22"/>
          <w:lang w:val="es-ES_tradnl" w:eastAsia="es-ES_tradnl"/>
        </w:rPr>
        <w:t xml:space="preserve">Sin perjuicio de lo anterior, es necesario tener en cuenta que sobre las limitaciones territoriales para convocatorias de </w:t>
      </w:r>
      <w:proofErr w:type="spellStart"/>
      <w:r w:rsidR="005904E5" w:rsidRPr="00C023FE">
        <w:rPr>
          <w:rFonts w:ascii="Arial" w:eastAsia="Calibri" w:hAnsi="Arial" w:cs="Arial"/>
          <w:color w:val="000000" w:themeColor="text1"/>
          <w:sz w:val="22"/>
          <w:lang w:val="es-ES_tradnl" w:eastAsia="es-ES_tradnl"/>
        </w:rPr>
        <w:t>M</w:t>
      </w:r>
      <w:r w:rsidRPr="00C023FE">
        <w:rPr>
          <w:rFonts w:ascii="Arial" w:eastAsia="Calibri" w:hAnsi="Arial" w:cs="Arial"/>
          <w:color w:val="000000" w:themeColor="text1"/>
          <w:sz w:val="22"/>
          <w:lang w:val="es-ES_tradnl" w:eastAsia="es-ES_tradnl"/>
        </w:rPr>
        <w:t>ipymes</w:t>
      </w:r>
      <w:proofErr w:type="spellEnd"/>
      <w:r w:rsidRPr="00C023FE">
        <w:rPr>
          <w:rFonts w:ascii="Arial" w:eastAsia="Calibri" w:hAnsi="Arial" w:cs="Arial"/>
          <w:color w:val="000000" w:themeColor="text1"/>
          <w:sz w:val="22"/>
          <w:lang w:val="es-ES_tradnl" w:eastAsia="es-ES_tradnl"/>
        </w:rPr>
        <w:t xml:space="preserve"> a la luz del antiguo artículo 2.2.1.2.4.2.3 del Decreto 1082 de 2015, esta Agencia –</w:t>
      </w:r>
      <w:r w:rsidRPr="00C023FE">
        <w:rPr>
          <w:rFonts w:ascii="Arial" w:eastAsia="Times New Roman" w:hAnsi="Arial" w:cs="Arial"/>
          <w:color w:val="000000" w:themeColor="text1"/>
          <w:sz w:val="22"/>
          <w:szCs w:val="24"/>
          <w:lang w:val="es-CO" w:eastAsia="es-ES_tradnl"/>
        </w:rPr>
        <w:t>en los conceptos del 29 de enero de 2018 −radicado No. 4201714000006924−,</w:t>
      </w:r>
      <w:r w:rsidRPr="00C023FE">
        <w:rPr>
          <w:rFonts w:ascii="Arial" w:eastAsia="Calibri" w:hAnsi="Arial" w:cs="Arial"/>
          <w:color w:val="000000" w:themeColor="text1"/>
          <w:sz w:val="22"/>
          <w:szCs w:val="24"/>
          <w:lang w:val="es-CO" w:eastAsia="es-ES_tradnl"/>
        </w:rPr>
        <w:t xml:space="preserve"> C – 045 del 17 de marzo de 2020, C – 162 del 16 de abril de 2020, C – 214 del 21 de abril de 2020, C – 258 del 17 de abril de 2020, C – 364 del 4 de junio de 2020, C – 413 del 30 de junio de 2020</w:t>
      </w:r>
      <w:r w:rsidRPr="00C023FE">
        <w:rPr>
          <w:rFonts w:ascii="Arial" w:eastAsia="Times New Roman" w:hAnsi="Arial" w:cs="Arial"/>
          <w:color w:val="000000" w:themeColor="text1"/>
          <w:sz w:val="22"/>
          <w:szCs w:val="24"/>
          <w:lang w:val="es-CO" w:eastAsia="es-ES_tradnl"/>
        </w:rPr>
        <w:t xml:space="preserve">, </w:t>
      </w:r>
      <w:r w:rsidRPr="00C023FE">
        <w:rPr>
          <w:rFonts w:ascii="Arial" w:eastAsia="Calibri" w:hAnsi="Arial" w:cs="Arial"/>
          <w:color w:val="000000" w:themeColor="text1"/>
          <w:sz w:val="22"/>
          <w:szCs w:val="24"/>
          <w:lang w:val="es-CO" w:eastAsia="es-ES_tradnl"/>
        </w:rPr>
        <w:t>C – 492 del 24 de julio de 2020, C – 523 del 11 de agosto de 2020, C – 610 del 14 de septiembre de 2020 y C-700 de 1 de diciembre de 2020–</w:t>
      </w:r>
      <w:r w:rsidRPr="00C023FE">
        <w:rPr>
          <w:rFonts w:ascii="Arial" w:eastAsia="Calibri" w:hAnsi="Arial" w:cs="Arial"/>
          <w:color w:val="000000" w:themeColor="text1"/>
          <w:sz w:val="22"/>
          <w:lang w:val="es-ES_tradnl" w:eastAsia="es-ES_tradnl"/>
        </w:rPr>
        <w:t xml:space="preserve"> había sostenido que, para que se permitiera la participación de una </w:t>
      </w:r>
      <w:proofErr w:type="spellStart"/>
      <w:r w:rsidRPr="00C023FE">
        <w:rPr>
          <w:rFonts w:ascii="Arial" w:eastAsia="Calibri" w:hAnsi="Arial" w:cs="Arial"/>
          <w:color w:val="000000" w:themeColor="text1"/>
          <w:sz w:val="22"/>
          <w:lang w:val="es-ES_tradnl" w:eastAsia="es-ES_tradnl"/>
        </w:rPr>
        <w:t>Mipyme</w:t>
      </w:r>
      <w:proofErr w:type="spellEnd"/>
      <w:r w:rsidRPr="00C023FE">
        <w:rPr>
          <w:rFonts w:ascii="Arial" w:eastAsia="Calibri" w:hAnsi="Arial" w:cs="Arial"/>
          <w:color w:val="000000" w:themeColor="text1"/>
          <w:sz w:val="22"/>
          <w:lang w:val="es-ES_tradnl" w:eastAsia="es-ES_tradnl"/>
        </w:rPr>
        <w:t xml:space="preserve"> en </w:t>
      </w:r>
      <w:r w:rsidRPr="00C023FE">
        <w:rPr>
          <w:rFonts w:ascii="Arial" w:eastAsia="Calibri" w:hAnsi="Arial" w:cs="Arial"/>
          <w:color w:val="000000" w:themeColor="text1"/>
          <w:sz w:val="22"/>
          <w:lang w:val="es-ES_tradnl" w:eastAsia="es-ES_tradnl"/>
        </w:rPr>
        <w:lastRenderedPageBreak/>
        <w:t>uno de estos procesos, era necesario que esta demostrara estar domiciliada en el municipio o departamento en el que se ejecutaría el contrato, la tesis se expuso en los siguientes términos</w:t>
      </w:r>
      <w:r w:rsidRPr="00C023FE">
        <w:rPr>
          <w:rFonts w:ascii="Arial" w:eastAsia="Calibri" w:hAnsi="Arial" w:cs="Arial"/>
          <w:color w:val="000000" w:themeColor="text1"/>
          <w:sz w:val="22"/>
          <w:szCs w:val="24"/>
          <w:lang w:val="es-CO" w:eastAsia="es-ES_tradnl"/>
        </w:rPr>
        <w:t xml:space="preserve">: </w:t>
      </w:r>
    </w:p>
    <w:p w14:paraId="4969CAFC" w14:textId="77777777" w:rsidR="00107669" w:rsidRPr="00C023FE" w:rsidRDefault="00107669" w:rsidP="00107669">
      <w:pPr>
        <w:spacing w:after="0"/>
        <w:ind w:firstLine="709"/>
        <w:rPr>
          <w:rFonts w:ascii="Arial" w:eastAsia="Calibri" w:hAnsi="Arial" w:cs="Arial"/>
          <w:color w:val="000000" w:themeColor="text1"/>
          <w:sz w:val="22"/>
          <w:szCs w:val="24"/>
          <w:lang w:val="es-CO" w:eastAsia="es-ES_tradnl"/>
        </w:rPr>
      </w:pPr>
    </w:p>
    <w:p w14:paraId="7A9CF5F1" w14:textId="77777777" w:rsidR="00107669" w:rsidRPr="00C023FE" w:rsidRDefault="00107669" w:rsidP="00107669">
      <w:pPr>
        <w:spacing w:after="120" w:line="240" w:lineRule="auto"/>
        <w:ind w:left="709" w:right="709"/>
        <w:rPr>
          <w:rFonts w:ascii="Arial" w:eastAsia="Times New Roman" w:hAnsi="Arial" w:cs="Arial"/>
          <w:color w:val="000000" w:themeColor="text1"/>
          <w:sz w:val="21"/>
          <w:szCs w:val="21"/>
          <w:lang w:val="es-CO" w:eastAsia="es-ES_tradnl"/>
        </w:rPr>
      </w:pPr>
      <w:r w:rsidRPr="00C023FE">
        <w:rPr>
          <w:rFonts w:ascii="Arial" w:eastAsia="Times New Roman" w:hAnsi="Arial" w:cs="Arial"/>
          <w:color w:val="000000" w:themeColor="text1"/>
          <w:sz w:val="21"/>
          <w:szCs w:val="21"/>
          <w:lang w:val="es-CO" w:eastAsia="es-ES_tradnl"/>
        </w:rPr>
        <w:t xml:space="preserve">Es de resaltar que </w:t>
      </w:r>
      <w:r w:rsidRPr="00C023FE">
        <w:rPr>
          <w:rFonts w:ascii="Arial" w:eastAsia="Times New Roman" w:hAnsi="Arial" w:cs="Arial"/>
          <w:i/>
          <w:iCs/>
          <w:color w:val="000000" w:themeColor="text1"/>
          <w:sz w:val="21"/>
          <w:szCs w:val="21"/>
          <w:lang w:val="es-CO" w:eastAsia="es-ES_tradnl"/>
        </w:rPr>
        <w:t xml:space="preserve">estas normas se refieren a las </w:t>
      </w:r>
      <w:proofErr w:type="spellStart"/>
      <w:r w:rsidRPr="00C023FE">
        <w:rPr>
          <w:rFonts w:ascii="Arial" w:eastAsia="Times New Roman" w:hAnsi="Arial" w:cs="Arial"/>
          <w:i/>
          <w:iCs/>
          <w:color w:val="000000" w:themeColor="text1"/>
          <w:sz w:val="21"/>
          <w:szCs w:val="21"/>
          <w:lang w:val="es-CO" w:eastAsia="es-ES_tradnl"/>
        </w:rPr>
        <w:t>Mipymes</w:t>
      </w:r>
      <w:proofErr w:type="spellEnd"/>
      <w:r w:rsidRPr="00C023FE">
        <w:rPr>
          <w:rFonts w:ascii="Arial" w:eastAsia="Times New Roman" w:hAnsi="Arial" w:cs="Arial"/>
          <w:i/>
          <w:iCs/>
          <w:color w:val="000000" w:themeColor="text1"/>
          <w:sz w:val="21"/>
          <w:szCs w:val="21"/>
          <w:lang w:val="es-CO" w:eastAsia="es-ES_tradnl"/>
        </w:rPr>
        <w:t xml:space="preserve"> nacionales genéricamente y, particularmente, a las </w:t>
      </w:r>
      <w:proofErr w:type="spellStart"/>
      <w:r w:rsidRPr="00C023FE">
        <w:rPr>
          <w:rFonts w:ascii="Arial" w:eastAsia="Times New Roman" w:hAnsi="Arial" w:cs="Arial"/>
          <w:i/>
          <w:iCs/>
          <w:color w:val="000000" w:themeColor="text1"/>
          <w:sz w:val="21"/>
          <w:szCs w:val="21"/>
          <w:lang w:val="es-CO" w:eastAsia="es-ES_tradnl"/>
        </w:rPr>
        <w:t>Mipymes</w:t>
      </w:r>
      <w:proofErr w:type="spellEnd"/>
      <w:r w:rsidRPr="00C023FE">
        <w:rPr>
          <w:rFonts w:ascii="Arial" w:eastAsia="Times New Roman" w:hAnsi="Arial" w:cs="Arial"/>
          <w:i/>
          <w:iCs/>
          <w:color w:val="000000" w:themeColor="text1"/>
          <w:sz w:val="21"/>
          <w:szCs w:val="21"/>
          <w:lang w:val="es-CO" w:eastAsia="es-ES_tradnl"/>
        </w:rPr>
        <w:t xml:space="preserve"> nacionales «domiciliadas en los departamentos o municipios en donde se va a ejecutar el contrato».</w:t>
      </w:r>
      <w:r w:rsidRPr="00C023FE">
        <w:rPr>
          <w:rFonts w:ascii="Arial" w:eastAsia="Times New Roman" w:hAnsi="Arial" w:cs="Arial"/>
          <w:color w:val="000000" w:themeColor="text1"/>
          <w:sz w:val="21"/>
          <w:szCs w:val="21"/>
          <w:lang w:val="es-CO" w:eastAsia="es-ES_tradnl"/>
        </w:rPr>
        <w:t xml:space="preserve"> En ambos casos se refiere a </w:t>
      </w:r>
      <w:proofErr w:type="spellStart"/>
      <w:r w:rsidRPr="00C023FE">
        <w:rPr>
          <w:rFonts w:ascii="Arial" w:eastAsia="Times New Roman" w:hAnsi="Arial" w:cs="Arial"/>
          <w:color w:val="000000" w:themeColor="text1"/>
          <w:sz w:val="21"/>
          <w:szCs w:val="21"/>
          <w:lang w:val="es-CO" w:eastAsia="es-ES_tradnl"/>
        </w:rPr>
        <w:t>Mipymes</w:t>
      </w:r>
      <w:proofErr w:type="spellEnd"/>
      <w:r w:rsidRPr="00C023FE">
        <w:rPr>
          <w:rFonts w:ascii="Arial" w:eastAsia="Times New Roman" w:hAnsi="Arial" w:cs="Arial"/>
          <w:color w:val="000000" w:themeColor="text1"/>
          <w:sz w:val="21"/>
          <w:szCs w:val="21"/>
          <w:lang w:val="es-CO" w:eastAsia="es-ES_tradnl"/>
        </w:rPr>
        <w:t xml:space="preserve"> nacionales, distinguiéndolas de las empresas extranjeras. Del artículo 2.2.1.2.4.2.3. del Decreto 1082 de 2015 no se deriva que existan </w:t>
      </w:r>
      <w:proofErr w:type="spellStart"/>
      <w:r w:rsidRPr="00C023FE">
        <w:rPr>
          <w:rFonts w:ascii="Arial" w:eastAsia="Times New Roman" w:hAnsi="Arial" w:cs="Arial"/>
          <w:color w:val="000000" w:themeColor="text1"/>
          <w:sz w:val="21"/>
          <w:szCs w:val="21"/>
          <w:lang w:val="es-CO" w:eastAsia="es-ES_tradnl"/>
        </w:rPr>
        <w:t>Mipymes</w:t>
      </w:r>
      <w:proofErr w:type="spellEnd"/>
      <w:r w:rsidRPr="00C023FE">
        <w:rPr>
          <w:rFonts w:ascii="Arial" w:eastAsia="Times New Roman" w:hAnsi="Arial" w:cs="Arial"/>
          <w:color w:val="000000" w:themeColor="text1"/>
          <w:sz w:val="21"/>
          <w:szCs w:val="21"/>
          <w:lang w:val="es-CO" w:eastAsia="es-ES_tradnl"/>
        </w:rPr>
        <w:t xml:space="preserve"> del orden territorial. Esta categoría no existe en el ordenamiento jurídico. En ese sentido, toda empresa constituida bajo las leyes colombianas o que tenga su domicilio principal en el territorio colombiano y, además, cumpla los criterios previstos por la Ley 590 de 2000 y el Decreto 957 de 2019, será considerada </w:t>
      </w:r>
      <w:proofErr w:type="spellStart"/>
      <w:r w:rsidRPr="00C023FE">
        <w:rPr>
          <w:rFonts w:ascii="Arial" w:eastAsia="Times New Roman" w:hAnsi="Arial" w:cs="Arial"/>
          <w:color w:val="000000" w:themeColor="text1"/>
          <w:sz w:val="21"/>
          <w:szCs w:val="21"/>
          <w:lang w:val="es-CO" w:eastAsia="es-ES_tradnl"/>
        </w:rPr>
        <w:t>Mipymes</w:t>
      </w:r>
      <w:proofErr w:type="spellEnd"/>
      <w:r w:rsidRPr="00C023FE">
        <w:rPr>
          <w:rFonts w:ascii="Arial" w:eastAsia="Times New Roman" w:hAnsi="Arial" w:cs="Arial"/>
          <w:color w:val="000000" w:themeColor="text1"/>
          <w:sz w:val="21"/>
          <w:szCs w:val="21"/>
          <w:lang w:val="es-CO" w:eastAsia="es-ES_tradnl"/>
        </w:rPr>
        <w:t xml:space="preserve"> del orden nacional. Otra cosa es que las normas de contratación permitan que las </w:t>
      </w:r>
      <w:proofErr w:type="spellStart"/>
      <w:r w:rsidRPr="00C023FE">
        <w:rPr>
          <w:rFonts w:ascii="Arial" w:eastAsia="Times New Roman" w:hAnsi="Arial" w:cs="Arial"/>
          <w:color w:val="000000" w:themeColor="text1"/>
          <w:sz w:val="21"/>
          <w:szCs w:val="21"/>
          <w:lang w:val="es-CO" w:eastAsia="es-ES_tradnl"/>
        </w:rPr>
        <w:t>Mipymes</w:t>
      </w:r>
      <w:proofErr w:type="spellEnd"/>
      <w:r w:rsidRPr="00C023FE">
        <w:rPr>
          <w:rFonts w:ascii="Arial" w:eastAsia="Times New Roman" w:hAnsi="Arial" w:cs="Arial"/>
          <w:color w:val="000000" w:themeColor="text1"/>
          <w:sz w:val="21"/>
          <w:szCs w:val="21"/>
          <w:lang w:val="es-CO" w:eastAsia="es-ES_tradnl"/>
        </w:rPr>
        <w:t xml:space="preserve"> nacionales con «domicilio» en un municipio o departamento puedan beneficiarse en la ejecución de un contrato dentro de la entidad territorial en la que tienen su «domicilio». De todos modos, las </w:t>
      </w:r>
      <w:proofErr w:type="spellStart"/>
      <w:r w:rsidRPr="00C023FE">
        <w:rPr>
          <w:rFonts w:ascii="Arial" w:eastAsia="Times New Roman" w:hAnsi="Arial" w:cs="Arial"/>
          <w:color w:val="000000" w:themeColor="text1"/>
          <w:sz w:val="21"/>
          <w:szCs w:val="21"/>
          <w:lang w:val="es-CO" w:eastAsia="es-ES_tradnl"/>
        </w:rPr>
        <w:t>Mipymes</w:t>
      </w:r>
      <w:proofErr w:type="spellEnd"/>
      <w:r w:rsidRPr="00C023FE">
        <w:rPr>
          <w:rFonts w:ascii="Arial" w:eastAsia="Times New Roman" w:hAnsi="Arial" w:cs="Arial"/>
          <w:color w:val="000000" w:themeColor="text1"/>
          <w:sz w:val="21"/>
          <w:szCs w:val="21"/>
          <w:lang w:val="es-CO" w:eastAsia="es-ES_tradnl"/>
        </w:rPr>
        <w:t xml:space="preserve"> domiciliadas en un municipio o departamento son </w:t>
      </w:r>
      <w:proofErr w:type="spellStart"/>
      <w:r w:rsidRPr="00C023FE">
        <w:rPr>
          <w:rFonts w:ascii="Arial" w:eastAsia="Times New Roman" w:hAnsi="Arial" w:cs="Arial"/>
          <w:color w:val="000000" w:themeColor="text1"/>
          <w:sz w:val="21"/>
          <w:szCs w:val="21"/>
          <w:lang w:val="es-CO" w:eastAsia="es-ES_tradnl"/>
        </w:rPr>
        <w:t>Mipymes</w:t>
      </w:r>
      <w:proofErr w:type="spellEnd"/>
      <w:r w:rsidRPr="00C023FE">
        <w:rPr>
          <w:rFonts w:ascii="Arial" w:eastAsia="Times New Roman" w:hAnsi="Arial" w:cs="Arial"/>
          <w:color w:val="000000" w:themeColor="text1"/>
          <w:sz w:val="21"/>
          <w:szCs w:val="21"/>
          <w:lang w:val="es-CO" w:eastAsia="es-ES_tradnl"/>
        </w:rPr>
        <w:t xml:space="preserve"> nacionales. En consecuencia, no es procedente distinguir entre </w:t>
      </w:r>
      <w:proofErr w:type="spellStart"/>
      <w:r w:rsidRPr="00C023FE">
        <w:rPr>
          <w:rFonts w:ascii="Arial" w:eastAsia="Times New Roman" w:hAnsi="Arial" w:cs="Arial"/>
          <w:color w:val="000000" w:themeColor="text1"/>
          <w:sz w:val="21"/>
          <w:szCs w:val="21"/>
          <w:lang w:val="es-CO" w:eastAsia="es-ES_tradnl"/>
        </w:rPr>
        <w:t>Mipymes</w:t>
      </w:r>
      <w:proofErr w:type="spellEnd"/>
      <w:r w:rsidRPr="00C023FE">
        <w:rPr>
          <w:rFonts w:ascii="Arial" w:eastAsia="Times New Roman" w:hAnsi="Arial" w:cs="Arial"/>
          <w:color w:val="000000" w:themeColor="text1"/>
          <w:sz w:val="21"/>
          <w:szCs w:val="21"/>
          <w:lang w:val="es-CO" w:eastAsia="es-ES_tradnl"/>
        </w:rPr>
        <w:t xml:space="preserve"> nacionales y </w:t>
      </w:r>
      <w:proofErr w:type="spellStart"/>
      <w:r w:rsidRPr="00C023FE">
        <w:rPr>
          <w:rFonts w:ascii="Arial" w:eastAsia="Times New Roman" w:hAnsi="Arial" w:cs="Arial"/>
          <w:color w:val="000000" w:themeColor="text1"/>
          <w:sz w:val="21"/>
          <w:szCs w:val="21"/>
          <w:lang w:val="es-CO" w:eastAsia="es-ES_tradnl"/>
        </w:rPr>
        <w:t>Mipymes</w:t>
      </w:r>
      <w:proofErr w:type="spellEnd"/>
      <w:r w:rsidRPr="00C023FE">
        <w:rPr>
          <w:rFonts w:ascii="Arial" w:eastAsia="Times New Roman" w:hAnsi="Arial" w:cs="Arial"/>
          <w:color w:val="000000" w:themeColor="text1"/>
          <w:sz w:val="21"/>
          <w:szCs w:val="21"/>
          <w:lang w:val="es-CO" w:eastAsia="es-ES_tradnl"/>
        </w:rPr>
        <w:t xml:space="preserve"> municipales o departamentales, habida cuenta que estas últimas no existen como categoría dentro del ordenamiento normativo.</w:t>
      </w:r>
    </w:p>
    <w:p w14:paraId="72941AEE" w14:textId="77777777" w:rsidR="00107669" w:rsidRPr="00C023FE" w:rsidRDefault="00107669" w:rsidP="00107669">
      <w:pPr>
        <w:spacing w:after="0" w:line="240" w:lineRule="auto"/>
        <w:ind w:left="709" w:right="709"/>
        <w:rPr>
          <w:rFonts w:ascii="Arial" w:eastAsia="Times New Roman" w:hAnsi="Arial" w:cs="Arial"/>
          <w:color w:val="000000" w:themeColor="text1"/>
          <w:sz w:val="22"/>
          <w:lang w:val="es-CO" w:eastAsia="es-ES_tradnl"/>
        </w:rPr>
      </w:pPr>
      <w:r w:rsidRPr="00C023FE">
        <w:rPr>
          <w:rFonts w:ascii="Arial" w:eastAsia="Times New Roman" w:hAnsi="Arial" w:cs="Arial"/>
          <w:color w:val="000000" w:themeColor="text1"/>
          <w:sz w:val="21"/>
          <w:szCs w:val="21"/>
          <w:lang w:val="es-CO" w:eastAsia="es-ES_tradnl"/>
        </w:rPr>
        <w:t xml:space="preserve">Igualmente, se debe precisar que </w:t>
      </w:r>
      <w:r w:rsidRPr="00C023FE">
        <w:rPr>
          <w:rFonts w:ascii="Arial" w:eastAsia="Times New Roman" w:hAnsi="Arial" w:cs="Arial"/>
          <w:i/>
          <w:iCs/>
          <w:color w:val="000000" w:themeColor="text1"/>
          <w:sz w:val="21"/>
          <w:szCs w:val="21"/>
          <w:lang w:val="es-CO" w:eastAsia="es-ES_tradnl"/>
        </w:rPr>
        <w:t>el artículo 2.2.1.2.4.2.3. del Decreto 1082 de 2015 se refiere a las «</w:t>
      </w:r>
      <w:proofErr w:type="spellStart"/>
      <w:r w:rsidRPr="00C023FE">
        <w:rPr>
          <w:rFonts w:ascii="Arial" w:eastAsia="Times New Roman" w:hAnsi="Arial" w:cs="Arial"/>
          <w:i/>
          <w:iCs/>
          <w:color w:val="000000" w:themeColor="text1"/>
          <w:sz w:val="21"/>
          <w:szCs w:val="21"/>
          <w:lang w:val="es-CO" w:eastAsia="es-ES_tradnl"/>
        </w:rPr>
        <w:t>Mipyme</w:t>
      </w:r>
      <w:proofErr w:type="spellEnd"/>
      <w:r w:rsidRPr="00C023FE">
        <w:rPr>
          <w:rFonts w:ascii="Arial" w:eastAsia="Times New Roman" w:hAnsi="Arial" w:cs="Arial"/>
          <w:i/>
          <w:iCs/>
          <w:color w:val="000000" w:themeColor="text1"/>
          <w:sz w:val="21"/>
          <w:szCs w:val="21"/>
          <w:lang w:val="es-CO" w:eastAsia="es-ES_tradnl"/>
        </w:rPr>
        <w:t xml:space="preserve"> nacionales domiciliadas en los departamentos o municipios en donde se va a ejecutar el contrato» «cursivas propias», esto es, al «domicilio» y no a las «sucursales». Esta distinción es importante porque el beneficio normativo únicamente aplica en el lugar en el que la </w:t>
      </w:r>
      <w:proofErr w:type="spellStart"/>
      <w:r w:rsidRPr="00C023FE">
        <w:rPr>
          <w:rFonts w:ascii="Arial" w:eastAsia="Times New Roman" w:hAnsi="Arial" w:cs="Arial"/>
          <w:i/>
          <w:iCs/>
          <w:color w:val="000000" w:themeColor="text1"/>
          <w:sz w:val="21"/>
          <w:szCs w:val="21"/>
          <w:lang w:val="es-CO" w:eastAsia="es-ES_tradnl"/>
        </w:rPr>
        <w:t>Mipyme</w:t>
      </w:r>
      <w:proofErr w:type="spellEnd"/>
      <w:r w:rsidRPr="00C023FE">
        <w:rPr>
          <w:rFonts w:ascii="Arial" w:eastAsia="Times New Roman" w:hAnsi="Arial" w:cs="Arial"/>
          <w:i/>
          <w:iCs/>
          <w:color w:val="000000" w:themeColor="text1"/>
          <w:sz w:val="21"/>
          <w:szCs w:val="21"/>
          <w:lang w:val="es-CO" w:eastAsia="es-ES_tradnl"/>
        </w:rPr>
        <w:t xml:space="preserve"> tiene su «domicilio», y no en donde tiene sucursales</w:t>
      </w:r>
      <w:r w:rsidRPr="00C023FE">
        <w:rPr>
          <w:rFonts w:ascii="Arial" w:eastAsia="Times New Roman" w:hAnsi="Arial" w:cs="Arial"/>
          <w:i/>
          <w:iCs/>
          <w:color w:val="000000" w:themeColor="text1"/>
          <w:sz w:val="21"/>
          <w:szCs w:val="21"/>
          <w:vertAlign w:val="superscript"/>
          <w:lang w:val="es-CO" w:eastAsia="es-ES_tradnl"/>
        </w:rPr>
        <w:footnoteReference w:id="9"/>
      </w:r>
      <w:r w:rsidRPr="00C023FE">
        <w:rPr>
          <w:rFonts w:ascii="Arial" w:eastAsia="Times New Roman" w:hAnsi="Arial" w:cs="Arial"/>
          <w:color w:val="000000" w:themeColor="text1"/>
          <w:sz w:val="21"/>
          <w:szCs w:val="21"/>
          <w:lang w:val="es-CO" w:eastAsia="es-ES_tradnl"/>
        </w:rPr>
        <w:t xml:space="preserve">. </w:t>
      </w:r>
      <w:r w:rsidRPr="00C023FE">
        <w:rPr>
          <w:rFonts w:ascii="Arial" w:eastAsia="Times New Roman" w:hAnsi="Arial" w:cs="Arial"/>
          <w:color w:val="000000" w:themeColor="text1"/>
          <w:sz w:val="22"/>
          <w:lang w:val="es-CO" w:eastAsia="es-ES_tradnl"/>
        </w:rPr>
        <w:t>(Énfasis fuera de texto)</w:t>
      </w:r>
    </w:p>
    <w:p w14:paraId="36DA0A62" w14:textId="77777777" w:rsidR="00107669" w:rsidRPr="00C023FE" w:rsidRDefault="00107669" w:rsidP="00107669">
      <w:pPr>
        <w:spacing w:after="0"/>
        <w:ind w:left="709" w:right="709"/>
        <w:rPr>
          <w:rFonts w:ascii="Arial" w:eastAsia="Times New Roman" w:hAnsi="Arial" w:cs="Arial"/>
          <w:color w:val="000000" w:themeColor="text1"/>
          <w:sz w:val="22"/>
          <w:lang w:val="es-CO" w:eastAsia="es-ES_tradnl"/>
        </w:rPr>
      </w:pPr>
    </w:p>
    <w:p w14:paraId="65CD170F" w14:textId="7B0B1EC7" w:rsidR="00107669" w:rsidRPr="00C023FE" w:rsidRDefault="00107669" w:rsidP="00107669">
      <w:pPr>
        <w:spacing w:after="120"/>
        <w:ind w:firstLine="709"/>
        <w:rPr>
          <w:rFonts w:ascii="Arial" w:eastAsia="Calibri" w:hAnsi="Arial" w:cs="Arial"/>
          <w:color w:val="000000" w:themeColor="text1"/>
          <w:sz w:val="22"/>
          <w:lang w:val="es-ES_tradnl" w:eastAsia="es-ES_tradnl"/>
        </w:rPr>
      </w:pPr>
      <w:r w:rsidRPr="00C023FE">
        <w:rPr>
          <w:rFonts w:ascii="Arial" w:eastAsia="Times New Roman" w:hAnsi="Arial" w:cs="Arial"/>
          <w:color w:val="000000" w:themeColor="text1"/>
          <w:sz w:val="22"/>
          <w:lang w:val="es-CO" w:eastAsia="es-ES_tradnl"/>
        </w:rPr>
        <w:t xml:space="preserve">Como se aprecia, la postura sostenida por esta Agencia en vigencia del artículo </w:t>
      </w:r>
      <w:r w:rsidRPr="00C023FE">
        <w:rPr>
          <w:rFonts w:ascii="Arial" w:eastAsia="Calibri" w:hAnsi="Arial" w:cs="Arial"/>
          <w:color w:val="000000" w:themeColor="text1"/>
          <w:sz w:val="22"/>
          <w:lang w:val="es-ES_tradnl" w:eastAsia="es-ES_tradnl"/>
        </w:rPr>
        <w:t xml:space="preserve">2.2.1.2.4.2.3 del Decreto 1082 de 2015 no contemplaba la posibilidad de que una </w:t>
      </w:r>
      <w:proofErr w:type="spellStart"/>
      <w:r w:rsidRPr="00C023FE">
        <w:rPr>
          <w:rFonts w:ascii="Arial" w:eastAsia="Calibri" w:hAnsi="Arial" w:cs="Arial"/>
          <w:color w:val="000000" w:themeColor="text1"/>
          <w:sz w:val="22"/>
          <w:lang w:val="es-ES_tradnl" w:eastAsia="es-ES_tradnl"/>
        </w:rPr>
        <w:t>Mipyme</w:t>
      </w:r>
      <w:proofErr w:type="spellEnd"/>
      <w:r w:rsidRPr="00C023FE">
        <w:rPr>
          <w:rFonts w:ascii="Arial" w:eastAsia="Calibri" w:hAnsi="Arial" w:cs="Arial"/>
          <w:color w:val="000000" w:themeColor="text1"/>
          <w:sz w:val="22"/>
          <w:lang w:val="es-ES_tradnl" w:eastAsia="es-ES_tradnl"/>
        </w:rPr>
        <w:t xml:space="preserve"> domiciliada en un departamento o municipio diferentes al lugar de ejecución del contrato, </w:t>
      </w:r>
      <w:r w:rsidR="00104B4F" w:rsidRPr="00C023FE">
        <w:rPr>
          <w:rFonts w:ascii="Arial" w:eastAsia="Calibri" w:hAnsi="Arial" w:cs="Arial"/>
          <w:color w:val="000000" w:themeColor="text1"/>
          <w:sz w:val="22"/>
          <w:lang w:val="es-ES_tradnl" w:eastAsia="es-ES_tradnl"/>
        </w:rPr>
        <w:t xml:space="preserve">siempre que </w:t>
      </w:r>
      <w:proofErr w:type="gramStart"/>
      <w:r w:rsidR="00104B4F" w:rsidRPr="00C023FE">
        <w:rPr>
          <w:rFonts w:ascii="Arial" w:eastAsia="Calibri" w:hAnsi="Arial" w:cs="Arial"/>
          <w:color w:val="000000" w:themeColor="text1"/>
          <w:sz w:val="22"/>
          <w:lang w:val="es-ES_tradnl" w:eastAsia="es-ES_tradnl"/>
        </w:rPr>
        <w:t>el procesos</w:t>
      </w:r>
      <w:proofErr w:type="gramEnd"/>
      <w:r w:rsidR="00104B4F" w:rsidRPr="00C023FE">
        <w:rPr>
          <w:rFonts w:ascii="Arial" w:eastAsia="Calibri" w:hAnsi="Arial" w:cs="Arial"/>
          <w:color w:val="000000" w:themeColor="text1"/>
          <w:sz w:val="22"/>
          <w:lang w:val="es-ES_tradnl" w:eastAsia="es-ES_tradnl"/>
        </w:rPr>
        <w:t xml:space="preserve"> se hubiera limitado territorialmente a ciertas </w:t>
      </w:r>
      <w:proofErr w:type="spellStart"/>
      <w:r w:rsidR="00104B4F" w:rsidRPr="00C023FE">
        <w:rPr>
          <w:rFonts w:ascii="Arial" w:eastAsia="Calibri" w:hAnsi="Arial" w:cs="Arial"/>
          <w:color w:val="000000" w:themeColor="text1"/>
          <w:sz w:val="22"/>
          <w:lang w:val="es-ES_tradnl" w:eastAsia="es-ES_tradnl"/>
        </w:rPr>
        <w:t>Mipymes</w:t>
      </w:r>
      <w:proofErr w:type="spellEnd"/>
      <w:r w:rsidRPr="00C023FE">
        <w:rPr>
          <w:rFonts w:ascii="Arial" w:eastAsia="Calibri" w:hAnsi="Arial" w:cs="Arial"/>
          <w:color w:val="000000" w:themeColor="text1"/>
          <w:sz w:val="22"/>
          <w:lang w:val="es-ES_tradnl" w:eastAsia="es-ES_tradnl"/>
        </w:rPr>
        <w:t xml:space="preserve">, participara en un proceso de selección por el hecho de tener una sucursal en este, puesto que lo relevante es el domicilio de la </w:t>
      </w:r>
      <w:proofErr w:type="spellStart"/>
      <w:r w:rsidR="00104B4F" w:rsidRPr="00C023FE">
        <w:rPr>
          <w:rFonts w:ascii="Arial" w:eastAsia="Calibri" w:hAnsi="Arial" w:cs="Arial"/>
          <w:color w:val="000000" w:themeColor="text1"/>
          <w:sz w:val="22"/>
          <w:lang w:val="es-ES_tradnl" w:eastAsia="es-ES_tradnl"/>
        </w:rPr>
        <w:t>M</w:t>
      </w:r>
      <w:r w:rsidRPr="00C023FE">
        <w:rPr>
          <w:rFonts w:ascii="Arial" w:eastAsia="Calibri" w:hAnsi="Arial" w:cs="Arial"/>
          <w:color w:val="000000" w:themeColor="text1"/>
          <w:sz w:val="22"/>
          <w:lang w:val="es-ES_tradnl" w:eastAsia="es-ES_tradnl"/>
        </w:rPr>
        <w:t>ipyme</w:t>
      </w:r>
      <w:proofErr w:type="spellEnd"/>
      <w:r w:rsidRPr="00C023FE">
        <w:rPr>
          <w:rFonts w:ascii="Arial" w:eastAsia="Calibri" w:hAnsi="Arial" w:cs="Arial"/>
          <w:color w:val="000000" w:themeColor="text1"/>
          <w:sz w:val="22"/>
          <w:lang w:val="es-ES_tradnl" w:eastAsia="es-ES_tradnl"/>
        </w:rPr>
        <w:t xml:space="preserve">. </w:t>
      </w:r>
    </w:p>
    <w:p w14:paraId="07FA82E7" w14:textId="74A8B6D8" w:rsidR="00107669" w:rsidRPr="00C023FE" w:rsidRDefault="00107669" w:rsidP="00107669">
      <w:pPr>
        <w:spacing w:after="0"/>
        <w:ind w:firstLine="708"/>
        <w:rPr>
          <w:rFonts w:ascii="Arial" w:eastAsia="Calibri" w:hAnsi="Arial" w:cs="Arial"/>
          <w:color w:val="000000" w:themeColor="text1"/>
          <w:sz w:val="22"/>
          <w:lang w:val="es-ES_tradnl" w:eastAsia="es-ES_tradnl"/>
        </w:rPr>
      </w:pPr>
      <w:r w:rsidRPr="00C023FE">
        <w:rPr>
          <w:rFonts w:ascii="Arial" w:eastAsia="Calibri" w:hAnsi="Arial" w:cs="Arial"/>
          <w:color w:val="000000" w:themeColor="text1"/>
          <w:sz w:val="22"/>
          <w:lang w:val="es-ES_tradnl" w:eastAsia="es-ES_tradnl"/>
        </w:rPr>
        <w:t xml:space="preserve">Ahora bien, el texto del actual artículo 2.2.1.2.4.2.3, modificado por el artículo 5 del Decreto 1860 de 2021, no cambia la tesis adoptada en conceptos anteriores de Colombia Compra Eficiente emitidos antes de la expedición de este reglamento. Lo anterior en la medida que, respecto del domicilio de las </w:t>
      </w:r>
      <w:proofErr w:type="spellStart"/>
      <w:r w:rsidR="005904E5" w:rsidRPr="00C023FE">
        <w:rPr>
          <w:rFonts w:ascii="Arial" w:eastAsia="Calibri" w:hAnsi="Arial" w:cs="Arial"/>
          <w:color w:val="000000" w:themeColor="text1"/>
          <w:sz w:val="22"/>
          <w:lang w:val="es-ES_tradnl" w:eastAsia="es-ES_tradnl"/>
        </w:rPr>
        <w:t>M</w:t>
      </w:r>
      <w:r w:rsidRPr="00C023FE">
        <w:rPr>
          <w:rFonts w:ascii="Arial" w:eastAsia="Calibri" w:hAnsi="Arial" w:cs="Arial"/>
          <w:color w:val="000000" w:themeColor="text1"/>
          <w:sz w:val="22"/>
          <w:lang w:val="es-ES_tradnl" w:eastAsia="es-ES_tradnl"/>
        </w:rPr>
        <w:t>ipymes</w:t>
      </w:r>
      <w:proofErr w:type="spellEnd"/>
      <w:r w:rsidRPr="00C023FE">
        <w:rPr>
          <w:rFonts w:ascii="Arial" w:eastAsia="Calibri" w:hAnsi="Arial" w:cs="Arial"/>
          <w:color w:val="000000" w:themeColor="text1"/>
          <w:sz w:val="22"/>
          <w:lang w:val="es-ES_tradnl" w:eastAsia="es-ES_tradnl"/>
        </w:rPr>
        <w:t xml:space="preserve"> en el departamento o municipio donde </w:t>
      </w:r>
      <w:r w:rsidRPr="00C023FE">
        <w:rPr>
          <w:rFonts w:ascii="Arial" w:eastAsia="Calibri" w:hAnsi="Arial" w:cs="Arial"/>
          <w:color w:val="000000" w:themeColor="text1"/>
          <w:sz w:val="22"/>
          <w:lang w:val="es-ES_tradnl" w:eastAsia="es-ES_tradnl"/>
        </w:rPr>
        <w:lastRenderedPageBreak/>
        <w:t xml:space="preserve">se ejecuta el contrato, la reglamentación no tuvo cambios. Así se desprende del texto de la nueva norma que es del siguiente tenor: </w:t>
      </w:r>
    </w:p>
    <w:p w14:paraId="307C9356" w14:textId="77777777" w:rsidR="00107669" w:rsidRPr="00C023FE" w:rsidRDefault="00107669" w:rsidP="00107669">
      <w:pPr>
        <w:spacing w:after="0" w:line="240" w:lineRule="auto"/>
        <w:ind w:right="709"/>
        <w:rPr>
          <w:rFonts w:ascii="Arial" w:eastAsia="Times New Roman" w:hAnsi="Arial" w:cs="Arial"/>
          <w:color w:val="000000" w:themeColor="text1"/>
          <w:sz w:val="21"/>
          <w:szCs w:val="21"/>
          <w:lang w:val="es-CO" w:eastAsia="es-ES_tradnl"/>
        </w:rPr>
      </w:pPr>
    </w:p>
    <w:p w14:paraId="362D25A8" w14:textId="77777777" w:rsidR="00107669" w:rsidRPr="00C023FE" w:rsidRDefault="00107669" w:rsidP="00107669">
      <w:pPr>
        <w:spacing w:after="0" w:line="240" w:lineRule="auto"/>
        <w:ind w:left="709" w:right="709"/>
        <w:rPr>
          <w:rFonts w:ascii="Arial" w:eastAsia="Times New Roman" w:hAnsi="Arial" w:cs="Arial"/>
          <w:color w:val="000000" w:themeColor="text1"/>
          <w:sz w:val="21"/>
          <w:szCs w:val="21"/>
          <w:lang w:val="es-CO" w:eastAsia="es-ES_tradnl"/>
        </w:rPr>
      </w:pPr>
      <w:r w:rsidRPr="00C023FE">
        <w:rPr>
          <w:rFonts w:ascii="Arial" w:eastAsia="Times New Roman" w:hAnsi="Arial" w:cs="Arial"/>
          <w:color w:val="000000" w:themeColor="text1"/>
          <w:sz w:val="21"/>
          <w:szCs w:val="21"/>
          <w:lang w:val="es-CO" w:eastAsia="es-ES_tradnl"/>
        </w:rPr>
        <w:t>ARTÍCULO  5. Modificación de la Subsección 2 de la Sección 4 del Capítulo 2 del Título 1 de la Parte 2 del Libro 2 del Decreto 1082 de 2015. Modifíquense los artículos 2.2.1.2.4.2.2., 2.2.1.2.4.2.3. y 2.2.1.2.4.2.4. de la Subsección 2 de la Sección 4 del Capítulo 2 del Título 1 de la Parte 2 del Libro 2 del Decreto 1082 de 2015, los cuales quedarán así:</w:t>
      </w:r>
    </w:p>
    <w:p w14:paraId="7D0A6895" w14:textId="77777777" w:rsidR="00107669" w:rsidRPr="00C023FE" w:rsidRDefault="00107669" w:rsidP="00107669">
      <w:pPr>
        <w:spacing w:after="120" w:line="240" w:lineRule="auto"/>
        <w:ind w:left="709" w:right="709"/>
        <w:rPr>
          <w:rFonts w:ascii="Arial" w:eastAsia="Times New Roman" w:hAnsi="Arial" w:cs="Arial"/>
          <w:color w:val="000000" w:themeColor="text1"/>
          <w:sz w:val="21"/>
          <w:szCs w:val="21"/>
          <w:lang w:val="es-CO" w:eastAsia="es-ES_tradnl"/>
        </w:rPr>
      </w:pPr>
      <w:r w:rsidRPr="00C023FE">
        <w:rPr>
          <w:rFonts w:ascii="Arial" w:eastAsia="Times New Roman" w:hAnsi="Arial" w:cs="Arial"/>
          <w:color w:val="000000" w:themeColor="text1"/>
          <w:sz w:val="21"/>
          <w:szCs w:val="21"/>
          <w:lang w:val="es-CO" w:eastAsia="es-ES_tradnl"/>
        </w:rPr>
        <w:t>[…]</w:t>
      </w:r>
    </w:p>
    <w:p w14:paraId="135B1212" w14:textId="77777777" w:rsidR="00107669" w:rsidRPr="00C023FE" w:rsidRDefault="00107669" w:rsidP="00107669">
      <w:pPr>
        <w:spacing w:after="0" w:line="240" w:lineRule="auto"/>
        <w:ind w:left="709" w:right="709"/>
        <w:rPr>
          <w:rFonts w:ascii="Arial" w:eastAsia="Calibri" w:hAnsi="Arial" w:cs="Arial"/>
          <w:color w:val="000000" w:themeColor="text1"/>
          <w:sz w:val="22"/>
          <w:lang w:val="es-ES_tradnl" w:eastAsia="es-ES_tradnl"/>
        </w:rPr>
      </w:pPr>
      <w:r w:rsidRPr="00C023FE">
        <w:rPr>
          <w:rFonts w:ascii="Arial" w:eastAsia="Times New Roman" w:hAnsi="Arial" w:cs="Arial"/>
          <w:color w:val="000000" w:themeColor="text1"/>
          <w:sz w:val="21"/>
          <w:szCs w:val="21"/>
          <w:lang w:val="es-CO" w:eastAsia="es-ES_tradnl"/>
        </w:rPr>
        <w:t xml:space="preserve">ARTÍCULO 2.2.1.2.4.2.3. Limitaciones territoriales. De conformidad con el parágrafo 1 del artículo 12 de la Ley 1150 de 2007, las Entidades Estatales, independientemente de su régimen de contratación, los patrimonios autónomos constituidos por Entidades Estatales y los particulares que ejecuten recursos públicos, pueden realizar convocatorias limitadas a </w:t>
      </w:r>
      <w:proofErr w:type="spellStart"/>
      <w:r w:rsidRPr="00C023FE">
        <w:rPr>
          <w:rFonts w:ascii="Arial" w:eastAsia="Times New Roman" w:hAnsi="Arial" w:cs="Arial"/>
          <w:color w:val="000000" w:themeColor="text1"/>
          <w:sz w:val="21"/>
          <w:szCs w:val="21"/>
          <w:lang w:val="es-CO" w:eastAsia="es-ES_tradnl"/>
        </w:rPr>
        <w:t>Mipyme</w:t>
      </w:r>
      <w:proofErr w:type="spellEnd"/>
      <w:r w:rsidRPr="00C023FE">
        <w:rPr>
          <w:rFonts w:ascii="Arial" w:eastAsia="Times New Roman" w:hAnsi="Arial" w:cs="Arial"/>
          <w:color w:val="000000" w:themeColor="text1"/>
          <w:sz w:val="21"/>
          <w:szCs w:val="21"/>
          <w:lang w:val="es-CO" w:eastAsia="es-ES_tradnl"/>
        </w:rPr>
        <w:t xml:space="preserve"> colombianas que tengan domicilio en los departamentos o municipios en donde se va a ejecutar el contrato. Cada </w:t>
      </w:r>
      <w:proofErr w:type="spellStart"/>
      <w:r w:rsidRPr="00C023FE">
        <w:rPr>
          <w:rFonts w:ascii="Arial" w:eastAsia="Times New Roman" w:hAnsi="Arial" w:cs="Arial"/>
          <w:color w:val="000000" w:themeColor="text1"/>
          <w:sz w:val="21"/>
          <w:szCs w:val="21"/>
          <w:lang w:val="es-CO" w:eastAsia="es-ES_tradnl"/>
        </w:rPr>
        <w:t>Mipyme</w:t>
      </w:r>
      <w:proofErr w:type="spellEnd"/>
      <w:r w:rsidRPr="00C023FE">
        <w:rPr>
          <w:rFonts w:ascii="Arial" w:eastAsia="Times New Roman" w:hAnsi="Arial" w:cs="Arial"/>
          <w:color w:val="000000" w:themeColor="text1"/>
          <w:sz w:val="21"/>
          <w:szCs w:val="21"/>
          <w:lang w:val="es-CO" w:eastAsia="es-ES_tradnl"/>
        </w:rPr>
        <w:t xml:space="preserve"> deberá acreditar su domicilio con los documentos a los que se refiere el siguiente artículo. </w:t>
      </w:r>
    </w:p>
    <w:p w14:paraId="27D0EC6C" w14:textId="77777777" w:rsidR="00107669" w:rsidRPr="00C023FE" w:rsidRDefault="00107669" w:rsidP="00107669">
      <w:pPr>
        <w:spacing w:after="0"/>
        <w:ind w:left="709" w:right="709"/>
        <w:rPr>
          <w:rFonts w:ascii="Arial" w:eastAsia="Calibri" w:hAnsi="Arial" w:cs="Arial"/>
          <w:color w:val="000000" w:themeColor="text1"/>
          <w:sz w:val="22"/>
          <w:lang w:val="es-ES_tradnl" w:eastAsia="es-ES_tradnl"/>
        </w:rPr>
      </w:pPr>
    </w:p>
    <w:p w14:paraId="150AA156" w14:textId="2639F1F1" w:rsidR="00107669" w:rsidRPr="00C023FE" w:rsidRDefault="00107669" w:rsidP="00107669">
      <w:pPr>
        <w:spacing w:after="0"/>
        <w:ind w:firstLine="709"/>
        <w:rPr>
          <w:rFonts w:ascii="Arial" w:eastAsia="Calibri" w:hAnsi="Arial" w:cs="Arial"/>
          <w:color w:val="000000" w:themeColor="text1"/>
          <w:sz w:val="22"/>
          <w:lang w:val="es-ES_tradnl" w:eastAsia="es-ES_tradnl"/>
        </w:rPr>
      </w:pPr>
      <w:r w:rsidRPr="00C023FE">
        <w:rPr>
          <w:rFonts w:ascii="Arial" w:eastAsia="Calibri" w:hAnsi="Arial" w:cs="Arial"/>
          <w:color w:val="000000" w:themeColor="text1"/>
          <w:sz w:val="22"/>
          <w:lang w:val="es-ES_tradnl" w:eastAsia="es-ES_tradnl"/>
        </w:rPr>
        <w:t xml:space="preserve">La norma reglamentaria coincide con la redacción del parágrafo 1 del artículo 34 de la Ley 2069 de 2020, según el cual, solo es posible limitar convocatorias a la participación de </w:t>
      </w:r>
      <w:proofErr w:type="spellStart"/>
      <w:r w:rsidRPr="00C023FE">
        <w:rPr>
          <w:rFonts w:ascii="Arial" w:eastAsia="Calibri" w:hAnsi="Arial" w:cs="Arial"/>
          <w:color w:val="000000" w:themeColor="text1"/>
          <w:sz w:val="22"/>
          <w:lang w:val="es-ES_tradnl" w:eastAsia="es-ES_tradnl"/>
        </w:rPr>
        <w:t>mipymes</w:t>
      </w:r>
      <w:proofErr w:type="spellEnd"/>
      <w:r w:rsidRPr="00C023FE">
        <w:rPr>
          <w:rFonts w:ascii="Arial" w:eastAsia="Calibri" w:hAnsi="Arial" w:cs="Arial"/>
          <w:color w:val="000000" w:themeColor="text1"/>
          <w:sz w:val="22"/>
          <w:lang w:val="es-ES_tradnl" w:eastAsia="es-ES_tradnl"/>
        </w:rPr>
        <w:t xml:space="preserve"> «[…] </w:t>
      </w:r>
      <w:r w:rsidRPr="00C023FE">
        <w:rPr>
          <w:rFonts w:ascii="Arial" w:eastAsia="Calibri" w:hAnsi="Arial" w:cs="Arial"/>
          <w:color w:val="000000" w:themeColor="text1"/>
          <w:sz w:val="22"/>
          <w:lang w:val="es-CO" w:eastAsia="es-ES_tradnl"/>
        </w:rPr>
        <w:t>del ámbito municipal o departamental correspondiente al de la ejecución del contrato</w:t>
      </w:r>
      <w:r w:rsidRPr="00C023FE">
        <w:rPr>
          <w:rFonts w:ascii="Arial" w:eastAsia="Calibri" w:hAnsi="Arial" w:cs="Arial"/>
          <w:color w:val="000000" w:themeColor="text1"/>
          <w:sz w:val="22"/>
          <w:lang w:val="es-ES_tradnl" w:eastAsia="es-ES_tradnl"/>
        </w:rPr>
        <w:t xml:space="preserve">». En tales términos, la norma citada contempla la posibilidad de limitar convocatorias a </w:t>
      </w:r>
      <w:proofErr w:type="spellStart"/>
      <w:r w:rsidRPr="00C023FE">
        <w:rPr>
          <w:rFonts w:ascii="Arial" w:eastAsia="Calibri" w:hAnsi="Arial" w:cs="Arial"/>
          <w:color w:val="000000" w:themeColor="text1"/>
          <w:sz w:val="22"/>
          <w:lang w:val="es-ES_tradnl" w:eastAsia="es-ES_tradnl"/>
        </w:rPr>
        <w:t>mipymes</w:t>
      </w:r>
      <w:proofErr w:type="spellEnd"/>
      <w:r w:rsidRPr="00C023FE">
        <w:rPr>
          <w:rFonts w:ascii="Arial" w:eastAsia="Calibri" w:hAnsi="Arial" w:cs="Arial"/>
          <w:color w:val="000000" w:themeColor="text1"/>
          <w:sz w:val="22"/>
          <w:lang w:val="es-ES_tradnl" w:eastAsia="es-ES_tradnl"/>
        </w:rPr>
        <w:t xml:space="preserve"> con domicilio en esos dos tipos de </w:t>
      </w:r>
      <w:r w:rsidR="00104B4F" w:rsidRPr="00C023FE">
        <w:rPr>
          <w:rFonts w:ascii="Arial" w:eastAsia="Calibri" w:hAnsi="Arial" w:cs="Arial"/>
          <w:color w:val="000000" w:themeColor="text1"/>
          <w:sz w:val="22"/>
          <w:lang w:val="es-ES_tradnl" w:eastAsia="es-ES_tradnl"/>
        </w:rPr>
        <w:t xml:space="preserve">ámbitos </w:t>
      </w:r>
      <w:r w:rsidRPr="00C023FE">
        <w:rPr>
          <w:rFonts w:ascii="Arial" w:eastAsia="Calibri" w:hAnsi="Arial" w:cs="Arial"/>
          <w:color w:val="000000" w:themeColor="text1"/>
          <w:sz w:val="22"/>
          <w:lang w:val="es-ES_tradnl" w:eastAsia="es-ES_tradnl"/>
        </w:rPr>
        <w:t xml:space="preserve">territoriales. </w:t>
      </w:r>
    </w:p>
    <w:p w14:paraId="53DC1943" w14:textId="6F6DD386" w:rsidR="00107669" w:rsidRPr="00C023FE" w:rsidRDefault="00107669" w:rsidP="00107669">
      <w:pPr>
        <w:spacing w:before="120" w:after="0"/>
        <w:ind w:firstLine="709"/>
        <w:rPr>
          <w:rFonts w:ascii="Arial" w:eastAsia="Arial" w:hAnsi="Arial" w:cs="Arial"/>
          <w:color w:val="000000" w:themeColor="text1"/>
          <w:sz w:val="22"/>
        </w:rPr>
      </w:pPr>
      <w:r w:rsidRPr="00C023FE">
        <w:rPr>
          <w:rFonts w:ascii="Arial" w:eastAsia="Arial" w:hAnsi="Arial" w:cs="Arial"/>
          <w:color w:val="000000" w:themeColor="text1"/>
          <w:sz w:val="22"/>
        </w:rPr>
        <w:t xml:space="preserve">En ese sentido, toda empresa constituida bajo las leyes colombianas o que tenga su domicilio principal en el territorio colombiano y, además, cumpla los criterios previstos por la Ley 590 de 2000 y el Decreto 957 de 2019, será considerada </w:t>
      </w:r>
      <w:proofErr w:type="spellStart"/>
      <w:r w:rsidRPr="00C023FE">
        <w:rPr>
          <w:rFonts w:ascii="Arial" w:eastAsia="Arial" w:hAnsi="Arial" w:cs="Arial"/>
          <w:color w:val="000000" w:themeColor="text1"/>
          <w:sz w:val="22"/>
        </w:rPr>
        <w:t>Mipyme</w:t>
      </w:r>
      <w:proofErr w:type="spellEnd"/>
      <w:r w:rsidRPr="00C023FE">
        <w:rPr>
          <w:rFonts w:ascii="Arial" w:eastAsia="Arial" w:hAnsi="Arial" w:cs="Arial"/>
          <w:color w:val="000000" w:themeColor="text1"/>
          <w:sz w:val="22"/>
        </w:rPr>
        <w:t xml:space="preserve"> nacional. Además, las normas de contratación permiten que las </w:t>
      </w:r>
      <w:proofErr w:type="spellStart"/>
      <w:r w:rsidRPr="00C023FE">
        <w:rPr>
          <w:rFonts w:ascii="Arial" w:eastAsia="Arial" w:hAnsi="Arial" w:cs="Arial"/>
          <w:color w:val="000000" w:themeColor="text1"/>
          <w:sz w:val="22"/>
        </w:rPr>
        <w:t>Mipymes</w:t>
      </w:r>
      <w:proofErr w:type="spellEnd"/>
      <w:r w:rsidRPr="00C023FE">
        <w:rPr>
          <w:rFonts w:ascii="Arial" w:eastAsia="Arial" w:hAnsi="Arial" w:cs="Arial"/>
          <w:color w:val="000000" w:themeColor="text1"/>
          <w:sz w:val="22"/>
        </w:rPr>
        <w:t xml:space="preserve"> nacionales puedan beneficiarse de la ejecución de un contrato dentro </w:t>
      </w:r>
      <w:r w:rsidR="00104B4F" w:rsidRPr="00C023FE">
        <w:rPr>
          <w:rFonts w:ascii="Arial" w:eastAsia="Arial" w:hAnsi="Arial" w:cs="Arial"/>
          <w:color w:val="000000" w:themeColor="text1"/>
          <w:sz w:val="22"/>
        </w:rPr>
        <w:t xml:space="preserve">del ámbito </w:t>
      </w:r>
      <w:r w:rsidRPr="00C023FE">
        <w:rPr>
          <w:rFonts w:ascii="Arial" w:eastAsia="Arial" w:hAnsi="Arial" w:cs="Arial"/>
          <w:color w:val="000000" w:themeColor="text1"/>
          <w:sz w:val="22"/>
        </w:rPr>
        <w:t>territorial en la que tienen su «domicilio»</w:t>
      </w:r>
      <w:r w:rsidR="00104B4F" w:rsidRPr="00C023FE">
        <w:rPr>
          <w:rFonts w:ascii="Arial" w:eastAsia="Arial" w:hAnsi="Arial" w:cs="Arial"/>
          <w:color w:val="000000" w:themeColor="text1"/>
          <w:sz w:val="22"/>
        </w:rPr>
        <w:t xml:space="preserve">, siempre que el proceso de contratación efectivamente se limite a </w:t>
      </w:r>
      <w:proofErr w:type="spellStart"/>
      <w:r w:rsidR="00104B4F" w:rsidRPr="00C023FE">
        <w:rPr>
          <w:rFonts w:ascii="Arial" w:eastAsia="Arial" w:hAnsi="Arial" w:cs="Arial"/>
          <w:color w:val="000000" w:themeColor="text1"/>
          <w:sz w:val="22"/>
        </w:rPr>
        <w:t>Mipymes</w:t>
      </w:r>
      <w:proofErr w:type="spellEnd"/>
      <w:r w:rsidR="00104B4F" w:rsidRPr="00C023FE">
        <w:rPr>
          <w:rFonts w:ascii="Arial" w:eastAsia="Arial" w:hAnsi="Arial" w:cs="Arial"/>
          <w:color w:val="000000" w:themeColor="text1"/>
          <w:sz w:val="22"/>
        </w:rPr>
        <w:t xml:space="preserve"> domiciliadas en determinado ámbito territorial, de conformidad con las reglas establecidas en el Decreto 1082 de 2015, modificado por el Decreto 1860 de 202</w:t>
      </w:r>
      <w:r w:rsidR="00A8374C" w:rsidRPr="00C023FE">
        <w:rPr>
          <w:rFonts w:ascii="Arial" w:eastAsia="Arial" w:hAnsi="Arial" w:cs="Arial"/>
          <w:color w:val="000000" w:themeColor="text1"/>
          <w:sz w:val="22"/>
        </w:rPr>
        <w:t>1.</w:t>
      </w:r>
    </w:p>
    <w:p w14:paraId="3DC201F2" w14:textId="0F2E9011" w:rsidR="00107669" w:rsidRPr="00C023FE" w:rsidRDefault="00A8374C" w:rsidP="00107669">
      <w:pPr>
        <w:spacing w:before="120" w:after="0"/>
        <w:ind w:firstLine="709"/>
        <w:rPr>
          <w:rFonts w:ascii="Arial" w:eastAsia="Arial" w:hAnsi="Arial" w:cs="Arial"/>
          <w:color w:val="000000" w:themeColor="text1"/>
          <w:sz w:val="22"/>
        </w:rPr>
      </w:pPr>
      <w:r w:rsidRPr="00C023FE">
        <w:rPr>
          <w:rFonts w:ascii="Arial" w:eastAsia="Arial" w:hAnsi="Arial" w:cs="Arial"/>
          <w:color w:val="000000" w:themeColor="text1"/>
          <w:sz w:val="22"/>
        </w:rPr>
        <w:t>En armonía con lo anterior,</w:t>
      </w:r>
      <w:r w:rsidR="00107669" w:rsidRPr="00C023FE">
        <w:rPr>
          <w:rFonts w:ascii="Arial" w:eastAsia="Arial" w:hAnsi="Arial" w:cs="Arial"/>
          <w:color w:val="000000" w:themeColor="text1"/>
          <w:sz w:val="22"/>
        </w:rPr>
        <w:t xml:space="preserve"> el artículo 2.2.1.2.4.2.3. del Decreto 1082 de 2015, modificado por el artículo 5 del Decreto 1860 de 2021 se refiere a las «</w:t>
      </w:r>
      <w:proofErr w:type="spellStart"/>
      <w:r w:rsidR="00107669" w:rsidRPr="00C023FE">
        <w:rPr>
          <w:rFonts w:ascii="Arial" w:eastAsia="Arial" w:hAnsi="Arial" w:cs="Arial"/>
          <w:color w:val="000000" w:themeColor="text1"/>
          <w:sz w:val="22"/>
        </w:rPr>
        <w:t>mipyme</w:t>
      </w:r>
      <w:proofErr w:type="spellEnd"/>
      <w:r w:rsidR="00107669" w:rsidRPr="00C023FE">
        <w:rPr>
          <w:rFonts w:ascii="Arial" w:eastAsia="Arial" w:hAnsi="Arial" w:cs="Arial"/>
          <w:color w:val="000000" w:themeColor="text1"/>
          <w:sz w:val="22"/>
        </w:rPr>
        <w:t xml:space="preserve"> colombianas que tengan domicilio en los departamentos o municipios en donde se va a ejecutar el contrato». Esta precisión es importante, pues el incentivo previsto en la norma únicamente aplica en el lugar de ejecución del contrat</w:t>
      </w:r>
      <w:r w:rsidR="005A2469" w:rsidRPr="00C023FE">
        <w:rPr>
          <w:rFonts w:ascii="Arial" w:eastAsia="Arial" w:hAnsi="Arial" w:cs="Arial"/>
          <w:color w:val="000000" w:themeColor="text1"/>
          <w:sz w:val="22"/>
        </w:rPr>
        <w:t>o</w:t>
      </w:r>
      <w:r w:rsidR="00107669" w:rsidRPr="00C023FE">
        <w:rPr>
          <w:rFonts w:ascii="Arial" w:eastAsia="Arial" w:hAnsi="Arial" w:cs="Arial"/>
          <w:color w:val="000000" w:themeColor="text1"/>
          <w:sz w:val="22"/>
        </w:rPr>
        <w:t xml:space="preserve"> en el que la </w:t>
      </w:r>
      <w:proofErr w:type="spellStart"/>
      <w:r w:rsidR="00107669" w:rsidRPr="00C023FE">
        <w:rPr>
          <w:rFonts w:ascii="Arial" w:eastAsia="Arial" w:hAnsi="Arial" w:cs="Arial"/>
          <w:color w:val="000000" w:themeColor="text1"/>
          <w:sz w:val="22"/>
        </w:rPr>
        <w:t>Mipyme</w:t>
      </w:r>
      <w:proofErr w:type="spellEnd"/>
      <w:r w:rsidR="00107669" w:rsidRPr="00C023FE">
        <w:rPr>
          <w:rFonts w:ascii="Arial" w:eastAsia="Arial" w:hAnsi="Arial" w:cs="Arial"/>
          <w:color w:val="000000" w:themeColor="text1"/>
          <w:sz w:val="22"/>
        </w:rPr>
        <w:t xml:space="preserve"> tiene su «domicilio», y no en donde tiene sucursales</w:t>
      </w:r>
      <w:r w:rsidRPr="00C023FE">
        <w:rPr>
          <w:rFonts w:ascii="Arial" w:eastAsia="Arial" w:hAnsi="Arial" w:cs="Arial"/>
          <w:color w:val="000000" w:themeColor="text1"/>
          <w:sz w:val="22"/>
        </w:rPr>
        <w:t xml:space="preserve"> o establecimientos de comercio.</w:t>
      </w:r>
      <w:r w:rsidR="00107669" w:rsidRPr="00C023FE">
        <w:rPr>
          <w:rFonts w:ascii="Arial" w:eastAsia="Arial" w:hAnsi="Arial" w:cs="Arial"/>
          <w:color w:val="000000" w:themeColor="text1"/>
          <w:sz w:val="22"/>
        </w:rPr>
        <w:t xml:space="preserve"> </w:t>
      </w:r>
    </w:p>
    <w:p w14:paraId="2CD30352" w14:textId="2CA01A17" w:rsidR="001504A5" w:rsidRPr="00C023FE" w:rsidRDefault="001504A5" w:rsidP="001504A5">
      <w:pPr>
        <w:spacing w:before="120" w:after="0"/>
        <w:ind w:firstLine="709"/>
        <w:rPr>
          <w:rFonts w:ascii="Arial" w:hAnsi="Arial" w:cs="Arial"/>
          <w:color w:val="000000" w:themeColor="text1"/>
          <w:sz w:val="22"/>
        </w:rPr>
      </w:pPr>
      <w:r w:rsidRPr="00C023FE">
        <w:rPr>
          <w:rFonts w:ascii="Arial" w:eastAsia="Times New Roman" w:hAnsi="Arial" w:cs="Arial"/>
          <w:bCs/>
          <w:color w:val="000000" w:themeColor="text1"/>
          <w:sz w:val="22"/>
          <w:lang w:val="es-CO" w:eastAsia="es-ES"/>
        </w:rPr>
        <w:t xml:space="preserve">Para explicar las implicaciones del artículo, </w:t>
      </w:r>
      <w:r w:rsidRPr="00C023FE">
        <w:rPr>
          <w:rFonts w:ascii="Arial" w:hAnsi="Arial" w:cs="Arial"/>
          <w:color w:val="000000" w:themeColor="text1"/>
          <w:sz w:val="22"/>
        </w:rPr>
        <w:t xml:space="preserve">en primera instancia, debe analizarse el alcance del término </w:t>
      </w:r>
      <w:r w:rsidR="005A2469" w:rsidRPr="00C023FE">
        <w:rPr>
          <w:rFonts w:ascii="Arial" w:hAnsi="Arial" w:cs="Arial"/>
          <w:color w:val="000000" w:themeColor="text1"/>
          <w:sz w:val="22"/>
        </w:rPr>
        <w:t>«</w:t>
      </w:r>
      <w:r w:rsidRPr="00C023FE">
        <w:rPr>
          <w:rFonts w:ascii="Arial" w:hAnsi="Arial" w:cs="Arial"/>
          <w:color w:val="000000" w:themeColor="text1"/>
          <w:sz w:val="22"/>
        </w:rPr>
        <w:t>domicilio</w:t>
      </w:r>
      <w:r w:rsidR="005A2469" w:rsidRPr="00C023FE">
        <w:rPr>
          <w:rFonts w:ascii="Arial" w:hAnsi="Arial" w:cs="Arial"/>
          <w:color w:val="000000" w:themeColor="text1"/>
          <w:sz w:val="22"/>
        </w:rPr>
        <w:t>»</w:t>
      </w:r>
      <w:r w:rsidRPr="00C023FE">
        <w:rPr>
          <w:rFonts w:ascii="Arial" w:hAnsi="Arial" w:cs="Arial"/>
          <w:color w:val="000000" w:themeColor="text1"/>
          <w:sz w:val="22"/>
        </w:rPr>
        <w:t xml:space="preserve"> que</w:t>
      </w:r>
      <w:r w:rsidR="005A2469" w:rsidRPr="00C023FE">
        <w:rPr>
          <w:rFonts w:ascii="Arial" w:hAnsi="Arial" w:cs="Arial"/>
          <w:color w:val="000000" w:themeColor="text1"/>
          <w:sz w:val="22"/>
        </w:rPr>
        <w:t>,</w:t>
      </w:r>
      <w:r w:rsidRPr="00C023FE">
        <w:rPr>
          <w:rFonts w:ascii="Arial" w:hAnsi="Arial" w:cs="Arial"/>
          <w:color w:val="000000" w:themeColor="text1"/>
          <w:sz w:val="22"/>
        </w:rPr>
        <w:t xml:space="preserve"> para el caso de las sociedades, se constituye en uno </w:t>
      </w:r>
      <w:r w:rsidR="005A2469" w:rsidRPr="00C023FE">
        <w:rPr>
          <w:rFonts w:ascii="Arial" w:hAnsi="Arial" w:cs="Arial"/>
          <w:color w:val="000000" w:themeColor="text1"/>
          <w:sz w:val="22"/>
        </w:rPr>
        <w:t xml:space="preserve">de los </w:t>
      </w:r>
      <w:r w:rsidRPr="00C023FE">
        <w:rPr>
          <w:rFonts w:ascii="Arial" w:hAnsi="Arial" w:cs="Arial"/>
          <w:color w:val="000000" w:themeColor="text1"/>
          <w:sz w:val="22"/>
        </w:rPr>
        <w:t xml:space="preserve">atributos de su personalidad, que, en derecho, son aquellas propiedades o características de identidad, propias de las personas, sean estas naturales o jurídicas, </w:t>
      </w:r>
      <w:r w:rsidRPr="00C023FE">
        <w:rPr>
          <w:rFonts w:ascii="Arial" w:hAnsi="Arial" w:cs="Arial"/>
          <w:color w:val="000000" w:themeColor="text1"/>
          <w:sz w:val="22"/>
        </w:rPr>
        <w:lastRenderedPageBreak/>
        <w:t>como titulares de derechos</w:t>
      </w:r>
      <w:r w:rsidRPr="00C023FE">
        <w:rPr>
          <w:rStyle w:val="Refdenotaalpie"/>
          <w:rFonts w:ascii="Arial" w:hAnsi="Arial" w:cs="Arial"/>
          <w:color w:val="000000" w:themeColor="text1"/>
          <w:sz w:val="22"/>
        </w:rPr>
        <w:footnoteReference w:id="10"/>
      </w:r>
      <w:r w:rsidRPr="00C023FE">
        <w:rPr>
          <w:rFonts w:ascii="Arial" w:hAnsi="Arial" w:cs="Arial"/>
          <w:color w:val="000000" w:themeColor="text1"/>
          <w:sz w:val="22"/>
        </w:rPr>
        <w:t xml:space="preserve">. En esta línea, este término es definido por el Código Civil en </w:t>
      </w:r>
      <w:r w:rsidR="005A2469" w:rsidRPr="00C023FE">
        <w:rPr>
          <w:rFonts w:ascii="Arial" w:hAnsi="Arial" w:cs="Arial"/>
          <w:color w:val="000000" w:themeColor="text1"/>
          <w:sz w:val="22"/>
        </w:rPr>
        <w:t xml:space="preserve">el </w:t>
      </w:r>
      <w:r w:rsidRPr="00C023FE">
        <w:rPr>
          <w:rFonts w:ascii="Arial" w:hAnsi="Arial" w:cs="Arial"/>
          <w:color w:val="000000" w:themeColor="text1"/>
          <w:sz w:val="22"/>
        </w:rPr>
        <w:t>artículo 76</w:t>
      </w:r>
      <w:r w:rsidRPr="00C023FE">
        <w:rPr>
          <w:rStyle w:val="Refdenotaalpie"/>
          <w:rFonts w:ascii="Arial" w:hAnsi="Arial" w:cs="Arial"/>
          <w:color w:val="000000" w:themeColor="text1"/>
          <w:sz w:val="22"/>
        </w:rPr>
        <w:footnoteReference w:id="11"/>
      </w:r>
      <w:r w:rsidRPr="00C023FE">
        <w:rPr>
          <w:rFonts w:ascii="Arial" w:hAnsi="Arial" w:cs="Arial"/>
          <w:color w:val="000000" w:themeColor="text1"/>
          <w:sz w:val="22"/>
        </w:rPr>
        <w:t xml:space="preserve">, el cual lo concibe como la residencia acompañada real o presuntivamente del ánimo de permanecer en ella, lo cual, para el caso de las sociedades se interpreta como el sitio donde éstas tienen el asiento principal de sus negocios. </w:t>
      </w:r>
    </w:p>
    <w:p w14:paraId="56D17C40" w14:textId="1515A0FA" w:rsidR="00107669" w:rsidRPr="00C023FE" w:rsidRDefault="001504A5" w:rsidP="001504A5">
      <w:pPr>
        <w:spacing w:before="120" w:after="0"/>
        <w:ind w:firstLine="709"/>
        <w:rPr>
          <w:rFonts w:ascii="Arial" w:hAnsi="Arial" w:cs="Arial"/>
          <w:color w:val="000000" w:themeColor="text1"/>
          <w:sz w:val="22"/>
        </w:rPr>
      </w:pPr>
      <w:r w:rsidRPr="00C023FE">
        <w:rPr>
          <w:rFonts w:ascii="Arial" w:hAnsi="Arial" w:cs="Arial"/>
          <w:color w:val="000000" w:themeColor="text1"/>
          <w:sz w:val="22"/>
        </w:rPr>
        <w:t xml:space="preserve">El </w:t>
      </w:r>
      <w:r w:rsidR="00107669" w:rsidRPr="00C023FE">
        <w:rPr>
          <w:rFonts w:ascii="Arial" w:eastAsia="Arial" w:hAnsi="Arial" w:cs="Arial"/>
          <w:color w:val="000000" w:themeColor="text1"/>
          <w:sz w:val="22"/>
        </w:rPr>
        <w:t xml:space="preserve">artículo 263 del Código de Comercio define las sucursales como «los establecimientos de comercio abiertos por una sociedad, dentro o fuera de su domicilio, para el desarrollo de los negocios sociales o parte de ellos, administrados por mandatarios con facultades para representar la sociedad». Nótese que la norma se refiere a los conceptos de «sucursal» y «domicilio» de forma diferente, de lo que se deriva que las sociedades comerciales tienen un domicilio y pueden tener una o varias sucursales que son establecimientos de comercio, esto es, bienes mercantiles pertenecientes a la sociedad. En ese mismo sentido, los artículos 110 y 111 </w:t>
      </w:r>
      <w:proofErr w:type="spellStart"/>
      <w:r w:rsidR="00107669" w:rsidRPr="00C023FE">
        <w:rPr>
          <w:rFonts w:ascii="Arial" w:eastAsia="Arial" w:hAnsi="Arial" w:cs="Arial"/>
          <w:i/>
          <w:color w:val="000000" w:themeColor="text1"/>
          <w:sz w:val="22"/>
        </w:rPr>
        <w:t>ibídem</w:t>
      </w:r>
      <w:proofErr w:type="spellEnd"/>
      <w:r w:rsidR="00107669" w:rsidRPr="00C023FE">
        <w:rPr>
          <w:rFonts w:ascii="Arial" w:eastAsia="Arial" w:hAnsi="Arial" w:cs="Arial"/>
          <w:color w:val="000000" w:themeColor="text1"/>
          <w:sz w:val="22"/>
        </w:rPr>
        <w:t xml:space="preserve"> se refieren a tales conceptos de forma independiente. El uno para referirse a los requisitos de constitución de una sociedad comercial y el otro para determinar el lugar donde se debe inscribir la escritura pública de constitución de la sociedad comercial. </w:t>
      </w:r>
      <w:r w:rsidR="005A2469" w:rsidRPr="00C023FE">
        <w:rPr>
          <w:rFonts w:ascii="Arial" w:eastAsia="Arial" w:hAnsi="Arial" w:cs="Arial"/>
          <w:color w:val="000000" w:themeColor="text1"/>
          <w:sz w:val="22"/>
        </w:rPr>
        <w:t>De esta manera</w:t>
      </w:r>
      <w:r w:rsidR="00107669" w:rsidRPr="00C023FE">
        <w:rPr>
          <w:rFonts w:ascii="Arial" w:eastAsia="Arial" w:hAnsi="Arial" w:cs="Arial"/>
          <w:color w:val="000000" w:themeColor="text1"/>
          <w:sz w:val="22"/>
        </w:rPr>
        <w:t>, si el legislador distinguió entre uno y otro</w:t>
      </w:r>
      <w:r w:rsidR="00B804B5" w:rsidRPr="00C023FE">
        <w:rPr>
          <w:rFonts w:ascii="Arial" w:eastAsia="Arial" w:hAnsi="Arial" w:cs="Arial"/>
          <w:color w:val="000000" w:themeColor="text1"/>
          <w:sz w:val="22"/>
        </w:rPr>
        <w:t>,</w:t>
      </w:r>
      <w:r w:rsidR="00107669" w:rsidRPr="00C023FE">
        <w:rPr>
          <w:rFonts w:ascii="Arial" w:eastAsia="Arial" w:hAnsi="Arial" w:cs="Arial"/>
          <w:color w:val="000000" w:themeColor="text1"/>
          <w:sz w:val="22"/>
        </w:rPr>
        <w:t xml:space="preserve"> y si el reglamento se refiere al «domicilio», se entiende que no es procedente extender el beneficio contenido en el artículo 2.2.1.2.4.2.3. </w:t>
      </w:r>
      <w:proofErr w:type="spellStart"/>
      <w:r w:rsidR="00107669" w:rsidRPr="00C023FE">
        <w:rPr>
          <w:rFonts w:ascii="Arial" w:eastAsia="Arial" w:hAnsi="Arial" w:cs="Arial"/>
          <w:i/>
          <w:color w:val="000000" w:themeColor="text1"/>
          <w:sz w:val="22"/>
        </w:rPr>
        <w:t>ibídem</w:t>
      </w:r>
      <w:proofErr w:type="spellEnd"/>
      <w:r w:rsidR="00107669" w:rsidRPr="00C023FE">
        <w:rPr>
          <w:rFonts w:ascii="Arial" w:eastAsia="Arial" w:hAnsi="Arial" w:cs="Arial"/>
          <w:i/>
          <w:color w:val="000000" w:themeColor="text1"/>
          <w:sz w:val="22"/>
        </w:rPr>
        <w:t xml:space="preserve"> </w:t>
      </w:r>
      <w:r w:rsidR="00107669" w:rsidRPr="00C023FE">
        <w:rPr>
          <w:rFonts w:ascii="Arial" w:eastAsia="Arial" w:hAnsi="Arial" w:cs="Arial"/>
          <w:color w:val="000000" w:themeColor="text1"/>
          <w:sz w:val="22"/>
        </w:rPr>
        <w:t>a las entidades que tienen «sucursales» en el municipio o departamento en donde se va a ejecutar el contrato estatal.</w:t>
      </w:r>
    </w:p>
    <w:p w14:paraId="3D988D33" w14:textId="7C8A5510" w:rsidR="00107669" w:rsidRPr="00C023FE" w:rsidRDefault="00107669" w:rsidP="00107669">
      <w:pPr>
        <w:spacing w:before="120" w:after="0"/>
        <w:ind w:firstLine="709"/>
        <w:rPr>
          <w:rFonts w:ascii="Arial" w:eastAsia="Arial" w:hAnsi="Arial" w:cs="Arial"/>
          <w:color w:val="000000" w:themeColor="text1"/>
          <w:sz w:val="22"/>
        </w:rPr>
      </w:pPr>
      <w:r w:rsidRPr="00C023FE">
        <w:rPr>
          <w:rFonts w:ascii="Arial" w:eastAsia="Arial" w:hAnsi="Arial" w:cs="Arial"/>
          <w:color w:val="000000" w:themeColor="text1"/>
          <w:sz w:val="22"/>
        </w:rPr>
        <w:t xml:space="preserve">Sin perjuicio de lo anterior, no puede perderse de vista que la decisión de limitar «a </w:t>
      </w:r>
      <w:proofErr w:type="spellStart"/>
      <w:r w:rsidRPr="00C023FE">
        <w:rPr>
          <w:rFonts w:ascii="Arial" w:eastAsia="Arial" w:hAnsi="Arial" w:cs="Arial"/>
          <w:color w:val="000000" w:themeColor="text1"/>
          <w:sz w:val="22"/>
        </w:rPr>
        <w:t>Mipyme</w:t>
      </w:r>
      <w:proofErr w:type="spellEnd"/>
      <w:r w:rsidRPr="00C023FE">
        <w:rPr>
          <w:rFonts w:ascii="Arial" w:eastAsia="Arial" w:hAnsi="Arial" w:cs="Arial"/>
          <w:color w:val="000000" w:themeColor="text1"/>
          <w:sz w:val="22"/>
        </w:rPr>
        <w:t xml:space="preserve"> colombianas que tengan domicilio en los departamentos o municipios en donde se va a ejecutar el contrato», aunque es facultativa de la entidad, está supeditada a que se verifiquen los requisitos establecidos en los numerales 1 y 2 del artículo 2.2.1.2.4.2.2. del Decreto 1082 de 2015, modificado por el Decreto 1860 de 2021</w:t>
      </w:r>
      <w:r w:rsidRPr="00C023FE">
        <w:rPr>
          <w:rFonts w:ascii="Arial" w:eastAsia="Arial" w:hAnsi="Arial" w:cs="Arial"/>
          <w:color w:val="000000" w:themeColor="text1"/>
          <w:sz w:val="22"/>
          <w:vertAlign w:val="superscript"/>
        </w:rPr>
        <w:footnoteReference w:id="12"/>
      </w:r>
      <w:r w:rsidRPr="00C023FE">
        <w:rPr>
          <w:rFonts w:ascii="Arial" w:eastAsia="Arial" w:hAnsi="Arial" w:cs="Arial"/>
          <w:color w:val="000000" w:themeColor="text1"/>
          <w:sz w:val="22"/>
        </w:rPr>
        <w:t xml:space="preserve">. En ese sentido, si la </w:t>
      </w:r>
      <w:r w:rsidRPr="00C023FE">
        <w:rPr>
          <w:rFonts w:ascii="Arial" w:eastAsia="Arial" w:hAnsi="Arial" w:cs="Arial"/>
          <w:color w:val="000000" w:themeColor="text1"/>
          <w:sz w:val="22"/>
        </w:rPr>
        <w:lastRenderedPageBreak/>
        <w:t xml:space="preserve">entidad no recibió las solicitudes para limitar la convocatoria a </w:t>
      </w:r>
      <w:proofErr w:type="spellStart"/>
      <w:r w:rsidRPr="00C023FE">
        <w:rPr>
          <w:rFonts w:ascii="Arial" w:eastAsia="Arial" w:hAnsi="Arial" w:cs="Arial"/>
          <w:color w:val="000000" w:themeColor="text1"/>
          <w:sz w:val="22"/>
        </w:rPr>
        <w:t>Mipymes</w:t>
      </w:r>
      <w:proofErr w:type="spellEnd"/>
      <w:r w:rsidRPr="00C023FE">
        <w:rPr>
          <w:rFonts w:ascii="Arial" w:eastAsia="Arial" w:hAnsi="Arial" w:cs="Arial"/>
          <w:color w:val="000000" w:themeColor="text1"/>
          <w:sz w:val="22"/>
        </w:rPr>
        <w:t xml:space="preserve">, no puede </w:t>
      </w:r>
      <w:proofErr w:type="gramStart"/>
      <w:r w:rsidRPr="00C023FE">
        <w:rPr>
          <w:rFonts w:ascii="Arial" w:eastAsia="Arial" w:hAnsi="Arial" w:cs="Arial"/>
          <w:i/>
          <w:color w:val="000000" w:themeColor="text1"/>
          <w:sz w:val="22"/>
        </w:rPr>
        <w:t>motu propio</w:t>
      </w:r>
      <w:proofErr w:type="gramEnd"/>
      <w:r w:rsidRPr="00C023FE">
        <w:rPr>
          <w:rFonts w:ascii="Arial" w:eastAsia="Arial" w:hAnsi="Arial" w:cs="Arial"/>
          <w:i/>
          <w:color w:val="000000" w:themeColor="text1"/>
          <w:sz w:val="22"/>
        </w:rPr>
        <w:t xml:space="preserve"> </w:t>
      </w:r>
      <w:r w:rsidRPr="00C023FE">
        <w:rPr>
          <w:rFonts w:ascii="Arial" w:eastAsia="Arial" w:hAnsi="Arial" w:cs="Arial"/>
          <w:color w:val="000000" w:themeColor="text1"/>
          <w:sz w:val="22"/>
        </w:rPr>
        <w:t xml:space="preserve">proceder con la «limitación territorial» de que trata el artículo 2.2.1.2.4.2.3. del Decreto 1082 de 2015. Esto debido a que el ejercicio de esta facultad solo puede darse ante la «limitación a </w:t>
      </w:r>
      <w:proofErr w:type="spellStart"/>
      <w:r w:rsidRPr="00C023FE">
        <w:rPr>
          <w:rFonts w:ascii="Arial" w:eastAsia="Arial" w:hAnsi="Arial" w:cs="Arial"/>
          <w:color w:val="000000" w:themeColor="text1"/>
          <w:sz w:val="22"/>
        </w:rPr>
        <w:t>Mipymes</w:t>
      </w:r>
      <w:proofErr w:type="spellEnd"/>
      <w:r w:rsidRPr="00C023FE">
        <w:rPr>
          <w:rFonts w:ascii="Arial" w:eastAsia="Arial" w:hAnsi="Arial" w:cs="Arial"/>
          <w:color w:val="000000" w:themeColor="text1"/>
          <w:sz w:val="22"/>
        </w:rPr>
        <w:t xml:space="preserve"> colombianas», lo cual supone verificar los supuestos legales establecidos en los mencionados numerales.</w:t>
      </w:r>
    </w:p>
    <w:p w14:paraId="61EE50E7" w14:textId="535A7AC6" w:rsidR="00107669" w:rsidRPr="00C023FE" w:rsidRDefault="00AD0C7B" w:rsidP="0024769F">
      <w:pPr>
        <w:spacing w:before="120" w:after="0"/>
        <w:ind w:firstLine="709"/>
        <w:rPr>
          <w:rFonts w:ascii="Arial" w:eastAsia="Arial" w:hAnsi="Arial" w:cs="Arial"/>
          <w:color w:val="000000" w:themeColor="text1"/>
          <w:sz w:val="22"/>
          <w:lang w:val="es-ES_tradnl" w:eastAsia="es-ES_tradnl"/>
        </w:rPr>
      </w:pPr>
      <w:r w:rsidRPr="00C023FE">
        <w:rPr>
          <w:rFonts w:ascii="Arial" w:hAnsi="Arial" w:cs="Arial"/>
          <w:color w:val="000000" w:themeColor="text1"/>
          <w:sz w:val="22"/>
        </w:rPr>
        <w:t>Por tanto, a</w:t>
      </w:r>
      <w:r w:rsidR="00107669" w:rsidRPr="00C023FE">
        <w:rPr>
          <w:rFonts w:ascii="Arial" w:hAnsi="Arial" w:cs="Arial"/>
          <w:color w:val="000000" w:themeColor="text1"/>
          <w:sz w:val="22"/>
        </w:rPr>
        <w:t xml:space="preserve"> partir de esta conceptualización, la limitación territorial regulada en </w:t>
      </w:r>
      <w:r w:rsidR="00107669" w:rsidRPr="00C023FE">
        <w:rPr>
          <w:rFonts w:ascii="Arial" w:eastAsia="Arial" w:hAnsi="Arial" w:cs="Arial"/>
          <w:color w:val="000000" w:themeColor="text1"/>
          <w:sz w:val="22"/>
          <w:lang w:val="es-ES_tradnl" w:eastAsia="es-ES_tradnl"/>
        </w:rPr>
        <w:t xml:space="preserve">el artículo 2.2.1.2.4.2.3 del Decreto 1082 de 2015 será aplicada para aquellas </w:t>
      </w:r>
      <w:proofErr w:type="spellStart"/>
      <w:r w:rsidR="00107669" w:rsidRPr="00C023FE">
        <w:rPr>
          <w:rFonts w:ascii="Arial" w:eastAsia="Arial" w:hAnsi="Arial" w:cs="Arial"/>
          <w:color w:val="000000" w:themeColor="text1"/>
          <w:sz w:val="22"/>
          <w:lang w:val="es-ES_tradnl" w:eastAsia="es-ES_tradnl"/>
        </w:rPr>
        <w:t>Mipymes</w:t>
      </w:r>
      <w:proofErr w:type="spellEnd"/>
      <w:r w:rsidR="00107669" w:rsidRPr="00C023FE">
        <w:rPr>
          <w:rFonts w:ascii="Arial" w:eastAsia="Arial" w:hAnsi="Arial" w:cs="Arial"/>
          <w:color w:val="000000" w:themeColor="text1"/>
          <w:sz w:val="22"/>
          <w:lang w:val="es-ES_tradnl" w:eastAsia="es-ES_tradnl"/>
        </w:rPr>
        <w:t xml:space="preserve"> que tengan su domicilio principal en el municipio o departamento respectivo. Por tanto, este artículo no aplica</w:t>
      </w:r>
      <w:r w:rsidR="00AA204A" w:rsidRPr="00C023FE">
        <w:rPr>
          <w:rFonts w:ascii="Arial" w:eastAsia="Arial" w:hAnsi="Arial" w:cs="Arial"/>
          <w:color w:val="000000" w:themeColor="text1"/>
          <w:sz w:val="22"/>
          <w:lang w:val="es-ES_tradnl" w:eastAsia="es-ES_tradnl"/>
        </w:rPr>
        <w:t>ría</w:t>
      </w:r>
      <w:r w:rsidR="00107669" w:rsidRPr="00C023FE">
        <w:rPr>
          <w:rFonts w:ascii="Arial" w:eastAsia="Arial" w:hAnsi="Arial" w:cs="Arial"/>
          <w:color w:val="000000" w:themeColor="text1"/>
          <w:sz w:val="22"/>
          <w:lang w:val="es-ES_tradnl" w:eastAsia="es-ES_tradnl"/>
        </w:rPr>
        <w:t xml:space="preserve"> </w:t>
      </w:r>
      <w:r w:rsidR="00AA204A" w:rsidRPr="00C023FE">
        <w:rPr>
          <w:rFonts w:ascii="Arial" w:eastAsia="Arial" w:hAnsi="Arial" w:cs="Arial"/>
          <w:color w:val="000000" w:themeColor="text1"/>
          <w:sz w:val="22"/>
          <w:lang w:val="es-ES_tradnl" w:eastAsia="es-ES_tradnl"/>
        </w:rPr>
        <w:t>frente a la ubicación de las</w:t>
      </w:r>
      <w:r w:rsidR="00107669" w:rsidRPr="00C023FE">
        <w:rPr>
          <w:rFonts w:ascii="Arial" w:eastAsia="Arial" w:hAnsi="Arial" w:cs="Arial"/>
          <w:color w:val="000000" w:themeColor="text1"/>
          <w:sz w:val="22"/>
          <w:lang w:val="es-ES_tradnl" w:eastAsia="es-ES_tradnl"/>
        </w:rPr>
        <w:t xml:space="preserve"> sucursales de </w:t>
      </w:r>
      <w:r w:rsidR="00AA204A" w:rsidRPr="00C023FE">
        <w:rPr>
          <w:rFonts w:ascii="Arial" w:eastAsia="Arial" w:hAnsi="Arial" w:cs="Arial"/>
          <w:color w:val="000000" w:themeColor="text1"/>
          <w:sz w:val="22"/>
          <w:lang w:val="es-ES_tradnl" w:eastAsia="es-ES_tradnl"/>
        </w:rPr>
        <w:t xml:space="preserve">las </w:t>
      </w:r>
      <w:proofErr w:type="spellStart"/>
      <w:r w:rsidR="00107669" w:rsidRPr="00C023FE">
        <w:rPr>
          <w:rFonts w:ascii="Arial" w:eastAsia="Arial" w:hAnsi="Arial" w:cs="Arial"/>
          <w:color w:val="000000" w:themeColor="text1"/>
          <w:sz w:val="22"/>
          <w:lang w:val="es-ES_tradnl" w:eastAsia="es-ES_tradnl"/>
        </w:rPr>
        <w:t>Mipymes</w:t>
      </w:r>
      <w:proofErr w:type="spellEnd"/>
      <w:r w:rsidR="00107669" w:rsidRPr="00C023FE">
        <w:rPr>
          <w:rFonts w:ascii="Arial" w:eastAsia="Arial" w:hAnsi="Arial" w:cs="Arial"/>
          <w:color w:val="000000" w:themeColor="text1"/>
          <w:sz w:val="22"/>
          <w:lang w:val="es-ES_tradnl" w:eastAsia="es-ES_tradnl"/>
        </w:rPr>
        <w:t xml:space="preserve">. De este modo, la participación de los diferentes procesos de contratación cuando está limitada territorialmente está condicionada al domicilio principal de la </w:t>
      </w:r>
      <w:proofErr w:type="spellStart"/>
      <w:r w:rsidR="00107669" w:rsidRPr="00C023FE">
        <w:rPr>
          <w:rFonts w:ascii="Arial" w:eastAsia="Arial" w:hAnsi="Arial" w:cs="Arial"/>
          <w:color w:val="000000" w:themeColor="text1"/>
          <w:sz w:val="22"/>
          <w:lang w:val="es-ES_tradnl" w:eastAsia="es-ES_tradnl"/>
        </w:rPr>
        <w:t>Mipyme</w:t>
      </w:r>
      <w:proofErr w:type="spellEnd"/>
      <w:r w:rsidR="00107669" w:rsidRPr="00C023FE">
        <w:rPr>
          <w:rFonts w:ascii="Arial" w:eastAsia="Arial" w:hAnsi="Arial" w:cs="Arial"/>
          <w:color w:val="000000" w:themeColor="text1"/>
          <w:sz w:val="22"/>
          <w:lang w:val="es-ES_tradnl" w:eastAsia="es-ES_tradnl"/>
        </w:rPr>
        <w:t xml:space="preserve"> respectiva. </w:t>
      </w:r>
    </w:p>
    <w:p w14:paraId="206DB139" w14:textId="0F24CF19" w:rsidR="00107669" w:rsidRPr="00C023FE" w:rsidRDefault="00107669" w:rsidP="00107669">
      <w:pPr>
        <w:spacing w:before="120" w:after="0"/>
        <w:ind w:firstLine="709"/>
        <w:rPr>
          <w:rFonts w:ascii="Arial" w:eastAsia="Arial" w:hAnsi="Arial" w:cs="Arial"/>
          <w:color w:val="000000" w:themeColor="text1"/>
          <w:sz w:val="22"/>
        </w:rPr>
      </w:pPr>
      <w:r w:rsidRPr="00C023FE">
        <w:rPr>
          <w:rFonts w:ascii="Arial" w:eastAsia="Arial" w:hAnsi="Arial" w:cs="Arial"/>
          <w:color w:val="000000" w:themeColor="text1"/>
          <w:sz w:val="22"/>
        </w:rPr>
        <w:t xml:space="preserve">Finalmente, resta </w:t>
      </w:r>
      <w:proofErr w:type="gramStart"/>
      <w:r w:rsidRPr="00C023FE">
        <w:rPr>
          <w:rFonts w:ascii="Arial" w:eastAsia="Arial" w:hAnsi="Arial" w:cs="Arial"/>
          <w:color w:val="000000" w:themeColor="text1"/>
          <w:sz w:val="22"/>
        </w:rPr>
        <w:t>precisar</w:t>
      </w:r>
      <w:proofErr w:type="gramEnd"/>
      <w:r w:rsidRPr="00C023FE">
        <w:rPr>
          <w:rFonts w:ascii="Arial" w:eastAsia="Arial" w:hAnsi="Arial" w:cs="Arial"/>
          <w:color w:val="000000" w:themeColor="text1"/>
          <w:sz w:val="22"/>
        </w:rPr>
        <w:t xml:space="preserve"> que el domicilio de la </w:t>
      </w:r>
      <w:proofErr w:type="spellStart"/>
      <w:r w:rsidR="005904E5" w:rsidRPr="00C023FE">
        <w:rPr>
          <w:rFonts w:ascii="Arial" w:eastAsia="Arial" w:hAnsi="Arial" w:cs="Arial"/>
          <w:color w:val="000000" w:themeColor="text1"/>
          <w:sz w:val="22"/>
        </w:rPr>
        <w:t>M</w:t>
      </w:r>
      <w:r w:rsidRPr="00C023FE">
        <w:rPr>
          <w:rFonts w:ascii="Arial" w:eastAsia="Arial" w:hAnsi="Arial" w:cs="Arial"/>
          <w:color w:val="000000" w:themeColor="text1"/>
          <w:sz w:val="22"/>
        </w:rPr>
        <w:t>ipymes</w:t>
      </w:r>
      <w:proofErr w:type="spellEnd"/>
      <w:r w:rsidRPr="00C023FE">
        <w:rPr>
          <w:rFonts w:ascii="Arial" w:eastAsia="Arial" w:hAnsi="Arial" w:cs="Arial"/>
          <w:color w:val="000000" w:themeColor="text1"/>
          <w:sz w:val="22"/>
        </w:rPr>
        <w:t xml:space="preserve"> que quiera participar en una convocatoria limitada territorialmente se acredita con los documentos definidos en el artículo 2.2.1.2.4.2.4. del Decreto 1082 de 2015, modificado por el Decreto 1860 de 2021. En consecuencia, el requisito podrá acreditarse con una copia del registro mercantil –persona natural–, del certificado de existencia y representación legal –persona jurídica– o del Registro Único de Proponentes – RUP, en donde conste el domicilio de la </w:t>
      </w:r>
      <w:proofErr w:type="spellStart"/>
      <w:r w:rsidR="005904E5" w:rsidRPr="00C023FE">
        <w:rPr>
          <w:rFonts w:ascii="Arial" w:eastAsia="Arial" w:hAnsi="Arial" w:cs="Arial"/>
          <w:color w:val="000000" w:themeColor="text1"/>
          <w:sz w:val="22"/>
        </w:rPr>
        <w:t>M</w:t>
      </w:r>
      <w:r w:rsidRPr="00C023FE">
        <w:rPr>
          <w:rFonts w:ascii="Arial" w:eastAsia="Arial" w:hAnsi="Arial" w:cs="Arial"/>
          <w:color w:val="000000" w:themeColor="text1"/>
          <w:sz w:val="22"/>
        </w:rPr>
        <w:t>ipyme</w:t>
      </w:r>
      <w:proofErr w:type="spellEnd"/>
      <w:r w:rsidRPr="00C023FE">
        <w:rPr>
          <w:rFonts w:ascii="Arial" w:eastAsia="Arial" w:hAnsi="Arial" w:cs="Arial"/>
          <w:color w:val="000000" w:themeColor="text1"/>
          <w:sz w:val="22"/>
        </w:rPr>
        <w:t xml:space="preserve"> interesada en la limitación territorial de la convocatoria pública para celebrar el contrato, que corresponda con el lugar de ejecución del mismo, ya sea departamento o municipio</w:t>
      </w:r>
      <w:r w:rsidR="00AA204A" w:rsidRPr="00C023FE">
        <w:rPr>
          <w:rFonts w:ascii="Arial" w:eastAsia="Arial" w:hAnsi="Arial" w:cs="Arial"/>
          <w:color w:val="000000" w:themeColor="text1"/>
          <w:sz w:val="22"/>
        </w:rPr>
        <w:t>, dependiendo de las reglas establecidas respecto a la limitación territorial.</w:t>
      </w:r>
      <w:r w:rsidRPr="00C023FE">
        <w:rPr>
          <w:rFonts w:ascii="Arial" w:eastAsia="Arial" w:hAnsi="Arial" w:cs="Arial"/>
          <w:color w:val="000000" w:themeColor="text1"/>
          <w:sz w:val="22"/>
        </w:rPr>
        <w:t xml:space="preserve">  </w:t>
      </w:r>
    </w:p>
    <w:p w14:paraId="0D422646" w14:textId="77777777" w:rsidR="00107669" w:rsidRPr="00C023FE" w:rsidRDefault="00107669" w:rsidP="00666911">
      <w:pPr>
        <w:spacing w:before="120" w:after="0"/>
        <w:ind w:firstLine="709"/>
        <w:rPr>
          <w:rFonts w:ascii="Arial" w:eastAsia="Times New Roman" w:hAnsi="Arial" w:cs="Arial"/>
          <w:bCs/>
          <w:color w:val="000000" w:themeColor="text1"/>
          <w:sz w:val="22"/>
          <w:lang w:val="es-CO" w:eastAsia="es-ES"/>
        </w:rPr>
      </w:pPr>
    </w:p>
    <w:p w14:paraId="2AE0A9F9" w14:textId="5F6664C1" w:rsidR="007C3749" w:rsidRPr="00C023FE" w:rsidRDefault="004421F5" w:rsidP="00FE4F4B">
      <w:pPr>
        <w:tabs>
          <w:tab w:val="left" w:pos="284"/>
          <w:tab w:val="left" w:pos="7938"/>
        </w:tabs>
        <w:spacing w:after="0"/>
        <w:rPr>
          <w:rFonts w:ascii="Arial" w:eastAsia="Calibri" w:hAnsi="Arial" w:cs="Arial"/>
          <w:b/>
          <w:color w:val="000000" w:themeColor="text1"/>
          <w:sz w:val="22"/>
          <w:lang w:val="es-CO"/>
        </w:rPr>
      </w:pPr>
      <w:bookmarkStart w:id="7" w:name="_Hlk57650395"/>
      <w:r w:rsidRPr="00C023FE">
        <w:rPr>
          <w:rFonts w:ascii="Arial" w:eastAsia="Calibri" w:hAnsi="Arial" w:cs="Arial"/>
          <w:b/>
          <w:color w:val="000000" w:themeColor="text1"/>
          <w:sz w:val="22"/>
          <w:lang w:val="es-CO"/>
        </w:rPr>
        <w:t>3. Respuestas</w:t>
      </w:r>
    </w:p>
    <w:p w14:paraId="1F64ABC1" w14:textId="77777777" w:rsidR="002A10A4" w:rsidRPr="00C023FE" w:rsidRDefault="002A10A4" w:rsidP="002A10A4">
      <w:pPr>
        <w:tabs>
          <w:tab w:val="left" w:pos="0"/>
        </w:tabs>
        <w:spacing w:after="0" w:line="240" w:lineRule="auto"/>
        <w:rPr>
          <w:rFonts w:ascii="Arial" w:eastAsia="Calibri" w:hAnsi="Arial" w:cs="Arial"/>
          <w:color w:val="000000" w:themeColor="text1"/>
          <w:sz w:val="21"/>
          <w:szCs w:val="21"/>
          <w:lang w:val="es-ES_tradnl" w:eastAsia="es-ES_tradnl"/>
        </w:rPr>
      </w:pPr>
    </w:p>
    <w:p w14:paraId="3B35A2B2" w14:textId="77777777" w:rsidR="008A773E" w:rsidRPr="00C023FE" w:rsidRDefault="008A773E" w:rsidP="002A10A4">
      <w:pPr>
        <w:spacing w:after="0" w:line="240" w:lineRule="auto"/>
        <w:ind w:left="709" w:right="709"/>
        <w:rPr>
          <w:rFonts w:ascii="Arial" w:eastAsia="Calibri" w:hAnsi="Arial" w:cs="Arial"/>
          <w:color w:val="000000" w:themeColor="text1"/>
          <w:sz w:val="21"/>
          <w:szCs w:val="21"/>
          <w:lang w:val="es-ES_tradnl"/>
        </w:rPr>
      </w:pPr>
      <w:r w:rsidRPr="00C023FE">
        <w:rPr>
          <w:rFonts w:ascii="Arial" w:eastAsia="Calibri" w:hAnsi="Arial" w:cs="Arial"/>
          <w:color w:val="000000" w:themeColor="text1"/>
          <w:sz w:val="21"/>
          <w:szCs w:val="21"/>
          <w:lang w:val="es-ES_tradnl"/>
        </w:rPr>
        <w:t>«</w:t>
      </w:r>
      <w:r w:rsidRPr="00C023FE">
        <w:rPr>
          <w:rFonts w:ascii="Arial" w:eastAsia="Calibri" w:hAnsi="Arial" w:cs="Arial"/>
          <w:color w:val="000000" w:themeColor="text1"/>
          <w:sz w:val="21"/>
          <w:szCs w:val="21"/>
          <w:lang w:val="es-CO"/>
        </w:rPr>
        <w:t xml:space="preserve">[…] solicito aclarar si el domicilio de un establecimiento de comercio es válido para la acreditación de la territorialidad en los términos establecidos en el Artículo 2.2.1.2.4.2.3. del decreto 1860 de 2021.Lo anterior en el caso de que una empresa tenga como domicilio principal por ejemplo la ciudad de </w:t>
      </w:r>
      <w:proofErr w:type="gramStart"/>
      <w:r w:rsidRPr="00C023FE">
        <w:rPr>
          <w:rFonts w:ascii="Arial" w:eastAsia="Calibri" w:hAnsi="Arial" w:cs="Arial"/>
          <w:color w:val="000000" w:themeColor="text1"/>
          <w:sz w:val="21"/>
          <w:szCs w:val="21"/>
          <w:lang w:val="es-CO"/>
        </w:rPr>
        <w:t>Bogotá</w:t>
      </w:r>
      <w:proofErr w:type="gramEnd"/>
      <w:r w:rsidRPr="00C023FE">
        <w:rPr>
          <w:rFonts w:ascii="Arial" w:eastAsia="Calibri" w:hAnsi="Arial" w:cs="Arial"/>
          <w:color w:val="000000" w:themeColor="text1"/>
          <w:sz w:val="21"/>
          <w:szCs w:val="21"/>
          <w:lang w:val="es-CO"/>
        </w:rPr>
        <w:t xml:space="preserve"> pero tenga establecimiento de comercio en la ciudad de Medellín y desee participar en un proceso de selección de mínima cuantía en la ciudad de Medellín</w:t>
      </w:r>
      <w:r w:rsidRPr="00C023FE">
        <w:rPr>
          <w:rFonts w:ascii="Arial" w:eastAsia="Calibri" w:hAnsi="Arial" w:cs="Arial"/>
          <w:color w:val="000000" w:themeColor="text1"/>
          <w:sz w:val="21"/>
          <w:szCs w:val="21"/>
          <w:lang w:val="es-ES_tradnl"/>
        </w:rPr>
        <w:t>».</w:t>
      </w:r>
    </w:p>
    <w:p w14:paraId="0C69A85A" w14:textId="77777777" w:rsidR="008A773E" w:rsidRPr="00C023FE" w:rsidRDefault="008A773E" w:rsidP="002A10A4">
      <w:pPr>
        <w:spacing w:after="0" w:line="240" w:lineRule="auto"/>
        <w:ind w:left="709" w:right="709"/>
        <w:rPr>
          <w:rFonts w:ascii="Arial" w:eastAsia="Calibri" w:hAnsi="Arial" w:cs="Arial"/>
          <w:color w:val="000000" w:themeColor="text1"/>
          <w:sz w:val="22"/>
          <w:lang w:val="es-ES_tradnl"/>
        </w:rPr>
      </w:pPr>
    </w:p>
    <w:p w14:paraId="1FBAAAD8" w14:textId="70013F69" w:rsidR="0024769F" w:rsidRPr="00C023FE" w:rsidRDefault="00AA204A" w:rsidP="0024769F">
      <w:pPr>
        <w:spacing w:before="120" w:after="0"/>
        <w:ind w:firstLine="709"/>
        <w:rPr>
          <w:rFonts w:ascii="Arial" w:eastAsia="Arial" w:hAnsi="Arial" w:cs="Arial"/>
          <w:color w:val="000000" w:themeColor="text1"/>
          <w:sz w:val="22"/>
        </w:rPr>
      </w:pPr>
      <w:r w:rsidRPr="00C023FE">
        <w:rPr>
          <w:rFonts w:ascii="Arial" w:eastAsia="Times New Roman" w:hAnsi="Arial" w:cs="Arial"/>
          <w:color w:val="000000" w:themeColor="text1"/>
          <w:sz w:val="22"/>
          <w:lang w:val="es-CO" w:eastAsia="es-ES_tradnl"/>
        </w:rPr>
        <w:t>De acuerdo con las consideraciones,</w:t>
      </w:r>
      <w:r w:rsidR="0024769F" w:rsidRPr="00C023FE">
        <w:rPr>
          <w:rFonts w:ascii="Arial" w:eastAsia="Times New Roman" w:hAnsi="Arial" w:cs="Arial"/>
          <w:color w:val="000000" w:themeColor="text1"/>
          <w:sz w:val="22"/>
          <w:lang w:val="es-CO" w:eastAsia="es-ES_tradnl"/>
        </w:rPr>
        <w:t xml:space="preserve"> </w:t>
      </w:r>
      <w:r w:rsidR="0024769F" w:rsidRPr="00C023FE">
        <w:rPr>
          <w:rFonts w:ascii="Arial" w:eastAsia="Arial" w:hAnsi="Arial" w:cs="Arial"/>
          <w:color w:val="000000" w:themeColor="text1"/>
          <w:sz w:val="22"/>
        </w:rPr>
        <w:t>el artículo 2.2.1.2.4.2.3. del Decreto 1082 de 2015, modificado por el artículo 5 del Decreto 1860 de 2021</w:t>
      </w:r>
      <w:r w:rsidRPr="00C023FE">
        <w:rPr>
          <w:rFonts w:ascii="Arial" w:eastAsia="Arial" w:hAnsi="Arial" w:cs="Arial"/>
          <w:color w:val="000000" w:themeColor="text1"/>
          <w:sz w:val="22"/>
        </w:rPr>
        <w:t>,</w:t>
      </w:r>
      <w:r w:rsidR="0024769F" w:rsidRPr="00C023FE">
        <w:rPr>
          <w:rFonts w:ascii="Arial" w:eastAsia="Arial" w:hAnsi="Arial" w:cs="Arial"/>
          <w:color w:val="000000" w:themeColor="text1"/>
          <w:sz w:val="22"/>
        </w:rPr>
        <w:t xml:space="preserve"> se refiere a las «</w:t>
      </w:r>
      <w:proofErr w:type="spellStart"/>
      <w:r w:rsidR="0024769F" w:rsidRPr="00C023FE">
        <w:rPr>
          <w:rFonts w:ascii="Arial" w:eastAsia="Arial" w:hAnsi="Arial" w:cs="Arial"/>
          <w:color w:val="000000" w:themeColor="text1"/>
          <w:sz w:val="22"/>
        </w:rPr>
        <w:t>mipyme</w:t>
      </w:r>
      <w:proofErr w:type="spellEnd"/>
      <w:r w:rsidR="0024769F" w:rsidRPr="00C023FE">
        <w:rPr>
          <w:rFonts w:ascii="Arial" w:eastAsia="Arial" w:hAnsi="Arial" w:cs="Arial"/>
          <w:color w:val="000000" w:themeColor="text1"/>
          <w:sz w:val="22"/>
        </w:rPr>
        <w:t xml:space="preserve"> colombianas que tengan domicilio en los departamentos o municipios en donde se va a ejecutar el contrato». Esta precisión es importante, pues el incentivo previsto en la norma </w:t>
      </w:r>
      <w:r w:rsidR="0024769F" w:rsidRPr="00C023FE">
        <w:rPr>
          <w:rFonts w:ascii="Arial" w:eastAsia="Arial" w:hAnsi="Arial" w:cs="Arial"/>
          <w:color w:val="000000" w:themeColor="text1"/>
          <w:sz w:val="22"/>
        </w:rPr>
        <w:lastRenderedPageBreak/>
        <w:t>únicamente aplica en el lugar de ejecución del contrat</w:t>
      </w:r>
      <w:r w:rsidR="005A2469" w:rsidRPr="00C023FE">
        <w:rPr>
          <w:rFonts w:ascii="Arial" w:eastAsia="Arial" w:hAnsi="Arial" w:cs="Arial"/>
          <w:color w:val="000000" w:themeColor="text1"/>
          <w:sz w:val="22"/>
        </w:rPr>
        <w:t>o</w:t>
      </w:r>
      <w:r w:rsidR="0024769F" w:rsidRPr="00C023FE">
        <w:rPr>
          <w:rFonts w:ascii="Arial" w:eastAsia="Arial" w:hAnsi="Arial" w:cs="Arial"/>
          <w:color w:val="000000" w:themeColor="text1"/>
          <w:sz w:val="22"/>
        </w:rPr>
        <w:t xml:space="preserve"> en el que la </w:t>
      </w:r>
      <w:proofErr w:type="spellStart"/>
      <w:r w:rsidR="0024769F" w:rsidRPr="00C023FE">
        <w:rPr>
          <w:rFonts w:ascii="Arial" w:eastAsia="Arial" w:hAnsi="Arial" w:cs="Arial"/>
          <w:color w:val="000000" w:themeColor="text1"/>
          <w:sz w:val="22"/>
        </w:rPr>
        <w:t>Mipyme</w:t>
      </w:r>
      <w:proofErr w:type="spellEnd"/>
      <w:r w:rsidR="0024769F" w:rsidRPr="00C023FE">
        <w:rPr>
          <w:rFonts w:ascii="Arial" w:eastAsia="Arial" w:hAnsi="Arial" w:cs="Arial"/>
          <w:color w:val="000000" w:themeColor="text1"/>
          <w:sz w:val="22"/>
        </w:rPr>
        <w:t xml:space="preserve"> tiene su «domicilio», y no en donde tiene sucursales</w:t>
      </w:r>
      <w:r w:rsidR="005A2469" w:rsidRPr="00C023FE">
        <w:rPr>
          <w:rFonts w:ascii="Arial" w:eastAsia="Arial" w:hAnsi="Arial" w:cs="Arial"/>
          <w:color w:val="000000" w:themeColor="text1"/>
          <w:sz w:val="22"/>
        </w:rPr>
        <w:t xml:space="preserve"> o establecimientos de comercio.</w:t>
      </w:r>
      <w:r w:rsidR="0024769F" w:rsidRPr="00C023FE">
        <w:rPr>
          <w:rFonts w:ascii="Arial" w:eastAsia="Arial" w:hAnsi="Arial" w:cs="Arial"/>
          <w:color w:val="000000" w:themeColor="text1"/>
          <w:sz w:val="22"/>
        </w:rPr>
        <w:t xml:space="preserve"> </w:t>
      </w:r>
    </w:p>
    <w:p w14:paraId="5738F49D" w14:textId="56E64149" w:rsidR="0024769F" w:rsidRPr="00C023FE" w:rsidRDefault="0024769F" w:rsidP="0024769F">
      <w:pPr>
        <w:spacing w:before="120" w:after="0"/>
        <w:ind w:firstLine="709"/>
        <w:rPr>
          <w:rFonts w:ascii="Arial" w:hAnsi="Arial" w:cs="Arial"/>
          <w:color w:val="000000" w:themeColor="text1"/>
          <w:sz w:val="22"/>
        </w:rPr>
      </w:pPr>
      <w:r w:rsidRPr="00C023FE">
        <w:rPr>
          <w:rFonts w:ascii="Arial" w:eastAsia="Times New Roman" w:hAnsi="Arial" w:cs="Arial"/>
          <w:bCs/>
          <w:color w:val="000000" w:themeColor="text1"/>
          <w:sz w:val="22"/>
          <w:lang w:val="es-CO" w:eastAsia="es-ES"/>
        </w:rPr>
        <w:t xml:space="preserve">Para explicar las implicaciones del artículo, </w:t>
      </w:r>
      <w:r w:rsidRPr="00C023FE">
        <w:rPr>
          <w:rFonts w:ascii="Arial" w:hAnsi="Arial" w:cs="Arial"/>
          <w:color w:val="000000" w:themeColor="text1"/>
          <w:sz w:val="22"/>
        </w:rPr>
        <w:t xml:space="preserve">en primera instancia, debe analizarse el alcance del término </w:t>
      </w:r>
      <w:r w:rsidR="005A2469" w:rsidRPr="00C023FE">
        <w:rPr>
          <w:rFonts w:ascii="Arial" w:hAnsi="Arial" w:cs="Arial"/>
          <w:color w:val="000000" w:themeColor="text1"/>
          <w:sz w:val="22"/>
        </w:rPr>
        <w:t>«</w:t>
      </w:r>
      <w:r w:rsidRPr="00C023FE">
        <w:rPr>
          <w:rFonts w:ascii="Arial" w:hAnsi="Arial" w:cs="Arial"/>
          <w:color w:val="000000" w:themeColor="text1"/>
          <w:sz w:val="22"/>
        </w:rPr>
        <w:t>domicilio</w:t>
      </w:r>
      <w:r w:rsidR="005A2469" w:rsidRPr="00C023FE">
        <w:rPr>
          <w:rFonts w:ascii="Arial" w:hAnsi="Arial" w:cs="Arial"/>
          <w:color w:val="000000" w:themeColor="text1"/>
          <w:sz w:val="22"/>
        </w:rPr>
        <w:t>»</w:t>
      </w:r>
      <w:r w:rsidRPr="00C023FE">
        <w:rPr>
          <w:rFonts w:ascii="Arial" w:hAnsi="Arial" w:cs="Arial"/>
          <w:color w:val="000000" w:themeColor="text1"/>
          <w:sz w:val="22"/>
        </w:rPr>
        <w:t xml:space="preserve"> que</w:t>
      </w:r>
      <w:r w:rsidR="005A2469" w:rsidRPr="00C023FE">
        <w:rPr>
          <w:rFonts w:ascii="Arial" w:hAnsi="Arial" w:cs="Arial"/>
          <w:color w:val="000000" w:themeColor="text1"/>
          <w:sz w:val="22"/>
        </w:rPr>
        <w:t>,</w:t>
      </w:r>
      <w:r w:rsidRPr="00C023FE">
        <w:rPr>
          <w:rFonts w:ascii="Arial" w:hAnsi="Arial" w:cs="Arial"/>
          <w:color w:val="000000" w:themeColor="text1"/>
          <w:sz w:val="22"/>
        </w:rPr>
        <w:t xml:space="preserve"> para el caso de las sociedades, se constituye en uno </w:t>
      </w:r>
      <w:r w:rsidR="005A2469" w:rsidRPr="00C023FE">
        <w:rPr>
          <w:rFonts w:ascii="Arial" w:hAnsi="Arial" w:cs="Arial"/>
          <w:color w:val="000000" w:themeColor="text1"/>
          <w:sz w:val="22"/>
        </w:rPr>
        <w:t xml:space="preserve">de los </w:t>
      </w:r>
      <w:r w:rsidRPr="00C023FE">
        <w:rPr>
          <w:rFonts w:ascii="Arial" w:hAnsi="Arial" w:cs="Arial"/>
          <w:color w:val="000000" w:themeColor="text1"/>
          <w:sz w:val="22"/>
        </w:rPr>
        <w:t>atributos de su personalidad, que, en derecho, son aquellas propiedades o características de identidad, propias de las personas, sean estas naturales o jurídicas, como titulares de derechos</w:t>
      </w:r>
      <w:r w:rsidRPr="00C023FE">
        <w:rPr>
          <w:rStyle w:val="Refdenotaalpie"/>
          <w:rFonts w:ascii="Arial" w:hAnsi="Arial" w:cs="Arial"/>
          <w:color w:val="000000" w:themeColor="text1"/>
          <w:sz w:val="22"/>
        </w:rPr>
        <w:footnoteReference w:id="13"/>
      </w:r>
      <w:r w:rsidRPr="00C023FE">
        <w:rPr>
          <w:rFonts w:ascii="Arial" w:hAnsi="Arial" w:cs="Arial"/>
          <w:color w:val="000000" w:themeColor="text1"/>
          <w:sz w:val="22"/>
        </w:rPr>
        <w:t xml:space="preserve">. </w:t>
      </w:r>
      <w:r w:rsidR="00AD0C7B" w:rsidRPr="00C023FE">
        <w:rPr>
          <w:rFonts w:ascii="Arial" w:hAnsi="Arial" w:cs="Arial"/>
          <w:color w:val="000000" w:themeColor="text1"/>
          <w:sz w:val="22"/>
        </w:rPr>
        <w:t>Por ello</w:t>
      </w:r>
      <w:r w:rsidRPr="00C023FE">
        <w:rPr>
          <w:rFonts w:ascii="Arial" w:hAnsi="Arial" w:cs="Arial"/>
          <w:color w:val="000000" w:themeColor="text1"/>
          <w:sz w:val="22"/>
        </w:rPr>
        <w:t xml:space="preserve">, este término es definido por el Código Civil en </w:t>
      </w:r>
      <w:r w:rsidR="005A2469" w:rsidRPr="00C023FE">
        <w:rPr>
          <w:rFonts w:ascii="Arial" w:hAnsi="Arial" w:cs="Arial"/>
          <w:color w:val="000000" w:themeColor="text1"/>
          <w:sz w:val="22"/>
        </w:rPr>
        <w:t xml:space="preserve">el </w:t>
      </w:r>
      <w:r w:rsidRPr="00C023FE">
        <w:rPr>
          <w:rFonts w:ascii="Arial" w:hAnsi="Arial" w:cs="Arial"/>
          <w:color w:val="000000" w:themeColor="text1"/>
          <w:sz w:val="22"/>
        </w:rPr>
        <w:t>artículo 76</w:t>
      </w:r>
      <w:r w:rsidRPr="00C023FE">
        <w:rPr>
          <w:rStyle w:val="Refdenotaalpie"/>
          <w:rFonts w:ascii="Arial" w:hAnsi="Arial" w:cs="Arial"/>
          <w:color w:val="000000" w:themeColor="text1"/>
          <w:sz w:val="22"/>
        </w:rPr>
        <w:footnoteReference w:id="14"/>
      </w:r>
      <w:r w:rsidRPr="00C023FE">
        <w:rPr>
          <w:rFonts w:ascii="Arial" w:hAnsi="Arial" w:cs="Arial"/>
          <w:color w:val="000000" w:themeColor="text1"/>
          <w:sz w:val="22"/>
        </w:rPr>
        <w:t xml:space="preserve">, el cual lo concibe como la residencia acompañada real o presuntivamente del ánimo de permanecer en ella, lo cual, para el caso de las sociedades se interpreta como el sitio donde éstas tienen el asiento principal de sus negocios. </w:t>
      </w:r>
    </w:p>
    <w:p w14:paraId="3F0D0433" w14:textId="5A63730C" w:rsidR="0024769F" w:rsidRPr="00C023FE" w:rsidRDefault="0024769F" w:rsidP="0024769F">
      <w:pPr>
        <w:spacing w:before="120" w:after="0"/>
        <w:ind w:firstLine="709"/>
        <w:rPr>
          <w:rFonts w:ascii="Arial" w:hAnsi="Arial" w:cs="Arial"/>
          <w:color w:val="000000" w:themeColor="text1"/>
          <w:sz w:val="22"/>
        </w:rPr>
      </w:pPr>
      <w:r w:rsidRPr="00C023FE">
        <w:rPr>
          <w:rFonts w:ascii="Arial" w:hAnsi="Arial" w:cs="Arial"/>
          <w:color w:val="000000" w:themeColor="text1"/>
          <w:sz w:val="22"/>
        </w:rPr>
        <w:t xml:space="preserve">El </w:t>
      </w:r>
      <w:r w:rsidRPr="00C023FE">
        <w:rPr>
          <w:rFonts w:ascii="Arial" w:eastAsia="Arial" w:hAnsi="Arial" w:cs="Arial"/>
          <w:color w:val="000000" w:themeColor="text1"/>
          <w:sz w:val="22"/>
        </w:rPr>
        <w:t xml:space="preserve">artículo 263 del Código de Comercio define las sucursales como «los establecimientos de comercio abiertos por una sociedad, dentro o fuera de su domicilio, para el desarrollo de los negocios sociales o parte de ellos, administrados por mandatarios con facultades para representar la sociedad». Nótese que la norma se refiere a los conceptos de «sucursal» y «domicilio» de forma diferente, de lo que se deriva que las sociedades comerciales tienen un domicilio y pueden tener una o varias sucursales que son establecimientos de comercio, esto es, bienes mercantiles pertenecientes a la sociedad. En ese mismo sentido, los artículos 110 y 111 </w:t>
      </w:r>
      <w:proofErr w:type="spellStart"/>
      <w:r w:rsidRPr="00C023FE">
        <w:rPr>
          <w:rFonts w:ascii="Arial" w:eastAsia="Arial" w:hAnsi="Arial" w:cs="Arial"/>
          <w:i/>
          <w:color w:val="000000" w:themeColor="text1"/>
          <w:sz w:val="22"/>
        </w:rPr>
        <w:t>ibídem</w:t>
      </w:r>
      <w:proofErr w:type="spellEnd"/>
      <w:r w:rsidRPr="00C023FE">
        <w:rPr>
          <w:rFonts w:ascii="Arial" w:eastAsia="Arial" w:hAnsi="Arial" w:cs="Arial"/>
          <w:color w:val="000000" w:themeColor="text1"/>
          <w:sz w:val="22"/>
        </w:rPr>
        <w:t xml:space="preserve"> se refieren a tales conceptos de forma independiente. El uno para referirse a los requisitos de constitución de una sociedad comercial y el otro para determinar el lugar donde se debe inscribir la escritura pública de constitución de la sociedad comercial. </w:t>
      </w:r>
      <w:r w:rsidR="005A2469" w:rsidRPr="00C023FE">
        <w:rPr>
          <w:rFonts w:ascii="Arial" w:eastAsia="Arial" w:hAnsi="Arial" w:cs="Arial"/>
          <w:color w:val="000000" w:themeColor="text1"/>
          <w:sz w:val="22"/>
        </w:rPr>
        <w:t>De esta manera</w:t>
      </w:r>
      <w:r w:rsidRPr="00C023FE">
        <w:rPr>
          <w:rFonts w:ascii="Arial" w:eastAsia="Arial" w:hAnsi="Arial" w:cs="Arial"/>
          <w:color w:val="000000" w:themeColor="text1"/>
          <w:sz w:val="22"/>
        </w:rPr>
        <w:t>, si el legislador distinguió entre uno y otro</w:t>
      </w:r>
      <w:r w:rsidR="00B804B5" w:rsidRPr="00C023FE">
        <w:rPr>
          <w:rFonts w:ascii="Arial" w:eastAsia="Arial" w:hAnsi="Arial" w:cs="Arial"/>
          <w:color w:val="000000" w:themeColor="text1"/>
          <w:sz w:val="22"/>
        </w:rPr>
        <w:t>,</w:t>
      </w:r>
      <w:r w:rsidRPr="00C023FE">
        <w:rPr>
          <w:rFonts w:ascii="Arial" w:eastAsia="Arial" w:hAnsi="Arial" w:cs="Arial"/>
          <w:color w:val="000000" w:themeColor="text1"/>
          <w:sz w:val="22"/>
        </w:rPr>
        <w:t xml:space="preserve"> y si el reglamento se refiere al «domicilio», se entiende que no es procedente extender el beneficio contenido en el artículo 2.2.1.2.4.2.3. </w:t>
      </w:r>
      <w:proofErr w:type="spellStart"/>
      <w:r w:rsidRPr="00C023FE">
        <w:rPr>
          <w:rFonts w:ascii="Arial" w:eastAsia="Arial" w:hAnsi="Arial" w:cs="Arial"/>
          <w:i/>
          <w:color w:val="000000" w:themeColor="text1"/>
          <w:sz w:val="22"/>
        </w:rPr>
        <w:t>ibídem</w:t>
      </w:r>
      <w:proofErr w:type="spellEnd"/>
      <w:r w:rsidRPr="00C023FE">
        <w:rPr>
          <w:rFonts w:ascii="Arial" w:eastAsia="Arial" w:hAnsi="Arial" w:cs="Arial"/>
          <w:i/>
          <w:color w:val="000000" w:themeColor="text1"/>
          <w:sz w:val="22"/>
        </w:rPr>
        <w:t xml:space="preserve"> </w:t>
      </w:r>
      <w:r w:rsidRPr="00C023FE">
        <w:rPr>
          <w:rFonts w:ascii="Arial" w:eastAsia="Arial" w:hAnsi="Arial" w:cs="Arial"/>
          <w:color w:val="000000" w:themeColor="text1"/>
          <w:sz w:val="22"/>
        </w:rPr>
        <w:t>a las entidades que tienen «sucursales» en el municipio o departamento en donde se va a ejecutar el contrato estatal.</w:t>
      </w:r>
    </w:p>
    <w:p w14:paraId="7166F835" w14:textId="731F3F8F" w:rsidR="0024769F" w:rsidRPr="00C023FE" w:rsidRDefault="0024769F" w:rsidP="0024769F">
      <w:pPr>
        <w:spacing w:before="120" w:after="0"/>
        <w:ind w:firstLine="709"/>
        <w:rPr>
          <w:rFonts w:ascii="Arial" w:eastAsia="Arial" w:hAnsi="Arial" w:cs="Arial"/>
          <w:color w:val="000000" w:themeColor="text1"/>
          <w:sz w:val="22"/>
        </w:rPr>
      </w:pPr>
      <w:r w:rsidRPr="00C023FE">
        <w:rPr>
          <w:rFonts w:ascii="Arial" w:eastAsia="Arial" w:hAnsi="Arial" w:cs="Arial"/>
          <w:color w:val="000000" w:themeColor="text1"/>
          <w:sz w:val="22"/>
        </w:rPr>
        <w:t xml:space="preserve">Sin perjuicio de lo anterior, no puede perderse de vista que la decisión de limitar «a </w:t>
      </w:r>
      <w:proofErr w:type="spellStart"/>
      <w:r w:rsidRPr="00C023FE">
        <w:rPr>
          <w:rFonts w:ascii="Arial" w:eastAsia="Arial" w:hAnsi="Arial" w:cs="Arial"/>
          <w:color w:val="000000" w:themeColor="text1"/>
          <w:sz w:val="22"/>
        </w:rPr>
        <w:t>Mipyme</w:t>
      </w:r>
      <w:proofErr w:type="spellEnd"/>
      <w:r w:rsidRPr="00C023FE">
        <w:rPr>
          <w:rFonts w:ascii="Arial" w:eastAsia="Arial" w:hAnsi="Arial" w:cs="Arial"/>
          <w:color w:val="000000" w:themeColor="text1"/>
          <w:sz w:val="22"/>
        </w:rPr>
        <w:t xml:space="preserve"> colombianas que tengan domicilio en los departamentos o municipios en donde se va a ejecutar el contrato», aunque es facultativa de la entidad, está supeditada a que se verifiquen los requisitos establecidos en los numerales 1 y 2 del artículo 2.2.1.2.4.2.2. del Decreto 1082 de 2015, modificado por el Decreto 1860 de 2021. En ese sentido, si la entidad no recibió las solicitudes para limitar la convocatoria a </w:t>
      </w:r>
      <w:proofErr w:type="spellStart"/>
      <w:r w:rsidRPr="00C023FE">
        <w:rPr>
          <w:rFonts w:ascii="Arial" w:eastAsia="Arial" w:hAnsi="Arial" w:cs="Arial"/>
          <w:color w:val="000000" w:themeColor="text1"/>
          <w:sz w:val="22"/>
        </w:rPr>
        <w:t>Mipymes</w:t>
      </w:r>
      <w:proofErr w:type="spellEnd"/>
      <w:r w:rsidRPr="00C023FE">
        <w:rPr>
          <w:rFonts w:ascii="Arial" w:eastAsia="Arial" w:hAnsi="Arial" w:cs="Arial"/>
          <w:color w:val="000000" w:themeColor="text1"/>
          <w:sz w:val="22"/>
        </w:rPr>
        <w:t xml:space="preserve">, no puede </w:t>
      </w:r>
      <w:proofErr w:type="gramStart"/>
      <w:r w:rsidRPr="00C023FE">
        <w:rPr>
          <w:rFonts w:ascii="Arial" w:eastAsia="Arial" w:hAnsi="Arial" w:cs="Arial"/>
          <w:i/>
          <w:color w:val="000000" w:themeColor="text1"/>
          <w:sz w:val="22"/>
        </w:rPr>
        <w:t>motu propio</w:t>
      </w:r>
      <w:proofErr w:type="gramEnd"/>
      <w:r w:rsidRPr="00C023FE">
        <w:rPr>
          <w:rFonts w:ascii="Arial" w:eastAsia="Arial" w:hAnsi="Arial" w:cs="Arial"/>
          <w:i/>
          <w:color w:val="000000" w:themeColor="text1"/>
          <w:sz w:val="22"/>
        </w:rPr>
        <w:t xml:space="preserve"> </w:t>
      </w:r>
      <w:r w:rsidRPr="00C023FE">
        <w:rPr>
          <w:rFonts w:ascii="Arial" w:eastAsia="Arial" w:hAnsi="Arial" w:cs="Arial"/>
          <w:color w:val="000000" w:themeColor="text1"/>
          <w:sz w:val="22"/>
        </w:rPr>
        <w:t xml:space="preserve">proceder con la «limitación territorial» de que trata el artículo 2.2.1.2.4.2.3. del Decreto 1082 de 2015. Esto debido a que el ejercicio de esta facultad solo puede darse ante la «limitación a </w:t>
      </w:r>
      <w:proofErr w:type="spellStart"/>
      <w:r w:rsidRPr="00C023FE">
        <w:rPr>
          <w:rFonts w:ascii="Arial" w:eastAsia="Arial" w:hAnsi="Arial" w:cs="Arial"/>
          <w:color w:val="000000" w:themeColor="text1"/>
          <w:sz w:val="22"/>
        </w:rPr>
        <w:t>Mipymes</w:t>
      </w:r>
      <w:proofErr w:type="spellEnd"/>
      <w:r w:rsidRPr="00C023FE">
        <w:rPr>
          <w:rFonts w:ascii="Arial" w:eastAsia="Arial" w:hAnsi="Arial" w:cs="Arial"/>
          <w:color w:val="000000" w:themeColor="text1"/>
          <w:sz w:val="22"/>
        </w:rPr>
        <w:t xml:space="preserve"> colombianas», lo cual supone verificar los supuestos legales establecidos en los mencionados numerales.</w:t>
      </w:r>
    </w:p>
    <w:p w14:paraId="164D07BC" w14:textId="4DBC270D" w:rsidR="0024769F" w:rsidRPr="002A58B7" w:rsidRDefault="00AD0C7B" w:rsidP="0024769F">
      <w:pPr>
        <w:spacing w:before="120" w:after="0"/>
        <w:ind w:firstLine="709"/>
        <w:rPr>
          <w:rFonts w:ascii="Arial" w:eastAsia="Arial" w:hAnsi="Arial" w:cs="Arial"/>
          <w:color w:val="000000" w:themeColor="text1"/>
          <w:sz w:val="22"/>
          <w:lang w:val="es-ES_tradnl" w:eastAsia="es-ES_tradnl"/>
        </w:rPr>
      </w:pPr>
      <w:r w:rsidRPr="00C023FE">
        <w:rPr>
          <w:rFonts w:ascii="Arial" w:hAnsi="Arial" w:cs="Arial"/>
          <w:color w:val="000000" w:themeColor="text1"/>
          <w:sz w:val="22"/>
        </w:rPr>
        <w:lastRenderedPageBreak/>
        <w:t>Por tanto, a</w:t>
      </w:r>
      <w:r w:rsidR="0024769F" w:rsidRPr="00C023FE">
        <w:rPr>
          <w:rFonts w:ascii="Arial" w:hAnsi="Arial" w:cs="Arial"/>
          <w:color w:val="000000" w:themeColor="text1"/>
          <w:sz w:val="22"/>
        </w:rPr>
        <w:t xml:space="preserve"> partir de esta conceptualización, la limitación territorial regulada en </w:t>
      </w:r>
      <w:r w:rsidR="0024769F" w:rsidRPr="00C023FE">
        <w:rPr>
          <w:rFonts w:ascii="Arial" w:eastAsia="Arial" w:hAnsi="Arial" w:cs="Arial"/>
          <w:color w:val="000000" w:themeColor="text1"/>
          <w:sz w:val="22"/>
          <w:lang w:val="es-ES_tradnl" w:eastAsia="es-ES_tradnl"/>
        </w:rPr>
        <w:t xml:space="preserve">el artículo 2.2.1.2.4.2.3 del Decreto 1082 de 2015 será aplicada para aquellas </w:t>
      </w:r>
      <w:proofErr w:type="spellStart"/>
      <w:r w:rsidR="0024769F" w:rsidRPr="00C023FE">
        <w:rPr>
          <w:rFonts w:ascii="Arial" w:eastAsia="Arial" w:hAnsi="Arial" w:cs="Arial"/>
          <w:color w:val="000000" w:themeColor="text1"/>
          <w:sz w:val="22"/>
          <w:lang w:val="es-ES_tradnl" w:eastAsia="es-ES_tradnl"/>
        </w:rPr>
        <w:t>Mipymes</w:t>
      </w:r>
      <w:proofErr w:type="spellEnd"/>
      <w:r w:rsidR="0024769F" w:rsidRPr="00C023FE">
        <w:rPr>
          <w:rFonts w:ascii="Arial" w:eastAsia="Arial" w:hAnsi="Arial" w:cs="Arial"/>
          <w:color w:val="000000" w:themeColor="text1"/>
          <w:sz w:val="22"/>
          <w:lang w:val="es-ES_tradnl" w:eastAsia="es-ES_tradnl"/>
        </w:rPr>
        <w:t xml:space="preserve"> que tengan su domicilio principal en el municipio o departamento respectivo. Por tanto, este artículo no aplica</w:t>
      </w:r>
      <w:r w:rsidR="00E951E2" w:rsidRPr="00C023FE">
        <w:rPr>
          <w:rFonts w:ascii="Arial" w:eastAsia="Arial" w:hAnsi="Arial" w:cs="Arial"/>
          <w:color w:val="000000" w:themeColor="text1"/>
          <w:sz w:val="22"/>
          <w:lang w:val="es-ES_tradnl" w:eastAsia="es-ES_tradnl"/>
        </w:rPr>
        <w:t>ría</w:t>
      </w:r>
      <w:r w:rsidR="0024769F" w:rsidRPr="00C023FE">
        <w:rPr>
          <w:rFonts w:ascii="Arial" w:eastAsia="Arial" w:hAnsi="Arial" w:cs="Arial"/>
          <w:color w:val="000000" w:themeColor="text1"/>
          <w:sz w:val="22"/>
          <w:lang w:val="es-ES_tradnl" w:eastAsia="es-ES_tradnl"/>
        </w:rPr>
        <w:t xml:space="preserve"> </w:t>
      </w:r>
      <w:r w:rsidR="00E951E2" w:rsidRPr="00C023FE">
        <w:rPr>
          <w:rFonts w:ascii="Arial" w:eastAsia="Arial" w:hAnsi="Arial" w:cs="Arial"/>
          <w:color w:val="000000" w:themeColor="text1"/>
          <w:sz w:val="22"/>
          <w:lang w:val="es-ES_tradnl" w:eastAsia="es-ES_tradnl"/>
        </w:rPr>
        <w:t>frente a la ubicación de las</w:t>
      </w:r>
      <w:r w:rsidR="0024769F" w:rsidRPr="00C023FE">
        <w:rPr>
          <w:rFonts w:ascii="Arial" w:eastAsia="Arial" w:hAnsi="Arial" w:cs="Arial"/>
          <w:color w:val="000000" w:themeColor="text1"/>
          <w:sz w:val="22"/>
          <w:lang w:val="es-ES_tradnl" w:eastAsia="es-ES_tradnl"/>
        </w:rPr>
        <w:t xml:space="preserve"> sucursales de </w:t>
      </w:r>
      <w:r w:rsidR="00E951E2" w:rsidRPr="00C023FE">
        <w:rPr>
          <w:rFonts w:ascii="Arial" w:eastAsia="Arial" w:hAnsi="Arial" w:cs="Arial"/>
          <w:color w:val="000000" w:themeColor="text1"/>
          <w:sz w:val="22"/>
          <w:lang w:val="es-ES_tradnl" w:eastAsia="es-ES_tradnl"/>
        </w:rPr>
        <w:t xml:space="preserve">las </w:t>
      </w:r>
      <w:proofErr w:type="spellStart"/>
      <w:r w:rsidR="0024769F" w:rsidRPr="00C023FE">
        <w:rPr>
          <w:rFonts w:ascii="Arial" w:eastAsia="Arial" w:hAnsi="Arial" w:cs="Arial"/>
          <w:color w:val="000000" w:themeColor="text1"/>
          <w:sz w:val="22"/>
          <w:lang w:val="es-ES_tradnl" w:eastAsia="es-ES_tradnl"/>
        </w:rPr>
        <w:t>Mipymes</w:t>
      </w:r>
      <w:proofErr w:type="spellEnd"/>
      <w:r w:rsidR="0024769F" w:rsidRPr="00C023FE">
        <w:rPr>
          <w:rFonts w:ascii="Arial" w:eastAsia="Arial" w:hAnsi="Arial" w:cs="Arial"/>
          <w:color w:val="000000" w:themeColor="text1"/>
          <w:sz w:val="22"/>
          <w:lang w:val="es-ES_tradnl" w:eastAsia="es-ES_tradnl"/>
        </w:rPr>
        <w:t xml:space="preserve">. De este modo, la participación de los diferentes procesos de contratación cuando está limitada territorialmente está condicionada al domicilio principal de la </w:t>
      </w:r>
      <w:proofErr w:type="spellStart"/>
      <w:r w:rsidR="0024769F" w:rsidRPr="00C023FE">
        <w:rPr>
          <w:rFonts w:ascii="Arial" w:eastAsia="Arial" w:hAnsi="Arial" w:cs="Arial"/>
          <w:color w:val="000000" w:themeColor="text1"/>
          <w:sz w:val="22"/>
          <w:lang w:val="es-ES_tradnl" w:eastAsia="es-ES_tradnl"/>
        </w:rPr>
        <w:t>Mipyme</w:t>
      </w:r>
      <w:proofErr w:type="spellEnd"/>
      <w:r w:rsidR="0024769F" w:rsidRPr="00C023FE">
        <w:rPr>
          <w:rFonts w:ascii="Arial" w:eastAsia="Arial" w:hAnsi="Arial" w:cs="Arial"/>
          <w:color w:val="000000" w:themeColor="text1"/>
          <w:sz w:val="22"/>
          <w:lang w:val="es-ES_tradnl" w:eastAsia="es-ES_tradnl"/>
        </w:rPr>
        <w:t xml:space="preserve"> respectiva.</w:t>
      </w:r>
      <w:r w:rsidR="0024769F" w:rsidRPr="002A58B7">
        <w:rPr>
          <w:rFonts w:ascii="Arial" w:eastAsia="Arial" w:hAnsi="Arial" w:cs="Arial"/>
          <w:color w:val="000000" w:themeColor="text1"/>
          <w:sz w:val="22"/>
          <w:lang w:val="es-ES_tradnl" w:eastAsia="es-ES_tradnl"/>
        </w:rPr>
        <w:t xml:space="preserve"> </w:t>
      </w:r>
    </w:p>
    <w:p w14:paraId="339B7EBC" w14:textId="17E9D146" w:rsidR="002A10A4" w:rsidRPr="002A58B7" w:rsidRDefault="002A10A4" w:rsidP="002A10A4">
      <w:pPr>
        <w:spacing w:after="0"/>
        <w:ind w:right="709"/>
        <w:rPr>
          <w:rFonts w:ascii="Arial" w:eastAsia="Times New Roman" w:hAnsi="Arial" w:cs="Arial"/>
          <w:color w:val="000000" w:themeColor="text1"/>
          <w:sz w:val="22"/>
          <w:lang w:val="es-CO" w:eastAsia="es-ES_tradnl"/>
        </w:rPr>
      </w:pPr>
    </w:p>
    <w:p w14:paraId="5BF2D018" w14:textId="77777777" w:rsidR="002A10A4" w:rsidRPr="002A58B7" w:rsidRDefault="002A10A4" w:rsidP="002A10A4">
      <w:pPr>
        <w:spacing w:after="0"/>
        <w:rPr>
          <w:rFonts w:ascii="Arial" w:eastAsia="Times New Roman" w:hAnsi="Arial" w:cs="Arial"/>
          <w:color w:val="000000" w:themeColor="text1"/>
          <w:sz w:val="22"/>
          <w:szCs w:val="24"/>
          <w:lang w:val="es-ES_tradnl" w:eastAsia="es-ES_tradnl"/>
        </w:rPr>
      </w:pPr>
      <w:r w:rsidRPr="002A58B7">
        <w:rPr>
          <w:rFonts w:ascii="Arial" w:eastAsia="Times New Roman" w:hAnsi="Arial" w:cs="Arial"/>
          <w:color w:val="000000" w:themeColor="text1"/>
          <w:sz w:val="22"/>
          <w:szCs w:val="24"/>
          <w:lang w:val="es-ES_tradnl" w:eastAsia="es-ES_tradnl"/>
        </w:rPr>
        <w:t>Este concepto tiene el alcance previsto en el artículo 28 del Código de Procedimiento Administrativo y de lo Contencioso Administrativo.</w:t>
      </w:r>
    </w:p>
    <w:p w14:paraId="0D2622B5" w14:textId="77777777" w:rsidR="002A10A4" w:rsidRPr="002A58B7" w:rsidRDefault="002A10A4" w:rsidP="002A10A4">
      <w:pPr>
        <w:spacing w:after="0"/>
        <w:rPr>
          <w:rFonts w:ascii="Arial" w:eastAsia="Times New Roman" w:hAnsi="Arial" w:cs="Arial"/>
          <w:color w:val="000000" w:themeColor="text1"/>
          <w:sz w:val="22"/>
          <w:lang w:val="es-ES_tradnl" w:eastAsia="es-CO"/>
        </w:rPr>
      </w:pPr>
    </w:p>
    <w:p w14:paraId="0B0E2225" w14:textId="77777777" w:rsidR="002A10A4" w:rsidRPr="002A58B7" w:rsidRDefault="002A10A4" w:rsidP="002A10A4">
      <w:pPr>
        <w:spacing w:after="0"/>
        <w:rPr>
          <w:rFonts w:ascii="Arial" w:eastAsia="Times New Roman" w:hAnsi="Arial" w:cs="Arial"/>
          <w:color w:val="000000" w:themeColor="text1"/>
          <w:sz w:val="22"/>
          <w:lang w:val="es-ES_tradnl" w:eastAsia="es-CO"/>
        </w:rPr>
      </w:pPr>
      <w:r w:rsidRPr="002A58B7">
        <w:rPr>
          <w:rFonts w:ascii="Arial" w:eastAsia="Times New Roman" w:hAnsi="Arial" w:cs="Arial"/>
          <w:color w:val="000000" w:themeColor="text1"/>
          <w:sz w:val="22"/>
          <w:lang w:val="es-ES_tradnl" w:eastAsia="es-CO"/>
        </w:rPr>
        <w:t>Atentamente,</w:t>
      </w:r>
    </w:p>
    <w:p w14:paraId="3840953F" w14:textId="77777777" w:rsidR="002A10A4" w:rsidRPr="002A58B7" w:rsidRDefault="002A10A4" w:rsidP="002A10A4">
      <w:pPr>
        <w:spacing w:after="0"/>
        <w:rPr>
          <w:rFonts w:ascii="Arial" w:eastAsia="Times New Roman" w:hAnsi="Arial" w:cs="Arial"/>
          <w:color w:val="000000" w:themeColor="text1"/>
          <w:sz w:val="22"/>
          <w:lang w:val="es-ES_tradnl" w:eastAsia="es-CO"/>
        </w:rPr>
      </w:pPr>
    </w:p>
    <w:p w14:paraId="444CD7BE" w14:textId="0FACBFE3" w:rsidR="002A10A4" w:rsidRDefault="00345A49" w:rsidP="00345A49">
      <w:pPr>
        <w:spacing w:after="0"/>
        <w:jc w:val="center"/>
        <w:rPr>
          <w:rFonts w:ascii="Times New Roman" w:eastAsia="Times New Roman" w:hAnsi="Times New Roman" w:cs="Times New Roman"/>
          <w:color w:val="000000" w:themeColor="text1"/>
          <w:szCs w:val="24"/>
          <w:lang w:val="es-ES_tradnl" w:eastAsia="es-CO"/>
        </w:rPr>
      </w:pPr>
      <w:r>
        <w:rPr>
          <w:rFonts w:ascii="Arial" w:hAnsi="Arial" w:cs="Arial"/>
          <w:noProof/>
          <w:lang w:val="en-US"/>
        </w:rPr>
        <w:drawing>
          <wp:inline distT="0" distB="0" distL="0" distR="0" wp14:anchorId="14BE7D25" wp14:editId="6AD3A1EC">
            <wp:extent cx="2273831" cy="1024890"/>
            <wp:effectExtent l="0" t="0" r="0" b="3810"/>
            <wp:docPr id="1"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descr="Texto&#10;&#10;Descripción generada automáticamente"/>
                    <pic:cNvPicPr/>
                  </pic:nvPicPr>
                  <pic:blipFill>
                    <a:blip r:embed="rId12">
                      <a:extLst>
                        <a:ext uri="{28A0092B-C50C-407E-A947-70E740481C1C}">
                          <a14:useLocalDpi xmlns:a14="http://schemas.microsoft.com/office/drawing/2010/main" val="0"/>
                        </a:ext>
                      </a:extLst>
                    </a:blip>
                    <a:stretch>
                      <a:fillRect/>
                    </a:stretch>
                  </pic:blipFill>
                  <pic:spPr>
                    <a:xfrm>
                      <a:off x="0" y="0"/>
                      <a:ext cx="2282670" cy="1028874"/>
                    </a:xfrm>
                    <a:prstGeom prst="rect">
                      <a:avLst/>
                    </a:prstGeom>
                  </pic:spPr>
                </pic:pic>
              </a:graphicData>
            </a:graphic>
          </wp:inline>
        </w:drawing>
      </w:r>
    </w:p>
    <w:p w14:paraId="714A310B" w14:textId="77777777" w:rsidR="00345A49" w:rsidRPr="002A58B7" w:rsidRDefault="00345A49" w:rsidP="00345A49">
      <w:pPr>
        <w:spacing w:after="0"/>
        <w:jc w:val="center"/>
        <w:rPr>
          <w:rFonts w:ascii="Times New Roman" w:eastAsia="Times New Roman" w:hAnsi="Times New Roman" w:cs="Times New Roman"/>
          <w:color w:val="000000" w:themeColor="text1"/>
          <w:szCs w:val="24"/>
          <w:lang w:val="es-ES_tradnl" w:eastAsia="es-CO"/>
        </w:rPr>
      </w:pPr>
    </w:p>
    <w:tbl>
      <w:tblPr>
        <w:tblStyle w:val="Tablaconcuadrcula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2A58B7" w:rsidRPr="002A58B7" w14:paraId="4D7F1FA0" w14:textId="77777777" w:rsidTr="002A10A4">
        <w:trPr>
          <w:trHeight w:val="315"/>
        </w:trPr>
        <w:tc>
          <w:tcPr>
            <w:tcW w:w="812" w:type="dxa"/>
            <w:vAlign w:val="center"/>
            <w:hideMark/>
          </w:tcPr>
          <w:p w14:paraId="52FD7641" w14:textId="77777777" w:rsidR="002A10A4" w:rsidRPr="002A58B7" w:rsidRDefault="002A10A4" w:rsidP="002A10A4">
            <w:pPr>
              <w:spacing w:after="0" w:line="240" w:lineRule="auto"/>
              <w:rPr>
                <w:rFonts w:ascii="Arial" w:eastAsia="Times New Roman" w:hAnsi="Arial" w:cs="Arial"/>
                <w:color w:val="000000" w:themeColor="text1"/>
                <w:sz w:val="16"/>
                <w:szCs w:val="16"/>
                <w:lang w:val="es-ES_tradnl" w:eastAsia="es-ES"/>
              </w:rPr>
            </w:pPr>
            <w:r w:rsidRPr="002A58B7">
              <w:rPr>
                <w:rFonts w:ascii="Arial" w:eastAsia="Times New Roman" w:hAnsi="Arial" w:cs="Arial"/>
                <w:color w:val="000000" w:themeColor="text1"/>
                <w:sz w:val="16"/>
                <w:szCs w:val="16"/>
                <w:lang w:val="es-ES_tradnl" w:eastAsia="es-ES"/>
              </w:rPr>
              <w:t>Elaboró:</w:t>
            </w:r>
          </w:p>
        </w:tc>
        <w:tc>
          <w:tcPr>
            <w:tcW w:w="4413" w:type="dxa"/>
            <w:tcBorders>
              <w:top w:val="nil"/>
              <w:left w:val="nil"/>
              <w:bottom w:val="dotted" w:sz="4" w:space="0" w:color="7F7F7F"/>
              <w:right w:val="nil"/>
            </w:tcBorders>
            <w:vAlign w:val="center"/>
            <w:hideMark/>
          </w:tcPr>
          <w:p w14:paraId="60AE7A79" w14:textId="77777777" w:rsidR="002A10A4" w:rsidRPr="002A58B7" w:rsidRDefault="002A10A4" w:rsidP="002A10A4">
            <w:pPr>
              <w:spacing w:after="0" w:line="240" w:lineRule="auto"/>
              <w:rPr>
                <w:rFonts w:ascii="Arial" w:eastAsia="Times New Roman" w:hAnsi="Arial" w:cs="Arial"/>
                <w:color w:val="000000" w:themeColor="text1"/>
                <w:sz w:val="16"/>
                <w:szCs w:val="16"/>
                <w:lang w:val="es-ES_tradnl" w:eastAsia="es-ES"/>
              </w:rPr>
            </w:pPr>
            <w:r w:rsidRPr="002A58B7">
              <w:rPr>
                <w:rFonts w:ascii="Arial" w:eastAsia="Times New Roman" w:hAnsi="Arial" w:cs="Arial"/>
                <w:color w:val="000000" w:themeColor="text1"/>
                <w:sz w:val="16"/>
                <w:szCs w:val="16"/>
                <w:lang w:val="es-ES_tradnl" w:eastAsia="es-ES"/>
              </w:rPr>
              <w:t xml:space="preserve">José Luis Sánchez Cardona </w:t>
            </w:r>
          </w:p>
          <w:p w14:paraId="209D4C26" w14:textId="77777777" w:rsidR="002A10A4" w:rsidRPr="002A58B7" w:rsidRDefault="002A10A4" w:rsidP="002A10A4">
            <w:pPr>
              <w:spacing w:after="0" w:line="240" w:lineRule="auto"/>
              <w:rPr>
                <w:rFonts w:ascii="Arial" w:eastAsia="Times New Roman" w:hAnsi="Arial" w:cs="Arial"/>
                <w:color w:val="000000" w:themeColor="text1"/>
                <w:sz w:val="16"/>
                <w:szCs w:val="16"/>
                <w:lang w:val="es-ES_tradnl" w:eastAsia="es-ES"/>
              </w:rPr>
            </w:pPr>
            <w:r w:rsidRPr="002A58B7">
              <w:rPr>
                <w:rFonts w:ascii="Arial" w:eastAsia="Times New Roman" w:hAnsi="Arial" w:cs="Arial"/>
                <w:color w:val="000000" w:themeColor="text1"/>
                <w:sz w:val="16"/>
                <w:szCs w:val="16"/>
                <w:lang w:val="es-ES_tradnl" w:eastAsia="es-ES"/>
              </w:rPr>
              <w:t>Contratista de la Subdirección de Gestión Contractual</w:t>
            </w:r>
          </w:p>
        </w:tc>
      </w:tr>
      <w:tr w:rsidR="002A58B7" w:rsidRPr="002A58B7" w14:paraId="07FD0AED" w14:textId="77777777" w:rsidTr="002A10A4">
        <w:trPr>
          <w:trHeight w:val="330"/>
        </w:trPr>
        <w:tc>
          <w:tcPr>
            <w:tcW w:w="812" w:type="dxa"/>
            <w:vAlign w:val="center"/>
            <w:hideMark/>
          </w:tcPr>
          <w:p w14:paraId="20ED2474" w14:textId="77777777" w:rsidR="002A10A4" w:rsidRPr="002A58B7" w:rsidRDefault="002A10A4" w:rsidP="002A10A4">
            <w:pPr>
              <w:spacing w:after="0" w:line="240" w:lineRule="auto"/>
              <w:rPr>
                <w:rFonts w:ascii="Arial" w:eastAsia="Times New Roman" w:hAnsi="Arial" w:cs="Arial"/>
                <w:color w:val="000000" w:themeColor="text1"/>
                <w:sz w:val="16"/>
                <w:szCs w:val="16"/>
                <w:lang w:val="es-ES_tradnl" w:eastAsia="es-ES"/>
              </w:rPr>
            </w:pPr>
            <w:r w:rsidRPr="002A58B7">
              <w:rPr>
                <w:rFonts w:ascii="Arial" w:eastAsia="Times New Roman" w:hAnsi="Arial" w:cs="Arial"/>
                <w:color w:val="000000" w:themeColor="text1"/>
                <w:sz w:val="16"/>
                <w:szCs w:val="16"/>
                <w:lang w:val="es-ES_tradnl" w:eastAsia="es-ES"/>
              </w:rPr>
              <w:t>Revisó:</w:t>
            </w:r>
          </w:p>
        </w:tc>
        <w:tc>
          <w:tcPr>
            <w:tcW w:w="4413" w:type="dxa"/>
            <w:tcBorders>
              <w:top w:val="dotted" w:sz="4" w:space="0" w:color="7F7F7F"/>
              <w:left w:val="nil"/>
              <w:bottom w:val="dotted" w:sz="4" w:space="0" w:color="7F7F7F"/>
              <w:right w:val="nil"/>
            </w:tcBorders>
            <w:vAlign w:val="center"/>
            <w:hideMark/>
          </w:tcPr>
          <w:p w14:paraId="47CA51D0" w14:textId="46330007" w:rsidR="002A10A4" w:rsidRPr="002A58B7" w:rsidRDefault="00E951E2" w:rsidP="002A10A4">
            <w:pPr>
              <w:spacing w:after="0" w:line="240" w:lineRule="auto"/>
              <w:rPr>
                <w:rFonts w:ascii="Arial" w:eastAsia="Times New Roman" w:hAnsi="Arial" w:cs="Arial"/>
                <w:color w:val="000000" w:themeColor="text1"/>
                <w:sz w:val="16"/>
                <w:szCs w:val="16"/>
                <w:lang w:val="es-ES_tradnl" w:eastAsia="es-ES"/>
              </w:rPr>
            </w:pPr>
            <w:r w:rsidRPr="002A58B7">
              <w:rPr>
                <w:rFonts w:ascii="Arial" w:eastAsia="Times New Roman" w:hAnsi="Arial" w:cs="Arial"/>
                <w:color w:val="000000" w:themeColor="text1"/>
                <w:sz w:val="16"/>
                <w:szCs w:val="16"/>
                <w:lang w:val="es-ES_tradnl" w:eastAsia="es-ES"/>
              </w:rPr>
              <w:t>Sebastián Ramírez Grisales</w:t>
            </w:r>
          </w:p>
          <w:p w14:paraId="38BB6421" w14:textId="2D94F25F" w:rsidR="002A10A4" w:rsidRPr="002A58B7" w:rsidRDefault="00E951E2" w:rsidP="002A10A4">
            <w:pPr>
              <w:spacing w:after="0" w:line="240" w:lineRule="auto"/>
              <w:rPr>
                <w:rFonts w:ascii="Arial" w:eastAsia="Times New Roman" w:hAnsi="Arial" w:cs="Arial"/>
                <w:color w:val="000000" w:themeColor="text1"/>
                <w:sz w:val="16"/>
                <w:szCs w:val="16"/>
                <w:lang w:val="es-ES_tradnl" w:eastAsia="es-ES"/>
              </w:rPr>
            </w:pPr>
            <w:r w:rsidRPr="002A58B7">
              <w:rPr>
                <w:rFonts w:ascii="Arial" w:eastAsia="Times New Roman" w:hAnsi="Arial" w:cs="Arial"/>
                <w:color w:val="000000" w:themeColor="text1"/>
                <w:sz w:val="16"/>
                <w:szCs w:val="16"/>
                <w:lang w:val="es-ES_tradnl" w:eastAsia="es-ES"/>
              </w:rPr>
              <w:t>Contratista</w:t>
            </w:r>
            <w:r w:rsidR="002A10A4" w:rsidRPr="002A58B7">
              <w:rPr>
                <w:rFonts w:ascii="Arial" w:eastAsia="Times New Roman" w:hAnsi="Arial" w:cs="Arial"/>
                <w:color w:val="000000" w:themeColor="text1"/>
                <w:sz w:val="16"/>
                <w:szCs w:val="16"/>
                <w:lang w:val="es-ES_tradnl" w:eastAsia="es-ES"/>
              </w:rPr>
              <w:t xml:space="preserve"> de la Subdirección de Gestión Contractual  </w:t>
            </w:r>
          </w:p>
        </w:tc>
      </w:tr>
      <w:tr w:rsidR="002A10A4" w:rsidRPr="002A58B7" w14:paraId="08FEDED4" w14:textId="77777777" w:rsidTr="002A10A4">
        <w:trPr>
          <w:trHeight w:val="300"/>
        </w:trPr>
        <w:tc>
          <w:tcPr>
            <w:tcW w:w="812" w:type="dxa"/>
            <w:vAlign w:val="center"/>
            <w:hideMark/>
          </w:tcPr>
          <w:p w14:paraId="1198DDC6" w14:textId="77777777" w:rsidR="002A10A4" w:rsidRPr="002A58B7" w:rsidRDefault="002A10A4" w:rsidP="002A10A4">
            <w:pPr>
              <w:spacing w:after="0" w:line="240" w:lineRule="auto"/>
              <w:rPr>
                <w:rFonts w:ascii="Arial" w:eastAsia="Times New Roman" w:hAnsi="Arial" w:cs="Arial"/>
                <w:color w:val="000000" w:themeColor="text1"/>
                <w:sz w:val="16"/>
                <w:szCs w:val="16"/>
                <w:lang w:val="es-ES_tradnl" w:eastAsia="es-ES"/>
              </w:rPr>
            </w:pPr>
            <w:r w:rsidRPr="002A58B7">
              <w:rPr>
                <w:rFonts w:ascii="Arial" w:eastAsia="Times New Roman" w:hAnsi="Arial" w:cs="Arial"/>
                <w:color w:val="000000" w:themeColor="text1"/>
                <w:sz w:val="16"/>
                <w:szCs w:val="16"/>
                <w:lang w:val="es-ES_tradnl" w:eastAsia="es-ES"/>
              </w:rPr>
              <w:t>Aprobó:</w:t>
            </w:r>
          </w:p>
        </w:tc>
        <w:tc>
          <w:tcPr>
            <w:tcW w:w="4413" w:type="dxa"/>
            <w:tcBorders>
              <w:top w:val="dotted" w:sz="4" w:space="0" w:color="7F7F7F"/>
              <w:left w:val="nil"/>
              <w:bottom w:val="dotted" w:sz="4" w:space="0" w:color="7F7F7F"/>
              <w:right w:val="nil"/>
            </w:tcBorders>
            <w:vAlign w:val="center"/>
            <w:hideMark/>
          </w:tcPr>
          <w:p w14:paraId="3080A6D5" w14:textId="77777777" w:rsidR="002A10A4" w:rsidRPr="002A58B7" w:rsidRDefault="002A10A4" w:rsidP="002A10A4">
            <w:pPr>
              <w:spacing w:after="0" w:line="240" w:lineRule="auto"/>
              <w:rPr>
                <w:rFonts w:ascii="Arial" w:eastAsia="Times New Roman" w:hAnsi="Arial" w:cs="Arial"/>
                <w:color w:val="000000" w:themeColor="text1"/>
                <w:sz w:val="16"/>
                <w:szCs w:val="16"/>
                <w:lang w:val="es-ES_tradnl" w:eastAsia="es-ES"/>
              </w:rPr>
            </w:pPr>
            <w:r w:rsidRPr="002A58B7">
              <w:rPr>
                <w:rFonts w:ascii="Arial" w:eastAsia="Times New Roman" w:hAnsi="Arial" w:cs="Arial"/>
                <w:color w:val="000000" w:themeColor="text1"/>
                <w:sz w:val="16"/>
                <w:szCs w:val="16"/>
                <w:lang w:val="es-ES_tradnl" w:eastAsia="es-ES"/>
              </w:rPr>
              <w:t>Jorge Augusto Tirado Navarro</w:t>
            </w:r>
          </w:p>
          <w:p w14:paraId="528D122B" w14:textId="77777777" w:rsidR="002A10A4" w:rsidRPr="002A58B7" w:rsidRDefault="002A10A4" w:rsidP="002A10A4">
            <w:pPr>
              <w:spacing w:after="0" w:line="240" w:lineRule="auto"/>
              <w:rPr>
                <w:rFonts w:ascii="Arial" w:eastAsia="Times New Roman" w:hAnsi="Arial" w:cs="Arial"/>
                <w:color w:val="000000" w:themeColor="text1"/>
                <w:sz w:val="16"/>
                <w:szCs w:val="16"/>
                <w:lang w:val="es-ES_tradnl" w:eastAsia="es-ES"/>
              </w:rPr>
            </w:pPr>
            <w:r w:rsidRPr="002A58B7">
              <w:rPr>
                <w:rFonts w:ascii="Arial" w:eastAsia="Times New Roman" w:hAnsi="Arial" w:cs="Arial"/>
                <w:color w:val="000000" w:themeColor="text1"/>
                <w:sz w:val="16"/>
                <w:szCs w:val="16"/>
                <w:lang w:val="es-ES_tradnl" w:eastAsia="es-ES"/>
              </w:rPr>
              <w:t>Subdirector de Gestión Contractual ANCP – CCE</w:t>
            </w:r>
          </w:p>
        </w:tc>
      </w:tr>
      <w:bookmarkEnd w:id="7"/>
    </w:tbl>
    <w:p w14:paraId="302C14BC" w14:textId="633EBDB7" w:rsidR="00B672E6" w:rsidRPr="002A58B7" w:rsidRDefault="00B672E6" w:rsidP="002629A3">
      <w:pPr>
        <w:tabs>
          <w:tab w:val="left" w:pos="3795"/>
        </w:tabs>
        <w:spacing w:after="0" w:line="240" w:lineRule="auto"/>
        <w:jc w:val="left"/>
        <w:rPr>
          <w:rFonts w:ascii="Arial" w:eastAsia="Times New Roman" w:hAnsi="Arial" w:cs="Arial"/>
          <w:color w:val="000000" w:themeColor="text1"/>
          <w:szCs w:val="24"/>
          <w:lang w:val="es-ES_tradnl" w:eastAsia="es-ES_tradnl"/>
        </w:rPr>
      </w:pPr>
    </w:p>
    <w:sectPr w:rsidR="00B672E6" w:rsidRPr="002A58B7" w:rsidSect="00FE0395">
      <w:headerReference w:type="default" r:id="rId13"/>
      <w:footerReference w:type="default" r:id="rId14"/>
      <w:pgSz w:w="12240" w:h="15840"/>
      <w:pgMar w:top="411" w:right="1750" w:bottom="1276"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890429" w14:textId="77777777" w:rsidR="00F46215" w:rsidRDefault="00F46215" w:rsidP="00D45D43">
      <w:pPr>
        <w:spacing w:after="0" w:line="240" w:lineRule="auto"/>
      </w:pPr>
      <w:r>
        <w:separator/>
      </w:r>
    </w:p>
  </w:endnote>
  <w:endnote w:type="continuationSeparator" w:id="0">
    <w:p w14:paraId="271B8F3B" w14:textId="77777777" w:rsidR="00F46215" w:rsidRDefault="00F46215" w:rsidP="00D45D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MT">
    <w:altName w:val="Arial"/>
    <w:charset w:val="01"/>
    <w:family w:val="swiss"/>
    <w:pitch w:val="variable"/>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1D3A30" w14:textId="77777777" w:rsidR="00412132" w:rsidRDefault="00F46215" w:rsidP="00B6444C">
    <w:pPr>
      <w:pStyle w:val="Sinespaciado"/>
      <w:rPr>
        <w:rFonts w:ascii="Arial" w:hAnsi="Arial" w:cs="Arial"/>
        <w:sz w:val="18"/>
        <w:szCs w:val="18"/>
      </w:rPr>
    </w:pPr>
  </w:p>
  <w:p w14:paraId="144E42AB" w14:textId="45F717B5" w:rsidR="00412132" w:rsidRPr="005A79FE" w:rsidRDefault="00367C52" w:rsidP="005A79FE">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082B94">
      <w:rPr>
        <w:rFonts w:ascii="Arial" w:hAnsi="Arial" w:cs="Arial"/>
        <w:b/>
        <w:bCs/>
        <w:noProof/>
        <w:color w:val="7F7F7F" w:themeColor="text1" w:themeTint="80"/>
        <w:sz w:val="16"/>
        <w:szCs w:val="16"/>
      </w:rPr>
      <w:t>3</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082B94">
      <w:rPr>
        <w:rFonts w:ascii="Arial" w:hAnsi="Arial" w:cs="Arial"/>
        <w:b/>
        <w:bCs/>
        <w:noProof/>
        <w:color w:val="7F7F7F" w:themeColor="text1" w:themeTint="80"/>
        <w:sz w:val="16"/>
        <w:szCs w:val="16"/>
      </w:rPr>
      <w:t>14</w:t>
    </w:r>
    <w:r w:rsidRPr="00084B97">
      <w:rPr>
        <w:rFonts w:ascii="Arial" w:hAnsi="Arial" w:cs="Arial"/>
        <w:b/>
        <w:bCs/>
        <w:color w:val="7F7F7F" w:themeColor="text1" w:themeTint="80"/>
        <w:sz w:val="16"/>
        <w:szCs w:val="16"/>
      </w:rPr>
      <w:fldChar w:fldCharType="end"/>
    </w:r>
  </w:p>
  <w:p w14:paraId="19605E15" w14:textId="77777777" w:rsidR="00412132" w:rsidRDefault="00367C52" w:rsidP="007B0854">
    <w:pPr>
      <w:pStyle w:val="Piedepgina"/>
      <w:jc w:val="center"/>
      <w:rPr>
        <w:lang w:val="es-ES"/>
      </w:rPr>
    </w:pPr>
    <w:r>
      <w:rPr>
        <w:noProof/>
        <w:lang w:val="en-US"/>
      </w:rPr>
      <w:drawing>
        <wp:inline distT="0" distB="0" distL="0" distR="0" wp14:anchorId="2669E843" wp14:editId="480006B7">
          <wp:extent cx="4241994" cy="595165"/>
          <wp:effectExtent l="0" t="0" r="6350" b="0"/>
          <wp:docPr id="1833779586" name="Imagen 18337795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2"/>
                  <pic:cNvPicPr/>
                </pic:nvPicPr>
                <pic:blipFill>
                  <a:blip r:embed="rId1">
                    <a:extLst>
                      <a:ext uri="{28A0092B-C50C-407E-A947-70E740481C1C}">
                        <a14:useLocalDpi xmlns:a14="http://schemas.microsoft.com/office/drawing/2010/main" val="0"/>
                      </a:ext>
                    </a:extLst>
                  </a:blip>
                  <a:stretch>
                    <a:fillRect/>
                  </a:stretch>
                </pic:blipFill>
                <pic:spPr>
                  <a:xfrm>
                    <a:off x="0" y="0"/>
                    <a:ext cx="4241994" cy="595165"/>
                  </a:xfrm>
                  <a:prstGeom prst="rect">
                    <a:avLst/>
                  </a:prstGeom>
                </pic:spPr>
              </pic:pic>
            </a:graphicData>
          </a:graphic>
        </wp:inline>
      </w:drawing>
    </w:r>
  </w:p>
  <w:p w14:paraId="02656EF4" w14:textId="77777777" w:rsidR="00412132" w:rsidRPr="007B0854" w:rsidRDefault="00F46215" w:rsidP="00A5235A">
    <w:pPr>
      <w:pStyle w:val="Piedepgina"/>
      <w:spacing w:line="120" w:lineRule="auto"/>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FFC19C" w14:textId="77777777" w:rsidR="00F46215" w:rsidRDefault="00F46215" w:rsidP="00D45D43">
      <w:pPr>
        <w:spacing w:after="0" w:line="240" w:lineRule="auto"/>
      </w:pPr>
      <w:r>
        <w:separator/>
      </w:r>
    </w:p>
  </w:footnote>
  <w:footnote w:type="continuationSeparator" w:id="0">
    <w:p w14:paraId="1AAEDA9C" w14:textId="77777777" w:rsidR="00F46215" w:rsidRDefault="00F46215" w:rsidP="00D45D43">
      <w:pPr>
        <w:spacing w:after="0" w:line="240" w:lineRule="auto"/>
      </w:pPr>
      <w:r>
        <w:continuationSeparator/>
      </w:r>
    </w:p>
  </w:footnote>
  <w:footnote w:id="1">
    <w:p w14:paraId="5F5E7132" w14:textId="77777777" w:rsidR="0024769F" w:rsidRPr="0014426D" w:rsidRDefault="0024769F" w:rsidP="0014426D">
      <w:pPr>
        <w:pStyle w:val="Textonotapie"/>
        <w:spacing w:after="0" w:line="240" w:lineRule="auto"/>
        <w:ind w:firstLine="709"/>
        <w:rPr>
          <w:rFonts w:ascii="Arial" w:hAnsi="Arial" w:cs="Arial"/>
          <w:sz w:val="19"/>
          <w:szCs w:val="19"/>
          <w:lang w:val="es-ES"/>
        </w:rPr>
      </w:pPr>
      <w:r w:rsidRPr="0014426D">
        <w:rPr>
          <w:rStyle w:val="Refdenotaalpie"/>
          <w:rFonts w:ascii="Arial" w:hAnsi="Arial" w:cs="Arial"/>
          <w:sz w:val="19"/>
          <w:szCs w:val="19"/>
        </w:rPr>
        <w:footnoteRef/>
      </w:r>
      <w:r w:rsidRPr="0014426D">
        <w:rPr>
          <w:rFonts w:ascii="Arial" w:hAnsi="Arial" w:cs="Arial"/>
          <w:sz w:val="19"/>
          <w:szCs w:val="19"/>
        </w:rPr>
        <w:t xml:space="preserve"> </w:t>
      </w:r>
      <w:r w:rsidRPr="0014426D">
        <w:rPr>
          <w:rFonts w:ascii="Arial" w:hAnsi="Arial" w:cs="Arial"/>
          <w:sz w:val="19"/>
          <w:szCs w:val="19"/>
          <w:lang w:val="es-ES"/>
        </w:rPr>
        <w:t>Artículos 2 al 29.</w:t>
      </w:r>
    </w:p>
    <w:p w14:paraId="452974F6" w14:textId="77777777" w:rsidR="0024769F" w:rsidRPr="0014426D" w:rsidRDefault="0024769F" w:rsidP="0014426D">
      <w:pPr>
        <w:pStyle w:val="Textonotapie"/>
        <w:spacing w:after="0" w:line="240" w:lineRule="auto"/>
        <w:ind w:firstLine="709"/>
        <w:rPr>
          <w:rFonts w:ascii="Arial" w:hAnsi="Arial" w:cs="Arial"/>
          <w:sz w:val="19"/>
          <w:szCs w:val="19"/>
          <w:lang w:val="es-ES"/>
        </w:rPr>
      </w:pPr>
    </w:p>
  </w:footnote>
  <w:footnote w:id="2">
    <w:p w14:paraId="6278ED7D" w14:textId="77777777" w:rsidR="0024769F" w:rsidRPr="0014426D" w:rsidRDefault="0024769F" w:rsidP="0014426D">
      <w:pPr>
        <w:pStyle w:val="Textonotapie"/>
        <w:spacing w:after="0" w:line="240" w:lineRule="auto"/>
        <w:ind w:firstLine="709"/>
        <w:rPr>
          <w:rFonts w:ascii="Arial" w:hAnsi="Arial" w:cs="Arial"/>
          <w:sz w:val="19"/>
          <w:szCs w:val="19"/>
          <w:lang w:val="es-ES"/>
        </w:rPr>
      </w:pPr>
      <w:r w:rsidRPr="0014426D">
        <w:rPr>
          <w:rStyle w:val="Refdenotaalpie"/>
          <w:rFonts w:ascii="Arial" w:hAnsi="Arial" w:cs="Arial"/>
          <w:sz w:val="19"/>
          <w:szCs w:val="19"/>
        </w:rPr>
        <w:footnoteRef/>
      </w:r>
      <w:r w:rsidRPr="0014426D">
        <w:rPr>
          <w:rFonts w:ascii="Arial" w:hAnsi="Arial" w:cs="Arial"/>
          <w:sz w:val="19"/>
          <w:szCs w:val="19"/>
        </w:rPr>
        <w:t xml:space="preserve"> </w:t>
      </w:r>
      <w:r w:rsidRPr="0014426D">
        <w:rPr>
          <w:rFonts w:ascii="Arial" w:hAnsi="Arial" w:cs="Arial"/>
          <w:sz w:val="19"/>
          <w:szCs w:val="19"/>
          <w:lang w:val="es-ES"/>
        </w:rPr>
        <w:t>Artículos 30 al 36.</w:t>
      </w:r>
    </w:p>
    <w:p w14:paraId="543BB25F" w14:textId="77777777" w:rsidR="0024769F" w:rsidRPr="0014426D" w:rsidRDefault="0024769F" w:rsidP="0014426D">
      <w:pPr>
        <w:pStyle w:val="Textonotapie"/>
        <w:spacing w:after="0" w:line="240" w:lineRule="auto"/>
        <w:ind w:firstLine="709"/>
        <w:rPr>
          <w:rFonts w:ascii="Arial" w:hAnsi="Arial" w:cs="Arial"/>
          <w:sz w:val="19"/>
          <w:szCs w:val="19"/>
          <w:lang w:val="es-ES"/>
        </w:rPr>
      </w:pPr>
    </w:p>
  </w:footnote>
  <w:footnote w:id="3">
    <w:p w14:paraId="1136B7D0" w14:textId="77777777" w:rsidR="0024769F" w:rsidRPr="0014426D" w:rsidRDefault="0024769F" w:rsidP="0014426D">
      <w:pPr>
        <w:pStyle w:val="Textonotapie"/>
        <w:spacing w:after="0" w:line="240" w:lineRule="auto"/>
        <w:ind w:firstLine="709"/>
        <w:rPr>
          <w:rFonts w:ascii="Arial" w:hAnsi="Arial" w:cs="Arial"/>
          <w:sz w:val="19"/>
          <w:szCs w:val="19"/>
          <w:lang w:val="es-ES"/>
        </w:rPr>
      </w:pPr>
      <w:r w:rsidRPr="0014426D">
        <w:rPr>
          <w:rStyle w:val="Refdenotaalpie"/>
          <w:rFonts w:ascii="Arial" w:hAnsi="Arial" w:cs="Arial"/>
          <w:sz w:val="19"/>
          <w:szCs w:val="19"/>
        </w:rPr>
        <w:footnoteRef/>
      </w:r>
      <w:r w:rsidRPr="0014426D">
        <w:rPr>
          <w:rFonts w:ascii="Arial" w:hAnsi="Arial" w:cs="Arial"/>
          <w:sz w:val="19"/>
          <w:szCs w:val="19"/>
        </w:rPr>
        <w:t xml:space="preserve"> </w:t>
      </w:r>
      <w:r w:rsidRPr="0014426D">
        <w:rPr>
          <w:rFonts w:ascii="Arial" w:hAnsi="Arial" w:cs="Arial"/>
          <w:sz w:val="19"/>
          <w:szCs w:val="19"/>
          <w:lang w:val="es-ES"/>
        </w:rPr>
        <w:t>Artículos 37 al 45.</w:t>
      </w:r>
    </w:p>
    <w:p w14:paraId="7B365D1B" w14:textId="77777777" w:rsidR="0024769F" w:rsidRPr="0014426D" w:rsidRDefault="0024769F" w:rsidP="0014426D">
      <w:pPr>
        <w:pStyle w:val="Textonotapie"/>
        <w:spacing w:after="0" w:line="240" w:lineRule="auto"/>
        <w:ind w:firstLine="709"/>
        <w:rPr>
          <w:rFonts w:ascii="Arial" w:hAnsi="Arial" w:cs="Arial"/>
          <w:sz w:val="19"/>
          <w:szCs w:val="19"/>
          <w:lang w:val="es-ES"/>
        </w:rPr>
      </w:pPr>
    </w:p>
  </w:footnote>
  <w:footnote w:id="4">
    <w:p w14:paraId="6F9EDE00" w14:textId="77777777" w:rsidR="0024769F" w:rsidRPr="0014426D" w:rsidRDefault="0024769F" w:rsidP="0014426D">
      <w:pPr>
        <w:pStyle w:val="Textonotapie"/>
        <w:spacing w:after="0" w:line="240" w:lineRule="auto"/>
        <w:ind w:firstLine="709"/>
        <w:rPr>
          <w:rFonts w:ascii="Arial" w:hAnsi="Arial" w:cs="Arial"/>
          <w:sz w:val="19"/>
          <w:szCs w:val="19"/>
          <w:lang w:val="es-ES"/>
        </w:rPr>
      </w:pPr>
      <w:r w:rsidRPr="0014426D">
        <w:rPr>
          <w:rStyle w:val="Refdenotaalpie"/>
          <w:rFonts w:ascii="Arial" w:hAnsi="Arial" w:cs="Arial"/>
          <w:sz w:val="19"/>
          <w:szCs w:val="19"/>
        </w:rPr>
        <w:footnoteRef/>
      </w:r>
      <w:r w:rsidRPr="0014426D">
        <w:rPr>
          <w:rFonts w:ascii="Arial" w:hAnsi="Arial" w:cs="Arial"/>
          <w:sz w:val="19"/>
          <w:szCs w:val="19"/>
        </w:rPr>
        <w:t xml:space="preserve"> </w:t>
      </w:r>
      <w:r w:rsidRPr="0014426D">
        <w:rPr>
          <w:rFonts w:ascii="Arial" w:hAnsi="Arial" w:cs="Arial"/>
          <w:sz w:val="19"/>
          <w:szCs w:val="19"/>
          <w:lang w:val="es-ES"/>
        </w:rPr>
        <w:t>Artículos 46 al 73.</w:t>
      </w:r>
    </w:p>
    <w:p w14:paraId="3CB79651" w14:textId="77777777" w:rsidR="0024769F" w:rsidRPr="0014426D" w:rsidRDefault="0024769F" w:rsidP="0014426D">
      <w:pPr>
        <w:pStyle w:val="Textonotapie"/>
        <w:spacing w:after="0" w:line="240" w:lineRule="auto"/>
        <w:ind w:firstLine="709"/>
        <w:rPr>
          <w:rFonts w:ascii="Arial" w:hAnsi="Arial" w:cs="Arial"/>
          <w:sz w:val="19"/>
          <w:szCs w:val="19"/>
          <w:lang w:val="es-ES"/>
        </w:rPr>
      </w:pPr>
    </w:p>
  </w:footnote>
  <w:footnote w:id="5">
    <w:p w14:paraId="6A0E860D" w14:textId="77777777" w:rsidR="0024769F" w:rsidRPr="0014426D" w:rsidRDefault="0024769F" w:rsidP="0014426D">
      <w:pPr>
        <w:pStyle w:val="Textonotapie"/>
        <w:spacing w:after="0" w:line="240" w:lineRule="auto"/>
        <w:ind w:firstLine="709"/>
        <w:rPr>
          <w:rFonts w:ascii="Arial" w:hAnsi="Arial" w:cs="Arial"/>
          <w:sz w:val="19"/>
          <w:szCs w:val="19"/>
          <w:lang w:val="es-ES"/>
        </w:rPr>
      </w:pPr>
      <w:r w:rsidRPr="0014426D">
        <w:rPr>
          <w:rStyle w:val="Refdenotaalpie"/>
          <w:rFonts w:ascii="Arial" w:hAnsi="Arial" w:cs="Arial"/>
          <w:sz w:val="19"/>
          <w:szCs w:val="19"/>
        </w:rPr>
        <w:footnoteRef/>
      </w:r>
      <w:r w:rsidRPr="0014426D">
        <w:rPr>
          <w:rFonts w:ascii="Arial" w:hAnsi="Arial" w:cs="Arial"/>
          <w:sz w:val="19"/>
          <w:szCs w:val="19"/>
        </w:rPr>
        <w:t xml:space="preserve"> </w:t>
      </w:r>
      <w:r w:rsidRPr="0014426D">
        <w:rPr>
          <w:rFonts w:ascii="Arial" w:hAnsi="Arial" w:cs="Arial"/>
          <w:sz w:val="19"/>
          <w:szCs w:val="19"/>
          <w:lang w:val="es-ES"/>
        </w:rPr>
        <w:t>Artículos 74 al 83.</w:t>
      </w:r>
    </w:p>
    <w:p w14:paraId="4A399EC0" w14:textId="77777777" w:rsidR="0024769F" w:rsidRPr="0014426D" w:rsidRDefault="0024769F" w:rsidP="0014426D">
      <w:pPr>
        <w:pStyle w:val="Textonotapie"/>
        <w:spacing w:after="0" w:line="240" w:lineRule="auto"/>
        <w:ind w:firstLine="709"/>
        <w:rPr>
          <w:rFonts w:ascii="Arial" w:hAnsi="Arial" w:cs="Arial"/>
          <w:sz w:val="19"/>
          <w:szCs w:val="19"/>
          <w:lang w:val="es-ES"/>
        </w:rPr>
      </w:pPr>
    </w:p>
  </w:footnote>
  <w:footnote w:id="6">
    <w:p w14:paraId="2B34AD6D" w14:textId="77777777" w:rsidR="00107669" w:rsidRPr="0014426D" w:rsidRDefault="00107669" w:rsidP="0014426D">
      <w:pPr>
        <w:spacing w:after="0" w:line="240" w:lineRule="auto"/>
        <w:ind w:firstLine="709"/>
        <w:rPr>
          <w:rFonts w:ascii="Arial" w:hAnsi="Arial" w:cs="Arial"/>
          <w:sz w:val="19"/>
          <w:szCs w:val="19"/>
        </w:rPr>
      </w:pPr>
      <w:r w:rsidRPr="0014426D">
        <w:rPr>
          <w:rStyle w:val="Refdenotaalpie"/>
          <w:rFonts w:ascii="Arial" w:hAnsi="Arial" w:cs="Arial"/>
          <w:sz w:val="19"/>
          <w:szCs w:val="19"/>
        </w:rPr>
        <w:footnoteRef/>
      </w:r>
      <w:r w:rsidRPr="0014426D">
        <w:rPr>
          <w:rFonts w:ascii="Arial" w:hAnsi="Arial" w:cs="Arial"/>
          <w:sz w:val="19"/>
          <w:szCs w:val="19"/>
        </w:rPr>
        <w:t xml:space="preserve"> </w:t>
      </w:r>
      <w:r w:rsidRPr="0014426D">
        <w:rPr>
          <w:rFonts w:ascii="Arial" w:hAnsi="Arial" w:cs="Arial"/>
          <w:sz w:val="19"/>
          <w:szCs w:val="19"/>
          <w:lang w:val="es-ES"/>
        </w:rPr>
        <w:t>En efecto, el artículo 34 de la Ley 2069 de 2020 establece: «</w:t>
      </w:r>
      <w:r w:rsidRPr="0014426D">
        <w:rPr>
          <w:rFonts w:ascii="Arial" w:hAnsi="Arial" w:cs="Arial"/>
          <w:sz w:val="19"/>
          <w:szCs w:val="19"/>
        </w:rPr>
        <w:t xml:space="preserve">Modifíquese el artículo 12 de la Ley 1150 de 2007, el cual quedará así: </w:t>
      </w:r>
    </w:p>
    <w:p w14:paraId="1EEE00A5" w14:textId="77777777" w:rsidR="00107669" w:rsidRPr="0014426D" w:rsidRDefault="00107669" w:rsidP="0014426D">
      <w:pPr>
        <w:spacing w:after="0" w:line="240" w:lineRule="auto"/>
        <w:ind w:firstLine="709"/>
        <w:rPr>
          <w:rFonts w:ascii="Arial" w:eastAsia="Calibri" w:hAnsi="Arial" w:cs="Arial"/>
          <w:color w:val="000000"/>
          <w:sz w:val="19"/>
          <w:szCs w:val="19"/>
          <w:lang w:val="es-ES_tradnl"/>
        </w:rPr>
      </w:pPr>
      <w:r w:rsidRPr="0014426D">
        <w:rPr>
          <w:rFonts w:ascii="Arial" w:eastAsia="Calibri" w:hAnsi="Arial" w:cs="Arial"/>
          <w:color w:val="000000"/>
          <w:sz w:val="19"/>
          <w:szCs w:val="19"/>
        </w:rPr>
        <w:t>»</w:t>
      </w:r>
      <w:r w:rsidRPr="0014426D">
        <w:rPr>
          <w:rFonts w:ascii="Arial" w:eastAsia="Calibri" w:hAnsi="Arial" w:cs="Arial"/>
          <w:color w:val="000000"/>
          <w:sz w:val="19"/>
          <w:szCs w:val="19"/>
          <w:lang w:val="es-ES_tradnl"/>
        </w:rPr>
        <w:t xml:space="preserve">"Artículo 12. Promoción del desarrollo en la contratación pública. De conformidad con lo dispuesto en los artículos 13, 333 y 334 de la Constitución Política, el Gobierno Nacional definirá las condiciones y los montos de acuerdo con los compromisos internacionales vigentes, para que, en desarrollo de los Procesos de Contratación, las Entidades Estatales indistintamente de su régimen de contratación, los patrimonios autónomos constituidos por Entidades Estatales y los particulares que ejecuten recursos públicos, adopten en beneficio de las </w:t>
      </w:r>
      <w:proofErr w:type="spellStart"/>
      <w:r w:rsidRPr="0014426D">
        <w:rPr>
          <w:rFonts w:ascii="Arial" w:eastAsia="Calibri" w:hAnsi="Arial" w:cs="Arial"/>
          <w:color w:val="000000"/>
          <w:sz w:val="19"/>
          <w:szCs w:val="19"/>
          <w:lang w:val="es-ES_tradnl"/>
        </w:rPr>
        <w:t>Mipyme</w:t>
      </w:r>
      <w:proofErr w:type="spellEnd"/>
      <w:r w:rsidRPr="0014426D">
        <w:rPr>
          <w:rFonts w:ascii="Arial" w:eastAsia="Calibri" w:hAnsi="Arial" w:cs="Arial"/>
          <w:color w:val="000000"/>
          <w:sz w:val="19"/>
          <w:szCs w:val="19"/>
          <w:lang w:val="es-ES_tradnl"/>
        </w:rPr>
        <w:t xml:space="preserve">, convocatorias limitadas a estas en las que, previo a la Resolución de apertura del proceso respectivo, se haya manifestado el interés de por lo menos dos (2) </w:t>
      </w:r>
      <w:proofErr w:type="spellStart"/>
      <w:r w:rsidRPr="0014426D">
        <w:rPr>
          <w:rFonts w:ascii="Arial" w:eastAsia="Calibri" w:hAnsi="Arial" w:cs="Arial"/>
          <w:color w:val="000000"/>
          <w:sz w:val="19"/>
          <w:szCs w:val="19"/>
          <w:lang w:val="es-ES_tradnl"/>
        </w:rPr>
        <w:t>Mipyme</w:t>
      </w:r>
      <w:proofErr w:type="spellEnd"/>
      <w:r w:rsidRPr="0014426D">
        <w:rPr>
          <w:rFonts w:ascii="Arial" w:eastAsia="Calibri" w:hAnsi="Arial" w:cs="Arial"/>
          <w:color w:val="000000"/>
          <w:sz w:val="19"/>
          <w:szCs w:val="19"/>
          <w:lang w:val="es-ES_tradnl"/>
        </w:rPr>
        <w:t>.</w:t>
      </w:r>
    </w:p>
    <w:p w14:paraId="2B9B8FD0" w14:textId="77777777" w:rsidR="00107669" w:rsidRPr="0014426D" w:rsidRDefault="00107669" w:rsidP="0014426D">
      <w:pPr>
        <w:spacing w:after="0" w:line="240" w:lineRule="auto"/>
        <w:ind w:firstLine="709"/>
        <w:rPr>
          <w:rFonts w:ascii="Arial" w:eastAsia="Calibri" w:hAnsi="Arial" w:cs="Arial"/>
          <w:color w:val="000000"/>
          <w:sz w:val="19"/>
          <w:szCs w:val="19"/>
          <w:lang w:val="es-ES_tradnl"/>
        </w:rPr>
      </w:pPr>
      <w:proofErr w:type="gramStart"/>
      <w:r w:rsidRPr="0014426D">
        <w:rPr>
          <w:rFonts w:ascii="Arial" w:eastAsia="Calibri" w:hAnsi="Arial" w:cs="Arial"/>
          <w:color w:val="000000"/>
          <w:sz w:val="19"/>
          <w:szCs w:val="19"/>
          <w:lang w:val="es-ES_tradnl"/>
        </w:rPr>
        <w:t>»Asimismo</w:t>
      </w:r>
      <w:proofErr w:type="gramEnd"/>
      <w:r w:rsidRPr="0014426D">
        <w:rPr>
          <w:rFonts w:ascii="Arial" w:eastAsia="Calibri" w:hAnsi="Arial" w:cs="Arial"/>
          <w:color w:val="000000"/>
          <w:sz w:val="19"/>
          <w:szCs w:val="19"/>
          <w:lang w:val="es-ES_tradnl"/>
        </w:rPr>
        <w:t xml:space="preserve">, el reglamento podrá establecer condiciones preferenciales a favor de la oferta de bienes y servicios producidos por las </w:t>
      </w:r>
      <w:proofErr w:type="spellStart"/>
      <w:r w:rsidRPr="0014426D">
        <w:rPr>
          <w:rFonts w:ascii="Arial" w:eastAsia="Calibri" w:hAnsi="Arial" w:cs="Arial"/>
          <w:color w:val="000000"/>
          <w:sz w:val="19"/>
          <w:szCs w:val="19"/>
          <w:lang w:val="es-ES_tradnl"/>
        </w:rPr>
        <w:t>Mipyme</w:t>
      </w:r>
      <w:proofErr w:type="spellEnd"/>
      <w:r w:rsidRPr="0014426D">
        <w:rPr>
          <w:rFonts w:ascii="Arial" w:eastAsia="Calibri" w:hAnsi="Arial" w:cs="Arial"/>
          <w:color w:val="000000"/>
          <w:sz w:val="19"/>
          <w:szCs w:val="19"/>
          <w:lang w:val="es-ES_tradnl"/>
        </w:rPr>
        <w:t xml:space="preserve"> respetando los montos y las condiciones contenidas en los compromisos internacionales vigentes, cuando sean aplicables.</w:t>
      </w:r>
    </w:p>
    <w:p w14:paraId="09E8D830" w14:textId="77777777" w:rsidR="00107669" w:rsidRPr="0014426D" w:rsidRDefault="00107669" w:rsidP="0014426D">
      <w:pPr>
        <w:spacing w:after="0" w:line="240" w:lineRule="auto"/>
        <w:ind w:firstLine="709"/>
        <w:rPr>
          <w:rFonts w:ascii="Arial" w:eastAsia="Calibri" w:hAnsi="Arial" w:cs="Arial"/>
          <w:color w:val="000000"/>
          <w:sz w:val="19"/>
          <w:szCs w:val="19"/>
          <w:lang w:val="es-ES_tradnl"/>
        </w:rPr>
      </w:pPr>
      <w:proofErr w:type="gramStart"/>
      <w:r w:rsidRPr="0014426D">
        <w:rPr>
          <w:rFonts w:ascii="Arial" w:eastAsia="Calibri" w:hAnsi="Arial" w:cs="Arial"/>
          <w:color w:val="000000"/>
          <w:sz w:val="19"/>
          <w:szCs w:val="19"/>
          <w:lang w:val="es-ES_tradnl"/>
        </w:rPr>
        <w:t>»En</w:t>
      </w:r>
      <w:proofErr w:type="gramEnd"/>
      <w:r w:rsidRPr="0014426D">
        <w:rPr>
          <w:rFonts w:ascii="Arial" w:eastAsia="Calibri" w:hAnsi="Arial" w:cs="Arial"/>
          <w:color w:val="000000"/>
          <w:sz w:val="19"/>
          <w:szCs w:val="19"/>
          <w:lang w:val="es-ES_tradnl"/>
        </w:rPr>
        <w:t xml:space="preserve"> todo caso, se deberá garantizar la satisfacción de las condiciones técnicas y económicas requeridas en el Proceso de Contratación.</w:t>
      </w:r>
    </w:p>
    <w:p w14:paraId="44BA50B3" w14:textId="77777777" w:rsidR="00107669" w:rsidRPr="0014426D" w:rsidRDefault="00107669" w:rsidP="0014426D">
      <w:pPr>
        <w:spacing w:after="0" w:line="240" w:lineRule="auto"/>
        <w:ind w:firstLine="709"/>
        <w:rPr>
          <w:rFonts w:ascii="Arial" w:eastAsia="Calibri" w:hAnsi="Arial" w:cs="Arial"/>
          <w:color w:val="000000"/>
          <w:sz w:val="19"/>
          <w:szCs w:val="19"/>
          <w:lang w:val="es-ES_tradnl"/>
        </w:rPr>
      </w:pPr>
      <w:proofErr w:type="gramStart"/>
      <w:r w:rsidRPr="0014426D">
        <w:rPr>
          <w:rFonts w:ascii="Arial" w:eastAsia="Calibri" w:hAnsi="Arial" w:cs="Arial"/>
          <w:color w:val="000000"/>
          <w:sz w:val="19"/>
          <w:szCs w:val="19"/>
          <w:lang w:val="es-ES_tradnl"/>
        </w:rPr>
        <w:t>»De</w:t>
      </w:r>
      <w:proofErr w:type="gramEnd"/>
      <w:r w:rsidRPr="0014426D">
        <w:rPr>
          <w:rFonts w:ascii="Arial" w:eastAsia="Calibri" w:hAnsi="Arial" w:cs="Arial"/>
          <w:color w:val="000000"/>
          <w:sz w:val="19"/>
          <w:szCs w:val="19"/>
          <w:lang w:val="es-ES_tradnl"/>
        </w:rPr>
        <w:t xml:space="preserve"> igual forma, en los pliegos de condiciones dispondrán, de mecanismos que fomenten en la ejecución de los contratos estatales la provisión de bienes y servicios por población en pobreza extrema, desplazados por la violencia, personas en proceso de reintegración o reincorporación y, sujetos de especial protección constitucional en las condiciones que señale el reglamento; siempre que se garanticen las condiciones de calidad y cumplimiento del objeto contractual.</w:t>
      </w:r>
    </w:p>
    <w:p w14:paraId="3AB6C3C3" w14:textId="77777777" w:rsidR="00107669" w:rsidRPr="0014426D" w:rsidRDefault="00107669" w:rsidP="0014426D">
      <w:pPr>
        <w:spacing w:after="0" w:line="240" w:lineRule="auto"/>
        <w:ind w:firstLine="709"/>
        <w:rPr>
          <w:rFonts w:ascii="Arial" w:eastAsia="Calibri" w:hAnsi="Arial" w:cs="Arial"/>
          <w:color w:val="000000"/>
          <w:sz w:val="19"/>
          <w:szCs w:val="19"/>
          <w:lang w:val="es-ES_tradnl"/>
        </w:rPr>
      </w:pPr>
      <w:proofErr w:type="gramStart"/>
      <w:r w:rsidRPr="0014426D">
        <w:rPr>
          <w:rFonts w:ascii="Arial" w:eastAsia="Calibri" w:hAnsi="Arial" w:cs="Arial"/>
          <w:color w:val="000000"/>
          <w:sz w:val="19"/>
          <w:szCs w:val="19"/>
          <w:lang w:val="es-ES_tradnl"/>
        </w:rPr>
        <w:t>»Parágrafo</w:t>
      </w:r>
      <w:proofErr w:type="gramEnd"/>
      <w:r w:rsidRPr="0014426D">
        <w:rPr>
          <w:rFonts w:ascii="Arial" w:eastAsia="Calibri" w:hAnsi="Arial" w:cs="Arial"/>
          <w:color w:val="000000"/>
          <w:sz w:val="19"/>
          <w:szCs w:val="19"/>
          <w:lang w:val="es-ES_tradnl"/>
        </w:rPr>
        <w:t xml:space="preserve"> Primero. En los Procesos de Contratación que se desarrollen con base en el primer inciso, las entidades podrán realizar las convocatorias limitadas que beneficien a las </w:t>
      </w:r>
      <w:proofErr w:type="spellStart"/>
      <w:r w:rsidRPr="0014426D">
        <w:rPr>
          <w:rFonts w:ascii="Arial" w:eastAsia="Calibri" w:hAnsi="Arial" w:cs="Arial"/>
          <w:color w:val="000000"/>
          <w:sz w:val="19"/>
          <w:szCs w:val="19"/>
          <w:lang w:val="es-ES_tradnl"/>
        </w:rPr>
        <w:t>Mipyme</w:t>
      </w:r>
      <w:proofErr w:type="spellEnd"/>
      <w:r w:rsidRPr="0014426D">
        <w:rPr>
          <w:rFonts w:ascii="Arial" w:eastAsia="Calibri" w:hAnsi="Arial" w:cs="Arial"/>
          <w:color w:val="000000"/>
          <w:sz w:val="19"/>
          <w:szCs w:val="19"/>
          <w:lang w:val="es-ES_tradnl"/>
        </w:rPr>
        <w:t xml:space="preserve"> del ámbito municipal o departamental correspondiente al de la ejecución del contrato.</w:t>
      </w:r>
    </w:p>
    <w:p w14:paraId="1080D66D" w14:textId="77777777" w:rsidR="00107669" w:rsidRPr="0014426D" w:rsidRDefault="00107669" w:rsidP="0014426D">
      <w:pPr>
        <w:spacing w:after="0" w:line="240" w:lineRule="auto"/>
        <w:ind w:firstLine="709"/>
        <w:rPr>
          <w:rFonts w:ascii="Arial" w:eastAsia="Calibri" w:hAnsi="Arial" w:cs="Arial"/>
          <w:color w:val="000000"/>
          <w:sz w:val="19"/>
          <w:szCs w:val="19"/>
          <w:lang w:val="es-ES_tradnl"/>
        </w:rPr>
      </w:pPr>
      <w:proofErr w:type="gramStart"/>
      <w:r w:rsidRPr="0014426D">
        <w:rPr>
          <w:rFonts w:ascii="Arial" w:eastAsia="Calibri" w:hAnsi="Arial" w:cs="Arial"/>
          <w:color w:val="000000"/>
          <w:sz w:val="19"/>
          <w:szCs w:val="19"/>
          <w:lang w:val="es-ES_tradnl"/>
        </w:rPr>
        <w:t>»Parágrafo</w:t>
      </w:r>
      <w:proofErr w:type="gramEnd"/>
      <w:r w:rsidRPr="0014426D">
        <w:rPr>
          <w:rFonts w:ascii="Arial" w:eastAsia="Calibri" w:hAnsi="Arial" w:cs="Arial"/>
          <w:color w:val="000000"/>
          <w:sz w:val="19"/>
          <w:szCs w:val="19"/>
          <w:lang w:val="es-ES_tradnl"/>
        </w:rPr>
        <w:t xml:space="preserve"> Segundo. Sin perjuicio de lo dispuesto en los artículos 5 y 6 de la Ley 1150 de 2007, para que las </w:t>
      </w:r>
      <w:proofErr w:type="spellStart"/>
      <w:r w:rsidRPr="0014426D">
        <w:rPr>
          <w:rFonts w:ascii="Arial" w:eastAsia="Calibri" w:hAnsi="Arial" w:cs="Arial"/>
          <w:color w:val="000000"/>
          <w:sz w:val="19"/>
          <w:szCs w:val="19"/>
          <w:lang w:val="es-ES_tradnl"/>
        </w:rPr>
        <w:t>Mipymes</w:t>
      </w:r>
      <w:proofErr w:type="spellEnd"/>
      <w:r w:rsidRPr="0014426D">
        <w:rPr>
          <w:rFonts w:ascii="Arial" w:eastAsia="Calibri" w:hAnsi="Arial" w:cs="Arial"/>
          <w:color w:val="000000"/>
          <w:sz w:val="19"/>
          <w:szCs w:val="19"/>
          <w:lang w:val="es-ES_tradnl"/>
        </w:rPr>
        <w:t xml:space="preserve"> puedan participar en las convocatorias a las que se refiere este artículo, deberán acreditar como mínimo un año de existencia, para lo cual deberán presentar el certificado expedido por la cámara de comercio o por la autoridad que sea competente para dicha acreditación.</w:t>
      </w:r>
    </w:p>
    <w:p w14:paraId="39AECB1F" w14:textId="77777777" w:rsidR="00107669" w:rsidRPr="0014426D" w:rsidRDefault="00107669" w:rsidP="0014426D">
      <w:pPr>
        <w:spacing w:after="0" w:line="240" w:lineRule="auto"/>
        <w:ind w:firstLine="709"/>
        <w:rPr>
          <w:rFonts w:ascii="Arial" w:eastAsia="Calibri" w:hAnsi="Arial" w:cs="Arial"/>
          <w:color w:val="000000"/>
          <w:sz w:val="19"/>
          <w:szCs w:val="19"/>
          <w:lang w:val="es-ES_tradnl"/>
        </w:rPr>
      </w:pPr>
      <w:proofErr w:type="gramStart"/>
      <w:r w:rsidRPr="0014426D">
        <w:rPr>
          <w:rFonts w:ascii="Arial" w:eastAsia="Calibri" w:hAnsi="Arial" w:cs="Arial"/>
          <w:color w:val="000000"/>
          <w:sz w:val="19"/>
          <w:szCs w:val="19"/>
          <w:lang w:val="es-ES_tradnl"/>
        </w:rPr>
        <w:t>»Parágrafo</w:t>
      </w:r>
      <w:proofErr w:type="gramEnd"/>
      <w:r w:rsidRPr="0014426D">
        <w:rPr>
          <w:rFonts w:ascii="Arial" w:eastAsia="Calibri" w:hAnsi="Arial" w:cs="Arial"/>
          <w:color w:val="000000"/>
          <w:sz w:val="19"/>
          <w:szCs w:val="19"/>
          <w:lang w:val="es-ES_tradnl"/>
        </w:rPr>
        <w:t xml:space="preserve"> Tercero. En la ejecución de los contratos a que se refiere el presente artículo, las entidades y los contratistas, deberán observar lo dispuesto en los artículos 90 a 95 de la Ley 418 de 1997 y las normas que la modifiquen, adicionen o subroguen."»  </w:t>
      </w:r>
    </w:p>
    <w:p w14:paraId="01B32E98" w14:textId="77777777" w:rsidR="00107669" w:rsidRPr="0014426D" w:rsidRDefault="00107669" w:rsidP="0014426D">
      <w:pPr>
        <w:pStyle w:val="Textonotapie"/>
        <w:spacing w:after="0" w:line="240" w:lineRule="auto"/>
        <w:ind w:firstLine="709"/>
        <w:rPr>
          <w:rFonts w:ascii="Arial" w:hAnsi="Arial" w:cs="Arial"/>
          <w:sz w:val="19"/>
          <w:szCs w:val="19"/>
          <w:lang w:val="es-ES_tradnl"/>
        </w:rPr>
      </w:pPr>
    </w:p>
  </w:footnote>
  <w:footnote w:id="7">
    <w:p w14:paraId="520F37E3" w14:textId="77777777" w:rsidR="00107669" w:rsidRPr="0014426D" w:rsidRDefault="00107669" w:rsidP="0014426D">
      <w:pPr>
        <w:spacing w:after="0" w:line="240" w:lineRule="auto"/>
        <w:ind w:firstLine="709"/>
        <w:rPr>
          <w:rFonts w:ascii="Arial" w:hAnsi="Arial" w:cs="Arial"/>
          <w:sz w:val="19"/>
          <w:szCs w:val="19"/>
          <w:lang w:val="es-ES"/>
        </w:rPr>
      </w:pPr>
      <w:r w:rsidRPr="0014426D">
        <w:rPr>
          <w:rStyle w:val="Refdenotaalpie"/>
          <w:rFonts w:ascii="Arial" w:hAnsi="Arial" w:cs="Arial"/>
          <w:sz w:val="19"/>
          <w:szCs w:val="19"/>
        </w:rPr>
        <w:footnoteRef/>
      </w:r>
      <w:r w:rsidRPr="0014426D">
        <w:rPr>
          <w:rFonts w:ascii="Arial" w:hAnsi="Arial" w:cs="Arial"/>
          <w:sz w:val="19"/>
          <w:szCs w:val="19"/>
        </w:rPr>
        <w:t xml:space="preserve"> </w:t>
      </w:r>
      <w:r w:rsidRPr="0014426D">
        <w:rPr>
          <w:rFonts w:ascii="Arial" w:hAnsi="Arial" w:cs="Arial"/>
          <w:sz w:val="19"/>
          <w:szCs w:val="19"/>
          <w:lang w:val="es-ES"/>
        </w:rPr>
        <w:t>Corte Constitucional. Sentencia C-502 de 2012. Magistrada Ponente: Adriana María Guillén Arango.</w:t>
      </w:r>
    </w:p>
    <w:p w14:paraId="2CDFE1ED" w14:textId="77777777" w:rsidR="00107669" w:rsidRPr="0014426D" w:rsidRDefault="00107669" w:rsidP="0014426D">
      <w:pPr>
        <w:pStyle w:val="Textonotapie"/>
        <w:spacing w:after="0" w:line="240" w:lineRule="auto"/>
        <w:ind w:firstLine="709"/>
        <w:rPr>
          <w:rFonts w:ascii="Arial" w:hAnsi="Arial" w:cs="Arial"/>
          <w:sz w:val="19"/>
          <w:szCs w:val="19"/>
          <w:lang w:val="es-ES"/>
        </w:rPr>
      </w:pPr>
      <w:r w:rsidRPr="0014426D">
        <w:rPr>
          <w:rFonts w:ascii="Arial" w:hAnsi="Arial" w:cs="Arial"/>
          <w:sz w:val="19"/>
          <w:szCs w:val="19"/>
          <w:lang w:val="es-ES"/>
        </w:rPr>
        <w:t xml:space="preserve"> </w:t>
      </w:r>
    </w:p>
  </w:footnote>
  <w:footnote w:id="8">
    <w:p w14:paraId="23EAFF24" w14:textId="77777777" w:rsidR="00107669" w:rsidRPr="0024769F" w:rsidRDefault="00107669" w:rsidP="0014426D">
      <w:pPr>
        <w:pStyle w:val="Textonotapie"/>
        <w:spacing w:after="0" w:line="240" w:lineRule="auto"/>
        <w:ind w:firstLine="708"/>
        <w:rPr>
          <w:rFonts w:ascii="Arial" w:hAnsi="Arial" w:cs="Arial"/>
          <w:sz w:val="19"/>
          <w:szCs w:val="19"/>
          <w:lang w:val="es-CO"/>
        </w:rPr>
      </w:pPr>
      <w:r w:rsidRPr="0014426D">
        <w:rPr>
          <w:rStyle w:val="Refdenotaalpie"/>
          <w:rFonts w:ascii="Arial" w:hAnsi="Arial" w:cs="Arial"/>
          <w:sz w:val="19"/>
          <w:szCs w:val="19"/>
        </w:rPr>
        <w:footnoteRef/>
      </w:r>
      <w:r w:rsidRPr="0014426D">
        <w:rPr>
          <w:rFonts w:ascii="Arial" w:hAnsi="Arial" w:cs="Arial"/>
          <w:sz w:val="19"/>
          <w:szCs w:val="19"/>
        </w:rPr>
        <w:t xml:space="preserve"> Dicho artículo indica que «</w:t>
      </w:r>
      <w:r w:rsidRPr="0014426D">
        <w:rPr>
          <w:rFonts w:ascii="Arial" w:hAnsi="Arial" w:cs="Arial"/>
          <w:color w:val="000000"/>
          <w:sz w:val="19"/>
          <w:szCs w:val="19"/>
        </w:rPr>
        <w:t xml:space="preserve">Las Entidades Estatales pueden realizar convocatorias limitadas a </w:t>
      </w:r>
      <w:proofErr w:type="spellStart"/>
      <w:r w:rsidRPr="0014426D">
        <w:rPr>
          <w:rFonts w:ascii="Arial" w:hAnsi="Arial" w:cs="Arial"/>
          <w:color w:val="000000"/>
          <w:sz w:val="19"/>
          <w:szCs w:val="19"/>
        </w:rPr>
        <w:t>Mipyme</w:t>
      </w:r>
      <w:proofErr w:type="spellEnd"/>
      <w:r w:rsidRPr="0014426D">
        <w:rPr>
          <w:rFonts w:ascii="Arial" w:hAnsi="Arial" w:cs="Arial"/>
          <w:color w:val="000000"/>
          <w:sz w:val="19"/>
          <w:szCs w:val="19"/>
        </w:rPr>
        <w:t xml:space="preserve"> nacionales domiciliadas en los departamentos o municipios en donde se va a ejecutar el contrato. La </w:t>
      </w:r>
      <w:proofErr w:type="spellStart"/>
      <w:r w:rsidRPr="0014426D">
        <w:rPr>
          <w:rFonts w:ascii="Arial" w:hAnsi="Arial" w:cs="Arial"/>
          <w:color w:val="000000"/>
          <w:sz w:val="19"/>
          <w:szCs w:val="19"/>
        </w:rPr>
        <w:t>Mipyme</w:t>
      </w:r>
      <w:proofErr w:type="spellEnd"/>
      <w:r w:rsidRPr="0014426D">
        <w:rPr>
          <w:rFonts w:ascii="Arial" w:hAnsi="Arial" w:cs="Arial"/>
          <w:color w:val="000000"/>
          <w:sz w:val="19"/>
          <w:szCs w:val="19"/>
        </w:rPr>
        <w:t xml:space="preserve"> debe acreditar su domicilio con el registro mercantil o el certificado de existencia y representación legal de la e</w:t>
      </w:r>
      <w:r w:rsidRPr="0024769F">
        <w:rPr>
          <w:rFonts w:ascii="Arial" w:hAnsi="Arial" w:cs="Arial"/>
          <w:color w:val="000000"/>
          <w:sz w:val="19"/>
          <w:szCs w:val="19"/>
        </w:rPr>
        <w:t>mpresa». </w:t>
      </w:r>
      <w:r w:rsidRPr="0024769F">
        <w:rPr>
          <w:rFonts w:ascii="Arial" w:hAnsi="Arial" w:cs="Arial"/>
          <w:sz w:val="19"/>
          <w:szCs w:val="19"/>
        </w:rPr>
        <w:t xml:space="preserve"> </w:t>
      </w:r>
    </w:p>
  </w:footnote>
  <w:footnote w:id="9">
    <w:p w14:paraId="094ACAD8" w14:textId="77777777" w:rsidR="00107669" w:rsidRPr="0024769F" w:rsidRDefault="00107669" w:rsidP="0024769F">
      <w:pPr>
        <w:pStyle w:val="Textonotapie"/>
        <w:spacing w:after="0" w:line="240" w:lineRule="auto"/>
        <w:ind w:firstLine="708"/>
        <w:rPr>
          <w:rFonts w:ascii="Arial" w:hAnsi="Arial" w:cs="Arial"/>
          <w:sz w:val="19"/>
          <w:szCs w:val="19"/>
        </w:rPr>
      </w:pPr>
      <w:r w:rsidRPr="0024769F">
        <w:rPr>
          <w:rStyle w:val="Refdenotaalpie"/>
          <w:rFonts w:ascii="Arial" w:hAnsi="Arial" w:cs="Arial"/>
          <w:sz w:val="19"/>
          <w:szCs w:val="19"/>
        </w:rPr>
        <w:footnoteRef/>
      </w:r>
      <w:r w:rsidRPr="0024769F">
        <w:rPr>
          <w:rFonts w:ascii="Arial" w:hAnsi="Arial" w:cs="Arial"/>
          <w:sz w:val="19"/>
          <w:szCs w:val="19"/>
        </w:rPr>
        <w:t xml:space="preserve">  Agencia Nacional de Contratación Pública – Colombia Compra Eficiente. Concepto C-045 del 17 de marzo de 2020. Radicado de salida No. 2202013000001974.</w:t>
      </w:r>
    </w:p>
  </w:footnote>
  <w:footnote w:id="10">
    <w:p w14:paraId="634F2756" w14:textId="77777777" w:rsidR="001504A5" w:rsidRPr="0024769F" w:rsidRDefault="001504A5" w:rsidP="0024769F">
      <w:pPr>
        <w:spacing w:after="0" w:line="240" w:lineRule="auto"/>
        <w:ind w:firstLine="708"/>
        <w:jc w:val="left"/>
        <w:rPr>
          <w:rFonts w:ascii="Arial" w:hAnsi="Arial" w:cs="Arial"/>
          <w:sz w:val="19"/>
          <w:szCs w:val="19"/>
        </w:rPr>
      </w:pPr>
      <w:r w:rsidRPr="0024769F">
        <w:rPr>
          <w:rStyle w:val="Refdenotaalpie"/>
          <w:rFonts w:ascii="Arial" w:hAnsi="Arial" w:cs="Arial"/>
          <w:sz w:val="19"/>
          <w:szCs w:val="19"/>
        </w:rPr>
        <w:footnoteRef/>
      </w:r>
      <w:r w:rsidRPr="0024769F">
        <w:rPr>
          <w:rFonts w:ascii="Arial" w:hAnsi="Arial" w:cs="Arial"/>
          <w:sz w:val="19"/>
          <w:szCs w:val="19"/>
        </w:rPr>
        <w:t xml:space="preserve"> SUPERINTENDENCIA DE SOCIEDADES. Oficio 220-065565 del 22 de agosto de 2012. </w:t>
      </w:r>
    </w:p>
    <w:p w14:paraId="6EA4F005" w14:textId="77777777" w:rsidR="001504A5" w:rsidRPr="0024769F" w:rsidRDefault="001504A5" w:rsidP="0024769F">
      <w:pPr>
        <w:spacing w:after="0" w:line="240" w:lineRule="auto"/>
        <w:ind w:firstLine="708"/>
        <w:jc w:val="left"/>
        <w:rPr>
          <w:rFonts w:ascii="Arial" w:hAnsi="Arial" w:cs="Arial"/>
          <w:sz w:val="19"/>
          <w:szCs w:val="19"/>
          <w:lang w:val="es-ES"/>
        </w:rPr>
      </w:pPr>
    </w:p>
  </w:footnote>
  <w:footnote w:id="11">
    <w:p w14:paraId="4898F198" w14:textId="77777777" w:rsidR="001504A5" w:rsidRPr="0024769F" w:rsidRDefault="001504A5" w:rsidP="0024769F">
      <w:pPr>
        <w:pStyle w:val="Textonotapie"/>
        <w:spacing w:after="0" w:line="240" w:lineRule="auto"/>
        <w:ind w:firstLine="708"/>
        <w:rPr>
          <w:rFonts w:ascii="Arial" w:hAnsi="Arial" w:cs="Arial"/>
          <w:sz w:val="19"/>
          <w:szCs w:val="19"/>
          <w:lang w:val="es-ES"/>
        </w:rPr>
      </w:pPr>
      <w:r w:rsidRPr="0024769F">
        <w:rPr>
          <w:rStyle w:val="Refdenotaalpie"/>
          <w:rFonts w:ascii="Arial" w:hAnsi="Arial" w:cs="Arial"/>
          <w:sz w:val="19"/>
          <w:szCs w:val="19"/>
        </w:rPr>
        <w:footnoteRef/>
      </w:r>
      <w:r w:rsidRPr="0024769F">
        <w:rPr>
          <w:rFonts w:ascii="Arial" w:hAnsi="Arial" w:cs="Arial"/>
          <w:sz w:val="19"/>
          <w:szCs w:val="19"/>
        </w:rPr>
        <w:t xml:space="preserve"> </w:t>
      </w:r>
      <w:bookmarkStart w:id="6" w:name="76"/>
      <w:r w:rsidRPr="0024769F">
        <w:rPr>
          <w:rFonts w:ascii="Arial" w:hAnsi="Arial" w:cs="Arial"/>
          <w:bCs/>
          <w:sz w:val="19"/>
          <w:szCs w:val="19"/>
        </w:rPr>
        <w:t>Artículo 76. Domicilio.</w:t>
      </w:r>
      <w:bookmarkEnd w:id="6"/>
      <w:r w:rsidRPr="0024769F">
        <w:rPr>
          <w:rFonts w:ascii="Arial" w:hAnsi="Arial" w:cs="Arial"/>
          <w:sz w:val="19"/>
          <w:szCs w:val="19"/>
        </w:rPr>
        <w:t> El domicilio consiste en la residencia acompañada, real o presuntivamente del ánimo de permanecer en ella.</w:t>
      </w:r>
    </w:p>
  </w:footnote>
  <w:footnote w:id="12">
    <w:p w14:paraId="15546DE1" w14:textId="77777777" w:rsidR="00107669" w:rsidRPr="0024769F" w:rsidRDefault="00107669" w:rsidP="0024769F">
      <w:pPr>
        <w:pStyle w:val="Textonotapie"/>
        <w:spacing w:after="0" w:line="240" w:lineRule="auto"/>
        <w:ind w:firstLine="708"/>
        <w:rPr>
          <w:rFonts w:ascii="Arial" w:hAnsi="Arial" w:cs="Arial"/>
          <w:sz w:val="19"/>
          <w:szCs w:val="19"/>
        </w:rPr>
      </w:pPr>
      <w:r w:rsidRPr="0024769F">
        <w:rPr>
          <w:rStyle w:val="Refdenotaalpie"/>
          <w:rFonts w:ascii="Arial" w:hAnsi="Arial" w:cs="Arial"/>
          <w:sz w:val="19"/>
          <w:szCs w:val="19"/>
        </w:rPr>
        <w:footnoteRef/>
      </w:r>
      <w:r w:rsidRPr="0024769F">
        <w:rPr>
          <w:rFonts w:ascii="Arial" w:hAnsi="Arial" w:cs="Arial"/>
          <w:sz w:val="19"/>
          <w:szCs w:val="19"/>
        </w:rPr>
        <w:t xml:space="preserve"> ARTÍCULO 2.2.1.2.4.2.2. Convocatorias limitadas a </w:t>
      </w:r>
      <w:proofErr w:type="spellStart"/>
      <w:r w:rsidRPr="0024769F">
        <w:rPr>
          <w:rFonts w:ascii="Arial" w:hAnsi="Arial" w:cs="Arial"/>
          <w:sz w:val="19"/>
          <w:szCs w:val="19"/>
        </w:rPr>
        <w:t>Mípyme</w:t>
      </w:r>
      <w:proofErr w:type="spellEnd"/>
      <w:r w:rsidRPr="0024769F">
        <w:rPr>
          <w:rFonts w:ascii="Arial" w:hAnsi="Arial" w:cs="Arial"/>
          <w:sz w:val="19"/>
          <w:szCs w:val="19"/>
        </w:rPr>
        <w:t xml:space="preserve">. Las Entidades Estatales independientemente de su régimen de contratación, los patrimonios autónomos constituidos por Entidades Estatales y los particulares que ejecuten recursos públicos, deben limitar la convocatoria de los Procesos de Contratación con pluralidad de oferentes a las </w:t>
      </w:r>
      <w:proofErr w:type="spellStart"/>
      <w:r w:rsidRPr="0024769F">
        <w:rPr>
          <w:rFonts w:ascii="Arial" w:hAnsi="Arial" w:cs="Arial"/>
          <w:sz w:val="19"/>
          <w:szCs w:val="19"/>
        </w:rPr>
        <w:t>Mipyme</w:t>
      </w:r>
      <w:proofErr w:type="spellEnd"/>
      <w:r w:rsidRPr="0024769F">
        <w:rPr>
          <w:rFonts w:ascii="Arial" w:hAnsi="Arial" w:cs="Arial"/>
          <w:sz w:val="19"/>
          <w:szCs w:val="19"/>
        </w:rPr>
        <w:t xml:space="preserve"> colombianas con mínimo un (1) año de existencia, cuando concurran los siguientes requisitos: </w:t>
      </w:r>
    </w:p>
    <w:p w14:paraId="6308070F" w14:textId="77777777" w:rsidR="00107669" w:rsidRPr="0024769F" w:rsidRDefault="00107669" w:rsidP="0024769F">
      <w:pPr>
        <w:pStyle w:val="Textonotapie"/>
        <w:spacing w:after="0" w:line="240" w:lineRule="auto"/>
        <w:ind w:firstLine="708"/>
        <w:rPr>
          <w:rFonts w:ascii="Arial" w:hAnsi="Arial" w:cs="Arial"/>
          <w:sz w:val="19"/>
          <w:szCs w:val="19"/>
        </w:rPr>
      </w:pPr>
      <w:r w:rsidRPr="0024769F">
        <w:rPr>
          <w:rFonts w:ascii="Arial" w:hAnsi="Arial" w:cs="Arial"/>
          <w:sz w:val="19"/>
          <w:szCs w:val="19"/>
        </w:rPr>
        <w:t xml:space="preserve">1. El valor del Proceso de Contratación sea menor a ciento veinticinco mil dólares de los Estados Unidos de América (US$125.000), liquidados con la tasa de cambio que para el efecto determina cada dos años el Ministerio de Comercio, Industria y Turismo. </w:t>
      </w:r>
    </w:p>
    <w:p w14:paraId="4603BEBD" w14:textId="77777777" w:rsidR="00107669" w:rsidRPr="0024769F" w:rsidRDefault="00107669" w:rsidP="0024769F">
      <w:pPr>
        <w:pStyle w:val="Textonotapie"/>
        <w:spacing w:after="0" w:line="240" w:lineRule="auto"/>
        <w:ind w:firstLine="708"/>
        <w:rPr>
          <w:rFonts w:ascii="Arial" w:hAnsi="Arial" w:cs="Arial"/>
          <w:sz w:val="19"/>
          <w:szCs w:val="19"/>
        </w:rPr>
      </w:pPr>
      <w:r w:rsidRPr="0024769F">
        <w:rPr>
          <w:rFonts w:ascii="Arial" w:hAnsi="Arial" w:cs="Arial"/>
          <w:sz w:val="19"/>
          <w:szCs w:val="19"/>
        </w:rPr>
        <w:t xml:space="preserve">2. Se hayan recibido solicitudes de por lo menos dos (2) </w:t>
      </w:r>
      <w:proofErr w:type="spellStart"/>
      <w:r w:rsidRPr="0024769F">
        <w:rPr>
          <w:rFonts w:ascii="Arial" w:hAnsi="Arial" w:cs="Arial"/>
          <w:sz w:val="19"/>
          <w:szCs w:val="19"/>
        </w:rPr>
        <w:t>Mipyme</w:t>
      </w:r>
      <w:proofErr w:type="spellEnd"/>
      <w:r w:rsidRPr="0024769F">
        <w:rPr>
          <w:rFonts w:ascii="Arial" w:hAnsi="Arial" w:cs="Arial"/>
          <w:sz w:val="19"/>
          <w:szCs w:val="19"/>
        </w:rPr>
        <w:t xml:space="preserve"> colombianas para limitar la convocatoria a </w:t>
      </w:r>
      <w:proofErr w:type="spellStart"/>
      <w:r w:rsidRPr="0024769F">
        <w:rPr>
          <w:rFonts w:ascii="Arial" w:hAnsi="Arial" w:cs="Arial"/>
          <w:sz w:val="19"/>
          <w:szCs w:val="19"/>
        </w:rPr>
        <w:t>Mipyme</w:t>
      </w:r>
      <w:proofErr w:type="spellEnd"/>
      <w:r w:rsidRPr="0024769F">
        <w:rPr>
          <w:rFonts w:ascii="Arial" w:hAnsi="Arial" w:cs="Arial"/>
          <w:sz w:val="19"/>
          <w:szCs w:val="19"/>
        </w:rPr>
        <w:t xml:space="preserve"> colombianas. Las Entidades Estatales independientemente de su régimen de contratación, los patrimonios autónomos constituidos por Entidades Estatales y los particulares que ejecuten recursos públicos, deben recibir estas solicitudes por lo menos un (1) día hábil antes de la expedición del acto administrativo de apertura, o el que haga sus veces de acuerdo con la normativa aplicable a cada Proceso de Contratación. </w:t>
      </w:r>
    </w:p>
    <w:p w14:paraId="18B92EE8" w14:textId="77777777" w:rsidR="00107669" w:rsidRPr="0024769F" w:rsidRDefault="00107669" w:rsidP="0024769F">
      <w:pPr>
        <w:pStyle w:val="Textonotapie"/>
        <w:spacing w:after="0" w:line="240" w:lineRule="auto"/>
        <w:ind w:firstLine="708"/>
        <w:rPr>
          <w:rFonts w:ascii="Arial" w:hAnsi="Arial" w:cs="Arial"/>
          <w:sz w:val="19"/>
          <w:szCs w:val="19"/>
        </w:rPr>
      </w:pPr>
      <w:r w:rsidRPr="0024769F">
        <w:rPr>
          <w:rFonts w:ascii="Arial" w:hAnsi="Arial" w:cs="Arial"/>
          <w:sz w:val="19"/>
          <w:szCs w:val="19"/>
        </w:rPr>
        <w:t xml:space="preserve">Tratándose de personas jurídicas, las solicitudes solo las podrán realizar </w:t>
      </w:r>
      <w:proofErr w:type="spellStart"/>
      <w:r w:rsidRPr="0024769F">
        <w:rPr>
          <w:rFonts w:ascii="Arial" w:hAnsi="Arial" w:cs="Arial"/>
          <w:sz w:val="19"/>
          <w:szCs w:val="19"/>
        </w:rPr>
        <w:t>Mipyme</w:t>
      </w:r>
      <w:proofErr w:type="spellEnd"/>
      <w:r w:rsidRPr="0024769F">
        <w:rPr>
          <w:rFonts w:ascii="Arial" w:hAnsi="Arial" w:cs="Arial"/>
          <w:sz w:val="19"/>
          <w:szCs w:val="19"/>
        </w:rPr>
        <w:t xml:space="preserve">, cuyo objeto social les permita ejecutar el contrato relacionado con el proceso contractual. </w:t>
      </w:r>
    </w:p>
    <w:p w14:paraId="13493062" w14:textId="77777777" w:rsidR="00107669" w:rsidRPr="0024769F" w:rsidRDefault="00107669" w:rsidP="0024769F">
      <w:pPr>
        <w:pStyle w:val="Textonotapie"/>
        <w:spacing w:after="0" w:line="240" w:lineRule="auto"/>
        <w:ind w:firstLine="708"/>
        <w:rPr>
          <w:rFonts w:ascii="Arial" w:hAnsi="Arial" w:cs="Arial"/>
          <w:sz w:val="19"/>
          <w:szCs w:val="19"/>
        </w:rPr>
      </w:pPr>
      <w:r w:rsidRPr="0024769F">
        <w:rPr>
          <w:rFonts w:ascii="Arial" w:hAnsi="Arial" w:cs="Arial"/>
          <w:sz w:val="19"/>
          <w:szCs w:val="19"/>
        </w:rPr>
        <w:t xml:space="preserve">PARÁGRAFO. Las cooperativas y demás entidades de economía solidaria, siempre que tengan la calidad de </w:t>
      </w:r>
      <w:proofErr w:type="spellStart"/>
      <w:r w:rsidRPr="0024769F">
        <w:rPr>
          <w:rFonts w:ascii="Arial" w:hAnsi="Arial" w:cs="Arial"/>
          <w:sz w:val="19"/>
          <w:szCs w:val="19"/>
        </w:rPr>
        <w:t>Mípyme</w:t>
      </w:r>
      <w:proofErr w:type="spellEnd"/>
      <w:r w:rsidRPr="0024769F">
        <w:rPr>
          <w:rFonts w:ascii="Arial" w:hAnsi="Arial" w:cs="Arial"/>
          <w:sz w:val="19"/>
          <w:szCs w:val="19"/>
        </w:rPr>
        <w:t>, podrán solicitar y participar en las convocatorias limitadas en las mismas condiciones dispuestas en el presente artículo.</w:t>
      </w:r>
    </w:p>
  </w:footnote>
  <w:footnote w:id="13">
    <w:p w14:paraId="70A59E38" w14:textId="77777777" w:rsidR="0024769F" w:rsidRPr="0024769F" w:rsidRDefault="0024769F" w:rsidP="0024769F">
      <w:pPr>
        <w:spacing w:after="0" w:line="240" w:lineRule="auto"/>
        <w:ind w:firstLine="708"/>
        <w:jc w:val="left"/>
        <w:rPr>
          <w:rFonts w:ascii="Arial" w:hAnsi="Arial" w:cs="Arial"/>
          <w:sz w:val="19"/>
          <w:szCs w:val="19"/>
        </w:rPr>
      </w:pPr>
      <w:r w:rsidRPr="0024769F">
        <w:rPr>
          <w:rStyle w:val="Refdenotaalpie"/>
          <w:rFonts w:ascii="Arial" w:hAnsi="Arial" w:cs="Arial"/>
          <w:sz w:val="19"/>
          <w:szCs w:val="19"/>
        </w:rPr>
        <w:footnoteRef/>
      </w:r>
      <w:r w:rsidRPr="0024769F">
        <w:rPr>
          <w:rFonts w:ascii="Arial" w:hAnsi="Arial" w:cs="Arial"/>
          <w:sz w:val="19"/>
          <w:szCs w:val="19"/>
        </w:rPr>
        <w:t xml:space="preserve"> SUPERINTENDENCIA DE SOCIEDADES. Oficio 220-065565 del 22 de agosto de 2012. </w:t>
      </w:r>
    </w:p>
    <w:p w14:paraId="1CB3C0BC" w14:textId="77777777" w:rsidR="0024769F" w:rsidRPr="0024769F" w:rsidRDefault="0024769F" w:rsidP="0024769F">
      <w:pPr>
        <w:spacing w:after="0" w:line="240" w:lineRule="auto"/>
        <w:ind w:firstLine="708"/>
        <w:jc w:val="left"/>
        <w:rPr>
          <w:rFonts w:ascii="Arial" w:hAnsi="Arial" w:cs="Arial"/>
          <w:sz w:val="19"/>
          <w:szCs w:val="19"/>
          <w:lang w:val="es-ES"/>
        </w:rPr>
      </w:pPr>
    </w:p>
  </w:footnote>
  <w:footnote w:id="14">
    <w:p w14:paraId="36F59F79" w14:textId="77777777" w:rsidR="0024769F" w:rsidRPr="0024769F" w:rsidRDefault="0024769F" w:rsidP="0024769F">
      <w:pPr>
        <w:pStyle w:val="Textonotapie"/>
        <w:spacing w:after="0" w:line="240" w:lineRule="auto"/>
        <w:ind w:firstLine="708"/>
        <w:rPr>
          <w:rFonts w:ascii="Arial" w:hAnsi="Arial" w:cs="Arial"/>
          <w:sz w:val="19"/>
          <w:szCs w:val="19"/>
          <w:lang w:val="es-ES"/>
        </w:rPr>
      </w:pPr>
      <w:r w:rsidRPr="0024769F">
        <w:rPr>
          <w:rStyle w:val="Refdenotaalpie"/>
          <w:rFonts w:ascii="Arial" w:hAnsi="Arial" w:cs="Arial"/>
          <w:sz w:val="19"/>
          <w:szCs w:val="19"/>
        </w:rPr>
        <w:footnoteRef/>
      </w:r>
      <w:r w:rsidRPr="0024769F">
        <w:rPr>
          <w:rFonts w:ascii="Arial" w:hAnsi="Arial" w:cs="Arial"/>
          <w:sz w:val="19"/>
          <w:szCs w:val="19"/>
        </w:rPr>
        <w:t xml:space="preserve"> </w:t>
      </w:r>
      <w:r w:rsidRPr="0024769F">
        <w:rPr>
          <w:rFonts w:ascii="Arial" w:hAnsi="Arial" w:cs="Arial"/>
          <w:bCs/>
          <w:sz w:val="19"/>
          <w:szCs w:val="19"/>
        </w:rPr>
        <w:t>Artículo 76. Domicilio.</w:t>
      </w:r>
      <w:r w:rsidRPr="0024769F">
        <w:rPr>
          <w:rFonts w:ascii="Arial" w:hAnsi="Arial" w:cs="Arial"/>
          <w:sz w:val="19"/>
          <w:szCs w:val="19"/>
        </w:rPr>
        <w:t> El domicilio consiste en la residencia acompañada, real o presuntivamente del ánimo de permanecer en ella.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8AA9E8" w14:textId="77777777" w:rsidR="00412132" w:rsidRDefault="00367C52">
    <w:pPr>
      <w:pStyle w:val="Encabezado"/>
    </w:pPr>
    <w:r>
      <w:rPr>
        <w:noProof/>
        <w:lang w:val="en-US"/>
      </w:rPr>
      <w:drawing>
        <wp:anchor distT="0" distB="0" distL="114300" distR="114300" simplePos="0" relativeHeight="251659264" behindDoc="1" locked="0" layoutInCell="1" allowOverlap="1" wp14:anchorId="635FBE0F" wp14:editId="6B0B2A7D">
          <wp:simplePos x="0" y="0"/>
          <wp:positionH relativeFrom="column">
            <wp:posOffset>4458335</wp:posOffset>
          </wp:positionH>
          <wp:positionV relativeFrom="paragraph">
            <wp:posOffset>171450</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1833779585"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DA4E6DF" w14:textId="77777777" w:rsidR="00FE0395" w:rsidRDefault="00F46215" w:rsidP="00FE0395">
    <w:pPr>
      <w:pStyle w:val="Encabezado"/>
      <w:spacing w:after="0"/>
    </w:pPr>
  </w:p>
  <w:p w14:paraId="6A39F5AE" w14:textId="77777777" w:rsidR="00412132" w:rsidRDefault="00F46215">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283D5E85"/>
    <w:multiLevelType w:val="multilevel"/>
    <w:tmpl w:val="374260C8"/>
    <w:lvl w:ilvl="0">
      <w:start w:val="1"/>
      <w:numFmt w:val="decimal"/>
      <w:lvlText w:val="%1."/>
      <w:lvlJc w:val="left"/>
      <w:pPr>
        <w:ind w:left="720" w:hanging="360"/>
      </w:pPr>
      <w:rPr>
        <w:rFonts w:hint="default"/>
        <w:b/>
        <w:bCs/>
      </w:rPr>
    </w:lvl>
    <w:lvl w:ilvl="1">
      <w:start w:val="7"/>
      <w:numFmt w:val="decimal"/>
      <w:isLgl/>
      <w:lvlText w:val="%1.%2."/>
      <w:lvlJc w:val="left"/>
      <w:pPr>
        <w:ind w:left="1080" w:hanging="720"/>
      </w:pPr>
      <w:rPr>
        <w:rFonts w:eastAsia="Calibri" w:hint="default"/>
        <w:color w:val="000000" w:themeColor="text1"/>
      </w:rPr>
    </w:lvl>
    <w:lvl w:ilvl="2">
      <w:start w:val="1"/>
      <w:numFmt w:val="decimal"/>
      <w:isLgl/>
      <w:lvlText w:val="%1.%2.%3."/>
      <w:lvlJc w:val="left"/>
      <w:pPr>
        <w:ind w:left="1080" w:hanging="720"/>
      </w:pPr>
      <w:rPr>
        <w:rFonts w:eastAsia="Calibri" w:hint="default"/>
        <w:color w:val="000000" w:themeColor="text1"/>
      </w:rPr>
    </w:lvl>
    <w:lvl w:ilvl="3">
      <w:start w:val="1"/>
      <w:numFmt w:val="decimal"/>
      <w:isLgl/>
      <w:lvlText w:val="%1.%2.%3.%4."/>
      <w:lvlJc w:val="left"/>
      <w:pPr>
        <w:ind w:left="1440" w:hanging="1080"/>
      </w:pPr>
      <w:rPr>
        <w:rFonts w:eastAsia="Calibri" w:hint="default"/>
        <w:color w:val="000000" w:themeColor="text1"/>
      </w:rPr>
    </w:lvl>
    <w:lvl w:ilvl="4">
      <w:start w:val="1"/>
      <w:numFmt w:val="decimal"/>
      <w:isLgl/>
      <w:lvlText w:val="%1.%2.%3.%4.%5."/>
      <w:lvlJc w:val="left"/>
      <w:pPr>
        <w:ind w:left="1440" w:hanging="1080"/>
      </w:pPr>
      <w:rPr>
        <w:rFonts w:eastAsia="Calibri" w:hint="default"/>
        <w:color w:val="000000" w:themeColor="text1"/>
      </w:rPr>
    </w:lvl>
    <w:lvl w:ilvl="5">
      <w:start w:val="1"/>
      <w:numFmt w:val="decimal"/>
      <w:isLgl/>
      <w:lvlText w:val="%1.%2.%3.%4.%5.%6."/>
      <w:lvlJc w:val="left"/>
      <w:pPr>
        <w:ind w:left="1800" w:hanging="1440"/>
      </w:pPr>
      <w:rPr>
        <w:rFonts w:eastAsia="Calibri" w:hint="default"/>
        <w:color w:val="000000" w:themeColor="text1"/>
      </w:rPr>
    </w:lvl>
    <w:lvl w:ilvl="6">
      <w:start w:val="1"/>
      <w:numFmt w:val="decimal"/>
      <w:isLgl/>
      <w:lvlText w:val="%1.%2.%3.%4.%5.%6.%7."/>
      <w:lvlJc w:val="left"/>
      <w:pPr>
        <w:ind w:left="1800" w:hanging="1440"/>
      </w:pPr>
      <w:rPr>
        <w:rFonts w:eastAsia="Calibri" w:hint="default"/>
        <w:color w:val="000000" w:themeColor="text1"/>
      </w:rPr>
    </w:lvl>
    <w:lvl w:ilvl="7">
      <w:start w:val="1"/>
      <w:numFmt w:val="decimal"/>
      <w:isLgl/>
      <w:lvlText w:val="%1.%2.%3.%4.%5.%6.%7.%8."/>
      <w:lvlJc w:val="left"/>
      <w:pPr>
        <w:ind w:left="2160" w:hanging="1800"/>
      </w:pPr>
      <w:rPr>
        <w:rFonts w:eastAsia="Calibri" w:hint="default"/>
        <w:color w:val="000000" w:themeColor="text1"/>
      </w:rPr>
    </w:lvl>
    <w:lvl w:ilvl="8">
      <w:start w:val="1"/>
      <w:numFmt w:val="decimal"/>
      <w:isLgl/>
      <w:lvlText w:val="%1.%2.%3.%4.%5.%6.%7.%8.%9."/>
      <w:lvlJc w:val="left"/>
      <w:pPr>
        <w:ind w:left="2160" w:hanging="1800"/>
      </w:pPr>
      <w:rPr>
        <w:rFonts w:eastAsia="Calibri" w:hint="default"/>
        <w:color w:val="000000" w:themeColor="text1"/>
      </w:rPr>
    </w:lvl>
  </w:abstractNum>
  <w:abstractNum w:abstractNumId="2" w15:restartNumberingAfterBreak="0">
    <w:nsid w:val="2CAD290B"/>
    <w:multiLevelType w:val="hybridMultilevel"/>
    <w:tmpl w:val="A2F63516"/>
    <w:lvl w:ilvl="0" w:tplc="0C9E7C0E">
      <w:start w:val="12"/>
      <w:numFmt w:val="bullet"/>
      <w:lvlText w:val="–"/>
      <w:lvlJc w:val="left"/>
      <w:pPr>
        <w:ind w:left="720" w:hanging="360"/>
      </w:pPr>
      <w:rPr>
        <w:rFonts w:ascii="Arial" w:eastAsiaTheme="minorHAnsi" w:hAnsi="Arial"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15:restartNumberingAfterBreak="0">
    <w:nsid w:val="4C383301"/>
    <w:multiLevelType w:val="hybridMultilevel"/>
    <w:tmpl w:val="E278AE30"/>
    <w:lvl w:ilvl="0" w:tplc="A442250E">
      <w:start w:val="12"/>
      <w:numFmt w:val="bullet"/>
      <w:lvlText w:val="–"/>
      <w:lvlJc w:val="left"/>
      <w:pPr>
        <w:ind w:left="720" w:hanging="360"/>
      </w:pPr>
      <w:rPr>
        <w:rFonts w:ascii="Arial" w:eastAsiaTheme="minorHAnsi" w:hAnsi="Arial"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15:restartNumberingAfterBreak="0">
    <w:nsid w:val="5CD47B2C"/>
    <w:multiLevelType w:val="hybridMultilevel"/>
    <w:tmpl w:val="C3C28908"/>
    <w:lvl w:ilvl="0" w:tplc="240A000F">
      <w:start w:val="1"/>
      <w:numFmt w:val="decimal"/>
      <w:lvlText w:val="%1."/>
      <w:lvlJc w:val="left"/>
      <w:pPr>
        <w:ind w:left="1068" w:hanging="360"/>
      </w:pPr>
      <w:rPr>
        <w:rFonts w:hint="default"/>
      </w:rPr>
    </w:lvl>
    <w:lvl w:ilvl="1" w:tplc="240A0019" w:tentative="1">
      <w:start w:val="1"/>
      <w:numFmt w:val="lowerLetter"/>
      <w:lvlText w:val="%2."/>
      <w:lvlJc w:val="left"/>
      <w:pPr>
        <w:ind w:left="1788" w:hanging="360"/>
      </w:pPr>
    </w:lvl>
    <w:lvl w:ilvl="2" w:tplc="240A001B" w:tentative="1">
      <w:start w:val="1"/>
      <w:numFmt w:val="lowerRoman"/>
      <w:lvlText w:val="%3."/>
      <w:lvlJc w:val="right"/>
      <w:pPr>
        <w:ind w:left="2508" w:hanging="180"/>
      </w:pPr>
    </w:lvl>
    <w:lvl w:ilvl="3" w:tplc="240A000F" w:tentative="1">
      <w:start w:val="1"/>
      <w:numFmt w:val="decimal"/>
      <w:lvlText w:val="%4."/>
      <w:lvlJc w:val="left"/>
      <w:pPr>
        <w:ind w:left="3228" w:hanging="360"/>
      </w:pPr>
    </w:lvl>
    <w:lvl w:ilvl="4" w:tplc="240A0019" w:tentative="1">
      <w:start w:val="1"/>
      <w:numFmt w:val="lowerLetter"/>
      <w:lvlText w:val="%5."/>
      <w:lvlJc w:val="left"/>
      <w:pPr>
        <w:ind w:left="3948" w:hanging="360"/>
      </w:pPr>
    </w:lvl>
    <w:lvl w:ilvl="5" w:tplc="240A001B" w:tentative="1">
      <w:start w:val="1"/>
      <w:numFmt w:val="lowerRoman"/>
      <w:lvlText w:val="%6."/>
      <w:lvlJc w:val="right"/>
      <w:pPr>
        <w:ind w:left="4668" w:hanging="180"/>
      </w:pPr>
    </w:lvl>
    <w:lvl w:ilvl="6" w:tplc="240A000F" w:tentative="1">
      <w:start w:val="1"/>
      <w:numFmt w:val="decimal"/>
      <w:lvlText w:val="%7."/>
      <w:lvlJc w:val="left"/>
      <w:pPr>
        <w:ind w:left="5388" w:hanging="360"/>
      </w:pPr>
    </w:lvl>
    <w:lvl w:ilvl="7" w:tplc="240A0019" w:tentative="1">
      <w:start w:val="1"/>
      <w:numFmt w:val="lowerLetter"/>
      <w:lvlText w:val="%8."/>
      <w:lvlJc w:val="left"/>
      <w:pPr>
        <w:ind w:left="6108" w:hanging="360"/>
      </w:pPr>
    </w:lvl>
    <w:lvl w:ilvl="8" w:tplc="240A001B" w:tentative="1">
      <w:start w:val="1"/>
      <w:numFmt w:val="lowerRoman"/>
      <w:lvlText w:val="%9."/>
      <w:lvlJc w:val="right"/>
      <w:pPr>
        <w:ind w:left="6828" w:hanging="180"/>
      </w:pPr>
    </w:lvl>
  </w:abstractNum>
  <w:abstractNum w:abstractNumId="5" w15:restartNumberingAfterBreak="0">
    <w:nsid w:val="634F1E73"/>
    <w:multiLevelType w:val="hybridMultilevel"/>
    <w:tmpl w:val="B972BCA2"/>
    <w:lvl w:ilvl="0" w:tplc="B4803982">
      <w:start w:val="1"/>
      <w:numFmt w:val="decimal"/>
      <w:lvlText w:val="%1."/>
      <w:lvlJc w:val="left"/>
      <w:pPr>
        <w:ind w:left="1065" w:hanging="360"/>
      </w:pPr>
      <w:rPr>
        <w:rFonts w:ascii="Arial" w:hAnsi="Arial" w:cs="Arial" w:hint="default"/>
        <w:sz w:val="21"/>
      </w:rPr>
    </w:lvl>
    <w:lvl w:ilvl="1" w:tplc="240A0019" w:tentative="1">
      <w:start w:val="1"/>
      <w:numFmt w:val="lowerLetter"/>
      <w:lvlText w:val="%2."/>
      <w:lvlJc w:val="left"/>
      <w:pPr>
        <w:ind w:left="1785" w:hanging="360"/>
      </w:pPr>
    </w:lvl>
    <w:lvl w:ilvl="2" w:tplc="240A001B" w:tentative="1">
      <w:start w:val="1"/>
      <w:numFmt w:val="lowerRoman"/>
      <w:lvlText w:val="%3."/>
      <w:lvlJc w:val="right"/>
      <w:pPr>
        <w:ind w:left="2505" w:hanging="180"/>
      </w:pPr>
    </w:lvl>
    <w:lvl w:ilvl="3" w:tplc="240A000F" w:tentative="1">
      <w:start w:val="1"/>
      <w:numFmt w:val="decimal"/>
      <w:lvlText w:val="%4."/>
      <w:lvlJc w:val="left"/>
      <w:pPr>
        <w:ind w:left="3225" w:hanging="360"/>
      </w:pPr>
    </w:lvl>
    <w:lvl w:ilvl="4" w:tplc="240A0019" w:tentative="1">
      <w:start w:val="1"/>
      <w:numFmt w:val="lowerLetter"/>
      <w:lvlText w:val="%5."/>
      <w:lvlJc w:val="left"/>
      <w:pPr>
        <w:ind w:left="3945" w:hanging="360"/>
      </w:pPr>
    </w:lvl>
    <w:lvl w:ilvl="5" w:tplc="240A001B" w:tentative="1">
      <w:start w:val="1"/>
      <w:numFmt w:val="lowerRoman"/>
      <w:lvlText w:val="%6."/>
      <w:lvlJc w:val="right"/>
      <w:pPr>
        <w:ind w:left="4665" w:hanging="180"/>
      </w:pPr>
    </w:lvl>
    <w:lvl w:ilvl="6" w:tplc="240A000F" w:tentative="1">
      <w:start w:val="1"/>
      <w:numFmt w:val="decimal"/>
      <w:lvlText w:val="%7."/>
      <w:lvlJc w:val="left"/>
      <w:pPr>
        <w:ind w:left="5385" w:hanging="360"/>
      </w:pPr>
    </w:lvl>
    <w:lvl w:ilvl="7" w:tplc="240A0019" w:tentative="1">
      <w:start w:val="1"/>
      <w:numFmt w:val="lowerLetter"/>
      <w:lvlText w:val="%8."/>
      <w:lvlJc w:val="left"/>
      <w:pPr>
        <w:ind w:left="6105" w:hanging="360"/>
      </w:pPr>
    </w:lvl>
    <w:lvl w:ilvl="8" w:tplc="240A001B" w:tentative="1">
      <w:start w:val="1"/>
      <w:numFmt w:val="lowerRoman"/>
      <w:lvlText w:val="%9."/>
      <w:lvlJc w:val="right"/>
      <w:pPr>
        <w:ind w:left="6825" w:hanging="180"/>
      </w:pPr>
    </w:lvl>
  </w:abstractNum>
  <w:abstractNum w:abstractNumId="6" w15:restartNumberingAfterBreak="0">
    <w:nsid w:val="6DBC24E2"/>
    <w:multiLevelType w:val="hybridMultilevel"/>
    <w:tmpl w:val="57EC4ACC"/>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16cid:durableId="1453280684">
    <w:abstractNumId w:val="1"/>
  </w:num>
  <w:num w:numId="2" w16cid:durableId="1228030227">
    <w:abstractNumId w:val="4"/>
  </w:num>
  <w:num w:numId="3" w16cid:durableId="1488934189">
    <w:abstractNumId w:val="6"/>
  </w:num>
  <w:num w:numId="4" w16cid:durableId="614363225">
    <w:abstractNumId w:val="3"/>
  </w:num>
  <w:num w:numId="5" w16cid:durableId="1864245051">
    <w:abstractNumId w:val="2"/>
  </w:num>
  <w:num w:numId="6" w16cid:durableId="1106776715">
    <w:abstractNumId w:val="5"/>
  </w:num>
  <w:num w:numId="7" w16cid:durableId="20795945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5D43"/>
    <w:rsid w:val="00000106"/>
    <w:rsid w:val="00001152"/>
    <w:rsid w:val="00001D47"/>
    <w:rsid w:val="0000769C"/>
    <w:rsid w:val="000077D7"/>
    <w:rsid w:val="00013762"/>
    <w:rsid w:val="00043818"/>
    <w:rsid w:val="00043A02"/>
    <w:rsid w:val="00043A83"/>
    <w:rsid w:val="0005235E"/>
    <w:rsid w:val="00056CE7"/>
    <w:rsid w:val="00056E3C"/>
    <w:rsid w:val="000605B1"/>
    <w:rsid w:val="0006060B"/>
    <w:rsid w:val="00061F84"/>
    <w:rsid w:val="00062E92"/>
    <w:rsid w:val="0006334E"/>
    <w:rsid w:val="0006713C"/>
    <w:rsid w:val="0007079B"/>
    <w:rsid w:val="000740E8"/>
    <w:rsid w:val="000752BE"/>
    <w:rsid w:val="0007635F"/>
    <w:rsid w:val="00082B94"/>
    <w:rsid w:val="00082FD6"/>
    <w:rsid w:val="000865E3"/>
    <w:rsid w:val="0008769D"/>
    <w:rsid w:val="0009437D"/>
    <w:rsid w:val="000955F5"/>
    <w:rsid w:val="000A0A23"/>
    <w:rsid w:val="000B19F3"/>
    <w:rsid w:val="000B5782"/>
    <w:rsid w:val="000B5DFC"/>
    <w:rsid w:val="000B66C7"/>
    <w:rsid w:val="000C6406"/>
    <w:rsid w:val="000D03EB"/>
    <w:rsid w:val="000D2569"/>
    <w:rsid w:val="000D3D99"/>
    <w:rsid w:val="000E556B"/>
    <w:rsid w:val="000E5820"/>
    <w:rsid w:val="000F25BE"/>
    <w:rsid w:val="000F34E7"/>
    <w:rsid w:val="000F43EB"/>
    <w:rsid w:val="00104B4F"/>
    <w:rsid w:val="00107669"/>
    <w:rsid w:val="001108B4"/>
    <w:rsid w:val="00111523"/>
    <w:rsid w:val="00112375"/>
    <w:rsid w:val="00112866"/>
    <w:rsid w:val="00115A90"/>
    <w:rsid w:val="00117662"/>
    <w:rsid w:val="00120434"/>
    <w:rsid w:val="00125910"/>
    <w:rsid w:val="00126EAB"/>
    <w:rsid w:val="001320B2"/>
    <w:rsid w:val="00136512"/>
    <w:rsid w:val="00137FD5"/>
    <w:rsid w:val="0014071B"/>
    <w:rsid w:val="001415A7"/>
    <w:rsid w:val="00144243"/>
    <w:rsid w:val="0014426D"/>
    <w:rsid w:val="00144CFB"/>
    <w:rsid w:val="0014516B"/>
    <w:rsid w:val="001504A5"/>
    <w:rsid w:val="001563E7"/>
    <w:rsid w:val="0016327F"/>
    <w:rsid w:val="00164B63"/>
    <w:rsid w:val="00164CF3"/>
    <w:rsid w:val="001652E2"/>
    <w:rsid w:val="0017144B"/>
    <w:rsid w:val="00171B5C"/>
    <w:rsid w:val="00172A79"/>
    <w:rsid w:val="0018051D"/>
    <w:rsid w:val="00184B0B"/>
    <w:rsid w:val="0018539D"/>
    <w:rsid w:val="00187538"/>
    <w:rsid w:val="00190FE6"/>
    <w:rsid w:val="001947D5"/>
    <w:rsid w:val="001956D3"/>
    <w:rsid w:val="00197223"/>
    <w:rsid w:val="001A0C9C"/>
    <w:rsid w:val="001A1340"/>
    <w:rsid w:val="001C3078"/>
    <w:rsid w:val="001C3288"/>
    <w:rsid w:val="001C74D8"/>
    <w:rsid w:val="001D5E31"/>
    <w:rsid w:val="001D73D2"/>
    <w:rsid w:val="001D7DE7"/>
    <w:rsid w:val="001E2D92"/>
    <w:rsid w:val="001E47F9"/>
    <w:rsid w:val="001F1C90"/>
    <w:rsid w:val="001F27C8"/>
    <w:rsid w:val="00210338"/>
    <w:rsid w:val="00214628"/>
    <w:rsid w:val="00223B9C"/>
    <w:rsid w:val="00231BE3"/>
    <w:rsid w:val="00234466"/>
    <w:rsid w:val="00237BD3"/>
    <w:rsid w:val="00246942"/>
    <w:rsid w:val="0024769F"/>
    <w:rsid w:val="00252671"/>
    <w:rsid w:val="00252ED9"/>
    <w:rsid w:val="002579DA"/>
    <w:rsid w:val="002629A3"/>
    <w:rsid w:val="00264455"/>
    <w:rsid w:val="00265070"/>
    <w:rsid w:val="0027028C"/>
    <w:rsid w:val="00277DCE"/>
    <w:rsid w:val="002848B2"/>
    <w:rsid w:val="00285628"/>
    <w:rsid w:val="0028591C"/>
    <w:rsid w:val="00285B28"/>
    <w:rsid w:val="00285F6C"/>
    <w:rsid w:val="00286968"/>
    <w:rsid w:val="002902CF"/>
    <w:rsid w:val="0029475E"/>
    <w:rsid w:val="00297D7E"/>
    <w:rsid w:val="002A10A4"/>
    <w:rsid w:val="002A389C"/>
    <w:rsid w:val="002A4B7A"/>
    <w:rsid w:val="002A58B7"/>
    <w:rsid w:val="002A7CB7"/>
    <w:rsid w:val="002B4E4F"/>
    <w:rsid w:val="002B50EE"/>
    <w:rsid w:val="002B53CC"/>
    <w:rsid w:val="002B7087"/>
    <w:rsid w:val="002C3ABC"/>
    <w:rsid w:val="002C4226"/>
    <w:rsid w:val="002C4841"/>
    <w:rsid w:val="002C4CB7"/>
    <w:rsid w:val="002C653B"/>
    <w:rsid w:val="002D00B0"/>
    <w:rsid w:val="002D1482"/>
    <w:rsid w:val="002D633D"/>
    <w:rsid w:val="002E1739"/>
    <w:rsid w:val="002E2F17"/>
    <w:rsid w:val="002E4608"/>
    <w:rsid w:val="002F02C5"/>
    <w:rsid w:val="002F1531"/>
    <w:rsid w:val="002F1A8E"/>
    <w:rsid w:val="002F1F11"/>
    <w:rsid w:val="002F6ECD"/>
    <w:rsid w:val="003057FF"/>
    <w:rsid w:val="003121C9"/>
    <w:rsid w:val="00316A0E"/>
    <w:rsid w:val="00330E29"/>
    <w:rsid w:val="00332296"/>
    <w:rsid w:val="00333356"/>
    <w:rsid w:val="00333616"/>
    <w:rsid w:val="00335655"/>
    <w:rsid w:val="003417F9"/>
    <w:rsid w:val="00342095"/>
    <w:rsid w:val="00342484"/>
    <w:rsid w:val="00345A49"/>
    <w:rsid w:val="00347E32"/>
    <w:rsid w:val="003517EC"/>
    <w:rsid w:val="003567A2"/>
    <w:rsid w:val="0035727E"/>
    <w:rsid w:val="0035778A"/>
    <w:rsid w:val="003615B5"/>
    <w:rsid w:val="00365B44"/>
    <w:rsid w:val="00367615"/>
    <w:rsid w:val="00367C52"/>
    <w:rsid w:val="0037705A"/>
    <w:rsid w:val="0038098C"/>
    <w:rsid w:val="00381B55"/>
    <w:rsid w:val="00383D7D"/>
    <w:rsid w:val="00387A85"/>
    <w:rsid w:val="00390E02"/>
    <w:rsid w:val="00393994"/>
    <w:rsid w:val="00396E90"/>
    <w:rsid w:val="003A5FCB"/>
    <w:rsid w:val="003A6169"/>
    <w:rsid w:val="003B3CE7"/>
    <w:rsid w:val="003B7C1B"/>
    <w:rsid w:val="003C12AF"/>
    <w:rsid w:val="003C2C9D"/>
    <w:rsid w:val="003C665A"/>
    <w:rsid w:val="003D2622"/>
    <w:rsid w:val="003D502C"/>
    <w:rsid w:val="003D6A9A"/>
    <w:rsid w:val="003E018E"/>
    <w:rsid w:val="003E46BF"/>
    <w:rsid w:val="003E4FCA"/>
    <w:rsid w:val="003F0360"/>
    <w:rsid w:val="003F1F9B"/>
    <w:rsid w:val="003F3764"/>
    <w:rsid w:val="003F3D8C"/>
    <w:rsid w:val="003F7B85"/>
    <w:rsid w:val="003F7D27"/>
    <w:rsid w:val="004002A8"/>
    <w:rsid w:val="0040301A"/>
    <w:rsid w:val="00411C70"/>
    <w:rsid w:val="0041299F"/>
    <w:rsid w:val="0041408F"/>
    <w:rsid w:val="004155BC"/>
    <w:rsid w:val="00415C3C"/>
    <w:rsid w:val="004179D7"/>
    <w:rsid w:val="004233D9"/>
    <w:rsid w:val="004234B3"/>
    <w:rsid w:val="00430256"/>
    <w:rsid w:val="00434DB0"/>
    <w:rsid w:val="00436FDD"/>
    <w:rsid w:val="004421F5"/>
    <w:rsid w:val="00446123"/>
    <w:rsid w:val="0045086D"/>
    <w:rsid w:val="00456909"/>
    <w:rsid w:val="004579B5"/>
    <w:rsid w:val="00463BCC"/>
    <w:rsid w:val="00466C99"/>
    <w:rsid w:val="00467E36"/>
    <w:rsid w:val="004776B9"/>
    <w:rsid w:val="00485D5A"/>
    <w:rsid w:val="004864F1"/>
    <w:rsid w:val="00490E33"/>
    <w:rsid w:val="0049749B"/>
    <w:rsid w:val="004A00C6"/>
    <w:rsid w:val="004A1545"/>
    <w:rsid w:val="004A474B"/>
    <w:rsid w:val="004A7C05"/>
    <w:rsid w:val="004B0934"/>
    <w:rsid w:val="004B5E4E"/>
    <w:rsid w:val="004C68E6"/>
    <w:rsid w:val="004D27F7"/>
    <w:rsid w:val="004D5343"/>
    <w:rsid w:val="004D7EB6"/>
    <w:rsid w:val="004E0658"/>
    <w:rsid w:val="004F202C"/>
    <w:rsid w:val="0050115F"/>
    <w:rsid w:val="00520F82"/>
    <w:rsid w:val="005232B1"/>
    <w:rsid w:val="005242A5"/>
    <w:rsid w:val="005259AF"/>
    <w:rsid w:val="00527407"/>
    <w:rsid w:val="00527C56"/>
    <w:rsid w:val="0053097C"/>
    <w:rsid w:val="005334FB"/>
    <w:rsid w:val="00535133"/>
    <w:rsid w:val="0054059D"/>
    <w:rsid w:val="005455DA"/>
    <w:rsid w:val="005462D4"/>
    <w:rsid w:val="00550DA9"/>
    <w:rsid w:val="00551FF8"/>
    <w:rsid w:val="00552FD3"/>
    <w:rsid w:val="00564722"/>
    <w:rsid w:val="0056677D"/>
    <w:rsid w:val="0057406A"/>
    <w:rsid w:val="00576925"/>
    <w:rsid w:val="0058142B"/>
    <w:rsid w:val="005839B5"/>
    <w:rsid w:val="005856C5"/>
    <w:rsid w:val="005904E5"/>
    <w:rsid w:val="00592F86"/>
    <w:rsid w:val="00594602"/>
    <w:rsid w:val="005A2469"/>
    <w:rsid w:val="005A743C"/>
    <w:rsid w:val="005B61A8"/>
    <w:rsid w:val="005C1D3E"/>
    <w:rsid w:val="005C48BE"/>
    <w:rsid w:val="005D0331"/>
    <w:rsid w:val="005D7794"/>
    <w:rsid w:val="005E3465"/>
    <w:rsid w:val="005E35AB"/>
    <w:rsid w:val="005E7A82"/>
    <w:rsid w:val="005F5BE7"/>
    <w:rsid w:val="005F7C5D"/>
    <w:rsid w:val="00600647"/>
    <w:rsid w:val="006014CD"/>
    <w:rsid w:val="00622D3B"/>
    <w:rsid w:val="0062456A"/>
    <w:rsid w:val="006308D1"/>
    <w:rsid w:val="00633E24"/>
    <w:rsid w:val="00635118"/>
    <w:rsid w:val="0064598D"/>
    <w:rsid w:val="00647607"/>
    <w:rsid w:val="00647B08"/>
    <w:rsid w:val="00662FCA"/>
    <w:rsid w:val="00666911"/>
    <w:rsid w:val="006745A0"/>
    <w:rsid w:val="00675729"/>
    <w:rsid w:val="0067777B"/>
    <w:rsid w:val="006802F9"/>
    <w:rsid w:val="00682170"/>
    <w:rsid w:val="00686B16"/>
    <w:rsid w:val="006874C7"/>
    <w:rsid w:val="0069144A"/>
    <w:rsid w:val="00691659"/>
    <w:rsid w:val="00697707"/>
    <w:rsid w:val="006A42F1"/>
    <w:rsid w:val="006A4522"/>
    <w:rsid w:val="006A5049"/>
    <w:rsid w:val="006A5F68"/>
    <w:rsid w:val="006A6A13"/>
    <w:rsid w:val="006B42C6"/>
    <w:rsid w:val="006D19D9"/>
    <w:rsid w:val="006D7417"/>
    <w:rsid w:val="006E1DD2"/>
    <w:rsid w:val="006F39CA"/>
    <w:rsid w:val="006F6F65"/>
    <w:rsid w:val="00704D80"/>
    <w:rsid w:val="00707091"/>
    <w:rsid w:val="00710FC2"/>
    <w:rsid w:val="00711306"/>
    <w:rsid w:val="00712A56"/>
    <w:rsid w:val="0071526C"/>
    <w:rsid w:val="00720418"/>
    <w:rsid w:val="00722501"/>
    <w:rsid w:val="007321BB"/>
    <w:rsid w:val="00741A41"/>
    <w:rsid w:val="0074681A"/>
    <w:rsid w:val="00747A24"/>
    <w:rsid w:val="007506DE"/>
    <w:rsid w:val="00751407"/>
    <w:rsid w:val="007534E6"/>
    <w:rsid w:val="00753F56"/>
    <w:rsid w:val="007553C8"/>
    <w:rsid w:val="00757332"/>
    <w:rsid w:val="00757BFE"/>
    <w:rsid w:val="00757F7C"/>
    <w:rsid w:val="00765C29"/>
    <w:rsid w:val="00774291"/>
    <w:rsid w:val="007745D8"/>
    <w:rsid w:val="00776DC6"/>
    <w:rsid w:val="007821B1"/>
    <w:rsid w:val="007849CA"/>
    <w:rsid w:val="00786573"/>
    <w:rsid w:val="007907E3"/>
    <w:rsid w:val="007A1425"/>
    <w:rsid w:val="007A1B65"/>
    <w:rsid w:val="007B23EC"/>
    <w:rsid w:val="007C0CA1"/>
    <w:rsid w:val="007C3749"/>
    <w:rsid w:val="007C38F3"/>
    <w:rsid w:val="007C43AE"/>
    <w:rsid w:val="007D335D"/>
    <w:rsid w:val="007E7B2E"/>
    <w:rsid w:val="007F4915"/>
    <w:rsid w:val="0080474D"/>
    <w:rsid w:val="00807002"/>
    <w:rsid w:val="00824CF1"/>
    <w:rsid w:val="0082718E"/>
    <w:rsid w:val="008309AC"/>
    <w:rsid w:val="00831238"/>
    <w:rsid w:val="00837415"/>
    <w:rsid w:val="0084203B"/>
    <w:rsid w:val="008440E5"/>
    <w:rsid w:val="0084589F"/>
    <w:rsid w:val="008522FB"/>
    <w:rsid w:val="00853452"/>
    <w:rsid w:val="00854406"/>
    <w:rsid w:val="00864062"/>
    <w:rsid w:val="00870248"/>
    <w:rsid w:val="008714CE"/>
    <w:rsid w:val="008725E6"/>
    <w:rsid w:val="00872F3C"/>
    <w:rsid w:val="008744A7"/>
    <w:rsid w:val="008749B5"/>
    <w:rsid w:val="0087646B"/>
    <w:rsid w:val="00876A9A"/>
    <w:rsid w:val="008850F7"/>
    <w:rsid w:val="00885679"/>
    <w:rsid w:val="0089012F"/>
    <w:rsid w:val="00896174"/>
    <w:rsid w:val="00896BB1"/>
    <w:rsid w:val="00896F3D"/>
    <w:rsid w:val="00897E67"/>
    <w:rsid w:val="008A170A"/>
    <w:rsid w:val="008A17E7"/>
    <w:rsid w:val="008A63F9"/>
    <w:rsid w:val="008A773E"/>
    <w:rsid w:val="008B2A8B"/>
    <w:rsid w:val="008B5FB4"/>
    <w:rsid w:val="008C2751"/>
    <w:rsid w:val="008D0729"/>
    <w:rsid w:val="008D3A8D"/>
    <w:rsid w:val="008D6D21"/>
    <w:rsid w:val="008E12E6"/>
    <w:rsid w:val="008F0785"/>
    <w:rsid w:val="008F28E6"/>
    <w:rsid w:val="008F749D"/>
    <w:rsid w:val="00902026"/>
    <w:rsid w:val="00905D16"/>
    <w:rsid w:val="0090736B"/>
    <w:rsid w:val="00911064"/>
    <w:rsid w:val="00912E12"/>
    <w:rsid w:val="00912FA1"/>
    <w:rsid w:val="00923D1E"/>
    <w:rsid w:val="0092623C"/>
    <w:rsid w:val="00931128"/>
    <w:rsid w:val="00933E9F"/>
    <w:rsid w:val="009346F3"/>
    <w:rsid w:val="00936C54"/>
    <w:rsid w:val="00937F92"/>
    <w:rsid w:val="00947768"/>
    <w:rsid w:val="00947B81"/>
    <w:rsid w:val="0095217A"/>
    <w:rsid w:val="009614B7"/>
    <w:rsid w:val="00961AF7"/>
    <w:rsid w:val="009643F1"/>
    <w:rsid w:val="00965301"/>
    <w:rsid w:val="00973FA3"/>
    <w:rsid w:val="00976F6C"/>
    <w:rsid w:val="009802EE"/>
    <w:rsid w:val="009879A3"/>
    <w:rsid w:val="0099060E"/>
    <w:rsid w:val="00992FF9"/>
    <w:rsid w:val="009942E8"/>
    <w:rsid w:val="009A180F"/>
    <w:rsid w:val="009A228D"/>
    <w:rsid w:val="009A6425"/>
    <w:rsid w:val="009B5869"/>
    <w:rsid w:val="009B5F36"/>
    <w:rsid w:val="009B6F4F"/>
    <w:rsid w:val="009C1A87"/>
    <w:rsid w:val="009C30E1"/>
    <w:rsid w:val="009C4A25"/>
    <w:rsid w:val="009D2748"/>
    <w:rsid w:val="009D388A"/>
    <w:rsid w:val="009D416F"/>
    <w:rsid w:val="009E2A24"/>
    <w:rsid w:val="009E37A5"/>
    <w:rsid w:val="009E5F14"/>
    <w:rsid w:val="00A00231"/>
    <w:rsid w:val="00A07454"/>
    <w:rsid w:val="00A1283E"/>
    <w:rsid w:val="00A15790"/>
    <w:rsid w:val="00A17023"/>
    <w:rsid w:val="00A17AF3"/>
    <w:rsid w:val="00A2394C"/>
    <w:rsid w:val="00A24D30"/>
    <w:rsid w:val="00A27B09"/>
    <w:rsid w:val="00A3664B"/>
    <w:rsid w:val="00A433E1"/>
    <w:rsid w:val="00A439FD"/>
    <w:rsid w:val="00A47A72"/>
    <w:rsid w:val="00A51A81"/>
    <w:rsid w:val="00A544F0"/>
    <w:rsid w:val="00A549F6"/>
    <w:rsid w:val="00A55B08"/>
    <w:rsid w:val="00A628DA"/>
    <w:rsid w:val="00A7357C"/>
    <w:rsid w:val="00A747EA"/>
    <w:rsid w:val="00A8374C"/>
    <w:rsid w:val="00A84C65"/>
    <w:rsid w:val="00A854F3"/>
    <w:rsid w:val="00AA204A"/>
    <w:rsid w:val="00AA3585"/>
    <w:rsid w:val="00AA600A"/>
    <w:rsid w:val="00AA779C"/>
    <w:rsid w:val="00AB03C4"/>
    <w:rsid w:val="00AB254F"/>
    <w:rsid w:val="00AB5A7A"/>
    <w:rsid w:val="00AB7AA8"/>
    <w:rsid w:val="00AC4068"/>
    <w:rsid w:val="00AC438C"/>
    <w:rsid w:val="00AC5A6B"/>
    <w:rsid w:val="00AC61AB"/>
    <w:rsid w:val="00AD0C7B"/>
    <w:rsid w:val="00AD2EFD"/>
    <w:rsid w:val="00AD3D38"/>
    <w:rsid w:val="00AD4FCE"/>
    <w:rsid w:val="00AE51FD"/>
    <w:rsid w:val="00AF0BA2"/>
    <w:rsid w:val="00B01E71"/>
    <w:rsid w:val="00B0216D"/>
    <w:rsid w:val="00B11830"/>
    <w:rsid w:val="00B12598"/>
    <w:rsid w:val="00B12980"/>
    <w:rsid w:val="00B1389F"/>
    <w:rsid w:val="00B14A09"/>
    <w:rsid w:val="00B15845"/>
    <w:rsid w:val="00B21D1F"/>
    <w:rsid w:val="00B22291"/>
    <w:rsid w:val="00B27BB9"/>
    <w:rsid w:val="00B32100"/>
    <w:rsid w:val="00B32CD2"/>
    <w:rsid w:val="00B430D3"/>
    <w:rsid w:val="00B4707B"/>
    <w:rsid w:val="00B64F61"/>
    <w:rsid w:val="00B672E6"/>
    <w:rsid w:val="00B804B5"/>
    <w:rsid w:val="00B84F73"/>
    <w:rsid w:val="00B85AB1"/>
    <w:rsid w:val="00B86149"/>
    <w:rsid w:val="00B928AD"/>
    <w:rsid w:val="00B93D7E"/>
    <w:rsid w:val="00B940D8"/>
    <w:rsid w:val="00BA12AF"/>
    <w:rsid w:val="00BA39A8"/>
    <w:rsid w:val="00BA6364"/>
    <w:rsid w:val="00BA6E69"/>
    <w:rsid w:val="00BB31D5"/>
    <w:rsid w:val="00BB4045"/>
    <w:rsid w:val="00BB5B21"/>
    <w:rsid w:val="00BB7F60"/>
    <w:rsid w:val="00BC4F98"/>
    <w:rsid w:val="00BD0D6B"/>
    <w:rsid w:val="00BD3971"/>
    <w:rsid w:val="00BD3DEC"/>
    <w:rsid w:val="00BD622A"/>
    <w:rsid w:val="00BE1C53"/>
    <w:rsid w:val="00BE2F5F"/>
    <w:rsid w:val="00BE319B"/>
    <w:rsid w:val="00BE34E9"/>
    <w:rsid w:val="00BE5307"/>
    <w:rsid w:val="00BE623E"/>
    <w:rsid w:val="00BF070E"/>
    <w:rsid w:val="00BF0F70"/>
    <w:rsid w:val="00BF2A86"/>
    <w:rsid w:val="00BF3FDA"/>
    <w:rsid w:val="00BF5AD2"/>
    <w:rsid w:val="00C019FC"/>
    <w:rsid w:val="00C023FE"/>
    <w:rsid w:val="00C029E4"/>
    <w:rsid w:val="00C05A66"/>
    <w:rsid w:val="00C06E62"/>
    <w:rsid w:val="00C13E6B"/>
    <w:rsid w:val="00C14ADB"/>
    <w:rsid w:val="00C152AA"/>
    <w:rsid w:val="00C1578D"/>
    <w:rsid w:val="00C2278A"/>
    <w:rsid w:val="00C23EF3"/>
    <w:rsid w:val="00C2467B"/>
    <w:rsid w:val="00C25104"/>
    <w:rsid w:val="00C3484F"/>
    <w:rsid w:val="00C358CC"/>
    <w:rsid w:val="00C6043F"/>
    <w:rsid w:val="00C76837"/>
    <w:rsid w:val="00C83823"/>
    <w:rsid w:val="00C92590"/>
    <w:rsid w:val="00C94CEB"/>
    <w:rsid w:val="00C94FA0"/>
    <w:rsid w:val="00CB2B4D"/>
    <w:rsid w:val="00CB6E6A"/>
    <w:rsid w:val="00CC1630"/>
    <w:rsid w:val="00CC3E2D"/>
    <w:rsid w:val="00CC3E30"/>
    <w:rsid w:val="00CC7311"/>
    <w:rsid w:val="00CC7F27"/>
    <w:rsid w:val="00CD20F2"/>
    <w:rsid w:val="00CE1E80"/>
    <w:rsid w:val="00CE1F7A"/>
    <w:rsid w:val="00CE4AF8"/>
    <w:rsid w:val="00CE63A1"/>
    <w:rsid w:val="00CF70C8"/>
    <w:rsid w:val="00D029D8"/>
    <w:rsid w:val="00D04BB1"/>
    <w:rsid w:val="00D05B78"/>
    <w:rsid w:val="00D0605E"/>
    <w:rsid w:val="00D0611C"/>
    <w:rsid w:val="00D07088"/>
    <w:rsid w:val="00D12633"/>
    <w:rsid w:val="00D12D06"/>
    <w:rsid w:val="00D14890"/>
    <w:rsid w:val="00D14B2B"/>
    <w:rsid w:val="00D154F8"/>
    <w:rsid w:val="00D15E32"/>
    <w:rsid w:val="00D213E0"/>
    <w:rsid w:val="00D23AE6"/>
    <w:rsid w:val="00D24D69"/>
    <w:rsid w:val="00D276E8"/>
    <w:rsid w:val="00D3007C"/>
    <w:rsid w:val="00D32DAB"/>
    <w:rsid w:val="00D3490D"/>
    <w:rsid w:val="00D40579"/>
    <w:rsid w:val="00D456A2"/>
    <w:rsid w:val="00D45D43"/>
    <w:rsid w:val="00D6024D"/>
    <w:rsid w:val="00D66E08"/>
    <w:rsid w:val="00D70F38"/>
    <w:rsid w:val="00D741AE"/>
    <w:rsid w:val="00D77661"/>
    <w:rsid w:val="00D8401B"/>
    <w:rsid w:val="00D93305"/>
    <w:rsid w:val="00D9345F"/>
    <w:rsid w:val="00D93B8D"/>
    <w:rsid w:val="00DA492D"/>
    <w:rsid w:val="00DB035D"/>
    <w:rsid w:val="00DB04F8"/>
    <w:rsid w:val="00DB7DB1"/>
    <w:rsid w:val="00DC734B"/>
    <w:rsid w:val="00DD13CF"/>
    <w:rsid w:val="00DD541E"/>
    <w:rsid w:val="00DD7EBE"/>
    <w:rsid w:val="00DE2F2B"/>
    <w:rsid w:val="00DE3E1D"/>
    <w:rsid w:val="00DE58F7"/>
    <w:rsid w:val="00DF1D02"/>
    <w:rsid w:val="00DF5C33"/>
    <w:rsid w:val="00E0159C"/>
    <w:rsid w:val="00E047BF"/>
    <w:rsid w:val="00E04B80"/>
    <w:rsid w:val="00E04B8F"/>
    <w:rsid w:val="00E22843"/>
    <w:rsid w:val="00E23478"/>
    <w:rsid w:val="00E26B85"/>
    <w:rsid w:val="00E35C0F"/>
    <w:rsid w:val="00E368A5"/>
    <w:rsid w:val="00E40B67"/>
    <w:rsid w:val="00E45086"/>
    <w:rsid w:val="00E45D92"/>
    <w:rsid w:val="00E521D4"/>
    <w:rsid w:val="00E53482"/>
    <w:rsid w:val="00E53FA4"/>
    <w:rsid w:val="00E60A27"/>
    <w:rsid w:val="00E6140B"/>
    <w:rsid w:val="00E622A6"/>
    <w:rsid w:val="00E62FA2"/>
    <w:rsid w:val="00E64A80"/>
    <w:rsid w:val="00E66C4D"/>
    <w:rsid w:val="00E71FF1"/>
    <w:rsid w:val="00E878FA"/>
    <w:rsid w:val="00E951E2"/>
    <w:rsid w:val="00E96E99"/>
    <w:rsid w:val="00EA263E"/>
    <w:rsid w:val="00EB07E8"/>
    <w:rsid w:val="00EB0A3B"/>
    <w:rsid w:val="00EB20C9"/>
    <w:rsid w:val="00EB373C"/>
    <w:rsid w:val="00EB451D"/>
    <w:rsid w:val="00EB58B9"/>
    <w:rsid w:val="00EC38CD"/>
    <w:rsid w:val="00EC604F"/>
    <w:rsid w:val="00EC6E8D"/>
    <w:rsid w:val="00ED08E5"/>
    <w:rsid w:val="00ED20FF"/>
    <w:rsid w:val="00EE583F"/>
    <w:rsid w:val="00EE6006"/>
    <w:rsid w:val="00EF0EC3"/>
    <w:rsid w:val="00EF455C"/>
    <w:rsid w:val="00F002AE"/>
    <w:rsid w:val="00F110C3"/>
    <w:rsid w:val="00F14AC5"/>
    <w:rsid w:val="00F20E14"/>
    <w:rsid w:val="00F234AD"/>
    <w:rsid w:val="00F24BFC"/>
    <w:rsid w:val="00F31D08"/>
    <w:rsid w:val="00F40183"/>
    <w:rsid w:val="00F46215"/>
    <w:rsid w:val="00F46DC3"/>
    <w:rsid w:val="00F545CB"/>
    <w:rsid w:val="00F54D63"/>
    <w:rsid w:val="00F611D3"/>
    <w:rsid w:val="00F75FFC"/>
    <w:rsid w:val="00F80890"/>
    <w:rsid w:val="00F824DD"/>
    <w:rsid w:val="00F949C3"/>
    <w:rsid w:val="00FA1604"/>
    <w:rsid w:val="00FA2713"/>
    <w:rsid w:val="00FA4239"/>
    <w:rsid w:val="00FA5EB5"/>
    <w:rsid w:val="00FB12C8"/>
    <w:rsid w:val="00FB49E8"/>
    <w:rsid w:val="00FB5BB4"/>
    <w:rsid w:val="00FC48C0"/>
    <w:rsid w:val="00FC652D"/>
    <w:rsid w:val="00FD1DFE"/>
    <w:rsid w:val="00FD440D"/>
    <w:rsid w:val="00FD5530"/>
    <w:rsid w:val="00FD5C58"/>
    <w:rsid w:val="00FD6BFD"/>
    <w:rsid w:val="00FE03F5"/>
    <w:rsid w:val="00FE26E0"/>
    <w:rsid w:val="00FE4F4B"/>
    <w:rsid w:val="00FE5670"/>
    <w:rsid w:val="00FF32E4"/>
    <w:rsid w:val="00FF584B"/>
    <w:rsid w:val="00FF718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E25F42"/>
  <w15:chartTrackingRefBased/>
  <w15:docId w15:val="{D91078B7-35F4-7D41-890A-84269CFAFF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s-CO"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45D43"/>
    <w:pPr>
      <w:spacing w:after="200" w:line="276" w:lineRule="auto"/>
      <w:jc w:val="both"/>
    </w:pPr>
    <w:rPr>
      <w:szCs w:val="22"/>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D45D43"/>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R"/>
    <w:basedOn w:val="Normal"/>
    <w:link w:val="TextonotapieCar"/>
    <w:uiPriority w:val="99"/>
    <w:unhideWhenUsed/>
    <w:qFormat/>
    <w:rsid w:val="00D45D43"/>
    <w:rPr>
      <w:sz w:val="20"/>
      <w:szCs w:val="20"/>
    </w:rPr>
  </w:style>
  <w:style w:type="character" w:customStyle="1" w:styleId="TextonotapieCar1">
    <w:name w:val="Texto nota pie Car1"/>
    <w:basedOn w:val="Fuentedeprrafopredeter"/>
    <w:uiPriority w:val="99"/>
    <w:semiHidden/>
    <w:rsid w:val="00D45D43"/>
    <w:rPr>
      <w:sz w:val="20"/>
      <w:szCs w:val="20"/>
      <w:lang w:val="es-ES_tradnl"/>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Re"/>
    <w:basedOn w:val="Fuentedeprrafopredeter"/>
    <w:link w:val="Appelnotedebasde"/>
    <w:uiPriority w:val="99"/>
    <w:unhideWhenUsed/>
    <w:qFormat/>
    <w:rsid w:val="00D45D43"/>
    <w:rPr>
      <w:vertAlign w:val="superscript"/>
    </w:rPr>
  </w:style>
  <w:style w:type="paragraph" w:customStyle="1" w:styleId="Appelnotedebasde">
    <w:name w:val="Appel note de bas de..."/>
    <w:basedOn w:val="Normal"/>
    <w:link w:val="Refdenotaalpie"/>
    <w:uiPriority w:val="99"/>
    <w:rsid w:val="00D45D43"/>
    <w:pPr>
      <w:spacing w:after="160" w:line="240" w:lineRule="exact"/>
    </w:pPr>
    <w:rPr>
      <w:vertAlign w:val="superscript"/>
      <w:lang w:val="es-CO"/>
    </w:rPr>
  </w:style>
  <w:style w:type="paragraph" w:styleId="Piedepgina">
    <w:name w:val="footer"/>
    <w:basedOn w:val="Normal"/>
    <w:link w:val="PiedepginaCar"/>
    <w:uiPriority w:val="99"/>
    <w:unhideWhenUsed/>
    <w:rsid w:val="00D45D43"/>
    <w:pPr>
      <w:tabs>
        <w:tab w:val="center" w:pos="4419"/>
        <w:tab w:val="right" w:pos="8838"/>
      </w:tabs>
    </w:pPr>
  </w:style>
  <w:style w:type="character" w:customStyle="1" w:styleId="PiedepginaCar">
    <w:name w:val="Pie de página Car"/>
    <w:basedOn w:val="Fuentedeprrafopredeter"/>
    <w:link w:val="Piedepgina"/>
    <w:uiPriority w:val="99"/>
    <w:rsid w:val="00D45D43"/>
    <w:rPr>
      <w:szCs w:val="22"/>
      <w:lang w:val="es-MX"/>
    </w:rPr>
  </w:style>
  <w:style w:type="paragraph" w:styleId="Encabezado">
    <w:name w:val="header"/>
    <w:basedOn w:val="Normal"/>
    <w:link w:val="EncabezadoCar"/>
    <w:uiPriority w:val="99"/>
    <w:unhideWhenUsed/>
    <w:rsid w:val="00D45D43"/>
    <w:pPr>
      <w:tabs>
        <w:tab w:val="center" w:pos="4252"/>
        <w:tab w:val="right" w:pos="8504"/>
      </w:tabs>
    </w:pPr>
  </w:style>
  <w:style w:type="character" w:customStyle="1" w:styleId="EncabezadoCar">
    <w:name w:val="Encabezado Car"/>
    <w:basedOn w:val="Fuentedeprrafopredeter"/>
    <w:link w:val="Encabezado"/>
    <w:uiPriority w:val="99"/>
    <w:rsid w:val="00D45D43"/>
    <w:rPr>
      <w:szCs w:val="22"/>
      <w:lang w:val="es-MX"/>
    </w:r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D45D43"/>
    <w:pPr>
      <w:ind w:left="720"/>
      <w:contextualSpacing/>
    </w:pPr>
  </w:style>
  <w:style w:type="paragraph" w:styleId="NormalWeb">
    <w:name w:val="Normal (Web)"/>
    <w:basedOn w:val="Normal"/>
    <w:link w:val="NormalWebCar"/>
    <w:uiPriority w:val="99"/>
    <w:unhideWhenUsed/>
    <w:rsid w:val="00D45D4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uiPriority w:val="1"/>
    <w:qFormat/>
    <w:rsid w:val="00D45D43"/>
    <w:pPr>
      <w:jc w:val="both"/>
    </w:pPr>
    <w:rPr>
      <w:szCs w:val="22"/>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D45D43"/>
    <w:rPr>
      <w:szCs w:val="22"/>
      <w:lang w:val="es-MX"/>
    </w:rPr>
  </w:style>
  <w:style w:type="character" w:customStyle="1" w:styleId="NormalWebCar">
    <w:name w:val="Normal (Web) Car"/>
    <w:link w:val="NormalWeb"/>
    <w:uiPriority w:val="99"/>
    <w:locked/>
    <w:rsid w:val="00D45D43"/>
    <w:rPr>
      <w:rFonts w:ascii="Times New Roman" w:eastAsia="Times New Roman" w:hAnsi="Times New Roman" w:cs="Times New Roman"/>
      <w:lang w:eastAsia="es-CO"/>
    </w:rPr>
  </w:style>
  <w:style w:type="paragraph" w:styleId="Textoindependiente">
    <w:name w:val="Body Text"/>
    <w:basedOn w:val="Normal"/>
    <w:link w:val="TextoindependienteCar"/>
    <w:uiPriority w:val="1"/>
    <w:qFormat/>
    <w:rsid w:val="00D45D43"/>
    <w:pPr>
      <w:widowControl w:val="0"/>
      <w:autoSpaceDE w:val="0"/>
      <w:autoSpaceDN w:val="0"/>
    </w:pPr>
    <w:rPr>
      <w:rFonts w:ascii="Arial" w:eastAsia="Arial" w:hAnsi="Arial" w:cs="Arial"/>
      <w:sz w:val="22"/>
      <w:lang w:val="es-ES" w:eastAsia="es-ES" w:bidi="es-ES"/>
    </w:rPr>
  </w:style>
  <w:style w:type="character" w:customStyle="1" w:styleId="TextoindependienteCar">
    <w:name w:val="Texto independiente Car"/>
    <w:basedOn w:val="Fuentedeprrafopredeter"/>
    <w:link w:val="Textoindependiente"/>
    <w:uiPriority w:val="1"/>
    <w:rsid w:val="00D45D43"/>
    <w:rPr>
      <w:rFonts w:ascii="Arial" w:eastAsia="Arial" w:hAnsi="Arial" w:cs="Arial"/>
      <w:sz w:val="22"/>
      <w:szCs w:val="22"/>
      <w:lang w:val="es-ES" w:eastAsia="es-ES" w:bidi="es-ES"/>
    </w:rPr>
  </w:style>
  <w:style w:type="table" w:customStyle="1" w:styleId="Tablaconcuadrcula1">
    <w:name w:val="Tabla con cuadrícula1"/>
    <w:basedOn w:val="Tablanormal"/>
    <w:next w:val="Tablaconcuadrcula"/>
    <w:uiPriority w:val="39"/>
    <w:rsid w:val="00D45D43"/>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D45D43"/>
    <w:pPr>
      <w:autoSpaceDE w:val="0"/>
      <w:autoSpaceDN w:val="0"/>
      <w:adjustRightInd w:val="0"/>
    </w:pPr>
    <w:rPr>
      <w:rFonts w:ascii="Arial" w:hAnsi="Arial" w:cs="Arial"/>
      <w:color w:val="000000"/>
      <w:lang w:val="es-ES"/>
    </w:rPr>
  </w:style>
  <w:style w:type="table" w:customStyle="1" w:styleId="Tablaconcuadrcula21">
    <w:name w:val="Tabla con cuadrícula21"/>
    <w:basedOn w:val="Tablanormal"/>
    <w:next w:val="Tablaconcuadrcula"/>
    <w:uiPriority w:val="59"/>
    <w:rsid w:val="00D45D43"/>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concuadrcula">
    <w:name w:val="Table Grid"/>
    <w:basedOn w:val="Tablanormal"/>
    <w:uiPriority w:val="39"/>
    <w:rsid w:val="00D45D4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decomentario">
    <w:name w:val="annotation reference"/>
    <w:basedOn w:val="Fuentedeprrafopredeter"/>
    <w:uiPriority w:val="99"/>
    <w:semiHidden/>
    <w:unhideWhenUsed/>
    <w:rsid w:val="00675729"/>
    <w:rPr>
      <w:sz w:val="16"/>
      <w:szCs w:val="16"/>
    </w:rPr>
  </w:style>
  <w:style w:type="paragraph" w:styleId="Textocomentario">
    <w:name w:val="annotation text"/>
    <w:basedOn w:val="Normal"/>
    <w:link w:val="TextocomentarioCar"/>
    <w:uiPriority w:val="99"/>
    <w:semiHidden/>
    <w:unhideWhenUsed/>
    <w:rsid w:val="00675729"/>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675729"/>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675729"/>
    <w:rPr>
      <w:b/>
      <w:bCs/>
    </w:rPr>
  </w:style>
  <w:style w:type="character" w:customStyle="1" w:styleId="AsuntodelcomentarioCar">
    <w:name w:val="Asunto del comentario Car"/>
    <w:basedOn w:val="TextocomentarioCar"/>
    <w:link w:val="Asuntodelcomentario"/>
    <w:uiPriority w:val="99"/>
    <w:semiHidden/>
    <w:rsid w:val="00675729"/>
    <w:rPr>
      <w:b/>
      <w:bCs/>
      <w:sz w:val="20"/>
      <w:szCs w:val="20"/>
      <w:lang w:val="es-MX"/>
    </w:rPr>
  </w:style>
  <w:style w:type="paragraph" w:styleId="Revisin">
    <w:name w:val="Revision"/>
    <w:hidden/>
    <w:uiPriority w:val="99"/>
    <w:semiHidden/>
    <w:rsid w:val="000B66C7"/>
    <w:rPr>
      <w:szCs w:val="22"/>
      <w:lang w:val="es-MX"/>
    </w:rPr>
  </w:style>
  <w:style w:type="character" w:customStyle="1" w:styleId="apple-converted-space">
    <w:name w:val="apple-converted-space"/>
    <w:basedOn w:val="Fuentedeprrafopredeter"/>
    <w:rsid w:val="000B66C7"/>
  </w:style>
  <w:style w:type="character" w:customStyle="1" w:styleId="baj">
    <w:name w:val="b_aj"/>
    <w:basedOn w:val="Fuentedeprrafopredeter"/>
    <w:rsid w:val="00E23478"/>
  </w:style>
  <w:style w:type="character" w:styleId="nfasis">
    <w:name w:val="Emphasis"/>
    <w:basedOn w:val="Fuentedeprrafopredeter"/>
    <w:uiPriority w:val="20"/>
    <w:qFormat/>
    <w:rsid w:val="007849CA"/>
    <w:rPr>
      <w:i/>
      <w:iCs/>
    </w:rPr>
  </w:style>
  <w:style w:type="character" w:styleId="Hipervnculo">
    <w:name w:val="Hyperlink"/>
    <w:basedOn w:val="Fuentedeprrafopredeter"/>
    <w:uiPriority w:val="99"/>
    <w:unhideWhenUsed/>
    <w:rsid w:val="00332296"/>
    <w:rPr>
      <w:color w:val="0563C1" w:themeColor="hyperlink"/>
      <w:u w:val="single"/>
    </w:rPr>
  </w:style>
  <w:style w:type="character" w:styleId="Textoennegrita">
    <w:name w:val="Strong"/>
    <w:basedOn w:val="Fuentedeprrafopredeter"/>
    <w:uiPriority w:val="22"/>
    <w:qFormat/>
    <w:rsid w:val="00332296"/>
    <w:rPr>
      <w:b/>
      <w:bCs/>
    </w:rPr>
  </w:style>
  <w:style w:type="paragraph" w:customStyle="1" w:styleId="paragraph">
    <w:name w:val="paragraph"/>
    <w:basedOn w:val="Normal"/>
    <w:rsid w:val="00BE1C53"/>
    <w:pPr>
      <w:spacing w:before="100" w:beforeAutospacing="1" w:after="100" w:afterAutospacing="1" w:line="240" w:lineRule="auto"/>
      <w:jc w:val="left"/>
    </w:pPr>
    <w:rPr>
      <w:rFonts w:ascii="Times New Roman" w:eastAsia="Times New Roman" w:hAnsi="Times New Roman" w:cs="Times New Roman"/>
      <w:szCs w:val="24"/>
      <w:lang w:val="es-CO" w:eastAsia="es-CO"/>
    </w:rPr>
  </w:style>
  <w:style w:type="character" w:customStyle="1" w:styleId="normaltextrun">
    <w:name w:val="normaltextrun"/>
    <w:basedOn w:val="Fuentedeprrafopredeter"/>
    <w:rsid w:val="00BE1C53"/>
  </w:style>
  <w:style w:type="character" w:customStyle="1" w:styleId="eop">
    <w:name w:val="eop"/>
    <w:basedOn w:val="Fuentedeprrafopredeter"/>
    <w:rsid w:val="00BE1C53"/>
  </w:style>
  <w:style w:type="character" w:customStyle="1" w:styleId="superscript">
    <w:name w:val="superscript"/>
    <w:basedOn w:val="Fuentedeprrafopredeter"/>
    <w:rsid w:val="008C2751"/>
  </w:style>
  <w:style w:type="table" w:customStyle="1" w:styleId="Tablaconcuadrcula2">
    <w:name w:val="Tabla con cuadrícula2"/>
    <w:basedOn w:val="Tablanormal"/>
    <w:next w:val="Tablaconcuadrcula"/>
    <w:uiPriority w:val="59"/>
    <w:rsid w:val="002A10A4"/>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link w:val="TextodegloboCar"/>
    <w:uiPriority w:val="99"/>
    <w:semiHidden/>
    <w:unhideWhenUsed/>
    <w:rsid w:val="00A628DA"/>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A628DA"/>
    <w:rPr>
      <w:rFonts w:ascii="Segoe UI" w:hAnsi="Segoe UI" w:cs="Segoe UI"/>
      <w:sz w:val="18"/>
      <w:szCs w:val="18"/>
      <w:lang w:val="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4349137">
      <w:bodyDiv w:val="1"/>
      <w:marLeft w:val="0"/>
      <w:marRight w:val="0"/>
      <w:marTop w:val="0"/>
      <w:marBottom w:val="0"/>
      <w:divBdr>
        <w:top w:val="none" w:sz="0" w:space="0" w:color="auto"/>
        <w:left w:val="none" w:sz="0" w:space="0" w:color="auto"/>
        <w:bottom w:val="none" w:sz="0" w:space="0" w:color="auto"/>
        <w:right w:val="none" w:sz="0" w:space="0" w:color="auto"/>
      </w:divBdr>
      <w:divsChild>
        <w:div w:id="591670662">
          <w:marLeft w:val="0"/>
          <w:marRight w:val="0"/>
          <w:marTop w:val="0"/>
          <w:marBottom w:val="0"/>
          <w:divBdr>
            <w:top w:val="none" w:sz="0" w:space="0" w:color="auto"/>
            <w:left w:val="none" w:sz="0" w:space="0" w:color="auto"/>
            <w:bottom w:val="none" w:sz="0" w:space="0" w:color="auto"/>
            <w:right w:val="none" w:sz="0" w:space="0" w:color="auto"/>
          </w:divBdr>
          <w:divsChild>
            <w:div w:id="2109809407">
              <w:marLeft w:val="0"/>
              <w:marRight w:val="0"/>
              <w:marTop w:val="0"/>
              <w:marBottom w:val="0"/>
              <w:divBdr>
                <w:top w:val="none" w:sz="0" w:space="0" w:color="auto"/>
                <w:left w:val="none" w:sz="0" w:space="0" w:color="auto"/>
                <w:bottom w:val="none" w:sz="0" w:space="0" w:color="auto"/>
                <w:right w:val="none" w:sz="0" w:space="0" w:color="auto"/>
              </w:divBdr>
              <w:divsChild>
                <w:div w:id="1389184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331788">
      <w:bodyDiv w:val="1"/>
      <w:marLeft w:val="0"/>
      <w:marRight w:val="0"/>
      <w:marTop w:val="0"/>
      <w:marBottom w:val="0"/>
      <w:divBdr>
        <w:top w:val="none" w:sz="0" w:space="0" w:color="auto"/>
        <w:left w:val="none" w:sz="0" w:space="0" w:color="auto"/>
        <w:bottom w:val="none" w:sz="0" w:space="0" w:color="auto"/>
        <w:right w:val="none" w:sz="0" w:space="0" w:color="auto"/>
      </w:divBdr>
      <w:divsChild>
        <w:div w:id="1785688368">
          <w:marLeft w:val="0"/>
          <w:marRight w:val="0"/>
          <w:marTop w:val="0"/>
          <w:marBottom w:val="0"/>
          <w:divBdr>
            <w:top w:val="none" w:sz="0" w:space="0" w:color="auto"/>
            <w:left w:val="none" w:sz="0" w:space="0" w:color="auto"/>
            <w:bottom w:val="none" w:sz="0" w:space="0" w:color="auto"/>
            <w:right w:val="none" w:sz="0" w:space="0" w:color="auto"/>
          </w:divBdr>
        </w:div>
        <w:div w:id="1584951616">
          <w:marLeft w:val="0"/>
          <w:marRight w:val="0"/>
          <w:marTop w:val="0"/>
          <w:marBottom w:val="0"/>
          <w:divBdr>
            <w:top w:val="none" w:sz="0" w:space="0" w:color="auto"/>
            <w:left w:val="none" w:sz="0" w:space="0" w:color="auto"/>
            <w:bottom w:val="none" w:sz="0" w:space="0" w:color="auto"/>
            <w:right w:val="none" w:sz="0" w:space="0" w:color="auto"/>
          </w:divBdr>
        </w:div>
        <w:div w:id="1449620084">
          <w:marLeft w:val="0"/>
          <w:marRight w:val="0"/>
          <w:marTop w:val="0"/>
          <w:marBottom w:val="0"/>
          <w:divBdr>
            <w:top w:val="none" w:sz="0" w:space="0" w:color="auto"/>
            <w:left w:val="none" w:sz="0" w:space="0" w:color="auto"/>
            <w:bottom w:val="none" w:sz="0" w:space="0" w:color="auto"/>
            <w:right w:val="none" w:sz="0" w:space="0" w:color="auto"/>
          </w:divBdr>
        </w:div>
        <w:div w:id="1932809771">
          <w:marLeft w:val="0"/>
          <w:marRight w:val="0"/>
          <w:marTop w:val="0"/>
          <w:marBottom w:val="0"/>
          <w:divBdr>
            <w:top w:val="none" w:sz="0" w:space="0" w:color="auto"/>
            <w:left w:val="none" w:sz="0" w:space="0" w:color="auto"/>
            <w:bottom w:val="none" w:sz="0" w:space="0" w:color="auto"/>
            <w:right w:val="none" w:sz="0" w:space="0" w:color="auto"/>
          </w:divBdr>
        </w:div>
        <w:div w:id="1219319837">
          <w:marLeft w:val="0"/>
          <w:marRight w:val="0"/>
          <w:marTop w:val="0"/>
          <w:marBottom w:val="0"/>
          <w:divBdr>
            <w:top w:val="none" w:sz="0" w:space="0" w:color="auto"/>
            <w:left w:val="none" w:sz="0" w:space="0" w:color="auto"/>
            <w:bottom w:val="none" w:sz="0" w:space="0" w:color="auto"/>
            <w:right w:val="none" w:sz="0" w:space="0" w:color="auto"/>
          </w:divBdr>
        </w:div>
        <w:div w:id="1667978196">
          <w:marLeft w:val="0"/>
          <w:marRight w:val="0"/>
          <w:marTop w:val="0"/>
          <w:marBottom w:val="0"/>
          <w:divBdr>
            <w:top w:val="none" w:sz="0" w:space="0" w:color="auto"/>
            <w:left w:val="none" w:sz="0" w:space="0" w:color="auto"/>
            <w:bottom w:val="none" w:sz="0" w:space="0" w:color="auto"/>
            <w:right w:val="none" w:sz="0" w:space="0" w:color="auto"/>
          </w:divBdr>
        </w:div>
        <w:div w:id="27687961">
          <w:marLeft w:val="0"/>
          <w:marRight w:val="0"/>
          <w:marTop w:val="0"/>
          <w:marBottom w:val="0"/>
          <w:divBdr>
            <w:top w:val="none" w:sz="0" w:space="0" w:color="auto"/>
            <w:left w:val="none" w:sz="0" w:space="0" w:color="auto"/>
            <w:bottom w:val="none" w:sz="0" w:space="0" w:color="auto"/>
            <w:right w:val="none" w:sz="0" w:space="0" w:color="auto"/>
          </w:divBdr>
        </w:div>
        <w:div w:id="2009669312">
          <w:marLeft w:val="0"/>
          <w:marRight w:val="0"/>
          <w:marTop w:val="0"/>
          <w:marBottom w:val="0"/>
          <w:divBdr>
            <w:top w:val="none" w:sz="0" w:space="0" w:color="auto"/>
            <w:left w:val="none" w:sz="0" w:space="0" w:color="auto"/>
            <w:bottom w:val="none" w:sz="0" w:space="0" w:color="auto"/>
            <w:right w:val="none" w:sz="0" w:space="0" w:color="auto"/>
          </w:divBdr>
        </w:div>
        <w:div w:id="711734120">
          <w:marLeft w:val="0"/>
          <w:marRight w:val="0"/>
          <w:marTop w:val="0"/>
          <w:marBottom w:val="0"/>
          <w:divBdr>
            <w:top w:val="none" w:sz="0" w:space="0" w:color="auto"/>
            <w:left w:val="none" w:sz="0" w:space="0" w:color="auto"/>
            <w:bottom w:val="none" w:sz="0" w:space="0" w:color="auto"/>
            <w:right w:val="none" w:sz="0" w:space="0" w:color="auto"/>
          </w:divBdr>
        </w:div>
        <w:div w:id="1071003515">
          <w:marLeft w:val="0"/>
          <w:marRight w:val="0"/>
          <w:marTop w:val="0"/>
          <w:marBottom w:val="0"/>
          <w:divBdr>
            <w:top w:val="none" w:sz="0" w:space="0" w:color="auto"/>
            <w:left w:val="none" w:sz="0" w:space="0" w:color="auto"/>
            <w:bottom w:val="none" w:sz="0" w:space="0" w:color="auto"/>
            <w:right w:val="none" w:sz="0" w:space="0" w:color="auto"/>
          </w:divBdr>
        </w:div>
        <w:div w:id="87703002">
          <w:marLeft w:val="0"/>
          <w:marRight w:val="0"/>
          <w:marTop w:val="0"/>
          <w:marBottom w:val="0"/>
          <w:divBdr>
            <w:top w:val="none" w:sz="0" w:space="0" w:color="auto"/>
            <w:left w:val="none" w:sz="0" w:space="0" w:color="auto"/>
            <w:bottom w:val="none" w:sz="0" w:space="0" w:color="auto"/>
            <w:right w:val="none" w:sz="0" w:space="0" w:color="auto"/>
          </w:divBdr>
        </w:div>
        <w:div w:id="1972439572">
          <w:marLeft w:val="0"/>
          <w:marRight w:val="0"/>
          <w:marTop w:val="0"/>
          <w:marBottom w:val="0"/>
          <w:divBdr>
            <w:top w:val="none" w:sz="0" w:space="0" w:color="auto"/>
            <w:left w:val="none" w:sz="0" w:space="0" w:color="auto"/>
            <w:bottom w:val="none" w:sz="0" w:space="0" w:color="auto"/>
            <w:right w:val="none" w:sz="0" w:space="0" w:color="auto"/>
          </w:divBdr>
        </w:div>
        <w:div w:id="942493126">
          <w:marLeft w:val="0"/>
          <w:marRight w:val="0"/>
          <w:marTop w:val="0"/>
          <w:marBottom w:val="0"/>
          <w:divBdr>
            <w:top w:val="none" w:sz="0" w:space="0" w:color="auto"/>
            <w:left w:val="none" w:sz="0" w:space="0" w:color="auto"/>
            <w:bottom w:val="none" w:sz="0" w:space="0" w:color="auto"/>
            <w:right w:val="none" w:sz="0" w:space="0" w:color="auto"/>
          </w:divBdr>
        </w:div>
        <w:div w:id="1003433412">
          <w:marLeft w:val="0"/>
          <w:marRight w:val="0"/>
          <w:marTop w:val="0"/>
          <w:marBottom w:val="0"/>
          <w:divBdr>
            <w:top w:val="none" w:sz="0" w:space="0" w:color="auto"/>
            <w:left w:val="none" w:sz="0" w:space="0" w:color="auto"/>
            <w:bottom w:val="none" w:sz="0" w:space="0" w:color="auto"/>
            <w:right w:val="none" w:sz="0" w:space="0" w:color="auto"/>
          </w:divBdr>
        </w:div>
        <w:div w:id="1623876375">
          <w:marLeft w:val="0"/>
          <w:marRight w:val="0"/>
          <w:marTop w:val="0"/>
          <w:marBottom w:val="0"/>
          <w:divBdr>
            <w:top w:val="none" w:sz="0" w:space="0" w:color="auto"/>
            <w:left w:val="none" w:sz="0" w:space="0" w:color="auto"/>
            <w:bottom w:val="none" w:sz="0" w:space="0" w:color="auto"/>
            <w:right w:val="none" w:sz="0" w:space="0" w:color="auto"/>
          </w:divBdr>
        </w:div>
        <w:div w:id="60953952">
          <w:marLeft w:val="0"/>
          <w:marRight w:val="0"/>
          <w:marTop w:val="0"/>
          <w:marBottom w:val="0"/>
          <w:divBdr>
            <w:top w:val="none" w:sz="0" w:space="0" w:color="auto"/>
            <w:left w:val="none" w:sz="0" w:space="0" w:color="auto"/>
            <w:bottom w:val="none" w:sz="0" w:space="0" w:color="auto"/>
            <w:right w:val="none" w:sz="0" w:space="0" w:color="auto"/>
          </w:divBdr>
        </w:div>
        <w:div w:id="86972506">
          <w:marLeft w:val="0"/>
          <w:marRight w:val="0"/>
          <w:marTop w:val="0"/>
          <w:marBottom w:val="0"/>
          <w:divBdr>
            <w:top w:val="none" w:sz="0" w:space="0" w:color="auto"/>
            <w:left w:val="none" w:sz="0" w:space="0" w:color="auto"/>
            <w:bottom w:val="none" w:sz="0" w:space="0" w:color="auto"/>
            <w:right w:val="none" w:sz="0" w:space="0" w:color="auto"/>
          </w:divBdr>
        </w:div>
        <w:div w:id="969242762">
          <w:marLeft w:val="0"/>
          <w:marRight w:val="0"/>
          <w:marTop w:val="0"/>
          <w:marBottom w:val="0"/>
          <w:divBdr>
            <w:top w:val="none" w:sz="0" w:space="0" w:color="auto"/>
            <w:left w:val="none" w:sz="0" w:space="0" w:color="auto"/>
            <w:bottom w:val="none" w:sz="0" w:space="0" w:color="auto"/>
            <w:right w:val="none" w:sz="0" w:space="0" w:color="auto"/>
          </w:divBdr>
        </w:div>
        <w:div w:id="1785729728">
          <w:marLeft w:val="0"/>
          <w:marRight w:val="0"/>
          <w:marTop w:val="0"/>
          <w:marBottom w:val="0"/>
          <w:divBdr>
            <w:top w:val="none" w:sz="0" w:space="0" w:color="auto"/>
            <w:left w:val="none" w:sz="0" w:space="0" w:color="auto"/>
            <w:bottom w:val="none" w:sz="0" w:space="0" w:color="auto"/>
            <w:right w:val="none" w:sz="0" w:space="0" w:color="auto"/>
          </w:divBdr>
        </w:div>
        <w:div w:id="1280262445">
          <w:marLeft w:val="0"/>
          <w:marRight w:val="0"/>
          <w:marTop w:val="0"/>
          <w:marBottom w:val="0"/>
          <w:divBdr>
            <w:top w:val="none" w:sz="0" w:space="0" w:color="auto"/>
            <w:left w:val="none" w:sz="0" w:space="0" w:color="auto"/>
            <w:bottom w:val="none" w:sz="0" w:space="0" w:color="auto"/>
            <w:right w:val="none" w:sz="0" w:space="0" w:color="auto"/>
          </w:divBdr>
        </w:div>
        <w:div w:id="2014411531">
          <w:marLeft w:val="0"/>
          <w:marRight w:val="0"/>
          <w:marTop w:val="0"/>
          <w:marBottom w:val="0"/>
          <w:divBdr>
            <w:top w:val="none" w:sz="0" w:space="0" w:color="auto"/>
            <w:left w:val="none" w:sz="0" w:space="0" w:color="auto"/>
            <w:bottom w:val="none" w:sz="0" w:space="0" w:color="auto"/>
            <w:right w:val="none" w:sz="0" w:space="0" w:color="auto"/>
          </w:divBdr>
        </w:div>
        <w:div w:id="2070687829">
          <w:marLeft w:val="0"/>
          <w:marRight w:val="0"/>
          <w:marTop w:val="0"/>
          <w:marBottom w:val="0"/>
          <w:divBdr>
            <w:top w:val="none" w:sz="0" w:space="0" w:color="auto"/>
            <w:left w:val="none" w:sz="0" w:space="0" w:color="auto"/>
            <w:bottom w:val="none" w:sz="0" w:space="0" w:color="auto"/>
            <w:right w:val="none" w:sz="0" w:space="0" w:color="auto"/>
          </w:divBdr>
        </w:div>
        <w:div w:id="1231310609">
          <w:marLeft w:val="0"/>
          <w:marRight w:val="0"/>
          <w:marTop w:val="0"/>
          <w:marBottom w:val="0"/>
          <w:divBdr>
            <w:top w:val="none" w:sz="0" w:space="0" w:color="auto"/>
            <w:left w:val="none" w:sz="0" w:space="0" w:color="auto"/>
            <w:bottom w:val="none" w:sz="0" w:space="0" w:color="auto"/>
            <w:right w:val="none" w:sz="0" w:space="0" w:color="auto"/>
          </w:divBdr>
        </w:div>
        <w:div w:id="1391536869">
          <w:marLeft w:val="0"/>
          <w:marRight w:val="0"/>
          <w:marTop w:val="0"/>
          <w:marBottom w:val="0"/>
          <w:divBdr>
            <w:top w:val="none" w:sz="0" w:space="0" w:color="auto"/>
            <w:left w:val="none" w:sz="0" w:space="0" w:color="auto"/>
            <w:bottom w:val="none" w:sz="0" w:space="0" w:color="auto"/>
            <w:right w:val="none" w:sz="0" w:space="0" w:color="auto"/>
          </w:divBdr>
        </w:div>
        <w:div w:id="474185138">
          <w:marLeft w:val="0"/>
          <w:marRight w:val="0"/>
          <w:marTop w:val="0"/>
          <w:marBottom w:val="0"/>
          <w:divBdr>
            <w:top w:val="none" w:sz="0" w:space="0" w:color="auto"/>
            <w:left w:val="none" w:sz="0" w:space="0" w:color="auto"/>
            <w:bottom w:val="none" w:sz="0" w:space="0" w:color="auto"/>
            <w:right w:val="none" w:sz="0" w:space="0" w:color="auto"/>
          </w:divBdr>
        </w:div>
        <w:div w:id="1380976637">
          <w:marLeft w:val="0"/>
          <w:marRight w:val="0"/>
          <w:marTop w:val="0"/>
          <w:marBottom w:val="0"/>
          <w:divBdr>
            <w:top w:val="none" w:sz="0" w:space="0" w:color="auto"/>
            <w:left w:val="none" w:sz="0" w:space="0" w:color="auto"/>
            <w:bottom w:val="none" w:sz="0" w:space="0" w:color="auto"/>
            <w:right w:val="none" w:sz="0" w:space="0" w:color="auto"/>
          </w:divBdr>
        </w:div>
      </w:divsChild>
    </w:div>
    <w:div w:id="191185074">
      <w:bodyDiv w:val="1"/>
      <w:marLeft w:val="0"/>
      <w:marRight w:val="0"/>
      <w:marTop w:val="0"/>
      <w:marBottom w:val="0"/>
      <w:divBdr>
        <w:top w:val="none" w:sz="0" w:space="0" w:color="auto"/>
        <w:left w:val="none" w:sz="0" w:space="0" w:color="auto"/>
        <w:bottom w:val="none" w:sz="0" w:space="0" w:color="auto"/>
        <w:right w:val="none" w:sz="0" w:space="0" w:color="auto"/>
      </w:divBdr>
      <w:divsChild>
        <w:div w:id="599142097">
          <w:marLeft w:val="0"/>
          <w:marRight w:val="0"/>
          <w:marTop w:val="0"/>
          <w:marBottom w:val="0"/>
          <w:divBdr>
            <w:top w:val="none" w:sz="0" w:space="0" w:color="auto"/>
            <w:left w:val="none" w:sz="0" w:space="0" w:color="auto"/>
            <w:bottom w:val="none" w:sz="0" w:space="0" w:color="auto"/>
            <w:right w:val="none" w:sz="0" w:space="0" w:color="auto"/>
          </w:divBdr>
          <w:divsChild>
            <w:div w:id="1430857898">
              <w:marLeft w:val="0"/>
              <w:marRight w:val="0"/>
              <w:marTop w:val="0"/>
              <w:marBottom w:val="0"/>
              <w:divBdr>
                <w:top w:val="none" w:sz="0" w:space="0" w:color="auto"/>
                <w:left w:val="none" w:sz="0" w:space="0" w:color="auto"/>
                <w:bottom w:val="none" w:sz="0" w:space="0" w:color="auto"/>
                <w:right w:val="none" w:sz="0" w:space="0" w:color="auto"/>
              </w:divBdr>
              <w:divsChild>
                <w:div w:id="1041520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093777">
      <w:bodyDiv w:val="1"/>
      <w:marLeft w:val="0"/>
      <w:marRight w:val="0"/>
      <w:marTop w:val="0"/>
      <w:marBottom w:val="0"/>
      <w:divBdr>
        <w:top w:val="none" w:sz="0" w:space="0" w:color="auto"/>
        <w:left w:val="none" w:sz="0" w:space="0" w:color="auto"/>
        <w:bottom w:val="none" w:sz="0" w:space="0" w:color="auto"/>
        <w:right w:val="none" w:sz="0" w:space="0" w:color="auto"/>
      </w:divBdr>
      <w:divsChild>
        <w:div w:id="491986679">
          <w:marLeft w:val="0"/>
          <w:marRight w:val="0"/>
          <w:marTop w:val="0"/>
          <w:marBottom w:val="0"/>
          <w:divBdr>
            <w:top w:val="none" w:sz="0" w:space="0" w:color="auto"/>
            <w:left w:val="none" w:sz="0" w:space="0" w:color="auto"/>
            <w:bottom w:val="none" w:sz="0" w:space="0" w:color="auto"/>
            <w:right w:val="none" w:sz="0" w:space="0" w:color="auto"/>
          </w:divBdr>
          <w:divsChild>
            <w:div w:id="410664515">
              <w:marLeft w:val="0"/>
              <w:marRight w:val="0"/>
              <w:marTop w:val="0"/>
              <w:marBottom w:val="0"/>
              <w:divBdr>
                <w:top w:val="none" w:sz="0" w:space="0" w:color="auto"/>
                <w:left w:val="none" w:sz="0" w:space="0" w:color="auto"/>
                <w:bottom w:val="none" w:sz="0" w:space="0" w:color="auto"/>
                <w:right w:val="none" w:sz="0" w:space="0" w:color="auto"/>
              </w:divBdr>
              <w:divsChild>
                <w:div w:id="1205486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8536031">
      <w:bodyDiv w:val="1"/>
      <w:marLeft w:val="0"/>
      <w:marRight w:val="0"/>
      <w:marTop w:val="0"/>
      <w:marBottom w:val="0"/>
      <w:divBdr>
        <w:top w:val="none" w:sz="0" w:space="0" w:color="auto"/>
        <w:left w:val="none" w:sz="0" w:space="0" w:color="auto"/>
        <w:bottom w:val="none" w:sz="0" w:space="0" w:color="auto"/>
        <w:right w:val="none" w:sz="0" w:space="0" w:color="auto"/>
      </w:divBdr>
      <w:divsChild>
        <w:div w:id="1073426639">
          <w:marLeft w:val="0"/>
          <w:marRight w:val="0"/>
          <w:marTop w:val="0"/>
          <w:marBottom w:val="0"/>
          <w:divBdr>
            <w:top w:val="none" w:sz="0" w:space="0" w:color="auto"/>
            <w:left w:val="none" w:sz="0" w:space="0" w:color="auto"/>
            <w:bottom w:val="none" w:sz="0" w:space="0" w:color="auto"/>
            <w:right w:val="none" w:sz="0" w:space="0" w:color="auto"/>
          </w:divBdr>
          <w:divsChild>
            <w:div w:id="2028217608">
              <w:marLeft w:val="0"/>
              <w:marRight w:val="0"/>
              <w:marTop w:val="0"/>
              <w:marBottom w:val="0"/>
              <w:divBdr>
                <w:top w:val="none" w:sz="0" w:space="0" w:color="auto"/>
                <w:left w:val="none" w:sz="0" w:space="0" w:color="auto"/>
                <w:bottom w:val="none" w:sz="0" w:space="0" w:color="auto"/>
                <w:right w:val="none" w:sz="0" w:space="0" w:color="auto"/>
              </w:divBdr>
              <w:divsChild>
                <w:div w:id="1491561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7352237">
      <w:bodyDiv w:val="1"/>
      <w:marLeft w:val="0"/>
      <w:marRight w:val="0"/>
      <w:marTop w:val="0"/>
      <w:marBottom w:val="0"/>
      <w:divBdr>
        <w:top w:val="none" w:sz="0" w:space="0" w:color="auto"/>
        <w:left w:val="none" w:sz="0" w:space="0" w:color="auto"/>
        <w:bottom w:val="none" w:sz="0" w:space="0" w:color="auto"/>
        <w:right w:val="none" w:sz="0" w:space="0" w:color="auto"/>
      </w:divBdr>
    </w:div>
    <w:div w:id="298926016">
      <w:bodyDiv w:val="1"/>
      <w:marLeft w:val="0"/>
      <w:marRight w:val="0"/>
      <w:marTop w:val="0"/>
      <w:marBottom w:val="0"/>
      <w:divBdr>
        <w:top w:val="none" w:sz="0" w:space="0" w:color="auto"/>
        <w:left w:val="none" w:sz="0" w:space="0" w:color="auto"/>
        <w:bottom w:val="none" w:sz="0" w:space="0" w:color="auto"/>
        <w:right w:val="none" w:sz="0" w:space="0" w:color="auto"/>
      </w:divBdr>
    </w:div>
    <w:div w:id="371538503">
      <w:bodyDiv w:val="1"/>
      <w:marLeft w:val="0"/>
      <w:marRight w:val="0"/>
      <w:marTop w:val="0"/>
      <w:marBottom w:val="0"/>
      <w:divBdr>
        <w:top w:val="none" w:sz="0" w:space="0" w:color="auto"/>
        <w:left w:val="none" w:sz="0" w:space="0" w:color="auto"/>
        <w:bottom w:val="none" w:sz="0" w:space="0" w:color="auto"/>
        <w:right w:val="none" w:sz="0" w:space="0" w:color="auto"/>
      </w:divBdr>
    </w:div>
    <w:div w:id="399524156">
      <w:bodyDiv w:val="1"/>
      <w:marLeft w:val="0"/>
      <w:marRight w:val="0"/>
      <w:marTop w:val="0"/>
      <w:marBottom w:val="0"/>
      <w:divBdr>
        <w:top w:val="none" w:sz="0" w:space="0" w:color="auto"/>
        <w:left w:val="none" w:sz="0" w:space="0" w:color="auto"/>
        <w:bottom w:val="none" w:sz="0" w:space="0" w:color="auto"/>
        <w:right w:val="none" w:sz="0" w:space="0" w:color="auto"/>
      </w:divBdr>
    </w:div>
    <w:div w:id="418404841">
      <w:bodyDiv w:val="1"/>
      <w:marLeft w:val="0"/>
      <w:marRight w:val="0"/>
      <w:marTop w:val="0"/>
      <w:marBottom w:val="0"/>
      <w:divBdr>
        <w:top w:val="none" w:sz="0" w:space="0" w:color="auto"/>
        <w:left w:val="none" w:sz="0" w:space="0" w:color="auto"/>
        <w:bottom w:val="none" w:sz="0" w:space="0" w:color="auto"/>
        <w:right w:val="none" w:sz="0" w:space="0" w:color="auto"/>
      </w:divBdr>
    </w:div>
    <w:div w:id="452793827">
      <w:bodyDiv w:val="1"/>
      <w:marLeft w:val="0"/>
      <w:marRight w:val="0"/>
      <w:marTop w:val="0"/>
      <w:marBottom w:val="0"/>
      <w:divBdr>
        <w:top w:val="none" w:sz="0" w:space="0" w:color="auto"/>
        <w:left w:val="none" w:sz="0" w:space="0" w:color="auto"/>
        <w:bottom w:val="none" w:sz="0" w:space="0" w:color="auto"/>
        <w:right w:val="none" w:sz="0" w:space="0" w:color="auto"/>
      </w:divBdr>
    </w:div>
    <w:div w:id="551769502">
      <w:bodyDiv w:val="1"/>
      <w:marLeft w:val="0"/>
      <w:marRight w:val="0"/>
      <w:marTop w:val="0"/>
      <w:marBottom w:val="0"/>
      <w:divBdr>
        <w:top w:val="none" w:sz="0" w:space="0" w:color="auto"/>
        <w:left w:val="none" w:sz="0" w:space="0" w:color="auto"/>
        <w:bottom w:val="none" w:sz="0" w:space="0" w:color="auto"/>
        <w:right w:val="none" w:sz="0" w:space="0" w:color="auto"/>
      </w:divBdr>
    </w:div>
    <w:div w:id="603071796">
      <w:bodyDiv w:val="1"/>
      <w:marLeft w:val="0"/>
      <w:marRight w:val="0"/>
      <w:marTop w:val="0"/>
      <w:marBottom w:val="0"/>
      <w:divBdr>
        <w:top w:val="none" w:sz="0" w:space="0" w:color="auto"/>
        <w:left w:val="none" w:sz="0" w:space="0" w:color="auto"/>
        <w:bottom w:val="none" w:sz="0" w:space="0" w:color="auto"/>
        <w:right w:val="none" w:sz="0" w:space="0" w:color="auto"/>
      </w:divBdr>
      <w:divsChild>
        <w:div w:id="1260261330">
          <w:marLeft w:val="0"/>
          <w:marRight w:val="0"/>
          <w:marTop w:val="0"/>
          <w:marBottom w:val="0"/>
          <w:divBdr>
            <w:top w:val="none" w:sz="0" w:space="0" w:color="auto"/>
            <w:left w:val="none" w:sz="0" w:space="0" w:color="auto"/>
            <w:bottom w:val="none" w:sz="0" w:space="0" w:color="auto"/>
            <w:right w:val="none" w:sz="0" w:space="0" w:color="auto"/>
          </w:divBdr>
        </w:div>
        <w:div w:id="1880125812">
          <w:marLeft w:val="0"/>
          <w:marRight w:val="0"/>
          <w:marTop w:val="0"/>
          <w:marBottom w:val="0"/>
          <w:divBdr>
            <w:top w:val="none" w:sz="0" w:space="0" w:color="auto"/>
            <w:left w:val="none" w:sz="0" w:space="0" w:color="auto"/>
            <w:bottom w:val="none" w:sz="0" w:space="0" w:color="auto"/>
            <w:right w:val="none" w:sz="0" w:space="0" w:color="auto"/>
          </w:divBdr>
        </w:div>
        <w:div w:id="369304591">
          <w:marLeft w:val="0"/>
          <w:marRight w:val="0"/>
          <w:marTop w:val="0"/>
          <w:marBottom w:val="0"/>
          <w:divBdr>
            <w:top w:val="none" w:sz="0" w:space="0" w:color="auto"/>
            <w:left w:val="none" w:sz="0" w:space="0" w:color="auto"/>
            <w:bottom w:val="none" w:sz="0" w:space="0" w:color="auto"/>
            <w:right w:val="none" w:sz="0" w:space="0" w:color="auto"/>
          </w:divBdr>
        </w:div>
        <w:div w:id="1644849803">
          <w:marLeft w:val="0"/>
          <w:marRight w:val="0"/>
          <w:marTop w:val="0"/>
          <w:marBottom w:val="0"/>
          <w:divBdr>
            <w:top w:val="none" w:sz="0" w:space="0" w:color="auto"/>
            <w:left w:val="none" w:sz="0" w:space="0" w:color="auto"/>
            <w:bottom w:val="none" w:sz="0" w:space="0" w:color="auto"/>
            <w:right w:val="none" w:sz="0" w:space="0" w:color="auto"/>
          </w:divBdr>
        </w:div>
        <w:div w:id="2059236967">
          <w:marLeft w:val="0"/>
          <w:marRight w:val="0"/>
          <w:marTop w:val="0"/>
          <w:marBottom w:val="0"/>
          <w:divBdr>
            <w:top w:val="none" w:sz="0" w:space="0" w:color="auto"/>
            <w:left w:val="none" w:sz="0" w:space="0" w:color="auto"/>
            <w:bottom w:val="none" w:sz="0" w:space="0" w:color="auto"/>
            <w:right w:val="none" w:sz="0" w:space="0" w:color="auto"/>
          </w:divBdr>
        </w:div>
        <w:div w:id="94446879">
          <w:marLeft w:val="0"/>
          <w:marRight w:val="0"/>
          <w:marTop w:val="0"/>
          <w:marBottom w:val="0"/>
          <w:divBdr>
            <w:top w:val="none" w:sz="0" w:space="0" w:color="auto"/>
            <w:left w:val="none" w:sz="0" w:space="0" w:color="auto"/>
            <w:bottom w:val="none" w:sz="0" w:space="0" w:color="auto"/>
            <w:right w:val="none" w:sz="0" w:space="0" w:color="auto"/>
          </w:divBdr>
        </w:div>
        <w:div w:id="474762246">
          <w:marLeft w:val="0"/>
          <w:marRight w:val="0"/>
          <w:marTop w:val="0"/>
          <w:marBottom w:val="0"/>
          <w:divBdr>
            <w:top w:val="none" w:sz="0" w:space="0" w:color="auto"/>
            <w:left w:val="none" w:sz="0" w:space="0" w:color="auto"/>
            <w:bottom w:val="none" w:sz="0" w:space="0" w:color="auto"/>
            <w:right w:val="none" w:sz="0" w:space="0" w:color="auto"/>
          </w:divBdr>
        </w:div>
        <w:div w:id="871110506">
          <w:marLeft w:val="0"/>
          <w:marRight w:val="0"/>
          <w:marTop w:val="0"/>
          <w:marBottom w:val="0"/>
          <w:divBdr>
            <w:top w:val="none" w:sz="0" w:space="0" w:color="auto"/>
            <w:left w:val="none" w:sz="0" w:space="0" w:color="auto"/>
            <w:bottom w:val="none" w:sz="0" w:space="0" w:color="auto"/>
            <w:right w:val="none" w:sz="0" w:space="0" w:color="auto"/>
          </w:divBdr>
        </w:div>
        <w:div w:id="1239903492">
          <w:marLeft w:val="0"/>
          <w:marRight w:val="0"/>
          <w:marTop w:val="0"/>
          <w:marBottom w:val="0"/>
          <w:divBdr>
            <w:top w:val="none" w:sz="0" w:space="0" w:color="auto"/>
            <w:left w:val="none" w:sz="0" w:space="0" w:color="auto"/>
            <w:bottom w:val="none" w:sz="0" w:space="0" w:color="auto"/>
            <w:right w:val="none" w:sz="0" w:space="0" w:color="auto"/>
          </w:divBdr>
        </w:div>
        <w:div w:id="1657800604">
          <w:marLeft w:val="0"/>
          <w:marRight w:val="0"/>
          <w:marTop w:val="0"/>
          <w:marBottom w:val="0"/>
          <w:divBdr>
            <w:top w:val="none" w:sz="0" w:space="0" w:color="auto"/>
            <w:left w:val="none" w:sz="0" w:space="0" w:color="auto"/>
            <w:bottom w:val="none" w:sz="0" w:space="0" w:color="auto"/>
            <w:right w:val="none" w:sz="0" w:space="0" w:color="auto"/>
          </w:divBdr>
        </w:div>
        <w:div w:id="1892762328">
          <w:marLeft w:val="0"/>
          <w:marRight w:val="0"/>
          <w:marTop w:val="0"/>
          <w:marBottom w:val="0"/>
          <w:divBdr>
            <w:top w:val="none" w:sz="0" w:space="0" w:color="auto"/>
            <w:left w:val="none" w:sz="0" w:space="0" w:color="auto"/>
            <w:bottom w:val="none" w:sz="0" w:space="0" w:color="auto"/>
            <w:right w:val="none" w:sz="0" w:space="0" w:color="auto"/>
          </w:divBdr>
        </w:div>
        <w:div w:id="1883906950">
          <w:marLeft w:val="0"/>
          <w:marRight w:val="0"/>
          <w:marTop w:val="0"/>
          <w:marBottom w:val="0"/>
          <w:divBdr>
            <w:top w:val="none" w:sz="0" w:space="0" w:color="auto"/>
            <w:left w:val="none" w:sz="0" w:space="0" w:color="auto"/>
            <w:bottom w:val="none" w:sz="0" w:space="0" w:color="auto"/>
            <w:right w:val="none" w:sz="0" w:space="0" w:color="auto"/>
          </w:divBdr>
        </w:div>
        <w:div w:id="1279490712">
          <w:marLeft w:val="0"/>
          <w:marRight w:val="0"/>
          <w:marTop w:val="0"/>
          <w:marBottom w:val="0"/>
          <w:divBdr>
            <w:top w:val="none" w:sz="0" w:space="0" w:color="auto"/>
            <w:left w:val="none" w:sz="0" w:space="0" w:color="auto"/>
            <w:bottom w:val="none" w:sz="0" w:space="0" w:color="auto"/>
            <w:right w:val="none" w:sz="0" w:space="0" w:color="auto"/>
          </w:divBdr>
        </w:div>
        <w:div w:id="1123694104">
          <w:marLeft w:val="0"/>
          <w:marRight w:val="0"/>
          <w:marTop w:val="0"/>
          <w:marBottom w:val="0"/>
          <w:divBdr>
            <w:top w:val="none" w:sz="0" w:space="0" w:color="auto"/>
            <w:left w:val="none" w:sz="0" w:space="0" w:color="auto"/>
            <w:bottom w:val="none" w:sz="0" w:space="0" w:color="auto"/>
            <w:right w:val="none" w:sz="0" w:space="0" w:color="auto"/>
          </w:divBdr>
        </w:div>
        <w:div w:id="1430469875">
          <w:marLeft w:val="0"/>
          <w:marRight w:val="0"/>
          <w:marTop w:val="0"/>
          <w:marBottom w:val="0"/>
          <w:divBdr>
            <w:top w:val="none" w:sz="0" w:space="0" w:color="auto"/>
            <w:left w:val="none" w:sz="0" w:space="0" w:color="auto"/>
            <w:bottom w:val="none" w:sz="0" w:space="0" w:color="auto"/>
            <w:right w:val="none" w:sz="0" w:space="0" w:color="auto"/>
          </w:divBdr>
        </w:div>
        <w:div w:id="1360230860">
          <w:marLeft w:val="0"/>
          <w:marRight w:val="0"/>
          <w:marTop w:val="0"/>
          <w:marBottom w:val="0"/>
          <w:divBdr>
            <w:top w:val="none" w:sz="0" w:space="0" w:color="auto"/>
            <w:left w:val="none" w:sz="0" w:space="0" w:color="auto"/>
            <w:bottom w:val="none" w:sz="0" w:space="0" w:color="auto"/>
            <w:right w:val="none" w:sz="0" w:space="0" w:color="auto"/>
          </w:divBdr>
        </w:div>
        <w:div w:id="772475431">
          <w:marLeft w:val="0"/>
          <w:marRight w:val="0"/>
          <w:marTop w:val="0"/>
          <w:marBottom w:val="0"/>
          <w:divBdr>
            <w:top w:val="none" w:sz="0" w:space="0" w:color="auto"/>
            <w:left w:val="none" w:sz="0" w:space="0" w:color="auto"/>
            <w:bottom w:val="none" w:sz="0" w:space="0" w:color="auto"/>
            <w:right w:val="none" w:sz="0" w:space="0" w:color="auto"/>
          </w:divBdr>
        </w:div>
        <w:div w:id="131101464">
          <w:marLeft w:val="0"/>
          <w:marRight w:val="0"/>
          <w:marTop w:val="0"/>
          <w:marBottom w:val="0"/>
          <w:divBdr>
            <w:top w:val="none" w:sz="0" w:space="0" w:color="auto"/>
            <w:left w:val="none" w:sz="0" w:space="0" w:color="auto"/>
            <w:bottom w:val="none" w:sz="0" w:space="0" w:color="auto"/>
            <w:right w:val="none" w:sz="0" w:space="0" w:color="auto"/>
          </w:divBdr>
        </w:div>
        <w:div w:id="457574860">
          <w:marLeft w:val="0"/>
          <w:marRight w:val="0"/>
          <w:marTop w:val="0"/>
          <w:marBottom w:val="0"/>
          <w:divBdr>
            <w:top w:val="none" w:sz="0" w:space="0" w:color="auto"/>
            <w:left w:val="none" w:sz="0" w:space="0" w:color="auto"/>
            <w:bottom w:val="none" w:sz="0" w:space="0" w:color="auto"/>
            <w:right w:val="none" w:sz="0" w:space="0" w:color="auto"/>
          </w:divBdr>
        </w:div>
        <w:div w:id="1874616686">
          <w:marLeft w:val="0"/>
          <w:marRight w:val="0"/>
          <w:marTop w:val="0"/>
          <w:marBottom w:val="0"/>
          <w:divBdr>
            <w:top w:val="none" w:sz="0" w:space="0" w:color="auto"/>
            <w:left w:val="none" w:sz="0" w:space="0" w:color="auto"/>
            <w:bottom w:val="none" w:sz="0" w:space="0" w:color="auto"/>
            <w:right w:val="none" w:sz="0" w:space="0" w:color="auto"/>
          </w:divBdr>
        </w:div>
        <w:div w:id="1334137978">
          <w:marLeft w:val="0"/>
          <w:marRight w:val="0"/>
          <w:marTop w:val="0"/>
          <w:marBottom w:val="0"/>
          <w:divBdr>
            <w:top w:val="none" w:sz="0" w:space="0" w:color="auto"/>
            <w:left w:val="none" w:sz="0" w:space="0" w:color="auto"/>
            <w:bottom w:val="none" w:sz="0" w:space="0" w:color="auto"/>
            <w:right w:val="none" w:sz="0" w:space="0" w:color="auto"/>
          </w:divBdr>
        </w:div>
        <w:div w:id="1523666272">
          <w:marLeft w:val="0"/>
          <w:marRight w:val="0"/>
          <w:marTop w:val="0"/>
          <w:marBottom w:val="0"/>
          <w:divBdr>
            <w:top w:val="none" w:sz="0" w:space="0" w:color="auto"/>
            <w:left w:val="none" w:sz="0" w:space="0" w:color="auto"/>
            <w:bottom w:val="none" w:sz="0" w:space="0" w:color="auto"/>
            <w:right w:val="none" w:sz="0" w:space="0" w:color="auto"/>
          </w:divBdr>
        </w:div>
        <w:div w:id="1914311685">
          <w:marLeft w:val="0"/>
          <w:marRight w:val="0"/>
          <w:marTop w:val="0"/>
          <w:marBottom w:val="0"/>
          <w:divBdr>
            <w:top w:val="none" w:sz="0" w:space="0" w:color="auto"/>
            <w:left w:val="none" w:sz="0" w:space="0" w:color="auto"/>
            <w:bottom w:val="none" w:sz="0" w:space="0" w:color="auto"/>
            <w:right w:val="none" w:sz="0" w:space="0" w:color="auto"/>
          </w:divBdr>
        </w:div>
        <w:div w:id="581524256">
          <w:marLeft w:val="0"/>
          <w:marRight w:val="0"/>
          <w:marTop w:val="0"/>
          <w:marBottom w:val="0"/>
          <w:divBdr>
            <w:top w:val="none" w:sz="0" w:space="0" w:color="auto"/>
            <w:left w:val="none" w:sz="0" w:space="0" w:color="auto"/>
            <w:bottom w:val="none" w:sz="0" w:space="0" w:color="auto"/>
            <w:right w:val="none" w:sz="0" w:space="0" w:color="auto"/>
          </w:divBdr>
        </w:div>
        <w:div w:id="39789337">
          <w:marLeft w:val="0"/>
          <w:marRight w:val="0"/>
          <w:marTop w:val="0"/>
          <w:marBottom w:val="0"/>
          <w:divBdr>
            <w:top w:val="none" w:sz="0" w:space="0" w:color="auto"/>
            <w:left w:val="none" w:sz="0" w:space="0" w:color="auto"/>
            <w:bottom w:val="none" w:sz="0" w:space="0" w:color="auto"/>
            <w:right w:val="none" w:sz="0" w:space="0" w:color="auto"/>
          </w:divBdr>
        </w:div>
        <w:div w:id="23093951">
          <w:marLeft w:val="0"/>
          <w:marRight w:val="0"/>
          <w:marTop w:val="0"/>
          <w:marBottom w:val="0"/>
          <w:divBdr>
            <w:top w:val="none" w:sz="0" w:space="0" w:color="auto"/>
            <w:left w:val="none" w:sz="0" w:space="0" w:color="auto"/>
            <w:bottom w:val="none" w:sz="0" w:space="0" w:color="auto"/>
            <w:right w:val="none" w:sz="0" w:space="0" w:color="auto"/>
          </w:divBdr>
        </w:div>
        <w:div w:id="1426882005">
          <w:marLeft w:val="0"/>
          <w:marRight w:val="0"/>
          <w:marTop w:val="0"/>
          <w:marBottom w:val="0"/>
          <w:divBdr>
            <w:top w:val="none" w:sz="0" w:space="0" w:color="auto"/>
            <w:left w:val="none" w:sz="0" w:space="0" w:color="auto"/>
            <w:bottom w:val="none" w:sz="0" w:space="0" w:color="auto"/>
            <w:right w:val="none" w:sz="0" w:space="0" w:color="auto"/>
          </w:divBdr>
        </w:div>
        <w:div w:id="284385178">
          <w:marLeft w:val="0"/>
          <w:marRight w:val="0"/>
          <w:marTop w:val="0"/>
          <w:marBottom w:val="0"/>
          <w:divBdr>
            <w:top w:val="none" w:sz="0" w:space="0" w:color="auto"/>
            <w:left w:val="none" w:sz="0" w:space="0" w:color="auto"/>
            <w:bottom w:val="none" w:sz="0" w:space="0" w:color="auto"/>
            <w:right w:val="none" w:sz="0" w:space="0" w:color="auto"/>
          </w:divBdr>
        </w:div>
        <w:div w:id="1086612405">
          <w:marLeft w:val="0"/>
          <w:marRight w:val="0"/>
          <w:marTop w:val="0"/>
          <w:marBottom w:val="0"/>
          <w:divBdr>
            <w:top w:val="none" w:sz="0" w:space="0" w:color="auto"/>
            <w:left w:val="none" w:sz="0" w:space="0" w:color="auto"/>
            <w:bottom w:val="none" w:sz="0" w:space="0" w:color="auto"/>
            <w:right w:val="none" w:sz="0" w:space="0" w:color="auto"/>
          </w:divBdr>
        </w:div>
        <w:div w:id="761296283">
          <w:marLeft w:val="0"/>
          <w:marRight w:val="0"/>
          <w:marTop w:val="0"/>
          <w:marBottom w:val="0"/>
          <w:divBdr>
            <w:top w:val="none" w:sz="0" w:space="0" w:color="auto"/>
            <w:left w:val="none" w:sz="0" w:space="0" w:color="auto"/>
            <w:bottom w:val="none" w:sz="0" w:space="0" w:color="auto"/>
            <w:right w:val="none" w:sz="0" w:space="0" w:color="auto"/>
          </w:divBdr>
        </w:div>
        <w:div w:id="1697384857">
          <w:marLeft w:val="0"/>
          <w:marRight w:val="0"/>
          <w:marTop w:val="0"/>
          <w:marBottom w:val="0"/>
          <w:divBdr>
            <w:top w:val="none" w:sz="0" w:space="0" w:color="auto"/>
            <w:left w:val="none" w:sz="0" w:space="0" w:color="auto"/>
            <w:bottom w:val="none" w:sz="0" w:space="0" w:color="auto"/>
            <w:right w:val="none" w:sz="0" w:space="0" w:color="auto"/>
          </w:divBdr>
        </w:div>
        <w:div w:id="1028483067">
          <w:marLeft w:val="0"/>
          <w:marRight w:val="0"/>
          <w:marTop w:val="0"/>
          <w:marBottom w:val="0"/>
          <w:divBdr>
            <w:top w:val="none" w:sz="0" w:space="0" w:color="auto"/>
            <w:left w:val="none" w:sz="0" w:space="0" w:color="auto"/>
            <w:bottom w:val="none" w:sz="0" w:space="0" w:color="auto"/>
            <w:right w:val="none" w:sz="0" w:space="0" w:color="auto"/>
          </w:divBdr>
        </w:div>
        <w:div w:id="563103535">
          <w:marLeft w:val="0"/>
          <w:marRight w:val="0"/>
          <w:marTop w:val="0"/>
          <w:marBottom w:val="0"/>
          <w:divBdr>
            <w:top w:val="none" w:sz="0" w:space="0" w:color="auto"/>
            <w:left w:val="none" w:sz="0" w:space="0" w:color="auto"/>
            <w:bottom w:val="none" w:sz="0" w:space="0" w:color="auto"/>
            <w:right w:val="none" w:sz="0" w:space="0" w:color="auto"/>
          </w:divBdr>
        </w:div>
        <w:div w:id="1902515269">
          <w:marLeft w:val="0"/>
          <w:marRight w:val="0"/>
          <w:marTop w:val="0"/>
          <w:marBottom w:val="0"/>
          <w:divBdr>
            <w:top w:val="none" w:sz="0" w:space="0" w:color="auto"/>
            <w:left w:val="none" w:sz="0" w:space="0" w:color="auto"/>
            <w:bottom w:val="none" w:sz="0" w:space="0" w:color="auto"/>
            <w:right w:val="none" w:sz="0" w:space="0" w:color="auto"/>
          </w:divBdr>
        </w:div>
        <w:div w:id="802431613">
          <w:marLeft w:val="0"/>
          <w:marRight w:val="0"/>
          <w:marTop w:val="0"/>
          <w:marBottom w:val="0"/>
          <w:divBdr>
            <w:top w:val="none" w:sz="0" w:space="0" w:color="auto"/>
            <w:left w:val="none" w:sz="0" w:space="0" w:color="auto"/>
            <w:bottom w:val="none" w:sz="0" w:space="0" w:color="auto"/>
            <w:right w:val="none" w:sz="0" w:space="0" w:color="auto"/>
          </w:divBdr>
        </w:div>
        <w:div w:id="543906804">
          <w:marLeft w:val="0"/>
          <w:marRight w:val="0"/>
          <w:marTop w:val="0"/>
          <w:marBottom w:val="0"/>
          <w:divBdr>
            <w:top w:val="none" w:sz="0" w:space="0" w:color="auto"/>
            <w:left w:val="none" w:sz="0" w:space="0" w:color="auto"/>
            <w:bottom w:val="none" w:sz="0" w:space="0" w:color="auto"/>
            <w:right w:val="none" w:sz="0" w:space="0" w:color="auto"/>
          </w:divBdr>
        </w:div>
        <w:div w:id="1109810450">
          <w:marLeft w:val="0"/>
          <w:marRight w:val="0"/>
          <w:marTop w:val="0"/>
          <w:marBottom w:val="0"/>
          <w:divBdr>
            <w:top w:val="none" w:sz="0" w:space="0" w:color="auto"/>
            <w:left w:val="none" w:sz="0" w:space="0" w:color="auto"/>
            <w:bottom w:val="none" w:sz="0" w:space="0" w:color="auto"/>
            <w:right w:val="none" w:sz="0" w:space="0" w:color="auto"/>
          </w:divBdr>
        </w:div>
        <w:div w:id="661080192">
          <w:marLeft w:val="0"/>
          <w:marRight w:val="0"/>
          <w:marTop w:val="0"/>
          <w:marBottom w:val="0"/>
          <w:divBdr>
            <w:top w:val="none" w:sz="0" w:space="0" w:color="auto"/>
            <w:left w:val="none" w:sz="0" w:space="0" w:color="auto"/>
            <w:bottom w:val="none" w:sz="0" w:space="0" w:color="auto"/>
            <w:right w:val="none" w:sz="0" w:space="0" w:color="auto"/>
          </w:divBdr>
        </w:div>
        <w:div w:id="1630090150">
          <w:marLeft w:val="0"/>
          <w:marRight w:val="0"/>
          <w:marTop w:val="0"/>
          <w:marBottom w:val="0"/>
          <w:divBdr>
            <w:top w:val="none" w:sz="0" w:space="0" w:color="auto"/>
            <w:left w:val="none" w:sz="0" w:space="0" w:color="auto"/>
            <w:bottom w:val="none" w:sz="0" w:space="0" w:color="auto"/>
            <w:right w:val="none" w:sz="0" w:space="0" w:color="auto"/>
          </w:divBdr>
        </w:div>
        <w:div w:id="1979796900">
          <w:marLeft w:val="0"/>
          <w:marRight w:val="0"/>
          <w:marTop w:val="0"/>
          <w:marBottom w:val="0"/>
          <w:divBdr>
            <w:top w:val="none" w:sz="0" w:space="0" w:color="auto"/>
            <w:left w:val="none" w:sz="0" w:space="0" w:color="auto"/>
            <w:bottom w:val="none" w:sz="0" w:space="0" w:color="auto"/>
            <w:right w:val="none" w:sz="0" w:space="0" w:color="auto"/>
          </w:divBdr>
        </w:div>
        <w:div w:id="748693407">
          <w:marLeft w:val="0"/>
          <w:marRight w:val="0"/>
          <w:marTop w:val="0"/>
          <w:marBottom w:val="0"/>
          <w:divBdr>
            <w:top w:val="none" w:sz="0" w:space="0" w:color="auto"/>
            <w:left w:val="none" w:sz="0" w:space="0" w:color="auto"/>
            <w:bottom w:val="none" w:sz="0" w:space="0" w:color="auto"/>
            <w:right w:val="none" w:sz="0" w:space="0" w:color="auto"/>
          </w:divBdr>
        </w:div>
        <w:div w:id="146677762">
          <w:marLeft w:val="0"/>
          <w:marRight w:val="0"/>
          <w:marTop w:val="0"/>
          <w:marBottom w:val="0"/>
          <w:divBdr>
            <w:top w:val="none" w:sz="0" w:space="0" w:color="auto"/>
            <w:left w:val="none" w:sz="0" w:space="0" w:color="auto"/>
            <w:bottom w:val="none" w:sz="0" w:space="0" w:color="auto"/>
            <w:right w:val="none" w:sz="0" w:space="0" w:color="auto"/>
          </w:divBdr>
        </w:div>
        <w:div w:id="31226974">
          <w:marLeft w:val="0"/>
          <w:marRight w:val="0"/>
          <w:marTop w:val="0"/>
          <w:marBottom w:val="0"/>
          <w:divBdr>
            <w:top w:val="none" w:sz="0" w:space="0" w:color="auto"/>
            <w:left w:val="none" w:sz="0" w:space="0" w:color="auto"/>
            <w:bottom w:val="none" w:sz="0" w:space="0" w:color="auto"/>
            <w:right w:val="none" w:sz="0" w:space="0" w:color="auto"/>
          </w:divBdr>
        </w:div>
        <w:div w:id="1630430335">
          <w:marLeft w:val="0"/>
          <w:marRight w:val="0"/>
          <w:marTop w:val="0"/>
          <w:marBottom w:val="0"/>
          <w:divBdr>
            <w:top w:val="none" w:sz="0" w:space="0" w:color="auto"/>
            <w:left w:val="none" w:sz="0" w:space="0" w:color="auto"/>
            <w:bottom w:val="none" w:sz="0" w:space="0" w:color="auto"/>
            <w:right w:val="none" w:sz="0" w:space="0" w:color="auto"/>
          </w:divBdr>
        </w:div>
        <w:div w:id="188185106">
          <w:marLeft w:val="0"/>
          <w:marRight w:val="0"/>
          <w:marTop w:val="0"/>
          <w:marBottom w:val="0"/>
          <w:divBdr>
            <w:top w:val="none" w:sz="0" w:space="0" w:color="auto"/>
            <w:left w:val="none" w:sz="0" w:space="0" w:color="auto"/>
            <w:bottom w:val="none" w:sz="0" w:space="0" w:color="auto"/>
            <w:right w:val="none" w:sz="0" w:space="0" w:color="auto"/>
          </w:divBdr>
        </w:div>
        <w:div w:id="869998304">
          <w:marLeft w:val="0"/>
          <w:marRight w:val="0"/>
          <w:marTop w:val="0"/>
          <w:marBottom w:val="0"/>
          <w:divBdr>
            <w:top w:val="none" w:sz="0" w:space="0" w:color="auto"/>
            <w:left w:val="none" w:sz="0" w:space="0" w:color="auto"/>
            <w:bottom w:val="none" w:sz="0" w:space="0" w:color="auto"/>
            <w:right w:val="none" w:sz="0" w:space="0" w:color="auto"/>
          </w:divBdr>
        </w:div>
        <w:div w:id="37321545">
          <w:marLeft w:val="0"/>
          <w:marRight w:val="0"/>
          <w:marTop w:val="0"/>
          <w:marBottom w:val="0"/>
          <w:divBdr>
            <w:top w:val="none" w:sz="0" w:space="0" w:color="auto"/>
            <w:left w:val="none" w:sz="0" w:space="0" w:color="auto"/>
            <w:bottom w:val="none" w:sz="0" w:space="0" w:color="auto"/>
            <w:right w:val="none" w:sz="0" w:space="0" w:color="auto"/>
          </w:divBdr>
        </w:div>
        <w:div w:id="1579750125">
          <w:marLeft w:val="0"/>
          <w:marRight w:val="0"/>
          <w:marTop w:val="0"/>
          <w:marBottom w:val="0"/>
          <w:divBdr>
            <w:top w:val="none" w:sz="0" w:space="0" w:color="auto"/>
            <w:left w:val="none" w:sz="0" w:space="0" w:color="auto"/>
            <w:bottom w:val="none" w:sz="0" w:space="0" w:color="auto"/>
            <w:right w:val="none" w:sz="0" w:space="0" w:color="auto"/>
          </w:divBdr>
        </w:div>
        <w:div w:id="697395963">
          <w:marLeft w:val="0"/>
          <w:marRight w:val="0"/>
          <w:marTop w:val="0"/>
          <w:marBottom w:val="0"/>
          <w:divBdr>
            <w:top w:val="none" w:sz="0" w:space="0" w:color="auto"/>
            <w:left w:val="none" w:sz="0" w:space="0" w:color="auto"/>
            <w:bottom w:val="none" w:sz="0" w:space="0" w:color="auto"/>
            <w:right w:val="none" w:sz="0" w:space="0" w:color="auto"/>
          </w:divBdr>
        </w:div>
        <w:div w:id="903220746">
          <w:marLeft w:val="0"/>
          <w:marRight w:val="0"/>
          <w:marTop w:val="0"/>
          <w:marBottom w:val="0"/>
          <w:divBdr>
            <w:top w:val="none" w:sz="0" w:space="0" w:color="auto"/>
            <w:left w:val="none" w:sz="0" w:space="0" w:color="auto"/>
            <w:bottom w:val="none" w:sz="0" w:space="0" w:color="auto"/>
            <w:right w:val="none" w:sz="0" w:space="0" w:color="auto"/>
          </w:divBdr>
        </w:div>
        <w:div w:id="500044062">
          <w:marLeft w:val="0"/>
          <w:marRight w:val="0"/>
          <w:marTop w:val="0"/>
          <w:marBottom w:val="0"/>
          <w:divBdr>
            <w:top w:val="none" w:sz="0" w:space="0" w:color="auto"/>
            <w:left w:val="none" w:sz="0" w:space="0" w:color="auto"/>
            <w:bottom w:val="none" w:sz="0" w:space="0" w:color="auto"/>
            <w:right w:val="none" w:sz="0" w:space="0" w:color="auto"/>
          </w:divBdr>
        </w:div>
        <w:div w:id="761102128">
          <w:marLeft w:val="0"/>
          <w:marRight w:val="0"/>
          <w:marTop w:val="0"/>
          <w:marBottom w:val="0"/>
          <w:divBdr>
            <w:top w:val="none" w:sz="0" w:space="0" w:color="auto"/>
            <w:left w:val="none" w:sz="0" w:space="0" w:color="auto"/>
            <w:bottom w:val="none" w:sz="0" w:space="0" w:color="auto"/>
            <w:right w:val="none" w:sz="0" w:space="0" w:color="auto"/>
          </w:divBdr>
        </w:div>
        <w:div w:id="1887526688">
          <w:marLeft w:val="0"/>
          <w:marRight w:val="0"/>
          <w:marTop w:val="0"/>
          <w:marBottom w:val="0"/>
          <w:divBdr>
            <w:top w:val="none" w:sz="0" w:space="0" w:color="auto"/>
            <w:left w:val="none" w:sz="0" w:space="0" w:color="auto"/>
            <w:bottom w:val="none" w:sz="0" w:space="0" w:color="auto"/>
            <w:right w:val="none" w:sz="0" w:space="0" w:color="auto"/>
          </w:divBdr>
        </w:div>
        <w:div w:id="1860270983">
          <w:marLeft w:val="0"/>
          <w:marRight w:val="0"/>
          <w:marTop w:val="0"/>
          <w:marBottom w:val="0"/>
          <w:divBdr>
            <w:top w:val="none" w:sz="0" w:space="0" w:color="auto"/>
            <w:left w:val="none" w:sz="0" w:space="0" w:color="auto"/>
            <w:bottom w:val="none" w:sz="0" w:space="0" w:color="auto"/>
            <w:right w:val="none" w:sz="0" w:space="0" w:color="auto"/>
          </w:divBdr>
        </w:div>
      </w:divsChild>
    </w:div>
    <w:div w:id="722560218">
      <w:bodyDiv w:val="1"/>
      <w:marLeft w:val="0"/>
      <w:marRight w:val="0"/>
      <w:marTop w:val="0"/>
      <w:marBottom w:val="0"/>
      <w:divBdr>
        <w:top w:val="none" w:sz="0" w:space="0" w:color="auto"/>
        <w:left w:val="none" w:sz="0" w:space="0" w:color="auto"/>
        <w:bottom w:val="none" w:sz="0" w:space="0" w:color="auto"/>
        <w:right w:val="none" w:sz="0" w:space="0" w:color="auto"/>
      </w:divBdr>
    </w:div>
    <w:div w:id="770050356">
      <w:bodyDiv w:val="1"/>
      <w:marLeft w:val="0"/>
      <w:marRight w:val="0"/>
      <w:marTop w:val="0"/>
      <w:marBottom w:val="0"/>
      <w:divBdr>
        <w:top w:val="none" w:sz="0" w:space="0" w:color="auto"/>
        <w:left w:val="none" w:sz="0" w:space="0" w:color="auto"/>
        <w:bottom w:val="none" w:sz="0" w:space="0" w:color="auto"/>
        <w:right w:val="none" w:sz="0" w:space="0" w:color="auto"/>
      </w:divBdr>
      <w:divsChild>
        <w:div w:id="29302283">
          <w:marLeft w:val="0"/>
          <w:marRight w:val="0"/>
          <w:marTop w:val="0"/>
          <w:marBottom w:val="0"/>
          <w:divBdr>
            <w:top w:val="none" w:sz="0" w:space="0" w:color="auto"/>
            <w:left w:val="none" w:sz="0" w:space="0" w:color="auto"/>
            <w:bottom w:val="none" w:sz="0" w:space="0" w:color="auto"/>
            <w:right w:val="none" w:sz="0" w:space="0" w:color="auto"/>
          </w:divBdr>
          <w:divsChild>
            <w:div w:id="2031566832">
              <w:marLeft w:val="0"/>
              <w:marRight w:val="0"/>
              <w:marTop w:val="0"/>
              <w:marBottom w:val="0"/>
              <w:divBdr>
                <w:top w:val="none" w:sz="0" w:space="0" w:color="auto"/>
                <w:left w:val="none" w:sz="0" w:space="0" w:color="auto"/>
                <w:bottom w:val="none" w:sz="0" w:space="0" w:color="auto"/>
                <w:right w:val="none" w:sz="0" w:space="0" w:color="auto"/>
              </w:divBdr>
              <w:divsChild>
                <w:div w:id="1063868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7957624">
      <w:bodyDiv w:val="1"/>
      <w:marLeft w:val="0"/>
      <w:marRight w:val="0"/>
      <w:marTop w:val="0"/>
      <w:marBottom w:val="0"/>
      <w:divBdr>
        <w:top w:val="none" w:sz="0" w:space="0" w:color="auto"/>
        <w:left w:val="none" w:sz="0" w:space="0" w:color="auto"/>
        <w:bottom w:val="none" w:sz="0" w:space="0" w:color="auto"/>
        <w:right w:val="none" w:sz="0" w:space="0" w:color="auto"/>
      </w:divBdr>
    </w:div>
    <w:div w:id="1297643982">
      <w:bodyDiv w:val="1"/>
      <w:marLeft w:val="0"/>
      <w:marRight w:val="0"/>
      <w:marTop w:val="0"/>
      <w:marBottom w:val="0"/>
      <w:divBdr>
        <w:top w:val="none" w:sz="0" w:space="0" w:color="auto"/>
        <w:left w:val="none" w:sz="0" w:space="0" w:color="auto"/>
        <w:bottom w:val="none" w:sz="0" w:space="0" w:color="auto"/>
        <w:right w:val="none" w:sz="0" w:space="0" w:color="auto"/>
      </w:divBdr>
    </w:div>
    <w:div w:id="1473667715">
      <w:bodyDiv w:val="1"/>
      <w:marLeft w:val="0"/>
      <w:marRight w:val="0"/>
      <w:marTop w:val="0"/>
      <w:marBottom w:val="0"/>
      <w:divBdr>
        <w:top w:val="none" w:sz="0" w:space="0" w:color="auto"/>
        <w:left w:val="none" w:sz="0" w:space="0" w:color="auto"/>
        <w:bottom w:val="none" w:sz="0" w:space="0" w:color="auto"/>
        <w:right w:val="none" w:sz="0" w:space="0" w:color="auto"/>
      </w:divBdr>
    </w:div>
    <w:div w:id="1554468034">
      <w:bodyDiv w:val="1"/>
      <w:marLeft w:val="0"/>
      <w:marRight w:val="0"/>
      <w:marTop w:val="0"/>
      <w:marBottom w:val="0"/>
      <w:divBdr>
        <w:top w:val="none" w:sz="0" w:space="0" w:color="auto"/>
        <w:left w:val="none" w:sz="0" w:space="0" w:color="auto"/>
        <w:bottom w:val="none" w:sz="0" w:space="0" w:color="auto"/>
        <w:right w:val="none" w:sz="0" w:space="0" w:color="auto"/>
      </w:divBdr>
    </w:div>
    <w:div w:id="1566602613">
      <w:bodyDiv w:val="1"/>
      <w:marLeft w:val="0"/>
      <w:marRight w:val="0"/>
      <w:marTop w:val="0"/>
      <w:marBottom w:val="0"/>
      <w:divBdr>
        <w:top w:val="none" w:sz="0" w:space="0" w:color="auto"/>
        <w:left w:val="none" w:sz="0" w:space="0" w:color="auto"/>
        <w:bottom w:val="none" w:sz="0" w:space="0" w:color="auto"/>
        <w:right w:val="none" w:sz="0" w:space="0" w:color="auto"/>
      </w:divBdr>
      <w:divsChild>
        <w:div w:id="798307354">
          <w:marLeft w:val="0"/>
          <w:marRight w:val="0"/>
          <w:marTop w:val="0"/>
          <w:marBottom w:val="0"/>
          <w:divBdr>
            <w:top w:val="none" w:sz="0" w:space="0" w:color="auto"/>
            <w:left w:val="none" w:sz="0" w:space="0" w:color="auto"/>
            <w:bottom w:val="none" w:sz="0" w:space="0" w:color="auto"/>
            <w:right w:val="none" w:sz="0" w:space="0" w:color="auto"/>
          </w:divBdr>
          <w:divsChild>
            <w:div w:id="945424519">
              <w:marLeft w:val="0"/>
              <w:marRight w:val="0"/>
              <w:marTop w:val="0"/>
              <w:marBottom w:val="0"/>
              <w:divBdr>
                <w:top w:val="none" w:sz="0" w:space="0" w:color="auto"/>
                <w:left w:val="none" w:sz="0" w:space="0" w:color="auto"/>
                <w:bottom w:val="none" w:sz="0" w:space="0" w:color="auto"/>
                <w:right w:val="none" w:sz="0" w:space="0" w:color="auto"/>
              </w:divBdr>
              <w:divsChild>
                <w:div w:id="1033386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5281901">
      <w:bodyDiv w:val="1"/>
      <w:marLeft w:val="0"/>
      <w:marRight w:val="0"/>
      <w:marTop w:val="0"/>
      <w:marBottom w:val="0"/>
      <w:divBdr>
        <w:top w:val="none" w:sz="0" w:space="0" w:color="auto"/>
        <w:left w:val="none" w:sz="0" w:space="0" w:color="auto"/>
        <w:bottom w:val="none" w:sz="0" w:space="0" w:color="auto"/>
        <w:right w:val="none" w:sz="0" w:space="0" w:color="auto"/>
      </w:divBdr>
      <w:divsChild>
        <w:div w:id="3243830">
          <w:marLeft w:val="0"/>
          <w:marRight w:val="0"/>
          <w:marTop w:val="0"/>
          <w:marBottom w:val="0"/>
          <w:divBdr>
            <w:top w:val="none" w:sz="0" w:space="0" w:color="auto"/>
            <w:left w:val="none" w:sz="0" w:space="0" w:color="auto"/>
            <w:bottom w:val="none" w:sz="0" w:space="0" w:color="auto"/>
            <w:right w:val="none" w:sz="0" w:space="0" w:color="auto"/>
          </w:divBdr>
          <w:divsChild>
            <w:div w:id="1584878951">
              <w:marLeft w:val="0"/>
              <w:marRight w:val="0"/>
              <w:marTop w:val="0"/>
              <w:marBottom w:val="0"/>
              <w:divBdr>
                <w:top w:val="none" w:sz="0" w:space="0" w:color="auto"/>
                <w:left w:val="none" w:sz="0" w:space="0" w:color="auto"/>
                <w:bottom w:val="none" w:sz="0" w:space="0" w:color="auto"/>
                <w:right w:val="none" w:sz="0" w:space="0" w:color="auto"/>
              </w:divBdr>
              <w:divsChild>
                <w:div w:id="1511409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0596927">
      <w:bodyDiv w:val="1"/>
      <w:marLeft w:val="0"/>
      <w:marRight w:val="0"/>
      <w:marTop w:val="0"/>
      <w:marBottom w:val="0"/>
      <w:divBdr>
        <w:top w:val="none" w:sz="0" w:space="0" w:color="auto"/>
        <w:left w:val="none" w:sz="0" w:space="0" w:color="auto"/>
        <w:bottom w:val="none" w:sz="0" w:space="0" w:color="auto"/>
        <w:right w:val="none" w:sz="0" w:space="0" w:color="auto"/>
      </w:divBdr>
    </w:div>
    <w:div w:id="1674645434">
      <w:bodyDiv w:val="1"/>
      <w:marLeft w:val="0"/>
      <w:marRight w:val="0"/>
      <w:marTop w:val="0"/>
      <w:marBottom w:val="0"/>
      <w:divBdr>
        <w:top w:val="none" w:sz="0" w:space="0" w:color="auto"/>
        <w:left w:val="none" w:sz="0" w:space="0" w:color="auto"/>
        <w:bottom w:val="none" w:sz="0" w:space="0" w:color="auto"/>
        <w:right w:val="none" w:sz="0" w:space="0" w:color="auto"/>
      </w:divBdr>
      <w:divsChild>
        <w:div w:id="670333152">
          <w:marLeft w:val="0"/>
          <w:marRight w:val="0"/>
          <w:marTop w:val="0"/>
          <w:marBottom w:val="0"/>
          <w:divBdr>
            <w:top w:val="none" w:sz="0" w:space="0" w:color="auto"/>
            <w:left w:val="none" w:sz="0" w:space="0" w:color="auto"/>
            <w:bottom w:val="none" w:sz="0" w:space="0" w:color="auto"/>
            <w:right w:val="none" w:sz="0" w:space="0" w:color="auto"/>
          </w:divBdr>
          <w:divsChild>
            <w:div w:id="1936473720">
              <w:marLeft w:val="0"/>
              <w:marRight w:val="0"/>
              <w:marTop w:val="0"/>
              <w:marBottom w:val="0"/>
              <w:divBdr>
                <w:top w:val="none" w:sz="0" w:space="0" w:color="auto"/>
                <w:left w:val="none" w:sz="0" w:space="0" w:color="auto"/>
                <w:bottom w:val="none" w:sz="0" w:space="0" w:color="auto"/>
                <w:right w:val="none" w:sz="0" w:space="0" w:color="auto"/>
              </w:divBdr>
              <w:divsChild>
                <w:div w:id="1559971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4935045">
      <w:bodyDiv w:val="1"/>
      <w:marLeft w:val="0"/>
      <w:marRight w:val="0"/>
      <w:marTop w:val="0"/>
      <w:marBottom w:val="0"/>
      <w:divBdr>
        <w:top w:val="none" w:sz="0" w:space="0" w:color="auto"/>
        <w:left w:val="none" w:sz="0" w:space="0" w:color="auto"/>
        <w:bottom w:val="none" w:sz="0" w:space="0" w:color="auto"/>
        <w:right w:val="none" w:sz="0" w:space="0" w:color="auto"/>
      </w:divBdr>
    </w:div>
    <w:div w:id="1756245801">
      <w:bodyDiv w:val="1"/>
      <w:marLeft w:val="0"/>
      <w:marRight w:val="0"/>
      <w:marTop w:val="0"/>
      <w:marBottom w:val="0"/>
      <w:divBdr>
        <w:top w:val="none" w:sz="0" w:space="0" w:color="auto"/>
        <w:left w:val="none" w:sz="0" w:space="0" w:color="auto"/>
        <w:bottom w:val="none" w:sz="0" w:space="0" w:color="auto"/>
        <w:right w:val="none" w:sz="0" w:space="0" w:color="auto"/>
      </w:divBdr>
      <w:divsChild>
        <w:div w:id="518588516">
          <w:marLeft w:val="0"/>
          <w:marRight w:val="0"/>
          <w:marTop w:val="0"/>
          <w:marBottom w:val="0"/>
          <w:divBdr>
            <w:top w:val="none" w:sz="0" w:space="0" w:color="auto"/>
            <w:left w:val="none" w:sz="0" w:space="0" w:color="auto"/>
            <w:bottom w:val="none" w:sz="0" w:space="0" w:color="auto"/>
            <w:right w:val="none" w:sz="0" w:space="0" w:color="auto"/>
          </w:divBdr>
        </w:div>
        <w:div w:id="1687757044">
          <w:marLeft w:val="0"/>
          <w:marRight w:val="0"/>
          <w:marTop w:val="0"/>
          <w:marBottom w:val="0"/>
          <w:divBdr>
            <w:top w:val="none" w:sz="0" w:space="0" w:color="auto"/>
            <w:left w:val="none" w:sz="0" w:space="0" w:color="auto"/>
            <w:bottom w:val="none" w:sz="0" w:space="0" w:color="auto"/>
            <w:right w:val="none" w:sz="0" w:space="0" w:color="auto"/>
          </w:divBdr>
        </w:div>
        <w:div w:id="1406880693">
          <w:marLeft w:val="0"/>
          <w:marRight w:val="0"/>
          <w:marTop w:val="0"/>
          <w:marBottom w:val="0"/>
          <w:divBdr>
            <w:top w:val="none" w:sz="0" w:space="0" w:color="auto"/>
            <w:left w:val="none" w:sz="0" w:space="0" w:color="auto"/>
            <w:bottom w:val="none" w:sz="0" w:space="0" w:color="auto"/>
            <w:right w:val="none" w:sz="0" w:space="0" w:color="auto"/>
          </w:divBdr>
        </w:div>
        <w:div w:id="1888224423">
          <w:marLeft w:val="0"/>
          <w:marRight w:val="0"/>
          <w:marTop w:val="0"/>
          <w:marBottom w:val="0"/>
          <w:divBdr>
            <w:top w:val="none" w:sz="0" w:space="0" w:color="auto"/>
            <w:left w:val="none" w:sz="0" w:space="0" w:color="auto"/>
            <w:bottom w:val="none" w:sz="0" w:space="0" w:color="auto"/>
            <w:right w:val="none" w:sz="0" w:space="0" w:color="auto"/>
          </w:divBdr>
        </w:div>
        <w:div w:id="1964116197">
          <w:marLeft w:val="0"/>
          <w:marRight w:val="0"/>
          <w:marTop w:val="0"/>
          <w:marBottom w:val="0"/>
          <w:divBdr>
            <w:top w:val="none" w:sz="0" w:space="0" w:color="auto"/>
            <w:left w:val="none" w:sz="0" w:space="0" w:color="auto"/>
            <w:bottom w:val="none" w:sz="0" w:space="0" w:color="auto"/>
            <w:right w:val="none" w:sz="0" w:space="0" w:color="auto"/>
          </w:divBdr>
        </w:div>
        <w:div w:id="1000542155">
          <w:marLeft w:val="0"/>
          <w:marRight w:val="0"/>
          <w:marTop w:val="0"/>
          <w:marBottom w:val="0"/>
          <w:divBdr>
            <w:top w:val="none" w:sz="0" w:space="0" w:color="auto"/>
            <w:left w:val="none" w:sz="0" w:space="0" w:color="auto"/>
            <w:bottom w:val="none" w:sz="0" w:space="0" w:color="auto"/>
            <w:right w:val="none" w:sz="0" w:space="0" w:color="auto"/>
          </w:divBdr>
        </w:div>
      </w:divsChild>
    </w:div>
    <w:div w:id="1756971348">
      <w:bodyDiv w:val="1"/>
      <w:marLeft w:val="0"/>
      <w:marRight w:val="0"/>
      <w:marTop w:val="0"/>
      <w:marBottom w:val="0"/>
      <w:divBdr>
        <w:top w:val="none" w:sz="0" w:space="0" w:color="auto"/>
        <w:left w:val="none" w:sz="0" w:space="0" w:color="auto"/>
        <w:bottom w:val="none" w:sz="0" w:space="0" w:color="auto"/>
        <w:right w:val="none" w:sz="0" w:space="0" w:color="auto"/>
      </w:divBdr>
    </w:div>
    <w:div w:id="1763188218">
      <w:bodyDiv w:val="1"/>
      <w:marLeft w:val="0"/>
      <w:marRight w:val="0"/>
      <w:marTop w:val="0"/>
      <w:marBottom w:val="0"/>
      <w:divBdr>
        <w:top w:val="none" w:sz="0" w:space="0" w:color="auto"/>
        <w:left w:val="none" w:sz="0" w:space="0" w:color="auto"/>
        <w:bottom w:val="none" w:sz="0" w:space="0" w:color="auto"/>
        <w:right w:val="none" w:sz="0" w:space="0" w:color="auto"/>
      </w:divBdr>
    </w:div>
    <w:div w:id="1974288461">
      <w:bodyDiv w:val="1"/>
      <w:marLeft w:val="0"/>
      <w:marRight w:val="0"/>
      <w:marTop w:val="0"/>
      <w:marBottom w:val="0"/>
      <w:divBdr>
        <w:top w:val="none" w:sz="0" w:space="0" w:color="auto"/>
        <w:left w:val="none" w:sz="0" w:space="0" w:color="auto"/>
        <w:bottom w:val="none" w:sz="0" w:space="0" w:color="auto"/>
        <w:right w:val="none" w:sz="0" w:space="0" w:color="auto"/>
      </w:divBdr>
      <w:divsChild>
        <w:div w:id="1081565477">
          <w:marLeft w:val="0"/>
          <w:marRight w:val="0"/>
          <w:marTop w:val="0"/>
          <w:marBottom w:val="0"/>
          <w:divBdr>
            <w:top w:val="none" w:sz="0" w:space="0" w:color="auto"/>
            <w:left w:val="none" w:sz="0" w:space="0" w:color="auto"/>
            <w:bottom w:val="none" w:sz="0" w:space="0" w:color="auto"/>
            <w:right w:val="none" w:sz="0" w:space="0" w:color="auto"/>
          </w:divBdr>
          <w:divsChild>
            <w:div w:id="1117526183">
              <w:marLeft w:val="0"/>
              <w:marRight w:val="0"/>
              <w:marTop w:val="0"/>
              <w:marBottom w:val="0"/>
              <w:divBdr>
                <w:top w:val="none" w:sz="0" w:space="0" w:color="auto"/>
                <w:left w:val="none" w:sz="0" w:space="0" w:color="auto"/>
                <w:bottom w:val="none" w:sz="0" w:space="0" w:color="auto"/>
                <w:right w:val="none" w:sz="0" w:space="0" w:color="auto"/>
              </w:divBdr>
              <w:divsChild>
                <w:div w:id="2043748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7123428">
      <w:bodyDiv w:val="1"/>
      <w:marLeft w:val="0"/>
      <w:marRight w:val="0"/>
      <w:marTop w:val="0"/>
      <w:marBottom w:val="0"/>
      <w:divBdr>
        <w:top w:val="none" w:sz="0" w:space="0" w:color="auto"/>
        <w:left w:val="none" w:sz="0" w:space="0" w:color="auto"/>
        <w:bottom w:val="none" w:sz="0" w:space="0" w:color="auto"/>
        <w:right w:val="none" w:sz="0" w:space="0" w:color="auto"/>
      </w:divBdr>
      <w:divsChild>
        <w:div w:id="149056216">
          <w:marLeft w:val="0"/>
          <w:marRight w:val="0"/>
          <w:marTop w:val="0"/>
          <w:marBottom w:val="0"/>
          <w:divBdr>
            <w:top w:val="none" w:sz="0" w:space="0" w:color="auto"/>
            <w:left w:val="none" w:sz="0" w:space="0" w:color="auto"/>
            <w:bottom w:val="none" w:sz="0" w:space="0" w:color="auto"/>
            <w:right w:val="none" w:sz="0" w:space="0" w:color="auto"/>
          </w:divBdr>
          <w:divsChild>
            <w:div w:id="2009482322">
              <w:marLeft w:val="0"/>
              <w:marRight w:val="0"/>
              <w:marTop w:val="0"/>
              <w:marBottom w:val="0"/>
              <w:divBdr>
                <w:top w:val="none" w:sz="0" w:space="0" w:color="auto"/>
                <w:left w:val="none" w:sz="0" w:space="0" w:color="auto"/>
                <w:bottom w:val="none" w:sz="0" w:space="0" w:color="auto"/>
                <w:right w:val="none" w:sz="0" w:space="0" w:color="auto"/>
              </w:divBdr>
              <w:divsChild>
                <w:div w:id="2102292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4330057">
      <w:bodyDiv w:val="1"/>
      <w:marLeft w:val="0"/>
      <w:marRight w:val="0"/>
      <w:marTop w:val="0"/>
      <w:marBottom w:val="0"/>
      <w:divBdr>
        <w:top w:val="none" w:sz="0" w:space="0" w:color="auto"/>
        <w:left w:val="none" w:sz="0" w:space="0" w:color="auto"/>
        <w:bottom w:val="none" w:sz="0" w:space="0" w:color="auto"/>
        <w:right w:val="none" w:sz="0" w:space="0" w:color="auto"/>
      </w:divBdr>
    </w:div>
    <w:div w:id="1994799636">
      <w:bodyDiv w:val="1"/>
      <w:marLeft w:val="0"/>
      <w:marRight w:val="0"/>
      <w:marTop w:val="0"/>
      <w:marBottom w:val="0"/>
      <w:divBdr>
        <w:top w:val="none" w:sz="0" w:space="0" w:color="auto"/>
        <w:left w:val="none" w:sz="0" w:space="0" w:color="auto"/>
        <w:bottom w:val="none" w:sz="0" w:space="0" w:color="auto"/>
        <w:right w:val="none" w:sz="0" w:space="0" w:color="auto"/>
      </w:divBdr>
    </w:div>
    <w:div w:id="2127309701">
      <w:bodyDiv w:val="1"/>
      <w:marLeft w:val="0"/>
      <w:marRight w:val="0"/>
      <w:marTop w:val="0"/>
      <w:marBottom w:val="0"/>
      <w:divBdr>
        <w:top w:val="none" w:sz="0" w:space="0" w:color="auto"/>
        <w:left w:val="none" w:sz="0" w:space="0" w:color="auto"/>
        <w:bottom w:val="none" w:sz="0" w:space="0" w:color="auto"/>
        <w:right w:val="none" w:sz="0" w:space="0" w:color="auto"/>
      </w:divBdr>
    </w:div>
    <w:div w:id="2142265913">
      <w:bodyDiv w:val="1"/>
      <w:marLeft w:val="0"/>
      <w:marRight w:val="0"/>
      <w:marTop w:val="0"/>
      <w:marBottom w:val="0"/>
      <w:divBdr>
        <w:top w:val="none" w:sz="0" w:space="0" w:color="auto"/>
        <w:left w:val="none" w:sz="0" w:space="0" w:color="auto"/>
        <w:bottom w:val="none" w:sz="0" w:space="0" w:color="auto"/>
        <w:right w:val="none" w:sz="0" w:space="0" w:color="auto"/>
      </w:divBdr>
      <w:divsChild>
        <w:div w:id="1202282846">
          <w:marLeft w:val="0"/>
          <w:marRight w:val="0"/>
          <w:marTop w:val="0"/>
          <w:marBottom w:val="0"/>
          <w:divBdr>
            <w:top w:val="none" w:sz="0" w:space="0" w:color="auto"/>
            <w:left w:val="none" w:sz="0" w:space="0" w:color="auto"/>
            <w:bottom w:val="none" w:sz="0" w:space="0" w:color="auto"/>
            <w:right w:val="none" w:sz="0" w:space="0" w:color="auto"/>
          </w:divBdr>
          <w:divsChild>
            <w:div w:id="1681082985">
              <w:marLeft w:val="0"/>
              <w:marRight w:val="0"/>
              <w:marTop w:val="0"/>
              <w:marBottom w:val="0"/>
              <w:divBdr>
                <w:top w:val="none" w:sz="0" w:space="0" w:color="auto"/>
                <w:left w:val="none" w:sz="0" w:space="0" w:color="auto"/>
                <w:bottom w:val="none" w:sz="0" w:space="0" w:color="auto"/>
                <w:right w:val="none" w:sz="0" w:space="0" w:color="auto"/>
              </w:divBdr>
              <w:divsChild>
                <w:div w:id="887570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Props1.xml><?xml version="1.0" encoding="utf-8"?>
<ds:datastoreItem xmlns:ds="http://schemas.openxmlformats.org/officeDocument/2006/customXml" ds:itemID="{5A67E18D-C544-4C8B-A4A8-F1BA80EAA5B1}">
  <ds:schemaRefs>
    <ds:schemaRef ds:uri="http://schemas.openxmlformats.org/officeDocument/2006/bibliography"/>
  </ds:schemaRefs>
</ds:datastoreItem>
</file>

<file path=customXml/itemProps2.xml><?xml version="1.0" encoding="utf-8"?>
<ds:datastoreItem xmlns:ds="http://schemas.openxmlformats.org/officeDocument/2006/customXml" ds:itemID="{8CE8B890-C35D-405D-B4A2-E97E315A29D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79E41DA-88E7-43E4-AFD3-C1DD695844DF}">
  <ds:schemaRefs>
    <ds:schemaRef ds:uri="http://schemas.microsoft.com/sharepoint/v3/contenttype/forms"/>
  </ds:schemaRefs>
</ds:datastoreItem>
</file>

<file path=customXml/itemProps4.xml><?xml version="1.0" encoding="utf-8"?>
<ds:datastoreItem xmlns:ds="http://schemas.openxmlformats.org/officeDocument/2006/customXml" ds:itemID="{99D13294-AEF1-4A5C-97B2-6D8B9294115B}">
  <ds:schemaRefs>
    <ds:schemaRef ds:uri="http://schemas.microsoft.com/office/2006/metadata/properties"/>
    <ds:schemaRef ds:uri="http://schemas.microsoft.com/office/infopath/2007/PartnerControls"/>
    <ds:schemaRef ds:uri="9d85dbaf-23eb-4e57-a637-93dcacc8b1a1"/>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14</Pages>
  <Words>5398</Words>
  <Characters>29694</Characters>
  <Application>Microsoft Office Word</Application>
  <DocSecurity>0</DocSecurity>
  <Lines>247</Lines>
  <Paragraphs>70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35022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Paula Carolina Montes Bustos</dc:creator>
  <cp:keywords/>
  <dc:description/>
  <cp:lastModifiedBy>Martin Rojas Mejia</cp:lastModifiedBy>
  <cp:revision>7</cp:revision>
  <dcterms:created xsi:type="dcterms:W3CDTF">2022-05-18T22:52:00Z</dcterms:created>
  <dcterms:modified xsi:type="dcterms:W3CDTF">2022-06-01T20:15:00Z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