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3A0E2D" w14:textId="77777777" w:rsidR="00CA7345" w:rsidRPr="00AF1555" w:rsidRDefault="00CA7345" w:rsidP="00CA7345">
      <w:pPr>
        <w:tabs>
          <w:tab w:val="left" w:pos="709"/>
        </w:tabs>
        <w:spacing w:after="0" w:line="240" w:lineRule="auto"/>
        <w:jc w:val="both"/>
        <w:rPr>
          <w:rFonts w:ascii="Verdana" w:eastAsia="Calibri" w:hAnsi="Verdana" w:cs="Arial"/>
          <w:bCs/>
          <w:sz w:val="20"/>
          <w:szCs w:val="20"/>
          <w:lang w:val="es-ES_tradnl" w:eastAsia="es-ES_tradnl"/>
        </w:rPr>
      </w:pPr>
    </w:p>
    <w:p w14:paraId="6F3E7FBB" w14:textId="77777777" w:rsidR="00CA7345" w:rsidRPr="00AF1555" w:rsidRDefault="00CA7345" w:rsidP="00CA7345">
      <w:pPr>
        <w:spacing w:after="0" w:line="240" w:lineRule="auto"/>
        <w:jc w:val="both"/>
        <w:rPr>
          <w:rFonts w:ascii="Verdana" w:eastAsia="Calibri" w:hAnsi="Verdana" w:cs="Arial"/>
          <w:b/>
          <w:color w:val="000000" w:themeColor="text1"/>
          <w:lang w:val="es-ES"/>
        </w:rPr>
      </w:pPr>
      <w:r>
        <w:rPr>
          <w:rFonts w:ascii="Verdana" w:eastAsia="Calibri" w:hAnsi="Verdana" w:cs="Arial"/>
          <w:b/>
          <w:color w:val="000000" w:themeColor="text1"/>
          <w:lang w:val="es-ES"/>
        </w:rPr>
        <w:t>EGCAP</w:t>
      </w:r>
      <w:r w:rsidRPr="00E95799">
        <w:rPr>
          <w:rFonts w:ascii="Verdana" w:eastAsia="Calibri" w:hAnsi="Verdana" w:cs="Arial"/>
          <w:b/>
          <w:color w:val="000000" w:themeColor="text1"/>
          <w:lang w:val="es-ES"/>
        </w:rPr>
        <w:t xml:space="preserve"> – </w:t>
      </w:r>
      <w:r>
        <w:rPr>
          <w:rFonts w:ascii="Verdana" w:eastAsia="Calibri" w:hAnsi="Verdana" w:cs="Arial"/>
          <w:b/>
          <w:color w:val="000000" w:themeColor="text1"/>
          <w:lang w:val="es-ES"/>
        </w:rPr>
        <w:t>Ámbito de aplicación</w:t>
      </w:r>
      <w:r w:rsidRPr="00E95799">
        <w:rPr>
          <w:rFonts w:ascii="Verdana" w:eastAsia="Calibri" w:hAnsi="Verdana" w:cs="Arial"/>
          <w:b/>
          <w:color w:val="000000" w:themeColor="text1"/>
          <w:lang w:val="es-ES"/>
        </w:rPr>
        <w:t xml:space="preserve"> – </w:t>
      </w:r>
      <w:r>
        <w:rPr>
          <w:rFonts w:ascii="Verdana" w:eastAsia="Calibri" w:hAnsi="Verdana" w:cs="Arial"/>
          <w:b/>
          <w:color w:val="000000" w:themeColor="text1"/>
          <w:lang w:val="es-ES"/>
        </w:rPr>
        <w:t>Entidades estatales</w:t>
      </w:r>
      <w:r w:rsidRPr="00AF1555">
        <w:rPr>
          <w:rFonts w:ascii="Verdana" w:eastAsia="Calibri" w:hAnsi="Verdana" w:cs="Arial"/>
          <w:b/>
          <w:color w:val="000000" w:themeColor="text1"/>
          <w:lang w:val="es-ES"/>
        </w:rPr>
        <w:t xml:space="preserve"> </w:t>
      </w:r>
    </w:p>
    <w:p w14:paraId="4BB7094A" w14:textId="77777777" w:rsidR="00CA7345" w:rsidRPr="00AF1555" w:rsidRDefault="00CA7345" w:rsidP="00CA7345">
      <w:pPr>
        <w:spacing w:after="0" w:line="240" w:lineRule="auto"/>
        <w:jc w:val="both"/>
        <w:rPr>
          <w:rFonts w:ascii="Verdana" w:eastAsia="Calibri" w:hAnsi="Verdana" w:cs="Arial"/>
          <w:bCs/>
          <w:color w:val="000000" w:themeColor="text1"/>
          <w:sz w:val="20"/>
          <w:szCs w:val="20"/>
          <w:lang w:val="es-ES"/>
        </w:rPr>
      </w:pPr>
    </w:p>
    <w:p w14:paraId="47EC4C5A" w14:textId="77777777" w:rsidR="00CA7345" w:rsidRDefault="00CA7345" w:rsidP="00CA7345">
      <w:pPr>
        <w:spacing w:after="0" w:line="240" w:lineRule="auto"/>
        <w:jc w:val="both"/>
        <w:rPr>
          <w:rFonts w:ascii="Verdana" w:eastAsia="Calibri" w:hAnsi="Verdana" w:cs="Arial"/>
          <w:bCs/>
          <w:color w:val="000000" w:themeColor="text1"/>
          <w:sz w:val="20"/>
          <w:szCs w:val="20"/>
          <w:lang w:val="es-ES" w:eastAsia="es-ES_tradnl"/>
        </w:rPr>
      </w:pPr>
      <w:r w:rsidRPr="0006328C">
        <w:rPr>
          <w:rFonts w:ascii="Verdana" w:eastAsia="Calibri" w:hAnsi="Verdana" w:cs="Arial"/>
          <w:bCs/>
          <w:color w:val="000000" w:themeColor="text1"/>
          <w:sz w:val="20"/>
          <w:szCs w:val="20"/>
          <w:lang w:val="es-ES" w:eastAsia="es-ES_tradnl"/>
        </w:rPr>
        <w:t xml:space="preserve">De acuerdo con el inciso final del artículo 150 superior, corresponde al Congreso de la República expedir el Estatuto General de Contratación de la Administración Pública y, en especial, de la Administración Nacional. Esta competencia fue ejercida con la expedición de la Ley 80 de 1993, la cual rige para las </w:t>
      </w:r>
      <w:r w:rsidRPr="0006328C">
        <w:rPr>
          <w:rFonts w:ascii="Verdana" w:eastAsia="Calibri" w:hAnsi="Verdana" w:cs="Arial"/>
          <w:bCs/>
          <w:i/>
          <w:iCs/>
          <w:color w:val="000000" w:themeColor="text1"/>
          <w:sz w:val="20"/>
          <w:szCs w:val="20"/>
          <w:lang w:val="es-ES" w:eastAsia="es-ES_tradnl"/>
        </w:rPr>
        <w:t>entidades estatales</w:t>
      </w:r>
      <w:r w:rsidRPr="0006328C">
        <w:rPr>
          <w:rFonts w:ascii="Verdana" w:eastAsia="Calibri" w:hAnsi="Verdana" w:cs="Arial"/>
          <w:bCs/>
          <w:color w:val="000000" w:themeColor="text1"/>
          <w:sz w:val="20"/>
          <w:szCs w:val="20"/>
          <w:lang w:val="es-ES" w:eastAsia="es-ES_tradnl"/>
        </w:rPr>
        <w:t xml:space="preserve">, esto es, aquellas previstas en los literales a) y b) del numeral 1 del artículo 2 </w:t>
      </w:r>
      <w:r w:rsidRPr="0006328C">
        <w:rPr>
          <w:rFonts w:ascii="Verdana" w:eastAsia="Calibri" w:hAnsi="Verdana" w:cs="Arial"/>
          <w:bCs/>
          <w:i/>
          <w:iCs/>
          <w:color w:val="000000" w:themeColor="text1"/>
          <w:sz w:val="20"/>
          <w:szCs w:val="20"/>
          <w:lang w:val="es-ES" w:eastAsia="es-ES_tradnl"/>
        </w:rPr>
        <w:t>ibidem</w:t>
      </w:r>
      <w:r w:rsidRPr="0006328C">
        <w:rPr>
          <w:rFonts w:ascii="Verdana" w:eastAsia="Calibri" w:hAnsi="Verdana" w:cs="Arial"/>
          <w:bCs/>
          <w:color w:val="000000" w:themeColor="text1"/>
          <w:sz w:val="20"/>
          <w:szCs w:val="20"/>
          <w:lang w:val="es-ES" w:eastAsia="es-ES_tradnl"/>
        </w:rPr>
        <w:t xml:space="preserve">. La norma citada define la competencia contractual en los siguientes términos: </w:t>
      </w:r>
    </w:p>
    <w:p w14:paraId="4F39E4D2" w14:textId="77777777" w:rsidR="00CA7345" w:rsidRPr="0006328C" w:rsidRDefault="00CA7345" w:rsidP="00CA7345">
      <w:pPr>
        <w:spacing w:after="0" w:line="240" w:lineRule="auto"/>
        <w:jc w:val="both"/>
        <w:rPr>
          <w:rFonts w:ascii="Verdana" w:eastAsia="Calibri" w:hAnsi="Verdana" w:cs="Arial"/>
          <w:bCs/>
          <w:color w:val="000000" w:themeColor="text1"/>
          <w:sz w:val="20"/>
          <w:szCs w:val="20"/>
          <w:lang w:val="es-ES" w:eastAsia="es-ES_tradnl"/>
        </w:rPr>
      </w:pPr>
    </w:p>
    <w:p w14:paraId="7B0C3B1B" w14:textId="77777777" w:rsidR="00CA7345" w:rsidRDefault="00CA7345" w:rsidP="00CA7345">
      <w:pPr>
        <w:spacing w:after="0" w:line="240" w:lineRule="auto"/>
        <w:jc w:val="both"/>
        <w:rPr>
          <w:rFonts w:ascii="Verdana" w:eastAsia="Calibri" w:hAnsi="Verdana" w:cs="Arial"/>
          <w:bCs/>
          <w:color w:val="000000" w:themeColor="text1"/>
          <w:sz w:val="20"/>
          <w:szCs w:val="20"/>
          <w:lang w:val="es-ES" w:eastAsia="es-ES_tradnl"/>
        </w:rPr>
      </w:pPr>
      <w:r w:rsidRPr="0006328C">
        <w:rPr>
          <w:rFonts w:ascii="Verdana" w:eastAsia="Calibri" w:hAnsi="Verdana" w:cs="Arial"/>
          <w:bCs/>
          <w:color w:val="000000" w:themeColor="text1"/>
          <w:sz w:val="20"/>
          <w:szCs w:val="20"/>
          <w:lang w:val="es-ES" w:eastAsia="es-ES_tradnl"/>
        </w:rPr>
        <w:t xml:space="preserve">El literal a) aplica a las entidades con personería jurídica. Alude 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w:t>
      </w:r>
    </w:p>
    <w:p w14:paraId="1F446D74" w14:textId="77777777" w:rsidR="00CA7345" w:rsidRPr="0006328C" w:rsidRDefault="00CA7345" w:rsidP="00CA7345">
      <w:pPr>
        <w:spacing w:after="0" w:line="240" w:lineRule="auto"/>
        <w:jc w:val="both"/>
        <w:rPr>
          <w:rFonts w:ascii="Verdana" w:eastAsia="Calibri" w:hAnsi="Verdana" w:cs="Arial"/>
          <w:bCs/>
          <w:color w:val="000000" w:themeColor="text1"/>
          <w:sz w:val="20"/>
          <w:szCs w:val="20"/>
          <w:lang w:val="es-ES" w:eastAsia="es-ES_tradnl"/>
        </w:rPr>
      </w:pPr>
      <w:r w:rsidRPr="0006328C">
        <w:rPr>
          <w:rFonts w:ascii="Verdana" w:eastAsia="Calibri" w:hAnsi="Verdana" w:cs="Arial"/>
          <w:bCs/>
          <w:color w:val="000000" w:themeColor="text1"/>
          <w:sz w:val="20"/>
          <w:szCs w:val="20"/>
          <w:lang w:val="es-ES" w:eastAsia="es-ES_tradnl"/>
        </w:rPr>
        <w:t xml:space="preserve"> </w:t>
      </w:r>
    </w:p>
    <w:p w14:paraId="1F27AB2C" w14:textId="77777777" w:rsidR="00CA7345" w:rsidRDefault="00CA7345" w:rsidP="00CA7345">
      <w:pPr>
        <w:spacing w:after="0" w:line="240" w:lineRule="auto"/>
        <w:jc w:val="both"/>
        <w:rPr>
          <w:rFonts w:ascii="Verdana" w:eastAsia="Calibri" w:hAnsi="Verdana" w:cs="Arial"/>
          <w:color w:val="000000" w:themeColor="text1"/>
          <w:sz w:val="20"/>
          <w:szCs w:val="20"/>
          <w:lang w:val="es-ES_tradnl"/>
        </w:rPr>
      </w:pPr>
      <w:r w:rsidRPr="0006328C">
        <w:rPr>
          <w:rFonts w:ascii="Verdana" w:eastAsia="Calibri" w:hAnsi="Verdana" w:cs="Arial"/>
          <w:bCs/>
          <w:color w:val="000000" w:themeColor="text1"/>
          <w:sz w:val="20"/>
          <w:szCs w:val="20"/>
          <w:lang w:val="es-ES" w:eastAsia="es-ES_tradnl"/>
        </w:rPr>
        <w:t>En contraste, el literal b) rige para las autoridades que carecen de personería, pero a las que el ordenamiento les otorga “capacidad” para celebrar contratos. Estas entidades son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 De acuerdo con el artículo 352 superior, este último apartado debe armonizarse con el artículo 110 del Decreto 111 de 1996, modificado por el artículo 124 de la Ley 1957 de 2019</w:t>
      </w:r>
      <w:r w:rsidRPr="00AF1555">
        <w:rPr>
          <w:rFonts w:ascii="Verdana" w:eastAsia="Calibri" w:hAnsi="Verdana" w:cs="Arial"/>
          <w:color w:val="000000" w:themeColor="text1"/>
          <w:sz w:val="20"/>
          <w:szCs w:val="20"/>
          <w:lang w:val="es-ES_tradnl"/>
        </w:rPr>
        <w:t>.</w:t>
      </w:r>
    </w:p>
    <w:p w14:paraId="4FDE7B05" w14:textId="77777777" w:rsidR="00CA7345" w:rsidRPr="00EB0B5F" w:rsidRDefault="00CA7345" w:rsidP="00CA7345">
      <w:pPr>
        <w:spacing w:after="0" w:line="240" w:lineRule="auto"/>
        <w:jc w:val="both"/>
        <w:rPr>
          <w:rFonts w:ascii="Verdana" w:eastAsia="Calibri" w:hAnsi="Verdana" w:cs="Arial"/>
          <w:iCs/>
          <w:color w:val="000000" w:themeColor="text1"/>
          <w:sz w:val="20"/>
          <w:szCs w:val="20"/>
          <w:lang w:eastAsia="es-ES_tradnl"/>
        </w:rPr>
      </w:pPr>
    </w:p>
    <w:p w14:paraId="252245F6" w14:textId="77777777" w:rsidR="00CA7345" w:rsidRPr="00396DBB" w:rsidRDefault="00CA7345" w:rsidP="00CA7345">
      <w:pPr>
        <w:spacing w:after="0" w:line="240" w:lineRule="auto"/>
        <w:jc w:val="both"/>
        <w:rPr>
          <w:rFonts w:ascii="Verdana" w:eastAsia="Calibri" w:hAnsi="Verdana" w:cs="Arial"/>
          <w:b/>
          <w:color w:val="000000" w:themeColor="text1"/>
          <w:lang w:val="es-ES_tradnl"/>
        </w:rPr>
      </w:pPr>
      <w:r w:rsidRPr="00982F47">
        <w:rPr>
          <w:rFonts w:ascii="Verdana" w:eastAsia="Calibri" w:hAnsi="Verdana" w:cs="Arial"/>
          <w:b/>
          <w:color w:val="000000" w:themeColor="text1"/>
          <w:lang w:val="es-ES_tradnl"/>
        </w:rPr>
        <w:t>CORPORACIONES AUTÓNOMAS REGIONALES</w:t>
      </w:r>
      <w:r w:rsidRPr="00396DBB">
        <w:rPr>
          <w:rFonts w:ascii="Verdana" w:eastAsia="Calibri" w:hAnsi="Verdana" w:cs="Arial"/>
          <w:b/>
          <w:color w:val="000000" w:themeColor="text1"/>
          <w:lang w:val="es-ES_tradnl"/>
        </w:rPr>
        <w:t xml:space="preserve"> – </w:t>
      </w:r>
      <w:r>
        <w:rPr>
          <w:rFonts w:ascii="Verdana" w:eastAsia="Calibri" w:hAnsi="Verdana" w:cs="Arial"/>
          <w:b/>
          <w:color w:val="000000" w:themeColor="text1"/>
          <w:lang w:val="es-ES_tradnl"/>
        </w:rPr>
        <w:t xml:space="preserve">Naturaleza jurídica – Régimen contractual   </w:t>
      </w:r>
      <w:r w:rsidRPr="00396DBB">
        <w:rPr>
          <w:rFonts w:ascii="Verdana" w:eastAsia="Calibri" w:hAnsi="Verdana" w:cs="Arial"/>
          <w:b/>
          <w:color w:val="000000" w:themeColor="text1"/>
          <w:lang w:val="es-ES_tradnl"/>
        </w:rPr>
        <w:t xml:space="preserve"> </w:t>
      </w:r>
    </w:p>
    <w:p w14:paraId="2EE2AB5C" w14:textId="77777777" w:rsidR="00CA7345" w:rsidRPr="00396DBB" w:rsidRDefault="00CA7345" w:rsidP="00CA7345">
      <w:pPr>
        <w:spacing w:after="0" w:line="240" w:lineRule="auto"/>
        <w:jc w:val="both"/>
        <w:rPr>
          <w:rFonts w:ascii="Verdana" w:eastAsia="Calibri" w:hAnsi="Verdana" w:cs="Arial"/>
          <w:bCs/>
          <w:color w:val="000000" w:themeColor="text1"/>
          <w:sz w:val="20"/>
          <w:szCs w:val="20"/>
          <w:lang w:val="es-ES_tradnl"/>
        </w:rPr>
      </w:pPr>
    </w:p>
    <w:p w14:paraId="48D4BCB7" w14:textId="77777777" w:rsidR="00CA7345" w:rsidRDefault="00CA7345" w:rsidP="00CA7345">
      <w:pPr>
        <w:spacing w:after="0" w:line="240" w:lineRule="auto"/>
        <w:jc w:val="both"/>
        <w:rPr>
          <w:rFonts w:ascii="Verdana" w:hAnsi="Verdana" w:cs="Arial"/>
          <w:color w:val="000000" w:themeColor="text1"/>
          <w:sz w:val="20"/>
          <w:szCs w:val="20"/>
          <w:lang w:val="es-ES"/>
        </w:rPr>
      </w:pPr>
      <w:r>
        <w:rPr>
          <w:rFonts w:ascii="Verdana" w:hAnsi="Verdana" w:cs="Arial"/>
          <w:color w:val="000000" w:themeColor="text1"/>
          <w:sz w:val="20"/>
          <w:szCs w:val="20"/>
          <w:lang w:val="es-ES"/>
        </w:rPr>
        <w:t>C</w:t>
      </w:r>
      <w:r w:rsidRPr="00982F47">
        <w:rPr>
          <w:rFonts w:ascii="Verdana" w:hAnsi="Verdana" w:cs="Arial"/>
          <w:color w:val="000000" w:themeColor="text1"/>
          <w:sz w:val="20"/>
          <w:szCs w:val="20"/>
          <w:lang w:val="es-ES"/>
        </w:rPr>
        <w:t xml:space="preserve">onforme al artículo 150.7 de la Constitución Política de 1991, corresponde al Congreso de la República “[…] reglamentar la creación y funcionamiento de las Corporaciones Autónomas Regionales dentro de un régimen de autonomía […]”. Por ello, el inciso primero del artículo 23 de la Ley 99 de 1993 define su naturaleza jurídica como “[…] entes corporativos de carácter público, creados por la ley, integrados por las entidades territoriales que por sus características constituyen geográficamente un mismo ecosistema o conforman una unidad geopolítica, biogeográfica o </w:t>
      </w:r>
      <w:proofErr w:type="spellStart"/>
      <w:r w:rsidRPr="00982F47">
        <w:rPr>
          <w:rFonts w:ascii="Verdana" w:hAnsi="Verdana" w:cs="Arial"/>
          <w:color w:val="000000" w:themeColor="text1"/>
          <w:sz w:val="20"/>
          <w:szCs w:val="20"/>
          <w:lang w:val="es-ES"/>
        </w:rPr>
        <w:t>hidrogeográfica</w:t>
      </w:r>
      <w:proofErr w:type="spellEnd"/>
      <w:r w:rsidRPr="00982F47">
        <w:rPr>
          <w:rFonts w:ascii="Verdana" w:hAnsi="Verdana" w:cs="Arial"/>
          <w:color w:val="000000" w:themeColor="text1"/>
          <w:sz w:val="20"/>
          <w:szCs w:val="20"/>
          <w:lang w:val="es-ES"/>
        </w:rPr>
        <w:t>, dotados de autonomía administrativa y financiera, patrimonio propio y personería jurídica, encargados por la ley de administrar, dentro del área de su jurisdicción, el medio ambiente y los recursos naturales renovables y propender por su desarrollo sostenible, de conformidad con las disposiciones legales y las políticas del Ministerio del Medio Ambiente”.</w:t>
      </w:r>
    </w:p>
    <w:p w14:paraId="24589F95" w14:textId="77777777" w:rsidR="00CA7345" w:rsidRPr="00982F47" w:rsidRDefault="00CA7345" w:rsidP="00CA7345">
      <w:pPr>
        <w:spacing w:after="0" w:line="240" w:lineRule="auto"/>
        <w:jc w:val="both"/>
        <w:rPr>
          <w:rFonts w:ascii="Verdana" w:hAnsi="Verdana" w:cs="Arial"/>
          <w:color w:val="000000" w:themeColor="text1"/>
          <w:sz w:val="20"/>
          <w:szCs w:val="20"/>
          <w:lang w:val="es-ES"/>
        </w:rPr>
      </w:pPr>
    </w:p>
    <w:p w14:paraId="76EEEE91" w14:textId="77777777" w:rsidR="00CA7345" w:rsidRPr="006A61B6" w:rsidRDefault="00CA7345" w:rsidP="00CA7345">
      <w:pPr>
        <w:spacing w:after="0" w:line="240" w:lineRule="auto"/>
        <w:jc w:val="both"/>
        <w:rPr>
          <w:rFonts w:ascii="Verdana" w:hAnsi="Verdana" w:cs="Arial"/>
          <w:bCs/>
          <w:color w:val="000000" w:themeColor="text1"/>
          <w:sz w:val="20"/>
          <w:szCs w:val="20"/>
          <w:lang w:val="es-ES_tradnl"/>
        </w:rPr>
      </w:pPr>
      <w:r w:rsidRPr="00982F47">
        <w:rPr>
          <w:rFonts w:ascii="Verdana" w:hAnsi="Verdana" w:cs="Arial"/>
          <w:color w:val="000000" w:themeColor="text1"/>
          <w:sz w:val="20"/>
          <w:szCs w:val="20"/>
          <w:lang w:val="es-ES"/>
        </w:rPr>
        <w:lastRenderedPageBreak/>
        <w:t>Dichas entidades no se encuentran expresamente listadas en el artículo 2.1 de la Ley 80 de 1993. Pese a su autonomía, no están excluidas del EGCAP, pues el artículo 24 de la Ley 1150 de 2007 dispone que “La contratación de las Corporaciones Autónomas Regionales incluida la Corporación Autónoma Regional del Río Grande de la Magdalena, se someterá al Estatuto General de Contratación de la Administración Pública contenido en la Ley 80 de 1993 y en las demás normas que lo modifiquen, deroguen o adicionen”. Por tanto, en materia contractual, no forman parte del régimen especial, pues se rigen por las reglas generales de la contratación estatal.</w:t>
      </w:r>
    </w:p>
    <w:p w14:paraId="47432FE7" w14:textId="77777777" w:rsidR="00CA7345" w:rsidRPr="00EB0B5F" w:rsidRDefault="00CA7345" w:rsidP="00CA7345">
      <w:pPr>
        <w:spacing w:after="0" w:line="240" w:lineRule="auto"/>
        <w:jc w:val="both"/>
        <w:rPr>
          <w:rFonts w:ascii="Verdana" w:eastAsia="Calibri" w:hAnsi="Verdana" w:cs="Arial"/>
          <w:iCs/>
          <w:color w:val="000000" w:themeColor="text1"/>
          <w:sz w:val="20"/>
          <w:szCs w:val="20"/>
          <w:lang w:eastAsia="es-ES_tradnl"/>
        </w:rPr>
      </w:pPr>
    </w:p>
    <w:p w14:paraId="77919B17" w14:textId="77777777" w:rsidR="00CA7345" w:rsidRPr="00396DBB" w:rsidRDefault="00CA7345" w:rsidP="00CA7345">
      <w:pPr>
        <w:spacing w:after="0" w:line="240" w:lineRule="auto"/>
        <w:jc w:val="both"/>
        <w:rPr>
          <w:rFonts w:ascii="Verdana" w:eastAsia="Calibri" w:hAnsi="Verdana" w:cs="Arial"/>
          <w:b/>
          <w:color w:val="000000" w:themeColor="text1"/>
          <w:lang w:val="es-ES_tradnl"/>
        </w:rPr>
      </w:pPr>
      <w:r>
        <w:rPr>
          <w:rFonts w:ascii="Verdana" w:eastAsia="Calibri" w:hAnsi="Verdana" w:cs="Arial"/>
          <w:b/>
          <w:color w:val="000000" w:themeColor="text1"/>
          <w:lang w:val="es-ES_tradnl"/>
        </w:rPr>
        <w:t>CONTRATACIÓN DIRECTA</w:t>
      </w:r>
      <w:r w:rsidRPr="00396DBB">
        <w:rPr>
          <w:rFonts w:ascii="Verdana" w:eastAsia="Calibri" w:hAnsi="Verdana" w:cs="Arial"/>
          <w:b/>
          <w:color w:val="000000" w:themeColor="text1"/>
          <w:lang w:val="es-ES_tradnl"/>
        </w:rPr>
        <w:t xml:space="preserve"> – </w:t>
      </w:r>
      <w:r>
        <w:rPr>
          <w:rFonts w:ascii="Verdana" w:eastAsia="Calibri" w:hAnsi="Verdana" w:cs="Arial"/>
          <w:b/>
          <w:color w:val="000000" w:themeColor="text1"/>
          <w:lang w:val="es-ES_tradnl"/>
        </w:rPr>
        <w:t>C</w:t>
      </w:r>
      <w:r w:rsidRPr="00982F47">
        <w:rPr>
          <w:rFonts w:ascii="Verdana" w:eastAsia="Calibri" w:hAnsi="Verdana" w:cs="Arial"/>
          <w:b/>
          <w:color w:val="000000" w:themeColor="text1"/>
          <w:lang w:val="es-ES_tradnl"/>
        </w:rPr>
        <w:t>onsejos comunitarios de las comunidades negras</w:t>
      </w:r>
      <w:r>
        <w:rPr>
          <w:rFonts w:ascii="Verdana" w:eastAsia="Calibri" w:hAnsi="Verdana" w:cs="Arial"/>
          <w:b/>
          <w:color w:val="000000" w:themeColor="text1"/>
          <w:lang w:val="es-ES_tradnl"/>
        </w:rPr>
        <w:t xml:space="preserve"> – Alcance   </w:t>
      </w:r>
      <w:r w:rsidRPr="00396DBB">
        <w:rPr>
          <w:rFonts w:ascii="Verdana" w:eastAsia="Calibri" w:hAnsi="Verdana" w:cs="Arial"/>
          <w:b/>
          <w:color w:val="000000" w:themeColor="text1"/>
          <w:lang w:val="es-ES_tradnl"/>
        </w:rPr>
        <w:t xml:space="preserve"> </w:t>
      </w:r>
    </w:p>
    <w:p w14:paraId="27F7A9F5" w14:textId="77777777" w:rsidR="00CA7345" w:rsidRPr="00396DBB" w:rsidRDefault="00CA7345" w:rsidP="00CA7345">
      <w:pPr>
        <w:spacing w:after="0" w:line="240" w:lineRule="auto"/>
        <w:jc w:val="both"/>
        <w:rPr>
          <w:rFonts w:ascii="Verdana" w:eastAsia="Calibri" w:hAnsi="Verdana" w:cs="Arial"/>
          <w:bCs/>
          <w:color w:val="000000" w:themeColor="text1"/>
          <w:sz w:val="20"/>
          <w:szCs w:val="20"/>
          <w:lang w:val="es-ES_tradnl"/>
        </w:rPr>
      </w:pPr>
    </w:p>
    <w:p w14:paraId="633FE55B" w14:textId="77777777" w:rsidR="00CA7345" w:rsidRDefault="00CA7345" w:rsidP="00CA7345">
      <w:pPr>
        <w:spacing w:after="0" w:line="240" w:lineRule="auto"/>
        <w:jc w:val="both"/>
        <w:rPr>
          <w:rFonts w:ascii="Verdana" w:hAnsi="Verdana" w:cs="Arial"/>
          <w:color w:val="000000" w:themeColor="text1"/>
          <w:sz w:val="20"/>
          <w:szCs w:val="20"/>
          <w:lang w:val="es-ES"/>
        </w:rPr>
      </w:pPr>
      <w:r>
        <w:rPr>
          <w:rFonts w:ascii="Verdana" w:hAnsi="Verdana" w:cs="Arial"/>
          <w:color w:val="000000" w:themeColor="text1"/>
          <w:sz w:val="20"/>
          <w:szCs w:val="20"/>
          <w:lang w:val="es-ES"/>
        </w:rPr>
        <w:t>E</w:t>
      </w:r>
      <w:r w:rsidRPr="00982F47">
        <w:rPr>
          <w:rFonts w:ascii="Verdana" w:hAnsi="Verdana" w:cs="Arial"/>
          <w:color w:val="000000" w:themeColor="text1"/>
          <w:sz w:val="20"/>
          <w:szCs w:val="20"/>
          <w:lang w:val="es-ES"/>
        </w:rPr>
        <w:t>l literal m) del artículo 2.4 de la Ley 1150 de 2007 –adicionado por el artículo por el artículo 2 de la Ley 2160 de 2021– permite la contratación directa con “[…] los consejos comunitarios de las comunidades negras, regulados por la Ley 70 de 1993 […]”. En este caso, la entidad debe verificar que “[…] se encuentren incorporados por el Ministerio del Interior en el correspondiente Registro Público Único Nacional y que hayan cumplido con el deber de actualización de información en el mismo registro […]”. Sin embargo, la aplicación de la causal requiere que el objeto “[…] esté relacionado con el fortalecimiento del gobierno propio, la identidad étnica y cultural, el ejercicio de la autonomía, y/o la garantía de los derechos de los pueblos de las mismas comunidades”. Por tanto, si no tiene como propósito el cumplimiento de uno o varios de estos objetivos, deben privilegiarse los procedimientos de selección con pluralidad de oferentes, especialmente, cuando la contratación directa es excepcional y, por tanto, las causales son de interpretación estricta.</w:t>
      </w:r>
    </w:p>
    <w:p w14:paraId="254ECD98" w14:textId="77777777" w:rsidR="00CA7345" w:rsidRPr="00982F47" w:rsidRDefault="00CA7345" w:rsidP="00CA7345">
      <w:pPr>
        <w:spacing w:after="0" w:line="240" w:lineRule="auto"/>
        <w:jc w:val="both"/>
        <w:rPr>
          <w:rFonts w:ascii="Verdana" w:hAnsi="Verdana" w:cs="Arial"/>
          <w:color w:val="000000" w:themeColor="text1"/>
          <w:sz w:val="20"/>
          <w:szCs w:val="20"/>
          <w:lang w:val="es-ES"/>
        </w:rPr>
      </w:pPr>
    </w:p>
    <w:p w14:paraId="04D6059A" w14:textId="77777777" w:rsidR="00CA7345" w:rsidRPr="00CA7345" w:rsidRDefault="00CA7345" w:rsidP="008402AB">
      <w:pPr>
        <w:spacing w:after="0" w:line="240" w:lineRule="auto"/>
        <w:jc w:val="both"/>
        <w:rPr>
          <w:rFonts w:ascii="Verdana" w:eastAsia="Geomanist Light" w:hAnsi="Verdana" w:cs="Arial"/>
          <w:color w:val="000000" w:themeColor="text1"/>
          <w:lang w:val="es-ES"/>
        </w:rPr>
      </w:pPr>
    </w:p>
    <w:p w14:paraId="50A32A6C" w14:textId="77777777" w:rsidR="00CA7345" w:rsidRDefault="00CA7345" w:rsidP="008402AB">
      <w:pPr>
        <w:spacing w:after="0" w:line="240" w:lineRule="auto"/>
        <w:jc w:val="both"/>
        <w:rPr>
          <w:rFonts w:ascii="Verdana" w:eastAsia="Geomanist Light" w:hAnsi="Verdana" w:cs="Arial"/>
          <w:color w:val="000000" w:themeColor="text1"/>
          <w:lang w:val="es-MX"/>
        </w:rPr>
      </w:pPr>
    </w:p>
    <w:p w14:paraId="2A9DF2CE" w14:textId="77777777" w:rsidR="00CA7345" w:rsidRDefault="00CA7345" w:rsidP="008402AB">
      <w:pPr>
        <w:spacing w:after="0" w:line="240" w:lineRule="auto"/>
        <w:jc w:val="both"/>
        <w:rPr>
          <w:rFonts w:ascii="Verdana" w:eastAsia="Geomanist Light" w:hAnsi="Verdana" w:cs="Arial"/>
          <w:color w:val="000000" w:themeColor="text1"/>
          <w:lang w:val="es-MX"/>
        </w:rPr>
      </w:pPr>
    </w:p>
    <w:p w14:paraId="12D288E4" w14:textId="77777777" w:rsidR="00CA7345" w:rsidRDefault="00CA7345" w:rsidP="008402AB">
      <w:pPr>
        <w:spacing w:after="0" w:line="240" w:lineRule="auto"/>
        <w:jc w:val="both"/>
        <w:rPr>
          <w:rFonts w:ascii="Verdana" w:eastAsia="Geomanist Light" w:hAnsi="Verdana" w:cs="Arial"/>
          <w:color w:val="000000" w:themeColor="text1"/>
          <w:lang w:val="es-MX"/>
        </w:rPr>
      </w:pPr>
    </w:p>
    <w:p w14:paraId="1EB96526" w14:textId="77777777" w:rsidR="00CA7345" w:rsidRDefault="00CA7345" w:rsidP="008402AB">
      <w:pPr>
        <w:spacing w:after="0" w:line="240" w:lineRule="auto"/>
        <w:jc w:val="both"/>
        <w:rPr>
          <w:rFonts w:ascii="Verdana" w:eastAsia="Geomanist Light" w:hAnsi="Verdana" w:cs="Arial"/>
          <w:color w:val="000000" w:themeColor="text1"/>
          <w:lang w:val="es-MX"/>
        </w:rPr>
      </w:pPr>
    </w:p>
    <w:p w14:paraId="05B1DC29" w14:textId="77777777" w:rsidR="00CA7345" w:rsidRDefault="00CA7345" w:rsidP="008402AB">
      <w:pPr>
        <w:spacing w:after="0" w:line="240" w:lineRule="auto"/>
        <w:jc w:val="both"/>
        <w:rPr>
          <w:rFonts w:ascii="Verdana" w:eastAsia="Geomanist Light" w:hAnsi="Verdana" w:cs="Arial"/>
          <w:color w:val="000000" w:themeColor="text1"/>
          <w:lang w:val="es-MX"/>
        </w:rPr>
      </w:pPr>
    </w:p>
    <w:p w14:paraId="28A2475C" w14:textId="77777777" w:rsidR="00CA7345" w:rsidRDefault="00CA7345" w:rsidP="008402AB">
      <w:pPr>
        <w:spacing w:after="0" w:line="240" w:lineRule="auto"/>
        <w:jc w:val="both"/>
        <w:rPr>
          <w:rFonts w:ascii="Verdana" w:eastAsia="Geomanist Light" w:hAnsi="Verdana" w:cs="Arial"/>
          <w:color w:val="000000" w:themeColor="text1"/>
          <w:lang w:val="es-MX"/>
        </w:rPr>
      </w:pPr>
    </w:p>
    <w:p w14:paraId="12AEC159" w14:textId="77777777" w:rsidR="00CA7345" w:rsidRDefault="00CA7345" w:rsidP="008402AB">
      <w:pPr>
        <w:spacing w:after="0" w:line="240" w:lineRule="auto"/>
        <w:jc w:val="both"/>
        <w:rPr>
          <w:rFonts w:ascii="Verdana" w:eastAsia="Geomanist Light" w:hAnsi="Verdana" w:cs="Arial"/>
          <w:color w:val="000000" w:themeColor="text1"/>
          <w:lang w:val="es-MX"/>
        </w:rPr>
      </w:pPr>
    </w:p>
    <w:p w14:paraId="016A10B3" w14:textId="77777777" w:rsidR="00CA7345" w:rsidRDefault="00CA7345" w:rsidP="008402AB">
      <w:pPr>
        <w:spacing w:after="0" w:line="240" w:lineRule="auto"/>
        <w:jc w:val="both"/>
        <w:rPr>
          <w:rFonts w:ascii="Verdana" w:eastAsia="Geomanist Light" w:hAnsi="Verdana" w:cs="Arial"/>
          <w:color w:val="000000" w:themeColor="text1"/>
          <w:lang w:val="es-MX"/>
        </w:rPr>
      </w:pPr>
    </w:p>
    <w:p w14:paraId="31C99547" w14:textId="77777777" w:rsidR="00CA7345" w:rsidRDefault="00CA7345" w:rsidP="008402AB">
      <w:pPr>
        <w:spacing w:after="0" w:line="240" w:lineRule="auto"/>
        <w:jc w:val="both"/>
        <w:rPr>
          <w:rFonts w:ascii="Verdana" w:eastAsia="Geomanist Light" w:hAnsi="Verdana" w:cs="Arial"/>
          <w:color w:val="000000" w:themeColor="text1"/>
          <w:lang w:val="es-MX"/>
        </w:rPr>
      </w:pPr>
    </w:p>
    <w:p w14:paraId="02467843" w14:textId="77777777" w:rsidR="00CA7345" w:rsidRDefault="00CA7345" w:rsidP="008402AB">
      <w:pPr>
        <w:spacing w:after="0" w:line="240" w:lineRule="auto"/>
        <w:jc w:val="both"/>
        <w:rPr>
          <w:rFonts w:ascii="Verdana" w:eastAsia="Geomanist Light" w:hAnsi="Verdana" w:cs="Arial"/>
          <w:color w:val="000000" w:themeColor="text1"/>
          <w:lang w:val="es-MX"/>
        </w:rPr>
      </w:pPr>
    </w:p>
    <w:p w14:paraId="2C828C6B" w14:textId="77777777" w:rsidR="00CA7345" w:rsidRDefault="00CA7345" w:rsidP="008402AB">
      <w:pPr>
        <w:spacing w:after="0" w:line="240" w:lineRule="auto"/>
        <w:jc w:val="both"/>
        <w:rPr>
          <w:rFonts w:ascii="Verdana" w:eastAsia="Geomanist Light" w:hAnsi="Verdana" w:cs="Arial"/>
          <w:color w:val="000000" w:themeColor="text1"/>
          <w:lang w:val="es-MX"/>
        </w:rPr>
      </w:pPr>
    </w:p>
    <w:p w14:paraId="032E3EE7" w14:textId="77777777" w:rsidR="00CA7345" w:rsidRDefault="00CA7345" w:rsidP="008402AB">
      <w:pPr>
        <w:spacing w:after="0" w:line="240" w:lineRule="auto"/>
        <w:jc w:val="both"/>
        <w:rPr>
          <w:rFonts w:ascii="Verdana" w:eastAsia="Geomanist Light" w:hAnsi="Verdana" w:cs="Arial"/>
          <w:color w:val="000000" w:themeColor="text1"/>
          <w:lang w:val="es-MX"/>
        </w:rPr>
      </w:pPr>
    </w:p>
    <w:p w14:paraId="6375F13F" w14:textId="77777777" w:rsidR="00CA7345" w:rsidRDefault="00CA7345" w:rsidP="008402AB">
      <w:pPr>
        <w:spacing w:after="0" w:line="240" w:lineRule="auto"/>
        <w:jc w:val="both"/>
        <w:rPr>
          <w:rFonts w:ascii="Verdana" w:eastAsia="Geomanist Light" w:hAnsi="Verdana" w:cs="Arial"/>
          <w:color w:val="000000" w:themeColor="text1"/>
          <w:lang w:val="es-MX"/>
        </w:rPr>
      </w:pPr>
    </w:p>
    <w:p w14:paraId="3EFABBBF" w14:textId="77777777" w:rsidR="00CA7345" w:rsidRDefault="00CA7345" w:rsidP="008402AB">
      <w:pPr>
        <w:spacing w:after="0" w:line="240" w:lineRule="auto"/>
        <w:jc w:val="both"/>
        <w:rPr>
          <w:rFonts w:ascii="Verdana" w:eastAsia="Geomanist Light" w:hAnsi="Verdana" w:cs="Arial"/>
          <w:color w:val="000000" w:themeColor="text1"/>
          <w:lang w:val="es-MX"/>
        </w:rPr>
      </w:pPr>
    </w:p>
    <w:p w14:paraId="33563E45" w14:textId="77777777" w:rsidR="00CA7345" w:rsidRDefault="00CA7345" w:rsidP="008402AB">
      <w:pPr>
        <w:spacing w:after="0" w:line="240" w:lineRule="auto"/>
        <w:jc w:val="both"/>
        <w:rPr>
          <w:rFonts w:ascii="Verdana" w:eastAsia="Geomanist Light" w:hAnsi="Verdana" w:cs="Arial"/>
          <w:color w:val="000000" w:themeColor="text1"/>
          <w:lang w:val="es-MX"/>
        </w:rPr>
      </w:pPr>
    </w:p>
    <w:p w14:paraId="216C461E" w14:textId="77777777" w:rsidR="00CA7345" w:rsidRDefault="00CA7345" w:rsidP="008402AB">
      <w:pPr>
        <w:spacing w:after="0" w:line="240" w:lineRule="auto"/>
        <w:jc w:val="both"/>
        <w:rPr>
          <w:rFonts w:ascii="Verdana" w:eastAsia="Geomanist Light" w:hAnsi="Verdana" w:cs="Arial"/>
          <w:color w:val="000000" w:themeColor="text1"/>
          <w:lang w:val="es-MX"/>
        </w:rPr>
      </w:pPr>
    </w:p>
    <w:p w14:paraId="684E93D3" w14:textId="77777777" w:rsidR="00CA7345" w:rsidRDefault="00CA7345" w:rsidP="008402AB">
      <w:pPr>
        <w:spacing w:after="0" w:line="240" w:lineRule="auto"/>
        <w:jc w:val="both"/>
        <w:rPr>
          <w:rFonts w:ascii="Verdana" w:eastAsia="Geomanist Light" w:hAnsi="Verdana" w:cs="Arial"/>
          <w:color w:val="000000" w:themeColor="text1"/>
          <w:lang w:val="es-MX"/>
        </w:rPr>
      </w:pPr>
    </w:p>
    <w:p w14:paraId="2DF8A0C7" w14:textId="77777777" w:rsidR="00CA7345" w:rsidRDefault="00CA7345" w:rsidP="008402AB">
      <w:pPr>
        <w:spacing w:after="0" w:line="240" w:lineRule="auto"/>
        <w:jc w:val="both"/>
        <w:rPr>
          <w:rFonts w:ascii="Verdana" w:eastAsia="Geomanist Light" w:hAnsi="Verdana" w:cs="Arial"/>
          <w:color w:val="000000" w:themeColor="text1"/>
          <w:lang w:val="es-MX"/>
        </w:rPr>
      </w:pPr>
    </w:p>
    <w:p w14:paraId="61CF2369" w14:textId="2989FE97" w:rsidR="008402AB" w:rsidRPr="004D5AF6" w:rsidRDefault="008402AB" w:rsidP="008402AB">
      <w:pPr>
        <w:spacing w:after="0" w:line="240" w:lineRule="auto"/>
        <w:jc w:val="both"/>
        <w:rPr>
          <w:rFonts w:ascii="Verdana" w:hAnsi="Verdana" w:cs="Arial"/>
          <w:color w:val="000000" w:themeColor="text1"/>
          <w:sz w:val="20"/>
          <w:szCs w:val="20"/>
          <w:lang w:val="es-ES_tradnl"/>
        </w:rPr>
      </w:pPr>
      <w:r w:rsidRPr="00593A5F">
        <w:rPr>
          <w:rFonts w:ascii="Verdana" w:eastAsia="Geomanist Light" w:hAnsi="Verdana" w:cs="Arial"/>
          <w:color w:val="000000" w:themeColor="text1"/>
          <w:lang w:val="es-MX"/>
        </w:rPr>
        <w:lastRenderedPageBreak/>
        <w:t>Bogotá D.C., </w:t>
      </w:r>
      <w:r w:rsidR="0091043C" w:rsidRPr="0091043C">
        <w:rPr>
          <w:rFonts w:ascii="Verdana" w:eastAsia="Geomanist Light" w:hAnsi="Verdana" w:cs="Arial"/>
          <w:color w:val="201F1E"/>
          <w:lang w:val="es-MX"/>
        </w:rPr>
        <w:t>28 de Abril de 2025</w:t>
      </w:r>
    </w:p>
    <w:p w14:paraId="628E5B85" w14:textId="77777777" w:rsidR="008402AB" w:rsidRDefault="008402AB" w:rsidP="008402AB">
      <w:pPr>
        <w:spacing w:after="0" w:line="240" w:lineRule="auto"/>
        <w:jc w:val="both"/>
        <w:rPr>
          <w:rFonts w:ascii="Verdana" w:eastAsia="Calibri" w:hAnsi="Verdana" w:cs="Arial"/>
          <w:color w:val="000000"/>
          <w:lang w:val="es-ES"/>
        </w:rPr>
      </w:pPr>
    </w:p>
    <w:p w14:paraId="0A59D822" w14:textId="31B5BBE7" w:rsidR="008402AB" w:rsidRDefault="0091043C" w:rsidP="0091043C">
      <w:pPr>
        <w:spacing w:after="0" w:line="240" w:lineRule="auto"/>
        <w:jc w:val="right"/>
        <w:rPr>
          <w:rFonts w:ascii="Verdana" w:eastAsia="Calibri" w:hAnsi="Verdana" w:cs="Arial"/>
          <w:color w:val="000000"/>
          <w:lang w:val="es-ES"/>
        </w:rPr>
      </w:pPr>
      <w:r w:rsidRPr="0091043C">
        <w:rPr>
          <w:rFonts w:ascii="Verdana" w:eastAsia="Calibri" w:hAnsi="Verdana" w:cs="Arial"/>
          <w:noProof/>
          <w:color w:val="000000"/>
          <w:lang w:val="es-ES"/>
        </w:rPr>
        <w:drawing>
          <wp:inline distT="0" distB="0" distL="0" distR="0" wp14:anchorId="23F66AF4" wp14:editId="3F71EAE8">
            <wp:extent cx="2400300" cy="622300"/>
            <wp:effectExtent l="0" t="0" r="0" b="0"/>
            <wp:docPr id="54442698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426989" name=""/>
                    <pic:cNvPicPr/>
                  </pic:nvPicPr>
                  <pic:blipFill>
                    <a:blip r:embed="rId10"/>
                    <a:stretch>
                      <a:fillRect/>
                    </a:stretch>
                  </pic:blipFill>
                  <pic:spPr>
                    <a:xfrm>
                      <a:off x="0" y="0"/>
                      <a:ext cx="2400300" cy="622300"/>
                    </a:xfrm>
                    <a:prstGeom prst="rect">
                      <a:avLst/>
                    </a:prstGeom>
                  </pic:spPr>
                </pic:pic>
              </a:graphicData>
            </a:graphic>
          </wp:inline>
        </w:drawing>
      </w:r>
    </w:p>
    <w:p w14:paraId="23BAFA11" w14:textId="77777777" w:rsidR="0091043C" w:rsidRPr="00593A5F" w:rsidRDefault="0091043C" w:rsidP="008402AB">
      <w:pPr>
        <w:spacing w:after="0" w:line="240" w:lineRule="auto"/>
        <w:jc w:val="both"/>
        <w:rPr>
          <w:rFonts w:ascii="Verdana" w:eastAsia="Calibri" w:hAnsi="Verdana" w:cs="Arial"/>
          <w:color w:val="000000"/>
          <w:lang w:val="es-ES"/>
        </w:rPr>
      </w:pPr>
    </w:p>
    <w:p w14:paraId="33C54986" w14:textId="77777777" w:rsidR="008402AB" w:rsidRPr="00B96799" w:rsidRDefault="008402AB" w:rsidP="008402AB">
      <w:pPr>
        <w:spacing w:after="0" w:line="240" w:lineRule="auto"/>
        <w:jc w:val="both"/>
        <w:rPr>
          <w:rFonts w:ascii="Verdana" w:eastAsia="Calibri" w:hAnsi="Verdana" w:cs="Arial"/>
          <w:lang w:val="es-ES" w:eastAsia="es-ES"/>
        </w:rPr>
      </w:pPr>
      <w:r>
        <w:rPr>
          <w:rFonts w:ascii="Verdana" w:eastAsia="Calibri" w:hAnsi="Verdana" w:cs="Arial"/>
          <w:lang w:val="es-ES" w:eastAsia="es-ES"/>
        </w:rPr>
        <w:t>Señor</w:t>
      </w:r>
    </w:p>
    <w:p w14:paraId="32A263DC" w14:textId="77777777" w:rsidR="008402AB" w:rsidRPr="008723CE" w:rsidRDefault="008402AB" w:rsidP="008402AB">
      <w:pPr>
        <w:spacing w:after="0" w:line="240" w:lineRule="auto"/>
        <w:rPr>
          <w:rFonts w:ascii="Verdana" w:eastAsia="Calibri" w:hAnsi="Verdana" w:cs="Arial"/>
          <w:b/>
          <w:lang w:eastAsia="es-ES_tradnl"/>
        </w:rPr>
      </w:pPr>
      <w:r w:rsidRPr="00407804">
        <w:rPr>
          <w:rFonts w:ascii="Verdana" w:eastAsia="Calibri" w:hAnsi="Verdana" w:cs="Arial"/>
          <w:b/>
          <w:lang w:eastAsia="es-ES_tradnl"/>
        </w:rPr>
        <w:t xml:space="preserve">Javier </w:t>
      </w:r>
      <w:r>
        <w:rPr>
          <w:rFonts w:ascii="Verdana" w:eastAsia="Calibri" w:hAnsi="Verdana" w:cs="Arial"/>
          <w:b/>
          <w:lang w:eastAsia="es-ES_tradnl"/>
        </w:rPr>
        <w:t xml:space="preserve">Andrés </w:t>
      </w:r>
      <w:r w:rsidRPr="00407804">
        <w:rPr>
          <w:rFonts w:ascii="Verdana" w:eastAsia="Calibri" w:hAnsi="Verdana" w:cs="Arial"/>
          <w:b/>
          <w:lang w:eastAsia="es-ES_tradnl"/>
        </w:rPr>
        <w:t>Orozco Montaño</w:t>
      </w:r>
      <w:r w:rsidRPr="008723CE">
        <w:rPr>
          <w:rFonts w:ascii="Verdana" w:eastAsia="Calibri" w:hAnsi="Verdana" w:cs="Arial"/>
          <w:b/>
          <w:lang w:eastAsia="es-ES_tradnl"/>
        </w:rPr>
        <w:t xml:space="preserve"> </w:t>
      </w:r>
    </w:p>
    <w:p w14:paraId="1ADDC205" w14:textId="77777777" w:rsidR="008402AB" w:rsidRPr="00407804" w:rsidRDefault="008402AB" w:rsidP="008402AB">
      <w:pPr>
        <w:spacing w:after="0" w:line="240" w:lineRule="auto"/>
        <w:rPr>
          <w:rFonts w:ascii="Verdana" w:eastAsia="Calibri" w:hAnsi="Verdana" w:cs="Arial"/>
          <w:lang w:eastAsia="es-ES"/>
        </w:rPr>
      </w:pPr>
      <w:hyperlink r:id="rId11" w:history="1">
        <w:r w:rsidRPr="003C3ED5">
          <w:rPr>
            <w:rStyle w:val="Hipervnculo"/>
            <w:rFonts w:ascii="Verdana" w:hAnsi="Verdana"/>
          </w:rPr>
          <w:t>contactenos@cardique.gov.co</w:t>
        </w:r>
      </w:hyperlink>
      <w:r>
        <w:rPr>
          <w:rFonts w:ascii="Verdana" w:hAnsi="Verdana"/>
        </w:rPr>
        <w:t xml:space="preserve"> </w:t>
      </w:r>
      <w:r w:rsidRPr="00407804">
        <w:rPr>
          <w:rFonts w:ascii="Verdana" w:hAnsi="Verdana"/>
        </w:rPr>
        <w:t xml:space="preserve">        </w:t>
      </w:r>
      <w:r w:rsidRPr="00407804">
        <w:rPr>
          <w:rFonts w:ascii="Verdana" w:eastAsia="Calibri" w:hAnsi="Verdana" w:cs="Arial"/>
          <w:lang w:eastAsia="es-ES"/>
        </w:rPr>
        <w:t xml:space="preserve">    </w:t>
      </w:r>
    </w:p>
    <w:p w14:paraId="4868FE27" w14:textId="77777777" w:rsidR="008402AB" w:rsidRDefault="008402AB" w:rsidP="008402AB">
      <w:pPr>
        <w:spacing w:after="0" w:line="240" w:lineRule="auto"/>
        <w:rPr>
          <w:rFonts w:ascii="Verdana" w:eastAsia="Calibri" w:hAnsi="Verdana" w:cs="Arial"/>
          <w:lang w:val="es-ES" w:eastAsia="es-ES"/>
        </w:rPr>
      </w:pPr>
      <w:r w:rsidRPr="00407804">
        <w:rPr>
          <w:rFonts w:ascii="Verdana" w:eastAsia="Calibri" w:hAnsi="Verdana" w:cs="Arial"/>
          <w:lang w:val="es-ES" w:eastAsia="es-ES"/>
        </w:rPr>
        <w:t>Cartagena de Indias</w:t>
      </w:r>
      <w:r>
        <w:rPr>
          <w:rFonts w:ascii="Verdana" w:eastAsia="Calibri" w:hAnsi="Verdana" w:cs="Arial"/>
          <w:lang w:val="es-ES" w:eastAsia="es-ES"/>
        </w:rPr>
        <w:t xml:space="preserve">, Bolívar </w:t>
      </w:r>
    </w:p>
    <w:p w14:paraId="7EEAEAD1" w14:textId="77777777" w:rsidR="008402AB" w:rsidRPr="00593A5F" w:rsidRDefault="008402AB" w:rsidP="008402AB">
      <w:pPr>
        <w:spacing w:after="0" w:line="240" w:lineRule="auto"/>
        <w:rPr>
          <w:rFonts w:ascii="Verdana" w:eastAsia="Calibri" w:hAnsi="Verdana" w:cs="Arial"/>
          <w:b/>
          <w:bCs/>
          <w:color w:val="000000"/>
          <w:lang w:val="es-ES_tradnl" w:eastAsia="es-ES_tradnl"/>
        </w:rPr>
      </w:pPr>
    </w:p>
    <w:p w14:paraId="153F4D2A" w14:textId="77777777" w:rsidR="008402AB" w:rsidRPr="00593A5F" w:rsidRDefault="008402AB" w:rsidP="008402AB">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8402AB" w:rsidRPr="00593A5F" w14:paraId="6A9D8563" w14:textId="77777777" w:rsidTr="0015053F">
        <w:trPr>
          <w:trHeight w:val="884"/>
        </w:trPr>
        <w:tc>
          <w:tcPr>
            <w:tcW w:w="2689" w:type="dxa"/>
          </w:tcPr>
          <w:p w14:paraId="387FF3B0" w14:textId="77777777" w:rsidR="008402AB" w:rsidRPr="00C00976" w:rsidRDefault="008402AB" w:rsidP="0015053F">
            <w:pPr>
              <w:jc w:val="both"/>
              <w:rPr>
                <w:rFonts w:ascii="Verdana" w:eastAsia="Calibri" w:hAnsi="Verdana" w:cs="Arial"/>
                <w:b/>
                <w:bCs/>
                <w:color w:val="7030A0"/>
                <w:lang w:val="es-ES_tradnl" w:eastAsia="es-ES_tradnl"/>
              </w:rPr>
            </w:pPr>
          </w:p>
        </w:tc>
        <w:tc>
          <w:tcPr>
            <w:tcW w:w="6100" w:type="dxa"/>
          </w:tcPr>
          <w:p w14:paraId="1FB47FF4" w14:textId="77777777" w:rsidR="008402AB" w:rsidRPr="00C00976" w:rsidRDefault="008402AB" w:rsidP="0015053F">
            <w:pPr>
              <w:jc w:val="both"/>
              <w:rPr>
                <w:rFonts w:ascii="Verdana" w:eastAsia="Calibri" w:hAnsi="Verdana" w:cs="Arial"/>
                <w:b/>
                <w:bCs/>
                <w:color w:val="7030A0"/>
                <w:lang w:val="es-ES" w:eastAsia="es-ES"/>
              </w:rPr>
            </w:pPr>
            <w:r w:rsidRPr="008E6AD9">
              <w:rPr>
                <w:rFonts w:ascii="Verdana" w:eastAsia="Calibri" w:hAnsi="Verdana" w:cs="Arial"/>
                <w:b/>
                <w:bCs/>
                <w:lang w:val="es-ES" w:eastAsia="es-ES"/>
              </w:rPr>
              <w:t xml:space="preserve">Concepto C – </w:t>
            </w:r>
            <w:r>
              <w:rPr>
                <w:rFonts w:ascii="Verdana" w:eastAsia="Calibri" w:hAnsi="Verdana" w:cs="Arial"/>
                <w:b/>
                <w:bCs/>
                <w:lang w:val="es-ES" w:eastAsia="es-ES"/>
              </w:rPr>
              <w:t>315</w:t>
            </w:r>
            <w:r w:rsidRPr="008E6AD9">
              <w:rPr>
                <w:rFonts w:ascii="Verdana" w:eastAsia="Calibri" w:hAnsi="Verdana" w:cs="Arial"/>
                <w:b/>
                <w:bCs/>
                <w:lang w:val="es-ES" w:eastAsia="es-ES"/>
              </w:rPr>
              <w:t xml:space="preserve"> de 202</w:t>
            </w:r>
            <w:r>
              <w:rPr>
                <w:rFonts w:ascii="Verdana" w:eastAsia="Calibri" w:hAnsi="Verdana" w:cs="Arial"/>
                <w:b/>
                <w:bCs/>
                <w:lang w:val="es-ES" w:eastAsia="es-ES"/>
              </w:rPr>
              <w:t>5</w:t>
            </w:r>
          </w:p>
        </w:tc>
      </w:tr>
      <w:tr w:rsidR="008402AB" w:rsidRPr="00593A5F" w14:paraId="37E67144" w14:textId="77777777" w:rsidTr="0015053F">
        <w:trPr>
          <w:trHeight w:val="884"/>
        </w:trPr>
        <w:tc>
          <w:tcPr>
            <w:tcW w:w="2689" w:type="dxa"/>
          </w:tcPr>
          <w:p w14:paraId="38130753" w14:textId="77777777" w:rsidR="008402AB" w:rsidRPr="00593A5F" w:rsidRDefault="008402AB" w:rsidP="0015053F">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4D0CC542" w14:textId="77777777" w:rsidR="008402AB" w:rsidRPr="00A11406" w:rsidRDefault="008402AB" w:rsidP="0015053F">
            <w:pPr>
              <w:spacing w:line="276" w:lineRule="auto"/>
              <w:jc w:val="both"/>
              <w:rPr>
                <w:rFonts w:ascii="Verdana" w:eastAsia="Calibri" w:hAnsi="Verdana" w:cs="Arial"/>
                <w:lang w:val="es-ES" w:eastAsia="es-ES"/>
              </w:rPr>
            </w:pPr>
            <w:r w:rsidRPr="00982F47">
              <w:rPr>
                <w:rFonts w:ascii="Verdana" w:eastAsia="Calibri" w:hAnsi="Verdana" w:cs="Arial"/>
                <w:lang w:val="es-ES" w:eastAsia="es-ES"/>
              </w:rPr>
              <w:t>EGCAP – Ámbito de aplicación – Entidades estatales</w:t>
            </w:r>
            <w:r>
              <w:rPr>
                <w:rFonts w:ascii="Verdana" w:eastAsia="Calibri" w:hAnsi="Verdana" w:cs="Arial"/>
                <w:lang w:val="es-ES" w:eastAsia="es-ES"/>
              </w:rPr>
              <w:t xml:space="preserve"> / </w:t>
            </w:r>
            <w:r w:rsidRPr="00982F47">
              <w:rPr>
                <w:rFonts w:ascii="Verdana" w:eastAsia="Calibri" w:hAnsi="Verdana" w:cs="Arial"/>
                <w:lang w:val="es-ES" w:eastAsia="es-ES"/>
              </w:rPr>
              <w:t>CORPORACIONES AUTÓNOMAS REGIONALES – Naturaleza jurídica – Régimen contractual</w:t>
            </w:r>
            <w:r>
              <w:rPr>
                <w:rFonts w:ascii="Verdana" w:eastAsia="Calibri" w:hAnsi="Verdana" w:cs="Arial"/>
                <w:lang w:val="es-ES" w:eastAsia="es-ES"/>
              </w:rPr>
              <w:t xml:space="preserve"> / </w:t>
            </w:r>
            <w:r w:rsidRPr="00982F47">
              <w:rPr>
                <w:rFonts w:ascii="Verdana" w:eastAsia="Calibri" w:hAnsi="Verdana" w:cs="Arial"/>
                <w:lang w:val="es-ES" w:eastAsia="es-ES"/>
              </w:rPr>
              <w:t xml:space="preserve">CONTRATACIÓN DIRECTA – Consejos comunitarios de las comunidades negras – Alcance    </w:t>
            </w:r>
            <w:r w:rsidRPr="0003690B">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p>
          <w:p w14:paraId="7DF8411A" w14:textId="77777777" w:rsidR="008402AB" w:rsidRPr="00593A5F" w:rsidRDefault="008402AB" w:rsidP="0015053F">
            <w:pPr>
              <w:spacing w:line="276" w:lineRule="auto"/>
              <w:jc w:val="both"/>
              <w:rPr>
                <w:rFonts w:ascii="Verdana" w:eastAsia="Calibri" w:hAnsi="Verdana" w:cs="Arial"/>
                <w:lang w:val="es-ES" w:eastAsia="es-ES"/>
              </w:rPr>
            </w:pPr>
            <w:r w:rsidRPr="00A11406">
              <w:rPr>
                <w:rFonts w:ascii="Verdana" w:eastAsia="Calibri" w:hAnsi="Verdana" w:cs="Arial"/>
                <w:lang w:val="es-ES" w:eastAsia="es-ES"/>
              </w:rPr>
              <w:t xml:space="preserve"> </w:t>
            </w:r>
            <w:r w:rsidRPr="00D1484F">
              <w:rPr>
                <w:rFonts w:ascii="Verdana" w:eastAsia="Calibri" w:hAnsi="Verdana" w:cs="Arial"/>
                <w:lang w:val="es-ES" w:eastAsia="es-ES"/>
              </w:rPr>
              <w:t xml:space="preserve"> </w:t>
            </w:r>
          </w:p>
        </w:tc>
      </w:tr>
      <w:tr w:rsidR="008402AB" w:rsidRPr="008E6AD9" w14:paraId="6BAF33B0" w14:textId="77777777" w:rsidTr="0015053F">
        <w:tc>
          <w:tcPr>
            <w:tcW w:w="2689" w:type="dxa"/>
          </w:tcPr>
          <w:p w14:paraId="1E940A0F" w14:textId="77777777" w:rsidR="008402AB" w:rsidRPr="008E6AD9" w:rsidRDefault="008402AB" w:rsidP="0015053F">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30529873" w14:textId="77777777" w:rsidR="008402AB" w:rsidRPr="008E6AD9" w:rsidRDefault="008402AB" w:rsidP="0015053F">
            <w:pPr>
              <w:spacing w:line="276" w:lineRule="auto"/>
              <w:jc w:val="both"/>
              <w:rPr>
                <w:rFonts w:ascii="Verdana" w:eastAsia="Calibri" w:hAnsi="Verdana" w:cs="Arial"/>
                <w:lang w:eastAsia="es-ES_tradnl"/>
              </w:rPr>
            </w:pPr>
            <w:r w:rsidRPr="008E6AD9">
              <w:rPr>
                <w:rFonts w:ascii="Verdana" w:eastAsia="Calibri" w:hAnsi="Verdana" w:cs="Arial"/>
                <w:lang w:val="es-ES_tradnl" w:eastAsia="es-ES_tradnl"/>
              </w:rPr>
              <w:t xml:space="preserve">Respuesta a </w:t>
            </w:r>
            <w:r>
              <w:rPr>
                <w:rFonts w:ascii="Verdana" w:eastAsia="Calibri" w:hAnsi="Verdana" w:cs="Arial"/>
                <w:lang w:val="es-ES_tradnl" w:eastAsia="es-ES_tradnl"/>
              </w:rPr>
              <w:t xml:space="preserve">la </w:t>
            </w:r>
            <w:r w:rsidRPr="008E6AD9">
              <w:rPr>
                <w:rFonts w:ascii="Verdana" w:eastAsia="Calibri" w:hAnsi="Verdana" w:cs="Arial"/>
                <w:lang w:val="es-ES_tradnl" w:eastAsia="es-ES_tradnl"/>
              </w:rPr>
              <w:t>consulta con radicado No.</w:t>
            </w:r>
            <w:r>
              <w:rPr>
                <w:rFonts w:ascii="Verdana" w:eastAsia="Calibri" w:hAnsi="Verdana" w:cs="Arial"/>
                <w:lang w:val="es-ES_tradnl" w:eastAsia="es-ES_tradnl"/>
              </w:rPr>
              <w:t xml:space="preserve"> </w:t>
            </w:r>
            <w:r w:rsidRPr="00A54CAA">
              <w:rPr>
                <w:rFonts w:ascii="Verdana" w:eastAsia="Calibri" w:hAnsi="Verdana" w:cs="Arial"/>
                <w:lang w:val="es-ES_tradnl" w:eastAsia="es-ES_tradnl"/>
              </w:rPr>
              <w:t>P20250314002533</w:t>
            </w:r>
            <w:r w:rsidRPr="0085423D">
              <w:rPr>
                <w:rFonts w:ascii="Verdana" w:eastAsia="Calibri" w:hAnsi="Verdana" w:cs="Arial"/>
                <w:lang w:val="es-ES_tradnl" w:eastAsia="es-ES_tradnl"/>
              </w:rPr>
              <w:t xml:space="preserve"> </w:t>
            </w:r>
            <w:r w:rsidRPr="008E6AD9">
              <w:rPr>
                <w:rFonts w:ascii="Verdana" w:eastAsia="Calibri" w:hAnsi="Verdana" w:cs="Arial"/>
                <w:lang w:val="es-ES_tradnl" w:eastAsia="es-ES_tradnl"/>
              </w:rPr>
              <w:t xml:space="preserve"> </w:t>
            </w:r>
            <w:r>
              <w:rPr>
                <w:rFonts w:ascii="Verdana" w:eastAsia="Calibri" w:hAnsi="Verdana" w:cs="Arial"/>
                <w:lang w:val="es-ES_tradnl" w:eastAsia="es-ES_tradnl"/>
              </w:rPr>
              <w:t xml:space="preserve">                                   </w:t>
            </w:r>
          </w:p>
        </w:tc>
      </w:tr>
    </w:tbl>
    <w:p w14:paraId="3B5EE4D1" w14:textId="77777777" w:rsidR="008402AB" w:rsidRPr="00593A5F" w:rsidRDefault="008402AB" w:rsidP="008402AB">
      <w:pPr>
        <w:spacing w:after="0" w:line="240" w:lineRule="auto"/>
        <w:jc w:val="both"/>
        <w:rPr>
          <w:rFonts w:ascii="Verdana" w:eastAsia="Calibri" w:hAnsi="Verdana" w:cs="Arial"/>
          <w:color w:val="000000"/>
          <w:lang w:val="es-ES_tradnl" w:eastAsia="es-ES_tradnl"/>
        </w:rPr>
      </w:pPr>
    </w:p>
    <w:p w14:paraId="427D05C2" w14:textId="77777777" w:rsidR="008402AB" w:rsidRPr="00593A5F" w:rsidRDefault="008402AB" w:rsidP="008402AB">
      <w:pPr>
        <w:spacing w:after="0" w:line="240" w:lineRule="auto"/>
        <w:jc w:val="both"/>
        <w:rPr>
          <w:rFonts w:ascii="Verdana" w:eastAsia="Calibri" w:hAnsi="Verdana" w:cs="Arial"/>
          <w:color w:val="000000"/>
          <w:lang w:val="es-ES_tradnl" w:eastAsia="es-ES_tradnl"/>
        </w:rPr>
      </w:pPr>
    </w:p>
    <w:p w14:paraId="5152C987" w14:textId="77777777" w:rsidR="008402AB" w:rsidRPr="008E6AD9" w:rsidRDefault="008402AB" w:rsidP="008402AB">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o</w:t>
      </w:r>
      <w:r w:rsidRPr="008E6AD9">
        <w:rPr>
          <w:rFonts w:ascii="Verdana" w:eastAsia="Calibri" w:hAnsi="Verdana" w:cs="Arial"/>
          <w:lang w:val="es-ES" w:eastAsia="es-ES"/>
        </w:rPr>
        <w:t xml:space="preserve"> </w:t>
      </w:r>
      <w:r>
        <w:rPr>
          <w:rFonts w:ascii="Verdana" w:eastAsia="Calibri" w:hAnsi="Verdana" w:cs="Arial"/>
          <w:lang w:val="es-ES" w:eastAsia="es-ES"/>
        </w:rPr>
        <w:t xml:space="preserve">señor </w:t>
      </w:r>
      <w:r w:rsidRPr="00407804">
        <w:rPr>
          <w:rFonts w:ascii="Verdana" w:eastAsia="Calibri" w:hAnsi="Verdana" w:cs="Arial"/>
          <w:lang w:val="es-ES" w:eastAsia="es-ES"/>
        </w:rPr>
        <w:t>Orozco Montaño</w:t>
      </w:r>
      <w:r w:rsidRPr="008E6AD9">
        <w:rPr>
          <w:rFonts w:ascii="Verdana" w:eastAsia="Calibri" w:hAnsi="Verdana" w:cs="Arial"/>
          <w:lang w:val="es-ES" w:eastAsia="es-ES"/>
        </w:rPr>
        <w:t xml:space="preserve">: </w:t>
      </w:r>
    </w:p>
    <w:p w14:paraId="700A2904" w14:textId="77777777" w:rsidR="008402AB" w:rsidRDefault="008402AB" w:rsidP="008402AB">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50D46AA6" w14:textId="77777777" w:rsidR="008402AB" w:rsidRPr="00593A5F" w:rsidRDefault="008402AB" w:rsidP="008402AB">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C82DF7">
        <w:rPr>
          <w:rFonts w:ascii="Verdana" w:eastAsia="Calibri" w:hAnsi="Verdana" w:cs="Arial"/>
          <w:color w:val="000000" w:themeColor="text1"/>
          <w:lang w:val="es-ES" w:eastAsia="es-ES"/>
        </w:rPr>
        <w:t xml:space="preserve">la Agencia Nacional de Contratación Pública – Colombia Compra Eficiente responde su solicitud de consulta de fecha </w:t>
      </w:r>
      <w:r>
        <w:rPr>
          <w:rFonts w:ascii="Verdana" w:eastAsia="Calibri" w:hAnsi="Verdana" w:cs="Arial"/>
          <w:color w:val="000000" w:themeColor="text1"/>
          <w:lang w:val="es-ES" w:eastAsia="es-ES"/>
        </w:rPr>
        <w:t>14</w:t>
      </w:r>
      <w:r w:rsidRPr="00C82DF7">
        <w:rPr>
          <w:rFonts w:ascii="Verdana" w:eastAsia="Calibri" w:hAnsi="Verdana" w:cs="Arial"/>
          <w:color w:val="000000" w:themeColor="text1"/>
          <w:lang w:val="es-ES" w:eastAsia="es-ES"/>
        </w:rPr>
        <w:t xml:space="preserve"> de marzo de 2025, en la cual </w:t>
      </w:r>
      <w:r>
        <w:rPr>
          <w:rFonts w:ascii="Verdana" w:eastAsia="Calibri" w:hAnsi="Verdana" w:cs="Arial"/>
          <w:color w:val="000000" w:themeColor="text1"/>
          <w:lang w:val="es-ES" w:eastAsia="es-ES"/>
        </w:rPr>
        <w:t>pregunta</w:t>
      </w:r>
      <w:r w:rsidRPr="00C82DF7">
        <w:rPr>
          <w:rFonts w:ascii="Verdana" w:eastAsia="Calibri" w:hAnsi="Verdana" w:cs="Arial"/>
          <w:color w:val="000000" w:themeColor="text1"/>
          <w:lang w:val="es-ES" w:eastAsia="es-ES"/>
        </w:rPr>
        <w:t xml:space="preserve"> lo siguiente</w:t>
      </w:r>
      <w:r w:rsidRPr="008E6AD9">
        <w:rPr>
          <w:rFonts w:ascii="Verdana" w:eastAsia="Calibri" w:hAnsi="Verdana" w:cs="Arial"/>
          <w:lang w:val="es-ES" w:eastAsia="es-ES"/>
        </w:rPr>
        <w:t xml:space="preserve">: </w:t>
      </w:r>
    </w:p>
    <w:p w14:paraId="000C473D" w14:textId="77777777" w:rsidR="008402AB" w:rsidRPr="00272A7B" w:rsidRDefault="008402AB" w:rsidP="008402AB">
      <w:pPr>
        <w:pStyle w:val="Prrafodelista"/>
        <w:tabs>
          <w:tab w:val="left" w:pos="142"/>
          <w:tab w:val="left" w:pos="284"/>
        </w:tabs>
        <w:spacing w:after="0" w:line="276" w:lineRule="auto"/>
        <w:ind w:left="0"/>
        <w:jc w:val="both"/>
        <w:rPr>
          <w:rFonts w:ascii="Verdana" w:eastAsia="Century Gothic" w:hAnsi="Verdana" w:cs="Century Gothic"/>
          <w:b/>
          <w:bCs/>
        </w:rPr>
      </w:pPr>
    </w:p>
    <w:p w14:paraId="721595F8" w14:textId="77777777" w:rsidR="008402AB" w:rsidRPr="006245B7" w:rsidRDefault="008402AB" w:rsidP="008402AB">
      <w:pPr>
        <w:spacing w:after="0" w:line="240" w:lineRule="auto"/>
        <w:ind w:left="709" w:right="709"/>
        <w:jc w:val="both"/>
        <w:rPr>
          <w:rFonts w:ascii="Verdana" w:eastAsia="Century Gothic" w:hAnsi="Verdana" w:cs="Century Gothic"/>
          <w:sz w:val="20"/>
          <w:szCs w:val="20"/>
          <w:lang w:val="es-ES"/>
        </w:rPr>
      </w:pPr>
      <w:bookmarkStart w:id="0" w:name="_Hlk95313578"/>
      <w:r w:rsidRPr="006245B7">
        <w:rPr>
          <w:rFonts w:ascii="Verdana" w:eastAsia="Century Gothic" w:hAnsi="Verdana" w:cs="Century Gothic"/>
          <w:sz w:val="20"/>
          <w:szCs w:val="20"/>
          <w:lang w:val="es-ES"/>
        </w:rPr>
        <w:t>“</w:t>
      </w:r>
      <w:bookmarkEnd w:id="0"/>
      <w:r w:rsidRPr="006245B7">
        <w:rPr>
          <w:rFonts w:ascii="Verdana" w:eastAsia="Century Gothic" w:hAnsi="Verdana" w:cs="Century Gothic"/>
          <w:sz w:val="20"/>
          <w:szCs w:val="20"/>
          <w:lang w:val="es-ES"/>
        </w:rPr>
        <w:t>¿Las Corporaciones Autónomas Regionales tienen la facultad completa y jurídica de contratar usando el mecanismo contractual de CONTRATACIÓN DIRECTA, las obras civiles con los consejos comunitarios, con sustento en la Ley 2160 de 2021 y demás normas de contratación ordinarias y reales?”.</w:t>
      </w:r>
      <w:r w:rsidRPr="00D9023D">
        <w:rPr>
          <w:rFonts w:ascii="Verdana" w:eastAsia="Century Gothic" w:hAnsi="Verdana" w:cs="Century Gothic"/>
          <w:sz w:val="20"/>
          <w:szCs w:val="20"/>
          <w:lang w:val="es-ES"/>
        </w:rPr>
        <w:t xml:space="preserve"> </w:t>
      </w:r>
    </w:p>
    <w:p w14:paraId="41274EBF" w14:textId="77777777" w:rsidR="008402AB" w:rsidRPr="008E6AD9" w:rsidRDefault="008402AB" w:rsidP="008402AB">
      <w:pPr>
        <w:pStyle w:val="Prrafodelista"/>
        <w:tabs>
          <w:tab w:val="left" w:pos="142"/>
          <w:tab w:val="left" w:pos="284"/>
        </w:tabs>
        <w:spacing w:after="0" w:line="276" w:lineRule="auto"/>
        <w:ind w:left="0"/>
        <w:jc w:val="both"/>
        <w:rPr>
          <w:rFonts w:ascii="Verdana" w:eastAsia="Century Gothic" w:hAnsi="Verdana" w:cs="Century Gothic"/>
          <w:b/>
          <w:bCs/>
        </w:rPr>
      </w:pPr>
    </w:p>
    <w:p w14:paraId="1C04BC0C" w14:textId="77777777" w:rsidR="008402AB" w:rsidRPr="00A652FF" w:rsidRDefault="008402AB" w:rsidP="008402AB">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lastRenderedPageBreak/>
        <w:t>De manera preliminar</w:t>
      </w:r>
      <w:r w:rsidRPr="00593A5F">
        <w:rPr>
          <w:rFonts w:ascii="Verdana" w:eastAsia="Calibri" w:hAnsi="Verdana" w:cs="Arial"/>
          <w:color w:val="000000"/>
          <w:lang w:val="es-ES" w:eastAsia="es-ES"/>
        </w:rPr>
        <w:t>, resulta necesario acotar que esta entidad s</w:t>
      </w:r>
      <w:r>
        <w:rPr>
          <w:rFonts w:ascii="Verdana" w:eastAsia="Calibri" w:hAnsi="Verdana" w:cs="Arial"/>
          <w:color w:val="000000"/>
          <w:lang w:val="es-ES" w:eastAsia="es-ES"/>
        </w:rPr>
        <w:t>ó</w:t>
      </w:r>
      <w:r w:rsidRPr="00593A5F">
        <w:rPr>
          <w:rFonts w:ascii="Verdana" w:eastAsia="Calibri" w:hAnsi="Verdana" w:cs="Arial"/>
          <w:color w:val="000000"/>
          <w:lang w:val="es-ES" w:eastAsia="es-ES"/>
        </w:rPr>
        <w:t xml:space="preserve">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w:t>
      </w:r>
      <w:r>
        <w:rPr>
          <w:rFonts w:ascii="Verdana" w:eastAsia="Calibri" w:hAnsi="Verdana" w:cs="Arial"/>
          <w:color w:val="000000"/>
          <w:lang w:val="es-ES" w:eastAsia="es-ES"/>
        </w:rPr>
        <w:t>concretos</w:t>
      </w:r>
      <w:r w:rsidRPr="00593A5F">
        <w:rPr>
          <w:rFonts w:ascii="Verdana" w:eastAsia="Calibri" w:hAnsi="Verdana" w:cs="Arial"/>
          <w:color w:val="000000"/>
          <w:lang w:val="es-ES" w:eastAsia="es-ES"/>
        </w:rPr>
        <w:t xml:space="preserve">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7CAED6D9" w14:textId="77777777" w:rsidR="008402AB" w:rsidRDefault="008402AB" w:rsidP="008402AB">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w:t>
      </w:r>
      <w:r>
        <w:rPr>
          <w:rFonts w:ascii="Verdana" w:eastAsia="Calibri" w:hAnsi="Verdana" w:cs="Arial"/>
          <w:color w:val="000000"/>
          <w:lang w:val="es-ES" w:eastAsia="es-ES"/>
        </w:rPr>
        <w:t>específicas que la hayan motivado</w:t>
      </w:r>
      <w:r w:rsidRPr="00593A5F">
        <w:rPr>
          <w:rFonts w:ascii="Verdana" w:eastAsia="Calibri" w:hAnsi="Verdana" w:cs="Arial"/>
          <w:color w:val="000000"/>
          <w:lang w:val="es-ES" w:eastAsia="es-ES"/>
        </w:rPr>
        <w:t xml:space="preserve">,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w:t>
      </w:r>
      <w:r>
        <w:rPr>
          <w:rFonts w:ascii="Verdana" w:eastAsia="Calibri" w:hAnsi="Verdana" w:cs="Arial"/>
          <w:color w:val="000000"/>
          <w:lang w:val="es-ES" w:eastAsia="es-ES"/>
        </w:rPr>
        <w:t xml:space="preserve"> </w:t>
      </w:r>
      <w:r w:rsidRPr="00593A5F">
        <w:rPr>
          <w:rFonts w:ascii="Verdana" w:eastAsia="Calibri" w:hAnsi="Verdana" w:cs="Arial"/>
          <w:color w:val="000000"/>
          <w:lang w:val="es-ES" w:eastAsia="es-ES"/>
        </w:rPr>
        <w:t xml:space="preserve"> </w:t>
      </w:r>
    </w:p>
    <w:p w14:paraId="5A752F67" w14:textId="77777777" w:rsidR="008402AB" w:rsidRPr="00593A5F" w:rsidRDefault="008402AB" w:rsidP="008402AB">
      <w:pPr>
        <w:spacing w:after="0" w:line="276" w:lineRule="auto"/>
        <w:ind w:firstLine="709"/>
        <w:jc w:val="both"/>
        <w:rPr>
          <w:rFonts w:ascii="Verdana" w:eastAsia="Calibri" w:hAnsi="Verdana" w:cs="Arial"/>
          <w:color w:val="000000"/>
          <w:lang w:val="es-ES" w:eastAsia="es-ES"/>
        </w:rPr>
      </w:pPr>
    </w:p>
    <w:p w14:paraId="5CA863E6" w14:textId="77777777" w:rsidR="008402AB" w:rsidRPr="00593A5F" w:rsidRDefault="008402AB" w:rsidP="008402AB">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430D5475" w14:textId="77777777" w:rsidR="008402AB" w:rsidRPr="00593A5F" w:rsidRDefault="008402AB" w:rsidP="008402AB">
      <w:pPr>
        <w:tabs>
          <w:tab w:val="left" w:pos="426"/>
        </w:tabs>
        <w:spacing w:after="0" w:line="276" w:lineRule="auto"/>
        <w:jc w:val="both"/>
        <w:rPr>
          <w:rFonts w:ascii="Verdana" w:eastAsia="Century Gothic" w:hAnsi="Verdana" w:cs="Century Gothic"/>
          <w:lang w:val="es-ES"/>
        </w:rPr>
      </w:pPr>
    </w:p>
    <w:p w14:paraId="716DE78A" w14:textId="152ECB28" w:rsidR="008402AB" w:rsidRPr="00B47324" w:rsidRDefault="008402AB" w:rsidP="008402AB">
      <w:pPr>
        <w:spacing w:after="0" w:line="276" w:lineRule="auto"/>
        <w:jc w:val="both"/>
        <w:rPr>
          <w:rFonts w:ascii="Verdana" w:eastAsia="Century Gothic" w:hAnsi="Verdana" w:cs="Century Gothic"/>
        </w:rPr>
      </w:pPr>
      <w:r>
        <w:rPr>
          <w:rFonts w:ascii="Verdana" w:eastAsia="Century Gothic" w:hAnsi="Verdana" w:cs="Century Gothic"/>
        </w:rPr>
        <w:t xml:space="preserve">De acuerdo con el contenido de </w:t>
      </w:r>
      <w:r w:rsidRPr="00B47324">
        <w:rPr>
          <w:rFonts w:ascii="Verdana" w:eastAsia="Century Gothic" w:hAnsi="Verdana" w:cs="Century Gothic"/>
        </w:rPr>
        <w:t xml:space="preserve">su solicitud, esta Agencia resolverá el siguiente problema jurídico: ¿cuál es el régimen contractual de las </w:t>
      </w:r>
      <w:r w:rsidRPr="00B47324">
        <w:rPr>
          <w:rFonts w:ascii="Verdana" w:eastAsia="Century Gothic" w:hAnsi="Verdana" w:cs="Century Gothic"/>
          <w:lang w:val="es-ES"/>
        </w:rPr>
        <w:t>corporaciones autónomas regionales para efectos de</w:t>
      </w:r>
      <w:r w:rsidR="0000289D">
        <w:rPr>
          <w:rFonts w:ascii="Verdana" w:eastAsia="Century Gothic" w:hAnsi="Verdana" w:cs="Century Gothic"/>
          <w:lang w:val="es-ES"/>
        </w:rPr>
        <w:t xml:space="preserve"> aplicar</w:t>
      </w:r>
      <w:r w:rsidRPr="00B47324">
        <w:rPr>
          <w:rFonts w:ascii="Verdana" w:eastAsia="Century Gothic" w:hAnsi="Verdana" w:cs="Century Gothic"/>
          <w:lang w:val="es-ES"/>
        </w:rPr>
        <w:t xml:space="preserve"> la causal de contratación directa del literal m) artículo 2.4 de la Ley 1150 de 2007, adicionada por el artículo por el artículo 2 de la Ley 2160 de 2021</w:t>
      </w:r>
      <w:r w:rsidRPr="00B47324">
        <w:rPr>
          <w:rFonts w:ascii="Verdana" w:eastAsia="Century Gothic" w:hAnsi="Verdana" w:cs="Century Gothic"/>
        </w:rPr>
        <w:t xml:space="preserve">?       </w:t>
      </w:r>
      <w:r w:rsidRPr="00B47324">
        <w:rPr>
          <w:rFonts w:ascii="Verdana" w:eastAsia="Century Gothic" w:hAnsi="Verdana" w:cs="Century Gothic"/>
          <w:color w:val="7030A0"/>
        </w:rPr>
        <w:t xml:space="preserve"> </w:t>
      </w:r>
    </w:p>
    <w:p w14:paraId="20588D93" w14:textId="77777777" w:rsidR="008402AB" w:rsidRPr="004B140F" w:rsidRDefault="008402AB" w:rsidP="008402AB">
      <w:pPr>
        <w:spacing w:after="0" w:line="276" w:lineRule="auto"/>
        <w:jc w:val="both"/>
        <w:rPr>
          <w:rFonts w:ascii="Verdana" w:eastAsia="Calibri" w:hAnsi="Verdana" w:cs="Arial"/>
          <w:color w:val="7030A0"/>
        </w:rPr>
      </w:pPr>
    </w:p>
    <w:p w14:paraId="003BFE39" w14:textId="77777777" w:rsidR="008402AB" w:rsidRPr="00593A5F" w:rsidRDefault="008402AB" w:rsidP="008402A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18947E91" w14:textId="77777777" w:rsidR="008402AB" w:rsidRPr="00593A5F" w:rsidRDefault="008402AB" w:rsidP="008402AB">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402AB" w:rsidRPr="00593A5F" w14:paraId="1952516B" w14:textId="77777777" w:rsidTr="0015053F">
        <w:trPr>
          <w:jc w:val="center"/>
        </w:trPr>
        <w:tc>
          <w:tcPr>
            <w:tcW w:w="8828" w:type="dxa"/>
            <w:shd w:val="clear" w:color="auto" w:fill="auto"/>
          </w:tcPr>
          <w:p w14:paraId="13C83A73" w14:textId="27E95DE6" w:rsidR="008402AB" w:rsidRDefault="008402AB" w:rsidP="0015053F">
            <w:pPr>
              <w:widowControl w:val="0"/>
              <w:autoSpaceDE w:val="0"/>
              <w:autoSpaceDN w:val="0"/>
              <w:spacing w:after="120" w:line="276" w:lineRule="auto"/>
              <w:jc w:val="both"/>
              <w:rPr>
                <w:rFonts w:ascii="Verdana" w:eastAsia="Century Gothic" w:hAnsi="Verdana" w:cs="Century Gothic"/>
                <w:lang w:val="es-ES"/>
              </w:rPr>
            </w:pPr>
            <w:bookmarkStart w:id="1" w:name="_Hlk171694685"/>
            <w:r>
              <w:rPr>
                <w:rFonts w:ascii="Verdana" w:eastAsia="Times New Roman" w:hAnsi="Verdana" w:cs="Arial"/>
                <w:color w:val="000000"/>
                <w:lang w:val="es-ES_tradnl" w:eastAsia="es-ES_tradnl"/>
              </w:rPr>
              <w:t xml:space="preserve">Conforme a la interpretación de las normas generales del sistema de compras públicas, las </w:t>
            </w:r>
            <w:r w:rsidRPr="00B47324">
              <w:rPr>
                <w:rFonts w:ascii="Verdana" w:eastAsia="Century Gothic" w:hAnsi="Verdana" w:cs="Century Gothic"/>
                <w:lang w:val="es-ES"/>
              </w:rPr>
              <w:t>corporaciones autónomas regionales</w:t>
            </w:r>
            <w:r>
              <w:rPr>
                <w:rFonts w:ascii="Verdana" w:hAnsi="Verdana" w:cs="Arial"/>
                <w:bCs/>
                <w:lang w:val="es-MX"/>
              </w:rPr>
              <w:t xml:space="preserve"> </w:t>
            </w:r>
            <w:r>
              <w:rPr>
                <w:rFonts w:ascii="Verdana" w:eastAsia="Century Gothic" w:hAnsi="Verdana" w:cs="Century Gothic"/>
                <w:lang w:val="es-ES"/>
              </w:rPr>
              <w:t xml:space="preserve">no están excluidas del </w:t>
            </w:r>
            <w:r w:rsidR="00F75C0A">
              <w:rPr>
                <w:rFonts w:ascii="Verdana" w:eastAsia="Century Gothic" w:hAnsi="Verdana" w:cs="Century Gothic"/>
                <w:lang w:val="es-ES"/>
              </w:rPr>
              <w:t>Estatuto General de Contratación de la Administración Pública – en adelante -</w:t>
            </w:r>
            <w:r>
              <w:rPr>
                <w:rFonts w:ascii="Verdana" w:eastAsia="Century Gothic" w:hAnsi="Verdana" w:cs="Century Gothic"/>
                <w:lang w:val="es-ES"/>
              </w:rPr>
              <w:t>EGCAP, pues el artículo 24 de la Ley 1150 de 2007 dispone que “</w:t>
            </w:r>
            <w:r w:rsidRPr="009E27B6">
              <w:rPr>
                <w:rFonts w:ascii="Verdana" w:eastAsia="Century Gothic" w:hAnsi="Verdana" w:cs="Century Gothic"/>
                <w:lang w:val="es-ES"/>
              </w:rPr>
              <w:t xml:space="preserve">La contratación </w:t>
            </w:r>
            <w:r>
              <w:rPr>
                <w:rFonts w:ascii="Verdana" w:eastAsia="Century Gothic" w:hAnsi="Verdana" w:cs="Century Gothic"/>
                <w:lang w:val="es-ES"/>
              </w:rPr>
              <w:t>[…]</w:t>
            </w:r>
            <w:r w:rsidRPr="009E27B6">
              <w:rPr>
                <w:rFonts w:ascii="Verdana" w:eastAsia="Century Gothic" w:hAnsi="Verdana" w:cs="Century Gothic"/>
                <w:lang w:val="es-ES"/>
              </w:rPr>
              <w:t xml:space="preserve"> se someterá al Estatuto General de Contratación de la Administración Pública contenido en la Ley 80 de 1993 y en las demás normas que lo modifiquen, deroguen o adicionen</w:t>
            </w:r>
            <w:r>
              <w:rPr>
                <w:rFonts w:ascii="Verdana" w:eastAsia="Century Gothic" w:hAnsi="Verdana" w:cs="Century Gothic"/>
                <w:lang w:val="es-ES"/>
              </w:rPr>
              <w:t>”</w:t>
            </w:r>
            <w:r w:rsidRPr="009E27B6">
              <w:rPr>
                <w:rFonts w:ascii="Verdana" w:eastAsia="Century Gothic" w:hAnsi="Verdana" w:cs="Century Gothic"/>
                <w:lang w:val="es-ES"/>
              </w:rPr>
              <w:t>.</w:t>
            </w:r>
            <w:r>
              <w:rPr>
                <w:rFonts w:ascii="Verdana" w:eastAsia="Century Gothic" w:hAnsi="Verdana" w:cs="Century Gothic"/>
                <w:lang w:val="es-ES"/>
              </w:rPr>
              <w:t xml:space="preserve"> Por tanto, en materia contractual, no forman parte del régimen especial, pues se rigen las reglas generales de la </w:t>
            </w:r>
            <w:r>
              <w:rPr>
                <w:rFonts w:ascii="Verdana" w:eastAsia="Century Gothic" w:hAnsi="Verdana" w:cs="Century Gothic"/>
                <w:lang w:val="es-ES"/>
              </w:rPr>
              <w:lastRenderedPageBreak/>
              <w:t>contratación estatal.</w:t>
            </w:r>
          </w:p>
          <w:p w14:paraId="03771159" w14:textId="77777777" w:rsidR="008402AB" w:rsidRDefault="008402AB" w:rsidP="0015053F">
            <w:pPr>
              <w:spacing w:after="120" w:line="276" w:lineRule="auto"/>
              <w:ind w:firstLine="709"/>
              <w:jc w:val="both"/>
              <w:rPr>
                <w:rFonts w:ascii="Verdana" w:eastAsia="Times New Roman" w:hAnsi="Verdana" w:cs="Arial"/>
                <w:lang w:eastAsia="es-MX"/>
              </w:rPr>
            </w:pPr>
            <w:r>
              <w:rPr>
                <w:rFonts w:ascii="Verdana" w:hAnsi="Verdana" w:cs="Arial"/>
                <w:lang w:val="es-ES"/>
              </w:rPr>
              <w:t xml:space="preserve">En este contexto, </w:t>
            </w:r>
            <w:r w:rsidRPr="00B47324">
              <w:rPr>
                <w:rFonts w:ascii="Verdana" w:hAnsi="Verdana" w:cs="Arial"/>
                <w:lang w:val="es-ES"/>
              </w:rPr>
              <w:t>los procesos de selección se rigen por el artículo 2 de la Ley 1150 de 2007.</w:t>
            </w:r>
            <w:r>
              <w:rPr>
                <w:rFonts w:ascii="Verdana" w:hAnsi="Verdana" w:cs="Arial"/>
                <w:lang w:val="es-ES"/>
              </w:rPr>
              <w:t xml:space="preserve"> Específicamente, el literal m) del numeral 4 </w:t>
            </w:r>
            <w:r w:rsidRPr="00197520">
              <w:rPr>
                <w:rFonts w:ascii="Verdana" w:eastAsia="Times New Roman" w:hAnsi="Verdana" w:cs="Arial"/>
                <w:lang w:eastAsia="es-MX"/>
              </w:rPr>
              <w:t>–adicionado por</w:t>
            </w:r>
            <w:r w:rsidRPr="00197520">
              <w:rPr>
                <w:rFonts w:ascii="Verdana" w:eastAsia="Century Gothic" w:hAnsi="Verdana" w:cs="Century Gothic"/>
                <w:lang w:val="es-ES"/>
              </w:rPr>
              <w:t xml:space="preserve"> el artículo por el artículo 2 de la Ley 2160 de 2021– </w:t>
            </w:r>
            <w:r w:rsidRPr="00197520">
              <w:rPr>
                <w:rFonts w:ascii="Verdana" w:eastAsia="Times New Roman" w:hAnsi="Verdana" w:cs="Arial"/>
                <w:lang w:eastAsia="es-MX"/>
              </w:rPr>
              <w:t xml:space="preserve">permite la </w:t>
            </w:r>
            <w:r w:rsidRPr="00AF46D4">
              <w:rPr>
                <w:rFonts w:ascii="Verdana" w:eastAsia="Times New Roman" w:hAnsi="Verdana" w:cs="Arial"/>
                <w:lang w:eastAsia="es-MX"/>
              </w:rPr>
              <w:t xml:space="preserve">contratación directa con “[…] los consejos comunitarios de las comunidades negras, regulados por la Ley 70 de 1993 […]”. En este caso, la entidad debe verificar que “[…] se encuentren incorporados por el Ministerio del Interior en el correspondiente Registro Público Único Nacional y que hayan cumplido con el deber de actualización de información en el mismo registro […]”. </w:t>
            </w:r>
          </w:p>
          <w:p w14:paraId="09E13884" w14:textId="77777777" w:rsidR="008402AB" w:rsidRDefault="008402AB" w:rsidP="0015053F">
            <w:pPr>
              <w:spacing w:after="120" w:line="276" w:lineRule="auto"/>
              <w:ind w:firstLine="709"/>
              <w:jc w:val="both"/>
              <w:rPr>
                <w:rFonts w:ascii="Verdana" w:eastAsia="Times New Roman" w:hAnsi="Verdana" w:cs="Arial"/>
                <w:lang w:eastAsia="es-MX"/>
              </w:rPr>
            </w:pPr>
            <w:r w:rsidRPr="00AF46D4">
              <w:rPr>
                <w:rFonts w:ascii="Verdana" w:eastAsia="Times New Roman" w:hAnsi="Verdana" w:cs="Arial"/>
                <w:lang w:eastAsia="es-MX"/>
              </w:rPr>
              <w:t xml:space="preserve">Sin embargo, la aplicación de la causal </w:t>
            </w:r>
            <w:r>
              <w:rPr>
                <w:rFonts w:ascii="Verdana" w:eastAsia="Times New Roman" w:hAnsi="Verdana" w:cs="Arial"/>
                <w:lang w:eastAsia="es-MX"/>
              </w:rPr>
              <w:t>requiere</w:t>
            </w:r>
            <w:r w:rsidRPr="00AF46D4">
              <w:rPr>
                <w:rFonts w:ascii="Verdana" w:eastAsia="Times New Roman" w:hAnsi="Verdana" w:cs="Arial"/>
                <w:lang w:eastAsia="es-MX"/>
              </w:rPr>
              <w:t xml:space="preserve"> que el objeto “[…] esté relacionado con el fortalecimiento del gobierno propio, la identidad étnica y cultural, el ejercicio de la autonomía, y/o la garantía de los derechos de los pueblos de las mismas comunidades”. Por tanto, si no tiene como propósito el cumplimiento de uno o varios de estos objetivos, deben privilegiarse los procedimientos de selección con pluralidad de oferentes, especialmente, cuando la contratación directa es excepcional y, por tanto, las causales son de interpretación estricta.</w:t>
            </w:r>
          </w:p>
          <w:p w14:paraId="2041D9EE" w14:textId="77777777" w:rsidR="008402AB" w:rsidRPr="00BD0B8C" w:rsidRDefault="008402AB" w:rsidP="0015053F">
            <w:pPr>
              <w:spacing w:line="276" w:lineRule="auto"/>
              <w:ind w:firstLine="709"/>
              <w:jc w:val="both"/>
              <w:rPr>
                <w:rFonts w:ascii="Verdana" w:hAnsi="Verdana" w:cs="Arial"/>
                <w:lang w:eastAsia="es-ES"/>
              </w:rPr>
            </w:pPr>
            <w:r w:rsidRPr="00301910">
              <w:rPr>
                <w:rFonts w:ascii="Verdana" w:hAnsi="Verdana" w:cs="Arial"/>
                <w:lang w:eastAsia="es-ES"/>
              </w:rPr>
              <w:t>Al margen de la explicación precedente</w:t>
            </w:r>
            <w:r>
              <w:rPr>
                <w:rFonts w:ascii="Verdana" w:hAnsi="Verdana" w:cs="Arial"/>
                <w:lang w:eastAsia="es-ES"/>
              </w:rPr>
              <w:t xml:space="preserve"> </w:t>
            </w:r>
            <w:r w:rsidRPr="00301910">
              <w:rPr>
                <w:rFonts w:ascii="Verdana" w:hAnsi="Verdana" w:cs="Arial"/>
                <w:lang w:eastAsia="es-ES"/>
              </w:rPr>
              <w:t>debe advertirse que el análisis requerido</w:t>
            </w:r>
            <w:r>
              <w:rPr>
                <w:rFonts w:ascii="Verdana" w:hAnsi="Verdana" w:cs="Arial"/>
                <w:lang w:eastAsia="es-ES"/>
              </w:rPr>
              <w:t xml:space="preserve"> </w:t>
            </w:r>
            <w:r w:rsidRPr="00301910">
              <w:rPr>
                <w:rFonts w:ascii="Verdana" w:hAnsi="Verdana" w:cs="Arial"/>
                <w:lang w:eastAsia="es-ES"/>
              </w:rPr>
              <w:t>para</w:t>
            </w:r>
            <w:r>
              <w:rPr>
                <w:rFonts w:ascii="Verdana" w:hAnsi="Verdana" w:cs="Arial"/>
                <w:lang w:eastAsia="es-ES"/>
              </w:rPr>
              <w:t xml:space="preserve"> resolver problemas específicos en torno a la gestión contractual </w:t>
            </w:r>
            <w:r w:rsidRPr="00301910">
              <w:rPr>
                <w:rFonts w:ascii="Verdana" w:hAnsi="Verdana" w:cs="Arial"/>
                <w:lang w:eastAsia="es-ES"/>
              </w:rPr>
              <w:t>debe ser realizado por</w:t>
            </w:r>
            <w:r>
              <w:rPr>
                <w:rFonts w:ascii="Verdana" w:hAnsi="Verdana" w:cs="Arial"/>
                <w:lang w:eastAsia="es-ES"/>
              </w:rPr>
              <w:t xml:space="preserve"> </w:t>
            </w:r>
            <w:r w:rsidRPr="00301910">
              <w:rPr>
                <w:rFonts w:ascii="Verdana" w:hAnsi="Verdana" w:cs="Arial"/>
                <w:lang w:eastAsia="es-ES"/>
              </w:rPr>
              <w:t>quienes tengan interés en ello, de acuerdo con lo explicado</w:t>
            </w:r>
            <w:r>
              <w:rPr>
                <w:rFonts w:ascii="Verdana" w:hAnsi="Verdana" w:cs="Arial"/>
                <w:lang w:eastAsia="es-ES"/>
              </w:rPr>
              <w:t xml:space="preserve"> </w:t>
            </w:r>
            <w:r w:rsidRPr="00301910">
              <w:rPr>
                <w:rFonts w:ascii="Verdana" w:hAnsi="Verdana" w:cs="Arial"/>
                <w:lang w:eastAsia="es-ES"/>
              </w:rPr>
              <w:t>la aclaración preliminar del presente oficio.</w:t>
            </w:r>
            <w:r>
              <w:rPr>
                <w:rFonts w:ascii="Verdana" w:hAnsi="Verdana" w:cs="Arial"/>
                <w:lang w:eastAsia="es-ES"/>
              </w:rPr>
              <w:t xml:space="preserve"> Es decir, en función del régimen contractual aplicable las </w:t>
            </w:r>
            <w:r w:rsidRPr="00B47324">
              <w:rPr>
                <w:rFonts w:ascii="Verdana" w:eastAsia="Century Gothic" w:hAnsi="Verdana" w:cs="Century Gothic"/>
                <w:lang w:val="es-ES"/>
              </w:rPr>
              <w:t>corporaciones autónomas regionales</w:t>
            </w:r>
            <w:r>
              <w:rPr>
                <w:rFonts w:ascii="Verdana" w:eastAsia="Century Gothic" w:hAnsi="Verdana" w:cs="Century Gothic"/>
                <w:lang w:val="es-ES"/>
              </w:rPr>
              <w:t xml:space="preserve">, les corresponde determinar si se cumplen o no las condiciones de causal de contratación directa del </w:t>
            </w:r>
            <w:r w:rsidRPr="00197520">
              <w:rPr>
                <w:rFonts w:ascii="Verdana" w:eastAsia="Times New Roman" w:hAnsi="Verdana" w:cs="Arial"/>
                <w:lang w:eastAsia="es-MX"/>
              </w:rPr>
              <w:t>literal m) del artículo 2.4 de la Ley 1150 de 2007</w:t>
            </w:r>
            <w:r>
              <w:rPr>
                <w:rFonts w:ascii="Verdana" w:eastAsia="Century Gothic" w:hAnsi="Verdana" w:cs="Century Gothic"/>
                <w:lang w:val="es-ES"/>
              </w:rPr>
              <w:t xml:space="preserve">, y establecer los requisitos para la celebración del negocio jurídico en los documentos del proceso de acuerdo con el marco normativo vigente. </w:t>
            </w:r>
            <w:r>
              <w:rPr>
                <w:rFonts w:ascii="Verdana" w:hAnsi="Verdana" w:cs="Arial"/>
                <w:lang w:eastAsia="es-ES"/>
              </w:rPr>
              <w:t>Así</w:t>
            </w:r>
            <w:r w:rsidRPr="00301910">
              <w:rPr>
                <w:rFonts w:ascii="Verdana" w:hAnsi="Verdana" w:cs="Arial"/>
                <w:lang w:eastAsia="es-ES"/>
              </w:rPr>
              <w:t>, cada entidad definirá la forma de adelantar su gestión contractual, sin que sea atribución de Colombia Compra Eficiente validar sus actuaciones.</w:t>
            </w:r>
          </w:p>
        </w:tc>
      </w:tr>
    </w:tbl>
    <w:p w14:paraId="060A2647" w14:textId="77777777" w:rsidR="008402AB" w:rsidRPr="00593A5F" w:rsidRDefault="008402AB" w:rsidP="008402AB">
      <w:pPr>
        <w:tabs>
          <w:tab w:val="left" w:pos="142"/>
          <w:tab w:val="left" w:pos="284"/>
        </w:tabs>
        <w:spacing w:after="0" w:line="276" w:lineRule="auto"/>
        <w:jc w:val="both"/>
        <w:rPr>
          <w:rFonts w:ascii="Verdana" w:eastAsia="Century Gothic" w:hAnsi="Verdana" w:cs="Century Gothic"/>
          <w:b/>
          <w:bCs/>
          <w:lang w:val="es-ES"/>
        </w:rPr>
      </w:pPr>
    </w:p>
    <w:bookmarkEnd w:id="1"/>
    <w:p w14:paraId="4E6B324E" w14:textId="77777777" w:rsidR="008402AB" w:rsidRPr="00593A5F" w:rsidRDefault="008402AB" w:rsidP="008402A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0175C33D" w14:textId="77777777" w:rsidR="008402AB" w:rsidRPr="00593A5F" w:rsidRDefault="008402AB" w:rsidP="008402AB">
      <w:pPr>
        <w:spacing w:after="0" w:line="276" w:lineRule="auto"/>
        <w:jc w:val="both"/>
        <w:rPr>
          <w:rFonts w:ascii="Verdana" w:eastAsia="Calibri" w:hAnsi="Verdana" w:cs="Arial"/>
          <w:color w:val="7030A0"/>
          <w:lang w:val="es-ES"/>
        </w:rPr>
      </w:pPr>
    </w:p>
    <w:p w14:paraId="1DCFBA07" w14:textId="77777777" w:rsidR="008402AB" w:rsidRDefault="008402AB" w:rsidP="008402AB">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4520613B" w14:textId="77777777" w:rsidR="008402AB" w:rsidRPr="00415608" w:rsidRDefault="008402AB" w:rsidP="008402AB">
      <w:pPr>
        <w:spacing w:after="0" w:line="276" w:lineRule="auto"/>
        <w:jc w:val="both"/>
        <w:rPr>
          <w:rFonts w:ascii="Verdana" w:eastAsia="Calibri" w:hAnsi="Verdana" w:cs="Arial"/>
          <w:lang w:val="es-ES"/>
        </w:rPr>
      </w:pPr>
    </w:p>
    <w:p w14:paraId="063EECBE" w14:textId="77777777" w:rsidR="008402AB" w:rsidRPr="00666B6A" w:rsidRDefault="008402AB" w:rsidP="008402AB">
      <w:pPr>
        <w:spacing w:after="120" w:line="276" w:lineRule="auto"/>
        <w:jc w:val="both"/>
        <w:rPr>
          <w:rFonts w:ascii="Verdana" w:hAnsi="Verdana" w:cs="Arial"/>
          <w:lang w:val="es-ES"/>
        </w:rPr>
      </w:pPr>
      <w:r w:rsidRPr="00666B6A">
        <w:rPr>
          <w:rFonts w:ascii="Verdana" w:hAnsi="Verdana" w:cs="Arial"/>
          <w:lang w:val="es-ES"/>
        </w:rPr>
        <w:t xml:space="preserve">De acuerdo con el inciso final del artículo 150 superior, corresponde al Congreso de la República expedir el Estatuto General de Contratación de la Administración Pública y, en especial, de la Administración Nacional. Esta competencia fue </w:t>
      </w:r>
      <w:r w:rsidRPr="00666B6A">
        <w:rPr>
          <w:rFonts w:ascii="Verdana" w:hAnsi="Verdana" w:cs="Arial"/>
          <w:lang w:val="es-ES"/>
        </w:rPr>
        <w:lastRenderedPageBreak/>
        <w:t xml:space="preserve">ejercida con la expedición de la Ley 80 de 1993, la cual rige para las </w:t>
      </w:r>
      <w:r w:rsidRPr="00666B6A">
        <w:rPr>
          <w:rFonts w:ascii="Verdana" w:hAnsi="Verdana" w:cs="Arial"/>
          <w:i/>
          <w:iCs/>
          <w:lang w:val="es-ES"/>
        </w:rPr>
        <w:t>entidades estatales</w:t>
      </w:r>
      <w:r w:rsidRPr="00666B6A">
        <w:rPr>
          <w:rFonts w:ascii="Verdana" w:hAnsi="Verdana" w:cs="Arial"/>
          <w:lang w:val="es-ES"/>
        </w:rPr>
        <w:t xml:space="preserve">, esto es, aquellas previstas en los literales a) y b) del numeral 1 del artículo 2 </w:t>
      </w:r>
      <w:r w:rsidRPr="00666B6A">
        <w:rPr>
          <w:rFonts w:ascii="Verdana" w:hAnsi="Verdana" w:cs="Arial"/>
          <w:i/>
          <w:iCs/>
          <w:lang w:val="es-ES"/>
        </w:rPr>
        <w:t>ibidem</w:t>
      </w:r>
      <w:r w:rsidRPr="00666B6A">
        <w:rPr>
          <w:rFonts w:ascii="Verdana" w:hAnsi="Verdana" w:cs="Arial"/>
          <w:lang w:val="es-ES"/>
        </w:rPr>
        <w:t xml:space="preserve">. La norma citada define la competencia contractual en los siguientes términos: </w:t>
      </w:r>
    </w:p>
    <w:p w14:paraId="370CD7CB" w14:textId="1AE2BDFC" w:rsidR="008402AB" w:rsidRPr="00666B6A" w:rsidRDefault="008402AB" w:rsidP="008402AB">
      <w:pPr>
        <w:spacing w:after="120" w:line="276" w:lineRule="auto"/>
        <w:ind w:firstLine="708"/>
        <w:jc w:val="both"/>
        <w:rPr>
          <w:rFonts w:ascii="Verdana" w:hAnsi="Verdana" w:cs="Arial"/>
          <w:lang w:val="es-ES"/>
        </w:rPr>
      </w:pPr>
      <w:r w:rsidRPr="00666B6A">
        <w:rPr>
          <w:rFonts w:ascii="Verdana" w:hAnsi="Verdana" w:cs="Arial"/>
          <w:lang w:val="es-ES"/>
        </w:rPr>
        <w:t>El literal a) aplica a las entidades con personería jurídica. A</w:t>
      </w:r>
      <w:r w:rsidR="00527B62">
        <w:rPr>
          <w:rFonts w:ascii="Verdana" w:hAnsi="Verdana" w:cs="Arial"/>
          <w:lang w:val="es-ES"/>
        </w:rPr>
        <w:t>sí, a</w:t>
      </w:r>
      <w:r w:rsidRPr="00666B6A">
        <w:rPr>
          <w:rFonts w:ascii="Verdana" w:hAnsi="Verdana" w:cs="Arial"/>
          <w:lang w:val="es-ES"/>
        </w:rPr>
        <w:t xml:space="preserve">lude 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w:t>
      </w:r>
    </w:p>
    <w:p w14:paraId="02BF4504" w14:textId="77777777" w:rsidR="008402AB" w:rsidRDefault="008402AB" w:rsidP="008402AB">
      <w:pPr>
        <w:spacing w:after="120" w:line="276" w:lineRule="auto"/>
        <w:ind w:firstLine="709"/>
        <w:jc w:val="both"/>
        <w:rPr>
          <w:rFonts w:ascii="Verdana" w:hAnsi="Verdana" w:cs="Arial"/>
          <w:lang w:val="es-ES"/>
        </w:rPr>
      </w:pPr>
      <w:r w:rsidRPr="00666B6A">
        <w:rPr>
          <w:rFonts w:ascii="Verdana" w:hAnsi="Verdana" w:cs="Arial"/>
          <w:lang w:val="es-ES"/>
        </w:rPr>
        <w:t>En contraste, el literal b) rige para las autoridades que carecen de personería, pero a las que el ordenamiento les otorga “capacidad” para celebrar contratos. Estas entidades son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 De acuerdo con el artículo 352 superior, este último apartado debe armonizarse con el artículo 110 del Decreto</w:t>
      </w:r>
      <w:r>
        <w:rPr>
          <w:rFonts w:ascii="Verdana" w:hAnsi="Verdana" w:cs="Arial"/>
          <w:lang w:val="es-ES"/>
        </w:rPr>
        <w:t xml:space="preserve"> Ley</w:t>
      </w:r>
      <w:r w:rsidRPr="00666B6A">
        <w:rPr>
          <w:rFonts w:ascii="Verdana" w:hAnsi="Verdana" w:cs="Arial"/>
          <w:lang w:val="es-ES"/>
        </w:rPr>
        <w:t xml:space="preserve"> 111 de 1996, modificado por el artículo 124 de la Ley 1957 de 2019</w:t>
      </w:r>
      <w:r w:rsidRPr="00666B6A">
        <w:rPr>
          <w:rStyle w:val="Refdenotaalpie"/>
          <w:rFonts w:ascii="Verdana" w:hAnsi="Verdana" w:cs="Arial"/>
          <w:lang w:val="es-ES"/>
        </w:rPr>
        <w:footnoteReference w:id="1"/>
      </w:r>
      <w:r w:rsidRPr="00666B6A">
        <w:rPr>
          <w:rFonts w:ascii="Verdana" w:hAnsi="Verdana" w:cs="Arial"/>
          <w:lang w:val="es-ES"/>
        </w:rPr>
        <w:t xml:space="preserve">. </w:t>
      </w:r>
    </w:p>
    <w:p w14:paraId="5617C46C" w14:textId="77777777" w:rsidR="0076032D" w:rsidRDefault="008402AB" w:rsidP="008402AB">
      <w:pPr>
        <w:spacing w:after="120" w:line="276" w:lineRule="auto"/>
        <w:ind w:firstLine="709"/>
        <w:jc w:val="both"/>
        <w:rPr>
          <w:rFonts w:ascii="Verdana" w:hAnsi="Verdana" w:cs="Arial"/>
          <w:color w:val="000000"/>
          <w:bdr w:val="none" w:sz="0" w:space="0" w:color="auto" w:frame="1"/>
          <w:lang w:val="es-ES" w:eastAsia="es-ES"/>
        </w:rPr>
      </w:pPr>
      <w:r>
        <w:rPr>
          <w:rFonts w:ascii="Verdana" w:hAnsi="Verdana" w:cs="Arial"/>
          <w:bCs/>
          <w:lang w:val="es-MX"/>
        </w:rPr>
        <w:t xml:space="preserve">Ahora bien, conforme al artículo 150.7 de la Constitución Política de 1991, corresponde al Congreso de la República “[…] </w:t>
      </w:r>
      <w:r w:rsidRPr="00A8362F">
        <w:rPr>
          <w:rFonts w:ascii="Verdana" w:hAnsi="Verdana" w:cs="Arial"/>
          <w:bCs/>
          <w:lang w:val="es-MX"/>
        </w:rPr>
        <w:t xml:space="preserve">reglamentar la creación y </w:t>
      </w:r>
      <w:r w:rsidRPr="00A8362F">
        <w:rPr>
          <w:rFonts w:ascii="Verdana" w:hAnsi="Verdana" w:cs="Arial"/>
          <w:bCs/>
          <w:lang w:val="es-MX"/>
        </w:rPr>
        <w:lastRenderedPageBreak/>
        <w:t>funcionamiento de las Corporaciones Autónomas Regionales dentro de un régimen de autonomía</w:t>
      </w:r>
      <w:r>
        <w:rPr>
          <w:rFonts w:ascii="Verdana" w:hAnsi="Verdana" w:cs="Arial"/>
          <w:bCs/>
          <w:lang w:val="es-MX"/>
        </w:rPr>
        <w:t xml:space="preserve"> […]”. </w:t>
      </w:r>
      <w:r w:rsidR="00127555" w:rsidRPr="00AA13CF">
        <w:rPr>
          <w:rFonts w:ascii="Verdana" w:hAnsi="Verdana" w:cs="Arial"/>
        </w:rPr>
        <w:t xml:space="preserve">Esta competencia normativa fue ejercida a través de la </w:t>
      </w:r>
      <w:r w:rsidR="00127555" w:rsidRPr="00461E1A">
        <w:rPr>
          <w:rFonts w:ascii="Verdana" w:hAnsi="Verdana" w:cs="Arial"/>
          <w:color w:val="000000"/>
          <w:bdr w:val="none" w:sz="0" w:space="0" w:color="auto" w:frame="1"/>
          <w:lang w:val="es-ES" w:eastAsia="es-ES"/>
        </w:rPr>
        <w:t>Ley 99 de 1993, “</w:t>
      </w:r>
      <w:r w:rsidR="00127555" w:rsidRPr="00461E1A">
        <w:rPr>
          <w:rFonts w:ascii="Verdana" w:hAnsi="Verdana" w:cs="Arial"/>
          <w:i/>
          <w:iCs/>
          <w:color w:val="000000"/>
          <w:bdr w:val="none" w:sz="0" w:space="0" w:color="auto" w:frame="1"/>
          <w:lang w:val="es-ES" w:eastAsia="es-ES"/>
        </w:rPr>
        <w:t>Por la cual se crea el Ministerio del Medio Ambiente, se reordena el Sector Público encargado de la gestión y conservación del medio ambiente y los recursos naturales renovables, se organiza el Sistema Nacional Ambiental, SINA</w:t>
      </w:r>
      <w:r w:rsidR="00127555" w:rsidRPr="00461E1A">
        <w:rPr>
          <w:rFonts w:ascii="Verdana" w:hAnsi="Verdana" w:cs="Arial"/>
          <w:color w:val="000000"/>
          <w:bdr w:val="none" w:sz="0" w:space="0" w:color="auto" w:frame="1"/>
          <w:lang w:val="es-ES" w:eastAsia="es-ES"/>
        </w:rPr>
        <w:t>”</w:t>
      </w:r>
      <w:r w:rsidR="0076032D">
        <w:rPr>
          <w:rFonts w:ascii="Verdana" w:hAnsi="Verdana" w:cs="Arial"/>
          <w:color w:val="000000"/>
          <w:bdr w:val="none" w:sz="0" w:space="0" w:color="auto" w:frame="1"/>
          <w:lang w:val="es-ES" w:eastAsia="es-ES"/>
        </w:rPr>
        <w:t xml:space="preserve">. </w:t>
      </w:r>
    </w:p>
    <w:p w14:paraId="7EC75BC1" w14:textId="0102F53C" w:rsidR="008402AB" w:rsidRPr="00480D85" w:rsidRDefault="0076032D" w:rsidP="008402AB">
      <w:pPr>
        <w:spacing w:after="120" w:line="276" w:lineRule="auto"/>
        <w:ind w:firstLine="709"/>
        <w:jc w:val="both"/>
        <w:rPr>
          <w:rFonts w:ascii="Verdana" w:hAnsi="Verdana" w:cs="Arial"/>
          <w:lang w:val="es-ES"/>
        </w:rPr>
      </w:pPr>
      <w:r>
        <w:rPr>
          <w:rFonts w:ascii="Verdana" w:hAnsi="Verdana" w:cs="Arial"/>
          <w:bCs/>
          <w:lang w:val="es-MX"/>
        </w:rPr>
        <w:t>E</w:t>
      </w:r>
      <w:r w:rsidR="008402AB">
        <w:rPr>
          <w:rFonts w:ascii="Verdana" w:hAnsi="Verdana" w:cs="Arial"/>
          <w:bCs/>
          <w:lang w:val="es-MX"/>
        </w:rPr>
        <w:t xml:space="preserve">l inciso primero del artículo 23 de la Ley 99 de 1993 define </w:t>
      </w:r>
      <w:r w:rsidR="00683FFF">
        <w:rPr>
          <w:rFonts w:ascii="Verdana" w:hAnsi="Verdana" w:cs="Arial"/>
          <w:bCs/>
          <w:lang w:val="es-MX"/>
        </w:rPr>
        <w:t xml:space="preserve">la </w:t>
      </w:r>
      <w:r w:rsidR="008402AB">
        <w:rPr>
          <w:rFonts w:ascii="Verdana" w:hAnsi="Verdana" w:cs="Arial"/>
          <w:bCs/>
          <w:lang w:val="es-MX"/>
        </w:rPr>
        <w:t xml:space="preserve">naturaleza jurídica </w:t>
      </w:r>
      <w:r w:rsidR="00683FFF">
        <w:rPr>
          <w:rFonts w:ascii="Verdana" w:hAnsi="Verdana" w:cs="Arial"/>
          <w:bCs/>
          <w:lang w:val="es-MX"/>
        </w:rPr>
        <w:t xml:space="preserve">de las Corporaciones </w:t>
      </w:r>
      <w:r w:rsidR="00021E15">
        <w:rPr>
          <w:rFonts w:ascii="Verdana" w:hAnsi="Verdana" w:cs="Arial"/>
          <w:bCs/>
          <w:lang w:val="es-MX"/>
        </w:rPr>
        <w:t xml:space="preserve">Autónomas Regionales </w:t>
      </w:r>
      <w:r w:rsidR="008402AB">
        <w:rPr>
          <w:rFonts w:ascii="Verdana" w:hAnsi="Verdana" w:cs="Arial"/>
          <w:bCs/>
          <w:lang w:val="es-MX"/>
        </w:rPr>
        <w:t>como</w:t>
      </w:r>
      <w:r w:rsidR="008402AB" w:rsidRPr="00A8362F">
        <w:rPr>
          <w:rFonts w:ascii="Verdana" w:hAnsi="Verdana" w:cs="Arial"/>
          <w:bCs/>
          <w:lang w:val="es-MX"/>
        </w:rPr>
        <w:t xml:space="preserve"> </w:t>
      </w:r>
      <w:r w:rsidR="008402AB">
        <w:rPr>
          <w:rFonts w:ascii="Verdana" w:hAnsi="Verdana" w:cs="Arial"/>
          <w:bCs/>
          <w:lang w:val="es-MX"/>
        </w:rPr>
        <w:t>“[…]</w:t>
      </w:r>
      <w:r w:rsidR="008402AB" w:rsidRPr="00A8362F">
        <w:rPr>
          <w:rFonts w:ascii="Verdana" w:hAnsi="Verdana" w:cs="Arial"/>
          <w:bCs/>
          <w:lang w:val="es-MX"/>
        </w:rPr>
        <w:t xml:space="preserve"> entes corporativos de carácter público, creados por la ley, integrados por las entidades territoriales que por sus características constituyen geográficamente un mismo ecosistema o conforman una unidad geopolítica, biogeográfica o hidrogeográfica, dotados de autonomía administrativa y financiera, patrimonio propio y personería jurídica, encargados por la ley de administrar, dentro del área de su jurisdicción, el medio ambiente y los recursos naturales renovables y propender por su desarrollo sostenible, de conformidad con las disposiciones legales y las políticas del Ministerio del Medio Ambiente</w:t>
      </w:r>
      <w:r w:rsidR="008402AB">
        <w:rPr>
          <w:rFonts w:ascii="Verdana" w:hAnsi="Verdana" w:cs="Arial"/>
          <w:bCs/>
          <w:lang w:val="es-MX"/>
        </w:rPr>
        <w:t>”</w:t>
      </w:r>
      <w:r w:rsidR="008402AB" w:rsidRPr="00A8362F">
        <w:rPr>
          <w:rFonts w:ascii="Verdana" w:hAnsi="Verdana" w:cs="Arial"/>
          <w:bCs/>
          <w:lang w:val="es-MX"/>
        </w:rPr>
        <w:t>.</w:t>
      </w:r>
    </w:p>
    <w:p w14:paraId="4117E8E3" w14:textId="77777777" w:rsidR="008402AB" w:rsidRDefault="008402AB" w:rsidP="008402AB">
      <w:pPr>
        <w:spacing w:after="120" w:line="276" w:lineRule="auto"/>
        <w:jc w:val="both"/>
        <w:rPr>
          <w:rFonts w:ascii="Verdana" w:hAnsi="Verdana" w:cs="Arial"/>
          <w:bCs/>
          <w:lang w:val="es-MX"/>
        </w:rPr>
      </w:pPr>
      <w:r>
        <w:rPr>
          <w:rFonts w:ascii="Verdana" w:hAnsi="Verdana" w:cs="Arial"/>
          <w:bCs/>
          <w:lang w:val="es-MX"/>
        </w:rPr>
        <w:tab/>
        <w:t xml:space="preserve">Dichas entidades no se encuentran expresamente listadas en el artículo 2.1 de la Ley 80 de 1993. Pese a su autonomía, </w:t>
      </w:r>
      <w:r>
        <w:rPr>
          <w:rFonts w:ascii="Verdana" w:eastAsia="Century Gothic" w:hAnsi="Verdana" w:cs="Century Gothic"/>
          <w:lang w:val="es-ES"/>
        </w:rPr>
        <w:t>no están excluidas del EGCAP, pues el artículo 24 de la Ley 1150 de 2007 dispone que “</w:t>
      </w:r>
      <w:r w:rsidRPr="009E27B6">
        <w:rPr>
          <w:rFonts w:ascii="Verdana" w:eastAsia="Century Gothic" w:hAnsi="Verdana" w:cs="Century Gothic"/>
          <w:lang w:val="es-ES"/>
        </w:rPr>
        <w:t>La contratación de las Corporaciones Autónomas Regionales incluida la Corporación Autónoma Regional del Río Grande de la Magdalena, se someterá al Estatuto General de Contratación de la Administración Pública contenido en la Ley 80 de 1993 y en las demás normas que lo modifiquen, deroguen o adicionen</w:t>
      </w:r>
      <w:r>
        <w:rPr>
          <w:rFonts w:ascii="Verdana" w:eastAsia="Century Gothic" w:hAnsi="Verdana" w:cs="Century Gothic"/>
          <w:lang w:val="es-ES"/>
        </w:rPr>
        <w:t>”</w:t>
      </w:r>
      <w:r w:rsidRPr="009E27B6">
        <w:rPr>
          <w:rFonts w:ascii="Verdana" w:eastAsia="Century Gothic" w:hAnsi="Verdana" w:cs="Century Gothic"/>
          <w:lang w:val="es-ES"/>
        </w:rPr>
        <w:t>.</w:t>
      </w:r>
      <w:r>
        <w:rPr>
          <w:rFonts w:ascii="Verdana" w:eastAsia="Century Gothic" w:hAnsi="Verdana" w:cs="Century Gothic"/>
          <w:lang w:val="es-ES"/>
        </w:rPr>
        <w:t xml:space="preserve"> Por tanto, en materia contractual, no forman parte del régimen especial, pues se rigen por las reglas generales de la contratación estatal.</w:t>
      </w:r>
    </w:p>
    <w:p w14:paraId="4D4E1AEA" w14:textId="18E1F984" w:rsidR="008402AB" w:rsidRDefault="008402AB" w:rsidP="008402AB">
      <w:pPr>
        <w:spacing w:after="120" w:line="276" w:lineRule="auto"/>
        <w:ind w:firstLine="709"/>
        <w:jc w:val="both"/>
        <w:rPr>
          <w:rFonts w:ascii="Verdana" w:hAnsi="Verdana" w:cs="Arial"/>
          <w:bCs/>
          <w:lang w:val="es-MX"/>
        </w:rPr>
      </w:pPr>
      <w:r>
        <w:rPr>
          <w:rFonts w:ascii="Verdana" w:hAnsi="Verdana" w:cs="Arial"/>
          <w:lang w:val="es-ES"/>
        </w:rPr>
        <w:t>En este contexto, p</w:t>
      </w:r>
      <w:r w:rsidRPr="00B47324">
        <w:rPr>
          <w:rFonts w:ascii="Verdana" w:hAnsi="Verdana" w:cs="Arial"/>
          <w:lang w:val="es-ES"/>
        </w:rPr>
        <w:t xml:space="preserve">ara las entidades </w:t>
      </w:r>
      <w:r>
        <w:rPr>
          <w:rFonts w:ascii="Verdana" w:hAnsi="Verdana" w:cs="Arial"/>
          <w:lang w:val="es-ES"/>
        </w:rPr>
        <w:t>sometidas a la Ley 80 de 1993</w:t>
      </w:r>
      <w:r w:rsidRPr="00B47324">
        <w:rPr>
          <w:rFonts w:ascii="Verdana" w:hAnsi="Verdana" w:cs="Arial"/>
          <w:lang w:val="es-ES"/>
        </w:rPr>
        <w:t xml:space="preserve"> </w:t>
      </w:r>
      <w:r>
        <w:rPr>
          <w:rFonts w:ascii="Verdana" w:hAnsi="Verdana" w:cs="Arial"/>
          <w:lang w:val="es-ES"/>
        </w:rPr>
        <w:t>–</w:t>
      </w:r>
      <w:r w:rsidRPr="00B47324">
        <w:rPr>
          <w:rFonts w:ascii="Verdana" w:hAnsi="Verdana" w:cs="Arial"/>
          <w:lang w:val="es-ES"/>
        </w:rPr>
        <w:t xml:space="preserve">incluidas las </w:t>
      </w:r>
      <w:r w:rsidR="00021E15" w:rsidRPr="00B47324">
        <w:rPr>
          <w:rFonts w:ascii="Verdana" w:eastAsia="Century Gothic" w:hAnsi="Verdana" w:cs="Century Gothic"/>
          <w:lang w:val="es-ES"/>
        </w:rPr>
        <w:t>Corporaciones Autónomas Regionales</w:t>
      </w:r>
      <w:r>
        <w:rPr>
          <w:rFonts w:ascii="Verdana" w:hAnsi="Verdana" w:cs="Arial"/>
          <w:lang w:val="es-ES"/>
        </w:rPr>
        <w:t>–</w:t>
      </w:r>
      <w:r w:rsidRPr="00B47324">
        <w:rPr>
          <w:rFonts w:ascii="Verdana" w:hAnsi="Verdana" w:cs="Arial"/>
          <w:lang w:val="es-ES"/>
        </w:rPr>
        <w:t xml:space="preserve"> los procesos de selección se rigen por el artículo 2 de la Ley 1150 de 2007. El </w:t>
      </w:r>
      <w:r w:rsidRPr="00B47324">
        <w:rPr>
          <w:rFonts w:ascii="Verdana" w:hAnsi="Verdana" w:cs="Arial"/>
          <w:bCs/>
          <w:lang w:val="es-MX"/>
        </w:rPr>
        <w:t>numeral</w:t>
      </w:r>
      <w:r w:rsidRPr="00666B6A">
        <w:rPr>
          <w:rFonts w:ascii="Verdana" w:hAnsi="Verdana" w:cs="Arial"/>
          <w:bCs/>
          <w:lang w:val="es-MX"/>
        </w:rPr>
        <w:t xml:space="preserve"> uno, inciso primero, dispone que “La escogencia del contratista se efectuará por </w:t>
      </w:r>
      <w:r w:rsidRPr="00666B6A">
        <w:rPr>
          <w:rFonts w:ascii="Verdana" w:hAnsi="Verdana" w:cs="Arial"/>
          <w:bCs/>
          <w:i/>
          <w:iCs/>
          <w:lang w:val="es-MX"/>
        </w:rPr>
        <w:t>regla general</w:t>
      </w:r>
      <w:r w:rsidRPr="00666B6A">
        <w:rPr>
          <w:rFonts w:ascii="Verdana" w:hAnsi="Verdana" w:cs="Arial"/>
          <w:bCs/>
          <w:lang w:val="es-MX"/>
        </w:rPr>
        <w:t xml:space="preserve"> a través de licitación pública, con las </w:t>
      </w:r>
      <w:r w:rsidRPr="00666B6A">
        <w:rPr>
          <w:rFonts w:ascii="Verdana" w:hAnsi="Verdana" w:cs="Arial"/>
          <w:bCs/>
          <w:i/>
          <w:iCs/>
          <w:lang w:val="es-MX"/>
        </w:rPr>
        <w:t>excepciones</w:t>
      </w:r>
      <w:r w:rsidRPr="00666B6A">
        <w:rPr>
          <w:rFonts w:ascii="Verdana" w:hAnsi="Verdana" w:cs="Arial"/>
          <w:bCs/>
          <w:lang w:val="es-MX"/>
        </w:rPr>
        <w:t xml:space="preserve"> que se señalan en los numerales 2, 3 y 4 del presente artículo” (Énfasis fuera de texto), norma que sustituye el derogado numeral 1 del artículo 24 de la Ley 80 de 1993 sobre el principio de transparencia</w:t>
      </w:r>
      <w:r w:rsidRPr="00666B6A">
        <w:rPr>
          <w:rFonts w:ascii="Verdana" w:hAnsi="Verdana" w:cs="Arial"/>
          <w:bCs/>
          <w:vertAlign w:val="superscript"/>
          <w:lang w:val="es-MX"/>
        </w:rPr>
        <w:footnoteReference w:id="2"/>
      </w:r>
      <w:r w:rsidRPr="00666B6A">
        <w:rPr>
          <w:rFonts w:ascii="Verdana" w:hAnsi="Verdana" w:cs="Arial"/>
          <w:bCs/>
          <w:lang w:val="es-MX"/>
        </w:rPr>
        <w:t xml:space="preserve">. En este contexto, salvo norma especial que ordene la celebración </w:t>
      </w:r>
      <w:r w:rsidRPr="00666B6A">
        <w:rPr>
          <w:rFonts w:ascii="Verdana" w:hAnsi="Verdana" w:cs="Arial"/>
          <w:bCs/>
          <w:lang w:val="es-MX"/>
        </w:rPr>
        <w:lastRenderedPageBreak/>
        <w:t>del negocio jurídico por selección abreviada, concurso de méritos, mínima cuantía o contratación directa, debe aplicarse la regla general de licitación pública</w:t>
      </w:r>
      <w:r w:rsidRPr="00666B6A">
        <w:rPr>
          <w:rFonts w:ascii="Verdana" w:hAnsi="Verdana" w:cs="Arial"/>
          <w:bCs/>
          <w:vertAlign w:val="superscript"/>
          <w:lang w:val="es-MX"/>
        </w:rPr>
        <w:footnoteReference w:id="3"/>
      </w:r>
      <w:r w:rsidRPr="00666B6A">
        <w:rPr>
          <w:rFonts w:ascii="Verdana" w:hAnsi="Verdana" w:cs="Arial"/>
          <w:bCs/>
          <w:lang w:val="es-MX"/>
        </w:rPr>
        <w:t>.</w:t>
      </w:r>
    </w:p>
    <w:p w14:paraId="486B63AA" w14:textId="77777777" w:rsidR="008402AB" w:rsidRPr="00480D85" w:rsidRDefault="008402AB" w:rsidP="008402AB">
      <w:pPr>
        <w:spacing w:after="120" w:line="276" w:lineRule="auto"/>
        <w:ind w:firstLine="708"/>
        <w:jc w:val="both"/>
        <w:rPr>
          <w:rFonts w:ascii="Verdana" w:hAnsi="Verdana" w:cs="Arial"/>
          <w:lang w:val="es-ES" w:eastAsia="es-MX"/>
        </w:rPr>
      </w:pPr>
      <w:r w:rsidRPr="00480D85">
        <w:rPr>
          <w:rFonts w:ascii="Verdana" w:eastAsia="Times New Roman" w:hAnsi="Verdana" w:cs="Arial"/>
          <w:lang w:eastAsia="es-MX"/>
        </w:rPr>
        <w:t>La exposición de motivos de la Ley 1150 de 2007 señala las razones por las cuales se establecieron estos procedimientos, pues “[…] las experiencias exitosas a nivel internacional demuestran que el criterio de distinción que debe gobernar un esquema contractual eficiente es el de modular las modalidades de selección en razón a las características del objeto”</w:t>
      </w:r>
      <w:r w:rsidRPr="00480D85">
        <w:rPr>
          <w:rFonts w:ascii="Verdana" w:eastAsia="Times New Roman" w:hAnsi="Verdana" w:cs="Arial"/>
          <w:vertAlign w:val="superscript"/>
          <w:lang w:eastAsia="es-MX"/>
        </w:rPr>
        <w:footnoteReference w:id="4"/>
      </w:r>
      <w:r w:rsidRPr="00480D85">
        <w:rPr>
          <w:rFonts w:ascii="Verdana" w:eastAsia="Times New Roman" w:hAnsi="Verdana" w:cs="Arial"/>
          <w:lang w:eastAsia="es-MX"/>
        </w:rPr>
        <w:t>.</w:t>
      </w:r>
      <w:r w:rsidRPr="00480D85">
        <w:rPr>
          <w:rFonts w:ascii="Verdana" w:hAnsi="Verdana" w:cs="Arial"/>
          <w:lang w:eastAsia="es-MX"/>
        </w:rPr>
        <w:t xml:space="preserve"> Así, la</w:t>
      </w:r>
      <w:r>
        <w:rPr>
          <w:rFonts w:ascii="Verdana" w:hAnsi="Verdana" w:cs="Arial"/>
          <w:lang w:eastAsia="es-MX"/>
        </w:rPr>
        <w:t>s</w:t>
      </w:r>
      <w:r w:rsidRPr="00480D85">
        <w:rPr>
          <w:rFonts w:ascii="Verdana" w:hAnsi="Verdana" w:cs="Arial"/>
          <w:lang w:eastAsia="es-MX"/>
        </w:rPr>
        <w:t xml:space="preserve"> </w:t>
      </w:r>
      <w:r w:rsidRPr="00480D85">
        <w:rPr>
          <w:rFonts w:ascii="Verdana" w:eastAsia="Times New Roman" w:hAnsi="Verdana" w:cs="Arial"/>
          <w:lang w:eastAsia="es-MX"/>
        </w:rPr>
        <w:t xml:space="preserve">modalidades pueden dividirse en i) competitivas y </w:t>
      </w:r>
      <w:proofErr w:type="spellStart"/>
      <w:r w:rsidRPr="00480D85">
        <w:rPr>
          <w:rFonts w:ascii="Verdana" w:eastAsia="Times New Roman" w:hAnsi="Verdana" w:cs="Arial"/>
          <w:lang w:eastAsia="es-MX"/>
        </w:rPr>
        <w:t>ii</w:t>
      </w:r>
      <w:proofErr w:type="spellEnd"/>
      <w:r w:rsidRPr="00480D85">
        <w:rPr>
          <w:rFonts w:ascii="Verdana" w:eastAsia="Times New Roman" w:hAnsi="Verdana" w:cs="Arial"/>
          <w:lang w:eastAsia="es-MX"/>
        </w:rPr>
        <w:t>) no competitivas. Sobre el particular, la guía de competencia en las compras públicas de la Agencia Nacional de Contratación Pública – Colombia Compra Eficiente señala que “[…] la competencia, entendida como rivalidad efectiva entre empresas de un mismo mercado, incentiva la reducción de precios, el aumento de la calidad, la lucha contra la corrupción y la innovación por parte del sector privado”</w:t>
      </w:r>
      <w:r w:rsidRPr="00480D85">
        <w:rPr>
          <w:rFonts w:ascii="Verdana" w:eastAsia="Times New Roman" w:hAnsi="Verdana" w:cs="Arial"/>
          <w:vertAlign w:val="superscript"/>
          <w:lang w:eastAsia="es-MX"/>
        </w:rPr>
        <w:footnoteReference w:id="5"/>
      </w:r>
      <w:r w:rsidRPr="00480D85">
        <w:rPr>
          <w:rFonts w:ascii="Verdana" w:eastAsia="Times New Roman" w:hAnsi="Verdana" w:cs="Arial"/>
          <w:lang w:eastAsia="es-MX"/>
        </w:rPr>
        <w:t xml:space="preserve">. </w:t>
      </w:r>
    </w:p>
    <w:p w14:paraId="5ADB56BC" w14:textId="77777777" w:rsidR="008402AB" w:rsidRPr="00480D85" w:rsidRDefault="008402AB" w:rsidP="008402AB">
      <w:pPr>
        <w:spacing w:after="120" w:line="276" w:lineRule="auto"/>
        <w:ind w:firstLine="709"/>
        <w:jc w:val="both"/>
        <w:rPr>
          <w:rFonts w:ascii="Verdana" w:eastAsia="Times New Roman" w:hAnsi="Verdana" w:cs="Arial"/>
          <w:lang w:eastAsia="es-MX"/>
        </w:rPr>
      </w:pPr>
      <w:r w:rsidRPr="00480D85">
        <w:rPr>
          <w:rFonts w:ascii="Verdana" w:eastAsia="Times New Roman" w:hAnsi="Verdana" w:cs="Arial"/>
          <w:lang w:eastAsia="es-MX"/>
        </w:rPr>
        <w:t xml:space="preserve">Por ejemplo, procesos como la licitación pública y el concurso de méritos son modalidades de selección abiertas a competencia, pues en ellas tiene lugar la participación de varios proponentes en una fase pública de presentación de ofertas. Esto permite que todas las personas interesadas concurran al proceso en igualdad de condiciones y compitan en el mismo. En contraste, la modalidad de selección de contratación directa es una modalidad no competitiva, es decir, </w:t>
      </w:r>
      <w:r w:rsidRPr="00480D85">
        <w:rPr>
          <w:rFonts w:ascii="Verdana" w:eastAsia="Times New Roman" w:hAnsi="Verdana" w:cs="Arial"/>
          <w:lang w:eastAsia="es-MX"/>
        </w:rPr>
        <w:lastRenderedPageBreak/>
        <w:t>no está abierta al público para que los proponentes presenten sus ofertas. En esta modalidad la entidad estatal determina, de forma directa y no pública, la persona que puede participar y que será seleccionada.</w:t>
      </w:r>
    </w:p>
    <w:p w14:paraId="2B9B4C4E" w14:textId="77777777" w:rsidR="008402AB" w:rsidRPr="00480D85" w:rsidRDefault="008402AB" w:rsidP="008402AB">
      <w:pPr>
        <w:spacing w:after="120" w:line="276" w:lineRule="auto"/>
        <w:ind w:firstLine="708"/>
        <w:jc w:val="both"/>
        <w:rPr>
          <w:rFonts w:ascii="Verdana" w:eastAsia="Times New Roman" w:hAnsi="Verdana" w:cs="Arial"/>
          <w:lang w:eastAsia="es-MX"/>
        </w:rPr>
      </w:pPr>
      <w:r w:rsidRPr="00480D85">
        <w:rPr>
          <w:rFonts w:ascii="Verdana" w:eastAsia="Times New Roman" w:hAnsi="Verdana" w:cs="Arial"/>
          <w:lang w:eastAsia="es-MX"/>
        </w:rPr>
        <w:t>Lo expuesto se complementa con lo explicado por la Corte Constitucional en Sentencia C-713 de 2009, la cual estudió la constitucionalidad de los artículos 2 ‒parcial‒ y 5 ‒parcial‒ de la Ley 1150 de 2007. En esa decisi</w:t>
      </w:r>
      <w:r w:rsidRPr="00480D85">
        <w:rPr>
          <w:rFonts w:ascii="Verdana" w:eastAsia="Times New Roman" w:hAnsi="Verdana" w:cs="Century Gothic"/>
          <w:lang w:eastAsia="es-MX"/>
        </w:rPr>
        <w:t>ó</w:t>
      </w:r>
      <w:r w:rsidRPr="00480D85">
        <w:rPr>
          <w:rFonts w:ascii="Verdana" w:eastAsia="Times New Roman" w:hAnsi="Verdana" w:cs="Arial"/>
          <w:lang w:eastAsia="es-MX"/>
        </w:rPr>
        <w:t>n judicial se desarrollaron los principios de libre concurrencia y selecci</w:t>
      </w:r>
      <w:r w:rsidRPr="00480D85">
        <w:rPr>
          <w:rFonts w:ascii="Verdana" w:eastAsia="Times New Roman" w:hAnsi="Verdana" w:cs="Century Gothic"/>
          <w:lang w:eastAsia="es-MX"/>
        </w:rPr>
        <w:t>ó</w:t>
      </w:r>
      <w:r w:rsidRPr="00480D85">
        <w:rPr>
          <w:rFonts w:ascii="Verdana" w:eastAsia="Times New Roman" w:hAnsi="Verdana" w:cs="Arial"/>
          <w:lang w:eastAsia="es-MX"/>
        </w:rPr>
        <w:t>n objetiva en la contrataci</w:t>
      </w:r>
      <w:r w:rsidRPr="00480D85">
        <w:rPr>
          <w:rFonts w:ascii="Verdana" w:eastAsia="Times New Roman" w:hAnsi="Verdana" w:cs="Century Gothic"/>
          <w:lang w:eastAsia="es-MX"/>
        </w:rPr>
        <w:t>ó</w:t>
      </w:r>
      <w:r w:rsidRPr="00480D85">
        <w:rPr>
          <w:rFonts w:ascii="Verdana" w:eastAsia="Times New Roman" w:hAnsi="Verdana" w:cs="Arial"/>
          <w:lang w:eastAsia="es-MX"/>
        </w:rPr>
        <w:t>n p</w:t>
      </w:r>
      <w:r w:rsidRPr="00480D85">
        <w:rPr>
          <w:rFonts w:ascii="Verdana" w:eastAsia="Times New Roman" w:hAnsi="Verdana" w:cs="Century Gothic"/>
          <w:lang w:eastAsia="es-MX"/>
        </w:rPr>
        <w:t>ú</w:t>
      </w:r>
      <w:r w:rsidRPr="00480D85">
        <w:rPr>
          <w:rFonts w:ascii="Verdana" w:eastAsia="Times New Roman" w:hAnsi="Verdana" w:cs="Arial"/>
          <w:lang w:eastAsia="es-MX"/>
        </w:rPr>
        <w:t>blica, como expresiones del derecho a la igualdad de oportunidades para quienes tengan inter</w:t>
      </w:r>
      <w:r w:rsidRPr="00480D85">
        <w:rPr>
          <w:rFonts w:ascii="Verdana" w:eastAsia="Times New Roman" w:hAnsi="Verdana" w:cs="Century Gothic"/>
          <w:lang w:eastAsia="es-MX"/>
        </w:rPr>
        <w:t>é</w:t>
      </w:r>
      <w:r w:rsidRPr="00480D85">
        <w:rPr>
          <w:rFonts w:ascii="Verdana" w:eastAsia="Times New Roman" w:hAnsi="Verdana" w:cs="Arial"/>
          <w:lang w:eastAsia="es-MX"/>
        </w:rPr>
        <w:t>s en participar en la contrataci</w:t>
      </w:r>
      <w:r w:rsidRPr="00480D85">
        <w:rPr>
          <w:rFonts w:ascii="Verdana" w:eastAsia="Times New Roman" w:hAnsi="Verdana" w:cs="Century Gothic"/>
          <w:lang w:eastAsia="es-MX"/>
        </w:rPr>
        <w:t>ó</w:t>
      </w:r>
      <w:r w:rsidRPr="00480D85">
        <w:rPr>
          <w:rFonts w:ascii="Verdana" w:eastAsia="Times New Roman" w:hAnsi="Verdana" w:cs="Arial"/>
          <w:lang w:eastAsia="es-MX"/>
        </w:rPr>
        <w:t>n estatal.</w:t>
      </w:r>
      <w:r>
        <w:rPr>
          <w:rFonts w:ascii="Verdana" w:eastAsia="Times New Roman" w:hAnsi="Verdana" w:cs="Arial"/>
          <w:lang w:eastAsia="es-MX"/>
        </w:rPr>
        <w:t xml:space="preserve"> </w:t>
      </w:r>
      <w:r w:rsidRPr="00480D85">
        <w:rPr>
          <w:rFonts w:ascii="Verdana" w:eastAsia="Times New Roman" w:hAnsi="Verdana" w:cs="Arial"/>
          <w:lang w:eastAsia="es-MX"/>
        </w:rPr>
        <w:t>La materializaci</w:t>
      </w:r>
      <w:r w:rsidRPr="00480D85">
        <w:rPr>
          <w:rFonts w:ascii="Verdana" w:eastAsia="Times New Roman" w:hAnsi="Verdana" w:cs="Century Gothic"/>
          <w:lang w:eastAsia="es-MX"/>
        </w:rPr>
        <w:t>ó</w:t>
      </w:r>
      <w:r w:rsidRPr="00480D85">
        <w:rPr>
          <w:rFonts w:ascii="Verdana" w:eastAsia="Times New Roman" w:hAnsi="Verdana" w:cs="Arial"/>
          <w:lang w:eastAsia="es-MX"/>
        </w:rPr>
        <w:t>n de esos principios pretende que no exista discriminaci</w:t>
      </w:r>
      <w:r w:rsidRPr="00480D85">
        <w:rPr>
          <w:rFonts w:ascii="Verdana" w:eastAsia="Times New Roman" w:hAnsi="Verdana" w:cs="Century Gothic"/>
          <w:lang w:eastAsia="es-MX"/>
        </w:rPr>
        <w:t>ó</w:t>
      </w:r>
      <w:r w:rsidRPr="00480D85">
        <w:rPr>
          <w:rFonts w:ascii="Verdana" w:eastAsia="Times New Roman" w:hAnsi="Verdana" w:cs="Arial"/>
          <w:lang w:eastAsia="es-MX"/>
        </w:rPr>
        <w:t>n y que las entidades no impongan limitaciones a través de reglas que impidan la concurrencia para obtener mejores condiciones de contratación. Sin embargo, se admiten excepciones que busquen condiciones del contratista que sean favorables a los intereses del Estado y aseguren la transparencia del procedimiento como las inhabilidades e incompatibilidades</w:t>
      </w:r>
      <w:r w:rsidRPr="00480D85">
        <w:rPr>
          <w:rFonts w:ascii="Verdana" w:eastAsia="Times New Roman" w:hAnsi="Verdana" w:cs="Arial"/>
          <w:vertAlign w:val="superscript"/>
          <w:lang w:eastAsia="es-MX"/>
        </w:rPr>
        <w:footnoteReference w:id="6"/>
      </w:r>
      <w:r w:rsidRPr="00480D85">
        <w:rPr>
          <w:rFonts w:ascii="Verdana" w:eastAsia="Times New Roman" w:hAnsi="Verdana" w:cs="Arial"/>
          <w:lang w:eastAsia="es-MX"/>
        </w:rPr>
        <w:t>.</w:t>
      </w:r>
    </w:p>
    <w:p w14:paraId="7FCB1649" w14:textId="77777777" w:rsidR="008402AB" w:rsidRPr="00480D85" w:rsidRDefault="008402AB" w:rsidP="008402AB">
      <w:pPr>
        <w:spacing w:after="120" w:line="276" w:lineRule="auto"/>
        <w:ind w:firstLine="708"/>
        <w:jc w:val="both"/>
        <w:rPr>
          <w:rFonts w:ascii="Verdana" w:eastAsia="Times New Roman" w:hAnsi="Verdana" w:cs="Arial"/>
          <w:lang w:eastAsia="es-MX"/>
        </w:rPr>
      </w:pPr>
      <w:r w:rsidRPr="00480D85">
        <w:rPr>
          <w:rFonts w:ascii="Verdana" w:eastAsia="Times New Roman" w:hAnsi="Verdana" w:cs="Arial"/>
          <w:lang w:eastAsia="es-MX"/>
        </w:rPr>
        <w:t xml:space="preserve">Así las cosas, la contratación directa es una excepción al principio de libre concurrencia y competencia, que se aplica en los procesos de contratación, para que cualquier persona interesada en satisfacer la necesidad de una entidad pueda presentar una oferta. Por ello, es de aplicación restrictiva, esto es, solo procede por las causales señaladas taxativamente en el numeral 4 del artículo 2 de la Ley 1150 de 2007. En tal sentido, su aplicación no puede efectuarse por fuera del contenido normativo citado, ni operar más allá de lo que la misma norma dispone, dentro del contexto del ordenamiento jurídico de la contratación estatal. </w:t>
      </w:r>
    </w:p>
    <w:p w14:paraId="2D22F970" w14:textId="77777777" w:rsidR="008402AB" w:rsidRPr="00480D85" w:rsidRDefault="008402AB" w:rsidP="008402AB">
      <w:pPr>
        <w:spacing w:after="120" w:line="276" w:lineRule="auto"/>
        <w:ind w:right="45" w:firstLine="709"/>
        <w:jc w:val="both"/>
        <w:rPr>
          <w:rFonts w:ascii="Verdana" w:eastAsia="Times New Roman" w:hAnsi="Verdana" w:cs="Arial"/>
          <w:lang w:eastAsia="es-MX"/>
        </w:rPr>
      </w:pPr>
      <w:r w:rsidRPr="00480D85">
        <w:rPr>
          <w:rFonts w:ascii="Verdana" w:eastAsia="Times New Roman" w:hAnsi="Verdana" w:cs="Arial"/>
          <w:lang w:eastAsia="es-MX"/>
        </w:rPr>
        <w:t xml:space="preserve">Igualmente, esta excepción al deber de procurar la pluralidad de ofertas es considerada por el Consejo de Estado como un método que permite satisfacer la selección objetiva. De esta manera, aunque en la contratación directa no es necesaria la comparación de ofertas, no desconoce lo previsto en el artículo 5 de la Ley 1150 de 2007. Por ello, la jurisprudencia explica que: “[…] se ha aceptado que la selección objetiva fundada en el ofrecimiento más favorable no depende únicamente del cotejo entre ofertas sino también de métodos que, aun prescindiendo de dicha comparación, garanticen que la respectiva escogencia se ajuste a los criterios legales de selección objetiva, a los precios o condiciones </w:t>
      </w:r>
      <w:r w:rsidRPr="00480D85">
        <w:rPr>
          <w:rFonts w:ascii="Verdana" w:eastAsia="Times New Roman" w:hAnsi="Verdana" w:cs="Arial"/>
          <w:lang w:eastAsia="es-MX"/>
        </w:rPr>
        <w:lastRenderedPageBreak/>
        <w:t>del mercado y a los estudios y deducciones de la entidad o de los organismos consultores o asesores designados para ello”</w:t>
      </w:r>
      <w:r w:rsidRPr="00480D85">
        <w:rPr>
          <w:rFonts w:ascii="Verdana" w:eastAsia="Times New Roman" w:hAnsi="Verdana" w:cs="Arial"/>
          <w:vertAlign w:val="superscript"/>
          <w:lang w:eastAsia="es-MX"/>
        </w:rPr>
        <w:footnoteReference w:id="7"/>
      </w:r>
      <w:r w:rsidRPr="00480D85">
        <w:rPr>
          <w:rFonts w:ascii="Verdana" w:eastAsia="Times New Roman" w:hAnsi="Verdana" w:cs="Arial"/>
          <w:lang w:eastAsia="es-MX"/>
        </w:rPr>
        <w:t>.</w:t>
      </w:r>
    </w:p>
    <w:p w14:paraId="31C80E63" w14:textId="77777777" w:rsidR="008402AB" w:rsidRPr="00480D85" w:rsidRDefault="008402AB" w:rsidP="008402AB">
      <w:pPr>
        <w:spacing w:after="0" w:line="276" w:lineRule="auto"/>
        <w:ind w:firstLine="708"/>
        <w:jc w:val="both"/>
        <w:rPr>
          <w:rFonts w:ascii="Verdana" w:eastAsia="Times New Roman" w:hAnsi="Verdana" w:cs="Arial"/>
          <w:lang w:eastAsia="es-MX"/>
        </w:rPr>
      </w:pPr>
      <w:r w:rsidRPr="00480D85">
        <w:rPr>
          <w:rFonts w:ascii="Verdana" w:eastAsia="Times New Roman" w:hAnsi="Verdana" w:cs="Arial"/>
          <w:lang w:eastAsia="es-MX"/>
        </w:rPr>
        <w:t>De este modo, en la contratación directa no es necesario que la entidad reciba más de una oferta, pues la contratación se realiza con quien la entidad escoja libremente, bajo criterios que permitan adoptar una decisión objetiva en procura del cumplimiento de las necesidades de la administración</w:t>
      </w:r>
      <w:r w:rsidRPr="00480D85">
        <w:rPr>
          <w:rFonts w:ascii="Verdana" w:eastAsia="Times New Roman" w:hAnsi="Verdana" w:cs="Arial"/>
          <w:vertAlign w:val="superscript"/>
          <w:lang w:eastAsia="es-MX"/>
        </w:rPr>
        <w:footnoteReference w:id="8"/>
      </w:r>
      <w:r w:rsidRPr="00480D85">
        <w:rPr>
          <w:rFonts w:ascii="Verdana" w:eastAsia="Times New Roman" w:hAnsi="Verdana" w:cs="Arial"/>
          <w:lang w:eastAsia="es-MX"/>
        </w:rPr>
        <w:t>. Esta contratación puede estar fundada en que el proponente es único</w:t>
      </w:r>
      <w:r>
        <w:rPr>
          <w:rFonts w:ascii="Verdana" w:eastAsia="Times New Roman" w:hAnsi="Verdana" w:cs="Arial"/>
          <w:lang w:eastAsia="es-MX"/>
        </w:rPr>
        <w:t>, existe alguna situación de urgencia manifiesta</w:t>
      </w:r>
      <w:r w:rsidRPr="00480D85">
        <w:rPr>
          <w:rFonts w:ascii="Verdana" w:eastAsia="Times New Roman" w:hAnsi="Verdana" w:cs="Arial"/>
          <w:lang w:eastAsia="es-MX"/>
        </w:rPr>
        <w:t xml:space="preserve"> o el legislador privilegió algunos objetos contractuales u oferentes para contratarlos de manera directa, teniendo en cuenta las causales expresamente señaladas en la ley. </w:t>
      </w:r>
    </w:p>
    <w:p w14:paraId="62DCB77E" w14:textId="77777777" w:rsidR="008402AB" w:rsidRPr="00480D85" w:rsidRDefault="008402AB" w:rsidP="008402AB">
      <w:pPr>
        <w:spacing w:before="120" w:after="120" w:line="276" w:lineRule="auto"/>
        <w:ind w:firstLine="709"/>
        <w:jc w:val="both"/>
        <w:rPr>
          <w:rFonts w:ascii="Verdana" w:eastAsia="Times New Roman" w:hAnsi="Verdana" w:cs="Arial"/>
          <w:lang w:eastAsia="es-MX"/>
        </w:rPr>
      </w:pPr>
      <w:r w:rsidRPr="00480D85">
        <w:rPr>
          <w:rFonts w:ascii="Verdana" w:eastAsia="Times New Roman" w:hAnsi="Verdana" w:cs="Arial"/>
          <w:lang w:eastAsia="es-MX"/>
        </w:rPr>
        <w:t xml:space="preserve">Todo lo anterior implica que el proceso de contratación directa sea simplificado, corto, ágil y expedito, por no exigir el agotamiento de una convocatoria pública o la realización de un proceso competitivo. Sin embargo, estas características no eximen a las entidades estatales de garantizar los principios rectores de la contratación pública. Por ello, cabe destacar que existe otra diferencia fundamental con las modalidades de selección competitivas mencionadas: en la contratación directa no se otorga puntaje a las ofertas para ponderarlas y elegir el ofrecimiento más favorable, pues la entidad recibe solo una oferta. Sobre este particular el Consejo de Estado explica que “Se define la expresión contratación directa entendida como cualquier mecanismo de escogencia del contratista en el que se prescinde de la licitación o concurso, sin que se tenga en cuenta por el legislador estatutario el régimen de contratación aplicable, ya sea contenido en el Estatuto General de Contratación de la </w:t>
      </w:r>
      <w:r w:rsidRPr="00480D85">
        <w:rPr>
          <w:rFonts w:ascii="Verdana" w:eastAsia="Times New Roman" w:hAnsi="Verdana" w:cs="Arial"/>
          <w:lang w:eastAsia="es-MX"/>
        </w:rPr>
        <w:lastRenderedPageBreak/>
        <w:t>Administración Pública - ley 80 de 1993 -, o uno especial en razón del objeto del contrato o del órgano que contrata”</w:t>
      </w:r>
      <w:r w:rsidRPr="00480D85">
        <w:rPr>
          <w:rFonts w:ascii="Verdana" w:eastAsia="Times New Roman" w:hAnsi="Verdana" w:cs="Arial"/>
          <w:vertAlign w:val="superscript"/>
          <w:lang w:eastAsia="es-MX"/>
        </w:rPr>
        <w:footnoteReference w:id="9"/>
      </w:r>
      <w:r w:rsidRPr="00480D85">
        <w:rPr>
          <w:rFonts w:ascii="Verdana" w:eastAsia="Times New Roman" w:hAnsi="Verdana" w:cs="Arial"/>
          <w:lang w:eastAsia="es-MX"/>
        </w:rPr>
        <w:t>.</w:t>
      </w:r>
    </w:p>
    <w:p w14:paraId="48783A35" w14:textId="77777777" w:rsidR="008402AB" w:rsidRPr="00480D85" w:rsidRDefault="008402AB" w:rsidP="008402AB">
      <w:pPr>
        <w:spacing w:after="120" w:line="276" w:lineRule="auto"/>
        <w:ind w:firstLine="709"/>
        <w:jc w:val="both"/>
        <w:rPr>
          <w:rFonts w:ascii="Verdana" w:eastAsia="Times New Roman" w:hAnsi="Verdana" w:cs="Arial"/>
          <w:lang w:eastAsia="es-MX"/>
        </w:rPr>
      </w:pPr>
      <w:r w:rsidRPr="00480D85">
        <w:rPr>
          <w:rFonts w:ascii="Verdana" w:eastAsia="Times New Roman" w:hAnsi="Verdana" w:cs="Arial"/>
          <w:lang w:eastAsia="es-MX"/>
        </w:rPr>
        <w:t>Por consiguiente, en la contratación directa la entidad no establece puntaje para ponderar ofertas, porque se presenta una sola oferta, la cual corresponde a la de la persona a quien la entidad invitó y seleccionó en forma directa. En todo caso, se debe garantizar el cumplimiento de los principios de la función administrativa y la gestión fiscal consagrados en los artículos 209 y 267 de la Constitución Política.</w:t>
      </w:r>
    </w:p>
    <w:p w14:paraId="475DF080" w14:textId="77777777" w:rsidR="008402AB" w:rsidRPr="00A37C32" w:rsidRDefault="008402AB" w:rsidP="008402AB">
      <w:pPr>
        <w:spacing w:after="120" w:line="276" w:lineRule="auto"/>
        <w:ind w:firstLine="709"/>
        <w:jc w:val="both"/>
        <w:rPr>
          <w:rFonts w:ascii="Verdana" w:hAnsi="Verdana" w:cs="Arial"/>
          <w:bCs/>
          <w:lang w:val="es-MX"/>
        </w:rPr>
      </w:pPr>
      <w:r w:rsidRPr="00480D85">
        <w:rPr>
          <w:rFonts w:ascii="Verdana" w:eastAsia="Times New Roman" w:hAnsi="Verdana" w:cs="Arial"/>
          <w:lang w:eastAsia="es-MX"/>
        </w:rPr>
        <w:t xml:space="preserve">De esta </w:t>
      </w:r>
      <w:r w:rsidRPr="00197520">
        <w:rPr>
          <w:rFonts w:ascii="Verdana" w:eastAsia="Times New Roman" w:hAnsi="Verdana" w:cs="Arial"/>
          <w:lang w:eastAsia="es-MX"/>
        </w:rPr>
        <w:t>manera, el literal m) del artículo 2.4 de la Ley 1150 de 2007 –adicionado por</w:t>
      </w:r>
      <w:r w:rsidRPr="00197520">
        <w:rPr>
          <w:rFonts w:ascii="Verdana" w:eastAsia="Century Gothic" w:hAnsi="Verdana" w:cs="Century Gothic"/>
          <w:lang w:val="es-ES"/>
        </w:rPr>
        <w:t xml:space="preserve"> el artículo por el artículo 2 de la Ley 2160 de 2021– </w:t>
      </w:r>
      <w:r w:rsidRPr="00197520">
        <w:rPr>
          <w:rFonts w:ascii="Verdana" w:eastAsia="Times New Roman" w:hAnsi="Verdana" w:cs="Arial"/>
          <w:lang w:eastAsia="es-MX"/>
        </w:rPr>
        <w:t xml:space="preserve">permite la contratación directa </w:t>
      </w:r>
      <w:r>
        <w:rPr>
          <w:rFonts w:ascii="Verdana" w:eastAsia="Times New Roman" w:hAnsi="Verdana" w:cs="Arial"/>
          <w:lang w:eastAsia="es-MX"/>
        </w:rPr>
        <w:t xml:space="preserve">con </w:t>
      </w:r>
      <w:r w:rsidRPr="00197520">
        <w:rPr>
          <w:rFonts w:ascii="Verdana" w:eastAsia="Times New Roman" w:hAnsi="Verdana" w:cs="Arial"/>
          <w:lang w:eastAsia="es-MX"/>
        </w:rPr>
        <w:t>“[…] los consejos comunitarios de las comunidades negras, regulados por la Ley 70 de 1993</w:t>
      </w:r>
      <w:r>
        <w:rPr>
          <w:rFonts w:ascii="Verdana" w:eastAsia="Times New Roman" w:hAnsi="Verdana" w:cs="Arial"/>
          <w:lang w:eastAsia="es-MX"/>
        </w:rPr>
        <w:t xml:space="preserve"> […]”. En este caso, la entidad debe verificar que “[…] </w:t>
      </w:r>
      <w:r w:rsidRPr="00197520">
        <w:rPr>
          <w:rFonts w:ascii="Verdana" w:eastAsia="Times New Roman" w:hAnsi="Verdana" w:cs="Arial"/>
          <w:lang w:eastAsia="es-MX"/>
        </w:rPr>
        <w:t>se encuentren incorporados por el Ministerio del Interior en el correspondiente Registro Público Único Nacional y que hayan cumplido con el deber de actualización de información en el mismo registro</w:t>
      </w:r>
      <w:r>
        <w:rPr>
          <w:rFonts w:ascii="Verdana" w:eastAsia="Times New Roman" w:hAnsi="Verdana" w:cs="Arial"/>
          <w:lang w:eastAsia="es-MX"/>
        </w:rPr>
        <w:t xml:space="preserve"> […]”. Sin embargo, la aplicación de la causal requiere que el objeto “[…] </w:t>
      </w:r>
      <w:r w:rsidRPr="00197520">
        <w:rPr>
          <w:rFonts w:ascii="Verdana" w:eastAsia="Times New Roman" w:hAnsi="Verdana" w:cs="Arial"/>
          <w:lang w:eastAsia="es-MX"/>
        </w:rPr>
        <w:t>esté relacionado con el fortalecimiento del gobierno propio, la identidad étnica y cultural, el ejercicio de la autonomía, y/o la garantía de los derechos de los pueblos de las mismas comunidades</w:t>
      </w:r>
      <w:r>
        <w:rPr>
          <w:rFonts w:ascii="Verdana" w:eastAsia="Times New Roman" w:hAnsi="Verdana" w:cs="Arial"/>
          <w:lang w:eastAsia="es-MX"/>
        </w:rPr>
        <w:t xml:space="preserve">”. Por tanto, si no tiene como propósito el cumplimiento de uno o varios de estos objetivos, deben privilegiarse los procedimientos de selección con pluralidad de oferentes, especialmente, cuando la contratación directa es excepcional y, por tanto, las causales son de interpretación estricta.   </w:t>
      </w:r>
      <w:r w:rsidRPr="00197520">
        <w:rPr>
          <w:rFonts w:ascii="Verdana" w:eastAsia="Times New Roman" w:hAnsi="Verdana" w:cs="Arial"/>
          <w:lang w:eastAsia="es-MX"/>
        </w:rPr>
        <w:t xml:space="preserve"> </w:t>
      </w:r>
    </w:p>
    <w:p w14:paraId="79E031E4" w14:textId="77777777" w:rsidR="008402AB" w:rsidRPr="006162A9" w:rsidRDefault="008402AB" w:rsidP="008402AB">
      <w:pPr>
        <w:widowControl w:val="0"/>
        <w:autoSpaceDE w:val="0"/>
        <w:autoSpaceDN w:val="0"/>
        <w:spacing w:after="0" w:line="276" w:lineRule="auto"/>
        <w:ind w:firstLine="708"/>
        <w:jc w:val="both"/>
        <w:rPr>
          <w:rFonts w:ascii="Verdana" w:hAnsi="Verdana"/>
        </w:rPr>
      </w:pPr>
      <w:r w:rsidRPr="00301910">
        <w:rPr>
          <w:rFonts w:ascii="Verdana" w:hAnsi="Verdana" w:cs="Arial"/>
          <w:lang w:eastAsia="es-ES"/>
        </w:rPr>
        <w:t>Al margen de la explicación precedente</w:t>
      </w:r>
      <w:r>
        <w:rPr>
          <w:rFonts w:ascii="Verdana" w:hAnsi="Verdana" w:cs="Arial"/>
          <w:lang w:eastAsia="es-ES"/>
        </w:rPr>
        <w:t xml:space="preserve"> </w:t>
      </w:r>
      <w:r w:rsidRPr="00301910">
        <w:rPr>
          <w:rFonts w:ascii="Verdana" w:hAnsi="Verdana" w:cs="Arial"/>
          <w:lang w:eastAsia="es-ES"/>
        </w:rPr>
        <w:t>debe advertirse que el análisis requerido</w:t>
      </w:r>
      <w:r>
        <w:rPr>
          <w:rFonts w:ascii="Verdana" w:hAnsi="Verdana" w:cs="Arial"/>
          <w:lang w:eastAsia="es-ES"/>
        </w:rPr>
        <w:t xml:space="preserve"> </w:t>
      </w:r>
      <w:r w:rsidRPr="00301910">
        <w:rPr>
          <w:rFonts w:ascii="Verdana" w:hAnsi="Verdana" w:cs="Arial"/>
          <w:lang w:eastAsia="es-ES"/>
        </w:rPr>
        <w:t>para</w:t>
      </w:r>
      <w:r>
        <w:rPr>
          <w:rFonts w:ascii="Verdana" w:hAnsi="Verdana" w:cs="Arial"/>
          <w:lang w:eastAsia="es-ES"/>
        </w:rPr>
        <w:t xml:space="preserve"> resolver problemas específicos en torno a la gestión contractual </w:t>
      </w:r>
      <w:r w:rsidRPr="00301910">
        <w:rPr>
          <w:rFonts w:ascii="Verdana" w:hAnsi="Verdana" w:cs="Arial"/>
          <w:lang w:eastAsia="es-ES"/>
        </w:rPr>
        <w:t>debe ser realizado por</w:t>
      </w:r>
      <w:r>
        <w:rPr>
          <w:rFonts w:ascii="Verdana" w:hAnsi="Verdana" w:cs="Arial"/>
          <w:lang w:eastAsia="es-ES"/>
        </w:rPr>
        <w:t xml:space="preserve"> </w:t>
      </w:r>
      <w:r w:rsidRPr="00301910">
        <w:rPr>
          <w:rFonts w:ascii="Verdana" w:hAnsi="Verdana" w:cs="Arial"/>
          <w:lang w:eastAsia="es-ES"/>
        </w:rPr>
        <w:t>quienes tengan interés en ello, de acuerdo con lo explicado</w:t>
      </w:r>
      <w:r>
        <w:rPr>
          <w:rFonts w:ascii="Verdana" w:hAnsi="Verdana" w:cs="Arial"/>
          <w:lang w:eastAsia="es-ES"/>
        </w:rPr>
        <w:t xml:space="preserve"> </w:t>
      </w:r>
      <w:r w:rsidRPr="00301910">
        <w:rPr>
          <w:rFonts w:ascii="Verdana" w:hAnsi="Verdana" w:cs="Arial"/>
          <w:lang w:eastAsia="es-ES"/>
        </w:rPr>
        <w:t>la aclaración preliminar del presente oficio. De esta manera, las afirmaciones aquí realizadas</w:t>
      </w:r>
      <w:r>
        <w:rPr>
          <w:rFonts w:ascii="Verdana" w:hAnsi="Verdana" w:cs="Arial"/>
          <w:lang w:eastAsia="es-ES"/>
        </w:rPr>
        <w:t xml:space="preserve"> </w:t>
      </w:r>
      <w:r w:rsidRPr="00301910">
        <w:rPr>
          <w:rFonts w:ascii="Verdana" w:hAnsi="Verdana" w:cs="Arial"/>
          <w:lang w:eastAsia="es-ES"/>
        </w:rPr>
        <w:t>no</w:t>
      </w:r>
      <w:r>
        <w:rPr>
          <w:rFonts w:ascii="Verdana" w:hAnsi="Verdana" w:cs="Arial"/>
          <w:lang w:eastAsia="es-ES"/>
        </w:rPr>
        <w:t xml:space="preserve"> </w:t>
      </w:r>
      <w:r w:rsidRPr="00301910">
        <w:rPr>
          <w:rFonts w:ascii="Verdana" w:hAnsi="Verdana" w:cs="Arial"/>
          <w:lang w:eastAsia="es-ES"/>
        </w:rPr>
        <w:t>pueden ser interpretadas como juicios de valor sobre circunstancias</w:t>
      </w:r>
      <w:r>
        <w:rPr>
          <w:rFonts w:ascii="Verdana" w:hAnsi="Verdana" w:cs="Arial"/>
          <w:lang w:eastAsia="es-ES"/>
        </w:rPr>
        <w:t xml:space="preserve"> </w:t>
      </w:r>
      <w:r w:rsidRPr="00301910">
        <w:rPr>
          <w:rFonts w:ascii="Verdana" w:hAnsi="Verdana" w:cs="Arial"/>
          <w:lang w:eastAsia="es-ES"/>
        </w:rPr>
        <w:t>concretas</w:t>
      </w:r>
      <w:r>
        <w:rPr>
          <w:rFonts w:ascii="Verdana" w:hAnsi="Verdana" w:cs="Arial"/>
          <w:lang w:eastAsia="es-ES"/>
        </w:rPr>
        <w:t xml:space="preserve"> </w:t>
      </w:r>
      <w:r w:rsidRPr="00301910">
        <w:rPr>
          <w:rFonts w:ascii="Verdana" w:hAnsi="Verdana" w:cs="Arial"/>
          <w:lang w:eastAsia="es-ES"/>
        </w:rPr>
        <w:t>relacionadas con los hechos que motivan la</w:t>
      </w:r>
      <w:r>
        <w:rPr>
          <w:rFonts w:ascii="Verdana" w:hAnsi="Verdana" w:cs="Arial"/>
          <w:lang w:eastAsia="es-ES"/>
        </w:rPr>
        <w:t xml:space="preserve"> </w:t>
      </w:r>
      <w:r w:rsidRPr="00301910">
        <w:rPr>
          <w:rFonts w:ascii="Verdana" w:hAnsi="Verdana" w:cs="Arial"/>
          <w:lang w:eastAsia="es-ES"/>
        </w:rPr>
        <w:t>consulta.</w:t>
      </w:r>
      <w:r>
        <w:rPr>
          <w:rFonts w:ascii="Verdana" w:hAnsi="Verdana" w:cs="Arial"/>
          <w:lang w:eastAsia="es-ES"/>
        </w:rPr>
        <w:t xml:space="preserve"> Es decir, en función del régimen contractual aplicable las </w:t>
      </w:r>
      <w:r w:rsidRPr="00B47324">
        <w:rPr>
          <w:rFonts w:ascii="Verdana" w:eastAsia="Century Gothic" w:hAnsi="Verdana" w:cs="Century Gothic"/>
          <w:lang w:val="es-ES"/>
        </w:rPr>
        <w:t>corporaciones autónomas regionales</w:t>
      </w:r>
      <w:r>
        <w:rPr>
          <w:rFonts w:ascii="Verdana" w:eastAsia="Century Gothic" w:hAnsi="Verdana" w:cs="Century Gothic"/>
          <w:lang w:val="es-ES"/>
        </w:rPr>
        <w:t xml:space="preserve">, les corresponde determinar si se cumplen o no las condiciones de causal de contratación directa del </w:t>
      </w:r>
      <w:r w:rsidRPr="00197520">
        <w:rPr>
          <w:rFonts w:ascii="Verdana" w:eastAsia="Times New Roman" w:hAnsi="Verdana" w:cs="Arial"/>
          <w:lang w:eastAsia="es-MX"/>
        </w:rPr>
        <w:t>literal m) del artículo 2.4 de la Ley 1150 de 2007</w:t>
      </w:r>
      <w:r>
        <w:rPr>
          <w:rFonts w:ascii="Verdana" w:eastAsia="Century Gothic" w:hAnsi="Verdana" w:cs="Century Gothic"/>
          <w:lang w:val="es-ES"/>
        </w:rPr>
        <w:t xml:space="preserve">, y establecer los requisitos para la celebración del negocio jurídico en los documentos del proceso de acuerdo con el marco normativo vigente. </w:t>
      </w:r>
      <w:r w:rsidRPr="00301910">
        <w:rPr>
          <w:rFonts w:ascii="Verdana" w:hAnsi="Verdana" w:cs="Arial"/>
          <w:lang w:eastAsia="es-ES"/>
        </w:rPr>
        <w:t xml:space="preserve">Por lo anterior, previo concepto de sus asesores, la solución de </w:t>
      </w:r>
      <w:r w:rsidRPr="00301910">
        <w:rPr>
          <w:rFonts w:ascii="Verdana" w:hAnsi="Verdana" w:cs="Arial"/>
          <w:lang w:eastAsia="es-ES"/>
        </w:rPr>
        <w:lastRenderedPageBreak/>
        <w:t>situaciones particulares corresponde a los interesados</w:t>
      </w:r>
      <w:r>
        <w:rPr>
          <w:rFonts w:ascii="Verdana" w:hAnsi="Verdana" w:cs="Arial"/>
          <w:lang w:eastAsia="es-ES"/>
        </w:rPr>
        <w:t xml:space="preserve"> </w:t>
      </w:r>
      <w:r w:rsidRPr="00301910">
        <w:rPr>
          <w:rFonts w:ascii="Verdana" w:hAnsi="Verdana" w:cs="Arial"/>
          <w:lang w:eastAsia="es-ES"/>
        </w:rPr>
        <w:t>adoptar la decisión correspondiente y, en caso de conflicto, a las autoridades judiciales, fiscales y disciplinarias.</w:t>
      </w:r>
    </w:p>
    <w:p w14:paraId="28E6FE67" w14:textId="77777777" w:rsidR="008402AB" w:rsidRPr="00301910" w:rsidRDefault="008402AB" w:rsidP="008402AB">
      <w:pPr>
        <w:spacing w:before="120" w:after="0" w:line="276" w:lineRule="auto"/>
        <w:ind w:firstLine="709"/>
        <w:jc w:val="both"/>
        <w:rPr>
          <w:rFonts w:ascii="Verdana" w:hAnsi="Verdana" w:cs="Arial"/>
          <w:lang w:eastAsia="es-ES"/>
        </w:rPr>
      </w:pPr>
      <w:r w:rsidRPr="00301910">
        <w:rPr>
          <w:rFonts w:ascii="Verdana" w:hAnsi="Verdana" w:cs="Arial"/>
          <w:lang w:eastAsia="es-ES"/>
        </w:rPr>
        <w:t>Dentro de este marco, la entidad contratante definirá en cada caso concreto lo</w:t>
      </w:r>
      <w:r>
        <w:rPr>
          <w:rFonts w:ascii="Verdana" w:hAnsi="Verdana" w:cs="Arial"/>
          <w:lang w:eastAsia="es-ES"/>
        </w:rPr>
        <w:t xml:space="preserve"> </w:t>
      </w:r>
      <w:r w:rsidRPr="00301910">
        <w:rPr>
          <w:rFonts w:ascii="Verdana" w:hAnsi="Verdana" w:cs="Arial"/>
          <w:lang w:eastAsia="es-ES"/>
        </w:rPr>
        <w:t>relacionado con el tema objeto de consulta. Al tratarse de un análisis</w:t>
      </w:r>
      <w:r>
        <w:rPr>
          <w:rFonts w:ascii="Verdana" w:hAnsi="Verdana" w:cs="Arial"/>
          <w:lang w:eastAsia="es-ES"/>
        </w:rPr>
        <w:t xml:space="preserve"> </w:t>
      </w:r>
      <w:r w:rsidRPr="00301910">
        <w:rPr>
          <w:rFonts w:ascii="Verdana" w:hAnsi="Verdana" w:cs="Arial"/>
          <w:lang w:eastAsia="es-ES"/>
        </w:rPr>
        <w:t xml:space="preserve">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w:t>
      </w:r>
      <w:r>
        <w:rPr>
          <w:rFonts w:ascii="Verdana" w:hAnsi="Verdana" w:cs="Arial"/>
          <w:lang w:eastAsia="es-ES"/>
        </w:rPr>
        <w:t>Así</w:t>
      </w:r>
      <w:r w:rsidRPr="00301910">
        <w:rPr>
          <w:rFonts w:ascii="Verdana" w:hAnsi="Verdana" w:cs="Arial"/>
          <w:lang w:eastAsia="es-ES"/>
        </w:rPr>
        <w:t>, cada entidad definirá la forma de adelantar su gestión contractual, sin que sea atribución de Colombia Compra Eficiente validar sus actuaciones.</w:t>
      </w:r>
    </w:p>
    <w:p w14:paraId="40BA7196" w14:textId="77777777" w:rsidR="008402AB" w:rsidRPr="00182C89" w:rsidRDefault="008402AB" w:rsidP="008402AB">
      <w:pPr>
        <w:tabs>
          <w:tab w:val="left" w:pos="709"/>
        </w:tabs>
        <w:spacing w:after="0" w:line="276" w:lineRule="auto"/>
        <w:jc w:val="both"/>
        <w:rPr>
          <w:rFonts w:ascii="Verdana" w:eastAsia="Calibri" w:hAnsi="Verdana" w:cs="Arial"/>
          <w:color w:val="000000" w:themeColor="text1"/>
        </w:rPr>
      </w:pPr>
    </w:p>
    <w:p w14:paraId="4BA45BDC" w14:textId="77777777" w:rsidR="008402AB" w:rsidRPr="00593A5F" w:rsidRDefault="008402AB" w:rsidP="008402A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7B64F4FD" w14:textId="77777777" w:rsidR="008402AB" w:rsidRPr="00593A5F" w:rsidRDefault="008402AB" w:rsidP="008402AB">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8402AB" w:rsidRPr="002407CE" w14:paraId="2D841148" w14:textId="77777777" w:rsidTr="0015053F">
        <w:trPr>
          <w:trHeight w:val="870"/>
          <w:jc w:val="center"/>
        </w:trPr>
        <w:tc>
          <w:tcPr>
            <w:tcW w:w="8647" w:type="dxa"/>
          </w:tcPr>
          <w:p w14:paraId="6B178797" w14:textId="77777777" w:rsidR="008402AB" w:rsidRDefault="008402AB" w:rsidP="008402AB">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Constitución Política de Colombia, artículos 150 y 352.</w:t>
            </w:r>
          </w:p>
          <w:p w14:paraId="00B9AB76" w14:textId="77777777" w:rsidR="008402AB" w:rsidRDefault="008402AB" w:rsidP="008402AB">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sidRPr="00DF13C1">
              <w:rPr>
                <w:rFonts w:ascii="Verdana" w:hAnsi="Verdana" w:cs="Arial"/>
              </w:rPr>
              <w:t>Ley 80 de 1993, artículo</w:t>
            </w:r>
            <w:r>
              <w:rPr>
                <w:rFonts w:ascii="Verdana" w:hAnsi="Verdana" w:cs="Arial"/>
              </w:rPr>
              <w:t xml:space="preserve"> 2</w:t>
            </w:r>
            <w:r w:rsidRPr="00DF13C1">
              <w:rPr>
                <w:rFonts w:ascii="Verdana" w:hAnsi="Verdana" w:cs="Arial"/>
              </w:rPr>
              <w:t>.</w:t>
            </w:r>
          </w:p>
          <w:p w14:paraId="6DF38E3A" w14:textId="77777777" w:rsidR="008402AB" w:rsidRDefault="008402AB" w:rsidP="008402AB">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99 de 1993, artículo 23.</w:t>
            </w:r>
          </w:p>
          <w:p w14:paraId="33A44866" w14:textId="77777777" w:rsidR="008402AB" w:rsidRPr="00DF13C1" w:rsidRDefault="008402AB" w:rsidP="008402AB">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1150 de 2007, artículos 2, 5 y 24</w:t>
            </w:r>
          </w:p>
          <w:p w14:paraId="407A43B3" w14:textId="77777777" w:rsidR="008402AB" w:rsidRPr="00C02F8B" w:rsidRDefault="008402AB" w:rsidP="008402AB">
            <w:pPr>
              <w:pStyle w:val="Prrafodelista"/>
              <w:widowControl w:val="0"/>
              <w:numPr>
                <w:ilvl w:val="0"/>
                <w:numId w:val="17"/>
              </w:numPr>
              <w:autoSpaceDE w:val="0"/>
              <w:autoSpaceDN w:val="0"/>
              <w:spacing w:line="276" w:lineRule="auto"/>
              <w:ind w:left="714" w:hanging="357"/>
              <w:contextualSpacing w:val="0"/>
              <w:jc w:val="both"/>
              <w:rPr>
                <w:rFonts w:ascii="Verdana" w:hAnsi="Verdana" w:cs="Arial"/>
              </w:rPr>
            </w:pPr>
            <w:r>
              <w:rPr>
                <w:rFonts w:ascii="Verdana" w:hAnsi="Verdana" w:cs="Arial"/>
              </w:rPr>
              <w:t>Decreto Ley 111 de 1996</w:t>
            </w:r>
            <w:r w:rsidRPr="00DF13C1">
              <w:rPr>
                <w:rFonts w:ascii="Verdana" w:hAnsi="Verdana" w:cs="Arial"/>
              </w:rPr>
              <w:t>, artículo</w:t>
            </w:r>
            <w:r>
              <w:rPr>
                <w:rFonts w:ascii="Verdana" w:hAnsi="Verdana" w:cs="Arial"/>
              </w:rPr>
              <w:t xml:space="preserve"> 110</w:t>
            </w:r>
            <w:r w:rsidRPr="00DF13C1">
              <w:rPr>
                <w:rFonts w:ascii="Verdana" w:hAnsi="Verdana" w:cs="Arial"/>
              </w:rPr>
              <w:t>.</w:t>
            </w:r>
          </w:p>
        </w:tc>
      </w:tr>
    </w:tbl>
    <w:p w14:paraId="3E97B62C" w14:textId="77777777" w:rsidR="008402AB" w:rsidRPr="002407CE" w:rsidRDefault="008402AB" w:rsidP="008402AB">
      <w:pPr>
        <w:widowControl w:val="0"/>
        <w:autoSpaceDE w:val="0"/>
        <w:autoSpaceDN w:val="0"/>
        <w:spacing w:after="0" w:line="276" w:lineRule="auto"/>
        <w:jc w:val="both"/>
        <w:rPr>
          <w:rFonts w:ascii="Verdana" w:hAnsi="Verdana" w:cs="Arial"/>
        </w:rPr>
      </w:pPr>
    </w:p>
    <w:p w14:paraId="5D34869B" w14:textId="77777777" w:rsidR="008402AB" w:rsidRPr="00593A5F" w:rsidRDefault="008402AB" w:rsidP="008402A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431CD33B" w14:textId="77777777" w:rsidR="008402AB" w:rsidRPr="00593A5F" w:rsidRDefault="008402AB" w:rsidP="008402AB">
      <w:pPr>
        <w:widowControl w:val="0"/>
        <w:autoSpaceDE w:val="0"/>
        <w:autoSpaceDN w:val="0"/>
        <w:spacing w:after="0" w:line="276" w:lineRule="auto"/>
        <w:jc w:val="both"/>
        <w:rPr>
          <w:rFonts w:ascii="Verdana" w:hAnsi="Verdana" w:cs="Arial"/>
        </w:rPr>
      </w:pPr>
    </w:p>
    <w:p w14:paraId="43E05FFE" w14:textId="6986C035" w:rsidR="008402AB" w:rsidRPr="00ED0098" w:rsidRDefault="00864729" w:rsidP="008402AB">
      <w:pPr>
        <w:widowControl w:val="0"/>
        <w:autoSpaceDE w:val="0"/>
        <w:autoSpaceDN w:val="0"/>
        <w:spacing w:after="0" w:line="276" w:lineRule="auto"/>
        <w:jc w:val="both"/>
        <w:rPr>
          <w:rStyle w:val="normaltextrun"/>
          <w:rFonts w:ascii="Verdana" w:hAnsi="Verdana" w:cs="Arial"/>
          <w:shd w:val="clear" w:color="auto" w:fill="FFFFFF"/>
        </w:rPr>
      </w:pPr>
      <w:r w:rsidRPr="00445B76">
        <w:rPr>
          <w:rFonts w:ascii="Verdana" w:eastAsia="Calibri" w:hAnsi="Verdana" w:cs="Arial"/>
          <w:lang w:val="es-ES_tradnl"/>
        </w:rPr>
        <w:t xml:space="preserve">La Agencia Nacional de Contratación Pública – Colombia Compra Eficiente se pronunció sobre </w:t>
      </w:r>
      <w:r>
        <w:rPr>
          <w:rFonts w:ascii="Verdana" w:eastAsia="Calibri" w:hAnsi="Verdana" w:cs="Arial"/>
          <w:lang w:val="es-ES_tradnl"/>
        </w:rPr>
        <w:t xml:space="preserve">la naturaleza </w:t>
      </w:r>
      <w:proofErr w:type="spellStart"/>
      <w:r>
        <w:rPr>
          <w:rFonts w:ascii="Verdana" w:eastAsia="Calibri" w:hAnsi="Verdana" w:cs="Arial"/>
          <w:lang w:val="es-ES_tradnl"/>
        </w:rPr>
        <w:t>juridica</w:t>
      </w:r>
      <w:proofErr w:type="spellEnd"/>
      <w:r>
        <w:rPr>
          <w:rFonts w:ascii="Verdana" w:eastAsia="Calibri" w:hAnsi="Verdana" w:cs="Arial"/>
          <w:lang w:val="es-ES_tradnl"/>
        </w:rPr>
        <w:t xml:space="preserve"> de las Corporaciones Autónomas Regionales en el </w:t>
      </w:r>
      <w:r w:rsidR="00F43444">
        <w:rPr>
          <w:rFonts w:ascii="Verdana" w:eastAsia="Calibri" w:hAnsi="Verdana" w:cs="Arial"/>
          <w:lang w:val="es-ES_tradnl"/>
        </w:rPr>
        <w:t>C</w:t>
      </w:r>
      <w:r>
        <w:rPr>
          <w:rFonts w:ascii="Verdana" w:eastAsia="Calibri" w:hAnsi="Verdana" w:cs="Arial"/>
          <w:lang w:val="es-ES_tradnl"/>
        </w:rPr>
        <w:t>oncepto C-</w:t>
      </w:r>
      <w:r w:rsidR="001206DE">
        <w:rPr>
          <w:rFonts w:ascii="Verdana" w:eastAsia="Calibri" w:hAnsi="Verdana" w:cs="Arial"/>
          <w:lang w:val="es-ES_tradnl"/>
        </w:rPr>
        <w:t>554</w:t>
      </w:r>
      <w:r w:rsidR="00D9023D">
        <w:rPr>
          <w:rFonts w:ascii="Verdana" w:eastAsia="Calibri" w:hAnsi="Verdana" w:cs="Arial"/>
          <w:lang w:val="es-ES_tradnl"/>
        </w:rPr>
        <w:t xml:space="preserve"> del 16 de octubre de 2024.</w:t>
      </w:r>
      <w:r>
        <w:rPr>
          <w:rFonts w:ascii="Verdana" w:eastAsia="Calibri" w:hAnsi="Verdana" w:cs="Arial"/>
          <w:lang w:val="es-ES_tradnl"/>
        </w:rPr>
        <w:t xml:space="preserve"> </w:t>
      </w:r>
      <w:r w:rsidR="008402AB" w:rsidRPr="00BA623F">
        <w:rPr>
          <w:rFonts w:ascii="Verdana" w:hAnsi="Verdana" w:cs="Arial"/>
          <w:shd w:val="clear" w:color="auto" w:fill="FFFFFF"/>
        </w:rPr>
        <w:t>Los conceptos de esta Subdirección se encuentran disponibles para consulta en el Sistema de relatoría de la Agencia, al cual puede accederse a través del siguiente enlace</w:t>
      </w:r>
      <w:r w:rsidR="008402AB" w:rsidRPr="008D0AB0">
        <w:rPr>
          <w:rStyle w:val="normaltextrun"/>
          <w:rFonts w:ascii="Verdana" w:hAnsi="Verdana" w:cs="Arial"/>
          <w:shd w:val="clear" w:color="auto" w:fill="FFFFFF"/>
        </w:rPr>
        <w:t xml:space="preserve">: </w:t>
      </w:r>
      <w:hyperlink r:id="rId12" w:history="1">
        <w:r w:rsidR="008402AB" w:rsidRPr="00186F77">
          <w:rPr>
            <w:rStyle w:val="Hipervnculo"/>
            <w:rFonts w:ascii="Verdana" w:hAnsi="Verdana" w:cs="Arial"/>
            <w:shd w:val="clear" w:color="auto" w:fill="FFFFFF"/>
          </w:rPr>
          <w:t>https://relatoria.colombiacompra.gov.co/busqueda/conceptos</w:t>
        </w:r>
      </w:hyperlink>
      <w:r w:rsidR="008402AB">
        <w:rPr>
          <w:rStyle w:val="normaltextrun"/>
          <w:rFonts w:ascii="Verdana" w:hAnsi="Verdana" w:cs="Arial"/>
          <w:shd w:val="clear" w:color="auto" w:fill="FFFFFF"/>
        </w:rPr>
        <w:t>.</w:t>
      </w:r>
      <w:r w:rsidR="008402AB" w:rsidRPr="008D0AB0">
        <w:rPr>
          <w:rStyle w:val="normaltextrun"/>
          <w:rFonts w:ascii="Verdana" w:hAnsi="Verdana" w:cs="Arial"/>
          <w:shd w:val="clear" w:color="auto" w:fill="FFFFFF"/>
        </w:rPr>
        <w:t xml:space="preserve"> </w:t>
      </w:r>
      <w:r w:rsidR="008402AB">
        <w:rPr>
          <w:rStyle w:val="normaltextrun"/>
          <w:rFonts w:ascii="Verdana" w:hAnsi="Verdana" w:cs="Arial"/>
          <w:color w:val="FF0000"/>
          <w:shd w:val="clear" w:color="auto" w:fill="FFFFFF"/>
          <w:lang w:val="es-ES"/>
        </w:rPr>
        <w:t xml:space="preserve"> </w:t>
      </w:r>
    </w:p>
    <w:p w14:paraId="32E3983B" w14:textId="45E49051" w:rsidR="008402AB" w:rsidRPr="00593A5F" w:rsidRDefault="008402AB" w:rsidP="008402AB">
      <w:pPr>
        <w:widowControl w:val="0"/>
        <w:autoSpaceDE w:val="0"/>
        <w:autoSpaceDN w:val="0"/>
        <w:spacing w:after="0" w:line="276" w:lineRule="auto"/>
        <w:jc w:val="both"/>
        <w:rPr>
          <w:rFonts w:ascii="Verdana" w:hAnsi="Verdana" w:cs="Arial"/>
        </w:rPr>
      </w:pPr>
      <w:r>
        <w:rPr>
          <w:rStyle w:val="normaltextrun"/>
          <w:rFonts w:ascii="Verdana" w:hAnsi="Verdana" w:cs="Arial"/>
          <w:color w:val="FF0000"/>
          <w:shd w:val="clear" w:color="auto" w:fill="FFFFFF"/>
          <w:lang w:val="es-ES"/>
        </w:rPr>
        <w:t xml:space="preserve"> </w:t>
      </w:r>
      <w:r w:rsidRPr="00A1554D">
        <w:rPr>
          <w:rStyle w:val="normaltextrun"/>
          <w:rFonts w:ascii="Verdana" w:hAnsi="Verdana" w:cs="Arial"/>
          <w:color w:val="FF0000"/>
          <w:shd w:val="clear" w:color="auto" w:fill="FFFFFF"/>
          <w:lang w:val="es-ES"/>
        </w:rPr>
        <w:t xml:space="preserve">    </w:t>
      </w:r>
    </w:p>
    <w:p w14:paraId="6053CD9F" w14:textId="77777777" w:rsidR="008402AB" w:rsidRPr="00593A5F" w:rsidRDefault="008402AB" w:rsidP="008402AB">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0A0443D4" w14:textId="77777777" w:rsidR="008402AB" w:rsidRPr="00593A5F" w:rsidRDefault="008402AB" w:rsidP="008402AB">
      <w:pPr>
        <w:widowControl w:val="0"/>
        <w:autoSpaceDE w:val="0"/>
        <w:autoSpaceDN w:val="0"/>
        <w:spacing w:after="0" w:line="276" w:lineRule="auto"/>
        <w:jc w:val="both"/>
        <w:rPr>
          <w:rFonts w:ascii="Verdana" w:hAnsi="Verdana" w:cs="Arial"/>
        </w:rPr>
      </w:pPr>
    </w:p>
    <w:p w14:paraId="60AAC12E" w14:textId="77777777" w:rsidR="008402AB" w:rsidRPr="00593A5F" w:rsidRDefault="008402AB" w:rsidP="008402AB">
      <w:pPr>
        <w:spacing w:after="0" w:line="240" w:lineRule="auto"/>
        <w:rPr>
          <w:rFonts w:ascii="Verdana" w:hAnsi="Verdana" w:cs="Arial"/>
          <w:lang w:eastAsia="es-CO"/>
        </w:rPr>
      </w:pPr>
      <w:r w:rsidRPr="00593A5F">
        <w:rPr>
          <w:rFonts w:ascii="Verdana" w:eastAsia="Times New Roman" w:hAnsi="Verdana" w:cs="Arial"/>
          <w:lang w:eastAsia="es-CO"/>
        </w:rPr>
        <w:lastRenderedPageBreak/>
        <w:t>Atentamente,</w:t>
      </w:r>
      <w:r w:rsidRPr="00593A5F">
        <w:rPr>
          <w:rFonts w:ascii="Verdana" w:hAnsi="Verdana" w:cs="Arial"/>
          <w:lang w:eastAsia="es-CO"/>
        </w:rPr>
        <w:t xml:space="preserve"> </w:t>
      </w:r>
    </w:p>
    <w:p w14:paraId="11C1DF26" w14:textId="0C4C9BF9" w:rsidR="008402AB" w:rsidRPr="00593A5F" w:rsidRDefault="00B0578A" w:rsidP="008402AB">
      <w:pPr>
        <w:spacing w:line="276" w:lineRule="auto"/>
        <w:jc w:val="center"/>
        <w:rPr>
          <w:rFonts w:ascii="Verdana" w:hAnsi="Verdana" w:cs="Arial"/>
          <w:color w:val="000000"/>
          <w:lang w:val="es-ES_tradnl" w:eastAsia="es-CO"/>
        </w:rPr>
      </w:pPr>
      <w:r>
        <w:rPr>
          <w:noProof/>
        </w:rPr>
        <w:drawing>
          <wp:inline distT="0" distB="0" distL="0" distR="0" wp14:anchorId="720865AA" wp14:editId="47310C2A">
            <wp:extent cx="3771900" cy="1400175"/>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3"/>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8402AB" w:rsidRPr="00593A5F" w14:paraId="4D36A986" w14:textId="77777777" w:rsidTr="0015053F">
        <w:trPr>
          <w:trHeight w:val="315"/>
        </w:trPr>
        <w:tc>
          <w:tcPr>
            <w:tcW w:w="893" w:type="dxa"/>
            <w:vAlign w:val="center"/>
            <w:hideMark/>
          </w:tcPr>
          <w:p w14:paraId="559A7BB0" w14:textId="77777777" w:rsidR="008402AB" w:rsidRPr="003751C7" w:rsidRDefault="008402AB" w:rsidP="0015053F">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2287E256" w14:textId="77777777" w:rsidR="008402AB" w:rsidRPr="00254A7A" w:rsidRDefault="008402AB" w:rsidP="0015053F">
            <w:pPr>
              <w:contextualSpacing/>
              <w:rPr>
                <w:rStyle w:val="normaltextrun"/>
                <w:rFonts w:ascii="Verdana" w:hAnsi="Verdana"/>
                <w:sz w:val="16"/>
                <w:szCs w:val="16"/>
              </w:rPr>
            </w:pPr>
            <w:r w:rsidRPr="00254A7A">
              <w:rPr>
                <w:rStyle w:val="normaltextrun"/>
                <w:rFonts w:ascii="Verdana" w:hAnsi="Verdana"/>
                <w:sz w:val="16"/>
                <w:szCs w:val="16"/>
              </w:rPr>
              <w:t>Juan David Montoya Penagos</w:t>
            </w:r>
          </w:p>
          <w:p w14:paraId="5202B716" w14:textId="77777777" w:rsidR="008402AB" w:rsidRPr="00254A7A" w:rsidRDefault="008402AB" w:rsidP="0015053F">
            <w:pPr>
              <w:contextualSpacing/>
              <w:rPr>
                <w:rFonts w:ascii="Verdana" w:eastAsia="Arial" w:hAnsi="Verdana" w:cs="Arial"/>
                <w:sz w:val="16"/>
                <w:szCs w:val="16"/>
              </w:rPr>
            </w:pPr>
            <w:r w:rsidRPr="00254A7A">
              <w:rPr>
                <w:rStyle w:val="normaltextrun"/>
                <w:rFonts w:ascii="Verdana" w:hAnsi="Verdana"/>
                <w:sz w:val="16"/>
                <w:szCs w:val="16"/>
              </w:rPr>
              <w:t>Contratista de la Subdirección de Gestión Contractual</w:t>
            </w:r>
          </w:p>
        </w:tc>
      </w:tr>
      <w:tr w:rsidR="008402AB" w:rsidRPr="00593A5F" w14:paraId="22A4E666" w14:textId="77777777" w:rsidTr="0015053F">
        <w:trPr>
          <w:trHeight w:val="330"/>
        </w:trPr>
        <w:tc>
          <w:tcPr>
            <w:tcW w:w="893" w:type="dxa"/>
            <w:vAlign w:val="center"/>
            <w:hideMark/>
          </w:tcPr>
          <w:p w14:paraId="45124E0D" w14:textId="77777777" w:rsidR="008402AB" w:rsidRPr="003751C7" w:rsidRDefault="008402AB" w:rsidP="0015053F">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A49106D" w14:textId="77777777" w:rsidR="008402AB" w:rsidRDefault="008402AB" w:rsidP="0015053F">
            <w:pPr>
              <w:pStyle w:val="paragraph"/>
              <w:spacing w:before="0" w:beforeAutospacing="0" w:after="0" w:afterAutospacing="0"/>
              <w:contextualSpacing/>
              <w:textAlignment w:val="baseline"/>
              <w:rPr>
                <w:rStyle w:val="normaltextrun"/>
                <w:rFonts w:ascii="Verdana" w:hAnsi="Verdana" w:cs="Arial"/>
                <w:sz w:val="16"/>
                <w:szCs w:val="16"/>
                <w:lang w:val="es-ES"/>
              </w:rPr>
            </w:pPr>
            <w:r w:rsidRPr="007B04D2">
              <w:rPr>
                <w:rStyle w:val="normaltextrun"/>
                <w:rFonts w:ascii="Verdana" w:hAnsi="Verdana" w:cs="Arial"/>
                <w:sz w:val="16"/>
                <w:szCs w:val="16"/>
                <w:lang w:val="es-ES"/>
              </w:rPr>
              <w:t>Diana Lucia Saavedra Castañeda</w:t>
            </w:r>
          </w:p>
          <w:p w14:paraId="10081F49" w14:textId="77777777" w:rsidR="008402AB" w:rsidRPr="00254A7A" w:rsidRDefault="008402AB" w:rsidP="0015053F">
            <w:pPr>
              <w:pStyle w:val="paragraph"/>
              <w:spacing w:before="0" w:beforeAutospacing="0" w:after="0" w:afterAutospacing="0"/>
              <w:contextualSpacing/>
              <w:textAlignment w:val="baseline"/>
              <w:rPr>
                <w:rFonts w:ascii="Verdana" w:hAnsi="Verdana" w:cs="Segoe UI"/>
                <w:sz w:val="16"/>
                <w:szCs w:val="16"/>
              </w:rPr>
            </w:pPr>
            <w:r w:rsidRPr="00975B92">
              <w:rPr>
                <w:rStyle w:val="normaltextrun"/>
                <w:rFonts w:ascii="Verdana" w:hAnsi="Verdana" w:cs="Arial"/>
                <w:sz w:val="16"/>
                <w:szCs w:val="16"/>
                <w:lang w:val="es-ES"/>
              </w:rPr>
              <w:t>Contratista de la Subdirección de Gestión Contractua</w:t>
            </w:r>
            <w:r>
              <w:rPr>
                <w:rStyle w:val="normaltextrun"/>
                <w:rFonts w:ascii="Verdana" w:hAnsi="Verdana" w:cs="Arial"/>
                <w:sz w:val="16"/>
                <w:szCs w:val="16"/>
                <w:lang w:val="es-ES"/>
              </w:rPr>
              <w:t>l</w:t>
            </w:r>
          </w:p>
        </w:tc>
      </w:tr>
      <w:tr w:rsidR="008402AB" w:rsidRPr="00593A5F" w14:paraId="543EC2EE" w14:textId="77777777" w:rsidTr="0015053F">
        <w:trPr>
          <w:trHeight w:val="300"/>
        </w:trPr>
        <w:tc>
          <w:tcPr>
            <w:tcW w:w="893" w:type="dxa"/>
            <w:vAlign w:val="center"/>
          </w:tcPr>
          <w:p w14:paraId="2B279758" w14:textId="77777777" w:rsidR="008402AB" w:rsidRPr="003751C7" w:rsidRDefault="008402AB" w:rsidP="0015053F">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8E5DEF7" w14:textId="77777777" w:rsidR="008402AB" w:rsidRPr="003751C7" w:rsidRDefault="008402AB" w:rsidP="0015053F">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 xml:space="preserve">Carolina Quintero </w:t>
            </w:r>
            <w:proofErr w:type="spellStart"/>
            <w:r w:rsidRPr="003751C7">
              <w:rPr>
                <w:rFonts w:ascii="Verdana" w:eastAsia="Calibri" w:hAnsi="Verdana" w:cs="Arial"/>
                <w:sz w:val="16"/>
                <w:szCs w:val="16"/>
                <w:lang w:val="pt-BR" w:eastAsia="es-ES"/>
              </w:rPr>
              <w:t>Gacharná</w:t>
            </w:r>
            <w:proofErr w:type="spellEnd"/>
          </w:p>
          <w:p w14:paraId="15A774F6" w14:textId="77777777" w:rsidR="008402AB" w:rsidRPr="003751C7" w:rsidRDefault="008402AB" w:rsidP="0015053F">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w:t>
            </w:r>
            <w:proofErr w:type="spellStart"/>
            <w:r w:rsidRPr="003751C7">
              <w:rPr>
                <w:rFonts w:ascii="Verdana" w:eastAsia="Calibri" w:hAnsi="Verdana" w:cs="Arial"/>
                <w:sz w:val="16"/>
                <w:szCs w:val="16"/>
                <w:lang w:val="pt-BR" w:eastAsia="es-ES"/>
              </w:rPr>
              <w:t>Contractual</w:t>
            </w:r>
            <w:proofErr w:type="spellEnd"/>
            <w:r w:rsidRPr="003751C7">
              <w:rPr>
                <w:rFonts w:ascii="Verdana" w:eastAsia="Calibri" w:hAnsi="Verdana" w:cs="Arial"/>
                <w:sz w:val="16"/>
                <w:szCs w:val="16"/>
                <w:lang w:val="pt-BR" w:eastAsia="es-ES"/>
              </w:rPr>
              <w:t xml:space="preserve"> ANCP – CCE</w:t>
            </w:r>
          </w:p>
        </w:tc>
      </w:tr>
    </w:tbl>
    <w:p w14:paraId="06C8FBD5" w14:textId="77777777" w:rsidR="008402AB" w:rsidRPr="00593A5F" w:rsidRDefault="008402AB" w:rsidP="008402AB">
      <w:pPr>
        <w:spacing w:after="0" w:line="240" w:lineRule="auto"/>
        <w:rPr>
          <w:rFonts w:ascii="Verdana" w:eastAsia="Times New Roman" w:hAnsi="Verdana" w:cs="Arial"/>
          <w:sz w:val="24"/>
          <w:szCs w:val="24"/>
          <w:lang w:eastAsia="es-ES"/>
        </w:rPr>
      </w:pPr>
    </w:p>
    <w:p w14:paraId="3900974D" w14:textId="77777777" w:rsidR="003D5B0D" w:rsidRPr="00B0758E" w:rsidRDefault="003D5B0D" w:rsidP="00B0758E"/>
    <w:sectPr w:rsidR="003D5B0D" w:rsidRPr="00B0758E"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F8CCD8" w14:textId="77777777" w:rsidR="00E9196C" w:rsidRDefault="00E9196C" w:rsidP="004A1847">
      <w:pPr>
        <w:spacing w:after="0" w:line="240" w:lineRule="auto"/>
      </w:pPr>
      <w:r>
        <w:separator/>
      </w:r>
    </w:p>
  </w:endnote>
  <w:endnote w:type="continuationSeparator" w:id="0">
    <w:p w14:paraId="3ECD6343" w14:textId="77777777" w:rsidR="00E9196C" w:rsidRDefault="00E9196C"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D8E75B" w14:textId="77777777" w:rsidR="00E9196C" w:rsidRDefault="00E9196C" w:rsidP="004A1847">
      <w:pPr>
        <w:spacing w:after="0" w:line="240" w:lineRule="auto"/>
      </w:pPr>
      <w:r>
        <w:separator/>
      </w:r>
    </w:p>
  </w:footnote>
  <w:footnote w:type="continuationSeparator" w:id="0">
    <w:p w14:paraId="47BCB40F" w14:textId="77777777" w:rsidR="00E9196C" w:rsidRDefault="00E9196C" w:rsidP="004A1847">
      <w:pPr>
        <w:spacing w:after="0" w:line="240" w:lineRule="auto"/>
      </w:pPr>
      <w:r>
        <w:continuationSeparator/>
      </w:r>
    </w:p>
  </w:footnote>
  <w:footnote w:id="1">
    <w:p w14:paraId="4767046A" w14:textId="77777777" w:rsidR="008402AB" w:rsidRPr="00480D85" w:rsidRDefault="008402AB" w:rsidP="008402AB">
      <w:pPr>
        <w:pStyle w:val="Textonotapie"/>
        <w:ind w:firstLine="708"/>
        <w:jc w:val="both"/>
        <w:rPr>
          <w:rFonts w:ascii="Verdana" w:hAnsi="Verdana"/>
          <w:sz w:val="16"/>
          <w:szCs w:val="16"/>
        </w:rPr>
      </w:pPr>
      <w:r w:rsidRPr="00480D85">
        <w:rPr>
          <w:rStyle w:val="Refdenotaalpie"/>
          <w:rFonts w:ascii="Verdana" w:hAnsi="Verdana"/>
          <w:sz w:val="16"/>
          <w:szCs w:val="16"/>
        </w:rPr>
        <w:footnoteRef/>
      </w:r>
      <w:r w:rsidRPr="00480D85">
        <w:rPr>
          <w:rFonts w:ascii="Verdana" w:hAnsi="Verdana"/>
          <w:sz w:val="16"/>
          <w:szCs w:val="16"/>
        </w:rPr>
        <w:t xml:space="preserve"> En lo pertinente, la norma prescribe que “Los órganos que son una sección en el Presupuesto General de la Nación, tendrán la capacidad de contratar y comprometer a nombre de la persona jurídica de la cual hagan parte, y ordenar el gasto en desarrollo de las apropiaciones incorporadas en la respectiva sección, lo que constituye la autonomía presupuestal a que se refieren la Constitución Política y la ley. Estas facultades estarán en cabeza del jefe de cada órgano quien podrá delegarlas en funcionarios del nivel directivo, o quien haga sus veces, y serán ejercidas teniendo en cuenta las normas consagradas en el Estatuto General de Contratación de la Administración Pública y en las disposiciones legales vigentes.</w:t>
      </w:r>
    </w:p>
    <w:p w14:paraId="56212362" w14:textId="77777777" w:rsidR="008402AB" w:rsidRPr="00480D85" w:rsidRDefault="008402AB" w:rsidP="008402AB">
      <w:pPr>
        <w:pStyle w:val="Textonotapie"/>
        <w:ind w:firstLine="708"/>
        <w:jc w:val="both"/>
        <w:rPr>
          <w:rFonts w:ascii="Verdana" w:hAnsi="Verdana"/>
          <w:sz w:val="16"/>
          <w:szCs w:val="16"/>
        </w:rPr>
      </w:pPr>
      <w:r w:rsidRPr="00480D85">
        <w:rPr>
          <w:rFonts w:ascii="Verdana" w:hAnsi="Verdana"/>
          <w:sz w:val="16"/>
          <w:szCs w:val="16"/>
        </w:rPr>
        <w:t>[…]</w:t>
      </w:r>
    </w:p>
    <w:p w14:paraId="50574E60" w14:textId="77777777" w:rsidR="008402AB" w:rsidRPr="00480D85" w:rsidRDefault="008402AB" w:rsidP="008402AB">
      <w:pPr>
        <w:pStyle w:val="Textonotapie"/>
        <w:ind w:firstLine="708"/>
        <w:jc w:val="both"/>
        <w:rPr>
          <w:rFonts w:ascii="Verdana" w:hAnsi="Verdana"/>
          <w:sz w:val="16"/>
          <w:szCs w:val="16"/>
        </w:rPr>
      </w:pPr>
      <w:r w:rsidRPr="00480D85">
        <w:rPr>
          <w:rFonts w:ascii="Verdana" w:hAnsi="Verdana"/>
          <w:sz w:val="16"/>
          <w:szCs w:val="16"/>
        </w:rPr>
        <w:t>En los mismos términos y condiciones tendrán estas capacidades las Superintendencias, Unidades Administrativas Especiales, las Entidades Territoriales, Asambleas y Concejos, las Contralorías y Personerías Territoriales y todos los demás órganos estatales de cualquier nivel que tengan personería jurídica.</w:t>
      </w:r>
    </w:p>
    <w:p w14:paraId="4066A8AB" w14:textId="77777777" w:rsidR="008402AB" w:rsidRPr="00480D85" w:rsidRDefault="008402AB" w:rsidP="008402AB">
      <w:pPr>
        <w:pStyle w:val="Textonotapie"/>
        <w:ind w:firstLine="708"/>
        <w:jc w:val="both"/>
        <w:rPr>
          <w:rFonts w:ascii="Verdana" w:hAnsi="Verdana"/>
          <w:sz w:val="16"/>
          <w:szCs w:val="16"/>
        </w:rPr>
      </w:pPr>
      <w:r w:rsidRPr="00480D85">
        <w:rPr>
          <w:rFonts w:ascii="Verdana" w:hAnsi="Verdana"/>
          <w:sz w:val="16"/>
          <w:szCs w:val="16"/>
        </w:rPr>
        <w:t>En todo caso, el Presidente de la República podrá celebrar contratos a nombre de la Nación”.</w:t>
      </w:r>
    </w:p>
  </w:footnote>
  <w:footnote w:id="2">
    <w:p w14:paraId="3D618243" w14:textId="77777777" w:rsidR="008402AB" w:rsidRPr="00480D85" w:rsidRDefault="008402AB" w:rsidP="008402AB">
      <w:pPr>
        <w:pStyle w:val="Textonotapie"/>
        <w:ind w:firstLine="708"/>
        <w:jc w:val="both"/>
        <w:rPr>
          <w:rFonts w:ascii="Verdana" w:hAnsi="Verdana" w:cs="Arial"/>
          <w:sz w:val="16"/>
          <w:szCs w:val="16"/>
        </w:rPr>
      </w:pPr>
      <w:r w:rsidRPr="00480D85">
        <w:rPr>
          <w:rStyle w:val="Refdenotaalpie"/>
          <w:rFonts w:ascii="Verdana" w:hAnsi="Verdana" w:cs="Arial"/>
          <w:sz w:val="16"/>
          <w:szCs w:val="16"/>
        </w:rPr>
        <w:footnoteRef/>
      </w:r>
      <w:r w:rsidRPr="00480D85">
        <w:rPr>
          <w:rFonts w:ascii="Verdana" w:hAnsi="Verdana" w:cs="Arial"/>
          <w:sz w:val="16"/>
          <w:szCs w:val="16"/>
        </w:rPr>
        <w:t xml:space="preserve"> El inciso primero de norma disponía que, conforme al principio de transparencia, “</w:t>
      </w:r>
      <w:r w:rsidRPr="00480D85">
        <w:rPr>
          <w:rFonts w:ascii="Verdana" w:hAnsi="Verdana" w:cs="Arial"/>
          <w:i/>
          <w:iCs/>
          <w:sz w:val="16"/>
          <w:szCs w:val="16"/>
        </w:rPr>
        <w:t>La escogencia del contratista se efectuará siempre a través de licitación o concurso públicos</w:t>
      </w:r>
      <w:r w:rsidRPr="00480D85">
        <w:rPr>
          <w:rFonts w:ascii="Verdana" w:hAnsi="Verdana" w:cs="Arial"/>
          <w:sz w:val="16"/>
          <w:szCs w:val="16"/>
        </w:rPr>
        <w:t>, salvo en los siguientes casos en los que se podrá contratar directamente” (Énfasis fuera de texto). La expresión en cursiva fue declarada exequible por la Corte Constitucional mediante la Sentencia C-400 de 1999, con ponencia del Magistrado Vladimiro Naranjo Mesa, y derogado integralmente por el artículo 32 de la Ley 1150 de 2007.</w:t>
      </w:r>
    </w:p>
  </w:footnote>
  <w:footnote w:id="3">
    <w:p w14:paraId="60CF0B85" w14:textId="77777777" w:rsidR="008402AB" w:rsidRPr="00480D85" w:rsidRDefault="008402AB" w:rsidP="008402AB">
      <w:pPr>
        <w:pStyle w:val="Textonotapie"/>
        <w:ind w:firstLine="708"/>
        <w:jc w:val="both"/>
        <w:rPr>
          <w:rFonts w:ascii="Verdana" w:hAnsi="Verdana" w:cs="Arial"/>
          <w:sz w:val="16"/>
          <w:szCs w:val="16"/>
        </w:rPr>
      </w:pPr>
      <w:r w:rsidRPr="00480D85">
        <w:rPr>
          <w:rStyle w:val="Refdenotaalpie"/>
          <w:rFonts w:ascii="Verdana" w:hAnsi="Verdana" w:cs="Arial"/>
          <w:sz w:val="16"/>
          <w:szCs w:val="16"/>
        </w:rPr>
        <w:footnoteRef/>
      </w:r>
      <w:r w:rsidRPr="00480D85">
        <w:rPr>
          <w:rFonts w:ascii="Verdana" w:hAnsi="Verdana" w:cs="Arial"/>
          <w:sz w:val="16"/>
          <w:szCs w:val="16"/>
        </w:rPr>
        <w:t xml:space="preserve"> Sobre la articulación de los diferentes procesos de selección previstos en el artículo 2 de la Ley 1150 de 2007, DÁVILA VINUEZA considera lo siguiente: “En las leyes 80 de 1993 y 1150 de 2007 los demás procedimientos de selección distintos a la licitación pública, se convierten en procedimientos excepcionales y procedentes únicamente en los casos taxativamente contemplados en la ley. Pero la excepción no es respecto de los principios de transparencia, economía y responsabilidad y del deber de selección objetiva como parece lo han entendido algunas entidades estales. Estos principios que […] desarrollan los rectores de la función pública de orden constitucional y legal (art. 209 C.N., y art. 3° Cpaca) son aplicables con todo rigor a los procedimientos de excepción. Siendo ello así, la excepción de que se habla es respecto del proceso licitatorio regulado en el artículo 30 de la Ley 80 de 1993 con las variantes introducidas por el artículo 2°, numeral 1, de la ley 1150 de 2007, en concordancia con el artículo 2.2.1.2.1.1.1 del Decreto 1082 de 2015 (</w:t>
      </w:r>
      <w:r w:rsidRPr="00480D85">
        <w:rPr>
          <w:rFonts w:ascii="Verdana" w:hAnsi="Verdana" w:cs="Arial"/>
          <w:i/>
          <w:iCs/>
          <w:sz w:val="16"/>
          <w:szCs w:val="16"/>
        </w:rPr>
        <w:t>Presentación de la oferta de manera dinámica</w:t>
      </w:r>
      <w:r w:rsidRPr="00480D85">
        <w:rPr>
          <w:rFonts w:ascii="Verdana" w:hAnsi="Verdana" w:cs="Arial"/>
          <w:sz w:val="16"/>
          <w:szCs w:val="16"/>
        </w:rPr>
        <w:t xml:space="preserve">). Es decir, que ante la ausencia de una causal concreta para un determinado evento específico, la selección debe asumir la que el ordenamiento jurídico regula como licitación pública. Por eso es que, además, las causas excepcionales de selección son de interpretación restrictiva y no admiten analogía ni la interpretación extensiva. Genera nulidad absoluta del contrato, por abuso o desviación de poder, y nulidad del acto administrativo de selección cualquier artilugio que implique socavar la principal manifestación del principio de transparencia, cual es la selección por vía de licitación”. (DÁVILA VINUEZA, Luis Guillermo. Régimen jurídico de la contratación estatal. Tercera Edición. Bogotá: Legis, 2016. p. 463).      </w:t>
      </w:r>
    </w:p>
  </w:footnote>
  <w:footnote w:id="4">
    <w:p w14:paraId="01F9DC97" w14:textId="77777777" w:rsidR="008402AB" w:rsidRPr="00480D85" w:rsidRDefault="008402AB" w:rsidP="008402AB">
      <w:pPr>
        <w:pStyle w:val="Textonotapie"/>
        <w:ind w:firstLine="567"/>
        <w:jc w:val="both"/>
        <w:rPr>
          <w:rFonts w:ascii="Verdana" w:hAnsi="Verdana" w:cs="Arial"/>
          <w:sz w:val="16"/>
          <w:szCs w:val="16"/>
          <w:lang w:val="es-ES"/>
        </w:rPr>
      </w:pPr>
      <w:r w:rsidRPr="00480D85">
        <w:rPr>
          <w:rStyle w:val="Refdenotaalpie"/>
          <w:rFonts w:ascii="Verdana" w:hAnsi="Verdana" w:cs="Arial"/>
          <w:sz w:val="16"/>
          <w:szCs w:val="16"/>
        </w:rPr>
        <w:footnoteRef/>
      </w:r>
      <w:r w:rsidRPr="00480D85">
        <w:rPr>
          <w:rFonts w:ascii="Verdana" w:hAnsi="Verdana" w:cs="Arial"/>
          <w:sz w:val="16"/>
          <w:szCs w:val="16"/>
        </w:rPr>
        <w:t xml:space="preserve"> </w:t>
      </w:r>
      <w:r w:rsidRPr="00480D85">
        <w:rPr>
          <w:rFonts w:ascii="Verdana" w:hAnsi="Verdana" w:cs="Arial"/>
          <w:sz w:val="16"/>
          <w:szCs w:val="16"/>
          <w:lang w:val="es-ES"/>
        </w:rPr>
        <w:t xml:space="preserve">Congreso de la República, Gaceta 466 del 2 de agosto de 2005. Exposición de motivos del Proyecto de Ley 19 de 2005 – Senado. </w:t>
      </w:r>
    </w:p>
  </w:footnote>
  <w:footnote w:id="5">
    <w:p w14:paraId="69903637" w14:textId="77777777" w:rsidR="008402AB" w:rsidRPr="00480D85" w:rsidRDefault="008402AB" w:rsidP="008402AB">
      <w:pPr>
        <w:pStyle w:val="Textonotapie"/>
        <w:ind w:firstLine="567"/>
        <w:jc w:val="both"/>
        <w:rPr>
          <w:rFonts w:ascii="Verdana" w:hAnsi="Verdana" w:cs="Arial"/>
          <w:sz w:val="16"/>
          <w:szCs w:val="16"/>
          <w:lang w:val="es-ES"/>
        </w:rPr>
      </w:pPr>
      <w:r w:rsidRPr="00480D85">
        <w:rPr>
          <w:rStyle w:val="Refdenotaalpie"/>
          <w:rFonts w:ascii="Verdana" w:hAnsi="Verdana" w:cs="Arial"/>
          <w:sz w:val="16"/>
          <w:szCs w:val="16"/>
        </w:rPr>
        <w:footnoteRef/>
      </w:r>
      <w:r w:rsidRPr="00480D85">
        <w:rPr>
          <w:rFonts w:ascii="Verdana" w:hAnsi="Verdana" w:cs="Arial"/>
          <w:sz w:val="16"/>
          <w:szCs w:val="16"/>
        </w:rPr>
        <w:t xml:space="preserve"> </w:t>
      </w:r>
      <w:r w:rsidRPr="00480D85">
        <w:rPr>
          <w:rFonts w:ascii="Verdana" w:hAnsi="Verdana" w:cs="Arial"/>
          <w:sz w:val="16"/>
          <w:szCs w:val="16"/>
          <w:lang w:val="es-ES"/>
        </w:rPr>
        <w:t xml:space="preserve">Agencia Nacional de Contratación Pública – Colombia Compra Eficiente, Guía de Competencia en las Compras Públicas. La Guía puede consultarse en el siguiente enlace: </w:t>
      </w:r>
      <w:hyperlink r:id="rId1" w:history="1">
        <w:r w:rsidRPr="00480D85">
          <w:rPr>
            <w:rStyle w:val="Hipervnculo"/>
            <w:rFonts w:ascii="Verdana" w:hAnsi="Verdana" w:cs="Arial"/>
            <w:sz w:val="16"/>
            <w:szCs w:val="16"/>
            <w:lang w:val="es-ES"/>
          </w:rPr>
          <w:t>https://colombiacompra.gov.co/sites/cce_public/files/cce_documents/cce_guia_competencia_0.pdf</w:t>
        </w:r>
      </w:hyperlink>
      <w:r w:rsidRPr="00480D85">
        <w:rPr>
          <w:rFonts w:ascii="Verdana" w:hAnsi="Verdana" w:cs="Arial"/>
          <w:sz w:val="16"/>
          <w:szCs w:val="16"/>
          <w:lang w:val="es-ES"/>
        </w:rPr>
        <w:t xml:space="preserve">. </w:t>
      </w:r>
    </w:p>
  </w:footnote>
  <w:footnote w:id="6">
    <w:p w14:paraId="5C7CC003" w14:textId="77777777" w:rsidR="008402AB" w:rsidRPr="00480D85" w:rsidRDefault="008402AB" w:rsidP="008402AB">
      <w:pPr>
        <w:pStyle w:val="Textonotapie"/>
        <w:ind w:firstLine="708"/>
        <w:jc w:val="both"/>
        <w:rPr>
          <w:rFonts w:ascii="Verdana" w:hAnsi="Verdana" w:cs="Arial"/>
          <w:sz w:val="16"/>
          <w:szCs w:val="16"/>
        </w:rPr>
      </w:pPr>
      <w:r w:rsidRPr="00480D85">
        <w:rPr>
          <w:rStyle w:val="Refdenotaalpie"/>
          <w:rFonts w:ascii="Verdana" w:hAnsi="Verdana" w:cs="Arial"/>
          <w:sz w:val="16"/>
          <w:szCs w:val="16"/>
        </w:rPr>
        <w:footnoteRef/>
      </w:r>
      <w:r w:rsidRPr="00480D85">
        <w:rPr>
          <w:rFonts w:ascii="Verdana" w:hAnsi="Verdana" w:cs="Arial"/>
          <w:sz w:val="16"/>
          <w:szCs w:val="16"/>
          <w:lang w:val="pt-BR"/>
        </w:rPr>
        <w:t xml:space="preserve"> Corte Constitucional. </w:t>
      </w:r>
      <w:r w:rsidRPr="00480D85">
        <w:rPr>
          <w:rFonts w:ascii="Verdana" w:hAnsi="Verdana" w:cs="Arial"/>
          <w:sz w:val="16"/>
          <w:szCs w:val="16"/>
          <w:lang w:val="es-CO"/>
        </w:rPr>
        <w:t xml:space="preserve">Sentencia C-713 del 7 de octubre de 2009. </w:t>
      </w:r>
      <w:r w:rsidRPr="00480D85">
        <w:rPr>
          <w:rFonts w:ascii="Verdana" w:hAnsi="Verdana" w:cs="Arial"/>
          <w:sz w:val="16"/>
          <w:szCs w:val="16"/>
        </w:rPr>
        <w:t>M.P. María Victoria Calle Correa.</w:t>
      </w:r>
    </w:p>
  </w:footnote>
  <w:footnote w:id="7">
    <w:p w14:paraId="38DF1060" w14:textId="77777777" w:rsidR="008402AB" w:rsidRPr="00480D85" w:rsidRDefault="008402AB" w:rsidP="008402AB">
      <w:pPr>
        <w:pStyle w:val="Textonotapie"/>
        <w:ind w:firstLine="709"/>
        <w:jc w:val="both"/>
        <w:rPr>
          <w:rFonts w:ascii="Verdana" w:hAnsi="Verdana" w:cs="Arial"/>
          <w:sz w:val="16"/>
          <w:szCs w:val="16"/>
        </w:rPr>
      </w:pPr>
      <w:r w:rsidRPr="00480D85">
        <w:rPr>
          <w:rStyle w:val="Refdenotaalpie"/>
          <w:rFonts w:ascii="Verdana" w:hAnsi="Verdana" w:cs="Arial"/>
          <w:sz w:val="16"/>
          <w:szCs w:val="16"/>
        </w:rPr>
        <w:footnoteRef/>
      </w:r>
      <w:r w:rsidRPr="00480D85">
        <w:rPr>
          <w:rFonts w:ascii="Verdana" w:hAnsi="Verdana" w:cs="Arial"/>
          <w:sz w:val="16"/>
          <w:szCs w:val="16"/>
        </w:rPr>
        <w:t xml:space="preserve"> Consejo de Estado. Sección Tercera. Subsección A. Sentencia del 24 de mayo de 2018. Exp. 50.222. C.P. Marta Nubia Velásquez Rico.</w:t>
      </w:r>
    </w:p>
  </w:footnote>
  <w:footnote w:id="8">
    <w:p w14:paraId="6084122F" w14:textId="77777777" w:rsidR="008402AB" w:rsidRPr="00480D85" w:rsidRDefault="008402AB" w:rsidP="008402AB">
      <w:pPr>
        <w:pStyle w:val="Textonotapie"/>
        <w:ind w:firstLine="708"/>
        <w:jc w:val="both"/>
        <w:rPr>
          <w:rFonts w:ascii="Verdana" w:hAnsi="Verdana" w:cs="Arial"/>
          <w:iCs/>
          <w:sz w:val="16"/>
          <w:szCs w:val="16"/>
          <w:lang w:val="es-ES_tradnl"/>
        </w:rPr>
      </w:pPr>
      <w:r w:rsidRPr="00480D85">
        <w:rPr>
          <w:rStyle w:val="Refdenotaalpie"/>
          <w:rFonts w:ascii="Verdana" w:hAnsi="Verdana" w:cs="Arial"/>
          <w:sz w:val="16"/>
          <w:szCs w:val="16"/>
        </w:rPr>
        <w:footnoteRef/>
      </w:r>
      <w:r w:rsidRPr="00480D85">
        <w:rPr>
          <w:rFonts w:ascii="Verdana" w:hAnsi="Verdana" w:cs="Arial"/>
          <w:sz w:val="16"/>
          <w:szCs w:val="16"/>
        </w:rPr>
        <w:t xml:space="preserve"> </w:t>
      </w:r>
      <w:r w:rsidRPr="00480D85">
        <w:rPr>
          <w:rFonts w:ascii="Verdana" w:hAnsi="Verdana" w:cs="Arial"/>
          <w:sz w:val="16"/>
          <w:szCs w:val="16"/>
          <w:lang w:val="es-ES_tradnl"/>
        </w:rPr>
        <w:t xml:space="preserve">En efecto, de acuerdo con el Consejo de Estado: </w:t>
      </w:r>
      <w:r w:rsidRPr="00480D85">
        <w:rPr>
          <w:rFonts w:ascii="Verdana" w:eastAsia="Times New Roman" w:hAnsi="Verdana" w:cs="Arial"/>
          <w:sz w:val="16"/>
          <w:szCs w:val="16"/>
          <w:lang w:val="es-CO" w:eastAsia="es-MX"/>
        </w:rPr>
        <w:t>“</w:t>
      </w:r>
      <w:r w:rsidRPr="00480D85">
        <w:rPr>
          <w:rFonts w:ascii="Verdana" w:hAnsi="Verdana" w:cs="Arial"/>
          <w:iCs/>
          <w:sz w:val="16"/>
          <w:szCs w:val="16"/>
          <w:lang w:val="es-ES_tradnl"/>
        </w:rPr>
        <w:t>[...] la administración se encuentra en la obligación de establecer, con antelación al inicio del proceso de contratación, los criterios objetivos de la futura contratación, tales como la necesidad a satisfacer y los mejores medios para tales propósitos, el presupuesto estimado de la contratación, el objeto contractual, las prestaciones específicas a cargo de las partes, las condiciones de calidad y oportunidad, así como las calidades del posible contratista. Con fundamento en tal ejercicio de planeación y estructuración de la contratación, la administración cuenta, sin duda, con criterios que le permitirían adoptar una decisión objetiva en relación con aquello que resulte más favorable para el cumplimiento de los fines ínsitos en la contratación.[…] Ante la ausencia de pluralidad de ofertas –situación que, por lo demás debería ser excepcional, así como lo debe ser acudir a la modalidad de contratación directa, pues memórese que la regla general es la licitación pública en garantía de la máxima publicidad y concurrencia en la contratación estatal–, será procedente comparar el único ofrecimiento con los criterios objetivos elaborados por la entidad. En este evento, por lo tanto, los métodos a los que se debe acudir para garantizar la selección objetiva se ven reducidos en comparación con las demás modalidades de contratación, en tanto no hay comparación de ofertas, sin que ello implique que se incumpla con tal regla, pues persiste, necesariamente una confrontación de la única oferta con los estudios previos que elaboró la entidad, lo cual ofrecerá la objetividad necesaria para evitar imparcialidad en la contratación de los bienes o servicios de que se trate</w:t>
      </w:r>
      <w:r w:rsidRPr="00480D85">
        <w:rPr>
          <w:rFonts w:ascii="Verdana" w:eastAsia="Times New Roman" w:hAnsi="Verdana" w:cs="Arial"/>
          <w:sz w:val="16"/>
          <w:szCs w:val="16"/>
          <w:lang w:val="es-CO" w:eastAsia="es-MX"/>
        </w:rPr>
        <w:t>”</w:t>
      </w:r>
      <w:r w:rsidRPr="00480D85">
        <w:rPr>
          <w:rFonts w:ascii="Verdana" w:hAnsi="Verdana" w:cs="Arial"/>
          <w:iCs/>
          <w:sz w:val="16"/>
          <w:szCs w:val="16"/>
          <w:lang w:val="es-ES_tradnl"/>
        </w:rPr>
        <w:t>.</w:t>
      </w:r>
      <w:r w:rsidRPr="00480D85">
        <w:rPr>
          <w:rFonts w:ascii="Verdana" w:hAnsi="Verdana" w:cs="Arial"/>
          <w:sz w:val="16"/>
          <w:szCs w:val="16"/>
        </w:rPr>
        <w:t xml:space="preserve"> Consejo de Estado. Sección Tercera. Sentencia del 23 de julio de 2015. Exp. 36.805. C.P. Hernán Andrade Rincón.</w:t>
      </w:r>
    </w:p>
  </w:footnote>
  <w:footnote w:id="9">
    <w:p w14:paraId="45BA70B6" w14:textId="77777777" w:rsidR="008402AB" w:rsidRPr="00480D85" w:rsidRDefault="008402AB" w:rsidP="008402AB">
      <w:pPr>
        <w:pStyle w:val="Textonotapie"/>
        <w:ind w:firstLine="708"/>
        <w:jc w:val="both"/>
        <w:rPr>
          <w:rFonts w:ascii="Verdana" w:hAnsi="Verdana" w:cs="Arial"/>
          <w:sz w:val="16"/>
          <w:szCs w:val="16"/>
          <w:lang w:val="es-CO"/>
        </w:rPr>
      </w:pPr>
      <w:r w:rsidRPr="00480D85">
        <w:rPr>
          <w:rStyle w:val="Refdenotaalpie"/>
          <w:rFonts w:ascii="Verdana" w:hAnsi="Verdana" w:cs="Arial"/>
          <w:sz w:val="16"/>
          <w:szCs w:val="16"/>
        </w:rPr>
        <w:footnoteRef/>
      </w:r>
      <w:r w:rsidRPr="00480D85">
        <w:rPr>
          <w:rFonts w:ascii="Verdana" w:hAnsi="Verdana" w:cs="Arial"/>
          <w:sz w:val="16"/>
          <w:szCs w:val="16"/>
        </w:rPr>
        <w:t xml:space="preserve"> Consejo de Estado. Sala de consulta y servicio civil. Sentencia del 20 de febrero de 2006. Exp. 1.727. C.P. Enrique José Arboleda Perdomo.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4ABA89B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02449845" o:spid="_x0000_i1025" type="#_x0000_t75" style="width:11.45pt;height:11.45pt;visibility:visible;mso-wrap-style:square">
            <v:imagedata r:id="rId1" o:title=""/>
          </v:shape>
        </w:pict>
      </mc:Choice>
      <mc:Fallback>
        <w:drawing>
          <wp:inline distT="0" distB="0" distL="0" distR="0" wp14:anchorId="35AF315B" wp14:editId="1D054D92">
            <wp:extent cx="145415" cy="145415"/>
            <wp:effectExtent l="0" t="0" r="0" b="0"/>
            <wp:docPr id="202449845" name="Imagen 202449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5415" cy="145415"/>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289D"/>
    <w:rsid w:val="00016F78"/>
    <w:rsid w:val="00021E15"/>
    <w:rsid w:val="00035087"/>
    <w:rsid w:val="00046945"/>
    <w:rsid w:val="00061B2A"/>
    <w:rsid w:val="00082362"/>
    <w:rsid w:val="000A683E"/>
    <w:rsid w:val="000B19B9"/>
    <w:rsid w:val="000D0334"/>
    <w:rsid w:val="000F62CA"/>
    <w:rsid w:val="000F6486"/>
    <w:rsid w:val="001206DE"/>
    <w:rsid w:val="00125105"/>
    <w:rsid w:val="00127233"/>
    <w:rsid w:val="00127555"/>
    <w:rsid w:val="001511A0"/>
    <w:rsid w:val="0016737B"/>
    <w:rsid w:val="001E4177"/>
    <w:rsid w:val="001F7DC6"/>
    <w:rsid w:val="002421BB"/>
    <w:rsid w:val="0025796E"/>
    <w:rsid w:val="002707A2"/>
    <w:rsid w:val="002951A0"/>
    <w:rsid w:val="002962BC"/>
    <w:rsid w:val="002A093D"/>
    <w:rsid w:val="002A0DD0"/>
    <w:rsid w:val="002A49AC"/>
    <w:rsid w:val="002A64FD"/>
    <w:rsid w:val="002C7A84"/>
    <w:rsid w:val="002E4FD9"/>
    <w:rsid w:val="00322A85"/>
    <w:rsid w:val="00324168"/>
    <w:rsid w:val="003448F4"/>
    <w:rsid w:val="00374F5E"/>
    <w:rsid w:val="00377E3E"/>
    <w:rsid w:val="0039021F"/>
    <w:rsid w:val="003A779E"/>
    <w:rsid w:val="003B10D4"/>
    <w:rsid w:val="003D0F4D"/>
    <w:rsid w:val="003D5B0D"/>
    <w:rsid w:val="003E0499"/>
    <w:rsid w:val="003F3941"/>
    <w:rsid w:val="00406575"/>
    <w:rsid w:val="00414C74"/>
    <w:rsid w:val="0042722E"/>
    <w:rsid w:val="0044528D"/>
    <w:rsid w:val="004A1847"/>
    <w:rsid w:val="004A305D"/>
    <w:rsid w:val="004F21C4"/>
    <w:rsid w:val="004F685F"/>
    <w:rsid w:val="00527B62"/>
    <w:rsid w:val="005566E8"/>
    <w:rsid w:val="00574867"/>
    <w:rsid w:val="00591460"/>
    <w:rsid w:val="005B3816"/>
    <w:rsid w:val="005C3777"/>
    <w:rsid w:val="005C5CDC"/>
    <w:rsid w:val="005D476C"/>
    <w:rsid w:val="006219F8"/>
    <w:rsid w:val="006245B7"/>
    <w:rsid w:val="006528FC"/>
    <w:rsid w:val="00665D70"/>
    <w:rsid w:val="00683FFF"/>
    <w:rsid w:val="006900D9"/>
    <w:rsid w:val="00706C16"/>
    <w:rsid w:val="007457B1"/>
    <w:rsid w:val="00756841"/>
    <w:rsid w:val="0076032D"/>
    <w:rsid w:val="007649AB"/>
    <w:rsid w:val="00771D0C"/>
    <w:rsid w:val="007833AC"/>
    <w:rsid w:val="007B1140"/>
    <w:rsid w:val="007B268C"/>
    <w:rsid w:val="007B7171"/>
    <w:rsid w:val="007C0C0F"/>
    <w:rsid w:val="007C3DC2"/>
    <w:rsid w:val="007E5497"/>
    <w:rsid w:val="00806F5F"/>
    <w:rsid w:val="00820278"/>
    <w:rsid w:val="008402AB"/>
    <w:rsid w:val="00847107"/>
    <w:rsid w:val="00864729"/>
    <w:rsid w:val="00867F95"/>
    <w:rsid w:val="008843B6"/>
    <w:rsid w:val="00891928"/>
    <w:rsid w:val="008A446D"/>
    <w:rsid w:val="008D180B"/>
    <w:rsid w:val="008F0EA7"/>
    <w:rsid w:val="0091043C"/>
    <w:rsid w:val="00923EEF"/>
    <w:rsid w:val="009419F9"/>
    <w:rsid w:val="0095685E"/>
    <w:rsid w:val="00961B09"/>
    <w:rsid w:val="00965334"/>
    <w:rsid w:val="0097093E"/>
    <w:rsid w:val="00986AC5"/>
    <w:rsid w:val="009A0DFA"/>
    <w:rsid w:val="009B2D26"/>
    <w:rsid w:val="009C71FA"/>
    <w:rsid w:val="009C72E7"/>
    <w:rsid w:val="009D3058"/>
    <w:rsid w:val="009F3A13"/>
    <w:rsid w:val="00A122D3"/>
    <w:rsid w:val="00A17F13"/>
    <w:rsid w:val="00A20739"/>
    <w:rsid w:val="00A33C78"/>
    <w:rsid w:val="00AB0ADB"/>
    <w:rsid w:val="00B01B1A"/>
    <w:rsid w:val="00B0578A"/>
    <w:rsid w:val="00B05E99"/>
    <w:rsid w:val="00B0758E"/>
    <w:rsid w:val="00B66319"/>
    <w:rsid w:val="00B72CD3"/>
    <w:rsid w:val="00B72FFF"/>
    <w:rsid w:val="00BB221D"/>
    <w:rsid w:val="00BC3D36"/>
    <w:rsid w:val="00BD7F72"/>
    <w:rsid w:val="00C04FB3"/>
    <w:rsid w:val="00C330EB"/>
    <w:rsid w:val="00C41061"/>
    <w:rsid w:val="00C630F9"/>
    <w:rsid w:val="00C74440"/>
    <w:rsid w:val="00C754BE"/>
    <w:rsid w:val="00C76B1C"/>
    <w:rsid w:val="00CA20AD"/>
    <w:rsid w:val="00CA7345"/>
    <w:rsid w:val="00CB1990"/>
    <w:rsid w:val="00CB6357"/>
    <w:rsid w:val="00CC1B26"/>
    <w:rsid w:val="00D36353"/>
    <w:rsid w:val="00D423A2"/>
    <w:rsid w:val="00D520D8"/>
    <w:rsid w:val="00D63AC2"/>
    <w:rsid w:val="00D7383B"/>
    <w:rsid w:val="00D9023D"/>
    <w:rsid w:val="00DA231B"/>
    <w:rsid w:val="00DC39FC"/>
    <w:rsid w:val="00DF2ADE"/>
    <w:rsid w:val="00DF5254"/>
    <w:rsid w:val="00E16408"/>
    <w:rsid w:val="00E20894"/>
    <w:rsid w:val="00E245AB"/>
    <w:rsid w:val="00E2764C"/>
    <w:rsid w:val="00E27F2E"/>
    <w:rsid w:val="00E50AFE"/>
    <w:rsid w:val="00E75C92"/>
    <w:rsid w:val="00E771DC"/>
    <w:rsid w:val="00E8772A"/>
    <w:rsid w:val="00E90F6B"/>
    <w:rsid w:val="00E9196C"/>
    <w:rsid w:val="00E92C27"/>
    <w:rsid w:val="00EA0E3D"/>
    <w:rsid w:val="00EC38A7"/>
    <w:rsid w:val="00ED7384"/>
    <w:rsid w:val="00EE1AA8"/>
    <w:rsid w:val="00F31EDC"/>
    <w:rsid w:val="00F43444"/>
    <w:rsid w:val="00F462B3"/>
    <w:rsid w:val="00F5664F"/>
    <w:rsid w:val="00F613BD"/>
    <w:rsid w:val="00F666C4"/>
    <w:rsid w:val="00F75C0A"/>
    <w:rsid w:val="00F76AFC"/>
    <w:rsid w:val="00F83787"/>
    <w:rsid w:val="00FA47C0"/>
    <w:rsid w:val="00FB5DD1"/>
    <w:rsid w:val="00FC2B5D"/>
    <w:rsid w:val="00FF1449"/>
    <w:rsid w:val="00FF406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8402AB"/>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8402AB"/>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ontactenos@cardique.gov.co"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colombiacompra.gov.co/sites/cce_public/files/cce_documents/cce_guia_competencia_0.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B03189-60CA-4619-AD61-6596F124FB99}"/>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b531b13d-89bf-4629-be1e-22fdf3dd34d4"/>
    <ds:schemaRef ds:uri="8ae15d26-076e-464e-81a7-6f76a0fb3917"/>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3958</Words>
  <Characters>21769</Characters>
  <Application>Microsoft Office Word</Application>
  <DocSecurity>0</DocSecurity>
  <Lines>181</Lines>
  <Paragraphs>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Joan Montoya Penagos</cp:lastModifiedBy>
  <cp:revision>5</cp:revision>
  <cp:lastPrinted>2023-01-10T21:18:00Z</cp:lastPrinted>
  <dcterms:created xsi:type="dcterms:W3CDTF">2025-04-28T23:58:00Z</dcterms:created>
  <dcterms:modified xsi:type="dcterms:W3CDTF">2025-04-30T17:11:00Z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