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42CF" w14:textId="77777777" w:rsidR="00273656" w:rsidRPr="008D075A" w:rsidRDefault="00273656" w:rsidP="00273656">
      <w:pPr>
        <w:ind w:right="51"/>
        <w:jc w:val="both"/>
        <w:rPr>
          <w:rFonts w:ascii="Verdana" w:eastAsia="Arial" w:hAnsi="Verdana" w:cs="Arial"/>
          <w:b/>
        </w:rPr>
      </w:pPr>
      <w:bookmarkStart w:id="0" w:name="_Hlk143780582"/>
      <w:r w:rsidRPr="008D075A">
        <w:rPr>
          <w:rFonts w:ascii="Verdana" w:eastAsia="Arial" w:hAnsi="Verdana" w:cs="Arial"/>
          <w:b/>
        </w:rPr>
        <w:t>PERSONAS EN CONDICIÓN DE DISCAPACIDAD – Seguimiento durante la ejecución del contrato</w:t>
      </w:r>
    </w:p>
    <w:p w14:paraId="22F1BDFE" w14:textId="77777777" w:rsidR="00273656" w:rsidRPr="008D075A" w:rsidRDefault="00273656" w:rsidP="00273656">
      <w:pPr>
        <w:ind w:right="51" w:firstLine="720"/>
        <w:jc w:val="both"/>
        <w:rPr>
          <w:rFonts w:ascii="Verdana" w:eastAsia="Arial" w:hAnsi="Verdana" w:cs="Arial"/>
        </w:rPr>
      </w:pPr>
    </w:p>
    <w:p w14:paraId="2F1274FE" w14:textId="77777777" w:rsidR="00273656" w:rsidRPr="008D075A" w:rsidRDefault="00273656" w:rsidP="00273656">
      <w:pPr>
        <w:ind w:right="51"/>
        <w:jc w:val="both"/>
        <w:rPr>
          <w:rFonts w:ascii="Verdana" w:eastAsia="Arial" w:hAnsi="Verdana" w:cs="Arial"/>
          <w:sz w:val="20"/>
          <w:szCs w:val="20"/>
        </w:rPr>
      </w:pPr>
      <w:r w:rsidRPr="008D075A">
        <w:rPr>
          <w:rFonts w:ascii="Verdana" w:eastAsia="Arial" w:hAnsi="Verdana" w:cs="Arial"/>
          <w:sz w:val="20"/>
          <w:szCs w:val="20"/>
        </w:rPr>
        <w:t xml:space="preserve">El artículo 2.2.1.2.4.2.7 al Decreto 1082 de 2015, referente al seguimiento durante la ejecución del contrato, e impone el deber a las entidades estatales de “verificar durante la ejecución del contrato que los proponentes que resultaron adjudicatarios mantienen en su planta de personal el número de trabajadores en condición de discapacidad que dio lugar a la obtención del puntaje adicional de la oferta”. Dicha verificación se realizará con base en los certificados que para el efecto expida el Ministerio del Trabajo. </w:t>
      </w:r>
    </w:p>
    <w:p w14:paraId="721F0531" w14:textId="77777777" w:rsidR="00273656" w:rsidRPr="008D075A" w:rsidRDefault="00273656" w:rsidP="00273656">
      <w:pPr>
        <w:ind w:right="51" w:firstLine="720"/>
        <w:jc w:val="both"/>
        <w:rPr>
          <w:rFonts w:ascii="Verdana" w:eastAsia="Arial" w:hAnsi="Verdana" w:cs="Arial"/>
          <w:sz w:val="20"/>
          <w:szCs w:val="20"/>
        </w:rPr>
      </w:pPr>
    </w:p>
    <w:p w14:paraId="2B172F99" w14:textId="77777777" w:rsidR="00273656" w:rsidRPr="008D075A" w:rsidRDefault="00273656" w:rsidP="00273656">
      <w:pPr>
        <w:ind w:right="51"/>
        <w:jc w:val="both"/>
        <w:rPr>
          <w:rFonts w:ascii="Verdana" w:eastAsia="Arial" w:hAnsi="Verdana" w:cs="Arial"/>
          <w:sz w:val="20"/>
          <w:szCs w:val="20"/>
        </w:rPr>
      </w:pPr>
      <w:r w:rsidRPr="008D075A">
        <w:rPr>
          <w:rFonts w:ascii="Verdana" w:eastAsia="Arial" w:hAnsi="Verdana" w:cs="Arial"/>
          <w:sz w:val="20"/>
          <w:szCs w:val="20"/>
        </w:rPr>
        <w:t>Adicionalmente, según esta norma la reducción del número de trabajadores acreditado para obtener puntaje constituye incumplimiento del contrato por parte del contratista y dará lugar a las consecuencias de incumplimiento previstas en el contrato, mediante el correspondiente proceso de incumplimiento que deberá realizarse con observancia a los postulados del debido proceso.</w:t>
      </w:r>
    </w:p>
    <w:p w14:paraId="3389D1BB" w14:textId="77777777" w:rsidR="00273656" w:rsidRPr="008D075A" w:rsidRDefault="00273656" w:rsidP="00273656">
      <w:pPr>
        <w:spacing w:line="276" w:lineRule="auto"/>
        <w:jc w:val="both"/>
        <w:rPr>
          <w:rFonts w:ascii="Verdana" w:eastAsia="Arial" w:hAnsi="Verdana" w:cs="Arial"/>
        </w:rPr>
      </w:pPr>
    </w:p>
    <w:p w14:paraId="493FC1E8" w14:textId="77777777" w:rsidR="00273656" w:rsidRPr="008D075A" w:rsidRDefault="00273656" w:rsidP="00273656">
      <w:pPr>
        <w:spacing w:line="276" w:lineRule="auto"/>
        <w:jc w:val="both"/>
        <w:rPr>
          <w:rFonts w:ascii="Verdana" w:eastAsia="Arial" w:hAnsi="Verdana" w:cs="Arial"/>
        </w:rPr>
      </w:pPr>
      <w:r w:rsidRPr="008D075A">
        <w:rPr>
          <w:rFonts w:ascii="Verdana" w:eastAsia="Arial" w:hAnsi="Verdana" w:cs="Arial"/>
          <w:b/>
        </w:rPr>
        <w:t xml:space="preserve">FACTORES DE DESEMPATE – Ley 2069 de 2020 – Artículo 35 – Numeral 3 – Personas con discapacidad – Antigüedad mínima </w:t>
      </w:r>
    </w:p>
    <w:p w14:paraId="2DFECC5B" w14:textId="77777777" w:rsidR="00273656" w:rsidRPr="008D075A" w:rsidRDefault="00273656" w:rsidP="00273656">
      <w:pPr>
        <w:jc w:val="both"/>
        <w:rPr>
          <w:rFonts w:ascii="Verdana" w:eastAsia="Arial" w:hAnsi="Verdana" w:cs="Arial"/>
          <w:sz w:val="20"/>
          <w:szCs w:val="20"/>
        </w:rPr>
      </w:pPr>
      <w:r w:rsidRPr="008D075A">
        <w:rPr>
          <w:rFonts w:ascii="Verdana" w:eastAsia="Arial" w:hAnsi="Verdana" w:cs="Arial"/>
          <w:sz w:val="20"/>
          <w:szCs w:val="20"/>
        </w:rPr>
        <w:t>Para optar al criterio de desempate del numeral 3 del artículo 35 de la Ley 2069 de 2020, es menester que los proponentes con tiempo de constitución superior a un año acrediten que el diez por ciento de su nómina está conformado por trabajadores con discapacidad, los cuales deben tener al menos un año de haber sido vinculados. Por tanto, si dicho porcentaje se ve reducido por eventos como el fallecimiento o la renuncia de uno de los trabajadores, dicho proponente no podrá optar al referido factor de desempate hasta que no vuelva a completar el referido porcentaje con trabajadores con discapacidad que cumplan con la antigüedad mínima.  Conforme a esto, surgiendo esta interpretación del texto de la propia Ley 2069 de 2020, estima esta Agencia que la interpretación propuesta por el peticionario no resulta procedente, en la medida en que desconoce aquel mandato interpretativo según el cual “Cuando el sentido de la ley sea claro, no se desatenderá su tenor literal a pretexto de consultar su espíritu”. En ese sentido, si bien es cierto que uno de los propósitos de los incentivos en materia de contratación estatal en favor de población discapacitada es el generar una mayor empleabilidad de estas personas, no resulta válido en este caso apartarse de la aplicación de lo dispuesto en el parágrafo segundo del artículo 35, comoquiera que las normas deben aplicarse conforme lo exige el texto que las consagra, que en este caso emana del propio legislador, quien ha sido el que ha establecido el requisito de antigüedad para el mencionado factor de desempate.</w:t>
      </w:r>
    </w:p>
    <w:p w14:paraId="2312621A" w14:textId="4A007610" w:rsidR="00273656" w:rsidRPr="00273656" w:rsidRDefault="00273656" w:rsidP="00273656">
      <w:pPr>
        <w:rPr>
          <w:rFonts w:ascii="Verdana" w:eastAsia="Verdana" w:hAnsi="Verdana" w:cs="Verdana"/>
        </w:rPr>
      </w:pPr>
      <w:r w:rsidRPr="008D075A">
        <w:rPr>
          <w:rFonts w:ascii="Verdana" w:hAnsi="Verdana"/>
        </w:rPr>
        <w:br w:type="page"/>
      </w:r>
    </w:p>
    <w:p w14:paraId="5FCADBF9" w14:textId="20812E05" w:rsidR="00E245AB" w:rsidRDefault="00E245AB" w:rsidP="00E245AB">
      <w:pPr>
        <w:spacing w:after="0"/>
        <w:rPr>
          <w:rFonts w:ascii="Verdana" w:hAnsi="Verdana"/>
        </w:rPr>
      </w:pPr>
      <w:r w:rsidRPr="0044528D">
        <w:rPr>
          <w:rFonts w:ascii="Verdana" w:hAnsi="Verdana"/>
        </w:rPr>
        <w:lastRenderedPageBreak/>
        <w:t xml:space="preserve">Bogotá D.C., </w:t>
      </w:r>
      <w:r w:rsidR="004149A6">
        <w:rPr>
          <w:rFonts w:ascii="Verdana" w:hAnsi="Verdana"/>
        </w:rPr>
        <w:t>21 de abril de 2025</w:t>
      </w:r>
    </w:p>
    <w:p w14:paraId="25A38615" w14:textId="77777777" w:rsidR="004149A6" w:rsidRPr="0044528D" w:rsidRDefault="004149A6" w:rsidP="00E245AB">
      <w:pPr>
        <w:spacing w:after="0"/>
        <w:rPr>
          <w:rFonts w:ascii="Verdana" w:hAnsi="Verdana"/>
        </w:rPr>
      </w:pPr>
    </w:p>
    <w:p w14:paraId="49716B47" w14:textId="77777777" w:rsidR="00BE5A58" w:rsidRPr="00BE5A58" w:rsidRDefault="00BE5A58" w:rsidP="00BE5A58">
      <w:pPr>
        <w:spacing w:after="0" w:line="240"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Señora</w:t>
      </w:r>
    </w:p>
    <w:p w14:paraId="1F2D62B4" w14:textId="77777777" w:rsidR="00BE5A58" w:rsidRPr="00BE5A58" w:rsidRDefault="00BE5A58" w:rsidP="00BE5A58">
      <w:pPr>
        <w:spacing w:after="0" w:line="240" w:lineRule="auto"/>
        <w:rPr>
          <w:rFonts w:ascii="Verdana" w:eastAsia="Verdana" w:hAnsi="Verdana" w:cs="Verdana"/>
          <w:b/>
          <w:color w:val="000000"/>
          <w:lang w:val="es-ES" w:eastAsia="es-CO"/>
        </w:rPr>
      </w:pPr>
      <w:r w:rsidRPr="00BE5A58">
        <w:rPr>
          <w:rFonts w:ascii="Verdana" w:eastAsia="Verdana" w:hAnsi="Verdana" w:cs="Verdana"/>
          <w:b/>
          <w:color w:val="000000"/>
          <w:lang w:val="es-ES" w:eastAsia="es-CO"/>
        </w:rPr>
        <w:t>Carol Andrea Niño S</w:t>
      </w:r>
    </w:p>
    <w:p w14:paraId="2B305A0D" w14:textId="77777777" w:rsidR="00BE5A58" w:rsidRPr="00BE5A58" w:rsidRDefault="00BE5A58" w:rsidP="00BE5A58">
      <w:pPr>
        <w:spacing w:after="0" w:line="240" w:lineRule="auto"/>
        <w:rPr>
          <w:rFonts w:ascii="Verdana" w:eastAsia="Verdana" w:hAnsi="Verdana" w:cs="Verdana"/>
          <w:color w:val="000000"/>
          <w:u w:val="single"/>
          <w:lang w:val="es-ES" w:eastAsia="es-CO"/>
        </w:rPr>
      </w:pPr>
      <w:r w:rsidRPr="00BE5A58">
        <w:rPr>
          <w:rFonts w:ascii="Verdana" w:eastAsia="Verdana" w:hAnsi="Verdana" w:cs="Verdana"/>
          <w:color w:val="000000"/>
          <w:u w:val="single"/>
          <w:lang w:val="es-ES" w:eastAsia="es-CO"/>
        </w:rPr>
        <w:t>cninosu@gmail.com</w:t>
      </w:r>
    </w:p>
    <w:p w14:paraId="78FB6336" w14:textId="77777777" w:rsidR="00BE5A58" w:rsidRPr="00BE5A58" w:rsidRDefault="00BE5A58" w:rsidP="00BE5A58">
      <w:pPr>
        <w:spacing w:after="0" w:line="240" w:lineRule="auto"/>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Bogotá D.C </w:t>
      </w:r>
    </w:p>
    <w:p w14:paraId="5F19FB30" w14:textId="5E1E6EE4" w:rsidR="00BE5A58" w:rsidRPr="00BE5A58" w:rsidRDefault="00C714A2" w:rsidP="00C714A2">
      <w:pPr>
        <w:spacing w:after="0" w:line="240" w:lineRule="auto"/>
        <w:jc w:val="right"/>
        <w:rPr>
          <w:rFonts w:ascii="Verdana" w:eastAsia="Verdana" w:hAnsi="Verdana" w:cs="Verdana"/>
          <w:b/>
          <w:color w:val="000000"/>
          <w:lang w:val="es-ES" w:eastAsia="es-CO"/>
        </w:rPr>
      </w:pPr>
      <w:r w:rsidRPr="00C714A2">
        <w:rPr>
          <w:rFonts w:ascii="Verdana" w:eastAsia="Verdana" w:hAnsi="Verdana" w:cs="Verdana"/>
          <w:b/>
          <w:color w:val="000000"/>
          <w:lang w:val="es-ES" w:eastAsia="es-CO"/>
        </w:rPr>
        <w:drawing>
          <wp:inline distT="0" distB="0" distL="0" distR="0" wp14:anchorId="50910B60" wp14:editId="676E46F4">
            <wp:extent cx="2796782" cy="899238"/>
            <wp:effectExtent l="0" t="0" r="3810" b="0"/>
            <wp:docPr id="15961496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49677" name=""/>
                    <pic:cNvPicPr/>
                  </pic:nvPicPr>
                  <pic:blipFill>
                    <a:blip r:embed="rId10"/>
                    <a:stretch>
                      <a:fillRect/>
                    </a:stretch>
                  </pic:blipFill>
                  <pic:spPr>
                    <a:xfrm>
                      <a:off x="0" y="0"/>
                      <a:ext cx="2796782" cy="899238"/>
                    </a:xfrm>
                    <a:prstGeom prst="rect">
                      <a:avLst/>
                    </a:prstGeom>
                  </pic:spPr>
                </pic:pic>
              </a:graphicData>
            </a:graphic>
          </wp:inline>
        </w:drawing>
      </w:r>
    </w:p>
    <w:p w14:paraId="02C641EC" w14:textId="77777777" w:rsidR="00BE5A58" w:rsidRPr="00BE5A58" w:rsidRDefault="00BE5A58" w:rsidP="00BE5A58">
      <w:pPr>
        <w:spacing w:after="0" w:line="240" w:lineRule="auto"/>
        <w:rPr>
          <w:rFonts w:ascii="Verdana" w:eastAsia="Verdana" w:hAnsi="Verdana" w:cs="Verdana"/>
          <w:b/>
          <w:color w:val="000000"/>
          <w:lang w:val="es-ES" w:eastAsia="es-CO"/>
        </w:rPr>
      </w:pPr>
    </w:p>
    <w:tbl>
      <w:tblPr>
        <w:tblW w:w="8789" w:type="dxa"/>
        <w:tblBorders>
          <w:top w:val="nil"/>
          <w:left w:val="nil"/>
          <w:bottom w:val="nil"/>
          <w:right w:val="nil"/>
          <w:insideH w:val="nil"/>
          <w:insideV w:val="nil"/>
        </w:tblBorders>
        <w:tblLayout w:type="fixed"/>
        <w:tblLook w:val="0400" w:firstRow="0" w:lastRow="0" w:firstColumn="0" w:lastColumn="0" w:noHBand="0" w:noVBand="1"/>
      </w:tblPr>
      <w:tblGrid>
        <w:gridCol w:w="2689"/>
        <w:gridCol w:w="6100"/>
      </w:tblGrid>
      <w:tr w:rsidR="00BE5A58" w:rsidRPr="00BE5A58" w14:paraId="61845F9F" w14:textId="77777777" w:rsidTr="0019513C">
        <w:trPr>
          <w:trHeight w:val="148"/>
        </w:trPr>
        <w:tc>
          <w:tcPr>
            <w:tcW w:w="2689" w:type="dxa"/>
          </w:tcPr>
          <w:p w14:paraId="0ADBBA47" w14:textId="77777777" w:rsidR="00BE5A58" w:rsidRPr="00BE5A58" w:rsidRDefault="00BE5A58" w:rsidP="00BE5A58">
            <w:pPr>
              <w:spacing w:after="0" w:line="240" w:lineRule="auto"/>
              <w:jc w:val="both"/>
              <w:rPr>
                <w:rFonts w:ascii="Verdana" w:eastAsia="Verdana" w:hAnsi="Verdana" w:cs="Verdana"/>
                <w:b/>
                <w:color w:val="000000"/>
                <w:lang w:val="es-ES" w:eastAsia="es-CO"/>
              </w:rPr>
            </w:pPr>
          </w:p>
        </w:tc>
        <w:tc>
          <w:tcPr>
            <w:tcW w:w="6100" w:type="dxa"/>
          </w:tcPr>
          <w:p w14:paraId="2A85EA79" w14:textId="77777777" w:rsidR="00BE5A58" w:rsidRPr="00BE5A58" w:rsidRDefault="00BE5A58" w:rsidP="00BE5A58">
            <w:pPr>
              <w:spacing w:after="0" w:line="240"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Concepto C- </w:t>
            </w:r>
            <w:r w:rsidRPr="00BE5A58">
              <w:rPr>
                <w:rFonts w:ascii="Verdana" w:eastAsia="Verdana" w:hAnsi="Verdana" w:cs="Verdana"/>
                <w:lang w:val="es-ES" w:eastAsia="es-CO"/>
              </w:rPr>
              <w:t>316</w:t>
            </w:r>
            <w:r w:rsidRPr="00BE5A58">
              <w:rPr>
                <w:rFonts w:ascii="Verdana" w:eastAsia="Verdana" w:hAnsi="Verdana" w:cs="Verdana"/>
                <w:color w:val="000000"/>
                <w:lang w:val="es-ES" w:eastAsia="es-CO"/>
              </w:rPr>
              <w:t xml:space="preserve"> de 2025</w:t>
            </w:r>
          </w:p>
          <w:p w14:paraId="6E80E2A9" w14:textId="77777777" w:rsidR="00BE5A58" w:rsidRPr="00BE5A58" w:rsidRDefault="00BE5A58" w:rsidP="00BE5A58">
            <w:pPr>
              <w:spacing w:after="0" w:line="240" w:lineRule="auto"/>
              <w:jc w:val="both"/>
              <w:rPr>
                <w:rFonts w:ascii="Verdana" w:eastAsia="Verdana" w:hAnsi="Verdana" w:cs="Verdana"/>
                <w:color w:val="000000"/>
                <w:lang w:val="es-ES" w:eastAsia="es-CO"/>
              </w:rPr>
            </w:pPr>
          </w:p>
        </w:tc>
      </w:tr>
      <w:tr w:rsidR="00BE5A58" w:rsidRPr="00BE5A58" w14:paraId="4DEFE998" w14:textId="77777777" w:rsidTr="0019513C">
        <w:trPr>
          <w:trHeight w:val="884"/>
        </w:trPr>
        <w:tc>
          <w:tcPr>
            <w:tcW w:w="2689" w:type="dxa"/>
          </w:tcPr>
          <w:p w14:paraId="2E55407D" w14:textId="77777777" w:rsidR="00BE5A58" w:rsidRPr="00BE5A58" w:rsidRDefault="00BE5A58" w:rsidP="00BE5A58">
            <w:pPr>
              <w:spacing w:after="0" w:line="240" w:lineRule="auto"/>
              <w:jc w:val="both"/>
              <w:rPr>
                <w:rFonts w:ascii="Verdana" w:eastAsia="Verdana" w:hAnsi="Verdana" w:cs="Verdana"/>
                <w:color w:val="000000"/>
                <w:lang w:val="es-ES" w:eastAsia="es-CO"/>
              </w:rPr>
            </w:pPr>
            <w:r w:rsidRPr="00BE5A58">
              <w:rPr>
                <w:rFonts w:ascii="Verdana" w:eastAsia="Verdana" w:hAnsi="Verdana" w:cs="Verdana"/>
                <w:b/>
                <w:color w:val="000000"/>
                <w:lang w:val="es-ES" w:eastAsia="es-CO"/>
              </w:rPr>
              <w:t>Temas:</w:t>
            </w:r>
            <w:r w:rsidRPr="00BE5A58">
              <w:rPr>
                <w:rFonts w:ascii="Verdana" w:eastAsia="Verdana" w:hAnsi="Verdana" w:cs="Verdana"/>
                <w:color w:val="000000"/>
                <w:lang w:val="es-ES" w:eastAsia="es-CO"/>
              </w:rPr>
              <w:t xml:space="preserve">                   </w:t>
            </w:r>
          </w:p>
        </w:tc>
        <w:tc>
          <w:tcPr>
            <w:tcW w:w="6100" w:type="dxa"/>
          </w:tcPr>
          <w:p w14:paraId="1797BA34" w14:textId="77777777" w:rsidR="00BE5A58" w:rsidRPr="00BE5A58" w:rsidRDefault="00BE5A58" w:rsidP="00BE5A58">
            <w:pPr>
              <w:ind w:right="51"/>
              <w:jc w:val="both"/>
              <w:rPr>
                <w:rFonts w:ascii="Verdana" w:eastAsia="Verdana" w:hAnsi="Verdana" w:cs="Verdana"/>
                <w:lang w:val="es-ES" w:eastAsia="es-CO"/>
              </w:rPr>
            </w:pPr>
            <w:r w:rsidRPr="00BE5A58">
              <w:rPr>
                <w:rFonts w:ascii="Verdana" w:eastAsia="Verdana" w:hAnsi="Verdana" w:cs="Verdana"/>
                <w:lang w:val="es-ES" w:eastAsia="es-CO"/>
              </w:rPr>
              <w:t xml:space="preserve">PERSONAS EN CONDICIÓN DE DISCAPACIDAD – Seguimiento durante la ejecución del contrato / FACTORES DE DESEMPATE – Ley 2069 de 2020 – Artículo 35 – Numeral 3 – Personas con discapacidad – Antigüedad mínima </w:t>
            </w:r>
          </w:p>
          <w:p w14:paraId="32CF189C" w14:textId="77777777" w:rsidR="00BE5A58" w:rsidRPr="00BE5A58" w:rsidRDefault="00BE5A58" w:rsidP="00BE5A58">
            <w:pPr>
              <w:spacing w:after="0" w:line="240" w:lineRule="auto"/>
              <w:jc w:val="both"/>
              <w:rPr>
                <w:rFonts w:ascii="Verdana" w:eastAsia="Verdana" w:hAnsi="Verdana" w:cs="Verdana"/>
                <w:color w:val="000000"/>
                <w:lang w:val="es-ES" w:eastAsia="es-CO"/>
              </w:rPr>
            </w:pPr>
          </w:p>
        </w:tc>
      </w:tr>
      <w:tr w:rsidR="00BE5A58" w:rsidRPr="00BE5A58" w14:paraId="4ED30807" w14:textId="77777777" w:rsidTr="0019513C">
        <w:tc>
          <w:tcPr>
            <w:tcW w:w="2689" w:type="dxa"/>
          </w:tcPr>
          <w:p w14:paraId="07E14CA8" w14:textId="77777777" w:rsidR="00BE5A58" w:rsidRPr="00BE5A58" w:rsidRDefault="00BE5A58" w:rsidP="00BE5A58">
            <w:pPr>
              <w:spacing w:after="0" w:line="240" w:lineRule="auto"/>
              <w:jc w:val="both"/>
              <w:rPr>
                <w:rFonts w:ascii="Verdana" w:eastAsia="Verdana" w:hAnsi="Verdana" w:cs="Verdana"/>
                <w:b/>
                <w:color w:val="000000"/>
                <w:lang w:val="es-ES" w:eastAsia="es-CO"/>
              </w:rPr>
            </w:pPr>
            <w:r w:rsidRPr="00BE5A58">
              <w:rPr>
                <w:rFonts w:ascii="Verdana" w:eastAsia="Verdana" w:hAnsi="Verdana" w:cs="Verdana"/>
                <w:b/>
                <w:color w:val="000000"/>
                <w:lang w:val="es-ES" w:eastAsia="es-CO"/>
              </w:rPr>
              <w:t>Radicación:</w:t>
            </w:r>
            <w:r w:rsidRPr="00BE5A58">
              <w:rPr>
                <w:rFonts w:ascii="Verdana" w:eastAsia="Verdana" w:hAnsi="Verdana" w:cs="Verdana"/>
                <w:color w:val="000000"/>
                <w:lang w:val="es-ES" w:eastAsia="es-CO"/>
              </w:rPr>
              <w:t xml:space="preserve">               </w:t>
            </w:r>
          </w:p>
        </w:tc>
        <w:tc>
          <w:tcPr>
            <w:tcW w:w="6100" w:type="dxa"/>
          </w:tcPr>
          <w:p w14:paraId="694673BD" w14:textId="77777777" w:rsidR="00BE5A58" w:rsidRPr="00BE5A58" w:rsidRDefault="00BE5A58" w:rsidP="00BE5A58">
            <w:pPr>
              <w:spacing w:after="0" w:line="240"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Respuesta a consulta con radicado No.  P P20250312002448</w:t>
            </w:r>
          </w:p>
        </w:tc>
      </w:tr>
    </w:tbl>
    <w:p w14:paraId="10E7E3BD" w14:textId="77777777" w:rsidR="00BE5A58" w:rsidRPr="00BE5A58" w:rsidRDefault="00BE5A58" w:rsidP="00BE5A58">
      <w:pPr>
        <w:spacing w:after="0" w:line="240" w:lineRule="auto"/>
        <w:jc w:val="both"/>
        <w:rPr>
          <w:rFonts w:ascii="Verdana" w:eastAsia="Verdana" w:hAnsi="Verdana" w:cs="Verdana"/>
          <w:color w:val="000000"/>
          <w:lang w:val="es-ES" w:eastAsia="es-CO"/>
        </w:rPr>
      </w:pPr>
    </w:p>
    <w:p w14:paraId="2B18926B" w14:textId="77777777" w:rsidR="00BE5A58" w:rsidRPr="00BE5A58" w:rsidRDefault="00BE5A58" w:rsidP="00BE5A58">
      <w:pPr>
        <w:spacing w:after="0" w:line="240" w:lineRule="auto"/>
        <w:jc w:val="both"/>
        <w:rPr>
          <w:rFonts w:ascii="Verdana" w:eastAsia="Verdana" w:hAnsi="Verdana" w:cs="Verdana"/>
          <w:color w:val="000000"/>
          <w:lang w:val="es-ES" w:eastAsia="es-CO"/>
        </w:rPr>
      </w:pPr>
    </w:p>
    <w:p w14:paraId="68B5D4A8" w14:textId="77777777" w:rsidR="00BE5A58" w:rsidRPr="00BE5A58" w:rsidRDefault="00BE5A58" w:rsidP="00BE5A58">
      <w:pPr>
        <w:spacing w:after="0" w:line="276"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Estimada señora Niño: </w:t>
      </w:r>
    </w:p>
    <w:p w14:paraId="22AC1D4E" w14:textId="77777777" w:rsidR="00BE5A58" w:rsidRPr="00BE5A58" w:rsidRDefault="00BE5A58" w:rsidP="00BE5A58">
      <w:pPr>
        <w:tabs>
          <w:tab w:val="left" w:pos="3768"/>
        </w:tabs>
        <w:spacing w:after="0" w:line="276"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ab/>
      </w:r>
    </w:p>
    <w:p w14:paraId="3FECFEDF" w14:textId="77777777" w:rsidR="00BE5A58" w:rsidRPr="00BE5A58" w:rsidRDefault="00BE5A58" w:rsidP="00BE5A58">
      <w:pPr>
        <w:spacing w:after="0" w:line="276"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remitida a esta entidad el 12 de marzo de 2025, en la cual manifiesta lo siguiente: </w:t>
      </w:r>
    </w:p>
    <w:p w14:paraId="01FA7A12" w14:textId="77777777" w:rsidR="00BE5A58" w:rsidRPr="00BE5A58" w:rsidRDefault="00BE5A58" w:rsidP="00BE5A58">
      <w:pPr>
        <w:spacing w:after="0" w:line="276" w:lineRule="auto"/>
        <w:jc w:val="both"/>
        <w:rPr>
          <w:rFonts w:ascii="Verdana" w:eastAsia="Verdana" w:hAnsi="Verdana" w:cs="Verdana"/>
          <w:color w:val="000000"/>
          <w:sz w:val="20"/>
          <w:szCs w:val="20"/>
          <w:lang w:val="es-ES" w:eastAsia="es-CO"/>
        </w:rPr>
      </w:pPr>
    </w:p>
    <w:p w14:paraId="0129BBD7" w14:textId="77777777" w:rsidR="00BE5A58" w:rsidRPr="00BE5A58" w:rsidRDefault="00BE5A58" w:rsidP="00BE5A58">
      <w:pPr>
        <w:spacing w:after="0"/>
        <w:ind w:left="709" w:right="709"/>
        <w:jc w:val="both"/>
        <w:rPr>
          <w:rFonts w:ascii="Verdana" w:eastAsia="Verdana" w:hAnsi="Verdana" w:cs="Verdana"/>
          <w:color w:val="000000"/>
          <w:sz w:val="20"/>
          <w:szCs w:val="20"/>
          <w:lang w:val="es-ES" w:eastAsia="es-CO"/>
        </w:rPr>
      </w:pPr>
      <w:r w:rsidRPr="00BE5A58">
        <w:rPr>
          <w:rFonts w:ascii="Verdana" w:eastAsia="Verdana" w:hAnsi="Verdana" w:cs="Verdana"/>
          <w:color w:val="000000"/>
          <w:sz w:val="20"/>
          <w:szCs w:val="20"/>
          <w:lang w:val="es-ES" w:eastAsia="es-CO"/>
        </w:rPr>
        <w:t xml:space="preserve">“[…] Cuando el legislador define la condición adicional “… y que manifieste adicionalmente que mantendrá dicho personal por un lapso igual al término de ejecución del contrato” ¿quiere decir entonces que el proponente debe acreditar las circunstancias en dos momentos: Uno con anterioridad a la fecha de cierre del proceso demostrando que el personal estuvo vinculado con por lo menos con un año de anterioridad o desde la constitución de la personal jurídica cuándo esta sea inferior a un año y </w:t>
      </w:r>
      <w:r w:rsidRPr="00BE5A58">
        <w:rPr>
          <w:rFonts w:ascii="Verdana" w:eastAsia="Verdana" w:hAnsi="Verdana" w:cs="Verdana"/>
          <w:color w:val="000000"/>
          <w:sz w:val="20"/>
          <w:szCs w:val="20"/>
          <w:lang w:val="es-ES" w:eastAsia="es-CO"/>
        </w:rPr>
        <w:lastRenderedPageBreak/>
        <w:t>otra posterior al cierre del proceso manifestando que mantendrá dicho personal por un lapso igual al término de ejecución del contrato?</w:t>
      </w:r>
    </w:p>
    <w:p w14:paraId="3917DC88" w14:textId="77777777" w:rsidR="00BE5A58" w:rsidRPr="00BE5A58" w:rsidRDefault="00BE5A58" w:rsidP="00BE5A58">
      <w:pPr>
        <w:spacing w:after="0"/>
        <w:ind w:left="709" w:right="709"/>
        <w:jc w:val="both"/>
        <w:rPr>
          <w:rFonts w:ascii="Verdana" w:eastAsia="Verdana" w:hAnsi="Verdana" w:cs="Verdana"/>
          <w:color w:val="000000"/>
          <w:sz w:val="20"/>
          <w:szCs w:val="20"/>
          <w:lang w:val="es-ES" w:eastAsia="es-CO"/>
        </w:rPr>
      </w:pPr>
      <w:r w:rsidRPr="00BE5A58">
        <w:rPr>
          <w:rFonts w:ascii="Verdana" w:eastAsia="Verdana" w:hAnsi="Verdana" w:cs="Verdana"/>
          <w:color w:val="000000"/>
          <w:sz w:val="20"/>
          <w:szCs w:val="20"/>
          <w:lang w:val="es-ES" w:eastAsia="es-CO"/>
        </w:rPr>
        <w:t>2. ¿Se puede considerar que el criterio no está bien acreditado por un proponente cuando no se manifiesten ambas circunstancias en la certificación presentada para demostrar el criterio de desempate?</w:t>
      </w:r>
    </w:p>
    <w:p w14:paraId="63742B6F" w14:textId="77777777" w:rsidR="00BE5A58" w:rsidRPr="00BE5A58" w:rsidRDefault="00BE5A58" w:rsidP="00BE5A58">
      <w:pPr>
        <w:spacing w:after="0"/>
        <w:ind w:left="709" w:right="709"/>
        <w:jc w:val="both"/>
        <w:rPr>
          <w:rFonts w:ascii="Verdana" w:eastAsia="Verdana" w:hAnsi="Verdana" w:cs="Verdana"/>
          <w:color w:val="000000"/>
          <w:sz w:val="20"/>
          <w:szCs w:val="20"/>
          <w:lang w:val="es-ES" w:eastAsia="es-CO"/>
        </w:rPr>
      </w:pPr>
      <w:r w:rsidRPr="00BE5A58">
        <w:rPr>
          <w:rFonts w:ascii="Verdana" w:eastAsia="Verdana" w:hAnsi="Verdana" w:cs="Verdana"/>
          <w:color w:val="000000"/>
          <w:sz w:val="20"/>
          <w:szCs w:val="20"/>
          <w:lang w:val="es-ES" w:eastAsia="es-CO"/>
        </w:rPr>
        <w:t>3. ¿Una entidad puede avalar este criterio de desempate cuando solo se haya acreditado el tiempo de vinculación del personal discapacitado, pero no se haya manifestado que mantendrá vinculado este personal por un lapso igual al del término de ejecución del contrato? [sic]</w:t>
      </w:r>
    </w:p>
    <w:p w14:paraId="7AB32CD8" w14:textId="77777777" w:rsidR="00BE5A58" w:rsidRPr="00BE5A58" w:rsidRDefault="00BE5A58" w:rsidP="00BE5A58">
      <w:pPr>
        <w:spacing w:after="0" w:line="240" w:lineRule="auto"/>
        <w:ind w:left="709" w:right="709"/>
        <w:jc w:val="both"/>
        <w:rPr>
          <w:rFonts w:ascii="Verdana" w:eastAsia="Verdana" w:hAnsi="Verdana" w:cs="Verdana"/>
          <w:color w:val="000000"/>
          <w:lang w:val="es-ES" w:eastAsia="es-CO"/>
        </w:rPr>
      </w:pPr>
    </w:p>
    <w:p w14:paraId="46CC4D69" w14:textId="77777777" w:rsidR="00BE5A58" w:rsidRPr="00BE5A58" w:rsidRDefault="00BE5A58" w:rsidP="00BE5A58">
      <w:pPr>
        <w:spacing w:after="0" w:line="276" w:lineRule="auto"/>
        <w:ind w:left="851" w:right="709"/>
        <w:jc w:val="both"/>
        <w:rPr>
          <w:rFonts w:ascii="Verdana" w:eastAsia="Verdana" w:hAnsi="Verdana" w:cs="Verdana"/>
          <w:color w:val="000000"/>
          <w:lang w:val="es-ES" w:eastAsia="es-CO"/>
        </w:rPr>
      </w:pPr>
    </w:p>
    <w:p w14:paraId="26C28133" w14:textId="77777777" w:rsidR="00BE5A58" w:rsidRPr="00BE5A58" w:rsidRDefault="00BE5A58" w:rsidP="00BE5A58">
      <w:pPr>
        <w:spacing w:after="120" w:line="276" w:lineRule="auto"/>
        <w:ind w:firstLine="709"/>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Así mismo, se resalta que la Agencia </w:t>
      </w:r>
      <w:r w:rsidRPr="00BE5A58">
        <w:rPr>
          <w:rFonts w:ascii="Verdana" w:eastAsia="Verdana" w:hAnsi="Verdana" w:cs="Verdana"/>
          <w:lang w:val="es-ES" w:eastAsia="es-CO"/>
        </w:rPr>
        <w:t>al no ser un órgano judicial, ni una entidad de vigilancia, inspección o control en materia contractual, carece de la facultad para desempeñar estas funciones.</w:t>
      </w:r>
      <w:r w:rsidRPr="00BE5A58">
        <w:rPr>
          <w:rFonts w:ascii="Verdana" w:eastAsia="Verdana" w:hAnsi="Verdana" w:cs="Verdana"/>
          <w:color w:val="000000"/>
          <w:lang w:val="es-ES" w:eastAsia="es-CO"/>
        </w:rPr>
        <w:t xml:space="preserve"> </w:t>
      </w:r>
      <w:r w:rsidRPr="00BE5A58">
        <w:rPr>
          <w:rFonts w:ascii="Verdana" w:eastAsia="Verdana" w:hAnsi="Verdana" w:cs="Verdana"/>
          <w:color w:val="000000"/>
          <w:lang w:val="es-ES" w:eastAsia="es-CO"/>
        </w:rPr>
        <w:tab/>
      </w:r>
    </w:p>
    <w:p w14:paraId="0EE34305" w14:textId="77777777" w:rsidR="00BE5A58" w:rsidRPr="00BE5A58" w:rsidRDefault="00BE5A58" w:rsidP="00BE5A58">
      <w:pPr>
        <w:spacing w:after="0" w:line="276" w:lineRule="auto"/>
        <w:ind w:firstLine="709"/>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3F8EC0DA" w14:textId="77777777" w:rsidR="00BE5A58" w:rsidRPr="00BE5A58" w:rsidRDefault="00BE5A58" w:rsidP="00BE5A58">
      <w:pPr>
        <w:spacing w:after="0" w:line="276" w:lineRule="auto"/>
        <w:ind w:firstLine="709"/>
        <w:jc w:val="both"/>
        <w:rPr>
          <w:rFonts w:ascii="Verdana" w:eastAsia="Verdana" w:hAnsi="Verdana" w:cs="Verdana"/>
          <w:color w:val="000000"/>
          <w:lang w:val="es-ES" w:eastAsia="es-CO"/>
        </w:rPr>
      </w:pPr>
    </w:p>
    <w:p w14:paraId="62894136" w14:textId="77777777" w:rsidR="00BE5A58" w:rsidRPr="00BE5A58" w:rsidRDefault="00BE5A58" w:rsidP="00BE5A58">
      <w:pPr>
        <w:numPr>
          <w:ilvl w:val="0"/>
          <w:numId w:val="16"/>
        </w:numPr>
        <w:pBdr>
          <w:top w:val="nil"/>
          <w:left w:val="nil"/>
          <w:bottom w:val="nil"/>
          <w:right w:val="nil"/>
          <w:between w:val="nil"/>
        </w:pBdr>
        <w:tabs>
          <w:tab w:val="left" w:pos="142"/>
          <w:tab w:val="left" w:pos="284"/>
        </w:tabs>
        <w:spacing w:after="0" w:line="276" w:lineRule="auto"/>
        <w:ind w:left="0" w:firstLine="0"/>
        <w:jc w:val="both"/>
        <w:rPr>
          <w:rFonts w:ascii="Verdana" w:eastAsia="Verdana" w:hAnsi="Verdana" w:cs="Verdana"/>
          <w:b/>
          <w:color w:val="000000"/>
          <w:lang w:val="es-ES" w:eastAsia="es-CO"/>
        </w:rPr>
      </w:pPr>
      <w:r w:rsidRPr="00BE5A58">
        <w:rPr>
          <w:rFonts w:ascii="Verdana" w:eastAsia="Verdana" w:hAnsi="Verdana" w:cs="Verdana"/>
          <w:b/>
          <w:color w:val="000000"/>
          <w:lang w:val="es-ES" w:eastAsia="es-CO"/>
        </w:rPr>
        <w:t>Problema planteado:</w:t>
      </w:r>
    </w:p>
    <w:p w14:paraId="4697A289" w14:textId="77777777" w:rsidR="00BE5A58" w:rsidRPr="00BE5A58" w:rsidRDefault="00BE5A58" w:rsidP="00BE5A58">
      <w:pPr>
        <w:tabs>
          <w:tab w:val="left" w:pos="426"/>
        </w:tabs>
        <w:spacing w:after="0" w:line="276" w:lineRule="auto"/>
        <w:jc w:val="both"/>
        <w:rPr>
          <w:rFonts w:ascii="Verdana" w:eastAsia="Verdana" w:hAnsi="Verdana" w:cs="Verdana"/>
          <w:color w:val="000000"/>
          <w:lang w:val="es-ES" w:eastAsia="es-CO"/>
        </w:rPr>
      </w:pPr>
    </w:p>
    <w:p w14:paraId="42434D84" w14:textId="77777777" w:rsidR="00BE5A58" w:rsidRPr="00BE5A58" w:rsidRDefault="00BE5A58" w:rsidP="00BE5A58">
      <w:pPr>
        <w:spacing w:after="0" w:line="276" w:lineRule="auto"/>
        <w:jc w:val="both"/>
        <w:rPr>
          <w:rFonts w:ascii="Arial" w:eastAsia="Arial" w:hAnsi="Arial" w:cs="Arial"/>
          <w:lang w:val="es-ES" w:eastAsia="es-CO"/>
        </w:rPr>
      </w:pPr>
      <w:r w:rsidRPr="00BE5A58">
        <w:rPr>
          <w:rFonts w:ascii="Verdana" w:eastAsia="Verdana" w:hAnsi="Verdana" w:cs="Verdana"/>
          <w:color w:val="000000"/>
          <w:lang w:val="es-ES" w:eastAsia="es-CO"/>
        </w:rPr>
        <w:t xml:space="preserve">De acuerdo con el contenido de su solicitud, esta Agencia resolverá el primer punto de su petición con la respuesta del siguiente problema jurídico: </w:t>
      </w:r>
      <w:r w:rsidRPr="00BE5A58">
        <w:rPr>
          <w:rFonts w:ascii="Verdana" w:eastAsia="Verdana" w:hAnsi="Verdana" w:cs="Verdana"/>
          <w:lang w:val="es-ES" w:eastAsia="es-CO"/>
        </w:rPr>
        <w:t xml:space="preserve">¿Cuál es la antigüedad mínima a la que se refiere el parágrafo segundo del artículo 35 de </w:t>
      </w:r>
      <w:r w:rsidRPr="00BE5A58">
        <w:rPr>
          <w:rFonts w:ascii="Verdana" w:eastAsia="Verdana" w:hAnsi="Verdana" w:cs="Verdana"/>
          <w:lang w:val="es-ES" w:eastAsia="es-CO"/>
        </w:rPr>
        <w:lastRenderedPageBreak/>
        <w:t>la Ley 2069 de 2020 en relación con la acreditación de personal con discapacidad? En caso de que el proponente resulte adjudicatario por el factor de desempate estipulado en el numeral 3 del artículo 35 de la Ley 2069 de 2020, ¿es necesario que mantenga vinculados, durante la ejecución del contrato, a los trabajadores en situación de discapacidad previamente contratados?</w:t>
      </w:r>
    </w:p>
    <w:p w14:paraId="2B01A270" w14:textId="77777777" w:rsidR="00BE5A58" w:rsidRPr="00BE5A58" w:rsidRDefault="00BE5A58" w:rsidP="00BE5A58">
      <w:pPr>
        <w:spacing w:after="0" w:line="276" w:lineRule="auto"/>
        <w:jc w:val="both"/>
        <w:rPr>
          <w:rFonts w:ascii="Verdana" w:eastAsia="Verdana" w:hAnsi="Verdana" w:cs="Verdana"/>
          <w:color w:val="000000"/>
          <w:lang w:val="es-ES" w:eastAsia="es-CO"/>
        </w:rPr>
      </w:pPr>
    </w:p>
    <w:p w14:paraId="78C16239" w14:textId="77777777" w:rsidR="00BE5A58" w:rsidRPr="00BE5A58" w:rsidRDefault="00BE5A58" w:rsidP="00BE5A58">
      <w:pPr>
        <w:numPr>
          <w:ilvl w:val="0"/>
          <w:numId w:val="16"/>
        </w:numPr>
        <w:pBdr>
          <w:top w:val="nil"/>
          <w:left w:val="nil"/>
          <w:bottom w:val="nil"/>
          <w:right w:val="nil"/>
          <w:between w:val="nil"/>
        </w:pBdr>
        <w:tabs>
          <w:tab w:val="left" w:pos="142"/>
          <w:tab w:val="left" w:pos="284"/>
        </w:tabs>
        <w:spacing w:after="0" w:line="276" w:lineRule="auto"/>
        <w:ind w:left="0" w:firstLine="0"/>
        <w:jc w:val="both"/>
        <w:rPr>
          <w:rFonts w:ascii="Verdana" w:eastAsia="Verdana" w:hAnsi="Verdana" w:cs="Verdana"/>
          <w:b/>
          <w:color w:val="000000"/>
          <w:lang w:val="es-ES" w:eastAsia="es-CO"/>
        </w:rPr>
      </w:pPr>
      <w:r w:rsidRPr="00BE5A58">
        <w:rPr>
          <w:rFonts w:ascii="Verdana" w:eastAsia="Verdana" w:hAnsi="Verdana" w:cs="Verdana"/>
          <w:b/>
          <w:color w:val="000000"/>
          <w:lang w:val="es-ES" w:eastAsia="es-CO"/>
        </w:rPr>
        <w:t>Respuesta:</w:t>
      </w:r>
    </w:p>
    <w:p w14:paraId="2DE2261C" w14:textId="77777777" w:rsidR="00BE5A58" w:rsidRPr="00BE5A58" w:rsidRDefault="00BE5A58" w:rsidP="00BE5A58">
      <w:pPr>
        <w:tabs>
          <w:tab w:val="left" w:pos="142"/>
          <w:tab w:val="left" w:pos="284"/>
        </w:tabs>
        <w:spacing w:after="0" w:line="276" w:lineRule="auto"/>
        <w:jc w:val="both"/>
        <w:rPr>
          <w:rFonts w:ascii="Verdana" w:eastAsia="Verdana" w:hAnsi="Verdana" w:cs="Verdana"/>
          <w:b/>
          <w:color w:val="000000"/>
          <w:lang w:val="es-ES" w:eastAsia="es-CO"/>
        </w:rPr>
      </w:pPr>
    </w:p>
    <w:tbl>
      <w:tblPr>
        <w:tblW w:w="8779"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8779"/>
      </w:tblGrid>
      <w:tr w:rsidR="00BE5A58" w:rsidRPr="00BE5A58" w14:paraId="37364296" w14:textId="77777777" w:rsidTr="0019513C">
        <w:tc>
          <w:tcPr>
            <w:tcW w:w="8779" w:type="dxa"/>
            <w:shd w:val="clear" w:color="auto" w:fill="auto"/>
          </w:tcPr>
          <w:p w14:paraId="57DCCE52" w14:textId="77777777" w:rsidR="00BE5A58" w:rsidRPr="00BE5A58" w:rsidRDefault="00BE5A58" w:rsidP="00BE5A58">
            <w:pPr>
              <w:shd w:val="clear" w:color="auto" w:fill="FFFFFF"/>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Para la aplicación del incentivo consistente en el </w:t>
            </w:r>
            <w:r w:rsidRPr="00BE5A58">
              <w:rPr>
                <w:rFonts w:ascii="Verdana" w:eastAsia="Verdana" w:hAnsi="Verdana" w:cs="Verdana"/>
                <w:i/>
                <w:lang w:val="es-ES" w:eastAsia="es-CO"/>
              </w:rPr>
              <w:t>factor de desempate</w:t>
            </w:r>
            <w:r w:rsidRPr="00BE5A58">
              <w:rPr>
                <w:rFonts w:ascii="Verdana" w:eastAsia="Verdana" w:hAnsi="Verdana" w:cs="Verdana"/>
                <w:lang w:val="es-ES" w:eastAsia="es-CO"/>
              </w:rPr>
              <w:t xml:space="preserve"> del numeral 3 del artículo 35 de la Ley 2069 de 2020, es necesario que el proponente acredite que el diez por ciento (10%) de su nómina se encuentra conformado por trabajadores en situación de discapacidad, que tengan un tiempo de vinculación de al menos un año o que hayan sido vinculados desde la constitución. El sustento de dicho requisito de antigüedad se encuentra en el parágrafo segundo del mismo artículo.</w:t>
            </w:r>
          </w:p>
          <w:p w14:paraId="4CE40AF0" w14:textId="14F32A4B"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En relación con este último aspecto, frente a la interpretación de estas normas propuesta por el peticionario, esta Subdirección considera que la antigüedad mínima a la que se refiere el parágrafo segundo del artículo 35 de la Ley 2069 de 2020, no es un requisito de cuya aplicación pueda prescindirse en casos como los propuestos, en los que se </w:t>
            </w:r>
            <w:r w:rsidR="60018B30" w:rsidRPr="79D7B618">
              <w:rPr>
                <w:rFonts w:ascii="Verdana" w:eastAsia="Verdana" w:hAnsi="Verdana" w:cs="Verdana"/>
                <w:lang w:val="es-ES" w:eastAsia="es-CO"/>
              </w:rPr>
              <w:t>afecte</w:t>
            </w:r>
            <w:r w:rsidRPr="00BE5A58">
              <w:rPr>
                <w:rFonts w:ascii="Verdana" w:eastAsia="Verdana" w:hAnsi="Verdana" w:cs="Verdana"/>
                <w:lang w:val="es-ES" w:eastAsia="es-CO"/>
              </w:rPr>
              <w:t xml:space="preserve"> el porcentaje mínimo de trabajadores en situación de discapacidad vinculados a la nómina del proponente por eventos de “</w:t>
            </w:r>
            <w:r w:rsidRPr="00BE5A58">
              <w:rPr>
                <w:rFonts w:ascii="Verdana" w:eastAsia="Verdana" w:hAnsi="Verdana" w:cs="Verdana"/>
                <w:i/>
                <w:lang w:val="es-ES" w:eastAsia="es-CO"/>
              </w:rPr>
              <w:t>fuerza mayor</w:t>
            </w:r>
            <w:r w:rsidRPr="79D7B618">
              <w:rPr>
                <w:rFonts w:ascii="Verdana" w:eastAsia="Verdana" w:hAnsi="Verdana" w:cs="Verdana"/>
                <w:i/>
                <w:iCs/>
                <w:lang w:val="es-ES" w:eastAsia="es-CO"/>
              </w:rPr>
              <w:t>”</w:t>
            </w:r>
            <w:r w:rsidR="6C208E43" w:rsidRPr="79D7B618">
              <w:rPr>
                <w:rFonts w:ascii="Verdana" w:eastAsia="Verdana" w:hAnsi="Verdana" w:cs="Verdana"/>
                <w:i/>
                <w:iCs/>
                <w:lang w:val="es-ES" w:eastAsia="es-CO"/>
              </w:rPr>
              <w:t>,</w:t>
            </w:r>
            <w:r w:rsidRPr="79D7B618">
              <w:rPr>
                <w:rFonts w:ascii="Verdana" w:eastAsia="Verdana" w:hAnsi="Verdana" w:cs="Verdana"/>
                <w:i/>
                <w:lang w:val="es-ES" w:eastAsia="es-CO"/>
              </w:rPr>
              <w:t xml:space="preserve"> </w:t>
            </w:r>
            <w:r w:rsidRPr="00BE5A58">
              <w:rPr>
                <w:rFonts w:ascii="Verdana" w:eastAsia="Verdana" w:hAnsi="Verdana" w:cs="Verdana"/>
                <w:lang w:val="es-ES" w:eastAsia="es-CO"/>
              </w:rPr>
              <w:t xml:space="preserve">comoquiera que dicho proceder no deriva del texto de la ley, que únicamente </w:t>
            </w:r>
            <w:r w:rsidRPr="79D7B618">
              <w:rPr>
                <w:rFonts w:ascii="Verdana" w:eastAsia="Verdana" w:hAnsi="Verdana" w:cs="Verdana"/>
                <w:lang w:val="es-ES" w:eastAsia="es-CO"/>
              </w:rPr>
              <w:t>permit</w:t>
            </w:r>
            <w:r w:rsidR="353A87D4" w:rsidRPr="79D7B618">
              <w:rPr>
                <w:rFonts w:ascii="Verdana" w:eastAsia="Verdana" w:hAnsi="Verdana" w:cs="Verdana"/>
                <w:lang w:val="es-ES" w:eastAsia="es-CO"/>
              </w:rPr>
              <w:t>e</w:t>
            </w:r>
            <w:r w:rsidRPr="79D7B618">
              <w:rPr>
                <w:rFonts w:ascii="Verdana" w:eastAsia="Verdana" w:hAnsi="Verdana" w:cs="Verdana"/>
                <w:lang w:val="es-ES" w:eastAsia="es-CO"/>
              </w:rPr>
              <w:t xml:space="preserve"> apli</w:t>
            </w:r>
            <w:r w:rsidR="06D47683" w:rsidRPr="79D7B618">
              <w:rPr>
                <w:rFonts w:ascii="Verdana" w:eastAsia="Verdana" w:hAnsi="Verdana" w:cs="Verdana"/>
                <w:lang w:val="es-ES" w:eastAsia="es-CO"/>
              </w:rPr>
              <w:t>car</w:t>
            </w:r>
            <w:r w:rsidRPr="79D7B618">
              <w:rPr>
                <w:rFonts w:ascii="Verdana" w:eastAsia="Verdana" w:hAnsi="Verdana" w:cs="Verdana"/>
                <w:lang w:val="es-ES" w:eastAsia="es-CO"/>
              </w:rPr>
              <w:t xml:space="preserve"> </w:t>
            </w:r>
            <w:r w:rsidR="3C1FA58D" w:rsidRPr="79D7B618">
              <w:rPr>
                <w:rFonts w:ascii="Verdana" w:eastAsia="Verdana" w:hAnsi="Verdana" w:cs="Verdana"/>
                <w:lang w:val="es-ES" w:eastAsia="es-CO"/>
              </w:rPr>
              <w:t>este</w:t>
            </w:r>
            <w:r w:rsidRPr="79D7B618">
              <w:rPr>
                <w:rFonts w:ascii="Verdana" w:eastAsia="Verdana" w:hAnsi="Verdana" w:cs="Verdana"/>
                <w:lang w:val="es-ES" w:eastAsia="es-CO"/>
              </w:rPr>
              <w:t xml:space="preserve"> </w:t>
            </w:r>
            <w:r w:rsidRPr="00BE5A58">
              <w:rPr>
                <w:rFonts w:ascii="Verdana" w:eastAsia="Verdana" w:hAnsi="Verdana" w:cs="Verdana"/>
                <w:lang w:val="es-ES" w:eastAsia="es-CO"/>
              </w:rPr>
              <w:t xml:space="preserve">factor de desempate </w:t>
            </w:r>
            <w:r w:rsidR="5685CFC9" w:rsidRPr="79D7B618">
              <w:rPr>
                <w:rFonts w:ascii="Verdana" w:eastAsia="Verdana" w:hAnsi="Verdana" w:cs="Verdana"/>
                <w:lang w:val="es-ES" w:eastAsia="es-CO"/>
              </w:rPr>
              <w:t>para</w:t>
            </w:r>
            <w:r w:rsidRPr="79D7B618">
              <w:rPr>
                <w:rFonts w:ascii="Verdana" w:eastAsia="Verdana" w:hAnsi="Verdana" w:cs="Verdana"/>
                <w:lang w:val="es-ES" w:eastAsia="es-CO"/>
              </w:rPr>
              <w:t xml:space="preserve"> </w:t>
            </w:r>
            <w:r w:rsidRPr="00BE5A58">
              <w:rPr>
                <w:rFonts w:ascii="Verdana" w:eastAsia="Verdana" w:hAnsi="Verdana" w:cs="Verdana"/>
                <w:lang w:val="es-ES" w:eastAsia="es-CO"/>
              </w:rPr>
              <w:t xml:space="preserve">vinculación menores a un año </w:t>
            </w:r>
            <w:r w:rsidR="3D9E5606" w:rsidRPr="79D7B618">
              <w:rPr>
                <w:rFonts w:ascii="Verdana" w:eastAsia="Verdana" w:hAnsi="Verdana" w:cs="Verdana"/>
                <w:lang w:val="es-ES" w:eastAsia="es-CO"/>
              </w:rPr>
              <w:t>en aquellas</w:t>
            </w:r>
            <w:r w:rsidRPr="00BE5A58">
              <w:rPr>
                <w:rFonts w:ascii="Verdana" w:eastAsia="Verdana" w:hAnsi="Verdana" w:cs="Verdana"/>
                <w:lang w:val="es-ES" w:eastAsia="es-CO"/>
              </w:rPr>
              <w:t xml:space="preserve"> sociedades con menos de un año de </w:t>
            </w:r>
            <w:r w:rsidRPr="79D7B618">
              <w:rPr>
                <w:rFonts w:ascii="Verdana" w:eastAsia="Verdana" w:hAnsi="Verdana" w:cs="Verdana"/>
                <w:lang w:val="es-ES" w:eastAsia="es-CO"/>
              </w:rPr>
              <w:t>consti</w:t>
            </w:r>
            <w:r w:rsidR="275EC1A5" w:rsidRPr="79D7B618">
              <w:rPr>
                <w:rFonts w:ascii="Verdana" w:eastAsia="Verdana" w:hAnsi="Verdana" w:cs="Verdana"/>
                <w:lang w:val="es-ES" w:eastAsia="es-CO"/>
              </w:rPr>
              <w:t>tuidas</w:t>
            </w:r>
            <w:r w:rsidRPr="79D7B618">
              <w:rPr>
                <w:rFonts w:ascii="Verdana" w:eastAsia="Verdana" w:hAnsi="Verdana" w:cs="Verdana"/>
                <w:lang w:val="es-ES" w:eastAsia="es-CO"/>
              </w:rPr>
              <w:t xml:space="preserve">, </w:t>
            </w:r>
            <w:r w:rsidR="212FF260" w:rsidRPr="79D7B618">
              <w:rPr>
                <w:rFonts w:ascii="Verdana" w:eastAsia="Verdana" w:hAnsi="Verdana" w:cs="Verdana"/>
                <w:lang w:val="es-ES" w:eastAsia="es-CO"/>
              </w:rPr>
              <w:t>situación que no guarda relación con la e</w:t>
            </w:r>
            <w:r w:rsidRPr="79D7B618">
              <w:rPr>
                <w:rFonts w:ascii="Verdana" w:eastAsia="Verdana" w:hAnsi="Verdana" w:cs="Verdana"/>
                <w:lang w:val="es-ES" w:eastAsia="es-CO"/>
              </w:rPr>
              <w:t>ventualidad referida</w:t>
            </w:r>
            <w:r w:rsidRPr="00BE5A58">
              <w:rPr>
                <w:rFonts w:ascii="Verdana" w:eastAsia="Verdana" w:hAnsi="Verdana" w:cs="Verdana"/>
                <w:lang w:val="es-ES" w:eastAsia="es-CO"/>
              </w:rPr>
              <w:t xml:space="preserve"> por el peticionario. </w:t>
            </w:r>
          </w:p>
          <w:p w14:paraId="63846949" w14:textId="0C391FFF"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En ese sentido, para beneficiarse del </w:t>
            </w:r>
            <w:r w:rsidRPr="00BE5A58">
              <w:rPr>
                <w:rFonts w:ascii="Verdana" w:eastAsia="Verdana" w:hAnsi="Verdana" w:cs="Verdana"/>
                <w:i/>
                <w:lang w:val="es-ES" w:eastAsia="es-CO"/>
              </w:rPr>
              <w:t>criterio de desempate</w:t>
            </w:r>
            <w:r w:rsidRPr="00BE5A58">
              <w:rPr>
                <w:rFonts w:ascii="Verdana" w:eastAsia="Verdana" w:hAnsi="Verdana" w:cs="Verdana"/>
                <w:lang w:val="es-ES" w:eastAsia="es-CO"/>
              </w:rPr>
              <w:t xml:space="preserve"> del numeral 3 del artículo 35 de la Ley 2069 de 2020, es menester que los proponentes </w:t>
            </w:r>
            <w:r w:rsidRPr="79D7B618">
              <w:rPr>
                <w:rFonts w:ascii="Verdana" w:eastAsia="Verdana" w:hAnsi="Verdana" w:cs="Verdana"/>
                <w:lang w:val="es-ES" w:eastAsia="es-CO"/>
              </w:rPr>
              <w:t>c</w:t>
            </w:r>
            <w:r w:rsidR="166B98EF" w:rsidRPr="79D7B618">
              <w:rPr>
                <w:rFonts w:ascii="Verdana" w:eastAsia="Verdana" w:hAnsi="Verdana" w:cs="Verdana"/>
                <w:lang w:val="es-ES" w:eastAsia="es-CO"/>
              </w:rPr>
              <w:t>uyo</w:t>
            </w:r>
            <w:r w:rsidRPr="00BE5A58">
              <w:rPr>
                <w:rFonts w:ascii="Verdana" w:eastAsia="Verdana" w:hAnsi="Verdana" w:cs="Verdana"/>
                <w:lang w:val="es-ES" w:eastAsia="es-CO"/>
              </w:rPr>
              <w:t xml:space="preserve"> tiempo de constitución </w:t>
            </w:r>
            <w:r w:rsidR="373BD206" w:rsidRPr="79D7B618">
              <w:rPr>
                <w:rFonts w:ascii="Verdana" w:eastAsia="Verdana" w:hAnsi="Verdana" w:cs="Verdana"/>
                <w:lang w:val="es-ES" w:eastAsia="es-CO"/>
              </w:rPr>
              <w:t xml:space="preserve">sea </w:t>
            </w:r>
            <w:r w:rsidRPr="00BE5A58">
              <w:rPr>
                <w:rFonts w:ascii="Verdana" w:eastAsia="Verdana" w:hAnsi="Verdana" w:cs="Verdana"/>
                <w:lang w:val="es-ES" w:eastAsia="es-CO"/>
              </w:rPr>
              <w:t>superior a un año</w:t>
            </w:r>
            <w:r w:rsidR="559B34F5" w:rsidRPr="79D7B618">
              <w:rPr>
                <w:rFonts w:ascii="Verdana" w:eastAsia="Verdana" w:hAnsi="Verdana" w:cs="Verdana"/>
                <w:lang w:val="es-ES" w:eastAsia="es-CO"/>
              </w:rPr>
              <w:t>,</w:t>
            </w:r>
            <w:r w:rsidRPr="00BE5A58">
              <w:rPr>
                <w:rFonts w:ascii="Verdana" w:eastAsia="Verdana" w:hAnsi="Verdana" w:cs="Verdana"/>
                <w:lang w:val="es-ES" w:eastAsia="es-CO"/>
              </w:rPr>
              <w:t xml:space="preserve"> acrediten que el diez por ciento de su nómina está conformado por trabajadores en situación de discapacidad, los cuales deben tener al menos un año de haber sido vinculados laboralmente. Por tanto, si dicho porcentaje se ve reducido por eventos como el fallecimiento o la renuncia de uno de los trabajadores, dicho proponente no podrá optar al referido factor de desempate hasta que no </w:t>
            </w:r>
            <w:r w:rsidR="326EEA2C" w:rsidRPr="79D7B618">
              <w:rPr>
                <w:rFonts w:ascii="Verdana" w:eastAsia="Verdana" w:hAnsi="Verdana" w:cs="Verdana"/>
                <w:lang w:val="es-ES" w:eastAsia="es-CO"/>
              </w:rPr>
              <w:t>ajuste</w:t>
            </w:r>
            <w:r w:rsidRPr="00BE5A58">
              <w:rPr>
                <w:rFonts w:ascii="Verdana" w:eastAsia="Verdana" w:hAnsi="Verdana" w:cs="Verdana"/>
                <w:lang w:val="es-ES" w:eastAsia="es-CO"/>
              </w:rPr>
              <w:t xml:space="preserve"> el referido porcentaje con trabajadores en condición de discapacidad que cumplan con la antigüedad mínima.  </w:t>
            </w:r>
          </w:p>
          <w:p w14:paraId="69C7F606" w14:textId="4EA02487" w:rsidR="00BE5A58" w:rsidRPr="00BE5A58" w:rsidRDefault="00BE5A58" w:rsidP="79D7B618">
            <w:pPr>
              <w:shd w:val="clear" w:color="auto" w:fill="FFFFFF" w:themeFill="background1"/>
              <w:spacing w:after="120" w:line="276" w:lineRule="auto"/>
              <w:jc w:val="both"/>
              <w:rPr>
                <w:rFonts w:ascii="Verdana" w:eastAsia="Verdana" w:hAnsi="Verdana" w:cs="Verdana"/>
                <w:lang w:val="es-ES" w:eastAsia="es-CO"/>
              </w:rPr>
            </w:pPr>
            <w:r w:rsidRPr="00BE5A58">
              <w:rPr>
                <w:rFonts w:ascii="Verdana" w:eastAsia="Verdana" w:hAnsi="Verdana" w:cs="Verdana"/>
                <w:lang w:val="es-ES" w:eastAsia="es-CO"/>
              </w:rPr>
              <w:lastRenderedPageBreak/>
              <w:t>Ahora bien, en relación con el segundo interrogante y de acuerdo con lo expuesto en el artículo</w:t>
            </w:r>
            <w:hyperlink r:id="rId11" w:anchor="2.2.1.2.4.2.7">
              <w:r w:rsidRPr="00BE5A58">
                <w:rPr>
                  <w:rFonts w:ascii="Verdana" w:eastAsia="Verdana" w:hAnsi="Verdana" w:cs="Verdana"/>
                  <w:lang w:val="es-ES" w:eastAsia="es-CO"/>
                </w:rPr>
                <w:t xml:space="preserve"> 2.2.1.2.4.2.7</w:t>
              </w:r>
            </w:hyperlink>
            <w:r w:rsidRPr="00BE5A58">
              <w:rPr>
                <w:rFonts w:ascii="Verdana" w:eastAsia="Verdana" w:hAnsi="Verdana" w:cs="Verdana"/>
                <w:lang w:val="es-ES" w:eastAsia="es-CO"/>
              </w:rPr>
              <w:t xml:space="preserve"> del Decreto 1082 de 2015, los contratistas –durante el plazo de ejecución, y so pena de incumplimiento– deben mantener en su planta de personal el número de trabajadores con discapacidad que dio lugar a la obtención del puntaje adicional de la oferta o desempate de acuerdo con el numeral 3 del artículo 35 de la Ley 2069 de 2020. Esta circunstancia es independiente</w:t>
            </w:r>
            <w:r w:rsidR="7E1E5D6A" w:rsidRPr="79D7B618">
              <w:rPr>
                <w:rFonts w:ascii="Verdana" w:eastAsia="Verdana" w:hAnsi="Verdana" w:cs="Verdana"/>
                <w:lang w:val="es-ES" w:eastAsia="es-CO"/>
              </w:rPr>
              <w:t xml:space="preserve"> a la disminución</w:t>
            </w:r>
            <w:r w:rsidRPr="00BE5A58">
              <w:rPr>
                <w:rFonts w:ascii="Verdana" w:eastAsia="Verdana" w:hAnsi="Verdana" w:cs="Verdana"/>
                <w:lang w:val="es-ES" w:eastAsia="es-CO"/>
              </w:rPr>
              <w:t xml:space="preserve"> de la planta de personal, pues </w:t>
            </w:r>
            <w:r w:rsidRPr="79D7B618">
              <w:rPr>
                <w:rFonts w:ascii="Verdana" w:eastAsia="Verdana" w:hAnsi="Verdana" w:cs="Verdana"/>
                <w:lang w:val="es-ES" w:eastAsia="es-CO"/>
              </w:rPr>
              <w:t>debe</w:t>
            </w:r>
            <w:r w:rsidR="2DC3DF41" w:rsidRPr="79D7B618">
              <w:rPr>
                <w:rFonts w:ascii="Verdana" w:eastAsia="Verdana" w:hAnsi="Verdana" w:cs="Verdana"/>
                <w:lang w:val="es-ES" w:eastAsia="es-CO"/>
              </w:rPr>
              <w:t>n</w:t>
            </w:r>
            <w:r w:rsidRPr="79D7B618">
              <w:rPr>
                <w:rFonts w:ascii="Verdana" w:eastAsia="Verdana" w:hAnsi="Verdana" w:cs="Verdana"/>
                <w:lang w:val="es-ES" w:eastAsia="es-CO"/>
              </w:rPr>
              <w:t xml:space="preserve"> garantizar</w:t>
            </w:r>
            <w:r w:rsidR="2AA733A4" w:rsidRPr="79D7B618">
              <w:rPr>
                <w:rFonts w:ascii="Verdana" w:eastAsia="Verdana" w:hAnsi="Verdana" w:cs="Verdana"/>
                <w:lang w:val="es-ES" w:eastAsia="es-CO"/>
              </w:rPr>
              <w:t>se</w:t>
            </w:r>
            <w:r w:rsidRPr="00BE5A58">
              <w:rPr>
                <w:rFonts w:ascii="Verdana" w:eastAsia="Verdana" w:hAnsi="Verdana" w:cs="Verdana"/>
                <w:lang w:val="es-ES" w:eastAsia="es-CO"/>
              </w:rPr>
              <w:t xml:space="preserve"> las condiciones que dieron lugar a la aplicación de este incentivo. Por lo tanto, el número de personas en situación de discapacidad se debe mantener durante todo el contrato, sin que pueda disminuirse posteriormente.</w:t>
            </w:r>
            <w:r w:rsidRPr="00BE5A58">
              <w:rPr>
                <w:rFonts w:ascii="Arial" w:eastAsia="Arial" w:hAnsi="Arial" w:cs="Arial"/>
                <w:lang w:val="es-ES" w:eastAsia="es-CO"/>
              </w:rPr>
              <w:t xml:space="preserve"> </w:t>
            </w:r>
          </w:p>
        </w:tc>
      </w:tr>
    </w:tbl>
    <w:p w14:paraId="37A53861" w14:textId="77777777" w:rsidR="00BE5A58" w:rsidRPr="00BE5A58" w:rsidRDefault="00BE5A58" w:rsidP="00BE5A58">
      <w:pPr>
        <w:tabs>
          <w:tab w:val="left" w:pos="142"/>
          <w:tab w:val="left" w:pos="284"/>
        </w:tabs>
        <w:spacing w:after="0" w:line="276" w:lineRule="auto"/>
        <w:jc w:val="both"/>
        <w:rPr>
          <w:rFonts w:ascii="Verdana" w:eastAsia="Verdana" w:hAnsi="Verdana" w:cs="Verdana"/>
          <w:b/>
          <w:color w:val="000000"/>
          <w:lang w:val="es-ES" w:eastAsia="es-CO"/>
        </w:rPr>
      </w:pPr>
    </w:p>
    <w:p w14:paraId="5870AA71" w14:textId="77777777" w:rsidR="00BE5A58" w:rsidRPr="00BE5A58" w:rsidRDefault="00BE5A58" w:rsidP="00BE5A58">
      <w:pPr>
        <w:numPr>
          <w:ilvl w:val="0"/>
          <w:numId w:val="16"/>
        </w:numPr>
        <w:pBdr>
          <w:top w:val="nil"/>
          <w:left w:val="nil"/>
          <w:bottom w:val="nil"/>
          <w:right w:val="nil"/>
          <w:between w:val="nil"/>
        </w:pBdr>
        <w:tabs>
          <w:tab w:val="left" w:pos="142"/>
          <w:tab w:val="left" w:pos="284"/>
        </w:tabs>
        <w:spacing w:after="0" w:line="276" w:lineRule="auto"/>
        <w:ind w:left="0" w:firstLine="0"/>
        <w:jc w:val="both"/>
        <w:rPr>
          <w:rFonts w:ascii="Verdana" w:eastAsia="Verdana" w:hAnsi="Verdana" w:cs="Verdana"/>
          <w:b/>
          <w:color w:val="000000"/>
          <w:lang w:val="es-ES" w:eastAsia="es-CO"/>
        </w:rPr>
      </w:pPr>
      <w:r w:rsidRPr="00BE5A58">
        <w:rPr>
          <w:rFonts w:ascii="Verdana" w:eastAsia="Verdana" w:hAnsi="Verdana" w:cs="Verdana"/>
          <w:b/>
          <w:color w:val="000000"/>
          <w:lang w:val="es-ES" w:eastAsia="es-CO"/>
        </w:rPr>
        <w:t>Razones de la respuesta:</w:t>
      </w:r>
    </w:p>
    <w:p w14:paraId="75479CA5" w14:textId="77777777" w:rsidR="00BE5A58" w:rsidRPr="00BE5A58" w:rsidRDefault="00BE5A58" w:rsidP="00BE5A58">
      <w:pPr>
        <w:spacing w:after="0" w:line="276" w:lineRule="auto"/>
        <w:jc w:val="both"/>
        <w:rPr>
          <w:rFonts w:ascii="Verdana" w:eastAsia="Verdana" w:hAnsi="Verdana" w:cs="Verdana"/>
          <w:color w:val="000000"/>
          <w:lang w:val="es-ES" w:eastAsia="es-CO"/>
        </w:rPr>
      </w:pPr>
    </w:p>
    <w:p w14:paraId="57515FD9" w14:textId="77777777" w:rsidR="00BE5A58" w:rsidRPr="00BE5A58" w:rsidRDefault="00BE5A58" w:rsidP="00BE5A58">
      <w:pPr>
        <w:spacing w:after="0" w:line="276"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Lo anterior se sustenta en las siguientes consideraciones: </w:t>
      </w:r>
    </w:p>
    <w:p w14:paraId="67D6F60D" w14:textId="77777777" w:rsidR="00BE5A58" w:rsidRPr="00BE5A58" w:rsidRDefault="00BE5A58" w:rsidP="00BE5A58">
      <w:pPr>
        <w:spacing w:after="0" w:line="276" w:lineRule="auto"/>
        <w:jc w:val="both"/>
        <w:rPr>
          <w:rFonts w:ascii="Verdana" w:eastAsia="Verdana" w:hAnsi="Verdana" w:cs="Verdana"/>
          <w:color w:val="000000"/>
          <w:lang w:val="es-ES" w:eastAsia="es-CO"/>
        </w:rPr>
      </w:pPr>
    </w:p>
    <w:p w14:paraId="3CAA31FB" w14:textId="77777777"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 En relación con los de </w:t>
      </w:r>
      <w:r w:rsidRPr="00BE5A58">
        <w:rPr>
          <w:rFonts w:ascii="Verdana" w:eastAsia="Verdana" w:hAnsi="Verdana" w:cs="Verdana"/>
          <w:i/>
          <w:lang w:val="es-ES" w:eastAsia="es-CO"/>
        </w:rPr>
        <w:t>factores de desempate</w:t>
      </w:r>
      <w:r w:rsidRPr="00BE5A58">
        <w:rPr>
          <w:rFonts w:ascii="Verdana" w:eastAsia="Verdana" w:hAnsi="Verdana" w:cs="Verdana"/>
          <w:lang w:val="es-ES" w:eastAsia="es-CO"/>
        </w:rPr>
        <w:t xml:space="preserve">, que constituyen un incentivo distinto, el legislador en el inciso 3 del artículo 35 de la Ley 2069 “Por medio de la cual se impulsa el emprendimiento en Colombia”, dispuso preferir la propuesta del proponente que acredite un porcentaje mínimo del 10% de trabajadores en condición de discapacidad en su nómina, como se precisará más adelante. En este sentido, hasta la promulgación de la Ley 2069 de 2020, el artículo 2.2.1.1.2.2.9. del Decreto 1082 de 2015 regulaba los factores de desempate que, por regla general, debían aplicarse en los procesos de selección, norma que en su numeral 4 establecía el criterio de desempate en favor de los empleadores que contarán en su nómina con un 10% de trabajadores en condición de discapacidad. No obstante,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En tal sentido,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684C3B2E" w14:textId="77777777" w:rsidR="00BE5A58" w:rsidRPr="00BE5A58" w:rsidRDefault="00BE5A58" w:rsidP="00BE5A58">
      <w:pPr>
        <w:spacing w:before="120" w:line="276" w:lineRule="auto"/>
        <w:ind w:firstLine="709"/>
        <w:jc w:val="both"/>
        <w:rPr>
          <w:rFonts w:ascii="Verdana" w:eastAsia="Verdana" w:hAnsi="Verdana" w:cs="Verdana"/>
          <w:lang w:val="es-ES" w:eastAsia="es-CO"/>
        </w:rPr>
      </w:pPr>
      <w:bookmarkStart w:id="1" w:name="_heading=h.edtpep7a2mzy" w:colFirst="0" w:colLast="0"/>
      <w:bookmarkEnd w:id="1"/>
      <w:r w:rsidRPr="00BE5A58">
        <w:rPr>
          <w:rFonts w:ascii="Verdana" w:eastAsia="Verdana" w:hAnsi="Verdana" w:cs="Verdana"/>
          <w:lang w:val="es-ES" w:eastAsia="es-CO"/>
        </w:rPr>
        <w:lastRenderedPageBreak/>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r w:rsidRPr="00BE5A58">
        <w:rPr>
          <w:rFonts w:ascii="Verdana" w:eastAsia="Verdana" w:hAnsi="Verdana" w:cs="Verdana"/>
          <w:i/>
          <w:lang w:val="es-ES" w:eastAsia="es-CO"/>
        </w:rPr>
        <w:t>secundum legem</w:t>
      </w:r>
      <w:r w:rsidRPr="00BE5A58">
        <w:rPr>
          <w:rFonts w:ascii="Verdana" w:eastAsia="Verdana" w:hAnsi="Verdana" w:cs="Verdana"/>
          <w:lang w:val="es-ES" w:eastAsia="es-CO"/>
        </w:rPr>
        <w:t xml:space="preserve"> –es decir, que desarrolla una norma de mayor jerarquía–, la expedición de una ley en sentido formal –es decir, una fuente que condiciona el contenido de este último–, hace que la disposición reglamentaria decaiga.</w:t>
      </w:r>
    </w:p>
    <w:p w14:paraId="4F873B1D" w14:textId="77777777" w:rsidR="00BE5A58" w:rsidRPr="00BE5A58" w:rsidRDefault="00BE5A58" w:rsidP="00BE5A58">
      <w:pPr>
        <w:spacing w:before="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Conforme a esto, el factor de desempate del numeral 4 del artículo 2.2.1.1.2.2.9. del Decreto 1082 de 2015 no se encuentra hoy día vigente. No obstante, dentro de los factores de desempate del artículo 35 de la Ley 2069 de 2020, se estableció un factor de desempate con un supuesto de hecho similar, cuyo texto incluso remite a la Ley 361 de 1997. Este es el caso del factor de desempate del numeral 3, el cual establece: </w:t>
      </w:r>
    </w:p>
    <w:p w14:paraId="11F3947D" w14:textId="77777777" w:rsidR="00BE5A58" w:rsidRPr="00BE5A58" w:rsidRDefault="00BE5A58" w:rsidP="00BE5A58">
      <w:pPr>
        <w:ind w:left="709" w:right="709"/>
        <w:jc w:val="both"/>
        <w:rPr>
          <w:rFonts w:ascii="Verdana" w:eastAsia="Verdana" w:hAnsi="Verdana" w:cs="Verdana"/>
          <w:sz w:val="20"/>
          <w:szCs w:val="20"/>
          <w:lang w:val="es-ES" w:eastAsia="es-CO"/>
        </w:rPr>
      </w:pPr>
      <w:r w:rsidRPr="00BE5A58">
        <w:rPr>
          <w:rFonts w:ascii="Verdana" w:eastAsia="Verdana" w:hAnsi="Verdana" w:cs="Verdana"/>
          <w:sz w:val="20"/>
          <w:szCs w:val="20"/>
          <w:lang w:val="es-ES" w:eastAsia="es-CO"/>
        </w:rPr>
        <w:t>[…]</w:t>
      </w:r>
    </w:p>
    <w:p w14:paraId="489447CA" w14:textId="77777777" w:rsidR="00BE5A58" w:rsidRPr="00BE5A58" w:rsidRDefault="00BE5A58" w:rsidP="00BE5A58">
      <w:pPr>
        <w:ind w:left="709" w:right="709"/>
        <w:jc w:val="both"/>
        <w:rPr>
          <w:rFonts w:ascii="Verdana" w:eastAsia="Verdana" w:hAnsi="Verdana" w:cs="Verdana"/>
          <w:sz w:val="20"/>
          <w:szCs w:val="20"/>
          <w:lang w:val="es-ES" w:eastAsia="es-CO"/>
        </w:rPr>
      </w:pPr>
    </w:p>
    <w:p w14:paraId="7B92FC0D" w14:textId="77777777" w:rsidR="00BE5A58" w:rsidRPr="00BE5A58" w:rsidRDefault="00BE5A58" w:rsidP="00BE5A58">
      <w:pPr>
        <w:ind w:left="709" w:right="709"/>
        <w:jc w:val="both"/>
        <w:rPr>
          <w:rFonts w:ascii="Verdana" w:eastAsia="Verdana" w:hAnsi="Verdana" w:cs="Verdana"/>
          <w:sz w:val="20"/>
          <w:szCs w:val="20"/>
          <w:lang w:val="es-ES" w:eastAsia="es-CO"/>
        </w:rPr>
      </w:pPr>
      <w:r w:rsidRPr="00BE5A58">
        <w:rPr>
          <w:rFonts w:ascii="Verdana" w:eastAsia="Verdana" w:hAnsi="Verdana" w:cs="Verdana"/>
          <w:sz w:val="20"/>
          <w:szCs w:val="20"/>
          <w:lang w:val="es-ES" w:eastAsia="es-CO"/>
        </w:rPr>
        <w:t xml:space="preserve">3. </w:t>
      </w:r>
      <w:r w:rsidRPr="00BE5A58">
        <w:rPr>
          <w:rFonts w:ascii="Verdana" w:eastAsia="Verdana" w:hAnsi="Verdana" w:cs="Verdana"/>
          <w:i/>
          <w:sz w:val="20"/>
          <w:szCs w:val="20"/>
          <w:lang w:val="es-ES" w:eastAsia="es-CO"/>
        </w:rPr>
        <w:t>Preferir la propuesta presentada por el oferente que acredite en las condiciones establecidas en la ley que por lo menos el diez por ciento (10%) de su nómina está en condición de discapacidad a la que se refiere la Ley 361 de 1997</w:t>
      </w:r>
      <w:r w:rsidRPr="00BE5A58">
        <w:rPr>
          <w:rFonts w:ascii="Verdana" w:eastAsia="Verdana" w:hAnsi="Verdana" w:cs="Verdana"/>
          <w:sz w:val="20"/>
          <w:szCs w:val="20"/>
          <w:lang w:val="es-ES" w:eastAsia="es-CO"/>
        </w:rPr>
        <w:t>.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(Cursiva fuera de texto)</w:t>
      </w:r>
    </w:p>
    <w:p w14:paraId="50DC7F99" w14:textId="77777777" w:rsidR="00BE5A58" w:rsidRPr="00BE5A58" w:rsidRDefault="00BE5A58" w:rsidP="00BE5A58">
      <w:pPr>
        <w:ind w:left="709" w:right="709"/>
        <w:jc w:val="both"/>
        <w:rPr>
          <w:rFonts w:ascii="Verdana" w:eastAsia="Verdana" w:hAnsi="Verdana" w:cs="Verdana"/>
          <w:lang w:val="es-ES" w:eastAsia="es-CO"/>
        </w:rPr>
      </w:pPr>
    </w:p>
    <w:p w14:paraId="3617FA9B" w14:textId="77777777"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De lo anterior se desprende que, a pesar de la derogatoria del artículo 2.2.1.1.2.2.9. del Decreto 1082 de 2015, los proponentes que tengan vinculados en su planta de personal una cantidad de trabajadores en condición de discapacidad equivalente a un 10% de su nómina, aún cuentan con la posibilidad de beneficiarse de tal circunstancia en los casos de empate. Naturalmente, al mutar el fundamento normativo indicado respecto a la expedición de la Ley 2069 de 2020, es otro el fundamento para la aplicación del factor de desempate, y </w:t>
      </w:r>
      <w:r w:rsidRPr="00BE5A58">
        <w:rPr>
          <w:rFonts w:ascii="Verdana" w:eastAsia="Verdana" w:hAnsi="Verdana" w:cs="Verdana"/>
          <w:lang w:val="es-ES" w:eastAsia="es-CO"/>
        </w:rPr>
        <w:lastRenderedPageBreak/>
        <w:t>distinto el orden de prioridad en el que se encuentra con relación a otros factores de desempate.</w:t>
      </w:r>
    </w:p>
    <w:p w14:paraId="50F5E6F9" w14:textId="77777777" w:rsidR="00BE5A58" w:rsidRPr="00BE5A58" w:rsidRDefault="00BE5A58" w:rsidP="00BE5A58">
      <w:pPr>
        <w:spacing w:line="276" w:lineRule="auto"/>
        <w:ind w:firstLine="708"/>
        <w:jc w:val="both"/>
        <w:rPr>
          <w:rFonts w:ascii="Verdana" w:eastAsia="Verdana" w:hAnsi="Verdana" w:cs="Verdana"/>
          <w:lang w:val="es-ES" w:eastAsia="es-CO"/>
        </w:rPr>
      </w:pPr>
      <w:r w:rsidRPr="00BE5A58">
        <w:rPr>
          <w:rFonts w:ascii="Verdana" w:eastAsia="Verdana" w:hAnsi="Verdana" w:cs="Verdana"/>
          <w:lang w:val="es-ES" w:eastAsia="es-CO"/>
        </w:rPr>
        <w:t xml:space="preserve">En este sentido, de manera similar a lo exigido por el literal a) del artículo 24 de la Ley 361 de 1997, el artículo 35 de la Ley 2069 de 2020, como requisito adicional para la aplicación del factor establece un requisito de antigüedad de las vinculaciones de los trabajadores en condición de discapacidad, tal como se desprende de su parágrafo segundo. Según este “Para los criterios enunciados que involucren la </w:t>
      </w:r>
      <w:r w:rsidRPr="00BE5A58">
        <w:rPr>
          <w:rFonts w:ascii="Verdana" w:eastAsia="Verdana" w:hAnsi="Verdana" w:cs="Verdana"/>
          <w:i/>
          <w:lang w:val="es-ES" w:eastAsia="es-CO"/>
        </w:rPr>
        <w:t>vinculación de capital humano</w:t>
      </w:r>
      <w:r w:rsidRPr="00BE5A58">
        <w:rPr>
          <w:rFonts w:ascii="Verdana" w:eastAsia="Verdana" w:hAnsi="Verdana" w:cs="Verdana"/>
          <w:lang w:val="es-ES" w:eastAsia="es-CO"/>
        </w:rPr>
        <w:t xml:space="preserve">, el oferente deberá acreditar una antigüedad igual o mayor a un año. Para los casos de constitución inferior a un año </w:t>
      </w:r>
      <w:r w:rsidRPr="00BE5A58">
        <w:rPr>
          <w:rFonts w:ascii="Verdana" w:eastAsia="Verdana" w:hAnsi="Verdana" w:cs="Verdana"/>
          <w:i/>
          <w:lang w:val="es-ES" w:eastAsia="es-CO"/>
        </w:rPr>
        <w:t>se tendrá en cuenta a aquellos trabajadores</w:t>
      </w:r>
      <w:r w:rsidRPr="00BE5A58">
        <w:rPr>
          <w:rFonts w:ascii="Verdana" w:eastAsia="Verdana" w:hAnsi="Verdana" w:cs="Verdana"/>
          <w:lang w:val="es-ES" w:eastAsia="es-CO"/>
        </w:rPr>
        <w:t xml:space="preserve"> que hayan estado vinculados desde el momento de constitución de la misma” (Énfasis fuera de texto). </w:t>
      </w:r>
    </w:p>
    <w:p w14:paraId="04AAB00F" w14:textId="77777777" w:rsidR="00BE5A58" w:rsidRPr="00BE5A58" w:rsidRDefault="00BE5A58" w:rsidP="00BE5A58">
      <w:pPr>
        <w:spacing w:after="120" w:line="276" w:lineRule="auto"/>
        <w:jc w:val="both"/>
        <w:rPr>
          <w:rFonts w:ascii="Verdana" w:eastAsia="Verdana" w:hAnsi="Verdana" w:cs="Verdana"/>
          <w:lang w:val="es-ES" w:eastAsia="es-CO"/>
        </w:rPr>
      </w:pPr>
      <w:r w:rsidRPr="00BE5A58">
        <w:rPr>
          <w:rFonts w:ascii="Verdana" w:eastAsia="Verdana" w:hAnsi="Verdana" w:cs="Verdana"/>
          <w:lang w:val="es-ES" w:eastAsia="es-CO"/>
        </w:rPr>
        <w:tab/>
        <w:t>En tales términos de la Ley 2069 de 2020, exigen una antigüedad de un año para que las vinculaciones de trabajadores en condición de discapacidad otorguen al empleador el derecho a beneficiarse del factor de desempate. No obstante, existe una diferencia sustancial entre ambas normas, la cual radica en que, la primera de estas normas no establecía excepciones para la regla de la antigüedad, por lo que sociedades que no acreditaran esta no podían acceder al factor de desempate del numeral 4 del artículo 2.2.1.1.2.2.9. del Decreto 1082 de 2015, lo cual implicaba que, por ejemplo, sociedades con tiempo de constitución inferior a un año no pudieran beneficiarse de esta regla de desempate, a pesar de acreditar el 10% de la nómina conformada por trabajadores en condición de discapacidad. A diferencia de lo anterior, el parágrafo segundo del artículo 35 de la Ley 2069 de 2020, permite que personas jurídicas con un período de existencia inferior a un año puedan beneficiarse del factor de desempate del numeral tercero, siempre que acrediten que la vinculación de trabajadores en condición de discapacidad, en el mencionado porcentaje, lo haya estado desde el momento de constitución de la persona jurídica, razón por la cual, deberá prevalecer la Ley 2069 de 2020.</w:t>
      </w:r>
    </w:p>
    <w:p w14:paraId="2330DB82" w14:textId="77777777"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No sucede lo mismo con el factor de desempate previsto en el numeral 3 del artículo 35 de la Ley 2069 de 2020. Esto comoquiera que, tal como se desprende del parágrafo segundo de dicha norma, para beneficiarse de este factor de desempate es necesario que el proponente acredite que la vinculación del respectivo porcentaje de personas en situación de discapacidad tiene por lo menos un año de antigüedad, o en su defecto, tratándose de sociedades con menor tiempo de constitución, que la contratación data el tiempo de la constitución. </w:t>
      </w:r>
    </w:p>
    <w:p w14:paraId="2461DC93" w14:textId="77777777"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lastRenderedPageBreak/>
        <w:t>Al respecto, en relación con la interpretación de estas normas propuesta por el peticionario, debe señalarse que la antigüedad mínima a la que se refiere el parágrafo segundo del artículo 35 de la Ley 2069 de 2020, no es un requisito de cuya aplicación pueda prescindirse en casos como los propuestos en los que se descomplete el porcentaje mínimo de trabajadores en situación de discapacidad vinculados a la nómina del proponente por eventos de “</w:t>
      </w:r>
      <w:r w:rsidRPr="00BE5A58">
        <w:rPr>
          <w:rFonts w:ascii="Verdana" w:eastAsia="Verdana" w:hAnsi="Verdana" w:cs="Verdana"/>
          <w:i/>
          <w:lang w:val="es-ES" w:eastAsia="es-CO"/>
        </w:rPr>
        <w:t>fuerza mayor”</w:t>
      </w:r>
      <w:r w:rsidRPr="00BE5A58">
        <w:rPr>
          <w:rFonts w:ascii="Verdana" w:eastAsia="Verdana" w:hAnsi="Verdana" w:cs="Verdana"/>
          <w:lang w:val="es-ES" w:eastAsia="es-CO"/>
        </w:rPr>
        <w:t xml:space="preserve">. Esto comoquiera que dicho proceder no deriva del texto de la ley, que únicamente permitiría que se aplique el factor de desempate con tiempos de vinculación menores a un año para las sociedades con menos de un año de constitución, lo que en manera alguna se relaciona con eventualidades como las referidas por el peticionario. </w:t>
      </w:r>
    </w:p>
    <w:p w14:paraId="5957BEC7" w14:textId="77777777" w:rsidR="00BE5A58" w:rsidRPr="00BE5A58" w:rsidRDefault="00BE5A58" w:rsidP="00BE5A58">
      <w:pPr>
        <w:spacing w:after="120"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En ese sentido, para beneficiarse del </w:t>
      </w:r>
      <w:r w:rsidRPr="00BE5A58">
        <w:rPr>
          <w:rFonts w:ascii="Verdana" w:eastAsia="Verdana" w:hAnsi="Verdana" w:cs="Verdana"/>
          <w:i/>
          <w:lang w:val="es-ES" w:eastAsia="es-CO"/>
        </w:rPr>
        <w:t>criterio de desempate</w:t>
      </w:r>
      <w:r w:rsidRPr="00BE5A58">
        <w:rPr>
          <w:rFonts w:ascii="Verdana" w:eastAsia="Verdana" w:hAnsi="Verdana" w:cs="Verdana"/>
          <w:lang w:val="es-ES" w:eastAsia="es-CO"/>
        </w:rPr>
        <w:t xml:space="preserve"> del numeral 3 del artículo 35 de la Ley 2069 de 2020, es menester que los proponentes con tiempo de constitución superior a un año acrediten que el diez por ciento de su nómina está conformado por trabajadores en situación de discapacidad, los cuales deben tener al menos un año de haber sido vinculados laboralmente. Por tanto, si dicho porcentaje se ve reducido por eventos como el fallecimiento o la renuncia de uno de los trabajadores, dicho proponente no podrá optar al referido factor de desempate hasta que no complete el referido porcentaje con trabajadores en condición de discapacidad que cumplan con la antigüedad mínima.  </w:t>
      </w:r>
    </w:p>
    <w:p w14:paraId="163ECE28" w14:textId="77777777" w:rsidR="00BE5A58" w:rsidRPr="00BE5A58" w:rsidRDefault="00BE5A58" w:rsidP="00BE5A58">
      <w:pPr>
        <w:spacing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 xml:space="preserve">En ese sentido, si bien es cierto que uno de los propósitos de los incentivos en materia de contratación estatal en favor de población en situación de discapacidad es generar una mayor empleabilidad de estas personas, no resulta válido en este caso apartarse de la aplicación de lo dispuesto en el parágrafo segundo del artículo 35, comoquiera que las normas deben aplicarse conforme lo exige el texto que las consagra, el cual ha establecido el requisito de antigüedad para el mencionado factor de desempate. </w:t>
      </w:r>
    </w:p>
    <w:p w14:paraId="0277A3A9" w14:textId="77777777" w:rsidR="00BE5A58" w:rsidRPr="00BE5A58" w:rsidRDefault="00BE5A58" w:rsidP="00BE5A58">
      <w:pPr>
        <w:spacing w:line="276" w:lineRule="auto"/>
        <w:ind w:firstLine="709"/>
        <w:jc w:val="both"/>
        <w:rPr>
          <w:rFonts w:ascii="Verdana" w:eastAsia="Verdana" w:hAnsi="Verdana" w:cs="Verdana"/>
          <w:lang w:val="es-ES" w:eastAsia="es-CO"/>
        </w:rPr>
      </w:pPr>
      <w:r w:rsidRPr="00BE5A58">
        <w:rPr>
          <w:rFonts w:ascii="Verdana" w:eastAsia="Verdana" w:hAnsi="Verdana" w:cs="Verdana"/>
          <w:lang w:val="es-ES" w:eastAsia="es-CO"/>
        </w:rPr>
        <w:t>Ahora bien, es necesario traer a colación el artículo  2.2.1.2.4.2.7 del Decreto 1082 de 2025 que a la letra establece:</w:t>
      </w:r>
    </w:p>
    <w:p w14:paraId="42CE36AD" w14:textId="77777777" w:rsidR="00BE5A58" w:rsidRPr="00BE5A58" w:rsidRDefault="00BE5A58" w:rsidP="00BE5A58">
      <w:pPr>
        <w:shd w:val="clear" w:color="auto" w:fill="FFFFFF"/>
        <w:spacing w:before="240" w:after="240" w:line="276" w:lineRule="auto"/>
        <w:ind w:left="708" w:right="711" w:firstLine="705"/>
        <w:jc w:val="both"/>
        <w:rPr>
          <w:rFonts w:ascii="Verdana" w:eastAsia="Verdana" w:hAnsi="Verdana" w:cs="Verdana"/>
          <w:sz w:val="20"/>
          <w:szCs w:val="20"/>
          <w:lang w:val="es-ES" w:eastAsia="es-CO"/>
        </w:rPr>
      </w:pPr>
      <w:r w:rsidRPr="00BE5A58">
        <w:rPr>
          <w:rFonts w:ascii="Verdana" w:eastAsia="Verdana" w:hAnsi="Verdana" w:cs="Verdana"/>
          <w:sz w:val="20"/>
          <w:szCs w:val="20"/>
          <w:lang w:val="es-ES" w:eastAsia="es-CO"/>
        </w:rPr>
        <w:t xml:space="preserve">ARTÍCULO 2.2.1.2.4.2.7. </w:t>
      </w:r>
      <w:r w:rsidRPr="00BE5A58">
        <w:rPr>
          <w:rFonts w:ascii="Verdana" w:eastAsia="Verdana" w:hAnsi="Verdana" w:cs="Verdana"/>
          <w:i/>
          <w:sz w:val="20"/>
          <w:szCs w:val="20"/>
          <w:lang w:val="es-ES" w:eastAsia="es-CO"/>
        </w:rPr>
        <w:t>Seguimiento durante la ejecución del contrato.</w:t>
      </w:r>
      <w:r w:rsidRPr="00BE5A58">
        <w:rPr>
          <w:rFonts w:ascii="Verdana" w:eastAsia="Verdana" w:hAnsi="Verdana" w:cs="Verdana"/>
          <w:sz w:val="20"/>
          <w:szCs w:val="20"/>
          <w:lang w:val="es-ES" w:eastAsia="es-CO"/>
        </w:rPr>
        <w:t xml:space="preserve"> Las entidades estatales a través de los supervisores o interventores del contrato según corresponda, deberán verificar durante la ejecución del contrato que los proponentes que resultaron adjudicatarios mantienen en su planta de personal el número de trabajadores con discapacidad que dio lugar a la obtención del puntaje </w:t>
      </w:r>
      <w:r w:rsidRPr="00BE5A58">
        <w:rPr>
          <w:rFonts w:ascii="Verdana" w:eastAsia="Verdana" w:hAnsi="Verdana" w:cs="Verdana"/>
          <w:sz w:val="20"/>
          <w:szCs w:val="20"/>
          <w:lang w:val="es-ES" w:eastAsia="es-CO"/>
        </w:rPr>
        <w:lastRenderedPageBreak/>
        <w:t>adicional de la oferta. El contratista deberá aportar a la entidad estatal contratante la documentación que así lo demuestre.</w:t>
      </w:r>
    </w:p>
    <w:p w14:paraId="7C147219" w14:textId="77777777" w:rsidR="00BE5A58" w:rsidRPr="00BE5A58" w:rsidRDefault="00BE5A58" w:rsidP="00BE5A58">
      <w:pPr>
        <w:shd w:val="clear" w:color="auto" w:fill="FFFFFF"/>
        <w:spacing w:before="240" w:after="240" w:line="276" w:lineRule="auto"/>
        <w:ind w:left="708" w:right="711" w:firstLine="705"/>
        <w:jc w:val="both"/>
        <w:rPr>
          <w:rFonts w:ascii="Verdana" w:eastAsia="Verdana" w:hAnsi="Verdana" w:cs="Verdana"/>
          <w:sz w:val="20"/>
          <w:szCs w:val="20"/>
          <w:lang w:val="es-ES" w:eastAsia="es-CO"/>
        </w:rPr>
      </w:pPr>
      <w:r w:rsidRPr="00BE5A58">
        <w:rPr>
          <w:rFonts w:ascii="Verdana" w:eastAsia="Verdana" w:hAnsi="Verdana" w:cs="Verdana"/>
          <w:sz w:val="20"/>
          <w:szCs w:val="20"/>
          <w:lang w:val="es-ES" w:eastAsia="es-CO"/>
        </w:rPr>
        <w:t>Esta verificación se hará con el certificado que para el efecto expide el Ministerio de Trabajo y la entidad estatal contratante verificará la vigencia de dicha certificación, de conformidad con la normativa aplicable.</w:t>
      </w:r>
    </w:p>
    <w:p w14:paraId="376A2577" w14:textId="77777777" w:rsidR="00BE5A58" w:rsidRPr="00BE5A58" w:rsidRDefault="00BE5A58" w:rsidP="00BE5A58">
      <w:pPr>
        <w:shd w:val="clear" w:color="auto" w:fill="FFFFFF"/>
        <w:spacing w:before="240" w:after="240" w:line="276" w:lineRule="auto"/>
        <w:ind w:left="708" w:right="711" w:firstLine="705"/>
        <w:jc w:val="both"/>
        <w:rPr>
          <w:rFonts w:ascii="Verdana" w:eastAsia="Verdana" w:hAnsi="Verdana" w:cs="Verdana"/>
          <w:sz w:val="20"/>
          <w:szCs w:val="20"/>
          <w:lang w:val="es-ES" w:eastAsia="es-CO"/>
        </w:rPr>
      </w:pPr>
      <w:r w:rsidRPr="00BE5A58">
        <w:rPr>
          <w:rFonts w:ascii="Verdana" w:eastAsia="Verdana" w:hAnsi="Verdana" w:cs="Verdana"/>
          <w:sz w:val="20"/>
          <w:szCs w:val="20"/>
          <w:lang w:val="es-ES" w:eastAsia="es-CO"/>
        </w:rPr>
        <w:t>PARÁGRAFO . La reducción del número de trabajadores con discapacidad acreditado para obtener el puntaje adicional constituye incumplimiento del contrato por parte del contratista, y dará lugar a las consecuencias del incumplimiento previstas en el contrato y en las normas aplicables. El procedimiento para la declaratoria de incumplimiento de que trata el presente artículo deberá adelantarse con observancia a los postulados del debido proceso, en aplicación de los principios que rigen la actividad contractual teniendo presente los casos de fuerza mayor o caso fortuito.</w:t>
      </w:r>
    </w:p>
    <w:p w14:paraId="7E2C0DC9" w14:textId="77777777" w:rsidR="00BE5A58" w:rsidRPr="00BE5A58" w:rsidRDefault="00BE5A58" w:rsidP="00BE5A58">
      <w:pPr>
        <w:spacing w:line="276" w:lineRule="auto"/>
        <w:jc w:val="both"/>
        <w:rPr>
          <w:rFonts w:ascii="Verdana" w:eastAsia="Verdana" w:hAnsi="Verdana" w:cs="Verdana"/>
          <w:lang w:val="es-ES" w:eastAsia="es-CO"/>
        </w:rPr>
      </w:pPr>
    </w:p>
    <w:p w14:paraId="7B19C3C3" w14:textId="77777777" w:rsidR="00BE5A58" w:rsidRPr="00BE5A58" w:rsidRDefault="00BE5A58" w:rsidP="00BE5A58">
      <w:pPr>
        <w:spacing w:line="276" w:lineRule="auto"/>
        <w:jc w:val="both"/>
        <w:rPr>
          <w:rFonts w:ascii="Verdana" w:eastAsia="Verdana" w:hAnsi="Verdana" w:cs="Verdana"/>
          <w:lang w:val="es-ES" w:eastAsia="es-CO"/>
        </w:rPr>
      </w:pPr>
      <w:r w:rsidRPr="00BE5A58">
        <w:rPr>
          <w:rFonts w:ascii="Verdana" w:eastAsia="Verdana" w:hAnsi="Verdana" w:cs="Verdana"/>
          <w:lang w:val="es-ES" w:eastAsia="es-CO"/>
        </w:rPr>
        <w:t xml:space="preserve">En este sentido, </w:t>
      </w:r>
      <w:r w:rsidRPr="00BE5A58">
        <w:rPr>
          <w:rFonts w:ascii="Verdana" w:eastAsia="Verdana" w:hAnsi="Verdana" w:cs="Verdana"/>
          <w:highlight w:val="white"/>
          <w:lang w:val="es-ES" w:eastAsia="es-CO"/>
        </w:rPr>
        <w:t>Conforme al artículo</w:t>
      </w:r>
      <w:hyperlink r:id="rId12" w:anchor="2.2.1.2.4.2.7">
        <w:r w:rsidRPr="00BE5A58">
          <w:rPr>
            <w:rFonts w:ascii="Verdana" w:eastAsia="Verdana" w:hAnsi="Verdana" w:cs="Verdana"/>
            <w:highlight w:val="white"/>
            <w:lang w:val="es-ES" w:eastAsia="es-CO"/>
          </w:rPr>
          <w:t xml:space="preserve"> 2.2.1.2.4.2.7</w:t>
        </w:r>
      </w:hyperlink>
      <w:r w:rsidRPr="00BE5A58">
        <w:rPr>
          <w:rFonts w:ascii="Verdana" w:eastAsia="Verdana" w:hAnsi="Verdana" w:cs="Verdana"/>
          <w:highlight w:val="white"/>
          <w:lang w:val="es-ES" w:eastAsia="es-CO"/>
        </w:rPr>
        <w:t xml:space="preserve"> del Decreto 1082 de 2015, los contratistas –durante el plazo de ejecución, y so pena de incumplimiento– deben mantener en su planta de personal el número de trabajadores con discapacidad que dio lugar a la obtención del puntaje adicional de la oferta. Esta circunstancia es independiente de que disminuya la planta de personal, pues debe garantizar las condiciones que dieron lugar a la aplicación de este incentivo. Por lo tanto, el número de personas en situación de discapacidad se debe mantener durante todo el contrato, sin que pueda disminuirse posteriormente. </w:t>
      </w:r>
    </w:p>
    <w:p w14:paraId="267817D6"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p>
    <w:p w14:paraId="68373A4A" w14:textId="77777777" w:rsidR="00BE5A58" w:rsidRPr="00BE5A58" w:rsidRDefault="00BE5A58" w:rsidP="00BE5A58">
      <w:pPr>
        <w:numPr>
          <w:ilvl w:val="0"/>
          <w:numId w:val="16"/>
        </w:numPr>
        <w:pBdr>
          <w:top w:val="nil"/>
          <w:left w:val="nil"/>
          <w:bottom w:val="nil"/>
          <w:right w:val="nil"/>
          <w:between w:val="nil"/>
        </w:pBdr>
        <w:tabs>
          <w:tab w:val="left" w:pos="142"/>
          <w:tab w:val="left" w:pos="284"/>
        </w:tabs>
        <w:spacing w:after="0" w:line="276" w:lineRule="auto"/>
        <w:ind w:left="0" w:firstLine="0"/>
        <w:jc w:val="both"/>
        <w:rPr>
          <w:rFonts w:ascii="Verdana" w:eastAsia="Verdana" w:hAnsi="Verdana" w:cs="Verdana"/>
          <w:b/>
          <w:color w:val="000000"/>
          <w:lang w:val="es-ES" w:eastAsia="es-CO"/>
        </w:rPr>
      </w:pPr>
      <w:r w:rsidRPr="00BE5A58">
        <w:rPr>
          <w:rFonts w:ascii="Verdana" w:eastAsia="Verdana" w:hAnsi="Verdana" w:cs="Verdana"/>
          <w:b/>
          <w:color w:val="000000"/>
          <w:lang w:val="es-ES" w:eastAsia="es-CO"/>
        </w:rPr>
        <w:t>Referencias normativas, jurisprudenciales y otras fuentes:</w:t>
      </w:r>
    </w:p>
    <w:p w14:paraId="29C42903"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p>
    <w:tbl>
      <w:tblPr>
        <w:tblW w:w="86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8647"/>
      </w:tblGrid>
      <w:tr w:rsidR="00BE5A58" w:rsidRPr="00BE5A58" w14:paraId="5D20DC4A" w14:textId="77777777" w:rsidTr="0019513C">
        <w:trPr>
          <w:trHeight w:val="870"/>
        </w:trPr>
        <w:tc>
          <w:tcPr>
            <w:tcW w:w="8647" w:type="dxa"/>
          </w:tcPr>
          <w:p w14:paraId="656622CB" w14:textId="77777777" w:rsidR="00BE5A58" w:rsidRPr="00BE5A58" w:rsidRDefault="00BE5A58" w:rsidP="00BE5A58">
            <w:pPr>
              <w:numPr>
                <w:ilvl w:val="0"/>
                <w:numId w:val="17"/>
              </w:numPr>
              <w:pBdr>
                <w:top w:val="nil"/>
                <w:left w:val="nil"/>
                <w:bottom w:val="nil"/>
                <w:right w:val="nil"/>
                <w:between w:val="nil"/>
              </w:pBdr>
              <w:spacing w:after="0" w:line="276" w:lineRule="auto"/>
              <w:ind w:left="357" w:hanging="357"/>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Ley 2069 de 2020 – Artículo 35 – Numeral 3</w:t>
            </w:r>
          </w:p>
          <w:p w14:paraId="1A51A342" w14:textId="77777777" w:rsidR="00BE5A58" w:rsidRPr="00BE5A58" w:rsidRDefault="00BE5A58" w:rsidP="00BE5A58">
            <w:pPr>
              <w:numPr>
                <w:ilvl w:val="0"/>
                <w:numId w:val="17"/>
              </w:numPr>
              <w:pBdr>
                <w:top w:val="nil"/>
                <w:left w:val="nil"/>
                <w:bottom w:val="nil"/>
                <w:right w:val="nil"/>
                <w:between w:val="nil"/>
              </w:pBdr>
              <w:spacing w:after="0" w:line="276" w:lineRule="auto"/>
              <w:ind w:left="357" w:hanging="357"/>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Agencia Nacional de Contratación Pública – Colombia Compra Eficiente. Manual para determinar y verificar los requisitos habilitantes en los Procesos de Contratación. Disponible en: </w:t>
            </w:r>
            <w:hyperlink r:id="rId13">
              <w:r w:rsidRPr="00BE5A58">
                <w:rPr>
                  <w:rFonts w:ascii="Verdana" w:eastAsia="Verdana" w:hAnsi="Verdana" w:cs="Verdana"/>
                  <w:color w:val="0000FF"/>
                  <w:u w:val="single"/>
                  <w:lang w:val="es-ES" w:eastAsia="es-CO"/>
                </w:rPr>
                <w:t>https://colombiacompra.gov.co/manuales-guias-y-pliegos-tipo/manuales-y-guias</w:t>
              </w:r>
            </w:hyperlink>
            <w:r w:rsidRPr="00BE5A58">
              <w:rPr>
                <w:rFonts w:ascii="Verdana" w:eastAsia="Verdana" w:hAnsi="Verdana" w:cs="Verdana"/>
                <w:color w:val="000000"/>
                <w:lang w:val="es-ES" w:eastAsia="es-CO"/>
              </w:rPr>
              <w:t xml:space="preserve"> </w:t>
            </w:r>
          </w:p>
          <w:p w14:paraId="48F0E8D4" w14:textId="77777777" w:rsidR="00BE5A58" w:rsidRPr="00BE5A58" w:rsidRDefault="00BE5A58" w:rsidP="00BE5A58">
            <w:pPr>
              <w:numPr>
                <w:ilvl w:val="0"/>
                <w:numId w:val="17"/>
              </w:numPr>
              <w:pBdr>
                <w:top w:val="nil"/>
                <w:left w:val="nil"/>
                <w:bottom w:val="nil"/>
                <w:right w:val="nil"/>
                <w:between w:val="nil"/>
              </w:pBdr>
              <w:spacing w:after="0" w:line="276" w:lineRule="auto"/>
              <w:ind w:left="357" w:hanging="357"/>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Departamento Administrativo Nacional de Estadística. Clasificación Industrial Internacional Uniforme de todas las actividades económicas. Revisión 4 Adaptada para Colombia. 2022. Disponible en: </w:t>
            </w:r>
            <w:hyperlink r:id="rId14">
              <w:r w:rsidRPr="00BE5A58">
                <w:rPr>
                  <w:rFonts w:ascii="Verdana" w:eastAsia="Verdana" w:hAnsi="Verdana" w:cs="Verdana"/>
                  <w:color w:val="0000FF"/>
                  <w:u w:val="single"/>
                  <w:lang w:val="es-ES" w:eastAsia="es-CO"/>
                </w:rPr>
                <w:t>https://www.dane.gov.co/files/sen/nomenclatura/ciiu/CIIU_Rev_4_AC2022.pdf</w:t>
              </w:r>
            </w:hyperlink>
            <w:r w:rsidRPr="00BE5A58">
              <w:rPr>
                <w:rFonts w:ascii="Verdana" w:eastAsia="Verdana" w:hAnsi="Verdana" w:cs="Verdana"/>
                <w:color w:val="000000"/>
                <w:lang w:val="es-ES" w:eastAsia="es-CO"/>
              </w:rPr>
              <w:t>.</w:t>
            </w:r>
          </w:p>
        </w:tc>
      </w:tr>
    </w:tbl>
    <w:p w14:paraId="50AFE377"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p>
    <w:p w14:paraId="06B62B3E" w14:textId="77777777" w:rsidR="00BE5A58" w:rsidRPr="00BE5A58" w:rsidRDefault="00BE5A58" w:rsidP="00BE5A58">
      <w:pPr>
        <w:numPr>
          <w:ilvl w:val="0"/>
          <w:numId w:val="16"/>
        </w:numPr>
        <w:pBdr>
          <w:top w:val="nil"/>
          <w:left w:val="nil"/>
          <w:bottom w:val="nil"/>
          <w:right w:val="nil"/>
          <w:between w:val="nil"/>
        </w:pBdr>
        <w:tabs>
          <w:tab w:val="left" w:pos="142"/>
          <w:tab w:val="left" w:pos="284"/>
        </w:tabs>
        <w:spacing w:after="0" w:line="276" w:lineRule="auto"/>
        <w:ind w:left="0" w:firstLine="0"/>
        <w:jc w:val="both"/>
        <w:rPr>
          <w:rFonts w:ascii="Verdana" w:eastAsia="Verdana" w:hAnsi="Verdana" w:cs="Verdana"/>
          <w:b/>
          <w:color w:val="000000"/>
          <w:lang w:val="es-ES" w:eastAsia="es-CO"/>
        </w:rPr>
      </w:pPr>
      <w:r w:rsidRPr="00BE5A58">
        <w:rPr>
          <w:rFonts w:ascii="Verdana" w:eastAsia="Verdana" w:hAnsi="Verdana" w:cs="Verdana"/>
          <w:b/>
          <w:color w:val="000000"/>
          <w:lang w:val="es-ES" w:eastAsia="es-CO"/>
        </w:rPr>
        <w:t>Doctrina de la Agencia Nacional de Contratación Pública:</w:t>
      </w:r>
    </w:p>
    <w:p w14:paraId="15A5A94A"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p>
    <w:p w14:paraId="0F5C4577" w14:textId="77777777" w:rsidR="00BE5A58" w:rsidRPr="00BE5A58" w:rsidRDefault="00BE5A58" w:rsidP="00BE5A58">
      <w:pPr>
        <w:widowControl w:val="0"/>
        <w:spacing w:after="0" w:line="276" w:lineRule="auto"/>
        <w:jc w:val="both"/>
        <w:rPr>
          <w:rFonts w:ascii="Verdana" w:eastAsia="Verdana" w:hAnsi="Verdana" w:cs="Verdana"/>
          <w:color w:val="000000"/>
          <w:highlight w:val="white"/>
          <w:lang w:val="es-ES" w:eastAsia="es-CO"/>
        </w:rPr>
      </w:pPr>
      <w:r w:rsidRPr="00BE5A58">
        <w:rPr>
          <w:rFonts w:ascii="Verdana" w:eastAsia="Verdana" w:hAnsi="Verdana" w:cs="Verdana"/>
          <w:color w:val="000000"/>
          <w:lang w:val="es-ES" w:eastAsia="es-CO"/>
        </w:rPr>
        <w:t xml:space="preserve">La Agencia Nacional de Contratación Pública – Colombia Compra Eficiente </w:t>
      </w:r>
      <w:r w:rsidRPr="00BE5A58">
        <w:rPr>
          <w:rFonts w:ascii="Verdana" w:eastAsia="Arial" w:hAnsi="Verdana" w:cs="Arial"/>
          <w:lang w:val="es-ES" w:eastAsia="es-CO"/>
        </w:rPr>
        <w:t xml:space="preserve">en términos generales, sobre los factores de desempate en los procedimientos de contratación estatal, en los </w:t>
      </w:r>
      <w:sdt>
        <w:sdtPr>
          <w:rPr>
            <w:rFonts w:ascii="Verdana" w:eastAsia="Calibri" w:hAnsi="Verdana" w:cs="Calibri"/>
            <w:lang w:val="es-ES" w:eastAsia="es-CO"/>
          </w:rPr>
          <w:tag w:val="goog_rdk_0"/>
          <w:id w:val="54585485"/>
        </w:sdtPr>
        <w:sdtContent>
          <w:r w:rsidRPr="00BE5A58">
            <w:rPr>
              <w:rFonts w:ascii="Verdana" w:eastAsia="Arial Unicode MS" w:hAnsi="Verdana" w:cs="Arial Unicode MS"/>
              <w:highlight w:val="white"/>
              <w:lang w:val="es-ES" w:eastAsia="es-CO"/>
            </w:rPr>
            <w:t>conceptos C-285 del 4 de mayo de 2020, C-481 del 27 de julio de 2020, C-514 y C-535 del 26 de agosto de 2020 y C-556 del 31 de agosto de 2020. De igual manera, estudió los factores de desempate del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C-320 del 1 de julio de 2021 y C- 437 de 24 agosto 2021, C-459 del 2 de septiembre de 2021 y C-487 del 3 de septiembre de 2021</w:t>
          </w:r>
        </w:sdtContent>
      </w:sdt>
      <w:r w:rsidRPr="00BE5A58">
        <w:rPr>
          <w:rFonts w:ascii="Verdana" w:eastAsia="Verdana" w:hAnsi="Verdana" w:cs="Verdana"/>
          <w:highlight w:val="white"/>
          <w:lang w:val="es-ES" w:eastAsia="es-CO"/>
        </w:rPr>
        <w:t>, entre otros. Estos se encuentran disponibles para consulta en el Sistema de relatoría de la Agencia, al cual puede accederse a través del siguiente enlace:</w:t>
      </w:r>
      <w:r w:rsidRPr="00BE5A58">
        <w:rPr>
          <w:rFonts w:ascii="Verdana" w:eastAsia="Verdana" w:hAnsi="Verdana" w:cs="Verdana"/>
          <w:lang w:val="es-ES" w:eastAsia="es-CO"/>
        </w:rPr>
        <w:t xml:space="preserve"> </w:t>
      </w:r>
      <w:hyperlink r:id="rId15">
        <w:r w:rsidRPr="00BE5A58">
          <w:rPr>
            <w:rFonts w:ascii="Verdana" w:eastAsia="Verdana" w:hAnsi="Verdana" w:cs="Verdana"/>
            <w:color w:val="0000FF"/>
            <w:highlight w:val="white"/>
            <w:u w:val="single"/>
            <w:lang w:val="es-ES" w:eastAsia="es-CO"/>
          </w:rPr>
          <w:t>https://relatoria.colombiacompra.gov.co/busqueda/conceptos</w:t>
        </w:r>
      </w:hyperlink>
      <w:r w:rsidRPr="00BE5A58">
        <w:rPr>
          <w:rFonts w:ascii="Verdana" w:eastAsia="Verdana" w:hAnsi="Verdana" w:cs="Verdana"/>
          <w:color w:val="0000FF"/>
          <w:u w:val="single"/>
          <w:lang w:val="es-ES" w:eastAsia="es-CO"/>
        </w:rPr>
        <w:t>.</w:t>
      </w:r>
      <w:r w:rsidRPr="00BE5A58">
        <w:rPr>
          <w:rFonts w:ascii="Verdana" w:eastAsia="Verdana" w:hAnsi="Verdana" w:cs="Verdana"/>
          <w:color w:val="000000"/>
          <w:highlight w:val="white"/>
          <w:lang w:val="es-ES" w:eastAsia="es-CO"/>
        </w:rPr>
        <w:t xml:space="preserve">  </w:t>
      </w:r>
    </w:p>
    <w:p w14:paraId="61E1A7F1" w14:textId="77777777" w:rsidR="00BE5A58" w:rsidRPr="00BE5A58" w:rsidRDefault="00BE5A58" w:rsidP="00BE5A58">
      <w:pPr>
        <w:widowControl w:val="0"/>
        <w:spacing w:after="0" w:line="276" w:lineRule="auto"/>
        <w:jc w:val="both"/>
        <w:rPr>
          <w:rFonts w:ascii="Verdana" w:eastAsia="Verdana" w:hAnsi="Verdana" w:cs="Verdana"/>
          <w:color w:val="000000"/>
          <w:highlight w:val="white"/>
          <w:lang w:val="es-ES" w:eastAsia="es-CO"/>
        </w:rPr>
      </w:pPr>
    </w:p>
    <w:p w14:paraId="28F4ADDB" w14:textId="77777777" w:rsidR="00BE5A58" w:rsidRPr="00BE5A58" w:rsidRDefault="00BE5A58" w:rsidP="00BE5A58">
      <w:pPr>
        <w:widowControl w:val="0"/>
        <w:spacing w:after="0" w:line="276" w:lineRule="auto"/>
        <w:jc w:val="both"/>
        <w:rPr>
          <w:rFonts w:ascii="Verdana" w:eastAsia="Verdana" w:hAnsi="Verdana" w:cs="Verdana"/>
          <w:color w:val="FF0000"/>
          <w:highlight w:val="white"/>
          <w:lang w:val="es-ES" w:eastAsia="es-CO"/>
        </w:rPr>
      </w:pPr>
      <w:r w:rsidRPr="00BE5A58">
        <w:rPr>
          <w:rFonts w:ascii="Verdana" w:eastAsia="Verdana" w:hAnsi="Verdana" w:cs="Verdana"/>
          <w:lang w:val="es-ES" w:eastAsia="es-CO"/>
        </w:rPr>
        <w:t xml:space="preserve">Le informamos que ya se encuentra disponible la Cartilla para incentivar y fortalecer el acceso a las compras y contratación pública de los pueblos y </w:t>
      </w:r>
      <w:r w:rsidRPr="00BE5A58">
        <w:rPr>
          <w:rFonts w:ascii="Verdana" w:eastAsia="Verdana" w:hAnsi="Verdana" w:cs="Verdana"/>
          <w:lang w:val="es-ES" w:eastAsia="es-CO"/>
        </w:rPr>
        <w:lastRenderedPageBreak/>
        <w:t>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r w:rsidRPr="00BE5A58">
          <w:rPr>
            <w:rFonts w:ascii="Verdana" w:eastAsia="Verdana" w:hAnsi="Verdana" w:cs="Verdana"/>
            <w:color w:val="0000FF"/>
            <w:highlight w:val="white"/>
            <w:u w:val="single"/>
            <w:lang w:val="es-ES" w:eastAsia="es-CO"/>
          </w:rPr>
          <w:t>Cartilla para incentivar y fortalecer el acceso a las compras y contratación pública de los pueblos y comunidades étnicas en Colombia | Colombia Compra Eficiente | Agencia Nacional de Contratación Pública</w:t>
        </w:r>
      </w:hyperlink>
    </w:p>
    <w:p w14:paraId="4DBE7436" w14:textId="77777777" w:rsidR="00BE5A58" w:rsidRPr="00BE5A58" w:rsidRDefault="00BE5A58" w:rsidP="00BE5A58">
      <w:pPr>
        <w:widowControl w:val="0"/>
        <w:spacing w:after="0" w:line="276" w:lineRule="auto"/>
        <w:jc w:val="both"/>
        <w:rPr>
          <w:rFonts w:ascii="Verdana" w:eastAsia="Verdana" w:hAnsi="Verdana" w:cs="Verdana"/>
          <w:color w:val="FF0000"/>
          <w:highlight w:val="white"/>
          <w:lang w:val="es-ES" w:eastAsia="es-CO"/>
        </w:rPr>
      </w:pPr>
    </w:p>
    <w:p w14:paraId="1E7D2AAA" w14:textId="77777777" w:rsidR="00BE5A58" w:rsidRPr="00BE5A58" w:rsidRDefault="00BE5A58" w:rsidP="00BE5A58">
      <w:pPr>
        <w:widowControl w:val="0"/>
        <w:spacing w:after="0" w:line="276" w:lineRule="auto"/>
        <w:jc w:val="both"/>
        <w:rPr>
          <w:rFonts w:ascii="Verdana" w:eastAsia="Verdana" w:hAnsi="Verdana" w:cs="Verdana"/>
          <w:color w:val="FF0000"/>
          <w:highlight w:val="white"/>
          <w:lang w:val="es-ES" w:eastAsia="es-CO"/>
        </w:rPr>
      </w:pPr>
      <w:r w:rsidRPr="00BE5A58">
        <w:rPr>
          <w:rFonts w:ascii="Verdana" w:eastAsia="Verdana" w:hAnsi="Verdana" w:cs="Verdana"/>
          <w:color w:val="000000"/>
          <w:highlight w:val="white"/>
          <w:lang w:val="es-ES" w:eastAsia="es-CO"/>
        </w:rPr>
        <w:t>De otra parte, informamos que, con el objetivo de garantizar un conocimiento adecuado de las </w:t>
      </w:r>
      <w:r w:rsidRPr="00BE5A58">
        <w:rPr>
          <w:rFonts w:ascii="Verdana" w:eastAsia="Verdana" w:hAnsi="Verdana" w:cs="Verdana"/>
          <w:b/>
          <w:color w:val="000000"/>
          <w:highlight w:val="white"/>
          <w:lang w:val="es-ES" w:eastAsia="es-CO"/>
        </w:rPr>
        <w:t>modificaciones y/o actualizaciones realizadas a los Documentos Tipo</w:t>
      </w:r>
      <w:r w:rsidRPr="00BE5A58">
        <w:rPr>
          <w:rFonts w:ascii="Verdana" w:eastAsia="Verdana" w:hAnsi="Verdana" w:cs="Verdana"/>
          <w:color w:val="000000"/>
          <w:highlight w:val="white"/>
          <w:lang w:val="es-ES" w:eastAsia="es-CO"/>
        </w:rPr>
        <w:t>, hemos programado una serie de </w:t>
      </w:r>
      <w:r w:rsidRPr="00BE5A58">
        <w:rPr>
          <w:rFonts w:ascii="Verdana" w:eastAsia="Verdana" w:hAnsi="Verdana" w:cs="Verdana"/>
          <w:b/>
          <w:color w:val="000000"/>
          <w:highlight w:val="white"/>
          <w:lang w:val="es-ES" w:eastAsia="es-CO"/>
        </w:rPr>
        <w:t>capacitaciones </w:t>
      </w:r>
      <w:r w:rsidRPr="00BE5A58">
        <w:rPr>
          <w:rFonts w:ascii="Verdana" w:eastAsia="Verdana" w:hAnsi="Verdana" w:cs="Verdana"/>
          <w:color w:val="000000"/>
          <w:highlight w:val="white"/>
          <w:lang w:val="es-ES" w:eastAsia="es-CO"/>
        </w:rPr>
        <w:t>dirigidas a todos los actores involucrados en los procesos de selección. Podrá conocer la programación y realizar su inscripción a estas capacitaciones a través del siguiente enlace: </w:t>
      </w:r>
      <w:hyperlink r:id="rId17">
        <w:r w:rsidRPr="00BE5A58">
          <w:rPr>
            <w:rFonts w:ascii="Verdana" w:eastAsia="Verdana" w:hAnsi="Verdana" w:cs="Verdana"/>
            <w:color w:val="0000FF"/>
            <w:highlight w:val="white"/>
            <w:u w:val="single"/>
            <w:lang w:val="es-ES" w:eastAsia="es-CO"/>
          </w:rPr>
          <w:t>Calendario | Colombia Compra Eficiente | Agencia Nacional de Contratación Pública</w:t>
        </w:r>
      </w:hyperlink>
    </w:p>
    <w:p w14:paraId="42DA7694" w14:textId="77777777" w:rsidR="00BE5A58" w:rsidRPr="00BE5A58" w:rsidRDefault="00BE5A58" w:rsidP="00BE5A58">
      <w:pPr>
        <w:widowControl w:val="0"/>
        <w:spacing w:after="0" w:line="276" w:lineRule="auto"/>
        <w:jc w:val="both"/>
        <w:rPr>
          <w:rFonts w:ascii="Verdana" w:eastAsia="Verdana" w:hAnsi="Verdana" w:cs="Verdana"/>
          <w:color w:val="FF0000"/>
          <w:highlight w:val="white"/>
          <w:lang w:val="es-ES" w:eastAsia="es-CO"/>
        </w:rPr>
      </w:pPr>
    </w:p>
    <w:p w14:paraId="5203D5CB" w14:textId="77777777" w:rsidR="00BE5A58" w:rsidRPr="00BE5A58" w:rsidRDefault="00BE5A58" w:rsidP="00BE5A58">
      <w:pPr>
        <w:widowControl w:val="0"/>
        <w:spacing w:after="0" w:line="276" w:lineRule="auto"/>
        <w:jc w:val="both"/>
        <w:rPr>
          <w:rFonts w:ascii="Verdana" w:eastAsia="Verdana" w:hAnsi="Verdana" w:cs="Verdana"/>
          <w:color w:val="FF0000"/>
          <w:highlight w:val="white"/>
          <w:lang w:val="es-ES" w:eastAsia="es-CO"/>
        </w:rPr>
      </w:pPr>
      <w:r w:rsidRPr="00BE5A58">
        <w:rPr>
          <w:rFonts w:ascii="Verdana" w:eastAsia="Verdana" w:hAnsi="Verdana" w:cs="Verdana"/>
          <w:color w:val="000000"/>
          <w:highlight w:val="white"/>
          <w:lang w:val="es-ES" w:eastAsia="es-CO"/>
        </w:rPr>
        <w:t>También, le contamos que ya publicamos </w:t>
      </w:r>
      <w:r w:rsidRPr="00BE5A58">
        <w:rPr>
          <w:rFonts w:ascii="Verdana" w:eastAsia="Verdana" w:hAnsi="Verdana" w:cs="Verdana"/>
          <w:b/>
          <w:color w:val="000000"/>
          <w:highlight w:val="white"/>
          <w:lang w:val="es-ES" w:eastAsia="es-CO"/>
        </w:rPr>
        <w:t>la nueva Guía de Contratación Pública Sostenible y Socialmente Responsable</w:t>
      </w:r>
      <w:r w:rsidRPr="00BE5A58">
        <w:rPr>
          <w:rFonts w:ascii="Verdana" w:eastAsia="Verdana" w:hAnsi="Verdana" w:cs="Verdana"/>
          <w:color w:val="000000"/>
          <w:highlight w:val="white"/>
          <w:lang w:val="es-ES"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r w:rsidRPr="00BE5A58">
          <w:rPr>
            <w:rFonts w:ascii="Verdana" w:eastAsia="Verdana" w:hAnsi="Verdana" w:cs="Verdana"/>
            <w:color w:val="0000FF"/>
            <w:highlight w:val="white"/>
            <w:u w:val="single"/>
            <w:lang w:val="es-ES" w:eastAsia="es-CO"/>
          </w:rPr>
          <w:t>Guía de Contratación Pública Sostenible y Socialmente Responsable | Colombia Compra Eficiente | Agencia Nacional de Contratación Pública</w:t>
        </w:r>
      </w:hyperlink>
    </w:p>
    <w:p w14:paraId="782DB844" w14:textId="77777777" w:rsidR="00BE5A58" w:rsidRPr="00BE5A58" w:rsidRDefault="00BE5A58" w:rsidP="00BE5A58">
      <w:pPr>
        <w:widowControl w:val="0"/>
        <w:spacing w:after="0" w:line="276" w:lineRule="auto"/>
        <w:jc w:val="both"/>
        <w:rPr>
          <w:rFonts w:ascii="Verdana" w:eastAsia="Verdana" w:hAnsi="Verdana" w:cs="Verdana"/>
          <w:color w:val="FF0000"/>
          <w:highlight w:val="white"/>
          <w:lang w:val="es-ES" w:eastAsia="es-CO"/>
        </w:rPr>
      </w:pPr>
    </w:p>
    <w:p w14:paraId="0D02FBA6" w14:textId="77777777" w:rsidR="00BE5A58" w:rsidRPr="00BE5A58" w:rsidRDefault="00BE5A58" w:rsidP="00BE5A58">
      <w:pPr>
        <w:spacing w:after="0" w:line="276" w:lineRule="auto"/>
        <w:jc w:val="both"/>
        <w:rPr>
          <w:rFonts w:ascii="Verdana" w:eastAsia="Verdana" w:hAnsi="Verdana" w:cs="Verdana"/>
          <w:lang w:val="es-ES" w:eastAsia="es-CO"/>
        </w:rPr>
      </w:pPr>
      <w:r w:rsidRPr="00BE5A58">
        <w:rPr>
          <w:rFonts w:ascii="Verdana" w:eastAsia="Verdana" w:hAnsi="Verdana" w:cs="Verdana"/>
          <w:lang w:val="es-ES" w:eastAsia="es-CO"/>
        </w:rPr>
        <w:t xml:space="preserve">Por último, lo invitamos a seguirnos en las redes sociales en las cuales se difunde información institucional: </w:t>
      </w:r>
    </w:p>
    <w:p w14:paraId="467CB4FE" w14:textId="77777777" w:rsidR="00BE5A58" w:rsidRPr="00BE5A58" w:rsidRDefault="00BE5A58" w:rsidP="00BE5A58">
      <w:pPr>
        <w:spacing w:after="0" w:line="276" w:lineRule="auto"/>
        <w:jc w:val="both"/>
        <w:rPr>
          <w:rFonts w:ascii="Verdana" w:eastAsia="Verdana" w:hAnsi="Verdana" w:cs="Verdana"/>
          <w:lang w:val="es-ES" w:eastAsia="es-CO"/>
        </w:rPr>
      </w:pPr>
    </w:p>
    <w:p w14:paraId="39385C20" w14:textId="77777777" w:rsidR="00BE5A58" w:rsidRPr="00BE5A58" w:rsidRDefault="00BE5A58" w:rsidP="00BE5A58">
      <w:pPr>
        <w:spacing w:after="0" w:line="276" w:lineRule="auto"/>
        <w:jc w:val="both"/>
        <w:rPr>
          <w:rFonts w:ascii="Verdana" w:eastAsia="Verdana" w:hAnsi="Verdana" w:cs="Verdana"/>
          <w:lang w:val="es-ES" w:eastAsia="es-CO"/>
        </w:rPr>
      </w:pPr>
      <w:r w:rsidRPr="00BE5A58">
        <w:rPr>
          <w:rFonts w:ascii="Verdana" w:eastAsia="Verdana" w:hAnsi="Verdana" w:cs="Verdana"/>
          <w:lang w:val="es-ES" w:eastAsia="es-CO"/>
        </w:rPr>
        <w:t xml:space="preserve">Twitter: </w:t>
      </w:r>
      <w:r w:rsidRPr="00BE5A58">
        <w:rPr>
          <w:rFonts w:ascii="Verdana" w:eastAsia="Verdana" w:hAnsi="Verdana" w:cs="Verdana"/>
          <w:color w:val="0000FF"/>
          <w:highlight w:val="white"/>
          <w:u w:val="single"/>
          <w:lang w:val="es-ES" w:eastAsia="es-CO"/>
        </w:rPr>
        <w:t>@colombiacompra</w:t>
      </w:r>
      <w:r w:rsidRPr="00BE5A58">
        <w:rPr>
          <w:rFonts w:ascii="Verdana" w:eastAsia="Verdana" w:hAnsi="Verdana" w:cs="Verdana"/>
          <w:color w:val="4472C4"/>
          <w:lang w:val="es-ES" w:eastAsia="es-CO"/>
        </w:rPr>
        <w:t xml:space="preserve"> </w:t>
      </w:r>
    </w:p>
    <w:p w14:paraId="42330806" w14:textId="77777777" w:rsidR="00BE5A58" w:rsidRPr="00BE5A58" w:rsidRDefault="00BE5A58" w:rsidP="00BE5A58">
      <w:pPr>
        <w:spacing w:after="0" w:line="276" w:lineRule="auto"/>
        <w:jc w:val="both"/>
        <w:rPr>
          <w:rFonts w:ascii="Verdana" w:eastAsia="Verdana" w:hAnsi="Verdana" w:cs="Verdana"/>
          <w:lang w:val="es-ES" w:eastAsia="es-CO"/>
        </w:rPr>
      </w:pPr>
      <w:r w:rsidRPr="00BE5A58">
        <w:rPr>
          <w:rFonts w:ascii="Verdana" w:eastAsia="Verdana" w:hAnsi="Verdana" w:cs="Verdana"/>
          <w:lang w:val="es-ES" w:eastAsia="es-CO"/>
        </w:rPr>
        <w:t xml:space="preserve">Facebook: </w:t>
      </w:r>
      <w:r w:rsidRPr="00BE5A58">
        <w:rPr>
          <w:rFonts w:ascii="Verdana" w:eastAsia="Verdana" w:hAnsi="Verdana" w:cs="Verdana"/>
          <w:color w:val="0000FF"/>
          <w:highlight w:val="white"/>
          <w:u w:val="single"/>
          <w:lang w:val="es-ES" w:eastAsia="es-CO"/>
        </w:rPr>
        <w:t>ColombiaCompraEficiente</w:t>
      </w:r>
    </w:p>
    <w:p w14:paraId="3AC7A433" w14:textId="77777777" w:rsidR="00BE5A58" w:rsidRPr="00BE5A58" w:rsidRDefault="00BE5A58" w:rsidP="00BE5A58">
      <w:pPr>
        <w:spacing w:after="0" w:line="276" w:lineRule="auto"/>
        <w:jc w:val="both"/>
        <w:rPr>
          <w:rFonts w:ascii="Verdana" w:eastAsia="Verdana" w:hAnsi="Verdana" w:cs="Verdana"/>
          <w:lang w:val="es-ES" w:eastAsia="es-CO"/>
        </w:rPr>
      </w:pPr>
      <w:r w:rsidRPr="00BE5A58">
        <w:rPr>
          <w:rFonts w:ascii="Verdana" w:eastAsia="Verdana" w:hAnsi="Verdana" w:cs="Verdana"/>
          <w:lang w:val="es-ES" w:eastAsia="es-CO"/>
        </w:rPr>
        <w:t xml:space="preserve">LinkedIn: </w:t>
      </w:r>
      <w:r w:rsidRPr="00BE5A58">
        <w:rPr>
          <w:rFonts w:ascii="Verdana" w:eastAsia="Verdana" w:hAnsi="Verdana" w:cs="Verdana"/>
          <w:color w:val="0000FF"/>
          <w:highlight w:val="white"/>
          <w:u w:val="single"/>
          <w:lang w:val="es-ES" w:eastAsia="es-CO"/>
        </w:rPr>
        <w:t xml:space="preserve">Agencia Nacional de Contratación Pública - Colombia Compra Eficiente </w:t>
      </w:r>
      <w:r w:rsidRPr="00BE5A58">
        <w:rPr>
          <w:rFonts w:ascii="Verdana" w:eastAsia="Verdana" w:hAnsi="Verdana" w:cs="Verdana"/>
          <w:lang w:val="es-ES" w:eastAsia="es-CO"/>
        </w:rPr>
        <w:t xml:space="preserve">Instagram: </w:t>
      </w:r>
      <w:r w:rsidRPr="00BE5A58">
        <w:rPr>
          <w:rFonts w:ascii="Verdana" w:eastAsia="Verdana" w:hAnsi="Verdana" w:cs="Verdana"/>
          <w:color w:val="0000FF"/>
          <w:highlight w:val="white"/>
          <w:u w:val="single"/>
          <w:lang w:val="es-ES" w:eastAsia="es-CO"/>
        </w:rPr>
        <w:t>@colombiacompraeficiente_cce</w:t>
      </w:r>
    </w:p>
    <w:p w14:paraId="17F30016"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p>
    <w:p w14:paraId="60571160"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Este concepto tiene el alcance previsto en el artículo 28 del Código de Procedimiento Administrativo y de lo Contencioso Administrativo y las expresiones aquí utilizadas con mayúscula inicial deben ser entendidas con el </w:t>
      </w:r>
      <w:r w:rsidRPr="00BE5A58">
        <w:rPr>
          <w:rFonts w:ascii="Verdana" w:eastAsia="Verdana" w:hAnsi="Verdana" w:cs="Verdana"/>
          <w:color w:val="000000"/>
          <w:lang w:val="es-ES" w:eastAsia="es-CO"/>
        </w:rPr>
        <w:lastRenderedPageBreak/>
        <w:t>significado que les otorga el artículo 2.2.1.1.1.3.1. del Decreto 1082 de 2015.</w:t>
      </w:r>
    </w:p>
    <w:p w14:paraId="0742715C" w14:textId="77777777" w:rsidR="00BE5A58" w:rsidRPr="00BE5A58" w:rsidRDefault="00BE5A58" w:rsidP="00BE5A58">
      <w:pPr>
        <w:widowControl w:val="0"/>
        <w:spacing w:after="0" w:line="276" w:lineRule="auto"/>
        <w:jc w:val="both"/>
        <w:rPr>
          <w:rFonts w:ascii="Verdana" w:eastAsia="Verdana" w:hAnsi="Verdana" w:cs="Verdana"/>
          <w:color w:val="000000"/>
          <w:lang w:val="es-ES" w:eastAsia="es-CO"/>
        </w:rPr>
      </w:pPr>
    </w:p>
    <w:p w14:paraId="1B0395F7" w14:textId="77777777" w:rsidR="00BE5A58" w:rsidRPr="00BE5A58" w:rsidRDefault="00BE5A58" w:rsidP="00BE5A58">
      <w:pPr>
        <w:spacing w:after="0" w:line="276" w:lineRule="auto"/>
        <w:rPr>
          <w:rFonts w:ascii="Verdana" w:eastAsia="Verdana" w:hAnsi="Verdana" w:cs="Verdana"/>
          <w:color w:val="000000"/>
          <w:lang w:val="es-ES" w:eastAsia="es-CO"/>
        </w:rPr>
      </w:pPr>
      <w:r w:rsidRPr="00BE5A58">
        <w:rPr>
          <w:rFonts w:ascii="Verdana" w:eastAsia="Verdana" w:hAnsi="Verdana" w:cs="Verdana"/>
          <w:color w:val="000000"/>
          <w:lang w:val="es-ES" w:eastAsia="es-CO"/>
        </w:rPr>
        <w:t xml:space="preserve">Atentamente, </w:t>
      </w:r>
    </w:p>
    <w:p w14:paraId="739CD967" w14:textId="77777777" w:rsidR="00BE5A58" w:rsidRPr="00BE5A58" w:rsidRDefault="00BE5A58" w:rsidP="00BE5A58">
      <w:pPr>
        <w:spacing w:line="276" w:lineRule="auto"/>
        <w:jc w:val="center"/>
        <w:rPr>
          <w:rFonts w:ascii="Verdana" w:eastAsia="Verdana" w:hAnsi="Verdana" w:cs="Verdana"/>
          <w:color w:val="000000"/>
          <w:lang w:val="es-ES" w:eastAsia="es-CO"/>
        </w:rPr>
      </w:pPr>
    </w:p>
    <w:p w14:paraId="634D38DB" w14:textId="34FFF266" w:rsidR="00BE5A58" w:rsidRPr="00BE5A58" w:rsidRDefault="00A24D44" w:rsidP="00BE5A58">
      <w:pPr>
        <w:spacing w:after="18" w:line="240" w:lineRule="auto"/>
        <w:jc w:val="center"/>
        <w:rPr>
          <w:rFonts w:ascii="Century Gothic" w:eastAsia="Century Gothic" w:hAnsi="Century Gothic" w:cs="Century Gothic"/>
          <w:sz w:val="24"/>
          <w:szCs w:val="24"/>
          <w:lang w:val="es-ES" w:eastAsia="es-CO"/>
        </w:rPr>
      </w:pPr>
      <w:r w:rsidRPr="002C3AD6">
        <w:rPr>
          <w:rFonts w:ascii="Century Gothic" w:hAnsi="Century Gothic"/>
          <w:noProof/>
        </w:rPr>
        <w:drawing>
          <wp:inline distT="0" distB="0" distL="0" distR="0" wp14:anchorId="5A02FD3C" wp14:editId="3FB9B9E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p w14:paraId="248B0DE4" w14:textId="77777777" w:rsidR="00BE5A58" w:rsidRPr="00BE5A58" w:rsidRDefault="00BE5A58" w:rsidP="00BE5A58">
      <w:pPr>
        <w:spacing w:after="18" w:line="240" w:lineRule="auto"/>
        <w:jc w:val="center"/>
        <w:rPr>
          <w:rFonts w:ascii="Century Gothic" w:eastAsia="Century Gothic" w:hAnsi="Century Gothic" w:cs="Century Gothic"/>
          <w:sz w:val="24"/>
          <w:szCs w:val="24"/>
          <w:lang w:val="es-ES" w:eastAsia="es-CO"/>
        </w:rPr>
      </w:pPr>
    </w:p>
    <w:p w14:paraId="05A09FA0" w14:textId="77777777" w:rsidR="00BE5A58" w:rsidRPr="00BE5A58" w:rsidRDefault="00BE5A58" w:rsidP="00BE5A58">
      <w:pPr>
        <w:spacing w:after="18" w:line="240" w:lineRule="auto"/>
        <w:jc w:val="center"/>
        <w:rPr>
          <w:rFonts w:ascii="Verdana" w:eastAsia="Verdana" w:hAnsi="Verdana" w:cs="Verdana"/>
          <w:sz w:val="24"/>
          <w:szCs w:val="24"/>
          <w:lang w:val="es-ES" w:eastAsia="es-CO"/>
        </w:rPr>
      </w:pPr>
    </w:p>
    <w:tbl>
      <w:tblPr>
        <w:tblpPr w:leftFromText="141" w:rightFromText="141" w:vertAnchor="text" w:tblpY="4"/>
        <w:tblW w:w="5670" w:type="dxa"/>
        <w:tblBorders>
          <w:top w:val="nil"/>
          <w:left w:val="nil"/>
          <w:bottom w:val="nil"/>
          <w:right w:val="nil"/>
          <w:insideH w:val="nil"/>
          <w:insideV w:val="nil"/>
        </w:tblBorders>
        <w:tblLayout w:type="fixed"/>
        <w:tblLook w:val="0400" w:firstRow="0" w:lastRow="0" w:firstColumn="0" w:lastColumn="0" w:noHBand="0" w:noVBand="1"/>
      </w:tblPr>
      <w:tblGrid>
        <w:gridCol w:w="893"/>
        <w:gridCol w:w="4777"/>
      </w:tblGrid>
      <w:tr w:rsidR="00BE5A58" w:rsidRPr="00BE5A58" w14:paraId="15CD9957" w14:textId="77777777" w:rsidTr="0019513C">
        <w:trPr>
          <w:trHeight w:val="286"/>
        </w:trPr>
        <w:tc>
          <w:tcPr>
            <w:tcW w:w="893" w:type="dxa"/>
            <w:vAlign w:val="center"/>
          </w:tcPr>
          <w:p w14:paraId="7E186EA6" w14:textId="77777777" w:rsidR="00BE5A58" w:rsidRPr="00BE5A58" w:rsidRDefault="00BE5A58" w:rsidP="00BE5A58">
            <w:pPr>
              <w:spacing w:after="0" w:line="240" w:lineRule="auto"/>
              <w:jc w:val="both"/>
              <w:rPr>
                <w:rFonts w:ascii="Verdana" w:eastAsia="Verdana" w:hAnsi="Verdana" w:cs="Verdana"/>
                <w:sz w:val="14"/>
                <w:szCs w:val="14"/>
                <w:lang w:val="es-ES" w:eastAsia="es-CO"/>
              </w:rPr>
            </w:pPr>
            <w:r w:rsidRPr="00BE5A58">
              <w:rPr>
                <w:rFonts w:ascii="Verdana" w:eastAsia="Verdana" w:hAnsi="Verdana" w:cs="Verdana"/>
                <w:sz w:val="16"/>
                <w:szCs w:val="16"/>
                <w:lang w:val="es-ES" w:eastAsia="es-CO"/>
              </w:rPr>
              <w:t>Elaboró:</w:t>
            </w:r>
          </w:p>
        </w:tc>
        <w:tc>
          <w:tcPr>
            <w:tcW w:w="4777" w:type="dxa"/>
            <w:tcBorders>
              <w:top w:val="nil"/>
              <w:left w:val="nil"/>
              <w:bottom w:val="dotted" w:sz="4" w:space="0" w:color="7F7F7F"/>
              <w:right w:val="nil"/>
            </w:tcBorders>
            <w:vAlign w:val="center"/>
          </w:tcPr>
          <w:p w14:paraId="0A59D8FC" w14:textId="77777777" w:rsidR="00BE5A58" w:rsidRPr="00BE5A58" w:rsidRDefault="00BE5A58" w:rsidP="00BE5A58">
            <w:pPr>
              <w:spacing w:after="0" w:line="240" w:lineRule="auto"/>
              <w:jc w:val="both"/>
              <w:rPr>
                <w:rFonts w:ascii="Verdana" w:eastAsia="Verdana" w:hAnsi="Verdana" w:cs="Verdana"/>
                <w:sz w:val="16"/>
                <w:szCs w:val="16"/>
                <w:lang w:val="es-ES" w:eastAsia="es-CO"/>
              </w:rPr>
            </w:pPr>
            <w:r w:rsidRPr="00BE5A58">
              <w:rPr>
                <w:rFonts w:ascii="Verdana" w:eastAsia="Verdana" w:hAnsi="Verdana" w:cs="Verdana"/>
                <w:sz w:val="16"/>
                <w:szCs w:val="16"/>
                <w:lang w:val="es-ES" w:eastAsia="es-CO"/>
              </w:rPr>
              <w:t xml:space="preserve">Diana Carolina Blanco Rodriguez </w:t>
            </w:r>
          </w:p>
          <w:p w14:paraId="33E5E6A2" w14:textId="77777777" w:rsidR="00BE5A58" w:rsidRPr="00BE5A58" w:rsidRDefault="00BE5A58" w:rsidP="00BE5A58">
            <w:pPr>
              <w:spacing w:after="0" w:line="240" w:lineRule="auto"/>
              <w:jc w:val="both"/>
              <w:rPr>
                <w:rFonts w:ascii="Verdana" w:eastAsia="Verdana" w:hAnsi="Verdana" w:cs="Verdana"/>
                <w:sz w:val="16"/>
                <w:szCs w:val="16"/>
                <w:lang w:val="es-ES" w:eastAsia="es-CO"/>
              </w:rPr>
            </w:pPr>
            <w:r w:rsidRPr="00BE5A58">
              <w:rPr>
                <w:rFonts w:ascii="Verdana" w:eastAsia="Verdana" w:hAnsi="Verdana" w:cs="Verdana"/>
                <w:sz w:val="16"/>
                <w:szCs w:val="16"/>
                <w:lang w:val="es-ES" w:eastAsia="es-CO"/>
              </w:rPr>
              <w:t>Contratista de la Subdirección de Gestión Contractual</w:t>
            </w:r>
          </w:p>
        </w:tc>
      </w:tr>
      <w:tr w:rsidR="00BE5A58" w:rsidRPr="00BE5A58" w14:paraId="1419600A" w14:textId="77777777" w:rsidTr="0019513C">
        <w:trPr>
          <w:trHeight w:val="299"/>
        </w:trPr>
        <w:tc>
          <w:tcPr>
            <w:tcW w:w="893" w:type="dxa"/>
            <w:vAlign w:val="center"/>
          </w:tcPr>
          <w:p w14:paraId="0B8052D6" w14:textId="77777777" w:rsidR="00BE5A58" w:rsidRPr="00BE5A58" w:rsidRDefault="00BE5A58" w:rsidP="00BE5A58">
            <w:pPr>
              <w:spacing w:after="0" w:line="240" w:lineRule="auto"/>
              <w:jc w:val="both"/>
              <w:rPr>
                <w:rFonts w:ascii="Verdana" w:eastAsia="Verdana" w:hAnsi="Verdana" w:cs="Verdana"/>
                <w:sz w:val="14"/>
                <w:szCs w:val="14"/>
                <w:lang w:val="es-ES" w:eastAsia="es-CO"/>
              </w:rPr>
            </w:pPr>
            <w:r w:rsidRPr="00BE5A58">
              <w:rPr>
                <w:rFonts w:ascii="Verdana" w:eastAsia="Verdana" w:hAnsi="Verdana" w:cs="Verdana"/>
                <w:sz w:val="16"/>
                <w:szCs w:val="16"/>
                <w:lang w:val="es-ES" w:eastAsia="es-CO"/>
              </w:rPr>
              <w:t>Revisó:</w:t>
            </w:r>
          </w:p>
        </w:tc>
        <w:tc>
          <w:tcPr>
            <w:tcW w:w="4777" w:type="dxa"/>
            <w:tcBorders>
              <w:top w:val="dotted" w:sz="4" w:space="0" w:color="7F7F7F"/>
              <w:left w:val="nil"/>
              <w:bottom w:val="dotted" w:sz="4" w:space="0" w:color="7F7F7F"/>
              <w:right w:val="nil"/>
            </w:tcBorders>
            <w:vAlign w:val="center"/>
          </w:tcPr>
          <w:p w14:paraId="54F68002" w14:textId="77777777" w:rsidR="00BE5A58" w:rsidRPr="00BE5A58" w:rsidRDefault="00BE5A58" w:rsidP="00BE5A58">
            <w:pPr>
              <w:spacing w:after="0" w:line="240" w:lineRule="auto"/>
              <w:jc w:val="both"/>
              <w:rPr>
                <w:rFonts w:ascii="Verdana" w:eastAsia="Verdana" w:hAnsi="Verdana" w:cs="Verdana"/>
                <w:sz w:val="16"/>
                <w:szCs w:val="16"/>
                <w:lang w:val="es-ES" w:eastAsia="es-CO"/>
              </w:rPr>
            </w:pPr>
            <w:r w:rsidRPr="00BE5A58">
              <w:rPr>
                <w:rFonts w:ascii="Verdana" w:eastAsia="Verdana" w:hAnsi="Verdana" w:cs="Verdana"/>
                <w:sz w:val="16"/>
                <w:szCs w:val="16"/>
                <w:lang w:val="es-ES" w:eastAsia="es-CO"/>
              </w:rPr>
              <w:t>Juan Carlos González Vásquez</w:t>
            </w:r>
          </w:p>
          <w:p w14:paraId="0F99A346" w14:textId="77777777" w:rsidR="00BE5A58" w:rsidRPr="00BE5A58" w:rsidRDefault="00BE5A58" w:rsidP="00BE5A58">
            <w:pPr>
              <w:spacing w:after="0" w:line="240" w:lineRule="auto"/>
              <w:jc w:val="both"/>
              <w:rPr>
                <w:rFonts w:ascii="Verdana" w:eastAsia="Verdana" w:hAnsi="Verdana" w:cs="Verdana"/>
                <w:sz w:val="14"/>
                <w:szCs w:val="14"/>
                <w:lang w:val="es-ES" w:eastAsia="es-CO"/>
              </w:rPr>
            </w:pPr>
            <w:r w:rsidRPr="00BE5A58">
              <w:rPr>
                <w:rFonts w:ascii="Verdana" w:eastAsia="Verdana" w:hAnsi="Verdana" w:cs="Verdana"/>
                <w:sz w:val="16"/>
                <w:szCs w:val="16"/>
                <w:lang w:val="es-ES" w:eastAsia="es-CO"/>
              </w:rPr>
              <w:t>Contratista de la Subdirección de Gestión Contractual</w:t>
            </w:r>
          </w:p>
        </w:tc>
      </w:tr>
      <w:tr w:rsidR="00BE5A58" w:rsidRPr="00BE5A58" w14:paraId="3AE8255C" w14:textId="77777777" w:rsidTr="0019513C">
        <w:trPr>
          <w:trHeight w:val="272"/>
        </w:trPr>
        <w:tc>
          <w:tcPr>
            <w:tcW w:w="893" w:type="dxa"/>
            <w:vAlign w:val="center"/>
          </w:tcPr>
          <w:p w14:paraId="2C862E89" w14:textId="77777777" w:rsidR="00BE5A58" w:rsidRPr="00BE5A58" w:rsidRDefault="00BE5A58" w:rsidP="00BE5A58">
            <w:pPr>
              <w:spacing w:after="0" w:line="240" w:lineRule="auto"/>
              <w:jc w:val="both"/>
              <w:rPr>
                <w:rFonts w:ascii="Verdana" w:eastAsia="Verdana" w:hAnsi="Verdana" w:cs="Verdana"/>
                <w:sz w:val="14"/>
                <w:szCs w:val="14"/>
                <w:lang w:val="es-ES" w:eastAsia="es-CO"/>
              </w:rPr>
            </w:pPr>
            <w:r w:rsidRPr="00BE5A58">
              <w:rPr>
                <w:rFonts w:ascii="Verdana" w:eastAsia="Verdana" w:hAnsi="Verdana" w:cs="Verdana"/>
                <w:sz w:val="16"/>
                <w:szCs w:val="16"/>
                <w:lang w:val="es-ES" w:eastAsia="es-CO"/>
              </w:rPr>
              <w:t>Aprobó:</w:t>
            </w:r>
          </w:p>
        </w:tc>
        <w:tc>
          <w:tcPr>
            <w:tcW w:w="4777" w:type="dxa"/>
            <w:tcBorders>
              <w:top w:val="dotted" w:sz="4" w:space="0" w:color="7F7F7F"/>
              <w:left w:val="nil"/>
              <w:bottom w:val="dotted" w:sz="4" w:space="0" w:color="7F7F7F"/>
              <w:right w:val="nil"/>
            </w:tcBorders>
            <w:vAlign w:val="center"/>
          </w:tcPr>
          <w:p w14:paraId="32B3FB83" w14:textId="77777777" w:rsidR="00BE5A58" w:rsidRPr="00BE5A58" w:rsidRDefault="00BE5A58" w:rsidP="00BE5A58">
            <w:pPr>
              <w:spacing w:after="0" w:line="240" w:lineRule="auto"/>
              <w:jc w:val="both"/>
              <w:rPr>
                <w:rFonts w:ascii="Verdana" w:eastAsia="Verdana" w:hAnsi="Verdana" w:cs="Verdana"/>
                <w:sz w:val="16"/>
                <w:szCs w:val="16"/>
                <w:lang w:val="es-ES" w:eastAsia="es-CO"/>
              </w:rPr>
            </w:pPr>
            <w:r w:rsidRPr="00BE5A58">
              <w:rPr>
                <w:rFonts w:ascii="Verdana" w:eastAsia="Verdana" w:hAnsi="Verdana" w:cs="Verdana"/>
                <w:sz w:val="16"/>
                <w:szCs w:val="16"/>
                <w:lang w:val="es-ES" w:eastAsia="es-CO"/>
              </w:rPr>
              <w:t>Carolina Quintero Gacharná</w:t>
            </w:r>
          </w:p>
          <w:p w14:paraId="3DC49DD7" w14:textId="77777777" w:rsidR="00BE5A58" w:rsidRPr="00BE5A58" w:rsidRDefault="00BE5A58" w:rsidP="00BE5A58">
            <w:pPr>
              <w:spacing w:after="0" w:line="240" w:lineRule="auto"/>
              <w:jc w:val="both"/>
              <w:rPr>
                <w:rFonts w:ascii="Verdana" w:eastAsia="Verdana" w:hAnsi="Verdana" w:cs="Verdana"/>
                <w:sz w:val="14"/>
                <w:szCs w:val="14"/>
                <w:lang w:val="es-ES" w:eastAsia="es-CO"/>
              </w:rPr>
            </w:pPr>
            <w:r w:rsidRPr="00BE5A58">
              <w:rPr>
                <w:rFonts w:ascii="Verdana" w:eastAsia="Verdana" w:hAnsi="Verdana" w:cs="Verdana"/>
                <w:sz w:val="16"/>
                <w:szCs w:val="16"/>
                <w:lang w:val="es-ES" w:eastAsia="es-CO"/>
              </w:rPr>
              <w:t>Subdirectora de Gestión Contractual ANCP – CCE</w:t>
            </w:r>
          </w:p>
        </w:tc>
      </w:tr>
      <w:tr w:rsidR="00BE5A58" w:rsidRPr="00BE5A58" w14:paraId="29A85E83" w14:textId="77777777" w:rsidTr="0019513C">
        <w:trPr>
          <w:trHeight w:val="272"/>
        </w:trPr>
        <w:tc>
          <w:tcPr>
            <w:tcW w:w="893" w:type="dxa"/>
            <w:vAlign w:val="center"/>
          </w:tcPr>
          <w:p w14:paraId="76EE159B" w14:textId="77777777" w:rsidR="00BE5A58" w:rsidRPr="00BE5A58" w:rsidRDefault="00BE5A58" w:rsidP="00BE5A58">
            <w:pPr>
              <w:spacing w:after="0" w:line="240" w:lineRule="auto"/>
              <w:jc w:val="both"/>
              <w:rPr>
                <w:rFonts w:ascii="Verdana" w:eastAsia="Verdana" w:hAnsi="Verdana" w:cs="Verdana"/>
                <w:sz w:val="16"/>
                <w:szCs w:val="16"/>
                <w:lang w:val="es-ES" w:eastAsia="es-CO"/>
              </w:rPr>
            </w:pPr>
            <w:r w:rsidRPr="00BE5A58">
              <w:rPr>
                <w:rFonts w:ascii="Verdana" w:eastAsia="Verdana" w:hAnsi="Verdana" w:cs="Verdana"/>
                <w:sz w:val="16"/>
                <w:szCs w:val="16"/>
                <w:lang w:val="es-ES" w:eastAsia="es-CO"/>
              </w:rPr>
              <w:t xml:space="preserve">Anexos: </w:t>
            </w:r>
          </w:p>
        </w:tc>
        <w:tc>
          <w:tcPr>
            <w:tcW w:w="4777" w:type="dxa"/>
            <w:tcBorders>
              <w:top w:val="dotted" w:sz="4" w:space="0" w:color="7F7F7F"/>
              <w:left w:val="nil"/>
              <w:bottom w:val="dotted" w:sz="4" w:space="0" w:color="7F7F7F"/>
              <w:right w:val="nil"/>
            </w:tcBorders>
            <w:vAlign w:val="center"/>
          </w:tcPr>
          <w:p w14:paraId="26BFDDB0" w14:textId="77777777" w:rsidR="00BE5A58" w:rsidRPr="00BE5A58" w:rsidRDefault="00BE5A58" w:rsidP="00BE5A58">
            <w:pPr>
              <w:spacing w:after="0" w:line="240" w:lineRule="auto"/>
              <w:jc w:val="both"/>
              <w:rPr>
                <w:rFonts w:ascii="Verdana" w:eastAsia="Verdana" w:hAnsi="Verdana" w:cs="Verdana"/>
                <w:sz w:val="16"/>
                <w:szCs w:val="16"/>
                <w:lang w:val="es-ES" w:eastAsia="es-CO"/>
              </w:rPr>
            </w:pPr>
            <w:r w:rsidRPr="00BE5A58">
              <w:rPr>
                <w:rFonts w:ascii="Verdana" w:eastAsia="Verdana" w:hAnsi="Verdana" w:cs="Verdana"/>
                <w:sz w:val="16"/>
                <w:szCs w:val="16"/>
                <w:lang w:val="es-ES" w:eastAsia="es-CO"/>
              </w:rPr>
              <w:t>N/A</w:t>
            </w:r>
          </w:p>
        </w:tc>
      </w:tr>
    </w:tbl>
    <w:p w14:paraId="3B3E9C8F" w14:textId="77777777" w:rsidR="00BE5A58" w:rsidRPr="00BE5A58" w:rsidRDefault="00BE5A58" w:rsidP="00BE5A58">
      <w:pPr>
        <w:spacing w:after="0" w:line="276" w:lineRule="auto"/>
        <w:jc w:val="both"/>
        <w:rPr>
          <w:rFonts w:ascii="Verdana" w:eastAsia="Verdana" w:hAnsi="Verdana" w:cs="Verdana"/>
          <w:lang w:val="es-ES" w:eastAsia="es-CO"/>
        </w:rPr>
      </w:pPr>
    </w:p>
    <w:p w14:paraId="6C08F309" w14:textId="77777777" w:rsidR="00BE5A58" w:rsidRPr="00BE5A58" w:rsidRDefault="00BE5A58" w:rsidP="00BE5A58">
      <w:pPr>
        <w:spacing w:after="0" w:line="240" w:lineRule="auto"/>
        <w:rPr>
          <w:rFonts w:ascii="Verdana" w:eastAsia="Verdana" w:hAnsi="Verdana" w:cs="Verdana"/>
          <w:sz w:val="24"/>
          <w:szCs w:val="24"/>
          <w:lang w:val="es-ES" w:eastAsia="es-CO"/>
        </w:rPr>
      </w:pPr>
    </w:p>
    <w:p w14:paraId="2E609F59" w14:textId="77777777" w:rsidR="00BE5A58" w:rsidRPr="00BE5A58" w:rsidRDefault="00BE5A58" w:rsidP="00BE5A58">
      <w:pPr>
        <w:rPr>
          <w:rFonts w:ascii="Verdana" w:eastAsia="Verdana" w:hAnsi="Verdana" w:cs="Verdana"/>
          <w:lang w:val="es-ES" w:eastAsia="es-CO"/>
        </w:rPr>
      </w:pPr>
    </w:p>
    <w:p w14:paraId="4BCDF592" w14:textId="77777777" w:rsidR="00BE5A58" w:rsidRPr="00BE5A58" w:rsidRDefault="00BE5A58" w:rsidP="00BE5A58">
      <w:pPr>
        <w:spacing w:after="0"/>
        <w:rPr>
          <w:rFonts w:ascii="Verdana" w:eastAsia="Verdana" w:hAnsi="Verdana" w:cs="Verdana"/>
          <w:lang w:val="es-ES" w:eastAsia="es-CO"/>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1DA84" w14:textId="77777777" w:rsidR="00093E52" w:rsidRDefault="00093E52" w:rsidP="004A1847">
      <w:pPr>
        <w:spacing w:after="0" w:line="240" w:lineRule="auto"/>
      </w:pPr>
      <w:r>
        <w:separator/>
      </w:r>
    </w:p>
  </w:endnote>
  <w:endnote w:type="continuationSeparator" w:id="0">
    <w:p w14:paraId="1F564E62" w14:textId="77777777" w:rsidR="00093E52" w:rsidRDefault="00093E52" w:rsidP="004A1847">
      <w:pPr>
        <w:spacing w:after="0" w:line="240" w:lineRule="auto"/>
      </w:pPr>
      <w:r>
        <w:continuationSeparator/>
      </w:r>
    </w:p>
  </w:endnote>
  <w:endnote w:type="continuationNotice" w:id="1">
    <w:p w14:paraId="0B050F4F" w14:textId="77777777" w:rsidR="00093E52" w:rsidRDefault="00093E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auto"/>
    <w:pitch w:val="default"/>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CA331" w14:textId="77777777" w:rsidR="00093E52" w:rsidRDefault="00093E52" w:rsidP="004A1847">
      <w:pPr>
        <w:spacing w:after="0" w:line="240" w:lineRule="auto"/>
      </w:pPr>
      <w:r>
        <w:separator/>
      </w:r>
    </w:p>
  </w:footnote>
  <w:footnote w:type="continuationSeparator" w:id="0">
    <w:p w14:paraId="58E9CDC8" w14:textId="77777777" w:rsidR="00093E52" w:rsidRDefault="00093E52" w:rsidP="004A1847">
      <w:pPr>
        <w:spacing w:after="0" w:line="240" w:lineRule="auto"/>
      </w:pPr>
      <w:r>
        <w:continuationSeparator/>
      </w:r>
    </w:p>
  </w:footnote>
  <w:footnote w:type="continuationNotice" w:id="1">
    <w:p w14:paraId="372C11A0" w14:textId="77777777" w:rsidR="00093E52" w:rsidRDefault="00093E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C33B1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63826521" o:spid="_x0000_i1025" type="#_x0000_t75" style="width:11.4pt;height:11.4pt;visibility:visible;mso-wrap-style:square">
            <v:imagedata r:id="rId1" o:title=""/>
          </v:shape>
        </w:pict>
      </mc:Choice>
      <mc:Fallback>
        <w:drawing>
          <wp:inline distT="0" distB="0" distL="0" distR="0" wp14:anchorId="5482C804" wp14:editId="38401B98">
            <wp:extent cx="144780" cy="144780"/>
            <wp:effectExtent l="0" t="0" r="0" b="0"/>
            <wp:docPr id="1663826521" name="Imagen 166382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9D3712B"/>
    <w:multiLevelType w:val="multilevel"/>
    <w:tmpl w:val="A14EA162"/>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3" w15:restartNumberingAfterBreak="0">
    <w:nsid w:val="23BA5459"/>
    <w:multiLevelType w:val="multilevel"/>
    <w:tmpl w:val="3CDAF3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0"/>
  </w:num>
  <w:num w:numId="13" w16cid:durableId="1512908409">
    <w:abstractNumId w:val="4"/>
  </w:num>
  <w:num w:numId="14" w16cid:durableId="895897244">
    <w:abstractNumId w:val="14"/>
  </w:num>
  <w:num w:numId="15" w16cid:durableId="390349800">
    <w:abstractNumId w:val="10"/>
  </w:num>
  <w:num w:numId="16" w16cid:durableId="18556559">
    <w:abstractNumId w:val="2"/>
  </w:num>
  <w:num w:numId="17" w16cid:durableId="1008365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3E52"/>
    <w:rsid w:val="000A683E"/>
    <w:rsid w:val="000B19B9"/>
    <w:rsid w:val="000D0334"/>
    <w:rsid w:val="000F6486"/>
    <w:rsid w:val="00125105"/>
    <w:rsid w:val="00127233"/>
    <w:rsid w:val="001511A0"/>
    <w:rsid w:val="001E4177"/>
    <w:rsid w:val="001F7DC6"/>
    <w:rsid w:val="002421BB"/>
    <w:rsid w:val="0025796E"/>
    <w:rsid w:val="002707A2"/>
    <w:rsid w:val="00273656"/>
    <w:rsid w:val="002951A0"/>
    <w:rsid w:val="002962BC"/>
    <w:rsid w:val="002A093D"/>
    <w:rsid w:val="002A0DD0"/>
    <w:rsid w:val="002A49AC"/>
    <w:rsid w:val="002A64FD"/>
    <w:rsid w:val="002C7A84"/>
    <w:rsid w:val="002E4FD9"/>
    <w:rsid w:val="00322A85"/>
    <w:rsid w:val="00324168"/>
    <w:rsid w:val="00342733"/>
    <w:rsid w:val="003448F4"/>
    <w:rsid w:val="00374F5E"/>
    <w:rsid w:val="00377E3E"/>
    <w:rsid w:val="003A779E"/>
    <w:rsid w:val="003D0F4D"/>
    <w:rsid w:val="003D5B0D"/>
    <w:rsid w:val="003E0499"/>
    <w:rsid w:val="003F3941"/>
    <w:rsid w:val="00406575"/>
    <w:rsid w:val="004149A6"/>
    <w:rsid w:val="00414C74"/>
    <w:rsid w:val="0042722E"/>
    <w:rsid w:val="0044528D"/>
    <w:rsid w:val="004A1847"/>
    <w:rsid w:val="004A305D"/>
    <w:rsid w:val="004F21C4"/>
    <w:rsid w:val="004F685F"/>
    <w:rsid w:val="005566E8"/>
    <w:rsid w:val="00574867"/>
    <w:rsid w:val="00591460"/>
    <w:rsid w:val="005A5936"/>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4713D"/>
    <w:rsid w:val="0095685E"/>
    <w:rsid w:val="00961B09"/>
    <w:rsid w:val="00965334"/>
    <w:rsid w:val="0097093E"/>
    <w:rsid w:val="00986AC5"/>
    <w:rsid w:val="009A0DFA"/>
    <w:rsid w:val="009B2D26"/>
    <w:rsid w:val="009C71FA"/>
    <w:rsid w:val="009C72E7"/>
    <w:rsid w:val="009D3058"/>
    <w:rsid w:val="009F3A13"/>
    <w:rsid w:val="009F6B73"/>
    <w:rsid w:val="00A122D3"/>
    <w:rsid w:val="00A17F13"/>
    <w:rsid w:val="00A20739"/>
    <w:rsid w:val="00A24D44"/>
    <w:rsid w:val="00A33C78"/>
    <w:rsid w:val="00AB0ADB"/>
    <w:rsid w:val="00B01B1A"/>
    <w:rsid w:val="00B66319"/>
    <w:rsid w:val="00B72CD3"/>
    <w:rsid w:val="00B72FFF"/>
    <w:rsid w:val="00BC3D36"/>
    <w:rsid w:val="00BD7F72"/>
    <w:rsid w:val="00BE0F69"/>
    <w:rsid w:val="00BE5A58"/>
    <w:rsid w:val="00C04FB3"/>
    <w:rsid w:val="00C330EB"/>
    <w:rsid w:val="00C41061"/>
    <w:rsid w:val="00C714A2"/>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5551A"/>
    <w:rsid w:val="00E75C92"/>
    <w:rsid w:val="00E771DC"/>
    <w:rsid w:val="00E8772A"/>
    <w:rsid w:val="00E90F6B"/>
    <w:rsid w:val="00E9139E"/>
    <w:rsid w:val="00E92C27"/>
    <w:rsid w:val="00EA0E3D"/>
    <w:rsid w:val="00EC38A7"/>
    <w:rsid w:val="00ED7384"/>
    <w:rsid w:val="00EE1AA8"/>
    <w:rsid w:val="00F31EDC"/>
    <w:rsid w:val="00F462B3"/>
    <w:rsid w:val="00F5664F"/>
    <w:rsid w:val="00F666C4"/>
    <w:rsid w:val="00F76AFC"/>
    <w:rsid w:val="00FA47C0"/>
    <w:rsid w:val="00FB5DD1"/>
    <w:rsid w:val="00FC2B5D"/>
    <w:rsid w:val="00FF1449"/>
    <w:rsid w:val="00FF4D09"/>
    <w:rsid w:val="06D47683"/>
    <w:rsid w:val="166B98EF"/>
    <w:rsid w:val="17624E6B"/>
    <w:rsid w:val="17D86A78"/>
    <w:rsid w:val="1DE4D381"/>
    <w:rsid w:val="212FF260"/>
    <w:rsid w:val="275EC1A5"/>
    <w:rsid w:val="2AA733A4"/>
    <w:rsid w:val="2DC3DF41"/>
    <w:rsid w:val="326EEA2C"/>
    <w:rsid w:val="353A87D4"/>
    <w:rsid w:val="373BD206"/>
    <w:rsid w:val="3C1FA58D"/>
    <w:rsid w:val="3D9E5606"/>
    <w:rsid w:val="431D0543"/>
    <w:rsid w:val="4917115C"/>
    <w:rsid w:val="559B34F5"/>
    <w:rsid w:val="5685CFC9"/>
    <w:rsid w:val="60018B30"/>
    <w:rsid w:val="6C208E43"/>
    <w:rsid w:val="79D7B618"/>
    <w:rsid w:val="7E1E5D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ombiacompra.gov.co/manuales-guias-y-pliegos-tipo/manuales-y-guias"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77653"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ane.gov.co/files/sen/nomenclatura/ciiu/CIIU_Rev_4_AC2022.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389B05FF-B73E-4F9F-8245-0DB64445FE86}"/>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4264</Words>
  <Characters>23457</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6</cp:revision>
  <cp:lastPrinted>2023-01-10T21:18:00Z</cp:lastPrinted>
  <dcterms:created xsi:type="dcterms:W3CDTF">2025-04-21T16:05:00Z</dcterms:created>
  <dcterms:modified xsi:type="dcterms:W3CDTF">2025-04-29T20:11:00Z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