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0BF29C" w14:textId="77777777" w:rsidR="00D14685" w:rsidRPr="000C6F0D" w:rsidRDefault="00D14685" w:rsidP="000C6F0D">
      <w:pPr>
        <w:spacing w:line="240" w:lineRule="auto"/>
        <w:jc w:val="both"/>
        <w:rPr>
          <w:rFonts w:ascii="Century Gothic" w:hAnsi="Century Gothic" w:cs="Arial"/>
          <w:b/>
          <w:color w:val="000000" w:themeColor="text1"/>
          <w:sz w:val="20"/>
          <w:szCs w:val="20"/>
        </w:rPr>
      </w:pPr>
      <w:r w:rsidRPr="000C6F0D">
        <w:rPr>
          <w:rFonts w:ascii="Century Gothic" w:hAnsi="Century Gothic" w:cs="Arial"/>
          <w:b/>
          <w:color w:val="000000" w:themeColor="text1"/>
          <w:sz w:val="20"/>
          <w:szCs w:val="20"/>
        </w:rPr>
        <w:t>REQUISITOS HABILITANTES – Noción</w:t>
      </w:r>
    </w:p>
    <w:p w14:paraId="5520A082" w14:textId="304DF0AC" w:rsidR="00D14685" w:rsidRPr="000C6F0D" w:rsidRDefault="00D14685" w:rsidP="000C6F0D">
      <w:pPr>
        <w:spacing w:line="240" w:lineRule="auto"/>
        <w:jc w:val="both"/>
        <w:rPr>
          <w:rFonts w:ascii="Century Gothic" w:hAnsi="Century Gothic" w:cs="Arial"/>
          <w:b/>
          <w:color w:val="000000" w:themeColor="text1"/>
          <w:sz w:val="20"/>
          <w:szCs w:val="20"/>
        </w:rPr>
      </w:pPr>
      <w:r w:rsidRPr="000C6F0D">
        <w:rPr>
          <w:rFonts w:ascii="Century Gothic" w:hAnsi="Century Gothic"/>
          <w:sz w:val="20"/>
          <w:szCs w:val="20"/>
        </w:rPr>
        <w:t xml:space="preserve">(…) </w:t>
      </w:r>
      <w:r w:rsidRPr="000C6F0D">
        <w:rPr>
          <w:rFonts w:ascii="Century Gothic" w:hAnsi="Century Gothic"/>
          <w:sz w:val="20"/>
          <w:szCs w:val="20"/>
        </w:rPr>
        <w:t>se deduce entonces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5D3572AC" w14:textId="77777777" w:rsidR="00D14685" w:rsidRPr="000C6F0D" w:rsidRDefault="00D14685" w:rsidP="000C6F0D">
      <w:pPr>
        <w:spacing w:line="240" w:lineRule="auto"/>
        <w:jc w:val="both"/>
        <w:rPr>
          <w:rStyle w:val="normaltextrun"/>
          <w:rFonts w:ascii="Century Gothic" w:hAnsi="Century Gothic" w:cs="Arial"/>
          <w:b/>
          <w:sz w:val="20"/>
          <w:szCs w:val="20"/>
          <w:lang w:val="es-ES"/>
        </w:rPr>
      </w:pPr>
      <w:r w:rsidRPr="000C6F0D">
        <w:rPr>
          <w:rFonts w:ascii="Century Gothic" w:hAnsi="Century Gothic" w:cs="Arial"/>
          <w:b/>
          <w:color w:val="000000" w:themeColor="text1"/>
          <w:sz w:val="20"/>
          <w:szCs w:val="20"/>
        </w:rPr>
        <w:t xml:space="preserve"> REQUISITOS HABILITANTES – </w:t>
      </w:r>
      <w:r w:rsidRPr="000C6F0D">
        <w:rPr>
          <w:rStyle w:val="normaltextrun"/>
          <w:rFonts w:ascii="Century Gothic" w:hAnsi="Century Gothic" w:cs="Arial"/>
          <w:b/>
          <w:sz w:val="20"/>
          <w:szCs w:val="20"/>
          <w:lang w:val="es-ES"/>
        </w:rPr>
        <w:t xml:space="preserve">Carácter enunciativo </w:t>
      </w:r>
    </w:p>
    <w:p w14:paraId="306CE382" w14:textId="77777777" w:rsidR="00F45FC1" w:rsidRPr="000C6F0D" w:rsidRDefault="00F45FC1" w:rsidP="000C6F0D">
      <w:pPr>
        <w:spacing w:line="240" w:lineRule="auto"/>
        <w:jc w:val="both"/>
        <w:rPr>
          <w:rFonts w:ascii="Century Gothic" w:hAnsi="Century Gothic"/>
          <w:sz w:val="20"/>
          <w:szCs w:val="20"/>
        </w:rPr>
      </w:pPr>
      <w:r w:rsidRPr="000C6F0D">
        <w:rPr>
          <w:rFonts w:ascii="Century Gothic" w:hAnsi="Century Gothic"/>
          <w:sz w:val="20"/>
          <w:szCs w:val="20"/>
        </w:rPr>
        <w:t>Es necesario indagar si los requisitos habilitantes establecidos en el artículo 5, numeral 1, de la Ley 1150 de 2007, tienen la característica de taxativos, esto es, si son los únicos requisitos habilitantes que puede exigirles una entidad a los proponentes. Esta pregunta tiene, al menos, dos respuestas posibles. Por un lado, que sí lo son, pues la norma no hace referencia a otros diferentes. Por el otro, que no lo son, pues esta no contiene una expresión como “únicamente” o “solo”, al referirse a los requisitos habilitantes y, además, debido a que la lectura integral de las normas que regulan la contratación estatal permite concluir que existen otras condiciones que deben cumplirse para la contratación con una entidad pública, como pasa, por ejemplo, con la capacidad residual a la que se refiere el artículo 6º, parágrafo 1, de la Ley 1150 de 2007. Esta segunda respuesta contiene la interpretación jurídica que comparte la Agencia Nacional de Contratación Pública en la actualidad.</w:t>
      </w:r>
    </w:p>
    <w:p w14:paraId="3106AB0B" w14:textId="77777777" w:rsidR="00F45FC1" w:rsidRPr="000C6F0D" w:rsidRDefault="00F45FC1" w:rsidP="000C6F0D">
      <w:pPr>
        <w:spacing w:line="240" w:lineRule="auto"/>
        <w:jc w:val="both"/>
        <w:rPr>
          <w:rFonts w:ascii="Century Gothic" w:hAnsi="Century Gothic"/>
          <w:sz w:val="20"/>
          <w:szCs w:val="20"/>
        </w:rPr>
      </w:pPr>
      <w:r w:rsidRPr="000C6F0D">
        <w:rPr>
          <w:rFonts w:ascii="Century Gothic" w:hAnsi="Century Gothic"/>
          <w:sz w:val="20"/>
          <w:szCs w:val="20"/>
        </w:rPr>
        <w:t>Existen otros argumentos que sustentan dicha elección interpretativa. Como lo han considerado la Corte Constitucional4 y el Consejo de Estado, en virtud del “principio del efecto útil”, el texto de una norma debe ser interpretado de manera que todo cuanto ella prescribe produzca consecuencias jurídicas. En ese contexto, surge la inquietud en relación con los efectos del parágrafo 2 del mismo artículo 5 de la Ley 1150 de 2007, pues si la intención del legislador era que sólo fueran requisitos habilitantes los cuatro que contiene el numeral 1 de dicha disposición, ¿cómo se explica que el referido parágrafo aclare que “las certificaciones de sistemas de gestión de calidad no serán objeto de calificación, ni podrán establecerse como documento habilitante para participar en licitaciones o concursos”? Si se interpreta que solo son cuatro los requisitos habilitantes, el parágrafo 2 carecería de efectos jurídicos y, por ende, no tendría ninguna consecuencia normativa que en el mismo artículo se aclare que una exigencia no puede ser considera como requisito habilitante.</w:t>
      </w:r>
    </w:p>
    <w:p w14:paraId="170B200B" w14:textId="67DC8B47" w:rsidR="00505BB7" w:rsidRPr="000C6F0D" w:rsidRDefault="00F45FC1" w:rsidP="000C6F0D">
      <w:pPr>
        <w:spacing w:line="240" w:lineRule="auto"/>
        <w:jc w:val="both"/>
        <w:rPr>
          <w:rStyle w:val="normaltextrun"/>
          <w:rFonts w:ascii="Century Gothic" w:hAnsi="Century Gothic" w:cs="Arial"/>
          <w:b/>
          <w:sz w:val="20"/>
          <w:szCs w:val="20"/>
          <w:lang w:val="es-ES"/>
        </w:rPr>
      </w:pPr>
      <w:r w:rsidRPr="000C6F0D">
        <w:rPr>
          <w:rFonts w:ascii="Century Gothic" w:hAnsi="Century Gothic"/>
          <w:sz w:val="20"/>
          <w:szCs w:val="20"/>
        </w:rPr>
        <w:t>La intención del legislador, de la cual dan cuenta los antecedentes legislativos de la norma sub examine, también justifica la interpretación propuesta por esta Agencia, ya que fue hasta el cuarto debate legislativo en donde se incluyó el parágrafo comentado anteriormente</w:t>
      </w:r>
      <w:r w:rsidRPr="000C6F0D">
        <w:rPr>
          <w:rFonts w:ascii="Century Gothic" w:hAnsi="Century Gothic"/>
          <w:sz w:val="20"/>
          <w:szCs w:val="20"/>
        </w:rPr>
        <w:t xml:space="preserve">, </w:t>
      </w:r>
      <w:r w:rsidRPr="000C6F0D">
        <w:rPr>
          <w:rFonts w:ascii="Century Gothic" w:hAnsi="Century Gothic"/>
          <w:sz w:val="20"/>
          <w:szCs w:val="20"/>
        </w:rPr>
        <w:t>, lo que deja ver la necesidad que tenía el Congreso de aclarar que unos documentos no podrían ser tenidos como requisitos habilitantes, lo que da cuenta, a su vez, del reconocimiento tácito de la existencia de otros requisitos habilitantes, distintos a los cuatro que establece el artículo 5, parágrafo 1, de la Ley 1150 de 2007, reglamentados en el artículo 2.2.1.1.1.5.3 del Decreto 1082 de 20157 .</w:t>
      </w:r>
    </w:p>
    <w:p w14:paraId="0DBCF7ED" w14:textId="77777777" w:rsidR="00D14685" w:rsidRPr="000C6F0D" w:rsidRDefault="00D14685" w:rsidP="000C6F0D">
      <w:pPr>
        <w:spacing w:line="240" w:lineRule="auto"/>
        <w:jc w:val="both"/>
        <w:rPr>
          <w:rStyle w:val="normaltextrun"/>
          <w:rFonts w:ascii="Century Gothic" w:hAnsi="Century Gothic" w:cs="Arial"/>
          <w:b/>
          <w:color w:val="000000"/>
          <w:sz w:val="20"/>
          <w:szCs w:val="20"/>
          <w:lang w:val="es-ES"/>
        </w:rPr>
      </w:pPr>
      <w:r w:rsidRPr="000C6F0D">
        <w:rPr>
          <w:rStyle w:val="normaltextrun"/>
          <w:rFonts w:ascii="Century Gothic" w:hAnsi="Century Gothic" w:cs="Arial"/>
          <w:b/>
          <w:color w:val="000000"/>
          <w:sz w:val="20"/>
          <w:szCs w:val="20"/>
          <w:lang w:val="es-ES"/>
        </w:rPr>
        <w:t xml:space="preserve">REQUISITOS HABILITANTES </w:t>
      </w:r>
      <w:r w:rsidRPr="000C6F0D">
        <w:rPr>
          <w:rFonts w:ascii="Century Gothic" w:hAnsi="Century Gothic" w:cs="Arial"/>
          <w:b/>
          <w:color w:val="000000" w:themeColor="text1"/>
          <w:sz w:val="20"/>
          <w:szCs w:val="20"/>
        </w:rPr>
        <w:t xml:space="preserve">– </w:t>
      </w:r>
      <w:r w:rsidRPr="000C6F0D">
        <w:rPr>
          <w:rStyle w:val="normaltextrun"/>
          <w:rFonts w:ascii="Century Gothic" w:hAnsi="Century Gothic" w:cs="Arial"/>
          <w:b/>
          <w:color w:val="000000"/>
          <w:sz w:val="20"/>
          <w:szCs w:val="20"/>
          <w:lang w:val="es-ES"/>
        </w:rPr>
        <w:t>Autonomía de la voluntad de las entidades estatales para establecerlos</w:t>
      </w:r>
    </w:p>
    <w:p w14:paraId="09B0369B" w14:textId="77777777" w:rsidR="00505BB7" w:rsidRPr="000C6F0D" w:rsidRDefault="00505BB7" w:rsidP="000C6F0D">
      <w:pPr>
        <w:spacing w:line="240" w:lineRule="auto"/>
        <w:jc w:val="both"/>
        <w:rPr>
          <w:rFonts w:ascii="Century Gothic" w:hAnsi="Century Gothic"/>
          <w:sz w:val="20"/>
          <w:szCs w:val="20"/>
        </w:rPr>
      </w:pPr>
      <w:r w:rsidRPr="000C6F0D">
        <w:rPr>
          <w:rFonts w:ascii="Century Gothic" w:hAnsi="Century Gothic"/>
          <w:sz w:val="20"/>
          <w:szCs w:val="20"/>
        </w:rPr>
        <w:lastRenderedPageBreak/>
        <w:t>El principio de autonomía de la voluntad, reconocido en los artículos 13, 32 y 40 de la Ley 80 de 1993 para las entidades sometidas a esta, y en el artículo 1602 del Código Civil, para las exceptuadas de aquella, actúa entonces como el fundamento normativo que otorga a las entidades estatales competencia para que puedan solicitar requisitos habilitantes adicionales o diferentes a los establecidos en el numeral 1º del artículo 5 de la Ley 1150 de 2007. En realidad, lo que este numeral establece es una limitación a la discrecionalidad administrativa para la estipulación de los requisitos de participación, bajo la óptica de que, si se incluyen los que aquel prevé, por regla general, no otorgan puntaje; pero tal enunciado no ha de interpretarse en el sentido de que las entidades solo pueden exigir, única y exclusivamente, dichos requisitos habilitantes. Esto en la medida que además de los argumentos que ya se han planteado, esa lectura negaría la autonomía reconocida en el Estatuto General de Contratación de la Administración Pública a los órganos del Estado para confeccionar el pliego de condiciones o los documentos equivalentes y, específicamente, para definir los requisitos que deben reunir los oferentes, según los factores advertidos durante los estudios previos, en armonía con los principios de legalidad y proporcionalidad.</w:t>
      </w:r>
    </w:p>
    <w:p w14:paraId="61DEDB91" w14:textId="482B95D3" w:rsidR="00505BB7" w:rsidRPr="000C6F0D" w:rsidRDefault="00505BB7" w:rsidP="000C6F0D">
      <w:pPr>
        <w:spacing w:line="240" w:lineRule="auto"/>
        <w:jc w:val="both"/>
        <w:rPr>
          <w:rStyle w:val="normaltextrun"/>
          <w:rFonts w:ascii="Century Gothic" w:hAnsi="Century Gothic" w:cs="Arial"/>
          <w:b/>
          <w:color w:val="000000"/>
          <w:sz w:val="20"/>
          <w:szCs w:val="20"/>
          <w:lang w:val="es-ES"/>
        </w:rPr>
      </w:pPr>
      <w:r w:rsidRPr="000C6F0D">
        <w:rPr>
          <w:rFonts w:ascii="Century Gothic" w:hAnsi="Century Gothic"/>
          <w:sz w:val="20"/>
          <w:szCs w:val="20"/>
        </w:rPr>
        <w:t>Considerando la discrecionalidad para establecer requisitos habilitantes, es necesario tener en cuenta que el artículo 44 de la Ley 1437 de 2011 –aplicable en los procedimientos contractuales en virtud del artículo 77 de la Ley 80 de 1993– dispone que “En la medida en que el contenido de una decisión de carácter general o particular sea discrecional, debe ser adecuada a los fines de la norma que la autoriza, y proporcional a</w:t>
      </w:r>
      <w:r w:rsidRPr="000C6F0D">
        <w:rPr>
          <w:rFonts w:ascii="Century Gothic" w:hAnsi="Century Gothic"/>
          <w:sz w:val="20"/>
          <w:szCs w:val="20"/>
        </w:rPr>
        <w:t xml:space="preserve"> </w:t>
      </w:r>
      <w:r w:rsidRPr="000C6F0D">
        <w:rPr>
          <w:rFonts w:ascii="Century Gothic" w:hAnsi="Century Gothic"/>
          <w:sz w:val="20"/>
          <w:szCs w:val="20"/>
        </w:rPr>
        <w:t>los hechos que le sirven de causa”. Dado lo anterior, para efectos de configurar requisitos habilitantes la Entidad Estatal tiene la carga de justificar en los estudios previos y análisis del sector del proceso de selección su procedencia, de conformidad con el artículo 2.2.1.1.1.6.2 del Decreto 1082 de 2015</w:t>
      </w:r>
      <w:r w:rsidRPr="000C6F0D">
        <w:rPr>
          <w:rFonts w:ascii="Century Gothic" w:hAnsi="Century Gothic"/>
          <w:sz w:val="20"/>
          <w:szCs w:val="20"/>
        </w:rPr>
        <w:t>.</w:t>
      </w:r>
    </w:p>
    <w:p w14:paraId="67AC8E28" w14:textId="77777777" w:rsidR="00D14685" w:rsidRPr="000C6F0D" w:rsidRDefault="00D14685" w:rsidP="000C6F0D">
      <w:pPr>
        <w:spacing w:line="240" w:lineRule="auto"/>
        <w:jc w:val="both"/>
        <w:rPr>
          <w:rFonts w:ascii="Century Gothic" w:hAnsi="Century Gothic" w:cs="Arial"/>
          <w:b/>
          <w:color w:val="000000" w:themeColor="text1"/>
          <w:sz w:val="20"/>
          <w:szCs w:val="20"/>
        </w:rPr>
      </w:pPr>
      <w:r w:rsidRPr="000C6F0D">
        <w:rPr>
          <w:rFonts w:ascii="Century Gothic" w:hAnsi="Century Gothic" w:cs="Arial"/>
          <w:b/>
          <w:color w:val="000000" w:themeColor="text1"/>
          <w:sz w:val="20"/>
          <w:szCs w:val="20"/>
        </w:rPr>
        <w:t>SISTEMA DE GESTIÓN DE SEGURIDAD Y SALUD EN EL TRABAJO SG-SST - Contratos Estatales - E</w:t>
      </w:r>
      <w:r w:rsidRPr="000C6F0D">
        <w:rPr>
          <w:rFonts w:ascii="Century Gothic" w:hAnsi="Century Gothic" w:cs="Arial"/>
          <w:b/>
          <w:color w:val="000000" w:themeColor="text1"/>
          <w:sz w:val="20"/>
          <w:szCs w:val="20"/>
          <w:lang w:eastAsia="es-MX"/>
        </w:rPr>
        <w:t>valuación y selección de proveedores y contratistas</w:t>
      </w:r>
      <w:r w:rsidRPr="000C6F0D">
        <w:rPr>
          <w:rFonts w:ascii="Century Gothic" w:hAnsi="Century Gothic" w:cs="Arial"/>
          <w:b/>
          <w:color w:val="000000" w:themeColor="text1"/>
          <w:sz w:val="20"/>
          <w:szCs w:val="20"/>
        </w:rPr>
        <w:t xml:space="preserve"> </w:t>
      </w:r>
    </w:p>
    <w:p w14:paraId="05314B70" w14:textId="6DC17B15" w:rsidR="00F45FC1" w:rsidRPr="000C6F0D" w:rsidRDefault="00F45FC1" w:rsidP="000C6F0D">
      <w:pPr>
        <w:spacing w:line="240" w:lineRule="auto"/>
        <w:jc w:val="both"/>
        <w:rPr>
          <w:rFonts w:ascii="Century Gothic" w:hAnsi="Century Gothic"/>
          <w:sz w:val="20"/>
          <w:szCs w:val="20"/>
        </w:rPr>
      </w:pPr>
      <w:r w:rsidRPr="000C6F0D">
        <w:rPr>
          <w:rFonts w:ascii="Century Gothic" w:hAnsi="Century Gothic"/>
          <w:sz w:val="20"/>
          <w:szCs w:val="20"/>
        </w:rPr>
        <w:t>En ese orden de ideas, el artículo 2.2.4.6.4. del Decreto 1072 de 2015 dispuso que el Sistema de Gestión de Seguridad y Salud en el Trabajo SG-SST debe ser liderado e implementado por el empleador o contratante, con la participación de los trabajadores y/o contratistas. Para ello, el artículo en cita contempló que los empleadores o contratantes, entre los que se encuentran las entidades estatales, deben de garantizar la implementación, mantenimiento y mejora continua del Sistema de Gestión de Seguridad y Salud en el Trabajo SG-SST en sus contratistas. Para ello, el decreto reglamentario adoptó a su vez, en el parágrafo 2° del artículo en cita, que: “Dentro de los parámetros de selección y evaluación de proveedores y contratistas, el contratante podrá incluir criterios que le permitan conocer que la empresa a contratar cuente con el Sistema de Gestión de la Seguridad y Salud en el Trabajo (SG-SST)”.</w:t>
      </w:r>
    </w:p>
    <w:p w14:paraId="2EF8923B" w14:textId="77777777" w:rsidR="000C6F0D" w:rsidRDefault="000C6F0D" w:rsidP="000C6F0D">
      <w:pPr>
        <w:spacing w:line="240" w:lineRule="auto"/>
        <w:jc w:val="both"/>
        <w:rPr>
          <w:rFonts w:ascii="Century Gothic" w:hAnsi="Century Gothic"/>
          <w:sz w:val="20"/>
          <w:szCs w:val="20"/>
        </w:rPr>
      </w:pPr>
      <w:r>
        <w:rPr>
          <w:rFonts w:ascii="Century Gothic" w:hAnsi="Century Gothic"/>
          <w:sz w:val="20"/>
          <w:szCs w:val="20"/>
        </w:rPr>
        <w:t>(…)</w:t>
      </w:r>
    </w:p>
    <w:p w14:paraId="1321CD38" w14:textId="215AAF02" w:rsidR="00F45FC1" w:rsidRPr="000C6F0D" w:rsidRDefault="00F45FC1" w:rsidP="000C6F0D">
      <w:pPr>
        <w:spacing w:line="240" w:lineRule="auto"/>
        <w:jc w:val="both"/>
        <w:rPr>
          <w:rFonts w:ascii="Century Gothic" w:hAnsi="Century Gothic"/>
          <w:sz w:val="20"/>
          <w:szCs w:val="20"/>
        </w:rPr>
      </w:pPr>
      <w:r w:rsidRPr="000C6F0D">
        <w:rPr>
          <w:rFonts w:ascii="Century Gothic" w:hAnsi="Century Gothic"/>
          <w:sz w:val="20"/>
          <w:szCs w:val="20"/>
        </w:rPr>
        <w:t>Con base en dicho marco normativo, el Ministerio del Trabajo expidió la Resolución 312 del 13 de febrero de 2019, mediante la cual se definió los estándares mínimos del Sistema de Gestión de Seguridad y Salud en el Trabajo SG-SST, contemplando, a su vez, en los artículos 14 y 19 los parámetros de selección y evaluación de proveedores y contratistas que pueden los contratantes incluir en sus procesos de selección, lo que incluye</w:t>
      </w:r>
      <w:r w:rsidRPr="000C6F0D">
        <w:rPr>
          <w:rFonts w:ascii="Century Gothic" w:hAnsi="Century Gothic"/>
          <w:sz w:val="20"/>
          <w:szCs w:val="20"/>
        </w:rPr>
        <w:t xml:space="preserve"> </w:t>
      </w:r>
      <w:r w:rsidRPr="000C6F0D">
        <w:rPr>
          <w:rFonts w:ascii="Century Gothic" w:hAnsi="Century Gothic"/>
          <w:sz w:val="20"/>
          <w:szCs w:val="20"/>
        </w:rPr>
        <w:t xml:space="preserve">los Procesos de Contratación Estatal. Lo anterior, a criterio de la Agencia, sería permitido siempre y cuando dichos criterios que le permitan identificar que el proveedor o contratista cumple con los Estándares Mínimos del Sistema de Gestión de Seguridad y Salud en el Trabajo SG-SST, no contraríen lo dispuesto en el parágrafo 2° del artículo 5 de la Ley 1150 de 2007, según el cual, se encuentra proscrita la posibilidad de que las entidades estatales soliciten en sus procesos de selección de contratistas certificaciones de sistemas de gestión de calidad. </w:t>
      </w:r>
    </w:p>
    <w:p w14:paraId="33073137" w14:textId="7F95065B" w:rsidR="00F45FC1" w:rsidRPr="000C6F0D" w:rsidRDefault="00F45FC1" w:rsidP="000C6F0D">
      <w:pPr>
        <w:spacing w:line="240" w:lineRule="auto"/>
        <w:jc w:val="both"/>
        <w:rPr>
          <w:rFonts w:ascii="Century Gothic" w:hAnsi="Century Gothic"/>
          <w:sz w:val="20"/>
          <w:szCs w:val="20"/>
        </w:rPr>
      </w:pPr>
      <w:r w:rsidRPr="000C6F0D">
        <w:rPr>
          <w:rFonts w:ascii="Century Gothic" w:hAnsi="Century Gothic"/>
          <w:sz w:val="20"/>
          <w:szCs w:val="20"/>
        </w:rPr>
        <w:t>Con este panorama, es pertinente indicar que la Agencia no pretende defender o cuestionar la legalidad o validez de los actos administrativos ni las normas que contemplan la posibilidad de que las Entidades Estatales dentro de los parámetros de selección y evaluación de proveedores y contratistas, pueda incluir criterios que le permitan conocer que la empresa a contratar cuente con el Sistema de Gestión de la Seguridad y Salud en el Trabajo (SG-SST), por el contrario, simplemente desarrolla su contenido en este concepto con la finalidad de otorgar información útil al peticionario, relacionada con el contexto que rodea la disposición objeto de análisis.</w:t>
      </w:r>
    </w:p>
    <w:p w14:paraId="7DAA48A0" w14:textId="7F407A9B" w:rsidR="00D14685" w:rsidRPr="000C6F0D" w:rsidRDefault="00D14685" w:rsidP="000C6F0D">
      <w:pPr>
        <w:spacing w:line="240" w:lineRule="auto"/>
        <w:jc w:val="both"/>
        <w:rPr>
          <w:rFonts w:ascii="Century Gothic" w:hAnsi="Century Gothic" w:cs="Arial"/>
          <w:b/>
          <w:color w:val="000000" w:themeColor="text1"/>
          <w:sz w:val="20"/>
          <w:szCs w:val="20"/>
        </w:rPr>
      </w:pPr>
      <w:r w:rsidRPr="000C6F0D">
        <w:rPr>
          <w:rFonts w:ascii="Century Gothic" w:hAnsi="Century Gothic" w:cs="Arial"/>
          <w:b/>
          <w:color w:val="000000" w:themeColor="text1"/>
          <w:sz w:val="20"/>
          <w:szCs w:val="20"/>
        </w:rPr>
        <w:t>SUPERVISIÓN ― Estándares Mínimos del Sistema de Gestión de Seguridad y Salud en el Trabajo SG-SST</w:t>
      </w:r>
    </w:p>
    <w:p w14:paraId="0EF3445C" w14:textId="77777777" w:rsidR="00F45FC1" w:rsidRPr="000C6F0D" w:rsidRDefault="00F45FC1" w:rsidP="000C6F0D">
      <w:pPr>
        <w:spacing w:line="240" w:lineRule="auto"/>
        <w:jc w:val="both"/>
        <w:rPr>
          <w:rFonts w:ascii="Century Gothic" w:hAnsi="Century Gothic"/>
          <w:sz w:val="20"/>
          <w:szCs w:val="20"/>
        </w:rPr>
      </w:pPr>
      <w:r w:rsidRPr="000C6F0D">
        <w:rPr>
          <w:rFonts w:ascii="Century Gothic" w:hAnsi="Century Gothic"/>
          <w:sz w:val="20"/>
          <w:szCs w:val="20"/>
        </w:rPr>
        <w:t>La anterior no quiere decir que, durante la ejecución del contrato estatal, la entidad no pueda y deba supervisar el cumplimiento de unos estándares mínimos que exige la ley sobre la implementación del Sistema de Gestión de la Seguridad y Salud en el Trabajo SG</w:t>
      </w:r>
      <w:r w:rsidRPr="000C6F0D">
        <w:rPr>
          <w:rFonts w:ascii="Century Gothic" w:hAnsi="Century Gothic"/>
          <w:sz w:val="20"/>
          <w:szCs w:val="20"/>
        </w:rPr>
        <w:t>SST, discriminados en la Resolución 0312 del 13 de febrero de 2019, expedida por el Ministerio del Trabajo. En efecto, los artículos 3, 9, 16 y 20 de esa resolución establecen exigencias mínimas que deberán cumplir las empresas, empleadores y contratantes a los que se refiere el artículo 2 de dicho acto administrativo.</w:t>
      </w:r>
      <w:r w:rsidRPr="000C6F0D">
        <w:rPr>
          <w:rFonts w:ascii="Century Gothic" w:hAnsi="Century Gothic"/>
          <w:sz w:val="20"/>
          <w:szCs w:val="20"/>
        </w:rPr>
        <w:t xml:space="preserve"> </w:t>
      </w:r>
    </w:p>
    <w:p w14:paraId="0826A7FE" w14:textId="27F79285" w:rsidR="00F45FC1" w:rsidRPr="000C6F0D" w:rsidRDefault="00F45FC1" w:rsidP="000C6F0D">
      <w:pPr>
        <w:spacing w:line="240" w:lineRule="auto"/>
        <w:jc w:val="both"/>
        <w:rPr>
          <w:rFonts w:ascii="Century Gothic" w:hAnsi="Century Gothic"/>
          <w:b/>
          <w:sz w:val="20"/>
          <w:szCs w:val="20"/>
        </w:rPr>
      </w:pPr>
      <w:r w:rsidRPr="000C6F0D">
        <w:rPr>
          <w:rFonts w:ascii="Century Gothic" w:hAnsi="Century Gothic"/>
          <w:sz w:val="20"/>
          <w:szCs w:val="20"/>
        </w:rPr>
        <w:t>Por su parte, el artículo 2.2.4.6.28 del Decreto 1072 de 2015 contempló, en materia de contratación, el deber en cabeza del empleador de adoptar y mantener las disposiciones que garanticen el cumplimiento de las normas de seguridad y salud en el trabajo de su empresa, por parte de los proveedores, trabajadores dependientes, trabajadores cooperados, trabajadores en misión, contratistas y sus trabajadores o subcontratistas,</w:t>
      </w:r>
      <w:r w:rsidRPr="000C6F0D">
        <w:rPr>
          <w:rFonts w:ascii="Century Gothic" w:hAnsi="Century Gothic"/>
          <w:sz w:val="20"/>
          <w:szCs w:val="20"/>
        </w:rPr>
        <w:t xml:space="preserve"> </w:t>
      </w:r>
      <w:r w:rsidRPr="000C6F0D">
        <w:rPr>
          <w:rFonts w:ascii="Century Gothic" w:hAnsi="Century Gothic"/>
          <w:sz w:val="20"/>
          <w:szCs w:val="20"/>
        </w:rPr>
        <w:t>durante el desempeño de las actividades del objeto del contrato, es decir, durante la supervisión del contrato que se pasa a exponer: “(…); 2. Procurar canales de comunicación para la gestión de seguridad y salud en el trabajo con los proveedores, trabajadores cooperados, trabajadores en misión, contratistas y sus trabajadores o subcontratistas; 3. Verificar antes del inicio del trabajo y periódicamente, el cumplimiento de la obligación de afiliación al Sistema General de Riesgos Laborales, considerando la rotación del personal por parte de los proveedores contratistas y subcontratistas, de conformidad con la normatividad vigente; 4. Informar a los proveedores y contratistas al igual que a los trabajadores de este último, previo al inicio del contrato, los peligros y riesgos generales y específicos de su zona de trabajo incluidas las actividades o tareas de alto riesgo, rutinarias y no rutinarias, así como la forma de controlarlos y las medidas de prevención y atención de emergencias. En este propósito, se debe revisar periódicamente durante cada año, la rotación de pers</w:t>
      </w:r>
      <w:r w:rsidR="000C6F0D">
        <w:rPr>
          <w:rFonts w:ascii="Century Gothic" w:hAnsi="Century Gothic"/>
          <w:sz w:val="20"/>
          <w:szCs w:val="20"/>
        </w:rPr>
        <w:t>0</w:t>
      </w:r>
      <w:r w:rsidRPr="000C6F0D">
        <w:rPr>
          <w:rFonts w:ascii="Century Gothic" w:hAnsi="Century Gothic"/>
          <w:sz w:val="20"/>
          <w:szCs w:val="20"/>
        </w:rPr>
        <w:t xml:space="preserve">nal y asegurar que, dentro del alcance de este numeral, el nuevo personal reciba la misma información; 5. Instruir a los proveedores, trabajadores cooperados, trabajadores en misión, contratistas y sus trabajadores o subcontratistas, sobre el deber de informarle, acerca de los presuntos accidentes de trabajo y enfermedades laborales ocurridos durante el periodo de vigencia del contrato para que el empleador o contratante ejerza las acciones de prevención y control que estén bajo su responsabilidad; y 6. Verificar periódicamente y durante el desarrollo de las actividades objeto del contrato en la empresa, el cumplimiento de la normatividad en seguridad y salud el trabajo por parte de los trabajadores cooperados, trabajadores en misión, proveedores, contratistas y sus trabajadores o subcontratistas.” </w:t>
      </w:r>
    </w:p>
    <w:p w14:paraId="1A070766" w14:textId="0806885F" w:rsidR="00D14685" w:rsidRPr="000C6F0D" w:rsidRDefault="00D14685" w:rsidP="000C6F0D">
      <w:pPr>
        <w:spacing w:line="240" w:lineRule="auto"/>
        <w:jc w:val="both"/>
        <w:rPr>
          <w:rFonts w:ascii="Century Gothic" w:hAnsi="Century Gothic"/>
          <w:sz w:val="20"/>
          <w:szCs w:val="20"/>
        </w:rPr>
      </w:pPr>
      <w:r w:rsidRPr="000C6F0D">
        <w:rPr>
          <w:rFonts w:ascii="Century Gothic" w:hAnsi="Century Gothic"/>
          <w:sz w:val="20"/>
          <w:szCs w:val="20"/>
        </w:rPr>
        <w:br w:type="page"/>
      </w:r>
    </w:p>
    <w:p w14:paraId="361071C0" w14:textId="6C231C71" w:rsidR="00BD7797" w:rsidRPr="006430EB" w:rsidRDefault="00D14685" w:rsidP="00BD7797">
      <w:pPr>
        <w:rPr>
          <w:rFonts w:ascii="Century Gothic" w:hAnsi="Century Gothic"/>
        </w:rPr>
      </w:pPr>
      <w:r w:rsidRPr="00D14685">
        <w:rPr>
          <w:rFonts w:ascii="Century Gothic" w:hAnsi="Century Gothic" w:cs="Arial"/>
        </w:rPr>
        <w:drawing>
          <wp:anchor distT="0" distB="0" distL="114300" distR="114300" simplePos="0" relativeHeight="251658240" behindDoc="1" locked="0" layoutInCell="1" allowOverlap="1" wp14:anchorId="7BE13689" wp14:editId="32F91F05">
            <wp:simplePos x="0" y="0"/>
            <wp:positionH relativeFrom="column">
              <wp:posOffset>3421331</wp:posOffset>
            </wp:positionH>
            <wp:positionV relativeFrom="paragraph">
              <wp:posOffset>188546</wp:posOffset>
            </wp:positionV>
            <wp:extent cx="2514600" cy="749300"/>
            <wp:effectExtent l="0" t="0" r="0" b="0"/>
            <wp:wrapNone/>
            <wp:docPr id="12332129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212935" name=""/>
                    <pic:cNvPicPr/>
                  </pic:nvPicPr>
                  <pic:blipFill>
                    <a:blip r:embed="rId10">
                      <a:extLst>
                        <a:ext uri="{28A0092B-C50C-407E-A947-70E740481C1C}">
                          <a14:useLocalDpi xmlns:a14="http://schemas.microsoft.com/office/drawing/2010/main" val="0"/>
                        </a:ext>
                      </a:extLst>
                    </a:blip>
                    <a:stretch>
                      <a:fillRect/>
                    </a:stretch>
                  </pic:blipFill>
                  <pic:spPr>
                    <a:xfrm>
                      <a:off x="0" y="0"/>
                      <a:ext cx="2514600" cy="749300"/>
                    </a:xfrm>
                    <a:prstGeom prst="rect">
                      <a:avLst/>
                    </a:prstGeom>
                  </pic:spPr>
                </pic:pic>
              </a:graphicData>
            </a:graphic>
          </wp:anchor>
        </w:drawing>
      </w:r>
      <w:r w:rsidR="00BD7797" w:rsidRPr="006430EB">
        <w:rPr>
          <w:rFonts w:ascii="Century Gothic" w:hAnsi="Century Gothic"/>
        </w:rPr>
        <w:t xml:space="preserve">Bogotá D.C., </w:t>
      </w:r>
      <w:r>
        <w:rPr>
          <w:rFonts w:ascii="Century Gothic" w:hAnsi="Century Gothic"/>
        </w:rPr>
        <w:t>18 de septiembre de 2023</w:t>
      </w:r>
    </w:p>
    <w:p w14:paraId="2FE8B608" w14:textId="31C34BDF" w:rsidR="00BD7797" w:rsidRPr="006430EB" w:rsidRDefault="00D14685" w:rsidP="00D14685">
      <w:pPr>
        <w:tabs>
          <w:tab w:val="left" w:pos="2802"/>
        </w:tabs>
        <w:jc w:val="both"/>
        <w:rPr>
          <w:rFonts w:ascii="Century Gothic" w:hAnsi="Century Gothic" w:cs="Arial"/>
        </w:rPr>
      </w:pPr>
      <w:r>
        <w:rPr>
          <w:rFonts w:ascii="Century Gothic" w:hAnsi="Century Gothic" w:cs="Arial"/>
        </w:rPr>
        <w:tab/>
      </w:r>
    </w:p>
    <w:p w14:paraId="0D9C1E3C" w14:textId="77777777" w:rsidR="00BD7797" w:rsidRPr="006430EB" w:rsidRDefault="00BD7797" w:rsidP="00BD7797">
      <w:pPr>
        <w:jc w:val="both"/>
        <w:rPr>
          <w:rFonts w:ascii="Century Gothic" w:hAnsi="Century Gothic" w:cs="Arial"/>
        </w:rPr>
      </w:pPr>
    </w:p>
    <w:p w14:paraId="3940A8A8" w14:textId="77777777" w:rsidR="00BD7797" w:rsidRPr="006430EB" w:rsidRDefault="00BD7797" w:rsidP="00BD7797">
      <w:pPr>
        <w:spacing w:after="0"/>
        <w:jc w:val="both"/>
        <w:rPr>
          <w:rFonts w:ascii="Century Gothic" w:hAnsi="Century Gothic" w:cs="Arial"/>
          <w:lang w:val="es-MX"/>
        </w:rPr>
      </w:pPr>
      <w:r w:rsidRPr="006430EB">
        <w:rPr>
          <w:rFonts w:ascii="Century Gothic" w:hAnsi="Century Gothic" w:cs="Arial"/>
          <w:lang w:val="es-MX"/>
        </w:rPr>
        <w:t xml:space="preserve">Señor </w:t>
      </w:r>
    </w:p>
    <w:p w14:paraId="00930C1A" w14:textId="77777777" w:rsidR="00BD7797" w:rsidRPr="006430EB" w:rsidRDefault="00BD7797" w:rsidP="00BD7797">
      <w:pPr>
        <w:spacing w:after="0"/>
        <w:rPr>
          <w:rFonts w:ascii="Century Gothic" w:hAnsi="Century Gothic" w:cs="Arial"/>
          <w:bCs/>
        </w:rPr>
      </w:pPr>
      <w:r w:rsidRPr="006430EB">
        <w:rPr>
          <w:rFonts w:ascii="Century Gothic" w:hAnsi="Century Gothic" w:cs="Arial"/>
          <w:bCs/>
        </w:rPr>
        <w:t>Pedro Alejandro Ariza Rubiano</w:t>
      </w:r>
    </w:p>
    <w:p w14:paraId="2443F778" w14:textId="77777777" w:rsidR="00BD7797" w:rsidRPr="006430EB" w:rsidRDefault="00BD7797" w:rsidP="00BD7797">
      <w:pPr>
        <w:spacing w:after="0"/>
        <w:rPr>
          <w:rFonts w:ascii="Century Gothic" w:hAnsi="Century Gothic" w:cs="Arial"/>
        </w:rPr>
      </w:pPr>
      <w:r w:rsidRPr="006430EB">
        <w:rPr>
          <w:rFonts w:ascii="Century Gothic" w:hAnsi="Century Gothic" w:cs="Arial"/>
        </w:rPr>
        <w:t>Bucaramanga, Santander</w:t>
      </w:r>
    </w:p>
    <w:p w14:paraId="5E798F02" w14:textId="77777777" w:rsidR="00BD7797" w:rsidRPr="006430EB" w:rsidRDefault="00BD7797" w:rsidP="00BD7797">
      <w:pPr>
        <w:jc w:val="both"/>
        <w:rPr>
          <w:rFonts w:ascii="Century Gothic" w:hAnsi="Century Gothic" w:cs="Arial"/>
        </w:rPr>
      </w:pPr>
    </w:p>
    <w:p w14:paraId="787031F4" w14:textId="77777777" w:rsidR="00BD7797" w:rsidRPr="006430EB" w:rsidRDefault="00BD7797" w:rsidP="00BD7797">
      <w:pPr>
        <w:spacing w:line="276" w:lineRule="auto"/>
        <w:contextualSpacing/>
        <w:jc w:val="both"/>
        <w:rPr>
          <w:rFonts w:ascii="Century Gothic" w:eastAsia="Calibri" w:hAnsi="Century Gothic" w:cs="Arial"/>
          <w:b/>
          <w:color w:val="000000" w:themeColor="text1"/>
        </w:rPr>
      </w:pPr>
      <w:bookmarkStart w:id="0" w:name="_Hlk137525426"/>
      <w:r w:rsidRPr="006430EB">
        <w:rPr>
          <w:rFonts w:ascii="Century Gothic" w:eastAsia="Calibri" w:hAnsi="Century Gothic" w:cs="Arial"/>
          <w:b/>
          <w:color w:val="000000" w:themeColor="text1"/>
        </w:rPr>
        <w:t xml:space="preserve">                                </w:t>
      </w:r>
      <w:r w:rsidRPr="006430EB">
        <w:rPr>
          <w:rFonts w:ascii="Century Gothic" w:eastAsia="Calibri" w:hAnsi="Century Gothic" w:cs="Arial"/>
          <w:b/>
          <w:color w:val="000000" w:themeColor="text1"/>
        </w:rPr>
        <w:tab/>
      </w:r>
      <w:r w:rsidRPr="006430EB">
        <w:rPr>
          <w:rFonts w:ascii="Century Gothic" w:eastAsia="Calibri" w:hAnsi="Century Gothic" w:cs="Arial"/>
          <w:b/>
          <w:color w:val="000000" w:themeColor="text1"/>
        </w:rPr>
        <w:tab/>
        <w:t xml:space="preserve">Concepto C – 317 de 2023 </w:t>
      </w:r>
    </w:p>
    <w:p w14:paraId="0339474B" w14:textId="77777777" w:rsidR="00BD7797" w:rsidRPr="006430EB" w:rsidRDefault="00BD7797" w:rsidP="00BD7797">
      <w:pPr>
        <w:spacing w:line="276" w:lineRule="auto"/>
        <w:contextualSpacing/>
        <w:jc w:val="both"/>
        <w:rPr>
          <w:rFonts w:ascii="Century Gothic" w:eastAsia="Calibri" w:hAnsi="Century Gothic" w:cs="Arial"/>
          <w:b/>
          <w:color w:val="000000" w:themeColor="text1"/>
        </w:rPr>
      </w:pPr>
    </w:p>
    <w:tbl>
      <w:tblPr>
        <w:tblStyle w:val="Tablaconcuadrcula"/>
        <w:tblW w:w="87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5"/>
        <w:gridCol w:w="5949"/>
      </w:tblGrid>
      <w:tr w:rsidR="00BD7797" w:rsidRPr="006430EB" w14:paraId="46A8764E" w14:textId="77777777" w:rsidTr="00CF709A">
        <w:trPr>
          <w:trHeight w:val="822"/>
        </w:trPr>
        <w:tc>
          <w:tcPr>
            <w:tcW w:w="2835" w:type="dxa"/>
          </w:tcPr>
          <w:p w14:paraId="4770C038" w14:textId="77777777" w:rsidR="00BD7797" w:rsidRPr="006430EB" w:rsidRDefault="00BD7797" w:rsidP="00CF709A">
            <w:pPr>
              <w:pStyle w:val="Textoindependiente"/>
              <w:spacing w:line="276" w:lineRule="auto"/>
              <w:contextualSpacing/>
              <w:jc w:val="both"/>
              <w:rPr>
                <w:rFonts w:ascii="Century Gothic" w:eastAsia="Calibri" w:hAnsi="Century Gothic"/>
                <w:b/>
                <w:bCs/>
                <w:sz w:val="22"/>
                <w:szCs w:val="22"/>
                <w:lang w:val="es-CO"/>
              </w:rPr>
            </w:pPr>
            <w:r w:rsidRPr="006430EB">
              <w:rPr>
                <w:rFonts w:ascii="Century Gothic" w:eastAsia="Calibri" w:hAnsi="Century Gothic"/>
                <w:b/>
                <w:color w:val="000000" w:themeColor="text1"/>
                <w:sz w:val="22"/>
                <w:szCs w:val="22"/>
              </w:rPr>
              <w:t>Temas:</w:t>
            </w:r>
          </w:p>
          <w:p w14:paraId="4B8AF21F" w14:textId="77777777" w:rsidR="00BD7797" w:rsidRPr="006430EB" w:rsidRDefault="00BD7797" w:rsidP="00CF709A">
            <w:pPr>
              <w:pStyle w:val="Textoindependiente"/>
              <w:spacing w:line="276" w:lineRule="auto"/>
              <w:contextualSpacing/>
              <w:jc w:val="both"/>
              <w:rPr>
                <w:rFonts w:ascii="Century Gothic" w:eastAsia="Calibri" w:hAnsi="Century Gothic"/>
                <w:b/>
                <w:bCs/>
                <w:sz w:val="22"/>
                <w:szCs w:val="22"/>
                <w:lang w:val="es-CO"/>
              </w:rPr>
            </w:pPr>
          </w:p>
          <w:p w14:paraId="2C776E92" w14:textId="77777777" w:rsidR="00BD7797" w:rsidRPr="006430EB" w:rsidRDefault="00BD7797" w:rsidP="00CF709A">
            <w:pPr>
              <w:spacing w:line="276" w:lineRule="auto"/>
              <w:contextualSpacing/>
              <w:jc w:val="both"/>
              <w:rPr>
                <w:rFonts w:ascii="Century Gothic" w:eastAsia="Calibri" w:hAnsi="Century Gothic" w:cs="Arial"/>
                <w:color w:val="000000" w:themeColor="text1"/>
              </w:rPr>
            </w:pPr>
            <w:r w:rsidRPr="006430EB">
              <w:rPr>
                <w:rFonts w:ascii="Century Gothic" w:eastAsia="Calibri" w:hAnsi="Century Gothic" w:cs="Arial"/>
                <w:color w:val="000000" w:themeColor="text1"/>
              </w:rPr>
              <w:t xml:space="preserve">        </w:t>
            </w:r>
          </w:p>
        </w:tc>
        <w:tc>
          <w:tcPr>
            <w:tcW w:w="5949" w:type="dxa"/>
          </w:tcPr>
          <w:p w14:paraId="7CD9B2AC" w14:textId="77777777" w:rsidR="00BD7797" w:rsidRPr="006430EB" w:rsidRDefault="00BD7797" w:rsidP="00CF709A">
            <w:pPr>
              <w:pStyle w:val="paragraph"/>
              <w:jc w:val="both"/>
              <w:textAlignment w:val="baseline"/>
              <w:rPr>
                <w:rFonts w:ascii="Century Gothic" w:eastAsia="Calibri" w:hAnsi="Century Gothic"/>
                <w:bCs/>
                <w:color w:val="000000" w:themeColor="text1"/>
                <w:sz w:val="22"/>
                <w:szCs w:val="22"/>
              </w:rPr>
            </w:pPr>
            <w:r w:rsidRPr="006430EB">
              <w:rPr>
                <w:rFonts w:ascii="Century Gothic" w:hAnsi="Century Gothic" w:cs="Arial"/>
                <w:bCs/>
                <w:color w:val="000000" w:themeColor="text1"/>
                <w:sz w:val="22"/>
                <w:szCs w:val="22"/>
              </w:rPr>
              <w:t xml:space="preserve">REQUISITOS HABILITANTES – Noción / REQUISITOS HABILITANTES – </w:t>
            </w:r>
            <w:r w:rsidRPr="006430EB">
              <w:rPr>
                <w:rStyle w:val="normaltextrun"/>
                <w:rFonts w:ascii="Century Gothic" w:hAnsi="Century Gothic" w:cs="Arial"/>
                <w:sz w:val="22"/>
                <w:szCs w:val="22"/>
                <w:lang w:val="es-ES"/>
              </w:rPr>
              <w:t xml:space="preserve">Carácter enunciativo </w:t>
            </w:r>
            <w:r w:rsidRPr="006430EB">
              <w:rPr>
                <w:rStyle w:val="normaltextrun"/>
                <w:rFonts w:ascii="Century Gothic" w:hAnsi="Century Gothic" w:cs="Arial"/>
                <w:sz w:val="22"/>
                <w:szCs w:val="22"/>
              </w:rPr>
              <w:t xml:space="preserve">/ </w:t>
            </w:r>
            <w:r w:rsidRPr="006430EB">
              <w:rPr>
                <w:rStyle w:val="normaltextrun"/>
                <w:rFonts w:ascii="Century Gothic" w:hAnsi="Century Gothic" w:cs="Arial"/>
                <w:color w:val="000000"/>
                <w:sz w:val="22"/>
                <w:szCs w:val="22"/>
                <w:lang w:val="es-ES"/>
              </w:rPr>
              <w:t xml:space="preserve">REQUISITOS HABILITANTES </w:t>
            </w:r>
            <w:r w:rsidRPr="006430EB">
              <w:rPr>
                <w:rFonts w:ascii="Century Gothic" w:hAnsi="Century Gothic" w:cs="Arial"/>
                <w:bCs/>
                <w:color w:val="000000" w:themeColor="text1"/>
                <w:sz w:val="22"/>
                <w:szCs w:val="22"/>
              </w:rPr>
              <w:t xml:space="preserve">– </w:t>
            </w:r>
            <w:r w:rsidRPr="006430EB">
              <w:rPr>
                <w:rStyle w:val="normaltextrun"/>
                <w:rFonts w:ascii="Century Gothic" w:hAnsi="Century Gothic" w:cs="Arial"/>
                <w:color w:val="000000"/>
                <w:sz w:val="22"/>
                <w:szCs w:val="22"/>
                <w:lang w:val="es-ES"/>
              </w:rPr>
              <w:t>Autonomía de la voluntad de las entidades estatales para establecerlos</w:t>
            </w:r>
            <w:r w:rsidRPr="006430EB">
              <w:rPr>
                <w:rStyle w:val="normaltextrun"/>
                <w:rFonts w:ascii="Century Gothic" w:hAnsi="Century Gothic" w:cs="Arial"/>
                <w:color w:val="000000"/>
                <w:sz w:val="22"/>
                <w:szCs w:val="22"/>
              </w:rPr>
              <w:t xml:space="preserve"> </w:t>
            </w:r>
            <w:r w:rsidRPr="006430EB">
              <w:rPr>
                <w:rFonts w:ascii="Century Gothic" w:hAnsi="Century Gothic" w:cs="Arial"/>
                <w:color w:val="000000" w:themeColor="text1"/>
                <w:sz w:val="22"/>
                <w:szCs w:val="22"/>
              </w:rPr>
              <w:t xml:space="preserve">/ SISTEMA DE GESTIÓN DE SEGURIDAD Y SALUD EN EL TRABAJO SG-SST - Contratos Estatales </w:t>
            </w:r>
            <w:r w:rsidRPr="006430EB">
              <w:rPr>
                <w:rFonts w:ascii="Century Gothic" w:hAnsi="Century Gothic" w:cs="Arial"/>
                <w:bCs/>
                <w:color w:val="000000" w:themeColor="text1"/>
                <w:sz w:val="22"/>
                <w:szCs w:val="22"/>
              </w:rPr>
              <w:t>- E</w:t>
            </w:r>
            <w:r w:rsidRPr="006430EB">
              <w:rPr>
                <w:rFonts w:ascii="Century Gothic" w:hAnsi="Century Gothic" w:cs="Arial"/>
                <w:bCs/>
                <w:color w:val="000000" w:themeColor="text1"/>
                <w:sz w:val="22"/>
                <w:szCs w:val="22"/>
                <w:lang w:eastAsia="es-MX"/>
              </w:rPr>
              <w:t>valuación y selección</w:t>
            </w:r>
            <w:r w:rsidRPr="006430EB">
              <w:rPr>
                <w:rFonts w:ascii="Century Gothic" w:hAnsi="Century Gothic" w:cs="Arial"/>
                <w:color w:val="000000" w:themeColor="text1"/>
                <w:sz w:val="22"/>
                <w:szCs w:val="22"/>
                <w:lang w:eastAsia="es-MX"/>
              </w:rPr>
              <w:t xml:space="preserve"> de </w:t>
            </w:r>
            <w:r w:rsidRPr="006430EB">
              <w:rPr>
                <w:rFonts w:ascii="Century Gothic" w:hAnsi="Century Gothic" w:cs="Arial"/>
                <w:bCs/>
                <w:color w:val="000000" w:themeColor="text1"/>
                <w:sz w:val="22"/>
                <w:szCs w:val="22"/>
                <w:lang w:eastAsia="es-MX"/>
              </w:rPr>
              <w:t>proveedores</w:t>
            </w:r>
            <w:r w:rsidRPr="006430EB">
              <w:rPr>
                <w:rFonts w:ascii="Century Gothic" w:hAnsi="Century Gothic" w:cs="Arial"/>
                <w:color w:val="000000" w:themeColor="text1"/>
                <w:sz w:val="22"/>
                <w:szCs w:val="22"/>
                <w:lang w:eastAsia="es-MX"/>
              </w:rPr>
              <w:t xml:space="preserve"> y </w:t>
            </w:r>
            <w:r w:rsidRPr="006430EB">
              <w:rPr>
                <w:rFonts w:ascii="Century Gothic" w:hAnsi="Century Gothic" w:cs="Arial"/>
                <w:bCs/>
                <w:color w:val="000000" w:themeColor="text1"/>
                <w:sz w:val="22"/>
                <w:szCs w:val="22"/>
                <w:lang w:eastAsia="es-MX"/>
              </w:rPr>
              <w:t>contratistas</w:t>
            </w:r>
            <w:r w:rsidRPr="006430EB">
              <w:rPr>
                <w:rFonts w:ascii="Century Gothic" w:hAnsi="Century Gothic" w:cs="Arial"/>
                <w:color w:val="000000" w:themeColor="text1"/>
                <w:sz w:val="22"/>
                <w:szCs w:val="22"/>
              </w:rPr>
              <w:t xml:space="preserve"> / SUPERVISIÓN ― Estándares Mínimos del Sistema de Gestión de Seguridad y Salud en el Trabajo SG-SST</w:t>
            </w:r>
          </w:p>
        </w:tc>
      </w:tr>
      <w:tr w:rsidR="00BD7797" w:rsidRPr="006430EB" w14:paraId="04E7B08A" w14:textId="77777777" w:rsidTr="00CF709A">
        <w:tc>
          <w:tcPr>
            <w:tcW w:w="2835" w:type="dxa"/>
          </w:tcPr>
          <w:p w14:paraId="47CF780F" w14:textId="77777777" w:rsidR="00BD7797" w:rsidRPr="006430EB" w:rsidRDefault="00BD7797" w:rsidP="00CF709A">
            <w:pPr>
              <w:spacing w:line="276" w:lineRule="auto"/>
              <w:contextualSpacing/>
              <w:jc w:val="both"/>
              <w:rPr>
                <w:rFonts w:ascii="Century Gothic" w:eastAsia="Calibri" w:hAnsi="Century Gothic" w:cs="Arial"/>
                <w:b/>
                <w:color w:val="000000" w:themeColor="text1"/>
              </w:rPr>
            </w:pPr>
          </w:p>
          <w:p w14:paraId="7D3DBC99" w14:textId="77777777" w:rsidR="00BD7797" w:rsidRPr="006430EB" w:rsidRDefault="00BD7797" w:rsidP="00CF709A">
            <w:pPr>
              <w:spacing w:line="276" w:lineRule="auto"/>
              <w:contextualSpacing/>
              <w:jc w:val="both"/>
              <w:rPr>
                <w:rFonts w:ascii="Century Gothic" w:eastAsia="Calibri" w:hAnsi="Century Gothic" w:cs="Arial"/>
                <w:color w:val="000000" w:themeColor="text1"/>
              </w:rPr>
            </w:pPr>
            <w:r w:rsidRPr="006430EB">
              <w:rPr>
                <w:rFonts w:ascii="Century Gothic" w:eastAsia="Calibri" w:hAnsi="Century Gothic" w:cs="Arial"/>
                <w:b/>
                <w:color w:val="000000" w:themeColor="text1"/>
              </w:rPr>
              <w:t>Radicación:</w:t>
            </w:r>
            <w:r w:rsidRPr="006430EB">
              <w:rPr>
                <w:rFonts w:ascii="Century Gothic" w:eastAsia="Calibri" w:hAnsi="Century Gothic" w:cs="Arial"/>
                <w:color w:val="000000" w:themeColor="text1"/>
              </w:rPr>
              <w:t xml:space="preserve">                              </w:t>
            </w:r>
          </w:p>
        </w:tc>
        <w:tc>
          <w:tcPr>
            <w:tcW w:w="5949" w:type="dxa"/>
          </w:tcPr>
          <w:p w14:paraId="44794207" w14:textId="77777777" w:rsidR="00BD7797" w:rsidRPr="006430EB" w:rsidRDefault="00BD7797" w:rsidP="00CF709A">
            <w:pPr>
              <w:spacing w:line="276" w:lineRule="auto"/>
              <w:contextualSpacing/>
              <w:jc w:val="both"/>
              <w:rPr>
                <w:rFonts w:ascii="Century Gothic" w:eastAsia="Calibri" w:hAnsi="Century Gothic" w:cs="Arial"/>
                <w:color w:val="000000" w:themeColor="text1"/>
              </w:rPr>
            </w:pPr>
          </w:p>
          <w:p w14:paraId="7AE6D78A" w14:textId="77777777" w:rsidR="00BD7797" w:rsidRPr="006430EB" w:rsidRDefault="00BD7797" w:rsidP="00CF709A">
            <w:pPr>
              <w:spacing w:line="276" w:lineRule="auto"/>
              <w:contextualSpacing/>
              <w:jc w:val="both"/>
              <w:rPr>
                <w:rFonts w:ascii="Century Gothic" w:eastAsia="Calibri" w:hAnsi="Century Gothic" w:cs="Arial"/>
                <w:color w:val="000000" w:themeColor="text1"/>
              </w:rPr>
            </w:pPr>
            <w:r w:rsidRPr="006430EB">
              <w:rPr>
                <w:rFonts w:ascii="Century Gothic" w:eastAsia="Calibri" w:hAnsi="Century Gothic" w:cs="Arial"/>
                <w:color w:val="000000" w:themeColor="text1"/>
              </w:rPr>
              <w:t xml:space="preserve">Respuesta a la consulta No. </w:t>
            </w:r>
            <w:r w:rsidRPr="006430EB">
              <w:rPr>
                <w:rFonts w:ascii="Century Gothic" w:eastAsia="Calibri" w:hAnsi="Century Gothic" w:cs="Arial"/>
                <w:bCs/>
                <w:color w:val="000000" w:themeColor="text1"/>
              </w:rPr>
              <w:t>P20230719013457</w:t>
            </w:r>
          </w:p>
        </w:tc>
      </w:tr>
    </w:tbl>
    <w:p w14:paraId="476C44B9" w14:textId="77777777" w:rsidR="00BD7797" w:rsidRPr="006430EB" w:rsidRDefault="00BD7797" w:rsidP="00BD7797">
      <w:pPr>
        <w:spacing w:line="276" w:lineRule="auto"/>
        <w:contextualSpacing/>
        <w:jc w:val="both"/>
        <w:rPr>
          <w:rFonts w:ascii="Century Gothic" w:eastAsia="Calibri" w:hAnsi="Century Gothic" w:cs="Arial"/>
          <w:color w:val="000000" w:themeColor="text1"/>
        </w:rPr>
      </w:pPr>
    </w:p>
    <w:p w14:paraId="1F953597" w14:textId="77777777" w:rsidR="00BD7797" w:rsidRPr="006430EB" w:rsidRDefault="00BD7797" w:rsidP="00BD7797">
      <w:pPr>
        <w:spacing w:line="276" w:lineRule="auto"/>
        <w:jc w:val="both"/>
        <w:rPr>
          <w:rFonts w:ascii="Century Gothic" w:hAnsi="Century Gothic" w:cs="Arial"/>
          <w:lang w:val="es-MX"/>
        </w:rPr>
      </w:pPr>
      <w:r w:rsidRPr="006430EB">
        <w:rPr>
          <w:rFonts w:ascii="Century Gothic" w:eastAsia="Calibri" w:hAnsi="Century Gothic" w:cs="Arial"/>
          <w:color w:val="000000" w:themeColor="text1"/>
        </w:rPr>
        <w:t xml:space="preserve">Respetado </w:t>
      </w:r>
      <w:r w:rsidRPr="006430EB">
        <w:rPr>
          <w:rFonts w:ascii="Century Gothic" w:hAnsi="Century Gothic" w:cs="Arial"/>
          <w:lang w:val="es-MX"/>
        </w:rPr>
        <w:t>Señor Ariza,</w:t>
      </w:r>
    </w:p>
    <w:p w14:paraId="3A35A72A" w14:textId="77777777" w:rsidR="00BD7797" w:rsidRPr="006430EB" w:rsidRDefault="00BD7797" w:rsidP="00BD7797">
      <w:pPr>
        <w:tabs>
          <w:tab w:val="left" w:pos="1657"/>
        </w:tabs>
        <w:spacing w:line="276" w:lineRule="auto"/>
        <w:jc w:val="both"/>
        <w:rPr>
          <w:rFonts w:ascii="Century Gothic" w:eastAsia="Calibri" w:hAnsi="Century Gothic" w:cs="Arial"/>
        </w:rPr>
      </w:pPr>
      <w:r w:rsidRPr="006430EB">
        <w:rPr>
          <w:rFonts w:ascii="Century Gothic" w:eastAsia="Calibri" w:hAnsi="Century Gothic" w:cs="Arial"/>
          <w:lang w:val="es-ES_tradnl"/>
        </w:rPr>
        <w:t xml:space="preserve">En ejercicio de la competencia otorgada por </w:t>
      </w:r>
      <w:r w:rsidRPr="006430EB">
        <w:rPr>
          <w:rFonts w:ascii="Century Gothic" w:eastAsia="Calibri" w:hAnsi="Century Gothic" w:cs="Arial"/>
          <w:color w:val="000000" w:themeColor="text1"/>
          <w:lang w:val="es-ES_tradnl"/>
        </w:rPr>
        <w:t>el numeral 8 del artículo 11 y el numeral 5 del artículo 3 del Decreto Ley 4170 de 2011</w:t>
      </w:r>
      <w:r w:rsidRPr="006430EB">
        <w:rPr>
          <w:rFonts w:ascii="Century Gothic" w:eastAsia="Calibri" w:hAnsi="Century Gothic" w:cs="Arial"/>
          <w:lang w:val="es-ES_tradnl"/>
        </w:rPr>
        <w:t xml:space="preserve">, la Agencia Nacional de Contratación Pública − Colombia Compra Eficiente responde su consulta remitida </w:t>
      </w:r>
      <w:r w:rsidRPr="006430EB">
        <w:rPr>
          <w:rFonts w:ascii="Century Gothic" w:eastAsia="Calibri" w:hAnsi="Century Gothic" w:cs="Arial"/>
        </w:rPr>
        <w:t xml:space="preserve">el 19 de julio de 2023. </w:t>
      </w:r>
    </w:p>
    <w:p w14:paraId="375AD0C6" w14:textId="77777777" w:rsidR="00BD7797" w:rsidRPr="006430EB" w:rsidRDefault="00BD7797" w:rsidP="00BD7797">
      <w:pPr>
        <w:tabs>
          <w:tab w:val="left" w:pos="0"/>
        </w:tabs>
        <w:spacing w:line="276" w:lineRule="auto"/>
        <w:contextualSpacing/>
        <w:jc w:val="both"/>
        <w:rPr>
          <w:rFonts w:ascii="Century Gothic" w:eastAsia="Calibri" w:hAnsi="Century Gothic" w:cs="Arial"/>
          <w:b/>
          <w:color w:val="000000" w:themeColor="text1"/>
        </w:rPr>
      </w:pPr>
      <w:r w:rsidRPr="006430EB">
        <w:rPr>
          <w:rFonts w:ascii="Century Gothic" w:eastAsia="Calibri" w:hAnsi="Century Gothic" w:cs="Arial"/>
          <w:b/>
          <w:color w:val="000000" w:themeColor="text1"/>
        </w:rPr>
        <w:t>1. Problema planteado</w:t>
      </w:r>
    </w:p>
    <w:p w14:paraId="3207FF97" w14:textId="77777777" w:rsidR="00BD7797" w:rsidRPr="006430EB" w:rsidRDefault="00BD7797" w:rsidP="00BD7797">
      <w:pPr>
        <w:spacing w:line="276" w:lineRule="auto"/>
        <w:contextualSpacing/>
        <w:jc w:val="both"/>
        <w:rPr>
          <w:rFonts w:ascii="Century Gothic" w:eastAsia="Calibri" w:hAnsi="Century Gothic" w:cs="Arial"/>
          <w:color w:val="000000" w:themeColor="text1"/>
        </w:rPr>
      </w:pPr>
    </w:p>
    <w:p w14:paraId="77E51E84" w14:textId="77777777" w:rsidR="00BD7797" w:rsidRPr="006430EB" w:rsidRDefault="00BD7797" w:rsidP="00BD7797">
      <w:pPr>
        <w:tabs>
          <w:tab w:val="left" w:pos="426"/>
        </w:tabs>
        <w:spacing w:after="120" w:line="276" w:lineRule="auto"/>
        <w:jc w:val="both"/>
        <w:rPr>
          <w:rFonts w:ascii="Century Gothic" w:eastAsia="Calibri" w:hAnsi="Century Gothic" w:cs="Arial"/>
        </w:rPr>
      </w:pPr>
      <w:bookmarkStart w:id="1" w:name="_Hlk136419030"/>
      <w:r w:rsidRPr="006430EB">
        <w:rPr>
          <w:rFonts w:ascii="Century Gothic" w:eastAsia="Calibri" w:hAnsi="Century Gothic" w:cs="Arial"/>
        </w:rPr>
        <w:t xml:space="preserve">En torno al concepto 4201814000003717 emitido por esta Agencia, solicita que se informe cual es la posición jurídica actual de la entidad sobre la exigencia del Sistema de Gestión de Seguridad y Salud en el Trabajo como requisito habilitante en los procesos de selección de contratistas del Estado. </w:t>
      </w:r>
    </w:p>
    <w:p w14:paraId="629906E1" w14:textId="77777777" w:rsidR="006473B6" w:rsidRPr="006430EB" w:rsidRDefault="006473B6" w:rsidP="00BD7797">
      <w:pPr>
        <w:tabs>
          <w:tab w:val="left" w:pos="426"/>
        </w:tabs>
        <w:spacing w:after="120" w:line="276" w:lineRule="auto"/>
        <w:jc w:val="both"/>
        <w:rPr>
          <w:rFonts w:ascii="Century Gothic" w:eastAsia="Calibri" w:hAnsi="Century Gothic" w:cs="Arial"/>
        </w:rPr>
      </w:pPr>
    </w:p>
    <w:p w14:paraId="3AD8E41C" w14:textId="77777777" w:rsidR="006473B6" w:rsidRPr="006430EB" w:rsidRDefault="006473B6" w:rsidP="00BD7797">
      <w:pPr>
        <w:tabs>
          <w:tab w:val="left" w:pos="426"/>
        </w:tabs>
        <w:spacing w:after="120" w:line="276" w:lineRule="auto"/>
        <w:jc w:val="both"/>
        <w:rPr>
          <w:rFonts w:ascii="Century Gothic" w:hAnsi="Century Gothic" w:cs="Arial"/>
          <w:i/>
          <w:iCs/>
        </w:rPr>
      </w:pPr>
    </w:p>
    <w:bookmarkEnd w:id="1"/>
    <w:p w14:paraId="2BD0A5EA" w14:textId="77777777" w:rsidR="00BD7797" w:rsidRPr="006430EB" w:rsidRDefault="00BD7797" w:rsidP="00BD7797">
      <w:pPr>
        <w:spacing w:line="276" w:lineRule="auto"/>
        <w:contextualSpacing/>
        <w:jc w:val="both"/>
        <w:rPr>
          <w:rFonts w:ascii="Century Gothic" w:eastAsia="Calibri" w:hAnsi="Century Gothic" w:cs="Arial"/>
          <w:color w:val="000000" w:themeColor="text1"/>
        </w:rPr>
      </w:pPr>
      <w:r w:rsidRPr="006430EB">
        <w:rPr>
          <w:rFonts w:ascii="Century Gothic" w:eastAsia="Calibri" w:hAnsi="Century Gothic" w:cs="Arial"/>
          <w:b/>
          <w:color w:val="000000" w:themeColor="text1"/>
        </w:rPr>
        <w:t>2. Consideraciones</w:t>
      </w:r>
    </w:p>
    <w:p w14:paraId="7E79D480" w14:textId="77777777" w:rsidR="00BD7797" w:rsidRPr="006430EB" w:rsidRDefault="00BD7797" w:rsidP="00BD7797">
      <w:pPr>
        <w:tabs>
          <w:tab w:val="left" w:pos="426"/>
        </w:tabs>
        <w:spacing w:line="276" w:lineRule="auto"/>
        <w:contextualSpacing/>
        <w:jc w:val="both"/>
        <w:rPr>
          <w:rFonts w:ascii="Century Gothic" w:eastAsia="Calibri" w:hAnsi="Century Gothic" w:cs="Arial"/>
          <w:color w:val="000000" w:themeColor="text1"/>
        </w:rPr>
      </w:pPr>
    </w:p>
    <w:p w14:paraId="22DA322E" w14:textId="77777777" w:rsidR="00BD7797" w:rsidRPr="006430EB" w:rsidRDefault="00BD7797" w:rsidP="00BD7797">
      <w:pPr>
        <w:tabs>
          <w:tab w:val="left" w:pos="426"/>
        </w:tabs>
        <w:spacing w:after="120" w:line="276" w:lineRule="auto"/>
        <w:jc w:val="both"/>
        <w:rPr>
          <w:rFonts w:ascii="Century Gothic" w:hAnsi="Century Gothic" w:cs="Arial"/>
          <w:bCs/>
          <w:color w:val="000000" w:themeColor="text1"/>
          <w:lang w:eastAsia="es-MX"/>
        </w:rPr>
      </w:pPr>
      <w:r w:rsidRPr="006430EB">
        <w:rPr>
          <w:rFonts w:ascii="Century Gothic" w:hAnsi="Century Gothic" w:cs="Arial"/>
          <w:bCs/>
        </w:rPr>
        <w:t xml:space="preserve">La Agencia Nacional de Contratación Pública – Colombia Compra Eficiente resuelve </w:t>
      </w:r>
      <w:r w:rsidRPr="006430EB">
        <w:rPr>
          <w:rFonts w:ascii="Century Gothic" w:hAnsi="Century Gothic" w:cs="Arial"/>
          <w:bCs/>
          <w:color w:val="000000" w:themeColor="text1"/>
          <w:lang w:eastAsia="es-MX"/>
        </w:rPr>
        <w:t>consultas sobre 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 de los partícipes de la contratación estatal ni para interpretar el alcance de cualquier norma vigente en el ordenamiento jurídico.</w:t>
      </w:r>
    </w:p>
    <w:p w14:paraId="27C3D5F8" w14:textId="77777777" w:rsidR="00BD7797" w:rsidRPr="006430EB" w:rsidRDefault="00BD7797" w:rsidP="00BD7797">
      <w:pPr>
        <w:spacing w:before="120" w:after="120" w:line="276" w:lineRule="auto"/>
        <w:ind w:firstLine="708"/>
        <w:jc w:val="both"/>
        <w:rPr>
          <w:rFonts w:ascii="Century Gothic" w:hAnsi="Century Gothic" w:cs="Arial"/>
          <w:lang w:val="es-ES"/>
        </w:rPr>
      </w:pPr>
      <w:r w:rsidRPr="006430EB">
        <w:rPr>
          <w:rFonts w:ascii="Century Gothic" w:hAnsi="Century Gothic" w:cs="Arial"/>
          <w:bCs/>
          <w:color w:val="000000" w:themeColor="text1"/>
          <w:lang w:eastAsia="es-MX"/>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6430EB">
        <w:rPr>
          <w:rStyle w:val="Refdenotaalpie"/>
          <w:rFonts w:ascii="Century Gothic" w:hAnsi="Century Gothic" w:cs="Arial"/>
        </w:rPr>
        <w:footnoteReference w:id="2"/>
      </w:r>
      <w:r w:rsidRPr="006430EB">
        <w:rPr>
          <w:rStyle w:val="Refdenotaalpie"/>
          <w:rFonts w:ascii="Century Gothic" w:hAnsi="Century Gothic" w:cs="Arial"/>
        </w:rPr>
        <w:t>.</w:t>
      </w:r>
      <w:r w:rsidRPr="006430EB">
        <w:rPr>
          <w:rFonts w:ascii="Century Gothic" w:hAnsi="Century Gothic" w:cs="Arial"/>
          <w:bCs/>
          <w:color w:val="000000" w:themeColor="text1"/>
          <w:lang w:eastAsia="es-MX"/>
        </w:rPr>
        <w:t xml:space="preserve"> Esta competencia de interpretación de normas generales, por definición, no puede extenderse a la resolución de controversias, brindar asesorías sobre casos puntuales ni interpretar normas ajenas al sistema de compras públicas. Por lo anterior, previo concepto de sus órganos asesores, la solución de estos temas corresponde a la entidad de adoptar la decisión correspondiente y, en caso de conflicto, a las autoridades judiciales, fiscales y disciplinarias</w:t>
      </w:r>
      <w:r w:rsidRPr="006430EB">
        <w:rPr>
          <w:rFonts w:ascii="Century Gothic" w:hAnsi="Century Gothic" w:cs="Arial"/>
          <w:lang w:val="es-ES"/>
        </w:rPr>
        <w:t>.</w:t>
      </w:r>
    </w:p>
    <w:p w14:paraId="1EF45AF8" w14:textId="77777777" w:rsidR="00BD7797" w:rsidRPr="006430EB" w:rsidRDefault="00BD7797" w:rsidP="00BD7797">
      <w:pPr>
        <w:spacing w:before="120" w:after="120" w:line="276" w:lineRule="auto"/>
        <w:ind w:firstLine="708"/>
        <w:jc w:val="both"/>
        <w:rPr>
          <w:rFonts w:ascii="Century Gothic" w:eastAsia="Calibri" w:hAnsi="Century Gothic" w:cs="Arial"/>
          <w:color w:val="000000" w:themeColor="text1"/>
          <w:lang w:val="es-ES" w:eastAsia="es-MX"/>
        </w:rPr>
      </w:pPr>
      <w:r w:rsidRPr="006430EB">
        <w:rPr>
          <w:rFonts w:ascii="Century Gothic" w:hAnsi="Century Gothic" w:cs="Arial"/>
          <w:bCs/>
          <w:color w:val="000000" w:themeColor="text1"/>
          <w:lang w:eastAsia="es-MX"/>
        </w:rPr>
        <w:t xml:space="preserve">Sin perjuicio de lo anterior, la Subdirección de Gestión Contractual, dentro de los límites de sus atribuciones, resolverá la consulta de forma general conforme a las normas generales del sistema de compras y contratación pública. Con este objetivo se analizarán los siguientes temas: i) requisitos habilitantes: criterios obligatorios para participar en los procedimientos de selección contractual; </w:t>
      </w:r>
      <w:proofErr w:type="spellStart"/>
      <w:r w:rsidRPr="006430EB">
        <w:rPr>
          <w:rFonts w:ascii="Century Gothic" w:hAnsi="Century Gothic" w:cs="Arial"/>
          <w:bCs/>
          <w:color w:val="000000" w:themeColor="text1"/>
          <w:lang w:eastAsia="es-MX"/>
        </w:rPr>
        <w:t>ii</w:t>
      </w:r>
      <w:proofErr w:type="spellEnd"/>
      <w:r w:rsidRPr="006430EB">
        <w:rPr>
          <w:rFonts w:ascii="Century Gothic" w:hAnsi="Century Gothic" w:cs="Arial"/>
          <w:bCs/>
          <w:color w:val="000000" w:themeColor="text1"/>
          <w:lang w:eastAsia="es-MX"/>
        </w:rPr>
        <w:t xml:space="preserve">) carácter enunciativo de los requisitos habilitantes previstos en el artículo 5, numeral 1, de la Ley 1150 de 2007 y autonomía de la voluntad de las entidades estatales para establecerlos; y, </w:t>
      </w:r>
      <w:proofErr w:type="spellStart"/>
      <w:r w:rsidRPr="006430EB">
        <w:rPr>
          <w:rFonts w:ascii="Century Gothic" w:hAnsi="Century Gothic" w:cs="Arial"/>
          <w:bCs/>
          <w:color w:val="000000" w:themeColor="text1"/>
          <w:lang w:eastAsia="es-MX"/>
        </w:rPr>
        <w:t>iii</w:t>
      </w:r>
      <w:proofErr w:type="spellEnd"/>
      <w:r w:rsidRPr="006430EB">
        <w:rPr>
          <w:rFonts w:ascii="Century Gothic" w:hAnsi="Century Gothic" w:cs="Arial"/>
          <w:bCs/>
          <w:color w:val="000000" w:themeColor="text1"/>
          <w:lang w:eastAsia="es-MX"/>
        </w:rPr>
        <w:t>) Sistema de Gestión de Seguridad y Salud en el Trabajo – SG-SST en la evaluación y selección de proveedores y contratistas.</w:t>
      </w:r>
    </w:p>
    <w:p w14:paraId="1F52A7B3" w14:textId="77777777" w:rsidR="00BD7797" w:rsidRPr="006430EB" w:rsidRDefault="00BD7797" w:rsidP="00BD7797">
      <w:pPr>
        <w:spacing w:before="120" w:after="120" w:line="276" w:lineRule="auto"/>
        <w:ind w:firstLine="708"/>
        <w:jc w:val="both"/>
        <w:rPr>
          <w:rFonts w:ascii="Century Gothic" w:hAnsi="Century Gothic" w:cs="Arial"/>
          <w:color w:val="000000" w:themeColor="text1"/>
          <w:lang w:val="es-ES_tradnl"/>
        </w:rPr>
      </w:pPr>
      <w:r w:rsidRPr="006430EB">
        <w:rPr>
          <w:rFonts w:ascii="Century Gothic" w:hAnsi="Century Gothic" w:cs="Arial"/>
          <w:color w:val="000000" w:themeColor="text1"/>
          <w:lang w:val="es-ES_tradnl"/>
        </w:rPr>
        <w:t>Al respecto, conviene indicar que la Agencia Nacional de Contratación Pública – Colombia Compra Eficiente, en los conceptos del 15 de noviembre, del 28 de noviembre, 16 de diciembre de 2019 –radicados No. 2201913000008520, 4201912000007329 y 2201913000009295–, así como en los conceptos C-120 del 3 de marzo de 2020, C-204 del 31 de marzo de 2020, C-099 del 6 de abril  de 2020, C-195 del 13 de abril de 2020, C-013 del 17 de abril de 2020, C-330 del 27 de mayo de 2020, C-396 de 16 de julio de 2020, C-387 de 3 de agosto de 2021, C-669 de 3 de diciembre de 2021, C-573 de 13 de septiembre de 2022, C- 831 de 28 de noviembre de 2022 y C-868 del 19 de diciembre de 2022, C-124 de 25 de mayo de 2023, C-165 de 2 de junio de 2023, C-167 de 5 de junio de 2023, C-215 de 10 de agosto de 2023, C-277 de 14 de julio de 2023, C-337 de 18 de agosto de 2023,entre otros, analizó la naturaleza de los requisitos habilitantes y su carácter enunciativo en el artículo 5, numeral 1, de la Ley 1150 de 2007.</w:t>
      </w:r>
    </w:p>
    <w:p w14:paraId="40F83C11" w14:textId="77777777" w:rsidR="00BD7797" w:rsidRPr="006430EB" w:rsidRDefault="00BD7797" w:rsidP="00BD7797">
      <w:pPr>
        <w:spacing w:before="120" w:after="120" w:line="276" w:lineRule="auto"/>
        <w:ind w:firstLine="708"/>
        <w:jc w:val="both"/>
        <w:rPr>
          <w:rFonts w:ascii="Century Gothic" w:hAnsi="Century Gothic" w:cs="Arial"/>
          <w:color w:val="000000" w:themeColor="text1"/>
          <w:lang w:val="es-ES_tradnl"/>
        </w:rPr>
      </w:pPr>
      <w:r w:rsidRPr="006430EB">
        <w:rPr>
          <w:rFonts w:ascii="Century Gothic" w:hAnsi="Century Gothic" w:cs="Arial"/>
          <w:color w:val="000000" w:themeColor="text1"/>
          <w:lang w:val="es-ES_tradnl"/>
        </w:rPr>
        <w:t>Por su parte, en los conceptos 420184000003717 y 420184000004716, la Agencia analizó la exigencia de la implementación del Sistema de Gestión de  Seguridad y Salud del Trabajo - SG-SST en los Procesos de Contratación, concluyendo que los requisitos habilitantes miden la aptitud del proponente para participar en un Proceso de Contratación como oferente, limitados exclusivamente a criterios de capacidad jurídica, organizacional, financiera y experiencia, lo cual no incluye la implementación del Sistema de Gestión de la Seguridad y Salud del Trabajo - SG-SST.</w:t>
      </w:r>
    </w:p>
    <w:p w14:paraId="0E25414E" w14:textId="77777777" w:rsidR="00BD7797" w:rsidRPr="006430EB" w:rsidRDefault="00BD7797" w:rsidP="00BD7797">
      <w:pPr>
        <w:spacing w:before="120" w:after="120" w:line="276" w:lineRule="auto"/>
        <w:ind w:firstLine="708"/>
        <w:jc w:val="both"/>
        <w:rPr>
          <w:rFonts w:ascii="Century Gothic" w:eastAsia="Calibri" w:hAnsi="Century Gothic" w:cs="Arial"/>
          <w:lang w:val="es-ES"/>
        </w:rPr>
      </w:pPr>
      <w:r w:rsidRPr="006430EB">
        <w:rPr>
          <w:rFonts w:ascii="Century Gothic" w:hAnsi="Century Gothic" w:cs="Arial"/>
          <w:color w:val="000000" w:themeColor="text1"/>
          <w:lang w:val="es-ES_tradnl"/>
        </w:rPr>
        <w:t xml:space="preserve">Posteriormente, en conceptos C-166 del 13 de abril de 2020 y C-372 de 30 de junio de 2020, la Agencia cambio parcialmente su postura, </w:t>
      </w:r>
      <w:r w:rsidRPr="006430EB">
        <w:rPr>
          <w:rFonts w:ascii="Century Gothic" w:eastAsia="Calibri" w:hAnsi="Century Gothic" w:cs="Arial"/>
          <w:lang w:val="es-ES"/>
        </w:rPr>
        <w:t xml:space="preserve">aclarando el </w:t>
      </w:r>
      <w:r w:rsidRPr="006430EB">
        <w:rPr>
          <w:rFonts w:ascii="Century Gothic" w:hAnsi="Century Gothic" w:cs="Arial"/>
          <w:bCs/>
          <w:color w:val="000000" w:themeColor="text1"/>
          <w:lang w:eastAsia="es-MX"/>
        </w:rPr>
        <w:t xml:space="preserve">carácter enunciativo de los requisitos habilitantes previstos en el artículo 5, numeral 1, de la Ley 1150 de 2007, </w:t>
      </w:r>
      <w:r w:rsidRPr="006430EB">
        <w:rPr>
          <w:rFonts w:ascii="Century Gothic" w:hAnsi="Century Gothic" w:cs="Arial"/>
          <w:color w:val="000000" w:themeColor="text1"/>
          <w:lang w:val="es-ES_tradnl"/>
        </w:rPr>
        <w:t>los cuales no sólo se limitan a criterios de capacidad jurídica, organizacional, financiera y experiencia, sin embargo, con base en la prohibición del parágrafo 2 del artículo 5 de la Ley 1150 de 2007, concluyó que no era posible que las entidades estatales exigieran a los proponentes la implementación del Sistema de Gestión de la Seguridad y Salud del Trabajo - SG-SST a título de requisito habilitante o de calificación</w:t>
      </w:r>
      <w:r w:rsidRPr="006430EB">
        <w:rPr>
          <w:rStyle w:val="Refdenotaalpie"/>
          <w:rFonts w:ascii="Century Gothic" w:eastAsia="Calibri" w:hAnsi="Century Gothic" w:cs="Arial"/>
        </w:rPr>
        <w:footnoteReference w:id="3"/>
      </w:r>
      <w:r w:rsidRPr="006430EB">
        <w:rPr>
          <w:rFonts w:ascii="Century Gothic" w:eastAsia="Calibri" w:hAnsi="Century Gothic" w:cs="Arial"/>
          <w:lang w:val="es-MX"/>
        </w:rPr>
        <w:t xml:space="preserve">. </w:t>
      </w:r>
      <w:r w:rsidRPr="006430EB">
        <w:rPr>
          <w:rFonts w:ascii="Century Gothic" w:eastAsia="Calibri" w:hAnsi="Century Gothic" w:cs="Arial"/>
          <w:lang w:val="es-ES"/>
        </w:rPr>
        <w:t xml:space="preserve">La tesis expuesta en estos últimos conceptos se reitera parcialmente en el presente concepto, en el sentido de aclarar que no es posible exigir a los proponentes, como requisitos habilitantes o de calificación, certificaciones de sistemas de gestión de calidad para participar en procesos de selección, sin embargo, con base en el </w:t>
      </w:r>
      <w:r w:rsidRPr="006430EB">
        <w:rPr>
          <w:rFonts w:ascii="Century Gothic" w:hAnsi="Century Gothic" w:cs="Arial"/>
          <w:bCs/>
          <w:color w:val="000000" w:themeColor="text1"/>
          <w:lang w:eastAsia="es-MX"/>
        </w:rPr>
        <w:t xml:space="preserve">carácter enunciativo de los requisitos habilitantes, la autonomía de la voluntad de las entidades estatales para establecerlos y </w:t>
      </w:r>
      <w:r w:rsidRPr="006430EB">
        <w:rPr>
          <w:rFonts w:ascii="Century Gothic" w:eastAsia="Calibri" w:hAnsi="Century Gothic" w:cs="Arial"/>
          <w:lang w:val="es-ES"/>
        </w:rPr>
        <w:t xml:space="preserve"> lo dispuesto en los artículos 2.2.4.6.4. y 2.2.4.6.28. del Decreto 1072 de 2015 y artículos 14 y 19 de la Resolución 312 de 2019 emitida por el Ministerio del Trabajo, se considera que las entidades estatales tienen la facultad para incorporar parámetros o criterios de selección y evaluación en sus Procesos de Contratación que le permitan conocer que los proponentes cuentan con el Sistema de Gestión de Seguridad y Salud en el Trabajo (SG-SST), si a bien lo justifican </w:t>
      </w:r>
      <w:r w:rsidRPr="006430EB">
        <w:rPr>
          <w:rFonts w:ascii="Century Gothic" w:eastAsia="Calibri" w:hAnsi="Century Gothic" w:cs="Arial"/>
        </w:rPr>
        <w:t>en los estudios previos y análisis del sector del proceso de selección su procedencia, de conformidad con el artículo</w:t>
      </w:r>
      <w:r w:rsidRPr="006430EB">
        <w:rPr>
          <w:rFonts w:ascii="Century Gothic" w:eastAsia="Calibri" w:hAnsi="Century Gothic" w:cs="Arial"/>
          <w:color w:val="000000" w:themeColor="text1"/>
          <w:lang w:val="es-ES_tradnl"/>
        </w:rPr>
        <w:t xml:space="preserve"> 2.2.1.1.1.6.2 del Decreto 1082 de 2015.</w:t>
      </w:r>
    </w:p>
    <w:p w14:paraId="4646FABE" w14:textId="77777777" w:rsidR="00BD7797" w:rsidRPr="006430EB" w:rsidRDefault="00BD7797" w:rsidP="00BD7797">
      <w:pPr>
        <w:spacing w:after="240" w:line="276" w:lineRule="auto"/>
        <w:jc w:val="both"/>
        <w:rPr>
          <w:rFonts w:ascii="Century Gothic" w:hAnsi="Century Gothic" w:cs="Arial"/>
          <w:b/>
          <w:color w:val="000000" w:themeColor="text1"/>
          <w:lang w:eastAsia="es-MX"/>
        </w:rPr>
      </w:pPr>
      <w:r w:rsidRPr="006430EB">
        <w:rPr>
          <w:rFonts w:ascii="Century Gothic" w:hAnsi="Century Gothic" w:cs="Arial"/>
          <w:b/>
          <w:color w:val="000000" w:themeColor="text1"/>
          <w:lang w:val="es-ES" w:eastAsia="es-MX"/>
        </w:rPr>
        <w:t xml:space="preserve">2.1. </w:t>
      </w:r>
      <w:r w:rsidRPr="006430EB">
        <w:rPr>
          <w:rFonts w:ascii="Century Gothic" w:hAnsi="Century Gothic" w:cs="Arial"/>
          <w:b/>
          <w:color w:val="000000" w:themeColor="text1"/>
          <w:lang w:val="es-ES" w:eastAsia="es-MX"/>
        </w:rPr>
        <w:tab/>
        <w:t>Requisitos</w:t>
      </w:r>
      <w:r w:rsidRPr="006430EB">
        <w:rPr>
          <w:rFonts w:ascii="Century Gothic" w:hAnsi="Century Gothic" w:cs="Arial"/>
          <w:b/>
          <w:color w:val="000000" w:themeColor="text1"/>
          <w:lang w:eastAsia="es-MX"/>
        </w:rPr>
        <w:t xml:space="preserve"> habilitantes: criterios obligatorios para participar en los procedimientos de selección contractual</w:t>
      </w:r>
    </w:p>
    <w:p w14:paraId="2C0E27B6" w14:textId="77777777" w:rsidR="00BD7797" w:rsidRPr="006430EB" w:rsidRDefault="00BD7797" w:rsidP="00BD7797">
      <w:pPr>
        <w:spacing w:after="120" w:line="276" w:lineRule="auto"/>
        <w:jc w:val="both"/>
        <w:rPr>
          <w:rFonts w:ascii="Century Gothic" w:eastAsia="Calibri" w:hAnsi="Century Gothic" w:cs="Arial"/>
          <w:color w:val="000000" w:themeColor="text1"/>
          <w:lang w:val="es-ES_tradnl"/>
        </w:rPr>
      </w:pPr>
      <w:r w:rsidRPr="006430EB">
        <w:rPr>
          <w:rFonts w:ascii="Century Gothic" w:eastAsia="Calibri" w:hAnsi="Century Gothic" w:cs="Arial"/>
          <w:color w:val="000000" w:themeColor="text1"/>
          <w:lang w:val="es-ES_tradnl"/>
        </w:rPr>
        <w:t xml:space="preserve">Los </w:t>
      </w:r>
      <w:r w:rsidRPr="006430EB">
        <w:rPr>
          <w:rFonts w:ascii="Century Gothic" w:eastAsia="Calibri" w:hAnsi="Century Gothic" w:cs="Arial"/>
          <w:i/>
          <w:iCs/>
          <w:color w:val="000000" w:themeColor="text1"/>
          <w:lang w:val="es-ES_tradnl"/>
        </w:rPr>
        <w:t>requisitos habilitantes</w:t>
      </w:r>
      <w:r w:rsidRPr="006430EB">
        <w:rPr>
          <w:rFonts w:ascii="Century Gothic" w:eastAsia="Calibri" w:hAnsi="Century Gothic" w:cs="Arial"/>
          <w:color w:val="000000" w:themeColor="text1"/>
          <w:lang w:val="es-ES_tradnl"/>
        </w:rPr>
        <w:t xml:space="preserve"> se definen como exigencias de participación en los procedimientos de selección, establecidas en disposiciones normativas, de carácter legal o reglamentario, o contenidas en el acto administrativo que regula las reglas de la convocatoria, es decir, en el pliego de condiciones o el documento equivalente a este. Se diferencian de los </w:t>
      </w:r>
      <w:r w:rsidRPr="006430EB">
        <w:rPr>
          <w:rFonts w:ascii="Century Gothic" w:eastAsia="Calibri" w:hAnsi="Century Gothic" w:cs="Arial"/>
          <w:i/>
          <w:iCs/>
          <w:color w:val="000000" w:themeColor="text1"/>
          <w:lang w:val="es-ES_tradnl"/>
        </w:rPr>
        <w:t>criterios de evaluación</w:t>
      </w:r>
      <w:r w:rsidRPr="006430EB">
        <w:rPr>
          <w:rFonts w:ascii="Century Gothic" w:eastAsia="Calibri" w:hAnsi="Century Gothic" w:cs="Arial"/>
          <w:color w:val="000000" w:themeColor="text1"/>
          <w:lang w:val="es-ES_tradnl"/>
        </w:rPr>
        <w:t xml:space="preserve"> –también conocidos como </w:t>
      </w:r>
      <w:r w:rsidRPr="006430EB">
        <w:rPr>
          <w:rFonts w:ascii="Century Gothic" w:eastAsia="Calibri" w:hAnsi="Century Gothic" w:cs="Arial"/>
          <w:i/>
          <w:iCs/>
          <w:color w:val="000000" w:themeColor="text1"/>
          <w:lang w:val="es-ES_tradnl"/>
        </w:rPr>
        <w:t>criterios de calificación</w:t>
      </w:r>
      <w:r w:rsidRPr="006430EB">
        <w:rPr>
          <w:rFonts w:ascii="Century Gothic" w:eastAsia="Calibri" w:hAnsi="Century Gothic" w:cs="Arial"/>
          <w:color w:val="000000" w:themeColor="text1"/>
          <w:lang w:val="es-ES_tradnl"/>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36163F0B" w14:textId="77777777" w:rsidR="00BD7797" w:rsidRPr="006430EB" w:rsidRDefault="00BD7797" w:rsidP="00BD7797">
      <w:pPr>
        <w:spacing w:after="120" w:line="276" w:lineRule="auto"/>
        <w:ind w:firstLine="708"/>
        <w:jc w:val="both"/>
        <w:rPr>
          <w:rFonts w:ascii="Century Gothic" w:eastAsia="Calibri" w:hAnsi="Century Gothic" w:cs="Arial"/>
          <w:color w:val="000000" w:themeColor="text1"/>
          <w:lang w:val="es-ES_tradnl"/>
        </w:rPr>
      </w:pPr>
      <w:r w:rsidRPr="006430EB">
        <w:rPr>
          <w:rFonts w:ascii="Century Gothic" w:eastAsia="Calibri" w:hAnsi="Century Gothic" w:cs="Arial"/>
          <w:color w:val="000000" w:themeColor="text1"/>
          <w:lang w:val="es-ES_tradnl"/>
        </w:rPr>
        <w:t>A partir de lo dicho se deduce entonces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0E7D5F3E" w14:textId="77777777" w:rsidR="00BD7797" w:rsidRPr="006430EB" w:rsidRDefault="00BD7797" w:rsidP="00BD7797">
      <w:pPr>
        <w:spacing w:line="276" w:lineRule="auto"/>
        <w:ind w:firstLine="708"/>
        <w:jc w:val="both"/>
        <w:rPr>
          <w:rFonts w:ascii="Century Gothic" w:eastAsia="Calibri" w:hAnsi="Century Gothic" w:cs="Arial"/>
          <w:color w:val="000000" w:themeColor="text1"/>
          <w:lang w:val="es-ES_tradnl"/>
        </w:rPr>
      </w:pPr>
      <w:r w:rsidRPr="006430EB">
        <w:rPr>
          <w:rFonts w:ascii="Century Gothic" w:eastAsia="Calibri" w:hAnsi="Century Gothic" w:cs="Arial"/>
          <w:color w:val="000000" w:themeColor="text1"/>
          <w:lang w:val="es-ES_tradnl"/>
        </w:rPr>
        <w:t xml:space="preserve">El mencionado artículo dispone que se considera </w:t>
      </w:r>
      <w:r w:rsidRPr="006430EB">
        <w:rPr>
          <w:rFonts w:ascii="Century Gothic" w:eastAsia="Calibri" w:hAnsi="Century Gothic" w:cs="Arial"/>
          <w:i/>
          <w:iCs/>
          <w:color w:val="000000" w:themeColor="text1"/>
          <w:lang w:val="es-ES_tradnl"/>
        </w:rPr>
        <w:t>“</w:t>
      </w:r>
      <w:r w:rsidRPr="006430EB">
        <w:rPr>
          <w:rFonts w:ascii="Century Gothic" w:eastAsia="Calibri" w:hAnsi="Century Gothic" w:cs="Arial"/>
          <w:color w:val="000000" w:themeColor="text1"/>
          <w:lang w:val="es-ES_tradnl"/>
        </w:rPr>
        <w:t>objetiva la selección en la cual la escogencia se haga al ofrecimiento más favorable a la entidad y a los fines que ella busca, sin tener en consideración factores de afecto o de interés y, en general, cualquier clase de motivación subjetiva</w:t>
      </w:r>
      <w:r w:rsidRPr="006430EB">
        <w:rPr>
          <w:rFonts w:ascii="Century Gothic" w:eastAsia="Calibri" w:hAnsi="Century Gothic" w:cs="Arial"/>
          <w:i/>
          <w:iCs/>
          <w:color w:val="000000" w:themeColor="text1"/>
          <w:lang w:val="es-ES_tradnl"/>
        </w:rPr>
        <w:t>”</w:t>
      </w:r>
      <w:r w:rsidRPr="006430EB">
        <w:rPr>
          <w:rFonts w:ascii="Century Gothic" w:eastAsia="Calibri" w:hAnsi="Century Gothic" w:cs="Arial"/>
          <w:color w:val="000000" w:themeColor="text1"/>
          <w:lang w:val="es-ES_tradnl"/>
        </w:rPr>
        <w:t xml:space="preserve">. En ese contexto, los factores de escogencia y calificación que establezcan las entidades en los pliegos de condiciones o sus documentos equivalentes deberán tener en cuenta, entre otras cuestiones, los criterios establecidos en dicha disposición. </w:t>
      </w:r>
    </w:p>
    <w:p w14:paraId="7ABB839E" w14:textId="77777777" w:rsidR="00BD7797" w:rsidRPr="006430EB" w:rsidRDefault="00BD7797" w:rsidP="00BD7797">
      <w:pPr>
        <w:spacing w:before="120" w:line="276" w:lineRule="auto"/>
        <w:ind w:firstLine="709"/>
        <w:jc w:val="both"/>
        <w:rPr>
          <w:rFonts w:ascii="Century Gothic" w:eastAsia="Calibri" w:hAnsi="Century Gothic" w:cs="Arial"/>
          <w:color w:val="000000" w:themeColor="text1"/>
          <w:lang w:val="es-ES_tradnl"/>
        </w:rPr>
      </w:pPr>
      <w:r w:rsidRPr="006430EB">
        <w:rPr>
          <w:rFonts w:ascii="Century Gothic" w:eastAsia="Calibri" w:hAnsi="Century Gothic" w:cs="Arial"/>
          <w:color w:val="000000" w:themeColor="text1"/>
          <w:lang w:val="es-ES_tradnl"/>
        </w:rPr>
        <w:t xml:space="preserve">Específicamente, el numeral 1º del artículo referido establece que en los procesos de selección de contratistas serán objeto de verificación, como requisitos habilitantes, </w:t>
      </w:r>
      <w:r w:rsidRPr="006430EB">
        <w:rPr>
          <w:rFonts w:ascii="Century Gothic" w:eastAsia="Calibri" w:hAnsi="Century Gothic" w:cs="Arial"/>
          <w:i/>
          <w:iCs/>
          <w:color w:val="000000" w:themeColor="text1"/>
          <w:lang w:val="es-ES_tradnl"/>
        </w:rPr>
        <w:t>entre otros</w:t>
      </w:r>
      <w:r w:rsidRPr="006430EB">
        <w:rPr>
          <w:rFonts w:ascii="Century Gothic" w:eastAsia="Calibri" w:hAnsi="Century Gothic" w:cs="Arial"/>
          <w:color w:val="000000" w:themeColor="text1"/>
          <w:lang w:val="es-ES_tradnl"/>
        </w:rPr>
        <w:t xml:space="preserve">, los siguientes: i) la capacidad jurídica; </w:t>
      </w:r>
      <w:proofErr w:type="spellStart"/>
      <w:r w:rsidRPr="006430EB">
        <w:rPr>
          <w:rFonts w:ascii="Century Gothic" w:eastAsia="Calibri" w:hAnsi="Century Gothic" w:cs="Arial"/>
          <w:color w:val="000000" w:themeColor="text1"/>
          <w:lang w:val="es-ES_tradnl"/>
        </w:rPr>
        <w:t>ii</w:t>
      </w:r>
      <w:proofErr w:type="spellEnd"/>
      <w:r w:rsidRPr="006430EB">
        <w:rPr>
          <w:rFonts w:ascii="Century Gothic" w:eastAsia="Calibri" w:hAnsi="Century Gothic" w:cs="Arial"/>
          <w:color w:val="000000" w:themeColor="text1"/>
          <w:lang w:val="es-ES_tradnl"/>
        </w:rPr>
        <w:t xml:space="preserve">) la experiencia; </w:t>
      </w:r>
      <w:proofErr w:type="spellStart"/>
      <w:r w:rsidRPr="006430EB">
        <w:rPr>
          <w:rFonts w:ascii="Century Gothic" w:eastAsia="Calibri" w:hAnsi="Century Gothic" w:cs="Arial"/>
          <w:color w:val="000000" w:themeColor="text1"/>
          <w:lang w:val="es-ES_tradnl"/>
        </w:rPr>
        <w:t>iii</w:t>
      </w:r>
      <w:proofErr w:type="spellEnd"/>
      <w:r w:rsidRPr="006430EB">
        <w:rPr>
          <w:rFonts w:ascii="Century Gothic" w:eastAsia="Calibri" w:hAnsi="Century Gothic" w:cs="Arial"/>
          <w:color w:val="000000" w:themeColor="text1"/>
          <w:lang w:val="es-ES_tradnl"/>
        </w:rPr>
        <w:t xml:space="preserve">) la capacidad financiera y </w:t>
      </w:r>
      <w:proofErr w:type="spellStart"/>
      <w:r w:rsidRPr="006430EB">
        <w:rPr>
          <w:rFonts w:ascii="Century Gothic" w:eastAsia="Calibri" w:hAnsi="Century Gothic" w:cs="Arial"/>
          <w:color w:val="000000" w:themeColor="text1"/>
          <w:lang w:val="es-ES_tradnl"/>
        </w:rPr>
        <w:t>iv</w:t>
      </w:r>
      <w:proofErr w:type="spellEnd"/>
      <w:r w:rsidRPr="006430EB">
        <w:rPr>
          <w:rFonts w:ascii="Century Gothic" w:eastAsia="Calibri" w:hAnsi="Century Gothic" w:cs="Arial"/>
          <w:color w:val="000000" w:themeColor="text1"/>
          <w:lang w:val="es-ES_tradnl"/>
        </w:rPr>
        <w:t xml:space="preserve">) la capacidad de organización. En efecto, la normativa citada dispone: </w:t>
      </w:r>
    </w:p>
    <w:p w14:paraId="06B54A26" w14:textId="77777777" w:rsidR="00BD7797" w:rsidRPr="006430EB" w:rsidRDefault="00BD7797" w:rsidP="00BD7797">
      <w:pPr>
        <w:ind w:left="709" w:right="709"/>
        <w:jc w:val="both"/>
        <w:rPr>
          <w:rFonts w:ascii="Century Gothic" w:eastAsia="Calibri" w:hAnsi="Century Gothic" w:cs="Arial"/>
          <w:color w:val="000000" w:themeColor="text1"/>
          <w:sz w:val="21"/>
          <w:szCs w:val="21"/>
          <w:lang w:val="es-ES_tradnl"/>
        </w:rPr>
      </w:pPr>
      <w:r w:rsidRPr="006430EB">
        <w:rPr>
          <w:rFonts w:ascii="Century Gothic" w:eastAsia="Calibri" w:hAnsi="Century Gothic" w:cs="Arial"/>
          <w:color w:val="000000" w:themeColor="text1"/>
          <w:sz w:val="21"/>
          <w:szCs w:val="21"/>
          <w:lang w:val="es-ES_tradnl"/>
        </w:rPr>
        <w:t xml:space="preserve">“Artículo 5. De la Selección Objetiva. </w:t>
      </w:r>
    </w:p>
    <w:p w14:paraId="73EA501E" w14:textId="77777777" w:rsidR="00BD7797" w:rsidRPr="006430EB" w:rsidRDefault="00BD7797" w:rsidP="00BD7797">
      <w:pPr>
        <w:spacing w:after="120"/>
        <w:ind w:left="709" w:right="709"/>
        <w:jc w:val="both"/>
        <w:rPr>
          <w:rFonts w:ascii="Century Gothic" w:eastAsia="Calibri" w:hAnsi="Century Gothic" w:cs="Arial"/>
          <w:color w:val="000000" w:themeColor="text1"/>
          <w:sz w:val="21"/>
          <w:szCs w:val="21"/>
          <w:lang w:val="es-ES_tradnl"/>
        </w:rPr>
      </w:pPr>
      <w:r w:rsidRPr="006430EB">
        <w:rPr>
          <w:rFonts w:ascii="Century Gothic" w:eastAsia="Calibri" w:hAnsi="Century Gothic" w:cs="Arial"/>
          <w:color w:val="000000" w:themeColor="text1"/>
          <w:sz w:val="21"/>
          <w:szCs w:val="21"/>
          <w:lang w:val="es-ES_tradnl"/>
        </w:rPr>
        <w:t>[…]</w:t>
      </w:r>
    </w:p>
    <w:p w14:paraId="7F109790" w14:textId="77777777" w:rsidR="00BD7797" w:rsidRPr="006430EB" w:rsidRDefault="00BD7797" w:rsidP="00BD7797">
      <w:pPr>
        <w:spacing w:after="120"/>
        <w:ind w:left="709" w:right="709"/>
        <w:jc w:val="both"/>
        <w:rPr>
          <w:rFonts w:ascii="Century Gothic" w:eastAsia="Calibri" w:hAnsi="Century Gothic" w:cs="Arial"/>
          <w:color w:val="000000" w:themeColor="text1"/>
          <w:sz w:val="21"/>
          <w:szCs w:val="21"/>
          <w:lang w:val="es-ES_tradnl"/>
        </w:rPr>
      </w:pPr>
      <w:r w:rsidRPr="006430EB">
        <w:rPr>
          <w:rFonts w:ascii="Century Gothic" w:eastAsia="Calibri" w:hAnsi="Century Gothic" w:cs="Arial"/>
          <w:color w:val="000000" w:themeColor="text1"/>
          <w:sz w:val="21"/>
          <w:szCs w:val="21"/>
          <w:lang w:val="es-ES_tradnl"/>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 […]”</w:t>
      </w:r>
    </w:p>
    <w:p w14:paraId="3A937B81" w14:textId="77777777" w:rsidR="00BD7797" w:rsidRPr="006430EB" w:rsidRDefault="00BD7797" w:rsidP="00BD7797">
      <w:pPr>
        <w:spacing w:after="120" w:line="276" w:lineRule="auto"/>
        <w:ind w:firstLine="709"/>
        <w:jc w:val="both"/>
        <w:rPr>
          <w:rFonts w:ascii="Century Gothic" w:hAnsi="Century Gothic" w:cs="Arial"/>
          <w:color w:val="000000" w:themeColor="text1"/>
          <w:lang w:val="es-ES_tradnl"/>
        </w:rPr>
      </w:pPr>
      <w:r w:rsidRPr="006430EB">
        <w:rPr>
          <w:rFonts w:ascii="Century Gothic" w:hAnsi="Century Gothic" w:cs="Arial"/>
          <w:color w:val="000000" w:themeColor="text1"/>
          <w:lang w:val="es-ES_tradnl"/>
        </w:rPr>
        <w:t xml:space="preserve">Una vez fijados los requisitos habilitantes por la Entidad Estatal, quienes presenten ofertas deben </w:t>
      </w:r>
      <w:r w:rsidRPr="006430EB">
        <w:rPr>
          <w:rFonts w:ascii="Century Gothic" w:hAnsi="Century Gothic" w:cs="Arial"/>
          <w:bCs/>
          <w:i/>
          <w:iCs/>
          <w:color w:val="000000" w:themeColor="text1"/>
          <w:lang w:val="es-ES_tradnl"/>
        </w:rPr>
        <w:t>acreditar</w:t>
      </w:r>
      <w:r w:rsidRPr="006430EB">
        <w:rPr>
          <w:rFonts w:ascii="Century Gothic" w:hAnsi="Century Gothic" w:cs="Arial"/>
          <w:color w:val="000000" w:themeColor="text1"/>
          <w:lang w:val="es-ES_tradnl"/>
        </w:rPr>
        <w:t xml:space="preserve"> que cumplen con los mismos, pues, en el evento contrario, las propuestas deberán ser rechazadas. </w:t>
      </w:r>
    </w:p>
    <w:p w14:paraId="46F5D802" w14:textId="77777777" w:rsidR="00BD7797" w:rsidRPr="006430EB" w:rsidRDefault="00BD7797" w:rsidP="00BD7797">
      <w:pPr>
        <w:spacing w:after="120" w:line="276" w:lineRule="auto"/>
        <w:ind w:firstLine="709"/>
        <w:jc w:val="both"/>
        <w:rPr>
          <w:rFonts w:ascii="Century Gothic" w:eastAsia="Calibri" w:hAnsi="Century Gothic" w:cs="Arial"/>
          <w:color w:val="000000" w:themeColor="text1"/>
          <w:lang w:val="es-ES_tradnl"/>
        </w:rPr>
      </w:pPr>
    </w:p>
    <w:p w14:paraId="606C9DE4" w14:textId="77777777" w:rsidR="00BD7797" w:rsidRPr="006430EB" w:rsidRDefault="00BD7797" w:rsidP="00BD7797">
      <w:pPr>
        <w:spacing w:after="240" w:line="276" w:lineRule="auto"/>
        <w:jc w:val="both"/>
        <w:rPr>
          <w:rFonts w:ascii="Century Gothic" w:hAnsi="Century Gothic" w:cs="Arial"/>
          <w:b/>
          <w:color w:val="000000" w:themeColor="text1"/>
          <w:lang w:eastAsia="es-MX"/>
        </w:rPr>
      </w:pPr>
      <w:r w:rsidRPr="006430EB">
        <w:rPr>
          <w:rFonts w:ascii="Century Gothic" w:hAnsi="Century Gothic" w:cs="Arial"/>
          <w:b/>
          <w:color w:val="000000" w:themeColor="text1"/>
          <w:lang w:eastAsia="es-MX"/>
        </w:rPr>
        <w:t>2.2.</w:t>
      </w:r>
      <w:r w:rsidRPr="006430EB">
        <w:rPr>
          <w:rFonts w:ascii="Century Gothic" w:hAnsi="Century Gothic" w:cs="Arial"/>
          <w:b/>
          <w:color w:val="000000" w:themeColor="text1"/>
          <w:lang w:eastAsia="es-MX"/>
        </w:rPr>
        <w:tab/>
        <w:t xml:space="preserve">Carácter enunciativo de los requisitos habilitantes previstos en el artículo 5, numeral 1, de la Ley 1150 de 2007 y autonomía de la voluntad de las entidades estatales para establecerlos </w:t>
      </w:r>
    </w:p>
    <w:p w14:paraId="41F21383" w14:textId="77777777" w:rsidR="00BD7797" w:rsidRPr="006430EB" w:rsidRDefault="00BD7797" w:rsidP="00BD7797">
      <w:pPr>
        <w:spacing w:line="276" w:lineRule="auto"/>
        <w:jc w:val="both"/>
        <w:rPr>
          <w:rFonts w:ascii="Century Gothic" w:hAnsi="Century Gothic" w:cs="Arial"/>
          <w:color w:val="000000" w:themeColor="text1"/>
          <w:lang w:val="es-ES_tradnl"/>
        </w:rPr>
      </w:pPr>
      <w:r w:rsidRPr="006430EB">
        <w:rPr>
          <w:rFonts w:ascii="Century Gothic" w:hAnsi="Century Gothic" w:cs="Arial"/>
          <w:color w:val="000000" w:themeColor="text1"/>
          <w:lang w:val="es-ES_tradnl"/>
        </w:rPr>
        <w:t xml:space="preserve">Es necesario indagar si los requisitos habilitantes establecidos en el artículo 5, numeral 1, de la Ley 1150 de 2007, tienen la característica de taxativos, esto es, si son los únicos requisitos habilitantes que puede exigirles una entidad a los proponentes. Esta pregunta tiene, al menos, dos respuestas posibles. Por un lado, que sí lo son, pues la norma no hace referencia a otros diferentes. Por el otro, que no lo son, pues esta no contiene una expresión como </w:t>
      </w:r>
      <w:r w:rsidRPr="006430EB">
        <w:rPr>
          <w:rFonts w:ascii="Century Gothic" w:hAnsi="Century Gothic" w:cs="Arial"/>
          <w:i/>
          <w:iCs/>
          <w:color w:val="000000" w:themeColor="text1"/>
          <w:lang w:val="es-ES_tradnl"/>
        </w:rPr>
        <w:t>“</w:t>
      </w:r>
      <w:r w:rsidRPr="006430EB">
        <w:rPr>
          <w:rFonts w:ascii="Century Gothic" w:hAnsi="Century Gothic" w:cs="Arial"/>
          <w:color w:val="000000" w:themeColor="text1"/>
          <w:lang w:val="es-ES_tradnl"/>
        </w:rPr>
        <w:t>únicamente</w:t>
      </w:r>
      <w:r w:rsidRPr="006430EB">
        <w:rPr>
          <w:rFonts w:ascii="Century Gothic" w:hAnsi="Century Gothic" w:cs="Arial"/>
          <w:i/>
          <w:iCs/>
          <w:color w:val="000000" w:themeColor="text1"/>
          <w:lang w:val="es-ES_tradnl"/>
        </w:rPr>
        <w:t>”</w:t>
      </w:r>
      <w:r w:rsidRPr="006430EB">
        <w:rPr>
          <w:rFonts w:ascii="Century Gothic" w:hAnsi="Century Gothic" w:cs="Arial"/>
          <w:color w:val="000000" w:themeColor="text1"/>
          <w:lang w:val="es-ES_tradnl"/>
        </w:rPr>
        <w:t xml:space="preserve"> o </w:t>
      </w:r>
      <w:r w:rsidRPr="006430EB">
        <w:rPr>
          <w:rFonts w:ascii="Century Gothic" w:hAnsi="Century Gothic" w:cs="Arial"/>
          <w:i/>
          <w:iCs/>
          <w:color w:val="000000" w:themeColor="text1"/>
          <w:lang w:val="es-ES_tradnl"/>
        </w:rPr>
        <w:t>“</w:t>
      </w:r>
      <w:r w:rsidRPr="006430EB">
        <w:rPr>
          <w:rFonts w:ascii="Century Gothic" w:hAnsi="Century Gothic" w:cs="Arial"/>
          <w:color w:val="000000" w:themeColor="text1"/>
          <w:lang w:val="es-ES_tradnl"/>
        </w:rPr>
        <w:t>solo</w:t>
      </w:r>
      <w:r w:rsidRPr="006430EB">
        <w:rPr>
          <w:rFonts w:ascii="Century Gothic" w:hAnsi="Century Gothic" w:cs="Arial"/>
          <w:i/>
          <w:iCs/>
          <w:color w:val="000000" w:themeColor="text1"/>
          <w:lang w:val="es-ES_tradnl"/>
        </w:rPr>
        <w:t>”</w:t>
      </w:r>
      <w:r w:rsidRPr="006430EB">
        <w:rPr>
          <w:rFonts w:ascii="Century Gothic" w:hAnsi="Century Gothic" w:cs="Arial"/>
          <w:color w:val="000000" w:themeColor="text1"/>
          <w:lang w:val="es-ES_tradnl"/>
        </w:rPr>
        <w:t>, al referirse a los requisitos habilitantes y, además, debido a que la lectura integral de las normas que regulan la contratación estatal permite concluir que existen otras condiciones que deben cumplirse para la contratación con una entidad pública, como pasa, por ejemplo, con la capacidad residual a la que se refiere el artículo 6º, parágrafo 1, de la Ley 1150 de 2007</w:t>
      </w:r>
      <w:r w:rsidRPr="006430EB">
        <w:rPr>
          <w:rFonts w:ascii="Century Gothic" w:hAnsi="Century Gothic" w:cs="Arial"/>
          <w:color w:val="000000" w:themeColor="text1"/>
          <w:vertAlign w:val="superscript"/>
          <w:lang w:val="es-ES_tradnl"/>
        </w:rPr>
        <w:footnoteReference w:id="4"/>
      </w:r>
      <w:r w:rsidRPr="006430EB">
        <w:rPr>
          <w:rFonts w:ascii="Century Gothic" w:hAnsi="Century Gothic" w:cs="Arial"/>
          <w:color w:val="000000" w:themeColor="text1"/>
          <w:lang w:val="es-ES_tradnl"/>
        </w:rPr>
        <w:t xml:space="preserve">. Esta segunda respuesta contiene la interpretación jurídica que comparte la Agencia Nacional de Contratación Pública en la actualidad. </w:t>
      </w:r>
    </w:p>
    <w:p w14:paraId="7EE360B4" w14:textId="77777777" w:rsidR="00BD7797" w:rsidRPr="006430EB" w:rsidRDefault="00BD7797" w:rsidP="00BD7797">
      <w:pPr>
        <w:spacing w:before="120" w:line="276" w:lineRule="auto"/>
        <w:ind w:firstLine="709"/>
        <w:jc w:val="both"/>
        <w:rPr>
          <w:rFonts w:ascii="Century Gothic" w:hAnsi="Century Gothic" w:cs="Arial"/>
          <w:color w:val="000000" w:themeColor="text1"/>
          <w:lang w:val="es-ES_tradnl"/>
        </w:rPr>
      </w:pPr>
      <w:r w:rsidRPr="006430EB">
        <w:rPr>
          <w:rFonts w:ascii="Century Gothic" w:hAnsi="Century Gothic" w:cs="Arial"/>
          <w:color w:val="000000" w:themeColor="text1"/>
          <w:lang w:val="es-ES_tradnl"/>
        </w:rPr>
        <w:t>Existen otros argumentos que sustentan dicha elección interpretativa. Como lo han considerado la Corte Constitucional</w:t>
      </w:r>
      <w:r w:rsidRPr="006430EB">
        <w:rPr>
          <w:rFonts w:ascii="Century Gothic" w:hAnsi="Century Gothic" w:cs="Arial"/>
          <w:color w:val="000000" w:themeColor="text1"/>
          <w:vertAlign w:val="superscript"/>
          <w:lang w:val="es-ES_tradnl"/>
        </w:rPr>
        <w:footnoteReference w:id="5"/>
      </w:r>
      <w:r w:rsidRPr="006430EB">
        <w:rPr>
          <w:rFonts w:ascii="Century Gothic" w:hAnsi="Century Gothic" w:cs="Arial"/>
          <w:color w:val="000000" w:themeColor="text1"/>
          <w:lang w:val="es-ES_tradnl"/>
        </w:rPr>
        <w:t xml:space="preserve"> y el Consejo de Estado</w:t>
      </w:r>
      <w:r w:rsidRPr="006430EB">
        <w:rPr>
          <w:rFonts w:ascii="Century Gothic" w:hAnsi="Century Gothic" w:cs="Arial"/>
          <w:color w:val="000000" w:themeColor="text1"/>
          <w:vertAlign w:val="superscript"/>
          <w:lang w:val="es-ES_tradnl"/>
        </w:rPr>
        <w:footnoteReference w:id="6"/>
      </w:r>
      <w:r w:rsidRPr="006430EB">
        <w:rPr>
          <w:rFonts w:ascii="Century Gothic" w:hAnsi="Century Gothic" w:cs="Arial"/>
          <w:color w:val="000000" w:themeColor="text1"/>
          <w:lang w:val="es-ES_tradnl"/>
        </w:rPr>
        <w:t xml:space="preserve">, en virtud del </w:t>
      </w:r>
      <w:r w:rsidRPr="006430EB">
        <w:rPr>
          <w:rFonts w:ascii="Century Gothic" w:hAnsi="Century Gothic" w:cs="Arial"/>
          <w:i/>
          <w:iCs/>
          <w:color w:val="000000" w:themeColor="text1"/>
          <w:lang w:val="es-ES_tradnl"/>
        </w:rPr>
        <w:t>“</w:t>
      </w:r>
      <w:r w:rsidRPr="006430EB">
        <w:rPr>
          <w:rFonts w:ascii="Century Gothic" w:hAnsi="Century Gothic" w:cs="Arial"/>
          <w:color w:val="000000" w:themeColor="text1"/>
          <w:lang w:val="es-ES_tradnl"/>
        </w:rPr>
        <w:t>principio del efecto útil</w:t>
      </w:r>
      <w:r w:rsidRPr="006430EB">
        <w:rPr>
          <w:rFonts w:ascii="Century Gothic" w:hAnsi="Century Gothic" w:cs="Arial"/>
          <w:i/>
          <w:iCs/>
          <w:color w:val="000000" w:themeColor="text1"/>
          <w:lang w:val="es-ES_tradnl"/>
        </w:rPr>
        <w:t>”</w:t>
      </w:r>
      <w:r w:rsidRPr="006430EB">
        <w:rPr>
          <w:rFonts w:ascii="Century Gothic" w:hAnsi="Century Gothic" w:cs="Arial"/>
          <w:color w:val="000000" w:themeColor="text1"/>
          <w:lang w:val="es-ES_tradnl"/>
        </w:rPr>
        <w:t xml:space="preserve">, el texto de una norma debe ser interpretado de manera que todo cuanto ella prescribe produzca consecuencias jurídicas. En ese contexto, surge la inquietud en relación con los efectos del parágrafo 2 del mismo artículo 5 de la Ley 1150 de 2007, pues si la intención del legislador era que sólo fueran requisitos habilitantes los cuatro que contiene el numeral 1 de dicha disposición, ¿cómo se explica que el referido parágrafo aclare que </w:t>
      </w:r>
      <w:r w:rsidRPr="006430EB">
        <w:rPr>
          <w:rFonts w:ascii="Century Gothic" w:hAnsi="Century Gothic" w:cs="Arial"/>
          <w:i/>
          <w:iCs/>
          <w:color w:val="000000" w:themeColor="text1"/>
          <w:lang w:val="es-ES_tradnl"/>
        </w:rPr>
        <w:t>“</w:t>
      </w:r>
      <w:r w:rsidRPr="006430EB">
        <w:rPr>
          <w:rFonts w:ascii="Century Gothic" w:hAnsi="Century Gothic" w:cs="Arial"/>
          <w:color w:val="000000" w:themeColor="text1"/>
          <w:lang w:val="es-ES_tradnl"/>
        </w:rPr>
        <w:t>las certificaciones de sistemas de gestión de calidad no serán objeto de calificación, ni podrán establecerse como documento habilitante para participar en licitaciones o concursos</w:t>
      </w:r>
      <w:r w:rsidRPr="006430EB">
        <w:rPr>
          <w:rFonts w:ascii="Century Gothic" w:hAnsi="Century Gothic" w:cs="Arial"/>
          <w:i/>
          <w:iCs/>
          <w:color w:val="000000" w:themeColor="text1"/>
          <w:lang w:val="es-ES_tradnl"/>
        </w:rPr>
        <w:t>”</w:t>
      </w:r>
      <w:r w:rsidRPr="006430EB">
        <w:rPr>
          <w:rFonts w:ascii="Century Gothic" w:hAnsi="Century Gothic" w:cs="Arial"/>
          <w:color w:val="000000" w:themeColor="text1"/>
          <w:lang w:val="es-ES_tradnl"/>
        </w:rPr>
        <w:t xml:space="preserve">? Si se interpreta que solo son cuatro los requisitos habilitantes, el parágrafo 2 carecería de efectos jurídicos y, por ende, no tendría ninguna consecuencia normativa que en el mismo artículo se aclare que una exigencia no puede ser considera como requisito habilitante. </w:t>
      </w:r>
    </w:p>
    <w:p w14:paraId="7401CA9B" w14:textId="77777777" w:rsidR="00BD7797" w:rsidRPr="006430EB" w:rsidRDefault="00BD7797" w:rsidP="00BD7797">
      <w:pPr>
        <w:spacing w:before="120" w:line="276" w:lineRule="auto"/>
        <w:ind w:firstLine="709"/>
        <w:jc w:val="both"/>
        <w:rPr>
          <w:rFonts w:ascii="Century Gothic" w:hAnsi="Century Gothic" w:cs="Arial"/>
          <w:color w:val="000000" w:themeColor="text1"/>
          <w:lang w:val="es-ES_tradnl"/>
        </w:rPr>
      </w:pPr>
      <w:r w:rsidRPr="006430EB">
        <w:rPr>
          <w:rFonts w:ascii="Century Gothic" w:hAnsi="Century Gothic" w:cs="Arial"/>
          <w:color w:val="000000" w:themeColor="text1"/>
          <w:lang w:val="es-ES_tradnl"/>
        </w:rPr>
        <w:t xml:space="preserve">La intención del legislador, de la cual dan cuenta los antecedentes legislativos de la norma </w:t>
      </w:r>
      <w:r w:rsidRPr="006430EB">
        <w:rPr>
          <w:rFonts w:ascii="Century Gothic" w:hAnsi="Century Gothic" w:cs="Arial"/>
          <w:i/>
          <w:iCs/>
          <w:color w:val="000000" w:themeColor="text1"/>
          <w:lang w:val="es-ES_tradnl"/>
        </w:rPr>
        <w:t>sub examine</w:t>
      </w:r>
      <w:r w:rsidRPr="006430EB">
        <w:rPr>
          <w:rFonts w:ascii="Century Gothic" w:hAnsi="Century Gothic" w:cs="Arial"/>
          <w:color w:val="000000" w:themeColor="text1"/>
          <w:lang w:val="es-ES_tradnl"/>
        </w:rPr>
        <w:t>, también justifica la interpretación propuesta por esta Agencia, ya que fue hasta el cuarto debate legislativo en donde se incluyó el parágrafo comentado anteriormente</w:t>
      </w:r>
      <w:r w:rsidRPr="006430EB">
        <w:rPr>
          <w:rFonts w:ascii="Century Gothic" w:hAnsi="Century Gothic" w:cs="Arial"/>
          <w:color w:val="000000" w:themeColor="text1"/>
          <w:vertAlign w:val="superscript"/>
          <w:lang w:val="es-ES_tradnl"/>
        </w:rPr>
        <w:footnoteReference w:id="7"/>
      </w:r>
      <w:r w:rsidRPr="006430EB">
        <w:rPr>
          <w:rFonts w:ascii="Century Gothic" w:hAnsi="Century Gothic" w:cs="Arial"/>
          <w:color w:val="000000" w:themeColor="text1"/>
          <w:lang w:val="es-ES_tradnl"/>
        </w:rPr>
        <w:t>, lo que deja ver la necesidad que tenía el Congreso de aclarar que unos documentos no podrían ser tenidos como requisitos habilitantes, lo que da cuenta, a su vez, del reconocimiento tácito de la existencia de otros requisitos habilitantes, distintos a los cuatro que establece el artículo 5, parágrafo 1, de la Ley 1150 de 2007, reglamentados en el artículo 2.2.1.1.1.5.3 del Decreto 1082 de 2015</w:t>
      </w:r>
      <w:r w:rsidRPr="006430EB">
        <w:rPr>
          <w:rStyle w:val="Refdenotaalpie"/>
          <w:rFonts w:ascii="Century Gothic" w:hAnsi="Century Gothic" w:cs="Arial"/>
          <w:color w:val="000000" w:themeColor="text1"/>
          <w:lang w:val="es-ES_tradnl"/>
        </w:rPr>
        <w:footnoteReference w:id="8"/>
      </w:r>
      <w:r w:rsidRPr="006430EB">
        <w:rPr>
          <w:rFonts w:ascii="Century Gothic" w:hAnsi="Century Gothic" w:cs="Arial"/>
          <w:color w:val="000000" w:themeColor="text1"/>
          <w:lang w:val="es-ES_tradnl"/>
        </w:rPr>
        <w:t>.</w:t>
      </w:r>
    </w:p>
    <w:p w14:paraId="03C687D6" w14:textId="77777777" w:rsidR="00BD7797" w:rsidRPr="006430EB" w:rsidRDefault="00BD7797" w:rsidP="00BD7797">
      <w:pPr>
        <w:spacing w:before="120" w:line="276" w:lineRule="auto"/>
        <w:ind w:firstLine="709"/>
        <w:jc w:val="both"/>
        <w:rPr>
          <w:rFonts w:ascii="Century Gothic" w:hAnsi="Century Gothic" w:cs="Arial"/>
          <w:color w:val="000000" w:themeColor="text1"/>
          <w:lang w:val="es-ES_tradnl"/>
        </w:rPr>
      </w:pPr>
      <w:r w:rsidRPr="006430EB">
        <w:rPr>
          <w:rFonts w:ascii="Century Gothic" w:hAnsi="Century Gothic" w:cs="Arial"/>
          <w:color w:val="000000" w:themeColor="text1"/>
          <w:lang w:val="es-ES_tradnl"/>
        </w:rPr>
        <w:t xml:space="preserve">Por otro lado, en el </w:t>
      </w:r>
      <w:r w:rsidRPr="006430EB">
        <w:rPr>
          <w:rFonts w:ascii="Century Gothic" w:hAnsi="Century Gothic" w:cs="Arial"/>
          <w:i/>
          <w:iCs/>
          <w:color w:val="000000" w:themeColor="text1"/>
          <w:lang w:val="es-ES_tradnl"/>
        </w:rPr>
        <w:t>“Manual para determinar y verificar los requisitos habilitantes en los Procesos de Contratación”</w:t>
      </w:r>
      <w:r w:rsidRPr="006430EB">
        <w:rPr>
          <w:rStyle w:val="Refdenotaalpie"/>
          <w:rFonts w:ascii="Century Gothic" w:hAnsi="Century Gothic" w:cs="Arial"/>
          <w:i/>
          <w:iCs/>
          <w:color w:val="000000" w:themeColor="text1"/>
          <w:lang w:val="es-ES_tradnl"/>
        </w:rPr>
        <w:footnoteReference w:id="9"/>
      </w:r>
      <w:r w:rsidRPr="006430EB">
        <w:rPr>
          <w:rFonts w:ascii="Century Gothic" w:hAnsi="Century Gothic" w:cs="Arial"/>
          <w:color w:val="000000" w:themeColor="text1"/>
          <w:lang w:val="es-ES_tradnl"/>
        </w:rPr>
        <w:t xml:space="preserve"> expedido por esta Agencia, se determinaron los parámetros para </w:t>
      </w:r>
      <w:r w:rsidRPr="006430EB">
        <w:rPr>
          <w:rFonts w:ascii="Century Gothic" w:hAnsi="Century Gothic" w:cs="Arial"/>
          <w:i/>
          <w:iCs/>
          <w:color w:val="000000" w:themeColor="text1"/>
          <w:lang w:val="es-ES_tradnl"/>
        </w:rPr>
        <w:t>establecer</w:t>
      </w:r>
      <w:r w:rsidRPr="006430EB">
        <w:rPr>
          <w:rFonts w:ascii="Century Gothic" w:hAnsi="Century Gothic" w:cs="Arial"/>
          <w:color w:val="000000" w:themeColor="text1"/>
          <w:lang w:val="es-ES_tradnl"/>
        </w:rPr>
        <w:t xml:space="preserve">, </w:t>
      </w:r>
      <w:r w:rsidRPr="006430EB">
        <w:rPr>
          <w:rFonts w:ascii="Century Gothic" w:hAnsi="Century Gothic" w:cs="Arial"/>
          <w:i/>
          <w:iCs/>
          <w:color w:val="000000" w:themeColor="text1"/>
          <w:lang w:val="es-ES_tradnl"/>
        </w:rPr>
        <w:t>acreditar</w:t>
      </w:r>
      <w:r w:rsidRPr="006430EB">
        <w:rPr>
          <w:rFonts w:ascii="Century Gothic" w:hAnsi="Century Gothic" w:cs="Arial"/>
          <w:color w:val="000000" w:themeColor="text1"/>
          <w:lang w:val="es-ES_tradnl"/>
        </w:rPr>
        <w:t xml:space="preserve"> y </w:t>
      </w:r>
      <w:r w:rsidRPr="006430EB">
        <w:rPr>
          <w:rFonts w:ascii="Century Gothic" w:hAnsi="Century Gothic" w:cs="Arial"/>
          <w:i/>
          <w:iCs/>
          <w:color w:val="000000" w:themeColor="text1"/>
          <w:lang w:val="es-ES_tradnl"/>
        </w:rPr>
        <w:t>subsanar</w:t>
      </w:r>
      <w:r w:rsidRPr="006430EB">
        <w:rPr>
          <w:rFonts w:ascii="Century Gothic" w:hAnsi="Century Gothic" w:cs="Arial"/>
          <w:color w:val="000000" w:themeColor="text1"/>
          <w:lang w:val="es-ES_tradnl"/>
        </w:rPr>
        <w:t xml:space="preserve"> los requisitos habilitantes estudiados en los párrafos precedentes. Allí también se precisó que los requisitos habilitantes tienen como fin primordial medir </w:t>
      </w:r>
      <w:r w:rsidRPr="006430EB">
        <w:rPr>
          <w:rFonts w:ascii="Century Gothic" w:hAnsi="Century Gothic" w:cs="Arial"/>
          <w:i/>
          <w:iCs/>
          <w:color w:val="000000" w:themeColor="text1"/>
          <w:lang w:val="es-ES_tradnl"/>
        </w:rPr>
        <w:t>“</w:t>
      </w:r>
      <w:r w:rsidRPr="006430EB">
        <w:rPr>
          <w:rFonts w:ascii="Century Gothic" w:hAnsi="Century Gothic" w:cs="Arial"/>
          <w:color w:val="000000" w:themeColor="text1"/>
          <w:lang w:val="es-ES_tradnl"/>
        </w:rPr>
        <w:t>la aptitud del proponente para participar en un Proceso de Contratación como oferente y están referidos a su capacidad jurídica, financiera, organizacional y su experiencia</w:t>
      </w:r>
      <w:r w:rsidRPr="006430EB">
        <w:rPr>
          <w:rFonts w:ascii="Century Gothic" w:hAnsi="Century Gothic" w:cs="Arial"/>
          <w:i/>
          <w:iCs/>
          <w:color w:val="000000" w:themeColor="text1"/>
          <w:lang w:val="es-ES_tradnl"/>
        </w:rPr>
        <w:t>”</w:t>
      </w:r>
      <w:r w:rsidRPr="006430EB">
        <w:rPr>
          <w:rFonts w:ascii="Century Gothic" w:hAnsi="Century Gothic" w:cs="Arial"/>
          <w:color w:val="000000" w:themeColor="text1"/>
          <w:lang w:val="es-ES_tradnl"/>
        </w:rPr>
        <w:t xml:space="preserve">. De acuerdo con el Manual, su propósito consiste en </w:t>
      </w:r>
      <w:r w:rsidRPr="006430EB">
        <w:rPr>
          <w:rFonts w:ascii="Century Gothic" w:hAnsi="Century Gothic" w:cs="Arial"/>
          <w:i/>
          <w:iCs/>
          <w:color w:val="000000" w:themeColor="text1"/>
          <w:lang w:val="es-ES_tradnl"/>
        </w:rPr>
        <w:t>“</w:t>
      </w:r>
      <w:r w:rsidRPr="006430EB">
        <w:rPr>
          <w:rFonts w:ascii="Century Gothic" w:hAnsi="Century Gothic" w:cs="Arial"/>
          <w:color w:val="000000" w:themeColor="text1"/>
          <w:lang w:val="es-ES_tradnl"/>
        </w:rPr>
        <w:t xml:space="preserve">establecer unas condiciones mínimas para los proponentes de tal manera que la </w:t>
      </w:r>
      <w:r w:rsidRPr="006430EB">
        <w:rPr>
          <w:rFonts w:ascii="Century Gothic" w:hAnsi="Century Gothic" w:cs="Arial"/>
          <w:i/>
          <w:iCs/>
          <w:color w:val="000000" w:themeColor="text1"/>
          <w:lang w:val="es-ES_tradnl"/>
        </w:rPr>
        <w:t>Entidad Estatal</w:t>
      </w:r>
      <w:r w:rsidRPr="006430EB">
        <w:rPr>
          <w:rFonts w:ascii="Century Gothic" w:hAnsi="Century Gothic" w:cs="Arial"/>
          <w:color w:val="000000" w:themeColor="text1"/>
          <w:lang w:val="es-ES_tradnl"/>
        </w:rPr>
        <w:t xml:space="preserve"> sólo evalúe las ofertas de aquellos que están en condiciones de cumplir con el objeto del Proceso de Contratación</w:t>
      </w:r>
      <w:r w:rsidRPr="006430EB">
        <w:rPr>
          <w:rFonts w:ascii="Century Gothic" w:hAnsi="Century Gothic" w:cs="Arial"/>
          <w:i/>
          <w:iCs/>
          <w:color w:val="000000" w:themeColor="text1"/>
          <w:lang w:val="es-ES_tradnl"/>
        </w:rPr>
        <w:t>”</w:t>
      </w:r>
      <w:r w:rsidRPr="006430EB">
        <w:rPr>
          <w:rFonts w:ascii="Century Gothic" w:hAnsi="Century Gothic" w:cs="Arial"/>
          <w:color w:val="000000" w:themeColor="text1"/>
          <w:lang w:val="es-ES_tradnl"/>
        </w:rPr>
        <w:t>. En otras palabras, al tratarse de condiciones mínimas, significa que las entidades podrían establecer otras, según su autonomía de la voluntad, y teniendo en cuenta el objeto del contrato, los riesgos detectados en los estudios previos, el presupuesto oficial, entre otros factores.</w:t>
      </w:r>
    </w:p>
    <w:p w14:paraId="7255C307" w14:textId="77777777" w:rsidR="00BD7797" w:rsidRPr="006430EB" w:rsidRDefault="00BD7797" w:rsidP="00BD7797">
      <w:pPr>
        <w:spacing w:before="120" w:after="120" w:line="276" w:lineRule="auto"/>
        <w:ind w:firstLine="709"/>
        <w:jc w:val="both"/>
        <w:rPr>
          <w:rFonts w:ascii="Century Gothic" w:hAnsi="Century Gothic" w:cs="Arial"/>
          <w:color w:val="000000" w:themeColor="text1"/>
          <w:lang w:val="es-ES_tradnl"/>
        </w:rPr>
      </w:pPr>
      <w:r w:rsidRPr="006430EB">
        <w:rPr>
          <w:rFonts w:ascii="Century Gothic" w:hAnsi="Century Gothic" w:cs="Arial"/>
          <w:color w:val="000000" w:themeColor="text1"/>
          <w:lang w:val="es-ES_tradnl"/>
        </w:rPr>
        <w:t xml:space="preserve">En consecuencia, corresponde a las entidades estatales, durante la etapa de planeación del contrato estatal, estudiar y </w:t>
      </w:r>
      <w:r w:rsidRPr="006430EB">
        <w:rPr>
          <w:rFonts w:ascii="Century Gothic" w:hAnsi="Century Gothic" w:cs="Arial"/>
          <w:bCs/>
          <w:iCs/>
          <w:color w:val="000000" w:themeColor="text1"/>
          <w:lang w:val="es-ES_tradnl"/>
        </w:rPr>
        <w:t>determinar</w:t>
      </w:r>
      <w:r w:rsidRPr="006430EB">
        <w:rPr>
          <w:rFonts w:ascii="Century Gothic" w:hAnsi="Century Gothic" w:cs="Arial"/>
          <w:color w:val="000000" w:themeColor="text1"/>
          <w:lang w:val="es-ES_tradnl"/>
        </w:rPr>
        <w:t xml:space="preserve"> los requisitos habilitantes que establecerán en los pliegos de condiciones, los cuales deben fijarse de forma adecuada y proporcional. Esto último, según se deriva de la lectura del artículo 2.2.1.1.1.6.2 del Decreto 1082 de 2015, debe hacerse de acuerdo con la naturaleza, el valor del contrato, la forma de pago, los </w:t>
      </w:r>
      <w:r w:rsidRPr="006430EB">
        <w:rPr>
          <w:rFonts w:ascii="Century Gothic" w:hAnsi="Century Gothic" w:cs="Arial"/>
          <w:i/>
          <w:iCs/>
          <w:color w:val="000000" w:themeColor="text1"/>
          <w:lang w:val="es-ES_tradnl"/>
        </w:rPr>
        <w:t>riesgos</w:t>
      </w:r>
      <w:r w:rsidRPr="006430EB">
        <w:rPr>
          <w:rFonts w:ascii="Century Gothic" w:hAnsi="Century Gothic" w:cs="Arial"/>
          <w:color w:val="000000" w:themeColor="text1"/>
          <w:lang w:val="es-ES_tradnl"/>
        </w:rPr>
        <w:t xml:space="preserve"> </w:t>
      </w:r>
      <w:r w:rsidRPr="006430EB">
        <w:rPr>
          <w:rFonts w:ascii="Century Gothic" w:hAnsi="Century Gothic" w:cs="Arial"/>
          <w:i/>
          <w:iCs/>
          <w:color w:val="000000" w:themeColor="text1"/>
          <w:lang w:val="es-ES_tradnl"/>
        </w:rPr>
        <w:t>asociados al contrato</w:t>
      </w:r>
      <w:r w:rsidRPr="006430EB">
        <w:rPr>
          <w:rFonts w:ascii="Century Gothic" w:hAnsi="Century Gothic" w:cs="Arial"/>
          <w:color w:val="000000" w:themeColor="text1"/>
          <w:lang w:val="es-ES_tradnl"/>
        </w:rPr>
        <w:t>, el plazo y la complejidad de ejecución del objeto</w:t>
      </w:r>
      <w:r w:rsidRPr="006430EB">
        <w:rPr>
          <w:rStyle w:val="Refdenotaalpie"/>
          <w:rFonts w:ascii="Century Gothic" w:hAnsi="Century Gothic" w:cs="Arial"/>
          <w:bCs/>
          <w:lang w:val="es-ES" w:eastAsia="es-ES_tradnl"/>
        </w:rPr>
        <w:footnoteReference w:id="10"/>
      </w:r>
      <w:r w:rsidRPr="006430EB">
        <w:rPr>
          <w:rFonts w:ascii="Century Gothic" w:hAnsi="Century Gothic" w:cs="Arial"/>
          <w:color w:val="000000" w:themeColor="text1"/>
          <w:lang w:val="es-ES_tradnl"/>
        </w:rPr>
        <w:t xml:space="preserve">. Todo porque la facultad de establecer los requisitos habilitantes no puede ejercerse de forma arbitraria, caprichosa y, mucho menos, con el ánimo de direccionar el proceso de contratación o favorecer a alguno de los proponentes, así como tampoco puede ejercerse desconociendo límites legales, como, por ejemplo, el que estable el artículo 5, parágrafo 2, de la Ley 1150 de 2007, relacionado con la prohibición de exigir certificaciones de sistemas de gestión de calidad como requisito habilitante. </w:t>
      </w:r>
    </w:p>
    <w:p w14:paraId="5F27DCC6" w14:textId="77777777" w:rsidR="00BD7797" w:rsidRPr="006430EB" w:rsidRDefault="00BD7797" w:rsidP="00BD7797">
      <w:pPr>
        <w:spacing w:before="120" w:after="120" w:line="276" w:lineRule="auto"/>
        <w:ind w:firstLine="709"/>
        <w:jc w:val="both"/>
        <w:rPr>
          <w:rFonts w:ascii="Century Gothic" w:hAnsi="Century Gothic" w:cs="Arial"/>
          <w:color w:val="000000" w:themeColor="text1"/>
          <w:lang w:val="es-ES_tradnl"/>
        </w:rPr>
      </w:pPr>
      <w:r w:rsidRPr="006430EB">
        <w:rPr>
          <w:rFonts w:ascii="Century Gothic" w:hAnsi="Century Gothic" w:cs="Arial"/>
          <w:color w:val="000000" w:themeColor="text1"/>
          <w:lang w:val="es-ES_tradnl"/>
        </w:rPr>
        <w:t xml:space="preserve">Al respecto, en la Sentencia C-004 de 2017, la Corte Constitucional señaló que </w:t>
      </w:r>
      <w:r w:rsidRPr="006430EB">
        <w:rPr>
          <w:rFonts w:ascii="Century Gothic" w:hAnsi="Century Gothic" w:cs="Arial"/>
          <w:i/>
          <w:iCs/>
          <w:color w:val="000000" w:themeColor="text1"/>
          <w:lang w:val="es-ES_tradnl"/>
        </w:rPr>
        <w:t>“</w:t>
      </w:r>
      <w:r w:rsidRPr="006430EB">
        <w:rPr>
          <w:rFonts w:ascii="Century Gothic" w:hAnsi="Century Gothic" w:cs="Arial"/>
          <w:color w:val="000000" w:themeColor="text1"/>
          <w:lang w:val="es-ES_tradnl"/>
        </w:rPr>
        <w:t>[l]a determinación de dichas condiciones habilitantes para participar, es competencia de la entidad que planee la celebración del contrato, a través de la valoración en concreto de las características mínimas de idoneidad, experiencia, capacidad jurídica y financiera para que la realización del objeto contractual resulte eficiente y eficaz frente a la necesidad identificada</w:t>
      </w:r>
      <w:r w:rsidRPr="006430EB">
        <w:rPr>
          <w:rFonts w:ascii="Century Gothic" w:hAnsi="Century Gothic" w:cs="Arial"/>
          <w:i/>
          <w:iCs/>
          <w:color w:val="000000" w:themeColor="text1"/>
          <w:lang w:val="es-ES_tradnl"/>
        </w:rPr>
        <w:t>”</w:t>
      </w:r>
      <w:r w:rsidRPr="006430EB">
        <w:rPr>
          <w:rFonts w:ascii="Century Gothic" w:hAnsi="Century Gothic" w:cs="Arial"/>
          <w:color w:val="000000" w:themeColor="text1"/>
          <w:lang w:val="es-ES_tradnl"/>
        </w:rPr>
        <w:t>.</w:t>
      </w:r>
    </w:p>
    <w:p w14:paraId="174D943D" w14:textId="77777777" w:rsidR="00BD7797" w:rsidRPr="006430EB" w:rsidRDefault="00BD7797" w:rsidP="00BD7797">
      <w:pPr>
        <w:spacing w:before="120" w:after="120" w:line="276" w:lineRule="auto"/>
        <w:ind w:firstLine="709"/>
        <w:jc w:val="both"/>
        <w:rPr>
          <w:rFonts w:ascii="Century Gothic" w:hAnsi="Century Gothic" w:cs="Arial"/>
          <w:color w:val="000000" w:themeColor="text1"/>
          <w:lang w:val="es-ES_tradnl"/>
        </w:rPr>
      </w:pPr>
      <w:r w:rsidRPr="006430EB">
        <w:rPr>
          <w:rFonts w:ascii="Century Gothic" w:hAnsi="Century Gothic" w:cs="Arial"/>
          <w:color w:val="000000" w:themeColor="text1"/>
          <w:lang w:val="es-ES_tradnl"/>
        </w:rPr>
        <w:t xml:space="preserve">El </w:t>
      </w:r>
      <w:r w:rsidRPr="006430EB">
        <w:rPr>
          <w:rFonts w:ascii="Century Gothic" w:hAnsi="Century Gothic" w:cs="Arial"/>
          <w:i/>
          <w:iCs/>
          <w:color w:val="000000" w:themeColor="text1"/>
          <w:lang w:val="es-ES_tradnl"/>
        </w:rPr>
        <w:t>principio de autonomía de la voluntad</w:t>
      </w:r>
      <w:r w:rsidRPr="006430EB">
        <w:rPr>
          <w:rFonts w:ascii="Century Gothic" w:hAnsi="Century Gothic" w:cs="Arial"/>
          <w:color w:val="000000" w:themeColor="text1"/>
          <w:lang w:val="es-ES_tradnl"/>
        </w:rPr>
        <w:t>, reconocido en los artículos 13, 32 y 40 de la Ley 80 de 1993 para las entidades sometidas a esta, y en el artículo 1602 del Código Civil, para las exceptuadas de aquella, actúa entonces como el fundamento normativo que otorga a las entidades estatales competencia para que puedan solicitar requisitos habilitantes adicionales o diferentes a los establecidos en el numeral 1º del artículo 5 de la Ley 1150 de 2007. En realidad, lo que este numeral establece es una limitación a la discrecionalidad administrativa para la estipulación de los requisitos de participación, bajo la óptica de que, si se incluyen los que aquel prevé, por regla general, no otorgan puntaje; pero tal enunciado no ha de interpretarse en el sentido de que las entidades solo pueden exigir, única y exclusivamente, dichos requisitos habilitantes. Esto en la medida que además de los argumentos que ya se han planteado, esa lectura negaría la autonomía reconocida en el Estatuto General de Contratación de la Administración Pública a los órganos del Estado para confeccionar el pliego de condiciones o los documentos equivalentes y, específicamente, para definir los requisitos que deben reunir los oferentes, según los factores advertidos durante los estudios previos, en armonía con los principios de legalidad y proporcionalidad.</w:t>
      </w:r>
    </w:p>
    <w:p w14:paraId="163CA8C0" w14:textId="77777777" w:rsidR="00BD7797" w:rsidRPr="006430EB" w:rsidRDefault="00BD7797" w:rsidP="00BD7797">
      <w:pPr>
        <w:spacing w:before="120" w:line="276" w:lineRule="auto"/>
        <w:ind w:firstLine="709"/>
        <w:jc w:val="both"/>
        <w:rPr>
          <w:rFonts w:ascii="Century Gothic" w:eastAsia="Calibri" w:hAnsi="Century Gothic" w:cs="Arial"/>
          <w:color w:val="000000" w:themeColor="text1"/>
          <w:lang w:val="es-ES_tradnl"/>
        </w:rPr>
      </w:pPr>
      <w:r w:rsidRPr="006430EB">
        <w:rPr>
          <w:rFonts w:ascii="Century Gothic" w:eastAsia="Calibri" w:hAnsi="Century Gothic" w:cs="Arial"/>
          <w:color w:val="000000" w:themeColor="text1"/>
          <w:lang w:val="es-ES_tradnl"/>
        </w:rPr>
        <w:t xml:space="preserve">Considerando la discrecionalidad para establecer requisitos habilitantes, es necesario tener en cuenta que </w:t>
      </w:r>
      <w:r w:rsidRPr="006430EB">
        <w:rPr>
          <w:rFonts w:ascii="Century Gothic" w:eastAsia="Calibri" w:hAnsi="Century Gothic" w:cs="Arial"/>
        </w:rPr>
        <w:t xml:space="preserve">el artículo 44 de la Ley 1437 de 2011 –aplicable en los procedimientos contractuales en virtud del artículo 77 de la Ley 80 de 1993– dispone que </w:t>
      </w:r>
      <w:r w:rsidRPr="006430EB">
        <w:rPr>
          <w:rFonts w:ascii="Century Gothic" w:eastAsia="Calibri" w:hAnsi="Century Gothic" w:cs="Arial"/>
          <w:i/>
          <w:iCs/>
        </w:rPr>
        <w:t>“</w:t>
      </w:r>
      <w:r w:rsidRPr="006430EB">
        <w:rPr>
          <w:rFonts w:ascii="Century Gothic" w:eastAsia="Calibri" w:hAnsi="Century Gothic" w:cs="Arial"/>
        </w:rPr>
        <w:t>En la medida en que el contenido de una decisión de carácter general o particular sea discrecional, debe ser adecuada a los fines de la norma que la autoriza, y proporcional a los hechos que le sirven de causa</w:t>
      </w:r>
      <w:r w:rsidRPr="006430EB">
        <w:rPr>
          <w:rFonts w:ascii="Century Gothic" w:eastAsia="Calibri" w:hAnsi="Century Gothic" w:cs="Arial"/>
          <w:i/>
          <w:iCs/>
        </w:rPr>
        <w:t>”</w:t>
      </w:r>
      <w:r w:rsidRPr="006430EB">
        <w:rPr>
          <w:rFonts w:ascii="Century Gothic" w:eastAsia="Calibri" w:hAnsi="Century Gothic" w:cs="Arial"/>
        </w:rPr>
        <w:t>. Dado lo anterior, para efectos de configurar requisitos habilitantes la Entidad Estatal tiene la carga de justificar en los estudios previos y análisis del sector del proceso de selección su procedencia, de conformidad con el artículo</w:t>
      </w:r>
      <w:r w:rsidRPr="006430EB">
        <w:rPr>
          <w:rFonts w:ascii="Century Gothic" w:eastAsia="Calibri" w:hAnsi="Century Gothic" w:cs="Arial"/>
          <w:color w:val="000000" w:themeColor="text1"/>
          <w:lang w:val="es-ES_tradnl"/>
        </w:rPr>
        <w:t xml:space="preserve"> 2.2.1.1.1.6.2 del Decreto 1082 de 2015.</w:t>
      </w:r>
    </w:p>
    <w:p w14:paraId="30229742" w14:textId="77777777" w:rsidR="00BD7797" w:rsidRPr="006430EB" w:rsidRDefault="00BD7797" w:rsidP="00BD7797">
      <w:pPr>
        <w:spacing w:before="120" w:after="240" w:line="276" w:lineRule="auto"/>
        <w:ind w:firstLine="709"/>
        <w:jc w:val="both"/>
        <w:rPr>
          <w:rFonts w:ascii="Century Gothic" w:eastAsia="Calibri" w:hAnsi="Century Gothic" w:cs="Arial"/>
          <w:bCs/>
          <w:lang w:val="es-ES_tradnl"/>
        </w:rPr>
      </w:pPr>
      <w:r w:rsidRPr="006430EB">
        <w:rPr>
          <w:rFonts w:ascii="Century Gothic" w:eastAsia="Calibri" w:hAnsi="Century Gothic" w:cs="Arial"/>
          <w:color w:val="000000" w:themeColor="text1"/>
          <w:lang w:val="es-ES_tradnl"/>
        </w:rPr>
        <w:t xml:space="preserve">Como conclusión de lo anterior, puede decirse que aunque la Ley 1150 de 2007 estableció unos requisitos habilitantes para los proponentes: la capacidad jurídica, las condiciones de experiencia, la capacidad financiera y la capacidad de organización, lo cierto es que los mismos no son taxativos; que los requisitos habilitantes deben ser establecidos por la Entidad Estatal en cada proceso contractual, debidamente justificados y de acuerdo con los parámetros fijados en el Decreto 1082 de 2015; y que una vez establecidos los requisitos habilitantes, quienes presenten ofertas deben acreditar que cumplen con ellos, so pena de que sus propuestas sean rechazadas. Esto sin perjuicio de la posibilidad de subsanarlas, cuando a ello haya lugar. </w:t>
      </w:r>
    </w:p>
    <w:p w14:paraId="3A1179B9" w14:textId="77777777" w:rsidR="00BD7797" w:rsidRPr="006430EB" w:rsidRDefault="00BD7797" w:rsidP="00BD7797">
      <w:pPr>
        <w:spacing w:before="120" w:after="120" w:line="276" w:lineRule="auto"/>
        <w:ind w:firstLine="708"/>
        <w:jc w:val="both"/>
        <w:rPr>
          <w:rFonts w:ascii="Century Gothic" w:eastAsia="Calibri" w:hAnsi="Century Gothic" w:cs="Arial"/>
          <w:lang w:val="es-ES"/>
        </w:rPr>
      </w:pPr>
      <w:r w:rsidRPr="006430EB">
        <w:rPr>
          <w:rFonts w:ascii="Century Gothic" w:eastAsia="Calibri" w:hAnsi="Century Gothic" w:cs="Arial"/>
          <w:color w:val="000000" w:themeColor="text1"/>
          <w:lang w:val="es-ES_tradnl"/>
        </w:rPr>
        <w:t xml:space="preserve">En ese contexto, respecto de la exigencia como requisito habilitante de la implementación del Sistema de Gestión de Seguridad y Salud en el Trabajo SG-SST, que a consideración del solicitante no acredita ningún requisito habilitante, </w:t>
      </w:r>
      <w:proofErr w:type="gramStart"/>
      <w:r w:rsidRPr="006430EB">
        <w:rPr>
          <w:rFonts w:ascii="Century Gothic" w:eastAsia="Calibri" w:hAnsi="Century Gothic" w:cs="Arial"/>
          <w:color w:val="000000" w:themeColor="text1"/>
          <w:lang w:val="es-ES_tradnl"/>
        </w:rPr>
        <w:t>y</w:t>
      </w:r>
      <w:proofErr w:type="gramEnd"/>
      <w:r w:rsidRPr="006430EB">
        <w:rPr>
          <w:rFonts w:ascii="Century Gothic" w:eastAsia="Calibri" w:hAnsi="Century Gothic" w:cs="Arial"/>
          <w:color w:val="000000" w:themeColor="text1"/>
          <w:lang w:val="es-ES_tradnl"/>
        </w:rPr>
        <w:t xml:space="preserve"> por el contrario, pueden encasillarse en verificaciones que por disposición legal deben cumplir las empresas, lo que en ningún momento limita la capacidad jurídica, esta Agencia analizará en el siguiente acápite lo </w:t>
      </w:r>
      <w:r w:rsidRPr="006430EB">
        <w:rPr>
          <w:rFonts w:ascii="Century Gothic" w:eastAsia="Calibri" w:hAnsi="Century Gothic" w:cs="Arial"/>
          <w:lang w:val="es-ES"/>
        </w:rPr>
        <w:t xml:space="preserve">dispuesto en los artículos 2.2.4.6.4. y 2.2.4.6.28. del Decreto 1072 de 2015 y artículos 14 y 19 de la Resolución 312 de 2019 emitida por el Ministerio del Trabajo, con base en la cual considera que las entidades estatales tienen la facultad para incorporar parámetros o criterios de selección y evaluación en sus Procesos de Contratación que le permitan conocer que los proponentes cuentan con el Sistema de Gestión de la Seguridad y Salud en el Trabajo (SG-SST), si a bien lo justifican </w:t>
      </w:r>
      <w:r w:rsidRPr="006430EB">
        <w:rPr>
          <w:rFonts w:ascii="Century Gothic" w:eastAsia="Calibri" w:hAnsi="Century Gothic" w:cs="Arial"/>
        </w:rPr>
        <w:t>en los estudios previos y análisis del sector del proceso de selección su procedencia, de conformidad con el artículo</w:t>
      </w:r>
      <w:r w:rsidRPr="006430EB">
        <w:rPr>
          <w:rFonts w:ascii="Century Gothic" w:eastAsia="Calibri" w:hAnsi="Century Gothic" w:cs="Arial"/>
          <w:color w:val="000000" w:themeColor="text1"/>
          <w:lang w:val="es-ES_tradnl"/>
        </w:rPr>
        <w:t xml:space="preserve"> 2.2.1.1.1.6.2 del Decreto 1082 de 2015, siempre y cuando con ello no se exija </w:t>
      </w:r>
      <w:r w:rsidRPr="006430EB">
        <w:rPr>
          <w:rFonts w:ascii="Century Gothic" w:eastAsia="Calibri" w:hAnsi="Century Gothic" w:cs="Arial"/>
          <w:lang w:val="es-ES"/>
        </w:rPr>
        <w:t xml:space="preserve">certificaciones de sistemas de gestión de calidad  que se encuentran proscritos en el </w:t>
      </w:r>
      <w:r w:rsidRPr="006430EB">
        <w:rPr>
          <w:rFonts w:ascii="Century Gothic" w:hAnsi="Century Gothic" w:cs="Arial"/>
          <w:color w:val="000000" w:themeColor="text1"/>
          <w:lang w:val="es-ES_tradnl"/>
        </w:rPr>
        <w:t>parágrafo 2 del artículo 5 de la Ley 1150 de 2007.</w:t>
      </w:r>
    </w:p>
    <w:p w14:paraId="4B777144" w14:textId="77777777" w:rsidR="00BD7797" w:rsidRPr="006430EB" w:rsidRDefault="00BD7797" w:rsidP="00BD7797">
      <w:pPr>
        <w:spacing w:after="240" w:line="276" w:lineRule="auto"/>
        <w:jc w:val="both"/>
        <w:rPr>
          <w:rFonts w:ascii="Century Gothic" w:hAnsi="Century Gothic" w:cs="Arial"/>
          <w:b/>
          <w:color w:val="000000" w:themeColor="text1"/>
          <w:lang w:eastAsia="es-MX"/>
        </w:rPr>
      </w:pPr>
      <w:r w:rsidRPr="006430EB">
        <w:rPr>
          <w:rFonts w:ascii="Century Gothic" w:hAnsi="Century Gothic" w:cs="Arial"/>
          <w:b/>
          <w:color w:val="000000" w:themeColor="text1"/>
          <w:lang w:eastAsia="es-MX"/>
        </w:rPr>
        <w:t>2.3. Sistema de Gestión de Seguridad y Salud en el Trabajo – SG-SST en la evaluación y selección de proveedores y contratistas.</w:t>
      </w:r>
    </w:p>
    <w:p w14:paraId="40412D59" w14:textId="77777777" w:rsidR="00BD7797" w:rsidRPr="006430EB" w:rsidRDefault="00BD7797" w:rsidP="00BD7797">
      <w:pPr>
        <w:tabs>
          <w:tab w:val="left" w:pos="709"/>
        </w:tabs>
        <w:spacing w:line="276" w:lineRule="auto"/>
        <w:jc w:val="both"/>
        <w:rPr>
          <w:rFonts w:ascii="Century Gothic" w:eastAsia="Calibri" w:hAnsi="Century Gothic" w:cs="Arial"/>
        </w:rPr>
      </w:pPr>
      <w:r w:rsidRPr="006430EB">
        <w:rPr>
          <w:rFonts w:ascii="Century Gothic" w:eastAsia="Calibri" w:hAnsi="Century Gothic" w:cs="Arial"/>
        </w:rPr>
        <w:t xml:space="preserve">El Decreto 1295 de 1994, por el cual se determinó la organización u administración del Sistema General de Riesgos Profesionales, dispuso, en su artículo 56, la responsabilidad en cabeza del Gobierno Nacional, de expedir las normas reglamentarias técnicas tendientes a garantizar la seguridad de los trabajadores y de la población en general, en la prevención de accidentes de trabajo y enfermedades laborales. </w:t>
      </w:r>
    </w:p>
    <w:p w14:paraId="1F757B89" w14:textId="77777777" w:rsidR="00BD7797" w:rsidRPr="006430EB" w:rsidRDefault="00BD7797" w:rsidP="00BD7797">
      <w:pPr>
        <w:tabs>
          <w:tab w:val="left" w:pos="709"/>
        </w:tabs>
        <w:spacing w:line="276" w:lineRule="auto"/>
        <w:jc w:val="both"/>
        <w:rPr>
          <w:rFonts w:ascii="Century Gothic" w:eastAsia="Calibri" w:hAnsi="Century Gothic" w:cs="Arial"/>
        </w:rPr>
      </w:pPr>
      <w:r w:rsidRPr="006430EB">
        <w:rPr>
          <w:rFonts w:ascii="Century Gothic" w:eastAsia="Calibri" w:hAnsi="Century Gothic" w:cs="Arial"/>
        </w:rPr>
        <w:tab/>
        <w:t xml:space="preserve">En ese contexto, el artículo 1 de la Ley 1562 de 2012, que modificó el Sistema de Riesgos Laborales, contempló que el programa de salud ocupacional en adelante se conocería como el Sistema de Gestión de la Seguridad y Salud en el Trabajo SG-SST, definido este como un </w:t>
      </w:r>
      <w:r w:rsidRPr="006430EB">
        <w:rPr>
          <w:rFonts w:ascii="Century Gothic" w:eastAsia="Calibri" w:hAnsi="Century Gothic" w:cs="Arial"/>
          <w:i/>
          <w:iCs/>
        </w:rPr>
        <w:t>“Sistema consiste en el desarrollo de un proceso lógico y por etapas, basado en la mejora continua y que incluye la política, la organización, la planificación, la aplicación, la evaluación, la auditoría y las acciones de mejora con el objetivo de anticipar, reconocer, evaluar y controlar los riesgos que puedan afectar la seguridad y salud en el trabajo.”</w:t>
      </w:r>
    </w:p>
    <w:p w14:paraId="79110631" w14:textId="77777777" w:rsidR="00BD7797" w:rsidRPr="006430EB" w:rsidRDefault="00BD7797" w:rsidP="00BD7797">
      <w:pPr>
        <w:tabs>
          <w:tab w:val="left" w:pos="709"/>
        </w:tabs>
        <w:spacing w:line="276" w:lineRule="auto"/>
        <w:jc w:val="both"/>
        <w:rPr>
          <w:rFonts w:ascii="Century Gothic" w:eastAsia="Calibri" w:hAnsi="Century Gothic" w:cs="Arial"/>
          <w:i/>
          <w:iCs/>
        </w:rPr>
      </w:pPr>
      <w:r w:rsidRPr="006430EB">
        <w:rPr>
          <w:rFonts w:ascii="Century Gothic" w:eastAsia="Calibri" w:hAnsi="Century Gothic" w:cs="Arial"/>
        </w:rPr>
        <w:tab/>
        <w:t xml:space="preserve">Dicho sistema se reglamentó mediante el Decreto 1443 de 2014, compilado posteriormente en el capítulo 6 del Decreto 1072 de 2015, “por medio del cual se expidió el Decreto Reglamentario del Sector Trabajo”, a través del cual, se definieron directrices para la implementación del Sistema de Gestión de la Seguridad y Salud en el Trabajo (SG-SST) que resulta ser de obligatorio cumplimiento para </w:t>
      </w:r>
      <w:r w:rsidRPr="006430EB">
        <w:rPr>
          <w:rFonts w:ascii="Century Gothic" w:eastAsia="Calibri" w:hAnsi="Century Gothic" w:cs="Arial"/>
          <w:i/>
          <w:iCs/>
        </w:rPr>
        <w:t>“todos los empleadores públicos y privados, los contratantes de personal bajo modalidad de contrato civil, comercial o administrativo, las organizaciones de economía solidaria y del sector cooperativo, las empresas de servicios temporales y tener cobertura sobre los trabajadores dependientes, contratistas, trabajadores cooperados y los trabajadores en misión.”</w:t>
      </w:r>
    </w:p>
    <w:p w14:paraId="1D277453" w14:textId="77777777" w:rsidR="00BD7797" w:rsidRPr="006430EB" w:rsidRDefault="00BD7797" w:rsidP="00BD7797">
      <w:pPr>
        <w:tabs>
          <w:tab w:val="left" w:pos="709"/>
        </w:tabs>
        <w:spacing w:line="276" w:lineRule="auto"/>
        <w:jc w:val="both"/>
        <w:rPr>
          <w:rFonts w:ascii="Century Gothic" w:eastAsia="Calibri" w:hAnsi="Century Gothic" w:cs="Arial"/>
          <w:i/>
          <w:iCs/>
        </w:rPr>
      </w:pPr>
      <w:r w:rsidRPr="006430EB">
        <w:rPr>
          <w:rFonts w:ascii="Century Gothic" w:eastAsia="Calibri" w:hAnsi="Century Gothic" w:cs="Arial"/>
        </w:rPr>
        <w:tab/>
        <w:t xml:space="preserve">En ese orden de ideas, el artículo 2.2.4.6.4. del Decreto 1072 de 2015 dispuso que el Sistema de Gestión de Seguridad y Salud en el Trabajo SG-SST debe ser liderado e implementado por el empleador o contratante, con la participación de los trabajadores y/o contratistas. Para ello, el artículo en cita contempló que los empleadores o contratantes, entre los que se encuentran las entidades estatales, deben de garantizar la implementación, mantenimiento y mejora continua del Sistema de Gestión de Seguridad y Salud en el Trabajo SG-SST en sus contratistas. Para ello, el decreto reglamentario adoptó a su vez, en el parágrafo 2° del artículo en cita, que: </w:t>
      </w:r>
      <w:r w:rsidRPr="006430EB">
        <w:rPr>
          <w:rFonts w:ascii="Century Gothic" w:eastAsia="Calibri" w:hAnsi="Century Gothic" w:cs="Arial"/>
          <w:i/>
          <w:iCs/>
        </w:rPr>
        <w:t>“</w:t>
      </w:r>
      <w:r w:rsidRPr="006430EB">
        <w:rPr>
          <w:rFonts w:ascii="Century Gothic" w:hAnsi="Century Gothic" w:cs="Arial"/>
          <w:i/>
          <w:iCs/>
          <w:color w:val="000000"/>
        </w:rPr>
        <w:t>Dentro de los parámetros de selección y evaluación de proveedores y contratistas, el contratante podrá incluir criterios que le permitan conocer que la empresa a contratar cuente con el Sistema de Gestión de la Seguridad y Salud en el Trabajo (SG-SST)</w:t>
      </w:r>
      <w:r w:rsidRPr="006430EB">
        <w:rPr>
          <w:rFonts w:ascii="Century Gothic" w:eastAsia="Calibri" w:hAnsi="Century Gothic" w:cs="Arial"/>
          <w:i/>
          <w:iCs/>
        </w:rPr>
        <w:t>”.</w:t>
      </w:r>
    </w:p>
    <w:p w14:paraId="0DA644A2" w14:textId="77777777" w:rsidR="00BD7797" w:rsidRPr="006430EB" w:rsidRDefault="00BD7797" w:rsidP="00BD7797">
      <w:pPr>
        <w:tabs>
          <w:tab w:val="left" w:pos="709"/>
        </w:tabs>
        <w:spacing w:line="276" w:lineRule="auto"/>
        <w:jc w:val="both"/>
        <w:rPr>
          <w:rFonts w:ascii="Century Gothic" w:eastAsia="Calibri" w:hAnsi="Century Gothic" w:cs="Arial"/>
        </w:rPr>
      </w:pPr>
      <w:r w:rsidRPr="006430EB">
        <w:rPr>
          <w:rFonts w:ascii="Century Gothic" w:eastAsia="Calibri" w:hAnsi="Century Gothic" w:cs="Arial"/>
        </w:rPr>
        <w:tab/>
        <w:t>A su vez, el parágrafo 1º de dicho artículo estableció que el Ministerio del Trabajo o quien haga sus veces, determinaría de manera progresiva, los estándares que hacen parte de los diversos componentes del mencionado Sistema de Gestión de Seguridad y Salud en el Trabajo SG-SST, de conformidad con el desarrollo y avances técnicos y científicos del sector y del país, realizando los ajustes y actualizaciones a que haya lugar y que dichos estándares deberán ser implementados por los integrantes del Sistema General de Riesgos Laborales en las fases y dentro de las fechas que al respecto defina el Ministerio de Trabajo.</w:t>
      </w:r>
    </w:p>
    <w:p w14:paraId="3EA3C255" w14:textId="77777777" w:rsidR="00BD7797" w:rsidRPr="006430EB" w:rsidRDefault="00BD7797" w:rsidP="00BD7797">
      <w:pPr>
        <w:tabs>
          <w:tab w:val="left" w:pos="709"/>
        </w:tabs>
        <w:spacing w:line="276" w:lineRule="auto"/>
        <w:jc w:val="both"/>
        <w:rPr>
          <w:rFonts w:ascii="Century Gothic" w:eastAsia="Calibri" w:hAnsi="Century Gothic" w:cs="Arial"/>
        </w:rPr>
      </w:pPr>
      <w:r w:rsidRPr="006430EB">
        <w:rPr>
          <w:rFonts w:ascii="Century Gothic" w:eastAsia="Calibri" w:hAnsi="Century Gothic" w:cs="Arial"/>
        </w:rPr>
        <w:tab/>
        <w:t xml:space="preserve">Con base en dicho marco normativo, el Ministerio del Trabajo expidió la Resolución 312 del 13 de febrero de 2019, mediante la cual se definió los estándares mínimos del Sistema de Gestión de Seguridad y Salud en el Trabajo SG-SST, contemplando, a su vez, en los artículos </w:t>
      </w:r>
      <w:r w:rsidRPr="006430EB">
        <w:rPr>
          <w:rStyle w:val="Textoennegrita"/>
          <w:rFonts w:ascii="Century Gothic" w:hAnsi="Century Gothic" w:cs="Arial"/>
          <w:b w:val="0"/>
          <w:bCs w:val="0"/>
          <w:color w:val="000000"/>
        </w:rPr>
        <w:t>14 y 19 los parámetros</w:t>
      </w:r>
      <w:r w:rsidRPr="006430EB">
        <w:rPr>
          <w:rStyle w:val="Textoennegrita"/>
          <w:rFonts w:ascii="Century Gothic" w:hAnsi="Century Gothic" w:cs="Arial"/>
          <w:color w:val="000000"/>
        </w:rPr>
        <w:t xml:space="preserve"> </w:t>
      </w:r>
      <w:r w:rsidRPr="006430EB">
        <w:rPr>
          <w:rFonts w:ascii="Century Gothic" w:hAnsi="Century Gothic" w:cs="Arial"/>
          <w:color w:val="000000"/>
        </w:rPr>
        <w:t>de selección y evaluación de proveedores y contratistas</w:t>
      </w:r>
      <w:r w:rsidRPr="006430EB">
        <w:rPr>
          <w:rStyle w:val="Textoennegrita"/>
          <w:rFonts w:ascii="Century Gothic" w:hAnsi="Century Gothic" w:cs="Arial"/>
          <w:color w:val="000000"/>
        </w:rPr>
        <w:t xml:space="preserve"> </w:t>
      </w:r>
      <w:r w:rsidRPr="006430EB">
        <w:rPr>
          <w:rStyle w:val="Textoennegrita"/>
          <w:rFonts w:ascii="Century Gothic" w:hAnsi="Century Gothic" w:cs="Arial"/>
          <w:b w:val="0"/>
          <w:bCs w:val="0"/>
          <w:color w:val="000000"/>
        </w:rPr>
        <w:t>que pueden los contratantes</w:t>
      </w:r>
      <w:r w:rsidRPr="006430EB">
        <w:rPr>
          <w:rStyle w:val="Textoennegrita"/>
          <w:rFonts w:ascii="Century Gothic" w:hAnsi="Century Gothic" w:cs="Arial"/>
          <w:color w:val="000000"/>
        </w:rPr>
        <w:t xml:space="preserve"> </w:t>
      </w:r>
      <w:r w:rsidRPr="006430EB">
        <w:rPr>
          <w:rFonts w:ascii="Century Gothic" w:hAnsi="Century Gothic" w:cs="Arial"/>
          <w:color w:val="000000"/>
        </w:rPr>
        <w:t xml:space="preserve">incluir en sus procesos de selección, lo que incluye los Procesos de Contratación Estatal. Lo anterior, a criterio de la Agencia, sería permitido siempre y cuando dichos criterios que le permitan identificar que el proveedor o contratista cumple con los Estándares Mínimos </w:t>
      </w:r>
      <w:r w:rsidRPr="006430EB">
        <w:rPr>
          <w:rFonts w:ascii="Century Gothic" w:eastAsia="Calibri" w:hAnsi="Century Gothic" w:cs="Arial"/>
        </w:rPr>
        <w:t>del Sistema de Gestión de Seguridad y Salud en el Trabajo SG-SST, no contraríen lo dispuesto en el parágrafo 2° del artículo 5 de la Ley 1150 de 2007, según el cual, se encuentra proscrita la posibilidad de que las entidades estatales soliciten en sus procesos de selección de contratistas certificaciones de sistemas de gestión de calidad.</w:t>
      </w:r>
    </w:p>
    <w:p w14:paraId="2B631BA9" w14:textId="77777777" w:rsidR="00BD7797" w:rsidRPr="006430EB" w:rsidRDefault="00BD7797" w:rsidP="00BD7797">
      <w:pPr>
        <w:pStyle w:val="paragraph"/>
        <w:spacing w:before="0" w:beforeAutospacing="0" w:after="0" w:afterAutospacing="0" w:line="276" w:lineRule="auto"/>
        <w:jc w:val="both"/>
        <w:textAlignment w:val="baseline"/>
        <w:rPr>
          <w:rStyle w:val="eop"/>
          <w:rFonts w:ascii="Century Gothic" w:hAnsi="Century Gothic" w:cs="Arial"/>
          <w:color w:val="000000"/>
          <w:sz w:val="22"/>
          <w:szCs w:val="22"/>
        </w:rPr>
      </w:pPr>
      <w:r w:rsidRPr="006430EB">
        <w:rPr>
          <w:rFonts w:ascii="Century Gothic" w:eastAsia="Calibri" w:hAnsi="Century Gothic" w:cs="Arial"/>
          <w:sz w:val="22"/>
          <w:szCs w:val="22"/>
        </w:rPr>
        <w:tab/>
      </w:r>
      <w:r w:rsidRPr="006430EB">
        <w:rPr>
          <w:rStyle w:val="normaltextrun"/>
          <w:rFonts w:ascii="Century Gothic" w:hAnsi="Century Gothic" w:cs="Arial"/>
          <w:color w:val="000000"/>
          <w:sz w:val="22"/>
          <w:szCs w:val="22"/>
          <w:lang w:val="es-ES"/>
        </w:rPr>
        <w:t>Con este panorama, es pertinente indicar que la Agencia no pretende defender o cuestionar la legalidad o validez de los actos administrativos ni las normas que contemplan la posibilidad de que las Entidades Estatales d</w:t>
      </w:r>
      <w:r w:rsidRPr="006430EB">
        <w:rPr>
          <w:rFonts w:ascii="Century Gothic" w:hAnsi="Century Gothic" w:cs="Arial"/>
          <w:color w:val="000000"/>
          <w:sz w:val="22"/>
          <w:szCs w:val="22"/>
        </w:rPr>
        <w:t>entro de los parámetros de selección y evaluación de proveedores y contratistas, pueda incluir criterios que le permitan conocer que la empresa a contratar cuente con el Sistema de Gestión de la Seguridad y Salud en el Trabajo (SG-SST)</w:t>
      </w:r>
      <w:r w:rsidRPr="006430EB">
        <w:rPr>
          <w:rStyle w:val="normaltextrun"/>
          <w:rFonts w:ascii="Century Gothic" w:hAnsi="Century Gothic" w:cs="Arial"/>
          <w:color w:val="000000"/>
          <w:sz w:val="22"/>
          <w:szCs w:val="22"/>
          <w:lang w:val="es-ES"/>
        </w:rPr>
        <w:t>, por el contrario, simplemente desarrolla su contenido en este concepto con la finalidad de otorgar información útil al peticionario, relacionada con el contexto que rodea la disposición objeto de análisis.</w:t>
      </w:r>
    </w:p>
    <w:p w14:paraId="1428E1A3" w14:textId="77777777" w:rsidR="00BD7797" w:rsidRPr="006430EB" w:rsidRDefault="00BD7797" w:rsidP="00BD7797">
      <w:pPr>
        <w:pStyle w:val="paragraph"/>
        <w:spacing w:before="0" w:beforeAutospacing="0" w:after="0" w:afterAutospacing="0" w:line="276" w:lineRule="auto"/>
        <w:jc w:val="both"/>
        <w:textAlignment w:val="baseline"/>
        <w:rPr>
          <w:rFonts w:ascii="Century Gothic" w:hAnsi="Century Gothic" w:cs="Arial"/>
          <w:color w:val="000000"/>
          <w:sz w:val="22"/>
          <w:szCs w:val="22"/>
          <w:lang w:val="es-ES"/>
        </w:rPr>
      </w:pPr>
    </w:p>
    <w:p w14:paraId="7F64E960" w14:textId="77777777" w:rsidR="00BD7797" w:rsidRPr="006430EB" w:rsidRDefault="00BD7797" w:rsidP="00BD7797">
      <w:pPr>
        <w:pStyle w:val="paragraph"/>
        <w:spacing w:before="0" w:beforeAutospacing="0" w:after="0" w:afterAutospacing="0" w:line="276" w:lineRule="auto"/>
        <w:ind w:firstLine="705"/>
        <w:jc w:val="both"/>
        <w:textAlignment w:val="baseline"/>
        <w:rPr>
          <w:rFonts w:ascii="Century Gothic" w:hAnsi="Century Gothic" w:cs="Segoe UI"/>
          <w:sz w:val="18"/>
          <w:szCs w:val="18"/>
        </w:rPr>
      </w:pPr>
      <w:r w:rsidRPr="006430EB">
        <w:rPr>
          <w:rStyle w:val="normaltextrun"/>
          <w:rFonts w:ascii="Century Gothic" w:hAnsi="Century Gothic" w:cs="Arial"/>
          <w:color w:val="000000"/>
          <w:sz w:val="22"/>
          <w:szCs w:val="22"/>
          <w:lang w:val="es-ES"/>
        </w:rPr>
        <w:t xml:space="preserve">Sin perjuicio de las consideraciones anteriores, debe tenerse en cuenta que la competencia de la Agencia Nacional de Contratación Pública – Colombia Compra Eficiente está atribuida en el Decreto 4170 de 2011, particularmente en los artículos </w:t>
      </w:r>
      <w:r w:rsidRPr="006430EB">
        <w:rPr>
          <w:rStyle w:val="normaltextrun"/>
          <w:rFonts w:ascii="Century Gothic" w:hAnsi="Century Gothic" w:cs="Arial"/>
          <w:color w:val="000000"/>
          <w:sz w:val="22"/>
          <w:szCs w:val="22"/>
          <w:lang w:val="es-MX"/>
        </w:rPr>
        <w:t xml:space="preserve">3, numeral 5 y 11, numeral 8, que la habilitan para absolver consultas sobre la aplicación de normas de carácter general en materia de compras y contratación pública, por lo que esta Agencia no tiene la competencia para decidir sobre la legalidad o validez de las normas jurídicas que regulan aspectos de la contratación del Estado, más aún cuando las normas y los actos administrativos citados </w:t>
      </w:r>
      <w:r w:rsidRPr="006430EB">
        <w:rPr>
          <w:rStyle w:val="normaltextrun"/>
          <w:rFonts w:ascii="Century Gothic" w:hAnsi="Century Gothic" w:cs="Arial"/>
          <w:color w:val="000000"/>
          <w:sz w:val="22"/>
          <w:szCs w:val="22"/>
          <w:lang w:val="es-ES"/>
        </w:rPr>
        <w:t>gozan de la presunción de legalidad, de conformidad con lo establecido en la Ley 1437 de 2011, por lo que se presume ajustado al ordenamiento jurídico hasta tanto no sea anulado o suspendido provisionalmente por la Jurisdicción de lo Contencioso Administrativo</w:t>
      </w:r>
      <w:r w:rsidRPr="006430EB">
        <w:rPr>
          <w:rStyle w:val="Refdenotaalpie"/>
          <w:rFonts w:ascii="Century Gothic" w:hAnsi="Century Gothic" w:cs="Arial"/>
          <w:color w:val="000000"/>
          <w:sz w:val="22"/>
          <w:szCs w:val="22"/>
          <w:lang w:val="es-ES"/>
        </w:rPr>
        <w:footnoteReference w:id="11"/>
      </w:r>
      <w:r w:rsidRPr="006430EB">
        <w:rPr>
          <w:rStyle w:val="normaltextrun"/>
          <w:rFonts w:ascii="Century Gothic" w:hAnsi="Century Gothic" w:cs="Arial"/>
          <w:color w:val="000000"/>
          <w:sz w:val="22"/>
          <w:szCs w:val="22"/>
          <w:lang w:val="es-ES"/>
        </w:rPr>
        <w:t>.</w:t>
      </w:r>
    </w:p>
    <w:p w14:paraId="5D5A0CCC" w14:textId="77777777" w:rsidR="00BD7797" w:rsidRPr="006430EB" w:rsidRDefault="00BD7797" w:rsidP="00BD7797">
      <w:pPr>
        <w:pStyle w:val="paragraph"/>
        <w:spacing w:before="240" w:beforeAutospacing="0" w:after="0" w:afterAutospacing="0" w:line="276" w:lineRule="auto"/>
        <w:ind w:firstLine="705"/>
        <w:jc w:val="both"/>
        <w:textAlignment w:val="baseline"/>
        <w:rPr>
          <w:rFonts w:ascii="Century Gothic" w:hAnsi="Century Gothic" w:cs="Segoe UI"/>
          <w:sz w:val="18"/>
          <w:szCs w:val="18"/>
        </w:rPr>
      </w:pPr>
      <w:r w:rsidRPr="006430EB">
        <w:rPr>
          <w:rStyle w:val="normaltextrun"/>
          <w:rFonts w:ascii="Century Gothic" w:hAnsi="Century Gothic" w:cs="Arial"/>
          <w:color w:val="000000"/>
          <w:sz w:val="22"/>
          <w:szCs w:val="22"/>
          <w:lang w:val="es-ES"/>
        </w:rPr>
        <w:t>Conforme a tal presunción, y a que el control de legalidad de los actos administrativos, incluyendo los de carácter general, se encuentra atribuido de manera específica en la referida jurisdicción, la Corte Constitucional ha considerado que no resulta posible en sede administrativa inaplicar los actos administrativos aparentemente contrarios a la ley, como sí resulta viable con los contrarios a las disposiciones constitucionales, en virtud de la habilitación contenida en el artículo 4 Superior, conforme lo determinó en la Sentencia C-037 del 2000:</w:t>
      </w:r>
    </w:p>
    <w:p w14:paraId="62A9D0F0" w14:textId="77777777" w:rsidR="00BD7797" w:rsidRPr="006430EB" w:rsidRDefault="00BD7797" w:rsidP="00BD7797">
      <w:pPr>
        <w:pStyle w:val="paragraph"/>
        <w:spacing w:before="240" w:beforeAutospacing="0" w:after="0" w:afterAutospacing="0"/>
        <w:ind w:left="705" w:right="705"/>
        <w:jc w:val="both"/>
        <w:textAlignment w:val="baseline"/>
        <w:rPr>
          <w:rFonts w:ascii="Century Gothic" w:hAnsi="Century Gothic" w:cs="Segoe UI"/>
          <w:sz w:val="18"/>
          <w:szCs w:val="18"/>
        </w:rPr>
      </w:pPr>
      <w:r w:rsidRPr="006430EB">
        <w:rPr>
          <w:rStyle w:val="normaltextrun"/>
          <w:rFonts w:ascii="Century Gothic" w:hAnsi="Century Gothic" w:cs="Arial"/>
          <w:color w:val="000000"/>
          <w:sz w:val="21"/>
          <w:szCs w:val="21"/>
          <w:lang w:val="es-ES"/>
        </w:rPr>
        <w:t xml:space="preserve">“El orden jerárquico que emana de la Constitución, a pesar de no impedir la penetración de los principios constitucionales en todas las dimensiones del quehacer judicial, da soporte a la existencia de la excepción de ilegalidad y a que su consagración por el legislador resulte acorde con la Carta. Sin embargo, su aplicación o invocación no pueden ser generales, ni la obligatoriedad de los actos administrativos normativos ha sido dejada por el constituyente al libre examen de las autoridades y los particulares. Tal facultad de inaplicar actos administrativos contrarios a las normas </w:t>
      </w:r>
      <w:proofErr w:type="gramStart"/>
      <w:r w:rsidRPr="006430EB">
        <w:rPr>
          <w:rStyle w:val="normaltextrun"/>
          <w:rFonts w:ascii="Century Gothic" w:hAnsi="Century Gothic" w:cs="Arial"/>
          <w:color w:val="000000"/>
          <w:sz w:val="21"/>
          <w:szCs w:val="21"/>
          <w:lang w:val="es-ES"/>
        </w:rPr>
        <w:t>superiores,</w:t>
      </w:r>
      <w:proofErr w:type="gramEnd"/>
      <w:r w:rsidRPr="006430EB">
        <w:rPr>
          <w:rStyle w:val="normaltextrun"/>
          <w:rFonts w:ascii="Century Gothic" w:hAnsi="Century Gothic" w:cs="Arial"/>
          <w:color w:val="000000"/>
          <w:sz w:val="21"/>
          <w:szCs w:val="21"/>
          <w:lang w:val="es-ES"/>
        </w:rPr>
        <w:t xml:space="preserve"> se reserva a la jurisdicción contencioso administrativa.</w:t>
      </w:r>
    </w:p>
    <w:p w14:paraId="27C1776F" w14:textId="77777777" w:rsidR="00BD7797" w:rsidRPr="006430EB" w:rsidRDefault="00BD7797" w:rsidP="00BD7797">
      <w:pPr>
        <w:pStyle w:val="paragraph"/>
        <w:spacing w:before="0" w:beforeAutospacing="0" w:after="0" w:afterAutospacing="0"/>
        <w:ind w:left="705" w:right="705"/>
        <w:jc w:val="both"/>
        <w:textAlignment w:val="baseline"/>
        <w:rPr>
          <w:rFonts w:ascii="Century Gothic" w:hAnsi="Century Gothic" w:cs="Segoe UI"/>
          <w:sz w:val="18"/>
          <w:szCs w:val="18"/>
        </w:rPr>
      </w:pPr>
      <w:r w:rsidRPr="006430EB">
        <w:rPr>
          <w:rStyle w:val="normaltextrun"/>
          <w:rFonts w:ascii="Century Gothic" w:hAnsi="Century Gothic" w:cs="Arial"/>
          <w:color w:val="000000"/>
          <w:sz w:val="21"/>
          <w:szCs w:val="21"/>
          <w:lang w:val="es-ES"/>
        </w:rPr>
        <w:t>[…]</w:t>
      </w:r>
    </w:p>
    <w:p w14:paraId="440F948C" w14:textId="77777777" w:rsidR="00BD7797" w:rsidRPr="006430EB" w:rsidRDefault="00BD7797" w:rsidP="00BD7797">
      <w:pPr>
        <w:pStyle w:val="paragraph"/>
        <w:spacing w:before="0" w:beforeAutospacing="0" w:after="0" w:afterAutospacing="0"/>
        <w:ind w:left="705" w:right="705"/>
        <w:jc w:val="both"/>
        <w:textAlignment w:val="baseline"/>
        <w:rPr>
          <w:rFonts w:ascii="Century Gothic" w:hAnsi="Century Gothic" w:cs="Segoe UI"/>
          <w:sz w:val="18"/>
          <w:szCs w:val="18"/>
        </w:rPr>
      </w:pPr>
      <w:r w:rsidRPr="006430EB">
        <w:rPr>
          <w:rStyle w:val="normaltextrun"/>
          <w:rFonts w:ascii="Century Gothic" w:hAnsi="Century Gothic" w:cs="Arial"/>
          <w:color w:val="000000"/>
          <w:sz w:val="21"/>
          <w:szCs w:val="21"/>
          <w:lang w:val="es-ES"/>
        </w:rPr>
        <w:t>No hay en la Constitución un texto expreso que se refiera al ejercicio de la excepción de ilegalidad, ni a la posibilidad de que los particulares o la autoridades administrativas, por fuera del contexto de un proceso judicial, invoquen dicha excepción para sustraerse de la obligación de acatar los actos administrativos, sino que la Carta puso en manos de una jurisdicción especializada la facultad de decidir sobre la legalidad de los mismos, ilegalidad que debe ser  decretada en los términos que indica el legislador.</w:t>
      </w:r>
      <w:r w:rsidRPr="006430EB">
        <w:rPr>
          <w:rStyle w:val="eop"/>
          <w:rFonts w:ascii="Century Gothic" w:hAnsi="Century Gothic" w:cs="Arial"/>
          <w:color w:val="000000"/>
          <w:sz w:val="21"/>
          <w:szCs w:val="21"/>
        </w:rPr>
        <w:t> </w:t>
      </w:r>
    </w:p>
    <w:p w14:paraId="24C293AE" w14:textId="77777777" w:rsidR="00BD7797" w:rsidRPr="006430EB" w:rsidRDefault="00BD7797" w:rsidP="00BD7797">
      <w:pPr>
        <w:pStyle w:val="paragraph"/>
        <w:spacing w:before="0" w:beforeAutospacing="0" w:after="0" w:afterAutospacing="0"/>
        <w:ind w:left="705" w:right="705"/>
        <w:jc w:val="both"/>
        <w:textAlignment w:val="baseline"/>
        <w:rPr>
          <w:rFonts w:ascii="Century Gothic" w:hAnsi="Century Gothic" w:cs="Segoe UI"/>
          <w:sz w:val="18"/>
          <w:szCs w:val="18"/>
        </w:rPr>
      </w:pPr>
      <w:r w:rsidRPr="006430EB">
        <w:rPr>
          <w:rStyle w:val="normaltextrun"/>
          <w:rFonts w:ascii="Century Gothic" w:hAnsi="Century Gothic" w:cs="Arial"/>
          <w:color w:val="000000"/>
          <w:sz w:val="21"/>
          <w:szCs w:val="21"/>
          <w:lang w:val="es-ES"/>
        </w:rPr>
        <w:t>[…]</w:t>
      </w:r>
      <w:r w:rsidRPr="006430EB">
        <w:rPr>
          <w:rStyle w:val="eop"/>
          <w:rFonts w:ascii="Century Gothic" w:hAnsi="Century Gothic" w:cs="Arial"/>
          <w:color w:val="000000"/>
          <w:sz w:val="21"/>
          <w:szCs w:val="21"/>
        </w:rPr>
        <w:t> </w:t>
      </w:r>
    </w:p>
    <w:p w14:paraId="57A8455D" w14:textId="77777777" w:rsidR="00BD7797" w:rsidRPr="006430EB" w:rsidRDefault="00BD7797" w:rsidP="00BD7797">
      <w:pPr>
        <w:pStyle w:val="paragraph"/>
        <w:spacing w:before="0" w:beforeAutospacing="0" w:after="0" w:afterAutospacing="0"/>
        <w:ind w:left="705" w:right="705"/>
        <w:jc w:val="both"/>
        <w:textAlignment w:val="baseline"/>
        <w:rPr>
          <w:rFonts w:ascii="Century Gothic" w:hAnsi="Century Gothic" w:cs="Segoe UI"/>
          <w:sz w:val="18"/>
          <w:szCs w:val="18"/>
        </w:rPr>
      </w:pPr>
      <w:r w:rsidRPr="006430EB">
        <w:rPr>
          <w:rStyle w:val="normaltextrun"/>
          <w:rFonts w:ascii="Century Gothic" w:hAnsi="Century Gothic" w:cs="Arial"/>
          <w:color w:val="000000"/>
          <w:sz w:val="21"/>
          <w:szCs w:val="21"/>
          <w:lang w:val="es-ES"/>
        </w:rPr>
        <w:t xml:space="preserve">La llamada excepción de ilegalidad se circunscribe entre nosotros a la posibilidad que tiene un juez administrativo de inaplicar, dentro del trámite de una acción sometida a su conocimiento, un acto administrativo que resulta lesivo del orden jurídico superior. Dicha inaplicación puede llevarse a cabo en respuesta a una solicitud de nulidad o de suspensión provisional formulada en la demanda, a una excepción de ilegalidad propiamente tal aducida por el demandado, o </w:t>
      </w:r>
      <w:proofErr w:type="spellStart"/>
      <w:r w:rsidRPr="006430EB">
        <w:rPr>
          <w:rStyle w:val="normaltextrun"/>
          <w:rFonts w:ascii="Century Gothic" w:hAnsi="Century Gothic" w:cs="Arial"/>
          <w:color w:val="000000"/>
          <w:sz w:val="21"/>
          <w:szCs w:val="21"/>
          <w:lang w:val="es-ES"/>
        </w:rPr>
        <w:t>aun</w:t>
      </w:r>
      <w:proofErr w:type="spellEnd"/>
      <w:r w:rsidRPr="006430EB">
        <w:rPr>
          <w:rStyle w:val="normaltextrun"/>
          <w:rFonts w:ascii="Century Gothic" w:hAnsi="Century Gothic" w:cs="Arial"/>
          <w:color w:val="000000"/>
          <w:sz w:val="21"/>
          <w:szCs w:val="21"/>
          <w:lang w:val="es-ES"/>
        </w:rPr>
        <w:t xml:space="preserve"> puede ser pronunciada de oficio. Pero, en virtud de lo dispuesto por la norma sub </w:t>
      </w:r>
      <w:proofErr w:type="spellStart"/>
      <w:r w:rsidRPr="006430EB">
        <w:rPr>
          <w:rStyle w:val="normaltextrun"/>
          <w:rFonts w:ascii="Century Gothic" w:hAnsi="Century Gothic" w:cs="Arial"/>
          <w:color w:val="000000"/>
          <w:sz w:val="21"/>
          <w:szCs w:val="21"/>
          <w:lang w:val="es-ES"/>
        </w:rPr>
        <w:t>exámine</w:t>
      </w:r>
      <w:proofErr w:type="spellEnd"/>
      <w:r w:rsidRPr="006430EB">
        <w:rPr>
          <w:rStyle w:val="normaltextrun"/>
          <w:rFonts w:ascii="Century Gothic" w:hAnsi="Century Gothic" w:cs="Arial"/>
          <w:color w:val="000000"/>
          <w:sz w:val="21"/>
          <w:szCs w:val="21"/>
          <w:lang w:val="es-ES"/>
        </w:rPr>
        <w:t xml:space="preserve"> tal y como ha sido interpretado en la presente decisión, tal inaplicación no puede ser decidida por autoridades administrativas, las cuales, en caso de asumir tal conducta, podrían ser demandadas a través de la acción de cumplimiento, que busca, justamente, hacer efectivo el principio de obligatoriedad y de presunción de legalidad de los actos administrativos.</w:t>
      </w:r>
      <w:r w:rsidRPr="006430EB">
        <w:rPr>
          <w:rStyle w:val="eop"/>
          <w:rFonts w:ascii="Century Gothic" w:hAnsi="Century Gothic" w:cs="Arial"/>
          <w:color w:val="000000"/>
          <w:sz w:val="21"/>
          <w:szCs w:val="21"/>
        </w:rPr>
        <w:t>”</w:t>
      </w:r>
    </w:p>
    <w:p w14:paraId="6D79E1BD" w14:textId="77777777" w:rsidR="00BD7797" w:rsidRPr="006430EB" w:rsidRDefault="00BD7797" w:rsidP="00BD7797">
      <w:pPr>
        <w:pStyle w:val="paragraph"/>
        <w:spacing w:before="0" w:beforeAutospacing="0" w:after="0" w:afterAutospacing="0" w:line="276" w:lineRule="auto"/>
        <w:jc w:val="both"/>
        <w:textAlignment w:val="baseline"/>
        <w:rPr>
          <w:rFonts w:ascii="Century Gothic" w:hAnsi="Century Gothic" w:cs="Segoe UI"/>
          <w:sz w:val="18"/>
          <w:szCs w:val="18"/>
        </w:rPr>
      </w:pPr>
    </w:p>
    <w:p w14:paraId="77D61182" w14:textId="77777777" w:rsidR="00BD7797" w:rsidRPr="006430EB" w:rsidRDefault="00BD7797" w:rsidP="00BD7797">
      <w:pPr>
        <w:pStyle w:val="paragraph"/>
        <w:spacing w:before="0" w:beforeAutospacing="0" w:after="0" w:afterAutospacing="0" w:line="276" w:lineRule="auto"/>
        <w:ind w:firstLine="705"/>
        <w:jc w:val="both"/>
        <w:textAlignment w:val="baseline"/>
        <w:rPr>
          <w:rFonts w:ascii="Century Gothic" w:hAnsi="Century Gothic" w:cs="Segoe UI"/>
          <w:sz w:val="18"/>
          <w:szCs w:val="18"/>
        </w:rPr>
      </w:pPr>
      <w:r w:rsidRPr="006430EB">
        <w:rPr>
          <w:rStyle w:val="normaltextrun"/>
          <w:rFonts w:ascii="Century Gothic" w:hAnsi="Century Gothic" w:cs="Arial"/>
          <w:color w:val="000000"/>
          <w:sz w:val="22"/>
          <w:szCs w:val="22"/>
          <w:lang w:val="es-ES"/>
        </w:rPr>
        <w:t>En ese orden de ideas, la presunción de legalidad y la improcedencia de la aplicación de la excepción de ilegalidad por parte de las autoridades administrativas, implica que hasta que las normas o el acto administrativo previamente citados no sea anulado o suspendido provisionalmente por la Jurisdicción de lo Contencioso Administrativo, se presume su legalidad, por lo que goza de plena aplicación en el ordenamiento jurídico, por lo tanto, se concluye que gozan de la presunción de legalidad y no es posible que la Agencia emita juicios sobre su validez.</w:t>
      </w:r>
    </w:p>
    <w:p w14:paraId="6A6AA02F" w14:textId="77777777" w:rsidR="00BD7797" w:rsidRPr="006430EB" w:rsidRDefault="00BD7797" w:rsidP="00BD7797">
      <w:pPr>
        <w:tabs>
          <w:tab w:val="left" w:pos="709"/>
        </w:tabs>
        <w:spacing w:before="240" w:line="276" w:lineRule="auto"/>
        <w:jc w:val="both"/>
        <w:rPr>
          <w:rFonts w:ascii="Century Gothic" w:eastAsia="Calibri" w:hAnsi="Century Gothic" w:cs="Arial"/>
        </w:rPr>
      </w:pPr>
      <w:r w:rsidRPr="006430EB">
        <w:rPr>
          <w:rFonts w:ascii="Century Gothic" w:eastAsia="Calibri" w:hAnsi="Century Gothic" w:cs="Arial"/>
        </w:rPr>
        <w:tab/>
        <w:t>Así las cosas, a juicio de esta Subdirección, la interpretación actual que se le puede dar al tema frente a la prohibición del parágrafo 2° del artículo 5 de la Ley 1150 de 2007, es que esta última no restringe la posibilidad que tiene las entidades estatales de incluir aspectos de seguridad y salud en el trabajo en la evaluación y selección de proveedores y contratistas, que le permitan, entre otros aspectos, conocer que la empresa a contratar cuenta con la implementación de los estándares mínimos del Sistema de Gestión de la Seguridad y Salud en el Trabajo (SG-SST), sin que por ello se exija la presentación de una certificación de calidad al respecto, como lo es,  por ejemplo, la certificación que otorga la ISO 9001, entre otros. Sin embargo, se aclara que las anteriores certificaciones son diferentes a la certificación de acreditación en seguridad y salud en el trabajo que conforme el artículo 22 de la Resolución 312 del 13 de febrero de 2019 expide el Ministerio del Trabajo, de manera gratuita, a las a las empresas, entidades, empleadores y contratantes.</w:t>
      </w:r>
    </w:p>
    <w:p w14:paraId="179023F0" w14:textId="77777777" w:rsidR="00BD7797" w:rsidRPr="006430EB" w:rsidRDefault="00BD7797" w:rsidP="00BD7797">
      <w:pPr>
        <w:tabs>
          <w:tab w:val="left" w:pos="709"/>
        </w:tabs>
        <w:spacing w:line="276" w:lineRule="auto"/>
        <w:jc w:val="both"/>
        <w:rPr>
          <w:rFonts w:ascii="Century Gothic" w:eastAsia="Calibri" w:hAnsi="Century Gothic" w:cs="Arial"/>
        </w:rPr>
      </w:pPr>
      <w:r w:rsidRPr="006430EB">
        <w:rPr>
          <w:rFonts w:ascii="Century Gothic" w:eastAsia="Calibri" w:hAnsi="Century Gothic" w:cs="Arial"/>
        </w:rPr>
        <w:tab/>
        <w:t>La anterior interpretación es para esta Subdirección, el efecto útil de las normas sub examine, pues, aceptar una lectura extensiva del parágrafo 2 del artículo 5 de la Ley 1150 de 2007, resta los efectos prácticos a la prohibición establecida por el legislador y contraria a lo establecido en el artículo 31 del Código Civil según el cual lo “</w:t>
      </w:r>
      <w:r w:rsidRPr="006430EB">
        <w:rPr>
          <w:rFonts w:ascii="Century Gothic" w:eastAsia="Calibri" w:hAnsi="Century Gothic" w:cs="Arial"/>
          <w:i/>
          <w:iCs/>
        </w:rPr>
        <w:t>Lo favorable u odioso de una disposición no se tomará en cuenta para ampliar o restringir su interpretación. La extensión que deba darse a toda ley se determinará por su genuino sentido, y según las reglas de interpretación precedentes.”.</w:t>
      </w:r>
      <w:r w:rsidRPr="006430EB">
        <w:rPr>
          <w:rFonts w:ascii="Century Gothic" w:eastAsia="Calibri" w:hAnsi="Century Gothic" w:cs="Arial"/>
        </w:rPr>
        <w:t xml:space="preserve"> Por otro lado, desconoce la finalidad perseguida por el parágrafo 2 del artículo 2.2.4.6.4. del Decreto 1072 de 2015 en la facultad otorgada a las entidades contratantes, para que, dentro de los parámetros de selección y evaluación de sus proveedores y contratistas, se les permita incluir criterios que le permitan conocer que la empresa a contratar cuente con el Sistema de Gestión de la Seguridad y Salud en el Trabajo (SG-SST).</w:t>
      </w:r>
    </w:p>
    <w:p w14:paraId="0FBF6124" w14:textId="77777777" w:rsidR="00BD7797" w:rsidRPr="006430EB" w:rsidRDefault="00BD7797" w:rsidP="00BD7797">
      <w:pPr>
        <w:tabs>
          <w:tab w:val="left" w:pos="709"/>
        </w:tabs>
        <w:spacing w:line="276" w:lineRule="auto"/>
        <w:jc w:val="both"/>
        <w:rPr>
          <w:rFonts w:ascii="Century Gothic" w:eastAsia="Calibri" w:hAnsi="Century Gothic" w:cs="Arial"/>
        </w:rPr>
      </w:pPr>
      <w:r w:rsidRPr="006430EB">
        <w:rPr>
          <w:rFonts w:ascii="Century Gothic" w:eastAsia="Calibri" w:hAnsi="Century Gothic" w:cs="Arial"/>
        </w:rPr>
        <w:tab/>
        <w:t xml:space="preserve">La posibilidad de contemplar dicho requisito dentro de los procesos de selección también guarda relación con el parágrafo adicionado por el artículo 4 del Decreto 142 de 2023, que modificó el artículo 2.2.1.1.2.2.2. del Decreto 1082 de 2015, estableciendo la posibilidad de que las entidades estatales puedan incluir criterios ambientales o sociales vinculados al objeto del contrato, como criterios de calidad para evaluar las ofertas en relación calidad y precio, siendo factible que el cumplimiento de estándares de Seguridad y Salud en el Trabajo, puedan ser considerados por las entidades estatales como criterios sociales al aportar valor agregado en la ejecución de actividades adicionales a las establecidas en la normativa de riesgos laborales, que impactan positivamente en la salud y bienestar de los trabajadores y/o contratistas. </w:t>
      </w:r>
    </w:p>
    <w:p w14:paraId="3BFE6956" w14:textId="77777777" w:rsidR="00BD7797" w:rsidRPr="006430EB" w:rsidRDefault="00BD7797" w:rsidP="00BD7797">
      <w:pPr>
        <w:tabs>
          <w:tab w:val="left" w:pos="709"/>
        </w:tabs>
        <w:spacing w:line="276" w:lineRule="auto"/>
        <w:jc w:val="both"/>
        <w:rPr>
          <w:rFonts w:ascii="Century Gothic" w:eastAsia="Calibri" w:hAnsi="Century Gothic" w:cs="Arial"/>
        </w:rPr>
      </w:pPr>
      <w:r w:rsidRPr="006430EB">
        <w:rPr>
          <w:rFonts w:ascii="Century Gothic" w:eastAsia="Calibri" w:hAnsi="Century Gothic" w:cs="Arial"/>
        </w:rPr>
        <w:tab/>
        <w:t>La anterior no quiere decir que, durante la ejecución del contrato estatal, la entidad no pueda y deba supervisar el cumplimiento de unos estándares mínimos que exige la ley sobre la implementación del Sistema de Gestión de la Seguridad y Salud en el Trabajo SG-SST, discriminados en la Resolución 0312 del 13 de febrero de 2019, expedida por el Ministerio del Trabajo. En efecto, los artículos 3, 9, 16 y 20 de esa resolución establecen exigencias mínimas que deberán cumplir las empresas, empleadores y contratantes a los que se refiere el artículo 2 de dicho acto administrativo.</w:t>
      </w:r>
    </w:p>
    <w:p w14:paraId="2A1BD81E" w14:textId="77777777" w:rsidR="00BD7797" w:rsidRPr="006430EB" w:rsidRDefault="00BD7797" w:rsidP="00BD7797">
      <w:pPr>
        <w:tabs>
          <w:tab w:val="left" w:pos="709"/>
        </w:tabs>
        <w:spacing w:line="276" w:lineRule="auto"/>
        <w:jc w:val="both"/>
        <w:rPr>
          <w:rFonts w:ascii="Century Gothic" w:eastAsia="Calibri" w:hAnsi="Century Gothic" w:cs="Arial"/>
        </w:rPr>
      </w:pPr>
      <w:r w:rsidRPr="006430EB">
        <w:rPr>
          <w:rFonts w:ascii="Century Gothic" w:eastAsia="Calibri" w:hAnsi="Century Gothic" w:cs="Arial"/>
        </w:rPr>
        <w:tab/>
        <w:t>Por su parte, el artículo 2.2.4.6.28 del Decreto 1072 de 2015 contempló, en materia de contratación, el deber en cabeza del empleador de adoptar y mantener las disposiciones que garanticen el cumplimiento de las normas de seguridad y salud en el trabajo de su empresa, por parte de los proveedores, trabajadores dependientes, trabajadores cooperados, trabajadores en misión, contratistas y sus trabajadores o subcontratistas, durante el desempeño de las actividades del objeto del contrato, es decir, durante la supervisión del contrato que se pasa a exponer:</w:t>
      </w:r>
    </w:p>
    <w:p w14:paraId="093EC281" w14:textId="77777777" w:rsidR="00BD7797" w:rsidRPr="006430EB" w:rsidRDefault="00BD7797" w:rsidP="00BD7797">
      <w:pPr>
        <w:tabs>
          <w:tab w:val="left" w:pos="709"/>
        </w:tabs>
        <w:spacing w:line="240" w:lineRule="auto"/>
        <w:ind w:left="709" w:right="709"/>
        <w:jc w:val="both"/>
        <w:rPr>
          <w:rFonts w:ascii="Century Gothic" w:eastAsia="Calibri" w:hAnsi="Century Gothic" w:cs="Arial"/>
          <w:i/>
          <w:iCs/>
          <w:sz w:val="21"/>
          <w:szCs w:val="21"/>
        </w:rPr>
      </w:pPr>
      <w:r w:rsidRPr="006430EB">
        <w:rPr>
          <w:rFonts w:ascii="Century Gothic" w:eastAsia="Calibri" w:hAnsi="Century Gothic" w:cs="Arial"/>
          <w:i/>
          <w:iCs/>
          <w:sz w:val="21"/>
          <w:szCs w:val="21"/>
        </w:rPr>
        <w:t xml:space="preserve">“(…)1. Incluir los aspectos de seguridad y salud en el trabajo en la evaluación y selección de proveedores y contratistas; </w:t>
      </w:r>
    </w:p>
    <w:p w14:paraId="47B88CE7" w14:textId="77777777" w:rsidR="00BD7797" w:rsidRPr="006430EB" w:rsidRDefault="00BD7797" w:rsidP="00BD7797">
      <w:pPr>
        <w:tabs>
          <w:tab w:val="left" w:pos="709"/>
        </w:tabs>
        <w:spacing w:line="240" w:lineRule="auto"/>
        <w:ind w:left="709" w:right="709"/>
        <w:jc w:val="both"/>
        <w:rPr>
          <w:rFonts w:ascii="Century Gothic" w:eastAsia="Calibri" w:hAnsi="Century Gothic" w:cs="Arial"/>
          <w:sz w:val="21"/>
          <w:szCs w:val="21"/>
        </w:rPr>
      </w:pPr>
      <w:r w:rsidRPr="006430EB">
        <w:rPr>
          <w:rFonts w:ascii="Century Gothic" w:eastAsia="Calibri" w:hAnsi="Century Gothic" w:cs="Arial"/>
          <w:sz w:val="21"/>
          <w:szCs w:val="21"/>
        </w:rPr>
        <w:t xml:space="preserve">2. Procurar canales de comunicación para la gestión de seguridad y salud en el trabajo con los proveedores, trabajadores cooperados, trabajadores en misión, contratistas y sus trabajadores o subcontratistas; </w:t>
      </w:r>
    </w:p>
    <w:p w14:paraId="0E02630C" w14:textId="15832368" w:rsidR="00BD7797" w:rsidRPr="006430EB" w:rsidRDefault="00BD7797" w:rsidP="00BD7797">
      <w:pPr>
        <w:tabs>
          <w:tab w:val="left" w:pos="709"/>
        </w:tabs>
        <w:spacing w:line="240" w:lineRule="auto"/>
        <w:ind w:left="709" w:right="709"/>
        <w:jc w:val="both"/>
        <w:rPr>
          <w:rFonts w:ascii="Century Gothic" w:eastAsia="Calibri" w:hAnsi="Century Gothic" w:cs="Arial"/>
          <w:sz w:val="21"/>
          <w:szCs w:val="21"/>
        </w:rPr>
      </w:pPr>
      <w:r w:rsidRPr="006430EB">
        <w:rPr>
          <w:rFonts w:ascii="Century Gothic" w:eastAsia="Calibri" w:hAnsi="Century Gothic" w:cs="Arial"/>
          <w:sz w:val="21"/>
          <w:szCs w:val="21"/>
        </w:rPr>
        <w:t xml:space="preserve">3. Verificar antes del inicio del trabajo y periódicamente, el cumplimiento de la obligación de afiliación al Sistema General de Riesgos Laborales, considerando la rotación del personal por parte de los proveedores contratistas y subcontratistas, de conformidad con la normatividad vigente; </w:t>
      </w:r>
    </w:p>
    <w:p w14:paraId="0C9E70C5" w14:textId="77777777" w:rsidR="00BD7797" w:rsidRPr="006430EB" w:rsidRDefault="00BD7797" w:rsidP="00BD7797">
      <w:pPr>
        <w:tabs>
          <w:tab w:val="left" w:pos="709"/>
        </w:tabs>
        <w:spacing w:line="240" w:lineRule="auto"/>
        <w:ind w:left="709" w:right="709"/>
        <w:jc w:val="both"/>
        <w:rPr>
          <w:rFonts w:ascii="Century Gothic" w:eastAsia="Calibri" w:hAnsi="Century Gothic" w:cs="Arial"/>
          <w:sz w:val="21"/>
          <w:szCs w:val="21"/>
        </w:rPr>
      </w:pPr>
      <w:r w:rsidRPr="006430EB">
        <w:rPr>
          <w:rFonts w:ascii="Century Gothic" w:eastAsia="Calibri" w:hAnsi="Century Gothic" w:cs="Arial"/>
          <w:sz w:val="21"/>
          <w:szCs w:val="21"/>
        </w:rPr>
        <w:t xml:space="preserve">4. Informar a los proveedores y contratistas al igual que a los trabajadores de este último, previo al inicio del contrato, los peligros y riesgos generales y específicos de su zona de trabajo incluidas las actividades o tareas de alto riesgo, rutinarias y no rutinarias, así como la forma de controlarlos y las medidas de prevención y atención de emergencias. En este propósito, se debe revisar periódicamente durante cada año, la rotación de perso­nal y asegurar que, dentro del alcance de este numeral, el nuevo personal reciba la misma información; </w:t>
      </w:r>
    </w:p>
    <w:p w14:paraId="3558EBE4" w14:textId="77777777" w:rsidR="00BD7797" w:rsidRPr="006430EB" w:rsidRDefault="00BD7797" w:rsidP="00BD7797">
      <w:pPr>
        <w:tabs>
          <w:tab w:val="left" w:pos="709"/>
        </w:tabs>
        <w:spacing w:line="240" w:lineRule="auto"/>
        <w:ind w:left="709" w:right="709"/>
        <w:jc w:val="both"/>
        <w:rPr>
          <w:rFonts w:ascii="Century Gothic" w:eastAsia="Calibri" w:hAnsi="Century Gothic" w:cs="Arial"/>
          <w:sz w:val="21"/>
          <w:szCs w:val="21"/>
        </w:rPr>
      </w:pPr>
      <w:r w:rsidRPr="006430EB">
        <w:rPr>
          <w:rFonts w:ascii="Century Gothic" w:eastAsia="Calibri" w:hAnsi="Century Gothic" w:cs="Arial"/>
          <w:sz w:val="21"/>
          <w:szCs w:val="21"/>
        </w:rPr>
        <w:t xml:space="preserve">5. Instruir a los proveedores, trabajadores cooperados, trabajadores en misión, con­tratistas y sus trabajadores o subcontratistas, sobre el deber de informarle, acerca de los presuntos accidentes de trabajo y enfermedades laborales ocurridos durante el periodo de vigencia del contrato para que el empleador o contratante ejerza las acciones de preven­ción y control que estén bajo su responsabilidad; y </w:t>
      </w:r>
    </w:p>
    <w:p w14:paraId="2F5E57C1" w14:textId="77777777" w:rsidR="00BD7797" w:rsidRPr="006430EB" w:rsidRDefault="00BD7797" w:rsidP="00BD7797">
      <w:pPr>
        <w:tabs>
          <w:tab w:val="left" w:pos="709"/>
        </w:tabs>
        <w:spacing w:line="240" w:lineRule="auto"/>
        <w:ind w:left="709" w:right="709"/>
        <w:jc w:val="both"/>
        <w:rPr>
          <w:rFonts w:ascii="Century Gothic" w:eastAsia="Calibri" w:hAnsi="Century Gothic" w:cs="Arial"/>
          <w:sz w:val="21"/>
          <w:szCs w:val="21"/>
        </w:rPr>
      </w:pPr>
      <w:r w:rsidRPr="006430EB">
        <w:rPr>
          <w:rFonts w:ascii="Century Gothic" w:eastAsia="Calibri" w:hAnsi="Century Gothic" w:cs="Arial"/>
          <w:sz w:val="21"/>
          <w:szCs w:val="21"/>
        </w:rPr>
        <w:t xml:space="preserve">6. Verificar periódicamente y durante el desarrollo de las actividades objeto del contra­to en la empresa, el cumplimiento de la normatividad en seguridad y salud el trabajo por parte de los trabajadores cooperados, trabajadores en misión, proveedores, contratistas y sus trabajadores o subcontratistas. </w:t>
      </w:r>
    </w:p>
    <w:p w14:paraId="51595D5B" w14:textId="77777777" w:rsidR="00BD7797" w:rsidRPr="006430EB" w:rsidRDefault="00BD7797" w:rsidP="00BD7797">
      <w:pPr>
        <w:tabs>
          <w:tab w:val="left" w:pos="709"/>
        </w:tabs>
        <w:spacing w:line="240" w:lineRule="auto"/>
        <w:ind w:left="709" w:right="709"/>
        <w:jc w:val="both"/>
        <w:rPr>
          <w:rFonts w:ascii="Century Gothic" w:eastAsia="Calibri" w:hAnsi="Century Gothic" w:cs="Arial"/>
          <w:sz w:val="21"/>
          <w:szCs w:val="21"/>
        </w:rPr>
      </w:pPr>
      <w:r w:rsidRPr="006430EB">
        <w:rPr>
          <w:rFonts w:ascii="Century Gothic" w:eastAsia="Calibri" w:hAnsi="Century Gothic" w:cs="Arial"/>
          <w:sz w:val="21"/>
          <w:szCs w:val="21"/>
        </w:rPr>
        <w:t>Parágrafo. Para los efectos del Sistema de Gestión de la Seguridad y Salud en el Tra­bajo (SG-SST), los proveedores y contratistas deben cumplir frente a sus trabajadores o subcontratistas, con las responsabilidades del presente capítulo.”</w:t>
      </w:r>
    </w:p>
    <w:p w14:paraId="6C5F4885" w14:textId="77777777" w:rsidR="00BD7797" w:rsidRPr="006430EB" w:rsidRDefault="00BD7797" w:rsidP="00BD7797">
      <w:pPr>
        <w:pStyle w:val="Sinespaciado"/>
        <w:spacing w:line="276" w:lineRule="auto"/>
        <w:ind w:firstLine="709"/>
        <w:jc w:val="both"/>
        <w:rPr>
          <w:rFonts w:ascii="Century Gothic" w:eastAsia="Calibri" w:hAnsi="Century Gothic" w:cs="Arial"/>
          <w:bCs/>
          <w:color w:val="000000" w:themeColor="text1"/>
          <w:sz w:val="22"/>
          <w:lang w:val="es-ES"/>
        </w:rPr>
      </w:pPr>
      <w:r w:rsidRPr="006430EB">
        <w:rPr>
          <w:rFonts w:ascii="Century Gothic" w:hAnsi="Century Gothic" w:cs="Arial"/>
          <w:bCs/>
          <w:color w:val="000000" w:themeColor="text1"/>
          <w:sz w:val="22"/>
        </w:rPr>
        <w:t xml:space="preserve">En este punto, se reitera que el seguimiento de la ejecución del contrato para su dirección, control y vigilancia del correcto cumplimiento del objeto es un deber legal que permite a las entidades estatales tomar medidas orientadas a la satisfacción de los fines de la contratación, dentro de las cuales se encuentra el cumplimiento del ordenamiento jurídico vigente, por lo que </w:t>
      </w:r>
      <w:r w:rsidRPr="006430EB">
        <w:rPr>
          <w:rFonts w:ascii="Century Gothic" w:eastAsia="Calibri" w:hAnsi="Century Gothic" w:cs="Arial"/>
          <w:bCs/>
          <w:color w:val="000000" w:themeColor="text1"/>
          <w:sz w:val="22"/>
          <w:lang w:val="es-ES"/>
        </w:rPr>
        <w:t xml:space="preserve">las normas técnicas que se encuentran reguladas en la Resolución 0312 de 2019, expedida por el Ministerio del Trabajo, las cuales, como se dijo en el numeral anterior, constituyen estándares mínimos que deberán ser supervisados durante la ejecución del contrato estatal por tratarse de exigencias de rango legal. </w:t>
      </w:r>
    </w:p>
    <w:p w14:paraId="1E6DF5B4" w14:textId="77777777" w:rsidR="00BD7797" w:rsidRPr="006430EB" w:rsidRDefault="00BD7797" w:rsidP="00BD7797">
      <w:pPr>
        <w:tabs>
          <w:tab w:val="left" w:pos="0"/>
        </w:tabs>
        <w:spacing w:before="120" w:line="276" w:lineRule="auto"/>
        <w:jc w:val="both"/>
        <w:rPr>
          <w:rFonts w:ascii="Century Gothic" w:eastAsia="Calibri" w:hAnsi="Century Gothic" w:cs="Arial"/>
          <w:bCs/>
          <w:color w:val="000000" w:themeColor="text1"/>
          <w:lang w:val="es-ES"/>
        </w:rPr>
      </w:pPr>
      <w:r w:rsidRPr="006430EB">
        <w:rPr>
          <w:rFonts w:ascii="Century Gothic" w:eastAsia="Calibri" w:hAnsi="Century Gothic" w:cs="Arial"/>
          <w:bCs/>
          <w:color w:val="000000" w:themeColor="text1"/>
          <w:lang w:val="es-ES"/>
        </w:rPr>
        <w:tab/>
        <w:t xml:space="preserve">En ese orden de ideas, dentro de  las actividades de “seguimiento administrativo” de la supervisión de los contratos, se encuentra, entre otras, las siguientes actividades: i) revisar que el expediente electrónico o físico del contrato esté completo, sea actualizado constantemente y cumpla con la normativa aplicable; </w:t>
      </w:r>
      <w:proofErr w:type="spellStart"/>
      <w:r w:rsidRPr="006430EB">
        <w:rPr>
          <w:rFonts w:ascii="Century Gothic" w:eastAsia="Calibri" w:hAnsi="Century Gothic" w:cs="Arial"/>
          <w:bCs/>
          <w:color w:val="000000" w:themeColor="text1"/>
          <w:lang w:val="es-ES"/>
        </w:rPr>
        <w:t>ii</w:t>
      </w:r>
      <w:proofErr w:type="spellEnd"/>
      <w:r w:rsidRPr="006430EB">
        <w:rPr>
          <w:rFonts w:ascii="Century Gothic" w:eastAsia="Calibri" w:hAnsi="Century Gothic" w:cs="Arial"/>
          <w:bCs/>
          <w:color w:val="000000" w:themeColor="text1"/>
          <w:lang w:val="es-ES"/>
        </w:rPr>
        <w:t xml:space="preserve">) coordinar con el responsable en la Entidad Estatal la revisión y aprobación de garantías, la revisión de los soportes de cumplimiento de las obligaciones laborales, la revisión de las garantías; </w:t>
      </w:r>
      <w:proofErr w:type="spellStart"/>
      <w:r w:rsidRPr="006430EB">
        <w:rPr>
          <w:rFonts w:ascii="Century Gothic" w:eastAsia="Calibri" w:hAnsi="Century Gothic" w:cs="Arial"/>
          <w:bCs/>
          <w:color w:val="000000" w:themeColor="text1"/>
          <w:lang w:val="es-ES"/>
        </w:rPr>
        <w:t>iii</w:t>
      </w:r>
      <w:proofErr w:type="spellEnd"/>
      <w:r w:rsidRPr="006430EB">
        <w:rPr>
          <w:rFonts w:ascii="Century Gothic" w:eastAsia="Calibri" w:hAnsi="Century Gothic" w:cs="Arial"/>
          <w:bCs/>
          <w:color w:val="000000" w:themeColor="text1"/>
          <w:lang w:val="es-ES"/>
        </w:rPr>
        <w:t xml:space="preserve">) preparar y entregar los informes previstos y los que soliciten los organismos de control; </w:t>
      </w:r>
      <w:proofErr w:type="spellStart"/>
      <w:r w:rsidRPr="006430EB">
        <w:rPr>
          <w:rFonts w:ascii="Century Gothic" w:eastAsia="Calibri" w:hAnsi="Century Gothic" w:cs="Arial"/>
          <w:bCs/>
          <w:color w:val="000000" w:themeColor="text1"/>
          <w:lang w:val="es-ES"/>
        </w:rPr>
        <w:t>iv</w:t>
      </w:r>
      <w:proofErr w:type="spellEnd"/>
      <w:r w:rsidRPr="006430EB">
        <w:rPr>
          <w:rFonts w:ascii="Century Gothic" w:eastAsia="Calibri" w:hAnsi="Century Gothic" w:cs="Arial"/>
          <w:bCs/>
          <w:color w:val="000000" w:themeColor="text1"/>
          <w:lang w:val="es-ES"/>
        </w:rPr>
        <w:t>) revisar que la Entidad Estatal cumpla con los principios de publicidad de los Procesos de Contratación y de los Documentos del Proceso; v) verificar el cumplimiento de las obligaciones del contratista en materia de seguridad social, salud ocupacional, planes de contingencia, normas ambientales, y cualquier otra norma aplicable de acuerdo con la naturaleza del contrato. Para los efectos de este concepto se resaltan dentro de este seguimiento la verificación del cumplimiento de obligaciones relacionadas con la revisión de los soportes de cumplimiento de las obligaciones laborales y la verificación del cumplimiento de las obligaciones del contratista en materia de seguridad social y salud ocupacional, ahora denominada Sistema de Gestión de Seguridad y Salud en el Trabajo SG-SST.</w:t>
      </w:r>
    </w:p>
    <w:p w14:paraId="7B77B6B4" w14:textId="77777777" w:rsidR="00BD7797" w:rsidRPr="006430EB" w:rsidRDefault="00BD7797" w:rsidP="00BD7797">
      <w:pPr>
        <w:tabs>
          <w:tab w:val="left" w:pos="0"/>
        </w:tabs>
        <w:spacing w:before="120" w:line="276" w:lineRule="auto"/>
        <w:jc w:val="both"/>
        <w:rPr>
          <w:rFonts w:ascii="Century Gothic" w:eastAsia="Calibri" w:hAnsi="Century Gothic" w:cs="Arial"/>
          <w:b/>
          <w:lang w:val="es-ES_tradnl"/>
        </w:rPr>
      </w:pPr>
      <w:r w:rsidRPr="006430EB">
        <w:rPr>
          <w:rFonts w:ascii="Century Gothic" w:eastAsia="Calibri" w:hAnsi="Century Gothic" w:cs="Arial"/>
          <w:bCs/>
          <w:color w:val="000000" w:themeColor="text1"/>
          <w:lang w:val="es-ES"/>
        </w:rPr>
        <w:tab/>
      </w:r>
      <w:r w:rsidRPr="006430EB">
        <w:rPr>
          <w:rFonts w:ascii="Century Gothic" w:eastAsia="Calibri" w:hAnsi="Century Gothic" w:cs="Arial"/>
          <w:b/>
          <w:lang w:val="es-ES_tradnl"/>
        </w:rPr>
        <w:t>3. Respuestas:</w:t>
      </w:r>
    </w:p>
    <w:p w14:paraId="3AA9200F" w14:textId="77777777" w:rsidR="00BD7797" w:rsidRPr="006430EB" w:rsidRDefault="00BD7797" w:rsidP="00BD7797">
      <w:pPr>
        <w:tabs>
          <w:tab w:val="left" w:pos="426"/>
        </w:tabs>
        <w:spacing w:after="120" w:line="276" w:lineRule="auto"/>
        <w:jc w:val="both"/>
        <w:rPr>
          <w:rFonts w:ascii="Century Gothic" w:hAnsi="Century Gothic" w:cs="Arial"/>
          <w:i/>
          <w:iCs/>
        </w:rPr>
      </w:pPr>
      <w:r w:rsidRPr="006430EB">
        <w:rPr>
          <w:rFonts w:ascii="Century Gothic" w:eastAsia="Calibri" w:hAnsi="Century Gothic" w:cs="Arial"/>
        </w:rPr>
        <w:t xml:space="preserve">En torno al concepto 4201814000003717 emitido por esta Agencia, solicita que se informe cual es la posición jurídica actual de la entidad sobre la exigencia del Sistema de Gestión de Seguridad y Salud en el Trabajo como requisito habilitante en los procesos de selección de contratistas del Estado. </w:t>
      </w:r>
    </w:p>
    <w:p w14:paraId="053FC548" w14:textId="77777777" w:rsidR="00BD7797" w:rsidRPr="006430EB" w:rsidRDefault="00BD7797" w:rsidP="00BD7797">
      <w:pPr>
        <w:spacing w:before="120" w:after="120" w:line="276" w:lineRule="auto"/>
        <w:ind w:firstLine="708"/>
        <w:jc w:val="both"/>
        <w:rPr>
          <w:rFonts w:ascii="Century Gothic" w:hAnsi="Century Gothic" w:cs="Arial"/>
          <w:color w:val="000000"/>
          <w:bdr w:val="none" w:sz="0" w:space="0" w:color="auto" w:frame="1"/>
        </w:rPr>
      </w:pPr>
      <w:r w:rsidRPr="006430EB">
        <w:rPr>
          <w:rFonts w:ascii="Century Gothic" w:hAnsi="Century Gothic" w:cs="Arial"/>
        </w:rPr>
        <w:t xml:space="preserve">Al respecto, es importante resaltar que, conforme a lo enunciado previamente, </w:t>
      </w:r>
      <w:r w:rsidRPr="006430EB">
        <w:rPr>
          <w:rFonts w:ascii="Century Gothic" w:hAnsi="Century Gothic" w:cs="Arial"/>
          <w:color w:val="000000"/>
          <w:bdr w:val="none" w:sz="0" w:space="0" w:color="auto" w:frame="1"/>
          <w:lang w:eastAsia="es-MX"/>
        </w:rPr>
        <w:t xml:space="preserve">en nuestro ordenamiento jurídico no existe una configuración taxativa de los requisitos habilitantes en cada proceso contractual. Por el contrario, las entidades estatales, en ejercicio de su autonomía de la voluntad, deben decidir el contenido de los requisitos habilitantes que en cada caso o proceso de selección que permitirán, a criterio de la entidad, comprobar que los eventuales oferentes puedan estar habilitados para participar y ser los futuros contratistas. En ese sentido, las entidades estatales podrán optar por aplicar los requisitos habilitantes señalados en el artículo 6 de la Ley 1150 de 2007, o si opta por aplicar requisitos adicionales a estos. En este último caso, la entidad deberá realizar directamente la verificación de la información relativa a la acreditación del correspondiente requisito adicional. </w:t>
      </w:r>
    </w:p>
    <w:p w14:paraId="7A8008DC" w14:textId="77777777" w:rsidR="00BD7797" w:rsidRPr="006430EB" w:rsidRDefault="00BD7797" w:rsidP="00BD7797">
      <w:pPr>
        <w:spacing w:before="120" w:after="120" w:line="276" w:lineRule="auto"/>
        <w:ind w:firstLine="708"/>
        <w:jc w:val="both"/>
        <w:rPr>
          <w:rFonts w:ascii="Century Gothic" w:eastAsia="Calibri" w:hAnsi="Century Gothic" w:cs="Arial"/>
          <w:lang w:val="es-ES"/>
        </w:rPr>
      </w:pPr>
      <w:r w:rsidRPr="006430EB">
        <w:rPr>
          <w:rFonts w:ascii="Century Gothic" w:eastAsia="Calibri" w:hAnsi="Century Gothic" w:cs="Arial"/>
          <w:color w:val="000000" w:themeColor="text1"/>
          <w:lang w:val="es-ES_tradnl"/>
        </w:rPr>
        <w:t xml:space="preserve">Sin embargo, considerando la discrecionalidad para establecer requisitos habilitantes con la que cuentan las entidades estatales, es necesario tener en cuenta que </w:t>
      </w:r>
      <w:r w:rsidRPr="006430EB">
        <w:rPr>
          <w:rFonts w:ascii="Century Gothic" w:eastAsia="Calibri" w:hAnsi="Century Gothic" w:cs="Arial"/>
        </w:rPr>
        <w:t xml:space="preserve">el artículo 44 de la Ley 1437 de 2011 –aplicable en los procedimientos contractuales en virtud del artículo 77 de la Ley 80 de 1993– dispone que: </w:t>
      </w:r>
      <w:r w:rsidRPr="006430EB">
        <w:rPr>
          <w:rFonts w:ascii="Century Gothic" w:eastAsia="Calibri" w:hAnsi="Century Gothic" w:cs="Arial"/>
          <w:i/>
          <w:iCs/>
        </w:rPr>
        <w:t>“</w:t>
      </w:r>
      <w:r w:rsidRPr="006430EB">
        <w:rPr>
          <w:rFonts w:ascii="Century Gothic" w:eastAsia="Calibri" w:hAnsi="Century Gothic" w:cs="Arial"/>
        </w:rPr>
        <w:t>En la medida en que el contenido de una decisión de carácter general o particular sea discrecional, debe ser adecuada a los fines de la norma que la autoriza, y proporcional a los hechos que le sirven de causa</w:t>
      </w:r>
      <w:r w:rsidRPr="006430EB">
        <w:rPr>
          <w:rFonts w:ascii="Century Gothic" w:eastAsia="Calibri" w:hAnsi="Century Gothic" w:cs="Arial"/>
          <w:i/>
          <w:iCs/>
        </w:rPr>
        <w:t>”</w:t>
      </w:r>
      <w:r w:rsidRPr="006430EB">
        <w:rPr>
          <w:rFonts w:ascii="Century Gothic" w:eastAsia="Calibri" w:hAnsi="Century Gothic" w:cs="Arial"/>
        </w:rPr>
        <w:t>. Para efectos de establecer requisitos habilitantes como los expuestos en su consulta, le asiste a la Entidad Estatal la carga justificativa de su adopción en los estudios y documentos previos del proceso de selección de conformidad con el artículo</w:t>
      </w:r>
      <w:r w:rsidRPr="006430EB">
        <w:rPr>
          <w:rFonts w:ascii="Century Gothic" w:eastAsia="Calibri" w:hAnsi="Century Gothic" w:cs="Arial"/>
          <w:color w:val="000000" w:themeColor="text1"/>
          <w:lang w:val="es-ES_tradnl"/>
        </w:rPr>
        <w:t xml:space="preserve"> 2.2.1.1.1.6.2 del Decreto 1082 de 2015.</w:t>
      </w:r>
    </w:p>
    <w:p w14:paraId="1CE0D87C" w14:textId="0ECD7F78" w:rsidR="00BD7797" w:rsidRPr="006430EB" w:rsidRDefault="00BD7797" w:rsidP="00BD7797">
      <w:pPr>
        <w:spacing w:before="120" w:line="276" w:lineRule="auto"/>
        <w:ind w:firstLine="708"/>
        <w:jc w:val="both"/>
        <w:rPr>
          <w:rFonts w:ascii="Century Gothic" w:eastAsia="Calibri" w:hAnsi="Century Gothic" w:cs="Arial"/>
        </w:rPr>
      </w:pPr>
      <w:r w:rsidRPr="006430EB">
        <w:rPr>
          <w:rFonts w:ascii="Century Gothic" w:hAnsi="Century Gothic" w:cs="Arial"/>
        </w:rPr>
        <w:t>Es preciso señalar que el</w:t>
      </w:r>
      <w:r w:rsidRPr="006430EB">
        <w:rPr>
          <w:rFonts w:ascii="Century Gothic" w:hAnsi="Century Gothic" w:cs="Arial"/>
          <w:i/>
          <w:iCs/>
        </w:rPr>
        <w:t xml:space="preserve"> “</w:t>
      </w:r>
      <w:r w:rsidRPr="006430EB">
        <w:rPr>
          <w:rFonts w:ascii="Century Gothic" w:eastAsia="Arial" w:hAnsi="Century Gothic" w:cs="Arial"/>
          <w:i/>
          <w:iCs/>
          <w:color w:val="000000"/>
        </w:rPr>
        <w:t>Manual para determinar y verificar los requisitos habilitantes en los Procesos de Contratación</w:t>
      </w:r>
      <w:r w:rsidRPr="006430EB">
        <w:rPr>
          <w:rFonts w:ascii="Century Gothic" w:eastAsia="Arial" w:hAnsi="Century Gothic" w:cs="Arial"/>
          <w:color w:val="000000"/>
        </w:rPr>
        <w:t xml:space="preserve">” adoptado por esta Agencia, contiene recomendaciones para determinar los requisitos habilitantes en los Procesos de Contratación y, por ende, su contenido no es de obligatorio cumplimiento. </w:t>
      </w:r>
      <w:r w:rsidRPr="006430EB">
        <w:rPr>
          <w:rFonts w:ascii="Century Gothic" w:eastAsia="Arial" w:hAnsi="Century Gothic" w:cs="Arial"/>
          <w:color w:val="000000"/>
          <w:lang w:val="es-ES_tradnl"/>
        </w:rPr>
        <w:t xml:space="preserve">De esta manera, le corresponde a las Entidades Estatales, durante la etapa de planeación del contrato estatal, estudiar y </w:t>
      </w:r>
      <w:r w:rsidRPr="006430EB">
        <w:rPr>
          <w:rFonts w:ascii="Century Gothic" w:eastAsia="Arial" w:hAnsi="Century Gothic" w:cs="Arial"/>
          <w:iCs/>
          <w:color w:val="000000"/>
          <w:lang w:val="es-ES_tradnl"/>
        </w:rPr>
        <w:t>determinar</w:t>
      </w:r>
      <w:r w:rsidRPr="006430EB">
        <w:rPr>
          <w:rFonts w:ascii="Century Gothic" w:eastAsia="Arial" w:hAnsi="Century Gothic" w:cs="Arial"/>
          <w:color w:val="000000"/>
          <w:lang w:val="es-ES_tradnl"/>
        </w:rPr>
        <w:t xml:space="preserve"> los requisitos habilitantes que establecerán en los pliegos de condiciones</w:t>
      </w:r>
      <w:r w:rsidR="006A2314" w:rsidRPr="006430EB">
        <w:rPr>
          <w:rFonts w:ascii="Century Gothic" w:eastAsia="Arial" w:hAnsi="Century Gothic" w:cs="Arial"/>
          <w:color w:val="000000"/>
          <w:lang w:val="es-ES_tradnl"/>
        </w:rPr>
        <w:t xml:space="preserve"> o su documento equivalente</w:t>
      </w:r>
      <w:r w:rsidRPr="006430EB">
        <w:rPr>
          <w:rFonts w:ascii="Century Gothic" w:eastAsia="Arial" w:hAnsi="Century Gothic" w:cs="Arial"/>
          <w:color w:val="000000"/>
          <w:lang w:val="es-ES_tradnl"/>
        </w:rPr>
        <w:t xml:space="preserve">, los cuales deben fijarse de forma adecuada y proporcional, para lo cual deberán tener en cuenta la naturaleza, el valor del contrato, la forma de pago, los riesgos asociados al contrato, el plazo y la complejidad de ejecución del objeto. </w:t>
      </w:r>
    </w:p>
    <w:p w14:paraId="78DDCA8F" w14:textId="77777777" w:rsidR="00BD7797" w:rsidRPr="006430EB" w:rsidRDefault="00BD7797" w:rsidP="00BD7797">
      <w:pPr>
        <w:spacing w:before="120" w:after="120" w:line="276" w:lineRule="auto"/>
        <w:ind w:firstLine="708"/>
        <w:jc w:val="both"/>
        <w:rPr>
          <w:rFonts w:ascii="Century Gothic" w:eastAsia="Calibri" w:hAnsi="Century Gothic" w:cs="Arial"/>
          <w:color w:val="000000" w:themeColor="text1"/>
          <w:lang w:val="es-ES_tradnl"/>
        </w:rPr>
      </w:pPr>
      <w:r w:rsidRPr="006430EB">
        <w:rPr>
          <w:rFonts w:ascii="Century Gothic" w:eastAsia="Calibri" w:hAnsi="Century Gothic" w:cs="Arial"/>
          <w:color w:val="000000" w:themeColor="text1"/>
          <w:lang w:val="es-ES_tradnl"/>
        </w:rPr>
        <w:t>Ahora bien, teniendo en cuenta en carácter enunciativo de</w:t>
      </w:r>
      <w:r w:rsidRPr="006430EB">
        <w:rPr>
          <w:rFonts w:ascii="Century Gothic" w:hAnsi="Century Gothic" w:cs="Arial"/>
          <w:bCs/>
          <w:color w:val="000000" w:themeColor="text1"/>
          <w:lang w:eastAsia="es-MX"/>
        </w:rPr>
        <w:t xml:space="preserve"> los requisitos habilitantes del artículo 5 de la Ley 1150 de 2007, la autonomía de la voluntad de las entidades estatales para establecerlos y </w:t>
      </w:r>
      <w:r w:rsidRPr="006430EB">
        <w:rPr>
          <w:rFonts w:ascii="Century Gothic" w:eastAsia="Calibri" w:hAnsi="Century Gothic" w:cs="Arial"/>
          <w:lang w:val="es-ES"/>
        </w:rPr>
        <w:t xml:space="preserve">lo dispuesto en los artículos 2.2.4.6.4. y 2.2.4.6.28. del Decreto 1072 de 2015 y artículos 14, 19 y 22 de la Resolución 312 de 2019 emitida por el Ministerio del Trabajo, esta Subdirección considera que las entidades estatales tienen la facultad para incorporar parámetros o criterios de selección y evaluación en sus Procesos de Contratación que le permitan conocer que los proponentes cuentan con el Sistema de Gestión de Seguridad y Salud en el Trabajo (SG-SST), si a bien lo justifican </w:t>
      </w:r>
      <w:r w:rsidRPr="006430EB">
        <w:rPr>
          <w:rFonts w:ascii="Century Gothic" w:eastAsia="Calibri" w:hAnsi="Century Gothic" w:cs="Arial"/>
        </w:rPr>
        <w:t>en los estudios previos y análisis del sector del proceso de selección su procedencia, de conformidad con el artículo</w:t>
      </w:r>
      <w:r w:rsidRPr="006430EB">
        <w:rPr>
          <w:rFonts w:ascii="Century Gothic" w:eastAsia="Calibri" w:hAnsi="Century Gothic" w:cs="Arial"/>
          <w:color w:val="000000" w:themeColor="text1"/>
          <w:lang w:val="es-ES_tradnl"/>
        </w:rPr>
        <w:t xml:space="preserve"> 2.2.1.1.1.6.2 del Decreto 1082 de 2015.</w:t>
      </w:r>
    </w:p>
    <w:p w14:paraId="6FB0D505" w14:textId="77777777" w:rsidR="00BD7797" w:rsidRPr="006430EB" w:rsidRDefault="00BD7797" w:rsidP="00BD7797">
      <w:pPr>
        <w:pStyle w:val="paragraph"/>
        <w:spacing w:before="0" w:beforeAutospacing="0" w:after="0" w:afterAutospacing="0" w:line="276" w:lineRule="auto"/>
        <w:ind w:firstLine="705"/>
        <w:jc w:val="both"/>
        <w:textAlignment w:val="baseline"/>
        <w:rPr>
          <w:rFonts w:ascii="Century Gothic" w:eastAsia="Calibri" w:hAnsi="Century Gothic" w:cs="Arial"/>
          <w:sz w:val="22"/>
          <w:szCs w:val="22"/>
        </w:rPr>
      </w:pPr>
      <w:r w:rsidRPr="006430EB">
        <w:rPr>
          <w:rStyle w:val="normaltextrun"/>
          <w:rFonts w:ascii="Century Gothic" w:hAnsi="Century Gothic" w:cs="Arial"/>
          <w:color w:val="000000"/>
          <w:sz w:val="22"/>
          <w:szCs w:val="22"/>
          <w:lang w:val="es-ES"/>
        </w:rPr>
        <w:t xml:space="preserve">Aclarando que </w:t>
      </w:r>
      <w:r w:rsidRPr="006430EB">
        <w:rPr>
          <w:rFonts w:ascii="Century Gothic" w:eastAsia="Calibri" w:hAnsi="Century Gothic" w:cs="Arial"/>
          <w:sz w:val="22"/>
          <w:szCs w:val="22"/>
        </w:rPr>
        <w:t>a juicio de esta Subdirección, la interpretación actual que se le puede dar al tema frente a la prohibición del parágrafo 2° del artículo 5 de la Ley 1150 de 2007, es que esta última no restringe la posibilidad que tiene las entidades estatales de incluir aspectos de seguridad y salud en el trabajo en la evaluación y selección de proveedores y contratistas, que le permitan, entre otros aspectos, conocer que la empresa a contratar cuenta con la implementación de los estándares mínimos del Sistema de Gestión de la Seguridad y Salud en el Trabajo (SG-SST), sin que por ello se exija la presentación de una certificación de calidad al respecto, como lo es,  por ejemplo, la certificación que otorga la ISO 9001, entre otros. Sin embargo, se aclara que las anteriores certificaciones son diferentes a la certificación de acreditación en seguridad y salud en el trabajo que conforme el artículo 22 de la Resolución 312 del 13 de febrero de 2019 expide el Ministerio del Trabajo, de manera gratuita, a las a las empresas, entidades, empleadores y contratantes.</w:t>
      </w:r>
    </w:p>
    <w:p w14:paraId="6DE9116E" w14:textId="77777777" w:rsidR="00BD7797" w:rsidRPr="006430EB" w:rsidRDefault="00BD7797" w:rsidP="00BD7797">
      <w:pPr>
        <w:pStyle w:val="paragraph"/>
        <w:spacing w:before="240" w:beforeAutospacing="0" w:after="240" w:afterAutospacing="0" w:line="276" w:lineRule="auto"/>
        <w:ind w:firstLine="705"/>
        <w:jc w:val="both"/>
        <w:textAlignment w:val="baseline"/>
        <w:rPr>
          <w:rFonts w:ascii="Century Gothic" w:hAnsi="Century Gothic" w:cs="Segoe UI"/>
          <w:sz w:val="22"/>
          <w:szCs w:val="22"/>
        </w:rPr>
      </w:pPr>
      <w:r w:rsidRPr="006430EB">
        <w:rPr>
          <w:rFonts w:ascii="Century Gothic" w:eastAsia="Calibri" w:hAnsi="Century Gothic" w:cs="Arial"/>
          <w:sz w:val="22"/>
          <w:szCs w:val="22"/>
        </w:rPr>
        <w:tab/>
        <w:t xml:space="preserve">La anterior interpretación es para esta Subdirección, el efecto útil de los artículos 2.2.4.6.4. y 2.2.4.6.28. del Decreto 1072 de 2015 y la Resolución 312 del Ministerio del Trabajo, más aún si se tiene en cuenta que sobre estos recae una </w:t>
      </w:r>
      <w:r w:rsidRPr="006430EB">
        <w:rPr>
          <w:rStyle w:val="normaltextrun"/>
          <w:rFonts w:ascii="Century Gothic" w:hAnsi="Century Gothic" w:cs="Arial"/>
          <w:color w:val="000000"/>
          <w:sz w:val="22"/>
          <w:szCs w:val="22"/>
          <w:lang w:val="es-ES"/>
        </w:rPr>
        <w:t>presunción de legalidad que hace que estas normas y el acto administrativo gocen de plena aplicación en el ordenamiento jurídico.</w:t>
      </w:r>
    </w:p>
    <w:p w14:paraId="61C8017C" w14:textId="77777777" w:rsidR="00BD7797" w:rsidRPr="006430EB" w:rsidRDefault="00BD7797" w:rsidP="00BD7797">
      <w:pPr>
        <w:shd w:val="clear" w:color="auto" w:fill="FFFFFF" w:themeFill="background1"/>
        <w:spacing w:line="276" w:lineRule="auto"/>
        <w:ind w:firstLine="708"/>
        <w:jc w:val="both"/>
        <w:textAlignment w:val="baseline"/>
        <w:rPr>
          <w:rFonts w:ascii="Century Gothic" w:hAnsi="Century Gothic" w:cs="Arial"/>
          <w:color w:val="000000" w:themeColor="text1"/>
          <w:lang w:eastAsia="es-MX"/>
        </w:rPr>
      </w:pPr>
      <w:r w:rsidRPr="006430EB">
        <w:rPr>
          <w:rFonts w:ascii="Century Gothic" w:hAnsi="Century Gothic" w:cs="Arial"/>
          <w:color w:val="000000" w:themeColor="text1"/>
          <w:lang w:eastAsia="es-MX"/>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0EDE848" w14:textId="77777777" w:rsidR="00BD7797" w:rsidRPr="006430EB" w:rsidRDefault="00BD7797" w:rsidP="00BD7797">
      <w:pPr>
        <w:spacing w:line="276" w:lineRule="auto"/>
        <w:contextualSpacing/>
        <w:jc w:val="both"/>
        <w:textAlignment w:val="baseline"/>
        <w:rPr>
          <w:rFonts w:ascii="Century Gothic" w:hAnsi="Century Gothic" w:cs="Arial"/>
          <w:lang w:val="es-ES"/>
        </w:rPr>
      </w:pPr>
    </w:p>
    <w:p w14:paraId="51F5041F" w14:textId="77777777" w:rsidR="00BD7797" w:rsidRPr="006430EB" w:rsidRDefault="00BD7797" w:rsidP="00BD7797">
      <w:pPr>
        <w:spacing w:line="276" w:lineRule="auto"/>
        <w:contextualSpacing/>
        <w:jc w:val="both"/>
        <w:textAlignment w:val="baseline"/>
        <w:rPr>
          <w:rFonts w:ascii="Century Gothic" w:hAnsi="Century Gothic" w:cs="Arial"/>
        </w:rPr>
      </w:pPr>
      <w:r w:rsidRPr="006430EB">
        <w:rPr>
          <w:rFonts w:ascii="Century Gothic" w:hAnsi="Century Gothic" w:cs="Arial"/>
          <w:lang w:val="es-ES"/>
        </w:rPr>
        <w:t>Atentamente</w:t>
      </w:r>
      <w:r w:rsidRPr="006430EB">
        <w:rPr>
          <w:rFonts w:ascii="Century Gothic" w:hAnsi="Century Gothic" w:cs="Arial"/>
          <w:lang w:val="es-MX"/>
        </w:rPr>
        <w:t>,</w:t>
      </w:r>
      <w:r w:rsidRPr="006430EB">
        <w:rPr>
          <w:rFonts w:ascii="Century Gothic" w:hAnsi="Century Gothic" w:cs="Arial"/>
        </w:rPr>
        <w:t> </w:t>
      </w:r>
    </w:p>
    <w:p w14:paraId="3FABFDAA" w14:textId="224E5A1F" w:rsidR="00BD7797" w:rsidRPr="006430EB" w:rsidRDefault="00D14685" w:rsidP="00BD7797">
      <w:pPr>
        <w:spacing w:line="276" w:lineRule="auto"/>
        <w:jc w:val="center"/>
        <w:textAlignment w:val="baseline"/>
        <w:rPr>
          <w:rFonts w:ascii="Century Gothic" w:hAnsi="Century Gothic" w:cs="Arial"/>
        </w:rPr>
      </w:pPr>
      <w:r w:rsidRPr="001B7209">
        <w:rPr>
          <w:rFonts w:ascii="Century Gothic" w:hAnsi="Century Gothic"/>
          <w:noProof/>
        </w:rPr>
        <w:drawing>
          <wp:inline distT="0" distB="0" distL="0" distR="0" wp14:anchorId="32E409D7" wp14:editId="715A47E2">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1"/>
                    <a:stretch>
                      <a:fillRect/>
                    </a:stretch>
                  </pic:blipFill>
                  <pic:spPr>
                    <a:xfrm>
                      <a:off x="0" y="0"/>
                      <a:ext cx="2785707" cy="1068836"/>
                    </a:xfrm>
                    <a:prstGeom prst="rect">
                      <a:avLst/>
                    </a:prstGeom>
                  </pic:spPr>
                </pic:pic>
              </a:graphicData>
            </a:graphic>
          </wp:inline>
        </w:drawing>
      </w:r>
    </w:p>
    <w:p w14:paraId="442F4BE2" w14:textId="77777777" w:rsidR="00BD7797" w:rsidRPr="006430EB" w:rsidRDefault="00BD7797" w:rsidP="00BD7797">
      <w:pPr>
        <w:spacing w:line="276" w:lineRule="auto"/>
        <w:jc w:val="both"/>
        <w:textAlignment w:val="baseline"/>
        <w:rPr>
          <w:rFonts w:ascii="Century Gothic" w:hAnsi="Century Gothic" w:cs="Arial"/>
        </w:rPr>
      </w:pPr>
      <w:r w:rsidRPr="006430EB">
        <w:rPr>
          <w:rFonts w:ascii="Century Gothic" w:hAnsi="Century Gothic" w:cs="Arial"/>
        </w:rPr>
        <w:t> </w:t>
      </w:r>
    </w:p>
    <w:tbl>
      <w:tblPr>
        <w:tblW w:w="666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6"/>
        <w:gridCol w:w="5765"/>
      </w:tblGrid>
      <w:tr w:rsidR="00BD7797" w:rsidRPr="006430EB" w14:paraId="4C11F5E2" w14:textId="77777777" w:rsidTr="00CF709A">
        <w:trPr>
          <w:trHeight w:val="453"/>
        </w:trPr>
        <w:tc>
          <w:tcPr>
            <w:tcW w:w="896" w:type="dxa"/>
            <w:tcBorders>
              <w:top w:val="nil"/>
              <w:left w:val="nil"/>
              <w:bottom w:val="nil"/>
              <w:right w:val="nil"/>
            </w:tcBorders>
            <w:vAlign w:val="center"/>
            <w:hideMark/>
          </w:tcPr>
          <w:p w14:paraId="657EF0DF" w14:textId="77777777" w:rsidR="00BD7797" w:rsidRPr="006430EB" w:rsidRDefault="00BD7797" w:rsidP="00CF709A">
            <w:pPr>
              <w:spacing w:after="0" w:line="240" w:lineRule="auto"/>
              <w:jc w:val="both"/>
              <w:textAlignment w:val="baseline"/>
              <w:rPr>
                <w:rFonts w:ascii="Century Gothic" w:hAnsi="Century Gothic" w:cs="Arial"/>
                <w:sz w:val="18"/>
                <w:szCs w:val="18"/>
              </w:rPr>
            </w:pPr>
            <w:r w:rsidRPr="006430EB">
              <w:rPr>
                <w:rFonts w:ascii="Century Gothic" w:hAnsi="Century Gothic" w:cs="Arial"/>
                <w:sz w:val="18"/>
                <w:szCs w:val="18"/>
                <w:lang w:val="es-MX"/>
              </w:rPr>
              <w:t>Elaboró:</w:t>
            </w:r>
            <w:r w:rsidRPr="006430EB">
              <w:rPr>
                <w:rFonts w:ascii="Century Gothic" w:hAnsi="Century Gothic" w:cs="Arial"/>
                <w:sz w:val="18"/>
                <w:szCs w:val="18"/>
              </w:rPr>
              <w:t> </w:t>
            </w:r>
          </w:p>
        </w:tc>
        <w:tc>
          <w:tcPr>
            <w:tcW w:w="5765" w:type="dxa"/>
            <w:tcBorders>
              <w:top w:val="nil"/>
              <w:left w:val="nil"/>
              <w:bottom w:val="dotted" w:sz="6" w:space="0" w:color="7F7F7F"/>
              <w:right w:val="nil"/>
            </w:tcBorders>
            <w:vAlign w:val="center"/>
            <w:hideMark/>
          </w:tcPr>
          <w:p w14:paraId="51EB77B2" w14:textId="77777777" w:rsidR="00BD7797" w:rsidRPr="006430EB" w:rsidRDefault="00BD7797" w:rsidP="00CF709A">
            <w:pPr>
              <w:spacing w:after="0" w:line="240" w:lineRule="auto"/>
              <w:jc w:val="both"/>
              <w:textAlignment w:val="baseline"/>
              <w:rPr>
                <w:rFonts w:ascii="Century Gothic" w:hAnsi="Century Gothic" w:cs="Arial"/>
                <w:sz w:val="18"/>
                <w:szCs w:val="18"/>
                <w:lang w:val="es-MX"/>
              </w:rPr>
            </w:pPr>
            <w:r w:rsidRPr="006430EB">
              <w:rPr>
                <w:rFonts w:ascii="Century Gothic" w:hAnsi="Century Gothic" w:cs="Arial"/>
                <w:sz w:val="18"/>
                <w:szCs w:val="18"/>
                <w:lang w:val="es-MX"/>
              </w:rPr>
              <w:t>Any Alejandra Tovar Castillo</w:t>
            </w:r>
          </w:p>
          <w:p w14:paraId="515BDBF4" w14:textId="77777777" w:rsidR="00BD7797" w:rsidRPr="006430EB" w:rsidRDefault="00BD7797" w:rsidP="00CF709A">
            <w:pPr>
              <w:spacing w:after="0" w:line="240" w:lineRule="auto"/>
              <w:jc w:val="both"/>
              <w:textAlignment w:val="baseline"/>
              <w:rPr>
                <w:rFonts w:ascii="Century Gothic" w:hAnsi="Century Gothic" w:cs="Arial"/>
                <w:sz w:val="18"/>
                <w:szCs w:val="18"/>
              </w:rPr>
            </w:pPr>
            <w:r w:rsidRPr="006430EB">
              <w:rPr>
                <w:rFonts w:ascii="Century Gothic" w:hAnsi="Century Gothic" w:cs="Arial"/>
                <w:sz w:val="18"/>
                <w:szCs w:val="18"/>
                <w:lang w:val="es-MX"/>
              </w:rPr>
              <w:t xml:space="preserve">Contratista </w:t>
            </w:r>
            <w:r w:rsidRPr="006430EB">
              <w:rPr>
                <w:rFonts w:ascii="Century Gothic" w:hAnsi="Century Gothic" w:cs="Arial"/>
                <w:sz w:val="18"/>
                <w:szCs w:val="18"/>
              </w:rPr>
              <w:t>Subdirección de Gestión Contractual</w:t>
            </w:r>
          </w:p>
        </w:tc>
      </w:tr>
      <w:tr w:rsidR="00BD7797" w:rsidRPr="006430EB" w14:paraId="414B4DD8" w14:textId="77777777" w:rsidTr="00CF709A">
        <w:trPr>
          <w:trHeight w:val="453"/>
        </w:trPr>
        <w:tc>
          <w:tcPr>
            <w:tcW w:w="896" w:type="dxa"/>
            <w:tcBorders>
              <w:top w:val="nil"/>
              <w:left w:val="nil"/>
              <w:bottom w:val="nil"/>
              <w:right w:val="nil"/>
            </w:tcBorders>
            <w:vAlign w:val="center"/>
            <w:hideMark/>
          </w:tcPr>
          <w:p w14:paraId="6812BB90" w14:textId="77777777" w:rsidR="00BD7797" w:rsidRPr="006430EB" w:rsidRDefault="00BD7797" w:rsidP="00CF709A">
            <w:pPr>
              <w:spacing w:after="0" w:line="240" w:lineRule="auto"/>
              <w:jc w:val="both"/>
              <w:textAlignment w:val="baseline"/>
              <w:rPr>
                <w:rFonts w:ascii="Century Gothic" w:hAnsi="Century Gothic" w:cs="Arial"/>
                <w:sz w:val="18"/>
                <w:szCs w:val="18"/>
              </w:rPr>
            </w:pPr>
            <w:r w:rsidRPr="006430EB">
              <w:rPr>
                <w:rFonts w:ascii="Century Gothic" w:hAnsi="Century Gothic" w:cs="Arial"/>
                <w:sz w:val="18"/>
                <w:szCs w:val="18"/>
                <w:lang w:val="es-MX"/>
              </w:rPr>
              <w:t>Revisó:</w:t>
            </w:r>
            <w:r w:rsidRPr="006430EB">
              <w:rPr>
                <w:rFonts w:ascii="Century Gothic" w:hAnsi="Century Gothic" w:cs="Arial"/>
                <w:sz w:val="18"/>
                <w:szCs w:val="18"/>
              </w:rPr>
              <w:t> </w:t>
            </w:r>
          </w:p>
        </w:tc>
        <w:tc>
          <w:tcPr>
            <w:tcW w:w="5765" w:type="dxa"/>
            <w:tcBorders>
              <w:top w:val="dotted" w:sz="6" w:space="0" w:color="7F7F7F"/>
              <w:left w:val="nil"/>
              <w:bottom w:val="dotted" w:sz="6" w:space="0" w:color="7F7F7F"/>
              <w:right w:val="nil"/>
            </w:tcBorders>
            <w:vAlign w:val="center"/>
            <w:hideMark/>
          </w:tcPr>
          <w:p w14:paraId="31B262B3" w14:textId="77777777" w:rsidR="00BD7797" w:rsidRPr="006430EB" w:rsidRDefault="00BD7797" w:rsidP="00CF709A">
            <w:pPr>
              <w:shd w:val="clear" w:color="auto" w:fill="FFFFFF" w:themeFill="background1"/>
              <w:spacing w:after="0" w:line="240" w:lineRule="auto"/>
              <w:jc w:val="both"/>
              <w:rPr>
                <w:rFonts w:ascii="Century Gothic" w:hAnsi="Century Gothic" w:cs="Arial"/>
                <w:sz w:val="18"/>
                <w:szCs w:val="18"/>
              </w:rPr>
            </w:pPr>
            <w:r w:rsidRPr="006430EB">
              <w:rPr>
                <w:rFonts w:ascii="Century Gothic" w:hAnsi="Century Gothic" w:cs="Arial"/>
                <w:sz w:val="18"/>
                <w:szCs w:val="18"/>
              </w:rPr>
              <w:t>Diana Carolina Armenta Celis</w:t>
            </w:r>
          </w:p>
          <w:p w14:paraId="23812946" w14:textId="77777777" w:rsidR="00BD7797" w:rsidRPr="006430EB" w:rsidRDefault="00BD7797" w:rsidP="00CF709A">
            <w:pPr>
              <w:spacing w:after="0" w:line="240" w:lineRule="auto"/>
              <w:jc w:val="both"/>
              <w:textAlignment w:val="baseline"/>
              <w:rPr>
                <w:rFonts w:ascii="Century Gothic" w:hAnsi="Century Gothic" w:cs="Arial"/>
                <w:sz w:val="18"/>
                <w:szCs w:val="18"/>
              </w:rPr>
            </w:pPr>
            <w:r w:rsidRPr="006430EB">
              <w:rPr>
                <w:rFonts w:ascii="Century Gothic" w:hAnsi="Century Gothic" w:cs="Arial"/>
                <w:sz w:val="18"/>
                <w:szCs w:val="18"/>
                <w:lang w:val="es-MX"/>
              </w:rPr>
              <w:t xml:space="preserve">Contratista </w:t>
            </w:r>
            <w:r w:rsidRPr="006430EB">
              <w:rPr>
                <w:rFonts w:ascii="Century Gothic" w:hAnsi="Century Gothic" w:cs="Arial"/>
                <w:sz w:val="18"/>
                <w:szCs w:val="18"/>
              </w:rPr>
              <w:t>Subdirección de Gestión Contractual</w:t>
            </w:r>
          </w:p>
          <w:p w14:paraId="2D191768" w14:textId="77777777" w:rsidR="00BD7797" w:rsidRPr="006430EB" w:rsidRDefault="00BD7797" w:rsidP="00CF709A">
            <w:pPr>
              <w:spacing w:after="0" w:line="240" w:lineRule="auto"/>
              <w:jc w:val="both"/>
              <w:textAlignment w:val="baseline"/>
              <w:rPr>
                <w:rFonts w:ascii="Century Gothic" w:hAnsi="Century Gothic" w:cs="Arial"/>
                <w:sz w:val="18"/>
                <w:szCs w:val="18"/>
              </w:rPr>
            </w:pPr>
            <w:r w:rsidRPr="006430EB">
              <w:rPr>
                <w:rFonts w:ascii="Century Gothic" w:hAnsi="Century Gothic" w:cs="Arial"/>
                <w:sz w:val="18"/>
                <w:szCs w:val="18"/>
              </w:rPr>
              <w:t>Alejandro Sarmiento Cantillo</w:t>
            </w:r>
          </w:p>
          <w:p w14:paraId="36A3B45E" w14:textId="77777777" w:rsidR="00BD7797" w:rsidRPr="006430EB" w:rsidRDefault="00BD7797" w:rsidP="00CF709A">
            <w:pPr>
              <w:spacing w:after="0" w:line="240" w:lineRule="auto"/>
              <w:jc w:val="both"/>
              <w:textAlignment w:val="baseline"/>
              <w:rPr>
                <w:rFonts w:ascii="Century Gothic" w:hAnsi="Century Gothic" w:cs="Arial"/>
                <w:sz w:val="18"/>
                <w:szCs w:val="18"/>
              </w:rPr>
            </w:pPr>
            <w:r w:rsidRPr="006430EB">
              <w:rPr>
                <w:rFonts w:ascii="Century Gothic" w:eastAsia="Times New Roman" w:hAnsi="Century Gothic" w:cs="Arial"/>
                <w:sz w:val="18"/>
                <w:szCs w:val="18"/>
                <w:lang w:eastAsia="es-ES"/>
              </w:rPr>
              <w:t>Gestor código T1 grado 15 de la Subdirección de Gestión Contractual</w:t>
            </w:r>
          </w:p>
        </w:tc>
      </w:tr>
      <w:tr w:rsidR="00BD7797" w:rsidRPr="006430EB" w14:paraId="5439BA87" w14:textId="77777777" w:rsidTr="00CF709A">
        <w:trPr>
          <w:trHeight w:val="432"/>
        </w:trPr>
        <w:tc>
          <w:tcPr>
            <w:tcW w:w="896" w:type="dxa"/>
            <w:tcBorders>
              <w:top w:val="nil"/>
              <w:left w:val="nil"/>
              <w:bottom w:val="nil"/>
              <w:right w:val="nil"/>
            </w:tcBorders>
            <w:vAlign w:val="center"/>
            <w:hideMark/>
          </w:tcPr>
          <w:p w14:paraId="00F62D31" w14:textId="77777777" w:rsidR="00BD7797" w:rsidRPr="006430EB" w:rsidRDefault="00BD7797" w:rsidP="00CF709A">
            <w:pPr>
              <w:spacing w:after="0" w:line="240" w:lineRule="auto"/>
              <w:jc w:val="both"/>
              <w:textAlignment w:val="baseline"/>
              <w:rPr>
                <w:rFonts w:ascii="Century Gothic" w:hAnsi="Century Gothic" w:cs="Arial"/>
                <w:sz w:val="18"/>
                <w:szCs w:val="18"/>
              </w:rPr>
            </w:pPr>
            <w:r w:rsidRPr="006430EB">
              <w:rPr>
                <w:rFonts w:ascii="Century Gothic" w:hAnsi="Century Gothic" w:cs="Arial"/>
                <w:sz w:val="18"/>
                <w:szCs w:val="18"/>
                <w:lang w:val="es-MX"/>
              </w:rPr>
              <w:t>Aprobó:</w:t>
            </w:r>
            <w:r w:rsidRPr="006430EB">
              <w:rPr>
                <w:rFonts w:ascii="Century Gothic" w:hAnsi="Century Gothic" w:cs="Arial"/>
                <w:sz w:val="18"/>
                <w:szCs w:val="18"/>
              </w:rPr>
              <w:t> </w:t>
            </w:r>
          </w:p>
        </w:tc>
        <w:tc>
          <w:tcPr>
            <w:tcW w:w="5765" w:type="dxa"/>
            <w:tcBorders>
              <w:top w:val="dotted" w:sz="6" w:space="0" w:color="7F7F7F"/>
              <w:left w:val="nil"/>
              <w:bottom w:val="dotted" w:sz="6" w:space="0" w:color="7F7F7F"/>
              <w:right w:val="nil"/>
            </w:tcBorders>
            <w:vAlign w:val="center"/>
            <w:hideMark/>
          </w:tcPr>
          <w:p w14:paraId="7F305C7B" w14:textId="77777777" w:rsidR="00BD7797" w:rsidRPr="006430EB" w:rsidRDefault="00BD7797" w:rsidP="00CF709A">
            <w:pPr>
              <w:spacing w:after="0" w:line="240" w:lineRule="auto"/>
              <w:jc w:val="both"/>
              <w:textAlignment w:val="baseline"/>
              <w:rPr>
                <w:rFonts w:ascii="Century Gothic" w:hAnsi="Century Gothic" w:cs="Arial"/>
                <w:sz w:val="18"/>
                <w:szCs w:val="18"/>
                <w:lang w:val="es-ES_tradnl"/>
              </w:rPr>
            </w:pPr>
            <w:r w:rsidRPr="006430EB">
              <w:rPr>
                <w:rFonts w:ascii="Century Gothic" w:hAnsi="Century Gothic" w:cs="Arial"/>
                <w:sz w:val="18"/>
                <w:szCs w:val="18"/>
                <w:lang w:val="es-ES_tradnl"/>
              </w:rPr>
              <w:t xml:space="preserve">Nohelia del Carmen </w:t>
            </w:r>
            <w:proofErr w:type="spellStart"/>
            <w:r w:rsidRPr="006430EB">
              <w:rPr>
                <w:rFonts w:ascii="Century Gothic" w:hAnsi="Century Gothic" w:cs="Arial"/>
                <w:sz w:val="18"/>
                <w:szCs w:val="18"/>
                <w:lang w:val="es-ES_tradnl"/>
              </w:rPr>
              <w:t>Zawady</w:t>
            </w:r>
            <w:proofErr w:type="spellEnd"/>
            <w:r w:rsidRPr="006430EB">
              <w:rPr>
                <w:rFonts w:ascii="Century Gothic" w:hAnsi="Century Gothic" w:cs="Arial"/>
                <w:sz w:val="18"/>
                <w:szCs w:val="18"/>
                <w:lang w:val="es-ES_tradnl"/>
              </w:rPr>
              <w:t xml:space="preserve"> Palacio</w:t>
            </w:r>
          </w:p>
          <w:p w14:paraId="7D58D6EA" w14:textId="77777777" w:rsidR="00BD7797" w:rsidRPr="006430EB" w:rsidRDefault="00BD7797" w:rsidP="00CF709A">
            <w:pPr>
              <w:spacing w:after="0" w:line="240" w:lineRule="auto"/>
              <w:jc w:val="both"/>
              <w:textAlignment w:val="baseline"/>
              <w:rPr>
                <w:rFonts w:ascii="Century Gothic" w:hAnsi="Century Gothic" w:cs="Arial"/>
                <w:sz w:val="18"/>
                <w:szCs w:val="18"/>
              </w:rPr>
            </w:pPr>
            <w:r w:rsidRPr="006430EB">
              <w:rPr>
                <w:rFonts w:ascii="Century Gothic" w:hAnsi="Century Gothic" w:cs="Arial"/>
                <w:sz w:val="18"/>
                <w:szCs w:val="18"/>
                <w:lang w:val="es-ES_tradnl"/>
              </w:rPr>
              <w:t>Subdirectora de Gestión Contractual ANCP-CCE</w:t>
            </w:r>
          </w:p>
        </w:tc>
      </w:tr>
      <w:bookmarkEnd w:id="0"/>
    </w:tbl>
    <w:p w14:paraId="45B5C00F" w14:textId="77777777" w:rsidR="00BD7797" w:rsidRPr="006430EB" w:rsidRDefault="00BD7797" w:rsidP="00BD7797">
      <w:pPr>
        <w:rPr>
          <w:rFonts w:ascii="Century Gothic" w:hAnsi="Century Gothic"/>
        </w:rPr>
      </w:pPr>
    </w:p>
    <w:p w14:paraId="6895D251" w14:textId="77777777" w:rsidR="00BD7797" w:rsidRPr="006430EB" w:rsidRDefault="00BD7797" w:rsidP="00BD7797">
      <w:pPr>
        <w:rPr>
          <w:rFonts w:ascii="Century Gothic" w:hAnsi="Century Gothic"/>
        </w:rPr>
      </w:pPr>
    </w:p>
    <w:p w14:paraId="56B26995" w14:textId="77777777" w:rsidR="00BD7797" w:rsidRPr="006430EB" w:rsidRDefault="00BD7797" w:rsidP="00BD7797">
      <w:pPr>
        <w:rPr>
          <w:rFonts w:ascii="Century Gothic" w:hAnsi="Century Gothic"/>
        </w:rPr>
      </w:pPr>
    </w:p>
    <w:p w14:paraId="0F293BF4" w14:textId="7BBFAB11" w:rsidR="00127233" w:rsidRPr="006430EB" w:rsidRDefault="00127233" w:rsidP="00BD7797">
      <w:pPr>
        <w:rPr>
          <w:rFonts w:ascii="Century Gothic" w:hAnsi="Century Gothic"/>
        </w:rPr>
      </w:pPr>
    </w:p>
    <w:sectPr w:rsidR="00127233" w:rsidRPr="006430EB" w:rsidSect="002E4FD9">
      <w:headerReference w:type="default" r:id="rId12"/>
      <w:footerReference w:type="default" r:id="rId13"/>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F2436" w14:textId="77777777" w:rsidR="00884786" w:rsidRDefault="00884786" w:rsidP="004A1847">
      <w:pPr>
        <w:spacing w:after="0" w:line="240" w:lineRule="auto"/>
      </w:pPr>
      <w:r>
        <w:separator/>
      </w:r>
    </w:p>
  </w:endnote>
  <w:endnote w:type="continuationSeparator" w:id="0">
    <w:p w14:paraId="2DD22848" w14:textId="77777777" w:rsidR="00884786" w:rsidRDefault="00884786" w:rsidP="004A1847">
      <w:pPr>
        <w:spacing w:after="0" w:line="240" w:lineRule="auto"/>
      </w:pPr>
      <w:r>
        <w:continuationSeparator/>
      </w:r>
    </w:p>
  </w:endnote>
  <w:endnote w:type="continuationNotice" w:id="1">
    <w:p w14:paraId="6A26799D" w14:textId="77777777" w:rsidR="00884786" w:rsidRDefault="008847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E58DAE" w14:textId="77777777" w:rsidR="00884786" w:rsidRDefault="00884786" w:rsidP="004A1847">
      <w:pPr>
        <w:spacing w:after="0" w:line="240" w:lineRule="auto"/>
      </w:pPr>
      <w:r>
        <w:separator/>
      </w:r>
    </w:p>
  </w:footnote>
  <w:footnote w:type="continuationSeparator" w:id="0">
    <w:p w14:paraId="3B232480" w14:textId="77777777" w:rsidR="00884786" w:rsidRDefault="00884786" w:rsidP="004A1847">
      <w:pPr>
        <w:spacing w:after="0" w:line="240" w:lineRule="auto"/>
      </w:pPr>
      <w:r>
        <w:continuationSeparator/>
      </w:r>
    </w:p>
  </w:footnote>
  <w:footnote w:type="continuationNotice" w:id="1">
    <w:p w14:paraId="73404577" w14:textId="77777777" w:rsidR="00884786" w:rsidRDefault="00884786">
      <w:pPr>
        <w:spacing w:after="0" w:line="240" w:lineRule="auto"/>
      </w:pPr>
    </w:p>
  </w:footnote>
  <w:footnote w:id="2">
    <w:p w14:paraId="22E93CCC" w14:textId="77777777" w:rsidR="00BD7797" w:rsidRPr="006430EB" w:rsidRDefault="00BD7797" w:rsidP="006430EB">
      <w:pPr>
        <w:pStyle w:val="Textonotapie"/>
        <w:ind w:firstLine="708"/>
        <w:contextualSpacing/>
        <w:jc w:val="both"/>
        <w:rPr>
          <w:rFonts w:ascii="Century Gothic" w:hAnsi="Century Gothic" w:cs="Arial"/>
          <w:sz w:val="14"/>
          <w:szCs w:val="14"/>
          <w:lang w:val="es-ES"/>
        </w:rPr>
      </w:pPr>
      <w:r w:rsidRPr="006430EB">
        <w:rPr>
          <w:rStyle w:val="Refdenotaalpie"/>
          <w:rFonts w:ascii="Century Gothic" w:hAnsi="Century Gothic" w:cs="Arial"/>
          <w:sz w:val="14"/>
          <w:szCs w:val="14"/>
        </w:rPr>
        <w:footnoteRef/>
      </w:r>
      <w:r w:rsidRPr="006430EB">
        <w:rPr>
          <w:rFonts w:ascii="Century Gothic" w:hAnsi="Century Gothic" w:cs="Arial"/>
          <w:sz w:val="14"/>
          <w:szCs w:val="14"/>
        </w:rPr>
        <w:t xml:space="preserve"> La Agencia Nacional de Contratación Pública </w:t>
      </w:r>
      <w:r w:rsidRPr="006430EB">
        <w:rPr>
          <w:rFonts w:ascii="Arial" w:hAnsi="Arial" w:cs="Arial"/>
          <w:sz w:val="14"/>
          <w:szCs w:val="14"/>
        </w:rPr>
        <w:t>‒</w:t>
      </w:r>
      <w:r w:rsidRPr="006430EB">
        <w:rPr>
          <w:rFonts w:ascii="Century Gothic" w:hAnsi="Century Gothic" w:cs="Arial"/>
          <w:sz w:val="14"/>
          <w:szCs w:val="14"/>
        </w:rPr>
        <w:t xml:space="preserve"> Colombia Compra Eficiente fue creada por el Decreto Ley 4170 de 2011. Su objetivo es servir como ente rector de la pol</w:t>
      </w:r>
      <w:r w:rsidRPr="006430EB">
        <w:rPr>
          <w:rFonts w:ascii="Century Gothic" w:hAnsi="Century Gothic" w:cs="Century Gothic"/>
          <w:sz w:val="14"/>
          <w:szCs w:val="14"/>
        </w:rPr>
        <w:t>í</w:t>
      </w:r>
      <w:r w:rsidRPr="006430EB">
        <w:rPr>
          <w:rFonts w:ascii="Century Gothic" w:hAnsi="Century Gothic" w:cs="Arial"/>
          <w:sz w:val="14"/>
          <w:szCs w:val="14"/>
        </w:rPr>
        <w:t>tica de compras y contrataci</w:t>
      </w:r>
      <w:r w:rsidRPr="006430EB">
        <w:rPr>
          <w:rFonts w:ascii="Century Gothic" w:hAnsi="Century Gothic" w:cs="Century Gothic"/>
          <w:sz w:val="14"/>
          <w:szCs w:val="14"/>
        </w:rPr>
        <w:t>ó</w:t>
      </w:r>
      <w:r w:rsidRPr="006430EB">
        <w:rPr>
          <w:rFonts w:ascii="Century Gothic" w:hAnsi="Century Gothic" w:cs="Arial"/>
          <w:sz w:val="14"/>
          <w:szCs w:val="14"/>
        </w:rPr>
        <w:t xml:space="preserve">n del Estado. Para tales fines, como </w:t>
      </w:r>
      <w:r w:rsidRPr="006430EB">
        <w:rPr>
          <w:rFonts w:ascii="Century Gothic" w:hAnsi="Century Gothic" w:cs="Century Gothic"/>
          <w:sz w:val="14"/>
          <w:szCs w:val="14"/>
        </w:rPr>
        <w:t>ó</w:t>
      </w:r>
      <w:r w:rsidRPr="006430EB">
        <w:rPr>
          <w:rFonts w:ascii="Century Gothic" w:hAnsi="Century Gothic" w:cs="Arial"/>
          <w:sz w:val="14"/>
          <w:szCs w:val="14"/>
        </w:rPr>
        <w:t>rgano t</w:t>
      </w:r>
      <w:r w:rsidRPr="006430EB">
        <w:rPr>
          <w:rFonts w:ascii="Century Gothic" w:hAnsi="Century Gothic" w:cs="Century Gothic"/>
          <w:sz w:val="14"/>
          <w:szCs w:val="14"/>
        </w:rPr>
        <w:t>é</w:t>
      </w:r>
      <w:r w:rsidRPr="006430EB">
        <w:rPr>
          <w:rFonts w:ascii="Century Gothic" w:hAnsi="Century Gothic" w:cs="Arial"/>
          <w:sz w:val="14"/>
          <w:szCs w:val="14"/>
        </w:rPr>
        <w:t xml:space="preserve">cnico especializado, le corresponde formular políticas públicas y normas y unificar los procesos de contratación estatal, con el fin de lograr una mayor eficiencia, transparencia y optimización de los recursos del Estado. El artículo 3 </w:t>
      </w:r>
      <w:r w:rsidRPr="006430EB">
        <w:rPr>
          <w:rFonts w:ascii="Century Gothic" w:hAnsi="Century Gothic" w:cs="Arial"/>
          <w:i/>
          <w:iCs/>
          <w:sz w:val="14"/>
          <w:szCs w:val="14"/>
        </w:rPr>
        <w:t xml:space="preserve">ibidem </w:t>
      </w:r>
      <w:r w:rsidRPr="006430EB">
        <w:rPr>
          <w:rFonts w:ascii="Century Gothic" w:hAnsi="Century Gothic" w:cs="Arial"/>
          <w:sz w:val="14"/>
          <w:szCs w:val="14"/>
        </w:rPr>
        <w:t>señala, de manera precisa, las funciones de Colombia Compra Eficiente. Concretamente, el numeral 5º de este artículo establece que le corresponde a esta entidad: “[a]</w:t>
      </w:r>
      <w:proofErr w:type="spellStart"/>
      <w:r w:rsidRPr="006430EB">
        <w:rPr>
          <w:rFonts w:ascii="Century Gothic" w:hAnsi="Century Gothic" w:cs="Arial"/>
          <w:sz w:val="14"/>
          <w:szCs w:val="14"/>
        </w:rPr>
        <w:t>bsolver</w:t>
      </w:r>
      <w:proofErr w:type="spellEnd"/>
      <w:r w:rsidRPr="006430EB">
        <w:rPr>
          <w:rFonts w:ascii="Century Gothic" w:hAnsi="Century Gothic" w:cs="Arial"/>
          <w:sz w:val="14"/>
          <w:szCs w:val="14"/>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6430EB">
        <w:rPr>
          <w:rFonts w:ascii="Century Gothic" w:hAnsi="Century Gothic" w:cs="Arial"/>
          <w:sz w:val="14"/>
          <w:szCs w:val="14"/>
        </w:rPr>
        <w:t>bsolver</w:t>
      </w:r>
      <w:proofErr w:type="spellEnd"/>
      <w:r w:rsidRPr="006430EB">
        <w:rPr>
          <w:rFonts w:ascii="Century Gothic" w:hAnsi="Century Gothic" w:cs="Arial"/>
          <w:sz w:val="14"/>
          <w:szCs w:val="14"/>
        </w:rPr>
        <w:t xml:space="preserve"> consultas sobre la aplicación de normas de carácter general”.</w:t>
      </w:r>
    </w:p>
  </w:footnote>
  <w:footnote w:id="3">
    <w:p w14:paraId="68CE2836" w14:textId="77777777" w:rsidR="00BD7797" w:rsidRPr="006430EB" w:rsidRDefault="00BD7797" w:rsidP="006430EB">
      <w:pPr>
        <w:pStyle w:val="Textonotapie"/>
        <w:spacing w:after="160"/>
        <w:ind w:firstLine="708"/>
        <w:jc w:val="both"/>
        <w:rPr>
          <w:rFonts w:ascii="Century Gothic" w:hAnsi="Century Gothic" w:cs="Arial"/>
          <w:sz w:val="14"/>
          <w:szCs w:val="14"/>
        </w:rPr>
      </w:pPr>
      <w:r w:rsidRPr="006430EB">
        <w:rPr>
          <w:rStyle w:val="Refdenotaalpie"/>
          <w:rFonts w:ascii="Century Gothic" w:hAnsi="Century Gothic" w:cs="Arial"/>
          <w:sz w:val="14"/>
          <w:szCs w:val="14"/>
        </w:rPr>
        <w:footnoteRef/>
      </w:r>
      <w:r w:rsidRPr="006430EB">
        <w:rPr>
          <w:rFonts w:ascii="Century Gothic" w:hAnsi="Century Gothic" w:cs="Arial"/>
          <w:sz w:val="14"/>
          <w:szCs w:val="14"/>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6430EB">
          <w:rPr>
            <w:rStyle w:val="Hipervnculo"/>
            <w:rFonts w:ascii="Century Gothic" w:hAnsi="Century Gothic" w:cs="Arial"/>
            <w:sz w:val="14"/>
            <w:szCs w:val="14"/>
          </w:rPr>
          <w:t>https://relatoria.colombiacompra.gov.co/busqueda/conceptos</w:t>
        </w:r>
      </w:hyperlink>
    </w:p>
  </w:footnote>
  <w:footnote w:id="4">
    <w:p w14:paraId="47E9921C" w14:textId="77777777" w:rsidR="00BD7797" w:rsidRPr="006430EB" w:rsidRDefault="00BD7797" w:rsidP="006430EB">
      <w:pPr>
        <w:pStyle w:val="NormalWeb"/>
        <w:spacing w:before="0" w:beforeAutospacing="0" w:after="0" w:afterAutospacing="0"/>
        <w:ind w:firstLine="709"/>
        <w:jc w:val="both"/>
        <w:rPr>
          <w:rFonts w:ascii="Century Gothic" w:hAnsi="Century Gothic" w:cs="Arial"/>
          <w:sz w:val="14"/>
          <w:szCs w:val="14"/>
        </w:rPr>
      </w:pPr>
      <w:r w:rsidRPr="006430EB">
        <w:rPr>
          <w:rStyle w:val="Refdenotaalpie"/>
          <w:rFonts w:ascii="Century Gothic" w:hAnsi="Century Gothic" w:cs="Arial"/>
          <w:sz w:val="14"/>
          <w:szCs w:val="14"/>
        </w:rPr>
        <w:footnoteRef/>
      </w:r>
      <w:r w:rsidRPr="006430EB">
        <w:rPr>
          <w:rFonts w:ascii="Century Gothic" w:hAnsi="Century Gothic" w:cs="Arial"/>
          <w:sz w:val="14"/>
          <w:szCs w:val="14"/>
        </w:rPr>
        <w:t xml:space="preserve"> </w:t>
      </w:r>
      <w:r w:rsidRPr="006430EB">
        <w:rPr>
          <w:rFonts w:ascii="Century Gothic" w:hAnsi="Century Gothic" w:cs="Arial"/>
          <w:sz w:val="14"/>
          <w:szCs w:val="14"/>
          <w:lang w:val="es-ES"/>
        </w:rPr>
        <w:t>“</w:t>
      </w:r>
      <w:r w:rsidRPr="006430EB">
        <w:rPr>
          <w:rFonts w:ascii="Century Gothic" w:hAnsi="Century Gothic" w:cs="Arial"/>
          <w:sz w:val="14"/>
          <w:szCs w:val="14"/>
        </w:rPr>
        <w:t>Para poder participar en los procesos de selección de los contratos de obra, la capacidad residual del proponente o K de contratación deberá ser igual o superior al que la entidad haya establecido para el efecto en los pliegos de condiciones</w:t>
      </w:r>
    </w:p>
    <w:p w14:paraId="669704A0" w14:textId="77777777" w:rsidR="00BD7797" w:rsidRPr="006430EB" w:rsidRDefault="00BD7797" w:rsidP="006430EB">
      <w:pPr>
        <w:ind w:firstLine="709"/>
        <w:jc w:val="both"/>
        <w:rPr>
          <w:rFonts w:ascii="Century Gothic" w:hAnsi="Century Gothic" w:cs="Arial"/>
          <w:sz w:val="14"/>
          <w:szCs w:val="14"/>
        </w:rPr>
      </w:pPr>
      <w:r w:rsidRPr="006430EB">
        <w:rPr>
          <w:rFonts w:ascii="Century Gothic" w:hAnsi="Century Gothic" w:cs="Arial"/>
          <w:sz w:val="14"/>
          <w:szCs w:val="14"/>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footnote>
  <w:footnote w:id="5">
    <w:p w14:paraId="4A9960C4" w14:textId="77777777" w:rsidR="00BD7797" w:rsidRPr="006430EB" w:rsidRDefault="00BD7797" w:rsidP="006430EB">
      <w:pPr>
        <w:pStyle w:val="Textonotapie"/>
        <w:ind w:firstLine="708"/>
        <w:jc w:val="both"/>
        <w:rPr>
          <w:rFonts w:ascii="Century Gothic" w:hAnsi="Century Gothic" w:cs="Arial"/>
          <w:sz w:val="14"/>
          <w:szCs w:val="14"/>
        </w:rPr>
      </w:pPr>
      <w:r w:rsidRPr="006430EB">
        <w:rPr>
          <w:rStyle w:val="Refdenotaalpie"/>
          <w:rFonts w:ascii="Century Gothic" w:hAnsi="Century Gothic" w:cs="Arial"/>
          <w:sz w:val="14"/>
          <w:szCs w:val="14"/>
        </w:rPr>
        <w:footnoteRef/>
      </w:r>
      <w:r w:rsidRPr="006430EB">
        <w:rPr>
          <w:rFonts w:ascii="Century Gothic" w:hAnsi="Century Gothic" w:cs="Arial"/>
          <w:sz w:val="14"/>
          <w:szCs w:val="14"/>
        </w:rPr>
        <w:t xml:space="preserve"> Cfr. Corte Constitucional. Sentencia C-569 de 2004. M.P. Rodrigo Uprimny Yepes.</w:t>
      </w:r>
    </w:p>
    <w:p w14:paraId="79221598" w14:textId="77777777" w:rsidR="00BD7797" w:rsidRPr="006430EB" w:rsidRDefault="00BD7797" w:rsidP="006430EB">
      <w:pPr>
        <w:pStyle w:val="Textonotapie"/>
        <w:ind w:firstLine="708"/>
        <w:jc w:val="both"/>
        <w:rPr>
          <w:rFonts w:ascii="Century Gothic" w:hAnsi="Century Gothic" w:cs="Arial"/>
          <w:sz w:val="14"/>
          <w:szCs w:val="14"/>
          <w:lang w:val="es-ES"/>
        </w:rPr>
      </w:pPr>
    </w:p>
  </w:footnote>
  <w:footnote w:id="6">
    <w:p w14:paraId="2BA3529E" w14:textId="77777777" w:rsidR="00BD7797" w:rsidRPr="006430EB" w:rsidRDefault="00BD7797" w:rsidP="006430EB">
      <w:pPr>
        <w:pStyle w:val="Textonotapie"/>
        <w:ind w:firstLine="708"/>
        <w:jc w:val="both"/>
        <w:rPr>
          <w:rFonts w:ascii="Century Gothic" w:hAnsi="Century Gothic" w:cs="Arial"/>
          <w:sz w:val="14"/>
          <w:szCs w:val="14"/>
        </w:rPr>
      </w:pPr>
      <w:r w:rsidRPr="006430EB">
        <w:rPr>
          <w:rStyle w:val="Refdenotaalpie"/>
          <w:rFonts w:ascii="Century Gothic" w:hAnsi="Century Gothic" w:cs="Arial"/>
          <w:sz w:val="14"/>
          <w:szCs w:val="14"/>
        </w:rPr>
        <w:footnoteRef/>
      </w:r>
      <w:r w:rsidRPr="006430EB">
        <w:rPr>
          <w:rFonts w:ascii="Century Gothic" w:hAnsi="Century Gothic" w:cs="Arial"/>
          <w:sz w:val="14"/>
          <w:szCs w:val="14"/>
        </w:rPr>
        <w:t xml:space="preserve"> Cfr. Consejo de Estado. Sección Tercera. Providencias del 11 de diciembre de 2002, dictada dentro del expediente AG-1683, y del 18 de octubre de 2001, proferida dentro del plenario AG-021.</w:t>
      </w:r>
    </w:p>
    <w:p w14:paraId="33A54E8B" w14:textId="77777777" w:rsidR="00BD7797" w:rsidRPr="006430EB" w:rsidRDefault="00BD7797" w:rsidP="006430EB">
      <w:pPr>
        <w:pStyle w:val="Textonotapie"/>
        <w:ind w:firstLine="708"/>
        <w:jc w:val="both"/>
        <w:rPr>
          <w:rFonts w:ascii="Century Gothic" w:hAnsi="Century Gothic" w:cs="Arial"/>
          <w:sz w:val="14"/>
          <w:szCs w:val="14"/>
          <w:lang w:val="es-ES"/>
        </w:rPr>
      </w:pPr>
    </w:p>
  </w:footnote>
  <w:footnote w:id="7">
    <w:p w14:paraId="67C2E77C" w14:textId="77777777" w:rsidR="00BD7797" w:rsidRPr="006430EB" w:rsidRDefault="00BD7797" w:rsidP="006430EB">
      <w:pPr>
        <w:pStyle w:val="Textonotapie"/>
        <w:ind w:firstLine="708"/>
        <w:jc w:val="both"/>
        <w:rPr>
          <w:rFonts w:ascii="Century Gothic" w:hAnsi="Century Gothic" w:cs="Arial"/>
          <w:sz w:val="14"/>
          <w:szCs w:val="14"/>
        </w:rPr>
      </w:pPr>
      <w:r w:rsidRPr="006430EB">
        <w:rPr>
          <w:rStyle w:val="Refdenotaalpie"/>
          <w:rFonts w:ascii="Century Gothic" w:hAnsi="Century Gothic" w:cs="Arial"/>
          <w:sz w:val="14"/>
          <w:szCs w:val="14"/>
        </w:rPr>
        <w:footnoteRef/>
      </w:r>
      <w:r w:rsidRPr="006430EB">
        <w:rPr>
          <w:rFonts w:ascii="Century Gothic" w:hAnsi="Century Gothic" w:cs="Arial"/>
          <w:sz w:val="14"/>
          <w:szCs w:val="14"/>
        </w:rPr>
        <w:t xml:space="preserve"> Gaceta 096 de 2007. Pág. 9. Allí se lee: </w:t>
      </w:r>
      <w:r w:rsidRPr="006430EB">
        <w:rPr>
          <w:rFonts w:ascii="Century Gothic" w:hAnsi="Century Gothic" w:cs="Arial"/>
          <w:i/>
          <w:iCs/>
          <w:sz w:val="14"/>
          <w:szCs w:val="14"/>
        </w:rPr>
        <w:t>“</w:t>
      </w:r>
      <w:r w:rsidRPr="006430EB">
        <w:rPr>
          <w:rFonts w:ascii="Century Gothic" w:hAnsi="Century Gothic" w:cs="Arial"/>
          <w:sz w:val="14"/>
          <w:szCs w:val="14"/>
        </w:rPr>
        <w:t xml:space="preserve">Parágrafo 2°. Nuevo. Se adiciona un parágrafo nuevo para </w:t>
      </w:r>
      <w:r w:rsidRPr="006430EB">
        <w:rPr>
          <w:rFonts w:ascii="Century Gothic" w:hAnsi="Century Gothic" w:cs="Arial"/>
          <w:i/>
          <w:iCs/>
          <w:sz w:val="14"/>
          <w:szCs w:val="14"/>
        </w:rPr>
        <w:t>establecer de manera concreta</w:t>
      </w:r>
      <w:r w:rsidRPr="006430EB">
        <w:rPr>
          <w:rFonts w:ascii="Century Gothic" w:hAnsi="Century Gothic" w:cs="Arial"/>
          <w:sz w:val="14"/>
          <w:szCs w:val="14"/>
        </w:rPr>
        <w:t xml:space="preserve"> que las certificaciones de sistemas de gestión de calidad no serán objeto de calificación, ni podrán establecerse como documento habilitante para participar en licitaciones o concursos, con el fin de evitar la exclusión de aquellas personas o empresas principalmente en regiones apartadas que carecen de tal requisito. Dejando sin embargo a la administración la posibilidad de fijar la implementación de planes de calidad</w:t>
      </w:r>
      <w:r w:rsidRPr="006430EB">
        <w:rPr>
          <w:rFonts w:ascii="Century Gothic" w:hAnsi="Century Gothic" w:cs="Arial"/>
          <w:i/>
          <w:iCs/>
          <w:sz w:val="14"/>
          <w:szCs w:val="14"/>
        </w:rPr>
        <w:t>”</w:t>
      </w:r>
      <w:r w:rsidRPr="006430EB">
        <w:rPr>
          <w:rFonts w:ascii="Century Gothic" w:hAnsi="Century Gothic" w:cs="Arial"/>
          <w:sz w:val="14"/>
          <w:szCs w:val="14"/>
        </w:rPr>
        <w:t xml:space="preserve"> (Cursivas propias). </w:t>
      </w:r>
    </w:p>
    <w:p w14:paraId="3B377AB5" w14:textId="77777777" w:rsidR="00BD7797" w:rsidRPr="006430EB" w:rsidRDefault="00BD7797" w:rsidP="006430EB">
      <w:pPr>
        <w:pStyle w:val="Textonotapie"/>
        <w:ind w:firstLine="708"/>
        <w:jc w:val="both"/>
        <w:rPr>
          <w:rFonts w:ascii="Century Gothic" w:hAnsi="Century Gothic" w:cs="Arial"/>
          <w:sz w:val="14"/>
          <w:szCs w:val="14"/>
          <w:lang w:val="es-ES"/>
        </w:rPr>
      </w:pPr>
    </w:p>
  </w:footnote>
  <w:footnote w:id="8">
    <w:p w14:paraId="5A6B327E" w14:textId="77777777" w:rsidR="00BD7797" w:rsidRPr="006430EB" w:rsidRDefault="00BD7797" w:rsidP="006430EB">
      <w:pPr>
        <w:pStyle w:val="NormalWeb"/>
        <w:spacing w:before="0" w:beforeAutospacing="0" w:after="0" w:afterAutospacing="0"/>
        <w:ind w:firstLine="708"/>
        <w:jc w:val="both"/>
        <w:rPr>
          <w:rFonts w:ascii="Century Gothic" w:hAnsi="Century Gothic" w:cs="Arial"/>
          <w:color w:val="000000"/>
          <w:sz w:val="14"/>
          <w:szCs w:val="14"/>
        </w:rPr>
      </w:pPr>
      <w:r w:rsidRPr="006430EB">
        <w:rPr>
          <w:rStyle w:val="Refdenotaalpie"/>
          <w:rFonts w:ascii="Century Gothic" w:hAnsi="Century Gothic" w:cs="Arial"/>
          <w:sz w:val="14"/>
          <w:szCs w:val="14"/>
        </w:rPr>
        <w:footnoteRef/>
      </w:r>
      <w:r w:rsidRPr="006430EB">
        <w:rPr>
          <w:rFonts w:ascii="Century Gothic" w:hAnsi="Century Gothic" w:cs="Arial"/>
          <w:i/>
          <w:iCs/>
          <w:sz w:val="14"/>
          <w:szCs w:val="14"/>
        </w:rPr>
        <w:t>“</w:t>
      </w:r>
      <w:r w:rsidRPr="006430EB">
        <w:rPr>
          <w:rStyle w:val="Textoennegrita"/>
          <w:rFonts w:ascii="Century Gothic" w:hAnsi="Century Gothic" w:cs="Arial"/>
          <w:b w:val="0"/>
          <w:bCs w:val="0"/>
          <w:color w:val="000000"/>
          <w:sz w:val="14"/>
          <w:szCs w:val="14"/>
        </w:rPr>
        <w:t>Artículo 2.2.1.1.1.5.3. </w:t>
      </w:r>
      <w:r w:rsidRPr="006430EB">
        <w:rPr>
          <w:rStyle w:val="nfasis"/>
          <w:rFonts w:ascii="Century Gothic" w:hAnsi="Century Gothic" w:cs="Arial"/>
          <w:color w:val="000000"/>
          <w:sz w:val="14"/>
          <w:szCs w:val="14"/>
        </w:rPr>
        <w:t>Requisitos habilitantes contenidos en el RUP. </w:t>
      </w:r>
      <w:r w:rsidRPr="006430EB">
        <w:rPr>
          <w:rFonts w:ascii="Century Gothic" w:hAnsi="Century Gothic" w:cs="Arial"/>
          <w:color w:val="000000"/>
          <w:sz w:val="14"/>
          <w:szCs w:val="14"/>
        </w:rPr>
        <w:t>Las cámaras de comercio, con base en la información a la que hace referencia el artículo anterior, deben verificar y certificar los siguientes requisitos habilitantes:</w:t>
      </w:r>
    </w:p>
    <w:p w14:paraId="5D7CE337" w14:textId="77777777" w:rsidR="00BD7797" w:rsidRPr="006430EB" w:rsidRDefault="00BD7797" w:rsidP="006430EB">
      <w:pPr>
        <w:pStyle w:val="NormalWeb"/>
        <w:spacing w:before="0" w:beforeAutospacing="0" w:after="0" w:afterAutospacing="0"/>
        <w:ind w:firstLine="708"/>
        <w:jc w:val="both"/>
        <w:rPr>
          <w:rFonts w:ascii="Century Gothic" w:hAnsi="Century Gothic" w:cs="Arial"/>
          <w:color w:val="000000"/>
          <w:sz w:val="14"/>
          <w:szCs w:val="14"/>
        </w:rPr>
      </w:pPr>
      <w:r w:rsidRPr="006430EB">
        <w:rPr>
          <w:rFonts w:ascii="Century Gothic" w:hAnsi="Century Gothic" w:cs="Arial"/>
          <w:color w:val="000000"/>
          <w:sz w:val="14"/>
          <w:szCs w:val="14"/>
        </w:rPr>
        <w:t xml:space="preserve">1. Experiencia – Los contratos celebrados por el interesado para cada uno de los bienes, obras y servicios que ofrecerá a las Entidades Estatales, identificados con el Clasificador de Bienes y Servicios en el tercer nivel y su valor expresado en </w:t>
      </w:r>
      <w:proofErr w:type="spellStart"/>
      <w:r w:rsidRPr="006430EB">
        <w:rPr>
          <w:rFonts w:ascii="Century Gothic" w:hAnsi="Century Gothic" w:cs="Arial"/>
          <w:color w:val="000000"/>
          <w:sz w:val="14"/>
          <w:szCs w:val="14"/>
        </w:rPr>
        <w:t>smmlv</w:t>
      </w:r>
      <w:proofErr w:type="spellEnd"/>
      <w:r w:rsidRPr="006430EB">
        <w:rPr>
          <w:rFonts w:ascii="Century Gothic" w:hAnsi="Century Gothic" w:cs="Arial"/>
          <w:color w:val="000000"/>
          <w:sz w:val="14"/>
          <w:szCs w:val="14"/>
        </w:rPr>
        <w:t>.</w:t>
      </w:r>
    </w:p>
    <w:p w14:paraId="1B258DD9" w14:textId="77777777" w:rsidR="00BD7797" w:rsidRPr="006430EB" w:rsidRDefault="00BD7797" w:rsidP="006430EB">
      <w:pPr>
        <w:pStyle w:val="NormalWeb"/>
        <w:spacing w:before="0" w:beforeAutospacing="0" w:after="0" w:afterAutospacing="0"/>
        <w:ind w:firstLine="708"/>
        <w:jc w:val="both"/>
        <w:rPr>
          <w:rFonts w:ascii="Century Gothic" w:hAnsi="Century Gothic" w:cs="Arial"/>
          <w:color w:val="000000"/>
          <w:sz w:val="14"/>
          <w:szCs w:val="14"/>
        </w:rPr>
      </w:pPr>
      <w:r w:rsidRPr="006430EB">
        <w:rPr>
          <w:rFonts w:ascii="Century Gothic" w:hAnsi="Century Gothic" w:cs="Arial"/>
          <w:color w:val="000000"/>
          <w:sz w:val="14"/>
          <w:szCs w:val="14"/>
        </w:rPr>
        <w:t xml:space="preserve">Los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w:t>
      </w:r>
      <w:proofErr w:type="spellStart"/>
      <w:r w:rsidRPr="006430EB">
        <w:rPr>
          <w:rFonts w:ascii="Century Gothic" w:hAnsi="Century Gothic" w:cs="Arial"/>
          <w:color w:val="000000"/>
          <w:sz w:val="14"/>
          <w:szCs w:val="14"/>
        </w:rPr>
        <w:t>smmlv</w:t>
      </w:r>
      <w:proofErr w:type="spellEnd"/>
      <w:r w:rsidRPr="006430EB">
        <w:rPr>
          <w:rFonts w:ascii="Century Gothic" w:hAnsi="Century Gothic" w:cs="Arial"/>
          <w:color w:val="000000"/>
          <w:sz w:val="14"/>
          <w:szCs w:val="14"/>
        </w:rPr>
        <w:t>.</w:t>
      </w:r>
    </w:p>
    <w:p w14:paraId="0ABF81A5" w14:textId="77777777" w:rsidR="00BD7797" w:rsidRPr="006430EB" w:rsidRDefault="00BD7797" w:rsidP="006430EB">
      <w:pPr>
        <w:pStyle w:val="NormalWeb"/>
        <w:spacing w:before="0" w:beforeAutospacing="0" w:after="0" w:afterAutospacing="0"/>
        <w:ind w:firstLine="708"/>
        <w:jc w:val="both"/>
        <w:rPr>
          <w:rFonts w:ascii="Century Gothic" w:hAnsi="Century Gothic" w:cs="Arial"/>
          <w:color w:val="000000"/>
          <w:sz w:val="14"/>
          <w:szCs w:val="14"/>
        </w:rPr>
      </w:pPr>
      <w:r w:rsidRPr="006430EB">
        <w:rPr>
          <w:rFonts w:ascii="Century Gothic" w:hAnsi="Century Gothic" w:cs="Arial"/>
          <w:color w:val="000000"/>
          <w:sz w:val="14"/>
          <w:szCs w:val="14"/>
        </w:rPr>
        <w:t>2. Capacidad Jurídica – La capacidad jurídica del proponente para prestar los bienes, obras, o servicios que ofrecerá a las Entidades Estatales y la capacidad del representante legal de las personas jurídicas para celebrar contratos y si requiere, autorizaciones para el efecto con ocasión de los límites a la capacidad del representante legal del interesado en relación con el monto y el tipo de las obligaciones que puede adquirir a nombre del interesado.</w:t>
      </w:r>
    </w:p>
    <w:p w14:paraId="6FDD592D" w14:textId="77777777" w:rsidR="00BD7797" w:rsidRPr="006430EB" w:rsidRDefault="00BD7797" w:rsidP="006430EB">
      <w:pPr>
        <w:pStyle w:val="NormalWeb"/>
        <w:spacing w:before="0" w:beforeAutospacing="0" w:after="0" w:afterAutospacing="0"/>
        <w:ind w:firstLine="708"/>
        <w:jc w:val="both"/>
        <w:rPr>
          <w:rFonts w:ascii="Century Gothic" w:hAnsi="Century Gothic" w:cs="Arial"/>
          <w:color w:val="000000"/>
          <w:sz w:val="14"/>
          <w:szCs w:val="14"/>
        </w:rPr>
      </w:pPr>
      <w:r w:rsidRPr="006430EB">
        <w:rPr>
          <w:rFonts w:ascii="Century Gothic" w:hAnsi="Century Gothic" w:cs="Arial"/>
          <w:color w:val="000000"/>
          <w:sz w:val="14"/>
          <w:szCs w:val="14"/>
        </w:rPr>
        <w:t>3. Capacidad Financiera – los siguientes indicadores miden la fortaleza financiera del interesado:</w:t>
      </w:r>
    </w:p>
    <w:p w14:paraId="19B30312" w14:textId="77777777" w:rsidR="00BD7797" w:rsidRPr="006430EB" w:rsidRDefault="00BD7797" w:rsidP="006430EB">
      <w:pPr>
        <w:pStyle w:val="NormalWeb"/>
        <w:spacing w:before="0" w:beforeAutospacing="0" w:after="0" w:afterAutospacing="0"/>
        <w:ind w:firstLine="708"/>
        <w:jc w:val="both"/>
        <w:rPr>
          <w:rFonts w:ascii="Century Gothic" w:hAnsi="Century Gothic" w:cs="Arial"/>
          <w:color w:val="000000"/>
          <w:sz w:val="14"/>
          <w:szCs w:val="14"/>
        </w:rPr>
      </w:pPr>
      <w:r w:rsidRPr="006430EB">
        <w:rPr>
          <w:rFonts w:ascii="Century Gothic" w:hAnsi="Century Gothic" w:cs="Arial"/>
          <w:color w:val="000000"/>
          <w:sz w:val="14"/>
          <w:szCs w:val="14"/>
        </w:rPr>
        <w:t>3.1. Índice de liquidez: activo corriente dividido por el pasivo corriente.</w:t>
      </w:r>
    </w:p>
    <w:p w14:paraId="0389766D" w14:textId="77777777" w:rsidR="00BD7797" w:rsidRPr="006430EB" w:rsidRDefault="00BD7797" w:rsidP="006430EB">
      <w:pPr>
        <w:pStyle w:val="NormalWeb"/>
        <w:spacing w:before="0" w:beforeAutospacing="0" w:after="0" w:afterAutospacing="0"/>
        <w:ind w:firstLine="708"/>
        <w:jc w:val="both"/>
        <w:rPr>
          <w:rFonts w:ascii="Century Gothic" w:hAnsi="Century Gothic" w:cs="Arial"/>
          <w:color w:val="000000"/>
          <w:sz w:val="14"/>
          <w:szCs w:val="14"/>
        </w:rPr>
      </w:pPr>
      <w:r w:rsidRPr="006430EB">
        <w:rPr>
          <w:rFonts w:ascii="Century Gothic" w:hAnsi="Century Gothic" w:cs="Arial"/>
          <w:color w:val="000000"/>
          <w:sz w:val="14"/>
          <w:szCs w:val="14"/>
        </w:rPr>
        <w:t>3.2. Índice de endeudamiento: pasivo total dividido por el activo total.</w:t>
      </w:r>
    </w:p>
    <w:p w14:paraId="4B90DF81" w14:textId="77777777" w:rsidR="00BD7797" w:rsidRPr="006430EB" w:rsidRDefault="00BD7797" w:rsidP="006430EB">
      <w:pPr>
        <w:pStyle w:val="NormalWeb"/>
        <w:spacing w:before="0" w:beforeAutospacing="0" w:after="0" w:afterAutospacing="0"/>
        <w:ind w:firstLine="708"/>
        <w:jc w:val="both"/>
        <w:rPr>
          <w:rFonts w:ascii="Century Gothic" w:hAnsi="Century Gothic" w:cs="Arial"/>
          <w:color w:val="000000"/>
          <w:sz w:val="14"/>
          <w:szCs w:val="14"/>
        </w:rPr>
      </w:pPr>
      <w:r w:rsidRPr="006430EB">
        <w:rPr>
          <w:rFonts w:ascii="Century Gothic" w:hAnsi="Century Gothic" w:cs="Arial"/>
          <w:color w:val="000000"/>
          <w:sz w:val="14"/>
          <w:szCs w:val="14"/>
        </w:rPr>
        <w:t>3.3. Razón de cobertura de intereses: utilidad operacional dividida por los gastos de intereses.</w:t>
      </w:r>
    </w:p>
    <w:p w14:paraId="0FDB42A4" w14:textId="77777777" w:rsidR="00BD7797" w:rsidRPr="006430EB" w:rsidRDefault="00BD7797" w:rsidP="006430EB">
      <w:pPr>
        <w:pStyle w:val="NormalWeb"/>
        <w:spacing w:before="0" w:beforeAutospacing="0" w:after="0" w:afterAutospacing="0"/>
        <w:ind w:firstLine="708"/>
        <w:jc w:val="both"/>
        <w:rPr>
          <w:rFonts w:ascii="Century Gothic" w:hAnsi="Century Gothic" w:cs="Arial"/>
          <w:color w:val="000000"/>
          <w:sz w:val="14"/>
          <w:szCs w:val="14"/>
        </w:rPr>
      </w:pPr>
      <w:r w:rsidRPr="006430EB">
        <w:rPr>
          <w:rFonts w:ascii="Century Gothic" w:hAnsi="Century Gothic" w:cs="Arial"/>
          <w:color w:val="000000"/>
          <w:sz w:val="14"/>
          <w:szCs w:val="14"/>
        </w:rPr>
        <w:t>4. Capacidad Organizacional – los siguientes indicadores miden el rendimiento de las inversiones y la eficiencia en el uso de activos del interesado:</w:t>
      </w:r>
    </w:p>
    <w:p w14:paraId="69983AD5" w14:textId="77777777" w:rsidR="00BD7797" w:rsidRPr="006430EB" w:rsidRDefault="00BD7797" w:rsidP="006430EB">
      <w:pPr>
        <w:pStyle w:val="NormalWeb"/>
        <w:spacing w:before="0" w:beforeAutospacing="0" w:after="0" w:afterAutospacing="0"/>
        <w:ind w:firstLine="708"/>
        <w:jc w:val="both"/>
        <w:rPr>
          <w:rFonts w:ascii="Century Gothic" w:hAnsi="Century Gothic" w:cs="Arial"/>
          <w:color w:val="000000"/>
          <w:sz w:val="14"/>
          <w:szCs w:val="14"/>
        </w:rPr>
      </w:pPr>
      <w:r w:rsidRPr="006430EB">
        <w:rPr>
          <w:rFonts w:ascii="Century Gothic" w:hAnsi="Century Gothic" w:cs="Arial"/>
          <w:color w:val="000000"/>
          <w:sz w:val="14"/>
          <w:szCs w:val="14"/>
        </w:rPr>
        <w:t>4.1. Rentabilidad del patrimonio: utilidad operacional dividida por el patrimonio.</w:t>
      </w:r>
    </w:p>
    <w:p w14:paraId="1015F27F" w14:textId="77777777" w:rsidR="00BD7797" w:rsidRPr="006430EB" w:rsidRDefault="00BD7797" w:rsidP="006430EB">
      <w:pPr>
        <w:pStyle w:val="NormalWeb"/>
        <w:spacing w:before="0" w:beforeAutospacing="0" w:after="0" w:afterAutospacing="0"/>
        <w:ind w:firstLine="708"/>
        <w:jc w:val="both"/>
        <w:rPr>
          <w:rFonts w:ascii="Century Gothic" w:hAnsi="Century Gothic" w:cs="Arial"/>
          <w:color w:val="000000"/>
          <w:sz w:val="14"/>
          <w:szCs w:val="14"/>
        </w:rPr>
      </w:pPr>
      <w:r w:rsidRPr="006430EB">
        <w:rPr>
          <w:rFonts w:ascii="Century Gothic" w:hAnsi="Century Gothic" w:cs="Arial"/>
          <w:color w:val="000000"/>
          <w:sz w:val="14"/>
          <w:szCs w:val="14"/>
        </w:rPr>
        <w:t>4.2. Rentabilidad del activo: utilidad operacional dividida por el activo total</w:t>
      </w:r>
      <w:r w:rsidRPr="006430EB">
        <w:rPr>
          <w:rFonts w:ascii="Century Gothic" w:hAnsi="Century Gothic" w:cs="Arial"/>
          <w:i/>
          <w:iCs/>
          <w:color w:val="000000"/>
          <w:sz w:val="14"/>
          <w:szCs w:val="14"/>
        </w:rPr>
        <w:t>”</w:t>
      </w:r>
      <w:r w:rsidRPr="006430EB">
        <w:rPr>
          <w:rFonts w:ascii="Century Gothic" w:hAnsi="Century Gothic" w:cs="Arial"/>
          <w:color w:val="000000"/>
          <w:sz w:val="14"/>
          <w:szCs w:val="14"/>
        </w:rPr>
        <w:t>.</w:t>
      </w:r>
    </w:p>
    <w:p w14:paraId="3504A1F1" w14:textId="77777777" w:rsidR="00BD7797" w:rsidRPr="006430EB" w:rsidRDefault="00BD7797" w:rsidP="006430EB">
      <w:pPr>
        <w:pStyle w:val="NormalWeb"/>
        <w:spacing w:before="0" w:beforeAutospacing="0" w:after="0" w:afterAutospacing="0"/>
        <w:ind w:firstLine="708"/>
        <w:jc w:val="both"/>
        <w:rPr>
          <w:rFonts w:ascii="Century Gothic" w:hAnsi="Century Gothic" w:cs="Arial"/>
          <w:sz w:val="14"/>
          <w:szCs w:val="14"/>
        </w:rPr>
      </w:pPr>
      <w:r w:rsidRPr="006430EB">
        <w:rPr>
          <w:rFonts w:ascii="Century Gothic" w:hAnsi="Century Gothic" w:cs="Arial"/>
          <w:sz w:val="14"/>
          <w:szCs w:val="14"/>
        </w:rPr>
        <w:t xml:space="preserve"> </w:t>
      </w:r>
    </w:p>
  </w:footnote>
  <w:footnote w:id="9">
    <w:p w14:paraId="0DC5700C" w14:textId="77777777" w:rsidR="00BD7797" w:rsidRPr="006430EB" w:rsidRDefault="00BD7797" w:rsidP="006430EB">
      <w:pPr>
        <w:pStyle w:val="Textonotapie"/>
        <w:ind w:firstLine="708"/>
        <w:jc w:val="both"/>
        <w:rPr>
          <w:rFonts w:ascii="Century Gothic" w:hAnsi="Century Gothic"/>
          <w:sz w:val="14"/>
          <w:szCs w:val="14"/>
          <w:lang w:val="es-CO"/>
        </w:rPr>
      </w:pPr>
      <w:r w:rsidRPr="006430EB">
        <w:rPr>
          <w:rStyle w:val="Refdenotaalpie"/>
          <w:rFonts w:ascii="Century Gothic" w:hAnsi="Century Gothic"/>
          <w:sz w:val="14"/>
          <w:szCs w:val="14"/>
        </w:rPr>
        <w:footnoteRef/>
      </w:r>
      <w:r w:rsidRPr="006430EB">
        <w:rPr>
          <w:rFonts w:ascii="Century Gothic" w:hAnsi="Century Gothic"/>
          <w:sz w:val="14"/>
          <w:szCs w:val="14"/>
        </w:rPr>
        <w:t xml:space="preserve"> </w:t>
      </w:r>
      <w:r w:rsidRPr="006430EB">
        <w:rPr>
          <w:rFonts w:ascii="Century Gothic" w:hAnsi="Century Gothic"/>
          <w:sz w:val="14"/>
          <w:szCs w:val="14"/>
          <w:lang w:val="es-CO"/>
        </w:rPr>
        <w:t xml:space="preserve">Ver en línea: </w:t>
      </w:r>
      <w:hyperlink r:id="rId2" w:history="1">
        <w:r w:rsidRPr="006430EB">
          <w:rPr>
            <w:rStyle w:val="Hipervnculo"/>
            <w:rFonts w:ascii="Century Gothic" w:hAnsi="Century Gothic"/>
            <w:sz w:val="14"/>
            <w:szCs w:val="14"/>
            <w:lang w:val="es-CO"/>
          </w:rPr>
          <w:t>https://colombiacompra.gov.co/manuales-guias-y-pliegos-tipo/manuales-y-guias/manual-para-determinar-y-verificar-los-requisitos</w:t>
        </w:r>
      </w:hyperlink>
      <w:r w:rsidRPr="006430EB">
        <w:rPr>
          <w:rFonts w:ascii="Century Gothic" w:hAnsi="Century Gothic"/>
          <w:sz w:val="14"/>
          <w:szCs w:val="14"/>
          <w:lang w:val="es-CO"/>
        </w:rPr>
        <w:t xml:space="preserve"> </w:t>
      </w:r>
    </w:p>
    <w:p w14:paraId="6A683980" w14:textId="77777777" w:rsidR="00BD7797" w:rsidRPr="006430EB" w:rsidRDefault="00BD7797" w:rsidP="006430EB">
      <w:pPr>
        <w:pStyle w:val="Textonotapie"/>
        <w:ind w:firstLine="708"/>
        <w:jc w:val="both"/>
        <w:rPr>
          <w:rFonts w:ascii="Century Gothic" w:hAnsi="Century Gothic"/>
          <w:sz w:val="14"/>
          <w:szCs w:val="14"/>
          <w:lang w:val="es-CO"/>
        </w:rPr>
      </w:pPr>
    </w:p>
  </w:footnote>
  <w:footnote w:id="10">
    <w:p w14:paraId="3B72C5BB" w14:textId="77777777" w:rsidR="00BD7797" w:rsidRPr="006430EB" w:rsidRDefault="00BD7797" w:rsidP="006430EB">
      <w:pPr>
        <w:pStyle w:val="Textonotapie"/>
        <w:jc w:val="both"/>
        <w:rPr>
          <w:rFonts w:ascii="Century Gothic" w:hAnsi="Century Gothic" w:cs="Arial"/>
          <w:sz w:val="14"/>
          <w:szCs w:val="14"/>
        </w:rPr>
      </w:pPr>
      <w:r w:rsidRPr="006430EB">
        <w:rPr>
          <w:rFonts w:ascii="Century Gothic" w:hAnsi="Century Gothic" w:cs="Arial"/>
          <w:sz w:val="14"/>
          <w:szCs w:val="14"/>
        </w:rPr>
        <w:tab/>
      </w:r>
      <w:r w:rsidRPr="006430EB">
        <w:rPr>
          <w:rStyle w:val="Refdenotaalpie"/>
          <w:rFonts w:ascii="Century Gothic" w:hAnsi="Century Gothic" w:cs="Arial"/>
          <w:sz w:val="14"/>
          <w:szCs w:val="14"/>
        </w:rPr>
        <w:footnoteRef/>
      </w:r>
      <w:r w:rsidRPr="006430EB">
        <w:rPr>
          <w:rFonts w:ascii="Century Gothic" w:hAnsi="Century Gothic" w:cs="Arial"/>
          <w:sz w:val="14"/>
          <w:szCs w:val="14"/>
        </w:rPr>
        <w:t xml:space="preserve"> </w:t>
      </w:r>
      <w:r w:rsidRPr="006430EB">
        <w:rPr>
          <w:rFonts w:ascii="Century Gothic" w:hAnsi="Century Gothic" w:cs="Arial"/>
          <w:i/>
          <w:iCs/>
          <w:sz w:val="14"/>
          <w:szCs w:val="14"/>
        </w:rPr>
        <w:t>“</w:t>
      </w:r>
      <w:r w:rsidRPr="006430EB">
        <w:rPr>
          <w:rFonts w:ascii="Century Gothic" w:hAnsi="Century Gothic" w:cs="Arial"/>
          <w:sz w:val="14"/>
          <w:szCs w:val="14"/>
        </w:rPr>
        <w:t>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r w:rsidRPr="006430EB">
        <w:rPr>
          <w:rFonts w:ascii="Century Gothic" w:hAnsi="Century Gothic" w:cs="Arial"/>
          <w:i/>
          <w:iCs/>
          <w:sz w:val="14"/>
          <w:szCs w:val="14"/>
        </w:rPr>
        <w:t>”</w:t>
      </w:r>
      <w:r w:rsidRPr="006430EB">
        <w:rPr>
          <w:rFonts w:ascii="Century Gothic" w:hAnsi="Century Gothic" w:cs="Arial"/>
          <w:sz w:val="14"/>
          <w:szCs w:val="14"/>
        </w:rPr>
        <w:t>.</w:t>
      </w:r>
    </w:p>
  </w:footnote>
  <w:footnote w:id="11">
    <w:p w14:paraId="3D1875CB" w14:textId="77777777" w:rsidR="00BD7797" w:rsidRPr="006430EB" w:rsidRDefault="00BD7797" w:rsidP="006430EB">
      <w:pPr>
        <w:pStyle w:val="Textonotapie"/>
        <w:ind w:firstLine="708"/>
        <w:jc w:val="both"/>
        <w:rPr>
          <w:rFonts w:ascii="Century Gothic" w:hAnsi="Century Gothic"/>
          <w:sz w:val="14"/>
          <w:szCs w:val="14"/>
        </w:rPr>
      </w:pPr>
      <w:r w:rsidRPr="006430EB">
        <w:rPr>
          <w:rStyle w:val="Refdenotaalpie"/>
          <w:rFonts w:ascii="Century Gothic" w:hAnsi="Century Gothic"/>
          <w:sz w:val="14"/>
          <w:szCs w:val="14"/>
        </w:rPr>
        <w:footnoteRef/>
      </w:r>
      <w:r w:rsidRPr="006430EB">
        <w:rPr>
          <w:rFonts w:ascii="Century Gothic" w:hAnsi="Century Gothic"/>
          <w:sz w:val="14"/>
          <w:szCs w:val="14"/>
        </w:rPr>
        <w:t xml:space="preserve"> </w:t>
      </w:r>
      <w:r w:rsidRPr="006430EB">
        <w:rPr>
          <w:rStyle w:val="normaltextrun"/>
          <w:rFonts w:ascii="Century Gothic" w:hAnsi="Century Gothic" w:cs="Arial"/>
          <w:color w:val="000000"/>
          <w:sz w:val="14"/>
          <w:szCs w:val="14"/>
          <w:shd w:val="clear" w:color="auto" w:fill="FFFFFF"/>
        </w:rPr>
        <w:t>Ley 1437 de 2011 “Artículo 88. Presunción de legalidad del acto administrativo. Los actos administrativos se presumen legales mientras no hayan sido anulados por la Jurisdicción de lo Contencioso Administrativo. Cuando fueren suspendidos, no podrán ejecutarse hasta tanto se resuelva definitivamente sobre su legalidad o se levante dicha medida cautelar”.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4.5pt;height:14.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5FB4D76"/>
    <w:multiLevelType w:val="multilevel"/>
    <w:tmpl w:val="F7309608"/>
    <w:lvl w:ilvl="0">
      <w:start w:val="2"/>
      <w:numFmt w:val="decimal"/>
      <w:lvlText w:val="%1"/>
      <w:lvlJc w:val="left"/>
      <w:pPr>
        <w:ind w:left="360" w:hanging="360"/>
      </w:pPr>
      <w:rPr>
        <w:rFonts w:eastAsia="Calibri" w:hint="default"/>
      </w:rPr>
    </w:lvl>
    <w:lvl w:ilvl="1">
      <w:start w:val="5"/>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1800" w:hanging="1800"/>
      </w:pPr>
      <w:rPr>
        <w:rFonts w:eastAsia="Calibri" w:hint="default"/>
      </w:r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17931746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BC5"/>
    <w:rsid w:val="00003715"/>
    <w:rsid w:val="000049F2"/>
    <w:rsid w:val="00004E30"/>
    <w:rsid w:val="0001168F"/>
    <w:rsid w:val="00026246"/>
    <w:rsid w:val="00034084"/>
    <w:rsid w:val="00042936"/>
    <w:rsid w:val="000448B4"/>
    <w:rsid w:val="00046423"/>
    <w:rsid w:val="000523C9"/>
    <w:rsid w:val="000551A8"/>
    <w:rsid w:val="00061B2A"/>
    <w:rsid w:val="00067235"/>
    <w:rsid w:val="00072C0C"/>
    <w:rsid w:val="00073A12"/>
    <w:rsid w:val="00082362"/>
    <w:rsid w:val="00082738"/>
    <w:rsid w:val="00097A77"/>
    <w:rsid w:val="000A683E"/>
    <w:rsid w:val="000B19B9"/>
    <w:rsid w:val="000B4EB0"/>
    <w:rsid w:val="000B552E"/>
    <w:rsid w:val="000C579A"/>
    <w:rsid w:val="000C6F0D"/>
    <w:rsid w:val="000D0334"/>
    <w:rsid w:val="000D6324"/>
    <w:rsid w:val="000D7282"/>
    <w:rsid w:val="000F1DD0"/>
    <w:rsid w:val="000F6486"/>
    <w:rsid w:val="00111ABA"/>
    <w:rsid w:val="00122AB2"/>
    <w:rsid w:val="00125105"/>
    <w:rsid w:val="00127233"/>
    <w:rsid w:val="00130AD0"/>
    <w:rsid w:val="00153541"/>
    <w:rsid w:val="00155E3C"/>
    <w:rsid w:val="001636F3"/>
    <w:rsid w:val="00166D13"/>
    <w:rsid w:val="001813D7"/>
    <w:rsid w:val="001A6F68"/>
    <w:rsid w:val="001A7EAA"/>
    <w:rsid w:val="001C6E1C"/>
    <w:rsid w:val="001E3EEF"/>
    <w:rsid w:val="001E40A0"/>
    <w:rsid w:val="001E4177"/>
    <w:rsid w:val="001F4A90"/>
    <w:rsid w:val="001F5C56"/>
    <w:rsid w:val="001F7870"/>
    <w:rsid w:val="001F7DC6"/>
    <w:rsid w:val="00201850"/>
    <w:rsid w:val="00204DB3"/>
    <w:rsid w:val="002101FF"/>
    <w:rsid w:val="00224712"/>
    <w:rsid w:val="00232DE4"/>
    <w:rsid w:val="002421BB"/>
    <w:rsid w:val="00251682"/>
    <w:rsid w:val="00260E97"/>
    <w:rsid w:val="002707A2"/>
    <w:rsid w:val="002951A0"/>
    <w:rsid w:val="002962BC"/>
    <w:rsid w:val="002A093D"/>
    <w:rsid w:val="002A0DD0"/>
    <w:rsid w:val="002A3646"/>
    <w:rsid w:val="002A49AC"/>
    <w:rsid w:val="002A5EE1"/>
    <w:rsid w:val="002A64FD"/>
    <w:rsid w:val="002A79BE"/>
    <w:rsid w:val="002C6EE5"/>
    <w:rsid w:val="002C7A84"/>
    <w:rsid w:val="002D472E"/>
    <w:rsid w:val="002E3438"/>
    <w:rsid w:val="002E4FD9"/>
    <w:rsid w:val="002F1DFD"/>
    <w:rsid w:val="002F2BBD"/>
    <w:rsid w:val="002F67B1"/>
    <w:rsid w:val="002F7BF8"/>
    <w:rsid w:val="00304485"/>
    <w:rsid w:val="00305735"/>
    <w:rsid w:val="00313CE0"/>
    <w:rsid w:val="00322A85"/>
    <w:rsid w:val="00333F46"/>
    <w:rsid w:val="0033425C"/>
    <w:rsid w:val="00337D12"/>
    <w:rsid w:val="00343F91"/>
    <w:rsid w:val="003448F4"/>
    <w:rsid w:val="00346A98"/>
    <w:rsid w:val="00374F5E"/>
    <w:rsid w:val="00377E3E"/>
    <w:rsid w:val="00382727"/>
    <w:rsid w:val="00382ECC"/>
    <w:rsid w:val="003841F4"/>
    <w:rsid w:val="003908A5"/>
    <w:rsid w:val="003A5AFB"/>
    <w:rsid w:val="003A6807"/>
    <w:rsid w:val="003A779E"/>
    <w:rsid w:val="003B0EF0"/>
    <w:rsid w:val="003B355A"/>
    <w:rsid w:val="003C1E82"/>
    <w:rsid w:val="003D0F4D"/>
    <w:rsid w:val="003D5B0D"/>
    <w:rsid w:val="003E0499"/>
    <w:rsid w:val="003F0D48"/>
    <w:rsid w:val="003F3941"/>
    <w:rsid w:val="003F5476"/>
    <w:rsid w:val="004052AB"/>
    <w:rsid w:val="00406575"/>
    <w:rsid w:val="004233BC"/>
    <w:rsid w:val="0042722E"/>
    <w:rsid w:val="00446C9F"/>
    <w:rsid w:val="0045073E"/>
    <w:rsid w:val="00451AE7"/>
    <w:rsid w:val="0045229D"/>
    <w:rsid w:val="00455245"/>
    <w:rsid w:val="00465439"/>
    <w:rsid w:val="004660C8"/>
    <w:rsid w:val="00477B9D"/>
    <w:rsid w:val="00482C50"/>
    <w:rsid w:val="00494591"/>
    <w:rsid w:val="004A1847"/>
    <w:rsid w:val="004A305D"/>
    <w:rsid w:val="004B3B97"/>
    <w:rsid w:val="004B5A8D"/>
    <w:rsid w:val="004C673E"/>
    <w:rsid w:val="004D2C96"/>
    <w:rsid w:val="004D5333"/>
    <w:rsid w:val="004D738E"/>
    <w:rsid w:val="004F116E"/>
    <w:rsid w:val="004F1825"/>
    <w:rsid w:val="004F21C4"/>
    <w:rsid w:val="004F325C"/>
    <w:rsid w:val="004F685F"/>
    <w:rsid w:val="00505280"/>
    <w:rsid w:val="00505BB7"/>
    <w:rsid w:val="005132E4"/>
    <w:rsid w:val="00515115"/>
    <w:rsid w:val="0052085E"/>
    <w:rsid w:val="00524079"/>
    <w:rsid w:val="005316B9"/>
    <w:rsid w:val="00534A71"/>
    <w:rsid w:val="0053727F"/>
    <w:rsid w:val="005407B9"/>
    <w:rsid w:val="00545DDD"/>
    <w:rsid w:val="00551AFB"/>
    <w:rsid w:val="00551C55"/>
    <w:rsid w:val="00554131"/>
    <w:rsid w:val="005566E8"/>
    <w:rsid w:val="00560FCC"/>
    <w:rsid w:val="00562B46"/>
    <w:rsid w:val="00567CBD"/>
    <w:rsid w:val="00573ACD"/>
    <w:rsid w:val="00574867"/>
    <w:rsid w:val="00587C7D"/>
    <w:rsid w:val="00591460"/>
    <w:rsid w:val="005A2266"/>
    <w:rsid w:val="005A2340"/>
    <w:rsid w:val="005B0C77"/>
    <w:rsid w:val="005C3777"/>
    <w:rsid w:val="005C5B69"/>
    <w:rsid w:val="005C5CDC"/>
    <w:rsid w:val="005C5DB6"/>
    <w:rsid w:val="005D29A7"/>
    <w:rsid w:val="005D476C"/>
    <w:rsid w:val="005D5119"/>
    <w:rsid w:val="005E3218"/>
    <w:rsid w:val="005E46F0"/>
    <w:rsid w:val="006030AD"/>
    <w:rsid w:val="00603575"/>
    <w:rsid w:val="0060428B"/>
    <w:rsid w:val="00607A53"/>
    <w:rsid w:val="00614502"/>
    <w:rsid w:val="006219F8"/>
    <w:rsid w:val="00622E28"/>
    <w:rsid w:val="00637445"/>
    <w:rsid w:val="006430EB"/>
    <w:rsid w:val="006473B6"/>
    <w:rsid w:val="006547E7"/>
    <w:rsid w:val="00657591"/>
    <w:rsid w:val="0066126B"/>
    <w:rsid w:val="00661DDF"/>
    <w:rsid w:val="00665D70"/>
    <w:rsid w:val="0068759D"/>
    <w:rsid w:val="006900D9"/>
    <w:rsid w:val="00695AA0"/>
    <w:rsid w:val="006962D9"/>
    <w:rsid w:val="006A2314"/>
    <w:rsid w:val="006A4A3F"/>
    <w:rsid w:val="006A6391"/>
    <w:rsid w:val="006A68E4"/>
    <w:rsid w:val="006A7BAB"/>
    <w:rsid w:val="006C0AA7"/>
    <w:rsid w:val="006D274E"/>
    <w:rsid w:val="006D4C77"/>
    <w:rsid w:val="006E0AA0"/>
    <w:rsid w:val="006E17DA"/>
    <w:rsid w:val="006E2E7B"/>
    <w:rsid w:val="006E5A68"/>
    <w:rsid w:val="006E759F"/>
    <w:rsid w:val="007022E7"/>
    <w:rsid w:val="00706C16"/>
    <w:rsid w:val="0071591B"/>
    <w:rsid w:val="00745311"/>
    <w:rsid w:val="00745C36"/>
    <w:rsid w:val="00756841"/>
    <w:rsid w:val="007649AB"/>
    <w:rsid w:val="00771D0C"/>
    <w:rsid w:val="007731BD"/>
    <w:rsid w:val="00774522"/>
    <w:rsid w:val="0077706D"/>
    <w:rsid w:val="00780ADF"/>
    <w:rsid w:val="007833AC"/>
    <w:rsid w:val="00783C72"/>
    <w:rsid w:val="007849E8"/>
    <w:rsid w:val="00793650"/>
    <w:rsid w:val="007B0D7C"/>
    <w:rsid w:val="007B268C"/>
    <w:rsid w:val="007B4DF3"/>
    <w:rsid w:val="007B7171"/>
    <w:rsid w:val="007C3DC2"/>
    <w:rsid w:val="007E5497"/>
    <w:rsid w:val="007F5358"/>
    <w:rsid w:val="007F5F20"/>
    <w:rsid w:val="00800CA2"/>
    <w:rsid w:val="00805246"/>
    <w:rsid w:val="00806F5F"/>
    <w:rsid w:val="008133B1"/>
    <w:rsid w:val="00813CAF"/>
    <w:rsid w:val="008142F6"/>
    <w:rsid w:val="00820278"/>
    <w:rsid w:val="00833A0C"/>
    <w:rsid w:val="0083430B"/>
    <w:rsid w:val="00841C99"/>
    <w:rsid w:val="008461B8"/>
    <w:rsid w:val="00847227"/>
    <w:rsid w:val="00852D90"/>
    <w:rsid w:val="00862990"/>
    <w:rsid w:val="00876968"/>
    <w:rsid w:val="00876E04"/>
    <w:rsid w:val="008843B6"/>
    <w:rsid w:val="00884786"/>
    <w:rsid w:val="008862A8"/>
    <w:rsid w:val="00890266"/>
    <w:rsid w:val="00891928"/>
    <w:rsid w:val="00892D95"/>
    <w:rsid w:val="008933E1"/>
    <w:rsid w:val="00897999"/>
    <w:rsid w:val="008A3B58"/>
    <w:rsid w:val="008A446D"/>
    <w:rsid w:val="008A60F3"/>
    <w:rsid w:val="008C3149"/>
    <w:rsid w:val="008C53E3"/>
    <w:rsid w:val="008C5850"/>
    <w:rsid w:val="008C6924"/>
    <w:rsid w:val="008D180B"/>
    <w:rsid w:val="008E2490"/>
    <w:rsid w:val="008E24E3"/>
    <w:rsid w:val="008F0EA7"/>
    <w:rsid w:val="0090178D"/>
    <w:rsid w:val="00911FFA"/>
    <w:rsid w:val="00915203"/>
    <w:rsid w:val="00923EEF"/>
    <w:rsid w:val="009419F9"/>
    <w:rsid w:val="009444C5"/>
    <w:rsid w:val="00961B09"/>
    <w:rsid w:val="00965334"/>
    <w:rsid w:val="0097093E"/>
    <w:rsid w:val="00973487"/>
    <w:rsid w:val="009800C0"/>
    <w:rsid w:val="009942D7"/>
    <w:rsid w:val="009A61D5"/>
    <w:rsid w:val="009B3736"/>
    <w:rsid w:val="009C0F30"/>
    <w:rsid w:val="009C6C40"/>
    <w:rsid w:val="009C71FA"/>
    <w:rsid w:val="009C72E7"/>
    <w:rsid w:val="009C7509"/>
    <w:rsid w:val="009D5080"/>
    <w:rsid w:val="009F3A13"/>
    <w:rsid w:val="00A0104A"/>
    <w:rsid w:val="00A1102A"/>
    <w:rsid w:val="00A122D3"/>
    <w:rsid w:val="00A155F5"/>
    <w:rsid w:val="00A171FA"/>
    <w:rsid w:val="00A17F13"/>
    <w:rsid w:val="00A20739"/>
    <w:rsid w:val="00A30D49"/>
    <w:rsid w:val="00A314AC"/>
    <w:rsid w:val="00A33C78"/>
    <w:rsid w:val="00A3644D"/>
    <w:rsid w:val="00A46F3C"/>
    <w:rsid w:val="00A55A83"/>
    <w:rsid w:val="00A62F05"/>
    <w:rsid w:val="00A6705D"/>
    <w:rsid w:val="00A7765B"/>
    <w:rsid w:val="00A8130C"/>
    <w:rsid w:val="00A94D69"/>
    <w:rsid w:val="00A960D2"/>
    <w:rsid w:val="00AB02C6"/>
    <w:rsid w:val="00AB0ADB"/>
    <w:rsid w:val="00AB13DF"/>
    <w:rsid w:val="00AC4061"/>
    <w:rsid w:val="00AC61EF"/>
    <w:rsid w:val="00AD2783"/>
    <w:rsid w:val="00AD434A"/>
    <w:rsid w:val="00AE577E"/>
    <w:rsid w:val="00AF0C66"/>
    <w:rsid w:val="00AF22D1"/>
    <w:rsid w:val="00AF493E"/>
    <w:rsid w:val="00AF5208"/>
    <w:rsid w:val="00B11BE2"/>
    <w:rsid w:val="00B12EB6"/>
    <w:rsid w:val="00B231A9"/>
    <w:rsid w:val="00B30735"/>
    <w:rsid w:val="00B31241"/>
    <w:rsid w:val="00B336AC"/>
    <w:rsid w:val="00B472AD"/>
    <w:rsid w:val="00B522B4"/>
    <w:rsid w:val="00B56D78"/>
    <w:rsid w:val="00B61F19"/>
    <w:rsid w:val="00B62A2D"/>
    <w:rsid w:val="00B6300B"/>
    <w:rsid w:val="00B6418B"/>
    <w:rsid w:val="00B664B4"/>
    <w:rsid w:val="00B67919"/>
    <w:rsid w:val="00B72CD3"/>
    <w:rsid w:val="00B72EC1"/>
    <w:rsid w:val="00B72FFF"/>
    <w:rsid w:val="00B91DF5"/>
    <w:rsid w:val="00BA2B97"/>
    <w:rsid w:val="00BB0F6C"/>
    <w:rsid w:val="00BB4A22"/>
    <w:rsid w:val="00BB54B6"/>
    <w:rsid w:val="00BC3D36"/>
    <w:rsid w:val="00BC576B"/>
    <w:rsid w:val="00BC7890"/>
    <w:rsid w:val="00BD090E"/>
    <w:rsid w:val="00BD1175"/>
    <w:rsid w:val="00BD7797"/>
    <w:rsid w:val="00BD7F72"/>
    <w:rsid w:val="00BE387A"/>
    <w:rsid w:val="00C04FB3"/>
    <w:rsid w:val="00C24B97"/>
    <w:rsid w:val="00C330EB"/>
    <w:rsid w:val="00C35FD9"/>
    <w:rsid w:val="00C41950"/>
    <w:rsid w:val="00C64705"/>
    <w:rsid w:val="00C754BE"/>
    <w:rsid w:val="00C76B1C"/>
    <w:rsid w:val="00C8484C"/>
    <w:rsid w:val="00C90D81"/>
    <w:rsid w:val="00CB0E52"/>
    <w:rsid w:val="00CB6357"/>
    <w:rsid w:val="00CC1B26"/>
    <w:rsid w:val="00CD75D8"/>
    <w:rsid w:val="00CE695F"/>
    <w:rsid w:val="00CF0811"/>
    <w:rsid w:val="00D06A37"/>
    <w:rsid w:val="00D11F38"/>
    <w:rsid w:val="00D14685"/>
    <w:rsid w:val="00D20B90"/>
    <w:rsid w:val="00D223C4"/>
    <w:rsid w:val="00D23263"/>
    <w:rsid w:val="00D30851"/>
    <w:rsid w:val="00D36483"/>
    <w:rsid w:val="00D423A2"/>
    <w:rsid w:val="00D42B8E"/>
    <w:rsid w:val="00D43DBB"/>
    <w:rsid w:val="00D47A7E"/>
    <w:rsid w:val="00D57FFE"/>
    <w:rsid w:val="00D63AC2"/>
    <w:rsid w:val="00D67E8C"/>
    <w:rsid w:val="00D7383B"/>
    <w:rsid w:val="00D7794E"/>
    <w:rsid w:val="00D85EB2"/>
    <w:rsid w:val="00D90B48"/>
    <w:rsid w:val="00D947F5"/>
    <w:rsid w:val="00DA231B"/>
    <w:rsid w:val="00DD0C37"/>
    <w:rsid w:val="00DD58ED"/>
    <w:rsid w:val="00DD7BB1"/>
    <w:rsid w:val="00DE1345"/>
    <w:rsid w:val="00DE5626"/>
    <w:rsid w:val="00DE62DB"/>
    <w:rsid w:val="00DF2E54"/>
    <w:rsid w:val="00DF5254"/>
    <w:rsid w:val="00E10865"/>
    <w:rsid w:val="00E129A0"/>
    <w:rsid w:val="00E16408"/>
    <w:rsid w:val="00E20894"/>
    <w:rsid w:val="00E245AB"/>
    <w:rsid w:val="00E2537E"/>
    <w:rsid w:val="00E25B0C"/>
    <w:rsid w:val="00E2764C"/>
    <w:rsid w:val="00E27F2E"/>
    <w:rsid w:val="00E50AFE"/>
    <w:rsid w:val="00E61B2F"/>
    <w:rsid w:val="00E65454"/>
    <w:rsid w:val="00E72CBC"/>
    <w:rsid w:val="00E74FDF"/>
    <w:rsid w:val="00E771DC"/>
    <w:rsid w:val="00E77558"/>
    <w:rsid w:val="00E86F94"/>
    <w:rsid w:val="00E8772A"/>
    <w:rsid w:val="00E90F6B"/>
    <w:rsid w:val="00E9170F"/>
    <w:rsid w:val="00E92C27"/>
    <w:rsid w:val="00E97D30"/>
    <w:rsid w:val="00EA0E3D"/>
    <w:rsid w:val="00EA365F"/>
    <w:rsid w:val="00EA42E5"/>
    <w:rsid w:val="00EB1D9C"/>
    <w:rsid w:val="00EB4F08"/>
    <w:rsid w:val="00EB534F"/>
    <w:rsid w:val="00EC1696"/>
    <w:rsid w:val="00ED07B1"/>
    <w:rsid w:val="00ED117E"/>
    <w:rsid w:val="00ED7C24"/>
    <w:rsid w:val="00EE1AA8"/>
    <w:rsid w:val="00EF2281"/>
    <w:rsid w:val="00EF65EA"/>
    <w:rsid w:val="00EF6771"/>
    <w:rsid w:val="00EF6B7D"/>
    <w:rsid w:val="00F035C8"/>
    <w:rsid w:val="00F05E9B"/>
    <w:rsid w:val="00F10C81"/>
    <w:rsid w:val="00F1399D"/>
    <w:rsid w:val="00F27A17"/>
    <w:rsid w:val="00F31EDC"/>
    <w:rsid w:val="00F36F4C"/>
    <w:rsid w:val="00F428F0"/>
    <w:rsid w:val="00F45FC1"/>
    <w:rsid w:val="00F462B3"/>
    <w:rsid w:val="00F517CC"/>
    <w:rsid w:val="00F5664F"/>
    <w:rsid w:val="00F621F3"/>
    <w:rsid w:val="00F621F6"/>
    <w:rsid w:val="00F666C4"/>
    <w:rsid w:val="00F74C6E"/>
    <w:rsid w:val="00F74E68"/>
    <w:rsid w:val="00F76AFC"/>
    <w:rsid w:val="00F770B6"/>
    <w:rsid w:val="00FA7778"/>
    <w:rsid w:val="00FB40A8"/>
    <w:rsid w:val="00FB5DD1"/>
    <w:rsid w:val="00FC2B5D"/>
    <w:rsid w:val="00FC3A9D"/>
    <w:rsid w:val="00FC514A"/>
    <w:rsid w:val="00FD0973"/>
    <w:rsid w:val="00FD42CA"/>
    <w:rsid w:val="00FD4879"/>
    <w:rsid w:val="00FE7544"/>
    <w:rsid w:val="00FF1449"/>
    <w:rsid w:val="00FF1E99"/>
    <w:rsid w:val="00FF43E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41950"/>
    <w:rPr>
      <w:rFonts w:ascii="Geomanist Light" w:hAnsi="Geomanist Light"/>
      <w:lang w:val="es-ES"/>
    </w:rPr>
  </w:style>
  <w:style w:type="paragraph" w:styleId="Textoindependiente">
    <w:name w:val="Body Text"/>
    <w:basedOn w:val="Normal"/>
    <w:link w:val="TextoindependienteCar"/>
    <w:uiPriority w:val="1"/>
    <w:qFormat/>
    <w:rsid w:val="00C41950"/>
    <w:pPr>
      <w:widowControl w:val="0"/>
      <w:autoSpaceDE w:val="0"/>
      <w:autoSpaceDN w:val="0"/>
      <w:spacing w:after="0" w:line="240" w:lineRule="auto"/>
    </w:pPr>
    <w:rPr>
      <w:rFonts w:ascii="Arial" w:eastAsia="Arial" w:hAnsi="Arial" w:cs="Arial"/>
      <w:sz w:val="20"/>
      <w:szCs w:val="20"/>
      <w:lang w:val="es-ES" w:eastAsia="es-CO"/>
    </w:rPr>
  </w:style>
  <w:style w:type="character" w:customStyle="1" w:styleId="TextoindependienteCar">
    <w:name w:val="Texto independiente Car"/>
    <w:basedOn w:val="Fuentedeprrafopredeter"/>
    <w:link w:val="Textoindependiente"/>
    <w:uiPriority w:val="1"/>
    <w:rsid w:val="00C41950"/>
    <w:rPr>
      <w:rFonts w:ascii="Arial" w:eastAsia="Arial" w:hAnsi="Arial" w:cs="Arial"/>
      <w:sz w:val="20"/>
      <w:szCs w:val="20"/>
      <w:lang w:val="es-ES" w:eastAsia="es-CO"/>
    </w:rPr>
  </w:style>
  <w:style w:type="paragraph" w:customStyle="1" w:styleId="Appelnotedebasde">
    <w:name w:val="Appel note de bas de..."/>
    <w:basedOn w:val="Normal"/>
    <w:link w:val="Refdenotaalpie"/>
    <w:uiPriority w:val="99"/>
    <w:rsid w:val="00C41950"/>
    <w:pPr>
      <w:spacing w:after="0" w:line="240" w:lineRule="exact"/>
    </w:pPr>
    <w:rPr>
      <w:vertAlign w:val="superscript"/>
    </w:rPr>
  </w:style>
  <w:style w:type="paragraph" w:styleId="Sinespaciado">
    <w:name w:val="No Spacing"/>
    <w:aliases w:val="No Indent"/>
    <w:uiPriority w:val="3"/>
    <w:qFormat/>
    <w:rsid w:val="00C41950"/>
    <w:pPr>
      <w:spacing w:after="0" w:line="240" w:lineRule="auto"/>
    </w:pPr>
    <w:rPr>
      <w:sz w:val="24"/>
      <w:lang w:val="es-MX"/>
    </w:rPr>
  </w:style>
  <w:style w:type="paragraph" w:styleId="Textocomentario">
    <w:name w:val="annotation text"/>
    <w:basedOn w:val="Normal"/>
    <w:link w:val="TextocomentarioCar"/>
    <w:uiPriority w:val="99"/>
    <w:unhideWhenUsed/>
    <w:rsid w:val="00C41950"/>
    <w:pPr>
      <w:spacing w:after="0" w:line="240" w:lineRule="auto"/>
    </w:pPr>
    <w:rPr>
      <w:rFonts w:ascii="Times New Roman" w:eastAsia="Times New Roman" w:hAnsi="Times New Roman" w:cs="Times New Roman"/>
      <w:sz w:val="20"/>
      <w:szCs w:val="20"/>
      <w:lang w:eastAsia="es-CO"/>
    </w:rPr>
  </w:style>
  <w:style w:type="character" w:customStyle="1" w:styleId="TextocomentarioCar">
    <w:name w:val="Texto comentario Car"/>
    <w:basedOn w:val="Fuentedeprrafopredeter"/>
    <w:link w:val="Textocomentario"/>
    <w:uiPriority w:val="99"/>
    <w:rsid w:val="00C41950"/>
    <w:rPr>
      <w:rFonts w:ascii="Times New Roman" w:eastAsia="Times New Roman" w:hAnsi="Times New Roman" w:cs="Times New Roman"/>
      <w:sz w:val="20"/>
      <w:szCs w:val="20"/>
      <w:lang w:eastAsia="es-CO"/>
    </w:rPr>
  </w:style>
  <w:style w:type="character" w:customStyle="1" w:styleId="NormalWebCar">
    <w:name w:val="Normal (Web) Car"/>
    <w:link w:val="NormalWeb"/>
    <w:uiPriority w:val="99"/>
    <w:rsid w:val="00C41950"/>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C41950"/>
    <w:rPr>
      <w:b/>
      <w:bCs/>
    </w:rPr>
  </w:style>
  <w:style w:type="character" w:styleId="nfasis">
    <w:name w:val="Emphasis"/>
    <w:basedOn w:val="Fuentedeprrafopredeter"/>
    <w:uiPriority w:val="20"/>
    <w:qFormat/>
    <w:rsid w:val="00C4195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603734">
      <w:bodyDiv w:val="1"/>
      <w:marLeft w:val="0"/>
      <w:marRight w:val="0"/>
      <w:marTop w:val="0"/>
      <w:marBottom w:val="0"/>
      <w:divBdr>
        <w:top w:val="none" w:sz="0" w:space="0" w:color="auto"/>
        <w:left w:val="none" w:sz="0" w:space="0" w:color="auto"/>
        <w:bottom w:val="none" w:sz="0" w:space="0" w:color="auto"/>
        <w:right w:val="none" w:sz="0" w:space="0" w:color="auto"/>
      </w:divBdr>
    </w:div>
    <w:div w:id="440341120">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623733540">
      <w:bodyDiv w:val="1"/>
      <w:marLeft w:val="0"/>
      <w:marRight w:val="0"/>
      <w:marTop w:val="0"/>
      <w:marBottom w:val="0"/>
      <w:divBdr>
        <w:top w:val="none" w:sz="0" w:space="0" w:color="auto"/>
        <w:left w:val="none" w:sz="0" w:space="0" w:color="auto"/>
        <w:bottom w:val="none" w:sz="0" w:space="0" w:color="auto"/>
        <w:right w:val="none" w:sz="0" w:space="0" w:color="auto"/>
      </w:divBdr>
    </w:div>
    <w:div w:id="1804881992">
      <w:bodyDiv w:val="1"/>
      <w:marLeft w:val="0"/>
      <w:marRight w:val="0"/>
      <w:marTop w:val="0"/>
      <w:marBottom w:val="0"/>
      <w:divBdr>
        <w:top w:val="none" w:sz="0" w:space="0" w:color="auto"/>
        <w:left w:val="none" w:sz="0" w:space="0" w:color="auto"/>
        <w:bottom w:val="none" w:sz="0" w:space="0" w:color="auto"/>
        <w:right w:val="none" w:sz="0" w:space="0" w:color="auto"/>
      </w:divBdr>
    </w:div>
    <w:div w:id="2111463009">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2" Type="http://schemas.openxmlformats.org/officeDocument/2006/relationships/hyperlink" Target="https://colombiacompra.gov.co/manuales-guias-y-pliegos-tipo/manuales-y-guias/manual-para-determinar-y-verificar-los-requisitos"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9754CF2-CC38-48B1-B193-916D89553DE3}"/>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23</Pages>
  <Words>8378</Words>
  <Characters>46080</Characters>
  <Application>Microsoft Office Word</Application>
  <DocSecurity>0</DocSecurity>
  <Lines>384</Lines>
  <Paragraphs>108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ANCP - CCE</cp:lastModifiedBy>
  <cp:revision>3</cp:revision>
  <cp:lastPrinted>2023-01-10T21:18:00Z</cp:lastPrinted>
  <dcterms:created xsi:type="dcterms:W3CDTF">2023-09-19T01:13:00Z</dcterms:created>
  <dcterms:modified xsi:type="dcterms:W3CDTF">2023-11-27T15:55:00Z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