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AD648" w14:textId="77777777" w:rsidR="00E31648" w:rsidRDefault="00E31648" w:rsidP="00E6227E">
      <w:pPr>
        <w:spacing w:after="0" w:line="240" w:lineRule="auto"/>
        <w:rPr>
          <w:lang w:val="es-ES"/>
        </w:rPr>
      </w:pPr>
    </w:p>
    <w:p w14:paraId="0BD940AC" w14:textId="77777777" w:rsidR="00781AF3" w:rsidRPr="004D4DED" w:rsidRDefault="00781AF3" w:rsidP="00781AF3">
      <w:pPr>
        <w:tabs>
          <w:tab w:val="left" w:pos="426"/>
        </w:tabs>
        <w:rPr>
          <w:rFonts w:ascii="Verdana" w:hAnsi="Verdana" w:cs="Arial"/>
          <w:b/>
          <w:lang w:val="es-ES" w:eastAsia="es-CO"/>
        </w:rPr>
      </w:pPr>
      <w:bookmarkStart w:id="0" w:name="_Hlk77152637"/>
      <w:bookmarkStart w:id="1" w:name="_Hlk77157066"/>
      <w:r w:rsidRPr="004D4DED">
        <w:rPr>
          <w:rFonts w:ascii="Verdana" w:hAnsi="Verdana" w:cs="Arial"/>
          <w:b/>
          <w:lang w:val="es-ES" w:eastAsia="es-CO"/>
        </w:rPr>
        <w:t>LEY DE GARANTÍAS ELECTORALES ‒</w:t>
      </w:r>
      <w:bookmarkEnd w:id="0"/>
      <w:r w:rsidRPr="004D4DED">
        <w:rPr>
          <w:rFonts w:ascii="Verdana" w:hAnsi="Verdana" w:cs="Arial"/>
          <w:b/>
          <w:lang w:val="es-ES" w:eastAsia="es-CO"/>
        </w:rPr>
        <w:t xml:space="preserve"> Definición – Finalidad</w:t>
      </w:r>
    </w:p>
    <w:bookmarkEnd w:id="1"/>
    <w:p w14:paraId="2892C606" w14:textId="77777777" w:rsidR="00781AF3" w:rsidRPr="00F22AB0" w:rsidRDefault="00781AF3" w:rsidP="00781AF3">
      <w:pPr>
        <w:tabs>
          <w:tab w:val="left" w:pos="426"/>
        </w:tabs>
        <w:jc w:val="both"/>
        <w:rPr>
          <w:rFonts w:ascii="Verdana" w:eastAsia="Calibri" w:hAnsi="Verdana" w:cs="Arial"/>
          <w:noProof/>
          <w:sz w:val="20"/>
          <w:szCs w:val="20"/>
          <w:lang w:val="es-ES_tradnl"/>
        </w:rPr>
      </w:pPr>
      <w:r w:rsidRPr="00F22AB0">
        <w:rPr>
          <w:rFonts w:ascii="Verdana" w:eastAsia="Calibri" w:hAnsi="Verdana"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sidRPr="00F22AB0">
        <w:rPr>
          <w:rFonts w:ascii="Verdana" w:eastAsia="Calibri" w:hAnsi="Verdana" w:cs="Arial"/>
          <w:noProof/>
          <w:sz w:val="20"/>
          <w:szCs w:val="20"/>
        </w:rPr>
        <w:t xml:space="preserve"> </w:t>
      </w:r>
    </w:p>
    <w:p w14:paraId="21C3AF38" w14:textId="77777777" w:rsidR="00781AF3" w:rsidRPr="009001D4" w:rsidRDefault="00781AF3" w:rsidP="00781AF3">
      <w:pPr>
        <w:jc w:val="both"/>
        <w:rPr>
          <w:rFonts w:ascii="Verdana" w:hAnsi="Verdana" w:cs="Arial"/>
          <w:b/>
          <w:lang w:val="es-ES" w:eastAsia="es-CO"/>
        </w:rPr>
      </w:pPr>
      <w:r w:rsidRPr="004D4DED">
        <w:rPr>
          <w:rFonts w:ascii="Verdana" w:hAnsi="Verdana" w:cs="Arial"/>
          <w:b/>
          <w:bCs/>
          <w:lang w:eastAsia="es-CO"/>
        </w:rPr>
        <w:t xml:space="preserve">LEY DE GARANTÍAS ELECTORALES </w:t>
      </w:r>
      <w:bookmarkStart w:id="2" w:name="_Hlk77166669"/>
      <w:r w:rsidRPr="004D4DED">
        <w:rPr>
          <w:rFonts w:ascii="Verdana" w:hAnsi="Verdana" w:cs="Arial"/>
          <w:b/>
          <w:bCs/>
          <w:lang w:eastAsia="es-CO"/>
        </w:rPr>
        <w:t>‒</w:t>
      </w:r>
      <w:bookmarkEnd w:id="2"/>
      <w:r w:rsidRPr="004D4DED">
        <w:rPr>
          <w:rFonts w:ascii="Verdana" w:hAnsi="Verdana" w:cs="Arial"/>
          <w:b/>
          <w:bCs/>
          <w:lang w:eastAsia="es-CO"/>
        </w:rPr>
        <w:t xml:space="preserve"> </w:t>
      </w:r>
      <w:r w:rsidRPr="004D4DED">
        <w:rPr>
          <w:rFonts w:ascii="Verdana" w:hAnsi="Verdana" w:cs="Arial"/>
          <w:b/>
          <w:lang w:val="es-ES" w:eastAsia="es-CO"/>
        </w:rPr>
        <w:t xml:space="preserve">Prohibición del artículo 33 </w:t>
      </w:r>
      <w:r w:rsidRPr="004D4DED">
        <w:rPr>
          <w:rFonts w:ascii="Verdana" w:hAnsi="Verdana" w:cs="Arial"/>
          <w:b/>
          <w:bCs/>
          <w:lang w:eastAsia="es-CO"/>
        </w:rPr>
        <w:t xml:space="preserve">‒ Destinatarios ‒Excepciones </w:t>
      </w:r>
    </w:p>
    <w:p w14:paraId="6B25C56B" w14:textId="77777777" w:rsidR="00781AF3" w:rsidRPr="00F22AB0" w:rsidRDefault="00781AF3" w:rsidP="00781AF3">
      <w:pPr>
        <w:tabs>
          <w:tab w:val="left" w:pos="426"/>
        </w:tabs>
        <w:jc w:val="both"/>
        <w:rPr>
          <w:rFonts w:ascii="Verdana" w:eastAsia="Calibri" w:hAnsi="Verdana" w:cs="Arial"/>
          <w:noProof/>
          <w:sz w:val="20"/>
          <w:szCs w:val="20"/>
        </w:rPr>
      </w:pPr>
      <w:r w:rsidRPr="00F22AB0">
        <w:rPr>
          <w:rFonts w:ascii="Verdana" w:eastAsia="Calibri" w:hAnsi="Verdana" w:cs="Arial"/>
          <w:noProof/>
          <w:sz w:val="20"/>
          <w:szCs w:val="20"/>
          <w:lang w:val="es-ES_tradnl"/>
        </w:rPr>
        <w:t xml:space="preserve">[…] </w:t>
      </w:r>
      <w:r w:rsidRPr="00F22AB0">
        <w:rPr>
          <w:rFonts w:ascii="Verdana" w:eastAsia="Calibri" w:hAnsi="Verdana" w:cs="Arial"/>
          <w:noProof/>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23137E0D" w14:textId="77777777" w:rsidR="00781AF3" w:rsidRPr="00F22AB0" w:rsidRDefault="00781AF3" w:rsidP="00781AF3">
      <w:pPr>
        <w:tabs>
          <w:tab w:val="left" w:pos="426"/>
        </w:tabs>
        <w:jc w:val="both"/>
        <w:rPr>
          <w:rFonts w:ascii="Verdana" w:eastAsia="Calibri" w:hAnsi="Verdana" w:cs="Arial"/>
          <w:noProof/>
          <w:sz w:val="20"/>
          <w:szCs w:val="20"/>
        </w:rPr>
      </w:pPr>
      <w:r w:rsidRPr="00F22AB0">
        <w:rPr>
          <w:rFonts w:ascii="Verdana" w:eastAsia="Calibri" w:hAnsi="Verdana" w:cs="Arial"/>
          <w:noProof/>
          <w:sz w:val="20"/>
          <w:szCs w:val="20"/>
        </w:rPr>
        <w:t xml:space="preserve">Para efectos de la consulta es relevante el quinto evento exceptuado de la prohibición, relacionado con la contratación por parte de las entidades sanitarias y hospitalarias. La aplicación de esta excepción a la restricción impuesta como regla general por el primer inciso del artículo 33, permite que las entidades sanitarias y hospitalarias, ante la importancia de los servicios que prestan para el grueso de la ciudadanía, puedan seguir realizando las compras y adquisiciones que requieren para prestarlos, incluso de manera directa, durante los periodos prelectorales, con lo que se busca garantizar que el interés público no se vea afectado por el rigor de la regla general. </w:t>
      </w:r>
    </w:p>
    <w:p w14:paraId="3DD78D04" w14:textId="77777777" w:rsidR="00781AF3" w:rsidRPr="00F22AB0" w:rsidRDefault="00781AF3" w:rsidP="00781AF3">
      <w:pPr>
        <w:tabs>
          <w:tab w:val="left" w:pos="426"/>
        </w:tabs>
        <w:jc w:val="both"/>
        <w:rPr>
          <w:rFonts w:ascii="Verdana" w:eastAsia="Calibri" w:hAnsi="Verdana" w:cs="Arial"/>
          <w:noProof/>
          <w:sz w:val="20"/>
          <w:szCs w:val="20"/>
        </w:rPr>
      </w:pPr>
      <w:r w:rsidRPr="00F22AB0">
        <w:rPr>
          <w:rFonts w:ascii="Verdana" w:eastAsia="Calibri" w:hAnsi="Verdana" w:cs="Arial"/>
          <w:noProof/>
          <w:sz w:val="20"/>
          <w:szCs w:val="20"/>
        </w:rPr>
        <w:t>El alcance de esta excepción está determinado por la prestación de servicios sanitarios y hospitalarios, por lo que son las entidades públicas directamente encargadas de prestar estos servicios quienes estarían cobijadas por la excepción.</w:t>
      </w:r>
    </w:p>
    <w:p w14:paraId="1149B98F" w14:textId="77777777" w:rsidR="00781AF3" w:rsidRPr="009001D4" w:rsidRDefault="00781AF3" w:rsidP="00781AF3">
      <w:pPr>
        <w:tabs>
          <w:tab w:val="left" w:pos="426"/>
        </w:tabs>
        <w:jc w:val="both"/>
        <w:rPr>
          <w:rFonts w:ascii="Verdana" w:eastAsia="Calibri" w:hAnsi="Verdana" w:cs="Arial"/>
          <w:b/>
          <w:bCs/>
          <w:noProof/>
        </w:rPr>
      </w:pPr>
      <w:r w:rsidRPr="004D4DED">
        <w:rPr>
          <w:rFonts w:ascii="Verdana" w:eastAsia="Calibri" w:hAnsi="Verdana" w:cs="Arial"/>
          <w:b/>
          <w:bCs/>
          <w:noProof/>
        </w:rPr>
        <w:lastRenderedPageBreak/>
        <w:t>LEY DE GARANTÍAS ELECTORALES ‒ Prohibición por elección de cargos populares – Convenios y contratos interadministrativos – Definición – Criterio orgánico</w:t>
      </w:r>
    </w:p>
    <w:p w14:paraId="54605407" w14:textId="77777777" w:rsidR="00781AF3" w:rsidRPr="00F22AB0" w:rsidRDefault="00781AF3" w:rsidP="00781AF3">
      <w:pPr>
        <w:tabs>
          <w:tab w:val="left" w:pos="426"/>
        </w:tabs>
        <w:jc w:val="both"/>
        <w:rPr>
          <w:rFonts w:ascii="Verdana" w:eastAsia="Calibri" w:hAnsi="Verdana" w:cs="Arial"/>
          <w:noProof/>
          <w:sz w:val="20"/>
          <w:szCs w:val="20"/>
        </w:rPr>
      </w:pPr>
      <w:r w:rsidRPr="00F22AB0">
        <w:rPr>
          <w:rFonts w:ascii="Verdana" w:eastAsia="Calibri" w:hAnsi="Verdana" w:cs="Arial"/>
          <w:noProof/>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0E846969" w14:textId="77777777" w:rsidR="00781AF3" w:rsidRPr="00F22AB0" w:rsidRDefault="00781AF3" w:rsidP="00781AF3">
      <w:pPr>
        <w:tabs>
          <w:tab w:val="left" w:pos="426"/>
        </w:tabs>
        <w:jc w:val="both"/>
        <w:rPr>
          <w:rFonts w:ascii="Verdana" w:eastAsia="Calibri" w:hAnsi="Verdana" w:cs="Arial"/>
          <w:noProof/>
          <w:sz w:val="20"/>
          <w:szCs w:val="20"/>
        </w:rPr>
      </w:pPr>
      <w:r w:rsidRPr="00F22AB0">
        <w:rPr>
          <w:rFonts w:ascii="Verdana" w:eastAsia="Calibri" w:hAnsi="Verdana" w:cs="Arial"/>
          <w:noProof/>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72B6D558" w14:textId="77777777" w:rsidR="00E31648" w:rsidRPr="00781AF3" w:rsidRDefault="00E31648" w:rsidP="00E6227E">
      <w:pPr>
        <w:spacing w:after="0" w:line="240" w:lineRule="auto"/>
      </w:pPr>
    </w:p>
    <w:p w14:paraId="4A8B8483" w14:textId="77777777" w:rsidR="00E31648" w:rsidRDefault="00E31648" w:rsidP="00E6227E">
      <w:pPr>
        <w:spacing w:after="0" w:line="240" w:lineRule="auto"/>
        <w:rPr>
          <w:lang w:val="es-ES"/>
        </w:rPr>
      </w:pPr>
    </w:p>
    <w:p w14:paraId="4D4FD371" w14:textId="77777777" w:rsidR="00E31648" w:rsidRDefault="00E31648" w:rsidP="00E6227E">
      <w:pPr>
        <w:spacing w:after="0" w:line="240" w:lineRule="auto"/>
        <w:rPr>
          <w:lang w:val="es-ES"/>
        </w:rPr>
      </w:pPr>
    </w:p>
    <w:p w14:paraId="70524D6E" w14:textId="77777777" w:rsidR="00E31648" w:rsidRDefault="00E31648" w:rsidP="00E6227E">
      <w:pPr>
        <w:spacing w:after="0" w:line="240" w:lineRule="auto"/>
        <w:rPr>
          <w:lang w:val="es-ES"/>
        </w:rPr>
      </w:pPr>
    </w:p>
    <w:p w14:paraId="37758E60" w14:textId="77777777" w:rsidR="00E31648" w:rsidRDefault="00E31648" w:rsidP="00E6227E">
      <w:pPr>
        <w:spacing w:after="0" w:line="240" w:lineRule="auto"/>
        <w:rPr>
          <w:lang w:val="es-ES"/>
        </w:rPr>
      </w:pPr>
    </w:p>
    <w:p w14:paraId="4254937A" w14:textId="77777777" w:rsidR="00E31648" w:rsidRDefault="00E31648" w:rsidP="00E6227E">
      <w:pPr>
        <w:spacing w:after="0" w:line="240" w:lineRule="auto"/>
        <w:rPr>
          <w:lang w:val="es-ES"/>
        </w:rPr>
      </w:pPr>
    </w:p>
    <w:p w14:paraId="46375D3F" w14:textId="77777777" w:rsidR="00E31648" w:rsidRDefault="00E31648" w:rsidP="00E6227E">
      <w:pPr>
        <w:spacing w:after="0" w:line="240" w:lineRule="auto"/>
        <w:rPr>
          <w:lang w:val="es-ES"/>
        </w:rPr>
      </w:pPr>
    </w:p>
    <w:p w14:paraId="2794DEC4" w14:textId="77777777" w:rsidR="00E31648" w:rsidRDefault="00E31648" w:rsidP="00E6227E">
      <w:pPr>
        <w:spacing w:after="0" w:line="240" w:lineRule="auto"/>
        <w:rPr>
          <w:lang w:val="es-ES"/>
        </w:rPr>
      </w:pPr>
    </w:p>
    <w:p w14:paraId="5AA3A62D" w14:textId="77777777" w:rsidR="00E31648" w:rsidRDefault="00E31648" w:rsidP="00E6227E">
      <w:pPr>
        <w:spacing w:after="0" w:line="240" w:lineRule="auto"/>
        <w:rPr>
          <w:lang w:val="es-ES"/>
        </w:rPr>
      </w:pPr>
    </w:p>
    <w:p w14:paraId="32F54CC5" w14:textId="77777777" w:rsidR="00E31648" w:rsidRDefault="00E31648" w:rsidP="00E6227E">
      <w:pPr>
        <w:spacing w:after="0" w:line="240" w:lineRule="auto"/>
        <w:rPr>
          <w:lang w:val="es-ES"/>
        </w:rPr>
      </w:pPr>
    </w:p>
    <w:p w14:paraId="122D4385" w14:textId="77777777" w:rsidR="00E31648" w:rsidRDefault="00E31648" w:rsidP="00E6227E">
      <w:pPr>
        <w:spacing w:after="0" w:line="240" w:lineRule="auto"/>
        <w:rPr>
          <w:lang w:val="es-ES"/>
        </w:rPr>
      </w:pPr>
    </w:p>
    <w:p w14:paraId="79FDC026" w14:textId="77777777" w:rsidR="00E31648" w:rsidRDefault="00E31648" w:rsidP="00E6227E">
      <w:pPr>
        <w:spacing w:after="0" w:line="240" w:lineRule="auto"/>
        <w:rPr>
          <w:lang w:val="es-ES"/>
        </w:rPr>
      </w:pPr>
    </w:p>
    <w:p w14:paraId="15B58EAF" w14:textId="77777777" w:rsidR="00E31648" w:rsidRDefault="00E31648" w:rsidP="00E6227E">
      <w:pPr>
        <w:spacing w:after="0" w:line="240" w:lineRule="auto"/>
        <w:rPr>
          <w:lang w:val="es-ES"/>
        </w:rPr>
      </w:pPr>
    </w:p>
    <w:p w14:paraId="48A365CC" w14:textId="77777777" w:rsidR="00E31648" w:rsidRDefault="00E31648" w:rsidP="00E6227E">
      <w:pPr>
        <w:spacing w:after="0" w:line="240" w:lineRule="auto"/>
        <w:rPr>
          <w:lang w:val="es-ES"/>
        </w:rPr>
      </w:pPr>
    </w:p>
    <w:p w14:paraId="70FF2496" w14:textId="77777777" w:rsidR="00E31648" w:rsidRDefault="00E31648" w:rsidP="00E6227E">
      <w:pPr>
        <w:spacing w:after="0" w:line="240" w:lineRule="auto"/>
        <w:rPr>
          <w:lang w:val="es-ES"/>
        </w:rPr>
      </w:pPr>
    </w:p>
    <w:p w14:paraId="286DC9B2" w14:textId="77777777" w:rsidR="00E31648" w:rsidRDefault="00E31648" w:rsidP="00E6227E">
      <w:pPr>
        <w:spacing w:after="0" w:line="240" w:lineRule="auto"/>
        <w:rPr>
          <w:lang w:val="es-ES"/>
        </w:rPr>
      </w:pPr>
    </w:p>
    <w:p w14:paraId="15AD6B6E" w14:textId="77777777" w:rsidR="00E31648" w:rsidRDefault="00E31648" w:rsidP="00E6227E">
      <w:pPr>
        <w:spacing w:after="0" w:line="240" w:lineRule="auto"/>
        <w:rPr>
          <w:lang w:val="es-ES"/>
        </w:rPr>
      </w:pPr>
    </w:p>
    <w:p w14:paraId="2E82F1B6" w14:textId="77777777" w:rsidR="00E31648" w:rsidRDefault="00E31648" w:rsidP="00E6227E">
      <w:pPr>
        <w:spacing w:after="0" w:line="240" w:lineRule="auto"/>
        <w:rPr>
          <w:lang w:val="es-ES"/>
        </w:rPr>
      </w:pPr>
    </w:p>
    <w:p w14:paraId="6A6643D7" w14:textId="77777777" w:rsidR="00E31648" w:rsidRDefault="00E31648" w:rsidP="00E6227E">
      <w:pPr>
        <w:spacing w:after="0" w:line="240" w:lineRule="auto"/>
        <w:rPr>
          <w:lang w:val="es-ES"/>
        </w:rPr>
      </w:pPr>
    </w:p>
    <w:p w14:paraId="36E56364" w14:textId="77777777" w:rsidR="00E31648" w:rsidRDefault="00E31648" w:rsidP="00E6227E">
      <w:pPr>
        <w:spacing w:after="0" w:line="240" w:lineRule="auto"/>
        <w:rPr>
          <w:lang w:val="es-ES"/>
        </w:rPr>
      </w:pPr>
    </w:p>
    <w:p w14:paraId="65205392" w14:textId="77777777" w:rsidR="00E31648" w:rsidRDefault="00E31648" w:rsidP="00E6227E">
      <w:pPr>
        <w:spacing w:after="0" w:line="240" w:lineRule="auto"/>
        <w:rPr>
          <w:lang w:val="es-ES"/>
        </w:rPr>
      </w:pPr>
    </w:p>
    <w:p w14:paraId="50ED70F1" w14:textId="77777777" w:rsidR="00E31648" w:rsidRDefault="00E31648" w:rsidP="00E6227E">
      <w:pPr>
        <w:spacing w:after="0" w:line="240" w:lineRule="auto"/>
        <w:rPr>
          <w:lang w:val="es-ES"/>
        </w:rPr>
      </w:pPr>
    </w:p>
    <w:p w14:paraId="27926EA8" w14:textId="77777777" w:rsidR="00E31648" w:rsidRDefault="00E31648" w:rsidP="00E6227E">
      <w:pPr>
        <w:spacing w:after="0" w:line="240" w:lineRule="auto"/>
        <w:rPr>
          <w:lang w:val="es-ES"/>
        </w:rPr>
      </w:pPr>
    </w:p>
    <w:p w14:paraId="5895B0C6" w14:textId="77777777" w:rsidR="00E31648" w:rsidRDefault="00E31648" w:rsidP="00E6227E">
      <w:pPr>
        <w:spacing w:after="0" w:line="240" w:lineRule="auto"/>
        <w:rPr>
          <w:lang w:val="es-ES"/>
        </w:rPr>
      </w:pPr>
    </w:p>
    <w:p w14:paraId="49508F0D" w14:textId="7A49BA55" w:rsidR="005B261C" w:rsidRPr="00E31648" w:rsidRDefault="00C562D4" w:rsidP="00E6227E">
      <w:pPr>
        <w:spacing w:after="0" w:line="240" w:lineRule="auto"/>
      </w:pPr>
      <w:r w:rsidRPr="00C562D4">
        <w:rPr>
          <w:rFonts w:ascii="Verdana" w:eastAsia="Calibri" w:hAnsi="Verdana" w:cs="Arial"/>
          <w:color w:val="000000" w:themeColor="text1"/>
        </w:rPr>
        <w:lastRenderedPageBreak/>
        <w:t xml:space="preserve">Bogotá D.C., 25 de </w:t>
      </w:r>
      <w:r w:rsidR="00236655" w:rsidRPr="00C562D4">
        <w:rPr>
          <w:rFonts w:ascii="Verdana" w:eastAsia="Calibri" w:hAnsi="Verdana" w:cs="Arial"/>
          <w:color w:val="000000" w:themeColor="text1"/>
        </w:rPr>
        <w:t>abril</w:t>
      </w:r>
      <w:r w:rsidRPr="00C562D4">
        <w:rPr>
          <w:rFonts w:ascii="Verdana" w:eastAsia="Calibri" w:hAnsi="Verdana" w:cs="Arial"/>
          <w:color w:val="000000" w:themeColor="text1"/>
        </w:rPr>
        <w:t xml:space="preserve"> de 2025</w:t>
      </w:r>
    </w:p>
    <w:p w14:paraId="58F77679" w14:textId="45AF22B9" w:rsidR="00C562D4" w:rsidRDefault="00C562D4" w:rsidP="00E6227E">
      <w:pPr>
        <w:spacing w:after="0" w:line="240" w:lineRule="auto"/>
        <w:rPr>
          <w:rFonts w:ascii="Verdana" w:eastAsia="Calibri" w:hAnsi="Verdana" w:cs="Arial"/>
          <w:color w:val="000000" w:themeColor="text1"/>
          <w:lang w:val="es-ES"/>
        </w:rPr>
      </w:pPr>
    </w:p>
    <w:p w14:paraId="328CC329" w14:textId="797E4F61" w:rsidR="005B261C" w:rsidRDefault="00F136D9" w:rsidP="005B261C">
      <w:pPr>
        <w:spacing w:after="0" w:line="240" w:lineRule="auto"/>
        <w:jc w:val="both"/>
        <w:rPr>
          <w:rFonts w:ascii="Verdana" w:eastAsia="Calibri" w:hAnsi="Verdana" w:cs="Arial"/>
          <w:color w:val="000000" w:themeColor="text1"/>
          <w:lang w:val="es-ES"/>
        </w:rPr>
      </w:pPr>
      <w:r w:rsidRPr="00E6227E">
        <w:rPr>
          <w:rFonts w:ascii="Verdana" w:eastAsia="Calibri" w:hAnsi="Verdana" w:cs="Arial"/>
          <w:noProof/>
          <w:color w:val="000000" w:themeColor="text1"/>
          <w:lang w:val="es-ES"/>
        </w:rPr>
        <w:drawing>
          <wp:anchor distT="0" distB="0" distL="114300" distR="114300" simplePos="0" relativeHeight="251658240" behindDoc="1" locked="0" layoutInCell="1" allowOverlap="1" wp14:anchorId="0E502084" wp14:editId="02E1B294">
            <wp:simplePos x="0" y="0"/>
            <wp:positionH relativeFrom="margin">
              <wp:align>right</wp:align>
            </wp:positionH>
            <wp:positionV relativeFrom="paragraph">
              <wp:posOffset>96520</wp:posOffset>
            </wp:positionV>
            <wp:extent cx="3034030" cy="993775"/>
            <wp:effectExtent l="0" t="0" r="0" b="0"/>
            <wp:wrapSquare wrapText="bothSides"/>
            <wp:docPr id="81166971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669718"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034030" cy="993775"/>
                    </a:xfrm>
                    <a:prstGeom prst="rect">
                      <a:avLst/>
                    </a:prstGeom>
                  </pic:spPr>
                </pic:pic>
              </a:graphicData>
            </a:graphic>
            <wp14:sizeRelH relativeFrom="margin">
              <wp14:pctWidth>0</wp14:pctWidth>
            </wp14:sizeRelH>
            <wp14:sizeRelV relativeFrom="margin">
              <wp14:pctHeight>0</wp14:pctHeight>
            </wp14:sizeRelV>
          </wp:anchor>
        </w:drawing>
      </w:r>
    </w:p>
    <w:p w14:paraId="5D27C2C6" w14:textId="77777777" w:rsidR="005B261C" w:rsidRPr="00115E3D" w:rsidRDefault="005B261C" w:rsidP="005B261C">
      <w:pPr>
        <w:spacing w:after="0" w:line="240" w:lineRule="auto"/>
        <w:jc w:val="both"/>
        <w:rPr>
          <w:rFonts w:ascii="Verdana" w:eastAsia="Calibri" w:hAnsi="Verdana" w:cs="Arial"/>
          <w:color w:val="000000" w:themeColor="text1"/>
          <w:lang w:val="es-ES"/>
        </w:rPr>
      </w:pPr>
    </w:p>
    <w:p w14:paraId="59681FB0" w14:textId="77777777" w:rsidR="005B261C" w:rsidRPr="00115E3D" w:rsidRDefault="005B261C" w:rsidP="005B261C">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0A948326" w14:textId="77777777" w:rsidR="005B261C" w:rsidRPr="00115E3D" w:rsidRDefault="005B261C" w:rsidP="3D38C690">
      <w:pPr>
        <w:spacing w:after="0" w:line="240" w:lineRule="auto"/>
        <w:rPr>
          <w:rFonts w:ascii="Verdana" w:eastAsia="Calibri" w:hAnsi="Verdana" w:cs="Arial"/>
          <w:b/>
          <w:bCs/>
          <w:color w:val="000000" w:themeColor="text1"/>
          <w:lang w:val="es-ES" w:eastAsia="es-ES"/>
        </w:rPr>
      </w:pPr>
      <w:r w:rsidRPr="3D38C690">
        <w:rPr>
          <w:rFonts w:ascii="Verdana" w:eastAsia="Calibri" w:hAnsi="Verdana" w:cs="Arial"/>
          <w:b/>
          <w:bCs/>
          <w:color w:val="000000" w:themeColor="text1"/>
          <w:lang w:val="es-ES" w:eastAsia="es-ES"/>
        </w:rPr>
        <w:t xml:space="preserve">Jaime Andres Rey Castellanos </w:t>
      </w:r>
    </w:p>
    <w:p w14:paraId="7E7804F8" w14:textId="77777777" w:rsidR="005B261C" w:rsidRDefault="005B261C" w:rsidP="005B261C">
      <w:pPr>
        <w:spacing w:after="0" w:line="240" w:lineRule="auto"/>
        <w:rPr>
          <w:rFonts w:ascii="Verdana" w:eastAsia="Calibri" w:hAnsi="Verdana" w:cs="Arial"/>
          <w:color w:val="000000" w:themeColor="text1"/>
          <w:u w:val="single"/>
          <w:lang w:eastAsia="es-ES"/>
        </w:rPr>
      </w:pPr>
      <w:hyperlink r:id="rId12" w:history="1">
        <w:r w:rsidRPr="000131DC">
          <w:rPr>
            <w:rStyle w:val="Hipervnculo"/>
            <w:rFonts w:ascii="Verdana" w:eastAsia="Calibri" w:hAnsi="Verdana" w:cs="Arial"/>
            <w:lang w:eastAsia="es-ES"/>
          </w:rPr>
          <w:t>abgreycastellanos@gmail.com</w:t>
        </w:r>
      </w:hyperlink>
    </w:p>
    <w:p w14:paraId="5D6398D3" w14:textId="77777777" w:rsidR="005B261C" w:rsidRPr="00CB7ABE" w:rsidRDefault="005B261C" w:rsidP="005B261C">
      <w:pPr>
        <w:spacing w:after="0" w:line="240" w:lineRule="auto"/>
        <w:rPr>
          <w:rFonts w:ascii="Verdana" w:eastAsia="Calibri" w:hAnsi="Verdana" w:cs="Arial"/>
          <w:b/>
          <w:bCs/>
          <w:color w:val="000000" w:themeColor="text1"/>
          <w:lang w:eastAsia="es-ES"/>
        </w:rPr>
      </w:pPr>
      <w:r>
        <w:rPr>
          <w:rFonts w:ascii="Verdana" w:eastAsia="Calibri" w:hAnsi="Verdana" w:cs="Arial"/>
          <w:color w:val="000000" w:themeColor="text1"/>
          <w:lang w:eastAsia="es-ES"/>
        </w:rPr>
        <w:t>Bucaramanga</w:t>
      </w:r>
      <w:r w:rsidRPr="00CB7ABE">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 xml:space="preserve">Santander </w:t>
      </w:r>
    </w:p>
    <w:p w14:paraId="50EAC4DF" w14:textId="77777777" w:rsidR="005B261C" w:rsidRPr="00CB7ABE" w:rsidRDefault="005B261C" w:rsidP="005B261C">
      <w:pPr>
        <w:spacing w:after="0" w:line="240" w:lineRule="auto"/>
        <w:rPr>
          <w:rFonts w:ascii="Verdana" w:eastAsia="Calibri" w:hAnsi="Verdana" w:cs="Arial"/>
          <w:b/>
          <w:bCs/>
          <w:color w:val="000000" w:themeColor="text1"/>
          <w:lang w:eastAsia="es-ES_tradnl"/>
        </w:rPr>
      </w:pPr>
    </w:p>
    <w:p w14:paraId="598F8044" w14:textId="77777777" w:rsidR="005B261C" w:rsidRPr="00CB7ABE" w:rsidRDefault="005B261C" w:rsidP="005B261C">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B261C" w:rsidRPr="00115E3D" w14:paraId="4695EBEF" w14:textId="77777777" w:rsidTr="006F1A38">
        <w:trPr>
          <w:trHeight w:val="884"/>
        </w:trPr>
        <w:tc>
          <w:tcPr>
            <w:tcW w:w="2689" w:type="dxa"/>
          </w:tcPr>
          <w:p w14:paraId="7138A810" w14:textId="77777777" w:rsidR="005B261C" w:rsidRPr="00CB7ABE" w:rsidRDefault="005B261C" w:rsidP="006F1A38">
            <w:pPr>
              <w:jc w:val="both"/>
              <w:rPr>
                <w:rFonts w:ascii="Verdana" w:eastAsia="Calibri" w:hAnsi="Verdana" w:cs="Arial"/>
                <w:b/>
                <w:bCs/>
                <w:color w:val="000000" w:themeColor="text1"/>
                <w:lang w:eastAsia="es-ES_tradnl"/>
              </w:rPr>
            </w:pPr>
          </w:p>
        </w:tc>
        <w:tc>
          <w:tcPr>
            <w:tcW w:w="6100" w:type="dxa"/>
          </w:tcPr>
          <w:p w14:paraId="25945537" w14:textId="77777777" w:rsidR="005B261C" w:rsidRPr="00115E3D" w:rsidRDefault="005B261C" w:rsidP="006F1A38">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317</w:t>
            </w:r>
            <w:r w:rsidRPr="00115E3D">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5</w:t>
            </w:r>
          </w:p>
        </w:tc>
      </w:tr>
      <w:tr w:rsidR="005B261C" w:rsidRPr="00115E3D" w14:paraId="5710482D" w14:textId="77777777" w:rsidTr="006F1A38">
        <w:trPr>
          <w:trHeight w:val="884"/>
        </w:trPr>
        <w:tc>
          <w:tcPr>
            <w:tcW w:w="2689" w:type="dxa"/>
          </w:tcPr>
          <w:p w14:paraId="0088F836" w14:textId="77777777" w:rsidR="005B261C" w:rsidRPr="00115E3D" w:rsidRDefault="005B261C" w:rsidP="006F1A38">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21A6CE91" w14:textId="77777777" w:rsidR="005B261C" w:rsidRPr="004D4DED" w:rsidRDefault="005B261C" w:rsidP="006F1A38">
            <w:pPr>
              <w:spacing w:line="276" w:lineRule="auto"/>
              <w:jc w:val="both"/>
              <w:rPr>
                <w:rFonts w:ascii="Verdana" w:eastAsia="Calibri" w:hAnsi="Verdana" w:cs="Arial"/>
                <w:lang w:val="es-ES" w:eastAsia="es-ES"/>
              </w:rPr>
            </w:pPr>
            <w:r w:rsidRPr="004D4DED">
              <w:rPr>
                <w:rFonts w:ascii="Verdana" w:eastAsia="Calibri" w:hAnsi="Verdana" w:cs="Arial"/>
                <w:lang w:val="es-ES" w:eastAsia="es-ES"/>
              </w:rPr>
              <w:t>LEY DE GARANTÍAS ELECTORALES – Prohibición del artículo 33 ‒ Destinatarios ‒Excepciones / Prohibición por elección de cargos populares – Convenios y contratos interadministrativos – Definición – Criterio orgánico</w:t>
            </w:r>
          </w:p>
          <w:p w14:paraId="174F44D4" w14:textId="77777777" w:rsidR="005B261C" w:rsidRPr="00115E3D" w:rsidRDefault="005B261C" w:rsidP="006F1A38">
            <w:pPr>
              <w:spacing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p>
        </w:tc>
      </w:tr>
      <w:tr w:rsidR="005B261C" w:rsidRPr="00115E3D" w14:paraId="2F32F98A" w14:textId="77777777" w:rsidTr="006F1A38">
        <w:tc>
          <w:tcPr>
            <w:tcW w:w="2689" w:type="dxa"/>
          </w:tcPr>
          <w:p w14:paraId="26ADCFA9" w14:textId="77777777" w:rsidR="005B261C" w:rsidRPr="00CB7ABE" w:rsidRDefault="005B261C" w:rsidP="006F1A38">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100" w:type="dxa"/>
          </w:tcPr>
          <w:p w14:paraId="7504585D" w14:textId="77777777" w:rsidR="005B261C" w:rsidRPr="00CB7ABE" w:rsidRDefault="005B261C" w:rsidP="006F1A38">
            <w:pPr>
              <w:jc w:val="both"/>
              <w:rPr>
                <w:rFonts w:ascii="Verdana" w:eastAsia="Calibri" w:hAnsi="Verdana" w:cs="Arial"/>
                <w:color w:val="000000" w:themeColor="text1"/>
                <w:lang w:val="es-ES_tradnl" w:eastAsia="es-ES_tradnl"/>
              </w:rPr>
            </w:pPr>
            <w:r w:rsidRPr="00CB7ABE">
              <w:rPr>
                <w:rFonts w:ascii="Verdana" w:eastAsia="Calibri" w:hAnsi="Verdana" w:cs="Arial"/>
                <w:color w:val="000000" w:themeColor="text1"/>
                <w:lang w:val="es-ES_tradnl" w:eastAsia="es-ES_tradnl"/>
              </w:rPr>
              <w:t xml:space="preserve">Respuesta a consulta con radicado No. </w:t>
            </w:r>
          </w:p>
          <w:p w14:paraId="42BEDD0C" w14:textId="77777777" w:rsidR="005B261C" w:rsidRPr="00CB7ABE" w:rsidRDefault="005B261C" w:rsidP="006F1A38">
            <w:pPr>
              <w:jc w:val="both"/>
              <w:rPr>
                <w:rFonts w:ascii="Verdana" w:hAnsi="Verdana"/>
                <w:color w:val="000000"/>
              </w:rPr>
            </w:pPr>
            <w:r w:rsidRPr="00CB7ABE">
              <w:rPr>
                <w:rFonts w:ascii="Verdana" w:hAnsi="Verdana"/>
                <w:color w:val="000000"/>
              </w:rPr>
              <w:t>P20250313002457</w:t>
            </w:r>
          </w:p>
        </w:tc>
      </w:tr>
    </w:tbl>
    <w:p w14:paraId="519BF75A" w14:textId="77777777" w:rsidR="005B261C" w:rsidRPr="00115E3D" w:rsidRDefault="005B261C" w:rsidP="005B261C">
      <w:pPr>
        <w:spacing w:after="0" w:line="240" w:lineRule="auto"/>
        <w:jc w:val="both"/>
        <w:rPr>
          <w:rFonts w:ascii="Verdana" w:eastAsia="Calibri" w:hAnsi="Verdana" w:cs="Arial"/>
          <w:color w:val="000000" w:themeColor="text1"/>
          <w:lang w:val="es-ES_tradnl" w:eastAsia="es-ES_tradnl"/>
        </w:rPr>
      </w:pPr>
    </w:p>
    <w:p w14:paraId="676D17D4" w14:textId="77777777" w:rsidR="005B261C" w:rsidRPr="00115E3D" w:rsidRDefault="005B261C" w:rsidP="005B261C">
      <w:pPr>
        <w:spacing w:after="0" w:line="240" w:lineRule="auto"/>
        <w:jc w:val="both"/>
        <w:rPr>
          <w:rFonts w:ascii="Verdana" w:eastAsia="Calibri" w:hAnsi="Verdana" w:cs="Arial"/>
          <w:color w:val="000000" w:themeColor="text1"/>
          <w:lang w:val="es-ES_tradnl" w:eastAsia="es-ES_tradnl"/>
        </w:rPr>
      </w:pPr>
    </w:p>
    <w:p w14:paraId="5F37FB94" w14:textId="77777777" w:rsidR="005B261C" w:rsidRPr="00115E3D" w:rsidRDefault="005B261C" w:rsidP="005B261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 xml:space="preserve"> Rey</w:t>
      </w:r>
      <w:r w:rsidRPr="00115E3D">
        <w:rPr>
          <w:rFonts w:ascii="Verdana" w:eastAsia="Calibri" w:hAnsi="Verdana" w:cs="Arial"/>
          <w:color w:val="000000" w:themeColor="text1"/>
          <w:lang w:val="es-ES" w:eastAsia="es-ES"/>
        </w:rPr>
        <w:t xml:space="preserve">: </w:t>
      </w:r>
    </w:p>
    <w:p w14:paraId="01BB3543" w14:textId="77777777" w:rsidR="005B261C" w:rsidRPr="00115E3D" w:rsidRDefault="005B261C" w:rsidP="005B261C">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05F6EC50" w14:textId="77777777" w:rsidR="005B261C" w:rsidRPr="00115E3D" w:rsidRDefault="005B261C" w:rsidP="005B261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13</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marzo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6CD4698B" w14:textId="77777777" w:rsidR="005B261C" w:rsidRPr="00115E3D" w:rsidRDefault="005B261C" w:rsidP="005B261C">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2BE1D7F9" w14:textId="77777777" w:rsidR="005B261C" w:rsidRDefault="005B261C" w:rsidP="005B261C">
      <w:pPr>
        <w:spacing w:after="0" w:line="240" w:lineRule="auto"/>
        <w:ind w:left="709" w:right="709"/>
        <w:jc w:val="both"/>
        <w:rPr>
          <w:rFonts w:ascii="Verdana" w:eastAsia="Century Gothic" w:hAnsi="Verdana" w:cs="Century Gothic"/>
          <w:i/>
          <w:iCs/>
          <w:color w:val="000000" w:themeColor="text1"/>
          <w:sz w:val="20"/>
          <w:szCs w:val="20"/>
          <w:lang w:val="es-ES"/>
        </w:rPr>
      </w:pPr>
      <w:bookmarkStart w:id="3" w:name="_Hlk95313578"/>
      <w:r w:rsidRPr="00141269">
        <w:rPr>
          <w:rFonts w:ascii="Verdana" w:eastAsia="Century Gothic" w:hAnsi="Verdana" w:cs="Century Gothic"/>
          <w:i/>
          <w:iCs/>
          <w:color w:val="000000" w:themeColor="text1"/>
          <w:sz w:val="20"/>
          <w:szCs w:val="20"/>
          <w:lang w:val="es-ES"/>
        </w:rPr>
        <w:t>“</w:t>
      </w:r>
      <w:bookmarkEnd w:id="3"/>
      <w:r w:rsidRPr="00680464">
        <w:rPr>
          <w:rFonts w:ascii="Verdana" w:eastAsia="Century Gothic" w:hAnsi="Verdana" w:cs="Century Gothic"/>
          <w:i/>
          <w:iCs/>
          <w:color w:val="000000" w:themeColor="text1"/>
          <w:sz w:val="20"/>
          <w:szCs w:val="20"/>
          <w:lang w:val="es-ES"/>
        </w:rPr>
        <w:t xml:space="preserve">solicito amablemente concepto sobre la siguiente situación: este año 2025 entramos en ley de garantías aproximadamente el 8 de diciembre del 2025, ya que tenemos elecciones de congreso el 8 de marzo del 2026 y presidenciales el 31 de mayo del 2026, se tiene normativamente que cuatro meses antes de selecciones las entidades </w:t>
      </w:r>
      <w:proofErr w:type="spellStart"/>
      <w:r w:rsidRPr="00680464">
        <w:rPr>
          <w:rFonts w:ascii="Verdana" w:eastAsia="Century Gothic" w:hAnsi="Verdana" w:cs="Century Gothic"/>
          <w:i/>
          <w:iCs/>
          <w:color w:val="000000" w:themeColor="text1"/>
          <w:sz w:val="20"/>
          <w:szCs w:val="20"/>
          <w:lang w:val="es-ES"/>
        </w:rPr>
        <w:t>publicas</w:t>
      </w:r>
      <w:proofErr w:type="spellEnd"/>
      <w:r w:rsidRPr="00680464">
        <w:rPr>
          <w:rFonts w:ascii="Verdana" w:eastAsia="Century Gothic" w:hAnsi="Verdana" w:cs="Century Gothic"/>
          <w:i/>
          <w:iCs/>
          <w:color w:val="000000" w:themeColor="text1"/>
          <w:sz w:val="20"/>
          <w:szCs w:val="20"/>
          <w:lang w:val="es-ES"/>
        </w:rPr>
        <w:t xml:space="preserve"> no pueden contratar mediante contratación directa, esto excluye a las CPS, siendo un ley de garantías tan larga por las dos elecciones comentadas, como podría las alcaldías poder contratar los contratos de prestación de servicios para el normal funcionamiento de la entidad a partir del mes de enero del 2026, </w:t>
      </w:r>
      <w:r w:rsidRPr="00680464">
        <w:rPr>
          <w:rFonts w:ascii="Verdana" w:eastAsia="Century Gothic" w:hAnsi="Verdana" w:cs="Century Gothic"/>
          <w:i/>
          <w:iCs/>
          <w:color w:val="000000" w:themeColor="text1"/>
          <w:sz w:val="20"/>
          <w:szCs w:val="20"/>
          <w:lang w:val="es-ES"/>
        </w:rPr>
        <w:lastRenderedPageBreak/>
        <w:t xml:space="preserve">toda vez que los CPS vencen a 31 de diciembre del 2025 e iniciaríamos 2026 con la prohibición de ley de garantías. </w:t>
      </w:r>
      <w:r>
        <w:rPr>
          <w:rFonts w:ascii="Verdana" w:eastAsia="Century Gothic" w:hAnsi="Verdana" w:cs="Century Gothic"/>
          <w:i/>
          <w:iCs/>
          <w:color w:val="000000" w:themeColor="text1"/>
          <w:sz w:val="20"/>
          <w:szCs w:val="20"/>
          <w:lang w:val="es-ES"/>
        </w:rPr>
        <w:t>“</w:t>
      </w:r>
    </w:p>
    <w:p w14:paraId="122737F6" w14:textId="77777777" w:rsidR="005B261C" w:rsidRPr="00680464" w:rsidRDefault="005B261C" w:rsidP="005B261C">
      <w:pPr>
        <w:spacing w:after="0" w:line="240" w:lineRule="auto"/>
        <w:ind w:left="709" w:right="709"/>
        <w:jc w:val="both"/>
        <w:rPr>
          <w:rFonts w:ascii="Verdana" w:eastAsia="Century Gothic" w:hAnsi="Verdana" w:cs="Century Gothic"/>
          <w:i/>
          <w:iCs/>
          <w:color w:val="000000" w:themeColor="text1"/>
          <w:sz w:val="20"/>
          <w:szCs w:val="20"/>
          <w:lang w:val="es-ES"/>
        </w:rPr>
      </w:pPr>
    </w:p>
    <w:p w14:paraId="059A9D4E" w14:textId="77777777" w:rsidR="005B261C" w:rsidRPr="00115E3D" w:rsidRDefault="005B261C" w:rsidP="005B261C">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17917103" w14:textId="77777777" w:rsidR="005B261C" w:rsidRPr="00115E3D" w:rsidRDefault="005B261C" w:rsidP="005B261C">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41A931FE" w14:textId="77777777" w:rsidR="005B261C" w:rsidRPr="00115E3D" w:rsidRDefault="005B261C" w:rsidP="005B261C">
      <w:pPr>
        <w:spacing w:after="0" w:line="276" w:lineRule="auto"/>
        <w:ind w:firstLine="709"/>
        <w:jc w:val="both"/>
        <w:rPr>
          <w:rFonts w:ascii="Verdana" w:eastAsia="Calibri" w:hAnsi="Verdana" w:cs="Arial"/>
          <w:color w:val="000000" w:themeColor="text1"/>
          <w:lang w:val="es-ES" w:eastAsia="es-ES"/>
        </w:rPr>
      </w:pPr>
    </w:p>
    <w:p w14:paraId="12EFB611"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11286705" w14:textId="77777777" w:rsidR="005B261C" w:rsidRPr="00115E3D" w:rsidRDefault="005B261C" w:rsidP="005B261C">
      <w:pPr>
        <w:tabs>
          <w:tab w:val="left" w:pos="426"/>
        </w:tabs>
        <w:spacing w:after="0" w:line="276" w:lineRule="auto"/>
        <w:jc w:val="both"/>
        <w:rPr>
          <w:rFonts w:ascii="Verdana" w:eastAsia="Century Gothic" w:hAnsi="Verdana" w:cs="Century Gothic"/>
          <w:color w:val="000000" w:themeColor="text1"/>
          <w:lang w:val="es-ES"/>
        </w:rPr>
      </w:pPr>
    </w:p>
    <w:p w14:paraId="5604F12C" w14:textId="10F81B1B" w:rsidR="005B261C" w:rsidRPr="00115E3D" w:rsidRDefault="005B261C" w:rsidP="005B261C">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De acuerdo con el contenido de su solicitud, esta Agencia resolverá el (l siguiente problemas jurídico:</w:t>
      </w:r>
      <w:r>
        <w:rPr>
          <w:rFonts w:ascii="Verdana" w:eastAsia="Century Gothic" w:hAnsi="Verdana" w:cs="Century Gothic"/>
          <w:color w:val="000000" w:themeColor="text1"/>
        </w:rPr>
        <w:t xml:space="preserve"> </w:t>
      </w:r>
      <w:r w:rsidR="00184FD0">
        <w:rPr>
          <w:rFonts w:ascii="Verdana" w:eastAsia="Century Gothic" w:hAnsi="Verdana" w:cs="Century Gothic"/>
          <w:color w:val="000000" w:themeColor="text1"/>
        </w:rPr>
        <w:t xml:space="preserve">i) </w:t>
      </w:r>
      <w:r w:rsidR="00184FD0" w:rsidRPr="00AB493F">
        <w:rPr>
          <w:rFonts w:ascii="Verdana" w:eastAsia="Century Gothic" w:hAnsi="Verdana" w:cs="Century Gothic"/>
          <w:color w:val="000000" w:themeColor="text1"/>
        </w:rPr>
        <w:t>¿Desde cuándo empieza a aplicarse la Ley de Garantías Electorales en 2026, teniendo en cuenta las fechas de las elecciones legislativas y presidenciales, y qué restricciones trae cada una según los artículos 33 y 38 de la Ley 996 de 2005?</w:t>
      </w:r>
      <w:r w:rsidR="00184FD0">
        <w:rPr>
          <w:rFonts w:ascii="Verdana" w:eastAsia="Century Gothic" w:hAnsi="Verdana" w:cs="Century Gothic"/>
          <w:color w:val="000000" w:themeColor="text1"/>
        </w:rPr>
        <w:t xml:space="preserve"> </w:t>
      </w:r>
      <w:proofErr w:type="spellStart"/>
      <w:r w:rsidR="00184FD0">
        <w:rPr>
          <w:rFonts w:ascii="Verdana" w:eastAsia="Century Gothic" w:hAnsi="Verdana" w:cs="Century Gothic"/>
          <w:color w:val="000000" w:themeColor="text1"/>
        </w:rPr>
        <w:t>ii</w:t>
      </w:r>
      <w:proofErr w:type="spellEnd"/>
      <w:r w:rsidR="00184FD0">
        <w:rPr>
          <w:rFonts w:ascii="Verdana" w:eastAsia="Century Gothic" w:hAnsi="Verdana" w:cs="Century Gothic"/>
          <w:color w:val="000000" w:themeColor="text1"/>
        </w:rPr>
        <w:t xml:space="preserve">) </w:t>
      </w:r>
      <w:r w:rsidR="00184FD0" w:rsidRPr="0084038E">
        <w:rPr>
          <w:rFonts w:ascii="Verdana" w:eastAsia="Century Gothic" w:hAnsi="Verdana" w:cs="Century Gothic"/>
          <w:color w:val="000000" w:themeColor="text1"/>
        </w:rPr>
        <w:t xml:space="preserve">¿Es posible que las alcaldías municipales contraten personal por prestación de servicios a partir del </w:t>
      </w:r>
      <w:r w:rsidR="00EA6460">
        <w:rPr>
          <w:rFonts w:ascii="Verdana" w:eastAsia="Century Gothic" w:hAnsi="Verdana" w:cs="Century Gothic"/>
          <w:color w:val="000000" w:themeColor="text1"/>
        </w:rPr>
        <w:t>3</w:t>
      </w:r>
      <w:r w:rsidR="00184FD0" w:rsidRPr="0084038E">
        <w:rPr>
          <w:rFonts w:ascii="Verdana" w:eastAsia="Century Gothic" w:hAnsi="Verdana" w:cs="Century Gothic"/>
          <w:color w:val="000000" w:themeColor="text1"/>
        </w:rPr>
        <w:t>1 de enero de 2026 si es necesario para seguir funcionando, sabiendo que la restricción por elecciones presidenciales empieza a finales de enero y que los contratos deberían quedar listos antes de esa fecha y cubrir hasta la segunda vuelta?</w:t>
      </w:r>
      <w:r w:rsidR="00184FD0">
        <w:rPr>
          <w:rFonts w:ascii="Verdana" w:eastAsia="Century Gothic" w:hAnsi="Verdana" w:cs="Century Gothic"/>
          <w:color w:val="000000" w:themeColor="text1"/>
        </w:rPr>
        <w:t xml:space="preserve">  </w:t>
      </w:r>
    </w:p>
    <w:p w14:paraId="16A51455" w14:textId="77777777" w:rsidR="005B261C" w:rsidRPr="00115E3D" w:rsidRDefault="005B261C" w:rsidP="005B261C">
      <w:pPr>
        <w:spacing w:after="0" w:line="276" w:lineRule="auto"/>
        <w:jc w:val="both"/>
        <w:rPr>
          <w:rFonts w:ascii="Verdana" w:eastAsia="Calibri" w:hAnsi="Verdana" w:cs="Arial"/>
          <w:color w:val="000000" w:themeColor="text1"/>
          <w:lang w:val="es-ES"/>
        </w:rPr>
      </w:pPr>
    </w:p>
    <w:p w14:paraId="5609B135"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4CE01E29" w14:textId="77777777" w:rsidR="005B261C" w:rsidRPr="00115E3D" w:rsidRDefault="005B261C" w:rsidP="005B261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B261C" w:rsidRPr="00115E3D" w14:paraId="704DD47E" w14:textId="77777777" w:rsidTr="00FC056B">
        <w:trPr>
          <w:trHeight w:val="1908"/>
        </w:trPr>
        <w:tc>
          <w:tcPr>
            <w:tcW w:w="8828" w:type="dxa"/>
            <w:shd w:val="clear" w:color="auto" w:fill="auto"/>
          </w:tcPr>
          <w:p w14:paraId="51FF6FB7" w14:textId="77777777" w:rsidR="00F65B8A" w:rsidRDefault="004B2C42" w:rsidP="006F1A38">
            <w:pPr>
              <w:spacing w:after="120" w:line="276" w:lineRule="auto"/>
              <w:ind w:firstLine="709"/>
              <w:jc w:val="both"/>
              <w:rPr>
                <w:rFonts w:ascii="Verdana" w:eastAsia="Calibri" w:hAnsi="Verdana" w:cs="Arial"/>
              </w:rPr>
            </w:pPr>
            <w:r>
              <w:rPr>
                <w:rFonts w:ascii="Verdana" w:eastAsia="Calibri" w:hAnsi="Verdana" w:cs="Arial"/>
                <w:lang w:val="es-ES"/>
              </w:rPr>
              <w:lastRenderedPageBreak/>
              <w:t>i)</w:t>
            </w:r>
            <w:r w:rsidR="000C5BB0" w:rsidRPr="000C5BB0">
              <w:t xml:space="preserve"> </w:t>
            </w:r>
            <w:r w:rsidR="000C5BB0" w:rsidRPr="000C5BB0">
              <w:rPr>
                <w:rFonts w:ascii="Verdana" w:eastAsia="Calibri" w:hAnsi="Verdana" w:cs="Arial"/>
              </w:rPr>
              <w:t xml:space="preserve">La Ley de Garantías Electorales (Ley 996 de 2005) establece restricciones en la contratación pública con el fin de asegurar la transparencia y la equidad del proceso electoral, evitando el uso indebido de los recursos públicos para fines proselitistas. Estas restricciones se aplican de manera distinta según el tipo de elecciones y las fechas en las que se desarrollen. </w:t>
            </w:r>
          </w:p>
          <w:p w14:paraId="25707B09" w14:textId="7CACFDFD" w:rsidR="00B108F3" w:rsidRDefault="000C5BB0" w:rsidP="00B108F3">
            <w:pPr>
              <w:spacing w:after="120" w:line="276" w:lineRule="auto"/>
              <w:ind w:firstLine="709"/>
              <w:jc w:val="both"/>
              <w:rPr>
                <w:rFonts w:ascii="Verdana" w:eastAsia="Calibri" w:hAnsi="Verdana" w:cs="Arial"/>
              </w:rPr>
            </w:pPr>
            <w:r w:rsidRPr="000C5BB0">
              <w:rPr>
                <w:rFonts w:ascii="Verdana" w:eastAsia="Calibri" w:hAnsi="Verdana" w:cs="Arial"/>
              </w:rPr>
              <w:t xml:space="preserve">Para las elecciones legislativas (Congreso), programadas para el 8 de marzo de 2026, las restricciones </w:t>
            </w:r>
            <w:r w:rsidR="00F65B8A" w:rsidRPr="000C5BB0">
              <w:rPr>
                <w:rFonts w:ascii="Verdana" w:eastAsia="Calibri" w:hAnsi="Verdana" w:cs="Arial"/>
              </w:rPr>
              <w:t>inicia</w:t>
            </w:r>
            <w:r w:rsidR="00F65B8A">
              <w:rPr>
                <w:rFonts w:ascii="Verdana" w:eastAsia="Calibri" w:hAnsi="Verdana" w:cs="Arial"/>
              </w:rPr>
              <w:t>rían</w:t>
            </w:r>
            <w:r w:rsidRPr="000C5BB0">
              <w:rPr>
                <w:rFonts w:ascii="Verdana" w:eastAsia="Calibri" w:hAnsi="Verdana" w:cs="Arial"/>
              </w:rPr>
              <w:t xml:space="preserve"> el 8 de noviembre de 2025, es decir, 4 meses antes de la fecha de las elecciones</w:t>
            </w:r>
            <w:r w:rsidR="00AF71F4">
              <w:rPr>
                <w:rFonts w:ascii="Verdana" w:eastAsia="Calibri" w:hAnsi="Verdana" w:cs="Arial"/>
              </w:rPr>
              <w:t xml:space="preserve">, </w:t>
            </w:r>
            <w:r w:rsidR="00F65B8A">
              <w:rPr>
                <w:rFonts w:ascii="Verdana" w:eastAsia="Calibri" w:hAnsi="Verdana" w:cs="Arial"/>
              </w:rPr>
              <w:t>en este caso las restricciones que se aplican son las del artículo 38 de la Ley 996 de 2005</w:t>
            </w:r>
            <w:r w:rsidR="00B108F3">
              <w:rPr>
                <w:rFonts w:ascii="Verdana" w:eastAsia="Calibri" w:hAnsi="Verdana" w:cs="Arial"/>
              </w:rPr>
              <w:t xml:space="preserve">, </w:t>
            </w:r>
            <w:r w:rsidR="00B108F3" w:rsidRPr="00461891">
              <w:rPr>
                <w:rFonts w:ascii="Verdana" w:eastAsia="Calibri" w:hAnsi="Verdana" w:cs="Arial"/>
              </w:rPr>
              <w:t>que prohíbe a los gobernadores, alcaldes municipales o distritales, secretarios, gerentes y directores de entidades descentralizadas del orden municipal, departamental o distrital</w:t>
            </w:r>
            <w:r w:rsidR="00B108F3">
              <w:rPr>
                <w:rFonts w:ascii="Verdana" w:eastAsia="Calibri" w:hAnsi="Verdana" w:cs="Arial"/>
              </w:rPr>
              <w:t xml:space="preserve"> </w:t>
            </w:r>
            <w:r w:rsidR="00B108F3" w:rsidRPr="00461891">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C5BB0">
              <w:rPr>
                <w:rFonts w:ascii="Verdana" w:eastAsia="Calibri" w:hAnsi="Verdana" w:cs="Arial"/>
              </w:rPr>
              <w:t>.</w:t>
            </w:r>
          </w:p>
          <w:p w14:paraId="4CF1F7EA" w14:textId="3DCD6F68" w:rsidR="005B261C" w:rsidRDefault="00B108F3" w:rsidP="00B108F3">
            <w:pPr>
              <w:spacing w:after="120" w:line="276" w:lineRule="auto"/>
              <w:ind w:firstLine="709"/>
              <w:jc w:val="both"/>
              <w:rPr>
                <w:rFonts w:ascii="Verdana" w:eastAsia="Calibri" w:hAnsi="Verdana" w:cs="Arial"/>
              </w:rPr>
            </w:pPr>
            <w:r>
              <w:rPr>
                <w:rFonts w:ascii="Verdana" w:eastAsia="Calibri" w:hAnsi="Verdana" w:cs="Arial"/>
              </w:rPr>
              <w:t>P</w:t>
            </w:r>
            <w:r w:rsidR="000C5BB0" w:rsidRPr="000C5BB0">
              <w:rPr>
                <w:rFonts w:ascii="Verdana" w:eastAsia="Calibri" w:hAnsi="Verdana" w:cs="Arial"/>
              </w:rPr>
              <w:t xml:space="preserve">ara las elecciones presidenciales, </w:t>
            </w:r>
            <w:r>
              <w:rPr>
                <w:rFonts w:ascii="Verdana" w:eastAsia="Calibri" w:hAnsi="Verdana" w:cs="Arial"/>
              </w:rPr>
              <w:t xml:space="preserve">las restricciones a aplicar son las del </w:t>
            </w:r>
            <w:r w:rsidR="00D211A0">
              <w:rPr>
                <w:rFonts w:ascii="Verdana" w:eastAsia="Calibri" w:hAnsi="Verdana" w:cs="Arial"/>
              </w:rPr>
              <w:t>artículo</w:t>
            </w:r>
            <w:r>
              <w:rPr>
                <w:rFonts w:ascii="Verdana" w:eastAsia="Calibri" w:hAnsi="Verdana" w:cs="Arial"/>
              </w:rPr>
              <w:t xml:space="preserve"> </w:t>
            </w:r>
            <w:r w:rsidR="00D211A0">
              <w:rPr>
                <w:rFonts w:ascii="Verdana" w:eastAsia="Calibri" w:hAnsi="Verdana" w:cs="Arial"/>
              </w:rPr>
              <w:t>33 de la Ley 996 de 2005,</w:t>
            </w:r>
            <w:r w:rsidR="00B0078D">
              <w:rPr>
                <w:rFonts w:ascii="Verdana" w:eastAsia="Calibri" w:hAnsi="Verdana" w:cs="Arial"/>
              </w:rPr>
              <w:t xml:space="preserve"> por lo </w:t>
            </w:r>
            <w:r w:rsidR="00B2184C">
              <w:rPr>
                <w:rFonts w:ascii="Verdana" w:eastAsia="Calibri" w:hAnsi="Verdana" w:cs="Arial"/>
              </w:rPr>
              <w:t>cual,</w:t>
            </w:r>
            <w:r w:rsidR="00B0078D">
              <w:rPr>
                <w:rFonts w:ascii="Verdana" w:eastAsia="Calibri" w:hAnsi="Verdana" w:cs="Arial"/>
              </w:rPr>
              <w:t xml:space="preserve"> dentro de los 4 meses anteriores a la</w:t>
            </w:r>
            <w:r w:rsidR="00B2184C">
              <w:rPr>
                <w:rFonts w:ascii="Verdana" w:eastAsia="Calibri" w:hAnsi="Verdana" w:cs="Arial"/>
              </w:rPr>
              <w:t xml:space="preserve"> elección presidencial, </w:t>
            </w:r>
            <w:r w:rsidR="009413B7">
              <w:rPr>
                <w:rFonts w:ascii="Verdana" w:eastAsia="Calibri" w:hAnsi="Verdana" w:cs="Arial"/>
              </w:rPr>
              <w:t xml:space="preserve">es decir desde el 31 de enero de 2026, </w:t>
            </w:r>
            <w:r w:rsidR="00FE001E">
              <w:rPr>
                <w:rFonts w:ascii="Verdana" w:eastAsia="Calibri" w:hAnsi="Verdana" w:cs="Arial"/>
              </w:rPr>
              <w:t xml:space="preserve">y hasta </w:t>
            </w:r>
            <w:r w:rsidR="009413B7">
              <w:rPr>
                <w:rFonts w:ascii="Verdana" w:eastAsia="Calibri" w:hAnsi="Verdana" w:cs="Arial"/>
              </w:rPr>
              <w:t>el momento de la celebración de</w:t>
            </w:r>
            <w:r w:rsidR="00B2184C">
              <w:rPr>
                <w:rFonts w:ascii="Verdana" w:eastAsia="Calibri" w:hAnsi="Verdana" w:cs="Arial"/>
              </w:rPr>
              <w:t xml:space="preserve"> la segunda vuelta</w:t>
            </w:r>
            <w:r w:rsidR="009413B7">
              <w:rPr>
                <w:rFonts w:ascii="Verdana" w:eastAsia="Calibri" w:hAnsi="Verdana" w:cs="Arial"/>
              </w:rPr>
              <w:t>,</w:t>
            </w:r>
            <w:r w:rsidR="00B2184C">
              <w:rPr>
                <w:rFonts w:ascii="Verdana" w:eastAsia="Calibri" w:hAnsi="Verdana" w:cs="Arial"/>
              </w:rPr>
              <w:t xml:space="preserve"> si fuere el caso</w:t>
            </w:r>
            <w:r w:rsidR="00B0078D">
              <w:rPr>
                <w:rFonts w:ascii="Verdana" w:eastAsia="Calibri" w:hAnsi="Verdana" w:cs="Arial"/>
              </w:rPr>
              <w:t>,</w:t>
            </w:r>
            <w:r w:rsidR="008772F9">
              <w:rPr>
                <w:rFonts w:ascii="Verdana" w:eastAsia="Calibri" w:hAnsi="Verdana" w:cs="Arial"/>
              </w:rPr>
              <w:t xml:space="preserve"> q</w:t>
            </w:r>
            <w:r w:rsidR="008772F9" w:rsidRPr="008772F9">
              <w:rPr>
                <w:rFonts w:ascii="Verdana" w:eastAsia="Calibri" w:hAnsi="Verdana" w:cs="Arial"/>
              </w:rPr>
              <w:t>ueda prohibida la contratación directa por parte de todos los entes del Estado</w:t>
            </w:r>
            <w:r w:rsidR="00DC2265">
              <w:rPr>
                <w:rFonts w:ascii="Verdana" w:eastAsia="Calibri" w:hAnsi="Verdana" w:cs="Arial"/>
              </w:rPr>
              <w:t>, dentro de lo cual se incluye los contratos de prestación de servicios profesionales y de apoyo a la gestión</w:t>
            </w:r>
            <w:r w:rsidR="008772F9" w:rsidRPr="008772F9">
              <w:rPr>
                <w:rFonts w:ascii="Verdana" w:eastAsia="Calibri" w:hAnsi="Verdana" w:cs="Arial"/>
              </w:rPr>
              <w:t>.</w:t>
            </w:r>
          </w:p>
          <w:p w14:paraId="7A6FB7F0" w14:textId="2E05F724" w:rsidR="0028627B" w:rsidRDefault="00AD374D" w:rsidP="0028627B">
            <w:pPr>
              <w:spacing w:after="120" w:line="276" w:lineRule="auto"/>
              <w:ind w:firstLine="709"/>
              <w:jc w:val="both"/>
              <w:rPr>
                <w:rFonts w:ascii="Verdana" w:eastAsia="Calibri" w:hAnsi="Verdana" w:cs="Arial"/>
              </w:rPr>
            </w:pPr>
            <w:r>
              <w:rPr>
                <w:rFonts w:ascii="Verdana" w:eastAsia="Calibri" w:hAnsi="Verdana" w:cs="Arial"/>
              </w:rPr>
              <w:t xml:space="preserve"> </w:t>
            </w:r>
            <w:proofErr w:type="spellStart"/>
            <w:r w:rsidR="004B2C42">
              <w:rPr>
                <w:rFonts w:ascii="Verdana" w:eastAsia="Calibri" w:hAnsi="Verdana" w:cs="Arial"/>
              </w:rPr>
              <w:t>ii</w:t>
            </w:r>
            <w:proofErr w:type="spellEnd"/>
            <w:r w:rsidR="004B2C42">
              <w:rPr>
                <w:rFonts w:ascii="Verdana" w:eastAsia="Calibri" w:hAnsi="Verdana" w:cs="Arial"/>
              </w:rPr>
              <w:t>)</w:t>
            </w:r>
            <w:r>
              <w:rPr>
                <w:rFonts w:ascii="Verdana" w:eastAsia="Calibri" w:hAnsi="Verdana" w:cs="Arial"/>
              </w:rPr>
              <w:t xml:space="preserve"> </w:t>
            </w:r>
            <w:r w:rsidR="004B2C42" w:rsidRPr="004B2C42">
              <w:rPr>
                <w:rFonts w:ascii="Verdana" w:eastAsia="Calibri" w:hAnsi="Verdana" w:cs="Arial"/>
              </w:rPr>
              <w:t xml:space="preserve">Por lo tanto, en cuanto a los contratos de prestación de servicios (CPS) que puedan ser necesarios para el funcionamiento de las alcaldías municipales o cualquier otra entidad, es esencial que los mismos sean planeados y formalizados antes del </w:t>
            </w:r>
            <w:r w:rsidR="00DC2265">
              <w:rPr>
                <w:rFonts w:ascii="Verdana" w:eastAsia="Calibri" w:hAnsi="Verdana" w:cs="Arial"/>
              </w:rPr>
              <w:t>31</w:t>
            </w:r>
            <w:r w:rsidR="004B2C42" w:rsidRPr="004B2C42">
              <w:rPr>
                <w:rFonts w:ascii="Verdana" w:eastAsia="Calibri" w:hAnsi="Verdana" w:cs="Arial"/>
              </w:rPr>
              <w:t xml:space="preserve"> de </w:t>
            </w:r>
            <w:r w:rsidR="00DC2265">
              <w:rPr>
                <w:rFonts w:ascii="Verdana" w:eastAsia="Calibri" w:hAnsi="Verdana" w:cs="Arial"/>
              </w:rPr>
              <w:t>enero</w:t>
            </w:r>
            <w:r w:rsidR="004B2C42" w:rsidRPr="004B2C42">
              <w:rPr>
                <w:rFonts w:ascii="Verdana" w:eastAsia="Calibri" w:hAnsi="Verdana" w:cs="Arial"/>
              </w:rPr>
              <w:t xml:space="preserve"> de 202</w:t>
            </w:r>
            <w:r w:rsidR="00DC2265">
              <w:rPr>
                <w:rFonts w:ascii="Verdana" w:eastAsia="Calibri" w:hAnsi="Verdana" w:cs="Arial"/>
              </w:rPr>
              <w:t>6</w:t>
            </w:r>
            <w:r w:rsidR="004B2C42" w:rsidRPr="004B2C42">
              <w:rPr>
                <w:rFonts w:ascii="Verdana" w:eastAsia="Calibri" w:hAnsi="Verdana" w:cs="Arial"/>
              </w:rPr>
              <w:t>, de modo que se asegure la continuidad administrativa hasta la conclusión del proceso electoral</w:t>
            </w:r>
            <w:r w:rsidR="0055236C">
              <w:rPr>
                <w:rFonts w:ascii="Verdana" w:eastAsia="Calibri" w:hAnsi="Verdana" w:cs="Arial"/>
              </w:rPr>
              <w:t xml:space="preserve"> para la elección de presidente</w:t>
            </w:r>
            <w:r w:rsidR="004B2C42" w:rsidRPr="004B2C42">
              <w:rPr>
                <w:rFonts w:ascii="Verdana" w:eastAsia="Calibri" w:hAnsi="Verdana" w:cs="Arial"/>
              </w:rPr>
              <w:t>.</w:t>
            </w:r>
          </w:p>
          <w:p w14:paraId="474B416A" w14:textId="0E6269F2" w:rsidR="00D968D1" w:rsidRDefault="002D7BA3" w:rsidP="00B80F4F">
            <w:pPr>
              <w:spacing w:after="120" w:line="276" w:lineRule="auto"/>
              <w:ind w:firstLine="709"/>
              <w:jc w:val="both"/>
              <w:rPr>
                <w:rFonts w:ascii="Verdana" w:eastAsia="Calibri" w:hAnsi="Verdana" w:cs="Arial"/>
              </w:rPr>
            </w:pPr>
            <w:r>
              <w:rPr>
                <w:rFonts w:ascii="Verdana" w:eastAsia="Calibri" w:hAnsi="Verdana" w:cs="Arial"/>
              </w:rPr>
              <w:t>En ese sentido</w:t>
            </w:r>
            <w:r w:rsidR="00870C64">
              <w:rPr>
                <w:rFonts w:ascii="Verdana" w:eastAsia="Calibri" w:hAnsi="Verdana" w:cs="Arial"/>
              </w:rPr>
              <w:t xml:space="preserve">, </w:t>
            </w:r>
            <w:r w:rsidR="0028627B">
              <w:rPr>
                <w:rFonts w:ascii="Verdana" w:eastAsia="Calibri" w:hAnsi="Verdana" w:cs="Arial"/>
              </w:rPr>
              <w:t>L</w:t>
            </w:r>
            <w:r w:rsidR="0028627B" w:rsidRPr="0054797F">
              <w:rPr>
                <w:rFonts w:ascii="Verdana" w:eastAsia="Calibri" w:hAnsi="Verdana" w:cs="Arial"/>
              </w:rPr>
              <w:t>a Ley de Garantías Electorales —Ley 996 de 2005— no vulnera la posibilidad de contratar mediante contratos de prestación de servicios profesionales y de apoyo a la gestión en las alcaldías municipales</w:t>
            </w:r>
            <w:r w:rsidR="00D9402A">
              <w:rPr>
                <w:rFonts w:ascii="Verdana" w:eastAsia="Calibri" w:hAnsi="Verdana" w:cs="Arial"/>
              </w:rPr>
              <w:t>, si no que constituye un mecanismo legal en pro de otorgar garantías electorales.</w:t>
            </w:r>
          </w:p>
          <w:p w14:paraId="1319282F" w14:textId="37B97559" w:rsidR="0028627B" w:rsidRDefault="00D968D1" w:rsidP="00B80F4F">
            <w:pPr>
              <w:spacing w:after="120" w:line="276" w:lineRule="auto"/>
              <w:ind w:firstLine="709"/>
              <w:jc w:val="both"/>
              <w:rPr>
                <w:rFonts w:ascii="Verdana" w:eastAsia="Calibri" w:hAnsi="Verdana" w:cs="Arial"/>
              </w:rPr>
            </w:pPr>
            <w:r>
              <w:rPr>
                <w:rFonts w:ascii="Verdana" w:eastAsia="Calibri" w:hAnsi="Verdana" w:cs="Arial"/>
              </w:rPr>
              <w:t>Ahor</w:t>
            </w:r>
            <w:r w:rsidR="0028627B" w:rsidRPr="0054797F">
              <w:rPr>
                <w:rFonts w:ascii="Verdana" w:eastAsia="Calibri" w:hAnsi="Verdana" w:cs="Arial"/>
              </w:rPr>
              <w:t>a</w:t>
            </w:r>
            <w:r>
              <w:rPr>
                <w:rFonts w:ascii="Verdana" w:eastAsia="Calibri" w:hAnsi="Verdana" w:cs="Arial"/>
              </w:rPr>
              <w:t xml:space="preserve"> bien, la </w:t>
            </w:r>
            <w:r w:rsidR="0028627B" w:rsidRPr="0054797F">
              <w:rPr>
                <w:rFonts w:ascii="Verdana" w:eastAsia="Calibri" w:hAnsi="Verdana" w:cs="Arial"/>
              </w:rPr>
              <w:t xml:space="preserve">finalidad de la Ley de Garantías no es impedir el funcionamiento de la administración pública, sino evitar el uso indebido de recursos públicos con fines proselitistas, protegiendo así la transparencia del </w:t>
            </w:r>
            <w:r w:rsidR="0028627B" w:rsidRPr="0054797F">
              <w:rPr>
                <w:rFonts w:ascii="Verdana" w:eastAsia="Calibri" w:hAnsi="Verdana" w:cs="Arial"/>
              </w:rPr>
              <w:lastRenderedPageBreak/>
              <w:t>proceso electoral y la equidad entre los candidatos. Por tanto, si los contratos de prestación de servicios son indispensables para asegurar la operación regular de la entidad territorial, han sido debidamente justificados, planeados con anterioridad al inicio de la restricción y no responden a fines políticos, su celebración no solo es jurídicamente viable sino necesaria para garantizar la continuidad administrativa, en cumplimiento de los principios de planeación, necesidad, responsabilidad y eficacia que rigen la contratación estatal. Esta interpretación ha sido reiterada por entidades como Colombia Compra Eficiente, que ha señalado que la Ley de Garantías no puede entenderse como un instrumento de parálisis institucional, sino como una medida preventiva que debe armonizarse con la función pública y la satisfacción de necesidades esenciales.</w:t>
            </w:r>
            <w:r w:rsidR="0028627B" w:rsidRPr="00507CC7">
              <w:rPr>
                <w:rFonts w:ascii="Verdana" w:eastAsia="Calibri" w:hAnsi="Verdana" w:cs="Arial"/>
              </w:rPr>
              <w:t xml:space="preserve"> </w:t>
            </w:r>
            <w:r w:rsidR="004B2C42" w:rsidRPr="004B2C42">
              <w:rPr>
                <w:rFonts w:ascii="Verdana" w:eastAsia="Calibri" w:hAnsi="Verdana" w:cs="Arial"/>
              </w:rPr>
              <w:t xml:space="preserve"> </w:t>
            </w:r>
          </w:p>
          <w:p w14:paraId="79C0B0DC" w14:textId="6D8C3089" w:rsidR="005B261C" w:rsidRPr="000E7DFD" w:rsidRDefault="005B261C" w:rsidP="006F1A38">
            <w:pPr>
              <w:spacing w:after="120" w:line="276" w:lineRule="auto"/>
              <w:ind w:firstLine="709"/>
              <w:jc w:val="both"/>
              <w:rPr>
                <w:rFonts w:ascii="Verdana" w:eastAsia="Calibri" w:hAnsi="Verdana" w:cs="Arial"/>
              </w:rPr>
            </w:pPr>
            <w:r w:rsidRPr="000E7DFD">
              <w:rPr>
                <w:rFonts w:ascii="Verdana" w:eastAsia="Arial" w:hAnsi="Verdana" w:cs="Arial"/>
                <w:lang w:val="es-ES" w:eastAsia="es-ES" w:bidi="es-ES"/>
              </w:rPr>
              <w:t>En conclusión, la</w:t>
            </w:r>
            <w:r w:rsidRPr="000E7DFD">
              <w:rPr>
                <w:rFonts w:ascii="Verdana" w:eastAsia="Calibri" w:hAnsi="Verdana" w:cs="Arial"/>
              </w:rPr>
              <w:t xml:space="preserve"> Entidad deberá determinar sí en atención a su propósito particular podrían estar incursos en las prohibiciones de la citada Ley de Garantías Electorales.</w:t>
            </w:r>
            <w:r w:rsidR="0071623C">
              <w:rPr>
                <w:rFonts w:ascii="Verdana" w:eastAsia="Calibri" w:hAnsi="Verdana" w:cs="Arial"/>
              </w:rPr>
              <w:t xml:space="preserve"> </w:t>
            </w:r>
          </w:p>
        </w:tc>
      </w:tr>
    </w:tbl>
    <w:p w14:paraId="74DDC741" w14:textId="77777777" w:rsidR="005B261C" w:rsidRPr="00115E3D" w:rsidRDefault="005B261C" w:rsidP="005B261C">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B31EE96"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459AF8F0" w14:textId="77777777" w:rsidR="005B261C" w:rsidRPr="00115E3D" w:rsidRDefault="005B261C" w:rsidP="005B261C">
      <w:pPr>
        <w:spacing w:after="0" w:line="276" w:lineRule="auto"/>
        <w:jc w:val="both"/>
        <w:rPr>
          <w:rFonts w:ascii="Verdana" w:eastAsia="Calibri" w:hAnsi="Verdana" w:cs="Arial"/>
          <w:color w:val="000000" w:themeColor="text1"/>
          <w:lang w:val="es-ES"/>
        </w:rPr>
      </w:pPr>
    </w:p>
    <w:p w14:paraId="654CE02F" w14:textId="77777777" w:rsidR="005B261C" w:rsidRDefault="005B261C" w:rsidP="005B261C">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51415279" w14:textId="77777777" w:rsidR="005B261C" w:rsidRDefault="005B261C" w:rsidP="005B261C">
      <w:pPr>
        <w:spacing w:after="0" w:line="276" w:lineRule="auto"/>
        <w:jc w:val="both"/>
        <w:rPr>
          <w:rFonts w:ascii="Verdana" w:eastAsia="Calibri" w:hAnsi="Verdana" w:cs="Arial"/>
          <w:color w:val="000000" w:themeColor="text1"/>
          <w:lang w:val="es-ES"/>
        </w:rPr>
      </w:pPr>
    </w:p>
    <w:p w14:paraId="5205DF45" w14:textId="77777777" w:rsidR="005B261C" w:rsidRPr="00461891" w:rsidRDefault="005B261C" w:rsidP="005B261C">
      <w:pPr>
        <w:tabs>
          <w:tab w:val="left" w:pos="426"/>
        </w:tabs>
        <w:spacing w:after="120" w:line="276" w:lineRule="auto"/>
        <w:jc w:val="both"/>
        <w:rPr>
          <w:rFonts w:ascii="Verdana" w:eastAsia="Times New Roman" w:hAnsi="Verdana" w:cs="Arial"/>
          <w:lang w:eastAsia="es-CO"/>
        </w:rPr>
      </w:pPr>
      <w:r w:rsidRPr="00461891">
        <w:rPr>
          <w:rFonts w:ascii="Verdana" w:eastAsia="Calibri" w:hAnsi="Verdana" w:cs="Arial"/>
        </w:rPr>
        <w:t>i. El ordenamiento jurídico colombiano contempla previsiones claras para evitar la obtención de beneficios personales en asuntos propios de la administración pública</w:t>
      </w:r>
      <w:r w:rsidRPr="00461891">
        <w:rPr>
          <w:rFonts w:ascii="Verdana" w:eastAsia="Calibri" w:hAnsi="Verdana" w:cs="Arial"/>
          <w:i/>
        </w:rPr>
        <w:t xml:space="preserve">. </w:t>
      </w:r>
      <w:r w:rsidRPr="00461891">
        <w:rPr>
          <w:rFonts w:ascii="Verdana" w:eastAsia="Calibri" w:hAnsi="Verdana" w:cs="Arial"/>
        </w:rPr>
        <w:t>Por ejemplo, el artículo 127 de la Constitución Política establece una prohibición contractual a los servidores públicos y, en cuanto a aspectos políticos, consagra restricciones a ciertos empleados del Estado, incluso en época no electoral</w:t>
      </w:r>
      <w:r w:rsidRPr="00461891">
        <w:rPr>
          <w:vertAlign w:val="superscript"/>
        </w:rPr>
        <w:footnoteReference w:id="2"/>
      </w:r>
      <w:r w:rsidRPr="00461891">
        <w:rPr>
          <w:rFonts w:ascii="Verdana" w:eastAsia="Calibri" w:hAnsi="Verdana" w:cs="Arial"/>
        </w:rPr>
        <w:t xml:space="preserve">. </w:t>
      </w:r>
    </w:p>
    <w:p w14:paraId="465348CF" w14:textId="77777777" w:rsidR="005B261C" w:rsidRPr="00461891" w:rsidRDefault="005B261C" w:rsidP="005B261C">
      <w:pPr>
        <w:tabs>
          <w:tab w:val="left" w:pos="426"/>
        </w:tabs>
        <w:spacing w:after="120" w:line="276" w:lineRule="auto"/>
        <w:ind w:firstLine="709"/>
        <w:jc w:val="both"/>
        <w:rPr>
          <w:rFonts w:ascii="Verdana" w:eastAsia="Calibri" w:hAnsi="Verdana" w:cs="Arial"/>
          <w:lang w:val="es-ES_tradnl"/>
        </w:rPr>
      </w:pPr>
      <w:r w:rsidRPr="00461891">
        <w:rPr>
          <w:rFonts w:ascii="Verdana" w:eastAsia="Times New Roman" w:hAnsi="Verdana" w:cs="Arial"/>
          <w:lang w:eastAsia="es-CO"/>
        </w:rPr>
        <w:t>En el mismo sentido</w:t>
      </w:r>
      <w:r w:rsidRPr="00461891">
        <w:rPr>
          <w:rFonts w:ascii="Verdana" w:eastAsia="Times New Roman" w:hAnsi="Verdana" w:cs="Arial"/>
          <w:lang w:val="es-MX" w:eastAsia="es-CO"/>
        </w:rPr>
        <w:t xml:space="preserve">, </w:t>
      </w:r>
      <w:bookmarkStart w:id="4" w:name="_Hlk99576829"/>
      <w:r w:rsidRPr="00461891">
        <w:rPr>
          <w:rFonts w:ascii="Verdana" w:eastAsia="Times New Roman" w:hAnsi="Verdana" w:cs="Arial"/>
          <w:lang w:val="es-MX" w:eastAsia="es-CO"/>
        </w:rPr>
        <w:t xml:space="preserve">la Ley 996 de 2005, conocida como “Ley de Garantías Electorales”, se suma al andamiaje de orden constitucional y legal que se ha ocupado de evitar la injerencia inadecuada de intereses particulares en el </w:t>
      </w:r>
      <w:r w:rsidRPr="00461891">
        <w:rPr>
          <w:rFonts w:ascii="Verdana" w:eastAsia="Times New Roman" w:hAnsi="Verdana" w:cs="Arial"/>
          <w:lang w:val="es-MX" w:eastAsia="es-CO"/>
        </w:rPr>
        <w:lastRenderedPageBreak/>
        <w:t>ejercicio de la función pública. Esta Ley tiene como propósito evitar cualquier tipo de arbitrariedad, de ventaja injustificada, de uso irregular de los recursos del Estado en las campañas o falta de garantías en la elección presidencial</w:t>
      </w:r>
      <w:r w:rsidRPr="00461891">
        <w:rPr>
          <w:rFonts w:ascii="Verdana" w:eastAsia="Times New Roman" w:hAnsi="Verdana" w:cs="Arial"/>
          <w:vertAlign w:val="superscript"/>
          <w:lang w:val="es-MX" w:eastAsia="es-CO"/>
        </w:rPr>
        <w:footnoteReference w:id="3"/>
      </w:r>
      <w:r w:rsidRPr="00461891">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61891">
        <w:rPr>
          <w:rFonts w:ascii="Verdana" w:eastAsia="Calibri" w:hAnsi="Verdana" w:cs="Arial"/>
          <w:lang w:val="es-ES_tradnl"/>
        </w:rPr>
        <w:t xml:space="preserve"> </w:t>
      </w:r>
      <w:bookmarkEnd w:id="4"/>
    </w:p>
    <w:p w14:paraId="041D18E0" w14:textId="77777777" w:rsidR="005B261C" w:rsidRPr="00461891" w:rsidRDefault="005B261C" w:rsidP="005B261C">
      <w:pPr>
        <w:tabs>
          <w:tab w:val="left" w:pos="426"/>
        </w:tabs>
        <w:spacing w:after="0" w:line="276" w:lineRule="auto"/>
        <w:ind w:firstLine="709"/>
        <w:jc w:val="both"/>
        <w:rPr>
          <w:rFonts w:ascii="Verdana" w:eastAsia="Times New Roman" w:hAnsi="Verdana" w:cs="Arial"/>
          <w:lang w:val="es-MX" w:eastAsia="es-CO"/>
        </w:rPr>
      </w:pPr>
      <w:r w:rsidRPr="00461891">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6B4FFD86" w14:textId="77777777" w:rsidR="005B261C" w:rsidRPr="00461891" w:rsidRDefault="005B261C" w:rsidP="005B261C">
      <w:pPr>
        <w:spacing w:after="0" w:line="276" w:lineRule="auto"/>
        <w:ind w:right="709"/>
        <w:contextualSpacing/>
        <w:jc w:val="both"/>
        <w:rPr>
          <w:rFonts w:ascii="Verdana" w:eastAsia="Times New Roman" w:hAnsi="Verdana" w:cs="Arial"/>
          <w:lang w:val="es-ES" w:eastAsia="es-CO"/>
        </w:rPr>
      </w:pPr>
    </w:p>
    <w:p w14:paraId="76BDE7B3" w14:textId="77777777" w:rsidR="005B261C" w:rsidRPr="00461891" w:rsidRDefault="005B261C" w:rsidP="005B261C">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ES" w:eastAsia="es-CO"/>
        </w:rPr>
        <w:t xml:space="preserve">“[…] </w:t>
      </w:r>
      <w:r w:rsidRPr="00461891">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6E6EBF20" w14:textId="77777777" w:rsidR="005B261C" w:rsidRPr="00461891" w:rsidRDefault="005B261C" w:rsidP="005B261C">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 xml:space="preserve">[…] </w:t>
      </w:r>
    </w:p>
    <w:p w14:paraId="29A72DA1" w14:textId="77777777" w:rsidR="005B261C" w:rsidRPr="00461891" w:rsidRDefault="005B261C" w:rsidP="005B261C">
      <w:pPr>
        <w:spacing w:after="0" w:line="240" w:lineRule="auto"/>
        <w:ind w:right="709"/>
        <w:contextualSpacing/>
        <w:jc w:val="both"/>
        <w:rPr>
          <w:rFonts w:ascii="Verdana" w:eastAsia="Times New Roman" w:hAnsi="Verdana" w:cs="Arial"/>
          <w:sz w:val="20"/>
          <w:szCs w:val="20"/>
          <w:lang w:val="es-MX" w:eastAsia="es-CO"/>
        </w:rPr>
      </w:pPr>
    </w:p>
    <w:p w14:paraId="0D8E4ED6" w14:textId="77777777" w:rsidR="005B261C" w:rsidRPr="00461891" w:rsidRDefault="005B261C" w:rsidP="005B261C">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61891">
        <w:rPr>
          <w:rFonts w:ascii="Verdana" w:eastAsia="Calibri" w:hAnsi="Verdana" w:cs="Arial"/>
          <w:sz w:val="20"/>
          <w:szCs w:val="20"/>
          <w:vertAlign w:val="superscript"/>
          <w:lang w:val="es-MX"/>
        </w:rPr>
        <w:footnoteReference w:id="4"/>
      </w:r>
    </w:p>
    <w:p w14:paraId="277316F3" w14:textId="77777777" w:rsidR="005B261C" w:rsidRPr="00461891" w:rsidRDefault="005B261C" w:rsidP="005B261C">
      <w:pPr>
        <w:spacing w:after="0" w:line="276" w:lineRule="auto"/>
        <w:ind w:firstLine="709"/>
        <w:jc w:val="both"/>
        <w:rPr>
          <w:rFonts w:ascii="Verdana" w:eastAsia="Times New Roman" w:hAnsi="Verdana" w:cs="Arial"/>
          <w:lang w:val="es-MX" w:eastAsia="es-CO"/>
        </w:rPr>
      </w:pPr>
      <w:bookmarkStart w:id="5" w:name="_Hlk78818186"/>
    </w:p>
    <w:p w14:paraId="05442C64" w14:textId="77777777" w:rsidR="005B261C" w:rsidRPr="00461891" w:rsidRDefault="005B261C" w:rsidP="005B261C">
      <w:pPr>
        <w:spacing w:after="0" w:line="276" w:lineRule="auto"/>
        <w:ind w:firstLine="709"/>
        <w:jc w:val="both"/>
        <w:rPr>
          <w:rFonts w:ascii="Verdana" w:eastAsia="Times New Roman" w:hAnsi="Verdana" w:cs="Arial"/>
          <w:lang w:val="es-MX" w:eastAsia="es-CO"/>
        </w:rPr>
      </w:pPr>
      <w:r w:rsidRPr="00461891">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el actuar de los servidores públicos, evitando interferencias en la contienda electoral, así como la posible desviación de recursos públicos en aspiraciones electorales. </w:t>
      </w:r>
      <w:bookmarkEnd w:id="5"/>
      <w:r w:rsidRPr="00461891">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2367B014" w14:textId="77777777" w:rsidR="005B261C" w:rsidRPr="00461891" w:rsidRDefault="005B261C" w:rsidP="005B261C">
      <w:pPr>
        <w:spacing w:after="0" w:line="276" w:lineRule="auto"/>
        <w:ind w:firstLine="709"/>
        <w:jc w:val="both"/>
        <w:rPr>
          <w:rFonts w:ascii="Verdana" w:eastAsia="Times New Roman" w:hAnsi="Verdana" w:cs="Arial"/>
          <w:lang w:val="es-MX" w:eastAsia="es-CO"/>
        </w:rPr>
      </w:pPr>
    </w:p>
    <w:p w14:paraId="5BDAA823" w14:textId="77777777" w:rsidR="005B261C" w:rsidRPr="00461891" w:rsidRDefault="005B261C" w:rsidP="005B261C">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w:t>
      </w:r>
      <w:r w:rsidRPr="00461891">
        <w:rPr>
          <w:rFonts w:ascii="Verdana" w:eastAsia="Times New Roman" w:hAnsi="Verdana" w:cs="Arial"/>
          <w:sz w:val="20"/>
          <w:szCs w:val="20"/>
          <w:lang w:val="es-MX" w:eastAsia="es-CO"/>
        </w:rPr>
        <w:lastRenderedPageBreak/>
        <w:t xml:space="preserve">tipificación de sus causas, vigencia, naturaleza y efectos es rígida y taxativa; y su aplicación es restrictiva, de manera que excluye la analogía </w:t>
      </w:r>
      <w:proofErr w:type="spellStart"/>
      <w:r w:rsidRPr="00461891">
        <w:rPr>
          <w:rFonts w:ascii="Verdana" w:eastAsia="Times New Roman" w:hAnsi="Verdana" w:cs="Arial"/>
          <w:sz w:val="20"/>
          <w:szCs w:val="20"/>
          <w:lang w:val="es-MX" w:eastAsia="es-CO"/>
        </w:rPr>
        <w:t>legis</w:t>
      </w:r>
      <w:proofErr w:type="spellEnd"/>
      <w:r w:rsidRPr="00461891">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E711B62" w14:textId="77777777" w:rsidR="005B261C" w:rsidRPr="00461891" w:rsidRDefault="005B261C" w:rsidP="005B261C">
      <w:pPr>
        <w:spacing w:after="0" w:line="240" w:lineRule="auto"/>
        <w:ind w:right="709"/>
        <w:contextualSpacing/>
        <w:jc w:val="both"/>
        <w:rPr>
          <w:rFonts w:ascii="Verdana" w:eastAsia="Times New Roman" w:hAnsi="Verdana" w:cs="Arial"/>
          <w:lang w:val="es-MX" w:eastAsia="es-CO"/>
        </w:rPr>
      </w:pPr>
    </w:p>
    <w:p w14:paraId="0434622F" w14:textId="77777777" w:rsidR="005B261C" w:rsidRPr="00461891" w:rsidRDefault="005B261C" w:rsidP="005B261C">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La jurisprudencia de la Corte Constitucional</w:t>
      </w:r>
      <w:r w:rsidRPr="00461891">
        <w:rPr>
          <w:rFonts w:ascii="Verdana" w:eastAsia="Times New Roman" w:hAnsi="Verdana" w:cs="Arial"/>
          <w:sz w:val="20"/>
          <w:szCs w:val="20"/>
          <w:vertAlign w:val="superscript"/>
          <w:lang w:val="es-MX" w:eastAsia="es-CO"/>
        </w:rPr>
        <w:footnoteReference w:id="5"/>
      </w:r>
      <w:r w:rsidRPr="00461891">
        <w:rPr>
          <w:rFonts w:ascii="Verdana" w:eastAsia="Times New Roman" w:hAnsi="Verdana" w:cs="Arial"/>
          <w:sz w:val="20"/>
          <w:szCs w:val="20"/>
          <w:lang w:val="es-MX" w:eastAsia="es-CO"/>
        </w:rPr>
        <w:t> y del Consejo de Estado</w:t>
      </w:r>
      <w:r w:rsidRPr="00461891">
        <w:rPr>
          <w:rFonts w:ascii="Verdana" w:eastAsia="Times New Roman" w:hAnsi="Verdana" w:cs="Arial"/>
          <w:sz w:val="20"/>
          <w:szCs w:val="20"/>
          <w:vertAlign w:val="superscript"/>
          <w:lang w:val="es-MX" w:eastAsia="es-CO"/>
        </w:rPr>
        <w:footnoteReference w:id="6"/>
      </w:r>
      <w:r w:rsidRPr="00461891">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61891">
        <w:rPr>
          <w:rFonts w:ascii="Verdana" w:eastAsia="Times New Roman" w:hAnsi="Verdana" w:cs="Arial"/>
          <w:sz w:val="20"/>
          <w:szCs w:val="20"/>
          <w:vertAlign w:val="superscript"/>
          <w:lang w:val="es-MX" w:eastAsia="es-CO"/>
        </w:rPr>
        <w:footnoteReference w:id="7"/>
      </w:r>
      <w:r w:rsidRPr="00461891">
        <w:rPr>
          <w:rFonts w:ascii="Verdana" w:eastAsia="Times New Roman" w:hAnsi="Verdana" w:cs="Arial"/>
          <w:sz w:val="20"/>
          <w:szCs w:val="20"/>
          <w:lang w:val="es-MX" w:eastAsia="es-CO"/>
        </w:rPr>
        <w:t>.</w:t>
      </w:r>
    </w:p>
    <w:p w14:paraId="68A767FC" w14:textId="77777777" w:rsidR="005B261C" w:rsidRPr="00461891" w:rsidRDefault="005B261C" w:rsidP="005B261C">
      <w:pPr>
        <w:spacing w:after="0" w:line="276" w:lineRule="auto"/>
        <w:jc w:val="both"/>
        <w:rPr>
          <w:rFonts w:ascii="Verdana" w:eastAsia="Calibri" w:hAnsi="Verdana" w:cs="Arial"/>
          <w:bCs/>
          <w:lang w:val="es-ES_tradnl"/>
        </w:rPr>
      </w:pPr>
    </w:p>
    <w:p w14:paraId="794D1040" w14:textId="77777777" w:rsidR="005B261C" w:rsidRPr="00461891" w:rsidRDefault="005B261C" w:rsidP="005B261C">
      <w:pPr>
        <w:spacing w:after="120" w:line="276" w:lineRule="auto"/>
        <w:ind w:firstLine="709"/>
        <w:jc w:val="both"/>
        <w:rPr>
          <w:rFonts w:ascii="Verdana" w:eastAsia="Arial" w:hAnsi="Verdana" w:cs="Arial"/>
          <w:lang w:val="es-ES" w:eastAsia="es-ES" w:bidi="es-ES"/>
        </w:rPr>
      </w:pPr>
      <w:r w:rsidRPr="00461891">
        <w:rPr>
          <w:rFonts w:ascii="Verdana" w:eastAsia="Times New Roman" w:hAnsi="Verdana" w:cs="Arial"/>
          <w:lang w:val="es-MX" w:eastAsia="es-CO"/>
        </w:rPr>
        <w:t>De</w:t>
      </w:r>
      <w:r w:rsidRPr="00461891">
        <w:rPr>
          <w:rFonts w:ascii="Verdana" w:eastAsia="Arial" w:hAnsi="Verdana" w:cs="Arial"/>
          <w:lang w:val="es-ES" w:eastAsia="es-ES" w:bidi="es-ES"/>
        </w:rPr>
        <w:t xml:space="preserve"> conformidad con lo anterior, </w:t>
      </w:r>
      <w:bookmarkStart w:id="6" w:name="_Hlk77236098"/>
      <w:bookmarkStart w:id="7" w:name="_Hlk100679383"/>
      <w:r w:rsidRPr="00461891">
        <w:rPr>
          <w:rFonts w:ascii="Verdana" w:eastAsia="Arial" w:hAnsi="Verdana"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C75620F" w14:textId="77777777" w:rsidR="005B261C" w:rsidRPr="00461891" w:rsidRDefault="005B261C" w:rsidP="005B261C">
      <w:pPr>
        <w:spacing w:after="120" w:line="276" w:lineRule="auto"/>
        <w:jc w:val="both"/>
        <w:rPr>
          <w:rFonts w:ascii="Verdana" w:eastAsia="Arial" w:hAnsi="Verdana" w:cs="Arial"/>
          <w:lang w:val="es-ES" w:eastAsia="es-ES" w:bidi="es-ES"/>
        </w:rPr>
      </w:pPr>
      <w:proofErr w:type="spellStart"/>
      <w:r w:rsidRPr="00461891">
        <w:rPr>
          <w:rFonts w:ascii="Verdana" w:eastAsia="Arial" w:hAnsi="Verdana" w:cs="Arial"/>
          <w:lang w:val="es-ES" w:eastAsia="es-ES" w:bidi="es-ES"/>
        </w:rPr>
        <w:t>ii</w:t>
      </w:r>
      <w:proofErr w:type="spellEnd"/>
      <w:r w:rsidRPr="00461891">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6"/>
    </w:p>
    <w:p w14:paraId="5E3FA833" w14:textId="77777777" w:rsidR="005B261C" w:rsidRPr="00461891" w:rsidRDefault="005B261C" w:rsidP="005B261C">
      <w:pPr>
        <w:spacing w:after="120" w:line="276" w:lineRule="auto"/>
        <w:ind w:firstLine="708"/>
        <w:jc w:val="both"/>
        <w:rPr>
          <w:rFonts w:ascii="Verdana" w:eastAsia="Calibri" w:hAnsi="Verdana" w:cs="Arial"/>
        </w:rPr>
      </w:pPr>
      <w:r w:rsidRPr="00461891">
        <w:rPr>
          <w:rFonts w:ascii="Verdana" w:eastAsia="Calibri" w:hAnsi="Verdana" w:cs="Arial"/>
        </w:rPr>
        <w:lastRenderedPageBreak/>
        <w:t xml:space="preserve">Por un lado, el </w:t>
      </w:r>
      <w:r w:rsidRPr="00461891">
        <w:rPr>
          <w:rFonts w:ascii="Verdana" w:eastAsia="Calibri" w:hAnsi="Verdana" w:cs="Arial"/>
          <w:i/>
          <w:iCs/>
        </w:rPr>
        <w:t>artículo 33 de la Ley 996 de 2005</w:t>
      </w:r>
      <w:r w:rsidRPr="00461891">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61891">
        <w:rPr>
          <w:rFonts w:ascii="Verdana" w:eastAsia="Calibri" w:hAnsi="Verdana" w:cs="Arial"/>
          <w:vertAlign w:val="superscript"/>
        </w:rPr>
        <w:footnoteReference w:id="8"/>
      </w:r>
      <w:r w:rsidRPr="00461891">
        <w:rPr>
          <w:rFonts w:ascii="Verdana" w:eastAsia="Calibri" w:hAnsi="Verdana" w:cs="Arial"/>
        </w:rPr>
        <w:t>.</w:t>
      </w:r>
    </w:p>
    <w:p w14:paraId="4B2482B2" w14:textId="77777777" w:rsidR="005B261C" w:rsidRPr="00461891" w:rsidRDefault="005B261C" w:rsidP="005B261C">
      <w:pPr>
        <w:widowControl w:val="0"/>
        <w:autoSpaceDE w:val="0"/>
        <w:autoSpaceDN w:val="0"/>
        <w:spacing w:after="120" w:line="276" w:lineRule="auto"/>
        <w:ind w:right="113" w:firstLine="709"/>
        <w:jc w:val="both"/>
        <w:rPr>
          <w:rFonts w:ascii="Verdana" w:eastAsia="Arial" w:hAnsi="Verdana" w:cs="Arial"/>
          <w:lang w:val="es-ES" w:eastAsia="es-ES" w:bidi="es-ES"/>
        </w:rPr>
      </w:pPr>
      <w:r w:rsidRPr="00461891">
        <w:rPr>
          <w:rFonts w:ascii="Verdana" w:eastAsia="Calibri" w:hAnsi="Verdana" w:cs="Arial"/>
        </w:rPr>
        <w:t xml:space="preserve">Por otro lado, </w:t>
      </w:r>
      <w:r w:rsidRPr="00461891">
        <w:rPr>
          <w:rFonts w:ascii="Verdana" w:eastAsia="Calibri" w:hAnsi="Verdana" w:cs="Arial"/>
          <w:i/>
          <w:iCs/>
        </w:rPr>
        <w:t>el parágrafo del artículo 38 de la Ley 996 de 2005</w:t>
      </w:r>
      <w:r w:rsidRPr="00461891">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461891">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61891">
        <w:rPr>
          <w:rFonts w:ascii="Verdana" w:eastAsia="Calibri" w:hAnsi="Verdana" w:cs="Arial"/>
        </w:rPr>
        <w:t>”</w:t>
      </w:r>
      <w:bookmarkEnd w:id="7"/>
      <w:r w:rsidRPr="00461891">
        <w:rPr>
          <w:rFonts w:ascii="Verdana" w:eastAsia="Calibri" w:hAnsi="Verdana" w:cs="Arial"/>
          <w:vertAlign w:val="superscript"/>
        </w:rPr>
        <w:footnoteReference w:id="9"/>
      </w:r>
      <w:r w:rsidRPr="00461891">
        <w:rPr>
          <w:rFonts w:ascii="Verdana" w:eastAsia="Calibri" w:hAnsi="Verdana" w:cs="Arial"/>
          <w:lang w:val="es-MX"/>
        </w:rPr>
        <w:t>.</w:t>
      </w:r>
      <w:r w:rsidRPr="00461891">
        <w:rPr>
          <w:rFonts w:ascii="Verdana" w:eastAsia="Arial" w:hAnsi="Verdana" w:cs="Arial"/>
          <w:lang w:val="es-ES" w:eastAsia="es-ES" w:bidi="es-ES"/>
        </w:rPr>
        <w:t xml:space="preserve"> </w:t>
      </w:r>
    </w:p>
    <w:p w14:paraId="52B6BC28" w14:textId="77777777" w:rsidR="005B261C" w:rsidRPr="00461891" w:rsidRDefault="005B261C" w:rsidP="005B261C">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461891">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475D2E09" w14:textId="77777777" w:rsidR="005B261C" w:rsidRPr="00461891" w:rsidRDefault="005B261C" w:rsidP="005B261C">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5CBBF180" w14:textId="77777777" w:rsidR="005B261C" w:rsidRPr="00461891" w:rsidRDefault="005B261C" w:rsidP="005B261C">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461891">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w:t>
      </w:r>
      <w:r w:rsidRPr="00461891">
        <w:rPr>
          <w:rFonts w:ascii="Verdana" w:eastAsia="Arial" w:hAnsi="Verdana" w:cs="Arial"/>
          <w:sz w:val="20"/>
          <w:szCs w:val="20"/>
          <w:lang w:eastAsia="es-ES" w:bidi="es-ES"/>
        </w:rPr>
        <w:lastRenderedPageBreak/>
        <w:t xml:space="preserve">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0" w:name="_Hlk76109421"/>
      <w:r w:rsidRPr="00461891">
        <w:rPr>
          <w:rFonts w:ascii="Verdana" w:eastAsia="Arial" w:hAnsi="Verdana" w:cs="Arial"/>
          <w:sz w:val="20"/>
          <w:szCs w:val="20"/>
          <w:lang w:eastAsia="es-ES" w:bidi="es-ES"/>
        </w:rPr>
        <w:t>se integran parcialmente</w:t>
      </w:r>
      <w:bookmarkEnd w:id="10"/>
      <w:r w:rsidRPr="00461891">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461891">
        <w:rPr>
          <w:rFonts w:ascii="Verdana" w:eastAsia="Arial" w:hAnsi="Verdana" w:cs="Arial"/>
          <w:sz w:val="20"/>
          <w:szCs w:val="20"/>
          <w:lang w:eastAsia="es-ES" w:bidi="es-ES"/>
        </w:rPr>
        <w:t>Presidente</w:t>
      </w:r>
      <w:proofErr w:type="gramEnd"/>
      <w:r w:rsidRPr="00461891">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461891">
        <w:rPr>
          <w:rFonts w:ascii="Verdana" w:eastAsia="Arial" w:hAnsi="Verdana" w:cs="Arial"/>
          <w:sz w:val="20"/>
          <w:szCs w:val="20"/>
          <w:vertAlign w:val="superscript"/>
          <w:lang w:eastAsia="es-ES" w:bidi="es-ES"/>
        </w:rPr>
        <w:footnoteReference w:id="10"/>
      </w:r>
    </w:p>
    <w:p w14:paraId="312C9A5C" w14:textId="77777777" w:rsidR="005B261C" w:rsidRPr="00461891" w:rsidRDefault="005B261C" w:rsidP="005B261C">
      <w:pPr>
        <w:widowControl w:val="0"/>
        <w:autoSpaceDE w:val="0"/>
        <w:autoSpaceDN w:val="0"/>
        <w:spacing w:after="0" w:line="276" w:lineRule="auto"/>
        <w:contextualSpacing/>
        <w:rPr>
          <w:rFonts w:ascii="Verdana" w:eastAsia="Arial" w:hAnsi="Verdana" w:cs="Arial"/>
          <w:lang w:val="es-ES" w:eastAsia="es-ES" w:bidi="es-ES"/>
        </w:rPr>
      </w:pPr>
    </w:p>
    <w:p w14:paraId="172A939E" w14:textId="77777777" w:rsidR="005B261C" w:rsidRPr="00461891" w:rsidRDefault="005B261C" w:rsidP="005B261C">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 xml:space="preserve">De conformidad con lo anterior, </w:t>
      </w:r>
      <w:bookmarkStart w:id="11" w:name="_Hlk77236420"/>
      <w:bookmarkStart w:id="12" w:name="_Hlk78818435"/>
      <w:bookmarkStart w:id="13" w:name="_Hlk75780333"/>
      <w:r w:rsidRPr="00461891">
        <w:rPr>
          <w:rFonts w:ascii="Verdana" w:eastAsia="Arial" w:hAnsi="Verdana" w:cs="Arial"/>
          <w:lang w:val="es-ES" w:eastAsia="es-ES" w:bidi="es-ES"/>
        </w:rPr>
        <w:t xml:space="preserve">la Ley 996 de 2005 establece dos (2) tipos de restricciones en materia de contratación, las cuales coinciden parcialmente. </w:t>
      </w:r>
      <w:r w:rsidRPr="00461891">
        <w:rPr>
          <w:rFonts w:ascii="Verdana" w:eastAsia="Arial" w:hAnsi="Verdana" w:cs="Arial"/>
          <w:i/>
          <w:lang w:val="es-ES" w:eastAsia="es-ES" w:bidi="es-ES"/>
        </w:rPr>
        <w:t>En primer lugar</w:t>
      </w:r>
      <w:r w:rsidRPr="00461891">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61891">
        <w:rPr>
          <w:rFonts w:ascii="Verdana" w:eastAsia="Arial" w:hAnsi="Verdana" w:cs="Arial"/>
          <w:i/>
          <w:lang w:val="es-ES" w:eastAsia="es-ES" w:bidi="es-ES"/>
        </w:rPr>
        <w:t>En segundo lugar</w:t>
      </w:r>
      <w:r w:rsidRPr="00461891">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1"/>
    </w:p>
    <w:bookmarkEnd w:id="12"/>
    <w:p w14:paraId="576DBFDB" w14:textId="77777777" w:rsidR="005B261C" w:rsidRPr="00461891" w:rsidRDefault="005B261C" w:rsidP="005B261C">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61891">
        <w:rPr>
          <w:rFonts w:ascii="Verdana" w:eastAsia="Arial" w:hAnsi="Verdana" w:cs="Arial"/>
          <w:lang w:val="es-ES" w:eastAsia="es-ES" w:bidi="es-ES"/>
        </w:rPr>
        <w:lastRenderedPageBreak/>
        <w:t>Presidente</w:t>
      </w:r>
      <w:proofErr w:type="gramEnd"/>
      <w:r w:rsidRPr="00461891">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3"/>
    <w:p w14:paraId="28661BE3" w14:textId="77777777" w:rsidR="005B261C" w:rsidRPr="00461891" w:rsidRDefault="005B261C" w:rsidP="005B261C">
      <w:pPr>
        <w:spacing w:after="120" w:line="276" w:lineRule="auto"/>
        <w:ind w:firstLine="708"/>
        <w:jc w:val="both"/>
        <w:rPr>
          <w:rFonts w:ascii="Verdana" w:eastAsia="Arial" w:hAnsi="Verdana" w:cs="Arial"/>
          <w:lang w:val="es-ES" w:eastAsia="es-ES" w:bidi="es-ES"/>
        </w:rPr>
      </w:pPr>
      <w:r w:rsidRPr="00461891">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o el </w:t>
      </w:r>
      <w:proofErr w:type="gramStart"/>
      <w:r w:rsidRPr="00461891">
        <w:rPr>
          <w:rFonts w:ascii="Verdana" w:eastAsia="Arial" w:hAnsi="Verdana" w:cs="Arial"/>
          <w:lang w:val="es-ES" w:eastAsia="es-ES" w:bidi="es-ES"/>
        </w:rPr>
        <w:t>Vicepresidente</w:t>
      </w:r>
      <w:proofErr w:type="gramEnd"/>
      <w:r w:rsidRPr="00461891">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y el </w:t>
      </w:r>
      <w:proofErr w:type="gramStart"/>
      <w:r w:rsidRPr="00461891">
        <w:rPr>
          <w:rFonts w:ascii="Verdana" w:eastAsia="Arial" w:hAnsi="Verdana" w:cs="Arial"/>
          <w:lang w:val="es-ES" w:eastAsia="es-ES" w:bidi="es-ES"/>
        </w:rPr>
        <w:t>Vicepresidente</w:t>
      </w:r>
      <w:proofErr w:type="gramEnd"/>
      <w:r w:rsidRPr="00461891">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461891">
        <w:rPr>
          <w:rFonts w:ascii="Verdana" w:eastAsia="Arial" w:hAnsi="Verdana" w:cs="Arial"/>
          <w:lang w:val="es-ES" w:eastAsia="es-ES" w:bidi="es-ES"/>
        </w:rPr>
        <w:t>Vicepresidente</w:t>
      </w:r>
      <w:proofErr w:type="gramEnd"/>
      <w:r w:rsidRPr="00461891">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70489972" w14:textId="77777777" w:rsidR="005B261C" w:rsidRPr="00461891" w:rsidRDefault="005B261C" w:rsidP="005B261C">
      <w:pPr>
        <w:spacing w:after="120" w:line="276" w:lineRule="auto"/>
        <w:jc w:val="both"/>
        <w:rPr>
          <w:rFonts w:ascii="Verdana" w:eastAsia="Times New Roman" w:hAnsi="Verdana" w:cs="Arial"/>
          <w:lang w:val="es-MX" w:eastAsia="x-none"/>
        </w:rPr>
      </w:pPr>
      <w:proofErr w:type="spellStart"/>
      <w:r w:rsidRPr="00461891">
        <w:rPr>
          <w:rFonts w:ascii="Verdana" w:eastAsia="Arial" w:hAnsi="Verdana" w:cs="Arial"/>
          <w:lang w:val="es-ES" w:eastAsia="es-ES" w:bidi="es-ES"/>
        </w:rPr>
        <w:t>iii</w:t>
      </w:r>
      <w:proofErr w:type="spellEnd"/>
      <w:r w:rsidRPr="00461891">
        <w:rPr>
          <w:rFonts w:ascii="Verdana" w:eastAsia="Arial" w:hAnsi="Verdana" w:cs="Arial"/>
          <w:lang w:val="es-ES" w:eastAsia="es-ES" w:bidi="es-ES"/>
        </w:rPr>
        <w:t xml:space="preserve">. Ahora bien, </w:t>
      </w:r>
      <w:r w:rsidRPr="00461891">
        <w:rPr>
          <w:rFonts w:ascii="Verdana" w:eastAsia="Calibri" w:hAnsi="Verdana" w:cs="Arial"/>
          <w:lang w:eastAsia="es-ES" w:bidi="es-ES"/>
        </w:rPr>
        <w:t xml:space="preserve">para dar respuesta al problema jurídico planteado resulta necesario precisar el alcance de la prohibición </w:t>
      </w:r>
      <w:r w:rsidRPr="00461891">
        <w:rPr>
          <w:rFonts w:ascii="Verdana" w:eastAsia="Arial" w:hAnsi="Verdana" w:cs="Arial"/>
          <w:lang w:val="es-ES" w:eastAsia="es-ES" w:bidi="es-ES"/>
        </w:rPr>
        <w:t>establecida en e</w:t>
      </w:r>
      <w:r w:rsidRPr="00461891">
        <w:rPr>
          <w:rFonts w:ascii="Verdana" w:eastAsia="Calibri" w:hAnsi="Verdana" w:cs="Arial"/>
        </w:rPr>
        <w:t xml:space="preserve">l parágrafo del artículo 38 de la Ley 996 de 2005. La citada norma dispone que “[l]os Gobernadores, </w:t>
      </w:r>
      <w:proofErr w:type="gramStart"/>
      <w:r w:rsidRPr="00461891">
        <w:rPr>
          <w:rFonts w:ascii="Verdana" w:eastAsia="Calibri" w:hAnsi="Verdana" w:cs="Arial"/>
        </w:rPr>
        <w:t>Alcaldes</w:t>
      </w:r>
      <w:proofErr w:type="gramEnd"/>
      <w:r w:rsidRPr="00461891">
        <w:rPr>
          <w:rFonts w:ascii="Verdana" w:eastAsia="Calibri" w:hAnsi="Verdana" w:cs="Arial"/>
        </w:rPr>
        <w:t xml:space="preserve"> Municipales y/o Distritales, </w:t>
      </w:r>
      <w:proofErr w:type="gramStart"/>
      <w:r w:rsidRPr="00461891">
        <w:rPr>
          <w:rFonts w:ascii="Verdana" w:eastAsia="Calibri" w:hAnsi="Verdana" w:cs="Arial"/>
        </w:rPr>
        <w:t>Secretarios</w:t>
      </w:r>
      <w:proofErr w:type="gramEnd"/>
      <w:r w:rsidRPr="00461891">
        <w:rPr>
          <w:rFonts w:ascii="Verdana" w:eastAsia="Calibri" w:hAnsi="Verdana" w:cs="Arial"/>
        </w:rPr>
        <w:t xml:space="preserve">, Gerentes y directores de Entidades Descentralizadas del orden Municipal, Departamental o Distrital, dentro de los cuatro (4) meses anteriores a las elecciones, no podrán celebrar </w:t>
      </w:r>
      <w:r w:rsidRPr="00461891">
        <w:rPr>
          <w:rFonts w:ascii="Verdana" w:eastAsia="Calibri" w:hAnsi="Verdana" w:cs="Arial"/>
          <w:i/>
          <w:iCs/>
        </w:rPr>
        <w:t>convenios interadministrativos</w:t>
      </w:r>
      <w:r w:rsidRPr="00461891">
        <w:rPr>
          <w:rFonts w:ascii="Verdana" w:eastAsia="Calibri" w:hAnsi="Verdana" w:cs="Arial"/>
        </w:rPr>
        <w:t xml:space="preserve"> para la ejecución de recursos públicos”.</w:t>
      </w:r>
      <w:r w:rsidRPr="00461891">
        <w:rPr>
          <w:rFonts w:ascii="Verdana" w:eastAsia="Times New Roman" w:hAnsi="Verdana" w:cs="Arial"/>
          <w:lang w:val="es-MX" w:eastAsia="x-none"/>
        </w:rPr>
        <w:t xml:space="preserve"> </w:t>
      </w:r>
      <w:bookmarkStart w:id="14" w:name="_Hlk99578153"/>
      <w:r w:rsidRPr="00461891">
        <w:rPr>
          <w:rFonts w:ascii="Verdana" w:eastAsia="Times New Roman" w:hAnsi="Verdana" w:cs="Arial"/>
          <w:lang w:val="es-MX" w:eastAsia="x-none"/>
        </w:rPr>
        <w:t>[Énfasis fuera del texto original]</w:t>
      </w:r>
    </w:p>
    <w:p w14:paraId="2C339D48" w14:textId="77777777" w:rsidR="005B261C" w:rsidRPr="00461891" w:rsidRDefault="005B261C" w:rsidP="005B261C">
      <w:pPr>
        <w:spacing w:after="120" w:line="276" w:lineRule="auto"/>
        <w:ind w:firstLine="709"/>
        <w:jc w:val="both"/>
        <w:rPr>
          <w:rFonts w:ascii="Verdana" w:eastAsia="Calibri" w:hAnsi="Verdana" w:cs="Arial"/>
          <w:lang w:bidi="es-ES"/>
        </w:rPr>
      </w:pPr>
      <w:r w:rsidRPr="00461891">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461891">
        <w:rPr>
          <w:rFonts w:ascii="Verdana" w:eastAsia="Arial" w:hAnsi="Verdana" w:cs="Arial"/>
          <w:lang w:val="es-ES" w:eastAsia="es-ES" w:bidi="es-ES"/>
        </w:rPr>
        <w:t>e</w:t>
      </w:r>
      <w:r w:rsidRPr="00461891">
        <w:rPr>
          <w:rFonts w:ascii="Verdana" w:eastAsia="Calibri" w:hAnsi="Verdana" w:cs="Arial"/>
        </w:rPr>
        <w:t xml:space="preserve">l parágrafo del artículo 38 cobija tanto a los convenios como a los contratos interadministrativos. Esta tesis se fundamenta en que </w:t>
      </w:r>
      <w:r w:rsidRPr="00461891">
        <w:rPr>
          <w:rFonts w:ascii="Verdana" w:eastAsia="Calibri" w:hAnsi="Verdana" w:cs="Arial"/>
          <w:lang w:bidi="es-ES"/>
        </w:rPr>
        <w:t xml:space="preserve">si bien actualmente el Estatuto General de Contratación de la Administración Pública – en adelante EGCAP –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5325982A" w14:textId="77777777" w:rsidR="005B261C" w:rsidRPr="00461891" w:rsidRDefault="005B261C" w:rsidP="005B261C">
      <w:pPr>
        <w:spacing w:after="120" w:line="276" w:lineRule="auto"/>
        <w:ind w:firstLine="709"/>
        <w:jc w:val="both"/>
        <w:rPr>
          <w:rFonts w:ascii="Verdana" w:eastAsia="Calibri" w:hAnsi="Verdana" w:cs="Arial"/>
          <w:lang w:bidi="es-ES"/>
        </w:rPr>
      </w:pPr>
      <w:r w:rsidRPr="00461891">
        <w:rPr>
          <w:rFonts w:ascii="Verdana" w:eastAsia="Calibri" w:hAnsi="Verdana" w:cs="Arial"/>
          <w:lang w:bidi="es-ES"/>
        </w:rPr>
        <w:lastRenderedPageBreak/>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461891">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461891">
        <w:rPr>
          <w:rFonts w:ascii="Verdana" w:eastAsia="Arial" w:hAnsi="Verdana" w:cs="Arial"/>
          <w:vertAlign w:val="superscript"/>
          <w:lang w:val="es-ES" w:eastAsia="es-ES" w:bidi="es-ES"/>
        </w:rPr>
        <w:footnoteReference w:id="11"/>
      </w:r>
      <w:r w:rsidRPr="00461891">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461891">
        <w:rPr>
          <w:rFonts w:ascii="Verdana" w:eastAsia="Arial" w:hAnsi="Verdana" w:cs="Arial"/>
          <w:vertAlign w:val="superscript"/>
          <w:lang w:val="es-ES" w:eastAsia="es-ES" w:bidi="es-ES"/>
        </w:rPr>
        <w:footnoteReference w:id="12"/>
      </w:r>
      <w:r w:rsidRPr="00461891">
        <w:rPr>
          <w:rFonts w:ascii="Verdana" w:eastAsia="Arial" w:hAnsi="Verdana" w:cs="Arial"/>
          <w:lang w:val="es-ES" w:eastAsia="es-ES" w:bidi="es-ES"/>
        </w:rPr>
        <w:t>.</w:t>
      </w:r>
    </w:p>
    <w:p w14:paraId="644B6842" w14:textId="77777777" w:rsidR="005B261C" w:rsidRPr="00461891" w:rsidRDefault="005B261C" w:rsidP="005B261C">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461891">
        <w:rPr>
          <w:rFonts w:ascii="Verdana" w:eastAsia="Calibri" w:hAnsi="Verdana" w:cs="Arial"/>
          <w:lang w:val="es-ES" w:bidi="es-ES"/>
        </w:rPr>
        <w:t>De este modo, en la Circular Externa</w:t>
      </w:r>
      <w:r w:rsidRPr="00461891">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3BEBA67C" w14:textId="77777777" w:rsidR="005B261C" w:rsidRPr="00461891" w:rsidRDefault="005B261C" w:rsidP="005B261C">
      <w:pPr>
        <w:widowControl w:val="0"/>
        <w:autoSpaceDE w:val="0"/>
        <w:autoSpaceDN w:val="0"/>
        <w:spacing w:after="0" w:line="276" w:lineRule="auto"/>
        <w:contextualSpacing/>
        <w:jc w:val="both"/>
        <w:rPr>
          <w:rFonts w:ascii="Verdana" w:eastAsia="Arial" w:hAnsi="Verdana" w:cs="Arial"/>
          <w:lang w:val="es-ES" w:eastAsia="es-ES" w:bidi="es-ES"/>
        </w:rPr>
      </w:pPr>
    </w:p>
    <w:p w14:paraId="5A5EBC36" w14:textId="77777777" w:rsidR="005B261C" w:rsidRPr="00461891" w:rsidRDefault="005B261C" w:rsidP="005B261C">
      <w:pPr>
        <w:spacing w:after="0" w:line="240" w:lineRule="auto"/>
        <w:ind w:left="709" w:right="709"/>
        <w:jc w:val="both"/>
        <w:rPr>
          <w:rFonts w:ascii="Verdana" w:eastAsia="Calibri" w:hAnsi="Verdana" w:cs="Arial"/>
          <w:sz w:val="20"/>
          <w:szCs w:val="20"/>
          <w:lang w:val="es-MX"/>
        </w:rPr>
      </w:pPr>
      <w:r w:rsidRPr="00461891">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61891">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7F67434C" w14:textId="77777777" w:rsidR="005B261C" w:rsidRPr="00461891" w:rsidRDefault="005B261C" w:rsidP="005B261C">
      <w:pPr>
        <w:spacing w:after="0" w:line="240" w:lineRule="auto"/>
        <w:ind w:left="709" w:right="709"/>
        <w:jc w:val="both"/>
        <w:rPr>
          <w:rFonts w:ascii="Verdana" w:eastAsia="Calibri" w:hAnsi="Verdana" w:cs="Arial"/>
          <w:sz w:val="20"/>
          <w:szCs w:val="20"/>
          <w:lang w:val="es-MX"/>
        </w:rPr>
      </w:pPr>
    </w:p>
    <w:p w14:paraId="378DB917" w14:textId="77777777" w:rsidR="005B261C" w:rsidRPr="00461891" w:rsidRDefault="005B261C" w:rsidP="005B261C">
      <w:pPr>
        <w:spacing w:after="0" w:line="240" w:lineRule="auto"/>
        <w:ind w:left="709" w:right="709"/>
        <w:jc w:val="both"/>
        <w:rPr>
          <w:rFonts w:ascii="Verdana" w:eastAsia="Calibri" w:hAnsi="Verdana" w:cs="Arial"/>
          <w:sz w:val="20"/>
          <w:szCs w:val="20"/>
          <w:lang w:val="es-MX"/>
        </w:rPr>
      </w:pPr>
      <w:r w:rsidRPr="00461891">
        <w:rPr>
          <w:rFonts w:ascii="Verdana" w:eastAsia="Calibri" w:hAnsi="Verdana" w:cs="Arial"/>
          <w:sz w:val="20"/>
          <w:szCs w:val="20"/>
          <w:lang w:val="es-MX"/>
        </w:rPr>
        <w:t xml:space="preserve">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w:t>
      </w:r>
      <w:r w:rsidRPr="00461891">
        <w:rPr>
          <w:rFonts w:ascii="Verdana" w:eastAsia="Calibri" w:hAnsi="Verdana" w:cs="Arial"/>
          <w:sz w:val="20"/>
          <w:szCs w:val="20"/>
          <w:lang w:val="es-MX"/>
        </w:rPr>
        <w:lastRenderedPageBreak/>
        <w:t>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53027235" w14:textId="77777777" w:rsidR="005B261C" w:rsidRPr="00461891" w:rsidRDefault="005B261C" w:rsidP="005B261C">
      <w:pPr>
        <w:spacing w:after="0" w:line="240" w:lineRule="auto"/>
        <w:ind w:left="709" w:right="709"/>
        <w:jc w:val="both"/>
        <w:rPr>
          <w:rFonts w:ascii="Verdana" w:eastAsia="Calibri" w:hAnsi="Verdana" w:cs="Arial"/>
          <w:sz w:val="20"/>
          <w:szCs w:val="20"/>
          <w:lang w:val="es-MX"/>
        </w:rPr>
      </w:pPr>
    </w:p>
    <w:p w14:paraId="1FE446B4" w14:textId="77777777" w:rsidR="005B261C" w:rsidRPr="00461891" w:rsidRDefault="005B261C" w:rsidP="005B261C">
      <w:pPr>
        <w:spacing w:after="0" w:line="240" w:lineRule="auto"/>
        <w:ind w:left="709" w:right="709"/>
        <w:jc w:val="both"/>
        <w:rPr>
          <w:rFonts w:ascii="Verdana" w:eastAsia="Calibri" w:hAnsi="Verdana" w:cs="Arial"/>
          <w:sz w:val="20"/>
          <w:szCs w:val="20"/>
          <w:lang w:val="es-MX"/>
        </w:rPr>
      </w:pPr>
      <w:bookmarkStart w:id="15" w:name="_Hlk193459059"/>
      <w:r w:rsidRPr="00461891">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w:t>
      </w:r>
      <w:bookmarkEnd w:id="15"/>
      <w:r w:rsidRPr="00461891">
        <w:rPr>
          <w:rFonts w:ascii="Verdana" w:eastAsia="Calibri" w:hAnsi="Verdana" w:cs="Arial"/>
          <w:sz w:val="20"/>
          <w:szCs w:val="20"/>
          <w:lang w:val="es-MX"/>
        </w:rPr>
        <w:t>o”.</w:t>
      </w:r>
    </w:p>
    <w:p w14:paraId="13792D01" w14:textId="77777777" w:rsidR="005B261C" w:rsidRPr="00461891" w:rsidRDefault="005B261C" w:rsidP="005B261C">
      <w:pPr>
        <w:widowControl w:val="0"/>
        <w:autoSpaceDE w:val="0"/>
        <w:autoSpaceDN w:val="0"/>
        <w:spacing w:after="0" w:line="276" w:lineRule="auto"/>
        <w:contextualSpacing/>
        <w:jc w:val="both"/>
        <w:rPr>
          <w:rFonts w:ascii="Verdana" w:eastAsia="Arial" w:hAnsi="Verdana" w:cs="Arial"/>
          <w:lang w:val="es-ES" w:eastAsia="es-ES" w:bidi="es-ES"/>
        </w:rPr>
      </w:pPr>
    </w:p>
    <w:p w14:paraId="2AC02906" w14:textId="77777777" w:rsidR="005B261C" w:rsidRPr="00461891" w:rsidRDefault="005B261C" w:rsidP="005B261C">
      <w:pPr>
        <w:spacing w:after="120" w:line="276" w:lineRule="auto"/>
        <w:ind w:firstLine="709"/>
        <w:jc w:val="both"/>
        <w:rPr>
          <w:rFonts w:ascii="Verdana" w:eastAsia="Arial" w:hAnsi="Verdana" w:cs="Arial"/>
          <w:lang w:val="es-MX" w:eastAsia="es-ES" w:bidi="es-ES"/>
        </w:rPr>
      </w:pPr>
      <w:r w:rsidRPr="00461891">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461891">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28F2A4B9" w14:textId="77777777" w:rsidR="005B261C" w:rsidRPr="00461891" w:rsidRDefault="005B261C" w:rsidP="005B261C">
      <w:pPr>
        <w:spacing w:after="0" w:line="276" w:lineRule="auto"/>
        <w:ind w:firstLine="709"/>
        <w:jc w:val="both"/>
      </w:pPr>
      <w:r w:rsidRPr="00461891">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461891">
        <w:rPr>
          <w:rFonts w:ascii="Verdana" w:hAnsi="Verdana"/>
        </w:rPr>
        <w:t>numeral 16.2 de la Circular Externa Única de 2022 expedida por la Agencia Nacional de Contratación Pública -Colombia Compra Eficiente-, concretamente, respecto de los siguientes apartes normativos</w:t>
      </w:r>
      <w:r w:rsidRPr="00461891">
        <w:rPr>
          <w:rFonts w:ascii="Verdana" w:hAnsi="Verdana"/>
          <w:vertAlign w:val="superscript"/>
        </w:rPr>
        <w:footnoteReference w:id="13"/>
      </w:r>
      <w:r w:rsidRPr="00461891">
        <w:rPr>
          <w:rFonts w:ascii="Verdana" w:hAnsi="Verdana"/>
        </w:rPr>
        <w:t>:</w:t>
      </w:r>
      <w:r w:rsidRPr="00461891">
        <w:t xml:space="preserve"> </w:t>
      </w:r>
    </w:p>
    <w:p w14:paraId="7FA60301" w14:textId="77777777" w:rsidR="005B261C" w:rsidRPr="00461891" w:rsidRDefault="005B261C" w:rsidP="005B261C">
      <w:pPr>
        <w:spacing w:after="0" w:line="276" w:lineRule="auto"/>
        <w:ind w:firstLine="709"/>
        <w:jc w:val="both"/>
      </w:pPr>
    </w:p>
    <w:p w14:paraId="1ECE273D" w14:textId="77777777" w:rsidR="005B261C" w:rsidRPr="00461891" w:rsidRDefault="005B261C" w:rsidP="005B261C">
      <w:pPr>
        <w:spacing w:after="0" w:line="240" w:lineRule="auto"/>
        <w:ind w:left="709" w:right="709"/>
        <w:jc w:val="both"/>
        <w:rPr>
          <w:rFonts w:ascii="Verdana" w:eastAsia="Calibri" w:hAnsi="Verdana" w:cs="Arial"/>
          <w:sz w:val="20"/>
          <w:szCs w:val="20"/>
        </w:rPr>
      </w:pPr>
      <w:r w:rsidRPr="00461891">
        <w:rPr>
          <w:rFonts w:ascii="Verdana" w:eastAsia="Calibri" w:hAnsi="Verdana" w:cs="Arial"/>
          <w:sz w:val="20"/>
          <w:szCs w:val="20"/>
          <w:lang w:val="es-MX"/>
        </w:rPr>
        <w:t>i)</w:t>
      </w:r>
      <w:r w:rsidRPr="00461891">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w:t>
      </w:r>
      <w:r w:rsidRPr="00461891">
        <w:rPr>
          <w:rFonts w:ascii="Verdana" w:eastAsia="Calibri" w:hAnsi="Verdana" w:cs="Arial"/>
          <w:sz w:val="20"/>
          <w:szCs w:val="20"/>
        </w:rPr>
        <w:lastRenderedPageBreak/>
        <w:t xml:space="preserve">la modalidad de selección para la contratación entre entidades públicas a través de estas dos figuras jurídicas” y, </w:t>
      </w:r>
    </w:p>
    <w:p w14:paraId="65C41BF6" w14:textId="77777777" w:rsidR="005B261C" w:rsidRPr="00461891" w:rsidRDefault="005B261C" w:rsidP="005B261C">
      <w:pPr>
        <w:spacing w:after="0" w:line="240" w:lineRule="auto"/>
        <w:ind w:left="709" w:right="709"/>
        <w:jc w:val="both"/>
        <w:rPr>
          <w:rFonts w:ascii="Verdana" w:eastAsia="Calibri" w:hAnsi="Verdana" w:cs="Arial"/>
          <w:sz w:val="20"/>
          <w:szCs w:val="20"/>
        </w:rPr>
      </w:pPr>
    </w:p>
    <w:p w14:paraId="2F718D2D" w14:textId="77777777" w:rsidR="005B261C" w:rsidRPr="00461891" w:rsidRDefault="005B261C" w:rsidP="005B261C">
      <w:pPr>
        <w:spacing w:after="0" w:line="240" w:lineRule="auto"/>
        <w:ind w:left="709" w:right="709"/>
        <w:jc w:val="both"/>
        <w:rPr>
          <w:rFonts w:ascii="Verdana" w:hAnsi="Verdana"/>
          <w:sz w:val="20"/>
          <w:szCs w:val="20"/>
        </w:rPr>
      </w:pPr>
      <w:proofErr w:type="spellStart"/>
      <w:r w:rsidRPr="00461891">
        <w:rPr>
          <w:rFonts w:ascii="Verdana" w:hAnsi="Verdana"/>
          <w:sz w:val="20"/>
          <w:szCs w:val="20"/>
        </w:rPr>
        <w:t>ii</w:t>
      </w:r>
      <w:proofErr w:type="spellEnd"/>
      <w:r w:rsidRPr="00461891">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3241C4E6" w14:textId="77777777" w:rsidR="005B261C" w:rsidRPr="00461891" w:rsidRDefault="005B261C" w:rsidP="005B261C">
      <w:pPr>
        <w:spacing w:after="0" w:line="276" w:lineRule="auto"/>
        <w:ind w:left="709" w:right="709"/>
        <w:jc w:val="both"/>
        <w:rPr>
          <w:rFonts w:ascii="Verdana" w:hAnsi="Verdana"/>
        </w:rPr>
      </w:pPr>
    </w:p>
    <w:p w14:paraId="202B8552" w14:textId="77777777" w:rsidR="005B261C" w:rsidRPr="00461891" w:rsidRDefault="005B261C" w:rsidP="005B261C">
      <w:pPr>
        <w:spacing w:after="120" w:line="276" w:lineRule="auto"/>
        <w:ind w:firstLine="709"/>
        <w:jc w:val="both"/>
        <w:rPr>
          <w:rFonts w:ascii="Verdana" w:eastAsia="Arial" w:hAnsi="Verdana" w:cs="Arial"/>
          <w:i/>
          <w:iCs/>
          <w:lang w:val="es-MX" w:eastAsia="es-ES" w:bidi="es-ES"/>
        </w:rPr>
      </w:pPr>
      <w:r w:rsidRPr="00461891">
        <w:rPr>
          <w:rFonts w:ascii="Verdana" w:eastAsia="Arial" w:hAnsi="Verdana" w:cs="Arial"/>
          <w:lang w:val="es-MX" w:eastAsia="es-ES" w:bidi="es-ES"/>
        </w:rPr>
        <w:t xml:space="preserve">De conformidad con los argumentos de dicha providencia, se parte de la distinción entre los conceptos </w:t>
      </w:r>
      <w:r w:rsidRPr="00461891">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461891">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461891">
        <w:rPr>
          <w:rFonts w:ascii="Verdana" w:eastAsia="Arial" w:hAnsi="Verdana" w:cs="Arial"/>
          <w:lang w:eastAsia="es-ES" w:bidi="es-ES"/>
        </w:rPr>
        <w:t xml:space="preserve">Por tal motivo, para efectos de decretar la medida de suspensión provisional de los apartes señalados del numeral </w:t>
      </w:r>
      <w:bookmarkStart w:id="16" w:name="_Hlk192497089"/>
      <w:r w:rsidRPr="00461891">
        <w:rPr>
          <w:rFonts w:ascii="Verdana" w:eastAsia="Arial" w:hAnsi="Verdana" w:cs="Arial"/>
          <w:lang w:eastAsia="es-ES" w:bidi="es-ES"/>
        </w:rPr>
        <w:t>16.2 de la Circular Externa Única</w:t>
      </w:r>
      <w:bookmarkEnd w:id="16"/>
      <w:r w:rsidRPr="00461891">
        <w:rPr>
          <w:rFonts w:ascii="Verdana" w:eastAsia="Arial" w:hAnsi="Verdana" w:cs="Arial"/>
          <w:lang w:eastAsia="es-ES" w:bidi="es-ES"/>
        </w:rPr>
        <w:t xml:space="preserve">, argumentó que </w:t>
      </w:r>
      <w:r w:rsidRPr="00461891">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40A6657E" w14:textId="77777777" w:rsidR="005B261C" w:rsidRPr="00461891" w:rsidRDefault="005B261C" w:rsidP="005B261C">
      <w:pPr>
        <w:spacing w:after="120" w:line="276" w:lineRule="auto"/>
        <w:ind w:firstLine="709"/>
        <w:jc w:val="both"/>
        <w:rPr>
          <w:rFonts w:ascii="Verdana" w:eastAsia="Calibri" w:hAnsi="Verdana" w:cs="Arial"/>
          <w:lang w:val="es-MX"/>
        </w:rPr>
      </w:pPr>
      <w:r w:rsidRPr="00461891">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461891">
        <w:rPr>
          <w:rFonts w:ascii="Verdana" w:eastAsia="Arial" w:hAnsi="Verdana" w:cs="Arial"/>
          <w:lang w:eastAsia="es-ES" w:bidi="es-ES"/>
        </w:rPr>
        <w:t>16.2 de la Circular Externa Única</w:t>
      </w:r>
      <w:r w:rsidRPr="00461891">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461891">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461891">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4A907049" w14:textId="77777777" w:rsidR="005B261C" w:rsidRPr="00461891" w:rsidRDefault="005B261C" w:rsidP="005B261C">
      <w:pPr>
        <w:spacing w:after="120" w:line="276" w:lineRule="auto"/>
        <w:ind w:firstLine="709"/>
        <w:jc w:val="both"/>
        <w:rPr>
          <w:rFonts w:ascii="Verdana" w:eastAsia="Arial" w:hAnsi="Verdana" w:cs="Arial"/>
          <w:lang w:val="es-MX" w:eastAsia="es-ES" w:bidi="es-ES"/>
        </w:rPr>
      </w:pPr>
      <w:r w:rsidRPr="00461891">
        <w:rPr>
          <w:rFonts w:ascii="Verdana" w:eastAsia="Calibri" w:hAnsi="Verdana" w:cs="Arial"/>
        </w:rPr>
        <w:lastRenderedPageBreak/>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461891">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461891">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22306E5F" w14:textId="77777777" w:rsidR="005B261C" w:rsidRPr="00461891" w:rsidRDefault="005B261C" w:rsidP="005B261C">
      <w:pPr>
        <w:spacing w:after="120" w:line="276" w:lineRule="auto"/>
        <w:ind w:firstLine="709"/>
        <w:jc w:val="both"/>
        <w:rPr>
          <w:rFonts w:ascii="Verdana" w:eastAsia="Times New Roman" w:hAnsi="Verdana" w:cs="Arial"/>
          <w:lang w:val="es-MX" w:eastAsia="es-CO"/>
        </w:rPr>
      </w:pPr>
      <w:r w:rsidRPr="00461891">
        <w:rPr>
          <w:rFonts w:ascii="Verdana" w:eastAsia="Arial" w:hAnsi="Verdana" w:cs="Arial"/>
          <w:lang w:val="es-MX" w:eastAsia="es-ES" w:bidi="es-ES"/>
        </w:rPr>
        <w:t xml:space="preserve"> De esta manera, </w:t>
      </w:r>
      <w:bookmarkStart w:id="17" w:name="_Hlk78820161"/>
      <w:bookmarkEnd w:id="14"/>
      <w:r w:rsidRPr="00461891">
        <w:rPr>
          <w:rFonts w:ascii="Verdana" w:eastAsia="Arial" w:hAnsi="Verdana" w:cs="Arial"/>
          <w:lang w:val="es-MX" w:eastAsia="es-ES" w:bidi="es-ES"/>
        </w:rPr>
        <w:t>s</w:t>
      </w:r>
      <w:proofErr w:type="spellStart"/>
      <w:r w:rsidRPr="00461891">
        <w:rPr>
          <w:rFonts w:ascii="Verdana" w:eastAsia="Times New Roman" w:hAnsi="Verdana" w:cs="Arial"/>
          <w:lang w:eastAsia="es-CO"/>
        </w:rPr>
        <w:t>e</w:t>
      </w:r>
      <w:proofErr w:type="spellEnd"/>
      <w:r w:rsidRPr="00461891">
        <w:rPr>
          <w:rFonts w:ascii="Verdana" w:eastAsia="Times New Roman" w:hAnsi="Verdana" w:cs="Arial"/>
          <w:lang w:eastAsia="es-CO"/>
        </w:rPr>
        <w:t xml:space="preserve"> observa entonces que </w:t>
      </w:r>
      <w:r w:rsidRPr="00461891">
        <w:rPr>
          <w:rFonts w:ascii="Verdana" w:eastAsia="Times New Roman" w:hAnsi="Verdana" w:cs="Arial"/>
          <w:lang w:val="es-MX" w:eastAsia="es-CO"/>
        </w:rPr>
        <w:t xml:space="preserve">el parágrafo del artículo 38 de la Ley 996 de 2005 prohíbe a los </w:t>
      </w:r>
      <w:proofErr w:type="gramStart"/>
      <w:r w:rsidRPr="00461891">
        <w:rPr>
          <w:rFonts w:ascii="Verdana" w:eastAsia="Times New Roman" w:hAnsi="Verdana" w:cs="Arial"/>
          <w:lang w:val="es-MX" w:eastAsia="es-CO"/>
        </w:rPr>
        <w:t>Alcaldes</w:t>
      </w:r>
      <w:proofErr w:type="gramEnd"/>
      <w:r w:rsidRPr="00461891">
        <w:rPr>
          <w:rFonts w:ascii="Verdana" w:eastAsia="Times New Roman" w:hAnsi="Verdana" w:cs="Arial"/>
          <w:lang w:val="es-MX" w:eastAsia="es-CO"/>
        </w:rPr>
        <w:t xml:space="preserve">, Gobernadores, </w:t>
      </w:r>
      <w:proofErr w:type="gramStart"/>
      <w:r w:rsidRPr="00461891">
        <w:rPr>
          <w:rFonts w:ascii="Verdana" w:eastAsia="Times New Roman" w:hAnsi="Verdana" w:cs="Arial"/>
          <w:lang w:val="es-MX" w:eastAsia="es-CO"/>
        </w:rPr>
        <w:t>Secretarios</w:t>
      </w:r>
      <w:proofErr w:type="gramEnd"/>
      <w:r w:rsidRPr="00461891">
        <w:rPr>
          <w:rFonts w:ascii="Verdana" w:eastAsia="Times New Roman" w:hAnsi="Verdana" w:cs="Arial"/>
          <w:lang w:val="es-MX" w:eastAsia="es-CO"/>
        </w:rPr>
        <w:t xml:space="preserve">, Gerentes y </w:t>
      </w:r>
      <w:proofErr w:type="gramStart"/>
      <w:r w:rsidRPr="00461891">
        <w:rPr>
          <w:rFonts w:ascii="Verdana" w:eastAsia="Times New Roman" w:hAnsi="Verdana" w:cs="Arial"/>
          <w:lang w:val="es-MX" w:eastAsia="es-CO"/>
        </w:rPr>
        <w:t>Directores</w:t>
      </w:r>
      <w:proofErr w:type="gramEnd"/>
      <w:r w:rsidRPr="00461891">
        <w:rPr>
          <w:rFonts w:ascii="Verdana" w:eastAsia="Times New Roman" w:hAnsi="Verdana" w:cs="Arial"/>
          <w:lang w:val="es-MX" w:eastAsia="es-CO"/>
        </w:rPr>
        <w:t xml:space="preserve"> de las entidades del orden municipal, departamental o distrital celebrar </w:t>
      </w:r>
      <w:r w:rsidRPr="00461891">
        <w:rPr>
          <w:rFonts w:ascii="Verdana" w:eastAsia="Times New Roman" w:hAnsi="Verdana" w:cs="Arial"/>
          <w:i/>
          <w:iCs/>
          <w:lang w:val="es-MX" w:eastAsia="es-CO"/>
        </w:rPr>
        <w:t>convenios interadministrativos</w:t>
      </w:r>
      <w:r w:rsidRPr="00461891">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461891">
        <w:rPr>
          <w:rFonts w:ascii="Verdana" w:eastAsia="Times New Roman" w:hAnsi="Verdana" w:cs="Arial"/>
          <w:i/>
          <w:lang w:val="es-MX" w:eastAsia="es-CO"/>
        </w:rPr>
        <w:t>ibidem</w:t>
      </w:r>
      <w:r w:rsidRPr="00461891">
        <w:rPr>
          <w:rFonts w:ascii="Verdana" w:eastAsia="Times New Roman" w:hAnsi="Verdana" w:cs="Arial"/>
          <w:lang w:val="es-MX" w:eastAsia="es-CO"/>
        </w:rPr>
        <w:t xml:space="preserve">, no podrá celebrar tales </w:t>
      </w:r>
      <w:r w:rsidRPr="00461891">
        <w:rPr>
          <w:rFonts w:ascii="Verdana" w:eastAsia="Times New Roman" w:hAnsi="Verdana" w:cs="Arial"/>
          <w:i/>
          <w:iCs/>
          <w:lang w:val="es-MX" w:eastAsia="es-CO"/>
        </w:rPr>
        <w:t>convenios</w:t>
      </w:r>
      <w:r w:rsidRPr="00461891">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interadministrativos.  </w:t>
      </w:r>
    </w:p>
    <w:p w14:paraId="370701C9" w14:textId="77777777" w:rsidR="005B261C" w:rsidRPr="00461891" w:rsidRDefault="005B261C" w:rsidP="005B261C">
      <w:pPr>
        <w:spacing w:after="120" w:line="276" w:lineRule="auto"/>
        <w:ind w:firstLine="709"/>
        <w:jc w:val="both"/>
        <w:rPr>
          <w:rFonts w:ascii="Verdana" w:eastAsia="Arial" w:hAnsi="Verdana" w:cs="Arial"/>
          <w:lang w:val="es-ES" w:eastAsia="es-ES" w:bidi="es-ES"/>
        </w:rPr>
      </w:pPr>
      <w:bookmarkStart w:id="18" w:name="_Hlk77154098"/>
      <w:r w:rsidRPr="00461891">
        <w:rPr>
          <w:rFonts w:ascii="Verdana" w:eastAsia="Times New Roman" w:hAnsi="Verdana" w:cs="Arial"/>
          <w:lang w:val="es-ES" w:eastAsia="es-CO" w:bidi="es-ES"/>
        </w:rPr>
        <w:t>En todo caso</w:t>
      </w:r>
      <w:r w:rsidRPr="00461891">
        <w:rPr>
          <w:rFonts w:ascii="Verdana" w:eastAsia="Arial" w:hAnsi="Verdana" w:cs="Arial"/>
          <w:lang w:val="es-ES" w:eastAsia="es-ES" w:bidi="es-ES"/>
        </w:rPr>
        <w:t xml:space="preserve">, es importante resaltar que la Sala de Consulta y Servicio Civil del Consejo de Estado se ha pronunciado en el sentido de que </w:t>
      </w:r>
      <w:bookmarkStart w:id="19" w:name="_Hlk78820889"/>
      <w:r w:rsidRPr="00461891">
        <w:rPr>
          <w:rFonts w:ascii="Verdana" w:eastAsia="Arial" w:hAnsi="Verdana" w:cs="Arial"/>
          <w:lang w:val="es-ES" w:eastAsia="es-ES" w:bidi="es-ES"/>
        </w:rPr>
        <w:t>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9"/>
      <w:r w:rsidRPr="00461891">
        <w:rPr>
          <w:rFonts w:ascii="Verdana" w:eastAsia="Arial" w:hAnsi="Verdana" w:cs="Arial"/>
          <w:vertAlign w:val="superscript"/>
          <w:lang w:val="es-ES" w:eastAsia="es-ES" w:bidi="es-ES"/>
        </w:rPr>
        <w:footnoteReference w:id="14"/>
      </w:r>
      <w:r w:rsidRPr="00461891">
        <w:rPr>
          <w:rFonts w:ascii="Verdana" w:eastAsia="Arial" w:hAnsi="Verdana" w:cs="Arial"/>
          <w:lang w:val="es-ES" w:eastAsia="es-ES" w:bidi="es-ES"/>
        </w:rPr>
        <w:t>.</w:t>
      </w:r>
      <w:bookmarkEnd w:id="18"/>
    </w:p>
    <w:p w14:paraId="22DC5C9B" w14:textId="77777777" w:rsidR="005B261C" w:rsidRPr="00461891" w:rsidRDefault="005B261C" w:rsidP="005B261C">
      <w:pPr>
        <w:spacing w:after="120" w:line="276" w:lineRule="auto"/>
        <w:jc w:val="both"/>
        <w:rPr>
          <w:rFonts w:ascii="Verdana" w:eastAsia="Calibri" w:hAnsi="Verdana" w:cs="Arial"/>
        </w:rPr>
      </w:pPr>
      <w:proofErr w:type="spellStart"/>
      <w:r w:rsidRPr="00461891">
        <w:rPr>
          <w:rFonts w:ascii="Verdana" w:eastAsia="Arial" w:hAnsi="Verdana" w:cs="Arial"/>
          <w:lang w:val="es-ES" w:eastAsia="es-ES" w:bidi="es-ES"/>
        </w:rPr>
        <w:t>iv</w:t>
      </w:r>
      <w:proofErr w:type="spellEnd"/>
      <w:r w:rsidRPr="00461891">
        <w:rPr>
          <w:rFonts w:ascii="Verdana" w:eastAsia="Arial" w:hAnsi="Verdana" w:cs="Arial"/>
          <w:lang w:val="es-ES" w:eastAsia="es-ES" w:bidi="es-ES"/>
        </w:rPr>
        <w:t xml:space="preserve">) Precisado lo anterior, en relación con el problema jurídico planteado se tiene que, tratándose de elecciones en general, excluyendo las correspondientes al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las restricciones que resultan aplicables son las contenidas en el parágrafo del artículo 38. Es decir, cuando se convoca a elecciones para cargos de elección popular los </w:t>
      </w:r>
      <w:r w:rsidRPr="00461891">
        <w:rPr>
          <w:rFonts w:ascii="Verdana" w:eastAsia="Calibri" w:hAnsi="Verdana" w:cs="Arial"/>
        </w:rPr>
        <w:t xml:space="preserve">Gobernadores, </w:t>
      </w:r>
      <w:proofErr w:type="gramStart"/>
      <w:r w:rsidRPr="00461891">
        <w:rPr>
          <w:rFonts w:ascii="Verdana" w:eastAsia="Calibri" w:hAnsi="Verdana" w:cs="Arial"/>
        </w:rPr>
        <w:t>Alcaldes</w:t>
      </w:r>
      <w:proofErr w:type="gramEnd"/>
      <w:r w:rsidRPr="00461891">
        <w:rPr>
          <w:rFonts w:ascii="Verdana" w:eastAsia="Calibri" w:hAnsi="Verdana" w:cs="Arial"/>
        </w:rPr>
        <w:t xml:space="preserve"> </w:t>
      </w:r>
      <w:r w:rsidRPr="00461891">
        <w:rPr>
          <w:rFonts w:ascii="Verdana" w:eastAsia="Calibri" w:hAnsi="Verdana" w:cs="Arial"/>
        </w:rPr>
        <w:lastRenderedPageBreak/>
        <w:t xml:space="preserve">Municipales y/o Distritales, </w:t>
      </w:r>
      <w:proofErr w:type="gramStart"/>
      <w:r w:rsidRPr="00461891">
        <w:rPr>
          <w:rFonts w:ascii="Verdana" w:eastAsia="Calibri" w:hAnsi="Verdana" w:cs="Arial"/>
        </w:rPr>
        <w:t>Secretarios</w:t>
      </w:r>
      <w:proofErr w:type="gramEnd"/>
      <w:r w:rsidRPr="00461891">
        <w:rPr>
          <w:rFonts w:ascii="Verdana" w:eastAsia="Calibri" w:hAnsi="Verdana" w:cs="Arial"/>
        </w:rPr>
        <w:t xml:space="preserve">, Gerentes y directores de Entidades Descentralizadas del orden Municipal, Departamental o Distrital, no podrán celebrar convenios interadministrativos para la ejecución de recursos públicos, dentro de los cuatro (4) meses anteriores a las elecciones. Esta prohibición aplica incluso cuando se trate de elecciones atípicas de alcaldes o gobernadores, esto es, elecciones que se realicen por fuera del calendario ordinario electoral. </w:t>
      </w:r>
    </w:p>
    <w:p w14:paraId="7AD95EF3" w14:textId="77777777" w:rsidR="005B261C" w:rsidRPr="00461891" w:rsidRDefault="005B261C" w:rsidP="005B261C">
      <w:pPr>
        <w:spacing w:after="120" w:line="276" w:lineRule="auto"/>
        <w:ind w:firstLine="709"/>
        <w:jc w:val="both"/>
        <w:rPr>
          <w:rFonts w:ascii="Verdana" w:eastAsia="Calibri" w:hAnsi="Verdana" w:cs="Arial"/>
        </w:rPr>
      </w:pPr>
      <w:r w:rsidRPr="00461891">
        <w:rPr>
          <w:rFonts w:ascii="Verdana" w:eastAsia="Calibri" w:hAnsi="Verdana" w:cs="Arial"/>
        </w:rPr>
        <w:t>En efecto, al analizar el contenido del parágrafo del artículo 38 de la Ley 996 de 2005 se evidencia que la prohibición se refiere de forma general a las “elecciones” sin realizar distinción respecto de si esta jornada de votación se realizará dentro del calendario electoral ordinario o de forma atípica. Este último tipo de elecciones “son eventos electorales que se realizan por fuera del calendario electoral ordinario, con el fin de cubrir la vacancia absoluta de un mandatario y elegir una autoridad por el tiempo que resta del periodo constitucional del cargo, cuando esta vacancia se registra faltando 18 meses o más para la terminación de dicho periodo”</w:t>
      </w:r>
      <w:r w:rsidRPr="00461891">
        <w:rPr>
          <w:rFonts w:ascii="Verdana" w:eastAsia="Calibri" w:hAnsi="Verdana" w:cs="Arial"/>
          <w:vertAlign w:val="superscript"/>
        </w:rPr>
        <w:footnoteReference w:id="15"/>
      </w:r>
      <w:r w:rsidRPr="00461891">
        <w:rPr>
          <w:rFonts w:ascii="Verdana" w:eastAsia="Calibri" w:hAnsi="Verdana" w:cs="Arial"/>
        </w:rPr>
        <w:t>. Su convocatoria puede derivar de diferentes situaciones como la muerte del gobernador o el alcalde, la renuncia aceptada, incapacidad física permanente, la declaratoria de nulidad por su elección, la interdicción judicial, la destitución, la revocatoria del mandato y la incapacidad por enfermedad superior a ciento ochenta (180) días</w:t>
      </w:r>
      <w:r w:rsidRPr="00461891">
        <w:rPr>
          <w:rFonts w:ascii="Verdana" w:eastAsia="Calibri" w:hAnsi="Verdana" w:cs="Arial"/>
          <w:vertAlign w:val="superscript"/>
        </w:rPr>
        <w:footnoteReference w:id="16"/>
      </w:r>
      <w:r w:rsidRPr="00461891">
        <w:rPr>
          <w:rFonts w:ascii="Verdana" w:eastAsia="Calibri" w:hAnsi="Verdana" w:cs="Arial"/>
        </w:rPr>
        <w:t>.</w:t>
      </w:r>
    </w:p>
    <w:p w14:paraId="001C9CC6" w14:textId="77777777" w:rsidR="005B261C" w:rsidRPr="00461891" w:rsidRDefault="005B261C" w:rsidP="005B261C">
      <w:pPr>
        <w:spacing w:after="120" w:line="276" w:lineRule="auto"/>
        <w:ind w:firstLine="709"/>
        <w:jc w:val="both"/>
        <w:rPr>
          <w:rFonts w:ascii="Verdana" w:eastAsia="Calibri" w:hAnsi="Verdana" w:cs="Arial"/>
        </w:rPr>
      </w:pPr>
      <w:r w:rsidRPr="00461891">
        <w:rPr>
          <w:rFonts w:ascii="Verdana" w:eastAsia="Calibri" w:hAnsi="Verdana" w:cs="Arial"/>
        </w:rPr>
        <w:t xml:space="preserve">En tal sentido, aunque las elecciones atípicas se efectúan fuera de las fechas establecidas en la Ley, por circunstancias excepcionales que requieren una convocatoria urgente, tienen el mismo propósito de las elecciones ordinarias de asegurar la provisión de un cargo de elección popular. Por tanto, la naturaleza y el fin de las elecciones atípicas son idénticos a los de las elecciones ordinarias, ya que ambas buscan asegurar el adecuado funcionamiento de las instituciones públicas y salvaguardar la democracia. </w:t>
      </w:r>
    </w:p>
    <w:p w14:paraId="64B6FB38" w14:textId="77777777" w:rsidR="005B261C" w:rsidRPr="00461891" w:rsidRDefault="005B261C" w:rsidP="005B261C">
      <w:pPr>
        <w:spacing w:after="0" w:line="276" w:lineRule="auto"/>
        <w:ind w:firstLine="709"/>
        <w:jc w:val="both"/>
        <w:rPr>
          <w:rFonts w:ascii="Verdana" w:eastAsia="Calibri" w:hAnsi="Verdana" w:cs="Arial"/>
        </w:rPr>
      </w:pPr>
      <w:r w:rsidRPr="00461891">
        <w:rPr>
          <w:rFonts w:ascii="Verdana" w:eastAsia="Calibri" w:hAnsi="Verdana" w:cs="Arial"/>
        </w:rPr>
        <w:t xml:space="preserve">Aunado a lo anterior, como se expuso, el propósito de la Ley 996 de 2005 es asegurar condiciones de igualdad y transparencia para todos los aspirantes en el proceso electoral, de manera que los participantes tengan las mismas oportunidades y no enfrenten ventajas indebidas durante la contienda electoral. Al mismo tiempo, la Ley establece restricciones que previenen la desviación de recursos públicos con fines electorales, prohibiendo que los fondos y bienes del Estado sean utilizados para beneficiar a ciertos aspirantes. De este modo, en la Ley de Garantías se plantea como objetivos: </w:t>
      </w:r>
    </w:p>
    <w:p w14:paraId="5AD08263" w14:textId="77777777" w:rsidR="005B261C" w:rsidRPr="00461891" w:rsidRDefault="005B261C" w:rsidP="005B261C">
      <w:pPr>
        <w:spacing w:after="0" w:line="276" w:lineRule="auto"/>
        <w:ind w:firstLine="709"/>
        <w:jc w:val="both"/>
        <w:rPr>
          <w:rFonts w:ascii="Verdana" w:eastAsia="Calibri" w:hAnsi="Verdana" w:cs="Arial"/>
        </w:rPr>
      </w:pPr>
    </w:p>
    <w:p w14:paraId="0C26FF89" w14:textId="77777777" w:rsidR="005B261C" w:rsidRPr="00461891" w:rsidRDefault="005B261C" w:rsidP="005B261C">
      <w:pPr>
        <w:spacing w:after="0" w:line="240" w:lineRule="auto"/>
        <w:ind w:left="709" w:right="709"/>
        <w:jc w:val="both"/>
        <w:rPr>
          <w:rFonts w:ascii="Verdana" w:eastAsia="Calibri" w:hAnsi="Verdana" w:cs="Arial"/>
          <w:sz w:val="20"/>
          <w:szCs w:val="20"/>
        </w:rPr>
      </w:pPr>
      <w:r w:rsidRPr="00461891">
        <w:rPr>
          <w:rFonts w:ascii="Verdana" w:eastAsia="Calibri" w:hAnsi="Verdana" w:cs="Arial"/>
          <w:sz w:val="20"/>
          <w:szCs w:val="20"/>
        </w:rPr>
        <w:t>“a) garantizar la igualdad y equidad entre los candidatos que aspiran a ocupar cargos de elección popular, b) evitar que la voluntad de los electores sea influenciada por la acción u omisión de los servidores públicos, c) asegurar la objetividad y transparencia en las decisiones administrativas, d) impedir que el empleo público se utilice para obtener votos de los servidores o sus allegados, e) proteger al empleado que tiene una inclinación política distinta al nominador, y f) imposibilitar que las vinculaciones al Estado se utilicen como un mecanismo para buscar favores políticos durante las contiendas electorales”</w:t>
      </w:r>
      <w:r w:rsidRPr="00461891">
        <w:rPr>
          <w:rFonts w:ascii="Verdana" w:eastAsia="Calibri" w:hAnsi="Verdana" w:cs="Arial"/>
          <w:sz w:val="20"/>
          <w:szCs w:val="20"/>
          <w:vertAlign w:val="superscript"/>
        </w:rPr>
        <w:footnoteReference w:id="17"/>
      </w:r>
      <w:r w:rsidRPr="00461891">
        <w:rPr>
          <w:rFonts w:ascii="Verdana" w:eastAsia="Calibri" w:hAnsi="Verdana" w:cs="Arial"/>
          <w:sz w:val="20"/>
          <w:szCs w:val="20"/>
        </w:rPr>
        <w:t>. </w:t>
      </w:r>
    </w:p>
    <w:p w14:paraId="4F25F001" w14:textId="77777777" w:rsidR="005B261C" w:rsidRPr="00461891" w:rsidRDefault="005B261C" w:rsidP="005B261C">
      <w:pPr>
        <w:widowControl w:val="0"/>
        <w:autoSpaceDE w:val="0"/>
        <w:autoSpaceDN w:val="0"/>
        <w:spacing w:after="0" w:line="276" w:lineRule="auto"/>
        <w:ind w:firstLine="709"/>
        <w:contextualSpacing/>
        <w:jc w:val="both"/>
        <w:rPr>
          <w:rFonts w:ascii="Verdana" w:eastAsia="Calibri" w:hAnsi="Verdana" w:cs="Arial"/>
          <w:lang w:eastAsia="es-ES" w:bidi="es-ES"/>
        </w:rPr>
      </w:pPr>
    </w:p>
    <w:p w14:paraId="7D7529E8" w14:textId="77777777" w:rsidR="005B261C" w:rsidRPr="00461891" w:rsidRDefault="005B261C" w:rsidP="005B261C">
      <w:pPr>
        <w:widowControl w:val="0"/>
        <w:autoSpaceDE w:val="0"/>
        <w:autoSpaceDN w:val="0"/>
        <w:spacing w:after="0" w:line="276" w:lineRule="auto"/>
        <w:ind w:firstLine="709"/>
        <w:contextualSpacing/>
        <w:jc w:val="both"/>
        <w:rPr>
          <w:rFonts w:ascii="Verdana" w:eastAsia="Calibri" w:hAnsi="Verdana" w:cs="Arial"/>
          <w:lang w:eastAsia="es-ES" w:bidi="es-ES"/>
        </w:rPr>
      </w:pPr>
      <w:r w:rsidRPr="00461891">
        <w:rPr>
          <w:rFonts w:ascii="Verdana" w:eastAsia="Calibri" w:hAnsi="Verdana" w:cs="Arial"/>
          <w:lang w:eastAsia="es-ES" w:bidi="es-ES"/>
        </w:rPr>
        <w:t>Así las cosas, las restricciones establecidas en la Ley de Garantías Electorales buscan cumplir el propósito de proteger la democracia participativa y la igualdad entre candidatos, independientemente de la naturaleza de la elección. Por ello, la Ley de Garantías debe ser aplicada sin distinción asegurando que, tanto en elecciones ordinarias como las atípicas, se mantenga la integridad del proceso electoral. Sobre el particular, el Consejo Nacional Electoral en concepto 9519 del 14 de octubre de 2020</w:t>
      </w:r>
      <w:r w:rsidRPr="00461891">
        <w:rPr>
          <w:rFonts w:ascii="Verdana" w:eastAsia="Calibri" w:hAnsi="Verdana" w:cs="Arial"/>
          <w:vertAlign w:val="superscript"/>
          <w:lang w:eastAsia="es-ES" w:bidi="es-ES"/>
        </w:rPr>
        <w:footnoteReference w:id="18"/>
      </w:r>
      <w:r w:rsidRPr="00461891">
        <w:rPr>
          <w:rFonts w:ascii="Verdana" w:eastAsia="Calibri" w:hAnsi="Verdana" w:cs="Arial"/>
          <w:lang w:eastAsia="es-ES" w:bidi="es-ES"/>
        </w:rPr>
        <w:t xml:space="preserve">, frente a la aplicación de la ley de garantías en elecciones atípicas señaló lo siguiente: </w:t>
      </w:r>
    </w:p>
    <w:p w14:paraId="12D5976E" w14:textId="77777777" w:rsidR="005B261C" w:rsidRPr="00461891" w:rsidRDefault="005B261C" w:rsidP="005B261C">
      <w:pPr>
        <w:widowControl w:val="0"/>
        <w:autoSpaceDE w:val="0"/>
        <w:autoSpaceDN w:val="0"/>
        <w:spacing w:after="0" w:line="276" w:lineRule="auto"/>
        <w:ind w:firstLine="709"/>
        <w:contextualSpacing/>
        <w:jc w:val="both"/>
        <w:rPr>
          <w:rFonts w:ascii="Verdana" w:eastAsia="Calibri" w:hAnsi="Verdana" w:cs="Arial"/>
          <w:lang w:eastAsia="es-ES" w:bidi="es-ES"/>
        </w:rPr>
      </w:pPr>
    </w:p>
    <w:p w14:paraId="271F0B0A" w14:textId="77777777" w:rsidR="005B261C" w:rsidRPr="00461891" w:rsidRDefault="005B261C" w:rsidP="005B261C">
      <w:pPr>
        <w:widowControl w:val="0"/>
        <w:autoSpaceDE w:val="0"/>
        <w:autoSpaceDN w:val="0"/>
        <w:spacing w:after="0" w:line="240" w:lineRule="auto"/>
        <w:ind w:left="709" w:right="616"/>
        <w:contextualSpacing/>
        <w:jc w:val="both"/>
        <w:rPr>
          <w:rFonts w:ascii="Verdana" w:eastAsia="Calibri" w:hAnsi="Verdana" w:cs="Arial"/>
          <w:sz w:val="20"/>
          <w:szCs w:val="20"/>
          <w:lang w:eastAsia="es-ES" w:bidi="es-ES"/>
        </w:rPr>
      </w:pPr>
      <w:r w:rsidRPr="00461891">
        <w:rPr>
          <w:rFonts w:ascii="Verdana" w:eastAsia="Calibri" w:hAnsi="Verdana" w:cs="Arial"/>
          <w:sz w:val="20"/>
          <w:szCs w:val="20"/>
          <w:lang w:eastAsia="es-ES" w:bidi="es-ES"/>
        </w:rPr>
        <w:t xml:space="preserve">“En esta elección atípica como evento electoral extraordinario que se realiza por fuera del calendario electoral ordinario, con el fin de cubrir la vacancia absoluta de un mandatario y elegir una autoridad por el tiempo que resta del periodo constitucional del cargo, siempre y cuando esta vacancia se registre faltando 18 meses o más para la terminación de dicho periodo, como es el caso concreto </w:t>
      </w:r>
      <w:r w:rsidRPr="00461891">
        <w:rPr>
          <w:rFonts w:ascii="Verdana" w:eastAsia="Calibri" w:hAnsi="Verdana" w:cs="Arial"/>
          <w:i/>
          <w:iCs/>
          <w:sz w:val="20"/>
          <w:szCs w:val="20"/>
          <w:lang w:eastAsia="es-ES" w:bidi="es-ES"/>
        </w:rPr>
        <w:t>solo le es aplicable de la Ley 996 de 2005 el parágrafo del artículo 38</w:t>
      </w:r>
      <w:r w:rsidRPr="00461891">
        <w:rPr>
          <w:rFonts w:ascii="Verdana" w:eastAsia="Calibri" w:hAnsi="Verdana" w:cs="Arial"/>
          <w:sz w:val="20"/>
          <w:szCs w:val="20"/>
          <w:lang w:eastAsia="es-ES" w:bidi="es-ES"/>
        </w:rPr>
        <w:t xml:space="preserve"> y enunciado en el numeral 3.1.2 de los fundamentos jurídicos.</w:t>
      </w:r>
    </w:p>
    <w:p w14:paraId="6CF73B53" w14:textId="77777777" w:rsidR="005B261C" w:rsidRPr="00461891" w:rsidRDefault="005B261C" w:rsidP="005B261C">
      <w:pPr>
        <w:widowControl w:val="0"/>
        <w:autoSpaceDE w:val="0"/>
        <w:autoSpaceDN w:val="0"/>
        <w:spacing w:after="0" w:line="240" w:lineRule="auto"/>
        <w:ind w:firstLine="709"/>
        <w:contextualSpacing/>
        <w:jc w:val="both"/>
        <w:rPr>
          <w:rFonts w:ascii="Verdana" w:eastAsia="Calibri" w:hAnsi="Verdana" w:cs="Arial"/>
          <w:sz w:val="20"/>
          <w:szCs w:val="20"/>
          <w:lang w:eastAsia="es-ES" w:bidi="es-ES"/>
        </w:rPr>
      </w:pPr>
    </w:p>
    <w:p w14:paraId="63ABBDEF" w14:textId="77777777" w:rsidR="005B261C" w:rsidRPr="00461891" w:rsidRDefault="005B261C" w:rsidP="005B261C">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 xml:space="preserve">Por lo expuesto, en los procesos </w:t>
      </w:r>
      <w:proofErr w:type="spellStart"/>
      <w:r w:rsidRPr="00461891">
        <w:rPr>
          <w:rFonts w:ascii="Verdana" w:hAnsi="Verdana"/>
          <w:sz w:val="20"/>
          <w:szCs w:val="20"/>
        </w:rPr>
        <w:t>pre-electorales</w:t>
      </w:r>
      <w:proofErr w:type="spellEnd"/>
      <w:r w:rsidRPr="00461891">
        <w:rPr>
          <w:rFonts w:ascii="Verdana" w:hAnsi="Verdana"/>
          <w:sz w:val="20"/>
          <w:szCs w:val="20"/>
        </w:rPr>
        <w:t xml:space="preserve"> de estas elecciones atípicos para Alcaldía Municipal, deben seguirse las siguientes reglas: </w:t>
      </w:r>
    </w:p>
    <w:p w14:paraId="4EA2717C" w14:textId="77777777" w:rsidR="005B261C" w:rsidRPr="00461891" w:rsidRDefault="005B261C" w:rsidP="005B261C">
      <w:pPr>
        <w:widowControl w:val="0"/>
        <w:autoSpaceDE w:val="0"/>
        <w:autoSpaceDN w:val="0"/>
        <w:spacing w:after="0" w:line="240" w:lineRule="auto"/>
        <w:ind w:left="709" w:right="616"/>
        <w:contextualSpacing/>
        <w:jc w:val="both"/>
        <w:rPr>
          <w:rFonts w:ascii="Verdana" w:hAnsi="Verdana"/>
          <w:sz w:val="20"/>
          <w:szCs w:val="20"/>
        </w:rPr>
      </w:pPr>
    </w:p>
    <w:p w14:paraId="48E87EF5" w14:textId="77777777" w:rsidR="005B261C" w:rsidRPr="00461891" w:rsidRDefault="005B261C" w:rsidP="005B261C">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 xml:space="preserve">a) Los gobernadores, alcaldes municipales o distritales, secretarios, gerentes y directores de las entidades descentralizadas del orden municipal, departamental o distrital no pueden celebrar convenios interadministrativos para la ejecución de recursos públicos, ni participar, promover o destinar recursos públicos de las entidades a su cargo, como tampoco de las que participen como miembros de sus juntas directivas, en o para reuniones de carácter proselitista dentro de los cuatro (4) meses anteriores a las elecciones. </w:t>
      </w:r>
    </w:p>
    <w:p w14:paraId="1A5B5FD6" w14:textId="77777777" w:rsidR="005B261C" w:rsidRPr="00461891" w:rsidRDefault="005B261C" w:rsidP="005B261C">
      <w:pPr>
        <w:widowControl w:val="0"/>
        <w:autoSpaceDE w:val="0"/>
        <w:autoSpaceDN w:val="0"/>
        <w:spacing w:after="0" w:line="240" w:lineRule="auto"/>
        <w:ind w:left="709" w:right="616"/>
        <w:contextualSpacing/>
        <w:jc w:val="both"/>
        <w:rPr>
          <w:rFonts w:ascii="Verdana" w:hAnsi="Verdana"/>
          <w:sz w:val="20"/>
          <w:szCs w:val="20"/>
        </w:rPr>
      </w:pPr>
    </w:p>
    <w:p w14:paraId="3E785E9F" w14:textId="77777777" w:rsidR="005B261C" w:rsidRPr="00461891" w:rsidRDefault="005B261C" w:rsidP="005B261C">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w:t>
      </w:r>
    </w:p>
    <w:p w14:paraId="2AD2D759" w14:textId="77777777" w:rsidR="005B261C" w:rsidRPr="00461891" w:rsidRDefault="005B261C" w:rsidP="005B261C">
      <w:pPr>
        <w:widowControl w:val="0"/>
        <w:autoSpaceDE w:val="0"/>
        <w:autoSpaceDN w:val="0"/>
        <w:spacing w:after="0" w:line="240" w:lineRule="auto"/>
        <w:ind w:left="709" w:right="616"/>
        <w:contextualSpacing/>
        <w:jc w:val="both"/>
        <w:rPr>
          <w:rFonts w:ascii="Verdana" w:hAnsi="Verdana"/>
          <w:sz w:val="20"/>
          <w:szCs w:val="20"/>
        </w:rPr>
      </w:pPr>
    </w:p>
    <w:p w14:paraId="759C4626" w14:textId="77777777" w:rsidR="005B261C" w:rsidRPr="00461891" w:rsidRDefault="005B261C" w:rsidP="005B261C">
      <w:pPr>
        <w:widowControl w:val="0"/>
        <w:autoSpaceDE w:val="0"/>
        <w:autoSpaceDN w:val="0"/>
        <w:spacing w:after="0" w:line="240" w:lineRule="auto"/>
        <w:ind w:left="709" w:right="616"/>
        <w:contextualSpacing/>
        <w:jc w:val="both"/>
        <w:rPr>
          <w:rFonts w:ascii="Verdana" w:eastAsia="Calibri" w:hAnsi="Verdana" w:cs="Arial"/>
          <w:sz w:val="20"/>
          <w:szCs w:val="20"/>
          <w:lang w:eastAsia="es-ES" w:bidi="es-ES"/>
        </w:rPr>
      </w:pPr>
      <w:r w:rsidRPr="00461891">
        <w:rPr>
          <w:rFonts w:ascii="Verdana" w:hAnsi="Verdana"/>
          <w:sz w:val="20"/>
          <w:szCs w:val="20"/>
        </w:rPr>
        <w:t>Ahora bien, como se referenció previamente, las normas vigentes establecen que entre el Decreto que convoca a elecciones complementarias, y la votación para las mismas transcurren aproximadamente 60 días o lo que es lo mismo, dos (2) meses. En consecuencia, si la norma establece un plazo aproximado de 60 días para que se celebren las votaciones complementarias, no es posible aplicar al efecto la prohibición de modificar nómina y de celebrar convenios interadministrativos, dentro de los cuatro (4) meses anteriores a las elecciones, contemplados en el parágrafo del artículo 38 de la Ley 996 de 2005”. (Énfasis por fuera de texto)</w:t>
      </w:r>
    </w:p>
    <w:p w14:paraId="073C1153" w14:textId="77777777" w:rsidR="005B261C" w:rsidRPr="00461891" w:rsidRDefault="005B261C" w:rsidP="005B261C">
      <w:pPr>
        <w:widowControl w:val="0"/>
        <w:autoSpaceDE w:val="0"/>
        <w:autoSpaceDN w:val="0"/>
        <w:spacing w:after="0" w:line="276" w:lineRule="auto"/>
        <w:ind w:firstLine="709"/>
        <w:contextualSpacing/>
        <w:jc w:val="both"/>
        <w:rPr>
          <w:rFonts w:ascii="Verdana" w:eastAsia="Calibri" w:hAnsi="Verdana" w:cs="Arial"/>
          <w:lang w:eastAsia="es-ES" w:bidi="es-ES"/>
        </w:rPr>
      </w:pPr>
    </w:p>
    <w:p w14:paraId="267157D3" w14:textId="77777777" w:rsidR="005B261C" w:rsidRPr="00461891" w:rsidRDefault="005B261C" w:rsidP="005B261C">
      <w:pPr>
        <w:widowControl w:val="0"/>
        <w:autoSpaceDE w:val="0"/>
        <w:autoSpaceDN w:val="0"/>
        <w:spacing w:after="120" w:line="276" w:lineRule="auto"/>
        <w:ind w:firstLine="709"/>
        <w:jc w:val="both"/>
        <w:rPr>
          <w:rFonts w:ascii="Verdana" w:eastAsia="Calibri" w:hAnsi="Verdana" w:cs="Arial"/>
          <w:lang w:eastAsia="es-ES" w:bidi="es-ES"/>
        </w:rPr>
      </w:pPr>
      <w:r w:rsidRPr="00461891">
        <w:rPr>
          <w:rFonts w:ascii="Verdana" w:eastAsia="Calibri" w:hAnsi="Verdana" w:cs="Arial"/>
          <w:lang w:eastAsia="es-ES" w:bidi="es-ES"/>
        </w:rPr>
        <w:t xml:space="preserve">Bajo estas consideraciones, se concluye que para las elecciones atípicas de alcaldía resulta aplicable las restricciones señaladas en el parágrafo del artículo 38 de la Ley 996 de 2005, lo que significa que, en materia de contratación estatal, los Alcaldes, los Gobernadores, Alcaldes Municipales y/o Distritales, Secretarios, Gerentes y directores de Entidades Descentralizadas del orden Municipal, Departamental o Distrital, no podrán celebrar convenios interadministrativos para la ejecución de recursos públicos, dentro del periodo en que se convocó a las elecciones atípicas y su votación. </w:t>
      </w:r>
    </w:p>
    <w:p w14:paraId="6542F5BE" w14:textId="77777777" w:rsidR="005B261C" w:rsidRDefault="005B261C" w:rsidP="005B261C">
      <w:pPr>
        <w:widowControl w:val="0"/>
        <w:autoSpaceDE w:val="0"/>
        <w:autoSpaceDN w:val="0"/>
        <w:spacing w:after="120" w:line="276" w:lineRule="auto"/>
        <w:ind w:firstLine="709"/>
        <w:jc w:val="both"/>
        <w:rPr>
          <w:rFonts w:ascii="Verdana" w:eastAsia="Calibri" w:hAnsi="Verdana" w:cs="Arial"/>
          <w:lang w:eastAsia="es-ES" w:bidi="es-ES"/>
        </w:rPr>
      </w:pPr>
      <w:r w:rsidRPr="00461891">
        <w:rPr>
          <w:rFonts w:ascii="Verdana" w:eastAsia="Calibri" w:hAnsi="Verdana" w:cs="Arial"/>
          <w:lang w:eastAsia="es-ES" w:bidi="es-ES"/>
        </w:rPr>
        <w:t xml:space="preserve">Naturalmente, en este caso, las restricciones del parágrafo del artículo 38, como lo expone el Consejo Nacional Electoral, no podrán aplicarse dentro del plazo señalado en la norma, por ello, tendrán lugar respecto del plazo que transcurre entre el momento en que se convoca a elecciones y el día en que se realizan efectivamente conforme con la normatividad vigente. </w:t>
      </w:r>
    </w:p>
    <w:p w14:paraId="54DA6DC9" w14:textId="77777777" w:rsidR="005B261C" w:rsidRPr="00461891" w:rsidRDefault="005B261C" w:rsidP="005B261C">
      <w:pPr>
        <w:widowControl w:val="0"/>
        <w:autoSpaceDE w:val="0"/>
        <w:autoSpaceDN w:val="0"/>
        <w:spacing w:after="120" w:line="276" w:lineRule="auto"/>
        <w:ind w:firstLine="709"/>
        <w:jc w:val="both"/>
        <w:rPr>
          <w:rFonts w:ascii="Verdana" w:eastAsia="Calibri" w:hAnsi="Verdana" w:cs="Arial"/>
          <w:lang w:eastAsia="es-ES" w:bidi="es-ES"/>
        </w:rPr>
      </w:pPr>
      <w:r>
        <w:rPr>
          <w:rFonts w:ascii="Verdana" w:eastAsia="Calibri" w:hAnsi="Verdana" w:cs="Arial"/>
          <w:lang w:eastAsia="es-ES" w:bidi="es-ES"/>
        </w:rPr>
        <w:t xml:space="preserve">En conclusión, </w:t>
      </w:r>
      <w:r w:rsidRPr="00471FB5">
        <w:rPr>
          <w:rFonts w:ascii="Verdana" w:eastAsia="Calibri" w:hAnsi="Verdana" w:cs="Arial"/>
          <w:lang w:eastAsia="es-ES" w:bidi="es-ES"/>
        </w:rPr>
        <w:t xml:space="preserve">la Ley de Garantías Electorales —Ley 996 de 2005— no vulnera la posibilidad de contratar mediante contratos de prestación de servicios profesionales y de apoyo a la gestión en las alcaldías municipales a partir del 1 de enero de 2026, incluso si estos resultan indispensables para la continuidad de la administración pública y pese a que la prohibición de contratación directa se activa desde el 8 de diciembre de 2025 con ocasión de las elecciones presidenciales. En primer lugar, es importante aclarar que esta prohibición no es absoluta, ya que el artículo 33 de la Ley establece excepciones expresas, permitiendo la suscripción de contratos cuando exista urgencia manifiesta, continuidad de la prestación de servicios públicos, o cuando se trate de procesos debidamente planeados e incluidos en el Plan Anual de Adquisiciones con anterioridad al inicio del periodo de restricciones. En segundo lugar, Colombia </w:t>
      </w:r>
      <w:r w:rsidRPr="00471FB5">
        <w:rPr>
          <w:rFonts w:ascii="Verdana" w:eastAsia="Calibri" w:hAnsi="Verdana" w:cs="Arial"/>
          <w:lang w:eastAsia="es-ES" w:bidi="es-ES"/>
        </w:rPr>
        <w:lastRenderedPageBreak/>
        <w:t>Compra Eficiente, en su interpretación oficial, ha sido clara en señalar que la Ley de Garantías no impide la ejecución de funciones públicas esenciales ni bloquea la operación administrativa: lo que exige es una actuación diligente, planeada y transparente por parte de las entidades estatales. Así mismo, ha precisado que la restricción sobre la celebración de convenios interadministrativos que impliquen ejecución de recursos públicos también aplica durante este periodo, tanto para elecciones ordinarias como atípicas, conforme al parágrafo del artículo 38. Sin embargo, dichas restricciones no excluyen la posibilidad de ejecutar contratos que respondan a la garantía del servicio público, siempre que se observen los principios de planeación, legalidad, responsabilidad y eficiencia. Las entidades públicas, por tanto, tienen la capacidad y el deber de planear con anticipación los procesos contractuales necesarios para garantizar la operación ininterrumpida de sus funciones, lo cual incluye la posibilidad de prever desde el segundo semestre de 2025 los contratos requeridos para el primer trimestre de 2026, asegurando así la continuidad administrativa dentro del marco legal y sin comprometer la equidad del proceso electoral.</w:t>
      </w:r>
      <w:r>
        <w:rPr>
          <w:rFonts w:ascii="Verdana" w:eastAsia="Calibri" w:hAnsi="Verdana" w:cs="Arial"/>
          <w:lang w:eastAsia="es-ES" w:bidi="es-ES"/>
        </w:rPr>
        <w:t xml:space="preserve"> </w:t>
      </w:r>
      <w:bookmarkEnd w:id="17"/>
    </w:p>
    <w:p w14:paraId="5AB2AA35" w14:textId="77777777" w:rsidR="005B261C" w:rsidRPr="005A6C33" w:rsidRDefault="005B261C" w:rsidP="005B261C">
      <w:pPr>
        <w:widowControl w:val="0"/>
        <w:autoSpaceDE w:val="0"/>
        <w:autoSpaceDN w:val="0"/>
        <w:spacing w:after="0" w:line="276" w:lineRule="auto"/>
        <w:jc w:val="both"/>
        <w:rPr>
          <w:rFonts w:ascii="Verdana" w:hAnsi="Verdana" w:cs="Arial"/>
          <w:color w:val="000000" w:themeColor="text1"/>
        </w:rPr>
      </w:pPr>
    </w:p>
    <w:p w14:paraId="1338AC91"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0040ED14"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B261C" w:rsidRPr="00115E3D" w14:paraId="0BF4D7F6" w14:textId="77777777" w:rsidTr="008D7291">
        <w:trPr>
          <w:trHeight w:val="335"/>
        </w:trPr>
        <w:tc>
          <w:tcPr>
            <w:tcW w:w="8647" w:type="dxa"/>
          </w:tcPr>
          <w:p w14:paraId="55D3C6CC" w14:textId="77777777" w:rsidR="005B261C" w:rsidRPr="00351650" w:rsidRDefault="005B261C" w:rsidP="005B261C">
            <w:pPr>
              <w:pStyle w:val="Prrafodelista"/>
              <w:numPr>
                <w:ilvl w:val="0"/>
                <w:numId w:val="17"/>
              </w:numPr>
              <w:rPr>
                <w:rFonts w:ascii="Verdana" w:hAnsi="Verdana" w:cs="Arial"/>
                <w:lang w:bidi="es-ES"/>
              </w:rPr>
            </w:pPr>
            <w:r w:rsidRPr="007F4CB0">
              <w:rPr>
                <w:rFonts w:ascii="Verdana" w:hAnsi="Verdana" w:cs="Arial"/>
              </w:rPr>
              <w:t xml:space="preserve"> </w:t>
            </w:r>
            <w:r w:rsidRPr="00351650">
              <w:rPr>
                <w:rFonts w:ascii="Verdana" w:hAnsi="Verdana" w:cs="Arial"/>
              </w:rPr>
              <w:t>Constitución Política: Artículo 127.</w:t>
            </w:r>
          </w:p>
          <w:p w14:paraId="387E523C" w14:textId="77777777" w:rsidR="005B261C" w:rsidRPr="00351650" w:rsidRDefault="005B261C" w:rsidP="005B261C">
            <w:pPr>
              <w:pStyle w:val="Prrafodelista"/>
              <w:numPr>
                <w:ilvl w:val="0"/>
                <w:numId w:val="17"/>
              </w:numPr>
              <w:rPr>
                <w:rFonts w:ascii="Verdana" w:hAnsi="Verdana" w:cs="Arial"/>
                <w:lang w:bidi="es-ES"/>
              </w:rPr>
            </w:pPr>
            <w:r w:rsidRPr="00351650">
              <w:rPr>
                <w:rFonts w:ascii="Verdana" w:hAnsi="Verdana" w:cs="Arial"/>
                <w:bCs/>
                <w:lang w:bidi="es-ES"/>
              </w:rPr>
              <w:t>Ley 996 de 2005: artículos 33 y 38 parágrafo.</w:t>
            </w:r>
          </w:p>
          <w:p w14:paraId="61258CA7" w14:textId="77777777" w:rsidR="005B261C" w:rsidRPr="00351650" w:rsidRDefault="005B261C" w:rsidP="005B261C">
            <w:pPr>
              <w:pStyle w:val="Prrafodelista"/>
              <w:numPr>
                <w:ilvl w:val="0"/>
                <w:numId w:val="17"/>
              </w:numPr>
              <w:rPr>
                <w:rFonts w:ascii="Verdana" w:hAnsi="Verdana" w:cs="Arial"/>
                <w:lang w:bidi="es-ES"/>
              </w:rPr>
            </w:pPr>
            <w:r w:rsidRPr="00351650">
              <w:rPr>
                <w:rFonts w:ascii="Verdana" w:hAnsi="Verdana" w:cs="Arial"/>
              </w:rPr>
              <w:t>Ley 136 de 1994: Artículo 98.</w:t>
            </w:r>
          </w:p>
          <w:p w14:paraId="7891E018" w14:textId="77777777" w:rsidR="005B261C" w:rsidRPr="00351650" w:rsidRDefault="005B261C" w:rsidP="005B261C">
            <w:pPr>
              <w:pStyle w:val="Prrafodelista"/>
              <w:numPr>
                <w:ilvl w:val="0"/>
                <w:numId w:val="17"/>
              </w:numPr>
              <w:rPr>
                <w:rFonts w:ascii="Verdana" w:hAnsi="Verdana" w:cs="Arial"/>
              </w:rPr>
            </w:pPr>
            <w:r w:rsidRPr="00351650">
              <w:rPr>
                <w:rFonts w:ascii="Verdana" w:hAnsi="Verdana" w:cs="Arial"/>
              </w:rPr>
              <w:t>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0F4EFB79" w14:textId="77777777" w:rsidR="005B261C" w:rsidRPr="00351650" w:rsidRDefault="005B261C" w:rsidP="005B261C">
            <w:pPr>
              <w:pStyle w:val="Prrafodelista"/>
              <w:numPr>
                <w:ilvl w:val="0"/>
                <w:numId w:val="17"/>
              </w:numPr>
              <w:rPr>
                <w:rFonts w:ascii="Verdana" w:hAnsi="Verdana" w:cs="Arial"/>
                <w:lang w:val="pt-BR"/>
              </w:rPr>
            </w:pPr>
            <w:r w:rsidRPr="00351650">
              <w:rPr>
                <w:rFonts w:ascii="Verdana" w:hAnsi="Verdana" w:cs="Arial"/>
                <w:lang w:val="pt-BR"/>
              </w:rPr>
              <w:t>Corte Constitucional. Sentencia C-671 de 2015. M.P. Alberto Rojas Ríos.</w:t>
            </w:r>
          </w:p>
          <w:p w14:paraId="64120315" w14:textId="77777777" w:rsidR="005B261C" w:rsidRPr="00351650" w:rsidRDefault="005B261C" w:rsidP="005B261C">
            <w:pPr>
              <w:pStyle w:val="Prrafodelista"/>
              <w:numPr>
                <w:ilvl w:val="0"/>
                <w:numId w:val="17"/>
              </w:numPr>
              <w:rPr>
                <w:rFonts w:ascii="Verdana" w:hAnsi="Verdana" w:cs="Arial"/>
              </w:rPr>
            </w:pPr>
            <w:r w:rsidRPr="00351650">
              <w:rPr>
                <w:rFonts w:ascii="Verdana" w:hAnsi="Verdana" w:cs="Arial"/>
              </w:rPr>
              <w:t xml:space="preserve">Consejo de Estado, Sala de lo Contencioso Administrativo, Sección Primera. Sentencia de 3 de marzo de 2005, expediente número 2004-00823-01(PI). </w:t>
            </w:r>
          </w:p>
          <w:p w14:paraId="220D2A53" w14:textId="77777777" w:rsidR="005B261C" w:rsidRPr="00351650" w:rsidRDefault="005B261C" w:rsidP="005B261C">
            <w:pPr>
              <w:pStyle w:val="Prrafodelista"/>
              <w:numPr>
                <w:ilvl w:val="0"/>
                <w:numId w:val="17"/>
              </w:numPr>
              <w:rPr>
                <w:rFonts w:ascii="Verdana" w:hAnsi="Verdana" w:cs="Arial"/>
              </w:rPr>
            </w:pPr>
            <w:r w:rsidRPr="00351650">
              <w:rPr>
                <w:rFonts w:ascii="Verdana" w:hAnsi="Verdana" w:cs="Arial"/>
              </w:rPr>
              <w:t>Consejo de Estado. Sala de Consulta y Servicio Civil. Concepto del 15 de noviembre de 2007. Radicado 1863. C.P: Luis Fernando Álvarez Jaramillo.</w:t>
            </w:r>
          </w:p>
          <w:p w14:paraId="6E1D88FE" w14:textId="77777777" w:rsidR="005B261C" w:rsidRPr="00351650" w:rsidRDefault="005B261C" w:rsidP="005B261C">
            <w:pPr>
              <w:pStyle w:val="Prrafodelista"/>
              <w:numPr>
                <w:ilvl w:val="0"/>
                <w:numId w:val="17"/>
              </w:numPr>
              <w:rPr>
                <w:rFonts w:ascii="Verdana" w:hAnsi="Verdana" w:cs="Arial"/>
              </w:rPr>
            </w:pPr>
            <w:r w:rsidRPr="00351650">
              <w:rPr>
                <w:rFonts w:ascii="Verdana" w:hAnsi="Verdana" w:cs="Arial"/>
              </w:rPr>
              <w:t xml:space="preserve">Consejo de Estado, Sala de Consulta y Servicio Civil. Concepto de 24 de julio de 2013. Radicado 2166. C. P. Álvaro </w:t>
            </w:r>
            <w:proofErr w:type="spellStart"/>
            <w:r w:rsidRPr="00351650">
              <w:rPr>
                <w:rFonts w:ascii="Verdana" w:hAnsi="Verdana" w:cs="Arial"/>
              </w:rPr>
              <w:t>Namén</w:t>
            </w:r>
            <w:proofErr w:type="spellEnd"/>
            <w:r w:rsidRPr="00351650">
              <w:rPr>
                <w:rFonts w:ascii="Verdana" w:hAnsi="Verdana" w:cs="Arial"/>
              </w:rPr>
              <w:t xml:space="preserve"> Vargas.  </w:t>
            </w:r>
          </w:p>
          <w:p w14:paraId="7E1D661D" w14:textId="77777777" w:rsidR="005B261C" w:rsidRPr="00351650" w:rsidRDefault="005B261C" w:rsidP="005B261C">
            <w:pPr>
              <w:pStyle w:val="Prrafodelista"/>
              <w:numPr>
                <w:ilvl w:val="0"/>
                <w:numId w:val="17"/>
              </w:numPr>
              <w:rPr>
                <w:rFonts w:ascii="Verdana" w:hAnsi="Verdana" w:cs="Arial"/>
              </w:rPr>
            </w:pPr>
            <w:r w:rsidRPr="00351650">
              <w:rPr>
                <w:rFonts w:ascii="Verdana" w:hAnsi="Verdana" w:cs="Arial"/>
              </w:rPr>
              <w:lastRenderedPageBreak/>
              <w:t>Consejo de Estado. Sala de Consulta y Servicio Civil. Concepto del 20 de febrero de 2018. Expediente número 12366. Consejero Ponente: Oscar Darío Amaya Navas.</w:t>
            </w:r>
          </w:p>
          <w:p w14:paraId="48E371D4" w14:textId="77777777" w:rsidR="005B261C" w:rsidRPr="00351650" w:rsidRDefault="005B261C" w:rsidP="005B261C">
            <w:pPr>
              <w:pStyle w:val="Prrafodelista"/>
              <w:numPr>
                <w:ilvl w:val="0"/>
                <w:numId w:val="17"/>
              </w:numPr>
              <w:rPr>
                <w:rFonts w:ascii="Verdana" w:hAnsi="Verdana" w:cs="Arial"/>
              </w:rPr>
            </w:pPr>
            <w:r w:rsidRPr="00351650">
              <w:rPr>
                <w:rFonts w:ascii="Verdana" w:hAnsi="Verdana" w:cs="Arial"/>
              </w:rPr>
              <w:t>Consejo de Estado. Sala de Consulta y Servicio Civil. Concepto del 17 de febrero de 2015. Radicado 2269. C.P. William Zambrano Cetina</w:t>
            </w:r>
          </w:p>
          <w:p w14:paraId="58929F44" w14:textId="77777777" w:rsidR="005B261C" w:rsidRPr="00D81159" w:rsidRDefault="005B261C" w:rsidP="005B261C">
            <w:pPr>
              <w:pStyle w:val="Prrafodelista"/>
              <w:widowControl w:val="0"/>
              <w:numPr>
                <w:ilvl w:val="0"/>
                <w:numId w:val="17"/>
              </w:numPr>
              <w:autoSpaceDE w:val="0"/>
              <w:autoSpaceDN w:val="0"/>
              <w:spacing w:after="120" w:line="276" w:lineRule="auto"/>
              <w:jc w:val="both"/>
              <w:rPr>
                <w:rFonts w:ascii="Verdana" w:hAnsi="Verdana" w:cs="Arial"/>
              </w:rPr>
            </w:pPr>
            <w:r w:rsidRPr="00351650">
              <w:rPr>
                <w:rFonts w:ascii="Verdana" w:hAnsi="Verdana" w:cs="Arial"/>
              </w:rPr>
              <w:t>Consejo de Estado, Sala de lo Contencioso Administrativo, Sección Tercera. Auto del 4 de octubre de 2024. Radicado No. 70.313. MP: Fredy Ibarra Martínez</w:t>
            </w:r>
          </w:p>
        </w:tc>
      </w:tr>
    </w:tbl>
    <w:p w14:paraId="4B0DAD31"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66BA0CD0"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0A8A6381"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7A17FA77" w14:textId="77777777" w:rsidR="005B261C" w:rsidRPr="004D4DED" w:rsidRDefault="005B261C" w:rsidP="005B261C">
      <w:pPr>
        <w:widowControl w:val="0"/>
        <w:autoSpaceDE w:val="0"/>
        <w:autoSpaceDN w:val="0"/>
        <w:spacing w:after="0" w:line="276" w:lineRule="auto"/>
        <w:jc w:val="both"/>
        <w:rPr>
          <w:rStyle w:val="normaltextrun"/>
          <w:rFonts w:ascii="Verdana" w:hAnsi="Verdana" w:cs="Arial"/>
          <w:shd w:val="clear" w:color="auto" w:fill="FFFFFF"/>
          <w:lang w:val="es-ES"/>
        </w:rPr>
      </w:pPr>
      <w:r w:rsidRPr="004D4DED">
        <w:rPr>
          <w:rStyle w:val="normaltextrun"/>
          <w:rFonts w:ascii="Verdana" w:hAnsi="Verdana" w:cs="Arial"/>
          <w:shd w:val="clear" w:color="auto" w:fill="FFFFFF"/>
          <w:lang w:val="es-ES"/>
        </w:rPr>
        <w:t xml:space="preserve">Sobre </w:t>
      </w:r>
      <w:r>
        <w:rPr>
          <w:rStyle w:val="normaltextrun"/>
          <w:rFonts w:ascii="Verdana" w:hAnsi="Verdana" w:cs="Arial"/>
          <w:shd w:val="clear" w:color="auto" w:fill="FFFFFF"/>
          <w:lang w:val="es-ES"/>
        </w:rPr>
        <w:t xml:space="preserve">las restricciones de la contratación directa y los convenios y contratos interadministrativos en vigencia de la Ley de Garantías Electorales </w:t>
      </w:r>
      <w:r w:rsidRPr="004D4DED">
        <w:rPr>
          <w:rStyle w:val="normaltextrun"/>
          <w:rFonts w:ascii="Verdana" w:hAnsi="Verdana" w:cs="Arial"/>
          <w:shd w:val="clear" w:color="auto" w:fill="FFFFFF"/>
          <w:lang w:val="es-ES"/>
        </w:rPr>
        <w:t>se pronunció esta Subdirección en los conceptos</w:t>
      </w:r>
      <w:r w:rsidRPr="004D4DED">
        <w:rPr>
          <w:rStyle w:val="normaltextrun"/>
          <w:rFonts w:ascii="Verdana" w:hAnsi="Verdana" w:cs="Calibri"/>
          <w:shd w:val="clear" w:color="auto" w:fill="FFFFFF"/>
        </w:rPr>
        <w:t xml:space="preserve"> </w:t>
      </w:r>
      <w:r w:rsidRPr="004D4DED">
        <w:rPr>
          <w:rStyle w:val="normaltextrun"/>
          <w:rFonts w:ascii="Verdana" w:hAnsi="Verdana" w:cs="Arial"/>
          <w:shd w:val="clear" w:color="auto" w:fill="FFFFFF"/>
          <w:lang w:val="es-ES"/>
        </w:rPr>
        <w:t>C</w:t>
      </w:r>
      <w:r w:rsidRPr="004D4DED">
        <w:rPr>
          <w:rFonts w:ascii="Arial" w:eastAsia="Calibri" w:hAnsi="Arial" w:cs="Arial"/>
          <w:lang w:eastAsia="en-GB"/>
        </w:rPr>
        <w:t xml:space="preserve"> C-168 del 14 de abril de 2021, </w:t>
      </w:r>
      <w:r w:rsidRPr="004D4DED">
        <w:rPr>
          <w:rFonts w:ascii="Arial" w:eastAsia="Calibri" w:hAnsi="Arial" w:cs="Arial"/>
          <w:lang w:val="es-ES" w:eastAsia="es-ES_tradnl"/>
        </w:rPr>
        <w:t xml:space="preserve">C-585 de 15 de octubre de 2021, C-639 del 14 de marzo de 2021, </w:t>
      </w:r>
      <w:r w:rsidRPr="004D4DED">
        <w:rPr>
          <w:rFonts w:ascii="Arial" w:eastAsia="Calibri" w:hAnsi="Arial" w:cs="Arial"/>
          <w:lang w:eastAsia="en-GB"/>
        </w:rPr>
        <w:t xml:space="preserve">C-664 del 1° de septiembre de 2022, </w:t>
      </w:r>
      <w:r w:rsidRPr="004D4DED">
        <w:rPr>
          <w:rFonts w:ascii="Arial" w:eastAsia="Calibri" w:hAnsi="Arial" w:cs="Arial"/>
          <w:lang w:val="es-ES" w:eastAsia="es-ES_tradnl"/>
        </w:rPr>
        <w:t>C-771 del 29 de diciembre de 2022, analizó el régimen de los contratos y los convenios. Por otra parte, en los Conceptos No. 4201913000006135 del 10 de septiembre de 2019,</w:t>
      </w:r>
      <w:r w:rsidRPr="004D4DED">
        <w:rPr>
          <w:rFonts w:ascii="Arial" w:eastAsia="Times New Roman" w:hAnsi="Arial" w:cs="Arial"/>
          <w:lang w:eastAsia="es-ES_tradnl"/>
        </w:rPr>
        <w:t xml:space="preserve"> </w:t>
      </w:r>
      <w:r w:rsidRPr="004D4DED">
        <w:rPr>
          <w:rFonts w:ascii="Arial" w:eastAsia="Calibri" w:hAnsi="Arial" w:cs="Arial"/>
          <w:lang w:val="es-ES" w:eastAsia="es-ES_tradnl"/>
        </w:rPr>
        <w:t xml:space="preserve">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y C-068 del 9 de marzo de 2023 y C-40 del 22 de marzo de 2023 </w:t>
      </w:r>
      <w:r>
        <w:rPr>
          <w:rStyle w:val="normaltextrun"/>
          <w:rFonts w:ascii="Verdana" w:hAnsi="Verdana" w:cs="Arial"/>
          <w:shd w:val="clear" w:color="auto" w:fill="FFFFFF"/>
          <w:lang w:val="es-ES"/>
        </w:rPr>
        <w:t xml:space="preserve">, </w:t>
      </w:r>
      <w:r w:rsidRPr="004D4DED">
        <w:rPr>
          <w:rFonts w:ascii="Arial" w:eastAsia="Arial" w:hAnsi="Arial" w:cs="Arial"/>
          <w:lang w:val="es-ES_tradnl"/>
        </w:rPr>
        <w:t xml:space="preserve">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2201913000009312 del 17 de diciembre de 2019, </w:t>
      </w:r>
      <w:r w:rsidRPr="004D4DED">
        <w:rPr>
          <w:rFonts w:ascii="Arial" w:eastAsia="Calibri" w:hAnsi="Arial" w:cs="Arial"/>
          <w:bCs/>
          <w:lang w:val="es-ES_tradnl"/>
        </w:rPr>
        <w:t xml:space="preserve">C-074 del 17 de marzo de 2021, C-075 </w:t>
      </w:r>
      <w:r w:rsidRPr="004D4DED">
        <w:rPr>
          <w:rFonts w:ascii="Arial" w:eastAsia="Calibri" w:hAnsi="Arial" w:cs="Arial"/>
          <w:bCs/>
          <w:lang w:val="es-ES_tradnl"/>
        </w:rPr>
        <w:lastRenderedPageBreak/>
        <w:t xml:space="preserve">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C-695 del 22 de diciembre de 2021, </w:t>
      </w:r>
      <w:r w:rsidRPr="004D4DED">
        <w:rPr>
          <w:rFonts w:ascii="Arial" w:eastAsia="Calibri" w:hAnsi="Arial" w:cs="Arial"/>
          <w:bCs/>
        </w:rPr>
        <w:t xml:space="preserve">C-015 del 12 de enero de 2022, C-037 del 21 de enero de 2022, </w:t>
      </w:r>
      <w:r w:rsidRPr="004D4DED">
        <w:rPr>
          <w:rFonts w:ascii="Arial" w:eastAsia="Calibri" w:hAnsi="Arial" w:cs="Arial"/>
          <w:lang w:val="es-ES_tradnl"/>
        </w:rPr>
        <w:t xml:space="preserve">C-715 del 21 de enero de 2022, C-718 del 24 de enero de 2022, C-726 del 24 de enero de 2022, C-014 de 18 de febrero de 2022, C- 023 del 22 de febrero de 2022, </w:t>
      </w:r>
      <w:r w:rsidRPr="004D4DED">
        <w:rPr>
          <w:rFonts w:ascii="Arial" w:eastAsia="Calibri" w:hAnsi="Arial" w:cs="Arial"/>
          <w:bCs/>
        </w:rPr>
        <w:t xml:space="preserve">C-107 del 18 de marzo de 2022, C-122 del 18 de marzo de 2022, C-156 del 28 de marzo de 2022 y C-183 del 7 de abril de 2022. </w:t>
      </w:r>
      <w:r w:rsidRPr="004D4DED">
        <w:rPr>
          <w:rStyle w:val="normaltextrun"/>
          <w:rFonts w:ascii="Verdana" w:hAnsi="Verdana" w:cs="Arial"/>
          <w:shd w:val="clear" w:color="auto" w:fill="FFFFFF"/>
          <w:lang w:val="es-ES"/>
        </w:rPr>
        <w:t xml:space="preserve"> Es</w:t>
      </w:r>
      <w:r w:rsidRPr="004D4DED">
        <w:rPr>
          <w:rFonts w:ascii="Verdana" w:hAnsi="Verdana"/>
        </w:rPr>
        <w:t>tos y otros conceptos se encuentran disponibles para consulta en el Sistema de relatoría de la Agencia, al cual se puede acceder a través del siguiente enlace:</w:t>
      </w:r>
      <w:r w:rsidRPr="004D4DED">
        <w:rPr>
          <w:rStyle w:val="normaltextrun"/>
          <w:rFonts w:ascii="Verdana" w:hAnsi="Verdana" w:cs="Arial"/>
          <w:shd w:val="clear" w:color="auto" w:fill="FFFFFF"/>
          <w:lang w:val="es-ES"/>
        </w:rPr>
        <w:t xml:space="preserve"> </w:t>
      </w:r>
      <w:hyperlink r:id="rId13" w:history="1">
        <w:r w:rsidRPr="004D4DED">
          <w:rPr>
            <w:rStyle w:val="Hipervnculo"/>
            <w:rFonts w:ascii="Verdana" w:hAnsi="Verdana" w:cs="Arial"/>
            <w:shd w:val="clear" w:color="auto" w:fill="FFFFFF"/>
            <w:lang w:val="es-ES"/>
          </w:rPr>
          <w:t>https://relatoria.colombiacompra.gov.co/busqueda/conceptos</w:t>
        </w:r>
      </w:hyperlink>
      <w:r w:rsidRPr="004D4DED">
        <w:rPr>
          <w:rStyle w:val="normaltextrun"/>
          <w:rFonts w:ascii="Verdana" w:hAnsi="Verdana" w:cs="Arial"/>
          <w:shd w:val="clear" w:color="auto" w:fill="FFFFFF"/>
          <w:lang w:val="es-ES"/>
        </w:rPr>
        <w:t xml:space="preserve">. </w:t>
      </w:r>
    </w:p>
    <w:p w14:paraId="1F37605E" w14:textId="77777777" w:rsidR="005B261C" w:rsidRPr="00115E3D" w:rsidRDefault="005B261C" w:rsidP="005B261C">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2A78B2FE" w14:textId="77777777" w:rsidR="005B261C" w:rsidRPr="00115E3D" w:rsidRDefault="005B261C" w:rsidP="005B261C">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737780A1" w14:textId="77777777" w:rsidR="005B261C" w:rsidRPr="00115E3D" w:rsidRDefault="005B261C" w:rsidP="005B261C">
      <w:pPr>
        <w:spacing w:after="0" w:line="240" w:lineRule="auto"/>
        <w:jc w:val="both"/>
        <w:rPr>
          <w:rFonts w:ascii="Verdana" w:hAnsi="Verdana"/>
          <w:color w:val="000000" w:themeColor="text1"/>
        </w:rPr>
      </w:pPr>
    </w:p>
    <w:p w14:paraId="4A8E8FD5" w14:textId="77777777" w:rsidR="005B261C" w:rsidRPr="00115E3D" w:rsidRDefault="005B261C" w:rsidP="005B261C">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5A30B538" w14:textId="77777777" w:rsidR="005B261C" w:rsidRPr="00115E3D" w:rsidRDefault="005B261C" w:rsidP="005B261C">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19A51331" w14:textId="77777777" w:rsidR="005B261C" w:rsidRPr="00115E3D" w:rsidRDefault="005B261C" w:rsidP="005B261C">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6CDDFD37"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1B480C96"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361795A8"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41D52C97" w14:textId="77777777" w:rsidR="005B261C" w:rsidRPr="00115E3D" w:rsidRDefault="005B261C" w:rsidP="005B261C">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2A1C7F8A" w14:textId="2F24F902" w:rsidR="005B261C" w:rsidRPr="00115E3D" w:rsidRDefault="00746725" w:rsidP="005B261C">
      <w:pPr>
        <w:spacing w:line="276" w:lineRule="auto"/>
        <w:jc w:val="center"/>
        <w:rPr>
          <w:rFonts w:ascii="Verdana" w:hAnsi="Verdana" w:cs="Arial"/>
          <w:color w:val="000000" w:themeColor="text1"/>
          <w:lang w:val="es-ES_tradnl" w:eastAsia="es-CO"/>
        </w:rPr>
      </w:pPr>
      <w:r>
        <w:rPr>
          <w:noProof/>
        </w:rPr>
        <w:lastRenderedPageBreak/>
        <w:drawing>
          <wp:inline distT="0" distB="0" distL="0" distR="0" wp14:anchorId="3871974C" wp14:editId="76B36426">
            <wp:extent cx="3495675" cy="1297637"/>
            <wp:effectExtent l="0" t="0" r="0" b="0"/>
            <wp:docPr id="1603149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4956" name="Imagen 1" descr="Texto&#10;&#10;El contenido generado por IA puede ser incorrecto."/>
                    <pic:cNvPicPr/>
                  </pic:nvPicPr>
                  <pic:blipFill>
                    <a:blip r:embed="rId14"/>
                    <a:stretch>
                      <a:fillRect/>
                    </a:stretch>
                  </pic:blipFill>
                  <pic:spPr>
                    <a:xfrm>
                      <a:off x="0" y="0"/>
                      <a:ext cx="3502608" cy="130021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B261C" w:rsidRPr="00115E3D" w14:paraId="62B6198F" w14:textId="77777777" w:rsidTr="006F1A38">
        <w:trPr>
          <w:trHeight w:val="315"/>
        </w:trPr>
        <w:tc>
          <w:tcPr>
            <w:tcW w:w="893" w:type="dxa"/>
            <w:vAlign w:val="center"/>
            <w:hideMark/>
          </w:tcPr>
          <w:p w14:paraId="22558D14" w14:textId="77777777" w:rsidR="005B261C" w:rsidRPr="00115E3D" w:rsidRDefault="005B261C"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711F7BB" w14:textId="77777777" w:rsidR="005B261C" w:rsidRPr="00115E3D" w:rsidRDefault="005B261C" w:rsidP="006F1A38">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p>
          <w:p w14:paraId="17599502" w14:textId="77777777" w:rsidR="005B261C" w:rsidRPr="00115E3D" w:rsidRDefault="005B261C" w:rsidP="006F1A38">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Analista T2-02</w:t>
            </w:r>
            <w:r w:rsidRPr="00115E3D">
              <w:rPr>
                <w:rStyle w:val="normaltextrun"/>
                <w:rFonts w:ascii="Verdana" w:eastAsia="Arial" w:hAnsi="Verdana" w:cs="Arial"/>
                <w:color w:val="000000" w:themeColor="text1"/>
                <w:sz w:val="16"/>
                <w:szCs w:val="16"/>
              </w:rPr>
              <w:t xml:space="preserve"> de la Subdirección de Gestión Contractual</w:t>
            </w:r>
          </w:p>
        </w:tc>
      </w:tr>
      <w:tr w:rsidR="005B261C" w:rsidRPr="00115E3D" w14:paraId="7ACE6661" w14:textId="77777777" w:rsidTr="006F1A38">
        <w:trPr>
          <w:trHeight w:val="330"/>
        </w:trPr>
        <w:tc>
          <w:tcPr>
            <w:tcW w:w="893" w:type="dxa"/>
            <w:vAlign w:val="center"/>
            <w:hideMark/>
          </w:tcPr>
          <w:p w14:paraId="7EFF66C0" w14:textId="77777777" w:rsidR="005B261C" w:rsidRPr="00115E3D" w:rsidRDefault="005B261C"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15D1DB" w14:textId="77777777" w:rsidR="005B261C" w:rsidRPr="00B37171" w:rsidRDefault="005B261C" w:rsidP="006F1A38">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Juan David Cárdenas Cabeza </w:t>
            </w:r>
          </w:p>
          <w:p w14:paraId="0B208D03" w14:textId="77777777" w:rsidR="005B261C" w:rsidRPr="00115E3D" w:rsidRDefault="005B261C" w:rsidP="006F1A38">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5B261C" w:rsidRPr="00115E3D" w14:paraId="0756A38D" w14:textId="77777777" w:rsidTr="006F1A38">
        <w:trPr>
          <w:trHeight w:val="300"/>
        </w:trPr>
        <w:tc>
          <w:tcPr>
            <w:tcW w:w="893" w:type="dxa"/>
            <w:vAlign w:val="center"/>
          </w:tcPr>
          <w:p w14:paraId="5B3AA394" w14:textId="77777777" w:rsidR="005B261C" w:rsidRPr="00115E3D" w:rsidRDefault="005B261C"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A246D8" w14:textId="77777777" w:rsidR="005B261C" w:rsidRPr="00115E3D" w:rsidRDefault="005B261C" w:rsidP="006F1A38">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3384C3C1" w14:textId="77777777" w:rsidR="005B261C" w:rsidRPr="00115E3D" w:rsidRDefault="005B261C" w:rsidP="006F1A38">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21CD02EF" w14:textId="77777777" w:rsidR="005B261C" w:rsidRPr="00115E3D" w:rsidRDefault="005B261C" w:rsidP="005B261C">
      <w:pPr>
        <w:spacing w:after="0" w:line="240" w:lineRule="auto"/>
        <w:rPr>
          <w:rFonts w:ascii="Verdana" w:eastAsia="Times New Roman" w:hAnsi="Verdana" w:cs="Arial"/>
          <w:color w:val="000000" w:themeColor="text1"/>
          <w:sz w:val="24"/>
          <w:szCs w:val="24"/>
          <w:lang w:eastAsia="es-ES"/>
        </w:rPr>
      </w:pPr>
    </w:p>
    <w:p w14:paraId="50F652D4" w14:textId="77777777" w:rsidR="005B261C" w:rsidRPr="00115E3D" w:rsidRDefault="005B261C" w:rsidP="005B261C">
      <w:pPr>
        <w:rPr>
          <w:color w:val="000000" w:themeColor="text1"/>
        </w:rPr>
      </w:pPr>
    </w:p>
    <w:p w14:paraId="14D47E36" w14:textId="77777777" w:rsidR="005B261C" w:rsidRDefault="005B261C" w:rsidP="005B261C"/>
    <w:p w14:paraId="3900974D" w14:textId="77777777" w:rsidR="003D5B0D" w:rsidRPr="005B261C" w:rsidRDefault="003D5B0D" w:rsidP="005B261C"/>
    <w:sectPr w:rsidR="003D5B0D" w:rsidRPr="005B261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9FD51" w14:textId="77777777" w:rsidR="008C0E3B" w:rsidRDefault="008C0E3B" w:rsidP="004A1847">
      <w:pPr>
        <w:spacing w:after="0" w:line="240" w:lineRule="auto"/>
      </w:pPr>
      <w:r>
        <w:separator/>
      </w:r>
    </w:p>
  </w:endnote>
  <w:endnote w:type="continuationSeparator" w:id="0">
    <w:p w14:paraId="32A0BADA" w14:textId="77777777" w:rsidR="008C0E3B" w:rsidRDefault="008C0E3B" w:rsidP="004A1847">
      <w:pPr>
        <w:spacing w:after="0" w:line="240" w:lineRule="auto"/>
      </w:pPr>
      <w:r>
        <w:continuationSeparator/>
      </w:r>
    </w:p>
  </w:endnote>
  <w:endnote w:type="continuationNotice" w:id="1">
    <w:p w14:paraId="6A107A80" w14:textId="77777777" w:rsidR="008C0E3B" w:rsidRDefault="008C0E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F6A5" w14:textId="77777777" w:rsidR="008C0E3B" w:rsidRDefault="008C0E3B" w:rsidP="004A1847">
      <w:pPr>
        <w:spacing w:after="0" w:line="240" w:lineRule="auto"/>
      </w:pPr>
      <w:r>
        <w:separator/>
      </w:r>
    </w:p>
  </w:footnote>
  <w:footnote w:type="continuationSeparator" w:id="0">
    <w:p w14:paraId="35D6F5DA" w14:textId="77777777" w:rsidR="008C0E3B" w:rsidRDefault="008C0E3B" w:rsidP="004A1847">
      <w:pPr>
        <w:spacing w:after="0" w:line="240" w:lineRule="auto"/>
      </w:pPr>
      <w:r>
        <w:continuationSeparator/>
      </w:r>
    </w:p>
  </w:footnote>
  <w:footnote w:type="continuationNotice" w:id="1">
    <w:p w14:paraId="7C3144A6" w14:textId="77777777" w:rsidR="008C0E3B" w:rsidRDefault="008C0E3B">
      <w:pPr>
        <w:spacing w:after="0" w:line="240" w:lineRule="auto"/>
      </w:pPr>
    </w:p>
  </w:footnote>
  <w:footnote w:id="2">
    <w:p w14:paraId="0CB4A9AB" w14:textId="77777777" w:rsidR="005B261C" w:rsidRPr="00FA6811" w:rsidRDefault="005B261C" w:rsidP="005B261C">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9DDCAA8" w14:textId="77777777" w:rsidR="005B261C" w:rsidRPr="00FA6811" w:rsidRDefault="005B261C" w:rsidP="005B261C">
      <w:pPr>
        <w:pStyle w:val="Textonotapie"/>
        <w:ind w:firstLine="709"/>
        <w:contextualSpacing/>
        <w:jc w:val="both"/>
        <w:rPr>
          <w:rFonts w:ascii="Verdana" w:hAnsi="Verdana" w:cs="Arial"/>
          <w:sz w:val="16"/>
          <w:szCs w:val="16"/>
        </w:rPr>
      </w:pPr>
      <w:r w:rsidRPr="00FA6811">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1CB45817" w14:textId="77777777" w:rsidR="005B261C" w:rsidRPr="00FA6811" w:rsidRDefault="005B261C" w:rsidP="005B261C">
      <w:pPr>
        <w:pStyle w:val="Textonotapie"/>
        <w:ind w:firstLine="709"/>
        <w:contextualSpacing/>
        <w:jc w:val="both"/>
        <w:rPr>
          <w:rFonts w:ascii="Verdana" w:hAnsi="Verdana" w:cs="Arial"/>
          <w:sz w:val="16"/>
          <w:szCs w:val="16"/>
        </w:rPr>
      </w:pPr>
    </w:p>
  </w:footnote>
  <w:footnote w:id="3">
    <w:p w14:paraId="4DA421A7" w14:textId="77777777" w:rsidR="005B261C" w:rsidRPr="00FA6811" w:rsidRDefault="005B261C" w:rsidP="005B261C">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Gaceta del Congreso de la República No. 71 del 2005.</w:t>
      </w:r>
    </w:p>
  </w:footnote>
  <w:footnote w:id="4">
    <w:p w14:paraId="2CABDF75" w14:textId="77777777" w:rsidR="005B261C" w:rsidRPr="00B80F4D" w:rsidRDefault="005B261C" w:rsidP="005B261C">
      <w:pPr>
        <w:pStyle w:val="Textonotapie"/>
        <w:ind w:firstLine="709"/>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B80F4D">
        <w:rPr>
          <w:rFonts w:ascii="Verdana" w:hAnsi="Verdana" w:cs="Arial"/>
          <w:sz w:val="16"/>
          <w:szCs w:val="16"/>
          <w:lang w:val="pt-BR"/>
        </w:rPr>
        <w:t xml:space="preserve"> Corte Constitucional, Sentencia C- 1153 de 2005, M.P. Marco Gerardo Monroy Cabra.</w:t>
      </w:r>
    </w:p>
  </w:footnote>
  <w:footnote w:id="5">
    <w:p w14:paraId="58A85289" w14:textId="77777777" w:rsidR="005B261C" w:rsidRPr="00B80F4D" w:rsidRDefault="005B261C" w:rsidP="005B261C">
      <w:pPr>
        <w:pStyle w:val="Textonotapie"/>
        <w:ind w:firstLine="709"/>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B80F4D">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4C73331A" w14:textId="77777777" w:rsidR="005B261C" w:rsidRPr="00B80F4D" w:rsidRDefault="005B261C" w:rsidP="005B261C">
      <w:pPr>
        <w:pStyle w:val="Textonotapie"/>
        <w:ind w:firstLine="709"/>
        <w:contextualSpacing/>
        <w:jc w:val="both"/>
        <w:rPr>
          <w:rFonts w:ascii="Verdana" w:hAnsi="Verdana" w:cs="Arial"/>
          <w:sz w:val="16"/>
          <w:szCs w:val="16"/>
          <w:lang w:val="pt-BR"/>
        </w:rPr>
      </w:pPr>
    </w:p>
  </w:footnote>
  <w:footnote w:id="6">
    <w:p w14:paraId="7A7C4468" w14:textId="77777777" w:rsidR="005B261C" w:rsidRPr="00FA6811" w:rsidRDefault="005B261C" w:rsidP="005B261C">
      <w:pPr>
        <w:pStyle w:val="Textonotapie"/>
        <w:ind w:firstLine="709"/>
        <w:contextualSpacing/>
        <w:jc w:val="both"/>
        <w:rPr>
          <w:rFonts w:ascii="Verdana" w:hAnsi="Verdana" w:cs="Arial"/>
          <w:sz w:val="16"/>
          <w:szCs w:val="16"/>
          <w:lang w:val="es-CO"/>
        </w:rPr>
      </w:pPr>
      <w:r w:rsidRPr="00FA6811">
        <w:rPr>
          <w:rStyle w:val="Refdenotaalpie"/>
          <w:rFonts w:ascii="Verdana" w:hAnsi="Verdana" w:cs="Arial"/>
          <w:sz w:val="16"/>
          <w:szCs w:val="16"/>
        </w:rPr>
        <w:footnoteRef/>
      </w:r>
      <w:r w:rsidRPr="00FA6811">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0C59536E" w14:textId="77777777" w:rsidR="005B261C" w:rsidRPr="00FA6811" w:rsidRDefault="005B261C" w:rsidP="005B261C">
      <w:pPr>
        <w:pStyle w:val="Textonotapie"/>
        <w:ind w:firstLine="709"/>
        <w:contextualSpacing/>
        <w:jc w:val="both"/>
        <w:rPr>
          <w:rFonts w:ascii="Verdana" w:hAnsi="Verdana" w:cs="Arial"/>
          <w:sz w:val="16"/>
          <w:szCs w:val="16"/>
        </w:rPr>
      </w:pPr>
    </w:p>
    <w:p w14:paraId="59E249FF" w14:textId="77777777" w:rsidR="005B261C" w:rsidRPr="00FA6811" w:rsidRDefault="005B261C" w:rsidP="005B261C">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Consejo de Estado, Sala de Consulta y Servicio Civil de fecha 24 de julio de 2013, radicado 2166, C. P. Álvaro Namén Vargas.  </w:t>
      </w:r>
    </w:p>
  </w:footnote>
  <w:footnote w:id="8">
    <w:p w14:paraId="593DADD4" w14:textId="77777777" w:rsidR="005B261C" w:rsidRPr="00FA6811" w:rsidRDefault="005B261C" w:rsidP="005B261C">
      <w:pPr>
        <w:spacing w:after="0" w:line="240" w:lineRule="auto"/>
        <w:ind w:firstLine="709"/>
        <w:contextualSpacing/>
        <w:jc w:val="both"/>
        <w:rPr>
          <w:rFonts w:ascii="Verdana" w:eastAsia="Times New Roman"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8" w:name="33"/>
      <w:r w:rsidRPr="00FA6811">
        <w:rPr>
          <w:rFonts w:ascii="Verdana" w:eastAsia="Calibri" w:hAnsi="Verdana" w:cs="Arial"/>
          <w:color w:val="000000"/>
          <w:sz w:val="16"/>
          <w:szCs w:val="16"/>
        </w:rPr>
        <w:t>“</w:t>
      </w:r>
      <w:r w:rsidRPr="00FA6811">
        <w:rPr>
          <w:rFonts w:ascii="Verdana" w:eastAsia="Times New Roman" w:hAnsi="Verdana" w:cs="Arial"/>
          <w:sz w:val="16"/>
          <w:szCs w:val="16"/>
        </w:rPr>
        <w:t>Artículo 33. Restricciones a la contratación pública.</w:t>
      </w:r>
      <w:bookmarkEnd w:id="8"/>
      <w:r w:rsidRPr="00FA6811">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45F46A21" w14:textId="75507FEB" w:rsidR="005B261C" w:rsidRPr="00FA6811" w:rsidRDefault="005B261C" w:rsidP="005B261C">
      <w:pPr>
        <w:spacing w:after="0" w:line="240" w:lineRule="auto"/>
        <w:ind w:firstLine="709"/>
        <w:contextualSpacing/>
        <w:jc w:val="both"/>
        <w:rPr>
          <w:rFonts w:ascii="Verdana" w:eastAsia="Times New Roman" w:hAnsi="Verdana" w:cs="Arial"/>
          <w:sz w:val="16"/>
          <w:szCs w:val="16"/>
        </w:rPr>
      </w:pPr>
      <w:r w:rsidRPr="00FA6811">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A6811">
        <w:rPr>
          <w:rFonts w:ascii="Verdana" w:eastAsia="Calibri" w:hAnsi="Verdana" w:cs="Arial"/>
          <w:color w:val="000000"/>
          <w:sz w:val="16"/>
          <w:szCs w:val="16"/>
        </w:rPr>
        <w:t>”</w:t>
      </w:r>
      <w:r w:rsidRPr="00FA6811">
        <w:rPr>
          <w:rFonts w:ascii="Verdana" w:eastAsia="Times New Roman" w:hAnsi="Verdana" w:cs="Arial"/>
          <w:sz w:val="16"/>
          <w:szCs w:val="16"/>
        </w:rPr>
        <w:t>.</w:t>
      </w:r>
    </w:p>
  </w:footnote>
  <w:footnote w:id="9">
    <w:p w14:paraId="4C9848E2" w14:textId="77777777" w:rsidR="005B261C" w:rsidRPr="00FA6811" w:rsidRDefault="005B261C" w:rsidP="005B261C">
      <w:pPr>
        <w:pStyle w:val="NormalWeb"/>
        <w:spacing w:after="0"/>
        <w:ind w:firstLine="709"/>
        <w:contextualSpacing/>
        <w:jc w:val="both"/>
        <w:rPr>
          <w:rFonts w:ascii="Verdana" w:hAnsi="Verdana" w:cs="Arial"/>
          <w:sz w:val="16"/>
          <w:szCs w:val="16"/>
          <w:lang w:val="es-MX"/>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9" w:name="38"/>
      <w:r w:rsidRPr="00FA6811">
        <w:rPr>
          <w:rFonts w:ascii="Verdana" w:eastAsia="Calibri" w:hAnsi="Verdana" w:cs="Arial"/>
          <w:color w:val="000000"/>
          <w:sz w:val="16"/>
          <w:szCs w:val="16"/>
        </w:rPr>
        <w:t>“</w:t>
      </w:r>
      <w:r w:rsidRPr="00FA6811">
        <w:rPr>
          <w:rFonts w:ascii="Verdana" w:hAnsi="Verdana" w:cs="Arial"/>
          <w:sz w:val="16"/>
          <w:szCs w:val="16"/>
          <w:lang w:val="es-MX"/>
        </w:rPr>
        <w:t>Artículo 38. Prohibiciones para los servidores públicos. A los empleados del Estado les está prohibido:</w:t>
      </w:r>
      <w:bookmarkEnd w:id="9"/>
      <w:r w:rsidRPr="00FA6811">
        <w:rPr>
          <w:rFonts w:ascii="Verdana" w:hAnsi="Verdana" w:cs="Arial"/>
          <w:sz w:val="16"/>
          <w:szCs w:val="16"/>
          <w:lang w:val="es-MX"/>
        </w:rPr>
        <w:t xml:space="preserve"> […]</w:t>
      </w:r>
    </w:p>
    <w:p w14:paraId="0930D83A" w14:textId="77777777" w:rsidR="005B261C" w:rsidRPr="00FA6811" w:rsidRDefault="005B261C" w:rsidP="005B261C">
      <w:pPr>
        <w:pStyle w:val="NormalWeb"/>
        <w:spacing w:after="0"/>
        <w:ind w:firstLine="709"/>
        <w:contextualSpacing/>
        <w:jc w:val="both"/>
        <w:rPr>
          <w:rFonts w:ascii="Verdana" w:hAnsi="Verdana" w:cs="Arial"/>
          <w:sz w:val="16"/>
          <w:szCs w:val="16"/>
          <w:lang w:val="es-MX"/>
        </w:rPr>
      </w:pPr>
      <w:r w:rsidRPr="00FA6811">
        <w:rPr>
          <w:rStyle w:val="baj"/>
          <w:rFonts w:ascii="Verdana" w:hAnsi="Verdana" w:cs="Arial"/>
          <w:sz w:val="16"/>
          <w:szCs w:val="16"/>
          <w:lang w:val="es-MX"/>
        </w:rPr>
        <w:t>Parágrafo.</w:t>
      </w:r>
      <w:r w:rsidRPr="00FA6811">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A6811">
        <w:rPr>
          <w:rFonts w:ascii="Verdana" w:eastAsia="Calibri" w:hAnsi="Verdana" w:cs="Arial"/>
          <w:color w:val="000000"/>
          <w:sz w:val="16"/>
          <w:szCs w:val="16"/>
        </w:rPr>
        <w:t>”</w:t>
      </w:r>
      <w:r w:rsidRPr="00FA6811">
        <w:rPr>
          <w:rFonts w:ascii="Verdana" w:hAnsi="Verdana" w:cs="Arial"/>
          <w:sz w:val="16"/>
          <w:szCs w:val="16"/>
          <w:lang w:val="es-MX"/>
        </w:rPr>
        <w:t>.</w:t>
      </w:r>
    </w:p>
    <w:p w14:paraId="31E3DF8B" w14:textId="77777777" w:rsidR="005B261C" w:rsidRPr="00FA6811" w:rsidRDefault="005B261C" w:rsidP="005B261C">
      <w:pPr>
        <w:pStyle w:val="NormalWeb"/>
        <w:spacing w:after="0"/>
        <w:ind w:firstLine="709"/>
        <w:contextualSpacing/>
        <w:jc w:val="both"/>
        <w:rPr>
          <w:rFonts w:ascii="Verdana" w:hAnsi="Verdana" w:cs="Arial"/>
          <w:sz w:val="16"/>
          <w:szCs w:val="16"/>
          <w:lang w:val="es-MX"/>
        </w:rPr>
      </w:pPr>
    </w:p>
  </w:footnote>
  <w:footnote w:id="10">
    <w:p w14:paraId="0E03B35D" w14:textId="77777777" w:rsidR="005B261C" w:rsidRPr="00FA6811" w:rsidRDefault="005B261C" w:rsidP="005B261C">
      <w:pPr>
        <w:spacing w:after="0" w:line="240" w:lineRule="auto"/>
        <w:ind w:left="100" w:right="244" w:firstLine="709"/>
        <w:contextualSpacing/>
        <w:jc w:val="both"/>
        <w:rPr>
          <w:rFonts w:ascii="Verdana" w:hAnsi="Verdana" w:cs="Arial"/>
          <w:sz w:val="16"/>
          <w:szCs w:val="16"/>
          <w:lang w:val="es-ES"/>
        </w:rPr>
      </w:pPr>
      <w:r w:rsidRPr="00FA6811">
        <w:rPr>
          <w:rStyle w:val="Refdenotaalpie"/>
          <w:rFonts w:ascii="Verdana" w:hAnsi="Verdana" w:cs="Arial"/>
          <w:sz w:val="16"/>
          <w:szCs w:val="16"/>
        </w:rPr>
        <w:footnoteRef/>
      </w:r>
      <w:r w:rsidRPr="00FA6811">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3F049E6C" w14:textId="77777777" w:rsidR="005B261C" w:rsidRPr="00FA6811" w:rsidRDefault="005B261C" w:rsidP="005B261C">
      <w:pPr>
        <w:pStyle w:val="Textonotapie"/>
        <w:ind w:firstLine="708"/>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Es lo que sucede, por ejemplo, con el Decreto 092 de 2017, que en su desarrollo hace referencia tanto a los “contratos” como a los “convenios”. </w:t>
      </w:r>
    </w:p>
  </w:footnote>
  <w:footnote w:id="12">
    <w:p w14:paraId="2F3E7272" w14:textId="77777777" w:rsidR="005B261C" w:rsidRPr="00B80F4D" w:rsidRDefault="005B261C" w:rsidP="005B261C">
      <w:pPr>
        <w:pStyle w:val="Textonotapie"/>
        <w:ind w:firstLine="708"/>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FA6811">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B80F4D">
        <w:rPr>
          <w:rFonts w:ascii="Verdana" w:hAnsi="Verdana" w:cs="Arial"/>
          <w:sz w:val="16"/>
          <w:szCs w:val="16"/>
          <w:lang w:val="pt-BR"/>
        </w:rPr>
        <w:t>(Corte Constitucional. Sentencia C-671 de 2015. M.P. Alberto Rojas Ríos).</w:t>
      </w:r>
    </w:p>
  </w:footnote>
  <w:footnote w:id="13">
    <w:p w14:paraId="09B957C2" w14:textId="77777777" w:rsidR="005B261C" w:rsidRPr="00B80F4D" w:rsidRDefault="005B261C" w:rsidP="005B261C">
      <w:pPr>
        <w:pStyle w:val="Textonotapie"/>
        <w:ind w:firstLine="709"/>
        <w:rPr>
          <w:lang w:val="pt-BR"/>
        </w:rPr>
      </w:pPr>
      <w:r w:rsidRPr="009C55EB">
        <w:rPr>
          <w:rStyle w:val="Refdenotaalpie"/>
        </w:rPr>
        <w:footnoteRef/>
      </w:r>
      <w:r w:rsidRPr="00B80F4D">
        <w:rPr>
          <w:lang w:val="pt-BR"/>
        </w:rPr>
        <w:t xml:space="preserve"> </w:t>
      </w:r>
      <w:r w:rsidRPr="00B80F4D">
        <w:rPr>
          <w:rFonts w:ascii="Verdana" w:hAnsi="Verdana" w:cs="Arial"/>
          <w:sz w:val="16"/>
          <w:szCs w:val="16"/>
          <w:lang w:val="pt-BR"/>
        </w:rPr>
        <w:t>Consejo de Estado, Sala de lo Contencioso Administrativo, Sección Tercera. Auto del 4 de octubre de 2024. Radicado No. 70.313. MP: Fredy Ibarra Martínez</w:t>
      </w:r>
    </w:p>
  </w:footnote>
  <w:footnote w:id="14">
    <w:p w14:paraId="266866E0" w14:textId="77777777" w:rsidR="005B261C" w:rsidRPr="00FA6811" w:rsidRDefault="005B261C" w:rsidP="005B261C">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20" w:name="_Hlk192533196"/>
      <w:r w:rsidRPr="00FA6811">
        <w:rPr>
          <w:rFonts w:ascii="Verdana" w:hAnsi="Verdana" w:cs="Arial"/>
          <w:sz w:val="16"/>
          <w:szCs w:val="16"/>
        </w:rPr>
        <w:t>Consejo de Estado. Sala de Consulta y Servicio Civil. Concepto del 15 de noviembre de 2007. Expediente número 1863. Consejero Ponente: Luis Fernando Álvarez Jaramillo.</w:t>
      </w:r>
    </w:p>
    <w:bookmarkEnd w:id="20"/>
  </w:footnote>
  <w:footnote w:id="15">
    <w:p w14:paraId="0E3F5819" w14:textId="77777777" w:rsidR="005B261C" w:rsidRPr="0067738A" w:rsidRDefault="005B261C" w:rsidP="005B261C">
      <w:pPr>
        <w:pStyle w:val="Textonotapie"/>
        <w:ind w:firstLine="709"/>
        <w:rPr>
          <w:rFonts w:ascii="Verdana" w:hAnsi="Verdana"/>
          <w:sz w:val="16"/>
          <w:szCs w:val="16"/>
          <w:lang w:val="es-CO"/>
        </w:rPr>
      </w:pPr>
      <w:r w:rsidRPr="0067738A">
        <w:rPr>
          <w:rStyle w:val="Refdenotaalpie"/>
          <w:rFonts w:ascii="Verdana" w:hAnsi="Verdana"/>
          <w:sz w:val="16"/>
          <w:szCs w:val="16"/>
        </w:rPr>
        <w:footnoteRef/>
      </w:r>
      <w:r w:rsidRPr="0067738A">
        <w:rPr>
          <w:rFonts w:ascii="Verdana" w:hAnsi="Verdana"/>
          <w:sz w:val="16"/>
          <w:szCs w:val="16"/>
        </w:rPr>
        <w:t xml:space="preserve"> </w:t>
      </w:r>
      <w:hyperlink r:id="rId1" w:history="1">
        <w:r w:rsidRPr="0067738A">
          <w:rPr>
            <w:rStyle w:val="Hipervnculo"/>
            <w:rFonts w:ascii="Verdana" w:hAnsi="Verdana"/>
            <w:sz w:val="16"/>
            <w:szCs w:val="16"/>
          </w:rPr>
          <w:t>https://registraduria.gov.co/Que-son-las-elecciones-atipicas.html</w:t>
        </w:r>
      </w:hyperlink>
      <w:r w:rsidRPr="0067738A">
        <w:rPr>
          <w:rFonts w:ascii="Verdana" w:hAnsi="Verdana"/>
          <w:sz w:val="16"/>
          <w:szCs w:val="16"/>
        </w:rPr>
        <w:t xml:space="preserve"> </w:t>
      </w:r>
    </w:p>
  </w:footnote>
  <w:footnote w:id="16">
    <w:p w14:paraId="2F237DD1" w14:textId="77777777" w:rsidR="005B261C" w:rsidRPr="0067738A" w:rsidRDefault="005B261C" w:rsidP="005B261C">
      <w:pPr>
        <w:pStyle w:val="Textonotapie"/>
        <w:ind w:firstLine="709"/>
        <w:rPr>
          <w:rFonts w:ascii="Verdana" w:hAnsi="Verdana"/>
          <w:sz w:val="16"/>
          <w:szCs w:val="16"/>
          <w:lang w:val="es-CO"/>
        </w:rPr>
      </w:pPr>
      <w:r w:rsidRPr="0067738A">
        <w:rPr>
          <w:rStyle w:val="Refdenotaalpie"/>
          <w:rFonts w:ascii="Verdana" w:hAnsi="Verdana"/>
          <w:sz w:val="16"/>
          <w:szCs w:val="16"/>
        </w:rPr>
        <w:footnoteRef/>
      </w:r>
      <w:r w:rsidRPr="0067738A">
        <w:rPr>
          <w:rFonts w:ascii="Verdana" w:hAnsi="Verdana"/>
          <w:sz w:val="16"/>
          <w:szCs w:val="16"/>
        </w:rPr>
        <w:t xml:space="preserve"> </w:t>
      </w:r>
      <w:r w:rsidRPr="0067738A">
        <w:rPr>
          <w:rFonts w:ascii="Verdana" w:hAnsi="Verdana"/>
          <w:sz w:val="16"/>
          <w:szCs w:val="16"/>
          <w:lang w:val="es-CO"/>
        </w:rPr>
        <w:t>Ley 136 de 1994. Artículo 98</w:t>
      </w:r>
    </w:p>
  </w:footnote>
  <w:footnote w:id="17">
    <w:p w14:paraId="7F9E8061" w14:textId="77777777" w:rsidR="005B261C" w:rsidRPr="00E776AA" w:rsidRDefault="005B261C" w:rsidP="005B261C">
      <w:pPr>
        <w:pStyle w:val="Textonotapie"/>
        <w:ind w:firstLine="709"/>
        <w:contextualSpacing/>
        <w:jc w:val="both"/>
        <w:rPr>
          <w:rFonts w:ascii="Verdana" w:hAnsi="Verdana" w:cs="Arial"/>
          <w:sz w:val="16"/>
          <w:szCs w:val="16"/>
        </w:rPr>
      </w:pPr>
      <w:r>
        <w:rPr>
          <w:rStyle w:val="Refdenotaalpie"/>
        </w:rPr>
        <w:footnoteRef/>
      </w:r>
      <w:r>
        <w:t xml:space="preserve"> </w:t>
      </w:r>
      <w:r w:rsidRPr="00FA6811">
        <w:rPr>
          <w:rFonts w:ascii="Verdana" w:hAnsi="Verdana" w:cs="Arial"/>
          <w:sz w:val="16"/>
          <w:szCs w:val="16"/>
        </w:rPr>
        <w:t xml:space="preserve">Consejo de Estado. Sala de Consulta y Servicio Civil. Concepto del </w:t>
      </w:r>
      <w:r>
        <w:rPr>
          <w:rFonts w:ascii="Verdana" w:hAnsi="Verdana" w:cs="Arial"/>
          <w:sz w:val="16"/>
          <w:szCs w:val="16"/>
        </w:rPr>
        <w:t>20</w:t>
      </w:r>
      <w:r w:rsidRPr="00FA6811">
        <w:rPr>
          <w:rFonts w:ascii="Verdana" w:hAnsi="Verdana" w:cs="Arial"/>
          <w:sz w:val="16"/>
          <w:szCs w:val="16"/>
        </w:rPr>
        <w:t xml:space="preserve"> de </w:t>
      </w:r>
      <w:r>
        <w:rPr>
          <w:rFonts w:ascii="Verdana" w:hAnsi="Verdana" w:cs="Arial"/>
          <w:sz w:val="16"/>
          <w:szCs w:val="16"/>
        </w:rPr>
        <w:t>febrero</w:t>
      </w:r>
      <w:r w:rsidRPr="00FA6811">
        <w:rPr>
          <w:rFonts w:ascii="Verdana" w:hAnsi="Verdana" w:cs="Arial"/>
          <w:sz w:val="16"/>
          <w:szCs w:val="16"/>
        </w:rPr>
        <w:t xml:space="preserve"> de 20</w:t>
      </w:r>
      <w:r>
        <w:rPr>
          <w:rFonts w:ascii="Verdana" w:hAnsi="Verdana" w:cs="Arial"/>
          <w:sz w:val="16"/>
          <w:szCs w:val="16"/>
        </w:rPr>
        <w:t>18</w:t>
      </w:r>
      <w:r w:rsidRPr="00FA6811">
        <w:rPr>
          <w:rFonts w:ascii="Verdana" w:hAnsi="Verdana" w:cs="Arial"/>
          <w:sz w:val="16"/>
          <w:szCs w:val="16"/>
        </w:rPr>
        <w:t>. Expediente número 1</w:t>
      </w:r>
      <w:r>
        <w:rPr>
          <w:rFonts w:ascii="Verdana" w:hAnsi="Verdana" w:cs="Arial"/>
          <w:sz w:val="16"/>
          <w:szCs w:val="16"/>
        </w:rPr>
        <w:t>2366</w:t>
      </w:r>
      <w:r w:rsidRPr="00FA6811">
        <w:rPr>
          <w:rFonts w:ascii="Verdana" w:hAnsi="Verdana" w:cs="Arial"/>
          <w:sz w:val="16"/>
          <w:szCs w:val="16"/>
        </w:rPr>
        <w:t xml:space="preserve">. Consejero Ponente: </w:t>
      </w:r>
      <w:r>
        <w:rPr>
          <w:rFonts w:ascii="Verdana" w:hAnsi="Verdana" w:cs="Arial"/>
          <w:sz w:val="16"/>
          <w:szCs w:val="16"/>
        </w:rPr>
        <w:t>Oscar Darío Amaya Navas</w:t>
      </w:r>
      <w:r w:rsidRPr="00FA6811">
        <w:rPr>
          <w:rFonts w:ascii="Verdana" w:hAnsi="Verdana" w:cs="Arial"/>
          <w:sz w:val="16"/>
          <w:szCs w:val="16"/>
        </w:rPr>
        <w:t>.</w:t>
      </w:r>
    </w:p>
  </w:footnote>
  <w:footnote w:id="18">
    <w:p w14:paraId="7EB0180C" w14:textId="77777777" w:rsidR="005B261C" w:rsidRPr="00515319" w:rsidRDefault="005B261C" w:rsidP="005B261C">
      <w:pPr>
        <w:pStyle w:val="Textonotapie"/>
        <w:ind w:firstLine="709"/>
        <w:rPr>
          <w:lang w:val="es-CO"/>
        </w:rPr>
      </w:pPr>
      <w:r>
        <w:rPr>
          <w:rStyle w:val="Refdenotaalpie"/>
        </w:rPr>
        <w:footnoteRef/>
      </w:r>
      <w:r>
        <w:t xml:space="preserve"> Disponible en: </w:t>
      </w:r>
      <w:hyperlink r:id="rId2" w:history="1">
        <w:r w:rsidRPr="004C7F35">
          <w:rPr>
            <w:rStyle w:val="Hipervnculo"/>
          </w:rPr>
          <w:t>https://relatoria.cne.gov.co/relatoria/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100316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44587744" o:spid="_x0000_i1025" type="#_x0000_t75" style="width:11.25pt;height:11.25pt;visibility:visible;mso-wrap-style:square">
            <v:imagedata r:id="rId1" o:title=""/>
          </v:shape>
        </w:pict>
      </mc:Choice>
      <mc:Fallback>
        <w:drawing>
          <wp:inline distT="0" distB="0" distL="0" distR="0" wp14:anchorId="10A15764" wp14:editId="18A25094">
            <wp:extent cx="142875" cy="142875"/>
            <wp:effectExtent l="0" t="0" r="0" b="0"/>
            <wp:docPr id="1444587744" name="Imagen 1444587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3100613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5A21DE"/>
    <w:multiLevelType w:val="multilevel"/>
    <w:tmpl w:val="0A6C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341274352">
    <w:abstractNumId w:val="0"/>
  </w:num>
  <w:num w:numId="17" w16cid:durableId="10178498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E67"/>
    <w:rsid w:val="00046945"/>
    <w:rsid w:val="00061B2A"/>
    <w:rsid w:val="00082362"/>
    <w:rsid w:val="000A683E"/>
    <w:rsid w:val="000B19B9"/>
    <w:rsid w:val="000C5BB0"/>
    <w:rsid w:val="000D0334"/>
    <w:rsid w:val="000F6486"/>
    <w:rsid w:val="00125105"/>
    <w:rsid w:val="00127233"/>
    <w:rsid w:val="001511A0"/>
    <w:rsid w:val="00184FD0"/>
    <w:rsid w:val="001C2B2F"/>
    <w:rsid w:val="001E4177"/>
    <w:rsid w:val="001F3C2F"/>
    <w:rsid w:val="001F7DC6"/>
    <w:rsid w:val="00236655"/>
    <w:rsid w:val="002421BB"/>
    <w:rsid w:val="00243EB3"/>
    <w:rsid w:val="0025796E"/>
    <w:rsid w:val="00261865"/>
    <w:rsid w:val="002707A2"/>
    <w:rsid w:val="0028627B"/>
    <w:rsid w:val="002951A0"/>
    <w:rsid w:val="002962BC"/>
    <w:rsid w:val="002A093D"/>
    <w:rsid w:val="002A0DD0"/>
    <w:rsid w:val="002A49AC"/>
    <w:rsid w:val="002A5959"/>
    <w:rsid w:val="002A64FD"/>
    <w:rsid w:val="002C7A84"/>
    <w:rsid w:val="002D7BA3"/>
    <w:rsid w:val="002E4FD9"/>
    <w:rsid w:val="00322A85"/>
    <w:rsid w:val="00324168"/>
    <w:rsid w:val="003448F4"/>
    <w:rsid w:val="00374F5E"/>
    <w:rsid w:val="00377E3E"/>
    <w:rsid w:val="003A779E"/>
    <w:rsid w:val="003D0F4D"/>
    <w:rsid w:val="003D5B0D"/>
    <w:rsid w:val="003E0499"/>
    <w:rsid w:val="003F3941"/>
    <w:rsid w:val="00406575"/>
    <w:rsid w:val="0041325A"/>
    <w:rsid w:val="00414C74"/>
    <w:rsid w:val="0042722E"/>
    <w:rsid w:val="0044528D"/>
    <w:rsid w:val="004A1847"/>
    <w:rsid w:val="004A305D"/>
    <w:rsid w:val="004B2C42"/>
    <w:rsid w:val="004E6EAC"/>
    <w:rsid w:val="004F21C4"/>
    <w:rsid w:val="004F685F"/>
    <w:rsid w:val="0055236C"/>
    <w:rsid w:val="005566E8"/>
    <w:rsid w:val="00574867"/>
    <w:rsid w:val="00591460"/>
    <w:rsid w:val="005B261C"/>
    <w:rsid w:val="005B3816"/>
    <w:rsid w:val="005C3777"/>
    <w:rsid w:val="005C5CDC"/>
    <w:rsid w:val="005D476C"/>
    <w:rsid w:val="0060028A"/>
    <w:rsid w:val="006219F8"/>
    <w:rsid w:val="00632FA8"/>
    <w:rsid w:val="00665D70"/>
    <w:rsid w:val="006900D9"/>
    <w:rsid w:val="00692C49"/>
    <w:rsid w:val="006C1950"/>
    <w:rsid w:val="00706C16"/>
    <w:rsid w:val="0071184A"/>
    <w:rsid w:val="00713684"/>
    <w:rsid w:val="0071623C"/>
    <w:rsid w:val="007223C5"/>
    <w:rsid w:val="00746725"/>
    <w:rsid w:val="00756841"/>
    <w:rsid w:val="007649AB"/>
    <w:rsid w:val="00771D0C"/>
    <w:rsid w:val="00781AF3"/>
    <w:rsid w:val="007833AC"/>
    <w:rsid w:val="007B268C"/>
    <w:rsid w:val="007B7171"/>
    <w:rsid w:val="007C0C0F"/>
    <w:rsid w:val="007C3DC2"/>
    <w:rsid w:val="007E5497"/>
    <w:rsid w:val="00806F5F"/>
    <w:rsid w:val="00820278"/>
    <w:rsid w:val="0084038E"/>
    <w:rsid w:val="0084385E"/>
    <w:rsid w:val="00867F95"/>
    <w:rsid w:val="00870C64"/>
    <w:rsid w:val="008772F9"/>
    <w:rsid w:val="008843B6"/>
    <w:rsid w:val="00891928"/>
    <w:rsid w:val="008A446D"/>
    <w:rsid w:val="008C0E3B"/>
    <w:rsid w:val="008D180B"/>
    <w:rsid w:val="008D7291"/>
    <w:rsid w:val="008F0EA7"/>
    <w:rsid w:val="008F33B0"/>
    <w:rsid w:val="00923EEF"/>
    <w:rsid w:val="009413B7"/>
    <w:rsid w:val="009419F9"/>
    <w:rsid w:val="0095685E"/>
    <w:rsid w:val="00961B09"/>
    <w:rsid w:val="00965334"/>
    <w:rsid w:val="0097093E"/>
    <w:rsid w:val="009826BF"/>
    <w:rsid w:val="00986AC5"/>
    <w:rsid w:val="009A0DFA"/>
    <w:rsid w:val="009B2D26"/>
    <w:rsid w:val="009C71FA"/>
    <w:rsid w:val="009C72E7"/>
    <w:rsid w:val="009D3058"/>
    <w:rsid w:val="009E3429"/>
    <w:rsid w:val="009E51D5"/>
    <w:rsid w:val="009F3A13"/>
    <w:rsid w:val="00A122D3"/>
    <w:rsid w:val="00A17F13"/>
    <w:rsid w:val="00A20739"/>
    <w:rsid w:val="00A33C78"/>
    <w:rsid w:val="00AB0ADB"/>
    <w:rsid w:val="00AB493F"/>
    <w:rsid w:val="00AD374D"/>
    <w:rsid w:val="00AD4293"/>
    <w:rsid w:val="00AF71F4"/>
    <w:rsid w:val="00B0078D"/>
    <w:rsid w:val="00B01B1A"/>
    <w:rsid w:val="00B108F3"/>
    <w:rsid w:val="00B2184C"/>
    <w:rsid w:val="00B66319"/>
    <w:rsid w:val="00B70819"/>
    <w:rsid w:val="00B72CD3"/>
    <w:rsid w:val="00B72FFF"/>
    <w:rsid w:val="00B80F4F"/>
    <w:rsid w:val="00BC3D36"/>
    <w:rsid w:val="00BD7F72"/>
    <w:rsid w:val="00C04FB3"/>
    <w:rsid w:val="00C142DA"/>
    <w:rsid w:val="00C330EB"/>
    <w:rsid w:val="00C41061"/>
    <w:rsid w:val="00C562D4"/>
    <w:rsid w:val="00C754BE"/>
    <w:rsid w:val="00C76123"/>
    <w:rsid w:val="00C76B1C"/>
    <w:rsid w:val="00CB6357"/>
    <w:rsid w:val="00CC1B26"/>
    <w:rsid w:val="00D211A0"/>
    <w:rsid w:val="00D423A2"/>
    <w:rsid w:val="00D520D8"/>
    <w:rsid w:val="00D63AC2"/>
    <w:rsid w:val="00D7383B"/>
    <w:rsid w:val="00D85FC2"/>
    <w:rsid w:val="00D9402A"/>
    <w:rsid w:val="00D968D1"/>
    <w:rsid w:val="00DA231B"/>
    <w:rsid w:val="00DC2265"/>
    <w:rsid w:val="00DC39FC"/>
    <w:rsid w:val="00DF5254"/>
    <w:rsid w:val="00E16408"/>
    <w:rsid w:val="00E20894"/>
    <w:rsid w:val="00E245AB"/>
    <w:rsid w:val="00E2764C"/>
    <w:rsid w:val="00E27F2E"/>
    <w:rsid w:val="00E31648"/>
    <w:rsid w:val="00E50AFE"/>
    <w:rsid w:val="00E6227E"/>
    <w:rsid w:val="00E7385A"/>
    <w:rsid w:val="00E75C92"/>
    <w:rsid w:val="00E771DC"/>
    <w:rsid w:val="00E8772A"/>
    <w:rsid w:val="00E90F6B"/>
    <w:rsid w:val="00E92C27"/>
    <w:rsid w:val="00EA0E3D"/>
    <w:rsid w:val="00EA6460"/>
    <w:rsid w:val="00EC38A7"/>
    <w:rsid w:val="00ED3D0B"/>
    <w:rsid w:val="00ED7384"/>
    <w:rsid w:val="00EE1AA8"/>
    <w:rsid w:val="00F04DA2"/>
    <w:rsid w:val="00F136D9"/>
    <w:rsid w:val="00F31EDC"/>
    <w:rsid w:val="00F32244"/>
    <w:rsid w:val="00F462B3"/>
    <w:rsid w:val="00F5664F"/>
    <w:rsid w:val="00F65B8A"/>
    <w:rsid w:val="00F666C4"/>
    <w:rsid w:val="00F76AFC"/>
    <w:rsid w:val="00F943E6"/>
    <w:rsid w:val="00FA47C0"/>
    <w:rsid w:val="00FB2223"/>
    <w:rsid w:val="00FB5DD1"/>
    <w:rsid w:val="00FC056B"/>
    <w:rsid w:val="00FC2B5D"/>
    <w:rsid w:val="00FE001E"/>
    <w:rsid w:val="00FF1449"/>
    <w:rsid w:val="3D38C6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B26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B261C"/>
    <w:rPr>
      <w:rFonts w:ascii="Geomanist Light" w:hAnsi="Geomanist Light"/>
      <w:lang w:val="es-ES"/>
    </w:rPr>
  </w:style>
  <w:style w:type="character" w:customStyle="1" w:styleId="baj">
    <w:name w:val="b_aj"/>
    <w:basedOn w:val="Fuentedeprrafopredeter"/>
    <w:rsid w:val="005B261C"/>
  </w:style>
  <w:style w:type="character" w:styleId="Refdecomentario">
    <w:name w:val="annotation reference"/>
    <w:basedOn w:val="Fuentedeprrafopredeter"/>
    <w:uiPriority w:val="99"/>
    <w:semiHidden/>
    <w:unhideWhenUsed/>
    <w:rsid w:val="0060028A"/>
    <w:rPr>
      <w:sz w:val="16"/>
      <w:szCs w:val="16"/>
    </w:rPr>
  </w:style>
  <w:style w:type="paragraph" w:styleId="Textocomentario">
    <w:name w:val="annotation text"/>
    <w:basedOn w:val="Normal"/>
    <w:link w:val="TextocomentarioCar"/>
    <w:uiPriority w:val="99"/>
    <w:unhideWhenUsed/>
    <w:rsid w:val="0060028A"/>
    <w:pPr>
      <w:spacing w:line="240" w:lineRule="auto"/>
    </w:pPr>
    <w:rPr>
      <w:sz w:val="20"/>
      <w:szCs w:val="20"/>
    </w:rPr>
  </w:style>
  <w:style w:type="character" w:customStyle="1" w:styleId="TextocomentarioCar">
    <w:name w:val="Texto comentario Car"/>
    <w:basedOn w:val="Fuentedeprrafopredeter"/>
    <w:link w:val="Textocomentario"/>
    <w:uiPriority w:val="99"/>
    <w:rsid w:val="0060028A"/>
    <w:rPr>
      <w:sz w:val="20"/>
      <w:szCs w:val="20"/>
    </w:rPr>
  </w:style>
  <w:style w:type="paragraph" w:styleId="Asuntodelcomentario">
    <w:name w:val="annotation subject"/>
    <w:basedOn w:val="Textocomentario"/>
    <w:next w:val="Textocomentario"/>
    <w:link w:val="AsuntodelcomentarioCar"/>
    <w:uiPriority w:val="99"/>
    <w:semiHidden/>
    <w:unhideWhenUsed/>
    <w:rsid w:val="0060028A"/>
    <w:rPr>
      <w:b/>
      <w:bCs/>
    </w:rPr>
  </w:style>
  <w:style w:type="character" w:customStyle="1" w:styleId="AsuntodelcomentarioCar">
    <w:name w:val="Asunto del comentario Car"/>
    <w:basedOn w:val="TextocomentarioCar"/>
    <w:link w:val="Asuntodelcomentario"/>
    <w:uiPriority w:val="99"/>
    <w:semiHidden/>
    <w:rsid w:val="006002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99330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7237100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greycastellanos@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relatoria.cne.gov.co/relatoria/" TargetMode="External"/><Relationship Id="rId1" Type="http://schemas.openxmlformats.org/officeDocument/2006/relationships/hyperlink" Target="https://registraduria.gov.co/Que-son-las-elecciones-atipicas.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FB7B6B8-B481-466A-925D-92BD1C39F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AC9E9E-64A4-4638-BD23-E9BB0BD2A01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7500</Words>
  <Characters>41253</Characters>
  <Application>Microsoft Office Word</Application>
  <DocSecurity>0</DocSecurity>
  <Lines>343</Lines>
  <Paragraphs>97</Paragraphs>
  <ScaleCrop>false</ScaleCrop>
  <Company/>
  <LinksUpToDate>false</LinksUpToDate>
  <CharactersWithSpaces>48656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10</cp:revision>
  <cp:lastPrinted>2023-01-10T21:18:00Z</cp:lastPrinted>
  <dcterms:created xsi:type="dcterms:W3CDTF">2025-04-25T23:59:00Z</dcterms:created>
  <dcterms:modified xsi:type="dcterms:W3CDTF">2025-04-29T20:41:00Z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