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49D6C" w14:textId="77777777" w:rsidR="00635B00" w:rsidRPr="0029643A" w:rsidRDefault="00734BEE">
      <w:pPr>
        <w:jc w:val="right"/>
        <w:rPr>
          <w:rFonts w:ascii="Arial" w:hAnsi="Arial" w:cs="Arial"/>
          <w:sz w:val="16"/>
          <w:szCs w:val="16"/>
          <w:lang w:val="es-ES" w:eastAsia="es-ES"/>
        </w:rPr>
      </w:pPr>
      <w:bookmarkStart w:id="0" w:name="_Hlk29548183"/>
      <w:bookmarkStart w:id="1" w:name="_Hlk28946138"/>
      <w:r w:rsidRPr="0029643A">
        <w:rPr>
          <w:rFonts w:ascii="Arial" w:hAnsi="Arial" w:cs="Arial"/>
          <w:b/>
          <w:sz w:val="16"/>
          <w:szCs w:val="16"/>
          <w:lang w:val="es-ES" w:eastAsia="es-ES"/>
        </w:rPr>
        <w:tab/>
      </w:r>
      <w:r w:rsidRPr="0029643A">
        <w:rPr>
          <w:rFonts w:ascii="Arial" w:hAnsi="Arial" w:cs="Arial"/>
          <w:sz w:val="16"/>
          <w:szCs w:val="16"/>
          <w:lang w:val="es-ES" w:eastAsia="es-ES"/>
        </w:rPr>
        <w:t>CCE-DES-FM-17</w:t>
      </w:r>
    </w:p>
    <w:p w14:paraId="672A6659" w14:textId="77777777" w:rsidR="00635B00" w:rsidRPr="00DB1608" w:rsidRDefault="00635B00">
      <w:pPr>
        <w:jc w:val="both"/>
        <w:rPr>
          <w:rFonts w:ascii="Arial" w:eastAsia="Calibri" w:hAnsi="Arial" w:cs="Arial"/>
          <w:b/>
          <w:sz w:val="16"/>
          <w:szCs w:val="16"/>
          <w:lang w:val="es-ES"/>
        </w:rPr>
      </w:pPr>
    </w:p>
    <w:p w14:paraId="51B89391" w14:textId="66E8DC41" w:rsidR="00635B00" w:rsidRPr="0029643A" w:rsidRDefault="00734BEE">
      <w:pPr>
        <w:jc w:val="both"/>
        <w:rPr>
          <w:rFonts w:ascii="Arial" w:eastAsia="Calibri" w:hAnsi="Arial" w:cs="Arial"/>
          <w:b/>
          <w:sz w:val="22"/>
          <w:lang w:val="es-ES"/>
        </w:rPr>
      </w:pPr>
      <w:r w:rsidRPr="0029643A">
        <w:rPr>
          <w:rFonts w:ascii="Arial" w:eastAsia="Calibri" w:hAnsi="Arial" w:cs="Arial"/>
          <w:b/>
          <w:sz w:val="22"/>
          <w:lang w:val="es-ES"/>
        </w:rPr>
        <w:t>ADICIÓN</w:t>
      </w:r>
      <w:r w:rsidR="00BF2C89">
        <w:rPr>
          <w:rFonts w:ascii="Arial" w:eastAsia="Calibri" w:hAnsi="Arial" w:cs="Arial"/>
          <w:b/>
          <w:sz w:val="22"/>
          <w:lang w:val="es-ES"/>
        </w:rPr>
        <w:t xml:space="preserve"> </w:t>
      </w:r>
      <w:r w:rsidR="006D2C88" w:rsidRPr="0029643A">
        <w:rPr>
          <w:rFonts w:ascii="Arial" w:eastAsia="Calibri" w:hAnsi="Arial" w:cs="Arial"/>
          <w:b/>
          <w:sz w:val="22"/>
          <w:lang w:val="es-ES"/>
        </w:rPr>
        <w:t xml:space="preserve">– </w:t>
      </w:r>
      <w:r w:rsidRPr="0029643A">
        <w:rPr>
          <w:rFonts w:ascii="Arial" w:eastAsia="Calibri" w:hAnsi="Arial" w:cs="Arial"/>
          <w:b/>
          <w:sz w:val="22"/>
          <w:lang w:val="es-ES"/>
        </w:rPr>
        <w:t>Concepto</w:t>
      </w:r>
      <w:r w:rsidR="00B42538">
        <w:rPr>
          <w:rFonts w:ascii="Arial" w:eastAsia="Calibri" w:hAnsi="Arial" w:cs="Arial"/>
          <w:b/>
          <w:sz w:val="22"/>
          <w:lang w:val="es-ES"/>
        </w:rPr>
        <w:t xml:space="preserve"> </w:t>
      </w:r>
      <w:r w:rsidR="006D2C88" w:rsidRPr="0029643A">
        <w:rPr>
          <w:rFonts w:ascii="Arial" w:eastAsia="Calibri" w:hAnsi="Arial" w:cs="Arial"/>
          <w:b/>
          <w:sz w:val="22"/>
          <w:lang w:val="es-ES"/>
        </w:rPr>
        <w:t xml:space="preserve">– </w:t>
      </w:r>
      <w:r w:rsidRPr="0029643A">
        <w:rPr>
          <w:rFonts w:ascii="Arial" w:eastAsia="Calibri" w:hAnsi="Arial" w:cs="Arial"/>
          <w:b/>
          <w:sz w:val="22"/>
          <w:lang w:val="es-ES"/>
        </w:rPr>
        <w:t xml:space="preserve">Distintos supuestos </w:t>
      </w:r>
      <w:r w:rsidR="006D2C88">
        <w:rPr>
          <w:rFonts w:ascii="Arial" w:eastAsia="Calibri" w:hAnsi="Arial" w:cs="Arial"/>
          <w:b/>
          <w:sz w:val="22"/>
          <w:lang w:val="es-ES"/>
        </w:rPr>
        <w:t>–</w:t>
      </w:r>
      <w:r w:rsidR="006D2C88" w:rsidRPr="0029643A">
        <w:rPr>
          <w:rFonts w:ascii="Arial" w:eastAsia="Calibri" w:hAnsi="Arial" w:cs="Arial"/>
          <w:b/>
          <w:sz w:val="22"/>
          <w:lang w:val="es-ES"/>
        </w:rPr>
        <w:t xml:space="preserve"> </w:t>
      </w:r>
      <w:r w:rsidRPr="0029643A">
        <w:rPr>
          <w:rFonts w:ascii="Arial" w:eastAsia="Calibri" w:hAnsi="Arial" w:cs="Arial"/>
          <w:b/>
          <w:sz w:val="22"/>
          <w:lang w:val="es-ES"/>
        </w:rPr>
        <w:t>Prohibición de adicionar en más del 50%</w:t>
      </w:r>
    </w:p>
    <w:p w14:paraId="0A37501D" w14:textId="77777777" w:rsidR="00635B00" w:rsidRPr="0029643A" w:rsidRDefault="00635B00">
      <w:pPr>
        <w:jc w:val="both"/>
        <w:rPr>
          <w:rFonts w:ascii="Arial" w:eastAsia="Calibri" w:hAnsi="Arial" w:cs="Arial"/>
          <w:b/>
          <w:sz w:val="22"/>
          <w:lang w:val="es-ES"/>
        </w:rPr>
      </w:pPr>
    </w:p>
    <w:p w14:paraId="6DF08622" w14:textId="77777777" w:rsidR="00635B00" w:rsidRPr="0029643A" w:rsidRDefault="00734BEE" w:rsidP="0029643A">
      <w:pPr>
        <w:jc w:val="both"/>
        <w:rPr>
          <w:rFonts w:ascii="Arial" w:eastAsia="Calibri" w:hAnsi="Arial" w:cs="Arial"/>
          <w:bCs/>
          <w:sz w:val="20"/>
          <w:szCs w:val="20"/>
          <w:lang w:val="es-ES"/>
        </w:rPr>
      </w:pPr>
      <w:r w:rsidRPr="0029643A">
        <w:rPr>
          <w:rFonts w:ascii="Arial" w:eastAsia="Calibri" w:hAnsi="Arial" w:cs="Arial"/>
          <w:bCs/>
          <w:sz w:val="20"/>
          <w:szCs w:val="20"/>
          <w:lang w:val="es-ES"/>
        </w:rPr>
        <w:t xml:space="preserve">Durante la fase de ejecución de los contratos estatales, las partes podrían identificar alguna de las siguientes situaciones: i) la necesidad de acometer mayores cantidades de los ítems o actividades inicialmente previstos, a lo que en la práctica se le conoce como «mayores cantidades de obra», «obras adicionales» o adición de «ítems contractuales»; y </w:t>
      </w:r>
      <w:proofErr w:type="spellStart"/>
      <w:r w:rsidRPr="0029643A">
        <w:rPr>
          <w:rFonts w:ascii="Arial" w:eastAsia="Calibri" w:hAnsi="Arial" w:cs="Arial"/>
          <w:bCs/>
          <w:sz w:val="20"/>
          <w:szCs w:val="20"/>
          <w:lang w:val="es-ES"/>
        </w:rPr>
        <w:t>ii</w:t>
      </w:r>
      <w:proofErr w:type="spellEnd"/>
      <w:r w:rsidRPr="0029643A">
        <w:rPr>
          <w:rFonts w:ascii="Arial" w:eastAsia="Calibri" w:hAnsi="Arial" w:cs="Arial"/>
          <w:bCs/>
          <w:sz w:val="20"/>
          <w:szCs w:val="20"/>
          <w:lang w:val="es-ES"/>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este último término, al igual que los señalados entre comillas ―algunos de ellos usualmente empleados en contratos de obra― son nociones doctrinarias y empleadas en la práctica por las entidades estatales, que actualmente no tienen un fundamento particular en el ordenamiento jurídico, el cual no le asigna efectos específicos a cada uno de ellos. Lo importante, y que se reiteró en distintos lugares de este concepto es que frente a cualquier incremento del valor inicial del contrato, que es lo que implica una adición, por cualquiera de los dos supuesto señalados previamente, e independientemente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 </w:t>
      </w:r>
    </w:p>
    <w:p w14:paraId="5DAB6C7B" w14:textId="77777777" w:rsidR="00635B00" w:rsidRPr="0029643A" w:rsidRDefault="00635B00">
      <w:pPr>
        <w:jc w:val="both"/>
        <w:rPr>
          <w:rFonts w:ascii="Arial" w:eastAsia="Calibri" w:hAnsi="Arial" w:cs="Arial"/>
          <w:b/>
          <w:sz w:val="22"/>
          <w:lang w:val="es-ES"/>
        </w:rPr>
      </w:pPr>
    </w:p>
    <w:p w14:paraId="4DA901F1" w14:textId="31B7F883" w:rsidR="00BF2C89" w:rsidRDefault="00BF2C89" w:rsidP="01E1901C">
      <w:pPr>
        <w:spacing w:line="259" w:lineRule="auto"/>
        <w:jc w:val="both"/>
        <w:rPr>
          <w:rFonts w:ascii="Arial" w:eastAsia="Calibri" w:hAnsi="Arial" w:cs="Arial"/>
          <w:b/>
          <w:bCs/>
          <w:sz w:val="22"/>
          <w:szCs w:val="22"/>
          <w:lang w:val="es-ES"/>
        </w:rPr>
      </w:pPr>
      <w:proofErr w:type="gramStart"/>
      <w:r w:rsidRPr="01E1901C">
        <w:rPr>
          <w:rFonts w:ascii="Arial" w:eastAsia="Calibri" w:hAnsi="Arial" w:cs="Arial"/>
          <w:b/>
          <w:bCs/>
          <w:sz w:val="22"/>
          <w:szCs w:val="22"/>
          <w:lang w:val="es-ES"/>
        </w:rPr>
        <w:t xml:space="preserve">ADICIÓN </w:t>
      </w:r>
      <w:r w:rsidR="00734BEE" w:rsidRPr="01E1901C">
        <w:rPr>
          <w:rFonts w:ascii="Arial" w:eastAsia="Calibri" w:hAnsi="Arial" w:cs="Arial"/>
          <w:b/>
          <w:bCs/>
          <w:sz w:val="22"/>
          <w:szCs w:val="22"/>
          <w:lang w:val="es-ES"/>
        </w:rPr>
        <w:t xml:space="preserve"> </w:t>
      </w:r>
      <w:r w:rsidR="006D2C88" w:rsidRPr="01E1901C">
        <w:rPr>
          <w:rFonts w:ascii="Arial" w:eastAsia="Calibri" w:hAnsi="Arial" w:cs="Arial"/>
          <w:b/>
          <w:bCs/>
          <w:sz w:val="22"/>
          <w:szCs w:val="22"/>
          <w:lang w:val="es-ES"/>
        </w:rPr>
        <w:t>–</w:t>
      </w:r>
      <w:proofErr w:type="gramEnd"/>
      <w:r w:rsidR="006D2C88" w:rsidRPr="01E1901C">
        <w:rPr>
          <w:rFonts w:ascii="Arial" w:eastAsia="Calibri" w:hAnsi="Arial" w:cs="Arial"/>
          <w:b/>
          <w:bCs/>
          <w:sz w:val="22"/>
          <w:szCs w:val="22"/>
          <w:lang w:val="es-ES"/>
        </w:rPr>
        <w:t xml:space="preserve"> </w:t>
      </w:r>
      <w:r w:rsidR="00734BEE" w:rsidRPr="01E1901C">
        <w:rPr>
          <w:rFonts w:ascii="Arial" w:eastAsia="Calibri" w:hAnsi="Arial" w:cs="Arial"/>
          <w:b/>
          <w:bCs/>
          <w:sz w:val="22"/>
          <w:szCs w:val="22"/>
          <w:lang w:val="es-ES"/>
        </w:rPr>
        <w:t xml:space="preserve">Contenido </w:t>
      </w:r>
      <w:r w:rsidR="006D2C88" w:rsidRPr="01E1901C">
        <w:rPr>
          <w:rFonts w:ascii="Arial" w:eastAsia="Calibri" w:hAnsi="Arial" w:cs="Arial"/>
          <w:b/>
          <w:bCs/>
          <w:sz w:val="22"/>
          <w:szCs w:val="22"/>
          <w:lang w:val="es-ES"/>
        </w:rPr>
        <w:t xml:space="preserve">– </w:t>
      </w:r>
      <w:r w:rsidR="00734BEE" w:rsidRPr="01E1901C">
        <w:rPr>
          <w:rFonts w:ascii="Arial" w:eastAsia="Calibri" w:hAnsi="Arial" w:cs="Arial"/>
          <w:b/>
          <w:bCs/>
          <w:sz w:val="22"/>
          <w:szCs w:val="22"/>
          <w:lang w:val="es-ES"/>
        </w:rPr>
        <w:t xml:space="preserve">Cálculo del monto </w:t>
      </w:r>
      <w:r w:rsidR="006D2C88" w:rsidRPr="01E1901C">
        <w:rPr>
          <w:rFonts w:ascii="Arial" w:eastAsia="Calibri" w:hAnsi="Arial" w:cs="Arial"/>
          <w:b/>
          <w:bCs/>
          <w:sz w:val="22"/>
          <w:szCs w:val="22"/>
          <w:lang w:val="es-ES"/>
        </w:rPr>
        <w:t xml:space="preserve">– </w:t>
      </w:r>
      <w:r w:rsidR="61130E9D" w:rsidRPr="01E1901C">
        <w:rPr>
          <w:rFonts w:ascii="Arial" w:eastAsia="Calibri" w:hAnsi="Arial" w:cs="Arial"/>
          <w:b/>
          <w:bCs/>
          <w:sz w:val="22"/>
          <w:szCs w:val="22"/>
          <w:lang w:val="es-ES"/>
        </w:rPr>
        <w:t xml:space="preserve">Parágrafo artículo 40 – </w:t>
      </w:r>
      <w:r w:rsidR="00734BEE" w:rsidRPr="01E1901C">
        <w:rPr>
          <w:rFonts w:ascii="Arial" w:eastAsia="Calibri" w:hAnsi="Arial" w:cs="Arial"/>
          <w:b/>
          <w:bCs/>
          <w:sz w:val="22"/>
          <w:szCs w:val="22"/>
          <w:lang w:val="es-ES"/>
        </w:rPr>
        <w:t>Ley 80</w:t>
      </w:r>
      <w:r w:rsidR="55F5891E" w:rsidRPr="01E1901C">
        <w:rPr>
          <w:rFonts w:ascii="Arial" w:eastAsia="Calibri" w:hAnsi="Arial" w:cs="Arial"/>
          <w:b/>
          <w:bCs/>
          <w:sz w:val="22"/>
          <w:szCs w:val="22"/>
          <w:lang w:val="es-ES"/>
        </w:rPr>
        <w:t xml:space="preserve"> de 1993</w:t>
      </w:r>
    </w:p>
    <w:p w14:paraId="02EB378F" w14:textId="77777777" w:rsidR="00635B00" w:rsidRPr="0029643A" w:rsidRDefault="00635B00">
      <w:pPr>
        <w:jc w:val="both"/>
        <w:rPr>
          <w:rFonts w:ascii="Arial" w:eastAsia="Calibri" w:hAnsi="Arial" w:cs="Arial"/>
          <w:b/>
          <w:sz w:val="22"/>
          <w:lang w:val="es-ES"/>
        </w:rPr>
      </w:pPr>
    </w:p>
    <w:p w14:paraId="163A39A5" w14:textId="77777777" w:rsidR="00635B00" w:rsidRPr="0029643A" w:rsidRDefault="00734BEE" w:rsidP="0029643A">
      <w:pPr>
        <w:jc w:val="both"/>
        <w:rPr>
          <w:rFonts w:ascii="Arial" w:eastAsia="Calibri" w:hAnsi="Arial" w:cs="Arial"/>
          <w:bCs/>
          <w:sz w:val="20"/>
          <w:szCs w:val="20"/>
          <w:lang w:val="es-ES"/>
        </w:rPr>
      </w:pPr>
      <w:r w:rsidRPr="0029643A">
        <w:rPr>
          <w:rFonts w:ascii="Arial" w:eastAsia="Calibri" w:hAnsi="Arial" w:cs="Arial"/>
          <w:bCs/>
          <w:sz w:val="20"/>
          <w:szCs w:val="20"/>
          <w:lang w:val="es-ES"/>
        </w:rPr>
        <w:t>Dicha norma además de consagrar una prohibición trae implícita una autorización, consistente en la posibilidad de adicionar los contratos estatales, siempre que no se supere el tope establecido. Debe tenerse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w:t>
      </w:r>
    </w:p>
    <w:p w14:paraId="6A05A809" w14:textId="77777777" w:rsidR="00635B00" w:rsidRPr="0029643A" w:rsidRDefault="00635B00">
      <w:pPr>
        <w:jc w:val="both"/>
        <w:rPr>
          <w:rFonts w:ascii="Arial" w:eastAsia="Calibri" w:hAnsi="Arial" w:cs="Arial"/>
          <w:bCs/>
          <w:sz w:val="22"/>
          <w:lang w:val="es-ES"/>
        </w:rPr>
      </w:pPr>
    </w:p>
    <w:p w14:paraId="5AF3515D" w14:textId="2BC01FC5" w:rsidR="00635B00" w:rsidRPr="0029643A" w:rsidRDefault="00734BEE">
      <w:pPr>
        <w:jc w:val="both"/>
        <w:rPr>
          <w:rFonts w:ascii="Arial" w:eastAsia="Calibri" w:hAnsi="Arial" w:cs="Arial"/>
          <w:b/>
          <w:sz w:val="22"/>
          <w:lang w:val="es-ES"/>
        </w:rPr>
      </w:pPr>
      <w:r w:rsidRPr="0029643A">
        <w:rPr>
          <w:rFonts w:ascii="Arial" w:eastAsia="Calibri" w:hAnsi="Arial" w:cs="Arial"/>
          <w:b/>
          <w:sz w:val="22"/>
          <w:lang w:val="es-ES"/>
        </w:rPr>
        <w:t xml:space="preserve">ADICIÓN </w:t>
      </w:r>
      <w:r w:rsidR="006D2C88">
        <w:rPr>
          <w:rFonts w:ascii="Arial" w:eastAsia="Calibri" w:hAnsi="Arial" w:cs="Arial"/>
          <w:b/>
          <w:sz w:val="22"/>
          <w:lang w:val="es-ES"/>
        </w:rPr>
        <w:t xml:space="preserve">– </w:t>
      </w:r>
      <w:r w:rsidR="00B42538">
        <w:rPr>
          <w:rFonts w:ascii="Arial" w:eastAsia="Calibri" w:hAnsi="Arial" w:cs="Arial"/>
          <w:b/>
          <w:sz w:val="22"/>
          <w:lang w:val="es-ES"/>
        </w:rPr>
        <w:t>Límite</w:t>
      </w:r>
      <w:r w:rsidR="00097F4D">
        <w:rPr>
          <w:rFonts w:ascii="Arial" w:eastAsia="Calibri" w:hAnsi="Arial" w:cs="Arial"/>
          <w:b/>
          <w:sz w:val="22"/>
          <w:lang w:val="es-ES"/>
        </w:rPr>
        <w:t>s</w:t>
      </w:r>
      <w:bookmarkStart w:id="2" w:name="_GoBack"/>
      <w:bookmarkEnd w:id="2"/>
      <w:r w:rsidR="00B42538">
        <w:rPr>
          <w:rFonts w:ascii="Arial" w:eastAsia="Calibri" w:hAnsi="Arial" w:cs="Arial"/>
          <w:b/>
          <w:sz w:val="22"/>
          <w:lang w:val="es-ES"/>
        </w:rPr>
        <w:t xml:space="preserve"> – </w:t>
      </w:r>
      <w:r w:rsidR="00B42538">
        <w:rPr>
          <w:rFonts w:ascii="Arial" w:eastAsia="Calibri" w:hAnsi="Arial" w:cs="Arial"/>
          <w:b/>
          <w:sz w:val="22"/>
        </w:rPr>
        <w:t>V</w:t>
      </w:r>
      <w:proofErr w:type="spellStart"/>
      <w:r w:rsidRPr="0029643A">
        <w:rPr>
          <w:rFonts w:ascii="Arial" w:eastAsia="Calibri" w:hAnsi="Arial" w:cs="Arial"/>
          <w:b/>
          <w:sz w:val="22"/>
          <w:lang w:val="es-ES"/>
        </w:rPr>
        <w:t>alor</w:t>
      </w:r>
      <w:proofErr w:type="spellEnd"/>
      <w:r w:rsidRPr="0029643A">
        <w:rPr>
          <w:rFonts w:ascii="Arial" w:eastAsia="Calibri" w:hAnsi="Arial" w:cs="Arial"/>
          <w:b/>
          <w:sz w:val="22"/>
          <w:lang w:val="es-ES"/>
        </w:rPr>
        <w:t xml:space="preserve"> </w:t>
      </w:r>
      <w:r w:rsidR="006D2C88">
        <w:rPr>
          <w:rFonts w:ascii="Arial" w:eastAsia="Calibri" w:hAnsi="Arial" w:cs="Arial"/>
          <w:b/>
          <w:sz w:val="22"/>
          <w:lang w:val="es-ES"/>
        </w:rPr>
        <w:t>–</w:t>
      </w:r>
      <w:r w:rsidR="006D2C88" w:rsidRPr="0029643A">
        <w:rPr>
          <w:rFonts w:ascii="Arial" w:eastAsia="Calibri" w:hAnsi="Arial" w:cs="Arial"/>
          <w:b/>
          <w:sz w:val="22"/>
          <w:lang w:val="es-ES"/>
        </w:rPr>
        <w:t xml:space="preserve"> </w:t>
      </w:r>
      <w:r w:rsidRPr="0029643A">
        <w:rPr>
          <w:rFonts w:ascii="Arial" w:eastAsia="Calibri" w:hAnsi="Arial" w:cs="Arial"/>
          <w:b/>
          <w:sz w:val="22"/>
          <w:lang w:val="es-ES"/>
        </w:rPr>
        <w:t xml:space="preserve">Excepción a la regla </w:t>
      </w:r>
      <w:r w:rsidR="006D2C88">
        <w:rPr>
          <w:rFonts w:ascii="Arial" w:eastAsia="Calibri" w:hAnsi="Arial" w:cs="Arial"/>
          <w:b/>
          <w:sz w:val="22"/>
          <w:lang w:val="es-ES"/>
        </w:rPr>
        <w:t>–</w:t>
      </w:r>
      <w:r w:rsidR="006D2C88" w:rsidRPr="0029643A">
        <w:rPr>
          <w:rFonts w:ascii="Arial" w:eastAsia="Calibri" w:hAnsi="Arial" w:cs="Arial"/>
          <w:b/>
          <w:sz w:val="22"/>
          <w:lang w:val="es-ES"/>
        </w:rPr>
        <w:t xml:space="preserve"> </w:t>
      </w:r>
      <w:r w:rsidRPr="0029643A">
        <w:rPr>
          <w:rFonts w:ascii="Arial" w:eastAsia="Calibri" w:hAnsi="Arial" w:cs="Arial"/>
          <w:b/>
          <w:sz w:val="22"/>
          <w:lang w:val="es-ES"/>
        </w:rPr>
        <w:t>Decreto 440 de 2020</w:t>
      </w:r>
    </w:p>
    <w:p w14:paraId="5A39BBE3" w14:textId="77777777" w:rsidR="00635B00" w:rsidRPr="0029643A" w:rsidRDefault="00635B00">
      <w:pPr>
        <w:spacing w:line="276" w:lineRule="auto"/>
        <w:jc w:val="both"/>
        <w:rPr>
          <w:rFonts w:ascii="Arial" w:eastAsia="Calibri" w:hAnsi="Arial" w:cs="Arial"/>
          <w:b/>
          <w:sz w:val="22"/>
          <w:lang w:val="es-ES"/>
        </w:rPr>
      </w:pPr>
    </w:p>
    <w:p w14:paraId="6D9B0E45" w14:textId="77777777" w:rsidR="00635B00" w:rsidRPr="0029643A" w:rsidRDefault="00734BEE" w:rsidP="0029643A">
      <w:pPr>
        <w:jc w:val="both"/>
        <w:rPr>
          <w:rFonts w:ascii="Arial" w:eastAsia="Calibri" w:hAnsi="Arial" w:cs="Arial"/>
          <w:sz w:val="20"/>
          <w:szCs w:val="20"/>
          <w:lang w:val="es-ES"/>
        </w:rPr>
      </w:pPr>
      <w:r w:rsidRPr="0029643A">
        <w:rPr>
          <w:rFonts w:ascii="Arial" w:eastAsia="Calibri" w:hAnsi="Arial" w:cs="Arial"/>
          <w:sz w:val="20"/>
          <w:szCs w:val="20"/>
          <w:lang w:val="es-ES"/>
        </w:rPr>
        <w:t xml:space="preserve">Si bien la postura jurisprudencial y doctrinaria es clara frente a la imposibilidad de adicionar los contratos estatales por más del 50% de su valor inicial, exceptuados los de interventoría conforme lo dispuesto en el artículo 85 de la Ley 1474 de 2011; el Decreto 440 y 537 de 2020, rompen la excepción a esta regla de carácter cuantitativo. La actual emergencia presentada a nivel global a causa del coronavirus COVID-19, supone una exigencia por parte del Estado colombiano, encaminado a garantizar la salud de todos los habitantes del territorio nacional y a disminuir la propagación del virus, teniendo presente el factor de inmediatez con que se debe obrar para conjurar la crisis. </w:t>
      </w:r>
    </w:p>
    <w:p w14:paraId="41C8F396" w14:textId="77777777" w:rsidR="00635B00" w:rsidRPr="0029643A" w:rsidRDefault="00635B00">
      <w:pPr>
        <w:jc w:val="both"/>
        <w:rPr>
          <w:rFonts w:ascii="Arial" w:hAnsi="Arial" w:cs="Arial"/>
          <w:bCs/>
          <w:sz w:val="22"/>
          <w:lang w:val="es-ES"/>
        </w:rPr>
      </w:pPr>
    </w:p>
    <w:p w14:paraId="72A3D3EC" w14:textId="77DBD2FF" w:rsidR="00635B00" w:rsidRDefault="00635B00">
      <w:pPr>
        <w:jc w:val="both"/>
        <w:rPr>
          <w:rFonts w:ascii="Arial" w:hAnsi="Arial" w:cs="Arial"/>
          <w:bCs/>
          <w:sz w:val="22"/>
          <w:lang w:val="es-ES"/>
        </w:rPr>
      </w:pPr>
    </w:p>
    <w:p w14:paraId="473A6A83" w14:textId="77777777" w:rsidR="00DB1608" w:rsidRPr="0029643A" w:rsidRDefault="00DB1608">
      <w:pPr>
        <w:jc w:val="both"/>
        <w:rPr>
          <w:rFonts w:ascii="Arial" w:hAnsi="Arial" w:cs="Arial"/>
          <w:bCs/>
          <w:sz w:val="22"/>
          <w:lang w:val="es-ES"/>
        </w:rPr>
      </w:pPr>
    </w:p>
    <w:p w14:paraId="688B9B41" w14:textId="77777777" w:rsidR="00635B00" w:rsidRPr="0029643A" w:rsidRDefault="00734BEE">
      <w:pPr>
        <w:jc w:val="both"/>
        <w:rPr>
          <w:rFonts w:ascii="Arial" w:hAnsi="Arial" w:cs="Arial"/>
          <w:b/>
          <w:sz w:val="22"/>
          <w:lang w:val="es-ES"/>
        </w:rPr>
      </w:pPr>
      <w:r w:rsidRPr="0029643A">
        <w:rPr>
          <w:rFonts w:ascii="Arial" w:hAnsi="Arial" w:cs="Arial"/>
          <w:sz w:val="22"/>
          <w:lang w:val="es-ES"/>
        </w:rPr>
        <w:lastRenderedPageBreak/>
        <w:t xml:space="preserve">Bogotá D.C., </w:t>
      </w:r>
      <w:r w:rsidR="0022607D">
        <w:rPr>
          <w:rFonts w:ascii="Arial" w:hAnsi="Arial" w:cs="Arial"/>
          <w:b/>
          <w:sz w:val="22"/>
          <w:lang w:val="es-ES"/>
        </w:rPr>
        <w:t>28/05/2020 Hora: 21:2:2s</w:t>
      </w:r>
    </w:p>
    <w:p w14:paraId="47431E7E" w14:textId="77777777" w:rsidR="00635B00" w:rsidRPr="0029643A" w:rsidRDefault="00734BEE">
      <w:pPr>
        <w:jc w:val="right"/>
        <w:rPr>
          <w:rFonts w:ascii="Arial" w:hAnsi="Arial" w:cs="Arial"/>
          <w:b/>
          <w:sz w:val="22"/>
          <w:lang w:val="es-ES"/>
        </w:rPr>
      </w:pPr>
      <w:proofErr w:type="spellStart"/>
      <w:r w:rsidRPr="0029643A">
        <w:rPr>
          <w:rFonts w:ascii="Arial" w:hAnsi="Arial" w:cs="Arial"/>
          <w:b/>
          <w:sz w:val="22"/>
          <w:lang w:val="es-ES"/>
        </w:rPr>
        <w:t>N°</w:t>
      </w:r>
      <w:proofErr w:type="spellEnd"/>
      <w:r w:rsidRPr="0029643A">
        <w:rPr>
          <w:rFonts w:ascii="Arial" w:hAnsi="Arial" w:cs="Arial"/>
          <w:b/>
          <w:sz w:val="22"/>
          <w:lang w:val="es-ES"/>
        </w:rPr>
        <w:t xml:space="preserve"> Radicado: </w:t>
      </w:r>
      <w:r w:rsidR="0022607D">
        <w:rPr>
          <w:rFonts w:ascii="Arial" w:hAnsi="Arial" w:cs="Arial"/>
          <w:b/>
          <w:sz w:val="22"/>
          <w:lang w:val="es-ES"/>
        </w:rPr>
        <w:t>2202013000004358</w:t>
      </w:r>
    </w:p>
    <w:p w14:paraId="0E27B00A" w14:textId="77777777" w:rsidR="00635B00" w:rsidRPr="0029643A" w:rsidRDefault="00734BEE">
      <w:pPr>
        <w:tabs>
          <w:tab w:val="left" w:pos="3374"/>
        </w:tabs>
        <w:rPr>
          <w:rFonts w:ascii="Arial" w:eastAsia="Calibri" w:hAnsi="Arial" w:cs="Arial"/>
          <w:sz w:val="22"/>
          <w:lang w:val="es-ES"/>
        </w:rPr>
      </w:pPr>
      <w:r w:rsidRPr="0029643A">
        <w:rPr>
          <w:rFonts w:ascii="Arial" w:eastAsia="Calibri" w:hAnsi="Arial" w:cs="Arial"/>
          <w:sz w:val="22"/>
          <w:lang w:val="es-ES"/>
        </w:rPr>
        <w:tab/>
      </w:r>
    </w:p>
    <w:p w14:paraId="63D37C31" w14:textId="77777777" w:rsidR="00635B00" w:rsidRPr="0029643A" w:rsidRDefault="00734BEE">
      <w:pPr>
        <w:rPr>
          <w:rFonts w:ascii="Arial" w:eastAsia="Calibri" w:hAnsi="Arial" w:cs="Arial"/>
          <w:sz w:val="22"/>
          <w:lang w:val="es-ES"/>
        </w:rPr>
      </w:pPr>
      <w:r w:rsidRPr="0029643A">
        <w:rPr>
          <w:rFonts w:ascii="Arial" w:eastAsia="Calibri" w:hAnsi="Arial" w:cs="Arial"/>
          <w:sz w:val="22"/>
          <w:lang w:val="es-ES"/>
        </w:rPr>
        <w:t>Señor</w:t>
      </w:r>
    </w:p>
    <w:p w14:paraId="65727BFE" w14:textId="77777777" w:rsidR="00635B00" w:rsidRPr="0029643A" w:rsidRDefault="00734BEE">
      <w:pPr>
        <w:rPr>
          <w:rFonts w:ascii="Arial" w:eastAsia="Calibri" w:hAnsi="Arial" w:cs="Arial"/>
          <w:b/>
          <w:sz w:val="22"/>
          <w:lang w:val="es-ES"/>
        </w:rPr>
      </w:pPr>
      <w:proofErr w:type="spellStart"/>
      <w:r w:rsidRPr="0029643A">
        <w:rPr>
          <w:rFonts w:ascii="Arial" w:eastAsia="Calibri" w:hAnsi="Arial" w:cs="Arial"/>
          <w:b/>
          <w:sz w:val="22"/>
          <w:lang w:val="es-ES"/>
        </w:rPr>
        <w:t>Giovany</w:t>
      </w:r>
      <w:proofErr w:type="spellEnd"/>
      <w:r w:rsidRPr="0029643A">
        <w:rPr>
          <w:rFonts w:ascii="Arial" w:eastAsia="Calibri" w:hAnsi="Arial" w:cs="Arial"/>
          <w:b/>
          <w:sz w:val="22"/>
          <w:lang w:val="es-ES"/>
        </w:rPr>
        <w:t xml:space="preserve"> Valencia Cruz </w:t>
      </w:r>
      <w:proofErr w:type="spellStart"/>
      <w:r w:rsidRPr="0029643A">
        <w:rPr>
          <w:rFonts w:ascii="Arial" w:eastAsia="Calibri" w:hAnsi="Arial" w:cs="Arial"/>
          <w:b/>
          <w:sz w:val="22"/>
          <w:lang w:val="es-ES"/>
        </w:rPr>
        <w:t>Cruz</w:t>
      </w:r>
      <w:proofErr w:type="spellEnd"/>
    </w:p>
    <w:p w14:paraId="3A846580" w14:textId="77777777" w:rsidR="00635B00" w:rsidRPr="0029643A" w:rsidRDefault="00734BEE">
      <w:pPr>
        <w:rPr>
          <w:rFonts w:ascii="Arial" w:eastAsia="Calibri" w:hAnsi="Arial" w:cs="Arial"/>
          <w:sz w:val="22"/>
          <w:lang w:val="es-ES"/>
        </w:rPr>
      </w:pPr>
      <w:r w:rsidRPr="0029643A">
        <w:rPr>
          <w:rFonts w:ascii="Arial" w:eastAsia="Calibri" w:hAnsi="Arial" w:cs="Arial"/>
          <w:sz w:val="22"/>
          <w:lang w:val="es-ES"/>
        </w:rPr>
        <w:t>Ciudad</w:t>
      </w:r>
    </w:p>
    <w:p w14:paraId="60061E4C" w14:textId="77777777" w:rsidR="00635B00" w:rsidRPr="0029643A" w:rsidRDefault="00635B00">
      <w:pPr>
        <w:rPr>
          <w:rFonts w:ascii="Arial" w:eastAsia="Calibri" w:hAnsi="Arial" w:cs="Arial"/>
          <w:sz w:val="22"/>
          <w:lang w:val="es-ES"/>
        </w:rPr>
      </w:pPr>
    </w:p>
    <w:p w14:paraId="44EAFD9C" w14:textId="77777777" w:rsidR="00635B00" w:rsidRPr="0029643A" w:rsidRDefault="00635B00">
      <w:pPr>
        <w:rPr>
          <w:rFonts w:ascii="Arial" w:eastAsia="Calibri" w:hAnsi="Arial" w:cs="Arial"/>
          <w:sz w:val="22"/>
          <w:lang w:val="es-ES"/>
        </w:rPr>
      </w:pPr>
    </w:p>
    <w:p w14:paraId="46000B2C" w14:textId="77777777" w:rsidR="00635B00" w:rsidRPr="0029643A" w:rsidRDefault="00734BEE">
      <w:pPr>
        <w:rPr>
          <w:rFonts w:ascii="Arial" w:eastAsia="Calibri" w:hAnsi="Arial" w:cs="Arial"/>
          <w:b/>
          <w:sz w:val="22"/>
          <w:lang w:val="es-ES"/>
        </w:rPr>
      </w:pPr>
      <w:r w:rsidRPr="0029643A">
        <w:rPr>
          <w:rFonts w:ascii="Arial" w:eastAsia="Calibri" w:hAnsi="Arial" w:cs="Arial"/>
          <w:b/>
          <w:sz w:val="22"/>
          <w:lang w:val="es-ES"/>
        </w:rPr>
        <w:t xml:space="preserve">                                            Concepto C – 318 de 2020</w:t>
      </w:r>
    </w:p>
    <w:p w14:paraId="4B94D5A5" w14:textId="77777777" w:rsidR="00635B00" w:rsidRPr="0029643A" w:rsidRDefault="00635B00">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D2C88" w:rsidRPr="0029643A" w14:paraId="3670AB97" w14:textId="77777777">
        <w:tc>
          <w:tcPr>
            <w:tcW w:w="2689" w:type="dxa"/>
          </w:tcPr>
          <w:p w14:paraId="3ADBE070" w14:textId="77777777" w:rsidR="00635B00" w:rsidRPr="0029643A" w:rsidRDefault="00734BEE">
            <w:pPr>
              <w:rPr>
                <w:rFonts w:ascii="Arial" w:eastAsia="Calibri" w:hAnsi="Arial" w:cs="Arial"/>
                <w:sz w:val="22"/>
                <w:lang w:val="es-ES"/>
              </w:rPr>
            </w:pPr>
            <w:r w:rsidRPr="0029643A">
              <w:rPr>
                <w:rFonts w:ascii="Arial" w:eastAsia="Calibri" w:hAnsi="Arial" w:cs="Arial"/>
                <w:b/>
                <w:sz w:val="22"/>
                <w:lang w:val="es-ES"/>
              </w:rPr>
              <w:t>Temas:</w:t>
            </w:r>
            <w:r w:rsidRPr="0029643A">
              <w:rPr>
                <w:rFonts w:ascii="Arial" w:eastAsia="Calibri" w:hAnsi="Arial" w:cs="Arial"/>
                <w:sz w:val="22"/>
                <w:lang w:val="es-ES"/>
              </w:rPr>
              <w:t xml:space="preserve">           </w:t>
            </w:r>
          </w:p>
          <w:p w14:paraId="78ED280F" w14:textId="77777777" w:rsidR="00635B00" w:rsidRPr="0029643A" w:rsidRDefault="00734BEE">
            <w:pPr>
              <w:rPr>
                <w:rFonts w:ascii="Arial" w:eastAsia="Calibri" w:hAnsi="Arial" w:cs="Arial"/>
                <w:sz w:val="22"/>
                <w:lang w:val="es-ES"/>
              </w:rPr>
            </w:pPr>
            <w:r w:rsidRPr="0029643A">
              <w:rPr>
                <w:rFonts w:ascii="Arial" w:eastAsia="Calibri" w:hAnsi="Arial" w:cs="Arial"/>
                <w:sz w:val="22"/>
                <w:lang w:val="es-ES"/>
              </w:rPr>
              <w:t xml:space="preserve">                           </w:t>
            </w:r>
          </w:p>
        </w:tc>
        <w:tc>
          <w:tcPr>
            <w:tcW w:w="6237" w:type="dxa"/>
          </w:tcPr>
          <w:p w14:paraId="37479C67" w14:textId="77777777" w:rsidR="00635B00" w:rsidRPr="0029643A" w:rsidRDefault="00734BEE">
            <w:pPr>
              <w:spacing w:after="120"/>
              <w:jc w:val="both"/>
              <w:rPr>
                <w:rFonts w:ascii="Arial" w:eastAsia="Calibri" w:hAnsi="Arial" w:cs="Arial"/>
                <w:bCs/>
                <w:sz w:val="22"/>
                <w:lang w:val="es-ES"/>
              </w:rPr>
            </w:pPr>
            <w:r w:rsidRPr="0029643A">
              <w:rPr>
                <w:rFonts w:ascii="Arial" w:eastAsia="Calibri" w:hAnsi="Arial" w:cs="Arial"/>
                <w:bCs/>
                <w:sz w:val="22"/>
                <w:lang w:val="es-ES"/>
              </w:rPr>
              <w:t xml:space="preserve">ADICIÓN </w:t>
            </w:r>
            <w:r w:rsidR="006D2C88">
              <w:rPr>
                <w:rFonts w:ascii="Arial" w:eastAsia="Calibri" w:hAnsi="Arial" w:cs="Arial"/>
                <w:bCs/>
                <w:sz w:val="22"/>
                <w:lang w:val="es-ES"/>
              </w:rPr>
              <w:t>–</w:t>
            </w:r>
            <w:r w:rsidR="006D2C88" w:rsidRPr="0029643A">
              <w:rPr>
                <w:rFonts w:ascii="Arial" w:eastAsia="Calibri" w:hAnsi="Arial" w:cs="Arial"/>
                <w:bCs/>
                <w:sz w:val="22"/>
                <w:lang w:val="es-ES"/>
              </w:rPr>
              <w:t xml:space="preserve"> </w:t>
            </w:r>
            <w:r w:rsidRPr="0029643A">
              <w:rPr>
                <w:rFonts w:ascii="Arial" w:eastAsia="Calibri" w:hAnsi="Arial" w:cs="Arial"/>
                <w:bCs/>
                <w:sz w:val="22"/>
                <w:lang w:val="es-ES"/>
              </w:rPr>
              <w:t xml:space="preserve">Concepto </w:t>
            </w:r>
            <w:r w:rsidR="006D2C88">
              <w:rPr>
                <w:rFonts w:ascii="Arial" w:eastAsia="Calibri" w:hAnsi="Arial" w:cs="Arial"/>
                <w:bCs/>
                <w:sz w:val="22"/>
                <w:lang w:val="es-ES"/>
              </w:rPr>
              <w:t>–</w:t>
            </w:r>
            <w:r w:rsidRPr="0029643A">
              <w:rPr>
                <w:rFonts w:ascii="Arial" w:eastAsia="Calibri" w:hAnsi="Arial" w:cs="Arial"/>
                <w:bCs/>
                <w:sz w:val="22"/>
                <w:lang w:val="es-ES"/>
              </w:rPr>
              <w:t xml:space="preserve"> Distintos supuestos </w:t>
            </w:r>
            <w:r w:rsidR="006D2C88">
              <w:rPr>
                <w:rFonts w:ascii="Arial" w:eastAsia="Calibri" w:hAnsi="Arial" w:cs="Arial"/>
                <w:bCs/>
                <w:sz w:val="22"/>
                <w:lang w:val="es-ES"/>
              </w:rPr>
              <w:t>–</w:t>
            </w:r>
            <w:r w:rsidR="006D2C88" w:rsidRPr="0029643A">
              <w:rPr>
                <w:rFonts w:ascii="Arial" w:eastAsia="Calibri" w:hAnsi="Arial" w:cs="Arial"/>
                <w:bCs/>
                <w:sz w:val="22"/>
                <w:lang w:val="es-ES"/>
              </w:rPr>
              <w:t xml:space="preserve"> </w:t>
            </w:r>
            <w:r w:rsidRPr="0029643A">
              <w:rPr>
                <w:rFonts w:ascii="Arial" w:eastAsia="Calibri" w:hAnsi="Arial" w:cs="Arial"/>
                <w:bCs/>
                <w:sz w:val="22"/>
                <w:lang w:val="es-ES"/>
              </w:rPr>
              <w:t xml:space="preserve">Prohibición de adicionar en más del 50% / PROHIBICIÓN DE ADICIONAR EN MÁS DEL 50% </w:t>
            </w:r>
            <w:r w:rsidR="006D2C88">
              <w:rPr>
                <w:rFonts w:ascii="Arial" w:eastAsia="Calibri" w:hAnsi="Arial" w:cs="Arial"/>
                <w:bCs/>
                <w:sz w:val="22"/>
                <w:lang w:val="es-ES"/>
              </w:rPr>
              <w:t>–</w:t>
            </w:r>
            <w:r w:rsidR="006D2C88" w:rsidRPr="0029643A">
              <w:rPr>
                <w:rFonts w:ascii="Arial" w:eastAsia="Calibri" w:hAnsi="Arial" w:cs="Arial"/>
                <w:bCs/>
                <w:sz w:val="22"/>
                <w:lang w:val="es-ES"/>
              </w:rPr>
              <w:t xml:space="preserve"> </w:t>
            </w:r>
            <w:r w:rsidRPr="0029643A">
              <w:rPr>
                <w:rFonts w:ascii="Arial" w:eastAsia="Calibri" w:hAnsi="Arial" w:cs="Arial"/>
                <w:bCs/>
                <w:sz w:val="22"/>
                <w:lang w:val="es-ES"/>
              </w:rPr>
              <w:t xml:space="preserve">Contenido </w:t>
            </w:r>
            <w:r w:rsidR="006D2C88">
              <w:rPr>
                <w:rFonts w:ascii="Arial" w:eastAsia="Calibri" w:hAnsi="Arial" w:cs="Arial"/>
                <w:bCs/>
                <w:sz w:val="22"/>
                <w:lang w:val="es-ES"/>
              </w:rPr>
              <w:t>–</w:t>
            </w:r>
            <w:r w:rsidR="006D2C88" w:rsidRPr="0029643A">
              <w:rPr>
                <w:rFonts w:ascii="Arial" w:eastAsia="Calibri" w:hAnsi="Arial" w:cs="Arial"/>
                <w:bCs/>
                <w:sz w:val="22"/>
                <w:lang w:val="es-ES"/>
              </w:rPr>
              <w:t xml:space="preserve"> </w:t>
            </w:r>
            <w:r w:rsidRPr="0029643A">
              <w:rPr>
                <w:rFonts w:ascii="Arial" w:eastAsia="Calibri" w:hAnsi="Arial" w:cs="Arial"/>
                <w:bCs/>
                <w:sz w:val="22"/>
                <w:lang w:val="es-ES"/>
              </w:rPr>
              <w:t xml:space="preserve">Cálculo del monto </w:t>
            </w:r>
            <w:r w:rsidR="006D2C88">
              <w:rPr>
                <w:rFonts w:ascii="Arial" w:eastAsia="Calibri" w:hAnsi="Arial" w:cs="Arial"/>
                <w:bCs/>
                <w:sz w:val="22"/>
                <w:lang w:val="es-ES"/>
              </w:rPr>
              <w:t>–</w:t>
            </w:r>
            <w:r w:rsidR="006D2C88" w:rsidRPr="0029643A">
              <w:rPr>
                <w:rFonts w:ascii="Arial" w:eastAsia="Calibri" w:hAnsi="Arial" w:cs="Arial"/>
                <w:bCs/>
                <w:sz w:val="22"/>
                <w:lang w:val="es-ES"/>
              </w:rPr>
              <w:t xml:space="preserve"> </w:t>
            </w:r>
            <w:r w:rsidRPr="0029643A">
              <w:rPr>
                <w:rFonts w:ascii="Arial" w:eastAsia="Calibri" w:hAnsi="Arial" w:cs="Arial"/>
                <w:bCs/>
                <w:sz w:val="22"/>
                <w:lang w:val="es-ES"/>
              </w:rPr>
              <w:t xml:space="preserve">Ley 80, artículo 40, parágrafo / ADICIÓN SIN LÍMITE DE VALOR </w:t>
            </w:r>
            <w:r w:rsidR="006D2C88">
              <w:rPr>
                <w:rFonts w:ascii="Arial" w:eastAsia="Calibri" w:hAnsi="Arial" w:cs="Arial"/>
                <w:bCs/>
                <w:sz w:val="22"/>
                <w:lang w:val="es-ES"/>
              </w:rPr>
              <w:t>–</w:t>
            </w:r>
            <w:r w:rsidR="006D2C88" w:rsidRPr="0029643A">
              <w:rPr>
                <w:rFonts w:ascii="Arial" w:eastAsia="Calibri" w:hAnsi="Arial" w:cs="Arial"/>
                <w:bCs/>
                <w:sz w:val="22"/>
                <w:lang w:val="es-ES"/>
              </w:rPr>
              <w:t xml:space="preserve"> </w:t>
            </w:r>
            <w:r w:rsidRPr="0029643A">
              <w:rPr>
                <w:rFonts w:ascii="Arial" w:eastAsia="Calibri" w:hAnsi="Arial" w:cs="Arial"/>
                <w:bCs/>
                <w:sz w:val="22"/>
                <w:lang w:val="es-ES"/>
              </w:rPr>
              <w:t xml:space="preserve">Excepción a la regla </w:t>
            </w:r>
            <w:r w:rsidR="006D2C88">
              <w:rPr>
                <w:rFonts w:ascii="Arial" w:eastAsia="Calibri" w:hAnsi="Arial" w:cs="Arial"/>
                <w:bCs/>
                <w:sz w:val="22"/>
                <w:lang w:val="es-ES"/>
              </w:rPr>
              <w:t>–</w:t>
            </w:r>
            <w:r w:rsidR="006D2C88" w:rsidRPr="0029643A">
              <w:rPr>
                <w:rFonts w:ascii="Arial" w:eastAsia="Calibri" w:hAnsi="Arial" w:cs="Arial"/>
                <w:bCs/>
                <w:sz w:val="22"/>
                <w:lang w:val="es-ES"/>
              </w:rPr>
              <w:t xml:space="preserve"> </w:t>
            </w:r>
            <w:r w:rsidRPr="0029643A">
              <w:rPr>
                <w:rFonts w:ascii="Arial" w:eastAsia="Calibri" w:hAnsi="Arial" w:cs="Arial"/>
                <w:bCs/>
                <w:sz w:val="22"/>
                <w:lang w:val="es-ES"/>
              </w:rPr>
              <w:t>Decreto 440 de 2020</w:t>
            </w:r>
          </w:p>
        </w:tc>
      </w:tr>
      <w:tr w:rsidR="00635B00" w:rsidRPr="0029643A" w14:paraId="395E8A13" w14:textId="77777777">
        <w:tc>
          <w:tcPr>
            <w:tcW w:w="2689" w:type="dxa"/>
          </w:tcPr>
          <w:p w14:paraId="35A71396" w14:textId="77777777" w:rsidR="00635B00" w:rsidRPr="0029643A" w:rsidRDefault="00734BEE">
            <w:pPr>
              <w:rPr>
                <w:rFonts w:ascii="Arial" w:eastAsia="Calibri" w:hAnsi="Arial" w:cs="Arial"/>
                <w:b/>
                <w:sz w:val="22"/>
                <w:lang w:val="es-ES"/>
              </w:rPr>
            </w:pPr>
            <w:r w:rsidRPr="0029643A">
              <w:rPr>
                <w:rFonts w:ascii="Arial" w:eastAsia="Calibri" w:hAnsi="Arial" w:cs="Arial"/>
                <w:b/>
                <w:sz w:val="22"/>
                <w:lang w:val="es-ES"/>
              </w:rPr>
              <w:t>Radicación:</w:t>
            </w:r>
            <w:r w:rsidRPr="0029643A">
              <w:rPr>
                <w:rFonts w:ascii="Arial" w:eastAsia="Calibri" w:hAnsi="Arial" w:cs="Arial"/>
                <w:sz w:val="22"/>
                <w:lang w:val="es-ES"/>
              </w:rPr>
              <w:t xml:space="preserve">                              </w:t>
            </w:r>
          </w:p>
        </w:tc>
        <w:tc>
          <w:tcPr>
            <w:tcW w:w="6237" w:type="dxa"/>
          </w:tcPr>
          <w:p w14:paraId="27650F22" w14:textId="77777777" w:rsidR="00635B00" w:rsidRPr="0029643A" w:rsidRDefault="00734BEE">
            <w:pPr>
              <w:jc w:val="both"/>
              <w:rPr>
                <w:rFonts w:ascii="Arial" w:eastAsia="Calibri" w:hAnsi="Arial" w:cs="Arial"/>
                <w:sz w:val="22"/>
                <w:szCs w:val="22"/>
                <w:lang w:val="es-ES" w:eastAsia="en-US"/>
              </w:rPr>
            </w:pPr>
            <w:r w:rsidRPr="0029643A">
              <w:rPr>
                <w:rFonts w:ascii="Arial" w:eastAsia="Calibri" w:hAnsi="Arial" w:cs="Arial"/>
                <w:sz w:val="22"/>
                <w:lang w:val="es-ES"/>
              </w:rPr>
              <w:t xml:space="preserve">Respuesta a consulta </w:t>
            </w:r>
            <w:r w:rsidRPr="0029643A">
              <w:rPr>
                <w:rFonts w:ascii="Arial" w:eastAsia="Calibri" w:hAnsi="Arial" w:cs="Arial"/>
                <w:sz w:val="22"/>
                <w:szCs w:val="22"/>
                <w:lang w:val="es-ES" w:eastAsia="en-US"/>
              </w:rPr>
              <w:t>4202013000003135</w:t>
            </w:r>
          </w:p>
          <w:p w14:paraId="3DEEC669" w14:textId="77777777" w:rsidR="00635B00" w:rsidRPr="0029643A" w:rsidRDefault="00635B00">
            <w:pPr>
              <w:jc w:val="both"/>
              <w:rPr>
                <w:rFonts w:ascii="Arial" w:eastAsia="Calibri" w:hAnsi="Arial" w:cs="Arial"/>
                <w:sz w:val="22"/>
                <w:lang w:val="es-ES"/>
              </w:rPr>
            </w:pPr>
          </w:p>
          <w:p w14:paraId="3656B9AB" w14:textId="77777777" w:rsidR="00635B00" w:rsidRPr="0029643A" w:rsidRDefault="00635B00">
            <w:pPr>
              <w:jc w:val="both"/>
              <w:rPr>
                <w:rFonts w:ascii="Arial" w:eastAsia="Calibri" w:hAnsi="Arial" w:cs="Arial"/>
                <w:sz w:val="22"/>
                <w:lang w:val="es-ES"/>
              </w:rPr>
            </w:pPr>
          </w:p>
        </w:tc>
      </w:tr>
    </w:tbl>
    <w:p w14:paraId="45FB0818" w14:textId="77777777" w:rsidR="00635B00" w:rsidRPr="0029643A" w:rsidRDefault="00635B00">
      <w:pPr>
        <w:rPr>
          <w:rFonts w:ascii="Arial" w:eastAsia="Calibri" w:hAnsi="Arial" w:cs="Arial"/>
          <w:sz w:val="22"/>
          <w:lang w:val="es-ES"/>
        </w:rPr>
      </w:pPr>
    </w:p>
    <w:p w14:paraId="3CB89C45" w14:textId="77777777" w:rsidR="00635B00" w:rsidRPr="0029643A" w:rsidRDefault="00734BEE">
      <w:pPr>
        <w:rPr>
          <w:rFonts w:ascii="Arial" w:eastAsia="Calibri" w:hAnsi="Arial" w:cs="Arial"/>
          <w:sz w:val="22"/>
          <w:lang w:val="es-ES"/>
        </w:rPr>
      </w:pPr>
      <w:r w:rsidRPr="0029643A">
        <w:rPr>
          <w:rFonts w:ascii="Arial" w:eastAsia="Calibri" w:hAnsi="Arial" w:cs="Arial"/>
          <w:sz w:val="22"/>
          <w:lang w:val="es-ES"/>
        </w:rPr>
        <w:t xml:space="preserve">Estimado señor, </w:t>
      </w:r>
      <w:r w:rsidRPr="0029643A">
        <w:rPr>
          <w:rFonts w:ascii="Arial" w:eastAsia="Calibri" w:hAnsi="Arial" w:cs="Arial"/>
          <w:bCs/>
          <w:sz w:val="22"/>
          <w:lang w:val="es-ES"/>
        </w:rPr>
        <w:t xml:space="preserve">Cruz </w:t>
      </w:r>
      <w:proofErr w:type="spellStart"/>
      <w:r w:rsidRPr="0029643A">
        <w:rPr>
          <w:rFonts w:ascii="Arial" w:eastAsia="Calibri" w:hAnsi="Arial" w:cs="Arial"/>
          <w:bCs/>
          <w:sz w:val="22"/>
          <w:lang w:val="es-ES"/>
        </w:rPr>
        <w:t>Cruz</w:t>
      </w:r>
      <w:proofErr w:type="spellEnd"/>
      <w:r w:rsidRPr="0029643A">
        <w:rPr>
          <w:rFonts w:ascii="Arial" w:eastAsia="Calibri" w:hAnsi="Arial" w:cs="Arial"/>
          <w:bCs/>
          <w:sz w:val="22"/>
          <w:lang w:val="es-ES"/>
        </w:rPr>
        <w:t>:</w:t>
      </w:r>
    </w:p>
    <w:p w14:paraId="049F31CB" w14:textId="77777777" w:rsidR="00635B00" w:rsidRPr="0029643A" w:rsidRDefault="00635B00">
      <w:pPr>
        <w:rPr>
          <w:rFonts w:ascii="Arial" w:eastAsia="Calibri" w:hAnsi="Arial" w:cs="Arial"/>
          <w:sz w:val="22"/>
          <w:lang w:val="es-ES"/>
        </w:rPr>
      </w:pPr>
    </w:p>
    <w:p w14:paraId="17697585" w14:textId="77777777" w:rsidR="00635B00" w:rsidRPr="0029643A" w:rsidRDefault="00734BEE">
      <w:pPr>
        <w:spacing w:line="276" w:lineRule="auto"/>
        <w:ind w:right="49"/>
        <w:jc w:val="both"/>
        <w:rPr>
          <w:rFonts w:ascii="Arial" w:eastAsia="Calibri" w:hAnsi="Arial" w:cs="Arial"/>
          <w:sz w:val="22"/>
          <w:lang w:val="es-ES"/>
        </w:rPr>
      </w:pPr>
      <w:r w:rsidRPr="0029643A">
        <w:rPr>
          <w:rFonts w:ascii="Arial" w:eastAsia="Calibri" w:hAnsi="Arial" w:cs="Arial"/>
          <w:sz w:val="22"/>
          <w:lang w:val="es-ES"/>
        </w:rPr>
        <w:t xml:space="preserve">En ejercicio de la competencia otorgada por los artículos 11, numeral 8º, y 3º, numeral 5º, del Decreto Ley 4170 de 2011, la Agencia Nacional de Contratación Pública − Colombia Compra Eficiente responde su consulta del 28 de abril de 2020. </w:t>
      </w:r>
    </w:p>
    <w:p w14:paraId="53128261" w14:textId="77777777" w:rsidR="00635B00" w:rsidRPr="0029643A" w:rsidRDefault="00635B00">
      <w:pPr>
        <w:spacing w:line="276" w:lineRule="auto"/>
        <w:jc w:val="both"/>
        <w:rPr>
          <w:rFonts w:ascii="Arial" w:eastAsia="Calibri" w:hAnsi="Arial" w:cs="Arial"/>
          <w:sz w:val="22"/>
          <w:lang w:val="es-ES"/>
        </w:rPr>
      </w:pPr>
    </w:p>
    <w:p w14:paraId="253FF427" w14:textId="77777777" w:rsidR="00635B00" w:rsidRPr="0029643A" w:rsidRDefault="00734BEE">
      <w:pPr>
        <w:pStyle w:val="Prrafodelista"/>
        <w:numPr>
          <w:ilvl w:val="0"/>
          <w:numId w:val="1"/>
        </w:numPr>
        <w:tabs>
          <w:tab w:val="left" w:pos="284"/>
        </w:tabs>
        <w:spacing w:line="276" w:lineRule="auto"/>
        <w:ind w:left="0" w:firstLine="0"/>
        <w:jc w:val="both"/>
        <w:rPr>
          <w:rFonts w:ascii="Arial" w:eastAsia="Calibri" w:hAnsi="Arial" w:cs="Arial"/>
          <w:b/>
          <w:sz w:val="22"/>
          <w:lang w:val="es-ES"/>
        </w:rPr>
      </w:pPr>
      <w:r w:rsidRPr="0029643A">
        <w:rPr>
          <w:rFonts w:ascii="Arial" w:eastAsia="Calibri" w:hAnsi="Arial" w:cs="Arial"/>
          <w:b/>
          <w:sz w:val="22"/>
          <w:lang w:val="es-ES"/>
        </w:rPr>
        <w:t xml:space="preserve">Problemas planteados </w:t>
      </w:r>
    </w:p>
    <w:p w14:paraId="62486C05" w14:textId="77777777" w:rsidR="00635B00" w:rsidRPr="0029643A" w:rsidRDefault="00635B00">
      <w:pPr>
        <w:tabs>
          <w:tab w:val="left" w:pos="426"/>
        </w:tabs>
        <w:spacing w:line="276" w:lineRule="auto"/>
        <w:jc w:val="both"/>
        <w:rPr>
          <w:rFonts w:ascii="Arial" w:eastAsia="Calibri" w:hAnsi="Arial" w:cs="Arial"/>
          <w:b/>
          <w:sz w:val="22"/>
          <w:lang w:val="es-ES"/>
        </w:rPr>
      </w:pPr>
    </w:p>
    <w:p w14:paraId="45D8EB46" w14:textId="77777777" w:rsidR="00635B00" w:rsidRPr="0029643A" w:rsidRDefault="00734BEE">
      <w:pPr>
        <w:tabs>
          <w:tab w:val="left" w:pos="426"/>
        </w:tabs>
        <w:spacing w:line="276" w:lineRule="auto"/>
        <w:jc w:val="both"/>
        <w:rPr>
          <w:rFonts w:ascii="Arial" w:eastAsia="Calibri" w:hAnsi="Arial" w:cs="Arial"/>
          <w:sz w:val="22"/>
          <w:lang w:val="es-ES"/>
        </w:rPr>
      </w:pPr>
      <w:r w:rsidRPr="0029643A">
        <w:rPr>
          <w:rFonts w:ascii="Arial" w:eastAsia="Calibri" w:hAnsi="Arial" w:cs="Arial"/>
          <w:sz w:val="22"/>
          <w:lang w:val="es-ES"/>
        </w:rPr>
        <w:t xml:space="preserve">Usted realiza la siguiente pregunta: i) ¿Cuál es el tope prudencial de las adiciones durante la emergencia autorizadas por el Decreto 440 de 2020? </w:t>
      </w:r>
    </w:p>
    <w:p w14:paraId="4101652C" w14:textId="77777777" w:rsidR="00635B00" w:rsidRPr="0029643A" w:rsidRDefault="00635B00">
      <w:pPr>
        <w:tabs>
          <w:tab w:val="left" w:pos="426"/>
        </w:tabs>
        <w:spacing w:line="276" w:lineRule="auto"/>
        <w:jc w:val="both"/>
        <w:rPr>
          <w:rFonts w:ascii="Arial" w:eastAsia="Calibri" w:hAnsi="Arial" w:cs="Arial"/>
          <w:sz w:val="22"/>
          <w:lang w:val="es-ES"/>
        </w:rPr>
      </w:pPr>
    </w:p>
    <w:p w14:paraId="1D521996" w14:textId="77777777" w:rsidR="00635B00" w:rsidRPr="0029643A" w:rsidRDefault="00734BEE">
      <w:pPr>
        <w:pStyle w:val="Prrafodelista"/>
        <w:numPr>
          <w:ilvl w:val="0"/>
          <w:numId w:val="1"/>
        </w:numPr>
        <w:tabs>
          <w:tab w:val="left" w:pos="426"/>
        </w:tabs>
        <w:spacing w:line="276" w:lineRule="auto"/>
        <w:ind w:left="284" w:hanging="284"/>
        <w:jc w:val="both"/>
        <w:rPr>
          <w:rFonts w:ascii="Arial" w:eastAsia="Calibri" w:hAnsi="Arial" w:cs="Arial"/>
          <w:b/>
          <w:sz w:val="22"/>
          <w:lang w:val="es-ES"/>
        </w:rPr>
      </w:pPr>
      <w:r w:rsidRPr="0029643A">
        <w:rPr>
          <w:rFonts w:ascii="Arial" w:eastAsia="Calibri" w:hAnsi="Arial" w:cs="Arial"/>
          <w:b/>
          <w:sz w:val="22"/>
          <w:lang w:val="es-ES"/>
        </w:rPr>
        <w:t>Consideraciones</w:t>
      </w:r>
    </w:p>
    <w:bookmarkEnd w:id="0"/>
    <w:bookmarkEnd w:id="1"/>
    <w:p w14:paraId="4B99056E" w14:textId="77777777" w:rsidR="00635B00" w:rsidRPr="0029643A" w:rsidRDefault="00635B00">
      <w:pPr>
        <w:spacing w:line="276" w:lineRule="auto"/>
        <w:jc w:val="both"/>
        <w:rPr>
          <w:rFonts w:ascii="Arial" w:eastAsia="Calibri" w:hAnsi="Arial" w:cs="Arial"/>
          <w:b/>
          <w:sz w:val="22"/>
          <w:lang w:val="es-ES"/>
        </w:rPr>
      </w:pPr>
    </w:p>
    <w:p w14:paraId="4D48558A" w14:textId="77777777" w:rsidR="006D2C88" w:rsidRDefault="006D2C88" w:rsidP="006D2C88">
      <w:pPr>
        <w:spacing w:line="276" w:lineRule="auto"/>
        <w:jc w:val="both"/>
        <w:rPr>
          <w:rFonts w:ascii="Arial" w:eastAsia="Calibri" w:hAnsi="Arial" w:cs="Arial"/>
          <w:sz w:val="22"/>
        </w:rPr>
      </w:pPr>
      <w:r>
        <w:rPr>
          <w:rFonts w:ascii="Arial" w:eastAsia="Calibri" w:hAnsi="Arial" w:cs="Arial"/>
          <w:sz w:val="22"/>
        </w:rPr>
        <w:t>Para resolver esta consulta se hará un análisis de los siguientes temas: i) normas expedidas a partir de la pandemia originada por el COVID-19 en materia de contratación estatal, </w:t>
      </w:r>
      <w:proofErr w:type="spellStart"/>
      <w:r>
        <w:rPr>
          <w:rFonts w:ascii="Arial" w:eastAsia="Calibri" w:hAnsi="Arial" w:cs="Arial"/>
          <w:sz w:val="22"/>
        </w:rPr>
        <w:t>ii</w:t>
      </w:r>
      <w:proofErr w:type="spellEnd"/>
      <w:r>
        <w:rPr>
          <w:rFonts w:ascii="Arial" w:eastAsia="Calibri" w:hAnsi="Arial" w:cs="Arial"/>
          <w:sz w:val="22"/>
        </w:rPr>
        <w:t xml:space="preserve">) adición de los contratos estatales y </w:t>
      </w:r>
      <w:proofErr w:type="spellStart"/>
      <w:r>
        <w:rPr>
          <w:rFonts w:ascii="Arial" w:eastAsia="Calibri" w:hAnsi="Arial" w:cs="Arial"/>
          <w:sz w:val="22"/>
        </w:rPr>
        <w:t>iii</w:t>
      </w:r>
      <w:proofErr w:type="spellEnd"/>
      <w:r>
        <w:rPr>
          <w:rFonts w:ascii="Arial" w:eastAsia="Calibri" w:hAnsi="Arial" w:cs="Arial"/>
          <w:sz w:val="22"/>
        </w:rPr>
        <w:t>) l</w:t>
      </w:r>
      <w:r w:rsidRPr="00727DDB">
        <w:rPr>
          <w:rFonts w:ascii="Arial" w:eastAsia="Calibri" w:hAnsi="Arial" w:cs="Arial"/>
          <w:sz w:val="22"/>
        </w:rPr>
        <w:t>a posibilidad de adicionar sin límite de valor los contratos celebrados por las entidades estatales que se relacionen con bienes, obras o servicios para gestionar o mitigar los efectos de la emergencia causada por el coronavirus –COVID-19–</w:t>
      </w:r>
    </w:p>
    <w:p w14:paraId="1299C43A" w14:textId="77777777" w:rsidR="006D2C88" w:rsidRPr="00727DDB" w:rsidRDefault="006D2C88" w:rsidP="006D2C88">
      <w:pPr>
        <w:spacing w:line="276" w:lineRule="auto"/>
        <w:jc w:val="both"/>
        <w:rPr>
          <w:rFonts w:ascii="Arial" w:eastAsia="Calibri" w:hAnsi="Arial" w:cs="Arial"/>
          <w:b/>
          <w:bCs/>
          <w:sz w:val="22"/>
        </w:rPr>
      </w:pPr>
    </w:p>
    <w:p w14:paraId="650D7DF2" w14:textId="77777777" w:rsidR="00635B00" w:rsidRPr="0029643A" w:rsidRDefault="00734BEE">
      <w:pPr>
        <w:spacing w:line="276" w:lineRule="auto"/>
        <w:jc w:val="both"/>
        <w:rPr>
          <w:rFonts w:ascii="Arial" w:eastAsia="Calibri" w:hAnsi="Arial" w:cs="Arial"/>
          <w:b/>
          <w:bCs/>
          <w:sz w:val="22"/>
          <w:lang w:val="es-ES"/>
        </w:rPr>
      </w:pPr>
      <w:r w:rsidRPr="0029643A">
        <w:rPr>
          <w:rFonts w:ascii="Arial" w:eastAsia="Calibri" w:hAnsi="Arial" w:cs="Arial"/>
          <w:b/>
          <w:bCs/>
          <w:sz w:val="22"/>
          <w:lang w:val="es-ES"/>
        </w:rPr>
        <w:t>2.1 Disposiciones normativas expedidas a partir de la pandemia originada por el COVID-19 en materia de contratación estatal</w:t>
      </w:r>
    </w:p>
    <w:p w14:paraId="4DDBEF00" w14:textId="77777777" w:rsidR="00635B00" w:rsidRPr="0029643A" w:rsidRDefault="00635B00">
      <w:pPr>
        <w:spacing w:line="276" w:lineRule="auto"/>
        <w:jc w:val="both"/>
        <w:rPr>
          <w:rFonts w:ascii="Arial" w:eastAsia="Calibri" w:hAnsi="Arial" w:cs="Arial"/>
          <w:b/>
          <w:bCs/>
          <w:sz w:val="22"/>
          <w:lang w:val="es-ES"/>
        </w:rPr>
      </w:pPr>
    </w:p>
    <w:p w14:paraId="6C5F5D56" w14:textId="77777777" w:rsidR="006D2C88" w:rsidRDefault="006D2C88" w:rsidP="006D2C88">
      <w:pPr>
        <w:spacing w:after="120" w:line="276" w:lineRule="auto"/>
        <w:jc w:val="both"/>
        <w:rPr>
          <w:rFonts w:ascii="Arial" w:eastAsia="Calibri" w:hAnsi="Arial" w:cs="Arial"/>
          <w:sz w:val="22"/>
        </w:rPr>
      </w:pPr>
      <w:r>
        <w:rPr>
          <w:rFonts w:ascii="Arial" w:eastAsia="Calibri" w:hAnsi="Arial" w:cs="Arial"/>
          <w:sz w:val="22"/>
        </w:rPr>
        <w:lastRenderedPageBreak/>
        <w:t xml:space="preserve">La Organización Mundial de la Salud, a raíz del brote surgido por el coronavirus COVID-19, lo </w:t>
      </w:r>
      <w:proofErr w:type="gramStart"/>
      <w:r>
        <w:rPr>
          <w:rFonts w:ascii="Arial" w:eastAsia="Calibri" w:hAnsi="Arial" w:cs="Arial"/>
          <w:sz w:val="22"/>
        </w:rPr>
        <w:t>declaró como</w:t>
      </w:r>
      <w:proofErr w:type="gramEnd"/>
      <w:r>
        <w:rPr>
          <w:rFonts w:ascii="Arial" w:eastAsia="Calibri" w:hAnsi="Arial" w:cs="Arial"/>
          <w:sz w:val="22"/>
        </w:rPr>
        <w:t xml:space="preserve"> una pandemia el 11 de marzo de 2020, por su rápida velocidad de propagación. En esta medida, solicitó a los Estados tomar acciones urgentes frente a la identificación, aislamiento, monitoreo de los posibles casos y el tratamiento de los casos confirmados, así como la divulgación de las medidas preventivas, con el objetivo de mitigar el contagio. </w:t>
      </w:r>
    </w:p>
    <w:p w14:paraId="570D8277" w14:textId="77777777" w:rsidR="006D2C88" w:rsidRDefault="006D2C88" w:rsidP="006D2C88">
      <w:pPr>
        <w:spacing w:after="120" w:line="276" w:lineRule="auto"/>
        <w:ind w:left="142" w:firstLine="567"/>
        <w:jc w:val="both"/>
        <w:rPr>
          <w:rFonts w:ascii="Arial" w:eastAsia="Calibri" w:hAnsi="Arial" w:cs="Arial"/>
          <w:sz w:val="22"/>
        </w:rPr>
      </w:pPr>
      <w:r>
        <w:rPr>
          <w:rFonts w:ascii="Arial" w:eastAsia="Calibri" w:hAnsi="Arial" w:cs="Arial"/>
          <w:sz w:val="22"/>
        </w:rPr>
        <w:t xml:space="preserve">A raíz de la declaración de pandemia del coronavirus COVID-19, el Ministerio de Salud y Protección Social, mediante Resolución 385 del 12 de marzo de 2020, declaró el estado de emergencia sanitaria por causa del nuevo coronavirus, estableciendo medidas destinadas a la prevención y contención del riesgo epidemiológico asociado con el COVID-19. </w:t>
      </w:r>
    </w:p>
    <w:p w14:paraId="1BFF4CDF" w14:textId="77777777" w:rsidR="006D2C88" w:rsidRDefault="006D2C88" w:rsidP="006D2C88">
      <w:pPr>
        <w:spacing w:after="120" w:line="276" w:lineRule="auto"/>
        <w:ind w:firstLine="709"/>
        <w:jc w:val="both"/>
        <w:rPr>
          <w:rFonts w:ascii="Arial" w:eastAsia="Calibri" w:hAnsi="Arial" w:cs="Arial"/>
          <w:sz w:val="22"/>
        </w:rPr>
      </w:pPr>
      <w:r>
        <w:rPr>
          <w:rFonts w:ascii="Arial" w:eastAsia="Calibri" w:hAnsi="Arial" w:cs="Arial"/>
          <w:sz w:val="22"/>
        </w:rPr>
        <w:t xml:space="preserve">En virtud de lo anterior, mediante Decreto 417 del 17 de marzo de 2020, se declaró por el término de treinta (30) días el Estado de Emergencia Económica, Social y Ecológica en todo el territorio Nacional, con lo cual, el </w:t>
      </w:r>
      <w:proofErr w:type="gramStart"/>
      <w:r>
        <w:rPr>
          <w:rFonts w:ascii="Arial" w:eastAsia="Calibri" w:hAnsi="Arial" w:cs="Arial"/>
          <w:sz w:val="22"/>
        </w:rPr>
        <w:t>Presidente</w:t>
      </w:r>
      <w:proofErr w:type="gramEnd"/>
      <w:r>
        <w:rPr>
          <w:rFonts w:ascii="Arial" w:eastAsia="Calibri" w:hAnsi="Arial" w:cs="Arial"/>
          <w:sz w:val="22"/>
        </w:rPr>
        <w:t xml:space="preserve"> de la República quedó autorizado para dictar decretos con fuerza de ley destinados exclusivamente a conjurar la crisis y a impedir la extensión de sus efectos. </w:t>
      </w:r>
    </w:p>
    <w:p w14:paraId="28DD6DA5" w14:textId="77777777" w:rsidR="006D2C88" w:rsidRDefault="006D2C88" w:rsidP="006D2C88">
      <w:pPr>
        <w:spacing w:after="120" w:line="276" w:lineRule="auto"/>
        <w:ind w:firstLine="709"/>
        <w:jc w:val="both"/>
        <w:rPr>
          <w:rFonts w:ascii="Arial" w:eastAsia="Calibri" w:hAnsi="Arial" w:cs="Arial"/>
          <w:sz w:val="22"/>
        </w:rPr>
      </w:pPr>
      <w:r>
        <w:rPr>
          <w:rFonts w:ascii="Arial" w:eastAsia="Calibri" w:hAnsi="Arial" w:cs="Arial"/>
          <w:sz w:val="22"/>
        </w:rPr>
        <w:t xml:space="preserve">Mediante Decreto 440 del 20 de marzo de 2020, se tomaron medidas en materia de contratación estatal, con la finalidad de prevenir la propagación de la pandemia mediante el distanciamiento social, acudiendo a la realización de audiencias públicas electrónicas o virtuales, fortaleciendo el uso de herramientas electrónicas, de manera que se evite el contacto entre los participantes en los procesos de contratación, en las actuaciones contractuales sancionatorias, siempre y cuando se respete el derecho al debido proceso y el contratista pueda ejercer su derecho de defensa. Adicionalmente se permitió a las autoridades administrativas y a la Agencia de Contratación Pública – Colombia Compra Eficiente, a través de los instrumentos jurídicos idóneos, adelantar los procedimientos de contratación de forma ágil y expedita encaminados a conjurar la crisis por el coronavirus COVID-19; inclusive, la autorización de adicionar de forma ilimitada los contratos que contribuyan a atender la pandemia. </w:t>
      </w:r>
    </w:p>
    <w:p w14:paraId="16557593" w14:textId="77777777" w:rsidR="006D2C88" w:rsidRDefault="006D2C88" w:rsidP="006D2C88">
      <w:pPr>
        <w:spacing w:line="276" w:lineRule="auto"/>
        <w:ind w:firstLine="709"/>
        <w:jc w:val="both"/>
        <w:rPr>
          <w:rFonts w:ascii="Arial" w:eastAsia="Calibri" w:hAnsi="Arial" w:cs="Arial"/>
          <w:sz w:val="22"/>
        </w:rPr>
      </w:pPr>
      <w:r>
        <w:rPr>
          <w:rFonts w:ascii="Arial" w:eastAsia="Calibri" w:hAnsi="Arial" w:cs="Arial"/>
          <w:sz w:val="22"/>
        </w:rPr>
        <w:t xml:space="preserve">A través del Decreto 531 del 8 de abril de 2020, se ordenó el aislamiento preventivo  obligatorio a partir de las cero horas (00:00 a.m.) del día 13 de abril de 2020, hasta las cero horas (00:00 a.m.) del 27 de abril de 2020, por lo que se expidió el Decreto 537 de 12 de abril de 2020, con el propósito de mantener las medidas adoptadas por el Decreto 440 del 20 de marzo de 2020, además de incluir varias disposiciones, encaminadas a configurar catálogos de emergencia conformados por proveedores preexistentes y nuevos de bienes o servicios útiles y necesarios para mitigar la pandemia o impedir la  extensión de sus efectos. </w:t>
      </w:r>
    </w:p>
    <w:p w14:paraId="3461D779" w14:textId="77777777" w:rsidR="00635B00" w:rsidRPr="0029643A" w:rsidRDefault="00635B00">
      <w:pPr>
        <w:spacing w:line="276" w:lineRule="auto"/>
        <w:ind w:firstLine="709"/>
        <w:jc w:val="both"/>
        <w:rPr>
          <w:rFonts w:ascii="Arial" w:eastAsia="Calibri" w:hAnsi="Arial" w:cs="Arial"/>
          <w:sz w:val="22"/>
          <w:lang w:val="es-ES"/>
        </w:rPr>
      </w:pPr>
    </w:p>
    <w:p w14:paraId="1058E535" w14:textId="77777777" w:rsidR="00635B00" w:rsidRPr="0029643A" w:rsidRDefault="00734BEE">
      <w:pPr>
        <w:spacing w:line="276" w:lineRule="auto"/>
        <w:jc w:val="both"/>
        <w:rPr>
          <w:rFonts w:ascii="Arial" w:eastAsia="Calibri" w:hAnsi="Arial" w:cs="Arial"/>
          <w:b/>
          <w:bCs/>
          <w:sz w:val="22"/>
          <w:lang w:val="es-ES"/>
        </w:rPr>
      </w:pPr>
      <w:r w:rsidRPr="0029643A">
        <w:rPr>
          <w:rFonts w:ascii="Arial" w:eastAsia="Calibri" w:hAnsi="Arial" w:cs="Arial"/>
          <w:b/>
          <w:bCs/>
          <w:sz w:val="22"/>
          <w:lang w:val="es-ES"/>
        </w:rPr>
        <w:t xml:space="preserve">2.2 </w:t>
      </w:r>
      <w:r w:rsidR="006D2C88">
        <w:rPr>
          <w:rFonts w:ascii="Arial" w:eastAsia="Calibri" w:hAnsi="Arial" w:cs="Arial"/>
          <w:b/>
          <w:bCs/>
          <w:sz w:val="22"/>
          <w:lang w:val="es-ES"/>
        </w:rPr>
        <w:t>A</w:t>
      </w:r>
      <w:r w:rsidRPr="0029643A">
        <w:rPr>
          <w:rFonts w:ascii="Arial" w:eastAsia="Calibri" w:hAnsi="Arial" w:cs="Arial"/>
          <w:b/>
          <w:bCs/>
          <w:sz w:val="22"/>
          <w:lang w:val="es-ES"/>
        </w:rPr>
        <w:t>dición en los contratos estatales</w:t>
      </w:r>
    </w:p>
    <w:p w14:paraId="3CF2D8B6" w14:textId="77777777" w:rsidR="00635B00" w:rsidRPr="0029643A" w:rsidRDefault="00635B00">
      <w:pPr>
        <w:spacing w:line="276" w:lineRule="auto"/>
        <w:jc w:val="both"/>
        <w:rPr>
          <w:rFonts w:ascii="Arial" w:eastAsia="Calibri" w:hAnsi="Arial" w:cs="Arial"/>
          <w:b/>
          <w:bCs/>
          <w:sz w:val="22"/>
          <w:lang w:val="es-ES"/>
        </w:rPr>
      </w:pPr>
    </w:p>
    <w:p w14:paraId="6C34E74D" w14:textId="77777777" w:rsidR="006D2C88" w:rsidRDefault="006D2C88" w:rsidP="006D2C88">
      <w:pPr>
        <w:spacing w:after="120" w:line="276" w:lineRule="auto"/>
        <w:jc w:val="both"/>
        <w:rPr>
          <w:rFonts w:ascii="Arial" w:eastAsia="Calibri" w:hAnsi="Arial" w:cs="Arial"/>
          <w:sz w:val="22"/>
        </w:rPr>
      </w:pPr>
      <w:r>
        <w:rPr>
          <w:rFonts w:ascii="Arial" w:eastAsia="Calibri" w:hAnsi="Arial" w:cs="Arial"/>
          <w:sz w:val="22"/>
        </w:rPr>
        <w:t>La Agencia Nacional de Contratación Pública – Colombia Compra Eficiente, en los conceptos con radicado Nos. 4201912000007298 de 23 de octubre de 2019, 4201913000006294 del 16 de septiembre de 2019, C–062 del 25 de marzo de 2020 y en el C–100 del 27 de marzo de 2020 estudió asuntos relacionados con la adición de los contratos estatales. Entre otros aspectos, allí se analizó el tope hasta el cual se pueden adicionar, por lo que se reiteran dichas consideraciones.</w:t>
      </w:r>
    </w:p>
    <w:p w14:paraId="714660F9" w14:textId="77777777" w:rsidR="006D2C88" w:rsidRDefault="006D2C88" w:rsidP="006D2C88">
      <w:pPr>
        <w:spacing w:after="120" w:line="276" w:lineRule="auto"/>
        <w:ind w:firstLine="709"/>
        <w:jc w:val="both"/>
        <w:rPr>
          <w:rFonts w:ascii="Arial" w:eastAsia="Calibri" w:hAnsi="Arial" w:cs="Arial"/>
          <w:sz w:val="22"/>
        </w:rPr>
      </w:pPr>
      <w:r>
        <w:rPr>
          <w:rFonts w:ascii="Arial" w:eastAsia="Calibri" w:hAnsi="Arial" w:cs="Arial"/>
          <w:sz w:val="22"/>
        </w:rPr>
        <w:t xml:space="preserve">Es oportuno explicar que la palabra </w:t>
      </w:r>
      <w:r>
        <w:rPr>
          <w:rFonts w:ascii="Arial" w:eastAsia="Calibri" w:hAnsi="Arial" w:cs="Arial"/>
          <w:i/>
          <w:iCs/>
          <w:sz w:val="22"/>
        </w:rPr>
        <w:t xml:space="preserve">adición </w:t>
      </w:r>
      <w:r>
        <w:rPr>
          <w:rFonts w:ascii="Arial" w:eastAsia="Calibri" w:hAnsi="Arial" w:cs="Arial"/>
          <w:sz w:val="22"/>
        </w:rPr>
        <w:t xml:space="preserve">significa «acción y efecto de añadir o agregar». Los contratos estatales pueden ser objeto de situaciones que impliquen la necesidad de adicionar o modificar las condiciones inicialmente pactadas, conforme lo establece el artículo 40 de la Ley 80 de 1993, pudiendo incluirse las modalidades, condiciones y, en general las cláusulas o estipulaciones que las partes consideren necesarias para el cabal cumplimiento del objeto contractual. </w:t>
      </w:r>
    </w:p>
    <w:p w14:paraId="790EFC8B" w14:textId="77777777" w:rsidR="006D2C88" w:rsidRDefault="006D2C88" w:rsidP="006D2C88">
      <w:pPr>
        <w:spacing w:after="120" w:line="276" w:lineRule="auto"/>
        <w:ind w:firstLine="709"/>
        <w:jc w:val="both"/>
        <w:rPr>
          <w:rFonts w:ascii="Arial" w:eastAsia="Calibri" w:hAnsi="Arial" w:cs="Arial"/>
          <w:sz w:val="22"/>
        </w:rPr>
      </w:pPr>
      <w:r>
        <w:rPr>
          <w:rFonts w:ascii="Arial" w:eastAsia="Calibri" w:hAnsi="Arial" w:cs="Arial"/>
          <w:sz w:val="22"/>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Pr>
          <w:rFonts w:ascii="Arial" w:eastAsia="Calibri" w:hAnsi="Arial" w:cs="Arial"/>
          <w:sz w:val="22"/>
        </w:rPr>
        <w:t>ii</w:t>
      </w:r>
      <w:proofErr w:type="spellEnd"/>
      <w:r>
        <w:rPr>
          <w:rFonts w:ascii="Arial" w:eastAsia="Calibri" w:hAnsi="Arial" w:cs="Arial"/>
          <w:sz w:val="22"/>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361FAD76" w14:textId="77777777" w:rsidR="006D2C88" w:rsidRDefault="006D2C88" w:rsidP="006D2C88">
      <w:pPr>
        <w:spacing w:after="120" w:line="276" w:lineRule="auto"/>
        <w:ind w:firstLine="709"/>
        <w:jc w:val="both"/>
        <w:rPr>
          <w:rFonts w:ascii="Arial" w:eastAsia="Calibri" w:hAnsi="Arial" w:cs="Arial"/>
          <w:sz w:val="22"/>
        </w:rPr>
      </w:pPr>
      <w:r>
        <w:rPr>
          <w:rFonts w:ascii="Arial" w:eastAsia="Calibri" w:hAnsi="Arial" w:cs="Arial"/>
          <w:sz w:val="22"/>
        </w:rPr>
        <w:t>Lo importante es que frente a cualquier incremento del valor inicial del contrato</w:t>
      </w:r>
      <w:r>
        <w:rPr>
          <w:rFonts w:ascii="Arial" w:eastAsia="Calibri" w:hAnsi="Arial" w:cs="Arial"/>
          <w:i/>
          <w:iCs/>
          <w:sz w:val="22"/>
        </w:rPr>
        <w:t xml:space="preserve"> </w:t>
      </w:r>
      <w:r>
        <w:rPr>
          <w:rFonts w:ascii="Arial" w:eastAsia="Calibri" w:hAnsi="Arial" w:cs="Arial"/>
          <w:sz w:val="22"/>
        </w:rPr>
        <w:t xml:space="preserve">por cualquiera de </w:t>
      </w:r>
      <w:proofErr w:type="gramStart"/>
      <w:r>
        <w:rPr>
          <w:rFonts w:ascii="Arial" w:eastAsia="Calibri" w:hAnsi="Arial" w:cs="Arial"/>
          <w:sz w:val="22"/>
        </w:rPr>
        <w:t>los dos supuesto</w:t>
      </w:r>
      <w:proofErr w:type="gramEnd"/>
      <w:r>
        <w:rPr>
          <w:rFonts w:ascii="Arial" w:eastAsia="Calibri" w:hAnsi="Arial" w:cs="Arial"/>
          <w:sz w:val="22"/>
        </w:rPr>
        <w:t xml:space="preserve">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w:t>
      </w:r>
      <w:r>
        <w:rPr>
          <w:rFonts w:ascii="Arial" w:eastAsia="Calibri" w:hAnsi="Arial" w:cs="Arial"/>
          <w:sz w:val="22"/>
          <w:vertAlign w:val="superscript"/>
        </w:rPr>
        <w:footnoteReference w:id="1"/>
      </w:r>
      <w:r>
        <w:rPr>
          <w:rFonts w:ascii="Arial" w:eastAsia="Calibri" w:hAnsi="Arial" w:cs="Arial"/>
          <w:sz w:val="22"/>
        </w:rPr>
        <w:t>.</w:t>
      </w:r>
    </w:p>
    <w:p w14:paraId="75525E05" w14:textId="77777777" w:rsidR="006D2C88" w:rsidRDefault="006D2C88" w:rsidP="006D2C88">
      <w:pPr>
        <w:spacing w:after="120" w:line="276" w:lineRule="auto"/>
        <w:ind w:firstLine="709"/>
        <w:jc w:val="both"/>
        <w:rPr>
          <w:rFonts w:ascii="Arial" w:eastAsia="Calibri" w:hAnsi="Arial" w:cs="Arial"/>
          <w:sz w:val="22"/>
        </w:rPr>
      </w:pPr>
      <w:r>
        <w:rPr>
          <w:rFonts w:ascii="Arial" w:eastAsia="Calibri" w:hAnsi="Arial" w:cs="Arial"/>
          <w:sz w:val="22"/>
        </w:rPr>
        <w:lastRenderedPageBreak/>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3BCC8A61" w14:textId="77777777" w:rsidR="006D2C88" w:rsidRDefault="006D2C88" w:rsidP="006D2C88">
      <w:pPr>
        <w:spacing w:line="276" w:lineRule="auto"/>
        <w:ind w:firstLine="708"/>
        <w:jc w:val="both"/>
        <w:rPr>
          <w:rFonts w:ascii="Arial" w:eastAsia="Calibri" w:hAnsi="Arial" w:cs="Arial"/>
          <w:sz w:val="22"/>
        </w:rPr>
      </w:pPr>
      <w:r>
        <w:rPr>
          <w:rFonts w:ascii="Arial" w:eastAsia="Calibri" w:hAnsi="Arial" w:cs="Arial"/>
          <w:sz w:val="22"/>
        </w:rPr>
        <w:t>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Sin perjuicio de lo expuesto previamente por la Subdirección de Gestión Contractual, en torno al tope de la adición de los contratos, se señalarán algunas otras posturas que no se comparten, por considerarlas contrarias a la regulación actual contenida en la Ley 80 de 1993.</w:t>
      </w:r>
    </w:p>
    <w:p w14:paraId="0FB78278" w14:textId="77777777" w:rsidR="006D2C88" w:rsidRDefault="006D2C88" w:rsidP="006D2C88">
      <w:pPr>
        <w:spacing w:line="276" w:lineRule="auto"/>
        <w:jc w:val="both"/>
        <w:rPr>
          <w:rFonts w:ascii="Arial" w:eastAsia="Calibri" w:hAnsi="Arial" w:cs="Arial"/>
          <w:b/>
          <w:sz w:val="22"/>
        </w:rPr>
      </w:pPr>
    </w:p>
    <w:p w14:paraId="7DCCAC89" w14:textId="77777777" w:rsidR="006D2C88" w:rsidRDefault="006D2C88" w:rsidP="006D2C88">
      <w:pPr>
        <w:spacing w:line="276" w:lineRule="auto"/>
        <w:jc w:val="both"/>
        <w:rPr>
          <w:rFonts w:ascii="Arial" w:eastAsia="Calibri" w:hAnsi="Arial" w:cs="Arial"/>
          <w:b/>
          <w:sz w:val="22"/>
        </w:rPr>
      </w:pPr>
      <w:r>
        <w:rPr>
          <w:rFonts w:ascii="Arial" w:eastAsia="Calibri" w:hAnsi="Arial" w:cs="Arial"/>
          <w:b/>
          <w:sz w:val="22"/>
        </w:rPr>
        <w:t>2.2. Dos posturas en torno al límite para adicionar los contratos estatales</w:t>
      </w:r>
    </w:p>
    <w:p w14:paraId="1FC39945" w14:textId="77777777" w:rsidR="006D2C88" w:rsidRDefault="006D2C88" w:rsidP="006D2C88">
      <w:pPr>
        <w:spacing w:line="276" w:lineRule="auto"/>
        <w:jc w:val="both"/>
        <w:rPr>
          <w:rFonts w:ascii="Arial" w:eastAsia="Calibri" w:hAnsi="Arial" w:cs="Arial"/>
          <w:b/>
          <w:sz w:val="22"/>
        </w:rPr>
      </w:pPr>
    </w:p>
    <w:p w14:paraId="1AFAF09E" w14:textId="77777777" w:rsidR="006D2C88" w:rsidRDefault="006D2C88" w:rsidP="006D2C88">
      <w:pPr>
        <w:spacing w:after="120" w:line="276" w:lineRule="auto"/>
        <w:jc w:val="both"/>
        <w:rPr>
          <w:rFonts w:ascii="Arial" w:eastAsia="Calibri" w:hAnsi="Arial" w:cs="Arial"/>
          <w:sz w:val="22"/>
        </w:rPr>
      </w:pPr>
      <w:r>
        <w:rPr>
          <w:rFonts w:ascii="Arial" w:eastAsia="Calibri" w:hAnsi="Arial" w:cs="Arial"/>
          <w:sz w:val="22"/>
        </w:rPr>
        <w:t>Antes de señalar las dos posturas, se aclara que el presente problema ocurre, especialmente, en los contratos cuya estructuración y pago se realiza por precios unitarios, aunque también se extiende al de administración delegada o reembolso de gastos</w:t>
      </w:r>
      <w:r>
        <w:rPr>
          <w:rFonts w:ascii="Arial" w:eastAsia="Calibri" w:hAnsi="Arial" w:cs="Arial"/>
          <w:sz w:val="22"/>
          <w:vertAlign w:val="superscript"/>
        </w:rPr>
        <w:footnoteReference w:id="2"/>
      </w:r>
      <w:r>
        <w:rPr>
          <w:rFonts w:ascii="Arial" w:eastAsia="Calibri" w:hAnsi="Arial" w:cs="Arial"/>
          <w:sz w:val="22"/>
        </w:rPr>
        <w:t>, ya que en el de precio global, como más adelante se expondrá, existe un mayor consenso en torno a la forma de aplicar el parágrafo del artículo 40.</w:t>
      </w:r>
    </w:p>
    <w:p w14:paraId="5AE676CF" w14:textId="77777777" w:rsidR="006D2C88" w:rsidRDefault="006D2C88" w:rsidP="006D2C88">
      <w:pPr>
        <w:spacing w:after="120" w:line="276" w:lineRule="auto"/>
        <w:ind w:firstLine="709"/>
        <w:jc w:val="both"/>
        <w:rPr>
          <w:rFonts w:ascii="Arial" w:eastAsia="Calibri" w:hAnsi="Arial" w:cs="Arial"/>
          <w:sz w:val="22"/>
        </w:rPr>
      </w:pPr>
      <w:r>
        <w:rPr>
          <w:rFonts w:ascii="Arial" w:eastAsia="Calibri" w:hAnsi="Arial" w:cs="Arial"/>
          <w:sz w:val="22"/>
        </w:rPr>
        <w:t>La primera postura, que fue señalada por la Sala de Consulta y Servicio Civil del Consejo de Estado, y adoptada por el Consejo de Estado en otros pronunciamientos, considera que solo hay lugar a la celebración de un contrato adicional, y por tanto que se encuentre sometido al parágrafo del artículo 40 de la Ley 80 de 1993, cuando se adicione una obra u actividad que no estaba contemplada en el alcance inicial del contrato.</w:t>
      </w:r>
    </w:p>
    <w:p w14:paraId="13844B48" w14:textId="77777777" w:rsidR="006D2C88" w:rsidRDefault="006D2C88" w:rsidP="006D2C88">
      <w:pPr>
        <w:spacing w:line="276" w:lineRule="auto"/>
        <w:ind w:firstLine="709"/>
        <w:jc w:val="both"/>
        <w:rPr>
          <w:rFonts w:ascii="Arial" w:eastAsia="Calibri" w:hAnsi="Arial" w:cs="Arial"/>
          <w:sz w:val="22"/>
        </w:rPr>
      </w:pPr>
      <w:r>
        <w:rPr>
          <w:rFonts w:ascii="Arial" w:eastAsia="Calibri" w:hAnsi="Arial" w:cs="Arial"/>
          <w:sz w:val="22"/>
        </w:rPr>
        <w:lastRenderedPageBreak/>
        <w:t>En tal sentido, la prohibición es inaplicable a otros aumentos del valor, originados, por ejemplo, en mayores cantidades de obra, ya que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La postura anterior se sintetiza en el siguiente concepto de la Sala de Consulta y Servicio Civil del Consejo de Estado:</w:t>
      </w:r>
    </w:p>
    <w:p w14:paraId="0562CB0E" w14:textId="77777777" w:rsidR="006D2C88" w:rsidRDefault="006D2C88" w:rsidP="006D2C88">
      <w:pPr>
        <w:spacing w:line="276" w:lineRule="auto"/>
        <w:jc w:val="both"/>
        <w:rPr>
          <w:rFonts w:ascii="Arial" w:eastAsia="Calibri" w:hAnsi="Arial" w:cs="Arial"/>
          <w:sz w:val="22"/>
        </w:rPr>
      </w:pPr>
    </w:p>
    <w:p w14:paraId="379EF4C3" w14:textId="77777777" w:rsidR="006D2C88" w:rsidRDefault="006D2C88" w:rsidP="006D2C88">
      <w:pPr>
        <w:spacing w:after="120"/>
        <w:ind w:left="709" w:right="709"/>
        <w:jc w:val="both"/>
        <w:rPr>
          <w:rFonts w:ascii="Arial" w:eastAsia="Calibri" w:hAnsi="Arial" w:cs="Arial"/>
          <w:sz w:val="21"/>
          <w:szCs w:val="21"/>
        </w:rPr>
      </w:pPr>
      <w:r>
        <w:rPr>
          <w:rFonts w:ascii="Arial" w:eastAsia="Calibri" w:hAnsi="Arial" w:cs="Arial"/>
          <w:sz w:val="21"/>
          <w:szCs w:val="21"/>
        </w:rPr>
        <w:t>Con base en lo expuesto brevemente, es fácil concluir que es un error celebrar contratos adicionales a los contratos principales celebrados por alguno de los sistemas de precios determinables, para poder ejecutar obras cuyo costo de ejecución sobrepase el estimado inicialmente. En efecto, el error consiste en pensar que ese precio estimado inicialmente es el verdadero valor del contrato, pues, como se explicó, sólo es un estimativo pero el verdadero valor se determinará una vez concluya la obra. Por lo mismo, no se trata de que se esté adicionando el contrato; no. Sólo se está procediendo conforme a lo previsto, esto es, aplicando el procedimiento de precios unitarios a las cantidades de obra ejecutadas y, por consiguiente, si son más cantidades de obra a las previstas, pues el valor del contrato es mayor, pero así fue como se convino.</w:t>
      </w:r>
    </w:p>
    <w:p w14:paraId="2C73619E" w14:textId="77777777" w:rsidR="006D2C88" w:rsidRDefault="006D2C88" w:rsidP="006D2C88">
      <w:pPr>
        <w:spacing w:after="120"/>
        <w:ind w:left="709" w:right="709"/>
        <w:jc w:val="both"/>
        <w:rPr>
          <w:rFonts w:ascii="Arial" w:eastAsia="Calibri" w:hAnsi="Arial" w:cs="Arial"/>
          <w:sz w:val="21"/>
          <w:szCs w:val="21"/>
        </w:rPr>
      </w:pPr>
      <w:r>
        <w:rPr>
          <w:rFonts w:ascii="Arial" w:eastAsia="Calibri" w:hAnsi="Arial" w:cs="Arial"/>
          <w:sz w:val="21"/>
          <w:szCs w:val="21"/>
        </w:rPr>
        <w:t>Por lo mismo, no se trata de que exista un «cambio» o «adición» en el contrato, sino de la aplicación de las reglas contractuales previamente determinadas en el contrato original. Es una operación matemática y no más.</w:t>
      </w:r>
    </w:p>
    <w:p w14:paraId="5AB927DA" w14:textId="77777777" w:rsidR="006D2C88" w:rsidRDefault="006D2C88" w:rsidP="006D2C88">
      <w:pPr>
        <w:ind w:left="709" w:right="709"/>
        <w:jc w:val="both"/>
        <w:rPr>
          <w:rFonts w:ascii="Arial" w:eastAsia="Calibri" w:hAnsi="Arial" w:cs="Arial"/>
          <w:sz w:val="21"/>
          <w:szCs w:val="21"/>
        </w:rPr>
      </w:pPr>
      <w:r>
        <w:rPr>
          <w:rFonts w:ascii="Arial" w:eastAsia="Calibri" w:hAnsi="Arial" w:cs="Arial"/>
          <w:sz w:val="21"/>
          <w:szCs w:val="21"/>
        </w:rPr>
        <w:t>Es preciso, entonces, entender que solamente habrá verdadera «adición» a un contrato cuando se agrega al alcance físico inicial del contrato algo nuevo, es decir, cuando existe una verdadera ampliación del objeto contractual, y no cuando solamente se realiza un simple ajuste del valor estimado inicialmente del contrato, en razón a que el cálculo de cantidades de obra estimada en el momento de celebrar el contrato no fue adecuada; en otros términos, los mayores valores en el contrato no se presentan debido a mayores cantidades de obra por cambios introducidos al alcance físico de las metas determinadas en el objeto del contrato, sino que esas mayores cantidades de obra surgen de una deficiente estimación inicial de las cantidades de obra requeridas para la ejecución de todo el objeto descrito en el contrato</w:t>
      </w:r>
      <w:r>
        <w:rPr>
          <w:rFonts w:ascii="Arial" w:eastAsia="Calibri" w:hAnsi="Arial" w:cs="Arial"/>
          <w:sz w:val="21"/>
          <w:szCs w:val="21"/>
          <w:vertAlign w:val="superscript"/>
        </w:rPr>
        <w:footnoteReference w:id="3"/>
      </w:r>
      <w:r>
        <w:rPr>
          <w:rFonts w:ascii="Arial" w:eastAsia="Calibri" w:hAnsi="Arial" w:cs="Arial"/>
          <w:sz w:val="21"/>
          <w:szCs w:val="21"/>
        </w:rPr>
        <w:t>.</w:t>
      </w:r>
    </w:p>
    <w:p w14:paraId="29D6B04F" w14:textId="77777777" w:rsidR="006D2C88" w:rsidRDefault="006D2C88" w:rsidP="006D2C88">
      <w:pPr>
        <w:spacing w:line="276" w:lineRule="auto"/>
        <w:jc w:val="both"/>
        <w:rPr>
          <w:rFonts w:ascii="Arial" w:eastAsia="Calibri" w:hAnsi="Arial" w:cs="Arial"/>
          <w:sz w:val="22"/>
        </w:rPr>
      </w:pPr>
      <w:r>
        <w:rPr>
          <w:rFonts w:ascii="Arial" w:eastAsia="Calibri" w:hAnsi="Arial" w:cs="Arial"/>
          <w:sz w:val="22"/>
        </w:rPr>
        <w:t xml:space="preserve"> </w:t>
      </w:r>
    </w:p>
    <w:p w14:paraId="6E8CF719" w14:textId="77777777" w:rsidR="006D2C88" w:rsidRDefault="006D2C88" w:rsidP="006D2C88">
      <w:pPr>
        <w:spacing w:line="276" w:lineRule="auto"/>
        <w:ind w:firstLine="709"/>
        <w:jc w:val="both"/>
        <w:rPr>
          <w:rFonts w:ascii="Arial" w:eastAsia="Calibri" w:hAnsi="Arial" w:cs="Arial"/>
          <w:sz w:val="22"/>
        </w:rPr>
      </w:pPr>
      <w:r>
        <w:rPr>
          <w:rFonts w:ascii="Arial" w:eastAsia="Calibri" w:hAnsi="Arial" w:cs="Arial"/>
          <w:sz w:val="22"/>
        </w:rPr>
        <w:t>Esta postura también es defendida por cierto sector de la doctrina</w:t>
      </w:r>
      <w:r>
        <w:rPr>
          <w:rFonts w:ascii="Arial" w:eastAsia="Calibri" w:hAnsi="Arial" w:cs="Arial"/>
          <w:sz w:val="22"/>
          <w:vertAlign w:val="superscript"/>
        </w:rPr>
        <w:footnoteReference w:id="4"/>
      </w:r>
      <w:r>
        <w:rPr>
          <w:rFonts w:ascii="Arial" w:eastAsia="Calibri" w:hAnsi="Arial" w:cs="Arial"/>
          <w:sz w:val="22"/>
        </w:rPr>
        <w:t>. Bajo esta se amplía el límite establecido por el legislador en el artículo 40, ya que este tipo de modificaciones, para ejecutar más de un mismo ítem o actividad pactada en el contrato –</w:t>
      </w:r>
      <w:r>
        <w:rPr>
          <w:rFonts w:ascii="Arial" w:eastAsia="Calibri" w:hAnsi="Arial" w:cs="Arial"/>
          <w:sz w:val="22"/>
        </w:rPr>
        <w:lastRenderedPageBreak/>
        <w:t xml:space="preserve">estas posturas las considerarían «precisiones» o «determinaciones del valor final»–, no se tendrían en cuenta para señalar en qué porcentaje se ha adicionado un contrato, ya que ellas no son </w:t>
      </w:r>
      <w:r>
        <w:rPr>
          <w:rFonts w:ascii="Arial" w:eastAsia="Calibri" w:hAnsi="Arial" w:cs="Arial"/>
          <w:i/>
          <w:sz w:val="22"/>
        </w:rPr>
        <w:t>contratos adicionales</w:t>
      </w:r>
      <w:r>
        <w:rPr>
          <w:rFonts w:ascii="Arial" w:eastAsia="Calibri" w:hAnsi="Arial" w:cs="Arial"/>
          <w:sz w:val="22"/>
        </w:rPr>
        <w:t>:</w:t>
      </w:r>
    </w:p>
    <w:p w14:paraId="34CE0A41" w14:textId="77777777" w:rsidR="006D2C88" w:rsidRDefault="006D2C88" w:rsidP="006D2C88">
      <w:pPr>
        <w:spacing w:line="276" w:lineRule="auto"/>
        <w:jc w:val="both"/>
        <w:rPr>
          <w:rFonts w:ascii="Arial" w:eastAsia="Calibri" w:hAnsi="Arial" w:cs="Arial"/>
          <w:sz w:val="22"/>
        </w:rPr>
      </w:pPr>
    </w:p>
    <w:p w14:paraId="76281979" w14:textId="77777777" w:rsidR="006D2C88" w:rsidRDefault="006D2C88" w:rsidP="006D2C88">
      <w:pPr>
        <w:spacing w:after="120"/>
        <w:ind w:left="709" w:right="709"/>
        <w:jc w:val="both"/>
        <w:rPr>
          <w:rFonts w:ascii="Arial" w:eastAsia="Calibri" w:hAnsi="Arial" w:cs="Arial"/>
          <w:sz w:val="21"/>
          <w:szCs w:val="21"/>
        </w:rPr>
      </w:pPr>
      <w:r>
        <w:rPr>
          <w:rFonts w:ascii="Arial" w:eastAsia="Calibri" w:hAnsi="Arial" w:cs="Arial"/>
          <w:sz w:val="21"/>
          <w:szCs w:val="21"/>
        </w:rPr>
        <w:t xml:space="preserve">En este estado de la cuestión, deberíamos reconocer la existencia de islotes interpretativos sobre este tópico, en los cuales y contraviniendo lo expuesto, el Consejo de Estado, por su puesto de manera errada, ha considerado que la mayor cantidad de obra de un contrato de obra pública a precios </w:t>
      </w:r>
      <w:proofErr w:type="gramStart"/>
      <w:r>
        <w:rPr>
          <w:rFonts w:ascii="Arial" w:eastAsia="Calibri" w:hAnsi="Arial" w:cs="Arial"/>
          <w:sz w:val="21"/>
          <w:szCs w:val="21"/>
        </w:rPr>
        <w:t>unitarios,</w:t>
      </w:r>
      <w:proofErr w:type="gramEnd"/>
      <w:r>
        <w:rPr>
          <w:rFonts w:ascii="Arial" w:eastAsia="Calibri" w:hAnsi="Arial" w:cs="Arial"/>
          <w:sz w:val="21"/>
          <w:szCs w:val="21"/>
        </w:rPr>
        <w:t xml:space="preserve"> debe ampararse bajo el ropaje de un contrato adicional y, en consecuencia aplicando el límite del 50%.</w:t>
      </w:r>
    </w:p>
    <w:p w14:paraId="3CCE1813" w14:textId="77777777" w:rsidR="006D2C88" w:rsidRDefault="006D2C88" w:rsidP="006D2C88">
      <w:pPr>
        <w:spacing w:after="120"/>
        <w:ind w:left="709" w:right="709"/>
        <w:jc w:val="both"/>
        <w:rPr>
          <w:rFonts w:ascii="Arial" w:eastAsia="Calibri" w:hAnsi="Arial" w:cs="Arial"/>
          <w:sz w:val="21"/>
          <w:szCs w:val="21"/>
        </w:rPr>
      </w:pPr>
      <w:r>
        <w:rPr>
          <w:rFonts w:ascii="Arial" w:eastAsia="Calibri" w:hAnsi="Arial" w:cs="Arial"/>
          <w:sz w:val="21"/>
          <w:szCs w:val="21"/>
        </w:rPr>
        <w:t>Insistimos que no podemos compartir este planteamiento por lo siguiente:</w:t>
      </w:r>
    </w:p>
    <w:p w14:paraId="14D312EB" w14:textId="77777777" w:rsidR="006D2C88" w:rsidRDefault="006D2C88" w:rsidP="006D2C88">
      <w:pPr>
        <w:spacing w:after="120"/>
        <w:ind w:left="709" w:right="709"/>
        <w:jc w:val="both"/>
        <w:rPr>
          <w:rFonts w:ascii="Arial" w:eastAsia="Calibri" w:hAnsi="Arial" w:cs="Arial"/>
          <w:sz w:val="21"/>
          <w:szCs w:val="21"/>
        </w:rPr>
      </w:pPr>
      <w:r>
        <w:rPr>
          <w:rFonts w:ascii="Arial" w:eastAsia="Calibri" w:hAnsi="Arial" w:cs="Arial"/>
          <w:sz w:val="21"/>
          <w:szCs w:val="21"/>
        </w:rPr>
        <w:t>- La naturaleza misma del contrato pactado a precios unitarios en el cual se conviene la realización de una obra claramente determinada (por ej. La pavimentación de la carrera 7ª entre las calles 34 y 100), que cuenta con unas cantidades estimadas que arrojan un precio igualmente estimado.</w:t>
      </w:r>
    </w:p>
    <w:p w14:paraId="220C8D1B" w14:textId="77777777" w:rsidR="006D2C88" w:rsidRDefault="006D2C88" w:rsidP="006D2C88">
      <w:pPr>
        <w:spacing w:after="120"/>
        <w:ind w:left="709" w:right="709"/>
        <w:jc w:val="both"/>
        <w:rPr>
          <w:rFonts w:ascii="Arial" w:eastAsia="Calibri" w:hAnsi="Arial" w:cs="Arial"/>
          <w:sz w:val="21"/>
          <w:szCs w:val="21"/>
        </w:rPr>
      </w:pPr>
      <w:r>
        <w:rPr>
          <w:rFonts w:ascii="Arial" w:eastAsia="Calibri" w:hAnsi="Arial" w:cs="Arial"/>
          <w:sz w:val="21"/>
          <w:szCs w:val="21"/>
        </w:rPr>
        <w:t>- Si por decir algo, esas cantidades se acaban en la calle 94, lo faltante, esto es desde la calle 95 a la 100, no es una obra adicional ya que ella hace parte del objetivo inicial, vale decir, que no se requiere pactar un elemento nuevo necesario o accesorio al objeto primigenio pues lo carente hacer parte de él desde el principio.</w:t>
      </w:r>
    </w:p>
    <w:p w14:paraId="451E6260" w14:textId="77777777" w:rsidR="006D2C88" w:rsidRDefault="006D2C88" w:rsidP="006D2C88">
      <w:pPr>
        <w:spacing w:after="120"/>
        <w:ind w:left="709" w:right="709"/>
        <w:jc w:val="both"/>
        <w:rPr>
          <w:rFonts w:ascii="Arial" w:eastAsia="Calibri" w:hAnsi="Arial" w:cs="Arial"/>
          <w:sz w:val="21"/>
          <w:szCs w:val="21"/>
        </w:rPr>
      </w:pPr>
      <w:r>
        <w:rPr>
          <w:rFonts w:ascii="Arial" w:eastAsia="Calibri" w:hAnsi="Arial" w:cs="Arial"/>
          <w:sz w:val="21"/>
          <w:szCs w:val="21"/>
        </w:rPr>
        <w:t xml:space="preserve">- Lo procedente, entonces, es que la interventoría a cuyo cargo está el control de las cantidades y presupuestos ejecutados, antes de agotar las inicialmente dispuestas, informe a las partes del contrato con miras a que la entidad obtenga los recursos necesarios para concluir lo pactado. </w:t>
      </w:r>
    </w:p>
    <w:p w14:paraId="4AE98D83" w14:textId="77777777" w:rsidR="006D2C88" w:rsidRDefault="006D2C88" w:rsidP="006D2C88">
      <w:pPr>
        <w:ind w:left="709" w:right="709"/>
        <w:jc w:val="both"/>
        <w:rPr>
          <w:rFonts w:ascii="Arial" w:eastAsia="Calibri" w:hAnsi="Arial" w:cs="Arial"/>
          <w:sz w:val="21"/>
          <w:szCs w:val="21"/>
        </w:rPr>
      </w:pPr>
      <w:r>
        <w:rPr>
          <w:rFonts w:ascii="Arial" w:eastAsia="Calibri" w:hAnsi="Arial" w:cs="Arial"/>
          <w:sz w:val="21"/>
          <w:szCs w:val="21"/>
        </w:rPr>
        <w:t>- La inyección de los nuevos recursos no se hace al ampro de un contrato adicional sino como parte de un trámite interno oficial, con información al contratista para que pueda seguir avanzando en la obra</w:t>
      </w:r>
      <w:r>
        <w:rPr>
          <w:rFonts w:ascii="Arial" w:eastAsia="Calibri" w:hAnsi="Arial" w:cs="Arial"/>
          <w:sz w:val="21"/>
          <w:szCs w:val="21"/>
          <w:vertAlign w:val="superscript"/>
        </w:rPr>
        <w:footnoteReference w:id="5"/>
      </w:r>
      <w:r>
        <w:rPr>
          <w:rFonts w:ascii="Arial" w:eastAsia="Calibri" w:hAnsi="Arial" w:cs="Arial"/>
          <w:sz w:val="21"/>
          <w:szCs w:val="21"/>
        </w:rPr>
        <w:t>.</w:t>
      </w:r>
    </w:p>
    <w:p w14:paraId="62EBF3C5" w14:textId="77777777" w:rsidR="006D2C88" w:rsidRDefault="006D2C88" w:rsidP="006D2C88">
      <w:pPr>
        <w:spacing w:line="276" w:lineRule="auto"/>
        <w:ind w:left="709" w:right="758"/>
        <w:jc w:val="both"/>
        <w:rPr>
          <w:rFonts w:ascii="Arial" w:eastAsia="Calibri" w:hAnsi="Arial" w:cs="Arial"/>
          <w:sz w:val="21"/>
          <w:szCs w:val="21"/>
        </w:rPr>
      </w:pPr>
    </w:p>
    <w:p w14:paraId="2D146C9F" w14:textId="77777777" w:rsidR="006D2C88" w:rsidRDefault="006D2C88" w:rsidP="006D2C88">
      <w:pPr>
        <w:spacing w:after="120" w:line="276" w:lineRule="auto"/>
        <w:ind w:firstLine="709"/>
        <w:jc w:val="both"/>
        <w:rPr>
          <w:rFonts w:ascii="Arial" w:eastAsia="Calibri" w:hAnsi="Arial" w:cs="Arial"/>
          <w:sz w:val="22"/>
        </w:rPr>
      </w:pPr>
      <w:r>
        <w:rPr>
          <w:rFonts w:ascii="Arial" w:eastAsia="Calibri" w:hAnsi="Arial" w:cs="Arial"/>
          <w:sz w:val="22"/>
        </w:rPr>
        <w:t>Por su parte, el Consejo de estado en otras providencias, reiteró el criterio desarrollado en el concepto de la Sala de Consulta y Servicio de Civil del Consejo de Estado citado previamente</w:t>
      </w:r>
      <w:r>
        <w:rPr>
          <w:rFonts w:ascii="Arial" w:eastAsia="Calibri" w:hAnsi="Arial" w:cs="Arial"/>
          <w:sz w:val="22"/>
          <w:vertAlign w:val="superscript"/>
        </w:rPr>
        <w:footnoteReference w:id="6"/>
      </w:r>
      <w:r>
        <w:rPr>
          <w:rFonts w:ascii="Arial" w:eastAsia="Calibri" w:hAnsi="Arial" w:cs="Arial"/>
          <w:sz w:val="22"/>
        </w:rPr>
        <w:t xml:space="preserve">. </w:t>
      </w:r>
    </w:p>
    <w:p w14:paraId="4BE22595" w14:textId="77777777" w:rsidR="006D2C88" w:rsidRDefault="006D2C88" w:rsidP="006D2C88">
      <w:pPr>
        <w:spacing w:line="276" w:lineRule="auto"/>
        <w:ind w:firstLine="709"/>
        <w:jc w:val="both"/>
        <w:rPr>
          <w:rFonts w:ascii="Arial" w:eastAsia="Calibri" w:hAnsi="Arial" w:cs="Arial"/>
          <w:sz w:val="22"/>
        </w:rPr>
      </w:pPr>
      <w:r>
        <w:rPr>
          <w:rFonts w:ascii="Arial" w:eastAsia="Calibri" w:hAnsi="Arial" w:cs="Arial"/>
          <w:sz w:val="22"/>
        </w:rPr>
        <w:t xml:space="preserve">La otra postura, defendida por otra parte de la doctrina, y que es la que sostiene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 y que </w:t>
      </w:r>
      <w:r>
        <w:rPr>
          <w:rFonts w:ascii="Arial" w:eastAsia="Calibri" w:hAnsi="Arial" w:cs="Arial"/>
          <w:sz w:val="22"/>
        </w:rPr>
        <w:lastRenderedPageBreak/>
        <w:t xml:space="preserve">necesariamente se someterá a la norma prohibitiva, salvo norma especial que excepcione la regla general: </w:t>
      </w:r>
    </w:p>
    <w:p w14:paraId="6D98A12B" w14:textId="77777777" w:rsidR="006D2C88" w:rsidRDefault="006D2C88" w:rsidP="006D2C88">
      <w:pPr>
        <w:spacing w:line="276" w:lineRule="auto"/>
        <w:jc w:val="both"/>
        <w:rPr>
          <w:rFonts w:ascii="Arial" w:eastAsia="Calibri" w:hAnsi="Arial" w:cs="Arial"/>
          <w:sz w:val="22"/>
        </w:rPr>
      </w:pPr>
    </w:p>
    <w:p w14:paraId="0F97B512" w14:textId="77777777" w:rsidR="006D2C88" w:rsidRDefault="006D2C88" w:rsidP="006D2C88">
      <w:pPr>
        <w:spacing w:line="276" w:lineRule="auto"/>
        <w:ind w:left="709" w:right="758"/>
        <w:jc w:val="both"/>
        <w:rPr>
          <w:rFonts w:ascii="Arial" w:eastAsia="Calibri" w:hAnsi="Arial" w:cs="Arial"/>
          <w:sz w:val="21"/>
          <w:szCs w:val="21"/>
        </w:rPr>
      </w:pPr>
      <w:r>
        <w:rPr>
          <w:rFonts w:ascii="Arial" w:eastAsia="Calibri" w:hAnsi="Arial" w:cs="Arial"/>
          <w:sz w:val="21"/>
          <w:szCs w:val="21"/>
        </w:rPr>
        <w:t xml:space="preserve">Según este criterio, [el expuesto previamente en este concepto] del cual nos apartamos categóricamente, el contrato de nuestro ejemplo, por valor de $1’000.000, podría costar al final $1.000’000.000, sin incursionar en los terrenos prohibitivos del art. 40. Y no se comparte este criterio porque desconoce que la Ley 80 de 1993 quiso evitar, precisamente, que los contratos se adicionaran en más del 50%, y sin duda alguna una ampliación de las cantidades de obra denominada </w:t>
      </w:r>
      <w:r>
        <w:rPr>
          <w:rFonts w:ascii="Arial" w:eastAsia="Calibri" w:hAnsi="Arial" w:cs="Arial"/>
          <w:i/>
          <w:iCs/>
          <w:sz w:val="21"/>
          <w:szCs w:val="21"/>
        </w:rPr>
        <w:t xml:space="preserve">obra adicional </w:t>
      </w:r>
      <w:r>
        <w:rPr>
          <w:rFonts w:ascii="Arial" w:eastAsia="Calibri" w:hAnsi="Arial" w:cs="Arial"/>
          <w:sz w:val="21"/>
          <w:szCs w:val="21"/>
        </w:rPr>
        <w:t>conduce a una adición del contrato, luego debe tener como límite el 50% analizado.</w:t>
      </w:r>
    </w:p>
    <w:p w14:paraId="074A65D5" w14:textId="77777777" w:rsidR="006D2C88" w:rsidRDefault="006D2C88" w:rsidP="006D2C88">
      <w:pPr>
        <w:spacing w:line="276" w:lineRule="auto"/>
        <w:ind w:left="709" w:right="758"/>
        <w:jc w:val="both"/>
        <w:rPr>
          <w:rFonts w:ascii="Arial" w:eastAsia="Calibri" w:hAnsi="Arial" w:cs="Arial"/>
          <w:sz w:val="21"/>
          <w:szCs w:val="21"/>
        </w:rPr>
      </w:pPr>
      <w:r>
        <w:rPr>
          <w:rFonts w:ascii="Arial" w:eastAsia="Calibri" w:hAnsi="Arial" w:cs="Arial"/>
          <w:sz w:val="21"/>
          <w:szCs w:val="21"/>
        </w:rPr>
        <w:t>[…]</w:t>
      </w:r>
    </w:p>
    <w:p w14:paraId="2946DB82" w14:textId="77777777" w:rsidR="006D2C88" w:rsidRDefault="006D2C88" w:rsidP="006D2C88">
      <w:pPr>
        <w:spacing w:line="276" w:lineRule="auto"/>
        <w:ind w:left="709" w:right="758"/>
        <w:jc w:val="both"/>
        <w:rPr>
          <w:rFonts w:ascii="Arial" w:eastAsia="Calibri" w:hAnsi="Arial" w:cs="Arial"/>
          <w:sz w:val="21"/>
          <w:szCs w:val="21"/>
        </w:rPr>
      </w:pPr>
    </w:p>
    <w:p w14:paraId="3B847DC0" w14:textId="77777777" w:rsidR="006D2C88" w:rsidRDefault="006D2C88" w:rsidP="006D2C88">
      <w:pPr>
        <w:spacing w:line="276" w:lineRule="auto"/>
        <w:ind w:left="709" w:right="758"/>
        <w:jc w:val="both"/>
        <w:rPr>
          <w:rFonts w:ascii="Arial" w:eastAsia="Calibri" w:hAnsi="Arial" w:cs="Arial"/>
          <w:sz w:val="21"/>
          <w:szCs w:val="21"/>
        </w:rPr>
      </w:pPr>
      <w:r>
        <w:rPr>
          <w:rFonts w:ascii="Arial" w:eastAsia="Calibri" w:hAnsi="Arial" w:cs="Arial"/>
          <w:sz w:val="21"/>
          <w:szCs w:val="21"/>
        </w:rPr>
        <w:t>La tesis jurídica que prevalece es que los contratos no se pueden adicionar por encima del límite del art. 40, sin importar si la obra es extra o adicional, pues estas categorías son meramente técnicas y no jurídicas, de modo que lo determinante no es el tipo de obra, bien o servicio que se necesita ejecutar en mayor cantidad, sino su valor. Si sobrepasa el límite legal no es posible ejecutarlo</w:t>
      </w:r>
      <w:r>
        <w:rPr>
          <w:rFonts w:ascii="Arial" w:eastAsia="Calibri" w:hAnsi="Arial" w:cs="Arial"/>
          <w:sz w:val="21"/>
          <w:szCs w:val="21"/>
          <w:vertAlign w:val="superscript"/>
        </w:rPr>
        <w:footnoteReference w:id="7"/>
      </w:r>
      <w:r>
        <w:rPr>
          <w:rFonts w:ascii="Arial" w:eastAsia="Calibri" w:hAnsi="Arial" w:cs="Arial"/>
          <w:sz w:val="21"/>
          <w:szCs w:val="21"/>
        </w:rPr>
        <w:t>. (Aparte en corchetes fuera del original).</w:t>
      </w:r>
    </w:p>
    <w:p w14:paraId="5997CC1D" w14:textId="77777777" w:rsidR="006D2C88" w:rsidRDefault="006D2C88" w:rsidP="006D2C88">
      <w:pPr>
        <w:spacing w:line="276" w:lineRule="auto"/>
        <w:jc w:val="both"/>
        <w:rPr>
          <w:rFonts w:ascii="Arial" w:eastAsia="Calibri" w:hAnsi="Arial" w:cs="Arial"/>
          <w:sz w:val="22"/>
        </w:rPr>
      </w:pPr>
    </w:p>
    <w:p w14:paraId="6E54ED04" w14:textId="77777777" w:rsidR="006D2C88" w:rsidRDefault="006D2C88" w:rsidP="006D2C88">
      <w:pPr>
        <w:spacing w:line="276" w:lineRule="auto"/>
        <w:ind w:firstLine="709"/>
        <w:jc w:val="both"/>
        <w:rPr>
          <w:rFonts w:ascii="Arial" w:eastAsia="Calibri" w:hAnsi="Arial" w:cs="Arial"/>
          <w:sz w:val="22"/>
        </w:rPr>
      </w:pPr>
      <w:r>
        <w:rPr>
          <w:rFonts w:ascii="Arial" w:eastAsia="Calibri" w:hAnsi="Arial" w:cs="Arial"/>
          <w:sz w:val="22"/>
        </w:rPr>
        <w:t>La postura anterior también es defendida por la Sección Tercera del Consejo de Estado y por la mayoría de las entidades, porque en el año 2010 se demandó la legalidad del artículo 73 del Decreto 2474 de 2008, que autorizaba la adición de algunos contratos por encima del 50%. La Sección Tercera declaró su nulidad, en la sentencia del 14 de abril de 2010, bajo los siguientes argumentos:</w:t>
      </w:r>
    </w:p>
    <w:p w14:paraId="110FFD37" w14:textId="77777777" w:rsidR="006D2C88" w:rsidRDefault="006D2C88" w:rsidP="006D2C88">
      <w:pPr>
        <w:spacing w:line="276" w:lineRule="auto"/>
        <w:jc w:val="both"/>
        <w:rPr>
          <w:rFonts w:ascii="Arial" w:eastAsia="Calibri" w:hAnsi="Arial" w:cs="Arial"/>
          <w:sz w:val="22"/>
        </w:rPr>
      </w:pPr>
    </w:p>
    <w:p w14:paraId="0E7949FA" w14:textId="77777777" w:rsidR="006D2C88" w:rsidRDefault="006D2C88" w:rsidP="006D2C88">
      <w:pPr>
        <w:spacing w:line="276" w:lineRule="auto"/>
        <w:ind w:left="709" w:right="758"/>
        <w:jc w:val="both"/>
        <w:rPr>
          <w:rFonts w:ascii="Arial" w:eastAsia="Calibri" w:hAnsi="Arial" w:cs="Arial"/>
          <w:sz w:val="21"/>
          <w:szCs w:val="21"/>
        </w:rPr>
      </w:pPr>
      <w:r>
        <w:rPr>
          <w:rFonts w:ascii="Arial" w:eastAsia="Calibri" w:hAnsi="Arial" w:cs="Arial"/>
          <w:sz w:val="21"/>
          <w:szCs w:val="21"/>
        </w:rPr>
        <w:t xml:space="preserve">La Sala acogerá la pretensión formulada en atención a que como ya ha sostenido la jurisprudencia de esta Corporación las expresiones utilizadas por la ley («adicionar» y «valor inicial»), hacen referencia a la necesidad de operar modificaciones en algunos negocios jurídicos, lo cual implica una variación en el valor pactado. En este evento, se trata de obras nuevas o distintas indispensables para alcanzar la finalidad perseguida con el acuerdo de voluntades. No </w:t>
      </w:r>
      <w:proofErr w:type="gramStart"/>
      <w:r>
        <w:rPr>
          <w:rFonts w:ascii="Arial" w:eastAsia="Calibri" w:hAnsi="Arial" w:cs="Arial"/>
          <w:sz w:val="21"/>
          <w:szCs w:val="21"/>
        </w:rPr>
        <w:t>obstante</w:t>
      </w:r>
      <w:proofErr w:type="gramEnd"/>
      <w:r>
        <w:rPr>
          <w:rFonts w:ascii="Arial" w:eastAsia="Calibri" w:hAnsi="Arial" w:cs="Arial"/>
          <w:sz w:val="21"/>
          <w:szCs w:val="21"/>
        </w:rPr>
        <w:t xml:space="preserve"> lo anterior, la legislación vigente contempla una limitante: el valor de lo 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w:t>
      </w:r>
      <w:r>
        <w:rPr>
          <w:rFonts w:ascii="Arial" w:eastAsia="Calibri" w:hAnsi="Arial" w:cs="Arial"/>
          <w:sz w:val="21"/>
          <w:szCs w:val="21"/>
        </w:rPr>
        <w:lastRenderedPageBreak/>
        <w:t>además asegura principios como la transparencia, la selección objetiva y la planeación</w:t>
      </w:r>
    </w:p>
    <w:p w14:paraId="6B699379" w14:textId="77777777" w:rsidR="006D2C88" w:rsidRDefault="006D2C88" w:rsidP="006D2C88">
      <w:pPr>
        <w:spacing w:line="276" w:lineRule="auto"/>
        <w:ind w:left="709" w:right="758"/>
        <w:jc w:val="both"/>
        <w:rPr>
          <w:rFonts w:ascii="Arial" w:eastAsia="Calibri" w:hAnsi="Arial" w:cs="Arial"/>
          <w:sz w:val="21"/>
          <w:szCs w:val="21"/>
        </w:rPr>
      </w:pPr>
    </w:p>
    <w:p w14:paraId="2FE57080" w14:textId="77777777" w:rsidR="006D2C88" w:rsidRDefault="006D2C88" w:rsidP="006D2C88">
      <w:pPr>
        <w:spacing w:line="276" w:lineRule="auto"/>
        <w:ind w:left="709" w:right="758"/>
        <w:jc w:val="both"/>
        <w:rPr>
          <w:rFonts w:ascii="Arial" w:eastAsia="Calibri" w:hAnsi="Arial" w:cs="Arial"/>
          <w:sz w:val="21"/>
          <w:szCs w:val="21"/>
        </w:rPr>
      </w:pPr>
      <w:r>
        <w:rPr>
          <w:rFonts w:ascii="Arial" w:eastAsia="Calibri" w:hAnsi="Arial" w:cs="Arial"/>
          <w:sz w:val="21"/>
          <w:szCs w:val="21"/>
        </w:rPr>
        <w:t>Llegados a este punto, se encuentra que la norma demandada tiene el alcance que el demandante le endilga, en ella se señala la posibilidad de adicionar el contrato de interventoría sin atender a ningún límite de valor, el único criterio que se tiene presente es la prórroga del contrato sobre el cual se realiza la inspección y vigilancia. En otras palabras, se permite una adición que no tiene en cuenta la prohibición establecida en el artículo 40 de la Ley 80 de 1993 y que podría sobrepasar en más de un 50% el valor de lo inicialmente pactado</w:t>
      </w:r>
      <w:r>
        <w:rPr>
          <w:rFonts w:ascii="Arial" w:eastAsia="Calibri" w:hAnsi="Arial" w:cs="Arial"/>
          <w:sz w:val="21"/>
          <w:szCs w:val="21"/>
          <w:vertAlign w:val="superscript"/>
        </w:rPr>
        <w:footnoteReference w:id="8"/>
      </w:r>
      <w:r>
        <w:rPr>
          <w:rFonts w:ascii="Arial" w:eastAsia="Calibri" w:hAnsi="Arial" w:cs="Arial"/>
          <w:sz w:val="21"/>
          <w:szCs w:val="21"/>
        </w:rPr>
        <w:t>.</w:t>
      </w:r>
    </w:p>
    <w:p w14:paraId="3FE9F23F" w14:textId="77777777" w:rsidR="006D2C88" w:rsidRDefault="006D2C88" w:rsidP="006D2C88">
      <w:pPr>
        <w:spacing w:line="276" w:lineRule="auto"/>
        <w:jc w:val="both"/>
        <w:rPr>
          <w:rFonts w:ascii="Arial" w:eastAsia="Calibri" w:hAnsi="Arial" w:cs="Arial"/>
          <w:sz w:val="22"/>
        </w:rPr>
      </w:pPr>
    </w:p>
    <w:p w14:paraId="7AFA648B" w14:textId="77777777" w:rsidR="006D2C88" w:rsidRDefault="006D2C88" w:rsidP="006D2C88">
      <w:pPr>
        <w:spacing w:after="120" w:line="276" w:lineRule="auto"/>
        <w:ind w:firstLine="709"/>
        <w:jc w:val="both"/>
        <w:rPr>
          <w:rFonts w:ascii="Arial" w:eastAsia="Calibri" w:hAnsi="Arial" w:cs="Arial"/>
          <w:sz w:val="22"/>
        </w:rPr>
      </w:pPr>
      <w:r>
        <w:rPr>
          <w:rFonts w:ascii="Arial" w:eastAsia="Calibri" w:hAnsi="Arial" w:cs="Arial"/>
          <w:sz w:val="22"/>
        </w:rPr>
        <w:t xml:space="preserve">Esta Agencia comparte la última postura, ya que es la que mejor garantiza el principio de legalidad, pues la norma es clara en señalar que los contratos no podrán adicionarse en más del 50% de su valor inicial, y valga la redundancia, el valor inicial es el contemplado en el contrato originario y cualquier alteración a ese valor constituirá, técnicamente, una adición, independientemente de cuál sea su causa; lo otro implicaría una fuga a la prohibición fijada por el legislador. </w:t>
      </w:r>
    </w:p>
    <w:p w14:paraId="13DD65A5" w14:textId="77777777" w:rsidR="00635B00" w:rsidRPr="0029643A" w:rsidRDefault="00734BEE">
      <w:pPr>
        <w:spacing w:line="276" w:lineRule="auto"/>
        <w:ind w:firstLine="709"/>
        <w:jc w:val="both"/>
        <w:rPr>
          <w:rFonts w:ascii="Arial" w:eastAsia="Calibri" w:hAnsi="Arial" w:cs="Arial"/>
          <w:sz w:val="22"/>
          <w:lang w:val="es-ES"/>
        </w:rPr>
      </w:pPr>
      <w:r w:rsidRPr="0029643A">
        <w:rPr>
          <w:rFonts w:ascii="Arial" w:eastAsia="Calibri" w:hAnsi="Arial" w:cs="Arial"/>
          <w:sz w:val="22"/>
          <w:lang w:val="es-ES"/>
        </w:rPr>
        <w:t xml:space="preserve">Actualmente, solo existe una posibilidad para adicionar contratos en más del 50% y es la contenida en el artículo 85 de la Ley 1474 de 2011, para los contratos de interventoría que, por su naturaleza de seguimiento técnico, deberá someterse al plazo en que 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1F72F646" w14:textId="77777777" w:rsidR="00635B00" w:rsidRPr="0029643A" w:rsidRDefault="00635B00">
      <w:pPr>
        <w:spacing w:line="276" w:lineRule="auto"/>
        <w:ind w:firstLine="709"/>
        <w:jc w:val="both"/>
        <w:rPr>
          <w:rFonts w:ascii="Arial" w:eastAsia="Calibri" w:hAnsi="Arial" w:cs="Arial"/>
          <w:sz w:val="22"/>
          <w:lang w:val="es-ES"/>
        </w:rPr>
      </w:pPr>
    </w:p>
    <w:p w14:paraId="676FA5CA" w14:textId="77777777" w:rsidR="00635B00" w:rsidRPr="0029643A" w:rsidRDefault="00734BEE">
      <w:pPr>
        <w:spacing w:line="276" w:lineRule="auto"/>
        <w:jc w:val="both"/>
        <w:rPr>
          <w:rFonts w:ascii="Arial" w:eastAsia="Calibri" w:hAnsi="Arial" w:cs="Arial"/>
          <w:b/>
          <w:bCs/>
          <w:sz w:val="22"/>
          <w:lang w:val="es-ES"/>
        </w:rPr>
      </w:pPr>
      <w:r w:rsidRPr="0029643A">
        <w:rPr>
          <w:rFonts w:ascii="Arial" w:eastAsia="Calibri" w:hAnsi="Arial" w:cs="Arial"/>
          <w:b/>
          <w:bCs/>
          <w:sz w:val="22"/>
          <w:lang w:val="es-ES"/>
        </w:rPr>
        <w:t xml:space="preserve">2.3. La posibilidad de adicionar sin límite de valor los contratos celebrados por las entidades estatales que se relacionen con bienes, obras o servicios que permitan una mejor gestión y mitigación de la emergencia causada por el coronavirus COVID-19 </w:t>
      </w:r>
    </w:p>
    <w:p w14:paraId="08CE6F91" w14:textId="77777777" w:rsidR="00635B00" w:rsidRPr="0029643A" w:rsidRDefault="00635B00">
      <w:pPr>
        <w:spacing w:line="276" w:lineRule="auto"/>
        <w:jc w:val="both"/>
        <w:rPr>
          <w:rFonts w:ascii="Arial" w:eastAsia="Calibri" w:hAnsi="Arial" w:cs="Arial"/>
          <w:b/>
          <w:bCs/>
          <w:sz w:val="22"/>
          <w:lang w:val="es-ES"/>
        </w:rPr>
      </w:pPr>
    </w:p>
    <w:p w14:paraId="1D7937AD" w14:textId="77777777" w:rsidR="0029643A" w:rsidRDefault="0029643A" w:rsidP="0029643A">
      <w:pPr>
        <w:spacing w:line="276" w:lineRule="auto"/>
        <w:jc w:val="both"/>
        <w:rPr>
          <w:rFonts w:ascii="Arial" w:eastAsia="Calibri" w:hAnsi="Arial" w:cs="Arial"/>
          <w:sz w:val="22"/>
        </w:rPr>
      </w:pPr>
      <w:r>
        <w:rPr>
          <w:rFonts w:ascii="Arial" w:eastAsia="Calibri" w:hAnsi="Arial" w:cs="Arial"/>
          <w:sz w:val="22"/>
        </w:rPr>
        <w:t xml:space="preserve">Si bien la postura jurisprudencial y doctrinaria es clara frente a la imposibilidad de adicionar los contratos estatales por más del 50% de su valor inicial, exceptuados los de interventoría conforme lo dispuesto en el artículo 85 de la Ley 1474 de 2011, los Decretos 440 y 537 de 2020 excepcionan esta regla. La actual emergencia presentada a nivel global a causa del coronavirus supone una exige al Estado colombiano garantizar la salud de todos los habitantes del territorio nacional y a disminuir la propagación del virus, atendiendo a la inmediatez con que se debe obrar para conjurar la crisis. Sin embargo, la excepción a la regla se configura en el marco del Estado de Emergencia Económica, Social y Ecológica, así como de la Emergencia Sanitaria, lo que implica delimitar las circunstancias en que </w:t>
      </w:r>
      <w:r>
        <w:rPr>
          <w:rFonts w:ascii="Arial" w:eastAsia="Calibri" w:hAnsi="Arial" w:cs="Arial"/>
          <w:sz w:val="22"/>
        </w:rPr>
        <w:lastRenderedPageBreak/>
        <w:t>puede ser adicionado un contrato por encima del 50% de su valor inicial. En esta medida se dispone los siguiente:</w:t>
      </w:r>
    </w:p>
    <w:p w14:paraId="61CDCEAD" w14:textId="77777777" w:rsidR="0029643A" w:rsidRDefault="0029643A" w:rsidP="0029643A">
      <w:pPr>
        <w:spacing w:line="276" w:lineRule="auto"/>
        <w:jc w:val="both"/>
        <w:rPr>
          <w:rFonts w:ascii="Arial" w:eastAsia="Calibri" w:hAnsi="Arial" w:cs="Arial"/>
          <w:sz w:val="22"/>
        </w:rPr>
      </w:pPr>
    </w:p>
    <w:p w14:paraId="70482412" w14:textId="77777777" w:rsidR="0029643A" w:rsidRDefault="0029643A" w:rsidP="0029643A">
      <w:pPr>
        <w:spacing w:after="120"/>
        <w:ind w:left="709" w:right="709"/>
        <w:jc w:val="both"/>
        <w:rPr>
          <w:rFonts w:ascii="Arial" w:eastAsia="Calibri" w:hAnsi="Arial" w:cs="Arial"/>
          <w:sz w:val="21"/>
          <w:szCs w:val="21"/>
        </w:rPr>
      </w:pPr>
      <w:r>
        <w:rPr>
          <w:rFonts w:ascii="Arial" w:eastAsia="Calibri" w:hAnsi="Arial" w:cs="Arial"/>
          <w:sz w:val="21"/>
          <w:szCs w:val="21"/>
        </w:rPr>
        <w:t>Artículo 8. Adiciónese los siguientes incisos al parágrafo del artículo 40 de la Ley 80 de 1993, así:</w:t>
      </w:r>
    </w:p>
    <w:p w14:paraId="36388283" w14:textId="77777777" w:rsidR="0029643A" w:rsidRDefault="0029643A" w:rsidP="0029643A">
      <w:pPr>
        <w:spacing w:after="120"/>
        <w:ind w:left="709" w:right="709"/>
        <w:jc w:val="both"/>
        <w:rPr>
          <w:rFonts w:ascii="Arial" w:eastAsia="Calibri" w:hAnsi="Arial" w:cs="Arial"/>
          <w:sz w:val="21"/>
          <w:szCs w:val="21"/>
        </w:rPr>
      </w:pPr>
      <w:r>
        <w:rPr>
          <w:rFonts w:ascii="Arial" w:eastAsia="Calibri" w:hAnsi="Arial" w:cs="Arial"/>
          <w:sz w:val="21"/>
          <w:szCs w:val="21"/>
        </w:rPr>
        <w:t>Adición y modificación de contratos estatales. Durante la vigencia de la Emergencia Sanitaria declarada por el Ministerio de Salud y Protección Social, con ocasión de la pandemia derivada del Coronavirus COVID-19,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al valor. Para este propósito, la entidad estatal deberá justificar previamente la necesidad y la forma como dichos bienes y servicios contribuirán a gestionar o mitigar la situación de emergencia.</w:t>
      </w:r>
    </w:p>
    <w:p w14:paraId="41582E04" w14:textId="77777777" w:rsidR="0029643A" w:rsidRDefault="0029643A" w:rsidP="0029643A">
      <w:pPr>
        <w:ind w:left="709" w:right="709"/>
        <w:jc w:val="both"/>
        <w:rPr>
          <w:rFonts w:ascii="Arial" w:eastAsia="Calibri" w:hAnsi="Arial" w:cs="Arial"/>
          <w:sz w:val="21"/>
          <w:szCs w:val="21"/>
        </w:rPr>
      </w:pPr>
      <w:r>
        <w:rPr>
          <w:rFonts w:ascii="Arial" w:eastAsia="Calibri" w:hAnsi="Arial" w:cs="Arial"/>
          <w:sz w:val="21"/>
          <w:szCs w:val="21"/>
        </w:rPr>
        <w:t>Igualmente, esta disposición se aplicará a los contratos que se celebren durante la vigencia de la Emergencia Sanitaria declarada por el Ministerio de Salud y Protección Social, con ocasión de la pandemia derivada del Coronavirus COV1D-19, y durante el término que dicho estado esté vigente.</w:t>
      </w:r>
    </w:p>
    <w:p w14:paraId="6BB9E253" w14:textId="77777777" w:rsidR="0029643A" w:rsidRDefault="0029643A" w:rsidP="0029643A">
      <w:pPr>
        <w:spacing w:line="276" w:lineRule="auto"/>
        <w:jc w:val="both"/>
        <w:rPr>
          <w:rFonts w:ascii="Arial" w:eastAsia="Calibri" w:hAnsi="Arial" w:cs="Arial"/>
          <w:sz w:val="22"/>
        </w:rPr>
      </w:pPr>
    </w:p>
    <w:p w14:paraId="7DCBAC46" w14:textId="77777777" w:rsidR="0029643A" w:rsidRDefault="0029643A" w:rsidP="0029643A">
      <w:pPr>
        <w:spacing w:line="276" w:lineRule="auto"/>
        <w:ind w:firstLine="708"/>
        <w:jc w:val="both"/>
        <w:rPr>
          <w:rFonts w:ascii="Arial" w:eastAsia="Calibri" w:hAnsi="Arial" w:cs="Arial"/>
          <w:sz w:val="22"/>
        </w:rPr>
      </w:pPr>
      <w:r>
        <w:rPr>
          <w:rFonts w:ascii="Arial" w:eastAsia="Calibri" w:hAnsi="Arial" w:cs="Arial"/>
          <w:sz w:val="22"/>
        </w:rPr>
        <w:t xml:space="preserve">El artículo 8 de los Decretos 440 y 537 del 2020 permite adicionar los contratos sin límite de valor para los bienes, obras o servicios destinados a gestionar y mitigar las situaciones originadas por la pandemia. En esta medida impone a la Administración el deber de justificar la conexidad que existe entre el objeto a adicionar y la situación de emergencia. Por tanto, no es deliberada la adición a los contratos que se realicen en virtud de los decretos mencionados, pues las entidades deben observar los principios de la función administrativa y la contratación estatal y, por otro lado, la naturaleza de los bienes, obras o servicios y su destinación a mitigar los efectos de la pandemia originada por el COVID-19. </w:t>
      </w:r>
    </w:p>
    <w:p w14:paraId="23DE523C" w14:textId="77777777" w:rsidR="00635B00" w:rsidRPr="0029643A" w:rsidRDefault="00635B00">
      <w:pPr>
        <w:spacing w:line="276" w:lineRule="auto"/>
        <w:jc w:val="both"/>
        <w:rPr>
          <w:rFonts w:ascii="Arial" w:eastAsia="Calibri" w:hAnsi="Arial" w:cs="Arial"/>
          <w:sz w:val="22"/>
          <w:lang w:val="es-ES"/>
        </w:rPr>
      </w:pPr>
    </w:p>
    <w:p w14:paraId="7D854840" w14:textId="77777777" w:rsidR="00635B00" w:rsidRPr="0029643A" w:rsidRDefault="00734BEE">
      <w:pPr>
        <w:spacing w:line="276" w:lineRule="auto"/>
        <w:jc w:val="both"/>
        <w:rPr>
          <w:rFonts w:ascii="Arial" w:eastAsia="Calibri" w:hAnsi="Arial" w:cs="Arial"/>
          <w:sz w:val="22"/>
          <w:lang w:val="es-ES"/>
        </w:rPr>
      </w:pPr>
      <w:r w:rsidRPr="0029643A">
        <w:rPr>
          <w:rFonts w:ascii="Arial" w:eastAsia="Calibri" w:hAnsi="Arial" w:cs="Arial"/>
          <w:b/>
          <w:sz w:val="22"/>
          <w:lang w:val="es-ES"/>
        </w:rPr>
        <w:t>Respuesta</w:t>
      </w:r>
    </w:p>
    <w:p w14:paraId="52E56223" w14:textId="77777777" w:rsidR="00635B00" w:rsidRPr="0029643A" w:rsidRDefault="00635B00">
      <w:pPr>
        <w:spacing w:line="276" w:lineRule="auto"/>
        <w:ind w:left="709" w:right="709"/>
        <w:jc w:val="both"/>
        <w:rPr>
          <w:rFonts w:ascii="Arial" w:eastAsia="Calibri" w:hAnsi="Arial" w:cs="Arial"/>
          <w:i/>
          <w:sz w:val="22"/>
          <w:lang w:val="es-ES"/>
        </w:rPr>
      </w:pPr>
    </w:p>
    <w:p w14:paraId="6A6D94A4" w14:textId="77777777" w:rsidR="00635B00" w:rsidRPr="0029643A" w:rsidRDefault="00734BEE">
      <w:pPr>
        <w:tabs>
          <w:tab w:val="left" w:pos="426"/>
        </w:tabs>
        <w:spacing w:line="276" w:lineRule="auto"/>
        <w:ind w:left="709" w:right="758"/>
        <w:jc w:val="both"/>
        <w:rPr>
          <w:rFonts w:ascii="Arial" w:eastAsia="Calibri" w:hAnsi="Arial" w:cs="Arial"/>
          <w:sz w:val="22"/>
          <w:lang w:val="es-ES"/>
        </w:rPr>
      </w:pPr>
      <w:r w:rsidRPr="0029643A">
        <w:rPr>
          <w:rFonts w:ascii="Arial" w:eastAsia="Calibri" w:hAnsi="Arial" w:cs="Arial"/>
          <w:sz w:val="22"/>
          <w:lang w:val="es-ES"/>
        </w:rPr>
        <w:t>«Cuál es el tope prudencial de las adiciones durante la emergencia autorizadas por el Decreto 440 de 2020?</w:t>
      </w:r>
      <w:r w:rsidRPr="0029643A">
        <w:rPr>
          <w:rFonts w:ascii="Arial" w:eastAsia="Calibri" w:hAnsi="Arial" w:cs="Arial"/>
          <w:iCs/>
          <w:sz w:val="22"/>
          <w:lang w:val="es-ES"/>
        </w:rPr>
        <w:t xml:space="preserve">». </w:t>
      </w:r>
    </w:p>
    <w:p w14:paraId="07547A01" w14:textId="77777777" w:rsidR="00635B00" w:rsidRPr="0029643A" w:rsidRDefault="00635B00">
      <w:pPr>
        <w:spacing w:line="276" w:lineRule="auto"/>
        <w:ind w:left="709" w:right="709"/>
        <w:jc w:val="both"/>
        <w:rPr>
          <w:rFonts w:ascii="Arial" w:eastAsia="Calibri" w:hAnsi="Arial" w:cs="Arial"/>
          <w:iCs/>
          <w:sz w:val="22"/>
          <w:lang w:val="es-ES"/>
        </w:rPr>
      </w:pPr>
    </w:p>
    <w:p w14:paraId="5C60EE4B" w14:textId="77777777" w:rsidR="00635B00" w:rsidRPr="0029643A" w:rsidRDefault="00734BEE">
      <w:pPr>
        <w:spacing w:line="276" w:lineRule="auto"/>
        <w:ind w:right="49"/>
        <w:jc w:val="both"/>
        <w:rPr>
          <w:rFonts w:ascii="Arial" w:eastAsia="Calibri" w:hAnsi="Arial" w:cs="Arial"/>
          <w:iCs/>
          <w:sz w:val="22"/>
          <w:lang w:val="es-ES"/>
        </w:rPr>
      </w:pPr>
      <w:r w:rsidRPr="0029643A">
        <w:rPr>
          <w:rFonts w:ascii="Arial" w:eastAsia="Calibri" w:hAnsi="Arial" w:cs="Arial"/>
          <w:iCs/>
          <w:sz w:val="22"/>
        </w:rPr>
        <w:t xml:space="preserve">Para adicionar contratos estatales sin límite de valor, debe establecerse de forma clara la conexidad que existe entre los bienes, obras o servicios con la emergencia presentada por la pandemia del coronavirus –COVID-19–. En lo que respecta al «tope prudencial» para las adiciones, este </w:t>
      </w:r>
      <w:r w:rsidRPr="0029643A">
        <w:rPr>
          <w:rFonts w:ascii="Arial" w:eastAsia="Calibri" w:hAnsi="Arial" w:cs="Arial"/>
          <w:sz w:val="22"/>
          <w:lang w:val="es-ES"/>
        </w:rPr>
        <w:t>deberá sujetarse de forma estricta a criterios de razonabilidad y proporcionalidad que permitan conjurar la crisis, de tal forma que los valores adicionados estén plenamente justificados y obedezcan a un estudio estricto de su necesidad</w:t>
      </w:r>
      <w:r w:rsidRPr="0029643A">
        <w:rPr>
          <w:rFonts w:ascii="Arial" w:eastAsia="Calibri" w:hAnsi="Arial" w:cs="Arial"/>
          <w:iCs/>
          <w:sz w:val="22"/>
        </w:rPr>
        <w:t xml:space="preserve">. </w:t>
      </w:r>
    </w:p>
    <w:p w14:paraId="5043CB0F" w14:textId="77777777" w:rsidR="00635B00" w:rsidRPr="0029643A" w:rsidRDefault="00635B00">
      <w:pPr>
        <w:spacing w:line="276" w:lineRule="auto"/>
        <w:ind w:right="709"/>
        <w:jc w:val="both"/>
        <w:rPr>
          <w:rFonts w:ascii="Arial" w:eastAsia="Calibri" w:hAnsi="Arial" w:cs="Arial"/>
          <w:iCs/>
          <w:sz w:val="22"/>
          <w:lang w:val="es-ES"/>
        </w:rPr>
      </w:pPr>
    </w:p>
    <w:p w14:paraId="5CD6785A" w14:textId="77777777" w:rsidR="00635B00" w:rsidRPr="0029643A" w:rsidRDefault="00734BEE">
      <w:pPr>
        <w:spacing w:line="276" w:lineRule="auto"/>
        <w:ind w:right="49" w:firstLine="709"/>
        <w:jc w:val="both"/>
        <w:rPr>
          <w:rFonts w:ascii="Arial" w:eastAsia="Calibri" w:hAnsi="Arial" w:cs="Arial"/>
          <w:iCs/>
          <w:sz w:val="22"/>
          <w:lang w:val="es-ES"/>
        </w:rPr>
      </w:pPr>
      <w:r w:rsidRPr="0029643A">
        <w:rPr>
          <w:rFonts w:ascii="Arial" w:eastAsia="Calibri" w:hAnsi="Arial" w:cs="Arial"/>
          <w:iCs/>
          <w:sz w:val="22"/>
        </w:rPr>
        <w:t xml:space="preserve">Es oportuno considerar que la adición sin el límite fijado solo podrá realizarse hasta tanto se encuentre vigente la Emergencia Sanitaria declarada por el Ministerio de Salud y </w:t>
      </w:r>
      <w:r w:rsidRPr="0029643A">
        <w:rPr>
          <w:rFonts w:ascii="Arial" w:eastAsia="Calibri" w:hAnsi="Arial" w:cs="Arial"/>
          <w:iCs/>
          <w:sz w:val="22"/>
        </w:rPr>
        <w:lastRenderedPageBreak/>
        <w:t xml:space="preserve">Protección Social, disposición introducida en los Decretos 440 y 537 del 2020. Una vez finalizado el Estado de Emergencia, los contratos suscritos en virtud de este y sobre los cuales no se hubiesen realizado adiciones superiores al 50%, podrán adicionarse conforme el inciso final del parágrafo del artículo 40 de la Ley 80 de 1993. </w:t>
      </w:r>
      <w:r w:rsidRPr="0029643A">
        <w:rPr>
          <w:rFonts w:ascii="Arial" w:eastAsia="Calibri" w:hAnsi="Arial" w:cs="Arial"/>
          <w:iCs/>
          <w:sz w:val="22"/>
          <w:lang w:val="es-ES"/>
        </w:rPr>
        <w:t xml:space="preserve"> </w:t>
      </w:r>
    </w:p>
    <w:p w14:paraId="07459315" w14:textId="77777777" w:rsidR="00635B00" w:rsidRPr="0029643A" w:rsidRDefault="00635B00">
      <w:pPr>
        <w:spacing w:line="276" w:lineRule="auto"/>
        <w:ind w:right="709"/>
        <w:jc w:val="both"/>
        <w:rPr>
          <w:rFonts w:ascii="Arial" w:eastAsia="Calibri" w:hAnsi="Arial" w:cs="Arial"/>
          <w:iCs/>
          <w:sz w:val="22"/>
          <w:lang w:val="es-ES"/>
        </w:rPr>
      </w:pPr>
    </w:p>
    <w:p w14:paraId="22058DED" w14:textId="77777777" w:rsidR="00635B00" w:rsidRPr="0029643A" w:rsidRDefault="00734BEE" w:rsidP="3FE5316A">
      <w:pPr>
        <w:spacing w:before="120" w:after="120" w:line="276" w:lineRule="auto"/>
        <w:jc w:val="both"/>
        <w:rPr>
          <w:rFonts w:ascii="Arial" w:eastAsia="Calibri" w:hAnsi="Arial" w:cs="Arial"/>
          <w:sz w:val="22"/>
          <w:szCs w:val="22"/>
          <w:lang w:val="es-ES"/>
        </w:rPr>
      </w:pPr>
      <w:r w:rsidRPr="3FE5316A">
        <w:rPr>
          <w:rFonts w:ascii="Arial" w:eastAsia="Calibri" w:hAnsi="Arial" w:cs="Arial"/>
          <w:sz w:val="22"/>
          <w:szCs w:val="22"/>
          <w:lang w:val="es-ES"/>
        </w:rPr>
        <w:t>Este concepto tiene el alcance previsto en el artículo 28 del Código de Procedimiento Administrativo y de lo Contencioso Administrativo.</w:t>
      </w:r>
    </w:p>
    <w:p w14:paraId="035AF48C" w14:textId="474FECFE" w:rsidR="3FE5316A" w:rsidRDefault="3FE5316A" w:rsidP="3FE5316A">
      <w:pPr>
        <w:spacing w:before="120" w:after="120" w:line="276" w:lineRule="auto"/>
        <w:jc w:val="both"/>
        <w:rPr>
          <w:rFonts w:ascii="Arial" w:eastAsia="Calibri" w:hAnsi="Arial" w:cs="Arial"/>
          <w:sz w:val="22"/>
          <w:szCs w:val="22"/>
          <w:lang w:val="es-ES"/>
        </w:rPr>
      </w:pPr>
    </w:p>
    <w:p w14:paraId="67628E50" w14:textId="29CD9D1C" w:rsidR="7F5A0F9F" w:rsidRDefault="7F5A0F9F" w:rsidP="3FE5316A">
      <w:pPr>
        <w:rPr>
          <w:rFonts w:ascii="Arial" w:hAnsi="Arial" w:cs="Arial"/>
          <w:sz w:val="22"/>
          <w:szCs w:val="22"/>
          <w:lang w:val="es-ES" w:eastAsia="es-CO"/>
        </w:rPr>
      </w:pPr>
      <w:r w:rsidRPr="3FE5316A">
        <w:rPr>
          <w:rFonts w:ascii="Arial" w:hAnsi="Arial" w:cs="Arial"/>
          <w:sz w:val="22"/>
          <w:szCs w:val="22"/>
          <w:lang w:val="es-ES" w:eastAsia="es-CO"/>
        </w:rPr>
        <w:t>Atentamente,</w:t>
      </w:r>
    </w:p>
    <w:p w14:paraId="144A5D23" w14:textId="6B4D487B" w:rsidR="00635B00" w:rsidRPr="0029643A" w:rsidRDefault="00734BEE" w:rsidP="3FE5316A">
      <w:pPr>
        <w:jc w:val="center"/>
      </w:pPr>
      <w:r w:rsidRPr="0029643A">
        <w:rPr>
          <w:rFonts w:ascii="Arial" w:hAnsi="Arial" w:cs="Arial"/>
          <w:noProof/>
          <w:lang w:val="en-US" w:eastAsia="en-US"/>
        </w:rPr>
        <mc:AlternateContent>
          <mc:Choice Requires="wps">
            <w:drawing>
              <wp:anchor distT="0" distB="0" distL="114300" distR="114300" simplePos="0" relativeHeight="251658240" behindDoc="0" locked="0" layoutInCell="1" allowOverlap="1" wp14:anchorId="1A834803" wp14:editId="07777777">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w16cex="http://schemas.microsoft.com/office/word/2018/wordml/cex" xmlns:w16="http://schemas.microsoft.com/office/word/2018/wordml" xmlns:wpsCustomData="http://www.wps.cn/officeDocument/2013/wpsCustomData" xmlns:wp14="http://schemas.microsoft.com/office/word/2010/wordml" xmlns:a14="http://schemas.microsoft.com/office/drawing/2010/main" xmlns:pic="http://schemas.openxmlformats.org/drawingml/2006/picture" xmlns:a="http://schemas.openxmlformats.org/drawingml/2006/main">
            <w:pict w14:anchorId="23E5596D">
              <v:line id="_x0000_s1026" style="position:absolute;left:0pt;margin-left:119.25pt;margin-top:0.8pt;height:0pt;width:369pt;mso-position-horizontal-relative:page;z-index:251658240;mso-width-relative:page;mso-height-relative:page;" coordsize="21600,21600" o:spid="_x0000_s1026" filled="f" stroked="t" o:spt="20" o:gfxdata="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FcZnV7TAAAA&#10;BwEAAA8AAAAAAAAAAQAgAAAAIgAAAGRycy9kb3ducmV2LnhtbFBLAQIUABQAAAAIAIdO4kCGAmm5&#10;sAEAAFkDAAAOAAAAAAAAAAEAIAAAACIBAABkcnMvZTJvRG9jLnhtbFBLBQYAAAAABgAGAFkBAABE&#10;BQAAAAA=&#10;">
                <v:fill on="f" focussize="0,0"/>
                <v:stroke color="#DBDBDB" joinstyle="round"/>
                <v:imagedata o:title=""/>
                <o:lock v:ext="edit" aspectratio="f"/>
              </v:line>
            </w:pict>
          </mc:Fallback>
        </mc:AlternateContent>
      </w:r>
      <w:r w:rsidR="7F5A0F9F">
        <w:rPr>
          <w:noProof/>
          <w:lang w:val="en-US" w:eastAsia="en-US"/>
        </w:rPr>
        <w:drawing>
          <wp:inline distT="0" distB="0" distL="0" distR="0" wp14:anchorId="2809F017" wp14:editId="22994297">
            <wp:extent cx="2478087" cy="877887"/>
            <wp:effectExtent l="0" t="0" r="0" b="0"/>
            <wp:docPr id="1331745224" name="Imagen 1331745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478087" cy="877887"/>
                    </a:xfrm>
                    <a:prstGeom prst="rect">
                      <a:avLst/>
                    </a:prstGeom>
                  </pic:spPr>
                </pic:pic>
              </a:graphicData>
            </a:graphic>
          </wp:inline>
        </w:drawing>
      </w:r>
    </w:p>
    <w:p w14:paraId="738610EB" w14:textId="77777777" w:rsidR="00635B00" w:rsidRPr="0029643A" w:rsidRDefault="00635B00">
      <w:pPr>
        <w:rPr>
          <w:rFonts w:ascii="Arial" w:hAnsi="Arial" w:cs="Arial"/>
          <w:sz w:val="22"/>
          <w:lang w:val="es-ES" w:eastAsia="es-CO"/>
        </w:rPr>
      </w:pPr>
    </w:p>
    <w:p w14:paraId="637805D2" w14:textId="77777777" w:rsidR="00635B00" w:rsidRPr="0029643A" w:rsidRDefault="00635B00">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D2C88" w:rsidRPr="0029643A" w14:paraId="73578AEC" w14:textId="77777777">
        <w:trPr>
          <w:trHeight w:val="315"/>
        </w:trPr>
        <w:tc>
          <w:tcPr>
            <w:tcW w:w="812" w:type="dxa"/>
            <w:vAlign w:val="center"/>
          </w:tcPr>
          <w:p w14:paraId="37EFBCBB" w14:textId="77777777" w:rsidR="00635B00" w:rsidRPr="0029643A" w:rsidRDefault="00734BEE">
            <w:pPr>
              <w:rPr>
                <w:rFonts w:ascii="Arial" w:hAnsi="Arial" w:cs="Arial"/>
                <w:sz w:val="16"/>
                <w:szCs w:val="16"/>
                <w:lang w:val="es-ES" w:eastAsia="es-ES"/>
              </w:rPr>
            </w:pPr>
            <w:r w:rsidRPr="0029643A">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tcPr>
          <w:p w14:paraId="3FABA904" w14:textId="77777777" w:rsidR="00635B00" w:rsidRPr="0029643A" w:rsidRDefault="00734BEE">
            <w:pPr>
              <w:rPr>
                <w:rFonts w:ascii="Arial" w:hAnsi="Arial" w:cs="Arial"/>
                <w:sz w:val="16"/>
                <w:szCs w:val="16"/>
                <w:lang w:val="es-ES" w:eastAsia="es-ES"/>
              </w:rPr>
            </w:pPr>
            <w:r w:rsidRPr="0029643A">
              <w:rPr>
                <w:rFonts w:ascii="Arial" w:hAnsi="Arial" w:cs="Arial"/>
                <w:sz w:val="16"/>
                <w:szCs w:val="16"/>
                <w:lang w:val="es-ES" w:eastAsia="es-ES"/>
              </w:rPr>
              <w:t xml:space="preserve">Omar Germán Mejía Olmos </w:t>
            </w:r>
          </w:p>
          <w:p w14:paraId="79C6BF81" w14:textId="77777777" w:rsidR="00635B00" w:rsidRPr="0029643A" w:rsidRDefault="00734BEE">
            <w:pPr>
              <w:rPr>
                <w:rFonts w:ascii="Arial" w:hAnsi="Arial" w:cs="Arial"/>
                <w:sz w:val="16"/>
                <w:szCs w:val="16"/>
                <w:lang w:val="es-ES" w:eastAsia="es-ES"/>
              </w:rPr>
            </w:pPr>
            <w:r w:rsidRPr="0029643A">
              <w:rPr>
                <w:rFonts w:ascii="Arial" w:hAnsi="Arial" w:cs="Arial"/>
                <w:sz w:val="16"/>
                <w:szCs w:val="16"/>
                <w:lang w:eastAsia="es-ES"/>
              </w:rPr>
              <w:t>Contratista de la Subdirección de Gestión Contractual</w:t>
            </w:r>
          </w:p>
        </w:tc>
      </w:tr>
      <w:tr w:rsidR="006D2C88" w:rsidRPr="0029643A" w14:paraId="63396EBC" w14:textId="77777777">
        <w:trPr>
          <w:trHeight w:val="330"/>
        </w:trPr>
        <w:tc>
          <w:tcPr>
            <w:tcW w:w="812" w:type="dxa"/>
            <w:vAlign w:val="center"/>
          </w:tcPr>
          <w:p w14:paraId="479AFFF9" w14:textId="77777777" w:rsidR="00635B00" w:rsidRPr="0029643A" w:rsidRDefault="00734BEE">
            <w:pPr>
              <w:rPr>
                <w:rFonts w:ascii="Arial" w:hAnsi="Arial" w:cs="Arial"/>
                <w:sz w:val="16"/>
                <w:szCs w:val="16"/>
                <w:lang w:val="es-ES" w:eastAsia="es-ES"/>
              </w:rPr>
            </w:pPr>
            <w:r w:rsidRPr="0029643A">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045A31D0" w14:textId="77777777" w:rsidR="00635B00" w:rsidRPr="0029643A" w:rsidRDefault="00734BEE">
            <w:pPr>
              <w:rPr>
                <w:rFonts w:ascii="Arial" w:hAnsi="Arial" w:cs="Arial"/>
                <w:sz w:val="16"/>
                <w:szCs w:val="16"/>
                <w:lang w:val="es-ES" w:eastAsia="es-ES"/>
              </w:rPr>
            </w:pPr>
            <w:r w:rsidRPr="0029643A">
              <w:rPr>
                <w:rFonts w:ascii="Arial" w:hAnsi="Arial" w:cs="Arial"/>
                <w:sz w:val="16"/>
                <w:szCs w:val="16"/>
                <w:lang w:val="es-ES" w:eastAsia="es-ES"/>
              </w:rPr>
              <w:t xml:space="preserve">Juan David Montoya Penagos </w:t>
            </w:r>
          </w:p>
          <w:p w14:paraId="429DCFB2" w14:textId="77777777" w:rsidR="00635B00" w:rsidRPr="0029643A" w:rsidRDefault="00734BEE">
            <w:pPr>
              <w:rPr>
                <w:rFonts w:ascii="Arial" w:hAnsi="Arial" w:cs="Arial"/>
                <w:sz w:val="16"/>
                <w:szCs w:val="16"/>
                <w:lang w:val="es-ES" w:eastAsia="es-ES"/>
              </w:rPr>
            </w:pPr>
            <w:r w:rsidRPr="0029643A">
              <w:rPr>
                <w:rFonts w:ascii="Arial" w:hAnsi="Arial" w:cs="Arial"/>
                <w:sz w:val="16"/>
                <w:szCs w:val="16"/>
                <w:lang w:val="es-ES" w:eastAsia="es-ES"/>
              </w:rPr>
              <w:t>Contratista de la Subdirección de Gestión Contractual</w:t>
            </w:r>
          </w:p>
        </w:tc>
      </w:tr>
      <w:tr w:rsidR="00635B00" w:rsidRPr="0029643A" w14:paraId="67C4E959" w14:textId="77777777">
        <w:trPr>
          <w:trHeight w:val="300"/>
        </w:trPr>
        <w:tc>
          <w:tcPr>
            <w:tcW w:w="812" w:type="dxa"/>
            <w:vAlign w:val="center"/>
          </w:tcPr>
          <w:p w14:paraId="68943B0B" w14:textId="77777777" w:rsidR="00635B00" w:rsidRPr="0029643A" w:rsidRDefault="00734BEE">
            <w:pPr>
              <w:rPr>
                <w:rFonts w:ascii="Arial" w:hAnsi="Arial" w:cs="Arial"/>
                <w:sz w:val="16"/>
                <w:szCs w:val="16"/>
                <w:lang w:val="es-ES" w:eastAsia="es-ES"/>
              </w:rPr>
            </w:pPr>
            <w:r w:rsidRPr="0029643A">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379FA026" w14:textId="77777777" w:rsidR="00635B00" w:rsidRPr="0029643A" w:rsidRDefault="00734BEE">
            <w:pPr>
              <w:rPr>
                <w:rFonts w:ascii="Arial" w:hAnsi="Arial" w:cs="Arial"/>
                <w:sz w:val="16"/>
                <w:szCs w:val="16"/>
                <w:lang w:val="es-ES" w:eastAsia="es-ES"/>
              </w:rPr>
            </w:pPr>
            <w:r w:rsidRPr="0029643A">
              <w:rPr>
                <w:rFonts w:ascii="Arial" w:hAnsi="Arial" w:cs="Arial"/>
                <w:sz w:val="16"/>
                <w:szCs w:val="16"/>
                <w:lang w:val="es-ES" w:eastAsia="es-ES"/>
              </w:rPr>
              <w:t>Fabián Gonzalo Marín Cortés</w:t>
            </w:r>
          </w:p>
          <w:p w14:paraId="1D14E497" w14:textId="77777777" w:rsidR="00635B00" w:rsidRPr="0029643A" w:rsidRDefault="00734BEE">
            <w:pPr>
              <w:rPr>
                <w:rFonts w:ascii="Arial" w:hAnsi="Arial" w:cs="Arial"/>
                <w:sz w:val="16"/>
                <w:szCs w:val="16"/>
                <w:lang w:val="es-ES" w:eastAsia="es-ES"/>
              </w:rPr>
            </w:pPr>
            <w:r w:rsidRPr="0029643A">
              <w:rPr>
                <w:rFonts w:ascii="Arial" w:hAnsi="Arial" w:cs="Arial"/>
                <w:sz w:val="16"/>
                <w:szCs w:val="16"/>
                <w:lang w:val="es-ES" w:eastAsia="es-ES"/>
              </w:rPr>
              <w:t>Subdirector de Gestión Contractual</w:t>
            </w:r>
          </w:p>
        </w:tc>
      </w:tr>
    </w:tbl>
    <w:p w14:paraId="463F29E8" w14:textId="77777777" w:rsidR="00635B00" w:rsidRPr="0029643A" w:rsidRDefault="00635B00">
      <w:pPr>
        <w:rPr>
          <w:rFonts w:ascii="Arial" w:hAnsi="Arial" w:cs="Arial"/>
          <w:sz w:val="16"/>
          <w:szCs w:val="16"/>
          <w:lang w:val="es-ES" w:eastAsia="es-ES"/>
        </w:rPr>
      </w:pPr>
    </w:p>
    <w:sectPr w:rsidR="00635B00" w:rsidRPr="0029643A">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552225" w14:textId="77777777" w:rsidR="00B62467" w:rsidRDefault="00B62467">
      <w:r>
        <w:separator/>
      </w:r>
    </w:p>
  </w:endnote>
  <w:endnote w:type="continuationSeparator" w:id="0">
    <w:p w14:paraId="0A69105D" w14:textId="77777777" w:rsidR="00B62467" w:rsidRDefault="00B62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2F1B3" w14:textId="77777777" w:rsidR="00635B00" w:rsidRDefault="00635B00">
    <w:pPr>
      <w:pStyle w:val="Sinespaciado"/>
      <w:jc w:val="right"/>
      <w:rPr>
        <w:rFonts w:ascii="Arial" w:hAnsi="Arial" w:cs="Arial"/>
        <w:sz w:val="18"/>
        <w:szCs w:val="18"/>
      </w:rPr>
    </w:pPr>
  </w:p>
  <w:p w14:paraId="66DBAF8C" w14:textId="576845CA" w:rsidR="00635B00" w:rsidRDefault="00734BEE">
    <w:pPr>
      <w:pStyle w:val="Piedepgina"/>
      <w:jc w:val="right"/>
      <w:rPr>
        <w:rFonts w:ascii="Arial" w:hAnsi="Arial" w:cs="Arial"/>
        <w:color w:val="7F7F7F" w:themeColor="text1" w:themeTint="80"/>
        <w:sz w:val="16"/>
        <w:szCs w:val="16"/>
      </w:rPr>
    </w:pPr>
    <w:r>
      <w:rPr>
        <w:rFonts w:ascii="Arial" w:hAnsi="Arial" w:cs="Arial"/>
        <w:bCs/>
        <w:color w:val="7F7F7F" w:themeColor="text1" w:themeTint="80"/>
        <w:sz w:val="16"/>
        <w:szCs w:val="16"/>
      </w:rPr>
      <w:t xml:space="preserve">Página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PAGE  \* Arabic  \* MERGEFORMAT</w:instrText>
    </w:r>
    <w:r>
      <w:rPr>
        <w:rFonts w:ascii="Arial" w:hAnsi="Arial" w:cs="Arial"/>
        <w:b/>
        <w:bCs/>
        <w:color w:val="7F7F7F" w:themeColor="text1" w:themeTint="80"/>
        <w:sz w:val="16"/>
        <w:szCs w:val="16"/>
      </w:rPr>
      <w:fldChar w:fldCharType="separate"/>
    </w:r>
    <w:r w:rsidR="00B42538">
      <w:rPr>
        <w:rFonts w:ascii="Arial" w:hAnsi="Arial" w:cs="Arial"/>
        <w:b/>
        <w:bCs/>
        <w:noProof/>
        <w:color w:val="7F7F7F" w:themeColor="text1" w:themeTint="80"/>
        <w:sz w:val="16"/>
        <w:szCs w:val="16"/>
      </w:rPr>
      <w:t>2</w:t>
    </w:r>
    <w:r>
      <w:rPr>
        <w:rFonts w:ascii="Arial" w:hAnsi="Arial" w:cs="Arial"/>
        <w:b/>
        <w:bCs/>
        <w:color w:val="7F7F7F" w:themeColor="text1" w:themeTint="80"/>
        <w:sz w:val="16"/>
        <w:szCs w:val="16"/>
      </w:rPr>
      <w:fldChar w:fldCharType="end"/>
    </w:r>
    <w:r>
      <w:rPr>
        <w:rFonts w:ascii="Arial" w:hAnsi="Arial" w:cs="Arial"/>
        <w:color w:val="7F7F7F" w:themeColor="text1" w:themeTint="80"/>
        <w:sz w:val="16"/>
        <w:szCs w:val="16"/>
      </w:rPr>
      <w:t xml:space="preserve"> de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NUMPAGES  \* Arabic  \* MERGEFORMAT</w:instrText>
    </w:r>
    <w:r>
      <w:rPr>
        <w:rFonts w:ascii="Arial" w:hAnsi="Arial" w:cs="Arial"/>
        <w:b/>
        <w:bCs/>
        <w:color w:val="7F7F7F" w:themeColor="text1" w:themeTint="80"/>
        <w:sz w:val="16"/>
        <w:szCs w:val="16"/>
      </w:rPr>
      <w:fldChar w:fldCharType="separate"/>
    </w:r>
    <w:r w:rsidR="00B42538">
      <w:rPr>
        <w:rFonts w:ascii="Arial" w:hAnsi="Arial" w:cs="Arial"/>
        <w:b/>
        <w:bCs/>
        <w:noProof/>
        <w:color w:val="7F7F7F" w:themeColor="text1" w:themeTint="80"/>
        <w:sz w:val="16"/>
        <w:szCs w:val="16"/>
      </w:rPr>
      <w:t>11</w:t>
    </w:r>
    <w:r>
      <w:rPr>
        <w:rFonts w:ascii="Arial" w:hAnsi="Arial" w:cs="Arial"/>
        <w:b/>
        <w:bCs/>
        <w:color w:val="7F7F7F" w:themeColor="text1" w:themeTint="80"/>
        <w:sz w:val="16"/>
        <w:szCs w:val="16"/>
      </w:rPr>
      <w:fldChar w:fldCharType="end"/>
    </w:r>
  </w:p>
  <w:p w14:paraId="02F2C34E" w14:textId="77777777" w:rsidR="00635B00" w:rsidRDefault="01E1901C">
    <w:pPr>
      <w:pStyle w:val="Piedepgina"/>
      <w:jc w:val="center"/>
      <w:rPr>
        <w:lang w:val="es-ES"/>
      </w:rPr>
    </w:pPr>
    <w:r>
      <w:rPr>
        <w:noProof/>
        <w:lang w:val="en-US"/>
      </w:rPr>
      <w:drawing>
        <wp:inline distT="0" distB="0" distL="0" distR="0" wp14:anchorId="753E6DAD" wp14:editId="637EFA80">
          <wp:extent cx="3699510" cy="518795"/>
          <wp:effectExtent l="0" t="0" r="0" b="0"/>
          <wp:docPr id="131730269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699510" cy="518795"/>
                  </a:xfrm>
                  <a:prstGeom prst="rect">
                    <a:avLst/>
                  </a:prstGeom>
                </pic:spPr>
              </pic:pic>
            </a:graphicData>
          </a:graphic>
        </wp:inline>
      </w:drawing>
    </w:r>
  </w:p>
  <w:p w14:paraId="680A4E5D" w14:textId="77777777" w:rsidR="00635B00" w:rsidRDefault="00635B00">
    <w:pPr>
      <w:pStyle w:val="Piedepgina"/>
      <w:jc w:val="center"/>
      <w:rPr>
        <w:lang w:val="es-ES"/>
      </w:rPr>
    </w:pPr>
  </w:p>
  <w:p w14:paraId="19219836" w14:textId="77777777" w:rsidR="00635B00" w:rsidRDefault="00635B00">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01426C" w14:textId="77777777" w:rsidR="00B62467" w:rsidRDefault="00B62467">
      <w:r>
        <w:separator/>
      </w:r>
    </w:p>
  </w:footnote>
  <w:footnote w:type="continuationSeparator" w:id="0">
    <w:p w14:paraId="1BBA2C50" w14:textId="77777777" w:rsidR="00B62467" w:rsidRDefault="00B62467">
      <w:r>
        <w:continuationSeparator/>
      </w:r>
    </w:p>
  </w:footnote>
  <w:footnote w:id="1">
    <w:p w14:paraId="2DB56F69" w14:textId="77777777" w:rsidR="006D2C88" w:rsidRDefault="006D2C88" w:rsidP="006D2C88">
      <w:pPr>
        <w:pStyle w:val="Textonotapie"/>
        <w:ind w:firstLine="708"/>
        <w:jc w:val="both"/>
        <w:rPr>
          <w:rFonts w:ascii="Arial" w:hAnsi="Arial" w:cs="Arial"/>
          <w:color w:val="404040" w:themeColor="text1" w:themeTint="BF"/>
          <w:sz w:val="19"/>
          <w:szCs w:val="19"/>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2BA226A1" w14:textId="77777777" w:rsidR="006D2C88" w:rsidRDefault="006D2C88" w:rsidP="006D2C88">
      <w:pPr>
        <w:pStyle w:val="Textonotapie"/>
        <w:ind w:firstLine="708"/>
        <w:jc w:val="both"/>
        <w:rPr>
          <w:rFonts w:ascii="Arial" w:hAnsi="Arial" w:cs="Arial"/>
          <w:color w:val="404040" w:themeColor="text1" w:themeTint="BF"/>
          <w:sz w:val="19"/>
          <w:szCs w:val="19"/>
          <w:lang w:val="es-CO"/>
        </w:rPr>
      </w:pPr>
    </w:p>
  </w:footnote>
  <w:footnote w:id="2">
    <w:p w14:paraId="0D05F282" w14:textId="77777777" w:rsidR="006D2C88" w:rsidRDefault="006D2C88" w:rsidP="006D2C88">
      <w:pPr>
        <w:pStyle w:val="Textonotapie"/>
        <w:ind w:firstLine="708"/>
        <w:jc w:val="both"/>
        <w:rPr>
          <w:rFonts w:ascii="Arial" w:hAnsi="Arial" w:cs="Arial"/>
          <w:color w:val="404040" w:themeColor="text1" w:themeTint="BF"/>
          <w:sz w:val="19"/>
          <w:szCs w:val="19"/>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Consejo de Estado. Sala de Consulta y Servicio Civil. Concepto del 18 de julio de 2002. Exp. 1.439 C.P. Susana Montes Echeverri.</w:t>
      </w:r>
    </w:p>
  </w:footnote>
  <w:footnote w:id="3">
    <w:p w14:paraId="61A1864F" w14:textId="77777777" w:rsidR="006D2C88" w:rsidRDefault="006D2C88" w:rsidP="006D2C88">
      <w:pPr>
        <w:pStyle w:val="Textonotapie"/>
        <w:ind w:firstLine="708"/>
        <w:jc w:val="both"/>
        <w:rPr>
          <w:rFonts w:ascii="Arial" w:hAnsi="Arial" w:cs="Arial"/>
          <w:color w:val="404040" w:themeColor="text1" w:themeTint="BF"/>
          <w:sz w:val="19"/>
          <w:szCs w:val="19"/>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Ibíd.</w:t>
      </w:r>
    </w:p>
    <w:p w14:paraId="17AD93B2" w14:textId="77777777" w:rsidR="006D2C88" w:rsidRDefault="006D2C88" w:rsidP="006D2C88">
      <w:pPr>
        <w:pStyle w:val="Textonotapie"/>
        <w:ind w:firstLine="708"/>
        <w:jc w:val="both"/>
        <w:rPr>
          <w:rFonts w:ascii="Arial" w:hAnsi="Arial" w:cs="Arial"/>
          <w:color w:val="404040" w:themeColor="text1" w:themeTint="BF"/>
          <w:sz w:val="19"/>
          <w:szCs w:val="19"/>
          <w:lang w:val="es-CO"/>
        </w:rPr>
      </w:pPr>
    </w:p>
  </w:footnote>
  <w:footnote w:id="4">
    <w:p w14:paraId="6BE30947" w14:textId="77777777" w:rsidR="006D2C88" w:rsidRDefault="006D2C88" w:rsidP="006D2C88">
      <w:pPr>
        <w:pStyle w:val="Textonotapie"/>
        <w:ind w:firstLine="708"/>
        <w:jc w:val="both"/>
        <w:rPr>
          <w:rFonts w:ascii="Arial" w:hAnsi="Arial" w:cs="Arial"/>
          <w:color w:val="404040" w:themeColor="text1" w:themeTint="BF"/>
          <w:sz w:val="19"/>
          <w:szCs w:val="19"/>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DÁVILA VINUEZA, Luis Guillermo. Régimen jurídico de la contratación estatal. Tercera edición, Bogotá: Legis, 2016, p. 635 y 636.</w:t>
      </w:r>
    </w:p>
    <w:p w14:paraId="0DE4B5B7" w14:textId="77777777" w:rsidR="006D2C88" w:rsidRDefault="006D2C88" w:rsidP="006D2C88">
      <w:pPr>
        <w:pStyle w:val="Textonotapie"/>
        <w:ind w:firstLine="708"/>
        <w:jc w:val="both"/>
        <w:rPr>
          <w:rFonts w:ascii="Arial" w:hAnsi="Arial" w:cs="Arial"/>
          <w:color w:val="404040" w:themeColor="text1" w:themeTint="BF"/>
          <w:sz w:val="19"/>
          <w:szCs w:val="19"/>
        </w:rPr>
      </w:pPr>
    </w:p>
  </w:footnote>
  <w:footnote w:id="5">
    <w:p w14:paraId="4F2F2243" w14:textId="77777777" w:rsidR="006D2C88" w:rsidRDefault="006D2C88" w:rsidP="006D2C88">
      <w:pPr>
        <w:pStyle w:val="Textonotapie"/>
        <w:ind w:firstLine="708"/>
        <w:jc w:val="both"/>
        <w:rPr>
          <w:rFonts w:ascii="Arial" w:hAnsi="Arial" w:cs="Arial"/>
          <w:color w:val="404040" w:themeColor="text1" w:themeTint="BF"/>
          <w:sz w:val="19"/>
          <w:szCs w:val="19"/>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Ibíd. p. 592</w:t>
      </w:r>
    </w:p>
    <w:p w14:paraId="66204FF1" w14:textId="77777777" w:rsidR="006D2C88" w:rsidRDefault="006D2C88" w:rsidP="006D2C88">
      <w:pPr>
        <w:pStyle w:val="Textonotapie"/>
        <w:ind w:firstLine="708"/>
        <w:jc w:val="both"/>
        <w:rPr>
          <w:rFonts w:ascii="Arial" w:hAnsi="Arial" w:cs="Arial"/>
          <w:color w:val="404040" w:themeColor="text1" w:themeTint="BF"/>
          <w:sz w:val="19"/>
          <w:szCs w:val="19"/>
        </w:rPr>
      </w:pPr>
    </w:p>
  </w:footnote>
  <w:footnote w:id="6">
    <w:p w14:paraId="76D99803" w14:textId="77777777" w:rsidR="006D2C88" w:rsidRDefault="006D2C88" w:rsidP="006D2C88">
      <w:pPr>
        <w:pStyle w:val="Textonotapie"/>
        <w:ind w:firstLine="708"/>
        <w:jc w:val="both"/>
        <w:rPr>
          <w:rFonts w:ascii="Arial" w:hAnsi="Arial" w:cs="Arial"/>
          <w:color w:val="404040" w:themeColor="text1" w:themeTint="BF"/>
          <w:sz w:val="19"/>
          <w:szCs w:val="19"/>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Cfr. Consejo de Estado. Sección Tercera. Sentencia del 22 de abril de 2004. Exp. 22.178 y en la Sentencia de la misma Sección del 15 de julio de 2004. Exp. AP-1164-02.</w:t>
      </w:r>
    </w:p>
    <w:p w14:paraId="2DBF0D7D" w14:textId="77777777" w:rsidR="006D2C88" w:rsidRDefault="006D2C88" w:rsidP="006D2C88">
      <w:pPr>
        <w:pStyle w:val="Textonotapie"/>
        <w:ind w:firstLine="708"/>
        <w:jc w:val="both"/>
        <w:rPr>
          <w:rFonts w:ascii="Arial" w:hAnsi="Arial" w:cs="Arial"/>
          <w:color w:val="404040" w:themeColor="text1" w:themeTint="BF"/>
          <w:sz w:val="19"/>
          <w:szCs w:val="19"/>
          <w:lang w:val="es-CO"/>
        </w:rPr>
      </w:pPr>
    </w:p>
  </w:footnote>
  <w:footnote w:id="7">
    <w:p w14:paraId="091F2087" w14:textId="77777777" w:rsidR="006D2C88" w:rsidRDefault="006D2C88" w:rsidP="006D2C88">
      <w:pPr>
        <w:pStyle w:val="Textonotapie"/>
        <w:ind w:firstLine="708"/>
        <w:jc w:val="both"/>
        <w:rPr>
          <w:rFonts w:ascii="Arial" w:hAnsi="Arial" w:cs="Arial"/>
          <w:color w:val="404040" w:themeColor="text1" w:themeTint="BF"/>
          <w:sz w:val="19"/>
          <w:szCs w:val="19"/>
          <w:lang w:val="es-CO"/>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MARÍN CORTÉS. Fabián G. El precio. Serie: Las Cláusulas del Contrato Estatal. Medellín: Centro de Estudios de Derecho Administrativo ― CEDA y Librería Jurídica Sánchez, 2012. p. 220 y 221.</w:t>
      </w:r>
    </w:p>
  </w:footnote>
  <w:footnote w:id="8">
    <w:p w14:paraId="35BC8082" w14:textId="77777777" w:rsidR="006D2C88" w:rsidRDefault="006D2C88" w:rsidP="006D2C88">
      <w:pPr>
        <w:pStyle w:val="Textonotapie"/>
        <w:ind w:firstLine="708"/>
        <w:jc w:val="both"/>
        <w:rPr>
          <w:rFonts w:ascii="Arial" w:hAnsi="Arial" w:cs="Arial"/>
          <w:color w:val="404040" w:themeColor="text1" w:themeTint="BF"/>
          <w:sz w:val="19"/>
          <w:szCs w:val="19"/>
          <w:lang w:val="es-CO"/>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Consejo de Estado. Sección Tercera. Sentencia del 14 de abril de 2010. Exp. 36.054. M.P.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544E8" w14:textId="77777777" w:rsidR="00635B00" w:rsidRDefault="00734BEE">
    <w:pPr>
      <w:pStyle w:val="Encabezado"/>
    </w:pPr>
    <w:r>
      <w:rPr>
        <w:noProof/>
        <w:lang w:val="en-US"/>
      </w:rPr>
      <w:drawing>
        <wp:anchor distT="0" distB="0" distL="114300" distR="114300" simplePos="0" relativeHeight="251661312" behindDoc="1" locked="0" layoutInCell="1" allowOverlap="1" wp14:anchorId="48193470" wp14:editId="07777777">
          <wp:simplePos x="0" y="0"/>
          <wp:positionH relativeFrom="column">
            <wp:posOffset>4382135</wp:posOffset>
          </wp:positionH>
          <wp:positionV relativeFrom="paragraph">
            <wp:posOffset>482600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57300" cy="516255"/>
                  </a:xfrm>
                  <a:prstGeom prst="rect">
                    <a:avLst/>
                  </a:prstGeom>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01C06310"/>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162"/>
    <w:rsid w:val="0000630B"/>
    <w:rsid w:val="000077FB"/>
    <w:rsid w:val="00013D80"/>
    <w:rsid w:val="00030D26"/>
    <w:rsid w:val="0003627B"/>
    <w:rsid w:val="0006474E"/>
    <w:rsid w:val="00084B97"/>
    <w:rsid w:val="000942EB"/>
    <w:rsid w:val="00097F4D"/>
    <w:rsid w:val="000A4EC7"/>
    <w:rsid w:val="000B103F"/>
    <w:rsid w:val="000B2058"/>
    <w:rsid w:val="000B4600"/>
    <w:rsid w:val="000F14E8"/>
    <w:rsid w:val="00103915"/>
    <w:rsid w:val="001059ED"/>
    <w:rsid w:val="001220C9"/>
    <w:rsid w:val="00122B23"/>
    <w:rsid w:val="00137FFA"/>
    <w:rsid w:val="0014589C"/>
    <w:rsid w:val="001474CA"/>
    <w:rsid w:val="00156940"/>
    <w:rsid w:val="00187DBB"/>
    <w:rsid w:val="001B0444"/>
    <w:rsid w:val="001C333B"/>
    <w:rsid w:val="001D5927"/>
    <w:rsid w:val="0020632A"/>
    <w:rsid w:val="002110EB"/>
    <w:rsid w:val="00211338"/>
    <w:rsid w:val="0022607D"/>
    <w:rsid w:val="00227463"/>
    <w:rsid w:val="00234B84"/>
    <w:rsid w:val="00243646"/>
    <w:rsid w:val="00292785"/>
    <w:rsid w:val="00295053"/>
    <w:rsid w:val="0029643A"/>
    <w:rsid w:val="002A5DA5"/>
    <w:rsid w:val="002C4C0C"/>
    <w:rsid w:val="002E557C"/>
    <w:rsid w:val="003033BA"/>
    <w:rsid w:val="00304E86"/>
    <w:rsid w:val="003214B3"/>
    <w:rsid w:val="00322937"/>
    <w:rsid w:val="0033415B"/>
    <w:rsid w:val="0034177C"/>
    <w:rsid w:val="0034680A"/>
    <w:rsid w:val="00353DD5"/>
    <w:rsid w:val="00354C49"/>
    <w:rsid w:val="00357B36"/>
    <w:rsid w:val="003616CD"/>
    <w:rsid w:val="003837EA"/>
    <w:rsid w:val="00386456"/>
    <w:rsid w:val="00394831"/>
    <w:rsid w:val="003A0878"/>
    <w:rsid w:val="003A581E"/>
    <w:rsid w:val="00417341"/>
    <w:rsid w:val="00423F9F"/>
    <w:rsid w:val="004422D6"/>
    <w:rsid w:val="00444D0E"/>
    <w:rsid w:val="00446B03"/>
    <w:rsid w:val="0049241A"/>
    <w:rsid w:val="004950B7"/>
    <w:rsid w:val="004A0C3D"/>
    <w:rsid w:val="004A34D2"/>
    <w:rsid w:val="004A7E15"/>
    <w:rsid w:val="004D5391"/>
    <w:rsid w:val="004F3CF1"/>
    <w:rsid w:val="00500BB0"/>
    <w:rsid w:val="0051074C"/>
    <w:rsid w:val="00513AF2"/>
    <w:rsid w:val="0054413A"/>
    <w:rsid w:val="005564CA"/>
    <w:rsid w:val="005574BD"/>
    <w:rsid w:val="0056182B"/>
    <w:rsid w:val="005756AA"/>
    <w:rsid w:val="005A7A1B"/>
    <w:rsid w:val="005C5D69"/>
    <w:rsid w:val="005D51FA"/>
    <w:rsid w:val="005D791B"/>
    <w:rsid w:val="005E7B31"/>
    <w:rsid w:val="00603C4E"/>
    <w:rsid w:val="00614817"/>
    <w:rsid w:val="00620678"/>
    <w:rsid w:val="00633DBF"/>
    <w:rsid w:val="00635B00"/>
    <w:rsid w:val="00655371"/>
    <w:rsid w:val="006724D1"/>
    <w:rsid w:val="00674867"/>
    <w:rsid w:val="00697665"/>
    <w:rsid w:val="006A63E5"/>
    <w:rsid w:val="006A7CB5"/>
    <w:rsid w:val="006A7FD0"/>
    <w:rsid w:val="006D15BB"/>
    <w:rsid w:val="006D2C88"/>
    <w:rsid w:val="006D64F0"/>
    <w:rsid w:val="006D7687"/>
    <w:rsid w:val="006E0572"/>
    <w:rsid w:val="006F02AA"/>
    <w:rsid w:val="00705631"/>
    <w:rsid w:val="00715EAA"/>
    <w:rsid w:val="00734BEE"/>
    <w:rsid w:val="00742DD2"/>
    <w:rsid w:val="00746E08"/>
    <w:rsid w:val="00747C96"/>
    <w:rsid w:val="0075094E"/>
    <w:rsid w:val="007522E8"/>
    <w:rsid w:val="0075647A"/>
    <w:rsid w:val="00756B37"/>
    <w:rsid w:val="007634AD"/>
    <w:rsid w:val="007748E5"/>
    <w:rsid w:val="0078122E"/>
    <w:rsid w:val="00795647"/>
    <w:rsid w:val="007B0854"/>
    <w:rsid w:val="007B3E94"/>
    <w:rsid w:val="007C4F7C"/>
    <w:rsid w:val="007C5A99"/>
    <w:rsid w:val="007F6B46"/>
    <w:rsid w:val="007F72CB"/>
    <w:rsid w:val="00812052"/>
    <w:rsid w:val="0081674C"/>
    <w:rsid w:val="008217B7"/>
    <w:rsid w:val="0083119B"/>
    <w:rsid w:val="00836EAB"/>
    <w:rsid w:val="00845A8C"/>
    <w:rsid w:val="0085092D"/>
    <w:rsid w:val="00850F79"/>
    <w:rsid w:val="00853C4C"/>
    <w:rsid w:val="00884405"/>
    <w:rsid w:val="008976FE"/>
    <w:rsid w:val="0089774F"/>
    <w:rsid w:val="008E1C15"/>
    <w:rsid w:val="008E56E0"/>
    <w:rsid w:val="008E59AE"/>
    <w:rsid w:val="008F3825"/>
    <w:rsid w:val="008F43BD"/>
    <w:rsid w:val="008F538E"/>
    <w:rsid w:val="009047C5"/>
    <w:rsid w:val="0095385A"/>
    <w:rsid w:val="009773A9"/>
    <w:rsid w:val="009822FB"/>
    <w:rsid w:val="00991F9E"/>
    <w:rsid w:val="009A65E4"/>
    <w:rsid w:val="009F4B5F"/>
    <w:rsid w:val="009F59C2"/>
    <w:rsid w:val="009F74DA"/>
    <w:rsid w:val="00A11EF5"/>
    <w:rsid w:val="00A24560"/>
    <w:rsid w:val="00A34538"/>
    <w:rsid w:val="00A37FB6"/>
    <w:rsid w:val="00AA08E7"/>
    <w:rsid w:val="00AA3B3D"/>
    <w:rsid w:val="00AA442B"/>
    <w:rsid w:val="00AA669D"/>
    <w:rsid w:val="00AC062F"/>
    <w:rsid w:val="00AD70DF"/>
    <w:rsid w:val="00B13EC0"/>
    <w:rsid w:val="00B22E22"/>
    <w:rsid w:val="00B42538"/>
    <w:rsid w:val="00B46463"/>
    <w:rsid w:val="00B525CB"/>
    <w:rsid w:val="00B61E42"/>
    <w:rsid w:val="00B62467"/>
    <w:rsid w:val="00B63872"/>
    <w:rsid w:val="00B63CB2"/>
    <w:rsid w:val="00B64EDB"/>
    <w:rsid w:val="00B70E2A"/>
    <w:rsid w:val="00B7315F"/>
    <w:rsid w:val="00B91B8E"/>
    <w:rsid w:val="00BA48FC"/>
    <w:rsid w:val="00BC2704"/>
    <w:rsid w:val="00BD78FE"/>
    <w:rsid w:val="00BF2C89"/>
    <w:rsid w:val="00C37092"/>
    <w:rsid w:val="00CC00CD"/>
    <w:rsid w:val="00CF21B5"/>
    <w:rsid w:val="00CF604B"/>
    <w:rsid w:val="00D01760"/>
    <w:rsid w:val="00D07FA3"/>
    <w:rsid w:val="00D16CBB"/>
    <w:rsid w:val="00D16E39"/>
    <w:rsid w:val="00D21711"/>
    <w:rsid w:val="00D223B6"/>
    <w:rsid w:val="00D60327"/>
    <w:rsid w:val="00D72E9D"/>
    <w:rsid w:val="00D82CE5"/>
    <w:rsid w:val="00DA5AB1"/>
    <w:rsid w:val="00DA63E1"/>
    <w:rsid w:val="00DB13AF"/>
    <w:rsid w:val="00DB1608"/>
    <w:rsid w:val="00DC4ACC"/>
    <w:rsid w:val="00DC62E5"/>
    <w:rsid w:val="00DD735D"/>
    <w:rsid w:val="00DE3119"/>
    <w:rsid w:val="00DF236B"/>
    <w:rsid w:val="00E13AB8"/>
    <w:rsid w:val="00E25CB3"/>
    <w:rsid w:val="00E33B62"/>
    <w:rsid w:val="00E4143A"/>
    <w:rsid w:val="00E469BB"/>
    <w:rsid w:val="00E47AC1"/>
    <w:rsid w:val="00E65326"/>
    <w:rsid w:val="00E715E9"/>
    <w:rsid w:val="00EB0F23"/>
    <w:rsid w:val="00ED27B4"/>
    <w:rsid w:val="00EE59B5"/>
    <w:rsid w:val="00EE5B77"/>
    <w:rsid w:val="00F45943"/>
    <w:rsid w:val="00F84899"/>
    <w:rsid w:val="00F859F0"/>
    <w:rsid w:val="00FA1BC5"/>
    <w:rsid w:val="00FE141E"/>
    <w:rsid w:val="00FE42ED"/>
    <w:rsid w:val="01E1901C"/>
    <w:rsid w:val="2C1712B2"/>
    <w:rsid w:val="3FE5316A"/>
    <w:rsid w:val="534E32B5"/>
    <w:rsid w:val="55F5891E"/>
    <w:rsid w:val="61130E9D"/>
    <w:rsid w:val="7F5A0F9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48DB6615"/>
  <w15:docId w15:val="{D7454893-DD56-7246-95C0-EE92DE3C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qFormat/>
    <w:rPr>
      <w:rFonts w:asciiTheme="minorHAnsi" w:eastAsiaTheme="minorHAnsi" w:hAnsiTheme="minorHAnsi" w:cstheme="minorBidi"/>
      <w:sz w:val="20"/>
      <w:szCs w:val="20"/>
      <w:lang w:val="es-MX" w:eastAsia="en-U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rPr>
      <w:rFonts w:asciiTheme="minorHAnsi" w:eastAsiaTheme="minorHAnsi" w:hAnsiTheme="minorHAnsi" w:cstheme="minorBidi"/>
      <w:sz w:val="20"/>
      <w:szCs w:val="20"/>
      <w:lang w:val="es-MX" w:eastAsia="en-US"/>
    </w:rPr>
  </w:style>
  <w:style w:type="paragraph" w:styleId="Textodeglobo">
    <w:name w:val="Balloon Text"/>
    <w:basedOn w:val="Normal"/>
    <w:link w:val="TextodegloboCar"/>
    <w:uiPriority w:val="99"/>
    <w:semiHidden/>
    <w:unhideWhenUsed/>
    <w:rPr>
      <w:rFonts w:ascii="Tahoma" w:eastAsiaTheme="minorHAnsi" w:hAnsi="Tahoma" w:cs="Tahoma"/>
      <w:sz w:val="16"/>
      <w:szCs w:val="16"/>
      <w:lang w:val="es-MX" w:eastAsia="en-US"/>
    </w:rPr>
  </w:style>
  <w:style w:type="paragraph" w:styleId="Encabezado">
    <w:name w:val="header"/>
    <w:basedOn w:val="Normal"/>
    <w:link w:val="EncabezadoCar"/>
    <w:uiPriority w:val="99"/>
    <w:unhideWhenUsed/>
    <w:pPr>
      <w:tabs>
        <w:tab w:val="center" w:pos="4252"/>
        <w:tab w:val="right" w:pos="8504"/>
      </w:tabs>
    </w:pPr>
    <w:rPr>
      <w:rFonts w:asciiTheme="minorHAnsi" w:eastAsiaTheme="minorHAnsi" w:hAnsiTheme="minorHAnsi" w:cstheme="minorBidi"/>
      <w:szCs w:val="22"/>
      <w:lang w:val="es-MX" w:eastAsia="en-US"/>
    </w:rPr>
  </w:style>
  <w:style w:type="paragraph" w:styleId="NormalWeb">
    <w:name w:val="Normal (Web)"/>
    <w:basedOn w:val="Normal"/>
    <w:uiPriority w:val="99"/>
    <w:semiHidden/>
    <w:unhideWhenUsed/>
    <w:qFormat/>
    <w:pPr>
      <w:spacing w:before="100" w:beforeAutospacing="1" w:after="100" w:afterAutospacing="1"/>
    </w:pPr>
    <w:rPr>
      <w:lang w:eastAsia="es-CO"/>
    </w:rPr>
  </w:style>
  <w:style w:type="paragraph" w:styleId="Piedepgina">
    <w:name w:val="footer"/>
    <w:basedOn w:val="Normal"/>
    <w:link w:val="PiedepginaCar"/>
    <w:uiPriority w:val="99"/>
    <w:unhideWhenUsed/>
    <w:pPr>
      <w:tabs>
        <w:tab w:val="center" w:pos="4419"/>
        <w:tab w:val="right" w:pos="8838"/>
      </w:tabs>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Pr>
      <w:sz w:val="16"/>
      <w:szCs w:val="16"/>
    </w:rPr>
  </w:style>
  <w:style w:type="character" w:styleId="Refdenotaalpie">
    <w:name w:val="footnote reference"/>
    <w:basedOn w:val="Fuentedeprrafopredeter"/>
    <w:uiPriority w:val="99"/>
    <w:unhideWhenUsed/>
    <w:qFormat/>
    <w:rPr>
      <w:vertAlign w:val="superscript"/>
    </w:rPr>
  </w:style>
  <w:style w:type="character" w:styleId="Hipervnculo">
    <w:name w:val="Hyperlink"/>
    <w:basedOn w:val="Fuentedeprrafopredeter"/>
    <w:uiPriority w:val="99"/>
    <w:semiHidden/>
    <w:unhideWhenUsed/>
    <w:qFormat/>
    <w:rPr>
      <w:color w:val="F2F2F2" w:themeColor="hyperlink"/>
      <w:u w:val="single"/>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rPr>
      <w:sz w:val="24"/>
      <w:lang w:val="es-MX"/>
    </w:rPr>
  </w:style>
  <w:style w:type="character" w:customStyle="1" w:styleId="TextodegloboCar">
    <w:name w:val="Texto de globo Car"/>
    <w:basedOn w:val="Fuentedeprrafopredeter"/>
    <w:link w:val="Textodeglobo"/>
    <w:uiPriority w:val="99"/>
    <w:semiHidden/>
    <w:rPr>
      <w:rFonts w:ascii="Tahoma" w:hAnsi="Tahoma" w:cs="Tahoma"/>
      <w:sz w:val="16"/>
      <w:szCs w:val="16"/>
      <w:lang w:val="es-MX"/>
    </w:rPr>
  </w:style>
  <w:style w:type="character" w:customStyle="1" w:styleId="EncabezadoCar">
    <w:name w:val="Encabezado Car"/>
    <w:basedOn w:val="Fuentedeprrafopredeter"/>
    <w:link w:val="Encabezado"/>
    <w:uiPriority w:val="99"/>
    <w:rPr>
      <w:sz w:val="24"/>
      <w:lang w:val="es-MX"/>
    </w:rPr>
  </w:style>
  <w:style w:type="paragraph" w:styleId="Prrafodelista">
    <w:name w:val="List Paragraph"/>
    <w:basedOn w:val="Normal"/>
    <w:link w:val="PrrafodelistaCar"/>
    <w:uiPriority w:val="34"/>
    <w:qFormat/>
    <w:pPr>
      <w:ind w:left="720"/>
      <w:contextualSpacing/>
    </w:pPr>
    <w:rPr>
      <w:rFonts w:asciiTheme="minorHAnsi" w:eastAsiaTheme="minorHAnsi" w:hAnsiTheme="minorHAnsi" w:cstheme="minorBidi"/>
      <w:szCs w:val="22"/>
      <w:lang w:val="es-MX" w:eastAsia="en-US"/>
    </w:rPr>
  </w:style>
  <w:style w:type="character" w:customStyle="1" w:styleId="TextocomentarioCar">
    <w:name w:val="Texto comentario Car"/>
    <w:basedOn w:val="Fuentedeprrafopredeter"/>
    <w:link w:val="Textocomentario"/>
    <w:uiPriority w:val="99"/>
    <w:semiHidden/>
    <w:rPr>
      <w:sz w:val="20"/>
      <w:szCs w:val="20"/>
      <w:lang w:val="es-MX"/>
    </w:rPr>
  </w:style>
  <w:style w:type="character" w:customStyle="1" w:styleId="AsuntodelcomentarioCar">
    <w:name w:val="Asunto del comentario Car"/>
    <w:basedOn w:val="TextocomentarioCar"/>
    <w:link w:val="Asuntodelcomentario"/>
    <w:uiPriority w:val="99"/>
    <w:semiHidden/>
    <w:rPr>
      <w:b/>
      <w:bCs/>
      <w:sz w:val="20"/>
      <w:szCs w:val="20"/>
      <w:lang w:val="es-MX"/>
    </w:rPr>
  </w:style>
  <w:style w:type="paragraph" w:styleId="Sinespaciado">
    <w:name w:val="No Spacing"/>
    <w:uiPriority w:val="1"/>
    <w:qFormat/>
    <w:rPr>
      <w:sz w:val="24"/>
      <w:szCs w:val="22"/>
      <w:lang w:val="es-MX" w:eastAsia="en-US"/>
    </w:rPr>
  </w:style>
  <w:style w:type="character" w:customStyle="1" w:styleId="TextonotapieCar">
    <w:name w:val="Texto nota pie Car"/>
    <w:basedOn w:val="Fuentedeprrafopredeter"/>
    <w:link w:val="Textonotapie"/>
    <w:uiPriority w:val="99"/>
    <w:semiHidden/>
    <w:locked/>
    <w:rPr>
      <w:sz w:val="20"/>
      <w:szCs w:val="20"/>
      <w:lang w:val="es-MX"/>
    </w:rPr>
  </w:style>
  <w:style w:type="character" w:customStyle="1" w:styleId="TextonotapieCar1">
    <w:name w:val="Texto nota pie Car1"/>
    <w:basedOn w:val="Fuentedeprrafopredeter"/>
    <w:uiPriority w:val="99"/>
    <w:semiHidden/>
    <w:rPr>
      <w:sz w:val="20"/>
      <w:szCs w:val="20"/>
      <w:lang w:val="es-MX"/>
    </w:rPr>
  </w:style>
  <w:style w:type="character" w:customStyle="1" w:styleId="PrrafodelistaCar">
    <w:name w:val="Párrafo de lista Car"/>
    <w:link w:val="Prrafodelista"/>
    <w:uiPriority w:val="34"/>
    <w:qFormat/>
    <w:locked/>
    <w:rPr>
      <w:sz w:val="24"/>
      <w:lang w:val="es-MX"/>
    </w:rPr>
  </w:style>
  <w:style w:type="paragraph" w:customStyle="1" w:styleId="Capitulo1">
    <w:name w:val="Capitulo 1"/>
    <w:basedOn w:val="Normal"/>
    <w:qFormat/>
    <w:pPr>
      <w:keepNext/>
      <w:spacing w:before="120" w:after="200" w:line="276" w:lineRule="auto"/>
      <w:ind w:left="720" w:hanging="360"/>
      <w:outlineLvl w:val="1"/>
    </w:pPr>
    <w:rPr>
      <w:rFonts w:ascii="Arial" w:hAnsi="Arial" w:cs="Arial"/>
      <w:b/>
      <w:color w:val="000000"/>
      <w:sz w:val="20"/>
      <w:szCs w:val="20"/>
      <w:lang w:eastAsia="es-CO"/>
    </w:rPr>
  </w:style>
  <w:style w:type="table" w:customStyle="1" w:styleId="Tablaconcuadrcula1">
    <w:name w:val="Tabla con cuadrícula1"/>
    <w:basedOn w:val="Tabla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89C25-AEAD-4B7C-BEA9-2F5D29245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4079FA-51FC-47B0-9392-D6D46816C1F9}">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5.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6.xml><?xml version="1.0" encoding="utf-8"?>
<ds:datastoreItem xmlns:ds="http://schemas.openxmlformats.org/officeDocument/2006/customXml" ds:itemID="{9F8B972A-C643-490F-B9A2-4B9AE4BB6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11</Pages>
  <Words>4242</Words>
  <Characters>23331</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Omar Mejía Olmos</dc:creator>
  <cp:lastModifiedBy>Juan Manuel Castillo López</cp:lastModifiedBy>
  <cp:revision>2</cp:revision>
  <cp:lastPrinted>2020-01-30T15:05:00Z</cp:lastPrinted>
  <dcterms:created xsi:type="dcterms:W3CDTF">2020-08-22T15:44:00Z</dcterms:created>
  <dcterms:modified xsi:type="dcterms:W3CDTF">2020-08-22T15:44:00Z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KSOProductBuildVer">
    <vt:lpwstr>2058-11.2.0.9363</vt:lpwstr>
  </property>
</Properties>
</file>