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C9C052" w14:textId="77777777" w:rsidR="00F61F28" w:rsidRDefault="00F61F28" w:rsidP="00F5053E">
      <w:pPr>
        <w:spacing w:after="0" w:line="240" w:lineRule="auto"/>
        <w:rPr>
          <w:rFonts w:ascii="Verdana" w:eastAsia="Geomanist Light" w:hAnsi="Verdana" w:cs="Arial"/>
          <w:color w:val="000000" w:themeColor="text1"/>
          <w:lang w:val="es-MX"/>
        </w:rPr>
      </w:pPr>
      <w:bookmarkStart w:id="0" w:name="_Hlk175055027"/>
    </w:p>
    <w:p w14:paraId="55562F0D" w14:textId="77777777" w:rsidR="00F61F28" w:rsidRDefault="00F61F28" w:rsidP="00F5053E">
      <w:pPr>
        <w:spacing w:after="0" w:line="240" w:lineRule="auto"/>
        <w:rPr>
          <w:rFonts w:ascii="Verdana" w:eastAsia="Geomanist Light" w:hAnsi="Verdana" w:cs="Arial"/>
          <w:color w:val="000000" w:themeColor="text1"/>
          <w:lang w:val="es-MX"/>
        </w:rPr>
      </w:pPr>
    </w:p>
    <w:p w14:paraId="56D1AA55" w14:textId="77777777" w:rsidR="00F61F28" w:rsidRDefault="00F61F28" w:rsidP="00F5053E">
      <w:pPr>
        <w:spacing w:after="0" w:line="240" w:lineRule="auto"/>
        <w:rPr>
          <w:rFonts w:ascii="Verdana" w:eastAsia="Geomanist Light" w:hAnsi="Verdana" w:cs="Arial"/>
          <w:color w:val="000000" w:themeColor="text1"/>
          <w:lang w:val="es-MX"/>
        </w:rPr>
      </w:pPr>
    </w:p>
    <w:p w14:paraId="0DE35979" w14:textId="77777777" w:rsidR="00F61F28" w:rsidRDefault="00F61F28" w:rsidP="00F5053E">
      <w:pPr>
        <w:spacing w:after="0" w:line="240" w:lineRule="auto"/>
        <w:rPr>
          <w:rFonts w:ascii="Verdana" w:eastAsia="Geomanist Light" w:hAnsi="Verdana" w:cs="Arial"/>
          <w:color w:val="000000" w:themeColor="text1"/>
          <w:lang w:val="es-MX"/>
        </w:rPr>
      </w:pPr>
    </w:p>
    <w:p w14:paraId="00E47D96" w14:textId="77777777" w:rsidR="00F61F28" w:rsidRPr="00F61F28" w:rsidRDefault="00F61F28" w:rsidP="00F61F28">
      <w:pPr>
        <w:spacing w:after="0" w:line="240" w:lineRule="auto"/>
        <w:jc w:val="both"/>
        <w:rPr>
          <w:rFonts w:ascii="Verdana" w:eastAsia="Geomanist Light" w:hAnsi="Verdana" w:cs="Arial"/>
          <w:b/>
          <w:bCs/>
          <w:color w:val="000000" w:themeColor="text1"/>
        </w:rPr>
      </w:pPr>
      <w:r w:rsidRPr="00F61F28">
        <w:rPr>
          <w:rFonts w:ascii="Verdana" w:eastAsia="Geomanist Light" w:hAnsi="Verdana" w:cs="Arial"/>
          <w:b/>
          <w:bCs/>
          <w:color w:val="000000" w:themeColor="text1"/>
        </w:rPr>
        <w:t>A</w:t>
      </w:r>
      <w:r w:rsidRPr="00F61F28">
        <w:rPr>
          <w:rFonts w:ascii="Verdana" w:eastAsia="Geomanist Light" w:hAnsi="Verdana" w:cs="Arial"/>
          <w:b/>
          <w:bCs/>
          <w:color w:val="000000" w:themeColor="text1"/>
        </w:rPr>
        <w:t xml:space="preserve">DICIÓN – Concepto – Distintos supuestos – Prohibición – Adición en más del 50% </w:t>
      </w:r>
    </w:p>
    <w:p w14:paraId="558D42D2" w14:textId="77777777" w:rsidR="00F61F28" w:rsidRDefault="00F61F28" w:rsidP="00F61F28">
      <w:pPr>
        <w:spacing w:after="0" w:line="240" w:lineRule="auto"/>
        <w:jc w:val="both"/>
        <w:rPr>
          <w:rFonts w:ascii="Verdana" w:eastAsia="Geomanist Light" w:hAnsi="Verdana" w:cs="Arial"/>
          <w:color w:val="000000" w:themeColor="text1"/>
        </w:rPr>
      </w:pPr>
    </w:p>
    <w:p w14:paraId="2F6F9E25" w14:textId="7FD94750" w:rsidR="00F61F28" w:rsidRDefault="00F61F28" w:rsidP="00F61F28">
      <w:pPr>
        <w:spacing w:after="0" w:line="240" w:lineRule="auto"/>
        <w:jc w:val="both"/>
        <w:rPr>
          <w:rFonts w:ascii="Verdana" w:eastAsia="Geomanist Light" w:hAnsi="Verdana" w:cs="Arial"/>
          <w:color w:val="000000" w:themeColor="text1"/>
          <w:lang w:val="es-MX"/>
        </w:rPr>
      </w:pPr>
      <w:r w:rsidRPr="00F61F28">
        <w:rPr>
          <w:rFonts w:ascii="Verdana" w:eastAsia="Geomanist Light" w:hAnsi="Verdana" w:cs="Arial"/>
          <w:color w:val="000000" w:themeColor="text1"/>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w:t>
      </w:r>
      <w:r>
        <w:rPr>
          <w:rFonts w:ascii="Verdana" w:eastAsia="Geomanist Light" w:hAnsi="Verdana" w:cs="Arial"/>
          <w:color w:val="000000" w:themeColor="text1"/>
        </w:rPr>
        <w:t>“</w:t>
      </w:r>
      <w:r w:rsidRPr="00F61F28">
        <w:rPr>
          <w:rFonts w:ascii="Verdana" w:eastAsia="Geomanist Light" w:hAnsi="Verdana" w:cs="Arial"/>
          <w:color w:val="000000" w:themeColor="text1"/>
        </w:rPr>
        <w:t>mayores cantidades de obra</w:t>
      </w:r>
      <w:r>
        <w:rPr>
          <w:rFonts w:ascii="Verdana" w:eastAsia="Geomanist Light" w:hAnsi="Verdana" w:cs="Arial"/>
          <w:color w:val="000000" w:themeColor="text1"/>
        </w:rPr>
        <w:t>”</w:t>
      </w:r>
      <w:r w:rsidRPr="00F61F28">
        <w:rPr>
          <w:rFonts w:ascii="Verdana" w:eastAsia="Geomanist Light" w:hAnsi="Verdana" w:cs="Arial"/>
          <w:color w:val="000000" w:themeColor="text1"/>
        </w:rPr>
        <w:t xml:space="preserve">, </w:t>
      </w:r>
      <w:r>
        <w:rPr>
          <w:rFonts w:ascii="Verdana" w:eastAsia="Geomanist Light" w:hAnsi="Verdana" w:cs="Arial"/>
          <w:color w:val="000000" w:themeColor="text1"/>
        </w:rPr>
        <w:t>“</w:t>
      </w:r>
      <w:r w:rsidRPr="00F61F28">
        <w:rPr>
          <w:rFonts w:ascii="Verdana" w:eastAsia="Geomanist Light" w:hAnsi="Verdana" w:cs="Arial"/>
          <w:color w:val="000000" w:themeColor="text1"/>
        </w:rPr>
        <w:t>obras adicionales</w:t>
      </w:r>
      <w:r>
        <w:rPr>
          <w:rFonts w:ascii="Verdana" w:eastAsia="Geomanist Light" w:hAnsi="Verdana" w:cs="Arial"/>
          <w:color w:val="000000" w:themeColor="text1"/>
        </w:rPr>
        <w:t>”</w:t>
      </w:r>
      <w:r w:rsidRPr="00F61F28">
        <w:rPr>
          <w:rFonts w:ascii="Verdana" w:eastAsia="Geomanist Light" w:hAnsi="Verdana" w:cs="Arial"/>
          <w:color w:val="000000" w:themeColor="text1"/>
        </w:rPr>
        <w:t xml:space="preserve"> o adición de </w:t>
      </w:r>
      <w:r>
        <w:rPr>
          <w:rFonts w:ascii="Verdana" w:eastAsia="Geomanist Light" w:hAnsi="Verdana" w:cs="Arial"/>
          <w:color w:val="000000" w:themeColor="text1"/>
        </w:rPr>
        <w:t>“</w:t>
      </w:r>
      <w:r w:rsidRPr="00F61F28">
        <w:rPr>
          <w:rFonts w:ascii="Verdana" w:eastAsia="Geomanist Light" w:hAnsi="Verdana" w:cs="Arial"/>
          <w:color w:val="000000" w:themeColor="text1"/>
        </w:rPr>
        <w:t>ítems contractuales</w:t>
      </w:r>
      <w:r>
        <w:rPr>
          <w:rFonts w:ascii="Verdana" w:eastAsia="Geomanist Light" w:hAnsi="Verdana" w:cs="Arial"/>
          <w:color w:val="000000" w:themeColor="text1"/>
        </w:rPr>
        <w:t>”</w:t>
      </w:r>
      <w:r w:rsidRPr="00F61F28">
        <w:rPr>
          <w:rFonts w:ascii="Verdana" w:eastAsia="Geomanist Light" w:hAnsi="Verdana" w:cs="Arial"/>
          <w:color w:val="000000" w:themeColor="text1"/>
        </w:rPr>
        <w:t xml:space="preserve">; y </w:t>
      </w:r>
      <w:proofErr w:type="spellStart"/>
      <w:r w:rsidRPr="00F61F28">
        <w:rPr>
          <w:rFonts w:ascii="Verdana" w:eastAsia="Geomanist Light" w:hAnsi="Verdana" w:cs="Arial"/>
          <w:color w:val="000000" w:themeColor="text1"/>
        </w:rPr>
        <w:t>ii</w:t>
      </w:r>
      <w:proofErr w:type="spellEnd"/>
      <w:r w:rsidRPr="00F61F28">
        <w:rPr>
          <w:rFonts w:ascii="Verdana" w:eastAsia="Geomanist Light" w:hAnsi="Verdana" w:cs="Arial"/>
          <w:color w:val="000000" w:themeColor="text1"/>
        </w:rPr>
        <w:t xml:space="preserve">) la necesidad de ampliar las prestaciones contractuales, mediante la ejecución de nuevos ítems o actividades, no incluidos en el contrato inicial, para lo que en la práctica las entidades ejecutan </w:t>
      </w:r>
      <w:r>
        <w:rPr>
          <w:rFonts w:ascii="Verdana" w:eastAsia="Geomanist Light" w:hAnsi="Verdana" w:cs="Arial"/>
          <w:color w:val="000000" w:themeColor="text1"/>
        </w:rPr>
        <w:t>“</w:t>
      </w:r>
      <w:r w:rsidRPr="00F61F28">
        <w:rPr>
          <w:rFonts w:ascii="Verdana" w:eastAsia="Geomanist Light" w:hAnsi="Verdana" w:cs="Arial"/>
          <w:color w:val="000000" w:themeColor="text1"/>
        </w:rPr>
        <w:t>obras extra</w:t>
      </w:r>
      <w:r>
        <w:rPr>
          <w:rFonts w:ascii="Verdana" w:eastAsia="Geomanist Light" w:hAnsi="Verdana" w:cs="Arial"/>
          <w:color w:val="000000" w:themeColor="text1"/>
        </w:rPr>
        <w:t>”</w:t>
      </w:r>
      <w:r w:rsidRPr="00F61F28">
        <w:rPr>
          <w:rFonts w:ascii="Verdana" w:eastAsia="Geomanist Light" w:hAnsi="Verdana" w:cs="Arial"/>
          <w:color w:val="000000" w:themeColor="text1"/>
        </w:rPr>
        <w:t xml:space="preserve"> o </w:t>
      </w:r>
      <w:r>
        <w:rPr>
          <w:rFonts w:ascii="Verdana" w:eastAsia="Geomanist Light" w:hAnsi="Verdana" w:cs="Arial"/>
          <w:color w:val="000000" w:themeColor="text1"/>
        </w:rPr>
        <w:t>“</w:t>
      </w:r>
      <w:r w:rsidRPr="00F61F28">
        <w:rPr>
          <w:rFonts w:ascii="Verdana" w:eastAsia="Geomanist Light" w:hAnsi="Verdana" w:cs="Arial"/>
          <w:color w:val="000000" w:themeColor="text1"/>
        </w:rPr>
        <w:t xml:space="preserve">amplían el </w:t>
      </w:r>
      <w:r w:rsidRPr="00F61F28">
        <w:rPr>
          <w:rFonts w:ascii="Verdana" w:eastAsia="Geomanist Light" w:hAnsi="Verdana" w:cs="Arial"/>
          <w:color w:val="000000" w:themeColor="text1"/>
        </w:rPr>
        <w:t>alcance</w:t>
      </w:r>
      <w:r>
        <w:rPr>
          <w:rFonts w:ascii="Verdana" w:eastAsia="Geomanist Light" w:hAnsi="Verdana" w:cs="Arial"/>
          <w:color w:val="000000" w:themeColor="text1"/>
        </w:rPr>
        <w:t xml:space="preserve"> </w:t>
      </w:r>
      <w:r w:rsidRPr="00F61F28">
        <w:rPr>
          <w:rFonts w:ascii="Verdana" w:eastAsia="Geomanist Light" w:hAnsi="Verdana" w:cs="Arial"/>
          <w:color w:val="000000" w:themeColor="text1"/>
        </w:rPr>
        <w:t>“del</w:t>
      </w:r>
      <w:r w:rsidRPr="00F61F28">
        <w:rPr>
          <w:rFonts w:ascii="Verdana" w:eastAsia="Geomanist Light" w:hAnsi="Verdana" w:cs="Arial"/>
          <w:color w:val="000000" w:themeColor="text1"/>
        </w:rPr>
        <w:t xml:space="preserve"> contrato mediante la celebración de un </w:t>
      </w:r>
      <w:r>
        <w:rPr>
          <w:rFonts w:ascii="Verdana" w:eastAsia="Geomanist Light" w:hAnsi="Verdana" w:cs="Arial"/>
          <w:color w:val="000000" w:themeColor="text1"/>
        </w:rPr>
        <w:t>“</w:t>
      </w:r>
      <w:r w:rsidRPr="00F61F28">
        <w:rPr>
          <w:rFonts w:ascii="Verdana" w:eastAsia="Geomanist Light" w:hAnsi="Verdana" w:cs="Arial"/>
          <w:color w:val="000000" w:themeColor="text1"/>
        </w:rPr>
        <w:t>contrato adicional</w:t>
      </w:r>
      <w:r>
        <w:rPr>
          <w:rFonts w:ascii="Verdana" w:eastAsia="Geomanist Light" w:hAnsi="Verdana" w:cs="Arial"/>
          <w:color w:val="000000" w:themeColor="text1"/>
        </w:rPr>
        <w:t>”</w:t>
      </w:r>
      <w:r w:rsidRPr="00F61F28">
        <w:rPr>
          <w:rFonts w:ascii="Verdana" w:eastAsia="Geomanist Light" w:hAnsi="Verdana" w:cs="Arial"/>
          <w:color w:val="000000" w:themeColor="text1"/>
        </w:rPr>
        <w:t xml:space="preserve">. […] 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 </w:t>
      </w:r>
      <w:r>
        <w:rPr>
          <w:rFonts w:ascii="Verdana" w:eastAsia="Geomanist Light" w:hAnsi="Verdana" w:cs="Arial"/>
          <w:color w:val="000000" w:themeColor="text1"/>
        </w:rPr>
        <w:t>“</w:t>
      </w:r>
      <w:r w:rsidRPr="00F61F28">
        <w:rPr>
          <w:rFonts w:ascii="Verdana" w:eastAsia="Geomanist Light" w:hAnsi="Verdana" w:cs="Arial"/>
          <w:color w:val="000000" w:themeColor="text1"/>
        </w:rPr>
        <w:t>Los contratos no podrán adicionarse en más del cincuenta por ciento (50%) de su valor inicial, expresado éste en salarios mínimos legales mensuale</w:t>
      </w:r>
      <w:r>
        <w:rPr>
          <w:rFonts w:ascii="Verdana" w:eastAsia="Geomanist Light" w:hAnsi="Verdana" w:cs="Arial"/>
          <w:color w:val="000000" w:themeColor="text1"/>
        </w:rPr>
        <w:t>s […]”</w:t>
      </w:r>
    </w:p>
    <w:p w14:paraId="40DDCC77" w14:textId="77777777" w:rsidR="00F61F28" w:rsidRDefault="00F61F28" w:rsidP="00F61F28">
      <w:pPr>
        <w:spacing w:after="0" w:line="240" w:lineRule="auto"/>
        <w:jc w:val="both"/>
        <w:rPr>
          <w:rFonts w:ascii="Verdana" w:eastAsia="Geomanist Light" w:hAnsi="Verdana" w:cs="Arial"/>
          <w:color w:val="000000" w:themeColor="text1"/>
          <w:lang w:val="es-MX"/>
        </w:rPr>
      </w:pPr>
    </w:p>
    <w:p w14:paraId="62C57C2B" w14:textId="77777777" w:rsidR="00F61F28" w:rsidRDefault="00F61F28" w:rsidP="00F61F28">
      <w:pPr>
        <w:spacing w:after="0" w:line="240" w:lineRule="auto"/>
        <w:jc w:val="both"/>
        <w:rPr>
          <w:rFonts w:ascii="Verdana" w:eastAsia="Geomanist Light" w:hAnsi="Verdana" w:cs="Arial"/>
          <w:color w:val="000000" w:themeColor="text1"/>
          <w:lang w:val="es-MX"/>
        </w:rPr>
      </w:pPr>
    </w:p>
    <w:p w14:paraId="3001CBD2" w14:textId="77777777" w:rsidR="00F61F28" w:rsidRDefault="00F61F28" w:rsidP="00F61F28">
      <w:pPr>
        <w:spacing w:after="0" w:line="240" w:lineRule="auto"/>
        <w:jc w:val="both"/>
        <w:rPr>
          <w:rFonts w:ascii="Verdana" w:eastAsia="Geomanist Light" w:hAnsi="Verdana" w:cs="Arial"/>
          <w:color w:val="000000" w:themeColor="text1"/>
          <w:lang w:val="es-MX"/>
        </w:rPr>
      </w:pPr>
    </w:p>
    <w:p w14:paraId="03E1BBBB" w14:textId="77777777" w:rsidR="00F61F28" w:rsidRDefault="00F61F28" w:rsidP="00F61F28">
      <w:pPr>
        <w:spacing w:after="0" w:line="240" w:lineRule="auto"/>
        <w:jc w:val="both"/>
        <w:rPr>
          <w:rFonts w:ascii="Verdana" w:eastAsia="Geomanist Light" w:hAnsi="Verdana" w:cs="Arial"/>
          <w:color w:val="000000" w:themeColor="text1"/>
          <w:lang w:val="es-MX"/>
        </w:rPr>
      </w:pPr>
    </w:p>
    <w:p w14:paraId="3B4705B9" w14:textId="77777777" w:rsidR="00F61F28" w:rsidRDefault="00F61F28" w:rsidP="00F61F28">
      <w:pPr>
        <w:spacing w:after="0" w:line="240" w:lineRule="auto"/>
        <w:jc w:val="both"/>
        <w:rPr>
          <w:rFonts w:ascii="Verdana" w:eastAsia="Geomanist Light" w:hAnsi="Verdana" w:cs="Arial"/>
          <w:color w:val="000000" w:themeColor="text1"/>
          <w:lang w:val="es-MX"/>
        </w:rPr>
      </w:pPr>
    </w:p>
    <w:p w14:paraId="343A04B6" w14:textId="77777777" w:rsidR="00F61F28" w:rsidRDefault="00F61F28" w:rsidP="00F61F28">
      <w:pPr>
        <w:spacing w:after="0" w:line="240" w:lineRule="auto"/>
        <w:jc w:val="both"/>
        <w:rPr>
          <w:rFonts w:ascii="Verdana" w:eastAsia="Geomanist Light" w:hAnsi="Verdana" w:cs="Arial"/>
          <w:color w:val="000000" w:themeColor="text1"/>
          <w:lang w:val="es-MX"/>
        </w:rPr>
      </w:pPr>
    </w:p>
    <w:p w14:paraId="3F6FD4B8" w14:textId="77777777" w:rsidR="00F61F28" w:rsidRDefault="00F61F28" w:rsidP="00F61F28">
      <w:pPr>
        <w:spacing w:after="0" w:line="240" w:lineRule="auto"/>
        <w:jc w:val="both"/>
        <w:rPr>
          <w:rFonts w:ascii="Verdana" w:eastAsia="Geomanist Light" w:hAnsi="Verdana" w:cs="Arial"/>
          <w:color w:val="000000" w:themeColor="text1"/>
          <w:lang w:val="es-MX"/>
        </w:rPr>
      </w:pPr>
    </w:p>
    <w:p w14:paraId="04354F7B" w14:textId="77777777" w:rsidR="00F61F28" w:rsidRDefault="00F61F28" w:rsidP="00F61F28">
      <w:pPr>
        <w:spacing w:after="0" w:line="240" w:lineRule="auto"/>
        <w:jc w:val="both"/>
        <w:rPr>
          <w:rFonts w:ascii="Verdana" w:eastAsia="Geomanist Light" w:hAnsi="Verdana" w:cs="Arial"/>
          <w:color w:val="000000" w:themeColor="text1"/>
          <w:lang w:val="es-MX"/>
        </w:rPr>
      </w:pPr>
    </w:p>
    <w:p w14:paraId="2FD5A979" w14:textId="77777777" w:rsidR="00F61F28" w:rsidRDefault="00F61F28" w:rsidP="00F61F28">
      <w:pPr>
        <w:spacing w:after="0" w:line="240" w:lineRule="auto"/>
        <w:jc w:val="both"/>
        <w:rPr>
          <w:rFonts w:ascii="Verdana" w:eastAsia="Geomanist Light" w:hAnsi="Verdana" w:cs="Arial"/>
          <w:color w:val="000000" w:themeColor="text1"/>
          <w:lang w:val="es-MX"/>
        </w:rPr>
      </w:pPr>
    </w:p>
    <w:p w14:paraId="6E109380" w14:textId="77777777" w:rsidR="00F61F28" w:rsidRDefault="00F61F28" w:rsidP="00F61F28">
      <w:pPr>
        <w:spacing w:after="0" w:line="240" w:lineRule="auto"/>
        <w:jc w:val="both"/>
        <w:rPr>
          <w:rFonts w:ascii="Verdana" w:eastAsia="Geomanist Light" w:hAnsi="Verdana" w:cs="Arial"/>
          <w:color w:val="000000" w:themeColor="text1"/>
          <w:lang w:val="es-MX"/>
        </w:rPr>
      </w:pPr>
    </w:p>
    <w:p w14:paraId="0F11E4C4" w14:textId="77777777" w:rsidR="00F61F28" w:rsidRDefault="00F61F28" w:rsidP="00F61F28">
      <w:pPr>
        <w:spacing w:after="0" w:line="240" w:lineRule="auto"/>
        <w:jc w:val="both"/>
        <w:rPr>
          <w:rFonts w:ascii="Verdana" w:eastAsia="Geomanist Light" w:hAnsi="Verdana" w:cs="Arial"/>
          <w:color w:val="000000" w:themeColor="text1"/>
          <w:lang w:val="es-MX"/>
        </w:rPr>
      </w:pPr>
    </w:p>
    <w:p w14:paraId="6163F163" w14:textId="77777777" w:rsidR="00F61F28" w:rsidRDefault="00F61F28" w:rsidP="00F61F28">
      <w:pPr>
        <w:spacing w:after="0" w:line="240" w:lineRule="auto"/>
        <w:jc w:val="both"/>
        <w:rPr>
          <w:rFonts w:ascii="Verdana" w:eastAsia="Geomanist Light" w:hAnsi="Verdana" w:cs="Arial"/>
          <w:color w:val="000000" w:themeColor="text1"/>
          <w:lang w:val="es-MX"/>
        </w:rPr>
      </w:pPr>
    </w:p>
    <w:p w14:paraId="208DD184" w14:textId="77777777" w:rsidR="00F61F28" w:rsidRDefault="00F61F28" w:rsidP="00F61F28">
      <w:pPr>
        <w:spacing w:after="0" w:line="240" w:lineRule="auto"/>
        <w:jc w:val="both"/>
        <w:rPr>
          <w:rFonts w:ascii="Verdana" w:eastAsia="Geomanist Light" w:hAnsi="Verdana" w:cs="Arial"/>
          <w:color w:val="000000" w:themeColor="text1"/>
          <w:lang w:val="es-MX"/>
        </w:rPr>
      </w:pPr>
    </w:p>
    <w:p w14:paraId="7EBFFCDB" w14:textId="77777777" w:rsidR="00F61F28" w:rsidRDefault="00F61F28" w:rsidP="00F61F28">
      <w:pPr>
        <w:spacing w:after="0" w:line="240" w:lineRule="auto"/>
        <w:jc w:val="both"/>
        <w:rPr>
          <w:rFonts w:ascii="Verdana" w:eastAsia="Geomanist Light" w:hAnsi="Verdana" w:cs="Arial"/>
          <w:color w:val="000000" w:themeColor="text1"/>
          <w:lang w:val="es-MX"/>
        </w:rPr>
      </w:pPr>
    </w:p>
    <w:p w14:paraId="0CA69EB6" w14:textId="77777777" w:rsidR="00F61F28" w:rsidRDefault="00F61F28" w:rsidP="00F61F28">
      <w:pPr>
        <w:spacing w:after="0" w:line="240" w:lineRule="auto"/>
        <w:jc w:val="both"/>
        <w:rPr>
          <w:rFonts w:ascii="Verdana" w:eastAsia="Geomanist Light" w:hAnsi="Verdana" w:cs="Arial"/>
          <w:color w:val="000000" w:themeColor="text1"/>
          <w:lang w:val="es-MX"/>
        </w:rPr>
      </w:pPr>
    </w:p>
    <w:p w14:paraId="3D6FE0DD" w14:textId="77777777" w:rsidR="00F61F28" w:rsidRDefault="00F61F28" w:rsidP="00F61F28">
      <w:pPr>
        <w:spacing w:after="0" w:line="240" w:lineRule="auto"/>
        <w:jc w:val="both"/>
        <w:rPr>
          <w:rFonts w:ascii="Verdana" w:eastAsia="Geomanist Light" w:hAnsi="Verdana" w:cs="Arial"/>
          <w:color w:val="000000" w:themeColor="text1"/>
          <w:lang w:val="es-MX"/>
        </w:rPr>
      </w:pPr>
    </w:p>
    <w:p w14:paraId="402533D1" w14:textId="77777777" w:rsidR="00F61F28" w:rsidRDefault="00F61F28" w:rsidP="00F61F28">
      <w:pPr>
        <w:spacing w:after="0" w:line="240" w:lineRule="auto"/>
        <w:jc w:val="both"/>
        <w:rPr>
          <w:rFonts w:ascii="Verdana" w:eastAsia="Geomanist Light" w:hAnsi="Verdana" w:cs="Arial"/>
          <w:color w:val="000000" w:themeColor="text1"/>
          <w:lang w:val="es-MX"/>
        </w:rPr>
      </w:pPr>
    </w:p>
    <w:p w14:paraId="6B68045F" w14:textId="77777777" w:rsidR="00F61F28" w:rsidRDefault="00F61F28" w:rsidP="00F61F28">
      <w:pPr>
        <w:spacing w:after="0" w:line="240" w:lineRule="auto"/>
        <w:jc w:val="both"/>
        <w:rPr>
          <w:rFonts w:ascii="Verdana" w:eastAsia="Geomanist Light" w:hAnsi="Verdana" w:cs="Arial"/>
          <w:color w:val="000000" w:themeColor="text1"/>
          <w:lang w:val="es-MX"/>
        </w:rPr>
      </w:pPr>
    </w:p>
    <w:p w14:paraId="54E9C0E3" w14:textId="10BFD71D" w:rsidR="00F5053E" w:rsidRDefault="00F5053E" w:rsidP="00F61F28">
      <w:pPr>
        <w:spacing w:after="0" w:line="240" w:lineRule="auto"/>
        <w:jc w:val="both"/>
        <w:rPr>
          <w:rFonts w:ascii="Verdana" w:eastAsia="Geomanist Light" w:hAnsi="Verdana" w:cs="Arial"/>
          <w:color w:val="201F1E"/>
          <w:lang w:val="es-MX"/>
        </w:rPr>
      </w:pPr>
      <w:r>
        <w:rPr>
          <w:rFonts w:ascii="Verdana" w:eastAsia="Geomanist Light" w:hAnsi="Verdana" w:cs="Arial"/>
          <w:color w:val="000000" w:themeColor="text1"/>
          <w:lang w:val="es-MX"/>
        </w:rPr>
        <w:t>B</w:t>
      </w:r>
      <w:r w:rsidRPr="00593A5F">
        <w:rPr>
          <w:rFonts w:ascii="Verdana" w:eastAsia="Geomanist Light" w:hAnsi="Verdana" w:cs="Arial"/>
          <w:color w:val="000000" w:themeColor="text1"/>
          <w:lang w:val="es-MX"/>
        </w:rPr>
        <w:t>ogotá D.C., </w:t>
      </w:r>
      <w:r w:rsidR="00F61F28">
        <w:rPr>
          <w:rFonts w:ascii="Verdana" w:eastAsia="Geomanist Light" w:hAnsi="Verdana" w:cs="Arial"/>
          <w:color w:val="201F1E"/>
          <w:lang w:val="es-MX"/>
        </w:rPr>
        <w:t>23</w:t>
      </w:r>
      <w:r w:rsidRPr="00593A5F">
        <w:rPr>
          <w:rFonts w:ascii="Verdana" w:eastAsia="Geomanist Light" w:hAnsi="Verdana" w:cs="Arial"/>
          <w:color w:val="201F1E"/>
          <w:lang w:val="es-MX"/>
        </w:rPr>
        <w:t xml:space="preserve"> de </w:t>
      </w:r>
      <w:r w:rsidR="00F61F28">
        <w:rPr>
          <w:rFonts w:ascii="Verdana" w:eastAsia="Geomanist Light" w:hAnsi="Verdana" w:cs="Arial"/>
          <w:color w:val="201F1E"/>
          <w:lang w:val="es-MX"/>
        </w:rPr>
        <w:t>agosto</w:t>
      </w:r>
      <w:r w:rsidRPr="00593A5F">
        <w:rPr>
          <w:rFonts w:ascii="Verdana" w:eastAsia="Geomanist Light" w:hAnsi="Verdana" w:cs="Arial"/>
          <w:color w:val="201F1E"/>
          <w:lang w:val="es-MX"/>
        </w:rPr>
        <w:t xml:space="preserve"> de </w:t>
      </w:r>
      <w:r w:rsidR="00F61F28">
        <w:rPr>
          <w:rFonts w:ascii="Verdana" w:eastAsia="Geomanist Light" w:hAnsi="Verdana" w:cs="Arial"/>
          <w:color w:val="201F1E"/>
          <w:lang w:val="es-MX"/>
        </w:rPr>
        <w:t>2023</w:t>
      </w:r>
    </w:p>
    <w:p w14:paraId="2699A9D8" w14:textId="77777777" w:rsidR="00F5053E" w:rsidRPr="00AA1286" w:rsidRDefault="00F5053E" w:rsidP="00F61F28">
      <w:pPr>
        <w:spacing w:after="0" w:line="240" w:lineRule="auto"/>
        <w:jc w:val="both"/>
        <w:rPr>
          <w:rFonts w:ascii="Verdana" w:eastAsia="Geomanist Light" w:hAnsi="Verdana" w:cs="Arial"/>
          <w:color w:val="000000" w:themeColor="text1"/>
          <w:lang w:val="es-MX"/>
        </w:rPr>
      </w:pPr>
    </w:p>
    <w:p w14:paraId="2C1A523A" w14:textId="4E41504E" w:rsidR="00F61F28" w:rsidRDefault="00F61F28" w:rsidP="00F61F28">
      <w:pPr>
        <w:spacing w:after="0" w:line="240" w:lineRule="auto"/>
        <w:jc w:val="right"/>
        <w:rPr>
          <w:rFonts w:ascii="Verdana" w:eastAsia="Calibri" w:hAnsi="Verdana" w:cs="Arial"/>
          <w:lang w:val="en-US" w:eastAsia="es-ES"/>
        </w:rPr>
      </w:pPr>
      <w:r w:rsidRPr="00F61F28">
        <w:rPr>
          <w:rFonts w:ascii="Verdana" w:eastAsia="Calibri" w:hAnsi="Verdana" w:cs="Arial"/>
          <w:lang w:val="en-US" w:eastAsia="es-ES"/>
        </w:rPr>
        <w:drawing>
          <wp:inline distT="0" distB="0" distL="0" distR="0" wp14:anchorId="3AB2ABD9" wp14:editId="60A005E4">
            <wp:extent cx="2695575" cy="1181100"/>
            <wp:effectExtent l="0" t="0" r="9525" b="0"/>
            <wp:docPr id="11419703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70354" name=""/>
                    <pic:cNvPicPr/>
                  </pic:nvPicPr>
                  <pic:blipFill>
                    <a:blip r:embed="rId10"/>
                    <a:stretch>
                      <a:fillRect/>
                    </a:stretch>
                  </pic:blipFill>
                  <pic:spPr>
                    <a:xfrm>
                      <a:off x="0" y="0"/>
                      <a:ext cx="2695954" cy="1181266"/>
                    </a:xfrm>
                    <a:prstGeom prst="rect">
                      <a:avLst/>
                    </a:prstGeom>
                  </pic:spPr>
                </pic:pic>
              </a:graphicData>
            </a:graphic>
          </wp:inline>
        </w:drawing>
      </w:r>
    </w:p>
    <w:p w14:paraId="70159417" w14:textId="286454EA" w:rsidR="00F5053E" w:rsidRPr="00F5053E" w:rsidRDefault="00F5053E" w:rsidP="00F5053E">
      <w:pPr>
        <w:spacing w:after="0" w:line="240" w:lineRule="auto"/>
        <w:jc w:val="both"/>
        <w:rPr>
          <w:rFonts w:ascii="Verdana" w:eastAsia="Calibri" w:hAnsi="Verdana" w:cs="Arial"/>
          <w:lang w:val="en-US" w:eastAsia="es-ES"/>
        </w:rPr>
      </w:pPr>
      <w:proofErr w:type="spellStart"/>
      <w:r w:rsidRPr="00F5053E">
        <w:rPr>
          <w:rFonts w:ascii="Verdana" w:eastAsia="Calibri" w:hAnsi="Verdana" w:cs="Arial"/>
          <w:lang w:val="en-US" w:eastAsia="es-ES"/>
        </w:rPr>
        <w:t>señor</w:t>
      </w:r>
      <w:proofErr w:type="spellEnd"/>
      <w:r w:rsidRPr="00F5053E">
        <w:rPr>
          <w:rFonts w:ascii="Verdana" w:eastAsia="Calibri" w:hAnsi="Verdana" w:cs="Arial"/>
          <w:lang w:val="en-US" w:eastAsia="es-ES"/>
        </w:rPr>
        <w:t>(a)</w:t>
      </w:r>
    </w:p>
    <w:p w14:paraId="06DF2148" w14:textId="77777777" w:rsidR="00F5053E" w:rsidRDefault="00F5053E" w:rsidP="00F5053E">
      <w:pPr>
        <w:spacing w:after="0" w:line="240" w:lineRule="auto"/>
        <w:rPr>
          <w:rFonts w:ascii="Verdana" w:eastAsia="Calibri" w:hAnsi="Verdana" w:cs="Arial"/>
          <w:b/>
          <w:bCs/>
          <w:lang w:val="en-US" w:eastAsia="es-ES"/>
        </w:rPr>
      </w:pPr>
      <w:r w:rsidRPr="004A6514">
        <w:rPr>
          <w:rFonts w:ascii="Verdana" w:eastAsia="Calibri" w:hAnsi="Verdana" w:cs="Arial"/>
          <w:b/>
          <w:bCs/>
          <w:lang w:val="en-US" w:eastAsia="es-ES"/>
        </w:rPr>
        <w:t>MAYERLYN STEFANY MONSALVE RANGEL</w:t>
      </w:r>
    </w:p>
    <w:p w14:paraId="390C826D" w14:textId="77777777" w:rsidR="00F5053E" w:rsidRPr="004A6514" w:rsidRDefault="00F5053E" w:rsidP="00F5053E">
      <w:pPr>
        <w:spacing w:after="0" w:line="240" w:lineRule="auto"/>
        <w:rPr>
          <w:rFonts w:ascii="Verdana" w:eastAsia="Calibri" w:hAnsi="Verdana" w:cs="Arial"/>
          <w:u w:val="single"/>
          <w:lang w:val="en-US" w:eastAsia="es-ES"/>
        </w:rPr>
      </w:pPr>
      <w:r w:rsidRPr="004A6514">
        <w:rPr>
          <w:rFonts w:ascii="Verdana" w:hAnsi="Verdana"/>
          <w:lang w:val="en-US"/>
        </w:rPr>
        <w:t xml:space="preserve">m.monsalve.rangel@gmail.com.  </w:t>
      </w:r>
      <w:r w:rsidRPr="004A6514">
        <w:rPr>
          <w:rFonts w:ascii="Verdana" w:eastAsia="Calibri" w:hAnsi="Verdana" w:cs="Arial"/>
          <w:lang w:val="en-US" w:eastAsia="es-ES"/>
        </w:rPr>
        <w:t xml:space="preserve"> </w:t>
      </w:r>
      <w:r w:rsidRPr="004A6514">
        <w:rPr>
          <w:rFonts w:ascii="Verdana" w:eastAsia="Calibri" w:hAnsi="Verdana" w:cs="Arial"/>
          <w:u w:val="single"/>
          <w:lang w:val="en-US" w:eastAsia="es-ES"/>
        </w:rPr>
        <w:t xml:space="preserve"> </w:t>
      </w:r>
    </w:p>
    <w:p w14:paraId="2FF45D13" w14:textId="77777777" w:rsidR="00F5053E" w:rsidRPr="00593A5F" w:rsidRDefault="00F5053E" w:rsidP="00F5053E">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Bogotá D.C.</w:t>
      </w:r>
    </w:p>
    <w:p w14:paraId="4CA374B3" w14:textId="77777777" w:rsidR="00F5053E" w:rsidRPr="00593A5F" w:rsidRDefault="00F5053E" w:rsidP="00F5053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5053E" w:rsidRPr="00593A5F" w14:paraId="3D9FA340" w14:textId="77777777" w:rsidTr="00A87ED7">
        <w:trPr>
          <w:trHeight w:val="884"/>
        </w:trPr>
        <w:tc>
          <w:tcPr>
            <w:tcW w:w="2689" w:type="dxa"/>
          </w:tcPr>
          <w:p w14:paraId="35C0C5DA" w14:textId="77777777" w:rsidR="00F5053E" w:rsidRPr="005B6F15" w:rsidRDefault="00F5053E" w:rsidP="00A87ED7">
            <w:pPr>
              <w:jc w:val="both"/>
              <w:rPr>
                <w:rFonts w:ascii="Verdana" w:eastAsia="Calibri" w:hAnsi="Verdana" w:cs="Arial"/>
                <w:b/>
                <w:bCs/>
                <w:color w:val="7030A0"/>
                <w:lang w:val="es-ES_tradnl" w:eastAsia="es-ES_tradnl"/>
              </w:rPr>
            </w:pPr>
          </w:p>
        </w:tc>
        <w:tc>
          <w:tcPr>
            <w:tcW w:w="6100" w:type="dxa"/>
          </w:tcPr>
          <w:p w14:paraId="3F731955" w14:textId="77777777" w:rsidR="00F5053E" w:rsidRPr="00B123CD" w:rsidRDefault="00F5053E" w:rsidP="00A87ED7">
            <w:pPr>
              <w:jc w:val="both"/>
              <w:rPr>
                <w:rFonts w:ascii="Verdana" w:eastAsia="Calibri" w:hAnsi="Verdana" w:cs="Arial"/>
                <w:b/>
                <w:bCs/>
                <w:color w:val="7030A0"/>
                <w:lang w:val="es-ES" w:eastAsia="es-ES"/>
              </w:rPr>
            </w:pPr>
            <w:r w:rsidRPr="00B123CD">
              <w:rPr>
                <w:rFonts w:ascii="Verdana" w:eastAsia="Calibri" w:hAnsi="Verdana" w:cs="Arial"/>
                <w:b/>
                <w:bCs/>
                <w:lang w:val="es-ES" w:eastAsia="es-ES"/>
              </w:rPr>
              <w:t>Concepto C- 318</w:t>
            </w:r>
            <w:r w:rsidRPr="00B123CD">
              <w:rPr>
                <w:rFonts w:ascii="Verdana" w:eastAsia="Calibri" w:hAnsi="Verdana" w:cs="Arial"/>
                <w:b/>
                <w:bCs/>
                <w:color w:val="7030A0"/>
                <w:lang w:val="es-ES" w:eastAsia="es-ES"/>
              </w:rPr>
              <w:t xml:space="preserve"> </w:t>
            </w:r>
            <w:r w:rsidRPr="00B123CD">
              <w:rPr>
                <w:rFonts w:ascii="Verdana" w:eastAsia="Calibri" w:hAnsi="Verdana" w:cs="Arial"/>
                <w:b/>
                <w:bCs/>
                <w:lang w:val="es-ES" w:eastAsia="es-ES"/>
              </w:rPr>
              <w:t>de</w:t>
            </w:r>
            <w:r w:rsidRPr="00B123CD">
              <w:rPr>
                <w:rFonts w:ascii="Verdana" w:eastAsia="Calibri" w:hAnsi="Verdana" w:cs="Arial"/>
                <w:b/>
                <w:bCs/>
                <w:color w:val="7030A0"/>
                <w:lang w:val="es-ES" w:eastAsia="es-ES"/>
              </w:rPr>
              <w:t xml:space="preserve"> </w:t>
            </w:r>
            <w:r w:rsidRPr="00B123CD">
              <w:rPr>
                <w:rFonts w:ascii="Verdana" w:eastAsia="Calibri" w:hAnsi="Verdana" w:cs="Arial"/>
                <w:b/>
                <w:bCs/>
                <w:lang w:val="es-ES" w:eastAsia="es-ES"/>
              </w:rPr>
              <w:t>2024</w:t>
            </w:r>
          </w:p>
        </w:tc>
      </w:tr>
      <w:tr w:rsidR="00F5053E" w:rsidRPr="001C58F6" w14:paraId="7C6BEF47" w14:textId="77777777" w:rsidTr="00A87ED7">
        <w:trPr>
          <w:trHeight w:val="884"/>
        </w:trPr>
        <w:tc>
          <w:tcPr>
            <w:tcW w:w="2689" w:type="dxa"/>
          </w:tcPr>
          <w:p w14:paraId="3046B221" w14:textId="77777777" w:rsidR="00F5053E" w:rsidRPr="00593A5F" w:rsidRDefault="00F5053E" w:rsidP="00A87ED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32C7AB3" w14:textId="77777777" w:rsidR="00F5053E" w:rsidRPr="00B123CD" w:rsidRDefault="00F5053E" w:rsidP="00A87ED7">
            <w:pPr>
              <w:pStyle w:val="Textoindependiente"/>
              <w:tabs>
                <w:tab w:val="left" w:pos="150"/>
              </w:tabs>
              <w:ind w:left="859" w:right="111"/>
              <w:jc w:val="both"/>
              <w:rPr>
                <w:rFonts w:ascii="Verdana" w:hAnsi="Verdana"/>
              </w:rPr>
            </w:pPr>
            <w:r w:rsidRPr="00B123CD">
              <w:rPr>
                <w:rFonts w:ascii="Verdana" w:hAnsi="Verdana"/>
              </w:rPr>
              <w:t>ADICIÓN – Concepto – Distintos supuestos – Prohibición – Adición en más del 50% / ADICIÓN – Prohibición – Monto – Cálculo – Parágrafo artículo 40 – Ley 80 de 1993</w:t>
            </w:r>
          </w:p>
        </w:tc>
      </w:tr>
      <w:tr w:rsidR="00F5053E" w:rsidRPr="00593A5F" w14:paraId="6E653B80" w14:textId="77777777" w:rsidTr="00A87ED7">
        <w:tc>
          <w:tcPr>
            <w:tcW w:w="2689" w:type="dxa"/>
          </w:tcPr>
          <w:p w14:paraId="53C77738" w14:textId="77777777" w:rsidR="00F5053E" w:rsidRPr="00825AF7" w:rsidRDefault="00F5053E" w:rsidP="00A87ED7">
            <w:pPr>
              <w:jc w:val="both"/>
              <w:rPr>
                <w:rFonts w:ascii="Verdana" w:eastAsia="Calibri" w:hAnsi="Verdana" w:cs="Arial"/>
                <w:b/>
                <w:lang w:val="es-ES_tradnl" w:eastAsia="es-ES_tradnl"/>
              </w:rPr>
            </w:pPr>
            <w:r w:rsidRPr="00825AF7">
              <w:rPr>
                <w:rFonts w:ascii="Verdana" w:eastAsia="Calibri" w:hAnsi="Verdana" w:cs="Arial"/>
                <w:b/>
                <w:lang w:val="es-ES_tradnl" w:eastAsia="es-ES_tradnl"/>
              </w:rPr>
              <w:t>Radicación:</w:t>
            </w:r>
            <w:r w:rsidRPr="00825AF7">
              <w:rPr>
                <w:rFonts w:ascii="Verdana" w:eastAsia="Calibri" w:hAnsi="Verdana" w:cs="Arial"/>
                <w:lang w:val="es-ES_tradnl" w:eastAsia="es-ES_tradnl"/>
              </w:rPr>
              <w:t xml:space="preserve">               </w:t>
            </w:r>
          </w:p>
        </w:tc>
        <w:tc>
          <w:tcPr>
            <w:tcW w:w="6100" w:type="dxa"/>
          </w:tcPr>
          <w:p w14:paraId="26358613" w14:textId="77777777" w:rsidR="00F5053E" w:rsidRPr="00825AF7" w:rsidRDefault="00F5053E" w:rsidP="00A87ED7">
            <w:pPr>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Pr="004A6514">
              <w:rPr>
                <w:rFonts w:ascii="Verdana" w:eastAsia="Calibri" w:hAnsi="Verdana" w:cs="Arial"/>
                <w:lang w:val="es-ES_tradnl" w:eastAsia="es-ES_tradnl"/>
              </w:rPr>
              <w:t>P20240710007011</w:t>
            </w:r>
          </w:p>
        </w:tc>
      </w:tr>
    </w:tbl>
    <w:p w14:paraId="3CA88AF9" w14:textId="77777777" w:rsidR="00F5053E" w:rsidRPr="00593A5F" w:rsidRDefault="00F5053E" w:rsidP="00F5053E">
      <w:pPr>
        <w:spacing w:after="0" w:line="240" w:lineRule="auto"/>
        <w:jc w:val="both"/>
        <w:rPr>
          <w:rFonts w:ascii="Verdana" w:eastAsia="Calibri" w:hAnsi="Verdana" w:cs="Arial"/>
          <w:color w:val="000000"/>
          <w:lang w:val="es-ES_tradnl" w:eastAsia="es-ES_tradnl"/>
        </w:rPr>
      </w:pPr>
    </w:p>
    <w:p w14:paraId="28E83478" w14:textId="77777777" w:rsidR="00F5053E" w:rsidRDefault="00F5053E" w:rsidP="00F5053E">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señor </w:t>
      </w:r>
      <w:r w:rsidRPr="005651D3">
        <w:rPr>
          <w:rFonts w:ascii="Verdana" w:eastAsia="Calibri" w:hAnsi="Verdana" w:cs="Arial"/>
          <w:lang w:val="es-ES" w:eastAsia="es-ES"/>
        </w:rPr>
        <w:t xml:space="preserve">(a) </w:t>
      </w:r>
      <w:r>
        <w:rPr>
          <w:rFonts w:ascii="Verdana" w:eastAsia="Calibri" w:hAnsi="Verdana" w:cs="Arial"/>
          <w:lang w:val="es-ES" w:eastAsia="es-ES"/>
        </w:rPr>
        <w:t>Monsalve</w:t>
      </w:r>
      <w:r w:rsidRPr="009A14E8">
        <w:rPr>
          <w:rFonts w:ascii="Verdana" w:eastAsia="Calibri" w:hAnsi="Verdana" w:cs="Arial"/>
          <w:lang w:val="es-ES" w:eastAsia="es-ES"/>
        </w:rPr>
        <w:t xml:space="preserve">: </w:t>
      </w:r>
    </w:p>
    <w:p w14:paraId="6F31BA67" w14:textId="77777777" w:rsidR="00F5053E" w:rsidRDefault="00F5053E" w:rsidP="00F5053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C90750" w14:textId="77777777" w:rsidR="00F5053E" w:rsidRDefault="00F5053E" w:rsidP="00F5053E">
      <w:pPr>
        <w:spacing w:after="0" w:line="276" w:lineRule="auto"/>
        <w:jc w:val="both"/>
        <w:rPr>
          <w:rFonts w:ascii="Verdana" w:eastAsia="Calibri" w:hAnsi="Verdana" w:cs="Arial"/>
          <w:i/>
          <w:iCs/>
          <w:sz w:val="20"/>
          <w:szCs w:val="20"/>
          <w:lang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D46ED3">
        <w:rPr>
          <w:rFonts w:ascii="Verdana" w:eastAsia="Calibri" w:hAnsi="Verdana" w:cs="Arial"/>
          <w:color w:val="000000" w:themeColor="text1"/>
          <w:lang w:val="es-ES" w:eastAsia="es-ES"/>
        </w:rPr>
        <w:t xml:space="preserve">consulta de </w:t>
      </w:r>
      <w:r w:rsidRPr="00D46ED3">
        <w:rPr>
          <w:rFonts w:ascii="Verdana" w:eastAsia="Calibri" w:hAnsi="Verdana" w:cs="Arial"/>
          <w:lang w:val="es-ES" w:eastAsia="es-ES"/>
        </w:rPr>
        <w:t xml:space="preserve">fecha </w:t>
      </w:r>
      <w:r>
        <w:rPr>
          <w:rFonts w:ascii="Verdana" w:eastAsia="Calibri" w:hAnsi="Verdana" w:cs="Arial"/>
          <w:lang w:val="es-ES" w:eastAsia="es-ES"/>
        </w:rPr>
        <w:t>10</w:t>
      </w:r>
      <w:r w:rsidRPr="00D46ED3">
        <w:rPr>
          <w:rFonts w:ascii="Verdana" w:eastAsia="Calibri" w:hAnsi="Verdana" w:cs="Arial"/>
          <w:lang w:val="es-ES" w:eastAsia="es-ES"/>
        </w:rPr>
        <w:t xml:space="preserve"> de ju</w:t>
      </w:r>
      <w:r>
        <w:rPr>
          <w:rFonts w:ascii="Verdana" w:eastAsia="Calibri" w:hAnsi="Verdana" w:cs="Arial"/>
          <w:lang w:val="es-ES" w:eastAsia="es-ES"/>
        </w:rPr>
        <w:t>l</w:t>
      </w:r>
      <w:r w:rsidRPr="00D46ED3">
        <w:rPr>
          <w:rFonts w:ascii="Verdana" w:eastAsia="Calibri" w:hAnsi="Verdana" w:cs="Arial"/>
          <w:lang w:val="es-ES" w:eastAsia="es-ES"/>
        </w:rPr>
        <w:t>io de 2024, en</w:t>
      </w:r>
      <w:r w:rsidRPr="00AA1286">
        <w:rPr>
          <w:rFonts w:ascii="Verdana" w:eastAsia="Calibri" w:hAnsi="Verdana" w:cs="Arial"/>
          <w:lang w:val="es-ES" w:eastAsia="es-ES"/>
        </w:rPr>
        <w:t xml:space="preserve"> la cual manifiesta lo siguiente: </w:t>
      </w:r>
      <w:r w:rsidRPr="00B123CD">
        <w:rPr>
          <w:rFonts w:ascii="Verdana" w:eastAsia="Calibri" w:hAnsi="Verdana" w:cs="Arial"/>
          <w:i/>
          <w:iCs/>
          <w:sz w:val="21"/>
          <w:szCs w:val="21"/>
          <w:lang w:eastAsia="es-ES"/>
        </w:rPr>
        <w:t xml:space="preserve"> “Quisiera consultarles, si en una Entidad Estatal que celebra Convenios Especiales de Cooperación de Ciencia y Tecnología con particulares, aplica el límite de la adición del 50% de su valor inicial, expresado éste en salarios mínimos legales mensuales.”</w:t>
      </w:r>
    </w:p>
    <w:p w14:paraId="782A78AD" w14:textId="77777777" w:rsidR="00F5053E" w:rsidRPr="004A6514" w:rsidRDefault="00F5053E" w:rsidP="00F5053E">
      <w:pPr>
        <w:spacing w:after="0" w:line="276" w:lineRule="auto"/>
        <w:jc w:val="both"/>
        <w:rPr>
          <w:rFonts w:ascii="Verdana" w:eastAsia="Calibri" w:hAnsi="Verdana" w:cs="Arial"/>
          <w:lang w:val="es-ES" w:eastAsia="es-ES"/>
        </w:rPr>
      </w:pPr>
    </w:p>
    <w:p w14:paraId="10648547" w14:textId="77777777" w:rsidR="00F5053E" w:rsidRDefault="00F5053E" w:rsidP="00F5053E">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593A5F">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B59B527" w14:textId="77777777" w:rsidR="00F5053E" w:rsidRDefault="00F5053E" w:rsidP="00F5053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B879A7F" w14:textId="77777777" w:rsidR="00F5053E" w:rsidRPr="00593A5F" w:rsidRDefault="00F5053E" w:rsidP="00F5053E">
      <w:pPr>
        <w:spacing w:after="0" w:line="276" w:lineRule="auto"/>
        <w:ind w:firstLine="709"/>
        <w:jc w:val="both"/>
        <w:rPr>
          <w:rFonts w:ascii="Verdana" w:eastAsia="Calibri" w:hAnsi="Verdana" w:cs="Arial"/>
          <w:color w:val="000000"/>
          <w:lang w:val="es-ES" w:eastAsia="es-ES"/>
        </w:rPr>
      </w:pPr>
    </w:p>
    <w:p w14:paraId="5C3EC164" w14:textId="77777777" w:rsidR="00F5053E" w:rsidRPr="00593A5F" w:rsidRDefault="00F5053E" w:rsidP="00F5053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E8E0F90" w14:textId="77777777" w:rsidR="00F5053E" w:rsidRPr="00593A5F" w:rsidRDefault="00F5053E" w:rsidP="00F5053E">
      <w:pPr>
        <w:tabs>
          <w:tab w:val="left" w:pos="426"/>
        </w:tabs>
        <w:spacing w:after="0" w:line="276" w:lineRule="auto"/>
        <w:jc w:val="both"/>
        <w:rPr>
          <w:rFonts w:ascii="Verdana" w:eastAsia="Century Gothic" w:hAnsi="Verdana" w:cs="Century Gothic"/>
          <w:lang w:val="es-ES"/>
        </w:rPr>
      </w:pPr>
    </w:p>
    <w:p w14:paraId="5AF7F947" w14:textId="77777777" w:rsidR="00F5053E" w:rsidRDefault="00F5053E" w:rsidP="00F5053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(los) siguiente(s) problemas jurídicos(s</w:t>
      </w:r>
      <w:r w:rsidRPr="005651D3">
        <w:rPr>
          <w:rFonts w:ascii="Verdana" w:eastAsia="Century Gothic" w:hAnsi="Verdana" w:cs="Century Gothic"/>
        </w:rPr>
        <w:t xml:space="preserve">): </w:t>
      </w:r>
    </w:p>
    <w:p w14:paraId="7622FD45" w14:textId="77777777" w:rsidR="00F5053E" w:rsidRDefault="00F5053E" w:rsidP="00F5053E">
      <w:pPr>
        <w:spacing w:after="0" w:line="276" w:lineRule="auto"/>
        <w:jc w:val="both"/>
        <w:rPr>
          <w:rFonts w:ascii="Verdana" w:eastAsia="Century Gothic" w:hAnsi="Verdana" w:cs="Century Gothic"/>
        </w:rPr>
      </w:pPr>
    </w:p>
    <w:p w14:paraId="375B3029" w14:textId="77777777" w:rsidR="00F5053E" w:rsidRPr="00A4046A" w:rsidRDefault="00F5053E" w:rsidP="00F5053E">
      <w:pPr>
        <w:pStyle w:val="Prrafodelista"/>
        <w:numPr>
          <w:ilvl w:val="0"/>
          <w:numId w:val="19"/>
        </w:numPr>
        <w:spacing w:after="0" w:line="276" w:lineRule="auto"/>
        <w:jc w:val="both"/>
        <w:rPr>
          <w:rFonts w:ascii="Verdana" w:eastAsia="Century Gothic" w:hAnsi="Verdana" w:cs="Century Gothic"/>
          <w:sz w:val="21"/>
          <w:szCs w:val="21"/>
        </w:rPr>
      </w:pPr>
      <w:r w:rsidRPr="00A4046A">
        <w:rPr>
          <w:rFonts w:ascii="Verdana" w:hAnsi="Verdana" w:cs="ArialMT"/>
          <w:sz w:val="21"/>
          <w:szCs w:val="21"/>
        </w:rPr>
        <w:t>¿</w:t>
      </w:r>
      <w:r>
        <w:rPr>
          <w:rFonts w:ascii="Verdana" w:hAnsi="Verdana" w:cs="ArialMT"/>
          <w:sz w:val="21"/>
          <w:szCs w:val="21"/>
        </w:rPr>
        <w:t>Es un convenio interadministrativo Especial de Cooperación de Ciencia y Tecnología susceptible de adición de hasta el 50% del valor inicial</w:t>
      </w:r>
      <w:r w:rsidRPr="00A4046A">
        <w:rPr>
          <w:rFonts w:ascii="Verdana" w:hAnsi="Verdana" w:cs="ArialMT"/>
          <w:sz w:val="21"/>
          <w:szCs w:val="21"/>
        </w:rPr>
        <w:t>?</w:t>
      </w:r>
    </w:p>
    <w:p w14:paraId="4053648B" w14:textId="77777777" w:rsidR="00F5053E" w:rsidRPr="00A4046A" w:rsidRDefault="00F5053E" w:rsidP="00F5053E">
      <w:pPr>
        <w:pStyle w:val="Prrafodelista"/>
        <w:spacing w:after="0" w:line="276" w:lineRule="auto"/>
        <w:jc w:val="both"/>
        <w:rPr>
          <w:rFonts w:ascii="Verdana" w:eastAsia="Century Gothic" w:hAnsi="Verdana" w:cs="Century Gothic"/>
          <w:i/>
          <w:iCs/>
          <w:sz w:val="21"/>
          <w:szCs w:val="21"/>
        </w:rPr>
      </w:pPr>
    </w:p>
    <w:p w14:paraId="5A45058E" w14:textId="77777777" w:rsidR="00F5053E" w:rsidRPr="00593A5F" w:rsidRDefault="00F5053E" w:rsidP="00F5053E">
      <w:pPr>
        <w:spacing w:after="0" w:line="276" w:lineRule="auto"/>
        <w:jc w:val="both"/>
        <w:rPr>
          <w:rFonts w:ascii="Verdana" w:eastAsia="Calibri" w:hAnsi="Verdana" w:cs="Arial"/>
          <w:color w:val="7030A0"/>
          <w:lang w:val="es-ES"/>
        </w:rPr>
      </w:pPr>
    </w:p>
    <w:p w14:paraId="24F3095B" w14:textId="77777777" w:rsidR="00F5053E" w:rsidRPr="00593A5F" w:rsidRDefault="00F5053E" w:rsidP="00F505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ABAA9B3" w14:textId="77777777" w:rsidR="00F5053E" w:rsidRPr="00593A5F" w:rsidRDefault="00F5053E" w:rsidP="00F5053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5053E" w:rsidRPr="00593A5F" w14:paraId="451F3F44" w14:textId="77777777" w:rsidTr="00A87ED7">
        <w:tc>
          <w:tcPr>
            <w:tcW w:w="8828" w:type="dxa"/>
            <w:shd w:val="clear" w:color="auto" w:fill="auto"/>
          </w:tcPr>
          <w:p w14:paraId="060CF001" w14:textId="77777777" w:rsidR="00F5053E" w:rsidRDefault="00F5053E" w:rsidP="00A87ED7">
            <w:pPr>
              <w:spacing w:after="120" w:line="276" w:lineRule="auto"/>
              <w:jc w:val="both"/>
              <w:rPr>
                <w:rFonts w:ascii="Verdana" w:eastAsia="Calibri" w:hAnsi="Verdana" w:cs="Arial"/>
                <w:bCs/>
                <w:i/>
                <w:iCs/>
              </w:rPr>
            </w:pPr>
            <w:r>
              <w:rPr>
                <w:rFonts w:ascii="Verdana" w:eastAsia="Calibri" w:hAnsi="Verdana" w:cs="Arial"/>
                <w:bCs/>
              </w:rPr>
              <w:t>Como primera medida, es menester mencionar que la ejecución de los contratos y/o convenios estatales están sujetos a los cambios propios del paso del tiempo. Así durante la etapa de planeación</w:t>
            </w:r>
            <w:r w:rsidRPr="007B3F5A">
              <w:rPr>
                <w:rFonts w:ascii="Verdana" w:eastAsia="Calibri" w:hAnsi="Verdana" w:cs="Arial"/>
                <w:bCs/>
              </w:rPr>
              <w:t xml:space="preserve">,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w:t>
            </w:r>
            <w:r>
              <w:rPr>
                <w:rFonts w:ascii="Verdana" w:eastAsia="Calibri" w:hAnsi="Verdana" w:cs="Arial"/>
                <w:bCs/>
              </w:rPr>
              <w:t xml:space="preserve">las cuales pueden ser llamadas </w:t>
            </w:r>
            <w:r w:rsidRPr="007B3F5A">
              <w:rPr>
                <w:rFonts w:ascii="Verdana" w:eastAsia="Calibri" w:hAnsi="Verdana" w:cs="Arial"/>
                <w:bCs/>
                <w:i/>
                <w:iCs/>
              </w:rPr>
              <w:t>“obras adicionales”</w:t>
            </w:r>
            <w:r w:rsidRPr="007B3F5A">
              <w:rPr>
                <w:rFonts w:ascii="Verdana" w:eastAsia="Calibri" w:hAnsi="Verdana" w:cs="Arial"/>
                <w:bCs/>
              </w:rPr>
              <w:t xml:space="preserve"> o adición de </w:t>
            </w:r>
            <w:r w:rsidRPr="007B3F5A">
              <w:rPr>
                <w:rFonts w:ascii="Verdana" w:eastAsia="Calibri" w:hAnsi="Verdana" w:cs="Arial"/>
                <w:bCs/>
                <w:i/>
                <w:iCs/>
              </w:rPr>
              <w:t>“ítems contractuales</w:t>
            </w:r>
            <w:r>
              <w:rPr>
                <w:rFonts w:ascii="Verdana" w:eastAsia="Calibri" w:hAnsi="Verdana" w:cs="Arial"/>
                <w:bCs/>
              </w:rPr>
              <w:t>”</w:t>
            </w:r>
            <w:r w:rsidRPr="007B3F5A">
              <w:rPr>
                <w:rFonts w:ascii="Verdana" w:eastAsia="Calibri" w:hAnsi="Verdana" w:cs="Arial"/>
                <w:bCs/>
              </w:rPr>
              <w:t xml:space="preserve">; y </w:t>
            </w:r>
            <w:proofErr w:type="spellStart"/>
            <w:r w:rsidRPr="007B3F5A">
              <w:rPr>
                <w:rFonts w:ascii="Verdana" w:eastAsia="Calibri" w:hAnsi="Verdana" w:cs="Arial"/>
                <w:bCs/>
              </w:rPr>
              <w:t>ii</w:t>
            </w:r>
            <w:proofErr w:type="spellEnd"/>
            <w:r w:rsidRPr="007B3F5A">
              <w:rPr>
                <w:rFonts w:ascii="Verdana" w:eastAsia="Calibri" w:hAnsi="Verdana" w:cs="Arial"/>
                <w:bCs/>
              </w:rPr>
              <w:t xml:space="preserve">) la necesidad de ampliar las prestaciones contractuales, mediante la ejecución de nuevos ítems o actividades, no incluidos en el contrato inicial, para lo que en la práctica las entidades ejecutan </w:t>
            </w:r>
            <w:r w:rsidRPr="007B3F5A">
              <w:rPr>
                <w:rFonts w:ascii="Verdana" w:eastAsia="Calibri" w:hAnsi="Verdana" w:cs="Arial"/>
                <w:bCs/>
                <w:i/>
                <w:iCs/>
              </w:rPr>
              <w:lastRenderedPageBreak/>
              <w:t>“obras extra</w:t>
            </w:r>
            <w:r>
              <w:rPr>
                <w:rFonts w:ascii="Verdana" w:eastAsia="Calibri" w:hAnsi="Verdana" w:cs="Arial"/>
                <w:bCs/>
              </w:rPr>
              <w:t>”</w:t>
            </w:r>
            <w:r w:rsidRPr="007B3F5A">
              <w:rPr>
                <w:rFonts w:ascii="Verdana" w:eastAsia="Calibri" w:hAnsi="Verdana" w:cs="Arial"/>
                <w:bCs/>
              </w:rPr>
              <w:t xml:space="preserve"> o </w:t>
            </w:r>
            <w:r w:rsidRPr="007B3F5A">
              <w:rPr>
                <w:rFonts w:ascii="Verdana" w:eastAsia="Calibri" w:hAnsi="Verdana" w:cs="Arial"/>
                <w:bCs/>
                <w:i/>
                <w:iCs/>
              </w:rPr>
              <w:t>“amplían el alcance</w:t>
            </w:r>
            <w:r>
              <w:rPr>
                <w:rFonts w:ascii="Verdana" w:eastAsia="Calibri" w:hAnsi="Verdana" w:cs="Arial"/>
                <w:bCs/>
              </w:rPr>
              <w:t>”</w:t>
            </w:r>
            <w:r w:rsidRPr="007B3F5A">
              <w:rPr>
                <w:rFonts w:ascii="Verdana" w:eastAsia="Calibri" w:hAnsi="Verdana" w:cs="Arial"/>
                <w:bCs/>
              </w:rPr>
              <w:t xml:space="preserve"> del contrato mediante la celebración de un </w:t>
            </w:r>
            <w:r w:rsidRPr="007B3F5A">
              <w:rPr>
                <w:rFonts w:ascii="Verdana" w:eastAsia="Calibri" w:hAnsi="Verdana" w:cs="Arial"/>
                <w:bCs/>
                <w:i/>
                <w:iCs/>
              </w:rPr>
              <w:t>“contrato adicional”.</w:t>
            </w:r>
          </w:p>
          <w:p w14:paraId="395FFDC7" w14:textId="77777777" w:rsidR="00F5053E" w:rsidRDefault="00F5053E" w:rsidP="00A87ED7">
            <w:pPr>
              <w:spacing w:after="120" w:line="276" w:lineRule="auto"/>
              <w:jc w:val="both"/>
              <w:rPr>
                <w:rFonts w:ascii="Verdana" w:eastAsia="Calibri" w:hAnsi="Verdana" w:cs="Arial"/>
                <w:bCs/>
                <w:i/>
                <w:iCs/>
              </w:rPr>
            </w:pPr>
          </w:p>
          <w:p w14:paraId="3297839A" w14:textId="77777777" w:rsidR="00F5053E" w:rsidRDefault="00F5053E" w:rsidP="00A87ED7">
            <w:pPr>
              <w:spacing w:after="120" w:line="276" w:lineRule="auto"/>
              <w:jc w:val="both"/>
              <w:rPr>
                <w:rFonts w:ascii="Verdana" w:eastAsia="Calibri" w:hAnsi="Verdana" w:cs="Arial"/>
                <w:bCs/>
              </w:rPr>
            </w:pPr>
            <w:r>
              <w:rPr>
                <w:rFonts w:ascii="Verdana" w:eastAsia="Calibri" w:hAnsi="Verdana" w:cs="Arial"/>
                <w:bCs/>
              </w:rPr>
              <w:t>D</w:t>
            </w:r>
            <w:r w:rsidRPr="007B3F5A">
              <w:rPr>
                <w:rFonts w:ascii="Verdana" w:eastAsia="Calibri" w:hAnsi="Verdana" w:cs="Arial"/>
                <w:bCs/>
              </w:rPr>
              <w:t xml:space="preserve">icha figura fue </w:t>
            </w:r>
            <w:r>
              <w:rPr>
                <w:rFonts w:ascii="Verdana" w:eastAsia="Calibri" w:hAnsi="Verdana" w:cs="Arial"/>
                <w:bCs/>
              </w:rPr>
              <w:t>abordada</w:t>
            </w:r>
            <w:r w:rsidRPr="007B3F5A">
              <w:rPr>
                <w:rFonts w:ascii="Verdana" w:eastAsia="Calibri" w:hAnsi="Verdana" w:cs="Arial"/>
                <w:bCs/>
              </w:rPr>
              <w:t xml:space="preserve"> por la Ley 80 de 1993, estatuto que, fuera de lo dispuesto en relación con la potestad de modificación unilateral, solo aludió a la posibilidad de adicionar valor de los contratos estatales dentro de un límite dado por el cincuenta por ciento (50%) de su valor inicial expresado, pero sin establecer una limitación expresa sobre otros elementos sobre los que recae la adición</w:t>
            </w:r>
            <w:r>
              <w:rPr>
                <w:rFonts w:ascii="Verdana" w:eastAsia="Calibri" w:hAnsi="Verdana" w:cs="Arial"/>
                <w:bCs/>
              </w:rPr>
              <w:t>.</w:t>
            </w:r>
          </w:p>
          <w:p w14:paraId="79A06948" w14:textId="77777777" w:rsidR="00F5053E" w:rsidRDefault="00F5053E" w:rsidP="00A87ED7">
            <w:pPr>
              <w:spacing w:after="120" w:line="276" w:lineRule="auto"/>
              <w:jc w:val="both"/>
              <w:rPr>
                <w:rFonts w:ascii="Verdana" w:eastAsia="Calibri" w:hAnsi="Verdana" w:cs="Arial"/>
                <w:bCs/>
              </w:rPr>
            </w:pPr>
            <w:r w:rsidRPr="007B3F5A">
              <w:rPr>
                <w:rFonts w:ascii="Verdana" w:eastAsia="Calibri" w:hAnsi="Verdana" w:cs="Arial"/>
                <w:bCs/>
              </w:rPr>
              <w:t xml:space="preserve">No obstante, la expresión </w:t>
            </w:r>
            <w:r w:rsidRPr="007B3F5A">
              <w:rPr>
                <w:rFonts w:ascii="Verdana" w:eastAsia="Calibri" w:hAnsi="Verdana" w:cs="Arial"/>
                <w:bCs/>
                <w:i/>
                <w:iCs/>
              </w:rPr>
              <w:t>“contrato adicional”</w:t>
            </w:r>
            <w:r w:rsidRPr="007B3F5A">
              <w:rPr>
                <w:rFonts w:ascii="Verdana" w:eastAsia="Calibri" w:hAnsi="Verdana" w:cs="Arial"/>
                <w:bCs/>
              </w:rPr>
              <w:t xml:space="preserve">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Pr>
                <w:rFonts w:ascii="Verdana" w:eastAsia="Calibri" w:hAnsi="Verdana" w:cs="Arial"/>
                <w:bCs/>
              </w:rPr>
              <w:t>.</w:t>
            </w:r>
          </w:p>
          <w:p w14:paraId="19F3F428" w14:textId="77777777" w:rsidR="00F5053E" w:rsidRDefault="00F5053E" w:rsidP="00A87ED7">
            <w:pPr>
              <w:spacing w:after="120" w:line="276" w:lineRule="auto"/>
              <w:jc w:val="both"/>
              <w:rPr>
                <w:rFonts w:ascii="Verdana" w:eastAsia="Calibri" w:hAnsi="Verdana" w:cs="Arial"/>
                <w:bCs/>
              </w:rPr>
            </w:pPr>
          </w:p>
          <w:p w14:paraId="3EEA65E4" w14:textId="77777777" w:rsidR="00F5053E" w:rsidRDefault="00F5053E" w:rsidP="00A87ED7">
            <w:pPr>
              <w:spacing w:after="120" w:line="276" w:lineRule="auto"/>
              <w:jc w:val="both"/>
              <w:rPr>
                <w:rFonts w:ascii="Verdana" w:eastAsia="Calibri" w:hAnsi="Verdana" w:cs="Arial"/>
                <w:b/>
              </w:rPr>
            </w:pPr>
            <w:r w:rsidRPr="007B3F5A">
              <w:rPr>
                <w:rFonts w:ascii="Verdana" w:eastAsia="Calibri" w:hAnsi="Verdana" w:cs="Arial"/>
                <w:bCs/>
              </w:rPr>
              <w:t xml:space="preserve">Dicha norma además de consagrar una prohibición trae implícita una autorización, consistente en la posibilidad de adicionar los contratos estatales, siempre que no se supere el tope establecido. </w:t>
            </w:r>
            <w:r w:rsidRPr="007B3F5A">
              <w:rPr>
                <w:rFonts w:ascii="Verdana" w:eastAsia="Calibri" w:hAnsi="Verdana" w:cs="Arial"/>
                <w:b/>
              </w:rPr>
              <w:t>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r>
              <w:rPr>
                <w:rFonts w:ascii="Verdana" w:eastAsia="Calibri" w:hAnsi="Verdana" w:cs="Arial"/>
                <w:b/>
              </w:rPr>
              <w:t>.</w:t>
            </w:r>
          </w:p>
          <w:p w14:paraId="4153C0FB" w14:textId="77777777" w:rsidR="00F5053E" w:rsidRPr="005C70F8" w:rsidRDefault="00F5053E" w:rsidP="00A87ED7">
            <w:pPr>
              <w:spacing w:after="120" w:line="276" w:lineRule="auto"/>
              <w:jc w:val="both"/>
              <w:rPr>
                <w:rFonts w:ascii="Verdana" w:eastAsia="Calibri" w:hAnsi="Verdana" w:cs="Arial"/>
                <w:bCs/>
              </w:rPr>
            </w:pPr>
            <w:r w:rsidRPr="005C70F8">
              <w:rPr>
                <w:rFonts w:ascii="Verdana" w:eastAsia="Calibri" w:hAnsi="Verdana" w:cs="Arial"/>
                <w:bCs/>
              </w:rPr>
              <w:t xml:space="preserve">Vale mencionar que, la única excepción prevista partiendo de la modalidad de selección y/o la tipología contractual es cuando se prorroga un contrato de servicio de interventoría </w:t>
            </w:r>
          </w:p>
        </w:tc>
      </w:tr>
    </w:tbl>
    <w:p w14:paraId="5ACAE4A0" w14:textId="77777777" w:rsidR="00F5053E" w:rsidRPr="00593A5F" w:rsidRDefault="00F5053E" w:rsidP="00F5053E">
      <w:pPr>
        <w:tabs>
          <w:tab w:val="left" w:pos="142"/>
          <w:tab w:val="left" w:pos="284"/>
        </w:tabs>
        <w:spacing w:after="0" w:line="276" w:lineRule="auto"/>
        <w:jc w:val="both"/>
        <w:rPr>
          <w:rFonts w:ascii="Verdana" w:eastAsia="Century Gothic" w:hAnsi="Verdana" w:cs="Century Gothic"/>
          <w:b/>
          <w:bCs/>
          <w:lang w:val="es-ES"/>
        </w:rPr>
      </w:pPr>
    </w:p>
    <w:p w14:paraId="34B1AE8F" w14:textId="77777777" w:rsidR="00F5053E" w:rsidRPr="00593A5F" w:rsidRDefault="00F5053E" w:rsidP="00F505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F827506" w14:textId="77777777" w:rsidR="00F5053E" w:rsidRPr="00593A5F" w:rsidRDefault="00F5053E" w:rsidP="00F5053E">
      <w:pPr>
        <w:spacing w:after="0" w:line="276" w:lineRule="auto"/>
        <w:jc w:val="both"/>
        <w:rPr>
          <w:rFonts w:ascii="Verdana" w:eastAsia="Calibri" w:hAnsi="Verdana" w:cs="Arial"/>
          <w:color w:val="7030A0"/>
          <w:lang w:val="es-ES"/>
        </w:rPr>
      </w:pPr>
    </w:p>
    <w:p w14:paraId="6AD02F2F" w14:textId="77777777" w:rsidR="00F5053E" w:rsidRDefault="00F5053E" w:rsidP="00F5053E">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FAF0D44" w14:textId="77777777" w:rsidR="00F5053E" w:rsidRDefault="00F5053E" w:rsidP="00F5053E">
      <w:pPr>
        <w:spacing w:after="0" w:line="276" w:lineRule="auto"/>
        <w:jc w:val="both"/>
        <w:rPr>
          <w:rFonts w:ascii="Verdana" w:eastAsia="Calibri" w:hAnsi="Verdana" w:cs="Arial"/>
          <w:lang w:val="es-ES"/>
        </w:rPr>
      </w:pPr>
    </w:p>
    <w:p w14:paraId="099CD8D3" w14:textId="77777777" w:rsidR="00F5053E" w:rsidRPr="00AA681A" w:rsidRDefault="00F5053E" w:rsidP="00F5053E">
      <w:pPr>
        <w:pStyle w:val="Prrafodelista"/>
        <w:numPr>
          <w:ilvl w:val="0"/>
          <w:numId w:val="20"/>
        </w:numPr>
        <w:spacing w:after="0" w:line="276" w:lineRule="auto"/>
        <w:jc w:val="both"/>
        <w:rPr>
          <w:rFonts w:ascii="Verdana" w:eastAsia="Calibri" w:hAnsi="Verdana" w:cs="Arial"/>
        </w:rPr>
      </w:pPr>
      <w:r w:rsidRPr="00AA681A">
        <w:rPr>
          <w:rFonts w:ascii="Verdana" w:eastAsia="Calibri" w:hAnsi="Verdana" w:cs="Arial"/>
          <w:lang w:val="es-CO"/>
        </w:rPr>
        <w:t>Como se ha resaltado por esta Agencia en oportunidades anteriores, es que frente a cualquier incremento del valor inicial del contrato, que implica una adición</w:t>
      </w:r>
      <w:r>
        <w:rPr>
          <w:rFonts w:ascii="Verdana" w:eastAsia="Calibri" w:hAnsi="Verdana" w:cs="Arial"/>
          <w:lang w:val="es-CO"/>
        </w:rPr>
        <w:t xml:space="preserve"> que </w:t>
      </w:r>
      <w:r w:rsidRPr="00AA681A">
        <w:rPr>
          <w:rFonts w:ascii="Verdana" w:eastAsia="Calibri" w:hAnsi="Verdana" w:cs="Arial"/>
          <w:lang w:val="es-CO"/>
        </w:rPr>
        <w:t>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w:t>
      </w:r>
    </w:p>
    <w:p w14:paraId="6136D870" w14:textId="77777777" w:rsidR="00F5053E" w:rsidRDefault="00F5053E" w:rsidP="00F5053E">
      <w:pPr>
        <w:pStyle w:val="Prrafodelista"/>
        <w:spacing w:after="0" w:line="276" w:lineRule="auto"/>
        <w:jc w:val="both"/>
        <w:rPr>
          <w:rFonts w:ascii="Verdana" w:eastAsia="Calibri" w:hAnsi="Verdana" w:cs="Arial"/>
        </w:rPr>
      </w:pPr>
    </w:p>
    <w:p w14:paraId="101A2CF6" w14:textId="77777777" w:rsidR="00F5053E" w:rsidRPr="005C70F8" w:rsidRDefault="00F5053E" w:rsidP="00F5053E">
      <w:pPr>
        <w:pStyle w:val="Prrafodelista"/>
        <w:numPr>
          <w:ilvl w:val="0"/>
          <w:numId w:val="20"/>
        </w:numPr>
        <w:spacing w:after="0" w:line="276" w:lineRule="auto"/>
        <w:jc w:val="both"/>
        <w:rPr>
          <w:rFonts w:ascii="Verdana" w:eastAsia="Calibri" w:hAnsi="Verdana" w:cs="Arial"/>
        </w:rPr>
      </w:pPr>
      <w:r>
        <w:rPr>
          <w:rFonts w:ascii="Verdana" w:eastAsia="Calibri" w:hAnsi="Verdana" w:cs="Arial"/>
        </w:rPr>
        <w:t>S</w:t>
      </w:r>
      <w:r w:rsidRPr="005C70F8">
        <w:rPr>
          <w:rFonts w:ascii="Verdana" w:eastAsia="Calibri" w:hAnsi="Verdana" w:cs="Arial"/>
          <w:lang w:val="es-CO"/>
        </w:rPr>
        <w:t>ostiene esta Agencia,</w:t>
      </w:r>
      <w:r>
        <w:rPr>
          <w:rFonts w:ascii="Verdana" w:eastAsia="Calibri" w:hAnsi="Verdana" w:cs="Arial"/>
          <w:lang w:val="es-CO"/>
        </w:rPr>
        <w:t xml:space="preserve"> </w:t>
      </w:r>
      <w:r w:rsidRPr="005C70F8">
        <w:rPr>
          <w:rFonts w:ascii="Verdana" w:eastAsia="Calibri" w:hAnsi="Verdana" w:cs="Arial"/>
          <w:lang w:val="es-CO"/>
        </w:rPr>
        <w:t xml:space="preserve">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w:t>
      </w:r>
      <w:r>
        <w:rPr>
          <w:rFonts w:ascii="Verdana" w:eastAsia="Calibri" w:hAnsi="Verdana" w:cs="Arial"/>
          <w:lang w:val="es-CO"/>
        </w:rPr>
        <w:t>general.</w:t>
      </w:r>
    </w:p>
    <w:p w14:paraId="573B9EE6" w14:textId="77777777" w:rsidR="00F5053E" w:rsidRPr="0073484C" w:rsidRDefault="00F5053E" w:rsidP="00F5053E">
      <w:pPr>
        <w:pStyle w:val="Prrafodelista"/>
        <w:spacing w:after="0" w:line="276" w:lineRule="auto"/>
        <w:jc w:val="both"/>
        <w:rPr>
          <w:rFonts w:ascii="Verdana" w:eastAsia="Calibri" w:hAnsi="Verdana" w:cs="Arial"/>
        </w:rPr>
      </w:pPr>
    </w:p>
    <w:p w14:paraId="254BCCFA" w14:textId="77777777" w:rsidR="00F5053E" w:rsidRDefault="00F5053E" w:rsidP="00F5053E">
      <w:pPr>
        <w:pStyle w:val="Prrafodelista"/>
        <w:numPr>
          <w:ilvl w:val="0"/>
          <w:numId w:val="20"/>
        </w:numPr>
        <w:spacing w:after="0" w:line="276" w:lineRule="auto"/>
        <w:jc w:val="both"/>
        <w:rPr>
          <w:rFonts w:ascii="Verdana" w:eastAsia="Calibri" w:hAnsi="Verdana" w:cs="Arial"/>
          <w:lang w:val="es-CO"/>
        </w:rPr>
      </w:pPr>
      <w:r>
        <w:rPr>
          <w:rFonts w:ascii="Verdana" w:eastAsia="Calibri" w:hAnsi="Verdana" w:cs="Arial"/>
          <w:lang w:val="es-CO"/>
        </w:rPr>
        <w:t>L</w:t>
      </w:r>
      <w:r w:rsidRPr="005C70F8">
        <w:rPr>
          <w:rFonts w:ascii="Verdana" w:eastAsia="Calibri" w:hAnsi="Verdana" w:cs="Arial"/>
          <w:lang w:val="es-CO"/>
        </w:rPr>
        <w:t xml:space="preserve">a Sección Tercera del Consejo de Estado, en el año 2010, se pronunció al respecto al resolver sobre la legalidad del artículo 73 del Decreto 2474 de 2008, que autorizaba la adición de algunos contratos por encima del 50%. </w:t>
      </w:r>
      <w:r>
        <w:rPr>
          <w:rFonts w:ascii="Verdana" w:eastAsia="Calibri" w:hAnsi="Verdana" w:cs="Arial"/>
          <w:lang w:val="es-CO"/>
        </w:rPr>
        <w:t>En la mencionada providencia se</w:t>
      </w:r>
      <w:r w:rsidRPr="005C70F8">
        <w:rPr>
          <w:rFonts w:ascii="Verdana" w:eastAsia="Calibri" w:hAnsi="Verdana" w:cs="Arial"/>
          <w:lang w:val="es-CO"/>
        </w:rPr>
        <w:t xml:space="preserve"> declaró </w:t>
      </w:r>
      <w:r>
        <w:rPr>
          <w:rFonts w:ascii="Verdana" w:eastAsia="Calibri" w:hAnsi="Verdana" w:cs="Arial"/>
          <w:lang w:val="es-CO"/>
        </w:rPr>
        <w:t>la</w:t>
      </w:r>
      <w:r w:rsidRPr="005C70F8">
        <w:rPr>
          <w:rFonts w:ascii="Verdana" w:eastAsia="Calibri" w:hAnsi="Verdana" w:cs="Arial"/>
          <w:lang w:val="es-CO"/>
        </w:rPr>
        <w:t xml:space="preserve"> nulidad de dicha norma, exponiendo los siguientes argumentos:</w:t>
      </w:r>
    </w:p>
    <w:p w14:paraId="68034A1E" w14:textId="77777777" w:rsidR="00F5053E" w:rsidRPr="005C70F8" w:rsidRDefault="00F5053E" w:rsidP="00F5053E">
      <w:pPr>
        <w:pStyle w:val="Prrafodelista"/>
        <w:rPr>
          <w:rFonts w:ascii="Verdana" w:eastAsia="Calibri" w:hAnsi="Verdana" w:cs="Arial"/>
          <w:lang w:val="es-CO"/>
        </w:rPr>
      </w:pPr>
    </w:p>
    <w:p w14:paraId="613F3CAF" w14:textId="77777777" w:rsidR="00F5053E" w:rsidRPr="00AA681A" w:rsidRDefault="00F5053E" w:rsidP="00F5053E">
      <w:pPr>
        <w:pStyle w:val="Prrafodelista"/>
        <w:spacing w:after="0" w:line="276" w:lineRule="auto"/>
        <w:jc w:val="both"/>
        <w:rPr>
          <w:rFonts w:ascii="Verdana" w:eastAsia="Calibri" w:hAnsi="Verdana" w:cs="Arial"/>
          <w:i/>
          <w:iCs/>
          <w:sz w:val="21"/>
          <w:szCs w:val="21"/>
          <w:lang w:val="es-CO"/>
        </w:rPr>
      </w:pPr>
      <w:r w:rsidRPr="00AA681A">
        <w:rPr>
          <w:rFonts w:ascii="Verdana" w:eastAsia="Calibri" w:hAnsi="Verdana" w:cs="Arial"/>
          <w:i/>
          <w:iCs/>
          <w:sz w:val="21"/>
          <w:szCs w:val="21"/>
          <w:lang w:val="es-CO"/>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obstante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w:t>
      </w:r>
      <w:r w:rsidRPr="00AA681A">
        <w:rPr>
          <w:rFonts w:ascii="Verdana" w:eastAsia="Calibri" w:hAnsi="Verdana" w:cs="Arial"/>
          <w:i/>
          <w:iCs/>
          <w:sz w:val="21"/>
          <w:szCs w:val="21"/>
          <w:lang w:val="es-CO"/>
        </w:rPr>
        <w:lastRenderedPageBreak/>
        <w:t>objetiva y la planeación. 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Pr>
          <w:rStyle w:val="Refdenotaalpie"/>
          <w:rFonts w:ascii="Verdana" w:eastAsia="Calibri" w:hAnsi="Verdana" w:cs="Arial"/>
          <w:i/>
          <w:iCs/>
          <w:sz w:val="21"/>
          <w:szCs w:val="21"/>
          <w:lang w:val="es-CO"/>
        </w:rPr>
        <w:footnoteReference w:id="1"/>
      </w:r>
    </w:p>
    <w:p w14:paraId="5207F2F8" w14:textId="77777777" w:rsidR="00F5053E" w:rsidRPr="0073484C" w:rsidRDefault="00F5053E" w:rsidP="00F5053E">
      <w:pPr>
        <w:pStyle w:val="Prrafodelista"/>
        <w:spacing w:after="0" w:line="276" w:lineRule="auto"/>
        <w:jc w:val="both"/>
        <w:rPr>
          <w:rFonts w:ascii="Verdana" w:eastAsia="Calibri" w:hAnsi="Verdana" w:cs="Arial"/>
          <w:i/>
          <w:iCs/>
        </w:rPr>
      </w:pPr>
    </w:p>
    <w:p w14:paraId="1600F56E" w14:textId="77777777" w:rsidR="00F5053E" w:rsidRDefault="00F5053E" w:rsidP="00F5053E">
      <w:pPr>
        <w:pStyle w:val="Prrafodelista"/>
        <w:numPr>
          <w:ilvl w:val="0"/>
          <w:numId w:val="20"/>
        </w:numPr>
        <w:spacing w:after="0" w:line="276" w:lineRule="auto"/>
        <w:jc w:val="both"/>
        <w:rPr>
          <w:rFonts w:ascii="Verdana" w:eastAsia="Calibri" w:hAnsi="Verdana" w:cs="Arial"/>
        </w:rPr>
      </w:pPr>
      <w:r w:rsidRPr="00B123CD">
        <w:rPr>
          <w:rFonts w:ascii="Verdana" w:eastAsia="Calibri" w:hAnsi="Verdana" w:cs="Arial"/>
          <w:lang w:val="es-CO"/>
        </w:rPr>
        <w:t xml:space="preserve">Ahora bien, para determinar cómo debe hacerse el cálculo de la adición, basta con remitirse a lo dispuesto en el parágrafo del artículo 40 de la Ley 80 de 1993 </w:t>
      </w:r>
      <w:r>
        <w:rPr>
          <w:rFonts w:ascii="Verdana" w:eastAsia="Calibri" w:hAnsi="Verdana" w:cs="Arial"/>
          <w:lang w:val="es-CO"/>
        </w:rPr>
        <w:t>“</w:t>
      </w:r>
      <w:r w:rsidRPr="00B123CD">
        <w:rPr>
          <w:rFonts w:ascii="Verdana" w:eastAsia="Calibri" w:hAnsi="Verdana" w:cs="Arial"/>
          <w:lang w:val="es-CO"/>
        </w:rPr>
        <w:t xml:space="preserve">Los contratos no podrán adicionarse en más del cincuenta por ciento (50%) de su valor inicial, expresado éste en salarios mínimos legales </w:t>
      </w:r>
      <w:proofErr w:type="gramStart"/>
      <w:r w:rsidRPr="00B123CD">
        <w:rPr>
          <w:rFonts w:ascii="Verdana" w:eastAsia="Calibri" w:hAnsi="Verdana" w:cs="Arial"/>
          <w:lang w:val="es-CO"/>
        </w:rPr>
        <w:t>mensuales</w:t>
      </w:r>
      <w:r>
        <w:rPr>
          <w:rFonts w:ascii="Verdana" w:eastAsia="Calibri" w:hAnsi="Verdana" w:cs="Arial"/>
          <w:lang w:val="es-CO"/>
        </w:rPr>
        <w:t>”</w:t>
      </w:r>
      <w:r w:rsidRPr="0073484C">
        <w:rPr>
          <w:rFonts w:ascii="Verdana" w:eastAsia="Calibri" w:hAnsi="Verdana" w:cs="Arial"/>
        </w:rPr>
        <w:t>o</w:t>
      </w:r>
      <w:proofErr w:type="gramEnd"/>
      <w:r w:rsidRPr="0073484C">
        <w:rPr>
          <w:rFonts w:ascii="Verdana" w:eastAsia="Calibri" w:hAnsi="Verdana" w:cs="Arial"/>
        </w:rPr>
        <w:t xml:space="preserve">, </w:t>
      </w:r>
      <w:proofErr w:type="spellStart"/>
      <w:r w:rsidRPr="0073484C">
        <w:rPr>
          <w:rFonts w:ascii="Verdana" w:eastAsia="Calibri" w:hAnsi="Verdana" w:cs="Arial"/>
        </w:rPr>
        <w:t>iii</w:t>
      </w:r>
      <w:proofErr w:type="spellEnd"/>
      <w:r w:rsidRPr="0073484C">
        <w:rPr>
          <w:rFonts w:ascii="Verdana" w:eastAsia="Calibri" w:hAnsi="Verdana" w:cs="Arial"/>
        </w:rPr>
        <w:t>) la fecha del acuerdo que disponga la terminación del contrato.</w:t>
      </w:r>
    </w:p>
    <w:p w14:paraId="3DD42E90" w14:textId="77777777" w:rsidR="00F5053E" w:rsidRPr="0073484C" w:rsidRDefault="00F5053E" w:rsidP="00F5053E">
      <w:pPr>
        <w:pStyle w:val="Prrafodelista"/>
        <w:rPr>
          <w:rFonts w:ascii="Verdana" w:eastAsia="Calibri" w:hAnsi="Verdana" w:cs="Arial"/>
        </w:rPr>
      </w:pPr>
    </w:p>
    <w:p w14:paraId="100B2D99" w14:textId="77777777" w:rsidR="00F5053E" w:rsidRPr="00B123CD" w:rsidRDefault="00F5053E" w:rsidP="00F5053E">
      <w:pPr>
        <w:pStyle w:val="Prrafodelista"/>
        <w:numPr>
          <w:ilvl w:val="0"/>
          <w:numId w:val="20"/>
        </w:numPr>
        <w:spacing w:after="0" w:line="276" w:lineRule="auto"/>
        <w:jc w:val="both"/>
        <w:rPr>
          <w:rFonts w:ascii="Verdana" w:eastAsia="Calibri" w:hAnsi="Verdana" w:cs="Arial"/>
        </w:rPr>
      </w:pPr>
      <w:r w:rsidRPr="00B123CD">
        <w:rPr>
          <w:rFonts w:ascii="Verdana" w:eastAsia="Calibri" w:hAnsi="Verdana" w:cs="Arial"/>
          <w:lang w:val="es-CO"/>
        </w:rPr>
        <w:t>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p w14:paraId="17E0ED8C" w14:textId="77777777" w:rsidR="00F5053E" w:rsidRPr="00B123CD" w:rsidRDefault="00F5053E" w:rsidP="00F5053E">
      <w:pPr>
        <w:pStyle w:val="Prrafodelista"/>
        <w:rPr>
          <w:rFonts w:ascii="Verdana" w:eastAsia="Calibri" w:hAnsi="Verdana" w:cs="Arial"/>
        </w:rPr>
      </w:pPr>
    </w:p>
    <w:p w14:paraId="2B05D8B8" w14:textId="77777777" w:rsidR="00F5053E" w:rsidRPr="00B123CD" w:rsidRDefault="00F5053E" w:rsidP="00F5053E">
      <w:pPr>
        <w:pStyle w:val="Prrafodelista"/>
        <w:numPr>
          <w:ilvl w:val="0"/>
          <w:numId w:val="20"/>
        </w:numPr>
        <w:spacing w:after="0" w:line="276" w:lineRule="auto"/>
        <w:jc w:val="both"/>
        <w:rPr>
          <w:rFonts w:ascii="Verdana" w:eastAsia="Calibri" w:hAnsi="Verdana" w:cs="Arial"/>
        </w:rPr>
      </w:pPr>
      <w:r w:rsidRPr="00B123CD">
        <w:rPr>
          <w:rFonts w:ascii="Verdana" w:eastAsia="Calibri" w:hAnsi="Verdana" w:cs="Arial"/>
          <w:lang w:val="es-CO"/>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se considera que debido a que cuando </w:t>
      </w:r>
      <w:r w:rsidRPr="00B123CD">
        <w:rPr>
          <w:rFonts w:ascii="Verdana" w:eastAsia="Calibri" w:hAnsi="Verdana" w:cs="Arial"/>
          <w:lang w:val="es-CO"/>
        </w:rPr>
        <w:lastRenderedPageBreak/>
        <w:t>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w:t>
      </w:r>
    </w:p>
    <w:p w14:paraId="1A57E1EA" w14:textId="77777777" w:rsidR="00F5053E" w:rsidRPr="00B123CD" w:rsidRDefault="00F5053E" w:rsidP="00F5053E">
      <w:pPr>
        <w:spacing w:after="0" w:line="276" w:lineRule="auto"/>
        <w:jc w:val="both"/>
        <w:rPr>
          <w:rFonts w:ascii="Verdana" w:eastAsia="Calibri" w:hAnsi="Verdana" w:cs="Arial"/>
        </w:rPr>
      </w:pPr>
    </w:p>
    <w:p w14:paraId="38828408" w14:textId="77777777" w:rsidR="00F5053E" w:rsidRPr="00593A5F" w:rsidRDefault="00F5053E" w:rsidP="00F505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20FFF53" w14:textId="77777777" w:rsidR="00F5053E" w:rsidRPr="00593A5F" w:rsidRDefault="00F5053E" w:rsidP="00F5053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5053E" w:rsidRPr="00593A5F" w14:paraId="4CB39ED1" w14:textId="77777777" w:rsidTr="00A87ED7">
        <w:trPr>
          <w:trHeight w:val="870"/>
        </w:trPr>
        <w:tc>
          <w:tcPr>
            <w:tcW w:w="8647" w:type="dxa"/>
          </w:tcPr>
          <w:p w14:paraId="3AC2D384" w14:textId="77777777" w:rsidR="00F5053E" w:rsidRPr="00B123CD" w:rsidRDefault="00F5053E" w:rsidP="00A87ED7">
            <w:pPr>
              <w:pStyle w:val="Prrafodelista"/>
              <w:numPr>
                <w:ilvl w:val="0"/>
                <w:numId w:val="18"/>
              </w:numPr>
              <w:jc w:val="both"/>
              <w:rPr>
                <w:rFonts w:ascii="Verdana" w:eastAsia="Calibri" w:hAnsi="Verdana" w:cs="Arial"/>
                <w:bCs/>
                <w:color w:val="000000"/>
                <w:sz w:val="21"/>
                <w:szCs w:val="21"/>
                <w:lang w:eastAsia="es-ES_tradnl"/>
              </w:rPr>
            </w:pPr>
            <w:r w:rsidRPr="00B123CD">
              <w:rPr>
                <w:rFonts w:ascii="Verdana" w:eastAsia="Calibri" w:hAnsi="Verdana" w:cs="Arial"/>
                <w:bCs/>
              </w:rPr>
              <w:t>Artículo 40 de la Ley 80 de 1993.</w:t>
            </w:r>
          </w:p>
          <w:p w14:paraId="5F3949EB" w14:textId="77777777" w:rsidR="00F5053E" w:rsidRPr="00B123CD" w:rsidRDefault="00F5053E" w:rsidP="00A87ED7">
            <w:pPr>
              <w:pStyle w:val="Textonotapie"/>
              <w:numPr>
                <w:ilvl w:val="0"/>
                <w:numId w:val="18"/>
              </w:numPr>
              <w:rPr>
                <w:lang w:val="es-CO"/>
              </w:rPr>
            </w:pPr>
            <w:r w:rsidRPr="00B123CD">
              <w:rPr>
                <w:rFonts w:ascii="Verdana" w:hAnsi="Verdana"/>
                <w:sz w:val="22"/>
                <w:szCs w:val="22"/>
                <w:lang w:val="es-CO"/>
              </w:rPr>
              <w:t xml:space="preserve">Consejo de Estado. Sección Tercera. Sentencia del 14 de abril de 2010. </w:t>
            </w:r>
            <w:proofErr w:type="spellStart"/>
            <w:r w:rsidRPr="00B123CD">
              <w:rPr>
                <w:rFonts w:ascii="Verdana" w:hAnsi="Verdana"/>
                <w:sz w:val="22"/>
                <w:szCs w:val="22"/>
                <w:lang w:val="es-CO"/>
              </w:rPr>
              <w:t>Exp</w:t>
            </w:r>
            <w:proofErr w:type="spellEnd"/>
            <w:r w:rsidRPr="00B123CD">
              <w:rPr>
                <w:rFonts w:ascii="Verdana" w:hAnsi="Verdana"/>
                <w:sz w:val="22"/>
                <w:szCs w:val="22"/>
                <w:lang w:val="es-CO"/>
              </w:rPr>
              <w:t>. 36.054. C.P.: Enrique Gil Botero</w:t>
            </w:r>
            <w:r w:rsidRPr="00B123CD">
              <w:rPr>
                <w:lang w:val="es-CO"/>
              </w:rPr>
              <w:t>.</w:t>
            </w:r>
          </w:p>
          <w:p w14:paraId="33D59A7B" w14:textId="77777777" w:rsidR="00F5053E" w:rsidRPr="00B123CD" w:rsidRDefault="00F5053E"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Pr>
                <w:rFonts w:ascii="Verdana" w:eastAsia="Calibri" w:hAnsi="Verdana" w:cs="Arial"/>
                <w:lang w:val="es-CO"/>
              </w:rPr>
              <w:t>A</w:t>
            </w:r>
            <w:r w:rsidRPr="005C70F8">
              <w:rPr>
                <w:rFonts w:ascii="Verdana" w:eastAsia="Calibri" w:hAnsi="Verdana" w:cs="Arial"/>
                <w:lang w:val="es-CO"/>
              </w:rPr>
              <w:t>rtículo 73 del Decreto 2474 de 2008</w:t>
            </w:r>
          </w:p>
          <w:p w14:paraId="24943FEB" w14:textId="77777777" w:rsidR="00F5053E" w:rsidRPr="00A4046A" w:rsidRDefault="00F5053E"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sidRPr="00A4046A">
              <w:rPr>
                <w:rFonts w:ascii="Verdana" w:hAnsi="Verdana" w:cs="Arial"/>
                <w:sz w:val="21"/>
                <w:szCs w:val="21"/>
              </w:rPr>
              <w:t xml:space="preserve">Jurisprudencia del Consejo de Estado. Disponible en: </w:t>
            </w:r>
            <w:hyperlink r:id="rId11" w:history="1">
              <w:r w:rsidRPr="0066366A">
                <w:rPr>
                  <w:rStyle w:val="Hipervnculo"/>
                  <w:rFonts w:ascii="Verdana" w:hAnsi="Verdana" w:cs="Arial"/>
                  <w:sz w:val="21"/>
                  <w:szCs w:val="21"/>
                </w:rPr>
                <w:t>https://relatoria.colombiacompra.gov.co/providencias-consejo-de-estado/</w:t>
              </w:r>
            </w:hyperlink>
            <w:r w:rsidRPr="00A4046A">
              <w:rPr>
                <w:rFonts w:ascii="Verdana" w:hAnsi="Verdana" w:cs="Arial"/>
                <w:sz w:val="21"/>
                <w:szCs w:val="21"/>
              </w:rPr>
              <w:t xml:space="preserve"> </w:t>
            </w:r>
          </w:p>
          <w:p w14:paraId="6664EF0A" w14:textId="77777777" w:rsidR="00F5053E" w:rsidRPr="00A4046A" w:rsidRDefault="00F5053E"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sidRPr="00A4046A">
              <w:rPr>
                <w:rFonts w:ascii="Verdana" w:hAnsi="Verdana" w:cs="Arial"/>
                <w:sz w:val="21"/>
                <w:szCs w:val="21"/>
              </w:rPr>
              <w:t>Guías y manuales expedidos por la ANCP-CCE. Disponible en:</w:t>
            </w:r>
            <w:r w:rsidRPr="00A4046A">
              <w:rPr>
                <w:sz w:val="21"/>
                <w:szCs w:val="21"/>
              </w:rPr>
              <w:t xml:space="preserve"> </w:t>
            </w:r>
            <w:hyperlink r:id="rId12" w:history="1">
              <w:r w:rsidRPr="00A4046A">
                <w:rPr>
                  <w:rStyle w:val="Hipervnculo"/>
                  <w:rFonts w:ascii="Verdana" w:hAnsi="Verdana" w:cs="Arial"/>
                  <w:sz w:val="21"/>
                  <w:szCs w:val="21"/>
                </w:rPr>
                <w:t>https://www.colombiacompra.gov.co/manuales-guias-y-pliegos-tipo/manuales-y-guias</w:t>
              </w:r>
            </w:hyperlink>
            <w:r w:rsidRPr="00A4046A">
              <w:rPr>
                <w:rFonts w:ascii="Verdana" w:hAnsi="Verdana" w:cs="Arial"/>
                <w:sz w:val="21"/>
                <w:szCs w:val="21"/>
              </w:rPr>
              <w:t xml:space="preserve"> </w:t>
            </w:r>
          </w:p>
          <w:p w14:paraId="49333636" w14:textId="77777777" w:rsidR="00F5053E" w:rsidRPr="00AC742F" w:rsidRDefault="00F5053E" w:rsidP="00A87ED7">
            <w:pPr>
              <w:widowControl w:val="0"/>
              <w:autoSpaceDE w:val="0"/>
              <w:autoSpaceDN w:val="0"/>
              <w:spacing w:after="120" w:line="276" w:lineRule="auto"/>
              <w:ind w:left="360"/>
              <w:jc w:val="both"/>
              <w:rPr>
                <w:rFonts w:ascii="Verdana" w:hAnsi="Verdana" w:cs="Arial"/>
              </w:rPr>
            </w:pPr>
          </w:p>
        </w:tc>
      </w:tr>
    </w:tbl>
    <w:p w14:paraId="21E092AB" w14:textId="77777777" w:rsidR="00F5053E" w:rsidRPr="00593A5F" w:rsidRDefault="00F5053E" w:rsidP="00F5053E">
      <w:pPr>
        <w:widowControl w:val="0"/>
        <w:autoSpaceDE w:val="0"/>
        <w:autoSpaceDN w:val="0"/>
        <w:spacing w:after="0" w:line="276" w:lineRule="auto"/>
        <w:jc w:val="both"/>
        <w:rPr>
          <w:rFonts w:ascii="Verdana" w:hAnsi="Verdana" w:cs="Arial"/>
        </w:rPr>
      </w:pPr>
    </w:p>
    <w:p w14:paraId="3F675C53" w14:textId="77777777" w:rsidR="00F5053E" w:rsidRPr="00593A5F" w:rsidRDefault="00F5053E" w:rsidP="00F505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B4DAA73" w14:textId="77777777" w:rsidR="00F5053E" w:rsidRPr="00593A5F" w:rsidRDefault="00F5053E" w:rsidP="00F5053E">
      <w:pPr>
        <w:widowControl w:val="0"/>
        <w:autoSpaceDE w:val="0"/>
        <w:autoSpaceDN w:val="0"/>
        <w:spacing w:after="0" w:line="276" w:lineRule="auto"/>
        <w:jc w:val="both"/>
        <w:rPr>
          <w:rFonts w:ascii="Verdana" w:hAnsi="Verdana" w:cs="Arial"/>
        </w:rPr>
      </w:pPr>
    </w:p>
    <w:p w14:paraId="6D90F6DC" w14:textId="77777777" w:rsidR="00F5053E" w:rsidRPr="005B6F15" w:rsidRDefault="00F5053E" w:rsidP="00F5053E">
      <w:pPr>
        <w:spacing w:after="120" w:line="276" w:lineRule="auto"/>
        <w:ind w:firstLine="708"/>
        <w:jc w:val="both"/>
        <w:rPr>
          <w:rStyle w:val="normaltextrun"/>
          <w:rFonts w:ascii="Verdana" w:eastAsia="Calibri" w:hAnsi="Verdana" w:cs="Arial"/>
          <w:bCs/>
          <w:color w:val="000000"/>
          <w:lang w:eastAsia="es-ES_tradnl"/>
        </w:rPr>
      </w:pPr>
      <w:r w:rsidRPr="00B123CD">
        <w:rPr>
          <w:rFonts w:ascii="Verdana" w:eastAsia="Calibri" w:hAnsi="Verdana" w:cs="Arial"/>
          <w:lang w:eastAsia="es-ES"/>
        </w:rPr>
        <w:t>La Agencia Nacional de Contratación Pública ― Colombia Compra Eficiente, en los conceptos con radicado Nos. 4201912000007298 de 23 de octubre de 2019, 4201913000006294 del 16 de septiembre de 2019, así como en los conceptos C-062 del 25 de marzo de 2020, C-100 del 27 de marzo de 2020, C-318 del 28 de mayo de 2020, C– 452 del 28 de julio de 2020, C-560 del 24 de agosto de 2020, C-628 del 23 de septiembre del 2020, C-750 del 21 de diciembre de 2020, C-073 de 16 de marzo de 2021, C-277 de 21 de junio de 2021, C-644 de 18 de noviembre de 2021, C-755 de 21 de enero de 2022, C-152 de 1 de abril de 2022, C-267 de 5 de mayo de 2022 y C-432 de 13 de julio de 2022 y C-630 del 29 de septiembre de 2022, estudió asuntos relacionados con la adición de los contratos estatales</w:t>
      </w:r>
      <w:r w:rsidRPr="00A81558">
        <w:rPr>
          <w:rFonts w:ascii="Verdana" w:eastAsia="Calibri" w:hAnsi="Verdana" w:cs="Arial"/>
          <w:lang w:eastAsia="es-ES"/>
        </w:rPr>
        <w:t>. Las tesis expuestas en dichas oportunidades se reiteran a continuación y se complementan en lo pertinente.</w:t>
      </w:r>
      <w:r>
        <w:rPr>
          <w:rFonts w:ascii="Verdana" w:eastAsia="Calibri" w:hAnsi="Verdana" w:cs="Arial"/>
          <w:bCs/>
          <w:color w:val="000000"/>
          <w:lang w:eastAsia="es-ES_tradnl"/>
        </w:rPr>
        <w:t xml:space="preserve"> </w:t>
      </w:r>
      <w:r w:rsidRPr="005B6F15">
        <w:rPr>
          <w:rFonts w:ascii="Verdana" w:eastAsia="Calibri" w:hAnsi="Verdana" w:cs="Arial"/>
          <w:bCs/>
          <w:color w:val="000000"/>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w:t>
      </w:r>
      <w:r w:rsidRPr="005B6F15">
        <w:rPr>
          <w:rFonts w:ascii="Verdana" w:eastAsia="Calibri" w:hAnsi="Verdana" w:cs="Arial"/>
          <w:bCs/>
          <w:color w:val="000000"/>
          <w:lang w:eastAsia="es-ES_tradnl"/>
        </w:rPr>
        <w:lastRenderedPageBreak/>
        <w:t>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5B6F15">
          <w:rPr>
            <w:rStyle w:val="Hipervnculo"/>
            <w:rFonts w:ascii="Verdana" w:eastAsia="Calibri" w:hAnsi="Verdana" w:cs="Arial"/>
            <w:bCs/>
            <w:lang w:eastAsia="es-ES_tradnl"/>
          </w:rPr>
          <w:t>https://relatoria.colombiacompra.gov.co/</w:t>
        </w:r>
      </w:hyperlink>
      <w:r w:rsidRPr="005B6F15">
        <w:rPr>
          <w:rFonts w:ascii="Verdana" w:eastAsia="Calibri" w:hAnsi="Verdana" w:cs="Arial"/>
          <w:bCs/>
          <w:color w:val="000000"/>
          <w:lang w:eastAsia="es-ES_tradnl"/>
        </w:rPr>
        <w:t> .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5B6F15">
          <w:rPr>
            <w:rStyle w:val="Hipervnculo"/>
            <w:rFonts w:ascii="Verdana" w:eastAsia="Calibri" w:hAnsi="Verdana" w:cs="Arial"/>
            <w:bCs/>
            <w:lang w:eastAsia="es-ES_tradnl"/>
          </w:rPr>
          <w:t>https://www.colombiacompra.gov.co/sites/cce_public/files/files_2020/boletin_de_realtoria_iii.pdf</w:t>
        </w:r>
      </w:hyperlink>
      <w:r w:rsidRPr="005B6F15">
        <w:rPr>
          <w:rFonts w:ascii="Verdana" w:eastAsia="Calibri" w:hAnsi="Verdana" w:cs="Arial"/>
          <w:bCs/>
          <w:color w:val="000000"/>
          <w:lang w:eastAsia="es-ES_tradnl"/>
        </w:rPr>
        <w:t> ".  </w:t>
      </w:r>
    </w:p>
    <w:p w14:paraId="6D5B4424" w14:textId="77777777" w:rsidR="00F5053E" w:rsidRPr="005B6F15" w:rsidRDefault="00F5053E" w:rsidP="00F5053E">
      <w:pPr>
        <w:spacing w:after="120" w:line="276" w:lineRule="auto"/>
        <w:jc w:val="both"/>
        <w:rPr>
          <w:rFonts w:ascii="Verdana" w:eastAsia="Calibri" w:hAnsi="Verdana" w:cs="Arial"/>
          <w:lang w:eastAsia="es-ES"/>
        </w:rPr>
      </w:pPr>
      <w:r w:rsidRPr="005B6F15">
        <w:rPr>
          <w:rFonts w:ascii="Verdana" w:eastAsia="Calibri" w:hAnsi="Verdana" w:cs="Arial"/>
          <w:lang w:eastAsia="es-ES"/>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5" w:tgtFrame="_blank" w:tooltip="Dirección URL original: https://www.sucop.gov.co/entidades/colombiacompra/Normativa?IDNorma=17363. Haga clic o pulse si confía en este vínculo." w:history="1">
        <w:r w:rsidRPr="005B6F15">
          <w:rPr>
            <w:rStyle w:val="Hipervnculo"/>
            <w:rFonts w:ascii="Verdana" w:eastAsia="Calibri" w:hAnsi="Verdana" w:cs="Arial"/>
            <w:lang w:eastAsia="es-ES"/>
          </w:rPr>
          <w:t>https://www.sucop.gov.co/entidades/colombiacompra/Normativa?IDNorma=17363</w:t>
        </w:r>
      </w:hyperlink>
      <w:r w:rsidRPr="005B6F15">
        <w:rPr>
          <w:rFonts w:ascii="Verdana" w:eastAsia="Calibri" w:hAnsi="Verdana" w:cs="Arial"/>
          <w:lang w:eastAsia="es-ES"/>
        </w:rPr>
        <w:t> y </w:t>
      </w:r>
      <w:hyperlink r:id="rId16" w:tgtFrame="_blank" w:tooltip="Dirección URL original: https://www.colombiacompra.gov.co/content/convocatorias. Haga clic o pulse si confía en este vínculo." w:history="1">
        <w:r w:rsidRPr="005B6F15">
          <w:rPr>
            <w:rStyle w:val="Hipervnculo"/>
            <w:rFonts w:ascii="Verdana" w:eastAsia="Calibri" w:hAnsi="Verdana" w:cs="Arial"/>
            <w:lang w:eastAsia="es-ES"/>
          </w:rPr>
          <w:t>https://www.colombiacompra.gov.co/content/convocatorias</w:t>
        </w:r>
      </w:hyperlink>
      <w:r w:rsidRPr="005B6F15">
        <w:rPr>
          <w:rFonts w:ascii="Verdana" w:eastAsia="Calibri" w:hAnsi="Verdana" w:cs="Arial"/>
          <w:lang w:eastAsia="es-ES"/>
        </w:rPr>
        <w:t> ". </w:t>
      </w:r>
    </w:p>
    <w:p w14:paraId="6151FA69" w14:textId="77777777" w:rsidR="00F5053E" w:rsidRDefault="00F5053E" w:rsidP="00F5053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1006630" w14:textId="77777777" w:rsidR="00F5053E" w:rsidRPr="003E2460" w:rsidRDefault="00F5053E" w:rsidP="00F5053E">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75D0353" w14:textId="77777777" w:rsidR="00F5053E" w:rsidRPr="003E2460" w:rsidRDefault="00F5053E" w:rsidP="00F5053E">
      <w:pPr>
        <w:spacing w:after="0" w:line="240" w:lineRule="auto"/>
        <w:jc w:val="both"/>
        <w:rPr>
          <w:rFonts w:ascii="Verdana" w:hAnsi="Verdana"/>
        </w:rPr>
      </w:pPr>
    </w:p>
    <w:p w14:paraId="3655505C" w14:textId="77777777" w:rsidR="00F5053E" w:rsidRPr="003E2460" w:rsidRDefault="00F5053E" w:rsidP="00F5053E">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1F89EA9" w14:textId="77777777" w:rsidR="00F5053E" w:rsidRPr="003E2460" w:rsidRDefault="00F5053E" w:rsidP="00F5053E">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39EB6694" w14:textId="77777777" w:rsidR="00F5053E" w:rsidRPr="003E2460" w:rsidRDefault="00F5053E" w:rsidP="00F5053E">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6CB038D" w14:textId="77777777" w:rsidR="00F5053E" w:rsidRPr="00593A5F" w:rsidRDefault="00F5053E" w:rsidP="00F5053E">
      <w:pPr>
        <w:widowControl w:val="0"/>
        <w:autoSpaceDE w:val="0"/>
        <w:autoSpaceDN w:val="0"/>
        <w:spacing w:after="0" w:line="276" w:lineRule="auto"/>
        <w:jc w:val="both"/>
        <w:rPr>
          <w:rFonts w:ascii="Verdana" w:hAnsi="Verdana" w:cs="Arial"/>
        </w:rPr>
      </w:pPr>
    </w:p>
    <w:p w14:paraId="05540328" w14:textId="77777777" w:rsidR="00F5053E" w:rsidRDefault="00F5053E" w:rsidP="00F5053E">
      <w:pPr>
        <w:pStyle w:val="Textoindependiente"/>
        <w:spacing w:line="276" w:lineRule="auto"/>
        <w:ind w:right="533"/>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E</w:t>
      </w:r>
      <w:r w:rsidRPr="005B6F15">
        <w:rPr>
          <w:rFonts w:ascii="Verdana" w:eastAsia="Calibri" w:hAnsi="Verdana" w:cs="Arial"/>
          <w:bCs/>
          <w:color w:val="000000"/>
          <w:kern w:val="2"/>
          <w14:ligatures w14:val="standardContextual"/>
        </w:rPr>
        <w:t xml:space="preserv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0309BB39" w14:textId="77777777" w:rsidR="00F5053E" w:rsidRPr="00593A5F" w:rsidRDefault="00F5053E" w:rsidP="00F5053E">
      <w:pPr>
        <w:pStyle w:val="Textoindependiente"/>
        <w:spacing w:line="276" w:lineRule="auto"/>
        <w:ind w:right="533"/>
        <w:jc w:val="both"/>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7603B32" w14:textId="3D335E07" w:rsidR="00F5053E" w:rsidRPr="00593A5F" w:rsidRDefault="00F61F28" w:rsidP="00F5053E">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6AAFD78" wp14:editId="18CAD70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5053E" w:rsidRPr="004B2B8D" w14:paraId="335569A8" w14:textId="77777777" w:rsidTr="00A87ED7">
        <w:trPr>
          <w:trHeight w:val="315"/>
        </w:trPr>
        <w:tc>
          <w:tcPr>
            <w:tcW w:w="893" w:type="dxa"/>
            <w:vAlign w:val="center"/>
            <w:hideMark/>
          </w:tcPr>
          <w:p w14:paraId="31CBBD91" w14:textId="77777777" w:rsidR="00F5053E" w:rsidRPr="004B2B8D" w:rsidRDefault="00F5053E" w:rsidP="00A87ED7">
            <w:pPr>
              <w:contextualSpacing/>
              <w:rPr>
                <w:rFonts w:ascii="Verdana" w:hAnsi="Verdana" w:cs="Arial"/>
                <w:sz w:val="16"/>
                <w:szCs w:val="16"/>
                <w:lang w:val="es-ES" w:eastAsia="es-ES"/>
              </w:rPr>
            </w:pPr>
            <w:r w:rsidRPr="004B2B8D">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70342A55" w14:textId="77777777" w:rsidR="00F5053E" w:rsidRPr="004B2B8D" w:rsidRDefault="00F5053E" w:rsidP="00A87ED7">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1C48E3BC" w14:textId="77777777" w:rsidR="00F5053E" w:rsidRPr="004B2B8D" w:rsidRDefault="00F5053E" w:rsidP="00A87ED7">
            <w:pPr>
              <w:contextualSpacing/>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F5053E" w:rsidRPr="004B2B8D" w14:paraId="3100B134" w14:textId="77777777" w:rsidTr="00A87ED7">
        <w:trPr>
          <w:trHeight w:val="330"/>
        </w:trPr>
        <w:tc>
          <w:tcPr>
            <w:tcW w:w="893" w:type="dxa"/>
            <w:vAlign w:val="center"/>
            <w:hideMark/>
          </w:tcPr>
          <w:p w14:paraId="6EC31B02" w14:textId="77777777" w:rsidR="00F5053E" w:rsidRPr="004B2B8D" w:rsidRDefault="00F5053E" w:rsidP="00A87ED7">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DF018C8" w14:textId="77777777" w:rsidR="00F5053E" w:rsidRPr="0079283E" w:rsidRDefault="00F5053E" w:rsidP="00A87ED7">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David Cárdenas Cabezas</w:t>
            </w:r>
          </w:p>
          <w:p w14:paraId="0EF390A5" w14:textId="77777777" w:rsidR="00F5053E" w:rsidRPr="004B2B8D" w:rsidRDefault="00F5053E" w:rsidP="00A87ED7">
            <w:pPr>
              <w:pStyle w:val="paragraph"/>
              <w:spacing w:before="0" w:beforeAutospacing="0" w:after="0" w:afterAutospacing="0"/>
              <w:contextualSpacing/>
              <w:textAlignment w:val="baseline"/>
              <w:rPr>
                <w:rFonts w:ascii="Verdana" w:hAnsi="Verdana" w:cs="Segoe UI"/>
                <w:sz w:val="16"/>
                <w:szCs w:val="16"/>
              </w:rPr>
            </w:pPr>
            <w:r w:rsidRPr="005B6F15">
              <w:rPr>
                <w:rStyle w:val="normaltextrun"/>
                <w:rFonts w:ascii="Verdana" w:hAnsi="Verdana" w:cs="Arial"/>
                <w:sz w:val="16"/>
                <w:szCs w:val="16"/>
                <w:lang w:val="es-ES"/>
              </w:rPr>
              <w:t>C</w:t>
            </w:r>
            <w:r w:rsidRPr="005B6F15">
              <w:rPr>
                <w:rStyle w:val="normaltextrun"/>
                <w:rFonts w:ascii="Verdana" w:hAnsi="Verdana"/>
                <w:sz w:val="16"/>
                <w:szCs w:val="16"/>
                <w:lang w:val="es-ES"/>
              </w:rPr>
              <w:t>ontratista</w:t>
            </w:r>
            <w:r w:rsidRPr="005B6F15">
              <w:rPr>
                <w:rStyle w:val="normaltextrun"/>
                <w:rFonts w:ascii="Verdana" w:hAnsi="Verdana" w:cs="Arial"/>
                <w:sz w:val="16"/>
                <w:szCs w:val="16"/>
                <w:lang w:val="es-ES"/>
              </w:rPr>
              <w:t xml:space="preserve"> de</w:t>
            </w:r>
            <w:r w:rsidRPr="004B2B8D">
              <w:rPr>
                <w:rStyle w:val="normaltextrun"/>
                <w:rFonts w:ascii="Verdana" w:hAnsi="Verdana" w:cs="Arial"/>
                <w:sz w:val="16"/>
                <w:szCs w:val="16"/>
                <w:lang w:val="es-ES"/>
              </w:rPr>
              <w:t xml:space="preserve"> la Subdirección de Gestión Contractual</w:t>
            </w:r>
            <w:r w:rsidRPr="004B2B8D">
              <w:rPr>
                <w:rStyle w:val="eop"/>
                <w:rFonts w:ascii="Verdana" w:hAnsi="Verdana" w:cs="Arial"/>
                <w:sz w:val="16"/>
                <w:szCs w:val="16"/>
              </w:rPr>
              <w:t> </w:t>
            </w:r>
          </w:p>
        </w:tc>
      </w:tr>
      <w:tr w:rsidR="00F5053E" w:rsidRPr="004B2B8D" w14:paraId="209BF5EA" w14:textId="77777777" w:rsidTr="00A87ED7">
        <w:trPr>
          <w:trHeight w:val="300"/>
        </w:trPr>
        <w:tc>
          <w:tcPr>
            <w:tcW w:w="893" w:type="dxa"/>
            <w:vAlign w:val="center"/>
          </w:tcPr>
          <w:p w14:paraId="029AF8A1" w14:textId="77777777" w:rsidR="00F5053E" w:rsidRPr="004B2B8D" w:rsidRDefault="00F5053E" w:rsidP="00A87ED7">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40D8B6" w14:textId="77777777" w:rsidR="00F5053E" w:rsidRPr="004B2B8D" w:rsidRDefault="00F5053E" w:rsidP="00A87ED7">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8C675A4" w14:textId="77777777" w:rsidR="00F5053E" w:rsidRPr="004B2B8D" w:rsidRDefault="00F5053E" w:rsidP="00A87ED7">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bookmarkEnd w:id="0"/>
    </w:tbl>
    <w:p w14:paraId="0F293BF4" w14:textId="7BBFAB11" w:rsidR="00127233" w:rsidRPr="004B2562" w:rsidRDefault="00127233" w:rsidP="00F61F28"/>
    <w:sectPr w:rsidR="00127233" w:rsidRPr="004B2562"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A2FF59" w14:textId="77777777" w:rsidR="00012CCC" w:rsidRDefault="00012CCC" w:rsidP="004A1847">
      <w:pPr>
        <w:spacing w:after="0" w:line="240" w:lineRule="auto"/>
      </w:pPr>
      <w:r>
        <w:separator/>
      </w:r>
    </w:p>
  </w:endnote>
  <w:endnote w:type="continuationSeparator" w:id="0">
    <w:p w14:paraId="05B1712E" w14:textId="77777777" w:rsidR="00012CCC" w:rsidRDefault="00012CC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Klee One"/>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9A184" w14:textId="77777777" w:rsidR="00012CCC" w:rsidRDefault="00012CCC" w:rsidP="004A1847">
      <w:pPr>
        <w:spacing w:after="0" w:line="240" w:lineRule="auto"/>
      </w:pPr>
      <w:r>
        <w:separator/>
      </w:r>
    </w:p>
  </w:footnote>
  <w:footnote w:type="continuationSeparator" w:id="0">
    <w:p w14:paraId="13C8078D" w14:textId="77777777" w:rsidR="00012CCC" w:rsidRDefault="00012CCC" w:rsidP="004A1847">
      <w:pPr>
        <w:spacing w:after="0" w:line="240" w:lineRule="auto"/>
      </w:pPr>
      <w:r>
        <w:continuationSeparator/>
      </w:r>
    </w:p>
  </w:footnote>
  <w:footnote w:id="1">
    <w:p w14:paraId="42765024" w14:textId="77777777" w:rsidR="00F5053E" w:rsidRPr="00AA681A" w:rsidRDefault="00F5053E" w:rsidP="00F5053E">
      <w:pPr>
        <w:pStyle w:val="Textonotapie"/>
        <w:rPr>
          <w:lang w:val="es-CO"/>
        </w:rPr>
      </w:pPr>
      <w:r>
        <w:rPr>
          <w:rStyle w:val="Refdenotaalpie"/>
        </w:rPr>
        <w:footnoteRef/>
      </w:r>
      <w:r>
        <w:t xml:space="preserve"> </w:t>
      </w:r>
      <w:r w:rsidRPr="00AA681A">
        <w:rPr>
          <w:lang w:val="es-CO"/>
        </w:rPr>
        <w:t>Consejo de Estado. Sección Tercera. Sentencia del 14 de abril de 2010. Exp. 36.054. C.P.: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7D2324"/>
    <w:multiLevelType w:val="hybridMultilevel"/>
    <w:tmpl w:val="055018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FDA18DB"/>
    <w:multiLevelType w:val="hybridMultilevel"/>
    <w:tmpl w:val="DE120B10"/>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F3C75A8"/>
    <w:multiLevelType w:val="hybridMultilevel"/>
    <w:tmpl w:val="CC9642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679089576">
    <w:abstractNumId w:val="11"/>
  </w:num>
  <w:num w:numId="18" w16cid:durableId="820266944">
    <w:abstractNumId w:val="12"/>
  </w:num>
  <w:num w:numId="19" w16cid:durableId="1073892189">
    <w:abstractNumId w:val="4"/>
  </w:num>
  <w:num w:numId="20" w16cid:durableId="1412505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CCC"/>
    <w:rsid w:val="00061B2A"/>
    <w:rsid w:val="00082362"/>
    <w:rsid w:val="000A683E"/>
    <w:rsid w:val="000B19B9"/>
    <w:rsid w:val="000D0334"/>
    <w:rsid w:val="000F6486"/>
    <w:rsid w:val="00125105"/>
    <w:rsid w:val="00127233"/>
    <w:rsid w:val="001403A8"/>
    <w:rsid w:val="001E4177"/>
    <w:rsid w:val="001F7DC6"/>
    <w:rsid w:val="002421BB"/>
    <w:rsid w:val="0025796E"/>
    <w:rsid w:val="002707A2"/>
    <w:rsid w:val="002951A0"/>
    <w:rsid w:val="002962BC"/>
    <w:rsid w:val="002A093D"/>
    <w:rsid w:val="002A0DD0"/>
    <w:rsid w:val="002A49AC"/>
    <w:rsid w:val="002A64FD"/>
    <w:rsid w:val="002C7A84"/>
    <w:rsid w:val="002D00FC"/>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B2562"/>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900D9"/>
    <w:rsid w:val="006970E4"/>
    <w:rsid w:val="006D12F8"/>
    <w:rsid w:val="006E02BF"/>
    <w:rsid w:val="00706C16"/>
    <w:rsid w:val="00756841"/>
    <w:rsid w:val="007649AB"/>
    <w:rsid w:val="00771D0C"/>
    <w:rsid w:val="007833AC"/>
    <w:rsid w:val="007B268C"/>
    <w:rsid w:val="007B7171"/>
    <w:rsid w:val="007C0C0F"/>
    <w:rsid w:val="007C3DC2"/>
    <w:rsid w:val="007E5497"/>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621D3"/>
    <w:rsid w:val="00AB0ADB"/>
    <w:rsid w:val="00B01B1A"/>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053E"/>
    <w:rsid w:val="00F5664F"/>
    <w:rsid w:val="00F61F28"/>
    <w:rsid w:val="00F666C4"/>
    <w:rsid w:val="00F76AFC"/>
    <w:rsid w:val="00F9163D"/>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unhideWhenUsed/>
    <w:qFormat/>
    <w:rsid w:val="00F5053E"/>
    <w:pPr>
      <w:spacing w:after="120"/>
    </w:pPr>
  </w:style>
  <w:style w:type="character" w:customStyle="1" w:styleId="TextoindependienteCar">
    <w:name w:val="Texto independiente Car"/>
    <w:basedOn w:val="Fuentedeprrafopredeter"/>
    <w:link w:val="Textoindependiente"/>
    <w:uiPriority w:val="1"/>
    <w:rsid w:val="00F5053E"/>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5053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richard.montenegro%40colombiacompra.gov.co%7C5aad36a736844ec87b2108dcc1fa4639%7C7b09041e245149d08cb179d5e3d8c1be%7C0%7C0%7C638598527918211370%7CUnknown%7CTWFpbGZsb3d8eyJWIjoiMC4wLjAwMDAiLCJQIjoiV2luMzIiLCJBTiI6Ik1haWwiLCJXVCI6Mn0%3D%7C0%7C%7C%7C&amp;sdata=3iCzGCukUgod7aJkgVrKz6drnkiXLwIfrm11kr1fcQo%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convocatorias&amp;data=05%7C02%7Crichard.montenegro%40colombiacompra.gov.co%7C5aad36a736844ec87b2108dcc1fa4639%7C7b09041e245149d08cb179d5e3d8c1be%7C0%7C0%7C638598527918250586%7CUnknown%7CTWFpbGZsb3d8eyJWIjoiMC4wLjAwMDAiLCJQIjoiV2luMzIiLCJBTiI6Ik1haWwiLCJXVCI6Mn0%3D%7C0%7C%7C%7C&amp;sdata=k3pda2AULwR%2B12b%2FK3mHNf8xGyxM5Bsrfg4wQ2rMlW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providencias-consejo-de-estad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7363&amp;data=05%7C02%7Crichard.montenegro%40colombiacompra.gov.co%7C5aad36a736844ec87b2108dcc1fa4639%7C7b09041e245149d08cb179d5e3d8c1be%7C0%7C0%7C638598527918240808%7CUnknown%7CTWFpbGZsb3d8eyJWIjoiMC4wLjAwMDAiLCJQIjoiV2luMzIiLCJBTiI6Ik1haWwiLCJXVCI6Mn0%3D%7C0%7C%7C%7C&amp;sdata=6VyTfolbU%2BsFv%2Fa%2FruTe%2F06L09sMVet3fo0lJN%2FyDFY%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iii.pdf&amp;data=05%7C02%7Crichard.montenegro%40colombiacompra.gov.co%7C5aad36a736844ec87b2108dcc1fa4639%7C7b09041e245149d08cb179d5e3d8c1be%7C0%7C0%7C638598527918225556%7CUnknown%7CTWFpbGZsb3d8eyJWIjoiMC4wLjAwMDAiLCJQIjoiV2luMzIiLCJBTiI6Ik1haWwiLCJXVCI6Mn0%3D%7C0%7C%7C%7C&amp;sdata=mu%2BnrVEo026I3cRSCjkQuazmGBY%2B8xZloaKT7UkXyPo%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0F0EF8C-E5A3-41EA-B64C-C95EBE56A84E}"/>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2866</Words>
  <Characters>15766</Characters>
  <Application>Microsoft Office Word</Application>
  <DocSecurity>0</DocSecurity>
  <Lines>131</Lines>
  <Paragraphs>37</Paragraphs>
  <ScaleCrop>false</ScaleCrop>
  <Company/>
  <LinksUpToDate>false</LinksUpToDate>
  <CharactersWithSpaces>18595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2024-08-25T21:46:00Z</dcterms:created>
  <dcterms:modified xsi:type="dcterms:W3CDTF">2024-08-25T21:46:00Z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