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72691" w14:textId="77777777" w:rsidR="00293A8C" w:rsidRDefault="00293A8C" w:rsidP="00293A8C">
      <w:pPr>
        <w:pStyle w:val="Textoindependiente"/>
        <w:spacing w:after="0" w:line="240" w:lineRule="auto"/>
        <w:ind w:right="102"/>
        <w:jc w:val="both"/>
        <w:rPr>
          <w:rFonts w:ascii="Verdana" w:hAnsi="Verdana" w:cs="Arial"/>
          <w:b/>
          <w:color w:val="000000" w:themeColor="text1"/>
          <w:lang w:val="es-ES_tradnl"/>
        </w:rPr>
      </w:pPr>
    </w:p>
    <w:p w14:paraId="490B52AD" w14:textId="68445AAA" w:rsidR="00293A8C" w:rsidRPr="00396DBB" w:rsidRDefault="00293A8C" w:rsidP="00293A8C">
      <w:pPr>
        <w:pStyle w:val="Textoindependiente"/>
        <w:spacing w:after="0" w:line="240" w:lineRule="auto"/>
        <w:ind w:right="102"/>
        <w:jc w:val="both"/>
        <w:rPr>
          <w:rFonts w:ascii="Verdana" w:hAnsi="Verdana" w:cs="Arial"/>
          <w:b/>
          <w:color w:val="000000" w:themeColor="text1"/>
          <w:lang w:val="es-ES_tradnl"/>
        </w:rPr>
      </w:pPr>
      <w:r w:rsidRPr="00341512">
        <w:rPr>
          <w:rFonts w:ascii="Verdana" w:hAnsi="Verdana" w:cs="Arial"/>
          <w:b/>
          <w:color w:val="000000" w:themeColor="text1"/>
          <w:lang w:val="es-ES_tradnl"/>
        </w:rPr>
        <w:t>ESTAMPILLA PARA LA JUSTICIA FAMILIAR</w:t>
      </w:r>
      <w:r w:rsidRPr="005D4B9C">
        <w:rPr>
          <w:rFonts w:ascii="Verdana" w:hAnsi="Verdana" w:cs="Arial"/>
          <w:b/>
          <w:color w:val="000000" w:themeColor="text1"/>
          <w:lang w:val="es-ES_tradnl"/>
        </w:rPr>
        <w:t xml:space="preserve"> – </w:t>
      </w:r>
      <w:r>
        <w:rPr>
          <w:rFonts w:ascii="Verdana" w:hAnsi="Verdana" w:cs="Arial"/>
          <w:b/>
          <w:color w:val="000000" w:themeColor="text1"/>
          <w:lang w:val="es-ES_tradnl"/>
        </w:rPr>
        <w:t xml:space="preserve">Fundamento normativo </w:t>
      </w:r>
      <w:r w:rsidRPr="00396DBB">
        <w:rPr>
          <w:rFonts w:ascii="Verdana" w:hAnsi="Verdana" w:cs="Arial"/>
          <w:b/>
          <w:color w:val="000000" w:themeColor="text1"/>
          <w:lang w:val="es-ES_tradnl"/>
        </w:rPr>
        <w:t xml:space="preserve"> </w:t>
      </w:r>
    </w:p>
    <w:p w14:paraId="526F8A8B" w14:textId="77777777" w:rsidR="00293A8C" w:rsidRPr="00396DBB" w:rsidRDefault="00293A8C" w:rsidP="00293A8C">
      <w:pPr>
        <w:pStyle w:val="Textoindependiente"/>
        <w:spacing w:after="0" w:line="240" w:lineRule="auto"/>
        <w:ind w:right="102"/>
        <w:jc w:val="both"/>
        <w:rPr>
          <w:rFonts w:ascii="Verdana" w:hAnsi="Verdana" w:cs="Arial"/>
          <w:color w:val="000000" w:themeColor="text1"/>
          <w:sz w:val="20"/>
          <w:szCs w:val="20"/>
          <w:lang w:val="es-ES_tradnl"/>
        </w:rPr>
      </w:pPr>
    </w:p>
    <w:p w14:paraId="1C22CC37" w14:textId="77777777" w:rsidR="00293A8C" w:rsidRDefault="00293A8C" w:rsidP="00293A8C">
      <w:pPr>
        <w:spacing w:after="0" w:line="240" w:lineRule="auto"/>
        <w:jc w:val="both"/>
        <w:rPr>
          <w:rFonts w:ascii="Verdana" w:eastAsia="Arial" w:hAnsi="Verdana" w:cs="Arial"/>
          <w:bCs/>
          <w:color w:val="000000" w:themeColor="text1"/>
          <w:sz w:val="20"/>
          <w:szCs w:val="20"/>
        </w:rPr>
      </w:pPr>
      <w:r w:rsidRPr="00341512">
        <w:rPr>
          <w:rFonts w:ascii="Verdana" w:eastAsia="Arial" w:hAnsi="Verdana" w:cs="Arial"/>
          <w:bCs/>
          <w:color w:val="000000" w:themeColor="text1"/>
          <w:sz w:val="20"/>
          <w:szCs w:val="20"/>
        </w:rPr>
        <w:t>El artículo 22 de la Ley 2126 de 2021 autoriza a las Asambleas departamentales, a los Concejos distritales y municipales para crear la “Estampilla para la Justicia Familiar”. De acuerdo con los incisos 2 y 3, “El producto de dichos recursos se destinará a financiar los gastos de funcionamiento en personal de nómina y dotación de las Comisarías de Familia, conforme el estándar de costos que para tal efecto establezca el Ministerio de Justicia y del Derecho como ente rector”, además de que “Los excedentes en el recaudo se destinarán a la política de digitalización y necesidades de infraestructura, sin perjuicio de los recursos propios adicionales que se apropien por los entes territoriales”. Asimismo, el parágrafo dispone que “El recaudo de la Estampilla Departamental se distribuirá en los distritos y municipios de su Jurisdicción en proporción directa al número de Comisarías existente en cada ente territorial”.</w:t>
      </w:r>
    </w:p>
    <w:p w14:paraId="7E012C06" w14:textId="77777777" w:rsidR="00293A8C" w:rsidRPr="00341512" w:rsidRDefault="00293A8C" w:rsidP="00293A8C">
      <w:pPr>
        <w:spacing w:after="0" w:line="240" w:lineRule="auto"/>
        <w:jc w:val="both"/>
        <w:rPr>
          <w:rFonts w:ascii="Verdana" w:eastAsia="Arial" w:hAnsi="Verdana" w:cs="Arial"/>
          <w:bCs/>
          <w:color w:val="000000" w:themeColor="text1"/>
          <w:sz w:val="20"/>
          <w:szCs w:val="20"/>
        </w:rPr>
      </w:pPr>
    </w:p>
    <w:p w14:paraId="0E02DE6A" w14:textId="77777777" w:rsidR="00293A8C" w:rsidRPr="00FB1576" w:rsidRDefault="00293A8C" w:rsidP="00293A8C">
      <w:pPr>
        <w:spacing w:after="0" w:line="240" w:lineRule="auto"/>
        <w:jc w:val="both"/>
        <w:rPr>
          <w:rFonts w:ascii="Verdana" w:eastAsia="Arial" w:hAnsi="Verdana" w:cs="Arial"/>
          <w:color w:val="000000" w:themeColor="text1"/>
          <w:sz w:val="20"/>
          <w:szCs w:val="20"/>
        </w:rPr>
      </w:pPr>
      <w:r w:rsidRPr="00341512">
        <w:rPr>
          <w:rFonts w:ascii="Verdana" w:eastAsia="Arial" w:hAnsi="Verdana" w:cs="Arial"/>
          <w:bCs/>
          <w:color w:val="000000" w:themeColor="text1"/>
          <w:sz w:val="20"/>
          <w:szCs w:val="20"/>
        </w:rPr>
        <w:t xml:space="preserve">Para estos efectos, los artículos 23 y 24 de la Ley 2126 de 2021 determinan el hecho generador, la base gravable y la tarifa. Por un lado, “El hecho generador de la estampilla está constituido por los contratos y las adiciones a los mismos, suscritos con las entidades que conforman el presupuesto anual del departamento, municipio y distrito”. Por otra parte, “La base gravable es el valor bruto de los contratos, entendido como el valor a girar por cada orden de pago o anticipo sin incluir el Impuesto al Valor Agregado IVA. La tarifa es del 2% del valor del pago anticipado si lo hubiere, y de cada cuenta que se le pague al contratista”. Sin embargo, respecto al </w:t>
      </w:r>
      <w:r w:rsidRPr="00341512">
        <w:rPr>
          <w:rFonts w:ascii="Verdana" w:eastAsia="Arial" w:hAnsi="Verdana" w:cs="Arial"/>
          <w:bCs/>
          <w:i/>
          <w:iCs/>
          <w:color w:val="000000" w:themeColor="text1"/>
          <w:sz w:val="20"/>
          <w:szCs w:val="20"/>
        </w:rPr>
        <w:t>hecho generador</w:t>
      </w:r>
      <w:r w:rsidRPr="00341512">
        <w:rPr>
          <w:rFonts w:ascii="Verdana" w:eastAsia="Arial" w:hAnsi="Verdana" w:cs="Arial"/>
          <w:bCs/>
          <w:color w:val="000000" w:themeColor="text1"/>
          <w:sz w:val="20"/>
          <w:szCs w:val="20"/>
        </w:rPr>
        <w:t>, el parágrafo del artículo 23 de la Ley 2126 de 2021 dispone que “Quedarán excluidos los contratos de prestación de servicios cuyo pago de honorarios mensual sea inferior a diez (10) SMLMV”</w:t>
      </w:r>
      <w:r>
        <w:rPr>
          <w:rFonts w:ascii="Verdana" w:eastAsia="Arial" w:hAnsi="Verdana" w:cs="Arial"/>
          <w:bCs/>
          <w:color w:val="000000" w:themeColor="text1"/>
          <w:sz w:val="20"/>
          <w:szCs w:val="20"/>
        </w:rPr>
        <w:t>.</w:t>
      </w:r>
      <w:r w:rsidRPr="00FB1576">
        <w:rPr>
          <w:rFonts w:ascii="Verdana" w:eastAsia="Arial" w:hAnsi="Verdana" w:cs="Arial"/>
          <w:color w:val="000000" w:themeColor="text1"/>
          <w:sz w:val="20"/>
          <w:szCs w:val="20"/>
        </w:rPr>
        <w:t xml:space="preserve"> </w:t>
      </w:r>
    </w:p>
    <w:p w14:paraId="1F1B4221" w14:textId="77777777" w:rsidR="00293A8C" w:rsidRPr="00396DBB" w:rsidRDefault="00293A8C" w:rsidP="00293A8C">
      <w:pPr>
        <w:spacing w:after="0" w:line="240" w:lineRule="auto"/>
        <w:jc w:val="both"/>
        <w:rPr>
          <w:rFonts w:ascii="Verdana" w:eastAsia="Calibri" w:hAnsi="Verdana" w:cs="Arial"/>
          <w:b/>
          <w:color w:val="000000" w:themeColor="text1"/>
          <w:lang w:val="es-ES_tradnl"/>
        </w:rPr>
      </w:pPr>
    </w:p>
    <w:p w14:paraId="73C4B99C" w14:textId="77777777" w:rsidR="00293A8C" w:rsidRPr="00396DBB" w:rsidRDefault="00293A8C" w:rsidP="00293A8C">
      <w:pPr>
        <w:spacing w:after="0" w:line="240" w:lineRule="auto"/>
        <w:jc w:val="both"/>
        <w:rPr>
          <w:rFonts w:ascii="Verdana" w:eastAsia="Calibri" w:hAnsi="Verdana" w:cs="Arial"/>
          <w:b/>
          <w:color w:val="000000" w:themeColor="text1"/>
          <w:lang w:val="es-ES_tradnl"/>
        </w:rPr>
      </w:pPr>
      <w:r>
        <w:rPr>
          <w:rFonts w:ascii="Verdana" w:eastAsia="Calibri" w:hAnsi="Verdana" w:cs="Arial"/>
          <w:b/>
          <w:color w:val="000000" w:themeColor="text1"/>
          <w:lang w:val="es-ES_tradnl"/>
        </w:rPr>
        <w:t>CONTRATOS DE PRESTACIÓN DE SERVICIOS</w:t>
      </w:r>
      <w:r w:rsidRPr="00396DBB">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Género – Especies</w:t>
      </w:r>
    </w:p>
    <w:p w14:paraId="5D119CC4" w14:textId="77777777" w:rsidR="00293A8C" w:rsidRPr="00396DBB" w:rsidRDefault="00293A8C" w:rsidP="00293A8C">
      <w:pPr>
        <w:spacing w:after="0" w:line="240" w:lineRule="auto"/>
        <w:jc w:val="both"/>
        <w:rPr>
          <w:rFonts w:ascii="Verdana" w:eastAsia="Calibri" w:hAnsi="Verdana" w:cs="Arial"/>
          <w:bCs/>
          <w:color w:val="000000" w:themeColor="text1"/>
          <w:sz w:val="20"/>
          <w:szCs w:val="20"/>
          <w:lang w:val="es-ES_tradnl"/>
        </w:rPr>
      </w:pPr>
    </w:p>
    <w:p w14:paraId="07B7F83A" w14:textId="77777777" w:rsidR="00293A8C" w:rsidRPr="00607C86" w:rsidRDefault="00293A8C" w:rsidP="00293A8C">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_tradnl"/>
        </w:rPr>
        <w:t>D</w:t>
      </w:r>
      <w:r w:rsidRPr="00607C86">
        <w:rPr>
          <w:rFonts w:ascii="Verdana" w:hAnsi="Verdana" w:cs="Arial"/>
          <w:color w:val="000000" w:themeColor="text1"/>
          <w:sz w:val="20"/>
          <w:szCs w:val="20"/>
          <w:lang w:val="es-ES_tradnl"/>
        </w:rPr>
        <w:t>e acuerdo con los artículos 32.3 de la Ley 80 de 1993, 2.4 –</w:t>
      </w:r>
      <w:proofErr w:type="spellStart"/>
      <w:r w:rsidRPr="00607C86">
        <w:rPr>
          <w:rFonts w:ascii="Verdana" w:hAnsi="Verdana" w:cs="Arial"/>
          <w:color w:val="000000" w:themeColor="text1"/>
          <w:sz w:val="20"/>
          <w:szCs w:val="20"/>
          <w:lang w:val="es-ES_tradnl"/>
        </w:rPr>
        <w:t>lit.</w:t>
      </w:r>
      <w:proofErr w:type="spellEnd"/>
      <w:r w:rsidRPr="00607C86">
        <w:rPr>
          <w:rFonts w:ascii="Verdana" w:hAnsi="Verdana" w:cs="Arial"/>
          <w:color w:val="000000" w:themeColor="text1"/>
          <w:sz w:val="20"/>
          <w:szCs w:val="20"/>
          <w:lang w:val="es-ES_tradnl"/>
        </w:rPr>
        <w:t xml:space="preserve"> h)– de la Ley 1150 de 2007 y 2.2.1.2.1.4.9 del Decreto 1082 de 2015, </w:t>
      </w:r>
      <w:r w:rsidRPr="00607C86">
        <w:rPr>
          <w:rFonts w:ascii="Verdana" w:hAnsi="Verdana" w:cs="Arial"/>
          <w:color w:val="000000" w:themeColor="text1"/>
          <w:sz w:val="20"/>
          <w:szCs w:val="20"/>
          <w:lang w:val="es-ES"/>
        </w:rPr>
        <w:t xml:space="preserve">los contratos de prestación de servicios constituyen un </w:t>
      </w:r>
      <w:r w:rsidRPr="00607C86">
        <w:rPr>
          <w:rFonts w:ascii="Verdana" w:hAnsi="Verdana" w:cs="Arial"/>
          <w:i/>
          <w:color w:val="000000" w:themeColor="text1"/>
          <w:sz w:val="20"/>
          <w:szCs w:val="20"/>
          <w:lang w:val="es-ES"/>
        </w:rPr>
        <w:t>género</w:t>
      </w:r>
      <w:r w:rsidRPr="00607C86">
        <w:rPr>
          <w:rFonts w:ascii="Verdana" w:hAnsi="Verdana" w:cs="Arial"/>
          <w:color w:val="000000" w:themeColor="text1"/>
          <w:sz w:val="20"/>
          <w:szCs w:val="20"/>
          <w:lang w:val="es-ES"/>
        </w:rPr>
        <w:t xml:space="preserve"> que incluye, como </w:t>
      </w:r>
      <w:r w:rsidRPr="00607C86">
        <w:rPr>
          <w:rFonts w:ascii="Verdana" w:hAnsi="Verdana" w:cs="Arial"/>
          <w:i/>
          <w:color w:val="000000" w:themeColor="text1"/>
          <w:sz w:val="20"/>
          <w:szCs w:val="20"/>
          <w:lang w:val="es-ES"/>
        </w:rPr>
        <w:t>especies</w:t>
      </w:r>
      <w:r w:rsidRPr="00607C86">
        <w:rPr>
          <w:rFonts w:ascii="Verdana" w:hAnsi="Verdana" w:cs="Arial"/>
          <w:color w:val="000000" w:themeColor="text1"/>
          <w:sz w:val="20"/>
          <w:szCs w:val="20"/>
          <w:lang w:val="es-ES"/>
        </w:rPr>
        <w:t xml:space="preserve">, los contratos de prestación de servicios profesionales, los contratos de prestación de servicios de apoyo a la gestión y los contratos de prestación de servicios artísticos que solo pueden encomendarse a determinadas personas naturales. </w:t>
      </w:r>
    </w:p>
    <w:p w14:paraId="37BA8790" w14:textId="77777777" w:rsidR="00293A8C" w:rsidRDefault="00293A8C" w:rsidP="00293A8C">
      <w:pPr>
        <w:spacing w:after="0" w:line="240" w:lineRule="auto"/>
        <w:jc w:val="both"/>
        <w:rPr>
          <w:rFonts w:ascii="Verdana" w:hAnsi="Verdana" w:cs="Arial"/>
          <w:color w:val="000000" w:themeColor="text1"/>
          <w:sz w:val="20"/>
          <w:szCs w:val="20"/>
        </w:rPr>
      </w:pPr>
    </w:p>
    <w:p w14:paraId="09EF6586" w14:textId="77777777" w:rsidR="00293A8C" w:rsidRPr="00D066C0" w:rsidRDefault="00293A8C" w:rsidP="00293A8C">
      <w:pPr>
        <w:spacing w:after="0" w:line="240" w:lineRule="auto"/>
        <w:jc w:val="both"/>
        <w:rPr>
          <w:rFonts w:ascii="Verdana" w:hAnsi="Verdana" w:cs="Arial"/>
          <w:color w:val="000000" w:themeColor="text1"/>
          <w:sz w:val="20"/>
          <w:szCs w:val="20"/>
          <w:lang w:val="es-ES_tradnl"/>
        </w:rPr>
      </w:pPr>
      <w:r w:rsidRPr="00607C86">
        <w:rPr>
          <w:rFonts w:ascii="Verdana" w:hAnsi="Verdana" w:cs="Arial"/>
          <w:color w:val="000000" w:themeColor="text1"/>
          <w:sz w:val="20"/>
          <w:szCs w:val="20"/>
        </w:rPr>
        <w:t>Por tanto, siempre que los honorarios sean inferiores a 10 SMLMV, están exentos de la “Estampilla para la Justicia Familiar”. Lo anterior en la medida que el parágrafo del artículo 23 de la Ley 2126 de 2021 se refiere a los contratos de prestación de servicios sin distinguir entre las diferentes especies; razón por la cual, “donde el legislador no distingue, no les lícito al intérprete distinguir”</w:t>
      </w:r>
      <w:r w:rsidRPr="00BE364D">
        <w:rPr>
          <w:rFonts w:ascii="Verdana" w:hAnsi="Verdana" w:cs="Arial"/>
          <w:color w:val="000000" w:themeColor="text1"/>
          <w:sz w:val="20"/>
          <w:szCs w:val="20"/>
        </w:rPr>
        <w:t>.</w:t>
      </w:r>
    </w:p>
    <w:p w14:paraId="6C39CEEC" w14:textId="77777777" w:rsidR="00293A8C" w:rsidRPr="00293A8C" w:rsidRDefault="00293A8C" w:rsidP="00EA3EFE">
      <w:pPr>
        <w:spacing w:after="0" w:line="240" w:lineRule="auto"/>
        <w:jc w:val="both"/>
        <w:rPr>
          <w:rFonts w:ascii="Verdana" w:eastAsia="Geomanist Light" w:hAnsi="Verdana" w:cs="Arial"/>
          <w:color w:val="000000" w:themeColor="text1"/>
          <w:lang w:val="es-ES_tradnl"/>
        </w:rPr>
      </w:pPr>
    </w:p>
    <w:p w14:paraId="7EC1F5B2" w14:textId="77777777" w:rsidR="00293A8C" w:rsidRDefault="00293A8C" w:rsidP="00EA3EFE">
      <w:pPr>
        <w:spacing w:after="0" w:line="240" w:lineRule="auto"/>
        <w:jc w:val="both"/>
        <w:rPr>
          <w:rFonts w:ascii="Verdana" w:eastAsia="Geomanist Light" w:hAnsi="Verdana" w:cs="Arial"/>
          <w:color w:val="000000" w:themeColor="text1"/>
          <w:lang w:val="es-MX"/>
        </w:rPr>
      </w:pPr>
    </w:p>
    <w:p w14:paraId="5CA0B982" w14:textId="77777777" w:rsidR="00293A8C" w:rsidRDefault="00293A8C" w:rsidP="00EA3EFE">
      <w:pPr>
        <w:spacing w:after="0" w:line="240" w:lineRule="auto"/>
        <w:jc w:val="both"/>
        <w:rPr>
          <w:rFonts w:ascii="Verdana" w:eastAsia="Geomanist Light" w:hAnsi="Verdana" w:cs="Arial"/>
          <w:color w:val="000000" w:themeColor="text1"/>
          <w:lang w:val="es-MX"/>
        </w:rPr>
      </w:pPr>
    </w:p>
    <w:p w14:paraId="181F6599" w14:textId="77777777" w:rsidR="00293A8C" w:rsidRDefault="00293A8C" w:rsidP="00EA3EFE">
      <w:pPr>
        <w:spacing w:after="0" w:line="240" w:lineRule="auto"/>
        <w:jc w:val="both"/>
        <w:rPr>
          <w:rFonts w:ascii="Verdana" w:eastAsia="Geomanist Light" w:hAnsi="Verdana" w:cs="Arial"/>
          <w:color w:val="000000" w:themeColor="text1"/>
          <w:lang w:val="es-MX"/>
        </w:rPr>
      </w:pPr>
    </w:p>
    <w:p w14:paraId="39F2BD10" w14:textId="77777777" w:rsidR="00293A8C" w:rsidRDefault="00293A8C" w:rsidP="00EA3EFE">
      <w:pPr>
        <w:spacing w:after="0" w:line="240" w:lineRule="auto"/>
        <w:jc w:val="both"/>
        <w:rPr>
          <w:rFonts w:ascii="Verdana" w:eastAsia="Geomanist Light" w:hAnsi="Verdana" w:cs="Arial"/>
          <w:color w:val="000000" w:themeColor="text1"/>
          <w:lang w:val="es-MX"/>
        </w:rPr>
      </w:pPr>
    </w:p>
    <w:p w14:paraId="466E8816" w14:textId="078950F0" w:rsidR="00E81D3B" w:rsidRPr="00EA3EFE" w:rsidRDefault="00E81D3B" w:rsidP="00EA3EFE">
      <w:pPr>
        <w:spacing w:after="0" w:line="240" w:lineRule="auto"/>
        <w:jc w:val="both"/>
        <w:rPr>
          <w:rFonts w:ascii="Verdana" w:hAnsi="Verdana" w:cs="Arial"/>
          <w:color w:val="000000" w:themeColor="text1"/>
          <w:sz w:val="20"/>
          <w:szCs w:val="20"/>
          <w:lang w:val="es-ES_tradnl"/>
        </w:rPr>
      </w:pPr>
      <w:r w:rsidRPr="00EA3EFE">
        <w:rPr>
          <w:rFonts w:ascii="Verdana" w:eastAsia="Geomanist Light" w:hAnsi="Verdana" w:cs="Arial"/>
          <w:color w:val="000000" w:themeColor="text1"/>
          <w:lang w:val="es-MX"/>
        </w:rPr>
        <w:lastRenderedPageBreak/>
        <w:t>Bogotá D.C., </w:t>
      </w:r>
      <w:r w:rsidR="00635BFA" w:rsidRPr="00635BFA">
        <w:rPr>
          <w:rFonts w:ascii="Verdana" w:eastAsia="Geomanist Light" w:hAnsi="Verdana" w:cs="Arial"/>
          <w:color w:val="201F1E"/>
          <w:lang w:val="es-MX"/>
        </w:rPr>
        <w:t>28 de Abril de 2025</w:t>
      </w:r>
    </w:p>
    <w:p w14:paraId="19678D62" w14:textId="77777777" w:rsidR="00E81D3B" w:rsidRDefault="00E81D3B" w:rsidP="00EA3EFE">
      <w:pPr>
        <w:spacing w:after="0" w:line="240" w:lineRule="auto"/>
        <w:jc w:val="both"/>
        <w:rPr>
          <w:rFonts w:ascii="Verdana" w:eastAsia="Calibri" w:hAnsi="Verdana" w:cs="Arial"/>
          <w:color w:val="000000"/>
          <w:lang w:val="es-ES"/>
        </w:rPr>
      </w:pPr>
    </w:p>
    <w:p w14:paraId="60184394" w14:textId="26D7EF80" w:rsidR="00635BFA" w:rsidRPr="00EA3EFE" w:rsidRDefault="00635BFA" w:rsidP="00635BFA">
      <w:pPr>
        <w:spacing w:after="0" w:line="240" w:lineRule="auto"/>
        <w:jc w:val="right"/>
        <w:rPr>
          <w:rFonts w:ascii="Verdana" w:eastAsia="Calibri" w:hAnsi="Verdana" w:cs="Arial"/>
          <w:color w:val="000000"/>
          <w:lang w:val="es-ES"/>
        </w:rPr>
      </w:pPr>
      <w:r w:rsidRPr="00635BFA">
        <w:rPr>
          <w:rFonts w:ascii="Verdana" w:eastAsia="Calibri" w:hAnsi="Verdana" w:cs="Arial"/>
          <w:noProof/>
          <w:color w:val="000000"/>
          <w:lang w:val="es-ES"/>
        </w:rPr>
        <w:drawing>
          <wp:inline distT="0" distB="0" distL="0" distR="0" wp14:anchorId="450BD186" wp14:editId="7171DB37">
            <wp:extent cx="2400300" cy="622300"/>
            <wp:effectExtent l="0" t="0" r="0" b="0"/>
            <wp:docPr id="21198261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6109" name=""/>
                    <pic:cNvPicPr/>
                  </pic:nvPicPr>
                  <pic:blipFill>
                    <a:blip r:embed="rId11"/>
                    <a:stretch>
                      <a:fillRect/>
                    </a:stretch>
                  </pic:blipFill>
                  <pic:spPr>
                    <a:xfrm>
                      <a:off x="0" y="0"/>
                      <a:ext cx="2400300" cy="622300"/>
                    </a:xfrm>
                    <a:prstGeom prst="rect">
                      <a:avLst/>
                    </a:prstGeom>
                  </pic:spPr>
                </pic:pic>
              </a:graphicData>
            </a:graphic>
          </wp:inline>
        </w:drawing>
      </w:r>
    </w:p>
    <w:p w14:paraId="34A7B6D4" w14:textId="77777777" w:rsidR="00E81D3B" w:rsidRPr="00EA3EFE" w:rsidRDefault="00E81D3B" w:rsidP="00EA3EFE">
      <w:pPr>
        <w:spacing w:after="0" w:line="240" w:lineRule="auto"/>
        <w:jc w:val="both"/>
        <w:rPr>
          <w:rFonts w:ascii="Verdana" w:eastAsia="Calibri" w:hAnsi="Verdana" w:cs="Arial"/>
          <w:color w:val="000000"/>
          <w:lang w:val="es-ES"/>
        </w:rPr>
      </w:pPr>
    </w:p>
    <w:p w14:paraId="211DAEC5" w14:textId="77777777" w:rsidR="00E81D3B" w:rsidRPr="00EA3EFE" w:rsidRDefault="00E81D3B" w:rsidP="00EA3EFE">
      <w:pPr>
        <w:spacing w:after="0" w:line="240" w:lineRule="auto"/>
        <w:jc w:val="both"/>
        <w:rPr>
          <w:rFonts w:ascii="Verdana" w:eastAsia="Calibri" w:hAnsi="Verdana" w:cs="Arial"/>
          <w:lang w:val="es-ES" w:eastAsia="es-ES"/>
        </w:rPr>
      </w:pPr>
      <w:r w:rsidRPr="00EA3EFE">
        <w:rPr>
          <w:rFonts w:ascii="Verdana" w:eastAsia="Calibri" w:hAnsi="Verdana" w:cs="Arial"/>
          <w:lang w:val="es-ES" w:eastAsia="es-ES"/>
        </w:rPr>
        <w:t>Señor</w:t>
      </w:r>
    </w:p>
    <w:p w14:paraId="0AC6878C" w14:textId="77777777" w:rsidR="00E81D3B" w:rsidRPr="00EA3EFE" w:rsidRDefault="00E81D3B" w:rsidP="00EA3EFE">
      <w:pPr>
        <w:spacing w:after="0" w:line="240" w:lineRule="auto"/>
        <w:rPr>
          <w:rFonts w:ascii="Verdana" w:eastAsia="Calibri" w:hAnsi="Verdana" w:cs="Arial"/>
          <w:b/>
          <w:lang w:eastAsia="es-ES_tradnl"/>
        </w:rPr>
      </w:pPr>
      <w:r w:rsidRPr="00EA3EFE">
        <w:rPr>
          <w:rFonts w:ascii="Verdana" w:eastAsia="Calibri" w:hAnsi="Verdana" w:cs="Arial"/>
          <w:b/>
          <w:lang w:eastAsia="es-ES_tradnl"/>
        </w:rPr>
        <w:t xml:space="preserve">Edison López Herrera </w:t>
      </w:r>
    </w:p>
    <w:p w14:paraId="7D4AC060" w14:textId="2B531920" w:rsidR="00E81D3B" w:rsidRPr="00EA3EFE" w:rsidRDefault="00E81D3B" w:rsidP="00EA3EFE">
      <w:pPr>
        <w:spacing w:after="0" w:line="240" w:lineRule="auto"/>
        <w:rPr>
          <w:rFonts w:ascii="Verdana" w:eastAsia="Calibri" w:hAnsi="Verdana" w:cs="Arial"/>
          <w:lang w:eastAsia="es-ES"/>
        </w:rPr>
      </w:pPr>
      <w:hyperlink r:id="rId12" w:history="1">
        <w:r w:rsidRPr="00EA3EFE">
          <w:rPr>
            <w:rStyle w:val="Hipervnculo"/>
            <w:rFonts w:ascii="Verdana" w:hAnsi="Verdana"/>
          </w:rPr>
          <w:t>edison.lopez@cali.gov.co</w:t>
        </w:r>
      </w:hyperlink>
      <w:r w:rsidRPr="00EA3EFE">
        <w:rPr>
          <w:rFonts w:ascii="Verdana" w:eastAsia="Calibri" w:hAnsi="Verdana" w:cs="Arial"/>
          <w:lang w:eastAsia="es-ES"/>
        </w:rPr>
        <w:t xml:space="preserve"> </w:t>
      </w:r>
    </w:p>
    <w:p w14:paraId="37C31DC2" w14:textId="77777777" w:rsidR="00E81D3B" w:rsidRPr="00EA3EFE" w:rsidRDefault="00E81D3B" w:rsidP="00EA3EFE">
      <w:pPr>
        <w:spacing w:after="0" w:line="240" w:lineRule="auto"/>
        <w:rPr>
          <w:rFonts w:ascii="Verdana" w:eastAsia="Calibri" w:hAnsi="Verdana" w:cs="Arial"/>
          <w:lang w:val="it-IT" w:eastAsia="es-ES"/>
        </w:rPr>
      </w:pPr>
      <w:r w:rsidRPr="00EA3EFE">
        <w:rPr>
          <w:rFonts w:ascii="Verdana" w:eastAsia="Calibri" w:hAnsi="Verdana" w:cs="Arial"/>
          <w:lang w:val="it-IT" w:eastAsia="es-ES"/>
        </w:rPr>
        <w:t>Santiago de Cali, Valle del Cauca</w:t>
      </w:r>
    </w:p>
    <w:p w14:paraId="5359711E" w14:textId="77777777" w:rsidR="00E81D3B" w:rsidRPr="00EA3EFE" w:rsidRDefault="00E81D3B" w:rsidP="00EA3EFE">
      <w:pPr>
        <w:spacing w:after="0" w:line="240" w:lineRule="auto"/>
        <w:rPr>
          <w:rFonts w:ascii="Verdana" w:eastAsia="Calibri" w:hAnsi="Verdana" w:cs="Arial"/>
          <w:b/>
          <w:bCs/>
          <w:color w:val="000000"/>
          <w:lang w:val="it-IT" w:eastAsia="es-ES_tradnl"/>
        </w:rPr>
      </w:pPr>
    </w:p>
    <w:p w14:paraId="29557D57" w14:textId="77777777" w:rsidR="00E81D3B" w:rsidRPr="00EA3EFE" w:rsidRDefault="00E81D3B" w:rsidP="00EA3EFE">
      <w:pPr>
        <w:spacing w:after="0" w:line="240" w:lineRule="auto"/>
        <w:rPr>
          <w:rFonts w:ascii="Verdana" w:eastAsia="Calibri" w:hAnsi="Verdana" w:cs="Arial"/>
          <w:b/>
          <w:bCs/>
          <w:color w:val="000000"/>
          <w:lang w:val="it-IT"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E81D3B" w:rsidRPr="00EA3EFE" w14:paraId="2201902A" w14:textId="77777777" w:rsidTr="0015053F">
        <w:trPr>
          <w:trHeight w:val="884"/>
        </w:trPr>
        <w:tc>
          <w:tcPr>
            <w:tcW w:w="2689" w:type="dxa"/>
          </w:tcPr>
          <w:p w14:paraId="4FB64C98" w14:textId="77777777" w:rsidR="00E81D3B" w:rsidRPr="00EA3EFE" w:rsidRDefault="00E81D3B" w:rsidP="00EA3EFE">
            <w:pPr>
              <w:jc w:val="both"/>
              <w:rPr>
                <w:rFonts w:ascii="Verdana" w:eastAsia="Calibri" w:hAnsi="Verdana" w:cs="Arial"/>
                <w:b/>
                <w:bCs/>
                <w:color w:val="7030A0"/>
                <w:lang w:val="it-IT" w:eastAsia="es-ES_tradnl"/>
              </w:rPr>
            </w:pPr>
          </w:p>
        </w:tc>
        <w:tc>
          <w:tcPr>
            <w:tcW w:w="6100" w:type="dxa"/>
          </w:tcPr>
          <w:p w14:paraId="1FA542D4" w14:textId="77777777" w:rsidR="00E81D3B" w:rsidRPr="00EA3EFE" w:rsidRDefault="00E81D3B" w:rsidP="00EA3EFE">
            <w:pPr>
              <w:jc w:val="both"/>
              <w:rPr>
                <w:rFonts w:ascii="Verdana" w:eastAsia="Calibri" w:hAnsi="Verdana" w:cs="Arial"/>
                <w:b/>
                <w:bCs/>
                <w:color w:val="7030A0"/>
                <w:lang w:val="es-ES" w:eastAsia="es-ES"/>
              </w:rPr>
            </w:pPr>
            <w:r w:rsidRPr="00EA3EFE">
              <w:rPr>
                <w:rFonts w:ascii="Verdana" w:eastAsia="Calibri" w:hAnsi="Verdana" w:cs="Arial"/>
                <w:b/>
                <w:bCs/>
                <w:lang w:val="es-ES" w:eastAsia="es-ES"/>
              </w:rPr>
              <w:t>Concepto C – 318 de 2025</w:t>
            </w:r>
          </w:p>
        </w:tc>
      </w:tr>
      <w:tr w:rsidR="00E81D3B" w:rsidRPr="00EA3EFE" w14:paraId="18209FB1" w14:textId="77777777" w:rsidTr="0015053F">
        <w:trPr>
          <w:trHeight w:val="884"/>
        </w:trPr>
        <w:tc>
          <w:tcPr>
            <w:tcW w:w="2689" w:type="dxa"/>
          </w:tcPr>
          <w:p w14:paraId="31046A3C" w14:textId="77777777" w:rsidR="00E81D3B" w:rsidRPr="00EA3EFE" w:rsidRDefault="00E81D3B" w:rsidP="00EA3EFE">
            <w:pPr>
              <w:jc w:val="both"/>
              <w:rPr>
                <w:rFonts w:ascii="Verdana" w:eastAsia="Calibri" w:hAnsi="Verdana" w:cs="Arial"/>
                <w:color w:val="000000"/>
                <w:lang w:val="es-ES_tradnl" w:eastAsia="es-ES_tradnl"/>
              </w:rPr>
            </w:pPr>
            <w:r w:rsidRPr="00EA3EFE">
              <w:rPr>
                <w:rFonts w:ascii="Verdana" w:eastAsia="Calibri" w:hAnsi="Verdana" w:cs="Arial"/>
                <w:b/>
                <w:color w:val="000000"/>
                <w:lang w:val="es-ES_tradnl" w:eastAsia="es-ES_tradnl"/>
              </w:rPr>
              <w:t>Temas:</w:t>
            </w:r>
            <w:r w:rsidRPr="00EA3EFE">
              <w:rPr>
                <w:rFonts w:ascii="Verdana" w:eastAsia="Calibri" w:hAnsi="Verdana" w:cs="Arial"/>
                <w:color w:val="000000"/>
                <w:lang w:val="es-ES_tradnl" w:eastAsia="es-ES_tradnl"/>
              </w:rPr>
              <w:t xml:space="preserve">                   </w:t>
            </w:r>
          </w:p>
        </w:tc>
        <w:tc>
          <w:tcPr>
            <w:tcW w:w="6100" w:type="dxa"/>
          </w:tcPr>
          <w:p w14:paraId="116C4482" w14:textId="77777777" w:rsidR="00E81D3B" w:rsidRPr="00EA3EFE" w:rsidRDefault="00E81D3B" w:rsidP="00252CEF">
            <w:pPr>
              <w:jc w:val="both"/>
              <w:rPr>
                <w:rFonts w:ascii="Verdana" w:eastAsia="Calibri" w:hAnsi="Verdana" w:cs="Arial"/>
                <w:lang w:val="es-ES" w:eastAsia="es-ES"/>
              </w:rPr>
            </w:pPr>
            <w:r w:rsidRPr="00EA3EFE">
              <w:rPr>
                <w:rFonts w:ascii="Verdana" w:eastAsia="Calibri" w:hAnsi="Verdana" w:cs="Arial"/>
                <w:lang w:val="es-ES" w:eastAsia="es-ES"/>
              </w:rPr>
              <w:t xml:space="preserve">ESTAMPILLA PARA LA JUSTICIA FAMILIAR – Fundamento normativo / CONTRATOS DE PRESTACIÓN DE SERVICIOS – Género – Especies </w:t>
            </w:r>
          </w:p>
          <w:p w14:paraId="018CF85C" w14:textId="77777777" w:rsidR="00E81D3B" w:rsidRPr="00EA3EFE" w:rsidRDefault="00E81D3B" w:rsidP="00252CEF">
            <w:pPr>
              <w:jc w:val="both"/>
              <w:rPr>
                <w:rFonts w:ascii="Verdana" w:eastAsia="Calibri" w:hAnsi="Verdana" w:cs="Arial"/>
                <w:lang w:val="es-ES" w:eastAsia="es-ES"/>
              </w:rPr>
            </w:pPr>
            <w:r w:rsidRPr="00EA3EFE">
              <w:rPr>
                <w:rFonts w:ascii="Verdana" w:eastAsia="Calibri" w:hAnsi="Verdana" w:cs="Arial"/>
                <w:lang w:val="es-ES" w:eastAsia="es-ES"/>
              </w:rPr>
              <w:t xml:space="preserve"> </w:t>
            </w:r>
          </w:p>
        </w:tc>
      </w:tr>
      <w:tr w:rsidR="00E81D3B" w:rsidRPr="00EA3EFE" w14:paraId="215C2D7B" w14:textId="77777777" w:rsidTr="0015053F">
        <w:tc>
          <w:tcPr>
            <w:tcW w:w="2689" w:type="dxa"/>
          </w:tcPr>
          <w:p w14:paraId="369AFA9B" w14:textId="77777777" w:rsidR="00E81D3B" w:rsidRPr="00EA3EFE" w:rsidRDefault="00E81D3B" w:rsidP="00EA3EFE">
            <w:pPr>
              <w:jc w:val="both"/>
              <w:rPr>
                <w:rFonts w:ascii="Verdana" w:eastAsia="Calibri" w:hAnsi="Verdana" w:cs="Arial"/>
                <w:b/>
                <w:lang w:val="es-ES_tradnl" w:eastAsia="es-ES_tradnl"/>
              </w:rPr>
            </w:pPr>
            <w:r w:rsidRPr="00EA3EFE">
              <w:rPr>
                <w:rFonts w:ascii="Verdana" w:eastAsia="Calibri" w:hAnsi="Verdana" w:cs="Arial"/>
                <w:b/>
                <w:lang w:val="es-ES_tradnl" w:eastAsia="es-ES_tradnl"/>
              </w:rPr>
              <w:t>Radicación:</w:t>
            </w:r>
            <w:r w:rsidRPr="00EA3EFE">
              <w:rPr>
                <w:rFonts w:ascii="Verdana" w:eastAsia="Calibri" w:hAnsi="Verdana" w:cs="Arial"/>
                <w:lang w:val="es-ES_tradnl" w:eastAsia="es-ES_tradnl"/>
              </w:rPr>
              <w:t xml:space="preserve">               </w:t>
            </w:r>
          </w:p>
        </w:tc>
        <w:tc>
          <w:tcPr>
            <w:tcW w:w="6100" w:type="dxa"/>
          </w:tcPr>
          <w:p w14:paraId="728CDF37" w14:textId="77777777" w:rsidR="00E81D3B" w:rsidRPr="00EA3EFE" w:rsidRDefault="00E81D3B" w:rsidP="00252CEF">
            <w:pPr>
              <w:jc w:val="both"/>
              <w:rPr>
                <w:rFonts w:ascii="Verdana" w:eastAsia="Calibri" w:hAnsi="Verdana" w:cs="Arial"/>
                <w:lang w:eastAsia="es-ES_tradnl"/>
              </w:rPr>
            </w:pPr>
            <w:r w:rsidRPr="00EA3EFE">
              <w:rPr>
                <w:rFonts w:ascii="Verdana" w:eastAsia="Calibri" w:hAnsi="Verdana" w:cs="Arial"/>
                <w:lang w:val="es-ES_tradnl" w:eastAsia="es-ES_tradnl"/>
              </w:rPr>
              <w:t xml:space="preserve">Respuesta a la consulta con radicado No. P20250313002476                                     </w:t>
            </w:r>
          </w:p>
        </w:tc>
      </w:tr>
    </w:tbl>
    <w:p w14:paraId="68497BC2" w14:textId="77777777" w:rsidR="00E81D3B" w:rsidRPr="00EA3EFE" w:rsidRDefault="00E81D3B" w:rsidP="00EA3EFE">
      <w:pPr>
        <w:spacing w:after="0" w:line="240" w:lineRule="auto"/>
        <w:jc w:val="both"/>
        <w:rPr>
          <w:rFonts w:ascii="Verdana" w:eastAsia="Calibri" w:hAnsi="Verdana" w:cs="Arial"/>
          <w:color w:val="000000"/>
          <w:lang w:val="es-ES_tradnl" w:eastAsia="es-ES_tradnl"/>
        </w:rPr>
      </w:pPr>
    </w:p>
    <w:p w14:paraId="661DA488" w14:textId="77777777" w:rsidR="00E81D3B" w:rsidRPr="00EA3EFE" w:rsidRDefault="00E81D3B" w:rsidP="00EA3EFE">
      <w:pPr>
        <w:spacing w:after="0" w:line="240" w:lineRule="auto"/>
        <w:jc w:val="both"/>
        <w:rPr>
          <w:rFonts w:ascii="Verdana" w:eastAsia="Calibri" w:hAnsi="Verdana" w:cs="Arial"/>
          <w:color w:val="000000"/>
          <w:lang w:val="es-ES_tradnl" w:eastAsia="es-ES_tradnl"/>
        </w:rPr>
      </w:pPr>
    </w:p>
    <w:p w14:paraId="1A3DD431" w14:textId="2DF7AA6E" w:rsidR="00E81D3B" w:rsidRPr="00EA3EFE" w:rsidRDefault="00E81D3B" w:rsidP="00AF50A2">
      <w:pPr>
        <w:spacing w:after="0" w:line="276" w:lineRule="auto"/>
        <w:jc w:val="both"/>
        <w:rPr>
          <w:rFonts w:ascii="Verdana" w:eastAsia="Calibri" w:hAnsi="Verdana" w:cs="Arial"/>
          <w:lang w:val="es-ES" w:eastAsia="es-ES"/>
        </w:rPr>
      </w:pPr>
      <w:r w:rsidRPr="00EA3EFE">
        <w:rPr>
          <w:rFonts w:ascii="Verdana" w:eastAsia="Calibri" w:hAnsi="Verdana" w:cs="Arial"/>
          <w:lang w:val="es-ES" w:eastAsia="es-ES"/>
        </w:rPr>
        <w:t>Estimado señor López Herrera:</w:t>
      </w:r>
    </w:p>
    <w:p w14:paraId="51022D06" w14:textId="77777777" w:rsidR="00E81D3B" w:rsidRDefault="00E81D3B" w:rsidP="00AF50A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B86151F" w14:textId="77777777" w:rsidR="00E81D3B" w:rsidRPr="00593A5F" w:rsidRDefault="00E81D3B" w:rsidP="00AF50A2">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C82DF7">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la</w:t>
      </w:r>
      <w:r w:rsidRPr="00C82DF7">
        <w:rPr>
          <w:rFonts w:ascii="Verdana" w:eastAsia="Calibri" w:hAnsi="Verdana" w:cs="Arial"/>
          <w:color w:val="000000" w:themeColor="text1"/>
          <w:lang w:val="es-ES" w:eastAsia="es-ES"/>
        </w:rPr>
        <w:t xml:space="preserve"> solicitud de consulta </w:t>
      </w:r>
      <w:r>
        <w:rPr>
          <w:rFonts w:ascii="Verdana" w:eastAsia="Calibri" w:hAnsi="Verdana" w:cs="Arial"/>
          <w:color w:val="000000" w:themeColor="text1"/>
          <w:lang w:val="es-ES" w:eastAsia="es-ES"/>
        </w:rPr>
        <w:t xml:space="preserve">formulada al Departamento Administrativo de la Función Pública </w:t>
      </w:r>
      <w:r w:rsidRPr="00C82DF7">
        <w:rPr>
          <w:rFonts w:ascii="Verdana" w:eastAsia="Calibri" w:hAnsi="Verdana" w:cs="Arial"/>
          <w:color w:val="000000" w:themeColor="text1"/>
          <w:lang w:val="es-ES" w:eastAsia="es-ES"/>
        </w:rPr>
        <w:t xml:space="preserve">de fecha </w:t>
      </w:r>
      <w:r>
        <w:rPr>
          <w:rFonts w:ascii="Verdana" w:eastAsia="Calibri" w:hAnsi="Verdana" w:cs="Arial"/>
          <w:color w:val="000000" w:themeColor="text1"/>
          <w:lang w:val="es-ES" w:eastAsia="es-ES"/>
        </w:rPr>
        <w:t>11</w:t>
      </w:r>
      <w:r w:rsidRPr="00C82DF7">
        <w:rPr>
          <w:rFonts w:ascii="Verdana" w:eastAsia="Calibri" w:hAnsi="Verdana" w:cs="Arial"/>
          <w:color w:val="000000" w:themeColor="text1"/>
          <w:lang w:val="es-ES" w:eastAsia="es-ES"/>
        </w:rPr>
        <w:t xml:space="preserve"> de marzo de 2025, </w:t>
      </w:r>
      <w:r>
        <w:rPr>
          <w:rFonts w:ascii="Verdana" w:eastAsia="Calibri" w:hAnsi="Verdana" w:cs="Arial"/>
          <w:color w:val="000000" w:themeColor="text1"/>
          <w:lang w:val="es-ES" w:eastAsia="es-ES"/>
        </w:rPr>
        <w:t xml:space="preserve">remitida –conforme al artículo 21 de la Ley 1437 de 2011– mediante correo electrónico del 13 de marzo de 2025, </w:t>
      </w:r>
      <w:r w:rsidRPr="00C82DF7">
        <w:rPr>
          <w:rFonts w:ascii="Verdana" w:eastAsia="Calibri" w:hAnsi="Verdana" w:cs="Arial"/>
          <w:color w:val="000000" w:themeColor="text1"/>
          <w:lang w:val="es-ES" w:eastAsia="es-ES"/>
        </w:rPr>
        <w:t xml:space="preserve">en la cual </w:t>
      </w:r>
      <w:r>
        <w:rPr>
          <w:rFonts w:ascii="Verdana" w:eastAsia="Calibri" w:hAnsi="Verdana" w:cs="Arial"/>
          <w:color w:val="000000" w:themeColor="text1"/>
          <w:lang w:val="es-ES" w:eastAsia="es-ES"/>
        </w:rPr>
        <w:t>manifiesta</w:t>
      </w:r>
      <w:r w:rsidRPr="00C82DF7">
        <w:rPr>
          <w:rFonts w:ascii="Verdana" w:eastAsia="Calibri" w:hAnsi="Verdana" w:cs="Arial"/>
          <w:color w:val="000000" w:themeColor="text1"/>
          <w:lang w:val="es-ES" w:eastAsia="es-ES"/>
        </w:rPr>
        <w:t xml:space="preserve"> lo siguiente</w:t>
      </w:r>
      <w:r w:rsidRPr="008E6AD9">
        <w:rPr>
          <w:rFonts w:ascii="Verdana" w:eastAsia="Calibri" w:hAnsi="Verdana" w:cs="Arial"/>
          <w:lang w:val="es-ES" w:eastAsia="es-ES"/>
        </w:rPr>
        <w:t xml:space="preserve">: </w:t>
      </w:r>
    </w:p>
    <w:p w14:paraId="41E52D37" w14:textId="77777777" w:rsidR="00E81D3B" w:rsidRPr="00272A7B" w:rsidRDefault="00E81D3B" w:rsidP="00AF50A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004607D" w14:textId="47090B32" w:rsidR="00E81D3B" w:rsidRDefault="00E81D3B" w:rsidP="00347940">
      <w:pPr>
        <w:spacing w:after="0" w:line="240" w:lineRule="auto"/>
        <w:ind w:left="709" w:right="709"/>
        <w:jc w:val="both"/>
        <w:rPr>
          <w:rFonts w:ascii="Verdana" w:eastAsia="Century Gothic" w:hAnsi="Verdana" w:cs="Century Gothic"/>
          <w:sz w:val="20"/>
          <w:szCs w:val="20"/>
          <w:lang w:val="es-ES"/>
        </w:rPr>
      </w:pPr>
      <w:bookmarkStart w:id="0" w:name="_Hlk95313578"/>
      <w:r w:rsidRPr="00252CEF">
        <w:rPr>
          <w:rFonts w:ascii="Verdana" w:eastAsia="Century Gothic" w:hAnsi="Verdana" w:cs="Century Gothic"/>
          <w:sz w:val="20"/>
          <w:szCs w:val="20"/>
          <w:lang w:val="es-ES"/>
        </w:rPr>
        <w:t>“</w:t>
      </w:r>
      <w:bookmarkEnd w:id="0"/>
      <w:r w:rsidRPr="00252CEF">
        <w:rPr>
          <w:rFonts w:ascii="Verdana" w:eastAsia="Century Gothic" w:hAnsi="Verdana" w:cs="Century Gothic"/>
          <w:sz w:val="20"/>
          <w:szCs w:val="20"/>
          <w:lang w:val="es-ES"/>
        </w:rPr>
        <w:t xml:space="preserve">Solicito el favor de carácter URGENTE, del concepto jurídico de la Ley 2126 de 2021, en su ‘Artículo 23 y el PARÁGRAFO’; que la interpretación jurídica sea lo más claros posible, que me permita hacer el análisis a las deducciones aplicadas a los contratos de prestación de servicio de apoyo a la gestión; porque se están realizando el descuento del 2% por el concepto de la Estampilla para la justicia familiar, solo a los prestadores </w:t>
      </w:r>
      <w:r w:rsidRPr="00252CEF">
        <w:rPr>
          <w:rFonts w:ascii="Verdana" w:eastAsia="Century Gothic" w:hAnsi="Verdana" w:cs="Century Gothic"/>
          <w:sz w:val="20"/>
          <w:szCs w:val="20"/>
          <w:lang w:val="es-ES"/>
        </w:rPr>
        <w:lastRenderedPageBreak/>
        <w:t>de servicio de apoyo a la gestión, que NO ostentan el Titulo de Profesional o Técnico.</w:t>
      </w:r>
    </w:p>
    <w:p w14:paraId="6479F9CF" w14:textId="77777777" w:rsidR="00A8021B" w:rsidRPr="00252CEF" w:rsidRDefault="00A8021B" w:rsidP="00252CEF">
      <w:pPr>
        <w:spacing w:after="0" w:line="240" w:lineRule="auto"/>
        <w:ind w:left="709" w:right="709"/>
        <w:jc w:val="both"/>
        <w:rPr>
          <w:rFonts w:ascii="Verdana" w:eastAsia="Century Gothic" w:hAnsi="Verdana" w:cs="Century Gothic"/>
          <w:sz w:val="20"/>
          <w:szCs w:val="20"/>
          <w:lang w:val="es-ES"/>
        </w:rPr>
      </w:pPr>
    </w:p>
    <w:p w14:paraId="12F65628" w14:textId="40FF4CD0" w:rsidR="00E81D3B" w:rsidRPr="00252CEF" w:rsidRDefault="00E81D3B" w:rsidP="00347940">
      <w:pPr>
        <w:spacing w:after="0" w:line="240" w:lineRule="auto"/>
        <w:ind w:left="709" w:right="709"/>
        <w:jc w:val="both"/>
        <w:rPr>
          <w:rFonts w:ascii="Verdana" w:eastAsia="Century Gothic" w:hAnsi="Verdana" w:cs="Century Gothic"/>
          <w:sz w:val="20"/>
          <w:szCs w:val="20"/>
          <w:lang w:val="es-ES"/>
        </w:rPr>
      </w:pPr>
      <w:r w:rsidRPr="00252CEF">
        <w:rPr>
          <w:rFonts w:ascii="Verdana" w:eastAsia="Century Gothic" w:hAnsi="Verdana" w:cs="Century Gothic"/>
          <w:sz w:val="20"/>
          <w:szCs w:val="20"/>
          <w:lang w:val="es-ES"/>
        </w:rPr>
        <w:t xml:space="preserve">Jefe de la oficina de la Contaduría General de la Alcaldía Distrital de Santiago de Cali, está cometiendo el error, en la interpretación de la ley, porque argumento, que los descuentos del 2% por el concepto de la Estampilla para la justicia familiar, se deben aplicar solo a los prestadores de servicio de apoyo a la gestión, ‘que cuyo pago de honorarios mensual sea inferior a diez (10) </w:t>
      </w:r>
      <w:proofErr w:type="spellStart"/>
      <w:r w:rsidRPr="00252CEF">
        <w:rPr>
          <w:rFonts w:ascii="Verdana" w:eastAsia="Century Gothic" w:hAnsi="Verdana" w:cs="Century Gothic"/>
          <w:sz w:val="20"/>
          <w:szCs w:val="20"/>
          <w:lang w:val="es-ES"/>
        </w:rPr>
        <w:t>smlmv</w:t>
      </w:r>
      <w:proofErr w:type="spellEnd"/>
      <w:r w:rsidRPr="00252CEF">
        <w:rPr>
          <w:rFonts w:ascii="Verdana" w:eastAsia="Century Gothic" w:hAnsi="Verdana" w:cs="Century Gothic"/>
          <w:sz w:val="20"/>
          <w:szCs w:val="20"/>
          <w:lang w:val="es-ES"/>
        </w:rPr>
        <w:t>’”.</w:t>
      </w:r>
      <w:r w:rsidR="0035475C">
        <w:rPr>
          <w:rFonts w:ascii="Verdana" w:eastAsia="Century Gothic" w:hAnsi="Verdana" w:cs="Century Gothic"/>
          <w:sz w:val="20"/>
          <w:szCs w:val="20"/>
          <w:lang w:val="es-ES"/>
        </w:rPr>
        <w:t xml:space="preserve"> </w:t>
      </w:r>
    </w:p>
    <w:p w14:paraId="0F53FF98" w14:textId="77777777" w:rsidR="00E81D3B" w:rsidRPr="008E6AD9" w:rsidRDefault="00E81D3B" w:rsidP="007E7C64">
      <w:pPr>
        <w:pStyle w:val="Prrafodelista"/>
        <w:tabs>
          <w:tab w:val="left" w:pos="142"/>
          <w:tab w:val="left" w:pos="284"/>
        </w:tabs>
        <w:spacing w:after="0" w:line="276" w:lineRule="auto"/>
        <w:ind w:left="0"/>
        <w:jc w:val="both"/>
        <w:rPr>
          <w:rFonts w:ascii="Verdana" w:eastAsia="Century Gothic" w:hAnsi="Verdana" w:cs="Century Gothic"/>
          <w:b/>
          <w:bCs/>
        </w:rPr>
      </w:pPr>
    </w:p>
    <w:p w14:paraId="24813380" w14:textId="77777777" w:rsidR="00E81D3B" w:rsidRDefault="00E81D3B" w:rsidP="00E81D3B">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w:t>
      </w:r>
      <w:r>
        <w:rPr>
          <w:rFonts w:ascii="Verdana" w:eastAsia="Calibri" w:hAnsi="Verdana" w:cs="Arial"/>
          <w:color w:val="000000"/>
          <w:lang w:val="es-ES" w:eastAsia="es-ES"/>
        </w:rPr>
        <w:t xml:space="preserve"> o interpretar normas de otros sectores normativos</w:t>
      </w:r>
      <w:r w:rsidRPr="00593A5F">
        <w:rPr>
          <w:rFonts w:ascii="Verdana" w:eastAsia="Calibri" w:hAnsi="Verdana" w:cs="Arial"/>
          <w:color w:val="000000"/>
          <w:lang w:val="es-ES" w:eastAsia="es-ES"/>
        </w:rPr>
        <w:t xml:space="preserve">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val="es-ES" w:eastAsia="es-ES"/>
        </w:rPr>
        <w:t xml:space="preserve"> ni para establecer el alcance de cualquier disposición del ordenamiento jurídico</w:t>
      </w:r>
      <w:r w:rsidRPr="00593A5F">
        <w:rPr>
          <w:rFonts w:ascii="Verdana" w:eastAsia="Calibri" w:hAnsi="Verdana" w:cs="Arial"/>
          <w:color w:val="000000"/>
          <w:lang w:val="es-ES"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w:t>
      </w:r>
    </w:p>
    <w:p w14:paraId="0BA181B5" w14:textId="77777777" w:rsidR="00E81D3B" w:rsidRPr="00A652FF" w:rsidRDefault="00E81D3B" w:rsidP="00E81D3B">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Esta competencia de interpretación de normas generales, por definición, no puede extenderse a la resolución de controversias</w:t>
      </w:r>
      <w:r>
        <w:rPr>
          <w:rFonts w:ascii="Verdana" w:eastAsia="Calibri" w:hAnsi="Verdana" w:cs="Arial"/>
          <w:color w:val="000000"/>
          <w:lang w:val="es-ES" w:eastAsia="es-ES"/>
        </w:rPr>
        <w:t>,</w:t>
      </w:r>
      <w:r w:rsidRPr="00593A5F">
        <w:rPr>
          <w:rFonts w:ascii="Verdana" w:eastAsia="Calibri" w:hAnsi="Verdana" w:cs="Arial"/>
          <w:color w:val="000000"/>
          <w:lang w:val="es-ES" w:eastAsia="es-ES"/>
        </w:rPr>
        <w:t xml:space="preserve"> brindar asesorías sobre casos puntuales</w:t>
      </w:r>
      <w:r>
        <w:rPr>
          <w:rFonts w:ascii="Verdana" w:eastAsia="Calibri" w:hAnsi="Verdana" w:cs="Arial"/>
          <w:color w:val="000000"/>
          <w:lang w:val="es-ES" w:eastAsia="es-ES"/>
        </w:rPr>
        <w:t xml:space="preserve"> ni pronunciarse sobre el alcance de normas ajenas a la contratación estatal</w:t>
      </w:r>
      <w:r w:rsidRPr="00593A5F">
        <w:rPr>
          <w:rFonts w:ascii="Verdana" w:eastAsia="Calibri" w:hAnsi="Verdana" w:cs="Arial"/>
          <w:color w:val="000000"/>
          <w:lang w:val="es-ES" w:eastAsia="es-ES"/>
        </w:rPr>
        <w:t>.</w:t>
      </w:r>
      <w:r>
        <w:rPr>
          <w:rFonts w:ascii="Verdana" w:eastAsia="Calibri" w:hAnsi="Verdana" w:cs="Arial"/>
          <w:color w:val="000000"/>
          <w:lang w:val="es-ES" w:eastAsia="es-ES"/>
        </w:rPr>
        <w:t xml:space="preserve"> Este último es el caso de lo previsto en el artículo 23 de la Ley 2126 de 2021, pues dicha norma establece el </w:t>
      </w:r>
      <w:r w:rsidRPr="004E23FB">
        <w:rPr>
          <w:rFonts w:ascii="Verdana" w:eastAsia="Calibri" w:hAnsi="Verdana" w:cs="Arial"/>
          <w:i/>
          <w:iCs/>
          <w:color w:val="000000"/>
          <w:lang w:val="es-ES" w:eastAsia="es-ES"/>
        </w:rPr>
        <w:t>hecho generador</w:t>
      </w:r>
      <w:r>
        <w:rPr>
          <w:rFonts w:ascii="Verdana" w:eastAsia="Calibri" w:hAnsi="Verdana" w:cs="Arial"/>
          <w:color w:val="000000"/>
          <w:lang w:val="es-ES" w:eastAsia="es-ES"/>
        </w:rPr>
        <w:t xml:space="preserve"> de la </w:t>
      </w:r>
      <w:r w:rsidRPr="004E23FB">
        <w:rPr>
          <w:rFonts w:ascii="Verdana" w:eastAsia="Calibri" w:hAnsi="Verdana" w:cs="Arial"/>
          <w:color w:val="000000"/>
          <w:lang w:val="es-ES" w:eastAsia="es-ES"/>
        </w:rPr>
        <w:t>“Estampilla para la Justicia Familiar</w:t>
      </w:r>
      <w:r>
        <w:rPr>
          <w:rFonts w:ascii="Verdana" w:eastAsia="Calibri" w:hAnsi="Verdana" w:cs="Arial"/>
          <w:color w:val="000000"/>
          <w:lang w:val="es-ES" w:eastAsia="es-ES"/>
        </w:rPr>
        <w:t xml:space="preserve">” y, por tanto, despliega sus efectos en el ámbito tributario.  </w:t>
      </w:r>
      <w:r w:rsidRPr="00593A5F">
        <w:rPr>
          <w:rFonts w:ascii="Verdana" w:eastAsia="Calibri" w:hAnsi="Verdana" w:cs="Arial"/>
          <w:color w:val="000000"/>
          <w:lang w:val="es-ES" w:eastAsia="es-ES"/>
        </w:rPr>
        <w:t xml:space="preserve"> </w:t>
      </w:r>
      <w:r w:rsidRPr="00593A5F">
        <w:rPr>
          <w:rFonts w:ascii="Verdana" w:eastAsia="Calibri" w:hAnsi="Verdana" w:cs="Arial"/>
          <w:color w:val="000000"/>
          <w:szCs w:val="24"/>
          <w:lang w:val="es-ES_tradnl" w:eastAsia="es-ES_tradnl"/>
        </w:rPr>
        <w:tab/>
      </w:r>
    </w:p>
    <w:p w14:paraId="4DF9A5D0" w14:textId="37A9E30E" w:rsidR="00E81D3B" w:rsidRDefault="00E81D3B" w:rsidP="00E81D3B">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w:t>
      </w:r>
      <w:proofErr w:type="gramStart"/>
      <w:r w:rsidRPr="00593A5F">
        <w:rPr>
          <w:rFonts w:ascii="Verdana" w:eastAsia="Calibri" w:hAnsi="Verdana" w:cs="Arial"/>
          <w:color w:val="000000"/>
          <w:lang w:val="es-ES" w:eastAsia="es-ES"/>
        </w:rPr>
        <w:t>petición</w:t>
      </w:r>
      <w:proofErr w:type="gramEnd"/>
      <w:r>
        <w:rPr>
          <w:rFonts w:ascii="Verdana" w:eastAsia="Calibri" w:hAnsi="Verdana" w:cs="Arial"/>
          <w:color w:val="000000"/>
          <w:lang w:val="es-ES" w:eastAsia="es-ES"/>
        </w:rPr>
        <w:t xml:space="preserve"> así como de las disposiciones ajenas al sistema de compras públicas</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Lo anterior</w:t>
      </w:r>
      <w:r w:rsidR="008F2504">
        <w:rPr>
          <w:rFonts w:ascii="Verdana" w:eastAsia="Calibri" w:hAnsi="Verdana" w:cs="Arial"/>
          <w:color w:val="000000"/>
          <w:lang w:val="es-ES" w:eastAsia="es-ES"/>
        </w:rPr>
        <w:t>,</w:t>
      </w:r>
      <w:r>
        <w:rPr>
          <w:rFonts w:ascii="Verdana" w:eastAsia="Calibri" w:hAnsi="Verdana" w:cs="Arial"/>
          <w:color w:val="000000"/>
          <w:lang w:val="es-ES" w:eastAsia="es-ES"/>
        </w:rPr>
        <w:t xml:space="preserve"> sin perjuicio de las atribuciones de la Secretaría de Hacienda de la Alcaldía de Santiago de Cali, por tratarse de una carga tributaria de carácter territorial.</w:t>
      </w:r>
    </w:p>
    <w:p w14:paraId="7D5B0B14" w14:textId="77777777" w:rsidR="00E81D3B" w:rsidRPr="00593A5F" w:rsidRDefault="00E81D3B" w:rsidP="00E81D3B">
      <w:pPr>
        <w:spacing w:after="0" w:line="276" w:lineRule="auto"/>
        <w:ind w:firstLine="709"/>
        <w:jc w:val="both"/>
        <w:rPr>
          <w:rFonts w:ascii="Verdana" w:eastAsia="Calibri" w:hAnsi="Verdana" w:cs="Arial"/>
          <w:color w:val="000000"/>
          <w:lang w:val="es-ES" w:eastAsia="es-ES"/>
        </w:rPr>
      </w:pPr>
    </w:p>
    <w:p w14:paraId="28C4FB66" w14:textId="77777777" w:rsidR="00E81D3B" w:rsidRPr="00593A5F" w:rsidRDefault="00E81D3B" w:rsidP="00E81D3B">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27ED3892" w14:textId="77777777" w:rsidR="00E81D3B" w:rsidRPr="00593A5F" w:rsidRDefault="00E81D3B" w:rsidP="00E81D3B">
      <w:pPr>
        <w:tabs>
          <w:tab w:val="left" w:pos="426"/>
        </w:tabs>
        <w:spacing w:after="0" w:line="276" w:lineRule="auto"/>
        <w:jc w:val="both"/>
        <w:rPr>
          <w:rFonts w:ascii="Verdana" w:eastAsia="Century Gothic" w:hAnsi="Verdana" w:cs="Century Gothic"/>
          <w:lang w:val="es-ES"/>
        </w:rPr>
      </w:pPr>
    </w:p>
    <w:p w14:paraId="529FFB93" w14:textId="1D32A4A0" w:rsidR="00E81D3B" w:rsidRPr="00593A5F" w:rsidRDefault="00E81D3B" w:rsidP="00E81D3B">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 xml:space="preserve">¿cuál es el alcance de los contratos de prestación de servicios en el sistema de compras </w:t>
      </w:r>
      <w:r w:rsidR="003D63E3">
        <w:rPr>
          <w:rFonts w:ascii="Verdana" w:eastAsia="Century Gothic" w:hAnsi="Verdana" w:cs="Century Gothic"/>
        </w:rPr>
        <w:t xml:space="preserve">y contratación </w:t>
      </w:r>
      <w:r>
        <w:rPr>
          <w:rFonts w:ascii="Verdana" w:eastAsia="Century Gothic" w:hAnsi="Verdana" w:cs="Century Gothic"/>
        </w:rPr>
        <w:t>pública para efectos de la exclusión prevista en el</w:t>
      </w:r>
      <w:r w:rsidRPr="00EB0193">
        <w:rPr>
          <w:rFonts w:ascii="Verdana" w:eastAsia="Calibri" w:hAnsi="Verdana" w:cs="Arial"/>
          <w:lang w:val="es-ES"/>
        </w:rPr>
        <w:t xml:space="preserve"> parágrafo del artículo 23 de la Ley 2126 de 2021</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5E831BA1" w14:textId="77777777" w:rsidR="00E81D3B" w:rsidRPr="004B140F" w:rsidRDefault="00E81D3B" w:rsidP="00E81D3B">
      <w:pPr>
        <w:spacing w:after="0" w:line="276" w:lineRule="auto"/>
        <w:jc w:val="both"/>
        <w:rPr>
          <w:rFonts w:ascii="Verdana" w:eastAsia="Calibri" w:hAnsi="Verdana" w:cs="Arial"/>
          <w:color w:val="7030A0"/>
        </w:rPr>
      </w:pPr>
    </w:p>
    <w:p w14:paraId="66C7D889" w14:textId="77777777" w:rsidR="00E81D3B" w:rsidRPr="00593A5F" w:rsidRDefault="00E81D3B" w:rsidP="00E81D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BCAF2F0" w14:textId="77777777" w:rsidR="00E81D3B" w:rsidRPr="00593A5F" w:rsidRDefault="00E81D3B" w:rsidP="00E81D3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1D3B" w:rsidRPr="00593A5F" w14:paraId="505A15C7" w14:textId="77777777" w:rsidTr="0015053F">
        <w:trPr>
          <w:jc w:val="center"/>
        </w:trPr>
        <w:tc>
          <w:tcPr>
            <w:tcW w:w="8828" w:type="dxa"/>
            <w:shd w:val="clear" w:color="auto" w:fill="auto"/>
          </w:tcPr>
          <w:p w14:paraId="53D69BA1" w14:textId="3AE25888" w:rsidR="00E81D3B" w:rsidRDefault="00E81D3B" w:rsidP="0015053F">
            <w:pPr>
              <w:widowControl w:val="0"/>
              <w:autoSpaceDE w:val="0"/>
              <w:autoSpaceDN w:val="0"/>
              <w:spacing w:after="120" w:line="276" w:lineRule="auto"/>
              <w:jc w:val="both"/>
              <w:rPr>
                <w:rFonts w:ascii="Verdana" w:eastAsia="Calibri" w:hAnsi="Verdana" w:cs="Arial"/>
                <w:color w:val="000000"/>
                <w:lang w:val="es-ES"/>
              </w:rPr>
            </w:pPr>
            <w:bookmarkStart w:id="1" w:name="_Hlk171694685"/>
            <w:r>
              <w:rPr>
                <w:rFonts w:ascii="Verdana" w:eastAsia="Times New Roman" w:hAnsi="Verdana" w:cs="Arial"/>
                <w:color w:val="000000"/>
                <w:lang w:val="es-ES_tradnl" w:eastAsia="es-ES_tradnl"/>
              </w:rPr>
              <w:t>Conforme a la interpretación de las normas generales del sistema de compras</w:t>
            </w:r>
            <w:r w:rsidR="00F771D2">
              <w:rPr>
                <w:rFonts w:ascii="Verdana" w:eastAsia="Times New Roman" w:hAnsi="Verdana" w:cs="Arial"/>
                <w:color w:val="000000"/>
                <w:lang w:val="es-ES_tradnl" w:eastAsia="es-ES_tradnl"/>
              </w:rPr>
              <w:t xml:space="preserve"> y contratación</w:t>
            </w:r>
            <w:r>
              <w:rPr>
                <w:rFonts w:ascii="Verdana" w:eastAsia="Times New Roman" w:hAnsi="Verdana" w:cs="Arial"/>
                <w:color w:val="000000"/>
                <w:lang w:val="es-ES_tradnl" w:eastAsia="es-ES_tradnl"/>
              </w:rPr>
              <w:t xml:space="preserve"> pública, de acuerdo con los artículos 32.3 de la Ley 80 de 1993, </w:t>
            </w:r>
            <w:r w:rsidR="006C051A">
              <w:rPr>
                <w:rFonts w:ascii="Verdana" w:eastAsia="Times New Roman" w:hAnsi="Verdana" w:cs="Arial"/>
                <w:color w:val="000000"/>
                <w:lang w:val="es-ES_tradnl" w:eastAsia="es-ES_tradnl"/>
              </w:rPr>
              <w:t xml:space="preserve">el </w:t>
            </w:r>
            <w:r>
              <w:rPr>
                <w:rFonts w:ascii="Verdana" w:eastAsia="Times New Roman" w:hAnsi="Verdana" w:cs="Arial"/>
                <w:color w:val="000000"/>
                <w:lang w:val="es-ES_tradnl" w:eastAsia="es-ES_tradnl"/>
              </w:rPr>
              <w:t>2.4 –</w:t>
            </w:r>
            <w:proofErr w:type="spellStart"/>
            <w:r>
              <w:rPr>
                <w:rFonts w:ascii="Verdana" w:eastAsia="Times New Roman" w:hAnsi="Verdana" w:cs="Arial"/>
                <w:color w:val="000000"/>
                <w:lang w:val="es-ES_tradnl" w:eastAsia="es-ES_tradnl"/>
              </w:rPr>
              <w:t>lit.</w:t>
            </w:r>
            <w:proofErr w:type="spellEnd"/>
            <w:r>
              <w:rPr>
                <w:rFonts w:ascii="Verdana" w:eastAsia="Times New Roman" w:hAnsi="Verdana" w:cs="Arial"/>
                <w:color w:val="000000"/>
                <w:lang w:val="es-ES_tradnl" w:eastAsia="es-ES_tradnl"/>
              </w:rPr>
              <w:t xml:space="preserve"> h)– de la Ley 1150 de 2007 y </w:t>
            </w:r>
            <w:r w:rsidR="006C051A">
              <w:rPr>
                <w:rFonts w:ascii="Verdana" w:eastAsia="Times New Roman" w:hAnsi="Verdana" w:cs="Arial"/>
                <w:color w:val="000000"/>
                <w:lang w:val="es-ES_tradnl" w:eastAsia="es-ES_tradnl"/>
              </w:rPr>
              <w:t xml:space="preserve">el </w:t>
            </w:r>
            <w:r w:rsidRPr="00E1095B">
              <w:rPr>
                <w:rFonts w:ascii="Verdana" w:eastAsia="Times New Roman" w:hAnsi="Verdana" w:cs="Arial"/>
                <w:color w:val="000000"/>
                <w:lang w:val="es-ES_tradnl" w:eastAsia="es-ES_tradnl"/>
              </w:rPr>
              <w:t>2.2.1.2.1.4.9</w:t>
            </w:r>
            <w:r>
              <w:rPr>
                <w:rFonts w:ascii="Verdana" w:eastAsia="Times New Roman" w:hAnsi="Verdana" w:cs="Arial"/>
                <w:color w:val="000000"/>
                <w:lang w:val="es-ES_tradnl" w:eastAsia="es-ES_tradnl"/>
              </w:rPr>
              <w:t xml:space="preserve"> del Decreto 1082 de 2015, </w:t>
            </w:r>
            <w:r>
              <w:rPr>
                <w:rFonts w:ascii="Verdana" w:eastAsia="Calibri" w:hAnsi="Verdana" w:cs="Arial"/>
                <w:color w:val="000000"/>
                <w:lang w:val="es-ES"/>
              </w:rPr>
              <w:t>l</w:t>
            </w:r>
            <w:r w:rsidRPr="00884819">
              <w:rPr>
                <w:rFonts w:ascii="Verdana" w:eastAsia="Calibri" w:hAnsi="Verdana" w:cs="Arial"/>
                <w:color w:val="000000"/>
                <w:lang w:val="es-ES"/>
              </w:rPr>
              <w:t xml:space="preserve">os contratos de prestación de servicios constituyen un </w:t>
            </w:r>
            <w:r w:rsidRPr="00884819">
              <w:rPr>
                <w:rFonts w:ascii="Verdana" w:eastAsia="Calibri" w:hAnsi="Verdana" w:cs="Arial"/>
                <w:i/>
                <w:color w:val="000000"/>
                <w:lang w:val="es-ES"/>
              </w:rPr>
              <w:t>género</w:t>
            </w:r>
            <w:r w:rsidRPr="00884819">
              <w:rPr>
                <w:rFonts w:ascii="Verdana" w:eastAsia="Calibri" w:hAnsi="Verdana" w:cs="Arial"/>
                <w:color w:val="000000"/>
                <w:lang w:val="es-ES"/>
              </w:rPr>
              <w:t xml:space="preserve"> que incluye, como </w:t>
            </w:r>
            <w:r w:rsidRPr="00884819">
              <w:rPr>
                <w:rFonts w:ascii="Verdana" w:eastAsia="Calibri" w:hAnsi="Verdana" w:cs="Arial"/>
                <w:i/>
                <w:color w:val="000000"/>
                <w:lang w:val="es-ES"/>
              </w:rPr>
              <w:t>especies</w:t>
            </w:r>
            <w:r w:rsidRPr="00884819">
              <w:rPr>
                <w:rFonts w:ascii="Verdana" w:eastAsia="Calibri"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Pr>
                <w:rFonts w:ascii="Verdana" w:eastAsia="Calibri" w:hAnsi="Verdana" w:cs="Arial"/>
                <w:color w:val="000000"/>
                <w:lang w:val="es-ES"/>
              </w:rPr>
              <w:t xml:space="preserve">. </w:t>
            </w:r>
          </w:p>
          <w:p w14:paraId="6B1D6366" w14:textId="744D46ED" w:rsidR="00E81D3B" w:rsidRPr="00F276AB" w:rsidRDefault="00E81D3B" w:rsidP="0015053F">
            <w:pPr>
              <w:widowControl w:val="0"/>
              <w:autoSpaceDE w:val="0"/>
              <w:autoSpaceDN w:val="0"/>
              <w:spacing w:after="120" w:line="276" w:lineRule="auto"/>
              <w:ind w:firstLine="737"/>
              <w:jc w:val="both"/>
              <w:rPr>
                <w:rFonts w:ascii="Verdana" w:eastAsia="Times New Roman" w:hAnsi="Verdana" w:cs="Arial"/>
                <w:color w:val="000000" w:themeColor="text1"/>
                <w:lang w:val="es-ES_tradnl" w:eastAsia="es-ES_tradnl"/>
              </w:rPr>
            </w:pPr>
            <w:r>
              <w:rPr>
                <w:rFonts w:ascii="Verdana" w:eastAsia="Calibri" w:hAnsi="Verdana" w:cs="Arial"/>
                <w:lang w:val="es-ES"/>
              </w:rPr>
              <w:t xml:space="preserve">Por tanto, siempre que los honorarios sean inferiores a </w:t>
            </w:r>
            <w:r w:rsidR="006C051A">
              <w:rPr>
                <w:rFonts w:ascii="Verdana" w:eastAsia="Calibri" w:hAnsi="Verdana" w:cs="Arial"/>
                <w:lang w:val="es-ES"/>
              </w:rPr>
              <w:t>diez (</w:t>
            </w:r>
            <w:r>
              <w:rPr>
                <w:rFonts w:ascii="Verdana" w:eastAsia="Calibri" w:hAnsi="Verdana" w:cs="Arial"/>
                <w:lang w:val="es-ES"/>
              </w:rPr>
              <w:t>10</w:t>
            </w:r>
            <w:r w:rsidR="006C051A">
              <w:rPr>
                <w:rFonts w:ascii="Verdana" w:eastAsia="Calibri" w:hAnsi="Verdana" w:cs="Arial"/>
                <w:lang w:val="es-ES"/>
              </w:rPr>
              <w:t>)</w:t>
            </w:r>
            <w:r>
              <w:rPr>
                <w:rFonts w:ascii="Verdana" w:eastAsia="Calibri" w:hAnsi="Verdana" w:cs="Arial"/>
                <w:lang w:val="es-ES"/>
              </w:rPr>
              <w:t xml:space="preserve"> </w:t>
            </w:r>
            <w:r w:rsidR="006C051A">
              <w:rPr>
                <w:rFonts w:ascii="Verdana" w:eastAsia="Calibri" w:hAnsi="Verdana" w:cs="Arial"/>
                <w:lang w:val="es-ES"/>
              </w:rPr>
              <w:t xml:space="preserve">salarios mínimos legales mensuales vigentes – en adelante </w:t>
            </w:r>
            <w:r w:rsidRPr="00EB0193">
              <w:rPr>
                <w:rFonts w:ascii="Verdana" w:eastAsia="Calibri" w:hAnsi="Verdana" w:cs="Arial"/>
                <w:lang w:val="es-ES"/>
              </w:rPr>
              <w:t>SMLMV</w:t>
            </w:r>
            <w:r w:rsidR="006C051A">
              <w:rPr>
                <w:rFonts w:ascii="Verdana" w:eastAsia="Calibri" w:hAnsi="Verdana" w:cs="Arial"/>
                <w:lang w:val="es-ES"/>
              </w:rPr>
              <w:t xml:space="preserve"> –</w:t>
            </w:r>
            <w:r>
              <w:rPr>
                <w:rFonts w:ascii="Verdana" w:eastAsia="Calibri" w:hAnsi="Verdana" w:cs="Arial"/>
                <w:lang w:val="es-ES"/>
              </w:rPr>
              <w:t xml:space="preserve">, </w:t>
            </w:r>
            <w:r>
              <w:rPr>
                <w:rFonts w:ascii="Verdana" w:eastAsia="Calibri" w:hAnsi="Verdana" w:cs="Arial"/>
                <w:color w:val="000000"/>
                <w:lang w:val="es-ES"/>
              </w:rPr>
              <w:t xml:space="preserve">están exentos </w:t>
            </w:r>
            <w:r w:rsidRPr="00860996">
              <w:rPr>
                <w:rFonts w:ascii="Verdana" w:eastAsia="Calibri" w:hAnsi="Verdana" w:cs="Arial"/>
                <w:color w:val="000000"/>
                <w:lang w:val="es-ES"/>
              </w:rPr>
              <w:t>de la “Estampilla para la Justicia Familiar”</w:t>
            </w:r>
            <w:r>
              <w:rPr>
                <w:rFonts w:ascii="Verdana" w:eastAsia="Calibri" w:hAnsi="Verdana" w:cs="Arial"/>
                <w:color w:val="000000"/>
                <w:lang w:val="es-ES"/>
              </w:rPr>
              <w:t xml:space="preserve">. </w:t>
            </w:r>
            <w:r w:rsidRPr="00860996">
              <w:rPr>
                <w:rFonts w:ascii="Verdana" w:eastAsia="Calibri" w:hAnsi="Verdana" w:cs="Arial"/>
                <w:color w:val="000000"/>
                <w:lang w:val="es-ES"/>
              </w:rPr>
              <w:t xml:space="preserve">Lo anterior en la medida que el </w:t>
            </w:r>
            <w:r w:rsidRPr="00860996">
              <w:rPr>
                <w:rFonts w:ascii="Verdana" w:eastAsia="Calibri" w:hAnsi="Verdana" w:cs="Arial"/>
                <w:lang w:val="es-ES"/>
              </w:rPr>
              <w:t xml:space="preserve">parágrafo del artículo 23 de la Ley 2126 de 2021 se refiere a los contratos de prestación de servicios sin distinguir entre las diferentes especies; razón por la cual, “donde el legislador </w:t>
            </w:r>
            <w:r>
              <w:rPr>
                <w:rFonts w:ascii="Verdana" w:eastAsia="Calibri" w:hAnsi="Verdana" w:cs="Arial"/>
                <w:lang w:val="es-ES"/>
              </w:rPr>
              <w:t>no distingue, no les lícito al intérprete distinguir”.</w:t>
            </w:r>
          </w:p>
          <w:p w14:paraId="617B402E" w14:textId="77777777" w:rsidR="00E81D3B" w:rsidRPr="00BD0B8C" w:rsidRDefault="00E81D3B" w:rsidP="0015053F">
            <w:pPr>
              <w:spacing w:before="120" w:line="276" w:lineRule="auto"/>
              <w:ind w:firstLine="709"/>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xml:space="preserve">, cada entidad definirá la forma de adelantar su gestión contractual, </w:t>
            </w:r>
            <w:r>
              <w:rPr>
                <w:rFonts w:ascii="Verdana" w:eastAsia="Calibri" w:hAnsi="Verdana" w:cs="Arial"/>
                <w:color w:val="000000"/>
                <w:lang w:val="es-ES" w:eastAsia="es-ES"/>
              </w:rPr>
              <w:t xml:space="preserve">sin perjuicio de las atribuciones de la Secretaría de Hacienda de la Alcaldía de Santiago de Cali. Esto ya que la carga tributaria de los artículos 22, 23 y 24 de la </w:t>
            </w:r>
            <w:r w:rsidRPr="0018393C">
              <w:rPr>
                <w:rFonts w:ascii="Verdana" w:eastAsia="Calibri" w:hAnsi="Verdana" w:cs="Arial"/>
                <w:lang w:val="es-ES"/>
              </w:rPr>
              <w:t>Ley 2126 de 2021</w:t>
            </w:r>
            <w:r>
              <w:rPr>
                <w:rFonts w:ascii="Verdana" w:eastAsia="Calibri" w:hAnsi="Verdana" w:cs="Arial"/>
                <w:color w:val="000000"/>
                <w:lang w:val="es-ES" w:eastAsia="es-ES"/>
              </w:rPr>
              <w:t xml:space="preserve"> tiene carácter territorial.</w:t>
            </w:r>
          </w:p>
        </w:tc>
      </w:tr>
    </w:tbl>
    <w:p w14:paraId="2B0250CE" w14:textId="77777777" w:rsidR="00E81D3B" w:rsidRPr="00593A5F" w:rsidRDefault="00E81D3B" w:rsidP="00E81D3B">
      <w:pPr>
        <w:tabs>
          <w:tab w:val="left" w:pos="142"/>
          <w:tab w:val="left" w:pos="284"/>
        </w:tabs>
        <w:spacing w:after="0" w:line="276" w:lineRule="auto"/>
        <w:jc w:val="both"/>
        <w:rPr>
          <w:rFonts w:ascii="Verdana" w:eastAsia="Century Gothic" w:hAnsi="Verdana" w:cs="Century Gothic"/>
          <w:b/>
          <w:bCs/>
          <w:lang w:val="es-ES"/>
        </w:rPr>
      </w:pPr>
    </w:p>
    <w:bookmarkEnd w:id="1"/>
    <w:p w14:paraId="12E2BCB1" w14:textId="77777777" w:rsidR="00E81D3B" w:rsidRPr="00593A5F" w:rsidRDefault="00E81D3B" w:rsidP="00E81D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F6D7B37" w14:textId="77777777" w:rsidR="00E81D3B" w:rsidRPr="00593A5F" w:rsidRDefault="00E81D3B" w:rsidP="00E81D3B">
      <w:pPr>
        <w:spacing w:after="0" w:line="276" w:lineRule="auto"/>
        <w:jc w:val="both"/>
        <w:rPr>
          <w:rFonts w:ascii="Verdana" w:eastAsia="Calibri" w:hAnsi="Verdana" w:cs="Arial"/>
          <w:color w:val="7030A0"/>
          <w:lang w:val="es-ES"/>
        </w:rPr>
      </w:pPr>
    </w:p>
    <w:p w14:paraId="461CA733" w14:textId="77777777" w:rsidR="00E81D3B" w:rsidRDefault="00E81D3B" w:rsidP="00E81D3B">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4472E89" w14:textId="77777777" w:rsidR="00E81D3B" w:rsidRDefault="00E81D3B" w:rsidP="00E81D3B">
      <w:pPr>
        <w:spacing w:after="0" w:line="276" w:lineRule="auto"/>
        <w:jc w:val="both"/>
        <w:rPr>
          <w:rFonts w:ascii="Verdana" w:eastAsia="Calibri" w:hAnsi="Verdana" w:cs="Arial"/>
          <w:lang w:val="es-ES"/>
        </w:rPr>
      </w:pPr>
    </w:p>
    <w:p w14:paraId="49D123E6" w14:textId="77777777" w:rsidR="00E81D3B" w:rsidRDefault="00E81D3B" w:rsidP="00E81D3B">
      <w:pPr>
        <w:spacing w:after="120" w:line="276" w:lineRule="auto"/>
        <w:jc w:val="both"/>
        <w:rPr>
          <w:rFonts w:ascii="Verdana" w:eastAsia="Calibri" w:hAnsi="Verdana" w:cs="Arial"/>
          <w:lang w:val="es-ES"/>
        </w:rPr>
      </w:pPr>
      <w:r>
        <w:rPr>
          <w:rFonts w:ascii="Verdana" w:eastAsia="Calibri" w:hAnsi="Verdana" w:cs="Arial"/>
          <w:lang w:val="es-ES"/>
        </w:rPr>
        <w:t>E</w:t>
      </w:r>
      <w:r w:rsidRPr="0018393C">
        <w:rPr>
          <w:rFonts w:ascii="Verdana" w:eastAsia="Calibri" w:hAnsi="Verdana" w:cs="Arial"/>
          <w:lang w:val="es-ES"/>
        </w:rPr>
        <w:t>l artículo 2</w:t>
      </w:r>
      <w:r>
        <w:rPr>
          <w:rFonts w:ascii="Verdana" w:eastAsia="Calibri" w:hAnsi="Verdana" w:cs="Arial"/>
          <w:lang w:val="es-ES"/>
        </w:rPr>
        <w:t>2</w:t>
      </w:r>
      <w:r w:rsidRPr="0018393C">
        <w:rPr>
          <w:rFonts w:ascii="Verdana" w:eastAsia="Calibri" w:hAnsi="Verdana" w:cs="Arial"/>
          <w:lang w:val="es-ES"/>
        </w:rPr>
        <w:t xml:space="preserve"> de la Ley 2126 de 2021</w:t>
      </w:r>
      <w:r>
        <w:rPr>
          <w:rFonts w:ascii="Verdana" w:eastAsia="Calibri" w:hAnsi="Verdana" w:cs="Arial"/>
          <w:lang w:val="es-ES"/>
        </w:rPr>
        <w:t xml:space="preserve"> autoriza a l</w:t>
      </w:r>
      <w:r w:rsidRPr="0018393C">
        <w:rPr>
          <w:rFonts w:ascii="Verdana" w:eastAsia="Calibri" w:hAnsi="Verdana" w:cs="Arial"/>
          <w:lang w:val="es-ES"/>
        </w:rPr>
        <w:t>as Asambleas departamentales, a los Concejos distritales y municipales</w:t>
      </w:r>
      <w:r>
        <w:rPr>
          <w:rFonts w:ascii="Verdana" w:eastAsia="Calibri" w:hAnsi="Verdana" w:cs="Arial"/>
          <w:lang w:val="es-ES"/>
        </w:rPr>
        <w:t xml:space="preserve"> para crear la </w:t>
      </w:r>
      <w:r w:rsidRPr="004E23FB">
        <w:rPr>
          <w:rFonts w:ascii="Verdana" w:eastAsia="Calibri" w:hAnsi="Verdana" w:cs="Arial"/>
          <w:color w:val="000000"/>
          <w:lang w:val="es-ES" w:eastAsia="es-ES"/>
        </w:rPr>
        <w:t>“Estampilla para la Justicia Familiar</w:t>
      </w:r>
      <w:r>
        <w:rPr>
          <w:rFonts w:ascii="Verdana" w:eastAsia="Calibri" w:hAnsi="Verdana" w:cs="Arial"/>
          <w:color w:val="000000"/>
          <w:lang w:val="es-ES" w:eastAsia="es-ES"/>
        </w:rPr>
        <w:t>”</w:t>
      </w:r>
      <w:r w:rsidRPr="0018393C">
        <w:rPr>
          <w:rFonts w:ascii="Verdana" w:eastAsia="Calibri" w:hAnsi="Verdana" w:cs="Arial"/>
          <w:lang w:val="es-ES"/>
        </w:rPr>
        <w:t>.</w:t>
      </w:r>
      <w:r>
        <w:rPr>
          <w:rFonts w:ascii="Verdana" w:eastAsia="Calibri" w:hAnsi="Verdana" w:cs="Arial"/>
          <w:lang w:val="es-ES"/>
        </w:rPr>
        <w:t xml:space="preserve"> De acuerdo con los incisos 2 y 3, “</w:t>
      </w:r>
      <w:r w:rsidRPr="0018393C">
        <w:rPr>
          <w:rFonts w:ascii="Verdana" w:eastAsia="Calibri" w:hAnsi="Verdana" w:cs="Arial"/>
          <w:lang w:val="es-ES"/>
        </w:rPr>
        <w:t>El producto de dichos recursos se destinará a financiar los gastos de funcionamiento en personal de nómina y dotación de las Comisarías de Familia, conforme el estándar de costos que para tal efecto establezca el Ministerio de Justicia y del Derecho como ente rector</w:t>
      </w:r>
      <w:r>
        <w:rPr>
          <w:rFonts w:ascii="Verdana" w:eastAsia="Calibri" w:hAnsi="Verdana" w:cs="Arial"/>
          <w:lang w:val="es-ES"/>
        </w:rPr>
        <w:t>”, además de que “</w:t>
      </w:r>
      <w:r w:rsidRPr="002272E7">
        <w:rPr>
          <w:rFonts w:ascii="Verdana" w:eastAsia="Calibri" w:hAnsi="Verdana" w:cs="Arial"/>
          <w:lang w:val="es-ES"/>
        </w:rPr>
        <w:t>Los excedentes en el recaudo se destinarán a la política de digitalización y necesidades de infraestructura, sin perjuicio de los recursos propios adicionales que se apropien por los entes territoriales</w:t>
      </w:r>
      <w:r>
        <w:rPr>
          <w:rFonts w:ascii="Verdana" w:eastAsia="Calibri" w:hAnsi="Verdana" w:cs="Arial"/>
          <w:lang w:val="es-ES"/>
        </w:rPr>
        <w:t>”</w:t>
      </w:r>
      <w:r w:rsidRPr="0018393C">
        <w:rPr>
          <w:rFonts w:ascii="Verdana" w:eastAsia="Calibri" w:hAnsi="Verdana" w:cs="Arial"/>
          <w:lang w:val="es-ES"/>
        </w:rPr>
        <w:t>.</w:t>
      </w:r>
      <w:r>
        <w:rPr>
          <w:rFonts w:ascii="Verdana" w:eastAsia="Calibri" w:hAnsi="Verdana" w:cs="Arial"/>
          <w:lang w:val="es-ES"/>
        </w:rPr>
        <w:t xml:space="preserve"> Asimismo, el parágrafo dispone que “</w:t>
      </w:r>
      <w:r w:rsidRPr="002272E7">
        <w:rPr>
          <w:rFonts w:ascii="Verdana" w:eastAsia="Calibri" w:hAnsi="Verdana" w:cs="Arial"/>
          <w:lang w:val="es-ES"/>
        </w:rPr>
        <w:t>El recaudo de la Estampilla Departamental se distribuirá en los distritos y municipios de su Jurisdicción en proporción directa al número de Comisarías existente en cada ente territorial</w:t>
      </w:r>
      <w:r>
        <w:rPr>
          <w:rFonts w:ascii="Verdana" w:eastAsia="Calibri" w:hAnsi="Verdana" w:cs="Arial"/>
          <w:lang w:val="es-ES"/>
        </w:rPr>
        <w:t>”</w:t>
      </w:r>
      <w:r w:rsidRPr="002272E7">
        <w:rPr>
          <w:rFonts w:ascii="Verdana" w:eastAsia="Calibri" w:hAnsi="Verdana" w:cs="Arial"/>
          <w:lang w:val="es-ES"/>
        </w:rPr>
        <w:t>.</w:t>
      </w:r>
    </w:p>
    <w:p w14:paraId="775AF822" w14:textId="77777777" w:rsidR="00E81D3B" w:rsidRDefault="00E81D3B" w:rsidP="00E81D3B">
      <w:pPr>
        <w:spacing w:after="120" w:line="276" w:lineRule="auto"/>
        <w:jc w:val="both"/>
        <w:rPr>
          <w:rFonts w:ascii="Verdana" w:eastAsia="Calibri" w:hAnsi="Verdana" w:cs="Arial"/>
          <w:lang w:val="es-ES"/>
        </w:rPr>
      </w:pPr>
      <w:r>
        <w:rPr>
          <w:rFonts w:ascii="Verdana" w:eastAsia="Calibri" w:hAnsi="Verdana" w:cs="Arial"/>
          <w:lang w:val="es-ES"/>
        </w:rPr>
        <w:tab/>
        <w:t xml:space="preserve">Para estos efectos, los artículos 23 y 24 </w:t>
      </w:r>
      <w:r w:rsidRPr="0018393C">
        <w:rPr>
          <w:rFonts w:ascii="Verdana" w:eastAsia="Calibri" w:hAnsi="Verdana" w:cs="Arial"/>
          <w:lang w:val="es-ES"/>
        </w:rPr>
        <w:t>de la Ley 2126 de 2021</w:t>
      </w:r>
      <w:r>
        <w:rPr>
          <w:rFonts w:ascii="Verdana" w:eastAsia="Calibri" w:hAnsi="Verdana" w:cs="Arial"/>
          <w:lang w:val="es-ES"/>
        </w:rPr>
        <w:t xml:space="preserve"> determinan el hecho generador, la base gravable y la tarifa. Por un lado, “</w:t>
      </w:r>
      <w:r w:rsidRPr="002272E7">
        <w:rPr>
          <w:rFonts w:ascii="Verdana" w:eastAsia="Calibri" w:hAnsi="Verdana" w:cs="Arial"/>
          <w:lang w:val="es-ES"/>
        </w:rPr>
        <w:t>El hecho generador de la estampilla está constituido por los contratos y las adiciones a los mismos, suscritos con las entidades que conforman el presupuesto anual del departamento, municipio y distrito</w:t>
      </w:r>
      <w:r>
        <w:rPr>
          <w:rFonts w:ascii="Verdana" w:eastAsia="Calibri" w:hAnsi="Verdana" w:cs="Arial"/>
          <w:lang w:val="es-ES"/>
        </w:rPr>
        <w:t>”</w:t>
      </w:r>
      <w:r w:rsidRPr="002272E7">
        <w:rPr>
          <w:rFonts w:ascii="Verdana" w:eastAsia="Calibri" w:hAnsi="Verdana" w:cs="Arial"/>
          <w:lang w:val="es-ES"/>
        </w:rPr>
        <w:t>.</w:t>
      </w:r>
      <w:r>
        <w:rPr>
          <w:rFonts w:ascii="Verdana" w:eastAsia="Calibri" w:hAnsi="Verdana" w:cs="Arial"/>
          <w:lang w:val="es-ES"/>
        </w:rPr>
        <w:t xml:space="preserve"> Por otra parte, “</w:t>
      </w:r>
      <w:r w:rsidRPr="002272E7">
        <w:rPr>
          <w:rFonts w:ascii="Verdana" w:eastAsia="Calibri" w:hAnsi="Verdana" w:cs="Arial"/>
          <w:lang w:val="es-ES"/>
        </w:rPr>
        <w:t>La base gravable es el valor bruto de los contratos, entendido como el valor a girar por cada orden de pago o anticipo sin incluir el Impuesto al Valor Agregado IVA. La tarifa es del 2% del valor del pago anticipado si lo hubiere, y de cada cuenta que se le pague al contratista</w:t>
      </w:r>
      <w:r>
        <w:rPr>
          <w:rFonts w:ascii="Verdana" w:eastAsia="Calibri" w:hAnsi="Verdana" w:cs="Arial"/>
          <w:lang w:val="es-ES"/>
        </w:rPr>
        <w:t xml:space="preserve">”. </w:t>
      </w:r>
      <w:r w:rsidRPr="00EB0193">
        <w:rPr>
          <w:rFonts w:ascii="Verdana" w:eastAsia="Calibri" w:hAnsi="Verdana" w:cs="Arial"/>
          <w:lang w:val="es-ES"/>
        </w:rPr>
        <w:t xml:space="preserve">Sin embargo, </w:t>
      </w:r>
      <w:r>
        <w:rPr>
          <w:rFonts w:ascii="Verdana" w:eastAsia="Calibri" w:hAnsi="Verdana" w:cs="Arial"/>
          <w:lang w:val="es-ES"/>
        </w:rPr>
        <w:t>respecto</w:t>
      </w:r>
      <w:r w:rsidRPr="00EB0193">
        <w:rPr>
          <w:rFonts w:ascii="Verdana" w:eastAsia="Calibri" w:hAnsi="Verdana" w:cs="Arial"/>
          <w:lang w:val="es-ES"/>
        </w:rPr>
        <w:t xml:space="preserve"> al </w:t>
      </w:r>
      <w:r w:rsidRPr="00EB0193">
        <w:rPr>
          <w:rFonts w:ascii="Verdana" w:eastAsia="Calibri" w:hAnsi="Verdana" w:cs="Arial"/>
          <w:i/>
          <w:iCs/>
          <w:lang w:val="es-ES"/>
        </w:rPr>
        <w:t>hecho generador</w:t>
      </w:r>
      <w:r w:rsidRPr="00EB0193">
        <w:rPr>
          <w:rFonts w:ascii="Verdana" w:eastAsia="Calibri" w:hAnsi="Verdana" w:cs="Arial"/>
          <w:lang w:val="es-ES"/>
        </w:rPr>
        <w:t>, el parágrafo del artículo 23 de la Ley 2126 de 2021 dispone que “Quedarán excluidos los contratos de prestación de servicios cuyo pago de honorarios mensual sea inferior a diez (10) SMLMV</w:t>
      </w:r>
      <w:r>
        <w:rPr>
          <w:rFonts w:ascii="Verdana" w:eastAsia="Calibri" w:hAnsi="Verdana" w:cs="Arial"/>
          <w:lang w:val="es-ES"/>
        </w:rPr>
        <w:t>”</w:t>
      </w:r>
      <w:r w:rsidRPr="00EB0193">
        <w:rPr>
          <w:rFonts w:ascii="Verdana" w:eastAsia="Calibri" w:hAnsi="Verdana" w:cs="Arial"/>
          <w:lang w:val="es-ES"/>
        </w:rPr>
        <w:t>.</w:t>
      </w:r>
      <w:r>
        <w:rPr>
          <w:rFonts w:ascii="Verdana" w:eastAsia="Calibri" w:hAnsi="Verdana" w:cs="Arial"/>
          <w:lang w:val="es-ES"/>
        </w:rPr>
        <w:t xml:space="preserve"> </w:t>
      </w:r>
    </w:p>
    <w:p w14:paraId="77EE186D" w14:textId="648A2595" w:rsidR="00E81D3B" w:rsidRPr="00884819" w:rsidRDefault="00E81D3B" w:rsidP="00E81D3B">
      <w:pPr>
        <w:spacing w:after="0" w:line="276" w:lineRule="auto"/>
        <w:ind w:firstLine="708"/>
        <w:jc w:val="both"/>
        <w:rPr>
          <w:rFonts w:ascii="Verdana" w:eastAsia="Calibri" w:hAnsi="Verdana" w:cs="Arial"/>
          <w:color w:val="000000"/>
          <w:lang w:val="es-ES_tradnl"/>
        </w:rPr>
      </w:pPr>
      <w:r>
        <w:rPr>
          <w:rFonts w:ascii="Verdana" w:eastAsia="Calibri" w:hAnsi="Verdana" w:cs="Arial"/>
          <w:lang w:val="es-ES"/>
        </w:rPr>
        <w:t xml:space="preserve">Sobre este último punto, es necesario tener en cuenta que </w:t>
      </w:r>
      <w:r>
        <w:rPr>
          <w:rFonts w:ascii="Verdana" w:eastAsia="Calibri" w:hAnsi="Verdana" w:cs="Arial"/>
          <w:color w:val="000000"/>
          <w:lang w:val="es-ES_tradnl"/>
        </w:rPr>
        <w:t>la</w:t>
      </w:r>
      <w:r w:rsidRPr="00884819">
        <w:rPr>
          <w:rFonts w:ascii="Verdana" w:eastAsia="Calibri" w:hAnsi="Verdana" w:cs="Arial"/>
          <w:color w:val="000000"/>
          <w:lang w:val="es-ES_tradnl"/>
        </w:rPr>
        <w:t xml:space="preserve"> prestación de servicios es uno de los tipos contractuales consagrados en el Estatuto General de Contratación de la Administración Pública</w:t>
      </w:r>
      <w:r w:rsidR="00FD76F5">
        <w:rPr>
          <w:rFonts w:ascii="Verdana" w:eastAsia="Calibri" w:hAnsi="Verdana" w:cs="Arial"/>
          <w:color w:val="000000"/>
          <w:lang w:val="es-ES_tradnl"/>
        </w:rPr>
        <w:t xml:space="preserve"> – en adelante EGCAP -</w:t>
      </w:r>
      <w:r w:rsidRPr="00884819">
        <w:rPr>
          <w:rFonts w:ascii="Verdana" w:eastAsia="Calibri" w:hAnsi="Verdana" w:cs="Arial"/>
          <w:color w:val="000000"/>
          <w:lang w:val="es-ES_tradnl"/>
        </w:rPr>
        <w:t xml:space="preserve">. Históricamente, dicha tipología se encontraba regulada en el artículo 138 del Decreto Ley 150 del 1976 y en el artículo 163 del Decreto Ley 222 de 1983. Se trata de un contrato típico, ya que se encuentra definido en la ley y, por tanto, en las condiciones descritas en los artículos 13, 32 y 40 del EGCAP, su regulación </w:t>
      </w:r>
      <w:r w:rsidRPr="00884819">
        <w:rPr>
          <w:rFonts w:ascii="Verdana" w:eastAsia="Calibri" w:hAnsi="Verdana" w:cs="Arial"/>
          <w:color w:val="000000"/>
          <w:lang w:val="es-ES_tradnl"/>
        </w:rPr>
        <w:lastRenderedPageBreak/>
        <w:t>desplaza las reglas del arrendamiento de servicios inmateriales de que tratan los artículos 2063 y siguientes del Código Civil. Actualmente, el artículo 32, numeral 3º, de la Ley 80 de 1993, establece:</w:t>
      </w:r>
    </w:p>
    <w:p w14:paraId="042BF2FB" w14:textId="77777777" w:rsidR="00E81D3B" w:rsidRPr="00884819" w:rsidRDefault="00E81D3B" w:rsidP="00E81D3B">
      <w:pPr>
        <w:spacing w:after="0" w:line="276" w:lineRule="auto"/>
        <w:jc w:val="both"/>
        <w:rPr>
          <w:rFonts w:ascii="Verdana" w:eastAsia="Calibri" w:hAnsi="Verdana" w:cs="Arial"/>
          <w:color w:val="000000"/>
          <w:lang w:val="es-ES_tradnl"/>
        </w:rPr>
      </w:pPr>
    </w:p>
    <w:p w14:paraId="25153185" w14:textId="77777777" w:rsidR="00E81D3B" w:rsidRDefault="00E81D3B" w:rsidP="00D6236F">
      <w:pPr>
        <w:spacing w:after="0" w:line="240" w:lineRule="auto"/>
        <w:ind w:left="709" w:right="709"/>
        <w:jc w:val="both"/>
        <w:rPr>
          <w:rFonts w:ascii="Verdana" w:eastAsia="Calibri" w:hAnsi="Verdana" w:cs="Arial"/>
          <w:color w:val="000000"/>
          <w:sz w:val="20"/>
          <w:szCs w:val="20"/>
          <w:lang w:val="es-ES_tradnl"/>
        </w:rPr>
      </w:pPr>
      <w:r w:rsidRPr="00252CEF">
        <w:rPr>
          <w:rFonts w:ascii="Verdana" w:eastAsia="Calibri" w:hAnsi="Verdana" w:cs="Arial"/>
          <w:color w:val="000000"/>
          <w:sz w:val="20"/>
          <w:szCs w:val="20"/>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3AF2984C" w14:textId="77777777" w:rsidR="00D6236F" w:rsidRPr="00252CEF" w:rsidRDefault="00D6236F" w:rsidP="00252CEF">
      <w:pPr>
        <w:spacing w:after="0" w:line="240" w:lineRule="auto"/>
        <w:ind w:left="709" w:right="709"/>
        <w:jc w:val="both"/>
        <w:rPr>
          <w:rFonts w:ascii="Verdana" w:eastAsia="Calibri" w:hAnsi="Verdana" w:cs="Arial"/>
          <w:color w:val="000000"/>
          <w:sz w:val="20"/>
          <w:szCs w:val="20"/>
          <w:lang w:val="es-ES_tradnl"/>
        </w:rPr>
      </w:pPr>
    </w:p>
    <w:p w14:paraId="391986D8" w14:textId="77777777" w:rsidR="00E81D3B" w:rsidRPr="00252CEF" w:rsidRDefault="00E81D3B" w:rsidP="00D6236F">
      <w:pPr>
        <w:spacing w:after="0" w:line="240" w:lineRule="auto"/>
        <w:ind w:left="709" w:right="709"/>
        <w:jc w:val="both"/>
        <w:rPr>
          <w:rFonts w:ascii="Verdana" w:eastAsia="Calibri" w:hAnsi="Verdana" w:cs="Arial"/>
          <w:color w:val="000000"/>
          <w:sz w:val="20"/>
          <w:szCs w:val="20"/>
          <w:lang w:val="es-ES_tradnl"/>
        </w:rPr>
      </w:pPr>
      <w:r w:rsidRPr="00252CEF">
        <w:rPr>
          <w:rFonts w:ascii="Verdana" w:eastAsia="Calibri" w:hAnsi="Verdana" w:cs="Arial"/>
          <w:color w:val="000000"/>
          <w:sz w:val="20"/>
          <w:szCs w:val="20"/>
          <w:lang w:val="es-ES_tradnl"/>
        </w:rPr>
        <w:t>En ningún caso estos contratos generan relación laboral ni prestaciones sociales y se celebrarán por el término estrictamente indispensable”.</w:t>
      </w:r>
    </w:p>
    <w:p w14:paraId="2356E9E8" w14:textId="77777777" w:rsidR="00E81D3B" w:rsidRPr="00884819" w:rsidRDefault="00E81D3B" w:rsidP="00E81D3B">
      <w:pPr>
        <w:tabs>
          <w:tab w:val="left" w:pos="284"/>
        </w:tabs>
        <w:spacing w:after="0" w:line="276" w:lineRule="auto"/>
        <w:contextualSpacing/>
        <w:jc w:val="both"/>
        <w:rPr>
          <w:rFonts w:ascii="Verdana" w:eastAsia="Calibri" w:hAnsi="Verdana" w:cs="Arial"/>
          <w:b/>
          <w:color w:val="000000"/>
          <w:lang w:val="es-ES_tradnl"/>
        </w:rPr>
      </w:pPr>
    </w:p>
    <w:p w14:paraId="5858302A" w14:textId="77777777" w:rsidR="00E81D3B" w:rsidRPr="00884819" w:rsidRDefault="00E81D3B" w:rsidP="00E81D3B">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A pesar de la derogatoria del literal d) del artículo 24.1 del Estatuto General, la celebración de dicho contrato se realiza a través de la modalidad de la contratación directa. Así lo prevé el artículo 2, numeral 4º, literal h), de la Ley 1150 de 2007, que dispone:</w:t>
      </w:r>
    </w:p>
    <w:p w14:paraId="4A3C8EA7" w14:textId="77777777" w:rsidR="00E81D3B" w:rsidRPr="00884819" w:rsidRDefault="00E81D3B" w:rsidP="00E81D3B">
      <w:pPr>
        <w:spacing w:after="0" w:line="276" w:lineRule="auto"/>
        <w:jc w:val="both"/>
        <w:rPr>
          <w:rFonts w:ascii="Verdana" w:eastAsia="Calibri" w:hAnsi="Verdana" w:cs="Arial"/>
          <w:color w:val="000000"/>
          <w:lang w:val="es-ES_tradnl"/>
        </w:rPr>
      </w:pPr>
    </w:p>
    <w:p w14:paraId="10397CE1" w14:textId="77777777" w:rsidR="00E81D3B" w:rsidRPr="00252CEF" w:rsidRDefault="00E81D3B" w:rsidP="00E81D3B">
      <w:pPr>
        <w:spacing w:after="0" w:line="240" w:lineRule="auto"/>
        <w:ind w:left="709" w:right="709"/>
        <w:jc w:val="both"/>
        <w:rPr>
          <w:rFonts w:ascii="Verdana" w:eastAsia="Calibri" w:hAnsi="Verdana" w:cs="Arial"/>
          <w:color w:val="000000"/>
          <w:sz w:val="20"/>
          <w:szCs w:val="20"/>
          <w:lang w:val="es-ES_tradnl"/>
        </w:rPr>
      </w:pPr>
      <w:r w:rsidRPr="00252CEF">
        <w:rPr>
          <w:rFonts w:ascii="Verdana" w:eastAsia="Calibri" w:hAnsi="Verdana" w:cs="Arial"/>
          <w:color w:val="000000"/>
          <w:sz w:val="20"/>
          <w:szCs w:val="20"/>
          <w:lang w:val="es-ES_tradnl"/>
        </w:rPr>
        <w:t>“[…]</w:t>
      </w:r>
    </w:p>
    <w:p w14:paraId="08787FE9" w14:textId="77777777" w:rsidR="00E81D3B" w:rsidRPr="00252CEF" w:rsidRDefault="00E81D3B" w:rsidP="00E81D3B">
      <w:pPr>
        <w:spacing w:line="240" w:lineRule="auto"/>
        <w:ind w:left="709" w:right="709"/>
        <w:jc w:val="both"/>
        <w:rPr>
          <w:rFonts w:ascii="Verdana" w:eastAsia="Calibri" w:hAnsi="Verdana" w:cs="Arial"/>
          <w:color w:val="000000"/>
          <w:sz w:val="20"/>
          <w:szCs w:val="20"/>
          <w:lang w:val="es-ES"/>
        </w:rPr>
      </w:pPr>
      <w:r w:rsidRPr="00252CEF">
        <w:rPr>
          <w:rFonts w:ascii="Verdana" w:eastAsia="Calibri" w:hAnsi="Verdana" w:cs="Arial"/>
          <w:color w:val="000000" w:themeColor="text1"/>
          <w:sz w:val="20"/>
          <w:szCs w:val="20"/>
          <w:lang w:val="es-ES"/>
        </w:rPr>
        <w:t>Contratación directa. La modalidad de selección de contratación directa solamente procederá en los siguientes casos:</w:t>
      </w:r>
    </w:p>
    <w:p w14:paraId="11CFBBA7" w14:textId="77777777" w:rsidR="00E81D3B" w:rsidRPr="00252CEF" w:rsidRDefault="00E81D3B" w:rsidP="00E81D3B">
      <w:pPr>
        <w:spacing w:after="0" w:line="240" w:lineRule="auto"/>
        <w:ind w:left="709" w:right="709"/>
        <w:jc w:val="both"/>
        <w:rPr>
          <w:rFonts w:ascii="Verdana" w:eastAsia="Calibri" w:hAnsi="Verdana" w:cs="Arial"/>
          <w:color w:val="000000"/>
          <w:sz w:val="20"/>
          <w:szCs w:val="20"/>
          <w:lang w:val="es-ES_tradnl"/>
        </w:rPr>
      </w:pPr>
      <w:r w:rsidRPr="00252CEF">
        <w:rPr>
          <w:rFonts w:ascii="Verdana" w:eastAsia="Calibri" w:hAnsi="Verdana" w:cs="Arial"/>
          <w:color w:val="000000"/>
          <w:sz w:val="20"/>
          <w:szCs w:val="20"/>
          <w:lang w:val="es-ES_tradnl"/>
        </w:rPr>
        <w:t>[…]</w:t>
      </w:r>
    </w:p>
    <w:p w14:paraId="695EBD5F" w14:textId="77777777" w:rsidR="00E81D3B" w:rsidRPr="00884819" w:rsidRDefault="00E81D3B" w:rsidP="00E81D3B">
      <w:pPr>
        <w:spacing w:after="0" w:line="240" w:lineRule="auto"/>
        <w:ind w:left="709" w:right="709"/>
        <w:jc w:val="both"/>
        <w:rPr>
          <w:rFonts w:ascii="Verdana" w:eastAsia="Calibri" w:hAnsi="Verdana" w:cs="Arial"/>
          <w:color w:val="000000"/>
          <w:sz w:val="21"/>
          <w:szCs w:val="21"/>
          <w:lang w:val="es-ES_tradnl"/>
        </w:rPr>
      </w:pPr>
      <w:r w:rsidRPr="00252CEF">
        <w:rPr>
          <w:rFonts w:ascii="Verdana" w:eastAsia="Calibri" w:hAnsi="Verdana" w:cs="Arial"/>
          <w:color w:val="000000"/>
          <w:sz w:val="20"/>
          <w:szCs w:val="20"/>
          <w:lang w:val="es-ES_tradnl"/>
        </w:rPr>
        <w:t>h) Para la prestación de servicios profesionales y de apoyo a la gestión, o para la ejecución de trabajos artísticos que sólo puedan encomendarse a determinadas personas naturales”.</w:t>
      </w:r>
    </w:p>
    <w:p w14:paraId="7293DF31" w14:textId="77777777" w:rsidR="00E81D3B" w:rsidRPr="00884819" w:rsidRDefault="00E81D3B" w:rsidP="00E81D3B">
      <w:pPr>
        <w:spacing w:after="0" w:line="276" w:lineRule="auto"/>
        <w:ind w:right="709"/>
        <w:jc w:val="both"/>
        <w:rPr>
          <w:rFonts w:ascii="Verdana" w:eastAsia="Calibri" w:hAnsi="Verdana" w:cs="Arial"/>
          <w:color w:val="000000"/>
          <w:lang w:val="es-ES_tradnl"/>
        </w:rPr>
      </w:pPr>
    </w:p>
    <w:p w14:paraId="2DE65A68" w14:textId="77777777" w:rsidR="00E81D3B" w:rsidRDefault="00E81D3B" w:rsidP="00E81D3B">
      <w:pPr>
        <w:spacing w:line="276" w:lineRule="auto"/>
        <w:ind w:firstLine="709"/>
        <w:jc w:val="both"/>
        <w:rPr>
          <w:rFonts w:ascii="Verdana" w:eastAsia="Calibri" w:hAnsi="Verdana" w:cs="Arial"/>
          <w:color w:val="000000"/>
          <w:lang w:val="es-ES"/>
        </w:rPr>
      </w:pPr>
      <w:r w:rsidRPr="00884819">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w:t>
      </w:r>
      <w:r>
        <w:rPr>
          <w:rFonts w:ascii="Verdana" w:eastAsia="Calibri" w:hAnsi="Verdana" w:cs="Arial"/>
          <w:lang w:val="es-ES"/>
        </w:rPr>
        <w:t xml:space="preserve"> que </w:t>
      </w:r>
      <w:r>
        <w:rPr>
          <w:rFonts w:ascii="Verdana" w:eastAsia="Calibri" w:hAnsi="Verdana" w:cs="Arial"/>
          <w:color w:val="000000"/>
          <w:lang w:val="es-ES"/>
        </w:rPr>
        <w:t>l</w:t>
      </w:r>
      <w:r w:rsidRPr="00884819">
        <w:rPr>
          <w:rFonts w:ascii="Verdana" w:eastAsia="Calibri" w:hAnsi="Verdana" w:cs="Arial"/>
          <w:color w:val="000000"/>
          <w:lang w:val="es-ES"/>
        </w:rPr>
        <w:t xml:space="preserve">os contratos de prestación de servicios constituyen un </w:t>
      </w:r>
      <w:r w:rsidRPr="00884819">
        <w:rPr>
          <w:rFonts w:ascii="Verdana" w:eastAsia="Calibri" w:hAnsi="Verdana" w:cs="Arial"/>
          <w:i/>
          <w:color w:val="000000"/>
          <w:lang w:val="es-ES"/>
        </w:rPr>
        <w:t>género</w:t>
      </w:r>
      <w:r w:rsidRPr="00884819">
        <w:rPr>
          <w:rFonts w:ascii="Verdana" w:eastAsia="Calibri" w:hAnsi="Verdana" w:cs="Arial"/>
          <w:color w:val="000000"/>
          <w:lang w:val="es-ES"/>
        </w:rPr>
        <w:t xml:space="preserve"> que incluye, como </w:t>
      </w:r>
      <w:r w:rsidRPr="00884819">
        <w:rPr>
          <w:rFonts w:ascii="Verdana" w:eastAsia="Calibri" w:hAnsi="Verdana" w:cs="Arial"/>
          <w:i/>
          <w:color w:val="000000"/>
          <w:lang w:val="es-ES"/>
        </w:rPr>
        <w:t>especies</w:t>
      </w:r>
      <w:r w:rsidRPr="00884819">
        <w:rPr>
          <w:rFonts w:ascii="Verdana" w:eastAsia="Calibri"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884819">
        <w:rPr>
          <w:rStyle w:val="Refdenotaalpie"/>
          <w:rFonts w:ascii="Verdana" w:hAnsi="Verdana" w:cs="Arial"/>
        </w:rPr>
        <w:footnoteReference w:id="1"/>
      </w:r>
      <w:r w:rsidRPr="00884819">
        <w:rPr>
          <w:rFonts w:ascii="Verdana" w:eastAsia="Calibri" w:hAnsi="Verdana" w:cs="Arial"/>
          <w:color w:val="000000"/>
          <w:lang w:val="es-ES"/>
        </w:rPr>
        <w:t xml:space="preserve">. </w:t>
      </w:r>
    </w:p>
    <w:p w14:paraId="79270824" w14:textId="77777777" w:rsidR="00E81D3B" w:rsidRPr="00884819" w:rsidRDefault="00E81D3B" w:rsidP="00E81D3B">
      <w:pPr>
        <w:spacing w:after="0" w:line="276" w:lineRule="auto"/>
        <w:ind w:firstLine="709"/>
        <w:jc w:val="both"/>
        <w:rPr>
          <w:rFonts w:ascii="Verdana" w:eastAsia="Calibri" w:hAnsi="Verdana" w:cs="Arial"/>
          <w:color w:val="000000"/>
          <w:lang w:val="es-ES"/>
        </w:rPr>
      </w:pPr>
      <w:r w:rsidRPr="00884819">
        <w:rPr>
          <w:rFonts w:ascii="Verdana" w:eastAsia="Calibri" w:hAnsi="Verdana" w:cs="Arial"/>
          <w:color w:val="000000"/>
          <w:lang w:val="es-ES"/>
        </w:rPr>
        <w:lastRenderedPageBreak/>
        <w:t xml:space="preserve">La diferencia entre el contrato de prestación de servicios </w:t>
      </w:r>
      <w:r w:rsidRPr="00884819">
        <w:rPr>
          <w:rFonts w:ascii="Verdana" w:eastAsia="Calibri" w:hAnsi="Verdana" w:cs="Arial"/>
          <w:i/>
          <w:color w:val="000000"/>
          <w:lang w:val="es-ES"/>
        </w:rPr>
        <w:t>profesionales</w:t>
      </w:r>
      <w:r w:rsidRPr="00884819">
        <w:rPr>
          <w:rFonts w:ascii="Verdana" w:eastAsia="Calibri" w:hAnsi="Verdana" w:cs="Arial"/>
          <w:color w:val="000000"/>
          <w:lang w:val="es-ES"/>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69704E67" w14:textId="77777777" w:rsidR="00E81D3B" w:rsidRPr="00884819" w:rsidRDefault="00E81D3B" w:rsidP="00E81D3B">
      <w:pPr>
        <w:spacing w:after="0" w:line="276" w:lineRule="auto"/>
        <w:ind w:firstLine="709"/>
        <w:jc w:val="both"/>
        <w:rPr>
          <w:rFonts w:ascii="Verdana" w:eastAsia="Calibri" w:hAnsi="Verdana" w:cs="Arial"/>
          <w:color w:val="000000"/>
          <w:lang w:val="es-ES_tradnl"/>
        </w:rPr>
      </w:pPr>
    </w:p>
    <w:p w14:paraId="147CB2E4" w14:textId="77777777" w:rsidR="00E81D3B" w:rsidRPr="00252CEF" w:rsidRDefault="00E81D3B" w:rsidP="00E81D3B">
      <w:pPr>
        <w:spacing w:after="0" w:line="240" w:lineRule="auto"/>
        <w:ind w:left="709" w:right="709"/>
        <w:jc w:val="both"/>
        <w:rPr>
          <w:rFonts w:ascii="Verdana" w:eastAsia="Calibri" w:hAnsi="Verdana" w:cs="Arial"/>
          <w:color w:val="000000"/>
          <w:sz w:val="20"/>
          <w:szCs w:val="20"/>
          <w:lang w:val="es-ES_tradnl"/>
        </w:rPr>
      </w:pPr>
      <w:r w:rsidRPr="00252CEF">
        <w:rPr>
          <w:rFonts w:ascii="Verdana" w:eastAsia="Calibri" w:hAnsi="Verdana" w:cs="Arial"/>
          <w:color w:val="000000"/>
          <w:sz w:val="20"/>
          <w:szCs w:val="20"/>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252CEF">
        <w:rPr>
          <w:rStyle w:val="Refdenotaalpie"/>
          <w:rFonts w:ascii="Verdana" w:hAnsi="Verdana" w:cs="Arial"/>
          <w:sz w:val="20"/>
          <w:szCs w:val="20"/>
        </w:rPr>
        <w:footnoteReference w:id="2"/>
      </w:r>
      <w:r w:rsidRPr="00252CEF">
        <w:rPr>
          <w:rFonts w:ascii="Verdana" w:eastAsia="Calibri" w:hAnsi="Verdana" w:cs="Arial"/>
          <w:color w:val="000000"/>
          <w:sz w:val="20"/>
          <w:szCs w:val="20"/>
          <w:lang w:val="es-ES_tradnl"/>
        </w:rPr>
        <w:t>.</w:t>
      </w:r>
    </w:p>
    <w:p w14:paraId="0EE796C5" w14:textId="77777777" w:rsidR="00E81D3B" w:rsidRPr="00884819" w:rsidRDefault="00E81D3B" w:rsidP="00E81D3B">
      <w:pPr>
        <w:spacing w:after="0" w:line="276" w:lineRule="auto"/>
        <w:ind w:firstLine="709"/>
        <w:jc w:val="both"/>
        <w:rPr>
          <w:rFonts w:ascii="Verdana" w:eastAsia="Calibri" w:hAnsi="Verdana" w:cs="Arial"/>
          <w:color w:val="000000"/>
          <w:lang w:val="es-ES_tradnl"/>
        </w:rPr>
      </w:pPr>
    </w:p>
    <w:p w14:paraId="658FB10C" w14:textId="77777777" w:rsidR="00E81D3B" w:rsidRPr="00884819" w:rsidRDefault="00E81D3B" w:rsidP="00E81D3B">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t xml:space="preserve">Objeto que, según la sentencia </w:t>
      </w:r>
      <w:r>
        <w:rPr>
          <w:rFonts w:ascii="Verdana" w:eastAsia="Calibri" w:hAnsi="Verdana" w:cs="Arial"/>
          <w:color w:val="000000"/>
          <w:lang w:val="es-ES_tradnl"/>
        </w:rPr>
        <w:t>citada</w:t>
      </w:r>
      <w:r w:rsidRPr="00884819">
        <w:rPr>
          <w:rFonts w:ascii="Verdana" w:eastAsia="Calibri" w:hAnsi="Verdana" w:cs="Arial"/>
          <w:color w:val="000000"/>
          <w:lang w:val="es-ES_tradnl"/>
        </w:rPr>
        <w:t>, se diferencia del objeto del contrato de prestación de servicios de apoyo a la gestión, porque en este:</w:t>
      </w:r>
    </w:p>
    <w:p w14:paraId="5487FD03" w14:textId="77777777" w:rsidR="00E81D3B" w:rsidRPr="00884819" w:rsidRDefault="00E81D3B" w:rsidP="00E81D3B">
      <w:pPr>
        <w:spacing w:after="0" w:line="276" w:lineRule="auto"/>
        <w:ind w:firstLine="709"/>
        <w:jc w:val="both"/>
        <w:rPr>
          <w:rFonts w:ascii="Verdana" w:eastAsia="Calibri" w:hAnsi="Verdana" w:cs="Arial"/>
          <w:color w:val="000000"/>
          <w:lang w:val="es-ES_tradnl"/>
        </w:rPr>
      </w:pPr>
    </w:p>
    <w:p w14:paraId="00024C43" w14:textId="77777777" w:rsidR="00E81D3B" w:rsidRDefault="00E81D3B" w:rsidP="00B8565F">
      <w:pPr>
        <w:spacing w:after="0" w:line="240" w:lineRule="auto"/>
        <w:ind w:left="709" w:right="709"/>
        <w:jc w:val="both"/>
        <w:rPr>
          <w:rFonts w:ascii="Verdana" w:eastAsia="Calibri" w:hAnsi="Verdana" w:cs="Arial"/>
          <w:color w:val="000000"/>
          <w:sz w:val="20"/>
          <w:szCs w:val="20"/>
          <w:lang w:val="es-ES_tradnl"/>
        </w:rPr>
      </w:pPr>
      <w:r w:rsidRPr="00252CEF">
        <w:rPr>
          <w:rFonts w:ascii="Verdana" w:eastAsia="Calibri" w:hAnsi="Verdana" w:cs="Arial"/>
          <w:color w:val="000000"/>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6F5DE169" w14:textId="77777777" w:rsidR="00B8565F" w:rsidRPr="00252CEF" w:rsidRDefault="00B8565F" w:rsidP="00252CEF">
      <w:pPr>
        <w:spacing w:after="0" w:line="240" w:lineRule="auto"/>
        <w:ind w:left="709" w:right="709"/>
        <w:jc w:val="both"/>
        <w:rPr>
          <w:rFonts w:ascii="Verdana" w:eastAsia="Calibri" w:hAnsi="Verdana" w:cs="Arial"/>
          <w:color w:val="000000"/>
          <w:sz w:val="20"/>
          <w:szCs w:val="20"/>
          <w:lang w:val="es-ES_tradnl"/>
        </w:rPr>
      </w:pPr>
    </w:p>
    <w:p w14:paraId="73345697" w14:textId="77777777" w:rsidR="00E81D3B" w:rsidRPr="00252CEF" w:rsidRDefault="00E81D3B" w:rsidP="00252CEF">
      <w:pPr>
        <w:spacing w:after="0" w:line="240" w:lineRule="auto"/>
        <w:ind w:left="709" w:right="709"/>
        <w:jc w:val="both"/>
        <w:rPr>
          <w:rFonts w:ascii="Verdana" w:eastAsia="Calibri" w:hAnsi="Verdana" w:cs="Arial"/>
          <w:color w:val="000000"/>
          <w:sz w:val="20"/>
          <w:szCs w:val="20"/>
          <w:lang w:val="es-ES"/>
        </w:rPr>
      </w:pPr>
      <w:r w:rsidRPr="00252CEF">
        <w:rPr>
          <w:rFonts w:ascii="Verdana" w:eastAsia="Calibri" w:hAnsi="Verdana" w:cs="Arial"/>
          <w:color w:val="000000" w:themeColor="text1"/>
          <w:sz w:val="20"/>
          <w:szCs w:val="20"/>
          <w:lang w:val="es-ES"/>
        </w:rPr>
        <w:t xml:space="preserve">Aunque también se caracteriza por el desempeño de actividad intelectiva, ésta </w:t>
      </w:r>
      <w:proofErr w:type="gramStart"/>
      <w:r w:rsidRPr="00252CEF">
        <w:rPr>
          <w:rFonts w:ascii="Verdana" w:eastAsia="Calibri" w:hAnsi="Verdana" w:cs="Arial"/>
          <w:color w:val="000000" w:themeColor="text1"/>
          <w:sz w:val="20"/>
          <w:szCs w:val="20"/>
          <w:lang w:val="es-ES"/>
        </w:rPr>
        <w:t>se enmarca dentro de</w:t>
      </w:r>
      <w:proofErr w:type="gramEnd"/>
      <w:r w:rsidRPr="00252CEF">
        <w:rPr>
          <w:rFonts w:ascii="Verdana" w:eastAsia="Calibri"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63D300D1" w14:textId="77777777" w:rsidR="00B8565F" w:rsidRDefault="00B8565F" w:rsidP="00B8565F">
      <w:pPr>
        <w:spacing w:after="0" w:line="240" w:lineRule="auto"/>
        <w:ind w:left="709" w:right="709"/>
        <w:jc w:val="both"/>
        <w:rPr>
          <w:rFonts w:ascii="Verdana" w:eastAsia="Calibri" w:hAnsi="Verdana" w:cs="Arial"/>
          <w:color w:val="000000"/>
          <w:sz w:val="20"/>
          <w:szCs w:val="20"/>
          <w:lang w:val="es-ES_tradnl"/>
        </w:rPr>
      </w:pPr>
    </w:p>
    <w:p w14:paraId="39EADE29" w14:textId="3BB32D06" w:rsidR="00E81D3B" w:rsidRPr="00252CEF" w:rsidRDefault="00E81D3B" w:rsidP="00B8565F">
      <w:pPr>
        <w:spacing w:after="0" w:line="240" w:lineRule="auto"/>
        <w:ind w:left="709" w:right="709"/>
        <w:jc w:val="both"/>
        <w:rPr>
          <w:rFonts w:ascii="Verdana" w:eastAsia="Calibri" w:hAnsi="Verdana" w:cs="Arial"/>
          <w:color w:val="000000"/>
          <w:sz w:val="20"/>
          <w:szCs w:val="20"/>
          <w:lang w:val="es-ES_tradnl"/>
        </w:rPr>
      </w:pPr>
      <w:r w:rsidRPr="00252CEF">
        <w:rPr>
          <w:rFonts w:ascii="Verdana" w:eastAsia="Calibri" w:hAnsi="Verdana" w:cs="Arial"/>
          <w:color w:val="000000"/>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252CEF">
        <w:rPr>
          <w:rStyle w:val="Refdenotaalpie"/>
          <w:rFonts w:ascii="Verdana" w:hAnsi="Verdana" w:cs="Arial"/>
          <w:sz w:val="20"/>
          <w:szCs w:val="20"/>
        </w:rPr>
        <w:footnoteReference w:id="3"/>
      </w:r>
      <w:r w:rsidRPr="00252CEF">
        <w:rPr>
          <w:rFonts w:ascii="Verdana" w:eastAsia="Calibri" w:hAnsi="Verdana" w:cs="Arial"/>
          <w:color w:val="000000"/>
          <w:sz w:val="20"/>
          <w:szCs w:val="20"/>
          <w:lang w:val="es-ES_tradnl"/>
        </w:rPr>
        <w:t>.</w:t>
      </w:r>
    </w:p>
    <w:p w14:paraId="0259A38A" w14:textId="77777777" w:rsidR="00E81D3B" w:rsidRPr="00884819" w:rsidRDefault="00E81D3B" w:rsidP="00E81D3B">
      <w:pPr>
        <w:spacing w:after="0" w:line="276" w:lineRule="auto"/>
        <w:ind w:firstLine="709"/>
        <w:jc w:val="both"/>
        <w:rPr>
          <w:rFonts w:ascii="Verdana" w:eastAsia="Calibri" w:hAnsi="Verdana" w:cs="Arial"/>
          <w:color w:val="000000"/>
          <w:lang w:val="es-ES_tradnl"/>
        </w:rPr>
      </w:pPr>
    </w:p>
    <w:p w14:paraId="43E3940A" w14:textId="77777777" w:rsidR="00E81D3B" w:rsidRPr="00884819" w:rsidRDefault="00E81D3B" w:rsidP="00E81D3B">
      <w:pPr>
        <w:spacing w:after="0" w:line="276" w:lineRule="auto"/>
        <w:ind w:firstLine="709"/>
        <w:jc w:val="both"/>
        <w:rPr>
          <w:rFonts w:ascii="Verdana" w:eastAsia="Calibri" w:hAnsi="Verdana" w:cs="Arial"/>
          <w:color w:val="000000"/>
          <w:lang w:val="es-ES_tradnl"/>
        </w:rPr>
      </w:pPr>
      <w:r w:rsidRPr="00884819">
        <w:rPr>
          <w:rFonts w:ascii="Verdana" w:eastAsia="Calibri" w:hAnsi="Verdana" w:cs="Arial"/>
          <w:color w:val="000000"/>
          <w:lang w:val="es-ES_tradnl"/>
        </w:rPr>
        <w:lastRenderedPageBreak/>
        <w:t>En relación con el contrato de prestación de servicios artísticos que solo pueden encomendarse a determinadas personas naturales, señala el mencionado fallo que:</w:t>
      </w:r>
    </w:p>
    <w:p w14:paraId="0CB3123D" w14:textId="77777777" w:rsidR="00E81D3B" w:rsidRPr="00884819" w:rsidRDefault="00E81D3B" w:rsidP="00E81D3B">
      <w:pPr>
        <w:spacing w:after="0"/>
        <w:ind w:left="709" w:right="709"/>
        <w:jc w:val="both"/>
        <w:rPr>
          <w:rFonts w:ascii="Verdana" w:eastAsia="Calibri" w:hAnsi="Verdana" w:cs="Arial"/>
          <w:color w:val="000000"/>
          <w:lang w:val="es-ES_tradnl"/>
        </w:rPr>
      </w:pPr>
    </w:p>
    <w:p w14:paraId="4CCF6708" w14:textId="77777777" w:rsidR="00E81D3B" w:rsidRPr="00252CEF" w:rsidRDefault="00E81D3B" w:rsidP="00E81D3B">
      <w:pPr>
        <w:spacing w:after="0" w:line="240" w:lineRule="auto"/>
        <w:ind w:left="709" w:right="709"/>
        <w:jc w:val="both"/>
        <w:rPr>
          <w:rFonts w:ascii="Verdana" w:eastAsia="Calibri" w:hAnsi="Verdana" w:cs="Arial"/>
          <w:color w:val="000000"/>
          <w:sz w:val="20"/>
          <w:szCs w:val="20"/>
          <w:lang w:val="es-ES_tradnl"/>
        </w:rPr>
      </w:pPr>
      <w:r w:rsidRPr="00252CEF">
        <w:rPr>
          <w:rFonts w:ascii="Verdana" w:eastAsia="Calibri" w:hAnsi="Verdana" w:cs="Arial"/>
          <w:color w:val="000000"/>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252CEF">
        <w:rPr>
          <w:rStyle w:val="Refdenotaalpie"/>
          <w:rFonts w:ascii="Verdana" w:hAnsi="Verdana" w:cs="Arial"/>
          <w:sz w:val="20"/>
          <w:szCs w:val="20"/>
        </w:rPr>
        <w:footnoteReference w:id="4"/>
      </w:r>
      <w:r w:rsidRPr="00252CEF">
        <w:rPr>
          <w:rFonts w:ascii="Verdana" w:eastAsia="Calibri" w:hAnsi="Verdana" w:cs="Arial"/>
          <w:color w:val="000000"/>
          <w:sz w:val="20"/>
          <w:szCs w:val="20"/>
          <w:lang w:val="es-ES_tradnl"/>
        </w:rPr>
        <w:t>.</w:t>
      </w:r>
    </w:p>
    <w:p w14:paraId="4BB07293" w14:textId="77777777" w:rsidR="00E81D3B" w:rsidRDefault="00E81D3B" w:rsidP="00E81D3B">
      <w:pPr>
        <w:spacing w:after="0" w:line="276" w:lineRule="auto"/>
        <w:jc w:val="both"/>
        <w:rPr>
          <w:rFonts w:ascii="Verdana" w:eastAsia="Calibri" w:hAnsi="Verdana" w:cs="Arial"/>
          <w:lang w:val="es-ES"/>
        </w:rPr>
      </w:pPr>
      <w:r w:rsidRPr="00EB0193">
        <w:rPr>
          <w:rFonts w:ascii="Verdana" w:eastAsia="Calibri" w:hAnsi="Verdana" w:cs="Arial"/>
          <w:lang w:val="es-ES"/>
        </w:rPr>
        <w:t xml:space="preserve"> </w:t>
      </w:r>
    </w:p>
    <w:p w14:paraId="4B2854FB" w14:textId="58B67056" w:rsidR="00E81D3B" w:rsidRPr="00860996" w:rsidRDefault="00E81D3B" w:rsidP="00E81D3B">
      <w:pPr>
        <w:spacing w:after="120" w:line="276" w:lineRule="auto"/>
        <w:jc w:val="both"/>
        <w:rPr>
          <w:rFonts w:ascii="Verdana" w:eastAsia="Calibri" w:hAnsi="Verdana" w:cs="Arial"/>
          <w:lang w:val="es-ES"/>
        </w:rPr>
      </w:pPr>
      <w:r>
        <w:rPr>
          <w:rFonts w:ascii="Verdana" w:eastAsia="Calibri" w:hAnsi="Verdana" w:cs="Arial"/>
          <w:lang w:val="es-ES"/>
        </w:rPr>
        <w:tab/>
        <w:t xml:space="preserve">Por tanto, siempre que los honorarios sean inferiores a </w:t>
      </w:r>
      <w:r w:rsidR="00D0470C">
        <w:rPr>
          <w:rFonts w:ascii="Verdana" w:eastAsia="Calibri" w:hAnsi="Verdana" w:cs="Arial"/>
          <w:lang w:val="es-ES"/>
        </w:rPr>
        <w:t>diez (</w:t>
      </w:r>
      <w:r>
        <w:rPr>
          <w:rFonts w:ascii="Verdana" w:eastAsia="Calibri" w:hAnsi="Verdana" w:cs="Arial"/>
          <w:lang w:val="es-ES"/>
        </w:rPr>
        <w:t>10</w:t>
      </w:r>
      <w:r w:rsidR="00D0470C">
        <w:rPr>
          <w:rFonts w:ascii="Verdana" w:eastAsia="Calibri" w:hAnsi="Verdana" w:cs="Arial"/>
          <w:lang w:val="es-ES"/>
        </w:rPr>
        <w:t>)</w:t>
      </w:r>
      <w:r>
        <w:rPr>
          <w:rFonts w:ascii="Verdana" w:eastAsia="Calibri" w:hAnsi="Verdana" w:cs="Arial"/>
          <w:lang w:val="es-ES"/>
        </w:rPr>
        <w:t xml:space="preserve"> </w:t>
      </w:r>
      <w:r w:rsidRPr="00EB0193">
        <w:rPr>
          <w:rFonts w:ascii="Verdana" w:eastAsia="Calibri" w:hAnsi="Verdana" w:cs="Arial"/>
          <w:lang w:val="es-ES"/>
        </w:rPr>
        <w:t>SMLMV</w:t>
      </w:r>
      <w:r>
        <w:rPr>
          <w:rFonts w:ascii="Verdana" w:eastAsia="Calibri" w:hAnsi="Verdana" w:cs="Arial"/>
          <w:lang w:val="es-ES"/>
        </w:rPr>
        <w:t xml:space="preserve">, </w:t>
      </w:r>
      <w:r w:rsidRPr="00884819">
        <w:rPr>
          <w:rFonts w:ascii="Verdana" w:eastAsia="Calibri" w:hAnsi="Verdana" w:cs="Arial"/>
          <w:color w:val="000000"/>
          <w:lang w:val="es-ES"/>
        </w:rPr>
        <w:t>los contratos de prestación de servicios profesionales, los contratos de prestación de servicios de apoyo a la gestión y los contratos de prestación de servicios artísticos que solo pueden encomendarse a determinadas personas naturales</w:t>
      </w:r>
      <w:r>
        <w:rPr>
          <w:rFonts w:ascii="Verdana" w:eastAsia="Calibri" w:hAnsi="Verdana" w:cs="Arial"/>
          <w:color w:val="000000"/>
          <w:lang w:val="es-ES"/>
        </w:rPr>
        <w:t xml:space="preserve"> están exentos </w:t>
      </w:r>
      <w:r w:rsidRPr="00860996">
        <w:rPr>
          <w:rFonts w:ascii="Verdana" w:eastAsia="Calibri" w:hAnsi="Verdana" w:cs="Arial"/>
          <w:color w:val="000000"/>
          <w:lang w:val="es-ES"/>
        </w:rPr>
        <w:t xml:space="preserve">de la “Estampilla para la Justicia Familiar”. Lo anterior en la medida que el </w:t>
      </w:r>
      <w:r w:rsidRPr="00860996">
        <w:rPr>
          <w:rFonts w:ascii="Verdana" w:eastAsia="Calibri" w:hAnsi="Verdana" w:cs="Arial"/>
          <w:lang w:val="es-ES"/>
        </w:rPr>
        <w:t xml:space="preserve">parágrafo del artículo 23 de la Ley 2126 de 2021 se refiere a los contratos de prestación de servicios </w:t>
      </w:r>
      <w:r w:rsidR="00453AAA">
        <w:rPr>
          <w:rFonts w:ascii="Verdana" w:eastAsia="Calibri" w:hAnsi="Verdana" w:cs="Arial"/>
          <w:lang w:val="es-ES"/>
        </w:rPr>
        <w:t xml:space="preserve">de forma general, </w:t>
      </w:r>
      <w:r w:rsidRPr="00860996">
        <w:rPr>
          <w:rFonts w:ascii="Verdana" w:eastAsia="Calibri" w:hAnsi="Verdana" w:cs="Arial"/>
          <w:lang w:val="es-ES"/>
        </w:rPr>
        <w:t>sin distinguir entre las diferentes especies</w:t>
      </w:r>
      <w:r w:rsidR="00747E0A">
        <w:rPr>
          <w:rFonts w:ascii="Verdana" w:eastAsia="Calibri" w:hAnsi="Verdana" w:cs="Arial"/>
          <w:lang w:val="es-ES"/>
        </w:rPr>
        <w:t>. Al respecto, es necesario señalar que</w:t>
      </w:r>
      <w:r w:rsidR="00790549">
        <w:rPr>
          <w:rFonts w:ascii="Verdana" w:eastAsia="Calibri" w:hAnsi="Verdana" w:cs="Arial"/>
          <w:lang w:val="es-ES"/>
        </w:rPr>
        <w:t xml:space="preserve">, de acuerdo con </w:t>
      </w:r>
      <w:proofErr w:type="gramStart"/>
      <w:r w:rsidR="00790549">
        <w:rPr>
          <w:rFonts w:ascii="Verdana" w:eastAsia="Calibri" w:hAnsi="Verdana" w:cs="Arial"/>
          <w:lang w:val="es-ES"/>
        </w:rPr>
        <w:t>la reglas</w:t>
      </w:r>
      <w:proofErr w:type="gramEnd"/>
      <w:r w:rsidR="00790549">
        <w:rPr>
          <w:rFonts w:ascii="Verdana" w:eastAsia="Calibri" w:hAnsi="Verdana" w:cs="Arial"/>
          <w:lang w:val="es-ES"/>
        </w:rPr>
        <w:t xml:space="preserve"> de interpretación, </w:t>
      </w:r>
      <w:r w:rsidRPr="00860996">
        <w:rPr>
          <w:rFonts w:ascii="Verdana" w:eastAsia="Calibri" w:hAnsi="Verdana" w:cs="Arial"/>
          <w:lang w:val="es-ES"/>
        </w:rPr>
        <w:t xml:space="preserve">“donde el legislador </w:t>
      </w:r>
      <w:r>
        <w:rPr>
          <w:rFonts w:ascii="Verdana" w:eastAsia="Calibri" w:hAnsi="Verdana" w:cs="Arial"/>
          <w:lang w:val="es-ES"/>
        </w:rPr>
        <w:t>no distingue, no les lícito al intérprete distinguir”.</w:t>
      </w:r>
      <w:r w:rsidRPr="00860996">
        <w:rPr>
          <w:rFonts w:ascii="Verdana" w:eastAsia="Calibri" w:hAnsi="Verdana" w:cs="Arial"/>
          <w:lang w:val="es-ES"/>
        </w:rPr>
        <w:t xml:space="preserve"> </w:t>
      </w:r>
    </w:p>
    <w:p w14:paraId="65510A62" w14:textId="77777777" w:rsidR="00E81D3B" w:rsidRPr="00E47911" w:rsidRDefault="00E81D3B" w:rsidP="00E81D3B">
      <w:pPr>
        <w:pBdr>
          <w:top w:val="nil"/>
          <w:left w:val="nil"/>
          <w:bottom w:val="nil"/>
          <w:right w:val="nil"/>
          <w:between w:val="nil"/>
        </w:pBdr>
        <w:spacing w:after="120" w:line="276" w:lineRule="auto"/>
        <w:ind w:firstLine="708"/>
        <w:jc w:val="both"/>
        <w:rPr>
          <w:rFonts w:ascii="Verdana" w:eastAsia="Calibri" w:hAnsi="Verdana" w:cs="Arial"/>
          <w:color w:val="000000" w:themeColor="text1"/>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gestión contractual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71082C56" w14:textId="77777777" w:rsidR="00E81D3B" w:rsidRPr="00301910" w:rsidRDefault="00E81D3B" w:rsidP="00E81D3B">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w:t>
      </w:r>
      <w:r w:rsidRPr="00301910">
        <w:rPr>
          <w:rFonts w:ascii="Verdana" w:hAnsi="Verdana" w:cs="Arial"/>
          <w:lang w:eastAsia="es-ES"/>
        </w:rPr>
        <w:lastRenderedPageBreak/>
        <w:t xml:space="preserve">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xml:space="preserve">, cada entidad definirá la forma de adelantar su gestión contractual, </w:t>
      </w:r>
      <w:r>
        <w:rPr>
          <w:rFonts w:ascii="Verdana" w:eastAsia="Calibri" w:hAnsi="Verdana" w:cs="Arial"/>
          <w:color w:val="000000"/>
          <w:lang w:val="es-ES" w:eastAsia="es-ES"/>
        </w:rPr>
        <w:t xml:space="preserve">sin perjuicio de las atribuciones de la Secretaría de Hacienda de la Alcaldía de Santiago de Cali. Esto ya que la carga tributaria de los artículos 22, 23 y 24 de la </w:t>
      </w:r>
      <w:r w:rsidRPr="0018393C">
        <w:rPr>
          <w:rFonts w:ascii="Verdana" w:eastAsia="Calibri" w:hAnsi="Verdana" w:cs="Arial"/>
          <w:lang w:val="es-ES"/>
        </w:rPr>
        <w:t>Ley 2126 de 2021</w:t>
      </w:r>
      <w:r>
        <w:rPr>
          <w:rFonts w:ascii="Verdana" w:eastAsia="Calibri" w:hAnsi="Verdana" w:cs="Arial"/>
          <w:color w:val="000000"/>
          <w:lang w:val="es-ES" w:eastAsia="es-ES"/>
        </w:rPr>
        <w:t xml:space="preserve"> tiene carácter territorial.</w:t>
      </w:r>
    </w:p>
    <w:p w14:paraId="6199DE2B" w14:textId="77777777" w:rsidR="00E81D3B" w:rsidRPr="00182C89" w:rsidRDefault="00E81D3B" w:rsidP="00E81D3B">
      <w:pPr>
        <w:tabs>
          <w:tab w:val="left" w:pos="709"/>
        </w:tabs>
        <w:spacing w:after="0" w:line="276" w:lineRule="auto"/>
        <w:jc w:val="both"/>
        <w:rPr>
          <w:rFonts w:ascii="Verdana" w:eastAsia="Calibri" w:hAnsi="Verdana" w:cs="Arial"/>
          <w:color w:val="000000" w:themeColor="text1"/>
        </w:rPr>
      </w:pPr>
    </w:p>
    <w:p w14:paraId="66ED0C48" w14:textId="77777777" w:rsidR="00E81D3B" w:rsidRPr="00593A5F" w:rsidRDefault="00E81D3B" w:rsidP="00E81D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2EFD1F3E" w14:textId="77777777" w:rsidR="00E81D3B" w:rsidRPr="00593A5F" w:rsidRDefault="00E81D3B" w:rsidP="00E81D3B">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E81D3B" w:rsidRPr="002407CE" w14:paraId="56793410" w14:textId="77777777" w:rsidTr="0015053F">
        <w:trPr>
          <w:trHeight w:val="870"/>
          <w:jc w:val="center"/>
        </w:trPr>
        <w:tc>
          <w:tcPr>
            <w:tcW w:w="8647" w:type="dxa"/>
          </w:tcPr>
          <w:p w14:paraId="3FA45561" w14:textId="77777777" w:rsidR="00E81D3B" w:rsidRDefault="00E81D3B" w:rsidP="00E81D3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341512">
              <w:rPr>
                <w:rFonts w:ascii="Verdana" w:hAnsi="Verdana" w:cs="Arial"/>
              </w:rPr>
              <w:t>Ley 80 de 1993</w:t>
            </w:r>
            <w:r>
              <w:rPr>
                <w:rFonts w:ascii="Verdana" w:hAnsi="Verdana" w:cs="Arial"/>
              </w:rPr>
              <w:t>, artículos 13, 32 y 40.</w:t>
            </w:r>
          </w:p>
          <w:p w14:paraId="1E6C4B7F" w14:textId="77777777" w:rsidR="00E81D3B" w:rsidRPr="00341512" w:rsidRDefault="00E81D3B" w:rsidP="00E81D3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 2.</w:t>
            </w:r>
          </w:p>
          <w:p w14:paraId="3B991823" w14:textId="77777777" w:rsidR="00E81D3B" w:rsidRPr="00341512" w:rsidRDefault="00E81D3B" w:rsidP="00E81D3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341512">
              <w:rPr>
                <w:rFonts w:ascii="Verdana" w:hAnsi="Verdana" w:cs="Arial"/>
              </w:rPr>
              <w:t>Ley 2126 de 2021, artículos 22, 23 y 24.</w:t>
            </w:r>
          </w:p>
          <w:p w14:paraId="7B3FB7C0" w14:textId="77777777" w:rsidR="00E81D3B" w:rsidRPr="00C02F8B" w:rsidRDefault="00E81D3B" w:rsidP="00E81D3B">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 xml:space="preserve">Decreto 1082 de 2015, </w:t>
            </w:r>
            <w:r w:rsidRPr="00341512">
              <w:rPr>
                <w:rFonts w:ascii="Verdana" w:hAnsi="Verdana" w:cs="Arial"/>
              </w:rPr>
              <w:t xml:space="preserve">artículo </w:t>
            </w:r>
            <w:r w:rsidRPr="00341512">
              <w:rPr>
                <w:rFonts w:ascii="Verdana" w:eastAsia="Times New Roman" w:hAnsi="Verdana" w:cs="Arial"/>
                <w:color w:val="000000"/>
                <w:lang w:val="es-ES_tradnl" w:eastAsia="es-ES_tradnl"/>
              </w:rPr>
              <w:t>2.2.1.2.1.4.9</w:t>
            </w:r>
            <w:r w:rsidRPr="00341512">
              <w:rPr>
                <w:rFonts w:ascii="Verdana" w:hAnsi="Verdana" w:cs="Arial"/>
              </w:rPr>
              <w:t>.</w:t>
            </w:r>
            <w:r>
              <w:rPr>
                <w:rFonts w:ascii="Verdana" w:hAnsi="Verdana" w:cs="Arial"/>
              </w:rPr>
              <w:t xml:space="preserve"> </w:t>
            </w:r>
          </w:p>
        </w:tc>
      </w:tr>
    </w:tbl>
    <w:p w14:paraId="02CF38A3" w14:textId="77777777" w:rsidR="00E81D3B" w:rsidRPr="002407CE" w:rsidRDefault="00E81D3B" w:rsidP="00E81D3B">
      <w:pPr>
        <w:widowControl w:val="0"/>
        <w:autoSpaceDE w:val="0"/>
        <w:autoSpaceDN w:val="0"/>
        <w:spacing w:after="0" w:line="276" w:lineRule="auto"/>
        <w:jc w:val="both"/>
        <w:rPr>
          <w:rFonts w:ascii="Verdana" w:hAnsi="Verdana" w:cs="Arial"/>
        </w:rPr>
      </w:pPr>
    </w:p>
    <w:p w14:paraId="62BC6B20" w14:textId="77777777" w:rsidR="00E81D3B" w:rsidRPr="00593A5F" w:rsidRDefault="00E81D3B" w:rsidP="00E81D3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166A761" w14:textId="77777777" w:rsidR="00E81D3B" w:rsidRPr="00593A5F" w:rsidRDefault="00E81D3B" w:rsidP="00E81D3B">
      <w:pPr>
        <w:widowControl w:val="0"/>
        <w:autoSpaceDE w:val="0"/>
        <w:autoSpaceDN w:val="0"/>
        <w:spacing w:after="0" w:line="276" w:lineRule="auto"/>
        <w:jc w:val="both"/>
        <w:rPr>
          <w:rFonts w:ascii="Verdana" w:hAnsi="Verdana" w:cs="Arial"/>
        </w:rPr>
      </w:pPr>
    </w:p>
    <w:p w14:paraId="0A3035A5" w14:textId="77777777" w:rsidR="00E81D3B" w:rsidRPr="00ED0098" w:rsidRDefault="00E81D3B" w:rsidP="00E81D3B">
      <w:pPr>
        <w:widowControl w:val="0"/>
        <w:autoSpaceDE w:val="0"/>
        <w:autoSpaceDN w:val="0"/>
        <w:spacing w:after="0" w:line="276" w:lineRule="auto"/>
        <w:jc w:val="both"/>
        <w:rPr>
          <w:rStyle w:val="normaltextrun"/>
          <w:rFonts w:ascii="Verdana" w:hAnsi="Verdana" w:cs="Arial"/>
          <w:shd w:val="clear" w:color="auto" w:fill="FFFFFF"/>
        </w:rPr>
      </w:pPr>
      <w:r w:rsidRPr="005D4B9C">
        <w:rPr>
          <w:rFonts w:ascii="Verdana" w:hAnsi="Verdana" w:cs="Arial"/>
          <w:shd w:val="clear" w:color="auto" w:fill="FFFFFF"/>
        </w:rPr>
        <w:t>Los conceptos de esta Subdirección se encuentran disponibles para consulta en el Sistema de relatoría de la Agencia, al cual puede accederse a través del siguiente enlace:</w:t>
      </w:r>
      <w:r w:rsidRPr="008D0AB0">
        <w:rPr>
          <w:rStyle w:val="normaltextrun"/>
          <w:rFonts w:ascii="Verdana" w:hAnsi="Verdana" w:cs="Arial"/>
          <w:shd w:val="clear" w:color="auto" w:fill="FFFFFF"/>
        </w:rPr>
        <w:t xml:space="preserv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686A2BA" w14:textId="77777777" w:rsidR="00E81D3B" w:rsidRDefault="00E81D3B" w:rsidP="00E81D3B">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61DA4B8" w14:textId="77777777" w:rsidR="00E81D3B" w:rsidRPr="001205D1" w:rsidRDefault="00E81D3B" w:rsidP="00E81D3B">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5A44F6F1" w14:textId="77777777" w:rsidR="00E81D3B" w:rsidRPr="00B83C56" w:rsidRDefault="00E81D3B" w:rsidP="00E81D3B">
      <w:pPr>
        <w:shd w:val="clear" w:color="auto" w:fill="FFFFFF"/>
        <w:spacing w:after="0" w:line="276" w:lineRule="auto"/>
        <w:jc w:val="both"/>
        <w:rPr>
          <w:rFonts w:ascii="Verdana" w:hAnsi="Verdana"/>
          <w:color w:val="212121"/>
        </w:rPr>
      </w:pPr>
    </w:p>
    <w:p w14:paraId="22C25C0F" w14:textId="77777777" w:rsidR="00E81D3B" w:rsidRPr="001205D1" w:rsidRDefault="00E81D3B" w:rsidP="00E81D3B">
      <w:pPr>
        <w:spacing w:after="0" w:line="276" w:lineRule="auto"/>
        <w:jc w:val="both"/>
        <w:rPr>
          <w:rFonts w:ascii="Verdana" w:hAnsi="Verdana"/>
          <w:color w:val="467886"/>
          <w:u w:val="single"/>
        </w:rPr>
      </w:pPr>
      <w:r w:rsidRPr="00B83C56">
        <w:rPr>
          <w:rFonts w:ascii="Verdana" w:hAnsi="Verdana"/>
          <w:color w:val="000000"/>
        </w:rPr>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 xml:space="preserve">dirigidas a todos los actores involucrados en los procesos de selección. Podrás conocer la </w:t>
      </w:r>
      <w:r w:rsidRPr="00B83C56">
        <w:rPr>
          <w:rFonts w:ascii="Verdana" w:hAnsi="Verdana"/>
          <w:color w:val="000000"/>
        </w:rPr>
        <w:lastRenderedPageBreak/>
        <w:t>programación y realizar tu inscripción a estas capacitaciones a través del siguiente enlace: </w:t>
      </w:r>
      <w:hyperlink r:id="rId15"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1552837E" w14:textId="77777777" w:rsidR="00E81D3B" w:rsidRPr="00B83C56" w:rsidRDefault="00E81D3B" w:rsidP="00E81D3B">
      <w:pPr>
        <w:spacing w:after="0" w:line="276" w:lineRule="auto"/>
        <w:jc w:val="both"/>
        <w:rPr>
          <w:rFonts w:ascii="Verdana" w:hAnsi="Verdana"/>
          <w:color w:val="212121"/>
        </w:rPr>
      </w:pPr>
    </w:p>
    <w:p w14:paraId="198B3CA9" w14:textId="77777777" w:rsidR="00E81D3B" w:rsidRPr="00A1554D" w:rsidRDefault="00E81D3B" w:rsidP="00E81D3B">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r w:rsidRPr="00096788">
        <w:rPr>
          <w:rFonts w:ascii="Verdana" w:hAnsi="Verdana" w:cs="Arial"/>
          <w:color w:val="000000" w:themeColor="text1"/>
          <w:shd w:val="clear" w:color="auto" w:fill="FFFFFF"/>
        </w:rPr>
        <w:t>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0DA2E89A" w14:textId="77777777" w:rsidR="00E81D3B" w:rsidRPr="00593A5F" w:rsidRDefault="00E81D3B" w:rsidP="00E81D3B">
      <w:pPr>
        <w:widowControl w:val="0"/>
        <w:autoSpaceDE w:val="0"/>
        <w:autoSpaceDN w:val="0"/>
        <w:spacing w:after="0" w:line="276" w:lineRule="auto"/>
        <w:jc w:val="both"/>
        <w:rPr>
          <w:rFonts w:ascii="Verdana" w:hAnsi="Verdana" w:cs="Arial"/>
        </w:rPr>
      </w:pPr>
    </w:p>
    <w:p w14:paraId="3DC2212E" w14:textId="77777777" w:rsidR="00E81D3B" w:rsidRPr="00593A5F" w:rsidRDefault="00E81D3B" w:rsidP="00E81D3B">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r>
        <w:rPr>
          <w:rFonts w:ascii="Verdana" w:eastAsia="Calibri" w:hAnsi="Verdana" w:cs="Arial"/>
          <w:color w:val="000000"/>
          <w:lang w:val="es-ES" w:eastAsia="es-ES"/>
        </w:rPr>
        <w:t xml:space="preserve">Lo anterior sin perjuicio de las atribuciones de la Secretaría de Hacienda de la Alcaldía de Santiago de Cali, ya que la carga tributaria de los artículos 22, 23 y 24 de la </w:t>
      </w:r>
      <w:r w:rsidRPr="0018393C">
        <w:rPr>
          <w:rFonts w:ascii="Verdana" w:eastAsia="Calibri" w:hAnsi="Verdana" w:cs="Arial"/>
          <w:lang w:val="es-ES"/>
        </w:rPr>
        <w:t>Ley 2126 de 2021</w:t>
      </w:r>
      <w:r>
        <w:rPr>
          <w:rFonts w:ascii="Verdana" w:eastAsia="Calibri" w:hAnsi="Verdana" w:cs="Arial"/>
          <w:color w:val="000000"/>
          <w:lang w:val="es-ES" w:eastAsia="es-ES"/>
        </w:rPr>
        <w:t xml:space="preserve"> tiene carácter territorial.</w:t>
      </w:r>
    </w:p>
    <w:p w14:paraId="5B7FB541" w14:textId="77777777" w:rsidR="00E81D3B" w:rsidRPr="00593A5F" w:rsidRDefault="00E81D3B" w:rsidP="00E81D3B">
      <w:pPr>
        <w:widowControl w:val="0"/>
        <w:autoSpaceDE w:val="0"/>
        <w:autoSpaceDN w:val="0"/>
        <w:spacing w:after="0" w:line="276" w:lineRule="auto"/>
        <w:jc w:val="both"/>
        <w:rPr>
          <w:rFonts w:ascii="Verdana" w:hAnsi="Verdana" w:cs="Arial"/>
        </w:rPr>
      </w:pPr>
    </w:p>
    <w:p w14:paraId="4D596CC2" w14:textId="77777777" w:rsidR="00E81D3B" w:rsidRPr="00593A5F" w:rsidRDefault="00E81D3B" w:rsidP="00E81D3B">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7AAE28C3" w14:textId="3DD69282" w:rsidR="00E81D3B" w:rsidRPr="00593A5F" w:rsidRDefault="00CC1886" w:rsidP="00E81D3B">
      <w:pPr>
        <w:spacing w:line="276" w:lineRule="auto"/>
        <w:jc w:val="center"/>
        <w:rPr>
          <w:rFonts w:ascii="Verdana" w:hAnsi="Verdana" w:cs="Arial"/>
          <w:color w:val="000000"/>
          <w:lang w:val="es-ES_tradnl" w:eastAsia="es-CO"/>
        </w:rPr>
      </w:pPr>
      <w:r>
        <w:rPr>
          <w:noProof/>
        </w:rPr>
        <w:drawing>
          <wp:inline distT="0" distB="0" distL="0" distR="0" wp14:anchorId="6BBF6342" wp14:editId="284FD99B">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81D3B" w:rsidRPr="00593A5F" w14:paraId="4D20DC0A" w14:textId="77777777" w:rsidTr="0015053F">
        <w:trPr>
          <w:trHeight w:val="315"/>
        </w:trPr>
        <w:tc>
          <w:tcPr>
            <w:tcW w:w="893" w:type="dxa"/>
            <w:vAlign w:val="center"/>
            <w:hideMark/>
          </w:tcPr>
          <w:p w14:paraId="065EBC53" w14:textId="77777777" w:rsidR="00E81D3B" w:rsidRPr="003751C7" w:rsidRDefault="00E81D3B" w:rsidP="0015053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B6B7CD0" w14:textId="77777777" w:rsidR="00E81D3B" w:rsidRPr="00254A7A" w:rsidRDefault="00E81D3B" w:rsidP="0015053F">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5A02E66" w14:textId="77777777" w:rsidR="00E81D3B" w:rsidRPr="00254A7A" w:rsidRDefault="00E81D3B" w:rsidP="0015053F">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E81D3B" w:rsidRPr="00593A5F" w14:paraId="6CECE5A7" w14:textId="77777777" w:rsidTr="0015053F">
        <w:trPr>
          <w:trHeight w:val="330"/>
        </w:trPr>
        <w:tc>
          <w:tcPr>
            <w:tcW w:w="893" w:type="dxa"/>
            <w:vAlign w:val="center"/>
            <w:hideMark/>
          </w:tcPr>
          <w:p w14:paraId="00A65570" w14:textId="77777777" w:rsidR="00E81D3B" w:rsidRPr="003751C7" w:rsidRDefault="00E81D3B" w:rsidP="0015053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8284916" w14:textId="77777777" w:rsidR="00E81D3B" w:rsidRDefault="00E81D3B" w:rsidP="0015053F">
            <w:pPr>
              <w:pStyle w:val="paragraph"/>
              <w:spacing w:before="0" w:beforeAutospacing="0" w:after="0" w:afterAutospacing="0"/>
              <w:contextualSpacing/>
              <w:textAlignment w:val="baseline"/>
              <w:rPr>
                <w:rStyle w:val="normaltextrun"/>
                <w:rFonts w:ascii="Verdana" w:hAnsi="Verdana" w:cs="Arial"/>
                <w:sz w:val="16"/>
                <w:szCs w:val="16"/>
                <w:lang w:val="es-ES"/>
              </w:rPr>
            </w:pPr>
            <w:r w:rsidRPr="00BD020F">
              <w:rPr>
                <w:rStyle w:val="normaltextrun"/>
                <w:rFonts w:ascii="Verdana" w:hAnsi="Verdana" w:cs="Arial"/>
                <w:sz w:val="16"/>
                <w:szCs w:val="16"/>
                <w:lang w:val="es-ES"/>
              </w:rPr>
              <w:t>Diana Lucia Saavedra Castañeda</w:t>
            </w:r>
          </w:p>
          <w:p w14:paraId="0C888898" w14:textId="77777777" w:rsidR="00E81D3B" w:rsidRPr="00254A7A" w:rsidRDefault="00E81D3B" w:rsidP="0015053F">
            <w:pPr>
              <w:pStyle w:val="paragraph"/>
              <w:spacing w:before="0" w:beforeAutospacing="0" w:after="0" w:afterAutospacing="0"/>
              <w:contextualSpacing/>
              <w:textAlignment w:val="baseline"/>
              <w:rPr>
                <w:rFonts w:ascii="Verdana" w:hAnsi="Verdana" w:cs="Segoe UI"/>
                <w:sz w:val="16"/>
                <w:szCs w:val="16"/>
              </w:rPr>
            </w:pPr>
            <w:r w:rsidRPr="00975B92">
              <w:rPr>
                <w:rStyle w:val="normaltextrun"/>
                <w:rFonts w:ascii="Verdana" w:hAnsi="Verdana" w:cs="Arial"/>
                <w:sz w:val="16"/>
                <w:szCs w:val="16"/>
                <w:lang w:val="es-ES"/>
              </w:rPr>
              <w:t>Contratista de la Subdirección de Gestión Contractua</w:t>
            </w:r>
            <w:r>
              <w:rPr>
                <w:rStyle w:val="normaltextrun"/>
                <w:rFonts w:ascii="Verdana" w:hAnsi="Verdana" w:cs="Arial"/>
                <w:sz w:val="16"/>
                <w:szCs w:val="16"/>
                <w:lang w:val="es-ES"/>
              </w:rPr>
              <w:t>l</w:t>
            </w:r>
          </w:p>
        </w:tc>
      </w:tr>
      <w:tr w:rsidR="00E81D3B" w:rsidRPr="00593A5F" w14:paraId="79237009" w14:textId="77777777" w:rsidTr="0015053F">
        <w:trPr>
          <w:trHeight w:val="300"/>
        </w:trPr>
        <w:tc>
          <w:tcPr>
            <w:tcW w:w="893" w:type="dxa"/>
            <w:vAlign w:val="center"/>
          </w:tcPr>
          <w:p w14:paraId="5733233A" w14:textId="77777777" w:rsidR="00E81D3B" w:rsidRPr="003751C7" w:rsidRDefault="00E81D3B" w:rsidP="0015053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FDB4B59" w14:textId="77777777" w:rsidR="00E81D3B" w:rsidRPr="003751C7" w:rsidRDefault="00E81D3B" w:rsidP="0015053F">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7AE68905" w14:textId="77777777" w:rsidR="00E81D3B" w:rsidRPr="003751C7" w:rsidRDefault="00E81D3B" w:rsidP="0015053F">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5F8E06C6" w14:textId="77777777" w:rsidR="00E81D3B" w:rsidRPr="00593A5F" w:rsidRDefault="00E81D3B" w:rsidP="00E81D3B">
      <w:pPr>
        <w:spacing w:after="0" w:line="240" w:lineRule="auto"/>
        <w:rPr>
          <w:rFonts w:ascii="Verdana" w:eastAsia="Times New Roman" w:hAnsi="Verdana" w:cs="Arial"/>
          <w:sz w:val="24"/>
          <w:szCs w:val="24"/>
          <w:lang w:eastAsia="es-ES"/>
        </w:rPr>
      </w:pPr>
    </w:p>
    <w:p w14:paraId="66A6BD5C" w14:textId="77777777" w:rsidR="00E81D3B" w:rsidRPr="00593A5F" w:rsidRDefault="00E81D3B" w:rsidP="00E81D3B">
      <w:pPr>
        <w:spacing w:after="0" w:line="240" w:lineRule="auto"/>
        <w:rPr>
          <w:rFonts w:ascii="Verdana" w:eastAsia="Times New Roman" w:hAnsi="Verdana" w:cs="Arial"/>
          <w:sz w:val="24"/>
          <w:szCs w:val="24"/>
          <w:lang w:eastAsia="es-ES"/>
        </w:rPr>
      </w:pPr>
    </w:p>
    <w:p w14:paraId="3900974D" w14:textId="77777777" w:rsidR="003D5B0D" w:rsidRPr="00331C26" w:rsidRDefault="003D5B0D" w:rsidP="00331C26"/>
    <w:sectPr w:rsidR="003D5B0D" w:rsidRPr="00331C26"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18E58" w14:textId="77777777" w:rsidR="00383C4D" w:rsidRDefault="00383C4D" w:rsidP="004A1847">
      <w:pPr>
        <w:spacing w:after="0" w:line="240" w:lineRule="auto"/>
      </w:pPr>
      <w:r>
        <w:separator/>
      </w:r>
    </w:p>
  </w:endnote>
  <w:endnote w:type="continuationSeparator" w:id="0">
    <w:p w14:paraId="2B7B3882" w14:textId="77777777" w:rsidR="00383C4D" w:rsidRDefault="00383C4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B40AD" w14:textId="77777777" w:rsidR="00383C4D" w:rsidRDefault="00383C4D" w:rsidP="004A1847">
      <w:pPr>
        <w:spacing w:after="0" w:line="240" w:lineRule="auto"/>
      </w:pPr>
      <w:r>
        <w:separator/>
      </w:r>
    </w:p>
  </w:footnote>
  <w:footnote w:type="continuationSeparator" w:id="0">
    <w:p w14:paraId="2497FC02" w14:textId="77777777" w:rsidR="00383C4D" w:rsidRDefault="00383C4D" w:rsidP="004A1847">
      <w:pPr>
        <w:spacing w:after="0" w:line="240" w:lineRule="auto"/>
      </w:pPr>
      <w:r>
        <w:continuationSeparator/>
      </w:r>
    </w:p>
  </w:footnote>
  <w:footnote w:id="1">
    <w:p w14:paraId="2167C067" w14:textId="77777777" w:rsidR="00E81D3B" w:rsidRPr="003D35C5" w:rsidRDefault="00E81D3B" w:rsidP="00E81D3B">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44D04C3" w14:textId="77777777" w:rsidR="00E81D3B" w:rsidRPr="003D35C5" w:rsidRDefault="00E81D3B" w:rsidP="00E81D3B">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9BC8269" w14:textId="77777777" w:rsidR="00E81D3B" w:rsidRPr="003D35C5" w:rsidRDefault="00E81D3B" w:rsidP="00E81D3B">
      <w:pPr>
        <w:pStyle w:val="Textonotapie"/>
        <w:snapToGrid w:val="0"/>
        <w:ind w:firstLine="709"/>
        <w:jc w:val="both"/>
        <w:rPr>
          <w:rFonts w:ascii="Verdana" w:hAnsi="Verdana" w:cs="Arial"/>
          <w:color w:val="000000"/>
          <w:sz w:val="16"/>
          <w:szCs w:val="16"/>
          <w:lang w:val="es-ES"/>
        </w:rPr>
      </w:pPr>
      <w:r w:rsidRPr="003D35C5">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2">
    <w:p w14:paraId="0FE3BA42" w14:textId="77777777" w:rsidR="00E81D3B" w:rsidRPr="003D35C5" w:rsidRDefault="00E81D3B" w:rsidP="00E81D3B">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3">
    <w:p w14:paraId="2E6D2DBA" w14:textId="77777777" w:rsidR="00E81D3B" w:rsidRPr="003D35C5" w:rsidRDefault="00E81D3B" w:rsidP="00E81D3B">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Ibíd.</w:t>
      </w:r>
    </w:p>
  </w:footnote>
  <w:footnote w:id="4">
    <w:p w14:paraId="2D7FF171" w14:textId="77777777" w:rsidR="00E81D3B" w:rsidRPr="003D35C5" w:rsidRDefault="00E81D3B" w:rsidP="00E81D3B">
      <w:pPr>
        <w:pStyle w:val="Textonotapie"/>
        <w:snapToGrid w:val="0"/>
        <w:ind w:firstLine="709"/>
        <w:jc w:val="both"/>
        <w:rPr>
          <w:rFonts w:ascii="Verdana" w:hAnsi="Verdana" w:cs="Arial"/>
          <w:color w:val="000000"/>
          <w:sz w:val="16"/>
          <w:szCs w:val="16"/>
          <w:lang w:val="es-ES"/>
        </w:rPr>
      </w:pPr>
      <w:r w:rsidRPr="003D35C5">
        <w:rPr>
          <w:rStyle w:val="Refdenotaalpie"/>
          <w:rFonts w:ascii="Verdana" w:hAnsi="Verdana" w:cs="Arial"/>
          <w:sz w:val="16"/>
          <w:szCs w:val="16"/>
        </w:rPr>
        <w:footnoteRef/>
      </w:r>
      <w:r w:rsidRPr="003D35C5">
        <w:rPr>
          <w:rFonts w:ascii="Verdana" w:hAnsi="Verdana" w:cs="Arial"/>
          <w:color w:val="000000"/>
          <w:sz w:val="16"/>
          <w:szCs w:val="16"/>
        </w:rPr>
        <w:t xml:space="preserve"> </w:t>
      </w:r>
      <w:r w:rsidRPr="003D35C5">
        <w:rPr>
          <w:rFonts w:ascii="Verdana" w:hAnsi="Verdana" w:cs="Arial"/>
          <w:color w:val="000000"/>
          <w:sz w:val="16"/>
          <w:szCs w:val="16"/>
          <w:lang w:val="es-ES"/>
        </w:rPr>
        <w:t>Ibíd.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D0221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10851514" o:spid="_x0000_i1025" type="#_x0000_t75" style="width:11.45pt;height:11.45pt;visibility:visible;mso-wrap-style:square">
            <v:imagedata r:id="rId1" o:title=""/>
          </v:shape>
        </w:pict>
      </mc:Choice>
      <mc:Fallback>
        <w:drawing>
          <wp:inline distT="0" distB="0" distL="0" distR="0" wp14:anchorId="1A245714" wp14:editId="7F2D6D35">
            <wp:extent cx="145415" cy="145415"/>
            <wp:effectExtent l="0" t="0" r="0" b="0"/>
            <wp:docPr id="1310851514" name="Imagen 131085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352" w:hanging="360"/>
      </w:pPr>
      <w:rPr>
        <w:b/>
        <w:color w:val="000000" w:themeColor="text1"/>
      </w:rPr>
    </w:lvl>
    <w:lvl w:ilvl="1">
      <w:start w:val="2"/>
      <w:numFmt w:val="decimal"/>
      <w:isLgl/>
      <w:lvlText w:val="%1.%2"/>
      <w:lvlJc w:val="left"/>
      <w:pPr>
        <w:ind w:left="992" w:hanging="360"/>
      </w:pPr>
    </w:lvl>
    <w:lvl w:ilvl="2">
      <w:start w:val="1"/>
      <w:numFmt w:val="decimal"/>
      <w:isLgl/>
      <w:lvlText w:val="%1.%2.%3"/>
      <w:lvlJc w:val="left"/>
      <w:pPr>
        <w:ind w:left="1712" w:hanging="720"/>
      </w:pPr>
    </w:lvl>
    <w:lvl w:ilvl="3">
      <w:start w:val="1"/>
      <w:numFmt w:val="decimal"/>
      <w:isLgl/>
      <w:lvlText w:val="%1.%2.%3.%4"/>
      <w:lvlJc w:val="left"/>
      <w:pPr>
        <w:ind w:left="1712" w:hanging="720"/>
      </w:pPr>
    </w:lvl>
    <w:lvl w:ilvl="4">
      <w:start w:val="1"/>
      <w:numFmt w:val="decimal"/>
      <w:isLgl/>
      <w:lvlText w:val="%1.%2.%3.%4.%5"/>
      <w:lvlJc w:val="left"/>
      <w:pPr>
        <w:ind w:left="2072" w:hanging="1080"/>
      </w:pPr>
    </w:lvl>
    <w:lvl w:ilvl="5">
      <w:start w:val="1"/>
      <w:numFmt w:val="decimal"/>
      <w:isLgl/>
      <w:lvlText w:val="%1.%2.%3.%4.%5.%6"/>
      <w:lvlJc w:val="left"/>
      <w:pPr>
        <w:ind w:left="2072" w:hanging="1080"/>
      </w:pPr>
    </w:lvl>
    <w:lvl w:ilvl="6">
      <w:start w:val="1"/>
      <w:numFmt w:val="decimal"/>
      <w:isLgl/>
      <w:lvlText w:val="%1.%2.%3.%4.%5.%6.%7"/>
      <w:lvlJc w:val="left"/>
      <w:pPr>
        <w:ind w:left="2432" w:hanging="1440"/>
      </w:pPr>
    </w:lvl>
    <w:lvl w:ilvl="7">
      <w:start w:val="1"/>
      <w:numFmt w:val="decimal"/>
      <w:isLgl/>
      <w:lvlText w:val="%1.%2.%3.%4.%5.%6.%7.%8"/>
      <w:lvlJc w:val="left"/>
      <w:pPr>
        <w:ind w:left="2432" w:hanging="1440"/>
      </w:pPr>
    </w:lvl>
    <w:lvl w:ilvl="8">
      <w:start w:val="1"/>
      <w:numFmt w:val="decimal"/>
      <w:isLgl/>
      <w:lvlText w:val="%1.%2.%3.%4.%5.%6.%7.%8.%9"/>
      <w:lvlJc w:val="left"/>
      <w:pPr>
        <w:ind w:left="2792"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6737B"/>
    <w:rsid w:val="00194992"/>
    <w:rsid w:val="001E4177"/>
    <w:rsid w:val="001F7DC6"/>
    <w:rsid w:val="00213C1E"/>
    <w:rsid w:val="002240FF"/>
    <w:rsid w:val="002421BB"/>
    <w:rsid w:val="00252CEF"/>
    <w:rsid w:val="0025796E"/>
    <w:rsid w:val="002707A2"/>
    <w:rsid w:val="00293A8C"/>
    <w:rsid w:val="002951A0"/>
    <w:rsid w:val="002962BC"/>
    <w:rsid w:val="002A093D"/>
    <w:rsid w:val="002A0DD0"/>
    <w:rsid w:val="002A49AC"/>
    <w:rsid w:val="002A64FD"/>
    <w:rsid w:val="002C7A84"/>
    <w:rsid w:val="002E4FD9"/>
    <w:rsid w:val="00322A85"/>
    <w:rsid w:val="00324168"/>
    <w:rsid w:val="00331C26"/>
    <w:rsid w:val="003448F4"/>
    <w:rsid w:val="00347940"/>
    <w:rsid w:val="003534AC"/>
    <w:rsid w:val="0035475C"/>
    <w:rsid w:val="00361560"/>
    <w:rsid w:val="003716ED"/>
    <w:rsid w:val="00374F5E"/>
    <w:rsid w:val="00377E3E"/>
    <w:rsid w:val="00383C4D"/>
    <w:rsid w:val="003A779E"/>
    <w:rsid w:val="003C5C6D"/>
    <w:rsid w:val="003D0F4D"/>
    <w:rsid w:val="003D5B0D"/>
    <w:rsid w:val="003D63E3"/>
    <w:rsid w:val="003E0499"/>
    <w:rsid w:val="003F3941"/>
    <w:rsid w:val="00406575"/>
    <w:rsid w:val="00414C74"/>
    <w:rsid w:val="0042722E"/>
    <w:rsid w:val="0044528D"/>
    <w:rsid w:val="00453AAA"/>
    <w:rsid w:val="004A1847"/>
    <w:rsid w:val="004A305D"/>
    <w:rsid w:val="004F21C4"/>
    <w:rsid w:val="004F685F"/>
    <w:rsid w:val="005566E8"/>
    <w:rsid w:val="00574867"/>
    <w:rsid w:val="00591460"/>
    <w:rsid w:val="005B3816"/>
    <w:rsid w:val="005C3777"/>
    <w:rsid w:val="005C5CDC"/>
    <w:rsid w:val="005D476C"/>
    <w:rsid w:val="005F5541"/>
    <w:rsid w:val="006219F8"/>
    <w:rsid w:val="00635BFA"/>
    <w:rsid w:val="00665D70"/>
    <w:rsid w:val="006900D9"/>
    <w:rsid w:val="006B19CB"/>
    <w:rsid w:val="006C051A"/>
    <w:rsid w:val="00706C16"/>
    <w:rsid w:val="00723575"/>
    <w:rsid w:val="00747E0A"/>
    <w:rsid w:val="00756841"/>
    <w:rsid w:val="007649AB"/>
    <w:rsid w:val="00771D0C"/>
    <w:rsid w:val="007833AC"/>
    <w:rsid w:val="00790549"/>
    <w:rsid w:val="007B268C"/>
    <w:rsid w:val="007B7171"/>
    <w:rsid w:val="007C0C0F"/>
    <w:rsid w:val="007C3DC2"/>
    <w:rsid w:val="007D5D6C"/>
    <w:rsid w:val="007E5431"/>
    <w:rsid w:val="007E5497"/>
    <w:rsid w:val="007E5ADC"/>
    <w:rsid w:val="007E7C64"/>
    <w:rsid w:val="007F35A6"/>
    <w:rsid w:val="00806F5F"/>
    <w:rsid w:val="00820278"/>
    <w:rsid w:val="00867F95"/>
    <w:rsid w:val="008843B6"/>
    <w:rsid w:val="00891928"/>
    <w:rsid w:val="008A446D"/>
    <w:rsid w:val="008D180B"/>
    <w:rsid w:val="008F0EA7"/>
    <w:rsid w:val="008F2504"/>
    <w:rsid w:val="00923EEF"/>
    <w:rsid w:val="00927380"/>
    <w:rsid w:val="009419F9"/>
    <w:rsid w:val="0095685E"/>
    <w:rsid w:val="00961B09"/>
    <w:rsid w:val="00965334"/>
    <w:rsid w:val="0097093E"/>
    <w:rsid w:val="00986AC5"/>
    <w:rsid w:val="009A0DFA"/>
    <w:rsid w:val="009B2D26"/>
    <w:rsid w:val="009C71FA"/>
    <w:rsid w:val="009C72E7"/>
    <w:rsid w:val="009D201B"/>
    <w:rsid w:val="009D3058"/>
    <w:rsid w:val="009F3A13"/>
    <w:rsid w:val="00A122D3"/>
    <w:rsid w:val="00A17F13"/>
    <w:rsid w:val="00A20739"/>
    <w:rsid w:val="00A33C78"/>
    <w:rsid w:val="00A8021B"/>
    <w:rsid w:val="00AB0ADB"/>
    <w:rsid w:val="00AF50A2"/>
    <w:rsid w:val="00B01B1A"/>
    <w:rsid w:val="00B05E99"/>
    <w:rsid w:val="00B66319"/>
    <w:rsid w:val="00B72CD3"/>
    <w:rsid w:val="00B72FFF"/>
    <w:rsid w:val="00B8565F"/>
    <w:rsid w:val="00BC3D36"/>
    <w:rsid w:val="00BD7F72"/>
    <w:rsid w:val="00C04FB3"/>
    <w:rsid w:val="00C20465"/>
    <w:rsid w:val="00C330EB"/>
    <w:rsid w:val="00C41061"/>
    <w:rsid w:val="00C754BE"/>
    <w:rsid w:val="00C76B1C"/>
    <w:rsid w:val="00CB6357"/>
    <w:rsid w:val="00CC1886"/>
    <w:rsid w:val="00CC1B26"/>
    <w:rsid w:val="00D0470C"/>
    <w:rsid w:val="00D423A2"/>
    <w:rsid w:val="00D520D8"/>
    <w:rsid w:val="00D6236F"/>
    <w:rsid w:val="00D63AC2"/>
    <w:rsid w:val="00D7383B"/>
    <w:rsid w:val="00DA231B"/>
    <w:rsid w:val="00DC39FC"/>
    <w:rsid w:val="00DF5254"/>
    <w:rsid w:val="00E16408"/>
    <w:rsid w:val="00E20894"/>
    <w:rsid w:val="00E245AB"/>
    <w:rsid w:val="00E2764C"/>
    <w:rsid w:val="00E27F2E"/>
    <w:rsid w:val="00E50AFE"/>
    <w:rsid w:val="00E75C92"/>
    <w:rsid w:val="00E771DC"/>
    <w:rsid w:val="00E81D3B"/>
    <w:rsid w:val="00E8772A"/>
    <w:rsid w:val="00E90F6B"/>
    <w:rsid w:val="00E92C27"/>
    <w:rsid w:val="00E93A16"/>
    <w:rsid w:val="00EA0E3D"/>
    <w:rsid w:val="00EA3EFE"/>
    <w:rsid w:val="00EB6A59"/>
    <w:rsid w:val="00EC38A7"/>
    <w:rsid w:val="00ED7384"/>
    <w:rsid w:val="00EE1AA8"/>
    <w:rsid w:val="00F31EDC"/>
    <w:rsid w:val="00F462B3"/>
    <w:rsid w:val="00F5664F"/>
    <w:rsid w:val="00F666C4"/>
    <w:rsid w:val="00F76AFC"/>
    <w:rsid w:val="00F771D2"/>
    <w:rsid w:val="00F869E5"/>
    <w:rsid w:val="00FA47C0"/>
    <w:rsid w:val="00FB5DD1"/>
    <w:rsid w:val="00FC2B5D"/>
    <w:rsid w:val="00FD45AD"/>
    <w:rsid w:val="00FD76F5"/>
    <w:rsid w:val="00FF1449"/>
    <w:rsid w:val="1D602B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E81D3B"/>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1D3B"/>
    <w:rPr>
      <w:rFonts w:ascii="Geomanist Light" w:hAnsi="Geomanist Light"/>
      <w:lang w:val="es-ES"/>
    </w:rPr>
  </w:style>
  <w:style w:type="paragraph" w:styleId="Textoindependiente">
    <w:name w:val="Body Text"/>
    <w:basedOn w:val="Normal"/>
    <w:link w:val="TextoindependienteCar"/>
    <w:uiPriority w:val="99"/>
    <w:unhideWhenUsed/>
    <w:rsid w:val="00E81D3B"/>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E81D3B"/>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edison.lopez@cali.gov.co"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737276D-F035-4AE2-9881-7E7F2DA1B121}"/>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4.xml><?xml version="1.0" encoding="utf-8"?>
<ds:datastoreItem xmlns:ds="http://schemas.openxmlformats.org/officeDocument/2006/customXml" ds:itemID="{39C51FAF-CB21-47A9-BDB7-E212911BB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3573</Words>
  <Characters>19653</Characters>
  <Application>Microsoft Office Word</Application>
  <DocSecurity>0</DocSecurity>
  <Lines>163</Lines>
  <Paragraphs>46</Paragraphs>
  <ScaleCrop>false</ScaleCrop>
  <Company/>
  <LinksUpToDate>false</LinksUpToDate>
  <CharactersWithSpaces>23180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2025-04-27T22:38:00Z</dcterms:created>
  <dcterms:modified xsi:type="dcterms:W3CDTF">2025-04-30T17:11:00Z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