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E049BD" w14:textId="1B874CC3" w:rsidR="00DA67B3" w:rsidRPr="00DA67B3" w:rsidRDefault="00DA67B3" w:rsidP="00DA67B3">
      <w:pPr>
        <w:spacing w:after="0" w:line="240" w:lineRule="auto"/>
        <w:contextualSpacing/>
        <w:jc w:val="both"/>
        <w:rPr>
          <w:rFonts w:ascii="Verdana" w:eastAsia="Calibri" w:hAnsi="Verdana" w:cs="Arial"/>
          <w:b/>
          <w:noProof/>
          <w:lang w:val="es-ES_tradnl" w:eastAsia="es-ES_tradnl"/>
        </w:rPr>
      </w:pPr>
      <w:r w:rsidRPr="00DA67B3">
        <w:rPr>
          <w:rFonts w:ascii="Verdana" w:eastAsia="Calibri" w:hAnsi="Verdana" w:cs="Arial"/>
          <w:b/>
          <w:noProof/>
          <w:lang w:val="es-ES_tradnl" w:eastAsia="es-ES_tradnl"/>
        </w:rPr>
        <w:t>EXPERIENCIA – Verificación – RUP – Excepciones</w:t>
      </w:r>
    </w:p>
    <w:p w14:paraId="2D79BA58" w14:textId="77777777" w:rsidR="00DA67B3" w:rsidRPr="00DA67B3" w:rsidRDefault="00DA67B3" w:rsidP="00DA67B3">
      <w:pPr>
        <w:spacing w:after="0" w:line="240" w:lineRule="auto"/>
        <w:contextualSpacing/>
        <w:jc w:val="both"/>
        <w:rPr>
          <w:rFonts w:ascii="Verdana" w:eastAsia="Calibri" w:hAnsi="Verdana" w:cs="Arial"/>
          <w:b/>
          <w:noProof/>
          <w:sz w:val="20"/>
          <w:szCs w:val="20"/>
          <w:lang w:val="es-ES_tradnl" w:eastAsia="es-ES_tradnl"/>
        </w:rPr>
      </w:pPr>
    </w:p>
    <w:p w14:paraId="31EE7DFD" w14:textId="77777777" w:rsidR="00DA67B3" w:rsidRPr="00DA67B3" w:rsidRDefault="00DA67B3" w:rsidP="00DA67B3">
      <w:pPr>
        <w:spacing w:after="0" w:line="240" w:lineRule="auto"/>
        <w:contextualSpacing/>
        <w:jc w:val="both"/>
        <w:rPr>
          <w:rFonts w:ascii="Verdana" w:eastAsia="Calibri" w:hAnsi="Verdana" w:cs="Arial"/>
          <w:sz w:val="20"/>
          <w:szCs w:val="20"/>
          <w:lang w:val="es-ES" w:eastAsia="es-MX"/>
        </w:rPr>
      </w:pPr>
      <w:r w:rsidRPr="6DEE92BB">
        <w:rPr>
          <w:rFonts w:ascii="Verdana" w:eastAsia="Calibri" w:hAnsi="Verdana" w:cs="Arial"/>
          <w:sz w:val="20"/>
          <w:szCs w:val="20"/>
          <w:lang w:val="es-ES" w:eastAsia="es-MX"/>
        </w:rPr>
        <w:t>De acuerdo con el artículo 6 de la Ley 1150 de 2007, la experiencia se verifica con RUP que es plena prueba de la información que contiene, pero hay unos procesos exceptuados del RUP y en ese caso la entidad hará la verificación de la experiencia y de los demás requisitos habilitantes de forma directa, determinando la documentación que se deba presentar.</w:t>
      </w:r>
    </w:p>
    <w:p w14:paraId="25641958" w14:textId="77777777" w:rsidR="00DA67B3" w:rsidRPr="00DA67B3" w:rsidRDefault="00DA67B3" w:rsidP="00DA67B3">
      <w:pPr>
        <w:spacing w:after="0" w:line="240" w:lineRule="auto"/>
        <w:contextualSpacing/>
        <w:jc w:val="both"/>
        <w:rPr>
          <w:rFonts w:ascii="Verdana" w:eastAsia="Calibri" w:hAnsi="Verdana" w:cs="Arial"/>
          <w:bCs/>
          <w:sz w:val="20"/>
          <w:szCs w:val="20"/>
          <w:lang w:val="es-ES_tradnl" w:eastAsia="es-MX"/>
        </w:rPr>
      </w:pPr>
      <w:r w:rsidRPr="00DA67B3">
        <w:rPr>
          <w:rFonts w:ascii="Verdana" w:eastAsia="Calibri" w:hAnsi="Verdana" w:cs="Arial"/>
          <w:bCs/>
          <w:sz w:val="20"/>
          <w:szCs w:val="20"/>
          <w:lang w:val="es-ES_tradnl" w:eastAsia="es-MX"/>
        </w:rPr>
        <w:t>(…)</w:t>
      </w:r>
    </w:p>
    <w:p w14:paraId="0C2D14EC" w14:textId="77777777" w:rsidR="00DA67B3" w:rsidRPr="00DA67B3" w:rsidRDefault="00DA67B3" w:rsidP="00DA67B3">
      <w:pPr>
        <w:spacing w:after="0" w:line="240" w:lineRule="auto"/>
        <w:contextualSpacing/>
        <w:jc w:val="both"/>
        <w:rPr>
          <w:rFonts w:ascii="Verdana" w:eastAsia="Calibri" w:hAnsi="Verdana" w:cs="Arial"/>
          <w:bCs/>
          <w:sz w:val="20"/>
          <w:szCs w:val="20"/>
          <w:lang w:val="es-MX" w:eastAsia="es-ES_tradnl"/>
        </w:rPr>
      </w:pPr>
      <w:r w:rsidRPr="00DA67B3">
        <w:rPr>
          <w:rFonts w:ascii="Verdana" w:eastAsia="Calibri" w:hAnsi="Verdana" w:cs="Arial"/>
          <w:bCs/>
          <w:sz w:val="20"/>
          <w:szCs w:val="20"/>
          <w:lang w:val="es-ES_tradnl" w:eastAsia="es-MX"/>
        </w:rPr>
        <w:t>No obstante, el RUP no es exigible en todos los procesos de selección. El segundo inciso del artículo 6 de la Ley 1150 de 2007 señala los casos en los que no se requerirá el RUP: “[…]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w:t>
      </w:r>
    </w:p>
    <w:p w14:paraId="38884DF1" w14:textId="77777777" w:rsidR="00DA67B3" w:rsidRPr="00DA67B3" w:rsidRDefault="00DA67B3" w:rsidP="00DA67B3">
      <w:pPr>
        <w:spacing w:after="0" w:line="240" w:lineRule="auto"/>
        <w:contextualSpacing/>
        <w:jc w:val="both"/>
        <w:rPr>
          <w:rFonts w:ascii="Verdana" w:eastAsia="Calibri" w:hAnsi="Verdana" w:cs="Arial"/>
          <w:b/>
          <w:noProof/>
          <w:sz w:val="20"/>
          <w:szCs w:val="20"/>
          <w:lang w:val="es-ES_tradnl" w:eastAsia="es-ES_tradnl"/>
        </w:rPr>
      </w:pPr>
    </w:p>
    <w:p w14:paraId="6022F6D5" w14:textId="77777777" w:rsidR="00DA67B3" w:rsidRPr="00DA67B3" w:rsidRDefault="00DA67B3" w:rsidP="00DA67B3">
      <w:pPr>
        <w:spacing w:after="0" w:line="240" w:lineRule="auto"/>
        <w:contextualSpacing/>
        <w:jc w:val="both"/>
        <w:rPr>
          <w:rFonts w:ascii="Verdana" w:eastAsia="Times New Roman" w:hAnsi="Verdana" w:cs="Arial"/>
          <w:b/>
          <w:bCs/>
          <w:lang w:eastAsia="es-ES_tradnl"/>
        </w:rPr>
      </w:pPr>
      <w:r w:rsidRPr="00DA67B3">
        <w:rPr>
          <w:rFonts w:ascii="Verdana" w:eastAsia="Times New Roman" w:hAnsi="Verdana" w:cs="Arial"/>
          <w:b/>
          <w:bCs/>
          <w:lang w:eastAsia="es-ES_tradnl"/>
        </w:rPr>
        <w:t>RUP – Inscripción – Documentos</w:t>
      </w:r>
    </w:p>
    <w:p w14:paraId="386432E1" w14:textId="77777777" w:rsidR="00DA67B3" w:rsidRPr="00DA67B3" w:rsidRDefault="00DA67B3" w:rsidP="00DA67B3">
      <w:pPr>
        <w:spacing w:after="0" w:line="240" w:lineRule="auto"/>
        <w:contextualSpacing/>
        <w:jc w:val="both"/>
        <w:rPr>
          <w:rFonts w:ascii="Verdana" w:eastAsia="Times New Roman" w:hAnsi="Verdana" w:cs="Arial"/>
          <w:sz w:val="20"/>
          <w:szCs w:val="20"/>
          <w:lang w:eastAsia="es-ES_tradnl"/>
        </w:rPr>
      </w:pPr>
    </w:p>
    <w:p w14:paraId="7700B1FC" w14:textId="77777777" w:rsidR="00DA67B3" w:rsidRPr="00DA67B3" w:rsidRDefault="00DA67B3" w:rsidP="00DA67B3">
      <w:pPr>
        <w:spacing w:after="0" w:line="240" w:lineRule="auto"/>
        <w:contextualSpacing/>
        <w:jc w:val="both"/>
        <w:rPr>
          <w:rFonts w:ascii="Verdana" w:eastAsia="Times New Roman" w:hAnsi="Verdana" w:cs="Arial"/>
          <w:sz w:val="20"/>
          <w:szCs w:val="20"/>
          <w:lang w:val="es-ES_tradnl" w:eastAsia="es-MX"/>
        </w:rPr>
      </w:pPr>
      <w:r w:rsidRPr="00DA67B3">
        <w:rPr>
          <w:rFonts w:ascii="Verdana" w:eastAsia="Calibri" w:hAnsi="Verdana" w:cs="Arial"/>
          <w:sz w:val="20"/>
          <w:szCs w:val="20"/>
          <w:lang w:eastAsia="es-ES_tradnl"/>
        </w:rPr>
        <w:t>(…) el numeral 1.2 del artículo 2.2.1.1.1.5.2. del Decreto 1082 de 2015 señala los documentos para inscribir la experiencia en el RUP: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70B8FEFD" w14:textId="77777777" w:rsidR="00DA67B3" w:rsidRPr="00DA67B3" w:rsidRDefault="00DA67B3" w:rsidP="00DA67B3">
      <w:pPr>
        <w:spacing w:after="0" w:line="240" w:lineRule="auto"/>
        <w:contextualSpacing/>
        <w:jc w:val="both"/>
        <w:rPr>
          <w:rFonts w:ascii="Verdana" w:eastAsia="Calibri" w:hAnsi="Verdana" w:cs="Arial"/>
          <w:b/>
          <w:noProof/>
          <w:sz w:val="20"/>
          <w:szCs w:val="20"/>
          <w:lang w:val="es-ES_tradnl" w:eastAsia="es-ES_tradnl"/>
        </w:rPr>
      </w:pPr>
    </w:p>
    <w:p w14:paraId="041B263A" w14:textId="77777777" w:rsidR="00DA67B3" w:rsidRPr="00DA67B3" w:rsidRDefault="00DA67B3" w:rsidP="00DA67B3">
      <w:pPr>
        <w:spacing w:after="0" w:line="240" w:lineRule="auto"/>
        <w:jc w:val="both"/>
        <w:rPr>
          <w:rFonts w:ascii="Verdana" w:eastAsia="Times New Roman" w:hAnsi="Verdana" w:cs="Arial"/>
          <w:noProof/>
          <w:lang w:val="es-ES_tradnl" w:eastAsia="es-ES_tradnl"/>
        </w:rPr>
      </w:pPr>
    </w:p>
    <w:p w14:paraId="20962B5B" w14:textId="77777777" w:rsidR="00DA67B3" w:rsidRPr="00DA67B3" w:rsidRDefault="00DA67B3" w:rsidP="00DA67B3">
      <w:pPr>
        <w:spacing w:after="0" w:line="240" w:lineRule="auto"/>
        <w:jc w:val="both"/>
        <w:rPr>
          <w:rFonts w:ascii="Verdana" w:eastAsia="Times New Roman" w:hAnsi="Verdana" w:cs="Arial"/>
          <w:noProof/>
          <w:lang w:val="es-ES_tradnl" w:eastAsia="es-ES_tradnl"/>
        </w:rPr>
      </w:pPr>
    </w:p>
    <w:p w14:paraId="3C0A02F2" w14:textId="77777777" w:rsidR="00DA67B3" w:rsidRPr="00DA67B3" w:rsidRDefault="00DA67B3" w:rsidP="00DA67B3">
      <w:pPr>
        <w:spacing w:after="0" w:line="240" w:lineRule="auto"/>
        <w:jc w:val="both"/>
        <w:rPr>
          <w:rFonts w:ascii="Verdana" w:eastAsia="Times New Roman" w:hAnsi="Verdana" w:cs="Arial"/>
          <w:noProof/>
          <w:lang w:val="es-ES_tradnl" w:eastAsia="es-ES_tradnl"/>
        </w:rPr>
      </w:pPr>
    </w:p>
    <w:p w14:paraId="671FE34A" w14:textId="77777777" w:rsidR="00DA67B3" w:rsidRPr="00DA67B3" w:rsidRDefault="00DA67B3" w:rsidP="00DA67B3">
      <w:pPr>
        <w:spacing w:after="0" w:line="240" w:lineRule="auto"/>
        <w:jc w:val="both"/>
        <w:rPr>
          <w:rFonts w:ascii="Verdana" w:eastAsia="Times New Roman" w:hAnsi="Verdana" w:cs="Arial"/>
          <w:noProof/>
          <w:lang w:val="es-ES_tradnl" w:eastAsia="es-ES_tradnl"/>
        </w:rPr>
      </w:pPr>
    </w:p>
    <w:p w14:paraId="4D5F84DE" w14:textId="77777777" w:rsidR="00DA67B3" w:rsidRPr="00DA67B3" w:rsidRDefault="00DA67B3" w:rsidP="00DA67B3">
      <w:pPr>
        <w:spacing w:after="0" w:line="240" w:lineRule="auto"/>
        <w:jc w:val="both"/>
        <w:rPr>
          <w:rFonts w:ascii="Verdana" w:eastAsia="Times New Roman" w:hAnsi="Verdana" w:cs="Arial"/>
          <w:noProof/>
          <w:lang w:val="es-ES_tradnl" w:eastAsia="es-ES_tradnl"/>
        </w:rPr>
      </w:pPr>
    </w:p>
    <w:p w14:paraId="64792392" w14:textId="77777777" w:rsidR="00DA67B3" w:rsidRPr="00DA67B3" w:rsidRDefault="00DA67B3" w:rsidP="00DA67B3">
      <w:pPr>
        <w:spacing w:after="0" w:line="240" w:lineRule="auto"/>
        <w:jc w:val="both"/>
        <w:rPr>
          <w:rFonts w:ascii="Verdana" w:eastAsia="Times New Roman" w:hAnsi="Verdana" w:cs="Arial"/>
          <w:noProof/>
          <w:lang w:val="es-ES_tradnl" w:eastAsia="es-ES_tradnl"/>
        </w:rPr>
      </w:pPr>
    </w:p>
    <w:p w14:paraId="16567999" w14:textId="77777777" w:rsidR="00DA67B3" w:rsidRPr="00DA67B3" w:rsidRDefault="00DA67B3" w:rsidP="00DA67B3">
      <w:pPr>
        <w:spacing w:after="0" w:line="240" w:lineRule="auto"/>
        <w:jc w:val="both"/>
        <w:rPr>
          <w:rFonts w:ascii="Verdana" w:eastAsia="Times New Roman" w:hAnsi="Verdana" w:cs="Arial"/>
          <w:noProof/>
          <w:lang w:val="es-ES_tradnl" w:eastAsia="es-ES_tradnl"/>
        </w:rPr>
      </w:pPr>
    </w:p>
    <w:p w14:paraId="0E83A918" w14:textId="77777777" w:rsidR="00DA67B3" w:rsidRPr="00DA67B3" w:rsidRDefault="00DA67B3" w:rsidP="00DA67B3">
      <w:pPr>
        <w:spacing w:after="0" w:line="240" w:lineRule="auto"/>
        <w:jc w:val="both"/>
        <w:rPr>
          <w:rFonts w:ascii="Verdana" w:eastAsia="Times New Roman" w:hAnsi="Verdana" w:cs="Arial"/>
          <w:noProof/>
          <w:lang w:val="es-ES_tradnl" w:eastAsia="es-ES_tradnl"/>
        </w:rPr>
      </w:pPr>
    </w:p>
    <w:p w14:paraId="6BFAAE45" w14:textId="77777777" w:rsidR="00DA67B3" w:rsidRPr="00DA67B3" w:rsidRDefault="00DA67B3" w:rsidP="00DA67B3">
      <w:pPr>
        <w:spacing w:after="0" w:line="240" w:lineRule="auto"/>
        <w:jc w:val="both"/>
        <w:rPr>
          <w:rFonts w:ascii="Verdana" w:eastAsia="Times New Roman" w:hAnsi="Verdana" w:cs="Arial"/>
          <w:noProof/>
          <w:lang w:val="es-ES_tradnl" w:eastAsia="es-ES_tradnl"/>
        </w:rPr>
      </w:pPr>
    </w:p>
    <w:p w14:paraId="0AFC81E2" w14:textId="77777777" w:rsidR="00DA67B3" w:rsidRPr="00DA67B3" w:rsidRDefault="00DA67B3" w:rsidP="00DA67B3">
      <w:pPr>
        <w:spacing w:after="0" w:line="240" w:lineRule="auto"/>
        <w:jc w:val="both"/>
        <w:rPr>
          <w:rFonts w:ascii="Verdana" w:eastAsia="Times New Roman" w:hAnsi="Verdana" w:cs="Arial"/>
          <w:noProof/>
          <w:lang w:val="es-ES_tradnl" w:eastAsia="es-ES_tradnl"/>
        </w:rPr>
      </w:pPr>
    </w:p>
    <w:p w14:paraId="140F7579" w14:textId="77777777" w:rsidR="00DA67B3" w:rsidRPr="00DA67B3" w:rsidRDefault="00DA67B3" w:rsidP="00DA67B3">
      <w:pPr>
        <w:spacing w:after="0" w:line="240" w:lineRule="auto"/>
        <w:jc w:val="both"/>
        <w:rPr>
          <w:rFonts w:ascii="Verdana" w:eastAsia="Times New Roman" w:hAnsi="Verdana" w:cs="Arial"/>
          <w:noProof/>
          <w:lang w:val="es-ES_tradnl" w:eastAsia="es-ES_tradnl"/>
        </w:rPr>
      </w:pPr>
    </w:p>
    <w:p w14:paraId="301A698A" w14:textId="77777777" w:rsidR="00DA67B3" w:rsidRPr="00DA67B3" w:rsidRDefault="00DA67B3" w:rsidP="00DA67B3">
      <w:pPr>
        <w:spacing w:after="0" w:line="240" w:lineRule="auto"/>
        <w:jc w:val="both"/>
        <w:rPr>
          <w:rFonts w:ascii="Verdana" w:eastAsia="Times New Roman" w:hAnsi="Verdana" w:cs="Arial"/>
          <w:noProof/>
          <w:lang w:val="es-ES_tradnl" w:eastAsia="es-ES_tradnl"/>
        </w:rPr>
      </w:pPr>
    </w:p>
    <w:p w14:paraId="004FB106" w14:textId="77777777" w:rsidR="00DA67B3" w:rsidRDefault="00DA67B3" w:rsidP="00DA67B3">
      <w:pPr>
        <w:spacing w:after="0" w:line="240" w:lineRule="auto"/>
        <w:jc w:val="both"/>
        <w:rPr>
          <w:rFonts w:ascii="Verdana" w:eastAsia="Times New Roman" w:hAnsi="Verdana" w:cs="Arial"/>
          <w:noProof/>
          <w:lang w:val="es-ES_tradnl" w:eastAsia="es-ES_tradnl"/>
        </w:rPr>
      </w:pPr>
    </w:p>
    <w:p w14:paraId="6969FDCC" w14:textId="77777777" w:rsidR="00B61271" w:rsidRPr="00DA67B3" w:rsidRDefault="00B61271" w:rsidP="00DA67B3">
      <w:pPr>
        <w:spacing w:after="0" w:line="240" w:lineRule="auto"/>
        <w:jc w:val="both"/>
        <w:rPr>
          <w:rFonts w:ascii="Verdana" w:eastAsia="Times New Roman" w:hAnsi="Verdana" w:cs="Arial"/>
          <w:noProof/>
          <w:lang w:val="es-ES_tradnl" w:eastAsia="es-ES_tradnl"/>
        </w:rPr>
      </w:pPr>
    </w:p>
    <w:p w14:paraId="0C46D726" w14:textId="77777777" w:rsidR="00DA67B3" w:rsidRPr="00DA67B3" w:rsidRDefault="00DA67B3" w:rsidP="00DA67B3">
      <w:pPr>
        <w:spacing w:after="0" w:line="240" w:lineRule="auto"/>
        <w:jc w:val="both"/>
        <w:rPr>
          <w:rFonts w:ascii="Verdana" w:eastAsia="Times New Roman" w:hAnsi="Verdana" w:cs="Arial"/>
          <w:noProof/>
          <w:lang w:val="es-ES_tradnl" w:eastAsia="es-ES_tradnl"/>
        </w:rPr>
      </w:pPr>
    </w:p>
    <w:p w14:paraId="14B8877A" w14:textId="77777777" w:rsidR="00DA67B3" w:rsidRPr="00DA67B3" w:rsidRDefault="00DA67B3" w:rsidP="00DA67B3">
      <w:pPr>
        <w:spacing w:after="0" w:line="240" w:lineRule="auto"/>
        <w:jc w:val="both"/>
        <w:rPr>
          <w:rFonts w:ascii="Verdana" w:eastAsia="Times New Roman" w:hAnsi="Verdana" w:cs="Arial"/>
          <w:noProof/>
          <w:lang w:val="es-ES_tradnl" w:eastAsia="es-ES_tradnl"/>
        </w:rPr>
      </w:pPr>
    </w:p>
    <w:p w14:paraId="06321DCB" w14:textId="4727C937" w:rsidR="00DA67B3" w:rsidRDefault="00DA67B3" w:rsidP="00DA67B3">
      <w:pPr>
        <w:spacing w:after="0" w:line="240" w:lineRule="auto"/>
        <w:jc w:val="both"/>
        <w:rPr>
          <w:rFonts w:ascii="Verdana" w:eastAsia="Times New Roman" w:hAnsi="Verdana" w:cs="Arial"/>
          <w:noProof/>
          <w:lang w:val="es-ES_tradnl" w:eastAsia="es-ES_tradnl"/>
        </w:rPr>
      </w:pPr>
      <w:r w:rsidRPr="00DA67B3">
        <w:rPr>
          <w:rFonts w:ascii="Verdana" w:eastAsia="Times New Roman" w:hAnsi="Verdana" w:cs="Arial"/>
          <w:noProof/>
          <w:lang w:val="es-ES_tradnl" w:eastAsia="es-ES_tradnl"/>
        </w:rPr>
        <w:lastRenderedPageBreak/>
        <w:t xml:space="preserve">Bogotá D.C., </w:t>
      </w:r>
      <w:r w:rsidR="00EC584E">
        <w:rPr>
          <w:rFonts w:ascii="Verdana" w:eastAsia="Times New Roman" w:hAnsi="Verdana" w:cs="Arial"/>
          <w:noProof/>
          <w:lang w:val="es-ES_tradnl" w:eastAsia="es-ES_tradnl"/>
        </w:rPr>
        <w:t>13 de agosto de 2024</w:t>
      </w:r>
    </w:p>
    <w:p w14:paraId="45BC6EAA" w14:textId="77777777" w:rsidR="00EC584E" w:rsidRDefault="00EC584E" w:rsidP="00DA67B3">
      <w:pPr>
        <w:spacing w:after="0" w:line="240" w:lineRule="auto"/>
        <w:jc w:val="both"/>
        <w:rPr>
          <w:rFonts w:ascii="Verdana" w:eastAsia="Times New Roman" w:hAnsi="Verdana" w:cs="Arial"/>
          <w:noProof/>
          <w:lang w:val="es-ES_tradnl" w:eastAsia="es-ES_tradnl"/>
        </w:rPr>
      </w:pPr>
    </w:p>
    <w:p w14:paraId="4BADAE1A" w14:textId="7F0AF888" w:rsidR="00DA67B3" w:rsidRPr="00DA67B3" w:rsidRDefault="00EC584E" w:rsidP="009D31FA">
      <w:pPr>
        <w:spacing w:after="0" w:line="240" w:lineRule="auto"/>
        <w:jc w:val="right"/>
        <w:rPr>
          <w:rFonts w:ascii="Verdana" w:eastAsia="Times New Roman" w:hAnsi="Verdana" w:cs="Arial"/>
          <w:noProof/>
          <w:lang w:val="es-ES_tradnl" w:eastAsia="es-ES_tradnl"/>
        </w:rPr>
      </w:pPr>
      <w:r w:rsidRPr="00EC584E">
        <w:rPr>
          <w:rFonts w:ascii="Verdana" w:eastAsia="Times New Roman" w:hAnsi="Verdana" w:cs="Arial"/>
          <w:noProof/>
          <w:lang w:val="es-ES_tradnl" w:eastAsia="es-ES_tradnl"/>
        </w:rPr>
        <w:drawing>
          <wp:anchor distT="0" distB="0" distL="114300" distR="114300" simplePos="0" relativeHeight="251658240" behindDoc="0" locked="0" layoutInCell="1" allowOverlap="1" wp14:anchorId="6691584E" wp14:editId="039D31DD">
            <wp:simplePos x="0" y="0"/>
            <wp:positionH relativeFrom="column">
              <wp:posOffset>2128891</wp:posOffset>
            </wp:positionH>
            <wp:positionV relativeFrom="paragraph">
              <wp:posOffset>-3906</wp:posOffset>
            </wp:positionV>
            <wp:extent cx="3486151" cy="994098"/>
            <wp:effectExtent l="0" t="0" r="0" b="0"/>
            <wp:wrapNone/>
            <wp:docPr id="1445753723" name="Picture 1" descr="A close-up of a white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753723" name="Picture 1" descr="A close-up of a white card&#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3486151" cy="994098"/>
                    </a:xfrm>
                    <a:prstGeom prst="rect">
                      <a:avLst/>
                    </a:prstGeom>
                  </pic:spPr>
                </pic:pic>
              </a:graphicData>
            </a:graphic>
          </wp:anchor>
        </w:drawing>
      </w:r>
    </w:p>
    <w:p w14:paraId="60FD0A3A" w14:textId="77777777" w:rsidR="00DA67B3" w:rsidRPr="00DA67B3" w:rsidRDefault="00DA67B3" w:rsidP="00DA67B3">
      <w:pPr>
        <w:spacing w:after="0" w:line="240" w:lineRule="auto"/>
        <w:jc w:val="right"/>
        <w:rPr>
          <w:rFonts w:ascii="Verdana" w:eastAsia="Times New Roman" w:hAnsi="Verdana" w:cs="Arial"/>
          <w:noProof/>
          <w:lang w:val="es-ES_tradnl" w:eastAsia="es-ES_tradnl"/>
        </w:rPr>
      </w:pPr>
    </w:p>
    <w:p w14:paraId="667E2F15" w14:textId="77777777" w:rsidR="00DA67B3" w:rsidRPr="00DA67B3" w:rsidRDefault="00DA67B3" w:rsidP="00DA67B3">
      <w:pPr>
        <w:spacing w:after="0" w:line="240" w:lineRule="auto"/>
        <w:jc w:val="both"/>
        <w:rPr>
          <w:rFonts w:ascii="Verdana" w:eastAsia="Calibri" w:hAnsi="Verdana" w:cs="Arial"/>
          <w:lang w:val="es-ES" w:eastAsia="es-ES_tradnl"/>
        </w:rPr>
      </w:pPr>
      <w:r w:rsidRPr="00DA67B3">
        <w:rPr>
          <w:rFonts w:ascii="Verdana" w:eastAsia="Calibri" w:hAnsi="Verdana" w:cs="Arial"/>
          <w:lang w:val="es-ES" w:eastAsia="es-ES_tradnl"/>
        </w:rPr>
        <w:t>Señor</w:t>
      </w:r>
    </w:p>
    <w:p w14:paraId="11E11492" w14:textId="77777777" w:rsidR="00DA67B3" w:rsidRPr="00DA67B3" w:rsidRDefault="00DA67B3" w:rsidP="00DA67B3">
      <w:pPr>
        <w:spacing w:after="0" w:line="240" w:lineRule="auto"/>
        <w:rPr>
          <w:rFonts w:ascii="Verdana" w:eastAsia="Calibri" w:hAnsi="Verdana" w:cs="Arial"/>
          <w:b/>
          <w:bCs/>
          <w:lang w:val="es-ES" w:eastAsia="es-ES_tradnl"/>
        </w:rPr>
      </w:pPr>
      <w:r w:rsidRPr="00DA67B3">
        <w:rPr>
          <w:rFonts w:ascii="Verdana" w:eastAsia="Calibri" w:hAnsi="Verdana" w:cs="Arial"/>
          <w:b/>
          <w:bCs/>
          <w:lang w:val="es-ES" w:eastAsia="es-ES_tradnl"/>
        </w:rPr>
        <w:t>Nicolás Cantor Chía</w:t>
      </w:r>
    </w:p>
    <w:p w14:paraId="02DED3A6" w14:textId="77777777" w:rsidR="00DA67B3" w:rsidRPr="00DA67B3" w:rsidRDefault="00DA67B3" w:rsidP="00DA67B3">
      <w:pPr>
        <w:spacing w:after="0" w:line="240" w:lineRule="auto"/>
        <w:rPr>
          <w:rFonts w:ascii="Verdana" w:eastAsia="Calibri" w:hAnsi="Verdana" w:cs="Arial"/>
          <w:lang w:val="es-ES_tradnl" w:eastAsia="es-ES_tradnl"/>
        </w:rPr>
      </w:pPr>
      <w:r w:rsidRPr="00DA67B3">
        <w:rPr>
          <w:rFonts w:ascii="Verdana" w:eastAsia="Calibri" w:hAnsi="Verdana" w:cs="Arial"/>
          <w:bCs/>
          <w:lang w:val="es-ES_tradnl" w:eastAsia="es-ES_tradnl"/>
        </w:rPr>
        <w:t>Ciudad</w:t>
      </w:r>
    </w:p>
    <w:p w14:paraId="396A3A08" w14:textId="77777777" w:rsidR="00DA67B3" w:rsidRPr="00DA67B3" w:rsidRDefault="00DA67B3" w:rsidP="00DA67B3">
      <w:pPr>
        <w:spacing w:after="0" w:line="240" w:lineRule="auto"/>
        <w:rPr>
          <w:rFonts w:ascii="Verdana" w:eastAsia="Calibri" w:hAnsi="Verdana" w:cs="Arial"/>
          <w:lang w:val="es-ES_tradnl" w:eastAsia="es-ES_tradnl"/>
        </w:rPr>
      </w:pPr>
    </w:p>
    <w:p w14:paraId="3B411DA0" w14:textId="77777777" w:rsidR="00DA67B3" w:rsidRPr="00DA67B3" w:rsidRDefault="00DA67B3" w:rsidP="00DA67B3">
      <w:pPr>
        <w:spacing w:after="0" w:line="240" w:lineRule="auto"/>
        <w:rPr>
          <w:rFonts w:ascii="Verdana" w:eastAsia="Calibri" w:hAnsi="Verdana" w:cs="Arial"/>
          <w:lang w:val="es-ES_tradnl" w:eastAsia="es-ES_tradnl"/>
        </w:rPr>
      </w:pPr>
    </w:p>
    <w:p w14:paraId="4C1A5000" w14:textId="77777777" w:rsidR="00DA67B3" w:rsidRPr="00DA67B3" w:rsidRDefault="00DA67B3" w:rsidP="00DA67B3">
      <w:pPr>
        <w:spacing w:after="0" w:line="240" w:lineRule="auto"/>
        <w:ind w:left="2694"/>
        <w:rPr>
          <w:rFonts w:ascii="Verdana" w:eastAsia="Calibri" w:hAnsi="Verdana" w:cs="Arial"/>
          <w:b/>
          <w:bCs/>
          <w:lang w:val="es-ES" w:eastAsia="es-ES_tradnl"/>
        </w:rPr>
      </w:pPr>
      <w:r w:rsidRPr="00DA67B3">
        <w:rPr>
          <w:rFonts w:ascii="Verdana" w:eastAsia="Calibri" w:hAnsi="Verdana" w:cs="Arial"/>
          <w:b/>
          <w:bCs/>
          <w:lang w:val="es-ES" w:eastAsia="es-ES_tradnl"/>
        </w:rPr>
        <w:t>Concepto C-319 de 2024</w:t>
      </w:r>
    </w:p>
    <w:p w14:paraId="287BF7C7" w14:textId="77777777" w:rsidR="00DA67B3" w:rsidRPr="00DA67B3" w:rsidRDefault="00DA67B3" w:rsidP="00DA67B3">
      <w:pPr>
        <w:spacing w:after="0" w:line="240" w:lineRule="auto"/>
        <w:jc w:val="both"/>
        <w:rPr>
          <w:rFonts w:ascii="Verdana" w:eastAsia="Calibri" w:hAnsi="Verdana" w:cs="Arial"/>
          <w:lang w:val="es-ES_tradnl"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DA67B3" w:rsidRPr="00DA67B3" w14:paraId="24F00A84" w14:textId="77777777" w:rsidTr="00C84781">
        <w:trPr>
          <w:jc w:val="right"/>
        </w:trPr>
        <w:tc>
          <w:tcPr>
            <w:tcW w:w="1838" w:type="dxa"/>
          </w:tcPr>
          <w:p w14:paraId="36DD56B9" w14:textId="77777777" w:rsidR="00DA67B3" w:rsidRPr="00DA67B3" w:rsidRDefault="00DA67B3" w:rsidP="00DA67B3">
            <w:pPr>
              <w:jc w:val="center"/>
              <w:rPr>
                <w:rFonts w:ascii="Verdana" w:eastAsia="Calibri" w:hAnsi="Verdana" w:cs="Arial"/>
                <w:lang w:val="es-ES_tradnl" w:eastAsia="es-ES_tradnl"/>
              </w:rPr>
            </w:pPr>
            <w:r w:rsidRPr="00DA67B3">
              <w:rPr>
                <w:rFonts w:ascii="Verdana" w:eastAsia="Calibri" w:hAnsi="Verdana" w:cs="Arial"/>
                <w:b/>
                <w:lang w:val="es-ES_tradnl" w:eastAsia="es-ES_tradnl"/>
              </w:rPr>
              <w:t>Temas:</w:t>
            </w:r>
          </w:p>
        </w:tc>
        <w:tc>
          <w:tcPr>
            <w:tcW w:w="6237" w:type="dxa"/>
          </w:tcPr>
          <w:p w14:paraId="6454D158" w14:textId="77777777" w:rsidR="00DA67B3" w:rsidRPr="00DA67B3" w:rsidRDefault="00DA67B3" w:rsidP="00DA67B3">
            <w:pPr>
              <w:jc w:val="both"/>
              <w:textAlignment w:val="baseline"/>
              <w:rPr>
                <w:rFonts w:ascii="Verdana" w:eastAsia="Times New Roman" w:hAnsi="Verdana" w:cs="Arial"/>
                <w:lang w:val="es-ES_tradnl" w:eastAsia="es-ES_tradnl"/>
              </w:rPr>
            </w:pPr>
            <w:bookmarkStart w:id="0" w:name="_Hlk172800540"/>
            <w:r w:rsidRPr="00DA67B3">
              <w:rPr>
                <w:rFonts w:ascii="Verdana" w:eastAsia="Times New Roman" w:hAnsi="Verdana" w:cs="Arial"/>
                <w:lang w:eastAsia="es-ES_tradnl"/>
              </w:rPr>
              <w:t xml:space="preserve">EXPERIENCIA – Verificación – RUP – Excepciones </w:t>
            </w:r>
            <w:bookmarkEnd w:id="0"/>
            <w:r w:rsidRPr="00DA67B3">
              <w:rPr>
                <w:rFonts w:ascii="Verdana" w:eastAsia="Times New Roman" w:hAnsi="Verdana" w:cs="Arial"/>
                <w:lang w:eastAsia="es-ES_tradnl"/>
              </w:rPr>
              <w:t>/ RUP – Inscripción – Documentos</w:t>
            </w:r>
          </w:p>
        </w:tc>
      </w:tr>
      <w:tr w:rsidR="00DA67B3" w:rsidRPr="00DA67B3" w14:paraId="0BB22AF9" w14:textId="77777777" w:rsidTr="00C84781">
        <w:trPr>
          <w:jc w:val="right"/>
        </w:trPr>
        <w:tc>
          <w:tcPr>
            <w:tcW w:w="1838" w:type="dxa"/>
          </w:tcPr>
          <w:p w14:paraId="27D032DC" w14:textId="77777777" w:rsidR="00DA67B3" w:rsidRPr="00DA67B3" w:rsidRDefault="00DA67B3" w:rsidP="00DA67B3">
            <w:pPr>
              <w:jc w:val="center"/>
              <w:rPr>
                <w:rFonts w:ascii="Verdana" w:eastAsia="Calibri" w:hAnsi="Verdana" w:cs="Arial"/>
                <w:b/>
                <w:lang w:val="es-ES" w:eastAsia="es-ES_tradnl"/>
              </w:rPr>
            </w:pPr>
            <w:r w:rsidRPr="00DA67B3">
              <w:rPr>
                <w:rFonts w:ascii="Verdana" w:eastAsia="Calibri" w:hAnsi="Verdana" w:cs="Arial"/>
                <w:b/>
                <w:lang w:val="es-ES" w:eastAsia="es-ES_tradnl"/>
              </w:rPr>
              <w:t>Radicación:</w:t>
            </w:r>
          </w:p>
        </w:tc>
        <w:tc>
          <w:tcPr>
            <w:tcW w:w="6237" w:type="dxa"/>
          </w:tcPr>
          <w:p w14:paraId="793BF1A4" w14:textId="77777777" w:rsidR="00DA67B3" w:rsidRPr="00DA67B3" w:rsidRDefault="00DA67B3" w:rsidP="00DA67B3">
            <w:pPr>
              <w:jc w:val="both"/>
              <w:rPr>
                <w:rFonts w:ascii="Verdana" w:eastAsia="Calibri" w:hAnsi="Verdana" w:cs="Arial"/>
                <w:lang w:val="es-ES" w:eastAsia="es-ES_tradnl"/>
              </w:rPr>
            </w:pPr>
            <w:r w:rsidRPr="00DA67B3">
              <w:rPr>
                <w:rFonts w:ascii="Verdana" w:eastAsia="Calibri" w:hAnsi="Verdana" w:cs="Arial"/>
                <w:lang w:val="es-ES" w:eastAsia="es-ES_tradnl"/>
              </w:rPr>
              <w:t xml:space="preserve">Respuesta a consulta radicado No. </w:t>
            </w:r>
            <w:r w:rsidRPr="00DA67B3">
              <w:rPr>
                <w:rFonts w:ascii="Verdana" w:eastAsia="Times New Roman" w:hAnsi="Verdana" w:cs="Arial"/>
                <w:lang w:eastAsia="es-ES_tradnl"/>
              </w:rPr>
              <w:t>P20240708006908</w:t>
            </w:r>
          </w:p>
        </w:tc>
      </w:tr>
    </w:tbl>
    <w:p w14:paraId="4D2758D0" w14:textId="77777777" w:rsidR="00DA67B3" w:rsidRPr="00DA67B3" w:rsidRDefault="00DA67B3" w:rsidP="00DA67B3">
      <w:pPr>
        <w:spacing w:after="0" w:line="240" w:lineRule="auto"/>
        <w:jc w:val="both"/>
        <w:rPr>
          <w:rFonts w:ascii="Verdana" w:eastAsia="Calibri" w:hAnsi="Verdana" w:cs="Arial"/>
          <w:lang w:val="es-ES_tradnl" w:eastAsia="es-ES_tradnl"/>
        </w:rPr>
      </w:pPr>
    </w:p>
    <w:p w14:paraId="798712E7" w14:textId="77777777" w:rsidR="00DA67B3" w:rsidRPr="00DA67B3" w:rsidRDefault="00DA67B3" w:rsidP="00DA67B3">
      <w:pPr>
        <w:spacing w:after="0" w:line="240" w:lineRule="auto"/>
        <w:jc w:val="both"/>
        <w:rPr>
          <w:rFonts w:ascii="Verdana" w:eastAsia="Calibri" w:hAnsi="Verdana" w:cs="Arial"/>
          <w:lang w:val="es-ES_tradnl" w:eastAsia="es-ES_tradnl"/>
        </w:rPr>
      </w:pPr>
    </w:p>
    <w:p w14:paraId="4DED24F9" w14:textId="77777777" w:rsidR="00DA67B3" w:rsidRPr="00DA67B3" w:rsidRDefault="00DA67B3" w:rsidP="00DA67B3">
      <w:pPr>
        <w:spacing w:after="0" w:line="276" w:lineRule="auto"/>
        <w:contextualSpacing/>
        <w:jc w:val="both"/>
        <w:rPr>
          <w:rFonts w:ascii="Verdana" w:eastAsia="Calibri" w:hAnsi="Verdana" w:cs="Arial"/>
          <w:bCs/>
          <w:lang w:val="es-ES_tradnl" w:eastAsia="es-ES_tradnl"/>
        </w:rPr>
      </w:pPr>
      <w:r w:rsidRPr="00DA67B3">
        <w:rPr>
          <w:rFonts w:ascii="Verdana" w:eastAsia="Calibri" w:hAnsi="Verdana" w:cs="Arial"/>
          <w:lang w:val="es-ES_tradnl" w:eastAsia="es-ES_tradnl"/>
        </w:rPr>
        <w:t>Estimado señor Cantor</w:t>
      </w:r>
      <w:r w:rsidRPr="00DA67B3">
        <w:rPr>
          <w:rFonts w:ascii="Verdana" w:eastAsia="Calibri" w:hAnsi="Verdana" w:cs="Arial"/>
          <w:bCs/>
          <w:lang w:val="es-ES_tradnl" w:eastAsia="es-ES_tradnl"/>
        </w:rPr>
        <w:t>:</w:t>
      </w:r>
    </w:p>
    <w:p w14:paraId="1DB04471" w14:textId="77777777" w:rsidR="00DA67B3" w:rsidRPr="00DA67B3" w:rsidRDefault="00DA67B3" w:rsidP="00DA67B3">
      <w:pPr>
        <w:spacing w:after="0" w:line="276" w:lineRule="auto"/>
        <w:contextualSpacing/>
        <w:jc w:val="both"/>
        <w:rPr>
          <w:rFonts w:ascii="Verdana" w:eastAsia="Calibri" w:hAnsi="Verdana" w:cs="Arial"/>
          <w:lang w:val="es-ES_tradnl" w:eastAsia="es-ES_tradnl"/>
        </w:rPr>
      </w:pPr>
    </w:p>
    <w:p w14:paraId="0E3E70AE" w14:textId="77777777" w:rsidR="00DA67B3" w:rsidRPr="00DA67B3" w:rsidRDefault="00DA67B3" w:rsidP="00DA67B3">
      <w:pPr>
        <w:spacing w:after="0" w:line="276" w:lineRule="auto"/>
        <w:contextualSpacing/>
        <w:jc w:val="both"/>
        <w:rPr>
          <w:rFonts w:ascii="Verdana" w:eastAsia="Calibri" w:hAnsi="Verdana" w:cs="Arial"/>
          <w:lang w:val="es-ES" w:eastAsia="es-ES_tradnl"/>
        </w:rPr>
      </w:pPr>
      <w:r w:rsidRPr="00DA67B3">
        <w:rPr>
          <w:rFonts w:ascii="Verdana" w:eastAsia="Calibri" w:hAnsi="Verdana" w:cs="Arial"/>
          <w:lang w:val="es-ES"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8 de julio de 2024, en la cual manifiesta lo siguiente:</w:t>
      </w:r>
    </w:p>
    <w:p w14:paraId="0C757D95" w14:textId="77777777" w:rsidR="00DA67B3" w:rsidRPr="00DA67B3" w:rsidRDefault="00DA67B3" w:rsidP="00DA67B3">
      <w:pPr>
        <w:spacing w:after="0" w:line="276" w:lineRule="auto"/>
        <w:contextualSpacing/>
        <w:jc w:val="both"/>
        <w:rPr>
          <w:rFonts w:ascii="Verdana" w:eastAsia="Calibri" w:hAnsi="Verdana" w:cs="Arial"/>
          <w:b/>
          <w:szCs w:val="24"/>
          <w:lang w:val="es-ES_tradnl" w:eastAsia="es-ES_tradnl"/>
        </w:rPr>
      </w:pPr>
    </w:p>
    <w:p w14:paraId="125F83B7" w14:textId="77777777" w:rsidR="00DA67B3" w:rsidRPr="00DA67B3" w:rsidRDefault="00DA67B3" w:rsidP="00DA67B3">
      <w:pPr>
        <w:spacing w:after="0" w:line="240" w:lineRule="auto"/>
        <w:ind w:left="709" w:right="709"/>
        <w:contextualSpacing/>
        <w:jc w:val="both"/>
        <w:rPr>
          <w:rFonts w:ascii="Verdana" w:eastAsia="Times New Roman" w:hAnsi="Verdana" w:cs="Arial"/>
          <w:sz w:val="21"/>
          <w:szCs w:val="21"/>
          <w:lang w:eastAsia="es-ES_tradnl"/>
        </w:rPr>
      </w:pPr>
      <w:r w:rsidRPr="00DA67B3">
        <w:rPr>
          <w:rFonts w:ascii="Verdana" w:eastAsia="Times New Roman" w:hAnsi="Verdana" w:cs="Arial"/>
          <w:sz w:val="21"/>
          <w:szCs w:val="21"/>
          <w:lang w:eastAsia="es-ES_tradnl"/>
        </w:rPr>
        <w:t>“Agradecería me proporcionen un concepto sobre la posibilidad de validar la experiencia del proponente en ausencia de certificados formales, utilizando órdenes de compra y facturas como evidencia. (Adjunto un ejemplo de orden de compra)”.</w:t>
      </w:r>
    </w:p>
    <w:p w14:paraId="754CBB00" w14:textId="77777777" w:rsidR="00DA67B3" w:rsidRPr="00DA67B3" w:rsidRDefault="00DA67B3" w:rsidP="00DA67B3">
      <w:pPr>
        <w:spacing w:after="0" w:line="240" w:lineRule="auto"/>
        <w:ind w:left="709" w:right="709"/>
        <w:contextualSpacing/>
        <w:jc w:val="both"/>
        <w:rPr>
          <w:rFonts w:ascii="Verdana" w:eastAsia="Times New Roman" w:hAnsi="Verdana" w:cs="Arial"/>
          <w:sz w:val="21"/>
          <w:szCs w:val="21"/>
          <w:lang w:eastAsia="es-ES_tradnl"/>
        </w:rPr>
      </w:pPr>
    </w:p>
    <w:p w14:paraId="1BAEDFB2" w14:textId="77777777" w:rsidR="00DA67B3" w:rsidRPr="00DA67B3" w:rsidRDefault="00DA67B3" w:rsidP="00DA67B3">
      <w:pPr>
        <w:spacing w:after="120" w:line="276" w:lineRule="auto"/>
        <w:ind w:firstLine="709"/>
        <w:jc w:val="both"/>
        <w:rPr>
          <w:rFonts w:ascii="Verdana" w:eastAsia="Calibri" w:hAnsi="Verdana" w:cs="Arial"/>
          <w:color w:val="000000"/>
          <w:szCs w:val="24"/>
          <w:lang w:val="es-ES_tradnl" w:eastAsia="es-ES_tradnl"/>
        </w:rPr>
      </w:pPr>
      <w:r w:rsidRPr="00DA67B3">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A67B3">
        <w:rPr>
          <w:rFonts w:ascii="Verdana" w:eastAsia="Calibri" w:hAnsi="Verdana" w:cs="Arial"/>
          <w:color w:val="000000"/>
          <w:szCs w:val="24"/>
          <w:lang w:val="es-ES_tradnl" w:eastAsia="es-ES_tradnl"/>
        </w:rPr>
        <w:tab/>
      </w:r>
    </w:p>
    <w:p w14:paraId="1EC86A56" w14:textId="77777777" w:rsidR="00DA67B3" w:rsidRPr="00DA67B3" w:rsidRDefault="00DA67B3" w:rsidP="00DA67B3">
      <w:pPr>
        <w:spacing w:after="0" w:line="276" w:lineRule="auto"/>
        <w:ind w:firstLine="709"/>
        <w:jc w:val="both"/>
        <w:rPr>
          <w:rFonts w:ascii="Verdana" w:eastAsia="Calibri" w:hAnsi="Verdana" w:cs="Arial"/>
          <w:lang w:val="es-ES" w:eastAsia="es-ES"/>
        </w:rPr>
      </w:pPr>
      <w:r w:rsidRPr="00DA67B3">
        <w:rPr>
          <w:rFonts w:ascii="Verdana" w:eastAsia="Calibri" w:hAnsi="Verdana" w:cs="Arial"/>
          <w:lang w:val="es-ES" w:eastAsia="es-ES"/>
        </w:rPr>
        <w:lastRenderedPageBreak/>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09A42157" w14:textId="77777777" w:rsidR="00DA67B3" w:rsidRPr="00DA67B3" w:rsidRDefault="00DA67B3" w:rsidP="00DA67B3">
      <w:pPr>
        <w:spacing w:after="0" w:line="276" w:lineRule="auto"/>
        <w:contextualSpacing/>
        <w:jc w:val="both"/>
        <w:rPr>
          <w:rFonts w:ascii="Verdana" w:eastAsia="Times New Roman" w:hAnsi="Verdana" w:cs="Arial"/>
          <w:szCs w:val="24"/>
          <w:lang w:val="es-ES_tradnl" w:eastAsia="es-ES_tradnl"/>
        </w:rPr>
      </w:pPr>
    </w:p>
    <w:p w14:paraId="789FADA4" w14:textId="77777777" w:rsidR="00DA67B3" w:rsidRPr="00DA67B3" w:rsidRDefault="00DA67B3" w:rsidP="00DA67B3">
      <w:pPr>
        <w:tabs>
          <w:tab w:val="left" w:pos="0"/>
          <w:tab w:val="left" w:pos="284"/>
        </w:tabs>
        <w:spacing w:after="0" w:line="276" w:lineRule="auto"/>
        <w:contextualSpacing/>
        <w:jc w:val="both"/>
        <w:rPr>
          <w:rFonts w:ascii="Verdana" w:eastAsia="Calibri" w:hAnsi="Verdana" w:cs="Arial"/>
          <w:b/>
          <w:lang w:val="es-ES_tradnl"/>
        </w:rPr>
      </w:pPr>
      <w:r w:rsidRPr="00DA67B3">
        <w:rPr>
          <w:rFonts w:ascii="Verdana" w:eastAsia="Calibri" w:hAnsi="Verdana" w:cs="Arial"/>
          <w:b/>
          <w:lang w:val="es-ES_tradnl"/>
        </w:rPr>
        <w:t>1. Problema planteado:</w:t>
      </w:r>
    </w:p>
    <w:p w14:paraId="20D55EC5" w14:textId="77777777" w:rsidR="00DA67B3" w:rsidRPr="00DA67B3" w:rsidRDefault="00DA67B3" w:rsidP="00DA67B3">
      <w:pPr>
        <w:tabs>
          <w:tab w:val="left" w:pos="0"/>
          <w:tab w:val="left" w:pos="284"/>
        </w:tabs>
        <w:spacing w:after="0" w:line="276" w:lineRule="auto"/>
        <w:contextualSpacing/>
        <w:jc w:val="both"/>
        <w:rPr>
          <w:rFonts w:ascii="Verdana" w:eastAsia="Calibri" w:hAnsi="Verdana" w:cs="Arial"/>
          <w:b/>
          <w:lang w:val="es-ES_tradnl"/>
        </w:rPr>
      </w:pPr>
    </w:p>
    <w:p w14:paraId="34A17E83" w14:textId="77777777" w:rsidR="00DA67B3" w:rsidRPr="00DA67B3" w:rsidRDefault="00DA67B3" w:rsidP="00DA67B3">
      <w:pPr>
        <w:spacing w:after="0" w:line="276" w:lineRule="auto"/>
        <w:jc w:val="both"/>
        <w:rPr>
          <w:rFonts w:ascii="Verdana" w:eastAsia="Century Gothic" w:hAnsi="Verdana" w:cs="Century Gothic"/>
        </w:rPr>
      </w:pPr>
      <w:r w:rsidRPr="00DA67B3">
        <w:rPr>
          <w:rFonts w:ascii="Verdana" w:eastAsia="Century Gothic" w:hAnsi="Verdana" w:cs="Century Gothic"/>
        </w:rPr>
        <w:t xml:space="preserve">De acuerdo con el contenido de su solicitud, esta Agencia resolverá el siguiente problema jurídico: ¿Se puede validar la experiencia de un proponente con órdenes de compra y facturas? </w:t>
      </w:r>
    </w:p>
    <w:p w14:paraId="327F445A" w14:textId="77777777" w:rsidR="00DA67B3" w:rsidRPr="00DA67B3" w:rsidRDefault="00DA67B3" w:rsidP="00DA67B3">
      <w:pPr>
        <w:spacing w:after="0" w:line="276" w:lineRule="auto"/>
        <w:ind w:firstLine="709"/>
        <w:jc w:val="both"/>
        <w:rPr>
          <w:rFonts w:ascii="Verdana" w:eastAsia="Calibri" w:hAnsi="Verdana" w:cs="Arial"/>
          <w:lang w:val="es-ES" w:eastAsia="es-ES_tradnl"/>
        </w:rPr>
      </w:pPr>
    </w:p>
    <w:p w14:paraId="576E0597" w14:textId="77777777" w:rsidR="00DA67B3" w:rsidRPr="00DA67B3" w:rsidRDefault="00DA67B3" w:rsidP="00DA67B3">
      <w:pPr>
        <w:tabs>
          <w:tab w:val="left" w:pos="142"/>
          <w:tab w:val="left" w:pos="284"/>
        </w:tabs>
        <w:spacing w:after="0" w:line="276" w:lineRule="auto"/>
        <w:jc w:val="both"/>
        <w:rPr>
          <w:rFonts w:ascii="Verdana" w:eastAsia="Century Gothic" w:hAnsi="Verdana" w:cs="Century Gothic"/>
          <w:b/>
          <w:bCs/>
        </w:rPr>
      </w:pPr>
      <w:r w:rsidRPr="00DA67B3">
        <w:rPr>
          <w:rFonts w:ascii="Verdana" w:eastAsia="Century Gothic" w:hAnsi="Verdana" w:cs="Century Gothic"/>
          <w:b/>
          <w:bCs/>
        </w:rPr>
        <w:t>2. Respuesta:</w:t>
      </w:r>
    </w:p>
    <w:p w14:paraId="32D943FA" w14:textId="77777777" w:rsidR="00DA67B3" w:rsidRPr="00DA67B3" w:rsidRDefault="00DA67B3" w:rsidP="00DA67B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A67B3" w:rsidRPr="00DA67B3" w14:paraId="65B91202" w14:textId="77777777" w:rsidTr="00C84781">
        <w:tc>
          <w:tcPr>
            <w:tcW w:w="8828" w:type="dxa"/>
            <w:shd w:val="clear" w:color="auto" w:fill="auto"/>
          </w:tcPr>
          <w:p w14:paraId="5411AAA8" w14:textId="77777777" w:rsidR="00DA67B3" w:rsidRPr="00DA67B3" w:rsidRDefault="00DA67B3" w:rsidP="00DA67B3">
            <w:pPr>
              <w:spacing w:after="120" w:line="276" w:lineRule="auto"/>
              <w:jc w:val="both"/>
              <w:rPr>
                <w:rFonts w:ascii="Verdana" w:eastAsia="Calibri" w:hAnsi="Verdana" w:cs="Arial"/>
                <w:szCs w:val="24"/>
                <w:lang w:val="es-ES" w:eastAsia="es-ES_tradnl"/>
              </w:rPr>
            </w:pPr>
            <w:r w:rsidRPr="00DA67B3">
              <w:rPr>
                <w:rFonts w:ascii="Verdana" w:eastAsia="Calibri" w:hAnsi="Verdana" w:cs="Arial"/>
                <w:szCs w:val="24"/>
                <w:lang w:val="es-ES" w:eastAsia="es-ES_tradnl"/>
              </w:rPr>
              <w:t>De acuerdo con el artículo 6 de la Ley 1150 de 2007, la experiencia se verifica con RUP que es plena prueba de la información que contiene, pero hay unos procesos exceptuados del RUP y en ese caso la entidad hará la verificación de la experiencia y de los demás requisitos habilitantes de forma directa, determinando la documentación que se deba presentar.</w:t>
            </w:r>
          </w:p>
          <w:p w14:paraId="44CCCAE5" w14:textId="2D80472D" w:rsidR="00DA67B3" w:rsidRDefault="00DA67B3" w:rsidP="00DA67B3">
            <w:pPr>
              <w:spacing w:after="120" w:line="276" w:lineRule="auto"/>
              <w:ind w:firstLine="709"/>
              <w:jc w:val="both"/>
              <w:rPr>
                <w:rFonts w:ascii="Verdana" w:eastAsia="Calibri" w:hAnsi="Verdana" w:cs="Arial"/>
                <w:szCs w:val="24"/>
                <w:lang w:val="es-ES" w:eastAsia="es-ES_tradnl"/>
              </w:rPr>
            </w:pPr>
            <w:r w:rsidRPr="00DA67B3">
              <w:rPr>
                <w:rFonts w:ascii="Verdana" w:eastAsia="Calibri" w:hAnsi="Verdana" w:cs="Arial"/>
                <w:szCs w:val="24"/>
                <w:lang w:val="es-ES" w:eastAsia="es-ES_tradnl"/>
              </w:rPr>
              <w:t>Cuando se trate de procesos de contratación donde se exige RUP, los documentos para la inscripción de la experiencia en dicho registro, y que son verificados por la Cámara de Comercio respectiva, están señalados en el artículo 2.2.1.1.1.5.2. del Decreto 1082 de 2015. En ese sentido, sobre si se puede validar la experiencia con órdenes de compra y facturas, respecto de los procesos exceptuados del RUP, la entidad determinará en los pliegos de condiciones los documentos para acreditar la experiencia; pero en los procesos en los que es exigible el RUP, la experiencia se verificará con este registro, ante el cual el proponente debe presentar los documentos señalados en el Decreto 1082 de 2015, dentro de los cuales no están las órdenes de compra ni facturas, siendo las Cámaras de Comercio las responsables de la verificación documental y de determinar si el documento presentado es válido para registrar la experiencia en el RUP o no.</w:t>
            </w:r>
          </w:p>
          <w:p w14:paraId="1E6E1D2D" w14:textId="10073E59" w:rsidR="00F76B27" w:rsidRPr="00DA67B3" w:rsidRDefault="00F76B27" w:rsidP="00DA67B3">
            <w:pPr>
              <w:spacing w:after="120" w:line="276" w:lineRule="auto"/>
              <w:ind w:firstLine="709"/>
              <w:jc w:val="both"/>
              <w:rPr>
                <w:rFonts w:ascii="Verdana" w:eastAsia="Calibri" w:hAnsi="Verdana" w:cs="Arial"/>
                <w:szCs w:val="24"/>
                <w:lang w:val="es-ES" w:eastAsia="es-ES_tradnl"/>
              </w:rPr>
            </w:pPr>
            <w:r>
              <w:rPr>
                <w:rFonts w:ascii="Verdana" w:eastAsia="Calibri" w:hAnsi="Verdana" w:cs="Arial"/>
                <w:szCs w:val="24"/>
                <w:lang w:val="es-ES" w:eastAsia="es-ES_tradnl"/>
              </w:rPr>
              <w:t xml:space="preserve">Por otra parte, </w:t>
            </w:r>
            <w:r w:rsidR="00FF603D">
              <w:rPr>
                <w:rFonts w:ascii="Verdana" w:eastAsia="Calibri" w:hAnsi="Verdana" w:cs="Arial"/>
                <w:szCs w:val="24"/>
                <w:lang w:val="es-ES" w:eastAsia="es-ES_tradnl"/>
              </w:rPr>
              <w:t>el artículo 6 de la Ley 1150 de 2007 también señala</w:t>
            </w:r>
            <w:r w:rsidR="00705A91">
              <w:rPr>
                <w:rFonts w:ascii="Verdana" w:eastAsia="Calibri" w:hAnsi="Verdana" w:cs="Arial"/>
                <w:szCs w:val="24"/>
                <w:lang w:val="es-ES" w:eastAsia="es-ES_tradnl"/>
              </w:rPr>
              <w:t>, respecto de los procesos donde se exige RUP, que</w:t>
            </w:r>
            <w:r w:rsidR="00FF603D">
              <w:rPr>
                <w:rFonts w:ascii="Verdana" w:eastAsia="Calibri" w:hAnsi="Verdana" w:cs="Arial"/>
                <w:szCs w:val="24"/>
                <w:lang w:val="es-ES" w:eastAsia="es-ES_tradnl"/>
              </w:rPr>
              <w:t xml:space="preserve"> “</w:t>
            </w:r>
            <w:r w:rsidR="00705A91">
              <w:rPr>
                <w:rFonts w:ascii="Verdana" w:eastAsia="Calibri" w:hAnsi="Verdana" w:cs="Arial"/>
                <w:szCs w:val="24"/>
                <w:lang w:val="es-ES" w:eastAsia="es-ES_tradnl"/>
              </w:rPr>
              <w:t>(…)</w:t>
            </w:r>
            <w:r w:rsidR="00FF603D" w:rsidRPr="00FF603D">
              <w:rPr>
                <w:rFonts w:ascii="Verdana" w:eastAsia="Calibri" w:hAnsi="Verdana" w:cs="Arial"/>
                <w:szCs w:val="24"/>
                <w:lang w:val="es-ES" w:eastAsia="es-ES_tradnl"/>
              </w:rPr>
              <w:t xml:space="preserve"> sólo en aquellos casos en que por las características del objeto a contratar se requiera la verificación de requisitos del proponente adicionales a los contenidos en el Registro, la </w:t>
            </w:r>
            <w:r w:rsidR="00FF603D" w:rsidRPr="00FF603D">
              <w:rPr>
                <w:rFonts w:ascii="Verdana" w:eastAsia="Calibri" w:hAnsi="Verdana" w:cs="Arial"/>
                <w:szCs w:val="24"/>
                <w:lang w:val="es-ES" w:eastAsia="es-ES_tradnl"/>
              </w:rPr>
              <w:lastRenderedPageBreak/>
              <w:t>entidad podrá hacer tal verificación en forma directa</w:t>
            </w:r>
            <w:r w:rsidR="00705A91">
              <w:rPr>
                <w:rFonts w:ascii="Verdana" w:eastAsia="Calibri" w:hAnsi="Verdana" w:cs="Arial"/>
                <w:szCs w:val="24"/>
                <w:lang w:val="es-ES" w:eastAsia="es-ES_tradnl"/>
              </w:rPr>
              <w:t>”</w:t>
            </w:r>
            <w:r w:rsidR="00FF603D" w:rsidRPr="00FF603D">
              <w:rPr>
                <w:rFonts w:ascii="Verdana" w:eastAsia="Calibri" w:hAnsi="Verdana" w:cs="Arial"/>
                <w:szCs w:val="24"/>
                <w:lang w:val="es-ES" w:eastAsia="es-ES_tradnl"/>
              </w:rPr>
              <w:t>.</w:t>
            </w:r>
            <w:r w:rsidR="00705A91">
              <w:rPr>
                <w:rFonts w:ascii="Verdana" w:eastAsia="Calibri" w:hAnsi="Verdana" w:cs="Arial"/>
                <w:szCs w:val="24"/>
                <w:lang w:val="es-ES" w:eastAsia="es-ES_tradnl"/>
              </w:rPr>
              <w:t xml:space="preserve"> En ese sentido, si la entidad pide documentación adicional al RUP</w:t>
            </w:r>
            <w:r w:rsidR="004A2695">
              <w:rPr>
                <w:rFonts w:ascii="Verdana" w:eastAsia="Calibri" w:hAnsi="Verdana" w:cs="Arial"/>
                <w:szCs w:val="24"/>
                <w:lang w:val="es-ES" w:eastAsia="es-ES_tradnl"/>
              </w:rPr>
              <w:t xml:space="preserve">, debe </w:t>
            </w:r>
            <w:r w:rsidR="004A2695" w:rsidRPr="00DA67B3">
              <w:rPr>
                <w:rFonts w:ascii="Verdana" w:eastAsia="Calibri" w:hAnsi="Verdana" w:cs="Arial"/>
                <w:szCs w:val="24"/>
                <w:lang w:val="es-ES" w:eastAsia="es-ES_tradnl"/>
              </w:rPr>
              <w:t>determina</w:t>
            </w:r>
            <w:r w:rsidR="004A2695">
              <w:rPr>
                <w:rFonts w:ascii="Verdana" w:eastAsia="Calibri" w:hAnsi="Verdana" w:cs="Arial"/>
                <w:szCs w:val="24"/>
                <w:lang w:val="es-ES" w:eastAsia="es-ES_tradnl"/>
              </w:rPr>
              <w:t>r</w:t>
            </w:r>
            <w:r w:rsidR="00CF31FA">
              <w:rPr>
                <w:rFonts w:ascii="Verdana" w:eastAsia="Calibri" w:hAnsi="Verdana" w:cs="Arial"/>
                <w:szCs w:val="24"/>
                <w:lang w:val="es-ES" w:eastAsia="es-ES_tradnl"/>
              </w:rPr>
              <w:t xml:space="preserve"> en el pliego de condiciones</w:t>
            </w:r>
            <w:r w:rsidR="004A2695" w:rsidRPr="00DA67B3">
              <w:rPr>
                <w:rFonts w:ascii="Verdana" w:eastAsia="Calibri" w:hAnsi="Verdana" w:cs="Arial"/>
                <w:szCs w:val="24"/>
                <w:lang w:val="es-ES" w:eastAsia="es-ES_tradnl"/>
              </w:rPr>
              <w:t xml:space="preserve"> </w:t>
            </w:r>
            <w:r w:rsidR="004A2695">
              <w:rPr>
                <w:rFonts w:ascii="Verdana" w:eastAsia="Calibri" w:hAnsi="Verdana" w:cs="Arial"/>
                <w:szCs w:val="24"/>
                <w:lang w:val="es-ES" w:eastAsia="es-ES_tradnl"/>
              </w:rPr>
              <w:t>cuál</w:t>
            </w:r>
            <w:r w:rsidR="00CF31FA">
              <w:rPr>
                <w:rFonts w:ascii="Verdana" w:eastAsia="Calibri" w:hAnsi="Verdana" w:cs="Arial"/>
                <w:szCs w:val="24"/>
                <w:lang w:val="es-ES" w:eastAsia="es-ES_tradnl"/>
              </w:rPr>
              <w:t xml:space="preserve"> información</w:t>
            </w:r>
            <w:r w:rsidR="004A2695">
              <w:rPr>
                <w:rFonts w:ascii="Verdana" w:eastAsia="Calibri" w:hAnsi="Verdana" w:cs="Arial"/>
                <w:szCs w:val="24"/>
                <w:lang w:val="es-ES" w:eastAsia="es-ES_tradnl"/>
              </w:rPr>
              <w:t xml:space="preserve"> se debe presentar y si es procedente </w:t>
            </w:r>
            <w:r w:rsidR="004A2695" w:rsidRPr="00DA67B3">
              <w:rPr>
                <w:rFonts w:ascii="Verdana" w:eastAsia="Calibri" w:hAnsi="Verdana" w:cs="Arial"/>
                <w:szCs w:val="24"/>
                <w:lang w:val="es-ES" w:eastAsia="es-ES_tradnl"/>
              </w:rPr>
              <w:t>órdenes de compra y facturas</w:t>
            </w:r>
            <w:r w:rsidR="004A2695">
              <w:rPr>
                <w:rFonts w:ascii="Verdana" w:eastAsia="Calibri" w:hAnsi="Verdana" w:cs="Arial"/>
                <w:szCs w:val="24"/>
                <w:lang w:val="es-ES" w:eastAsia="es-ES_tradnl"/>
              </w:rPr>
              <w:t>.</w:t>
            </w:r>
          </w:p>
          <w:p w14:paraId="7F908130" w14:textId="7A5368CA" w:rsidR="00DA67B3" w:rsidRPr="00DA67B3" w:rsidRDefault="00DA67B3" w:rsidP="00DA67B3">
            <w:pPr>
              <w:spacing w:after="120" w:line="276" w:lineRule="auto"/>
              <w:ind w:firstLine="709"/>
              <w:jc w:val="both"/>
              <w:rPr>
                <w:rFonts w:ascii="Verdana" w:eastAsia="Calibri" w:hAnsi="Verdana" w:cs="Arial"/>
                <w:color w:val="7030A0"/>
              </w:rPr>
            </w:pPr>
            <w:r w:rsidRPr="00DA67B3">
              <w:rPr>
                <w:rFonts w:ascii="Verdana" w:eastAsia="Times New Roman" w:hAnsi="Verdana" w:cs="Arial"/>
                <w:lang w:eastAsia="es-ES_tradnl"/>
              </w:rPr>
              <w:t xml:space="preserve">Sin perjuicio de las aclaraciones anteriores, debe advertirse que es la entidad contratante, al momento de adelantar su actividad contractual, quien debe determinar lo correspondiente </w:t>
            </w:r>
            <w:r w:rsidR="00D74107">
              <w:rPr>
                <w:rFonts w:ascii="Verdana" w:eastAsia="Times New Roman" w:hAnsi="Verdana" w:cs="Arial"/>
                <w:lang w:eastAsia="es-ES_tradnl"/>
              </w:rPr>
              <w:t>a la forma de acreditar la experiencia del proponente</w:t>
            </w:r>
            <w:r w:rsidRPr="00DA67B3">
              <w:rPr>
                <w:rFonts w:ascii="Verdana" w:eastAsia="Times New Roman" w:hAnsi="Verdana" w:cs="Arial"/>
                <w:lang w:eastAsia="es-ES_tradnl"/>
              </w:rPr>
              <w:t>. Dado esto, y en atención al alcance la función consultiva atribuida a esta Agencia, lo aquí mencionado no constituye un juicio de valor sobre un proceso contractual particular.</w:t>
            </w:r>
          </w:p>
        </w:tc>
      </w:tr>
    </w:tbl>
    <w:p w14:paraId="07F4D56F" w14:textId="77777777" w:rsidR="00DA67B3" w:rsidRPr="00DA67B3" w:rsidRDefault="00DA67B3" w:rsidP="00DA67B3">
      <w:pPr>
        <w:spacing w:after="0" w:line="276" w:lineRule="auto"/>
        <w:contextualSpacing/>
        <w:jc w:val="both"/>
        <w:rPr>
          <w:rFonts w:ascii="Verdana" w:eastAsia="Times New Roman" w:hAnsi="Verdana" w:cs="Arial"/>
          <w:lang w:eastAsia="es-ES_tradnl"/>
        </w:rPr>
      </w:pPr>
    </w:p>
    <w:p w14:paraId="56ACBCB8" w14:textId="77777777" w:rsidR="00DA67B3" w:rsidRPr="00DA67B3" w:rsidRDefault="00DA67B3" w:rsidP="00DA67B3">
      <w:pPr>
        <w:tabs>
          <w:tab w:val="left" w:pos="142"/>
          <w:tab w:val="left" w:pos="284"/>
        </w:tabs>
        <w:spacing w:after="0" w:line="276" w:lineRule="auto"/>
        <w:jc w:val="both"/>
        <w:rPr>
          <w:rFonts w:ascii="Verdana" w:eastAsia="Century Gothic" w:hAnsi="Verdana" w:cs="Century Gothic"/>
          <w:b/>
          <w:bCs/>
          <w:lang w:val="es-ES"/>
        </w:rPr>
      </w:pPr>
      <w:r w:rsidRPr="00DA67B3">
        <w:rPr>
          <w:rFonts w:ascii="Verdana" w:eastAsia="Century Gothic" w:hAnsi="Verdana" w:cs="Century Gothic"/>
          <w:b/>
          <w:bCs/>
          <w:lang w:val="es-ES"/>
        </w:rPr>
        <w:t>3. Razones de la respuesta:</w:t>
      </w:r>
    </w:p>
    <w:p w14:paraId="3BD0BDEE" w14:textId="77777777" w:rsidR="00DA67B3" w:rsidRPr="00DA67B3" w:rsidRDefault="00DA67B3" w:rsidP="00DA67B3">
      <w:pPr>
        <w:spacing w:after="0" w:line="276" w:lineRule="auto"/>
        <w:jc w:val="both"/>
        <w:rPr>
          <w:rFonts w:ascii="Verdana" w:eastAsia="Calibri" w:hAnsi="Verdana" w:cs="Arial"/>
          <w:color w:val="7030A0"/>
          <w:lang w:val="es-ES"/>
        </w:rPr>
      </w:pPr>
    </w:p>
    <w:p w14:paraId="52131A31" w14:textId="77777777" w:rsidR="00DA67B3" w:rsidRPr="00DA67B3" w:rsidRDefault="00DA67B3" w:rsidP="00DA67B3">
      <w:pPr>
        <w:spacing w:after="0" w:line="276" w:lineRule="auto"/>
        <w:jc w:val="both"/>
        <w:rPr>
          <w:rFonts w:ascii="Verdana" w:eastAsia="Calibri" w:hAnsi="Verdana" w:cs="Arial"/>
          <w:lang w:val="es-ES"/>
        </w:rPr>
      </w:pPr>
      <w:r w:rsidRPr="00DA67B3">
        <w:rPr>
          <w:rFonts w:ascii="Verdana" w:eastAsia="Calibri" w:hAnsi="Verdana" w:cs="Arial"/>
          <w:lang w:val="es-ES"/>
        </w:rPr>
        <w:t xml:space="preserve">Lo anterior se sustenta en las siguientes consideraciones: </w:t>
      </w:r>
    </w:p>
    <w:p w14:paraId="41E0B59F" w14:textId="77777777" w:rsidR="00DA67B3" w:rsidRPr="00DA67B3" w:rsidRDefault="00DA67B3" w:rsidP="00DA67B3">
      <w:pPr>
        <w:spacing w:after="0" w:line="276" w:lineRule="auto"/>
        <w:jc w:val="both"/>
        <w:rPr>
          <w:rFonts w:ascii="Verdana" w:eastAsia="Calibri" w:hAnsi="Verdana" w:cs="Arial"/>
          <w:lang w:val="es-ES"/>
        </w:rPr>
      </w:pPr>
    </w:p>
    <w:p w14:paraId="64A47D36" w14:textId="77777777" w:rsidR="00DA67B3" w:rsidRPr="00DA67B3" w:rsidRDefault="00DA67B3" w:rsidP="00DA67B3">
      <w:pPr>
        <w:numPr>
          <w:ilvl w:val="0"/>
          <w:numId w:val="17"/>
        </w:numPr>
        <w:tabs>
          <w:tab w:val="left" w:pos="0"/>
        </w:tabs>
        <w:spacing w:after="120" w:line="276" w:lineRule="auto"/>
        <w:contextualSpacing/>
        <w:jc w:val="both"/>
        <w:rPr>
          <w:rFonts w:ascii="Verdana" w:eastAsia="Calibri" w:hAnsi="Verdana" w:cs="Arial"/>
          <w:bCs/>
          <w:lang w:val="es-ES" w:eastAsia="es-ES_tradnl"/>
        </w:rPr>
      </w:pPr>
      <w:bookmarkStart w:id="1" w:name="_Hlk75296202"/>
      <w:r w:rsidRPr="00DA67B3">
        <w:rPr>
          <w:rFonts w:ascii="Verdana" w:eastAsia="Calibri" w:hAnsi="Verdana" w:cs="Arial"/>
          <w:bCs/>
          <w:lang w:val="es-ES" w:eastAsia="es-ES_tradnl"/>
        </w:rPr>
        <w:t>El numeral 1 del artículo 5 de la Ley 1150 de 2007 se refiere a algunos requisitos exigibles en la generalidad de procesos de selección adelantados conforme al EGCAP, tales como la capacidad jurídica, las condiciones de experiencia, la capacidad financiera y de organización, denominados requisitos habilitantes, los cuales –por expresa disposición legal– no otorgan puntaje, salvo que excepcionalmente se permita lo contrario. Esto comoquiera dichos requisitos no se refieren a la oferta misma sino a la idoneidad del oferente para asumir adecuadamente la ejecución del contrato</w:t>
      </w:r>
      <w:r w:rsidRPr="00DA67B3">
        <w:rPr>
          <w:rFonts w:ascii="Verdana" w:hAnsi="Verdana"/>
          <w:vertAlign w:val="superscript"/>
          <w:lang w:val="es-ES" w:eastAsia="es-ES_tradnl"/>
        </w:rPr>
        <w:footnoteReference w:id="2"/>
      </w:r>
      <w:r w:rsidRPr="00DA67B3">
        <w:rPr>
          <w:rFonts w:ascii="Verdana" w:eastAsia="Calibri" w:hAnsi="Verdana" w:cs="Arial"/>
          <w:bCs/>
          <w:lang w:val="es-ES" w:eastAsia="es-ES_tradnl"/>
        </w:rPr>
        <w:t xml:space="preserve">. Los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 En este sentido, los requisitos </w:t>
      </w:r>
      <w:r w:rsidRPr="00DA67B3">
        <w:rPr>
          <w:rFonts w:ascii="Verdana" w:eastAsia="Calibri" w:hAnsi="Verdana" w:cs="Arial"/>
          <w:bCs/>
          <w:i/>
          <w:iCs/>
          <w:lang w:val="es-ES" w:eastAsia="es-ES_tradnl"/>
        </w:rPr>
        <w:t xml:space="preserve">habilitantes </w:t>
      </w:r>
      <w:r w:rsidRPr="00DA67B3">
        <w:rPr>
          <w:rFonts w:ascii="Verdana" w:eastAsia="Calibri" w:hAnsi="Verdana" w:cs="Arial"/>
          <w:bCs/>
          <w:lang w:val="es-ES" w:eastAsia="es-ES_tradnl"/>
        </w:rPr>
        <w:t>son aquellos que deben cumplir en igualdad de condiciones los proponentes y cumplido el mínimo establecido en el pliego de condiciones o documento equivalente hacen que los proponentes se habiliten en el procedimiento de selección y sean susceptibles de ser seleccionados como futuros contratistas.</w:t>
      </w:r>
      <w:bookmarkEnd w:id="1"/>
    </w:p>
    <w:p w14:paraId="15646267" w14:textId="77777777" w:rsidR="00DA67B3" w:rsidRPr="00DA67B3" w:rsidRDefault="00DA67B3" w:rsidP="00DA67B3">
      <w:pPr>
        <w:tabs>
          <w:tab w:val="left" w:pos="0"/>
        </w:tabs>
        <w:spacing w:after="120" w:line="276" w:lineRule="auto"/>
        <w:ind w:left="720"/>
        <w:contextualSpacing/>
        <w:jc w:val="both"/>
        <w:rPr>
          <w:rFonts w:ascii="Verdana" w:eastAsia="Calibri" w:hAnsi="Verdana" w:cs="Arial"/>
          <w:bCs/>
          <w:lang w:val="es-ES" w:eastAsia="es-ES_tradnl"/>
        </w:rPr>
      </w:pPr>
    </w:p>
    <w:p w14:paraId="471FBE78" w14:textId="77777777" w:rsidR="00DA67B3" w:rsidRPr="00DA67B3" w:rsidRDefault="00DA67B3" w:rsidP="00DA67B3">
      <w:pPr>
        <w:numPr>
          <w:ilvl w:val="0"/>
          <w:numId w:val="17"/>
        </w:numPr>
        <w:spacing w:after="120" w:line="276" w:lineRule="auto"/>
        <w:contextualSpacing/>
        <w:jc w:val="both"/>
        <w:rPr>
          <w:rFonts w:ascii="Verdana" w:eastAsia="Arial" w:hAnsi="Verdana" w:cs="Arial"/>
          <w:lang w:val="es-ES"/>
        </w:rPr>
      </w:pPr>
      <w:r w:rsidRPr="00DA67B3">
        <w:rPr>
          <w:rFonts w:ascii="Verdana" w:eastAsia="Calibri" w:hAnsi="Verdana" w:cs="Arial"/>
          <w:color w:val="000000"/>
          <w:lang w:val="es-ES" w:eastAsia="es-MX"/>
        </w:rPr>
        <w:t xml:space="preserve">La experiencia, como requisito habilitante, se deriva de los contratos que el proponente ha celebrado y ejecutado con diferentes contratantes, sin </w:t>
      </w:r>
      <w:r w:rsidRPr="00DA67B3">
        <w:rPr>
          <w:rFonts w:ascii="Verdana" w:eastAsia="Calibri" w:hAnsi="Verdana" w:cs="Arial"/>
          <w:color w:val="000000"/>
          <w:lang w:val="es-ES" w:eastAsia="es-MX"/>
        </w:rPr>
        <w:lastRenderedPageBreak/>
        <w:t>importar la naturaleza de estos. Se verifica con el Registro Único de Proponentes –RUP–, cuando este certificado sea exigible de acuerdo con la ley. E</w:t>
      </w:r>
      <w:r w:rsidRPr="00DA67B3">
        <w:rPr>
          <w:rFonts w:ascii="Verdana" w:eastAsia="Arial" w:hAnsi="Verdana" w:cs="Arial"/>
          <w:lang w:val="es-ES"/>
        </w:rPr>
        <w:t xml:space="preserve">l artículo 6 de la Ley 1150 de 2007 señala que los requisitos habilitantes explicados anteriormente, como la experiencia, se acreditan con el RUP que: </w:t>
      </w:r>
    </w:p>
    <w:p w14:paraId="27DACC26" w14:textId="77777777" w:rsidR="00DA67B3" w:rsidRPr="00DA67B3" w:rsidRDefault="00DA67B3" w:rsidP="00DA67B3">
      <w:pPr>
        <w:spacing w:after="120" w:line="276" w:lineRule="auto"/>
        <w:ind w:left="720" w:right="709"/>
        <w:contextualSpacing/>
        <w:jc w:val="both"/>
        <w:rPr>
          <w:rFonts w:ascii="Verdana" w:eastAsia="Arial" w:hAnsi="Verdana" w:cs="Arial"/>
          <w:sz w:val="21"/>
          <w:szCs w:val="21"/>
          <w:lang w:val="es-ES"/>
        </w:rPr>
      </w:pPr>
    </w:p>
    <w:p w14:paraId="0FD69D62" w14:textId="77777777" w:rsidR="00DA67B3" w:rsidRPr="00DA67B3" w:rsidRDefault="00DA67B3" w:rsidP="00DA67B3">
      <w:pPr>
        <w:spacing w:after="120" w:line="276" w:lineRule="auto"/>
        <w:ind w:left="720" w:right="709"/>
        <w:contextualSpacing/>
        <w:jc w:val="both"/>
        <w:rPr>
          <w:rFonts w:ascii="Verdana" w:eastAsia="Arial" w:hAnsi="Verdana" w:cs="Arial"/>
          <w:sz w:val="21"/>
          <w:szCs w:val="21"/>
          <w:lang w:val="es-ES"/>
        </w:rPr>
      </w:pPr>
      <w:r w:rsidRPr="00DA67B3">
        <w:rPr>
          <w:rFonts w:ascii="Verdana" w:eastAsia="Arial" w:hAnsi="Verdana" w:cs="Arial"/>
          <w:sz w:val="21"/>
          <w:szCs w:val="21"/>
          <w:lang w:val="es-ES"/>
        </w:rPr>
        <w:t xml:space="preserve">“[...]será plena prueba de las circunstancias que en ella se hagan constar y que hayan sido </w:t>
      </w:r>
      <w:r w:rsidRPr="00DA67B3">
        <w:rPr>
          <w:rFonts w:ascii="Verdana" w:eastAsia="Arial" w:hAnsi="Verdana" w:cs="Arial"/>
          <w:i/>
          <w:iCs/>
          <w:sz w:val="21"/>
          <w:szCs w:val="21"/>
          <w:lang w:val="es-ES"/>
        </w:rPr>
        <w:t>verificadas por las Cámaras de Comercio</w:t>
      </w:r>
      <w:r w:rsidRPr="00DA67B3">
        <w:rPr>
          <w:rFonts w:ascii="Verdana" w:eastAsia="Arial" w:hAnsi="Verdana" w:cs="Arial"/>
          <w:sz w:val="21"/>
          <w:szCs w:val="21"/>
          <w:lang w:val="es-ES"/>
        </w:rPr>
        <w:t>. En tal sentido, la verificación de las condiciones establecidas en el numeral 1 del artículo 5 de la presente ley, se demostrará exclusivamente con el respectivo certificado del RUP en donde deberán constar dichas condiciones.</w:t>
      </w:r>
      <w:r w:rsidRPr="00DA67B3">
        <w:rPr>
          <w:rFonts w:ascii="Verdana" w:hAnsi="Verdana"/>
          <w:sz w:val="21"/>
          <w:szCs w:val="21"/>
          <w:lang w:val="es-ES"/>
        </w:rPr>
        <w:t xml:space="preserve"> </w:t>
      </w:r>
      <w:r w:rsidRPr="00DA67B3">
        <w:rPr>
          <w:rFonts w:ascii="Verdana" w:eastAsia="Arial" w:hAnsi="Verdana" w:cs="Arial"/>
          <w:sz w:val="21"/>
          <w:szCs w:val="21"/>
          <w:lang w:val="es-ES"/>
        </w:rPr>
        <w:t xml:space="preserve">En consecuencia, las entidades estatales en los procesos de contratación no podrán exigir, ni los proponentes aportar documentación que deba utilizarse para efectuar la inscripción en el registro. </w:t>
      </w:r>
      <w:r w:rsidRPr="00DA67B3">
        <w:rPr>
          <w:rFonts w:ascii="Verdana" w:eastAsia="Arial" w:hAnsi="Verdana" w:cs="Arial"/>
          <w:i/>
          <w:iCs/>
          <w:sz w:val="21"/>
          <w:szCs w:val="21"/>
          <w:lang w:val="es-ES"/>
        </w:rPr>
        <w:t>No obstante, lo anterior, sólo en aquellos casos en que por las características del objeto a contratar se requiera la verificación de requisitos del proponente adicionales a los contenidos en el Registro, la entidad podrá hacer tal verificación en forma directa</w:t>
      </w:r>
      <w:r w:rsidRPr="00DA67B3">
        <w:rPr>
          <w:rFonts w:ascii="Verdana" w:eastAsia="Arial" w:hAnsi="Verdana" w:cs="Arial"/>
          <w:sz w:val="21"/>
          <w:szCs w:val="21"/>
          <w:lang w:val="es-ES"/>
        </w:rPr>
        <w:t>”. (Cursiva fuera de texto)</w:t>
      </w:r>
    </w:p>
    <w:p w14:paraId="37606855" w14:textId="77777777" w:rsidR="00DA67B3" w:rsidRPr="00DA67B3" w:rsidRDefault="00DA67B3" w:rsidP="00DA67B3">
      <w:pPr>
        <w:spacing w:after="120" w:line="276" w:lineRule="auto"/>
        <w:ind w:left="720" w:right="709"/>
        <w:contextualSpacing/>
        <w:jc w:val="both"/>
        <w:rPr>
          <w:rFonts w:ascii="Verdana" w:eastAsia="Arial" w:hAnsi="Verdana" w:cs="Arial"/>
          <w:sz w:val="21"/>
          <w:szCs w:val="21"/>
          <w:lang w:val="es-ES"/>
        </w:rPr>
      </w:pPr>
    </w:p>
    <w:p w14:paraId="088F5368" w14:textId="77777777" w:rsidR="00DA67B3" w:rsidRPr="00DA67B3" w:rsidRDefault="00DA67B3" w:rsidP="00DA67B3">
      <w:pPr>
        <w:numPr>
          <w:ilvl w:val="0"/>
          <w:numId w:val="17"/>
        </w:numPr>
        <w:spacing w:after="120" w:line="276" w:lineRule="auto"/>
        <w:contextualSpacing/>
        <w:jc w:val="both"/>
        <w:rPr>
          <w:rFonts w:ascii="Verdana" w:eastAsia="Arial" w:hAnsi="Verdana" w:cs="Arial"/>
          <w:lang w:val="es-ES"/>
        </w:rPr>
      </w:pPr>
      <w:r w:rsidRPr="00DA67B3">
        <w:rPr>
          <w:rFonts w:ascii="Verdana" w:eastAsia="Arial" w:hAnsi="Verdana" w:cs="Arial"/>
          <w:lang w:val="es-ES"/>
        </w:rPr>
        <w:t xml:space="preserve">En ese sentido, de acuerdo con la norma previamente citada se aclara que las Cámaras de Comercio realizan la verificación de la documentación que aporta el proponente para su inscripción en el RUP.  </w:t>
      </w:r>
    </w:p>
    <w:p w14:paraId="7D7F7E0A" w14:textId="77777777" w:rsidR="00DA67B3" w:rsidRPr="00DA67B3" w:rsidRDefault="00DA67B3" w:rsidP="00DA67B3">
      <w:pPr>
        <w:spacing w:after="120" w:line="276" w:lineRule="auto"/>
        <w:ind w:left="720"/>
        <w:contextualSpacing/>
        <w:jc w:val="both"/>
        <w:rPr>
          <w:rFonts w:ascii="Verdana" w:eastAsia="Arial" w:hAnsi="Verdana" w:cs="Arial"/>
          <w:lang w:val="es-ES"/>
        </w:rPr>
      </w:pPr>
    </w:p>
    <w:p w14:paraId="1F134DDB" w14:textId="77777777" w:rsidR="00DA67B3" w:rsidRPr="00DA67B3" w:rsidRDefault="00DA67B3" w:rsidP="00DA67B3">
      <w:pPr>
        <w:numPr>
          <w:ilvl w:val="0"/>
          <w:numId w:val="17"/>
        </w:numPr>
        <w:spacing w:line="276" w:lineRule="auto"/>
        <w:contextualSpacing/>
        <w:jc w:val="both"/>
        <w:rPr>
          <w:rFonts w:ascii="Verdana" w:hAnsi="Verdana" w:cs="Arial"/>
          <w:color w:val="000000" w:themeColor="text1"/>
          <w:lang w:val="es-ES"/>
        </w:rPr>
      </w:pPr>
      <w:r w:rsidRPr="00DA67B3">
        <w:rPr>
          <w:rFonts w:ascii="Verdana" w:eastAsia="Arial" w:hAnsi="Verdana" w:cs="Arial"/>
          <w:lang w:val="es-ES"/>
        </w:rPr>
        <w:t xml:space="preserve">Adicionalmente, </w:t>
      </w:r>
      <w:bookmarkStart w:id="2" w:name="_Hlk101793140"/>
      <w:r w:rsidRPr="00DA67B3">
        <w:rPr>
          <w:rFonts w:ascii="Verdana" w:hAnsi="Verdana" w:cs="Arial"/>
          <w:color w:val="000000" w:themeColor="text1"/>
          <w:lang w:val="es-ES"/>
        </w:rPr>
        <w:t xml:space="preserve">el RUP como instrumento en el que consta la información relacionada con las personas naturales y jurídicas, con el fin de que puedan participar en los procedimientos de contratación realizados por las entidades estatales, tiene por objeto contemplar en un único documento lo relativo a la capacidad jurídica, técnica, financiera y organizacional de los posibles proponentes. </w:t>
      </w:r>
      <w:bookmarkEnd w:id="2"/>
      <w:r w:rsidRPr="00DA67B3">
        <w:rPr>
          <w:rFonts w:ascii="Verdana" w:hAnsi="Verdana" w:cs="Arial"/>
          <w:color w:val="000000" w:themeColor="text1"/>
          <w:lang w:val="es-ES"/>
        </w:rPr>
        <w:t>El Consejo de Estado definió la naturaleza y finalidad del RUP de la siguiente forma:</w:t>
      </w:r>
    </w:p>
    <w:p w14:paraId="429E86BA" w14:textId="77777777" w:rsidR="00DA67B3" w:rsidRPr="00DA67B3" w:rsidRDefault="00DA67B3" w:rsidP="00DA67B3">
      <w:pPr>
        <w:spacing w:after="120" w:line="276" w:lineRule="auto"/>
        <w:contextualSpacing/>
        <w:rPr>
          <w:rFonts w:ascii="Verdana" w:hAnsi="Verdana"/>
        </w:rPr>
      </w:pPr>
    </w:p>
    <w:p w14:paraId="56A361F0" w14:textId="77777777" w:rsidR="00DA67B3" w:rsidRPr="00DA67B3" w:rsidRDefault="00DA67B3" w:rsidP="00DA67B3">
      <w:pPr>
        <w:tabs>
          <w:tab w:val="left" w:pos="8505"/>
        </w:tabs>
        <w:ind w:left="709" w:right="709"/>
        <w:contextualSpacing/>
        <w:jc w:val="both"/>
        <w:rPr>
          <w:rFonts w:ascii="Verdana" w:hAnsi="Verdana" w:cs="Arial"/>
          <w:color w:val="000000" w:themeColor="text1"/>
          <w:sz w:val="21"/>
          <w:szCs w:val="21"/>
        </w:rPr>
      </w:pPr>
      <w:r w:rsidRPr="00DA67B3">
        <w:rPr>
          <w:rFonts w:ascii="Verdana" w:eastAsia="Calibri" w:hAnsi="Verdana" w:cs="Arial"/>
          <w:sz w:val="21"/>
          <w:szCs w:val="21"/>
        </w:rPr>
        <w:t>“</w:t>
      </w:r>
      <w:r w:rsidRPr="00DA67B3">
        <w:rPr>
          <w:rFonts w:ascii="Verdana" w:hAnsi="Verdana" w:cs="Arial"/>
          <w:color w:val="000000" w:themeColor="text1"/>
          <w:sz w:val="21"/>
          <w:szCs w:val="21"/>
        </w:rPr>
        <w:t xml:space="preserve">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contratista inscrito, en lo relacionado con su experiencia, capacidad jurídica, capacidad técnica, capacidad de organización y capacidad financiera. En los términos del artículo 22 de la Ley 80 de 1993, todas las personas naturales o jurídicas que aspiren </w:t>
      </w:r>
      <w:r w:rsidRPr="00DA67B3">
        <w:rPr>
          <w:rFonts w:ascii="Verdana" w:hAnsi="Verdana" w:cs="Arial"/>
          <w:color w:val="000000" w:themeColor="text1"/>
          <w:sz w:val="21"/>
          <w:szCs w:val="21"/>
        </w:rPr>
        <w:lastRenderedPageBreak/>
        <w:t xml:space="preserve">a celebrar dichos contratos con las entidades </w:t>
      </w:r>
      <w:proofErr w:type="gramStart"/>
      <w:r w:rsidRPr="00DA67B3">
        <w:rPr>
          <w:rFonts w:ascii="Verdana" w:hAnsi="Verdana" w:cs="Arial"/>
          <w:color w:val="000000" w:themeColor="text1"/>
          <w:sz w:val="21"/>
          <w:szCs w:val="21"/>
        </w:rPr>
        <w:t>estatales,</w:t>
      </w:r>
      <w:proofErr w:type="gramEnd"/>
      <w:r w:rsidRPr="00DA67B3">
        <w:rPr>
          <w:rFonts w:ascii="Verdana" w:hAnsi="Verdana" w:cs="Arial"/>
          <w:color w:val="000000" w:themeColor="text1"/>
          <w:sz w:val="21"/>
          <w:szCs w:val="21"/>
        </w:rPr>
        <w:t xml:space="preserve"> deberán inscribirse en el Registro de Proponentes de la Cámara de Comercio de su jurisdicción y deberán estar clasificadas y calificadas según lo dispuesto en esta norma”</w:t>
      </w:r>
      <w:r w:rsidRPr="00DA67B3">
        <w:rPr>
          <w:rFonts w:ascii="Verdana" w:hAnsi="Verdana" w:cs="Arial"/>
          <w:color w:val="000000" w:themeColor="text1"/>
          <w:sz w:val="21"/>
          <w:szCs w:val="21"/>
          <w:vertAlign w:val="superscript"/>
        </w:rPr>
        <w:footnoteReference w:id="3"/>
      </w:r>
      <w:r w:rsidRPr="00DA67B3">
        <w:rPr>
          <w:rFonts w:ascii="Verdana" w:hAnsi="Verdana" w:cs="Arial"/>
          <w:color w:val="000000" w:themeColor="text1"/>
          <w:sz w:val="21"/>
          <w:szCs w:val="21"/>
        </w:rPr>
        <w:t>.</w:t>
      </w:r>
    </w:p>
    <w:p w14:paraId="54F12242" w14:textId="77777777" w:rsidR="00DA67B3" w:rsidRPr="00DA67B3" w:rsidRDefault="00DA67B3" w:rsidP="00DA67B3">
      <w:pPr>
        <w:spacing w:after="120" w:line="276" w:lineRule="auto"/>
        <w:jc w:val="both"/>
        <w:rPr>
          <w:rFonts w:ascii="Verdana" w:hAnsi="Verdana" w:cs="Arial"/>
          <w:color w:val="000000" w:themeColor="text1"/>
        </w:rPr>
      </w:pPr>
      <w:bookmarkStart w:id="3" w:name="_Hlk101793164"/>
    </w:p>
    <w:p w14:paraId="41BC114C" w14:textId="77777777" w:rsidR="00DA67B3" w:rsidRPr="00DA67B3" w:rsidRDefault="00DA67B3" w:rsidP="00DA67B3">
      <w:pPr>
        <w:numPr>
          <w:ilvl w:val="0"/>
          <w:numId w:val="18"/>
        </w:numPr>
        <w:spacing w:after="120" w:line="276" w:lineRule="auto"/>
        <w:contextualSpacing/>
        <w:jc w:val="both"/>
        <w:rPr>
          <w:rFonts w:ascii="Verdana" w:hAnsi="Verdana" w:cs="Arial"/>
          <w:color w:val="000000" w:themeColor="text1"/>
          <w:lang w:val="es-ES"/>
        </w:rPr>
      </w:pPr>
      <w:r w:rsidRPr="00DA67B3">
        <w:rPr>
          <w:rFonts w:ascii="Verdana" w:hAnsi="Verdana" w:cs="Arial"/>
          <w:color w:val="000000" w:themeColor="text1"/>
          <w:lang w:val="es-ES"/>
        </w:rPr>
        <w:t>Por su parte, el artículo 5.1 de la Ley 1150 de 2007, al fijar los criterios que deben tener en cuenta las entidades estatales para garantizar la selección objetiva, dispone que las Cámaras de Comercio verificarán la información suministrada por las personas naturales o jurídicas para la inscripción en el Registro. Esta información debe tenerse en cuenta por las entidades en los procedimientos de contratación en los que es exigible el RUP</w:t>
      </w:r>
      <w:bookmarkEnd w:id="3"/>
      <w:r w:rsidRPr="00DA67B3">
        <w:rPr>
          <w:rFonts w:ascii="Verdana" w:hAnsi="Verdana" w:cs="Arial"/>
          <w:color w:val="000000" w:themeColor="text1"/>
          <w:vertAlign w:val="superscript"/>
          <w:lang w:val="es-ES"/>
        </w:rPr>
        <w:footnoteReference w:id="4"/>
      </w:r>
      <w:r w:rsidRPr="00DA67B3">
        <w:rPr>
          <w:rFonts w:ascii="Verdana" w:hAnsi="Verdana" w:cs="Arial"/>
          <w:color w:val="000000" w:themeColor="text1"/>
          <w:lang w:val="es-ES"/>
        </w:rPr>
        <w:t>. De esta forma, la capacidad jurídica y las condiciones de experiencia, capacidad financiera y de organización de los proponentes deberán ser verificadas exclusivamente a través del RUP, pues de acuerdo con lo expuesto, este documento es plena prueba de la información financiera, de experiencia y de capacidad acreditada por la persona natural o jurídica</w:t>
      </w:r>
      <w:r w:rsidRPr="00DA67B3">
        <w:rPr>
          <w:rFonts w:ascii="Verdana" w:hAnsi="Verdana" w:cs="Arial"/>
          <w:color w:val="000000" w:themeColor="text1"/>
          <w:vertAlign w:val="superscript"/>
          <w:lang w:val="es-ES"/>
        </w:rPr>
        <w:footnoteReference w:id="5"/>
      </w:r>
      <w:r w:rsidRPr="00DA67B3">
        <w:rPr>
          <w:rFonts w:ascii="Verdana" w:hAnsi="Verdana" w:cs="Arial"/>
          <w:color w:val="000000" w:themeColor="text1"/>
          <w:lang w:val="es-ES"/>
        </w:rPr>
        <w:t xml:space="preserve">. </w:t>
      </w:r>
    </w:p>
    <w:p w14:paraId="66F069D9" w14:textId="77777777" w:rsidR="00DA67B3" w:rsidRPr="00DA67B3" w:rsidRDefault="00DA67B3" w:rsidP="00DA67B3">
      <w:pPr>
        <w:spacing w:after="120" w:line="276" w:lineRule="auto"/>
        <w:ind w:left="720" w:right="49"/>
        <w:jc w:val="both"/>
        <w:rPr>
          <w:rFonts w:ascii="Verdana" w:hAnsi="Verdana"/>
        </w:rPr>
      </w:pPr>
      <w:bookmarkStart w:id="4" w:name="_Hlk99548308"/>
      <w:bookmarkStart w:id="5" w:name="_Hlk101793225"/>
    </w:p>
    <w:p w14:paraId="3019907C" w14:textId="77777777" w:rsidR="00DA67B3" w:rsidRPr="00DA67B3" w:rsidRDefault="00DA67B3" w:rsidP="00DA67B3">
      <w:pPr>
        <w:numPr>
          <w:ilvl w:val="0"/>
          <w:numId w:val="18"/>
        </w:numPr>
        <w:spacing w:after="120" w:line="276" w:lineRule="auto"/>
        <w:ind w:right="49"/>
        <w:jc w:val="both"/>
        <w:rPr>
          <w:rFonts w:ascii="Verdana" w:hAnsi="Verdana"/>
        </w:rPr>
      </w:pPr>
      <w:r w:rsidRPr="00DA67B3">
        <w:rPr>
          <w:rFonts w:ascii="Verdana" w:hAnsi="Verdana"/>
        </w:rPr>
        <w:t>No obstante, el RUP no es exigible en todos los procesos de selección. El segundo</w:t>
      </w:r>
      <w:r w:rsidRPr="00DA67B3">
        <w:rPr>
          <w:rFonts w:ascii="Verdana" w:hAnsi="Verdana"/>
          <w:spacing w:val="1"/>
        </w:rPr>
        <w:t xml:space="preserve"> </w:t>
      </w:r>
      <w:r w:rsidRPr="00DA67B3">
        <w:rPr>
          <w:rFonts w:ascii="Verdana" w:hAnsi="Verdana"/>
        </w:rPr>
        <w:t>inciso del artículo 6 de la Ley 1150 de 2007 señala los casos en los que no se requerirá el</w:t>
      </w:r>
      <w:r w:rsidRPr="00DA67B3">
        <w:rPr>
          <w:rFonts w:ascii="Verdana" w:hAnsi="Verdana"/>
          <w:spacing w:val="1"/>
        </w:rPr>
        <w:t xml:space="preserve"> </w:t>
      </w:r>
      <w:r w:rsidRPr="00DA67B3">
        <w:rPr>
          <w:rFonts w:ascii="Verdana" w:hAnsi="Verdana"/>
        </w:rPr>
        <w:t>RUP:</w:t>
      </w:r>
      <w:r w:rsidRPr="00DA67B3">
        <w:rPr>
          <w:rFonts w:ascii="Verdana" w:hAnsi="Verdana"/>
          <w:spacing w:val="1"/>
        </w:rPr>
        <w:t xml:space="preserve"> </w:t>
      </w:r>
      <w:r w:rsidRPr="00DA67B3">
        <w:rPr>
          <w:rFonts w:ascii="Verdana" w:hAnsi="Verdana"/>
        </w:rPr>
        <w:t>“[…]</w:t>
      </w:r>
      <w:r w:rsidRPr="00DA67B3">
        <w:rPr>
          <w:rFonts w:ascii="Verdana" w:hAnsi="Verdana"/>
          <w:spacing w:val="1"/>
        </w:rPr>
        <w:t xml:space="preserve"> </w:t>
      </w:r>
      <w:r w:rsidRPr="00DA67B3">
        <w:rPr>
          <w:rFonts w:ascii="Verdana" w:hAnsi="Verdana"/>
        </w:rPr>
        <w:t>casos</w:t>
      </w:r>
      <w:r w:rsidRPr="00DA67B3">
        <w:rPr>
          <w:rFonts w:ascii="Verdana" w:hAnsi="Verdana"/>
          <w:spacing w:val="1"/>
        </w:rPr>
        <w:t xml:space="preserve"> </w:t>
      </w:r>
      <w:r w:rsidRPr="00DA67B3">
        <w:rPr>
          <w:rFonts w:ascii="Verdana" w:hAnsi="Verdana"/>
        </w:rPr>
        <w:t>de</w:t>
      </w:r>
      <w:r w:rsidRPr="00DA67B3">
        <w:rPr>
          <w:rFonts w:ascii="Verdana" w:hAnsi="Verdana"/>
          <w:spacing w:val="1"/>
        </w:rPr>
        <w:t xml:space="preserve"> </w:t>
      </w:r>
      <w:r w:rsidRPr="00DA67B3">
        <w:rPr>
          <w:rFonts w:ascii="Verdana" w:hAnsi="Verdana"/>
        </w:rPr>
        <w:t>contratación</w:t>
      </w:r>
      <w:r w:rsidRPr="00DA67B3">
        <w:rPr>
          <w:rFonts w:ascii="Verdana" w:hAnsi="Verdana"/>
          <w:spacing w:val="1"/>
        </w:rPr>
        <w:t xml:space="preserve"> </w:t>
      </w:r>
      <w:r w:rsidRPr="00DA67B3">
        <w:rPr>
          <w:rFonts w:ascii="Verdana" w:hAnsi="Verdana"/>
        </w:rPr>
        <w:t>directa;</w:t>
      </w:r>
      <w:r w:rsidRPr="00DA67B3">
        <w:rPr>
          <w:rFonts w:ascii="Verdana" w:hAnsi="Verdana"/>
          <w:spacing w:val="1"/>
        </w:rPr>
        <w:t xml:space="preserve"> </w:t>
      </w:r>
      <w:r w:rsidRPr="00DA67B3">
        <w:rPr>
          <w:rFonts w:ascii="Verdana" w:hAnsi="Verdana"/>
        </w:rPr>
        <w:t>contratos</w:t>
      </w:r>
      <w:r w:rsidRPr="00DA67B3">
        <w:rPr>
          <w:rFonts w:ascii="Verdana" w:hAnsi="Verdana"/>
          <w:spacing w:val="1"/>
        </w:rPr>
        <w:t xml:space="preserve"> </w:t>
      </w:r>
      <w:r w:rsidRPr="00DA67B3">
        <w:rPr>
          <w:rFonts w:ascii="Verdana" w:hAnsi="Verdana"/>
        </w:rPr>
        <w:t>para</w:t>
      </w:r>
      <w:r w:rsidRPr="00DA67B3">
        <w:rPr>
          <w:rFonts w:ascii="Verdana" w:hAnsi="Verdana"/>
          <w:spacing w:val="1"/>
        </w:rPr>
        <w:t xml:space="preserve"> </w:t>
      </w:r>
      <w:r w:rsidRPr="00DA67B3">
        <w:rPr>
          <w:rFonts w:ascii="Verdana" w:hAnsi="Verdana"/>
        </w:rPr>
        <w:t>la</w:t>
      </w:r>
      <w:r w:rsidRPr="00DA67B3">
        <w:rPr>
          <w:rFonts w:ascii="Verdana" w:hAnsi="Verdana"/>
          <w:spacing w:val="1"/>
        </w:rPr>
        <w:t xml:space="preserve"> </w:t>
      </w:r>
      <w:r w:rsidRPr="00DA67B3">
        <w:rPr>
          <w:rFonts w:ascii="Verdana" w:hAnsi="Verdana"/>
        </w:rPr>
        <w:t xml:space="preserve">prestación de servicios de salud; </w:t>
      </w:r>
      <w:r w:rsidRPr="00DA67B3">
        <w:rPr>
          <w:rFonts w:ascii="Verdana" w:hAnsi="Verdana"/>
          <w:iCs/>
        </w:rPr>
        <w:t>contratos de mínima cuantía</w:t>
      </w:r>
      <w:r w:rsidRPr="00DA67B3">
        <w:rPr>
          <w:rFonts w:ascii="Verdana" w:hAnsi="Verdana"/>
          <w:i/>
          <w:u w:val="single"/>
        </w:rPr>
        <w:t>;</w:t>
      </w:r>
      <w:r w:rsidRPr="00DA67B3">
        <w:rPr>
          <w:rFonts w:ascii="Verdana" w:hAnsi="Verdana"/>
          <w:i/>
        </w:rPr>
        <w:t xml:space="preserve"> </w:t>
      </w:r>
      <w:r w:rsidRPr="00DA67B3">
        <w:rPr>
          <w:rFonts w:ascii="Verdana" w:hAnsi="Verdana"/>
        </w:rPr>
        <w:t>enajenación de bienes del</w:t>
      </w:r>
      <w:r w:rsidRPr="00DA67B3">
        <w:rPr>
          <w:rFonts w:ascii="Verdana" w:hAnsi="Verdana"/>
          <w:spacing w:val="1"/>
        </w:rPr>
        <w:t xml:space="preserve"> </w:t>
      </w:r>
      <w:r w:rsidRPr="00DA67B3">
        <w:rPr>
          <w:rFonts w:ascii="Verdana" w:hAnsi="Verdana"/>
        </w:rPr>
        <w:t>Estado; contratos que tengan por objeto la adquisición de productos de origen o destinación</w:t>
      </w:r>
      <w:r w:rsidRPr="00DA67B3">
        <w:rPr>
          <w:rFonts w:ascii="Verdana" w:hAnsi="Verdana"/>
          <w:spacing w:val="1"/>
        </w:rPr>
        <w:t xml:space="preserve"> </w:t>
      </w:r>
      <w:r w:rsidRPr="00DA67B3">
        <w:rPr>
          <w:rFonts w:ascii="Verdana" w:hAnsi="Verdana"/>
        </w:rPr>
        <w:t>agropecuaria que se ofrezcan en bolsas de productos legalmente constituidas; los actos y</w:t>
      </w:r>
      <w:r w:rsidRPr="00DA67B3">
        <w:rPr>
          <w:rFonts w:ascii="Verdana" w:hAnsi="Verdana"/>
          <w:spacing w:val="1"/>
        </w:rPr>
        <w:t xml:space="preserve"> </w:t>
      </w:r>
      <w:r w:rsidRPr="00DA67B3">
        <w:rPr>
          <w:rFonts w:ascii="Verdana" w:hAnsi="Verdana"/>
        </w:rPr>
        <w:t>contratos que tengan por objeto directo las actividades comerciales e industriales propias de</w:t>
      </w:r>
      <w:r w:rsidRPr="00DA67B3">
        <w:rPr>
          <w:rFonts w:ascii="Verdana" w:hAnsi="Verdana"/>
          <w:spacing w:val="-59"/>
        </w:rPr>
        <w:t xml:space="preserve"> </w:t>
      </w:r>
      <w:r w:rsidRPr="00DA67B3">
        <w:rPr>
          <w:rFonts w:ascii="Verdana" w:hAnsi="Verdana"/>
        </w:rPr>
        <w:t>las</w:t>
      </w:r>
      <w:r w:rsidRPr="00DA67B3">
        <w:rPr>
          <w:rFonts w:ascii="Verdana" w:hAnsi="Verdana"/>
          <w:spacing w:val="-6"/>
        </w:rPr>
        <w:t xml:space="preserve"> </w:t>
      </w:r>
      <w:r w:rsidRPr="00DA67B3">
        <w:rPr>
          <w:rFonts w:ascii="Verdana" w:hAnsi="Verdana"/>
        </w:rPr>
        <w:t>empresas</w:t>
      </w:r>
      <w:r w:rsidRPr="00DA67B3">
        <w:rPr>
          <w:rFonts w:ascii="Verdana" w:hAnsi="Verdana"/>
          <w:spacing w:val="-6"/>
        </w:rPr>
        <w:t xml:space="preserve"> </w:t>
      </w:r>
      <w:r w:rsidRPr="00DA67B3">
        <w:rPr>
          <w:rFonts w:ascii="Verdana" w:hAnsi="Verdana"/>
        </w:rPr>
        <w:t>industriales</w:t>
      </w:r>
      <w:r w:rsidRPr="00DA67B3">
        <w:rPr>
          <w:rFonts w:ascii="Verdana" w:hAnsi="Verdana"/>
          <w:spacing w:val="-6"/>
        </w:rPr>
        <w:t xml:space="preserve"> </w:t>
      </w:r>
      <w:r w:rsidRPr="00DA67B3">
        <w:rPr>
          <w:rFonts w:ascii="Verdana" w:hAnsi="Verdana"/>
        </w:rPr>
        <w:t>y</w:t>
      </w:r>
      <w:r w:rsidRPr="00DA67B3">
        <w:rPr>
          <w:rFonts w:ascii="Verdana" w:hAnsi="Verdana"/>
          <w:spacing w:val="-5"/>
        </w:rPr>
        <w:t xml:space="preserve"> </w:t>
      </w:r>
      <w:r w:rsidRPr="00DA67B3">
        <w:rPr>
          <w:rFonts w:ascii="Verdana" w:hAnsi="Verdana"/>
        </w:rPr>
        <w:t>comerciales</w:t>
      </w:r>
      <w:r w:rsidRPr="00DA67B3">
        <w:rPr>
          <w:rFonts w:ascii="Verdana" w:hAnsi="Verdana"/>
          <w:spacing w:val="-6"/>
        </w:rPr>
        <w:t xml:space="preserve"> </w:t>
      </w:r>
      <w:r w:rsidRPr="00DA67B3">
        <w:rPr>
          <w:rFonts w:ascii="Verdana" w:hAnsi="Verdana"/>
        </w:rPr>
        <w:t>del</w:t>
      </w:r>
      <w:r w:rsidRPr="00DA67B3">
        <w:rPr>
          <w:rFonts w:ascii="Verdana" w:hAnsi="Verdana"/>
          <w:spacing w:val="-6"/>
        </w:rPr>
        <w:t xml:space="preserve"> </w:t>
      </w:r>
      <w:r w:rsidRPr="00DA67B3">
        <w:rPr>
          <w:rFonts w:ascii="Verdana" w:hAnsi="Verdana"/>
        </w:rPr>
        <w:t>Estado</w:t>
      </w:r>
      <w:r w:rsidRPr="00DA67B3">
        <w:rPr>
          <w:rFonts w:ascii="Verdana" w:hAnsi="Verdana"/>
          <w:spacing w:val="-4"/>
        </w:rPr>
        <w:t xml:space="preserve"> </w:t>
      </w:r>
      <w:r w:rsidRPr="00DA67B3">
        <w:rPr>
          <w:rFonts w:ascii="Verdana" w:hAnsi="Verdana"/>
        </w:rPr>
        <w:t>y</w:t>
      </w:r>
      <w:r w:rsidRPr="00DA67B3">
        <w:rPr>
          <w:rFonts w:ascii="Verdana" w:hAnsi="Verdana"/>
          <w:spacing w:val="-6"/>
        </w:rPr>
        <w:t xml:space="preserve"> </w:t>
      </w:r>
      <w:r w:rsidRPr="00DA67B3">
        <w:rPr>
          <w:rFonts w:ascii="Verdana" w:hAnsi="Verdana"/>
        </w:rPr>
        <w:t>las</w:t>
      </w:r>
      <w:r w:rsidRPr="00DA67B3">
        <w:rPr>
          <w:rFonts w:ascii="Verdana" w:hAnsi="Verdana"/>
          <w:spacing w:val="-6"/>
        </w:rPr>
        <w:t xml:space="preserve"> </w:t>
      </w:r>
      <w:r w:rsidRPr="00DA67B3">
        <w:rPr>
          <w:rFonts w:ascii="Verdana" w:hAnsi="Verdana"/>
        </w:rPr>
        <w:t>sociedades</w:t>
      </w:r>
      <w:r w:rsidRPr="00DA67B3">
        <w:rPr>
          <w:rFonts w:ascii="Verdana" w:hAnsi="Verdana"/>
          <w:spacing w:val="-6"/>
        </w:rPr>
        <w:t xml:space="preserve"> </w:t>
      </w:r>
      <w:r w:rsidRPr="00DA67B3">
        <w:rPr>
          <w:rFonts w:ascii="Verdana" w:hAnsi="Verdana"/>
        </w:rPr>
        <w:t>de</w:t>
      </w:r>
      <w:r w:rsidRPr="00DA67B3">
        <w:rPr>
          <w:rFonts w:ascii="Verdana" w:hAnsi="Verdana"/>
          <w:spacing w:val="-5"/>
        </w:rPr>
        <w:t xml:space="preserve"> </w:t>
      </w:r>
      <w:r w:rsidRPr="00DA67B3">
        <w:rPr>
          <w:rFonts w:ascii="Verdana" w:hAnsi="Verdana"/>
        </w:rPr>
        <w:t>economía</w:t>
      </w:r>
      <w:r w:rsidRPr="00DA67B3">
        <w:rPr>
          <w:rFonts w:ascii="Verdana" w:hAnsi="Verdana"/>
          <w:spacing w:val="-6"/>
        </w:rPr>
        <w:t xml:space="preserve"> </w:t>
      </w:r>
      <w:r w:rsidRPr="00DA67B3">
        <w:rPr>
          <w:rFonts w:ascii="Verdana" w:hAnsi="Verdana"/>
        </w:rPr>
        <w:t>mixta</w:t>
      </w:r>
      <w:r w:rsidRPr="00DA67B3">
        <w:rPr>
          <w:rFonts w:ascii="Verdana" w:hAnsi="Verdana"/>
          <w:spacing w:val="-6"/>
        </w:rPr>
        <w:t xml:space="preserve"> </w:t>
      </w:r>
      <w:r w:rsidRPr="00DA67B3">
        <w:rPr>
          <w:rFonts w:ascii="Verdana" w:hAnsi="Verdana"/>
        </w:rPr>
        <w:t>y</w:t>
      </w:r>
      <w:r w:rsidRPr="00DA67B3">
        <w:rPr>
          <w:rFonts w:ascii="Verdana" w:hAnsi="Verdana"/>
          <w:spacing w:val="-5"/>
        </w:rPr>
        <w:t xml:space="preserve"> </w:t>
      </w:r>
      <w:r w:rsidRPr="00DA67B3">
        <w:rPr>
          <w:rFonts w:ascii="Verdana" w:hAnsi="Verdana"/>
          <w:iCs/>
        </w:rPr>
        <w:t xml:space="preserve">los </w:t>
      </w:r>
      <w:r w:rsidRPr="00DA67B3">
        <w:rPr>
          <w:rFonts w:ascii="Verdana" w:hAnsi="Verdana"/>
          <w:iCs/>
          <w:spacing w:val="-1"/>
        </w:rPr>
        <w:t>contratos de concesión de cualquier</w:t>
      </w:r>
      <w:r w:rsidRPr="00DA67B3">
        <w:rPr>
          <w:rFonts w:ascii="Verdana" w:hAnsi="Verdana"/>
          <w:iCs/>
          <w:spacing w:val="-19"/>
        </w:rPr>
        <w:t xml:space="preserve"> </w:t>
      </w:r>
      <w:r w:rsidRPr="00DA67B3">
        <w:rPr>
          <w:rFonts w:ascii="Verdana" w:hAnsi="Verdana"/>
          <w:iCs/>
        </w:rPr>
        <w:t>índole</w:t>
      </w:r>
      <w:r w:rsidRPr="00DA67B3">
        <w:rPr>
          <w:rFonts w:ascii="Verdana" w:hAnsi="Verdana"/>
        </w:rPr>
        <w:t>”</w:t>
      </w:r>
      <w:r w:rsidRPr="00DA67B3">
        <w:rPr>
          <w:rFonts w:ascii="Verdana" w:hAnsi="Verdana"/>
          <w:spacing w:val="-1"/>
        </w:rPr>
        <w:t>.</w:t>
      </w:r>
    </w:p>
    <w:p w14:paraId="5FC8B90A" w14:textId="77777777" w:rsidR="00DA67B3" w:rsidRPr="00DA67B3" w:rsidRDefault="00DA67B3" w:rsidP="00DA67B3">
      <w:pPr>
        <w:spacing w:after="120" w:line="276" w:lineRule="auto"/>
        <w:ind w:left="720" w:right="49"/>
        <w:jc w:val="both"/>
        <w:rPr>
          <w:rFonts w:ascii="Verdana" w:hAnsi="Verdana"/>
        </w:rPr>
      </w:pPr>
    </w:p>
    <w:p w14:paraId="326FA63A" w14:textId="77777777" w:rsidR="00DA67B3" w:rsidRPr="00DA67B3" w:rsidRDefault="00DA67B3" w:rsidP="00DA67B3">
      <w:pPr>
        <w:numPr>
          <w:ilvl w:val="0"/>
          <w:numId w:val="18"/>
        </w:numPr>
        <w:spacing w:after="120" w:line="276" w:lineRule="auto"/>
        <w:ind w:right="49"/>
        <w:jc w:val="both"/>
        <w:rPr>
          <w:rFonts w:ascii="Verdana" w:hAnsi="Verdana"/>
        </w:rPr>
      </w:pPr>
      <w:r w:rsidRPr="00DA67B3">
        <w:rPr>
          <w:rFonts w:ascii="Verdana" w:hAnsi="Verdana"/>
        </w:rPr>
        <w:lastRenderedPageBreak/>
        <w:t>La norma dispone que, en estos eventos, las entidades contratantes tienen del deber</w:t>
      </w:r>
      <w:r w:rsidRPr="00DA67B3">
        <w:rPr>
          <w:rFonts w:ascii="Verdana" w:hAnsi="Verdana"/>
          <w:spacing w:val="-6"/>
        </w:rPr>
        <w:t xml:space="preserve"> </w:t>
      </w:r>
      <w:r w:rsidRPr="00DA67B3">
        <w:rPr>
          <w:rFonts w:ascii="Verdana" w:hAnsi="Verdana"/>
        </w:rPr>
        <w:t>de</w:t>
      </w:r>
      <w:r w:rsidRPr="00DA67B3">
        <w:rPr>
          <w:rFonts w:ascii="Verdana" w:hAnsi="Verdana"/>
          <w:spacing w:val="-6"/>
        </w:rPr>
        <w:t xml:space="preserve"> </w:t>
      </w:r>
      <w:r w:rsidRPr="00DA67B3">
        <w:rPr>
          <w:rFonts w:ascii="Verdana" w:hAnsi="Verdana"/>
        </w:rPr>
        <w:t>verificar</w:t>
      </w:r>
      <w:r w:rsidRPr="00DA67B3">
        <w:rPr>
          <w:rFonts w:ascii="Verdana" w:hAnsi="Verdana"/>
          <w:spacing w:val="-6"/>
        </w:rPr>
        <w:t xml:space="preserve"> </w:t>
      </w:r>
      <w:r w:rsidRPr="00DA67B3">
        <w:rPr>
          <w:rFonts w:ascii="Verdana" w:hAnsi="Verdana"/>
        </w:rPr>
        <w:t>el cumplimiento de los requisitos habilitantes</w:t>
      </w:r>
      <w:bookmarkEnd w:id="4"/>
      <w:r w:rsidRPr="00DA67B3">
        <w:rPr>
          <w:rFonts w:ascii="Verdana" w:hAnsi="Verdana"/>
        </w:rPr>
        <w:t xml:space="preserve"> o la Clasificación de Bienes y Servicios</w:t>
      </w:r>
      <w:r w:rsidRPr="00DA67B3">
        <w:rPr>
          <w:rFonts w:ascii="Verdana" w:hAnsi="Verdana"/>
          <w:vertAlign w:val="superscript"/>
        </w:rPr>
        <w:footnoteReference w:id="6"/>
      </w:r>
      <w:r w:rsidRPr="00DA67B3">
        <w:rPr>
          <w:rFonts w:ascii="Verdana" w:hAnsi="Verdana"/>
        </w:rPr>
        <w:t>. Adicionalmente, el numeral 6.1. del artículo 6 de la Ley 1150 de 2007 establece que cuando sea necesario verificar requisitos o información que no reposa en RUP, la entidad podrá solicitar información adicional solo para complementar la información contenida en dicho Registro, y con el fin de verificar condiciones adicionales de experiencia del proponente. De esta forma, sólo en aquellos casos en los que por las</w:t>
      </w:r>
      <w:r w:rsidRPr="00DA67B3">
        <w:rPr>
          <w:rFonts w:ascii="Verdana" w:hAnsi="Verdana"/>
          <w:spacing w:val="1"/>
        </w:rPr>
        <w:t xml:space="preserve"> </w:t>
      </w:r>
      <w:r w:rsidRPr="00DA67B3">
        <w:rPr>
          <w:rFonts w:ascii="Verdana" w:hAnsi="Verdana"/>
        </w:rPr>
        <w:t>características</w:t>
      </w:r>
      <w:r w:rsidRPr="00DA67B3">
        <w:rPr>
          <w:rFonts w:ascii="Verdana" w:hAnsi="Verdana"/>
          <w:spacing w:val="-3"/>
        </w:rPr>
        <w:t xml:space="preserve"> </w:t>
      </w:r>
      <w:r w:rsidRPr="00DA67B3">
        <w:rPr>
          <w:rFonts w:ascii="Verdana" w:hAnsi="Verdana"/>
        </w:rPr>
        <w:t>del</w:t>
      </w:r>
      <w:r w:rsidRPr="00DA67B3">
        <w:rPr>
          <w:rFonts w:ascii="Verdana" w:hAnsi="Verdana"/>
          <w:spacing w:val="-3"/>
        </w:rPr>
        <w:t xml:space="preserve"> </w:t>
      </w:r>
      <w:r w:rsidRPr="00DA67B3">
        <w:rPr>
          <w:rFonts w:ascii="Verdana" w:hAnsi="Verdana"/>
        </w:rPr>
        <w:t>objeto</w:t>
      </w:r>
      <w:r w:rsidRPr="00DA67B3">
        <w:rPr>
          <w:rFonts w:ascii="Verdana" w:hAnsi="Verdana"/>
          <w:spacing w:val="-3"/>
        </w:rPr>
        <w:t xml:space="preserve"> </w:t>
      </w:r>
      <w:r w:rsidRPr="00DA67B3">
        <w:rPr>
          <w:rFonts w:ascii="Verdana" w:hAnsi="Verdana"/>
        </w:rPr>
        <w:t>a</w:t>
      </w:r>
      <w:r w:rsidRPr="00DA67B3">
        <w:rPr>
          <w:rFonts w:ascii="Verdana" w:hAnsi="Verdana"/>
          <w:spacing w:val="-2"/>
        </w:rPr>
        <w:t xml:space="preserve"> </w:t>
      </w:r>
      <w:r w:rsidRPr="00DA67B3">
        <w:rPr>
          <w:rFonts w:ascii="Verdana" w:hAnsi="Verdana"/>
        </w:rPr>
        <w:t>contratar</w:t>
      </w:r>
      <w:r w:rsidRPr="00DA67B3">
        <w:rPr>
          <w:rFonts w:ascii="Verdana" w:hAnsi="Verdana"/>
          <w:spacing w:val="-3"/>
        </w:rPr>
        <w:t xml:space="preserve"> </w:t>
      </w:r>
      <w:r w:rsidRPr="00DA67B3">
        <w:rPr>
          <w:rFonts w:ascii="Verdana" w:hAnsi="Verdana"/>
        </w:rPr>
        <w:t>se</w:t>
      </w:r>
      <w:r w:rsidRPr="00DA67B3">
        <w:rPr>
          <w:rFonts w:ascii="Verdana" w:hAnsi="Verdana"/>
          <w:spacing w:val="-3"/>
        </w:rPr>
        <w:t xml:space="preserve"> </w:t>
      </w:r>
      <w:r w:rsidRPr="00DA67B3">
        <w:rPr>
          <w:rFonts w:ascii="Verdana" w:hAnsi="Verdana"/>
        </w:rPr>
        <w:t>requiera</w:t>
      </w:r>
      <w:r w:rsidRPr="00DA67B3">
        <w:rPr>
          <w:rFonts w:ascii="Verdana" w:hAnsi="Verdana"/>
          <w:spacing w:val="-2"/>
        </w:rPr>
        <w:t xml:space="preserve"> </w:t>
      </w:r>
      <w:r w:rsidRPr="00DA67B3">
        <w:rPr>
          <w:rFonts w:ascii="Verdana" w:hAnsi="Verdana"/>
        </w:rPr>
        <w:t>la</w:t>
      </w:r>
      <w:r w:rsidRPr="00DA67B3">
        <w:rPr>
          <w:rFonts w:ascii="Verdana" w:hAnsi="Verdana"/>
          <w:spacing w:val="-3"/>
        </w:rPr>
        <w:t xml:space="preserve"> </w:t>
      </w:r>
      <w:r w:rsidRPr="00DA67B3">
        <w:rPr>
          <w:rFonts w:ascii="Verdana" w:hAnsi="Verdana"/>
        </w:rPr>
        <w:t>verificación</w:t>
      </w:r>
      <w:r w:rsidRPr="00DA67B3">
        <w:rPr>
          <w:rFonts w:ascii="Verdana" w:hAnsi="Verdana"/>
          <w:spacing w:val="-3"/>
        </w:rPr>
        <w:t xml:space="preserve"> </w:t>
      </w:r>
      <w:r w:rsidRPr="00DA67B3">
        <w:rPr>
          <w:rFonts w:ascii="Verdana" w:hAnsi="Verdana"/>
        </w:rPr>
        <w:t>de</w:t>
      </w:r>
      <w:r w:rsidRPr="00DA67B3">
        <w:rPr>
          <w:rFonts w:ascii="Verdana" w:hAnsi="Verdana"/>
          <w:spacing w:val="-2"/>
        </w:rPr>
        <w:t xml:space="preserve"> </w:t>
      </w:r>
      <w:r w:rsidRPr="00DA67B3">
        <w:rPr>
          <w:rFonts w:ascii="Verdana" w:hAnsi="Verdana"/>
        </w:rPr>
        <w:t>requisitos</w:t>
      </w:r>
      <w:r w:rsidRPr="00DA67B3">
        <w:rPr>
          <w:rFonts w:ascii="Verdana" w:hAnsi="Verdana"/>
          <w:spacing w:val="-3"/>
        </w:rPr>
        <w:t xml:space="preserve"> </w:t>
      </w:r>
      <w:r w:rsidRPr="00DA67B3">
        <w:rPr>
          <w:rFonts w:ascii="Verdana" w:hAnsi="Verdana"/>
        </w:rPr>
        <w:t>del</w:t>
      </w:r>
      <w:r w:rsidRPr="00DA67B3">
        <w:rPr>
          <w:rFonts w:ascii="Verdana" w:hAnsi="Verdana"/>
          <w:spacing w:val="-3"/>
        </w:rPr>
        <w:t xml:space="preserve"> </w:t>
      </w:r>
      <w:r w:rsidRPr="00DA67B3">
        <w:rPr>
          <w:rFonts w:ascii="Verdana" w:hAnsi="Verdana"/>
        </w:rPr>
        <w:t>proponente adicionales a los contenidos en el RUP, la entidad podrá hacer tal verificación en forma</w:t>
      </w:r>
      <w:r w:rsidRPr="00DA67B3">
        <w:rPr>
          <w:rFonts w:ascii="Verdana" w:hAnsi="Verdana"/>
          <w:spacing w:val="1"/>
        </w:rPr>
        <w:t xml:space="preserve"> </w:t>
      </w:r>
      <w:r w:rsidRPr="00DA67B3">
        <w:rPr>
          <w:rFonts w:ascii="Verdana" w:hAnsi="Verdana"/>
        </w:rPr>
        <w:t>directa</w:t>
      </w:r>
      <w:r w:rsidRPr="00DA67B3">
        <w:rPr>
          <w:rFonts w:ascii="Verdana" w:hAnsi="Verdana"/>
          <w:spacing w:val="-2"/>
        </w:rPr>
        <w:t xml:space="preserve"> </w:t>
      </w:r>
      <w:r w:rsidRPr="00DA67B3">
        <w:rPr>
          <w:rFonts w:ascii="Verdana" w:hAnsi="Verdana"/>
        </w:rPr>
        <w:t>y</w:t>
      </w:r>
      <w:r w:rsidRPr="00DA67B3">
        <w:rPr>
          <w:rFonts w:ascii="Verdana" w:hAnsi="Verdana"/>
          <w:spacing w:val="-1"/>
        </w:rPr>
        <w:t xml:space="preserve"> </w:t>
      </w:r>
      <w:r w:rsidRPr="00DA67B3">
        <w:rPr>
          <w:rFonts w:ascii="Verdana" w:hAnsi="Verdana"/>
        </w:rPr>
        <w:t>solicitar</w:t>
      </w:r>
      <w:r w:rsidRPr="00DA67B3">
        <w:rPr>
          <w:rFonts w:ascii="Verdana" w:hAnsi="Verdana"/>
          <w:spacing w:val="-2"/>
        </w:rPr>
        <w:t xml:space="preserve"> </w:t>
      </w:r>
      <w:r w:rsidRPr="00DA67B3">
        <w:rPr>
          <w:rFonts w:ascii="Verdana" w:hAnsi="Verdana"/>
        </w:rPr>
        <w:t>documentos</w:t>
      </w:r>
      <w:r w:rsidRPr="00DA67B3">
        <w:rPr>
          <w:rFonts w:ascii="Verdana" w:hAnsi="Verdana"/>
          <w:spacing w:val="-1"/>
        </w:rPr>
        <w:t xml:space="preserve"> </w:t>
      </w:r>
      <w:r w:rsidRPr="00DA67B3">
        <w:rPr>
          <w:rFonts w:ascii="Verdana" w:hAnsi="Verdana"/>
        </w:rPr>
        <w:t>diferentes</w:t>
      </w:r>
      <w:r w:rsidRPr="00DA67B3">
        <w:rPr>
          <w:rFonts w:ascii="Verdana" w:hAnsi="Verdana"/>
          <w:spacing w:val="-1"/>
        </w:rPr>
        <w:t xml:space="preserve"> </w:t>
      </w:r>
      <w:r w:rsidRPr="00DA67B3">
        <w:rPr>
          <w:rFonts w:ascii="Verdana" w:hAnsi="Verdana"/>
        </w:rPr>
        <w:t>al</w:t>
      </w:r>
      <w:r w:rsidRPr="00DA67B3">
        <w:rPr>
          <w:rFonts w:ascii="Verdana" w:hAnsi="Verdana"/>
          <w:spacing w:val="-2"/>
        </w:rPr>
        <w:t xml:space="preserve"> </w:t>
      </w:r>
      <w:r w:rsidRPr="00DA67B3">
        <w:rPr>
          <w:rFonts w:ascii="Verdana" w:hAnsi="Verdana"/>
        </w:rPr>
        <w:t>mismo</w:t>
      </w:r>
      <w:bookmarkEnd w:id="5"/>
      <w:r w:rsidRPr="00DA67B3">
        <w:rPr>
          <w:rFonts w:ascii="Verdana" w:hAnsi="Verdana"/>
          <w:vertAlign w:val="superscript"/>
        </w:rPr>
        <w:footnoteReference w:id="7"/>
      </w:r>
      <w:r w:rsidRPr="00DA67B3">
        <w:rPr>
          <w:rFonts w:ascii="Verdana" w:hAnsi="Verdana"/>
        </w:rPr>
        <w:t>.</w:t>
      </w:r>
    </w:p>
    <w:p w14:paraId="0048C0A3" w14:textId="77777777" w:rsidR="00DA67B3" w:rsidRPr="00DA67B3" w:rsidRDefault="00DA67B3" w:rsidP="00DA67B3">
      <w:pPr>
        <w:numPr>
          <w:ilvl w:val="0"/>
          <w:numId w:val="18"/>
        </w:numPr>
        <w:spacing w:before="120" w:after="120" w:line="276" w:lineRule="auto"/>
        <w:contextualSpacing/>
        <w:jc w:val="both"/>
        <w:rPr>
          <w:rFonts w:ascii="Verdana" w:hAnsi="Verdana" w:cs="Arial"/>
          <w:color w:val="000000" w:themeColor="text1"/>
          <w:lang w:val="es-ES"/>
        </w:rPr>
      </w:pPr>
      <w:r w:rsidRPr="00DA67B3">
        <w:rPr>
          <w:rFonts w:ascii="Verdana" w:hAnsi="Verdana" w:cs="Arial"/>
          <w:color w:val="000000" w:themeColor="text1"/>
          <w:lang w:val="es-ES"/>
        </w:rPr>
        <w:t>Así las cosas, cuando se trata de los procesos exceptuados de la obligación de inscripción en el RUP, como las entidades no pueden solicitarlo, para verificar las condiciones de experiencia, capacidad financiera y de organización de los proponentes, deben recurrir a otros medios de prueba que garanticen la selección objetiva, siempre que sean adecuados y proporcionales, para promover la libre participación de los oferentes. Lo anterior fue ratificado por el Consejo de Estado cuando enumeró las excepciones en las cuales las entidades tienen la obligación de verificar los requisitos habilitantes de los proponentes</w:t>
      </w:r>
      <w:r w:rsidRPr="00DA67B3">
        <w:rPr>
          <w:rFonts w:ascii="Verdana" w:hAnsi="Verdana" w:cs="Arial"/>
          <w:color w:val="000000" w:themeColor="text1"/>
          <w:vertAlign w:val="superscript"/>
          <w:lang w:val="es-ES"/>
        </w:rPr>
        <w:footnoteReference w:id="8"/>
      </w:r>
      <w:r w:rsidRPr="00DA67B3">
        <w:rPr>
          <w:rFonts w:ascii="Verdana" w:hAnsi="Verdana" w:cs="Arial"/>
          <w:color w:val="000000" w:themeColor="text1"/>
          <w:lang w:val="es-ES"/>
        </w:rPr>
        <w:t xml:space="preserve">.  </w:t>
      </w:r>
    </w:p>
    <w:p w14:paraId="0212DE39" w14:textId="77777777" w:rsidR="00DA67B3" w:rsidRPr="00DA67B3" w:rsidRDefault="00DA67B3" w:rsidP="00DA67B3">
      <w:pPr>
        <w:spacing w:before="120" w:after="120" w:line="276" w:lineRule="auto"/>
        <w:ind w:left="720"/>
        <w:contextualSpacing/>
        <w:jc w:val="both"/>
        <w:rPr>
          <w:rFonts w:ascii="Verdana" w:hAnsi="Verdana" w:cs="Arial"/>
          <w:color w:val="000000" w:themeColor="text1"/>
          <w:lang w:val="es-ES"/>
        </w:rPr>
      </w:pPr>
    </w:p>
    <w:p w14:paraId="28E3DC3E" w14:textId="77777777" w:rsidR="00DA67B3" w:rsidRPr="00DA67B3" w:rsidRDefault="00DA67B3" w:rsidP="00DA67B3">
      <w:pPr>
        <w:numPr>
          <w:ilvl w:val="0"/>
          <w:numId w:val="18"/>
        </w:numPr>
        <w:spacing w:before="120" w:after="120" w:line="276" w:lineRule="auto"/>
        <w:contextualSpacing/>
        <w:jc w:val="both"/>
        <w:rPr>
          <w:rFonts w:ascii="Verdana" w:hAnsi="Verdana" w:cs="Arial"/>
          <w:color w:val="000000" w:themeColor="text1"/>
          <w:lang w:val="es-ES"/>
        </w:rPr>
      </w:pPr>
      <w:r w:rsidRPr="00DA67B3">
        <w:rPr>
          <w:rFonts w:ascii="Verdana" w:hAnsi="Verdana" w:cs="Arial"/>
          <w:color w:val="000000" w:themeColor="text1"/>
          <w:lang w:val="es-ES"/>
        </w:rPr>
        <w:t>Ahora bien, el inciso 1 del artículo 6 de la Ley 1150 de 2007</w:t>
      </w:r>
      <w:r w:rsidRPr="00DA67B3">
        <w:rPr>
          <w:rFonts w:ascii="Verdana" w:hAnsi="Verdana" w:cs="Arial"/>
          <w:color w:val="000000" w:themeColor="text1"/>
          <w:vertAlign w:val="superscript"/>
          <w:lang w:val="es-ES"/>
        </w:rPr>
        <w:footnoteReference w:id="9"/>
      </w:r>
      <w:r w:rsidRPr="00DA67B3">
        <w:rPr>
          <w:rFonts w:ascii="Verdana" w:hAnsi="Verdana" w:cs="Arial"/>
          <w:color w:val="000000" w:themeColor="text1"/>
          <w:lang w:val="es-ES"/>
        </w:rPr>
        <w:t xml:space="preserve">, que regula los sujetos que deben inscribirse en el RUP, señaló que deben hacerlo las personas, naturales o jurídicas, nacionales o extranjeras que tengan domicilio o sucursal en el país. Estas personas tienen la obligación de registrarse en el RUP, en dos casos: a) pretendan celebrar contratos estatales y b) el procedimiento de contratación sea de aquellos en los cuales no se exceptúa el RUP, de acuerdo con el inciso 2 del artículo 6 de </w:t>
      </w:r>
      <w:r w:rsidRPr="00DA67B3">
        <w:rPr>
          <w:rFonts w:ascii="Verdana" w:hAnsi="Verdana" w:cs="Arial"/>
          <w:color w:val="000000" w:themeColor="text1"/>
          <w:lang w:val="es-ES"/>
        </w:rPr>
        <w:lastRenderedPageBreak/>
        <w:t>la Ley 1150 de 2007</w:t>
      </w:r>
      <w:r w:rsidRPr="00DA67B3">
        <w:rPr>
          <w:rFonts w:ascii="Verdana" w:hAnsi="Verdana" w:cs="Arial"/>
          <w:color w:val="000000" w:themeColor="text1"/>
          <w:vertAlign w:val="superscript"/>
          <w:lang w:val="es-ES"/>
        </w:rPr>
        <w:footnoteReference w:id="10"/>
      </w:r>
      <w:r w:rsidRPr="00DA67B3">
        <w:rPr>
          <w:rFonts w:ascii="Verdana" w:hAnsi="Verdana" w:cs="Arial"/>
          <w:color w:val="000000" w:themeColor="text1"/>
          <w:lang w:val="es-ES"/>
        </w:rPr>
        <w:t>. En síntesis, se tiene que la obligación de inscribirse en el RUP es extensible a toda persona natural o jurídica, interesada en participar en un proceso de contratación estatal, cuando este no esté exceptuado de esta obligación, conforme con lo previsto en el inciso 2 del artículo 6 de la Ley 1150 de 2007.</w:t>
      </w:r>
    </w:p>
    <w:p w14:paraId="48850CD4" w14:textId="77777777" w:rsidR="00DA67B3" w:rsidRPr="00DA67B3" w:rsidRDefault="00DA67B3" w:rsidP="00DA67B3">
      <w:pPr>
        <w:ind w:left="720"/>
        <w:contextualSpacing/>
        <w:rPr>
          <w:rFonts w:ascii="Verdana" w:hAnsi="Verdana" w:cs="Arial"/>
          <w:color w:val="000000" w:themeColor="text1"/>
          <w:lang w:val="es-ES"/>
        </w:rPr>
      </w:pPr>
    </w:p>
    <w:p w14:paraId="334A048F" w14:textId="77777777" w:rsidR="00DA67B3" w:rsidRPr="00DA67B3" w:rsidRDefault="00DA67B3" w:rsidP="00DA67B3">
      <w:pPr>
        <w:numPr>
          <w:ilvl w:val="0"/>
          <w:numId w:val="18"/>
        </w:numPr>
        <w:spacing w:before="120" w:after="120" w:line="276" w:lineRule="auto"/>
        <w:contextualSpacing/>
        <w:jc w:val="both"/>
        <w:rPr>
          <w:rFonts w:ascii="Verdana" w:hAnsi="Verdana" w:cs="Arial"/>
          <w:color w:val="000000" w:themeColor="text1"/>
          <w:lang w:val="es-ES"/>
        </w:rPr>
      </w:pPr>
      <w:r w:rsidRPr="00DA67B3">
        <w:rPr>
          <w:rFonts w:ascii="Verdana" w:hAnsi="Verdana" w:cs="Arial"/>
          <w:color w:val="000000" w:themeColor="text1"/>
          <w:lang w:val="es-ES"/>
        </w:rPr>
        <w:t>En el mismo sentido, el Decreto 1082 de 2015 dispone quiénes deben inscribirse en el RUP, el momento de la renovación del registro, la información que puede actualizarse, y la posibilidad de solicitar la cancelación de la inscripción, en cualquier momento ante la Cámara de Comercio correspondiente</w:t>
      </w:r>
      <w:r w:rsidRPr="00DA67B3">
        <w:rPr>
          <w:rFonts w:ascii="Verdana" w:hAnsi="Verdana" w:cs="Arial"/>
          <w:color w:val="000000" w:themeColor="text1"/>
          <w:vertAlign w:val="superscript"/>
          <w:lang w:val="es-ES"/>
        </w:rPr>
        <w:footnoteReference w:id="11"/>
      </w:r>
      <w:r w:rsidRPr="00DA67B3">
        <w:rPr>
          <w:rFonts w:ascii="Verdana" w:hAnsi="Verdana" w:cs="Arial"/>
          <w:color w:val="000000" w:themeColor="text1"/>
          <w:lang w:val="es-ES"/>
        </w:rPr>
        <w:t xml:space="preserve">. </w:t>
      </w:r>
    </w:p>
    <w:p w14:paraId="399DB485" w14:textId="77777777" w:rsidR="00DA67B3" w:rsidRPr="00DA67B3" w:rsidRDefault="00DA67B3" w:rsidP="00DA67B3">
      <w:pPr>
        <w:spacing w:before="120" w:after="120" w:line="276" w:lineRule="auto"/>
        <w:ind w:left="720"/>
        <w:contextualSpacing/>
        <w:jc w:val="both"/>
        <w:rPr>
          <w:rFonts w:ascii="Verdana" w:hAnsi="Verdana" w:cs="Arial"/>
          <w:color w:val="000000" w:themeColor="text1"/>
          <w:lang w:val="es-ES"/>
        </w:rPr>
      </w:pPr>
    </w:p>
    <w:p w14:paraId="72233299" w14:textId="77777777" w:rsidR="00DA67B3" w:rsidRPr="00DA67B3" w:rsidRDefault="00DA67B3" w:rsidP="00DA67B3">
      <w:pPr>
        <w:numPr>
          <w:ilvl w:val="0"/>
          <w:numId w:val="18"/>
        </w:numPr>
        <w:spacing w:line="276" w:lineRule="auto"/>
        <w:contextualSpacing/>
        <w:jc w:val="both"/>
        <w:rPr>
          <w:rFonts w:ascii="Verdana" w:hAnsi="Verdana" w:cs="Arial"/>
          <w:color w:val="000000" w:themeColor="text1"/>
          <w:lang w:val="es-ES"/>
        </w:rPr>
      </w:pPr>
      <w:r w:rsidRPr="00DA67B3">
        <w:rPr>
          <w:rFonts w:ascii="Verdana" w:eastAsia="Calibri" w:hAnsi="Verdana" w:cs="Arial"/>
          <w:lang w:val="es-ES"/>
        </w:rPr>
        <w:t xml:space="preserve">Conforme a lo anterior, el RUP constituye </w:t>
      </w:r>
      <w:r w:rsidRPr="00DA67B3">
        <w:rPr>
          <w:rFonts w:ascii="Verdana" w:hAnsi="Verdana" w:cs="Arial"/>
          <w:lang w:val="es-ES"/>
        </w:rPr>
        <w:t xml:space="preserve">plena prueba de las circunstancias que consten en él y que hayan sido verificadas por las Cámaras de Comercio, por lo cual es a través de este documento, en los casos en que es exigible, que las entidades estatales deben verificar las condiciones establecidas en el numeral 1 del artículo 5 de la Ley 1150 de 2007. </w:t>
      </w:r>
      <w:r w:rsidRPr="00DA67B3">
        <w:rPr>
          <w:rFonts w:ascii="Verdana" w:hAnsi="Verdana" w:cs="Arial"/>
          <w:color w:val="000000" w:themeColor="text1"/>
          <w:lang w:val="es-ES"/>
        </w:rPr>
        <w:t xml:space="preserve">En contraste, </w:t>
      </w:r>
      <w:r w:rsidRPr="00DA67B3">
        <w:rPr>
          <w:rFonts w:ascii="Verdana" w:eastAsia="Calibri" w:hAnsi="Verdana" w:cs="Arial"/>
          <w:lang w:val="es-ES"/>
        </w:rPr>
        <w:t>cuando por las características del objeto a contratar y con la finalidad de acreditar los aspectos necesarios para la escogencia del proponente, se requieran verificar requisitos o información adicional a los contenidos en el RUP, las entidades deben hacer la verificación de forma directa. Esto también sucede en los procedimientos de selección en los cuales no es exigible el RUP, de acuerdo con lo establecido en el inciso segundo del artículo 6 de la Ley 1150 de 2007</w:t>
      </w:r>
      <w:r w:rsidRPr="00DA67B3">
        <w:rPr>
          <w:rFonts w:ascii="Verdana" w:eastAsia="Calibri" w:hAnsi="Verdana" w:cs="Arial"/>
          <w:vertAlign w:val="superscript"/>
          <w:lang w:val="es-ES"/>
        </w:rPr>
        <w:footnoteReference w:id="12"/>
      </w:r>
      <w:r w:rsidRPr="00DA67B3">
        <w:rPr>
          <w:rFonts w:ascii="Verdana" w:eastAsia="Calibri" w:hAnsi="Verdana" w:cs="Arial"/>
          <w:lang w:val="es-ES"/>
        </w:rPr>
        <w:t>. En ambos supuestos, la entidad estatal, en el marco de la autonomía y la potestad de dirección que le asiste en los procesos de contratación que adelanta debe establecer en los Documentos del Proceso –particularmente en el pliego de condiciones o la invitación– los documentos o instrumentos que exigirá a los proponentes para acreditar las circunstancias necesarias.</w:t>
      </w:r>
    </w:p>
    <w:p w14:paraId="4B590115" w14:textId="77777777" w:rsidR="00DA67B3" w:rsidRPr="00DA67B3" w:rsidRDefault="00DA67B3" w:rsidP="00DA67B3">
      <w:pPr>
        <w:spacing w:line="276" w:lineRule="auto"/>
        <w:ind w:left="720"/>
        <w:contextualSpacing/>
        <w:jc w:val="both"/>
        <w:rPr>
          <w:rFonts w:ascii="Verdana" w:hAnsi="Verdana" w:cs="Arial"/>
          <w:color w:val="000000" w:themeColor="text1"/>
          <w:lang w:val="es-ES"/>
        </w:rPr>
      </w:pPr>
    </w:p>
    <w:p w14:paraId="308B52E1" w14:textId="77777777" w:rsidR="00DA67B3" w:rsidRPr="00DA67B3" w:rsidRDefault="00DA67B3" w:rsidP="00DA67B3">
      <w:pPr>
        <w:numPr>
          <w:ilvl w:val="0"/>
          <w:numId w:val="18"/>
        </w:numPr>
        <w:spacing w:after="0" w:line="276" w:lineRule="auto"/>
        <w:contextualSpacing/>
        <w:jc w:val="both"/>
        <w:rPr>
          <w:rFonts w:ascii="Verdana" w:eastAsia="Calibri" w:hAnsi="Verdana" w:cs="Arial"/>
          <w:szCs w:val="24"/>
          <w:lang w:val="es-ES" w:eastAsia="es-ES_tradnl"/>
        </w:rPr>
      </w:pPr>
      <w:r w:rsidRPr="00DA67B3">
        <w:rPr>
          <w:rFonts w:ascii="Verdana" w:eastAsia="Calibri" w:hAnsi="Verdana" w:cs="Arial"/>
          <w:lang w:val="es-ES"/>
        </w:rPr>
        <w:lastRenderedPageBreak/>
        <w:t>Finalmente, el numeral 1.2 del artículo 2.2.1.1.1.5.2. del Decreto 1082 de 2015 señala los documentos para inscribir la experiencia en el RUP: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6BF749D1" w14:textId="77777777" w:rsidR="00DA67B3" w:rsidRPr="00DA67B3" w:rsidRDefault="00DA67B3" w:rsidP="00DA67B3">
      <w:pPr>
        <w:spacing w:after="0" w:line="276" w:lineRule="auto"/>
        <w:ind w:left="720"/>
        <w:contextualSpacing/>
        <w:jc w:val="both"/>
        <w:rPr>
          <w:rFonts w:ascii="Verdana" w:eastAsia="Calibri" w:hAnsi="Verdana" w:cs="Arial"/>
          <w:szCs w:val="24"/>
          <w:lang w:val="es-ES" w:eastAsia="es-ES_tradnl"/>
        </w:rPr>
      </w:pPr>
    </w:p>
    <w:p w14:paraId="08D7CD17" w14:textId="77777777" w:rsidR="00DA67B3" w:rsidRPr="00DA67B3" w:rsidRDefault="00DA67B3" w:rsidP="00DA67B3">
      <w:pPr>
        <w:tabs>
          <w:tab w:val="left" w:pos="142"/>
          <w:tab w:val="left" w:pos="284"/>
        </w:tabs>
        <w:spacing w:after="0" w:line="276" w:lineRule="auto"/>
        <w:jc w:val="both"/>
        <w:rPr>
          <w:rFonts w:ascii="Verdana" w:eastAsia="Century Gothic" w:hAnsi="Verdana" w:cs="Century Gothic"/>
          <w:b/>
          <w:bCs/>
        </w:rPr>
      </w:pPr>
      <w:r w:rsidRPr="00DA67B3">
        <w:rPr>
          <w:rFonts w:ascii="Verdana" w:eastAsia="Century Gothic" w:hAnsi="Verdana" w:cs="Century Gothic"/>
          <w:b/>
          <w:bCs/>
        </w:rPr>
        <w:t>4. Referencias normativas, jurisprudenciales y otras fuentes:</w:t>
      </w:r>
    </w:p>
    <w:p w14:paraId="59E3B010" w14:textId="77777777" w:rsidR="00DA67B3" w:rsidRPr="00DA67B3" w:rsidRDefault="00DA67B3" w:rsidP="00DA67B3">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A67B3" w:rsidRPr="00DA67B3" w14:paraId="6F354C31" w14:textId="77777777" w:rsidTr="00C84781">
        <w:trPr>
          <w:trHeight w:val="870"/>
        </w:trPr>
        <w:tc>
          <w:tcPr>
            <w:tcW w:w="8647" w:type="dxa"/>
          </w:tcPr>
          <w:p w14:paraId="0EE6454F" w14:textId="77777777" w:rsidR="00DA67B3" w:rsidRPr="00DA67B3" w:rsidRDefault="00DA67B3" w:rsidP="00DA67B3">
            <w:pPr>
              <w:widowControl w:val="0"/>
              <w:numPr>
                <w:ilvl w:val="0"/>
                <w:numId w:val="16"/>
              </w:numPr>
              <w:autoSpaceDE w:val="0"/>
              <w:autoSpaceDN w:val="0"/>
              <w:spacing w:after="120" w:line="276" w:lineRule="auto"/>
              <w:contextualSpacing/>
              <w:jc w:val="both"/>
              <w:rPr>
                <w:rFonts w:ascii="Verdana" w:hAnsi="Verdana" w:cs="Arial"/>
                <w:lang w:val="es-ES"/>
              </w:rPr>
            </w:pPr>
            <w:r w:rsidRPr="00DA67B3">
              <w:rPr>
                <w:rFonts w:ascii="Verdana" w:hAnsi="Verdana" w:cs="Arial"/>
                <w:lang w:val="es-ES"/>
              </w:rPr>
              <w:t>Ley 1150 de 2007, artículos 5 y 6.</w:t>
            </w:r>
          </w:p>
          <w:p w14:paraId="32FDA5F7" w14:textId="77777777" w:rsidR="00DA67B3" w:rsidRPr="00DA67B3" w:rsidRDefault="00DA67B3" w:rsidP="00DA67B3">
            <w:pPr>
              <w:widowControl w:val="0"/>
              <w:numPr>
                <w:ilvl w:val="0"/>
                <w:numId w:val="16"/>
              </w:numPr>
              <w:autoSpaceDE w:val="0"/>
              <w:autoSpaceDN w:val="0"/>
              <w:spacing w:after="120" w:line="276" w:lineRule="auto"/>
              <w:contextualSpacing/>
              <w:jc w:val="both"/>
              <w:rPr>
                <w:rFonts w:ascii="Verdana" w:hAnsi="Verdana" w:cs="Arial"/>
                <w:lang w:val="es-ES"/>
              </w:rPr>
            </w:pPr>
            <w:r w:rsidRPr="00DA67B3">
              <w:rPr>
                <w:rFonts w:ascii="Verdana" w:hAnsi="Verdana" w:cs="Arial"/>
                <w:lang w:val="es-ES"/>
              </w:rPr>
              <w:t>Decreto 1082 de 2015, artículos 2.2.1.1.1.5.1. y 2.2.1.1.1.5.2.</w:t>
            </w:r>
          </w:p>
          <w:p w14:paraId="47D4CC65" w14:textId="77777777" w:rsidR="00DA67B3" w:rsidRPr="00DA67B3" w:rsidRDefault="00DA67B3" w:rsidP="00DA67B3">
            <w:pPr>
              <w:widowControl w:val="0"/>
              <w:numPr>
                <w:ilvl w:val="0"/>
                <w:numId w:val="16"/>
              </w:numPr>
              <w:autoSpaceDE w:val="0"/>
              <w:autoSpaceDN w:val="0"/>
              <w:spacing w:after="120" w:line="276" w:lineRule="auto"/>
              <w:contextualSpacing/>
              <w:jc w:val="both"/>
              <w:rPr>
                <w:rFonts w:ascii="Verdana" w:hAnsi="Verdana" w:cs="Arial"/>
                <w:lang w:val="es-ES"/>
              </w:rPr>
            </w:pPr>
            <w:r w:rsidRPr="00DA67B3">
              <w:rPr>
                <w:rFonts w:ascii="Verdana" w:hAnsi="Verdana" w:cs="Arial"/>
              </w:rPr>
              <w:t>Consejo de Estado. Sección Tercera. Subsección B. Sentencia del 6 de junio de 2013. Exp. 25151. C.P. Stella Conto Díaz del Castillo.</w:t>
            </w:r>
          </w:p>
          <w:p w14:paraId="49B22C76" w14:textId="77777777" w:rsidR="00DA67B3" w:rsidRPr="00DA67B3" w:rsidRDefault="00DA67B3" w:rsidP="00DA67B3">
            <w:pPr>
              <w:widowControl w:val="0"/>
              <w:numPr>
                <w:ilvl w:val="0"/>
                <w:numId w:val="16"/>
              </w:numPr>
              <w:autoSpaceDE w:val="0"/>
              <w:autoSpaceDN w:val="0"/>
              <w:spacing w:after="120" w:line="276" w:lineRule="auto"/>
              <w:contextualSpacing/>
              <w:jc w:val="both"/>
              <w:rPr>
                <w:rFonts w:ascii="Verdana" w:hAnsi="Verdana" w:cs="Arial"/>
                <w:lang w:val="es-ES"/>
              </w:rPr>
            </w:pPr>
            <w:r w:rsidRPr="00DA67B3">
              <w:rPr>
                <w:rFonts w:ascii="Verdana" w:hAnsi="Verdana" w:cs="Arial"/>
                <w:lang w:val="es-ES"/>
              </w:rPr>
              <w:t>Consejo de Estado. Sección Tercera. Subsección A. Sentencia del 12 de febrero de 2014. Exp. 31.753. C.P. Mauricio Fajardo Gómez.</w:t>
            </w:r>
          </w:p>
          <w:p w14:paraId="536088AD" w14:textId="77777777" w:rsidR="00DA67B3" w:rsidRPr="00DA67B3" w:rsidRDefault="00DA67B3" w:rsidP="00DA67B3">
            <w:pPr>
              <w:widowControl w:val="0"/>
              <w:numPr>
                <w:ilvl w:val="0"/>
                <w:numId w:val="16"/>
              </w:numPr>
              <w:autoSpaceDE w:val="0"/>
              <w:autoSpaceDN w:val="0"/>
              <w:spacing w:after="120" w:line="276" w:lineRule="auto"/>
              <w:contextualSpacing/>
              <w:jc w:val="both"/>
              <w:rPr>
                <w:rFonts w:ascii="Verdana" w:hAnsi="Verdana" w:cs="Arial"/>
                <w:lang w:val="es-ES"/>
              </w:rPr>
            </w:pPr>
            <w:r w:rsidRPr="00DA67B3">
              <w:rPr>
                <w:rFonts w:ascii="Verdana" w:hAnsi="Verdana" w:cs="Arial"/>
                <w:lang w:val="es-ES"/>
              </w:rPr>
              <w:t>Consejo de Estado. Sala de Consulta y Servicio Civil. Consulta del 20 de mayo de 2010. Exp.1992. C. P. Enrique José Arboleda Perdomo</w:t>
            </w:r>
          </w:p>
          <w:p w14:paraId="39683E92" w14:textId="77777777" w:rsidR="00DA67B3" w:rsidRPr="00DA67B3" w:rsidRDefault="00DA67B3" w:rsidP="00DA67B3">
            <w:pPr>
              <w:widowControl w:val="0"/>
              <w:numPr>
                <w:ilvl w:val="0"/>
                <w:numId w:val="16"/>
              </w:numPr>
              <w:tabs>
                <w:tab w:val="left" w:pos="8419"/>
              </w:tabs>
              <w:autoSpaceDE w:val="0"/>
              <w:autoSpaceDN w:val="0"/>
              <w:spacing w:after="120" w:line="276" w:lineRule="auto"/>
              <w:jc w:val="both"/>
              <w:rPr>
                <w:rFonts w:ascii="Verdana" w:hAnsi="Verdana" w:cs="Arial"/>
                <w:lang w:val="es-ES"/>
              </w:rPr>
            </w:pPr>
            <w:r w:rsidRPr="00DA67B3">
              <w:rPr>
                <w:rFonts w:ascii="Verdana" w:hAnsi="Verdana" w:cs="Arial"/>
                <w:lang w:val="es-ES"/>
              </w:rPr>
              <w:t>DÁVILA VINUEZA, Luis Guillermo. Régimen jurídico de la contratación estatal. Tercera edición, Bogotá: Legis, 2016.</w:t>
            </w:r>
          </w:p>
        </w:tc>
      </w:tr>
    </w:tbl>
    <w:p w14:paraId="6AB8D5E1" w14:textId="77777777" w:rsidR="00DA67B3" w:rsidRPr="00DA67B3" w:rsidRDefault="00DA67B3" w:rsidP="00DA67B3">
      <w:pPr>
        <w:tabs>
          <w:tab w:val="left" w:pos="142"/>
          <w:tab w:val="left" w:pos="284"/>
        </w:tabs>
        <w:spacing w:after="0" w:line="276" w:lineRule="auto"/>
        <w:jc w:val="both"/>
        <w:rPr>
          <w:rFonts w:ascii="Verdana" w:eastAsia="Century Gothic" w:hAnsi="Verdana" w:cs="Century Gothic"/>
          <w:b/>
          <w:bCs/>
        </w:rPr>
      </w:pPr>
    </w:p>
    <w:p w14:paraId="4FF21019" w14:textId="77777777" w:rsidR="00DA67B3" w:rsidRPr="00DA67B3" w:rsidRDefault="00DA67B3" w:rsidP="00DA67B3">
      <w:pPr>
        <w:tabs>
          <w:tab w:val="left" w:pos="142"/>
          <w:tab w:val="left" w:pos="284"/>
        </w:tabs>
        <w:spacing w:after="0" w:line="276" w:lineRule="auto"/>
        <w:jc w:val="both"/>
        <w:rPr>
          <w:rFonts w:ascii="Verdana" w:eastAsia="Century Gothic" w:hAnsi="Verdana" w:cs="Century Gothic"/>
          <w:b/>
          <w:bCs/>
          <w:lang w:val="es-ES"/>
        </w:rPr>
      </w:pPr>
      <w:r w:rsidRPr="00DA67B3">
        <w:rPr>
          <w:rFonts w:ascii="Verdana" w:eastAsia="Century Gothic" w:hAnsi="Verdana" w:cs="Century Gothic"/>
          <w:b/>
          <w:bCs/>
        </w:rPr>
        <w:t xml:space="preserve">5. </w:t>
      </w:r>
      <w:r w:rsidRPr="00DA67B3">
        <w:rPr>
          <w:rFonts w:ascii="Verdana" w:eastAsia="Century Gothic" w:hAnsi="Verdana" w:cs="Century Gothic"/>
          <w:b/>
          <w:bCs/>
          <w:lang w:val="es-ES"/>
        </w:rPr>
        <w:t>Doctrina de la Agencia Nacional de Contratación Pública:</w:t>
      </w:r>
    </w:p>
    <w:p w14:paraId="1460767C" w14:textId="77777777" w:rsidR="00DA67B3" w:rsidRPr="00DA67B3" w:rsidRDefault="00DA67B3" w:rsidP="00DA67B3">
      <w:pPr>
        <w:spacing w:after="0" w:line="276" w:lineRule="auto"/>
        <w:ind w:firstLine="709"/>
        <w:jc w:val="both"/>
        <w:rPr>
          <w:rFonts w:ascii="Verdana" w:eastAsia="Times New Roman" w:hAnsi="Verdana" w:cs="Arial"/>
          <w:szCs w:val="24"/>
          <w:lang w:val="es-ES" w:eastAsia="es-ES_tradnl"/>
        </w:rPr>
      </w:pPr>
    </w:p>
    <w:p w14:paraId="53AE3FFF" w14:textId="77777777" w:rsidR="00DA67B3" w:rsidRPr="00DA67B3" w:rsidRDefault="00DA67B3" w:rsidP="00DA67B3">
      <w:pPr>
        <w:widowControl w:val="0"/>
        <w:autoSpaceDE w:val="0"/>
        <w:autoSpaceDN w:val="0"/>
        <w:spacing w:after="0" w:line="276" w:lineRule="auto"/>
        <w:jc w:val="both"/>
        <w:rPr>
          <w:rFonts w:ascii="Verdana" w:hAnsi="Verdana" w:cs="Arial"/>
          <w:color w:val="000000" w:themeColor="text1"/>
          <w:shd w:val="clear" w:color="auto" w:fill="FFFFFF"/>
          <w:lang w:val="es-ES"/>
        </w:rPr>
      </w:pPr>
      <w:r w:rsidRPr="00DA67B3">
        <w:rPr>
          <w:rFonts w:ascii="Verdana" w:eastAsia="Calibri" w:hAnsi="Verdana" w:cs="Arial"/>
          <w:lang w:val="es-ES_tradnl" w:eastAsia="es-ES_tradnl"/>
        </w:rPr>
        <w:t xml:space="preserve">Sobre la experiencia en procesos de contratación se pronunció esta Subdirección en los conceptos 4201913000006471 del 28 de octubre de 2019, 4201912000006711 del 12 de noviembre de 2019 y 4201912000006496 del 15 de noviembre de 2019, las cuales se unificaron en el Concepto CU–060 del 24 de febrero de 2020, que se reitera, entre otros, en los conceptos: C-121 del 3 de marzo de 2020, C-160 del 3 de abril de 2020,  C-013 del 17 de abril de 2020,  C-465 del 27 de julio de 2020,  C-557 del 21 de agosto de 2020, C-573 del 27 de agosto de 2020, C-595 del 21 de septiembre de 2020, C-634 de 21 de noviembre de 2020, C–779 del 18 de enero de 2021, C–802 del 1 de febrero de 2021, C–010 del 16 de febrero de 2021, C–217 del 14 de mayo de 2021, C–250 del 2 de junio de 2021, C-728 de 26 de enero de 2022, C-285 del 20 de mayo </w:t>
      </w:r>
      <w:r w:rsidRPr="00DA67B3">
        <w:rPr>
          <w:rFonts w:ascii="Verdana" w:eastAsia="Calibri" w:hAnsi="Verdana" w:cs="Arial"/>
          <w:lang w:val="es-ES_tradnl" w:eastAsia="es-ES_tradnl"/>
        </w:rPr>
        <w:lastRenderedPageBreak/>
        <w:t>de 2022, C-785 del 21 de noviembre de 2022 y C-882 del 21 de diciembre de 2022</w:t>
      </w:r>
      <w:r w:rsidRPr="00DA67B3">
        <w:rPr>
          <w:rFonts w:ascii="Verdana" w:eastAsia="Calibri" w:hAnsi="Verdana" w:cs="Arial"/>
          <w:lang w:val="es-ES" w:eastAsia="es-ES_tradnl"/>
        </w:rPr>
        <w:t>. Estos</w:t>
      </w:r>
      <w:r w:rsidRPr="00DA67B3">
        <w:rPr>
          <w:rFonts w:ascii="Verdana" w:hAnsi="Verdana"/>
        </w:rPr>
        <w:t xml:space="preserve"> y otros conceptos se encuentran disponibles para consulta en el Sistema de relatoría de la Agencia, al cual se puede acceder a través del siguiente enlace:</w:t>
      </w:r>
      <w:r w:rsidRPr="00DA67B3">
        <w:rPr>
          <w:rFonts w:ascii="Verdana" w:hAnsi="Verdana" w:cs="Arial"/>
          <w:shd w:val="clear" w:color="auto" w:fill="FFFFFF"/>
          <w:lang w:val="es-ES"/>
        </w:rPr>
        <w:t xml:space="preserve"> </w:t>
      </w:r>
      <w:hyperlink r:id="rId11" w:history="1">
        <w:r w:rsidRPr="00DA67B3">
          <w:rPr>
            <w:rFonts w:ascii="Verdana" w:hAnsi="Verdana" w:cs="Arial"/>
            <w:color w:val="0563C1" w:themeColor="hyperlink"/>
            <w:u w:val="single"/>
            <w:shd w:val="clear" w:color="auto" w:fill="FFFFFF"/>
            <w:lang w:val="es-ES"/>
          </w:rPr>
          <w:t>https://relatoria.colombiacompra.gov.co/busqueda/conceptos</w:t>
        </w:r>
      </w:hyperlink>
    </w:p>
    <w:p w14:paraId="5EDA0861" w14:textId="77777777" w:rsidR="00DA67B3" w:rsidRPr="00DA67B3" w:rsidRDefault="00DA67B3" w:rsidP="00DA67B3">
      <w:pPr>
        <w:widowControl w:val="0"/>
        <w:autoSpaceDE w:val="0"/>
        <w:autoSpaceDN w:val="0"/>
        <w:spacing w:after="0" w:line="276" w:lineRule="auto"/>
        <w:jc w:val="both"/>
        <w:rPr>
          <w:rFonts w:ascii="Verdana" w:hAnsi="Verdana" w:cs="Arial"/>
          <w:color w:val="000000" w:themeColor="text1"/>
          <w:shd w:val="clear" w:color="auto" w:fill="FFFFFF"/>
          <w:lang w:val="es-ES"/>
        </w:rPr>
      </w:pPr>
    </w:p>
    <w:p w14:paraId="6D805CE8" w14:textId="77777777" w:rsidR="00DA67B3" w:rsidRPr="00DA67B3" w:rsidRDefault="00DA67B3" w:rsidP="00DA67B3">
      <w:pPr>
        <w:widowControl w:val="0"/>
        <w:autoSpaceDE w:val="0"/>
        <w:autoSpaceDN w:val="0"/>
        <w:spacing w:after="0" w:line="276" w:lineRule="auto"/>
        <w:jc w:val="both"/>
        <w:rPr>
          <w:rFonts w:ascii="Verdana" w:hAnsi="Verdana" w:cs="Arial"/>
          <w:color w:val="FF0000"/>
          <w:shd w:val="clear" w:color="auto" w:fill="FFFFFF"/>
          <w:lang w:val="es-ES"/>
        </w:rPr>
      </w:pPr>
      <w:r w:rsidRPr="00DA67B3">
        <w:rPr>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DA67B3">
        <w:rPr>
          <w:rFonts w:ascii="Verdana" w:hAnsi="Verdana" w:cs="Arial"/>
          <w:color w:val="FF0000"/>
          <w:shd w:val="clear" w:color="auto" w:fill="FFFFFF"/>
          <w:lang w:val="es-ES"/>
        </w:rPr>
        <w:t xml:space="preserve"> </w:t>
      </w:r>
      <w:hyperlink r:id="rId12" w:history="1">
        <w:r w:rsidRPr="00DA67B3">
          <w:rPr>
            <w:rFonts w:ascii="Verdana" w:hAnsi="Verdana" w:cs="Arial"/>
            <w:color w:val="0563C1" w:themeColor="hyperlink"/>
            <w:u w:val="single"/>
            <w:shd w:val="clear" w:color="auto" w:fill="FFFFFF"/>
            <w:lang w:val="es-ES"/>
          </w:rPr>
          <w:t>https://www.colombiacompra.gov.co/sala-de-prensa/boletin-digital</w:t>
        </w:r>
      </w:hyperlink>
      <w:r w:rsidRPr="00DA67B3">
        <w:rPr>
          <w:rFonts w:ascii="Verdana" w:hAnsi="Verdana" w:cs="Arial"/>
          <w:color w:val="FF0000"/>
          <w:shd w:val="clear" w:color="auto" w:fill="FFFFFF"/>
          <w:lang w:val="es-ES"/>
        </w:rPr>
        <w:t xml:space="preserve">      </w:t>
      </w:r>
    </w:p>
    <w:p w14:paraId="70793128" w14:textId="77777777" w:rsidR="00DA67B3" w:rsidRPr="00DA67B3" w:rsidRDefault="00DA67B3" w:rsidP="00DA67B3">
      <w:pPr>
        <w:spacing w:after="0" w:line="240" w:lineRule="auto"/>
        <w:jc w:val="both"/>
        <w:rPr>
          <w:rFonts w:ascii="Verdana" w:hAnsi="Verdana"/>
        </w:rPr>
      </w:pPr>
    </w:p>
    <w:p w14:paraId="745FB58D" w14:textId="77777777" w:rsidR="00DA67B3" w:rsidRPr="00DA67B3" w:rsidRDefault="00DA67B3" w:rsidP="00DA67B3">
      <w:pPr>
        <w:spacing w:after="0" w:line="240" w:lineRule="auto"/>
        <w:jc w:val="both"/>
        <w:rPr>
          <w:rFonts w:ascii="Verdana" w:hAnsi="Verdana"/>
        </w:rPr>
      </w:pPr>
      <w:r w:rsidRPr="00DA67B3">
        <w:rPr>
          <w:rFonts w:ascii="Verdana" w:hAnsi="Verdana"/>
        </w:rPr>
        <w:t xml:space="preserve">Por último, lo invitamos a seguirnos en las redes sociales en las cuales se difunde información institucional: </w:t>
      </w:r>
    </w:p>
    <w:p w14:paraId="16C4E354" w14:textId="77777777" w:rsidR="00DA67B3" w:rsidRPr="00DA67B3" w:rsidRDefault="00DA67B3" w:rsidP="00DA67B3">
      <w:pPr>
        <w:spacing w:after="0" w:line="240" w:lineRule="auto"/>
        <w:jc w:val="both"/>
        <w:rPr>
          <w:rFonts w:ascii="Verdana" w:hAnsi="Verdana"/>
        </w:rPr>
      </w:pPr>
    </w:p>
    <w:p w14:paraId="1A51BFCC" w14:textId="77777777" w:rsidR="00DA67B3" w:rsidRPr="00DA67B3" w:rsidRDefault="00DA67B3" w:rsidP="00DA67B3">
      <w:pPr>
        <w:spacing w:after="0" w:line="240" w:lineRule="auto"/>
        <w:jc w:val="both"/>
        <w:rPr>
          <w:rFonts w:ascii="Verdana" w:hAnsi="Verdana"/>
        </w:rPr>
      </w:pPr>
      <w:r w:rsidRPr="00DA67B3">
        <w:rPr>
          <w:rFonts w:ascii="Verdana" w:hAnsi="Verdana"/>
        </w:rPr>
        <w:t xml:space="preserve">Twitter: </w:t>
      </w:r>
      <w:r w:rsidRPr="00DA67B3">
        <w:rPr>
          <w:rFonts w:ascii="Verdana" w:hAnsi="Verdana"/>
          <w:color w:val="4472C4" w:themeColor="accent1"/>
          <w:u w:val="single"/>
        </w:rPr>
        <w:t>@colombiacompra</w:t>
      </w:r>
      <w:r w:rsidRPr="00DA67B3">
        <w:rPr>
          <w:rFonts w:ascii="Verdana" w:hAnsi="Verdana"/>
          <w:color w:val="4472C4" w:themeColor="accent1"/>
        </w:rPr>
        <w:t xml:space="preserve"> </w:t>
      </w:r>
    </w:p>
    <w:p w14:paraId="4D37A404" w14:textId="77777777" w:rsidR="00DA67B3" w:rsidRPr="00DA67B3" w:rsidRDefault="00DA67B3" w:rsidP="00DA67B3">
      <w:pPr>
        <w:spacing w:after="0" w:line="240" w:lineRule="auto"/>
        <w:jc w:val="both"/>
        <w:rPr>
          <w:rFonts w:ascii="Verdana" w:hAnsi="Verdana"/>
        </w:rPr>
      </w:pPr>
      <w:r w:rsidRPr="00DA67B3">
        <w:rPr>
          <w:rFonts w:ascii="Verdana" w:hAnsi="Verdana"/>
        </w:rPr>
        <w:t xml:space="preserve">Facebook: </w:t>
      </w:r>
      <w:r w:rsidRPr="00DA67B3">
        <w:rPr>
          <w:rFonts w:ascii="Verdana" w:hAnsi="Verdana"/>
          <w:color w:val="4472C4" w:themeColor="accent1"/>
          <w:u w:val="single"/>
        </w:rPr>
        <w:t>ColombiaCompraEficiente</w:t>
      </w:r>
    </w:p>
    <w:p w14:paraId="6A9BFC0D" w14:textId="77777777" w:rsidR="00DA67B3" w:rsidRPr="00DA67B3" w:rsidRDefault="00DA67B3" w:rsidP="00DA67B3">
      <w:pPr>
        <w:spacing w:after="0" w:line="240" w:lineRule="auto"/>
        <w:jc w:val="both"/>
        <w:rPr>
          <w:rFonts w:ascii="Verdana" w:hAnsi="Verdana"/>
        </w:rPr>
      </w:pPr>
      <w:r w:rsidRPr="00DA67B3">
        <w:rPr>
          <w:rFonts w:ascii="Verdana" w:hAnsi="Verdana"/>
        </w:rPr>
        <w:t xml:space="preserve">LinkedIn: </w:t>
      </w:r>
      <w:r w:rsidRPr="00DA67B3">
        <w:rPr>
          <w:rFonts w:ascii="Verdana" w:hAnsi="Verdana"/>
          <w:color w:val="4472C4" w:themeColor="accent1"/>
          <w:u w:val="single"/>
        </w:rPr>
        <w:t>Agencia Nacional de Contratación Pública - Colombia Compra Eficiente</w:t>
      </w:r>
      <w:r w:rsidRPr="00DA67B3">
        <w:rPr>
          <w:rFonts w:ascii="Verdana" w:hAnsi="Verdana"/>
          <w:color w:val="4472C4" w:themeColor="accent1"/>
        </w:rPr>
        <w:t xml:space="preserve"> </w:t>
      </w:r>
      <w:r w:rsidRPr="00DA67B3">
        <w:rPr>
          <w:rFonts w:ascii="Verdana" w:hAnsi="Verdana"/>
        </w:rPr>
        <w:t xml:space="preserve">Instagram: </w:t>
      </w:r>
      <w:r w:rsidRPr="00DA67B3">
        <w:rPr>
          <w:rFonts w:ascii="Verdana" w:hAnsi="Verdana"/>
          <w:color w:val="4472C4" w:themeColor="accent1"/>
          <w:u w:val="single"/>
        </w:rPr>
        <w:t>@colombiacompraeficiente_cce</w:t>
      </w:r>
    </w:p>
    <w:p w14:paraId="7D216D50" w14:textId="77777777" w:rsidR="00DA67B3" w:rsidRPr="00DA67B3" w:rsidRDefault="00DA67B3" w:rsidP="00DA67B3">
      <w:pPr>
        <w:widowControl w:val="0"/>
        <w:autoSpaceDE w:val="0"/>
        <w:autoSpaceDN w:val="0"/>
        <w:spacing w:after="0" w:line="276" w:lineRule="auto"/>
        <w:jc w:val="both"/>
        <w:rPr>
          <w:rFonts w:ascii="Verdana" w:hAnsi="Verdana" w:cs="Arial"/>
        </w:rPr>
      </w:pPr>
    </w:p>
    <w:p w14:paraId="066B9A2A" w14:textId="77777777" w:rsidR="00DA67B3" w:rsidRPr="00DA67B3" w:rsidRDefault="00DA67B3" w:rsidP="00DA67B3">
      <w:pPr>
        <w:widowControl w:val="0"/>
        <w:autoSpaceDE w:val="0"/>
        <w:autoSpaceDN w:val="0"/>
        <w:spacing w:after="0" w:line="276" w:lineRule="auto"/>
        <w:jc w:val="both"/>
        <w:rPr>
          <w:rFonts w:ascii="Verdana" w:hAnsi="Verdana" w:cs="Arial"/>
          <w:lang w:val="es-ES_tradnl"/>
        </w:rPr>
      </w:pPr>
      <w:r w:rsidRPr="00DA67B3">
        <w:rPr>
          <w:rFonts w:ascii="Verdana" w:hAnsi="Verdana" w:cs="Arial"/>
        </w:rPr>
        <w:t xml:space="preserve">Este concepto tiene el alcance previsto en el artículo 28 del Código de Procedimiento Administrativo y de lo Contencioso Administrativo </w:t>
      </w:r>
      <w:r w:rsidRPr="00DA67B3">
        <w:rPr>
          <w:rFonts w:ascii="Verdana" w:hAnsi="Verdana" w:cs="Arial"/>
          <w:lang w:val="es-ES_tradnl"/>
        </w:rPr>
        <w:t>y las expresiones aquí utilizadas con mayúscula inicial deben ser entendidas con el significado que les otorga el artículo 2.2.1.1.1.3.1. del Decreto 1082 de 2015.</w:t>
      </w:r>
    </w:p>
    <w:p w14:paraId="6905F9B9" w14:textId="77777777" w:rsidR="00DA67B3" w:rsidRPr="00DA67B3" w:rsidRDefault="00DA67B3" w:rsidP="00DA67B3">
      <w:pPr>
        <w:spacing w:after="0" w:line="276" w:lineRule="auto"/>
        <w:ind w:firstLine="709"/>
        <w:jc w:val="both"/>
        <w:rPr>
          <w:rFonts w:ascii="Verdana" w:eastAsia="Times New Roman" w:hAnsi="Verdana" w:cs="Arial"/>
          <w:szCs w:val="24"/>
          <w:lang w:val="es-ES_tradnl" w:eastAsia="es-ES_tradnl"/>
        </w:rPr>
      </w:pPr>
    </w:p>
    <w:p w14:paraId="254A1E74" w14:textId="77777777" w:rsidR="00DA67B3" w:rsidRPr="00DA67B3" w:rsidRDefault="00DA67B3" w:rsidP="00DA67B3">
      <w:pPr>
        <w:spacing w:after="0" w:line="276" w:lineRule="auto"/>
        <w:jc w:val="both"/>
        <w:rPr>
          <w:rFonts w:ascii="Verdana" w:eastAsia="Times New Roman" w:hAnsi="Verdana" w:cs="Arial"/>
          <w:lang w:val="es-ES_tradnl" w:eastAsia="es-CO"/>
        </w:rPr>
      </w:pPr>
      <w:bookmarkStart w:id="6" w:name="_Hlk117695077"/>
      <w:r w:rsidRPr="00DA67B3">
        <w:rPr>
          <w:rFonts w:ascii="Verdana" w:eastAsia="Times New Roman" w:hAnsi="Verdana" w:cs="Arial"/>
          <w:lang w:val="es-ES_tradnl" w:eastAsia="es-CO"/>
        </w:rPr>
        <w:t>Atentamente,</w:t>
      </w:r>
    </w:p>
    <w:bookmarkEnd w:id="6"/>
    <w:p w14:paraId="277EFF5D" w14:textId="7DD594C6" w:rsidR="00DA67B3" w:rsidRPr="00DA67B3" w:rsidRDefault="00EC584E" w:rsidP="00DA67B3">
      <w:pPr>
        <w:spacing w:after="18" w:line="240" w:lineRule="auto"/>
        <w:jc w:val="center"/>
        <w:rPr>
          <w:rFonts w:ascii="Verdana" w:eastAsia="Times New Roman" w:hAnsi="Verdana" w:cs="Arial"/>
          <w:sz w:val="24"/>
          <w:szCs w:val="24"/>
          <w:lang w:eastAsia="es-CO"/>
        </w:rPr>
      </w:pPr>
      <w:r>
        <w:rPr>
          <w:noProof/>
        </w:rPr>
        <w:drawing>
          <wp:inline distT="0" distB="0" distL="0" distR="0" wp14:anchorId="05B95AB5" wp14:editId="32D97F16">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3"/>
                    <a:stretch>
                      <a:fillRect/>
                    </a:stretch>
                  </pic:blipFill>
                  <pic:spPr>
                    <a:xfrm>
                      <a:off x="0" y="0"/>
                      <a:ext cx="3771900" cy="1400175"/>
                    </a:xfrm>
                    <a:prstGeom prst="rect">
                      <a:avLst/>
                    </a:prstGeom>
                  </pic:spPr>
                </pic:pic>
              </a:graphicData>
            </a:graphic>
          </wp:inline>
        </w:drawing>
      </w:r>
    </w:p>
    <w:p w14:paraId="4E17679A" w14:textId="77777777" w:rsidR="00DA67B3" w:rsidRPr="00DA67B3" w:rsidRDefault="00DA67B3" w:rsidP="00DA67B3">
      <w:pPr>
        <w:spacing w:after="18" w:line="240" w:lineRule="auto"/>
        <w:jc w:val="center"/>
        <w:rPr>
          <w:rFonts w:ascii="Verdana" w:eastAsia="Times New Roman" w:hAnsi="Verdana" w:cs="Arial"/>
          <w:sz w:val="24"/>
          <w:szCs w:val="24"/>
          <w:lang w:eastAsia="es-CO"/>
        </w:rPr>
      </w:pP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217"/>
      </w:tblGrid>
      <w:tr w:rsidR="00DA67B3" w:rsidRPr="00DA67B3" w14:paraId="7615BF57" w14:textId="77777777" w:rsidTr="00C84781">
        <w:trPr>
          <w:trHeight w:val="286"/>
        </w:trPr>
        <w:tc>
          <w:tcPr>
            <w:tcW w:w="886" w:type="dxa"/>
            <w:vAlign w:val="center"/>
            <w:hideMark/>
          </w:tcPr>
          <w:p w14:paraId="72EE7075" w14:textId="77777777" w:rsidR="00DA67B3" w:rsidRPr="00DA67B3" w:rsidRDefault="00DA67B3" w:rsidP="00DA67B3">
            <w:pPr>
              <w:rPr>
                <w:rFonts w:ascii="Verdana" w:hAnsi="Verdana" w:cs="Arial"/>
                <w:sz w:val="14"/>
                <w:szCs w:val="14"/>
                <w:lang w:eastAsia="es-ES"/>
              </w:rPr>
            </w:pPr>
            <w:r w:rsidRPr="00DA67B3">
              <w:rPr>
                <w:rFonts w:ascii="Verdana" w:hAnsi="Verdana" w:cs="Arial"/>
                <w:sz w:val="16"/>
                <w:szCs w:val="16"/>
                <w:lang w:eastAsia="es-ES"/>
              </w:rPr>
              <w:t>Elaboró:</w:t>
            </w:r>
          </w:p>
        </w:tc>
        <w:tc>
          <w:tcPr>
            <w:tcW w:w="4217" w:type="dxa"/>
            <w:tcBorders>
              <w:top w:val="nil"/>
              <w:left w:val="nil"/>
              <w:bottom w:val="dotted" w:sz="4" w:space="0" w:color="7F7F7F"/>
              <w:right w:val="nil"/>
            </w:tcBorders>
            <w:vAlign w:val="center"/>
            <w:hideMark/>
          </w:tcPr>
          <w:p w14:paraId="405D3FD3" w14:textId="77777777" w:rsidR="00DA67B3" w:rsidRPr="00DA67B3" w:rsidRDefault="00DA67B3" w:rsidP="00DA67B3">
            <w:pPr>
              <w:rPr>
                <w:rFonts w:ascii="Verdana" w:hAnsi="Verdana" w:cs="Arial"/>
                <w:sz w:val="16"/>
                <w:szCs w:val="16"/>
                <w:lang w:val="es-ES_tradnl" w:eastAsia="es-ES"/>
              </w:rPr>
            </w:pPr>
            <w:r w:rsidRPr="00DA67B3">
              <w:rPr>
                <w:rFonts w:ascii="Verdana" w:hAnsi="Verdana" w:cs="Arial"/>
                <w:sz w:val="16"/>
                <w:szCs w:val="16"/>
                <w:lang w:val="es-ES_tradnl" w:eastAsia="es-ES"/>
              </w:rPr>
              <w:t>Ximena Ríos López</w:t>
            </w:r>
          </w:p>
          <w:p w14:paraId="54665D4A" w14:textId="77777777" w:rsidR="00DA67B3" w:rsidRPr="00DA67B3" w:rsidRDefault="00DA67B3" w:rsidP="00DA67B3">
            <w:pPr>
              <w:rPr>
                <w:rFonts w:ascii="Verdana" w:hAnsi="Verdana" w:cs="Arial"/>
                <w:sz w:val="14"/>
                <w:szCs w:val="14"/>
                <w:lang w:eastAsia="es-ES"/>
              </w:rPr>
            </w:pPr>
            <w:r w:rsidRPr="00DA67B3">
              <w:rPr>
                <w:rFonts w:ascii="Verdana" w:hAnsi="Verdana" w:cs="Arial"/>
                <w:sz w:val="16"/>
                <w:szCs w:val="16"/>
                <w:lang w:eastAsia="es-ES"/>
              </w:rPr>
              <w:t>Gestor T1-11 de la Subdirección de Gestión Contractual</w:t>
            </w:r>
          </w:p>
        </w:tc>
      </w:tr>
      <w:tr w:rsidR="00DA67B3" w:rsidRPr="00DA67B3" w14:paraId="10CFE04D" w14:textId="77777777" w:rsidTr="00C84781">
        <w:trPr>
          <w:trHeight w:val="299"/>
        </w:trPr>
        <w:tc>
          <w:tcPr>
            <w:tcW w:w="886" w:type="dxa"/>
            <w:vAlign w:val="center"/>
            <w:hideMark/>
          </w:tcPr>
          <w:p w14:paraId="3B5A562E" w14:textId="77777777" w:rsidR="00DA67B3" w:rsidRPr="00DA67B3" w:rsidRDefault="00DA67B3" w:rsidP="00DA67B3">
            <w:pPr>
              <w:rPr>
                <w:rFonts w:ascii="Verdana" w:hAnsi="Verdana" w:cs="Arial"/>
                <w:sz w:val="14"/>
                <w:szCs w:val="14"/>
                <w:lang w:eastAsia="es-ES"/>
              </w:rPr>
            </w:pPr>
            <w:r w:rsidRPr="00DA67B3">
              <w:rPr>
                <w:rFonts w:ascii="Verdana" w:hAnsi="Verdana" w:cs="Arial"/>
                <w:sz w:val="16"/>
                <w:szCs w:val="16"/>
                <w:lang w:eastAsia="es-ES"/>
              </w:rPr>
              <w:t>Revisó:</w:t>
            </w:r>
          </w:p>
        </w:tc>
        <w:tc>
          <w:tcPr>
            <w:tcW w:w="4217" w:type="dxa"/>
            <w:tcBorders>
              <w:top w:val="dotted" w:sz="4" w:space="0" w:color="7F7F7F"/>
              <w:left w:val="nil"/>
              <w:bottom w:val="dotted" w:sz="4" w:space="0" w:color="7F7F7F"/>
              <w:right w:val="nil"/>
            </w:tcBorders>
            <w:vAlign w:val="center"/>
            <w:hideMark/>
          </w:tcPr>
          <w:p w14:paraId="13A8FA01" w14:textId="77777777" w:rsidR="00DA67B3" w:rsidRPr="00DA67B3" w:rsidRDefault="00DA67B3" w:rsidP="00DA67B3">
            <w:pPr>
              <w:rPr>
                <w:rFonts w:ascii="Verdana" w:hAnsi="Verdana" w:cs="Arial"/>
                <w:sz w:val="16"/>
                <w:szCs w:val="16"/>
                <w:lang w:val="es-ES_tradnl" w:eastAsia="es-ES"/>
              </w:rPr>
            </w:pPr>
            <w:r w:rsidRPr="00DA67B3">
              <w:rPr>
                <w:rFonts w:ascii="Verdana" w:hAnsi="Verdana" w:cs="Arial"/>
                <w:sz w:val="16"/>
                <w:szCs w:val="16"/>
                <w:lang w:val="es-ES_tradnl" w:eastAsia="es-ES"/>
              </w:rPr>
              <w:t>Adriana López</w:t>
            </w:r>
          </w:p>
          <w:p w14:paraId="548BC34A" w14:textId="77777777" w:rsidR="00DA67B3" w:rsidRPr="00DA67B3" w:rsidRDefault="00DA67B3" w:rsidP="00DA67B3">
            <w:pPr>
              <w:rPr>
                <w:rFonts w:ascii="Verdana" w:hAnsi="Verdana" w:cs="Arial"/>
                <w:sz w:val="14"/>
                <w:szCs w:val="14"/>
                <w:lang w:eastAsia="es-ES"/>
              </w:rPr>
            </w:pPr>
            <w:r w:rsidRPr="00DA67B3">
              <w:rPr>
                <w:rFonts w:ascii="Verdana" w:hAnsi="Verdana" w:cs="Arial"/>
                <w:sz w:val="16"/>
                <w:szCs w:val="16"/>
                <w:lang w:eastAsia="es-ES"/>
              </w:rPr>
              <w:t>Contratista de la Subdirección de Gestión Contractual</w:t>
            </w:r>
          </w:p>
        </w:tc>
      </w:tr>
      <w:tr w:rsidR="00DA67B3" w:rsidRPr="00DA67B3" w14:paraId="1D05BCC4" w14:textId="77777777" w:rsidTr="00C84781">
        <w:trPr>
          <w:trHeight w:val="272"/>
        </w:trPr>
        <w:tc>
          <w:tcPr>
            <w:tcW w:w="886" w:type="dxa"/>
            <w:vAlign w:val="center"/>
            <w:hideMark/>
          </w:tcPr>
          <w:p w14:paraId="11DCAB77" w14:textId="77777777" w:rsidR="00DA67B3" w:rsidRPr="00DA67B3" w:rsidRDefault="00DA67B3" w:rsidP="00DA67B3">
            <w:pPr>
              <w:rPr>
                <w:rFonts w:ascii="Verdana" w:hAnsi="Verdana" w:cs="Arial"/>
                <w:sz w:val="14"/>
                <w:szCs w:val="14"/>
                <w:lang w:eastAsia="es-ES"/>
              </w:rPr>
            </w:pPr>
            <w:r w:rsidRPr="00DA67B3">
              <w:rPr>
                <w:rFonts w:ascii="Verdana" w:hAnsi="Verdana" w:cs="Arial"/>
                <w:sz w:val="16"/>
                <w:szCs w:val="16"/>
                <w:lang w:eastAsia="es-ES"/>
              </w:rPr>
              <w:t>Aprobó:</w:t>
            </w:r>
          </w:p>
        </w:tc>
        <w:tc>
          <w:tcPr>
            <w:tcW w:w="4217" w:type="dxa"/>
            <w:tcBorders>
              <w:top w:val="dotted" w:sz="4" w:space="0" w:color="7F7F7F"/>
              <w:left w:val="nil"/>
              <w:bottom w:val="dotted" w:sz="4" w:space="0" w:color="7F7F7F"/>
              <w:right w:val="nil"/>
            </w:tcBorders>
            <w:vAlign w:val="center"/>
            <w:hideMark/>
          </w:tcPr>
          <w:p w14:paraId="59AA9E44" w14:textId="77777777" w:rsidR="00DA67B3" w:rsidRPr="00DA67B3" w:rsidRDefault="00DA67B3" w:rsidP="00DA67B3">
            <w:pPr>
              <w:rPr>
                <w:rFonts w:ascii="Verdana" w:hAnsi="Verdana" w:cs="Arial"/>
                <w:sz w:val="16"/>
                <w:szCs w:val="16"/>
                <w:lang w:eastAsia="es-ES"/>
              </w:rPr>
            </w:pPr>
            <w:r w:rsidRPr="00DA67B3">
              <w:rPr>
                <w:rFonts w:ascii="Verdana" w:hAnsi="Verdana" w:cs="Arial"/>
                <w:sz w:val="16"/>
                <w:szCs w:val="16"/>
                <w:lang w:eastAsia="es-ES"/>
              </w:rPr>
              <w:t>Carolina Quintero Gacharná</w:t>
            </w:r>
          </w:p>
          <w:p w14:paraId="01866CBA" w14:textId="77777777" w:rsidR="00DA67B3" w:rsidRPr="00DA67B3" w:rsidRDefault="00DA67B3" w:rsidP="00DA67B3">
            <w:pPr>
              <w:rPr>
                <w:rFonts w:ascii="Verdana" w:hAnsi="Verdana" w:cs="Arial"/>
                <w:sz w:val="14"/>
                <w:szCs w:val="14"/>
                <w:lang w:eastAsia="es-ES"/>
              </w:rPr>
            </w:pPr>
            <w:r w:rsidRPr="00DA67B3">
              <w:rPr>
                <w:rFonts w:ascii="Verdana" w:hAnsi="Verdana" w:cs="Arial"/>
                <w:sz w:val="16"/>
                <w:szCs w:val="16"/>
                <w:lang w:eastAsia="es-ES"/>
              </w:rPr>
              <w:t>Subdirectora de Gestión Contractual ANCP – CCE</w:t>
            </w:r>
          </w:p>
        </w:tc>
      </w:tr>
    </w:tbl>
    <w:p w14:paraId="00277098" w14:textId="77777777" w:rsidR="00DA67B3" w:rsidRPr="00DA67B3" w:rsidRDefault="00DA67B3" w:rsidP="00DA67B3">
      <w:pPr>
        <w:spacing w:after="0" w:line="276" w:lineRule="auto"/>
        <w:jc w:val="both"/>
        <w:rPr>
          <w:rFonts w:ascii="Verdana" w:eastAsia="Times New Roman" w:hAnsi="Verdana" w:cs="Arial"/>
          <w:lang w:val="es-ES_tradnl"/>
        </w:rPr>
      </w:pPr>
    </w:p>
    <w:p w14:paraId="0417177B" w14:textId="77777777" w:rsidR="00DA67B3" w:rsidRPr="00DA67B3" w:rsidRDefault="00DA67B3" w:rsidP="00DA67B3">
      <w:pPr>
        <w:spacing w:after="0" w:line="240" w:lineRule="auto"/>
        <w:rPr>
          <w:rFonts w:ascii="Verdana" w:eastAsia="Times New Roman" w:hAnsi="Verdana" w:cs="Arial"/>
          <w:sz w:val="24"/>
          <w:szCs w:val="24"/>
          <w:lang w:eastAsia="es-ES_tradnl"/>
        </w:rPr>
      </w:pPr>
    </w:p>
    <w:p w14:paraId="04EC7183" w14:textId="77777777" w:rsidR="00DA67B3" w:rsidRPr="00DA67B3" w:rsidRDefault="00DA67B3" w:rsidP="00DA67B3">
      <w:pPr>
        <w:rPr>
          <w:rFonts w:ascii="Verdana" w:hAnsi="Verdana"/>
        </w:rPr>
      </w:pPr>
    </w:p>
    <w:p w14:paraId="1FCCEBF0" w14:textId="7DCB720C" w:rsidR="00322A85" w:rsidRPr="0044528D" w:rsidRDefault="00322A85" w:rsidP="00322A85">
      <w:pPr>
        <w:spacing w:after="0" w:line="240" w:lineRule="auto"/>
        <w:textAlignment w:val="baseline"/>
        <w:rPr>
          <w:rFonts w:ascii="Verdana" w:eastAsia="Times New Roman" w:hAnsi="Verdana" w:cs="Segoe UI"/>
          <w:sz w:val="18"/>
          <w:szCs w:val="18"/>
          <w:lang w:eastAsia="es-CO"/>
        </w:rPr>
      </w:pPr>
    </w:p>
    <w:p w14:paraId="13842371" w14:textId="12E379C4" w:rsidR="00322A85" w:rsidRDefault="00322A85" w:rsidP="00322A85">
      <w:pPr>
        <w:spacing w:after="0" w:line="240" w:lineRule="auto"/>
        <w:textAlignment w:val="baseline"/>
        <w:rPr>
          <w:rFonts w:ascii="Verdana" w:eastAsia="Times New Roman" w:hAnsi="Verdana" w:cs="Segoe UI"/>
          <w:sz w:val="18"/>
          <w:szCs w:val="18"/>
          <w:lang w:eastAsia="es-CO"/>
        </w:rPr>
      </w:pPr>
    </w:p>
    <w:p w14:paraId="7A3D1A7D" w14:textId="77777777" w:rsidR="0066112C" w:rsidRDefault="0066112C" w:rsidP="00322A85">
      <w:pPr>
        <w:spacing w:after="0" w:line="240" w:lineRule="auto"/>
        <w:textAlignment w:val="baseline"/>
        <w:rPr>
          <w:rFonts w:ascii="Verdana" w:eastAsia="Times New Roman" w:hAnsi="Verdana" w:cs="Segoe UI"/>
          <w:sz w:val="18"/>
          <w:szCs w:val="18"/>
          <w:lang w:eastAsia="es-CO"/>
        </w:rPr>
      </w:pPr>
    </w:p>
    <w:sectPr w:rsidR="0066112C"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CEDD86" w14:textId="77777777" w:rsidR="003A7A14" w:rsidRDefault="003A7A14" w:rsidP="004A1847">
      <w:pPr>
        <w:spacing w:after="0" w:line="240" w:lineRule="auto"/>
      </w:pPr>
      <w:r>
        <w:separator/>
      </w:r>
    </w:p>
  </w:endnote>
  <w:endnote w:type="continuationSeparator" w:id="0">
    <w:p w14:paraId="1FEB195E" w14:textId="77777777" w:rsidR="003A7A14" w:rsidRDefault="003A7A14" w:rsidP="004A1847">
      <w:pPr>
        <w:spacing w:after="0" w:line="240" w:lineRule="auto"/>
      </w:pPr>
      <w:r>
        <w:continuationSeparator/>
      </w:r>
    </w:p>
  </w:endnote>
  <w:endnote w:type="continuationNotice" w:id="1">
    <w:p w14:paraId="3617ADEB" w14:textId="77777777" w:rsidR="003A7A14" w:rsidRDefault="003A7A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Segoe UI">
    <w:altName w:val="Arial"/>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9F7CFC" w14:textId="77777777" w:rsidR="003A7A14" w:rsidRDefault="003A7A14" w:rsidP="004A1847">
      <w:pPr>
        <w:spacing w:after="0" w:line="240" w:lineRule="auto"/>
      </w:pPr>
      <w:r>
        <w:separator/>
      </w:r>
    </w:p>
  </w:footnote>
  <w:footnote w:type="continuationSeparator" w:id="0">
    <w:p w14:paraId="26807B74" w14:textId="77777777" w:rsidR="003A7A14" w:rsidRDefault="003A7A14" w:rsidP="004A1847">
      <w:pPr>
        <w:spacing w:after="0" w:line="240" w:lineRule="auto"/>
      </w:pPr>
      <w:r>
        <w:continuationSeparator/>
      </w:r>
    </w:p>
  </w:footnote>
  <w:footnote w:type="continuationNotice" w:id="1">
    <w:p w14:paraId="4BE77922" w14:textId="77777777" w:rsidR="003A7A14" w:rsidRDefault="003A7A14">
      <w:pPr>
        <w:spacing w:after="0" w:line="240" w:lineRule="auto"/>
      </w:pPr>
    </w:p>
  </w:footnote>
  <w:footnote w:id="2">
    <w:p w14:paraId="174D8C2A" w14:textId="77777777" w:rsidR="00DA67B3" w:rsidRPr="00720C66" w:rsidRDefault="00DA67B3" w:rsidP="00DA67B3">
      <w:pPr>
        <w:pStyle w:val="Textonotapie"/>
        <w:ind w:firstLine="708"/>
        <w:jc w:val="both"/>
        <w:rPr>
          <w:rFonts w:ascii="Verdana" w:hAnsi="Verdana" w:cs="Arial"/>
          <w:sz w:val="10"/>
          <w:szCs w:val="10"/>
          <w:lang w:val="es-CO"/>
        </w:rPr>
      </w:pPr>
      <w:r w:rsidRPr="00720C66">
        <w:rPr>
          <w:rStyle w:val="Refdenotaalpie"/>
          <w:rFonts w:ascii="Verdana" w:hAnsi="Verdana" w:cs="Arial"/>
          <w:sz w:val="10"/>
          <w:szCs w:val="10"/>
        </w:rPr>
        <w:footnoteRef/>
      </w:r>
      <w:r w:rsidRPr="00720C66">
        <w:rPr>
          <w:rFonts w:ascii="Verdana" w:hAnsi="Verdana" w:cs="Arial"/>
          <w:sz w:val="10"/>
          <w:szCs w:val="10"/>
        </w:rPr>
        <w:t xml:space="preserve"> </w:t>
      </w:r>
      <w:r w:rsidRPr="00720C66">
        <w:rPr>
          <w:rFonts w:ascii="Verdana" w:hAnsi="Verdana" w:cs="Arial"/>
          <w:sz w:val="10"/>
          <w:szCs w:val="10"/>
          <w:lang w:val="es-CO"/>
        </w:rPr>
        <w:t>DÁVILA VINUEZA, Luis Guillermo. Régimen jurídico de la contratación estatal. Tercera edición, Bogotá: Legis, 2016. p. 355.</w:t>
      </w:r>
    </w:p>
  </w:footnote>
  <w:footnote w:id="3">
    <w:p w14:paraId="1506E9D6" w14:textId="77777777" w:rsidR="00DA67B3" w:rsidRPr="00720C66" w:rsidRDefault="00DA67B3" w:rsidP="00DA67B3">
      <w:pPr>
        <w:pStyle w:val="Textonotapie"/>
        <w:ind w:firstLine="709"/>
        <w:contextualSpacing/>
        <w:jc w:val="both"/>
        <w:rPr>
          <w:rFonts w:ascii="Verdana" w:hAnsi="Verdana" w:cs="Arial"/>
          <w:sz w:val="10"/>
          <w:szCs w:val="10"/>
        </w:rPr>
      </w:pPr>
      <w:r w:rsidRPr="00720C66">
        <w:rPr>
          <w:rStyle w:val="Refdenotaalpie"/>
          <w:rFonts w:ascii="Verdana" w:hAnsi="Verdana" w:cs="Arial"/>
          <w:sz w:val="10"/>
          <w:szCs w:val="10"/>
        </w:rPr>
        <w:footnoteRef/>
      </w:r>
      <w:r w:rsidRPr="00720C66">
        <w:rPr>
          <w:rStyle w:val="Refdenotaalpie"/>
          <w:rFonts w:ascii="Verdana" w:hAnsi="Verdana" w:cs="Arial"/>
          <w:sz w:val="10"/>
          <w:szCs w:val="10"/>
        </w:rPr>
        <w:t xml:space="preserve"> </w:t>
      </w:r>
      <w:r w:rsidRPr="00720C66">
        <w:rPr>
          <w:rFonts w:ascii="Verdana" w:hAnsi="Verdana" w:cs="Arial"/>
          <w:sz w:val="10"/>
          <w:szCs w:val="10"/>
        </w:rPr>
        <w:t>CONSEJO DE ESTADO. Sección Tercera. Subsección B. Sentencia del 6 de junio de 2013. Exp. 25151. C.P. Stella Conto Díaz del Castillo.</w:t>
      </w:r>
    </w:p>
    <w:p w14:paraId="454565E9" w14:textId="77777777" w:rsidR="00DA67B3" w:rsidRPr="00720C66" w:rsidRDefault="00DA67B3" w:rsidP="00DA67B3">
      <w:pPr>
        <w:pStyle w:val="Textonotapie"/>
        <w:ind w:firstLine="709"/>
        <w:contextualSpacing/>
        <w:jc w:val="both"/>
        <w:rPr>
          <w:rFonts w:ascii="Verdana" w:hAnsi="Verdana" w:cs="Arial"/>
          <w:sz w:val="10"/>
          <w:szCs w:val="10"/>
        </w:rPr>
      </w:pPr>
    </w:p>
  </w:footnote>
  <w:footnote w:id="4">
    <w:p w14:paraId="12636F74" w14:textId="77777777" w:rsidR="00DA67B3" w:rsidRPr="00720C66" w:rsidRDefault="00DA67B3" w:rsidP="00DA67B3">
      <w:pPr>
        <w:pStyle w:val="Textonotapie"/>
        <w:ind w:firstLine="709"/>
        <w:contextualSpacing/>
        <w:jc w:val="both"/>
        <w:rPr>
          <w:rFonts w:ascii="Verdana" w:hAnsi="Verdana" w:cs="Arial"/>
          <w:color w:val="000000" w:themeColor="text1"/>
          <w:sz w:val="10"/>
          <w:szCs w:val="10"/>
        </w:rPr>
      </w:pPr>
    </w:p>
    <w:p w14:paraId="0BB7822C" w14:textId="77777777" w:rsidR="00DA67B3" w:rsidRPr="00720C66" w:rsidRDefault="00DA67B3" w:rsidP="00DA67B3">
      <w:pPr>
        <w:pStyle w:val="Textonotapie"/>
        <w:ind w:firstLine="709"/>
        <w:contextualSpacing/>
        <w:jc w:val="both"/>
        <w:rPr>
          <w:rFonts w:ascii="Verdana" w:hAnsi="Verdana" w:cs="Arial"/>
          <w:color w:val="000000" w:themeColor="text1"/>
          <w:sz w:val="10"/>
          <w:szCs w:val="10"/>
          <w:lang w:eastAsia="es-CO"/>
        </w:rPr>
      </w:pPr>
      <w:r w:rsidRPr="00720C66">
        <w:rPr>
          <w:rStyle w:val="Refdenotaalpie"/>
          <w:rFonts w:ascii="Verdana" w:hAnsi="Verdana" w:cs="Arial"/>
          <w:color w:val="000000" w:themeColor="text1"/>
          <w:sz w:val="10"/>
          <w:szCs w:val="10"/>
        </w:rPr>
        <w:footnoteRef/>
      </w:r>
      <w:r w:rsidRPr="00720C66">
        <w:rPr>
          <w:rFonts w:ascii="Verdana" w:hAnsi="Verdana" w:cs="Arial"/>
          <w:color w:val="000000" w:themeColor="text1"/>
          <w:sz w:val="10"/>
          <w:szCs w:val="10"/>
        </w:rPr>
        <w:t xml:space="preserve"> Ley 1150 de 2007: «Artículo 5. De la selección objetiva.</w:t>
      </w:r>
      <w:r w:rsidRPr="00720C66">
        <w:rPr>
          <w:rFonts w:ascii="Verdana" w:hAnsi="Verdana" w:cs="Arial"/>
          <w:color w:val="000000" w:themeColor="text1"/>
          <w:sz w:val="10"/>
          <w:szCs w:val="10"/>
          <w:lang w:eastAsia="es-CO"/>
        </w:rPr>
        <w:t xml:space="preserve"> </w:t>
      </w:r>
    </w:p>
    <w:p w14:paraId="1A097AF9" w14:textId="77777777" w:rsidR="00DA67B3" w:rsidRPr="00720C66" w:rsidRDefault="00DA67B3" w:rsidP="00DA67B3">
      <w:pPr>
        <w:pStyle w:val="Textonotapie"/>
        <w:ind w:firstLine="709"/>
        <w:contextualSpacing/>
        <w:jc w:val="both"/>
        <w:rPr>
          <w:rFonts w:ascii="Verdana" w:hAnsi="Verdana" w:cs="Arial"/>
          <w:color w:val="000000" w:themeColor="text1"/>
          <w:sz w:val="10"/>
          <w:szCs w:val="10"/>
          <w:lang w:eastAsia="es-CO"/>
        </w:rPr>
      </w:pPr>
      <w:r w:rsidRPr="00720C66">
        <w:rPr>
          <w:rFonts w:ascii="Verdana" w:hAnsi="Verdana" w:cs="Arial"/>
          <w:color w:val="000000" w:themeColor="text1"/>
          <w:sz w:val="10"/>
          <w:szCs w:val="10"/>
          <w:lang w:eastAsia="es-CO"/>
        </w:rPr>
        <w:t>[…]</w:t>
      </w:r>
    </w:p>
    <w:p w14:paraId="78BF63A4" w14:textId="77777777" w:rsidR="00DA67B3" w:rsidRPr="00720C66" w:rsidRDefault="00DA67B3" w:rsidP="00DA67B3">
      <w:pPr>
        <w:pStyle w:val="Textonotapie"/>
        <w:ind w:firstLine="709"/>
        <w:contextualSpacing/>
        <w:jc w:val="both"/>
        <w:rPr>
          <w:rFonts w:ascii="Verdana" w:hAnsi="Verdana" w:cs="Arial"/>
          <w:color w:val="000000" w:themeColor="text1"/>
          <w:sz w:val="10"/>
          <w:szCs w:val="10"/>
          <w:lang w:eastAsia="es-CO"/>
        </w:rPr>
      </w:pPr>
      <w:r w:rsidRPr="00720C66">
        <w:rPr>
          <w:rFonts w:ascii="Verdana" w:hAnsi="Verdana" w:cs="Arial"/>
          <w:color w:val="000000" w:themeColor="text1"/>
          <w:sz w:val="10"/>
          <w:szCs w:val="10"/>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615E8BD4" w14:textId="77777777" w:rsidR="00DA67B3" w:rsidRPr="00720C66" w:rsidRDefault="00DA67B3" w:rsidP="00DA67B3">
      <w:pPr>
        <w:pStyle w:val="Textonotapie"/>
        <w:ind w:firstLine="709"/>
        <w:contextualSpacing/>
        <w:jc w:val="both"/>
        <w:rPr>
          <w:rFonts w:ascii="Verdana" w:hAnsi="Verdana" w:cs="Arial"/>
          <w:color w:val="000000" w:themeColor="text1"/>
          <w:sz w:val="10"/>
          <w:szCs w:val="10"/>
          <w:lang w:eastAsia="es-CO"/>
        </w:rPr>
      </w:pPr>
      <w:r w:rsidRPr="00720C66">
        <w:rPr>
          <w:rFonts w:ascii="Verdana" w:hAnsi="Verdana" w:cs="Arial"/>
          <w:color w:val="000000" w:themeColor="text1"/>
          <w:sz w:val="10"/>
          <w:szCs w:val="10"/>
          <w:lang w:eastAsia="es-CO"/>
        </w:rPr>
        <w:t>[…]”.</w:t>
      </w:r>
    </w:p>
    <w:p w14:paraId="03272A99" w14:textId="77777777" w:rsidR="00DA67B3" w:rsidRPr="00720C66" w:rsidRDefault="00DA67B3" w:rsidP="00DA67B3">
      <w:pPr>
        <w:pStyle w:val="Textonotapie"/>
        <w:ind w:firstLine="709"/>
        <w:contextualSpacing/>
        <w:jc w:val="both"/>
        <w:rPr>
          <w:rFonts w:ascii="Verdana" w:hAnsi="Verdana" w:cs="Arial"/>
          <w:color w:val="000000" w:themeColor="text1"/>
          <w:sz w:val="10"/>
          <w:szCs w:val="10"/>
          <w:lang w:eastAsia="es-CO"/>
        </w:rPr>
      </w:pPr>
    </w:p>
  </w:footnote>
  <w:footnote w:id="5">
    <w:p w14:paraId="1099D640" w14:textId="77777777" w:rsidR="00DA67B3" w:rsidRPr="00720C66" w:rsidRDefault="00DA67B3" w:rsidP="00DA67B3">
      <w:pPr>
        <w:pStyle w:val="Textonotapie"/>
        <w:ind w:firstLine="709"/>
        <w:contextualSpacing/>
        <w:jc w:val="both"/>
        <w:rPr>
          <w:rFonts w:ascii="Verdana" w:hAnsi="Verdana" w:cs="Arial"/>
          <w:color w:val="000000" w:themeColor="text1"/>
          <w:sz w:val="10"/>
          <w:szCs w:val="10"/>
        </w:rPr>
      </w:pPr>
      <w:r w:rsidRPr="00720C66">
        <w:rPr>
          <w:rStyle w:val="Refdenotaalpie"/>
          <w:rFonts w:ascii="Verdana" w:hAnsi="Verdana" w:cs="Arial"/>
          <w:color w:val="000000" w:themeColor="text1"/>
          <w:sz w:val="10"/>
          <w:szCs w:val="10"/>
        </w:rPr>
        <w:footnoteRef/>
      </w:r>
      <w:r w:rsidRPr="00720C66">
        <w:rPr>
          <w:rFonts w:ascii="Verdana" w:hAnsi="Verdana" w:cs="Arial"/>
          <w:color w:val="000000" w:themeColor="text1"/>
          <w:sz w:val="10"/>
          <w:szCs w:val="10"/>
        </w:rPr>
        <w:t xml:space="preserve"> </w:t>
      </w:r>
      <w:r w:rsidRPr="00720C66">
        <w:rPr>
          <w:rFonts w:ascii="Verdana" w:hAnsi="Verdana" w:cs="Arial"/>
          <w:color w:val="000000" w:themeColor="text1"/>
          <w:sz w:val="10"/>
          <w:szCs w:val="10"/>
          <w:lang w:eastAsia="es-CO"/>
        </w:rPr>
        <w:t>CONSEJO DE ESTADO. Sección Tercera. Subsección A. Sentencia del 12 de febrero de 2014. Exp. 31.753. C.P. Mauricio Fajardo Gómez: “El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p>
  </w:footnote>
  <w:footnote w:id="6">
    <w:p w14:paraId="78BCFE3C" w14:textId="77777777" w:rsidR="00DA67B3" w:rsidRPr="00720C66" w:rsidRDefault="00DA67B3" w:rsidP="00DA67B3">
      <w:pPr>
        <w:pStyle w:val="Textonotapie"/>
        <w:ind w:firstLine="709"/>
        <w:contextualSpacing/>
        <w:jc w:val="both"/>
        <w:rPr>
          <w:rFonts w:ascii="Verdana" w:hAnsi="Verdana" w:cs="Arial"/>
          <w:sz w:val="10"/>
          <w:szCs w:val="10"/>
        </w:rPr>
      </w:pPr>
    </w:p>
    <w:p w14:paraId="0572425B" w14:textId="77777777" w:rsidR="00DA67B3" w:rsidRPr="00720C66" w:rsidRDefault="00DA67B3" w:rsidP="00DA67B3">
      <w:pPr>
        <w:pStyle w:val="Textonotapie"/>
        <w:ind w:firstLine="709"/>
        <w:contextualSpacing/>
        <w:jc w:val="both"/>
        <w:rPr>
          <w:rFonts w:ascii="Verdana" w:hAnsi="Verdana" w:cs="Arial"/>
          <w:sz w:val="10"/>
          <w:szCs w:val="10"/>
          <w:lang w:eastAsia="es-CO"/>
        </w:rPr>
      </w:pPr>
      <w:r w:rsidRPr="00720C66">
        <w:rPr>
          <w:rStyle w:val="Refdenotaalpie"/>
          <w:rFonts w:ascii="Verdana" w:hAnsi="Verdana" w:cs="Arial"/>
          <w:sz w:val="10"/>
          <w:szCs w:val="10"/>
        </w:rPr>
        <w:footnoteRef/>
      </w:r>
      <w:r w:rsidRPr="00720C66">
        <w:rPr>
          <w:rFonts w:ascii="Verdana" w:hAnsi="Verdana" w:cs="Arial"/>
          <w:sz w:val="10"/>
          <w:szCs w:val="10"/>
        </w:rPr>
        <w:t xml:space="preserve"> </w:t>
      </w:r>
      <w:r w:rsidRPr="00720C66">
        <w:rPr>
          <w:rFonts w:ascii="Verdana" w:hAnsi="Verdana" w:cs="Arial"/>
          <w:sz w:val="10"/>
          <w:szCs w:val="10"/>
          <w:lang w:eastAsia="es-CO"/>
        </w:rPr>
        <w:t xml:space="preserve">Ley 1150 de 2007: “Artículo 6.  De la verificación de las condiciones de los proponentes. </w:t>
      </w:r>
    </w:p>
    <w:p w14:paraId="0B684898" w14:textId="77777777" w:rsidR="00DA67B3" w:rsidRPr="00720C66" w:rsidRDefault="00DA67B3" w:rsidP="00DA67B3">
      <w:pPr>
        <w:pStyle w:val="Textonotapie"/>
        <w:ind w:firstLine="709"/>
        <w:contextualSpacing/>
        <w:jc w:val="both"/>
        <w:rPr>
          <w:rFonts w:ascii="Verdana" w:hAnsi="Verdana" w:cs="Arial"/>
          <w:sz w:val="10"/>
          <w:szCs w:val="10"/>
          <w:lang w:eastAsia="es-CO"/>
        </w:rPr>
      </w:pPr>
      <w:r w:rsidRPr="00720C66">
        <w:rPr>
          <w:rFonts w:ascii="Verdana" w:hAnsi="Verdana" w:cs="Arial"/>
          <w:sz w:val="10"/>
          <w:szCs w:val="10"/>
          <w:lang w:eastAsia="es-CO"/>
        </w:rPr>
        <w:t xml:space="preserve">[...] </w:t>
      </w:r>
    </w:p>
    <w:p w14:paraId="3AB5B727" w14:textId="77777777" w:rsidR="00DA67B3" w:rsidRPr="00720C66" w:rsidRDefault="00DA67B3" w:rsidP="00DA67B3">
      <w:pPr>
        <w:pStyle w:val="Textonotapie"/>
        <w:ind w:firstLine="709"/>
        <w:contextualSpacing/>
        <w:jc w:val="both"/>
        <w:rPr>
          <w:rFonts w:ascii="Verdana" w:hAnsi="Verdana" w:cs="Arial"/>
          <w:sz w:val="10"/>
          <w:szCs w:val="10"/>
          <w:lang w:eastAsia="es-CO"/>
        </w:rPr>
      </w:pPr>
      <w:r w:rsidRPr="00720C66">
        <w:rPr>
          <w:rFonts w:ascii="Verdana" w:hAnsi="Verdana" w:cs="Arial"/>
          <w:sz w:val="10"/>
          <w:szCs w:val="10"/>
          <w:lang w:eastAsia="es-CO"/>
        </w:rPr>
        <w:t>“No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68401507" w14:textId="77777777" w:rsidR="00DA67B3" w:rsidRPr="00720C66" w:rsidRDefault="00DA67B3" w:rsidP="00DA67B3">
      <w:pPr>
        <w:pStyle w:val="Textonotapie"/>
        <w:ind w:firstLine="709"/>
        <w:contextualSpacing/>
        <w:jc w:val="both"/>
        <w:rPr>
          <w:rFonts w:ascii="Verdana" w:hAnsi="Verdana" w:cs="Arial"/>
          <w:sz w:val="10"/>
          <w:szCs w:val="10"/>
          <w:lang w:eastAsia="es-CO"/>
        </w:rPr>
      </w:pPr>
      <w:r w:rsidRPr="00720C66">
        <w:rPr>
          <w:rFonts w:ascii="Verdana" w:hAnsi="Verdana" w:cs="Arial"/>
          <w:sz w:val="10"/>
          <w:szCs w:val="10"/>
          <w:lang w:eastAsia="es-CO"/>
        </w:rPr>
        <w:t xml:space="preserve">[...]”. </w:t>
      </w:r>
    </w:p>
  </w:footnote>
  <w:footnote w:id="7">
    <w:p w14:paraId="7D73A0C7" w14:textId="77777777" w:rsidR="00DA67B3" w:rsidRPr="00720C66" w:rsidRDefault="00DA67B3" w:rsidP="00DA67B3">
      <w:pPr>
        <w:pStyle w:val="Textonotapie"/>
        <w:ind w:firstLine="709"/>
        <w:contextualSpacing/>
        <w:jc w:val="both"/>
        <w:rPr>
          <w:rFonts w:ascii="Verdana" w:hAnsi="Verdana" w:cs="Arial"/>
          <w:sz w:val="10"/>
          <w:szCs w:val="10"/>
        </w:rPr>
      </w:pPr>
    </w:p>
    <w:p w14:paraId="57EC006E" w14:textId="77777777" w:rsidR="00DA67B3" w:rsidRPr="00720C66" w:rsidRDefault="00DA67B3" w:rsidP="00DA67B3">
      <w:pPr>
        <w:pStyle w:val="Textonotapie"/>
        <w:ind w:firstLine="709"/>
        <w:contextualSpacing/>
        <w:jc w:val="both"/>
        <w:rPr>
          <w:rFonts w:ascii="Verdana" w:hAnsi="Verdana" w:cs="Arial"/>
          <w:sz w:val="10"/>
          <w:szCs w:val="10"/>
          <w:lang w:eastAsia="es-CO"/>
        </w:rPr>
      </w:pPr>
      <w:r w:rsidRPr="00720C66">
        <w:rPr>
          <w:rStyle w:val="Refdenotaalpie"/>
          <w:rFonts w:ascii="Verdana" w:hAnsi="Verdana" w:cs="Arial"/>
          <w:sz w:val="10"/>
          <w:szCs w:val="10"/>
        </w:rPr>
        <w:footnoteRef/>
      </w:r>
      <w:r w:rsidRPr="00720C66">
        <w:rPr>
          <w:rFonts w:ascii="Verdana" w:hAnsi="Verdana" w:cs="Arial"/>
          <w:sz w:val="10"/>
          <w:szCs w:val="10"/>
        </w:rPr>
        <w:t xml:space="preserve"> Ley 1150 de 2007:</w:t>
      </w:r>
      <w:r w:rsidRPr="00720C66">
        <w:rPr>
          <w:rFonts w:ascii="Verdana" w:hAnsi="Verdana" w:cs="Arial"/>
          <w:sz w:val="10"/>
          <w:szCs w:val="10"/>
          <w:lang w:eastAsia="es-CO"/>
        </w:rPr>
        <w:t xml:space="preserve"> “6.1. [...] 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13D96BD5" w14:textId="77777777" w:rsidR="00DA67B3" w:rsidRPr="00720C66" w:rsidRDefault="00DA67B3" w:rsidP="00DA67B3">
      <w:pPr>
        <w:pStyle w:val="Textonotapie"/>
        <w:ind w:firstLine="709"/>
        <w:contextualSpacing/>
        <w:jc w:val="both"/>
        <w:rPr>
          <w:rFonts w:ascii="Verdana" w:hAnsi="Verdana" w:cs="Arial"/>
          <w:sz w:val="10"/>
          <w:szCs w:val="10"/>
          <w:lang w:eastAsia="es-CO"/>
        </w:rPr>
      </w:pPr>
    </w:p>
  </w:footnote>
  <w:footnote w:id="8">
    <w:p w14:paraId="170A8520" w14:textId="77777777" w:rsidR="00DA67B3" w:rsidRPr="00720C66" w:rsidRDefault="00DA67B3" w:rsidP="00DA67B3">
      <w:pPr>
        <w:pStyle w:val="Textonotapie"/>
        <w:ind w:firstLine="709"/>
        <w:contextualSpacing/>
        <w:jc w:val="both"/>
        <w:rPr>
          <w:rFonts w:ascii="Verdana" w:hAnsi="Verdana" w:cs="Arial"/>
          <w:color w:val="000000" w:themeColor="text1"/>
          <w:sz w:val="10"/>
          <w:szCs w:val="10"/>
        </w:rPr>
      </w:pPr>
      <w:r w:rsidRPr="00720C66">
        <w:rPr>
          <w:rStyle w:val="Refdenotaalpie"/>
          <w:rFonts w:ascii="Verdana" w:hAnsi="Verdana" w:cs="Arial"/>
          <w:color w:val="000000" w:themeColor="text1"/>
          <w:sz w:val="10"/>
          <w:szCs w:val="10"/>
        </w:rPr>
        <w:footnoteRef/>
      </w:r>
      <w:r w:rsidRPr="00720C66">
        <w:rPr>
          <w:rFonts w:ascii="Verdana" w:hAnsi="Verdana" w:cs="Arial"/>
          <w:color w:val="000000" w:themeColor="text1"/>
          <w:sz w:val="10"/>
          <w:szCs w:val="10"/>
        </w:rPr>
        <w:t xml:space="preserve"> </w:t>
      </w:r>
      <w:r w:rsidRPr="00720C66">
        <w:rPr>
          <w:rFonts w:ascii="Verdana" w:hAnsi="Verdana" w:cs="Arial"/>
          <w:color w:val="000000" w:themeColor="text1"/>
          <w:sz w:val="10"/>
          <w:szCs w:val="10"/>
          <w:lang w:eastAsia="es-CO"/>
        </w:rPr>
        <w:t>Consejo de Estado. Sala de Consulta y Servicio Civil. Consulta del 20 de mayo de 2010. Exp.1992. C. P. Enrique José Arboleda Perdomo.</w:t>
      </w:r>
    </w:p>
  </w:footnote>
  <w:footnote w:id="9">
    <w:p w14:paraId="09A1DFB1" w14:textId="77777777" w:rsidR="00DA67B3" w:rsidRPr="00720C66" w:rsidRDefault="00DA67B3" w:rsidP="00DA67B3">
      <w:pPr>
        <w:pStyle w:val="Textonotapie"/>
        <w:ind w:firstLine="709"/>
        <w:contextualSpacing/>
        <w:jc w:val="both"/>
        <w:rPr>
          <w:rFonts w:ascii="Verdana" w:hAnsi="Verdana" w:cs="Arial"/>
          <w:color w:val="000000" w:themeColor="text1"/>
          <w:sz w:val="10"/>
          <w:szCs w:val="10"/>
          <w:lang w:eastAsia="es-CO"/>
        </w:rPr>
      </w:pPr>
    </w:p>
    <w:p w14:paraId="220F2C38" w14:textId="77777777" w:rsidR="00DA67B3" w:rsidRPr="00720C66" w:rsidRDefault="00DA67B3" w:rsidP="00DA67B3">
      <w:pPr>
        <w:pStyle w:val="Textonotapie"/>
        <w:ind w:firstLine="709"/>
        <w:contextualSpacing/>
        <w:jc w:val="both"/>
        <w:rPr>
          <w:rFonts w:ascii="Verdana" w:hAnsi="Verdana" w:cs="Arial"/>
          <w:color w:val="000000" w:themeColor="text1"/>
          <w:sz w:val="10"/>
          <w:szCs w:val="10"/>
          <w:lang w:eastAsia="es-CO"/>
        </w:rPr>
      </w:pPr>
      <w:r w:rsidRPr="00720C66">
        <w:rPr>
          <w:rStyle w:val="Refdenotaalpie"/>
          <w:rFonts w:ascii="Verdana" w:hAnsi="Verdana" w:cs="Arial"/>
          <w:color w:val="000000" w:themeColor="text1"/>
          <w:sz w:val="10"/>
          <w:szCs w:val="10"/>
        </w:rPr>
        <w:footnoteRef/>
      </w:r>
      <w:r>
        <w:rPr>
          <w:rFonts w:ascii="Verdana" w:hAnsi="Verdana" w:cs="Arial"/>
          <w:color w:val="000000" w:themeColor="text1"/>
          <w:sz w:val="10"/>
          <w:szCs w:val="10"/>
          <w:lang w:eastAsia="es-CO"/>
        </w:rPr>
        <w:t xml:space="preserve"> </w:t>
      </w:r>
      <w:r w:rsidRPr="00720C66">
        <w:rPr>
          <w:rFonts w:ascii="Verdana" w:hAnsi="Verdana" w:cs="Arial"/>
          <w:color w:val="000000" w:themeColor="text1"/>
          <w:sz w:val="10"/>
          <w:szCs w:val="10"/>
          <w:lang w:eastAsia="es-CO"/>
        </w:rPr>
        <w:t>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3B202C8C" w14:textId="77777777" w:rsidR="00DA67B3" w:rsidRPr="00720C66" w:rsidRDefault="00DA67B3" w:rsidP="00DA67B3">
      <w:pPr>
        <w:pStyle w:val="Textonotapie"/>
        <w:ind w:firstLine="708"/>
        <w:contextualSpacing/>
        <w:jc w:val="both"/>
        <w:rPr>
          <w:rFonts w:ascii="Verdana" w:hAnsi="Verdana" w:cs="Arial"/>
          <w:color w:val="000000" w:themeColor="text1"/>
          <w:sz w:val="10"/>
          <w:szCs w:val="10"/>
        </w:rPr>
      </w:pPr>
      <w:r w:rsidRPr="00720C66">
        <w:rPr>
          <w:rFonts w:ascii="Verdana" w:hAnsi="Verdana" w:cs="Arial"/>
          <w:color w:val="000000" w:themeColor="text1"/>
          <w:sz w:val="10"/>
          <w:szCs w:val="10"/>
          <w:lang w:eastAsia="es-CO"/>
        </w:rPr>
        <w:t xml:space="preserve">[...]”. </w:t>
      </w:r>
      <w:r w:rsidRPr="00720C66">
        <w:rPr>
          <w:rFonts w:ascii="Verdana" w:hAnsi="Verdana" w:cs="Arial"/>
          <w:color w:val="000000" w:themeColor="text1"/>
          <w:sz w:val="10"/>
          <w:szCs w:val="10"/>
        </w:rPr>
        <w:t xml:space="preserve"> </w:t>
      </w:r>
    </w:p>
    <w:p w14:paraId="5C59C648" w14:textId="77777777" w:rsidR="00DA67B3" w:rsidRPr="00720C66" w:rsidRDefault="00DA67B3" w:rsidP="00DA67B3">
      <w:pPr>
        <w:pStyle w:val="Textonotapie"/>
        <w:ind w:firstLine="708"/>
        <w:contextualSpacing/>
        <w:jc w:val="both"/>
        <w:rPr>
          <w:rFonts w:ascii="Verdana" w:hAnsi="Verdana" w:cs="Arial"/>
          <w:color w:val="000000" w:themeColor="text1"/>
          <w:sz w:val="10"/>
          <w:szCs w:val="10"/>
        </w:rPr>
      </w:pPr>
    </w:p>
  </w:footnote>
  <w:footnote w:id="10">
    <w:p w14:paraId="7B18A6AC" w14:textId="77777777" w:rsidR="00DA67B3" w:rsidRPr="00720C66" w:rsidRDefault="00DA67B3" w:rsidP="00DA67B3">
      <w:pPr>
        <w:pStyle w:val="Textonotapie"/>
        <w:ind w:firstLine="708"/>
        <w:contextualSpacing/>
        <w:jc w:val="both"/>
        <w:rPr>
          <w:rFonts w:ascii="Verdana" w:hAnsi="Verdana" w:cs="Arial"/>
          <w:color w:val="000000" w:themeColor="text1"/>
          <w:sz w:val="10"/>
          <w:szCs w:val="10"/>
        </w:rPr>
      </w:pPr>
      <w:r w:rsidRPr="00720C66">
        <w:rPr>
          <w:rStyle w:val="Refdenotaalpie"/>
          <w:rFonts w:ascii="Verdana" w:hAnsi="Verdana" w:cs="Arial"/>
          <w:color w:val="000000" w:themeColor="text1"/>
          <w:sz w:val="10"/>
          <w:szCs w:val="10"/>
        </w:rPr>
        <w:footnoteRef/>
      </w:r>
      <w:r w:rsidRPr="00720C66">
        <w:rPr>
          <w:rFonts w:ascii="Verdana" w:hAnsi="Verdana" w:cs="Arial"/>
          <w:color w:val="000000" w:themeColor="text1"/>
          <w:sz w:val="10"/>
          <w:szCs w:val="10"/>
          <w:lang w:eastAsia="es-CO"/>
        </w:rPr>
        <w:t xml:space="preserve"> “¨[...]</w:t>
      </w:r>
      <w:r w:rsidRPr="00720C66">
        <w:rPr>
          <w:rFonts w:ascii="Verdana" w:hAnsi="Verdana" w:cs="Arial"/>
          <w:color w:val="000000" w:themeColor="text1"/>
          <w:sz w:val="10"/>
          <w:szCs w:val="10"/>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r w:rsidRPr="00720C66">
        <w:rPr>
          <w:rFonts w:ascii="Verdana" w:hAnsi="Verdana" w:cs="Arial"/>
          <w:color w:val="000000" w:themeColor="text1"/>
          <w:sz w:val="10"/>
          <w:szCs w:val="10"/>
          <w:lang w:eastAsia="es-CO"/>
        </w:rPr>
        <w:t xml:space="preserve">[...]”. </w:t>
      </w:r>
      <w:r w:rsidRPr="00720C66">
        <w:rPr>
          <w:rFonts w:ascii="Verdana" w:hAnsi="Verdana" w:cs="Arial"/>
          <w:color w:val="000000" w:themeColor="text1"/>
          <w:sz w:val="10"/>
          <w:szCs w:val="10"/>
        </w:rPr>
        <w:t xml:space="preserve"> </w:t>
      </w:r>
    </w:p>
    <w:p w14:paraId="7BBF119C" w14:textId="77777777" w:rsidR="00DA67B3" w:rsidRPr="00720C66" w:rsidRDefault="00DA67B3" w:rsidP="00DA67B3">
      <w:pPr>
        <w:pStyle w:val="Textonotapie"/>
        <w:ind w:firstLine="708"/>
        <w:contextualSpacing/>
        <w:jc w:val="both"/>
        <w:rPr>
          <w:rFonts w:ascii="Verdana" w:hAnsi="Verdana" w:cs="Arial"/>
          <w:color w:val="000000" w:themeColor="text1"/>
          <w:sz w:val="10"/>
          <w:szCs w:val="10"/>
          <w:lang w:val="es-CO"/>
        </w:rPr>
      </w:pPr>
    </w:p>
  </w:footnote>
  <w:footnote w:id="11">
    <w:p w14:paraId="6C139B0F" w14:textId="77777777" w:rsidR="00DA67B3" w:rsidRPr="00720C66" w:rsidRDefault="00DA67B3" w:rsidP="00DA67B3">
      <w:pPr>
        <w:pStyle w:val="Textonotapie"/>
        <w:ind w:firstLine="709"/>
        <w:contextualSpacing/>
        <w:jc w:val="both"/>
        <w:rPr>
          <w:rFonts w:ascii="Verdana" w:hAnsi="Verdana" w:cs="Arial"/>
          <w:color w:val="000000" w:themeColor="text1"/>
          <w:sz w:val="10"/>
          <w:szCs w:val="10"/>
          <w:lang w:eastAsia="es-CO"/>
        </w:rPr>
      </w:pPr>
      <w:r w:rsidRPr="00720C66">
        <w:rPr>
          <w:rStyle w:val="Refdenotaalpie"/>
          <w:rFonts w:ascii="Verdana" w:hAnsi="Verdana" w:cs="Arial"/>
          <w:color w:val="000000" w:themeColor="text1"/>
          <w:sz w:val="10"/>
          <w:szCs w:val="10"/>
        </w:rPr>
        <w:footnoteRef/>
      </w:r>
      <w:r w:rsidRPr="00720C66">
        <w:rPr>
          <w:rFonts w:ascii="Verdana" w:hAnsi="Verdana" w:cs="Arial"/>
          <w:color w:val="000000" w:themeColor="text1"/>
          <w:sz w:val="10"/>
          <w:szCs w:val="10"/>
        </w:rPr>
        <w:t xml:space="preserve"> </w:t>
      </w:r>
      <w:r w:rsidRPr="00720C66">
        <w:rPr>
          <w:rFonts w:ascii="Verdana" w:hAnsi="Verdana" w:cs="Arial"/>
          <w:color w:val="000000" w:themeColor="text1"/>
          <w:sz w:val="10"/>
          <w:szCs w:val="10"/>
          <w:lang w:eastAsia="es-CO"/>
        </w:rPr>
        <w:t>Decreto 1082 de 2015:</w:t>
      </w:r>
      <w:r w:rsidRPr="00720C66">
        <w:rPr>
          <w:rFonts w:ascii="Verdana" w:hAnsi="Verdana" w:cs="Arial"/>
          <w:color w:val="000000" w:themeColor="text1"/>
          <w:sz w:val="10"/>
          <w:szCs w:val="10"/>
        </w:rPr>
        <w:t xml:space="preserve"> </w:t>
      </w:r>
      <w:r w:rsidRPr="00720C66">
        <w:rPr>
          <w:rFonts w:ascii="Verdana" w:hAnsi="Verdana" w:cs="Arial"/>
          <w:color w:val="000000" w:themeColor="text1"/>
          <w:sz w:val="10"/>
          <w:szCs w:val="10"/>
          <w:lang w:eastAsia="es-CO"/>
        </w:rPr>
        <w:t>“Artículo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4730855C" w14:textId="77777777" w:rsidR="00DA67B3" w:rsidRPr="00720C66" w:rsidRDefault="00DA67B3" w:rsidP="00DA67B3">
      <w:pPr>
        <w:pStyle w:val="Textonotapie"/>
        <w:ind w:firstLine="709"/>
        <w:contextualSpacing/>
        <w:jc w:val="both"/>
        <w:rPr>
          <w:rFonts w:ascii="Verdana" w:hAnsi="Verdana" w:cs="Arial"/>
          <w:color w:val="000000" w:themeColor="text1"/>
          <w:sz w:val="10"/>
          <w:szCs w:val="10"/>
          <w:lang w:eastAsia="es-CO"/>
        </w:rPr>
      </w:pPr>
      <w:r w:rsidRPr="00720C66">
        <w:rPr>
          <w:rFonts w:ascii="Verdana" w:hAnsi="Verdana" w:cs="Arial"/>
          <w:color w:val="000000" w:themeColor="text1"/>
          <w:sz w:val="10"/>
          <w:szCs w:val="10"/>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2B78FE74" w14:textId="77777777" w:rsidR="00DA67B3" w:rsidRDefault="00DA67B3" w:rsidP="00DA67B3">
      <w:pPr>
        <w:pStyle w:val="Textonotapie"/>
        <w:ind w:firstLine="709"/>
        <w:contextualSpacing/>
        <w:jc w:val="both"/>
        <w:rPr>
          <w:rFonts w:ascii="Verdana" w:hAnsi="Verdana" w:cs="Arial"/>
          <w:color w:val="000000" w:themeColor="text1"/>
          <w:sz w:val="10"/>
          <w:szCs w:val="10"/>
          <w:lang w:eastAsia="es-CO"/>
        </w:rPr>
      </w:pPr>
      <w:r w:rsidRPr="00720C66">
        <w:rPr>
          <w:rFonts w:ascii="Verdana" w:hAnsi="Verdana" w:cs="Arial"/>
          <w:color w:val="000000" w:themeColor="text1"/>
          <w:sz w:val="10"/>
          <w:szCs w:val="10"/>
          <w:lang w:eastAsia="es-CO"/>
        </w:rPr>
        <w:t>“Los inscritos en el RUP pueden en cualquier momento solicitar a la cámara de comercio cancelar su inscripción”.</w:t>
      </w:r>
    </w:p>
    <w:p w14:paraId="5BC66E6C" w14:textId="77777777" w:rsidR="00DA67B3" w:rsidRPr="00720C66" w:rsidRDefault="00DA67B3" w:rsidP="00DA67B3">
      <w:pPr>
        <w:pStyle w:val="Textonotapie"/>
        <w:ind w:firstLine="709"/>
        <w:contextualSpacing/>
        <w:jc w:val="both"/>
        <w:rPr>
          <w:rFonts w:ascii="Verdana" w:hAnsi="Verdana" w:cs="Arial"/>
          <w:color w:val="000000" w:themeColor="text1"/>
          <w:sz w:val="10"/>
          <w:szCs w:val="10"/>
          <w:lang w:eastAsia="es-CO"/>
        </w:rPr>
      </w:pPr>
    </w:p>
  </w:footnote>
  <w:footnote w:id="12">
    <w:p w14:paraId="66870D9C" w14:textId="77777777" w:rsidR="00DA67B3" w:rsidRPr="00720C66" w:rsidRDefault="00DA67B3" w:rsidP="00DA67B3">
      <w:pPr>
        <w:pStyle w:val="Textonotapie"/>
        <w:ind w:firstLine="708"/>
        <w:contextualSpacing/>
        <w:jc w:val="both"/>
        <w:rPr>
          <w:rFonts w:ascii="Verdana" w:hAnsi="Verdana" w:cs="Arial"/>
          <w:sz w:val="10"/>
          <w:szCs w:val="10"/>
        </w:rPr>
      </w:pPr>
      <w:r w:rsidRPr="00720C66">
        <w:rPr>
          <w:rStyle w:val="Refdenotaalpie"/>
          <w:rFonts w:ascii="Verdana" w:hAnsi="Verdana" w:cs="Arial"/>
          <w:sz w:val="10"/>
          <w:szCs w:val="10"/>
        </w:rPr>
        <w:footnoteRef/>
      </w:r>
      <w:r w:rsidRPr="00720C66">
        <w:rPr>
          <w:rFonts w:ascii="Verdana" w:hAnsi="Verdana" w:cs="Arial"/>
          <w:sz w:val="10"/>
          <w:szCs w:val="10"/>
        </w:rPr>
        <w:t xml:space="preserve"> Como se señaló, el artículo 6 de la Ley 1150 de 2007 impuso la obligación a todos los proponentes de inscribirse en el Registro Único de Proponente, salvo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5pt;height:11.5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A5E45D3"/>
    <w:multiLevelType w:val="hybridMultilevel"/>
    <w:tmpl w:val="7CB486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D090EB0"/>
    <w:multiLevelType w:val="hybridMultilevel"/>
    <w:tmpl w:val="FBDE41E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1"/>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0"/>
  </w:num>
  <w:num w:numId="13" w16cid:durableId="1512908409">
    <w:abstractNumId w:val="4"/>
  </w:num>
  <w:num w:numId="14" w16cid:durableId="895897244">
    <w:abstractNumId w:val="15"/>
  </w:num>
  <w:num w:numId="15" w16cid:durableId="390349800">
    <w:abstractNumId w:val="11"/>
  </w:num>
  <w:num w:numId="16" w16cid:durableId="679089576">
    <w:abstractNumId w:val="10"/>
  </w:num>
  <w:num w:numId="17" w16cid:durableId="1934509070">
    <w:abstractNumId w:val="3"/>
  </w:num>
  <w:num w:numId="18" w16cid:durableId="14883528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A683E"/>
    <w:rsid w:val="000B19B9"/>
    <w:rsid w:val="000D0334"/>
    <w:rsid w:val="000F4569"/>
    <w:rsid w:val="000F6486"/>
    <w:rsid w:val="00125105"/>
    <w:rsid w:val="00127233"/>
    <w:rsid w:val="00186DA7"/>
    <w:rsid w:val="001B55EA"/>
    <w:rsid w:val="001D3FC9"/>
    <w:rsid w:val="001E4177"/>
    <w:rsid w:val="001F722D"/>
    <w:rsid w:val="001F7DC6"/>
    <w:rsid w:val="002421BB"/>
    <w:rsid w:val="0025796E"/>
    <w:rsid w:val="002707A2"/>
    <w:rsid w:val="002876F6"/>
    <w:rsid w:val="002951A0"/>
    <w:rsid w:val="002962BC"/>
    <w:rsid w:val="002A093D"/>
    <w:rsid w:val="002A0DD0"/>
    <w:rsid w:val="002A49AC"/>
    <w:rsid w:val="002A64FD"/>
    <w:rsid w:val="002C7A84"/>
    <w:rsid w:val="002E4FD9"/>
    <w:rsid w:val="00322A85"/>
    <w:rsid w:val="00324168"/>
    <w:rsid w:val="0033058C"/>
    <w:rsid w:val="003448F4"/>
    <w:rsid w:val="00374F5E"/>
    <w:rsid w:val="00375053"/>
    <w:rsid w:val="00377E3E"/>
    <w:rsid w:val="00380C94"/>
    <w:rsid w:val="003A26D1"/>
    <w:rsid w:val="003A779E"/>
    <w:rsid w:val="003A7A14"/>
    <w:rsid w:val="003D0F4D"/>
    <w:rsid w:val="003D5B0D"/>
    <w:rsid w:val="003E0499"/>
    <w:rsid w:val="003F3941"/>
    <w:rsid w:val="00406575"/>
    <w:rsid w:val="0042722E"/>
    <w:rsid w:val="0044528D"/>
    <w:rsid w:val="00495B0F"/>
    <w:rsid w:val="004A1847"/>
    <w:rsid w:val="004A2695"/>
    <w:rsid w:val="004A305D"/>
    <w:rsid w:val="004D0880"/>
    <w:rsid w:val="004F21C4"/>
    <w:rsid w:val="004F685F"/>
    <w:rsid w:val="00503D94"/>
    <w:rsid w:val="00540289"/>
    <w:rsid w:val="005566E8"/>
    <w:rsid w:val="00572496"/>
    <w:rsid w:val="00574867"/>
    <w:rsid w:val="00591460"/>
    <w:rsid w:val="00592628"/>
    <w:rsid w:val="005C3777"/>
    <w:rsid w:val="005C5CDC"/>
    <w:rsid w:val="005D476C"/>
    <w:rsid w:val="00610812"/>
    <w:rsid w:val="006126E0"/>
    <w:rsid w:val="006219F8"/>
    <w:rsid w:val="00647131"/>
    <w:rsid w:val="00650FF7"/>
    <w:rsid w:val="0066112C"/>
    <w:rsid w:val="00665D70"/>
    <w:rsid w:val="00671DAC"/>
    <w:rsid w:val="006900D9"/>
    <w:rsid w:val="00690CA0"/>
    <w:rsid w:val="006A4E7A"/>
    <w:rsid w:val="006B1DAB"/>
    <w:rsid w:val="006D12F8"/>
    <w:rsid w:val="006D76A4"/>
    <w:rsid w:val="00705A91"/>
    <w:rsid w:val="00706C16"/>
    <w:rsid w:val="00756841"/>
    <w:rsid w:val="007649AB"/>
    <w:rsid w:val="00770DFD"/>
    <w:rsid w:val="00771D0C"/>
    <w:rsid w:val="007833AC"/>
    <w:rsid w:val="007B268C"/>
    <w:rsid w:val="007B4E5A"/>
    <w:rsid w:val="007B7171"/>
    <w:rsid w:val="007C0C0F"/>
    <w:rsid w:val="007C3DC2"/>
    <w:rsid w:val="007E5497"/>
    <w:rsid w:val="00806F5F"/>
    <w:rsid w:val="00820278"/>
    <w:rsid w:val="008660BF"/>
    <w:rsid w:val="008843B6"/>
    <w:rsid w:val="00891928"/>
    <w:rsid w:val="008A446D"/>
    <w:rsid w:val="008C6489"/>
    <w:rsid w:val="008D180B"/>
    <w:rsid w:val="008F0EA7"/>
    <w:rsid w:val="009130B4"/>
    <w:rsid w:val="009131D9"/>
    <w:rsid w:val="00916F72"/>
    <w:rsid w:val="00923EEF"/>
    <w:rsid w:val="009419F9"/>
    <w:rsid w:val="0095685E"/>
    <w:rsid w:val="00961B09"/>
    <w:rsid w:val="00965334"/>
    <w:rsid w:val="009676B3"/>
    <w:rsid w:val="0097093E"/>
    <w:rsid w:val="009A0DFA"/>
    <w:rsid w:val="009B2D26"/>
    <w:rsid w:val="009C71FA"/>
    <w:rsid w:val="009C72E7"/>
    <w:rsid w:val="009D3058"/>
    <w:rsid w:val="009D31FA"/>
    <w:rsid w:val="009F3A13"/>
    <w:rsid w:val="00A122D3"/>
    <w:rsid w:val="00A137D2"/>
    <w:rsid w:val="00A1486C"/>
    <w:rsid w:val="00A17F13"/>
    <w:rsid w:val="00A20739"/>
    <w:rsid w:val="00A33C78"/>
    <w:rsid w:val="00AB0ADB"/>
    <w:rsid w:val="00AE4352"/>
    <w:rsid w:val="00B01B1A"/>
    <w:rsid w:val="00B61271"/>
    <w:rsid w:val="00B72CD3"/>
    <w:rsid w:val="00B72FFF"/>
    <w:rsid w:val="00BB0C9C"/>
    <w:rsid w:val="00BC3D36"/>
    <w:rsid w:val="00BD7F72"/>
    <w:rsid w:val="00C04FB3"/>
    <w:rsid w:val="00C330EB"/>
    <w:rsid w:val="00C754BE"/>
    <w:rsid w:val="00C76B1C"/>
    <w:rsid w:val="00C80B56"/>
    <w:rsid w:val="00CB6357"/>
    <w:rsid w:val="00CC1B26"/>
    <w:rsid w:val="00CF31FA"/>
    <w:rsid w:val="00D000FD"/>
    <w:rsid w:val="00D423A2"/>
    <w:rsid w:val="00D520D8"/>
    <w:rsid w:val="00D63AC2"/>
    <w:rsid w:val="00D668AF"/>
    <w:rsid w:val="00D7383B"/>
    <w:rsid w:val="00D74107"/>
    <w:rsid w:val="00DA231B"/>
    <w:rsid w:val="00DA23A0"/>
    <w:rsid w:val="00DA67B3"/>
    <w:rsid w:val="00DC39FC"/>
    <w:rsid w:val="00DF5254"/>
    <w:rsid w:val="00E16408"/>
    <w:rsid w:val="00E20894"/>
    <w:rsid w:val="00E245AB"/>
    <w:rsid w:val="00E2764C"/>
    <w:rsid w:val="00E27F2E"/>
    <w:rsid w:val="00E413EA"/>
    <w:rsid w:val="00E465F7"/>
    <w:rsid w:val="00E4747A"/>
    <w:rsid w:val="00E50AFE"/>
    <w:rsid w:val="00E75C92"/>
    <w:rsid w:val="00E771DC"/>
    <w:rsid w:val="00E8772A"/>
    <w:rsid w:val="00E90F6B"/>
    <w:rsid w:val="00E92C27"/>
    <w:rsid w:val="00EA0E3D"/>
    <w:rsid w:val="00EC38A7"/>
    <w:rsid w:val="00EC584E"/>
    <w:rsid w:val="00EE1AA8"/>
    <w:rsid w:val="00F00A1C"/>
    <w:rsid w:val="00F10141"/>
    <w:rsid w:val="00F31EDC"/>
    <w:rsid w:val="00F462B3"/>
    <w:rsid w:val="00F5664F"/>
    <w:rsid w:val="00F666C4"/>
    <w:rsid w:val="00F751ED"/>
    <w:rsid w:val="00F76AFC"/>
    <w:rsid w:val="00F76B27"/>
    <w:rsid w:val="00FA47C0"/>
    <w:rsid w:val="00FB5DD1"/>
    <w:rsid w:val="00FC2B5D"/>
    <w:rsid w:val="00FE081A"/>
    <w:rsid w:val="00FF1449"/>
    <w:rsid w:val="00FF603D"/>
    <w:rsid w:val="5CEADB7B"/>
    <w:rsid w:val="6DEE92B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59"/>
    <w:rsid w:val="00DA67B3"/>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DA67B3"/>
    <w:pPr>
      <w:spacing w:line="240" w:lineRule="exact"/>
    </w:pPr>
    <w:rPr>
      <w:vertAlign w:val="superscript"/>
    </w:rPr>
  </w:style>
  <w:style w:type="character" w:styleId="Refdecomentario">
    <w:name w:val="annotation reference"/>
    <w:basedOn w:val="Fuentedeprrafopredeter"/>
    <w:uiPriority w:val="99"/>
    <w:semiHidden/>
    <w:unhideWhenUsed/>
    <w:rsid w:val="00503D94"/>
    <w:rPr>
      <w:sz w:val="16"/>
      <w:szCs w:val="16"/>
    </w:rPr>
  </w:style>
  <w:style w:type="paragraph" w:styleId="Textocomentario">
    <w:name w:val="annotation text"/>
    <w:basedOn w:val="Normal"/>
    <w:link w:val="TextocomentarioCar"/>
    <w:uiPriority w:val="99"/>
    <w:unhideWhenUsed/>
    <w:rsid w:val="00503D94"/>
    <w:pPr>
      <w:spacing w:line="240" w:lineRule="auto"/>
    </w:pPr>
    <w:rPr>
      <w:sz w:val="20"/>
      <w:szCs w:val="20"/>
    </w:rPr>
  </w:style>
  <w:style w:type="character" w:customStyle="1" w:styleId="TextocomentarioCar">
    <w:name w:val="Texto comentario Car"/>
    <w:basedOn w:val="Fuentedeprrafopredeter"/>
    <w:link w:val="Textocomentario"/>
    <w:uiPriority w:val="99"/>
    <w:rsid w:val="00503D94"/>
    <w:rPr>
      <w:sz w:val="20"/>
      <w:szCs w:val="20"/>
    </w:rPr>
  </w:style>
  <w:style w:type="paragraph" w:styleId="Asuntodelcomentario">
    <w:name w:val="annotation subject"/>
    <w:basedOn w:val="Textocomentario"/>
    <w:next w:val="Textocomentario"/>
    <w:link w:val="AsuntodelcomentarioCar"/>
    <w:uiPriority w:val="99"/>
    <w:semiHidden/>
    <w:unhideWhenUsed/>
    <w:rsid w:val="00503D94"/>
    <w:rPr>
      <w:b/>
      <w:bCs/>
    </w:rPr>
  </w:style>
  <w:style w:type="character" w:customStyle="1" w:styleId="AsuntodelcomentarioCar">
    <w:name w:val="Asunto del comentario Car"/>
    <w:basedOn w:val="TextocomentarioCar"/>
    <w:link w:val="Asuntodelcomentario"/>
    <w:uiPriority w:val="99"/>
    <w:semiHidden/>
    <w:rsid w:val="00503D9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ala-de-prensa/boletin-digita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BBBA7E34-D556-4644-99A7-1A5D2687FD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3067</Words>
  <Characters>16869</Characters>
  <Application>Microsoft Office Word</Application>
  <DocSecurity>0</DocSecurity>
  <Lines>140</Lines>
  <Paragraphs>39</Paragraphs>
  <ScaleCrop>false</ScaleCrop>
  <Company/>
  <LinksUpToDate>false</LinksUpToDate>
  <CharactersWithSpaces>19897</CharactersWithSpaces>
  <SharedDoc>false</SharedDoc>
  <HLinks>
    <vt:vector size="12" baseType="variant">
      <vt:variant>
        <vt:i4>5439494</vt:i4>
      </vt:variant>
      <vt:variant>
        <vt:i4>3</vt:i4>
      </vt:variant>
      <vt:variant>
        <vt:i4>0</vt:i4>
      </vt:variant>
      <vt:variant>
        <vt:i4>5</vt:i4>
      </vt:variant>
      <vt:variant>
        <vt:lpwstr>https://www.colombiacompra.gov.co/sala-de-prensa/boletin-digital</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6</cp:revision>
  <cp:lastPrinted>2023-01-10T21:18:00Z</cp:lastPrinted>
  <dcterms:created xsi:type="dcterms:W3CDTF">2024-08-13T14:57:00Z</dcterms:created>
  <dcterms:modified xsi:type="dcterms:W3CDTF">2024-08-26T21:36:00Z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