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735BA" w14:textId="77777777" w:rsidR="00760B22" w:rsidRPr="00AF1555" w:rsidRDefault="00760B22" w:rsidP="00760B22">
      <w:pPr>
        <w:tabs>
          <w:tab w:val="left" w:pos="709"/>
        </w:tabs>
        <w:spacing w:after="0" w:line="240" w:lineRule="auto"/>
        <w:jc w:val="both"/>
        <w:rPr>
          <w:rFonts w:ascii="Verdana" w:eastAsia="Calibri" w:hAnsi="Verdana" w:cs="Arial"/>
          <w:bCs/>
          <w:sz w:val="20"/>
          <w:szCs w:val="20"/>
          <w:lang w:val="es-ES_tradnl" w:eastAsia="es-ES_tradnl"/>
        </w:rPr>
      </w:pPr>
    </w:p>
    <w:p w14:paraId="1A250A99" w14:textId="77777777" w:rsidR="00760B22" w:rsidRPr="00AF1555" w:rsidRDefault="00760B22" w:rsidP="00760B22">
      <w:pPr>
        <w:spacing w:after="0" w:line="240" w:lineRule="auto"/>
        <w:jc w:val="both"/>
        <w:rPr>
          <w:rFonts w:ascii="Verdana" w:eastAsia="Calibri" w:hAnsi="Verdana" w:cs="Arial"/>
          <w:b/>
          <w:color w:val="000000" w:themeColor="text1"/>
          <w:lang w:val="es-ES"/>
        </w:rPr>
      </w:pPr>
      <w:r w:rsidRPr="00E574D8">
        <w:rPr>
          <w:rFonts w:ascii="Verdana" w:eastAsia="Calibri" w:hAnsi="Verdana" w:cs="Arial"/>
          <w:b/>
          <w:color w:val="000000" w:themeColor="text1"/>
          <w:lang w:val="es-ES"/>
        </w:rPr>
        <w:t>ASOCIACIONES DE MUNICIPIOS – Naturaleza</w:t>
      </w:r>
      <w:r w:rsidRPr="00AF1555">
        <w:rPr>
          <w:rFonts w:ascii="Verdana" w:eastAsia="Calibri" w:hAnsi="Verdana" w:cs="Arial"/>
          <w:b/>
          <w:color w:val="000000" w:themeColor="text1"/>
          <w:lang w:val="es-ES"/>
        </w:rPr>
        <w:t xml:space="preserve"> </w:t>
      </w:r>
    </w:p>
    <w:p w14:paraId="1A1443F6" w14:textId="77777777" w:rsidR="00760B22" w:rsidRPr="00AF1555" w:rsidRDefault="00760B22" w:rsidP="00760B22">
      <w:pPr>
        <w:spacing w:after="0" w:line="240" w:lineRule="auto"/>
        <w:jc w:val="both"/>
        <w:rPr>
          <w:rFonts w:ascii="Verdana" w:eastAsia="Calibri" w:hAnsi="Verdana" w:cs="Arial"/>
          <w:bCs/>
          <w:color w:val="000000" w:themeColor="text1"/>
          <w:sz w:val="20"/>
          <w:szCs w:val="20"/>
          <w:lang w:val="es-ES"/>
        </w:rPr>
      </w:pPr>
    </w:p>
    <w:p w14:paraId="167FE692" w14:textId="77777777" w:rsidR="00760B22" w:rsidRPr="00E574D8" w:rsidRDefault="00760B22" w:rsidP="00760B22">
      <w:pPr>
        <w:spacing w:after="0" w:line="240" w:lineRule="auto"/>
        <w:jc w:val="both"/>
        <w:rPr>
          <w:rFonts w:ascii="Verdana" w:eastAsia="Calibri" w:hAnsi="Verdana" w:cs="Arial"/>
          <w:color w:val="000000" w:themeColor="text1"/>
          <w:sz w:val="20"/>
          <w:szCs w:val="20"/>
          <w:lang w:val="es-ES_tradnl" w:eastAsia="es-ES_tradnl"/>
        </w:rPr>
      </w:pPr>
      <w:r w:rsidRPr="00E574D8">
        <w:rPr>
          <w:rFonts w:ascii="Verdana" w:eastAsia="Calibri" w:hAnsi="Verdana" w:cs="Arial"/>
          <w:color w:val="000000" w:themeColor="text1"/>
          <w:sz w:val="20"/>
          <w:szCs w:val="20"/>
          <w:lang w:val="es-ES_tradnl" w:eastAsia="es-ES_tradnl"/>
        </w:rPr>
        <w:t xml:space="preserve">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43BD3D57" w14:textId="77777777" w:rsidR="00760B22" w:rsidRPr="00E574D8" w:rsidRDefault="00760B22" w:rsidP="00760B22">
      <w:pPr>
        <w:spacing w:after="0" w:line="240" w:lineRule="auto"/>
        <w:jc w:val="both"/>
        <w:rPr>
          <w:rFonts w:ascii="Verdana" w:eastAsia="Calibri" w:hAnsi="Verdana" w:cs="Arial"/>
          <w:color w:val="000000" w:themeColor="text1"/>
          <w:sz w:val="20"/>
          <w:szCs w:val="20"/>
          <w:lang w:val="es-ES_tradnl" w:eastAsia="es-ES_tradnl"/>
        </w:rPr>
      </w:pPr>
    </w:p>
    <w:p w14:paraId="4DE70553" w14:textId="77777777" w:rsidR="00760B22" w:rsidRPr="00AF1555" w:rsidRDefault="00760B22" w:rsidP="00760B22">
      <w:pPr>
        <w:spacing w:after="0" w:line="240" w:lineRule="auto"/>
        <w:jc w:val="both"/>
        <w:rPr>
          <w:rFonts w:ascii="Verdana" w:eastAsia="Calibri" w:hAnsi="Verdana" w:cs="Arial"/>
          <w:color w:val="000000" w:themeColor="text1"/>
          <w:sz w:val="20"/>
          <w:szCs w:val="20"/>
          <w:lang w:val="es-ES_tradnl"/>
        </w:rPr>
      </w:pPr>
      <w:r w:rsidRPr="00E574D8">
        <w:rPr>
          <w:rFonts w:ascii="Verdana" w:eastAsia="Calibri" w:hAnsi="Verdana" w:cs="Arial"/>
          <w:color w:val="000000" w:themeColor="text1"/>
          <w:sz w:val="20"/>
          <w:szCs w:val="20"/>
          <w:lang w:val="es-ES_tradnl" w:eastAsia="es-ES_tradnl"/>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32C42F5F" w14:textId="77777777" w:rsidR="00760B22" w:rsidRPr="00AF1555" w:rsidRDefault="00760B22" w:rsidP="00760B22">
      <w:pPr>
        <w:spacing w:after="0" w:line="240" w:lineRule="auto"/>
        <w:rPr>
          <w:rFonts w:ascii="Verdana" w:eastAsia="Geomanist Light" w:hAnsi="Verdana" w:cs="Arial"/>
          <w:color w:val="000000" w:themeColor="text1"/>
          <w:sz w:val="20"/>
          <w:szCs w:val="20"/>
          <w:lang w:val="es-ES_tradnl"/>
        </w:rPr>
      </w:pPr>
    </w:p>
    <w:p w14:paraId="2B5A30C5" w14:textId="77777777" w:rsidR="00760B22" w:rsidRPr="00AF1555" w:rsidRDefault="00760B22" w:rsidP="00760B22">
      <w:pPr>
        <w:spacing w:after="0" w:line="240" w:lineRule="auto"/>
        <w:jc w:val="both"/>
        <w:rPr>
          <w:rFonts w:ascii="Verdana" w:eastAsia="Calibri" w:hAnsi="Verdana" w:cs="Arial"/>
          <w:b/>
          <w:lang w:val="es-ES"/>
        </w:rPr>
      </w:pPr>
      <w:r>
        <w:rPr>
          <w:rFonts w:ascii="Verdana" w:eastAsia="Calibri" w:hAnsi="Verdana" w:cs="Arial"/>
          <w:b/>
          <w:lang w:val="es-ES"/>
        </w:rPr>
        <w:t>ESQUEMAS ASOCIATIVOS TERRITORIALES</w:t>
      </w:r>
      <w:r w:rsidRPr="00E95799">
        <w:rPr>
          <w:rFonts w:ascii="Verdana" w:eastAsia="Calibri" w:hAnsi="Verdana" w:cs="Arial"/>
          <w:b/>
          <w:lang w:val="es-ES"/>
        </w:rPr>
        <w:t xml:space="preserve"> – </w:t>
      </w:r>
      <w:r>
        <w:rPr>
          <w:rFonts w:ascii="Verdana" w:eastAsia="Calibri" w:hAnsi="Verdana" w:cs="Arial"/>
          <w:b/>
          <w:lang w:val="es-ES"/>
        </w:rPr>
        <w:t>P</w:t>
      </w:r>
      <w:r w:rsidRPr="00CB5A43">
        <w:rPr>
          <w:rFonts w:ascii="Verdana" w:eastAsia="Calibri" w:hAnsi="Verdana" w:cs="Arial"/>
          <w:b/>
          <w:lang w:val="es-ES"/>
        </w:rPr>
        <w:t>rovincia</w:t>
      </w:r>
      <w:r>
        <w:rPr>
          <w:rFonts w:ascii="Verdana" w:eastAsia="Calibri" w:hAnsi="Verdana" w:cs="Arial"/>
          <w:b/>
          <w:lang w:val="es-ES"/>
        </w:rPr>
        <w:t>s</w:t>
      </w:r>
      <w:r w:rsidRPr="00CB5A43">
        <w:rPr>
          <w:rFonts w:ascii="Verdana" w:eastAsia="Calibri" w:hAnsi="Verdana" w:cs="Arial"/>
          <w:b/>
          <w:lang w:val="es-ES"/>
        </w:rPr>
        <w:t xml:space="preserve"> administrativa</w:t>
      </w:r>
      <w:r>
        <w:rPr>
          <w:rFonts w:ascii="Verdana" w:eastAsia="Calibri" w:hAnsi="Verdana" w:cs="Arial"/>
          <w:b/>
          <w:lang w:val="es-ES"/>
        </w:rPr>
        <w:t>s</w:t>
      </w:r>
      <w:r w:rsidRPr="00CB5A43">
        <w:rPr>
          <w:rFonts w:ascii="Verdana" w:eastAsia="Calibri" w:hAnsi="Verdana" w:cs="Arial"/>
          <w:b/>
          <w:lang w:val="es-ES"/>
        </w:rPr>
        <w:t xml:space="preserve"> y de planificación</w:t>
      </w:r>
      <w:r w:rsidRPr="00E95799">
        <w:rPr>
          <w:rFonts w:ascii="Verdana" w:eastAsia="Calibri" w:hAnsi="Verdana" w:cs="Arial"/>
          <w:b/>
          <w:lang w:val="es-ES"/>
        </w:rPr>
        <w:t xml:space="preserve"> – </w:t>
      </w:r>
      <w:r>
        <w:rPr>
          <w:rFonts w:ascii="Verdana" w:eastAsia="Calibri" w:hAnsi="Verdana" w:cs="Arial"/>
          <w:b/>
          <w:lang w:val="es-ES"/>
        </w:rPr>
        <w:t>Régimen jurídico</w:t>
      </w:r>
    </w:p>
    <w:p w14:paraId="3E0DC690" w14:textId="77777777" w:rsidR="00760B22" w:rsidRPr="00AF1555" w:rsidRDefault="00760B22" w:rsidP="00760B22">
      <w:pPr>
        <w:spacing w:after="0" w:line="240" w:lineRule="auto"/>
        <w:jc w:val="both"/>
        <w:rPr>
          <w:rFonts w:ascii="Verdana" w:eastAsia="Calibri" w:hAnsi="Verdana" w:cs="Arial"/>
          <w:b/>
          <w:sz w:val="20"/>
          <w:szCs w:val="20"/>
          <w:lang w:val="es-ES"/>
        </w:rPr>
      </w:pPr>
    </w:p>
    <w:p w14:paraId="318769B7" w14:textId="77777777" w:rsidR="00760B22" w:rsidRPr="00AF1555" w:rsidRDefault="00760B22" w:rsidP="00760B22">
      <w:pPr>
        <w:spacing w:after="0" w:line="240" w:lineRule="auto"/>
        <w:jc w:val="both"/>
        <w:rPr>
          <w:rFonts w:ascii="Verdana" w:eastAsia="Calibri" w:hAnsi="Verdana" w:cs="Arial"/>
          <w:color w:val="000000"/>
          <w:sz w:val="20"/>
          <w:szCs w:val="20"/>
          <w:lang w:val="es-ES_tradnl"/>
        </w:rPr>
      </w:pPr>
      <w:r>
        <w:rPr>
          <w:rFonts w:ascii="Verdana" w:eastAsia="Calibri" w:hAnsi="Verdana" w:cs="Arial"/>
          <w:bCs/>
          <w:sz w:val="20"/>
          <w:szCs w:val="20"/>
          <w:lang w:val="es-ES"/>
        </w:rPr>
        <w:t xml:space="preserve">[…] </w:t>
      </w:r>
      <w:r w:rsidRPr="00E574D8">
        <w:rPr>
          <w:rFonts w:ascii="Verdana" w:eastAsia="Calibri" w:hAnsi="Verdana" w:cs="Arial"/>
          <w:bCs/>
          <w:sz w:val="20"/>
          <w:szCs w:val="20"/>
          <w:lang w:val="es-ES"/>
        </w:rPr>
        <w:t xml:space="preserve">en los términos del inciso primero del artículo 16 de la Ley 1454 de 2011, “Dos o más municipios geográficamente contiguos de un mismo departamento podrán constituirse mediante ordenanza en una provincia administrativa y de planificación por solicitud de los alcaldes municipales, los gobernadores o del diez por ciento (10%) de los ciudadanos que componen el censo electoral de los respectivos municipios […]”. Como se observa se trata de una cualificación especial de los municipios asociados, pues exige continuidad geográfica dentro de un mismo ente departamental. Aunque tenga una denominación jurídica distinta, al igual que las asociaciones de municipios del artículo 14 </w:t>
      </w:r>
      <w:r w:rsidRPr="00CB5A43">
        <w:rPr>
          <w:rFonts w:ascii="Verdana" w:eastAsia="Calibri" w:hAnsi="Verdana" w:cs="Arial"/>
          <w:bCs/>
          <w:i/>
          <w:iCs/>
          <w:sz w:val="20"/>
          <w:szCs w:val="20"/>
          <w:lang w:val="es-ES"/>
        </w:rPr>
        <w:t>ibidem</w:t>
      </w:r>
      <w:r w:rsidRPr="00E574D8">
        <w:rPr>
          <w:rFonts w:ascii="Verdana" w:eastAsia="Calibri" w:hAnsi="Verdana" w:cs="Arial"/>
          <w:bCs/>
          <w:sz w:val="20"/>
          <w:szCs w:val="20"/>
          <w:lang w:val="es-ES"/>
        </w:rPr>
        <w:t xml:space="preserve">, también se rigen por el artículo 10 de la Ley 1150 de 2007, por tratarse de un esquema asociativo de entes territoriales. Incluso, aunque tome el nombre de provincia administrativa y de planificación, también hacen parte de las entidades sometidas al Estatuto General de Contratación de la Administración Pública, pues también conforman este régimen “[…] las entidades descentralizadas indirectas y las demás personas jurídicas en las que exista dicha participación pública mayoritaria, cualquiera sea la denominación que ellas adopten, en todos los órdenes y niveles” –art. 2.1, </w:t>
      </w:r>
      <w:proofErr w:type="spellStart"/>
      <w:r w:rsidRPr="00E574D8">
        <w:rPr>
          <w:rFonts w:ascii="Verdana" w:eastAsia="Calibri" w:hAnsi="Verdana" w:cs="Arial"/>
          <w:bCs/>
          <w:sz w:val="20"/>
          <w:szCs w:val="20"/>
          <w:lang w:val="es-ES"/>
        </w:rPr>
        <w:t>lit.</w:t>
      </w:r>
      <w:proofErr w:type="spellEnd"/>
      <w:r w:rsidRPr="00E574D8">
        <w:rPr>
          <w:rFonts w:ascii="Verdana" w:eastAsia="Calibri" w:hAnsi="Verdana" w:cs="Arial"/>
          <w:bCs/>
          <w:sz w:val="20"/>
          <w:szCs w:val="20"/>
          <w:lang w:val="es-ES"/>
        </w:rPr>
        <w:t xml:space="preserve"> a), de la Ley 80 de 1993–.</w:t>
      </w:r>
    </w:p>
    <w:p w14:paraId="32EF5E6F" w14:textId="77777777" w:rsidR="00760B22" w:rsidRPr="00AF1555" w:rsidRDefault="00760B22" w:rsidP="00760B22">
      <w:pPr>
        <w:spacing w:after="0" w:line="240" w:lineRule="auto"/>
        <w:rPr>
          <w:rFonts w:ascii="Verdana" w:eastAsia="Geomanist Light" w:hAnsi="Verdana" w:cs="Arial"/>
          <w:color w:val="000000" w:themeColor="text1"/>
          <w:sz w:val="20"/>
          <w:szCs w:val="20"/>
          <w:lang w:val="es-ES_tradnl"/>
        </w:rPr>
      </w:pPr>
    </w:p>
    <w:p w14:paraId="240690B5" w14:textId="77777777" w:rsidR="00760B22" w:rsidRPr="00AF1555" w:rsidRDefault="00760B22" w:rsidP="00760B22">
      <w:pPr>
        <w:tabs>
          <w:tab w:val="left" w:pos="426"/>
        </w:tabs>
        <w:spacing w:after="0" w:line="240" w:lineRule="auto"/>
        <w:jc w:val="both"/>
        <w:rPr>
          <w:rFonts w:ascii="Verdana" w:hAnsi="Verdana" w:cs="Arial"/>
          <w:b/>
          <w:lang w:eastAsia="es-CO"/>
        </w:rPr>
      </w:pPr>
      <w:r w:rsidRPr="00CB5A43">
        <w:rPr>
          <w:rFonts w:ascii="Verdana" w:hAnsi="Verdana" w:cs="Arial"/>
          <w:b/>
          <w:lang w:eastAsia="es-CO"/>
        </w:rPr>
        <w:t>PROVINCIA</w:t>
      </w:r>
      <w:r>
        <w:rPr>
          <w:rFonts w:ascii="Verdana" w:hAnsi="Verdana" w:cs="Arial"/>
          <w:b/>
          <w:lang w:eastAsia="es-CO"/>
        </w:rPr>
        <w:t>S</w:t>
      </w:r>
      <w:r w:rsidRPr="00CB5A43">
        <w:rPr>
          <w:rFonts w:ascii="Verdana" w:hAnsi="Verdana" w:cs="Arial"/>
          <w:b/>
          <w:lang w:eastAsia="es-CO"/>
        </w:rPr>
        <w:t xml:space="preserve"> ADMINISTRATIVAS Y DE PLANIFICACIÓN</w:t>
      </w:r>
      <w:r>
        <w:rPr>
          <w:rFonts w:ascii="Verdana" w:hAnsi="Verdana" w:cs="Arial"/>
          <w:b/>
          <w:lang w:eastAsia="es-CO"/>
        </w:rPr>
        <w:t xml:space="preserve"> – Funciones – Alcance </w:t>
      </w:r>
      <w:r w:rsidRPr="00AF1555">
        <w:rPr>
          <w:rFonts w:ascii="Verdana" w:hAnsi="Verdana" w:cs="Arial"/>
          <w:b/>
          <w:lang w:eastAsia="es-CO"/>
        </w:rPr>
        <w:t xml:space="preserve"> </w:t>
      </w:r>
    </w:p>
    <w:p w14:paraId="2AEA3510" w14:textId="77777777" w:rsidR="00760B22" w:rsidRPr="00AF1555" w:rsidRDefault="00760B22" w:rsidP="00760B22">
      <w:pPr>
        <w:tabs>
          <w:tab w:val="left" w:pos="426"/>
        </w:tabs>
        <w:spacing w:after="0" w:line="240" w:lineRule="auto"/>
        <w:jc w:val="both"/>
        <w:rPr>
          <w:rFonts w:ascii="Verdana" w:hAnsi="Verdana" w:cs="Arial"/>
          <w:b/>
          <w:sz w:val="20"/>
          <w:szCs w:val="20"/>
          <w:lang w:eastAsia="es-CO"/>
        </w:rPr>
      </w:pPr>
    </w:p>
    <w:p w14:paraId="76028153" w14:textId="77777777" w:rsidR="00760B22" w:rsidRDefault="00760B22" w:rsidP="00760B22">
      <w:pPr>
        <w:spacing w:after="0" w:line="240" w:lineRule="auto"/>
        <w:jc w:val="both"/>
        <w:rPr>
          <w:rFonts w:ascii="Verdana" w:hAnsi="Verdana" w:cs="Arial"/>
          <w:bCs/>
          <w:sz w:val="20"/>
          <w:szCs w:val="20"/>
          <w:lang w:eastAsia="es-CO"/>
        </w:rPr>
      </w:pPr>
      <w:r w:rsidRPr="00CB5A43">
        <w:rPr>
          <w:rFonts w:ascii="Verdana" w:hAnsi="Verdana" w:cs="Arial"/>
          <w:bCs/>
          <w:sz w:val="20"/>
          <w:szCs w:val="20"/>
          <w:lang w:eastAsia="es-CO"/>
        </w:rPr>
        <w:t xml:space="preserve">Conforme al inciso primero del artículo 11 de la Ley 1454 de 2011, “Las asociaciones de entidades territoriales se conformarán libremente por dos o más entes territoriales para prestar conjuntamente servicios públicos, funciones administrativas propias o asignadas </w:t>
      </w:r>
      <w:r w:rsidRPr="00CB5A43">
        <w:rPr>
          <w:rFonts w:ascii="Verdana" w:hAnsi="Verdana" w:cs="Arial"/>
          <w:bCs/>
          <w:sz w:val="20"/>
          <w:szCs w:val="20"/>
          <w:lang w:eastAsia="es-CO"/>
        </w:rPr>
        <w:lastRenderedPageBreak/>
        <w:t xml:space="preserve">al ente territorial por el nivel nacional, ejecutar obras de interés común o cumplir funciones de planificación, así como para procurar el desarrollo integral de sus territorios”. Así, el inciso primero del artículo 16 </w:t>
      </w:r>
      <w:r w:rsidRPr="00CB5A43">
        <w:rPr>
          <w:rFonts w:ascii="Verdana" w:hAnsi="Verdana" w:cs="Arial"/>
          <w:bCs/>
          <w:i/>
          <w:iCs/>
          <w:sz w:val="20"/>
          <w:szCs w:val="20"/>
          <w:lang w:eastAsia="es-CO"/>
        </w:rPr>
        <w:t>ibidem</w:t>
      </w:r>
      <w:r w:rsidRPr="00CB5A43">
        <w:rPr>
          <w:rFonts w:ascii="Verdana" w:hAnsi="Verdana" w:cs="Arial"/>
          <w:bCs/>
          <w:sz w:val="20"/>
          <w:szCs w:val="20"/>
          <w:lang w:eastAsia="es-CO"/>
        </w:rPr>
        <w:t xml:space="preserve"> permite la creación de provincias administrativas y de planificación “[…] con el propósito de organizar conjuntamente la prestación de servicios públicos, la ejecución de obras de ámbito regional y la ejecución de proyectos de desarrollo integral, así como la gestión ambiental”. </w:t>
      </w:r>
    </w:p>
    <w:p w14:paraId="5928372D" w14:textId="77777777" w:rsidR="00760B22" w:rsidRPr="00CB5A43" w:rsidRDefault="00760B22" w:rsidP="00760B22">
      <w:pPr>
        <w:spacing w:after="0" w:line="240" w:lineRule="auto"/>
        <w:jc w:val="both"/>
        <w:rPr>
          <w:rFonts w:ascii="Verdana" w:hAnsi="Verdana" w:cs="Arial"/>
          <w:bCs/>
          <w:sz w:val="20"/>
          <w:szCs w:val="20"/>
          <w:lang w:eastAsia="es-CO"/>
        </w:rPr>
      </w:pPr>
      <w:r w:rsidRPr="00CB5A43">
        <w:rPr>
          <w:rFonts w:ascii="Verdana" w:hAnsi="Verdana" w:cs="Arial"/>
          <w:bCs/>
          <w:sz w:val="20"/>
          <w:szCs w:val="20"/>
          <w:lang w:eastAsia="es-CO"/>
        </w:rPr>
        <w:t xml:space="preserve"> </w:t>
      </w:r>
    </w:p>
    <w:p w14:paraId="76D99415" w14:textId="77777777" w:rsidR="00760B22" w:rsidRDefault="00760B22" w:rsidP="00760B22">
      <w:pPr>
        <w:spacing w:after="0" w:line="240" w:lineRule="auto"/>
        <w:jc w:val="both"/>
        <w:rPr>
          <w:rFonts w:ascii="Verdana" w:hAnsi="Verdana" w:cs="Arial"/>
          <w:bCs/>
          <w:sz w:val="20"/>
          <w:szCs w:val="20"/>
          <w:lang w:eastAsia="es-CO"/>
        </w:rPr>
      </w:pPr>
      <w:r w:rsidRPr="00CB5A43">
        <w:rPr>
          <w:rFonts w:ascii="Verdana" w:hAnsi="Verdana" w:cs="Arial"/>
          <w:bCs/>
          <w:sz w:val="20"/>
          <w:szCs w:val="20"/>
          <w:lang w:eastAsia="es-CO"/>
        </w:rPr>
        <w:t>Como se desprende de las disposiciones citadas, las funciones de las provincias no extienden a las demás que señalen los estatutos de creación, pues este aspecto –dentro del alcance del principio de legalidad en los términos de los artículos 6 y 121 de la Constitución Política de 1991– no fue incluido expresamente por el Congreso de la República. Además, si las obras corresponden al ámbito regional, ello significa que las provincias no pueden ser ejecutoras de dicho objeto contractual en departamentos o municipios distintos, pues sólo les corresponde el cumplimiento de funciones administrativas propias de los entes territoriales asociados. Asimismo, los “proyectos de desarrollo integral” se realizan con el propósito de “procurar el desarrollo integral de sus territorios”, por lo que las provincias tampoco pueden ejecutar dichos proyectos fuera de las entidades asociadas.</w:t>
      </w:r>
    </w:p>
    <w:p w14:paraId="1412E88F" w14:textId="77777777" w:rsidR="00760B22" w:rsidRPr="00CB5A43" w:rsidRDefault="00760B22" w:rsidP="00760B22">
      <w:pPr>
        <w:spacing w:after="0" w:line="240" w:lineRule="auto"/>
        <w:jc w:val="both"/>
        <w:rPr>
          <w:rFonts w:ascii="Verdana" w:hAnsi="Verdana" w:cs="Arial"/>
          <w:bCs/>
          <w:sz w:val="20"/>
          <w:szCs w:val="20"/>
          <w:lang w:eastAsia="es-CO"/>
        </w:rPr>
      </w:pPr>
    </w:p>
    <w:p w14:paraId="34708440" w14:textId="77777777" w:rsidR="00760B22" w:rsidRPr="00A11406" w:rsidRDefault="00760B22" w:rsidP="00760B22">
      <w:pPr>
        <w:spacing w:after="0" w:line="240" w:lineRule="auto"/>
        <w:jc w:val="both"/>
        <w:rPr>
          <w:rFonts w:ascii="Verdana" w:eastAsia="Geomanist Light" w:hAnsi="Verdana" w:cs="Arial"/>
          <w:color w:val="000000" w:themeColor="text1"/>
        </w:rPr>
      </w:pPr>
      <w:r w:rsidRPr="00CB5A43">
        <w:rPr>
          <w:rFonts w:ascii="Verdana" w:hAnsi="Verdana" w:cs="Arial"/>
          <w:bCs/>
          <w:sz w:val="20"/>
          <w:szCs w:val="20"/>
          <w:lang w:eastAsia="es-CO"/>
        </w:rPr>
        <w:t>Finalmente, aunque el inciso segundo del artículo 16 de la Ley 1454 de 2011 dispone que “Lo anterior no implicará que municipios que no guarden continuidad geográfica y que pertenezcan a diferentes departamentos puedan desarrollar alianzas estratégicas de orden económico con el fin de comercializar sus bienes y servicios a nivel nacional e internacional”, para la Agencia esto significa la posibilidad de ejecutar contratos fuera de los territorios de los municipios asociados. Todo lo contrario, estas alianzas tienen el propósito de facilitar el intercambio económico en todo el país, lo cual excluye la posibilidad mencionada en la solicitud, especialmente, cuando los esquemas asociativos territoriales no tienen fines de lucro ni desarrollan actividades industriales o comerciales</w:t>
      </w:r>
      <w:r w:rsidRPr="00E95799">
        <w:rPr>
          <w:rFonts w:ascii="Verdana" w:hAnsi="Verdana" w:cs="Arial"/>
          <w:bCs/>
          <w:sz w:val="20"/>
          <w:szCs w:val="20"/>
          <w:lang w:eastAsia="es-CO"/>
        </w:rPr>
        <w:t>.</w:t>
      </w:r>
    </w:p>
    <w:p w14:paraId="52E3333B" w14:textId="77777777" w:rsidR="00760B22" w:rsidRPr="00760B22" w:rsidRDefault="00760B22" w:rsidP="000013B5">
      <w:pPr>
        <w:spacing w:after="0" w:line="240" w:lineRule="auto"/>
        <w:rPr>
          <w:rFonts w:ascii="Verdana" w:eastAsia="Geomanist Light" w:hAnsi="Verdana" w:cs="Arial"/>
          <w:color w:val="000000" w:themeColor="text1"/>
        </w:rPr>
      </w:pPr>
    </w:p>
    <w:p w14:paraId="2BC569A7" w14:textId="77777777" w:rsidR="00760B22" w:rsidRDefault="00760B22" w:rsidP="000013B5">
      <w:pPr>
        <w:spacing w:after="0" w:line="240" w:lineRule="auto"/>
        <w:rPr>
          <w:rFonts w:ascii="Verdana" w:eastAsia="Geomanist Light" w:hAnsi="Verdana" w:cs="Arial"/>
          <w:color w:val="000000" w:themeColor="text1"/>
          <w:lang w:val="es-MX"/>
        </w:rPr>
      </w:pPr>
    </w:p>
    <w:p w14:paraId="08992112" w14:textId="77777777" w:rsidR="00760B22" w:rsidRDefault="00760B22" w:rsidP="000013B5">
      <w:pPr>
        <w:spacing w:after="0" w:line="240" w:lineRule="auto"/>
        <w:rPr>
          <w:rFonts w:ascii="Verdana" w:eastAsia="Geomanist Light" w:hAnsi="Verdana" w:cs="Arial"/>
          <w:color w:val="000000" w:themeColor="text1"/>
          <w:lang w:val="es-MX"/>
        </w:rPr>
      </w:pPr>
    </w:p>
    <w:p w14:paraId="258C8030" w14:textId="77777777" w:rsidR="00760B22" w:rsidRDefault="00760B22" w:rsidP="000013B5">
      <w:pPr>
        <w:spacing w:after="0" w:line="240" w:lineRule="auto"/>
        <w:rPr>
          <w:rFonts w:ascii="Verdana" w:eastAsia="Geomanist Light" w:hAnsi="Verdana" w:cs="Arial"/>
          <w:color w:val="000000" w:themeColor="text1"/>
          <w:lang w:val="es-MX"/>
        </w:rPr>
      </w:pPr>
    </w:p>
    <w:p w14:paraId="1D3FDD98" w14:textId="77777777" w:rsidR="00760B22" w:rsidRDefault="00760B22" w:rsidP="000013B5">
      <w:pPr>
        <w:spacing w:after="0" w:line="240" w:lineRule="auto"/>
        <w:rPr>
          <w:rFonts w:ascii="Verdana" w:eastAsia="Geomanist Light" w:hAnsi="Verdana" w:cs="Arial"/>
          <w:color w:val="000000" w:themeColor="text1"/>
          <w:lang w:val="es-MX"/>
        </w:rPr>
      </w:pPr>
    </w:p>
    <w:p w14:paraId="3C4ECB82" w14:textId="77777777" w:rsidR="00760B22" w:rsidRDefault="00760B22" w:rsidP="000013B5">
      <w:pPr>
        <w:spacing w:after="0" w:line="240" w:lineRule="auto"/>
        <w:rPr>
          <w:rFonts w:ascii="Verdana" w:eastAsia="Geomanist Light" w:hAnsi="Verdana" w:cs="Arial"/>
          <w:color w:val="000000" w:themeColor="text1"/>
          <w:lang w:val="es-MX"/>
        </w:rPr>
      </w:pPr>
    </w:p>
    <w:p w14:paraId="3C25ED7D" w14:textId="77777777" w:rsidR="00760B22" w:rsidRDefault="00760B22" w:rsidP="000013B5">
      <w:pPr>
        <w:spacing w:after="0" w:line="240" w:lineRule="auto"/>
        <w:rPr>
          <w:rFonts w:ascii="Verdana" w:eastAsia="Geomanist Light" w:hAnsi="Verdana" w:cs="Arial"/>
          <w:color w:val="000000" w:themeColor="text1"/>
          <w:lang w:val="es-MX"/>
        </w:rPr>
      </w:pPr>
    </w:p>
    <w:p w14:paraId="3073B5AF" w14:textId="77777777" w:rsidR="00760B22" w:rsidRDefault="00760B22" w:rsidP="000013B5">
      <w:pPr>
        <w:spacing w:after="0" w:line="240" w:lineRule="auto"/>
        <w:rPr>
          <w:rFonts w:ascii="Verdana" w:eastAsia="Geomanist Light" w:hAnsi="Verdana" w:cs="Arial"/>
          <w:color w:val="000000" w:themeColor="text1"/>
          <w:lang w:val="es-MX"/>
        </w:rPr>
      </w:pPr>
    </w:p>
    <w:p w14:paraId="46FF7F2A" w14:textId="77777777" w:rsidR="00760B22" w:rsidRDefault="00760B22" w:rsidP="000013B5">
      <w:pPr>
        <w:spacing w:after="0" w:line="240" w:lineRule="auto"/>
        <w:rPr>
          <w:rFonts w:ascii="Verdana" w:eastAsia="Geomanist Light" w:hAnsi="Verdana" w:cs="Arial"/>
          <w:color w:val="000000" w:themeColor="text1"/>
          <w:lang w:val="es-MX"/>
        </w:rPr>
      </w:pPr>
    </w:p>
    <w:p w14:paraId="67AA46B8" w14:textId="77777777" w:rsidR="00760B22" w:rsidRDefault="00760B22" w:rsidP="000013B5">
      <w:pPr>
        <w:spacing w:after="0" w:line="240" w:lineRule="auto"/>
        <w:rPr>
          <w:rFonts w:ascii="Verdana" w:eastAsia="Geomanist Light" w:hAnsi="Verdana" w:cs="Arial"/>
          <w:color w:val="000000" w:themeColor="text1"/>
          <w:lang w:val="es-MX"/>
        </w:rPr>
      </w:pPr>
    </w:p>
    <w:p w14:paraId="50A15630" w14:textId="77777777" w:rsidR="00760B22" w:rsidRDefault="00760B22" w:rsidP="000013B5">
      <w:pPr>
        <w:spacing w:after="0" w:line="240" w:lineRule="auto"/>
        <w:rPr>
          <w:rFonts w:ascii="Verdana" w:eastAsia="Geomanist Light" w:hAnsi="Verdana" w:cs="Arial"/>
          <w:color w:val="000000" w:themeColor="text1"/>
          <w:lang w:val="es-MX"/>
        </w:rPr>
      </w:pPr>
    </w:p>
    <w:p w14:paraId="0350D642" w14:textId="77777777" w:rsidR="00760B22" w:rsidRDefault="00760B22" w:rsidP="000013B5">
      <w:pPr>
        <w:spacing w:after="0" w:line="240" w:lineRule="auto"/>
        <w:rPr>
          <w:rFonts w:ascii="Verdana" w:eastAsia="Geomanist Light" w:hAnsi="Verdana" w:cs="Arial"/>
          <w:color w:val="000000" w:themeColor="text1"/>
          <w:lang w:val="es-MX"/>
        </w:rPr>
      </w:pPr>
    </w:p>
    <w:p w14:paraId="3EAEDAC4" w14:textId="77777777" w:rsidR="00760B22" w:rsidRDefault="00760B22" w:rsidP="000013B5">
      <w:pPr>
        <w:spacing w:after="0" w:line="240" w:lineRule="auto"/>
        <w:rPr>
          <w:rFonts w:ascii="Verdana" w:eastAsia="Geomanist Light" w:hAnsi="Verdana" w:cs="Arial"/>
          <w:color w:val="000000" w:themeColor="text1"/>
          <w:lang w:val="es-MX"/>
        </w:rPr>
      </w:pPr>
    </w:p>
    <w:p w14:paraId="2F6195D6" w14:textId="77777777" w:rsidR="00760B22" w:rsidRDefault="00760B22" w:rsidP="000013B5">
      <w:pPr>
        <w:spacing w:after="0" w:line="240" w:lineRule="auto"/>
        <w:rPr>
          <w:rFonts w:ascii="Verdana" w:eastAsia="Geomanist Light" w:hAnsi="Verdana" w:cs="Arial"/>
          <w:color w:val="000000" w:themeColor="text1"/>
          <w:lang w:val="es-MX"/>
        </w:rPr>
      </w:pPr>
    </w:p>
    <w:p w14:paraId="0E4069F4" w14:textId="77777777" w:rsidR="00760B22" w:rsidRDefault="00760B22" w:rsidP="000013B5">
      <w:pPr>
        <w:spacing w:after="0" w:line="240" w:lineRule="auto"/>
        <w:rPr>
          <w:rFonts w:ascii="Verdana" w:eastAsia="Geomanist Light" w:hAnsi="Verdana" w:cs="Arial"/>
          <w:color w:val="000000" w:themeColor="text1"/>
          <w:lang w:val="es-MX"/>
        </w:rPr>
      </w:pPr>
    </w:p>
    <w:p w14:paraId="5FBF25BC" w14:textId="77777777" w:rsidR="00760B22" w:rsidRDefault="00760B22" w:rsidP="000013B5">
      <w:pPr>
        <w:spacing w:after="0" w:line="240" w:lineRule="auto"/>
        <w:rPr>
          <w:rFonts w:ascii="Verdana" w:eastAsia="Geomanist Light" w:hAnsi="Verdana" w:cs="Arial"/>
          <w:color w:val="000000" w:themeColor="text1"/>
          <w:lang w:val="es-MX"/>
        </w:rPr>
      </w:pPr>
    </w:p>
    <w:p w14:paraId="78A68FD6" w14:textId="77777777" w:rsidR="00760B22" w:rsidRDefault="00760B22" w:rsidP="000013B5">
      <w:pPr>
        <w:spacing w:after="0" w:line="240" w:lineRule="auto"/>
        <w:rPr>
          <w:rFonts w:ascii="Verdana" w:eastAsia="Geomanist Light" w:hAnsi="Verdana" w:cs="Arial"/>
          <w:color w:val="000000" w:themeColor="text1"/>
          <w:lang w:val="es-MX"/>
        </w:rPr>
      </w:pPr>
    </w:p>
    <w:p w14:paraId="0F0DA27A" w14:textId="77777777" w:rsidR="00760B22" w:rsidRDefault="00760B22" w:rsidP="000013B5">
      <w:pPr>
        <w:spacing w:after="0" w:line="240" w:lineRule="auto"/>
        <w:rPr>
          <w:rFonts w:ascii="Verdana" w:eastAsia="Geomanist Light" w:hAnsi="Verdana" w:cs="Arial"/>
          <w:color w:val="000000" w:themeColor="text1"/>
          <w:lang w:val="es-MX"/>
        </w:rPr>
      </w:pPr>
    </w:p>
    <w:p w14:paraId="3F7FC7B7" w14:textId="28E90911" w:rsidR="000013B5" w:rsidRPr="00593A5F" w:rsidRDefault="000013B5" w:rsidP="000013B5">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F509CD" w:rsidRPr="00F509CD">
        <w:rPr>
          <w:rFonts w:ascii="Verdana" w:eastAsia="Geomanist Light" w:hAnsi="Verdana" w:cs="Arial"/>
          <w:color w:val="000000" w:themeColor="text1"/>
          <w:lang w:val="es-MX"/>
        </w:rPr>
        <w:t>08 de Agosto de 2024</w:t>
      </w:r>
    </w:p>
    <w:p w14:paraId="241D9D4F" w14:textId="77777777" w:rsidR="000013B5" w:rsidRDefault="000013B5" w:rsidP="000013B5">
      <w:pPr>
        <w:spacing w:after="0" w:line="240" w:lineRule="auto"/>
        <w:jc w:val="both"/>
        <w:rPr>
          <w:rFonts w:ascii="Verdana" w:eastAsia="Calibri" w:hAnsi="Verdana" w:cs="Arial"/>
          <w:color w:val="000000"/>
          <w:lang w:val="es-ES"/>
        </w:rPr>
      </w:pPr>
    </w:p>
    <w:p w14:paraId="2360882E" w14:textId="7AA3BF48" w:rsidR="00F509CD" w:rsidRDefault="00F509CD" w:rsidP="00F509CD">
      <w:pPr>
        <w:spacing w:after="0" w:line="240" w:lineRule="auto"/>
        <w:jc w:val="right"/>
        <w:rPr>
          <w:rFonts w:ascii="Verdana" w:eastAsia="Calibri" w:hAnsi="Verdana" w:cs="Arial"/>
          <w:color w:val="000000"/>
          <w:lang w:val="es-ES"/>
        </w:rPr>
      </w:pPr>
      <w:r w:rsidRPr="00F509CD">
        <w:rPr>
          <w:rFonts w:ascii="Verdana" w:eastAsia="Calibri" w:hAnsi="Verdana" w:cs="Arial"/>
          <w:noProof/>
          <w:color w:val="000000"/>
          <w:lang w:val="es-ES"/>
        </w:rPr>
        <w:drawing>
          <wp:inline distT="0" distB="0" distL="0" distR="0" wp14:anchorId="76EE3646" wp14:editId="2BA504B5">
            <wp:extent cx="3238500" cy="901700"/>
            <wp:effectExtent l="0" t="0" r="0" b="0"/>
            <wp:docPr id="1152917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1750" name=""/>
                    <pic:cNvPicPr/>
                  </pic:nvPicPr>
                  <pic:blipFill>
                    <a:blip r:embed="rId10"/>
                    <a:stretch>
                      <a:fillRect/>
                    </a:stretch>
                  </pic:blipFill>
                  <pic:spPr>
                    <a:xfrm>
                      <a:off x="0" y="0"/>
                      <a:ext cx="3238500" cy="901700"/>
                    </a:xfrm>
                    <a:prstGeom prst="rect">
                      <a:avLst/>
                    </a:prstGeom>
                  </pic:spPr>
                </pic:pic>
              </a:graphicData>
            </a:graphic>
          </wp:inline>
        </w:drawing>
      </w:r>
    </w:p>
    <w:p w14:paraId="1F28B3C5" w14:textId="77777777" w:rsidR="000013B5" w:rsidRPr="00593A5F" w:rsidRDefault="000013B5" w:rsidP="000013B5">
      <w:pPr>
        <w:spacing w:after="0" w:line="240" w:lineRule="auto"/>
        <w:jc w:val="both"/>
        <w:rPr>
          <w:rFonts w:ascii="Verdana" w:eastAsia="Calibri" w:hAnsi="Verdana" w:cs="Arial"/>
          <w:color w:val="000000"/>
          <w:lang w:val="es-ES"/>
        </w:rPr>
      </w:pPr>
    </w:p>
    <w:p w14:paraId="77855EC2" w14:textId="77777777" w:rsidR="000013B5" w:rsidRPr="00B96799" w:rsidRDefault="000013B5" w:rsidP="000013B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529142A5" w14:textId="77777777" w:rsidR="000013B5" w:rsidRDefault="000013B5" w:rsidP="000013B5">
      <w:pPr>
        <w:spacing w:after="0" w:line="240" w:lineRule="auto"/>
        <w:rPr>
          <w:rFonts w:ascii="Verdana" w:eastAsia="Calibri" w:hAnsi="Verdana" w:cs="Arial"/>
          <w:b/>
          <w:lang w:val="es-ES_tradnl" w:eastAsia="es-ES_tradnl"/>
        </w:rPr>
      </w:pPr>
      <w:r w:rsidRPr="00173E6D">
        <w:rPr>
          <w:rFonts w:ascii="Verdana" w:eastAsia="Calibri" w:hAnsi="Verdana" w:cs="Arial"/>
          <w:b/>
          <w:lang w:val="es-ES_tradnl" w:eastAsia="es-ES_tradnl"/>
        </w:rPr>
        <w:t>Jos</w:t>
      </w:r>
      <w:r>
        <w:rPr>
          <w:rFonts w:ascii="Verdana" w:eastAsia="Calibri" w:hAnsi="Verdana" w:cs="Arial"/>
          <w:b/>
          <w:lang w:val="es-ES_tradnl" w:eastAsia="es-ES_tradnl"/>
        </w:rPr>
        <w:t>é</w:t>
      </w:r>
      <w:r w:rsidRPr="00173E6D">
        <w:rPr>
          <w:rFonts w:ascii="Verdana" w:eastAsia="Calibri" w:hAnsi="Verdana" w:cs="Arial"/>
          <w:b/>
          <w:lang w:val="es-ES_tradnl" w:eastAsia="es-ES_tradnl"/>
        </w:rPr>
        <w:t xml:space="preserve"> Octavio Vásquez Arboleda</w:t>
      </w:r>
    </w:p>
    <w:p w14:paraId="29B68BAF" w14:textId="77777777" w:rsidR="000013B5" w:rsidRPr="00173E6D" w:rsidRDefault="00000000" w:rsidP="000013B5">
      <w:pPr>
        <w:spacing w:after="0" w:line="240" w:lineRule="auto"/>
        <w:rPr>
          <w:rFonts w:ascii="Verdana" w:eastAsia="Calibri" w:hAnsi="Verdana" w:cs="Arial"/>
          <w:lang w:val="es-ES" w:eastAsia="es-ES"/>
        </w:rPr>
      </w:pPr>
      <w:hyperlink r:id="rId11" w:history="1">
        <w:r w:rsidR="000013B5" w:rsidRPr="00C21B59">
          <w:rPr>
            <w:rStyle w:val="Hipervnculo"/>
            <w:rFonts w:ascii="Verdana" w:hAnsi="Verdana"/>
          </w:rPr>
          <w:t>joseovas2@gmail.com</w:t>
        </w:r>
      </w:hyperlink>
      <w:r w:rsidR="000013B5">
        <w:rPr>
          <w:rFonts w:ascii="Verdana" w:eastAsia="Calibri" w:hAnsi="Verdana" w:cs="Arial"/>
          <w:lang w:val="es-ES" w:eastAsia="es-ES"/>
        </w:rPr>
        <w:t xml:space="preserve"> </w:t>
      </w:r>
      <w:r w:rsidR="000013B5" w:rsidRPr="00173E6D">
        <w:rPr>
          <w:rFonts w:ascii="Verdana" w:eastAsia="Calibri" w:hAnsi="Verdana" w:cs="Arial"/>
          <w:lang w:val="es-ES" w:eastAsia="es-ES"/>
        </w:rPr>
        <w:t xml:space="preserve">  </w:t>
      </w:r>
    </w:p>
    <w:p w14:paraId="5B1986F3" w14:textId="77777777" w:rsidR="000013B5" w:rsidRDefault="000013B5" w:rsidP="000013B5">
      <w:pPr>
        <w:spacing w:after="0" w:line="240" w:lineRule="auto"/>
        <w:rPr>
          <w:rFonts w:ascii="Verdana" w:eastAsia="Calibri" w:hAnsi="Verdana" w:cs="Arial"/>
          <w:lang w:val="es-ES" w:eastAsia="es-ES"/>
        </w:rPr>
      </w:pPr>
      <w:r>
        <w:rPr>
          <w:rFonts w:ascii="Verdana" w:eastAsia="Calibri" w:hAnsi="Verdana" w:cs="Arial"/>
          <w:lang w:val="es-ES" w:eastAsia="es-ES"/>
        </w:rPr>
        <w:t>Medellín, Antioquia</w:t>
      </w:r>
    </w:p>
    <w:p w14:paraId="7D5AF1F7" w14:textId="77777777" w:rsidR="000013B5" w:rsidRPr="00593A5F" w:rsidRDefault="000013B5" w:rsidP="000013B5">
      <w:pPr>
        <w:spacing w:after="0" w:line="240" w:lineRule="auto"/>
        <w:rPr>
          <w:rFonts w:ascii="Verdana" w:eastAsia="Calibri" w:hAnsi="Verdana" w:cs="Arial"/>
          <w:b/>
          <w:bCs/>
          <w:color w:val="000000"/>
          <w:lang w:val="es-ES_tradnl" w:eastAsia="es-ES_tradnl"/>
        </w:rPr>
      </w:pPr>
    </w:p>
    <w:p w14:paraId="25017AD5" w14:textId="77777777" w:rsidR="000013B5" w:rsidRPr="00593A5F" w:rsidRDefault="000013B5" w:rsidP="000013B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013B5" w:rsidRPr="00593A5F" w14:paraId="247C5C74" w14:textId="77777777" w:rsidTr="00070004">
        <w:trPr>
          <w:trHeight w:val="884"/>
        </w:trPr>
        <w:tc>
          <w:tcPr>
            <w:tcW w:w="2689" w:type="dxa"/>
          </w:tcPr>
          <w:p w14:paraId="44D1F8A6" w14:textId="77777777" w:rsidR="000013B5" w:rsidRPr="00C00976" w:rsidRDefault="000013B5" w:rsidP="00070004">
            <w:pPr>
              <w:jc w:val="both"/>
              <w:rPr>
                <w:rFonts w:ascii="Verdana" w:eastAsia="Calibri" w:hAnsi="Verdana" w:cs="Arial"/>
                <w:b/>
                <w:bCs/>
                <w:color w:val="7030A0"/>
                <w:lang w:val="es-ES_tradnl" w:eastAsia="es-ES_tradnl"/>
              </w:rPr>
            </w:pPr>
          </w:p>
        </w:tc>
        <w:tc>
          <w:tcPr>
            <w:tcW w:w="6100" w:type="dxa"/>
          </w:tcPr>
          <w:p w14:paraId="463CC5C8" w14:textId="77777777" w:rsidR="000013B5" w:rsidRPr="00C00976" w:rsidRDefault="000013B5" w:rsidP="0007000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320</w:t>
            </w:r>
            <w:r w:rsidRPr="008E6AD9">
              <w:rPr>
                <w:rFonts w:ascii="Verdana" w:eastAsia="Calibri" w:hAnsi="Verdana" w:cs="Arial"/>
                <w:b/>
                <w:bCs/>
                <w:lang w:val="es-ES" w:eastAsia="es-ES"/>
              </w:rPr>
              <w:t xml:space="preserve"> de 2024</w:t>
            </w:r>
          </w:p>
        </w:tc>
      </w:tr>
      <w:tr w:rsidR="000013B5" w:rsidRPr="00593A5F" w14:paraId="1E3A8DB3" w14:textId="77777777" w:rsidTr="00070004">
        <w:trPr>
          <w:trHeight w:val="884"/>
        </w:trPr>
        <w:tc>
          <w:tcPr>
            <w:tcW w:w="2689" w:type="dxa"/>
          </w:tcPr>
          <w:p w14:paraId="51F39CF7" w14:textId="77777777" w:rsidR="000013B5" w:rsidRPr="00593A5F" w:rsidRDefault="000013B5" w:rsidP="0007000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9D98CDF" w14:textId="77777777" w:rsidR="000013B5" w:rsidRPr="00A11406" w:rsidRDefault="000013B5" w:rsidP="00070004">
            <w:pPr>
              <w:spacing w:line="276" w:lineRule="auto"/>
              <w:jc w:val="both"/>
              <w:rPr>
                <w:rFonts w:ascii="Verdana" w:eastAsia="Calibri" w:hAnsi="Verdana" w:cs="Arial"/>
                <w:lang w:val="es-ES" w:eastAsia="es-ES"/>
              </w:rPr>
            </w:pPr>
            <w:r w:rsidRPr="00CB5A43">
              <w:rPr>
                <w:rFonts w:ascii="Verdana" w:eastAsia="Calibri" w:hAnsi="Verdana" w:cs="Arial"/>
                <w:lang w:val="es-ES" w:eastAsia="es-ES"/>
              </w:rPr>
              <w:t>ASOCIACIONES DE MUNICIPIOS – Naturaleza</w:t>
            </w:r>
            <w:r>
              <w:rPr>
                <w:rFonts w:ascii="Verdana" w:eastAsia="Calibri" w:hAnsi="Verdana" w:cs="Arial"/>
                <w:lang w:val="es-ES" w:eastAsia="es-ES"/>
              </w:rPr>
              <w:t xml:space="preserve"> / </w:t>
            </w:r>
            <w:r w:rsidRPr="00CB5A43">
              <w:rPr>
                <w:rFonts w:ascii="Verdana" w:eastAsia="Calibri" w:hAnsi="Verdana" w:cs="Arial"/>
                <w:lang w:val="es-ES" w:eastAsia="es-ES"/>
              </w:rPr>
              <w:t>ESQUEMAS ASOCIATIVOS TERRITORIALES – Provincias administrativas y de planificación – Régimen jurídico</w:t>
            </w:r>
            <w:r>
              <w:rPr>
                <w:rFonts w:ascii="Verdana" w:eastAsia="Calibri" w:hAnsi="Verdana" w:cs="Arial"/>
                <w:lang w:val="es-ES" w:eastAsia="es-ES"/>
              </w:rPr>
              <w:t xml:space="preserve"> / </w:t>
            </w:r>
            <w:r w:rsidRPr="00CB5A43">
              <w:rPr>
                <w:rFonts w:ascii="Verdana" w:eastAsia="Calibri" w:hAnsi="Verdana" w:cs="Arial"/>
                <w:lang w:val="es-ES" w:eastAsia="es-ES"/>
              </w:rPr>
              <w:t xml:space="preserve">PROVINCIAS ADMINISTRATIVAS Y DE PLANIFICACIÓN – Funciones – Alcance  </w:t>
            </w:r>
            <w:r w:rsidRPr="00FA3A97">
              <w:rPr>
                <w:rFonts w:ascii="Verdana" w:eastAsia="Calibri" w:hAnsi="Verdana" w:cs="Arial"/>
                <w:lang w:val="es-ES" w:eastAsia="es-ES"/>
              </w:rPr>
              <w:t xml:space="preserve">  </w:t>
            </w:r>
          </w:p>
          <w:p w14:paraId="79FDF204" w14:textId="77777777" w:rsidR="000013B5" w:rsidRPr="00593A5F" w:rsidRDefault="000013B5" w:rsidP="0007000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013B5" w:rsidRPr="008E6AD9" w14:paraId="2FDD72F2" w14:textId="77777777" w:rsidTr="00070004">
        <w:tc>
          <w:tcPr>
            <w:tcW w:w="2689" w:type="dxa"/>
          </w:tcPr>
          <w:p w14:paraId="475AC473" w14:textId="77777777" w:rsidR="000013B5" w:rsidRPr="008E6AD9" w:rsidRDefault="000013B5" w:rsidP="0007000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02F4101" w14:textId="77777777" w:rsidR="000013B5" w:rsidRPr="008E6AD9" w:rsidRDefault="000013B5" w:rsidP="00070004">
            <w:pPr>
              <w:jc w:val="both"/>
              <w:rPr>
                <w:rFonts w:ascii="Verdana" w:eastAsia="Calibri" w:hAnsi="Verdana" w:cs="Arial"/>
                <w:lang w:eastAsia="es-ES_tradnl"/>
              </w:rPr>
            </w:pPr>
            <w:r w:rsidRPr="008E6AD9">
              <w:rPr>
                <w:rFonts w:ascii="Verdana" w:eastAsia="Calibri" w:hAnsi="Verdana" w:cs="Arial"/>
                <w:lang w:val="es-ES_tradnl" w:eastAsia="es-ES_tradnl"/>
              </w:rPr>
              <w:t>Respuesta a consulta con radicado No</w:t>
            </w:r>
            <w:r>
              <w:t xml:space="preserve"> </w:t>
            </w:r>
            <w:r w:rsidRPr="00173E6D">
              <w:rPr>
                <w:rFonts w:ascii="Verdana" w:eastAsia="Calibri" w:hAnsi="Verdana" w:cs="Arial"/>
                <w:lang w:val="es-ES_tradnl" w:eastAsia="es-ES_tradnl"/>
              </w:rPr>
              <w:t>P20240710007029</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D8F6E81" w14:textId="77777777" w:rsidR="000013B5" w:rsidRPr="00593A5F" w:rsidRDefault="000013B5" w:rsidP="000013B5">
      <w:pPr>
        <w:spacing w:after="0" w:line="240" w:lineRule="auto"/>
        <w:jc w:val="both"/>
        <w:rPr>
          <w:rFonts w:ascii="Verdana" w:eastAsia="Calibri" w:hAnsi="Verdana" w:cs="Arial"/>
          <w:color w:val="000000"/>
          <w:lang w:val="es-ES_tradnl" w:eastAsia="es-ES_tradnl"/>
        </w:rPr>
      </w:pPr>
    </w:p>
    <w:p w14:paraId="628F22C1" w14:textId="77777777" w:rsidR="000013B5" w:rsidRPr="00593A5F" w:rsidRDefault="000013B5" w:rsidP="000013B5">
      <w:pPr>
        <w:spacing w:after="0" w:line="240" w:lineRule="auto"/>
        <w:jc w:val="both"/>
        <w:rPr>
          <w:rFonts w:ascii="Verdana" w:eastAsia="Calibri" w:hAnsi="Verdana" w:cs="Arial"/>
          <w:color w:val="000000"/>
          <w:lang w:val="es-ES_tradnl" w:eastAsia="es-ES_tradnl"/>
        </w:rPr>
      </w:pPr>
    </w:p>
    <w:p w14:paraId="2835226D" w14:textId="77777777" w:rsidR="000013B5" w:rsidRPr="008E6AD9" w:rsidRDefault="000013B5" w:rsidP="000013B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173E6D">
        <w:rPr>
          <w:rFonts w:ascii="Verdana" w:eastAsia="Calibri" w:hAnsi="Verdana" w:cs="Arial"/>
          <w:lang w:val="es-ES" w:eastAsia="es-ES"/>
        </w:rPr>
        <w:t>Vásquez Arboleda</w:t>
      </w:r>
      <w:r w:rsidRPr="008E6AD9">
        <w:rPr>
          <w:rFonts w:ascii="Verdana" w:eastAsia="Calibri" w:hAnsi="Verdana" w:cs="Arial"/>
          <w:lang w:val="es-ES" w:eastAsia="es-ES"/>
        </w:rPr>
        <w:t xml:space="preserve">: </w:t>
      </w:r>
    </w:p>
    <w:p w14:paraId="1976810C" w14:textId="77777777" w:rsidR="000013B5" w:rsidRDefault="000013B5" w:rsidP="000013B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2416DD7" w14:textId="77777777" w:rsidR="000013B5" w:rsidRPr="00593A5F" w:rsidRDefault="000013B5" w:rsidP="000013B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10 de julio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–respecto a las funciones de las provincias del artículo 16 de la Ley 1454 de 2011– pregunta lo siguiente</w:t>
      </w:r>
      <w:r w:rsidRPr="008E6AD9">
        <w:rPr>
          <w:rFonts w:ascii="Verdana" w:eastAsia="Calibri" w:hAnsi="Verdana" w:cs="Arial"/>
          <w:lang w:val="es-ES" w:eastAsia="es-ES"/>
        </w:rPr>
        <w:t xml:space="preserve">: </w:t>
      </w:r>
    </w:p>
    <w:p w14:paraId="531FD20E" w14:textId="77777777" w:rsidR="000013B5" w:rsidRPr="00272A7B" w:rsidRDefault="000013B5" w:rsidP="000013B5">
      <w:pPr>
        <w:pStyle w:val="Prrafodelista"/>
        <w:tabs>
          <w:tab w:val="left" w:pos="142"/>
          <w:tab w:val="left" w:pos="284"/>
        </w:tabs>
        <w:spacing w:line="276" w:lineRule="auto"/>
        <w:ind w:left="0"/>
        <w:jc w:val="both"/>
        <w:rPr>
          <w:rFonts w:ascii="Verdana" w:eastAsia="Century Gothic" w:hAnsi="Verdana" w:cs="Century Gothic"/>
          <w:b/>
          <w:bCs/>
        </w:rPr>
      </w:pPr>
    </w:p>
    <w:p w14:paraId="06CA5428" w14:textId="77777777" w:rsidR="000013B5" w:rsidRPr="00173E6D" w:rsidRDefault="000013B5" w:rsidP="000013B5">
      <w:pPr>
        <w:spacing w:after="0" w:line="240" w:lineRule="auto"/>
        <w:ind w:left="709" w:right="709"/>
        <w:jc w:val="both"/>
        <w:rPr>
          <w:rFonts w:ascii="Verdana" w:hAnsi="Verdana" w:cs="Arial"/>
          <w:sz w:val="20"/>
          <w:szCs w:val="20"/>
          <w:shd w:val="clear" w:color="auto" w:fill="FFFFFF"/>
          <w:lang w:val="es-ES"/>
        </w:rPr>
      </w:pPr>
      <w:bookmarkStart w:id="0" w:name="_Hlk95313578"/>
      <w:r w:rsidRPr="008E6AD9">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r w:rsidRPr="00173E6D">
        <w:rPr>
          <w:rStyle w:val="normaltextrun"/>
          <w:rFonts w:ascii="Verdana" w:hAnsi="Verdana" w:cs="Arial"/>
          <w:sz w:val="20"/>
          <w:szCs w:val="20"/>
          <w:shd w:val="clear" w:color="auto" w:fill="FFFFFF"/>
          <w:lang w:val="es-ES"/>
        </w:rPr>
        <w:t>1) ¿</w:t>
      </w:r>
      <w:r>
        <w:rPr>
          <w:rStyle w:val="normaltextrun"/>
          <w:rFonts w:ascii="Verdana" w:hAnsi="Verdana" w:cs="Arial"/>
          <w:sz w:val="20"/>
          <w:szCs w:val="20"/>
          <w:shd w:val="clear" w:color="auto" w:fill="FFFFFF"/>
          <w:lang w:val="es-ES"/>
        </w:rPr>
        <w:t>Só</w:t>
      </w:r>
      <w:r w:rsidRPr="00173E6D">
        <w:rPr>
          <w:rStyle w:val="normaltextrun"/>
          <w:rFonts w:ascii="Verdana" w:hAnsi="Verdana" w:cs="Arial"/>
          <w:sz w:val="20"/>
          <w:szCs w:val="20"/>
          <w:shd w:val="clear" w:color="auto" w:fill="FFFFFF"/>
          <w:lang w:val="es-ES"/>
        </w:rPr>
        <w:t>lo están enmarcadas en aquellas funciones de manera taxativa o por el contrario también podrá tenerse como funciones las que señala aquella entidad administrativa en sus estatutos?</w:t>
      </w:r>
      <w:r>
        <w:rPr>
          <w:rStyle w:val="normaltextrun"/>
          <w:rFonts w:ascii="Verdana" w:hAnsi="Verdana" w:cs="Arial"/>
          <w:sz w:val="20"/>
          <w:szCs w:val="20"/>
          <w:shd w:val="clear" w:color="auto" w:fill="FFFFFF"/>
          <w:lang w:val="es-ES"/>
        </w:rPr>
        <w:t xml:space="preserve"> </w:t>
      </w:r>
      <w:r w:rsidRPr="00173E6D">
        <w:rPr>
          <w:rStyle w:val="normaltextrun"/>
          <w:rFonts w:ascii="Verdana" w:hAnsi="Verdana" w:cs="Arial"/>
          <w:sz w:val="20"/>
          <w:szCs w:val="20"/>
          <w:shd w:val="clear" w:color="auto" w:fill="FFFFFF"/>
          <w:lang w:val="es-ES"/>
        </w:rPr>
        <w:t xml:space="preserve">2) ¿Cuándo la norma se refiere a ejecutar obras de ámbito regional, hace referencia sólo a la región que comprende los municipios asociados a la provincia y en consecuencia, </w:t>
      </w:r>
      <w:r w:rsidRPr="00173E6D">
        <w:rPr>
          <w:rStyle w:val="normaltextrun"/>
          <w:rFonts w:ascii="Verdana" w:hAnsi="Verdana" w:cs="Arial"/>
          <w:sz w:val="20"/>
          <w:szCs w:val="20"/>
          <w:shd w:val="clear" w:color="auto" w:fill="FFFFFF"/>
          <w:lang w:val="es-ES"/>
        </w:rPr>
        <w:lastRenderedPageBreak/>
        <w:t>solo podrá contratar en los términos de la ley 80 de 1993 obras a ejecutarse en aquellos municipios o por el contrario, también podrá contratar con otras municipios o entidades que no estén asociados a la provincia?</w:t>
      </w:r>
      <w:r>
        <w:rPr>
          <w:rStyle w:val="normaltextrun"/>
          <w:rFonts w:ascii="Verdana" w:hAnsi="Verdana" w:cs="Arial"/>
          <w:sz w:val="20"/>
          <w:szCs w:val="20"/>
          <w:shd w:val="clear" w:color="auto" w:fill="FFFFFF"/>
          <w:lang w:val="es-ES"/>
        </w:rPr>
        <w:t xml:space="preserve"> </w:t>
      </w:r>
      <w:r w:rsidRPr="00173E6D">
        <w:rPr>
          <w:rStyle w:val="normaltextrun"/>
          <w:rFonts w:ascii="Verdana" w:hAnsi="Verdana" w:cs="Arial"/>
          <w:sz w:val="20"/>
          <w:szCs w:val="20"/>
          <w:shd w:val="clear" w:color="auto" w:fill="FFFFFF"/>
          <w:lang w:val="es-ES"/>
        </w:rPr>
        <w:t>3) ¿Cuándo la norma se refiere a que la provincia pu</w:t>
      </w:r>
      <w:r>
        <w:rPr>
          <w:rStyle w:val="normaltextrun"/>
          <w:rFonts w:ascii="Verdana" w:hAnsi="Verdana" w:cs="Arial"/>
          <w:sz w:val="20"/>
          <w:szCs w:val="20"/>
          <w:shd w:val="clear" w:color="auto" w:fill="FFFFFF"/>
          <w:lang w:val="es-ES"/>
        </w:rPr>
        <w:t>e</w:t>
      </w:r>
      <w:r w:rsidRPr="00173E6D">
        <w:rPr>
          <w:rStyle w:val="normaltextrun"/>
          <w:rFonts w:ascii="Verdana" w:hAnsi="Verdana" w:cs="Arial"/>
          <w:sz w:val="20"/>
          <w:szCs w:val="20"/>
          <w:shd w:val="clear" w:color="auto" w:fill="FFFFFF"/>
          <w:lang w:val="es-ES"/>
        </w:rPr>
        <w:t>de ejecutar proyectos de desarrollo integral, eso significa que, al no circunscribirlo a una ámbito local o regional, es porque tiene las facultades para contratar bajo los términos de la ley 89 de 1993 con otras entidades territoriales que se encuentren por fuera de su jurisdicción territorial?</w:t>
      </w:r>
      <w:r>
        <w:rPr>
          <w:rStyle w:val="normaltextrun"/>
          <w:rFonts w:ascii="Verdana" w:hAnsi="Verdana" w:cs="Arial"/>
          <w:sz w:val="20"/>
          <w:szCs w:val="20"/>
          <w:shd w:val="clear" w:color="auto" w:fill="FFFFFF"/>
          <w:lang w:val="es-ES"/>
        </w:rPr>
        <w:t xml:space="preserve"> </w:t>
      </w:r>
      <w:r w:rsidRPr="00173E6D">
        <w:rPr>
          <w:rStyle w:val="normaltextrun"/>
          <w:rFonts w:ascii="Verdana" w:hAnsi="Verdana" w:cs="Arial"/>
          <w:sz w:val="20"/>
          <w:szCs w:val="20"/>
          <w:shd w:val="clear" w:color="auto" w:fill="FFFFFF"/>
          <w:lang w:val="es-ES"/>
        </w:rPr>
        <w:t xml:space="preserve">4) Cuando el segundo inciso del artículo 16 de la ley 1454 de 2011 señala: </w:t>
      </w:r>
      <w:r>
        <w:rPr>
          <w:rStyle w:val="normaltextrun"/>
          <w:rFonts w:ascii="Verdana" w:hAnsi="Verdana" w:cs="Arial"/>
          <w:sz w:val="20"/>
          <w:szCs w:val="20"/>
          <w:shd w:val="clear" w:color="auto" w:fill="FFFFFF"/>
          <w:lang w:val="es-ES"/>
        </w:rPr>
        <w:t>‘</w:t>
      </w:r>
      <w:r w:rsidRPr="00173E6D">
        <w:rPr>
          <w:rStyle w:val="normaltextrun"/>
          <w:rFonts w:ascii="Verdana" w:hAnsi="Verdana" w:cs="Arial"/>
          <w:sz w:val="20"/>
          <w:szCs w:val="20"/>
          <w:shd w:val="clear" w:color="auto" w:fill="FFFFFF"/>
          <w:lang w:val="es-ES"/>
        </w:rPr>
        <w:t>Lo anterior no implicará que municipios que no guarden continuidad geográfica y que pertenezcan a diferentes departamentos puedan desarrollar alianzas estratégicas de orden económico con el fin de comercializar sus bienes y servicios a nivel nacional e internacional</w:t>
      </w:r>
      <w:r>
        <w:rPr>
          <w:rStyle w:val="normaltextrun"/>
          <w:rFonts w:ascii="Verdana" w:hAnsi="Verdana" w:cs="Arial"/>
          <w:sz w:val="20"/>
          <w:szCs w:val="20"/>
          <w:shd w:val="clear" w:color="auto" w:fill="FFFFFF"/>
          <w:lang w:val="es-ES"/>
        </w:rPr>
        <w:t>’</w:t>
      </w:r>
      <w:r w:rsidRPr="00173E6D">
        <w:rPr>
          <w:rStyle w:val="normaltextrun"/>
          <w:rFonts w:ascii="Verdana" w:hAnsi="Verdana" w:cs="Arial"/>
          <w:sz w:val="20"/>
          <w:szCs w:val="20"/>
          <w:shd w:val="clear" w:color="auto" w:fill="FFFFFF"/>
          <w:lang w:val="es-ES"/>
        </w:rPr>
        <w:t xml:space="preserve"> Podrá entenderse o interpretarse que efectivamente podrá contratar con municipios que no se encuentren asociados a la provincia, así no guarden continuidad geográfica?</w:t>
      </w:r>
      <w:r>
        <w:rPr>
          <w:rStyle w:val="normaltextrun"/>
          <w:rFonts w:ascii="Verdana" w:hAnsi="Verdana" w:cs="Arial"/>
          <w:sz w:val="20"/>
          <w:szCs w:val="20"/>
          <w:shd w:val="clear" w:color="auto" w:fill="FFFFFF"/>
          <w:lang w:val="es-ES"/>
        </w:rPr>
        <w:t xml:space="preserve"> […]</w:t>
      </w:r>
      <w:r>
        <w:rPr>
          <w:rFonts w:ascii="Verdana" w:eastAsia="Century Gothic" w:hAnsi="Verdana" w:cs="Century Gothic"/>
          <w:sz w:val="20"/>
          <w:szCs w:val="20"/>
          <w:lang w:val="es-ES"/>
        </w:rPr>
        <w:t>”</w:t>
      </w:r>
      <w:r w:rsidRPr="008E6AD9">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1B0B39AE" w14:textId="77777777" w:rsidR="000013B5" w:rsidRPr="008E6AD9" w:rsidRDefault="000013B5" w:rsidP="000013B5">
      <w:pPr>
        <w:pStyle w:val="Prrafodelista"/>
        <w:tabs>
          <w:tab w:val="left" w:pos="142"/>
          <w:tab w:val="left" w:pos="284"/>
        </w:tabs>
        <w:spacing w:line="276" w:lineRule="auto"/>
        <w:ind w:left="0"/>
        <w:jc w:val="both"/>
        <w:rPr>
          <w:rFonts w:ascii="Verdana" w:eastAsia="Century Gothic" w:hAnsi="Verdana" w:cs="Century Gothic"/>
          <w:b/>
          <w:bCs/>
        </w:rPr>
      </w:pPr>
    </w:p>
    <w:p w14:paraId="18B09610" w14:textId="77777777" w:rsidR="000013B5" w:rsidRPr="00A652FF" w:rsidRDefault="000013B5" w:rsidP="000013B5">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979B316" w14:textId="77777777" w:rsidR="000013B5" w:rsidRDefault="000013B5" w:rsidP="000013B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 segunda pregunta de la</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CD83393" w14:textId="77777777" w:rsidR="000013B5" w:rsidRPr="00593A5F" w:rsidRDefault="000013B5" w:rsidP="000013B5">
      <w:pPr>
        <w:spacing w:after="0" w:line="276" w:lineRule="auto"/>
        <w:ind w:firstLine="709"/>
        <w:jc w:val="both"/>
        <w:rPr>
          <w:rFonts w:ascii="Verdana" w:eastAsia="Calibri" w:hAnsi="Verdana" w:cs="Arial"/>
          <w:color w:val="000000"/>
          <w:lang w:val="es-ES" w:eastAsia="es-ES"/>
        </w:rPr>
      </w:pPr>
    </w:p>
    <w:p w14:paraId="6D3F6D69" w14:textId="77777777" w:rsidR="000013B5" w:rsidRPr="00593A5F" w:rsidRDefault="000013B5" w:rsidP="000013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5553B46" w14:textId="77777777" w:rsidR="000013B5" w:rsidRPr="00593A5F" w:rsidRDefault="000013B5" w:rsidP="000013B5">
      <w:pPr>
        <w:tabs>
          <w:tab w:val="left" w:pos="426"/>
        </w:tabs>
        <w:spacing w:after="0" w:line="276" w:lineRule="auto"/>
        <w:jc w:val="both"/>
        <w:rPr>
          <w:rFonts w:ascii="Verdana" w:eastAsia="Century Gothic" w:hAnsi="Verdana" w:cs="Century Gothic"/>
          <w:lang w:val="es-ES"/>
        </w:rPr>
      </w:pPr>
    </w:p>
    <w:p w14:paraId="21CFB616" w14:textId="77777777" w:rsidR="000013B5" w:rsidRPr="00593A5F" w:rsidRDefault="000013B5" w:rsidP="000013B5">
      <w:pPr>
        <w:spacing w:after="0" w:line="276" w:lineRule="auto"/>
        <w:jc w:val="both"/>
        <w:rPr>
          <w:rFonts w:ascii="Verdana" w:eastAsia="Century Gothic" w:hAnsi="Verdana" w:cs="Century Gothic"/>
        </w:rPr>
      </w:pPr>
      <w:r>
        <w:rPr>
          <w:rFonts w:ascii="Verdana" w:eastAsia="Century Gothic" w:hAnsi="Verdana" w:cs="Century Gothic"/>
        </w:rPr>
        <w:t xml:space="preserve">Depurada la competencia de la entidad, 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w:t>
      </w:r>
      <w:r>
        <w:rPr>
          <w:rFonts w:ascii="Verdana" w:eastAsia="Century Gothic" w:hAnsi="Verdana" w:cs="Century Gothic"/>
        </w:rPr>
        <w:lastRenderedPageBreak/>
        <w:t xml:space="preserve">alcance de las funciones de las provincias en los términos del artículo 16 de la Ley 1454 de 2011?   </w:t>
      </w:r>
      <w:r w:rsidRPr="00C00976">
        <w:rPr>
          <w:rFonts w:ascii="Verdana" w:eastAsia="Century Gothic" w:hAnsi="Verdana" w:cs="Century Gothic"/>
          <w:color w:val="7030A0"/>
        </w:rPr>
        <w:t xml:space="preserve"> </w:t>
      </w:r>
    </w:p>
    <w:p w14:paraId="388932AC" w14:textId="77777777" w:rsidR="000013B5" w:rsidRPr="00593A5F" w:rsidRDefault="000013B5" w:rsidP="000013B5">
      <w:pPr>
        <w:spacing w:after="0" w:line="276" w:lineRule="auto"/>
        <w:jc w:val="both"/>
        <w:rPr>
          <w:rFonts w:ascii="Verdana" w:eastAsia="Calibri" w:hAnsi="Verdana" w:cs="Arial"/>
          <w:color w:val="7030A0"/>
          <w:lang w:val="es-ES"/>
        </w:rPr>
      </w:pPr>
    </w:p>
    <w:p w14:paraId="0269D1AC" w14:textId="77777777" w:rsidR="000013B5" w:rsidRPr="00593A5F" w:rsidRDefault="000013B5" w:rsidP="000013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09D5727" w14:textId="77777777" w:rsidR="000013B5" w:rsidRPr="00593A5F" w:rsidRDefault="000013B5" w:rsidP="000013B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013B5" w:rsidRPr="00593A5F" w14:paraId="56E1D11C" w14:textId="77777777" w:rsidTr="00070004">
        <w:trPr>
          <w:jc w:val="center"/>
        </w:trPr>
        <w:tc>
          <w:tcPr>
            <w:tcW w:w="8828" w:type="dxa"/>
            <w:shd w:val="clear" w:color="auto" w:fill="auto"/>
          </w:tcPr>
          <w:p w14:paraId="1F253855" w14:textId="77777777" w:rsidR="000013B5" w:rsidRDefault="000013B5" w:rsidP="00070004">
            <w:pPr>
              <w:spacing w:after="120" w:line="276" w:lineRule="auto"/>
              <w:jc w:val="both"/>
              <w:rPr>
                <w:rStyle w:val="normaltextrun"/>
                <w:rFonts w:ascii="Verdana" w:hAnsi="Verdana" w:cs="Arial"/>
                <w:color w:val="000000"/>
              </w:rPr>
            </w:pPr>
            <w:bookmarkStart w:id="1" w:name="_Hlk172797590"/>
            <w:bookmarkStart w:id="2" w:name="_Hlk171694685"/>
            <w:r>
              <w:rPr>
                <w:rStyle w:val="normaltextrun"/>
                <w:rFonts w:ascii="Verdana" w:hAnsi="Verdana" w:cs="Arial"/>
                <w:color w:val="000000"/>
              </w:rPr>
              <w:t>Conforme al inciso primero del artículo 11 de la Ley 1454 de 2011, “</w:t>
            </w:r>
            <w:r w:rsidRPr="002B6B3A">
              <w:rPr>
                <w:rStyle w:val="normaltextrun"/>
                <w:rFonts w:ascii="Verdana" w:hAnsi="Verdana" w:cs="Arial"/>
                <w:color w:val="000000"/>
              </w:rPr>
              <w:t>La</w:t>
            </w:r>
            <w:r>
              <w:rPr>
                <w:rStyle w:val="normaltextrun"/>
                <w:rFonts w:ascii="Verdana" w:hAnsi="Verdana" w:cs="Arial"/>
                <w:color w:val="000000"/>
              </w:rPr>
              <w:t>s</w:t>
            </w:r>
            <w:r w:rsidRPr="002B6B3A">
              <w:rPr>
                <w:rStyle w:val="normaltextrun"/>
                <w:rFonts w:ascii="Verdana" w:hAnsi="Verdana" w:cs="Arial"/>
                <w:color w:val="000000"/>
              </w:rPr>
              <w:t xml:space="preserve"> asociaciones de entidades territoriales se conformarán libremente por dos o más entes territoriales para prestar conjuntamente servicios públicos, funciones administrativas propias o asignadas al ente territorial por el nivel nacional, ejecutar obras de interés común o cumplir funciones de planificación, así como para procurar el desarrollo integral de sus territorios</w:t>
            </w:r>
            <w:r>
              <w:rPr>
                <w:rStyle w:val="normaltextrun"/>
                <w:rFonts w:ascii="Verdana" w:hAnsi="Verdana" w:cs="Arial"/>
                <w:color w:val="000000"/>
              </w:rPr>
              <w:t>”</w:t>
            </w:r>
            <w:r w:rsidRPr="002B6B3A">
              <w:rPr>
                <w:rStyle w:val="normaltextrun"/>
                <w:rFonts w:ascii="Verdana" w:hAnsi="Verdana" w:cs="Arial"/>
                <w:color w:val="000000"/>
              </w:rPr>
              <w:t>.</w:t>
            </w:r>
            <w:r>
              <w:rPr>
                <w:rStyle w:val="normaltextrun"/>
                <w:rFonts w:ascii="Verdana" w:hAnsi="Verdana" w:cs="Arial"/>
                <w:color w:val="000000"/>
              </w:rPr>
              <w:t xml:space="preserve"> Así, el inciso primero del artículo 16 </w:t>
            </w:r>
            <w:r w:rsidRPr="002B6B3A">
              <w:rPr>
                <w:rStyle w:val="normaltextrun"/>
                <w:rFonts w:ascii="Verdana" w:hAnsi="Verdana" w:cs="Arial"/>
                <w:i/>
                <w:iCs/>
                <w:color w:val="000000"/>
              </w:rPr>
              <w:t>ibidem</w:t>
            </w:r>
            <w:r>
              <w:rPr>
                <w:rStyle w:val="normaltextrun"/>
                <w:rFonts w:ascii="Verdana" w:hAnsi="Verdana" w:cs="Arial"/>
                <w:color w:val="000000"/>
              </w:rPr>
              <w:t xml:space="preserve"> permite la creación de </w:t>
            </w:r>
            <w:r w:rsidRPr="00754F4C">
              <w:rPr>
                <w:rStyle w:val="normaltextrun"/>
                <w:rFonts w:ascii="Verdana" w:hAnsi="Verdana" w:cs="Arial"/>
                <w:color w:val="000000"/>
              </w:rPr>
              <w:t>provincia</w:t>
            </w:r>
            <w:r>
              <w:rPr>
                <w:rStyle w:val="normaltextrun"/>
                <w:rFonts w:ascii="Verdana" w:hAnsi="Verdana" w:cs="Arial"/>
                <w:color w:val="000000"/>
              </w:rPr>
              <w:t>s</w:t>
            </w:r>
            <w:r w:rsidRPr="00754F4C">
              <w:rPr>
                <w:rStyle w:val="normaltextrun"/>
                <w:rFonts w:ascii="Verdana" w:hAnsi="Verdana" w:cs="Arial"/>
                <w:color w:val="000000"/>
              </w:rPr>
              <w:t xml:space="preserve"> administrativa</w:t>
            </w:r>
            <w:r>
              <w:rPr>
                <w:rStyle w:val="normaltextrun"/>
                <w:rFonts w:ascii="Verdana" w:hAnsi="Verdana" w:cs="Arial"/>
                <w:color w:val="000000"/>
              </w:rPr>
              <w:t>s</w:t>
            </w:r>
            <w:r w:rsidRPr="00754F4C">
              <w:rPr>
                <w:rStyle w:val="normaltextrun"/>
                <w:rFonts w:ascii="Verdana" w:hAnsi="Verdana" w:cs="Arial"/>
                <w:color w:val="000000"/>
              </w:rPr>
              <w:t xml:space="preserve"> y de planificación</w:t>
            </w:r>
            <w:r>
              <w:rPr>
                <w:rStyle w:val="normaltextrun"/>
                <w:rFonts w:ascii="Verdana" w:hAnsi="Verdana" w:cs="Arial"/>
                <w:color w:val="000000"/>
              </w:rPr>
              <w:t xml:space="preserve"> “[…] </w:t>
            </w:r>
            <w:r w:rsidRPr="002D11B2">
              <w:rPr>
                <w:rStyle w:val="normaltextrun"/>
                <w:rFonts w:ascii="Verdana" w:hAnsi="Verdana" w:cs="Arial"/>
                <w:color w:val="000000"/>
              </w:rPr>
              <w:t>con el propósito de organizar conjuntamente la prestación de servicios públicos, la ejecución de obras de ámbito regional y la ejecución de proyectos de desarrollo integral, así como la gestión ambiental</w:t>
            </w:r>
            <w:r>
              <w:rPr>
                <w:rStyle w:val="normaltextrun"/>
                <w:rFonts w:ascii="Verdana" w:hAnsi="Verdana" w:cs="Arial"/>
                <w:color w:val="000000"/>
              </w:rPr>
              <w:t xml:space="preserve">”.  </w:t>
            </w:r>
          </w:p>
          <w:p w14:paraId="71EED218" w14:textId="77777777" w:rsidR="000013B5" w:rsidRDefault="000013B5" w:rsidP="00070004">
            <w:pPr>
              <w:spacing w:after="120" w:line="276" w:lineRule="auto"/>
              <w:ind w:firstLine="703"/>
              <w:jc w:val="both"/>
              <w:rPr>
                <w:rStyle w:val="normaltextrun"/>
                <w:rFonts w:ascii="Verdana" w:hAnsi="Verdana" w:cs="Arial"/>
                <w:color w:val="000000"/>
              </w:rPr>
            </w:pPr>
            <w:r>
              <w:rPr>
                <w:rStyle w:val="normaltextrun"/>
                <w:rFonts w:ascii="Verdana" w:hAnsi="Verdana" w:cs="Arial"/>
                <w:color w:val="000000"/>
              </w:rPr>
              <w:t>Como se desprende de las disposiciones citadas, las funciones de las provincias no extienden a las demás que señalen los estatutos de creación, pues este aspecto –dentro del alcance del principio de legalidad en los términos de los artículos 6 y 121 de la Constitución Política de 1991– no fue incluido expresamente por el Congreso de la República. Además, si las obras corresponden al ámbito regional, ello significa que las provincias no pueden ser ejecutoras de dicho objeto contractual en departamentos o municipios distintos, pues sólo les corresponde el cumplimiento de funciones administrativas propias de los entes territoriales asociados. Asimismo, los “proyectos de desarrollo integral” se realizan con el propósito de “</w:t>
            </w:r>
            <w:r w:rsidRPr="00DC34BC">
              <w:rPr>
                <w:rStyle w:val="normaltextrun"/>
                <w:rFonts w:ascii="Verdana" w:hAnsi="Verdana" w:cs="Arial"/>
                <w:color w:val="000000"/>
              </w:rPr>
              <w:t>procurar el desarrollo integral de sus territorios</w:t>
            </w:r>
            <w:r>
              <w:rPr>
                <w:rStyle w:val="normaltextrun"/>
                <w:rFonts w:ascii="Verdana" w:hAnsi="Verdana" w:cs="Arial"/>
                <w:color w:val="000000"/>
              </w:rPr>
              <w:t>”, por lo que las provincias tampoco pueden ejecutar dichos proyectos fuera de las entidades asociadas.</w:t>
            </w:r>
          </w:p>
          <w:p w14:paraId="71FECBEA" w14:textId="77777777" w:rsidR="000013B5" w:rsidRPr="00FE4B6F" w:rsidRDefault="000013B5" w:rsidP="00070004">
            <w:pPr>
              <w:spacing w:line="276" w:lineRule="auto"/>
              <w:ind w:firstLine="703"/>
              <w:jc w:val="both"/>
              <w:rPr>
                <w:rFonts w:ascii="Verdana" w:eastAsia="Times New Roman" w:hAnsi="Verdana" w:cs="Arial"/>
                <w:color w:val="000000" w:themeColor="text1"/>
                <w:lang w:eastAsia="es-CO"/>
              </w:rPr>
            </w:pPr>
            <w:r>
              <w:rPr>
                <w:rStyle w:val="normaltextrun"/>
                <w:rFonts w:ascii="Verdana" w:hAnsi="Verdana" w:cs="Arial"/>
                <w:color w:val="000000"/>
              </w:rPr>
              <w:t>Finalmente, aunque el inciso segundo del artículo 16 de la Ley 1454 de 2011 dispone que “</w:t>
            </w:r>
            <w:r w:rsidRPr="00DC34BC">
              <w:rPr>
                <w:rStyle w:val="normaltextrun"/>
                <w:rFonts w:ascii="Verdana" w:hAnsi="Verdana" w:cs="Arial"/>
                <w:color w:val="000000"/>
              </w:rPr>
              <w:t>Lo anterior no implicará que municipios que no guarden continuidad geográfica y que pertenezcan a diferentes departamentos puedan desarrollar alianzas estratégicas de orden económico con el fin de comercializar sus bienes y servicios a nivel nacional e internacional</w:t>
            </w:r>
            <w:r>
              <w:rPr>
                <w:rStyle w:val="normaltextrun"/>
                <w:rFonts w:ascii="Verdana" w:hAnsi="Verdana" w:cs="Arial"/>
                <w:color w:val="000000"/>
              </w:rPr>
              <w:t>”, para la Agencia esto significa la posibilidad de ejecutar contratos fuera de los territorios de los municipios asociados</w:t>
            </w:r>
            <w:r w:rsidRPr="00DC34BC">
              <w:rPr>
                <w:rStyle w:val="normaltextrun"/>
                <w:rFonts w:ascii="Verdana" w:hAnsi="Verdana" w:cs="Arial"/>
                <w:color w:val="000000"/>
              </w:rPr>
              <w:t>.</w:t>
            </w:r>
            <w:r>
              <w:rPr>
                <w:rStyle w:val="normaltextrun"/>
                <w:rFonts w:ascii="Verdana" w:hAnsi="Verdana" w:cs="Arial"/>
                <w:color w:val="000000"/>
              </w:rPr>
              <w:t xml:space="preserve"> Todo lo contrario, estas alianzas tienen el propósito de facilitar el intercambio económico en todo el país, lo cual excluye la posibilidad mencionada en la solicitud, especialmente, cuando los </w:t>
            </w:r>
            <w:r>
              <w:rPr>
                <w:rStyle w:val="normaltextrun"/>
                <w:rFonts w:ascii="Verdana" w:hAnsi="Verdana" w:cs="Arial"/>
                <w:color w:val="000000"/>
              </w:rPr>
              <w:lastRenderedPageBreak/>
              <w:t>esquemas asociativos territoriales no tienen fines de lucro ni desarrollan actividades industriales o comerciales</w:t>
            </w:r>
            <w:bookmarkEnd w:id="1"/>
            <w:r w:rsidRPr="001E3FCB">
              <w:rPr>
                <w:rFonts w:ascii="Verdana" w:hAnsi="Verdana" w:cs="Arial"/>
              </w:rPr>
              <w:t>.</w:t>
            </w:r>
          </w:p>
        </w:tc>
      </w:tr>
    </w:tbl>
    <w:p w14:paraId="301FF7D0" w14:textId="77777777" w:rsidR="000013B5" w:rsidRPr="00593A5F" w:rsidRDefault="000013B5" w:rsidP="000013B5">
      <w:pPr>
        <w:tabs>
          <w:tab w:val="left" w:pos="142"/>
          <w:tab w:val="left" w:pos="284"/>
        </w:tabs>
        <w:spacing w:after="0" w:line="276" w:lineRule="auto"/>
        <w:jc w:val="both"/>
        <w:rPr>
          <w:rFonts w:ascii="Verdana" w:eastAsia="Century Gothic" w:hAnsi="Verdana" w:cs="Century Gothic"/>
          <w:b/>
          <w:bCs/>
          <w:lang w:val="es-ES"/>
        </w:rPr>
      </w:pPr>
    </w:p>
    <w:bookmarkEnd w:id="2"/>
    <w:p w14:paraId="5572BBD4" w14:textId="77777777" w:rsidR="000013B5" w:rsidRPr="00593A5F" w:rsidRDefault="000013B5" w:rsidP="000013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D9CA8FB" w14:textId="77777777" w:rsidR="000013B5" w:rsidRPr="00593A5F" w:rsidRDefault="000013B5" w:rsidP="000013B5">
      <w:pPr>
        <w:spacing w:after="0" w:line="276" w:lineRule="auto"/>
        <w:jc w:val="both"/>
        <w:rPr>
          <w:rFonts w:ascii="Verdana" w:eastAsia="Calibri" w:hAnsi="Verdana" w:cs="Arial"/>
          <w:color w:val="7030A0"/>
          <w:lang w:val="es-ES"/>
        </w:rPr>
      </w:pPr>
    </w:p>
    <w:p w14:paraId="6E0B6D69" w14:textId="77777777" w:rsidR="000013B5" w:rsidRPr="00B96799" w:rsidRDefault="000013B5" w:rsidP="000013B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771593E" w14:textId="77777777" w:rsidR="000013B5" w:rsidRDefault="000013B5" w:rsidP="000013B5">
      <w:pPr>
        <w:spacing w:after="0" w:line="276" w:lineRule="auto"/>
        <w:jc w:val="both"/>
        <w:rPr>
          <w:rFonts w:ascii="Verdana" w:eastAsia="Calibri" w:hAnsi="Verdana" w:cs="Arial"/>
          <w:color w:val="7030A0"/>
          <w:lang w:val="es-ES"/>
        </w:rPr>
      </w:pPr>
    </w:p>
    <w:p w14:paraId="6279825A" w14:textId="77777777" w:rsidR="000013B5" w:rsidRPr="00173E6D" w:rsidRDefault="000013B5" w:rsidP="000013B5">
      <w:pPr>
        <w:pStyle w:val="Textoindependiente"/>
        <w:spacing w:after="120" w:line="276" w:lineRule="auto"/>
        <w:ind w:right="103"/>
        <w:jc w:val="both"/>
        <w:rPr>
          <w:rFonts w:ascii="Verdana" w:hAnsi="Verdana"/>
          <w:color w:val="000000" w:themeColor="text1"/>
        </w:rPr>
      </w:pPr>
      <w:r w:rsidRPr="00173E6D">
        <w:rPr>
          <w:rFonts w:ascii="Verdana" w:hAnsi="Verdana"/>
          <w:color w:val="000000" w:themeColor="text1"/>
        </w:rPr>
        <w:t>Una de las primeras disposiciones relacionadas con</w:t>
      </w:r>
      <w:r w:rsidRPr="00173E6D" w:rsidDel="00307A32">
        <w:rPr>
          <w:rFonts w:ascii="Verdana" w:hAnsi="Verdana"/>
          <w:color w:val="000000" w:themeColor="text1"/>
        </w:rPr>
        <w:t xml:space="preserve"> </w:t>
      </w:r>
      <w:r w:rsidRPr="00173E6D">
        <w:rPr>
          <w:rFonts w:ascii="Verdana" w:hAnsi="Verdana"/>
          <w:color w:val="000000" w:themeColor="text1"/>
        </w:rPr>
        <w:t>las asociaciones de municipios es el artículo 63 del Acto Legislativo 1 de 1968, con el cual se modificó el artículo 198 de la Constitución de 1886, en el sentido de indicar, entre otras cosas, que “La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w:t>
      </w:r>
      <w:r w:rsidRPr="00173E6D">
        <w:rPr>
          <w:rFonts w:ascii="Verdana" w:hAnsi="Verdana"/>
          <w:color w:val="000000" w:themeColor="text1"/>
          <w:spacing w:val="-4"/>
        </w:rPr>
        <w:t xml:space="preserve"> </w:t>
      </w:r>
      <w:r w:rsidRPr="00173E6D">
        <w:rPr>
          <w:rFonts w:ascii="Verdana" w:hAnsi="Verdana"/>
          <w:color w:val="000000" w:themeColor="text1"/>
        </w:rPr>
        <w:t>requieran”.</w:t>
      </w:r>
    </w:p>
    <w:p w14:paraId="6A8AA6F0" w14:textId="77777777" w:rsidR="000013B5" w:rsidRPr="00173E6D" w:rsidRDefault="000013B5" w:rsidP="000013B5">
      <w:pPr>
        <w:pStyle w:val="Textoindependiente"/>
        <w:spacing w:after="120" w:line="276" w:lineRule="auto"/>
        <w:ind w:right="108" w:firstLine="709"/>
        <w:jc w:val="both"/>
        <w:rPr>
          <w:rFonts w:ascii="Verdana" w:hAnsi="Verdana"/>
          <w:color w:val="000000" w:themeColor="text1"/>
        </w:rPr>
      </w:pPr>
      <w:r w:rsidRPr="00173E6D">
        <w:rPr>
          <w:rFonts w:ascii="Verdana" w:hAnsi="Verdana"/>
          <w:color w:val="000000" w:themeColor="text1"/>
        </w:rPr>
        <w:t>En desarrollo de lo anterior fue expedida la Ley 1 de 1975, a través de la cual se regularon aspectos como la naturaleza jurídica de las asociaciones de municipios, la manera de conformarlas y su funcionamiento</w:t>
      </w:r>
      <w:r w:rsidRPr="00173E6D">
        <w:rPr>
          <w:rStyle w:val="Refdenotaalpie"/>
          <w:rFonts w:ascii="Verdana" w:hAnsi="Verdana"/>
          <w:color w:val="000000" w:themeColor="text1"/>
        </w:rPr>
        <w:footnoteReference w:id="2"/>
      </w:r>
      <w:r w:rsidRPr="00173E6D">
        <w:rPr>
          <w:rFonts w:ascii="Verdana" w:hAnsi="Verdana"/>
          <w:color w:val="000000" w:themeColor="text1"/>
        </w:rPr>
        <w:t>. Posteriormente, la Ley 136 de 1994, en el artículo 149, reiteró el primero de dichos aspectos, al señalar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643322C5" w14:textId="77777777" w:rsidR="000013B5" w:rsidRPr="00173E6D" w:rsidRDefault="000013B5" w:rsidP="000013B5">
      <w:pPr>
        <w:pStyle w:val="Textoindependiente"/>
        <w:spacing w:after="120" w:line="276" w:lineRule="auto"/>
        <w:ind w:right="108" w:firstLine="709"/>
        <w:jc w:val="both"/>
        <w:rPr>
          <w:rFonts w:ascii="Verdana" w:hAnsi="Verdana"/>
          <w:color w:val="000000" w:themeColor="text1"/>
        </w:rPr>
      </w:pPr>
      <w:r w:rsidRPr="00173E6D">
        <w:rPr>
          <w:rFonts w:ascii="Verdana" w:hAnsi="Verdana"/>
          <w:color w:val="000000" w:themeColor="text1"/>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18C9DAC0" w14:textId="77777777" w:rsidR="000013B5" w:rsidRPr="00173E6D" w:rsidRDefault="000013B5" w:rsidP="000013B5">
      <w:pPr>
        <w:pStyle w:val="Textoindependiente"/>
        <w:spacing w:after="120" w:line="276" w:lineRule="auto"/>
        <w:ind w:right="108" w:firstLine="709"/>
        <w:jc w:val="both"/>
        <w:rPr>
          <w:rFonts w:ascii="Verdana" w:hAnsi="Verdana"/>
          <w:color w:val="000000" w:themeColor="text1"/>
        </w:rPr>
      </w:pPr>
      <w:r w:rsidRPr="00173E6D">
        <w:rPr>
          <w:rFonts w:ascii="Verdana" w:hAnsi="Verdana"/>
          <w:color w:val="000000" w:themeColor="text1"/>
        </w:rPr>
        <w:t xml:space="preserve">A su vez, la Ley 1454 de 2011, orgánica del ordenamiento territorial, </w:t>
      </w:r>
      <w:r w:rsidRPr="00173E6D">
        <w:rPr>
          <w:rFonts w:ascii="Verdana" w:hAnsi="Verdana"/>
          <w:color w:val="000000" w:themeColor="text1"/>
        </w:rPr>
        <w:lastRenderedPageBreak/>
        <w:t>concibió a las asociaciones de municipios como una clase de los denominados esquemas asociativos territoriales</w:t>
      </w:r>
      <w:r w:rsidRPr="00173E6D">
        <w:rPr>
          <w:rFonts w:ascii="Verdana" w:hAnsi="Verdana"/>
          <w:vertAlign w:val="superscript"/>
        </w:rPr>
        <w:footnoteReference w:id="3"/>
      </w:r>
      <w:r w:rsidRPr="00173E6D">
        <w:rPr>
          <w:rFonts w:ascii="Verdana" w:hAnsi="Verdana"/>
          <w:color w:val="000000" w:themeColor="text1"/>
        </w:rPr>
        <w:t>,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12D9C2E8" w14:textId="77777777" w:rsidR="000013B5" w:rsidRPr="00173E6D" w:rsidRDefault="000013B5" w:rsidP="000013B5">
      <w:pPr>
        <w:pStyle w:val="Textoindependiente"/>
        <w:spacing w:after="120" w:line="276" w:lineRule="auto"/>
        <w:ind w:right="108" w:firstLine="709"/>
        <w:jc w:val="both"/>
        <w:rPr>
          <w:rFonts w:ascii="Verdana" w:hAnsi="Verdana"/>
          <w:color w:val="000000" w:themeColor="text1"/>
        </w:rPr>
      </w:pPr>
      <w:r w:rsidRPr="00173E6D">
        <w:rPr>
          <w:rFonts w:ascii="Verdana" w:hAnsi="Verdana"/>
          <w:color w:val="000000" w:themeColor="text1"/>
        </w:rPr>
        <w:t>En cuanto a la manera como se conforman las asociaciones de municipios, tanto la Ley 136 de 1994 –artículo 150–</w:t>
      </w:r>
      <w:r w:rsidRPr="00173E6D">
        <w:rPr>
          <w:rFonts w:ascii="Verdana" w:hAnsi="Verdana"/>
          <w:vertAlign w:val="superscript"/>
        </w:rPr>
        <w:footnoteReference w:id="4"/>
      </w:r>
      <w:r w:rsidRPr="00173E6D">
        <w:rPr>
          <w:rFonts w:ascii="Verdana" w:hAnsi="Verdana"/>
          <w:color w:val="000000" w:themeColor="text1"/>
        </w:rPr>
        <w:t>, como la Ley 1454 de 2011 –artículo 14–, establecen que se hace a través de convenios, en los términos indicados en dichas disposiciones</w:t>
      </w:r>
      <w:r w:rsidRPr="00173E6D">
        <w:rPr>
          <w:rFonts w:ascii="Verdana" w:hAnsi="Verdana"/>
          <w:vertAlign w:val="superscript"/>
        </w:rPr>
        <w:footnoteReference w:id="5"/>
      </w:r>
      <w:r w:rsidRPr="00173E6D">
        <w:rPr>
          <w:rFonts w:ascii="Verdana" w:hAnsi="Verdana"/>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4716F8E0" w14:textId="77777777" w:rsidR="000013B5" w:rsidRPr="00173E6D" w:rsidRDefault="000013B5" w:rsidP="000013B5">
      <w:pPr>
        <w:pStyle w:val="Textoindependiente"/>
        <w:spacing w:after="120" w:line="276" w:lineRule="auto"/>
        <w:ind w:firstLine="709"/>
        <w:jc w:val="both"/>
        <w:rPr>
          <w:rFonts w:ascii="Verdana" w:hAnsi="Verdana"/>
          <w:color w:val="000000" w:themeColor="text1"/>
        </w:rPr>
      </w:pPr>
      <w:r w:rsidRPr="00173E6D">
        <w:rPr>
          <w:rFonts w:ascii="Verdana" w:hAnsi="Verdana"/>
          <w:color w:val="000000" w:themeColor="text1"/>
        </w:rPr>
        <w:t xml:space="preserve">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w:t>
      </w:r>
      <w:r w:rsidRPr="00173E6D">
        <w:rPr>
          <w:rFonts w:ascii="Verdana" w:hAnsi="Verdana"/>
          <w:color w:val="000000" w:themeColor="text1"/>
        </w:rPr>
        <w:lastRenderedPageBreak/>
        <w:t>prescrito en el artículo 95 de la Ley 489 de 1998, que permite la asociación de entidades públicas, estableciendo la posibilidad de conformar personas jurídicas sin ánimo de lucro</w:t>
      </w:r>
      <w:r w:rsidRPr="00173E6D">
        <w:rPr>
          <w:rStyle w:val="Refdenotaalpie"/>
          <w:rFonts w:ascii="Verdana" w:hAnsi="Verdana"/>
          <w:color w:val="000000" w:themeColor="text1"/>
        </w:rPr>
        <w:footnoteReference w:id="6"/>
      </w:r>
      <w:r w:rsidRPr="00173E6D">
        <w:rPr>
          <w:rFonts w:ascii="Verdana" w:hAnsi="Verdana"/>
          <w:color w:val="000000" w:themeColor="text1"/>
        </w:rPr>
        <w:t xml:space="preserve">. </w:t>
      </w:r>
      <w:r w:rsidRPr="00173E6D">
        <w:rPr>
          <w:rStyle w:val="normaltextrun"/>
          <w:rFonts w:ascii="Verdana" w:hAnsi="Verdana"/>
          <w:color w:val="000000"/>
          <w:shd w:val="clear" w:color="auto" w:fill="FFFFFF"/>
        </w:rPr>
        <w:t>De este modo, la naturaleza y el carácter de persona jurídica que dichas leyes le atribuyen a las asociaciones de municipios conducen a entender que son entidades diferentes a los municipios que las conforman.</w:t>
      </w:r>
      <w:r w:rsidRPr="00173E6D">
        <w:rPr>
          <w:rStyle w:val="eop"/>
          <w:rFonts w:ascii="Verdana" w:hAnsi="Verdana"/>
          <w:color w:val="000000"/>
          <w:shd w:val="clear" w:color="auto" w:fill="FFFFFF"/>
        </w:rPr>
        <w:t> </w:t>
      </w:r>
    </w:p>
    <w:p w14:paraId="575684DD" w14:textId="77777777" w:rsidR="000013B5" w:rsidRPr="00173E6D" w:rsidRDefault="000013B5" w:rsidP="000013B5">
      <w:pPr>
        <w:pStyle w:val="paragraph"/>
        <w:shd w:val="clear" w:color="auto" w:fill="FFFFFF"/>
        <w:spacing w:before="0" w:beforeAutospacing="0" w:after="120" w:afterAutospacing="0" w:line="276" w:lineRule="auto"/>
        <w:ind w:firstLine="703"/>
        <w:jc w:val="both"/>
        <w:textAlignment w:val="baseline"/>
        <w:rPr>
          <w:rFonts w:ascii="Verdana" w:hAnsi="Verdana" w:cs="Segoe UI"/>
          <w:sz w:val="18"/>
          <w:szCs w:val="18"/>
        </w:rPr>
      </w:pPr>
      <w:r w:rsidRPr="00173E6D">
        <w:rPr>
          <w:rStyle w:val="normaltextrun"/>
          <w:rFonts w:ascii="Verdana" w:hAnsi="Verdana" w:cs="Arial"/>
          <w:color w:val="000000"/>
          <w:sz w:val="22"/>
          <w:szCs w:val="22"/>
        </w:rPr>
        <w:t xml:space="preserve">Dicho lo anterior, en relación con la naturaleza jurídica de las asociaciones de municipios, puede afirmarse que su régimen de contratación es el general. Lo anterior se desprende, además, de lo previsto en el numeral 1 del artículo 2 de la Ley 80 de 1993, que define como entidades estatales, sujetas a dicho estatuto a: “La Nación, las regiones, los departamentos, las provincias, el distrito capital y los distritos especiales, las áreas metropolitanas, </w:t>
      </w:r>
      <w:r w:rsidRPr="00173E6D">
        <w:rPr>
          <w:rStyle w:val="normaltextrun"/>
          <w:rFonts w:ascii="Verdana" w:hAnsi="Verdana" w:cs="Arial"/>
          <w:i/>
          <w:iCs/>
          <w:color w:val="000000"/>
          <w:sz w:val="22"/>
          <w:szCs w:val="22"/>
        </w:rPr>
        <w:t>las asociaciones de municipios</w:t>
      </w:r>
      <w:r w:rsidRPr="00173E6D">
        <w:rPr>
          <w:rStyle w:val="normaltextrun"/>
          <w:rFonts w:ascii="Verdana" w:hAnsi="Verdana" w:cs="Arial"/>
          <w:color w:val="000000"/>
          <w:sz w:val="22"/>
          <w:szCs w:val="22"/>
        </w:rPr>
        <w:t>, los territorios indígenas y los municipios (…)” (Énfasis fuera de texto). Así las cosas, el Estatuto General de Contratación de la Administración Pública establece que las asociaciones de municipios son entidades estatales para efectos contractuales, razón por la cual se someten a dicho estatuto.  </w:t>
      </w:r>
      <w:r w:rsidRPr="00173E6D">
        <w:rPr>
          <w:rStyle w:val="eop"/>
          <w:rFonts w:ascii="Verdana" w:hAnsi="Verdana" w:cs="Arial"/>
          <w:color w:val="000000"/>
          <w:sz w:val="22"/>
          <w:szCs w:val="22"/>
        </w:rPr>
        <w:t> </w:t>
      </w:r>
    </w:p>
    <w:p w14:paraId="2D33E3CF" w14:textId="77777777" w:rsidR="000013B5" w:rsidRDefault="000013B5" w:rsidP="000013B5">
      <w:pPr>
        <w:spacing w:after="120" w:line="276" w:lineRule="auto"/>
        <w:ind w:firstLine="703"/>
        <w:jc w:val="both"/>
        <w:rPr>
          <w:rStyle w:val="normaltextrun"/>
          <w:rFonts w:ascii="Verdana" w:hAnsi="Verdana" w:cs="Arial"/>
          <w:color w:val="000000"/>
        </w:rPr>
      </w:pPr>
      <w:r w:rsidRPr="00173E6D">
        <w:rPr>
          <w:rStyle w:val="normaltextrun"/>
          <w:rFonts w:ascii="Verdana" w:hAnsi="Verdana" w:cs="Arial"/>
          <w:color w:val="000000"/>
        </w:rPr>
        <w:t>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w:t>
      </w:r>
    </w:p>
    <w:p w14:paraId="3AB747A7" w14:textId="77777777" w:rsidR="000013B5" w:rsidRDefault="000013B5" w:rsidP="000013B5">
      <w:pPr>
        <w:spacing w:after="120" w:line="276" w:lineRule="auto"/>
        <w:ind w:firstLine="703"/>
        <w:jc w:val="both"/>
        <w:rPr>
          <w:rStyle w:val="normaltextrun"/>
          <w:rFonts w:ascii="Verdana" w:hAnsi="Verdana" w:cs="Arial"/>
          <w:color w:val="000000"/>
        </w:rPr>
      </w:pPr>
      <w:r>
        <w:rPr>
          <w:rStyle w:val="normaltextrun"/>
          <w:rFonts w:ascii="Verdana" w:hAnsi="Verdana" w:cs="Arial"/>
          <w:color w:val="000000"/>
        </w:rPr>
        <w:t xml:space="preserve">Ahora bien, </w:t>
      </w:r>
      <w:bookmarkStart w:id="3" w:name="_Hlk172797392"/>
      <w:r>
        <w:rPr>
          <w:rStyle w:val="normaltextrun"/>
          <w:rFonts w:ascii="Verdana" w:hAnsi="Verdana" w:cs="Arial"/>
          <w:color w:val="000000"/>
        </w:rPr>
        <w:t>en los términos del inciso primero del artículo 16 de la Ley 1454 de 2011, “</w:t>
      </w:r>
      <w:r w:rsidRPr="003F3F38">
        <w:rPr>
          <w:rStyle w:val="normaltextrun"/>
          <w:rFonts w:ascii="Verdana" w:hAnsi="Verdana" w:cs="Arial"/>
          <w:color w:val="000000"/>
        </w:rPr>
        <w:t>Dos o más municipios geográficamente contiguos de un mismo departamento podrán constituirse mediante ordenanza en una provincia administrativa y de planificación por solicitud de los alcaldes municipales, los gobernadores o del diez por ciento (10%) de los ciudadanos que componen el censo electoral de los respectivos municipios</w:t>
      </w:r>
      <w:r>
        <w:rPr>
          <w:rStyle w:val="normaltextrun"/>
          <w:rFonts w:ascii="Verdana" w:hAnsi="Verdana" w:cs="Arial"/>
          <w:color w:val="000000"/>
        </w:rPr>
        <w:t xml:space="preserve"> […]”. Como se observa se trata de una cualificación especial de los municipios asociados, pues exige continuidad geográfica dentro de un mismo ente departamental. Aunque tenga una denominación jurídica distinta, al igual que las asociaciones de municipios del </w:t>
      </w:r>
      <w:r>
        <w:rPr>
          <w:rStyle w:val="normaltextrun"/>
          <w:rFonts w:ascii="Verdana" w:hAnsi="Verdana" w:cs="Arial"/>
          <w:color w:val="000000"/>
        </w:rPr>
        <w:lastRenderedPageBreak/>
        <w:t xml:space="preserve">artículo 14 </w:t>
      </w:r>
      <w:r w:rsidRPr="003F3F38">
        <w:rPr>
          <w:rStyle w:val="normaltextrun"/>
          <w:rFonts w:ascii="Verdana" w:hAnsi="Verdana" w:cs="Arial"/>
          <w:i/>
          <w:iCs/>
          <w:color w:val="000000"/>
        </w:rPr>
        <w:t>ibidem</w:t>
      </w:r>
      <w:r>
        <w:rPr>
          <w:rStyle w:val="normaltextrun"/>
          <w:rFonts w:ascii="Verdana" w:hAnsi="Verdana" w:cs="Arial"/>
          <w:color w:val="000000"/>
        </w:rPr>
        <w:t xml:space="preserve">, también se rigen por el artículo 10 de la Ley 1150 de 2007, por tratarse de un esquema asociativo de entes territoriales. Incluso, aunque tome el nombre de </w:t>
      </w:r>
      <w:r w:rsidRPr="00754F4C">
        <w:rPr>
          <w:rStyle w:val="normaltextrun"/>
          <w:rFonts w:ascii="Verdana" w:hAnsi="Verdana" w:cs="Arial"/>
          <w:color w:val="000000"/>
        </w:rPr>
        <w:t>provincia administrativa y de planificación</w:t>
      </w:r>
      <w:r>
        <w:rPr>
          <w:rStyle w:val="normaltextrun"/>
          <w:rFonts w:ascii="Verdana" w:hAnsi="Verdana" w:cs="Arial"/>
          <w:color w:val="000000"/>
        </w:rPr>
        <w:t xml:space="preserve">, también hacen parte de las entidades sometidas al Estatuto General de Contratación de la Administración Pública, pues también conforman este régimen “[…] </w:t>
      </w:r>
      <w:r w:rsidRPr="002B6B3A">
        <w:rPr>
          <w:rStyle w:val="normaltextrun"/>
          <w:rFonts w:ascii="Verdana" w:hAnsi="Verdana" w:cs="Arial"/>
          <w:color w:val="000000"/>
        </w:rPr>
        <w:t>las entidades descentralizadas indirectas y las demás personas jurídicas en las que exista dicha participación pública mayoritaria, cualquiera sea la denominación que ellas adopten, en todos los órdenes y niveles</w:t>
      </w:r>
      <w:r>
        <w:rPr>
          <w:rStyle w:val="normaltextrun"/>
          <w:rFonts w:ascii="Verdana" w:hAnsi="Verdana" w:cs="Arial"/>
          <w:color w:val="000000"/>
        </w:rPr>
        <w:t xml:space="preserve">” –art. 2.1, </w:t>
      </w:r>
      <w:proofErr w:type="spellStart"/>
      <w:r>
        <w:rPr>
          <w:rStyle w:val="normaltextrun"/>
          <w:rFonts w:ascii="Verdana" w:hAnsi="Verdana" w:cs="Arial"/>
          <w:color w:val="000000"/>
        </w:rPr>
        <w:t>lit.</w:t>
      </w:r>
      <w:proofErr w:type="spellEnd"/>
      <w:r>
        <w:rPr>
          <w:rStyle w:val="normaltextrun"/>
          <w:rFonts w:ascii="Verdana" w:hAnsi="Verdana" w:cs="Arial"/>
          <w:color w:val="000000"/>
        </w:rPr>
        <w:t xml:space="preserve"> a), de la Ley 80 de 1993–. </w:t>
      </w:r>
      <w:bookmarkEnd w:id="3"/>
    </w:p>
    <w:p w14:paraId="2444A823" w14:textId="77777777" w:rsidR="000013B5" w:rsidRDefault="000013B5" w:rsidP="000013B5">
      <w:pPr>
        <w:spacing w:after="120" w:line="276" w:lineRule="auto"/>
        <w:ind w:firstLine="703"/>
        <w:jc w:val="both"/>
        <w:rPr>
          <w:rStyle w:val="normaltextrun"/>
          <w:rFonts w:ascii="Verdana" w:hAnsi="Verdana" w:cs="Arial"/>
          <w:color w:val="000000"/>
        </w:rPr>
      </w:pPr>
      <w:r>
        <w:rPr>
          <w:rStyle w:val="normaltextrun"/>
          <w:rFonts w:ascii="Verdana" w:hAnsi="Verdana" w:cs="Arial"/>
          <w:color w:val="000000"/>
        </w:rPr>
        <w:t>Conforme al inciso primero del artículo 11 de la Ley 1454 de 2011, “</w:t>
      </w:r>
      <w:r w:rsidRPr="002B6B3A">
        <w:rPr>
          <w:rStyle w:val="normaltextrun"/>
          <w:rFonts w:ascii="Verdana" w:hAnsi="Verdana" w:cs="Arial"/>
          <w:color w:val="000000"/>
        </w:rPr>
        <w:t>La</w:t>
      </w:r>
      <w:r>
        <w:rPr>
          <w:rStyle w:val="normaltextrun"/>
          <w:rFonts w:ascii="Verdana" w:hAnsi="Verdana" w:cs="Arial"/>
          <w:color w:val="000000"/>
        </w:rPr>
        <w:t>s</w:t>
      </w:r>
      <w:r w:rsidRPr="002B6B3A">
        <w:rPr>
          <w:rStyle w:val="normaltextrun"/>
          <w:rFonts w:ascii="Verdana" w:hAnsi="Verdana" w:cs="Arial"/>
          <w:color w:val="000000"/>
        </w:rPr>
        <w:t xml:space="preserve"> asociaciones de entidades territoriales se conformarán libremente por dos o más entes territoriales para prestar conjuntamente servicios públicos, funciones administrativas propias o asignadas al ente territorial por el nivel nacional, ejecutar obras de interés común o cumplir funciones de planificación, así como para procurar el desarrollo integral de sus territorios</w:t>
      </w:r>
      <w:r>
        <w:rPr>
          <w:rStyle w:val="normaltextrun"/>
          <w:rFonts w:ascii="Verdana" w:hAnsi="Verdana" w:cs="Arial"/>
          <w:color w:val="000000"/>
        </w:rPr>
        <w:t>”</w:t>
      </w:r>
      <w:r w:rsidRPr="002B6B3A">
        <w:rPr>
          <w:rStyle w:val="normaltextrun"/>
          <w:rFonts w:ascii="Verdana" w:hAnsi="Verdana" w:cs="Arial"/>
          <w:color w:val="000000"/>
        </w:rPr>
        <w:t>.</w:t>
      </w:r>
      <w:r>
        <w:rPr>
          <w:rStyle w:val="normaltextrun"/>
          <w:rFonts w:ascii="Verdana" w:hAnsi="Verdana" w:cs="Arial"/>
          <w:color w:val="000000"/>
        </w:rPr>
        <w:t xml:space="preserve"> Así, el inciso primero del artículo 16 </w:t>
      </w:r>
      <w:r w:rsidRPr="002B6B3A">
        <w:rPr>
          <w:rStyle w:val="normaltextrun"/>
          <w:rFonts w:ascii="Verdana" w:hAnsi="Verdana" w:cs="Arial"/>
          <w:i/>
          <w:iCs/>
          <w:color w:val="000000"/>
        </w:rPr>
        <w:t>ibidem</w:t>
      </w:r>
      <w:r>
        <w:rPr>
          <w:rStyle w:val="normaltextrun"/>
          <w:rFonts w:ascii="Verdana" w:hAnsi="Verdana" w:cs="Arial"/>
          <w:color w:val="000000"/>
        </w:rPr>
        <w:t xml:space="preserve"> permite la creación de </w:t>
      </w:r>
      <w:r w:rsidRPr="00754F4C">
        <w:rPr>
          <w:rStyle w:val="normaltextrun"/>
          <w:rFonts w:ascii="Verdana" w:hAnsi="Verdana" w:cs="Arial"/>
          <w:color w:val="000000"/>
        </w:rPr>
        <w:t>provincia</w:t>
      </w:r>
      <w:r>
        <w:rPr>
          <w:rStyle w:val="normaltextrun"/>
          <w:rFonts w:ascii="Verdana" w:hAnsi="Verdana" w:cs="Arial"/>
          <w:color w:val="000000"/>
        </w:rPr>
        <w:t>s</w:t>
      </w:r>
      <w:r w:rsidRPr="00754F4C">
        <w:rPr>
          <w:rStyle w:val="normaltextrun"/>
          <w:rFonts w:ascii="Verdana" w:hAnsi="Verdana" w:cs="Arial"/>
          <w:color w:val="000000"/>
        </w:rPr>
        <w:t xml:space="preserve"> administrativa</w:t>
      </w:r>
      <w:r>
        <w:rPr>
          <w:rStyle w:val="normaltextrun"/>
          <w:rFonts w:ascii="Verdana" w:hAnsi="Verdana" w:cs="Arial"/>
          <w:color w:val="000000"/>
        </w:rPr>
        <w:t>s</w:t>
      </w:r>
      <w:r w:rsidRPr="00754F4C">
        <w:rPr>
          <w:rStyle w:val="normaltextrun"/>
          <w:rFonts w:ascii="Verdana" w:hAnsi="Verdana" w:cs="Arial"/>
          <w:color w:val="000000"/>
        </w:rPr>
        <w:t xml:space="preserve"> y de planificación</w:t>
      </w:r>
      <w:r>
        <w:rPr>
          <w:rStyle w:val="normaltextrun"/>
          <w:rFonts w:ascii="Verdana" w:hAnsi="Verdana" w:cs="Arial"/>
          <w:color w:val="000000"/>
        </w:rPr>
        <w:t xml:space="preserve"> “[…] </w:t>
      </w:r>
      <w:r w:rsidRPr="002D11B2">
        <w:rPr>
          <w:rStyle w:val="normaltextrun"/>
          <w:rFonts w:ascii="Verdana" w:hAnsi="Verdana" w:cs="Arial"/>
          <w:color w:val="000000"/>
        </w:rPr>
        <w:t>con el propósito de organizar conjuntamente la prestación de servicios públicos, la ejecución de obras de ámbito regional y la ejecución de proyectos de desarrollo integral, así como la gestión ambiental</w:t>
      </w:r>
      <w:r>
        <w:rPr>
          <w:rStyle w:val="normaltextrun"/>
          <w:rFonts w:ascii="Verdana" w:hAnsi="Verdana" w:cs="Arial"/>
          <w:color w:val="000000"/>
        </w:rPr>
        <w:t xml:space="preserve">”.  </w:t>
      </w:r>
    </w:p>
    <w:p w14:paraId="78F311B7" w14:textId="77777777" w:rsidR="000013B5" w:rsidRDefault="000013B5" w:rsidP="000013B5">
      <w:pPr>
        <w:spacing w:after="120" w:line="276" w:lineRule="auto"/>
        <w:ind w:firstLine="703"/>
        <w:jc w:val="both"/>
        <w:rPr>
          <w:rStyle w:val="normaltextrun"/>
          <w:rFonts w:ascii="Verdana" w:hAnsi="Verdana" w:cs="Arial"/>
          <w:color w:val="000000"/>
        </w:rPr>
      </w:pPr>
      <w:r>
        <w:rPr>
          <w:rStyle w:val="normaltextrun"/>
          <w:rFonts w:ascii="Verdana" w:hAnsi="Verdana" w:cs="Arial"/>
          <w:color w:val="000000"/>
        </w:rPr>
        <w:t>Como se desprende de las disposiciones citadas, las funciones de las provincias no extienden a las demás que señalen los estatutos de creación, pues este aspecto –dentro del alcance del principio de legalidad en los términos de los artículos 6 y 121 de la Constitución Política de 1991– no fue incluido expresamente por el Congreso de la República. Además, si las obras corresponden al ámbito regional, ello significa que las provincias no pueden ser ejecutoras de dicho objeto contractual en departamentos o municipios distintos, pues sólo les corresponde el cumplimiento de funciones administrativas propias de los entes territoriales asociados. Asimismo, los “proyectos de desarrollo integral” se realizan con el propósito de “</w:t>
      </w:r>
      <w:r w:rsidRPr="00DC34BC">
        <w:rPr>
          <w:rStyle w:val="normaltextrun"/>
          <w:rFonts w:ascii="Verdana" w:hAnsi="Verdana" w:cs="Arial"/>
          <w:color w:val="000000"/>
        </w:rPr>
        <w:t>procurar el desarrollo integral de sus territorios</w:t>
      </w:r>
      <w:r>
        <w:rPr>
          <w:rStyle w:val="normaltextrun"/>
          <w:rFonts w:ascii="Verdana" w:hAnsi="Verdana" w:cs="Arial"/>
          <w:color w:val="000000"/>
        </w:rPr>
        <w:t>”, por lo que las provincias tampoco pueden ejecutar dichos proyectos fuera de las entidades asociadas.</w:t>
      </w:r>
    </w:p>
    <w:p w14:paraId="1FFB92DE" w14:textId="77777777" w:rsidR="000013B5" w:rsidRDefault="000013B5" w:rsidP="000013B5">
      <w:pPr>
        <w:spacing w:after="120" w:line="276" w:lineRule="auto"/>
        <w:ind w:firstLine="703"/>
        <w:jc w:val="both"/>
        <w:rPr>
          <w:rStyle w:val="normaltextrun"/>
          <w:rFonts w:ascii="Verdana" w:hAnsi="Verdana" w:cs="Arial"/>
          <w:color w:val="000000"/>
        </w:rPr>
      </w:pPr>
      <w:r>
        <w:rPr>
          <w:rStyle w:val="normaltextrun"/>
          <w:rFonts w:ascii="Verdana" w:hAnsi="Verdana" w:cs="Arial"/>
          <w:color w:val="000000"/>
        </w:rPr>
        <w:t>Finalmente, aunque el inciso segundo del artículo 16 de la Ley 1454 de 2011 dispone que “</w:t>
      </w:r>
      <w:r w:rsidRPr="00DC34BC">
        <w:rPr>
          <w:rStyle w:val="normaltextrun"/>
          <w:rFonts w:ascii="Verdana" w:hAnsi="Verdana" w:cs="Arial"/>
          <w:color w:val="000000"/>
        </w:rPr>
        <w:t>Lo anterior no implicará que municipios que no guarden continuidad geográfica y que pertenezcan a diferentes departamentos puedan desarrollar alianzas estratégicas de orden económico con el fin de comercializar sus bienes y servicios a nivel nacional e internacional</w:t>
      </w:r>
      <w:r>
        <w:rPr>
          <w:rStyle w:val="normaltextrun"/>
          <w:rFonts w:ascii="Verdana" w:hAnsi="Verdana" w:cs="Arial"/>
          <w:color w:val="000000"/>
        </w:rPr>
        <w:t xml:space="preserve">”, para la Agencia esto significa la posibilidad de ejecutar contratos fuera de los territorios de los </w:t>
      </w:r>
      <w:r>
        <w:rPr>
          <w:rStyle w:val="normaltextrun"/>
          <w:rFonts w:ascii="Verdana" w:hAnsi="Verdana" w:cs="Arial"/>
          <w:color w:val="000000"/>
        </w:rPr>
        <w:lastRenderedPageBreak/>
        <w:t>municipios asociados</w:t>
      </w:r>
      <w:r w:rsidRPr="00DC34BC">
        <w:rPr>
          <w:rStyle w:val="normaltextrun"/>
          <w:rFonts w:ascii="Verdana" w:hAnsi="Verdana" w:cs="Arial"/>
          <w:color w:val="000000"/>
        </w:rPr>
        <w:t>.</w:t>
      </w:r>
      <w:r>
        <w:rPr>
          <w:rStyle w:val="normaltextrun"/>
          <w:rFonts w:ascii="Verdana" w:hAnsi="Verdana" w:cs="Arial"/>
          <w:color w:val="000000"/>
        </w:rPr>
        <w:t xml:space="preserve"> Todo lo contrario, estas alianzas tienen el propósito de facilitar el intercambio económico en todo el país, lo cual excluye la posibilidad mencionada en la solicitud, especialmente, cuando los esquemas asociativos territoriales no tienen fines de lucro ni desarrollan actividades industriales o comerciales. </w:t>
      </w:r>
    </w:p>
    <w:p w14:paraId="113E0C05" w14:textId="77777777" w:rsidR="000013B5" w:rsidRPr="00593890" w:rsidRDefault="000013B5" w:rsidP="000013B5">
      <w:pPr>
        <w:spacing w:after="120" w:line="276" w:lineRule="auto"/>
        <w:ind w:firstLine="703"/>
        <w:jc w:val="both"/>
        <w:rPr>
          <w:rFonts w:ascii="Verdana" w:hAnsi="Verdana" w:cs="Arial"/>
          <w:color w:val="000000"/>
        </w:rPr>
      </w:pPr>
      <w:r w:rsidRPr="00593890">
        <w:rPr>
          <w:rFonts w:ascii="Verdana" w:hAnsi="Verdana" w:cs="Arial"/>
          <w:color w:val="000000"/>
        </w:rPr>
        <w:t xml:space="preserve">Sin perjuicio de lo anterior debe advertirse que el análisis requerido para </w:t>
      </w:r>
      <w:r>
        <w:rPr>
          <w:rFonts w:ascii="Verdana" w:hAnsi="Verdana" w:cs="Arial"/>
          <w:color w:val="000000"/>
        </w:rPr>
        <w:t>realizar alguna gestión específica</w:t>
      </w:r>
      <w:r w:rsidRPr="00593890">
        <w:rPr>
          <w:rFonts w:ascii="Verdana" w:hAnsi="Verdana" w:cs="Arial"/>
          <w:color w:val="000000"/>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145FC63B" w14:textId="77777777" w:rsidR="000013B5" w:rsidRPr="00593890" w:rsidRDefault="000013B5" w:rsidP="000013B5">
      <w:pPr>
        <w:spacing w:after="0" w:line="276" w:lineRule="auto"/>
        <w:ind w:firstLine="703"/>
        <w:jc w:val="both"/>
        <w:rPr>
          <w:rFonts w:ascii="Verdana" w:hAnsi="Verdana" w:cs="Arial"/>
        </w:rPr>
      </w:pPr>
      <w:r w:rsidRPr="00593890">
        <w:rPr>
          <w:rFonts w:ascii="Verdana" w:hAnsi="Verdana" w:cs="Arial"/>
          <w:color w:val="000000"/>
        </w:rPr>
        <w:t>Dentro de este marco,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w:t>
      </w:r>
      <w:r>
        <w:rPr>
          <w:rFonts w:ascii="Verdana" w:hAnsi="Verdana" w:cs="Arial"/>
          <w:color w:val="000000"/>
        </w:rPr>
        <w:t xml:space="preserve">s. </w:t>
      </w:r>
    </w:p>
    <w:p w14:paraId="39447191" w14:textId="77777777" w:rsidR="000013B5" w:rsidRPr="00FB5FC4" w:rsidRDefault="000013B5" w:rsidP="000013B5">
      <w:pPr>
        <w:spacing w:after="0" w:line="276" w:lineRule="auto"/>
        <w:ind w:firstLine="705"/>
        <w:jc w:val="both"/>
        <w:rPr>
          <w:rFonts w:ascii="Verdana" w:eastAsia="Times New Roman" w:hAnsi="Verdana" w:cs="Arial"/>
          <w:color w:val="000000" w:themeColor="text1"/>
          <w:lang w:eastAsia="es-CO"/>
        </w:rPr>
      </w:pPr>
    </w:p>
    <w:p w14:paraId="11C5A0FE" w14:textId="77777777" w:rsidR="000013B5" w:rsidRPr="00593A5F" w:rsidRDefault="000013B5" w:rsidP="000013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5BDF787" w14:textId="77777777" w:rsidR="000013B5" w:rsidRPr="00593A5F" w:rsidRDefault="000013B5" w:rsidP="000013B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013B5" w:rsidRPr="002407CE" w14:paraId="6EFB66EE" w14:textId="77777777" w:rsidTr="00070004">
        <w:trPr>
          <w:trHeight w:val="870"/>
          <w:jc w:val="center"/>
        </w:trPr>
        <w:tc>
          <w:tcPr>
            <w:tcW w:w="8647" w:type="dxa"/>
          </w:tcPr>
          <w:p w14:paraId="43CDEC48" w14:textId="77777777" w:rsidR="000013B5" w:rsidRDefault="000013B5" w:rsidP="000013B5">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Constitución Política de 1991, artículos 6 y 121.</w:t>
            </w:r>
          </w:p>
          <w:p w14:paraId="4DEE51C2" w14:textId="77777777" w:rsidR="000013B5" w:rsidRPr="00E574D8" w:rsidRDefault="000013B5" w:rsidP="00070004">
            <w:pPr>
              <w:pStyle w:val="Prrafodelista"/>
              <w:widowControl w:val="0"/>
              <w:autoSpaceDE w:val="0"/>
              <w:autoSpaceDN w:val="0"/>
              <w:spacing w:after="120" w:line="276" w:lineRule="auto"/>
              <w:ind w:left="714"/>
              <w:jc w:val="both"/>
              <w:rPr>
                <w:rFonts w:ascii="Verdana" w:hAnsi="Verdana" w:cs="Arial"/>
                <w:sz w:val="12"/>
                <w:szCs w:val="12"/>
              </w:rPr>
            </w:pPr>
          </w:p>
          <w:p w14:paraId="4AC363E1" w14:textId="77777777" w:rsidR="000013B5" w:rsidRDefault="000013B5" w:rsidP="000013B5">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1454 de 2011, artículos 11, 14, 16 y 17. </w:t>
            </w:r>
          </w:p>
          <w:p w14:paraId="44DB97DD" w14:textId="77777777" w:rsidR="000013B5" w:rsidRPr="00B478FA" w:rsidRDefault="000013B5" w:rsidP="00070004">
            <w:pPr>
              <w:pStyle w:val="Prrafodelista"/>
              <w:widowControl w:val="0"/>
              <w:autoSpaceDE w:val="0"/>
              <w:autoSpaceDN w:val="0"/>
              <w:spacing w:line="276" w:lineRule="auto"/>
              <w:jc w:val="both"/>
              <w:rPr>
                <w:rFonts w:ascii="Verdana" w:hAnsi="Verdana" w:cs="Arial"/>
                <w:sz w:val="12"/>
                <w:szCs w:val="12"/>
              </w:rPr>
            </w:pPr>
          </w:p>
          <w:p w14:paraId="375DCD0E" w14:textId="77777777" w:rsidR="000013B5" w:rsidRDefault="000013B5" w:rsidP="000013B5">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w:t>
            </w:r>
            <w:r>
              <w:rPr>
                <w:rFonts w:ascii="Verdana" w:hAnsi="Verdana" w:cs="Arial"/>
              </w:rPr>
              <w:t>489 de 1998</w:t>
            </w:r>
            <w:r w:rsidRPr="00EA612E">
              <w:rPr>
                <w:rFonts w:ascii="Verdana" w:hAnsi="Verdana" w:cs="Arial"/>
              </w:rPr>
              <w:t xml:space="preserve">, artículo </w:t>
            </w:r>
            <w:r>
              <w:rPr>
                <w:rFonts w:ascii="Verdana" w:hAnsi="Verdana" w:cs="Arial"/>
              </w:rPr>
              <w:t>95</w:t>
            </w:r>
            <w:r w:rsidRPr="00EA612E">
              <w:rPr>
                <w:rFonts w:ascii="Verdana" w:hAnsi="Verdana" w:cs="Arial"/>
              </w:rPr>
              <w:t xml:space="preserve">. </w:t>
            </w:r>
          </w:p>
          <w:p w14:paraId="24906EC6" w14:textId="77777777" w:rsidR="000013B5" w:rsidRPr="00B478FA" w:rsidRDefault="000013B5" w:rsidP="00070004">
            <w:pPr>
              <w:widowControl w:val="0"/>
              <w:autoSpaceDE w:val="0"/>
              <w:autoSpaceDN w:val="0"/>
              <w:spacing w:line="276" w:lineRule="auto"/>
              <w:jc w:val="both"/>
              <w:rPr>
                <w:rFonts w:ascii="Verdana" w:hAnsi="Verdana" w:cs="Arial"/>
                <w:sz w:val="12"/>
                <w:szCs w:val="12"/>
              </w:rPr>
            </w:pPr>
          </w:p>
          <w:p w14:paraId="53F66FDB" w14:textId="77777777" w:rsidR="000013B5" w:rsidRPr="00E574D8" w:rsidRDefault="000013B5" w:rsidP="000013B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w:t>
            </w:r>
            <w:r w:rsidRPr="00EA612E">
              <w:rPr>
                <w:rFonts w:ascii="Verdana" w:hAnsi="Verdana" w:cs="Arial"/>
              </w:rPr>
              <w:t>, artículo</w:t>
            </w:r>
            <w:r>
              <w:rPr>
                <w:rFonts w:ascii="Verdana" w:hAnsi="Verdana" w:cs="Arial"/>
              </w:rPr>
              <w:t xml:space="preserve"> 2</w:t>
            </w:r>
            <w:r w:rsidRPr="00EA612E">
              <w:rPr>
                <w:rFonts w:ascii="Verdana" w:hAnsi="Verdana" w:cs="Arial"/>
              </w:rPr>
              <w:t>.</w:t>
            </w:r>
          </w:p>
          <w:p w14:paraId="302DFACD" w14:textId="77777777" w:rsidR="000013B5" w:rsidRPr="001D733B" w:rsidRDefault="000013B5" w:rsidP="000013B5">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Ley 1150 de 2007, artículo 10.</w:t>
            </w:r>
          </w:p>
        </w:tc>
      </w:tr>
    </w:tbl>
    <w:p w14:paraId="3DA8BE35" w14:textId="77777777" w:rsidR="000013B5" w:rsidRPr="002407CE" w:rsidRDefault="000013B5" w:rsidP="000013B5">
      <w:pPr>
        <w:widowControl w:val="0"/>
        <w:autoSpaceDE w:val="0"/>
        <w:autoSpaceDN w:val="0"/>
        <w:spacing w:after="0" w:line="276" w:lineRule="auto"/>
        <w:jc w:val="both"/>
        <w:rPr>
          <w:rFonts w:ascii="Verdana" w:hAnsi="Verdana" w:cs="Arial"/>
        </w:rPr>
      </w:pPr>
    </w:p>
    <w:p w14:paraId="0D95D9F0" w14:textId="77777777" w:rsidR="000013B5" w:rsidRPr="00593A5F" w:rsidRDefault="000013B5" w:rsidP="000013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8D68821" w14:textId="77777777" w:rsidR="000013B5" w:rsidRPr="00593A5F" w:rsidRDefault="000013B5" w:rsidP="000013B5">
      <w:pPr>
        <w:widowControl w:val="0"/>
        <w:autoSpaceDE w:val="0"/>
        <w:autoSpaceDN w:val="0"/>
        <w:spacing w:after="0" w:line="276" w:lineRule="auto"/>
        <w:jc w:val="both"/>
        <w:rPr>
          <w:rFonts w:ascii="Verdana" w:hAnsi="Verdana" w:cs="Arial"/>
        </w:rPr>
      </w:pPr>
    </w:p>
    <w:p w14:paraId="69313FD0" w14:textId="77777777" w:rsidR="000013B5" w:rsidRDefault="000013B5" w:rsidP="000013B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Esta Subdirección se ha pronunciado sobre</w:t>
      </w:r>
      <w:r w:rsidRPr="00A35E41">
        <w:rPr>
          <w:rStyle w:val="normaltextrun"/>
          <w:rFonts w:ascii="Verdana" w:hAnsi="Verdana" w:cs="Arial"/>
          <w:shd w:val="clear" w:color="auto" w:fill="FFFFFF"/>
          <w:lang w:val="es-ES"/>
        </w:rPr>
        <w:t xml:space="preserve"> los esquemas asociativos de entidades territoriale</w:t>
      </w:r>
      <w:r>
        <w:rPr>
          <w:rStyle w:val="normaltextrun"/>
          <w:rFonts w:ascii="Verdana" w:hAnsi="Verdana" w:cs="Arial"/>
          <w:shd w:val="clear" w:color="auto" w:fill="FFFFFF"/>
          <w:lang w:val="es-ES"/>
        </w:rPr>
        <w:t>s</w:t>
      </w:r>
      <w:r w:rsidRPr="00DD781E">
        <w:rPr>
          <w:rStyle w:val="normaltextrun"/>
          <w:rFonts w:ascii="Verdana" w:hAnsi="Verdana" w:cs="Arial"/>
          <w:shd w:val="clear" w:color="auto" w:fill="FFFFFF"/>
          <w:lang w:val="es-ES"/>
        </w:rPr>
        <w:t xml:space="preserve"> en los Conceptos</w:t>
      </w:r>
      <w:r w:rsidRPr="00DD781E">
        <w:rPr>
          <w:rStyle w:val="normaltextrun"/>
          <w:rFonts w:ascii="Verdana" w:hAnsi="Verdana" w:cs="Calibri"/>
          <w:shd w:val="clear" w:color="auto" w:fill="FFFFFF"/>
        </w:rPr>
        <w:t xml:space="preserve"> </w:t>
      </w:r>
      <w:r w:rsidRPr="00A35E41">
        <w:rPr>
          <w:rStyle w:val="normaltextrun"/>
          <w:rFonts w:ascii="Verdana" w:hAnsi="Verdana" w:cs="Arial"/>
          <w:shd w:val="clear" w:color="auto" w:fill="FFFFFF"/>
          <w:lang w:val="es-ES"/>
        </w:rPr>
        <w:t xml:space="preserve">2201913000005444 del 30 de julio de 2019, 2201913000005649 del 8 de agosto de 2019, 4201912000007676 del 20 de diciembre de 2019, C-059 del 25 de febrero de 2020, C-659 del 10 de </w:t>
      </w:r>
      <w:r w:rsidRPr="00A35E41">
        <w:rPr>
          <w:rStyle w:val="normaltextrun"/>
          <w:rFonts w:ascii="Verdana" w:hAnsi="Verdana" w:cs="Arial"/>
          <w:shd w:val="clear" w:color="auto" w:fill="FFFFFF"/>
          <w:lang w:val="es-ES"/>
        </w:rPr>
        <w:lastRenderedPageBreak/>
        <w:t>noviembre de 2020, C-788 del 21 de enero de 2021, C-054 del 10 de marzo de 2021, C-116 del 30 de marzo de 2021, C-149 de 8 de abril de 2021, C-173 del 16 de abril de 2021, C-214 del 13 de mayo de 2021, C-284 del 18 de junio de 2021, C-347 del 23 de julio de 2021, C-664 del 30 de agosto de 2021, C-554 del 6 de octubre de 2021, C-249 del 16 de junio de 2022, C-033 del 27 de febrero de 2023</w:t>
      </w:r>
      <w:r>
        <w:rPr>
          <w:rStyle w:val="normaltextrun"/>
          <w:rFonts w:ascii="Verdana" w:hAnsi="Verdana" w:cs="Arial"/>
          <w:shd w:val="clear" w:color="auto" w:fill="FFFFFF"/>
          <w:lang w:val="es-ES"/>
        </w:rPr>
        <w:t xml:space="preserve">, </w:t>
      </w:r>
      <w:r w:rsidRPr="00A35E41">
        <w:rPr>
          <w:rStyle w:val="normaltextrun"/>
          <w:rFonts w:ascii="Verdana" w:hAnsi="Verdana" w:cs="Arial"/>
          <w:shd w:val="clear" w:color="auto" w:fill="FFFFFF"/>
          <w:lang w:val="es-ES"/>
        </w:rPr>
        <w:t>C-285 del 4 de julio de 2023</w:t>
      </w:r>
      <w:r>
        <w:rPr>
          <w:rStyle w:val="normaltextrun"/>
          <w:rFonts w:ascii="Verdana" w:hAnsi="Verdana" w:cs="Arial"/>
          <w:shd w:val="clear" w:color="auto" w:fill="FFFFFF"/>
          <w:lang w:val="es-ES"/>
        </w:rPr>
        <w:t xml:space="preserve"> y C-379 del 19 de octubre de 2023</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216A08FF" w14:textId="77777777" w:rsidR="000013B5" w:rsidRDefault="000013B5" w:rsidP="000013B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BE7F0D4" w14:textId="77777777" w:rsidR="000013B5" w:rsidRPr="00A1554D" w:rsidRDefault="000013B5" w:rsidP="000013B5">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0C0EFF30" w14:textId="77777777" w:rsidR="000013B5" w:rsidRPr="00593A5F" w:rsidRDefault="000013B5" w:rsidP="000013B5">
      <w:pPr>
        <w:widowControl w:val="0"/>
        <w:autoSpaceDE w:val="0"/>
        <w:autoSpaceDN w:val="0"/>
        <w:spacing w:after="0" w:line="276" w:lineRule="auto"/>
        <w:jc w:val="both"/>
        <w:rPr>
          <w:rFonts w:ascii="Verdana" w:hAnsi="Verdana" w:cs="Arial"/>
        </w:rPr>
      </w:pPr>
    </w:p>
    <w:p w14:paraId="366085D1" w14:textId="77777777" w:rsidR="000013B5" w:rsidRPr="00593A5F" w:rsidRDefault="000013B5" w:rsidP="000013B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FFA714D" w14:textId="77777777" w:rsidR="000013B5" w:rsidRPr="00593A5F" w:rsidRDefault="000013B5" w:rsidP="000013B5">
      <w:pPr>
        <w:widowControl w:val="0"/>
        <w:autoSpaceDE w:val="0"/>
        <w:autoSpaceDN w:val="0"/>
        <w:spacing w:after="0" w:line="276" w:lineRule="auto"/>
        <w:jc w:val="both"/>
        <w:rPr>
          <w:rFonts w:ascii="Verdana" w:hAnsi="Verdana" w:cs="Arial"/>
        </w:rPr>
      </w:pPr>
    </w:p>
    <w:p w14:paraId="35D970AA" w14:textId="77777777" w:rsidR="000013B5" w:rsidRPr="00593A5F" w:rsidRDefault="000013B5" w:rsidP="000013B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1C3ED7E" w14:textId="1D35C99B" w:rsidR="000013B5" w:rsidRPr="00593A5F" w:rsidRDefault="008333B2" w:rsidP="000013B5">
      <w:pPr>
        <w:spacing w:line="276" w:lineRule="auto"/>
        <w:jc w:val="center"/>
        <w:rPr>
          <w:rFonts w:ascii="Verdana" w:hAnsi="Verdana" w:cs="Arial"/>
          <w:color w:val="000000"/>
          <w:lang w:val="es-ES_tradnl" w:eastAsia="es-CO"/>
        </w:rPr>
      </w:pPr>
      <w:r>
        <w:rPr>
          <w:noProof/>
        </w:rPr>
        <w:drawing>
          <wp:inline distT="0" distB="0" distL="0" distR="0" wp14:anchorId="33841208" wp14:editId="6CB484C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013B5" w:rsidRPr="00593A5F" w14:paraId="415C09CC" w14:textId="77777777" w:rsidTr="00070004">
        <w:trPr>
          <w:trHeight w:val="315"/>
        </w:trPr>
        <w:tc>
          <w:tcPr>
            <w:tcW w:w="893" w:type="dxa"/>
            <w:vAlign w:val="center"/>
            <w:hideMark/>
          </w:tcPr>
          <w:p w14:paraId="047ADC69" w14:textId="77777777" w:rsidR="000013B5" w:rsidRPr="003751C7" w:rsidRDefault="000013B5" w:rsidP="0007000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8664F54" w14:textId="77777777" w:rsidR="000013B5" w:rsidRPr="00254A7A" w:rsidRDefault="000013B5" w:rsidP="0007000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7FE49A6" w14:textId="77777777" w:rsidR="000013B5" w:rsidRPr="00254A7A" w:rsidRDefault="000013B5" w:rsidP="0007000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013B5" w:rsidRPr="00593A5F" w14:paraId="19D4D730" w14:textId="77777777" w:rsidTr="00070004">
        <w:trPr>
          <w:trHeight w:val="330"/>
        </w:trPr>
        <w:tc>
          <w:tcPr>
            <w:tcW w:w="893" w:type="dxa"/>
            <w:vAlign w:val="center"/>
            <w:hideMark/>
          </w:tcPr>
          <w:p w14:paraId="02F09C33" w14:textId="77777777" w:rsidR="000013B5" w:rsidRPr="003751C7" w:rsidRDefault="000013B5" w:rsidP="0007000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A4EFC5" w14:textId="77777777" w:rsidR="000013B5" w:rsidRPr="00254A7A" w:rsidRDefault="000013B5" w:rsidP="00070004">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498F4EF5" w14:textId="77777777" w:rsidR="000013B5" w:rsidRPr="00254A7A" w:rsidRDefault="000013B5" w:rsidP="00070004">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0013B5" w:rsidRPr="00593A5F" w14:paraId="7DB5D8EB" w14:textId="77777777" w:rsidTr="00070004">
        <w:trPr>
          <w:trHeight w:val="300"/>
        </w:trPr>
        <w:tc>
          <w:tcPr>
            <w:tcW w:w="893" w:type="dxa"/>
            <w:vAlign w:val="center"/>
          </w:tcPr>
          <w:p w14:paraId="154FF92C" w14:textId="77777777" w:rsidR="000013B5" w:rsidRPr="003751C7" w:rsidRDefault="000013B5" w:rsidP="0007000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16D152" w14:textId="77777777" w:rsidR="000013B5" w:rsidRPr="003751C7" w:rsidRDefault="000013B5" w:rsidP="0007000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E690370" w14:textId="77777777" w:rsidR="000013B5" w:rsidRPr="003751C7" w:rsidRDefault="000013B5" w:rsidP="0007000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44FAB87" w14:textId="77777777" w:rsidR="000013B5" w:rsidRPr="00593A5F" w:rsidRDefault="000013B5" w:rsidP="000013B5">
      <w:pPr>
        <w:spacing w:after="0" w:line="240" w:lineRule="auto"/>
        <w:rPr>
          <w:rFonts w:ascii="Verdana" w:eastAsia="Times New Roman" w:hAnsi="Verdana" w:cs="Arial"/>
          <w:sz w:val="24"/>
          <w:szCs w:val="24"/>
          <w:lang w:eastAsia="es-ES"/>
        </w:rPr>
      </w:pPr>
    </w:p>
    <w:p w14:paraId="0F293BF4" w14:textId="7BBFAB11" w:rsidR="00127233" w:rsidRPr="00222DD7" w:rsidRDefault="00127233" w:rsidP="00222DD7"/>
    <w:sectPr w:rsidR="00127233" w:rsidRPr="00222DD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E49F6" w14:textId="77777777" w:rsidR="009E045B" w:rsidRDefault="009E045B" w:rsidP="004A1847">
      <w:pPr>
        <w:spacing w:after="0" w:line="240" w:lineRule="auto"/>
      </w:pPr>
      <w:r>
        <w:separator/>
      </w:r>
    </w:p>
  </w:endnote>
  <w:endnote w:type="continuationSeparator" w:id="0">
    <w:p w14:paraId="47852A75" w14:textId="77777777" w:rsidR="009E045B" w:rsidRDefault="009E045B" w:rsidP="004A1847">
      <w:pPr>
        <w:spacing w:after="0" w:line="240" w:lineRule="auto"/>
      </w:pPr>
      <w:r>
        <w:continuationSeparator/>
      </w:r>
    </w:p>
  </w:endnote>
  <w:endnote w:type="continuationNotice" w:id="1">
    <w:p w14:paraId="437F29D1" w14:textId="77777777" w:rsidR="009E045B" w:rsidRDefault="009E04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5E6CF1" w14:textId="77777777" w:rsidR="009E045B" w:rsidRDefault="009E045B" w:rsidP="004A1847">
      <w:pPr>
        <w:spacing w:after="0" w:line="240" w:lineRule="auto"/>
      </w:pPr>
      <w:r>
        <w:separator/>
      </w:r>
    </w:p>
  </w:footnote>
  <w:footnote w:type="continuationSeparator" w:id="0">
    <w:p w14:paraId="4CBED161" w14:textId="77777777" w:rsidR="009E045B" w:rsidRDefault="009E045B" w:rsidP="004A1847">
      <w:pPr>
        <w:spacing w:after="0" w:line="240" w:lineRule="auto"/>
      </w:pPr>
      <w:r>
        <w:continuationSeparator/>
      </w:r>
    </w:p>
  </w:footnote>
  <w:footnote w:type="continuationNotice" w:id="1">
    <w:p w14:paraId="15B7223C" w14:textId="77777777" w:rsidR="009E045B" w:rsidRDefault="009E045B">
      <w:pPr>
        <w:spacing w:after="0" w:line="240" w:lineRule="auto"/>
      </w:pPr>
    </w:p>
  </w:footnote>
  <w:footnote w:id="2">
    <w:p w14:paraId="433D006A" w14:textId="77777777" w:rsidR="000013B5" w:rsidRPr="00173E6D" w:rsidRDefault="000013B5" w:rsidP="000013B5">
      <w:pPr>
        <w:pStyle w:val="Textonotapie"/>
        <w:ind w:firstLine="720"/>
        <w:jc w:val="both"/>
        <w:rPr>
          <w:rFonts w:ascii="Verdana" w:hAnsi="Verdana" w:cs="Arial"/>
          <w:color w:val="000000" w:themeColor="text1"/>
          <w:sz w:val="16"/>
          <w:szCs w:val="16"/>
        </w:rPr>
      </w:pPr>
      <w:r w:rsidRPr="00173E6D">
        <w:rPr>
          <w:rStyle w:val="Refdenotaalpie"/>
          <w:rFonts w:ascii="Verdana" w:hAnsi="Verdana" w:cs="Arial"/>
          <w:sz w:val="16"/>
          <w:szCs w:val="16"/>
        </w:rPr>
        <w:footnoteRef/>
      </w:r>
      <w:r w:rsidRPr="00173E6D">
        <w:rPr>
          <w:rFonts w:ascii="Verdana" w:hAnsi="Verdana" w:cs="Arial"/>
          <w:sz w:val="16"/>
          <w:szCs w:val="16"/>
        </w:rPr>
        <w:t xml:space="preserve"> </w:t>
      </w:r>
      <w:r w:rsidRPr="00173E6D">
        <w:rPr>
          <w:rFonts w:ascii="Verdana" w:hAnsi="Verdana" w:cs="Arial"/>
          <w:color w:val="000000" w:themeColor="text1"/>
          <w:sz w:val="16"/>
          <w:szCs w:val="16"/>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footnote>
  <w:footnote w:id="3">
    <w:p w14:paraId="1645ACFD" w14:textId="77777777" w:rsidR="000013B5" w:rsidRPr="00173E6D" w:rsidRDefault="000013B5" w:rsidP="000013B5">
      <w:pPr>
        <w:spacing w:after="0" w:line="240" w:lineRule="auto"/>
        <w:ind w:firstLine="720"/>
        <w:jc w:val="both"/>
        <w:rPr>
          <w:rFonts w:ascii="Verdana" w:hAnsi="Verdana" w:cs="Arial"/>
          <w:sz w:val="16"/>
          <w:szCs w:val="16"/>
        </w:rPr>
      </w:pPr>
      <w:r w:rsidRPr="00173E6D">
        <w:rPr>
          <w:rStyle w:val="Refdenotaalpie"/>
          <w:rFonts w:ascii="Verdana" w:hAnsi="Verdana" w:cs="Arial"/>
          <w:sz w:val="16"/>
          <w:szCs w:val="16"/>
        </w:rPr>
        <w:footnoteRef/>
      </w:r>
      <w:r w:rsidRPr="00173E6D">
        <w:rPr>
          <w:rFonts w:ascii="Verdana" w:hAnsi="Verdana" w:cs="Arial"/>
          <w:sz w:val="16"/>
          <w:szCs w:val="16"/>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4">
    <w:p w14:paraId="0A0A2E85" w14:textId="77777777" w:rsidR="000013B5" w:rsidRPr="00173E6D" w:rsidRDefault="000013B5" w:rsidP="000013B5">
      <w:pPr>
        <w:spacing w:after="0" w:line="240" w:lineRule="auto"/>
        <w:ind w:firstLine="720"/>
        <w:jc w:val="both"/>
        <w:rPr>
          <w:rFonts w:ascii="Verdana" w:hAnsi="Verdana" w:cs="Arial"/>
          <w:color w:val="000000" w:themeColor="text1"/>
          <w:sz w:val="16"/>
          <w:szCs w:val="16"/>
        </w:rPr>
      </w:pPr>
      <w:r w:rsidRPr="00173E6D">
        <w:rPr>
          <w:rStyle w:val="Refdenotaalpie"/>
          <w:rFonts w:ascii="Verdana" w:hAnsi="Verdana" w:cs="Arial"/>
          <w:sz w:val="16"/>
          <w:szCs w:val="16"/>
        </w:rPr>
        <w:footnoteRef/>
      </w:r>
      <w:r w:rsidRPr="00173E6D">
        <w:rPr>
          <w:rFonts w:ascii="Verdana" w:hAnsi="Verdana" w:cs="Arial"/>
          <w:sz w:val="16"/>
          <w:szCs w:val="16"/>
        </w:rPr>
        <w:t xml:space="preserve"> Ley 136 de 1994: </w:t>
      </w:r>
      <w:r w:rsidRPr="00173E6D">
        <w:rPr>
          <w:rFonts w:ascii="Verdana" w:hAnsi="Verdana" w:cs="Arial"/>
          <w:color w:val="000000" w:themeColor="text1"/>
          <w:sz w:val="16"/>
          <w:szCs w:val="16"/>
        </w:rPr>
        <w:t>“Artículo 150. Conformación y funcionamiento. Las asociaciones para su conformación y funcionamiento se sujetarán a las siguientes reglas:</w:t>
      </w:r>
    </w:p>
    <w:p w14:paraId="43A7582B" w14:textId="77777777" w:rsidR="000013B5" w:rsidRPr="00173E6D" w:rsidRDefault="000013B5" w:rsidP="000013B5">
      <w:pPr>
        <w:spacing w:after="0" w:line="240" w:lineRule="auto"/>
        <w:ind w:firstLine="720"/>
        <w:jc w:val="both"/>
        <w:rPr>
          <w:rFonts w:ascii="Verdana" w:hAnsi="Verdana" w:cs="Arial"/>
          <w:color w:val="000000" w:themeColor="text1"/>
          <w:sz w:val="16"/>
          <w:szCs w:val="16"/>
        </w:rPr>
      </w:pPr>
      <w:r w:rsidRPr="00173E6D">
        <w:rPr>
          <w:rFonts w:ascii="Verdana" w:hAnsi="Verdana" w:cs="Arial"/>
          <w:color w:val="000000" w:themeColor="text1"/>
          <w:sz w:val="16"/>
          <w:szCs w:val="16"/>
        </w:rPr>
        <w:t xml:space="preserve">1. Toda asociación de municipios será siempre voluntaria. </w:t>
      </w:r>
      <w:r w:rsidRPr="00173E6D">
        <w:rPr>
          <w:rFonts w:ascii="Verdana" w:hAnsi="Verdana" w:cs="Arial"/>
          <w:i/>
          <w:iCs/>
          <w:color w:val="000000" w:themeColor="text1"/>
          <w:sz w:val="16"/>
          <w:szCs w:val="16"/>
        </w:rPr>
        <w:t>Se conformará mediante convenio</w:t>
      </w:r>
      <w:r w:rsidRPr="00173E6D">
        <w:rPr>
          <w:rFonts w:ascii="Verdana" w:hAnsi="Verdana" w:cs="Arial"/>
          <w:color w:val="000000" w:themeColor="text1"/>
          <w:sz w:val="16"/>
          <w:szCs w:val="16"/>
        </w:rPr>
        <w:t xml:space="preserve"> suscrito por sus alcaldes, previa autorización de los respectivos concejos” (Cursiva fuera de texto).</w:t>
      </w:r>
    </w:p>
  </w:footnote>
  <w:footnote w:id="5">
    <w:p w14:paraId="05EE37C6" w14:textId="77777777" w:rsidR="000013B5" w:rsidRPr="00173E6D" w:rsidRDefault="000013B5" w:rsidP="000013B5">
      <w:pPr>
        <w:spacing w:after="0" w:line="240" w:lineRule="auto"/>
        <w:ind w:firstLine="720"/>
        <w:jc w:val="both"/>
        <w:rPr>
          <w:rFonts w:ascii="Verdana" w:hAnsi="Verdana" w:cs="Arial"/>
          <w:color w:val="000000" w:themeColor="text1"/>
          <w:sz w:val="16"/>
          <w:szCs w:val="16"/>
        </w:rPr>
      </w:pPr>
      <w:r w:rsidRPr="00173E6D">
        <w:rPr>
          <w:rStyle w:val="Refdenotaalpie"/>
          <w:rFonts w:ascii="Verdana" w:hAnsi="Verdana" w:cs="Arial"/>
          <w:sz w:val="16"/>
          <w:szCs w:val="16"/>
        </w:rPr>
        <w:footnoteRef/>
      </w:r>
      <w:r w:rsidRPr="00173E6D">
        <w:rPr>
          <w:rFonts w:ascii="Verdana" w:hAnsi="Verdana" w:cs="Arial"/>
          <w:sz w:val="16"/>
          <w:szCs w:val="16"/>
        </w:rPr>
        <w:t xml:space="preserve"> </w:t>
      </w:r>
      <w:r w:rsidRPr="00173E6D">
        <w:rPr>
          <w:rFonts w:ascii="Verdana" w:hAnsi="Verdana" w:cs="Arial"/>
          <w:color w:val="000000" w:themeColor="text1"/>
          <w:position w:val="6"/>
          <w:sz w:val="16"/>
          <w:szCs w:val="16"/>
        </w:rPr>
        <w:t xml:space="preserve"> </w:t>
      </w:r>
      <w:r w:rsidRPr="00173E6D">
        <w:rPr>
          <w:rFonts w:ascii="Verdana" w:hAnsi="Verdana" w:cs="Arial"/>
          <w:color w:val="000000" w:themeColor="text1"/>
          <w:sz w:val="16"/>
          <w:szCs w:val="16"/>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173E6D">
        <w:rPr>
          <w:rFonts w:ascii="Verdana" w:hAnsi="Verdana" w:cs="Arial"/>
          <w:i/>
          <w:iCs/>
          <w:color w:val="000000" w:themeColor="text1"/>
          <w:sz w:val="16"/>
          <w:szCs w:val="16"/>
        </w:rPr>
        <w:t>mediante convenio o contrato-plan</w:t>
      </w:r>
      <w:r w:rsidRPr="00173E6D">
        <w:rPr>
          <w:rFonts w:ascii="Verdana" w:hAnsi="Verdana" w:cs="Arial"/>
          <w:color w:val="000000" w:themeColor="text1"/>
          <w:sz w:val="16"/>
          <w:szCs w:val="16"/>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6">
    <w:p w14:paraId="1EDE6BB7" w14:textId="77777777" w:rsidR="000013B5" w:rsidRPr="00173E6D" w:rsidRDefault="000013B5" w:rsidP="000013B5">
      <w:pPr>
        <w:spacing w:after="0" w:line="240" w:lineRule="auto"/>
        <w:ind w:firstLine="720"/>
        <w:jc w:val="both"/>
        <w:rPr>
          <w:rFonts w:ascii="Verdana" w:hAnsi="Verdana" w:cs="Arial"/>
          <w:color w:val="000000" w:themeColor="text1"/>
          <w:sz w:val="16"/>
          <w:szCs w:val="16"/>
        </w:rPr>
      </w:pPr>
      <w:r w:rsidRPr="00173E6D">
        <w:rPr>
          <w:rStyle w:val="Refdenotaalpie"/>
          <w:rFonts w:ascii="Verdana" w:hAnsi="Verdana" w:cs="Arial"/>
          <w:sz w:val="16"/>
          <w:szCs w:val="16"/>
        </w:rPr>
        <w:footnoteRef/>
      </w:r>
      <w:r w:rsidRPr="00173E6D">
        <w:rPr>
          <w:rFonts w:ascii="Verdana" w:hAnsi="Verdana" w:cs="Arial"/>
          <w:sz w:val="16"/>
          <w:szCs w:val="16"/>
        </w:rPr>
        <w:t xml:space="preserve"> </w:t>
      </w:r>
      <w:r w:rsidRPr="00173E6D">
        <w:rPr>
          <w:rFonts w:ascii="Verdana" w:hAnsi="Verdana" w:cs="Arial"/>
          <w:color w:val="000000" w:themeColor="text1"/>
          <w:sz w:val="16"/>
          <w:szCs w:val="16"/>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173E6D">
        <w:rPr>
          <w:rFonts w:ascii="Verdana" w:hAnsi="Verdana" w:cs="Arial"/>
          <w:color w:val="000000" w:themeColor="text1"/>
          <w:spacing w:val="-4"/>
          <w:sz w:val="16"/>
          <w:szCs w:val="16"/>
        </w:rPr>
        <w:t xml:space="preserve"> </w:t>
      </w:r>
      <w:r w:rsidRPr="00173E6D">
        <w:rPr>
          <w:rFonts w:ascii="Verdana" w:hAnsi="Verdana" w:cs="Arial"/>
          <w:color w:val="000000" w:themeColor="text1"/>
          <w:sz w:val="16"/>
          <w:szCs w:val="16"/>
        </w:rPr>
        <w:t>lucro.</w:t>
      </w:r>
    </w:p>
    <w:p w14:paraId="55D71B94" w14:textId="77777777" w:rsidR="000013B5" w:rsidRPr="00173E6D" w:rsidRDefault="000013B5" w:rsidP="000013B5">
      <w:pPr>
        <w:spacing w:after="0" w:line="240" w:lineRule="auto"/>
        <w:ind w:firstLine="720"/>
        <w:jc w:val="both"/>
        <w:rPr>
          <w:rFonts w:ascii="Verdana" w:hAnsi="Verdana" w:cs="Arial"/>
          <w:color w:val="000000" w:themeColor="text1"/>
          <w:sz w:val="16"/>
          <w:szCs w:val="16"/>
        </w:rPr>
      </w:pPr>
      <w:r w:rsidRPr="00173E6D">
        <w:rPr>
          <w:rFonts w:ascii="Verdana" w:hAnsi="Verdana" w:cs="Arial"/>
          <w:color w:val="000000" w:themeColor="text1"/>
          <w:sz w:val="16"/>
          <w:szCs w:val="16"/>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3B5"/>
    <w:rsid w:val="00061B2A"/>
    <w:rsid w:val="00082362"/>
    <w:rsid w:val="000A683E"/>
    <w:rsid w:val="000B19B9"/>
    <w:rsid w:val="000D0334"/>
    <w:rsid w:val="000D5EA6"/>
    <w:rsid w:val="000F6486"/>
    <w:rsid w:val="00125105"/>
    <w:rsid w:val="00127233"/>
    <w:rsid w:val="00164DCF"/>
    <w:rsid w:val="001D7AE5"/>
    <w:rsid w:val="001E4177"/>
    <w:rsid w:val="001F03D1"/>
    <w:rsid w:val="001F7DC6"/>
    <w:rsid w:val="00222DD7"/>
    <w:rsid w:val="002421BB"/>
    <w:rsid w:val="0025796E"/>
    <w:rsid w:val="00260967"/>
    <w:rsid w:val="002707A2"/>
    <w:rsid w:val="002951A0"/>
    <w:rsid w:val="002962BC"/>
    <w:rsid w:val="002A093D"/>
    <w:rsid w:val="002A0DD0"/>
    <w:rsid w:val="002A49AC"/>
    <w:rsid w:val="002A64FD"/>
    <w:rsid w:val="002C7A84"/>
    <w:rsid w:val="002E47E4"/>
    <w:rsid w:val="002E4FD9"/>
    <w:rsid w:val="002F36C3"/>
    <w:rsid w:val="00322A85"/>
    <w:rsid w:val="00324168"/>
    <w:rsid w:val="003448F4"/>
    <w:rsid w:val="00374F5E"/>
    <w:rsid w:val="00377E3E"/>
    <w:rsid w:val="003A26D1"/>
    <w:rsid w:val="003A779E"/>
    <w:rsid w:val="003D0F4D"/>
    <w:rsid w:val="003D5B0D"/>
    <w:rsid w:val="003E0499"/>
    <w:rsid w:val="003F3941"/>
    <w:rsid w:val="00406575"/>
    <w:rsid w:val="00425728"/>
    <w:rsid w:val="0042722E"/>
    <w:rsid w:val="0044528D"/>
    <w:rsid w:val="004A1847"/>
    <w:rsid w:val="004A305D"/>
    <w:rsid w:val="004C0FB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D12F8"/>
    <w:rsid w:val="006E4D16"/>
    <w:rsid w:val="00703407"/>
    <w:rsid w:val="00706C16"/>
    <w:rsid w:val="00756841"/>
    <w:rsid w:val="00760B22"/>
    <w:rsid w:val="007649AB"/>
    <w:rsid w:val="00771D0C"/>
    <w:rsid w:val="007833AC"/>
    <w:rsid w:val="00791EC5"/>
    <w:rsid w:val="007B268C"/>
    <w:rsid w:val="007B7171"/>
    <w:rsid w:val="007C0C0F"/>
    <w:rsid w:val="007C3DC2"/>
    <w:rsid w:val="007E5497"/>
    <w:rsid w:val="00806F5F"/>
    <w:rsid w:val="00820278"/>
    <w:rsid w:val="008333B2"/>
    <w:rsid w:val="008843B6"/>
    <w:rsid w:val="00891928"/>
    <w:rsid w:val="008A446D"/>
    <w:rsid w:val="008D180B"/>
    <w:rsid w:val="008F0EA7"/>
    <w:rsid w:val="00923EEF"/>
    <w:rsid w:val="009419F9"/>
    <w:rsid w:val="0095685E"/>
    <w:rsid w:val="00961B09"/>
    <w:rsid w:val="00965334"/>
    <w:rsid w:val="0097093E"/>
    <w:rsid w:val="009713C6"/>
    <w:rsid w:val="009A0DFA"/>
    <w:rsid w:val="009B2D26"/>
    <w:rsid w:val="009C71FA"/>
    <w:rsid w:val="009C72E7"/>
    <w:rsid w:val="009D3058"/>
    <w:rsid w:val="009E045B"/>
    <w:rsid w:val="009F3A13"/>
    <w:rsid w:val="00A122D3"/>
    <w:rsid w:val="00A17F13"/>
    <w:rsid w:val="00A20739"/>
    <w:rsid w:val="00A33C78"/>
    <w:rsid w:val="00AB0ADB"/>
    <w:rsid w:val="00AB1CA5"/>
    <w:rsid w:val="00AF0F55"/>
    <w:rsid w:val="00B01B1A"/>
    <w:rsid w:val="00B72CD3"/>
    <w:rsid w:val="00B72FFF"/>
    <w:rsid w:val="00BC3D36"/>
    <w:rsid w:val="00BD7F72"/>
    <w:rsid w:val="00BE47E9"/>
    <w:rsid w:val="00C04FB3"/>
    <w:rsid w:val="00C330EB"/>
    <w:rsid w:val="00C754BE"/>
    <w:rsid w:val="00C76B1C"/>
    <w:rsid w:val="00CB6357"/>
    <w:rsid w:val="00CC1B26"/>
    <w:rsid w:val="00D24581"/>
    <w:rsid w:val="00D423A2"/>
    <w:rsid w:val="00D4297F"/>
    <w:rsid w:val="00D520D8"/>
    <w:rsid w:val="00D63AC2"/>
    <w:rsid w:val="00D7383B"/>
    <w:rsid w:val="00DA231B"/>
    <w:rsid w:val="00DA23A0"/>
    <w:rsid w:val="00DC39FC"/>
    <w:rsid w:val="00DF5254"/>
    <w:rsid w:val="00E16408"/>
    <w:rsid w:val="00E20894"/>
    <w:rsid w:val="00E245AB"/>
    <w:rsid w:val="00E2764C"/>
    <w:rsid w:val="00E27ACF"/>
    <w:rsid w:val="00E27F2E"/>
    <w:rsid w:val="00E413EA"/>
    <w:rsid w:val="00E50AFE"/>
    <w:rsid w:val="00E75C92"/>
    <w:rsid w:val="00E771DC"/>
    <w:rsid w:val="00E8772A"/>
    <w:rsid w:val="00E87FAC"/>
    <w:rsid w:val="00E90F6B"/>
    <w:rsid w:val="00E92C27"/>
    <w:rsid w:val="00EA0E3D"/>
    <w:rsid w:val="00EC38A7"/>
    <w:rsid w:val="00EE1AA8"/>
    <w:rsid w:val="00F31EDC"/>
    <w:rsid w:val="00F4515D"/>
    <w:rsid w:val="00F462B3"/>
    <w:rsid w:val="00F509CD"/>
    <w:rsid w:val="00F5664F"/>
    <w:rsid w:val="00F666C4"/>
    <w:rsid w:val="00F76AFC"/>
    <w:rsid w:val="00FA2D35"/>
    <w:rsid w:val="00FA47C0"/>
    <w:rsid w:val="00FB5DD1"/>
    <w:rsid w:val="00FB7C02"/>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013B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13B5"/>
    <w:rPr>
      <w:rFonts w:ascii="Geomanist Light" w:hAnsi="Geomanist Light"/>
      <w:lang w:val="es-ES"/>
    </w:rPr>
  </w:style>
  <w:style w:type="paragraph" w:styleId="Textoindependiente">
    <w:name w:val="Body Text"/>
    <w:basedOn w:val="Normal"/>
    <w:link w:val="TextoindependienteCar"/>
    <w:uiPriority w:val="1"/>
    <w:qFormat/>
    <w:rsid w:val="000013B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0013B5"/>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ovas2@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9295570C-B962-4E46-8FCB-B71CF2B2E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3804</Words>
  <Characters>20923</Characters>
  <Application>Microsoft Office Word</Application>
  <DocSecurity>0</DocSecurity>
  <Lines>174</Lines>
  <Paragraphs>49</Paragraphs>
  <ScaleCrop>false</ScaleCrop>
  <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2024-08-23T18:57:00Z</dcterms:created>
  <dcterms:modified xsi:type="dcterms:W3CDTF">2024-08-23T18:57:00Z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