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3FFEA" w14:textId="77777777" w:rsidR="00FB05D1" w:rsidRPr="00874839" w:rsidRDefault="00FB05D1" w:rsidP="00FB05D1">
      <w:pPr>
        <w:jc w:val="both"/>
        <w:rPr>
          <w:rFonts w:ascii="Century Gothic" w:eastAsia="Calibri" w:hAnsi="Century Gothic" w:cs="Arial"/>
          <w:b/>
          <w:bCs/>
          <w:color w:val="000000" w:themeColor="text1"/>
          <w:lang w:val="es-ES" w:eastAsia="es-ES"/>
        </w:rPr>
      </w:pPr>
      <w:r w:rsidRPr="00874839">
        <w:rPr>
          <w:rFonts w:ascii="Century Gothic" w:eastAsia="Calibri" w:hAnsi="Century Gothic" w:cs="Arial"/>
          <w:b/>
          <w:bCs/>
          <w:color w:val="000000" w:themeColor="text1"/>
          <w:lang w:val="es-ES" w:eastAsia="es-ES"/>
        </w:rPr>
        <w:t>CONTRATACIÓN DIRECTA – Pluralidad de oferentes – Ausencia – Derechos de propiedad industrial – Derechos de autor – Titularidad</w:t>
      </w:r>
    </w:p>
    <w:p w14:paraId="48CD5BA5" w14:textId="77777777" w:rsidR="00FB05D1" w:rsidRPr="00874839" w:rsidRDefault="00FB05D1" w:rsidP="00FB05D1">
      <w:pPr>
        <w:jc w:val="both"/>
        <w:rPr>
          <w:rFonts w:ascii="Century Gothic" w:eastAsia="Calibri" w:hAnsi="Century Gothic" w:cs="Arial"/>
          <w:color w:val="000000" w:themeColor="text1"/>
          <w:lang w:val="es-ES" w:eastAsia="es-ES"/>
        </w:rPr>
      </w:pPr>
    </w:p>
    <w:p w14:paraId="0941A628" w14:textId="77777777" w:rsidR="00FB05D1" w:rsidRPr="00874839" w:rsidRDefault="00FB05D1" w:rsidP="00FB05D1">
      <w:pPr>
        <w:spacing w:after="120"/>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t xml:space="preserve">[El artículo 2.2.1.2.1.4.8 del Decreto 1082 de 2015] consagra dos (2) hipótesis. En primer lugar,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369009F9" w14:textId="77777777" w:rsidR="00FB05D1" w:rsidRPr="00874839" w:rsidRDefault="00FB05D1" w:rsidP="00FB05D1">
      <w:pPr>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 […].</w:t>
      </w:r>
    </w:p>
    <w:p w14:paraId="4EDB6D33" w14:textId="77777777" w:rsidR="00FB05D1" w:rsidRPr="00874839" w:rsidRDefault="00FB05D1" w:rsidP="00FB05D1">
      <w:pPr>
        <w:jc w:val="both"/>
        <w:rPr>
          <w:rFonts w:ascii="Century Gothic" w:eastAsia="Calibri" w:hAnsi="Century Gothic" w:cs="Arial"/>
          <w:b/>
          <w:bCs/>
          <w:color w:val="000000" w:themeColor="text1"/>
          <w:lang w:val="es-ES" w:eastAsia="es-ES"/>
        </w:rPr>
      </w:pPr>
    </w:p>
    <w:p w14:paraId="52F90BE7" w14:textId="77777777" w:rsidR="00FB05D1" w:rsidRPr="00874839" w:rsidRDefault="00FB05D1" w:rsidP="00FB05D1">
      <w:pPr>
        <w:jc w:val="both"/>
        <w:rPr>
          <w:rFonts w:ascii="Century Gothic" w:eastAsia="Calibri" w:hAnsi="Century Gothic" w:cs="Arial"/>
          <w:b/>
          <w:bCs/>
          <w:color w:val="000000" w:themeColor="text1"/>
          <w:lang w:val="es-ES" w:eastAsia="es-ES"/>
        </w:rPr>
      </w:pPr>
      <w:r w:rsidRPr="00874839">
        <w:rPr>
          <w:rFonts w:ascii="Century Gothic" w:eastAsia="Calibri" w:hAnsi="Century Gothic" w:cs="Arial"/>
          <w:b/>
          <w:bCs/>
          <w:color w:val="000000" w:themeColor="text1"/>
          <w:lang w:val="es-ES" w:eastAsia="es-ES"/>
        </w:rPr>
        <w:t>CONTRATACIÓN DIRECTA – Pluralidad de oferentes – Ausencia – Proveedor exclusivo – Alcance</w:t>
      </w:r>
    </w:p>
    <w:p w14:paraId="374A769C" w14:textId="77777777" w:rsidR="00FB05D1" w:rsidRPr="00874839" w:rsidRDefault="00FB05D1" w:rsidP="00FB05D1">
      <w:pPr>
        <w:jc w:val="both"/>
        <w:rPr>
          <w:rFonts w:ascii="Century Gothic" w:eastAsia="Calibri" w:hAnsi="Century Gothic" w:cs="Arial"/>
          <w:color w:val="000000" w:themeColor="text1"/>
          <w:lang w:val="es-ES" w:eastAsia="es-ES"/>
        </w:rPr>
      </w:pPr>
    </w:p>
    <w:p w14:paraId="3EB50268" w14:textId="77777777" w:rsidR="00FB05D1" w:rsidRPr="00874839" w:rsidRDefault="00FB05D1" w:rsidP="00FB05D1">
      <w:pPr>
        <w:spacing w:after="120"/>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t xml:space="preserve">En segundo lugar,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412A316A" w14:textId="77777777" w:rsidR="00FB05D1" w:rsidRPr="00874839" w:rsidRDefault="00FB05D1" w:rsidP="00FB05D1">
      <w:pPr>
        <w:spacing w:after="120"/>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lastRenderedPageBreak/>
        <w:t xml:space="preserve">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0AB67CFD" w14:textId="77777777" w:rsidR="00FB05D1" w:rsidRPr="00874839" w:rsidRDefault="00FB05D1" w:rsidP="00FB05D1">
      <w:pPr>
        <w:jc w:val="both"/>
        <w:rPr>
          <w:rFonts w:ascii="Century Gothic" w:eastAsia="Calibri" w:hAnsi="Century Gothic" w:cs="Arial"/>
          <w:color w:val="000000" w:themeColor="text1"/>
          <w:lang w:val="es-ES" w:eastAsia="es-ES"/>
        </w:rPr>
      </w:pPr>
    </w:p>
    <w:p w14:paraId="15E5A258" w14:textId="77777777" w:rsidR="00FB05D1" w:rsidRPr="00874839" w:rsidRDefault="00FB05D1" w:rsidP="00FB05D1">
      <w:pPr>
        <w:jc w:val="both"/>
        <w:rPr>
          <w:rFonts w:ascii="Century Gothic" w:eastAsia="Calibri" w:hAnsi="Century Gothic" w:cs="Arial"/>
          <w:b/>
          <w:bCs/>
          <w:color w:val="000000" w:themeColor="text1"/>
          <w:lang w:val="es-ES" w:eastAsia="es-ES"/>
        </w:rPr>
      </w:pPr>
      <w:r w:rsidRPr="00874839">
        <w:rPr>
          <w:rFonts w:ascii="Century Gothic" w:eastAsia="Calibri" w:hAnsi="Century Gothic" w:cs="Arial"/>
          <w:b/>
          <w:bCs/>
          <w:color w:val="000000" w:themeColor="text1"/>
          <w:lang w:val="es-ES" w:eastAsia="es-ES"/>
        </w:rPr>
        <w:t>CONTRATACIÓN DIRECTA – Pluralidad de oferentes – Ausencia – Interpretación estricta</w:t>
      </w:r>
    </w:p>
    <w:p w14:paraId="2591D8CC" w14:textId="77777777" w:rsidR="00FB05D1" w:rsidRPr="00874839" w:rsidRDefault="00FB05D1" w:rsidP="00FB05D1">
      <w:pPr>
        <w:jc w:val="both"/>
        <w:rPr>
          <w:rFonts w:ascii="Century Gothic" w:eastAsia="Calibri" w:hAnsi="Century Gothic" w:cs="Arial"/>
          <w:color w:val="000000" w:themeColor="text1"/>
          <w:lang w:val="es-ES" w:eastAsia="es-ES"/>
        </w:rPr>
      </w:pPr>
    </w:p>
    <w:p w14:paraId="6736C0E1" w14:textId="77777777" w:rsidR="00FB05D1" w:rsidRPr="00874839" w:rsidRDefault="00FB05D1" w:rsidP="00FB05D1">
      <w:pPr>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t xml:space="preserve">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  </w:t>
      </w:r>
    </w:p>
    <w:p w14:paraId="2A9FF7FE" w14:textId="77777777" w:rsidR="00FB05D1" w:rsidRPr="00874839" w:rsidRDefault="00FB05D1">
      <w:pPr>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br w:type="page"/>
      </w:r>
    </w:p>
    <w:p w14:paraId="6700D6DA" w14:textId="5A091CBA"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34471066" w:rsidR="00871B59" w:rsidRPr="00FB05D1" w:rsidRDefault="00871B59" w:rsidP="00871B59">
      <w:pPr>
        <w:spacing w:after="0" w:line="240" w:lineRule="auto"/>
        <w:jc w:val="both"/>
        <w:rPr>
          <w:rFonts w:ascii="Century Gothic" w:eastAsia="Calibri" w:hAnsi="Century Gothic" w:cs="Arial"/>
          <w:bCs/>
          <w:lang w:val="en-US" w:eastAsia="es-ES_tradnl"/>
        </w:rPr>
      </w:pPr>
      <w:r w:rsidRPr="00FB05D1">
        <w:rPr>
          <w:rFonts w:ascii="Century Gothic" w:eastAsia="Calibri" w:hAnsi="Century Gothic" w:cs="Arial"/>
          <w:bCs/>
          <w:lang w:val="en-US" w:eastAsia="es-ES_tradnl"/>
        </w:rPr>
        <w:t>Señor</w:t>
      </w:r>
    </w:p>
    <w:p w14:paraId="679C7BEE" w14:textId="577CE5CE" w:rsidR="00FB05D1" w:rsidRDefault="00FB05D1" w:rsidP="00871B59">
      <w:pPr>
        <w:spacing w:after="0" w:line="240" w:lineRule="auto"/>
        <w:rPr>
          <w:rFonts w:ascii="Century Gothic" w:eastAsia="Calibri" w:hAnsi="Century Gothic" w:cs="Arial"/>
          <w:b/>
          <w:lang w:val="en-US" w:eastAsia="es-ES_tradnl"/>
        </w:rPr>
      </w:pPr>
      <w:r w:rsidRPr="00FB05D1">
        <w:rPr>
          <w:rFonts w:ascii="Century Gothic" w:eastAsia="Calibri" w:hAnsi="Century Gothic" w:cs="Arial"/>
          <w:b/>
          <w:lang w:val="en-US" w:eastAsia="es-ES_tradnl"/>
        </w:rPr>
        <w:t>Daniel Villanueva</w:t>
      </w:r>
    </w:p>
    <w:p w14:paraId="42968F0B" w14:textId="59C27FE2" w:rsidR="00FB05D1" w:rsidRDefault="00000000" w:rsidP="00871B59">
      <w:pPr>
        <w:spacing w:after="0" w:line="240" w:lineRule="auto"/>
        <w:rPr>
          <w:rFonts w:ascii="Century Gothic" w:eastAsia="Calibri" w:hAnsi="Century Gothic" w:cs="Arial"/>
          <w:bCs/>
          <w:u w:val="single"/>
          <w:lang w:val="en-US" w:eastAsia="es-ES_tradnl"/>
        </w:rPr>
      </w:pPr>
      <w:hyperlink r:id="rId11" w:history="1">
        <w:r w:rsidR="00FB05D1" w:rsidRPr="002A3A6C">
          <w:rPr>
            <w:rStyle w:val="Hipervnculo"/>
            <w:rFonts w:ascii="Century Gothic" w:eastAsia="Calibri" w:hAnsi="Century Gothic" w:cs="Arial"/>
            <w:bCs/>
            <w:lang w:val="en-US" w:eastAsia="es-ES_tradnl"/>
          </w:rPr>
          <w:t>Dc_koin@hotmail.com</w:t>
        </w:r>
      </w:hyperlink>
    </w:p>
    <w:p w14:paraId="5ACFEA17" w14:textId="3F8A4714" w:rsidR="00871B59" w:rsidRPr="00F919E7" w:rsidRDefault="00FB05D1"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La Calera, Cundinamarca</w:t>
      </w:r>
      <w:r w:rsidR="00916160">
        <w:rPr>
          <w:rFonts w:ascii="Century Gothic" w:eastAsia="Calibri" w:hAnsi="Century Gothic" w:cs="Arial"/>
          <w:bCs/>
          <w:lang w:val="es-MX" w:eastAsia="es-ES_tradnl"/>
        </w:rPr>
        <w:t xml:space="preserve">. </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3D41BABF" w14:textId="270F8989" w:rsidR="00A2695B" w:rsidRPr="00F919E7" w:rsidRDefault="00A2695B" w:rsidP="00A2695B">
      <w:pPr>
        <w:spacing w:after="0" w:line="240" w:lineRule="auto"/>
        <w:jc w:val="right"/>
        <w:rPr>
          <w:rFonts w:ascii="Century Gothic" w:eastAsia="Calibri" w:hAnsi="Century Gothic" w:cs="Arial"/>
          <w:b/>
          <w:bCs/>
          <w:color w:val="000000"/>
          <w:lang w:val="es-ES_tradnl" w:eastAsia="es-ES_tradnl"/>
        </w:rPr>
      </w:pPr>
      <w:r w:rsidRPr="00A2695B">
        <w:rPr>
          <w:rFonts w:ascii="Century Gothic" w:eastAsia="Calibri" w:hAnsi="Century Gothic" w:cs="Arial"/>
          <w:b/>
          <w:bCs/>
          <w:color w:val="000000"/>
          <w:lang w:val="es-ES_tradnl" w:eastAsia="es-ES_tradnl"/>
        </w:rPr>
        <w:drawing>
          <wp:inline distT="0" distB="0" distL="0" distR="0" wp14:anchorId="1A1C202B" wp14:editId="440ACB77">
            <wp:extent cx="3528366" cy="990686"/>
            <wp:effectExtent l="0" t="0" r="0" b="0"/>
            <wp:docPr id="625873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73624" name=""/>
                    <pic:cNvPicPr/>
                  </pic:nvPicPr>
                  <pic:blipFill>
                    <a:blip r:embed="rId12"/>
                    <a:stretch>
                      <a:fillRect/>
                    </a:stretch>
                  </pic:blipFill>
                  <pic:spPr>
                    <a:xfrm>
                      <a:off x="0" y="0"/>
                      <a:ext cx="3528366" cy="990686"/>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26A09BE7"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FB05D1">
              <w:rPr>
                <w:rFonts w:ascii="Century Gothic" w:eastAsia="Calibri" w:hAnsi="Century Gothic" w:cs="Arial"/>
                <w:b/>
                <w:lang w:val="es-MX" w:eastAsia="es-ES_tradnl"/>
              </w:rPr>
              <w:t>321</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02FAA359" w14:textId="77777777" w:rsidR="00685FFD" w:rsidRPr="00874839" w:rsidRDefault="00FB05D1" w:rsidP="00916160">
            <w:pPr>
              <w:spacing w:line="276" w:lineRule="auto"/>
              <w:jc w:val="both"/>
              <w:rPr>
                <w:rFonts w:ascii="Century Gothic" w:eastAsia="Calibri" w:hAnsi="Century Gothic" w:cs="Arial"/>
                <w:color w:val="000000" w:themeColor="text1"/>
                <w:lang w:val="es-ES" w:eastAsia="es-ES"/>
              </w:rPr>
            </w:pPr>
            <w:r w:rsidRPr="00874839">
              <w:rPr>
                <w:rFonts w:ascii="Century Gothic" w:eastAsia="Calibri" w:hAnsi="Century Gothic" w:cs="Arial"/>
                <w:color w:val="000000" w:themeColor="text1"/>
                <w:lang w:val="es-ES" w:eastAsia="es-ES"/>
              </w:rPr>
              <w:t>CONTRATACIÓN DIRECTA – Pluralidad de oferentes – Ausencia – Reglamento – Integración / CONTRATACIÓN DIRECTA – Pluralidad de oferentes – Ausencia – Derechos de propiedad industrial – Derechos de autor – Titularidad / CONTRATACIÓN DIRECTA – Pluralidad de oferentes – Ausencia – Proveedor exclusivo – Alcance / CONTRATACIÓN DIRECTA – Pluralidad de oferentes – Ausencia –</w:t>
            </w:r>
          </w:p>
          <w:p w14:paraId="7ADD1096" w14:textId="0C00EDC0" w:rsidR="00FB05D1" w:rsidRPr="00F919E7" w:rsidRDefault="00FB05D1"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242" w:type="dxa"/>
          </w:tcPr>
          <w:p w14:paraId="630D2668" w14:textId="2C5DFF64"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FB05D1" w:rsidRPr="00FB05D1">
              <w:rPr>
                <w:rFonts w:ascii="Century Gothic" w:eastAsia="Calibri" w:hAnsi="Century Gothic" w:cs="Arial"/>
                <w:bCs/>
                <w:lang w:eastAsia="es-ES_tradnl"/>
              </w:rPr>
              <w:t>P20240710007031</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603A1D05"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916160">
        <w:rPr>
          <w:rFonts w:ascii="Century Gothic" w:eastAsia="Calibri" w:hAnsi="Century Gothic" w:cs="Arial"/>
          <w:bCs/>
          <w:lang w:val="es-MX" w:eastAsia="es-ES_tradnl"/>
        </w:rPr>
        <w:t xml:space="preserve">o </w:t>
      </w:r>
      <w:r w:rsidRPr="00E43EBA">
        <w:rPr>
          <w:rFonts w:ascii="Century Gothic" w:eastAsia="Calibri" w:hAnsi="Century Gothic" w:cs="Arial"/>
          <w:bCs/>
          <w:lang w:val="es-MX" w:eastAsia="es-ES_tradnl"/>
        </w:rPr>
        <w:t>señor</w:t>
      </w:r>
      <w:r w:rsidR="00BF755C" w:rsidRPr="00E43EBA">
        <w:rPr>
          <w:rFonts w:ascii="Century Gothic" w:eastAsia="Calibri" w:hAnsi="Century Gothic" w:cs="Arial"/>
          <w:bCs/>
          <w:lang w:val="es-MX" w:eastAsia="es-ES_tradnl"/>
        </w:rPr>
        <w:t xml:space="preserve"> </w:t>
      </w:r>
      <w:r w:rsidR="00FB05D1">
        <w:rPr>
          <w:rFonts w:ascii="Century Gothic" w:eastAsia="Calibri" w:hAnsi="Century Gothic" w:cs="Arial"/>
          <w:bCs/>
          <w:lang w:val="es-MX" w:eastAsia="es-ES_tradnl"/>
        </w:rPr>
        <w:t>Villanueva</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1666CFDA"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5A1C97">
        <w:rPr>
          <w:rFonts w:ascii="Century Gothic" w:eastAsia="Calibri" w:hAnsi="Century Gothic" w:cs="Arial"/>
          <w:lang w:val="es-ES" w:eastAsia="es-ES"/>
        </w:rPr>
        <w:t>1</w:t>
      </w:r>
      <w:r w:rsidR="00FB05D1">
        <w:rPr>
          <w:rFonts w:ascii="Century Gothic" w:eastAsia="Calibri" w:hAnsi="Century Gothic" w:cs="Arial"/>
          <w:lang w:val="es-ES" w:eastAsia="es-ES"/>
        </w:rPr>
        <w:t>0</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w:t>
      </w:r>
      <w:r w:rsidR="00FB05D1">
        <w:rPr>
          <w:rFonts w:ascii="Century Gothic" w:eastAsia="Calibri" w:hAnsi="Century Gothic" w:cs="Arial"/>
          <w:lang w:val="es-ES" w:eastAsia="es-ES"/>
        </w:rPr>
        <w:t>l</w:t>
      </w:r>
      <w:r w:rsidR="005A1C97">
        <w:rPr>
          <w:rFonts w:ascii="Century Gothic" w:eastAsia="Calibri" w:hAnsi="Century Gothic" w:cs="Arial"/>
          <w:lang w:val="es-ES" w:eastAsia="es-ES"/>
        </w:rPr>
        <w:t>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7E4DEDA7" w:rsidR="00871B59" w:rsidRPr="00916160" w:rsidRDefault="00871B59" w:rsidP="00FB05D1">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FB05D1" w:rsidRPr="00FB05D1">
        <w:rPr>
          <w:rFonts w:ascii="Century Gothic" w:eastAsia="Century Gothic" w:hAnsi="Century Gothic" w:cs="Century Gothic"/>
          <w:sz w:val="20"/>
          <w:szCs w:val="20"/>
        </w:rPr>
        <w:t>Cordial saludo. Agradezco su concepto a fin de aclararme si un Concejo Municipal</w:t>
      </w:r>
      <w:r w:rsidR="00FB05D1">
        <w:rPr>
          <w:rFonts w:ascii="Century Gothic" w:eastAsia="Century Gothic" w:hAnsi="Century Gothic" w:cs="Century Gothic"/>
          <w:sz w:val="20"/>
          <w:szCs w:val="20"/>
        </w:rPr>
        <w:t xml:space="preserve"> </w:t>
      </w:r>
      <w:r w:rsidR="00FB05D1" w:rsidRPr="00FB05D1">
        <w:rPr>
          <w:rFonts w:ascii="Century Gothic" w:eastAsia="Century Gothic" w:hAnsi="Century Gothic" w:cs="Century Gothic"/>
          <w:sz w:val="20"/>
          <w:szCs w:val="20"/>
        </w:rPr>
        <w:t>puede suscribir un convenio con una Universidad PRIVADA, o si puede contratar</w:t>
      </w:r>
      <w:r w:rsidR="00FB05D1">
        <w:rPr>
          <w:rFonts w:ascii="Century Gothic" w:eastAsia="Century Gothic" w:hAnsi="Century Gothic" w:cs="Century Gothic"/>
          <w:sz w:val="20"/>
          <w:szCs w:val="20"/>
        </w:rPr>
        <w:t xml:space="preserve"> </w:t>
      </w:r>
      <w:r w:rsidR="00FB05D1" w:rsidRPr="00FB05D1">
        <w:rPr>
          <w:rFonts w:ascii="Century Gothic" w:eastAsia="Century Gothic" w:hAnsi="Century Gothic" w:cs="Century Gothic"/>
          <w:sz w:val="20"/>
          <w:szCs w:val="20"/>
        </w:rPr>
        <w:t>con ellos de manera directa siempre y cuando se justifique, mediante acto</w:t>
      </w:r>
      <w:r w:rsidR="00FB05D1">
        <w:rPr>
          <w:rFonts w:ascii="Century Gothic" w:eastAsia="Century Gothic" w:hAnsi="Century Gothic" w:cs="Century Gothic"/>
          <w:sz w:val="20"/>
          <w:szCs w:val="20"/>
        </w:rPr>
        <w:t xml:space="preserve"> </w:t>
      </w:r>
      <w:r w:rsidR="00FB05D1" w:rsidRPr="00FB05D1">
        <w:rPr>
          <w:rFonts w:ascii="Century Gothic" w:eastAsia="Century Gothic" w:hAnsi="Century Gothic" w:cs="Century Gothic"/>
          <w:sz w:val="20"/>
          <w:szCs w:val="20"/>
        </w:rPr>
        <w:t>administrativo, que no hay pluralidad de oferentes por temas de propiedad</w:t>
      </w:r>
      <w:r w:rsidR="00FB05D1">
        <w:rPr>
          <w:rFonts w:ascii="Century Gothic" w:eastAsia="Century Gothic" w:hAnsi="Century Gothic" w:cs="Century Gothic"/>
          <w:sz w:val="20"/>
          <w:szCs w:val="20"/>
        </w:rPr>
        <w:t xml:space="preserve"> </w:t>
      </w:r>
      <w:r w:rsidR="00FB05D1" w:rsidRPr="00FB05D1">
        <w:rPr>
          <w:rFonts w:ascii="Century Gothic" w:eastAsia="Century Gothic" w:hAnsi="Century Gothic" w:cs="Century Gothic"/>
          <w:sz w:val="20"/>
          <w:szCs w:val="20"/>
        </w:rPr>
        <w:t>intelectual, derechos de autor, único proveedor de servicios, entre otros.</w:t>
      </w:r>
      <w:r w:rsidR="005A1C97">
        <w:rPr>
          <w:rFonts w:ascii="Century Gothic" w:eastAsia="Century Gothic" w:hAnsi="Century Gothic" w:cs="Century Gothic"/>
          <w:sz w:val="20"/>
          <w:szCs w:val="20"/>
        </w:rPr>
        <w:t>”</w:t>
      </w:r>
      <w:r w:rsidR="00E051A5">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004F308F"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543572">
        <w:rPr>
          <w:rFonts w:ascii="Century Gothic" w:eastAsia="Century Gothic" w:hAnsi="Century Gothic" w:cs="Century Gothic"/>
        </w:rPr>
        <w:t>Puede una</w:t>
      </w:r>
      <w:r w:rsidR="00FB05D1" w:rsidRPr="00FB05D1">
        <w:rPr>
          <w:rFonts w:ascii="Century Gothic" w:eastAsia="Century Gothic" w:hAnsi="Century Gothic" w:cs="Century Gothic"/>
        </w:rPr>
        <w:t xml:space="preserve"> </w:t>
      </w:r>
      <w:r w:rsidR="00543572">
        <w:rPr>
          <w:rFonts w:ascii="Century Gothic" w:eastAsia="Century Gothic" w:hAnsi="Century Gothic" w:cs="Century Gothic"/>
        </w:rPr>
        <w:t>E</w:t>
      </w:r>
      <w:r w:rsidR="00FB05D1" w:rsidRPr="00FB05D1">
        <w:rPr>
          <w:rFonts w:ascii="Century Gothic" w:eastAsia="Century Gothic" w:hAnsi="Century Gothic" w:cs="Century Gothic"/>
        </w:rPr>
        <w:t>ntidad</w:t>
      </w:r>
      <w:r w:rsidR="00543572">
        <w:rPr>
          <w:rFonts w:ascii="Century Gothic" w:eastAsia="Century Gothic" w:hAnsi="Century Gothic" w:cs="Century Gothic"/>
        </w:rPr>
        <w:t xml:space="preserve"> Estatal </w:t>
      </w:r>
      <w:r w:rsidR="00FB05D1" w:rsidRPr="00FB05D1">
        <w:rPr>
          <w:rFonts w:ascii="Century Gothic" w:eastAsia="Century Gothic" w:hAnsi="Century Gothic" w:cs="Century Gothic"/>
        </w:rPr>
        <w:t>celebrar un</w:t>
      </w:r>
      <w:r w:rsidR="00543572">
        <w:rPr>
          <w:rFonts w:ascii="Century Gothic" w:eastAsia="Century Gothic" w:hAnsi="Century Gothic" w:cs="Century Gothic"/>
        </w:rPr>
        <w:t xml:space="preserve">a </w:t>
      </w:r>
      <w:r w:rsidR="00543572">
        <w:rPr>
          <w:rFonts w:ascii="Century Gothic" w:eastAsia="Century Gothic" w:hAnsi="Century Gothic" w:cs="Century Gothic"/>
        </w:rPr>
        <w:lastRenderedPageBreak/>
        <w:t>contratación</w:t>
      </w:r>
      <w:r w:rsidR="00FB05D1" w:rsidRPr="00FB05D1">
        <w:rPr>
          <w:rFonts w:ascii="Century Gothic" w:eastAsia="Century Gothic" w:hAnsi="Century Gothic" w:cs="Century Gothic"/>
        </w:rPr>
        <w:t xml:space="preserve"> directa</w:t>
      </w:r>
      <w:r w:rsidR="00543572">
        <w:rPr>
          <w:rFonts w:ascii="Century Gothic" w:eastAsia="Century Gothic" w:hAnsi="Century Gothic" w:cs="Century Gothic"/>
        </w:rPr>
        <w:t xml:space="preserve"> con un proveedor exclusivo debido a que posee la propiedad intelectual o patrimonial del bien o servicio?</w:t>
      </w:r>
      <w:r w:rsidR="00FB05D1" w:rsidRPr="00FB05D1">
        <w:rPr>
          <w:rFonts w:ascii="Century Gothic" w:eastAsia="Century Gothic" w:hAnsi="Century Gothic" w:cs="Century Gothic"/>
        </w:rPr>
        <w:t xml:space="preserve"> </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44C7A158" w14:textId="77777777" w:rsidR="00543572" w:rsidRPr="00543572" w:rsidRDefault="00543572" w:rsidP="00543572">
            <w:pPr>
              <w:spacing w:after="120" w:line="276" w:lineRule="auto"/>
              <w:jc w:val="both"/>
              <w:rPr>
                <w:rFonts w:ascii="Century Gothic" w:eastAsia="Century Gothic" w:hAnsi="Century Gothic" w:cs="Century Gothic"/>
              </w:rPr>
            </w:pPr>
            <w:r w:rsidRPr="00543572">
              <w:rPr>
                <w:rFonts w:ascii="Century Gothic" w:eastAsia="Century Gothic" w:hAnsi="Century Gothic" w:cs="Century Gothic"/>
              </w:rPr>
              <w:t xml:space="preserve">Teniendo en cuenta la interpretación de las normas generales de la materia, la causal de contratación del artículo 2, numeral 4, literal g), de la Ley 1150 de 2007 supone que la inexistencia de pluralidad de oferentes se limita a los dos (2) casos previstos en el 2.2.1.2.1.4.8 del Decreto 1082 de 2015, esto es, </w:t>
            </w:r>
            <w:r w:rsidRPr="003B257E">
              <w:rPr>
                <w:rFonts w:ascii="Century Gothic" w:eastAsia="Century Gothic" w:hAnsi="Century Gothic" w:cs="Century Gothic"/>
                <w:b/>
                <w:bCs/>
              </w:rPr>
              <w:t>cuando solo una persona puede proveer el bien o servicio por ser titular de los derechos de propiedad industrial o de los derechos de autor; o puede celebrar el contrato por ser proveedor exclusivo en el territorio nacional.</w:t>
            </w:r>
          </w:p>
          <w:p w14:paraId="398593B2" w14:textId="77777777" w:rsidR="00543572" w:rsidRPr="00543572" w:rsidRDefault="00543572" w:rsidP="00543572">
            <w:pPr>
              <w:spacing w:after="120" w:line="276" w:lineRule="auto"/>
              <w:ind w:firstLine="709"/>
              <w:jc w:val="both"/>
              <w:rPr>
                <w:rFonts w:ascii="Century Gothic" w:eastAsia="Century Gothic" w:hAnsi="Century Gothic" w:cs="Century Gothic"/>
              </w:rPr>
            </w:pPr>
            <w:r w:rsidRPr="00543572">
              <w:rPr>
                <w:rFonts w:ascii="Century Gothic" w:eastAsia="Century Gothic" w:hAnsi="Century Gothic" w:cs="Century Gothic"/>
              </w:rPr>
              <w:t>En este contexto, la presencia de un proveedor exclusivo supone una barrera de entrada para otros posibles oferentes, por lo que no es posible aplicar el principio de concurrencia. Sin embargo, para la aplicación de la causal de contratación directa, la exclusividad del proveedor debe cubrir el territorio nacional, pues –por ejemplo– si se limita a un municipio o un departamento es posible encontrar bienes y servicios similares o sustitutos en otros lugares del país, por lo que es necesario aplicar procedimientos de selección que permitan la pluralidad de oferentes.</w:t>
            </w:r>
          </w:p>
          <w:p w14:paraId="47AEB666" w14:textId="4842B240" w:rsidR="00916160" w:rsidRPr="00543572" w:rsidRDefault="00916160" w:rsidP="00543572">
            <w:pPr>
              <w:spacing w:after="120" w:line="276" w:lineRule="auto"/>
              <w:ind w:firstLine="709"/>
              <w:jc w:val="both"/>
              <w:rPr>
                <w:rFonts w:ascii="Century Gothic" w:eastAsia="Calibri" w:hAnsi="Century Gothic" w:cs="Arial"/>
                <w:lang w:val="es-ES" w:eastAsia="es-MX"/>
              </w:rPr>
            </w:pP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418BFF0A" w14:textId="77777777" w:rsidR="00543572" w:rsidRPr="00543572" w:rsidRDefault="00543572" w:rsidP="00543572">
      <w:pPr>
        <w:pStyle w:val="Prrafodelista"/>
        <w:numPr>
          <w:ilvl w:val="0"/>
          <w:numId w:val="15"/>
        </w:numPr>
        <w:spacing w:after="120" w:line="276" w:lineRule="auto"/>
        <w:jc w:val="both"/>
        <w:rPr>
          <w:rFonts w:ascii="Century Gothic" w:hAnsi="Century Gothic" w:cs="Arial"/>
          <w:color w:val="000000" w:themeColor="text1"/>
        </w:rPr>
      </w:pPr>
      <w:bookmarkStart w:id="1" w:name="_Hlk45531972"/>
      <w:r w:rsidRPr="00543572">
        <w:rPr>
          <w:rFonts w:ascii="Century Gothic" w:hAnsi="Century Gothic" w:cs="Arial"/>
          <w:color w:val="000000" w:themeColor="text1"/>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w:t>
      </w:r>
      <w:r w:rsidRPr="00543572">
        <w:rPr>
          <w:rFonts w:ascii="Century Gothic" w:hAnsi="Century Gothic" w:cs="Arial"/>
          <w:color w:val="000000" w:themeColor="text1"/>
        </w:rPr>
        <w:lastRenderedPageBreak/>
        <w:t>celeridad o la integridad de las personas. Una de las excepciones es la causal de contratación directa prevista en el literal g) del mencionado numeral que se refiere a la ausencia de pluralidad de oferentes.</w:t>
      </w:r>
      <w:bookmarkEnd w:id="1"/>
    </w:p>
    <w:p w14:paraId="63C3717C" w14:textId="77777777" w:rsidR="00543572" w:rsidRPr="00543572" w:rsidRDefault="00543572" w:rsidP="00543572">
      <w:pPr>
        <w:pStyle w:val="Prrafodelista"/>
        <w:numPr>
          <w:ilvl w:val="0"/>
          <w:numId w:val="15"/>
        </w:numPr>
        <w:spacing w:line="276" w:lineRule="auto"/>
        <w:jc w:val="both"/>
        <w:rPr>
          <w:rFonts w:ascii="Century Gothic" w:eastAsia="Calibri" w:hAnsi="Century Gothic" w:cs="Arial"/>
          <w:color w:val="000000" w:themeColor="text1"/>
        </w:rPr>
      </w:pPr>
      <w:r w:rsidRPr="00543572">
        <w:rPr>
          <w:rFonts w:ascii="Century Gothic" w:eastAsia="Calibri" w:hAnsi="Century Gothic" w:cs="Arial"/>
          <w:color w:val="000000" w:themeColor="text1"/>
        </w:rPr>
        <w:t>En la actualidad, la norma vigente para interpretar el alcance de la causal de contratación directa dispuesta en el artículo 2, numeral 4, literal g), de la Ley 1150 de 2007 está compilada en el artículo 2.2.1.2.1.4.8 del Decreto 1082 de 2015, el cual dispone lo siguiente:</w:t>
      </w:r>
    </w:p>
    <w:p w14:paraId="5BE598E2" w14:textId="77777777" w:rsidR="00543572" w:rsidRPr="00543572" w:rsidRDefault="00543572" w:rsidP="00543572">
      <w:pPr>
        <w:spacing w:line="276" w:lineRule="auto"/>
        <w:ind w:firstLine="708"/>
        <w:jc w:val="both"/>
        <w:rPr>
          <w:rFonts w:ascii="Century Gothic" w:eastAsia="Calibri" w:hAnsi="Century Gothic" w:cs="Arial"/>
          <w:color w:val="000000" w:themeColor="text1"/>
        </w:rPr>
      </w:pPr>
    </w:p>
    <w:p w14:paraId="1226F317" w14:textId="3E316F90" w:rsidR="00543572" w:rsidRPr="00543572" w:rsidRDefault="00543572" w:rsidP="00543572">
      <w:pPr>
        <w:ind w:left="1560" w:right="709"/>
        <w:jc w:val="both"/>
        <w:rPr>
          <w:rFonts w:ascii="Century Gothic" w:eastAsia="Calibri" w:hAnsi="Century Gothic" w:cs="Arial"/>
          <w:color w:val="000000" w:themeColor="text1"/>
          <w:sz w:val="20"/>
          <w:szCs w:val="20"/>
        </w:rPr>
      </w:pPr>
      <w:r>
        <w:rPr>
          <w:rFonts w:ascii="Century Gothic" w:eastAsia="Calibri" w:hAnsi="Century Gothic" w:cs="Arial"/>
          <w:color w:val="000000" w:themeColor="text1"/>
          <w:sz w:val="20"/>
          <w:szCs w:val="20"/>
        </w:rPr>
        <w:t>“</w:t>
      </w:r>
      <w:r w:rsidRPr="00543572">
        <w:rPr>
          <w:rFonts w:ascii="Century Gothic" w:eastAsia="Calibri" w:hAnsi="Century Gothic" w:cs="Arial"/>
          <w:color w:val="000000" w:themeColor="text1"/>
          <w:sz w:val="20"/>
          <w:szCs w:val="20"/>
        </w:rPr>
        <w:t>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Pr>
          <w:rFonts w:ascii="Century Gothic" w:eastAsia="Calibri" w:hAnsi="Century Gothic" w:cs="Arial"/>
          <w:color w:val="000000" w:themeColor="text1"/>
          <w:sz w:val="20"/>
          <w:szCs w:val="20"/>
        </w:rPr>
        <w:t>”</w:t>
      </w:r>
    </w:p>
    <w:p w14:paraId="26E83D82" w14:textId="77777777" w:rsidR="00543572" w:rsidRPr="00543572" w:rsidRDefault="00543572" w:rsidP="00543572">
      <w:pPr>
        <w:pStyle w:val="Prrafodelista"/>
        <w:numPr>
          <w:ilvl w:val="0"/>
          <w:numId w:val="16"/>
        </w:numPr>
        <w:spacing w:after="120" w:line="276" w:lineRule="auto"/>
        <w:jc w:val="both"/>
        <w:rPr>
          <w:rFonts w:ascii="Century Gothic" w:eastAsia="Calibri" w:hAnsi="Century Gothic" w:cs="Arial"/>
          <w:color w:val="000000" w:themeColor="text1"/>
        </w:rPr>
      </w:pPr>
      <w:bookmarkStart w:id="2" w:name="_Hlk45532127"/>
      <w:r w:rsidRPr="00543572">
        <w:rPr>
          <w:rFonts w:ascii="Century Gothic" w:eastAsia="Calibri" w:hAnsi="Century Gothic" w:cs="Arial"/>
          <w:color w:val="000000" w:themeColor="text1"/>
        </w:rPr>
        <w:t xml:space="preserve">La norma consagra dos (2) hipótesis. </w:t>
      </w:r>
      <w:r w:rsidRPr="00543572">
        <w:rPr>
          <w:rFonts w:ascii="Century Gothic" w:eastAsia="Calibri" w:hAnsi="Century Gothic" w:cs="Arial"/>
          <w:i/>
          <w:iCs/>
          <w:color w:val="000000" w:themeColor="text1"/>
        </w:rPr>
        <w:t>En primer lugar</w:t>
      </w:r>
      <w:r w:rsidRPr="00543572">
        <w:rPr>
          <w:rFonts w:ascii="Century Gothic" w:eastAsia="Calibri" w:hAnsi="Century Gothic" w:cs="Arial"/>
          <w:color w:val="000000" w:themeColor="text1"/>
        </w:rPr>
        <w:t xml:space="preserve">, </w:t>
      </w:r>
      <w:bookmarkStart w:id="3" w:name="_Hlk45627093"/>
      <w:r w:rsidRPr="00543572">
        <w:rPr>
          <w:rFonts w:ascii="Century Gothic" w:eastAsia="Calibri" w:hAnsi="Century Gothic" w:cs="Arial"/>
          <w:color w:val="000000" w:themeColor="text1"/>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368C5BE6" w14:textId="77777777" w:rsidR="00543572" w:rsidRPr="00543572" w:rsidRDefault="00543572" w:rsidP="00543572">
      <w:pPr>
        <w:pStyle w:val="Prrafodelista"/>
        <w:numPr>
          <w:ilvl w:val="0"/>
          <w:numId w:val="16"/>
        </w:numPr>
        <w:spacing w:line="276" w:lineRule="auto"/>
        <w:jc w:val="both"/>
        <w:rPr>
          <w:rFonts w:ascii="Century Gothic" w:eastAsia="Calibri" w:hAnsi="Century Gothic" w:cs="Arial"/>
          <w:color w:val="000000" w:themeColor="text1"/>
        </w:rPr>
      </w:pPr>
      <w:bookmarkStart w:id="4" w:name="_Hlk45635593"/>
      <w:r w:rsidRPr="00543572">
        <w:rPr>
          <w:rFonts w:ascii="Century Gothic" w:eastAsia="Calibri" w:hAnsi="Century Gothic" w:cs="Arial"/>
          <w:color w:val="000000" w:themeColor="text1"/>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3"/>
      <w:bookmarkEnd w:id="4"/>
      <w:r w:rsidRPr="00543572">
        <w:rPr>
          <w:rFonts w:ascii="Century Gothic" w:eastAsia="Calibri" w:hAnsi="Century Gothic" w:cs="Arial"/>
          <w:color w:val="000000" w:themeColor="text1"/>
        </w:rPr>
        <w:t>.</w:t>
      </w:r>
      <w:bookmarkEnd w:id="2"/>
      <w:r w:rsidRPr="00543572">
        <w:rPr>
          <w:rFonts w:ascii="Century Gothic" w:eastAsia="Calibri" w:hAnsi="Century Gothic" w:cs="Arial"/>
          <w:color w:val="000000" w:themeColor="text1"/>
        </w:rPr>
        <w:t xml:space="preserve"> Por ello, explica que es posible la </w:t>
      </w:r>
      <w:r w:rsidRPr="00543572">
        <w:rPr>
          <w:rFonts w:ascii="Century Gothic" w:eastAsia="Calibri" w:hAnsi="Century Gothic" w:cs="Arial"/>
          <w:color w:val="000000" w:themeColor="text1"/>
        </w:rPr>
        <w:lastRenderedPageBreak/>
        <w:t>contratación directa con el oferente que es titular de una marca o privilegio, agregando que:</w:t>
      </w:r>
    </w:p>
    <w:p w14:paraId="59787714" w14:textId="7E9AFF9F" w:rsidR="00543572" w:rsidRPr="00543572" w:rsidRDefault="00543572" w:rsidP="00543572">
      <w:pPr>
        <w:ind w:left="1276" w:right="709"/>
        <w:jc w:val="both"/>
        <w:rPr>
          <w:rFonts w:ascii="Century Gothic" w:eastAsia="Calibri" w:hAnsi="Century Gothic" w:cs="Arial"/>
          <w:color w:val="000000" w:themeColor="text1"/>
          <w:sz w:val="20"/>
          <w:szCs w:val="20"/>
        </w:rPr>
      </w:pPr>
      <w:r>
        <w:rPr>
          <w:rFonts w:ascii="Century Gothic" w:eastAsia="Calibri" w:hAnsi="Century Gothic" w:cs="Arial"/>
          <w:color w:val="000000" w:themeColor="text1"/>
          <w:sz w:val="20"/>
          <w:szCs w:val="20"/>
        </w:rPr>
        <w:t>“</w:t>
      </w:r>
      <w:r w:rsidRPr="00543572">
        <w:rPr>
          <w:rFonts w:ascii="Century Gothic" w:eastAsia="Calibri" w:hAnsi="Century Gothic" w:cs="Arial"/>
          <w:color w:val="000000" w:themeColor="text1"/>
          <w:sz w:val="20"/>
          <w:szCs w:val="20"/>
        </w:rPr>
        <w:t>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concurrentes, ni puja que hiciera posible el cumplimiento de las finalidades básicas perseguidas por la licitación</w:t>
      </w:r>
      <w:r w:rsidRPr="00543572">
        <w:rPr>
          <w:rStyle w:val="Refdenotaalpie"/>
          <w:rFonts w:ascii="Century Gothic" w:eastAsia="Calibri" w:hAnsi="Century Gothic" w:cs="Arial"/>
          <w:color w:val="000000" w:themeColor="text1"/>
          <w:sz w:val="20"/>
          <w:szCs w:val="20"/>
        </w:rPr>
        <w:footnoteReference w:id="2"/>
      </w:r>
      <w:r w:rsidRPr="00543572">
        <w:rPr>
          <w:rFonts w:ascii="Century Gothic" w:eastAsia="Calibri" w:hAnsi="Century Gothic" w:cs="Arial"/>
          <w:color w:val="000000" w:themeColor="text1"/>
          <w:sz w:val="20"/>
          <w:szCs w:val="20"/>
        </w:rPr>
        <w:t>.</w:t>
      </w:r>
      <w:r>
        <w:rPr>
          <w:rFonts w:ascii="Century Gothic" w:eastAsia="Calibri" w:hAnsi="Century Gothic" w:cs="Arial"/>
          <w:color w:val="000000" w:themeColor="text1"/>
          <w:sz w:val="20"/>
          <w:szCs w:val="20"/>
        </w:rPr>
        <w:t>”</w:t>
      </w:r>
    </w:p>
    <w:p w14:paraId="14196CF1" w14:textId="77777777" w:rsidR="00543572" w:rsidRDefault="00543572" w:rsidP="00543572">
      <w:pPr>
        <w:pStyle w:val="Prrafodelista"/>
        <w:numPr>
          <w:ilvl w:val="0"/>
          <w:numId w:val="18"/>
        </w:numPr>
        <w:ind w:right="709"/>
        <w:jc w:val="both"/>
        <w:rPr>
          <w:rFonts w:ascii="Century Gothic" w:eastAsia="Calibri" w:hAnsi="Century Gothic" w:cs="Arial"/>
          <w:color w:val="000000" w:themeColor="text1"/>
        </w:rPr>
      </w:pPr>
      <w:bookmarkStart w:id="5" w:name="_Hlk45532434"/>
      <w:r w:rsidRPr="00543572">
        <w:rPr>
          <w:rFonts w:ascii="Century Gothic" w:eastAsia="Calibri" w:hAnsi="Century Gothic" w:cs="Arial"/>
          <w:i/>
          <w:iCs/>
          <w:color w:val="000000" w:themeColor="text1"/>
        </w:rPr>
        <w:t>En segundo lugar</w:t>
      </w:r>
      <w:r w:rsidRPr="00543572">
        <w:rPr>
          <w:rFonts w:ascii="Century Gothic" w:eastAsia="Calibri" w:hAnsi="Century Gothic" w:cs="Arial"/>
          <w:color w:val="000000" w:themeColor="text1"/>
        </w:rPr>
        <w:t xml:space="preserve">, </w:t>
      </w:r>
      <w:bookmarkStart w:id="6" w:name="_Hlk45635630"/>
      <w:bookmarkStart w:id="7" w:name="_Hlk45627184"/>
      <w:r w:rsidRPr="00543572">
        <w:rPr>
          <w:rFonts w:ascii="Century Gothic" w:eastAsia="Calibri" w:hAnsi="Century Gothic" w:cs="Arial"/>
          <w:color w:val="000000" w:themeColor="text1"/>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6"/>
      <w:r w:rsidRPr="00543572">
        <w:rPr>
          <w:rFonts w:ascii="Century Gothic" w:eastAsia="Calibri" w:hAnsi="Century Gothic" w:cs="Arial"/>
          <w:color w:val="000000" w:themeColor="text1"/>
        </w:rPr>
        <w:t xml:space="preserve">. </w:t>
      </w:r>
      <w:bookmarkStart w:id="8" w:name="_Hlk45635661"/>
    </w:p>
    <w:p w14:paraId="6F49E735" w14:textId="77777777" w:rsidR="00543572" w:rsidRDefault="00543572" w:rsidP="00543572">
      <w:pPr>
        <w:pStyle w:val="Prrafodelista"/>
        <w:numPr>
          <w:ilvl w:val="0"/>
          <w:numId w:val="18"/>
        </w:numPr>
        <w:ind w:right="709"/>
        <w:jc w:val="both"/>
        <w:rPr>
          <w:rFonts w:ascii="Century Gothic" w:eastAsia="Calibri" w:hAnsi="Century Gothic" w:cs="Arial"/>
          <w:color w:val="000000" w:themeColor="text1"/>
        </w:rPr>
      </w:pPr>
      <w:r w:rsidRPr="00543572">
        <w:rPr>
          <w:rFonts w:ascii="Century Gothic" w:eastAsia="Calibri" w:hAnsi="Century Gothic" w:cs="Arial"/>
          <w:color w:val="000000" w:themeColor="text1"/>
        </w:rPr>
        <w:t>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8"/>
      <w:r w:rsidRPr="00543572">
        <w:rPr>
          <w:rFonts w:ascii="Century Gothic" w:eastAsia="Calibri" w:hAnsi="Century Gothic" w:cs="Arial"/>
          <w:color w:val="000000" w:themeColor="text1"/>
        </w:rPr>
        <w:t>.</w:t>
      </w:r>
      <w:bookmarkEnd w:id="7"/>
      <w:r w:rsidRPr="00543572">
        <w:rPr>
          <w:rFonts w:ascii="Century Gothic" w:eastAsia="Calibri" w:hAnsi="Century Gothic" w:cs="Arial"/>
          <w:color w:val="000000" w:themeColor="text1"/>
        </w:rPr>
        <w:t xml:space="preserve"> </w:t>
      </w:r>
      <w:bookmarkEnd w:id="5"/>
      <w:r w:rsidRPr="00543572">
        <w:rPr>
          <w:rFonts w:ascii="Century Gothic" w:eastAsia="Calibri" w:hAnsi="Century Gothic" w:cs="Arial"/>
          <w:color w:val="000000" w:themeColor="text1"/>
        </w:rPr>
        <w:t xml:space="preserve"> </w:t>
      </w:r>
      <w:bookmarkStart w:id="9" w:name="_Hlk45532582"/>
      <w:bookmarkStart w:id="10" w:name="_Hlk45531535"/>
    </w:p>
    <w:p w14:paraId="73DAC157" w14:textId="03E7D102" w:rsidR="00543572" w:rsidRPr="00543572" w:rsidRDefault="00543572" w:rsidP="00543572">
      <w:pPr>
        <w:pStyle w:val="Prrafodelista"/>
        <w:numPr>
          <w:ilvl w:val="0"/>
          <w:numId w:val="18"/>
        </w:numPr>
        <w:ind w:right="709"/>
        <w:jc w:val="both"/>
        <w:rPr>
          <w:rFonts w:ascii="Century Gothic" w:eastAsia="Calibri" w:hAnsi="Century Gothic" w:cs="Arial"/>
          <w:color w:val="000000" w:themeColor="text1"/>
        </w:rPr>
      </w:pPr>
      <w:r w:rsidRPr="00543572">
        <w:rPr>
          <w:rFonts w:ascii="Century Gothic" w:eastAsia="Calibri" w:hAnsi="Century Gothic" w:cs="Arial"/>
          <w:color w:val="000000" w:themeColor="text1"/>
        </w:rPr>
        <w:lastRenderedPageBreak/>
        <w:t xml:space="preserve">Fuera de estas dos (2) situaciones, no es posible aplicar </w:t>
      </w:r>
      <w:bookmarkStart w:id="11" w:name="_Hlk45529265"/>
      <w:r w:rsidRPr="00543572">
        <w:rPr>
          <w:rFonts w:ascii="Century Gothic" w:eastAsia="Calibri" w:hAnsi="Century Gothic" w:cs="Arial"/>
          <w:color w:val="000000" w:themeColor="text1"/>
        </w:rPr>
        <w:t>el artículo 2, numeral 4, literal g), de la Ley 1150 de 2007</w:t>
      </w:r>
      <w:bookmarkEnd w:id="11"/>
      <w:r w:rsidRPr="00543572">
        <w:rPr>
          <w:rFonts w:ascii="Century Gothic" w:eastAsia="Calibri" w:hAnsi="Century Gothic" w:cs="Arial"/>
          <w:color w:val="000000" w:themeColor="text1"/>
        </w:rPr>
        <w:t>,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bookmarkEnd w:id="9"/>
      <w:r w:rsidRPr="00543572">
        <w:rPr>
          <w:rFonts w:ascii="Century Gothic" w:eastAsia="Calibri" w:hAnsi="Century Gothic" w:cs="Arial"/>
          <w:color w:val="000000" w:themeColor="text1"/>
        </w:rPr>
        <w:t>.</w:t>
      </w:r>
    </w:p>
    <w:bookmarkEnd w:id="10"/>
    <w:p w14:paraId="74369BD5" w14:textId="77777777" w:rsidR="009E35E3" w:rsidRPr="00543572" w:rsidRDefault="009E35E3" w:rsidP="0031699C">
      <w:pPr>
        <w:pStyle w:val="Prrafodelista"/>
        <w:widowControl w:val="0"/>
        <w:autoSpaceDE w:val="0"/>
        <w:autoSpaceDN w:val="0"/>
        <w:spacing w:before="120" w:line="276" w:lineRule="auto"/>
        <w:jc w:val="both"/>
        <w:rPr>
          <w:rFonts w:ascii="Century Gothic" w:eastAsia="Arial" w:hAnsi="Century Gothic" w:cs="Arial"/>
        </w:rPr>
      </w:pPr>
    </w:p>
    <w:p w14:paraId="6416A5D5" w14:textId="77777777" w:rsidR="00543572" w:rsidRDefault="00543572" w:rsidP="00543572">
      <w:pPr>
        <w:pStyle w:val="Prrafodelista"/>
        <w:tabs>
          <w:tab w:val="left" w:pos="142"/>
          <w:tab w:val="left" w:pos="284"/>
        </w:tabs>
        <w:spacing w:after="0" w:line="276" w:lineRule="auto"/>
        <w:ind w:left="0"/>
        <w:contextualSpacing w:val="0"/>
        <w:jc w:val="both"/>
        <w:rPr>
          <w:rFonts w:ascii="Century Gothic" w:eastAsia="Century Gothic" w:hAnsi="Century Gothic" w:cs="Century Gothic"/>
          <w:b/>
          <w:bCs/>
          <w:lang w:val="es-ES"/>
        </w:rPr>
      </w:pPr>
    </w:p>
    <w:p w14:paraId="53133908" w14:textId="7DBA031F"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67A6FDBB"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 xml:space="preserve">Artículo </w:t>
            </w:r>
            <w:r w:rsidR="00543572" w:rsidRPr="00543572">
              <w:rPr>
                <w:rFonts w:ascii="Century Gothic" w:eastAsia="Calibri" w:hAnsi="Century Gothic" w:cs="Arial"/>
                <w:color w:val="000000" w:themeColor="text1"/>
                <w:sz w:val="20"/>
                <w:szCs w:val="20"/>
              </w:rPr>
              <w:t>2.2.1.2.1.4.8</w:t>
            </w:r>
            <w:r w:rsidR="00543572">
              <w:rPr>
                <w:rFonts w:ascii="Century Gothic" w:eastAsia="Calibri" w:hAnsi="Century Gothic" w:cs="Arial"/>
                <w:color w:val="000000" w:themeColor="text1"/>
                <w:sz w:val="20"/>
                <w:szCs w:val="20"/>
              </w:rPr>
              <w:t xml:space="preserve"> </w:t>
            </w:r>
            <w:r w:rsidRPr="00685FFD">
              <w:rPr>
                <w:rFonts w:ascii="Century Gothic" w:eastAsia="Calibri" w:hAnsi="Century Gothic" w:cs="Arial"/>
                <w:color w:val="000000"/>
                <w:lang w:val="es-ES"/>
              </w:rPr>
              <w:t>del Decreto Único Reglamentario 1082 de 2015</w:t>
            </w:r>
          </w:p>
          <w:p w14:paraId="640C6D48" w14:textId="4BC94BAE" w:rsidR="00685FFD" w:rsidRPr="00E43EBA"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392 del 2018</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3"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4"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0A6FE44F" w14:textId="77777777" w:rsidR="00685FFD" w:rsidRPr="00543572" w:rsidRDefault="00685FFD" w:rsidP="00871B59">
      <w:pPr>
        <w:widowControl w:val="0"/>
        <w:autoSpaceDE w:val="0"/>
        <w:autoSpaceDN w:val="0"/>
        <w:spacing w:after="0" w:line="276" w:lineRule="auto"/>
        <w:jc w:val="both"/>
        <w:rPr>
          <w:rFonts w:ascii="Century Gothic" w:hAnsi="Century Gothic"/>
        </w:rPr>
      </w:pPr>
    </w:p>
    <w:p w14:paraId="653CF3BE" w14:textId="3936ACAD" w:rsidR="00871B59" w:rsidRPr="00CB56F1" w:rsidRDefault="007A7364" w:rsidP="00871B59">
      <w:pPr>
        <w:widowControl w:val="0"/>
        <w:autoSpaceDE w:val="0"/>
        <w:autoSpaceDN w:val="0"/>
        <w:spacing w:after="0" w:line="276" w:lineRule="auto"/>
        <w:jc w:val="both"/>
        <w:rPr>
          <w:rStyle w:val="normaltextrun"/>
          <w:rFonts w:ascii="Century Gothic" w:hAnsi="Century Gothic" w:cs="Arial"/>
          <w:shd w:val="clear" w:color="auto" w:fill="FFFFFF"/>
          <w:lang w:val="es-ES"/>
        </w:rPr>
      </w:pPr>
      <w:r w:rsidRPr="00543572">
        <w:rPr>
          <w:rFonts w:ascii="Century Gothic" w:hAnsi="Century Gothic"/>
        </w:rPr>
        <w:t>La Agencia Nacional de Contratación Pública – Colombia Compra Eficiente, en lo</w:t>
      </w:r>
      <w:r w:rsidR="00600948" w:rsidRPr="00543572">
        <w:rPr>
          <w:rFonts w:ascii="Century Gothic" w:hAnsi="Century Gothic"/>
        </w:rPr>
        <w:t>s</w:t>
      </w:r>
      <w:r w:rsidR="00E43EBA" w:rsidRPr="00543572">
        <w:rPr>
          <w:rFonts w:ascii="Century Gothic" w:hAnsi="Century Gothic"/>
        </w:rPr>
        <w:t xml:space="preserve"> </w:t>
      </w:r>
      <w:r w:rsidR="0031699C" w:rsidRPr="00543572">
        <w:rPr>
          <w:rFonts w:ascii="Century Gothic" w:hAnsi="Century Gothic"/>
        </w:rPr>
        <w:t>Conceptos número</w:t>
      </w:r>
      <w:r w:rsidR="00685FFD" w:rsidRPr="00543572">
        <w:rPr>
          <w:rFonts w:ascii="Century Gothic" w:hAnsi="Century Gothic"/>
        </w:rPr>
        <w:t xml:space="preserve"> </w:t>
      </w:r>
      <w:r w:rsidR="00543572" w:rsidRPr="00543572">
        <w:rPr>
          <w:rFonts w:ascii="Century Gothic" w:hAnsi="Century Gothic"/>
        </w:rPr>
        <w:t>Conceptos 2201913000005631 del 6 de agosto de 2019, C-090 del 24 de febrero de 2020, C-359 del 4 de junio de 2020 y C-475 de 2020</w:t>
      </w:r>
      <w:r w:rsidR="00685FFD" w:rsidRPr="00543572">
        <w:rPr>
          <w:rFonts w:ascii="Century Gothic" w:hAnsi="Century Gothic"/>
        </w:rPr>
        <w:t>, entre otros</w:t>
      </w:r>
      <w:r w:rsidRPr="00543572">
        <w:rPr>
          <w:rFonts w:ascii="Century Gothic" w:hAnsi="Century Gothic"/>
        </w:rPr>
        <w:t>.</w:t>
      </w:r>
      <w:r w:rsidR="00685FFD" w:rsidRPr="00543572">
        <w:rPr>
          <w:rFonts w:ascii="Century Gothic" w:hAnsi="Century Gothic"/>
        </w:rPr>
        <w:t xml:space="preserve"> </w:t>
      </w:r>
    </w:p>
    <w:p w14:paraId="0744FF61" w14:textId="25247B6B" w:rsidR="00CB56F1" w:rsidRPr="00CB56F1" w:rsidRDefault="00CB56F1" w:rsidP="00CB56F1">
      <w:pPr>
        <w:widowControl w:val="0"/>
        <w:autoSpaceDE w:val="0"/>
        <w:autoSpaceDN w:val="0"/>
        <w:spacing w:after="0" w:line="276" w:lineRule="auto"/>
        <w:jc w:val="both"/>
        <w:rPr>
          <w:rFonts w:ascii="Century Gothic" w:hAnsi="Century Gothic" w:cs="Arial"/>
          <w:shd w:val="clear" w:color="auto" w:fill="FFFFFF"/>
        </w:rPr>
      </w:pPr>
      <w:r w:rsidRPr="00CB56F1">
        <w:rPr>
          <w:rFonts w:ascii="Century Gothic" w:hAnsi="Century Gothic"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w:t>
      </w:r>
      <w:r w:rsidRPr="00CB56F1">
        <w:rPr>
          <w:rFonts w:ascii="Century Gothic" w:hAnsi="Century Gothic" w:cs="Arial"/>
          <w:shd w:val="clear" w:color="auto" w:fill="FFFFFF"/>
        </w:rPr>
        <w:lastRenderedPageBreak/>
        <w:t>siguiente enlace: </w:t>
      </w:r>
      <w:hyperlink r:id="rId15" w:tgtFrame="_blank" w:tooltip="Dirección URL original: https://relatoria.colombiacompra.gov.co/. Haga clic o pulse si confía en este vínculo." w:history="1">
        <w:r w:rsidRPr="00CB56F1">
          <w:rPr>
            <w:rStyle w:val="Hipervnculo"/>
            <w:rFonts w:ascii="Century Gothic" w:hAnsi="Century Gothic" w:cs="Arial"/>
            <w:color w:val="auto"/>
            <w:shd w:val="clear" w:color="auto" w:fill="FFFFFF"/>
          </w:rPr>
          <w:t>https://relatoria.colombiacompra.gov.co/</w:t>
        </w:r>
      </w:hyperlink>
      <w:r w:rsidRPr="00CB56F1">
        <w:rPr>
          <w:rFonts w:ascii="Century Gothic" w:hAnsi="Century Gothic" w:cs="Arial"/>
          <w:shd w:val="clear" w:color="auto" w:fill="FFFFFF"/>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Pr="00CB56F1">
          <w:rPr>
            <w:rStyle w:val="Hipervnculo"/>
            <w:rFonts w:ascii="Century Gothic" w:hAnsi="Century Gothic" w:cs="Arial"/>
            <w:color w:val="auto"/>
            <w:shd w:val="clear" w:color="auto" w:fill="FFFFFF"/>
          </w:rPr>
          <w:t>https://www.colombiacompra.gov.co/sites/cce_public/files/files_2020/boletin_de_realtoria_iii.pdf</w:t>
        </w:r>
      </w:hyperlink>
      <w:r w:rsidRPr="00CB56F1">
        <w:rPr>
          <w:rFonts w:ascii="Century Gothic" w:hAnsi="Century Gothic" w:cs="Arial"/>
          <w:shd w:val="clear" w:color="auto" w:fill="FFFFFF"/>
        </w:rPr>
        <w:t> </w:t>
      </w:r>
      <w:r>
        <w:rPr>
          <w:rFonts w:ascii="Century Gothic" w:hAnsi="Century Gothic" w:cs="Arial"/>
          <w:shd w:val="clear" w:color="auto" w:fill="FFFFFF"/>
        </w:rPr>
        <w:t>.</w:t>
      </w:r>
    </w:p>
    <w:p w14:paraId="7D05EFBF" w14:textId="77777777" w:rsidR="00CB56F1" w:rsidRPr="00CB56F1" w:rsidRDefault="00CB56F1" w:rsidP="00CB56F1">
      <w:pPr>
        <w:widowControl w:val="0"/>
        <w:autoSpaceDE w:val="0"/>
        <w:autoSpaceDN w:val="0"/>
        <w:spacing w:after="0" w:line="276" w:lineRule="auto"/>
        <w:jc w:val="both"/>
        <w:rPr>
          <w:rFonts w:ascii="Century Gothic" w:hAnsi="Century Gothic" w:cs="Arial"/>
          <w:shd w:val="clear" w:color="auto" w:fill="FFFFFF"/>
        </w:rPr>
      </w:pPr>
    </w:p>
    <w:p w14:paraId="67CB6579" w14:textId="59A53433" w:rsidR="00CB56F1" w:rsidRPr="00CB56F1" w:rsidRDefault="00CB56F1" w:rsidP="00CB56F1">
      <w:pPr>
        <w:widowControl w:val="0"/>
        <w:autoSpaceDE w:val="0"/>
        <w:autoSpaceDN w:val="0"/>
        <w:spacing w:after="0" w:line="276" w:lineRule="auto"/>
        <w:jc w:val="both"/>
        <w:rPr>
          <w:rFonts w:ascii="Century Gothic" w:hAnsi="Century Gothic" w:cs="Arial"/>
          <w:shd w:val="clear" w:color="auto" w:fill="FFFFFF"/>
        </w:rPr>
      </w:pPr>
      <w:r w:rsidRPr="00CB56F1">
        <w:rPr>
          <w:rFonts w:ascii="Century Gothic" w:hAnsi="Century Gothic" w:cs="Arial"/>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CB56F1">
          <w:rPr>
            <w:rStyle w:val="Hipervnculo"/>
            <w:rFonts w:ascii="Century Gothic" w:hAnsi="Century Gothic" w:cs="Arial"/>
            <w:color w:val="auto"/>
            <w:shd w:val="clear" w:color="auto" w:fill="FFFFFF"/>
          </w:rPr>
          <w:t>https://www.sucop.gov.co/entidades/colombiacompra/Normativa?IDNorma=17363</w:t>
        </w:r>
      </w:hyperlink>
      <w:r w:rsidRPr="00CB56F1">
        <w:rPr>
          <w:rFonts w:ascii="Century Gothic" w:hAnsi="Century Gothic" w:cs="Arial"/>
          <w:shd w:val="clear" w:color="auto" w:fill="FFFFFF"/>
        </w:rPr>
        <w:t> y </w:t>
      </w:r>
      <w:hyperlink r:id="rId18" w:tgtFrame="_blank" w:tooltip="Dirección URL original: https://www.colombiacompra.gov.co/content/convocatorias. Haga clic o pulse si confía en este vínculo." w:history="1">
        <w:r w:rsidRPr="00CB56F1">
          <w:rPr>
            <w:rStyle w:val="Hipervnculo"/>
            <w:rFonts w:ascii="Century Gothic" w:hAnsi="Century Gothic" w:cs="Arial"/>
            <w:color w:val="auto"/>
            <w:shd w:val="clear" w:color="auto" w:fill="FFFFFF"/>
          </w:rPr>
          <w:t>https://www.colombiacompra.gov.co/content/convocatorias</w:t>
        </w:r>
      </w:hyperlink>
      <w:r>
        <w:rPr>
          <w:rFonts w:ascii="Century Gothic" w:hAnsi="Century Gothic" w:cs="Arial"/>
          <w:shd w:val="clear" w:color="auto" w:fill="FFFFFF"/>
        </w:rPr>
        <w:t>.</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08421D77"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477E0539" w:rsidR="00871B59" w:rsidRPr="00593A5F" w:rsidRDefault="00A2695B"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489B28A8" wp14:editId="0373A3C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0FAFC59C" w:rsidR="007A7364" w:rsidRPr="00685FFD" w:rsidRDefault="00CB56F1"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7805F501" w:rsidR="0031699C" w:rsidRPr="00685FFD" w:rsidRDefault="00543572"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A1E9F" w14:textId="77777777" w:rsidR="00BF47F1" w:rsidRDefault="00BF47F1" w:rsidP="00B30448">
      <w:pPr>
        <w:spacing w:after="0" w:line="240" w:lineRule="auto"/>
      </w:pPr>
      <w:r>
        <w:separator/>
      </w:r>
    </w:p>
  </w:endnote>
  <w:endnote w:type="continuationSeparator" w:id="0">
    <w:p w14:paraId="62F78279" w14:textId="77777777" w:rsidR="00BF47F1" w:rsidRDefault="00BF47F1" w:rsidP="00B30448">
      <w:pPr>
        <w:spacing w:after="0" w:line="240" w:lineRule="auto"/>
      </w:pPr>
      <w:r>
        <w:continuationSeparator/>
      </w:r>
    </w:p>
  </w:endnote>
  <w:endnote w:type="continuationNotice" w:id="1">
    <w:p w14:paraId="01672673" w14:textId="77777777" w:rsidR="00BF47F1" w:rsidRDefault="00BF47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D6F3F" w14:textId="77777777" w:rsidR="00BF47F1" w:rsidRDefault="00BF47F1" w:rsidP="00B30448">
      <w:pPr>
        <w:spacing w:after="0" w:line="240" w:lineRule="auto"/>
      </w:pPr>
      <w:r>
        <w:separator/>
      </w:r>
    </w:p>
  </w:footnote>
  <w:footnote w:type="continuationSeparator" w:id="0">
    <w:p w14:paraId="67F342FA" w14:textId="77777777" w:rsidR="00BF47F1" w:rsidRDefault="00BF47F1" w:rsidP="00B30448">
      <w:pPr>
        <w:spacing w:after="0" w:line="240" w:lineRule="auto"/>
      </w:pPr>
      <w:r>
        <w:continuationSeparator/>
      </w:r>
    </w:p>
  </w:footnote>
  <w:footnote w:type="continuationNotice" w:id="1">
    <w:p w14:paraId="6CC5F05C" w14:textId="77777777" w:rsidR="00BF47F1" w:rsidRDefault="00BF47F1">
      <w:pPr>
        <w:spacing w:after="0" w:line="240" w:lineRule="auto"/>
      </w:pPr>
    </w:p>
  </w:footnote>
  <w:footnote w:id="2">
    <w:p w14:paraId="2A3E6153" w14:textId="77777777" w:rsidR="00543572" w:rsidRPr="00CB56F1" w:rsidRDefault="00543572" w:rsidP="00543572">
      <w:pPr>
        <w:pStyle w:val="Textonotapie"/>
        <w:ind w:firstLine="708"/>
        <w:jc w:val="both"/>
        <w:rPr>
          <w:rFonts w:ascii="Century Gothic" w:hAnsi="Century Gothic" w:cs="Arial"/>
          <w:sz w:val="19"/>
          <w:szCs w:val="19"/>
        </w:rPr>
      </w:pPr>
      <w:r w:rsidRPr="00CB56F1">
        <w:rPr>
          <w:rStyle w:val="Refdenotaalpie"/>
          <w:rFonts w:ascii="Century Gothic" w:hAnsi="Century Gothic" w:cs="Arial"/>
          <w:sz w:val="19"/>
          <w:szCs w:val="19"/>
        </w:rPr>
        <w:footnoteRef/>
      </w:r>
      <w:r w:rsidRPr="00CB56F1">
        <w:rPr>
          <w:rFonts w:ascii="Century Gothic" w:hAnsi="Century Gothic" w:cs="Arial"/>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08D64D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0FE91606"/>
    <w:multiLevelType w:val="hybridMultilevel"/>
    <w:tmpl w:val="99EA2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CF543C8"/>
    <w:multiLevelType w:val="hybridMultilevel"/>
    <w:tmpl w:val="FFBEA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6D1751AC"/>
    <w:multiLevelType w:val="hybridMultilevel"/>
    <w:tmpl w:val="000ADD0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7" w15:restartNumberingAfterBreak="0">
    <w:nsid w:val="71994FE8"/>
    <w:multiLevelType w:val="hybridMultilevel"/>
    <w:tmpl w:val="59A0D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10"/>
  </w:num>
  <w:num w:numId="2" w16cid:durableId="4285022">
    <w:abstractNumId w:val="2"/>
  </w:num>
  <w:num w:numId="3" w16cid:durableId="881983949">
    <w:abstractNumId w:val="7"/>
  </w:num>
  <w:num w:numId="4" w16cid:durableId="341274352">
    <w:abstractNumId w:val="0"/>
  </w:num>
  <w:num w:numId="5" w16cid:durableId="1887524674">
    <w:abstractNumId w:val="14"/>
  </w:num>
  <w:num w:numId="6" w16cid:durableId="1082990391">
    <w:abstractNumId w:val="1"/>
  </w:num>
  <w:num w:numId="7" w16cid:durableId="1492209491">
    <w:abstractNumId w:val="9"/>
  </w:num>
  <w:num w:numId="8" w16cid:durableId="679089576">
    <w:abstractNumId w:val="11"/>
  </w:num>
  <w:num w:numId="9" w16cid:durableId="2123767494">
    <w:abstractNumId w:val="13"/>
  </w:num>
  <w:num w:numId="10" w16cid:durableId="1391228846">
    <w:abstractNumId w:val="8"/>
  </w:num>
  <w:num w:numId="11" w16cid:durableId="15233557">
    <w:abstractNumId w:val="15"/>
  </w:num>
  <w:num w:numId="12" w16cid:durableId="354035714">
    <w:abstractNumId w:val="3"/>
  </w:num>
  <w:num w:numId="13" w16cid:durableId="101463356">
    <w:abstractNumId w:val="5"/>
  </w:num>
  <w:num w:numId="14" w16cid:durableId="190606430">
    <w:abstractNumId w:val="4"/>
  </w:num>
  <w:num w:numId="15" w16cid:durableId="1150177500">
    <w:abstractNumId w:val="12"/>
  </w:num>
  <w:num w:numId="16" w16cid:durableId="1117799111">
    <w:abstractNumId w:val="6"/>
  </w:num>
  <w:num w:numId="17" w16cid:durableId="2146727359">
    <w:abstractNumId w:val="16"/>
  </w:num>
  <w:num w:numId="18" w16cid:durableId="10161549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1766"/>
    <w:rsid w:val="002F6CCB"/>
    <w:rsid w:val="0030461E"/>
    <w:rsid w:val="0031699C"/>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257E"/>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D4593"/>
    <w:rsid w:val="00500DFA"/>
    <w:rsid w:val="005019AA"/>
    <w:rsid w:val="005021BB"/>
    <w:rsid w:val="005139E7"/>
    <w:rsid w:val="005147DA"/>
    <w:rsid w:val="00515FB5"/>
    <w:rsid w:val="0052365C"/>
    <w:rsid w:val="005271EB"/>
    <w:rsid w:val="005426DB"/>
    <w:rsid w:val="00543572"/>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5678"/>
    <w:rsid w:val="00677012"/>
    <w:rsid w:val="006825B4"/>
    <w:rsid w:val="00682AF2"/>
    <w:rsid w:val="00685FFD"/>
    <w:rsid w:val="006864DF"/>
    <w:rsid w:val="006A3C8A"/>
    <w:rsid w:val="006A7552"/>
    <w:rsid w:val="006B5953"/>
    <w:rsid w:val="006B7A81"/>
    <w:rsid w:val="006C4BAC"/>
    <w:rsid w:val="006C52F3"/>
    <w:rsid w:val="006D4861"/>
    <w:rsid w:val="006E1D19"/>
    <w:rsid w:val="006E7F37"/>
    <w:rsid w:val="006F3B81"/>
    <w:rsid w:val="006F4F79"/>
    <w:rsid w:val="00705B37"/>
    <w:rsid w:val="00711FD9"/>
    <w:rsid w:val="0071249B"/>
    <w:rsid w:val="0072628E"/>
    <w:rsid w:val="00735062"/>
    <w:rsid w:val="00746BA5"/>
    <w:rsid w:val="00751D23"/>
    <w:rsid w:val="00770577"/>
    <w:rsid w:val="00777666"/>
    <w:rsid w:val="00780EE2"/>
    <w:rsid w:val="0078159B"/>
    <w:rsid w:val="00782E10"/>
    <w:rsid w:val="0078706B"/>
    <w:rsid w:val="00790836"/>
    <w:rsid w:val="00797131"/>
    <w:rsid w:val="007A3C1D"/>
    <w:rsid w:val="007A7364"/>
    <w:rsid w:val="007B285D"/>
    <w:rsid w:val="007B465D"/>
    <w:rsid w:val="007C6BC6"/>
    <w:rsid w:val="007F455B"/>
    <w:rsid w:val="00807D79"/>
    <w:rsid w:val="00813634"/>
    <w:rsid w:val="00822821"/>
    <w:rsid w:val="00831C29"/>
    <w:rsid w:val="008431EF"/>
    <w:rsid w:val="008468E0"/>
    <w:rsid w:val="00871B59"/>
    <w:rsid w:val="00874839"/>
    <w:rsid w:val="00877D03"/>
    <w:rsid w:val="00877E96"/>
    <w:rsid w:val="008806CA"/>
    <w:rsid w:val="008815E5"/>
    <w:rsid w:val="00887B37"/>
    <w:rsid w:val="008909B9"/>
    <w:rsid w:val="00891DFC"/>
    <w:rsid w:val="008B12B4"/>
    <w:rsid w:val="008B7914"/>
    <w:rsid w:val="008C5D2A"/>
    <w:rsid w:val="008C7AF4"/>
    <w:rsid w:val="008D529F"/>
    <w:rsid w:val="008F5CC8"/>
    <w:rsid w:val="008F7DAA"/>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35E3"/>
    <w:rsid w:val="009E4885"/>
    <w:rsid w:val="00A07DB6"/>
    <w:rsid w:val="00A10A73"/>
    <w:rsid w:val="00A170B3"/>
    <w:rsid w:val="00A223D5"/>
    <w:rsid w:val="00A2695B"/>
    <w:rsid w:val="00A37D1C"/>
    <w:rsid w:val="00A5453E"/>
    <w:rsid w:val="00A56F6C"/>
    <w:rsid w:val="00A76C8C"/>
    <w:rsid w:val="00A83E50"/>
    <w:rsid w:val="00A85F30"/>
    <w:rsid w:val="00A9099E"/>
    <w:rsid w:val="00A91969"/>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73FA"/>
    <w:rsid w:val="00BF47F1"/>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B56F1"/>
    <w:rsid w:val="00CB7386"/>
    <w:rsid w:val="00CC299A"/>
    <w:rsid w:val="00CD03E3"/>
    <w:rsid w:val="00CE4DAB"/>
    <w:rsid w:val="00CE6BDA"/>
    <w:rsid w:val="00CE7288"/>
    <w:rsid w:val="00D03DBE"/>
    <w:rsid w:val="00D072C0"/>
    <w:rsid w:val="00D34C82"/>
    <w:rsid w:val="00D3757A"/>
    <w:rsid w:val="00D44D04"/>
    <w:rsid w:val="00D504A9"/>
    <w:rsid w:val="00D5206D"/>
    <w:rsid w:val="00D7177D"/>
    <w:rsid w:val="00D81311"/>
    <w:rsid w:val="00D96A62"/>
    <w:rsid w:val="00DB201E"/>
    <w:rsid w:val="00DC0E68"/>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334D"/>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AB7"/>
    <w:rsid w:val="00F16BA1"/>
    <w:rsid w:val="00F24435"/>
    <w:rsid w:val="00F30C0F"/>
    <w:rsid w:val="00F314E8"/>
    <w:rsid w:val="00F323A2"/>
    <w:rsid w:val="00F33B57"/>
    <w:rsid w:val="00F33D5C"/>
    <w:rsid w:val="00F34D2D"/>
    <w:rsid w:val="00F34E90"/>
    <w:rsid w:val="00F356D6"/>
    <w:rsid w:val="00F46F22"/>
    <w:rsid w:val="00F53BE2"/>
    <w:rsid w:val="00F55684"/>
    <w:rsid w:val="00F64D5A"/>
    <w:rsid w:val="00F709CD"/>
    <w:rsid w:val="00F906F4"/>
    <w:rsid w:val="00F919E7"/>
    <w:rsid w:val="00FA0716"/>
    <w:rsid w:val="00FB05D1"/>
    <w:rsid w:val="00FB4629"/>
    <w:rsid w:val="00FB6FB1"/>
    <w:rsid w:val="00FB7063"/>
    <w:rsid w:val="00FC7056"/>
    <w:rsid w:val="00FE1A00"/>
    <w:rsid w:val="00FE33B4"/>
    <w:rsid w:val="00FE4471"/>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92952561">
      <w:bodyDiv w:val="1"/>
      <w:marLeft w:val="0"/>
      <w:marRight w:val="0"/>
      <w:marTop w:val="0"/>
      <w:marBottom w:val="0"/>
      <w:divBdr>
        <w:top w:val="none" w:sz="0" w:space="0" w:color="auto"/>
        <w:left w:val="none" w:sz="0" w:space="0" w:color="auto"/>
        <w:bottom w:val="none" w:sz="0" w:space="0" w:color="auto"/>
        <w:right w:val="none" w:sz="0" w:space="0" w:color="auto"/>
      </w:divBdr>
      <w:divsChild>
        <w:div w:id="504322417">
          <w:marLeft w:val="0"/>
          <w:marRight w:val="0"/>
          <w:marTop w:val="0"/>
          <w:marBottom w:val="0"/>
          <w:divBdr>
            <w:top w:val="none" w:sz="0" w:space="0" w:color="auto"/>
            <w:left w:val="none" w:sz="0" w:space="0" w:color="auto"/>
            <w:bottom w:val="none" w:sz="0" w:space="0" w:color="auto"/>
            <w:right w:val="none" w:sz="0" w:space="0" w:color="auto"/>
          </w:divBdr>
        </w:div>
      </w:divsChild>
    </w:div>
    <w:div w:id="1755589204">
      <w:bodyDiv w:val="1"/>
      <w:marLeft w:val="0"/>
      <w:marRight w:val="0"/>
      <w:marTop w:val="0"/>
      <w:marBottom w:val="0"/>
      <w:divBdr>
        <w:top w:val="none" w:sz="0" w:space="0" w:color="auto"/>
        <w:left w:val="none" w:sz="0" w:space="0" w:color="auto"/>
        <w:bottom w:val="none" w:sz="0" w:space="0" w:color="auto"/>
        <w:right w:val="none" w:sz="0" w:space="0" w:color="auto"/>
      </w:divBdr>
      <w:divsChild>
        <w:div w:id="18702202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diana.blanco%40colombiacompra.gov.co%7C5aad36a736844ec87b2108dcc1fa4639%7C7b09041e245149d08cb179d5e3d8c1be%7C0%7C0%7C638598527917629752%7CUnknown%7CTWFpbGZsb3d8eyJWIjoiMC4wLjAwMDAiLCJQIjoiV2luMzIiLCJBTiI6Ik1haWwiLCJXVCI6Mn0%3D%7C0%7C%7C%7C&amp;sdata=GAoolGTP3EMvLbuuOcIZqK0EZWu5uKjFqn0sXmbw3fk%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nam02.safelinks.protection.outlook.com/?url=https%3A%2F%2Fwww.sucop.gov.co%2Fentidades%2Fcolombiacompra%2FNormativa%3FIDNorma%3D17363&amp;data=05%7C02%7Cdiana.blanco%40colombiacompra.gov.co%7C5aad36a736844ec87b2108dcc1fa4639%7C7b09041e245149d08cb179d5e3d8c1be%7C0%7C0%7C638598527917618092%7CUnknown%7CTWFpbGZsb3d8eyJWIjoiMC4wLjAwMDAiLCJQIjoiV2luMzIiLCJBTiI6Ik1haWwiLCJXVCI6Mn0%3D%7C0%7C%7C%7C&amp;sdata=yYI6pLYvTWdnmrbsoZcAtOD%2FG7cu%2Bo6Par2iYCSaq4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c_koin@hot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2725</Words>
  <Characters>14992</Characters>
  <Application>Microsoft Office Word</Application>
  <DocSecurity>0</DocSecurity>
  <Lines>124</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3</cp:revision>
  <dcterms:created xsi:type="dcterms:W3CDTF">2024-08-21T18:21:00Z</dcterms:created>
  <dcterms:modified xsi:type="dcterms:W3CDTF">2024-08-28T05:42:00Z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