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6D2B8" w14:textId="77777777" w:rsidR="00A75B7F" w:rsidRPr="00647611" w:rsidRDefault="00A75B7F" w:rsidP="00A75B7F">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Finalidad </w:t>
      </w:r>
    </w:p>
    <w:p w14:paraId="0C6EB377" w14:textId="77777777" w:rsidR="00A75B7F" w:rsidRPr="00647611" w:rsidRDefault="00A75B7F" w:rsidP="00A75B7F">
      <w:pPr>
        <w:spacing w:after="0" w:line="240" w:lineRule="auto"/>
        <w:jc w:val="both"/>
        <w:rPr>
          <w:rFonts w:ascii="Verdana" w:hAnsi="Verdana" w:cs="Arial"/>
          <w:b/>
          <w:sz w:val="20"/>
          <w:szCs w:val="20"/>
          <w:lang w:val="es-MX" w:eastAsia="es-ES_tradnl"/>
        </w:rPr>
      </w:pPr>
    </w:p>
    <w:p w14:paraId="0DE78ECF" w14:textId="77777777" w:rsidR="00A75B7F" w:rsidRPr="00647611" w:rsidRDefault="00A75B7F" w:rsidP="00A75B7F">
      <w:pPr>
        <w:spacing w:after="0" w:line="240" w:lineRule="auto"/>
        <w:jc w:val="both"/>
        <w:rPr>
          <w:rFonts w:ascii="Verdana" w:eastAsia="Times New Roman" w:hAnsi="Verdana" w:cs="Arial"/>
          <w:sz w:val="20"/>
          <w:szCs w:val="20"/>
          <w:lang w:val="es-MX" w:eastAsia="es-CO"/>
        </w:rPr>
      </w:pPr>
      <w:r w:rsidRPr="00647611">
        <w:rPr>
          <w:rFonts w:ascii="Verdana" w:eastAsia="Times New Roman" w:hAnsi="Verdana" w:cs="Arial"/>
          <w:sz w:val="20"/>
          <w:szCs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075E65FB" w14:textId="77777777" w:rsidR="00A75B7F" w:rsidRPr="00647611" w:rsidRDefault="00A75B7F" w:rsidP="00A75B7F">
      <w:pPr>
        <w:spacing w:after="0" w:line="240" w:lineRule="auto"/>
        <w:jc w:val="both"/>
        <w:rPr>
          <w:rFonts w:ascii="Verdana" w:hAnsi="Verdana" w:cs="Arial"/>
          <w:b/>
          <w:sz w:val="20"/>
          <w:szCs w:val="20"/>
          <w:lang w:val="es-MX" w:eastAsia="es-ES_tradnl"/>
        </w:rPr>
      </w:pPr>
    </w:p>
    <w:p w14:paraId="4B7B0C4C" w14:textId="77777777" w:rsidR="00A75B7F" w:rsidRPr="00647611" w:rsidRDefault="00A75B7F" w:rsidP="00A75B7F">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Tipos de restricciones </w:t>
      </w:r>
      <w:r w:rsidRPr="00647611">
        <w:rPr>
          <w:rFonts w:ascii="Verdana" w:hAnsi="Verdana" w:cs="Arial"/>
          <w:b/>
          <w:bCs/>
          <w:lang w:val="es-MX" w:eastAsia="es-ES_tradnl"/>
        </w:rPr>
        <w:t>‒</w:t>
      </w:r>
      <w:r w:rsidRPr="00647611">
        <w:rPr>
          <w:rFonts w:ascii="Verdana" w:hAnsi="Verdana" w:cs="Arial"/>
          <w:b/>
          <w:lang w:val="es-MX" w:eastAsia="es-ES_tradnl"/>
        </w:rPr>
        <w:t xml:space="preserve"> Ámbito temporal – </w:t>
      </w:r>
      <w:r>
        <w:rPr>
          <w:rFonts w:ascii="Verdana" w:hAnsi="Verdana" w:cs="Arial"/>
          <w:b/>
          <w:lang w:val="es-MX" w:eastAsia="es-ES_tradnl"/>
        </w:rPr>
        <w:t>C</w:t>
      </w:r>
      <w:r w:rsidRPr="00647611">
        <w:rPr>
          <w:rFonts w:ascii="Verdana" w:hAnsi="Verdana" w:cs="Arial"/>
          <w:b/>
          <w:lang w:val="es-MX" w:eastAsia="es-ES_tradnl"/>
        </w:rPr>
        <w:t>elebración</w:t>
      </w:r>
      <w:r>
        <w:rPr>
          <w:rFonts w:ascii="Verdana" w:hAnsi="Verdana" w:cs="Arial"/>
          <w:b/>
          <w:lang w:val="es-MX" w:eastAsia="es-ES_tradnl"/>
        </w:rPr>
        <w:t xml:space="preserve"> –</w:t>
      </w:r>
      <w:r w:rsidRPr="00647611">
        <w:rPr>
          <w:rFonts w:ascii="Verdana" w:hAnsi="Verdana" w:cs="Arial"/>
          <w:b/>
          <w:lang w:val="es-MX" w:eastAsia="es-ES_tradnl"/>
        </w:rPr>
        <w:t xml:space="preserve"> </w:t>
      </w:r>
      <w:r>
        <w:rPr>
          <w:rFonts w:ascii="Verdana" w:hAnsi="Verdana" w:cs="Arial"/>
          <w:b/>
          <w:lang w:val="es-MX" w:eastAsia="es-ES_tradnl"/>
        </w:rPr>
        <w:t>L</w:t>
      </w:r>
      <w:r w:rsidRPr="00647611">
        <w:rPr>
          <w:rFonts w:ascii="Verdana" w:hAnsi="Verdana" w:cs="Arial"/>
          <w:b/>
          <w:lang w:val="es-MX" w:eastAsia="es-ES_tradnl"/>
        </w:rPr>
        <w:t>ímite</w:t>
      </w:r>
    </w:p>
    <w:p w14:paraId="4A93AFB4" w14:textId="77777777" w:rsidR="00A75B7F" w:rsidRPr="00647611" w:rsidRDefault="00A75B7F" w:rsidP="00A75B7F">
      <w:pPr>
        <w:spacing w:after="0" w:line="240" w:lineRule="auto"/>
        <w:jc w:val="both"/>
        <w:rPr>
          <w:rFonts w:ascii="Verdana" w:hAnsi="Verdana" w:cs="Arial"/>
          <w:b/>
          <w:sz w:val="20"/>
          <w:szCs w:val="20"/>
          <w:lang w:val="es-MX" w:eastAsia="es-ES_tradnl"/>
        </w:rPr>
      </w:pPr>
    </w:p>
    <w:p w14:paraId="1EC85C0B" w14:textId="77777777" w:rsidR="00A75B7F" w:rsidRPr="00647611" w:rsidRDefault="00A75B7F" w:rsidP="00A75B7F">
      <w:pPr>
        <w:spacing w:after="0" w:line="240" w:lineRule="auto"/>
        <w:jc w:val="both"/>
        <w:rPr>
          <w:rFonts w:ascii="Verdana" w:eastAsia="Calibri" w:hAnsi="Verdana" w:cs="Arial"/>
          <w:sz w:val="20"/>
          <w:szCs w:val="20"/>
        </w:rPr>
      </w:pPr>
      <w:r w:rsidRPr="00647611">
        <w:rPr>
          <w:rFonts w:ascii="Verdana" w:eastAsia="Calibri" w:hAnsi="Verdana" w:cs="Arial"/>
          <w:sz w:val="20"/>
          <w:szCs w:val="20"/>
        </w:rPr>
        <w:t xml:space="preserve">Por un lado, el </w:t>
      </w:r>
      <w:r w:rsidRPr="00647611">
        <w:rPr>
          <w:rFonts w:ascii="Verdana" w:eastAsia="Calibri" w:hAnsi="Verdana" w:cs="Arial"/>
          <w:i/>
          <w:iCs/>
          <w:sz w:val="20"/>
          <w:szCs w:val="20"/>
        </w:rPr>
        <w:t>artículo 33 de la Ley 996 de 2005</w:t>
      </w:r>
      <w:r w:rsidRPr="00647611">
        <w:rPr>
          <w:rFonts w:ascii="Verdana" w:eastAsia="Calibri" w:hAnsi="Verdana" w:cs="Arial"/>
          <w:sz w:val="20"/>
          <w:szCs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077FC8B3" w14:textId="77777777" w:rsidR="00A75B7F" w:rsidRPr="00647611" w:rsidRDefault="00A75B7F" w:rsidP="00A75B7F">
      <w:pPr>
        <w:spacing w:after="0" w:line="240" w:lineRule="auto"/>
        <w:jc w:val="both"/>
        <w:rPr>
          <w:rFonts w:ascii="Verdana" w:eastAsia="Calibri" w:hAnsi="Verdana" w:cs="Arial"/>
          <w:sz w:val="20"/>
          <w:szCs w:val="20"/>
        </w:rPr>
      </w:pPr>
    </w:p>
    <w:p w14:paraId="4C431F11" w14:textId="77777777" w:rsidR="00A75B7F" w:rsidRPr="00647611" w:rsidRDefault="00A75B7F" w:rsidP="00A75B7F">
      <w:pPr>
        <w:widowControl w:val="0"/>
        <w:autoSpaceDE w:val="0"/>
        <w:autoSpaceDN w:val="0"/>
        <w:spacing w:after="0" w:line="240" w:lineRule="auto"/>
        <w:ind w:right="113"/>
        <w:jc w:val="both"/>
        <w:rPr>
          <w:rFonts w:ascii="Verdana" w:eastAsia="Arial" w:hAnsi="Verdana" w:cs="Arial"/>
          <w:sz w:val="20"/>
          <w:szCs w:val="20"/>
          <w:lang w:val="es-ES" w:eastAsia="es-ES" w:bidi="es-ES"/>
        </w:rPr>
      </w:pPr>
      <w:r w:rsidRPr="00647611">
        <w:rPr>
          <w:rFonts w:ascii="Verdana" w:eastAsia="Calibri" w:hAnsi="Verdana" w:cs="Arial"/>
          <w:sz w:val="20"/>
          <w:szCs w:val="20"/>
        </w:rPr>
        <w:t xml:space="preserve">Por otro lado, </w:t>
      </w:r>
      <w:r w:rsidRPr="00647611">
        <w:rPr>
          <w:rFonts w:ascii="Verdana" w:eastAsia="Calibri" w:hAnsi="Verdana" w:cs="Arial"/>
          <w:i/>
          <w:iCs/>
          <w:sz w:val="20"/>
          <w:szCs w:val="20"/>
        </w:rPr>
        <w:t>el parágrafo del artículo 38 de la Ley 996 de 2005</w:t>
      </w:r>
      <w:r w:rsidRPr="00647611">
        <w:rPr>
          <w:rFonts w:ascii="Verdana" w:eastAsia="Calibri" w:hAnsi="Verdana" w:cs="Arial"/>
          <w:sz w:val="20"/>
          <w:szCs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647611">
        <w:rPr>
          <w:rFonts w:ascii="Verdana" w:eastAsia="Calibri" w:hAnsi="Verdana"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47611">
        <w:rPr>
          <w:rFonts w:ascii="Verdana" w:eastAsia="Calibri" w:hAnsi="Verdana" w:cs="Arial"/>
          <w:sz w:val="20"/>
          <w:szCs w:val="20"/>
        </w:rPr>
        <w:t>”</w:t>
      </w:r>
      <w:r w:rsidRPr="00647611">
        <w:rPr>
          <w:rFonts w:ascii="Verdana" w:eastAsia="Calibri" w:hAnsi="Verdana" w:cs="Arial"/>
          <w:sz w:val="20"/>
          <w:szCs w:val="20"/>
          <w:lang w:val="es-MX"/>
        </w:rPr>
        <w:t>.</w:t>
      </w:r>
      <w:r w:rsidRPr="00647611">
        <w:rPr>
          <w:rFonts w:ascii="Verdana" w:eastAsia="Arial" w:hAnsi="Verdana" w:cs="Arial"/>
          <w:sz w:val="20"/>
          <w:szCs w:val="20"/>
          <w:lang w:val="es-ES" w:eastAsia="es-ES" w:bidi="es-ES"/>
        </w:rPr>
        <w:t xml:space="preserve"> </w:t>
      </w:r>
    </w:p>
    <w:p w14:paraId="460BB72D" w14:textId="77777777" w:rsidR="00A75B7F" w:rsidRPr="00647611" w:rsidRDefault="00A75B7F" w:rsidP="00A75B7F">
      <w:pPr>
        <w:spacing w:after="0" w:line="240" w:lineRule="auto"/>
        <w:jc w:val="both"/>
        <w:rPr>
          <w:rFonts w:ascii="Verdana" w:hAnsi="Verdana" w:cs="Arial"/>
          <w:b/>
          <w:sz w:val="20"/>
          <w:szCs w:val="20"/>
          <w:lang w:val="es-MX" w:eastAsia="es-ES_tradnl"/>
        </w:rPr>
      </w:pPr>
    </w:p>
    <w:p w14:paraId="4A7F17AF" w14:textId="77777777" w:rsidR="00A75B7F" w:rsidRPr="00647611" w:rsidRDefault="00A75B7F" w:rsidP="00A75B7F">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 Prohibición artículo 33 – Contratación directa – Alcance </w:t>
      </w:r>
    </w:p>
    <w:p w14:paraId="08BC625A" w14:textId="77777777" w:rsidR="00A75B7F" w:rsidRPr="00647611" w:rsidRDefault="00A75B7F" w:rsidP="00A75B7F">
      <w:pPr>
        <w:spacing w:after="0" w:line="240" w:lineRule="auto"/>
        <w:jc w:val="both"/>
        <w:rPr>
          <w:rFonts w:ascii="Verdana" w:hAnsi="Verdana" w:cs="Arial"/>
          <w:b/>
          <w:sz w:val="20"/>
          <w:szCs w:val="20"/>
          <w:lang w:val="es-MX" w:eastAsia="es-ES_tradnl"/>
        </w:rPr>
      </w:pPr>
    </w:p>
    <w:p w14:paraId="3E15DF00" w14:textId="77777777" w:rsidR="00A75B7F" w:rsidRPr="00647611" w:rsidRDefault="00A75B7F" w:rsidP="00A75B7F">
      <w:pPr>
        <w:spacing w:after="0" w:line="240" w:lineRule="auto"/>
        <w:jc w:val="both"/>
        <w:rPr>
          <w:rFonts w:ascii="Verdana" w:eastAsia="Times New Roman" w:hAnsi="Verdana" w:cs="Arial"/>
          <w:bCs/>
          <w:sz w:val="20"/>
          <w:szCs w:val="20"/>
          <w:lang w:eastAsia="x-none"/>
        </w:rPr>
      </w:pPr>
      <w:r w:rsidRPr="00647611">
        <w:rPr>
          <w:rFonts w:ascii="Verdana" w:eastAsia="Times New Roman" w:hAnsi="Verdana" w:cs="Arial"/>
          <w:sz w:val="20"/>
          <w:szCs w:val="20"/>
          <w:lang w:eastAsia="x-none"/>
        </w:rPr>
        <w:t xml:space="preserve">De acuerdo con el citado concepto, la prohibición del artículo 33 de la Ley de Garantías Electorales se refiere a </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cualquier sistema que no implique convocatoria pública y posibilidad de pluralidad de oferentes</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 xml:space="preserve">, por lo que excluye las demás modalidades de contratación previstas en la Ley 1150 de 2007, es decir, la licitación pública, la selección abreviada, el concurso de méritos </w:t>
      </w:r>
      <w:r w:rsidRPr="00647611">
        <w:rPr>
          <w:rFonts w:ascii="Verdana" w:eastAsia="Times New Roman" w:hAnsi="Verdana" w:cs="Arial"/>
          <w:sz w:val="20"/>
          <w:szCs w:val="20"/>
          <w:lang w:val="es-ES_tradnl" w:eastAsia="x-none"/>
        </w:rPr>
        <w:t>y la mínima cuantía</w:t>
      </w:r>
      <w:r w:rsidRPr="00647611" w:rsidDel="00A85D9F">
        <w:rPr>
          <w:rFonts w:ascii="Verdana" w:eastAsia="Times New Roman" w:hAnsi="Verdana" w:cs="Arial"/>
          <w:sz w:val="20"/>
          <w:szCs w:val="20"/>
          <w:lang w:eastAsia="x-none"/>
        </w:rPr>
        <w:t xml:space="preserve"> </w:t>
      </w:r>
      <w:r w:rsidRPr="00647611">
        <w:rPr>
          <w:rFonts w:ascii="Verdana" w:eastAsia="Times New Roman" w:hAnsi="Verdana" w:cs="Arial"/>
          <w:sz w:val="20"/>
          <w:szCs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647611">
        <w:rPr>
          <w:rFonts w:ascii="Verdana" w:eastAsia="Calibri" w:hAnsi="Verdana" w:cs="Arial"/>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6818E7B4" w14:textId="77777777" w:rsidR="00A75B7F" w:rsidRPr="00647611" w:rsidRDefault="00A75B7F" w:rsidP="00A75B7F">
      <w:pPr>
        <w:spacing w:after="0" w:line="240" w:lineRule="auto"/>
        <w:jc w:val="both"/>
        <w:rPr>
          <w:rFonts w:ascii="Verdana" w:hAnsi="Verdana" w:cs="Arial"/>
          <w:b/>
          <w:sz w:val="20"/>
          <w:szCs w:val="20"/>
          <w:lang w:eastAsia="es-ES_tradnl"/>
        </w:rPr>
      </w:pPr>
    </w:p>
    <w:p w14:paraId="1E7DC307" w14:textId="77777777" w:rsidR="00A75B7F" w:rsidRPr="00647611" w:rsidRDefault="00A75B7F" w:rsidP="00A75B7F">
      <w:pPr>
        <w:spacing w:after="0" w:line="240" w:lineRule="auto"/>
        <w:jc w:val="both"/>
        <w:rPr>
          <w:rFonts w:ascii="Verdana" w:hAnsi="Verdana" w:cs="Arial"/>
          <w:b/>
          <w:lang w:val="es-MX" w:eastAsia="es-ES_tradnl"/>
        </w:rPr>
      </w:pPr>
      <w:r w:rsidRPr="00647611">
        <w:rPr>
          <w:rFonts w:ascii="Verdana" w:hAnsi="Verdana" w:cs="Arial"/>
          <w:b/>
          <w:lang w:val="es-MX" w:eastAsia="es-ES_tradnl"/>
        </w:rPr>
        <w:t>LEY DE GARANTÍAS ELECTORALES – Excepciones</w:t>
      </w:r>
    </w:p>
    <w:p w14:paraId="59AFA6D4" w14:textId="77777777" w:rsidR="00A75B7F" w:rsidRPr="00647611" w:rsidRDefault="00A75B7F" w:rsidP="00A75B7F">
      <w:pPr>
        <w:spacing w:after="0" w:line="240" w:lineRule="auto"/>
        <w:jc w:val="both"/>
        <w:rPr>
          <w:rFonts w:ascii="Verdana" w:hAnsi="Verdana" w:cs="Arial"/>
          <w:b/>
          <w:sz w:val="20"/>
          <w:szCs w:val="20"/>
          <w:lang w:val="es-MX" w:eastAsia="es-ES_tradnl"/>
        </w:rPr>
      </w:pPr>
    </w:p>
    <w:p w14:paraId="429FF133" w14:textId="77777777" w:rsidR="00A75B7F" w:rsidRPr="00647611" w:rsidRDefault="00A75B7F" w:rsidP="00A75B7F">
      <w:pPr>
        <w:spacing w:after="0" w:line="240" w:lineRule="auto"/>
        <w:jc w:val="both"/>
        <w:rPr>
          <w:rFonts w:ascii="Verdana" w:eastAsia="Times New Roman" w:hAnsi="Verdana" w:cs="Arial"/>
          <w:bCs/>
          <w:sz w:val="20"/>
          <w:szCs w:val="20"/>
          <w:lang w:val="es-MX" w:eastAsia="es-CO"/>
        </w:rPr>
      </w:pPr>
      <w:r w:rsidRPr="00647611">
        <w:rPr>
          <w:rFonts w:ascii="Verdana" w:eastAsia="Times New Roman" w:hAnsi="Verdana" w:cs="Arial"/>
          <w:bCs/>
          <w:sz w:val="20"/>
          <w:szCs w:val="20"/>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47611">
        <w:rPr>
          <w:rFonts w:ascii="Verdana" w:eastAsia="Times New Roman" w:hAnsi="Verdana"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CF517BC" w14:textId="77777777" w:rsidR="00A75B7F" w:rsidRPr="00647611" w:rsidRDefault="00A75B7F" w:rsidP="00A75B7F">
      <w:pPr>
        <w:spacing w:after="0" w:line="240" w:lineRule="auto"/>
        <w:jc w:val="both"/>
        <w:rPr>
          <w:rFonts w:ascii="Verdana" w:hAnsi="Verdana" w:cs="Arial"/>
          <w:b/>
          <w:sz w:val="20"/>
          <w:szCs w:val="20"/>
          <w:lang w:val="es-MX" w:eastAsia="es-ES_tradnl"/>
        </w:rPr>
      </w:pPr>
    </w:p>
    <w:p w14:paraId="319C317C" w14:textId="77777777" w:rsidR="00A75B7F" w:rsidRPr="00647611" w:rsidRDefault="00A75B7F" w:rsidP="00A75B7F">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 Prohibición del artículo 33 – Destinatarios </w:t>
      </w:r>
    </w:p>
    <w:p w14:paraId="50231FA3" w14:textId="77777777" w:rsidR="00A75B7F" w:rsidRPr="00647611" w:rsidRDefault="00A75B7F" w:rsidP="00A75B7F">
      <w:pPr>
        <w:spacing w:after="0" w:line="240" w:lineRule="auto"/>
        <w:rPr>
          <w:rFonts w:ascii="Verdana" w:hAnsi="Verdana" w:cs="Arial"/>
          <w:sz w:val="20"/>
          <w:szCs w:val="20"/>
          <w:lang w:val="es-MX" w:eastAsia="es-ES_tradnl"/>
        </w:rPr>
      </w:pPr>
    </w:p>
    <w:p w14:paraId="6E8195E4" w14:textId="77777777" w:rsidR="00A75B7F" w:rsidRPr="00647611" w:rsidRDefault="00A75B7F" w:rsidP="00A75B7F">
      <w:pPr>
        <w:spacing w:after="0" w:line="240" w:lineRule="auto"/>
        <w:jc w:val="both"/>
        <w:rPr>
          <w:rFonts w:ascii="Verdana" w:hAnsi="Verdana" w:cs="Arial"/>
          <w:sz w:val="20"/>
          <w:szCs w:val="20"/>
          <w:lang w:val="es-MX" w:eastAsia="es-ES_tradnl"/>
        </w:rPr>
      </w:pPr>
      <w:r w:rsidRPr="00647611">
        <w:rPr>
          <w:rFonts w:ascii="Verdana" w:eastAsia="Calibri" w:hAnsi="Verdana" w:cs="Arial"/>
          <w:sz w:val="20"/>
          <w:szCs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647611">
        <w:rPr>
          <w:rFonts w:ascii="Verdana" w:eastAsia="Times New Roman" w:hAnsi="Verdana" w:cs="Arial"/>
          <w:bCs/>
          <w:sz w:val="20"/>
          <w:szCs w:val="20"/>
          <w:lang w:val="es-MX" w:eastAsia="x-none"/>
        </w:rPr>
        <w:t>establecimientos de crédito, las sociedades de servicios financieros y las entidades aseguradoras</w:t>
      </w:r>
      <w:r w:rsidRPr="00647611">
        <w:rPr>
          <w:rFonts w:ascii="Verdana" w:eastAsia="Calibri" w:hAnsi="Verdana" w:cs="Arial"/>
          <w:sz w:val="20"/>
          <w:szCs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7C603852" w14:textId="77777777" w:rsidR="00A75B7F" w:rsidRPr="00647611" w:rsidRDefault="00A75B7F" w:rsidP="00A75B7F">
      <w:pPr>
        <w:spacing w:after="0" w:line="240" w:lineRule="auto"/>
        <w:rPr>
          <w:rFonts w:ascii="Verdana" w:hAnsi="Verdana"/>
          <w:sz w:val="20"/>
          <w:szCs w:val="20"/>
        </w:rPr>
      </w:pPr>
    </w:p>
    <w:p w14:paraId="125DA298" w14:textId="77777777" w:rsidR="00A75B7F" w:rsidRPr="00647611" w:rsidRDefault="00A75B7F" w:rsidP="00A75B7F">
      <w:pPr>
        <w:spacing w:after="0" w:line="240" w:lineRule="auto"/>
        <w:jc w:val="both"/>
        <w:rPr>
          <w:rFonts w:ascii="Verdana" w:hAnsi="Verdana"/>
          <w:b/>
        </w:rPr>
      </w:pPr>
      <w:r w:rsidRPr="00647611">
        <w:rPr>
          <w:rFonts w:ascii="Verdana" w:hAnsi="Verdana" w:cs="Arial"/>
          <w:b/>
          <w:lang w:val="es-MX" w:eastAsia="es-ES_tradnl"/>
        </w:rPr>
        <w:t>LEY DE GARANTÍAS ELECTORALES – Condiciones de igualdad – Contratación directa</w:t>
      </w:r>
    </w:p>
    <w:p w14:paraId="2D335DFD" w14:textId="77777777" w:rsidR="00A75B7F" w:rsidRPr="00647611" w:rsidRDefault="00A75B7F" w:rsidP="00A75B7F">
      <w:pPr>
        <w:spacing w:after="0" w:line="240" w:lineRule="auto"/>
        <w:rPr>
          <w:rFonts w:ascii="Verdana" w:hAnsi="Verdana"/>
          <w:sz w:val="20"/>
          <w:szCs w:val="20"/>
        </w:rPr>
      </w:pPr>
    </w:p>
    <w:p w14:paraId="26A9724D" w14:textId="77777777" w:rsidR="00A75B7F" w:rsidRDefault="00A75B7F" w:rsidP="00A75B7F">
      <w:pPr>
        <w:spacing w:after="0" w:line="240" w:lineRule="auto"/>
        <w:jc w:val="both"/>
        <w:rPr>
          <w:rFonts w:ascii="Verdana" w:eastAsia="Times New Roman" w:hAnsi="Verdana" w:cs="Arial"/>
          <w:bCs/>
          <w:sz w:val="20"/>
          <w:szCs w:val="20"/>
          <w:lang w:val="es-MX" w:eastAsia="x-none"/>
        </w:rPr>
      </w:pPr>
      <w:r w:rsidRPr="00647611">
        <w:rPr>
          <w:rFonts w:ascii="Verdana" w:eastAsia="Times New Roman" w:hAnsi="Verdana" w:cs="Arial"/>
          <w:bCs/>
          <w:sz w:val="20"/>
          <w:szCs w:val="20"/>
          <w:lang w:val="es-MX" w:eastAsia="x-none"/>
        </w:rPr>
        <w:t xml:space="preserve">Además, se reitera que la restricción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4D92C113" w14:textId="77777777" w:rsidR="00A75B7F" w:rsidRPr="00EB0B5F" w:rsidRDefault="00A75B7F" w:rsidP="00A75B7F">
      <w:pPr>
        <w:spacing w:after="0" w:line="240" w:lineRule="auto"/>
        <w:jc w:val="both"/>
        <w:rPr>
          <w:rFonts w:ascii="Verdana" w:eastAsia="Calibri" w:hAnsi="Verdana" w:cs="Arial"/>
          <w:iCs/>
          <w:color w:val="000000" w:themeColor="text1"/>
          <w:sz w:val="20"/>
          <w:szCs w:val="20"/>
          <w:lang w:eastAsia="es-ES_tradnl"/>
        </w:rPr>
      </w:pPr>
    </w:p>
    <w:p w14:paraId="1205CC39" w14:textId="77777777" w:rsidR="00A75B7F" w:rsidRPr="00396DBB" w:rsidRDefault="00A75B7F" w:rsidP="00A75B7F">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CONTRATACIÓN DIRECTA</w:t>
      </w:r>
      <w:r w:rsidRPr="00396DBB">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Ley 1150 de 2007 – Artículo 2.4 – Literal d) – Alcance   </w:t>
      </w:r>
      <w:r w:rsidRPr="00396DBB">
        <w:rPr>
          <w:rFonts w:ascii="Verdana" w:eastAsia="Calibri" w:hAnsi="Verdana" w:cs="Arial"/>
          <w:b/>
          <w:color w:val="000000" w:themeColor="text1"/>
          <w:lang w:val="es-ES_tradnl"/>
        </w:rPr>
        <w:t xml:space="preserve"> </w:t>
      </w:r>
    </w:p>
    <w:p w14:paraId="037863C7" w14:textId="77777777" w:rsidR="00A75B7F" w:rsidRPr="00396DBB" w:rsidRDefault="00A75B7F" w:rsidP="00A75B7F">
      <w:pPr>
        <w:spacing w:after="0" w:line="240" w:lineRule="auto"/>
        <w:jc w:val="both"/>
        <w:rPr>
          <w:rFonts w:ascii="Verdana" w:eastAsia="Calibri" w:hAnsi="Verdana" w:cs="Arial"/>
          <w:bCs/>
          <w:color w:val="000000" w:themeColor="text1"/>
          <w:sz w:val="20"/>
          <w:szCs w:val="20"/>
          <w:lang w:val="es-ES_tradnl"/>
        </w:rPr>
      </w:pPr>
    </w:p>
    <w:p w14:paraId="3C987E31" w14:textId="77777777" w:rsidR="00A75B7F" w:rsidRDefault="00A75B7F" w:rsidP="00A75B7F">
      <w:pPr>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El</w:t>
      </w:r>
      <w:r w:rsidRPr="00604392">
        <w:rPr>
          <w:rFonts w:ascii="Verdana" w:hAnsi="Verdana" w:cs="Arial"/>
          <w:color w:val="000000" w:themeColor="text1"/>
          <w:sz w:val="20"/>
          <w:szCs w:val="20"/>
          <w:lang w:val="es-ES"/>
        </w:rPr>
        <w:t xml:space="preserve"> literal d) del artículo 2.4 de la Ley 1150 de 2007 permite la selección directa tratándose de la contratación de bienes y servicios en el sector defensa, que necesiten reserva para su adquisición. Dichas causales se sujetan al cumplimiento de dos (2) requisitos: uno de carácter orgánico y otro de carácter material. Por un lado, los bienes o servicios deben ser adquiridos por entidades del sector defensa y, por otro, su adquisición debe ser reservada.</w:t>
      </w:r>
    </w:p>
    <w:p w14:paraId="412E00C8" w14:textId="77777777" w:rsidR="00A75B7F" w:rsidRPr="00604392" w:rsidRDefault="00A75B7F" w:rsidP="00A75B7F">
      <w:pPr>
        <w:spacing w:after="0" w:line="240" w:lineRule="auto"/>
        <w:jc w:val="both"/>
        <w:rPr>
          <w:rFonts w:ascii="Verdana" w:hAnsi="Verdana" w:cs="Arial"/>
          <w:color w:val="000000" w:themeColor="text1"/>
          <w:sz w:val="20"/>
          <w:szCs w:val="20"/>
          <w:lang w:val="es-ES"/>
        </w:rPr>
      </w:pPr>
    </w:p>
    <w:p w14:paraId="1CE0D07A" w14:textId="77777777" w:rsidR="00A75B7F" w:rsidRPr="006A61B6" w:rsidRDefault="00A75B7F" w:rsidP="00A75B7F">
      <w:pPr>
        <w:spacing w:after="0" w:line="240" w:lineRule="auto"/>
        <w:jc w:val="both"/>
        <w:rPr>
          <w:rFonts w:ascii="Verdana" w:hAnsi="Verdana" w:cs="Arial"/>
          <w:bCs/>
          <w:color w:val="000000" w:themeColor="text1"/>
          <w:sz w:val="20"/>
          <w:szCs w:val="20"/>
          <w:lang w:val="es-ES_tradnl"/>
        </w:rPr>
      </w:pPr>
      <w:r w:rsidRPr="00604392">
        <w:rPr>
          <w:rFonts w:ascii="Verdana" w:hAnsi="Verdana" w:cs="Arial"/>
          <w:color w:val="000000" w:themeColor="text1"/>
          <w:sz w:val="20"/>
          <w:szCs w:val="20"/>
          <w:lang w:val="es-ES"/>
        </w:rPr>
        <w:t>Como indica el artículo 2.2.1.2.1.4.6 del Decreto 1082 de 2015, “Las Entidades Estatales no están obligadas a publicar los Documentos del Proceso para adquirir bienes y servicios en el Sector Defensa, la Dirección Nacional de Inteligencia y la Unidad Nacional de Protección que requieren reserva. En estos procesos de contratación la adquisición debe hacerse en condiciones de mercado sin que sea necesario recibir varias ofertas”. Por tanto, si no coexisten los requisitos de carácter orgánico y material en las condiciones que se explican en el presente oficio, deben privilegiarse los procedimientos de selección con pluralidad de oferentes, especialmente, cuando la contratación directa es excepcional y, por tanto, las causales son de interpretación estricta.</w:t>
      </w:r>
    </w:p>
    <w:p w14:paraId="77AA874C" w14:textId="77777777" w:rsidR="00A75B7F" w:rsidRPr="00EB0B5F" w:rsidRDefault="00A75B7F" w:rsidP="00A75B7F">
      <w:pPr>
        <w:spacing w:after="0" w:line="240" w:lineRule="auto"/>
        <w:jc w:val="both"/>
        <w:rPr>
          <w:rFonts w:ascii="Verdana" w:eastAsia="Calibri" w:hAnsi="Verdana" w:cs="Arial"/>
          <w:iCs/>
          <w:color w:val="000000" w:themeColor="text1"/>
          <w:sz w:val="20"/>
          <w:szCs w:val="20"/>
          <w:lang w:eastAsia="es-ES_tradnl"/>
        </w:rPr>
      </w:pPr>
    </w:p>
    <w:p w14:paraId="64156A8A" w14:textId="77777777" w:rsidR="00A75B7F" w:rsidRPr="00396DBB" w:rsidRDefault="00A75B7F" w:rsidP="00A75B7F">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SECTOR DEFENSA</w:t>
      </w:r>
      <w:r w:rsidRPr="00396DBB">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Estructura – Entidades adscritas – Entidades vinculadas   </w:t>
      </w:r>
      <w:r w:rsidRPr="00396DBB">
        <w:rPr>
          <w:rFonts w:ascii="Verdana" w:eastAsia="Calibri" w:hAnsi="Verdana" w:cs="Arial"/>
          <w:b/>
          <w:color w:val="000000" w:themeColor="text1"/>
          <w:lang w:val="es-ES_tradnl"/>
        </w:rPr>
        <w:t xml:space="preserve"> </w:t>
      </w:r>
    </w:p>
    <w:p w14:paraId="24A51A9C" w14:textId="77777777" w:rsidR="00A75B7F" w:rsidRPr="00396DBB" w:rsidRDefault="00A75B7F" w:rsidP="00A75B7F">
      <w:pPr>
        <w:spacing w:after="0" w:line="240" w:lineRule="auto"/>
        <w:jc w:val="both"/>
        <w:rPr>
          <w:rFonts w:ascii="Verdana" w:eastAsia="Calibri" w:hAnsi="Verdana" w:cs="Arial"/>
          <w:bCs/>
          <w:color w:val="000000" w:themeColor="text1"/>
          <w:sz w:val="20"/>
          <w:szCs w:val="20"/>
          <w:lang w:val="es-ES_tradnl"/>
        </w:rPr>
      </w:pPr>
    </w:p>
    <w:p w14:paraId="6CFA8A6B" w14:textId="77777777" w:rsidR="00A75B7F" w:rsidRDefault="00A75B7F" w:rsidP="00A75B7F">
      <w:pPr>
        <w:spacing w:after="0" w:line="240" w:lineRule="auto"/>
        <w:jc w:val="both"/>
        <w:rPr>
          <w:rFonts w:ascii="Verdana" w:hAnsi="Verdana" w:cs="Arial"/>
          <w:color w:val="000000" w:themeColor="text1"/>
          <w:sz w:val="20"/>
          <w:szCs w:val="20"/>
        </w:rPr>
      </w:pPr>
      <w:r w:rsidRPr="00AF6312">
        <w:rPr>
          <w:rFonts w:ascii="Verdana" w:hAnsi="Verdana" w:cs="Arial"/>
          <w:color w:val="000000" w:themeColor="text1"/>
          <w:sz w:val="20"/>
          <w:szCs w:val="20"/>
        </w:rPr>
        <w:t>Respecto a la estructura administrativa del sector de defensa nacional, el Decreto 1070 de 2015 ubica al ministerio respectivo como cabeza del mismo –artículo 1.1.1.1–. Al ministerio se encuentran adscritas la Superintendencia de Vigilancia y Seguridad Privada –artículo 1.2.1.1.1–; la Caja de Retiro de las Fuerzas Militares, la Caja de Sueldos de Retiro de la Policía Nacional, el Hospital Militar Central, la Agencia Logística de las Fuerzas Militares, el Fondo Rotatorio de la Policía Nacional, el Instituto de Casas Fiscales del Ejército, el Club Militar, y la Defensa Civil Colombiana –artículo 1.2.1.2.1–. También están vinculadas la Industria Militar y la Caja Promotora de Vivienda Militar y de Policía –artículo 1.2.2.1.1–; el Servicio Aéreo a Territorios Nacionales S.A, la Corporación de la Industria Aeronáutica Colombiana S.A y la Sociedad Hotelera S.A –artículo 1.2.2.2.1–; así como la Corporación de Ciencia y Tecnología para el Desarrollo de la Industria Naval, Marítima y Fluvial y la Corporación de Alta Tecnología para la Defensa –artículo 1.2.3.1–</w:t>
      </w:r>
    </w:p>
    <w:p w14:paraId="629D0A1A" w14:textId="77777777" w:rsidR="00A75B7F" w:rsidRPr="00AF6312" w:rsidRDefault="00A75B7F" w:rsidP="00A75B7F">
      <w:pPr>
        <w:spacing w:after="0" w:line="240" w:lineRule="auto"/>
        <w:jc w:val="both"/>
        <w:rPr>
          <w:rFonts w:ascii="Verdana" w:hAnsi="Verdana" w:cs="Arial"/>
          <w:color w:val="000000" w:themeColor="text1"/>
          <w:sz w:val="20"/>
          <w:szCs w:val="20"/>
        </w:rPr>
      </w:pPr>
    </w:p>
    <w:p w14:paraId="3D99828E" w14:textId="77777777" w:rsidR="00A75B7F" w:rsidRDefault="00A75B7F" w:rsidP="00A75B7F">
      <w:pPr>
        <w:spacing w:after="0" w:line="240" w:lineRule="auto"/>
        <w:jc w:val="both"/>
        <w:rPr>
          <w:rFonts w:ascii="Verdana" w:hAnsi="Verdana" w:cs="Arial"/>
          <w:color w:val="000000" w:themeColor="text1"/>
          <w:sz w:val="20"/>
          <w:szCs w:val="20"/>
        </w:rPr>
      </w:pPr>
      <w:r w:rsidRPr="00AF6312">
        <w:rPr>
          <w:rFonts w:ascii="Verdana" w:hAnsi="Verdana" w:cs="Arial"/>
          <w:color w:val="000000" w:themeColor="text1"/>
          <w:sz w:val="20"/>
          <w:szCs w:val="20"/>
        </w:rPr>
        <w:t xml:space="preserve">Sin perjuicio de lo regulado en el artículo 14 de la ley 1150 de 2007 sobre régimen del régimen contractual de las empresas industriales y comerciales del estado, las sociedades de economía mixta, sus filiales y empresas con participación mayoritaria del Estado, el artículo 16 </w:t>
      </w:r>
      <w:r w:rsidRPr="00AF6312">
        <w:rPr>
          <w:rFonts w:ascii="Verdana" w:hAnsi="Verdana" w:cs="Arial"/>
          <w:i/>
          <w:iCs/>
          <w:color w:val="000000" w:themeColor="text1"/>
          <w:sz w:val="20"/>
          <w:szCs w:val="20"/>
        </w:rPr>
        <w:t>ibidem</w:t>
      </w:r>
      <w:r w:rsidRPr="00AF6312">
        <w:rPr>
          <w:rFonts w:ascii="Verdana" w:hAnsi="Verdana" w:cs="Arial"/>
          <w:color w:val="000000" w:themeColor="text1"/>
          <w:sz w:val="20"/>
          <w:szCs w:val="20"/>
        </w:rPr>
        <w:t xml:space="preserve"> indica lo siguiente: “Los contratos que celebren </w:t>
      </w:r>
      <w:proofErr w:type="spellStart"/>
      <w:r w:rsidRPr="00AF6312">
        <w:rPr>
          <w:rFonts w:ascii="Verdana" w:hAnsi="Verdana" w:cs="Arial"/>
          <w:color w:val="000000" w:themeColor="text1"/>
          <w:sz w:val="20"/>
          <w:szCs w:val="20"/>
        </w:rPr>
        <w:t>Satena</w:t>
      </w:r>
      <w:proofErr w:type="spellEnd"/>
      <w:r w:rsidRPr="00AF6312">
        <w:rPr>
          <w:rFonts w:ascii="Verdana" w:hAnsi="Verdana" w:cs="Arial"/>
          <w:color w:val="000000" w:themeColor="text1"/>
          <w:sz w:val="20"/>
          <w:szCs w:val="20"/>
        </w:rPr>
        <w:t>, Indumil, El Hotel Tequendama, la Corporación de Ciencia y Tecnología para el desarrollo de la industria naval, marítima y fluvial –</w:t>
      </w:r>
      <w:proofErr w:type="spellStart"/>
      <w:r w:rsidRPr="00AF6312">
        <w:rPr>
          <w:rFonts w:ascii="Verdana" w:hAnsi="Verdana" w:cs="Arial"/>
          <w:color w:val="000000" w:themeColor="text1"/>
          <w:sz w:val="20"/>
          <w:szCs w:val="20"/>
        </w:rPr>
        <w:t>Cotecmar</w:t>
      </w:r>
      <w:proofErr w:type="spellEnd"/>
      <w:r w:rsidRPr="00AF6312">
        <w:rPr>
          <w:rFonts w:ascii="Verdana" w:hAnsi="Verdana" w:cs="Arial"/>
          <w:color w:val="000000" w:themeColor="text1"/>
          <w:sz w:val="20"/>
          <w:szCs w:val="20"/>
        </w:rPr>
        <w:t xml:space="preserve">– y la Corporación de la Industria Aeronáutica Colombiana –CIAC–, no estarán sujetos a las disposiciones del Estatuto General de Contratación de la Administración Pública y se regirán por las disposiciones </w:t>
      </w:r>
      <w:r w:rsidRPr="00AF6312">
        <w:rPr>
          <w:rFonts w:ascii="Verdana" w:hAnsi="Verdana" w:cs="Arial"/>
          <w:color w:val="000000" w:themeColor="text1"/>
          <w:sz w:val="20"/>
          <w:szCs w:val="20"/>
        </w:rPr>
        <w:lastRenderedPageBreak/>
        <w:t>legales y reglamentarias aplicables a su actividad”. Luego, la causal de contratación directa del literal d) del artículo 2.4 de la Ley 1150 de 2007 se circunscribe principalmente a las entidades del sector defensa regidas por la Ley 80 de 1993.</w:t>
      </w:r>
    </w:p>
    <w:p w14:paraId="453245C5" w14:textId="77777777" w:rsidR="00A75B7F" w:rsidRDefault="00A75B7F" w:rsidP="00A75B7F">
      <w:pPr>
        <w:spacing w:after="0" w:line="240" w:lineRule="auto"/>
        <w:jc w:val="both"/>
        <w:rPr>
          <w:rFonts w:ascii="Verdana" w:hAnsi="Verdana" w:cs="Arial"/>
          <w:color w:val="000000" w:themeColor="text1"/>
          <w:sz w:val="20"/>
          <w:szCs w:val="20"/>
          <w:lang w:val="es-ES"/>
        </w:rPr>
      </w:pPr>
    </w:p>
    <w:p w14:paraId="34AB7BA5" w14:textId="77777777" w:rsidR="00A75B7F" w:rsidRPr="00396DBB" w:rsidRDefault="00A75B7F" w:rsidP="00A75B7F">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SEGURIDAD Y DEFENSA NACIONAL</w:t>
      </w:r>
      <w:r w:rsidRPr="00396DBB">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Concepto jurídico indeterminado   </w:t>
      </w:r>
      <w:r w:rsidRPr="00396DBB">
        <w:rPr>
          <w:rFonts w:ascii="Verdana" w:eastAsia="Calibri" w:hAnsi="Verdana" w:cs="Arial"/>
          <w:b/>
          <w:color w:val="000000" w:themeColor="text1"/>
          <w:lang w:val="es-ES_tradnl"/>
        </w:rPr>
        <w:t xml:space="preserve"> </w:t>
      </w:r>
    </w:p>
    <w:p w14:paraId="31B3440E" w14:textId="77777777" w:rsidR="00A75B7F" w:rsidRPr="00396DBB" w:rsidRDefault="00A75B7F" w:rsidP="00A75B7F">
      <w:pPr>
        <w:spacing w:after="0" w:line="240" w:lineRule="auto"/>
        <w:jc w:val="both"/>
        <w:rPr>
          <w:rFonts w:ascii="Verdana" w:eastAsia="Calibri" w:hAnsi="Verdana" w:cs="Arial"/>
          <w:bCs/>
          <w:color w:val="000000" w:themeColor="text1"/>
          <w:sz w:val="20"/>
          <w:szCs w:val="20"/>
          <w:lang w:val="es-ES_tradnl"/>
        </w:rPr>
      </w:pPr>
    </w:p>
    <w:p w14:paraId="4546A221" w14:textId="77777777" w:rsidR="00A75B7F" w:rsidRPr="006A61B6" w:rsidRDefault="00A75B7F" w:rsidP="00A75B7F">
      <w:pPr>
        <w:spacing w:after="0" w:line="240" w:lineRule="auto"/>
        <w:jc w:val="both"/>
        <w:rPr>
          <w:rFonts w:ascii="Verdana" w:hAnsi="Verdana" w:cs="Arial"/>
          <w:bCs/>
          <w:color w:val="000000" w:themeColor="text1"/>
          <w:sz w:val="20"/>
          <w:szCs w:val="20"/>
          <w:lang w:val="es-ES_tradnl"/>
        </w:rPr>
      </w:pPr>
      <w:r>
        <w:rPr>
          <w:rFonts w:ascii="Verdana" w:hAnsi="Verdana" w:cs="Arial"/>
          <w:color w:val="000000" w:themeColor="text1"/>
          <w:sz w:val="20"/>
          <w:szCs w:val="20"/>
          <w:lang w:val="es-ES"/>
        </w:rPr>
        <w:t>E</w:t>
      </w:r>
      <w:r w:rsidRPr="00AF6312">
        <w:rPr>
          <w:rFonts w:ascii="Verdana" w:hAnsi="Verdana" w:cs="Arial"/>
          <w:color w:val="000000" w:themeColor="text1"/>
          <w:sz w:val="20"/>
          <w:szCs w:val="20"/>
          <w:lang w:val="es-ES"/>
        </w:rPr>
        <w:t>s la necesidad de la reserva de los documentos del proceso la que habilita la causal de contratación directa para las entidades de sector defensa sometida al EGCAP. Dicha reserva por lo general se refiere a temas de defensa y seguridad nacional. Este concepto no tiene una definición legal en el Estatuto General de Contratación de la Administración Pública. En tal sentido, es un concepto jurídico indeterminado cuya noción se basa en la idea de que el Estado y sus autoridades tienen la responsabilidad de construir estrategias y realizar acciones para proteger a los ciudadanos, garantizar el orden público, el funcionamiento de las instituciones legítimamente constituidas y la soberanía sobre el territorio</w:t>
      </w:r>
      <w:r w:rsidRPr="00604392">
        <w:rPr>
          <w:rFonts w:ascii="Verdana" w:hAnsi="Verdana" w:cs="Arial"/>
          <w:color w:val="000000" w:themeColor="text1"/>
          <w:sz w:val="20"/>
          <w:szCs w:val="20"/>
          <w:lang w:val="es-ES"/>
        </w:rPr>
        <w:t>.</w:t>
      </w:r>
    </w:p>
    <w:p w14:paraId="41C6AC0C" w14:textId="77777777" w:rsidR="00A75B7F" w:rsidRPr="0025227B" w:rsidRDefault="00A75B7F" w:rsidP="00A75B7F">
      <w:pPr>
        <w:spacing w:after="0" w:line="240" w:lineRule="auto"/>
        <w:jc w:val="both"/>
        <w:rPr>
          <w:rFonts w:ascii="Verdana" w:eastAsia="Times New Roman" w:hAnsi="Verdana" w:cs="Arial"/>
          <w:bCs/>
          <w:sz w:val="20"/>
          <w:szCs w:val="20"/>
          <w:lang w:val="es-ES_tradnl" w:eastAsia="x-none"/>
        </w:rPr>
      </w:pPr>
    </w:p>
    <w:p w14:paraId="7DC31CF3" w14:textId="77777777" w:rsidR="00A75B7F" w:rsidRDefault="00A75B7F" w:rsidP="00A75B7F">
      <w:pPr>
        <w:spacing w:after="0" w:line="240" w:lineRule="auto"/>
        <w:jc w:val="both"/>
        <w:rPr>
          <w:rFonts w:ascii="Verdana" w:eastAsia="Geomanist Light" w:hAnsi="Verdana" w:cs="Arial"/>
          <w:color w:val="000000" w:themeColor="text1"/>
          <w:lang w:val="es-MX"/>
        </w:rPr>
      </w:pPr>
    </w:p>
    <w:p w14:paraId="413A9941" w14:textId="77777777" w:rsidR="00A75B7F" w:rsidRDefault="00A75B7F" w:rsidP="00A75B7F">
      <w:pPr>
        <w:spacing w:after="0" w:line="240" w:lineRule="auto"/>
        <w:jc w:val="both"/>
        <w:rPr>
          <w:rFonts w:ascii="Verdana" w:eastAsia="Geomanist Light" w:hAnsi="Verdana" w:cs="Arial"/>
          <w:color w:val="000000" w:themeColor="text1"/>
          <w:lang w:val="es-MX"/>
        </w:rPr>
      </w:pPr>
    </w:p>
    <w:p w14:paraId="00161993" w14:textId="77777777" w:rsidR="00A75B7F" w:rsidRDefault="00A75B7F" w:rsidP="00A75B7F">
      <w:pPr>
        <w:spacing w:after="0" w:line="240" w:lineRule="auto"/>
        <w:jc w:val="both"/>
        <w:rPr>
          <w:rFonts w:ascii="Verdana" w:eastAsia="Geomanist Light" w:hAnsi="Verdana" w:cs="Arial"/>
          <w:color w:val="000000" w:themeColor="text1"/>
          <w:lang w:val="es-MX"/>
        </w:rPr>
      </w:pPr>
    </w:p>
    <w:p w14:paraId="6ADFD066" w14:textId="77777777" w:rsidR="00A75B7F" w:rsidRDefault="00A75B7F" w:rsidP="00A75B7F">
      <w:pPr>
        <w:spacing w:after="0" w:line="240" w:lineRule="auto"/>
        <w:jc w:val="both"/>
        <w:rPr>
          <w:rFonts w:ascii="Verdana" w:eastAsia="Geomanist Light" w:hAnsi="Verdana" w:cs="Arial"/>
          <w:color w:val="000000" w:themeColor="text1"/>
          <w:lang w:val="es-MX"/>
        </w:rPr>
      </w:pPr>
    </w:p>
    <w:p w14:paraId="274ADB82" w14:textId="77777777" w:rsidR="00A75B7F" w:rsidRDefault="00A75B7F" w:rsidP="00A75B7F">
      <w:pPr>
        <w:spacing w:after="0" w:line="240" w:lineRule="auto"/>
        <w:jc w:val="both"/>
        <w:rPr>
          <w:rFonts w:ascii="Verdana" w:eastAsia="Geomanist Light" w:hAnsi="Verdana" w:cs="Arial"/>
          <w:color w:val="000000" w:themeColor="text1"/>
          <w:lang w:val="es-MX"/>
        </w:rPr>
      </w:pPr>
    </w:p>
    <w:p w14:paraId="7DD3D47A" w14:textId="77777777" w:rsidR="00A75B7F" w:rsidRDefault="00A75B7F" w:rsidP="00A75B7F">
      <w:pPr>
        <w:spacing w:after="0" w:line="240" w:lineRule="auto"/>
        <w:jc w:val="both"/>
        <w:rPr>
          <w:rFonts w:ascii="Verdana" w:eastAsia="Geomanist Light" w:hAnsi="Verdana" w:cs="Arial"/>
          <w:color w:val="000000" w:themeColor="text1"/>
          <w:lang w:val="es-MX"/>
        </w:rPr>
      </w:pPr>
    </w:p>
    <w:p w14:paraId="428B4CBF" w14:textId="77777777" w:rsidR="00A75B7F" w:rsidRDefault="00A75B7F" w:rsidP="00A75B7F">
      <w:pPr>
        <w:spacing w:after="0" w:line="240" w:lineRule="auto"/>
        <w:jc w:val="both"/>
        <w:rPr>
          <w:rFonts w:ascii="Verdana" w:eastAsia="Geomanist Light" w:hAnsi="Verdana" w:cs="Arial"/>
          <w:color w:val="000000" w:themeColor="text1"/>
          <w:lang w:val="es-MX"/>
        </w:rPr>
      </w:pPr>
    </w:p>
    <w:p w14:paraId="750C21F6" w14:textId="77777777" w:rsidR="00A75B7F" w:rsidRDefault="00A75B7F" w:rsidP="00A75B7F">
      <w:pPr>
        <w:spacing w:after="0" w:line="240" w:lineRule="auto"/>
        <w:jc w:val="both"/>
        <w:rPr>
          <w:rFonts w:ascii="Verdana" w:eastAsia="Geomanist Light" w:hAnsi="Verdana" w:cs="Arial"/>
          <w:color w:val="000000" w:themeColor="text1"/>
          <w:lang w:val="es-MX"/>
        </w:rPr>
      </w:pPr>
    </w:p>
    <w:p w14:paraId="6D7FCDC1" w14:textId="77777777" w:rsidR="00A75B7F" w:rsidRDefault="00A75B7F" w:rsidP="00A75B7F">
      <w:pPr>
        <w:spacing w:after="0" w:line="240" w:lineRule="auto"/>
        <w:jc w:val="both"/>
        <w:rPr>
          <w:rFonts w:ascii="Verdana" w:eastAsia="Geomanist Light" w:hAnsi="Verdana" w:cs="Arial"/>
          <w:color w:val="000000" w:themeColor="text1"/>
          <w:lang w:val="es-MX"/>
        </w:rPr>
      </w:pPr>
    </w:p>
    <w:p w14:paraId="5B055AD3" w14:textId="77777777" w:rsidR="00A75B7F" w:rsidRDefault="00A75B7F" w:rsidP="00A75B7F">
      <w:pPr>
        <w:spacing w:after="0" w:line="240" w:lineRule="auto"/>
        <w:jc w:val="both"/>
        <w:rPr>
          <w:rFonts w:ascii="Verdana" w:eastAsia="Geomanist Light" w:hAnsi="Verdana" w:cs="Arial"/>
          <w:color w:val="000000" w:themeColor="text1"/>
          <w:lang w:val="es-MX"/>
        </w:rPr>
      </w:pPr>
    </w:p>
    <w:p w14:paraId="777A3846" w14:textId="77777777" w:rsidR="00A75B7F" w:rsidRDefault="00A75B7F" w:rsidP="00A75B7F">
      <w:pPr>
        <w:spacing w:after="0" w:line="240" w:lineRule="auto"/>
        <w:jc w:val="both"/>
        <w:rPr>
          <w:rFonts w:ascii="Verdana" w:eastAsia="Geomanist Light" w:hAnsi="Verdana" w:cs="Arial"/>
          <w:color w:val="000000" w:themeColor="text1"/>
          <w:lang w:val="es-MX"/>
        </w:rPr>
      </w:pPr>
    </w:p>
    <w:p w14:paraId="26CDDDA7" w14:textId="77777777" w:rsidR="00A75B7F" w:rsidRDefault="00A75B7F" w:rsidP="00A75B7F">
      <w:pPr>
        <w:spacing w:after="0" w:line="240" w:lineRule="auto"/>
        <w:jc w:val="both"/>
        <w:rPr>
          <w:rFonts w:ascii="Verdana" w:eastAsia="Geomanist Light" w:hAnsi="Verdana" w:cs="Arial"/>
          <w:color w:val="000000" w:themeColor="text1"/>
          <w:lang w:val="es-MX"/>
        </w:rPr>
      </w:pPr>
    </w:p>
    <w:p w14:paraId="42BD0BB0" w14:textId="77777777" w:rsidR="00A75B7F" w:rsidRDefault="00A75B7F" w:rsidP="00A75B7F">
      <w:pPr>
        <w:spacing w:after="0" w:line="240" w:lineRule="auto"/>
        <w:jc w:val="both"/>
        <w:rPr>
          <w:rFonts w:ascii="Verdana" w:eastAsia="Geomanist Light" w:hAnsi="Verdana" w:cs="Arial"/>
          <w:color w:val="000000" w:themeColor="text1"/>
          <w:lang w:val="es-MX"/>
        </w:rPr>
      </w:pPr>
    </w:p>
    <w:p w14:paraId="6976255E" w14:textId="77777777" w:rsidR="00A75B7F" w:rsidRDefault="00A75B7F" w:rsidP="00A75B7F">
      <w:pPr>
        <w:spacing w:after="0" w:line="240" w:lineRule="auto"/>
        <w:jc w:val="both"/>
        <w:rPr>
          <w:rFonts w:ascii="Verdana" w:eastAsia="Geomanist Light" w:hAnsi="Verdana" w:cs="Arial"/>
          <w:color w:val="000000" w:themeColor="text1"/>
          <w:lang w:val="es-MX"/>
        </w:rPr>
      </w:pPr>
    </w:p>
    <w:p w14:paraId="74847D75" w14:textId="77777777" w:rsidR="00A75B7F" w:rsidRDefault="00A75B7F" w:rsidP="00A75B7F">
      <w:pPr>
        <w:spacing w:after="0" w:line="240" w:lineRule="auto"/>
        <w:jc w:val="both"/>
        <w:rPr>
          <w:rFonts w:ascii="Verdana" w:eastAsia="Geomanist Light" w:hAnsi="Verdana" w:cs="Arial"/>
          <w:color w:val="000000" w:themeColor="text1"/>
          <w:lang w:val="es-MX"/>
        </w:rPr>
      </w:pPr>
    </w:p>
    <w:p w14:paraId="19CDEA71" w14:textId="77777777" w:rsidR="00A75B7F" w:rsidRDefault="00A75B7F" w:rsidP="00A75B7F">
      <w:pPr>
        <w:spacing w:after="0" w:line="240" w:lineRule="auto"/>
        <w:jc w:val="both"/>
        <w:rPr>
          <w:rFonts w:ascii="Verdana" w:eastAsia="Geomanist Light" w:hAnsi="Verdana" w:cs="Arial"/>
          <w:color w:val="000000" w:themeColor="text1"/>
          <w:lang w:val="es-MX"/>
        </w:rPr>
      </w:pPr>
    </w:p>
    <w:p w14:paraId="0BA7AAF9" w14:textId="77777777" w:rsidR="00A75B7F" w:rsidRDefault="00A75B7F" w:rsidP="00A75B7F">
      <w:pPr>
        <w:spacing w:after="0" w:line="240" w:lineRule="auto"/>
        <w:jc w:val="both"/>
        <w:rPr>
          <w:rFonts w:ascii="Verdana" w:eastAsia="Geomanist Light" w:hAnsi="Verdana" w:cs="Arial"/>
          <w:color w:val="000000" w:themeColor="text1"/>
          <w:lang w:val="es-MX"/>
        </w:rPr>
      </w:pPr>
    </w:p>
    <w:p w14:paraId="3A56D598" w14:textId="77777777" w:rsidR="00A75B7F" w:rsidRDefault="00A75B7F" w:rsidP="00A75B7F">
      <w:pPr>
        <w:spacing w:after="0" w:line="240" w:lineRule="auto"/>
        <w:jc w:val="both"/>
        <w:rPr>
          <w:rFonts w:ascii="Verdana" w:eastAsia="Geomanist Light" w:hAnsi="Verdana" w:cs="Arial"/>
          <w:color w:val="000000" w:themeColor="text1"/>
          <w:lang w:val="es-MX"/>
        </w:rPr>
      </w:pPr>
    </w:p>
    <w:p w14:paraId="304CF878" w14:textId="77777777" w:rsidR="00A75B7F" w:rsidRDefault="00A75B7F" w:rsidP="00A75B7F">
      <w:pPr>
        <w:spacing w:after="0" w:line="240" w:lineRule="auto"/>
        <w:jc w:val="both"/>
        <w:rPr>
          <w:rFonts w:ascii="Verdana" w:eastAsia="Geomanist Light" w:hAnsi="Verdana" w:cs="Arial"/>
          <w:color w:val="000000" w:themeColor="text1"/>
          <w:lang w:val="es-MX"/>
        </w:rPr>
      </w:pPr>
    </w:p>
    <w:p w14:paraId="13E4DBAE" w14:textId="77777777" w:rsidR="00A75B7F" w:rsidRDefault="00A75B7F" w:rsidP="00A75B7F">
      <w:pPr>
        <w:spacing w:after="0" w:line="240" w:lineRule="auto"/>
        <w:jc w:val="both"/>
        <w:rPr>
          <w:rFonts w:ascii="Verdana" w:eastAsia="Geomanist Light" w:hAnsi="Verdana" w:cs="Arial"/>
          <w:color w:val="000000" w:themeColor="text1"/>
          <w:lang w:val="es-MX"/>
        </w:rPr>
      </w:pPr>
    </w:p>
    <w:p w14:paraId="4DCC4BA5" w14:textId="77777777" w:rsidR="00A75B7F" w:rsidRDefault="00A75B7F" w:rsidP="00A75B7F">
      <w:pPr>
        <w:spacing w:after="0" w:line="240" w:lineRule="auto"/>
        <w:jc w:val="both"/>
        <w:rPr>
          <w:rFonts w:ascii="Verdana" w:eastAsia="Geomanist Light" w:hAnsi="Verdana" w:cs="Arial"/>
          <w:color w:val="000000" w:themeColor="text1"/>
          <w:lang w:val="es-MX"/>
        </w:rPr>
      </w:pPr>
    </w:p>
    <w:p w14:paraId="317EE3F1" w14:textId="77777777" w:rsidR="00A75B7F" w:rsidRDefault="00A75B7F" w:rsidP="00A75B7F">
      <w:pPr>
        <w:spacing w:after="0" w:line="240" w:lineRule="auto"/>
        <w:jc w:val="both"/>
        <w:rPr>
          <w:rFonts w:ascii="Verdana" w:eastAsia="Geomanist Light" w:hAnsi="Verdana" w:cs="Arial"/>
          <w:color w:val="000000" w:themeColor="text1"/>
          <w:lang w:val="es-MX"/>
        </w:rPr>
      </w:pPr>
    </w:p>
    <w:p w14:paraId="6BFB56B6" w14:textId="77777777" w:rsidR="00A75B7F" w:rsidRDefault="00A75B7F" w:rsidP="00A75B7F">
      <w:pPr>
        <w:spacing w:after="0" w:line="240" w:lineRule="auto"/>
        <w:jc w:val="both"/>
        <w:rPr>
          <w:rFonts w:ascii="Verdana" w:eastAsia="Geomanist Light" w:hAnsi="Verdana" w:cs="Arial"/>
          <w:color w:val="000000" w:themeColor="text1"/>
          <w:lang w:val="es-MX"/>
        </w:rPr>
      </w:pPr>
    </w:p>
    <w:p w14:paraId="243A6CDE" w14:textId="77777777" w:rsidR="00A75B7F" w:rsidRDefault="00A75B7F" w:rsidP="00A75B7F">
      <w:pPr>
        <w:spacing w:after="0" w:line="240" w:lineRule="auto"/>
        <w:jc w:val="both"/>
        <w:rPr>
          <w:rFonts w:ascii="Verdana" w:eastAsia="Geomanist Light" w:hAnsi="Verdana" w:cs="Arial"/>
          <w:color w:val="000000" w:themeColor="text1"/>
          <w:lang w:val="es-MX"/>
        </w:rPr>
      </w:pPr>
    </w:p>
    <w:p w14:paraId="7BF45E53" w14:textId="77777777" w:rsidR="00A75B7F" w:rsidRDefault="00A75B7F" w:rsidP="00AB1573">
      <w:pPr>
        <w:spacing w:after="0" w:line="240" w:lineRule="auto"/>
        <w:jc w:val="both"/>
        <w:rPr>
          <w:rFonts w:ascii="Verdana" w:eastAsia="Geomanist Light" w:hAnsi="Verdana" w:cs="Arial"/>
          <w:color w:val="000000" w:themeColor="text1"/>
          <w:lang w:val="es-MX"/>
        </w:rPr>
      </w:pPr>
    </w:p>
    <w:p w14:paraId="32011D9F" w14:textId="77777777" w:rsidR="00EE6981" w:rsidRDefault="00EE6981" w:rsidP="00AB1573">
      <w:pPr>
        <w:spacing w:after="0" w:line="240" w:lineRule="auto"/>
        <w:jc w:val="both"/>
        <w:rPr>
          <w:rFonts w:ascii="Verdana" w:eastAsia="Geomanist Light" w:hAnsi="Verdana" w:cs="Arial"/>
          <w:color w:val="000000" w:themeColor="text1"/>
          <w:lang w:val="es-MX"/>
        </w:rPr>
      </w:pPr>
    </w:p>
    <w:p w14:paraId="1FC136E4" w14:textId="77777777" w:rsidR="00EE6981" w:rsidRDefault="00EE6981" w:rsidP="00AB1573">
      <w:pPr>
        <w:spacing w:after="0" w:line="240" w:lineRule="auto"/>
        <w:jc w:val="both"/>
        <w:rPr>
          <w:rFonts w:ascii="Verdana" w:eastAsia="Geomanist Light" w:hAnsi="Verdana" w:cs="Arial"/>
          <w:color w:val="000000" w:themeColor="text1"/>
          <w:lang w:val="es-MX"/>
        </w:rPr>
      </w:pPr>
    </w:p>
    <w:p w14:paraId="0F0FCE8A" w14:textId="6FDA2B6F" w:rsidR="00AB1573" w:rsidRPr="009C7241" w:rsidRDefault="00AB1573" w:rsidP="00AB1573">
      <w:pPr>
        <w:spacing w:after="0" w:line="240" w:lineRule="auto"/>
        <w:jc w:val="both"/>
        <w:rPr>
          <w:rFonts w:ascii="Verdana" w:eastAsia="Calibri" w:hAnsi="Verdana" w:cs="Arial"/>
          <w:sz w:val="20"/>
          <w:szCs w:val="20"/>
          <w:lang w:val="es-ES_tradnl" w:eastAsia="es-ES"/>
        </w:rPr>
      </w:pPr>
      <w:r w:rsidRPr="00593A5F">
        <w:rPr>
          <w:rFonts w:ascii="Verdana" w:eastAsia="Geomanist Light" w:hAnsi="Verdana" w:cs="Arial"/>
          <w:color w:val="000000" w:themeColor="text1"/>
          <w:lang w:val="es-MX"/>
        </w:rPr>
        <w:lastRenderedPageBreak/>
        <w:t>Bogotá D.C., </w:t>
      </w:r>
      <w:r w:rsidR="00F4371B" w:rsidRPr="0075132B">
        <w:rPr>
          <w:rFonts w:ascii="Verdana" w:eastAsia="Geomanist Light" w:hAnsi="Verdana" w:cs="Arial"/>
          <w:color w:val="000000" w:themeColor="text1"/>
          <w:lang w:val="es-MX"/>
        </w:rPr>
        <w:t xml:space="preserve">04 de </w:t>
      </w:r>
      <w:proofErr w:type="gramStart"/>
      <w:r w:rsidR="00F4371B">
        <w:rPr>
          <w:rFonts w:ascii="Verdana" w:eastAsia="Geomanist Light" w:hAnsi="Verdana" w:cs="Arial"/>
          <w:color w:val="000000" w:themeColor="text1"/>
          <w:lang w:val="es-MX"/>
        </w:rPr>
        <w:t>Marzo</w:t>
      </w:r>
      <w:proofErr w:type="gramEnd"/>
      <w:r w:rsidR="00F4371B" w:rsidRPr="0075132B">
        <w:rPr>
          <w:rFonts w:ascii="Verdana" w:eastAsia="Geomanist Light" w:hAnsi="Verdana" w:cs="Arial"/>
          <w:color w:val="000000" w:themeColor="text1"/>
          <w:lang w:val="es-MX"/>
        </w:rPr>
        <w:t xml:space="preserve"> de 2026</w:t>
      </w:r>
    </w:p>
    <w:p w14:paraId="6C734F49" w14:textId="4CBF9261" w:rsidR="00AB1573" w:rsidRDefault="00EE6981" w:rsidP="00AB1573">
      <w:pPr>
        <w:spacing w:after="0" w:line="240" w:lineRule="auto"/>
        <w:jc w:val="both"/>
        <w:rPr>
          <w:rFonts w:ascii="Verdana" w:eastAsia="Calibri" w:hAnsi="Verdana" w:cs="Arial"/>
          <w:color w:val="000000"/>
          <w:lang w:val="es-ES"/>
        </w:rPr>
      </w:pPr>
      <w:r w:rsidRPr="00FE1A22">
        <w:rPr>
          <w:rFonts w:ascii="Verdana" w:eastAsia="Calibri" w:hAnsi="Verdana" w:cs="Arial"/>
          <w:noProof/>
          <w:color w:val="000000"/>
          <w:lang w:val="es-ES"/>
        </w:rPr>
        <w:drawing>
          <wp:anchor distT="0" distB="0" distL="114300" distR="114300" simplePos="0" relativeHeight="251658240" behindDoc="0" locked="0" layoutInCell="1" allowOverlap="1" wp14:anchorId="19D9DBE4" wp14:editId="456E006C">
            <wp:simplePos x="0" y="0"/>
            <wp:positionH relativeFrom="margin">
              <wp:align>right</wp:align>
            </wp:positionH>
            <wp:positionV relativeFrom="paragraph">
              <wp:posOffset>173355</wp:posOffset>
            </wp:positionV>
            <wp:extent cx="2829560" cy="802640"/>
            <wp:effectExtent l="0" t="0" r="8890" b="0"/>
            <wp:wrapSquare wrapText="bothSides"/>
            <wp:docPr id="11660042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004265" name=""/>
                    <pic:cNvPicPr/>
                  </pic:nvPicPr>
                  <pic:blipFill>
                    <a:blip r:embed="rId10">
                      <a:extLst>
                        <a:ext uri="{28A0092B-C50C-407E-A947-70E740481C1C}">
                          <a14:useLocalDpi xmlns:a14="http://schemas.microsoft.com/office/drawing/2010/main" val="0"/>
                        </a:ext>
                      </a:extLst>
                    </a:blip>
                    <a:stretch>
                      <a:fillRect/>
                    </a:stretch>
                  </pic:blipFill>
                  <pic:spPr>
                    <a:xfrm>
                      <a:off x="0" y="0"/>
                      <a:ext cx="2829560" cy="802640"/>
                    </a:xfrm>
                    <a:prstGeom prst="rect">
                      <a:avLst/>
                    </a:prstGeom>
                  </pic:spPr>
                </pic:pic>
              </a:graphicData>
            </a:graphic>
            <wp14:sizeRelH relativeFrom="margin">
              <wp14:pctWidth>0</wp14:pctWidth>
            </wp14:sizeRelH>
            <wp14:sizeRelV relativeFrom="margin">
              <wp14:pctHeight>0</wp14:pctHeight>
            </wp14:sizeRelV>
          </wp:anchor>
        </w:drawing>
      </w:r>
    </w:p>
    <w:p w14:paraId="5FE13710" w14:textId="15A742EF" w:rsidR="00FE1A22" w:rsidRDefault="00FE1A22" w:rsidP="00FE1A22">
      <w:pPr>
        <w:spacing w:after="0" w:line="240" w:lineRule="auto"/>
        <w:jc w:val="right"/>
        <w:rPr>
          <w:rFonts w:ascii="Verdana" w:eastAsia="Calibri" w:hAnsi="Verdana" w:cs="Arial"/>
          <w:color w:val="000000"/>
          <w:lang w:val="es-ES"/>
        </w:rPr>
      </w:pPr>
    </w:p>
    <w:p w14:paraId="1EB5847B" w14:textId="77777777" w:rsidR="00AB1573" w:rsidRPr="00593A5F" w:rsidRDefault="00AB1573" w:rsidP="00AB1573">
      <w:pPr>
        <w:spacing w:after="0" w:line="240" w:lineRule="auto"/>
        <w:jc w:val="both"/>
        <w:rPr>
          <w:rFonts w:ascii="Verdana" w:eastAsia="Calibri" w:hAnsi="Verdana" w:cs="Arial"/>
          <w:color w:val="000000"/>
          <w:lang w:val="es-ES"/>
        </w:rPr>
      </w:pPr>
    </w:p>
    <w:p w14:paraId="34A817CF" w14:textId="77777777" w:rsidR="00AB1573" w:rsidRPr="00B96799" w:rsidRDefault="00AB1573" w:rsidP="00AB1573">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2FA631B9" w14:textId="77777777" w:rsidR="00AB1573" w:rsidRPr="0085423D" w:rsidRDefault="00AB1573" w:rsidP="00AB1573">
      <w:pPr>
        <w:spacing w:after="0" w:line="240" w:lineRule="auto"/>
        <w:rPr>
          <w:rFonts w:ascii="Verdana" w:eastAsia="Calibri" w:hAnsi="Verdana" w:cs="Arial"/>
          <w:b/>
          <w:lang w:val="es-ES_tradnl" w:eastAsia="es-ES_tradnl"/>
        </w:rPr>
      </w:pPr>
      <w:bookmarkStart w:id="0" w:name="OLE_LINK1"/>
      <w:r w:rsidRPr="00A91E8C">
        <w:rPr>
          <w:rFonts w:ascii="Verdana" w:eastAsia="Calibri" w:hAnsi="Verdana" w:cs="Arial"/>
          <w:b/>
          <w:lang w:val="es-ES_tradnl" w:eastAsia="es-ES_tradnl"/>
        </w:rPr>
        <w:t>Linda Vanessa Plata Soto</w:t>
      </w:r>
      <w:r w:rsidRPr="00A804BA">
        <w:rPr>
          <w:rFonts w:ascii="Verdana" w:eastAsia="Calibri" w:hAnsi="Verdana" w:cs="Arial"/>
          <w:b/>
          <w:lang w:val="es-ES_tradnl" w:eastAsia="es-ES_tradnl"/>
        </w:rPr>
        <w:t xml:space="preserve"> </w:t>
      </w:r>
      <w:r>
        <w:rPr>
          <w:rFonts w:ascii="Verdana" w:eastAsia="Calibri" w:hAnsi="Verdana" w:cs="Arial"/>
          <w:b/>
          <w:lang w:val="es-ES_tradnl" w:eastAsia="es-ES_tradnl"/>
        </w:rPr>
        <w:t xml:space="preserve"> </w:t>
      </w:r>
    </w:p>
    <w:bookmarkEnd w:id="0"/>
    <w:p w14:paraId="15CE51AA" w14:textId="77777777" w:rsidR="00AB1573" w:rsidRDefault="00AB1573" w:rsidP="00AB1573">
      <w:pPr>
        <w:spacing w:after="0" w:line="240" w:lineRule="auto"/>
        <w:rPr>
          <w:rFonts w:ascii="Verdana" w:hAnsi="Verdana"/>
        </w:rPr>
      </w:pPr>
      <w:r>
        <w:rPr>
          <w:rFonts w:ascii="Verdana" w:hAnsi="Verdana"/>
        </w:rPr>
        <w:fldChar w:fldCharType="begin"/>
      </w:r>
      <w:r>
        <w:rPr>
          <w:rFonts w:ascii="Verdana" w:hAnsi="Verdana"/>
        </w:rPr>
        <w:instrText>HYPERLINK "mailto:</w:instrText>
      </w:r>
      <w:r w:rsidRPr="00A91E8C">
        <w:rPr>
          <w:rFonts w:ascii="Verdana" w:hAnsi="Verdana"/>
        </w:rPr>
        <w:instrText>abogados.plata@outlook.com</w:instrText>
      </w:r>
      <w:r>
        <w:rPr>
          <w:rFonts w:ascii="Verdana" w:hAnsi="Verdana"/>
        </w:rPr>
        <w:instrText>"</w:instrText>
      </w:r>
      <w:r>
        <w:rPr>
          <w:rFonts w:ascii="Verdana" w:hAnsi="Verdana"/>
        </w:rPr>
      </w:r>
      <w:r>
        <w:rPr>
          <w:rFonts w:ascii="Verdana" w:hAnsi="Verdana"/>
        </w:rPr>
        <w:fldChar w:fldCharType="separate"/>
      </w:r>
      <w:r w:rsidRPr="001F38A2">
        <w:rPr>
          <w:rStyle w:val="Hipervnculo"/>
          <w:rFonts w:ascii="Verdana" w:hAnsi="Verdana"/>
        </w:rPr>
        <w:t>abogados.plata@outlook.com</w:t>
      </w:r>
      <w:r>
        <w:rPr>
          <w:rFonts w:ascii="Verdana" w:hAnsi="Verdana"/>
        </w:rPr>
        <w:fldChar w:fldCharType="end"/>
      </w:r>
      <w:r>
        <w:rPr>
          <w:rFonts w:ascii="Verdana" w:hAnsi="Verdana"/>
        </w:rPr>
        <w:t xml:space="preserve">   </w:t>
      </w:r>
    </w:p>
    <w:p w14:paraId="271F96DD" w14:textId="77777777" w:rsidR="00AB1573" w:rsidRDefault="00AB1573" w:rsidP="00AB1573">
      <w:pPr>
        <w:spacing w:after="0" w:line="240" w:lineRule="auto"/>
        <w:rPr>
          <w:rFonts w:ascii="Verdana" w:eastAsia="Calibri" w:hAnsi="Verdana" w:cs="Arial"/>
          <w:lang w:val="es-ES" w:eastAsia="es-ES"/>
        </w:rPr>
      </w:pPr>
      <w:r w:rsidRPr="004A3093">
        <w:rPr>
          <w:rFonts w:ascii="Verdana" w:eastAsia="Calibri" w:hAnsi="Verdana" w:cs="Arial"/>
          <w:lang w:val="es-ES" w:eastAsia="es-ES"/>
        </w:rPr>
        <w:t>Bogotá D.C.</w:t>
      </w:r>
      <w:r>
        <w:rPr>
          <w:rFonts w:ascii="Verdana" w:eastAsia="Calibri" w:hAnsi="Verdana" w:cs="Arial"/>
          <w:lang w:val="es-ES" w:eastAsia="es-ES"/>
        </w:rPr>
        <w:t xml:space="preserve"> </w:t>
      </w:r>
    </w:p>
    <w:p w14:paraId="01EB674B" w14:textId="77777777" w:rsidR="00AB1573" w:rsidRPr="00593A5F" w:rsidRDefault="00AB1573" w:rsidP="00AB1573">
      <w:pPr>
        <w:spacing w:after="0" w:line="240" w:lineRule="auto"/>
        <w:rPr>
          <w:rFonts w:ascii="Verdana" w:eastAsia="Calibri" w:hAnsi="Verdana" w:cs="Arial"/>
          <w:b/>
          <w:bCs/>
          <w:color w:val="000000"/>
          <w:lang w:val="es-ES_tradnl" w:eastAsia="es-ES_tradnl"/>
        </w:rPr>
      </w:pPr>
    </w:p>
    <w:p w14:paraId="3EE654E7" w14:textId="77777777" w:rsidR="00AB1573" w:rsidRPr="00593A5F" w:rsidRDefault="00AB1573" w:rsidP="00AB157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B1573" w:rsidRPr="00593A5F" w14:paraId="25228410" w14:textId="77777777" w:rsidTr="00E61993">
        <w:trPr>
          <w:trHeight w:val="884"/>
        </w:trPr>
        <w:tc>
          <w:tcPr>
            <w:tcW w:w="2689" w:type="dxa"/>
          </w:tcPr>
          <w:p w14:paraId="255405A7" w14:textId="77777777" w:rsidR="00AB1573" w:rsidRPr="00C00976" w:rsidRDefault="00AB1573" w:rsidP="00E61993">
            <w:pPr>
              <w:jc w:val="both"/>
              <w:rPr>
                <w:rFonts w:ascii="Verdana" w:eastAsia="Calibri" w:hAnsi="Verdana" w:cs="Arial"/>
                <w:b/>
                <w:bCs/>
                <w:color w:val="7030A0"/>
                <w:lang w:val="es-ES_tradnl" w:eastAsia="es-ES_tradnl"/>
              </w:rPr>
            </w:pPr>
          </w:p>
        </w:tc>
        <w:tc>
          <w:tcPr>
            <w:tcW w:w="6100" w:type="dxa"/>
          </w:tcPr>
          <w:p w14:paraId="23699915" w14:textId="62FC726D" w:rsidR="00AB1573" w:rsidRPr="00C00976" w:rsidRDefault="00AB1573" w:rsidP="00E61993">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847BED">
              <w:rPr>
                <w:rFonts w:ascii="Verdana" w:eastAsia="Calibri" w:hAnsi="Verdana" w:cs="Arial"/>
                <w:b/>
                <w:bCs/>
                <w:lang w:val="es-ES" w:eastAsia="es-ES"/>
              </w:rPr>
              <w:t>322</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AB1573" w:rsidRPr="00593A5F" w14:paraId="3AB38EDB" w14:textId="77777777" w:rsidTr="00E61993">
        <w:trPr>
          <w:trHeight w:val="884"/>
        </w:trPr>
        <w:tc>
          <w:tcPr>
            <w:tcW w:w="2689" w:type="dxa"/>
          </w:tcPr>
          <w:p w14:paraId="38310D97" w14:textId="77777777" w:rsidR="00AB1573" w:rsidRPr="00593A5F" w:rsidRDefault="00AB1573" w:rsidP="00E6199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CE32109" w14:textId="77777777" w:rsidR="00AB1573" w:rsidRPr="00A11406" w:rsidRDefault="00AB1573" w:rsidP="00E61993">
            <w:pPr>
              <w:spacing w:line="276" w:lineRule="auto"/>
              <w:jc w:val="both"/>
              <w:rPr>
                <w:rFonts w:ascii="Verdana" w:eastAsia="Calibri" w:hAnsi="Verdana" w:cs="Arial"/>
                <w:lang w:val="es-ES" w:eastAsia="es-ES"/>
              </w:rPr>
            </w:pPr>
            <w:r w:rsidRPr="00177E85">
              <w:rPr>
                <w:rFonts w:ascii="Verdana" w:eastAsia="Calibri" w:hAnsi="Verdana" w:cs="Arial"/>
                <w:lang w:val="es-ES" w:eastAsia="es-ES"/>
              </w:rPr>
              <w:t>LEY DE GARANTÍAS ELECTORALES ‒ Finalidad / LEY DE GARANTÍAS ELECTORALES ‒ Tipos de restricciones ‒ Ámbito temporal – celebración- límite / LEY DE GARANTÍAS ELECTORALES – Prohibición artículo 33 – Contratación directa – Alcance / LEY DE GARANTÍAS ELECTORALES – Excepciones / LEY DE GARANTÍAS ELECTORALES – Prohibición del artículo 33 – Destinatarios / LEY DE GARANTÍAS ELECTORALES – Condiciones de igualdad – Contratación directa</w:t>
            </w:r>
            <w:r>
              <w:rPr>
                <w:rFonts w:ascii="Verdana" w:eastAsia="Calibri" w:hAnsi="Verdana" w:cs="Arial"/>
                <w:lang w:val="es-ES" w:eastAsia="es-ES"/>
              </w:rPr>
              <w:t xml:space="preserve"> / </w:t>
            </w:r>
            <w:r w:rsidRPr="00AF6312">
              <w:rPr>
                <w:rFonts w:ascii="Verdana" w:eastAsia="Calibri" w:hAnsi="Verdana" w:cs="Arial"/>
                <w:lang w:val="es-ES" w:eastAsia="es-ES"/>
              </w:rPr>
              <w:t>CONTRATACIÓN DIRECTA – Ley 1150 de 2007 – Artículo 2.4 – Literal d) – Alcance</w:t>
            </w:r>
            <w:r>
              <w:rPr>
                <w:rFonts w:ascii="Verdana" w:eastAsia="Calibri" w:hAnsi="Verdana" w:cs="Arial"/>
                <w:lang w:val="es-ES" w:eastAsia="es-ES"/>
              </w:rPr>
              <w:t xml:space="preserve"> / </w:t>
            </w:r>
            <w:r w:rsidRPr="00AF6312">
              <w:rPr>
                <w:rFonts w:ascii="Verdana" w:eastAsia="Calibri" w:hAnsi="Verdana" w:cs="Arial"/>
                <w:lang w:val="es-ES" w:eastAsia="es-ES"/>
              </w:rPr>
              <w:t>SECTOR DEFENSA – Estructura – Entidades adscritas – Entidades vinculadas</w:t>
            </w:r>
            <w:r>
              <w:rPr>
                <w:rFonts w:ascii="Verdana" w:eastAsia="Calibri" w:hAnsi="Verdana" w:cs="Arial"/>
                <w:lang w:val="es-ES" w:eastAsia="es-ES"/>
              </w:rPr>
              <w:t xml:space="preserve"> / </w:t>
            </w:r>
            <w:r w:rsidRPr="00AF6312">
              <w:rPr>
                <w:rFonts w:ascii="Verdana" w:eastAsia="Calibri" w:hAnsi="Verdana" w:cs="Arial"/>
                <w:lang w:val="es-ES" w:eastAsia="es-ES"/>
              </w:rPr>
              <w:t>SEGURIDAD Y DEFENSA NACIONAL – Concepto jurídico indeterminado</w:t>
            </w:r>
            <w:r>
              <w:rPr>
                <w:rFonts w:ascii="Verdana" w:eastAsia="Calibri" w:hAnsi="Verdana" w:cs="Arial"/>
                <w:lang w:val="es-ES" w:eastAsia="es-ES"/>
              </w:rPr>
              <w:t xml:space="preserve"> </w:t>
            </w:r>
          </w:p>
          <w:p w14:paraId="4077458A" w14:textId="77777777" w:rsidR="00AB1573" w:rsidRPr="00593A5F" w:rsidRDefault="00AB1573" w:rsidP="00E61993">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AB1573" w:rsidRPr="008E6AD9" w14:paraId="4F2E7517" w14:textId="77777777" w:rsidTr="00E61993">
        <w:tc>
          <w:tcPr>
            <w:tcW w:w="2689" w:type="dxa"/>
          </w:tcPr>
          <w:p w14:paraId="157C4B97" w14:textId="77777777" w:rsidR="00AB1573" w:rsidRPr="008E6AD9" w:rsidRDefault="00AB1573" w:rsidP="00E6199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5C6CA623" w14:textId="77777777" w:rsidR="00AB1573" w:rsidRPr="00B92340" w:rsidRDefault="00AB1573" w:rsidP="00E61993">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2B2C25">
              <w:rPr>
                <w:rFonts w:ascii="Verdana" w:eastAsia="Calibri" w:hAnsi="Verdana" w:cs="Arial"/>
                <w:lang w:val="es-ES_tradnl" w:eastAsia="es-ES_tradnl"/>
              </w:rPr>
              <w:t>1_2026_02_27_002786</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444ECE2B" w14:textId="77777777" w:rsidR="00AB1573" w:rsidRPr="00593A5F" w:rsidRDefault="00AB1573" w:rsidP="00AB1573">
      <w:pPr>
        <w:spacing w:after="0" w:line="240" w:lineRule="auto"/>
        <w:jc w:val="both"/>
        <w:rPr>
          <w:rFonts w:ascii="Verdana" w:eastAsia="Calibri" w:hAnsi="Verdana" w:cs="Arial"/>
          <w:color w:val="000000"/>
          <w:lang w:val="es-ES_tradnl" w:eastAsia="es-ES_tradnl"/>
        </w:rPr>
      </w:pPr>
    </w:p>
    <w:p w14:paraId="1E482728" w14:textId="77777777" w:rsidR="00AB1573" w:rsidRPr="00593A5F" w:rsidRDefault="00AB1573" w:rsidP="00AB1573">
      <w:pPr>
        <w:spacing w:after="0" w:line="240" w:lineRule="auto"/>
        <w:jc w:val="both"/>
        <w:rPr>
          <w:rFonts w:ascii="Verdana" w:eastAsia="Calibri" w:hAnsi="Verdana" w:cs="Arial"/>
          <w:color w:val="000000"/>
          <w:lang w:val="es-ES_tradnl" w:eastAsia="es-ES_tradnl"/>
        </w:rPr>
      </w:pPr>
    </w:p>
    <w:p w14:paraId="5112F3B6" w14:textId="77777777" w:rsidR="00AB1573" w:rsidRPr="008E6AD9" w:rsidRDefault="00AB1573" w:rsidP="00AB1573">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140D53">
        <w:rPr>
          <w:rFonts w:ascii="Verdana" w:eastAsia="Calibri" w:hAnsi="Verdana" w:cs="Arial"/>
          <w:lang w:val="es-ES" w:eastAsia="es-ES"/>
        </w:rPr>
        <w:t>Plata Soto</w:t>
      </w:r>
      <w:r w:rsidRPr="008E6AD9">
        <w:rPr>
          <w:rFonts w:ascii="Verdana" w:eastAsia="Calibri" w:hAnsi="Verdana" w:cs="Arial"/>
          <w:lang w:val="es-ES" w:eastAsia="es-ES"/>
        </w:rPr>
        <w:t xml:space="preserve">: </w:t>
      </w:r>
    </w:p>
    <w:p w14:paraId="5F1C6036" w14:textId="77777777" w:rsidR="00AB1573" w:rsidRDefault="00AB1573" w:rsidP="00AB157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EA3E250" w14:textId="77777777" w:rsidR="00AB1573" w:rsidRPr="00593A5F" w:rsidRDefault="00AB1573" w:rsidP="00AB1573">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FF469C">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 xml:space="preserve">la Agencia Nacional </w:t>
      </w:r>
      <w:r w:rsidRPr="00593A5F">
        <w:rPr>
          <w:rFonts w:ascii="Verdana" w:eastAsia="Calibri" w:hAnsi="Verdana" w:cs="Arial"/>
          <w:color w:val="000000" w:themeColor="text1"/>
          <w:lang w:val="es-ES" w:eastAsia="es-ES"/>
        </w:rPr>
        <w:lastRenderedPageBreak/>
        <w:t>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27 de febrero de 2026, en la cual solicita:</w:t>
      </w:r>
      <w:r w:rsidRPr="008E6AD9">
        <w:rPr>
          <w:rFonts w:ascii="Verdana" w:eastAsia="Calibri" w:hAnsi="Verdana" w:cs="Arial"/>
          <w:lang w:val="es-ES" w:eastAsia="es-ES"/>
        </w:rPr>
        <w:t xml:space="preserve"> </w:t>
      </w:r>
    </w:p>
    <w:p w14:paraId="502E0A14" w14:textId="77777777" w:rsidR="00AB1573" w:rsidRPr="00272A7B" w:rsidRDefault="00AB1573" w:rsidP="00AB1573">
      <w:pPr>
        <w:pStyle w:val="Prrafodelista"/>
        <w:tabs>
          <w:tab w:val="left" w:pos="142"/>
          <w:tab w:val="left" w:pos="284"/>
        </w:tabs>
        <w:spacing w:after="0" w:line="276" w:lineRule="auto"/>
        <w:ind w:left="0"/>
        <w:jc w:val="both"/>
        <w:rPr>
          <w:rFonts w:ascii="Verdana" w:eastAsia="Century Gothic" w:hAnsi="Verdana" w:cs="Century Gothic"/>
          <w:b/>
          <w:bCs/>
        </w:rPr>
      </w:pPr>
    </w:p>
    <w:p w14:paraId="11457424" w14:textId="77777777" w:rsidR="00AB1573" w:rsidRPr="004D6C38" w:rsidRDefault="00AB1573" w:rsidP="00AB1573">
      <w:pPr>
        <w:spacing w:after="12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 xml:space="preserve">“[…] </w:t>
      </w:r>
      <w:r w:rsidRPr="004D6C38">
        <w:rPr>
          <w:rFonts w:ascii="Verdana" w:eastAsia="Century Gothic" w:hAnsi="Verdana" w:cs="Century Gothic"/>
          <w:sz w:val="20"/>
          <w:szCs w:val="20"/>
          <w:lang w:val="es-ES"/>
        </w:rPr>
        <w:t xml:space="preserve">un pronunciamiento detallado sobre la excepción consagrada en el artículo 33 de la Ley 996 de 2005, alusiva a </w:t>
      </w:r>
      <w:r>
        <w:rPr>
          <w:rFonts w:ascii="Verdana" w:eastAsia="Century Gothic" w:hAnsi="Verdana" w:cs="Century Gothic"/>
          <w:sz w:val="20"/>
          <w:szCs w:val="20"/>
          <w:lang w:val="es-ES"/>
        </w:rPr>
        <w:t>‘</w:t>
      </w:r>
      <w:r w:rsidRPr="004D6C38">
        <w:rPr>
          <w:rFonts w:ascii="Verdana" w:eastAsia="Century Gothic" w:hAnsi="Verdana" w:cs="Century Gothic"/>
          <w:b/>
          <w:bCs/>
          <w:sz w:val="20"/>
          <w:szCs w:val="20"/>
          <w:lang w:val="es-ES"/>
        </w:rPr>
        <w:t>lo referente a la defensa y seguridad del Estado</w:t>
      </w:r>
      <w:r>
        <w:rPr>
          <w:rFonts w:ascii="Verdana" w:eastAsia="Century Gothic" w:hAnsi="Verdana" w:cs="Century Gothic"/>
          <w:sz w:val="20"/>
          <w:szCs w:val="20"/>
          <w:lang w:val="es-ES"/>
        </w:rPr>
        <w:t>’</w:t>
      </w:r>
      <w:r w:rsidRPr="004D6C38">
        <w:rPr>
          <w:rFonts w:ascii="Verdana" w:eastAsia="Century Gothic" w:hAnsi="Verdana" w:cs="Century Gothic"/>
          <w:sz w:val="20"/>
          <w:szCs w:val="20"/>
          <w:lang w:val="es-ES"/>
        </w:rPr>
        <w:t>, en el contexto de la prohibición general de contratación directa durante los cuatro (4) meses anteriores a la elección presidencial de</w:t>
      </w:r>
      <w:r>
        <w:rPr>
          <w:rFonts w:ascii="Verdana" w:eastAsia="Century Gothic" w:hAnsi="Verdana" w:cs="Century Gothic"/>
          <w:sz w:val="20"/>
          <w:szCs w:val="20"/>
          <w:lang w:val="es-ES"/>
        </w:rPr>
        <w:t xml:space="preserve"> </w:t>
      </w:r>
      <w:r w:rsidRPr="004D6C38">
        <w:rPr>
          <w:rFonts w:ascii="Verdana" w:eastAsia="Century Gothic" w:hAnsi="Verdana" w:cs="Century Gothic"/>
          <w:sz w:val="20"/>
          <w:szCs w:val="20"/>
          <w:lang w:val="es-ES"/>
        </w:rPr>
        <w:t>2026 y hasta la realización de la segunda vuelta, si fuere el caso. Solicito que el concepto incluya, al menos, los siguientes aspectos:</w:t>
      </w:r>
    </w:p>
    <w:p w14:paraId="30853882" w14:textId="77777777" w:rsidR="00AB1573" w:rsidRPr="004D6C38" w:rsidRDefault="00AB1573" w:rsidP="00AB1573">
      <w:pPr>
        <w:spacing w:after="120" w:line="240" w:lineRule="auto"/>
        <w:ind w:left="709" w:right="709"/>
        <w:jc w:val="both"/>
        <w:rPr>
          <w:rFonts w:ascii="Verdana" w:eastAsia="Century Gothic" w:hAnsi="Verdana" w:cs="Century Gothic"/>
          <w:sz w:val="20"/>
          <w:szCs w:val="20"/>
          <w:lang w:val="es-ES"/>
        </w:rPr>
      </w:pPr>
      <w:r w:rsidRPr="004D6C38">
        <w:rPr>
          <w:rFonts w:ascii="Verdana" w:eastAsia="Century Gothic" w:hAnsi="Verdana" w:cs="Century Gothic"/>
          <w:sz w:val="20"/>
          <w:szCs w:val="20"/>
          <w:lang w:val="es-ES"/>
        </w:rPr>
        <w:t xml:space="preserve">- Definición y alcance de la excepción para </w:t>
      </w:r>
      <w:r>
        <w:rPr>
          <w:rFonts w:ascii="Verdana" w:eastAsia="Century Gothic" w:hAnsi="Verdana" w:cs="Century Gothic"/>
          <w:sz w:val="20"/>
          <w:szCs w:val="20"/>
          <w:lang w:val="es-ES"/>
        </w:rPr>
        <w:t>‘</w:t>
      </w:r>
      <w:r w:rsidRPr="004D6C38">
        <w:rPr>
          <w:rFonts w:ascii="Verdana" w:eastAsia="Century Gothic" w:hAnsi="Verdana" w:cs="Century Gothic"/>
          <w:b/>
          <w:bCs/>
          <w:sz w:val="20"/>
          <w:szCs w:val="20"/>
          <w:lang w:val="es-ES"/>
        </w:rPr>
        <w:t>Defensa y seguridad del estado</w:t>
      </w:r>
      <w:r>
        <w:rPr>
          <w:rFonts w:ascii="Verdana" w:eastAsia="Century Gothic" w:hAnsi="Verdana" w:cs="Century Gothic"/>
          <w:sz w:val="20"/>
          <w:szCs w:val="20"/>
          <w:lang w:val="es-ES"/>
        </w:rPr>
        <w:t>’</w:t>
      </w:r>
      <w:r w:rsidRPr="004D6C38">
        <w:rPr>
          <w:rFonts w:ascii="Verdana" w:eastAsia="Century Gothic" w:hAnsi="Verdana" w:cs="Century Gothic"/>
          <w:sz w:val="20"/>
          <w:szCs w:val="20"/>
          <w:lang w:val="es-ES"/>
        </w:rPr>
        <w:t>.</w:t>
      </w:r>
    </w:p>
    <w:p w14:paraId="01D5AC3F" w14:textId="77777777" w:rsidR="00AB1573" w:rsidRPr="004D6C38" w:rsidRDefault="00AB1573" w:rsidP="00AB1573">
      <w:pPr>
        <w:spacing w:after="120" w:line="240" w:lineRule="auto"/>
        <w:ind w:left="709" w:right="709"/>
        <w:jc w:val="both"/>
        <w:rPr>
          <w:rFonts w:ascii="Verdana" w:eastAsia="Century Gothic" w:hAnsi="Verdana" w:cs="Century Gothic"/>
          <w:sz w:val="20"/>
          <w:szCs w:val="20"/>
          <w:lang w:val="es-ES"/>
        </w:rPr>
      </w:pPr>
      <w:r w:rsidRPr="004D6C38">
        <w:rPr>
          <w:rFonts w:ascii="Verdana" w:eastAsia="Century Gothic" w:hAnsi="Verdana" w:cs="Century Gothic"/>
          <w:sz w:val="20"/>
          <w:szCs w:val="20"/>
          <w:lang w:val="es-ES"/>
        </w:rPr>
        <w:t>- Criterios para determinar qué objetos califican bajo esta excepción, incluyendo ejemplos prácticos o precedentes jurisprudenciales.</w:t>
      </w:r>
    </w:p>
    <w:p w14:paraId="7D3D9844" w14:textId="77777777" w:rsidR="00AB1573" w:rsidRPr="004D6C38" w:rsidRDefault="00AB1573" w:rsidP="00AB1573">
      <w:pPr>
        <w:spacing w:after="120" w:line="240" w:lineRule="auto"/>
        <w:ind w:left="709" w:right="709"/>
        <w:jc w:val="both"/>
        <w:rPr>
          <w:rFonts w:ascii="Verdana" w:eastAsia="Century Gothic" w:hAnsi="Verdana" w:cs="Century Gothic"/>
          <w:sz w:val="20"/>
          <w:szCs w:val="20"/>
          <w:lang w:val="es-ES"/>
        </w:rPr>
      </w:pPr>
      <w:r w:rsidRPr="004D6C38">
        <w:rPr>
          <w:rFonts w:ascii="Verdana" w:eastAsia="Century Gothic" w:hAnsi="Verdana" w:cs="Century Gothic"/>
          <w:sz w:val="20"/>
          <w:szCs w:val="20"/>
          <w:lang w:val="es-ES"/>
        </w:rPr>
        <w:t>- Parámetros y directrices para su aplicación: Requisitos formales, procedimentales y documentales necesarios para justificar y ejecutar contratos directos bajo esta causal, en armonía con la Ley 80 de 1993, la Ley 1150 de 2007 y demás normas del régimen de contratación pública.</w:t>
      </w:r>
    </w:p>
    <w:p w14:paraId="3F076F6D" w14:textId="77777777" w:rsidR="00AB1573" w:rsidRPr="004B35AC" w:rsidRDefault="00AB1573" w:rsidP="00AB1573">
      <w:pPr>
        <w:spacing w:after="0" w:line="240" w:lineRule="auto"/>
        <w:ind w:left="709" w:right="709"/>
        <w:jc w:val="both"/>
        <w:rPr>
          <w:rFonts w:ascii="Verdana" w:eastAsia="Century Gothic" w:hAnsi="Verdana" w:cs="Century Gothic"/>
          <w:sz w:val="20"/>
          <w:szCs w:val="20"/>
          <w:lang w:val="es-ES"/>
        </w:rPr>
      </w:pPr>
      <w:r w:rsidRPr="004D6C38">
        <w:rPr>
          <w:rFonts w:ascii="Verdana" w:eastAsia="Century Gothic" w:hAnsi="Verdana" w:cs="Century Gothic"/>
          <w:sz w:val="20"/>
          <w:szCs w:val="20"/>
          <w:lang w:val="es-ES"/>
        </w:rPr>
        <w:t>- Restricciones adicionales o condicionamientos</w:t>
      </w:r>
      <w:r w:rsidRPr="00D10E3B">
        <w:rPr>
          <w:rFonts w:ascii="Verdana" w:eastAsia="Century Gothic" w:hAnsi="Verdana" w:cs="Century Gothic"/>
          <w:sz w:val="20"/>
          <w:szCs w:val="20"/>
        </w:rPr>
        <w:t>”.</w:t>
      </w:r>
      <w:r>
        <w:rPr>
          <w:rFonts w:ascii="Verdana" w:eastAsia="Century Gothic" w:hAnsi="Verdana" w:cs="Century Gothic"/>
          <w:sz w:val="20"/>
          <w:szCs w:val="20"/>
        </w:rPr>
        <w:t xml:space="preserve"> (Énfasis dentro del texto) </w:t>
      </w:r>
    </w:p>
    <w:p w14:paraId="1B4A89A2" w14:textId="77777777" w:rsidR="00AB1573" w:rsidRPr="008E6AD9" w:rsidRDefault="00AB1573" w:rsidP="00AB1573">
      <w:pPr>
        <w:pStyle w:val="Prrafodelista"/>
        <w:tabs>
          <w:tab w:val="left" w:pos="142"/>
          <w:tab w:val="left" w:pos="284"/>
        </w:tabs>
        <w:spacing w:after="0" w:line="276" w:lineRule="auto"/>
        <w:ind w:left="0"/>
        <w:jc w:val="both"/>
        <w:rPr>
          <w:rFonts w:ascii="Verdana" w:eastAsia="Century Gothic" w:hAnsi="Verdana" w:cs="Century Gothic"/>
          <w:b/>
          <w:bCs/>
        </w:rPr>
      </w:pPr>
    </w:p>
    <w:p w14:paraId="158EC7F2" w14:textId="77777777" w:rsidR="00AB1573" w:rsidRPr="00A652FF" w:rsidRDefault="00AB1573" w:rsidP="00AB1573">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1995C51" w14:textId="77777777" w:rsidR="00AB1573" w:rsidRPr="00423BE7" w:rsidRDefault="00AB1573" w:rsidP="00AB1573">
      <w:pPr>
        <w:spacing w:after="0" w:line="276" w:lineRule="auto"/>
        <w:ind w:firstLine="708"/>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sidRPr="000B43B3">
        <w:rPr>
          <w:rFonts w:ascii="Verdana" w:eastAsia="Calibri" w:hAnsi="Verdana" w:cs="Arial"/>
          <w:lang w:val="es-ES" w:eastAsia="es-ES"/>
        </w:rPr>
        <w:t xml:space="preserve"> </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13775B42" w14:textId="77777777" w:rsidR="00AB1573" w:rsidRPr="00593A5F" w:rsidRDefault="00AB1573" w:rsidP="00AB1573">
      <w:pPr>
        <w:spacing w:after="0" w:line="276" w:lineRule="auto"/>
        <w:ind w:firstLine="709"/>
        <w:jc w:val="both"/>
        <w:rPr>
          <w:rFonts w:ascii="Verdana" w:eastAsia="Calibri" w:hAnsi="Verdana" w:cs="Arial"/>
          <w:color w:val="000000"/>
          <w:lang w:val="es-ES" w:eastAsia="es-ES"/>
        </w:rPr>
      </w:pPr>
    </w:p>
    <w:p w14:paraId="64F49F8F" w14:textId="77777777" w:rsidR="00AB1573" w:rsidRPr="00593A5F" w:rsidRDefault="00AB1573" w:rsidP="00AB157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lastRenderedPageBreak/>
        <w:t>Problema planteado:</w:t>
      </w:r>
    </w:p>
    <w:p w14:paraId="179A0DB7" w14:textId="77777777" w:rsidR="00AB1573" w:rsidRPr="00593A5F" w:rsidRDefault="00AB1573" w:rsidP="00AB1573">
      <w:pPr>
        <w:tabs>
          <w:tab w:val="left" w:pos="426"/>
        </w:tabs>
        <w:spacing w:after="0" w:line="276" w:lineRule="auto"/>
        <w:jc w:val="both"/>
        <w:rPr>
          <w:rFonts w:ascii="Verdana" w:eastAsia="Century Gothic" w:hAnsi="Verdana" w:cs="Century Gothic"/>
          <w:lang w:val="es-ES"/>
        </w:rPr>
      </w:pPr>
    </w:p>
    <w:p w14:paraId="0C0CD404" w14:textId="16A88A83" w:rsidR="00AB1573" w:rsidRPr="00593A5F" w:rsidRDefault="00AB1573" w:rsidP="00AB1573">
      <w:pPr>
        <w:spacing w:after="0" w:line="276" w:lineRule="auto"/>
        <w:jc w:val="both"/>
        <w:rPr>
          <w:rFonts w:ascii="Verdana" w:eastAsia="Century Gothic" w:hAnsi="Verdana" w:cs="Century Gothic"/>
        </w:rPr>
      </w:pPr>
      <w:r w:rsidRPr="00EF1386">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¿cuál e</w:t>
      </w:r>
      <w:r w:rsidR="00E862BD">
        <w:rPr>
          <w:rFonts w:ascii="Verdana" w:eastAsia="Century Gothic" w:hAnsi="Verdana" w:cs="Century Gothic"/>
        </w:rPr>
        <w:t>s</w:t>
      </w:r>
      <w:r>
        <w:rPr>
          <w:rFonts w:ascii="Verdana" w:eastAsia="Century Gothic" w:hAnsi="Verdana" w:cs="Century Gothic"/>
        </w:rPr>
        <w:t xml:space="preserve"> el ámbito de aplicación y las excepciones de la prohibición del artículo 33 de la Ley de Garantías en lo relacionado con la defensa y la seguridad del Estado</w:t>
      </w:r>
      <w:r>
        <w:rPr>
          <w:rFonts w:ascii="Verdana" w:eastAsia="Times New Roman" w:hAnsi="Verdana" w:cs="Arial"/>
          <w:lang w:eastAsia="es-MX"/>
        </w:rPr>
        <w:t>?</w:t>
      </w:r>
    </w:p>
    <w:p w14:paraId="632E4936" w14:textId="77777777" w:rsidR="00AB1573" w:rsidRPr="004B140F" w:rsidRDefault="00AB1573" w:rsidP="00AB1573">
      <w:pPr>
        <w:spacing w:after="0" w:line="276" w:lineRule="auto"/>
        <w:jc w:val="both"/>
        <w:rPr>
          <w:rFonts w:ascii="Verdana" w:eastAsia="Calibri" w:hAnsi="Verdana" w:cs="Arial"/>
          <w:color w:val="7030A0"/>
        </w:rPr>
      </w:pPr>
    </w:p>
    <w:p w14:paraId="01BB7975" w14:textId="77777777" w:rsidR="00AB1573" w:rsidRPr="00593A5F" w:rsidRDefault="00AB1573" w:rsidP="00AB157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02F3302" w14:textId="77777777" w:rsidR="00AB1573" w:rsidRPr="00593A5F" w:rsidRDefault="00AB1573" w:rsidP="00AB157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B1573" w:rsidRPr="00593A5F" w14:paraId="573E17A2" w14:textId="77777777" w:rsidTr="00E61993">
        <w:trPr>
          <w:jc w:val="center"/>
        </w:trPr>
        <w:tc>
          <w:tcPr>
            <w:tcW w:w="8828" w:type="dxa"/>
          </w:tcPr>
          <w:p w14:paraId="7DC47B5D" w14:textId="77777777" w:rsidR="00AB1573" w:rsidRDefault="00AB1573" w:rsidP="00E61993">
            <w:pPr>
              <w:spacing w:after="120" w:line="276" w:lineRule="auto"/>
              <w:jc w:val="both"/>
              <w:rPr>
                <w:rFonts w:ascii="Verdana" w:eastAsia="Times New Roman" w:hAnsi="Verdana" w:cs="Arial"/>
                <w:bCs/>
                <w:lang w:val="es-MX" w:eastAsia="x-none"/>
              </w:rPr>
            </w:pPr>
            <w:bookmarkStart w:id="1" w:name="_Hlk171694685"/>
            <w:r w:rsidRPr="00C53E3E">
              <w:rPr>
                <w:rFonts w:ascii="Verdana" w:eastAsia="Calibri" w:hAnsi="Verdana" w:cs="Arial"/>
                <w:lang w:val="es-MX"/>
              </w:rPr>
              <w:t>Conforme a la interpretación general de las normas del sistema de compras públicas, la restricción prevista en el artículo 33 de la Ley 996 de 2005 cobija a cualquier entidad pública independiente del régimen jurídico, que pueda mediante la contratación directa romper el equilibrio entre los candidatos en desarrollo de las elecciones presidenciales.</w:t>
            </w:r>
            <w:r>
              <w:rPr>
                <w:rFonts w:ascii="Verdana" w:eastAsia="Calibri" w:hAnsi="Verdana" w:cs="Arial"/>
                <w:lang w:val="es-MX"/>
              </w:rPr>
              <w:t xml:space="preserve"> </w:t>
            </w:r>
            <w:r>
              <w:rPr>
                <w:rFonts w:ascii="Verdana" w:eastAsia="Times New Roman" w:hAnsi="Verdana" w:cs="Arial"/>
                <w:bCs/>
                <w:lang w:val="es-MX" w:eastAsia="x-none"/>
              </w:rPr>
              <w:t xml:space="preserve">Dicha norma </w:t>
            </w:r>
            <w:r w:rsidRPr="0057193B">
              <w:rPr>
                <w:rFonts w:ascii="Verdana" w:eastAsia="Times New Roman" w:hAnsi="Verdana" w:cs="Arial"/>
                <w:bCs/>
                <w:lang w:val="es-MX" w:eastAsia="x-none"/>
              </w:rPr>
              <w:t xml:space="preserve">aplica frente a la contratación directa, entendida como cualquier sistema de selección o procedimiento de </w:t>
            </w:r>
            <w:r>
              <w:rPr>
                <w:rFonts w:ascii="Verdana" w:eastAsia="Times New Roman" w:hAnsi="Verdana" w:cs="Arial"/>
                <w:bCs/>
                <w:lang w:val="es-MX" w:eastAsia="x-none"/>
              </w:rPr>
              <w:t>contratación utilizada</w:t>
            </w:r>
            <w:r w:rsidRPr="0057193B">
              <w:rPr>
                <w:rFonts w:ascii="Verdana" w:eastAsia="Times New Roman" w:hAnsi="Verdana" w:cs="Arial"/>
                <w:bCs/>
                <w:lang w:val="es-MX" w:eastAsia="x-none"/>
              </w:rPr>
              <w:t xml:space="preserve"> por las entidades estatales que no incluya la convocatoria pública en alguna de sus etapas, ni permita la participación de una pluralidad de oferentes</w:t>
            </w:r>
            <w:r>
              <w:rPr>
                <w:rFonts w:ascii="Verdana" w:eastAsia="Times New Roman" w:hAnsi="Verdana" w:cs="Arial"/>
                <w:bCs/>
                <w:lang w:val="es-MX" w:eastAsia="x-none"/>
              </w:rPr>
              <w:t>, ya sea en aplicación de normas del Estatuto General de Contratación de la Administración Pública, así como de regímenes especiales.</w:t>
            </w:r>
          </w:p>
          <w:p w14:paraId="75BD92FF" w14:textId="77777777" w:rsidR="00AB1573" w:rsidRDefault="00AB1573" w:rsidP="00E61993">
            <w:pPr>
              <w:spacing w:after="120" w:line="276" w:lineRule="auto"/>
              <w:ind w:firstLine="737"/>
              <w:jc w:val="both"/>
              <w:rPr>
                <w:rFonts w:ascii="Verdana" w:eastAsia="Times New Roman" w:hAnsi="Verdana" w:cs="Arial"/>
                <w:bCs/>
                <w:lang w:val="es-MX" w:eastAsia="x-none"/>
              </w:rPr>
            </w:pPr>
            <w:r>
              <w:rPr>
                <w:rFonts w:ascii="Verdana" w:eastAsia="Times New Roman" w:hAnsi="Verdana" w:cs="Arial"/>
                <w:bCs/>
                <w:lang w:val="es-MX" w:eastAsia="x-none"/>
              </w:rPr>
              <w:t xml:space="preserve">Lo anterior, sin perjuicio de </w:t>
            </w:r>
            <w:r w:rsidRPr="0057193B">
              <w:rPr>
                <w:rFonts w:ascii="Verdana" w:eastAsia="Times New Roman" w:hAnsi="Verdana" w:cs="Arial"/>
                <w:bCs/>
                <w:lang w:val="es-MX" w:eastAsia="x-none"/>
              </w:rPr>
              <w:t>las excepciones a la prohibición establecidas en el inciso</w:t>
            </w:r>
            <w:r>
              <w:rPr>
                <w:rFonts w:ascii="Verdana" w:eastAsia="Times New Roman" w:hAnsi="Verdana" w:cs="Arial"/>
                <w:bCs/>
                <w:lang w:val="es-MX" w:eastAsia="x-none"/>
              </w:rPr>
              <w:t xml:space="preserve"> segundo del mismo artículo 33 </w:t>
            </w:r>
            <w:r w:rsidRPr="00C53E3E">
              <w:rPr>
                <w:rFonts w:ascii="Verdana" w:eastAsia="Calibri" w:hAnsi="Verdana" w:cs="Arial"/>
                <w:lang w:val="es-MX"/>
              </w:rPr>
              <w:t>de la Ley 996 de 2005</w:t>
            </w:r>
            <w:r>
              <w:rPr>
                <w:rFonts w:ascii="Verdana" w:eastAsia="Times New Roman" w:hAnsi="Verdana" w:cs="Arial"/>
                <w:bCs/>
                <w:lang w:val="es-MX" w:eastAsia="x-none"/>
              </w:rPr>
              <w:t xml:space="preserve">, como son: </w:t>
            </w:r>
            <w:r w:rsidRPr="00333EDB">
              <w:rPr>
                <w:rFonts w:ascii="Verdana" w:eastAsia="Times New Roman" w:hAnsi="Verdana" w:cs="Arial"/>
                <w:bCs/>
                <w:lang w:val="es-MX" w:eastAsia="x-none"/>
              </w:rPr>
              <w:t>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4BD365A" w14:textId="323E7ECB" w:rsidR="00AB1573" w:rsidRDefault="00AB1573" w:rsidP="00E61993">
            <w:pPr>
              <w:widowControl w:val="0"/>
              <w:autoSpaceDE w:val="0"/>
              <w:autoSpaceDN w:val="0"/>
              <w:spacing w:after="120" w:line="276" w:lineRule="auto"/>
              <w:ind w:firstLine="737"/>
              <w:jc w:val="both"/>
              <w:rPr>
                <w:rFonts w:ascii="Verdana" w:eastAsia="Times New Roman" w:hAnsi="Verdana" w:cs="Arial"/>
                <w:lang w:eastAsia="es-MX"/>
              </w:rPr>
            </w:pPr>
            <w:r>
              <w:rPr>
                <w:rFonts w:ascii="Verdana" w:eastAsia="Times New Roman" w:hAnsi="Verdana" w:cs="Arial"/>
                <w:bCs/>
                <w:lang w:val="es-MX" w:eastAsia="x-none"/>
              </w:rPr>
              <w:t xml:space="preserve">Para estos efectos, es necesario tener en cuenta que </w:t>
            </w:r>
            <w:r>
              <w:rPr>
                <w:rFonts w:ascii="Verdana" w:eastAsia="Times New Roman" w:hAnsi="Verdana" w:cs="Arial"/>
                <w:lang w:eastAsia="es-MX"/>
              </w:rPr>
              <w:t>el literal d) del artículo 2.4 de la Ley 1150 de 2007 permite la selección directa tratándose de la</w:t>
            </w:r>
            <w:r w:rsidRPr="00DB1EA1">
              <w:rPr>
                <w:rFonts w:ascii="Verdana" w:eastAsia="Times New Roman" w:hAnsi="Verdana" w:cs="Arial"/>
                <w:lang w:eastAsia="es-MX"/>
              </w:rPr>
              <w:t xml:space="preserve"> contratación de bienes y servicios en el sector </w:t>
            </w:r>
            <w:r>
              <w:rPr>
                <w:rFonts w:ascii="Verdana" w:eastAsia="Times New Roman" w:hAnsi="Verdana" w:cs="Arial"/>
                <w:lang w:eastAsia="es-MX"/>
              </w:rPr>
              <w:t>d</w:t>
            </w:r>
            <w:r w:rsidRPr="00DB1EA1">
              <w:rPr>
                <w:rFonts w:ascii="Verdana" w:eastAsia="Times New Roman" w:hAnsi="Verdana" w:cs="Arial"/>
                <w:lang w:eastAsia="es-MX"/>
              </w:rPr>
              <w:t xml:space="preserve">efensa que necesiten reserva </w:t>
            </w:r>
            <w:r w:rsidRPr="00DB1EA1">
              <w:rPr>
                <w:rFonts w:ascii="Verdana" w:eastAsia="Times New Roman" w:hAnsi="Verdana" w:cs="Arial"/>
                <w:lang w:eastAsia="es-MX"/>
              </w:rPr>
              <w:lastRenderedPageBreak/>
              <w:t>para su adquisición</w:t>
            </w:r>
            <w:r>
              <w:rPr>
                <w:rFonts w:ascii="Verdana" w:eastAsia="Times New Roman" w:hAnsi="Verdana" w:cs="Arial"/>
                <w:lang w:eastAsia="es-MX"/>
              </w:rPr>
              <w:t>. Dicha causal se sujeta al cumplimiento de dos (2) requisitos: uno de carácter orgánico y otro de carácter material. Por un lado, los bienes o servicios deben ser adquiridos por entidades del sector defensa y, por otro, su adquisición debe ser reservada.</w:t>
            </w:r>
          </w:p>
          <w:p w14:paraId="69DADBF5" w14:textId="77777777" w:rsidR="00AB1573" w:rsidRPr="00DB4B28" w:rsidRDefault="00AB1573" w:rsidP="00E61993">
            <w:pPr>
              <w:widowControl w:val="0"/>
              <w:autoSpaceDE w:val="0"/>
              <w:autoSpaceDN w:val="0"/>
              <w:spacing w:after="120" w:line="276" w:lineRule="auto"/>
              <w:ind w:firstLine="737"/>
              <w:jc w:val="both"/>
              <w:rPr>
                <w:rFonts w:ascii="Verdana" w:eastAsia="Times New Roman" w:hAnsi="Verdana" w:cs="Arial"/>
                <w:lang w:eastAsia="es-MX"/>
              </w:rPr>
            </w:pPr>
            <w:r w:rsidRPr="0023720F">
              <w:rPr>
                <w:rFonts w:ascii="Verdana" w:eastAsia="Times New Roman" w:hAnsi="Verdana" w:cs="Arial"/>
                <w:i/>
                <w:iCs/>
                <w:lang w:eastAsia="es-MX"/>
              </w:rPr>
              <w:t>En lo que respecta al criterio material</w:t>
            </w:r>
            <w:r>
              <w:rPr>
                <w:rFonts w:ascii="Verdana" w:eastAsia="Times New Roman" w:hAnsi="Verdana" w:cs="Arial"/>
                <w:lang w:eastAsia="es-MX"/>
              </w:rPr>
              <w:t xml:space="preserve">, </w:t>
            </w:r>
            <w:r w:rsidRPr="00DB4B28">
              <w:rPr>
                <w:rFonts w:ascii="Verdana" w:eastAsia="Times New Roman" w:hAnsi="Verdana" w:cs="Arial"/>
                <w:lang w:eastAsia="es-MX"/>
              </w:rPr>
              <w:t xml:space="preserve">dicha categoría de bienes y servicios fue desarrollada en el inciso segundo del artículo 78 del Decreto 1510 de 2013. Sin embargo, el listado fue anulado por la Subsección A de la Sección Tercera del Consejo de Estado en Sentencia del 24 de mayo de 2018, </w:t>
            </w:r>
            <w:proofErr w:type="spellStart"/>
            <w:r w:rsidRPr="00DB4B28">
              <w:rPr>
                <w:rFonts w:ascii="Verdana" w:eastAsia="Times New Roman" w:hAnsi="Verdana" w:cs="Arial"/>
                <w:lang w:eastAsia="es-MX"/>
              </w:rPr>
              <w:t>Exp</w:t>
            </w:r>
            <w:proofErr w:type="spellEnd"/>
            <w:r w:rsidRPr="00DB4B28">
              <w:rPr>
                <w:rFonts w:ascii="Verdana" w:eastAsia="Times New Roman" w:hAnsi="Verdana" w:cs="Arial"/>
                <w:lang w:eastAsia="es-MX"/>
              </w:rPr>
              <w:t>. 50222, con ponencia de la Consejera Marta Nubia Velásquez Rico, bajo el argumento de que el Gobierno Nacional “[…] desbordó la potestad reglamentaria al limitar el derecho fundamental de acceso a la información pública tratándose de bienes y servicios a adquirir por vía de la modalidad de selección de la contratación directa, limitación que por corresponder a la reserva legal, está en cabeza del legislador”.</w:t>
            </w:r>
          </w:p>
          <w:p w14:paraId="0C3527DD" w14:textId="77777777" w:rsidR="00AB1573" w:rsidRPr="00DB4B28" w:rsidRDefault="00AB1573" w:rsidP="00E61993">
            <w:pPr>
              <w:widowControl w:val="0"/>
              <w:autoSpaceDE w:val="0"/>
              <w:autoSpaceDN w:val="0"/>
              <w:spacing w:after="120" w:line="276" w:lineRule="auto"/>
              <w:ind w:firstLine="737"/>
              <w:jc w:val="both"/>
              <w:rPr>
                <w:rFonts w:ascii="Verdana" w:eastAsia="Times New Roman" w:hAnsi="Verdana" w:cs="Arial"/>
                <w:lang w:eastAsia="es-MX"/>
              </w:rPr>
            </w:pPr>
            <w:r w:rsidRPr="00DB4B28">
              <w:rPr>
                <w:rFonts w:ascii="Verdana" w:eastAsia="Times New Roman" w:hAnsi="Verdana" w:cs="Arial"/>
                <w:lang w:eastAsia="es-MX"/>
              </w:rPr>
              <w:t xml:space="preserve">Aunque </w:t>
            </w:r>
            <w:r>
              <w:rPr>
                <w:rFonts w:ascii="Verdana" w:eastAsia="Times New Roman" w:hAnsi="Verdana" w:cs="Arial"/>
                <w:lang w:eastAsia="es-MX"/>
              </w:rPr>
              <w:t>se ha acudido</w:t>
            </w:r>
            <w:r w:rsidRPr="00DB4B28">
              <w:rPr>
                <w:rFonts w:ascii="Verdana" w:eastAsia="Times New Roman" w:hAnsi="Verdana" w:cs="Arial"/>
                <w:lang w:eastAsia="es-MX"/>
              </w:rPr>
              <w:t xml:space="preserve"> al listado del artículo 1 del Decreto 695 de 1983, compilado en el artículo 1.3.1.14.18 del Decreto 1625 de 2016, “Por medio del cual se expide el Decreto Único Reglamentario en materia tributaria”, esta norma fue expedida por el Gobierno Nacional en ejercicio de la potestad reglamentaria para determinar: i) los bienes importados que no causan impuesto sobre las ventas conforme al inciso segundo del artículo 17 del Decreto Legislativo 2368 de 1974  y </w:t>
            </w:r>
            <w:proofErr w:type="spellStart"/>
            <w:r w:rsidRPr="00DB4B28">
              <w:rPr>
                <w:rFonts w:ascii="Verdana" w:eastAsia="Times New Roman" w:hAnsi="Verdana" w:cs="Arial"/>
                <w:lang w:eastAsia="es-MX"/>
              </w:rPr>
              <w:t>ii</w:t>
            </w:r>
            <w:proofErr w:type="spellEnd"/>
            <w:r w:rsidRPr="00DB4B28">
              <w:rPr>
                <w:rFonts w:ascii="Verdana" w:eastAsia="Times New Roman" w:hAnsi="Verdana" w:cs="Arial"/>
                <w:lang w:eastAsia="es-MX"/>
              </w:rPr>
              <w:t xml:space="preserve">) el alcance de la causal de contratación directa del otrora artículo 259 del Decreto Ley 222 de 1983 . </w:t>
            </w:r>
          </w:p>
          <w:p w14:paraId="6E47054D" w14:textId="77777777" w:rsidR="00AB1573" w:rsidRPr="00DB4B28" w:rsidRDefault="00AB1573" w:rsidP="00E61993">
            <w:pPr>
              <w:widowControl w:val="0"/>
              <w:autoSpaceDE w:val="0"/>
              <w:autoSpaceDN w:val="0"/>
              <w:spacing w:after="120" w:line="276" w:lineRule="auto"/>
              <w:ind w:firstLine="737"/>
              <w:jc w:val="both"/>
              <w:rPr>
                <w:rFonts w:ascii="Verdana" w:eastAsia="Times New Roman" w:hAnsi="Verdana" w:cs="Arial"/>
                <w:lang w:eastAsia="es-MX"/>
              </w:rPr>
            </w:pPr>
            <w:r w:rsidRPr="00DB4B28">
              <w:rPr>
                <w:rFonts w:ascii="Verdana" w:eastAsia="Times New Roman" w:hAnsi="Verdana" w:cs="Arial"/>
                <w:lang w:eastAsia="es-MX"/>
              </w:rPr>
              <w:t>De estas dos (2) finalidades sólo subsiste la primera, pues –al recoger la lista del artículo 1 del Decreto 695 de 1983– el artículo 1.3.1.14.18 se encuentra en el capítulo 14 del título 1 de la parte 3 del libro 1 del Decreto 1625 de 2016, por el cual se definen las importaciones que no causan IVA. Este tema es ajeno a la contratación estatal, además de que el Decreto Ley 222 de 1983 fue derogado por el artículo 81 de la Ley 80 de 1993. Por tanto, el artículo 1 del Decreto 695 de 1983 no delimita el alcance de la causal de contratación directa del literal d) del artículo 2.4 de la Ley 1150 de 2007, especialmente, cuando la Sentencia del 24 de mayo de 2018 exige que las reservas sean objeto de desarrollo legal.</w:t>
            </w:r>
          </w:p>
          <w:p w14:paraId="35A347C5" w14:textId="77777777" w:rsidR="00AB1573" w:rsidRPr="00DB4B28" w:rsidRDefault="00AB1573" w:rsidP="00E61993">
            <w:pPr>
              <w:widowControl w:val="0"/>
              <w:autoSpaceDE w:val="0"/>
              <w:autoSpaceDN w:val="0"/>
              <w:spacing w:after="120" w:line="276" w:lineRule="auto"/>
              <w:ind w:firstLine="737"/>
              <w:jc w:val="both"/>
              <w:rPr>
                <w:rFonts w:ascii="Verdana" w:eastAsia="Times New Roman" w:hAnsi="Verdana" w:cs="Arial"/>
                <w:lang w:eastAsia="es-MX"/>
              </w:rPr>
            </w:pPr>
            <w:r w:rsidRPr="00DB4B28">
              <w:rPr>
                <w:rFonts w:ascii="Verdana" w:eastAsia="Times New Roman" w:hAnsi="Verdana" w:cs="Arial"/>
                <w:lang w:eastAsia="es-MX"/>
              </w:rPr>
              <w:t xml:space="preserve">En todo caso, la nulidad del inciso segundo del artículo 78 del Decreto 1510 de 2013 o la imposibilidad de aplicar el artículo 1 del Decreto 695 de 1983 fuera del ámbito tributario no condicionan la vigencia de la causal </w:t>
            </w:r>
            <w:r w:rsidRPr="00DB4B28">
              <w:rPr>
                <w:rFonts w:ascii="Verdana" w:eastAsia="Times New Roman" w:hAnsi="Verdana" w:cs="Arial"/>
                <w:i/>
                <w:iCs/>
                <w:lang w:eastAsia="es-MX"/>
              </w:rPr>
              <w:t xml:space="preserve">sub </w:t>
            </w:r>
            <w:r w:rsidRPr="00DB4B28">
              <w:rPr>
                <w:rFonts w:ascii="Verdana" w:eastAsia="Times New Roman" w:hAnsi="Verdana" w:cs="Arial"/>
                <w:i/>
                <w:iCs/>
                <w:lang w:eastAsia="es-MX"/>
              </w:rPr>
              <w:lastRenderedPageBreak/>
              <w:t>examine</w:t>
            </w:r>
            <w:r w:rsidRPr="00DB4B28">
              <w:rPr>
                <w:rFonts w:ascii="Verdana" w:eastAsia="Times New Roman" w:hAnsi="Verdana" w:cs="Arial"/>
                <w:lang w:eastAsia="es-MX"/>
              </w:rPr>
              <w:t xml:space="preserve">, la cual rige sin necesidad de desarrollo reglamentario. Por un lado, mientras el parágrafo transitorio del artículo 2 de la Ley 1150 de 2007 dispone que “Hasta tanto el Gobierno Nacional no expidiere el reglamento respectivo, no se podrá hacer uso de la selección abreviada como modalidad de selección”, una condición similar no se predica del literal d) del artículo 2.4 </w:t>
            </w:r>
            <w:r w:rsidRPr="00DB4B28">
              <w:rPr>
                <w:rFonts w:ascii="Verdana" w:eastAsia="Times New Roman" w:hAnsi="Verdana" w:cs="Arial"/>
                <w:i/>
                <w:iCs/>
                <w:lang w:eastAsia="es-MX"/>
              </w:rPr>
              <w:t>ibidem</w:t>
            </w:r>
            <w:r w:rsidRPr="00DB4B28">
              <w:rPr>
                <w:rFonts w:ascii="Verdana" w:eastAsia="Times New Roman" w:hAnsi="Verdana" w:cs="Arial"/>
                <w:lang w:eastAsia="es-MX"/>
              </w:rPr>
              <w:t xml:space="preserve">. </w:t>
            </w:r>
          </w:p>
          <w:p w14:paraId="54052084" w14:textId="2D9AD562" w:rsidR="00AB1573" w:rsidRDefault="00AB1573" w:rsidP="00E61993">
            <w:pPr>
              <w:widowControl w:val="0"/>
              <w:autoSpaceDE w:val="0"/>
              <w:autoSpaceDN w:val="0"/>
              <w:spacing w:after="120" w:line="276" w:lineRule="auto"/>
              <w:ind w:firstLine="737"/>
              <w:jc w:val="both"/>
              <w:rPr>
                <w:rFonts w:ascii="Verdana" w:eastAsia="Times New Roman" w:hAnsi="Verdana" w:cs="Arial"/>
                <w:lang w:eastAsia="es-MX"/>
              </w:rPr>
            </w:pPr>
            <w:r w:rsidRPr="00DB4B28">
              <w:rPr>
                <w:rFonts w:ascii="Verdana" w:eastAsia="Times New Roman" w:hAnsi="Verdana" w:cs="Arial"/>
                <w:lang w:eastAsia="es-MX"/>
              </w:rPr>
              <w:t>Por otra parte, la Sentencia del 24 de mayo de 2018 explica que “[…] para el caso de lo establecido en la letra d) del número 4 del artículo 2 de la Ley 1150 de 2007, debe entenderse la existencia de un reenvío a las normas de orden legal que establecen los eventos en que por causa de la protección de derechos fundamentales o bienes constitucionales debe reservarse la información contractual que corresponda”. Luego, el reglamento no puede intervenir en el desarrollo de las reservas a través de una norma igual o semejante a la anulada por la Subsección A de la Sección Tercera del Consejo de Estado, pues ello implica desconocer las prohibiciones de los artículo</w:t>
            </w:r>
            <w:r w:rsidR="00C3126E">
              <w:rPr>
                <w:rFonts w:ascii="Verdana" w:eastAsia="Times New Roman" w:hAnsi="Verdana" w:cs="Arial"/>
                <w:lang w:eastAsia="es-MX"/>
              </w:rPr>
              <w:t>s</w:t>
            </w:r>
            <w:r w:rsidRPr="00DB4B28">
              <w:rPr>
                <w:rFonts w:ascii="Verdana" w:eastAsia="Times New Roman" w:hAnsi="Verdana" w:cs="Arial"/>
                <w:lang w:eastAsia="es-MX"/>
              </w:rPr>
              <w:t xml:space="preserve"> 9.6 y 237 del Código Procedimiento Administrativo y Contencioso Administrativo.</w:t>
            </w:r>
          </w:p>
          <w:p w14:paraId="63BD3A86" w14:textId="77777777" w:rsidR="00AB1573" w:rsidRDefault="00AB1573" w:rsidP="00E61993">
            <w:pPr>
              <w:spacing w:after="120" w:line="276" w:lineRule="auto"/>
              <w:ind w:firstLine="709"/>
              <w:jc w:val="both"/>
              <w:rPr>
                <w:rFonts w:ascii="Verdana" w:eastAsia="Times New Roman" w:hAnsi="Verdana" w:cs="Arial"/>
                <w:lang w:eastAsia="es-MX"/>
              </w:rPr>
            </w:pPr>
            <w:r>
              <w:rPr>
                <w:rFonts w:ascii="Verdana" w:eastAsia="Calibri" w:hAnsi="Verdana" w:cs="Arial"/>
                <w:color w:val="000000"/>
              </w:rPr>
              <w:t>En consecuencia, conforme a la directriz jurisprudencial del párrafo precedente</w:t>
            </w:r>
            <w:r w:rsidRPr="00AD6B46">
              <w:rPr>
                <w:rFonts w:ascii="Verdana" w:eastAsia="Calibri" w:hAnsi="Verdana" w:cs="Arial"/>
                <w:color w:val="000000"/>
              </w:rPr>
              <w:t>,</w:t>
            </w:r>
            <w:r>
              <w:rPr>
                <w:rFonts w:ascii="Verdana" w:eastAsia="Calibri" w:hAnsi="Verdana" w:cs="Arial"/>
                <w:color w:val="000000"/>
              </w:rPr>
              <w:t xml:space="preserve"> </w:t>
            </w:r>
            <w:r>
              <w:rPr>
                <w:rFonts w:ascii="Verdana" w:eastAsia="Times New Roman" w:hAnsi="Verdana" w:cs="Arial"/>
                <w:lang w:eastAsia="es-MX"/>
              </w:rPr>
              <w:t xml:space="preserve">es la necesidad de la reserva de los documentos del proceso la que habilita la causal de contratación directa para las entidades de sector defensa sometida al EGCAP. Así, </w:t>
            </w:r>
            <w:r w:rsidRPr="00AD6B46">
              <w:rPr>
                <w:rFonts w:ascii="Verdana" w:eastAsia="Calibri" w:hAnsi="Verdana" w:cs="Arial"/>
                <w:color w:val="000000"/>
              </w:rPr>
              <w:t>las reservas de información no están solo reguladas en la Ley 1712 de 2014 y en el artículo 24 de la Ley 1437 de 2011 sustituido por el artículo 2 de la Ley 1755 de 2015, pues existen otras normatividades, como la Ley 1581 de 2012, Ley 1621 de 2013, entre otras, que establecen reservas a la información pública.</w:t>
            </w:r>
          </w:p>
          <w:p w14:paraId="6D7B06F6" w14:textId="77777777" w:rsidR="00AB1573" w:rsidRDefault="00AB1573" w:rsidP="00E61993">
            <w:pPr>
              <w:spacing w:after="120" w:line="276" w:lineRule="auto"/>
              <w:ind w:firstLine="709"/>
              <w:jc w:val="both"/>
              <w:rPr>
                <w:rFonts w:ascii="Verdana" w:eastAsia="Calibri" w:hAnsi="Verdana" w:cs="Arial"/>
                <w:color w:val="000000"/>
                <w:lang w:val="es-ES"/>
              </w:rPr>
            </w:pPr>
            <w:r>
              <w:rPr>
                <w:rFonts w:ascii="Verdana" w:eastAsia="Times New Roman" w:hAnsi="Verdana" w:cs="Arial"/>
                <w:lang w:eastAsia="es-MX"/>
              </w:rPr>
              <w:t xml:space="preserve">Para los efectos del tema objeto de consulta, dicha reserva por lo general se refiere a temas de defensa y seguridad nacional. </w:t>
            </w:r>
            <w:r w:rsidRPr="003E5E57">
              <w:rPr>
                <w:rFonts w:ascii="Verdana" w:eastAsia="Calibri" w:hAnsi="Verdana" w:cs="Arial"/>
                <w:color w:val="000000"/>
                <w:lang w:val="es-ES"/>
              </w:rPr>
              <w:t>Este concepto no tiene una definición legal en el Estatuto General de Contratación de la Administración Pública. En tal sentido, es un concepto jurídico indeterminado cuya noción se basa en la idea de que el Estado y sus autoridades tienen la responsabilidad de construir estrategias y realizar acciones para proteger a los ciudadanos, garantizar el orden público, el funcionamiento de las instituciones legítimamente constituidas y la soberanía sobre el territorio</w:t>
            </w:r>
            <w:r>
              <w:rPr>
                <w:rFonts w:ascii="Verdana" w:eastAsia="Calibri" w:hAnsi="Verdana" w:cs="Arial"/>
                <w:color w:val="000000"/>
                <w:lang w:val="es-ES"/>
              </w:rPr>
              <w:t>.</w:t>
            </w:r>
          </w:p>
          <w:p w14:paraId="23C6F4DE" w14:textId="77777777" w:rsidR="00AB1573" w:rsidRPr="00A76BF5" w:rsidRDefault="00AB1573" w:rsidP="00E61993">
            <w:pPr>
              <w:spacing w:after="120" w:line="276" w:lineRule="auto"/>
              <w:ind w:firstLine="737"/>
              <w:jc w:val="both"/>
              <w:rPr>
                <w:rFonts w:ascii="Verdana" w:eastAsia="Times New Roman" w:hAnsi="Verdana" w:cs="Arial"/>
                <w:bCs/>
                <w:lang w:val="es-MX" w:eastAsia="x-none"/>
              </w:rPr>
            </w:pPr>
            <w:r>
              <w:rPr>
                <w:rFonts w:ascii="Verdana" w:eastAsia="Times New Roman" w:hAnsi="Verdana" w:cs="Arial"/>
                <w:lang w:eastAsia="es-MX"/>
              </w:rPr>
              <w:t xml:space="preserve">Como indica el artículo </w:t>
            </w:r>
            <w:r w:rsidRPr="002A22D8">
              <w:rPr>
                <w:rFonts w:ascii="Verdana" w:eastAsia="Times New Roman" w:hAnsi="Verdana" w:cs="Arial"/>
                <w:lang w:eastAsia="es-MX"/>
              </w:rPr>
              <w:t>2.2.1.2.1.4.6</w:t>
            </w:r>
            <w:r>
              <w:rPr>
                <w:rFonts w:ascii="Verdana" w:eastAsia="Times New Roman" w:hAnsi="Verdana" w:cs="Arial"/>
                <w:lang w:eastAsia="es-MX"/>
              </w:rPr>
              <w:t xml:space="preserve"> del Decreto 1082 de 2015, “</w:t>
            </w:r>
            <w:r w:rsidRPr="002A22D8">
              <w:rPr>
                <w:rFonts w:ascii="Verdana" w:eastAsia="Times New Roman" w:hAnsi="Verdana" w:cs="Arial"/>
                <w:lang w:eastAsia="es-MX"/>
              </w:rPr>
              <w:t xml:space="preserve">Las Entidades Estatales no están obligadas a publicar los Documentos del Proceso para adquirir bienes y servicios en el Sector Defensa, la Dirección Nacional de Inteligencia y la Unidad Nacional de Protección que requieren reserva. En estos </w:t>
            </w:r>
            <w:r w:rsidRPr="002A22D8">
              <w:rPr>
                <w:rFonts w:ascii="Verdana" w:eastAsia="Times New Roman" w:hAnsi="Verdana" w:cs="Arial"/>
                <w:lang w:eastAsia="es-MX"/>
              </w:rPr>
              <w:lastRenderedPageBreak/>
              <w:t>procesos de contratación la adquisición debe hacerse en condiciones de mercado sin que sea necesario recibir varias ofertas</w:t>
            </w:r>
            <w:r>
              <w:rPr>
                <w:rFonts w:ascii="Verdana" w:eastAsia="Times New Roman" w:hAnsi="Verdana" w:cs="Arial"/>
                <w:lang w:eastAsia="es-MX"/>
              </w:rPr>
              <w:t>”</w:t>
            </w:r>
            <w:r w:rsidRPr="002A22D8">
              <w:rPr>
                <w:rFonts w:ascii="Verdana" w:eastAsia="Times New Roman" w:hAnsi="Verdana" w:cs="Arial"/>
                <w:lang w:eastAsia="es-MX"/>
              </w:rPr>
              <w:t>.</w:t>
            </w:r>
            <w:r>
              <w:rPr>
                <w:rFonts w:ascii="Verdana" w:eastAsia="Times New Roman" w:hAnsi="Verdana" w:cs="Arial"/>
                <w:lang w:eastAsia="es-MX"/>
              </w:rPr>
              <w:t xml:space="preserve"> </w:t>
            </w:r>
            <w:r w:rsidRPr="00DB1EA1">
              <w:rPr>
                <w:rFonts w:ascii="Verdana" w:eastAsia="Times New Roman" w:hAnsi="Verdana" w:cs="Arial"/>
                <w:lang w:eastAsia="es-MX"/>
              </w:rPr>
              <w:t xml:space="preserve">Por tanto, </w:t>
            </w:r>
            <w:r>
              <w:rPr>
                <w:rFonts w:ascii="Verdana" w:eastAsia="Times New Roman" w:hAnsi="Verdana" w:cs="Arial"/>
                <w:lang w:eastAsia="es-MX"/>
              </w:rPr>
              <w:t xml:space="preserve">si coexisten los requisitos de carácter orgánico y material en la causal </w:t>
            </w:r>
            <w:r w:rsidRPr="002A22D8">
              <w:rPr>
                <w:rFonts w:ascii="Verdana" w:eastAsia="Times New Roman" w:hAnsi="Verdana" w:cs="Arial"/>
                <w:i/>
                <w:iCs/>
                <w:lang w:eastAsia="es-MX"/>
              </w:rPr>
              <w:t>sub examine</w:t>
            </w:r>
            <w:r w:rsidRPr="00DB1EA1">
              <w:rPr>
                <w:rFonts w:ascii="Verdana" w:eastAsia="Times New Roman" w:hAnsi="Verdana" w:cs="Arial"/>
                <w:lang w:eastAsia="es-MX"/>
              </w:rPr>
              <w:t xml:space="preserve">, </w:t>
            </w:r>
            <w:r>
              <w:rPr>
                <w:rFonts w:ascii="Verdana" w:eastAsia="Times New Roman" w:hAnsi="Verdana" w:cs="Arial"/>
                <w:lang w:eastAsia="es-MX"/>
              </w:rPr>
              <w:t>pueden</w:t>
            </w:r>
            <w:r w:rsidRPr="00DB1EA1">
              <w:rPr>
                <w:rFonts w:ascii="Verdana" w:eastAsia="Times New Roman" w:hAnsi="Verdana" w:cs="Arial"/>
                <w:lang w:eastAsia="es-MX"/>
              </w:rPr>
              <w:t xml:space="preserve"> </w:t>
            </w:r>
            <w:r>
              <w:rPr>
                <w:rFonts w:ascii="Verdana" w:eastAsia="Times New Roman" w:hAnsi="Verdana" w:cs="Arial"/>
                <w:lang w:eastAsia="es-MX"/>
              </w:rPr>
              <w:t>excepcionarse los procedimientos</w:t>
            </w:r>
            <w:r w:rsidRPr="00DB1EA1">
              <w:rPr>
                <w:rFonts w:ascii="Verdana" w:eastAsia="Times New Roman" w:hAnsi="Verdana" w:cs="Arial"/>
                <w:lang w:eastAsia="es-MX"/>
              </w:rPr>
              <w:t xml:space="preserve"> de selección con pluralidad de oferentes, </w:t>
            </w:r>
            <w:r>
              <w:rPr>
                <w:rFonts w:ascii="Verdana" w:eastAsia="Times New Roman" w:hAnsi="Verdana" w:cs="Arial"/>
                <w:lang w:eastAsia="es-MX"/>
              </w:rPr>
              <w:t>incluso durante la vigencia de la ley de garantías, pues la contratación directa para la defensa y seguridad del Estado está permitida en el inciso segundo del artículo 33 de la Ley 996 de 2005</w:t>
            </w:r>
            <w:r w:rsidRPr="00DB1EA1">
              <w:rPr>
                <w:rFonts w:ascii="Verdana" w:eastAsia="Times New Roman" w:hAnsi="Verdana" w:cs="Arial"/>
                <w:lang w:eastAsia="es-MX"/>
              </w:rPr>
              <w:t>.</w:t>
            </w:r>
          </w:p>
          <w:p w14:paraId="22ACB8E6" w14:textId="77777777" w:rsidR="00AB1573" w:rsidRPr="001941FD" w:rsidRDefault="00AB1573" w:rsidP="00E61993">
            <w:pPr>
              <w:spacing w:line="276" w:lineRule="auto"/>
              <w:ind w:right="51" w:firstLine="737"/>
              <w:jc w:val="both"/>
              <w:rPr>
                <w:rFonts w:ascii="Verdana" w:eastAsia="Calibri" w:hAnsi="Verdana" w:cs="Arial"/>
                <w:bCs/>
                <w:color w:val="000000" w:themeColor="text1"/>
              </w:rPr>
            </w:pPr>
            <w:r w:rsidRPr="00D10E3B">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041D9804" w14:textId="77777777" w:rsidR="00AB1573" w:rsidRPr="00593A5F" w:rsidRDefault="00AB1573" w:rsidP="00AB1573">
      <w:pPr>
        <w:tabs>
          <w:tab w:val="left" w:pos="142"/>
          <w:tab w:val="left" w:pos="284"/>
        </w:tabs>
        <w:spacing w:after="0" w:line="276" w:lineRule="auto"/>
        <w:jc w:val="both"/>
        <w:rPr>
          <w:rFonts w:ascii="Verdana" w:eastAsia="Century Gothic" w:hAnsi="Verdana" w:cs="Century Gothic"/>
          <w:b/>
          <w:bCs/>
          <w:lang w:val="es-ES"/>
        </w:rPr>
      </w:pPr>
    </w:p>
    <w:bookmarkEnd w:id="1"/>
    <w:p w14:paraId="7E5D9615" w14:textId="77777777" w:rsidR="00AB1573" w:rsidRPr="00593A5F" w:rsidRDefault="00AB1573" w:rsidP="00AB157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753B284" w14:textId="77777777" w:rsidR="00AB1573" w:rsidRPr="00593A5F" w:rsidRDefault="00AB1573" w:rsidP="00AB1573">
      <w:pPr>
        <w:spacing w:after="0" w:line="276" w:lineRule="auto"/>
        <w:jc w:val="both"/>
        <w:rPr>
          <w:rFonts w:ascii="Verdana" w:eastAsia="Calibri" w:hAnsi="Verdana" w:cs="Arial"/>
          <w:color w:val="7030A0"/>
          <w:lang w:val="es-ES"/>
        </w:rPr>
      </w:pPr>
    </w:p>
    <w:p w14:paraId="10F45AC8" w14:textId="77777777" w:rsidR="00AB1573" w:rsidRDefault="00AB1573" w:rsidP="00AB1573">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094B628E" w14:textId="77777777" w:rsidR="00AB1573" w:rsidRDefault="00AB1573" w:rsidP="00AB1573">
      <w:pPr>
        <w:spacing w:after="0" w:line="276" w:lineRule="auto"/>
        <w:jc w:val="both"/>
        <w:rPr>
          <w:rFonts w:ascii="Verdana" w:eastAsia="Calibri" w:hAnsi="Verdana" w:cs="Arial"/>
          <w:lang w:val="es-ES"/>
        </w:rPr>
      </w:pPr>
    </w:p>
    <w:p w14:paraId="2C10A865" w14:textId="77777777" w:rsidR="00AB1573" w:rsidRPr="009E105D" w:rsidRDefault="00AB1573" w:rsidP="00AB1573">
      <w:pPr>
        <w:tabs>
          <w:tab w:val="left" w:pos="426"/>
        </w:tabs>
        <w:spacing w:after="120" w:line="276" w:lineRule="auto"/>
        <w:jc w:val="both"/>
        <w:rPr>
          <w:rFonts w:ascii="Verdana" w:eastAsia="Times New Roman" w:hAnsi="Verdana" w:cs="Arial"/>
          <w:lang w:eastAsia="es-CO"/>
        </w:rPr>
      </w:pPr>
      <w:r>
        <w:rPr>
          <w:rFonts w:ascii="Verdana" w:eastAsia="Calibri" w:hAnsi="Verdana" w:cs="Arial"/>
          <w:color w:val="000000" w:themeColor="text1"/>
        </w:rPr>
        <w:t xml:space="preserve">i. </w:t>
      </w:r>
      <w:r w:rsidRPr="009E105D">
        <w:rPr>
          <w:rFonts w:ascii="Verdana" w:eastAsia="Calibri" w:hAnsi="Verdana" w:cs="Arial"/>
        </w:rPr>
        <w:t>El ordenamiento jurídico colombiano contempla previsiones claras para evitar la obtención de beneficios personales en asuntos propios de la administración pública</w:t>
      </w:r>
      <w:r w:rsidRPr="009E105D">
        <w:rPr>
          <w:rFonts w:ascii="Verdana" w:eastAsia="Calibri" w:hAnsi="Verdana" w:cs="Arial"/>
          <w:i/>
        </w:rPr>
        <w:t xml:space="preserve">. </w:t>
      </w:r>
      <w:r w:rsidRPr="009E105D">
        <w:rPr>
          <w:rFonts w:ascii="Verdana" w:eastAsia="Calibri" w:hAnsi="Verdana" w:cs="Arial"/>
        </w:rPr>
        <w:t>Por ejemplo, el artículo 127 de la Constitución Política establece una prohibición contractual a los servidores públicos y en cuanto a aspectos políticos consagra restricciones a ciertos empleados del Estado, incluso en época no electoral</w:t>
      </w:r>
      <w:r w:rsidRPr="009E105D">
        <w:rPr>
          <w:rFonts w:ascii="Verdana" w:eastAsia="Calibri" w:hAnsi="Verdana" w:cs="Arial"/>
          <w:vertAlign w:val="superscript"/>
        </w:rPr>
        <w:footnoteReference w:id="1"/>
      </w:r>
      <w:r w:rsidRPr="009E105D">
        <w:rPr>
          <w:rFonts w:ascii="Verdana" w:eastAsia="Calibri" w:hAnsi="Verdana" w:cs="Arial"/>
        </w:rPr>
        <w:t xml:space="preserve">. </w:t>
      </w:r>
    </w:p>
    <w:p w14:paraId="1618F71F" w14:textId="77777777" w:rsidR="00AB1573" w:rsidRPr="009E105D" w:rsidRDefault="00AB1573" w:rsidP="00AB1573">
      <w:pPr>
        <w:tabs>
          <w:tab w:val="left" w:pos="426"/>
        </w:tabs>
        <w:spacing w:after="0" w:line="276" w:lineRule="auto"/>
        <w:ind w:firstLine="709"/>
        <w:jc w:val="both"/>
        <w:rPr>
          <w:rFonts w:ascii="Verdana" w:eastAsia="Times New Roman" w:hAnsi="Verdana" w:cs="Arial"/>
          <w:lang w:val="es-MX" w:eastAsia="es-CO"/>
        </w:rPr>
      </w:pPr>
      <w:r w:rsidRPr="009E105D">
        <w:rPr>
          <w:rFonts w:ascii="Verdana" w:eastAsia="Times New Roman" w:hAnsi="Verdana" w:cs="Arial"/>
          <w:lang w:eastAsia="es-CO"/>
        </w:rPr>
        <w:lastRenderedPageBreak/>
        <w:t>En el mismo sentido</w:t>
      </w:r>
      <w:r w:rsidRPr="009E105D">
        <w:rPr>
          <w:rFonts w:ascii="Verdana" w:eastAsia="Times New Roman" w:hAnsi="Verdana" w:cs="Arial"/>
          <w:lang w:val="es-MX" w:eastAsia="es-CO"/>
        </w:rPr>
        <w:t xml:space="preserve">, </w:t>
      </w:r>
      <w:bookmarkStart w:id="2" w:name="_Hlk99576829"/>
      <w:r w:rsidRPr="009E105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9E105D">
        <w:rPr>
          <w:rFonts w:ascii="Verdana" w:eastAsia="Times New Roman" w:hAnsi="Verdana" w:cs="Arial"/>
          <w:vertAlign w:val="superscript"/>
          <w:lang w:val="es-MX" w:eastAsia="es-CO"/>
        </w:rPr>
        <w:footnoteReference w:id="2"/>
      </w:r>
      <w:r w:rsidRPr="009E105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9E105D">
        <w:rPr>
          <w:rFonts w:ascii="Verdana" w:eastAsia="Calibri" w:hAnsi="Verdana" w:cs="Arial"/>
          <w:lang w:val="es-ES_tradnl"/>
        </w:rPr>
        <w:t xml:space="preserve"> </w:t>
      </w:r>
      <w:bookmarkEnd w:id="2"/>
      <w:r w:rsidRPr="009E105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56CD1E3A" w14:textId="77777777" w:rsidR="00AB1573" w:rsidRPr="009E105D" w:rsidRDefault="00AB1573" w:rsidP="00AB1573">
      <w:pPr>
        <w:spacing w:after="0" w:line="276" w:lineRule="auto"/>
        <w:ind w:right="709"/>
        <w:contextualSpacing/>
        <w:jc w:val="both"/>
        <w:rPr>
          <w:rFonts w:ascii="Verdana" w:eastAsia="Times New Roman" w:hAnsi="Verdana" w:cs="Arial"/>
          <w:sz w:val="21"/>
          <w:szCs w:val="21"/>
          <w:lang w:val="es-ES" w:eastAsia="es-CO"/>
        </w:rPr>
      </w:pPr>
    </w:p>
    <w:p w14:paraId="160D793B" w14:textId="77777777" w:rsidR="00AB1573" w:rsidRPr="00E066AC" w:rsidRDefault="00AB1573" w:rsidP="00AB1573">
      <w:pPr>
        <w:spacing w:after="0" w:line="240" w:lineRule="auto"/>
        <w:ind w:left="709" w:right="709"/>
        <w:contextualSpacing/>
        <w:jc w:val="both"/>
        <w:rPr>
          <w:rFonts w:ascii="Verdana" w:eastAsia="Times New Roman" w:hAnsi="Verdana" w:cs="Arial"/>
          <w:sz w:val="20"/>
          <w:szCs w:val="20"/>
          <w:lang w:val="es-MX" w:eastAsia="es-CO"/>
        </w:rPr>
      </w:pPr>
      <w:r w:rsidRPr="00E066AC">
        <w:rPr>
          <w:rFonts w:ascii="Verdana" w:eastAsia="Times New Roman" w:hAnsi="Verdana" w:cs="Arial"/>
          <w:sz w:val="20"/>
          <w:szCs w:val="20"/>
          <w:lang w:val="es-ES" w:eastAsia="es-CO"/>
        </w:rPr>
        <w:t xml:space="preserve">“[…] </w:t>
      </w:r>
      <w:r w:rsidRPr="00E066AC">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1DF07DF7" w14:textId="77777777" w:rsidR="00AB1573" w:rsidRDefault="00AB1573" w:rsidP="00AB1573">
      <w:pPr>
        <w:spacing w:after="120" w:line="240" w:lineRule="auto"/>
        <w:ind w:left="709" w:right="709"/>
        <w:contextualSpacing/>
        <w:jc w:val="both"/>
        <w:rPr>
          <w:rFonts w:ascii="Verdana" w:eastAsia="Times New Roman" w:hAnsi="Verdana" w:cs="Arial"/>
          <w:sz w:val="20"/>
          <w:szCs w:val="20"/>
          <w:lang w:val="es-MX" w:eastAsia="es-CO"/>
        </w:rPr>
      </w:pPr>
      <w:r w:rsidRPr="00E066AC">
        <w:rPr>
          <w:rFonts w:ascii="Verdana" w:eastAsia="Times New Roman" w:hAnsi="Verdana" w:cs="Arial"/>
          <w:sz w:val="20"/>
          <w:szCs w:val="20"/>
          <w:lang w:val="es-MX" w:eastAsia="es-CO"/>
        </w:rPr>
        <w:t xml:space="preserve">[…] </w:t>
      </w:r>
    </w:p>
    <w:p w14:paraId="2E1D22AE" w14:textId="77777777" w:rsidR="00AB1573" w:rsidRPr="00E066AC" w:rsidRDefault="00AB1573" w:rsidP="00AB1573">
      <w:pPr>
        <w:spacing w:after="120" w:line="240" w:lineRule="auto"/>
        <w:ind w:left="709" w:right="709"/>
        <w:contextualSpacing/>
        <w:jc w:val="both"/>
        <w:rPr>
          <w:rFonts w:ascii="Verdana" w:eastAsia="Times New Roman" w:hAnsi="Verdana" w:cs="Arial"/>
          <w:sz w:val="12"/>
          <w:szCs w:val="12"/>
          <w:lang w:val="es-MX" w:eastAsia="es-CO"/>
        </w:rPr>
      </w:pPr>
    </w:p>
    <w:p w14:paraId="2EC83EA9" w14:textId="77777777" w:rsidR="00AB1573" w:rsidRPr="00E066AC" w:rsidRDefault="00AB1573" w:rsidP="00AB1573">
      <w:pPr>
        <w:spacing w:after="0" w:line="240" w:lineRule="auto"/>
        <w:ind w:left="709" w:right="709"/>
        <w:contextualSpacing/>
        <w:jc w:val="both"/>
        <w:rPr>
          <w:rFonts w:ascii="Verdana" w:eastAsia="Times New Roman" w:hAnsi="Verdana" w:cs="Arial"/>
          <w:sz w:val="20"/>
          <w:szCs w:val="20"/>
          <w:lang w:val="es-MX" w:eastAsia="es-CO"/>
        </w:rPr>
      </w:pPr>
      <w:r w:rsidRPr="00E066AC">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066AC">
        <w:rPr>
          <w:rFonts w:ascii="Verdana" w:eastAsia="Calibri" w:hAnsi="Verdana" w:cs="Arial"/>
          <w:sz w:val="20"/>
          <w:szCs w:val="20"/>
          <w:vertAlign w:val="superscript"/>
          <w:lang w:val="es-MX"/>
        </w:rPr>
        <w:footnoteReference w:id="3"/>
      </w:r>
      <w:r w:rsidRPr="00E066AC">
        <w:rPr>
          <w:rFonts w:ascii="Verdana" w:eastAsia="Times New Roman" w:hAnsi="Verdana" w:cs="Arial"/>
          <w:sz w:val="20"/>
          <w:szCs w:val="20"/>
          <w:lang w:val="es-MX" w:eastAsia="es-CO"/>
        </w:rPr>
        <w:t>.</w:t>
      </w:r>
    </w:p>
    <w:p w14:paraId="53189DE1" w14:textId="77777777" w:rsidR="00AB1573" w:rsidRPr="009E105D" w:rsidRDefault="00AB1573" w:rsidP="00AB1573">
      <w:pPr>
        <w:spacing w:after="0" w:line="276" w:lineRule="auto"/>
        <w:ind w:left="709" w:right="709"/>
        <w:contextualSpacing/>
        <w:jc w:val="both"/>
        <w:rPr>
          <w:rFonts w:ascii="Verdana" w:eastAsia="Times New Roman" w:hAnsi="Verdana" w:cs="Arial"/>
          <w:sz w:val="21"/>
          <w:szCs w:val="21"/>
          <w:lang w:val="es-MX" w:eastAsia="es-CO"/>
        </w:rPr>
      </w:pPr>
    </w:p>
    <w:p w14:paraId="726D9B53" w14:textId="77777777" w:rsidR="00AB1573" w:rsidRPr="009E105D" w:rsidRDefault="00AB1573" w:rsidP="00AB1573">
      <w:pPr>
        <w:spacing w:after="0" w:line="276" w:lineRule="auto"/>
        <w:ind w:firstLine="709"/>
        <w:jc w:val="both"/>
        <w:rPr>
          <w:rFonts w:ascii="Verdana" w:eastAsia="Times New Roman" w:hAnsi="Verdana" w:cs="Arial"/>
          <w:lang w:val="es-MX" w:eastAsia="es-CO"/>
        </w:rPr>
      </w:pPr>
      <w:bookmarkStart w:id="3" w:name="_Hlk78818186"/>
      <w:r w:rsidRPr="009E105D">
        <w:rPr>
          <w:rFonts w:ascii="Verdana" w:eastAsia="Times New Roman" w:hAnsi="Verdana" w:cs="Arial"/>
          <w:lang w:val="es-MX" w:eastAsia="es-CO"/>
        </w:rPr>
        <w:t xml:space="preserve">De esta manera,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3"/>
      <w:r w:rsidRPr="009E105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71ECB024" w14:textId="77777777" w:rsidR="00AB1573" w:rsidRPr="009E105D" w:rsidRDefault="00AB1573" w:rsidP="00AB1573">
      <w:pPr>
        <w:spacing w:after="0" w:line="276" w:lineRule="auto"/>
        <w:ind w:firstLine="709"/>
        <w:contextualSpacing/>
        <w:jc w:val="both"/>
        <w:rPr>
          <w:rFonts w:ascii="Verdana" w:eastAsia="Times New Roman" w:hAnsi="Verdana" w:cs="Arial"/>
          <w:lang w:val="es-MX" w:eastAsia="es-CO"/>
        </w:rPr>
      </w:pPr>
    </w:p>
    <w:p w14:paraId="202E51FC" w14:textId="77777777" w:rsidR="00AB1573" w:rsidRPr="00E066AC" w:rsidRDefault="00AB1573" w:rsidP="00AB1573">
      <w:pPr>
        <w:spacing w:after="0" w:line="240" w:lineRule="auto"/>
        <w:ind w:left="709" w:right="709"/>
        <w:contextualSpacing/>
        <w:jc w:val="both"/>
        <w:rPr>
          <w:rFonts w:ascii="Verdana" w:eastAsia="Times New Roman" w:hAnsi="Verdana" w:cs="Arial"/>
          <w:sz w:val="20"/>
          <w:szCs w:val="20"/>
          <w:lang w:val="es-MX" w:eastAsia="es-CO"/>
        </w:rPr>
      </w:pPr>
      <w:r w:rsidRPr="00E066AC">
        <w:rPr>
          <w:rFonts w:ascii="Verdana" w:eastAsia="Times New Roman" w:hAnsi="Verdana" w:cs="Arial"/>
          <w:sz w:val="20"/>
          <w:szCs w:val="20"/>
          <w:lang w:val="es-MX" w:eastAsia="es-CO"/>
        </w:rPr>
        <w:lastRenderedPageBreak/>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C0C0298" w14:textId="77777777" w:rsidR="00AB1573" w:rsidRPr="00E066AC" w:rsidRDefault="00AB1573" w:rsidP="00AB1573">
      <w:pPr>
        <w:spacing w:after="0" w:line="240" w:lineRule="auto"/>
        <w:ind w:right="709"/>
        <w:contextualSpacing/>
        <w:jc w:val="both"/>
        <w:rPr>
          <w:rFonts w:ascii="Verdana" w:eastAsia="Times New Roman" w:hAnsi="Verdana" w:cs="Arial"/>
          <w:sz w:val="12"/>
          <w:szCs w:val="12"/>
          <w:lang w:val="es-MX" w:eastAsia="es-CO"/>
        </w:rPr>
      </w:pPr>
    </w:p>
    <w:p w14:paraId="63CC5716" w14:textId="77777777" w:rsidR="00AB1573" w:rsidRPr="00E066AC" w:rsidRDefault="00AB1573" w:rsidP="00AB1573">
      <w:pPr>
        <w:spacing w:after="0" w:line="240" w:lineRule="auto"/>
        <w:ind w:left="709" w:right="709"/>
        <w:contextualSpacing/>
        <w:jc w:val="both"/>
        <w:rPr>
          <w:rFonts w:ascii="Verdana" w:eastAsia="Times New Roman" w:hAnsi="Verdana" w:cs="Arial"/>
          <w:sz w:val="20"/>
          <w:szCs w:val="20"/>
          <w:lang w:val="es-MX" w:eastAsia="es-CO"/>
        </w:rPr>
      </w:pPr>
      <w:r w:rsidRPr="00E066AC">
        <w:rPr>
          <w:rFonts w:ascii="Verdana" w:eastAsia="Times New Roman" w:hAnsi="Verdana" w:cs="Arial"/>
          <w:sz w:val="20"/>
          <w:szCs w:val="20"/>
          <w:lang w:val="es-MX" w:eastAsia="es-CO"/>
        </w:rPr>
        <w:t>La jurisprudencia de la Corte Constitucional</w:t>
      </w:r>
      <w:r w:rsidRPr="00E066AC">
        <w:rPr>
          <w:rFonts w:ascii="Verdana" w:eastAsia="Times New Roman" w:hAnsi="Verdana" w:cs="Arial"/>
          <w:sz w:val="20"/>
          <w:szCs w:val="20"/>
          <w:vertAlign w:val="superscript"/>
          <w:lang w:val="es-MX" w:eastAsia="es-CO"/>
        </w:rPr>
        <w:footnoteReference w:id="4"/>
      </w:r>
      <w:r w:rsidRPr="00E066AC">
        <w:rPr>
          <w:rFonts w:ascii="Verdana" w:eastAsia="Times New Roman" w:hAnsi="Verdana" w:cs="Arial"/>
          <w:sz w:val="20"/>
          <w:szCs w:val="20"/>
          <w:lang w:val="es-MX" w:eastAsia="es-CO"/>
        </w:rPr>
        <w:t> y del Consejo de Estado</w:t>
      </w:r>
      <w:r w:rsidRPr="00E066AC">
        <w:rPr>
          <w:rFonts w:ascii="Verdana" w:eastAsia="Times New Roman" w:hAnsi="Verdana" w:cs="Arial"/>
          <w:sz w:val="20"/>
          <w:szCs w:val="20"/>
          <w:vertAlign w:val="superscript"/>
          <w:lang w:val="es-MX" w:eastAsia="es-CO"/>
        </w:rPr>
        <w:footnoteReference w:id="5"/>
      </w:r>
      <w:r w:rsidRPr="00E066AC">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066AC">
        <w:rPr>
          <w:rFonts w:ascii="Verdana" w:eastAsia="Times New Roman" w:hAnsi="Verdana" w:cs="Arial"/>
          <w:sz w:val="20"/>
          <w:szCs w:val="20"/>
          <w:vertAlign w:val="superscript"/>
          <w:lang w:val="es-MX" w:eastAsia="es-CO"/>
        </w:rPr>
        <w:footnoteReference w:id="6"/>
      </w:r>
      <w:r w:rsidRPr="00E066AC">
        <w:rPr>
          <w:rFonts w:ascii="Verdana" w:eastAsia="Times New Roman" w:hAnsi="Verdana" w:cs="Arial"/>
          <w:sz w:val="20"/>
          <w:szCs w:val="20"/>
          <w:lang w:val="es-MX" w:eastAsia="es-CO"/>
        </w:rPr>
        <w:t>.</w:t>
      </w:r>
    </w:p>
    <w:p w14:paraId="3135C6FA" w14:textId="77777777" w:rsidR="00AB1573" w:rsidRPr="009E105D" w:rsidRDefault="00AB1573" w:rsidP="00AB1573">
      <w:pPr>
        <w:spacing w:after="0" w:line="276" w:lineRule="auto"/>
        <w:ind w:right="709"/>
        <w:contextualSpacing/>
        <w:jc w:val="both"/>
        <w:rPr>
          <w:rFonts w:ascii="Verdana" w:eastAsia="Times New Roman" w:hAnsi="Verdana" w:cs="Arial"/>
          <w:sz w:val="21"/>
          <w:szCs w:val="21"/>
          <w:lang w:val="es-MX" w:eastAsia="es-CO"/>
        </w:rPr>
      </w:pPr>
    </w:p>
    <w:p w14:paraId="771F3271" w14:textId="77777777" w:rsidR="00AB1573" w:rsidRPr="009E105D" w:rsidRDefault="00AB1573" w:rsidP="00AB1573">
      <w:pPr>
        <w:spacing w:after="120" w:line="276" w:lineRule="auto"/>
        <w:jc w:val="both"/>
        <w:rPr>
          <w:rFonts w:ascii="Verdana" w:eastAsia="Arial" w:hAnsi="Verdana" w:cs="Arial"/>
          <w:lang w:val="es-ES" w:eastAsia="es-ES" w:bidi="es-ES"/>
        </w:rPr>
      </w:pPr>
      <w:r w:rsidRPr="009E105D">
        <w:rPr>
          <w:rFonts w:ascii="Verdana" w:eastAsia="Times New Roman" w:hAnsi="Verdana" w:cs="Arial"/>
          <w:lang w:val="es-MX" w:eastAsia="es-CO"/>
        </w:rPr>
        <w:tab/>
        <w:t>De</w:t>
      </w:r>
      <w:r w:rsidRPr="009E105D">
        <w:rPr>
          <w:rFonts w:ascii="Verdana" w:eastAsia="Arial" w:hAnsi="Verdana" w:cs="Arial"/>
          <w:lang w:val="es-ES" w:eastAsia="es-ES" w:bidi="es-ES"/>
        </w:rPr>
        <w:t xml:space="preserve"> conformidad con lo anterior, </w:t>
      </w:r>
      <w:bookmarkStart w:id="4" w:name="_Hlk77236098"/>
      <w:bookmarkStart w:id="5" w:name="_Hlk100679383"/>
      <w:r w:rsidRPr="009E105D">
        <w:rPr>
          <w:rFonts w:ascii="Verdana" w:eastAsia="Arial" w:hAnsi="Verdana"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4"/>
    </w:p>
    <w:p w14:paraId="02DF2027" w14:textId="77777777" w:rsidR="00AB1573" w:rsidRPr="009E105D" w:rsidRDefault="00AB1573" w:rsidP="00AB1573">
      <w:pPr>
        <w:spacing w:after="120" w:line="276" w:lineRule="auto"/>
        <w:ind w:firstLine="708"/>
        <w:jc w:val="both"/>
        <w:rPr>
          <w:rFonts w:ascii="Verdana" w:eastAsia="Calibri" w:hAnsi="Verdana" w:cs="Arial"/>
        </w:rPr>
      </w:pPr>
      <w:r w:rsidRPr="00C50FB4">
        <w:rPr>
          <w:rFonts w:ascii="Verdana" w:eastAsia="Calibri" w:hAnsi="Verdana" w:cs="Arial"/>
          <w:i/>
          <w:iCs/>
        </w:rPr>
        <w:lastRenderedPageBreak/>
        <w:t>Por un lado</w:t>
      </w:r>
      <w:r w:rsidRPr="009E105D">
        <w:rPr>
          <w:rFonts w:ascii="Verdana" w:eastAsia="Calibri" w:hAnsi="Verdana" w:cs="Arial"/>
        </w:rPr>
        <w:t>,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E105D">
        <w:rPr>
          <w:rFonts w:ascii="Verdana" w:eastAsia="Calibri" w:hAnsi="Verdana" w:cs="Arial"/>
          <w:vertAlign w:val="superscript"/>
        </w:rPr>
        <w:footnoteReference w:id="7"/>
      </w:r>
      <w:r w:rsidRPr="009E105D">
        <w:rPr>
          <w:rFonts w:ascii="Verdana" w:eastAsia="Calibri" w:hAnsi="Verdana" w:cs="Arial"/>
        </w:rPr>
        <w:t>.</w:t>
      </w:r>
    </w:p>
    <w:p w14:paraId="44E11876" w14:textId="77777777" w:rsidR="00AB1573" w:rsidRPr="009E105D" w:rsidRDefault="00AB1573" w:rsidP="00AB1573">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C50FB4">
        <w:rPr>
          <w:rFonts w:ascii="Verdana" w:eastAsia="Calibri" w:hAnsi="Verdana" w:cs="Arial"/>
          <w:i/>
          <w:iCs/>
        </w:rPr>
        <w:t>Por otro</w:t>
      </w:r>
      <w:r w:rsidRPr="009E105D">
        <w:rPr>
          <w:rFonts w:ascii="Verdana" w:eastAsia="Calibri" w:hAnsi="Verdana" w:cs="Arial"/>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9E105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E105D">
        <w:rPr>
          <w:rFonts w:ascii="Verdana" w:eastAsia="Calibri" w:hAnsi="Verdana" w:cs="Arial"/>
          <w:sz w:val="19"/>
          <w:szCs w:val="19"/>
        </w:rPr>
        <w:t>”</w:t>
      </w:r>
      <w:bookmarkEnd w:id="5"/>
      <w:r w:rsidRPr="009E105D">
        <w:rPr>
          <w:rFonts w:ascii="Verdana" w:eastAsia="Calibri" w:hAnsi="Verdana" w:cs="Arial"/>
          <w:sz w:val="19"/>
          <w:szCs w:val="19"/>
          <w:vertAlign w:val="superscript"/>
        </w:rPr>
        <w:footnoteReference w:id="8"/>
      </w:r>
      <w:r w:rsidRPr="009E105D">
        <w:rPr>
          <w:rFonts w:ascii="Verdana" w:eastAsia="Calibri" w:hAnsi="Verdana" w:cs="Arial"/>
          <w:lang w:val="es-MX"/>
        </w:rPr>
        <w:t>.</w:t>
      </w:r>
      <w:r w:rsidRPr="009E105D">
        <w:rPr>
          <w:rFonts w:ascii="Verdana" w:eastAsia="Arial" w:hAnsi="Verdana"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0A744BBA" w14:textId="77777777" w:rsidR="00AB1573" w:rsidRPr="009E105D" w:rsidRDefault="00AB1573" w:rsidP="00AB1573">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2A89D56B" w14:textId="77777777" w:rsidR="00AB1573" w:rsidRPr="00E066AC" w:rsidRDefault="00AB1573" w:rsidP="00AB1573">
      <w:pPr>
        <w:widowControl w:val="0"/>
        <w:autoSpaceDE w:val="0"/>
        <w:autoSpaceDN w:val="0"/>
        <w:spacing w:after="0" w:line="240" w:lineRule="auto"/>
        <w:ind w:left="709" w:right="709"/>
        <w:contextualSpacing/>
        <w:jc w:val="both"/>
        <w:rPr>
          <w:rFonts w:ascii="Verdana" w:eastAsia="Arial" w:hAnsi="Verdana" w:cs="Arial"/>
          <w:sz w:val="20"/>
          <w:szCs w:val="20"/>
          <w:lang w:val="es-ES" w:eastAsia="es-ES" w:bidi="es-ES"/>
        </w:rPr>
      </w:pPr>
      <w:r w:rsidRPr="00E066AC">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w:t>
      </w:r>
      <w:r w:rsidRPr="00E066AC">
        <w:rPr>
          <w:rFonts w:ascii="Verdana" w:eastAsia="Arial" w:hAnsi="Verdana" w:cs="Arial"/>
          <w:sz w:val="20"/>
          <w:szCs w:val="20"/>
          <w:lang w:val="es-ES" w:eastAsia="es-ES" w:bidi="es-ES"/>
        </w:rPr>
        <w:lastRenderedPageBreak/>
        <w:t xml:space="preserve">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8" w:name="_Hlk76109421"/>
      <w:r w:rsidRPr="00E066AC">
        <w:rPr>
          <w:rFonts w:ascii="Verdana" w:eastAsia="Arial" w:hAnsi="Verdana" w:cs="Arial"/>
          <w:sz w:val="20"/>
          <w:szCs w:val="20"/>
          <w:lang w:val="es-ES" w:eastAsia="es-ES" w:bidi="es-ES"/>
        </w:rPr>
        <w:t>se integran parcialmente</w:t>
      </w:r>
      <w:bookmarkEnd w:id="8"/>
      <w:r w:rsidRPr="00E066AC">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066AC">
        <w:rPr>
          <w:rFonts w:ascii="Verdana" w:eastAsia="Arial" w:hAnsi="Verdana" w:cs="Arial"/>
          <w:sz w:val="20"/>
          <w:szCs w:val="20"/>
          <w:lang w:val="es-ES" w:eastAsia="es-ES" w:bidi="es-ES"/>
        </w:rPr>
        <w:t>Presidente</w:t>
      </w:r>
      <w:proofErr w:type="gramEnd"/>
      <w:r w:rsidRPr="00E066AC">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E066AC">
        <w:rPr>
          <w:rFonts w:ascii="Verdana" w:eastAsia="Arial" w:hAnsi="Verdana" w:cs="Arial"/>
          <w:sz w:val="20"/>
          <w:szCs w:val="20"/>
          <w:vertAlign w:val="superscript"/>
          <w:lang w:val="es-ES" w:eastAsia="es-ES" w:bidi="es-ES"/>
        </w:rPr>
        <w:footnoteReference w:id="9"/>
      </w:r>
      <w:r w:rsidRPr="00E066AC">
        <w:rPr>
          <w:rFonts w:ascii="Verdana" w:eastAsia="Arial" w:hAnsi="Verdana" w:cs="Arial"/>
          <w:sz w:val="20"/>
          <w:szCs w:val="20"/>
          <w:lang w:val="es-ES" w:eastAsia="es-ES" w:bidi="es-ES"/>
        </w:rPr>
        <w:t>.</w:t>
      </w:r>
    </w:p>
    <w:p w14:paraId="04CD4237" w14:textId="77777777" w:rsidR="00AB1573" w:rsidRPr="009E105D" w:rsidRDefault="00AB1573" w:rsidP="00AB1573">
      <w:pPr>
        <w:widowControl w:val="0"/>
        <w:autoSpaceDE w:val="0"/>
        <w:autoSpaceDN w:val="0"/>
        <w:spacing w:after="0" w:line="276" w:lineRule="auto"/>
        <w:contextualSpacing/>
        <w:rPr>
          <w:rFonts w:ascii="Verdana" w:eastAsia="Arial" w:hAnsi="Verdana" w:cs="Arial"/>
          <w:lang w:val="es-ES" w:eastAsia="es-ES" w:bidi="es-ES"/>
        </w:rPr>
      </w:pPr>
    </w:p>
    <w:p w14:paraId="5171F160" w14:textId="77777777" w:rsidR="00AB1573" w:rsidRPr="009E105D" w:rsidRDefault="00AB1573" w:rsidP="00AB1573">
      <w:pPr>
        <w:spacing w:after="120" w:line="276" w:lineRule="auto"/>
        <w:ind w:firstLine="709"/>
        <w:jc w:val="both"/>
        <w:rPr>
          <w:rFonts w:ascii="Verdana" w:eastAsia="Arial" w:hAnsi="Verdana" w:cs="Arial"/>
          <w:lang w:val="es-ES" w:eastAsia="es-ES" w:bidi="es-ES"/>
        </w:rPr>
      </w:pPr>
      <w:r w:rsidRPr="009E105D">
        <w:rPr>
          <w:rFonts w:ascii="Verdana" w:eastAsia="Arial" w:hAnsi="Verdana" w:cs="Arial"/>
          <w:lang w:val="es-ES" w:eastAsia="es-ES" w:bidi="es-ES"/>
        </w:rPr>
        <w:t xml:space="preserve">De conformidad con lo anterior, </w:t>
      </w:r>
      <w:bookmarkStart w:id="9" w:name="_Hlk77236420"/>
      <w:bookmarkStart w:id="10" w:name="_Hlk78818435"/>
      <w:bookmarkStart w:id="11" w:name="_Hlk75780333"/>
      <w:r w:rsidRPr="009E105D">
        <w:rPr>
          <w:rFonts w:ascii="Verdana" w:eastAsia="Arial" w:hAnsi="Verdana" w:cs="Arial"/>
          <w:lang w:val="es-ES" w:eastAsia="es-ES" w:bidi="es-ES"/>
        </w:rPr>
        <w:t xml:space="preserve">la Ley 996 de 2005 establece dos (2) tipos de restricciones en materia de contratación, las cuales coinciden parcialmente. </w:t>
      </w:r>
      <w:r w:rsidRPr="009E105D">
        <w:rPr>
          <w:rFonts w:ascii="Verdana" w:eastAsia="Arial" w:hAnsi="Verdana" w:cs="Arial"/>
          <w:i/>
          <w:lang w:val="es-ES" w:eastAsia="es-ES" w:bidi="es-ES"/>
        </w:rPr>
        <w:t>En primer lugar</w:t>
      </w:r>
      <w:r w:rsidRPr="009E105D">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9E105D">
        <w:rPr>
          <w:rFonts w:ascii="Verdana" w:eastAsia="Arial" w:hAnsi="Verdana" w:cs="Arial"/>
          <w:i/>
          <w:lang w:val="es-ES" w:eastAsia="es-ES" w:bidi="es-ES"/>
        </w:rPr>
        <w:t>En segundo lugar</w:t>
      </w:r>
      <w:r w:rsidRPr="009E105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9"/>
    </w:p>
    <w:bookmarkEnd w:id="10"/>
    <w:p w14:paraId="1B45CEF6" w14:textId="77777777" w:rsidR="00AB1573" w:rsidRPr="009E105D" w:rsidRDefault="00AB1573" w:rsidP="00AB1573">
      <w:pPr>
        <w:spacing w:after="120" w:line="276" w:lineRule="auto"/>
        <w:ind w:firstLine="709"/>
        <w:jc w:val="both"/>
        <w:rPr>
          <w:rFonts w:ascii="Verdana" w:eastAsia="Arial" w:hAnsi="Verdana" w:cs="Arial"/>
          <w:lang w:val="es-ES" w:eastAsia="es-ES" w:bidi="es-ES"/>
        </w:rPr>
      </w:pPr>
      <w:r w:rsidRPr="009E105D">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9E105D">
        <w:rPr>
          <w:rFonts w:ascii="Verdana" w:eastAsia="Arial" w:hAnsi="Verdana" w:cs="Arial"/>
          <w:lang w:val="es-ES" w:eastAsia="es-ES" w:bidi="es-ES"/>
        </w:rPr>
        <w:t>Presidente</w:t>
      </w:r>
      <w:proofErr w:type="gramEnd"/>
      <w:r w:rsidRPr="009E105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1"/>
    <w:p w14:paraId="60217A19" w14:textId="77777777" w:rsidR="00AB1573" w:rsidRDefault="00AB1573" w:rsidP="00AB1573">
      <w:pPr>
        <w:spacing w:after="0" w:line="276" w:lineRule="auto"/>
        <w:ind w:firstLine="708"/>
        <w:jc w:val="both"/>
        <w:rPr>
          <w:rFonts w:ascii="Verdana" w:eastAsia="Arial" w:hAnsi="Verdana" w:cs="Arial"/>
          <w:lang w:val="es-ES" w:eastAsia="es-ES" w:bidi="es-ES"/>
        </w:rPr>
      </w:pPr>
      <w:r w:rsidRPr="009E105D">
        <w:rPr>
          <w:rFonts w:ascii="Verdana" w:eastAsia="Arial" w:hAnsi="Verdana" w:cs="Arial"/>
          <w:lang w:val="es-ES" w:eastAsia="es-ES" w:bidi="es-ES"/>
        </w:rPr>
        <w:lastRenderedPageBreak/>
        <w:t>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7F55FCE6" w14:textId="77777777" w:rsidR="00AB1573" w:rsidRDefault="00AB1573" w:rsidP="00AB1573">
      <w:pPr>
        <w:spacing w:after="0" w:line="276" w:lineRule="auto"/>
        <w:jc w:val="both"/>
        <w:rPr>
          <w:rFonts w:ascii="Verdana" w:eastAsia="Arial" w:hAnsi="Verdana" w:cs="Arial"/>
          <w:lang w:val="es-ES" w:eastAsia="es-ES" w:bidi="es-ES"/>
        </w:rPr>
      </w:pPr>
    </w:p>
    <w:p w14:paraId="20D4125F" w14:textId="77777777" w:rsidR="00AB1573" w:rsidRPr="00F8199A" w:rsidRDefault="00AB1573" w:rsidP="00AB1573">
      <w:pPr>
        <w:spacing w:after="0" w:line="276" w:lineRule="auto"/>
        <w:jc w:val="both"/>
        <w:rPr>
          <w:rFonts w:ascii="Verdana" w:hAnsi="Verdana" w:cs="Arial"/>
          <w:bCs/>
          <w:lang w:val="es-MX" w:eastAsia="es-CO"/>
        </w:rPr>
      </w:pPr>
      <w:proofErr w:type="spellStart"/>
      <w:r w:rsidRPr="00F8199A">
        <w:rPr>
          <w:rFonts w:ascii="Verdana" w:eastAsia="Arial" w:hAnsi="Verdana" w:cs="Arial"/>
          <w:lang w:val="es-ES" w:eastAsia="es-ES" w:bidi="es-ES"/>
        </w:rPr>
        <w:t>ii</w:t>
      </w:r>
      <w:proofErr w:type="spellEnd"/>
      <w:r w:rsidRPr="00F8199A">
        <w:rPr>
          <w:rFonts w:ascii="Verdana" w:eastAsia="Arial" w:hAnsi="Verdana" w:cs="Arial"/>
          <w:lang w:val="es-ES" w:eastAsia="es-ES" w:bidi="es-ES"/>
        </w:rPr>
        <w:t xml:space="preserve">. </w:t>
      </w:r>
      <w:r w:rsidRPr="00F8199A">
        <w:rPr>
          <w:rFonts w:ascii="Verdana"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F8199A">
        <w:rPr>
          <w:rFonts w:ascii="Verdana" w:hAnsi="Verdana" w:cs="Arial"/>
          <w:bCs/>
          <w:lang w:val="es-MX" w:eastAsia="x-none"/>
        </w:rPr>
        <w:t>queda prohibida la contratación directa</w:t>
      </w:r>
      <w:r>
        <w:rPr>
          <w:rFonts w:ascii="Verdana" w:hAnsi="Verdana" w:cs="Arial"/>
          <w:sz w:val="20"/>
          <w:szCs w:val="20"/>
          <w:lang w:val="es-MX"/>
        </w:rPr>
        <w:t>”</w:t>
      </w:r>
      <w:r w:rsidRPr="00F8199A">
        <w:rPr>
          <w:rFonts w:ascii="Verdana" w:hAnsi="Verdana" w:cs="Arial"/>
          <w:bCs/>
          <w:lang w:val="es-MX" w:eastAsia="x-none"/>
        </w:rPr>
        <w:t xml:space="preserve">. </w:t>
      </w:r>
      <w:r w:rsidRPr="00F8199A">
        <w:rPr>
          <w:rFonts w:ascii="Verdana" w:hAnsi="Verdana" w:cs="Arial"/>
          <w:lang w:val="es-MX" w:eastAsia="es-CO"/>
        </w:rPr>
        <w:t xml:space="preserve"> A propósito de </w:t>
      </w:r>
      <w:r w:rsidRPr="00F8199A">
        <w:rPr>
          <w:rFonts w:ascii="Verdana" w:hAnsi="Verdana" w:cs="Arial"/>
          <w:lang w:eastAsia="es-CO"/>
        </w:rPr>
        <w:t>esta restricción de la Ley de Garantías Electorales, la Sala de Consulta y Servicio Civil del Consejo de Estado ha considerado que:</w:t>
      </w:r>
    </w:p>
    <w:p w14:paraId="02D181EF" w14:textId="77777777" w:rsidR="00AB1573" w:rsidRPr="00F8199A" w:rsidRDefault="00AB1573" w:rsidP="00AB1573">
      <w:pPr>
        <w:spacing w:after="0" w:line="276" w:lineRule="auto"/>
        <w:ind w:left="708" w:right="709"/>
        <w:jc w:val="both"/>
        <w:rPr>
          <w:rFonts w:ascii="Verdana" w:hAnsi="Verdana" w:cs="Arial"/>
          <w:lang w:val="es-MX"/>
        </w:rPr>
      </w:pPr>
    </w:p>
    <w:p w14:paraId="3A7262E0" w14:textId="77777777" w:rsidR="00AB1573" w:rsidRPr="00F8199A" w:rsidRDefault="00AB1573" w:rsidP="00AB1573">
      <w:pPr>
        <w:spacing w:after="120"/>
        <w:ind w:left="709" w:right="709"/>
        <w:jc w:val="both"/>
        <w:rPr>
          <w:rFonts w:ascii="Verdana" w:hAnsi="Verdana" w:cs="Arial"/>
          <w:sz w:val="20"/>
          <w:szCs w:val="20"/>
          <w:lang w:val="es-MX"/>
        </w:rPr>
      </w:pPr>
      <w:r>
        <w:rPr>
          <w:rFonts w:ascii="Verdana" w:hAnsi="Verdana" w:cs="Arial"/>
          <w:sz w:val="18"/>
          <w:szCs w:val="18"/>
          <w:lang w:val="es-MX"/>
        </w:rPr>
        <w:t>“</w:t>
      </w:r>
      <w:r w:rsidRPr="00F8199A">
        <w:rPr>
          <w:rFonts w:ascii="Verdana"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F8199A">
        <w:rPr>
          <w:rFonts w:ascii="Verdana" w:hAnsi="Verdana" w:cs="Arial"/>
          <w:sz w:val="20"/>
          <w:szCs w:val="20"/>
          <w:vertAlign w:val="superscript"/>
          <w:lang w:eastAsia="es-CO"/>
        </w:rPr>
        <w:footnoteReference w:id="10"/>
      </w:r>
      <w:r w:rsidRPr="00F8199A">
        <w:rPr>
          <w:rFonts w:ascii="Verdana" w:hAnsi="Verdana" w:cs="Arial"/>
          <w:sz w:val="20"/>
          <w:szCs w:val="20"/>
          <w:lang w:val="es-MX"/>
        </w:rPr>
        <w:t>.</w:t>
      </w:r>
    </w:p>
    <w:p w14:paraId="5147F5EE" w14:textId="77777777" w:rsidR="00AB1573" w:rsidRPr="00F8199A" w:rsidRDefault="00AB1573" w:rsidP="00AB1573">
      <w:pPr>
        <w:spacing w:after="0"/>
        <w:ind w:left="708" w:right="709"/>
        <w:jc w:val="both"/>
        <w:rPr>
          <w:rFonts w:ascii="Verdana" w:hAnsi="Verdana" w:cs="Arial"/>
          <w:sz w:val="20"/>
          <w:szCs w:val="20"/>
          <w:lang w:val="es-MX"/>
        </w:rPr>
      </w:pPr>
      <w:r w:rsidRPr="00F8199A">
        <w:rPr>
          <w:rFonts w:ascii="Verdana" w:hAnsi="Verdana" w:cs="Arial"/>
          <w:sz w:val="20"/>
          <w:szCs w:val="20"/>
          <w:lang w:val="es-MX"/>
        </w:rPr>
        <w:t xml:space="preserve">Esta Sala ha entendido que para los efectos de la ley de garantías, y dada su finalidad, el enunciado </w:t>
      </w:r>
      <w:r>
        <w:rPr>
          <w:rFonts w:ascii="Verdana" w:hAnsi="Verdana" w:cs="Arial"/>
          <w:sz w:val="20"/>
          <w:szCs w:val="20"/>
          <w:lang w:val="es-MX"/>
        </w:rPr>
        <w:t>‘</w:t>
      </w:r>
      <w:r w:rsidRPr="00F8199A">
        <w:rPr>
          <w:rFonts w:ascii="Verdana" w:hAnsi="Verdana" w:cs="Arial"/>
          <w:sz w:val="20"/>
          <w:szCs w:val="20"/>
          <w:lang w:val="es-MX"/>
        </w:rPr>
        <w:t>contratación direct</w:t>
      </w:r>
      <w:r>
        <w:rPr>
          <w:rFonts w:ascii="Verdana" w:hAnsi="Verdana" w:cs="Arial"/>
          <w:sz w:val="20"/>
          <w:szCs w:val="20"/>
          <w:lang w:val="es-MX"/>
        </w:rPr>
        <w:t>a’</w:t>
      </w:r>
      <w:r w:rsidRPr="00F8199A">
        <w:rPr>
          <w:rFonts w:ascii="Verdana" w:hAnsi="Verdana" w:cs="Arial"/>
          <w:sz w:val="20"/>
          <w:szCs w:val="20"/>
          <w:lang w:val="es-MX"/>
        </w:rPr>
        <w:t xml:space="preserve">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F8199A">
        <w:rPr>
          <w:rFonts w:ascii="Verdana" w:hAnsi="Verdana" w:cs="Arial"/>
          <w:sz w:val="20"/>
          <w:szCs w:val="20"/>
          <w:vertAlign w:val="superscript"/>
          <w:lang w:val="es-MX"/>
        </w:rPr>
        <w:footnoteReference w:id="11"/>
      </w:r>
      <w:r w:rsidRPr="00F8199A">
        <w:rPr>
          <w:rFonts w:ascii="Verdana" w:hAnsi="Verdana" w:cs="Arial"/>
          <w:sz w:val="20"/>
          <w:szCs w:val="20"/>
          <w:vertAlign w:val="superscript"/>
          <w:lang w:val="es-MX"/>
        </w:rPr>
        <w:t>.</w:t>
      </w:r>
      <w:r w:rsidRPr="00F8199A">
        <w:rPr>
          <w:rFonts w:ascii="Verdana"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w:t>
      </w:r>
      <w:r w:rsidRPr="00F8199A">
        <w:rPr>
          <w:rFonts w:ascii="Verdana" w:hAnsi="Verdana" w:cs="Arial"/>
          <w:sz w:val="20"/>
          <w:szCs w:val="20"/>
          <w:lang w:val="es-MX"/>
        </w:rPr>
        <w:lastRenderedPageBreak/>
        <w:t>por la cual en ese periodo preelectoral de que trata la disposición pueden las entidades públicas seguir contratando bajo estos sistemas</w:t>
      </w:r>
      <w:r>
        <w:rPr>
          <w:rFonts w:ascii="Verdana" w:hAnsi="Verdana" w:cs="Arial"/>
          <w:sz w:val="20"/>
          <w:szCs w:val="20"/>
          <w:lang w:val="es-MX"/>
        </w:rPr>
        <w:t xml:space="preserve"> </w:t>
      </w:r>
      <w:r w:rsidRPr="00F8199A">
        <w:rPr>
          <w:rFonts w:ascii="Verdana" w:hAnsi="Verdana" w:cs="Arial"/>
          <w:sz w:val="20"/>
          <w:szCs w:val="20"/>
          <w:lang w:val="es-MX"/>
        </w:rPr>
        <w:t>[...]</w:t>
      </w:r>
      <w:r>
        <w:rPr>
          <w:rFonts w:ascii="Verdana" w:hAnsi="Verdana" w:cs="Arial"/>
          <w:sz w:val="20"/>
          <w:szCs w:val="20"/>
          <w:lang w:val="es-MX"/>
        </w:rPr>
        <w:t>”</w:t>
      </w:r>
      <w:r w:rsidRPr="00F8199A">
        <w:rPr>
          <w:rFonts w:ascii="Verdana" w:hAnsi="Verdana" w:cs="Arial"/>
          <w:sz w:val="20"/>
          <w:szCs w:val="20"/>
          <w:vertAlign w:val="superscript"/>
          <w:lang w:eastAsia="es-CO"/>
        </w:rPr>
        <w:footnoteReference w:id="12"/>
      </w:r>
      <w:r w:rsidRPr="00F8199A">
        <w:rPr>
          <w:rFonts w:ascii="Verdana" w:hAnsi="Verdana" w:cs="Arial"/>
          <w:sz w:val="20"/>
          <w:szCs w:val="20"/>
          <w:lang w:val="es-MX"/>
        </w:rPr>
        <w:t>.</w:t>
      </w:r>
    </w:p>
    <w:p w14:paraId="50B29209" w14:textId="77777777" w:rsidR="00AB1573" w:rsidRPr="00F8199A" w:rsidRDefault="00AB1573" w:rsidP="00AB1573">
      <w:pPr>
        <w:shd w:val="clear" w:color="auto" w:fill="FFFFFF"/>
        <w:spacing w:after="0" w:line="276" w:lineRule="auto"/>
        <w:ind w:firstLine="709"/>
        <w:jc w:val="both"/>
        <w:rPr>
          <w:rFonts w:ascii="Verdana" w:hAnsi="Verdana" w:cs="Arial"/>
          <w:lang w:eastAsia="x-none"/>
        </w:rPr>
      </w:pPr>
    </w:p>
    <w:p w14:paraId="6D9956A8" w14:textId="77777777" w:rsidR="00AB1573" w:rsidRPr="00F8199A" w:rsidRDefault="00AB1573" w:rsidP="00AB1573">
      <w:pPr>
        <w:spacing w:after="120" w:line="276" w:lineRule="auto"/>
        <w:ind w:firstLine="708"/>
        <w:jc w:val="both"/>
        <w:rPr>
          <w:rFonts w:ascii="Verdana" w:hAnsi="Verdana" w:cs="Arial"/>
          <w:bCs/>
          <w:lang w:eastAsia="x-none"/>
        </w:rPr>
      </w:pPr>
      <w:r w:rsidRPr="00F8199A">
        <w:rPr>
          <w:rFonts w:ascii="Verdana" w:hAnsi="Verdana" w:cs="Arial"/>
          <w:lang w:eastAsia="x-none"/>
        </w:rPr>
        <w:t xml:space="preserve">De acuerdo con el citado concepto, la prohibición del artículo 33 de la Ley de Garantías Electorales se refiere a </w:t>
      </w:r>
      <w:r>
        <w:rPr>
          <w:rFonts w:ascii="Verdana" w:hAnsi="Verdana" w:cs="Arial"/>
          <w:sz w:val="19"/>
          <w:szCs w:val="19"/>
          <w:lang w:eastAsia="en-GB"/>
        </w:rPr>
        <w:t>“</w:t>
      </w:r>
      <w:r w:rsidRPr="00F8199A">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F8199A">
        <w:rPr>
          <w:rFonts w:ascii="Verdana" w:hAnsi="Verdana" w:cs="Arial"/>
          <w:lang w:eastAsia="x-none"/>
        </w:rPr>
        <w:t>,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sidRPr="00F8199A">
        <w:rPr>
          <w:rFonts w:ascii="Verdana" w:hAnsi="Verdana" w:cs="Arial"/>
          <w:vertAlign w:val="superscript"/>
          <w:lang w:val="en-GB" w:eastAsia="x-none"/>
        </w:rPr>
        <w:footnoteReference w:id="13"/>
      </w:r>
      <w:r w:rsidRPr="00F8199A">
        <w:rPr>
          <w:rFonts w:ascii="Verdana" w:hAnsi="Verdana" w:cs="Arial"/>
          <w:lang w:eastAsia="x-none"/>
        </w:rPr>
        <w:t xml:space="preserve"> y sistematizó las causales de contratación directa</w:t>
      </w:r>
      <w:r w:rsidRPr="00F8199A">
        <w:rPr>
          <w:rFonts w:ascii="Verdana" w:hAnsi="Verdana" w:cs="Arial"/>
          <w:vertAlign w:val="superscript"/>
          <w:lang w:val="en-GB" w:eastAsia="x-none"/>
        </w:rPr>
        <w:footnoteReference w:id="14"/>
      </w:r>
      <w:r w:rsidRPr="00F8199A">
        <w:rPr>
          <w:rFonts w:ascii="Verdana" w:hAnsi="Verdana" w:cs="Arial"/>
          <w:lang w:eastAsia="x-none"/>
        </w:rPr>
        <w:t xml:space="preserve">. </w:t>
      </w:r>
    </w:p>
    <w:p w14:paraId="2E9E60BF" w14:textId="77777777" w:rsidR="00AB1573" w:rsidRPr="00F8199A" w:rsidRDefault="00AB1573" w:rsidP="00AB1573">
      <w:pPr>
        <w:spacing w:after="120" w:line="276" w:lineRule="auto"/>
        <w:ind w:firstLine="708"/>
        <w:jc w:val="both"/>
        <w:rPr>
          <w:rFonts w:ascii="Verdana" w:hAnsi="Verdana" w:cs="Arial"/>
          <w:lang w:val="es-MX" w:eastAsia="x-none"/>
        </w:rPr>
      </w:pPr>
      <w:r w:rsidRPr="00F8199A">
        <w:rPr>
          <w:rFonts w:ascii="Verdana" w:hAnsi="Verdana" w:cs="Arial"/>
          <w:lang w:eastAsia="x-none"/>
        </w:rPr>
        <w:t xml:space="preserve">De esta forma, con fundamento en la evolución de la normativa sobre la contratación pública, se ha depurado la noción de </w:t>
      </w:r>
      <w:r>
        <w:rPr>
          <w:rFonts w:ascii="Verdana" w:hAnsi="Verdana" w:cs="Arial"/>
          <w:sz w:val="19"/>
          <w:szCs w:val="19"/>
          <w:lang w:eastAsia="en-GB"/>
        </w:rPr>
        <w:t>“</w:t>
      </w:r>
      <w:r w:rsidRPr="00F8199A">
        <w:rPr>
          <w:rFonts w:ascii="Verdana" w:hAnsi="Verdana" w:cs="Arial"/>
          <w:lang w:eastAsia="x-none"/>
        </w:rPr>
        <w:t>contratación directa</w:t>
      </w:r>
      <w:r>
        <w:rPr>
          <w:rFonts w:ascii="Verdana" w:hAnsi="Verdana" w:cs="Arial"/>
          <w:lang w:eastAsia="en-GB"/>
        </w:rPr>
        <w:t>”</w:t>
      </w:r>
      <w:r w:rsidRPr="00F8199A">
        <w:rPr>
          <w:rFonts w:ascii="Verdana" w:hAnsi="Verdana" w:cs="Arial"/>
          <w:lang w:eastAsia="x-none"/>
        </w:rPr>
        <w:t xml:space="preserve">, precisando el Consejo de Estado –en el concepto citado– que, </w:t>
      </w:r>
      <w:r>
        <w:rPr>
          <w:rFonts w:ascii="Verdana" w:hAnsi="Verdana" w:cs="Arial"/>
          <w:lang w:eastAsia="x-none"/>
        </w:rPr>
        <w:t>“</w:t>
      </w:r>
      <w:r w:rsidRPr="00F8199A">
        <w:rPr>
          <w:rFonts w:ascii="Verdana"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8199A">
        <w:rPr>
          <w:rFonts w:ascii="Verdana" w:hAnsi="Verdana" w:cs="Arial"/>
          <w:vertAlign w:val="superscript"/>
          <w:lang w:val="en-GB" w:eastAsia="x-none"/>
        </w:rPr>
        <w:footnoteReference w:id="15"/>
      </w:r>
      <w:r w:rsidRPr="00F8199A">
        <w:rPr>
          <w:rFonts w:ascii="Verdana" w:hAnsi="Verdana" w:cs="Arial"/>
          <w:lang w:eastAsia="x-none"/>
        </w:rPr>
        <w:t>, han establecido sistemas de contratación que implican convocatoria pública y participación de varios oferentes</w:t>
      </w:r>
      <w:r>
        <w:rPr>
          <w:rFonts w:ascii="Verdana" w:hAnsi="Verdana" w:cs="Arial"/>
          <w:lang w:eastAsia="en-GB"/>
        </w:rPr>
        <w:t>”</w:t>
      </w:r>
      <w:r w:rsidRPr="00F8199A">
        <w:rPr>
          <w:rFonts w:ascii="Verdana" w:hAnsi="Verdana" w:cs="Arial"/>
          <w:lang w:eastAsia="x-none"/>
        </w:rPr>
        <w:t xml:space="preserve">. </w:t>
      </w:r>
    </w:p>
    <w:p w14:paraId="0CF240A7" w14:textId="77777777" w:rsidR="00AB1573" w:rsidRPr="00F8199A" w:rsidRDefault="00AB1573" w:rsidP="00AB1573">
      <w:pPr>
        <w:spacing w:after="120" w:line="276" w:lineRule="auto"/>
        <w:ind w:firstLine="708"/>
        <w:jc w:val="both"/>
        <w:rPr>
          <w:rFonts w:ascii="Verdana" w:hAnsi="Verdana" w:cs="Arial"/>
          <w:bCs/>
          <w:lang w:val="es-MX" w:eastAsia="es-CO"/>
        </w:rPr>
      </w:pPr>
      <w:r w:rsidRPr="00F8199A">
        <w:rPr>
          <w:rFonts w:ascii="Verdana" w:hAnsi="Verdana" w:cs="Arial"/>
          <w:bCs/>
          <w:lang w:val="es-MX" w:eastAsia="x-none"/>
        </w:rPr>
        <w:t>E</w:t>
      </w:r>
      <w:r w:rsidRPr="00F8199A">
        <w:rPr>
          <w:rFonts w:ascii="Verdana" w:hAnsi="Verdana" w:cs="Arial"/>
          <w:lang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Pr>
          <w:rFonts w:ascii="Verdana" w:hAnsi="Verdana" w:cs="Arial"/>
          <w:lang w:eastAsia="x-none"/>
        </w:rPr>
        <w:t>“</w:t>
      </w:r>
      <w:r w:rsidRPr="00F8199A">
        <w:rPr>
          <w:rFonts w:ascii="Verdana" w:hAnsi="Verdana" w:cs="Arial"/>
          <w:lang w:eastAsia="x-none"/>
        </w:rPr>
        <w:t>contratación directa</w:t>
      </w:r>
      <w:r>
        <w:rPr>
          <w:rFonts w:ascii="Verdana" w:hAnsi="Verdana" w:cs="Arial"/>
          <w:lang w:eastAsia="x-none"/>
        </w:rPr>
        <w:t>”</w:t>
      </w:r>
      <w:r w:rsidRPr="00F8199A">
        <w:rPr>
          <w:rFonts w:ascii="Verdana" w:hAnsi="Verdana" w:cs="Arial"/>
          <w:lang w:eastAsia="x-none"/>
        </w:rPr>
        <w:t xml:space="preserve">, es que la convocatoria para </w:t>
      </w:r>
      <w:r w:rsidRPr="00F8199A">
        <w:rPr>
          <w:rFonts w:ascii="Verdana" w:hAnsi="Verdana" w:cs="Arial"/>
          <w:lang w:eastAsia="x-none"/>
        </w:rPr>
        <w:lastRenderedPageBreak/>
        <w:t>inscribirse en forma previa se haga de manera pública, y que se permita la participación de una pluralidad de oferentes</w:t>
      </w:r>
      <w:r w:rsidRPr="00F8199A">
        <w:rPr>
          <w:rFonts w:ascii="Verdana" w:hAnsi="Verdana" w:cs="Arial"/>
          <w:vertAlign w:val="superscript"/>
          <w:lang w:eastAsia="x-none"/>
        </w:rPr>
        <w:footnoteReference w:id="16"/>
      </w:r>
      <w:r w:rsidRPr="00F8199A">
        <w:rPr>
          <w:rFonts w:ascii="Verdana" w:hAnsi="Verdana" w:cs="Arial"/>
          <w:lang w:eastAsia="x-none"/>
        </w:rPr>
        <w:t xml:space="preserve">. </w:t>
      </w:r>
    </w:p>
    <w:p w14:paraId="44A70229" w14:textId="77777777" w:rsidR="00AB1573" w:rsidRPr="00F8199A" w:rsidRDefault="00AB1573" w:rsidP="00AB1573">
      <w:pPr>
        <w:spacing w:after="120" w:line="276" w:lineRule="auto"/>
        <w:ind w:firstLine="708"/>
        <w:jc w:val="both"/>
        <w:rPr>
          <w:rFonts w:ascii="Verdana" w:hAnsi="Verdana" w:cs="Arial"/>
          <w:bCs/>
          <w:lang w:val="es-MX" w:eastAsia="es-CO"/>
        </w:rPr>
      </w:pPr>
      <w:r w:rsidRPr="00F8199A">
        <w:rPr>
          <w:rFonts w:ascii="Verdana" w:hAnsi="Verdana" w:cs="Arial"/>
          <w:bCs/>
          <w:lang w:val="es-MX"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Pr>
          <w:rFonts w:ascii="Verdana" w:hAnsi="Verdana" w:cs="Arial"/>
          <w:bCs/>
          <w:lang w:val="es-MX" w:eastAsia="es-CO"/>
        </w:rPr>
        <w:t>“</w:t>
      </w:r>
      <w:r w:rsidRPr="00F8199A">
        <w:rPr>
          <w:rFonts w:ascii="Verdana" w:hAnsi="Verdana" w:cs="Arial"/>
          <w:bCs/>
          <w:lang w:val="es-MX" w:eastAsia="es-CO"/>
        </w:rPr>
        <w:t>contratación directa</w:t>
      </w:r>
      <w:r>
        <w:rPr>
          <w:rFonts w:ascii="Verdana" w:hAnsi="Verdana" w:cs="Arial"/>
          <w:bCs/>
          <w:lang w:val="es-MX" w:eastAsia="es-CO"/>
        </w:rPr>
        <w:t>”</w:t>
      </w:r>
      <w:r w:rsidRPr="00F8199A">
        <w:rPr>
          <w:rFonts w:ascii="Verdana" w:hAnsi="Verdana" w:cs="Arial"/>
          <w:bCs/>
          <w:lang w:val="es-MX" w:eastAsia="es-CO"/>
        </w:rPr>
        <w:t>.</w:t>
      </w:r>
    </w:p>
    <w:p w14:paraId="560AC146" w14:textId="77777777" w:rsidR="00AB1573" w:rsidRPr="00F8199A" w:rsidRDefault="00AB1573" w:rsidP="00AB1573">
      <w:pPr>
        <w:spacing w:after="120" w:line="276" w:lineRule="auto"/>
        <w:ind w:firstLine="708"/>
        <w:jc w:val="both"/>
        <w:rPr>
          <w:rFonts w:ascii="Verdana" w:hAnsi="Verdana" w:cs="Arial"/>
          <w:bCs/>
          <w:lang w:val="es-MX" w:eastAsia="x-none"/>
        </w:rPr>
      </w:pPr>
      <w:r w:rsidRPr="00F8199A">
        <w:rPr>
          <w:rFonts w:ascii="Verdana" w:hAnsi="Verdana" w:cs="Arial"/>
          <w:bCs/>
          <w:lang w:val="es-MX" w:eastAsia="x-none"/>
        </w:rPr>
        <w:t xml:space="preserve"> Así las cosas, ha de entenderse que, para los efectos de la Ley de Garantías Electorales y, en particular, para la prohibición o restricción temporal contenida en su artículo 33, </w:t>
      </w:r>
      <w:r>
        <w:rPr>
          <w:rFonts w:ascii="Verdana" w:hAnsi="Verdana" w:cs="Arial"/>
          <w:bCs/>
          <w:lang w:val="es-MX" w:eastAsia="x-none"/>
        </w:rPr>
        <w:t>“</w:t>
      </w:r>
      <w:r w:rsidRPr="00F8199A">
        <w:rPr>
          <w:rFonts w:ascii="Verdana" w:hAnsi="Verdana" w:cs="Arial"/>
          <w:bCs/>
          <w:lang w:val="es-MX" w:eastAsia="x-none"/>
        </w:rPr>
        <w:t>contratación directa</w:t>
      </w:r>
      <w:r>
        <w:rPr>
          <w:rFonts w:ascii="Verdana" w:hAnsi="Verdana" w:cs="Arial"/>
          <w:bCs/>
          <w:lang w:val="es-MX" w:eastAsia="x-none"/>
        </w:rPr>
        <w:t>”</w:t>
      </w:r>
      <w:r w:rsidRPr="00F8199A">
        <w:rPr>
          <w:rFonts w:ascii="Verdana"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F8199A">
        <w:rPr>
          <w:rFonts w:ascii="Verdana" w:hAnsi="Verdana" w:cs="Arial"/>
          <w:vertAlign w:val="superscript"/>
          <w:lang w:eastAsia="x-none"/>
        </w:rPr>
        <w:footnoteReference w:id="17"/>
      </w:r>
      <w:r w:rsidRPr="00F8199A">
        <w:rPr>
          <w:rFonts w:ascii="Verdana" w:hAnsi="Verdana" w:cs="Arial"/>
          <w:bCs/>
          <w:lang w:val="es-MX" w:eastAsia="x-none"/>
        </w:rPr>
        <w:t>.</w:t>
      </w:r>
      <w:r w:rsidRPr="00F8199A">
        <w:rPr>
          <w:rFonts w:ascii="Verdana" w:hAnsi="Verdana" w:cs="Arial"/>
          <w:vertAlign w:val="superscript"/>
          <w:lang w:eastAsia="x-none"/>
        </w:rPr>
        <w:t xml:space="preserve"> </w:t>
      </w:r>
    </w:p>
    <w:p w14:paraId="75A58739" w14:textId="77777777" w:rsidR="00AB1573" w:rsidRPr="00F8199A" w:rsidRDefault="00AB1573" w:rsidP="00AB1573">
      <w:pPr>
        <w:spacing w:after="120" w:line="276" w:lineRule="auto"/>
        <w:ind w:firstLine="708"/>
        <w:jc w:val="both"/>
        <w:rPr>
          <w:rFonts w:ascii="Verdana" w:hAnsi="Verdana" w:cs="Arial"/>
          <w:lang w:eastAsia="x-none"/>
        </w:rPr>
      </w:pPr>
      <w:r w:rsidRPr="00F8199A">
        <w:rPr>
          <w:rFonts w:ascii="Verdana"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8199A">
        <w:rPr>
          <w:rFonts w:ascii="Verdana" w:hAnsi="Verdana"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6A418C04" w14:textId="77777777" w:rsidR="00AB1573" w:rsidRPr="00F8199A" w:rsidRDefault="00AB1573" w:rsidP="00AB1573">
      <w:pPr>
        <w:spacing w:after="120" w:line="276" w:lineRule="auto"/>
        <w:ind w:firstLine="708"/>
        <w:jc w:val="both"/>
        <w:rPr>
          <w:rFonts w:ascii="Verdana" w:hAnsi="Verdana" w:cs="Arial"/>
          <w:bCs/>
          <w:lang w:val="es-MX" w:eastAsia="x-none"/>
        </w:rPr>
      </w:pPr>
      <w:bookmarkStart w:id="12" w:name="_Hlk77237094"/>
      <w:r w:rsidRPr="00F8199A">
        <w:rPr>
          <w:rFonts w:ascii="Verdana"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12"/>
    </w:p>
    <w:p w14:paraId="6FA56E76" w14:textId="77777777" w:rsidR="00AB1573" w:rsidRPr="00F8199A" w:rsidRDefault="00AB1573" w:rsidP="00AB1573">
      <w:pPr>
        <w:spacing w:after="120" w:line="276" w:lineRule="auto"/>
        <w:ind w:firstLine="708"/>
        <w:jc w:val="both"/>
        <w:rPr>
          <w:rFonts w:ascii="Verdana" w:hAnsi="Verdana" w:cs="Arial"/>
          <w:bCs/>
          <w:lang w:val="es-MX" w:eastAsia="es-CO"/>
        </w:rPr>
      </w:pPr>
      <w:r w:rsidRPr="00F8199A">
        <w:rPr>
          <w:rFonts w:ascii="Verdana" w:hAnsi="Verdana" w:cs="Arial"/>
          <w:bCs/>
          <w:lang w:val="es-MX" w:eastAsia="x-none"/>
        </w:rPr>
        <w:lastRenderedPageBreak/>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8199A">
        <w:rPr>
          <w:rFonts w:ascii="Verdana" w:hAnsi="Verdana" w:cs="Arial"/>
          <w:bCs/>
          <w:lang w:val="es-MX" w:eastAsia="es-CO"/>
        </w:rPr>
        <w:t xml:space="preserve"> </w:t>
      </w:r>
      <w:r>
        <w:rPr>
          <w:rFonts w:ascii="Verdana" w:hAnsi="Verdana" w:cs="Arial"/>
          <w:bCs/>
          <w:lang w:val="es-MX" w:eastAsia="es-CO"/>
        </w:rPr>
        <w:t xml:space="preserve">Es </w:t>
      </w:r>
      <w:r w:rsidRPr="00F8199A">
        <w:rPr>
          <w:rFonts w:ascii="Verdana" w:hAnsi="Verdana" w:cs="Arial"/>
          <w:bCs/>
          <w:lang w:val="es-MX" w:eastAsia="es-CO"/>
        </w:rPr>
        <w:t>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88B8C1F" w14:textId="77777777" w:rsidR="00AB1573" w:rsidRDefault="00AB1573" w:rsidP="00AB1573">
      <w:pPr>
        <w:spacing w:after="0" w:line="276" w:lineRule="auto"/>
        <w:ind w:firstLine="708"/>
        <w:jc w:val="both"/>
        <w:rPr>
          <w:rFonts w:ascii="Verdana" w:hAnsi="Verdana" w:cs="Arial"/>
          <w:bCs/>
          <w:lang w:val="es-MX" w:eastAsia="x-none"/>
        </w:rPr>
      </w:pPr>
      <w:r w:rsidRPr="00F8199A">
        <w:rPr>
          <w:rFonts w:ascii="Verdana" w:hAnsi="Verdana" w:cs="Arial"/>
          <w:bCs/>
          <w:lang w:val="es-MX" w:eastAsia="x-none"/>
        </w:rPr>
        <w:t xml:space="preserve">En esta labor es importante tener en cuenta, como lo anotó la Corte Constitucional, en Sentencia C-1153 de noviembre 11 de 2005 </w:t>
      </w:r>
      <w:bookmarkStart w:id="13" w:name="_Hlk74309042"/>
      <w:r w:rsidRPr="00F8199A">
        <w:rPr>
          <w:rFonts w:ascii="Verdana" w:hAnsi="Verdana" w:cs="Arial"/>
          <w:bCs/>
          <w:lang w:val="es-MX" w:eastAsia="x-none"/>
        </w:rPr>
        <w:t xml:space="preserve">que </w:t>
      </w:r>
      <w:r>
        <w:rPr>
          <w:rFonts w:ascii="Verdana" w:hAnsi="Verdana" w:cs="Arial"/>
          <w:bCs/>
          <w:lang w:val="es-MX" w:eastAsia="x-none"/>
        </w:rPr>
        <w:t>“</w:t>
      </w:r>
      <w:bookmarkEnd w:id="13"/>
      <w:r w:rsidRPr="00F8199A">
        <w:rPr>
          <w:rFonts w:ascii="Verdana" w:hAnsi="Verdana" w:cs="Arial"/>
          <w:bCs/>
          <w:lang w:val="es-MX" w:eastAsia="x-none"/>
        </w:rPr>
        <w:t xml:space="preserve">si bien la limitación garantiza la igualdad de condiciones, también es necesario que tal limitación que pretende la igualdad </w:t>
      </w:r>
      <w:bookmarkStart w:id="14" w:name="_Hlk75768308"/>
      <w:r w:rsidRPr="00F8199A">
        <w:rPr>
          <w:rFonts w:ascii="Verdana" w:hAnsi="Verdana" w:cs="Arial"/>
          <w:bCs/>
          <w:lang w:val="es-MX" w:eastAsia="x-none"/>
        </w:rPr>
        <w:t>no termine yendo en detrimento de intereses públicos, cuya garantía está en cabeza del ejecutivo, como son los inmersos en las excepciones para la prohibición de contratación</w:t>
      </w:r>
      <w:r>
        <w:rPr>
          <w:rFonts w:ascii="Verdana" w:hAnsi="Verdana" w:cs="Arial"/>
          <w:bCs/>
          <w:lang w:val="es-MX" w:eastAsia="x-none"/>
        </w:rPr>
        <w:t>”</w:t>
      </w:r>
      <w:r w:rsidRPr="00F8199A">
        <w:rPr>
          <w:rFonts w:ascii="Verdana" w:hAnsi="Verdana" w:cs="Arial"/>
          <w:vertAlign w:val="superscript"/>
          <w:lang w:val="es-MX"/>
        </w:rPr>
        <w:footnoteReference w:id="18"/>
      </w:r>
      <w:r w:rsidRPr="00F8199A">
        <w:rPr>
          <w:rFonts w:ascii="Verdana"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14"/>
    </w:p>
    <w:p w14:paraId="5C8B4046" w14:textId="77777777" w:rsidR="00AB1573" w:rsidRPr="00F8199A" w:rsidRDefault="00AB1573" w:rsidP="00AB1573">
      <w:pPr>
        <w:spacing w:after="0" w:line="276" w:lineRule="auto"/>
        <w:ind w:firstLine="708"/>
        <w:jc w:val="both"/>
        <w:rPr>
          <w:rFonts w:ascii="Verdana" w:hAnsi="Verdana" w:cs="Arial"/>
          <w:bCs/>
          <w:lang w:val="es-MX" w:eastAsia="x-none"/>
        </w:rPr>
      </w:pPr>
    </w:p>
    <w:p w14:paraId="652DB46A" w14:textId="77777777" w:rsidR="00AB1573" w:rsidRPr="00A45D99" w:rsidRDefault="00AB1573" w:rsidP="00AB1573">
      <w:pPr>
        <w:spacing w:after="0" w:line="276" w:lineRule="auto"/>
        <w:jc w:val="both"/>
        <w:rPr>
          <w:rFonts w:ascii="Verdana" w:hAnsi="Verdana" w:cs="Arial"/>
          <w:bCs/>
          <w:lang w:val="es-MX" w:eastAsia="x-none"/>
        </w:rPr>
      </w:pPr>
      <w:r w:rsidRPr="00A45D99">
        <w:rPr>
          <w:rFonts w:ascii="Verdana" w:eastAsia="Arial" w:hAnsi="Verdana" w:cs="Arial"/>
          <w:lang w:val="es-MX" w:eastAsia="es-ES" w:bidi="es-ES"/>
        </w:rPr>
        <w:t xml:space="preserve">iii. </w:t>
      </w:r>
      <w:r w:rsidRPr="00A45D99">
        <w:rPr>
          <w:rFonts w:ascii="Verdana" w:hAnsi="Verdana" w:cs="Arial"/>
          <w:bCs/>
          <w:lang w:val="es-MX" w:eastAsia="x-none"/>
        </w:rPr>
        <w:t xml:space="preserve">El artículo 33 de la Ley 996 de 2005 señala expresamente a los destinatarios de la prohibición, en el sentido de que son </w:t>
      </w:r>
      <w:r>
        <w:rPr>
          <w:rFonts w:ascii="Verdana" w:hAnsi="Verdana" w:cs="Arial"/>
          <w:bCs/>
          <w:lang w:val="es-MX" w:eastAsia="x-none"/>
        </w:rPr>
        <w:t>“</w:t>
      </w:r>
      <w:r w:rsidRPr="00A45D99">
        <w:rPr>
          <w:rFonts w:ascii="Verdana" w:hAnsi="Verdana" w:cs="Arial"/>
          <w:bCs/>
          <w:lang w:val="es-MX" w:eastAsia="x-none"/>
        </w:rPr>
        <w:t>todos los entes del Estado</w:t>
      </w:r>
      <w:r>
        <w:rPr>
          <w:rFonts w:ascii="Verdana" w:hAnsi="Verdana" w:cs="Arial"/>
          <w:bCs/>
          <w:lang w:val="es-MX" w:eastAsia="x-none"/>
        </w:rPr>
        <w:t>”</w:t>
      </w:r>
      <w:r w:rsidRPr="00A45D99">
        <w:rPr>
          <w:rFonts w:ascii="Verdana" w:hAnsi="Verdana" w:cs="Arial"/>
          <w:bCs/>
          <w:lang w:val="es-MX" w:eastAsia="x-none"/>
        </w:rPr>
        <w:t>, expresión que contempla a los diferentes organismos o entidades autorizadas por la ley para suscribir contratos.</w:t>
      </w:r>
      <w:r w:rsidRPr="00A45D99">
        <w:rPr>
          <w:rFonts w:ascii="Verdana" w:hAnsi="Verdana" w:cs="Arial"/>
          <w:lang w:val="es-MX"/>
        </w:rPr>
        <w:t xml:space="preserve"> </w:t>
      </w:r>
      <w:r w:rsidRPr="00A45D99">
        <w:rPr>
          <w:rFonts w:ascii="Verdana" w:hAnsi="Verdana" w:cs="Arial"/>
          <w:bCs/>
          <w:lang w:val="es-MX" w:eastAsia="x-none"/>
        </w:rPr>
        <w:t xml:space="preserve">En efecto, tal como lo ha sostenido el Consejo de Estado, el vocablo </w:t>
      </w:r>
      <w:r>
        <w:rPr>
          <w:rFonts w:ascii="Verdana" w:hAnsi="Verdana" w:cs="Arial"/>
          <w:bCs/>
          <w:lang w:val="es-MX" w:eastAsia="x-none"/>
        </w:rPr>
        <w:t>“</w:t>
      </w:r>
      <w:r w:rsidRPr="00A45D99">
        <w:rPr>
          <w:rFonts w:ascii="Verdana" w:hAnsi="Verdana" w:cs="Arial"/>
          <w:bCs/>
          <w:lang w:val="es-MX" w:eastAsia="x-none"/>
        </w:rPr>
        <w:t>todos</w:t>
      </w:r>
      <w:r>
        <w:rPr>
          <w:rFonts w:ascii="Verdana" w:hAnsi="Verdana" w:cs="Arial"/>
          <w:bCs/>
          <w:lang w:val="es-MX" w:eastAsia="x-none"/>
        </w:rPr>
        <w:t>”</w:t>
      </w:r>
      <w:r w:rsidRPr="00A45D99">
        <w:rPr>
          <w:rFonts w:ascii="Verdana" w:hAnsi="Verdana" w:cs="Arial"/>
          <w:bCs/>
          <w:lang w:val="es-MX" w:eastAsia="x-none"/>
        </w:rPr>
        <w:t xml:space="preserve"> utilizado por el legislador comprende</w:t>
      </w:r>
      <w:r w:rsidRPr="00A45D99">
        <w:rPr>
          <w:rFonts w:ascii="Verdana" w:hAnsi="Verdana" w:cs="Arial"/>
          <w:lang w:val="es-MX"/>
        </w:rPr>
        <w:t xml:space="preserve"> </w:t>
      </w:r>
      <w:r w:rsidRPr="00A45D99">
        <w:rPr>
          <w:rFonts w:ascii="Verdana" w:hAnsi="Verdana" w:cs="Arial"/>
          <w:bCs/>
          <w:lang w:val="es-MX" w:eastAsia="x-none"/>
        </w:rPr>
        <w:t xml:space="preserve">a la totalidad de los entes del Estado, sin distinción del régimen jurídico, forma de organización </w:t>
      </w:r>
      <w:r w:rsidRPr="00A45D99">
        <w:rPr>
          <w:rFonts w:ascii="Verdana" w:hAnsi="Verdana" w:cs="Arial"/>
          <w:bCs/>
          <w:lang w:val="es-MX" w:eastAsia="x-none"/>
        </w:rPr>
        <w:lastRenderedPageBreak/>
        <w:t xml:space="preserve">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256F316F" w14:textId="77777777" w:rsidR="00AB1573" w:rsidRPr="00A45D99" w:rsidRDefault="00AB1573" w:rsidP="00AB1573">
      <w:pPr>
        <w:spacing w:after="0" w:line="276" w:lineRule="auto"/>
        <w:ind w:firstLine="708"/>
        <w:jc w:val="both"/>
        <w:rPr>
          <w:rFonts w:ascii="Verdana" w:hAnsi="Verdana" w:cs="Arial"/>
          <w:bCs/>
          <w:lang w:val="es-MX" w:eastAsia="x-none"/>
        </w:rPr>
      </w:pPr>
    </w:p>
    <w:p w14:paraId="35C82A85" w14:textId="77777777" w:rsidR="00AB1573" w:rsidRPr="00A45D99" w:rsidRDefault="00AB1573" w:rsidP="00AB1573">
      <w:pPr>
        <w:spacing w:after="0" w:line="240" w:lineRule="auto"/>
        <w:ind w:left="708" w:right="709"/>
        <w:jc w:val="both"/>
        <w:rPr>
          <w:rFonts w:ascii="Verdana" w:hAnsi="Verdana" w:cs="Arial"/>
          <w:bCs/>
          <w:sz w:val="20"/>
          <w:szCs w:val="20"/>
          <w:lang w:val="es-MX" w:eastAsia="es-CO"/>
        </w:rPr>
      </w:pPr>
      <w:r w:rsidRPr="00A45D99">
        <w:rPr>
          <w:rFonts w:ascii="Verdana" w:hAnsi="Verdana" w:cs="Arial"/>
          <w:bCs/>
          <w:sz w:val="20"/>
          <w:szCs w:val="20"/>
          <w:lang w:val="es-MX" w:eastAsia="x-none"/>
        </w:rPr>
        <w:t xml:space="preserve">“El artículo 33 de la ley 996 de 2005, </w:t>
      </w:r>
      <w:bookmarkStart w:id="15" w:name="_Hlk75787147"/>
      <w:r w:rsidRPr="00A45D99">
        <w:rPr>
          <w:rFonts w:ascii="Verdana" w:hAnsi="Verdana" w:cs="Arial"/>
          <w:bCs/>
          <w:sz w:val="20"/>
          <w:szCs w:val="20"/>
          <w:lang w:val="es-MX"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A45D99">
        <w:rPr>
          <w:rFonts w:ascii="Verdana" w:hAnsi="Verdana" w:cs="Arial"/>
          <w:bCs/>
          <w:sz w:val="20"/>
          <w:szCs w:val="20"/>
          <w:vertAlign w:val="superscript"/>
          <w:lang w:val="es-MX" w:eastAsia="x-none"/>
        </w:rPr>
        <w:footnoteReference w:id="19"/>
      </w:r>
      <w:r w:rsidRPr="00A45D99">
        <w:rPr>
          <w:rFonts w:ascii="Verdana" w:hAnsi="Verdana" w:cs="Arial"/>
          <w:bCs/>
          <w:sz w:val="20"/>
          <w:szCs w:val="20"/>
          <w:lang w:val="es-MX" w:eastAsia="x-none"/>
        </w:rPr>
        <w:t>.</w:t>
      </w:r>
      <w:r w:rsidRPr="00A45D99">
        <w:rPr>
          <w:rFonts w:ascii="Verdana" w:hAnsi="Verdana" w:cs="Arial"/>
          <w:bCs/>
          <w:sz w:val="20"/>
          <w:szCs w:val="20"/>
          <w:lang w:val="es-MX" w:eastAsia="es-CO"/>
        </w:rPr>
        <w:t xml:space="preserve"> </w:t>
      </w:r>
    </w:p>
    <w:p w14:paraId="5B13F6D3" w14:textId="77777777" w:rsidR="00AB1573" w:rsidRPr="00A45D99" w:rsidRDefault="00AB1573" w:rsidP="00AB1573">
      <w:pPr>
        <w:spacing w:after="0" w:line="276" w:lineRule="auto"/>
        <w:ind w:firstLine="708"/>
        <w:jc w:val="both"/>
        <w:rPr>
          <w:rFonts w:ascii="Verdana" w:hAnsi="Verdana" w:cs="Arial"/>
          <w:bCs/>
          <w:lang w:val="es-MX" w:eastAsia="es-CO"/>
        </w:rPr>
      </w:pPr>
    </w:p>
    <w:p w14:paraId="27F0D392" w14:textId="77777777" w:rsidR="00AB1573" w:rsidRPr="00A45D99" w:rsidRDefault="00AB1573" w:rsidP="00AB1573">
      <w:pPr>
        <w:spacing w:after="0" w:line="276" w:lineRule="auto"/>
        <w:ind w:firstLine="708"/>
        <w:jc w:val="both"/>
        <w:rPr>
          <w:rFonts w:ascii="Verdana" w:hAnsi="Verdana" w:cs="Arial"/>
          <w:lang w:val="es-MX"/>
        </w:rPr>
      </w:pPr>
      <w:r w:rsidRPr="00A45D99">
        <w:rPr>
          <w:rFonts w:ascii="Verdana" w:hAnsi="Verdana" w:cs="Arial"/>
          <w:bCs/>
          <w:lang w:val="es-MX" w:eastAsia="x-none"/>
        </w:rPr>
        <w:t xml:space="preserve">De igual forma, en Concepto con radicado 1738 de 6 de abril de 2006, esa misma Corporación manifestó que </w:t>
      </w:r>
      <w:r>
        <w:rPr>
          <w:rFonts w:ascii="Verdana" w:hAnsi="Verdana" w:cs="Arial"/>
          <w:bCs/>
          <w:lang w:val="es-MX" w:eastAsia="x-none"/>
        </w:rPr>
        <w:t>“</w:t>
      </w:r>
      <w:r w:rsidRPr="00A45D99">
        <w:rPr>
          <w:rFonts w:ascii="Verdana" w:hAnsi="Verdana" w:cs="Arial"/>
          <w:bCs/>
          <w:lang w:val="es-MX" w:eastAsia="x-none"/>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Pr>
          <w:rFonts w:ascii="Verdana" w:hAnsi="Verdana" w:cs="Arial"/>
          <w:bCs/>
          <w:lang w:val="es-MX" w:eastAsia="x-none"/>
        </w:rPr>
        <w:t>”</w:t>
      </w:r>
      <w:bookmarkStart w:id="16" w:name="_Hlk75758868"/>
      <w:bookmarkStart w:id="17" w:name="_Hlk75741220"/>
      <w:r w:rsidRPr="00A45D99">
        <w:rPr>
          <w:rFonts w:ascii="Verdana" w:hAnsi="Verdana" w:cs="Arial"/>
          <w:vertAlign w:val="superscript"/>
          <w:lang w:val="es-MX"/>
        </w:rPr>
        <w:footnoteReference w:id="20"/>
      </w:r>
      <w:bookmarkEnd w:id="16"/>
      <w:bookmarkEnd w:id="17"/>
      <w:r w:rsidRPr="00A45D99">
        <w:rPr>
          <w:rFonts w:ascii="Verdana" w:hAnsi="Verdana" w:cs="Arial"/>
          <w:bCs/>
          <w:lang w:val="es-MX" w:eastAsia="x-none"/>
        </w:rPr>
        <w:t>.</w:t>
      </w:r>
      <w:r w:rsidRPr="00A45D99">
        <w:rPr>
          <w:rFonts w:ascii="Verdana" w:hAnsi="Verdana" w:cs="Arial"/>
          <w:lang w:val="es-MX"/>
        </w:rPr>
        <w:t xml:space="preserve"> Sin embargo, debe precisarse el siguiente aspecto que distinguió la Sala de Consulta y Servicio Civil:</w:t>
      </w:r>
    </w:p>
    <w:p w14:paraId="5CF1567D" w14:textId="77777777" w:rsidR="00AB1573" w:rsidRPr="00A45D99" w:rsidRDefault="00AB1573" w:rsidP="00AB1573">
      <w:pPr>
        <w:spacing w:after="0" w:line="276" w:lineRule="auto"/>
        <w:jc w:val="both"/>
        <w:rPr>
          <w:rFonts w:ascii="Verdana" w:hAnsi="Verdana" w:cs="Arial"/>
          <w:lang w:val="es-MX"/>
        </w:rPr>
      </w:pPr>
    </w:p>
    <w:p w14:paraId="318FDA12" w14:textId="77777777" w:rsidR="00AB1573" w:rsidRPr="00A45D99" w:rsidRDefault="00AB1573" w:rsidP="00AB1573">
      <w:pPr>
        <w:spacing w:after="0" w:line="240" w:lineRule="auto"/>
        <w:ind w:left="708" w:right="709"/>
        <w:jc w:val="both"/>
        <w:rPr>
          <w:rFonts w:ascii="Verdana" w:hAnsi="Verdana" w:cs="Arial"/>
          <w:sz w:val="20"/>
          <w:szCs w:val="20"/>
          <w:lang w:val="es-MX"/>
        </w:rPr>
      </w:pPr>
      <w:bookmarkStart w:id="19" w:name="_Hlk75811446"/>
      <w:r w:rsidRPr="00A45D99">
        <w:rPr>
          <w:rFonts w:ascii="Verdana" w:hAnsi="Verdana" w:cs="Arial"/>
          <w:sz w:val="20"/>
          <w:szCs w:val="20"/>
          <w:lang w:val="es-MX"/>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w:t>
      </w:r>
      <w:r w:rsidRPr="00A45D99">
        <w:rPr>
          <w:rFonts w:ascii="Verdana" w:hAnsi="Verdana" w:cs="Arial"/>
          <w:sz w:val="20"/>
          <w:szCs w:val="20"/>
          <w:lang w:val="es-MX"/>
        </w:rPr>
        <w:lastRenderedPageBreak/>
        <w:t>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19"/>
      <w:r w:rsidRPr="00A45D99">
        <w:rPr>
          <w:rFonts w:ascii="Verdana" w:hAnsi="Verdana" w:cs="Arial"/>
          <w:sz w:val="20"/>
          <w:szCs w:val="20"/>
          <w:lang w:val="es-MX"/>
        </w:rPr>
        <w:t>”</w:t>
      </w:r>
      <w:r w:rsidRPr="00A45D99">
        <w:rPr>
          <w:rFonts w:ascii="Verdana" w:hAnsi="Verdana" w:cs="Arial"/>
          <w:sz w:val="20"/>
          <w:szCs w:val="20"/>
          <w:vertAlign w:val="superscript"/>
          <w:lang w:val="es-MX"/>
        </w:rPr>
        <w:footnoteReference w:id="21"/>
      </w:r>
      <w:r w:rsidRPr="00A45D99">
        <w:rPr>
          <w:rFonts w:ascii="Verdana" w:hAnsi="Verdana" w:cs="Arial"/>
          <w:bCs/>
          <w:sz w:val="20"/>
          <w:szCs w:val="20"/>
          <w:lang w:val="es-MX" w:eastAsia="x-none"/>
        </w:rPr>
        <w:t>.</w:t>
      </w:r>
    </w:p>
    <w:p w14:paraId="76ADA426" w14:textId="77777777" w:rsidR="00AB1573" w:rsidRPr="00A45D99" w:rsidRDefault="00AB1573" w:rsidP="00AB1573">
      <w:pPr>
        <w:spacing w:after="0" w:line="276" w:lineRule="auto"/>
        <w:jc w:val="both"/>
        <w:rPr>
          <w:rFonts w:ascii="Verdana" w:hAnsi="Verdana" w:cs="Arial"/>
          <w:lang w:val="es-MX"/>
        </w:rPr>
      </w:pPr>
    </w:p>
    <w:p w14:paraId="7E7F4E2C" w14:textId="77777777" w:rsidR="00AB1573" w:rsidRPr="00A45D99" w:rsidRDefault="00AB1573" w:rsidP="00AB1573">
      <w:pPr>
        <w:spacing w:after="120" w:line="276" w:lineRule="auto"/>
        <w:ind w:firstLine="709"/>
        <w:jc w:val="both"/>
        <w:rPr>
          <w:rFonts w:ascii="Verdana" w:hAnsi="Verdana" w:cs="Arial"/>
          <w:bCs/>
          <w:lang w:val="es-MX" w:eastAsia="x-none"/>
        </w:rPr>
      </w:pPr>
      <w:r w:rsidRPr="00A45D99">
        <w:rPr>
          <w:rFonts w:ascii="Verdana" w:hAnsi="Verdana" w:cs="Arial"/>
          <w:lang w:val="es-MX"/>
        </w:rPr>
        <w:t>Aplicando este razonamiento,</w:t>
      </w:r>
      <w:bookmarkStart w:id="20" w:name="_Hlk75811096"/>
      <w:r w:rsidRPr="00A45D99">
        <w:rPr>
          <w:rFonts w:ascii="Verdana" w:hAnsi="Verdana" w:cs="Arial"/>
          <w:lang w:val="es-MX"/>
        </w:rPr>
        <w:t xml:space="preserve">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w:t>
      </w:r>
      <w:r>
        <w:rPr>
          <w:rFonts w:ascii="Verdana" w:hAnsi="Verdana" w:cs="Arial"/>
          <w:lang w:val="es-MX"/>
        </w:rPr>
        <w:t>“</w:t>
      </w:r>
      <w:r w:rsidRPr="00A45D99">
        <w:rPr>
          <w:rFonts w:ascii="Verdana" w:hAnsi="Verdana" w:cs="Arial"/>
          <w:lang w:val="es-MX"/>
        </w:rPr>
        <w:t>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20"/>
      <w:r>
        <w:rPr>
          <w:rFonts w:ascii="Verdana" w:hAnsi="Verdana" w:cs="Arial"/>
          <w:lang w:val="es-MX"/>
        </w:rPr>
        <w:t>”</w:t>
      </w:r>
      <w:r w:rsidRPr="00A45D99">
        <w:rPr>
          <w:rFonts w:ascii="Verdana" w:hAnsi="Verdana" w:cs="Arial"/>
          <w:vertAlign w:val="superscript"/>
          <w:lang w:val="es-MX"/>
        </w:rPr>
        <w:t xml:space="preserve"> </w:t>
      </w:r>
      <w:r w:rsidRPr="00A45D99">
        <w:rPr>
          <w:rFonts w:ascii="Verdana" w:hAnsi="Verdana" w:cs="Arial"/>
          <w:vertAlign w:val="superscript"/>
          <w:lang w:val="es-MX"/>
        </w:rPr>
        <w:footnoteReference w:id="22"/>
      </w:r>
      <w:r w:rsidRPr="00A45D99">
        <w:rPr>
          <w:rFonts w:ascii="Verdana" w:hAnsi="Verdana" w:cs="Arial"/>
          <w:lang w:val="es-MX"/>
        </w:rPr>
        <w:t>.</w:t>
      </w:r>
    </w:p>
    <w:bookmarkEnd w:id="15"/>
    <w:p w14:paraId="74E6DE4D" w14:textId="77777777" w:rsidR="00AB1573" w:rsidRDefault="00AB1573" w:rsidP="00AB1573">
      <w:pPr>
        <w:spacing w:after="0" w:line="276" w:lineRule="auto"/>
        <w:ind w:firstLine="708"/>
        <w:jc w:val="both"/>
        <w:rPr>
          <w:rFonts w:ascii="Verdana" w:hAnsi="Verdana" w:cs="Arial"/>
          <w:bCs/>
          <w:lang w:val="es-MX" w:eastAsia="x-none"/>
        </w:rPr>
      </w:pPr>
      <w:r w:rsidRPr="00A45D99">
        <w:rPr>
          <w:rFonts w:ascii="Verdana" w:hAnsi="Verdana" w:cs="Arial"/>
          <w:lang w:val="es-MX"/>
        </w:rPr>
        <w:t xml:space="preserve">Por lo tanto, la restricción prevista en la Ley 996 de 2005, </w:t>
      </w:r>
      <w:r w:rsidRPr="00A45D99">
        <w:rPr>
          <w:rFonts w:ascii="Verdana" w:hAnsi="Verdana" w:cs="Arial"/>
          <w:bCs/>
          <w:lang w:val="es-MX" w:eastAsia="x-none"/>
        </w:rPr>
        <w:t>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57EB149A" w14:textId="77777777" w:rsidR="00AB1573" w:rsidRDefault="00AB1573" w:rsidP="00AB1573">
      <w:pPr>
        <w:spacing w:after="0" w:line="276" w:lineRule="auto"/>
        <w:ind w:firstLine="708"/>
        <w:jc w:val="both"/>
        <w:rPr>
          <w:rFonts w:ascii="Verdana" w:hAnsi="Verdana" w:cs="Arial"/>
          <w:bCs/>
          <w:lang w:val="es-MX" w:eastAsia="x-none"/>
        </w:rPr>
      </w:pPr>
    </w:p>
    <w:p w14:paraId="70822FAF" w14:textId="77777777" w:rsidR="00AB1573" w:rsidRPr="0004207F" w:rsidRDefault="00AB1573" w:rsidP="00AB1573">
      <w:pPr>
        <w:spacing w:after="120" w:line="276" w:lineRule="auto"/>
        <w:jc w:val="both"/>
        <w:rPr>
          <w:rFonts w:ascii="Verdana" w:hAnsi="Verdana" w:cs="Arial"/>
          <w:bCs/>
          <w:lang w:val="es-MX" w:eastAsia="x-none"/>
        </w:rPr>
      </w:pPr>
      <w:r w:rsidRPr="0004207F">
        <w:rPr>
          <w:rFonts w:ascii="Verdana" w:hAnsi="Verdana" w:cs="Arial"/>
          <w:bCs/>
          <w:lang w:val="es-MX" w:eastAsia="x-none"/>
        </w:rPr>
        <w:t xml:space="preserve">iv. Es importante reiterar que el segundo inciso del artículo 33 de la Ley de Garantías Electorales consagró las excepciones aplicables a la prohibición de contratación directa establecida en el mismo artículo. La Sala de Consulta y </w:t>
      </w:r>
      <w:r w:rsidRPr="0004207F">
        <w:rPr>
          <w:rFonts w:ascii="Verdana" w:hAnsi="Verdana" w:cs="Arial"/>
          <w:bCs/>
          <w:lang w:val="es-MX" w:eastAsia="x-none"/>
        </w:rPr>
        <w:lastRenderedPageBreak/>
        <w:t>Servicio Civil del Consejo de Estado, en Concepto del 4 de febrero de 2010, explica que “[…] Las excepciones establecidas en los artículos 32 y 33 en comento, guardan relación, exclusivamente, con algunos servicios públicos que por su naturaleza no admiten postergaciones en la atención de sus necesidades de personal, bienes y servicios [...]”</w:t>
      </w:r>
      <w:r w:rsidRPr="0004207F">
        <w:rPr>
          <w:rStyle w:val="Refdenotaalpie"/>
          <w:rFonts w:ascii="Verdana" w:hAnsi="Verdana" w:cs="Arial"/>
          <w:lang w:val="es-ES_tradnl" w:eastAsia="es-CO"/>
        </w:rPr>
        <w:footnoteReference w:id="23"/>
      </w:r>
      <w:r w:rsidRPr="0004207F">
        <w:rPr>
          <w:rFonts w:ascii="Verdana" w:hAnsi="Verdana" w:cs="Arial"/>
          <w:bCs/>
          <w:lang w:val="es-MX" w:eastAsia="x-none"/>
        </w:rPr>
        <w:t>.</w:t>
      </w:r>
    </w:p>
    <w:p w14:paraId="4D6C4150" w14:textId="77777777" w:rsidR="00AB1573" w:rsidRPr="0004207F" w:rsidRDefault="00AB1573" w:rsidP="70BB5D8B">
      <w:pPr>
        <w:shd w:val="clear" w:color="auto" w:fill="FFFFFF" w:themeFill="background1"/>
        <w:spacing w:after="120" w:line="276" w:lineRule="auto"/>
        <w:ind w:firstLine="709"/>
        <w:jc w:val="both"/>
        <w:rPr>
          <w:rFonts w:ascii="Verdana" w:hAnsi="Verdana" w:cs="Arial"/>
          <w:lang w:val="es-ES" w:eastAsia="es-CO"/>
        </w:rPr>
      </w:pPr>
      <w:r w:rsidRPr="70BB5D8B">
        <w:rPr>
          <w:rFonts w:ascii="Verdana" w:hAnsi="Verdana" w:cs="Arial"/>
          <w:lang w:val="es-ES"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w:t>
      </w:r>
      <w:proofErr w:type="spellStart"/>
      <w:r w:rsidRPr="70BB5D8B">
        <w:rPr>
          <w:rFonts w:ascii="Verdana" w:hAnsi="Verdana" w:cs="Arial"/>
          <w:lang w:val="es-ES" w:eastAsia="es-CO"/>
        </w:rPr>
        <w:t>exequibilidad</w:t>
      </w:r>
      <w:proofErr w:type="spellEnd"/>
      <w:r w:rsidRPr="70BB5D8B">
        <w:rPr>
          <w:rFonts w:ascii="Verdana" w:hAnsi="Verdana" w:cs="Arial"/>
          <w:lang w:val="es-ES" w:eastAsia="es-CO"/>
        </w:rPr>
        <w:t>. Así, por ejemplo, la Corte Constitucional explicó que “[…]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70BB5D8B">
        <w:rPr>
          <w:rStyle w:val="Refdenotaalpie"/>
          <w:rFonts w:ascii="Verdana" w:hAnsi="Verdana" w:cs="Arial"/>
          <w:lang w:val="es-ES" w:eastAsia="es-CO"/>
        </w:rPr>
        <w:footnoteReference w:id="24"/>
      </w:r>
      <w:r w:rsidRPr="70BB5D8B">
        <w:rPr>
          <w:rFonts w:ascii="Verdana" w:hAnsi="Verdana" w:cs="Arial"/>
          <w:lang w:val="es-ES" w:eastAsia="es-CO"/>
        </w:rPr>
        <w:t xml:space="preserve">. </w:t>
      </w:r>
    </w:p>
    <w:p w14:paraId="4D1273C0" w14:textId="77777777" w:rsidR="00AB1573" w:rsidRDefault="00AB1573" w:rsidP="00AB1573">
      <w:pPr>
        <w:shd w:val="clear" w:color="auto" w:fill="FFFFFF"/>
        <w:spacing w:after="0" w:line="276" w:lineRule="auto"/>
        <w:ind w:firstLine="709"/>
        <w:jc w:val="both"/>
        <w:rPr>
          <w:rFonts w:ascii="Verdana" w:eastAsia="Times New Roman" w:hAnsi="Verdana" w:cs="Arial"/>
          <w:lang w:val="es-ES" w:eastAsia="es-MX"/>
        </w:rPr>
      </w:pPr>
      <w:r w:rsidRPr="0004207F">
        <w:rPr>
          <w:rFonts w:ascii="Verdana" w:hAnsi="Verdana" w:cs="Arial"/>
          <w:bCs/>
          <w:lang w:val="es-ES_tradnl"/>
        </w:rPr>
        <w:t>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r>
        <w:rPr>
          <w:rFonts w:ascii="Verdana" w:hAnsi="Verdana" w:cs="Arial"/>
          <w:lang w:val="es-ES_tradnl" w:eastAsia="es-CO"/>
        </w:rPr>
        <w:t xml:space="preserve"> </w:t>
      </w:r>
      <w:r w:rsidRPr="0004207F">
        <w:rPr>
          <w:rFonts w:ascii="Verdana" w:hAnsi="Verdana" w:cs="Arial"/>
          <w:bCs/>
          <w:lang w:val="es-MX" w:eastAsia="x-none"/>
        </w:rPr>
        <w:t>Entre las excepciones del artículo en comento se encuentra</w:t>
      </w:r>
      <w:r>
        <w:rPr>
          <w:rFonts w:ascii="Verdana" w:hAnsi="Verdana" w:cs="Arial"/>
          <w:bCs/>
          <w:lang w:val="es-MX" w:eastAsia="x-none"/>
        </w:rPr>
        <w:t>n los contratos relacionados</w:t>
      </w:r>
      <w:r w:rsidRPr="0004207F">
        <w:rPr>
          <w:rFonts w:ascii="Verdana" w:hAnsi="Verdana" w:cs="Arial"/>
          <w:bCs/>
          <w:lang w:val="es-MX" w:eastAsia="x-none"/>
        </w:rPr>
        <w:t xml:space="preserve"> “[…] </w:t>
      </w:r>
      <w:r w:rsidRPr="002B4ED7">
        <w:rPr>
          <w:rFonts w:ascii="Verdana" w:hAnsi="Verdana" w:cs="Arial"/>
          <w:bCs/>
          <w:lang w:val="es-MX" w:eastAsia="x-none"/>
        </w:rPr>
        <w:t>la defensa y seguridad del Estado</w:t>
      </w:r>
      <w:r w:rsidRPr="0004207F">
        <w:rPr>
          <w:rFonts w:ascii="Verdana" w:hAnsi="Verdana" w:cs="Arial"/>
          <w:bCs/>
          <w:lang w:eastAsia="x-none"/>
        </w:rPr>
        <w:t xml:space="preserve"> […]</w:t>
      </w:r>
      <w:r w:rsidRPr="0004207F">
        <w:rPr>
          <w:rFonts w:ascii="Verdana" w:hAnsi="Verdana" w:cs="Arial"/>
          <w:bCs/>
          <w:lang w:val="es-MX" w:eastAsia="x-none"/>
        </w:rPr>
        <w:t>”</w:t>
      </w:r>
      <w:r w:rsidRPr="0004207F">
        <w:rPr>
          <w:rFonts w:ascii="Verdana" w:eastAsia="Calibri" w:hAnsi="Verdana" w:cs="Arial"/>
        </w:rPr>
        <w:t>.</w:t>
      </w:r>
      <w:r>
        <w:rPr>
          <w:rFonts w:ascii="Verdana" w:eastAsia="Times New Roman" w:hAnsi="Verdana" w:cs="Arial"/>
          <w:lang w:val="es-ES" w:eastAsia="es-MX"/>
        </w:rPr>
        <w:t xml:space="preserve"> </w:t>
      </w:r>
    </w:p>
    <w:p w14:paraId="57EF76D9" w14:textId="77777777" w:rsidR="00AB1573" w:rsidRDefault="00AB1573" w:rsidP="00AB1573">
      <w:pPr>
        <w:shd w:val="clear" w:color="auto" w:fill="FFFFFF"/>
        <w:spacing w:after="0" w:line="276" w:lineRule="auto"/>
        <w:ind w:firstLine="709"/>
        <w:jc w:val="both"/>
        <w:rPr>
          <w:rFonts w:ascii="Verdana" w:eastAsia="Times New Roman" w:hAnsi="Verdana" w:cs="Arial"/>
          <w:lang w:val="es-ES" w:eastAsia="es-MX"/>
        </w:rPr>
      </w:pPr>
    </w:p>
    <w:p w14:paraId="18AF4477" w14:textId="77777777" w:rsidR="00AB1573" w:rsidRDefault="00AB1573" w:rsidP="00AB1573">
      <w:pPr>
        <w:spacing w:after="120" w:line="276" w:lineRule="auto"/>
        <w:jc w:val="both"/>
        <w:rPr>
          <w:rFonts w:ascii="Verdana" w:eastAsia="Times New Roman" w:hAnsi="Verdana" w:cs="Arial"/>
          <w:lang w:eastAsia="es-MX"/>
        </w:rPr>
      </w:pPr>
      <w:r>
        <w:rPr>
          <w:rFonts w:ascii="Verdana" w:eastAsia="Times New Roman" w:hAnsi="Verdana" w:cs="Arial"/>
          <w:lang w:val="es-ES" w:eastAsia="es-MX"/>
        </w:rPr>
        <w:t xml:space="preserve">v. Respecto a esta excepción, es necesario tener en cuenta que </w:t>
      </w:r>
      <w:r>
        <w:rPr>
          <w:rFonts w:ascii="Verdana" w:eastAsia="Times New Roman" w:hAnsi="Verdana" w:cs="Arial"/>
          <w:lang w:eastAsia="es-MX"/>
        </w:rPr>
        <w:t>el literal d) del artículo 2.4 de la Ley 1150 de 2007 permite la selección directa tratándose de la</w:t>
      </w:r>
      <w:r w:rsidRPr="00DB1EA1">
        <w:rPr>
          <w:rFonts w:ascii="Verdana" w:eastAsia="Times New Roman" w:hAnsi="Verdana" w:cs="Arial"/>
          <w:lang w:eastAsia="es-MX"/>
        </w:rPr>
        <w:t xml:space="preserve"> contratación de bienes y servicios en el sector </w:t>
      </w:r>
      <w:r>
        <w:rPr>
          <w:rFonts w:ascii="Verdana" w:eastAsia="Times New Roman" w:hAnsi="Verdana" w:cs="Arial"/>
          <w:lang w:eastAsia="es-MX"/>
        </w:rPr>
        <w:t>d</w:t>
      </w:r>
      <w:r w:rsidRPr="00DB1EA1">
        <w:rPr>
          <w:rFonts w:ascii="Verdana" w:eastAsia="Times New Roman" w:hAnsi="Verdana" w:cs="Arial"/>
          <w:lang w:eastAsia="es-MX"/>
        </w:rPr>
        <w:t>efensa que necesiten reserva para su adquisición</w:t>
      </w:r>
      <w:r>
        <w:rPr>
          <w:rFonts w:ascii="Verdana" w:eastAsia="Times New Roman" w:hAnsi="Verdana" w:cs="Arial"/>
          <w:lang w:eastAsia="es-MX"/>
        </w:rPr>
        <w:t xml:space="preserve">. Dicha causal se sujetan al cumplimiento de dos (2) </w:t>
      </w:r>
      <w:r>
        <w:rPr>
          <w:rFonts w:ascii="Verdana" w:eastAsia="Times New Roman" w:hAnsi="Verdana" w:cs="Arial"/>
          <w:lang w:eastAsia="es-MX"/>
        </w:rPr>
        <w:lastRenderedPageBreak/>
        <w:t>requisitos: uno de carácter orgánico y otro de carácter material. Por un lado, los bienes o servicios deben ser adquiridos por entidades del sector defensa y, por otro, su adquisición debe ser reservada</w:t>
      </w:r>
      <w:r>
        <w:rPr>
          <w:rStyle w:val="Refdenotaalpie"/>
          <w:rFonts w:ascii="Verdana" w:eastAsia="Times New Roman" w:hAnsi="Verdana" w:cs="Arial"/>
          <w:lang w:eastAsia="es-MX"/>
        </w:rPr>
        <w:footnoteReference w:id="25"/>
      </w:r>
      <w:r>
        <w:rPr>
          <w:rFonts w:ascii="Verdana" w:eastAsia="Times New Roman" w:hAnsi="Verdana" w:cs="Arial"/>
          <w:lang w:eastAsia="es-MX"/>
        </w:rPr>
        <w:t>.</w:t>
      </w:r>
    </w:p>
    <w:p w14:paraId="16E256B6" w14:textId="77777777" w:rsidR="00AB1573" w:rsidRDefault="00AB1573" w:rsidP="00AB1573">
      <w:pPr>
        <w:spacing w:after="120" w:line="276" w:lineRule="auto"/>
        <w:ind w:firstLine="709"/>
        <w:jc w:val="both"/>
        <w:rPr>
          <w:rFonts w:ascii="Verdana" w:eastAsia="Times New Roman" w:hAnsi="Verdana" w:cs="Arial"/>
          <w:lang w:eastAsia="es-MX"/>
        </w:rPr>
      </w:pPr>
      <w:r w:rsidRPr="00DB1EA1">
        <w:rPr>
          <w:rFonts w:ascii="Verdana" w:eastAsia="Times New Roman" w:hAnsi="Verdana" w:cs="Arial"/>
          <w:i/>
          <w:iCs/>
          <w:lang w:eastAsia="es-MX"/>
        </w:rPr>
        <w:t xml:space="preserve">En lo que respecta </w:t>
      </w:r>
      <w:r>
        <w:rPr>
          <w:rFonts w:ascii="Verdana" w:eastAsia="Times New Roman" w:hAnsi="Verdana" w:cs="Arial"/>
          <w:i/>
          <w:iCs/>
          <w:lang w:eastAsia="es-MX"/>
        </w:rPr>
        <w:t>al requisito</w:t>
      </w:r>
      <w:r w:rsidRPr="00DB1EA1">
        <w:rPr>
          <w:rFonts w:ascii="Verdana" w:eastAsia="Times New Roman" w:hAnsi="Verdana" w:cs="Arial"/>
          <w:i/>
          <w:iCs/>
          <w:lang w:eastAsia="es-MX"/>
        </w:rPr>
        <w:t xml:space="preserve"> orgánico</w:t>
      </w:r>
      <w:r>
        <w:rPr>
          <w:rFonts w:ascii="Verdana" w:eastAsia="Times New Roman" w:hAnsi="Verdana" w:cs="Arial"/>
          <w:lang w:eastAsia="es-MX"/>
        </w:rPr>
        <w:t>, para entender qué entidades conforman el sector de defensa nacional, es necesario remitirse al artículo 42 de la Ley 489 de 1998. Dicha norma dispone que “</w:t>
      </w:r>
      <w:r w:rsidRPr="00535337">
        <w:rPr>
          <w:rFonts w:ascii="Verdana" w:eastAsia="Times New Roman" w:hAnsi="Verdana" w:cs="Arial"/>
          <w:lang w:eastAsia="es-MX"/>
        </w:rPr>
        <w:t>El Sector Administrativo está integrado por el Ministerio o Departamento Administrativo, las superintendencias y demás entidades que la ley definan como adscritas o vinculadas a aquéllos según correspondiere a cada área</w:t>
      </w:r>
      <w:r>
        <w:rPr>
          <w:rFonts w:ascii="Verdana" w:eastAsia="Times New Roman" w:hAnsi="Verdana" w:cs="Arial"/>
          <w:lang w:eastAsia="es-MX"/>
        </w:rPr>
        <w:t>”</w:t>
      </w:r>
      <w:r w:rsidRPr="00535337">
        <w:rPr>
          <w:rFonts w:ascii="Verdana" w:eastAsia="Times New Roman" w:hAnsi="Verdana" w:cs="Arial"/>
          <w:lang w:eastAsia="es-MX"/>
        </w:rPr>
        <w:t>.</w:t>
      </w:r>
      <w:r>
        <w:rPr>
          <w:rFonts w:ascii="Verdana" w:eastAsia="Times New Roman" w:hAnsi="Verdana" w:cs="Arial"/>
          <w:lang w:eastAsia="es-MX"/>
        </w:rPr>
        <w:t xml:space="preserve"> En la misma línea, el parágrafo del artículo 50 </w:t>
      </w:r>
      <w:r w:rsidRPr="00535337">
        <w:rPr>
          <w:rFonts w:ascii="Verdana" w:eastAsia="Times New Roman" w:hAnsi="Verdana" w:cs="Arial"/>
          <w:i/>
          <w:iCs/>
          <w:lang w:eastAsia="es-MX"/>
        </w:rPr>
        <w:t>ibidem</w:t>
      </w:r>
      <w:r>
        <w:rPr>
          <w:rFonts w:ascii="Verdana" w:eastAsia="Times New Roman" w:hAnsi="Verdana" w:cs="Arial"/>
          <w:lang w:eastAsia="es-MX"/>
        </w:rPr>
        <w:t xml:space="preserve"> indica lo siguiente: “</w:t>
      </w:r>
      <w:r w:rsidRPr="00535337">
        <w:rPr>
          <w:rFonts w:ascii="Verdana" w:eastAsia="Times New Roman" w:hAnsi="Verdana" w:cs="Arial"/>
          <w:lang w:eastAsia="es-MX"/>
        </w:rPr>
        <w:t>Las superintendencias, los establecimientos públicos y las unidades administrativas especiales estarán adscritos a los ministerios o departamentos administrativos; las empresas industriales y comerciales del Estado y las sociedades de economía mixta estarán vinculadas a aquellos; los demás organismos y entidades estarán adscritos o vinculados, según lo determine su acto de creación</w:t>
      </w:r>
      <w:r>
        <w:rPr>
          <w:rFonts w:ascii="Verdana" w:eastAsia="Times New Roman" w:hAnsi="Verdana" w:cs="Arial"/>
          <w:lang w:eastAsia="es-MX"/>
        </w:rPr>
        <w:t>”</w:t>
      </w:r>
      <w:r w:rsidRPr="00535337">
        <w:rPr>
          <w:rFonts w:ascii="Verdana" w:eastAsia="Times New Roman" w:hAnsi="Verdana" w:cs="Arial"/>
          <w:lang w:eastAsia="es-MX"/>
        </w:rPr>
        <w:t>.</w:t>
      </w:r>
      <w:r>
        <w:rPr>
          <w:rFonts w:ascii="Verdana" w:eastAsia="Times New Roman" w:hAnsi="Verdana" w:cs="Arial"/>
          <w:lang w:eastAsia="es-MX"/>
        </w:rPr>
        <w:t xml:space="preserve"> </w:t>
      </w:r>
    </w:p>
    <w:p w14:paraId="0425308E" w14:textId="77777777" w:rsidR="00AB1573" w:rsidRDefault="00AB1573" w:rsidP="00AB1573">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Respecto a la estructura administrativa del sector de defensa nacional, el Decreto 1070 de 2015 ubica al ministerio respectivo como cabeza del mismo –artículo </w:t>
      </w:r>
      <w:r w:rsidRPr="003B03E0">
        <w:rPr>
          <w:rFonts w:ascii="Verdana" w:eastAsia="Times New Roman" w:hAnsi="Verdana" w:cs="Arial"/>
          <w:lang w:eastAsia="es-MX"/>
        </w:rPr>
        <w:t>1.1.1.1</w:t>
      </w:r>
      <w:r>
        <w:rPr>
          <w:rFonts w:ascii="Verdana" w:eastAsia="Times New Roman" w:hAnsi="Verdana" w:cs="Arial"/>
          <w:lang w:eastAsia="es-MX"/>
        </w:rPr>
        <w:t xml:space="preserve">–. Al ministerio se encuentran adscritas la </w:t>
      </w:r>
      <w:r w:rsidRPr="00B53481">
        <w:rPr>
          <w:rFonts w:ascii="Verdana" w:eastAsia="Times New Roman" w:hAnsi="Verdana" w:cs="Arial"/>
          <w:lang w:eastAsia="es-MX"/>
        </w:rPr>
        <w:t>Superintendencia de Vigilancia y Seguridad Privada</w:t>
      </w:r>
      <w:r>
        <w:rPr>
          <w:rFonts w:ascii="Verdana" w:eastAsia="Times New Roman" w:hAnsi="Verdana" w:cs="Arial"/>
          <w:lang w:eastAsia="es-MX"/>
        </w:rPr>
        <w:t xml:space="preserve"> –artículo </w:t>
      </w:r>
      <w:r w:rsidRPr="00B53481">
        <w:rPr>
          <w:rFonts w:ascii="Verdana" w:eastAsia="Times New Roman" w:hAnsi="Verdana" w:cs="Arial"/>
          <w:lang w:eastAsia="es-MX"/>
        </w:rPr>
        <w:t>1.2.1.1.1</w:t>
      </w:r>
      <w:r>
        <w:rPr>
          <w:rFonts w:ascii="Verdana" w:eastAsia="Times New Roman" w:hAnsi="Verdana" w:cs="Arial"/>
          <w:lang w:eastAsia="es-MX"/>
        </w:rPr>
        <w:t xml:space="preserve">–; la </w:t>
      </w:r>
      <w:r w:rsidRPr="00B53481">
        <w:rPr>
          <w:rFonts w:ascii="Verdana" w:eastAsia="Times New Roman" w:hAnsi="Verdana" w:cs="Arial"/>
          <w:lang w:eastAsia="es-MX"/>
        </w:rPr>
        <w:t>Caja de Retiro de las Fuerzas Militares</w:t>
      </w:r>
      <w:r>
        <w:rPr>
          <w:rFonts w:ascii="Verdana" w:eastAsia="Times New Roman" w:hAnsi="Verdana" w:cs="Arial"/>
          <w:lang w:eastAsia="es-MX"/>
        </w:rPr>
        <w:t xml:space="preserve">, la </w:t>
      </w:r>
      <w:r w:rsidRPr="00B53481">
        <w:rPr>
          <w:rFonts w:ascii="Verdana" w:eastAsia="Times New Roman" w:hAnsi="Verdana" w:cs="Arial"/>
          <w:lang w:eastAsia="es-MX"/>
        </w:rPr>
        <w:t>Caja de Sueldos de Retiro de la Policía Naciona</w:t>
      </w:r>
      <w:r>
        <w:rPr>
          <w:rFonts w:ascii="Verdana" w:eastAsia="Times New Roman" w:hAnsi="Verdana" w:cs="Arial"/>
          <w:lang w:eastAsia="es-MX"/>
        </w:rPr>
        <w:t xml:space="preserve">l, el </w:t>
      </w:r>
      <w:r w:rsidRPr="00B53481">
        <w:rPr>
          <w:rFonts w:ascii="Verdana" w:eastAsia="Times New Roman" w:hAnsi="Verdana" w:cs="Arial"/>
          <w:lang w:eastAsia="es-MX"/>
        </w:rPr>
        <w:t>Hospital Militar Central</w:t>
      </w:r>
      <w:r>
        <w:rPr>
          <w:rFonts w:ascii="Verdana" w:eastAsia="Times New Roman" w:hAnsi="Verdana" w:cs="Arial"/>
          <w:lang w:eastAsia="es-MX"/>
        </w:rPr>
        <w:t xml:space="preserve">, la </w:t>
      </w:r>
      <w:r w:rsidRPr="00B53481">
        <w:rPr>
          <w:rFonts w:ascii="Verdana" w:eastAsia="Times New Roman" w:hAnsi="Verdana" w:cs="Arial"/>
          <w:lang w:eastAsia="es-MX"/>
        </w:rPr>
        <w:t>Agencia Logística de las Fuerzas Militares</w:t>
      </w:r>
      <w:r>
        <w:rPr>
          <w:rFonts w:ascii="Verdana" w:eastAsia="Times New Roman" w:hAnsi="Verdana" w:cs="Arial"/>
          <w:lang w:eastAsia="es-MX"/>
        </w:rPr>
        <w:t xml:space="preserve">, el </w:t>
      </w:r>
      <w:r w:rsidRPr="00B53481">
        <w:rPr>
          <w:rFonts w:ascii="Verdana" w:eastAsia="Times New Roman" w:hAnsi="Verdana" w:cs="Arial"/>
          <w:lang w:eastAsia="es-MX"/>
        </w:rPr>
        <w:t>Fondo Rotatorio de la Policía Nacional</w:t>
      </w:r>
      <w:r>
        <w:rPr>
          <w:rFonts w:ascii="Verdana" w:eastAsia="Times New Roman" w:hAnsi="Verdana" w:cs="Arial"/>
          <w:lang w:eastAsia="es-MX"/>
        </w:rPr>
        <w:t xml:space="preserve">, el </w:t>
      </w:r>
      <w:r w:rsidRPr="00B53481">
        <w:rPr>
          <w:rFonts w:ascii="Verdana" w:eastAsia="Times New Roman" w:hAnsi="Verdana" w:cs="Arial"/>
          <w:lang w:eastAsia="es-MX"/>
        </w:rPr>
        <w:t>Instituto de Casas Fiscales del Ejército</w:t>
      </w:r>
      <w:r>
        <w:rPr>
          <w:rFonts w:ascii="Verdana" w:eastAsia="Times New Roman" w:hAnsi="Verdana" w:cs="Arial"/>
          <w:lang w:eastAsia="es-MX"/>
        </w:rPr>
        <w:t xml:space="preserve">, el </w:t>
      </w:r>
      <w:r w:rsidRPr="00B53481">
        <w:rPr>
          <w:rFonts w:ascii="Verdana" w:eastAsia="Times New Roman" w:hAnsi="Verdana" w:cs="Arial"/>
          <w:lang w:eastAsia="es-MX"/>
        </w:rPr>
        <w:t>Club Militar</w:t>
      </w:r>
      <w:r>
        <w:rPr>
          <w:rFonts w:ascii="Verdana" w:eastAsia="Times New Roman" w:hAnsi="Verdana" w:cs="Arial"/>
          <w:lang w:eastAsia="es-MX"/>
        </w:rPr>
        <w:t xml:space="preserve">, y la </w:t>
      </w:r>
      <w:r w:rsidRPr="00B53481">
        <w:rPr>
          <w:rFonts w:ascii="Verdana" w:eastAsia="Times New Roman" w:hAnsi="Verdana" w:cs="Arial"/>
          <w:lang w:eastAsia="es-MX"/>
        </w:rPr>
        <w:t>Defensa Civil Colombiana</w:t>
      </w:r>
      <w:r>
        <w:rPr>
          <w:rFonts w:ascii="Verdana" w:eastAsia="Times New Roman" w:hAnsi="Verdana" w:cs="Arial"/>
          <w:lang w:eastAsia="es-MX"/>
        </w:rPr>
        <w:t xml:space="preserve"> –artículo </w:t>
      </w:r>
      <w:r w:rsidRPr="00B53481">
        <w:rPr>
          <w:rFonts w:ascii="Verdana" w:eastAsia="Times New Roman" w:hAnsi="Verdana" w:cs="Arial"/>
          <w:lang w:eastAsia="es-MX"/>
        </w:rPr>
        <w:t>1.2.1.2.1</w:t>
      </w:r>
      <w:r>
        <w:rPr>
          <w:rFonts w:ascii="Verdana" w:eastAsia="Times New Roman" w:hAnsi="Verdana" w:cs="Arial"/>
          <w:lang w:eastAsia="es-MX"/>
        </w:rPr>
        <w:t xml:space="preserve">–. También están vinculadas la </w:t>
      </w:r>
      <w:r w:rsidRPr="00B53481">
        <w:rPr>
          <w:rFonts w:ascii="Verdana" w:eastAsia="Times New Roman" w:hAnsi="Verdana" w:cs="Arial"/>
          <w:lang w:eastAsia="es-MX"/>
        </w:rPr>
        <w:t>Industria Militar</w:t>
      </w:r>
      <w:r>
        <w:rPr>
          <w:rFonts w:ascii="Verdana" w:eastAsia="Times New Roman" w:hAnsi="Verdana" w:cs="Arial"/>
          <w:lang w:eastAsia="es-MX"/>
        </w:rPr>
        <w:t xml:space="preserve"> y la </w:t>
      </w:r>
      <w:r w:rsidRPr="00B53481">
        <w:rPr>
          <w:rFonts w:ascii="Verdana" w:eastAsia="Times New Roman" w:hAnsi="Verdana" w:cs="Arial"/>
          <w:lang w:eastAsia="es-MX"/>
        </w:rPr>
        <w:t>Caja Promotora de Vivienda Militar y de Policía</w:t>
      </w:r>
      <w:r>
        <w:rPr>
          <w:rFonts w:ascii="Verdana" w:eastAsia="Times New Roman" w:hAnsi="Verdana" w:cs="Arial"/>
          <w:lang w:eastAsia="es-MX"/>
        </w:rPr>
        <w:t xml:space="preserve"> –artículo </w:t>
      </w:r>
      <w:r w:rsidRPr="00B53481">
        <w:rPr>
          <w:rFonts w:ascii="Verdana" w:eastAsia="Times New Roman" w:hAnsi="Verdana" w:cs="Arial"/>
          <w:lang w:eastAsia="es-MX"/>
        </w:rPr>
        <w:t>1.2.2.1.1</w:t>
      </w:r>
      <w:r>
        <w:rPr>
          <w:rFonts w:ascii="Verdana" w:eastAsia="Times New Roman" w:hAnsi="Verdana" w:cs="Arial"/>
          <w:lang w:eastAsia="es-MX"/>
        </w:rPr>
        <w:t xml:space="preserve">–; el </w:t>
      </w:r>
      <w:r w:rsidRPr="00B53481">
        <w:rPr>
          <w:rFonts w:ascii="Verdana" w:eastAsia="Times New Roman" w:hAnsi="Verdana" w:cs="Arial"/>
          <w:lang w:eastAsia="es-MX"/>
        </w:rPr>
        <w:t>Servicio Aéreo a Territorios Nacionales S.A</w:t>
      </w:r>
      <w:r>
        <w:rPr>
          <w:rFonts w:ascii="Verdana" w:eastAsia="Times New Roman" w:hAnsi="Verdana" w:cs="Arial"/>
          <w:lang w:eastAsia="es-MX"/>
        </w:rPr>
        <w:t xml:space="preserve">, la </w:t>
      </w:r>
      <w:r w:rsidRPr="00B53481">
        <w:rPr>
          <w:rFonts w:ascii="Verdana" w:eastAsia="Times New Roman" w:hAnsi="Verdana" w:cs="Arial"/>
          <w:lang w:eastAsia="es-MX"/>
        </w:rPr>
        <w:t>Corporación de la Industria Aeronáutica Colombiana S.A</w:t>
      </w:r>
      <w:r>
        <w:rPr>
          <w:rFonts w:ascii="Verdana" w:eastAsia="Times New Roman" w:hAnsi="Verdana" w:cs="Arial"/>
          <w:lang w:eastAsia="es-MX"/>
        </w:rPr>
        <w:t xml:space="preserve"> y la </w:t>
      </w:r>
      <w:r w:rsidRPr="00B53481">
        <w:rPr>
          <w:rFonts w:ascii="Verdana" w:eastAsia="Times New Roman" w:hAnsi="Verdana" w:cs="Arial"/>
          <w:lang w:eastAsia="es-MX"/>
        </w:rPr>
        <w:t>Sociedad Hotelera S.A</w:t>
      </w:r>
      <w:r>
        <w:rPr>
          <w:rFonts w:ascii="Verdana" w:eastAsia="Times New Roman" w:hAnsi="Verdana" w:cs="Arial"/>
          <w:lang w:eastAsia="es-MX"/>
        </w:rPr>
        <w:t xml:space="preserve"> –artículo </w:t>
      </w:r>
      <w:r w:rsidRPr="00B53481">
        <w:rPr>
          <w:rFonts w:ascii="Verdana" w:eastAsia="Times New Roman" w:hAnsi="Verdana" w:cs="Arial"/>
          <w:lang w:eastAsia="es-MX"/>
        </w:rPr>
        <w:t>1.2.2.2.1</w:t>
      </w:r>
      <w:r>
        <w:rPr>
          <w:rFonts w:ascii="Verdana" w:eastAsia="Times New Roman" w:hAnsi="Verdana" w:cs="Arial"/>
          <w:lang w:eastAsia="es-MX"/>
        </w:rPr>
        <w:t xml:space="preserve">–; así como la </w:t>
      </w:r>
      <w:r w:rsidRPr="001F0185">
        <w:rPr>
          <w:rFonts w:ascii="Verdana" w:eastAsia="Times New Roman" w:hAnsi="Verdana" w:cs="Arial"/>
          <w:lang w:eastAsia="es-MX"/>
        </w:rPr>
        <w:t>Corporación de Ciencia y Tecnología para el Desarrollo de la Industria Naval, Marítima y Fluvial</w:t>
      </w:r>
      <w:r>
        <w:rPr>
          <w:rFonts w:ascii="Verdana" w:eastAsia="Times New Roman" w:hAnsi="Verdana" w:cs="Arial"/>
          <w:lang w:eastAsia="es-MX"/>
        </w:rPr>
        <w:t xml:space="preserve"> y la </w:t>
      </w:r>
      <w:r w:rsidRPr="001F0185">
        <w:rPr>
          <w:rFonts w:ascii="Verdana" w:eastAsia="Times New Roman" w:hAnsi="Verdana" w:cs="Arial"/>
          <w:lang w:eastAsia="es-MX"/>
        </w:rPr>
        <w:t>Corporación de Alta Tecnología para la Defensa</w:t>
      </w:r>
      <w:r>
        <w:rPr>
          <w:rFonts w:ascii="Verdana" w:eastAsia="Times New Roman" w:hAnsi="Verdana" w:cs="Arial"/>
          <w:lang w:eastAsia="es-MX"/>
        </w:rPr>
        <w:t xml:space="preserve"> –artículo </w:t>
      </w:r>
      <w:r w:rsidRPr="001F0185">
        <w:rPr>
          <w:rFonts w:ascii="Verdana" w:eastAsia="Times New Roman" w:hAnsi="Verdana" w:cs="Arial"/>
          <w:lang w:eastAsia="es-MX"/>
        </w:rPr>
        <w:t>1.2.3.1</w:t>
      </w:r>
      <w:r>
        <w:rPr>
          <w:rFonts w:ascii="Verdana" w:eastAsia="Times New Roman" w:hAnsi="Verdana" w:cs="Arial"/>
          <w:lang w:eastAsia="es-MX"/>
        </w:rPr>
        <w:t>–.</w:t>
      </w:r>
    </w:p>
    <w:p w14:paraId="21C4600D" w14:textId="77777777" w:rsidR="00AB1573" w:rsidRDefault="00AB1573" w:rsidP="00AB1573">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lastRenderedPageBreak/>
        <w:t>Sin perjuicio de lo regulado en el artículo 14 de la ley 1150 de 2007 sobre régimen d</w:t>
      </w:r>
      <w:r w:rsidRPr="001F0185">
        <w:rPr>
          <w:rFonts w:ascii="Verdana" w:eastAsia="Times New Roman" w:hAnsi="Verdana" w:cs="Arial"/>
          <w:lang w:eastAsia="es-MX"/>
        </w:rPr>
        <w:t>el régimen contractual de las empresas industriales y comerciales del estado, las sociedades de economía mixta, sus filiales y empresas con participación mayoritaria del Estado</w:t>
      </w:r>
      <w:r>
        <w:rPr>
          <w:rFonts w:ascii="Verdana" w:eastAsia="Times New Roman" w:hAnsi="Verdana" w:cs="Arial"/>
          <w:lang w:eastAsia="es-MX"/>
        </w:rPr>
        <w:t xml:space="preserve">, el artículo 16 </w:t>
      </w:r>
      <w:r w:rsidRPr="001F0185">
        <w:rPr>
          <w:rFonts w:ascii="Verdana" w:eastAsia="Times New Roman" w:hAnsi="Verdana" w:cs="Arial"/>
          <w:i/>
          <w:iCs/>
          <w:lang w:eastAsia="es-MX"/>
        </w:rPr>
        <w:t>ibidem</w:t>
      </w:r>
      <w:r>
        <w:rPr>
          <w:rFonts w:ascii="Verdana" w:eastAsia="Times New Roman" w:hAnsi="Verdana" w:cs="Arial"/>
          <w:lang w:eastAsia="es-MX"/>
        </w:rPr>
        <w:t xml:space="preserve"> indica lo siguiente: “</w:t>
      </w:r>
      <w:r w:rsidRPr="001F0185">
        <w:rPr>
          <w:rFonts w:ascii="Verdana" w:eastAsia="Times New Roman" w:hAnsi="Verdana" w:cs="Arial"/>
          <w:lang w:eastAsia="es-MX"/>
        </w:rPr>
        <w:t xml:space="preserve">Los contratos que celebren </w:t>
      </w:r>
      <w:proofErr w:type="spellStart"/>
      <w:r w:rsidRPr="001F0185">
        <w:rPr>
          <w:rFonts w:ascii="Verdana" w:eastAsia="Times New Roman" w:hAnsi="Verdana" w:cs="Arial"/>
          <w:lang w:eastAsia="es-MX"/>
        </w:rPr>
        <w:t>Satena</w:t>
      </w:r>
      <w:proofErr w:type="spellEnd"/>
      <w:r w:rsidRPr="001F0185">
        <w:rPr>
          <w:rFonts w:ascii="Verdana" w:eastAsia="Times New Roman" w:hAnsi="Verdana" w:cs="Arial"/>
          <w:lang w:eastAsia="es-MX"/>
        </w:rPr>
        <w:t>, Indumil, El Hotel Tequendama, la Corporación de Ciencia y Tecnología para el desarrollo de la industria naval, marítima y fluvial –</w:t>
      </w:r>
      <w:proofErr w:type="spellStart"/>
      <w:r w:rsidRPr="001F0185">
        <w:rPr>
          <w:rFonts w:ascii="Verdana" w:eastAsia="Times New Roman" w:hAnsi="Verdana" w:cs="Arial"/>
          <w:lang w:eastAsia="es-MX"/>
        </w:rPr>
        <w:t>Cotecmar</w:t>
      </w:r>
      <w:proofErr w:type="spellEnd"/>
      <w:r w:rsidRPr="001F0185">
        <w:rPr>
          <w:rFonts w:ascii="Verdana" w:eastAsia="Times New Roman" w:hAnsi="Verdana" w:cs="Arial"/>
          <w:lang w:eastAsia="es-MX"/>
        </w:rPr>
        <w:t>– y la Corporación de la Industria Aeronáutica Colombiana –CIAC–, no estarán sujetos a las disposiciones del Estatuto General de Contratación de la Administración Pública y se regirán por las disposiciones legales y reglamentarias aplicables a su actividad</w:t>
      </w:r>
      <w:r>
        <w:rPr>
          <w:rFonts w:ascii="Verdana" w:eastAsia="Times New Roman" w:hAnsi="Verdana" w:cs="Arial"/>
          <w:lang w:eastAsia="es-MX"/>
        </w:rPr>
        <w:t>”</w:t>
      </w:r>
      <w:r w:rsidRPr="001F0185">
        <w:rPr>
          <w:rFonts w:ascii="Verdana" w:eastAsia="Times New Roman" w:hAnsi="Verdana" w:cs="Arial"/>
          <w:lang w:eastAsia="es-MX"/>
        </w:rPr>
        <w:t>.</w:t>
      </w:r>
      <w:r>
        <w:rPr>
          <w:rFonts w:ascii="Verdana" w:eastAsia="Times New Roman" w:hAnsi="Verdana" w:cs="Arial"/>
          <w:lang w:eastAsia="es-MX"/>
        </w:rPr>
        <w:t xml:space="preserve"> Luego, la causal de contratación directa del literal d) del artículo 2.4 de la Ley 1150 de 2007 se circunscribe principalmente a las entidades del sector defensa regidas por la Ley 80 de 1993. </w:t>
      </w:r>
    </w:p>
    <w:p w14:paraId="05A58980" w14:textId="77777777" w:rsidR="00AB1573" w:rsidRDefault="00AB1573" w:rsidP="00AB1573">
      <w:pPr>
        <w:spacing w:after="120" w:line="276" w:lineRule="auto"/>
        <w:ind w:firstLine="709"/>
        <w:jc w:val="both"/>
        <w:rPr>
          <w:rFonts w:ascii="Verdana" w:eastAsia="Times New Roman" w:hAnsi="Verdana" w:cs="Arial"/>
          <w:lang w:eastAsia="es-MX"/>
        </w:rPr>
      </w:pPr>
      <w:r w:rsidRPr="0023720F">
        <w:rPr>
          <w:rFonts w:ascii="Verdana" w:eastAsia="Times New Roman" w:hAnsi="Verdana" w:cs="Arial"/>
          <w:i/>
          <w:iCs/>
          <w:lang w:eastAsia="es-MX"/>
        </w:rPr>
        <w:t>En lo que respecta al criterio material</w:t>
      </w:r>
      <w:r>
        <w:rPr>
          <w:rFonts w:ascii="Verdana" w:eastAsia="Times New Roman" w:hAnsi="Verdana" w:cs="Arial"/>
          <w:lang w:eastAsia="es-MX"/>
        </w:rPr>
        <w:t>, no es suficiente que una entidad de sector defensa sometida al EGCAP adquiera bienes o servicios, pues éstos deben requerir reserva en su adquisición. En principio, dicha categoría de bienes y servicios fue desarrollada en el inciso segundo del artículo 78 del Decreto 1510 de 2013</w:t>
      </w:r>
      <w:r>
        <w:rPr>
          <w:rStyle w:val="Refdenotaalpie"/>
          <w:rFonts w:ascii="Verdana" w:eastAsia="Times New Roman" w:hAnsi="Verdana" w:cs="Arial"/>
          <w:lang w:eastAsia="es-MX"/>
        </w:rPr>
        <w:footnoteReference w:id="26"/>
      </w:r>
      <w:r>
        <w:rPr>
          <w:rFonts w:ascii="Verdana" w:eastAsia="Times New Roman" w:hAnsi="Verdana" w:cs="Arial"/>
          <w:lang w:eastAsia="es-MX"/>
        </w:rPr>
        <w:t xml:space="preserve">. Sin embargo, el listado fue anulado por la Subsección A de la Sección </w:t>
      </w:r>
      <w:r>
        <w:rPr>
          <w:rFonts w:ascii="Verdana" w:eastAsia="Times New Roman" w:hAnsi="Verdana" w:cs="Arial"/>
          <w:lang w:eastAsia="es-MX"/>
        </w:rPr>
        <w:lastRenderedPageBreak/>
        <w:t xml:space="preserve">Tercera del Consejo de Estado en Sentencia del 24 de mayo de 2018, </w:t>
      </w:r>
      <w:proofErr w:type="spellStart"/>
      <w:r>
        <w:rPr>
          <w:rFonts w:ascii="Verdana" w:eastAsia="Times New Roman" w:hAnsi="Verdana" w:cs="Arial"/>
          <w:lang w:eastAsia="es-MX"/>
        </w:rPr>
        <w:t>Exp</w:t>
      </w:r>
      <w:proofErr w:type="spellEnd"/>
      <w:r>
        <w:rPr>
          <w:rFonts w:ascii="Verdana" w:eastAsia="Times New Roman" w:hAnsi="Verdana" w:cs="Arial"/>
          <w:lang w:eastAsia="es-MX"/>
        </w:rPr>
        <w:t xml:space="preserve">. 50222, con ponencia de la Consejera </w:t>
      </w:r>
      <w:r w:rsidRPr="00D25821">
        <w:rPr>
          <w:rFonts w:ascii="Verdana" w:eastAsia="Times New Roman" w:hAnsi="Verdana" w:cs="Arial"/>
          <w:lang w:eastAsia="es-MX"/>
        </w:rPr>
        <w:t>Marta Nubia Velásquez Rico</w:t>
      </w:r>
      <w:r>
        <w:rPr>
          <w:rFonts w:ascii="Verdana" w:eastAsia="Times New Roman" w:hAnsi="Verdana" w:cs="Arial"/>
          <w:lang w:eastAsia="es-MX"/>
        </w:rPr>
        <w:t xml:space="preserve">, bajo el argumento de que el Gobierno Nacional “[…] </w:t>
      </w:r>
      <w:r w:rsidRPr="008F68A8">
        <w:rPr>
          <w:rFonts w:ascii="Verdana" w:eastAsia="Times New Roman" w:hAnsi="Verdana" w:cs="Arial"/>
          <w:lang w:eastAsia="es-MX"/>
        </w:rPr>
        <w:t>desbordó la potestad reglamentaria al limitar el derecho fundamental de acceso a la información pública tratándose de bienes y servicios a adquirir por vía de la modalidad de selección de la contratación directa, limitación que por corresponder a la reserva legal, está en cabeza del legislador</w:t>
      </w:r>
      <w:r>
        <w:rPr>
          <w:rFonts w:ascii="Verdana" w:eastAsia="Times New Roman" w:hAnsi="Verdana" w:cs="Arial"/>
          <w:lang w:eastAsia="es-MX"/>
        </w:rPr>
        <w:t>”.</w:t>
      </w:r>
    </w:p>
    <w:p w14:paraId="3A989E82" w14:textId="77777777" w:rsidR="00AB1573" w:rsidRDefault="00AB1573" w:rsidP="00AB1573">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Aunque se ha acudido al listado del artículo 1 del Decreto 695 de 1983, compilado en el artículo </w:t>
      </w:r>
      <w:r w:rsidRPr="00564AC4">
        <w:rPr>
          <w:rFonts w:ascii="Verdana" w:eastAsia="Times New Roman" w:hAnsi="Verdana" w:cs="Arial"/>
          <w:lang w:eastAsia="es-MX"/>
        </w:rPr>
        <w:t>1.3.1.14.18</w:t>
      </w:r>
      <w:r>
        <w:rPr>
          <w:rFonts w:ascii="Verdana" w:eastAsia="Times New Roman" w:hAnsi="Verdana" w:cs="Arial"/>
          <w:lang w:eastAsia="es-MX"/>
        </w:rPr>
        <w:t xml:space="preserve"> del Decreto 1625 de 2016, “P</w:t>
      </w:r>
      <w:r w:rsidRPr="00564AC4">
        <w:rPr>
          <w:rFonts w:ascii="Verdana" w:eastAsia="Times New Roman" w:hAnsi="Verdana" w:cs="Arial"/>
          <w:lang w:eastAsia="es-MX"/>
        </w:rPr>
        <w:t>or medio del cual se expide el Decreto Único Reglamentario en materia tributaria</w:t>
      </w:r>
      <w:r>
        <w:rPr>
          <w:rFonts w:ascii="Verdana" w:eastAsia="Times New Roman" w:hAnsi="Verdana" w:cs="Arial"/>
          <w:lang w:eastAsia="es-MX"/>
        </w:rPr>
        <w:t xml:space="preserve">”, esta norma fue expedida por el Gobierno Nacional en ejercicio de la potestad reglamentaria para determinar: i) los bienes importados que no causan impuesto sobre las ventas conforme al inciso segundo del artículo 17 del Decreto Legislativo 2368 </w:t>
      </w:r>
      <w:r>
        <w:rPr>
          <w:rFonts w:ascii="Verdana" w:eastAsia="Times New Roman" w:hAnsi="Verdana" w:cs="Arial"/>
          <w:lang w:eastAsia="es-MX"/>
        </w:rPr>
        <w:lastRenderedPageBreak/>
        <w:t>de 1974</w:t>
      </w:r>
      <w:r>
        <w:rPr>
          <w:rStyle w:val="Refdenotaalpie"/>
          <w:rFonts w:ascii="Verdana" w:eastAsia="Times New Roman" w:hAnsi="Verdana" w:cs="Arial"/>
          <w:lang w:eastAsia="es-MX"/>
        </w:rPr>
        <w:footnoteReference w:id="27"/>
      </w:r>
      <w:r>
        <w:rPr>
          <w:rFonts w:ascii="Verdana" w:eastAsia="Times New Roman" w:hAnsi="Verdana" w:cs="Arial"/>
          <w:lang w:eastAsia="es-MX"/>
        </w:rPr>
        <w:t xml:space="preserve"> y </w:t>
      </w:r>
      <w:proofErr w:type="spellStart"/>
      <w:r>
        <w:rPr>
          <w:rFonts w:ascii="Verdana" w:eastAsia="Times New Roman" w:hAnsi="Verdana" w:cs="Arial"/>
          <w:lang w:eastAsia="es-MX"/>
        </w:rPr>
        <w:t>ii</w:t>
      </w:r>
      <w:proofErr w:type="spellEnd"/>
      <w:r>
        <w:rPr>
          <w:rFonts w:ascii="Verdana" w:eastAsia="Times New Roman" w:hAnsi="Verdana" w:cs="Arial"/>
          <w:lang w:eastAsia="es-MX"/>
        </w:rPr>
        <w:t>) el alcance de la causal de contratación directa del otrora artículo 259 del Decreto Ley 222 de 1983</w:t>
      </w:r>
      <w:r>
        <w:rPr>
          <w:rStyle w:val="Refdenotaalpie"/>
          <w:rFonts w:ascii="Verdana" w:eastAsia="Times New Roman" w:hAnsi="Verdana" w:cs="Arial"/>
          <w:lang w:eastAsia="es-MX"/>
        </w:rPr>
        <w:footnoteReference w:id="28"/>
      </w:r>
      <w:r>
        <w:rPr>
          <w:rFonts w:ascii="Verdana" w:eastAsia="Times New Roman" w:hAnsi="Verdana" w:cs="Arial"/>
          <w:lang w:eastAsia="es-MX"/>
        </w:rPr>
        <w:t xml:space="preserve">. </w:t>
      </w:r>
    </w:p>
    <w:p w14:paraId="0C05C51C" w14:textId="77777777" w:rsidR="00AB1573" w:rsidRDefault="00AB1573" w:rsidP="00AB1573">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De estas dos (2) finalidades sólo subsiste la primera, pues –al recoger la lista del artículo 1 del Decreto 695 de 1983– el artículo </w:t>
      </w:r>
      <w:r w:rsidRPr="00564AC4">
        <w:rPr>
          <w:rFonts w:ascii="Verdana" w:eastAsia="Times New Roman" w:hAnsi="Verdana" w:cs="Arial"/>
          <w:lang w:eastAsia="es-MX"/>
        </w:rPr>
        <w:t>1.3.1.14.18</w:t>
      </w:r>
      <w:r>
        <w:rPr>
          <w:rFonts w:ascii="Verdana" w:eastAsia="Times New Roman" w:hAnsi="Verdana" w:cs="Arial"/>
          <w:lang w:eastAsia="es-MX"/>
        </w:rPr>
        <w:t xml:space="preserve"> se encuentra en el capítulo 14 del título 1 de la parte 3 del libro 1 del Decreto 1625 de 2016, por el cual se definen las i</w:t>
      </w:r>
      <w:r w:rsidRPr="00031AE7">
        <w:rPr>
          <w:rFonts w:ascii="Verdana" w:eastAsia="Times New Roman" w:hAnsi="Verdana" w:cs="Arial"/>
          <w:lang w:eastAsia="es-MX"/>
        </w:rPr>
        <w:t xml:space="preserve">mportaciones que no causan </w:t>
      </w:r>
      <w:r>
        <w:rPr>
          <w:rFonts w:ascii="Verdana" w:eastAsia="Times New Roman" w:hAnsi="Verdana" w:cs="Arial"/>
          <w:lang w:eastAsia="es-MX"/>
        </w:rPr>
        <w:t>IVA. Este tema es ajeno a la contratación estatal, además de que el Decreto Ley 222 de 1983 fue derogado por el artículo 81 de la Ley 80 de 1993. Por tanto, el artículo 1 del Decreto 695 de 1983 no delimita el alcance de la causal de contratación directa del literal d) del artículo 2.4 de la Ley 1150 de 2007, especialmente, cuando la Sentencia del 24 de mayo de 2018 exige que las reservas sean objeto de desarrollo legal.</w:t>
      </w:r>
    </w:p>
    <w:p w14:paraId="54677B84" w14:textId="77777777" w:rsidR="00AB1573" w:rsidRDefault="00AB1573" w:rsidP="00AB1573">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En todo caso, la nulidad del inciso segundo del artículo 78 del Decreto 1510 de 2013 o la imposibilidad de aplicar el artículo 1 del Decreto 695 de 1983 fuera del ámbito tributario no condicionan la vigencia de la causal </w:t>
      </w:r>
      <w:r w:rsidRPr="00E479E8">
        <w:rPr>
          <w:rFonts w:ascii="Verdana" w:eastAsia="Times New Roman" w:hAnsi="Verdana" w:cs="Arial"/>
          <w:i/>
          <w:iCs/>
          <w:lang w:eastAsia="es-MX"/>
        </w:rPr>
        <w:t>sub examine</w:t>
      </w:r>
      <w:r>
        <w:rPr>
          <w:rFonts w:ascii="Verdana" w:eastAsia="Times New Roman" w:hAnsi="Verdana" w:cs="Arial"/>
          <w:lang w:eastAsia="es-MX"/>
        </w:rPr>
        <w:t>, la cual rige sin necesidad de desarrollo reglamentario. Por un lado, mientras el parágrafo transitorio del artículo 2 de la Ley 1150 de 2007 dispone que “</w:t>
      </w:r>
      <w:r w:rsidRPr="00B64014">
        <w:rPr>
          <w:rFonts w:ascii="Verdana" w:eastAsia="Times New Roman" w:hAnsi="Verdana" w:cs="Arial"/>
          <w:lang w:eastAsia="es-MX"/>
        </w:rPr>
        <w:t>Hasta tanto el Gobierno Nacional no expidiere el reglamento respectivo, no se podrá hacer uso de la selección abreviada como modalidad de selección</w:t>
      </w:r>
      <w:r>
        <w:rPr>
          <w:rFonts w:ascii="Verdana" w:eastAsia="Times New Roman" w:hAnsi="Verdana" w:cs="Arial"/>
          <w:lang w:eastAsia="es-MX"/>
        </w:rPr>
        <w:t xml:space="preserve">”, una condición similar no se predica del literal d) del artículo 2.4 </w:t>
      </w:r>
      <w:r w:rsidRPr="00B64014">
        <w:rPr>
          <w:rFonts w:ascii="Verdana" w:eastAsia="Times New Roman" w:hAnsi="Verdana" w:cs="Arial"/>
          <w:i/>
          <w:iCs/>
          <w:lang w:eastAsia="es-MX"/>
        </w:rPr>
        <w:t>ibidem</w:t>
      </w:r>
      <w:r w:rsidRPr="00B64014">
        <w:rPr>
          <w:rFonts w:ascii="Verdana" w:eastAsia="Times New Roman" w:hAnsi="Verdana" w:cs="Arial"/>
          <w:lang w:eastAsia="es-MX"/>
        </w:rPr>
        <w:t>.</w:t>
      </w:r>
      <w:r>
        <w:rPr>
          <w:rFonts w:ascii="Verdana" w:eastAsia="Times New Roman" w:hAnsi="Verdana" w:cs="Arial"/>
          <w:lang w:eastAsia="es-MX"/>
        </w:rPr>
        <w:t xml:space="preserve"> </w:t>
      </w:r>
    </w:p>
    <w:p w14:paraId="20FA6793" w14:textId="77777777" w:rsidR="00AB1573" w:rsidRDefault="00AB1573" w:rsidP="00AB1573">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lastRenderedPageBreak/>
        <w:t xml:space="preserve">Por otra parte, la Sentencia del 24 de mayo de 2018 explica que “[…] </w:t>
      </w:r>
      <w:r w:rsidRPr="0067726C">
        <w:rPr>
          <w:rFonts w:ascii="Verdana" w:eastAsia="Times New Roman" w:hAnsi="Verdana" w:cs="Arial"/>
          <w:lang w:eastAsia="es-MX"/>
        </w:rPr>
        <w:t>para el caso de lo establecido en la letra d) del número 4 del artículo 2 de la Ley 1150 de 2007, debe entenderse la existencia de un reenvío a las normas de orden legal que establecen los eventos en que por causa de la protección de derechos fundamentales o bienes constitucionales debe reservarse la información contractual que corresponda</w:t>
      </w:r>
      <w:r>
        <w:rPr>
          <w:rFonts w:ascii="Verdana" w:eastAsia="Times New Roman" w:hAnsi="Verdana" w:cs="Arial"/>
          <w:lang w:eastAsia="es-MX"/>
        </w:rPr>
        <w:t>”</w:t>
      </w:r>
      <w:r w:rsidRPr="0067726C">
        <w:rPr>
          <w:rFonts w:ascii="Verdana" w:eastAsia="Times New Roman" w:hAnsi="Verdana" w:cs="Arial"/>
          <w:lang w:eastAsia="es-MX"/>
        </w:rPr>
        <w:t>.</w:t>
      </w:r>
      <w:r>
        <w:rPr>
          <w:rFonts w:ascii="Verdana" w:eastAsia="Times New Roman" w:hAnsi="Verdana" w:cs="Arial"/>
          <w:lang w:eastAsia="es-MX"/>
        </w:rPr>
        <w:t xml:space="preserve"> Luego, el reglamento no puede intervenir en el desarrollo de las reservas a través de una norma igual o semejante a la anulada por la Subsección A de la Sección Tercera del Consejo de Estado, pues ello implica desconocer las prohibiciones de los artículo 9.6 y 237 del Código Procedimiento Administrativo y Contencioso Administrativo</w:t>
      </w:r>
      <w:r>
        <w:rPr>
          <w:rStyle w:val="Refdenotaalpie"/>
          <w:rFonts w:ascii="Verdana" w:eastAsia="Times New Roman" w:hAnsi="Verdana" w:cs="Arial"/>
          <w:lang w:eastAsia="es-MX"/>
        </w:rPr>
        <w:footnoteReference w:id="29"/>
      </w:r>
      <w:r>
        <w:rPr>
          <w:rFonts w:ascii="Verdana" w:eastAsia="Times New Roman" w:hAnsi="Verdana" w:cs="Arial"/>
          <w:lang w:eastAsia="es-MX"/>
        </w:rPr>
        <w:t xml:space="preserve">. </w:t>
      </w:r>
    </w:p>
    <w:p w14:paraId="4164261A" w14:textId="77777777" w:rsidR="00AB1573" w:rsidRPr="00AD6B46" w:rsidRDefault="00AB1573" w:rsidP="00AB1573">
      <w:pPr>
        <w:spacing w:after="0" w:line="276" w:lineRule="auto"/>
        <w:ind w:firstLine="708"/>
        <w:jc w:val="both"/>
        <w:rPr>
          <w:rFonts w:ascii="Verdana" w:eastAsia="Calibri" w:hAnsi="Verdana" w:cs="Arial"/>
          <w:color w:val="000000"/>
        </w:rPr>
      </w:pPr>
      <w:r>
        <w:rPr>
          <w:rFonts w:ascii="Verdana" w:eastAsia="Calibri" w:hAnsi="Verdana" w:cs="Arial"/>
          <w:color w:val="000000"/>
        </w:rPr>
        <w:t>En consecuencia, conforme a la directriz jurisprudencial del párrafo precedente</w:t>
      </w:r>
      <w:r w:rsidRPr="00AD6B46">
        <w:rPr>
          <w:rFonts w:ascii="Verdana" w:eastAsia="Calibri" w:hAnsi="Verdana" w:cs="Arial"/>
          <w:color w:val="000000"/>
        </w:rPr>
        <w:t xml:space="preserve">, </w:t>
      </w:r>
      <w:r>
        <w:rPr>
          <w:rFonts w:ascii="Verdana" w:eastAsia="Calibri" w:hAnsi="Verdana" w:cs="Arial"/>
          <w:color w:val="000000"/>
        </w:rPr>
        <w:t xml:space="preserve">es necesario tener en cuenta que </w:t>
      </w:r>
      <w:r w:rsidRPr="00AD6B46">
        <w:rPr>
          <w:rFonts w:ascii="Verdana" w:eastAsia="Calibri" w:hAnsi="Verdana" w:cs="Arial"/>
          <w:color w:val="000000"/>
        </w:rPr>
        <w:t xml:space="preserve">la Ley Estatutaria 1712 de 2014 define en el artículo 5° dos tipos de información que tendrá el carácter reservado, como es la información pública clasificada y la información pública reservada: </w:t>
      </w:r>
    </w:p>
    <w:p w14:paraId="3A169A06" w14:textId="77777777" w:rsidR="00AB1573" w:rsidRPr="004D1947" w:rsidRDefault="00AB1573" w:rsidP="00AB1573">
      <w:pPr>
        <w:spacing w:after="0" w:line="276" w:lineRule="auto"/>
        <w:ind w:right="709"/>
        <w:jc w:val="both"/>
        <w:rPr>
          <w:rFonts w:ascii="Verdana" w:eastAsia="Calibri" w:hAnsi="Verdana" w:cs="Arial"/>
          <w:color w:val="000000"/>
        </w:rPr>
      </w:pPr>
    </w:p>
    <w:p w14:paraId="101FA536" w14:textId="77777777" w:rsidR="00AB1573" w:rsidRPr="004D1947" w:rsidRDefault="00AB1573" w:rsidP="00AB1573">
      <w:pPr>
        <w:spacing w:after="0" w:line="240" w:lineRule="auto"/>
        <w:ind w:left="709" w:right="709"/>
        <w:jc w:val="both"/>
        <w:rPr>
          <w:rFonts w:ascii="Verdana" w:eastAsia="Calibri" w:hAnsi="Verdana" w:cs="Arial"/>
          <w:color w:val="000000"/>
          <w:sz w:val="20"/>
          <w:szCs w:val="20"/>
        </w:rPr>
      </w:pPr>
      <w:r w:rsidRPr="004D1947">
        <w:rPr>
          <w:rFonts w:ascii="Verdana" w:eastAsia="Calibri" w:hAnsi="Verdana" w:cs="Arial"/>
          <w:bCs/>
          <w:color w:val="000000"/>
          <w:sz w:val="20"/>
          <w:szCs w:val="20"/>
        </w:rPr>
        <w:t xml:space="preserve">“Artículo 6°. </w:t>
      </w:r>
      <w:r w:rsidRPr="004D1947">
        <w:rPr>
          <w:rFonts w:ascii="Verdana" w:eastAsia="Calibri" w:hAnsi="Verdana" w:cs="Arial"/>
          <w:i/>
          <w:iCs/>
          <w:color w:val="000000"/>
          <w:sz w:val="20"/>
          <w:szCs w:val="20"/>
        </w:rPr>
        <w:t>Definiciones</w:t>
      </w:r>
      <w:r w:rsidRPr="004D1947">
        <w:rPr>
          <w:rFonts w:ascii="Verdana" w:eastAsia="Calibri" w:hAnsi="Verdana" w:cs="Arial"/>
          <w:color w:val="000000"/>
          <w:sz w:val="20"/>
          <w:szCs w:val="20"/>
        </w:rPr>
        <w:t xml:space="preserve">. </w:t>
      </w:r>
    </w:p>
    <w:p w14:paraId="2911B19B" w14:textId="77777777" w:rsidR="00AB1573" w:rsidRPr="004D1947" w:rsidRDefault="00AB1573" w:rsidP="00AB1573">
      <w:pPr>
        <w:spacing w:after="120" w:line="240" w:lineRule="auto"/>
        <w:ind w:left="709" w:right="709"/>
        <w:jc w:val="both"/>
        <w:rPr>
          <w:rFonts w:ascii="Verdana" w:eastAsia="Calibri" w:hAnsi="Verdana" w:cs="Arial"/>
          <w:color w:val="000000"/>
          <w:sz w:val="20"/>
          <w:szCs w:val="20"/>
        </w:rPr>
      </w:pPr>
      <w:r w:rsidRPr="004D1947">
        <w:rPr>
          <w:rFonts w:ascii="Verdana" w:eastAsia="Calibri" w:hAnsi="Verdana" w:cs="Arial"/>
          <w:bCs/>
          <w:color w:val="000000"/>
          <w:sz w:val="20"/>
          <w:szCs w:val="20"/>
        </w:rPr>
        <w:t>[</w:t>
      </w:r>
      <w:r w:rsidRPr="004D1947">
        <w:rPr>
          <w:rFonts w:ascii="Verdana" w:eastAsia="Calibri" w:hAnsi="Verdana" w:cs="Arial"/>
          <w:color w:val="000000"/>
          <w:sz w:val="20"/>
          <w:szCs w:val="20"/>
        </w:rPr>
        <w:t>…]</w:t>
      </w:r>
    </w:p>
    <w:p w14:paraId="26D74880" w14:textId="77777777" w:rsidR="00AB1573" w:rsidRPr="004D1947" w:rsidRDefault="00AB1573" w:rsidP="00AB1573">
      <w:pPr>
        <w:spacing w:after="120" w:line="240" w:lineRule="auto"/>
        <w:ind w:left="709" w:right="709"/>
        <w:jc w:val="both"/>
        <w:rPr>
          <w:rFonts w:ascii="Verdana" w:eastAsia="Calibri" w:hAnsi="Verdana" w:cs="Arial"/>
          <w:color w:val="000000"/>
          <w:sz w:val="20"/>
          <w:szCs w:val="20"/>
        </w:rPr>
      </w:pPr>
      <w:r w:rsidRPr="004D1947">
        <w:rPr>
          <w:rFonts w:ascii="Verdana" w:eastAsia="Calibri" w:hAnsi="Verdana" w:cs="Arial"/>
          <w:color w:val="000000"/>
          <w:sz w:val="20"/>
          <w:szCs w:val="20"/>
        </w:rPr>
        <w:t>c) </w:t>
      </w:r>
      <w:r w:rsidRPr="004D1947">
        <w:rPr>
          <w:rFonts w:ascii="Verdana" w:eastAsia="Calibri" w:hAnsi="Verdana" w:cs="Arial"/>
          <w:bCs/>
          <w:color w:val="000000"/>
          <w:sz w:val="20"/>
          <w:szCs w:val="20"/>
        </w:rPr>
        <w:t>Información pública clasificada. </w:t>
      </w:r>
      <w:r w:rsidRPr="004D1947">
        <w:rPr>
          <w:rFonts w:ascii="Verdana" w:eastAsia="Calibri" w:hAnsi="Verdana" w:cs="Arial"/>
          <w:color w:val="000000"/>
          <w:sz w:val="20"/>
          <w:szCs w:val="20"/>
        </w:rPr>
        <w:t>Es aquella información que estando en poder o custodia de un sujeto obligado en su calidad de tal, pertenece al ámbito propio, particular y privado o semiprivado de una persona natural o jurídica por lo que su acceso podrá ser negado o exceptuado, siempre que se trate de las circunstancias legítimas y necesarias y los derechos particulares o privados consagrados en el artículo 18 de esta ley; </w:t>
      </w:r>
    </w:p>
    <w:p w14:paraId="2C050B07" w14:textId="77777777" w:rsidR="00AB1573" w:rsidRPr="004D1947" w:rsidRDefault="00AB1573" w:rsidP="00AB1573">
      <w:pPr>
        <w:spacing w:after="0" w:line="240" w:lineRule="auto"/>
        <w:ind w:left="709" w:right="709"/>
        <w:jc w:val="both"/>
        <w:rPr>
          <w:rFonts w:ascii="Verdana" w:eastAsia="Calibri" w:hAnsi="Verdana" w:cs="Arial"/>
          <w:color w:val="000000"/>
          <w:sz w:val="20"/>
          <w:szCs w:val="20"/>
        </w:rPr>
      </w:pPr>
      <w:r w:rsidRPr="004D1947">
        <w:rPr>
          <w:rFonts w:ascii="Verdana" w:eastAsia="Calibri" w:hAnsi="Verdana" w:cs="Arial"/>
          <w:color w:val="000000"/>
          <w:sz w:val="20"/>
          <w:szCs w:val="20"/>
        </w:rPr>
        <w:t>d) </w:t>
      </w:r>
      <w:r w:rsidRPr="004D1947">
        <w:rPr>
          <w:rFonts w:ascii="Verdana" w:eastAsia="Calibri" w:hAnsi="Verdana" w:cs="Arial"/>
          <w:bCs/>
          <w:color w:val="000000"/>
          <w:sz w:val="20"/>
          <w:szCs w:val="20"/>
        </w:rPr>
        <w:t>Información pública reservada. </w:t>
      </w:r>
      <w:r w:rsidRPr="004D1947">
        <w:rPr>
          <w:rFonts w:ascii="Verdana" w:eastAsia="Calibri" w:hAnsi="Verdana" w:cs="Arial"/>
          <w:color w:val="000000"/>
          <w:sz w:val="20"/>
          <w:szCs w:val="20"/>
        </w:rPr>
        <w:t>Es aquella información que estando en poder o custodia de un sujeto obligado en su calidad de tal, es exceptuada de acceso a la ciudadanía por daño a intereses públicos y bajo cumplimiento de la totalidad de los requisitos consagrados en el artículo 19 de esta ley”. </w:t>
      </w:r>
    </w:p>
    <w:p w14:paraId="5884CBAE" w14:textId="77777777" w:rsidR="00AB1573" w:rsidRPr="00AD6B46" w:rsidRDefault="00AB1573" w:rsidP="00AB1573">
      <w:pPr>
        <w:spacing w:after="0" w:line="276" w:lineRule="auto"/>
        <w:jc w:val="both"/>
        <w:rPr>
          <w:rFonts w:ascii="Verdana" w:eastAsia="Calibri" w:hAnsi="Verdana" w:cs="Arial"/>
          <w:color w:val="000000"/>
        </w:rPr>
      </w:pPr>
    </w:p>
    <w:p w14:paraId="7986BEA1" w14:textId="77777777" w:rsidR="00AB1573" w:rsidRPr="00AD6B46" w:rsidRDefault="00AB1573" w:rsidP="00AB1573">
      <w:pPr>
        <w:spacing w:after="120" w:line="276" w:lineRule="auto"/>
        <w:ind w:firstLine="708"/>
        <w:jc w:val="both"/>
        <w:rPr>
          <w:rFonts w:ascii="Verdana" w:eastAsia="Calibri" w:hAnsi="Verdana" w:cs="Arial"/>
          <w:color w:val="000000"/>
        </w:rPr>
      </w:pPr>
      <w:r w:rsidRPr="00AD6B46">
        <w:rPr>
          <w:rFonts w:ascii="Verdana" w:eastAsia="Calibri" w:hAnsi="Verdana" w:cs="Arial"/>
          <w:color w:val="000000"/>
        </w:rPr>
        <w:lastRenderedPageBreak/>
        <w:t>Estos dos tipos de información están contenidos en los artículos 18</w:t>
      </w:r>
      <w:r w:rsidRPr="00AD6B46">
        <w:rPr>
          <w:rFonts w:ascii="Verdana" w:eastAsia="Calibri" w:hAnsi="Verdana" w:cs="Arial"/>
          <w:color w:val="000000"/>
          <w:vertAlign w:val="superscript"/>
        </w:rPr>
        <w:footnoteReference w:id="30"/>
      </w:r>
      <w:r w:rsidRPr="00AD6B46">
        <w:rPr>
          <w:rFonts w:ascii="Verdana" w:eastAsia="Calibri" w:hAnsi="Verdana" w:cs="Arial"/>
          <w:color w:val="000000"/>
        </w:rPr>
        <w:t xml:space="preserve"> y 19 de la Ley 1712 de 2014</w:t>
      </w:r>
      <w:r w:rsidRPr="00AD6B46">
        <w:rPr>
          <w:rFonts w:ascii="Verdana" w:eastAsia="Calibri" w:hAnsi="Verdana" w:cs="Arial"/>
          <w:color w:val="000000"/>
          <w:vertAlign w:val="superscript"/>
        </w:rPr>
        <w:footnoteReference w:id="31"/>
      </w:r>
      <w:r w:rsidRPr="00AD6B46">
        <w:rPr>
          <w:rFonts w:ascii="Verdana" w:eastAsia="Calibri" w:hAnsi="Verdana" w:cs="Arial"/>
          <w:color w:val="000000"/>
        </w:rPr>
        <w:t xml:space="preserve">. Lo anterior significa que, respecto de datos que contengan información clasificada por protección de derechos particulares o reservada por defensa de intereses públicos, las entidades deberán proceder de conformidad con lo dispuesto en la Ley 1712 de 2014 y sus decretos reglamentarios sobre el manejo de la información que está sometida a reserva. </w:t>
      </w:r>
    </w:p>
    <w:p w14:paraId="414C2052" w14:textId="77777777" w:rsidR="00AB1573" w:rsidRDefault="00AB1573" w:rsidP="00AB1573">
      <w:pPr>
        <w:spacing w:after="120" w:line="276" w:lineRule="auto"/>
        <w:ind w:firstLine="709"/>
        <w:jc w:val="both"/>
        <w:rPr>
          <w:rFonts w:ascii="Verdana" w:eastAsia="Times New Roman" w:hAnsi="Verdana" w:cs="Arial"/>
          <w:lang w:eastAsia="es-MX"/>
        </w:rPr>
      </w:pPr>
      <w:r w:rsidRPr="00AD6B46">
        <w:rPr>
          <w:rFonts w:ascii="Verdana" w:eastAsia="Calibri" w:hAnsi="Verdana" w:cs="Arial"/>
          <w:color w:val="000000"/>
        </w:rPr>
        <w:t>En esta misma línea, el artículo 24 de la Ley 1437 de 2011 sustituido por el artículo 2 de la Ley 1755 de 2015 establece algunas materias que son sujetas de reserva de información</w:t>
      </w:r>
      <w:r w:rsidRPr="00AD6B46">
        <w:rPr>
          <w:rFonts w:ascii="Verdana" w:eastAsia="Calibri" w:hAnsi="Verdana" w:cs="Arial"/>
          <w:color w:val="000000"/>
          <w:vertAlign w:val="superscript"/>
        </w:rPr>
        <w:footnoteReference w:id="32"/>
      </w:r>
      <w:r w:rsidRPr="00AD6B46">
        <w:rPr>
          <w:rFonts w:ascii="Verdana" w:eastAsia="Calibri" w:hAnsi="Verdana" w:cs="Arial"/>
          <w:color w:val="000000"/>
        </w:rPr>
        <w:t xml:space="preserve">. De tal forma, que las reservas de información no </w:t>
      </w:r>
      <w:r w:rsidRPr="00AD6B46">
        <w:rPr>
          <w:rFonts w:ascii="Verdana" w:eastAsia="Calibri" w:hAnsi="Verdana" w:cs="Arial"/>
          <w:color w:val="000000"/>
        </w:rPr>
        <w:lastRenderedPageBreak/>
        <w:t xml:space="preserve">están solo reguladas en la Ley 1712 de 2014 y en el artículo 24 de la Ley 1437 de 2011 sustituido por el artículo 2 de la Ley 1755 de 2015, pues existen otras normatividades, como la Ley 1581 de 2012, Ley 1621 de 2013, entre otras, que establecen reservas a la información pública.  </w:t>
      </w:r>
      <w:r>
        <w:rPr>
          <w:rFonts w:ascii="Verdana" w:eastAsia="Times New Roman" w:hAnsi="Verdana" w:cs="Arial"/>
          <w:lang w:eastAsia="es-MX"/>
        </w:rPr>
        <w:t xml:space="preserve"> </w:t>
      </w:r>
    </w:p>
    <w:p w14:paraId="2080D0F8" w14:textId="77777777" w:rsidR="00AB1573" w:rsidRDefault="00AB1573" w:rsidP="00AB1573">
      <w:pPr>
        <w:spacing w:after="0" w:line="276" w:lineRule="auto"/>
        <w:ind w:firstLine="709"/>
        <w:jc w:val="both"/>
        <w:rPr>
          <w:rFonts w:ascii="Verdana" w:hAnsi="Verdana" w:cs="Arial"/>
          <w:color w:val="000000" w:themeColor="text1"/>
          <w:lang w:val="es-ES_tradnl"/>
        </w:rPr>
      </w:pPr>
      <w:r>
        <w:rPr>
          <w:rFonts w:ascii="Verdana" w:eastAsia="Times New Roman" w:hAnsi="Verdana" w:cs="Arial"/>
          <w:lang w:eastAsia="es-MX"/>
        </w:rPr>
        <w:t xml:space="preserve">En este contexto, es la necesidad de la reserva de los documentos del proceso la que habilita la causal de contratación directa para las entidades de sector defensa sometida al EGCAP. Dicha reserva por lo general se refiere a temas de defensa y seguridad nacional. </w:t>
      </w:r>
      <w:r w:rsidRPr="003E5E57">
        <w:rPr>
          <w:rFonts w:ascii="Verdana" w:eastAsia="Calibri" w:hAnsi="Verdana" w:cs="Arial"/>
          <w:color w:val="000000"/>
          <w:lang w:val="es-ES"/>
        </w:rPr>
        <w:t>Este concepto no tiene una definición legal en el Estatuto General de Contratación de la Administración Pública. En tal sentido, es un concepto jurídico indeterminado cuya noción se basa en la idea de que el Estado y sus autoridades tienen la responsabilidad de construir estrategias y realizar acciones para proteger a los ciudadanos, garantizar el orden público, el funcionamiento de las instituciones legítimamente constituidas y la soberanía sobre el territorio</w:t>
      </w:r>
      <w:r w:rsidRPr="003E5E57">
        <w:rPr>
          <w:rFonts w:ascii="Verdana" w:eastAsia="Calibri" w:hAnsi="Verdana" w:cs="Arial"/>
          <w:color w:val="000000"/>
          <w:vertAlign w:val="superscript"/>
          <w:lang w:val="es-ES"/>
        </w:rPr>
        <w:footnoteReference w:id="33"/>
      </w:r>
      <w:r w:rsidRPr="003E5E57">
        <w:rPr>
          <w:rFonts w:ascii="Verdana" w:eastAsia="Calibri" w:hAnsi="Verdana" w:cs="Arial"/>
          <w:color w:val="000000"/>
          <w:lang w:val="es-ES"/>
        </w:rPr>
        <w:t>.</w:t>
      </w:r>
      <w:r>
        <w:rPr>
          <w:rFonts w:ascii="Verdana" w:eastAsia="Calibri" w:hAnsi="Verdana" w:cs="Arial"/>
          <w:color w:val="000000"/>
          <w:lang w:val="es-ES"/>
        </w:rPr>
        <w:t xml:space="preserve"> </w:t>
      </w:r>
      <w:r w:rsidRPr="003E5E57">
        <w:rPr>
          <w:rFonts w:ascii="Verdana" w:hAnsi="Verdana" w:cs="Arial"/>
          <w:color w:val="000000" w:themeColor="text1"/>
          <w:lang w:val="es-ES_tradnl"/>
        </w:rPr>
        <w:t xml:space="preserve">Al </w:t>
      </w:r>
      <w:r w:rsidRPr="003E5E57">
        <w:rPr>
          <w:rFonts w:ascii="Verdana" w:eastAsia="Calibri" w:hAnsi="Verdana" w:cs="Arial"/>
          <w:color w:val="000000"/>
          <w:lang w:val="es-ES"/>
        </w:rPr>
        <w:t xml:space="preserve">respecto, </w:t>
      </w:r>
      <w:r w:rsidRPr="003E5E57">
        <w:rPr>
          <w:rFonts w:ascii="Verdana" w:hAnsi="Verdana" w:cs="Arial"/>
          <w:color w:val="000000" w:themeColor="text1"/>
          <w:lang w:val="es-ES_tradnl"/>
        </w:rPr>
        <w:t xml:space="preserve">en </w:t>
      </w:r>
      <w:r>
        <w:rPr>
          <w:rFonts w:ascii="Verdana" w:hAnsi="Verdana" w:cs="Arial"/>
          <w:color w:val="000000" w:themeColor="text1"/>
          <w:lang w:val="es-ES_tradnl"/>
        </w:rPr>
        <w:t>S</w:t>
      </w:r>
      <w:r w:rsidRPr="003E5E57">
        <w:rPr>
          <w:rFonts w:ascii="Verdana" w:hAnsi="Verdana" w:cs="Arial"/>
          <w:color w:val="000000" w:themeColor="text1"/>
          <w:lang w:val="es-ES_tradnl"/>
        </w:rPr>
        <w:t>entencia del 26 de julio de 2011, la Sección Tercera sostuvo:</w:t>
      </w:r>
    </w:p>
    <w:p w14:paraId="08DD7225" w14:textId="77777777" w:rsidR="00AB1573" w:rsidRPr="00F00B09" w:rsidRDefault="00AB1573" w:rsidP="00AB1573">
      <w:pPr>
        <w:spacing w:after="0" w:line="276" w:lineRule="auto"/>
        <w:ind w:firstLine="709"/>
        <w:jc w:val="both"/>
        <w:rPr>
          <w:rFonts w:ascii="Verdana" w:eastAsia="Calibri" w:hAnsi="Verdana" w:cs="Arial"/>
          <w:color w:val="000000"/>
          <w:lang w:val="es-ES"/>
        </w:rPr>
      </w:pPr>
    </w:p>
    <w:p w14:paraId="3270A3D3" w14:textId="77777777" w:rsidR="00AB1573" w:rsidRPr="003E5E57" w:rsidRDefault="00AB1573" w:rsidP="00AB1573">
      <w:pPr>
        <w:spacing w:after="0" w:line="240" w:lineRule="auto"/>
        <w:ind w:left="709" w:right="709"/>
        <w:jc w:val="both"/>
        <w:rPr>
          <w:rFonts w:ascii="Verdana" w:hAnsi="Verdana" w:cs="Arial"/>
          <w:bCs/>
          <w:sz w:val="20"/>
          <w:szCs w:val="20"/>
        </w:rPr>
      </w:pPr>
      <w:r w:rsidRPr="003E5E57">
        <w:rPr>
          <w:rFonts w:ascii="Verdana" w:hAnsi="Verdana" w:cs="Arial"/>
          <w:bCs/>
          <w:sz w:val="20"/>
          <w:szCs w:val="20"/>
        </w:rPr>
        <w:t xml:space="preserve">“[…] en vigencia de la ley 80 original –que rigió el proceso de selección </w:t>
      </w:r>
      <w:r w:rsidRPr="003E5E57">
        <w:rPr>
          <w:rFonts w:ascii="Verdana" w:hAnsi="Verdana" w:cs="Arial"/>
          <w:bCs/>
          <w:i/>
          <w:sz w:val="20"/>
          <w:szCs w:val="20"/>
        </w:rPr>
        <w:t>sub iudice</w:t>
      </w:r>
      <w:r w:rsidRPr="003E5E57">
        <w:rPr>
          <w:rFonts w:ascii="Verdana" w:hAnsi="Verdana" w:cs="Arial"/>
          <w:bCs/>
          <w:sz w:val="20"/>
          <w:szCs w:val="20"/>
        </w:rPr>
        <w:t xml:space="preserve">- la noción de bienes para la defensa y seguridad nacional fue un concepto jurídico indeterminado, </w:t>
      </w:r>
      <w:r w:rsidRPr="003E5E57">
        <w:rPr>
          <w:rFonts w:ascii="Verdana" w:hAnsi="Verdana" w:cs="Arial"/>
          <w:bCs/>
          <w:i/>
          <w:iCs/>
          <w:sz w:val="20"/>
          <w:szCs w:val="20"/>
        </w:rPr>
        <w:t>cuyo alcance, como acontece normalmente con estas nociones vagas y amplias, suele quedar en manos del operador jurídico del caso, que tiene el deber de precisar su contenido para aplicarlo al asunto concreto</w:t>
      </w:r>
      <w:r w:rsidRPr="003E5E57">
        <w:rPr>
          <w:rFonts w:ascii="Verdana" w:hAnsi="Verdana" w:cs="Arial"/>
          <w:bCs/>
          <w:sz w:val="20"/>
          <w:szCs w:val="20"/>
        </w:rPr>
        <w:t>. Claro está que luego procede el control judicial sobre los actos que definen el tema, y será el juez quien determinará la corrección o incorrección que la administración hace de su alcance</w:t>
      </w:r>
      <w:r w:rsidRPr="003E5E57">
        <w:rPr>
          <w:rFonts w:ascii="Verdana" w:hAnsi="Verdana"/>
          <w:sz w:val="20"/>
          <w:szCs w:val="20"/>
          <w:vertAlign w:val="superscript"/>
        </w:rPr>
        <w:footnoteReference w:id="34"/>
      </w:r>
      <w:r w:rsidRPr="003E5E57">
        <w:rPr>
          <w:rFonts w:ascii="Verdana" w:hAnsi="Verdana" w:cs="Arial"/>
          <w:bCs/>
          <w:sz w:val="20"/>
          <w:szCs w:val="20"/>
        </w:rPr>
        <w:t xml:space="preserve">”. </w:t>
      </w:r>
      <w:r>
        <w:rPr>
          <w:rFonts w:ascii="Verdana" w:hAnsi="Verdana" w:cs="Arial"/>
          <w:bCs/>
          <w:sz w:val="20"/>
          <w:szCs w:val="20"/>
        </w:rPr>
        <w:t>(</w:t>
      </w:r>
      <w:r w:rsidRPr="003E5E57">
        <w:rPr>
          <w:rFonts w:ascii="Verdana" w:hAnsi="Verdana" w:cs="Arial"/>
          <w:bCs/>
          <w:sz w:val="20"/>
          <w:szCs w:val="20"/>
        </w:rPr>
        <w:t>Énfasis por fuera de texto</w:t>
      </w:r>
      <w:r>
        <w:rPr>
          <w:rFonts w:ascii="Verdana" w:hAnsi="Verdana" w:cs="Arial"/>
          <w:bCs/>
          <w:sz w:val="20"/>
          <w:szCs w:val="20"/>
        </w:rPr>
        <w:t>)</w:t>
      </w:r>
    </w:p>
    <w:p w14:paraId="264999D7" w14:textId="77777777" w:rsidR="00AB1573" w:rsidRPr="003E5E57" w:rsidRDefault="00AB1573" w:rsidP="00AB1573">
      <w:pPr>
        <w:spacing w:after="0" w:line="240" w:lineRule="auto"/>
        <w:ind w:left="709" w:right="709"/>
        <w:jc w:val="both"/>
        <w:rPr>
          <w:rFonts w:ascii="Verdana" w:hAnsi="Verdana" w:cs="Arial"/>
          <w:bCs/>
          <w:sz w:val="20"/>
          <w:szCs w:val="20"/>
        </w:rPr>
      </w:pPr>
    </w:p>
    <w:p w14:paraId="709F8BD1" w14:textId="77777777" w:rsidR="00AB1573" w:rsidRDefault="00AB1573" w:rsidP="00AB1573">
      <w:pPr>
        <w:spacing w:after="0" w:line="276" w:lineRule="auto"/>
        <w:ind w:firstLine="709"/>
        <w:jc w:val="both"/>
        <w:rPr>
          <w:rFonts w:ascii="Verdana" w:hAnsi="Verdana" w:cs="Arial"/>
          <w:color w:val="000000" w:themeColor="text1"/>
          <w:lang w:val="es-ES_tradnl"/>
        </w:rPr>
      </w:pPr>
      <w:r w:rsidRPr="003E5E57">
        <w:rPr>
          <w:rFonts w:ascii="Verdana" w:eastAsia="Calibri" w:hAnsi="Verdana" w:cs="Arial"/>
          <w:color w:val="000000"/>
          <w:lang w:val="es-ES"/>
        </w:rPr>
        <w:t xml:space="preserve">Asimismo, </w:t>
      </w:r>
      <w:r w:rsidRPr="003E5E57">
        <w:rPr>
          <w:rFonts w:ascii="Verdana" w:hAnsi="Verdana" w:cs="Arial"/>
          <w:color w:val="000000" w:themeColor="text1"/>
          <w:lang w:val="es-ES_tradnl"/>
        </w:rPr>
        <w:t xml:space="preserve">en la </w:t>
      </w:r>
      <w:r>
        <w:rPr>
          <w:rFonts w:ascii="Verdana" w:hAnsi="Verdana" w:cs="Arial"/>
          <w:color w:val="000000" w:themeColor="text1"/>
          <w:lang w:val="es-ES_tradnl"/>
        </w:rPr>
        <w:t>S</w:t>
      </w:r>
      <w:r w:rsidRPr="003E5E57">
        <w:rPr>
          <w:rFonts w:ascii="Verdana" w:hAnsi="Verdana" w:cs="Arial"/>
          <w:color w:val="000000" w:themeColor="text1"/>
          <w:lang w:val="es-ES_tradnl"/>
        </w:rPr>
        <w:t>entencia del 23 de julio de 2015, la Sección Tercera indicó:</w:t>
      </w:r>
    </w:p>
    <w:p w14:paraId="33C3D267" w14:textId="77777777" w:rsidR="00AB1573" w:rsidRPr="003E5E57" w:rsidRDefault="00AB1573" w:rsidP="00AB1573">
      <w:pPr>
        <w:spacing w:after="0" w:line="276" w:lineRule="auto"/>
        <w:ind w:firstLine="709"/>
        <w:jc w:val="both"/>
        <w:rPr>
          <w:rFonts w:ascii="Verdana" w:hAnsi="Verdana" w:cs="Arial"/>
          <w:color w:val="000000" w:themeColor="text1"/>
          <w:lang w:val="es-ES_tradnl"/>
        </w:rPr>
      </w:pPr>
    </w:p>
    <w:p w14:paraId="7A6B8E75" w14:textId="77777777" w:rsidR="00AB1573" w:rsidRPr="003E5E57" w:rsidRDefault="00AB1573" w:rsidP="00AB1573">
      <w:pPr>
        <w:spacing w:after="120" w:line="240" w:lineRule="auto"/>
        <w:ind w:left="709" w:right="709"/>
        <w:jc w:val="both"/>
        <w:rPr>
          <w:rFonts w:ascii="Verdana" w:hAnsi="Verdana" w:cs="Arial"/>
          <w:sz w:val="20"/>
          <w:szCs w:val="20"/>
          <w:lang w:val="es-ES" w:eastAsia="es-ES"/>
        </w:rPr>
      </w:pPr>
      <w:r>
        <w:rPr>
          <w:rFonts w:ascii="Verdana" w:hAnsi="Verdana" w:cs="Arial"/>
          <w:sz w:val="20"/>
          <w:szCs w:val="20"/>
          <w:lang w:val="es-ES" w:eastAsia="es-ES"/>
        </w:rPr>
        <w:t>“</w:t>
      </w:r>
      <w:r w:rsidRPr="003E5E57">
        <w:rPr>
          <w:rFonts w:ascii="Verdana" w:hAnsi="Verdana" w:cs="Arial"/>
          <w:sz w:val="20"/>
          <w:szCs w:val="20"/>
          <w:lang w:val="es-ES" w:eastAsia="es-ES"/>
        </w:rPr>
        <w:t xml:space="preserve">La defensa y seguridad nacional son </w:t>
      </w:r>
      <w:r w:rsidRPr="003E5E57">
        <w:rPr>
          <w:rFonts w:ascii="Verdana" w:hAnsi="Verdana" w:cs="Arial"/>
          <w:i/>
          <w:sz w:val="20"/>
          <w:szCs w:val="20"/>
          <w:lang w:val="es-ES" w:eastAsia="es-ES"/>
        </w:rPr>
        <w:t>conceptos normativos indeterminados</w:t>
      </w:r>
      <w:r w:rsidRPr="003E5E57">
        <w:rPr>
          <w:rFonts w:ascii="Verdana" w:hAnsi="Verdana" w:cs="Arial"/>
          <w:sz w:val="20"/>
          <w:szCs w:val="20"/>
          <w:lang w:val="es-ES" w:eastAsia="es-ES"/>
        </w:rPr>
        <w:t xml:space="preserve"> que adquieren significación conforme el contexto social, cultural y económico que, en cualquier caso, reflejará las necesidades de una colectividad en una circunstancia espacio-temporal definida. Como concepto anfibológico requiere de un contexto específico que permita nutrirlo de contenido, de suerte que cada realidad social le dará un sentido particular. Son conceptos simbióticos pues se sirven mutuamente y la acción de uno afecta al otro, por manera que su adecuado entendimiento merece un tratamiento unívoco. </w:t>
      </w:r>
    </w:p>
    <w:p w14:paraId="0B4524EE" w14:textId="77777777" w:rsidR="00AB1573" w:rsidRPr="003E5E57" w:rsidRDefault="00AB1573" w:rsidP="00AB1573">
      <w:pPr>
        <w:spacing w:after="0" w:line="240" w:lineRule="auto"/>
        <w:ind w:left="709" w:right="709"/>
        <w:jc w:val="both"/>
        <w:rPr>
          <w:rFonts w:ascii="Verdana" w:hAnsi="Verdana" w:cs="Arial"/>
          <w:sz w:val="20"/>
          <w:szCs w:val="20"/>
          <w:lang w:val="es-ES_tradnl" w:eastAsia="es-ES"/>
        </w:rPr>
      </w:pPr>
      <w:r w:rsidRPr="003E5E57">
        <w:rPr>
          <w:rFonts w:ascii="Verdana" w:hAnsi="Verdana" w:cs="Arial"/>
          <w:sz w:val="20"/>
          <w:szCs w:val="20"/>
          <w:lang w:val="es-ES_tradnl" w:eastAsia="es-ES"/>
        </w:rPr>
        <w:t xml:space="preserve">El núcleo básico de la expresión se encuentra en la razón misma del Estado, como pacto político garante de la vida, honra y bienes de las personas, por manera que a través de la defensa y seguridad nacional se busca obtener el bienestar de los ciudadanos y la estabilidad misma del Estado. Es un concepto base sobre el que se construye la estrategia del Estado para proteger a los ciudadanos y rebaza, en mucho, </w:t>
      </w:r>
      <w:r w:rsidRPr="003E5E57">
        <w:rPr>
          <w:rFonts w:ascii="Verdana" w:hAnsi="Verdana" w:cs="Arial"/>
          <w:i/>
          <w:sz w:val="20"/>
          <w:szCs w:val="20"/>
          <w:lang w:val="es-ES_tradnl" w:eastAsia="es-ES"/>
        </w:rPr>
        <w:t>el criterio conforme al cual la seguridad es apenas un conjunto de dispositivos para la guerra</w:t>
      </w:r>
      <w:r w:rsidRPr="003E5E57">
        <w:rPr>
          <w:rFonts w:ascii="Verdana" w:hAnsi="Verdana" w:cs="Arial"/>
          <w:sz w:val="20"/>
          <w:szCs w:val="20"/>
          <w:lang w:val="es-ES_tradnl" w:eastAsia="es-ES"/>
        </w:rPr>
        <w:t>: es un fenómeno que, dadas las condiciones actuales de nuestras sociedades, puede referir, incluso, a asuntos económicos, energéticos, ambientales y hasta de salud pública</w:t>
      </w:r>
      <w:r>
        <w:rPr>
          <w:rFonts w:ascii="Verdana" w:hAnsi="Verdana" w:cs="Arial"/>
          <w:sz w:val="20"/>
          <w:szCs w:val="20"/>
          <w:lang w:val="es-ES_tradnl" w:eastAsia="es-ES"/>
        </w:rPr>
        <w:t>”</w:t>
      </w:r>
      <w:r w:rsidRPr="003E5E57">
        <w:rPr>
          <w:rFonts w:ascii="Verdana" w:hAnsi="Verdana"/>
          <w:sz w:val="20"/>
          <w:szCs w:val="20"/>
          <w:vertAlign w:val="superscript"/>
        </w:rPr>
        <w:footnoteReference w:id="35"/>
      </w:r>
      <w:r w:rsidRPr="003E5E57">
        <w:rPr>
          <w:rFonts w:ascii="Verdana" w:hAnsi="Verdana" w:cs="Arial"/>
          <w:sz w:val="20"/>
          <w:szCs w:val="20"/>
          <w:lang w:val="es-ES_tradnl" w:eastAsia="es-ES"/>
        </w:rPr>
        <w:t>.</w:t>
      </w:r>
    </w:p>
    <w:p w14:paraId="76A66CB0" w14:textId="77777777" w:rsidR="00AB1573" w:rsidRPr="003E5E57" w:rsidRDefault="00AB1573" w:rsidP="00AB1573">
      <w:pPr>
        <w:spacing w:after="0" w:line="276" w:lineRule="auto"/>
        <w:ind w:firstLine="709"/>
        <w:jc w:val="both"/>
        <w:rPr>
          <w:rFonts w:ascii="Verdana" w:eastAsia="Calibri" w:hAnsi="Verdana" w:cs="Arial"/>
          <w:color w:val="000000"/>
          <w:lang w:val="es-ES"/>
        </w:rPr>
      </w:pPr>
    </w:p>
    <w:p w14:paraId="69A49EE9" w14:textId="77777777" w:rsidR="00AB1573" w:rsidRPr="004C1ADC" w:rsidRDefault="00AB1573" w:rsidP="00AB1573">
      <w:pPr>
        <w:shd w:val="clear" w:color="auto" w:fill="FFFFFF"/>
        <w:spacing w:after="0" w:line="276" w:lineRule="auto"/>
        <w:ind w:firstLine="708"/>
        <w:jc w:val="both"/>
        <w:rPr>
          <w:rFonts w:ascii="Verdana" w:hAnsi="Verdana" w:cs="Arial"/>
          <w:lang w:val="es-ES_tradnl" w:eastAsia="es-CO"/>
        </w:rPr>
      </w:pPr>
      <w:r w:rsidRPr="003E5E57">
        <w:rPr>
          <w:rFonts w:ascii="Verdana" w:eastAsia="Calibri" w:hAnsi="Verdana" w:cs="Arial"/>
          <w:color w:val="000000"/>
          <w:lang w:val="es-ES"/>
        </w:rPr>
        <w:t>Con base en lo anterior,</w:t>
      </w:r>
      <w:r>
        <w:rPr>
          <w:rFonts w:ascii="Verdana" w:eastAsia="Calibri" w:hAnsi="Verdana" w:cs="Arial"/>
          <w:color w:val="000000"/>
          <w:lang w:val="es-ES"/>
        </w:rPr>
        <w:t xml:space="preserve"> </w:t>
      </w:r>
      <w:r>
        <w:rPr>
          <w:rFonts w:ascii="Verdana" w:eastAsia="Times New Roman" w:hAnsi="Verdana" w:cs="Arial"/>
          <w:lang w:eastAsia="es-MX"/>
        </w:rPr>
        <w:t>la</w:t>
      </w:r>
      <w:r w:rsidRPr="00DB1EA1">
        <w:rPr>
          <w:rFonts w:ascii="Verdana" w:eastAsia="Times New Roman" w:hAnsi="Verdana" w:cs="Arial"/>
          <w:lang w:eastAsia="es-MX"/>
        </w:rPr>
        <w:t xml:space="preserve"> contratación de bienes y servicios en el sector </w:t>
      </w:r>
      <w:r>
        <w:rPr>
          <w:rFonts w:ascii="Verdana" w:eastAsia="Times New Roman" w:hAnsi="Verdana" w:cs="Arial"/>
          <w:lang w:eastAsia="es-MX"/>
        </w:rPr>
        <w:t>d</w:t>
      </w:r>
      <w:r w:rsidRPr="00DB1EA1">
        <w:rPr>
          <w:rFonts w:ascii="Verdana" w:eastAsia="Times New Roman" w:hAnsi="Verdana" w:cs="Arial"/>
          <w:lang w:eastAsia="es-MX"/>
        </w:rPr>
        <w:t xml:space="preserve">efensa </w:t>
      </w:r>
      <w:r>
        <w:rPr>
          <w:rFonts w:ascii="Verdana" w:eastAsia="Times New Roman" w:hAnsi="Verdana" w:cs="Arial"/>
          <w:lang w:eastAsia="es-MX"/>
        </w:rPr>
        <w:t xml:space="preserve">que no requieran reserva, están fuera del literal d) del artículo 2.4 de la Ley 1150 de 2007. Es lo que sucede, por ejemplo, con el suministro de papelería y los servicios de cafetería, pues son necesidades trasversales a todas las entidades públicas con independencia de su ubicación en la estructura del Estado. De lo contrario, como indica el artículo </w:t>
      </w:r>
      <w:r w:rsidRPr="002A22D8">
        <w:rPr>
          <w:rFonts w:ascii="Verdana" w:eastAsia="Times New Roman" w:hAnsi="Verdana" w:cs="Arial"/>
          <w:lang w:eastAsia="es-MX"/>
        </w:rPr>
        <w:t>2.2.1.2.1.4.6</w:t>
      </w:r>
      <w:r>
        <w:rPr>
          <w:rFonts w:ascii="Verdana" w:eastAsia="Times New Roman" w:hAnsi="Verdana" w:cs="Arial"/>
          <w:lang w:eastAsia="es-MX"/>
        </w:rPr>
        <w:t xml:space="preserve"> del Decreto 1082 de 2015, “</w:t>
      </w:r>
      <w:r w:rsidRPr="002A22D8">
        <w:rPr>
          <w:rFonts w:ascii="Verdana" w:eastAsia="Times New Roman" w:hAnsi="Verdana" w:cs="Arial"/>
          <w:lang w:eastAsia="es-MX"/>
        </w:rPr>
        <w:t>Las Entidades Estatales no están obligadas a publicar los Documentos del Proceso para adquirir bienes y servicios en el Sector Defensa, la Dirección Nacional de Inteligencia y la Unidad Nacional de Protección que requieren reserva. En estos procesos de contratación la adquisición debe hacerse en condiciones de mercado sin que sea necesario recibir varias ofertas</w:t>
      </w:r>
      <w:r>
        <w:rPr>
          <w:rFonts w:ascii="Verdana" w:eastAsia="Times New Roman" w:hAnsi="Verdana" w:cs="Arial"/>
          <w:lang w:eastAsia="es-MX"/>
        </w:rPr>
        <w:t>”</w:t>
      </w:r>
      <w:r w:rsidRPr="002A22D8">
        <w:rPr>
          <w:rFonts w:ascii="Verdana" w:eastAsia="Times New Roman" w:hAnsi="Verdana" w:cs="Arial"/>
          <w:lang w:eastAsia="es-MX"/>
        </w:rPr>
        <w:t>.</w:t>
      </w:r>
      <w:r>
        <w:rPr>
          <w:rFonts w:ascii="Verdana" w:eastAsia="Times New Roman" w:hAnsi="Verdana" w:cs="Arial"/>
          <w:lang w:eastAsia="es-MX"/>
        </w:rPr>
        <w:t xml:space="preserve"> </w:t>
      </w:r>
      <w:r w:rsidRPr="00DB1EA1">
        <w:rPr>
          <w:rFonts w:ascii="Verdana" w:eastAsia="Times New Roman" w:hAnsi="Verdana" w:cs="Arial"/>
          <w:lang w:eastAsia="es-MX"/>
        </w:rPr>
        <w:t xml:space="preserve">Por tanto, </w:t>
      </w:r>
      <w:r>
        <w:rPr>
          <w:rFonts w:ascii="Verdana" w:eastAsia="Times New Roman" w:hAnsi="Verdana" w:cs="Arial"/>
          <w:lang w:eastAsia="es-MX"/>
        </w:rPr>
        <w:t xml:space="preserve">si coexisten los requisitos de carácter orgánico y material en la causal </w:t>
      </w:r>
      <w:r w:rsidRPr="002A22D8">
        <w:rPr>
          <w:rFonts w:ascii="Verdana" w:eastAsia="Times New Roman" w:hAnsi="Verdana" w:cs="Arial"/>
          <w:i/>
          <w:iCs/>
          <w:lang w:eastAsia="es-MX"/>
        </w:rPr>
        <w:t>sub examine</w:t>
      </w:r>
      <w:r w:rsidRPr="00DB1EA1">
        <w:rPr>
          <w:rFonts w:ascii="Verdana" w:eastAsia="Times New Roman" w:hAnsi="Verdana" w:cs="Arial"/>
          <w:lang w:eastAsia="es-MX"/>
        </w:rPr>
        <w:t xml:space="preserve">, </w:t>
      </w:r>
      <w:r>
        <w:rPr>
          <w:rFonts w:ascii="Verdana" w:eastAsia="Times New Roman" w:hAnsi="Verdana" w:cs="Arial"/>
          <w:lang w:eastAsia="es-MX"/>
        </w:rPr>
        <w:t>pueden</w:t>
      </w:r>
      <w:r w:rsidRPr="00DB1EA1">
        <w:rPr>
          <w:rFonts w:ascii="Verdana" w:eastAsia="Times New Roman" w:hAnsi="Verdana" w:cs="Arial"/>
          <w:lang w:eastAsia="es-MX"/>
        </w:rPr>
        <w:t xml:space="preserve"> </w:t>
      </w:r>
      <w:r>
        <w:rPr>
          <w:rFonts w:ascii="Verdana" w:eastAsia="Times New Roman" w:hAnsi="Verdana" w:cs="Arial"/>
          <w:lang w:eastAsia="es-MX"/>
        </w:rPr>
        <w:t>excepcionarse los procedimientos</w:t>
      </w:r>
      <w:r w:rsidRPr="00DB1EA1">
        <w:rPr>
          <w:rFonts w:ascii="Verdana" w:eastAsia="Times New Roman" w:hAnsi="Verdana" w:cs="Arial"/>
          <w:lang w:eastAsia="es-MX"/>
        </w:rPr>
        <w:t xml:space="preserve"> de selección con pluralidad de oferentes, </w:t>
      </w:r>
      <w:r>
        <w:rPr>
          <w:rFonts w:ascii="Verdana" w:eastAsia="Times New Roman" w:hAnsi="Verdana" w:cs="Arial"/>
          <w:lang w:eastAsia="es-MX"/>
        </w:rPr>
        <w:t xml:space="preserve">incluso durante la vigencia de la ley de garantías, pues la </w:t>
      </w:r>
      <w:r>
        <w:rPr>
          <w:rFonts w:ascii="Verdana" w:eastAsia="Times New Roman" w:hAnsi="Verdana" w:cs="Arial"/>
          <w:lang w:eastAsia="es-MX"/>
        </w:rPr>
        <w:lastRenderedPageBreak/>
        <w:t>contratación directa para la defensa y seguridad del Estado está permitida en el inciso segundo del artículo 33 de la Ley 996 de 2005</w:t>
      </w:r>
      <w:r w:rsidRPr="00DB1EA1">
        <w:rPr>
          <w:rFonts w:ascii="Verdana" w:eastAsia="Times New Roman" w:hAnsi="Verdana" w:cs="Arial"/>
          <w:lang w:eastAsia="es-MX"/>
        </w:rPr>
        <w:t>.</w:t>
      </w:r>
      <w:r>
        <w:rPr>
          <w:rFonts w:ascii="Verdana" w:eastAsia="Times New Roman" w:hAnsi="Verdana" w:cs="Arial"/>
          <w:lang w:eastAsia="es-MX"/>
        </w:rPr>
        <w:t xml:space="preserve">  </w:t>
      </w:r>
    </w:p>
    <w:p w14:paraId="6B713DF6" w14:textId="77777777" w:rsidR="00AB1573" w:rsidRDefault="00AB1573" w:rsidP="00AB1573">
      <w:pPr>
        <w:spacing w:after="0" w:line="276" w:lineRule="auto"/>
        <w:jc w:val="both"/>
        <w:rPr>
          <w:rFonts w:ascii="Verdana" w:eastAsia="Times New Roman" w:hAnsi="Verdana" w:cs="Arial"/>
          <w:lang w:val="es-ES" w:eastAsia="es-MX"/>
        </w:rPr>
      </w:pPr>
    </w:p>
    <w:p w14:paraId="72630717" w14:textId="77777777" w:rsidR="00AB1573" w:rsidRPr="00F4158D" w:rsidRDefault="00AB1573" w:rsidP="00AB1573">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v. </w:t>
      </w:r>
      <w:r w:rsidRPr="00F4158D">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C13FFCE" w14:textId="77777777" w:rsidR="00AB1573" w:rsidRPr="00F4158D" w:rsidRDefault="00AB1573" w:rsidP="00AB1573">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64964D2" w14:textId="77777777" w:rsidR="00AB1573" w:rsidRPr="00F4158D" w:rsidRDefault="00AB1573" w:rsidP="00AB1573">
      <w:pPr>
        <w:spacing w:after="0" w:line="276"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48AD7DBE" w14:textId="77777777" w:rsidR="00AB1573" w:rsidRPr="00593A5F" w:rsidRDefault="00AB1573" w:rsidP="00AB157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2BDB75E" w14:textId="77777777" w:rsidR="00AB1573" w:rsidRPr="00593A5F" w:rsidRDefault="00AB1573" w:rsidP="00AB157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B1573" w:rsidRPr="002407CE" w14:paraId="2A5A93F8" w14:textId="77777777" w:rsidTr="00E61993">
        <w:trPr>
          <w:trHeight w:val="870"/>
          <w:jc w:val="center"/>
        </w:trPr>
        <w:tc>
          <w:tcPr>
            <w:tcW w:w="8647" w:type="dxa"/>
          </w:tcPr>
          <w:p w14:paraId="033066B8" w14:textId="77777777" w:rsidR="00AB1573" w:rsidRDefault="00AB1573" w:rsidP="00E6199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127 y 197.</w:t>
            </w:r>
          </w:p>
          <w:p w14:paraId="72E164F3" w14:textId="77777777" w:rsidR="00AB1573" w:rsidRDefault="00AB1573" w:rsidP="00E6199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742595">
              <w:rPr>
                <w:rFonts w:ascii="Verdana" w:hAnsi="Verdana" w:cs="Arial"/>
              </w:rPr>
              <w:t>Decreto Legislativo 2368 de 1974</w:t>
            </w:r>
            <w:r>
              <w:rPr>
                <w:rFonts w:ascii="Verdana" w:hAnsi="Verdana" w:cs="Arial"/>
              </w:rPr>
              <w:t>, artículo 17.</w:t>
            </w:r>
          </w:p>
          <w:p w14:paraId="4BEAC2C1" w14:textId="77777777" w:rsidR="00AB1573" w:rsidRDefault="00AB1573" w:rsidP="00E6199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81.</w:t>
            </w:r>
          </w:p>
          <w:p w14:paraId="083E35EA" w14:textId="77777777" w:rsidR="00AB1573" w:rsidRPr="007B7E4A" w:rsidRDefault="00AB1573" w:rsidP="00E6199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489 de 1998, artículos 42 y 50.</w:t>
            </w:r>
          </w:p>
          <w:p w14:paraId="55A716A4" w14:textId="77777777" w:rsidR="00AB1573" w:rsidRDefault="00AB1573" w:rsidP="00E6199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996 de 2005, artículos 33 y 38.</w:t>
            </w:r>
          </w:p>
          <w:p w14:paraId="061C7A1B" w14:textId="77777777" w:rsidR="00AB1573" w:rsidRDefault="00AB1573" w:rsidP="00E6199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2, 14 y 16.</w:t>
            </w:r>
          </w:p>
          <w:p w14:paraId="0D852033" w14:textId="77777777" w:rsidR="00AB1573" w:rsidRPr="00036236" w:rsidRDefault="00AB1573" w:rsidP="00E6199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036236">
              <w:rPr>
                <w:rFonts w:ascii="Verdana" w:hAnsi="Verdana" w:cs="Arial"/>
              </w:rPr>
              <w:t>Ley 1437 de 2011, artículo 24.</w:t>
            </w:r>
          </w:p>
          <w:p w14:paraId="4730F575" w14:textId="77777777" w:rsidR="00AB1573" w:rsidRDefault="00AB1573" w:rsidP="00E6199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036236">
              <w:rPr>
                <w:rFonts w:ascii="Verdana" w:hAnsi="Verdana" w:cs="Arial"/>
              </w:rPr>
              <w:t>Ley 1712 de 2014, artículo 5, 18 y 19.</w:t>
            </w:r>
          </w:p>
          <w:p w14:paraId="3C45546F" w14:textId="77777777" w:rsidR="00AB1573" w:rsidRPr="00036236" w:rsidRDefault="00AB1573" w:rsidP="00E6199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036236">
              <w:rPr>
                <w:rFonts w:ascii="Verdana" w:hAnsi="Verdana" w:cs="Arial"/>
              </w:rPr>
              <w:lastRenderedPageBreak/>
              <w:t>Decreto 1070 de 2015, artículos 1.2.1.1.1, 1.2.1.2.1, 1.2.2.1.1, 1.2.2.2.1 y 1.2.3.1.</w:t>
            </w:r>
          </w:p>
          <w:p w14:paraId="4AC4F260" w14:textId="77777777" w:rsidR="00AB1573" w:rsidRPr="00036236" w:rsidRDefault="00AB1573" w:rsidP="00E6199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036236">
              <w:rPr>
                <w:rFonts w:ascii="Verdana" w:hAnsi="Verdana" w:cs="Arial"/>
              </w:rPr>
              <w:t>Decreto 1082 de 2015, artículo 2.2.1.2.1.4.6.</w:t>
            </w:r>
          </w:p>
          <w:p w14:paraId="009334BB" w14:textId="77777777" w:rsidR="00AB1573" w:rsidRPr="007005D4" w:rsidRDefault="00AB1573" w:rsidP="00E61993">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036236">
              <w:rPr>
                <w:rFonts w:ascii="Verdana" w:eastAsia="Times New Roman" w:hAnsi="Verdana" w:cs="Arial"/>
                <w:lang w:eastAsia="es-MX"/>
              </w:rPr>
              <w:t>Decreto 1625 de 2016</w:t>
            </w:r>
            <w:r>
              <w:rPr>
                <w:rFonts w:ascii="Verdana" w:eastAsia="Times New Roman" w:hAnsi="Verdana" w:cs="Arial"/>
                <w:lang w:eastAsia="es-MX"/>
              </w:rPr>
              <w:t>,</w:t>
            </w:r>
            <w:r>
              <w:t xml:space="preserve"> </w:t>
            </w:r>
            <w:r w:rsidRPr="00036236">
              <w:rPr>
                <w:rFonts w:ascii="Verdana" w:eastAsia="Times New Roman" w:hAnsi="Verdana" w:cs="Arial"/>
                <w:lang w:eastAsia="es-MX"/>
              </w:rPr>
              <w:t>artículo 1.3.1.14.18</w:t>
            </w:r>
            <w:r>
              <w:rPr>
                <w:rFonts w:ascii="Verdana" w:eastAsia="Times New Roman" w:hAnsi="Verdana" w:cs="Arial"/>
                <w:lang w:eastAsia="es-MX"/>
              </w:rPr>
              <w:t>.</w:t>
            </w:r>
          </w:p>
        </w:tc>
      </w:tr>
    </w:tbl>
    <w:p w14:paraId="6FEB671C" w14:textId="77777777" w:rsidR="00AB1573" w:rsidRPr="002407CE" w:rsidRDefault="00AB1573" w:rsidP="00AB1573">
      <w:pPr>
        <w:widowControl w:val="0"/>
        <w:autoSpaceDE w:val="0"/>
        <w:autoSpaceDN w:val="0"/>
        <w:spacing w:after="0" w:line="276" w:lineRule="auto"/>
        <w:jc w:val="both"/>
        <w:rPr>
          <w:rFonts w:ascii="Verdana" w:hAnsi="Verdana" w:cs="Arial"/>
        </w:rPr>
      </w:pPr>
    </w:p>
    <w:p w14:paraId="34DF9698" w14:textId="77777777" w:rsidR="00AB1573" w:rsidRPr="00593A5F" w:rsidRDefault="00AB1573" w:rsidP="00AB157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0A11938" w14:textId="77777777" w:rsidR="00AB1573" w:rsidRPr="00593A5F" w:rsidRDefault="00AB1573" w:rsidP="00AB1573">
      <w:pPr>
        <w:widowControl w:val="0"/>
        <w:autoSpaceDE w:val="0"/>
        <w:autoSpaceDN w:val="0"/>
        <w:spacing w:after="0" w:line="276" w:lineRule="auto"/>
        <w:jc w:val="both"/>
        <w:rPr>
          <w:rFonts w:ascii="Verdana" w:hAnsi="Verdana" w:cs="Arial"/>
        </w:rPr>
      </w:pPr>
    </w:p>
    <w:p w14:paraId="3F511E35" w14:textId="77777777" w:rsidR="00AB1573" w:rsidRPr="00ED0098" w:rsidRDefault="00AB1573" w:rsidP="00AB1573">
      <w:pPr>
        <w:widowControl w:val="0"/>
        <w:autoSpaceDE w:val="0"/>
        <w:autoSpaceDN w:val="0"/>
        <w:spacing w:after="0" w:line="276" w:lineRule="auto"/>
        <w:jc w:val="both"/>
        <w:rPr>
          <w:rStyle w:val="normaltextrun"/>
          <w:rFonts w:ascii="Verdana" w:hAnsi="Verdana" w:cs="Arial"/>
          <w:shd w:val="clear" w:color="auto" w:fill="FFFFFF"/>
        </w:rPr>
      </w:pPr>
      <w:r w:rsidRPr="00177E85">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w:t>
      </w:r>
      <w:r>
        <w:rPr>
          <w:rFonts w:ascii="Verdana" w:hAnsi="Verdana" w:cs="Arial"/>
          <w:shd w:val="clear" w:color="auto" w:fill="FFFFFF"/>
        </w:rPr>
        <w:t xml:space="preserve">C-1343 del 20 de octubre de 2025, C-1350 del 1˚ de octubre de 2025, C-1512 del 27 de octubre de 2025, C-1488 del 30 de octubre de 2025, C-1596 del 6 de noviembre de 2025, </w:t>
      </w:r>
      <w:r w:rsidRPr="00177E85">
        <w:rPr>
          <w:rFonts w:ascii="Verdana" w:hAnsi="Verdana" w:cs="Arial"/>
          <w:shd w:val="clear" w:color="auto" w:fill="FFFFFF"/>
        </w:rPr>
        <w:t>entre otros</w:t>
      </w:r>
      <w:r>
        <w:rPr>
          <w:rFonts w:ascii="Verdana" w:hAnsi="Verdana"/>
        </w:rPr>
        <w:t xml:space="preserve">. Asimismo, </w:t>
      </w:r>
      <w:r w:rsidRPr="0094222D">
        <w:rPr>
          <w:rStyle w:val="normaltextrun"/>
          <w:rFonts w:ascii="Verdana" w:hAnsi="Verdana" w:cs="Arial"/>
          <w:shd w:val="clear" w:color="auto" w:fill="FFFFFF"/>
          <w:lang w:val="es-ES_tradnl"/>
        </w:rPr>
        <w:t>se ha pronunciado sobre el régimen jurídico de los contratos de arrendamiento en los Conceptos C-646 del 22 de noviembre de 2021</w:t>
      </w:r>
      <w:r>
        <w:rPr>
          <w:rStyle w:val="normaltextrun"/>
          <w:rFonts w:ascii="Verdana" w:hAnsi="Verdana" w:cs="Arial"/>
          <w:shd w:val="clear" w:color="auto" w:fill="FFFFFF"/>
          <w:lang w:val="es-ES_tradnl"/>
        </w:rPr>
        <w:t>,</w:t>
      </w:r>
      <w:r w:rsidRPr="0094222D">
        <w:rPr>
          <w:rStyle w:val="normaltextrun"/>
          <w:rFonts w:ascii="Verdana" w:hAnsi="Verdana" w:cs="Arial"/>
          <w:shd w:val="clear" w:color="auto" w:fill="FFFFFF"/>
          <w:lang w:val="es-ES_tradnl"/>
        </w:rPr>
        <w:t xml:space="preserve"> C-214 del 22 de abril de 2022</w:t>
      </w:r>
      <w:r>
        <w:rPr>
          <w:rStyle w:val="normaltextrun"/>
          <w:rFonts w:ascii="Verdana" w:hAnsi="Verdana" w:cs="Arial"/>
          <w:shd w:val="clear" w:color="auto" w:fill="FFFFFF"/>
          <w:lang w:val="es-ES_tradnl"/>
        </w:rPr>
        <w:t>, C-830 del 16 de diciembre de 2024, C-159 del 20 de marzo de 2025, C-1648 del 14 de noviembre de 2025 y C-001 del 21 de enero de 2026.</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600BF2F" w14:textId="77777777" w:rsidR="00AB1573" w:rsidRPr="00096788" w:rsidRDefault="00AB1573" w:rsidP="00AB1573">
      <w:pPr>
        <w:widowControl w:val="0"/>
        <w:autoSpaceDE w:val="0"/>
        <w:autoSpaceDN w:val="0"/>
        <w:spacing w:after="0" w:line="276" w:lineRule="auto"/>
        <w:jc w:val="both"/>
        <w:rPr>
          <w:rFonts w:ascii="Verdana" w:hAnsi="Verdana" w:cs="Arial"/>
          <w:color w:val="000000" w:themeColor="text1"/>
          <w:shd w:val="clear" w:color="auto" w:fill="FFFFFF"/>
        </w:rPr>
      </w:pPr>
    </w:p>
    <w:p w14:paraId="05B32A8C" w14:textId="77777777" w:rsidR="00AB1573" w:rsidRDefault="00AB1573" w:rsidP="00AB1573">
      <w:pPr>
        <w:spacing w:after="0"/>
        <w:jc w:val="both"/>
      </w:pPr>
      <w:r w:rsidRPr="009A385A">
        <w:rPr>
          <w:rFonts w:ascii="Verdana" w:hAnsi="Verdana"/>
        </w:rPr>
        <w:lastRenderedPageBreak/>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2" w:tgtFrame="_new" w:history="1">
        <w:r w:rsidRPr="009A385A">
          <w:rPr>
            <w:rStyle w:val="Hipervnculo"/>
            <w:rFonts w:ascii="Verdana" w:hAnsi="Verdana"/>
          </w:rPr>
          <w:t>https://formacionvirtual.colombiacompra.gov.co/mod/page/view.php?id=3718</w:t>
        </w:r>
      </w:hyperlink>
    </w:p>
    <w:p w14:paraId="4573E060" w14:textId="77777777" w:rsidR="00AB1573" w:rsidRPr="009A385A" w:rsidRDefault="00AB1573" w:rsidP="00AB1573">
      <w:pPr>
        <w:spacing w:after="0"/>
        <w:jc w:val="both"/>
        <w:rPr>
          <w:rFonts w:ascii="Verdana" w:hAnsi="Verdana"/>
        </w:rPr>
      </w:pPr>
    </w:p>
    <w:p w14:paraId="0973A077" w14:textId="77777777" w:rsidR="00AB1573" w:rsidRDefault="00AB1573" w:rsidP="00AB1573">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3" w:tgtFrame="_new" w:history="1">
        <w:r w:rsidRPr="00635F16">
          <w:rPr>
            <w:rStyle w:val="Hipervnculo"/>
            <w:rFonts w:ascii="Verdana" w:hAnsi="Verdana"/>
          </w:rPr>
          <w:t>https://www.colombiacompra.gov.co/normativa-y-relatoria/documentos-tipo</w:t>
        </w:r>
      </w:hyperlink>
    </w:p>
    <w:p w14:paraId="33DFA3B0" w14:textId="77777777" w:rsidR="00AB1573" w:rsidRDefault="00AB1573" w:rsidP="00AB1573">
      <w:pPr>
        <w:spacing w:after="0"/>
        <w:jc w:val="both"/>
        <w:rPr>
          <w:rFonts w:ascii="Verdana" w:hAnsi="Verdana"/>
        </w:rPr>
      </w:pPr>
    </w:p>
    <w:p w14:paraId="25976218" w14:textId="77777777" w:rsidR="00AB1573" w:rsidRPr="008E1CD7" w:rsidRDefault="00AB1573" w:rsidP="00AB1573">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4"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3B9AED50" w14:textId="77777777" w:rsidR="00AB1573" w:rsidRDefault="00AB1573" w:rsidP="00AB1573">
      <w:pPr>
        <w:shd w:val="clear" w:color="auto" w:fill="FFFFFF"/>
        <w:spacing w:after="0" w:line="276" w:lineRule="auto"/>
        <w:jc w:val="both"/>
        <w:rPr>
          <w:rFonts w:ascii="Verdana" w:hAnsi="Verdana"/>
          <w:color w:val="000000"/>
          <w:u w:val="single"/>
        </w:rPr>
      </w:pPr>
    </w:p>
    <w:p w14:paraId="418EF18D" w14:textId="77777777" w:rsidR="00AB1573" w:rsidRPr="0038088D" w:rsidRDefault="00AB1573" w:rsidP="00AB1573">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23D57FBF" w14:textId="77777777" w:rsidR="00AB1573" w:rsidRPr="0038088D" w:rsidRDefault="00AB1573" w:rsidP="00AB1573">
      <w:pPr>
        <w:spacing w:after="0"/>
        <w:jc w:val="both"/>
        <w:rPr>
          <w:rFonts w:ascii="Verdana" w:hAnsi="Verdana"/>
        </w:rPr>
      </w:pPr>
    </w:p>
    <w:p w14:paraId="50928DD7" w14:textId="77777777" w:rsidR="00AB1573" w:rsidRPr="0038088D" w:rsidRDefault="00AB1573" w:rsidP="00AB1573">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21584793" w14:textId="77777777" w:rsidR="00AB1573" w:rsidRPr="0038088D" w:rsidRDefault="00AB1573" w:rsidP="00AB1573">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r w:rsidRPr="0038088D">
        <w:rPr>
          <w:rStyle w:val="Hipervnculo"/>
          <w:rFonts w:ascii="Verdana" w:hAnsi="Verdana"/>
        </w:rPr>
        <w:t>+57 601 7456788</w:t>
      </w:r>
    </w:p>
    <w:p w14:paraId="52BE9D68" w14:textId="77777777" w:rsidR="00AB1573" w:rsidRPr="0038088D" w:rsidRDefault="00AB1573" w:rsidP="00AB1573">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5">
        <w:r w:rsidRPr="0038088D">
          <w:rPr>
            <w:rStyle w:val="Hipervnculo"/>
            <w:rFonts w:ascii="Verdana" w:eastAsia="Verdana" w:hAnsi="Verdana" w:cs="Verdana"/>
          </w:rPr>
          <w:t>ventanilladeradicacion@colombiacompra.gov.co</w:t>
        </w:r>
      </w:hyperlink>
    </w:p>
    <w:p w14:paraId="75A971CD" w14:textId="77777777" w:rsidR="00AB1573" w:rsidRPr="0038088D" w:rsidRDefault="00AB1573" w:rsidP="00AB1573">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6">
        <w:r w:rsidRPr="0038088D">
          <w:rPr>
            <w:rStyle w:val="Hipervnculo"/>
            <w:rFonts w:ascii="Verdana" w:eastAsia="Verdana" w:hAnsi="Verdana" w:cs="Verdana"/>
          </w:rPr>
          <w:t>https://www.colombiacompra.gov.co/pqrsd/informacion-importante-antes-de-formular-una-pqrsd</w:t>
        </w:r>
      </w:hyperlink>
    </w:p>
    <w:p w14:paraId="007FA935" w14:textId="77777777" w:rsidR="00AB1573" w:rsidRPr="0038088D" w:rsidRDefault="00AB1573" w:rsidP="00AB1573">
      <w:pPr>
        <w:spacing w:after="0" w:line="240" w:lineRule="auto"/>
        <w:ind w:left="720"/>
        <w:jc w:val="both"/>
        <w:rPr>
          <w:rFonts w:ascii="Verdana" w:hAnsi="Verdana"/>
        </w:rPr>
      </w:pPr>
    </w:p>
    <w:p w14:paraId="3C8B00BD" w14:textId="77777777" w:rsidR="00AB1573" w:rsidRPr="0038088D" w:rsidRDefault="00AB1573" w:rsidP="00AB1573">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7"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3BA82C20" w14:textId="77777777" w:rsidR="00AB1573" w:rsidRPr="0038088D" w:rsidRDefault="00AB1573" w:rsidP="00AB1573">
      <w:pPr>
        <w:spacing w:after="0" w:line="240" w:lineRule="auto"/>
        <w:rPr>
          <w:rFonts w:ascii="Verdana" w:hAnsi="Verdana"/>
        </w:rPr>
      </w:pPr>
    </w:p>
    <w:p w14:paraId="3DB1A848" w14:textId="77777777" w:rsidR="00AB1573" w:rsidRPr="0038088D" w:rsidRDefault="00AB1573" w:rsidP="00AB1573">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6391B822" w14:textId="77777777" w:rsidR="00AB1573" w:rsidRPr="00116940" w:rsidRDefault="00AB1573" w:rsidP="00AB1573">
      <w:pPr>
        <w:spacing w:after="0" w:line="240" w:lineRule="auto"/>
        <w:jc w:val="both"/>
        <w:rPr>
          <w:rFonts w:ascii="Verdana" w:hAnsi="Verdana"/>
        </w:rPr>
      </w:pPr>
    </w:p>
    <w:p w14:paraId="6851D25B" w14:textId="77777777" w:rsidR="00AB1573" w:rsidRPr="00116940" w:rsidRDefault="00AB1573" w:rsidP="00AB1573">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5FFDD61" w14:textId="77777777" w:rsidR="00AB1573" w:rsidRPr="00116940" w:rsidRDefault="00AB1573" w:rsidP="00AB1573">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3DC906D" w14:textId="77777777" w:rsidR="00AB1573" w:rsidRPr="00E22E6E" w:rsidRDefault="00AB1573" w:rsidP="00AB1573">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F9D9CA9" w14:textId="77777777" w:rsidR="00AB1573" w:rsidRPr="009C4035" w:rsidRDefault="00AB1573" w:rsidP="00AB1573">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7C8FCAEB" w14:textId="77777777" w:rsidR="00AB1573" w:rsidRPr="00593A5F" w:rsidRDefault="00AB1573" w:rsidP="00AB157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33689D2C" w14:textId="77777777" w:rsidR="00AB1573" w:rsidRPr="00593A5F" w:rsidRDefault="00AB1573" w:rsidP="00AB1573">
      <w:pPr>
        <w:widowControl w:val="0"/>
        <w:autoSpaceDE w:val="0"/>
        <w:autoSpaceDN w:val="0"/>
        <w:spacing w:after="0" w:line="276" w:lineRule="auto"/>
        <w:jc w:val="both"/>
        <w:rPr>
          <w:rFonts w:ascii="Verdana" w:hAnsi="Verdana" w:cs="Arial"/>
        </w:rPr>
      </w:pPr>
    </w:p>
    <w:p w14:paraId="4F6267F1" w14:textId="77777777" w:rsidR="00AB1573" w:rsidRPr="00593A5F" w:rsidRDefault="00AB1573" w:rsidP="00AB157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D3A62EB" w14:textId="3E6B468B" w:rsidR="00AB1573" w:rsidRPr="00593A5F" w:rsidRDefault="004A6A6C" w:rsidP="00AB1573">
      <w:pPr>
        <w:spacing w:line="276" w:lineRule="auto"/>
        <w:jc w:val="center"/>
        <w:rPr>
          <w:rFonts w:ascii="Verdana" w:hAnsi="Verdana" w:cs="Arial"/>
          <w:color w:val="000000"/>
          <w:lang w:val="es-ES_tradnl" w:eastAsia="es-CO"/>
        </w:rPr>
      </w:pPr>
      <w:r>
        <w:rPr>
          <w:noProof/>
        </w:rPr>
        <w:drawing>
          <wp:inline distT="0" distB="0" distL="0" distR="0" wp14:anchorId="347E1166" wp14:editId="636E33CB">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B1573" w:rsidRPr="00593A5F" w14:paraId="777AC1EB" w14:textId="77777777" w:rsidTr="00E61993">
        <w:trPr>
          <w:trHeight w:val="315"/>
        </w:trPr>
        <w:tc>
          <w:tcPr>
            <w:tcW w:w="893" w:type="dxa"/>
            <w:vAlign w:val="center"/>
            <w:hideMark/>
          </w:tcPr>
          <w:p w14:paraId="13F18719" w14:textId="77777777" w:rsidR="00AB1573" w:rsidRPr="003751C7" w:rsidRDefault="00AB1573" w:rsidP="00E6199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3D886A0" w14:textId="77777777" w:rsidR="00AB1573" w:rsidRPr="00254A7A" w:rsidRDefault="00AB1573" w:rsidP="00E61993">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14B178FA" w14:textId="77777777" w:rsidR="00AB1573" w:rsidRPr="00254A7A" w:rsidRDefault="00AB1573" w:rsidP="00E61993">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AB1573" w:rsidRPr="00593A5F" w14:paraId="6C5BB7CA" w14:textId="77777777" w:rsidTr="00E61993">
        <w:trPr>
          <w:trHeight w:val="330"/>
        </w:trPr>
        <w:tc>
          <w:tcPr>
            <w:tcW w:w="893" w:type="dxa"/>
            <w:vAlign w:val="center"/>
            <w:hideMark/>
          </w:tcPr>
          <w:p w14:paraId="3B6E4FEE" w14:textId="77777777" w:rsidR="00AB1573" w:rsidRPr="003751C7" w:rsidRDefault="00AB1573" w:rsidP="00E6199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1FD252C" w14:textId="77777777" w:rsidR="00AB1573" w:rsidRPr="001B6B73" w:rsidRDefault="00AB1573" w:rsidP="00E61993">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3787B5F1" w14:textId="77777777" w:rsidR="00AB1573" w:rsidRPr="00254A7A" w:rsidRDefault="00AB1573" w:rsidP="00E61993">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AB1573" w:rsidRPr="00593A5F" w14:paraId="67DF5962" w14:textId="77777777" w:rsidTr="00E61993">
        <w:trPr>
          <w:trHeight w:val="300"/>
        </w:trPr>
        <w:tc>
          <w:tcPr>
            <w:tcW w:w="893" w:type="dxa"/>
            <w:vAlign w:val="center"/>
          </w:tcPr>
          <w:p w14:paraId="15A6A70A" w14:textId="77777777" w:rsidR="00AB1573" w:rsidRPr="003751C7" w:rsidRDefault="00AB1573" w:rsidP="00E61993">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562D844" w14:textId="77777777" w:rsidR="00AB1573" w:rsidRPr="003751C7" w:rsidRDefault="00AB1573" w:rsidP="00E61993">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2C0F73EF" w14:textId="77777777" w:rsidR="00AB1573" w:rsidRPr="003751C7" w:rsidRDefault="00AB1573" w:rsidP="00E61993">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7E750254" w14:textId="77777777" w:rsidR="00AB1573" w:rsidRPr="00543BFE" w:rsidRDefault="00AB1573" w:rsidP="00AB1573"/>
    <w:p w14:paraId="69E748C6" w14:textId="25AEA298" w:rsidR="00AB1573" w:rsidRPr="00B36323" w:rsidRDefault="00AB1573" w:rsidP="00AB1573"/>
    <w:p w14:paraId="0F293BF4" w14:textId="79628E04" w:rsidR="00127233" w:rsidRPr="00350544" w:rsidRDefault="00127233" w:rsidP="00350544"/>
    <w:sectPr w:rsidR="00127233" w:rsidRPr="00350544"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7109E" w14:textId="77777777" w:rsidR="00417021" w:rsidRDefault="00417021" w:rsidP="004A1847">
      <w:pPr>
        <w:spacing w:after="0" w:line="240" w:lineRule="auto"/>
      </w:pPr>
      <w:r>
        <w:separator/>
      </w:r>
    </w:p>
  </w:endnote>
  <w:endnote w:type="continuationSeparator" w:id="0">
    <w:p w14:paraId="68D2252D" w14:textId="77777777" w:rsidR="00417021" w:rsidRDefault="0041702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E86B2C"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E86B2C">
      <w:rPr>
        <w:rFonts w:ascii="Verdana" w:eastAsia="Verdana" w:hAnsi="Verdana" w:cs="Verdana"/>
        <w:b/>
        <w:color w:val="000000" w:themeColor="text1"/>
        <w:sz w:val="18"/>
        <w:szCs w:val="18"/>
        <w:lang w:val="pt-BR" w:eastAsia="es-CO"/>
      </w:rPr>
      <w:t xml:space="preserve">Código: </w:t>
    </w:r>
    <w:r w:rsidRPr="00E86B2C">
      <w:rPr>
        <w:rFonts w:ascii="Verdana" w:eastAsia="Verdana" w:hAnsi="Verdana" w:cs="Verdana"/>
        <w:color w:val="000000" w:themeColor="text1"/>
        <w:sz w:val="18"/>
        <w:szCs w:val="18"/>
        <w:lang w:val="pt-BR" w:eastAsia="es-CO"/>
      </w:rPr>
      <w:t xml:space="preserve">CCE-REC-FM-17 </w:t>
    </w:r>
    <w:r w:rsidRPr="00E86B2C">
      <w:rPr>
        <w:rFonts w:ascii="Verdana" w:eastAsia="Verdana" w:hAnsi="Verdana" w:cs="Verdana"/>
        <w:b/>
        <w:color w:val="000000" w:themeColor="text1"/>
        <w:sz w:val="18"/>
        <w:szCs w:val="18"/>
        <w:lang w:val="pt-BR" w:eastAsia="es-CO"/>
      </w:rPr>
      <w:t xml:space="preserve">V: </w:t>
    </w:r>
    <w:r w:rsidRPr="00E86B2C">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F8526" w14:textId="77777777" w:rsidR="00417021" w:rsidRDefault="00417021" w:rsidP="004A1847">
      <w:pPr>
        <w:spacing w:after="0" w:line="240" w:lineRule="auto"/>
      </w:pPr>
      <w:r>
        <w:separator/>
      </w:r>
    </w:p>
  </w:footnote>
  <w:footnote w:type="continuationSeparator" w:id="0">
    <w:p w14:paraId="60E45694" w14:textId="77777777" w:rsidR="00417021" w:rsidRDefault="00417021" w:rsidP="004A1847">
      <w:pPr>
        <w:spacing w:after="0" w:line="240" w:lineRule="auto"/>
      </w:pPr>
      <w:r>
        <w:continuationSeparator/>
      </w:r>
    </w:p>
  </w:footnote>
  <w:footnote w:id="1">
    <w:p w14:paraId="6924D281" w14:textId="77777777" w:rsidR="00AB1573" w:rsidRPr="006C7BAC" w:rsidRDefault="00AB1573" w:rsidP="00AB1573">
      <w:pPr>
        <w:pStyle w:val="Textonotapie"/>
        <w:ind w:firstLine="709"/>
        <w:contextualSpacing/>
        <w:jc w:val="both"/>
        <w:rPr>
          <w:rFonts w:ascii="Verdana"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4AC86A4" w14:textId="77777777" w:rsidR="00AB1573" w:rsidRPr="006C7BAC" w:rsidRDefault="00AB1573" w:rsidP="00AB1573">
      <w:pPr>
        <w:pStyle w:val="Textonotapie"/>
        <w:ind w:firstLine="709"/>
        <w:contextualSpacing/>
        <w:jc w:val="both"/>
        <w:rPr>
          <w:rFonts w:ascii="Verdana" w:hAnsi="Verdana" w:cs="Arial"/>
          <w:sz w:val="16"/>
          <w:szCs w:val="16"/>
        </w:rPr>
      </w:pPr>
      <w:r w:rsidRPr="006C7BA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29B60B02" w14:textId="77777777" w:rsidR="00AB1573" w:rsidRPr="006C7BAC" w:rsidRDefault="00AB1573" w:rsidP="00AB1573">
      <w:pPr>
        <w:pStyle w:val="Textonotapie"/>
        <w:ind w:firstLine="709"/>
        <w:contextualSpacing/>
        <w:jc w:val="both"/>
        <w:rPr>
          <w:rFonts w:ascii="Verdana"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Gaceta del Congreso de la República No. 71 del 2005.</w:t>
      </w:r>
    </w:p>
  </w:footnote>
  <w:footnote w:id="3">
    <w:p w14:paraId="47D125DD" w14:textId="77777777" w:rsidR="00AB1573" w:rsidRPr="00E86B2C" w:rsidRDefault="00AB1573" w:rsidP="00AB1573">
      <w:pPr>
        <w:pStyle w:val="Textonotapie"/>
        <w:ind w:firstLine="709"/>
        <w:contextualSpacing/>
        <w:jc w:val="both"/>
        <w:rPr>
          <w:rFonts w:ascii="Verdana" w:hAnsi="Verdana" w:cs="Arial"/>
          <w:sz w:val="16"/>
          <w:szCs w:val="16"/>
          <w:lang w:val="pt-BR"/>
        </w:rPr>
      </w:pPr>
      <w:r w:rsidRPr="006C7BAC">
        <w:rPr>
          <w:rStyle w:val="Refdenotaalpie"/>
          <w:rFonts w:ascii="Verdana" w:hAnsi="Verdana" w:cs="Arial"/>
          <w:sz w:val="16"/>
          <w:szCs w:val="16"/>
        </w:rPr>
        <w:footnoteRef/>
      </w:r>
      <w:r w:rsidRPr="00E86B2C">
        <w:rPr>
          <w:rFonts w:ascii="Verdana" w:hAnsi="Verdana" w:cs="Arial"/>
          <w:sz w:val="16"/>
          <w:szCs w:val="16"/>
          <w:lang w:val="pt-BR"/>
        </w:rPr>
        <w:t xml:space="preserve"> Corte Constitucional, Sentencia C- 1153 de 2005, M.P. Marco Gerardo Monroy Cabra.</w:t>
      </w:r>
    </w:p>
  </w:footnote>
  <w:footnote w:id="4">
    <w:p w14:paraId="3DA67CD5" w14:textId="77777777" w:rsidR="00AB1573" w:rsidRPr="00E86B2C" w:rsidRDefault="00AB1573" w:rsidP="00AB1573">
      <w:pPr>
        <w:pStyle w:val="Textonotapie"/>
        <w:ind w:firstLine="709"/>
        <w:contextualSpacing/>
        <w:jc w:val="both"/>
        <w:rPr>
          <w:rFonts w:ascii="Verdana" w:hAnsi="Verdana" w:cs="Arial"/>
          <w:sz w:val="16"/>
          <w:szCs w:val="16"/>
          <w:lang w:val="pt-BR"/>
        </w:rPr>
      </w:pPr>
      <w:r w:rsidRPr="006C7BAC">
        <w:rPr>
          <w:rStyle w:val="Refdenotaalpie"/>
          <w:rFonts w:ascii="Verdana" w:hAnsi="Verdana" w:cs="Arial"/>
          <w:sz w:val="16"/>
          <w:szCs w:val="16"/>
        </w:rPr>
        <w:footnoteRef/>
      </w:r>
      <w:r w:rsidRPr="00E86B2C">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370FC049" w14:textId="77777777" w:rsidR="00AB1573" w:rsidRPr="006C7BAC" w:rsidRDefault="00AB1573" w:rsidP="00AB1573">
      <w:pPr>
        <w:pStyle w:val="Textonotapie"/>
        <w:ind w:firstLine="709"/>
        <w:contextualSpacing/>
        <w:jc w:val="both"/>
        <w:rPr>
          <w:rFonts w:ascii="Verdana" w:hAnsi="Verdana" w:cs="Arial"/>
          <w:sz w:val="16"/>
          <w:szCs w:val="16"/>
          <w:lang w:val="es-CO"/>
        </w:rPr>
      </w:pPr>
      <w:r w:rsidRPr="006C7BAC">
        <w:rPr>
          <w:rStyle w:val="Refdenotaalpie"/>
          <w:rFonts w:ascii="Verdana" w:hAnsi="Verdana" w:cs="Arial"/>
          <w:sz w:val="16"/>
          <w:szCs w:val="16"/>
        </w:rPr>
        <w:footnoteRef/>
      </w:r>
      <w:r w:rsidRPr="006C7BAC">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7250803E" w14:textId="77777777" w:rsidR="00AB1573" w:rsidRPr="006C7BAC" w:rsidRDefault="00AB1573" w:rsidP="00AB1573">
      <w:pPr>
        <w:pStyle w:val="Textonotapie"/>
        <w:ind w:firstLine="709"/>
        <w:contextualSpacing/>
        <w:jc w:val="both"/>
        <w:rPr>
          <w:rFonts w:ascii="Verdana"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Consejo de Estado, Sala de Consulta y Servicio Civil de fecha 24 de julio de 2013, radicado 2166, Consejero Ponente: Álvaro Namén Vargas.  </w:t>
      </w:r>
    </w:p>
  </w:footnote>
  <w:footnote w:id="7">
    <w:p w14:paraId="1554AE8E" w14:textId="77777777" w:rsidR="00AB1573" w:rsidRPr="006C7BAC" w:rsidRDefault="00AB1573" w:rsidP="00AB1573">
      <w:pPr>
        <w:spacing w:after="0" w:line="240" w:lineRule="auto"/>
        <w:ind w:firstLine="709"/>
        <w:contextualSpacing/>
        <w:jc w:val="both"/>
        <w:rPr>
          <w:rFonts w:ascii="Verdana" w:eastAsia="Times New Roman"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w:t>
      </w:r>
      <w:bookmarkStart w:id="6" w:name="33"/>
      <w:r w:rsidRPr="006C7BAC">
        <w:rPr>
          <w:rFonts w:ascii="Verdana" w:eastAsia="Calibri" w:hAnsi="Verdana" w:cs="Arial"/>
          <w:color w:val="000000"/>
          <w:sz w:val="16"/>
          <w:szCs w:val="16"/>
        </w:rPr>
        <w:t>“</w:t>
      </w:r>
      <w:r w:rsidRPr="006C7BAC">
        <w:rPr>
          <w:rFonts w:ascii="Verdana" w:eastAsia="Times New Roman" w:hAnsi="Verdana" w:cs="Arial"/>
          <w:sz w:val="16"/>
          <w:szCs w:val="16"/>
        </w:rPr>
        <w:t>Artículo 33. Restricciones a la contratación pública.</w:t>
      </w:r>
      <w:bookmarkEnd w:id="6"/>
      <w:r w:rsidRPr="006C7BAC">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6CB943F1" w14:textId="77777777" w:rsidR="00AB1573" w:rsidRPr="006C7BAC" w:rsidRDefault="00AB1573" w:rsidP="00AB1573">
      <w:pPr>
        <w:spacing w:after="0" w:line="240" w:lineRule="auto"/>
        <w:ind w:firstLine="709"/>
        <w:contextualSpacing/>
        <w:jc w:val="both"/>
        <w:rPr>
          <w:rFonts w:ascii="Verdana" w:eastAsia="Times New Roman" w:hAnsi="Verdana" w:cs="Arial"/>
          <w:sz w:val="16"/>
          <w:szCs w:val="16"/>
        </w:rPr>
      </w:pPr>
      <w:r w:rsidRPr="006C7BA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6C7BAC">
        <w:rPr>
          <w:rFonts w:ascii="Verdana" w:eastAsia="Calibri" w:hAnsi="Verdana" w:cs="Arial"/>
          <w:color w:val="000000"/>
          <w:sz w:val="16"/>
          <w:szCs w:val="16"/>
        </w:rPr>
        <w:t>”</w:t>
      </w:r>
      <w:r w:rsidRPr="006C7BAC">
        <w:rPr>
          <w:rFonts w:ascii="Verdana" w:eastAsia="Times New Roman" w:hAnsi="Verdana" w:cs="Arial"/>
          <w:sz w:val="16"/>
          <w:szCs w:val="16"/>
        </w:rPr>
        <w:t>.</w:t>
      </w:r>
    </w:p>
  </w:footnote>
  <w:footnote w:id="8">
    <w:p w14:paraId="1A7063E6" w14:textId="77777777" w:rsidR="00AB1573" w:rsidRPr="006C7BAC" w:rsidRDefault="00AB1573" w:rsidP="00AB1573">
      <w:pPr>
        <w:pStyle w:val="NormalWeb"/>
        <w:spacing w:before="0" w:beforeAutospacing="0" w:after="0" w:afterAutospacing="0"/>
        <w:ind w:firstLine="709"/>
        <w:contextualSpacing/>
        <w:jc w:val="both"/>
        <w:rPr>
          <w:rFonts w:ascii="Verdana" w:hAnsi="Verdana" w:cs="Arial"/>
          <w:sz w:val="16"/>
          <w:szCs w:val="16"/>
          <w:lang w:val="es-MX"/>
        </w:rPr>
      </w:pPr>
      <w:r w:rsidRPr="006C7BAC">
        <w:rPr>
          <w:rStyle w:val="Refdenotaalpie"/>
          <w:rFonts w:ascii="Verdana" w:hAnsi="Verdana" w:cs="Arial"/>
          <w:sz w:val="16"/>
          <w:szCs w:val="16"/>
        </w:rPr>
        <w:footnoteRef/>
      </w:r>
      <w:r w:rsidRPr="006C7BAC">
        <w:rPr>
          <w:rFonts w:ascii="Verdana" w:hAnsi="Verdana" w:cs="Arial"/>
          <w:sz w:val="16"/>
          <w:szCs w:val="16"/>
        </w:rPr>
        <w:t xml:space="preserve"> </w:t>
      </w:r>
      <w:bookmarkStart w:id="7" w:name="38"/>
      <w:r w:rsidRPr="006C7BAC">
        <w:rPr>
          <w:rFonts w:ascii="Verdana" w:eastAsia="Calibri" w:hAnsi="Verdana" w:cs="Arial"/>
          <w:color w:val="000000"/>
          <w:sz w:val="16"/>
          <w:szCs w:val="16"/>
        </w:rPr>
        <w:t>“</w:t>
      </w:r>
      <w:r w:rsidRPr="006C7BAC">
        <w:rPr>
          <w:rFonts w:ascii="Verdana" w:hAnsi="Verdana" w:cs="Arial"/>
          <w:sz w:val="16"/>
          <w:szCs w:val="16"/>
          <w:lang w:val="es-MX"/>
        </w:rPr>
        <w:t>Artículo 38. Prohibiciones para los servidores públicos. A los empleados del Estado les está prohibido:</w:t>
      </w:r>
      <w:bookmarkEnd w:id="7"/>
    </w:p>
    <w:p w14:paraId="64B51EE2" w14:textId="77777777" w:rsidR="00AB1573" w:rsidRPr="006C7BAC" w:rsidRDefault="00AB1573" w:rsidP="00AB1573">
      <w:pPr>
        <w:pStyle w:val="NormalWeb"/>
        <w:spacing w:before="0" w:beforeAutospacing="0" w:after="0" w:afterAutospacing="0"/>
        <w:ind w:firstLine="709"/>
        <w:contextualSpacing/>
        <w:jc w:val="both"/>
        <w:rPr>
          <w:rFonts w:ascii="Verdana" w:hAnsi="Verdana" w:cs="Arial"/>
          <w:sz w:val="16"/>
          <w:szCs w:val="16"/>
          <w:lang w:val="es-MX"/>
        </w:rPr>
      </w:pPr>
      <w:r w:rsidRPr="006C7BAC">
        <w:rPr>
          <w:rFonts w:ascii="Verdana" w:hAnsi="Verdana" w:cs="Arial"/>
          <w:sz w:val="16"/>
          <w:szCs w:val="16"/>
          <w:lang w:val="es-MX"/>
        </w:rPr>
        <w:t>[…]</w:t>
      </w:r>
    </w:p>
    <w:p w14:paraId="136EA403" w14:textId="77777777" w:rsidR="00AB1573" w:rsidRPr="006C7BAC" w:rsidRDefault="00AB1573" w:rsidP="00AB1573">
      <w:pPr>
        <w:pStyle w:val="NormalWeb"/>
        <w:spacing w:before="0" w:beforeAutospacing="0" w:after="0" w:afterAutospacing="0"/>
        <w:ind w:firstLine="709"/>
        <w:contextualSpacing/>
        <w:jc w:val="both"/>
        <w:rPr>
          <w:rFonts w:ascii="Verdana" w:hAnsi="Verdana" w:cs="Arial"/>
          <w:sz w:val="16"/>
          <w:szCs w:val="16"/>
          <w:lang w:val="es-MX"/>
        </w:rPr>
      </w:pPr>
      <w:r w:rsidRPr="006C7BAC">
        <w:rPr>
          <w:rStyle w:val="baj"/>
          <w:rFonts w:ascii="Verdana" w:eastAsiaTheme="minorEastAsia" w:hAnsi="Verdana" w:cs="Arial"/>
          <w:sz w:val="16"/>
          <w:szCs w:val="16"/>
          <w:lang w:val="es-MX"/>
        </w:rPr>
        <w:t>Parágrafo.</w:t>
      </w:r>
      <w:r w:rsidRPr="006C7BA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C7BAC">
        <w:rPr>
          <w:rFonts w:ascii="Verdana" w:eastAsia="Calibri" w:hAnsi="Verdana" w:cs="Arial"/>
          <w:color w:val="000000"/>
          <w:sz w:val="16"/>
          <w:szCs w:val="16"/>
        </w:rPr>
        <w:t>”</w:t>
      </w:r>
      <w:r w:rsidRPr="006C7BAC">
        <w:rPr>
          <w:rFonts w:ascii="Verdana" w:hAnsi="Verdana" w:cs="Arial"/>
          <w:sz w:val="16"/>
          <w:szCs w:val="16"/>
          <w:lang w:val="es-MX"/>
        </w:rPr>
        <w:t>.</w:t>
      </w:r>
    </w:p>
  </w:footnote>
  <w:footnote w:id="9">
    <w:p w14:paraId="1696CDC0" w14:textId="77777777" w:rsidR="00AB1573" w:rsidRPr="006C7BAC" w:rsidRDefault="00AB1573" w:rsidP="00AB1573">
      <w:pPr>
        <w:spacing w:after="0" w:line="240" w:lineRule="auto"/>
        <w:ind w:left="100" w:right="244" w:firstLine="709"/>
        <w:contextualSpacing/>
        <w:jc w:val="both"/>
        <w:rPr>
          <w:rFonts w:ascii="Verdana" w:hAnsi="Verdana" w:cs="Arial"/>
          <w:sz w:val="16"/>
          <w:szCs w:val="16"/>
          <w:lang w:val="es-ES"/>
        </w:rPr>
      </w:pPr>
      <w:r w:rsidRPr="006C7BAC">
        <w:rPr>
          <w:rStyle w:val="Refdenotaalpie"/>
          <w:rFonts w:ascii="Verdana" w:hAnsi="Verdana" w:cs="Arial"/>
          <w:sz w:val="16"/>
          <w:szCs w:val="16"/>
        </w:rPr>
        <w:footnoteRef/>
      </w:r>
      <w:r w:rsidRPr="006C7BA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325FFD3E" w14:textId="77777777" w:rsidR="00AB1573" w:rsidRPr="006C7BAC" w:rsidRDefault="00AB1573" w:rsidP="00AB1573">
      <w:pPr>
        <w:pStyle w:val="Textonotapie"/>
        <w:ind w:right="51" w:firstLine="709"/>
        <w:jc w:val="both"/>
        <w:rPr>
          <w:rFonts w:ascii="Verdana"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w:t>
      </w:r>
      <w:r w:rsidRPr="006C7BAC">
        <w:rPr>
          <w:rFonts w:ascii="Verdana" w:hAnsi="Verdana" w:cs="Arial"/>
          <w:sz w:val="16"/>
          <w:szCs w:val="16"/>
          <w:lang w:val="es-ES"/>
        </w:rPr>
        <w:t xml:space="preserve">[25] </w:t>
      </w:r>
      <w:r w:rsidRPr="006C7BAC">
        <w:rPr>
          <w:rFonts w:ascii="Verdana" w:hAnsi="Verdana" w:cs="Arial"/>
          <w:sz w:val="16"/>
          <w:szCs w:val="16"/>
        </w:rPr>
        <w:t>Cfr. Consejo de Estado. Sección Tercera. Sentencia de 3 de diciembre de 2007. Radicados: 24.715, 25.206, 25.409, 24.524, 27.834, 25.410, 26.105, 28.244, 31.447 -acumulados-”.</w:t>
      </w:r>
    </w:p>
  </w:footnote>
  <w:footnote w:id="11">
    <w:p w14:paraId="2782F9BC" w14:textId="77777777" w:rsidR="00AB1573" w:rsidRPr="006C7BAC" w:rsidRDefault="00AB1573" w:rsidP="00AB1573">
      <w:pPr>
        <w:pStyle w:val="Textonotapie"/>
        <w:ind w:right="51" w:firstLine="709"/>
        <w:jc w:val="both"/>
        <w:rPr>
          <w:rFonts w:ascii="Verdana"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w:t>
      </w:r>
      <w:r w:rsidRPr="006C7BAC">
        <w:rPr>
          <w:rFonts w:ascii="Verdana" w:hAnsi="Verdana" w:cs="Arial"/>
          <w:sz w:val="16"/>
          <w:szCs w:val="16"/>
          <w:lang w:val="es-ES"/>
        </w:rPr>
        <w:t xml:space="preserve">[26] </w:t>
      </w:r>
      <w:r w:rsidRPr="006C7BAC">
        <w:rPr>
          <w:rFonts w:ascii="Verdana" w:hAnsi="Verdana" w:cs="Arial"/>
          <w:sz w:val="16"/>
          <w:szCs w:val="16"/>
        </w:rPr>
        <w:t>Al respecto ver el concepto 1712 de 2 de febrero de 2006. Consejo de Estado Sala de Consulta y Servicio Civil”.</w:t>
      </w:r>
    </w:p>
  </w:footnote>
  <w:footnote w:id="12">
    <w:p w14:paraId="66B35C57" w14:textId="77777777" w:rsidR="00AB1573" w:rsidRPr="006C7BAC" w:rsidRDefault="00AB1573" w:rsidP="00AB1573">
      <w:pPr>
        <w:pStyle w:val="Textonotapie"/>
        <w:ind w:firstLine="709"/>
        <w:jc w:val="both"/>
        <w:rPr>
          <w:rFonts w:ascii="Verdana"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3">
    <w:p w14:paraId="09EA548B" w14:textId="77777777" w:rsidR="00AB1573" w:rsidRPr="006C7BAC" w:rsidRDefault="00AB1573" w:rsidP="00AB1573">
      <w:pPr>
        <w:pStyle w:val="Textonotapie"/>
        <w:ind w:firstLine="709"/>
        <w:jc w:val="both"/>
        <w:rPr>
          <w:rFonts w:ascii="Verdana" w:hAnsi="Verdana" w:cs="Arial"/>
          <w:sz w:val="16"/>
          <w:szCs w:val="16"/>
          <w:lang w:val="es-ES"/>
        </w:rPr>
      </w:pPr>
      <w:r w:rsidRPr="006C7BAC">
        <w:rPr>
          <w:rStyle w:val="Refdenotaalpie"/>
          <w:rFonts w:ascii="Verdana" w:hAnsi="Verdana" w:cs="Arial"/>
          <w:sz w:val="16"/>
          <w:szCs w:val="16"/>
        </w:rPr>
        <w:footnoteRef/>
      </w:r>
      <w:r w:rsidRPr="006C7BAC">
        <w:rPr>
          <w:rFonts w:ascii="Verdana" w:hAnsi="Verdana" w:cs="Arial"/>
          <w:sz w:val="16"/>
          <w:szCs w:val="16"/>
        </w:rPr>
        <w:t xml:space="preserve"> </w:t>
      </w:r>
      <w:r w:rsidRPr="006C7BAC">
        <w:rPr>
          <w:rFonts w:ascii="Verdana" w:hAnsi="Verdana" w:cs="Arial"/>
          <w:sz w:val="16"/>
          <w:szCs w:val="16"/>
          <w:lang w:val="es-ES"/>
        </w:rPr>
        <w:t xml:space="preserve">Artículo 2. </w:t>
      </w:r>
    </w:p>
  </w:footnote>
  <w:footnote w:id="14">
    <w:p w14:paraId="7DBA114A" w14:textId="77777777" w:rsidR="00AB1573" w:rsidRPr="006C7BAC" w:rsidRDefault="00AB1573" w:rsidP="00AB1573">
      <w:pPr>
        <w:pStyle w:val="Textonotapie"/>
        <w:ind w:firstLine="709"/>
        <w:jc w:val="both"/>
        <w:rPr>
          <w:rFonts w:ascii="Verdana" w:hAnsi="Verdana" w:cs="Arial"/>
          <w:sz w:val="16"/>
          <w:szCs w:val="16"/>
          <w:lang w:val="es-ES"/>
        </w:rPr>
      </w:pPr>
      <w:r w:rsidRPr="006C7BAC">
        <w:rPr>
          <w:rStyle w:val="Refdenotaalpie"/>
          <w:rFonts w:ascii="Verdana" w:hAnsi="Verdana" w:cs="Arial"/>
          <w:sz w:val="16"/>
          <w:szCs w:val="16"/>
        </w:rPr>
        <w:footnoteRef/>
      </w:r>
      <w:r w:rsidRPr="006C7BAC">
        <w:rPr>
          <w:rFonts w:ascii="Verdana" w:hAnsi="Verdana" w:cs="Arial"/>
          <w:sz w:val="16"/>
          <w:szCs w:val="16"/>
        </w:rPr>
        <w:t xml:space="preserve"> </w:t>
      </w:r>
      <w:r w:rsidRPr="006C7BAC">
        <w:rPr>
          <w:rFonts w:ascii="Verdana" w:hAnsi="Verdana" w:cs="Arial"/>
          <w:i/>
          <w:sz w:val="16"/>
          <w:szCs w:val="16"/>
          <w:lang w:val="es-ES"/>
        </w:rPr>
        <w:t>Ibidem</w:t>
      </w:r>
      <w:r w:rsidRPr="006C7BAC">
        <w:rPr>
          <w:rFonts w:ascii="Verdana" w:hAnsi="Verdana" w:cs="Arial"/>
          <w:sz w:val="16"/>
          <w:szCs w:val="16"/>
          <w:lang w:val="es-ES"/>
        </w:rPr>
        <w:t>.</w:t>
      </w:r>
    </w:p>
  </w:footnote>
  <w:footnote w:id="15">
    <w:p w14:paraId="663637F2" w14:textId="77777777" w:rsidR="00AB1573" w:rsidRPr="006C7BAC" w:rsidRDefault="00AB1573" w:rsidP="00AB1573">
      <w:pPr>
        <w:pStyle w:val="Textonotapie"/>
        <w:ind w:firstLine="709"/>
        <w:jc w:val="both"/>
        <w:rPr>
          <w:rFonts w:ascii="Verdana" w:hAnsi="Verdana" w:cs="Arial"/>
          <w:sz w:val="16"/>
          <w:szCs w:val="16"/>
          <w:lang w:val="es-ES"/>
        </w:rPr>
      </w:pPr>
      <w:r w:rsidRPr="006C7BAC">
        <w:rPr>
          <w:rStyle w:val="Refdenotaalpie"/>
          <w:rFonts w:ascii="Verdana" w:hAnsi="Verdana" w:cs="Arial"/>
          <w:sz w:val="16"/>
          <w:szCs w:val="16"/>
        </w:rPr>
        <w:footnoteRef/>
      </w:r>
      <w:r w:rsidRPr="006C7BAC">
        <w:rPr>
          <w:rStyle w:val="Refdenotaalpie"/>
          <w:rFonts w:ascii="Verdana" w:hAnsi="Verdana" w:cs="Arial"/>
          <w:sz w:val="16"/>
          <w:szCs w:val="16"/>
        </w:rPr>
        <w:t xml:space="preserve"> </w:t>
      </w:r>
      <w:r w:rsidRPr="006C7BAC">
        <w:rPr>
          <w:rFonts w:ascii="Verdana" w:hAnsi="Verdana" w:cs="Arial"/>
          <w:sz w:val="16"/>
          <w:szCs w:val="16"/>
          <w:lang w:val="es-ES"/>
        </w:rPr>
        <w:t xml:space="preserve">“[…] A este respecto, cabe recordar que el artículo 860 del Código de Comercio regula la licitación en el derecho privado”. </w:t>
      </w:r>
    </w:p>
  </w:footnote>
  <w:footnote w:id="16">
    <w:p w14:paraId="490D26B1" w14:textId="77777777" w:rsidR="00AB1573" w:rsidRPr="006C7BAC" w:rsidRDefault="00AB1573" w:rsidP="00AB1573">
      <w:pPr>
        <w:shd w:val="clear" w:color="auto" w:fill="FFFFFF"/>
        <w:spacing w:after="0"/>
        <w:ind w:firstLine="709"/>
        <w:jc w:val="both"/>
        <w:rPr>
          <w:rFonts w:ascii="Verdana" w:hAnsi="Verdana" w:cs="Arial"/>
          <w:sz w:val="16"/>
          <w:szCs w:val="16"/>
          <w:lang w:val="es-ES"/>
        </w:rPr>
      </w:pPr>
      <w:r w:rsidRPr="006C7BAC">
        <w:rPr>
          <w:rStyle w:val="Refdenotaalpie"/>
          <w:rFonts w:ascii="Verdana" w:hAnsi="Verdana" w:cs="Arial"/>
          <w:sz w:val="16"/>
          <w:szCs w:val="16"/>
        </w:rPr>
        <w:footnoteRef/>
      </w:r>
      <w:r w:rsidRPr="006C7BAC">
        <w:rPr>
          <w:rStyle w:val="Refdenotaalpie"/>
          <w:rFonts w:ascii="Verdana" w:hAnsi="Verdana" w:cs="Arial"/>
          <w:sz w:val="16"/>
          <w:szCs w:val="16"/>
        </w:rPr>
        <w:t xml:space="preserve"> </w:t>
      </w:r>
      <w:r w:rsidRPr="006C7BAC">
        <w:rPr>
          <w:rFonts w:ascii="Verdana" w:hAnsi="Verdana" w:cs="Arial"/>
          <w:sz w:val="16"/>
          <w:szCs w:val="16"/>
          <w:lang w:val="es-ES"/>
        </w:rPr>
        <w:t>Consejo de Estado. Sala de Consulta y Servicio Civil, Concepto de 8 de mayo de 2018. Radicación Número: 11001-03-06-000-2018-00095-00(2382). Consejero Ponente: Álvaro Namén Vargas.</w:t>
      </w:r>
    </w:p>
  </w:footnote>
  <w:footnote w:id="17">
    <w:p w14:paraId="18921DBC" w14:textId="77777777" w:rsidR="00AB1573" w:rsidRPr="006C7BAC" w:rsidRDefault="00AB1573" w:rsidP="00AB1573">
      <w:pPr>
        <w:pStyle w:val="Textonotapie"/>
        <w:ind w:firstLine="709"/>
        <w:jc w:val="both"/>
        <w:rPr>
          <w:rFonts w:ascii="Verdana"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Consejo de Estado. Sala de Consulta y Servicio Civil. Concepto del 08 de mayo de 2018. Exp. 2.382. C.P. Álvaro Namén Vargas.</w:t>
      </w:r>
    </w:p>
  </w:footnote>
  <w:footnote w:id="18">
    <w:p w14:paraId="388B6913" w14:textId="77777777" w:rsidR="00AB1573" w:rsidRPr="006C7BAC" w:rsidRDefault="00AB1573" w:rsidP="00AB1573">
      <w:pPr>
        <w:pStyle w:val="Textonotapie"/>
        <w:ind w:firstLine="709"/>
        <w:jc w:val="both"/>
        <w:rPr>
          <w:rFonts w:ascii="Verdana"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9">
    <w:p w14:paraId="574AC515" w14:textId="77777777" w:rsidR="00AB1573" w:rsidRPr="006C7BAC" w:rsidRDefault="00AB1573" w:rsidP="00AB1573">
      <w:pPr>
        <w:spacing w:after="0"/>
        <w:ind w:firstLine="709"/>
        <w:jc w:val="both"/>
        <w:rPr>
          <w:rFonts w:ascii="Verdana"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0">
    <w:p w14:paraId="6A77A5E5" w14:textId="77777777" w:rsidR="00AB1573" w:rsidRPr="006C7BAC" w:rsidRDefault="00AB1573" w:rsidP="00AB1573">
      <w:pPr>
        <w:pStyle w:val="Textonotapie"/>
        <w:ind w:right="51" w:firstLine="709"/>
        <w:jc w:val="both"/>
        <w:rPr>
          <w:rFonts w:ascii="Verdana"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w:t>
      </w:r>
      <w:bookmarkStart w:id="18" w:name="_Hlk75633115"/>
      <w:r w:rsidRPr="006C7BAC">
        <w:rPr>
          <w:rFonts w:ascii="Verdana" w:hAnsi="Verdana" w:cs="Arial"/>
          <w:sz w:val="16"/>
          <w:szCs w:val="16"/>
        </w:rPr>
        <w:t xml:space="preserve">Consejo de Estado. Sala de Consulta y Servicio Civil. Concepto </w:t>
      </w:r>
      <w:bookmarkEnd w:id="18"/>
      <w:r w:rsidRPr="006C7BAC">
        <w:rPr>
          <w:rFonts w:ascii="Verdana" w:hAnsi="Verdana" w:cs="Arial"/>
          <w:sz w:val="16"/>
          <w:szCs w:val="16"/>
        </w:rPr>
        <w:t>de 6 de abril de 2006. Radicación Número: 11001-03-06-000-2006-00038-00(1738). Consejero Ponente: Enrique José Arboleda Perdomo:</w:t>
      </w:r>
      <w:r w:rsidRPr="006C7BAC">
        <w:rPr>
          <w:rFonts w:ascii="Verdana" w:eastAsia="Times New Roman" w:hAnsi="Verdana" w:cs="Arial"/>
          <w:bCs/>
          <w:sz w:val="16"/>
          <w:szCs w:val="16"/>
          <w:lang w:eastAsia="x-none"/>
        </w:rPr>
        <w:t xml:space="preserve"> “</w:t>
      </w:r>
      <w:r w:rsidRPr="006C7BAC">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6C7BAC">
        <w:rPr>
          <w:rFonts w:ascii="Verdana" w:eastAsia="Times New Roman" w:hAnsi="Verdana" w:cs="Arial"/>
          <w:bCs/>
          <w:sz w:val="16"/>
          <w:szCs w:val="16"/>
          <w:lang w:eastAsia="x-none"/>
        </w:rPr>
        <w:t>”.</w:t>
      </w:r>
    </w:p>
  </w:footnote>
  <w:footnote w:id="21">
    <w:p w14:paraId="0B243848" w14:textId="77777777" w:rsidR="00AB1573" w:rsidRPr="006C7BAC" w:rsidRDefault="00AB1573" w:rsidP="00AB1573">
      <w:pPr>
        <w:pStyle w:val="Textonotapie"/>
        <w:ind w:right="51" w:firstLine="709"/>
        <w:jc w:val="both"/>
        <w:rPr>
          <w:rFonts w:ascii="Verdana"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Consejo de Estado. Sala de Consulta y Servicio Civil. Concepto de 6 de abril de 2006. Radicación Número: 11001-03-06-000-2006-00038-00(1738). Consejero Ponente: Enrique José Arboleda Perdomo.</w:t>
      </w:r>
    </w:p>
  </w:footnote>
  <w:footnote w:id="22">
    <w:p w14:paraId="078FDFD3" w14:textId="77777777" w:rsidR="00AB1573" w:rsidRPr="006C7BAC" w:rsidRDefault="00AB1573" w:rsidP="00AB1573">
      <w:pPr>
        <w:pStyle w:val="Textonotapie"/>
        <w:ind w:right="51" w:firstLine="709"/>
        <w:jc w:val="both"/>
        <w:rPr>
          <w:rFonts w:ascii="Verdana"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Consejo de Estado. Sala de Consulta y Servicio Civil, </w:t>
      </w:r>
      <w:r w:rsidRPr="006C7BAC">
        <w:rPr>
          <w:rFonts w:ascii="Verdana" w:hAnsi="Verdana" w:cs="Arial"/>
          <w:i/>
          <w:iCs/>
          <w:sz w:val="16"/>
          <w:szCs w:val="16"/>
        </w:rPr>
        <w:t>ibidem</w:t>
      </w:r>
      <w:r w:rsidRPr="006C7BAC">
        <w:rPr>
          <w:rFonts w:ascii="Verdana" w:hAnsi="Verdana" w:cs="Arial"/>
          <w:sz w:val="16"/>
          <w:szCs w:val="16"/>
        </w:rPr>
        <w:t>.</w:t>
      </w:r>
    </w:p>
  </w:footnote>
  <w:footnote w:id="23">
    <w:p w14:paraId="358A67F0" w14:textId="77777777" w:rsidR="00AB1573" w:rsidRPr="006C7BAC" w:rsidRDefault="00AB1573" w:rsidP="00AB1573">
      <w:pPr>
        <w:pStyle w:val="Textonotapie"/>
        <w:ind w:firstLine="708"/>
        <w:jc w:val="both"/>
        <w:rPr>
          <w:rFonts w:ascii="Verdana"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Consejo de Estado. Sala de Consulta y Servicio Civil. Concepto del 18 de febrero 2010. Rad. 11001-03-06-000-2010-00006-00 (1985). C.P. Enrique José Arboleda Perdomo.</w:t>
      </w:r>
    </w:p>
  </w:footnote>
  <w:footnote w:id="24">
    <w:p w14:paraId="19C22434" w14:textId="77777777" w:rsidR="00AB1573" w:rsidRPr="006C7BAC" w:rsidRDefault="00AB1573" w:rsidP="00AB1573">
      <w:pPr>
        <w:pStyle w:val="Textonotapie"/>
        <w:ind w:firstLine="708"/>
        <w:jc w:val="both"/>
        <w:rPr>
          <w:rFonts w:ascii="Verdana" w:hAnsi="Verdana" w:cs="Arial"/>
          <w:sz w:val="16"/>
          <w:szCs w:val="16"/>
        </w:rPr>
      </w:pPr>
      <w:r w:rsidRPr="006C7BAC">
        <w:rPr>
          <w:rStyle w:val="Refdenotaalpie"/>
          <w:rFonts w:ascii="Verdana" w:hAnsi="Verdana" w:cs="Arial"/>
          <w:sz w:val="16"/>
          <w:szCs w:val="16"/>
        </w:rPr>
        <w:footnoteRef/>
      </w:r>
      <w:r w:rsidRPr="006C7BAC">
        <w:rPr>
          <w:rFonts w:ascii="Verdana" w:hAnsi="Verdana" w:cs="Arial"/>
          <w:sz w:val="16"/>
          <w:szCs w:val="16"/>
        </w:rPr>
        <w:t xml:space="preserve"> Corte Constitucional. Sentencia C-1153 de 2005 M.P. Marco Gerardo Monroy Cabra. </w:t>
      </w:r>
    </w:p>
  </w:footnote>
  <w:footnote w:id="25">
    <w:p w14:paraId="47F39357" w14:textId="77777777" w:rsidR="00AB1573" w:rsidRPr="00B2615B" w:rsidRDefault="00AB1573" w:rsidP="00AB1573">
      <w:pPr>
        <w:pStyle w:val="Textonotapie"/>
        <w:ind w:firstLine="708"/>
        <w:jc w:val="both"/>
        <w:rPr>
          <w:rFonts w:ascii="Verdana" w:hAnsi="Verdana"/>
          <w:sz w:val="16"/>
          <w:szCs w:val="16"/>
        </w:rPr>
      </w:pPr>
      <w:r w:rsidRPr="00B2615B">
        <w:rPr>
          <w:rStyle w:val="Refdenotaalpie"/>
          <w:rFonts w:ascii="Verdana" w:hAnsi="Verdana"/>
          <w:sz w:val="16"/>
          <w:szCs w:val="16"/>
        </w:rPr>
        <w:footnoteRef/>
      </w:r>
      <w:r w:rsidRPr="00B2615B">
        <w:rPr>
          <w:rFonts w:ascii="Verdana" w:hAnsi="Verdana"/>
          <w:sz w:val="16"/>
          <w:szCs w:val="16"/>
        </w:rPr>
        <w:t xml:space="preserve"> </w:t>
      </w:r>
      <w:r>
        <w:rPr>
          <w:rFonts w:ascii="Verdana" w:hAnsi="Verdana"/>
          <w:sz w:val="16"/>
          <w:szCs w:val="16"/>
        </w:rPr>
        <w:t>Respecto a la causal de selección abrevida del literal i) del artículo 2.2 de la Ley 1150 de 2007, la doctrina explica que “</w:t>
      </w:r>
      <w:r w:rsidRPr="00B2615B">
        <w:rPr>
          <w:rFonts w:ascii="Verdana" w:hAnsi="Verdana"/>
          <w:sz w:val="16"/>
          <w:szCs w:val="16"/>
        </w:rPr>
        <w:t>El legislador decidió, entonces, para contribuir a la pulcritud de los procedimientos</w:t>
      </w:r>
      <w:r>
        <w:rPr>
          <w:rFonts w:ascii="Verdana" w:hAnsi="Verdana"/>
          <w:sz w:val="16"/>
          <w:szCs w:val="16"/>
        </w:rPr>
        <w:t xml:space="preserve"> </w:t>
      </w:r>
      <w:r w:rsidRPr="00B2615B">
        <w:rPr>
          <w:rFonts w:ascii="Verdana" w:hAnsi="Verdana"/>
          <w:sz w:val="16"/>
          <w:szCs w:val="16"/>
        </w:rPr>
        <w:t>de selección a cargo del sector defensa, abrir la causal en dos. Por</w:t>
      </w:r>
      <w:r>
        <w:rPr>
          <w:rFonts w:ascii="Verdana" w:hAnsi="Verdana"/>
          <w:sz w:val="16"/>
          <w:szCs w:val="16"/>
        </w:rPr>
        <w:t xml:space="preserve"> </w:t>
      </w:r>
      <w:r w:rsidRPr="00B2615B">
        <w:rPr>
          <w:rFonts w:ascii="Verdana" w:hAnsi="Verdana"/>
          <w:sz w:val="16"/>
          <w:szCs w:val="16"/>
        </w:rPr>
        <w:t>un lado, aquellos bienes que si bien son requeridos para la defensa y seguridad</w:t>
      </w:r>
      <w:r>
        <w:rPr>
          <w:rFonts w:ascii="Verdana" w:hAnsi="Verdana"/>
          <w:sz w:val="16"/>
          <w:szCs w:val="16"/>
        </w:rPr>
        <w:t xml:space="preserve"> </w:t>
      </w:r>
      <w:r w:rsidRPr="00B2615B">
        <w:rPr>
          <w:rFonts w:ascii="Verdana" w:hAnsi="Verdana"/>
          <w:sz w:val="16"/>
          <w:szCs w:val="16"/>
        </w:rPr>
        <w:t>del Estado, pueden tener una contratación pública, los cuales sometió al</w:t>
      </w:r>
      <w:r>
        <w:rPr>
          <w:rFonts w:ascii="Verdana" w:hAnsi="Verdana"/>
          <w:sz w:val="16"/>
          <w:szCs w:val="16"/>
        </w:rPr>
        <w:t xml:space="preserve"> </w:t>
      </w:r>
      <w:r w:rsidRPr="00B2615B">
        <w:rPr>
          <w:rFonts w:ascii="Verdana" w:hAnsi="Verdana"/>
          <w:sz w:val="16"/>
          <w:szCs w:val="16"/>
        </w:rPr>
        <w:t>procedimiento especial de selección abreviada, y los que, por su naturaleza,</w:t>
      </w:r>
      <w:r>
        <w:rPr>
          <w:rFonts w:ascii="Verdana" w:hAnsi="Verdana"/>
          <w:sz w:val="16"/>
          <w:szCs w:val="16"/>
        </w:rPr>
        <w:t xml:space="preserve"> </w:t>
      </w:r>
      <w:r w:rsidRPr="00B2615B">
        <w:rPr>
          <w:rFonts w:ascii="Verdana" w:hAnsi="Verdana"/>
          <w:sz w:val="16"/>
          <w:szCs w:val="16"/>
        </w:rPr>
        <w:t>deben ser adquiridos de forma reservada</w:t>
      </w:r>
      <w:r>
        <w:rPr>
          <w:rFonts w:ascii="Verdana" w:hAnsi="Verdana"/>
          <w:sz w:val="16"/>
          <w:szCs w:val="16"/>
        </w:rPr>
        <w:t xml:space="preserve"> […]” (Cfr. ESTRADA SÁNCHEZ, Juan Pablo. Contratación directa, convenios interadministrativos y contratos de cooperación internacional. En: Contratación estatal. </w:t>
      </w:r>
      <w:r w:rsidRPr="00FB259D">
        <w:rPr>
          <w:rFonts w:ascii="Verdana" w:hAnsi="Verdana"/>
          <w:sz w:val="16"/>
          <w:szCs w:val="16"/>
        </w:rPr>
        <w:t>Estudios sobre la reforma</w:t>
      </w:r>
      <w:r>
        <w:rPr>
          <w:rFonts w:ascii="Verdana" w:hAnsi="Verdana"/>
          <w:sz w:val="16"/>
          <w:szCs w:val="16"/>
        </w:rPr>
        <w:t xml:space="preserve"> </w:t>
      </w:r>
      <w:r w:rsidRPr="00FB259D">
        <w:rPr>
          <w:rFonts w:ascii="Verdana" w:hAnsi="Verdana"/>
          <w:sz w:val="16"/>
          <w:szCs w:val="16"/>
        </w:rPr>
        <w:t xml:space="preserve">del </w:t>
      </w:r>
      <w:r>
        <w:rPr>
          <w:rFonts w:ascii="Verdana" w:hAnsi="Verdana"/>
          <w:sz w:val="16"/>
          <w:szCs w:val="16"/>
        </w:rPr>
        <w:t>E</w:t>
      </w:r>
      <w:r w:rsidRPr="00FB259D">
        <w:rPr>
          <w:rFonts w:ascii="Verdana" w:hAnsi="Verdana"/>
          <w:sz w:val="16"/>
          <w:szCs w:val="16"/>
        </w:rPr>
        <w:t xml:space="preserve">statuto </w:t>
      </w:r>
      <w:r>
        <w:rPr>
          <w:rFonts w:ascii="Verdana" w:hAnsi="Verdana"/>
          <w:sz w:val="16"/>
          <w:szCs w:val="16"/>
        </w:rPr>
        <w:t>C</w:t>
      </w:r>
      <w:r w:rsidRPr="00FB259D">
        <w:rPr>
          <w:rFonts w:ascii="Verdana" w:hAnsi="Verdana"/>
          <w:sz w:val="16"/>
          <w:szCs w:val="16"/>
        </w:rPr>
        <w:t>ontractual</w:t>
      </w:r>
      <w:r>
        <w:rPr>
          <w:rFonts w:ascii="Verdana" w:hAnsi="Verdana"/>
          <w:sz w:val="16"/>
          <w:szCs w:val="16"/>
        </w:rPr>
        <w:t xml:space="preserve"> L</w:t>
      </w:r>
      <w:r w:rsidRPr="00FB259D">
        <w:rPr>
          <w:rFonts w:ascii="Verdana" w:hAnsi="Verdana"/>
          <w:sz w:val="16"/>
          <w:szCs w:val="16"/>
        </w:rPr>
        <w:t>ey 1150 de 2007</w:t>
      </w:r>
      <w:r>
        <w:rPr>
          <w:rFonts w:ascii="Verdana" w:hAnsi="Verdana"/>
          <w:sz w:val="16"/>
          <w:szCs w:val="16"/>
        </w:rPr>
        <w:t>. Bogotá: Universidad Externado de Colombia, 2009. p</w:t>
      </w:r>
      <w:r w:rsidRPr="00B2615B">
        <w:rPr>
          <w:rFonts w:ascii="Verdana" w:hAnsi="Verdana"/>
          <w:sz w:val="16"/>
          <w:szCs w:val="16"/>
        </w:rPr>
        <w:t>.</w:t>
      </w:r>
      <w:r>
        <w:rPr>
          <w:rFonts w:ascii="Verdana" w:hAnsi="Verdana"/>
          <w:sz w:val="16"/>
          <w:szCs w:val="16"/>
        </w:rPr>
        <w:t xml:space="preserve"> 309).</w:t>
      </w:r>
    </w:p>
  </w:footnote>
  <w:footnote w:id="26">
    <w:p w14:paraId="66685023" w14:textId="77777777" w:rsidR="00AB1573" w:rsidRPr="00D25821" w:rsidRDefault="00AB1573" w:rsidP="00AB1573">
      <w:pPr>
        <w:pStyle w:val="Textonotapie"/>
        <w:ind w:firstLine="708"/>
        <w:jc w:val="both"/>
        <w:rPr>
          <w:rFonts w:ascii="Verdana" w:hAnsi="Verdana"/>
          <w:sz w:val="16"/>
          <w:szCs w:val="16"/>
        </w:rPr>
      </w:pPr>
      <w:r w:rsidRPr="00D25821">
        <w:rPr>
          <w:rStyle w:val="Refdenotaalpie"/>
          <w:rFonts w:ascii="Verdana" w:hAnsi="Verdana"/>
          <w:sz w:val="16"/>
          <w:szCs w:val="16"/>
        </w:rPr>
        <w:footnoteRef/>
      </w:r>
      <w:r w:rsidRPr="00D25821">
        <w:rPr>
          <w:rFonts w:ascii="Verdana" w:hAnsi="Verdana"/>
          <w:sz w:val="16"/>
          <w:szCs w:val="16"/>
        </w:rPr>
        <w:t xml:space="preserve"> </w:t>
      </w:r>
      <w:r>
        <w:rPr>
          <w:rFonts w:ascii="Verdana" w:hAnsi="Verdana"/>
          <w:sz w:val="16"/>
          <w:szCs w:val="16"/>
        </w:rPr>
        <w:t xml:space="preserve">En lo pertinente, el </w:t>
      </w:r>
      <w:r w:rsidRPr="00D25821">
        <w:rPr>
          <w:rFonts w:ascii="Verdana" w:hAnsi="Verdana"/>
          <w:sz w:val="16"/>
          <w:szCs w:val="16"/>
        </w:rPr>
        <w:t>artículo 78 del Decreto 1510 de 2013</w:t>
      </w:r>
      <w:r>
        <w:rPr>
          <w:rFonts w:ascii="Verdana" w:hAnsi="Verdana"/>
          <w:sz w:val="16"/>
          <w:szCs w:val="16"/>
        </w:rPr>
        <w:t xml:space="preserve"> disponía que “</w:t>
      </w:r>
      <w:r w:rsidRPr="00D25821">
        <w:rPr>
          <w:rFonts w:ascii="Verdana" w:hAnsi="Verdana"/>
          <w:sz w:val="16"/>
          <w:szCs w:val="16"/>
        </w:rPr>
        <w:t>Los siguientes bienes, obras y servicios requieren reserva para su adquisición:</w:t>
      </w:r>
    </w:p>
    <w:p w14:paraId="4AD73F42"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1. Armas, sistemas de armamento y sus repuestos, municiones, elementos para la instrucción de las mismas, manejo, incluyendo los elementos contra motines, torpedos y minas, herramientas y equipos para pruebas y mantenimiento de estos y estas.</w:t>
      </w:r>
    </w:p>
    <w:p w14:paraId="3EA29A13"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2. Equipos optrónicos y de visión nocturna, sus accesorios, repuestos e implementos necesarios para su funcionamiento.</w:t>
      </w:r>
    </w:p>
    <w:p w14:paraId="7EFD8F3C"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3. Redes, sistemas de información y comunicaciones, incluyendo hardware y software, servicios y accesorios, infraestructura para la ciberdefensa y ciberseguridad informática y física, incluyendo la consultoría, el diseño, las metodologías de análisis, implementación y configuración, requeridos para el Sector Defensa y la Dirección Nacional de Inteligencia.</w:t>
      </w:r>
    </w:p>
    <w:p w14:paraId="606CE3CF"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4. Naves, artefactos navales y fluviales, y aeronaves, y cualquier otro equipo para el transporte aéreo, marítimo o fluvial requerido para la defensa nacional, así como sus accesorios, repuestos, elementos de su operación y funcionamiento, combustible y lubricantes.</w:t>
      </w:r>
    </w:p>
    <w:p w14:paraId="4C6C7582"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5. Vehículos militares y policiales de transporte terrestre, marítimo, fluvial y aéreo con sus accesorios repuestos, combustibles, lubricantes y grasas, necesarios para el transporte de personal y material del Sector Defensa, de la Dirección Nacional de Inteligencia.</w:t>
      </w:r>
    </w:p>
    <w:p w14:paraId="77E4D8FC"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6. Servicios de transporte especializado que requieren reserva para garantizar la vida y la integridad de personas protegidas por la Unidad Nacional de Protección.</w:t>
      </w:r>
    </w:p>
    <w:p w14:paraId="216536CE"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7. Material blindado y la adquisición de vehículos para blindar para el Sector Defensa, la Dirección Nacional de Inteligencia y la Unidad Nacional de Protección que requieren reserva.</w:t>
      </w:r>
    </w:p>
    <w:p w14:paraId="42F44F08"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8. Equipos de detección aérea, de superficie y submarinas, sus repuestos y accesorios, equipos de sintonía y calibración para el Sector Defensa.</w:t>
      </w:r>
    </w:p>
    <w:p w14:paraId="3188C9B6"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9. Los bienes, obras y servicios relacionados con la señalización y las ayudas de navegación aérea, marítima y fluvial, con sus accesorios, repuestos y demás insumos para su operación, información técnica tendiente a proteger y salvaguardar los límites y fronteras y garantizar la soberanía, la integridad del territorio nacional y el orden constitucional, así como las compras y los contratos relacionados con proyectos de ciencia y tecnología destinados a establecer la conformación física y morfológica del territorio nacional para su defensa.</w:t>
      </w:r>
    </w:p>
    <w:p w14:paraId="67AF22DB"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10. Los bienes, obras y servicios que tengan por finalidad garantizar la vida e integridad del Comandante Supremo de las Fuerzas Armadas de la República.</w:t>
      </w:r>
    </w:p>
    <w:p w14:paraId="44D9204C"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11. Los bienes y servicios para la administración, conservación, clasificación, ordenación, guarda y sistematización de los archivos generales como de inteligencia que hacen parte del Departamento Administrativo de Seguridad en supresión y de la Dirección Nacional de Inteligencia.</w:t>
      </w:r>
    </w:p>
    <w:p w14:paraId="58B8DD4C"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12. Los bienes y servicios que por razón de su especificación técnica permiten mantener líneas logísticas estandarizadas con equipamiento existente de la Fuerza Pública, sin consideración de marcas u origen.</w:t>
      </w:r>
    </w:p>
    <w:p w14:paraId="470E96B5"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13. Equipo y vestuario con funcionalidades orientadas a la protección personal, balística, nuclear, biológica o química y textiles con acabados funcionales especiales para la confección de vestuario.</w:t>
      </w:r>
    </w:p>
    <w:p w14:paraId="15B87F63"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14. Las obras públicas que tengan relación directa con la defensa y seguridad nacional, inteligencia y contrainteligencia, la seguridad de las instalaciones, la integridad del personal y de las operaciones de la Fuerza Pública y de la Dirección Nacional de Inteligencia, así como las consultorías e interventorías relacionadas con las mismas.</w:t>
      </w:r>
    </w:p>
    <w:p w14:paraId="61FBC670"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15. Los bienes, obras y servicios relacionados con la capacitación, instrucción y entrenamiento del personal de la Fuerza Pública, de la Unidad Nacional de Protección y de la Dirección Nacional de Inteligencia, así como para el diseño de estrategias relacionadas con la defensa, la seguridad nacional, inteligencia y contrainteligencia.</w:t>
      </w:r>
    </w:p>
    <w:p w14:paraId="12F8AFDA"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16. Los bienes, obras y servicios derivados de la compensación a cargo de países y proveedores de los bienes y servicios previstos en el artículo 65 y en el presente artículo. Estos bienes y servicios deben ser adquiridos a través de convenios de cooperación industrial y social, llamados offset, que tienen como propósito incentivar la transferencia de tecnología tanto al sector público como al sector real, así como favorecer el desarrollo industrial y social del país.</w:t>
      </w:r>
    </w:p>
    <w:p w14:paraId="697EE6A8"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17. Los bienes, obras y servicios para garantizar la defensa y seguridad de la infraestructura petrolera, minera, energética, vial, de comunicaciones y para la erradicación de cultivos ilícitos, incluyendo la dotación de las unidades militares comprometidas en esta tarea y los equipos, elementos y servicios necesarios para garantizar su permanencia y operación en las áreas objeto de protección.</w:t>
      </w:r>
    </w:p>
    <w:p w14:paraId="4463982B"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18. Los servicios de mantenimiento de los bienes, obras y servicios señalados en el presente artículo y las interventorías necesarias para la ejecución de los respectivos contratos.</w:t>
      </w:r>
    </w:p>
    <w:p w14:paraId="3BD17AFE" w14:textId="77777777" w:rsidR="00AB1573" w:rsidRPr="00D25821" w:rsidRDefault="00AB1573" w:rsidP="00AB1573">
      <w:pPr>
        <w:pStyle w:val="Textonotapie"/>
        <w:ind w:firstLine="708"/>
        <w:jc w:val="both"/>
        <w:rPr>
          <w:rFonts w:ascii="Verdana" w:hAnsi="Verdana"/>
          <w:sz w:val="16"/>
          <w:szCs w:val="16"/>
        </w:rPr>
      </w:pPr>
      <w:r w:rsidRPr="00D25821">
        <w:rPr>
          <w:rFonts w:ascii="Verdana" w:hAnsi="Verdana"/>
          <w:sz w:val="16"/>
          <w:szCs w:val="16"/>
        </w:rPr>
        <w:t>19. Los equipos de inteligencia, los estudios de confiabilidad y credibilidad para personal de inteligencia y la consultoría e interventoría en materia de inteligencia.</w:t>
      </w:r>
    </w:p>
    <w:p w14:paraId="6E684626" w14:textId="77777777" w:rsidR="00AB1573" w:rsidRPr="00D25821" w:rsidRDefault="00AB1573" w:rsidP="00AB1573">
      <w:pPr>
        <w:pStyle w:val="Textonotapie"/>
        <w:ind w:firstLine="708"/>
        <w:jc w:val="both"/>
        <w:rPr>
          <w:rFonts w:ascii="Verdana" w:hAnsi="Verdana"/>
          <w:sz w:val="16"/>
          <w:szCs w:val="16"/>
          <w:lang w:val="es-CO"/>
        </w:rPr>
      </w:pPr>
      <w:r w:rsidRPr="00D25821">
        <w:rPr>
          <w:rFonts w:ascii="Verdana" w:hAnsi="Verdana"/>
          <w:sz w:val="16"/>
          <w:szCs w:val="16"/>
        </w:rPr>
        <w:t>20. Los bienes y servicios enumerados en el presente artículo contratados con personas extranjeras de derecho público, o con proveedores autorizados por estas</w:t>
      </w:r>
      <w:r>
        <w:rPr>
          <w:rFonts w:ascii="Verdana" w:hAnsi="Verdana"/>
          <w:sz w:val="16"/>
          <w:szCs w:val="16"/>
        </w:rPr>
        <w:t>”</w:t>
      </w:r>
      <w:r w:rsidRPr="00D25821">
        <w:rPr>
          <w:rFonts w:ascii="Verdana" w:hAnsi="Verdana"/>
          <w:sz w:val="16"/>
          <w:szCs w:val="16"/>
        </w:rPr>
        <w:t>.</w:t>
      </w:r>
    </w:p>
  </w:footnote>
  <w:footnote w:id="27">
    <w:p w14:paraId="315824E1" w14:textId="77777777" w:rsidR="00AB1573" w:rsidRPr="00050EC9" w:rsidRDefault="00AB1573" w:rsidP="00AB1573">
      <w:pPr>
        <w:pStyle w:val="Textonotapie"/>
        <w:ind w:firstLine="708"/>
        <w:jc w:val="both"/>
        <w:rPr>
          <w:rFonts w:ascii="Verdana" w:hAnsi="Verdana"/>
          <w:sz w:val="16"/>
          <w:szCs w:val="16"/>
        </w:rPr>
      </w:pPr>
      <w:r w:rsidRPr="00564AC4">
        <w:rPr>
          <w:rStyle w:val="Refdenotaalpie"/>
          <w:rFonts w:ascii="Verdana" w:hAnsi="Verdana"/>
          <w:sz w:val="16"/>
          <w:szCs w:val="16"/>
        </w:rPr>
        <w:footnoteRef/>
      </w:r>
      <w:r w:rsidRPr="00564AC4">
        <w:rPr>
          <w:rFonts w:ascii="Verdana" w:hAnsi="Verdana"/>
          <w:sz w:val="16"/>
          <w:szCs w:val="16"/>
        </w:rPr>
        <w:t xml:space="preserve"> </w:t>
      </w:r>
      <w:r>
        <w:rPr>
          <w:rFonts w:ascii="Verdana" w:hAnsi="Verdana"/>
          <w:sz w:val="16"/>
          <w:szCs w:val="16"/>
        </w:rPr>
        <w:t>E</w:t>
      </w:r>
      <w:r w:rsidRPr="00050EC9">
        <w:rPr>
          <w:rFonts w:ascii="Verdana" w:hAnsi="Verdana"/>
          <w:sz w:val="16"/>
          <w:szCs w:val="16"/>
        </w:rPr>
        <w:t>l artículo 17 del Decreto Ley 2368 de 1974</w:t>
      </w:r>
      <w:r>
        <w:rPr>
          <w:rFonts w:ascii="Verdana" w:hAnsi="Verdana"/>
          <w:sz w:val="16"/>
          <w:szCs w:val="16"/>
        </w:rPr>
        <w:t xml:space="preserve"> dispone que “</w:t>
      </w:r>
      <w:r w:rsidRPr="00050EC9">
        <w:rPr>
          <w:rFonts w:ascii="Verdana" w:hAnsi="Verdana"/>
          <w:sz w:val="16"/>
          <w:szCs w:val="16"/>
        </w:rPr>
        <w:t>No causan impuesto sobre las ventas la importación de maquinaria pesada para industrias básicas, siempre y cuando dicha maquinaria no sea producible en el país. Para efectos del presente artículo, son industrias básicas las de minería, hidrocarburos, química pesada, siderurgia, metalurgia extractiva y generación y transmisión de energía eléctrica.</w:t>
      </w:r>
    </w:p>
    <w:p w14:paraId="1D8B95FF" w14:textId="77777777" w:rsidR="00AB1573" w:rsidRPr="00050EC9" w:rsidRDefault="00AB1573" w:rsidP="00AB1573">
      <w:pPr>
        <w:pStyle w:val="Textonotapie"/>
        <w:ind w:firstLine="708"/>
        <w:jc w:val="both"/>
        <w:rPr>
          <w:rFonts w:ascii="Verdana" w:hAnsi="Verdana"/>
          <w:sz w:val="16"/>
          <w:szCs w:val="16"/>
          <w:lang w:val="es-CO"/>
        </w:rPr>
      </w:pPr>
      <w:r w:rsidRPr="00050EC9">
        <w:rPr>
          <w:rFonts w:ascii="Verdana" w:hAnsi="Verdana"/>
          <w:sz w:val="16"/>
          <w:szCs w:val="16"/>
        </w:rPr>
        <w:t>Tampoco lo causan las importaciones de armas y municiones que se hagan para la defensa nacional</w:t>
      </w:r>
      <w:r>
        <w:rPr>
          <w:rFonts w:ascii="Verdana" w:hAnsi="Verdana"/>
          <w:sz w:val="16"/>
          <w:szCs w:val="16"/>
        </w:rPr>
        <w:t>”.</w:t>
      </w:r>
    </w:p>
  </w:footnote>
  <w:footnote w:id="28">
    <w:p w14:paraId="0F060B57" w14:textId="77777777" w:rsidR="00AB1573" w:rsidRPr="00BF4A70" w:rsidRDefault="00AB1573" w:rsidP="00AB1573">
      <w:pPr>
        <w:pStyle w:val="Textonotapie"/>
        <w:ind w:firstLine="708"/>
        <w:jc w:val="both"/>
        <w:rPr>
          <w:rFonts w:ascii="Verdana" w:hAnsi="Verdana"/>
          <w:sz w:val="16"/>
          <w:szCs w:val="16"/>
        </w:rPr>
      </w:pPr>
      <w:r w:rsidRPr="00564AC4">
        <w:rPr>
          <w:rStyle w:val="Refdenotaalpie"/>
          <w:rFonts w:ascii="Verdana" w:hAnsi="Verdana"/>
          <w:sz w:val="16"/>
          <w:szCs w:val="16"/>
        </w:rPr>
        <w:footnoteRef/>
      </w:r>
      <w:r w:rsidRPr="00564AC4">
        <w:rPr>
          <w:rFonts w:ascii="Verdana" w:hAnsi="Verdana"/>
          <w:sz w:val="16"/>
          <w:szCs w:val="16"/>
        </w:rPr>
        <w:t xml:space="preserve"> </w:t>
      </w:r>
      <w:r>
        <w:rPr>
          <w:rFonts w:ascii="Verdana" w:hAnsi="Verdana"/>
          <w:sz w:val="16"/>
          <w:szCs w:val="16"/>
        </w:rPr>
        <w:t xml:space="preserve">El </w:t>
      </w:r>
      <w:r w:rsidRPr="00050EC9">
        <w:rPr>
          <w:rFonts w:ascii="Verdana" w:hAnsi="Verdana"/>
          <w:sz w:val="16"/>
          <w:szCs w:val="16"/>
        </w:rPr>
        <w:t xml:space="preserve">artículo 259 del </w:t>
      </w:r>
      <w:r>
        <w:rPr>
          <w:rFonts w:ascii="Verdana" w:hAnsi="Verdana"/>
          <w:sz w:val="16"/>
          <w:szCs w:val="16"/>
        </w:rPr>
        <w:t xml:space="preserve">derogado </w:t>
      </w:r>
      <w:r w:rsidRPr="00050EC9">
        <w:rPr>
          <w:rFonts w:ascii="Verdana" w:hAnsi="Verdana"/>
          <w:sz w:val="16"/>
          <w:szCs w:val="16"/>
        </w:rPr>
        <w:t>Decreto Ley 222 de 1983</w:t>
      </w:r>
      <w:r>
        <w:rPr>
          <w:rFonts w:ascii="Verdana" w:hAnsi="Verdana"/>
          <w:sz w:val="16"/>
          <w:szCs w:val="16"/>
        </w:rPr>
        <w:t xml:space="preserve"> disponía que “</w:t>
      </w:r>
      <w:r w:rsidRPr="00BF4A70">
        <w:rPr>
          <w:rFonts w:ascii="Verdana" w:hAnsi="Verdana"/>
          <w:sz w:val="16"/>
          <w:szCs w:val="16"/>
        </w:rPr>
        <w:t>Los contratos que, exclusivamente para la adquisición de material de guerra o reservado, celebren la Nación-Ministerio de Defensa Nacional-, la Industria Militar, el Servicio Aéreo a Territorios Nacionales,-SATENA-y los Fondos Rotatorios de las Fuerzas Armadas y de la Policía Nacional, no requerirán para su validez la licitación pública o privada y se perfeccionarán con el registro presupuestal y la constitución de las garantías a que hubiere lugar. Al mismo procedimiento se someterán los contratos que tengan por objeto asegurar, transportar, mantener o reparar el citado material de guerra.</w:t>
      </w:r>
    </w:p>
    <w:p w14:paraId="75EDC8D1" w14:textId="77777777" w:rsidR="00AB1573" w:rsidRPr="00BF4A70" w:rsidRDefault="00AB1573" w:rsidP="00AB1573">
      <w:pPr>
        <w:pStyle w:val="Textonotapie"/>
        <w:ind w:firstLine="708"/>
        <w:jc w:val="both"/>
        <w:rPr>
          <w:rFonts w:ascii="Verdana" w:hAnsi="Verdana"/>
          <w:sz w:val="16"/>
          <w:szCs w:val="16"/>
        </w:rPr>
      </w:pPr>
      <w:r w:rsidRPr="00BF4A70">
        <w:rPr>
          <w:rFonts w:ascii="Verdana" w:hAnsi="Verdana"/>
          <w:sz w:val="16"/>
          <w:szCs w:val="16"/>
        </w:rPr>
        <w:t>Los contratos aquí previstos de cuantía igual o superior a cincuenta millones de pesos ($ 50.000.000.00) o su equivalente en moneda extranjera, también requerirán para su validez aprobación del Consejo de Ministros y firma del Presidente de la República.</w:t>
      </w:r>
    </w:p>
    <w:p w14:paraId="3E3DED51" w14:textId="77777777" w:rsidR="00AB1573" w:rsidRPr="00050EC9" w:rsidRDefault="00AB1573" w:rsidP="00AB1573">
      <w:pPr>
        <w:pStyle w:val="Textonotapie"/>
        <w:ind w:firstLine="708"/>
        <w:jc w:val="both"/>
        <w:rPr>
          <w:rFonts w:ascii="Verdana" w:hAnsi="Verdana"/>
          <w:sz w:val="16"/>
          <w:szCs w:val="16"/>
          <w:lang w:val="es-CO"/>
        </w:rPr>
      </w:pPr>
      <w:r w:rsidRPr="00BF4A70">
        <w:rPr>
          <w:rFonts w:ascii="Verdana" w:hAnsi="Verdana"/>
          <w:sz w:val="16"/>
          <w:szCs w:val="16"/>
        </w:rPr>
        <w:t>La celebración de contratos de empréstito por parte de las entidades enunciadas en este artículo y para los efectos previstos en el mismo, sólo requerirá autorización previa otorgada mediante resolución ejecutiva originaria del Ministerio de Hacienda y Crédito Público. Los respectivos convenios se perfeccionarán con la firma del Presidente de la República o su delegado, después de su aprobación por el Consejo de Ministros</w:t>
      </w:r>
      <w:r>
        <w:rPr>
          <w:rFonts w:ascii="Verdana" w:hAnsi="Verdana"/>
          <w:sz w:val="16"/>
          <w:szCs w:val="16"/>
        </w:rPr>
        <w:t>”</w:t>
      </w:r>
      <w:r w:rsidRPr="00BF4A70">
        <w:rPr>
          <w:rFonts w:ascii="Verdana" w:hAnsi="Verdana"/>
          <w:sz w:val="16"/>
          <w:szCs w:val="16"/>
        </w:rPr>
        <w:t>.</w:t>
      </w:r>
    </w:p>
  </w:footnote>
  <w:footnote w:id="29">
    <w:p w14:paraId="68C60BC6" w14:textId="77777777" w:rsidR="00AB1573" w:rsidRPr="00EC1BAA" w:rsidRDefault="00AB1573" w:rsidP="00AB1573">
      <w:pPr>
        <w:pStyle w:val="Textonotapie"/>
        <w:ind w:firstLine="708"/>
        <w:jc w:val="both"/>
        <w:rPr>
          <w:rFonts w:ascii="Verdana" w:hAnsi="Verdana"/>
          <w:sz w:val="16"/>
          <w:szCs w:val="16"/>
          <w:lang w:val="es-CO"/>
        </w:rPr>
      </w:pPr>
      <w:r w:rsidRPr="00EC1BAA">
        <w:rPr>
          <w:rStyle w:val="Refdenotaalpie"/>
          <w:rFonts w:ascii="Verdana" w:hAnsi="Verdana"/>
          <w:sz w:val="16"/>
          <w:szCs w:val="16"/>
        </w:rPr>
        <w:footnoteRef/>
      </w:r>
      <w:r w:rsidRPr="00EC1BAA">
        <w:rPr>
          <w:rFonts w:ascii="Verdana" w:hAnsi="Verdana"/>
          <w:sz w:val="16"/>
          <w:szCs w:val="16"/>
        </w:rPr>
        <w:t xml:space="preserve"> </w:t>
      </w:r>
      <w:r>
        <w:rPr>
          <w:rFonts w:ascii="Verdana" w:hAnsi="Verdana"/>
          <w:sz w:val="16"/>
          <w:szCs w:val="16"/>
        </w:rPr>
        <w:t>El artículo 9.6 de la Ley 1437 de 2011 prohíbe a las autoridades públicas “</w:t>
      </w:r>
      <w:r w:rsidRPr="00EC1BAA">
        <w:rPr>
          <w:rFonts w:ascii="Verdana" w:hAnsi="Verdana"/>
          <w:sz w:val="16"/>
          <w:szCs w:val="16"/>
        </w:rPr>
        <w:t>Reproducir actos suspendidos o anulados por la Jurisdicción de lo Contencioso Administrativo cuando no hayan desaparecido los fundamentos legales de la anulación o suspensión</w:t>
      </w:r>
      <w:r>
        <w:rPr>
          <w:rFonts w:ascii="Verdana" w:hAnsi="Verdana"/>
          <w:sz w:val="16"/>
          <w:szCs w:val="16"/>
        </w:rPr>
        <w:t xml:space="preserve">”. Ello se reitera en el artículo 238 </w:t>
      </w:r>
      <w:r w:rsidRPr="00EC1BAA">
        <w:rPr>
          <w:rFonts w:ascii="Verdana" w:hAnsi="Verdana"/>
          <w:i/>
          <w:iCs/>
          <w:sz w:val="16"/>
          <w:szCs w:val="16"/>
        </w:rPr>
        <w:t>ibidem</w:t>
      </w:r>
      <w:r>
        <w:rPr>
          <w:rFonts w:ascii="Verdana" w:hAnsi="Verdana"/>
          <w:sz w:val="16"/>
          <w:szCs w:val="16"/>
        </w:rPr>
        <w:t>, pues “</w:t>
      </w:r>
      <w:r w:rsidRPr="002D75E3">
        <w:rPr>
          <w:rFonts w:ascii="Verdana" w:hAnsi="Verdana"/>
          <w:sz w:val="16"/>
          <w:szCs w:val="16"/>
        </w:rPr>
        <w:t>Ningún acto anulado o suspendido podrá ser reproducido si conserva en esencia las mismas disposiciones anuladas o suspendidas, a menos que con posterioridad a la sentencia o al auto, hayan desaparecido los fundamentos legales de la anulación o suspensión</w:t>
      </w:r>
      <w:r>
        <w:rPr>
          <w:rFonts w:ascii="Verdana" w:hAnsi="Verdana"/>
          <w:sz w:val="16"/>
          <w:szCs w:val="16"/>
        </w:rPr>
        <w:t>”</w:t>
      </w:r>
      <w:r w:rsidRPr="002D75E3">
        <w:rPr>
          <w:rFonts w:ascii="Verdana" w:hAnsi="Verdana"/>
          <w:sz w:val="16"/>
          <w:szCs w:val="16"/>
        </w:rPr>
        <w:t>.</w:t>
      </w:r>
    </w:p>
  </w:footnote>
  <w:footnote w:id="30">
    <w:p w14:paraId="10BE927C" w14:textId="77777777" w:rsidR="00AB1573" w:rsidRPr="002A1671" w:rsidRDefault="00AB1573" w:rsidP="00AB1573">
      <w:pPr>
        <w:pStyle w:val="Textonotapie"/>
        <w:ind w:firstLine="708"/>
        <w:jc w:val="both"/>
        <w:rPr>
          <w:rFonts w:ascii="Verdana" w:hAnsi="Verdana"/>
          <w:sz w:val="15"/>
          <w:szCs w:val="15"/>
          <w:lang w:val="es-CO"/>
        </w:rPr>
      </w:pPr>
      <w:r w:rsidRPr="002A1671">
        <w:rPr>
          <w:rStyle w:val="Refdenotaalpie"/>
          <w:rFonts w:ascii="Verdana" w:hAnsi="Verdana"/>
          <w:sz w:val="15"/>
          <w:szCs w:val="15"/>
        </w:rPr>
        <w:footnoteRef/>
      </w:r>
      <w:r w:rsidRPr="002A1671">
        <w:rPr>
          <w:rFonts w:ascii="Verdana" w:hAnsi="Verdana"/>
          <w:sz w:val="15"/>
          <w:szCs w:val="15"/>
        </w:rPr>
        <w:t xml:space="preserve"> </w:t>
      </w:r>
      <w:r w:rsidRPr="002A1671">
        <w:rPr>
          <w:rFonts w:ascii="Verdana" w:hAnsi="Verdana"/>
          <w:sz w:val="15"/>
          <w:szCs w:val="15"/>
          <w:lang w:val="es-CO"/>
        </w:rPr>
        <w:t>Artículo 18. </w:t>
      </w:r>
      <w:r w:rsidRPr="002A1671">
        <w:rPr>
          <w:rFonts w:ascii="Verdana" w:hAnsi="Verdana"/>
          <w:i/>
          <w:iCs/>
          <w:sz w:val="15"/>
          <w:szCs w:val="15"/>
          <w:lang w:val="es-CO"/>
        </w:rPr>
        <w:t>Información exceptuada por daño de derechos a personas naturales o jurídicas. </w:t>
      </w:r>
      <w:r w:rsidRPr="002A1671">
        <w:rPr>
          <w:rFonts w:ascii="Verdana" w:hAnsi="Verdana"/>
          <w:sz w:val="15"/>
          <w:szCs w:val="15"/>
          <w:lang w:val="es-CO"/>
        </w:rPr>
        <w:t>Es toda aquella información pública clasificada, cuyo acceso podrá ser rechazado o denegado de manera motivada y por escrito, siempre que el acceso pudiere causar un daño a los siguientes derechos: </w:t>
      </w:r>
    </w:p>
    <w:p w14:paraId="7A065392" w14:textId="77777777" w:rsidR="00AB1573" w:rsidRPr="002A1671" w:rsidRDefault="00AB1573" w:rsidP="00AB1573">
      <w:pPr>
        <w:pStyle w:val="Textonotapie"/>
        <w:ind w:firstLine="708"/>
        <w:jc w:val="both"/>
        <w:rPr>
          <w:rFonts w:ascii="Verdana" w:hAnsi="Verdana"/>
          <w:sz w:val="15"/>
          <w:szCs w:val="15"/>
          <w:lang w:val="es-CO"/>
        </w:rPr>
      </w:pPr>
      <w:r w:rsidRPr="002A1671">
        <w:rPr>
          <w:rFonts w:ascii="Verdana" w:hAnsi="Verdana"/>
          <w:sz w:val="15"/>
          <w:szCs w:val="15"/>
          <w:lang w:val="es-CO"/>
        </w:rPr>
        <w:t>a) El derecho de toda persona a la intimidad, bajo las limitaciones propias que impone la condición de servidor público, en concordancia con lo estipulado por el artículo 24 de la Ley 1437 de 2011; </w:t>
      </w:r>
    </w:p>
    <w:p w14:paraId="5FC0EE8A" w14:textId="77777777" w:rsidR="00AB1573" w:rsidRPr="002A1671" w:rsidRDefault="00AB1573" w:rsidP="00AB1573">
      <w:pPr>
        <w:pStyle w:val="Textonotapie"/>
        <w:ind w:firstLine="708"/>
        <w:jc w:val="both"/>
        <w:rPr>
          <w:rFonts w:ascii="Verdana" w:hAnsi="Verdana"/>
          <w:sz w:val="15"/>
          <w:szCs w:val="15"/>
          <w:lang w:val="es-CO"/>
        </w:rPr>
      </w:pPr>
      <w:r w:rsidRPr="002A1671">
        <w:rPr>
          <w:rFonts w:ascii="Verdana" w:hAnsi="Verdana"/>
          <w:sz w:val="15"/>
          <w:szCs w:val="15"/>
          <w:lang w:val="es-CO"/>
        </w:rPr>
        <w:t>b) El derecho de toda persona a la vida, la salud o la seguridad; </w:t>
      </w:r>
    </w:p>
    <w:p w14:paraId="078C108F" w14:textId="77777777" w:rsidR="00AB1573" w:rsidRPr="002A1671" w:rsidRDefault="00AB1573" w:rsidP="00AB1573">
      <w:pPr>
        <w:pStyle w:val="Textonotapie"/>
        <w:ind w:firstLine="708"/>
        <w:jc w:val="both"/>
        <w:rPr>
          <w:rFonts w:ascii="Verdana" w:hAnsi="Verdana"/>
          <w:sz w:val="15"/>
          <w:szCs w:val="15"/>
          <w:lang w:val="es-CO"/>
        </w:rPr>
      </w:pPr>
      <w:r w:rsidRPr="002A1671">
        <w:rPr>
          <w:rFonts w:ascii="Verdana" w:hAnsi="Verdana"/>
          <w:sz w:val="15"/>
          <w:szCs w:val="15"/>
          <w:lang w:val="es-CO"/>
        </w:rPr>
        <w:t>c) Los secretos comerciales, industriales y profesionales, así como los estipulados en el parágrafo del artículo 77 de la Ley 1474 de 2011. </w:t>
      </w:r>
    </w:p>
    <w:p w14:paraId="2363EB0F" w14:textId="77777777" w:rsidR="00AB1573" w:rsidRPr="002A1671" w:rsidRDefault="00AB1573" w:rsidP="00AB1573">
      <w:pPr>
        <w:pStyle w:val="Textonotapie"/>
        <w:ind w:firstLine="708"/>
        <w:jc w:val="both"/>
        <w:rPr>
          <w:rFonts w:ascii="Verdana" w:hAnsi="Verdana"/>
          <w:sz w:val="15"/>
          <w:szCs w:val="15"/>
          <w:lang w:val="es-CO"/>
        </w:rPr>
      </w:pPr>
      <w:r w:rsidRPr="002A1671">
        <w:rPr>
          <w:rFonts w:ascii="Verdana" w:hAnsi="Verdana"/>
          <w:sz w:val="15"/>
          <w:szCs w:val="15"/>
          <w:lang w:val="es-CO"/>
        </w:rPr>
        <w:t>Parágrafo. Estas excepciones tienen una duración ilimitada y no deberán aplicarse cuando la persona natural o jurídica ha consentido en la revelación de sus datos personales o privados o bien cuando es claro que la información fue entregada como parte de aquella información que debe estar bajo el régimen de publicidad aplicable.</w:t>
      </w:r>
    </w:p>
  </w:footnote>
  <w:footnote w:id="31">
    <w:p w14:paraId="4B3D5F43" w14:textId="77777777" w:rsidR="00AB1573" w:rsidRPr="002A1671" w:rsidRDefault="00AB1573" w:rsidP="00AB1573">
      <w:pPr>
        <w:pStyle w:val="Textonotapie"/>
        <w:ind w:firstLine="708"/>
        <w:rPr>
          <w:rFonts w:ascii="Verdana" w:hAnsi="Verdana"/>
          <w:sz w:val="15"/>
          <w:szCs w:val="15"/>
          <w:lang w:val="es-CO"/>
        </w:rPr>
      </w:pPr>
      <w:r w:rsidRPr="002A1671">
        <w:rPr>
          <w:rStyle w:val="Refdenotaalpie"/>
          <w:rFonts w:ascii="Verdana" w:hAnsi="Verdana"/>
          <w:sz w:val="15"/>
          <w:szCs w:val="15"/>
        </w:rPr>
        <w:footnoteRef/>
      </w:r>
      <w:r w:rsidRPr="002A1671">
        <w:rPr>
          <w:rFonts w:ascii="Verdana" w:hAnsi="Verdana"/>
          <w:sz w:val="15"/>
          <w:szCs w:val="15"/>
        </w:rPr>
        <w:t xml:space="preserve"> </w:t>
      </w:r>
      <w:r w:rsidRPr="002A1671">
        <w:rPr>
          <w:rFonts w:ascii="Verdana" w:hAnsi="Verdana"/>
          <w:sz w:val="15"/>
          <w:szCs w:val="15"/>
          <w:lang w:val="es-CO"/>
        </w:rPr>
        <w:t>Artículo 19. </w:t>
      </w:r>
      <w:r w:rsidRPr="002A1671">
        <w:rPr>
          <w:rFonts w:ascii="Verdana" w:hAnsi="Verdana"/>
          <w:i/>
          <w:iCs/>
          <w:sz w:val="15"/>
          <w:szCs w:val="15"/>
          <w:lang w:val="es-CO"/>
        </w:rPr>
        <w:t>Información exceptuada por daño a los intereses públicos. </w:t>
      </w:r>
      <w:r w:rsidRPr="002A1671">
        <w:rPr>
          <w:rFonts w:ascii="Verdana" w:hAnsi="Verdana"/>
          <w:sz w:val="15"/>
          <w:szCs w:val="15"/>
          <w:lang w:val="es-CO"/>
        </w:rPr>
        <w:t>Es toda aquella información pública reservada, cuyo acceso podrá ser rechazado o denegado de manera motivada y por escrito en las siguientes circunstancias, siempre que dicho acceso estuviere expresamente prohibido por una norma legal o constitucional:  </w:t>
      </w:r>
    </w:p>
    <w:p w14:paraId="0C7C6BC1" w14:textId="77777777" w:rsidR="00AB1573" w:rsidRPr="002A1671" w:rsidRDefault="00AB1573" w:rsidP="00AB1573">
      <w:pPr>
        <w:pStyle w:val="Textonotapie"/>
        <w:ind w:firstLine="708"/>
        <w:rPr>
          <w:rFonts w:ascii="Verdana" w:hAnsi="Verdana"/>
          <w:sz w:val="15"/>
          <w:szCs w:val="15"/>
          <w:lang w:val="es-CO"/>
        </w:rPr>
      </w:pPr>
      <w:r w:rsidRPr="002A1671">
        <w:rPr>
          <w:rFonts w:ascii="Verdana" w:hAnsi="Verdana"/>
          <w:sz w:val="15"/>
          <w:szCs w:val="15"/>
          <w:lang w:val="es-CO"/>
        </w:rPr>
        <w:t>a) La defensa y seguridad nacional; </w:t>
      </w:r>
    </w:p>
    <w:p w14:paraId="1C3E797F" w14:textId="77777777" w:rsidR="00AB1573" w:rsidRPr="002A1671" w:rsidRDefault="00AB1573" w:rsidP="00AB1573">
      <w:pPr>
        <w:pStyle w:val="Textonotapie"/>
        <w:ind w:firstLine="708"/>
        <w:rPr>
          <w:rFonts w:ascii="Verdana" w:hAnsi="Verdana"/>
          <w:sz w:val="15"/>
          <w:szCs w:val="15"/>
          <w:lang w:val="es-CO"/>
        </w:rPr>
      </w:pPr>
      <w:r w:rsidRPr="002A1671">
        <w:rPr>
          <w:rFonts w:ascii="Verdana" w:hAnsi="Verdana"/>
          <w:sz w:val="15"/>
          <w:szCs w:val="15"/>
          <w:lang w:val="es-CO"/>
        </w:rPr>
        <w:t>b) La seguridad pública; </w:t>
      </w:r>
    </w:p>
    <w:p w14:paraId="23C7C153" w14:textId="77777777" w:rsidR="00AB1573" w:rsidRPr="002A1671" w:rsidRDefault="00AB1573" w:rsidP="00AB1573">
      <w:pPr>
        <w:pStyle w:val="Textonotapie"/>
        <w:ind w:firstLine="708"/>
        <w:rPr>
          <w:rFonts w:ascii="Verdana" w:hAnsi="Verdana"/>
          <w:sz w:val="15"/>
          <w:szCs w:val="15"/>
          <w:lang w:val="es-CO"/>
        </w:rPr>
      </w:pPr>
      <w:r w:rsidRPr="002A1671">
        <w:rPr>
          <w:rFonts w:ascii="Verdana" w:hAnsi="Verdana"/>
          <w:sz w:val="15"/>
          <w:szCs w:val="15"/>
          <w:lang w:val="es-CO"/>
        </w:rPr>
        <w:t>c) Las relaciones internacionales; </w:t>
      </w:r>
    </w:p>
    <w:p w14:paraId="41504BDE" w14:textId="77777777" w:rsidR="00AB1573" w:rsidRPr="002A1671" w:rsidRDefault="00AB1573" w:rsidP="00AB1573">
      <w:pPr>
        <w:pStyle w:val="Textonotapie"/>
        <w:ind w:firstLine="708"/>
        <w:rPr>
          <w:rFonts w:ascii="Verdana" w:hAnsi="Verdana"/>
          <w:sz w:val="15"/>
          <w:szCs w:val="15"/>
          <w:lang w:val="es-CO"/>
        </w:rPr>
      </w:pPr>
      <w:r w:rsidRPr="002A1671">
        <w:rPr>
          <w:rFonts w:ascii="Verdana" w:hAnsi="Verdana"/>
          <w:sz w:val="15"/>
          <w:szCs w:val="15"/>
          <w:lang w:val="es-CO"/>
        </w:rPr>
        <w:t>d) La prevención, investigación y persecución de los delitos y las faltas disciplinarias, mientras que no se haga efectiva la medida de aseguramiento o se formule pliego de cargos, según el caso; </w:t>
      </w:r>
    </w:p>
    <w:p w14:paraId="407B5EC3" w14:textId="77777777" w:rsidR="00AB1573" w:rsidRPr="002A1671" w:rsidRDefault="00AB1573" w:rsidP="00AB1573">
      <w:pPr>
        <w:pStyle w:val="Textonotapie"/>
        <w:ind w:firstLine="708"/>
        <w:rPr>
          <w:rFonts w:ascii="Verdana" w:hAnsi="Verdana"/>
          <w:sz w:val="15"/>
          <w:szCs w:val="15"/>
          <w:lang w:val="es-CO"/>
        </w:rPr>
      </w:pPr>
      <w:r w:rsidRPr="002A1671">
        <w:rPr>
          <w:rFonts w:ascii="Verdana" w:hAnsi="Verdana"/>
          <w:sz w:val="15"/>
          <w:szCs w:val="15"/>
          <w:lang w:val="es-CO"/>
        </w:rPr>
        <w:t>e) El debido proceso y la igualdad de las partes en los procesos judiciales; </w:t>
      </w:r>
    </w:p>
    <w:p w14:paraId="57EF33E2" w14:textId="77777777" w:rsidR="00AB1573" w:rsidRPr="002A1671" w:rsidRDefault="00AB1573" w:rsidP="00AB1573">
      <w:pPr>
        <w:pStyle w:val="Textonotapie"/>
        <w:ind w:firstLine="708"/>
        <w:rPr>
          <w:rFonts w:ascii="Verdana" w:hAnsi="Verdana"/>
          <w:sz w:val="15"/>
          <w:szCs w:val="15"/>
          <w:lang w:val="es-CO"/>
        </w:rPr>
      </w:pPr>
      <w:r w:rsidRPr="002A1671">
        <w:rPr>
          <w:rFonts w:ascii="Verdana" w:hAnsi="Verdana"/>
          <w:sz w:val="15"/>
          <w:szCs w:val="15"/>
          <w:lang w:val="es-CO"/>
        </w:rPr>
        <w:t>f) La administración efectiva de la justicia; </w:t>
      </w:r>
    </w:p>
    <w:p w14:paraId="0EA6452A" w14:textId="77777777" w:rsidR="00AB1573" w:rsidRPr="002A1671" w:rsidRDefault="00AB1573" w:rsidP="00AB1573">
      <w:pPr>
        <w:pStyle w:val="Textonotapie"/>
        <w:ind w:firstLine="708"/>
        <w:rPr>
          <w:rFonts w:ascii="Verdana" w:hAnsi="Verdana"/>
          <w:sz w:val="15"/>
          <w:szCs w:val="15"/>
          <w:lang w:val="es-CO"/>
        </w:rPr>
      </w:pPr>
      <w:r w:rsidRPr="002A1671">
        <w:rPr>
          <w:rFonts w:ascii="Verdana" w:hAnsi="Verdana"/>
          <w:sz w:val="15"/>
          <w:szCs w:val="15"/>
          <w:lang w:val="es-CO"/>
        </w:rPr>
        <w:t>g) Los derechos de la infancia y la adolescencia; </w:t>
      </w:r>
    </w:p>
    <w:p w14:paraId="1BB80A7E" w14:textId="77777777" w:rsidR="00AB1573" w:rsidRPr="002A1671" w:rsidRDefault="00AB1573" w:rsidP="00AB1573">
      <w:pPr>
        <w:pStyle w:val="Textonotapie"/>
        <w:ind w:firstLine="708"/>
        <w:rPr>
          <w:rFonts w:ascii="Verdana" w:hAnsi="Verdana"/>
          <w:sz w:val="15"/>
          <w:szCs w:val="15"/>
          <w:lang w:val="es-CO"/>
        </w:rPr>
      </w:pPr>
      <w:r w:rsidRPr="002A1671">
        <w:rPr>
          <w:rFonts w:ascii="Verdana" w:hAnsi="Verdana"/>
          <w:sz w:val="15"/>
          <w:szCs w:val="15"/>
          <w:lang w:val="es-CO"/>
        </w:rPr>
        <w:t>h) La estabilidad macroeconómica y financiera del país; </w:t>
      </w:r>
    </w:p>
    <w:p w14:paraId="7E773A05" w14:textId="77777777" w:rsidR="00AB1573" w:rsidRPr="002A1671" w:rsidRDefault="00AB1573" w:rsidP="00AB1573">
      <w:pPr>
        <w:pStyle w:val="Textonotapie"/>
        <w:ind w:firstLine="708"/>
        <w:rPr>
          <w:rFonts w:ascii="Verdana" w:hAnsi="Verdana"/>
          <w:sz w:val="15"/>
          <w:szCs w:val="15"/>
          <w:lang w:val="es-CO"/>
        </w:rPr>
      </w:pPr>
      <w:r w:rsidRPr="002A1671">
        <w:rPr>
          <w:rFonts w:ascii="Verdana" w:hAnsi="Verdana"/>
          <w:sz w:val="15"/>
          <w:szCs w:val="15"/>
          <w:lang w:val="es-CO"/>
        </w:rPr>
        <w:t>i) La salud pública. </w:t>
      </w:r>
    </w:p>
    <w:p w14:paraId="3EF9BF23" w14:textId="77777777" w:rsidR="00AB1573" w:rsidRPr="002A1671" w:rsidRDefault="00AB1573" w:rsidP="00AB1573">
      <w:pPr>
        <w:pStyle w:val="Textonotapie"/>
        <w:ind w:firstLine="708"/>
        <w:rPr>
          <w:rFonts w:ascii="Verdana" w:hAnsi="Verdana"/>
          <w:sz w:val="15"/>
          <w:szCs w:val="15"/>
          <w:lang w:val="es-CO"/>
        </w:rPr>
      </w:pPr>
      <w:r w:rsidRPr="002A1671">
        <w:rPr>
          <w:rFonts w:ascii="Verdana" w:hAnsi="Verdana"/>
          <w:sz w:val="15"/>
          <w:szCs w:val="15"/>
          <w:lang w:val="es-CO"/>
        </w:rPr>
        <w:t>Parágrafo. Se exceptúan también los documentos que contengan las opiniones o puntos de vista que formen parte del proceso deliberativo de los servidores públicos. </w:t>
      </w:r>
    </w:p>
  </w:footnote>
  <w:footnote w:id="32">
    <w:p w14:paraId="0E267C28" w14:textId="77777777" w:rsidR="00AB1573" w:rsidRPr="002A1671" w:rsidRDefault="00AB1573" w:rsidP="00AB1573">
      <w:pPr>
        <w:pStyle w:val="Textonotapie"/>
        <w:ind w:firstLine="709"/>
        <w:jc w:val="both"/>
        <w:rPr>
          <w:rFonts w:ascii="Verdana" w:hAnsi="Verdana"/>
          <w:sz w:val="15"/>
          <w:szCs w:val="15"/>
          <w:lang w:val="es-CO"/>
        </w:rPr>
      </w:pPr>
      <w:r w:rsidRPr="002A1671">
        <w:rPr>
          <w:rStyle w:val="Refdenotaalpie"/>
          <w:sz w:val="15"/>
          <w:szCs w:val="15"/>
        </w:rPr>
        <w:footnoteRef/>
      </w:r>
      <w:r w:rsidRPr="002A1671">
        <w:rPr>
          <w:sz w:val="15"/>
          <w:szCs w:val="15"/>
        </w:rPr>
        <w:t xml:space="preserve"> </w:t>
      </w:r>
      <w:r w:rsidRPr="002A1671">
        <w:rPr>
          <w:rFonts w:ascii="Verdana" w:hAnsi="Verdana"/>
          <w:bCs/>
          <w:sz w:val="15"/>
          <w:szCs w:val="15"/>
          <w:lang w:val="es-CO"/>
        </w:rPr>
        <w:t>Artículo 24. </w:t>
      </w:r>
      <w:r w:rsidRPr="002A1671">
        <w:rPr>
          <w:rFonts w:ascii="Verdana" w:hAnsi="Verdana"/>
          <w:bCs/>
          <w:i/>
          <w:iCs/>
          <w:sz w:val="15"/>
          <w:szCs w:val="15"/>
          <w:lang w:val="es-CO"/>
        </w:rPr>
        <w:t xml:space="preserve">Informaciones y documentos reservados. </w:t>
      </w:r>
      <w:r w:rsidRPr="002A1671">
        <w:rPr>
          <w:rFonts w:ascii="Verdana" w:hAnsi="Verdana"/>
          <w:sz w:val="15"/>
          <w:szCs w:val="15"/>
          <w:lang w:val="es-CO"/>
        </w:rPr>
        <w:t>Solo tendrán carácter reservado las informaciones y documentos expresamente sometidos a reserva por la Constitución Política o la ley, y en especial:</w:t>
      </w:r>
    </w:p>
    <w:p w14:paraId="7575C738" w14:textId="77777777" w:rsidR="00AB1573" w:rsidRPr="002A1671" w:rsidRDefault="00AB1573" w:rsidP="00AB1573">
      <w:pPr>
        <w:pStyle w:val="Textonotapie"/>
        <w:ind w:firstLine="709"/>
        <w:jc w:val="both"/>
        <w:rPr>
          <w:rFonts w:ascii="Verdana" w:hAnsi="Verdana"/>
          <w:sz w:val="15"/>
          <w:szCs w:val="15"/>
          <w:lang w:val="es-CO"/>
        </w:rPr>
      </w:pPr>
      <w:r w:rsidRPr="002A1671">
        <w:rPr>
          <w:rFonts w:ascii="Verdana" w:hAnsi="Verdana"/>
          <w:sz w:val="15"/>
          <w:szCs w:val="15"/>
          <w:lang w:val="es-CO"/>
        </w:rPr>
        <w:t>1. Los relacionados con la defensa o seguridad nacionales.</w:t>
      </w:r>
    </w:p>
    <w:p w14:paraId="4268B47E" w14:textId="77777777" w:rsidR="00AB1573" w:rsidRPr="002A1671" w:rsidRDefault="00AB1573" w:rsidP="00AB1573">
      <w:pPr>
        <w:pStyle w:val="Textonotapie"/>
        <w:ind w:firstLine="709"/>
        <w:jc w:val="both"/>
        <w:rPr>
          <w:rFonts w:ascii="Verdana" w:hAnsi="Verdana"/>
          <w:sz w:val="15"/>
          <w:szCs w:val="15"/>
          <w:lang w:val="es-CO"/>
        </w:rPr>
      </w:pPr>
      <w:r w:rsidRPr="002A1671">
        <w:rPr>
          <w:rFonts w:ascii="Verdana" w:hAnsi="Verdana"/>
          <w:sz w:val="15"/>
          <w:szCs w:val="15"/>
          <w:lang w:val="es-CO"/>
        </w:rPr>
        <w:t>2. Las instrucciones en materia diplomática o sobre negociaciones reservadas.  </w:t>
      </w:r>
    </w:p>
    <w:p w14:paraId="45E11712" w14:textId="77777777" w:rsidR="00AB1573" w:rsidRPr="002A1671" w:rsidRDefault="00AB1573" w:rsidP="00AB1573">
      <w:pPr>
        <w:pStyle w:val="Textonotapie"/>
        <w:ind w:firstLine="709"/>
        <w:jc w:val="both"/>
        <w:rPr>
          <w:rFonts w:ascii="Verdana" w:hAnsi="Verdana"/>
          <w:sz w:val="15"/>
          <w:szCs w:val="15"/>
          <w:lang w:val="es-CO"/>
        </w:rPr>
      </w:pPr>
      <w:r w:rsidRPr="002A1671">
        <w:rPr>
          <w:rFonts w:ascii="Verdana" w:hAnsi="Verdana"/>
          <w:sz w:val="15"/>
          <w:szCs w:val="15"/>
          <w:lang w:val="es-CO"/>
        </w:rPr>
        <w:t>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673EEA73" w14:textId="77777777" w:rsidR="00AB1573" w:rsidRPr="002A1671" w:rsidRDefault="00AB1573" w:rsidP="00AB1573">
      <w:pPr>
        <w:pStyle w:val="Textonotapie"/>
        <w:ind w:firstLine="709"/>
        <w:jc w:val="both"/>
        <w:rPr>
          <w:rFonts w:ascii="Verdana" w:hAnsi="Verdana"/>
          <w:sz w:val="15"/>
          <w:szCs w:val="15"/>
          <w:lang w:val="es-CO"/>
        </w:rPr>
      </w:pPr>
      <w:r w:rsidRPr="002A1671">
        <w:rPr>
          <w:rFonts w:ascii="Verdana" w:hAnsi="Verdana"/>
          <w:sz w:val="15"/>
          <w:szCs w:val="15"/>
          <w:lang w:val="es-CO"/>
        </w:rPr>
        <w:t>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73B5209B" w14:textId="77777777" w:rsidR="00AB1573" w:rsidRPr="002A1671" w:rsidRDefault="00AB1573" w:rsidP="00AB1573">
      <w:pPr>
        <w:pStyle w:val="Textonotapie"/>
        <w:ind w:firstLine="709"/>
        <w:jc w:val="both"/>
        <w:rPr>
          <w:rFonts w:ascii="Verdana" w:hAnsi="Verdana"/>
          <w:sz w:val="15"/>
          <w:szCs w:val="15"/>
          <w:lang w:val="es-CO"/>
        </w:rPr>
      </w:pPr>
      <w:r w:rsidRPr="002A1671">
        <w:rPr>
          <w:rFonts w:ascii="Verdana" w:hAnsi="Verdana"/>
          <w:sz w:val="15"/>
          <w:szCs w:val="15"/>
          <w:lang w:val="es-CO"/>
        </w:rPr>
        <w:t>S. Los datos referentes a la información financiera y comercial, en los términos de la Ley Estatutaria 1266 de 2008.  </w:t>
      </w:r>
    </w:p>
    <w:p w14:paraId="06B0CA8E" w14:textId="77777777" w:rsidR="00AB1573" w:rsidRPr="002A1671" w:rsidRDefault="00AB1573" w:rsidP="00AB1573">
      <w:pPr>
        <w:pStyle w:val="Textonotapie"/>
        <w:ind w:firstLine="709"/>
        <w:jc w:val="both"/>
        <w:rPr>
          <w:rFonts w:ascii="Verdana" w:hAnsi="Verdana"/>
          <w:sz w:val="15"/>
          <w:szCs w:val="15"/>
          <w:lang w:val="es-CO"/>
        </w:rPr>
      </w:pPr>
      <w:r w:rsidRPr="002A1671">
        <w:rPr>
          <w:rFonts w:ascii="Verdana" w:hAnsi="Verdana"/>
          <w:sz w:val="15"/>
          <w:szCs w:val="15"/>
          <w:lang w:val="es-CO"/>
        </w:rPr>
        <w:t>6. Los protegidos por el secreto comercial o industrial, así como los planes estratégicos de las empresas públicas de servicios públicos.  </w:t>
      </w:r>
    </w:p>
    <w:p w14:paraId="475760CF" w14:textId="77777777" w:rsidR="00AB1573" w:rsidRPr="002A1671" w:rsidRDefault="00AB1573" w:rsidP="00AB1573">
      <w:pPr>
        <w:pStyle w:val="Textonotapie"/>
        <w:ind w:firstLine="709"/>
        <w:jc w:val="both"/>
        <w:rPr>
          <w:rFonts w:ascii="Verdana" w:hAnsi="Verdana"/>
          <w:sz w:val="15"/>
          <w:szCs w:val="15"/>
          <w:lang w:val="es-CO"/>
        </w:rPr>
      </w:pPr>
      <w:r w:rsidRPr="002A1671">
        <w:rPr>
          <w:rFonts w:ascii="Verdana" w:hAnsi="Verdana"/>
          <w:sz w:val="15"/>
          <w:szCs w:val="15"/>
          <w:lang w:val="es-CO"/>
        </w:rPr>
        <w:t>7. Los amparados por el secreto profesional.  </w:t>
      </w:r>
    </w:p>
    <w:p w14:paraId="7E29BA04" w14:textId="77777777" w:rsidR="00AB1573" w:rsidRPr="002A1671" w:rsidRDefault="00AB1573" w:rsidP="00AB1573">
      <w:pPr>
        <w:pStyle w:val="Textonotapie"/>
        <w:ind w:firstLine="709"/>
        <w:jc w:val="both"/>
        <w:rPr>
          <w:rFonts w:ascii="Verdana" w:hAnsi="Verdana"/>
          <w:sz w:val="15"/>
          <w:szCs w:val="15"/>
          <w:lang w:val="es-CO"/>
        </w:rPr>
      </w:pPr>
      <w:r w:rsidRPr="002A1671">
        <w:rPr>
          <w:rFonts w:ascii="Verdana" w:hAnsi="Verdana"/>
          <w:sz w:val="15"/>
          <w:szCs w:val="15"/>
          <w:lang w:val="es-CO"/>
        </w:rPr>
        <w:t>8. Los datos genéticos humanos.  </w:t>
      </w:r>
    </w:p>
    <w:p w14:paraId="21D21CF9" w14:textId="77777777" w:rsidR="00AB1573" w:rsidRPr="002A1671" w:rsidRDefault="00AB1573" w:rsidP="00AB1573">
      <w:pPr>
        <w:pStyle w:val="Textonotapie"/>
        <w:ind w:firstLine="709"/>
        <w:jc w:val="both"/>
        <w:rPr>
          <w:sz w:val="15"/>
          <w:szCs w:val="15"/>
          <w:lang w:val="es-CO"/>
        </w:rPr>
      </w:pPr>
      <w:r w:rsidRPr="002A1671">
        <w:rPr>
          <w:rFonts w:ascii="Verdana" w:hAnsi="Verdana"/>
          <w:bCs/>
          <w:sz w:val="15"/>
          <w:szCs w:val="15"/>
          <w:lang w:val="es-CO"/>
        </w:rPr>
        <w:t>Parágrafo.</w:t>
      </w:r>
      <w:r w:rsidRPr="002A1671">
        <w:rPr>
          <w:rFonts w:ascii="Verdana" w:hAnsi="Verdana"/>
          <w:sz w:val="15"/>
          <w:szCs w:val="15"/>
          <w:lang w:val="es-CO"/>
        </w:rPr>
        <w:t>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33">
    <w:p w14:paraId="14AE3721" w14:textId="77777777" w:rsidR="00AB1573" w:rsidRDefault="00AB1573" w:rsidP="00AB1573">
      <w:pPr>
        <w:pStyle w:val="Textonotapie"/>
        <w:ind w:firstLine="708"/>
        <w:jc w:val="both"/>
        <w:rPr>
          <w:rFonts w:ascii="Verdana" w:eastAsia="Calibri" w:hAnsi="Verdana" w:cs="Arial"/>
          <w:color w:val="000000"/>
          <w:sz w:val="16"/>
          <w:szCs w:val="16"/>
        </w:rPr>
      </w:pPr>
      <w:r w:rsidRPr="00D56A94">
        <w:rPr>
          <w:rStyle w:val="Refdenotaalpie"/>
          <w:rFonts w:ascii="Verdana" w:hAnsi="Verdana" w:cs="Arial"/>
          <w:sz w:val="16"/>
          <w:szCs w:val="16"/>
        </w:rPr>
        <w:footnoteRef/>
      </w:r>
      <w:r w:rsidRPr="00D56A94">
        <w:rPr>
          <w:rFonts w:ascii="Verdana" w:hAnsi="Verdana" w:cs="Arial"/>
          <w:sz w:val="16"/>
          <w:szCs w:val="16"/>
        </w:rPr>
        <w:t xml:space="preserve"> </w:t>
      </w:r>
      <w:r>
        <w:rPr>
          <w:rFonts w:ascii="Verdana" w:eastAsia="Calibri" w:hAnsi="Verdana" w:cs="Arial"/>
          <w:color w:val="000000"/>
          <w:sz w:val="16"/>
          <w:szCs w:val="16"/>
        </w:rPr>
        <w:t>L</w:t>
      </w:r>
      <w:r w:rsidRPr="00D56A94">
        <w:rPr>
          <w:rFonts w:ascii="Verdana" w:eastAsia="Calibri" w:hAnsi="Verdana" w:cs="Arial"/>
          <w:color w:val="000000"/>
          <w:sz w:val="16"/>
          <w:szCs w:val="16"/>
        </w:rPr>
        <w:t xml:space="preserve">a Sección Tercera del Consejo de Estado, en sentencia del 27 de marzo de 2008. Exp. 29.393, C. P. Ruth Stella Correa Palacio, consideró: </w:t>
      </w:r>
      <w:r>
        <w:rPr>
          <w:rFonts w:ascii="Verdana" w:eastAsia="Calibri" w:hAnsi="Verdana" w:cs="Arial"/>
          <w:color w:val="000000"/>
          <w:sz w:val="16"/>
          <w:szCs w:val="16"/>
        </w:rPr>
        <w:t>“</w:t>
      </w:r>
      <w:r w:rsidRPr="00D56A94">
        <w:rPr>
          <w:rFonts w:ascii="Verdana" w:eastAsia="Calibri" w:hAnsi="Verdana" w:cs="Arial"/>
          <w:color w:val="000000"/>
          <w:sz w:val="16"/>
          <w:szCs w:val="16"/>
        </w:rPr>
        <w:t xml:space="preserve">[L]a seguridad y la defensa nacional constituyen sin lugar a dudas presupuesto material de la vigencia efectiva del orden constitucional. Sin embargo no existe norma alguna que defina estos vocablos. Se trata de conceptos que tienen distintas significaciones, en tanto varias nociones los informan. En el caso de la seguridad, además, esta acusa cierto grado de relatividad según la </w:t>
      </w:r>
      <w:r>
        <w:rPr>
          <w:rFonts w:ascii="Verdana" w:eastAsia="Calibri" w:hAnsi="Verdana" w:cs="Arial"/>
          <w:color w:val="000000"/>
          <w:sz w:val="16"/>
          <w:szCs w:val="16"/>
        </w:rPr>
        <w:t>‘</w:t>
      </w:r>
      <w:r w:rsidRPr="00D56A94">
        <w:rPr>
          <w:rFonts w:ascii="Verdana" w:eastAsia="Calibri" w:hAnsi="Verdana" w:cs="Arial"/>
          <w:color w:val="000000"/>
          <w:sz w:val="16"/>
          <w:szCs w:val="16"/>
        </w:rPr>
        <w:t>intensidad en los antagonismos</w:t>
      </w:r>
      <w:r>
        <w:rPr>
          <w:rFonts w:ascii="Verdana" w:eastAsia="Calibri" w:hAnsi="Verdana" w:cs="Arial"/>
          <w:color w:val="000000"/>
          <w:sz w:val="16"/>
          <w:szCs w:val="16"/>
        </w:rPr>
        <w:t>’</w:t>
      </w:r>
      <w:r w:rsidRPr="00D56A94">
        <w:rPr>
          <w:rFonts w:ascii="Verdana" w:eastAsia="Calibri" w:hAnsi="Verdana" w:cs="Arial"/>
          <w:color w:val="000000"/>
          <w:sz w:val="16"/>
          <w:szCs w:val="16"/>
        </w:rPr>
        <w:t xml:space="preserve">, se trata igualmente de un </w:t>
      </w:r>
      <w:r>
        <w:rPr>
          <w:rFonts w:ascii="Verdana" w:eastAsia="Calibri" w:hAnsi="Verdana" w:cs="Arial"/>
          <w:color w:val="000000"/>
          <w:sz w:val="16"/>
          <w:szCs w:val="16"/>
        </w:rPr>
        <w:t>‘</w:t>
      </w:r>
      <w:r w:rsidRPr="00D56A94">
        <w:rPr>
          <w:rFonts w:ascii="Verdana" w:eastAsia="Calibri" w:hAnsi="Verdana" w:cs="Arial"/>
          <w:color w:val="000000"/>
          <w:sz w:val="16"/>
          <w:szCs w:val="16"/>
        </w:rPr>
        <w:t>concepto dinámico</w:t>
      </w:r>
      <w:r>
        <w:rPr>
          <w:rFonts w:ascii="Verdana" w:eastAsia="Calibri" w:hAnsi="Verdana" w:cs="Arial"/>
          <w:color w:val="000000"/>
          <w:sz w:val="16"/>
          <w:szCs w:val="16"/>
        </w:rPr>
        <w:t>’</w:t>
      </w:r>
      <w:r w:rsidRPr="00D56A94">
        <w:rPr>
          <w:rFonts w:ascii="Verdana" w:eastAsia="Calibri" w:hAnsi="Verdana" w:cs="Arial"/>
          <w:color w:val="000000"/>
          <w:sz w:val="16"/>
          <w:szCs w:val="16"/>
        </w:rPr>
        <w:t xml:space="preserve"> que impone la actualización de mecanismos para su efectividad y que encuentra significado en los objetivos que se propone alcanzar el Estado en una época determinada. Noción a la vez relativa y coyuntural, merced a que su contenido jurídico no es inmutable sino que necesariamente sufre constantes transformaciones. En tanto </w:t>
      </w:r>
      <w:r>
        <w:rPr>
          <w:rFonts w:ascii="Verdana" w:eastAsia="Calibri" w:hAnsi="Verdana" w:cs="Arial"/>
          <w:color w:val="000000"/>
          <w:sz w:val="16"/>
          <w:szCs w:val="16"/>
        </w:rPr>
        <w:t>‘</w:t>
      </w:r>
      <w:r w:rsidRPr="00D56A94">
        <w:rPr>
          <w:rFonts w:ascii="Verdana" w:eastAsia="Calibri" w:hAnsi="Verdana" w:cs="Arial"/>
          <w:color w:val="000000"/>
          <w:sz w:val="16"/>
          <w:szCs w:val="16"/>
        </w:rPr>
        <w:t>noción ambigua</w:t>
      </w:r>
      <w:r>
        <w:rPr>
          <w:rFonts w:ascii="Verdana" w:eastAsia="Calibri" w:hAnsi="Verdana" w:cs="Arial"/>
          <w:color w:val="000000"/>
          <w:sz w:val="16"/>
          <w:szCs w:val="16"/>
        </w:rPr>
        <w:t>’</w:t>
      </w:r>
      <w:r w:rsidRPr="00D56A94">
        <w:rPr>
          <w:rFonts w:ascii="Verdana" w:eastAsia="Calibri" w:hAnsi="Verdana" w:cs="Arial"/>
          <w:color w:val="000000"/>
          <w:sz w:val="16"/>
          <w:szCs w:val="16"/>
        </w:rPr>
        <w:t xml:space="preserve"> es difícil de definir la seguridad, pues depende del entorno de cada país (en Canadá por ejemplo suele ser asociada a </w:t>
      </w:r>
      <w:r>
        <w:rPr>
          <w:rFonts w:ascii="Verdana" w:eastAsia="Calibri" w:hAnsi="Verdana" w:cs="Arial"/>
          <w:color w:val="000000"/>
          <w:sz w:val="16"/>
          <w:szCs w:val="16"/>
        </w:rPr>
        <w:t>‘</w:t>
      </w:r>
      <w:r w:rsidRPr="00D56A94">
        <w:rPr>
          <w:rFonts w:ascii="Verdana" w:eastAsia="Calibri" w:hAnsi="Verdana" w:cs="Arial"/>
          <w:color w:val="000000"/>
          <w:sz w:val="16"/>
          <w:szCs w:val="16"/>
        </w:rPr>
        <w:t>estabilidad económica</w:t>
      </w:r>
      <w:r>
        <w:rPr>
          <w:rFonts w:ascii="Verdana" w:eastAsia="Calibri" w:hAnsi="Verdana" w:cs="Arial"/>
          <w:color w:val="000000"/>
          <w:sz w:val="16"/>
          <w:szCs w:val="16"/>
        </w:rPr>
        <w:t>’</w:t>
      </w:r>
      <w:r w:rsidRPr="00D56A94">
        <w:rPr>
          <w:rFonts w:ascii="Verdana" w:eastAsia="Calibri" w:hAnsi="Verdana" w:cs="Arial"/>
          <w:color w:val="000000"/>
          <w:sz w:val="16"/>
          <w:szCs w:val="16"/>
        </w:rPr>
        <w:t>). Con todo, y aunque se trate de una noción en constante cambio según cada país, conviene agregar que se trata del concepto base sobre el que se construye la estrategia para proteger a los ciudadanos</w:t>
      </w:r>
      <w:r>
        <w:rPr>
          <w:rFonts w:ascii="Verdana" w:eastAsia="Calibri" w:hAnsi="Verdana" w:cs="Arial"/>
          <w:color w:val="000000"/>
          <w:sz w:val="16"/>
          <w:szCs w:val="16"/>
        </w:rPr>
        <w:t>”</w:t>
      </w:r>
      <w:r w:rsidRPr="00D56A94">
        <w:rPr>
          <w:rFonts w:ascii="Verdana" w:eastAsia="Calibri" w:hAnsi="Verdana" w:cs="Arial"/>
          <w:color w:val="000000"/>
          <w:sz w:val="16"/>
          <w:szCs w:val="16"/>
        </w:rPr>
        <w:t>.</w:t>
      </w:r>
    </w:p>
    <w:p w14:paraId="7A85A914" w14:textId="77777777" w:rsidR="00AB1573" w:rsidRPr="00D56A94" w:rsidRDefault="00AB1573" w:rsidP="00AB1573">
      <w:pPr>
        <w:pStyle w:val="Textonotapie"/>
        <w:ind w:firstLine="708"/>
        <w:jc w:val="both"/>
        <w:rPr>
          <w:rFonts w:ascii="Verdana" w:eastAsia="Calibri" w:hAnsi="Verdana" w:cs="Arial"/>
          <w:color w:val="000000"/>
          <w:sz w:val="16"/>
          <w:szCs w:val="16"/>
        </w:rPr>
      </w:pPr>
    </w:p>
  </w:footnote>
  <w:footnote w:id="34">
    <w:p w14:paraId="74B45807" w14:textId="77777777" w:rsidR="00AB1573" w:rsidRPr="00D56A94" w:rsidRDefault="00AB1573" w:rsidP="00AB1573">
      <w:pPr>
        <w:pStyle w:val="Textonotapie"/>
        <w:ind w:firstLine="709"/>
        <w:jc w:val="both"/>
        <w:rPr>
          <w:rFonts w:ascii="Verdana" w:hAnsi="Verdana" w:cs="Arial"/>
          <w:sz w:val="16"/>
          <w:szCs w:val="16"/>
          <w:lang w:val="es-ES"/>
        </w:rPr>
      </w:pPr>
      <w:r w:rsidRPr="00D56A94">
        <w:rPr>
          <w:rStyle w:val="Refdenotaalpie"/>
          <w:rFonts w:ascii="Verdana" w:hAnsi="Verdana"/>
          <w:sz w:val="16"/>
          <w:szCs w:val="16"/>
        </w:rPr>
        <w:footnoteRef/>
      </w:r>
      <w:r w:rsidRPr="00D56A94">
        <w:rPr>
          <w:rFonts w:ascii="Verdana" w:hAnsi="Verdana" w:cs="Arial"/>
          <w:sz w:val="16"/>
          <w:szCs w:val="16"/>
        </w:rPr>
        <w:t xml:space="preserve"> Consejo de Estado. Sección Tercera. Subsección C. Sentencia del 26 de julio de 2011. Consejero Ponente: Enrique Gil Botero. Expediente: </w:t>
      </w:r>
      <w:r w:rsidRPr="00D56A94">
        <w:rPr>
          <w:rFonts w:ascii="Verdana" w:hAnsi="Verdana" w:cs="Arial"/>
          <w:iCs/>
          <w:sz w:val="16"/>
          <w:szCs w:val="16"/>
        </w:rPr>
        <w:t>17661</w:t>
      </w:r>
      <w:r>
        <w:rPr>
          <w:rFonts w:ascii="Verdana" w:hAnsi="Verdana" w:cs="Arial"/>
          <w:iCs/>
          <w:sz w:val="16"/>
          <w:szCs w:val="16"/>
        </w:rPr>
        <w:t>.</w:t>
      </w:r>
    </w:p>
  </w:footnote>
  <w:footnote w:id="35">
    <w:p w14:paraId="45A1F6CF" w14:textId="77777777" w:rsidR="00AB1573" w:rsidRPr="00D56A94" w:rsidRDefault="00AB1573" w:rsidP="00AB1573">
      <w:pPr>
        <w:pStyle w:val="Textonotapie"/>
        <w:ind w:firstLine="709"/>
        <w:jc w:val="both"/>
        <w:rPr>
          <w:rFonts w:ascii="Verdana" w:hAnsi="Verdana" w:cs="Arial"/>
          <w:sz w:val="16"/>
          <w:szCs w:val="16"/>
          <w:lang w:val="es-ES"/>
        </w:rPr>
      </w:pPr>
      <w:r w:rsidRPr="00D56A94">
        <w:rPr>
          <w:rStyle w:val="Refdenotaalpie"/>
          <w:rFonts w:ascii="Verdana" w:hAnsi="Verdana"/>
          <w:sz w:val="16"/>
          <w:szCs w:val="16"/>
        </w:rPr>
        <w:footnoteRef/>
      </w:r>
      <w:r w:rsidRPr="00D56A94">
        <w:rPr>
          <w:rFonts w:ascii="Verdana" w:hAnsi="Verdana" w:cs="Arial"/>
          <w:sz w:val="16"/>
          <w:szCs w:val="16"/>
        </w:rPr>
        <w:t xml:space="preserve"> </w:t>
      </w:r>
      <w:r w:rsidRPr="00D56A94">
        <w:rPr>
          <w:rFonts w:ascii="Verdana" w:hAnsi="Verdana" w:cs="Arial"/>
          <w:sz w:val="16"/>
          <w:szCs w:val="16"/>
          <w:lang w:val="es-ES"/>
        </w:rPr>
        <w:t xml:space="preserve">Consejo de Estado. Sección Tercera. Sala Plena. Sentencia del 23 de julio de 2015. Consejero Ponente: Hernán Andrade Rincón. Expediente: </w:t>
      </w:r>
      <w:r w:rsidRPr="00D56A94">
        <w:rPr>
          <w:rFonts w:ascii="Verdana" w:hAnsi="Verdana" w:cs="Arial"/>
          <w:spacing w:val="4"/>
          <w:sz w:val="16"/>
          <w:szCs w:val="16"/>
          <w:lang w:val="es-ES_tradnl"/>
        </w:rPr>
        <w:t>36805.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522F"/>
    <w:rsid w:val="00116940"/>
    <w:rsid w:val="00125105"/>
    <w:rsid w:val="00127233"/>
    <w:rsid w:val="0014242F"/>
    <w:rsid w:val="0015699B"/>
    <w:rsid w:val="001A33BF"/>
    <w:rsid w:val="001E4177"/>
    <w:rsid w:val="001F0B24"/>
    <w:rsid w:val="001F7DC6"/>
    <w:rsid w:val="0022400B"/>
    <w:rsid w:val="002421BB"/>
    <w:rsid w:val="0025796E"/>
    <w:rsid w:val="0026315F"/>
    <w:rsid w:val="002707A2"/>
    <w:rsid w:val="002951A0"/>
    <w:rsid w:val="002962BC"/>
    <w:rsid w:val="002A093D"/>
    <w:rsid w:val="002A0DD0"/>
    <w:rsid w:val="002A49AC"/>
    <w:rsid w:val="002A64FD"/>
    <w:rsid w:val="002C7A84"/>
    <w:rsid w:val="002E2BF8"/>
    <w:rsid w:val="002E4FD9"/>
    <w:rsid w:val="002F482F"/>
    <w:rsid w:val="0030657A"/>
    <w:rsid w:val="00322A85"/>
    <w:rsid w:val="00324168"/>
    <w:rsid w:val="00330834"/>
    <w:rsid w:val="003448F4"/>
    <w:rsid w:val="00350544"/>
    <w:rsid w:val="00374D66"/>
    <w:rsid w:val="00374F5E"/>
    <w:rsid w:val="00377E3E"/>
    <w:rsid w:val="003A779E"/>
    <w:rsid w:val="003C37E1"/>
    <w:rsid w:val="003D0F4D"/>
    <w:rsid w:val="003D5B0D"/>
    <w:rsid w:val="003E0499"/>
    <w:rsid w:val="003E4F80"/>
    <w:rsid w:val="003E6439"/>
    <w:rsid w:val="003F3941"/>
    <w:rsid w:val="00406575"/>
    <w:rsid w:val="00414C74"/>
    <w:rsid w:val="00417021"/>
    <w:rsid w:val="0042722E"/>
    <w:rsid w:val="0044528D"/>
    <w:rsid w:val="00466E39"/>
    <w:rsid w:val="004A1847"/>
    <w:rsid w:val="004A305D"/>
    <w:rsid w:val="004A6A6C"/>
    <w:rsid w:val="004F21C4"/>
    <w:rsid w:val="004F685F"/>
    <w:rsid w:val="005139E6"/>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47BED"/>
    <w:rsid w:val="00867F95"/>
    <w:rsid w:val="008843B6"/>
    <w:rsid w:val="00891928"/>
    <w:rsid w:val="008A446D"/>
    <w:rsid w:val="008B25F1"/>
    <w:rsid w:val="008D180B"/>
    <w:rsid w:val="008F0EA7"/>
    <w:rsid w:val="00923EEF"/>
    <w:rsid w:val="00934025"/>
    <w:rsid w:val="009419F9"/>
    <w:rsid w:val="0095685E"/>
    <w:rsid w:val="00961B09"/>
    <w:rsid w:val="00964A84"/>
    <w:rsid w:val="00965334"/>
    <w:rsid w:val="0097093E"/>
    <w:rsid w:val="009A0DFA"/>
    <w:rsid w:val="009A1C6F"/>
    <w:rsid w:val="009B2D26"/>
    <w:rsid w:val="009C71FA"/>
    <w:rsid w:val="009C72E7"/>
    <w:rsid w:val="009C7F7E"/>
    <w:rsid w:val="009D3058"/>
    <w:rsid w:val="009E6FFC"/>
    <w:rsid w:val="009F3A13"/>
    <w:rsid w:val="00A122D3"/>
    <w:rsid w:val="00A14468"/>
    <w:rsid w:val="00A17F13"/>
    <w:rsid w:val="00A20739"/>
    <w:rsid w:val="00A23AF9"/>
    <w:rsid w:val="00A33C78"/>
    <w:rsid w:val="00A75B7F"/>
    <w:rsid w:val="00AB0ADB"/>
    <w:rsid w:val="00AB1573"/>
    <w:rsid w:val="00B00C0E"/>
    <w:rsid w:val="00B01B1A"/>
    <w:rsid w:val="00B0381D"/>
    <w:rsid w:val="00B44A47"/>
    <w:rsid w:val="00B72CD3"/>
    <w:rsid w:val="00B72FFF"/>
    <w:rsid w:val="00BA6726"/>
    <w:rsid w:val="00BC3D36"/>
    <w:rsid w:val="00BD54A6"/>
    <w:rsid w:val="00BD7F72"/>
    <w:rsid w:val="00BF7425"/>
    <w:rsid w:val="00C04FB3"/>
    <w:rsid w:val="00C11D8B"/>
    <w:rsid w:val="00C15139"/>
    <w:rsid w:val="00C3126E"/>
    <w:rsid w:val="00C330EB"/>
    <w:rsid w:val="00C50D69"/>
    <w:rsid w:val="00C5365C"/>
    <w:rsid w:val="00C754BE"/>
    <w:rsid w:val="00C76B1C"/>
    <w:rsid w:val="00C925AC"/>
    <w:rsid w:val="00CB6357"/>
    <w:rsid w:val="00CC1B26"/>
    <w:rsid w:val="00D12C0E"/>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62BD"/>
    <w:rsid w:val="00E86B2C"/>
    <w:rsid w:val="00E8772A"/>
    <w:rsid w:val="00E90F6B"/>
    <w:rsid w:val="00E92C27"/>
    <w:rsid w:val="00EA0E3D"/>
    <w:rsid w:val="00EA2D1C"/>
    <w:rsid w:val="00EC38A7"/>
    <w:rsid w:val="00EE1AA8"/>
    <w:rsid w:val="00EE6981"/>
    <w:rsid w:val="00F23FEA"/>
    <w:rsid w:val="00F31EDC"/>
    <w:rsid w:val="00F4371B"/>
    <w:rsid w:val="00F462B3"/>
    <w:rsid w:val="00F5664F"/>
    <w:rsid w:val="00F666C4"/>
    <w:rsid w:val="00F76AFC"/>
    <w:rsid w:val="00F8740A"/>
    <w:rsid w:val="00FA47C0"/>
    <w:rsid w:val="00FB5DD1"/>
    <w:rsid w:val="00FC2B5D"/>
    <w:rsid w:val="00FE1A22"/>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0BB5D8B"/>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B157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AB1573"/>
    <w:rPr>
      <w:rFonts w:ascii="Geomanist Light" w:hAnsi="Geomanist Light"/>
      <w:lang w:val="es-ES"/>
    </w:rPr>
  </w:style>
  <w:style w:type="character" w:customStyle="1" w:styleId="s15">
    <w:name w:val="s15"/>
    <w:basedOn w:val="Fuentedeprrafopredeter"/>
    <w:rsid w:val="00AB1573"/>
  </w:style>
  <w:style w:type="character" w:customStyle="1" w:styleId="NormalWebCar">
    <w:name w:val="Normal (Web) Car"/>
    <w:link w:val="NormalWeb"/>
    <w:uiPriority w:val="99"/>
    <w:locked/>
    <w:rsid w:val="00AB1573"/>
    <w:rPr>
      <w:rFonts w:ascii="Times New Roman" w:eastAsia="Times New Roman" w:hAnsi="Times New Roman" w:cs="Times New Roman"/>
      <w:sz w:val="24"/>
      <w:szCs w:val="24"/>
      <w:lang w:eastAsia="es-CO"/>
    </w:rPr>
  </w:style>
  <w:style w:type="character" w:customStyle="1" w:styleId="baj">
    <w:name w:val="b_aj"/>
    <w:basedOn w:val="Fuentedeprrafopredeter"/>
    <w:rsid w:val="00AB1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mailto:ventanilladeradicacion@colombiacompra.gov.co"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3A57AF-BAA0-4553-92F9-DA90CAB11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34</Pages>
  <Words>10766</Words>
  <Characters>58033</Characters>
  <Application>Microsoft Office Word</Application>
  <DocSecurity>0</DocSecurity>
  <Lines>1094</Lines>
  <Paragraphs>186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2026-03-04T02:13:00Z</dcterms:created>
  <dcterms:modified xsi:type="dcterms:W3CDTF">2026-03-05T00:14:00Z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