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E90EB" w14:textId="77777777" w:rsidR="00022000" w:rsidRPr="00B13D23" w:rsidRDefault="00022000" w:rsidP="00022000">
      <w:pPr>
        <w:spacing w:after="0" w:line="240" w:lineRule="auto"/>
        <w:rPr>
          <w:rFonts w:ascii="Verdana" w:eastAsia="Calibri" w:hAnsi="Verdana" w:cs="Arial"/>
          <w:b/>
          <w:lang w:val="es-ES_tradnl" w:eastAsia="es-ES_tradnl"/>
        </w:rPr>
      </w:pPr>
      <w:r w:rsidRPr="00B13D23">
        <w:rPr>
          <w:rFonts w:ascii="Verdana" w:eastAsia="Calibri" w:hAnsi="Verdana" w:cs="Arial"/>
          <w:b/>
          <w:lang w:val="es-ES_tradnl" w:eastAsia="es-ES_tradnl"/>
        </w:rPr>
        <w:t xml:space="preserve">CESIÓN DEL CONTRATO ESTATAL – Noción </w:t>
      </w:r>
    </w:p>
    <w:p w14:paraId="38AA4C88" w14:textId="77777777" w:rsidR="00022000" w:rsidRPr="00B13D23" w:rsidRDefault="00022000" w:rsidP="00022000">
      <w:pPr>
        <w:spacing w:after="0" w:line="240" w:lineRule="auto"/>
        <w:rPr>
          <w:rFonts w:ascii="Verdana" w:eastAsia="Calibri" w:hAnsi="Verdana" w:cs="Arial"/>
          <w:bCs/>
          <w:sz w:val="20"/>
          <w:szCs w:val="20"/>
          <w:lang w:val="es-ES_tradnl" w:eastAsia="es-ES_tradnl"/>
        </w:rPr>
      </w:pPr>
    </w:p>
    <w:p w14:paraId="7846C9FB" w14:textId="77777777" w:rsidR="00022000" w:rsidRPr="00B13D23" w:rsidRDefault="00022000" w:rsidP="00022000">
      <w:pPr>
        <w:spacing w:after="0" w:line="240" w:lineRule="auto"/>
        <w:jc w:val="both"/>
        <w:rPr>
          <w:rFonts w:ascii="Verdana" w:eastAsia="Calibri" w:hAnsi="Verdana" w:cs="Arial"/>
          <w:color w:val="000000" w:themeColor="text1"/>
          <w:sz w:val="20"/>
          <w:szCs w:val="20"/>
        </w:rPr>
      </w:pPr>
      <w:r w:rsidRPr="00B13D23">
        <w:rPr>
          <w:rFonts w:ascii="Verdana" w:eastAsia="Calibri" w:hAnsi="Verdana" w:cs="Arial"/>
          <w:color w:val="000000" w:themeColor="text1"/>
          <w:sz w:val="20"/>
          <w:szCs w:val="20"/>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B13D23">
        <w:rPr>
          <w:rFonts w:ascii="Verdana" w:eastAsia="Calibri" w:hAnsi="Verdana" w:cs="Arial"/>
          <w:color w:val="000000" w:themeColor="text1"/>
          <w:sz w:val="20"/>
          <w:szCs w:val="20"/>
        </w:rPr>
        <w:t>subentra</w:t>
      </w:r>
      <w:proofErr w:type="spellEnd"/>
      <w:r w:rsidRPr="00B13D23">
        <w:rPr>
          <w:rFonts w:ascii="Verdana" w:eastAsia="Calibri" w:hAnsi="Verdana" w:cs="Arial"/>
          <w:color w:val="000000" w:themeColor="text1"/>
          <w:sz w:val="20"/>
          <w:szCs w:val="20"/>
        </w:rPr>
        <w:t xml:space="preserve"> en la relación con el cedido […]”. Por otro, “[…] es la transferencia de la posición contractual de un contratante a otro sujeto, que le </w:t>
      </w:r>
      <w:proofErr w:type="spellStart"/>
      <w:r w:rsidRPr="00B13D23">
        <w:rPr>
          <w:rFonts w:ascii="Verdana" w:eastAsia="Calibri" w:hAnsi="Verdana" w:cs="Arial"/>
          <w:color w:val="000000" w:themeColor="text1"/>
          <w:sz w:val="20"/>
          <w:szCs w:val="20"/>
        </w:rPr>
        <w:t>subentra</w:t>
      </w:r>
      <w:proofErr w:type="spellEnd"/>
      <w:r w:rsidRPr="00B13D23">
        <w:rPr>
          <w:rFonts w:ascii="Verdana" w:eastAsia="Calibri" w:hAnsi="Verdana" w:cs="Arial"/>
          <w:color w:val="000000" w:themeColor="text1"/>
          <w:sz w:val="20"/>
          <w:szCs w:val="20"/>
        </w:rPr>
        <w:t xml:space="preserve"> en la relación con la contraparte […]”. De esta manera, </w:t>
      </w:r>
      <w:r w:rsidRPr="00B13D23">
        <w:rPr>
          <w:rFonts w:ascii="Verdana" w:hAnsi="Verdana" w:cs="Arial"/>
          <w:color w:val="000000" w:themeColor="text1"/>
          <w:sz w:val="20"/>
          <w:szCs w:val="20"/>
        </w:rPr>
        <w:t xml:space="preserve">concurren tres (3) sujetos: i) el cedente, esto es, el contratista inicial; ii) el cesionario, es decir, quien asume total o parcialmente los derechos y obligaciones de este último; y iii) el cedido que, en el caso de los contratos estatales, sería la entidad que suscribió el contrato. </w:t>
      </w:r>
      <w:r w:rsidRPr="00B13D23">
        <w:rPr>
          <w:rFonts w:ascii="Verdana" w:eastAsia="Calibri" w:hAnsi="Verdana" w:cs="Arial"/>
          <w:color w:val="000000" w:themeColor="text1"/>
          <w:sz w:val="20"/>
          <w:szCs w:val="20"/>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4EBF9473" w14:textId="77777777" w:rsidR="00022000" w:rsidRPr="00B13D23" w:rsidRDefault="00022000" w:rsidP="00022000">
      <w:pPr>
        <w:spacing w:after="0" w:line="240" w:lineRule="auto"/>
        <w:jc w:val="both"/>
        <w:rPr>
          <w:rFonts w:ascii="Verdana" w:eastAsia="Calibri" w:hAnsi="Verdana" w:cs="Arial"/>
          <w:color w:val="000000" w:themeColor="text1"/>
          <w:sz w:val="20"/>
          <w:szCs w:val="20"/>
        </w:rPr>
      </w:pPr>
    </w:p>
    <w:p w14:paraId="26AED9C5" w14:textId="77777777" w:rsidR="00022000" w:rsidRPr="00B13D23" w:rsidRDefault="00022000" w:rsidP="00022000">
      <w:pPr>
        <w:spacing w:after="0" w:line="240" w:lineRule="auto"/>
        <w:jc w:val="both"/>
        <w:rPr>
          <w:rFonts w:ascii="Verdana" w:eastAsia="Calibri" w:hAnsi="Verdana" w:cs="Arial"/>
          <w:b/>
          <w:lang w:val="es-ES_tradnl" w:eastAsia="es-ES_tradnl"/>
        </w:rPr>
      </w:pPr>
      <w:r w:rsidRPr="00B13D23">
        <w:rPr>
          <w:rFonts w:ascii="Verdana" w:eastAsia="Calibri" w:hAnsi="Verdana" w:cs="Arial"/>
          <w:b/>
          <w:lang w:val="es-ES_tradnl" w:eastAsia="es-ES_tradnl"/>
        </w:rPr>
        <w:t>CESIÓN DEL CONTRATO ESTATAL – Régimen jurídico aplicable – EGCAP – Código de comercio</w:t>
      </w:r>
    </w:p>
    <w:p w14:paraId="1CE513D0" w14:textId="77777777" w:rsidR="00022000" w:rsidRPr="00B13D23" w:rsidRDefault="00022000" w:rsidP="00022000">
      <w:pPr>
        <w:spacing w:after="0" w:line="240" w:lineRule="auto"/>
        <w:jc w:val="both"/>
        <w:rPr>
          <w:rFonts w:ascii="Verdana" w:eastAsia="Calibri" w:hAnsi="Verdana" w:cs="Arial"/>
          <w:bCs/>
          <w:sz w:val="20"/>
          <w:szCs w:val="20"/>
          <w:lang w:val="es-ES_tradnl" w:eastAsia="es-ES_tradnl"/>
        </w:rPr>
      </w:pPr>
    </w:p>
    <w:p w14:paraId="1B35E3B6" w14:textId="77777777" w:rsidR="00022000" w:rsidRPr="00B13D23" w:rsidRDefault="00022000" w:rsidP="00022000">
      <w:pPr>
        <w:spacing w:after="0" w:line="240" w:lineRule="auto"/>
        <w:jc w:val="both"/>
        <w:rPr>
          <w:rFonts w:ascii="Verdana" w:eastAsia="Calibri" w:hAnsi="Verdana" w:cs="Arial"/>
          <w:color w:val="000000" w:themeColor="text1"/>
          <w:sz w:val="20"/>
          <w:szCs w:val="20"/>
        </w:rPr>
      </w:pPr>
      <w:r w:rsidRPr="00B13D23">
        <w:rPr>
          <w:rFonts w:ascii="Verdana" w:eastAsia="Calibri" w:hAnsi="Verdana" w:cs="Arial"/>
          <w:color w:val="000000" w:themeColor="text1"/>
          <w:sz w:val="20"/>
          <w:szCs w:val="20"/>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ii) corresponderán como actos jurídicos bilaterales generadores de obligaciones, entre otros, a los previstos en el derecho privado, en los términos del artículo 32 </w:t>
      </w:r>
      <w:r w:rsidRPr="00B13D23">
        <w:rPr>
          <w:rFonts w:ascii="Verdana" w:eastAsia="Calibri" w:hAnsi="Verdana" w:cs="Arial"/>
          <w:i/>
          <w:iCs/>
          <w:color w:val="000000" w:themeColor="text1"/>
          <w:sz w:val="20"/>
          <w:szCs w:val="20"/>
        </w:rPr>
        <w:t>ibidem</w:t>
      </w:r>
      <w:r w:rsidRPr="00B13D23">
        <w:rPr>
          <w:rFonts w:ascii="Verdana" w:eastAsia="Calibri" w:hAnsi="Verdana" w:cs="Arial"/>
          <w:color w:val="000000" w:themeColor="text1"/>
          <w:sz w:val="20"/>
          <w:szCs w:val="20"/>
        </w:rPr>
        <w:t xml:space="preserve">; y iii) contendrán las estipulaciones que, de acuerdo con las normas civiles, comerciales y las previstas en esta ley, correspondan a su esencia y naturaleza, conforme a lo dispuesto por el artículo 40 </w:t>
      </w:r>
      <w:r w:rsidRPr="00B13D23">
        <w:rPr>
          <w:rFonts w:ascii="Verdana" w:eastAsia="Calibri" w:hAnsi="Verdana" w:cs="Arial"/>
          <w:i/>
          <w:iCs/>
          <w:color w:val="000000" w:themeColor="text1"/>
          <w:sz w:val="20"/>
          <w:szCs w:val="20"/>
        </w:rPr>
        <w:t>ibidem</w:t>
      </w:r>
      <w:r w:rsidRPr="00B13D23">
        <w:rPr>
          <w:rFonts w:ascii="Verdana" w:eastAsia="Calibri" w:hAnsi="Verdana" w:cs="Arial"/>
          <w:color w:val="000000" w:themeColor="text1"/>
          <w:sz w:val="20"/>
          <w:szCs w:val="20"/>
        </w:rPr>
        <w:t xml:space="preserve">. </w:t>
      </w:r>
    </w:p>
    <w:p w14:paraId="7D6D8C17" w14:textId="77777777" w:rsidR="00022000" w:rsidRPr="00B13D23" w:rsidRDefault="00022000" w:rsidP="00022000">
      <w:pPr>
        <w:spacing w:after="0" w:line="240" w:lineRule="auto"/>
        <w:jc w:val="both"/>
        <w:rPr>
          <w:rFonts w:ascii="Verdana" w:eastAsia="Calibri" w:hAnsi="Verdana" w:cs="Arial"/>
          <w:color w:val="000000" w:themeColor="text1"/>
          <w:sz w:val="20"/>
          <w:szCs w:val="20"/>
        </w:rPr>
      </w:pPr>
    </w:p>
    <w:p w14:paraId="6EA4396D" w14:textId="77777777" w:rsidR="00022000" w:rsidRPr="00B13D23" w:rsidRDefault="00022000" w:rsidP="00022000">
      <w:pPr>
        <w:spacing w:after="0" w:line="240" w:lineRule="auto"/>
        <w:jc w:val="both"/>
        <w:rPr>
          <w:rFonts w:ascii="Verdana" w:eastAsia="Calibri" w:hAnsi="Verdana" w:cs="Arial"/>
          <w:b/>
          <w:lang w:val="es-ES_tradnl" w:eastAsia="es-ES_tradnl"/>
        </w:rPr>
      </w:pPr>
      <w:r w:rsidRPr="00B13D23">
        <w:rPr>
          <w:rFonts w:ascii="Verdana" w:eastAsia="Calibri" w:hAnsi="Verdana" w:cs="Arial"/>
          <w:b/>
          <w:lang w:val="es-ES_tradnl" w:eastAsia="es-ES_tradnl"/>
        </w:rPr>
        <w:t>CESIÓN DEL CONTRATO ESTATAL – Requisitos – Restricciones</w:t>
      </w:r>
    </w:p>
    <w:p w14:paraId="2D3BFA2B" w14:textId="77777777" w:rsidR="00022000" w:rsidRPr="00B13D23" w:rsidRDefault="00022000" w:rsidP="00022000">
      <w:pPr>
        <w:spacing w:after="0" w:line="240" w:lineRule="auto"/>
        <w:jc w:val="both"/>
        <w:rPr>
          <w:rFonts w:ascii="Verdana" w:eastAsia="Calibri" w:hAnsi="Verdana" w:cs="Arial"/>
          <w:color w:val="000000" w:themeColor="text1"/>
          <w:sz w:val="20"/>
          <w:szCs w:val="20"/>
        </w:rPr>
      </w:pPr>
    </w:p>
    <w:p w14:paraId="70F908ED" w14:textId="77777777" w:rsidR="00022000" w:rsidRPr="00B13D23" w:rsidRDefault="00022000" w:rsidP="00022000">
      <w:pPr>
        <w:tabs>
          <w:tab w:val="left" w:pos="709"/>
        </w:tabs>
        <w:spacing w:after="0" w:line="240" w:lineRule="auto"/>
        <w:jc w:val="both"/>
        <w:rPr>
          <w:rFonts w:ascii="Verdana" w:eastAsia="Calibri" w:hAnsi="Verdana" w:cs="Arial"/>
          <w:color w:val="000000" w:themeColor="text1"/>
          <w:sz w:val="20"/>
          <w:szCs w:val="20"/>
        </w:rPr>
      </w:pPr>
      <w:r w:rsidRPr="00B13D23">
        <w:rPr>
          <w:rFonts w:ascii="Verdana" w:eastAsia="Calibri" w:hAnsi="Verdana" w:cs="Arial"/>
          <w:color w:val="000000" w:themeColor="text1"/>
          <w:sz w:val="20"/>
          <w:szCs w:val="20"/>
        </w:rPr>
        <w:t xml:space="preserve">[…] el Consejo de Estado ha precisado como requisitos de la cesión del contrato estatal los siguientes: 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puede servir como </w:t>
      </w:r>
      <w:r w:rsidRPr="00B13D23">
        <w:rPr>
          <w:rFonts w:ascii="Verdana" w:eastAsia="Calibri" w:hAnsi="Verdana" w:cs="Arial"/>
          <w:color w:val="000000" w:themeColor="text1"/>
          <w:sz w:val="20"/>
          <w:szCs w:val="20"/>
        </w:rPr>
        <w:lastRenderedPageBreak/>
        <w:t>instrumento para desviar las obligaciones que tiene la entidad contratante de cumplimiento de los parámetros de la selección objetiva”.</w:t>
      </w:r>
    </w:p>
    <w:p w14:paraId="1CD86CFA" w14:textId="77777777" w:rsidR="00022000" w:rsidRPr="00B13D23" w:rsidRDefault="00022000" w:rsidP="00022000">
      <w:pPr>
        <w:tabs>
          <w:tab w:val="left" w:pos="709"/>
        </w:tabs>
        <w:spacing w:after="0" w:line="240" w:lineRule="auto"/>
        <w:jc w:val="both"/>
        <w:rPr>
          <w:rFonts w:ascii="Verdana" w:eastAsia="Calibri" w:hAnsi="Verdana" w:cs="Arial"/>
          <w:color w:val="000000" w:themeColor="text1"/>
          <w:sz w:val="20"/>
          <w:szCs w:val="20"/>
        </w:rPr>
      </w:pPr>
      <w:r w:rsidRPr="00B13D23">
        <w:rPr>
          <w:rFonts w:ascii="Verdana" w:eastAsia="Calibri" w:hAnsi="Verdana" w:cs="Arial"/>
          <w:color w:val="000000" w:themeColor="text1"/>
          <w:sz w:val="20"/>
          <w:szCs w:val="20"/>
        </w:rPr>
        <w:t>[…]</w:t>
      </w:r>
    </w:p>
    <w:p w14:paraId="35D9767B" w14:textId="77777777" w:rsidR="00022000" w:rsidRPr="00B13D23" w:rsidRDefault="00022000" w:rsidP="00022000">
      <w:pPr>
        <w:tabs>
          <w:tab w:val="left" w:pos="709"/>
        </w:tabs>
        <w:spacing w:after="0" w:line="240" w:lineRule="auto"/>
        <w:jc w:val="both"/>
        <w:rPr>
          <w:rFonts w:ascii="Verdana" w:eastAsia="Calibri" w:hAnsi="Verdana" w:cs="Arial"/>
          <w:color w:val="000000" w:themeColor="text1"/>
          <w:sz w:val="20"/>
          <w:szCs w:val="20"/>
        </w:rPr>
      </w:pPr>
    </w:p>
    <w:p w14:paraId="72A32758" w14:textId="77777777" w:rsidR="00022000" w:rsidRPr="00B13D23" w:rsidRDefault="00022000" w:rsidP="00022000">
      <w:pPr>
        <w:tabs>
          <w:tab w:val="left" w:pos="709"/>
        </w:tabs>
        <w:spacing w:after="0" w:line="240" w:lineRule="auto"/>
        <w:jc w:val="both"/>
        <w:rPr>
          <w:rFonts w:ascii="Verdana" w:eastAsia="Calibri" w:hAnsi="Verdana" w:cs="Arial"/>
          <w:color w:val="000000" w:themeColor="text1"/>
          <w:sz w:val="20"/>
          <w:szCs w:val="20"/>
        </w:rPr>
      </w:pPr>
      <w:r w:rsidRPr="00B13D23">
        <w:rPr>
          <w:rFonts w:ascii="Verdana" w:eastAsia="Calibri" w:hAnsi="Verdana" w:cs="Arial"/>
          <w:color w:val="000000" w:themeColor="text1"/>
          <w:sz w:val="20"/>
          <w:szCs w:val="2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47B5506D" w14:textId="77777777" w:rsidR="00C61789" w:rsidRPr="00022000" w:rsidRDefault="00C61789" w:rsidP="00BD5091">
      <w:pPr>
        <w:spacing w:after="0" w:line="240" w:lineRule="auto"/>
        <w:contextualSpacing/>
        <w:jc w:val="both"/>
        <w:rPr>
          <w:rFonts w:ascii="Verdana" w:eastAsia="Calibri" w:hAnsi="Verdana" w:cs="Arial"/>
          <w:b/>
          <w:noProof/>
          <w:sz w:val="20"/>
          <w:szCs w:val="20"/>
          <w:lang w:eastAsia="es-ES_tradnl"/>
        </w:rPr>
      </w:pPr>
    </w:p>
    <w:p w14:paraId="3B276C09" w14:textId="77777777" w:rsidR="000E47BF" w:rsidRPr="002E78FE" w:rsidRDefault="000E47BF" w:rsidP="00367926">
      <w:pPr>
        <w:spacing w:after="0" w:line="240" w:lineRule="auto"/>
        <w:jc w:val="both"/>
        <w:rPr>
          <w:rFonts w:ascii="Verdana" w:eastAsia="Times New Roman" w:hAnsi="Verdana" w:cs="Arial"/>
          <w:noProof/>
          <w:lang w:val="es-ES_tradnl" w:eastAsia="es-ES_tradnl"/>
        </w:rPr>
      </w:pPr>
    </w:p>
    <w:p w14:paraId="2919F243" w14:textId="77777777" w:rsidR="000E47BF" w:rsidRPr="002E78FE" w:rsidRDefault="000E47BF" w:rsidP="00367926">
      <w:pPr>
        <w:spacing w:after="0" w:line="240" w:lineRule="auto"/>
        <w:jc w:val="both"/>
        <w:rPr>
          <w:rFonts w:ascii="Verdana" w:eastAsia="Times New Roman" w:hAnsi="Verdana" w:cs="Arial"/>
          <w:noProof/>
          <w:lang w:val="es-ES_tradnl" w:eastAsia="es-ES_tradnl"/>
        </w:rPr>
      </w:pPr>
    </w:p>
    <w:p w14:paraId="51EC9BE7" w14:textId="77777777" w:rsidR="000E47BF" w:rsidRPr="002E78FE" w:rsidRDefault="000E47BF" w:rsidP="00367926">
      <w:pPr>
        <w:spacing w:after="0" w:line="240" w:lineRule="auto"/>
        <w:jc w:val="both"/>
        <w:rPr>
          <w:rFonts w:ascii="Verdana" w:eastAsia="Times New Roman" w:hAnsi="Verdana" w:cs="Arial"/>
          <w:noProof/>
          <w:lang w:val="es-ES_tradnl" w:eastAsia="es-ES_tradnl"/>
        </w:rPr>
      </w:pPr>
    </w:p>
    <w:p w14:paraId="2C949A2B" w14:textId="77777777" w:rsidR="000E47BF" w:rsidRDefault="000E47BF" w:rsidP="00367926">
      <w:pPr>
        <w:spacing w:after="0" w:line="240" w:lineRule="auto"/>
        <w:jc w:val="both"/>
        <w:rPr>
          <w:rFonts w:ascii="Verdana" w:eastAsia="Times New Roman" w:hAnsi="Verdana" w:cs="Arial"/>
          <w:noProof/>
          <w:lang w:val="es-ES_tradnl" w:eastAsia="es-ES_tradnl"/>
        </w:rPr>
      </w:pPr>
    </w:p>
    <w:p w14:paraId="7D5DC55F" w14:textId="77777777" w:rsidR="003D7DDE" w:rsidRDefault="003D7DDE" w:rsidP="00367926">
      <w:pPr>
        <w:spacing w:after="0" w:line="240" w:lineRule="auto"/>
        <w:jc w:val="both"/>
        <w:rPr>
          <w:rFonts w:ascii="Verdana" w:eastAsia="Times New Roman" w:hAnsi="Verdana" w:cs="Arial"/>
          <w:noProof/>
          <w:lang w:val="es-ES_tradnl" w:eastAsia="es-ES_tradnl"/>
        </w:rPr>
      </w:pPr>
    </w:p>
    <w:p w14:paraId="24252A4C" w14:textId="77777777" w:rsidR="003D7DDE" w:rsidRDefault="003D7DDE" w:rsidP="00367926">
      <w:pPr>
        <w:spacing w:after="0" w:line="240" w:lineRule="auto"/>
        <w:jc w:val="both"/>
        <w:rPr>
          <w:rFonts w:ascii="Verdana" w:eastAsia="Times New Roman" w:hAnsi="Verdana" w:cs="Arial"/>
          <w:noProof/>
          <w:lang w:val="es-ES_tradnl" w:eastAsia="es-ES_tradnl"/>
        </w:rPr>
      </w:pPr>
    </w:p>
    <w:p w14:paraId="2FDFF658" w14:textId="77777777" w:rsidR="003D7DDE" w:rsidRDefault="003D7DDE" w:rsidP="00367926">
      <w:pPr>
        <w:spacing w:after="0" w:line="240" w:lineRule="auto"/>
        <w:jc w:val="both"/>
        <w:rPr>
          <w:rFonts w:ascii="Verdana" w:eastAsia="Times New Roman" w:hAnsi="Verdana" w:cs="Arial"/>
          <w:noProof/>
          <w:lang w:val="es-ES_tradnl" w:eastAsia="es-ES_tradnl"/>
        </w:rPr>
      </w:pPr>
    </w:p>
    <w:p w14:paraId="4756C570" w14:textId="77777777" w:rsidR="003D7DDE" w:rsidRDefault="003D7DDE" w:rsidP="00367926">
      <w:pPr>
        <w:spacing w:after="0" w:line="240" w:lineRule="auto"/>
        <w:jc w:val="both"/>
        <w:rPr>
          <w:rFonts w:ascii="Verdana" w:eastAsia="Times New Roman" w:hAnsi="Verdana" w:cs="Arial"/>
          <w:noProof/>
          <w:lang w:val="es-ES_tradnl" w:eastAsia="es-ES_tradnl"/>
        </w:rPr>
      </w:pPr>
    </w:p>
    <w:p w14:paraId="65CDD2E1" w14:textId="77777777" w:rsidR="003D7DDE" w:rsidRDefault="003D7DDE" w:rsidP="00367926">
      <w:pPr>
        <w:spacing w:after="0" w:line="240" w:lineRule="auto"/>
        <w:jc w:val="both"/>
        <w:rPr>
          <w:rFonts w:ascii="Verdana" w:eastAsia="Times New Roman" w:hAnsi="Verdana" w:cs="Arial"/>
          <w:noProof/>
          <w:lang w:val="es-ES_tradnl" w:eastAsia="es-ES_tradnl"/>
        </w:rPr>
      </w:pPr>
    </w:p>
    <w:p w14:paraId="7A42345E" w14:textId="77777777" w:rsidR="003D7DDE" w:rsidRDefault="003D7DDE" w:rsidP="00367926">
      <w:pPr>
        <w:spacing w:after="0" w:line="240" w:lineRule="auto"/>
        <w:jc w:val="both"/>
        <w:rPr>
          <w:rFonts w:ascii="Verdana" w:eastAsia="Times New Roman" w:hAnsi="Verdana" w:cs="Arial"/>
          <w:noProof/>
          <w:lang w:val="es-ES_tradnl" w:eastAsia="es-ES_tradnl"/>
        </w:rPr>
      </w:pPr>
    </w:p>
    <w:p w14:paraId="222CD0AF" w14:textId="77777777" w:rsidR="003D7DDE" w:rsidRPr="002E78FE" w:rsidRDefault="003D7DDE" w:rsidP="00367926">
      <w:pPr>
        <w:spacing w:after="0" w:line="240" w:lineRule="auto"/>
        <w:jc w:val="both"/>
        <w:rPr>
          <w:rFonts w:ascii="Verdana" w:eastAsia="Times New Roman" w:hAnsi="Verdana" w:cs="Arial"/>
          <w:noProof/>
          <w:lang w:val="es-ES_tradnl" w:eastAsia="es-ES_tradnl"/>
        </w:rPr>
      </w:pPr>
    </w:p>
    <w:p w14:paraId="689C40D1" w14:textId="77777777" w:rsidR="000E47BF" w:rsidRPr="002E78FE" w:rsidRDefault="000E47BF" w:rsidP="00367926">
      <w:pPr>
        <w:spacing w:after="0" w:line="240" w:lineRule="auto"/>
        <w:jc w:val="both"/>
        <w:rPr>
          <w:rFonts w:ascii="Verdana" w:eastAsia="Times New Roman" w:hAnsi="Verdana" w:cs="Arial"/>
          <w:noProof/>
          <w:lang w:val="es-ES_tradnl" w:eastAsia="es-ES_tradnl"/>
        </w:rPr>
      </w:pPr>
    </w:p>
    <w:p w14:paraId="48633A68" w14:textId="77777777" w:rsidR="000E47BF" w:rsidRPr="002E78FE" w:rsidRDefault="000E47BF" w:rsidP="00367926">
      <w:pPr>
        <w:spacing w:after="0" w:line="240" w:lineRule="auto"/>
        <w:jc w:val="both"/>
        <w:rPr>
          <w:rFonts w:ascii="Verdana" w:eastAsia="Times New Roman" w:hAnsi="Verdana" w:cs="Arial"/>
          <w:noProof/>
          <w:lang w:val="es-ES_tradnl" w:eastAsia="es-ES_tradnl"/>
        </w:rPr>
      </w:pPr>
    </w:p>
    <w:p w14:paraId="0B937817" w14:textId="77777777" w:rsidR="000E47BF" w:rsidRDefault="000E47BF" w:rsidP="00367926">
      <w:pPr>
        <w:spacing w:after="0" w:line="240" w:lineRule="auto"/>
        <w:jc w:val="both"/>
        <w:rPr>
          <w:rFonts w:ascii="Verdana" w:eastAsia="Times New Roman" w:hAnsi="Verdana" w:cs="Arial"/>
          <w:noProof/>
          <w:lang w:val="es-ES_tradnl" w:eastAsia="es-ES_tradnl"/>
        </w:rPr>
      </w:pPr>
    </w:p>
    <w:p w14:paraId="197674B4"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5E36F31B"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4C6D8FF9"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048D39A1"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4C8D7562"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61C94CFE"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28DE59E0"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7F939AE6"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11883F24"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7A8DB618"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066F8FD5"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33F5FC42"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3D8C1586" w14:textId="77777777" w:rsidR="00022000" w:rsidRDefault="00022000" w:rsidP="00367926">
      <w:pPr>
        <w:spacing w:after="0" w:line="240" w:lineRule="auto"/>
        <w:jc w:val="both"/>
        <w:rPr>
          <w:rFonts w:ascii="Verdana" w:eastAsia="Times New Roman" w:hAnsi="Verdana" w:cs="Arial"/>
          <w:noProof/>
          <w:lang w:val="es-ES_tradnl" w:eastAsia="es-ES_tradnl"/>
        </w:rPr>
      </w:pPr>
    </w:p>
    <w:p w14:paraId="4059507A" w14:textId="77777777" w:rsidR="00022000" w:rsidRPr="002E78FE" w:rsidRDefault="00022000" w:rsidP="00367926">
      <w:pPr>
        <w:spacing w:after="0" w:line="240" w:lineRule="auto"/>
        <w:jc w:val="both"/>
        <w:rPr>
          <w:rFonts w:ascii="Verdana" w:eastAsia="Times New Roman" w:hAnsi="Verdana" w:cs="Arial"/>
          <w:noProof/>
          <w:lang w:val="es-ES_tradnl" w:eastAsia="es-ES_tradnl"/>
        </w:rPr>
      </w:pPr>
    </w:p>
    <w:p w14:paraId="76899E39" w14:textId="77777777" w:rsidR="00B64596" w:rsidRPr="002E78FE" w:rsidRDefault="00B64596" w:rsidP="00367926">
      <w:pPr>
        <w:spacing w:after="0" w:line="240" w:lineRule="auto"/>
        <w:jc w:val="both"/>
        <w:rPr>
          <w:rFonts w:ascii="Verdana" w:eastAsia="Times New Roman" w:hAnsi="Verdana" w:cs="Arial"/>
          <w:noProof/>
          <w:lang w:val="es-ES_tradnl" w:eastAsia="es-ES_tradnl"/>
        </w:rPr>
      </w:pPr>
    </w:p>
    <w:p w14:paraId="70941992" w14:textId="79549C4C" w:rsidR="006560BB" w:rsidRDefault="006560BB" w:rsidP="006560BB">
      <w:pPr>
        <w:spacing w:after="0" w:line="240" w:lineRule="auto"/>
        <w:jc w:val="both"/>
        <w:rPr>
          <w:rFonts w:ascii="Verdana" w:eastAsia="Times New Roman" w:hAnsi="Verdana" w:cs="Arial"/>
          <w:noProof/>
          <w:lang w:val="es-ES_tradnl" w:eastAsia="es-ES_tradnl"/>
        </w:rPr>
      </w:pPr>
      <w:r w:rsidRPr="002E78FE">
        <w:rPr>
          <w:rFonts w:ascii="Verdana" w:eastAsia="Times New Roman" w:hAnsi="Verdana" w:cs="Arial"/>
          <w:noProof/>
          <w:lang w:val="es-ES_tradnl" w:eastAsia="es-ES_tradnl"/>
        </w:rPr>
        <w:lastRenderedPageBreak/>
        <w:t xml:space="preserve">Bogotá D.C., </w:t>
      </w:r>
      <w:r w:rsidR="0097558C">
        <w:rPr>
          <w:rFonts w:ascii="Verdana" w:eastAsia="Times New Roman" w:hAnsi="Verdana" w:cs="Arial"/>
          <w:noProof/>
          <w:lang w:val="es-ES_tradnl" w:eastAsia="es-ES_tradnl"/>
        </w:rPr>
        <w:t>6 de agosto de 2024</w:t>
      </w:r>
    </w:p>
    <w:p w14:paraId="2EE480DD" w14:textId="23B9233F" w:rsidR="0097558C" w:rsidRPr="002E78FE" w:rsidRDefault="0097558C" w:rsidP="0097558C">
      <w:pPr>
        <w:spacing w:after="0" w:line="240" w:lineRule="auto"/>
        <w:jc w:val="right"/>
        <w:rPr>
          <w:rFonts w:ascii="Verdana" w:eastAsia="Times New Roman" w:hAnsi="Verdana" w:cs="Arial"/>
          <w:noProof/>
          <w:lang w:val="es-ES_tradnl" w:eastAsia="es-ES_tradnl"/>
        </w:rPr>
      </w:pPr>
      <w:r w:rsidRPr="0097558C">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1089EB8D" wp14:editId="569223E5">
            <wp:simplePos x="0" y="0"/>
            <wp:positionH relativeFrom="column">
              <wp:posOffset>2137518</wp:posOffset>
            </wp:positionH>
            <wp:positionV relativeFrom="paragraph">
              <wp:posOffset>2420</wp:posOffset>
            </wp:positionV>
            <wp:extent cx="3474720" cy="995680"/>
            <wp:effectExtent l="0" t="0" r="0" b="0"/>
            <wp:wrapNone/>
            <wp:docPr id="1674843851" name="Picture 1"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43851" name="Picture 1" descr="A close-up of a white car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474720" cy="995680"/>
                    </a:xfrm>
                    <a:prstGeom prst="rect">
                      <a:avLst/>
                    </a:prstGeom>
                  </pic:spPr>
                </pic:pic>
              </a:graphicData>
            </a:graphic>
          </wp:anchor>
        </w:drawing>
      </w:r>
    </w:p>
    <w:p w14:paraId="162E2A9B" w14:textId="77777777" w:rsidR="002052F3" w:rsidRPr="002E78FE" w:rsidRDefault="002052F3" w:rsidP="00367926">
      <w:pPr>
        <w:spacing w:after="0" w:line="240" w:lineRule="auto"/>
        <w:jc w:val="both"/>
        <w:rPr>
          <w:rFonts w:ascii="Verdana" w:eastAsia="Times New Roman" w:hAnsi="Verdana" w:cs="Arial"/>
          <w:noProof/>
          <w:lang w:val="es-ES_tradnl" w:eastAsia="es-ES_tradnl"/>
        </w:rPr>
      </w:pPr>
    </w:p>
    <w:p w14:paraId="694740AE" w14:textId="7D513028" w:rsidR="00636E36" w:rsidRPr="002E78FE" w:rsidRDefault="00636E36" w:rsidP="00BD5091">
      <w:pPr>
        <w:spacing w:after="0" w:line="240" w:lineRule="auto"/>
        <w:jc w:val="right"/>
        <w:rPr>
          <w:rFonts w:ascii="Verdana" w:eastAsia="Times New Roman" w:hAnsi="Verdana" w:cs="Arial"/>
          <w:noProof/>
          <w:lang w:val="es-ES_tradnl" w:eastAsia="es-ES_tradnl"/>
        </w:rPr>
      </w:pPr>
    </w:p>
    <w:p w14:paraId="4624AA61" w14:textId="56825581" w:rsidR="00367926" w:rsidRPr="002E78FE" w:rsidRDefault="00367926" w:rsidP="00367926">
      <w:pPr>
        <w:spacing w:after="0" w:line="240" w:lineRule="auto"/>
        <w:jc w:val="both"/>
        <w:rPr>
          <w:rFonts w:ascii="Verdana" w:eastAsia="Calibri" w:hAnsi="Verdana" w:cs="Arial"/>
          <w:lang w:val="es-ES" w:eastAsia="es-ES_tradnl"/>
        </w:rPr>
      </w:pPr>
      <w:r w:rsidRPr="002E78FE">
        <w:rPr>
          <w:rFonts w:ascii="Verdana" w:eastAsia="Calibri" w:hAnsi="Verdana" w:cs="Arial"/>
          <w:lang w:val="es-ES" w:eastAsia="es-ES_tradnl"/>
        </w:rPr>
        <w:t>Señor</w:t>
      </w:r>
      <w:r w:rsidR="002F3420">
        <w:rPr>
          <w:rFonts w:ascii="Verdana" w:eastAsia="Calibri" w:hAnsi="Verdana" w:cs="Arial"/>
          <w:lang w:val="es-ES" w:eastAsia="es-ES_tradnl"/>
        </w:rPr>
        <w:t>a</w:t>
      </w:r>
    </w:p>
    <w:p w14:paraId="07A932F1" w14:textId="53C56361" w:rsidR="00367926" w:rsidRPr="002E78FE" w:rsidRDefault="002F3420" w:rsidP="00367926">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Julieth Peña</w:t>
      </w:r>
    </w:p>
    <w:p w14:paraId="01140A04" w14:textId="04B2FB09" w:rsidR="00367926" w:rsidRPr="002E78FE" w:rsidRDefault="00CA35BD" w:rsidP="00367926">
      <w:pPr>
        <w:spacing w:after="0" w:line="240" w:lineRule="auto"/>
        <w:rPr>
          <w:rFonts w:ascii="Verdana" w:eastAsia="Calibri" w:hAnsi="Verdana" w:cs="Arial"/>
          <w:lang w:val="es-ES_tradnl" w:eastAsia="es-ES_tradnl"/>
        </w:rPr>
      </w:pPr>
      <w:r w:rsidRPr="002E78FE">
        <w:rPr>
          <w:rFonts w:ascii="Verdana" w:eastAsia="Calibri" w:hAnsi="Verdana" w:cs="Arial"/>
          <w:bCs/>
          <w:lang w:val="es-ES_tradnl" w:eastAsia="es-ES_tradnl"/>
        </w:rPr>
        <w:t>Ciudad</w:t>
      </w:r>
    </w:p>
    <w:p w14:paraId="78D0F359" w14:textId="77777777" w:rsidR="00367926" w:rsidRPr="002E78FE" w:rsidRDefault="00367926" w:rsidP="00367926">
      <w:pPr>
        <w:spacing w:after="0" w:line="240" w:lineRule="auto"/>
        <w:rPr>
          <w:rFonts w:ascii="Verdana" w:eastAsia="Calibri" w:hAnsi="Verdana" w:cs="Arial"/>
          <w:lang w:val="es-ES_tradnl" w:eastAsia="es-ES_tradnl"/>
        </w:rPr>
      </w:pPr>
    </w:p>
    <w:p w14:paraId="03148A82" w14:textId="77777777" w:rsidR="00367926" w:rsidRPr="002E78FE" w:rsidRDefault="00367926" w:rsidP="00367926">
      <w:pPr>
        <w:spacing w:after="0" w:line="240" w:lineRule="auto"/>
        <w:rPr>
          <w:rFonts w:ascii="Verdana" w:eastAsia="Calibri" w:hAnsi="Verdana" w:cs="Arial"/>
          <w:lang w:val="es-ES_tradnl" w:eastAsia="es-ES_tradnl"/>
        </w:rPr>
      </w:pPr>
    </w:p>
    <w:p w14:paraId="46124EE7" w14:textId="04B8CDE8" w:rsidR="00367926" w:rsidRPr="002E78FE" w:rsidRDefault="00367926" w:rsidP="00367926">
      <w:pPr>
        <w:spacing w:after="0" w:line="240" w:lineRule="auto"/>
        <w:ind w:left="2694"/>
        <w:rPr>
          <w:rFonts w:ascii="Verdana" w:eastAsia="Calibri" w:hAnsi="Verdana" w:cs="Arial"/>
          <w:b/>
          <w:bCs/>
          <w:lang w:val="es-ES" w:eastAsia="es-ES_tradnl"/>
        </w:rPr>
      </w:pPr>
      <w:r w:rsidRPr="002E78FE">
        <w:rPr>
          <w:rFonts w:ascii="Verdana" w:eastAsia="Calibri" w:hAnsi="Verdana" w:cs="Arial"/>
          <w:b/>
          <w:bCs/>
          <w:lang w:val="es-ES" w:eastAsia="es-ES_tradnl"/>
        </w:rPr>
        <w:t xml:space="preserve">Concepto </w:t>
      </w:r>
      <w:r w:rsidR="001319BC" w:rsidRPr="002E78FE">
        <w:rPr>
          <w:rFonts w:ascii="Verdana" w:eastAsia="Calibri" w:hAnsi="Verdana" w:cs="Arial"/>
          <w:b/>
          <w:bCs/>
          <w:lang w:val="es-ES" w:eastAsia="es-ES_tradnl"/>
        </w:rPr>
        <w:t>C-</w:t>
      </w:r>
      <w:r w:rsidR="00BC4861" w:rsidRPr="002E78FE">
        <w:rPr>
          <w:rFonts w:ascii="Verdana" w:eastAsia="Calibri" w:hAnsi="Verdana" w:cs="Arial"/>
          <w:b/>
          <w:bCs/>
          <w:lang w:val="es-ES" w:eastAsia="es-ES_tradnl"/>
        </w:rPr>
        <w:t>3</w:t>
      </w:r>
      <w:r w:rsidR="002F3420">
        <w:rPr>
          <w:rFonts w:ascii="Verdana" w:eastAsia="Calibri" w:hAnsi="Verdana" w:cs="Arial"/>
          <w:b/>
          <w:bCs/>
          <w:lang w:val="es-ES" w:eastAsia="es-ES_tradnl"/>
        </w:rPr>
        <w:t>25</w:t>
      </w:r>
      <w:r w:rsidRPr="002E78FE">
        <w:rPr>
          <w:rFonts w:ascii="Verdana" w:eastAsia="Calibri" w:hAnsi="Verdana" w:cs="Arial"/>
          <w:b/>
          <w:bCs/>
          <w:lang w:val="es-ES" w:eastAsia="es-ES_tradnl"/>
        </w:rPr>
        <w:t xml:space="preserve"> de 202</w:t>
      </w:r>
      <w:r w:rsidR="001319BC" w:rsidRPr="002E78FE">
        <w:rPr>
          <w:rFonts w:ascii="Verdana" w:eastAsia="Calibri" w:hAnsi="Verdana" w:cs="Arial"/>
          <w:b/>
          <w:bCs/>
          <w:lang w:val="es-ES" w:eastAsia="es-ES_tradnl"/>
        </w:rPr>
        <w:t>4</w:t>
      </w:r>
    </w:p>
    <w:p w14:paraId="4769DE2B" w14:textId="77777777" w:rsidR="00367926" w:rsidRPr="002E78FE" w:rsidRDefault="00367926" w:rsidP="00367926">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367926" w:rsidRPr="002E78FE" w14:paraId="68DAC423" w14:textId="77777777" w:rsidTr="007D61BF">
        <w:trPr>
          <w:jc w:val="right"/>
        </w:trPr>
        <w:tc>
          <w:tcPr>
            <w:tcW w:w="1838" w:type="dxa"/>
          </w:tcPr>
          <w:p w14:paraId="437CF7D4" w14:textId="77777777" w:rsidR="00367926" w:rsidRPr="002E78FE" w:rsidRDefault="00367926" w:rsidP="00367926">
            <w:pPr>
              <w:jc w:val="center"/>
              <w:rPr>
                <w:rFonts w:ascii="Verdana" w:eastAsia="Calibri" w:hAnsi="Verdana" w:cs="Arial"/>
                <w:lang w:val="es-ES_tradnl" w:eastAsia="es-ES_tradnl"/>
              </w:rPr>
            </w:pPr>
            <w:r w:rsidRPr="002E78FE">
              <w:rPr>
                <w:rFonts w:ascii="Verdana" w:eastAsia="Calibri" w:hAnsi="Verdana" w:cs="Arial"/>
                <w:b/>
                <w:lang w:val="es-ES_tradnl" w:eastAsia="es-ES_tradnl"/>
              </w:rPr>
              <w:t>Temas:</w:t>
            </w:r>
          </w:p>
        </w:tc>
        <w:tc>
          <w:tcPr>
            <w:tcW w:w="6237" w:type="dxa"/>
          </w:tcPr>
          <w:p w14:paraId="239D693B" w14:textId="64962B1D" w:rsidR="00367926" w:rsidRPr="002E78FE" w:rsidRDefault="00B736B6" w:rsidP="00B64596">
            <w:pPr>
              <w:jc w:val="both"/>
              <w:textAlignment w:val="baseline"/>
              <w:rPr>
                <w:rFonts w:ascii="Verdana" w:eastAsia="Times New Roman" w:hAnsi="Verdana" w:cs="Arial"/>
                <w:lang w:val="es-ES_tradnl" w:eastAsia="es-ES_tradnl"/>
              </w:rPr>
            </w:pPr>
            <w:r w:rsidRPr="00B736B6">
              <w:rPr>
                <w:rFonts w:ascii="Verdana" w:eastAsia="Times New Roman" w:hAnsi="Verdana" w:cs="Arial"/>
                <w:lang w:eastAsia="es-ES_tradnl"/>
              </w:rPr>
              <w:t>CESIÓN DEL CONTRATO ESTATAL – Noción / CESIÓN DEL CONTRATO ESTATAL – Régimen jurídico aplicable – EGCAP – Código de comercio / CESIÓN DEL CONTRATO ESTATAL – Requisitos – Restricciones</w:t>
            </w:r>
          </w:p>
        </w:tc>
      </w:tr>
      <w:tr w:rsidR="00367926" w:rsidRPr="002E78FE" w14:paraId="1F6849E6" w14:textId="77777777" w:rsidTr="007D61BF">
        <w:trPr>
          <w:jc w:val="right"/>
        </w:trPr>
        <w:tc>
          <w:tcPr>
            <w:tcW w:w="1838" w:type="dxa"/>
          </w:tcPr>
          <w:p w14:paraId="2BA36C66" w14:textId="77777777" w:rsidR="00367926" w:rsidRPr="002E78FE" w:rsidRDefault="00367926" w:rsidP="00367926">
            <w:pPr>
              <w:jc w:val="center"/>
              <w:rPr>
                <w:rFonts w:ascii="Verdana" w:eastAsia="Calibri" w:hAnsi="Verdana" w:cs="Arial"/>
                <w:b/>
                <w:lang w:val="es-ES" w:eastAsia="es-ES_tradnl"/>
              </w:rPr>
            </w:pPr>
            <w:r w:rsidRPr="002E78FE">
              <w:rPr>
                <w:rFonts w:ascii="Verdana" w:eastAsia="Calibri" w:hAnsi="Verdana" w:cs="Arial"/>
                <w:b/>
                <w:lang w:val="es-ES" w:eastAsia="es-ES_tradnl"/>
              </w:rPr>
              <w:t>Radicación:</w:t>
            </w:r>
          </w:p>
        </w:tc>
        <w:tc>
          <w:tcPr>
            <w:tcW w:w="6237" w:type="dxa"/>
          </w:tcPr>
          <w:p w14:paraId="37825E4C" w14:textId="0B5EB528" w:rsidR="00367926" w:rsidRPr="002E78FE" w:rsidRDefault="00367926" w:rsidP="00367926">
            <w:pPr>
              <w:jc w:val="both"/>
              <w:rPr>
                <w:rFonts w:ascii="Verdana" w:eastAsia="Calibri" w:hAnsi="Verdana" w:cs="Arial"/>
                <w:lang w:val="es-ES" w:eastAsia="es-ES_tradnl"/>
              </w:rPr>
            </w:pPr>
            <w:r w:rsidRPr="002E78FE">
              <w:rPr>
                <w:rFonts w:ascii="Verdana" w:eastAsia="Calibri" w:hAnsi="Verdana" w:cs="Arial"/>
                <w:lang w:val="es-ES" w:eastAsia="es-ES_tradnl"/>
              </w:rPr>
              <w:t xml:space="preserve">Respuesta a consulta radicado No. </w:t>
            </w:r>
            <w:r w:rsidR="002F3420" w:rsidRPr="002F3420">
              <w:rPr>
                <w:rFonts w:ascii="Verdana" w:eastAsia="Times New Roman" w:hAnsi="Verdana" w:cs="Arial"/>
                <w:lang w:eastAsia="es-ES_tradnl"/>
              </w:rPr>
              <w:t>P20240711007060</w:t>
            </w:r>
          </w:p>
        </w:tc>
      </w:tr>
    </w:tbl>
    <w:p w14:paraId="7EE7D08C" w14:textId="77777777" w:rsidR="00367926" w:rsidRPr="002E78FE" w:rsidRDefault="00367926" w:rsidP="00367926">
      <w:pPr>
        <w:spacing w:after="0" w:line="240" w:lineRule="auto"/>
        <w:jc w:val="both"/>
        <w:rPr>
          <w:rFonts w:ascii="Verdana" w:eastAsia="Calibri" w:hAnsi="Verdana" w:cs="Arial"/>
          <w:lang w:val="es-ES_tradnl" w:eastAsia="es-ES_tradnl"/>
        </w:rPr>
      </w:pPr>
    </w:p>
    <w:p w14:paraId="1E387C74" w14:textId="77777777" w:rsidR="00367926" w:rsidRPr="002E78FE" w:rsidRDefault="00367926" w:rsidP="00367926">
      <w:pPr>
        <w:spacing w:after="0" w:line="240" w:lineRule="auto"/>
        <w:jc w:val="both"/>
        <w:rPr>
          <w:rFonts w:ascii="Verdana" w:eastAsia="Calibri" w:hAnsi="Verdana" w:cs="Arial"/>
          <w:lang w:val="es-ES_tradnl" w:eastAsia="es-ES_tradnl"/>
        </w:rPr>
      </w:pPr>
    </w:p>
    <w:p w14:paraId="780B2FB3" w14:textId="0D62E34A" w:rsidR="00367926" w:rsidRPr="002E78FE" w:rsidRDefault="00367926" w:rsidP="00367926">
      <w:pPr>
        <w:spacing w:after="0" w:line="276" w:lineRule="auto"/>
        <w:contextualSpacing/>
        <w:jc w:val="both"/>
        <w:rPr>
          <w:rFonts w:ascii="Verdana" w:eastAsia="Calibri" w:hAnsi="Verdana" w:cs="Arial"/>
          <w:bCs/>
          <w:lang w:val="es-ES_tradnl" w:eastAsia="es-ES_tradnl"/>
        </w:rPr>
      </w:pPr>
      <w:r w:rsidRPr="002E78FE">
        <w:rPr>
          <w:rFonts w:ascii="Verdana" w:eastAsia="Calibri" w:hAnsi="Verdana" w:cs="Arial"/>
          <w:lang w:val="es-ES_tradnl" w:eastAsia="es-ES_tradnl"/>
        </w:rPr>
        <w:t>Estimad</w:t>
      </w:r>
      <w:r w:rsidR="002F3420">
        <w:rPr>
          <w:rFonts w:ascii="Verdana" w:eastAsia="Calibri" w:hAnsi="Verdana" w:cs="Arial"/>
          <w:lang w:val="es-ES_tradnl" w:eastAsia="es-ES_tradnl"/>
        </w:rPr>
        <w:t>a</w:t>
      </w:r>
      <w:r w:rsidRPr="002E78FE">
        <w:rPr>
          <w:rFonts w:ascii="Verdana" w:eastAsia="Calibri" w:hAnsi="Verdana" w:cs="Arial"/>
          <w:lang w:val="es-ES_tradnl" w:eastAsia="es-ES_tradnl"/>
        </w:rPr>
        <w:t xml:space="preserve"> señor</w:t>
      </w:r>
      <w:r w:rsidR="002F3420">
        <w:rPr>
          <w:rFonts w:ascii="Verdana" w:eastAsia="Calibri" w:hAnsi="Verdana" w:cs="Arial"/>
          <w:lang w:val="es-ES_tradnl" w:eastAsia="es-ES_tradnl"/>
        </w:rPr>
        <w:t>a</w:t>
      </w:r>
      <w:r w:rsidR="00F13F6A" w:rsidRPr="002E78FE">
        <w:rPr>
          <w:rFonts w:ascii="Verdana" w:eastAsia="Calibri" w:hAnsi="Verdana" w:cs="Arial"/>
          <w:lang w:val="es-ES_tradnl" w:eastAsia="es-ES_tradnl"/>
        </w:rPr>
        <w:t xml:space="preserve"> </w:t>
      </w:r>
      <w:r w:rsidR="002F3420">
        <w:rPr>
          <w:rFonts w:ascii="Verdana" w:eastAsia="Calibri" w:hAnsi="Verdana" w:cs="Arial"/>
          <w:lang w:val="es-ES_tradnl" w:eastAsia="es-ES_tradnl"/>
        </w:rPr>
        <w:t>Peña</w:t>
      </w:r>
      <w:r w:rsidRPr="002E78FE">
        <w:rPr>
          <w:rFonts w:ascii="Verdana" w:eastAsia="Calibri" w:hAnsi="Verdana" w:cs="Arial"/>
          <w:bCs/>
          <w:lang w:val="es-ES_tradnl" w:eastAsia="es-ES_tradnl"/>
        </w:rPr>
        <w:t>:</w:t>
      </w:r>
    </w:p>
    <w:p w14:paraId="6031E3C1" w14:textId="77777777" w:rsidR="00367926" w:rsidRPr="002E78FE" w:rsidRDefault="00367926" w:rsidP="00367926">
      <w:pPr>
        <w:spacing w:after="0" w:line="276" w:lineRule="auto"/>
        <w:contextualSpacing/>
        <w:jc w:val="both"/>
        <w:rPr>
          <w:rFonts w:ascii="Verdana" w:eastAsia="Calibri" w:hAnsi="Verdana" w:cs="Arial"/>
          <w:lang w:val="es-ES_tradnl" w:eastAsia="es-ES_tradnl"/>
        </w:rPr>
      </w:pPr>
    </w:p>
    <w:p w14:paraId="74FB5B85" w14:textId="7DA1E4F0" w:rsidR="00367926" w:rsidRPr="002E78FE" w:rsidRDefault="006D4F5F" w:rsidP="00367926">
      <w:pPr>
        <w:spacing w:after="0" w:line="276" w:lineRule="auto"/>
        <w:contextualSpacing/>
        <w:jc w:val="both"/>
        <w:rPr>
          <w:rFonts w:ascii="Verdana" w:eastAsia="Calibri" w:hAnsi="Verdana" w:cs="Arial"/>
          <w:lang w:val="es-ES" w:eastAsia="es-ES_tradnl"/>
        </w:rPr>
      </w:pPr>
      <w:r w:rsidRPr="002E78FE">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sidR="00580390">
        <w:rPr>
          <w:rFonts w:ascii="Verdana" w:eastAsia="Calibri" w:hAnsi="Verdana" w:cs="Arial"/>
          <w:lang w:val="es-ES" w:eastAsia="es-ES_tradnl"/>
        </w:rPr>
        <w:t xml:space="preserve"> 11</w:t>
      </w:r>
      <w:r w:rsidR="00367926" w:rsidRPr="002E78FE">
        <w:rPr>
          <w:rFonts w:ascii="Verdana" w:eastAsia="Calibri" w:hAnsi="Verdana" w:cs="Arial"/>
          <w:lang w:val="es-ES" w:eastAsia="es-ES_tradnl"/>
        </w:rPr>
        <w:t xml:space="preserve"> de </w:t>
      </w:r>
      <w:r w:rsidR="00567E8B" w:rsidRPr="002E78FE">
        <w:rPr>
          <w:rFonts w:ascii="Verdana" w:eastAsia="Calibri" w:hAnsi="Verdana" w:cs="Arial"/>
          <w:lang w:val="es-ES" w:eastAsia="es-ES_tradnl"/>
        </w:rPr>
        <w:t>ju</w:t>
      </w:r>
      <w:r w:rsidR="00F13F6A" w:rsidRPr="002E78FE">
        <w:rPr>
          <w:rFonts w:ascii="Verdana" w:eastAsia="Calibri" w:hAnsi="Verdana" w:cs="Arial"/>
          <w:lang w:val="es-ES" w:eastAsia="es-ES_tradnl"/>
        </w:rPr>
        <w:t>l</w:t>
      </w:r>
      <w:r w:rsidR="00567E8B" w:rsidRPr="002E78FE">
        <w:rPr>
          <w:rFonts w:ascii="Verdana" w:eastAsia="Calibri" w:hAnsi="Verdana" w:cs="Arial"/>
          <w:lang w:val="es-ES" w:eastAsia="es-ES_tradnl"/>
        </w:rPr>
        <w:t>io</w:t>
      </w:r>
      <w:r w:rsidR="00367926" w:rsidRPr="002E78FE">
        <w:rPr>
          <w:rFonts w:ascii="Verdana" w:eastAsia="Calibri" w:hAnsi="Verdana" w:cs="Arial"/>
          <w:lang w:val="es-ES" w:eastAsia="es-ES_tradnl"/>
        </w:rPr>
        <w:t xml:space="preserve"> de 202</w:t>
      </w:r>
      <w:r w:rsidR="00567E8B" w:rsidRPr="002E78FE">
        <w:rPr>
          <w:rFonts w:ascii="Verdana" w:eastAsia="Calibri" w:hAnsi="Verdana" w:cs="Arial"/>
          <w:lang w:val="es-ES" w:eastAsia="es-ES_tradnl"/>
        </w:rPr>
        <w:t>4</w:t>
      </w:r>
      <w:r w:rsidR="00530975" w:rsidRPr="002E78FE">
        <w:rPr>
          <w:rFonts w:ascii="Verdana" w:eastAsia="Calibri" w:hAnsi="Verdana" w:cs="Arial"/>
          <w:lang w:val="es-ES" w:eastAsia="es-ES_tradnl"/>
        </w:rPr>
        <w:t xml:space="preserve">, </w:t>
      </w:r>
      <w:r w:rsidRPr="002E78FE">
        <w:rPr>
          <w:rFonts w:ascii="Verdana" w:eastAsia="Calibri" w:hAnsi="Verdana" w:cs="Arial"/>
          <w:lang w:val="es-ES" w:eastAsia="es-ES_tradnl"/>
        </w:rPr>
        <w:t>en la cual manifiesta lo siguiente:</w:t>
      </w:r>
    </w:p>
    <w:p w14:paraId="69F2F98C" w14:textId="77777777" w:rsidR="00367926" w:rsidRPr="002E78FE" w:rsidRDefault="00367926" w:rsidP="00367926">
      <w:pPr>
        <w:spacing w:after="0" w:line="276" w:lineRule="auto"/>
        <w:contextualSpacing/>
        <w:jc w:val="both"/>
        <w:rPr>
          <w:rFonts w:ascii="Verdana" w:eastAsia="Calibri" w:hAnsi="Verdana" w:cs="Arial"/>
          <w:b/>
          <w:szCs w:val="24"/>
          <w:lang w:val="es-ES_tradnl" w:eastAsia="es-ES_tradnl"/>
        </w:rPr>
      </w:pPr>
    </w:p>
    <w:p w14:paraId="2592957D" w14:textId="2235E0A9" w:rsidR="002F3420" w:rsidRPr="002F3420" w:rsidRDefault="00BC4861" w:rsidP="002F3420">
      <w:pPr>
        <w:spacing w:after="0" w:line="240" w:lineRule="auto"/>
        <w:ind w:left="709" w:right="709"/>
        <w:contextualSpacing/>
        <w:jc w:val="both"/>
        <w:rPr>
          <w:rFonts w:ascii="Verdana" w:eastAsia="Times New Roman" w:hAnsi="Verdana" w:cs="Arial"/>
          <w:sz w:val="21"/>
          <w:szCs w:val="21"/>
          <w:lang w:eastAsia="es-ES_tradnl"/>
        </w:rPr>
      </w:pPr>
      <w:r w:rsidRPr="002E78FE">
        <w:rPr>
          <w:rFonts w:ascii="Verdana" w:eastAsia="Times New Roman" w:hAnsi="Verdana" w:cs="Arial"/>
          <w:sz w:val="21"/>
          <w:szCs w:val="21"/>
          <w:lang w:eastAsia="es-ES_tradnl"/>
        </w:rPr>
        <w:t>“</w:t>
      </w:r>
      <w:r w:rsidR="002F3420" w:rsidRPr="002F3420">
        <w:rPr>
          <w:rFonts w:ascii="Verdana" w:eastAsia="Times New Roman" w:hAnsi="Verdana" w:cs="Arial"/>
          <w:sz w:val="21"/>
          <w:szCs w:val="21"/>
          <w:lang w:eastAsia="es-ES_tradnl"/>
        </w:rPr>
        <w:t>Un interventor puede ceder su contrato a una empresa con la autorización del contratante (alcaldía) teniendo en cuenta que el contrato tiene más de 30 años, cuáles serían los requisitos que debe cumplir la nueva empresa dada la antigüedad del contrato inicial.</w:t>
      </w:r>
    </w:p>
    <w:p w14:paraId="058C8C0B" w14:textId="77777777" w:rsidR="002F3420" w:rsidRPr="002F3420" w:rsidRDefault="002F3420" w:rsidP="002F3420">
      <w:pPr>
        <w:spacing w:after="0" w:line="240" w:lineRule="auto"/>
        <w:ind w:left="709" w:right="709"/>
        <w:contextualSpacing/>
        <w:jc w:val="both"/>
        <w:rPr>
          <w:rFonts w:ascii="Verdana" w:eastAsia="Times New Roman" w:hAnsi="Verdana" w:cs="Arial"/>
          <w:sz w:val="21"/>
          <w:szCs w:val="21"/>
          <w:lang w:eastAsia="es-ES_tradnl"/>
        </w:rPr>
      </w:pPr>
      <w:r w:rsidRPr="002F3420">
        <w:rPr>
          <w:rFonts w:ascii="Verdana" w:eastAsia="Times New Roman" w:hAnsi="Verdana" w:cs="Arial"/>
          <w:sz w:val="21"/>
          <w:szCs w:val="21"/>
          <w:lang w:eastAsia="es-ES_tradnl"/>
        </w:rPr>
        <w:t>¿Cuál es el orden de los pasos a seguir?</w:t>
      </w:r>
    </w:p>
    <w:p w14:paraId="0AFA29D5" w14:textId="7BE52E80" w:rsidR="00367926" w:rsidRPr="002E78FE" w:rsidRDefault="002F3420" w:rsidP="002F3420">
      <w:pPr>
        <w:spacing w:after="0" w:line="240" w:lineRule="auto"/>
        <w:ind w:left="709" w:right="709"/>
        <w:contextualSpacing/>
        <w:jc w:val="both"/>
        <w:rPr>
          <w:rFonts w:ascii="Verdana" w:eastAsia="Times New Roman" w:hAnsi="Verdana" w:cs="Arial"/>
          <w:sz w:val="21"/>
          <w:szCs w:val="21"/>
          <w:lang w:eastAsia="es-ES_tradnl"/>
        </w:rPr>
      </w:pPr>
      <w:r w:rsidRPr="002F3420">
        <w:rPr>
          <w:rFonts w:ascii="Verdana" w:eastAsia="Times New Roman" w:hAnsi="Verdana" w:cs="Arial"/>
          <w:sz w:val="21"/>
          <w:szCs w:val="21"/>
          <w:lang w:eastAsia="es-ES_tradnl"/>
        </w:rPr>
        <w:t>¿Qué documentación debe presentar la nueva empresa?</w:t>
      </w:r>
      <w:r w:rsidR="00567E8B" w:rsidRPr="002E78FE">
        <w:rPr>
          <w:rFonts w:ascii="Verdana" w:eastAsia="Times New Roman" w:hAnsi="Verdana" w:cs="Arial"/>
          <w:sz w:val="21"/>
          <w:szCs w:val="21"/>
          <w:lang w:eastAsia="es-ES_tradnl"/>
        </w:rPr>
        <w:t>”.</w:t>
      </w:r>
    </w:p>
    <w:p w14:paraId="283D5A54" w14:textId="77777777" w:rsidR="006D4F5F" w:rsidRPr="002E78FE" w:rsidRDefault="006D4F5F" w:rsidP="00567E8B">
      <w:pPr>
        <w:spacing w:after="0" w:line="240" w:lineRule="auto"/>
        <w:ind w:left="709" w:right="709"/>
        <w:contextualSpacing/>
        <w:jc w:val="both"/>
        <w:rPr>
          <w:rFonts w:ascii="Verdana" w:eastAsia="Times New Roman" w:hAnsi="Verdana" w:cs="Arial"/>
          <w:sz w:val="21"/>
          <w:szCs w:val="21"/>
          <w:lang w:eastAsia="es-ES_tradnl"/>
        </w:rPr>
      </w:pPr>
    </w:p>
    <w:p w14:paraId="4DBA7306" w14:textId="77777777" w:rsidR="006D4F5F" w:rsidRPr="002E78FE" w:rsidRDefault="006D4F5F" w:rsidP="006D4F5F">
      <w:pPr>
        <w:spacing w:after="120" w:line="276" w:lineRule="auto"/>
        <w:ind w:firstLine="709"/>
        <w:jc w:val="both"/>
        <w:rPr>
          <w:rFonts w:ascii="Verdana" w:eastAsia="Calibri" w:hAnsi="Verdana" w:cs="Arial"/>
          <w:color w:val="000000"/>
          <w:szCs w:val="24"/>
          <w:lang w:val="es-ES_tradnl" w:eastAsia="es-ES_tradnl"/>
        </w:rPr>
      </w:pPr>
      <w:r w:rsidRPr="002E78F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2E78FE">
        <w:rPr>
          <w:rFonts w:ascii="Verdana" w:eastAsia="Calibri" w:hAnsi="Verdana" w:cs="Arial"/>
          <w:color w:val="000000"/>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78FE">
        <w:rPr>
          <w:rFonts w:ascii="Verdana" w:eastAsia="Calibri" w:hAnsi="Verdana" w:cs="Arial"/>
          <w:color w:val="000000"/>
          <w:szCs w:val="24"/>
          <w:lang w:val="es-ES_tradnl" w:eastAsia="es-ES_tradnl"/>
        </w:rPr>
        <w:tab/>
      </w:r>
    </w:p>
    <w:p w14:paraId="04DB79AF" w14:textId="03411272" w:rsidR="006D4F5F" w:rsidRPr="002E78FE" w:rsidRDefault="006D4F5F" w:rsidP="006D4F5F">
      <w:pPr>
        <w:spacing w:after="0" w:line="276" w:lineRule="auto"/>
        <w:ind w:firstLine="709"/>
        <w:jc w:val="both"/>
        <w:rPr>
          <w:rFonts w:ascii="Verdana" w:eastAsia="Calibri" w:hAnsi="Verdana" w:cs="Arial"/>
          <w:lang w:val="es-ES" w:eastAsia="es-ES"/>
        </w:rPr>
      </w:pPr>
      <w:r w:rsidRPr="002E78F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D96AFA" w:rsidRPr="002E78FE">
        <w:rPr>
          <w:rFonts w:ascii="Verdana" w:eastAsia="Calibri" w:hAnsi="Verdana" w:cs="Arial"/>
          <w:lang w:val="es-ES" w:eastAsia="es-ES"/>
        </w:rPr>
        <w:t>los</w:t>
      </w:r>
      <w:r w:rsidRPr="002E78FE">
        <w:rPr>
          <w:rFonts w:ascii="Verdana" w:eastAsia="Calibri" w:hAnsi="Verdana" w:cs="Arial"/>
          <w:lang w:val="es-ES" w:eastAsia="es-ES"/>
        </w:rPr>
        <w:t xml:space="preserve"> problema</w:t>
      </w:r>
      <w:r w:rsidR="00D96AFA" w:rsidRPr="002E78FE">
        <w:rPr>
          <w:rFonts w:ascii="Verdana" w:eastAsia="Calibri" w:hAnsi="Verdana" w:cs="Arial"/>
          <w:lang w:val="es-ES" w:eastAsia="es-ES"/>
        </w:rPr>
        <w:t>s</w:t>
      </w:r>
      <w:r w:rsidRPr="002E78FE">
        <w:rPr>
          <w:rFonts w:ascii="Verdana" w:eastAsia="Calibri" w:hAnsi="Verdana" w:cs="Arial"/>
          <w:lang w:val="es-ES" w:eastAsia="es-ES"/>
        </w:rPr>
        <w:t xml:space="preserve"> jurídico</w:t>
      </w:r>
      <w:r w:rsidR="00D96AFA" w:rsidRPr="002E78FE">
        <w:rPr>
          <w:rFonts w:ascii="Verdana" w:eastAsia="Calibri" w:hAnsi="Verdana" w:cs="Arial"/>
          <w:lang w:val="es-ES" w:eastAsia="es-ES"/>
        </w:rPr>
        <w:t>s</w:t>
      </w:r>
      <w:r w:rsidRPr="002E78FE">
        <w:rPr>
          <w:rFonts w:ascii="Verdana" w:eastAsia="Calibri" w:hAnsi="Verdana" w:cs="Arial"/>
          <w:lang w:val="es-ES" w:eastAsia="es-ES"/>
        </w:rPr>
        <w:t xml:space="preserve"> de su consulta. </w:t>
      </w:r>
    </w:p>
    <w:p w14:paraId="3A2397F0" w14:textId="77777777" w:rsidR="00367926" w:rsidRPr="002E78FE" w:rsidRDefault="00367926" w:rsidP="00367926">
      <w:pPr>
        <w:spacing w:after="0" w:line="276" w:lineRule="auto"/>
        <w:contextualSpacing/>
        <w:jc w:val="both"/>
        <w:rPr>
          <w:rFonts w:ascii="Verdana" w:eastAsia="Times New Roman" w:hAnsi="Verdana" w:cs="Arial"/>
          <w:szCs w:val="24"/>
          <w:lang w:val="es-ES_tradnl" w:eastAsia="es-ES_tradnl"/>
        </w:rPr>
      </w:pPr>
    </w:p>
    <w:p w14:paraId="02889793" w14:textId="78FBD510" w:rsidR="00367926" w:rsidRPr="002E78FE" w:rsidRDefault="006D4F5F" w:rsidP="006D4F5F">
      <w:pPr>
        <w:tabs>
          <w:tab w:val="left" w:pos="0"/>
          <w:tab w:val="left" w:pos="284"/>
        </w:tabs>
        <w:spacing w:after="0" w:line="276" w:lineRule="auto"/>
        <w:contextualSpacing/>
        <w:jc w:val="both"/>
        <w:rPr>
          <w:rFonts w:ascii="Verdana" w:eastAsia="Calibri" w:hAnsi="Verdana" w:cs="Arial"/>
          <w:b/>
          <w:lang w:val="es-ES_tradnl"/>
        </w:rPr>
      </w:pPr>
      <w:r w:rsidRPr="002E78FE">
        <w:rPr>
          <w:rFonts w:ascii="Verdana" w:eastAsia="Calibri" w:hAnsi="Verdana" w:cs="Arial"/>
          <w:b/>
          <w:lang w:val="es-ES_tradnl"/>
        </w:rPr>
        <w:t>1. Problema planteado:</w:t>
      </w:r>
    </w:p>
    <w:p w14:paraId="4D2B9D85" w14:textId="77777777" w:rsidR="00367926" w:rsidRPr="002E78FE" w:rsidRDefault="00367926" w:rsidP="00367926">
      <w:pPr>
        <w:tabs>
          <w:tab w:val="left" w:pos="0"/>
          <w:tab w:val="left" w:pos="284"/>
        </w:tabs>
        <w:spacing w:after="0" w:line="276" w:lineRule="auto"/>
        <w:contextualSpacing/>
        <w:jc w:val="both"/>
        <w:rPr>
          <w:rFonts w:ascii="Verdana" w:eastAsia="Calibri" w:hAnsi="Verdana" w:cs="Arial"/>
          <w:b/>
          <w:lang w:val="es-ES_tradnl"/>
        </w:rPr>
      </w:pPr>
    </w:p>
    <w:p w14:paraId="24B78F4C" w14:textId="4F4191C5" w:rsidR="00435993" w:rsidRPr="002E78FE" w:rsidRDefault="00435993" w:rsidP="00435993">
      <w:pPr>
        <w:spacing w:after="0" w:line="276" w:lineRule="auto"/>
        <w:jc w:val="both"/>
        <w:rPr>
          <w:rFonts w:ascii="Verdana" w:eastAsia="Century Gothic" w:hAnsi="Verdana" w:cs="Century Gothic"/>
        </w:rPr>
      </w:pPr>
      <w:r w:rsidRPr="002E78FE">
        <w:rPr>
          <w:rFonts w:ascii="Verdana" w:eastAsia="Century Gothic" w:hAnsi="Verdana" w:cs="Century Gothic"/>
        </w:rPr>
        <w:t xml:space="preserve">De acuerdo con el contenido de su solicitud, esta Agencia resolverá </w:t>
      </w:r>
      <w:r w:rsidR="00F13F6A" w:rsidRPr="002E78FE">
        <w:rPr>
          <w:rFonts w:ascii="Verdana" w:eastAsia="Century Gothic" w:hAnsi="Verdana" w:cs="Century Gothic"/>
        </w:rPr>
        <w:t xml:space="preserve">el </w:t>
      </w:r>
      <w:r w:rsidRPr="002E78FE">
        <w:rPr>
          <w:rFonts w:ascii="Verdana" w:eastAsia="Century Gothic" w:hAnsi="Verdana" w:cs="Century Gothic"/>
        </w:rPr>
        <w:t>siguiente problema jurídic</w:t>
      </w:r>
      <w:r w:rsidR="00D96AFA" w:rsidRPr="002E78FE">
        <w:rPr>
          <w:rFonts w:ascii="Verdana" w:eastAsia="Century Gothic" w:hAnsi="Verdana" w:cs="Century Gothic"/>
        </w:rPr>
        <w:t>o</w:t>
      </w:r>
      <w:r w:rsidRPr="002E78FE">
        <w:rPr>
          <w:rFonts w:ascii="Verdana" w:eastAsia="Century Gothic" w:hAnsi="Verdana" w:cs="Century Gothic"/>
        </w:rPr>
        <w:t>: ¿</w:t>
      </w:r>
      <w:r w:rsidR="00CB2106">
        <w:rPr>
          <w:rFonts w:ascii="Verdana" w:eastAsia="Century Gothic" w:hAnsi="Verdana" w:cs="Century Gothic"/>
        </w:rPr>
        <w:t>Cuáles son los requisitos para ceder un contrato de interventoría con más de 30 años de vigencia, y que cuenta con la autorización de la entidad contratante</w:t>
      </w:r>
      <w:r w:rsidR="00D96AFA" w:rsidRPr="002E78FE">
        <w:rPr>
          <w:rFonts w:ascii="Verdana" w:eastAsia="Century Gothic" w:hAnsi="Verdana" w:cs="Century Gothic"/>
        </w:rPr>
        <w:t>?</w:t>
      </w:r>
      <w:r w:rsidRPr="002E78FE">
        <w:rPr>
          <w:rFonts w:ascii="Verdana" w:eastAsia="Century Gothic" w:hAnsi="Verdana" w:cs="Century Gothic"/>
        </w:rPr>
        <w:t xml:space="preserve"> </w:t>
      </w:r>
    </w:p>
    <w:p w14:paraId="6CBD777F" w14:textId="77777777" w:rsidR="006D4F5F" w:rsidRPr="002E78FE" w:rsidRDefault="006D4F5F" w:rsidP="00367926">
      <w:pPr>
        <w:spacing w:after="0" w:line="276" w:lineRule="auto"/>
        <w:ind w:firstLine="709"/>
        <w:jc w:val="both"/>
        <w:rPr>
          <w:rFonts w:ascii="Verdana" w:eastAsia="Calibri" w:hAnsi="Verdana" w:cs="Arial"/>
          <w:lang w:val="es-ES" w:eastAsia="es-ES_tradnl"/>
        </w:rPr>
      </w:pPr>
    </w:p>
    <w:p w14:paraId="5E81D2C3" w14:textId="55AF72B3" w:rsidR="006D4F5F" w:rsidRPr="002E78FE" w:rsidRDefault="006D4F5F" w:rsidP="006D4F5F">
      <w:pPr>
        <w:tabs>
          <w:tab w:val="left" w:pos="142"/>
          <w:tab w:val="left" w:pos="284"/>
        </w:tabs>
        <w:spacing w:after="0" w:line="276" w:lineRule="auto"/>
        <w:jc w:val="both"/>
        <w:rPr>
          <w:rFonts w:ascii="Verdana" w:eastAsia="Century Gothic" w:hAnsi="Verdana" w:cs="Century Gothic"/>
          <w:b/>
          <w:bCs/>
        </w:rPr>
      </w:pPr>
      <w:r w:rsidRPr="002E78FE">
        <w:rPr>
          <w:rFonts w:ascii="Verdana" w:eastAsia="Century Gothic" w:hAnsi="Verdana" w:cs="Century Gothic"/>
          <w:b/>
          <w:bCs/>
        </w:rPr>
        <w:t>2. Respuesta:</w:t>
      </w:r>
    </w:p>
    <w:p w14:paraId="357F5F61" w14:textId="77777777" w:rsidR="006D4F5F" w:rsidRPr="002E78FE" w:rsidRDefault="006D4F5F" w:rsidP="006D4F5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D4F5F" w:rsidRPr="002E78FE" w14:paraId="6BF9AB8D" w14:textId="77777777" w:rsidTr="008E0107">
        <w:tc>
          <w:tcPr>
            <w:tcW w:w="8828" w:type="dxa"/>
            <w:shd w:val="clear" w:color="auto" w:fill="auto"/>
          </w:tcPr>
          <w:p w14:paraId="04324F9A" w14:textId="0D7B3CA7" w:rsidR="00165F7B" w:rsidRDefault="00566F58" w:rsidP="00566F58">
            <w:pPr>
              <w:spacing w:after="120" w:line="276" w:lineRule="auto"/>
              <w:jc w:val="both"/>
              <w:rPr>
                <w:rFonts w:ascii="Verdana" w:hAnsi="Verdana" w:cs="Arial"/>
                <w:color w:val="000000" w:themeColor="text1"/>
              </w:rPr>
            </w:pPr>
            <w:r>
              <w:rPr>
                <w:rFonts w:ascii="Verdana" w:eastAsia="Calibri" w:hAnsi="Verdana" w:cs="Arial"/>
                <w:color w:val="000000" w:themeColor="text1"/>
              </w:rPr>
              <w:t>E</w:t>
            </w:r>
            <w:r w:rsidRPr="00566F58">
              <w:rPr>
                <w:rFonts w:ascii="Verdana" w:eastAsia="Calibri" w:hAnsi="Verdana" w:cs="Arial"/>
                <w:color w:val="000000" w:themeColor="text1"/>
              </w:rPr>
              <w:t>n los contratos estatales cuya ejecución aún no haya sido cumplida en todo o en parte, el contratista podrá hacerse sustituir por un tercero en la relación derivada del contrato, quien en adelante ocupará su posición jurídica.</w:t>
            </w:r>
            <w:r w:rsidRPr="00566F58">
              <w:rPr>
                <w:rFonts w:ascii="Verdana" w:hAnsi="Verdana" w:cs="Arial"/>
                <w:color w:val="000000" w:themeColor="text1"/>
              </w:rPr>
              <w:t xml:space="preserve"> Es una de las posibilidades en las cuales existe una modificación de uno de los extremos de la relación contractual, es decir de uno de los sujetos, siempre que sea autorizada previamente por la entidad cedida</w:t>
            </w:r>
            <w:r w:rsidR="00563B23">
              <w:rPr>
                <w:rFonts w:ascii="Verdana" w:hAnsi="Verdana" w:cs="Arial"/>
                <w:color w:val="000000" w:themeColor="text1"/>
              </w:rPr>
              <w:t>;</w:t>
            </w:r>
            <w:r w:rsidRPr="00566F58">
              <w:rPr>
                <w:rFonts w:ascii="Verdana" w:hAnsi="Verdana" w:cs="Arial"/>
                <w:color w:val="000000" w:themeColor="text1"/>
              </w:rPr>
              <w:t xml:space="preserve"> </w:t>
            </w:r>
            <w:r w:rsidR="00563B23">
              <w:rPr>
                <w:rFonts w:ascii="Verdana" w:hAnsi="Verdana" w:cs="Arial"/>
                <w:color w:val="000000" w:themeColor="text1"/>
              </w:rPr>
              <w:t>y respecto de su pregunta sobre los requisitos de la cesión, es necesaria</w:t>
            </w:r>
            <w:r w:rsidRPr="00566F58">
              <w:rPr>
                <w:rFonts w:ascii="Verdana" w:hAnsi="Verdana" w:cs="Arial"/>
                <w:color w:val="000000" w:themeColor="text1"/>
              </w:rPr>
              <w:t xml:space="preserve"> la suscripción de un contrato entre el cedente y el cesionario, de manera que es de carácter bilateral en la medida en que es el resultado de un acuerdo voluntades. </w:t>
            </w:r>
          </w:p>
          <w:p w14:paraId="47146F0C" w14:textId="5EA03576" w:rsidR="00566F58" w:rsidRPr="002E78FE" w:rsidRDefault="00563B23" w:rsidP="00563B23">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El Consejo de Estado señaló requisitos adicionales como:</w:t>
            </w:r>
            <w:r w:rsidR="00736752">
              <w:rPr>
                <w:rFonts w:ascii="Verdana" w:eastAsia="Calibri" w:hAnsi="Verdana" w:cs="Arial"/>
                <w:szCs w:val="24"/>
                <w:lang w:val="es-ES" w:eastAsia="es-ES_tradnl"/>
              </w:rPr>
              <w:t xml:space="preserve"> </w:t>
            </w:r>
            <w:r w:rsidR="00736752" w:rsidRPr="00693967">
              <w:rPr>
                <w:rFonts w:ascii="Verdana" w:eastAsia="Calibri" w:hAnsi="Verdana" w:cs="Arial"/>
                <w:color w:val="000000" w:themeColor="text1"/>
              </w:rPr>
              <w:t>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w:t>
            </w:r>
            <w:r w:rsidR="00736752">
              <w:rPr>
                <w:rFonts w:ascii="Verdana" w:eastAsia="Calibri" w:hAnsi="Verdana" w:cs="Arial"/>
                <w:color w:val="000000" w:themeColor="text1"/>
              </w:rPr>
              <w:t>.</w:t>
            </w:r>
          </w:p>
          <w:p w14:paraId="727ACC39" w14:textId="17068044" w:rsidR="006D4F5F" w:rsidRPr="002E78FE" w:rsidRDefault="00D96AFA" w:rsidP="00E47C5E">
            <w:pPr>
              <w:spacing w:after="120" w:line="276" w:lineRule="auto"/>
              <w:ind w:firstLine="709"/>
              <w:jc w:val="both"/>
              <w:rPr>
                <w:rFonts w:ascii="Verdana" w:eastAsia="Calibri" w:hAnsi="Verdana" w:cs="Arial"/>
                <w:color w:val="7030A0"/>
              </w:rPr>
            </w:pPr>
            <w:r w:rsidRPr="002E78FE">
              <w:rPr>
                <w:rFonts w:ascii="Verdana" w:eastAsia="Times New Roman" w:hAnsi="Verdana" w:cs="Arial"/>
                <w:lang w:eastAsia="es-ES_tradnl"/>
              </w:rPr>
              <w:lastRenderedPageBreak/>
              <w:t xml:space="preserve">Sin perjuicio de las aclaraciones anteriores, debe advertirse que es la entidad contratante, al momento de adelantar su actividad contractual, quien debe determinar lo correspondiente </w:t>
            </w:r>
            <w:r w:rsidR="008936A6" w:rsidRPr="002E78FE">
              <w:rPr>
                <w:rFonts w:ascii="Verdana" w:eastAsia="Times New Roman" w:hAnsi="Verdana" w:cs="Arial"/>
                <w:lang w:eastAsia="es-ES_tradnl"/>
              </w:rPr>
              <w:t xml:space="preserve">a </w:t>
            </w:r>
            <w:r w:rsidR="00566F58">
              <w:rPr>
                <w:rFonts w:ascii="Verdana" w:eastAsia="Times New Roman" w:hAnsi="Verdana" w:cs="Arial"/>
                <w:lang w:eastAsia="es-ES_tradnl"/>
              </w:rPr>
              <w:t>la cesión del contrato estatal</w:t>
            </w:r>
            <w:r w:rsidRPr="002E78FE">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56250A4C" w14:textId="77777777" w:rsidR="00367926" w:rsidRPr="002E78FE" w:rsidRDefault="00367926" w:rsidP="00367926">
      <w:pPr>
        <w:spacing w:after="0" w:line="276" w:lineRule="auto"/>
        <w:contextualSpacing/>
        <w:jc w:val="both"/>
        <w:rPr>
          <w:rFonts w:ascii="Verdana" w:eastAsia="Times New Roman" w:hAnsi="Verdana" w:cs="Arial"/>
          <w:lang w:eastAsia="es-ES_tradnl"/>
        </w:rPr>
      </w:pPr>
    </w:p>
    <w:p w14:paraId="47BD546B" w14:textId="38E33E55" w:rsidR="006D4F5F" w:rsidRPr="002E78FE" w:rsidRDefault="006D4F5F" w:rsidP="006D4F5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E78FE">
        <w:rPr>
          <w:rFonts w:ascii="Verdana" w:eastAsia="Century Gothic" w:hAnsi="Verdana" w:cs="Century Gothic"/>
          <w:b/>
          <w:bCs/>
        </w:rPr>
        <w:t>3. Razones de la respuesta:</w:t>
      </w:r>
    </w:p>
    <w:p w14:paraId="455C5540" w14:textId="77777777" w:rsidR="006D4F5F" w:rsidRPr="002E78FE" w:rsidRDefault="006D4F5F" w:rsidP="006D4F5F">
      <w:pPr>
        <w:spacing w:after="0" w:line="276" w:lineRule="auto"/>
        <w:jc w:val="both"/>
        <w:rPr>
          <w:rFonts w:ascii="Verdana" w:eastAsia="Calibri" w:hAnsi="Verdana" w:cs="Arial"/>
          <w:color w:val="7030A0"/>
          <w:lang w:val="es-ES"/>
        </w:rPr>
      </w:pPr>
    </w:p>
    <w:p w14:paraId="023F63ED" w14:textId="77777777" w:rsidR="006D4F5F" w:rsidRPr="002E78FE" w:rsidRDefault="006D4F5F" w:rsidP="006D4F5F">
      <w:pPr>
        <w:spacing w:after="0" w:line="276" w:lineRule="auto"/>
        <w:jc w:val="both"/>
        <w:rPr>
          <w:rFonts w:ascii="Verdana" w:eastAsia="Calibri" w:hAnsi="Verdana" w:cs="Arial"/>
          <w:lang w:val="es-ES"/>
        </w:rPr>
      </w:pPr>
      <w:r w:rsidRPr="002E78FE">
        <w:rPr>
          <w:rFonts w:ascii="Verdana" w:eastAsia="Calibri" w:hAnsi="Verdana" w:cs="Arial"/>
          <w:lang w:val="es-ES"/>
        </w:rPr>
        <w:t xml:space="preserve">Lo anterior se sustenta en las siguientes consideraciones: </w:t>
      </w:r>
    </w:p>
    <w:p w14:paraId="0B2FDF2E" w14:textId="77777777" w:rsidR="00AF7CDB" w:rsidRPr="002E78FE" w:rsidRDefault="00AF7CDB" w:rsidP="006D4F5F">
      <w:pPr>
        <w:spacing w:after="0" w:line="276" w:lineRule="auto"/>
        <w:jc w:val="both"/>
        <w:rPr>
          <w:rFonts w:ascii="Verdana" w:eastAsia="Calibri" w:hAnsi="Verdana" w:cs="Arial"/>
          <w:lang w:val="es-ES"/>
        </w:rPr>
      </w:pPr>
    </w:p>
    <w:p w14:paraId="5690B7EE" w14:textId="77777777" w:rsidR="00022000" w:rsidRPr="00022000" w:rsidRDefault="00022000" w:rsidP="00022000">
      <w:pPr>
        <w:pStyle w:val="Prrafodelista"/>
        <w:numPr>
          <w:ilvl w:val="0"/>
          <w:numId w:val="16"/>
        </w:numPr>
        <w:spacing w:after="120" w:line="276" w:lineRule="auto"/>
        <w:jc w:val="both"/>
        <w:rPr>
          <w:rFonts w:ascii="Verdana" w:eastAsia="Calibri" w:hAnsi="Verdana" w:cs="Arial"/>
          <w:color w:val="000000" w:themeColor="text1"/>
        </w:rPr>
      </w:pPr>
      <w:r w:rsidRPr="00022000">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B13D23">
        <w:rPr>
          <w:rStyle w:val="Refdenotaalpie"/>
          <w:rFonts w:ascii="Verdana" w:eastAsia="Calibri" w:hAnsi="Verdana" w:cs="Arial"/>
          <w:bCs/>
          <w:color w:val="000000" w:themeColor="text1"/>
        </w:rPr>
        <w:footnoteReference w:id="1"/>
      </w:r>
      <w:r w:rsidRPr="00022000">
        <w:rPr>
          <w:rFonts w:ascii="Verdana" w:eastAsia="Calibri" w:hAnsi="Verdana" w:cs="Arial"/>
          <w:bCs/>
          <w:color w:val="000000" w:themeColor="text1"/>
        </w:rPr>
        <w:t>.</w:t>
      </w:r>
      <w:r w:rsidRPr="00022000">
        <w:rPr>
          <w:rFonts w:ascii="Verdana" w:eastAsia="Calibri" w:hAnsi="Verdana" w:cs="Arial"/>
          <w:color w:val="000000" w:themeColor="text1"/>
        </w:rPr>
        <w:t xml:space="preserve"> </w:t>
      </w:r>
      <w:r w:rsidRPr="00022000">
        <w:rPr>
          <w:rFonts w:ascii="Verdana" w:hAnsi="Verdana" w:cs="Arial"/>
        </w:rPr>
        <w:t xml:space="preserve">Para la doctrina, “La cesión del contrato sirve para hacer posible la </w:t>
      </w:r>
      <w:r w:rsidRPr="00022000">
        <w:rPr>
          <w:rFonts w:ascii="Verdana" w:hAnsi="Verdana" w:cs="Arial"/>
          <w:i/>
          <w:iCs/>
        </w:rPr>
        <w:t>circulación del contrato en su integridad</w:t>
      </w:r>
      <w:r w:rsidRPr="00022000">
        <w:rPr>
          <w:rFonts w:ascii="Verdana" w:hAnsi="Verdana" w:cs="Arial"/>
        </w:rPr>
        <w:t xml:space="preserve">, es decir, para hacer </w:t>
      </w:r>
      <w:r w:rsidRPr="00022000">
        <w:rPr>
          <w:rFonts w:ascii="Verdana" w:hAnsi="Verdana" w:cs="Arial"/>
          <w:i/>
          <w:iCs/>
        </w:rPr>
        <w:t>subintrar</w:t>
      </w:r>
      <w:r w:rsidRPr="00022000">
        <w:rPr>
          <w:rFonts w:ascii="Verdana" w:hAnsi="Verdana" w:cs="Arial"/>
        </w:rPr>
        <w:t xml:space="preserve"> un extraño en la categoría de parte contractual, en </w:t>
      </w:r>
      <w:r w:rsidRPr="00022000">
        <w:rPr>
          <w:rFonts w:ascii="Verdana" w:hAnsi="Verdana" w:cs="Arial"/>
          <w:i/>
          <w:iCs/>
        </w:rPr>
        <w:t>lugar</w:t>
      </w:r>
      <w:r w:rsidRPr="00022000">
        <w:rPr>
          <w:rFonts w:ascii="Verdana" w:hAnsi="Verdana" w:cs="Arial"/>
        </w:rPr>
        <w:t xml:space="preserve"> de uno de los contratantes originarios”</w:t>
      </w:r>
      <w:r w:rsidRPr="00B13D23">
        <w:rPr>
          <w:rStyle w:val="Refdenotaalpie"/>
          <w:rFonts w:ascii="Verdana" w:hAnsi="Verdana" w:cs="Arial"/>
          <w:color w:val="000000" w:themeColor="text1"/>
        </w:rPr>
        <w:footnoteReference w:id="2"/>
      </w:r>
      <w:r w:rsidRPr="00022000">
        <w:rPr>
          <w:rFonts w:ascii="Verdana" w:hAnsi="Verdana" w:cs="Arial"/>
        </w:rPr>
        <w:t>.</w:t>
      </w:r>
    </w:p>
    <w:p w14:paraId="4B0CAC81" w14:textId="77777777" w:rsidR="00693967" w:rsidRDefault="00693967" w:rsidP="00693967">
      <w:pPr>
        <w:pStyle w:val="Prrafodelista"/>
        <w:spacing w:after="0" w:line="276" w:lineRule="auto"/>
        <w:jc w:val="both"/>
        <w:rPr>
          <w:rFonts w:ascii="Verdana" w:eastAsia="Calibri" w:hAnsi="Verdana" w:cs="Arial"/>
          <w:color w:val="000000" w:themeColor="text1"/>
        </w:rPr>
      </w:pPr>
    </w:p>
    <w:p w14:paraId="08ED11A9" w14:textId="5411D45C" w:rsidR="00022000" w:rsidRPr="00693967" w:rsidRDefault="00022000" w:rsidP="00693967">
      <w:pPr>
        <w:pStyle w:val="Prrafodelista"/>
        <w:numPr>
          <w:ilvl w:val="0"/>
          <w:numId w:val="16"/>
        </w:numPr>
        <w:spacing w:after="0" w:line="276" w:lineRule="auto"/>
        <w:jc w:val="both"/>
        <w:rPr>
          <w:rFonts w:ascii="Verdana" w:eastAsia="Calibri" w:hAnsi="Verdana" w:cs="Arial"/>
          <w:color w:val="000000" w:themeColor="text1"/>
        </w:rPr>
      </w:pPr>
      <w:r w:rsidRPr="00693967">
        <w:rPr>
          <w:rFonts w:ascii="Verdana" w:eastAsia="Calibri" w:hAnsi="Verdana" w:cs="Arial"/>
          <w:color w:val="000000" w:themeColor="text1"/>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693967">
        <w:rPr>
          <w:rFonts w:ascii="Verdana" w:eastAsia="Calibri" w:hAnsi="Verdana" w:cs="Arial"/>
          <w:color w:val="000000" w:themeColor="text1"/>
        </w:rPr>
        <w:t>subentra</w:t>
      </w:r>
      <w:proofErr w:type="spellEnd"/>
      <w:r w:rsidRPr="00693967">
        <w:rPr>
          <w:rFonts w:ascii="Verdana" w:eastAsia="Calibri" w:hAnsi="Verdana" w:cs="Arial"/>
          <w:color w:val="000000" w:themeColor="text1"/>
        </w:rPr>
        <w:t xml:space="preserve"> en la relación con el cedido […]”</w:t>
      </w:r>
      <w:r w:rsidRPr="00B13D23">
        <w:rPr>
          <w:rStyle w:val="Refdenotaalpie"/>
          <w:rFonts w:ascii="Verdana" w:eastAsia="Calibri" w:hAnsi="Verdana" w:cs="Arial"/>
          <w:color w:val="000000" w:themeColor="text1"/>
        </w:rPr>
        <w:footnoteReference w:id="3"/>
      </w:r>
      <w:r w:rsidRPr="00693967">
        <w:rPr>
          <w:rFonts w:ascii="Verdana" w:eastAsia="Calibri" w:hAnsi="Verdana" w:cs="Arial"/>
          <w:color w:val="000000" w:themeColor="text1"/>
        </w:rPr>
        <w:t xml:space="preserve">. Por otro, “[…] es la transferencia de la posición contractual de un contratante a otro sujeto, que le </w:t>
      </w:r>
      <w:proofErr w:type="spellStart"/>
      <w:r w:rsidRPr="00693967">
        <w:rPr>
          <w:rFonts w:ascii="Verdana" w:eastAsia="Calibri" w:hAnsi="Verdana" w:cs="Arial"/>
          <w:color w:val="000000" w:themeColor="text1"/>
        </w:rPr>
        <w:t>subentra</w:t>
      </w:r>
      <w:proofErr w:type="spellEnd"/>
      <w:r w:rsidRPr="00693967">
        <w:rPr>
          <w:rFonts w:ascii="Verdana" w:eastAsia="Calibri" w:hAnsi="Verdana" w:cs="Arial"/>
          <w:color w:val="000000" w:themeColor="text1"/>
        </w:rPr>
        <w:t xml:space="preserve"> en la relación con la contraparte […]”</w:t>
      </w:r>
      <w:r w:rsidRPr="00B13D23">
        <w:rPr>
          <w:rStyle w:val="Refdenotaalpie"/>
          <w:rFonts w:ascii="Verdana" w:eastAsia="Calibri" w:hAnsi="Verdana" w:cs="Arial"/>
          <w:color w:val="000000" w:themeColor="text1"/>
        </w:rPr>
        <w:footnoteReference w:id="4"/>
      </w:r>
      <w:r w:rsidRPr="00693967">
        <w:rPr>
          <w:rFonts w:ascii="Verdana" w:eastAsia="Calibri" w:hAnsi="Verdana" w:cs="Arial"/>
          <w:color w:val="000000" w:themeColor="text1"/>
        </w:rPr>
        <w:t xml:space="preserve">. De esta </w:t>
      </w:r>
      <w:r w:rsidRPr="00693967">
        <w:rPr>
          <w:rFonts w:ascii="Verdana" w:eastAsia="Calibri" w:hAnsi="Verdana" w:cs="Arial"/>
          <w:color w:val="000000" w:themeColor="text1"/>
        </w:rPr>
        <w:lastRenderedPageBreak/>
        <w:t xml:space="preserve">manera, </w:t>
      </w:r>
      <w:r w:rsidRPr="00693967">
        <w:rPr>
          <w:rFonts w:ascii="Verdana" w:hAnsi="Verdana" w:cs="Arial"/>
          <w:color w:val="000000" w:themeColor="text1"/>
        </w:rPr>
        <w:t xml:space="preserve">concurren tres (3) sujetos: i) el cedente, esto es, el contratista inicial; ii) el cesionario, es decir, quien asume total o parcialmente los derechos y obligaciones de este último; y iii) el cedido que, en el caso de los contratos estatales, sería la entidad que suscribió el contrato. </w:t>
      </w:r>
      <w:r w:rsidRPr="00693967">
        <w:rPr>
          <w:rFonts w:ascii="Verdana" w:eastAsia="Calibri" w:hAnsi="Verdana" w:cs="Arial"/>
          <w:color w:val="000000" w:themeColor="text1"/>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09CB3EF7" w14:textId="77777777" w:rsidR="00022000" w:rsidRPr="00B13D23" w:rsidRDefault="00022000" w:rsidP="00022000">
      <w:pPr>
        <w:spacing w:after="0" w:line="276" w:lineRule="auto"/>
        <w:ind w:firstLine="708"/>
        <w:jc w:val="both"/>
        <w:rPr>
          <w:rFonts w:ascii="Verdana" w:hAnsi="Verdana" w:cs="Arial"/>
          <w:color w:val="000000" w:themeColor="text1"/>
        </w:rPr>
      </w:pPr>
    </w:p>
    <w:p w14:paraId="553B308B" w14:textId="77777777" w:rsidR="00022000" w:rsidRPr="00B13D23" w:rsidRDefault="00022000" w:rsidP="00022000">
      <w:pPr>
        <w:tabs>
          <w:tab w:val="left" w:pos="709"/>
        </w:tabs>
        <w:spacing w:after="0" w:line="240" w:lineRule="auto"/>
        <w:ind w:left="709" w:right="709"/>
        <w:jc w:val="both"/>
        <w:rPr>
          <w:rFonts w:ascii="Verdana" w:eastAsia="Calibri" w:hAnsi="Verdana" w:cs="Arial"/>
          <w:color w:val="000000" w:themeColor="text1"/>
          <w:sz w:val="21"/>
          <w:szCs w:val="21"/>
        </w:rPr>
      </w:pPr>
      <w:r w:rsidRPr="00B13D23">
        <w:rPr>
          <w:rFonts w:ascii="Verdana" w:eastAsia="Calibri" w:hAnsi="Verdana" w:cs="Arial"/>
          <w:color w:val="000000" w:themeColor="text1"/>
          <w:sz w:val="21"/>
          <w:szCs w:val="21"/>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B13D23">
        <w:rPr>
          <w:rStyle w:val="Refdenotaalpie"/>
          <w:rFonts w:ascii="Verdana" w:eastAsia="Calibri" w:hAnsi="Verdana" w:cs="Arial"/>
          <w:color w:val="000000" w:themeColor="text1"/>
          <w:sz w:val="21"/>
          <w:szCs w:val="21"/>
        </w:rPr>
        <w:footnoteReference w:id="5"/>
      </w:r>
      <w:r w:rsidRPr="00B13D23">
        <w:rPr>
          <w:rFonts w:ascii="Verdana" w:eastAsia="Calibri" w:hAnsi="Verdana" w:cs="Arial"/>
          <w:color w:val="000000" w:themeColor="text1"/>
          <w:sz w:val="21"/>
          <w:szCs w:val="21"/>
        </w:rPr>
        <w:t>.</w:t>
      </w:r>
    </w:p>
    <w:p w14:paraId="5AC221C8" w14:textId="77777777" w:rsidR="00022000" w:rsidRPr="00B13D23" w:rsidRDefault="00022000" w:rsidP="00022000">
      <w:pPr>
        <w:tabs>
          <w:tab w:val="left" w:pos="709"/>
        </w:tabs>
        <w:spacing w:after="0" w:line="276" w:lineRule="auto"/>
        <w:ind w:left="709" w:right="709"/>
        <w:jc w:val="both"/>
        <w:rPr>
          <w:rFonts w:ascii="Verdana" w:eastAsia="Calibri" w:hAnsi="Verdana" w:cs="Arial"/>
          <w:color w:val="000000" w:themeColor="text1"/>
        </w:rPr>
      </w:pPr>
    </w:p>
    <w:p w14:paraId="6496D4F7" w14:textId="77777777" w:rsidR="00022000" w:rsidRPr="00693967" w:rsidRDefault="00022000" w:rsidP="00693967">
      <w:pPr>
        <w:pStyle w:val="Prrafodelista"/>
        <w:numPr>
          <w:ilvl w:val="0"/>
          <w:numId w:val="17"/>
        </w:numPr>
        <w:spacing w:after="120" w:line="276" w:lineRule="auto"/>
        <w:jc w:val="both"/>
        <w:rPr>
          <w:rFonts w:ascii="Verdana" w:eastAsia="Calibri" w:hAnsi="Verdana" w:cs="Arial"/>
          <w:color w:val="000000" w:themeColor="text1"/>
        </w:rPr>
      </w:pPr>
      <w:r w:rsidRPr="00693967">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ii) corresponderán como actos jurídicos bilaterales generadores de obligaciones, entre otros, a los previstos en el derecho privado, en los términos del artículo 32 </w:t>
      </w:r>
      <w:r w:rsidRPr="00693967">
        <w:rPr>
          <w:rFonts w:ascii="Verdana" w:eastAsia="Calibri" w:hAnsi="Verdana" w:cs="Arial"/>
          <w:i/>
          <w:iCs/>
          <w:color w:val="000000" w:themeColor="text1"/>
        </w:rPr>
        <w:t>ibidem</w:t>
      </w:r>
      <w:r w:rsidRPr="00693967">
        <w:rPr>
          <w:rFonts w:ascii="Verdana" w:eastAsia="Calibri" w:hAnsi="Verdana" w:cs="Arial"/>
          <w:color w:val="000000" w:themeColor="text1"/>
        </w:rPr>
        <w:t xml:space="preserve">; y iii) contendrán las estipulaciones que, de acuerdo con las normas civiles, comerciales y las previstas en esta ley, correspondan a su esencia y naturaleza, conforme a lo dispuesto por el artículo 40 </w:t>
      </w:r>
      <w:r w:rsidRPr="00693967">
        <w:rPr>
          <w:rFonts w:ascii="Verdana" w:eastAsia="Calibri" w:hAnsi="Verdana" w:cs="Arial"/>
          <w:i/>
          <w:iCs/>
          <w:color w:val="000000" w:themeColor="text1"/>
        </w:rPr>
        <w:t>ibidem</w:t>
      </w:r>
      <w:r w:rsidRPr="00693967">
        <w:rPr>
          <w:rFonts w:ascii="Verdana" w:eastAsia="Calibri" w:hAnsi="Verdana" w:cs="Arial"/>
          <w:color w:val="000000" w:themeColor="text1"/>
        </w:rPr>
        <w:t xml:space="preserve">. </w:t>
      </w:r>
    </w:p>
    <w:p w14:paraId="034EC8A0" w14:textId="77777777" w:rsidR="00693967" w:rsidRDefault="00693967" w:rsidP="00693967">
      <w:pPr>
        <w:pStyle w:val="Prrafodelista"/>
        <w:spacing w:after="120" w:line="276" w:lineRule="auto"/>
        <w:jc w:val="both"/>
        <w:rPr>
          <w:rFonts w:ascii="Verdana" w:eastAsia="Calibri" w:hAnsi="Verdana" w:cs="Arial"/>
          <w:color w:val="000000" w:themeColor="text1"/>
        </w:rPr>
      </w:pPr>
    </w:p>
    <w:p w14:paraId="3570047D" w14:textId="77777777" w:rsidR="00693967" w:rsidRDefault="00022000" w:rsidP="00693967">
      <w:pPr>
        <w:pStyle w:val="Prrafodelista"/>
        <w:numPr>
          <w:ilvl w:val="0"/>
          <w:numId w:val="17"/>
        </w:numPr>
        <w:spacing w:after="120" w:line="276" w:lineRule="auto"/>
        <w:jc w:val="both"/>
        <w:rPr>
          <w:rFonts w:ascii="Verdana" w:eastAsia="Calibri" w:hAnsi="Verdana" w:cs="Arial"/>
          <w:color w:val="000000" w:themeColor="text1"/>
        </w:rPr>
      </w:pPr>
      <w:r w:rsidRPr="00693967">
        <w:rPr>
          <w:rFonts w:ascii="Verdana" w:eastAsia="Calibri" w:hAnsi="Verdana" w:cs="Arial"/>
          <w:color w:val="000000" w:themeColor="text1"/>
        </w:rPr>
        <w:lastRenderedPageBreak/>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2569008F" w14:textId="77777777" w:rsidR="00693967" w:rsidRPr="00693967" w:rsidRDefault="00693967" w:rsidP="00693967">
      <w:pPr>
        <w:pStyle w:val="Prrafodelista"/>
        <w:rPr>
          <w:rFonts w:ascii="Verdana" w:eastAsia="Calibri" w:hAnsi="Verdana" w:cs="Arial"/>
          <w:color w:val="000000" w:themeColor="text1"/>
        </w:rPr>
      </w:pPr>
    </w:p>
    <w:p w14:paraId="64436C9B" w14:textId="6E25A677" w:rsidR="00022000" w:rsidRPr="00693967" w:rsidRDefault="00022000" w:rsidP="00693967">
      <w:pPr>
        <w:pStyle w:val="Prrafodelista"/>
        <w:numPr>
          <w:ilvl w:val="0"/>
          <w:numId w:val="17"/>
        </w:numPr>
        <w:spacing w:after="120" w:line="276" w:lineRule="auto"/>
        <w:jc w:val="both"/>
        <w:rPr>
          <w:rFonts w:ascii="Verdana" w:eastAsia="Calibri" w:hAnsi="Verdana" w:cs="Arial"/>
          <w:color w:val="000000" w:themeColor="text1"/>
        </w:rPr>
      </w:pPr>
      <w:r w:rsidRPr="00693967">
        <w:rPr>
          <w:rFonts w:ascii="Verdana" w:eastAsia="Calibri" w:hAnsi="Verdana" w:cs="Arial"/>
          <w:color w:val="000000" w:themeColor="text1"/>
        </w:rPr>
        <w:t>Por ello, es pertinente indicar que el Decreto Ley 410 de 1971 contempla ciertas disposiciones que no se encuentran en la Ley 80 de 1993, lo que conlleva su aplicación en materia de contratos estatales. Por ejemplo, el artículo 890 establece lo relativo a la responsabilidad del cedente frente al cesionario y en torno a la existencia, validez y garantías del contrato cedido</w:t>
      </w:r>
      <w:r w:rsidRPr="00B13D23">
        <w:rPr>
          <w:rStyle w:val="Refdenotaalpie"/>
          <w:rFonts w:ascii="Verdana" w:eastAsia="Calibri" w:hAnsi="Verdana" w:cs="Arial"/>
          <w:color w:val="000000" w:themeColor="text1"/>
        </w:rPr>
        <w:footnoteReference w:id="6"/>
      </w:r>
      <w:r w:rsidRPr="00693967">
        <w:rPr>
          <w:rFonts w:ascii="Verdana" w:eastAsia="Calibri" w:hAnsi="Verdana" w:cs="Arial"/>
          <w:color w:val="000000" w:themeColor="text1"/>
        </w:rPr>
        <w:t>. Por otra parte, el artículo 891 obliga al cesionario a avisar al cedente de la mora o el incumplimiento dentro de los 10 días siguientes, siempre y cuando este se haya obligado a garantizar el cumplimiento por parte del contratante cedido</w:t>
      </w:r>
      <w:r w:rsidRPr="00B13D23">
        <w:rPr>
          <w:rStyle w:val="Refdenotaalpie"/>
          <w:rFonts w:ascii="Verdana" w:eastAsia="Calibri" w:hAnsi="Verdana" w:cs="Arial"/>
          <w:color w:val="000000" w:themeColor="text1"/>
        </w:rPr>
        <w:footnoteReference w:id="7"/>
      </w:r>
      <w:r w:rsidRPr="00693967">
        <w:rPr>
          <w:rFonts w:ascii="Verdana" w:eastAsia="Calibri" w:hAnsi="Verdana" w:cs="Arial"/>
          <w:color w:val="000000" w:themeColor="text1"/>
        </w:rPr>
        <w:t>.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w:t>
      </w:r>
      <w:r w:rsidRPr="00B13D23">
        <w:rPr>
          <w:rStyle w:val="Refdenotaalpie"/>
          <w:rFonts w:ascii="Verdana" w:eastAsia="Calibri" w:hAnsi="Verdana" w:cs="Arial"/>
          <w:color w:val="000000" w:themeColor="text1"/>
        </w:rPr>
        <w:footnoteReference w:id="8"/>
      </w:r>
      <w:r w:rsidRPr="00693967">
        <w:rPr>
          <w:rFonts w:ascii="Verdana" w:eastAsia="Calibri" w:hAnsi="Verdana" w:cs="Arial"/>
          <w:color w:val="000000" w:themeColor="text1"/>
        </w:rPr>
        <w:t xml:space="preserve">. </w:t>
      </w:r>
    </w:p>
    <w:p w14:paraId="39B5E31F" w14:textId="77777777" w:rsidR="00693967" w:rsidRDefault="00693967" w:rsidP="00693967">
      <w:pPr>
        <w:pStyle w:val="Prrafodelista"/>
        <w:tabs>
          <w:tab w:val="left" w:pos="709"/>
        </w:tabs>
        <w:spacing w:after="120" w:line="276" w:lineRule="auto"/>
        <w:jc w:val="both"/>
        <w:rPr>
          <w:rFonts w:ascii="Verdana" w:eastAsia="Calibri" w:hAnsi="Verdana" w:cs="Arial"/>
          <w:color w:val="000000" w:themeColor="text1"/>
        </w:rPr>
      </w:pPr>
    </w:p>
    <w:p w14:paraId="09AA5FE3" w14:textId="3FA50B78" w:rsidR="00022000" w:rsidRPr="00693967" w:rsidRDefault="00022000" w:rsidP="00693967">
      <w:pPr>
        <w:pStyle w:val="Prrafodelista"/>
        <w:numPr>
          <w:ilvl w:val="0"/>
          <w:numId w:val="17"/>
        </w:numPr>
        <w:tabs>
          <w:tab w:val="left" w:pos="709"/>
        </w:tabs>
        <w:spacing w:after="120" w:line="276" w:lineRule="auto"/>
        <w:jc w:val="both"/>
        <w:rPr>
          <w:rFonts w:ascii="Verdana" w:eastAsia="Calibri" w:hAnsi="Verdana" w:cs="Arial"/>
          <w:color w:val="000000" w:themeColor="text1"/>
        </w:rPr>
      </w:pPr>
      <w:r w:rsidRPr="00693967">
        <w:rPr>
          <w:rFonts w:ascii="Verdana" w:eastAsia="Calibri" w:hAnsi="Verdana" w:cs="Arial"/>
          <w:color w:val="000000" w:themeColor="text1"/>
        </w:rPr>
        <w:t xml:space="preserve">Al margen de estas y otras disposiciones que de manera particular consagra el Código de Comercio sobre la cesión del contrato, esta figura cuenta con algunas normas especiales en la Ley 80 de 1993. Por ejemplo, </w:t>
      </w:r>
      <w:bookmarkStart w:id="0" w:name="_Hlk79822251"/>
      <w:r w:rsidRPr="00693967">
        <w:rPr>
          <w:rFonts w:ascii="Verdana" w:eastAsia="Calibri" w:hAnsi="Verdana" w:cs="Arial"/>
          <w:color w:val="000000" w:themeColor="text1"/>
        </w:rPr>
        <w:t>el artículo 41, inciso tercero</w:t>
      </w:r>
      <w:bookmarkEnd w:id="0"/>
      <w:r w:rsidRPr="00693967">
        <w:rPr>
          <w:rFonts w:ascii="Verdana" w:eastAsia="Calibri" w:hAnsi="Verdana" w:cs="Arial"/>
          <w:color w:val="000000" w:themeColor="text1"/>
        </w:rPr>
        <w:t xml:space="preserve">, del EGCAP prescribe que “Los contratos estatales son </w:t>
      </w:r>
      <w:r w:rsidRPr="00693967">
        <w:rPr>
          <w:rFonts w:ascii="Verdana" w:eastAsia="Calibri" w:hAnsi="Verdana" w:cs="Arial"/>
          <w:i/>
          <w:iCs/>
          <w:color w:val="000000" w:themeColor="text1"/>
        </w:rPr>
        <w:t xml:space="preserve">intuito </w:t>
      </w:r>
      <w:proofErr w:type="spellStart"/>
      <w:r w:rsidRPr="00693967">
        <w:rPr>
          <w:rFonts w:ascii="Verdana" w:eastAsia="Calibri" w:hAnsi="Verdana" w:cs="Arial"/>
          <w:i/>
          <w:iCs/>
          <w:color w:val="000000" w:themeColor="text1"/>
        </w:rPr>
        <w:t>personae</w:t>
      </w:r>
      <w:proofErr w:type="spellEnd"/>
      <w:r w:rsidRPr="00693967">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693967">
        <w:rPr>
          <w:rFonts w:ascii="Verdana" w:eastAsia="Calibri" w:hAnsi="Verdana" w:cs="Arial"/>
          <w:i/>
          <w:iCs/>
          <w:color w:val="000000" w:themeColor="text1"/>
        </w:rPr>
        <w:t>faceta negativa</w:t>
      </w:r>
      <w:r w:rsidRPr="00693967">
        <w:rPr>
          <w:rFonts w:ascii="Verdana" w:eastAsia="Calibri" w:hAnsi="Verdana" w:cs="Arial"/>
          <w:color w:val="000000" w:themeColor="text1"/>
        </w:rPr>
        <w:t>– y una autorización excepcional –</w:t>
      </w:r>
      <w:r w:rsidRPr="00693967">
        <w:rPr>
          <w:rFonts w:ascii="Verdana" w:eastAsia="Calibri" w:hAnsi="Verdana" w:cs="Arial"/>
          <w:i/>
          <w:iCs/>
          <w:color w:val="000000" w:themeColor="text1"/>
        </w:rPr>
        <w:t>faceta positiva</w:t>
      </w:r>
      <w:r w:rsidRPr="00693967">
        <w:rPr>
          <w:rFonts w:ascii="Verdana" w:eastAsia="Calibri" w:hAnsi="Verdana" w:cs="Arial"/>
          <w:color w:val="000000" w:themeColor="text1"/>
        </w:rPr>
        <w:t>–.</w:t>
      </w:r>
    </w:p>
    <w:p w14:paraId="17A1E012" w14:textId="77777777" w:rsidR="00693967" w:rsidRDefault="00693967" w:rsidP="00693967">
      <w:pPr>
        <w:pStyle w:val="Prrafodelista"/>
        <w:tabs>
          <w:tab w:val="left" w:pos="709"/>
        </w:tabs>
        <w:spacing w:after="120" w:line="276" w:lineRule="auto"/>
        <w:jc w:val="both"/>
        <w:rPr>
          <w:rFonts w:ascii="Verdana" w:eastAsia="Calibri" w:hAnsi="Verdana" w:cs="Arial"/>
          <w:bCs/>
          <w:color w:val="000000" w:themeColor="text1"/>
        </w:rPr>
      </w:pPr>
    </w:p>
    <w:p w14:paraId="682D3851" w14:textId="5F569513" w:rsidR="00022000" w:rsidRPr="00693967" w:rsidRDefault="00022000" w:rsidP="00693967">
      <w:pPr>
        <w:pStyle w:val="Prrafodelista"/>
        <w:numPr>
          <w:ilvl w:val="0"/>
          <w:numId w:val="17"/>
        </w:numPr>
        <w:tabs>
          <w:tab w:val="left" w:pos="709"/>
        </w:tabs>
        <w:spacing w:after="120" w:line="276" w:lineRule="auto"/>
        <w:jc w:val="both"/>
        <w:rPr>
          <w:rFonts w:ascii="Verdana" w:eastAsia="Calibri" w:hAnsi="Verdana" w:cs="Arial"/>
          <w:bCs/>
          <w:color w:val="000000" w:themeColor="text1"/>
        </w:rPr>
      </w:pPr>
      <w:r w:rsidRPr="00693967">
        <w:rPr>
          <w:rFonts w:ascii="Verdana" w:eastAsia="Calibri" w:hAnsi="Verdana" w:cs="Arial"/>
          <w:bCs/>
          <w:color w:val="000000" w:themeColor="text1"/>
        </w:rPr>
        <w:t xml:space="preserve">En lo que respecta a la </w:t>
      </w:r>
      <w:r w:rsidRPr="00693967">
        <w:rPr>
          <w:rFonts w:ascii="Verdana" w:eastAsia="Calibri" w:hAnsi="Verdana" w:cs="Arial"/>
          <w:bCs/>
          <w:i/>
          <w:iCs/>
          <w:color w:val="000000" w:themeColor="text1"/>
        </w:rPr>
        <w:t>faceta negativa</w:t>
      </w:r>
      <w:r w:rsidRPr="00693967">
        <w:rPr>
          <w:rFonts w:ascii="Verdana" w:eastAsia="Calibri" w:hAnsi="Verdana" w:cs="Arial"/>
          <w:bCs/>
          <w:color w:val="000000" w:themeColor="text1"/>
        </w:rPr>
        <w:t xml:space="preserve">,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w:t>
      </w:r>
      <w:proofErr w:type="gramStart"/>
      <w:r w:rsidRPr="00693967">
        <w:rPr>
          <w:rFonts w:ascii="Verdana" w:eastAsia="Calibri" w:hAnsi="Verdana" w:cs="Arial"/>
          <w:bCs/>
          <w:color w:val="000000" w:themeColor="text1"/>
        </w:rPr>
        <w:t>que</w:t>
      </w:r>
      <w:proofErr w:type="gramEnd"/>
      <w:r w:rsidRPr="00693967">
        <w:rPr>
          <w:rFonts w:ascii="Verdana" w:eastAsia="Calibri" w:hAnsi="Verdana" w:cs="Arial"/>
          <w:bCs/>
          <w:color w:val="000000" w:themeColor="text1"/>
        </w:rPr>
        <w:t xml:space="preserve"> no siendo esenciales en él, se entienden pertenecerle, sin necesidad de una cláusula especial […]”</w:t>
      </w:r>
      <w:r w:rsidRPr="00B13D23">
        <w:rPr>
          <w:rStyle w:val="Refdenotaalpie"/>
          <w:rFonts w:ascii="Verdana" w:eastAsia="Calibri" w:hAnsi="Verdana" w:cs="Arial"/>
          <w:bCs/>
          <w:color w:val="000000" w:themeColor="text1"/>
        </w:rPr>
        <w:footnoteReference w:id="9"/>
      </w:r>
      <w:r w:rsidRPr="00693967">
        <w:rPr>
          <w:rFonts w:ascii="Verdana" w:eastAsia="Calibri" w:hAnsi="Verdana" w:cs="Arial"/>
          <w:bCs/>
          <w:color w:val="000000" w:themeColor="text1"/>
        </w:rPr>
        <w:t xml:space="preserve">.  </w:t>
      </w:r>
    </w:p>
    <w:p w14:paraId="4F03A725" w14:textId="77777777" w:rsidR="00693967" w:rsidRDefault="00693967" w:rsidP="00693967">
      <w:pPr>
        <w:pStyle w:val="Prrafodelista"/>
        <w:spacing w:after="0" w:line="276" w:lineRule="auto"/>
        <w:jc w:val="both"/>
        <w:rPr>
          <w:rFonts w:ascii="Verdana" w:eastAsia="Calibri" w:hAnsi="Verdana" w:cs="Arial"/>
          <w:bCs/>
          <w:color w:val="000000" w:themeColor="text1"/>
        </w:rPr>
      </w:pPr>
    </w:p>
    <w:p w14:paraId="29D665C0" w14:textId="74CF47D5" w:rsidR="00022000" w:rsidRPr="00693967" w:rsidRDefault="00022000" w:rsidP="00693967">
      <w:pPr>
        <w:pStyle w:val="Prrafodelista"/>
        <w:numPr>
          <w:ilvl w:val="0"/>
          <w:numId w:val="17"/>
        </w:numPr>
        <w:spacing w:after="0" w:line="276" w:lineRule="auto"/>
        <w:jc w:val="both"/>
        <w:rPr>
          <w:rFonts w:ascii="Verdana" w:eastAsia="Calibri" w:hAnsi="Verdana" w:cs="Arial"/>
          <w:bCs/>
          <w:color w:val="000000" w:themeColor="text1"/>
        </w:rPr>
      </w:pPr>
      <w:r w:rsidRPr="00693967">
        <w:rPr>
          <w:rFonts w:ascii="Verdana" w:eastAsia="Calibri" w:hAnsi="Verdana" w:cs="Arial"/>
          <w:bCs/>
          <w:color w:val="000000" w:themeColor="text1"/>
        </w:rPr>
        <w:t xml:space="preserve">En su </w:t>
      </w:r>
      <w:r w:rsidRPr="00693967">
        <w:rPr>
          <w:rFonts w:ascii="Verdana" w:eastAsia="Calibri" w:hAnsi="Verdana" w:cs="Arial"/>
          <w:bCs/>
          <w:i/>
          <w:iCs/>
          <w:color w:val="000000" w:themeColor="text1"/>
        </w:rPr>
        <w:t>faceta positiva</w:t>
      </w:r>
      <w:r w:rsidRPr="00693967">
        <w:rPr>
          <w:rFonts w:ascii="Verdana" w:eastAsia="Calibri" w:hAnsi="Verdana" w:cs="Arial"/>
          <w:bCs/>
          <w:color w:val="000000" w:themeColor="text1"/>
        </w:rPr>
        <w:t>, la Ley 80 de 1993 permite excepcionalmente la cesión del contrato estatal siempre que exista autorización previa escrita de la entidad contratante. Por ello, “[…] El cocontratante que ‘</w:t>
      </w:r>
      <w:r w:rsidRPr="00693967">
        <w:rPr>
          <w:rFonts w:ascii="Verdana" w:eastAsia="Calibri" w:hAnsi="Verdana" w:cs="Arial"/>
          <w:bCs/>
          <w:i/>
          <w:iCs/>
          <w:color w:val="000000" w:themeColor="text1"/>
        </w:rPr>
        <w:t>ceda</w:t>
      </w:r>
      <w:r w:rsidRPr="00693967">
        <w:rPr>
          <w:rFonts w:ascii="Verdana" w:eastAsia="Calibri" w:hAnsi="Verdana" w:cs="Arial"/>
          <w:bCs/>
          <w:color w:val="000000" w:themeColor="text1"/>
        </w:rPr>
        <w:t>’ el contrato sin estar autorizado para ello incurre en grave responsabilidad: su actitud implica ‘</w:t>
      </w:r>
      <w:r w:rsidRPr="00693967">
        <w:rPr>
          <w:rFonts w:ascii="Verdana" w:eastAsia="Calibri" w:hAnsi="Verdana" w:cs="Arial"/>
          <w:bCs/>
          <w:i/>
          <w:iCs/>
          <w:color w:val="000000" w:themeColor="text1"/>
        </w:rPr>
        <w:t>incumplimiento</w:t>
      </w:r>
      <w:r w:rsidRPr="00693967">
        <w:rPr>
          <w:rFonts w:ascii="Verdana" w:eastAsia="Calibri" w:hAnsi="Verdana" w:cs="Arial"/>
          <w:bCs/>
          <w:color w:val="000000" w:themeColor="text1"/>
        </w:rPr>
        <w:t>’ del contrato; de ahí que esa cesión ilícita no resulte oponible a la Administración Pública […]”</w:t>
      </w:r>
      <w:r w:rsidRPr="00B13D23">
        <w:rPr>
          <w:rStyle w:val="Refdenotaalpie"/>
          <w:rFonts w:ascii="Verdana" w:eastAsia="Calibri" w:hAnsi="Verdana" w:cs="Arial"/>
          <w:bCs/>
          <w:color w:val="000000" w:themeColor="text1"/>
        </w:rPr>
        <w:footnoteReference w:id="10"/>
      </w:r>
      <w:r w:rsidRPr="00693967">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693967">
        <w:rPr>
          <w:rFonts w:ascii="Verdana" w:eastAsia="Calibri" w:hAnsi="Verdana" w:cs="Arial"/>
          <w:color w:val="000000" w:themeColor="text1"/>
        </w:rPr>
        <w:t>En relación con lo anterior la doctrina define la cesión en los contratos estatales de la siguiente manera:</w:t>
      </w:r>
    </w:p>
    <w:p w14:paraId="210A46ED" w14:textId="77777777" w:rsidR="00022000" w:rsidRPr="00B13D23" w:rsidRDefault="00022000" w:rsidP="00022000">
      <w:pPr>
        <w:spacing w:after="0" w:line="276" w:lineRule="auto"/>
        <w:ind w:firstLine="708"/>
        <w:jc w:val="both"/>
        <w:rPr>
          <w:rFonts w:ascii="Verdana" w:eastAsia="Calibri" w:hAnsi="Verdana" w:cs="Arial"/>
          <w:color w:val="000000" w:themeColor="text1"/>
        </w:rPr>
      </w:pPr>
      <w:r w:rsidRPr="00B13D23">
        <w:rPr>
          <w:rFonts w:ascii="Verdana" w:eastAsia="Calibri" w:hAnsi="Verdana" w:cs="Arial"/>
          <w:color w:val="000000" w:themeColor="text1"/>
        </w:rPr>
        <w:t xml:space="preserve"> </w:t>
      </w:r>
    </w:p>
    <w:p w14:paraId="224FB336" w14:textId="77777777" w:rsidR="00022000" w:rsidRPr="00B13D23" w:rsidRDefault="00022000" w:rsidP="00022000">
      <w:pPr>
        <w:spacing w:after="0" w:line="240" w:lineRule="auto"/>
        <w:ind w:left="709" w:right="709"/>
        <w:jc w:val="both"/>
        <w:rPr>
          <w:rFonts w:ascii="Verdana" w:eastAsia="Calibri" w:hAnsi="Verdana" w:cs="Arial"/>
          <w:color w:val="000000" w:themeColor="text1"/>
          <w:sz w:val="21"/>
          <w:szCs w:val="21"/>
        </w:rPr>
      </w:pPr>
      <w:r w:rsidRPr="00B13D23">
        <w:rPr>
          <w:rFonts w:ascii="Verdana" w:eastAsia="Calibri" w:hAnsi="Verdana" w:cs="Arial"/>
          <w:color w:val="000000" w:themeColor="text1"/>
          <w:sz w:val="21"/>
          <w:szCs w:val="21"/>
        </w:rPr>
        <w:t xml:space="preserve">“La cesión en la contratación estatal supone, previa autorización de la entidad contratante, la sustitución </w:t>
      </w:r>
      <w:r w:rsidRPr="00B13D23">
        <w:rPr>
          <w:rFonts w:ascii="Verdana" w:eastAsia="Calibri" w:hAnsi="Verdana" w:cs="Arial"/>
          <w:i/>
          <w:iCs/>
          <w:color w:val="000000" w:themeColor="text1"/>
          <w:sz w:val="21"/>
          <w:szCs w:val="21"/>
        </w:rPr>
        <w:t>in genere</w:t>
      </w:r>
      <w:r w:rsidRPr="00B13D23">
        <w:rPr>
          <w:rFonts w:ascii="Verdana" w:eastAsia="Calibri" w:hAnsi="Verdana" w:cs="Arial"/>
          <w:color w:val="000000" w:themeColor="text1"/>
          <w:sz w:val="21"/>
          <w:szCs w:val="2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B13D23">
        <w:rPr>
          <w:rStyle w:val="Refdenotaalpie"/>
          <w:rFonts w:ascii="Verdana" w:hAnsi="Verdana" w:cs="Arial"/>
          <w:color w:val="000000" w:themeColor="text1"/>
          <w:sz w:val="21"/>
          <w:szCs w:val="21"/>
        </w:rPr>
        <w:footnoteReference w:id="11"/>
      </w:r>
      <w:r w:rsidRPr="00B13D23">
        <w:rPr>
          <w:rFonts w:ascii="Verdana" w:eastAsia="Calibri" w:hAnsi="Verdana" w:cs="Arial"/>
          <w:color w:val="000000" w:themeColor="text1"/>
          <w:sz w:val="21"/>
          <w:szCs w:val="21"/>
        </w:rPr>
        <w:t>.</w:t>
      </w:r>
    </w:p>
    <w:p w14:paraId="669AF289" w14:textId="77777777" w:rsidR="00022000" w:rsidRPr="00B13D23" w:rsidRDefault="00022000" w:rsidP="00022000">
      <w:pPr>
        <w:spacing w:after="0" w:line="276" w:lineRule="auto"/>
        <w:jc w:val="both"/>
        <w:rPr>
          <w:rFonts w:ascii="Verdana" w:eastAsia="Calibri" w:hAnsi="Verdana" w:cs="Arial"/>
          <w:color w:val="000000" w:themeColor="text1"/>
        </w:rPr>
      </w:pPr>
    </w:p>
    <w:p w14:paraId="61575C64" w14:textId="77777777" w:rsidR="00022000" w:rsidRPr="00693967" w:rsidRDefault="00022000" w:rsidP="00693967">
      <w:pPr>
        <w:pStyle w:val="Prrafodelista"/>
        <w:numPr>
          <w:ilvl w:val="0"/>
          <w:numId w:val="18"/>
        </w:numPr>
        <w:spacing w:after="120" w:line="276" w:lineRule="auto"/>
        <w:jc w:val="both"/>
        <w:rPr>
          <w:rFonts w:ascii="Verdana" w:eastAsia="Calibri" w:hAnsi="Verdana" w:cs="Arial"/>
          <w:bCs/>
          <w:color w:val="000000" w:themeColor="text1"/>
        </w:rPr>
      </w:pPr>
      <w:r w:rsidRPr="00693967">
        <w:rPr>
          <w:rFonts w:ascii="Verdana" w:eastAsia="Calibri" w:hAnsi="Verdana" w:cs="Arial"/>
          <w:bCs/>
          <w:color w:val="000000" w:themeColor="text1"/>
        </w:rPr>
        <w:t>Autorizada previamente por la entidad cedida, esta forma de cesión requiere la suscripción de un contrato entre el cedente y el cesionario, por lo que es bilateral en la medida en que requiere un acuerdo voluntades. Con fundamento en el mismo, el cesionario reemplaza –en todo o en parte– al contratista cedente en la ejecución del contrato estatal, respondiendo por el cumplimiento de las obligaciones frente a la Administración.</w:t>
      </w:r>
      <w:r w:rsidRPr="00693967">
        <w:rPr>
          <w:rFonts w:ascii="Verdana" w:hAnsi="Verdana"/>
        </w:rPr>
        <w:t xml:space="preserve"> </w:t>
      </w:r>
      <w:r w:rsidRPr="00693967">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693967">
        <w:rPr>
          <w:rFonts w:ascii="Verdana" w:eastAsia="Calibri" w:hAnsi="Verdana" w:cs="Arial"/>
          <w:color w:val="000000" w:themeColor="text1"/>
        </w:rPr>
        <w:t xml:space="preserve">. </w:t>
      </w:r>
    </w:p>
    <w:p w14:paraId="0263A664" w14:textId="77777777" w:rsidR="00693967" w:rsidRDefault="00693967" w:rsidP="00693967">
      <w:pPr>
        <w:pStyle w:val="Prrafodelista"/>
        <w:tabs>
          <w:tab w:val="left" w:pos="709"/>
        </w:tabs>
        <w:spacing w:after="120" w:line="276" w:lineRule="auto"/>
        <w:jc w:val="both"/>
        <w:rPr>
          <w:rFonts w:ascii="Verdana" w:eastAsia="Calibri" w:hAnsi="Verdana" w:cs="Arial"/>
          <w:color w:val="000000" w:themeColor="text1"/>
        </w:rPr>
      </w:pPr>
      <w:bookmarkStart w:id="1" w:name="_Hlk80369799"/>
    </w:p>
    <w:p w14:paraId="6F80545F" w14:textId="7BA19F27" w:rsidR="00022000" w:rsidRPr="00693967" w:rsidRDefault="00022000" w:rsidP="00693967">
      <w:pPr>
        <w:pStyle w:val="Prrafodelista"/>
        <w:numPr>
          <w:ilvl w:val="0"/>
          <w:numId w:val="18"/>
        </w:numPr>
        <w:tabs>
          <w:tab w:val="left" w:pos="709"/>
        </w:tabs>
        <w:spacing w:after="120" w:line="276" w:lineRule="auto"/>
        <w:jc w:val="both"/>
        <w:rPr>
          <w:rFonts w:ascii="Verdana" w:eastAsia="Calibri" w:hAnsi="Verdana" w:cs="Arial"/>
          <w:color w:val="000000" w:themeColor="text1"/>
        </w:rPr>
      </w:pPr>
      <w:r w:rsidRPr="00693967">
        <w:rPr>
          <w:rFonts w:ascii="Verdana" w:eastAsia="Calibri" w:hAnsi="Verdana" w:cs="Arial"/>
          <w:color w:val="000000" w:themeColor="text1"/>
        </w:rPr>
        <w:t>Por lo demás, el Consejo de Estado ha precisado como requisitos de la cesión del contrato estatal los siguientes: 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2" w:name="_Hlk80369829"/>
      <w:bookmarkEnd w:id="1"/>
      <w:r w:rsidRPr="00693967">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2"/>
      <w:r w:rsidRPr="00693967">
        <w:rPr>
          <w:rFonts w:ascii="Verdana" w:eastAsia="Calibri" w:hAnsi="Verdana" w:cs="Arial"/>
          <w:color w:val="000000" w:themeColor="text1"/>
        </w:rPr>
        <w:t>”</w:t>
      </w:r>
      <w:r w:rsidRPr="00B13D23">
        <w:rPr>
          <w:rStyle w:val="Refdenotaalpie"/>
          <w:rFonts w:ascii="Verdana" w:eastAsia="Calibri" w:hAnsi="Verdana" w:cs="Arial"/>
          <w:color w:val="000000" w:themeColor="text1"/>
        </w:rPr>
        <w:footnoteReference w:id="12"/>
      </w:r>
      <w:r w:rsidRPr="00693967">
        <w:rPr>
          <w:rFonts w:ascii="Verdana" w:eastAsia="Calibri" w:hAnsi="Verdana" w:cs="Arial"/>
          <w:color w:val="000000" w:themeColor="text1"/>
        </w:rPr>
        <w:t>.</w:t>
      </w:r>
    </w:p>
    <w:p w14:paraId="3D199D2A" w14:textId="77777777" w:rsidR="00693967" w:rsidRDefault="00693967" w:rsidP="00693967">
      <w:pPr>
        <w:pStyle w:val="Prrafodelista"/>
        <w:tabs>
          <w:tab w:val="left" w:pos="709"/>
        </w:tabs>
        <w:spacing w:after="120" w:line="276" w:lineRule="auto"/>
        <w:jc w:val="both"/>
        <w:rPr>
          <w:rFonts w:ascii="Verdana" w:eastAsia="Calibri" w:hAnsi="Verdana" w:cs="Arial"/>
          <w:color w:val="000000" w:themeColor="text1"/>
        </w:rPr>
      </w:pPr>
      <w:bookmarkStart w:id="3" w:name="_Hlk80369857"/>
    </w:p>
    <w:p w14:paraId="2931BDDE" w14:textId="1D400C03" w:rsidR="00022000" w:rsidRPr="00693967" w:rsidRDefault="00022000" w:rsidP="00693967">
      <w:pPr>
        <w:pStyle w:val="Prrafodelista"/>
        <w:numPr>
          <w:ilvl w:val="0"/>
          <w:numId w:val="18"/>
        </w:numPr>
        <w:tabs>
          <w:tab w:val="left" w:pos="709"/>
        </w:tabs>
        <w:spacing w:after="120" w:line="276" w:lineRule="auto"/>
        <w:jc w:val="both"/>
        <w:rPr>
          <w:rFonts w:ascii="Verdana" w:eastAsia="Calibri" w:hAnsi="Verdana" w:cs="Arial"/>
          <w:color w:val="000000" w:themeColor="text1"/>
        </w:rPr>
      </w:pPr>
      <w:r w:rsidRPr="00693967">
        <w:rPr>
          <w:rFonts w:ascii="Verdana" w:eastAsia="Calibri" w:hAnsi="Verdana" w:cs="Arial"/>
          <w:color w:val="000000" w:themeColor="text1"/>
        </w:rPr>
        <w:t xml:space="preserve">Por lo tanto, la entidad estatal en el trámite de autorización de una cesión de posición contractual está obligada a respetar los criterios normativos que resulten aplicables al proceso de contratación, entre otros, los principios de transparencia, selección objetiva e igualdad. En otros </w:t>
      </w:r>
      <w:r w:rsidRPr="00693967">
        <w:rPr>
          <w:rFonts w:ascii="Verdana" w:eastAsia="Calibri" w:hAnsi="Verdana" w:cs="Arial"/>
          <w:color w:val="000000" w:themeColor="text1"/>
        </w:rPr>
        <w:lastRenderedPageBreak/>
        <w:t>términos, so pretexto de una cesión contractual, no pueden vulnerarse las reglas y principios de la contratación estatal.</w:t>
      </w:r>
    </w:p>
    <w:bookmarkEnd w:id="3"/>
    <w:p w14:paraId="17CD5A9B" w14:textId="77777777" w:rsidR="00693967" w:rsidRDefault="00693967" w:rsidP="00693967">
      <w:pPr>
        <w:pStyle w:val="Prrafodelista"/>
        <w:tabs>
          <w:tab w:val="left" w:pos="709"/>
        </w:tabs>
        <w:spacing w:after="120" w:line="276" w:lineRule="auto"/>
        <w:jc w:val="both"/>
        <w:rPr>
          <w:rFonts w:ascii="Verdana" w:eastAsia="Calibri" w:hAnsi="Verdana" w:cs="Arial"/>
          <w:color w:val="000000" w:themeColor="text1"/>
        </w:rPr>
      </w:pPr>
    </w:p>
    <w:p w14:paraId="744DC324" w14:textId="765436F5" w:rsidR="00022000" w:rsidRPr="00693967" w:rsidRDefault="00022000" w:rsidP="00693967">
      <w:pPr>
        <w:pStyle w:val="Prrafodelista"/>
        <w:numPr>
          <w:ilvl w:val="0"/>
          <w:numId w:val="18"/>
        </w:numPr>
        <w:tabs>
          <w:tab w:val="left" w:pos="709"/>
        </w:tabs>
        <w:spacing w:after="120" w:line="276" w:lineRule="auto"/>
        <w:jc w:val="both"/>
        <w:rPr>
          <w:rFonts w:ascii="Verdana" w:eastAsia="Calibri" w:hAnsi="Verdana" w:cs="Arial"/>
          <w:color w:val="000000" w:themeColor="text1"/>
        </w:rPr>
      </w:pPr>
      <w:r w:rsidRPr="00693967">
        <w:rPr>
          <w:rFonts w:ascii="Verdana" w:eastAsia="Calibri" w:hAnsi="Verdana" w:cs="Arial"/>
          <w:color w:val="000000" w:themeColor="text1"/>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6DC3EF43" w14:textId="77777777" w:rsidR="00566F58" w:rsidRDefault="00566F58" w:rsidP="00566F58">
      <w:pPr>
        <w:pStyle w:val="Prrafodelista"/>
        <w:spacing w:line="276" w:lineRule="auto"/>
        <w:ind w:right="51"/>
        <w:jc w:val="both"/>
        <w:rPr>
          <w:rFonts w:ascii="Verdana" w:eastAsia="Calibri" w:hAnsi="Verdana" w:cs="Arial"/>
          <w:color w:val="000000" w:themeColor="text1"/>
        </w:rPr>
      </w:pPr>
      <w:bookmarkStart w:id="4" w:name="_Hlk79797430"/>
    </w:p>
    <w:p w14:paraId="2220A6DB" w14:textId="7A6BC2D5" w:rsidR="002B2D99" w:rsidRPr="00566F58" w:rsidRDefault="00022000" w:rsidP="00566F58">
      <w:pPr>
        <w:pStyle w:val="Prrafodelista"/>
        <w:numPr>
          <w:ilvl w:val="0"/>
          <w:numId w:val="18"/>
        </w:numPr>
        <w:spacing w:line="276" w:lineRule="auto"/>
        <w:ind w:right="51"/>
        <w:jc w:val="both"/>
        <w:rPr>
          <w:rFonts w:ascii="Verdana" w:eastAsia="Calibri" w:hAnsi="Verdana" w:cs="Arial"/>
          <w:color w:val="000000" w:themeColor="text1"/>
        </w:rPr>
      </w:pPr>
      <w:r w:rsidRPr="00566F58">
        <w:rPr>
          <w:rFonts w:ascii="Verdana" w:eastAsia="Calibri" w:hAnsi="Verdana" w:cs="Arial"/>
          <w:color w:val="000000" w:themeColor="text1"/>
        </w:rPr>
        <w:t xml:space="preserve">En suma, la Ley 80 de 1993 no reguló en su integridad la cesión del contrato, como tampoco lo hizo el Código Civil en el que se consagra la figura de la cesión de créditos –arts. 1959 y ss.–. En cambio, </w:t>
      </w:r>
      <w:bookmarkStart w:id="5" w:name="_Hlk79799730"/>
      <w:r w:rsidRPr="00566F58">
        <w:rPr>
          <w:rFonts w:ascii="Verdana" w:eastAsia="Calibri" w:hAnsi="Verdana" w:cs="Arial"/>
          <w:color w:val="000000" w:themeColor="text1"/>
        </w:rPr>
        <w:t xml:space="preserve">los artículos 887 a 896 </w:t>
      </w:r>
      <w:bookmarkEnd w:id="5"/>
      <w:r w:rsidRPr="00566F58">
        <w:rPr>
          <w:rFonts w:ascii="Verdana" w:eastAsia="Calibri" w:hAnsi="Verdana" w:cs="Arial"/>
          <w:color w:val="000000" w:themeColor="text1"/>
        </w:rPr>
        <w:t>del Código de Comercio definen la cesión del contrato. Por consiguiente, resultan aplicables las normas del derecho civil y comercial pertinentes, sobre cesión del crédito y cesión de contratos respectivamente, salvo en las materias particularmente reguladas por el Estatuto General de Contratación de la Administración Pública, como lo señala el artículo 13 de la Ley 80 de 1993.</w:t>
      </w:r>
      <w:bookmarkEnd w:id="4"/>
    </w:p>
    <w:p w14:paraId="7151B1B8" w14:textId="77777777" w:rsidR="004A4077" w:rsidRPr="004A4077" w:rsidRDefault="004A4077" w:rsidP="004A4077">
      <w:pPr>
        <w:pStyle w:val="Prrafodelista"/>
        <w:spacing w:after="0" w:line="276" w:lineRule="auto"/>
        <w:jc w:val="both"/>
        <w:rPr>
          <w:rFonts w:ascii="Verdana" w:eastAsia="Calibri" w:hAnsi="Verdana" w:cs="Arial"/>
          <w:szCs w:val="24"/>
          <w:lang w:eastAsia="es-ES_tradnl"/>
        </w:rPr>
      </w:pPr>
    </w:p>
    <w:p w14:paraId="56CBC9C2" w14:textId="2CAB449B" w:rsidR="006D4F5F" w:rsidRPr="002E78FE" w:rsidRDefault="006D4F5F" w:rsidP="006D4F5F">
      <w:pPr>
        <w:tabs>
          <w:tab w:val="left" w:pos="142"/>
          <w:tab w:val="left" w:pos="284"/>
        </w:tabs>
        <w:spacing w:after="0" w:line="276" w:lineRule="auto"/>
        <w:jc w:val="both"/>
        <w:rPr>
          <w:rFonts w:ascii="Verdana" w:eastAsia="Century Gothic" w:hAnsi="Verdana" w:cs="Century Gothic"/>
          <w:b/>
          <w:bCs/>
        </w:rPr>
      </w:pPr>
      <w:r w:rsidRPr="002E78FE">
        <w:rPr>
          <w:rFonts w:ascii="Verdana" w:eastAsia="Century Gothic" w:hAnsi="Verdana" w:cs="Century Gothic"/>
          <w:b/>
          <w:bCs/>
        </w:rPr>
        <w:t>4. Referencias normativas, jurisprudenciales y otras fuentes:</w:t>
      </w:r>
    </w:p>
    <w:p w14:paraId="63080D56" w14:textId="77777777" w:rsidR="006D4F5F" w:rsidRPr="002E78FE" w:rsidRDefault="006D4F5F" w:rsidP="006D4F5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4F5F" w:rsidRPr="002E78FE" w14:paraId="38D2E8F5" w14:textId="77777777" w:rsidTr="008E0107">
        <w:trPr>
          <w:trHeight w:val="870"/>
        </w:trPr>
        <w:tc>
          <w:tcPr>
            <w:tcW w:w="8647" w:type="dxa"/>
          </w:tcPr>
          <w:p w14:paraId="28311CD4" w14:textId="0DD200F7" w:rsidR="00A95686" w:rsidRPr="00990F8C" w:rsidRDefault="00A95686" w:rsidP="00990F8C">
            <w:pPr>
              <w:pStyle w:val="Prrafodelista"/>
              <w:widowControl w:val="0"/>
              <w:numPr>
                <w:ilvl w:val="0"/>
                <w:numId w:val="8"/>
              </w:numPr>
              <w:autoSpaceDE w:val="0"/>
              <w:autoSpaceDN w:val="0"/>
              <w:spacing w:line="276" w:lineRule="auto"/>
              <w:jc w:val="both"/>
              <w:rPr>
                <w:rFonts w:ascii="Verdana" w:hAnsi="Verdana" w:cs="Arial"/>
              </w:rPr>
            </w:pPr>
            <w:r w:rsidRPr="00990F8C">
              <w:rPr>
                <w:rFonts w:ascii="Verdana" w:hAnsi="Verdana" w:cs="Arial"/>
              </w:rPr>
              <w:t>Ley 80 de 1993, artículos 9, 13, 32,</w:t>
            </w:r>
            <w:r w:rsidR="00790691" w:rsidRPr="00990F8C">
              <w:rPr>
                <w:rFonts w:ascii="Verdana" w:hAnsi="Verdana" w:cs="Arial"/>
              </w:rPr>
              <w:t xml:space="preserve"> 39,</w:t>
            </w:r>
            <w:r w:rsidRPr="00990F8C">
              <w:rPr>
                <w:rFonts w:ascii="Verdana" w:hAnsi="Verdana" w:cs="Arial"/>
              </w:rPr>
              <w:t xml:space="preserve"> 40 y 41.</w:t>
            </w:r>
          </w:p>
          <w:p w14:paraId="73BC2EE9" w14:textId="72F25737" w:rsidR="00BB7D12" w:rsidRPr="00990F8C" w:rsidRDefault="00BB7D12" w:rsidP="00990F8C">
            <w:pPr>
              <w:pStyle w:val="Prrafodelista"/>
              <w:widowControl w:val="0"/>
              <w:numPr>
                <w:ilvl w:val="0"/>
                <w:numId w:val="8"/>
              </w:numPr>
              <w:autoSpaceDE w:val="0"/>
              <w:autoSpaceDN w:val="0"/>
              <w:spacing w:line="276" w:lineRule="auto"/>
              <w:jc w:val="both"/>
              <w:rPr>
                <w:rFonts w:ascii="Verdana" w:hAnsi="Verdana" w:cs="Arial"/>
              </w:rPr>
            </w:pPr>
            <w:r w:rsidRPr="00990F8C">
              <w:rPr>
                <w:rFonts w:ascii="Verdana" w:hAnsi="Verdana" w:cs="Arial"/>
              </w:rPr>
              <w:t>Código de Comercio, artículos 887 y siguientes.</w:t>
            </w:r>
          </w:p>
          <w:p w14:paraId="3491F2D4" w14:textId="4860E2E9" w:rsidR="00BB7D12" w:rsidRPr="00990F8C" w:rsidRDefault="00A95686" w:rsidP="00990F8C">
            <w:pPr>
              <w:pStyle w:val="Prrafodelista"/>
              <w:widowControl w:val="0"/>
              <w:numPr>
                <w:ilvl w:val="0"/>
                <w:numId w:val="8"/>
              </w:numPr>
              <w:autoSpaceDE w:val="0"/>
              <w:autoSpaceDN w:val="0"/>
              <w:spacing w:line="276" w:lineRule="auto"/>
              <w:jc w:val="both"/>
              <w:rPr>
                <w:rFonts w:ascii="Verdana" w:hAnsi="Verdana" w:cs="Arial"/>
              </w:rPr>
            </w:pPr>
            <w:r w:rsidRPr="00990F8C">
              <w:rPr>
                <w:rFonts w:ascii="Verdana" w:hAnsi="Verdana" w:cs="Arial"/>
              </w:rPr>
              <w:t>Código Civil, artículo</w:t>
            </w:r>
            <w:r w:rsidR="00790691" w:rsidRPr="00990F8C">
              <w:rPr>
                <w:rFonts w:ascii="Verdana" w:hAnsi="Verdana" w:cs="Arial"/>
              </w:rPr>
              <w:t xml:space="preserve"> 1501,</w:t>
            </w:r>
            <w:r w:rsidRPr="00990F8C">
              <w:rPr>
                <w:rFonts w:ascii="Verdana" w:hAnsi="Verdana" w:cs="Arial"/>
              </w:rPr>
              <w:t xml:space="preserve"> 1959 y siguientes.</w:t>
            </w:r>
          </w:p>
          <w:p w14:paraId="33A1BC84" w14:textId="77777777" w:rsidR="00990F8C" w:rsidRPr="00990F8C" w:rsidRDefault="00990F8C" w:rsidP="00990F8C">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990F8C">
              <w:rPr>
                <w:rFonts w:ascii="Verdana" w:hAnsi="Verdana" w:cs="Arial"/>
              </w:rPr>
              <w:t>Consejo de Estado, Sección Tercera, Sentencia del 16 de marzo de 2015, Rad. 1999-03028, M.P. Jaime Orlando Santofimio Gamboa.</w:t>
            </w:r>
          </w:p>
          <w:p w14:paraId="6A19D739" w14:textId="30AB3875" w:rsidR="00A95686" w:rsidRPr="00990F8C" w:rsidRDefault="00A95686" w:rsidP="00990F8C">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990F8C">
              <w:rPr>
                <w:rFonts w:ascii="Verdana" w:hAnsi="Verdana" w:cs="Arial"/>
              </w:rPr>
              <w:t xml:space="preserve">MESSINEO, Francesco. Doctrina general del contrato. Santiago: </w:t>
            </w:r>
            <w:proofErr w:type="spellStart"/>
            <w:r w:rsidRPr="00990F8C">
              <w:rPr>
                <w:rFonts w:ascii="Verdana" w:hAnsi="Verdana" w:cs="Arial"/>
              </w:rPr>
              <w:t>Olejnik</w:t>
            </w:r>
            <w:proofErr w:type="spellEnd"/>
            <w:r w:rsidRPr="00990F8C">
              <w:rPr>
                <w:rFonts w:ascii="Verdana" w:hAnsi="Verdana" w:cs="Arial"/>
              </w:rPr>
              <w:t>, 2018.</w:t>
            </w:r>
          </w:p>
          <w:p w14:paraId="1B5908FB" w14:textId="77777777" w:rsidR="00735587" w:rsidRDefault="00A95686" w:rsidP="00990F8C">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990F8C">
              <w:rPr>
                <w:rFonts w:ascii="Verdana" w:hAnsi="Verdana" w:cs="Arial"/>
              </w:rPr>
              <w:t xml:space="preserve">ROPPO, </w:t>
            </w:r>
            <w:proofErr w:type="spellStart"/>
            <w:r w:rsidRPr="00990F8C">
              <w:rPr>
                <w:rFonts w:ascii="Verdana" w:hAnsi="Verdana" w:cs="Arial"/>
              </w:rPr>
              <w:t>Vincenzo</w:t>
            </w:r>
            <w:proofErr w:type="spellEnd"/>
            <w:r w:rsidRPr="00990F8C">
              <w:rPr>
                <w:rFonts w:ascii="Verdana" w:hAnsi="Verdana" w:cs="Arial"/>
              </w:rPr>
              <w:t>. El contrato</w:t>
            </w:r>
            <w:r w:rsidRPr="00A95686">
              <w:rPr>
                <w:rFonts w:ascii="Verdana" w:hAnsi="Verdana" w:cs="Arial"/>
              </w:rPr>
              <w:t>. Lima: Gaceta Jurídica, 2009.</w:t>
            </w:r>
          </w:p>
          <w:p w14:paraId="1FCE9837" w14:textId="77777777" w:rsidR="00A95686" w:rsidRDefault="00A95686" w:rsidP="00990F8C">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A95686">
              <w:rPr>
                <w:rFonts w:ascii="Verdana" w:hAnsi="Verdana" w:cs="Arial"/>
              </w:rPr>
              <w:t xml:space="preserve">HINESTROSA, Fernando. Tratado de las obligaciones: concepto, </w:t>
            </w:r>
            <w:r w:rsidRPr="00A95686">
              <w:rPr>
                <w:rFonts w:ascii="Verdana" w:hAnsi="Verdana" w:cs="Arial"/>
              </w:rPr>
              <w:lastRenderedPageBreak/>
              <w:t>estructura y vicisitudes. Tercera Edición. Bogotá: Universidad Externado de Colombia, 2007. Libro en formato EPUB</w:t>
            </w:r>
            <w:r>
              <w:rPr>
                <w:rFonts w:ascii="Verdana" w:hAnsi="Verdana" w:cs="Arial"/>
              </w:rPr>
              <w:t>.</w:t>
            </w:r>
          </w:p>
          <w:p w14:paraId="76CFFCB0" w14:textId="77777777" w:rsidR="00D70963" w:rsidRDefault="00D70963" w:rsidP="00990F8C">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D70963">
              <w:rPr>
                <w:rFonts w:ascii="Verdana" w:hAnsi="Verdana" w:cs="Arial"/>
              </w:rPr>
              <w:t>ARRUBLA PAUCAR, Jaime Alberto. Contratos mercantiles: teoría general del negocio mercantil. Decimocuarta Edición. Bogotá: Legis, 2021.</w:t>
            </w:r>
          </w:p>
          <w:p w14:paraId="72B230F4" w14:textId="77777777" w:rsidR="00990F8C" w:rsidRDefault="00990F8C" w:rsidP="00990F8C">
            <w:pPr>
              <w:pStyle w:val="Prrafodelista"/>
              <w:widowControl w:val="0"/>
              <w:numPr>
                <w:ilvl w:val="0"/>
                <w:numId w:val="8"/>
              </w:numPr>
              <w:tabs>
                <w:tab w:val="left" w:pos="8419"/>
              </w:tabs>
              <w:autoSpaceDE w:val="0"/>
              <w:autoSpaceDN w:val="0"/>
              <w:spacing w:line="276" w:lineRule="auto"/>
              <w:contextualSpacing w:val="0"/>
              <w:jc w:val="both"/>
              <w:rPr>
                <w:rFonts w:ascii="Verdana" w:hAnsi="Verdana" w:cs="Arial"/>
              </w:rPr>
            </w:pPr>
            <w:r w:rsidRPr="00990F8C">
              <w:rPr>
                <w:rFonts w:ascii="Verdana" w:hAnsi="Verdana" w:cs="Arial"/>
              </w:rPr>
              <w:t xml:space="preserve">ESCOLA, Jorge. Tratado integral de los contratos administrativos. Volumen I. Buenos Aires: </w:t>
            </w:r>
            <w:proofErr w:type="spellStart"/>
            <w:r w:rsidRPr="00990F8C">
              <w:rPr>
                <w:rFonts w:ascii="Verdana" w:hAnsi="Verdana" w:cs="Arial"/>
              </w:rPr>
              <w:t>Depalma</w:t>
            </w:r>
            <w:proofErr w:type="spellEnd"/>
            <w:r w:rsidRPr="00990F8C">
              <w:rPr>
                <w:rFonts w:ascii="Verdana" w:hAnsi="Verdana" w:cs="Arial"/>
              </w:rPr>
              <w:t>, 2012.</w:t>
            </w:r>
          </w:p>
          <w:p w14:paraId="48F1D2BE" w14:textId="02054F41" w:rsidR="00990F8C" w:rsidRPr="00990F8C" w:rsidRDefault="00990F8C" w:rsidP="00990F8C">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990F8C">
              <w:rPr>
                <w:rFonts w:ascii="Verdana" w:hAnsi="Verdana" w:cs="Arial"/>
              </w:rPr>
              <w:t>MARIENHOFF, Miguel S. Tratado de derecho administrativo. Tomo IIIA. Cuarta Edición. Buenos Aires: Abeledo Perrot, 1998.</w:t>
            </w:r>
          </w:p>
          <w:p w14:paraId="25BC032F" w14:textId="20BE236B" w:rsidR="00990F8C" w:rsidRPr="00990F8C" w:rsidRDefault="00990F8C" w:rsidP="00990F8C">
            <w:pPr>
              <w:pStyle w:val="Prrafodelista"/>
              <w:widowControl w:val="0"/>
              <w:numPr>
                <w:ilvl w:val="0"/>
                <w:numId w:val="8"/>
              </w:numPr>
              <w:tabs>
                <w:tab w:val="left" w:pos="8419"/>
              </w:tabs>
              <w:autoSpaceDE w:val="0"/>
              <w:autoSpaceDN w:val="0"/>
              <w:spacing w:line="276" w:lineRule="auto"/>
              <w:jc w:val="both"/>
              <w:rPr>
                <w:rFonts w:ascii="Verdana" w:hAnsi="Verdana" w:cs="Arial"/>
              </w:rPr>
            </w:pPr>
            <w:r w:rsidRPr="00990F8C">
              <w:rPr>
                <w:rFonts w:ascii="Verdana" w:hAnsi="Verdana" w:cs="Arial"/>
              </w:rPr>
              <w:t>RAMÍREZ GRISALES, Richard. La cesión. Serie: Las cláusulas del contrato estatal. Medellín: Centro de Estudios de Derecho Administrativo –CEDA– y Librería Jurídica Sánchez R., 2014.</w:t>
            </w:r>
          </w:p>
        </w:tc>
      </w:tr>
    </w:tbl>
    <w:p w14:paraId="7C9A5AE4" w14:textId="77777777" w:rsidR="006D4F5F" w:rsidRPr="002E78FE" w:rsidRDefault="006D4F5F" w:rsidP="006D4F5F">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41777343" w14:textId="088B5908" w:rsidR="006D4F5F" w:rsidRPr="002E78FE" w:rsidRDefault="006D4F5F" w:rsidP="006D4F5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E78FE">
        <w:rPr>
          <w:rFonts w:ascii="Verdana" w:eastAsia="Century Gothic" w:hAnsi="Verdana" w:cs="Century Gothic"/>
          <w:b/>
          <w:bCs/>
          <w:lang w:val="es-CO"/>
        </w:rPr>
        <w:t xml:space="preserve">5. </w:t>
      </w:r>
      <w:r w:rsidRPr="002E78FE">
        <w:rPr>
          <w:rFonts w:ascii="Verdana" w:eastAsia="Century Gothic" w:hAnsi="Verdana" w:cs="Century Gothic"/>
          <w:b/>
          <w:bCs/>
        </w:rPr>
        <w:t>Doctrina de la Agencia Nacional de Contratación Pública:</w:t>
      </w:r>
    </w:p>
    <w:p w14:paraId="50BAA70D" w14:textId="77777777" w:rsidR="006D4F5F" w:rsidRPr="002E78FE" w:rsidRDefault="006D4F5F" w:rsidP="00367926">
      <w:pPr>
        <w:spacing w:after="0" w:line="276" w:lineRule="auto"/>
        <w:ind w:firstLine="709"/>
        <w:jc w:val="both"/>
        <w:rPr>
          <w:rFonts w:ascii="Verdana" w:eastAsia="Times New Roman" w:hAnsi="Verdana" w:cs="Arial"/>
          <w:szCs w:val="24"/>
          <w:lang w:val="es-ES" w:eastAsia="es-ES_tradnl"/>
        </w:rPr>
      </w:pPr>
    </w:p>
    <w:p w14:paraId="02635C8B" w14:textId="1EF43E32" w:rsidR="00435993" w:rsidRPr="002E78FE" w:rsidRDefault="00435993" w:rsidP="006D4F5F">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2E78FE">
        <w:rPr>
          <w:rFonts w:ascii="Verdana" w:eastAsia="Calibri" w:hAnsi="Verdana" w:cs="Arial"/>
          <w:lang w:val="es-ES_tradnl" w:eastAsia="es-ES_tradnl"/>
        </w:rPr>
        <w:t xml:space="preserve">Sobre </w:t>
      </w:r>
      <w:r w:rsidR="00AF7CDB" w:rsidRPr="002E78FE">
        <w:rPr>
          <w:rFonts w:ascii="Verdana" w:eastAsia="Calibri" w:hAnsi="Verdana" w:cs="Arial"/>
          <w:lang w:val="es-ES_tradnl" w:eastAsia="es-ES_tradnl"/>
        </w:rPr>
        <w:t xml:space="preserve">la </w:t>
      </w:r>
      <w:r w:rsidR="00A47B48">
        <w:rPr>
          <w:rFonts w:ascii="Verdana" w:eastAsia="Calibri" w:hAnsi="Verdana" w:cs="Arial"/>
          <w:lang w:val="es-ES_tradnl" w:eastAsia="es-ES_tradnl"/>
        </w:rPr>
        <w:t>cesión del contrato estatal</w:t>
      </w:r>
      <w:r w:rsidRPr="002E78FE">
        <w:rPr>
          <w:rFonts w:ascii="Verdana" w:eastAsia="Calibri" w:hAnsi="Verdana" w:cs="Arial"/>
          <w:lang w:val="es-ES_tradnl" w:eastAsia="es-ES_tradnl"/>
        </w:rPr>
        <w:t xml:space="preserve"> se pronunció esta Subdirección en los conceptos </w:t>
      </w:r>
      <w:r w:rsidR="00B736B6" w:rsidRPr="00B736B6">
        <w:rPr>
          <w:rFonts w:ascii="Verdana" w:eastAsia="Calibri" w:hAnsi="Verdana" w:cs="Arial"/>
          <w:lang w:val="es-ES_tradnl" w:eastAsia="es-ES_tradnl"/>
        </w:rPr>
        <w:t>4201913000007643 y 4201913000007669 del 26 de diciembre de 2019, así como en los Conceptos C-551 del 24 de septiembre de 2020, C-572 del 27 de agosto de 2020, C-582 del 28 de agosto de 2020, C-385 del 20 de agosto de 2021, C-069 del 24 de abril de 2023</w:t>
      </w:r>
      <w:r w:rsidR="00AF7CDB" w:rsidRPr="00B736B6">
        <w:rPr>
          <w:rFonts w:ascii="Verdana" w:eastAsia="Calibri" w:hAnsi="Verdana" w:cs="Arial"/>
          <w:lang w:val="es-ES_tradnl" w:eastAsia="es-ES_tradnl"/>
        </w:rPr>
        <w:t xml:space="preserve"> y C-</w:t>
      </w:r>
      <w:r w:rsidR="00B736B6" w:rsidRPr="00B736B6">
        <w:rPr>
          <w:rFonts w:ascii="Verdana" w:eastAsia="Calibri" w:hAnsi="Verdana" w:cs="Arial"/>
          <w:lang w:val="es-ES_tradnl" w:eastAsia="es-ES_tradnl"/>
        </w:rPr>
        <w:t>100</w:t>
      </w:r>
      <w:r w:rsidR="00AF7CDB" w:rsidRPr="00B736B6">
        <w:rPr>
          <w:rFonts w:ascii="Verdana" w:eastAsia="Calibri" w:hAnsi="Verdana" w:cs="Arial"/>
          <w:lang w:val="es-ES_tradnl" w:eastAsia="es-ES_tradnl"/>
        </w:rPr>
        <w:t xml:space="preserve"> del </w:t>
      </w:r>
      <w:r w:rsidR="00B736B6" w:rsidRPr="00B736B6">
        <w:rPr>
          <w:rFonts w:ascii="Verdana" w:eastAsia="Calibri" w:hAnsi="Verdana" w:cs="Arial"/>
          <w:lang w:val="es-ES_tradnl" w:eastAsia="es-ES_tradnl"/>
        </w:rPr>
        <w:t>12</w:t>
      </w:r>
      <w:r w:rsidR="00AF7CDB" w:rsidRPr="00B736B6">
        <w:rPr>
          <w:rFonts w:ascii="Verdana" w:eastAsia="Calibri" w:hAnsi="Verdana" w:cs="Arial"/>
          <w:lang w:val="es-ES_tradnl" w:eastAsia="es-ES_tradnl"/>
        </w:rPr>
        <w:t xml:space="preserve"> de </w:t>
      </w:r>
      <w:r w:rsidR="00B736B6" w:rsidRPr="00B736B6">
        <w:rPr>
          <w:rFonts w:ascii="Verdana" w:eastAsia="Calibri" w:hAnsi="Verdana" w:cs="Arial"/>
          <w:lang w:val="es-ES_tradnl" w:eastAsia="es-ES_tradnl"/>
        </w:rPr>
        <w:t>junio</w:t>
      </w:r>
      <w:r w:rsidR="00AF7CDB" w:rsidRPr="00B736B6">
        <w:rPr>
          <w:rFonts w:ascii="Verdana" w:eastAsia="Calibri" w:hAnsi="Verdana" w:cs="Arial"/>
          <w:lang w:val="es-ES_tradnl" w:eastAsia="es-ES_tradnl"/>
        </w:rPr>
        <w:t xml:space="preserve"> de 202</w:t>
      </w:r>
      <w:r w:rsidR="00B736B6" w:rsidRPr="00B736B6">
        <w:rPr>
          <w:rFonts w:ascii="Verdana" w:eastAsia="Calibri" w:hAnsi="Verdana" w:cs="Arial"/>
          <w:lang w:val="es-ES_tradnl" w:eastAsia="es-ES_tradnl"/>
        </w:rPr>
        <w:t>4</w:t>
      </w:r>
      <w:r w:rsidRPr="002E78FE">
        <w:rPr>
          <w:rFonts w:ascii="Verdana" w:eastAsia="Calibri" w:hAnsi="Verdana" w:cs="Arial"/>
          <w:lang w:val="es-ES" w:eastAsia="es-ES_tradnl"/>
        </w:rPr>
        <w:t>. Estos</w:t>
      </w:r>
      <w:r w:rsidRPr="002E78FE">
        <w:rPr>
          <w:rFonts w:ascii="Verdana" w:hAnsi="Verdana"/>
        </w:rPr>
        <w:t xml:space="preserve"> y otros conceptos se encuentran disponibles para consulta en el Sistema de relatoría de la Agencia, al cual se puede acceder a través del siguiente enlace:</w:t>
      </w:r>
      <w:r w:rsidRPr="002E78FE">
        <w:rPr>
          <w:rStyle w:val="normaltextrun"/>
          <w:rFonts w:ascii="Verdana" w:hAnsi="Verdana" w:cs="Arial"/>
          <w:shd w:val="clear" w:color="auto" w:fill="FFFFFF"/>
          <w:lang w:val="es-ES"/>
        </w:rPr>
        <w:t xml:space="preserve"> </w:t>
      </w:r>
      <w:hyperlink r:id="rId12" w:history="1">
        <w:r w:rsidRPr="002E78FE">
          <w:rPr>
            <w:rStyle w:val="Hipervnculo"/>
            <w:rFonts w:ascii="Verdana" w:hAnsi="Verdana" w:cs="Arial"/>
            <w:shd w:val="clear" w:color="auto" w:fill="FFFFFF"/>
            <w:lang w:val="es-ES"/>
          </w:rPr>
          <w:t>https://relatoria.colombiacompra.gov.co/busqueda/conceptos</w:t>
        </w:r>
      </w:hyperlink>
    </w:p>
    <w:p w14:paraId="4E6DB3BC" w14:textId="77777777" w:rsidR="00435993" w:rsidRPr="002E78FE" w:rsidRDefault="00435993" w:rsidP="006D4F5F">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59FD97FE" w14:textId="38E1EDD4" w:rsidR="006D4F5F" w:rsidRPr="002E78FE" w:rsidRDefault="006D4F5F" w:rsidP="006D4F5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E78FE">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2E78FE">
        <w:rPr>
          <w:rStyle w:val="normaltextrun"/>
          <w:rFonts w:ascii="Verdana" w:hAnsi="Verdana" w:cs="Arial"/>
          <w:color w:val="FF0000"/>
          <w:shd w:val="clear" w:color="auto" w:fill="FFFFFF"/>
          <w:lang w:val="es-ES"/>
        </w:rPr>
        <w:t xml:space="preserve"> </w:t>
      </w:r>
      <w:hyperlink r:id="rId13" w:history="1">
        <w:r w:rsidRPr="002E78FE">
          <w:rPr>
            <w:rStyle w:val="Hipervnculo"/>
            <w:rFonts w:ascii="Verdana" w:hAnsi="Verdana" w:cs="Arial"/>
            <w:shd w:val="clear" w:color="auto" w:fill="FFFFFF"/>
            <w:lang w:val="es-ES"/>
          </w:rPr>
          <w:t>https://www.colombiacompra.gov.co/sala-de-prensa/boletin-digital</w:t>
        </w:r>
      </w:hyperlink>
      <w:r w:rsidRPr="002E78FE">
        <w:rPr>
          <w:rStyle w:val="normaltextrun"/>
          <w:rFonts w:ascii="Verdana" w:hAnsi="Verdana" w:cs="Arial"/>
          <w:color w:val="FF0000"/>
          <w:shd w:val="clear" w:color="auto" w:fill="FFFFFF"/>
          <w:lang w:val="es-ES"/>
        </w:rPr>
        <w:t xml:space="preserve">      </w:t>
      </w:r>
    </w:p>
    <w:p w14:paraId="5A32D2E1" w14:textId="77777777" w:rsidR="003F4C9D" w:rsidRPr="002E78FE" w:rsidRDefault="003F4C9D" w:rsidP="006D4F5F">
      <w:pPr>
        <w:spacing w:after="0" w:line="240" w:lineRule="auto"/>
        <w:jc w:val="both"/>
        <w:rPr>
          <w:rFonts w:ascii="Verdana" w:hAnsi="Verdana"/>
        </w:rPr>
      </w:pPr>
    </w:p>
    <w:p w14:paraId="70BCC542" w14:textId="598EE6A3" w:rsidR="006D4F5F" w:rsidRPr="002E78FE" w:rsidRDefault="006D4F5F" w:rsidP="006D4F5F">
      <w:pPr>
        <w:spacing w:after="0" w:line="240" w:lineRule="auto"/>
        <w:jc w:val="both"/>
        <w:rPr>
          <w:rFonts w:ascii="Verdana" w:hAnsi="Verdana"/>
        </w:rPr>
      </w:pPr>
      <w:r w:rsidRPr="002E78FE">
        <w:rPr>
          <w:rFonts w:ascii="Verdana" w:hAnsi="Verdana"/>
        </w:rPr>
        <w:t xml:space="preserve">Por último, lo invitamos a seguirnos en las redes sociales en las cuales se difunde información institucional: </w:t>
      </w:r>
    </w:p>
    <w:p w14:paraId="14E87AF4" w14:textId="77777777" w:rsidR="006D4F5F" w:rsidRPr="002E78FE" w:rsidRDefault="006D4F5F" w:rsidP="006D4F5F">
      <w:pPr>
        <w:spacing w:after="0" w:line="240" w:lineRule="auto"/>
        <w:jc w:val="both"/>
        <w:rPr>
          <w:rFonts w:ascii="Verdana" w:hAnsi="Verdana"/>
        </w:rPr>
      </w:pPr>
    </w:p>
    <w:p w14:paraId="35C18D6D" w14:textId="77777777" w:rsidR="006D4F5F" w:rsidRPr="002E78FE" w:rsidRDefault="006D4F5F" w:rsidP="006D4F5F">
      <w:pPr>
        <w:spacing w:after="0" w:line="240" w:lineRule="auto"/>
        <w:jc w:val="both"/>
        <w:rPr>
          <w:rFonts w:ascii="Verdana" w:hAnsi="Verdana"/>
        </w:rPr>
      </w:pPr>
      <w:r w:rsidRPr="002E78FE">
        <w:rPr>
          <w:rFonts w:ascii="Verdana" w:hAnsi="Verdana"/>
        </w:rPr>
        <w:t xml:space="preserve">Twitter: </w:t>
      </w:r>
      <w:r w:rsidRPr="002E78FE">
        <w:rPr>
          <w:rStyle w:val="Hipervnculo"/>
          <w:rFonts w:ascii="Verdana" w:hAnsi="Verdana"/>
          <w:color w:val="4472C4" w:themeColor="accent1"/>
        </w:rPr>
        <w:t>@colombiacompra</w:t>
      </w:r>
      <w:r w:rsidRPr="002E78FE">
        <w:rPr>
          <w:rFonts w:ascii="Verdana" w:hAnsi="Verdana"/>
          <w:color w:val="4472C4" w:themeColor="accent1"/>
        </w:rPr>
        <w:t xml:space="preserve"> </w:t>
      </w:r>
    </w:p>
    <w:p w14:paraId="5D5B5D92" w14:textId="77777777" w:rsidR="006D4F5F" w:rsidRPr="002E78FE" w:rsidRDefault="006D4F5F" w:rsidP="006D4F5F">
      <w:pPr>
        <w:spacing w:after="0" w:line="240" w:lineRule="auto"/>
        <w:jc w:val="both"/>
        <w:rPr>
          <w:rFonts w:ascii="Verdana" w:hAnsi="Verdana"/>
        </w:rPr>
      </w:pPr>
      <w:r w:rsidRPr="002E78FE">
        <w:rPr>
          <w:rFonts w:ascii="Verdana" w:hAnsi="Verdana"/>
        </w:rPr>
        <w:t xml:space="preserve">Facebook: </w:t>
      </w:r>
      <w:r w:rsidRPr="002E78FE">
        <w:rPr>
          <w:rStyle w:val="Hipervnculo"/>
          <w:rFonts w:ascii="Verdana" w:hAnsi="Verdana"/>
          <w:color w:val="4472C4" w:themeColor="accent1"/>
        </w:rPr>
        <w:t>ColombiaCompraEficiente</w:t>
      </w:r>
    </w:p>
    <w:p w14:paraId="1521951D" w14:textId="77777777" w:rsidR="006D4F5F" w:rsidRPr="002E78FE" w:rsidRDefault="006D4F5F" w:rsidP="006D4F5F">
      <w:pPr>
        <w:spacing w:after="0" w:line="240" w:lineRule="auto"/>
        <w:jc w:val="both"/>
        <w:rPr>
          <w:rFonts w:ascii="Verdana" w:hAnsi="Verdana"/>
        </w:rPr>
      </w:pPr>
      <w:r w:rsidRPr="002E78FE">
        <w:rPr>
          <w:rFonts w:ascii="Verdana" w:hAnsi="Verdana"/>
        </w:rPr>
        <w:t xml:space="preserve">LinkedIn: </w:t>
      </w:r>
      <w:r w:rsidRPr="002E78FE">
        <w:rPr>
          <w:rStyle w:val="Hipervnculo"/>
          <w:rFonts w:ascii="Verdana" w:hAnsi="Verdana"/>
          <w:color w:val="4472C4" w:themeColor="accent1"/>
        </w:rPr>
        <w:t>Agencia Nacional de Contratación Pública - Colombia Compra Eficiente</w:t>
      </w:r>
      <w:r w:rsidRPr="002E78FE">
        <w:rPr>
          <w:rFonts w:ascii="Verdana" w:hAnsi="Verdana"/>
          <w:color w:val="4472C4" w:themeColor="accent1"/>
        </w:rPr>
        <w:t xml:space="preserve"> </w:t>
      </w:r>
      <w:r w:rsidRPr="002E78FE">
        <w:rPr>
          <w:rFonts w:ascii="Verdana" w:hAnsi="Verdana"/>
        </w:rPr>
        <w:t xml:space="preserve">Instagram: </w:t>
      </w:r>
      <w:r w:rsidRPr="002E78FE">
        <w:rPr>
          <w:rStyle w:val="Hipervnculo"/>
          <w:rFonts w:ascii="Verdana" w:hAnsi="Verdana"/>
          <w:color w:val="4472C4" w:themeColor="accent1"/>
        </w:rPr>
        <w:t>@colombiacompraeficiente_cce</w:t>
      </w:r>
    </w:p>
    <w:p w14:paraId="446242AA" w14:textId="77777777" w:rsidR="006D4F5F" w:rsidRPr="002E78FE" w:rsidRDefault="006D4F5F" w:rsidP="006D4F5F">
      <w:pPr>
        <w:widowControl w:val="0"/>
        <w:autoSpaceDE w:val="0"/>
        <w:autoSpaceDN w:val="0"/>
        <w:spacing w:after="0" w:line="276" w:lineRule="auto"/>
        <w:jc w:val="both"/>
        <w:rPr>
          <w:rFonts w:ascii="Verdana" w:hAnsi="Verdana" w:cs="Arial"/>
        </w:rPr>
      </w:pPr>
    </w:p>
    <w:p w14:paraId="08A45864" w14:textId="77777777" w:rsidR="006D4F5F" w:rsidRPr="002E78FE" w:rsidRDefault="006D4F5F" w:rsidP="006D4F5F">
      <w:pPr>
        <w:widowControl w:val="0"/>
        <w:autoSpaceDE w:val="0"/>
        <w:autoSpaceDN w:val="0"/>
        <w:spacing w:after="0" w:line="276" w:lineRule="auto"/>
        <w:jc w:val="both"/>
        <w:rPr>
          <w:rFonts w:ascii="Verdana" w:hAnsi="Verdana" w:cs="Arial"/>
          <w:lang w:val="es-ES_tradnl"/>
        </w:rPr>
      </w:pPr>
      <w:r w:rsidRPr="002E78FE">
        <w:rPr>
          <w:rFonts w:ascii="Verdana" w:hAnsi="Verdana" w:cs="Arial"/>
        </w:rPr>
        <w:t xml:space="preserve">Este concepto tiene el alcance previsto en el artículo 28 del Código de </w:t>
      </w:r>
      <w:r w:rsidRPr="002E78FE">
        <w:rPr>
          <w:rFonts w:ascii="Verdana" w:hAnsi="Verdana" w:cs="Arial"/>
        </w:rPr>
        <w:lastRenderedPageBreak/>
        <w:t xml:space="preserve">Procedimiento Administrativo y de lo Contencioso Administrativo </w:t>
      </w:r>
      <w:r w:rsidRPr="002E78FE">
        <w:rPr>
          <w:rFonts w:ascii="Verdana" w:hAnsi="Verdana" w:cs="Arial"/>
          <w:lang w:val="es-ES_tradnl"/>
        </w:rPr>
        <w:t>y las expresiones aquí utilizadas con mayúscula inicial deben ser entendidas con el significado que les otorga el artículo 2.2.1.1.1.3.1. del Decreto 1082 de 2015.</w:t>
      </w:r>
    </w:p>
    <w:p w14:paraId="69860DC9" w14:textId="77777777" w:rsidR="006D4F5F" w:rsidRPr="002E78FE" w:rsidRDefault="006D4F5F" w:rsidP="00367926">
      <w:pPr>
        <w:spacing w:after="0" w:line="276" w:lineRule="auto"/>
        <w:ind w:firstLine="709"/>
        <w:jc w:val="both"/>
        <w:rPr>
          <w:rFonts w:ascii="Verdana" w:eastAsia="Times New Roman" w:hAnsi="Verdana" w:cs="Arial"/>
          <w:szCs w:val="24"/>
          <w:lang w:val="es-ES_tradnl" w:eastAsia="es-ES_tradnl"/>
        </w:rPr>
      </w:pPr>
    </w:p>
    <w:p w14:paraId="721B4CA3" w14:textId="77777777" w:rsidR="00367926" w:rsidRPr="002E78FE" w:rsidRDefault="00367926" w:rsidP="00367926">
      <w:pPr>
        <w:spacing w:after="0" w:line="276" w:lineRule="auto"/>
        <w:jc w:val="both"/>
        <w:rPr>
          <w:rFonts w:ascii="Verdana" w:eastAsia="Times New Roman" w:hAnsi="Verdana" w:cs="Arial"/>
          <w:lang w:val="es-ES_tradnl" w:eastAsia="es-CO"/>
        </w:rPr>
      </w:pPr>
      <w:bookmarkStart w:id="6" w:name="_Hlk117695077"/>
      <w:r w:rsidRPr="002E78FE">
        <w:rPr>
          <w:rFonts w:ascii="Verdana" w:eastAsia="Times New Roman" w:hAnsi="Verdana" w:cs="Arial"/>
          <w:lang w:val="es-ES_tradnl" w:eastAsia="es-CO"/>
        </w:rPr>
        <w:t>Atentamente,</w:t>
      </w:r>
    </w:p>
    <w:bookmarkEnd w:id="6"/>
    <w:p w14:paraId="1C57EF7F" w14:textId="0C70EDC3" w:rsidR="00367926" w:rsidRPr="002E78FE" w:rsidRDefault="00F26342" w:rsidP="00367926">
      <w:pPr>
        <w:spacing w:after="18" w:line="240" w:lineRule="auto"/>
        <w:jc w:val="center"/>
        <w:rPr>
          <w:rFonts w:ascii="Verdana" w:eastAsia="Times New Roman" w:hAnsi="Verdana" w:cs="Arial"/>
          <w:sz w:val="24"/>
          <w:szCs w:val="24"/>
          <w:lang w:eastAsia="es-CO"/>
        </w:rPr>
      </w:pPr>
      <w:r>
        <w:rPr>
          <w:noProof/>
        </w:rPr>
        <w:drawing>
          <wp:inline distT="0" distB="0" distL="0" distR="0" wp14:anchorId="635DFD72" wp14:editId="27D0F3A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p w14:paraId="16126715" w14:textId="77777777" w:rsidR="006A3EA8" w:rsidRPr="002E78FE" w:rsidRDefault="006A3EA8" w:rsidP="00367926">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367926" w:rsidRPr="002E78FE" w14:paraId="28C74696" w14:textId="77777777" w:rsidTr="007D61BF">
        <w:trPr>
          <w:trHeight w:val="286"/>
        </w:trPr>
        <w:tc>
          <w:tcPr>
            <w:tcW w:w="886" w:type="dxa"/>
            <w:vAlign w:val="center"/>
            <w:hideMark/>
          </w:tcPr>
          <w:p w14:paraId="748B8C5D" w14:textId="77777777" w:rsidR="00367926" w:rsidRPr="002E78FE" w:rsidRDefault="00367926" w:rsidP="00367926">
            <w:pPr>
              <w:rPr>
                <w:rFonts w:ascii="Verdana" w:eastAsia="Times New Roman" w:hAnsi="Verdana" w:cs="Arial"/>
                <w:sz w:val="14"/>
                <w:szCs w:val="14"/>
                <w:lang w:eastAsia="es-ES"/>
              </w:rPr>
            </w:pPr>
            <w:r w:rsidRPr="002E78FE">
              <w:rPr>
                <w:rFonts w:ascii="Verdana" w:eastAsia="Times New Roman"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2894B297" w14:textId="155ECC07" w:rsidR="00367926" w:rsidRPr="002E78FE" w:rsidRDefault="001319BC" w:rsidP="00367926">
            <w:pPr>
              <w:rPr>
                <w:rFonts w:ascii="Verdana" w:eastAsia="Times New Roman" w:hAnsi="Verdana" w:cs="Arial"/>
                <w:sz w:val="16"/>
                <w:szCs w:val="16"/>
                <w:lang w:val="es-ES_tradnl" w:eastAsia="es-ES"/>
              </w:rPr>
            </w:pPr>
            <w:r w:rsidRPr="002E78FE">
              <w:rPr>
                <w:rFonts w:ascii="Verdana" w:eastAsia="Times New Roman" w:hAnsi="Verdana" w:cs="Arial"/>
                <w:sz w:val="16"/>
                <w:szCs w:val="16"/>
                <w:lang w:val="es-ES_tradnl" w:eastAsia="es-ES"/>
              </w:rPr>
              <w:t>Ximena Ríos López</w:t>
            </w:r>
          </w:p>
          <w:p w14:paraId="6B94066C" w14:textId="388A50ED" w:rsidR="00367926" w:rsidRPr="002E78FE" w:rsidRDefault="001319BC" w:rsidP="00367926">
            <w:pPr>
              <w:rPr>
                <w:rFonts w:ascii="Verdana" w:eastAsia="Times New Roman" w:hAnsi="Verdana" w:cs="Arial"/>
                <w:sz w:val="14"/>
                <w:szCs w:val="14"/>
                <w:lang w:eastAsia="es-ES"/>
              </w:rPr>
            </w:pPr>
            <w:r w:rsidRPr="002E78FE">
              <w:rPr>
                <w:rFonts w:ascii="Verdana" w:eastAsia="Times New Roman" w:hAnsi="Verdana" w:cs="Arial"/>
                <w:sz w:val="16"/>
                <w:szCs w:val="16"/>
                <w:lang w:eastAsia="es-ES"/>
              </w:rPr>
              <w:t>Gestor T1-11</w:t>
            </w:r>
            <w:r w:rsidR="00367926" w:rsidRPr="002E78FE">
              <w:rPr>
                <w:rFonts w:ascii="Verdana" w:eastAsia="Times New Roman" w:hAnsi="Verdana" w:cs="Arial"/>
                <w:sz w:val="16"/>
                <w:szCs w:val="16"/>
                <w:lang w:eastAsia="es-ES"/>
              </w:rPr>
              <w:t xml:space="preserve"> de la Subdirección de Gestión Contractual</w:t>
            </w:r>
          </w:p>
        </w:tc>
      </w:tr>
      <w:tr w:rsidR="00367926" w:rsidRPr="002E78FE" w14:paraId="28AD6FBE" w14:textId="77777777" w:rsidTr="007D61BF">
        <w:trPr>
          <w:trHeight w:val="299"/>
        </w:trPr>
        <w:tc>
          <w:tcPr>
            <w:tcW w:w="886" w:type="dxa"/>
            <w:vAlign w:val="center"/>
            <w:hideMark/>
          </w:tcPr>
          <w:p w14:paraId="7FEBAAF3" w14:textId="77777777" w:rsidR="00367926" w:rsidRPr="002E78FE" w:rsidRDefault="00367926" w:rsidP="00367926">
            <w:pPr>
              <w:rPr>
                <w:rFonts w:ascii="Verdana" w:eastAsia="Times New Roman" w:hAnsi="Verdana" w:cs="Arial"/>
                <w:sz w:val="14"/>
                <w:szCs w:val="14"/>
                <w:lang w:eastAsia="es-ES"/>
              </w:rPr>
            </w:pPr>
            <w:r w:rsidRPr="002E78FE">
              <w:rPr>
                <w:rFonts w:ascii="Verdana" w:eastAsia="Times New Roman"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0F0A30E7" w14:textId="17963936" w:rsidR="00367926" w:rsidRPr="002E78FE" w:rsidRDefault="00580390" w:rsidP="00367926">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Libardo Verjel</w:t>
            </w:r>
          </w:p>
          <w:p w14:paraId="1502D4E1" w14:textId="2FEE1CE3" w:rsidR="00367926" w:rsidRPr="002E78FE" w:rsidRDefault="00C7203E" w:rsidP="00367926">
            <w:pPr>
              <w:rPr>
                <w:rFonts w:ascii="Verdana" w:eastAsia="Times New Roman" w:hAnsi="Verdana" w:cs="Arial"/>
                <w:sz w:val="14"/>
                <w:szCs w:val="14"/>
                <w:lang w:eastAsia="es-ES"/>
              </w:rPr>
            </w:pPr>
            <w:r>
              <w:rPr>
                <w:rFonts w:ascii="Verdana" w:eastAsia="Times New Roman" w:hAnsi="Verdana" w:cs="Arial"/>
                <w:sz w:val="16"/>
                <w:szCs w:val="16"/>
                <w:lang w:eastAsia="es-ES"/>
              </w:rPr>
              <w:t>Asesor E</w:t>
            </w:r>
            <w:r w:rsidR="00580390">
              <w:rPr>
                <w:rFonts w:ascii="Verdana" w:eastAsia="Times New Roman" w:hAnsi="Verdana" w:cs="Arial"/>
                <w:sz w:val="16"/>
                <w:szCs w:val="16"/>
                <w:lang w:eastAsia="es-ES"/>
              </w:rPr>
              <w:t>xperto</w:t>
            </w:r>
            <w:r>
              <w:rPr>
                <w:rFonts w:ascii="Verdana" w:eastAsia="Times New Roman" w:hAnsi="Verdana" w:cs="Arial"/>
                <w:sz w:val="16"/>
                <w:szCs w:val="16"/>
                <w:lang w:eastAsia="es-ES"/>
              </w:rPr>
              <w:t xml:space="preserve"> G3-08</w:t>
            </w:r>
            <w:r w:rsidR="00367926" w:rsidRPr="002E78FE">
              <w:rPr>
                <w:rFonts w:ascii="Verdana" w:eastAsia="Times New Roman" w:hAnsi="Verdana" w:cs="Arial"/>
                <w:sz w:val="16"/>
                <w:szCs w:val="16"/>
                <w:lang w:eastAsia="es-ES"/>
              </w:rPr>
              <w:t xml:space="preserve"> de la Subdirección de Gestión Contractual</w:t>
            </w:r>
          </w:p>
        </w:tc>
      </w:tr>
      <w:tr w:rsidR="00367926" w:rsidRPr="002E78FE" w14:paraId="76711F2E" w14:textId="77777777" w:rsidTr="007D61BF">
        <w:trPr>
          <w:trHeight w:val="272"/>
        </w:trPr>
        <w:tc>
          <w:tcPr>
            <w:tcW w:w="886" w:type="dxa"/>
            <w:vAlign w:val="center"/>
            <w:hideMark/>
          </w:tcPr>
          <w:p w14:paraId="20A481C0" w14:textId="77777777" w:rsidR="00367926" w:rsidRPr="002E78FE" w:rsidRDefault="00367926" w:rsidP="00367926">
            <w:pPr>
              <w:rPr>
                <w:rFonts w:ascii="Verdana" w:eastAsia="Times New Roman" w:hAnsi="Verdana" w:cs="Arial"/>
                <w:sz w:val="14"/>
                <w:szCs w:val="14"/>
                <w:lang w:eastAsia="es-ES"/>
              </w:rPr>
            </w:pPr>
            <w:r w:rsidRPr="002E78FE">
              <w:rPr>
                <w:rFonts w:ascii="Verdana" w:eastAsia="Times New Roman"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62125F4A" w14:textId="729DEA26" w:rsidR="00367926" w:rsidRPr="002E78FE" w:rsidRDefault="001319BC" w:rsidP="00367926">
            <w:pPr>
              <w:rPr>
                <w:rFonts w:ascii="Verdana" w:eastAsia="Times New Roman" w:hAnsi="Verdana" w:cs="Arial"/>
                <w:sz w:val="16"/>
                <w:szCs w:val="16"/>
                <w:lang w:eastAsia="es-ES"/>
              </w:rPr>
            </w:pPr>
            <w:r w:rsidRPr="002E78FE">
              <w:rPr>
                <w:rFonts w:ascii="Verdana" w:eastAsia="Times New Roman" w:hAnsi="Verdana" w:cs="Arial"/>
                <w:sz w:val="16"/>
                <w:szCs w:val="16"/>
                <w:lang w:eastAsia="es-ES"/>
              </w:rPr>
              <w:t>Carolina Quintero Gacharná</w:t>
            </w:r>
          </w:p>
          <w:p w14:paraId="75DE9117" w14:textId="77777777" w:rsidR="00367926" w:rsidRPr="002E78FE" w:rsidRDefault="00367926" w:rsidP="00367926">
            <w:pPr>
              <w:rPr>
                <w:rFonts w:ascii="Verdana" w:eastAsia="Times New Roman" w:hAnsi="Verdana" w:cs="Arial"/>
                <w:sz w:val="14"/>
                <w:szCs w:val="14"/>
                <w:lang w:eastAsia="es-ES"/>
              </w:rPr>
            </w:pPr>
            <w:r w:rsidRPr="002E78FE">
              <w:rPr>
                <w:rFonts w:ascii="Verdana" w:eastAsia="Times New Roman" w:hAnsi="Verdana" w:cs="Arial"/>
                <w:sz w:val="16"/>
                <w:szCs w:val="16"/>
                <w:lang w:eastAsia="es-ES"/>
              </w:rPr>
              <w:t>Subdirectora de Gestión Contractual ANCP – CCE</w:t>
            </w:r>
          </w:p>
        </w:tc>
      </w:tr>
    </w:tbl>
    <w:p w14:paraId="6CC6236A" w14:textId="77777777" w:rsidR="00367926" w:rsidRPr="002E78FE" w:rsidRDefault="00367926" w:rsidP="00367926">
      <w:pPr>
        <w:spacing w:after="0" w:line="276" w:lineRule="auto"/>
        <w:jc w:val="both"/>
        <w:rPr>
          <w:rFonts w:ascii="Verdana" w:eastAsia="Times New Roman" w:hAnsi="Verdana" w:cs="Arial"/>
          <w:lang w:val="es-ES_tradnl"/>
        </w:rPr>
      </w:pPr>
    </w:p>
    <w:p w14:paraId="08499585" w14:textId="77777777" w:rsidR="00367926" w:rsidRPr="002E78FE" w:rsidRDefault="00367926" w:rsidP="00367926">
      <w:pPr>
        <w:spacing w:after="0" w:line="240" w:lineRule="auto"/>
        <w:rPr>
          <w:rFonts w:ascii="Verdana" w:eastAsia="Times New Roman" w:hAnsi="Verdana" w:cs="Arial"/>
          <w:sz w:val="24"/>
          <w:szCs w:val="24"/>
          <w:lang w:eastAsia="es-ES_tradnl"/>
        </w:rPr>
      </w:pPr>
    </w:p>
    <w:p w14:paraId="0FD4057A" w14:textId="77777777" w:rsidR="00C330EB" w:rsidRPr="002E78FE" w:rsidRDefault="00C330EB" w:rsidP="00FB7583">
      <w:pPr>
        <w:rPr>
          <w:rFonts w:ascii="Verdana" w:hAnsi="Verdana"/>
        </w:rPr>
      </w:pPr>
    </w:p>
    <w:sectPr w:rsidR="00C330EB" w:rsidRPr="002E78FE" w:rsidSect="00923EEF">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39F634" w14:textId="77777777" w:rsidR="005D4E4C" w:rsidRDefault="005D4E4C" w:rsidP="004A1847">
      <w:pPr>
        <w:spacing w:after="0" w:line="240" w:lineRule="auto"/>
      </w:pPr>
      <w:r>
        <w:separator/>
      </w:r>
    </w:p>
  </w:endnote>
  <w:endnote w:type="continuationSeparator" w:id="0">
    <w:p w14:paraId="5542E48B" w14:textId="77777777" w:rsidR="005D4E4C" w:rsidRDefault="005D4E4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8BB0C" w14:textId="77777777" w:rsidR="005D4E4C" w:rsidRDefault="005D4E4C" w:rsidP="004A1847">
      <w:pPr>
        <w:spacing w:after="0" w:line="240" w:lineRule="auto"/>
      </w:pPr>
      <w:r>
        <w:separator/>
      </w:r>
    </w:p>
  </w:footnote>
  <w:footnote w:type="continuationSeparator" w:id="0">
    <w:p w14:paraId="391DAEF0" w14:textId="77777777" w:rsidR="005D4E4C" w:rsidRDefault="005D4E4C" w:rsidP="004A1847">
      <w:pPr>
        <w:spacing w:after="0" w:line="240" w:lineRule="auto"/>
      </w:pPr>
      <w:r>
        <w:continuationSeparator/>
      </w:r>
    </w:p>
  </w:footnote>
  <w:footnote w:id="1">
    <w:p w14:paraId="68489D47" w14:textId="77777777" w:rsidR="00022000" w:rsidRPr="00693967" w:rsidRDefault="00022000" w:rsidP="00022000">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44C6AB59" w14:textId="77777777" w:rsidR="00022000" w:rsidRPr="00693967" w:rsidRDefault="00022000" w:rsidP="00022000">
      <w:pPr>
        <w:pStyle w:val="Textonotapie"/>
        <w:ind w:firstLine="708"/>
        <w:jc w:val="both"/>
        <w:rPr>
          <w:rFonts w:ascii="Verdana" w:hAnsi="Verdana" w:cs="Arial"/>
          <w:sz w:val="10"/>
          <w:szCs w:val="10"/>
        </w:rPr>
      </w:pPr>
      <w:r w:rsidRPr="00693967">
        <w:rPr>
          <w:rFonts w:ascii="Verdana" w:hAnsi="Verdana" w:cs="Arial"/>
          <w:sz w:val="10"/>
          <w:szCs w:val="10"/>
        </w:rPr>
        <w:t xml:space="preserve">La misma sustitución podrá hacerse en los contratos mercantiles de ejecución instantánea que aún no hayan sido cumplidos en todo o en parte, y en los celebrados </w:t>
      </w:r>
      <w:r w:rsidRPr="00693967">
        <w:rPr>
          <w:rFonts w:ascii="Verdana" w:hAnsi="Verdana" w:cs="Arial"/>
          <w:i/>
          <w:iCs/>
          <w:sz w:val="10"/>
          <w:szCs w:val="10"/>
        </w:rPr>
        <w:t>intuitu personae</w:t>
      </w:r>
      <w:r w:rsidRPr="00693967">
        <w:rPr>
          <w:rFonts w:ascii="Verdana" w:hAnsi="Verdana" w:cs="Arial"/>
          <w:sz w:val="10"/>
          <w:szCs w:val="10"/>
        </w:rPr>
        <w:t>, pero en estos casos será necesaria la aceptación del contratante cedido”.</w:t>
      </w:r>
    </w:p>
    <w:p w14:paraId="14A84728" w14:textId="77777777" w:rsidR="00022000" w:rsidRDefault="00022000" w:rsidP="00022000">
      <w:pPr>
        <w:pStyle w:val="Textonotapie"/>
        <w:ind w:firstLine="708"/>
        <w:jc w:val="both"/>
        <w:rPr>
          <w:rFonts w:ascii="Verdana" w:hAnsi="Verdana" w:cs="Arial"/>
          <w:sz w:val="10"/>
          <w:szCs w:val="10"/>
        </w:rPr>
      </w:pPr>
      <w:r w:rsidRPr="00693967">
        <w:rPr>
          <w:rFonts w:ascii="Verdana" w:hAnsi="Verdana" w:cs="Arial"/>
          <w:sz w:val="10"/>
          <w:szCs w:val="10"/>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p w14:paraId="1806BAD8" w14:textId="77777777" w:rsidR="00693967" w:rsidRPr="00693967" w:rsidRDefault="00693967" w:rsidP="00022000">
      <w:pPr>
        <w:pStyle w:val="Textonotapie"/>
        <w:ind w:firstLine="708"/>
        <w:jc w:val="both"/>
        <w:rPr>
          <w:rFonts w:ascii="Verdana" w:hAnsi="Verdana" w:cs="Arial"/>
          <w:sz w:val="10"/>
          <w:szCs w:val="10"/>
        </w:rPr>
      </w:pPr>
    </w:p>
  </w:footnote>
  <w:footnote w:id="2">
    <w:p w14:paraId="16BE8A7F" w14:textId="77777777" w:rsidR="00022000" w:rsidRPr="00693967" w:rsidRDefault="00022000" w:rsidP="00022000">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MESSINEO, Francesco. Doctrina general del contrato. Santiago: Olejnik, 2018. p. 633. Énfasis dentro del texto).</w:t>
      </w:r>
    </w:p>
  </w:footnote>
  <w:footnote w:id="3">
    <w:p w14:paraId="44855A09" w14:textId="77777777" w:rsidR="00693967" w:rsidRDefault="00693967" w:rsidP="00022000">
      <w:pPr>
        <w:pStyle w:val="Textonotapie"/>
        <w:ind w:firstLine="709"/>
        <w:jc w:val="both"/>
        <w:rPr>
          <w:rFonts w:ascii="Verdana" w:hAnsi="Verdana" w:cs="Arial"/>
          <w:sz w:val="10"/>
          <w:szCs w:val="10"/>
        </w:rPr>
      </w:pPr>
    </w:p>
    <w:p w14:paraId="26D3F01F" w14:textId="553A9C27" w:rsidR="00022000" w:rsidRPr="00693967" w:rsidRDefault="00022000" w:rsidP="00022000">
      <w:pPr>
        <w:pStyle w:val="Textonotapie"/>
        <w:ind w:firstLine="709"/>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ROPPO, Vincenzo. El contrato. Lima: Gaceta Jurídica, 2009. p. 547.</w:t>
      </w:r>
    </w:p>
  </w:footnote>
  <w:footnote w:id="4">
    <w:p w14:paraId="71DCEA3C" w14:textId="77777777" w:rsidR="00693967" w:rsidRDefault="00693967" w:rsidP="00022000">
      <w:pPr>
        <w:pStyle w:val="Textonotapie"/>
        <w:ind w:firstLine="709"/>
        <w:jc w:val="both"/>
        <w:rPr>
          <w:rFonts w:ascii="Verdana" w:hAnsi="Verdana" w:cs="Arial"/>
          <w:sz w:val="10"/>
          <w:szCs w:val="10"/>
        </w:rPr>
      </w:pPr>
    </w:p>
    <w:p w14:paraId="2BAFA1C4" w14:textId="4ADBEB41" w:rsidR="00022000" w:rsidRPr="00693967" w:rsidRDefault="00022000" w:rsidP="00022000">
      <w:pPr>
        <w:pStyle w:val="Textonotapie"/>
        <w:ind w:firstLine="709"/>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w:t>
      </w:r>
      <w:r w:rsidRPr="00693967">
        <w:rPr>
          <w:rFonts w:ascii="Verdana" w:hAnsi="Verdana" w:cs="Arial"/>
          <w:i/>
          <w:iCs/>
          <w:sz w:val="10"/>
          <w:szCs w:val="10"/>
        </w:rPr>
        <w:t>Ibidem</w:t>
      </w:r>
      <w:r w:rsidRPr="00693967">
        <w:rPr>
          <w:rFonts w:ascii="Verdana" w:hAnsi="Verdana" w:cs="Arial"/>
          <w:sz w:val="10"/>
          <w:szCs w:val="10"/>
        </w:rPr>
        <w:t>.</w:t>
      </w:r>
    </w:p>
  </w:footnote>
  <w:footnote w:id="5">
    <w:p w14:paraId="020F7521" w14:textId="77777777" w:rsidR="00693967" w:rsidRDefault="00022000" w:rsidP="00022000">
      <w:pPr>
        <w:pStyle w:val="Textonotapie"/>
        <w:ind w:firstLine="709"/>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p w14:paraId="0BDDA124" w14:textId="324E5494" w:rsidR="00022000" w:rsidRPr="00693967" w:rsidRDefault="00022000" w:rsidP="00022000">
      <w:pPr>
        <w:pStyle w:val="Textonotapie"/>
        <w:ind w:firstLine="709"/>
        <w:jc w:val="both"/>
        <w:rPr>
          <w:rFonts w:ascii="Verdana" w:hAnsi="Verdana" w:cs="Arial"/>
          <w:sz w:val="10"/>
          <w:szCs w:val="10"/>
        </w:rPr>
      </w:pPr>
      <w:r w:rsidRPr="00693967">
        <w:rPr>
          <w:rFonts w:ascii="Verdana" w:hAnsi="Verdana" w:cs="Arial"/>
          <w:sz w:val="10"/>
          <w:szCs w:val="10"/>
        </w:rPr>
        <w:t xml:space="preserve"> </w:t>
      </w:r>
    </w:p>
  </w:footnote>
  <w:footnote w:id="6">
    <w:p w14:paraId="507B99C0" w14:textId="77777777" w:rsidR="00022000" w:rsidRPr="00693967" w:rsidRDefault="00022000" w:rsidP="00022000">
      <w:pPr>
        <w:pStyle w:val="Textonotapie"/>
        <w:ind w:firstLine="709"/>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Código de Comercio: “Artículo 890. El que cede un contrato se obliga a responder de la existencia y validez del mismo y de sus garantías, pero, salvo estipulación expresa en contrario, no responderá de su cumplimiento por parte del otro contratante y de los garantes”.</w:t>
      </w:r>
    </w:p>
  </w:footnote>
  <w:footnote w:id="7">
    <w:p w14:paraId="633B8160" w14:textId="77777777" w:rsidR="00693967" w:rsidRDefault="00693967" w:rsidP="00022000">
      <w:pPr>
        <w:pStyle w:val="Textonotapie"/>
        <w:ind w:firstLine="709"/>
        <w:jc w:val="both"/>
        <w:rPr>
          <w:rFonts w:ascii="Verdana" w:hAnsi="Verdana" w:cs="Arial"/>
          <w:sz w:val="10"/>
          <w:szCs w:val="10"/>
        </w:rPr>
      </w:pPr>
    </w:p>
    <w:p w14:paraId="30C63304" w14:textId="260D31C8" w:rsidR="00022000" w:rsidRDefault="00022000" w:rsidP="00022000">
      <w:pPr>
        <w:pStyle w:val="Textonotapie"/>
        <w:ind w:firstLine="709"/>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p w14:paraId="41A1C8B0" w14:textId="77777777" w:rsidR="00A95686" w:rsidRPr="00693967" w:rsidRDefault="00A95686" w:rsidP="00022000">
      <w:pPr>
        <w:pStyle w:val="Textonotapie"/>
        <w:ind w:firstLine="709"/>
        <w:jc w:val="both"/>
        <w:rPr>
          <w:rFonts w:ascii="Verdana" w:hAnsi="Verdana" w:cs="Arial"/>
          <w:sz w:val="10"/>
          <w:szCs w:val="10"/>
          <w:lang w:val="es-CO"/>
        </w:rPr>
      </w:pPr>
    </w:p>
  </w:footnote>
  <w:footnote w:id="8">
    <w:p w14:paraId="3E9FF93E" w14:textId="77777777" w:rsidR="00022000" w:rsidRPr="00693967" w:rsidRDefault="00022000" w:rsidP="00022000">
      <w:pPr>
        <w:pStyle w:val="Textonotapie"/>
        <w:ind w:firstLine="709"/>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1A29A2BB" w14:textId="77777777" w:rsidR="00022000" w:rsidRPr="00693967" w:rsidRDefault="00022000" w:rsidP="00022000">
      <w:pPr>
        <w:pStyle w:val="Textonotapie"/>
        <w:ind w:firstLine="709"/>
        <w:jc w:val="both"/>
        <w:rPr>
          <w:rFonts w:ascii="Verdana" w:hAnsi="Verdana" w:cs="Arial"/>
          <w:sz w:val="10"/>
          <w:szCs w:val="10"/>
        </w:rPr>
      </w:pPr>
      <w:r w:rsidRPr="00693967">
        <w:rPr>
          <w:rFonts w:ascii="Verdana" w:hAnsi="Verdana" w:cs="Arial"/>
          <w:sz w:val="10"/>
          <w:szCs w:val="10"/>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9">
    <w:p w14:paraId="4A54A64A" w14:textId="77777777" w:rsidR="00022000" w:rsidRPr="00693967" w:rsidRDefault="00022000" w:rsidP="00022000">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2C7C543A" w14:textId="77777777" w:rsidR="00022000" w:rsidRDefault="00022000" w:rsidP="00022000">
      <w:pPr>
        <w:pStyle w:val="Textonotapie"/>
        <w:ind w:firstLine="708"/>
        <w:jc w:val="both"/>
        <w:rPr>
          <w:rFonts w:ascii="Verdana" w:hAnsi="Verdana" w:cs="Arial"/>
          <w:sz w:val="10"/>
          <w:szCs w:val="10"/>
        </w:rPr>
      </w:pPr>
      <w:r w:rsidRPr="00693967">
        <w:rPr>
          <w:rFonts w:ascii="Verdana" w:hAnsi="Verdana" w:cs="Arial"/>
          <w:sz w:val="10"/>
          <w:szCs w:val="10"/>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p w14:paraId="7C231D33" w14:textId="77777777" w:rsidR="00990F8C" w:rsidRPr="00693967" w:rsidRDefault="00990F8C" w:rsidP="00022000">
      <w:pPr>
        <w:pStyle w:val="Textonotapie"/>
        <w:ind w:firstLine="708"/>
        <w:jc w:val="both"/>
        <w:rPr>
          <w:rFonts w:ascii="Verdana" w:hAnsi="Verdana" w:cs="Arial"/>
          <w:sz w:val="10"/>
          <w:szCs w:val="10"/>
        </w:rPr>
      </w:pPr>
    </w:p>
  </w:footnote>
  <w:footnote w:id="10">
    <w:p w14:paraId="38B80BC3" w14:textId="77777777" w:rsidR="00022000" w:rsidRPr="00693967" w:rsidRDefault="00022000" w:rsidP="00022000">
      <w:pPr>
        <w:pStyle w:val="Textonotapie"/>
        <w:ind w:firstLine="708"/>
        <w:jc w:val="both"/>
        <w:rPr>
          <w:rFonts w:ascii="Verdana" w:hAnsi="Verdana" w:cs="Arial"/>
          <w:sz w:val="10"/>
          <w:szCs w:val="10"/>
          <w:lang w:val="es-ES"/>
        </w:rPr>
      </w:pPr>
      <w:r w:rsidRPr="00693967">
        <w:rPr>
          <w:rStyle w:val="Refdenotaalpie"/>
          <w:rFonts w:ascii="Verdana" w:hAnsi="Verdana" w:cs="Arial"/>
          <w:sz w:val="10"/>
          <w:szCs w:val="10"/>
        </w:rPr>
        <w:footnoteRef/>
      </w:r>
      <w:r w:rsidRPr="00693967">
        <w:rPr>
          <w:rFonts w:ascii="Verdana" w:hAnsi="Verdana" w:cs="Arial"/>
          <w:sz w:val="10"/>
          <w:szCs w:val="10"/>
        </w:rPr>
        <w:t xml:space="preserve"> MARIENHOFF, Miguel S. Tratado de derecho administrativo. Tomo IIIA. Cuarta Edición. Buenos Aires: Abeledo Perrot, 1998. p. 318. Énfasis dentro del texto.</w:t>
      </w:r>
    </w:p>
  </w:footnote>
  <w:footnote w:id="11">
    <w:p w14:paraId="0803FBCE" w14:textId="77777777" w:rsidR="00990F8C" w:rsidRDefault="00990F8C" w:rsidP="00022000">
      <w:pPr>
        <w:pStyle w:val="Textonotapie"/>
        <w:ind w:firstLine="708"/>
        <w:jc w:val="both"/>
        <w:rPr>
          <w:rFonts w:ascii="Verdana" w:hAnsi="Verdana" w:cs="Arial"/>
          <w:sz w:val="10"/>
          <w:szCs w:val="10"/>
        </w:rPr>
      </w:pPr>
    </w:p>
    <w:p w14:paraId="07A817C0" w14:textId="6A242749" w:rsidR="00022000" w:rsidRPr="00693967" w:rsidRDefault="00022000" w:rsidP="00022000">
      <w:pPr>
        <w:pStyle w:val="Textonotapie"/>
        <w:ind w:firstLine="708"/>
        <w:jc w:val="both"/>
        <w:rPr>
          <w:rFonts w:ascii="Verdana" w:hAnsi="Verdana" w:cs="Arial"/>
          <w:sz w:val="10"/>
          <w:szCs w:val="10"/>
        </w:rPr>
      </w:pPr>
      <w:r w:rsidRPr="00693967">
        <w:rPr>
          <w:rStyle w:val="Refdenotaalpie"/>
          <w:rFonts w:ascii="Verdana" w:hAnsi="Verdana" w:cs="Arial"/>
          <w:sz w:val="10"/>
          <w:szCs w:val="10"/>
        </w:rPr>
        <w:footnoteRef/>
      </w:r>
      <w:r w:rsidRPr="00693967">
        <w:rPr>
          <w:rFonts w:ascii="Verdana" w:hAnsi="Verdana" w:cs="Arial"/>
          <w:sz w:val="10"/>
          <w:szCs w:val="10"/>
        </w:rPr>
        <w:t xml:space="preserve"> RAMÍREZ GRISALES, Richard. La cesión. Serie: Las cláusulas del contrato estatal. Medellín: Centro de Estudios de Derecho Administrativo –CEDA– y Librería Jurídica Sánchez R., 2014. pp. 71-72.</w:t>
      </w:r>
    </w:p>
  </w:footnote>
  <w:footnote w:id="12">
    <w:p w14:paraId="56A3E768" w14:textId="77777777" w:rsidR="00022000" w:rsidRPr="00693967" w:rsidRDefault="00022000" w:rsidP="00022000">
      <w:pPr>
        <w:pStyle w:val="Textonotapie"/>
        <w:ind w:firstLine="709"/>
        <w:jc w:val="both"/>
        <w:rPr>
          <w:rFonts w:ascii="Verdana" w:hAnsi="Verdana" w:cs="Arial"/>
          <w:sz w:val="10"/>
          <w:szCs w:val="10"/>
          <w:lang w:val="es-ES"/>
        </w:rPr>
      </w:pPr>
      <w:r w:rsidRPr="00693967">
        <w:rPr>
          <w:rStyle w:val="Refdenotaalpie"/>
          <w:rFonts w:ascii="Verdana" w:hAnsi="Verdana" w:cs="Arial"/>
          <w:sz w:val="10"/>
          <w:szCs w:val="10"/>
        </w:rPr>
        <w:footnoteRef/>
      </w:r>
      <w:r w:rsidRPr="00693967">
        <w:rPr>
          <w:rFonts w:ascii="Verdana" w:hAnsi="Verdana" w:cs="Arial"/>
          <w:sz w:val="10"/>
          <w:szCs w:val="10"/>
        </w:rPr>
        <w:t xml:space="preserve"> </w:t>
      </w:r>
      <w:r w:rsidRPr="00693967">
        <w:rPr>
          <w:rFonts w:ascii="Verdana" w:hAnsi="Verdana" w:cs="Arial"/>
          <w:sz w:val="10"/>
          <w:szCs w:val="10"/>
          <w:lang w:val="es-ES"/>
        </w:rPr>
        <w:t>Consejo de Estado, Sección Tercera, Sentencia del 16 de marzo de 2015, Rad. 1999-03028, M.P.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0F4636"/>
    <w:multiLevelType w:val="hybridMultilevel"/>
    <w:tmpl w:val="806AD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A5E45D3"/>
    <w:multiLevelType w:val="hybridMultilevel"/>
    <w:tmpl w:val="7CB486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D090EB0"/>
    <w:multiLevelType w:val="hybridMultilevel"/>
    <w:tmpl w:val="FBDE41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C113608"/>
    <w:multiLevelType w:val="hybridMultilevel"/>
    <w:tmpl w:val="FA02AD6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616F9A"/>
    <w:multiLevelType w:val="hybridMultilevel"/>
    <w:tmpl w:val="48C41F52"/>
    <w:lvl w:ilvl="0" w:tplc="240A0001">
      <w:start w:val="1"/>
      <w:numFmt w:val="bullet"/>
      <w:lvlText w:val=""/>
      <w:lvlJc w:val="left"/>
      <w:pPr>
        <w:ind w:left="1571" w:hanging="360"/>
      </w:pPr>
      <w:rPr>
        <w:rFonts w:ascii="Symbol" w:hAnsi="Symbol"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3D97B18"/>
    <w:multiLevelType w:val="hybridMultilevel"/>
    <w:tmpl w:val="874AA1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3DD0257"/>
    <w:multiLevelType w:val="hybridMultilevel"/>
    <w:tmpl w:val="CA6C1C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EB93659"/>
    <w:multiLevelType w:val="hybridMultilevel"/>
    <w:tmpl w:val="55CAAA4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5" w15:restartNumberingAfterBreak="0">
    <w:nsid w:val="7BB10571"/>
    <w:multiLevelType w:val="hybridMultilevel"/>
    <w:tmpl w:val="01D22A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79277800">
    <w:abstractNumId w:val="9"/>
  </w:num>
  <w:num w:numId="2" w16cid:durableId="479999417">
    <w:abstractNumId w:val="1"/>
  </w:num>
  <w:num w:numId="3" w16cid:durableId="534538273">
    <w:abstractNumId w:val="7"/>
  </w:num>
  <w:num w:numId="4" w16cid:durableId="126548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8946809">
    <w:abstractNumId w:val="1"/>
  </w:num>
  <w:num w:numId="6" w16cid:durableId="114643475">
    <w:abstractNumId w:val="0"/>
  </w:num>
  <w:num w:numId="7" w16cid:durableId="100759801">
    <w:abstractNumId w:val="8"/>
  </w:num>
  <w:num w:numId="8" w16cid:durableId="679089576">
    <w:abstractNumId w:val="10"/>
  </w:num>
  <w:num w:numId="9" w16cid:durableId="986321315">
    <w:abstractNumId w:val="11"/>
  </w:num>
  <w:num w:numId="10" w16cid:durableId="894588073">
    <w:abstractNumId w:val="2"/>
  </w:num>
  <w:num w:numId="11" w16cid:durableId="1429497578">
    <w:abstractNumId w:val="14"/>
  </w:num>
  <w:num w:numId="12" w16cid:durableId="724258947">
    <w:abstractNumId w:val="15"/>
  </w:num>
  <w:num w:numId="13" w16cid:durableId="1934509070">
    <w:abstractNumId w:val="4"/>
  </w:num>
  <w:num w:numId="14" w16cid:durableId="394082585">
    <w:abstractNumId w:val="6"/>
  </w:num>
  <w:num w:numId="15" w16cid:durableId="1488352868">
    <w:abstractNumId w:val="3"/>
  </w:num>
  <w:num w:numId="16" w16cid:durableId="61874046">
    <w:abstractNumId w:val="13"/>
  </w:num>
  <w:num w:numId="17" w16cid:durableId="794831771">
    <w:abstractNumId w:val="5"/>
  </w:num>
  <w:num w:numId="18" w16cid:durableId="3288759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1BC2"/>
    <w:rsid w:val="00022000"/>
    <w:rsid w:val="000405DB"/>
    <w:rsid w:val="00057069"/>
    <w:rsid w:val="00074B85"/>
    <w:rsid w:val="0008521E"/>
    <w:rsid w:val="000A3021"/>
    <w:rsid w:val="000A683E"/>
    <w:rsid w:val="000B19B9"/>
    <w:rsid w:val="000D0334"/>
    <w:rsid w:val="000E47BF"/>
    <w:rsid w:val="000F0419"/>
    <w:rsid w:val="000F3366"/>
    <w:rsid w:val="000F6486"/>
    <w:rsid w:val="000F7EC7"/>
    <w:rsid w:val="00127233"/>
    <w:rsid w:val="001319BC"/>
    <w:rsid w:val="001617E2"/>
    <w:rsid w:val="00164492"/>
    <w:rsid w:val="00165F7B"/>
    <w:rsid w:val="00176325"/>
    <w:rsid w:val="001813D0"/>
    <w:rsid w:val="00186DA7"/>
    <w:rsid w:val="001B4411"/>
    <w:rsid w:val="001E0600"/>
    <w:rsid w:val="001E0811"/>
    <w:rsid w:val="001E4177"/>
    <w:rsid w:val="002052F3"/>
    <w:rsid w:val="00214078"/>
    <w:rsid w:val="00230F80"/>
    <w:rsid w:val="00233F8B"/>
    <w:rsid w:val="00255CF2"/>
    <w:rsid w:val="00273068"/>
    <w:rsid w:val="00275634"/>
    <w:rsid w:val="00282B7B"/>
    <w:rsid w:val="002951A0"/>
    <w:rsid w:val="002962BC"/>
    <w:rsid w:val="002A49AC"/>
    <w:rsid w:val="002A64FD"/>
    <w:rsid w:val="002B2D99"/>
    <w:rsid w:val="002B39FC"/>
    <w:rsid w:val="002C7A84"/>
    <w:rsid w:val="002E78FE"/>
    <w:rsid w:val="002F3420"/>
    <w:rsid w:val="00305A10"/>
    <w:rsid w:val="0034152E"/>
    <w:rsid w:val="00364E28"/>
    <w:rsid w:val="00364F53"/>
    <w:rsid w:val="00367926"/>
    <w:rsid w:val="003743BA"/>
    <w:rsid w:val="00375437"/>
    <w:rsid w:val="00390845"/>
    <w:rsid w:val="003A0166"/>
    <w:rsid w:val="003A779E"/>
    <w:rsid w:val="003D0F4D"/>
    <w:rsid w:val="003D37FC"/>
    <w:rsid w:val="003D40B7"/>
    <w:rsid w:val="003D7DDE"/>
    <w:rsid w:val="003E0499"/>
    <w:rsid w:val="003F3941"/>
    <w:rsid w:val="003F4C9D"/>
    <w:rsid w:val="004048CC"/>
    <w:rsid w:val="00413AE3"/>
    <w:rsid w:val="00414B09"/>
    <w:rsid w:val="0043056C"/>
    <w:rsid w:val="00435993"/>
    <w:rsid w:val="00437FBC"/>
    <w:rsid w:val="0044077D"/>
    <w:rsid w:val="0045786E"/>
    <w:rsid w:val="00457CAB"/>
    <w:rsid w:val="0046044D"/>
    <w:rsid w:val="0046341E"/>
    <w:rsid w:val="0047112B"/>
    <w:rsid w:val="004A0223"/>
    <w:rsid w:val="004A1847"/>
    <w:rsid w:val="004A305D"/>
    <w:rsid w:val="004A4077"/>
    <w:rsid w:val="004E54CD"/>
    <w:rsid w:val="004F21C4"/>
    <w:rsid w:val="004F685F"/>
    <w:rsid w:val="0050379C"/>
    <w:rsid w:val="005140FC"/>
    <w:rsid w:val="00530975"/>
    <w:rsid w:val="005444BF"/>
    <w:rsid w:val="00556598"/>
    <w:rsid w:val="00556669"/>
    <w:rsid w:val="005566E8"/>
    <w:rsid w:val="00563B23"/>
    <w:rsid w:val="005667B1"/>
    <w:rsid w:val="00566F58"/>
    <w:rsid w:val="00567E8B"/>
    <w:rsid w:val="00574867"/>
    <w:rsid w:val="00580390"/>
    <w:rsid w:val="005C5CDC"/>
    <w:rsid w:val="005D476C"/>
    <w:rsid w:val="005D4E4C"/>
    <w:rsid w:val="005E1E20"/>
    <w:rsid w:val="005F2690"/>
    <w:rsid w:val="005F5424"/>
    <w:rsid w:val="006055A3"/>
    <w:rsid w:val="006219F8"/>
    <w:rsid w:val="00631B59"/>
    <w:rsid w:val="00631E15"/>
    <w:rsid w:val="00636E36"/>
    <w:rsid w:val="00645D23"/>
    <w:rsid w:val="006560BB"/>
    <w:rsid w:val="006638C9"/>
    <w:rsid w:val="00665D70"/>
    <w:rsid w:val="00676036"/>
    <w:rsid w:val="0067612E"/>
    <w:rsid w:val="00693967"/>
    <w:rsid w:val="006A3EA8"/>
    <w:rsid w:val="006D4F5F"/>
    <w:rsid w:val="006D7828"/>
    <w:rsid w:val="00701460"/>
    <w:rsid w:val="00706C16"/>
    <w:rsid w:val="00720C66"/>
    <w:rsid w:val="00735587"/>
    <w:rsid w:val="00736752"/>
    <w:rsid w:val="00756841"/>
    <w:rsid w:val="0076147D"/>
    <w:rsid w:val="007649AB"/>
    <w:rsid w:val="0076775D"/>
    <w:rsid w:val="007815CB"/>
    <w:rsid w:val="007833AC"/>
    <w:rsid w:val="0079025E"/>
    <w:rsid w:val="00790691"/>
    <w:rsid w:val="007C130F"/>
    <w:rsid w:val="007C3DC2"/>
    <w:rsid w:val="007C480C"/>
    <w:rsid w:val="007C4B2B"/>
    <w:rsid w:val="007D04C1"/>
    <w:rsid w:val="007E16FB"/>
    <w:rsid w:val="007E2864"/>
    <w:rsid w:val="007E5497"/>
    <w:rsid w:val="007F0710"/>
    <w:rsid w:val="00806F5F"/>
    <w:rsid w:val="00820278"/>
    <w:rsid w:val="00842869"/>
    <w:rsid w:val="008843B6"/>
    <w:rsid w:val="00891928"/>
    <w:rsid w:val="008936A6"/>
    <w:rsid w:val="008A04BB"/>
    <w:rsid w:val="008A2206"/>
    <w:rsid w:val="008A446D"/>
    <w:rsid w:val="008A782D"/>
    <w:rsid w:val="008F0EA7"/>
    <w:rsid w:val="00911BC5"/>
    <w:rsid w:val="00915EAD"/>
    <w:rsid w:val="00922CD1"/>
    <w:rsid w:val="00923EEF"/>
    <w:rsid w:val="00926764"/>
    <w:rsid w:val="00933A47"/>
    <w:rsid w:val="009419F9"/>
    <w:rsid w:val="00961B09"/>
    <w:rsid w:val="00965334"/>
    <w:rsid w:val="0097093E"/>
    <w:rsid w:val="00971B89"/>
    <w:rsid w:val="0097558C"/>
    <w:rsid w:val="00990F8C"/>
    <w:rsid w:val="009A1DE9"/>
    <w:rsid w:val="009C65E4"/>
    <w:rsid w:val="009C71FA"/>
    <w:rsid w:val="009C72E7"/>
    <w:rsid w:val="009F15E9"/>
    <w:rsid w:val="00A01476"/>
    <w:rsid w:val="00A01FDD"/>
    <w:rsid w:val="00A17F13"/>
    <w:rsid w:val="00A20739"/>
    <w:rsid w:val="00A24BB8"/>
    <w:rsid w:val="00A33C78"/>
    <w:rsid w:val="00A4167F"/>
    <w:rsid w:val="00A47B48"/>
    <w:rsid w:val="00A61707"/>
    <w:rsid w:val="00A64B45"/>
    <w:rsid w:val="00A95686"/>
    <w:rsid w:val="00A975F9"/>
    <w:rsid w:val="00AA7AE4"/>
    <w:rsid w:val="00AB0ADB"/>
    <w:rsid w:val="00AE5061"/>
    <w:rsid w:val="00AF6B70"/>
    <w:rsid w:val="00AF7CDB"/>
    <w:rsid w:val="00B25E61"/>
    <w:rsid w:val="00B50A9C"/>
    <w:rsid w:val="00B542F4"/>
    <w:rsid w:val="00B64596"/>
    <w:rsid w:val="00B72CD3"/>
    <w:rsid w:val="00B72FFF"/>
    <w:rsid w:val="00B736B6"/>
    <w:rsid w:val="00B915B1"/>
    <w:rsid w:val="00B96ADF"/>
    <w:rsid w:val="00BA5C90"/>
    <w:rsid w:val="00BB7D12"/>
    <w:rsid w:val="00BC4861"/>
    <w:rsid w:val="00BD5091"/>
    <w:rsid w:val="00BD650D"/>
    <w:rsid w:val="00BD6558"/>
    <w:rsid w:val="00BD7F72"/>
    <w:rsid w:val="00C04D13"/>
    <w:rsid w:val="00C330EB"/>
    <w:rsid w:val="00C47495"/>
    <w:rsid w:val="00C51ED9"/>
    <w:rsid w:val="00C5542B"/>
    <w:rsid w:val="00C61789"/>
    <w:rsid w:val="00C62CD6"/>
    <w:rsid w:val="00C7203E"/>
    <w:rsid w:val="00C754BE"/>
    <w:rsid w:val="00C87605"/>
    <w:rsid w:val="00CA35BD"/>
    <w:rsid w:val="00CB2106"/>
    <w:rsid w:val="00CB6357"/>
    <w:rsid w:val="00CC1B26"/>
    <w:rsid w:val="00CC35F1"/>
    <w:rsid w:val="00CC6F70"/>
    <w:rsid w:val="00CE4185"/>
    <w:rsid w:val="00D116AA"/>
    <w:rsid w:val="00D119D7"/>
    <w:rsid w:val="00D13381"/>
    <w:rsid w:val="00D423A2"/>
    <w:rsid w:val="00D43FA4"/>
    <w:rsid w:val="00D47A93"/>
    <w:rsid w:val="00D63241"/>
    <w:rsid w:val="00D63AC2"/>
    <w:rsid w:val="00D70963"/>
    <w:rsid w:val="00D7383B"/>
    <w:rsid w:val="00D86ED7"/>
    <w:rsid w:val="00D96AFA"/>
    <w:rsid w:val="00DD1830"/>
    <w:rsid w:val="00DE78F3"/>
    <w:rsid w:val="00DF64A3"/>
    <w:rsid w:val="00E02E3C"/>
    <w:rsid w:val="00E16408"/>
    <w:rsid w:val="00E20894"/>
    <w:rsid w:val="00E225CD"/>
    <w:rsid w:val="00E227AD"/>
    <w:rsid w:val="00E245AB"/>
    <w:rsid w:val="00E30226"/>
    <w:rsid w:val="00E30969"/>
    <w:rsid w:val="00E47C5E"/>
    <w:rsid w:val="00E50AFE"/>
    <w:rsid w:val="00E704D7"/>
    <w:rsid w:val="00E771DC"/>
    <w:rsid w:val="00E8772A"/>
    <w:rsid w:val="00E90F6B"/>
    <w:rsid w:val="00E92C27"/>
    <w:rsid w:val="00EA0E3D"/>
    <w:rsid w:val="00EB781C"/>
    <w:rsid w:val="00EE1AA8"/>
    <w:rsid w:val="00F03904"/>
    <w:rsid w:val="00F13F6A"/>
    <w:rsid w:val="00F26342"/>
    <w:rsid w:val="00F31EDC"/>
    <w:rsid w:val="00F3348D"/>
    <w:rsid w:val="00F403C8"/>
    <w:rsid w:val="00F4522C"/>
    <w:rsid w:val="00F47CCF"/>
    <w:rsid w:val="00F5664F"/>
    <w:rsid w:val="00F56F9B"/>
    <w:rsid w:val="00F61406"/>
    <w:rsid w:val="00F70AF1"/>
    <w:rsid w:val="00F74F3F"/>
    <w:rsid w:val="00F76AFC"/>
    <w:rsid w:val="00F7763E"/>
    <w:rsid w:val="00FB5DD1"/>
    <w:rsid w:val="00FB7583"/>
    <w:rsid w:val="00FC2B5D"/>
    <w:rsid w:val="00FD20FC"/>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styleId="Textoindependiente">
    <w:name w:val="Body Text"/>
    <w:basedOn w:val="Normal"/>
    <w:link w:val="TextoindependienteCar"/>
    <w:uiPriority w:val="99"/>
    <w:semiHidden/>
    <w:unhideWhenUsed/>
    <w:rsid w:val="00367926"/>
    <w:pPr>
      <w:spacing w:after="120"/>
    </w:pPr>
  </w:style>
  <w:style w:type="character" w:customStyle="1" w:styleId="TextoindependienteCar">
    <w:name w:val="Texto independiente Car"/>
    <w:basedOn w:val="Fuentedeprrafopredeter"/>
    <w:link w:val="Textoindependiente"/>
    <w:uiPriority w:val="99"/>
    <w:semiHidden/>
    <w:rsid w:val="00367926"/>
  </w:style>
  <w:style w:type="character" w:styleId="Hipervnculo">
    <w:name w:val="Hyperlink"/>
    <w:basedOn w:val="Fuentedeprrafopredeter"/>
    <w:uiPriority w:val="99"/>
    <w:unhideWhenUsed/>
    <w:rsid w:val="00367926"/>
    <w:rPr>
      <w:color w:val="0563C1" w:themeColor="hyperlink"/>
      <w:u w:val="single"/>
    </w:rPr>
  </w:style>
  <w:style w:type="table" w:customStyle="1" w:styleId="Tablaconcuadrcula1">
    <w:name w:val="Tabla con cuadrícula1"/>
    <w:basedOn w:val="Tablanormal"/>
    <w:next w:val="Tablaconcuadrcula"/>
    <w:uiPriority w:val="59"/>
    <w:rsid w:val="0036792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6792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D4F5F"/>
    <w:rPr>
      <w:rFonts w:ascii="Geomanist Light" w:hAnsi="Geomanist Light"/>
      <w:lang w:val="es-ES"/>
    </w:rPr>
  </w:style>
  <w:style w:type="character" w:styleId="Mencinsinresolver">
    <w:name w:val="Unresolved Mention"/>
    <w:basedOn w:val="Fuentedeprrafopredeter"/>
    <w:uiPriority w:val="99"/>
    <w:semiHidden/>
    <w:unhideWhenUsed/>
    <w:rsid w:val="00E704D7"/>
    <w:rPr>
      <w:color w:val="605E5C"/>
      <w:shd w:val="clear" w:color="auto" w:fill="E1DFDD"/>
    </w:rPr>
  </w:style>
  <w:style w:type="paragraph" w:styleId="Textonotaalfinal">
    <w:name w:val="endnote text"/>
    <w:basedOn w:val="Normal"/>
    <w:link w:val="TextonotaalfinalCar"/>
    <w:uiPriority w:val="99"/>
    <w:semiHidden/>
    <w:unhideWhenUsed/>
    <w:rsid w:val="00C04D1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04D13"/>
    <w:rPr>
      <w:sz w:val="20"/>
      <w:szCs w:val="20"/>
    </w:rPr>
  </w:style>
  <w:style w:type="character" w:styleId="Refdenotaalfinal">
    <w:name w:val="endnote reference"/>
    <w:basedOn w:val="Fuentedeprrafopredeter"/>
    <w:uiPriority w:val="99"/>
    <w:semiHidden/>
    <w:unhideWhenUsed/>
    <w:rsid w:val="00C04D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3993139">
      <w:bodyDiv w:val="1"/>
      <w:marLeft w:val="0"/>
      <w:marRight w:val="0"/>
      <w:marTop w:val="0"/>
      <w:marBottom w:val="0"/>
      <w:divBdr>
        <w:top w:val="none" w:sz="0" w:space="0" w:color="auto"/>
        <w:left w:val="none" w:sz="0" w:space="0" w:color="auto"/>
        <w:bottom w:val="none" w:sz="0" w:space="0" w:color="auto"/>
        <w:right w:val="none" w:sz="0" w:space="0" w:color="auto"/>
      </w:divBdr>
    </w:div>
    <w:div w:id="124283474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88F9796-04E7-405A-AFA1-22A1E72941A1}">
  <ds:schemaRefs>
    <ds:schemaRef ds:uri="http://schemas.openxmlformats.org/officeDocument/2006/bibliography"/>
  </ds:schemaRefs>
</ds:datastoreItem>
</file>

<file path=customXml/itemProps3.xml><?xml version="1.0" encoding="utf-8"?>
<ds:datastoreItem xmlns:ds="http://schemas.openxmlformats.org/officeDocument/2006/customXml" ds:itemID="{292685F7-A4DE-42A9-99C3-200A10168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12</Pages>
  <Words>3560</Words>
  <Characters>19584</Characters>
  <Application>Microsoft Office Word</Application>
  <DocSecurity>0</DocSecurity>
  <Lines>163</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31</cp:revision>
  <cp:lastPrinted>2023-01-10T21:18:00Z</cp:lastPrinted>
  <dcterms:created xsi:type="dcterms:W3CDTF">2024-07-25T21:12:00Z</dcterms:created>
  <dcterms:modified xsi:type="dcterms:W3CDTF">2024-08-26T21:38:00Z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