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87C48" w14:textId="77777777" w:rsidR="00983929" w:rsidRPr="00AF1555" w:rsidRDefault="00983929" w:rsidP="00983929">
      <w:pPr>
        <w:tabs>
          <w:tab w:val="left" w:pos="709"/>
        </w:tabs>
        <w:spacing w:after="0" w:line="240" w:lineRule="auto"/>
        <w:jc w:val="both"/>
        <w:rPr>
          <w:rFonts w:ascii="Verdana" w:eastAsia="Calibri" w:hAnsi="Verdana" w:cs="Arial"/>
          <w:bCs/>
          <w:sz w:val="20"/>
          <w:szCs w:val="20"/>
          <w:lang w:val="es-ES_tradnl" w:eastAsia="es-ES_tradnl"/>
        </w:rPr>
      </w:pPr>
    </w:p>
    <w:p w14:paraId="6C54C92B" w14:textId="77777777" w:rsidR="00983929" w:rsidRPr="00AF1555" w:rsidRDefault="00983929" w:rsidP="00983929">
      <w:pPr>
        <w:spacing w:after="0" w:line="240" w:lineRule="auto"/>
        <w:jc w:val="both"/>
        <w:rPr>
          <w:rFonts w:ascii="Verdana" w:eastAsia="Calibri" w:hAnsi="Verdana" w:cs="Arial"/>
          <w:b/>
          <w:color w:val="000000" w:themeColor="text1"/>
          <w:lang w:val="es-ES"/>
        </w:rPr>
      </w:pPr>
      <w:r w:rsidRPr="00E95799">
        <w:rPr>
          <w:rFonts w:ascii="Verdana" w:eastAsia="Calibri" w:hAnsi="Verdana" w:cs="Arial"/>
          <w:b/>
          <w:color w:val="000000" w:themeColor="text1"/>
          <w:lang w:val="es-ES"/>
        </w:rPr>
        <w:t>LIQUIDACIÓN DEL CONTRATO – Definición – Objetivo</w:t>
      </w:r>
      <w:r w:rsidRPr="00AF1555">
        <w:rPr>
          <w:rFonts w:ascii="Verdana" w:eastAsia="Calibri" w:hAnsi="Verdana" w:cs="Arial"/>
          <w:b/>
          <w:color w:val="000000" w:themeColor="text1"/>
          <w:lang w:val="es-ES"/>
        </w:rPr>
        <w:t xml:space="preserve"> </w:t>
      </w:r>
    </w:p>
    <w:p w14:paraId="0BB66FEF" w14:textId="77777777" w:rsidR="00983929" w:rsidRPr="00AF1555" w:rsidRDefault="00983929" w:rsidP="00983929">
      <w:pPr>
        <w:spacing w:after="0" w:line="240" w:lineRule="auto"/>
        <w:jc w:val="both"/>
        <w:rPr>
          <w:rFonts w:ascii="Verdana" w:eastAsia="Calibri" w:hAnsi="Verdana" w:cs="Arial"/>
          <w:bCs/>
          <w:color w:val="000000" w:themeColor="text1"/>
          <w:sz w:val="20"/>
          <w:szCs w:val="20"/>
          <w:lang w:val="es-ES"/>
        </w:rPr>
      </w:pPr>
    </w:p>
    <w:p w14:paraId="70F0DA4B" w14:textId="77777777" w:rsidR="00983929" w:rsidRPr="00AF1555" w:rsidRDefault="00983929" w:rsidP="00983929">
      <w:pPr>
        <w:spacing w:after="0" w:line="240" w:lineRule="auto"/>
        <w:jc w:val="both"/>
        <w:rPr>
          <w:rFonts w:ascii="Verdana" w:eastAsia="Calibri" w:hAnsi="Verdana" w:cs="Arial"/>
          <w:color w:val="000000" w:themeColor="text1"/>
          <w:sz w:val="20"/>
          <w:szCs w:val="20"/>
          <w:lang w:val="es-ES_tradnl"/>
        </w:rPr>
      </w:pPr>
      <w:r>
        <w:rPr>
          <w:rFonts w:ascii="Verdana" w:eastAsia="Calibri" w:hAnsi="Verdana" w:cs="Arial"/>
          <w:color w:val="000000" w:themeColor="text1"/>
          <w:sz w:val="20"/>
          <w:szCs w:val="20"/>
          <w:lang w:val="es-ES_tradnl" w:eastAsia="es-ES_tradnl"/>
        </w:rPr>
        <w:t>L</w:t>
      </w:r>
      <w:r w:rsidRPr="00E95799">
        <w:rPr>
          <w:rFonts w:ascii="Verdana" w:eastAsia="Calibri" w:hAnsi="Verdana" w:cs="Arial"/>
          <w:color w:val="000000" w:themeColor="text1"/>
          <w:sz w:val="20"/>
          <w:szCs w:val="20"/>
          <w:lang w:val="es-ES_tradnl" w:eastAsia="es-ES_tradnl"/>
        </w:rPr>
        <w:t>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liquidar supone un ajuste en relación con las cuentas y el estado de cumplimiento del contrato estatal y, por el otro, que la liquidación debe incluir el análisis de las condiciones de calidad y oportunidad en la entrega de los bienes, obras o servicios, así como el balance económico y el comportamiento financiero del negocio</w:t>
      </w:r>
      <w:r w:rsidRPr="00AF1555">
        <w:rPr>
          <w:rFonts w:ascii="Verdana" w:eastAsia="Calibri" w:hAnsi="Verdana" w:cs="Arial"/>
          <w:color w:val="000000" w:themeColor="text1"/>
          <w:sz w:val="20"/>
          <w:szCs w:val="20"/>
          <w:lang w:val="es-ES_tradnl"/>
        </w:rPr>
        <w:t>.</w:t>
      </w:r>
    </w:p>
    <w:p w14:paraId="62F37178" w14:textId="77777777" w:rsidR="00983929" w:rsidRPr="00AF1555" w:rsidRDefault="00983929" w:rsidP="00983929">
      <w:pPr>
        <w:spacing w:after="0" w:line="240" w:lineRule="auto"/>
        <w:rPr>
          <w:rFonts w:ascii="Verdana" w:eastAsia="Geomanist Light" w:hAnsi="Verdana" w:cs="Arial"/>
          <w:color w:val="000000" w:themeColor="text1"/>
          <w:sz w:val="20"/>
          <w:szCs w:val="20"/>
          <w:lang w:val="es-ES_tradnl"/>
        </w:rPr>
      </w:pPr>
    </w:p>
    <w:p w14:paraId="3054FCF5" w14:textId="77777777" w:rsidR="00983929" w:rsidRPr="00AF1555" w:rsidRDefault="00983929" w:rsidP="00983929">
      <w:pPr>
        <w:spacing w:after="0" w:line="240" w:lineRule="auto"/>
        <w:jc w:val="both"/>
        <w:rPr>
          <w:rFonts w:ascii="Verdana" w:eastAsia="Calibri" w:hAnsi="Verdana" w:cs="Arial"/>
          <w:b/>
          <w:lang w:val="es-ES"/>
        </w:rPr>
      </w:pPr>
      <w:r w:rsidRPr="00E95799">
        <w:rPr>
          <w:rFonts w:ascii="Verdana" w:eastAsia="Calibri" w:hAnsi="Verdana" w:cs="Arial"/>
          <w:b/>
          <w:lang w:val="es-ES"/>
        </w:rPr>
        <w:t>LIQUIDACIÓN DEL CONTRATO – Normativa – Oportunidad</w:t>
      </w:r>
    </w:p>
    <w:p w14:paraId="47792037" w14:textId="77777777" w:rsidR="00983929" w:rsidRPr="00AF1555" w:rsidRDefault="00983929" w:rsidP="00983929">
      <w:pPr>
        <w:spacing w:after="0" w:line="240" w:lineRule="auto"/>
        <w:jc w:val="both"/>
        <w:rPr>
          <w:rFonts w:ascii="Verdana" w:eastAsia="Calibri" w:hAnsi="Verdana" w:cs="Arial"/>
          <w:b/>
          <w:sz w:val="20"/>
          <w:szCs w:val="20"/>
          <w:lang w:val="es-ES"/>
        </w:rPr>
      </w:pPr>
    </w:p>
    <w:p w14:paraId="0CD5B653" w14:textId="77777777" w:rsidR="00983929" w:rsidRPr="00E95799" w:rsidRDefault="00983929" w:rsidP="00983929">
      <w:pPr>
        <w:spacing w:after="0" w:line="240" w:lineRule="auto"/>
        <w:jc w:val="both"/>
        <w:rPr>
          <w:rFonts w:ascii="Verdana" w:eastAsia="Calibri" w:hAnsi="Verdana" w:cs="Arial"/>
          <w:bCs/>
          <w:sz w:val="20"/>
          <w:szCs w:val="20"/>
          <w:lang w:val="es-ES"/>
        </w:rPr>
      </w:pPr>
      <w:r w:rsidRPr="00E95799">
        <w:rPr>
          <w:rFonts w:ascii="Verdana" w:eastAsia="Calibri" w:hAnsi="Verdana" w:cs="Arial"/>
          <w:bCs/>
          <w:sz w:val="20"/>
          <w:szCs w:val="20"/>
          <w:lang w:val="es-ES"/>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w:t>
      </w:r>
    </w:p>
    <w:p w14:paraId="7DC0478B" w14:textId="77777777" w:rsidR="00983929" w:rsidRDefault="00983929" w:rsidP="00983929">
      <w:pPr>
        <w:spacing w:after="0" w:line="240" w:lineRule="auto"/>
        <w:jc w:val="both"/>
        <w:rPr>
          <w:rFonts w:ascii="Verdana" w:eastAsia="Calibri" w:hAnsi="Verdana" w:cs="Arial"/>
          <w:bCs/>
          <w:sz w:val="20"/>
          <w:szCs w:val="20"/>
          <w:lang w:val="es-ES"/>
        </w:rPr>
      </w:pPr>
      <w:r>
        <w:rPr>
          <w:rFonts w:ascii="Verdana" w:eastAsia="Calibri" w:hAnsi="Verdana" w:cs="Arial"/>
          <w:bCs/>
          <w:sz w:val="20"/>
          <w:szCs w:val="20"/>
          <w:lang w:val="es-ES"/>
        </w:rPr>
        <w:t>[</w:t>
      </w:r>
      <w:r w:rsidRPr="00E95799">
        <w:rPr>
          <w:rFonts w:ascii="Verdana" w:eastAsia="Calibri" w:hAnsi="Verdana" w:cs="Arial"/>
          <w:bCs/>
          <w:sz w:val="20"/>
          <w:szCs w:val="20"/>
          <w:lang w:val="es-ES"/>
        </w:rPr>
        <w:t>…</w:t>
      </w:r>
      <w:r>
        <w:rPr>
          <w:rFonts w:ascii="Verdana" w:eastAsia="Calibri" w:hAnsi="Verdana" w:cs="Arial"/>
          <w:bCs/>
          <w:sz w:val="20"/>
          <w:szCs w:val="20"/>
          <w:lang w:val="es-ES"/>
        </w:rPr>
        <w:t>]</w:t>
      </w:r>
    </w:p>
    <w:p w14:paraId="5485A4F1" w14:textId="77777777" w:rsidR="00983929" w:rsidRPr="00E95799" w:rsidRDefault="00983929" w:rsidP="00983929">
      <w:pPr>
        <w:spacing w:after="0" w:line="240" w:lineRule="auto"/>
        <w:jc w:val="both"/>
        <w:rPr>
          <w:rFonts w:ascii="Verdana" w:eastAsia="Calibri" w:hAnsi="Verdana" w:cs="Arial"/>
          <w:bCs/>
          <w:sz w:val="20"/>
          <w:szCs w:val="20"/>
          <w:lang w:val="es-ES"/>
        </w:rPr>
      </w:pPr>
    </w:p>
    <w:p w14:paraId="26159EB9" w14:textId="77777777" w:rsidR="00983929" w:rsidRPr="00AF1555" w:rsidRDefault="00983929" w:rsidP="00983929">
      <w:pPr>
        <w:spacing w:after="0" w:line="240" w:lineRule="auto"/>
        <w:jc w:val="both"/>
        <w:rPr>
          <w:rFonts w:ascii="Verdana" w:eastAsia="Calibri" w:hAnsi="Verdana" w:cs="Arial"/>
          <w:color w:val="000000"/>
          <w:sz w:val="20"/>
          <w:szCs w:val="20"/>
          <w:lang w:val="es-ES_tradnl"/>
        </w:rPr>
      </w:pPr>
      <w:r w:rsidRPr="00E95799">
        <w:rPr>
          <w:rFonts w:ascii="Verdana" w:eastAsia="Calibri" w:hAnsi="Verdana" w:cs="Arial"/>
          <w:bCs/>
          <w:sz w:val="20"/>
          <w:szCs w:val="20"/>
          <w:lang w:val="es-ES"/>
        </w:rPr>
        <w:t>Por tanto, si se trata de un contrato en el cual no existe pacto sobre el término para la liquidación bilateral, el término supletivo aplicaría, y se podría liquidar el contrato dentro de los 4 meses siguientes a la terminación del contrato, de manera bilateral, dentro de los 2 meses siguientes a ellos de manera unilateral por la entidad, más un plazo de 2 años para la liquidación unilateral, bilateral o judicial: para un total de 2 años y 6 meses. Estos términos pueden verse modificados si las partes acuerdan un plazo mayor o menor para realizar la liquidación de mutuo acuerdo, con lo cual dejaría de estar incluido el término supletivo de la Ley 1150 de 2007</w:t>
      </w:r>
      <w:r w:rsidRPr="00AF1555">
        <w:rPr>
          <w:rFonts w:ascii="Verdana" w:eastAsia="Calibri" w:hAnsi="Verdana" w:cs="Arial"/>
          <w:color w:val="000000"/>
          <w:sz w:val="20"/>
          <w:szCs w:val="20"/>
          <w:lang w:val="es-ES_tradnl"/>
        </w:rPr>
        <w:t>.</w:t>
      </w:r>
    </w:p>
    <w:p w14:paraId="2676EBA3" w14:textId="77777777" w:rsidR="00983929" w:rsidRPr="00AF1555" w:rsidRDefault="00983929" w:rsidP="00983929">
      <w:pPr>
        <w:spacing w:after="0" w:line="240" w:lineRule="auto"/>
        <w:rPr>
          <w:rFonts w:ascii="Verdana" w:eastAsia="Geomanist Light" w:hAnsi="Verdana" w:cs="Arial"/>
          <w:color w:val="000000" w:themeColor="text1"/>
          <w:sz w:val="20"/>
          <w:szCs w:val="20"/>
          <w:lang w:val="es-ES_tradnl"/>
        </w:rPr>
      </w:pPr>
    </w:p>
    <w:p w14:paraId="3B3A8A2E" w14:textId="77777777" w:rsidR="00983929" w:rsidRPr="00AF1555" w:rsidRDefault="00983929" w:rsidP="00983929">
      <w:pPr>
        <w:tabs>
          <w:tab w:val="left" w:pos="426"/>
        </w:tabs>
        <w:spacing w:after="0" w:line="240" w:lineRule="auto"/>
        <w:jc w:val="both"/>
        <w:rPr>
          <w:rFonts w:ascii="Verdana" w:hAnsi="Verdana" w:cs="Arial"/>
          <w:b/>
          <w:lang w:eastAsia="es-CO"/>
        </w:rPr>
      </w:pPr>
      <w:r>
        <w:rPr>
          <w:rFonts w:ascii="Verdana" w:hAnsi="Verdana" w:cs="Arial"/>
          <w:b/>
          <w:lang w:eastAsia="es-CO"/>
        </w:rPr>
        <w:t>LIQUIDACIÓN JUDICIAL – Pérdida de competencia administrativa – Presentación de la demanda</w:t>
      </w:r>
      <w:r w:rsidRPr="00AF1555">
        <w:rPr>
          <w:rFonts w:ascii="Verdana" w:hAnsi="Verdana" w:cs="Arial"/>
          <w:b/>
          <w:lang w:eastAsia="es-CO"/>
        </w:rPr>
        <w:t xml:space="preserve">  </w:t>
      </w:r>
    </w:p>
    <w:p w14:paraId="4FD3E8DE" w14:textId="77777777" w:rsidR="00983929" w:rsidRPr="00AF1555" w:rsidRDefault="00983929" w:rsidP="00983929">
      <w:pPr>
        <w:tabs>
          <w:tab w:val="left" w:pos="426"/>
        </w:tabs>
        <w:spacing w:after="0" w:line="240" w:lineRule="auto"/>
        <w:jc w:val="both"/>
        <w:rPr>
          <w:rFonts w:ascii="Verdana" w:hAnsi="Verdana" w:cs="Arial"/>
          <w:b/>
          <w:sz w:val="20"/>
          <w:szCs w:val="20"/>
          <w:lang w:eastAsia="es-CO"/>
        </w:rPr>
      </w:pPr>
    </w:p>
    <w:p w14:paraId="0F99648B" w14:textId="77777777" w:rsidR="00983929" w:rsidRPr="00A11406" w:rsidRDefault="00983929" w:rsidP="00983929">
      <w:pPr>
        <w:spacing w:after="0" w:line="240" w:lineRule="auto"/>
        <w:jc w:val="both"/>
        <w:rPr>
          <w:rFonts w:ascii="Verdana" w:eastAsia="Geomanist Light" w:hAnsi="Verdana" w:cs="Arial"/>
          <w:color w:val="000000" w:themeColor="text1"/>
        </w:rPr>
      </w:pPr>
      <w:r>
        <w:rPr>
          <w:rFonts w:ascii="Verdana" w:hAnsi="Verdana" w:cs="Arial"/>
          <w:bCs/>
          <w:sz w:val="20"/>
          <w:szCs w:val="20"/>
          <w:lang w:eastAsia="es-CO"/>
        </w:rPr>
        <w:t xml:space="preserve">[…] </w:t>
      </w:r>
      <w:r w:rsidRPr="00E95799">
        <w:rPr>
          <w:rFonts w:ascii="Verdana" w:hAnsi="Verdana" w:cs="Arial"/>
          <w:bCs/>
          <w:sz w:val="20"/>
          <w:szCs w:val="20"/>
          <w:lang w:eastAsia="es-CO"/>
        </w:rPr>
        <w:t>sin perjuicio del criterio que adopten los órganos judiciales, la Agencia estima que la pérdida de competencia temporal para liquidar bilateral o unilateralmente se concreta con la presentación de la demanda que pretenda la liquidación en sede jurisdiccional. La razón es que el artículo 141 de la Ley 1437 de 2011 no dispone expresamente la posibilidad de liquidarlo hasta de la admisión de la demanda, por lo que basta “solicitar la liquidación judicial” en los términos de la norma citada. Asimismo, considerando que la presentación de la demanda interrumpe el término de caducidad del medio de control de controversias contractuales, no resulta coherente exigir su admisión cuando la norma sólo exige la presentar la solicitud antes de que finalice el término previsto en la ley.</w:t>
      </w:r>
    </w:p>
    <w:p w14:paraId="55ED48AB" w14:textId="77777777" w:rsidR="00983929" w:rsidRPr="00983929" w:rsidRDefault="00983929" w:rsidP="0078512F">
      <w:pPr>
        <w:spacing w:after="0" w:line="240" w:lineRule="auto"/>
        <w:rPr>
          <w:rFonts w:ascii="Verdana" w:eastAsia="Geomanist Light" w:hAnsi="Verdana" w:cs="Arial"/>
          <w:color w:val="000000" w:themeColor="text1"/>
        </w:rPr>
      </w:pPr>
    </w:p>
    <w:p w14:paraId="0E154F55" w14:textId="77777777" w:rsidR="00983929" w:rsidRDefault="00983929" w:rsidP="0078512F">
      <w:pPr>
        <w:spacing w:after="0" w:line="240" w:lineRule="auto"/>
        <w:rPr>
          <w:rFonts w:ascii="Verdana" w:eastAsia="Geomanist Light" w:hAnsi="Verdana" w:cs="Arial"/>
          <w:color w:val="000000" w:themeColor="text1"/>
          <w:lang w:val="es-MX"/>
        </w:rPr>
      </w:pPr>
    </w:p>
    <w:p w14:paraId="75D5226A" w14:textId="77777777" w:rsidR="00983929" w:rsidRDefault="00983929" w:rsidP="0078512F">
      <w:pPr>
        <w:spacing w:after="0" w:line="240" w:lineRule="auto"/>
        <w:rPr>
          <w:rFonts w:ascii="Verdana" w:eastAsia="Geomanist Light" w:hAnsi="Verdana" w:cs="Arial"/>
          <w:color w:val="000000" w:themeColor="text1"/>
          <w:lang w:val="es-MX"/>
        </w:rPr>
      </w:pPr>
    </w:p>
    <w:p w14:paraId="585ED9E6" w14:textId="77777777" w:rsidR="00983929" w:rsidRDefault="00983929" w:rsidP="0078512F">
      <w:pPr>
        <w:spacing w:after="0" w:line="240" w:lineRule="auto"/>
        <w:rPr>
          <w:rFonts w:ascii="Verdana" w:eastAsia="Geomanist Light" w:hAnsi="Verdana" w:cs="Arial"/>
          <w:color w:val="000000" w:themeColor="text1"/>
          <w:lang w:val="es-MX"/>
        </w:rPr>
      </w:pPr>
    </w:p>
    <w:p w14:paraId="54C2B70A" w14:textId="77777777" w:rsidR="00983929" w:rsidRDefault="00983929" w:rsidP="0078512F">
      <w:pPr>
        <w:spacing w:after="0" w:line="240" w:lineRule="auto"/>
        <w:rPr>
          <w:rFonts w:ascii="Verdana" w:eastAsia="Geomanist Light" w:hAnsi="Verdana" w:cs="Arial"/>
          <w:color w:val="000000" w:themeColor="text1"/>
          <w:lang w:val="es-MX"/>
        </w:rPr>
      </w:pPr>
    </w:p>
    <w:p w14:paraId="678AD77F" w14:textId="77777777" w:rsidR="00983929" w:rsidRDefault="00983929" w:rsidP="0078512F">
      <w:pPr>
        <w:spacing w:after="0" w:line="240" w:lineRule="auto"/>
        <w:rPr>
          <w:rFonts w:ascii="Verdana" w:eastAsia="Geomanist Light" w:hAnsi="Verdana" w:cs="Arial"/>
          <w:color w:val="000000" w:themeColor="text1"/>
          <w:lang w:val="es-MX"/>
        </w:rPr>
      </w:pPr>
    </w:p>
    <w:p w14:paraId="3294D486" w14:textId="4CF4D48C" w:rsidR="0078512F" w:rsidRPr="00593A5F" w:rsidRDefault="0078512F" w:rsidP="0078512F">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961C0B" w:rsidRPr="00961C0B">
        <w:rPr>
          <w:rFonts w:ascii="Verdana" w:eastAsia="Geomanist Light" w:hAnsi="Verdana" w:cs="Arial"/>
          <w:color w:val="201F1E"/>
          <w:lang w:val="es-MX"/>
        </w:rPr>
        <w:t>15 de Agosto de 2024</w:t>
      </w:r>
    </w:p>
    <w:p w14:paraId="12A9E722" w14:textId="77777777" w:rsidR="0078512F" w:rsidRDefault="0078512F" w:rsidP="0078512F">
      <w:pPr>
        <w:spacing w:after="0" w:line="240" w:lineRule="auto"/>
        <w:jc w:val="both"/>
        <w:rPr>
          <w:rFonts w:ascii="Verdana" w:eastAsia="Calibri" w:hAnsi="Verdana" w:cs="Arial"/>
          <w:color w:val="000000"/>
          <w:lang w:val="es-MX"/>
        </w:rPr>
      </w:pPr>
    </w:p>
    <w:p w14:paraId="72B15B6B" w14:textId="5F82D739" w:rsidR="00961C0B" w:rsidRPr="00961C0B" w:rsidRDefault="00961C0B" w:rsidP="00961C0B">
      <w:pPr>
        <w:spacing w:after="0" w:line="240" w:lineRule="auto"/>
        <w:jc w:val="right"/>
        <w:rPr>
          <w:rFonts w:ascii="Verdana" w:eastAsia="Calibri" w:hAnsi="Verdana" w:cs="Arial"/>
          <w:color w:val="000000"/>
          <w:lang w:val="es-MX"/>
        </w:rPr>
      </w:pPr>
      <w:r w:rsidRPr="00961C0B">
        <w:rPr>
          <w:rFonts w:ascii="Verdana" w:eastAsia="Calibri" w:hAnsi="Verdana" w:cs="Arial"/>
          <w:noProof/>
          <w:color w:val="000000"/>
          <w:lang w:val="es-MX"/>
        </w:rPr>
        <w:drawing>
          <wp:inline distT="0" distB="0" distL="0" distR="0" wp14:anchorId="398792E1" wp14:editId="211A8E2B">
            <wp:extent cx="3238500" cy="901700"/>
            <wp:effectExtent l="0" t="0" r="0" b="0"/>
            <wp:docPr id="13608381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838157" name=""/>
                    <pic:cNvPicPr/>
                  </pic:nvPicPr>
                  <pic:blipFill>
                    <a:blip r:embed="rId10"/>
                    <a:stretch>
                      <a:fillRect/>
                    </a:stretch>
                  </pic:blipFill>
                  <pic:spPr>
                    <a:xfrm>
                      <a:off x="0" y="0"/>
                      <a:ext cx="3238500" cy="901700"/>
                    </a:xfrm>
                    <a:prstGeom prst="rect">
                      <a:avLst/>
                    </a:prstGeom>
                  </pic:spPr>
                </pic:pic>
              </a:graphicData>
            </a:graphic>
          </wp:inline>
        </w:drawing>
      </w:r>
    </w:p>
    <w:p w14:paraId="1B14BDA6" w14:textId="77777777" w:rsidR="0078512F" w:rsidRPr="00593A5F" w:rsidRDefault="0078512F" w:rsidP="0078512F">
      <w:pPr>
        <w:spacing w:after="0" w:line="240" w:lineRule="auto"/>
        <w:jc w:val="both"/>
        <w:rPr>
          <w:rFonts w:ascii="Verdana" w:eastAsia="Calibri" w:hAnsi="Verdana" w:cs="Arial"/>
          <w:color w:val="000000"/>
          <w:lang w:val="es-ES"/>
        </w:rPr>
      </w:pPr>
    </w:p>
    <w:p w14:paraId="05BC48EC" w14:textId="77777777" w:rsidR="0078512F" w:rsidRPr="00B96799" w:rsidRDefault="0078512F" w:rsidP="0078512F">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23464161" w14:textId="77777777" w:rsidR="0078512F" w:rsidRDefault="0078512F" w:rsidP="0078512F">
      <w:pPr>
        <w:spacing w:after="0" w:line="240" w:lineRule="auto"/>
        <w:rPr>
          <w:rFonts w:ascii="Verdana" w:eastAsia="Calibri" w:hAnsi="Verdana" w:cs="Arial"/>
          <w:b/>
          <w:lang w:val="es-ES_tradnl" w:eastAsia="es-ES_tradnl"/>
        </w:rPr>
      </w:pPr>
      <w:r w:rsidRPr="00497575">
        <w:rPr>
          <w:rFonts w:ascii="Verdana" w:eastAsia="Calibri" w:hAnsi="Verdana" w:cs="Arial"/>
          <w:b/>
          <w:lang w:val="es-ES_tradnl" w:eastAsia="es-ES_tradnl"/>
        </w:rPr>
        <w:t xml:space="preserve">Eliecer </w:t>
      </w:r>
      <w:bookmarkStart w:id="0" w:name="_Hlk172533843"/>
      <w:r w:rsidRPr="00497575">
        <w:rPr>
          <w:rFonts w:ascii="Verdana" w:eastAsia="Calibri" w:hAnsi="Verdana" w:cs="Arial"/>
          <w:b/>
          <w:lang w:val="es-ES_tradnl" w:eastAsia="es-ES_tradnl"/>
        </w:rPr>
        <w:t>Pereira Bautista</w:t>
      </w:r>
      <w:bookmarkEnd w:id="0"/>
    </w:p>
    <w:p w14:paraId="5946F031" w14:textId="77777777" w:rsidR="0078512F" w:rsidRPr="00497575" w:rsidRDefault="00000000" w:rsidP="0078512F">
      <w:pPr>
        <w:spacing w:after="0" w:line="240" w:lineRule="auto"/>
        <w:rPr>
          <w:rFonts w:ascii="Verdana" w:eastAsia="Calibri" w:hAnsi="Verdana" w:cs="Arial"/>
          <w:color w:val="4472C4" w:themeColor="accent1"/>
          <w:u w:val="single"/>
          <w:lang w:val="es-ES" w:eastAsia="es-ES"/>
        </w:rPr>
      </w:pPr>
      <w:hyperlink r:id="rId11" w:history="1">
        <w:r w:rsidR="0078512F" w:rsidRPr="00AA4B09">
          <w:rPr>
            <w:rStyle w:val="Hipervnculo"/>
            <w:rFonts w:ascii="Verdana" w:hAnsi="Verdana"/>
          </w:rPr>
          <w:t>eliecerpereirab@gmail.com</w:t>
        </w:r>
      </w:hyperlink>
      <w:r w:rsidR="0078512F">
        <w:rPr>
          <w:rFonts w:ascii="Verdana" w:hAnsi="Verdana"/>
        </w:rPr>
        <w:t xml:space="preserve"> </w:t>
      </w:r>
      <w:r w:rsidR="0078512F" w:rsidRPr="00497575">
        <w:rPr>
          <w:rFonts w:ascii="Verdana" w:hAnsi="Verdana"/>
        </w:rPr>
        <w:t xml:space="preserve"> </w:t>
      </w:r>
    </w:p>
    <w:p w14:paraId="11796C5C" w14:textId="77777777" w:rsidR="0078512F" w:rsidRDefault="0078512F" w:rsidP="0078512F">
      <w:pPr>
        <w:spacing w:after="0" w:line="240" w:lineRule="auto"/>
        <w:rPr>
          <w:rFonts w:ascii="Verdana" w:eastAsia="Calibri" w:hAnsi="Verdana" w:cs="Arial"/>
          <w:lang w:val="es-ES" w:eastAsia="es-ES"/>
        </w:rPr>
      </w:pPr>
      <w:r w:rsidRPr="00497575">
        <w:rPr>
          <w:rFonts w:ascii="Verdana" w:eastAsia="Calibri" w:hAnsi="Verdana" w:cs="Arial"/>
          <w:lang w:val="es-ES" w:eastAsia="es-ES"/>
        </w:rPr>
        <w:t>Bogotá D.C.</w:t>
      </w:r>
    </w:p>
    <w:p w14:paraId="7A3EAFC1" w14:textId="77777777" w:rsidR="0078512F" w:rsidRPr="00593A5F" w:rsidRDefault="0078512F" w:rsidP="0078512F">
      <w:pPr>
        <w:spacing w:after="0" w:line="240" w:lineRule="auto"/>
        <w:rPr>
          <w:rFonts w:ascii="Verdana" w:eastAsia="Calibri" w:hAnsi="Verdana" w:cs="Arial"/>
          <w:b/>
          <w:bCs/>
          <w:color w:val="000000"/>
          <w:lang w:val="es-ES_tradnl" w:eastAsia="es-ES_tradnl"/>
        </w:rPr>
      </w:pPr>
    </w:p>
    <w:p w14:paraId="51E97101" w14:textId="77777777" w:rsidR="0078512F" w:rsidRPr="00593A5F" w:rsidRDefault="0078512F" w:rsidP="0078512F">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8512F" w:rsidRPr="00593A5F" w14:paraId="21072975" w14:textId="77777777" w:rsidTr="00CD1730">
        <w:trPr>
          <w:trHeight w:val="884"/>
        </w:trPr>
        <w:tc>
          <w:tcPr>
            <w:tcW w:w="2689" w:type="dxa"/>
          </w:tcPr>
          <w:p w14:paraId="03A110CE" w14:textId="77777777" w:rsidR="0078512F" w:rsidRPr="00C00976" w:rsidRDefault="0078512F" w:rsidP="00CD1730">
            <w:pPr>
              <w:jc w:val="both"/>
              <w:rPr>
                <w:rFonts w:ascii="Verdana" w:eastAsia="Calibri" w:hAnsi="Verdana" w:cs="Arial"/>
                <w:b/>
                <w:bCs/>
                <w:color w:val="7030A0"/>
                <w:lang w:val="es-ES_tradnl" w:eastAsia="es-ES_tradnl"/>
              </w:rPr>
            </w:pPr>
          </w:p>
        </w:tc>
        <w:tc>
          <w:tcPr>
            <w:tcW w:w="6100" w:type="dxa"/>
          </w:tcPr>
          <w:p w14:paraId="550E4F5B" w14:textId="77777777" w:rsidR="0078512F" w:rsidRPr="00C00976" w:rsidRDefault="0078512F" w:rsidP="00CD1730">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326</w:t>
            </w:r>
            <w:r w:rsidRPr="008E6AD9">
              <w:rPr>
                <w:rFonts w:ascii="Verdana" w:eastAsia="Calibri" w:hAnsi="Verdana" w:cs="Arial"/>
                <w:b/>
                <w:bCs/>
                <w:lang w:val="es-ES" w:eastAsia="es-ES"/>
              </w:rPr>
              <w:t xml:space="preserve"> de 2024</w:t>
            </w:r>
          </w:p>
        </w:tc>
      </w:tr>
      <w:tr w:rsidR="0078512F" w:rsidRPr="00593A5F" w14:paraId="412F99BD" w14:textId="77777777" w:rsidTr="00CD1730">
        <w:trPr>
          <w:trHeight w:val="884"/>
        </w:trPr>
        <w:tc>
          <w:tcPr>
            <w:tcW w:w="2689" w:type="dxa"/>
          </w:tcPr>
          <w:p w14:paraId="2ACE275A" w14:textId="77777777" w:rsidR="0078512F" w:rsidRPr="00593A5F" w:rsidRDefault="0078512F" w:rsidP="00CD1730">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1C863DD" w14:textId="77777777" w:rsidR="0078512F" w:rsidRPr="00A11406" w:rsidRDefault="0078512F" w:rsidP="00CD1730">
            <w:pPr>
              <w:spacing w:line="276" w:lineRule="auto"/>
              <w:jc w:val="both"/>
              <w:rPr>
                <w:rFonts w:ascii="Verdana" w:eastAsia="Calibri" w:hAnsi="Verdana" w:cs="Arial"/>
                <w:lang w:val="es-ES" w:eastAsia="es-ES"/>
              </w:rPr>
            </w:pPr>
            <w:r w:rsidRPr="00FA3A97">
              <w:rPr>
                <w:rFonts w:ascii="Verdana" w:eastAsia="Calibri" w:hAnsi="Verdana" w:cs="Arial"/>
                <w:lang w:val="es-ES" w:eastAsia="es-ES"/>
              </w:rPr>
              <w:t xml:space="preserve">LIQUIDACIÓN DEL CONTRATO – Definición – Objetivo </w:t>
            </w:r>
            <w:r>
              <w:rPr>
                <w:rFonts w:ascii="Verdana" w:eastAsia="Calibri" w:hAnsi="Verdana" w:cs="Arial"/>
                <w:lang w:val="es-ES" w:eastAsia="es-ES"/>
              </w:rPr>
              <w:t xml:space="preserve">/ </w:t>
            </w:r>
            <w:r w:rsidRPr="00FA3A97">
              <w:rPr>
                <w:rFonts w:ascii="Verdana" w:eastAsia="Calibri" w:hAnsi="Verdana" w:cs="Arial"/>
                <w:lang w:val="es-ES" w:eastAsia="es-ES"/>
              </w:rPr>
              <w:t>LIQUIDACIÓN DEL CONTRATO – Normativa – Oportunidad</w:t>
            </w:r>
            <w:r>
              <w:rPr>
                <w:rFonts w:ascii="Verdana" w:eastAsia="Calibri" w:hAnsi="Verdana" w:cs="Arial"/>
                <w:lang w:val="es-ES" w:eastAsia="es-ES"/>
              </w:rPr>
              <w:t xml:space="preserve"> / </w:t>
            </w:r>
            <w:r w:rsidRPr="00FA3A97">
              <w:rPr>
                <w:rFonts w:ascii="Verdana" w:eastAsia="Calibri" w:hAnsi="Verdana" w:cs="Arial"/>
                <w:lang w:val="es-ES" w:eastAsia="es-ES"/>
              </w:rPr>
              <w:t xml:space="preserve">LIQUIDACIÓN JUDICIAL – Pérdida de competencia administrativa – Presentación de la demanda  </w:t>
            </w:r>
          </w:p>
          <w:p w14:paraId="3FABE9A8" w14:textId="77777777" w:rsidR="0078512F" w:rsidRPr="00593A5F" w:rsidRDefault="0078512F" w:rsidP="00CD1730">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78512F" w:rsidRPr="008E6AD9" w14:paraId="590AFDE3" w14:textId="77777777" w:rsidTr="00CD1730">
        <w:tc>
          <w:tcPr>
            <w:tcW w:w="2689" w:type="dxa"/>
          </w:tcPr>
          <w:p w14:paraId="5A29BAFB" w14:textId="77777777" w:rsidR="0078512F" w:rsidRPr="008E6AD9" w:rsidRDefault="0078512F" w:rsidP="00CD1730">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DF7086D" w14:textId="77777777" w:rsidR="0078512F" w:rsidRPr="008E6AD9" w:rsidRDefault="0078512F" w:rsidP="00CD1730">
            <w:pPr>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consulta con radicado No. </w:t>
            </w:r>
            <w:r w:rsidRPr="00497575">
              <w:rPr>
                <w:rFonts w:ascii="Verdana" w:eastAsia="Calibri" w:hAnsi="Verdana" w:cs="Arial"/>
                <w:lang w:val="es-ES_tradnl" w:eastAsia="es-ES_tradnl"/>
              </w:rPr>
              <w:t>P20240711007072</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15BAC176" w14:textId="77777777" w:rsidR="0078512F" w:rsidRPr="00593A5F" w:rsidRDefault="0078512F" w:rsidP="0078512F">
      <w:pPr>
        <w:spacing w:after="0" w:line="240" w:lineRule="auto"/>
        <w:jc w:val="both"/>
        <w:rPr>
          <w:rFonts w:ascii="Verdana" w:eastAsia="Calibri" w:hAnsi="Verdana" w:cs="Arial"/>
          <w:color w:val="000000"/>
          <w:lang w:val="es-ES_tradnl" w:eastAsia="es-ES_tradnl"/>
        </w:rPr>
      </w:pPr>
    </w:p>
    <w:p w14:paraId="389C9719" w14:textId="77777777" w:rsidR="0078512F" w:rsidRPr="00593A5F" w:rsidRDefault="0078512F" w:rsidP="0078512F">
      <w:pPr>
        <w:spacing w:after="0" w:line="240" w:lineRule="auto"/>
        <w:jc w:val="both"/>
        <w:rPr>
          <w:rFonts w:ascii="Verdana" w:eastAsia="Calibri" w:hAnsi="Verdana" w:cs="Arial"/>
          <w:color w:val="000000"/>
          <w:lang w:val="es-ES_tradnl" w:eastAsia="es-ES_tradnl"/>
        </w:rPr>
      </w:pPr>
    </w:p>
    <w:p w14:paraId="6A5D5BA4" w14:textId="77777777" w:rsidR="0078512F" w:rsidRPr="008E6AD9" w:rsidRDefault="0078512F" w:rsidP="0078512F">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señor </w:t>
      </w:r>
      <w:r w:rsidRPr="00497575">
        <w:rPr>
          <w:rFonts w:ascii="Verdana" w:eastAsia="Calibri" w:hAnsi="Verdana" w:cs="Arial"/>
          <w:lang w:val="es-ES" w:eastAsia="es-ES"/>
        </w:rPr>
        <w:t>Pereira Bautista</w:t>
      </w:r>
      <w:r w:rsidRPr="008E6AD9">
        <w:rPr>
          <w:rFonts w:ascii="Verdana" w:eastAsia="Calibri" w:hAnsi="Verdana" w:cs="Arial"/>
          <w:lang w:val="es-ES" w:eastAsia="es-ES"/>
        </w:rPr>
        <w:t xml:space="preserve">: </w:t>
      </w:r>
    </w:p>
    <w:p w14:paraId="1A91A04F" w14:textId="77777777" w:rsidR="0078512F" w:rsidRDefault="0078512F" w:rsidP="0078512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FBFC898" w14:textId="77777777" w:rsidR="0078512F" w:rsidRPr="00593A5F" w:rsidRDefault="0078512F" w:rsidP="0078512F">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11 de julio</w:t>
      </w:r>
      <w:r w:rsidRPr="008E6AD9">
        <w:rPr>
          <w:rFonts w:ascii="Verdana" w:eastAsia="Calibri" w:hAnsi="Verdana" w:cs="Arial"/>
          <w:lang w:val="es-ES" w:eastAsia="es-ES"/>
        </w:rPr>
        <w:t xml:space="preserve"> de 2024,</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pregunta lo siguiente</w:t>
      </w:r>
      <w:r w:rsidRPr="008E6AD9">
        <w:rPr>
          <w:rFonts w:ascii="Verdana" w:eastAsia="Calibri" w:hAnsi="Verdana" w:cs="Arial"/>
          <w:lang w:val="es-ES" w:eastAsia="es-ES"/>
        </w:rPr>
        <w:t xml:space="preserve">: </w:t>
      </w:r>
    </w:p>
    <w:p w14:paraId="5B7F5D83" w14:textId="77777777" w:rsidR="0078512F" w:rsidRPr="00272A7B" w:rsidRDefault="0078512F" w:rsidP="0078512F">
      <w:pPr>
        <w:pStyle w:val="Prrafodelista"/>
        <w:tabs>
          <w:tab w:val="left" w:pos="142"/>
          <w:tab w:val="left" w:pos="284"/>
        </w:tabs>
        <w:spacing w:line="276" w:lineRule="auto"/>
        <w:ind w:left="0"/>
        <w:jc w:val="both"/>
        <w:rPr>
          <w:rFonts w:ascii="Verdana" w:eastAsia="Century Gothic" w:hAnsi="Verdana" w:cs="Century Gothic"/>
          <w:b/>
          <w:bCs/>
        </w:rPr>
      </w:pPr>
    </w:p>
    <w:p w14:paraId="403352D1" w14:textId="77777777" w:rsidR="0078512F" w:rsidRDefault="0078512F" w:rsidP="0078512F">
      <w:pPr>
        <w:spacing w:after="120" w:line="240" w:lineRule="auto"/>
        <w:ind w:left="709" w:right="709"/>
        <w:jc w:val="both"/>
        <w:rPr>
          <w:rStyle w:val="normaltextrun"/>
          <w:rFonts w:ascii="Verdana" w:hAnsi="Verdana" w:cs="Arial"/>
          <w:sz w:val="20"/>
          <w:szCs w:val="20"/>
          <w:shd w:val="clear" w:color="auto" w:fill="FFFFFF"/>
          <w:lang w:val="es-ES"/>
        </w:rPr>
      </w:pPr>
      <w:bookmarkStart w:id="1" w:name="_Hlk95313578"/>
      <w:r w:rsidRPr="008E6AD9">
        <w:rPr>
          <w:rFonts w:ascii="Verdana" w:eastAsia="Century Gothic" w:hAnsi="Verdana" w:cs="Century Gothic"/>
          <w:sz w:val="20"/>
          <w:szCs w:val="20"/>
          <w:lang w:val="es-ES"/>
        </w:rPr>
        <w:t>“</w:t>
      </w:r>
      <w:r w:rsidRPr="00497575">
        <w:rPr>
          <w:rStyle w:val="normaltextrun"/>
          <w:rFonts w:ascii="Verdana" w:hAnsi="Verdana" w:cs="Arial"/>
          <w:sz w:val="20"/>
          <w:szCs w:val="20"/>
          <w:shd w:val="clear" w:color="auto" w:fill="FFFFFF"/>
          <w:lang w:val="es-ES"/>
        </w:rPr>
        <w:t>1.- Actualmente, ¿cuándo pierde competencia una entidad estatal para liquidar el</w:t>
      </w:r>
      <w:r>
        <w:rPr>
          <w:rStyle w:val="normaltextrun"/>
          <w:rFonts w:ascii="Verdana" w:hAnsi="Verdana" w:cs="Arial"/>
          <w:sz w:val="20"/>
          <w:szCs w:val="20"/>
          <w:shd w:val="clear" w:color="auto" w:fill="FFFFFF"/>
          <w:lang w:val="es-ES"/>
        </w:rPr>
        <w:t xml:space="preserve"> </w:t>
      </w:r>
      <w:r w:rsidRPr="00497575">
        <w:rPr>
          <w:rStyle w:val="normaltextrun"/>
          <w:rFonts w:ascii="Verdana" w:hAnsi="Verdana" w:cs="Arial"/>
          <w:sz w:val="20"/>
          <w:szCs w:val="20"/>
          <w:shd w:val="clear" w:color="auto" w:fill="FFFFFF"/>
          <w:lang w:val="es-ES"/>
        </w:rPr>
        <w:t>contrato? ¿Desde la presentación de la demanda que contiene la pretensión de</w:t>
      </w:r>
      <w:r>
        <w:rPr>
          <w:rStyle w:val="normaltextrun"/>
          <w:rFonts w:ascii="Verdana" w:hAnsi="Verdana" w:cs="Arial"/>
          <w:sz w:val="20"/>
          <w:szCs w:val="20"/>
          <w:shd w:val="clear" w:color="auto" w:fill="FFFFFF"/>
          <w:lang w:val="es-ES"/>
        </w:rPr>
        <w:t xml:space="preserve"> </w:t>
      </w:r>
      <w:r w:rsidRPr="00497575">
        <w:rPr>
          <w:rStyle w:val="normaltextrun"/>
          <w:rFonts w:ascii="Verdana" w:hAnsi="Verdana" w:cs="Arial"/>
          <w:sz w:val="20"/>
          <w:szCs w:val="20"/>
          <w:shd w:val="clear" w:color="auto" w:fill="FFFFFF"/>
          <w:lang w:val="es-ES"/>
        </w:rPr>
        <w:t>liquidación judicial del contrato o, desde la notificación del auto admisorio de la</w:t>
      </w:r>
      <w:r>
        <w:rPr>
          <w:rStyle w:val="normaltextrun"/>
          <w:rFonts w:ascii="Verdana" w:hAnsi="Verdana" w:cs="Arial"/>
          <w:sz w:val="20"/>
          <w:szCs w:val="20"/>
          <w:shd w:val="clear" w:color="auto" w:fill="FFFFFF"/>
          <w:lang w:val="es-ES"/>
        </w:rPr>
        <w:t xml:space="preserve"> </w:t>
      </w:r>
      <w:r w:rsidRPr="00497575">
        <w:rPr>
          <w:rStyle w:val="normaltextrun"/>
          <w:rFonts w:ascii="Verdana" w:hAnsi="Verdana" w:cs="Arial"/>
          <w:sz w:val="20"/>
          <w:szCs w:val="20"/>
          <w:shd w:val="clear" w:color="auto" w:fill="FFFFFF"/>
          <w:lang w:val="es-ES"/>
        </w:rPr>
        <w:t>demanda de liquidación judicial?</w:t>
      </w:r>
    </w:p>
    <w:p w14:paraId="0BFCE8CE" w14:textId="77777777" w:rsidR="0078512F" w:rsidRPr="00497575" w:rsidRDefault="0078512F" w:rsidP="0078512F">
      <w:pPr>
        <w:spacing w:after="0" w:line="240" w:lineRule="auto"/>
        <w:ind w:left="709" w:right="709"/>
        <w:jc w:val="both"/>
        <w:rPr>
          <w:rFonts w:ascii="Verdana" w:eastAsia="Century Gothic" w:hAnsi="Verdana" w:cs="Century Gothic"/>
          <w:sz w:val="20"/>
          <w:szCs w:val="20"/>
          <w:lang w:val="es-ES"/>
        </w:rPr>
      </w:pPr>
      <w:r w:rsidRPr="00497575">
        <w:rPr>
          <w:rFonts w:ascii="Verdana" w:eastAsia="Century Gothic" w:hAnsi="Verdana" w:cs="Century Gothic"/>
          <w:sz w:val="20"/>
          <w:szCs w:val="20"/>
          <w:lang w:val="es-ES"/>
        </w:rPr>
        <w:t>2.- En caso hipotético de que la respuesta del numeral anterior sea que la entidad</w:t>
      </w:r>
      <w:r>
        <w:rPr>
          <w:rFonts w:ascii="Verdana" w:eastAsia="Century Gothic" w:hAnsi="Verdana" w:cs="Century Gothic"/>
          <w:sz w:val="20"/>
          <w:szCs w:val="20"/>
          <w:lang w:val="es-ES"/>
        </w:rPr>
        <w:t xml:space="preserve"> </w:t>
      </w:r>
      <w:r w:rsidRPr="00497575">
        <w:rPr>
          <w:rFonts w:ascii="Verdana" w:eastAsia="Century Gothic" w:hAnsi="Verdana" w:cs="Century Gothic"/>
          <w:sz w:val="20"/>
          <w:szCs w:val="20"/>
          <w:lang w:val="es-ES"/>
        </w:rPr>
        <w:t xml:space="preserve">estatal pierde competencia al momento de presentar la demanda </w:t>
      </w:r>
      <w:r w:rsidRPr="00497575">
        <w:rPr>
          <w:rFonts w:ascii="Verdana" w:eastAsia="Century Gothic" w:hAnsi="Verdana" w:cs="Century Gothic"/>
          <w:sz w:val="20"/>
          <w:szCs w:val="20"/>
          <w:lang w:val="es-ES"/>
        </w:rPr>
        <w:lastRenderedPageBreak/>
        <w:t>en instancia</w:t>
      </w:r>
      <w:r>
        <w:rPr>
          <w:rFonts w:ascii="Verdana" w:eastAsia="Century Gothic" w:hAnsi="Verdana" w:cs="Century Gothic"/>
          <w:sz w:val="20"/>
          <w:szCs w:val="20"/>
          <w:lang w:val="es-ES"/>
        </w:rPr>
        <w:t xml:space="preserve"> </w:t>
      </w:r>
      <w:r w:rsidRPr="00497575">
        <w:rPr>
          <w:rFonts w:ascii="Verdana" w:eastAsia="Century Gothic" w:hAnsi="Verdana" w:cs="Century Gothic"/>
          <w:sz w:val="20"/>
          <w:szCs w:val="20"/>
          <w:lang w:val="es-ES"/>
        </w:rPr>
        <w:t>judicial, ¿cómo procede el derecho a la defensa cuando la entidad contratante</w:t>
      </w:r>
      <w:r>
        <w:rPr>
          <w:rFonts w:ascii="Verdana" w:eastAsia="Century Gothic" w:hAnsi="Verdana" w:cs="Century Gothic"/>
          <w:sz w:val="20"/>
          <w:szCs w:val="20"/>
          <w:lang w:val="es-ES"/>
        </w:rPr>
        <w:t xml:space="preserve"> </w:t>
      </w:r>
      <w:r w:rsidRPr="00497575">
        <w:rPr>
          <w:rFonts w:ascii="Verdana" w:eastAsia="Century Gothic" w:hAnsi="Verdana" w:cs="Century Gothic"/>
          <w:sz w:val="20"/>
          <w:szCs w:val="20"/>
          <w:lang w:val="es-ES"/>
        </w:rPr>
        <w:t xml:space="preserve">dentro de su Manual de </w:t>
      </w:r>
      <w:r>
        <w:rPr>
          <w:rFonts w:ascii="Verdana" w:eastAsia="Century Gothic" w:hAnsi="Verdana" w:cs="Century Gothic"/>
          <w:sz w:val="20"/>
          <w:szCs w:val="20"/>
          <w:lang w:val="es-ES"/>
        </w:rPr>
        <w:t>I</w:t>
      </w:r>
      <w:r w:rsidRPr="00497575">
        <w:rPr>
          <w:rFonts w:ascii="Verdana" w:eastAsia="Century Gothic" w:hAnsi="Verdana" w:cs="Century Gothic"/>
          <w:sz w:val="20"/>
          <w:szCs w:val="20"/>
          <w:lang w:val="es-ES"/>
        </w:rPr>
        <w:t>nterventoría establece que la entidad estatal perderá</w:t>
      </w:r>
      <w:r>
        <w:rPr>
          <w:rFonts w:ascii="Verdana" w:eastAsia="Century Gothic" w:hAnsi="Verdana" w:cs="Century Gothic"/>
          <w:sz w:val="20"/>
          <w:szCs w:val="20"/>
          <w:lang w:val="es-ES"/>
        </w:rPr>
        <w:t xml:space="preserve"> </w:t>
      </w:r>
      <w:r w:rsidRPr="00497575">
        <w:rPr>
          <w:rFonts w:ascii="Verdana" w:eastAsia="Century Gothic" w:hAnsi="Verdana" w:cs="Century Gothic"/>
          <w:sz w:val="20"/>
          <w:szCs w:val="20"/>
          <w:lang w:val="es-ES"/>
        </w:rPr>
        <w:t>competencia para liquidar una vez sea notificado el auto admisorio de la demanda</w:t>
      </w:r>
      <w:r>
        <w:rPr>
          <w:rFonts w:ascii="Verdana" w:eastAsia="Century Gothic" w:hAnsi="Verdana" w:cs="Century Gothic"/>
          <w:sz w:val="20"/>
          <w:szCs w:val="20"/>
          <w:lang w:val="es-ES"/>
        </w:rPr>
        <w:t xml:space="preserve"> </w:t>
      </w:r>
      <w:r w:rsidRPr="00497575">
        <w:rPr>
          <w:rFonts w:ascii="Verdana" w:eastAsia="Century Gothic" w:hAnsi="Verdana" w:cs="Century Gothic"/>
          <w:sz w:val="20"/>
          <w:szCs w:val="20"/>
          <w:lang w:val="es-ES"/>
        </w:rPr>
        <w:t>ante cualquier jurisdicción competente?</w:t>
      </w:r>
      <w:bookmarkEnd w:id="1"/>
      <w:r>
        <w:rPr>
          <w:rFonts w:ascii="Verdana" w:eastAsia="Century Gothic" w:hAnsi="Verdana" w:cs="Century Gothic"/>
          <w:sz w:val="20"/>
          <w:szCs w:val="20"/>
          <w:lang w:val="es-ES"/>
        </w:rPr>
        <w:t>”</w:t>
      </w:r>
      <w:r w:rsidRPr="008E6AD9">
        <w:rPr>
          <w:rFonts w:ascii="Verdana" w:eastAsia="Century Gothic" w:hAnsi="Verdana" w:cs="Century Gothic"/>
          <w:sz w:val="20"/>
          <w:szCs w:val="20"/>
          <w:lang w:val="es-ES"/>
        </w:rPr>
        <w:t>.</w:t>
      </w:r>
      <w:r>
        <w:rPr>
          <w:rFonts w:ascii="Verdana" w:eastAsia="Century Gothic" w:hAnsi="Verdana" w:cs="Century Gothic"/>
          <w:sz w:val="20"/>
          <w:szCs w:val="20"/>
          <w:lang w:val="es-ES"/>
        </w:rPr>
        <w:t xml:space="preserve"> </w:t>
      </w:r>
    </w:p>
    <w:p w14:paraId="007BE841" w14:textId="77777777" w:rsidR="0078512F" w:rsidRPr="008E6AD9" w:rsidRDefault="0078512F" w:rsidP="0078512F">
      <w:pPr>
        <w:pStyle w:val="Prrafodelista"/>
        <w:tabs>
          <w:tab w:val="left" w:pos="142"/>
          <w:tab w:val="left" w:pos="284"/>
        </w:tabs>
        <w:spacing w:line="276" w:lineRule="auto"/>
        <w:ind w:left="0"/>
        <w:jc w:val="both"/>
        <w:rPr>
          <w:rFonts w:ascii="Verdana" w:eastAsia="Century Gothic" w:hAnsi="Verdana" w:cs="Century Gothic"/>
          <w:b/>
          <w:bCs/>
        </w:rPr>
      </w:pPr>
    </w:p>
    <w:p w14:paraId="2C89A8AE" w14:textId="77777777" w:rsidR="0078512F" w:rsidRPr="00A652FF" w:rsidRDefault="0078512F" w:rsidP="0078512F">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818F55A" w14:textId="77777777" w:rsidR="0078512F" w:rsidRDefault="0078512F" w:rsidP="0078512F">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w:t>
      </w:r>
      <w:r>
        <w:rPr>
          <w:rFonts w:ascii="Verdana" w:eastAsia="Calibri" w:hAnsi="Verdana" w:cs="Arial"/>
          <w:color w:val="000000"/>
          <w:lang w:val="es-ES" w:eastAsia="es-ES"/>
        </w:rPr>
        <w:t>la segunda pregunta de la</w:t>
      </w:r>
      <w:r w:rsidRPr="00593A5F">
        <w:rPr>
          <w:rFonts w:ascii="Verdana" w:eastAsia="Calibri" w:hAnsi="Verdana" w:cs="Arial"/>
          <w:color w:val="000000"/>
          <w:lang w:val="es-ES" w:eastAsia="es-ES"/>
        </w:rPr>
        <w:t xml:space="preserve">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30895061" w14:textId="77777777" w:rsidR="0078512F" w:rsidRPr="00593A5F" w:rsidRDefault="0078512F" w:rsidP="0078512F">
      <w:pPr>
        <w:spacing w:after="0" w:line="276" w:lineRule="auto"/>
        <w:ind w:firstLine="709"/>
        <w:jc w:val="both"/>
        <w:rPr>
          <w:rFonts w:ascii="Verdana" w:eastAsia="Calibri" w:hAnsi="Verdana" w:cs="Arial"/>
          <w:color w:val="000000"/>
          <w:lang w:val="es-ES" w:eastAsia="es-ES"/>
        </w:rPr>
      </w:pPr>
    </w:p>
    <w:p w14:paraId="1EDD70C2" w14:textId="77777777" w:rsidR="0078512F" w:rsidRPr="00593A5F" w:rsidRDefault="0078512F" w:rsidP="0078512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03B7BF3" w14:textId="77777777" w:rsidR="0078512F" w:rsidRPr="00593A5F" w:rsidRDefault="0078512F" w:rsidP="0078512F">
      <w:pPr>
        <w:tabs>
          <w:tab w:val="left" w:pos="426"/>
        </w:tabs>
        <w:spacing w:after="0" w:line="276" w:lineRule="auto"/>
        <w:jc w:val="both"/>
        <w:rPr>
          <w:rFonts w:ascii="Verdana" w:eastAsia="Century Gothic" w:hAnsi="Verdana" w:cs="Century Gothic"/>
          <w:lang w:val="es-ES"/>
        </w:rPr>
      </w:pPr>
    </w:p>
    <w:p w14:paraId="750ED8F7" w14:textId="77777777" w:rsidR="0078512F" w:rsidRPr="00593A5F" w:rsidRDefault="0078512F" w:rsidP="0078512F">
      <w:pPr>
        <w:spacing w:after="0" w:line="276" w:lineRule="auto"/>
        <w:jc w:val="both"/>
        <w:rPr>
          <w:rFonts w:ascii="Verdana" w:eastAsia="Century Gothic" w:hAnsi="Verdana" w:cs="Century Gothic"/>
        </w:rPr>
      </w:pPr>
      <w:r>
        <w:rPr>
          <w:rFonts w:ascii="Verdana" w:eastAsia="Century Gothic" w:hAnsi="Verdana" w:cs="Century Gothic"/>
        </w:rPr>
        <w:t xml:space="preserve">Depurada la competencia de la entidad, 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 xml:space="preserve">¿en qué momento se concreta la pérdida de la competencia para liquidar bilateral o unilateralmente el contrato? ¿desde la radicación de la demanda que solicita la liquidación judicial o desde la expedición del auto admisorio?   </w:t>
      </w:r>
      <w:r w:rsidRPr="00C00976">
        <w:rPr>
          <w:rFonts w:ascii="Verdana" w:eastAsia="Century Gothic" w:hAnsi="Verdana" w:cs="Century Gothic"/>
          <w:color w:val="7030A0"/>
        </w:rPr>
        <w:t xml:space="preserve"> </w:t>
      </w:r>
    </w:p>
    <w:p w14:paraId="55A664B4" w14:textId="77777777" w:rsidR="0078512F" w:rsidRPr="00593A5F" w:rsidRDefault="0078512F" w:rsidP="0078512F">
      <w:pPr>
        <w:spacing w:after="0" w:line="276" w:lineRule="auto"/>
        <w:jc w:val="both"/>
        <w:rPr>
          <w:rFonts w:ascii="Verdana" w:eastAsia="Calibri" w:hAnsi="Verdana" w:cs="Arial"/>
          <w:color w:val="7030A0"/>
          <w:lang w:val="es-ES"/>
        </w:rPr>
      </w:pPr>
    </w:p>
    <w:p w14:paraId="6B7239A9" w14:textId="77777777" w:rsidR="0078512F" w:rsidRPr="00593A5F" w:rsidRDefault="0078512F" w:rsidP="0078512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81AF44B" w14:textId="77777777" w:rsidR="0078512F" w:rsidRPr="00593A5F" w:rsidRDefault="0078512F" w:rsidP="0078512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8512F" w:rsidRPr="00593A5F" w14:paraId="6237E59C" w14:textId="77777777" w:rsidTr="00CD1730">
        <w:trPr>
          <w:jc w:val="center"/>
        </w:trPr>
        <w:tc>
          <w:tcPr>
            <w:tcW w:w="8828" w:type="dxa"/>
            <w:shd w:val="clear" w:color="auto" w:fill="auto"/>
          </w:tcPr>
          <w:p w14:paraId="5D1AAA4D" w14:textId="77777777" w:rsidR="0078512F" w:rsidRDefault="0078512F" w:rsidP="00CD1730">
            <w:pPr>
              <w:spacing w:after="120" w:line="276" w:lineRule="auto"/>
              <w:jc w:val="both"/>
              <w:rPr>
                <w:rFonts w:ascii="Verdana" w:eastAsia="Times New Roman" w:hAnsi="Verdana" w:cs="Arial"/>
                <w:color w:val="000000"/>
                <w:bdr w:val="none" w:sz="0" w:space="0" w:color="auto" w:frame="1"/>
                <w:shd w:val="clear" w:color="auto" w:fill="FFFFFF"/>
                <w:lang w:eastAsia="es-ES_tradnl"/>
              </w:rPr>
            </w:pPr>
            <w:bookmarkStart w:id="2" w:name="_Hlk171694685"/>
            <w:r>
              <w:rPr>
                <w:rFonts w:ascii="Verdana" w:eastAsia="Times New Roman" w:hAnsi="Verdana" w:cs="Arial"/>
                <w:color w:val="000000"/>
                <w:bdr w:val="none" w:sz="0" w:space="0" w:color="auto" w:frame="1"/>
                <w:shd w:val="clear" w:color="auto" w:fill="FFFFFF"/>
                <w:lang w:eastAsia="es-ES_tradnl"/>
              </w:rPr>
              <w:t xml:space="preserve">Fuera de la decisión unificada en el Auto del 1° de agosto de 2019, rad 62009, con ponencia del Consejero </w:t>
            </w:r>
            <w:r w:rsidRPr="008457D2">
              <w:rPr>
                <w:rFonts w:ascii="Verdana" w:eastAsia="Times New Roman" w:hAnsi="Verdana" w:cs="Arial"/>
                <w:color w:val="000000"/>
                <w:bdr w:val="none" w:sz="0" w:space="0" w:color="auto" w:frame="1"/>
                <w:shd w:val="clear" w:color="auto" w:fill="FFFFFF"/>
                <w:lang w:eastAsia="es-ES_tradnl"/>
              </w:rPr>
              <w:t>Jaime Enrique Rodríguez Navas</w:t>
            </w:r>
            <w:r>
              <w:rPr>
                <w:rFonts w:ascii="Verdana" w:eastAsia="Times New Roman" w:hAnsi="Verdana" w:cs="Arial"/>
                <w:color w:val="000000"/>
                <w:bdr w:val="none" w:sz="0" w:space="0" w:color="auto" w:frame="1"/>
                <w:shd w:val="clear" w:color="auto" w:fill="FFFFFF"/>
                <w:lang w:eastAsia="es-ES_tradnl"/>
              </w:rPr>
              <w:t xml:space="preserve">– no existe un criterio uniforme sobre el tema objeto de consulta por parte del máximo órgano judicial de lo contencioso administrativo. Por ello, cada Subsección de </w:t>
            </w:r>
            <w:r>
              <w:rPr>
                <w:rFonts w:ascii="Verdana" w:eastAsia="Times New Roman" w:hAnsi="Verdana" w:cs="Arial"/>
                <w:color w:val="000000"/>
                <w:bdr w:val="none" w:sz="0" w:space="0" w:color="auto" w:frame="1"/>
                <w:shd w:val="clear" w:color="auto" w:fill="FFFFFF"/>
                <w:lang w:eastAsia="es-ES_tradnl"/>
              </w:rPr>
              <w:lastRenderedPageBreak/>
              <w:t>la Sección Tercera tiene discrecionalidad para acoger un criterio u otro mientras que no se adopte una decisión que resuelva el problema por vía normativa.</w:t>
            </w:r>
          </w:p>
          <w:p w14:paraId="630429A2" w14:textId="77777777" w:rsidR="0078512F" w:rsidRDefault="0078512F" w:rsidP="00CD1730">
            <w:pPr>
              <w:spacing w:after="120" w:line="276" w:lineRule="auto"/>
              <w:ind w:firstLine="703"/>
              <w:jc w:val="both"/>
              <w:rPr>
                <w:rFonts w:ascii="Verdana" w:eastAsia="Times New Roman" w:hAnsi="Verdana" w:cs="Arial"/>
                <w:color w:val="000000" w:themeColor="text1"/>
                <w:lang w:eastAsia="es-CO"/>
              </w:rPr>
            </w:pPr>
            <w:r>
              <w:rPr>
                <w:rFonts w:ascii="Verdana" w:eastAsia="Times New Roman" w:hAnsi="Verdana" w:cs="Arial"/>
                <w:color w:val="000000"/>
                <w:bdr w:val="none" w:sz="0" w:space="0" w:color="auto" w:frame="1"/>
                <w:shd w:val="clear" w:color="auto" w:fill="FFFFFF"/>
                <w:lang w:eastAsia="es-ES_tradnl"/>
              </w:rPr>
              <w:t xml:space="preserve">En todo caso, </w:t>
            </w:r>
            <w:bookmarkStart w:id="3" w:name="_Hlk172563679"/>
            <w:r>
              <w:rPr>
                <w:rFonts w:ascii="Verdana" w:eastAsia="Times New Roman" w:hAnsi="Verdana" w:cs="Arial"/>
                <w:color w:val="000000"/>
                <w:bdr w:val="none" w:sz="0" w:space="0" w:color="auto" w:frame="1"/>
                <w:shd w:val="clear" w:color="auto" w:fill="FFFFFF"/>
                <w:lang w:eastAsia="es-ES_tradnl"/>
              </w:rPr>
              <w:t>sin perjuicio del criterio que adopten los órganos judiciales, la Agencia estima que la pérdida de competencia temporal para liquidar bilateral o unilateralmente se concreta con la presentación de la demanda que pretenda la liquidación en sede jurisdiccional. La razón es que el artículo 141 de la Ley 1437 de 2011 no dispone expresamente la posibilidad de liquidarlo hasta de la admisión de la demanda, por lo que basta “</w:t>
            </w:r>
            <w:r w:rsidRPr="00477459">
              <w:rPr>
                <w:rFonts w:ascii="Verdana" w:eastAsia="Times New Roman" w:hAnsi="Verdana" w:cs="Arial"/>
                <w:color w:val="000000"/>
                <w:bdr w:val="none" w:sz="0" w:space="0" w:color="auto" w:frame="1"/>
                <w:shd w:val="clear" w:color="auto" w:fill="FFFFFF"/>
                <w:lang w:eastAsia="es-ES_tradnl"/>
              </w:rPr>
              <w:t>solicitar la liquidación judicial</w:t>
            </w:r>
            <w:r>
              <w:rPr>
                <w:rFonts w:ascii="Verdana" w:eastAsia="Times New Roman" w:hAnsi="Verdana" w:cs="Arial"/>
                <w:color w:val="000000"/>
                <w:bdr w:val="none" w:sz="0" w:space="0" w:color="auto" w:frame="1"/>
                <w:shd w:val="clear" w:color="auto" w:fill="FFFFFF"/>
                <w:lang w:eastAsia="es-ES_tradnl"/>
              </w:rPr>
              <w:t>” en los términos de la norma citada. Asimismo, considerando que la presentación de la demanda interrumpe el término de caducidad del medio de control de controversias contractuales, no resulta coherente exigir su admisión cuando la norma sólo exige la presentar la solicitud antes de que finalice el término previsto en la ley</w:t>
            </w:r>
            <w:r w:rsidRPr="008D0DEF">
              <w:rPr>
                <w:rFonts w:ascii="Verdana" w:eastAsia="Times New Roman" w:hAnsi="Verdana" w:cs="Arial"/>
                <w:color w:val="000000" w:themeColor="text1"/>
                <w:lang w:eastAsia="es-CO"/>
              </w:rPr>
              <w:t>.</w:t>
            </w:r>
            <w:bookmarkEnd w:id="3"/>
          </w:p>
          <w:p w14:paraId="31BE07A4" w14:textId="77777777" w:rsidR="0078512F" w:rsidRPr="00FE4B6F" w:rsidRDefault="0078512F" w:rsidP="00CD1730">
            <w:pPr>
              <w:spacing w:line="276" w:lineRule="auto"/>
              <w:ind w:firstLine="703"/>
              <w:jc w:val="both"/>
              <w:rPr>
                <w:rFonts w:ascii="Verdana" w:eastAsia="Times New Roman" w:hAnsi="Verdana" w:cs="Arial"/>
                <w:color w:val="000000" w:themeColor="text1"/>
                <w:lang w:eastAsia="es-CO"/>
              </w:rPr>
            </w:pPr>
            <w:r w:rsidRPr="001E3FCB">
              <w:rPr>
                <w:rFonts w:ascii="Verdana" w:hAnsi="Verdana" w:cs="Arial"/>
              </w:rPr>
              <w:t>Dentro de este marco, la entidad contratante definirá en cada caso concreto lo</w:t>
            </w:r>
            <w:r>
              <w:rPr>
                <w:rFonts w:ascii="Verdana" w:hAnsi="Verdana" w:cs="Arial"/>
              </w:rPr>
              <w:t xml:space="preserve"> relacionado con sus estrategias procesales</w:t>
            </w:r>
            <w:r w:rsidRPr="001E3FCB">
              <w:rPr>
                <w:rFonts w:ascii="Verdana" w:hAnsi="Verdana" w:cs="Arial"/>
              </w:rPr>
              <w:t>. Al tratarse de un análisis que debe</w:t>
            </w:r>
            <w:r>
              <w:rPr>
                <w:rFonts w:ascii="Verdana" w:hAnsi="Verdana" w:cs="Arial"/>
              </w:rPr>
              <w:t xml:space="preserve"> realizar el juez de la causa en medio de control de controversias contractuales</w:t>
            </w:r>
            <w:r w:rsidRPr="001E3FCB">
              <w:rPr>
                <w:rFonts w:ascii="Verdana" w:hAnsi="Verdana" w:cs="Arial"/>
              </w:rPr>
              <w:t xml:space="preserve">,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w:t>
            </w:r>
            <w:r>
              <w:rPr>
                <w:rFonts w:ascii="Verdana" w:hAnsi="Verdana" w:cs="Arial"/>
              </w:rPr>
              <w:t>proponer las excepciones que estime pertinentes</w:t>
            </w:r>
            <w:r w:rsidRPr="001E3FCB">
              <w:rPr>
                <w:rFonts w:ascii="Verdana" w:hAnsi="Verdana" w:cs="Arial"/>
              </w:rPr>
              <w:t xml:space="preserve">, sin que sea atribución de Colombia Compra Eficiente </w:t>
            </w:r>
            <w:r>
              <w:rPr>
                <w:rFonts w:ascii="Verdana" w:hAnsi="Verdana" w:cs="Arial"/>
              </w:rPr>
              <w:t>coadyubarlas</w:t>
            </w:r>
            <w:r w:rsidRPr="001E3FCB">
              <w:rPr>
                <w:rFonts w:ascii="Verdana" w:hAnsi="Verdana" w:cs="Arial"/>
              </w:rPr>
              <w:t>.</w:t>
            </w:r>
          </w:p>
        </w:tc>
      </w:tr>
    </w:tbl>
    <w:p w14:paraId="15707302" w14:textId="77777777" w:rsidR="0078512F" w:rsidRPr="00593A5F" w:rsidRDefault="0078512F" w:rsidP="0078512F">
      <w:pPr>
        <w:tabs>
          <w:tab w:val="left" w:pos="142"/>
          <w:tab w:val="left" w:pos="284"/>
        </w:tabs>
        <w:spacing w:after="0" w:line="276" w:lineRule="auto"/>
        <w:jc w:val="both"/>
        <w:rPr>
          <w:rFonts w:ascii="Verdana" w:eastAsia="Century Gothic" w:hAnsi="Verdana" w:cs="Century Gothic"/>
          <w:b/>
          <w:bCs/>
          <w:lang w:val="es-ES"/>
        </w:rPr>
      </w:pPr>
    </w:p>
    <w:bookmarkEnd w:id="2"/>
    <w:p w14:paraId="15F8C555" w14:textId="77777777" w:rsidR="0078512F" w:rsidRPr="00593A5F" w:rsidRDefault="0078512F" w:rsidP="0078512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3B70ACD" w14:textId="77777777" w:rsidR="0078512F" w:rsidRPr="00593A5F" w:rsidRDefault="0078512F" w:rsidP="0078512F">
      <w:pPr>
        <w:spacing w:after="0" w:line="276" w:lineRule="auto"/>
        <w:jc w:val="both"/>
        <w:rPr>
          <w:rFonts w:ascii="Verdana" w:eastAsia="Calibri" w:hAnsi="Verdana" w:cs="Arial"/>
          <w:color w:val="7030A0"/>
          <w:lang w:val="es-ES"/>
        </w:rPr>
      </w:pPr>
    </w:p>
    <w:p w14:paraId="20260170" w14:textId="77777777" w:rsidR="0078512F" w:rsidRPr="00B96799" w:rsidRDefault="0078512F" w:rsidP="0078512F">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6D11EA8B" w14:textId="77777777" w:rsidR="0078512F" w:rsidRPr="00593A5F" w:rsidRDefault="0078512F" w:rsidP="0078512F">
      <w:pPr>
        <w:spacing w:after="0" w:line="276" w:lineRule="auto"/>
        <w:jc w:val="both"/>
        <w:rPr>
          <w:rFonts w:ascii="Verdana" w:eastAsia="Calibri" w:hAnsi="Verdana" w:cs="Arial"/>
          <w:color w:val="7030A0"/>
          <w:lang w:val="es-ES"/>
        </w:rPr>
      </w:pPr>
    </w:p>
    <w:p w14:paraId="635FD3ED" w14:textId="77777777" w:rsidR="0078512F" w:rsidRPr="00FB5FC4" w:rsidRDefault="0078512F" w:rsidP="0078512F">
      <w:pPr>
        <w:spacing w:after="0" w:line="276" w:lineRule="auto"/>
        <w:jc w:val="both"/>
        <w:rPr>
          <w:rFonts w:ascii="Verdana" w:eastAsia="Calibri" w:hAnsi="Verdana" w:cs="Arial"/>
          <w:color w:val="000000"/>
          <w:lang w:val="es-ES_tradnl"/>
        </w:rPr>
      </w:pPr>
      <w:r w:rsidRPr="00FB5FC4">
        <w:rPr>
          <w:rFonts w:ascii="Verdana" w:eastAsia="Calibri" w:hAnsi="Verdana" w:cs="Arial"/>
          <w:color w:val="000000"/>
          <w:lang w:val="es-ES_tradnl"/>
        </w:rPr>
        <w:t>La liquidación es el momento en el cual, una vez concluido el contrato estatal, las partes cruzan cuentas respecto de sus obligaciones</w:t>
      </w:r>
      <w:r>
        <w:rPr>
          <w:rFonts w:ascii="Verdana" w:eastAsia="Calibri" w:hAnsi="Verdana" w:cs="Arial"/>
          <w:color w:val="000000"/>
          <w:lang w:val="es-ES_tradnl"/>
        </w:rPr>
        <w:t>.</w:t>
      </w:r>
      <w:r w:rsidRPr="00FB5FC4">
        <w:rPr>
          <w:rFonts w:ascii="Verdana" w:eastAsia="Calibri" w:hAnsi="Verdana" w:cs="Arial"/>
          <w:color w:val="000000"/>
          <w:lang w:val="es-ES_tradnl"/>
        </w:rPr>
        <w:t xml:space="preserve"> </w:t>
      </w:r>
      <w:r>
        <w:rPr>
          <w:rFonts w:ascii="Verdana" w:eastAsia="Calibri" w:hAnsi="Verdana" w:cs="Arial"/>
          <w:color w:val="000000"/>
          <w:lang w:val="es-ES_tradnl"/>
        </w:rPr>
        <w:t>P</w:t>
      </w:r>
      <w:r w:rsidRPr="00FB5FC4">
        <w:rPr>
          <w:rFonts w:ascii="Verdana" w:eastAsia="Calibri" w:hAnsi="Verdana" w:cs="Arial"/>
          <w:color w:val="000000"/>
          <w:lang w:val="es-ES_tradnl"/>
        </w:rPr>
        <w:t xml:space="preserve">or tanto, su objetivo es determinar si pueden declararse a paz y salvo mutuo o si, por el contrario, existen aún obligaciones por cumplir, para acordar la forma en que deben ser </w:t>
      </w:r>
      <w:r>
        <w:rPr>
          <w:rFonts w:ascii="Verdana" w:eastAsia="Calibri" w:hAnsi="Verdana" w:cs="Arial"/>
          <w:color w:val="000000"/>
          <w:lang w:val="es-ES_tradnl"/>
        </w:rPr>
        <w:lastRenderedPageBreak/>
        <w:t>finalizadas</w:t>
      </w:r>
      <w:r w:rsidRPr="00FB5FC4">
        <w:rPr>
          <w:rFonts w:ascii="Verdana" w:eastAsia="Calibri" w:hAnsi="Verdana" w:cs="Arial"/>
          <w:color w:val="000000"/>
          <w:vertAlign w:val="superscript"/>
          <w:lang w:val="es-ES_tradnl"/>
        </w:rPr>
        <w:footnoteReference w:id="2"/>
      </w:r>
      <w:r w:rsidRPr="00FB5FC4">
        <w:rPr>
          <w:rFonts w:ascii="Verdana" w:eastAsia="Calibri" w:hAnsi="Verdana" w:cs="Arial"/>
          <w:color w:val="000000"/>
          <w:lang w:val="es-ES_tradnl"/>
        </w:rPr>
        <w:t>. En armonía con lo anterior, la doctrina ha definido la liquidación de la siguiente manera:</w:t>
      </w:r>
    </w:p>
    <w:p w14:paraId="6E5207A2" w14:textId="77777777" w:rsidR="0078512F" w:rsidRPr="00FB5FC4" w:rsidRDefault="0078512F" w:rsidP="0078512F">
      <w:pPr>
        <w:spacing w:after="0" w:line="276" w:lineRule="auto"/>
        <w:jc w:val="both"/>
        <w:rPr>
          <w:rFonts w:ascii="Verdana" w:eastAsia="Calibri" w:hAnsi="Verdana" w:cs="Arial"/>
          <w:color w:val="000000"/>
          <w:lang w:val="es-ES_tradnl"/>
        </w:rPr>
      </w:pPr>
    </w:p>
    <w:p w14:paraId="5BFBB834" w14:textId="77777777" w:rsidR="0078512F" w:rsidRPr="00FB5FC4" w:rsidRDefault="0078512F" w:rsidP="0078512F">
      <w:pPr>
        <w:spacing w:after="0" w:line="240" w:lineRule="auto"/>
        <w:ind w:left="709" w:right="758"/>
        <w:jc w:val="both"/>
        <w:rPr>
          <w:rFonts w:ascii="Verdana" w:eastAsia="Calibri" w:hAnsi="Verdana" w:cs="Arial"/>
          <w:sz w:val="21"/>
          <w:szCs w:val="21"/>
          <w:lang w:val="es-MX"/>
        </w:rPr>
      </w:pPr>
      <w:r w:rsidRPr="00FB5FC4">
        <w:rPr>
          <w:rFonts w:ascii="Verdana" w:eastAsia="Calibri" w:hAnsi="Verdana" w:cs="Arial"/>
          <w:i/>
          <w:iCs/>
          <w:color w:val="000000"/>
          <w:sz w:val="21"/>
          <w:szCs w:val="21"/>
          <w:lang w:val="es-ES_tradnl"/>
        </w:rPr>
        <w:t>“</w:t>
      </w:r>
      <w:r w:rsidRPr="00FB5FC4">
        <w:rPr>
          <w:rFonts w:ascii="Verdana" w:eastAsia="Calibri" w:hAnsi="Verdana" w:cs="Arial"/>
          <w:sz w:val="21"/>
          <w:szCs w:val="21"/>
          <w:lang w:val="es-MX"/>
        </w:rPr>
        <w:t>[…]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ii) definir la situación jurídica de las partes, estableciendo si pueden constituirse o no a paz y salvo; lo que exige, en la práctica, que los negociantes dialoguen e intenten ponerse de acuerdo (aspecto subjetivo)</w:t>
      </w:r>
      <w:r>
        <w:rPr>
          <w:rFonts w:ascii="Verdana" w:eastAsia="Calibri" w:hAnsi="Verdana" w:cs="Arial"/>
          <w:sz w:val="21"/>
          <w:szCs w:val="21"/>
          <w:lang w:val="es-MX"/>
        </w:rPr>
        <w:t>”</w:t>
      </w:r>
      <w:r w:rsidRPr="00FB5FC4">
        <w:rPr>
          <w:rFonts w:ascii="Verdana" w:eastAsia="Calibri" w:hAnsi="Verdana" w:cs="Arial"/>
          <w:sz w:val="21"/>
          <w:szCs w:val="21"/>
          <w:vertAlign w:val="superscript"/>
          <w:lang w:val="es-MX"/>
        </w:rPr>
        <w:footnoteReference w:id="3"/>
      </w:r>
      <w:r w:rsidRPr="00FB5FC4">
        <w:rPr>
          <w:rFonts w:ascii="Verdana" w:eastAsia="Calibri" w:hAnsi="Verdana" w:cs="Arial"/>
          <w:sz w:val="21"/>
          <w:szCs w:val="21"/>
          <w:lang w:val="es-MX"/>
        </w:rPr>
        <w:t>.</w:t>
      </w:r>
    </w:p>
    <w:p w14:paraId="62D68186" w14:textId="77777777" w:rsidR="0078512F" w:rsidRPr="00FB5FC4" w:rsidRDefault="0078512F" w:rsidP="0078512F">
      <w:pPr>
        <w:spacing w:after="0" w:line="276" w:lineRule="auto"/>
        <w:jc w:val="both"/>
        <w:rPr>
          <w:rFonts w:ascii="Verdana" w:eastAsia="Calibri" w:hAnsi="Verdana" w:cs="Arial"/>
          <w:color w:val="000000"/>
          <w:lang w:val="es-ES_tradnl"/>
        </w:rPr>
      </w:pPr>
    </w:p>
    <w:p w14:paraId="5A33DB54" w14:textId="77777777" w:rsidR="0078512F" w:rsidRPr="00FB5FC4" w:rsidRDefault="0078512F" w:rsidP="0078512F">
      <w:pPr>
        <w:spacing w:after="120" w:line="276" w:lineRule="auto"/>
        <w:ind w:firstLine="709"/>
        <w:jc w:val="both"/>
        <w:rPr>
          <w:rFonts w:ascii="Verdana" w:eastAsia="Times New Roman" w:hAnsi="Verdana" w:cs="Arial"/>
          <w:color w:val="000000"/>
          <w:sz w:val="21"/>
          <w:szCs w:val="21"/>
          <w:lang w:val="es-ES_tradnl" w:eastAsia="es-ES_tradnl"/>
        </w:rPr>
      </w:pPr>
      <w:r>
        <w:rPr>
          <w:rFonts w:ascii="Verdana" w:eastAsia="Times New Roman" w:hAnsi="Verdana" w:cs="Arial"/>
          <w:color w:val="000000"/>
          <w:szCs w:val="24"/>
          <w:lang w:val="es-ES_tradnl" w:eastAsia="es-ES_tradnl"/>
        </w:rPr>
        <w:t>S</w:t>
      </w:r>
      <w:r w:rsidRPr="00FB5FC4">
        <w:rPr>
          <w:rFonts w:ascii="Verdana" w:eastAsia="Times New Roman" w:hAnsi="Verdana" w:cs="Arial"/>
          <w:color w:val="000000"/>
          <w:szCs w:val="24"/>
          <w:lang w:val="es-ES_tradnl" w:eastAsia="es-ES_tradnl"/>
        </w:rPr>
        <w:t xml:space="preserve">egún la jurisprudencia, la liquidación es el ajuste de cuentas donde las partes hacen un balance económico, técnico y jurídico del cumplimiento de las obligaciones que tienen a su cargo. Así lo manifestó el Consejo de Estado en la </w:t>
      </w:r>
      <w:r>
        <w:rPr>
          <w:rFonts w:ascii="Verdana" w:eastAsia="Times New Roman" w:hAnsi="Verdana" w:cs="Arial"/>
          <w:color w:val="000000"/>
          <w:szCs w:val="24"/>
          <w:lang w:val="es-ES_tradnl" w:eastAsia="es-ES_tradnl"/>
        </w:rPr>
        <w:t>S</w:t>
      </w:r>
      <w:r w:rsidRPr="00FB5FC4">
        <w:rPr>
          <w:rFonts w:ascii="Verdana" w:eastAsia="Times New Roman" w:hAnsi="Verdana" w:cs="Arial"/>
          <w:color w:val="000000"/>
          <w:szCs w:val="24"/>
          <w:lang w:val="es-ES_tradnl" w:eastAsia="es-ES_tradnl"/>
        </w:rPr>
        <w:t xml:space="preserve">entencia del 20 de octubre de 2014, en la que consideró, por un lado, que </w:t>
      </w:r>
      <w:r w:rsidRPr="00FB5FC4">
        <w:rPr>
          <w:rFonts w:ascii="Verdana" w:eastAsia="Times New Roman" w:hAnsi="Verdana" w:cs="Arial"/>
          <w:i/>
          <w:iCs/>
          <w:color w:val="000000"/>
          <w:szCs w:val="24"/>
          <w:lang w:val="es-ES_tradnl" w:eastAsia="es-ES_tradnl"/>
        </w:rPr>
        <w:t>liquidar</w:t>
      </w:r>
      <w:r w:rsidRPr="00FB5FC4">
        <w:rPr>
          <w:rFonts w:ascii="Verdana" w:eastAsia="Times New Roman" w:hAnsi="Verdana" w:cs="Arial"/>
          <w:color w:val="000000"/>
          <w:szCs w:val="24"/>
          <w:lang w:val="es-ES_tradnl" w:eastAsia="es-ES_tradnl"/>
        </w:rPr>
        <w:t xml:space="preserve"> supone un ajuste en relación con las cuentas y el estado de cumplimiento del contrato estatal y, por el otro, que la </w:t>
      </w:r>
      <w:r w:rsidRPr="00FB5FC4">
        <w:rPr>
          <w:rFonts w:ascii="Verdana" w:eastAsia="Times New Roman" w:hAnsi="Verdana" w:cs="Arial"/>
          <w:i/>
          <w:iCs/>
          <w:color w:val="000000"/>
          <w:szCs w:val="24"/>
          <w:lang w:val="es-ES_tradnl" w:eastAsia="es-ES_tradnl"/>
        </w:rPr>
        <w:t>liquidación</w:t>
      </w:r>
      <w:r w:rsidRPr="00FB5FC4">
        <w:rPr>
          <w:rFonts w:ascii="Verdana" w:eastAsia="Times New Roman" w:hAnsi="Verdana" w:cs="Arial"/>
          <w:color w:val="000000"/>
          <w:szCs w:val="24"/>
          <w:lang w:val="es-ES_tradnl" w:eastAsia="es-ES_tradnl"/>
        </w:rPr>
        <w:t xml:space="preserve"> debe incluir el análisis de las condiciones de calidad y oportunidad en la entrega de los bienes, obras o </w:t>
      </w:r>
      <w:r w:rsidRPr="00FB5FC4">
        <w:rPr>
          <w:rFonts w:ascii="Verdana" w:eastAsia="Times New Roman" w:hAnsi="Verdana" w:cs="Arial"/>
          <w:color w:val="000000"/>
          <w:szCs w:val="24"/>
          <w:lang w:val="es-ES_tradnl" w:eastAsia="es-ES_tradnl"/>
        </w:rPr>
        <w:lastRenderedPageBreak/>
        <w:t>servicios, así como el balance económico y el comportamiento financiero del negocio</w:t>
      </w:r>
      <w:r w:rsidRPr="00FB5FC4">
        <w:rPr>
          <w:rFonts w:ascii="Verdana" w:eastAsia="Times New Roman" w:hAnsi="Verdana" w:cs="Arial"/>
          <w:color w:val="000000"/>
          <w:szCs w:val="24"/>
          <w:vertAlign w:val="superscript"/>
          <w:lang w:val="es-ES_tradnl" w:eastAsia="es-ES_tradnl"/>
        </w:rPr>
        <w:footnoteReference w:id="4"/>
      </w:r>
      <w:r w:rsidRPr="00FB5FC4">
        <w:rPr>
          <w:rFonts w:ascii="Verdana" w:eastAsia="Times New Roman" w:hAnsi="Verdana" w:cs="Arial"/>
          <w:color w:val="000000"/>
          <w:szCs w:val="24"/>
          <w:lang w:val="es-ES_tradnl" w:eastAsia="es-ES_tradnl"/>
        </w:rPr>
        <w:t xml:space="preserve">. </w:t>
      </w:r>
    </w:p>
    <w:p w14:paraId="127203B4" w14:textId="77777777" w:rsidR="0078512F" w:rsidRPr="00FB5FC4" w:rsidRDefault="0078512F" w:rsidP="0078512F">
      <w:pPr>
        <w:spacing w:after="0" w:line="276" w:lineRule="auto"/>
        <w:ind w:firstLine="709"/>
        <w:jc w:val="both"/>
        <w:rPr>
          <w:rFonts w:ascii="Verdana" w:eastAsia="Calibri" w:hAnsi="Verdana" w:cs="Arial"/>
          <w:color w:val="000000"/>
          <w:lang w:val="es-ES_tradnl"/>
        </w:rPr>
      </w:pPr>
      <w:r w:rsidRPr="00FB5FC4">
        <w:rPr>
          <w:rFonts w:ascii="Verdana" w:eastAsia="Calibri" w:hAnsi="Verdana" w:cs="Arial"/>
          <w:color w:val="000000"/>
          <w:lang w:val="es-ES_tradnl"/>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3B04D03B" w14:textId="77777777" w:rsidR="0078512F" w:rsidRPr="00D71733" w:rsidRDefault="0078512F" w:rsidP="0078512F">
      <w:pPr>
        <w:spacing w:after="0" w:line="276" w:lineRule="auto"/>
        <w:ind w:firstLine="708"/>
        <w:jc w:val="both"/>
        <w:rPr>
          <w:rFonts w:ascii="Verdana" w:eastAsia="Calibri" w:hAnsi="Verdana" w:cs="Arial"/>
          <w:lang w:val="es-ES"/>
        </w:rPr>
      </w:pPr>
    </w:p>
    <w:p w14:paraId="42B537FB" w14:textId="77777777" w:rsidR="0078512F" w:rsidRPr="00D71733" w:rsidRDefault="0078512F" w:rsidP="0078512F">
      <w:pPr>
        <w:spacing w:after="0" w:line="240" w:lineRule="auto"/>
        <w:ind w:left="709" w:right="758"/>
        <w:jc w:val="both"/>
        <w:rPr>
          <w:rFonts w:ascii="Verdana" w:eastAsia="Calibri" w:hAnsi="Verdana" w:cs="Arial"/>
          <w:sz w:val="21"/>
          <w:szCs w:val="21"/>
          <w:lang w:val="es-MX"/>
        </w:rPr>
      </w:pPr>
      <w:r w:rsidRPr="00D71733">
        <w:rPr>
          <w:rFonts w:ascii="Verdana" w:eastAsia="Calibri" w:hAnsi="Verdana" w:cs="Arial"/>
          <w:sz w:val="21"/>
          <w:szCs w:val="21"/>
          <w:lang w:val="es-ES"/>
        </w:rPr>
        <w:t>“</w:t>
      </w:r>
      <w:r w:rsidRPr="00D71733">
        <w:rPr>
          <w:rFonts w:ascii="Verdana" w:eastAsia="Calibri" w:hAnsi="Verdana" w:cs="Arial"/>
          <w:sz w:val="21"/>
          <w:szCs w:val="21"/>
          <w:lang w:val="es-MX"/>
        </w:rPr>
        <w:t>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Pr="00D71733">
        <w:rPr>
          <w:rFonts w:ascii="Verdana" w:eastAsia="Calibri" w:hAnsi="Verdana" w:cs="Arial"/>
          <w:sz w:val="21"/>
          <w:szCs w:val="21"/>
          <w:vertAlign w:val="superscript"/>
          <w:lang w:val="es-MX"/>
        </w:rPr>
        <w:footnoteReference w:id="5"/>
      </w:r>
      <w:r>
        <w:rPr>
          <w:rFonts w:ascii="Verdana" w:eastAsia="Calibri" w:hAnsi="Verdana" w:cs="Arial"/>
          <w:sz w:val="21"/>
          <w:szCs w:val="21"/>
          <w:lang w:val="es-MX"/>
        </w:rPr>
        <w:t>.</w:t>
      </w:r>
    </w:p>
    <w:p w14:paraId="3D317C23" w14:textId="77777777" w:rsidR="0078512F" w:rsidRPr="00D71733" w:rsidRDefault="0078512F" w:rsidP="0078512F">
      <w:pPr>
        <w:spacing w:after="0" w:line="276" w:lineRule="auto"/>
        <w:ind w:left="709" w:right="758"/>
        <w:jc w:val="both"/>
        <w:rPr>
          <w:rFonts w:ascii="Verdana" w:eastAsia="Calibri" w:hAnsi="Verdana" w:cs="Arial"/>
          <w:lang w:val="es-ES"/>
        </w:rPr>
      </w:pPr>
    </w:p>
    <w:p w14:paraId="2E743065" w14:textId="77777777" w:rsidR="0078512F" w:rsidRPr="00FB5FC4" w:rsidRDefault="0078512F" w:rsidP="0078512F">
      <w:pPr>
        <w:spacing w:after="120" w:line="276" w:lineRule="auto"/>
        <w:ind w:firstLine="708"/>
        <w:jc w:val="both"/>
        <w:rPr>
          <w:rFonts w:ascii="Verdana" w:eastAsia="Calibri" w:hAnsi="Verdana" w:cs="Arial"/>
          <w:color w:val="000000"/>
          <w:lang w:val="es-ES_tradnl"/>
        </w:rPr>
      </w:pPr>
      <w:r w:rsidRPr="00FB5FC4">
        <w:rPr>
          <w:rFonts w:ascii="Verdana" w:eastAsia="Calibri" w:hAnsi="Verdana" w:cs="Arial"/>
          <w:color w:val="000000"/>
          <w:lang w:val="es-ES_tradnl"/>
        </w:rPr>
        <w:t>Así las cosas, de acuerdo con el artículo 60 de la Ley 80 de 1993, los contratos de tracto sucesivo, aquellos cuyo cumplimiento o ejecución se prolongue en el tiempo y los demás que lo requieran “</w:t>
      </w:r>
      <w:r w:rsidRPr="00D71733">
        <w:rPr>
          <w:rFonts w:ascii="Verdana" w:eastAsia="Calibri" w:hAnsi="Verdana" w:cs="Arial"/>
          <w:color w:val="000000"/>
          <w:lang w:val="es-ES_tradnl"/>
        </w:rPr>
        <w:t>serán objeto de liquidación</w:t>
      </w:r>
      <w:r w:rsidRPr="00FB5FC4">
        <w:rPr>
          <w:rFonts w:ascii="Verdana" w:eastAsia="Calibri" w:hAnsi="Verdana" w:cs="Arial"/>
          <w:color w:val="000000"/>
          <w:lang w:val="es-ES_tradnl"/>
        </w:rPr>
        <w:t>”.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FB5FC4">
        <w:rPr>
          <w:rFonts w:ascii="Verdana" w:eastAsia="Calibri" w:hAnsi="Verdana" w:cs="Arial"/>
          <w:color w:val="000000"/>
          <w:vertAlign w:val="superscript"/>
          <w:lang w:val="es-ES_tradnl"/>
        </w:rPr>
        <w:footnoteReference w:id="6"/>
      </w:r>
      <w:r w:rsidRPr="00FB5FC4">
        <w:rPr>
          <w:rFonts w:ascii="Verdana" w:eastAsia="Calibri" w:hAnsi="Verdana" w:cs="Arial"/>
          <w:color w:val="000000"/>
          <w:lang w:val="es-ES_tradnl"/>
        </w:rPr>
        <w:t xml:space="preserve">, así como la probabilidad de que puedan surgir diferencias durante la ejecución del contrato; sin perjuicio de que, como </w:t>
      </w:r>
      <w:r w:rsidRPr="00FB5FC4">
        <w:rPr>
          <w:rFonts w:ascii="Verdana" w:eastAsia="Calibri" w:hAnsi="Verdana" w:cs="Arial"/>
          <w:color w:val="000000"/>
          <w:lang w:val="es-ES_tradnl"/>
        </w:rPr>
        <w:lastRenderedPageBreak/>
        <w:t xml:space="preserve">se indicó, todos los contratos estatales de </w:t>
      </w:r>
      <w:r w:rsidRPr="00FB5FC4">
        <w:rPr>
          <w:rFonts w:ascii="Verdana" w:eastAsia="Calibri" w:hAnsi="Verdana" w:cs="Arial"/>
          <w:i/>
          <w:iCs/>
          <w:color w:val="000000"/>
          <w:lang w:val="es-ES_tradnl"/>
        </w:rPr>
        <w:t>tracto sucesivo</w:t>
      </w:r>
      <w:r w:rsidRPr="00FB5FC4">
        <w:rPr>
          <w:rFonts w:ascii="Verdana" w:eastAsia="Calibri" w:hAnsi="Verdana" w:cs="Arial"/>
          <w:color w:val="000000"/>
          <w:lang w:val="es-ES_tradnl"/>
        </w:rPr>
        <w:t xml:space="preserve"> o aquellos cuya ejecución se prolongue en el tiempo siempre deban liquidarse, convirtiéndose en estos contratos en una cláusula de la naturaleza, conforme a la clasificación prevista en el Código Civil.</w:t>
      </w:r>
    </w:p>
    <w:p w14:paraId="3A7158D3" w14:textId="77777777" w:rsidR="0078512F" w:rsidRPr="00FB5FC4" w:rsidRDefault="0078512F" w:rsidP="5378C036">
      <w:pPr>
        <w:spacing w:after="120" w:line="276" w:lineRule="auto"/>
        <w:ind w:firstLine="708"/>
        <w:jc w:val="both"/>
        <w:rPr>
          <w:rFonts w:ascii="Verdana" w:eastAsia="Calibri" w:hAnsi="Verdana" w:cs="Arial"/>
          <w:color w:val="000000"/>
          <w:lang w:val="es-ES"/>
        </w:rPr>
      </w:pPr>
      <w:r w:rsidRPr="5378C036">
        <w:rPr>
          <w:rFonts w:ascii="Verdana" w:eastAsia="Calibri" w:hAnsi="Verdana" w:cs="Arial"/>
          <w:color w:val="000000"/>
          <w:lang w:val="es-ES"/>
        </w:rPr>
        <w:t>Por su parte, el artículo 11 de la Ley 1150 de 2007 contiene las reglas de tipo procedimental para liquidar los contratos estatales, las cuales se pasan a explicar</w:t>
      </w:r>
      <w:r w:rsidRPr="5378C036">
        <w:rPr>
          <w:rFonts w:ascii="Verdana" w:eastAsia="Calibri" w:hAnsi="Verdana" w:cs="Arial"/>
          <w:color w:val="000000"/>
          <w:vertAlign w:val="superscript"/>
          <w:lang w:val="es-ES"/>
        </w:rPr>
        <w:footnoteReference w:id="7"/>
      </w:r>
      <w:r w:rsidRPr="5378C036">
        <w:rPr>
          <w:rFonts w:ascii="Verdana" w:eastAsia="Calibri" w:hAnsi="Verdana" w:cs="Arial"/>
          <w:color w:val="000000"/>
          <w:lang w:val="es-ES"/>
        </w:rPr>
        <w:t xml:space="preserve">.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w:t>
      </w:r>
      <w:proofErr w:type="spellStart"/>
      <w:r w:rsidRPr="5378C036">
        <w:rPr>
          <w:rFonts w:ascii="Verdana" w:eastAsia="Calibri" w:hAnsi="Verdana" w:cs="Arial"/>
          <w:color w:val="000000"/>
          <w:lang w:val="es-ES"/>
        </w:rPr>
        <w:t>ii</w:t>
      </w:r>
      <w:proofErr w:type="spellEnd"/>
      <w:r w:rsidRPr="5378C036">
        <w:rPr>
          <w:rFonts w:ascii="Verdana" w:eastAsia="Calibri" w:hAnsi="Verdana" w:cs="Arial"/>
          <w:color w:val="000000"/>
          <w:lang w:val="es-ES"/>
        </w:rPr>
        <w:t xml:space="preserve">) la expedición del acto administrativo que ordene la terminación del contrato; o, </w:t>
      </w:r>
      <w:proofErr w:type="spellStart"/>
      <w:r w:rsidRPr="5378C036">
        <w:rPr>
          <w:rFonts w:ascii="Verdana" w:eastAsia="Calibri" w:hAnsi="Verdana" w:cs="Arial"/>
          <w:color w:val="000000"/>
          <w:lang w:val="es-ES"/>
        </w:rPr>
        <w:t>iii</w:t>
      </w:r>
      <w:proofErr w:type="spellEnd"/>
      <w:r w:rsidRPr="5378C036">
        <w:rPr>
          <w:rFonts w:ascii="Verdana" w:eastAsia="Calibri" w:hAnsi="Verdana" w:cs="Arial"/>
          <w:color w:val="000000"/>
          <w:lang w:val="es-ES"/>
        </w:rPr>
        <w:t>) la fecha del acuerdo que disponga la terminación del contrato.</w:t>
      </w:r>
    </w:p>
    <w:p w14:paraId="29697118" w14:textId="77777777" w:rsidR="0078512F" w:rsidRPr="004B5D6E" w:rsidRDefault="0078512F" w:rsidP="00D3146C">
      <w:pPr>
        <w:spacing w:after="120" w:line="276" w:lineRule="auto"/>
        <w:ind w:firstLine="709"/>
        <w:jc w:val="both"/>
        <w:rPr>
          <w:rFonts w:ascii="Verdana" w:eastAsia="Times New Roman" w:hAnsi="Verdana" w:cs="Arial"/>
          <w:lang w:val="es-ES" w:eastAsia="es-ES"/>
        </w:rPr>
      </w:pPr>
      <w:r w:rsidRPr="00D3146C">
        <w:rPr>
          <w:rFonts w:ascii="Verdana" w:eastAsia="Times New Roman" w:hAnsi="Verdana" w:cs="Arial"/>
          <w:lang w:val="es-ES" w:eastAsia="es-ES"/>
        </w:rPr>
        <w:t xml:space="preserve">El artículo 11 de la Ley 1150 de 2007 señala que la liquidación de mutuo acuerdo deberá realizar dentro del plazo previsto en “los pliegos de condiciones o sus equivalentes, o dentro del que acuerden las partes para el efecto”. Para dilucidar a qué se refiere la norma con “equivalentes” resulta necesario tener presente que el pliego de condiciones es un documento contentivo de las reglas aplicables a un determinado proceso de selección, que “materializa los principios de planeación contractual y de trasparencia, comoquiera que su adecuada formulación permite o garantiza la selección objetiva del contratista de acuerdo con los parámetros de calificación correspondientes para cada tipo de procedimiento [y que] constituye la ley tanto del procedimiento administrativo </w:t>
      </w:r>
      <w:r w:rsidRPr="00D3146C">
        <w:rPr>
          <w:rFonts w:ascii="Verdana" w:eastAsia="Times New Roman" w:hAnsi="Verdana" w:cs="Arial"/>
          <w:lang w:val="es-ES" w:eastAsia="es-ES"/>
        </w:rPr>
        <w:lastRenderedPageBreak/>
        <w:t>de selección del contratista, como del contrato a</w:t>
      </w:r>
      <w:r w:rsidRPr="00D3146C">
        <w:rPr>
          <w:rFonts w:ascii="Verdana" w:eastAsia="Times New Roman" w:hAnsi="Verdana" w:cs="Arial"/>
          <w:spacing w:val="-7"/>
          <w:lang w:val="es-ES" w:eastAsia="es-ES"/>
        </w:rPr>
        <w:t xml:space="preserve"> </w:t>
      </w:r>
      <w:r w:rsidRPr="00D3146C">
        <w:rPr>
          <w:rFonts w:ascii="Verdana" w:eastAsia="Times New Roman" w:hAnsi="Verdana" w:cs="Arial"/>
          <w:lang w:val="es-ES" w:eastAsia="es-ES"/>
        </w:rPr>
        <w:t>celebrar”</w:t>
      </w:r>
      <w:r w:rsidRPr="00D3146C">
        <w:rPr>
          <w:rFonts w:ascii="Verdana" w:eastAsia="Times New Roman" w:hAnsi="Verdana" w:cs="Arial"/>
          <w:vertAlign w:val="superscript"/>
          <w:lang w:val="es-ES" w:eastAsia="es-ES"/>
        </w:rPr>
        <w:footnoteReference w:id="8"/>
      </w:r>
      <w:r w:rsidRPr="00D3146C">
        <w:rPr>
          <w:rFonts w:ascii="Verdana" w:eastAsia="Times New Roman" w:hAnsi="Verdana" w:cs="Arial"/>
          <w:lang w:val="es-ES" w:eastAsia="es-ES"/>
        </w:rPr>
        <w:t>. A partir de tales características debe determinarse la equivalencia de un documento con un pliego de condiciones, la cual se puede ejemplificar claramente con la invitación a participar en los procesos de mínima cuantía</w:t>
      </w:r>
      <w:r w:rsidRPr="00D3146C">
        <w:rPr>
          <w:rFonts w:ascii="Verdana" w:eastAsia="Times New Roman" w:hAnsi="Verdana" w:cs="Arial"/>
          <w:vertAlign w:val="superscript"/>
          <w:lang w:val="es-ES" w:eastAsia="es-ES"/>
        </w:rPr>
        <w:footnoteReference w:id="9"/>
      </w:r>
      <w:r w:rsidRPr="00D3146C">
        <w:rPr>
          <w:rFonts w:ascii="Verdana" w:eastAsia="Times New Roman" w:hAnsi="Verdana" w:cs="Arial"/>
          <w:lang w:val="es-ES" w:eastAsia="es-ES"/>
        </w:rPr>
        <w:t xml:space="preserve">, documento dentro del cual la entidad contratante debe fijar las reglas aplicables al procedimiento de selección, cumpliendo con la función del pliego de condiciones. En tal sentido, es un documento “equivalente” del mismo en los términos del artículo 11 Ibídem, dentro del cual es viable establecer el plazo para la liquidación de mutuo acuerdo. </w:t>
      </w:r>
    </w:p>
    <w:p w14:paraId="4D246269" w14:textId="77777777" w:rsidR="0078512F" w:rsidRPr="00FB5FC4" w:rsidRDefault="0078512F" w:rsidP="5378C036">
      <w:pPr>
        <w:spacing w:after="120" w:line="276" w:lineRule="auto"/>
        <w:ind w:firstLine="709"/>
        <w:jc w:val="both"/>
        <w:rPr>
          <w:rFonts w:ascii="Verdana" w:eastAsia="Times New Roman" w:hAnsi="Verdana" w:cs="Arial"/>
          <w:lang w:val="es-ES" w:eastAsia="es-ES"/>
        </w:rPr>
      </w:pPr>
      <w:r w:rsidRPr="5378C036">
        <w:rPr>
          <w:rFonts w:ascii="Verdana" w:eastAsia="Times New Roman" w:hAnsi="Verdana" w:cs="Arial"/>
          <w:lang w:val="es-ES" w:eastAsia="es-ES"/>
        </w:rPr>
        <w:t>De otra parte, cuando el artículo 11 de la Ley 1150 de 2007 hace referencia al término que “acuerden las partes” para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en el marco de la ejecución del contrato, las partes acuerden fijar el referido plazo; acuerdo que, en tanto significa una alteración de las reglas que orientan la relación contractual, implica una modificación del contrato. Por tal razón, su celebración debe cumplir con los requisitos del negocio jurídico, ameritando la concurrencia de capacidad jurídica de los agentes, un consentimiento libre de vicios, un objeto y causa lícita, así como la formalidad escrita requerida en materia de contratación estatal</w:t>
      </w:r>
      <w:r w:rsidRPr="5378C036">
        <w:rPr>
          <w:rFonts w:ascii="Verdana" w:eastAsia="Times New Roman" w:hAnsi="Verdana" w:cs="Arial"/>
          <w:vertAlign w:val="superscript"/>
          <w:lang w:val="es-ES" w:eastAsia="es-ES"/>
        </w:rPr>
        <w:footnoteReference w:id="10"/>
      </w:r>
      <w:r w:rsidRPr="5378C036">
        <w:rPr>
          <w:rFonts w:ascii="Verdana" w:eastAsia="Times New Roman" w:hAnsi="Verdana" w:cs="Arial"/>
          <w:lang w:val="es-ES" w:eastAsia="es-ES"/>
        </w:rPr>
        <w:t xml:space="preserve">. </w:t>
      </w:r>
    </w:p>
    <w:p w14:paraId="07E034EF" w14:textId="77777777" w:rsidR="0078512F" w:rsidRPr="00FB5FC4" w:rsidRDefault="0078512F" w:rsidP="5378C036">
      <w:pPr>
        <w:spacing w:after="120" w:line="276" w:lineRule="auto"/>
        <w:ind w:firstLine="709"/>
        <w:jc w:val="both"/>
        <w:rPr>
          <w:rFonts w:ascii="Verdana" w:eastAsia="Calibri" w:hAnsi="Verdana" w:cs="Arial"/>
          <w:lang w:val="es-ES"/>
        </w:rPr>
      </w:pPr>
      <w:r w:rsidRPr="5378C036">
        <w:rPr>
          <w:rFonts w:ascii="Verdana" w:eastAsia="Calibri" w:hAnsi="Verdana" w:cs="Arial"/>
          <w:lang w:val="es-ES"/>
        </w:rPr>
        <w:lastRenderedPageBreak/>
        <w:t>Ahora bien, el término de 4 meses previsto en el artículo 11 de la Ley 1150 de 2007, dado su carácter supletivo, solo resulta aplicable ante la ausencia de 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sidRPr="5378C036">
        <w:rPr>
          <w:rFonts w:ascii="Verdana" w:eastAsia="Calibri" w:hAnsi="Verdana" w:cs="Arial"/>
          <w:vertAlign w:val="superscript"/>
          <w:lang w:val="es-ES"/>
        </w:rPr>
        <w:footnoteReference w:id="11"/>
      </w:r>
      <w:r w:rsidRPr="5378C036">
        <w:rPr>
          <w:rFonts w:ascii="Verdana" w:eastAsia="Calibri" w:hAnsi="Verdana" w:cs="Arial"/>
          <w:lang w:val="es-ES"/>
        </w:rPr>
        <w:t>, lo cual implica que las mismas se desarrollen en procura de la economía y la celeridad</w:t>
      </w:r>
      <w:r w:rsidRPr="5378C036">
        <w:rPr>
          <w:rFonts w:ascii="Verdana" w:eastAsia="Calibri" w:hAnsi="Verdana" w:cs="Arial"/>
          <w:vertAlign w:val="superscript"/>
          <w:lang w:val="es-ES"/>
        </w:rPr>
        <w:footnoteReference w:id="12"/>
      </w:r>
      <w:r w:rsidRPr="5378C036">
        <w:rPr>
          <w:rFonts w:ascii="Verdana" w:eastAsia="Calibri" w:hAnsi="Verdana" w:cs="Arial"/>
          <w:lang w:val="es-ES"/>
        </w:rPr>
        <w:t>. Esto significa que, en ejercicio de la facultad que les asiste para fijar el plazo para la liquidación bilateral, las partes deben actuar en garantía de estos principios, por lo que el término que se acuerde debe fijarse de manera razonable.</w:t>
      </w:r>
    </w:p>
    <w:p w14:paraId="3F5B5FAF" w14:textId="77777777" w:rsidR="0078512F" w:rsidRPr="00FB5FC4" w:rsidRDefault="0078512F" w:rsidP="0078512F">
      <w:pPr>
        <w:spacing w:after="120" w:line="276" w:lineRule="auto"/>
        <w:ind w:firstLine="709"/>
        <w:jc w:val="both"/>
        <w:rPr>
          <w:rFonts w:ascii="Verdana" w:eastAsia="Calibri" w:hAnsi="Verdana" w:cs="Arial"/>
          <w:color w:val="000000"/>
          <w:lang w:val="es-ES_tradnl"/>
        </w:rPr>
      </w:pPr>
      <w:r w:rsidRPr="00FB5FC4">
        <w:rPr>
          <w:rFonts w:ascii="Verdana" w:eastAsia="Calibri" w:hAnsi="Verdana" w:cs="Arial"/>
          <w:color w:val="000000"/>
          <w:lang w:val="es-ES_tradnl"/>
        </w:rPr>
        <w:t>Durante este término, el contratista puede solicitar que se adelante el trámite de liquidación. Sin embargo, es responsabilidad de la entidad estatal convocarlo para adelantar la liquidación de común acuerdo o notificarlo para que se presente a realizarla</w:t>
      </w:r>
      <w:r w:rsidRPr="00FB5FC4">
        <w:rPr>
          <w:rFonts w:ascii="Verdana" w:eastAsia="Calibri" w:hAnsi="Verdana" w:cs="Arial"/>
          <w:color w:val="000000"/>
          <w:vertAlign w:val="superscript"/>
          <w:lang w:val="es-ES_tradnl"/>
        </w:rPr>
        <w:footnoteReference w:id="13"/>
      </w:r>
      <w:r w:rsidRPr="00FB5FC4">
        <w:rPr>
          <w:rFonts w:ascii="Verdana" w:eastAsia="Calibri" w:hAnsi="Verdana" w:cs="Arial"/>
          <w:color w:val="000000"/>
          <w:lang w:val="es-ES_tradnl"/>
        </w:rPr>
        <w:t xml:space="preserve">, de manera que el contrato pueda ser liquidado bilateralmente, bien sea en el plazo previsto en el pliego de condiciones, el acordado por las partes, o el supletivo de cuatro meses señalado en la ley, según </w:t>
      </w:r>
      <w:r w:rsidRPr="00FB5FC4">
        <w:rPr>
          <w:rFonts w:ascii="Verdana" w:eastAsia="Calibri" w:hAnsi="Verdana" w:cs="Arial"/>
          <w:color w:val="000000"/>
          <w:lang w:val="es-ES_tradnl"/>
        </w:rPr>
        <w:lastRenderedPageBreak/>
        <w:t>corresponda. Esta liquidación bilateral puede ser total o parcial</w:t>
      </w:r>
      <w:r w:rsidRPr="00FB5FC4">
        <w:rPr>
          <w:rFonts w:ascii="Verdana" w:eastAsia="Calibri" w:hAnsi="Verdana" w:cs="Arial"/>
          <w:iCs/>
          <w:color w:val="000000"/>
          <w:vertAlign w:val="superscript"/>
          <w:lang w:val="es-ES_tradnl"/>
        </w:rPr>
        <w:footnoteReference w:id="14"/>
      </w:r>
      <w:r w:rsidRPr="00FB5FC4">
        <w:rPr>
          <w:rFonts w:ascii="Verdana" w:eastAsia="Calibri" w:hAnsi="Verdana" w:cs="Arial"/>
          <w:color w:val="000000"/>
          <w:lang w:val="es-ES_tradnl"/>
        </w:rPr>
        <w:t xml:space="preserve">, y </w:t>
      </w:r>
      <w:r w:rsidRPr="00FB5FC4">
        <w:rPr>
          <w:rFonts w:ascii="Verdana" w:eastAsia="Calibri" w:hAnsi="Verdana" w:cs="Arial"/>
          <w:iCs/>
          <w:color w:val="000000"/>
          <w:lang w:val="es-ES_tradnl"/>
        </w:rPr>
        <w:t>el documento que la contiene presta mérito ejecutivo, siempre que se satisfagan los elementos para considerarlo como tal</w:t>
      </w:r>
      <w:r w:rsidRPr="00FB5FC4">
        <w:rPr>
          <w:rFonts w:ascii="Verdana" w:eastAsia="Calibri" w:hAnsi="Verdana" w:cs="Arial"/>
          <w:color w:val="000000"/>
          <w:lang w:val="es-ES_tradnl"/>
        </w:rPr>
        <w:t>.</w:t>
      </w:r>
    </w:p>
    <w:p w14:paraId="2F729285" w14:textId="77777777" w:rsidR="0078512F" w:rsidRPr="00FB5FC4" w:rsidRDefault="0078512F" w:rsidP="0078512F">
      <w:pPr>
        <w:spacing w:after="0" w:line="276" w:lineRule="auto"/>
        <w:ind w:firstLine="705"/>
        <w:jc w:val="both"/>
        <w:rPr>
          <w:rFonts w:ascii="Verdana" w:eastAsia="Times New Roman" w:hAnsi="Verdana" w:cs="Arial"/>
          <w:color w:val="000000"/>
          <w:lang w:eastAsia="es-ES_tradnl"/>
        </w:rPr>
      </w:pPr>
      <w:r w:rsidRPr="00FB5FC4">
        <w:rPr>
          <w:rFonts w:ascii="Verdana" w:eastAsia="Times New Roman" w:hAnsi="Verdana" w:cs="Arial"/>
          <w:color w:val="000000"/>
          <w:bdr w:val="none" w:sz="0" w:space="0" w:color="auto" w:frame="1"/>
          <w:shd w:val="clear" w:color="auto" w:fill="FFFFFF"/>
          <w:lang w:val="es-ES" w:eastAsia="es-ES_tradnl"/>
        </w:rPr>
        <w:t xml:space="preserve">Si no es posible efectuar la liquidación de manera bilateral, el ordenamiento jurídico prevé una facultad, de carácter subsidiario, para que la Entidad Estatal realice la liquidación unilateralmente. En relación con este aspecto, la </w:t>
      </w:r>
      <w:r w:rsidRPr="00FB5FC4">
        <w:rPr>
          <w:rFonts w:ascii="Verdana" w:eastAsia="Times New Roman" w:hAnsi="Verdana" w:cs="Arial"/>
          <w:color w:val="000000"/>
          <w:bdr w:val="none" w:sz="0" w:space="0" w:color="auto" w:frame="1"/>
          <w:shd w:val="clear" w:color="auto" w:fill="FFFFFF"/>
          <w:lang w:val="es-MX" w:eastAsia="es-ES_tradnl"/>
        </w:rPr>
        <w:t xml:space="preserve">Sala de Consulta y Servicio Civil del </w:t>
      </w:r>
      <w:r w:rsidRPr="00FB5FC4">
        <w:rPr>
          <w:rFonts w:ascii="Verdana" w:eastAsia="Times New Roman" w:hAnsi="Verdana" w:cs="Arial"/>
          <w:color w:val="000000"/>
          <w:bdr w:val="none" w:sz="0" w:space="0" w:color="auto" w:frame="1"/>
          <w:shd w:val="clear" w:color="auto" w:fill="FFFFFF"/>
          <w:lang w:val="es-ES" w:eastAsia="es-ES_tradnl"/>
        </w:rPr>
        <w:t>Consejo de Estado</w:t>
      </w:r>
      <w:r w:rsidRPr="00FB5FC4">
        <w:rPr>
          <w:rFonts w:ascii="Verdana" w:eastAsia="Times New Roman" w:hAnsi="Verdana" w:cs="Arial"/>
          <w:color w:val="000000"/>
          <w:bdr w:val="none" w:sz="0" w:space="0" w:color="auto" w:frame="1"/>
          <w:shd w:val="clear" w:color="auto" w:fill="FFFFFF"/>
          <w:lang w:val="es-MX" w:eastAsia="es-ES_tradnl"/>
        </w:rPr>
        <w:t>, en concepto del 28 de junio de 2016</w:t>
      </w:r>
      <w:r w:rsidRPr="00FB5FC4">
        <w:rPr>
          <w:rFonts w:ascii="Verdana" w:eastAsia="Times New Roman" w:hAnsi="Verdana" w:cs="Arial"/>
          <w:color w:val="000000"/>
          <w:bdr w:val="none" w:sz="0" w:space="0" w:color="auto" w:frame="1"/>
          <w:shd w:val="clear" w:color="auto" w:fill="FFFFFF"/>
          <w:vertAlign w:val="superscript"/>
          <w:lang w:val="es-MX" w:eastAsia="es-ES_tradnl"/>
        </w:rPr>
        <w:footnoteReference w:id="15"/>
      </w:r>
      <w:r w:rsidRPr="00FB5FC4">
        <w:rPr>
          <w:rFonts w:ascii="Verdana" w:eastAsia="Times New Roman" w:hAnsi="Verdana" w:cs="Arial"/>
          <w:color w:val="000000"/>
          <w:bdr w:val="none" w:sz="0" w:space="0" w:color="auto" w:frame="1"/>
          <w:shd w:val="clear" w:color="auto" w:fill="FFFFFF"/>
          <w:lang w:val="es-MX" w:eastAsia="es-ES_tradnl"/>
        </w:rPr>
        <w:t>, manifestó que:  </w:t>
      </w:r>
    </w:p>
    <w:p w14:paraId="596BB8E7" w14:textId="77777777" w:rsidR="0078512F" w:rsidRPr="00FB5FC4" w:rsidRDefault="0078512F" w:rsidP="0078512F">
      <w:pPr>
        <w:spacing w:after="0" w:line="276" w:lineRule="auto"/>
        <w:ind w:left="705" w:right="750"/>
        <w:jc w:val="both"/>
        <w:rPr>
          <w:rFonts w:ascii="Verdana" w:eastAsia="Times New Roman" w:hAnsi="Verdana" w:cs="Arial"/>
          <w:color w:val="000000"/>
          <w:lang w:eastAsia="es-ES_tradnl"/>
        </w:rPr>
      </w:pPr>
    </w:p>
    <w:p w14:paraId="14A165CA" w14:textId="77777777" w:rsidR="0078512F" w:rsidRPr="004B5D6E" w:rsidRDefault="0078512F" w:rsidP="0078512F">
      <w:pPr>
        <w:spacing w:after="0" w:line="240" w:lineRule="auto"/>
        <w:ind w:left="705" w:right="750"/>
        <w:jc w:val="both"/>
        <w:rPr>
          <w:rFonts w:ascii="Verdana" w:eastAsia="Times New Roman" w:hAnsi="Verdana" w:cs="Arial"/>
          <w:color w:val="000000"/>
          <w:sz w:val="21"/>
          <w:szCs w:val="21"/>
          <w:lang w:eastAsia="es-ES_tradnl"/>
        </w:rPr>
      </w:pPr>
      <w:r w:rsidRPr="004B5D6E">
        <w:rPr>
          <w:rFonts w:ascii="Verdana" w:eastAsia="Times New Roman" w:hAnsi="Verdana" w:cs="Arial"/>
          <w:i/>
          <w:iCs/>
          <w:sz w:val="21"/>
          <w:szCs w:val="21"/>
          <w:lang w:val="es-ES_tradnl" w:eastAsia="es-ES_tradnl"/>
        </w:rPr>
        <w:t>“</w:t>
      </w:r>
      <w:r w:rsidRPr="004B5D6E">
        <w:rPr>
          <w:rFonts w:ascii="Verdana" w:eastAsia="Calibri" w:hAnsi="Verdana" w:cs="Arial"/>
          <w:color w:val="000000"/>
          <w:sz w:val="21"/>
          <w:szCs w:val="21"/>
          <w:lang w:val="es-ES" w:eastAsia="es-ES_tradnl"/>
        </w:rPr>
        <w:t>[</w:t>
      </w:r>
      <w:r w:rsidRPr="004B5D6E">
        <w:rPr>
          <w:rFonts w:ascii="Verdana" w:eastAsia="Times New Roman" w:hAnsi="Verdana" w:cs="Arial"/>
          <w:color w:val="000000"/>
          <w:sz w:val="21"/>
          <w:szCs w:val="21"/>
          <w:bdr w:val="none" w:sz="0" w:space="0" w:color="auto" w:frame="1"/>
          <w:shd w:val="clear" w:color="auto" w:fill="FFFFFF"/>
          <w:lang w:eastAsia="es-ES_tradnl"/>
        </w:rPr>
        <w:t>…]</w:t>
      </w:r>
      <w:r w:rsidRPr="004B5D6E">
        <w:rPr>
          <w:rFonts w:ascii="Verdana" w:eastAsia="Times New Roman" w:hAnsi="Verdana" w:cs="Arial"/>
          <w:color w:val="000000"/>
          <w:sz w:val="21"/>
          <w:szCs w:val="21"/>
          <w:bdr w:val="none" w:sz="0" w:space="0" w:color="auto" w:frame="1"/>
          <w:shd w:val="clear" w:color="auto" w:fill="FFFFFF"/>
          <w:lang w:val="es-ES" w:eastAsia="es-ES_tradnl"/>
        </w:rPr>
        <w:t>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Pr>
          <w:rFonts w:ascii="Verdana" w:eastAsia="Times New Roman" w:hAnsi="Verdana" w:cs="Arial"/>
          <w:color w:val="000000"/>
          <w:sz w:val="21"/>
          <w:szCs w:val="21"/>
          <w:bdr w:val="none" w:sz="0" w:space="0" w:color="auto" w:frame="1"/>
          <w:shd w:val="clear" w:color="auto" w:fill="FFFFFF"/>
          <w:lang w:val="es-ES" w:eastAsia="es-ES_tradnl"/>
        </w:rPr>
        <w:t>”</w:t>
      </w:r>
      <w:r w:rsidRPr="004B5D6E">
        <w:rPr>
          <w:rFonts w:ascii="Verdana" w:eastAsia="Times New Roman" w:hAnsi="Verdana" w:cs="Arial"/>
          <w:color w:val="000000"/>
          <w:sz w:val="21"/>
          <w:szCs w:val="21"/>
          <w:bdr w:val="none" w:sz="0" w:space="0" w:color="auto" w:frame="1"/>
          <w:shd w:val="clear" w:color="auto" w:fill="FFFFFF"/>
          <w:lang w:val="es-ES" w:eastAsia="es-ES_tradnl"/>
        </w:rPr>
        <w:t>. </w:t>
      </w:r>
      <w:r w:rsidRPr="004B5D6E">
        <w:rPr>
          <w:rFonts w:ascii="Verdana" w:eastAsia="Times New Roman" w:hAnsi="Verdana" w:cs="Arial"/>
          <w:color w:val="000000"/>
          <w:sz w:val="21"/>
          <w:szCs w:val="21"/>
          <w:bdr w:val="none" w:sz="0" w:space="0" w:color="auto" w:frame="1"/>
          <w:shd w:val="clear" w:color="auto" w:fill="FFFFFF"/>
          <w:lang w:eastAsia="es-ES_tradnl"/>
        </w:rPr>
        <w:t>  </w:t>
      </w:r>
    </w:p>
    <w:p w14:paraId="0ECAB121" w14:textId="77777777" w:rsidR="0078512F" w:rsidRPr="00FB5FC4" w:rsidRDefault="0078512F" w:rsidP="0078512F">
      <w:pPr>
        <w:spacing w:after="0" w:line="276" w:lineRule="auto"/>
        <w:ind w:left="705" w:right="750"/>
        <w:jc w:val="both"/>
        <w:rPr>
          <w:rFonts w:ascii="Verdana" w:eastAsia="Times New Roman" w:hAnsi="Verdana" w:cs="Arial"/>
          <w:color w:val="000000"/>
          <w:lang w:eastAsia="es-ES_tradnl"/>
        </w:rPr>
      </w:pPr>
    </w:p>
    <w:p w14:paraId="10FA020D" w14:textId="77777777" w:rsidR="0078512F" w:rsidRPr="00FB5FC4" w:rsidRDefault="0078512F" w:rsidP="0078512F">
      <w:pPr>
        <w:spacing w:after="120" w:line="276" w:lineRule="auto"/>
        <w:ind w:firstLine="705"/>
        <w:jc w:val="both"/>
        <w:rPr>
          <w:rFonts w:ascii="Verdana" w:eastAsia="Times New Roman" w:hAnsi="Verdana" w:cs="Arial"/>
          <w:color w:val="000000"/>
          <w:lang w:eastAsia="es-ES_tradnl"/>
        </w:rPr>
      </w:pPr>
      <w:bookmarkStart w:id="11" w:name="_Hlk141851266"/>
      <w:r w:rsidRPr="00FB5FC4">
        <w:rPr>
          <w:rFonts w:ascii="Verdana" w:eastAsia="Times New Roman" w:hAnsi="Verdana" w:cs="Arial"/>
          <w:color w:val="000000"/>
          <w:bdr w:val="none" w:sz="0" w:space="0" w:color="auto" w:frame="1"/>
          <w:shd w:val="clear" w:color="auto" w:fill="FFFFFF"/>
          <w:lang w:val="es-ES" w:eastAsia="es-ES_tradnl"/>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p>
    <w:p w14:paraId="622D7600" w14:textId="77777777" w:rsidR="0078512F" w:rsidRPr="00FB5FC4" w:rsidRDefault="0078512F" w:rsidP="0078512F">
      <w:pPr>
        <w:spacing w:after="0" w:line="276" w:lineRule="auto"/>
        <w:ind w:firstLine="705"/>
        <w:jc w:val="both"/>
        <w:rPr>
          <w:rFonts w:ascii="Verdana" w:eastAsia="Times New Roman" w:hAnsi="Verdana" w:cs="Arial"/>
          <w:color w:val="000000"/>
          <w:bdr w:val="none" w:sz="0" w:space="0" w:color="auto" w:frame="1"/>
          <w:shd w:val="clear" w:color="auto" w:fill="FFFFFF"/>
          <w:lang w:eastAsia="es-ES_tradnl"/>
        </w:rPr>
      </w:pPr>
      <w:r w:rsidRPr="00FB5FC4">
        <w:rPr>
          <w:rFonts w:ascii="Verdana" w:eastAsia="Times New Roman" w:hAnsi="Verdana" w:cs="Arial"/>
          <w:color w:val="000000"/>
          <w:bdr w:val="none" w:sz="0" w:space="0" w:color="auto" w:frame="1"/>
          <w:shd w:val="clear" w:color="auto" w:fill="FFFFFF"/>
          <w:lang w:val="es-ES" w:eastAsia="es-ES_tradnl"/>
        </w:rPr>
        <w:t xml:space="preserve">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el interesado. </w:t>
      </w:r>
      <w:bookmarkEnd w:id="11"/>
      <w:r w:rsidRPr="00FB5FC4">
        <w:rPr>
          <w:rFonts w:ascii="Verdana" w:eastAsia="Times New Roman" w:hAnsi="Verdana" w:cs="Arial"/>
          <w:color w:val="000000"/>
          <w:bdr w:val="none" w:sz="0" w:space="0" w:color="auto" w:frame="1"/>
          <w:shd w:val="clear" w:color="auto" w:fill="FFFFFF"/>
          <w:lang w:val="es-ES" w:eastAsia="es-ES_tradnl"/>
        </w:rPr>
        <w:t xml:space="preserve">En este sentido, en decisión de unificación de la </w:t>
      </w:r>
      <w:r w:rsidRPr="00FB5FC4">
        <w:rPr>
          <w:rFonts w:ascii="Verdana" w:eastAsia="Times New Roman" w:hAnsi="Verdana" w:cs="Arial"/>
          <w:color w:val="000000"/>
          <w:bdr w:val="none" w:sz="0" w:space="0" w:color="auto" w:frame="1"/>
          <w:shd w:val="clear" w:color="auto" w:fill="FFFFFF"/>
          <w:lang w:val="es-MX" w:eastAsia="es-ES_tradnl"/>
        </w:rPr>
        <w:t>Sección Tercera</w:t>
      </w:r>
      <w:r w:rsidRPr="00FB5FC4">
        <w:rPr>
          <w:rFonts w:ascii="Verdana" w:eastAsia="Times New Roman" w:hAnsi="Verdana" w:cs="Arial"/>
          <w:color w:val="000000"/>
          <w:bdr w:val="none" w:sz="0" w:space="0" w:color="auto" w:frame="1"/>
          <w:shd w:val="clear" w:color="auto" w:fill="FFFFFF"/>
          <w:lang w:val="es-ES" w:eastAsia="es-ES_tradnl"/>
        </w:rPr>
        <w:t xml:space="preserve"> del Consejo de Estado del</w:t>
      </w:r>
      <w:r w:rsidRPr="00FB5FC4">
        <w:rPr>
          <w:rFonts w:ascii="Verdana" w:eastAsia="Times New Roman" w:hAnsi="Verdana" w:cs="Arial"/>
          <w:color w:val="000000"/>
          <w:bdr w:val="none" w:sz="0" w:space="0" w:color="auto" w:frame="1"/>
          <w:shd w:val="clear" w:color="auto" w:fill="FFFFFF"/>
          <w:lang w:val="es-MX" w:eastAsia="es-ES_tradnl"/>
        </w:rPr>
        <w:t> </w:t>
      </w:r>
      <w:r w:rsidRPr="00FB5FC4">
        <w:rPr>
          <w:rFonts w:ascii="Verdana" w:eastAsia="Times New Roman" w:hAnsi="Verdana" w:cs="Arial"/>
          <w:color w:val="000000"/>
          <w:bdr w:val="none" w:sz="0" w:space="0" w:color="auto" w:frame="1"/>
          <w:shd w:val="clear" w:color="auto" w:fill="FFFFFF"/>
          <w:lang w:eastAsia="es-ES_tradnl"/>
        </w:rPr>
        <w:t>1 de agosto de 2019, se expresó: </w:t>
      </w:r>
    </w:p>
    <w:p w14:paraId="0514D092" w14:textId="77777777" w:rsidR="0078512F" w:rsidRPr="00FB5FC4" w:rsidRDefault="0078512F" w:rsidP="0078512F">
      <w:pPr>
        <w:spacing w:after="0" w:line="276" w:lineRule="auto"/>
        <w:ind w:firstLine="705"/>
        <w:jc w:val="both"/>
        <w:rPr>
          <w:rFonts w:ascii="Verdana" w:eastAsia="Times New Roman" w:hAnsi="Verdana" w:cs="Arial"/>
          <w:color w:val="000000"/>
          <w:lang w:eastAsia="es-ES_tradnl"/>
        </w:rPr>
      </w:pPr>
    </w:p>
    <w:p w14:paraId="0A921A1A" w14:textId="77777777" w:rsidR="0078512F" w:rsidRPr="004B5D6E" w:rsidRDefault="0078512F" w:rsidP="0078512F">
      <w:pPr>
        <w:spacing w:after="0" w:line="240" w:lineRule="auto"/>
        <w:ind w:left="705" w:right="750"/>
        <w:jc w:val="both"/>
        <w:rPr>
          <w:rFonts w:ascii="Verdana" w:eastAsia="Times New Roman" w:hAnsi="Verdana" w:cs="Arial"/>
          <w:color w:val="000000"/>
          <w:sz w:val="21"/>
          <w:szCs w:val="21"/>
          <w:lang w:eastAsia="es-ES_tradnl"/>
        </w:rPr>
      </w:pPr>
      <w:r w:rsidRPr="004B5D6E">
        <w:rPr>
          <w:rFonts w:ascii="Verdana" w:eastAsia="Times New Roman" w:hAnsi="Verdana" w:cs="Arial"/>
          <w:sz w:val="21"/>
          <w:szCs w:val="21"/>
          <w:lang w:val="es-ES_tradnl" w:eastAsia="es-ES_tradnl"/>
        </w:rPr>
        <w:t>“</w:t>
      </w:r>
      <w:r w:rsidRPr="004B5D6E">
        <w:rPr>
          <w:rFonts w:ascii="Verdana" w:eastAsia="Times New Roman" w:hAnsi="Verdana" w:cs="Arial"/>
          <w:color w:val="000000"/>
          <w:sz w:val="21"/>
          <w:szCs w:val="21"/>
          <w:bdr w:val="none" w:sz="0" w:space="0" w:color="auto" w:frame="1"/>
          <w:shd w:val="clear" w:color="auto" w:fill="FFFFFF"/>
          <w:lang w:val="es-ES" w:eastAsia="es-ES_tradnl"/>
        </w:rPr>
        <w:t>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sidRPr="004B5D6E">
        <w:rPr>
          <w:rFonts w:ascii="Verdana" w:eastAsia="Times New Roman" w:hAnsi="Verdana" w:cs="Arial"/>
          <w:color w:val="000000"/>
          <w:sz w:val="21"/>
          <w:szCs w:val="21"/>
          <w:bdr w:val="none" w:sz="0" w:space="0" w:color="auto" w:frame="1"/>
          <w:shd w:val="clear" w:color="auto" w:fill="FFFFFF"/>
          <w:lang w:val="es-ES" w:eastAsia="es-ES_tradnl"/>
        </w:rPr>
        <w:t>liquidatorio</w:t>
      </w:r>
      <w:proofErr w:type="spellEnd"/>
      <w:r w:rsidRPr="004B5D6E">
        <w:rPr>
          <w:rFonts w:ascii="Verdana" w:eastAsia="Times New Roman" w:hAnsi="Verdana" w:cs="Arial"/>
          <w:color w:val="000000"/>
          <w:sz w:val="21"/>
          <w:szCs w:val="21"/>
          <w:bdr w:val="none" w:sz="0" w:space="0" w:color="auto" w:frame="1"/>
          <w:shd w:val="clear" w:color="auto" w:fill="FFFFFF"/>
          <w:lang w:val="es-ES" w:eastAsia="es-ES_tradnl"/>
        </w:rPr>
        <w:t> se logre dentro del lapso de dos años contados a partir del vencimiento del término legalmente conocido para la liquidación unilateral, pues ese es el lapso que el ordenamiento ha fijado para el ejercicio oportuno de la acción</w:t>
      </w:r>
      <w:r w:rsidRPr="004B5D6E">
        <w:rPr>
          <w:rFonts w:ascii="Verdana" w:eastAsia="Times New Roman" w:hAnsi="Verdana" w:cs="Arial"/>
          <w:sz w:val="21"/>
          <w:szCs w:val="21"/>
          <w:lang w:val="es-ES_tradnl" w:eastAsia="es-ES_tradnl"/>
        </w:rPr>
        <w:t>”</w:t>
      </w:r>
      <w:r w:rsidRPr="004B5D6E">
        <w:rPr>
          <w:rFonts w:ascii="Verdana" w:eastAsia="Times New Roman" w:hAnsi="Verdana" w:cs="Arial"/>
          <w:color w:val="000000"/>
          <w:bdr w:val="none" w:sz="0" w:space="0" w:color="auto" w:frame="1"/>
          <w:shd w:val="clear" w:color="auto" w:fill="FFFFFF"/>
          <w:vertAlign w:val="superscript"/>
          <w:lang w:eastAsia="es-ES_tradnl"/>
        </w:rPr>
        <w:t xml:space="preserve"> </w:t>
      </w:r>
      <w:r w:rsidRPr="004B5D6E">
        <w:rPr>
          <w:rFonts w:ascii="Verdana" w:eastAsia="Times New Roman" w:hAnsi="Verdana" w:cs="Arial"/>
          <w:color w:val="000000"/>
          <w:bdr w:val="none" w:sz="0" w:space="0" w:color="auto" w:frame="1"/>
          <w:shd w:val="clear" w:color="auto" w:fill="FFFFFF"/>
          <w:vertAlign w:val="superscript"/>
          <w:lang w:eastAsia="es-ES_tradnl"/>
        </w:rPr>
        <w:footnoteReference w:id="16"/>
      </w:r>
      <w:r w:rsidRPr="004B5D6E">
        <w:rPr>
          <w:rFonts w:ascii="Verdana" w:eastAsia="Times New Roman" w:hAnsi="Verdana" w:cs="Arial"/>
          <w:sz w:val="21"/>
          <w:szCs w:val="21"/>
          <w:lang w:val="es-ES_tradnl" w:eastAsia="es-ES_tradnl"/>
        </w:rPr>
        <w:t>.</w:t>
      </w:r>
      <w:r w:rsidRPr="004B5D6E">
        <w:rPr>
          <w:rFonts w:ascii="Verdana" w:eastAsia="Times New Roman" w:hAnsi="Verdana" w:cs="Arial"/>
          <w:color w:val="000000"/>
          <w:sz w:val="21"/>
          <w:szCs w:val="21"/>
          <w:bdr w:val="none" w:sz="0" w:space="0" w:color="auto" w:frame="1"/>
          <w:shd w:val="clear" w:color="auto" w:fill="FFFFFF"/>
          <w:lang w:val="es-ES" w:eastAsia="es-ES_tradnl"/>
        </w:rPr>
        <w:t> </w:t>
      </w:r>
    </w:p>
    <w:p w14:paraId="22001F9A" w14:textId="77777777" w:rsidR="0078512F" w:rsidRPr="00FB5FC4" w:rsidRDefault="0078512F" w:rsidP="0078512F">
      <w:pPr>
        <w:spacing w:after="0" w:line="276" w:lineRule="auto"/>
        <w:ind w:firstLine="708"/>
        <w:jc w:val="both"/>
        <w:rPr>
          <w:rFonts w:ascii="Verdana" w:eastAsia="Times New Roman" w:hAnsi="Verdana" w:cs="Arial"/>
          <w:color w:val="000000"/>
          <w:lang w:eastAsia="es-ES_tradnl"/>
        </w:rPr>
      </w:pPr>
    </w:p>
    <w:p w14:paraId="79C92DB6" w14:textId="77777777" w:rsidR="0078512F" w:rsidRDefault="0078512F" w:rsidP="0078512F">
      <w:pPr>
        <w:spacing w:after="120" w:line="276" w:lineRule="auto"/>
        <w:ind w:firstLine="703"/>
        <w:jc w:val="both"/>
        <w:rPr>
          <w:rFonts w:ascii="Verdana" w:eastAsia="Times New Roman" w:hAnsi="Verdana" w:cs="Arial"/>
          <w:color w:val="000000"/>
          <w:bdr w:val="none" w:sz="0" w:space="0" w:color="auto" w:frame="1"/>
          <w:shd w:val="clear" w:color="auto" w:fill="FFFFFF"/>
          <w:lang w:eastAsia="es-ES_tradnl"/>
        </w:rPr>
      </w:pPr>
      <w:r w:rsidRPr="00FB5FC4">
        <w:rPr>
          <w:rFonts w:ascii="Verdana" w:eastAsia="Times New Roman" w:hAnsi="Verdana" w:cs="Arial"/>
          <w:color w:val="000000"/>
          <w:bdr w:val="none" w:sz="0" w:space="0" w:color="auto" w:frame="1"/>
          <w:shd w:val="clear" w:color="auto" w:fill="FFFFFF"/>
          <w:lang w:eastAsia="es-ES_tradnl"/>
        </w:rPr>
        <w:t>A su turno</w:t>
      </w:r>
      <w:r>
        <w:rPr>
          <w:rFonts w:ascii="Verdana" w:eastAsia="Times New Roman" w:hAnsi="Verdana" w:cs="Arial"/>
          <w:color w:val="000000"/>
          <w:bdr w:val="none" w:sz="0" w:space="0" w:color="auto" w:frame="1"/>
          <w:shd w:val="clear" w:color="auto" w:fill="FFFFFF"/>
          <w:lang w:eastAsia="es-ES_tradnl"/>
        </w:rPr>
        <w:t xml:space="preserve">, la liquidación judicial hace parte de una de las pretensiones que admite el medio de control de controversias contractuales. Al respecto, el artículo 141 de la Ley 1437 de 2011 dispone que “[…] </w:t>
      </w:r>
      <w:r w:rsidRPr="00F915F3">
        <w:rPr>
          <w:rFonts w:ascii="Verdana" w:eastAsia="Times New Roman" w:hAnsi="Verdana" w:cs="Arial"/>
          <w:color w:val="000000"/>
          <w:bdr w:val="none" w:sz="0" w:space="0" w:color="auto" w:frame="1"/>
          <w:shd w:val="clear" w:color="auto" w:fill="FFFFFF"/>
          <w:lang w:eastAsia="es-ES_tradnl"/>
        </w:rPr>
        <w:t xml:space="preserve">el interesado podrá </w:t>
      </w:r>
      <w:bookmarkStart w:id="12" w:name="_Hlk172560769"/>
      <w:r w:rsidRPr="00F915F3">
        <w:rPr>
          <w:rFonts w:ascii="Verdana" w:eastAsia="Times New Roman" w:hAnsi="Verdana" w:cs="Arial"/>
          <w:color w:val="000000"/>
          <w:bdr w:val="none" w:sz="0" w:space="0" w:color="auto" w:frame="1"/>
          <w:shd w:val="clear" w:color="auto" w:fill="FFFFFF"/>
          <w:lang w:eastAsia="es-ES_tradnl"/>
        </w:rPr>
        <w:t>solicitar la liquidación judicial</w:t>
      </w:r>
      <w:bookmarkEnd w:id="12"/>
      <w:r w:rsidRPr="00F915F3">
        <w:rPr>
          <w:rFonts w:ascii="Verdana" w:eastAsia="Times New Roman" w:hAnsi="Verdana" w:cs="Arial"/>
          <w:color w:val="000000"/>
          <w:bdr w:val="none" w:sz="0" w:space="0" w:color="auto" w:frame="1"/>
          <w:shd w:val="clear" w:color="auto" w:fill="FFFFFF"/>
          <w:lang w:eastAsia="es-ES_tradnl"/>
        </w:rPr>
        <w:t xml:space="preserve"> del contrato cuando esta no se haya logrado de mutuo acuerdo y la entidad estatal no lo haya liquidado unilateralmente dentro de los dos (2) meses siguientes al vencimiento del plazo convenido para liquidar de mutuo acuerdo o, en su defecto, del término establecido por la ley</w:t>
      </w:r>
      <w:r>
        <w:rPr>
          <w:rFonts w:ascii="Verdana" w:eastAsia="Times New Roman" w:hAnsi="Verdana" w:cs="Arial"/>
          <w:color w:val="000000"/>
          <w:bdr w:val="none" w:sz="0" w:space="0" w:color="auto" w:frame="1"/>
          <w:shd w:val="clear" w:color="auto" w:fill="FFFFFF"/>
          <w:lang w:eastAsia="es-ES_tradnl"/>
        </w:rPr>
        <w:t>”</w:t>
      </w:r>
      <w:r w:rsidRPr="00F915F3">
        <w:rPr>
          <w:rFonts w:ascii="Verdana" w:eastAsia="Times New Roman" w:hAnsi="Verdana" w:cs="Arial"/>
          <w:color w:val="000000"/>
          <w:bdr w:val="none" w:sz="0" w:space="0" w:color="auto" w:frame="1"/>
          <w:shd w:val="clear" w:color="auto" w:fill="FFFFFF"/>
          <w:lang w:eastAsia="es-ES_tradnl"/>
        </w:rPr>
        <w:t>.</w:t>
      </w:r>
      <w:r>
        <w:rPr>
          <w:rFonts w:ascii="Verdana" w:eastAsia="Times New Roman" w:hAnsi="Verdana" w:cs="Arial"/>
          <w:color w:val="000000"/>
          <w:bdr w:val="none" w:sz="0" w:space="0" w:color="auto" w:frame="1"/>
          <w:shd w:val="clear" w:color="auto" w:fill="FFFFFF"/>
          <w:lang w:eastAsia="es-ES_tradnl"/>
        </w:rPr>
        <w:t xml:space="preserve"> Bajo esta perspectiva, para la entidad cesa la facultad de liquidar bilateral o unilateralmente, ya que el tema pasa de la administración a la jurisdicción. Dentro de este marco, el problema consiste en determinar si la pérdida de competencia se sujeta a la presentación de la demanda que pretende la liquidación judicial o si depende de su admisión correspondiente. </w:t>
      </w:r>
    </w:p>
    <w:p w14:paraId="35EB85FF" w14:textId="5FAFEB7B" w:rsidR="0078512F" w:rsidRDefault="0078512F" w:rsidP="0078512F">
      <w:pPr>
        <w:spacing w:after="120" w:line="276" w:lineRule="auto"/>
        <w:ind w:firstLine="703"/>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El problema no ha admitido una solución uniforme. Por ejemplo, durante la vigencia del CCA, la jurisprudencia sostuvo que “</w:t>
      </w:r>
      <w:r w:rsidRPr="007467E4">
        <w:rPr>
          <w:rFonts w:ascii="Verdana" w:hAnsi="Verdana" w:cs="Arial"/>
          <w:szCs w:val="24"/>
        </w:rPr>
        <w:t xml:space="preserve">Si el contratista </w:t>
      </w:r>
      <w:r w:rsidRPr="004E1FE4">
        <w:rPr>
          <w:rFonts w:ascii="Verdana" w:hAnsi="Verdana" w:cs="Arial"/>
          <w:bCs/>
          <w:szCs w:val="24"/>
        </w:rPr>
        <w:t>no acude al juez</w:t>
      </w:r>
      <w:r w:rsidRPr="007467E4">
        <w:rPr>
          <w:rFonts w:ascii="Verdana" w:hAnsi="Verdana" w:cs="Arial"/>
          <w:szCs w:val="24"/>
        </w:rPr>
        <w:t xml:space="preserve"> a solicitar la liquidación judicial, la Administración podrá liquidar hasta el día anterior a que transcurran, según el caso, </w:t>
      </w:r>
      <w:r w:rsidRPr="004E1FE4">
        <w:rPr>
          <w:rFonts w:ascii="Verdana" w:hAnsi="Verdana" w:cs="Arial"/>
          <w:bCs/>
          <w:szCs w:val="24"/>
        </w:rPr>
        <w:t>veinte años</w:t>
      </w:r>
      <w:r w:rsidRPr="007467E4">
        <w:rPr>
          <w:rFonts w:ascii="Verdana" w:hAnsi="Verdana" w:cs="Arial"/>
          <w:szCs w:val="24"/>
        </w:rPr>
        <w:t xml:space="preserve"> - para conductas ocurridas antes de entrar a regir el decreto ley 01 de 1984 -  </w:t>
      </w:r>
      <w:r w:rsidRPr="004E1FE4">
        <w:rPr>
          <w:rFonts w:ascii="Verdana" w:hAnsi="Verdana" w:cs="Arial"/>
          <w:bCs/>
          <w:szCs w:val="24"/>
        </w:rPr>
        <w:t>y dos años</w:t>
      </w:r>
      <w:r w:rsidRPr="007467E4">
        <w:rPr>
          <w:rFonts w:ascii="Verdana" w:hAnsi="Verdana" w:cs="Arial"/>
          <w:szCs w:val="24"/>
        </w:rPr>
        <w:t xml:space="preserve"> - para conductas ocurridas después de entrar a regir el decreto ley 01 de 1984 - contados a partir del incumplimiento de la obligación de liquidar</w:t>
      </w:r>
      <w:r>
        <w:rPr>
          <w:rFonts w:ascii="Verdana" w:hAnsi="Verdana" w:cs="Arial"/>
          <w:szCs w:val="24"/>
        </w:rPr>
        <w:t xml:space="preserve">” (Énfasis dentro del texto). Sin embargo, criterio que también se reiteró posteriormente en la Sentencia del 2 de mayo de 2002, rad. 20472, con ponencia del Consejero </w:t>
      </w:r>
      <w:r w:rsidRPr="008B3627">
        <w:rPr>
          <w:rFonts w:ascii="Verdana" w:hAnsi="Verdana" w:cs="Arial"/>
          <w:szCs w:val="24"/>
        </w:rPr>
        <w:t>Germán Rodríguez Villamizar</w:t>
      </w:r>
      <w:r>
        <w:rPr>
          <w:rFonts w:ascii="Verdana" w:hAnsi="Verdana" w:cs="Arial"/>
          <w:szCs w:val="24"/>
        </w:rPr>
        <w:t>, a reglón seguido señala que “</w:t>
      </w:r>
      <w:r w:rsidRPr="007467E4">
        <w:rPr>
          <w:rFonts w:ascii="Verdana" w:hAnsi="Verdana" w:cs="Arial"/>
          <w:szCs w:val="24"/>
        </w:rPr>
        <w:t xml:space="preserve">Si el contratista </w:t>
      </w:r>
      <w:r w:rsidRPr="004E1FE4">
        <w:rPr>
          <w:rFonts w:ascii="Verdana" w:hAnsi="Verdana" w:cs="Arial"/>
          <w:bCs/>
          <w:szCs w:val="24"/>
        </w:rPr>
        <w:t>acude al juez</w:t>
      </w:r>
      <w:r w:rsidRPr="007467E4">
        <w:rPr>
          <w:rFonts w:ascii="Verdana" w:hAnsi="Verdana" w:cs="Arial"/>
          <w:szCs w:val="24"/>
        </w:rPr>
        <w:t xml:space="preserve">, la Administración podrá liquidar unilateralmente hasta el día anterior al que le sea notificado el auto admisorio de la demanda, siempre y </w:t>
      </w:r>
      <w:r w:rsidRPr="007467E4">
        <w:rPr>
          <w:rFonts w:ascii="Verdana" w:hAnsi="Verdana" w:cs="Arial"/>
          <w:szCs w:val="24"/>
        </w:rPr>
        <w:lastRenderedPageBreak/>
        <w:t xml:space="preserve">cuando no hayan transcurrido antes de la notificación, según el caso - antes o después de la entrada en vigencia del decreto ley 01 de 1984 -, los veinte o los dos años, contados a partir del incumplimiento administrativo de la obligación de liquidar </w:t>
      </w:r>
      <w:r w:rsidR="00CB330A" w:rsidRPr="007467E4">
        <w:rPr>
          <w:rFonts w:ascii="Verdana" w:hAnsi="Verdana" w:cs="Arial"/>
          <w:szCs w:val="24"/>
        </w:rPr>
        <w:t>unilateralmente</w:t>
      </w:r>
      <w:r>
        <w:rPr>
          <w:rFonts w:ascii="Verdana" w:hAnsi="Verdana" w:cs="Arial"/>
          <w:szCs w:val="24"/>
        </w:rPr>
        <w:t>”</w:t>
      </w:r>
      <w:r>
        <w:rPr>
          <w:rStyle w:val="Refdenotaalpie"/>
          <w:rFonts w:ascii="Verdana" w:hAnsi="Verdana" w:cs="Arial"/>
          <w:szCs w:val="24"/>
        </w:rPr>
        <w:footnoteReference w:id="17"/>
      </w:r>
      <w:r>
        <w:rPr>
          <w:rFonts w:ascii="Verdana" w:hAnsi="Verdana" w:cs="Arial"/>
          <w:szCs w:val="24"/>
        </w:rPr>
        <w:t xml:space="preserve"> (Énfasis dentro del texto)</w:t>
      </w:r>
      <w:r w:rsidRPr="007467E4">
        <w:rPr>
          <w:rFonts w:ascii="Verdana" w:hAnsi="Verdana" w:cs="Arial"/>
          <w:szCs w:val="24"/>
        </w:rPr>
        <w:t xml:space="preserve">. </w:t>
      </w:r>
      <w:r w:rsidRPr="007467E4">
        <w:rPr>
          <w:rFonts w:ascii="Verdana" w:eastAsia="Times New Roman" w:hAnsi="Verdana" w:cs="Arial"/>
          <w:color w:val="000000"/>
          <w:bdr w:val="none" w:sz="0" w:space="0" w:color="auto" w:frame="1"/>
          <w:shd w:val="clear" w:color="auto" w:fill="FFFFFF"/>
          <w:lang w:eastAsia="es-ES_tradnl"/>
        </w:rPr>
        <w:t xml:space="preserve"> </w:t>
      </w:r>
    </w:p>
    <w:p w14:paraId="27804A40" w14:textId="77777777" w:rsidR="0078512F" w:rsidRDefault="0078512F" w:rsidP="0078512F">
      <w:pPr>
        <w:spacing w:after="120" w:line="276" w:lineRule="auto"/>
        <w:ind w:firstLine="703"/>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 xml:space="preserve">Dicha postura se sostuvo en la Sentencia del 29 de abril de 2015, rad. 27712, con ponencia de la Consejera </w:t>
      </w:r>
      <w:r w:rsidRPr="0055211C">
        <w:rPr>
          <w:rFonts w:ascii="Verdana" w:eastAsia="Times New Roman" w:hAnsi="Verdana" w:cs="Arial"/>
          <w:color w:val="000000"/>
          <w:bdr w:val="none" w:sz="0" w:space="0" w:color="auto" w:frame="1"/>
          <w:shd w:val="clear" w:color="auto" w:fill="FFFFFF"/>
          <w:lang w:eastAsia="es-ES_tradnl"/>
        </w:rPr>
        <w:t>Stella Conto Diaz Del Castillo</w:t>
      </w:r>
      <w:r>
        <w:rPr>
          <w:rFonts w:ascii="Verdana" w:eastAsia="Times New Roman" w:hAnsi="Verdana" w:cs="Arial"/>
          <w:color w:val="000000"/>
          <w:bdr w:val="none" w:sz="0" w:space="0" w:color="auto" w:frame="1"/>
          <w:shd w:val="clear" w:color="auto" w:fill="FFFFFF"/>
          <w:lang w:eastAsia="es-ES_tradnl"/>
        </w:rPr>
        <w:t xml:space="preserve">. En el 2016, la Sección Tercera también consideró que “[…] </w:t>
      </w:r>
      <w:r w:rsidRPr="00485702">
        <w:rPr>
          <w:rFonts w:ascii="Verdana" w:eastAsia="Times New Roman" w:hAnsi="Verdana" w:cs="Arial"/>
          <w:color w:val="000000"/>
          <w:bdr w:val="none" w:sz="0" w:space="0" w:color="auto" w:frame="1"/>
          <w:shd w:val="clear" w:color="auto" w:fill="FFFFFF"/>
          <w:lang w:eastAsia="es-ES_tradnl"/>
        </w:rPr>
        <w:t xml:space="preserve">si la pretensión principal es que el juez liquide el convenio, es porque el negocio jurídico no ha sido liquidado hasta antes de que se trabe litis, es decir, </w:t>
      </w:r>
      <w:r w:rsidRPr="0096562A">
        <w:rPr>
          <w:rFonts w:ascii="Verdana" w:eastAsia="Times New Roman" w:hAnsi="Verdana" w:cs="Arial"/>
          <w:i/>
          <w:iCs/>
          <w:color w:val="000000"/>
          <w:bdr w:val="none" w:sz="0" w:space="0" w:color="auto" w:frame="1"/>
          <w:shd w:val="clear" w:color="auto" w:fill="FFFFFF"/>
          <w:lang w:eastAsia="es-ES_tradnl"/>
        </w:rPr>
        <w:t>hasta antes de que se notifique el auto admisorio de la demanda al extremo pasivo del proceso</w:t>
      </w:r>
      <w:r w:rsidRPr="00485702">
        <w:rPr>
          <w:rFonts w:ascii="Verdana" w:eastAsia="Times New Roman" w:hAnsi="Verdana" w:cs="Arial"/>
          <w:color w:val="000000"/>
          <w:bdr w:val="none" w:sz="0" w:space="0" w:color="auto" w:frame="1"/>
          <w:shd w:val="clear" w:color="auto" w:fill="FFFFFF"/>
          <w:lang w:eastAsia="es-ES_tradnl"/>
        </w:rPr>
        <w:t>, bien sea porque las partes no lograron liquidarlo de mutuo acuerdo o porque la administración no lo liquidó unilateralmente</w:t>
      </w:r>
      <w:r>
        <w:rPr>
          <w:rFonts w:ascii="Verdana" w:eastAsia="Times New Roman" w:hAnsi="Verdana" w:cs="Arial"/>
          <w:color w:val="000000"/>
          <w:bdr w:val="none" w:sz="0" w:space="0" w:color="auto" w:frame="1"/>
          <w:shd w:val="clear" w:color="auto" w:fill="FFFFFF"/>
          <w:lang w:eastAsia="es-ES_tradnl"/>
        </w:rPr>
        <w:t>”</w:t>
      </w:r>
      <w:r>
        <w:rPr>
          <w:rStyle w:val="Refdenotaalpie"/>
          <w:rFonts w:ascii="Verdana" w:eastAsia="Times New Roman" w:hAnsi="Verdana" w:cs="Arial"/>
          <w:color w:val="000000"/>
          <w:bdr w:val="none" w:sz="0" w:space="0" w:color="auto" w:frame="1"/>
          <w:shd w:val="clear" w:color="auto" w:fill="FFFFFF"/>
          <w:lang w:eastAsia="es-ES_tradnl"/>
        </w:rPr>
        <w:footnoteReference w:id="18"/>
      </w:r>
      <w:r>
        <w:rPr>
          <w:rFonts w:ascii="Verdana" w:eastAsia="Times New Roman" w:hAnsi="Verdana" w:cs="Arial"/>
          <w:color w:val="000000"/>
          <w:bdr w:val="none" w:sz="0" w:space="0" w:color="auto" w:frame="1"/>
          <w:shd w:val="clear" w:color="auto" w:fill="FFFFFF"/>
          <w:lang w:eastAsia="es-ES_tradnl"/>
        </w:rPr>
        <w:t xml:space="preserve"> (Énfasis fuera de texto). </w:t>
      </w:r>
    </w:p>
    <w:p w14:paraId="7FAD3F14" w14:textId="7397CF5C" w:rsidR="0078512F" w:rsidRDefault="0078512F" w:rsidP="0078512F">
      <w:pPr>
        <w:spacing w:after="120" w:line="276" w:lineRule="auto"/>
        <w:ind w:firstLine="703"/>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 xml:space="preserve">No obstante, a partir de 2020, la Subsección B han adoptado un criterio distinto al explicado en los párrafos precedentes. Al respecto, considerando fenómenos como la interrupción de la prescripción o de la </w:t>
      </w:r>
      <w:r w:rsidR="00DF4588">
        <w:rPr>
          <w:rFonts w:ascii="Verdana" w:eastAsia="Times New Roman" w:hAnsi="Verdana" w:cs="Arial"/>
          <w:color w:val="000000"/>
          <w:bdr w:val="none" w:sz="0" w:space="0" w:color="auto" w:frame="1"/>
          <w:shd w:val="clear" w:color="auto" w:fill="FFFFFF"/>
          <w:lang w:eastAsia="es-ES_tradnl"/>
        </w:rPr>
        <w:t>caducidad,</w:t>
      </w:r>
      <w:r>
        <w:rPr>
          <w:rFonts w:ascii="Verdana" w:eastAsia="Times New Roman" w:hAnsi="Verdana" w:cs="Arial"/>
          <w:color w:val="000000"/>
          <w:bdr w:val="none" w:sz="0" w:space="0" w:color="auto" w:frame="1"/>
          <w:shd w:val="clear" w:color="auto" w:fill="FFFFFF"/>
          <w:lang w:eastAsia="es-ES_tradnl"/>
        </w:rPr>
        <w:t xml:space="preserve"> así como la constitución en mora, manifiesta que “[…] </w:t>
      </w:r>
      <w:r w:rsidRPr="00C53E9D">
        <w:rPr>
          <w:rFonts w:ascii="Verdana" w:eastAsia="Times New Roman" w:hAnsi="Verdana" w:cs="Arial"/>
          <w:color w:val="000000"/>
          <w:bdr w:val="none" w:sz="0" w:space="0" w:color="auto" w:frame="1"/>
          <w:shd w:val="clear" w:color="auto" w:fill="FFFFFF"/>
          <w:lang w:eastAsia="es-ES_tradnl"/>
        </w:rPr>
        <w:t>se hace necesario un ejercicio de integración normativa que esté m</w:t>
      </w:r>
      <w:r>
        <w:rPr>
          <w:rFonts w:ascii="Verdana" w:eastAsia="Times New Roman" w:hAnsi="Verdana" w:cs="Arial"/>
          <w:color w:val="000000"/>
          <w:bdr w:val="none" w:sz="0" w:space="0" w:color="auto" w:frame="1"/>
          <w:shd w:val="clear" w:color="auto" w:fill="FFFFFF"/>
          <w:lang w:eastAsia="es-ES_tradnl"/>
        </w:rPr>
        <w:t>á</w:t>
      </w:r>
      <w:r w:rsidRPr="00C53E9D">
        <w:rPr>
          <w:rFonts w:ascii="Verdana" w:eastAsia="Times New Roman" w:hAnsi="Verdana" w:cs="Arial"/>
          <w:color w:val="000000"/>
          <w:bdr w:val="none" w:sz="0" w:space="0" w:color="auto" w:frame="1"/>
          <w:shd w:val="clear" w:color="auto" w:fill="FFFFFF"/>
          <w:lang w:eastAsia="es-ES_tradnl"/>
        </w:rPr>
        <w:t>s acorde con los efectos que la legislación procesal le atribuye a la presentación de la demanda, y que no están condicionados a su notificación.</w:t>
      </w:r>
      <w:r>
        <w:rPr>
          <w:rFonts w:ascii="Verdana" w:eastAsia="Times New Roman" w:hAnsi="Verdana" w:cs="Arial"/>
          <w:color w:val="000000"/>
          <w:bdr w:val="none" w:sz="0" w:space="0" w:color="auto" w:frame="1"/>
          <w:shd w:val="clear" w:color="auto" w:fill="FFFFFF"/>
          <w:lang w:eastAsia="es-ES_tradnl"/>
        </w:rPr>
        <w:t xml:space="preserve"> </w:t>
      </w:r>
      <w:r w:rsidRPr="00143F21">
        <w:rPr>
          <w:rFonts w:ascii="Verdana" w:eastAsia="Times New Roman" w:hAnsi="Verdana" w:cs="Arial"/>
          <w:i/>
          <w:iCs/>
          <w:color w:val="000000"/>
          <w:bdr w:val="none" w:sz="0" w:space="0" w:color="auto" w:frame="1"/>
          <w:shd w:val="clear" w:color="auto" w:fill="FFFFFF"/>
          <w:lang w:eastAsia="es-ES_tradnl"/>
        </w:rPr>
        <w:t>Desde este enfoque, la Sala declarará que la Administración perdió competencia para liquidar el contrato en forma unilateral, a partir de la fecha en que se presentó la demanda que pretendió su liquidación judicial</w:t>
      </w:r>
      <w:r>
        <w:rPr>
          <w:rFonts w:ascii="Verdana" w:eastAsia="Times New Roman" w:hAnsi="Verdana" w:cs="Arial"/>
          <w:color w:val="000000"/>
          <w:bdr w:val="none" w:sz="0" w:space="0" w:color="auto" w:frame="1"/>
          <w:shd w:val="clear" w:color="auto" w:fill="FFFFFF"/>
          <w:lang w:eastAsia="es-ES_tradnl"/>
        </w:rPr>
        <w:t>”</w:t>
      </w:r>
      <w:r>
        <w:rPr>
          <w:rStyle w:val="Refdenotaalpie"/>
          <w:rFonts w:ascii="Verdana" w:eastAsia="Times New Roman" w:hAnsi="Verdana" w:cs="Arial"/>
          <w:color w:val="000000"/>
          <w:bdr w:val="none" w:sz="0" w:space="0" w:color="auto" w:frame="1"/>
          <w:shd w:val="clear" w:color="auto" w:fill="FFFFFF"/>
          <w:lang w:eastAsia="es-ES_tradnl"/>
        </w:rPr>
        <w:footnoteReference w:id="19"/>
      </w:r>
      <w:r>
        <w:rPr>
          <w:rFonts w:ascii="Verdana" w:eastAsia="Times New Roman" w:hAnsi="Verdana" w:cs="Arial"/>
          <w:color w:val="000000"/>
          <w:bdr w:val="none" w:sz="0" w:space="0" w:color="auto" w:frame="1"/>
          <w:shd w:val="clear" w:color="auto" w:fill="FFFFFF"/>
          <w:lang w:eastAsia="es-ES_tradnl"/>
        </w:rPr>
        <w:t xml:space="preserve"> (Énfasis fuera de texto). Dicho criterio ha sido reiterado por la misma Subsección en la Sentencia del 14 de septiembre de 2022, rad. 67167, con ponencia del Consejero </w:t>
      </w:r>
      <w:r w:rsidRPr="008457D2">
        <w:rPr>
          <w:rFonts w:ascii="Verdana" w:eastAsia="Times New Roman" w:hAnsi="Verdana" w:cs="Arial"/>
          <w:color w:val="000000"/>
          <w:bdr w:val="none" w:sz="0" w:space="0" w:color="auto" w:frame="1"/>
          <w:shd w:val="clear" w:color="auto" w:fill="FFFFFF"/>
          <w:lang w:eastAsia="es-ES_tradnl"/>
        </w:rPr>
        <w:t>Fredy Ibarra Martínez</w:t>
      </w:r>
      <w:r>
        <w:rPr>
          <w:rFonts w:ascii="Verdana" w:eastAsia="Times New Roman" w:hAnsi="Verdana" w:cs="Arial"/>
          <w:color w:val="000000"/>
          <w:bdr w:val="none" w:sz="0" w:space="0" w:color="auto" w:frame="1"/>
          <w:shd w:val="clear" w:color="auto" w:fill="FFFFFF"/>
          <w:lang w:eastAsia="es-ES_tradnl"/>
        </w:rPr>
        <w:t>.</w:t>
      </w:r>
    </w:p>
    <w:p w14:paraId="3459ED8F" w14:textId="77777777" w:rsidR="0078512F" w:rsidRDefault="0078512F" w:rsidP="0078512F">
      <w:pPr>
        <w:spacing w:after="120" w:line="276" w:lineRule="auto"/>
        <w:ind w:firstLine="703"/>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 xml:space="preserve">Sobre este aspecto, la Agencia observa que –fuera de la decisión unificada en el Auto del 1° de agosto de 2019, rad 62009, con ponencia del Consejero </w:t>
      </w:r>
      <w:r w:rsidRPr="008457D2">
        <w:rPr>
          <w:rFonts w:ascii="Verdana" w:eastAsia="Times New Roman" w:hAnsi="Verdana" w:cs="Arial"/>
          <w:color w:val="000000"/>
          <w:bdr w:val="none" w:sz="0" w:space="0" w:color="auto" w:frame="1"/>
          <w:shd w:val="clear" w:color="auto" w:fill="FFFFFF"/>
          <w:lang w:eastAsia="es-ES_tradnl"/>
        </w:rPr>
        <w:t>Jaime Enrique Rodríguez Navas</w:t>
      </w:r>
      <w:r>
        <w:rPr>
          <w:rFonts w:ascii="Verdana" w:eastAsia="Times New Roman" w:hAnsi="Verdana" w:cs="Arial"/>
          <w:color w:val="000000"/>
          <w:bdr w:val="none" w:sz="0" w:space="0" w:color="auto" w:frame="1"/>
          <w:shd w:val="clear" w:color="auto" w:fill="FFFFFF"/>
          <w:lang w:eastAsia="es-ES_tradnl"/>
        </w:rPr>
        <w:t>– no existe un criterio uniforme sobre el tema objeto de consulta por parte del máximo órgano judicial de lo contencioso administrativo</w:t>
      </w:r>
      <w:r>
        <w:rPr>
          <w:rStyle w:val="Refdenotaalpie"/>
          <w:rFonts w:ascii="Verdana" w:eastAsia="Times New Roman" w:hAnsi="Verdana" w:cs="Arial"/>
          <w:color w:val="000000"/>
          <w:bdr w:val="none" w:sz="0" w:space="0" w:color="auto" w:frame="1"/>
          <w:shd w:val="clear" w:color="auto" w:fill="FFFFFF"/>
          <w:lang w:eastAsia="es-ES_tradnl"/>
        </w:rPr>
        <w:footnoteReference w:id="20"/>
      </w:r>
      <w:r>
        <w:rPr>
          <w:rFonts w:ascii="Verdana" w:eastAsia="Times New Roman" w:hAnsi="Verdana" w:cs="Arial"/>
          <w:color w:val="000000"/>
          <w:bdr w:val="none" w:sz="0" w:space="0" w:color="auto" w:frame="1"/>
          <w:shd w:val="clear" w:color="auto" w:fill="FFFFFF"/>
          <w:lang w:eastAsia="es-ES_tradnl"/>
        </w:rPr>
        <w:t xml:space="preserve">. Por ello, cada Subsección de la Sección Tercera tiene </w:t>
      </w:r>
      <w:r>
        <w:rPr>
          <w:rFonts w:ascii="Verdana" w:eastAsia="Times New Roman" w:hAnsi="Verdana" w:cs="Arial"/>
          <w:color w:val="000000"/>
          <w:bdr w:val="none" w:sz="0" w:space="0" w:color="auto" w:frame="1"/>
          <w:shd w:val="clear" w:color="auto" w:fill="FFFFFF"/>
          <w:lang w:eastAsia="es-ES_tradnl"/>
        </w:rPr>
        <w:lastRenderedPageBreak/>
        <w:t>discrecionalidad para acoger un criterio u otro mientras que no se adopte una decisión que resuelva el problema por vía normativa.</w:t>
      </w:r>
    </w:p>
    <w:p w14:paraId="78FB5432" w14:textId="77777777" w:rsidR="0078512F" w:rsidRDefault="0078512F" w:rsidP="0078512F">
      <w:pPr>
        <w:spacing w:after="120" w:line="276" w:lineRule="auto"/>
        <w:ind w:firstLine="703"/>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En todo caso, sin perjuicio del criterio que adopten los órganos judiciales, la Agencia estima que la pérdida de competencia temporal para liquidar bilateral o unilateralmente se concreta con la presentación de la demanda que pretenda la liquidación en sede jurisdiccional. La razón es que el artículo 141 de la Ley 1437 de 2011 no dispone expresamente la posibilidad de liquidarlo hasta de la admisión de la demanda, por lo que basta “</w:t>
      </w:r>
      <w:r w:rsidRPr="00477459">
        <w:rPr>
          <w:rFonts w:ascii="Verdana" w:eastAsia="Times New Roman" w:hAnsi="Verdana" w:cs="Arial"/>
          <w:color w:val="000000"/>
          <w:bdr w:val="none" w:sz="0" w:space="0" w:color="auto" w:frame="1"/>
          <w:shd w:val="clear" w:color="auto" w:fill="FFFFFF"/>
          <w:lang w:eastAsia="es-ES_tradnl"/>
        </w:rPr>
        <w:t>solicitar la liquidación judicial</w:t>
      </w:r>
      <w:r>
        <w:rPr>
          <w:rFonts w:ascii="Verdana" w:eastAsia="Times New Roman" w:hAnsi="Verdana" w:cs="Arial"/>
          <w:color w:val="000000"/>
          <w:bdr w:val="none" w:sz="0" w:space="0" w:color="auto" w:frame="1"/>
          <w:shd w:val="clear" w:color="auto" w:fill="FFFFFF"/>
          <w:lang w:eastAsia="es-ES_tradnl"/>
        </w:rPr>
        <w:t xml:space="preserve">” en los términos de la norma citada. Asimismo, considerando que la presentación de la demanda interrumpe el término de caducidad del medio de control de controversias contractuales, no resulta coherente exigir su admisión cuando la norma sólo exige la presentar la solicitud antes de que finalice el término previsto en la ley. </w:t>
      </w:r>
    </w:p>
    <w:p w14:paraId="5CDA0CC8" w14:textId="77777777" w:rsidR="0078512F" w:rsidRDefault="0078512F" w:rsidP="0078512F">
      <w:pPr>
        <w:spacing w:after="120" w:line="276" w:lineRule="auto"/>
        <w:ind w:firstLine="703"/>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 xml:space="preserve">Como se explicó en el Concepto C-158 del 6 de junio de 2023, </w:t>
      </w:r>
      <w:r w:rsidRPr="00F45E89">
        <w:rPr>
          <w:rFonts w:ascii="Verdana" w:eastAsia="Times New Roman" w:hAnsi="Verdana" w:cs="Arial"/>
          <w:color w:val="000000"/>
          <w:bdr w:val="none" w:sz="0" w:space="0" w:color="auto" w:frame="1"/>
          <w:shd w:val="clear" w:color="auto" w:fill="FFFFFF"/>
          <w:lang w:eastAsia="es-ES_tradnl"/>
        </w:rPr>
        <w:t>se podrá, entonces, interponer una demanda ante la jurisdicción de lo contencioso administrativo solicitando la liquidación judicial del contrato mediante el medio de control de controversias contractuales, en los términos del artículo 141 del Código de Procedimiento Administrativo y de lo Contencioso Administrativo –CPACA–. La demanda debe ser presentada dentro del término que establece el artículo 164 del CPACA, pues de lo contrario operará el fenómeno de la caducidad, por lo cual no sería posible realizar la liquidación del contrato por ningún medio.</w:t>
      </w:r>
    </w:p>
    <w:p w14:paraId="34292FFF" w14:textId="77777777" w:rsidR="0078512F" w:rsidRDefault="0078512F" w:rsidP="0078512F">
      <w:pPr>
        <w:spacing w:after="120" w:line="276" w:lineRule="auto"/>
        <w:ind w:firstLine="703"/>
        <w:jc w:val="both"/>
        <w:rPr>
          <w:rFonts w:ascii="Verdana" w:eastAsia="Times New Roman" w:hAnsi="Verdana" w:cs="Arial"/>
          <w:color w:val="000000"/>
          <w:bdr w:val="none" w:sz="0" w:space="0" w:color="auto" w:frame="1"/>
          <w:shd w:val="clear" w:color="auto" w:fill="FFFFFF"/>
          <w:lang w:eastAsia="es-ES_tradnl"/>
        </w:rPr>
      </w:pPr>
      <w:r w:rsidRPr="00F45E89">
        <w:rPr>
          <w:rFonts w:ascii="Verdana" w:eastAsia="Times New Roman" w:hAnsi="Verdana" w:cs="Arial"/>
          <w:color w:val="000000"/>
          <w:bdr w:val="none" w:sz="0" w:space="0" w:color="auto" w:frame="1"/>
          <w:shd w:val="clear" w:color="auto" w:fill="FFFFFF"/>
          <w:lang w:eastAsia="es-ES_tradnl"/>
        </w:rPr>
        <w:t>Así las cosas, es claro que el ordenamiento jurídico vigente permite la liquidación unilateral, bilateral, incluso judicial, una vez vencido el plazo establecido por el artículo 11 de la Ley 1150 de 2007. En otras palabras, la liquidación final de los contratos estatales tiene un ámbito temporal que empieza con la terminación del contrato y comprende el período contractual pactado por las partes o supletivo legal –de 4 meses– para la liquidación bilateral, más el período legal para la liquidación unilateral –de 2 meses–, más el plazo de dos años para hacerlo de mutuo acuerdo o unilateralmente, sin perjuicio de que se solicite la liquidación judicial.</w:t>
      </w:r>
    </w:p>
    <w:p w14:paraId="2B230D39" w14:textId="77777777" w:rsidR="0078512F" w:rsidRDefault="0078512F" w:rsidP="0078512F">
      <w:pPr>
        <w:widowControl w:val="0"/>
        <w:autoSpaceDE w:val="0"/>
        <w:autoSpaceDN w:val="0"/>
        <w:spacing w:after="120" w:line="276" w:lineRule="auto"/>
        <w:ind w:firstLine="709"/>
        <w:jc w:val="both"/>
        <w:rPr>
          <w:rFonts w:ascii="Verdana" w:hAnsi="Verdana" w:cs="Arial"/>
        </w:rPr>
      </w:pPr>
      <w:r>
        <w:rPr>
          <w:rFonts w:ascii="Verdana" w:hAnsi="Verdana" w:cs="Arial"/>
        </w:rPr>
        <w:t xml:space="preserve">Por lo demás, </w:t>
      </w:r>
      <w:r w:rsidRPr="006759B0">
        <w:rPr>
          <w:rFonts w:ascii="Verdana" w:hAnsi="Verdana" w:cs="Arial"/>
        </w:rPr>
        <w:t xml:space="preserve">debe advertirse que el análisis requerido para </w:t>
      </w:r>
      <w:r w:rsidRPr="00016280">
        <w:rPr>
          <w:rFonts w:ascii="Verdana" w:hAnsi="Verdana" w:cs="Arial"/>
        </w:rPr>
        <w:t xml:space="preserve">para </w:t>
      </w:r>
      <w:r>
        <w:rPr>
          <w:rFonts w:ascii="Verdana" w:hAnsi="Verdana" w:cs="Arial"/>
        </w:rPr>
        <w:t xml:space="preserve">analizar </w:t>
      </w:r>
      <w:r>
        <w:rPr>
          <w:rFonts w:ascii="Verdana" w:hAnsi="Verdana" w:cs="Arial"/>
        </w:rPr>
        <w:lastRenderedPageBreak/>
        <w:t>la estrategia procesal procedente frente al contenido del manual de interventoría</w:t>
      </w:r>
      <w:r w:rsidRPr="006759B0">
        <w:rPr>
          <w:rFonts w:ascii="Verdana" w:hAnsi="Verdana" w:cs="Arial"/>
        </w:rPr>
        <w:t xml:space="preserve"> debe ser realizado por </w:t>
      </w:r>
      <w:r>
        <w:rPr>
          <w:rFonts w:ascii="Verdana" w:hAnsi="Verdana" w:cs="Arial"/>
        </w:rPr>
        <w:t>quienes tengan interés en ello</w:t>
      </w:r>
      <w:r w:rsidRPr="006759B0">
        <w:rPr>
          <w:rFonts w:ascii="Verdana" w:hAnsi="Verdana" w:cs="Arial"/>
        </w:rPr>
        <w:t xml:space="preserve">, de acuerdo con lo explicado </w:t>
      </w:r>
      <w:r>
        <w:rPr>
          <w:rFonts w:ascii="Verdana" w:hAnsi="Verdana" w:cs="Arial"/>
        </w:rPr>
        <w:t>la aclaración preliminar del presente oficio</w:t>
      </w:r>
      <w:r w:rsidRPr="006759B0">
        <w:rPr>
          <w:rFonts w:ascii="Verdana" w:hAnsi="Verdana" w:cs="Arial"/>
        </w:rPr>
        <w:t xml:space="preserve">. De esta manera, las afirmaciones aquí realizadas </w:t>
      </w:r>
      <w:r>
        <w:rPr>
          <w:rFonts w:ascii="Verdana" w:hAnsi="Verdana" w:cs="Arial"/>
        </w:rPr>
        <w:t xml:space="preserve">no </w:t>
      </w:r>
      <w:r w:rsidRPr="006759B0">
        <w:rPr>
          <w:rFonts w:ascii="Verdana" w:hAnsi="Verdana" w:cs="Arial"/>
        </w:rPr>
        <w:t>pueden ser interpretadas como juicios de valor sobre circunstancias</w:t>
      </w:r>
      <w:r>
        <w:rPr>
          <w:rFonts w:ascii="Verdana" w:hAnsi="Verdana" w:cs="Arial"/>
        </w:rPr>
        <w:t xml:space="preserve"> concretas</w:t>
      </w:r>
      <w:r w:rsidRPr="006759B0">
        <w:rPr>
          <w:rFonts w:ascii="Verdana" w:hAnsi="Verdana" w:cs="Arial"/>
        </w:rPr>
        <w:t xml:space="preserve"> relacionadas con los hechos que motivan la </w:t>
      </w:r>
      <w:r>
        <w:rPr>
          <w:rFonts w:ascii="Verdana" w:hAnsi="Verdana" w:cs="Arial"/>
        </w:rPr>
        <w:t>consulta</w:t>
      </w:r>
      <w:r w:rsidRPr="006759B0">
        <w:rPr>
          <w:rFonts w:ascii="Verdana" w:hAnsi="Verdana" w:cs="Arial"/>
        </w:rPr>
        <w:t>.</w:t>
      </w:r>
      <w:r>
        <w:rPr>
          <w:rFonts w:ascii="Verdana" w:hAnsi="Verdana" w:cs="Arial"/>
        </w:rPr>
        <w:t xml:space="preserve"> Por ejemplo, si la entidad consagró en el manual la competencia temporal hasta la expedición del auto admisorio de la demanda que solicita la liquidación judicial, deberá analizar de forma autónoma el ejercicio del derecho de defensa. </w:t>
      </w:r>
      <w:r w:rsidRPr="00DE3BB8">
        <w:rPr>
          <w:rFonts w:ascii="Verdana" w:hAnsi="Verdana" w:cs="Arial"/>
        </w:rPr>
        <w:t>Por lo anterior, previo concepto de sus asesores, la solución de situaciones particulares corresponde a l</w:t>
      </w:r>
      <w:r>
        <w:rPr>
          <w:rFonts w:ascii="Verdana" w:hAnsi="Verdana" w:cs="Arial"/>
        </w:rPr>
        <w:t>os interesados</w:t>
      </w:r>
      <w:r w:rsidRPr="00DE3BB8">
        <w:rPr>
          <w:rFonts w:ascii="Verdana" w:hAnsi="Verdana" w:cs="Arial"/>
        </w:rPr>
        <w:t xml:space="preserve"> adoptar la decisión correspondiente y, en caso de conflicto, a las autoridades judiciales, fiscales y disciplinarias. </w:t>
      </w:r>
      <w:r>
        <w:rPr>
          <w:rFonts w:ascii="Verdana" w:hAnsi="Verdana" w:cs="Arial"/>
        </w:rPr>
        <w:t xml:space="preserve"> </w:t>
      </w:r>
    </w:p>
    <w:p w14:paraId="7ABF1766" w14:textId="77777777" w:rsidR="0078512F" w:rsidRPr="007467E4" w:rsidRDefault="0078512F" w:rsidP="0078512F">
      <w:pPr>
        <w:spacing w:after="0" w:line="276" w:lineRule="auto"/>
        <w:ind w:firstLine="703"/>
        <w:jc w:val="both"/>
        <w:rPr>
          <w:rFonts w:ascii="Verdana" w:eastAsia="Times New Roman" w:hAnsi="Verdana" w:cs="Arial"/>
          <w:color w:val="000000"/>
          <w:bdr w:val="none" w:sz="0" w:space="0" w:color="auto" w:frame="1"/>
          <w:shd w:val="clear" w:color="auto" w:fill="FFFFFF"/>
          <w:lang w:eastAsia="es-ES_tradnl"/>
        </w:rPr>
      </w:pPr>
      <w:r w:rsidRPr="001E3FCB">
        <w:rPr>
          <w:rFonts w:ascii="Verdana" w:hAnsi="Verdana" w:cs="Arial"/>
        </w:rPr>
        <w:t>Dentro de este marco, la entidad contratante definirá en cada caso concreto lo</w:t>
      </w:r>
      <w:r>
        <w:rPr>
          <w:rFonts w:ascii="Verdana" w:hAnsi="Verdana" w:cs="Arial"/>
        </w:rPr>
        <w:t xml:space="preserve"> relacionado con sus estrategias procesales</w:t>
      </w:r>
      <w:r w:rsidRPr="001E3FCB">
        <w:rPr>
          <w:rFonts w:ascii="Verdana" w:hAnsi="Verdana" w:cs="Arial"/>
        </w:rPr>
        <w:t>. Al tratarse de un análisis que debe</w:t>
      </w:r>
      <w:r>
        <w:rPr>
          <w:rFonts w:ascii="Verdana" w:hAnsi="Verdana" w:cs="Arial"/>
        </w:rPr>
        <w:t xml:space="preserve"> realizar el juez de la causa en medio de control de controversias contractuales</w:t>
      </w:r>
      <w:r w:rsidRPr="001E3FCB">
        <w:rPr>
          <w:rFonts w:ascii="Verdana" w:hAnsi="Verdana" w:cs="Arial"/>
        </w:rPr>
        <w:t xml:space="preserve">,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w:t>
      </w:r>
      <w:r>
        <w:rPr>
          <w:rFonts w:ascii="Verdana" w:hAnsi="Verdana" w:cs="Arial"/>
        </w:rPr>
        <w:t>proponer las excepciones que estime pertinentes</w:t>
      </w:r>
      <w:r w:rsidRPr="001E3FCB">
        <w:rPr>
          <w:rFonts w:ascii="Verdana" w:hAnsi="Verdana" w:cs="Arial"/>
        </w:rPr>
        <w:t xml:space="preserve">, sin que sea atribución de Colombia Compra Eficiente </w:t>
      </w:r>
      <w:r>
        <w:rPr>
          <w:rFonts w:ascii="Verdana" w:hAnsi="Verdana" w:cs="Arial"/>
        </w:rPr>
        <w:t>coadyubarlas</w:t>
      </w:r>
      <w:r w:rsidRPr="001E3FCB">
        <w:rPr>
          <w:rFonts w:ascii="Verdana" w:hAnsi="Verdana" w:cs="Arial"/>
        </w:rPr>
        <w:t>.</w:t>
      </w:r>
    </w:p>
    <w:p w14:paraId="0FF1A024" w14:textId="77777777" w:rsidR="0078512F" w:rsidRPr="00FB5FC4" w:rsidRDefault="0078512F" w:rsidP="0078512F">
      <w:pPr>
        <w:spacing w:after="0" w:line="276" w:lineRule="auto"/>
        <w:ind w:firstLine="705"/>
        <w:jc w:val="both"/>
        <w:rPr>
          <w:rFonts w:ascii="Verdana" w:eastAsia="Times New Roman" w:hAnsi="Verdana" w:cs="Arial"/>
          <w:color w:val="000000" w:themeColor="text1"/>
          <w:lang w:eastAsia="es-CO"/>
        </w:rPr>
      </w:pPr>
    </w:p>
    <w:p w14:paraId="439930C3" w14:textId="77777777" w:rsidR="0078512F" w:rsidRPr="00593A5F" w:rsidRDefault="0078512F" w:rsidP="0078512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66F07EB5" w14:textId="77777777" w:rsidR="0078512F" w:rsidRPr="00593A5F" w:rsidRDefault="0078512F" w:rsidP="0078512F">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8512F" w:rsidRPr="002407CE" w14:paraId="349D22CB" w14:textId="77777777" w:rsidTr="00CD1730">
        <w:trPr>
          <w:trHeight w:val="870"/>
          <w:jc w:val="center"/>
        </w:trPr>
        <w:tc>
          <w:tcPr>
            <w:tcW w:w="8647" w:type="dxa"/>
          </w:tcPr>
          <w:p w14:paraId="3339C5BD" w14:textId="77777777" w:rsidR="0078512F" w:rsidRDefault="0078512F" w:rsidP="0078512F">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 xml:space="preserve">Ley 80 de 1993, artículo 60. </w:t>
            </w:r>
          </w:p>
          <w:p w14:paraId="4A63B149" w14:textId="77777777" w:rsidR="0078512F" w:rsidRPr="00B478FA" w:rsidRDefault="0078512F" w:rsidP="00CD1730">
            <w:pPr>
              <w:pStyle w:val="Prrafodelista"/>
              <w:widowControl w:val="0"/>
              <w:autoSpaceDE w:val="0"/>
              <w:autoSpaceDN w:val="0"/>
              <w:spacing w:line="276" w:lineRule="auto"/>
              <w:jc w:val="both"/>
              <w:rPr>
                <w:rFonts w:ascii="Verdana" w:hAnsi="Verdana" w:cs="Arial"/>
                <w:sz w:val="12"/>
                <w:szCs w:val="12"/>
              </w:rPr>
            </w:pPr>
          </w:p>
          <w:p w14:paraId="6D951E40" w14:textId="77777777" w:rsidR="0078512F" w:rsidRDefault="0078512F" w:rsidP="0078512F">
            <w:pPr>
              <w:pStyle w:val="Prrafodelista"/>
              <w:widowControl w:val="0"/>
              <w:numPr>
                <w:ilvl w:val="0"/>
                <w:numId w:val="17"/>
              </w:numPr>
              <w:autoSpaceDE w:val="0"/>
              <w:autoSpaceDN w:val="0"/>
              <w:spacing w:line="276" w:lineRule="auto"/>
              <w:jc w:val="both"/>
              <w:rPr>
                <w:rFonts w:ascii="Verdana" w:hAnsi="Verdana" w:cs="Arial"/>
              </w:rPr>
            </w:pPr>
            <w:r w:rsidRPr="00EA612E">
              <w:rPr>
                <w:rFonts w:ascii="Verdana" w:hAnsi="Verdana" w:cs="Arial"/>
              </w:rPr>
              <w:t xml:space="preserve">Ley 1150 de 2007, artículo </w:t>
            </w:r>
            <w:r>
              <w:rPr>
                <w:rFonts w:ascii="Verdana" w:hAnsi="Verdana" w:cs="Arial"/>
              </w:rPr>
              <w:t>11</w:t>
            </w:r>
            <w:r w:rsidRPr="00EA612E">
              <w:rPr>
                <w:rFonts w:ascii="Verdana" w:hAnsi="Verdana" w:cs="Arial"/>
              </w:rPr>
              <w:t xml:space="preserve">. </w:t>
            </w:r>
          </w:p>
          <w:p w14:paraId="0CB66A33" w14:textId="77777777" w:rsidR="0078512F" w:rsidRPr="00B478FA" w:rsidRDefault="0078512F" w:rsidP="00CD1730">
            <w:pPr>
              <w:widowControl w:val="0"/>
              <w:autoSpaceDE w:val="0"/>
              <w:autoSpaceDN w:val="0"/>
              <w:spacing w:line="276" w:lineRule="auto"/>
              <w:jc w:val="both"/>
              <w:rPr>
                <w:rFonts w:ascii="Verdana" w:hAnsi="Verdana" w:cs="Arial"/>
                <w:sz w:val="12"/>
                <w:szCs w:val="12"/>
              </w:rPr>
            </w:pPr>
          </w:p>
          <w:p w14:paraId="4D14DE33" w14:textId="77777777" w:rsidR="0078512F" w:rsidRPr="001D733B" w:rsidRDefault="0078512F" w:rsidP="0078512F">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Ley 1437 de 2011</w:t>
            </w:r>
            <w:r w:rsidRPr="00EA612E">
              <w:rPr>
                <w:rFonts w:ascii="Verdana" w:hAnsi="Verdana" w:cs="Arial"/>
              </w:rPr>
              <w:t xml:space="preserve">, artículos </w:t>
            </w:r>
            <w:r>
              <w:rPr>
                <w:rFonts w:ascii="Verdana" w:hAnsi="Verdana" w:cs="Arial"/>
              </w:rPr>
              <w:t>141 y 164</w:t>
            </w:r>
            <w:r w:rsidRPr="00EA612E">
              <w:rPr>
                <w:rFonts w:ascii="Verdana" w:hAnsi="Verdana" w:cs="Arial"/>
              </w:rPr>
              <w:t>.</w:t>
            </w:r>
          </w:p>
        </w:tc>
      </w:tr>
    </w:tbl>
    <w:p w14:paraId="0B4C9E8A" w14:textId="77777777" w:rsidR="0078512F" w:rsidRPr="002407CE" w:rsidRDefault="0078512F" w:rsidP="0078512F">
      <w:pPr>
        <w:widowControl w:val="0"/>
        <w:autoSpaceDE w:val="0"/>
        <w:autoSpaceDN w:val="0"/>
        <w:spacing w:after="0" w:line="276" w:lineRule="auto"/>
        <w:jc w:val="both"/>
        <w:rPr>
          <w:rFonts w:ascii="Verdana" w:hAnsi="Verdana" w:cs="Arial"/>
        </w:rPr>
      </w:pPr>
    </w:p>
    <w:p w14:paraId="156AD0FA" w14:textId="77777777" w:rsidR="0078512F" w:rsidRPr="00593A5F" w:rsidRDefault="0078512F" w:rsidP="0078512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DDFCD2E" w14:textId="77777777" w:rsidR="0078512F" w:rsidRPr="00593A5F" w:rsidRDefault="0078512F" w:rsidP="0078512F">
      <w:pPr>
        <w:widowControl w:val="0"/>
        <w:autoSpaceDE w:val="0"/>
        <w:autoSpaceDN w:val="0"/>
        <w:spacing w:after="0" w:line="276" w:lineRule="auto"/>
        <w:jc w:val="both"/>
        <w:rPr>
          <w:rFonts w:ascii="Verdana" w:hAnsi="Verdana" w:cs="Arial"/>
        </w:rPr>
      </w:pPr>
    </w:p>
    <w:p w14:paraId="4DCF26B1" w14:textId="77777777" w:rsidR="0078512F" w:rsidRDefault="0078512F" w:rsidP="0078512F">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DD781E">
        <w:rPr>
          <w:rStyle w:val="normaltextrun"/>
          <w:rFonts w:ascii="Verdana" w:hAnsi="Verdana" w:cs="Arial"/>
          <w:shd w:val="clear" w:color="auto" w:fill="FFFFFF"/>
          <w:lang w:val="es-ES"/>
        </w:rPr>
        <w:t xml:space="preserve">Esta Subdirección se ha pronunciado sobre </w:t>
      </w:r>
      <w:r>
        <w:rPr>
          <w:rStyle w:val="normaltextrun"/>
          <w:rFonts w:ascii="Verdana" w:hAnsi="Verdana" w:cs="Arial"/>
          <w:shd w:val="clear" w:color="auto" w:fill="FFFFFF"/>
          <w:lang w:val="es-ES"/>
        </w:rPr>
        <w:t>la liquidación</w:t>
      </w:r>
      <w:r w:rsidRPr="00DD781E">
        <w:rPr>
          <w:rStyle w:val="normaltextrun"/>
          <w:rFonts w:ascii="Verdana" w:hAnsi="Verdana" w:cs="Arial"/>
          <w:shd w:val="clear" w:color="auto" w:fill="FFFFFF"/>
          <w:lang w:val="es-ES"/>
        </w:rPr>
        <w:t xml:space="preserve"> en los Conceptos</w:t>
      </w:r>
      <w:r w:rsidRPr="00DD781E">
        <w:rPr>
          <w:rStyle w:val="normaltextrun"/>
          <w:rFonts w:ascii="Verdana" w:hAnsi="Verdana" w:cs="Calibri"/>
          <w:shd w:val="clear" w:color="auto" w:fill="FFFFFF"/>
        </w:rPr>
        <w:t xml:space="preserve"> </w:t>
      </w:r>
      <w:r w:rsidRPr="004B5D6E">
        <w:rPr>
          <w:rStyle w:val="normaltextrun"/>
          <w:rFonts w:ascii="Verdana" w:hAnsi="Verdana" w:cs="Arial"/>
          <w:shd w:val="clear" w:color="auto" w:fill="FFFFFF"/>
          <w:lang w:val="es-ES"/>
        </w:rPr>
        <w:t>4201912000004908 del 27 de septiembre de 2019</w:t>
      </w:r>
      <w:r>
        <w:rPr>
          <w:rStyle w:val="normaltextrun"/>
          <w:rFonts w:ascii="Verdana" w:hAnsi="Verdana" w:cs="Arial"/>
          <w:shd w:val="clear" w:color="auto" w:fill="FFFFFF"/>
          <w:lang w:val="es-ES"/>
        </w:rPr>
        <w:t xml:space="preserve">, </w:t>
      </w:r>
      <w:r w:rsidRPr="004B5D6E">
        <w:rPr>
          <w:rStyle w:val="normaltextrun"/>
          <w:rFonts w:ascii="Verdana" w:hAnsi="Verdana" w:cs="Arial"/>
          <w:shd w:val="clear" w:color="auto" w:fill="FFFFFF"/>
          <w:lang w:val="es-ES"/>
        </w:rPr>
        <w:t>CU-028 de 25 de febrero de 2020, C-221 de 21 de abril de 2020, C-078 del 17 de marzo de 2021, C-220 del 18 de mayo de 2021, C-444 del 23 de julio de 2021, C-747 del 8 de noviembre de 2022, C-739 de del 29 de noviembre de 2022</w:t>
      </w:r>
      <w:r>
        <w:rPr>
          <w:rStyle w:val="normaltextrun"/>
          <w:rFonts w:ascii="Verdana" w:hAnsi="Verdana" w:cs="Arial"/>
          <w:shd w:val="clear" w:color="auto" w:fill="FFFFFF"/>
          <w:lang w:val="es-ES"/>
        </w:rPr>
        <w:t>,</w:t>
      </w:r>
      <w:r w:rsidRPr="004B5D6E">
        <w:rPr>
          <w:rStyle w:val="normaltextrun"/>
          <w:rFonts w:ascii="Verdana" w:hAnsi="Verdana" w:cs="Arial"/>
          <w:shd w:val="clear" w:color="auto" w:fill="FFFFFF"/>
          <w:lang w:val="es-ES"/>
        </w:rPr>
        <w:t xml:space="preserve"> C- 176 de 3 de mayo de 2023</w:t>
      </w:r>
      <w:r>
        <w:rPr>
          <w:rStyle w:val="normaltextrun"/>
          <w:rFonts w:ascii="Verdana" w:hAnsi="Verdana" w:cs="Arial"/>
          <w:shd w:val="clear" w:color="auto" w:fill="FFFFFF"/>
          <w:lang w:val="es-ES"/>
        </w:rPr>
        <w:t xml:space="preserve"> y C-158 del 6 de junio de 2023</w:t>
      </w:r>
      <w:r w:rsidRPr="00EA761C">
        <w:rPr>
          <w:rStyle w:val="normaltextrun"/>
          <w:rFonts w:ascii="Verdana" w:hAnsi="Verdana" w:cs="Arial"/>
          <w:shd w:val="clear" w:color="auto" w:fill="FFFFFF"/>
          <w:lang w:val="es-ES"/>
        </w:rPr>
        <w:t>. Es</w:t>
      </w:r>
      <w:r w:rsidRPr="00EA761C">
        <w:rPr>
          <w:rFonts w:ascii="Verdana" w:hAnsi="Verdana"/>
        </w:rPr>
        <w:t>tos</w:t>
      </w:r>
      <w:r>
        <w:rPr>
          <w:rFonts w:ascii="Verdana" w:hAnsi="Verdana"/>
        </w:rPr>
        <w:t xml:space="preserve"> y otros</w:t>
      </w:r>
      <w:r w:rsidRPr="00A1554D">
        <w:rPr>
          <w:rFonts w:ascii="Verdana" w:hAnsi="Verdana"/>
        </w:rPr>
        <w:t xml:space="preserve"> se encuentran disponibles para consulta en el Sistema de </w:t>
      </w:r>
      <w:r>
        <w:rPr>
          <w:rFonts w:ascii="Verdana" w:hAnsi="Verdana"/>
        </w:rPr>
        <w:t>r</w:t>
      </w:r>
      <w:r w:rsidRPr="00A1554D">
        <w:rPr>
          <w:rFonts w:ascii="Verdana" w:hAnsi="Verdana"/>
        </w:rPr>
        <w:t>elatoría de la Agencia, al cual puede acceder</w:t>
      </w:r>
      <w:r>
        <w:rPr>
          <w:rFonts w:ascii="Verdana" w:hAnsi="Verdana"/>
        </w:rPr>
        <w:t>se</w:t>
      </w:r>
      <w:r w:rsidRPr="00A1554D">
        <w:rPr>
          <w:rFonts w:ascii="Verdana" w:hAnsi="Verdana"/>
        </w:rPr>
        <w:t xml:space="preserve"> a </w:t>
      </w:r>
      <w:r w:rsidRPr="00A1554D">
        <w:rPr>
          <w:rFonts w:ascii="Verdana" w:hAnsi="Verdana"/>
        </w:rPr>
        <w:lastRenderedPageBreak/>
        <w:t>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1F0C2AFF" w14:textId="77777777" w:rsidR="0078512F" w:rsidRDefault="0078512F" w:rsidP="0078512F">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0DA322F" w14:textId="77777777" w:rsidR="0078512F" w:rsidRPr="00A1554D" w:rsidRDefault="0078512F" w:rsidP="0078512F">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3" w:history="1">
        <w:r w:rsidRPr="003705EA">
          <w:rPr>
            <w:rStyle w:val="Hipervnculo"/>
            <w:rFonts w:ascii="Verdana" w:hAnsi="Verdana" w:cs="Arial"/>
            <w:shd w:val="clear" w:color="auto" w:fill="FFFFFF"/>
            <w:lang w:val="es-ES"/>
          </w:rPr>
          <w:t>https://www.colombiacompra.gov.co/sala-de-prensa/boletin-digital</w:t>
        </w:r>
      </w:hyperlink>
      <w:r w:rsidRPr="00EA761C">
        <w:rPr>
          <w:rStyle w:val="Hipervnculo"/>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3DC3FBBB" w14:textId="77777777" w:rsidR="0078512F" w:rsidRPr="00593A5F" w:rsidRDefault="0078512F" w:rsidP="0078512F">
      <w:pPr>
        <w:widowControl w:val="0"/>
        <w:autoSpaceDE w:val="0"/>
        <w:autoSpaceDN w:val="0"/>
        <w:spacing w:after="0" w:line="276" w:lineRule="auto"/>
        <w:jc w:val="both"/>
        <w:rPr>
          <w:rFonts w:ascii="Verdana" w:hAnsi="Verdana" w:cs="Arial"/>
        </w:rPr>
      </w:pPr>
    </w:p>
    <w:p w14:paraId="229D19CA" w14:textId="77777777" w:rsidR="0078512F" w:rsidRPr="00593A5F" w:rsidRDefault="0078512F" w:rsidP="0078512F">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FF32096" w14:textId="77777777" w:rsidR="0078512F" w:rsidRPr="00593A5F" w:rsidRDefault="0078512F" w:rsidP="0078512F">
      <w:pPr>
        <w:widowControl w:val="0"/>
        <w:autoSpaceDE w:val="0"/>
        <w:autoSpaceDN w:val="0"/>
        <w:spacing w:after="0" w:line="276" w:lineRule="auto"/>
        <w:jc w:val="both"/>
        <w:rPr>
          <w:rFonts w:ascii="Verdana" w:hAnsi="Verdana" w:cs="Arial"/>
        </w:rPr>
      </w:pPr>
    </w:p>
    <w:p w14:paraId="2D362244" w14:textId="77777777" w:rsidR="0078512F" w:rsidRPr="00593A5F" w:rsidRDefault="0078512F" w:rsidP="0078512F">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0CD4347" w14:textId="624F9FE5" w:rsidR="0078512F" w:rsidRPr="00593A5F" w:rsidRDefault="00123E9A" w:rsidP="0078512F">
      <w:pPr>
        <w:spacing w:line="276" w:lineRule="auto"/>
        <w:jc w:val="center"/>
        <w:rPr>
          <w:rFonts w:ascii="Verdana" w:hAnsi="Verdana" w:cs="Arial"/>
          <w:color w:val="000000"/>
          <w:lang w:val="es-ES_tradnl" w:eastAsia="es-CO"/>
        </w:rPr>
      </w:pPr>
      <w:r>
        <w:rPr>
          <w:noProof/>
        </w:rPr>
        <w:drawing>
          <wp:inline distT="0" distB="0" distL="0" distR="0" wp14:anchorId="23B608EF" wp14:editId="19816C27">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8512F" w:rsidRPr="00593A5F" w14:paraId="5B61C958" w14:textId="77777777" w:rsidTr="00CD1730">
        <w:trPr>
          <w:trHeight w:val="315"/>
        </w:trPr>
        <w:tc>
          <w:tcPr>
            <w:tcW w:w="893" w:type="dxa"/>
            <w:vAlign w:val="center"/>
            <w:hideMark/>
          </w:tcPr>
          <w:p w14:paraId="2D9AB397" w14:textId="77777777" w:rsidR="0078512F" w:rsidRPr="003751C7" w:rsidRDefault="0078512F" w:rsidP="00CD173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2E8758F" w14:textId="77777777" w:rsidR="0078512F" w:rsidRPr="00254A7A" w:rsidRDefault="0078512F" w:rsidP="00CD1730">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4AF2B049" w14:textId="77777777" w:rsidR="0078512F" w:rsidRPr="00254A7A" w:rsidRDefault="0078512F" w:rsidP="00CD1730">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78512F" w:rsidRPr="00593A5F" w14:paraId="5440B99B" w14:textId="77777777" w:rsidTr="00CD1730">
        <w:trPr>
          <w:trHeight w:val="330"/>
        </w:trPr>
        <w:tc>
          <w:tcPr>
            <w:tcW w:w="893" w:type="dxa"/>
            <w:vAlign w:val="center"/>
            <w:hideMark/>
          </w:tcPr>
          <w:p w14:paraId="5176133A" w14:textId="77777777" w:rsidR="0078512F" w:rsidRPr="003751C7" w:rsidRDefault="0078512F" w:rsidP="00CD173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9CC853E" w14:textId="77777777" w:rsidR="0078512F" w:rsidRPr="00254A7A" w:rsidRDefault="0078512F" w:rsidP="00CD1730">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762067F3" w14:textId="77777777" w:rsidR="0078512F" w:rsidRPr="00254A7A" w:rsidRDefault="0078512F" w:rsidP="00CD1730">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78512F" w:rsidRPr="00593A5F" w14:paraId="559A700D" w14:textId="77777777" w:rsidTr="00CD1730">
        <w:trPr>
          <w:trHeight w:val="300"/>
        </w:trPr>
        <w:tc>
          <w:tcPr>
            <w:tcW w:w="893" w:type="dxa"/>
            <w:vAlign w:val="center"/>
          </w:tcPr>
          <w:p w14:paraId="521D518A" w14:textId="77777777" w:rsidR="0078512F" w:rsidRPr="003751C7" w:rsidRDefault="0078512F" w:rsidP="00CD1730">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9CDF9FE" w14:textId="77777777" w:rsidR="0078512F" w:rsidRPr="003751C7" w:rsidRDefault="0078512F" w:rsidP="00CD1730">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7DFC5D76" w14:textId="77777777" w:rsidR="0078512F" w:rsidRPr="003751C7" w:rsidRDefault="0078512F" w:rsidP="00CD1730">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20C98A0D" w14:textId="77777777" w:rsidR="0078512F" w:rsidRPr="00593A5F" w:rsidRDefault="0078512F" w:rsidP="0078512F">
      <w:pPr>
        <w:spacing w:after="0" w:line="240" w:lineRule="auto"/>
        <w:rPr>
          <w:rFonts w:ascii="Verdana" w:eastAsia="Times New Roman" w:hAnsi="Verdana" w:cs="Arial"/>
          <w:sz w:val="24"/>
          <w:szCs w:val="24"/>
          <w:lang w:eastAsia="es-ES"/>
        </w:rPr>
      </w:pPr>
    </w:p>
    <w:p w14:paraId="0F293BF4" w14:textId="7BBFAB11" w:rsidR="00127233" w:rsidRPr="000604AA" w:rsidRDefault="00127233" w:rsidP="000604AA"/>
    <w:sectPr w:rsidR="00127233" w:rsidRPr="000604AA"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CBF2F9" w14:textId="77777777" w:rsidR="00C475CF" w:rsidRDefault="00C475CF" w:rsidP="004A1847">
      <w:pPr>
        <w:spacing w:after="0" w:line="240" w:lineRule="auto"/>
      </w:pPr>
      <w:r>
        <w:separator/>
      </w:r>
    </w:p>
  </w:endnote>
  <w:endnote w:type="continuationSeparator" w:id="0">
    <w:p w14:paraId="488266D9" w14:textId="77777777" w:rsidR="00C475CF" w:rsidRDefault="00C475CF" w:rsidP="004A1847">
      <w:pPr>
        <w:spacing w:after="0" w:line="240" w:lineRule="auto"/>
      </w:pPr>
      <w:r>
        <w:continuationSeparator/>
      </w:r>
    </w:p>
  </w:endnote>
  <w:endnote w:type="continuationNotice" w:id="1">
    <w:p w14:paraId="022C4C58" w14:textId="77777777" w:rsidR="00C475CF" w:rsidRDefault="00C475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BC0BE0" w14:textId="77777777" w:rsidR="00C475CF" w:rsidRDefault="00C475CF" w:rsidP="004A1847">
      <w:pPr>
        <w:spacing w:after="0" w:line="240" w:lineRule="auto"/>
      </w:pPr>
      <w:r>
        <w:separator/>
      </w:r>
    </w:p>
  </w:footnote>
  <w:footnote w:type="continuationSeparator" w:id="0">
    <w:p w14:paraId="60D36C68" w14:textId="77777777" w:rsidR="00C475CF" w:rsidRDefault="00C475CF" w:rsidP="004A1847">
      <w:pPr>
        <w:spacing w:after="0" w:line="240" w:lineRule="auto"/>
      </w:pPr>
      <w:r>
        <w:continuationSeparator/>
      </w:r>
    </w:p>
  </w:footnote>
  <w:footnote w:type="continuationNotice" w:id="1">
    <w:p w14:paraId="5DF98112" w14:textId="77777777" w:rsidR="00C475CF" w:rsidRDefault="00C475CF">
      <w:pPr>
        <w:spacing w:after="0" w:line="240" w:lineRule="auto"/>
      </w:pPr>
    </w:p>
  </w:footnote>
  <w:footnote w:id="2">
    <w:p w14:paraId="1FC58EFD" w14:textId="77777777" w:rsidR="0078512F" w:rsidRPr="008457D2" w:rsidRDefault="0078512F" w:rsidP="004E1FE4">
      <w:pPr>
        <w:pStyle w:val="Textonotapie"/>
        <w:ind w:firstLine="708"/>
        <w:jc w:val="both"/>
        <w:rPr>
          <w:rFonts w:ascii="Verdana" w:hAnsi="Verdana" w:cs="Arial"/>
          <w:color w:val="000000"/>
          <w:sz w:val="16"/>
          <w:szCs w:val="16"/>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8457D2">
        <w:rPr>
          <w:rFonts w:ascii="Verdana" w:hAnsi="Verdana" w:cs="Arial"/>
          <w:color w:val="000000"/>
          <w:sz w:val="16"/>
          <w:szCs w:val="16"/>
          <w:shd w:val="clear" w:color="auto" w:fill="FFFFFF"/>
        </w:rPr>
        <w:t>” (</w:t>
      </w:r>
      <w:r w:rsidRPr="008457D2">
        <w:rPr>
          <w:rFonts w:ascii="Verdana" w:hAnsi="Verdana" w:cs="Arial"/>
          <w:color w:val="000000"/>
          <w:sz w:val="16"/>
          <w:szCs w:val="16"/>
        </w:rPr>
        <w:t>EXPOSITO, Juan Carlos. Forma y contenido del contrato estatal. Bogotá: Universidad Externado de Colombia, p. 89 y 90).</w:t>
      </w:r>
    </w:p>
  </w:footnote>
  <w:footnote w:id="3">
    <w:p w14:paraId="790B3E8C" w14:textId="77777777" w:rsidR="0078512F" w:rsidRPr="008457D2" w:rsidRDefault="0078512F" w:rsidP="004E1FE4">
      <w:pPr>
        <w:pStyle w:val="Textonotapie"/>
        <w:ind w:firstLine="708"/>
        <w:jc w:val="both"/>
        <w:rPr>
          <w:rFonts w:ascii="Verdana" w:hAnsi="Verdana" w:cs="Arial"/>
          <w:color w:val="000000"/>
          <w:sz w:val="16"/>
          <w:szCs w:val="16"/>
          <w:lang w:val="es-CO"/>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DÍAZ DÍEZ, Cristian Andrés. La liquidación. Serie: Las Cláusulas del Contrato Estatal. Medellín: Librería Jurídica Sánchez y Centro de Estudios de Derecho Administrativo –CEDA–, 2013, pp. 53-54.</w:t>
      </w:r>
    </w:p>
  </w:footnote>
  <w:footnote w:id="4">
    <w:p w14:paraId="3F6B7B5E" w14:textId="77777777" w:rsidR="0078512F" w:rsidRPr="008457D2" w:rsidRDefault="0078512F" w:rsidP="004E1FE4">
      <w:pPr>
        <w:spacing w:after="0"/>
        <w:ind w:firstLine="708"/>
        <w:jc w:val="both"/>
        <w:rPr>
          <w:rFonts w:ascii="Verdana" w:hAnsi="Verdana" w:cs="Arial"/>
          <w:color w:val="000000"/>
          <w:sz w:val="16"/>
          <w:szCs w:val="16"/>
          <w:lang w:val="es-ES"/>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Consejo de Estado. Sección Tercera. Subsección C. 20 de octubre de 2014, M.P: Enrique Gil Botero. Exp.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5">
    <w:p w14:paraId="19689E64" w14:textId="77777777" w:rsidR="0078512F" w:rsidRPr="008457D2" w:rsidRDefault="0078512F" w:rsidP="004E1FE4">
      <w:pPr>
        <w:pStyle w:val="Textonotapie"/>
        <w:ind w:firstLine="708"/>
        <w:jc w:val="both"/>
        <w:rPr>
          <w:rFonts w:ascii="Verdana" w:hAnsi="Verdana" w:cs="Arial"/>
          <w:color w:val="000000"/>
          <w:sz w:val="16"/>
          <w:szCs w:val="16"/>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EXPÓSITO VÉLEZ, Juan Carlos. Forma y contenido del contrato estatal, p. 90.</w:t>
      </w:r>
    </w:p>
  </w:footnote>
  <w:footnote w:id="6">
    <w:p w14:paraId="5D91229D" w14:textId="77777777" w:rsidR="0078512F" w:rsidRPr="008457D2" w:rsidRDefault="0078512F" w:rsidP="004E1FE4">
      <w:pPr>
        <w:pStyle w:val="Textonotapie"/>
        <w:ind w:firstLine="708"/>
        <w:jc w:val="both"/>
        <w:rPr>
          <w:rFonts w:ascii="Verdana" w:hAnsi="Verdana" w:cs="Arial"/>
          <w:color w:val="000000"/>
          <w:sz w:val="16"/>
          <w:szCs w:val="16"/>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CONSEJO DE ESTADO, Sala de Consulta y Servicio Civil. Radicado No. 1453. Concepto de 6 de agosto de 2003. MP. Augusto Trejos.</w:t>
      </w:r>
    </w:p>
  </w:footnote>
  <w:footnote w:id="7">
    <w:p w14:paraId="23E9DB65" w14:textId="77777777" w:rsidR="0078512F" w:rsidRPr="008457D2" w:rsidRDefault="0078512F" w:rsidP="004E1FE4">
      <w:pPr>
        <w:pStyle w:val="Textonotapie"/>
        <w:ind w:firstLine="708"/>
        <w:jc w:val="both"/>
        <w:rPr>
          <w:rFonts w:ascii="Verdana" w:hAnsi="Verdana" w:cs="Arial"/>
          <w:color w:val="000000"/>
          <w:sz w:val="16"/>
          <w:szCs w:val="16"/>
          <w:lang w:val="es-ES"/>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w:t>
      </w:r>
      <w:r w:rsidRPr="008457D2">
        <w:rPr>
          <w:rFonts w:ascii="Verdana" w:hAnsi="Verdana" w:cs="Arial"/>
          <w:color w:val="000000"/>
          <w:sz w:val="16"/>
          <w:szCs w:val="16"/>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5D927CEB" w14:textId="77777777" w:rsidR="0078512F" w:rsidRPr="008457D2" w:rsidRDefault="0078512F" w:rsidP="004E1FE4">
      <w:pPr>
        <w:pStyle w:val="Textonotapie"/>
        <w:ind w:firstLine="708"/>
        <w:jc w:val="both"/>
        <w:rPr>
          <w:rFonts w:ascii="Verdana" w:hAnsi="Verdana" w:cs="Arial"/>
          <w:color w:val="000000"/>
          <w:sz w:val="16"/>
          <w:szCs w:val="16"/>
          <w:lang w:val="es-ES"/>
        </w:rPr>
      </w:pPr>
      <w:r w:rsidRPr="008457D2">
        <w:rPr>
          <w:rFonts w:ascii="Verdana" w:hAnsi="Verdana" w:cs="Arial"/>
          <w:color w:val="000000"/>
          <w:sz w:val="16"/>
          <w:szCs w:val="16"/>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57CF2B4C" w14:textId="77777777" w:rsidR="0078512F" w:rsidRPr="008457D2" w:rsidRDefault="0078512F" w:rsidP="004E1FE4">
      <w:pPr>
        <w:pStyle w:val="Textonotapie"/>
        <w:ind w:firstLine="708"/>
        <w:jc w:val="both"/>
        <w:rPr>
          <w:rFonts w:ascii="Verdana" w:hAnsi="Verdana" w:cs="Arial"/>
          <w:color w:val="000000"/>
          <w:sz w:val="16"/>
          <w:szCs w:val="16"/>
          <w:lang w:val="es-ES"/>
        </w:rPr>
      </w:pPr>
      <w:r w:rsidRPr="008457D2">
        <w:rPr>
          <w:rFonts w:ascii="Verdana" w:hAnsi="Verdana" w:cs="Arial"/>
          <w:color w:val="000000"/>
          <w:sz w:val="16"/>
          <w:szCs w:val="16"/>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41BCD9FA" w14:textId="77777777" w:rsidR="0078512F" w:rsidRPr="008457D2" w:rsidRDefault="0078512F" w:rsidP="004E1FE4">
      <w:pPr>
        <w:pStyle w:val="Textonotapie"/>
        <w:ind w:firstLine="708"/>
        <w:jc w:val="both"/>
        <w:rPr>
          <w:rFonts w:ascii="Verdana" w:hAnsi="Verdana" w:cs="Arial"/>
          <w:color w:val="000000"/>
          <w:sz w:val="16"/>
          <w:szCs w:val="16"/>
          <w:lang w:val="es-ES"/>
        </w:rPr>
      </w:pPr>
      <w:r w:rsidRPr="008457D2">
        <w:rPr>
          <w:rFonts w:ascii="Verdana" w:hAnsi="Verdana" w:cs="Arial"/>
          <w:color w:val="000000"/>
          <w:sz w:val="16"/>
          <w:szCs w:val="16"/>
          <w:lang w:val="es-ES"/>
        </w:rPr>
        <w:t>Los contratistas tendrán derecho a efectuar salvedades a la liquidación por mutuo acuerdo, y en este evento la liquidación unilateral solo procederá en relación con los aspectos que no hayan sido objeto de acuerdo”.</w:t>
      </w:r>
    </w:p>
  </w:footnote>
  <w:footnote w:id="8">
    <w:p w14:paraId="05031DB9" w14:textId="77777777" w:rsidR="0078512F" w:rsidRPr="008457D2" w:rsidRDefault="0078512F" w:rsidP="004E1FE4">
      <w:pPr>
        <w:pStyle w:val="Textonotapie"/>
        <w:ind w:firstLine="709"/>
        <w:jc w:val="both"/>
        <w:rPr>
          <w:rFonts w:ascii="Verdana" w:hAnsi="Verdana" w:cs="Arial"/>
          <w:color w:val="000000"/>
          <w:sz w:val="16"/>
          <w:szCs w:val="16"/>
          <w:lang w:val="es-CO"/>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CONSEJO DE ESTADO, Sección Tercera, Subsección C, Sentencia del 24 de julio de 2013, radicado No. 25.642, Consejero Ponente Enrique Gil Botero.</w:t>
      </w:r>
    </w:p>
  </w:footnote>
  <w:footnote w:id="9">
    <w:p w14:paraId="6397E3C6" w14:textId="77777777" w:rsidR="0078512F" w:rsidRPr="008457D2" w:rsidRDefault="0078512F" w:rsidP="004E1FE4">
      <w:pPr>
        <w:pStyle w:val="NormalWeb"/>
        <w:spacing w:before="0" w:beforeAutospacing="0" w:after="0" w:afterAutospacing="0"/>
        <w:ind w:firstLine="709"/>
        <w:jc w:val="both"/>
        <w:rPr>
          <w:rFonts w:ascii="Verdana" w:hAnsi="Verdana" w:cs="Arial"/>
          <w:color w:val="000000"/>
          <w:sz w:val="16"/>
          <w:szCs w:val="16"/>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Decreto 1082 de 2015 “</w:t>
      </w:r>
      <w:r w:rsidRPr="008457D2">
        <w:rPr>
          <w:rStyle w:val="Textoennegrita"/>
          <w:rFonts w:ascii="Verdana" w:hAnsi="Verdana" w:cs="Arial"/>
          <w:color w:val="000000"/>
          <w:sz w:val="16"/>
          <w:szCs w:val="16"/>
        </w:rPr>
        <w:t>Artículo 2.2.1.2.1.5.2. </w:t>
      </w:r>
      <w:r w:rsidRPr="008457D2">
        <w:rPr>
          <w:rStyle w:val="nfasis"/>
          <w:rFonts w:ascii="Verdana" w:eastAsia="MS Mincho" w:hAnsi="Verdana" w:cs="Arial"/>
          <w:color w:val="000000"/>
          <w:sz w:val="16"/>
          <w:szCs w:val="16"/>
        </w:rPr>
        <w:t>Procedimiento para la contratación de mínima cuantía. </w:t>
      </w:r>
      <w:r w:rsidRPr="008457D2">
        <w:rPr>
          <w:rFonts w:ascii="Verdana" w:hAnsi="Verdana" w:cs="Arial"/>
          <w:color w:val="000000"/>
          <w:sz w:val="16"/>
          <w:szCs w:val="16"/>
        </w:rPr>
        <w:t>Las siguientes reglas son aplicables a la contratación cuyo valor no excede del 10% de la menor cuantía de la Entidad Estatal, independientemente de su objeto: </w:t>
      </w:r>
    </w:p>
    <w:p w14:paraId="550A0B27" w14:textId="77777777" w:rsidR="0078512F" w:rsidRPr="008457D2" w:rsidRDefault="0078512F" w:rsidP="004E1FE4">
      <w:pPr>
        <w:pStyle w:val="NormalWeb"/>
        <w:spacing w:before="0" w:beforeAutospacing="0" w:after="0" w:afterAutospacing="0"/>
        <w:jc w:val="both"/>
        <w:rPr>
          <w:rFonts w:ascii="Verdana" w:hAnsi="Verdana" w:cs="Arial"/>
          <w:color w:val="000000"/>
          <w:sz w:val="16"/>
          <w:szCs w:val="16"/>
        </w:rPr>
      </w:pPr>
      <w:r w:rsidRPr="008457D2">
        <w:rPr>
          <w:rFonts w:ascii="Verdana" w:hAnsi="Verdana" w:cs="Arial"/>
          <w:color w:val="000000"/>
          <w:sz w:val="16"/>
          <w:szCs w:val="16"/>
        </w:rPr>
        <w:t>  </w:t>
      </w:r>
      <w:r w:rsidRPr="008457D2">
        <w:rPr>
          <w:rFonts w:ascii="Verdana" w:hAnsi="Verdana" w:cs="Arial"/>
          <w:color w:val="000000"/>
          <w:sz w:val="16"/>
          <w:szCs w:val="16"/>
        </w:rPr>
        <w:tab/>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 </w:t>
      </w:r>
    </w:p>
    <w:p w14:paraId="7D5ACA67" w14:textId="77777777" w:rsidR="0078512F" w:rsidRPr="008457D2" w:rsidRDefault="0078512F" w:rsidP="004E1FE4">
      <w:pPr>
        <w:pStyle w:val="Textonotapie"/>
        <w:ind w:firstLine="709"/>
        <w:jc w:val="both"/>
        <w:rPr>
          <w:rFonts w:ascii="Verdana" w:hAnsi="Verdana" w:cs="Arial"/>
          <w:color w:val="000000"/>
          <w:sz w:val="16"/>
          <w:szCs w:val="16"/>
          <w:lang w:val="es-CO"/>
        </w:rPr>
      </w:pPr>
      <w:r w:rsidRPr="008457D2">
        <w:rPr>
          <w:rFonts w:ascii="Verdana" w:hAnsi="Verdana" w:cs="Arial"/>
          <w:color w:val="000000"/>
          <w:sz w:val="16"/>
          <w:szCs w:val="16"/>
        </w:rPr>
        <w:t xml:space="preserve"> </w:t>
      </w:r>
    </w:p>
  </w:footnote>
  <w:footnote w:id="10">
    <w:p w14:paraId="1F13DF8F" w14:textId="77777777" w:rsidR="0078512F" w:rsidRPr="008457D2" w:rsidRDefault="0078512F" w:rsidP="004E1FE4">
      <w:pPr>
        <w:pStyle w:val="NormalWeb"/>
        <w:spacing w:before="0" w:beforeAutospacing="0" w:after="0" w:afterAutospacing="0"/>
        <w:ind w:firstLine="720"/>
        <w:jc w:val="both"/>
        <w:rPr>
          <w:rFonts w:ascii="Verdana" w:hAnsi="Verdana" w:cs="Arial"/>
          <w:color w:val="000000"/>
          <w:sz w:val="16"/>
          <w:szCs w:val="16"/>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Ley 80 de 1993 “</w:t>
      </w:r>
      <w:r w:rsidRPr="008457D2">
        <w:rPr>
          <w:rStyle w:val="Textoennegrita"/>
          <w:rFonts w:ascii="Verdana" w:hAnsi="Verdana" w:cs="Arial"/>
          <w:color w:val="000000"/>
          <w:sz w:val="16"/>
          <w:szCs w:val="16"/>
        </w:rPr>
        <w:t>Articulo 39. De la forma del contrato estatal. </w:t>
      </w:r>
      <w:r w:rsidRPr="008457D2">
        <w:rPr>
          <w:rFonts w:ascii="Verdana" w:hAnsi="Verdana" w:cs="Arial"/>
          <w:color w:val="000000"/>
          <w:sz w:val="16"/>
          <w:szCs w:val="16"/>
        </w:rPr>
        <w:t>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w:t>
      </w:r>
    </w:p>
    <w:p w14:paraId="58743A74" w14:textId="77777777" w:rsidR="0078512F" w:rsidRPr="008457D2" w:rsidRDefault="0078512F" w:rsidP="004E1FE4">
      <w:pPr>
        <w:pStyle w:val="NormalWeb"/>
        <w:spacing w:before="0" w:beforeAutospacing="0" w:after="0" w:afterAutospacing="0"/>
        <w:jc w:val="both"/>
        <w:rPr>
          <w:rFonts w:ascii="Verdana" w:hAnsi="Verdana" w:cs="Arial"/>
          <w:color w:val="000000"/>
          <w:sz w:val="16"/>
          <w:szCs w:val="16"/>
        </w:rPr>
      </w:pPr>
      <w:r w:rsidRPr="008457D2">
        <w:rPr>
          <w:rFonts w:ascii="Verdana" w:hAnsi="Verdana" w:cs="Arial"/>
          <w:color w:val="000000"/>
          <w:sz w:val="16"/>
          <w:szCs w:val="16"/>
        </w:rPr>
        <w:t>  </w:t>
      </w:r>
      <w:r w:rsidRPr="008457D2">
        <w:rPr>
          <w:rFonts w:ascii="Verdana" w:hAnsi="Verdana" w:cs="Arial"/>
          <w:color w:val="000000"/>
          <w:sz w:val="16"/>
          <w:szCs w:val="16"/>
        </w:rPr>
        <w:tab/>
        <w:t>[…]</w:t>
      </w:r>
      <w:bookmarkStart w:id="4" w:name="ver_1790147"/>
      <w:bookmarkStart w:id="5" w:name="ver_30220791"/>
      <w:bookmarkStart w:id="6" w:name="ver_1790148"/>
      <w:bookmarkEnd w:id="4"/>
      <w:bookmarkEnd w:id="5"/>
    </w:p>
    <w:p w14:paraId="7DF3553F" w14:textId="77777777" w:rsidR="0078512F" w:rsidRPr="008457D2" w:rsidRDefault="0078512F" w:rsidP="004E1FE4">
      <w:pPr>
        <w:pStyle w:val="NormalWeb"/>
        <w:spacing w:before="0" w:beforeAutospacing="0" w:after="0" w:afterAutospacing="0"/>
        <w:ind w:firstLine="720"/>
        <w:jc w:val="both"/>
        <w:rPr>
          <w:rFonts w:ascii="Verdana" w:hAnsi="Verdana" w:cs="Arial"/>
          <w:color w:val="000000"/>
          <w:sz w:val="16"/>
          <w:szCs w:val="16"/>
        </w:rPr>
      </w:pPr>
      <w:r w:rsidRPr="008457D2">
        <w:rPr>
          <w:rStyle w:val="Textoennegrita"/>
          <w:rFonts w:ascii="Verdana" w:hAnsi="Verdana" w:cs="Arial"/>
          <w:color w:val="000000"/>
          <w:sz w:val="16"/>
          <w:szCs w:val="16"/>
        </w:rPr>
        <w:t>Artículo 40. Del contenido del contrato estatal.</w:t>
      </w:r>
      <w:r w:rsidRPr="008457D2">
        <w:rPr>
          <w:rFonts w:ascii="Verdana" w:hAnsi="Verdana" w:cs="Arial"/>
          <w:color w:val="000000"/>
          <w:sz w:val="16"/>
          <w:szCs w:val="16"/>
        </w:rPr>
        <w:t> Las estipulaciones de los contratos serán las que de acuerdo con las normas civiles, comerciales y las previstas en esta ley, correspondan a su esencia y naturaleza. </w:t>
      </w:r>
    </w:p>
    <w:p w14:paraId="7B1A3B4F" w14:textId="77777777" w:rsidR="0078512F" w:rsidRPr="008457D2" w:rsidRDefault="0078512F" w:rsidP="004E1FE4">
      <w:pPr>
        <w:pStyle w:val="NormalWeb"/>
        <w:spacing w:before="0" w:beforeAutospacing="0" w:after="0" w:afterAutospacing="0"/>
        <w:ind w:firstLine="720"/>
        <w:jc w:val="both"/>
        <w:rPr>
          <w:rFonts w:ascii="Verdana" w:hAnsi="Verdana" w:cs="Arial"/>
          <w:color w:val="000000"/>
          <w:sz w:val="16"/>
          <w:szCs w:val="16"/>
        </w:rPr>
      </w:pPr>
      <w:r w:rsidRPr="008457D2">
        <w:rPr>
          <w:rFonts w:ascii="Verdana" w:hAnsi="Verdana" w:cs="Arial"/>
          <w:color w:val="000000"/>
          <w:sz w:val="16"/>
          <w:szCs w:val="16"/>
        </w:rPr>
        <w:t>Las entidades podrán celebrar los contratos y acuerdos que permitan la autonomía de la voluntad y requieran el cumplimiento de los fines estatales. </w:t>
      </w:r>
    </w:p>
    <w:p w14:paraId="3862356B" w14:textId="77777777" w:rsidR="0078512F" w:rsidRPr="008457D2" w:rsidRDefault="0078512F" w:rsidP="004E1FE4">
      <w:pPr>
        <w:pStyle w:val="NormalWeb"/>
        <w:spacing w:before="0" w:beforeAutospacing="0" w:after="0" w:afterAutospacing="0"/>
        <w:jc w:val="both"/>
        <w:rPr>
          <w:rFonts w:ascii="Verdana" w:hAnsi="Verdana" w:cs="Arial"/>
          <w:color w:val="000000"/>
          <w:sz w:val="16"/>
          <w:szCs w:val="16"/>
        </w:rPr>
      </w:pPr>
      <w:r w:rsidRPr="008457D2">
        <w:rPr>
          <w:rFonts w:ascii="Verdana" w:hAnsi="Verdana" w:cs="Arial"/>
          <w:color w:val="000000"/>
          <w:sz w:val="16"/>
          <w:szCs w:val="16"/>
        </w:rPr>
        <w:t>  </w:t>
      </w:r>
      <w:r w:rsidRPr="008457D2">
        <w:rPr>
          <w:rFonts w:ascii="Verdana" w:hAnsi="Verdana" w:cs="Arial"/>
          <w:color w:val="000000"/>
          <w:sz w:val="16"/>
          <w:szCs w:val="16"/>
        </w:rPr>
        <w:tab/>
        <w:t>[…]  </w:t>
      </w:r>
    </w:p>
    <w:p w14:paraId="2AA81D1E" w14:textId="77777777" w:rsidR="0078512F" w:rsidRPr="008457D2" w:rsidRDefault="0078512F" w:rsidP="004E1FE4">
      <w:pPr>
        <w:pStyle w:val="NormalWeb"/>
        <w:spacing w:before="0" w:beforeAutospacing="0" w:after="0" w:afterAutospacing="0"/>
        <w:ind w:firstLine="720"/>
        <w:jc w:val="both"/>
        <w:rPr>
          <w:rFonts w:ascii="Verdana" w:hAnsi="Verdana" w:cs="Arial"/>
          <w:color w:val="000000"/>
          <w:sz w:val="16"/>
          <w:szCs w:val="16"/>
        </w:rPr>
      </w:pPr>
      <w:bookmarkStart w:id="7" w:name="ver_30161420"/>
      <w:bookmarkStart w:id="8" w:name="ver_1790149"/>
      <w:bookmarkStart w:id="9" w:name="ver_30161408"/>
      <w:bookmarkStart w:id="10" w:name="ver_30161443"/>
      <w:bookmarkEnd w:id="6"/>
      <w:bookmarkEnd w:id="7"/>
      <w:bookmarkEnd w:id="8"/>
      <w:bookmarkEnd w:id="9"/>
      <w:bookmarkEnd w:id="10"/>
      <w:r w:rsidRPr="008457D2">
        <w:rPr>
          <w:rStyle w:val="Textoennegrita"/>
          <w:rFonts w:ascii="Verdana" w:hAnsi="Verdana" w:cs="Arial"/>
          <w:color w:val="000000"/>
          <w:sz w:val="16"/>
          <w:szCs w:val="16"/>
        </w:rPr>
        <w:t>Artículo 41. Del perfeccionamiento del contrato.</w:t>
      </w:r>
      <w:r w:rsidRPr="008457D2">
        <w:rPr>
          <w:rFonts w:ascii="Verdana" w:hAnsi="Verdana" w:cs="Arial"/>
          <w:color w:val="000000"/>
          <w:sz w:val="16"/>
          <w:szCs w:val="16"/>
        </w:rPr>
        <w:t> Los contratos del Estado se perfeccionan cuando se logre acuerdo sobre el objeto y la contraprestación y éste se eleve a escrito […]”.</w:t>
      </w:r>
    </w:p>
  </w:footnote>
  <w:footnote w:id="11">
    <w:p w14:paraId="0E71DA2C" w14:textId="77777777" w:rsidR="0078512F" w:rsidRPr="008457D2" w:rsidRDefault="0078512F" w:rsidP="004E1FE4">
      <w:pPr>
        <w:pStyle w:val="Textonotapie"/>
        <w:ind w:firstLine="709"/>
        <w:jc w:val="both"/>
        <w:rPr>
          <w:rFonts w:ascii="Verdana" w:hAnsi="Verdana" w:cs="Arial"/>
          <w:color w:val="000000"/>
          <w:sz w:val="16"/>
          <w:szCs w:val="16"/>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Ley 80 de 1993 “</w:t>
      </w:r>
      <w:r w:rsidRPr="008457D2">
        <w:rPr>
          <w:rStyle w:val="Textoennegrita"/>
          <w:rFonts w:ascii="Verdana" w:hAnsi="Verdana" w:cs="Arial"/>
          <w:color w:val="000000"/>
          <w:sz w:val="16"/>
          <w:szCs w:val="16"/>
        </w:rPr>
        <w:t>Artículo 77. De la normatividad aplicable en las actuaciones administrativas.</w:t>
      </w:r>
      <w:r w:rsidRPr="008457D2">
        <w:rPr>
          <w:rFonts w:ascii="Verdana" w:hAnsi="Verdana" w:cs="Arial"/>
          <w:color w:val="000000"/>
          <w:sz w:val="16"/>
          <w:szCs w:val="16"/>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 </w:t>
      </w:r>
    </w:p>
  </w:footnote>
  <w:footnote w:id="12">
    <w:p w14:paraId="40CB8E65" w14:textId="77777777" w:rsidR="0078512F" w:rsidRPr="008457D2" w:rsidRDefault="0078512F" w:rsidP="004E1FE4">
      <w:pPr>
        <w:pStyle w:val="NormalWeb"/>
        <w:spacing w:before="0" w:beforeAutospacing="0" w:after="0" w:afterAutospacing="0"/>
        <w:ind w:firstLine="709"/>
        <w:jc w:val="both"/>
        <w:rPr>
          <w:rFonts w:ascii="Verdana" w:hAnsi="Verdana" w:cs="Arial"/>
          <w:color w:val="000000"/>
          <w:sz w:val="16"/>
          <w:szCs w:val="16"/>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Ley 80 de 1993 “</w:t>
      </w:r>
      <w:r w:rsidRPr="008457D2">
        <w:rPr>
          <w:rStyle w:val="Textoennegrita"/>
          <w:rFonts w:ascii="Verdana" w:hAnsi="Verdana" w:cs="Arial"/>
          <w:color w:val="000000"/>
          <w:sz w:val="16"/>
          <w:szCs w:val="16"/>
        </w:rPr>
        <w:t>Artículo 25. Del principio de economía.</w:t>
      </w:r>
      <w:r w:rsidRPr="008457D2">
        <w:rPr>
          <w:rFonts w:ascii="Verdana" w:hAnsi="Verdana" w:cs="Arial"/>
          <w:color w:val="000000"/>
          <w:sz w:val="16"/>
          <w:szCs w:val="16"/>
        </w:rPr>
        <w:t> En virtud de este principio: </w:t>
      </w:r>
    </w:p>
    <w:p w14:paraId="5C228C4F" w14:textId="77777777" w:rsidR="0078512F" w:rsidRPr="008457D2" w:rsidRDefault="0078512F" w:rsidP="004E1FE4">
      <w:pPr>
        <w:pStyle w:val="NormalWeb"/>
        <w:spacing w:before="0" w:beforeAutospacing="0" w:after="0" w:afterAutospacing="0"/>
        <w:ind w:firstLine="709"/>
        <w:jc w:val="both"/>
        <w:rPr>
          <w:rFonts w:ascii="Verdana" w:hAnsi="Verdana" w:cs="Arial"/>
          <w:color w:val="000000"/>
          <w:sz w:val="16"/>
          <w:szCs w:val="16"/>
        </w:rPr>
      </w:pPr>
      <w:r w:rsidRPr="008457D2">
        <w:rPr>
          <w:rFonts w:ascii="Verdana" w:hAnsi="Verdana" w:cs="Arial"/>
          <w:color w:val="000000"/>
          <w:sz w:val="16"/>
          <w:szCs w:val="16"/>
        </w:rPr>
        <w:t>[…]</w:t>
      </w:r>
    </w:p>
    <w:p w14:paraId="346DA7D0" w14:textId="77777777" w:rsidR="0078512F" w:rsidRPr="008457D2" w:rsidRDefault="0078512F" w:rsidP="004E1FE4">
      <w:pPr>
        <w:pStyle w:val="NormalWeb"/>
        <w:spacing w:before="0" w:beforeAutospacing="0" w:after="0" w:afterAutospacing="0"/>
        <w:ind w:firstLine="709"/>
        <w:jc w:val="both"/>
        <w:rPr>
          <w:rFonts w:ascii="Verdana" w:hAnsi="Verdana" w:cs="Arial"/>
          <w:color w:val="000000"/>
          <w:sz w:val="16"/>
          <w:szCs w:val="16"/>
        </w:rPr>
      </w:pPr>
      <w:r w:rsidRPr="008457D2">
        <w:rPr>
          <w:rFonts w:ascii="Verdana" w:hAnsi="Verdana" w:cs="Arial"/>
          <w:color w:val="000000"/>
          <w:sz w:val="16"/>
          <w:szCs w:val="16"/>
        </w:rPr>
        <w:t>4o. Los trámites se adelantarán con austeridad de tiempo, medios y gastos y se impedirán las dilaciones y los retardos en la ejecución del contrato. </w:t>
      </w:r>
    </w:p>
    <w:p w14:paraId="6DCBACBA" w14:textId="77777777" w:rsidR="0078512F" w:rsidRDefault="0078512F" w:rsidP="004E1FE4">
      <w:pPr>
        <w:pStyle w:val="NormalWeb"/>
        <w:spacing w:before="0" w:beforeAutospacing="0" w:after="0" w:afterAutospacing="0"/>
        <w:jc w:val="both"/>
        <w:rPr>
          <w:rFonts w:ascii="Verdana" w:hAnsi="Verdana" w:cs="Arial"/>
          <w:color w:val="000000"/>
          <w:sz w:val="16"/>
          <w:szCs w:val="16"/>
        </w:rPr>
      </w:pPr>
      <w:r w:rsidRPr="008457D2">
        <w:rPr>
          <w:rFonts w:ascii="Verdana" w:hAnsi="Verdana" w:cs="Arial"/>
          <w:color w:val="000000"/>
          <w:sz w:val="16"/>
          <w:szCs w:val="16"/>
        </w:rPr>
        <w:t>  </w:t>
      </w:r>
      <w:r w:rsidRPr="008457D2">
        <w:rPr>
          <w:rFonts w:ascii="Verdana" w:hAnsi="Verdana" w:cs="Arial"/>
          <w:color w:val="000000"/>
          <w:sz w:val="16"/>
          <w:szCs w:val="16"/>
        </w:rPr>
        <w:tab/>
        <w:t>5o. Se adoptarán procedimientos que garanticen la pronta solución de las diferencias y controversias que con motivo de la celebración y ejecución del contrato se presenten […]”.</w:t>
      </w:r>
    </w:p>
    <w:p w14:paraId="455429A4" w14:textId="77777777" w:rsidR="004E1FE4" w:rsidRPr="008457D2" w:rsidRDefault="004E1FE4" w:rsidP="004E1FE4">
      <w:pPr>
        <w:pStyle w:val="NormalWeb"/>
        <w:spacing w:before="0" w:beforeAutospacing="0" w:after="0" w:afterAutospacing="0"/>
        <w:jc w:val="both"/>
        <w:rPr>
          <w:rFonts w:ascii="Verdana" w:hAnsi="Verdana" w:cs="Arial"/>
          <w:color w:val="000000"/>
          <w:sz w:val="16"/>
          <w:szCs w:val="16"/>
        </w:rPr>
      </w:pPr>
    </w:p>
  </w:footnote>
  <w:footnote w:id="13">
    <w:p w14:paraId="39AE576D" w14:textId="77777777" w:rsidR="0078512F" w:rsidRPr="008457D2" w:rsidRDefault="0078512F" w:rsidP="004E1FE4">
      <w:pPr>
        <w:pStyle w:val="Textonotapie"/>
        <w:ind w:firstLine="708"/>
        <w:jc w:val="both"/>
        <w:rPr>
          <w:rFonts w:ascii="Verdana" w:hAnsi="Verdana" w:cs="Arial"/>
          <w:color w:val="000000"/>
          <w:sz w:val="16"/>
          <w:szCs w:val="16"/>
          <w:lang w:val="es-ES"/>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COLOMBIA COMPRA EFICIENTE. Guía para la Liquidación de los Procesos de Contratación. página 5, disponible en: </w:t>
      </w:r>
      <w:hyperlink r:id="rId1" w:history="1">
        <w:r w:rsidRPr="008457D2">
          <w:rPr>
            <w:rStyle w:val="Hipervnculo"/>
            <w:rFonts w:ascii="Verdana" w:hAnsi="Verdana" w:cs="Arial"/>
            <w:sz w:val="16"/>
            <w:szCs w:val="16"/>
          </w:rPr>
          <w:t xml:space="preserve">https://www.colombiacompra.gov.co/sites/cce_public/files/cce_documents/cce_guia_liquidacion_procesos.pdf  </w:t>
        </w:r>
      </w:hyperlink>
    </w:p>
  </w:footnote>
  <w:footnote w:id="14">
    <w:p w14:paraId="705CD42D" w14:textId="77777777" w:rsidR="0078512F" w:rsidRPr="008457D2" w:rsidRDefault="0078512F" w:rsidP="004E1FE4">
      <w:pPr>
        <w:pStyle w:val="Textonotapie"/>
        <w:ind w:firstLine="708"/>
        <w:jc w:val="both"/>
        <w:rPr>
          <w:rFonts w:ascii="Verdana" w:hAnsi="Verdana" w:cs="Arial"/>
          <w:color w:val="000000"/>
          <w:sz w:val="16"/>
          <w:szCs w:val="16"/>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15">
    <w:p w14:paraId="3444AB8C" w14:textId="77777777" w:rsidR="0078512F" w:rsidRPr="008457D2" w:rsidRDefault="0078512F" w:rsidP="004E1FE4">
      <w:pPr>
        <w:pStyle w:val="Textonotapie"/>
        <w:ind w:firstLine="708"/>
        <w:jc w:val="both"/>
        <w:rPr>
          <w:rFonts w:ascii="Verdana" w:hAnsi="Verdana" w:cs="Arial"/>
          <w:color w:val="000000"/>
          <w:sz w:val="16"/>
          <w:szCs w:val="16"/>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CONSEJO DE ESTADO. Sala de Consulta y Servicio Civil. Concepto de 28 de Junio de 2016. Radicación: 2253. C.P. Álvaro Namén Vargas. </w:t>
      </w:r>
    </w:p>
  </w:footnote>
  <w:footnote w:id="16">
    <w:p w14:paraId="4975F499" w14:textId="77777777" w:rsidR="0078512F" w:rsidRPr="008457D2" w:rsidRDefault="0078512F" w:rsidP="004E1FE4">
      <w:pPr>
        <w:pStyle w:val="Textonotapie"/>
        <w:ind w:firstLine="708"/>
        <w:jc w:val="both"/>
        <w:rPr>
          <w:rFonts w:ascii="Verdana" w:hAnsi="Verdana"/>
          <w:color w:val="000000"/>
          <w:sz w:val="16"/>
          <w:szCs w:val="16"/>
          <w:lang w:val="es-ES"/>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CONSEJO DE ESTADO. Sección Tercera. </w:t>
      </w:r>
      <w:r w:rsidRPr="008457D2">
        <w:rPr>
          <w:rFonts w:ascii="Verdana" w:hAnsi="Verdana" w:cs="Arial"/>
          <w:color w:val="000000"/>
          <w:sz w:val="16"/>
          <w:szCs w:val="16"/>
          <w:lang w:val="es-CO"/>
        </w:rPr>
        <w:t xml:space="preserve">Sala Plena. Auto del 1 de agosto de 2019. </w:t>
      </w:r>
      <w:r w:rsidRPr="008457D2">
        <w:rPr>
          <w:rFonts w:ascii="Verdana" w:hAnsi="Verdana" w:cs="Arial"/>
          <w:color w:val="000000"/>
          <w:sz w:val="16"/>
          <w:szCs w:val="16"/>
        </w:rPr>
        <w:t xml:space="preserve">Exp. 62009. C.P. Jaime Enrique Rodríguez Navas. </w:t>
      </w:r>
      <w:r w:rsidRPr="008457D2">
        <w:rPr>
          <w:rFonts w:ascii="Verdana" w:hAnsi="Verdana"/>
          <w:color w:val="000000"/>
          <w:sz w:val="16"/>
          <w:szCs w:val="16"/>
          <w:lang w:val="es-ES"/>
        </w:rPr>
        <w:t xml:space="preserve"> </w:t>
      </w:r>
    </w:p>
  </w:footnote>
  <w:footnote w:id="17">
    <w:p w14:paraId="4D356A26" w14:textId="77777777" w:rsidR="0078512F" w:rsidRPr="008457D2" w:rsidRDefault="0078512F" w:rsidP="004E1FE4">
      <w:pPr>
        <w:pStyle w:val="Textonotapie"/>
        <w:ind w:firstLine="708"/>
        <w:jc w:val="both"/>
        <w:rPr>
          <w:rFonts w:ascii="Verdana" w:hAnsi="Verdana"/>
          <w:sz w:val="16"/>
          <w:szCs w:val="16"/>
        </w:rPr>
      </w:pPr>
      <w:r w:rsidRPr="008457D2">
        <w:rPr>
          <w:rStyle w:val="Refdenotaalpie"/>
          <w:rFonts w:ascii="Verdana" w:hAnsi="Verdana"/>
          <w:sz w:val="16"/>
          <w:szCs w:val="16"/>
        </w:rPr>
        <w:footnoteRef/>
      </w:r>
      <w:r w:rsidRPr="008457D2">
        <w:rPr>
          <w:rFonts w:ascii="Verdana" w:hAnsi="Verdana"/>
          <w:sz w:val="16"/>
          <w:szCs w:val="16"/>
        </w:rPr>
        <w:t xml:space="preserve"> CONSEJO DE ESTADO. Sección Tercera. Sentencia del 13 de julio de 2000. Rad. 12513. C.P. María Elena Giraldo Gómez.</w:t>
      </w:r>
    </w:p>
  </w:footnote>
  <w:footnote w:id="18">
    <w:p w14:paraId="1536021C" w14:textId="77777777" w:rsidR="0078512F" w:rsidRPr="008457D2" w:rsidRDefault="0078512F" w:rsidP="004E1FE4">
      <w:pPr>
        <w:pStyle w:val="Textonotapie"/>
        <w:ind w:firstLine="708"/>
        <w:jc w:val="both"/>
        <w:rPr>
          <w:rFonts w:ascii="Verdana" w:hAnsi="Verdana"/>
          <w:sz w:val="16"/>
          <w:szCs w:val="16"/>
        </w:rPr>
      </w:pPr>
      <w:r w:rsidRPr="008457D2">
        <w:rPr>
          <w:rStyle w:val="Refdenotaalpie"/>
          <w:rFonts w:ascii="Verdana" w:hAnsi="Verdana"/>
          <w:sz w:val="16"/>
          <w:szCs w:val="16"/>
        </w:rPr>
        <w:footnoteRef/>
      </w:r>
      <w:r w:rsidRPr="008457D2">
        <w:rPr>
          <w:rFonts w:ascii="Verdana" w:hAnsi="Verdana"/>
          <w:sz w:val="16"/>
          <w:szCs w:val="16"/>
        </w:rPr>
        <w:t xml:space="preserve"> CONSEJO DE ESTADO. Sección Tercera. Subsección A. Sentencia del 12 de mayo de 2016. Rad. 35056. C.P. Carlos Alberto Zambrano Barrera.</w:t>
      </w:r>
    </w:p>
  </w:footnote>
  <w:footnote w:id="19">
    <w:p w14:paraId="53FB9887" w14:textId="77777777" w:rsidR="0078512F" w:rsidRPr="008457D2" w:rsidRDefault="0078512F" w:rsidP="004E1FE4">
      <w:pPr>
        <w:pStyle w:val="Textonotapie"/>
        <w:ind w:firstLine="708"/>
        <w:jc w:val="both"/>
        <w:rPr>
          <w:rFonts w:ascii="Verdana" w:hAnsi="Verdana"/>
          <w:sz w:val="16"/>
          <w:szCs w:val="16"/>
        </w:rPr>
      </w:pPr>
      <w:r w:rsidRPr="008457D2">
        <w:rPr>
          <w:rStyle w:val="Refdenotaalpie"/>
          <w:rFonts w:ascii="Verdana" w:hAnsi="Verdana"/>
          <w:sz w:val="16"/>
          <w:szCs w:val="16"/>
        </w:rPr>
        <w:footnoteRef/>
      </w:r>
      <w:r w:rsidRPr="008457D2">
        <w:rPr>
          <w:rFonts w:ascii="Verdana" w:hAnsi="Verdana"/>
          <w:sz w:val="16"/>
          <w:szCs w:val="16"/>
        </w:rPr>
        <w:t xml:space="preserve"> </w:t>
      </w:r>
      <w:r>
        <w:rPr>
          <w:rFonts w:ascii="Verdana" w:hAnsi="Verdana"/>
          <w:sz w:val="16"/>
          <w:szCs w:val="16"/>
        </w:rPr>
        <w:t xml:space="preserve">CONSEJO DE ESTADO. Sección Tercera. Subsección B. Sentencia del 1° de junio de 2020. Rad. 48522. C.P. </w:t>
      </w:r>
      <w:r w:rsidRPr="008457D2">
        <w:rPr>
          <w:rFonts w:ascii="Verdana" w:hAnsi="Verdana"/>
          <w:sz w:val="16"/>
          <w:szCs w:val="16"/>
        </w:rPr>
        <w:t>Alberto Montaña Plata</w:t>
      </w:r>
      <w:r>
        <w:rPr>
          <w:rFonts w:ascii="Verdana" w:hAnsi="Verdana"/>
          <w:sz w:val="16"/>
          <w:szCs w:val="16"/>
        </w:rPr>
        <w:t>.</w:t>
      </w:r>
    </w:p>
  </w:footnote>
  <w:footnote w:id="20">
    <w:p w14:paraId="76176142" w14:textId="77777777" w:rsidR="0078512F" w:rsidRPr="008457D2" w:rsidRDefault="0078512F" w:rsidP="004E1FE4">
      <w:pPr>
        <w:pStyle w:val="Textonotapie"/>
        <w:ind w:firstLine="708"/>
        <w:jc w:val="both"/>
        <w:rPr>
          <w:rFonts w:ascii="Verdana" w:hAnsi="Verdana"/>
          <w:sz w:val="16"/>
          <w:szCs w:val="16"/>
        </w:rPr>
      </w:pPr>
      <w:r w:rsidRPr="008457D2">
        <w:rPr>
          <w:rStyle w:val="Refdenotaalpie"/>
          <w:rFonts w:ascii="Verdana" w:hAnsi="Verdana"/>
          <w:sz w:val="16"/>
          <w:szCs w:val="16"/>
        </w:rPr>
        <w:footnoteRef/>
      </w:r>
      <w:r w:rsidRPr="008457D2">
        <w:rPr>
          <w:rFonts w:ascii="Verdana" w:hAnsi="Verdana"/>
          <w:sz w:val="16"/>
          <w:szCs w:val="16"/>
        </w:rPr>
        <w:t xml:space="preserve"> </w:t>
      </w:r>
      <w:r>
        <w:rPr>
          <w:rFonts w:ascii="Verdana" w:hAnsi="Verdana"/>
          <w:sz w:val="16"/>
          <w:szCs w:val="16"/>
        </w:rPr>
        <w:t>Por medio del referido auto, “</w:t>
      </w:r>
      <w:r w:rsidRPr="008457D2">
        <w:rPr>
          <w:rFonts w:ascii="Verdana" w:hAnsi="Verdana"/>
          <w:sz w:val="16"/>
          <w:szCs w:val="16"/>
        </w:rPr>
        <w:t>En los términos indicados en la parte motiva de esta providencia,</w:t>
      </w:r>
      <w:r>
        <w:rPr>
          <w:rFonts w:ascii="Verdana" w:hAnsi="Verdana"/>
          <w:sz w:val="16"/>
          <w:szCs w:val="16"/>
        </w:rPr>
        <w:t xml:space="preserve"> </w:t>
      </w:r>
      <w:r w:rsidRPr="008457D2">
        <w:rPr>
          <w:rFonts w:ascii="Verdana" w:hAnsi="Verdana"/>
          <w:sz w:val="16"/>
          <w:szCs w:val="16"/>
        </w:rPr>
        <w:t>UNIFÍCASE la jurisprudencia de la Sección Tercera del Consejo de Estado, en</w:t>
      </w:r>
      <w:r>
        <w:rPr>
          <w:rFonts w:ascii="Verdana" w:hAnsi="Verdana"/>
          <w:sz w:val="16"/>
          <w:szCs w:val="16"/>
        </w:rPr>
        <w:t xml:space="preserve"> </w:t>
      </w:r>
      <w:r w:rsidRPr="008457D2">
        <w:rPr>
          <w:rFonts w:ascii="Verdana" w:hAnsi="Verdana"/>
          <w:sz w:val="16"/>
          <w:szCs w:val="16"/>
        </w:rPr>
        <w:t>relación con el término de caducidad del medio de control de controversias</w:t>
      </w:r>
      <w:r>
        <w:rPr>
          <w:rFonts w:ascii="Verdana" w:hAnsi="Verdana"/>
          <w:sz w:val="16"/>
          <w:szCs w:val="16"/>
        </w:rPr>
        <w:t xml:space="preserve"> </w:t>
      </w:r>
      <w:r w:rsidRPr="008457D2">
        <w:rPr>
          <w:rFonts w:ascii="Verdana" w:hAnsi="Verdana"/>
          <w:sz w:val="16"/>
          <w:szCs w:val="16"/>
        </w:rPr>
        <w:t>contractuales de contratos que han sido liquidados después de haber vencido el</w:t>
      </w:r>
      <w:r>
        <w:rPr>
          <w:rFonts w:ascii="Verdana" w:hAnsi="Verdana"/>
          <w:sz w:val="16"/>
          <w:szCs w:val="16"/>
        </w:rPr>
        <w:t xml:space="preserve"> </w:t>
      </w:r>
      <w:r w:rsidRPr="008457D2">
        <w:rPr>
          <w:rFonts w:ascii="Verdana" w:hAnsi="Verdana"/>
          <w:sz w:val="16"/>
          <w:szCs w:val="16"/>
        </w:rPr>
        <w:t>término convencional y/o legalmente dispuesto para su liquidación, pero dentro de</w:t>
      </w:r>
      <w:r>
        <w:rPr>
          <w:rFonts w:ascii="Verdana" w:hAnsi="Verdana"/>
          <w:sz w:val="16"/>
          <w:szCs w:val="16"/>
        </w:rPr>
        <w:t xml:space="preserve"> </w:t>
      </w:r>
      <w:r w:rsidRPr="008457D2">
        <w:rPr>
          <w:rFonts w:ascii="Verdana" w:hAnsi="Verdana"/>
          <w:sz w:val="16"/>
          <w:szCs w:val="16"/>
        </w:rPr>
        <w:t>los dos años posteriores al vencimiento de este último. La Sala unifica el criterio</w:t>
      </w:r>
      <w:r>
        <w:rPr>
          <w:rFonts w:ascii="Verdana" w:hAnsi="Verdana"/>
          <w:sz w:val="16"/>
          <w:szCs w:val="16"/>
        </w:rPr>
        <w:t xml:space="preserve"> </w:t>
      </w:r>
      <w:r w:rsidRPr="008457D2">
        <w:rPr>
          <w:rFonts w:ascii="Verdana" w:hAnsi="Verdana"/>
          <w:sz w:val="16"/>
          <w:szCs w:val="16"/>
        </w:rPr>
        <w:t>que ha de ser observado para el conteo del término de caducidad del medio de</w:t>
      </w:r>
      <w:r>
        <w:rPr>
          <w:rFonts w:ascii="Verdana" w:hAnsi="Verdana"/>
          <w:sz w:val="16"/>
          <w:szCs w:val="16"/>
        </w:rPr>
        <w:t xml:space="preserve"> </w:t>
      </w:r>
      <w:r w:rsidRPr="008457D2">
        <w:rPr>
          <w:rFonts w:ascii="Verdana" w:hAnsi="Verdana"/>
          <w:sz w:val="16"/>
          <w:szCs w:val="16"/>
        </w:rPr>
        <w:t>control de controversias contractuales en tales casos, para indicar que éste debe</w:t>
      </w:r>
      <w:r>
        <w:rPr>
          <w:rFonts w:ascii="Verdana" w:hAnsi="Verdana"/>
          <w:sz w:val="16"/>
          <w:szCs w:val="16"/>
        </w:rPr>
        <w:t xml:space="preserve"> </w:t>
      </w:r>
      <w:r w:rsidRPr="008457D2">
        <w:rPr>
          <w:rFonts w:ascii="Verdana" w:hAnsi="Verdana"/>
          <w:sz w:val="16"/>
          <w:szCs w:val="16"/>
        </w:rPr>
        <w:t>iniciar a partir del día siguiente al de la firma del acta o de la ejecutoria del acto de</w:t>
      </w:r>
      <w:r>
        <w:rPr>
          <w:rFonts w:ascii="Verdana" w:hAnsi="Verdana"/>
          <w:sz w:val="16"/>
          <w:szCs w:val="16"/>
        </w:rPr>
        <w:t xml:space="preserve"> </w:t>
      </w:r>
      <w:r w:rsidRPr="008457D2">
        <w:rPr>
          <w:rFonts w:ascii="Verdana" w:hAnsi="Verdana"/>
          <w:sz w:val="16"/>
          <w:szCs w:val="16"/>
        </w:rPr>
        <w:t>liquidación del contrato, conforme al ap. iii del literal j. del numeral 2 del artículo</w:t>
      </w:r>
      <w:r>
        <w:rPr>
          <w:rFonts w:ascii="Verdana" w:hAnsi="Verdana"/>
          <w:sz w:val="16"/>
          <w:szCs w:val="16"/>
        </w:rPr>
        <w:t xml:space="preserve"> </w:t>
      </w:r>
      <w:r w:rsidRPr="008457D2">
        <w:rPr>
          <w:rFonts w:ascii="Verdana" w:hAnsi="Verdana"/>
          <w:sz w:val="16"/>
          <w:szCs w:val="16"/>
        </w:rPr>
        <w:t>164 del CPACA; y de precisar que, en consecuencia, el apartado v) del literal j del</w:t>
      </w:r>
      <w:r>
        <w:rPr>
          <w:rFonts w:ascii="Verdana" w:hAnsi="Verdana"/>
          <w:sz w:val="16"/>
          <w:szCs w:val="16"/>
        </w:rPr>
        <w:t xml:space="preserve"> </w:t>
      </w:r>
      <w:r w:rsidRPr="008457D2">
        <w:rPr>
          <w:rFonts w:ascii="Verdana" w:hAnsi="Verdana"/>
          <w:sz w:val="16"/>
          <w:szCs w:val="16"/>
        </w:rPr>
        <w:t>mismo numeral solo se deberá aplicar cuando al momento de interponerse la</w:t>
      </w:r>
      <w:r>
        <w:rPr>
          <w:rFonts w:ascii="Verdana" w:hAnsi="Verdana"/>
          <w:sz w:val="16"/>
          <w:szCs w:val="16"/>
        </w:rPr>
        <w:t xml:space="preserve"> </w:t>
      </w:r>
      <w:r w:rsidRPr="008457D2">
        <w:rPr>
          <w:rFonts w:ascii="Verdana" w:hAnsi="Verdana"/>
          <w:sz w:val="16"/>
          <w:szCs w:val="16"/>
        </w:rPr>
        <w:t>demanda, el operador judicial encuentre que no hubo liquidación contractual</w:t>
      </w:r>
      <w:r>
        <w:rPr>
          <w:rFonts w:ascii="Verdana" w:hAnsi="Verdana"/>
          <w:sz w:val="16"/>
          <w:szCs w:val="16"/>
        </w:rPr>
        <w:t xml:space="preserve"> </w:t>
      </w:r>
      <w:r w:rsidRPr="008457D2">
        <w:rPr>
          <w:rFonts w:ascii="Verdana" w:hAnsi="Verdana"/>
          <w:sz w:val="16"/>
          <w:szCs w:val="16"/>
        </w:rPr>
        <w:t>alguna</w:t>
      </w:r>
      <w:r>
        <w:rPr>
          <w:rFonts w:ascii="Verdana" w:hAnsi="Verdana"/>
          <w:sz w:val="16"/>
          <w:szCs w:val="16"/>
        </w:rPr>
        <w:t>”</w:t>
      </w:r>
      <w:r w:rsidRPr="008457D2">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35pt;height:11.3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04AA"/>
    <w:rsid w:val="00061B2A"/>
    <w:rsid w:val="00082362"/>
    <w:rsid w:val="000A683E"/>
    <w:rsid w:val="000B19B9"/>
    <w:rsid w:val="000D0334"/>
    <w:rsid w:val="000F2D86"/>
    <w:rsid w:val="000F6486"/>
    <w:rsid w:val="00123E9A"/>
    <w:rsid w:val="00125105"/>
    <w:rsid w:val="00127233"/>
    <w:rsid w:val="001E4177"/>
    <w:rsid w:val="001F7DC6"/>
    <w:rsid w:val="002421BB"/>
    <w:rsid w:val="0025796E"/>
    <w:rsid w:val="002707A2"/>
    <w:rsid w:val="00283FE4"/>
    <w:rsid w:val="00286BFE"/>
    <w:rsid w:val="002951A0"/>
    <w:rsid w:val="002962BC"/>
    <w:rsid w:val="002A093D"/>
    <w:rsid w:val="002A0DD0"/>
    <w:rsid w:val="002A49AC"/>
    <w:rsid w:val="002A64FD"/>
    <w:rsid w:val="002C7A84"/>
    <w:rsid w:val="002E4FD9"/>
    <w:rsid w:val="00322A85"/>
    <w:rsid w:val="00324168"/>
    <w:rsid w:val="003448F4"/>
    <w:rsid w:val="00374F5E"/>
    <w:rsid w:val="00377E3E"/>
    <w:rsid w:val="003A26D1"/>
    <w:rsid w:val="003A779E"/>
    <w:rsid w:val="003D0F4D"/>
    <w:rsid w:val="003D5B0D"/>
    <w:rsid w:val="003E0499"/>
    <w:rsid w:val="003F3941"/>
    <w:rsid w:val="00406575"/>
    <w:rsid w:val="0042722E"/>
    <w:rsid w:val="0044528D"/>
    <w:rsid w:val="004A1847"/>
    <w:rsid w:val="004A305D"/>
    <w:rsid w:val="004E1FE4"/>
    <w:rsid w:val="004F21C4"/>
    <w:rsid w:val="004F685F"/>
    <w:rsid w:val="00532883"/>
    <w:rsid w:val="00541617"/>
    <w:rsid w:val="005440B0"/>
    <w:rsid w:val="005566E8"/>
    <w:rsid w:val="00574867"/>
    <w:rsid w:val="00591460"/>
    <w:rsid w:val="00592628"/>
    <w:rsid w:val="005C3777"/>
    <w:rsid w:val="005C5CDC"/>
    <w:rsid w:val="005D476C"/>
    <w:rsid w:val="00610812"/>
    <w:rsid w:val="006219F8"/>
    <w:rsid w:val="0063085B"/>
    <w:rsid w:val="00650FF7"/>
    <w:rsid w:val="00665D70"/>
    <w:rsid w:val="00671DAC"/>
    <w:rsid w:val="006900D9"/>
    <w:rsid w:val="006A5A54"/>
    <w:rsid w:val="006D12F8"/>
    <w:rsid w:val="00706C16"/>
    <w:rsid w:val="00756841"/>
    <w:rsid w:val="007649AB"/>
    <w:rsid w:val="00771D0C"/>
    <w:rsid w:val="007833AC"/>
    <w:rsid w:val="0078512F"/>
    <w:rsid w:val="007B268C"/>
    <w:rsid w:val="007B5B75"/>
    <w:rsid w:val="007B7171"/>
    <w:rsid w:val="007C0C0F"/>
    <w:rsid w:val="007C3DC2"/>
    <w:rsid w:val="007E5497"/>
    <w:rsid w:val="007F6FC5"/>
    <w:rsid w:val="00806F5F"/>
    <w:rsid w:val="00820278"/>
    <w:rsid w:val="008843B6"/>
    <w:rsid w:val="00891928"/>
    <w:rsid w:val="008A446D"/>
    <w:rsid w:val="008D180B"/>
    <w:rsid w:val="008F0EA7"/>
    <w:rsid w:val="00923EEF"/>
    <w:rsid w:val="009419F9"/>
    <w:rsid w:val="0095685E"/>
    <w:rsid w:val="00961B09"/>
    <w:rsid w:val="00961C0B"/>
    <w:rsid w:val="00965334"/>
    <w:rsid w:val="0097093E"/>
    <w:rsid w:val="00983929"/>
    <w:rsid w:val="00983B21"/>
    <w:rsid w:val="009A0DFA"/>
    <w:rsid w:val="009B2D26"/>
    <w:rsid w:val="009C71FA"/>
    <w:rsid w:val="009C72E7"/>
    <w:rsid w:val="009D3058"/>
    <w:rsid w:val="009F3A13"/>
    <w:rsid w:val="00A122D3"/>
    <w:rsid w:val="00A17F13"/>
    <w:rsid w:val="00A20739"/>
    <w:rsid w:val="00A33C78"/>
    <w:rsid w:val="00A74CCB"/>
    <w:rsid w:val="00AB0ADB"/>
    <w:rsid w:val="00B01B1A"/>
    <w:rsid w:val="00B13613"/>
    <w:rsid w:val="00B72CD3"/>
    <w:rsid w:val="00B72FFF"/>
    <w:rsid w:val="00B97273"/>
    <w:rsid w:val="00BA4212"/>
    <w:rsid w:val="00BC3D36"/>
    <w:rsid w:val="00BD7F72"/>
    <w:rsid w:val="00BE0A35"/>
    <w:rsid w:val="00BE792C"/>
    <w:rsid w:val="00C04FB3"/>
    <w:rsid w:val="00C214B9"/>
    <w:rsid w:val="00C330EB"/>
    <w:rsid w:val="00C475CF"/>
    <w:rsid w:val="00C754BE"/>
    <w:rsid w:val="00C76B1C"/>
    <w:rsid w:val="00C915D6"/>
    <w:rsid w:val="00CB330A"/>
    <w:rsid w:val="00CB6357"/>
    <w:rsid w:val="00CC1B26"/>
    <w:rsid w:val="00D3146C"/>
    <w:rsid w:val="00D423A2"/>
    <w:rsid w:val="00D520D8"/>
    <w:rsid w:val="00D616B7"/>
    <w:rsid w:val="00D63AC2"/>
    <w:rsid w:val="00D7383B"/>
    <w:rsid w:val="00D80E81"/>
    <w:rsid w:val="00DA231B"/>
    <w:rsid w:val="00DA23A0"/>
    <w:rsid w:val="00DB41C5"/>
    <w:rsid w:val="00DC39FC"/>
    <w:rsid w:val="00DF4588"/>
    <w:rsid w:val="00DF5254"/>
    <w:rsid w:val="00E12BE1"/>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31EDC"/>
    <w:rsid w:val="00F33FA1"/>
    <w:rsid w:val="00F462B3"/>
    <w:rsid w:val="00F5664F"/>
    <w:rsid w:val="00F666C4"/>
    <w:rsid w:val="00F76AFC"/>
    <w:rsid w:val="00FA47C0"/>
    <w:rsid w:val="00FB5DD1"/>
    <w:rsid w:val="00FC2B5D"/>
    <w:rsid w:val="00FF1449"/>
    <w:rsid w:val="5378C036"/>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8512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8512F"/>
    <w:rPr>
      <w:rFonts w:ascii="Geomanist Light" w:hAnsi="Geomanist Light"/>
      <w:lang w:val="es-ES"/>
    </w:rPr>
  </w:style>
  <w:style w:type="character" w:styleId="Textoennegrita">
    <w:name w:val="Strong"/>
    <w:basedOn w:val="Fuentedeprrafopredeter"/>
    <w:uiPriority w:val="22"/>
    <w:qFormat/>
    <w:rsid w:val="0078512F"/>
    <w:rPr>
      <w:b/>
      <w:bCs/>
    </w:rPr>
  </w:style>
  <w:style w:type="character" w:styleId="nfasis">
    <w:name w:val="Emphasis"/>
    <w:basedOn w:val="Fuentedeprrafopredeter"/>
    <w:uiPriority w:val="20"/>
    <w:qFormat/>
    <w:rsid w:val="007851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liecerpereirab@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cceficiente.sharepoint.com/sites/SGDEA/TRD_254/EXPEDIENTE_1668/DOCUMENTO_407171/DOCUMENTO_407171.doc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4F5B4FA1-37E7-44BF-B391-48F6002B2470}"/>
</file>

<file path=docProps/app.xml><?xml version="1.0" encoding="utf-8"?>
<Properties xmlns="http://schemas.openxmlformats.org/officeDocument/2006/extended-properties" xmlns:vt="http://schemas.openxmlformats.org/officeDocument/2006/docPropsVTypes">
  <Template>Normal.dotm</Template>
  <TotalTime>1</TotalTime>
  <Pages>15</Pages>
  <Words>4702</Words>
  <Characters>25867</Characters>
  <Application>Microsoft Office Word</Application>
  <DocSecurity>0</DocSecurity>
  <Lines>215</Lines>
  <Paragraphs>61</Paragraphs>
  <ScaleCrop>false</ScaleCrop>
  <Company/>
  <LinksUpToDate>false</LinksUpToDate>
  <CharactersWithSpaces>30508</CharactersWithSpaces>
  <SharedDoc>false</SharedDoc>
  <HLinks>
    <vt:vector size="24" baseType="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720937</vt:i4>
      </vt:variant>
      <vt:variant>
        <vt:i4>0</vt:i4>
      </vt:variant>
      <vt:variant>
        <vt:i4>0</vt:i4>
      </vt:variant>
      <vt:variant>
        <vt:i4>5</vt:i4>
      </vt:variant>
      <vt:variant>
        <vt:lpwstr>mailto:eliecerpereirab@gmail.com</vt:lpwstr>
      </vt:variant>
      <vt:variant>
        <vt:lpwstr/>
      </vt:variant>
      <vt:variant>
        <vt:i4>458817</vt:i4>
      </vt:variant>
      <vt:variant>
        <vt:i4>0</vt:i4>
      </vt:variant>
      <vt:variant>
        <vt:i4>0</vt:i4>
      </vt:variant>
      <vt:variant>
        <vt:i4>5</vt:i4>
      </vt:variant>
      <vt:variant>
        <vt:lpwstr>https://cceficiente.sharepoint.com/sites/SGDEA/TRD_254/EXPEDIENTE_1668/DOCUMENTO_407171/DOCUMENTO_407171.docx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2024-08-15T14:57:00Z</dcterms:created>
  <dcterms:modified xsi:type="dcterms:W3CDTF">2024-08-27T20:49:00Z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