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DC6D39" w14:textId="77777777" w:rsidR="004823F9" w:rsidRPr="000D5A0F" w:rsidRDefault="004823F9" w:rsidP="004823F9">
      <w:pPr>
        <w:shd w:val="clear" w:color="auto" w:fill="FFFFFF"/>
        <w:spacing w:before="120" w:beforeAutospacing="1" w:after="120" w:afterAutospacing="1" w:line="276" w:lineRule="auto"/>
        <w:jc w:val="both"/>
        <w:rPr>
          <w:rFonts w:ascii="Verdana" w:eastAsia="Times New Roman" w:hAnsi="Verdana" w:cs="Arial"/>
          <w:b/>
          <w:bCs/>
          <w:color w:val="000000"/>
          <w:shd w:val="clear" w:color="auto" w:fill="FFFFFF"/>
          <w:lang w:eastAsia="es-CO"/>
        </w:rPr>
      </w:pPr>
      <w:bookmarkStart w:id="0" w:name="_Hlk186494164"/>
      <w:r w:rsidRPr="000D5A0F">
        <w:rPr>
          <w:rFonts w:ascii="Verdana" w:eastAsia="Times New Roman" w:hAnsi="Verdana" w:cs="Arial"/>
          <w:b/>
          <w:bCs/>
          <w:color w:val="000000"/>
          <w:shd w:val="clear" w:color="auto" w:fill="FFFFFF"/>
          <w:lang w:eastAsia="es-CO"/>
        </w:rPr>
        <w:t xml:space="preserve">SEGURIDAD SOCIAL INTEGRAL – Verificación </w:t>
      </w:r>
    </w:p>
    <w:p w14:paraId="1456DD54" w14:textId="77777777" w:rsidR="004823F9" w:rsidRPr="000D5A0F" w:rsidRDefault="004823F9" w:rsidP="004823F9">
      <w:pPr>
        <w:shd w:val="clear" w:color="auto" w:fill="FFFFFF"/>
        <w:spacing w:before="240" w:beforeAutospacing="1" w:after="240" w:afterAutospacing="1" w:line="240" w:lineRule="auto"/>
        <w:jc w:val="both"/>
        <w:rPr>
          <w:rFonts w:ascii="Verdana" w:eastAsia="Times New Roman" w:hAnsi="Verdana" w:cs="Arial"/>
          <w:color w:val="000000"/>
          <w:sz w:val="20"/>
          <w:szCs w:val="20"/>
          <w:bdr w:val="none" w:sz="0" w:space="0" w:color="auto" w:frame="1"/>
          <w:lang w:eastAsia="es-CO"/>
        </w:rPr>
      </w:pPr>
      <w:r w:rsidRPr="000D5A0F">
        <w:rPr>
          <w:rFonts w:ascii="Verdana" w:eastAsia="Times New Roman" w:hAnsi="Verdana" w:cs="Arial"/>
          <w:color w:val="000000"/>
          <w:sz w:val="20"/>
          <w:szCs w:val="20"/>
          <w:bdr w:val="none" w:sz="0" w:space="0" w:color="auto" w:frame="1"/>
          <w:lang w:eastAsia="es-CO"/>
        </w:rPr>
        <w:t>La Seguridad Social es un servicio público obligatorio, cuya dirección, coordinación y control está a cargo del Estado y es prestado por entidades públicas y privadas. Mediante esta se evitan desequilibrios económicos y sociales que, de no resolverse, significarían la reducción o la pérdida de los ingresos por causa de contingencias como la enfermedad, los accidentes, la maternidad o el desempleo, entre otras. De acuerdo con la Ley 100 de 1993, el Sistema de Seguridad Social Integral en Colombia se compone de los sistemas de pensiones, de salud y de riesgos laborales y de los servicios sociales complementarios.</w:t>
      </w:r>
    </w:p>
    <w:p w14:paraId="6375AD24" w14:textId="77777777" w:rsidR="004823F9" w:rsidRPr="000D5A0F" w:rsidRDefault="004823F9" w:rsidP="004823F9">
      <w:pPr>
        <w:shd w:val="clear" w:color="auto" w:fill="FFFFFF"/>
        <w:spacing w:before="240" w:beforeAutospacing="1" w:after="240" w:afterAutospacing="1" w:line="240" w:lineRule="auto"/>
        <w:jc w:val="both"/>
        <w:rPr>
          <w:rFonts w:ascii="Verdana" w:eastAsia="Times New Roman" w:hAnsi="Verdana" w:cs="Arial"/>
          <w:color w:val="000000"/>
          <w:sz w:val="20"/>
          <w:szCs w:val="20"/>
          <w:bdr w:val="none" w:sz="0" w:space="0" w:color="auto" w:frame="1"/>
          <w:lang w:eastAsia="es-CO"/>
        </w:rPr>
      </w:pPr>
      <w:r w:rsidRPr="000D5A0F">
        <w:rPr>
          <w:rFonts w:ascii="Verdana" w:eastAsia="Times New Roman" w:hAnsi="Verdana" w:cs="Arial"/>
          <w:color w:val="000000"/>
          <w:sz w:val="20"/>
          <w:szCs w:val="20"/>
          <w:bdr w:val="none" w:sz="0" w:space="0" w:color="auto" w:frame="1"/>
          <w:lang w:eastAsia="es-CO"/>
        </w:rPr>
        <w:t xml:space="preserve">El artículo 50 de la Ley 789 de 2002 dispuso como obligación de quien quiere celebrar, renovar o liquidar contratos de cualquier naturaleza con entidades del sector público, cumplir con las obligaciones a los sistemas de salud, riesgos profesionales, pensiones y aportes a la Caja de Compensación Familiar, Instituto Colombiano de Bienestar Familiar y Servicio Nacional de Aprendizaje. Asimismo, faculta a la entidad estatal, al momento de liquidar los contratos, para verificar y dejar constancia del cumplimiento de las obligaciones del contratista frente a los aportes mencionados durante toda su vigencia, estableciendo una correcta relación entre el monto cancelado y las sumas que debió cotizar </w:t>
      </w:r>
    </w:p>
    <w:p w14:paraId="09F31F7D" w14:textId="7B017EFD" w:rsidR="009F0471" w:rsidRDefault="004823F9" w:rsidP="009F0471">
      <w:pPr>
        <w:spacing w:line="276" w:lineRule="auto"/>
        <w:jc w:val="both"/>
        <w:rPr>
          <w:rFonts w:ascii="Verdana" w:eastAsia="Calibri" w:hAnsi="Verdana" w:cs="Arial"/>
          <w:b/>
          <w:bCs/>
          <w:lang w:val="es-ES" w:eastAsia="es-ES"/>
        </w:rPr>
      </w:pPr>
      <w:r w:rsidRPr="000D5A0F">
        <w:rPr>
          <w:rFonts w:ascii="Verdana" w:eastAsia="Times New Roman" w:hAnsi="Verdana" w:cs="Arial"/>
          <w:b/>
          <w:bCs/>
          <w:color w:val="000000"/>
          <w:shd w:val="clear" w:color="auto" w:fill="FFFFFF"/>
          <w:lang w:eastAsia="es-CO"/>
        </w:rPr>
        <w:t xml:space="preserve">SEGURIDAD SOCIAL INTEGRAL – </w:t>
      </w:r>
      <w:r w:rsidR="009F0471" w:rsidRPr="009F0471">
        <w:rPr>
          <w:rFonts w:ascii="Verdana" w:eastAsia="Calibri" w:hAnsi="Verdana" w:cs="Arial"/>
          <w:b/>
          <w:bCs/>
          <w:lang w:val="es-ES" w:eastAsia="es-ES"/>
        </w:rPr>
        <w:t>Ley 789 de 2002 – Artículo 50</w:t>
      </w:r>
    </w:p>
    <w:p w14:paraId="43025F0B" w14:textId="77777777" w:rsidR="009F0471" w:rsidRPr="000D5A0F" w:rsidRDefault="009F0471" w:rsidP="009F0471">
      <w:pPr>
        <w:shd w:val="clear" w:color="auto" w:fill="FFFFFF"/>
        <w:spacing w:before="240" w:beforeAutospacing="1" w:after="240" w:afterAutospacing="1" w:line="240" w:lineRule="auto"/>
        <w:jc w:val="both"/>
        <w:rPr>
          <w:rFonts w:ascii="Verdana" w:eastAsia="Times New Roman" w:hAnsi="Verdana" w:cs="Arial"/>
          <w:color w:val="000000"/>
          <w:sz w:val="20"/>
          <w:szCs w:val="20"/>
          <w:bdr w:val="none" w:sz="0" w:space="0" w:color="auto" w:frame="1"/>
          <w:lang w:eastAsia="es-CO"/>
        </w:rPr>
      </w:pPr>
      <w:r w:rsidRPr="000D5A0F">
        <w:rPr>
          <w:rFonts w:ascii="Verdana" w:eastAsia="Times New Roman" w:hAnsi="Verdana" w:cs="Arial"/>
          <w:color w:val="000000"/>
          <w:sz w:val="20"/>
          <w:szCs w:val="20"/>
          <w:bdr w:val="none" w:sz="0" w:space="0" w:color="auto" w:frame="1"/>
          <w:lang w:eastAsia="es-CO"/>
        </w:rPr>
        <w:t xml:space="preserve">[…] las personas jurídicas que quieran celebrar contratos con las entidades estatales deben acreditar el pago al sistema de seguridad social de sus empleados, por eso presentarán una certificación expedida por el revisor fiscal o por el representante legal, durante un lapso equivalente al que exija el respectivo régimen de contratación para que se hubiera constituido la sociedad, el cual no será inferior a los seis (6) meses anteriores a la celebración del contrato. En este sentido, la ley señala que para presentar la oferta las personas jurídicas deben acreditar el requisito señalado anteriormente. </w:t>
      </w:r>
    </w:p>
    <w:p w14:paraId="4D0508E7" w14:textId="77777777" w:rsidR="009F0471" w:rsidRPr="000D5A0F" w:rsidRDefault="009F0471" w:rsidP="009F0471">
      <w:pPr>
        <w:shd w:val="clear" w:color="auto" w:fill="FFFFFF"/>
        <w:spacing w:before="240" w:beforeAutospacing="1" w:after="240" w:afterAutospacing="1" w:line="240" w:lineRule="auto"/>
        <w:jc w:val="both"/>
        <w:rPr>
          <w:rFonts w:ascii="Verdana" w:eastAsia="Times New Roman" w:hAnsi="Verdana" w:cs="Arial"/>
          <w:color w:val="000000"/>
          <w:sz w:val="20"/>
          <w:szCs w:val="20"/>
          <w:bdr w:val="none" w:sz="0" w:space="0" w:color="auto" w:frame="1"/>
          <w:lang w:eastAsia="es-CO"/>
        </w:rPr>
      </w:pPr>
      <w:r w:rsidRPr="000D5A0F">
        <w:rPr>
          <w:rFonts w:ascii="Verdana" w:eastAsia="Times New Roman" w:hAnsi="Verdana" w:cs="Arial"/>
          <w:color w:val="000000"/>
          <w:sz w:val="20"/>
          <w:szCs w:val="20"/>
          <w:bdr w:val="none" w:sz="0" w:space="0" w:color="auto" w:frame="1"/>
          <w:lang w:eastAsia="es-CO"/>
        </w:rPr>
        <w:t>Esta norma fue analizada por la Sección Tercera del Consejo de Estado, que consideró que el artículo</w:t>
      </w:r>
      <w:r>
        <w:rPr>
          <w:rFonts w:ascii="Verdana" w:eastAsia="Times New Roman" w:hAnsi="Verdana" w:cs="Arial"/>
          <w:color w:val="000000"/>
          <w:sz w:val="20"/>
          <w:szCs w:val="20"/>
          <w:bdr w:val="none" w:sz="0" w:space="0" w:color="auto" w:frame="1"/>
          <w:lang w:eastAsia="es-CO"/>
        </w:rPr>
        <w:t xml:space="preserve"> </w:t>
      </w:r>
      <w:r w:rsidRPr="000D5A0F">
        <w:rPr>
          <w:rFonts w:ascii="Verdana" w:eastAsia="Times New Roman" w:hAnsi="Verdana" w:cs="Arial"/>
          <w:color w:val="000000"/>
          <w:sz w:val="20"/>
          <w:szCs w:val="20"/>
          <w:bdr w:val="none" w:sz="0" w:space="0" w:color="auto" w:frame="1"/>
          <w:lang w:eastAsia="es-CO"/>
        </w:rPr>
        <w:t xml:space="preserve">50 de la Ley 789 de 2002 tiene por objeto evitarla evasión por parte de los empleadores de las cotizaciones al sistema de seguridad social y de los aportes parafiscales, y para lograr esa finalidad el legislador impuso a las entidades estatales la obligación de verificar, en los procesos de selección de contratistas y durante la ejecución y liquidación de los contratos, que tanto los oferentes como los contratistas hayan realizado los aportes al Sistema de Seguridad Social Integral. Por lo tanto, la jurisprudencia reiteró la necesidad de que las entidades estatales, durante la ejecución de un contrato, verifiquen el cumplimiento de las obligaciones del sistema de seguridad social por parte de los oferentes. De esta manera, el artículo 23 de la Ley 1150 de 2007 que modificó el inciso segundo del artículo 41 de la Ley 80 de 1993, incluye la obligación, para los proponentes y contratistas, de estar a paz y salvo con los aportes parafiscales al Sistema de Seguridad Social Integral […] </w:t>
      </w:r>
    </w:p>
    <w:p w14:paraId="39CB3022" w14:textId="405D426E" w:rsidR="009F0471" w:rsidRPr="009F0471" w:rsidRDefault="009F0471" w:rsidP="009F0471">
      <w:pPr>
        <w:spacing w:after="0" w:line="240" w:lineRule="auto"/>
        <w:jc w:val="both"/>
        <w:rPr>
          <w:rFonts w:ascii="Verdana" w:eastAsia="Times New Roman" w:hAnsi="Verdana" w:cs="Arial"/>
          <w:color w:val="000000"/>
          <w:sz w:val="20"/>
          <w:szCs w:val="20"/>
          <w:bdr w:val="none" w:sz="0" w:space="0" w:color="auto" w:frame="1"/>
          <w:lang w:eastAsia="es-CO"/>
        </w:rPr>
      </w:pPr>
      <w:r w:rsidRPr="000D5A0F">
        <w:rPr>
          <w:rFonts w:ascii="Verdana" w:eastAsia="Times New Roman" w:hAnsi="Verdana" w:cs="Arial"/>
          <w:color w:val="000000"/>
          <w:sz w:val="20"/>
          <w:szCs w:val="20"/>
          <w:bdr w:val="none" w:sz="0" w:space="0" w:color="auto" w:frame="1"/>
          <w:lang w:eastAsia="es-CO"/>
        </w:rPr>
        <w:lastRenderedPageBreak/>
        <w:t>Del artículo 23 de la Ley 1150 de 2007 se concluye que, si bien los proponentes y los contratistas deben estar al día en el pago al Sistema de Seguridad Social, la verificación de este requisito, por parte de las entidades estatales, se realizará como requisito para iniciar la ejecución de los contratos –inciso primero– y cuando realicen cada pago originado en el contrato estatal –parágrafo 1–, es decir, durante la ejecución del contrato. En estos términos, la obligación de estar al día en el pago al Sistema de Seguridad Social Integral es un requisito de ejecución de los contratos estatales. Sin embargo, ello no significa que no se solicite en momentos previos y posteriores a la celebración del contrato, teniendo en cuenta lo prescrito en el artículo 50 de la Ley 789 de 2002.</w:t>
      </w:r>
    </w:p>
    <w:p w14:paraId="1C072E73" w14:textId="72D41B2A" w:rsidR="00454850" w:rsidRPr="00463A11" w:rsidRDefault="009F0471" w:rsidP="00463A11">
      <w:pPr>
        <w:shd w:val="clear" w:color="auto" w:fill="FFFFFF"/>
        <w:spacing w:before="120" w:beforeAutospacing="1" w:after="120" w:afterAutospacing="1" w:line="276" w:lineRule="auto"/>
        <w:jc w:val="both"/>
        <w:rPr>
          <w:rFonts w:ascii="Verdana" w:eastAsia="Times New Roman" w:hAnsi="Verdana" w:cs="Arial"/>
          <w:b/>
          <w:bCs/>
          <w:color w:val="000000"/>
          <w:shd w:val="clear" w:color="auto" w:fill="FFFFFF"/>
          <w:lang w:eastAsia="es-CO"/>
        </w:rPr>
      </w:pPr>
      <w:r w:rsidRPr="009F0471">
        <w:rPr>
          <w:rFonts w:ascii="Verdana" w:eastAsia="Calibri" w:hAnsi="Verdana" w:cs="Arial"/>
          <w:b/>
          <w:bCs/>
          <w:lang w:val="es-ES" w:eastAsia="es-ES"/>
        </w:rPr>
        <w:t xml:space="preserve">EJECUCIÓN </w:t>
      </w:r>
      <w:r w:rsidRPr="009F0471">
        <w:rPr>
          <w:rFonts w:ascii="Verdana" w:eastAsia="Times New Roman" w:hAnsi="Verdana" w:cs="Arial"/>
          <w:b/>
          <w:bCs/>
          <w:color w:val="000000"/>
          <w:shd w:val="clear" w:color="auto" w:fill="FFFFFF"/>
          <w:lang w:eastAsia="es-CO"/>
        </w:rPr>
        <w:t xml:space="preserve">– </w:t>
      </w:r>
      <w:r w:rsidRPr="009F0471">
        <w:rPr>
          <w:rFonts w:ascii="Verdana" w:eastAsia="Calibri" w:hAnsi="Verdana" w:cs="Arial"/>
          <w:b/>
          <w:bCs/>
          <w:lang w:val="es-ES" w:eastAsia="es-ES"/>
        </w:rPr>
        <w:t>Aportes parafiscales – Acreditación</w:t>
      </w:r>
      <w:r w:rsidRPr="009F0471">
        <w:rPr>
          <w:rFonts w:ascii="Verdana" w:eastAsia="Times New Roman" w:hAnsi="Verdana" w:cs="Arial"/>
          <w:b/>
          <w:bCs/>
          <w:color w:val="000000"/>
          <w:shd w:val="clear" w:color="auto" w:fill="FFFFFF"/>
          <w:lang w:eastAsia="es-CO"/>
        </w:rPr>
        <w:t xml:space="preserve"> </w:t>
      </w:r>
      <w:r w:rsidR="004823F9" w:rsidRPr="009F0471">
        <w:rPr>
          <w:rFonts w:ascii="Verdana" w:eastAsia="Times New Roman" w:hAnsi="Verdana" w:cs="Arial"/>
          <w:b/>
          <w:bCs/>
          <w:color w:val="000000"/>
          <w:shd w:val="clear" w:color="auto" w:fill="FFFFFF"/>
          <w:lang w:eastAsia="es-CO"/>
        </w:rPr>
        <w:t>Régimen</w:t>
      </w:r>
      <w:r w:rsidR="004823F9" w:rsidRPr="000D5A0F">
        <w:rPr>
          <w:rFonts w:ascii="Verdana" w:eastAsia="Times New Roman" w:hAnsi="Verdana" w:cs="Arial"/>
          <w:b/>
          <w:bCs/>
          <w:color w:val="000000"/>
          <w:shd w:val="clear" w:color="auto" w:fill="FFFFFF"/>
          <w:lang w:eastAsia="es-CO"/>
        </w:rPr>
        <w:t xml:space="preserve"> jurídico – Afiliación y aporte – Obligación legal – Ejecución del contrato </w:t>
      </w:r>
    </w:p>
    <w:p w14:paraId="0488B954" w14:textId="77777777" w:rsidR="00454850" w:rsidRDefault="00454850" w:rsidP="00454850">
      <w:pPr>
        <w:spacing w:after="0" w:line="240" w:lineRule="auto"/>
        <w:jc w:val="both"/>
        <w:rPr>
          <w:rFonts w:ascii="Verdana" w:eastAsia="Calibri" w:hAnsi="Verdana" w:cs="Arial"/>
          <w:sz w:val="20"/>
          <w:szCs w:val="20"/>
          <w:lang w:val="es-ES_tradnl"/>
        </w:rPr>
      </w:pPr>
      <w:r w:rsidRPr="00454850">
        <w:rPr>
          <w:rFonts w:ascii="Verdana" w:eastAsia="Calibri" w:hAnsi="Verdana" w:cs="Arial"/>
          <w:sz w:val="20"/>
          <w:szCs w:val="20"/>
          <w:lang w:val="es-ES_tradnl"/>
        </w:rPr>
        <w:t xml:space="preserve">De esta manera, la verificación del cumplimiento de las obligaciones relacionadas con el Sistema de Seguridad Social Integral se deberá realizar durante la ejecución de un contrato de interventoría independientemente de su forma de pago, en la medida que ni el artículo 41 de la Ley 80 de 1993, modificado por el artículo 23 de la Ley 1150 de 2007, ni el artículo 50 de la Ley 789 de 2002 se refiere exclusivamente a una tipología contractual o a una modalidad de selección particular sino que se refiere a cualquier contrato que celebre una Entidad Estatal. </w:t>
      </w:r>
    </w:p>
    <w:p w14:paraId="5734B3F1" w14:textId="77777777" w:rsidR="00463A11" w:rsidRDefault="00463A11" w:rsidP="00454850">
      <w:pPr>
        <w:spacing w:after="0" w:line="240" w:lineRule="auto"/>
        <w:jc w:val="both"/>
        <w:rPr>
          <w:rFonts w:ascii="Verdana" w:eastAsia="Calibri" w:hAnsi="Verdana" w:cs="Arial"/>
          <w:sz w:val="20"/>
          <w:szCs w:val="20"/>
          <w:lang w:val="es-ES_tradnl"/>
        </w:rPr>
      </w:pPr>
    </w:p>
    <w:p w14:paraId="38A7E524" w14:textId="77777777" w:rsidR="00463A11" w:rsidRDefault="00454850" w:rsidP="004823F9">
      <w:pPr>
        <w:spacing w:after="0" w:line="240" w:lineRule="auto"/>
        <w:jc w:val="both"/>
        <w:rPr>
          <w:rFonts w:ascii="Verdana" w:eastAsia="Calibri" w:hAnsi="Verdana" w:cs="Arial"/>
          <w:sz w:val="20"/>
          <w:szCs w:val="20"/>
          <w:lang w:val="es-ES_tradnl"/>
        </w:rPr>
      </w:pPr>
      <w:r w:rsidRPr="00454850">
        <w:rPr>
          <w:rFonts w:ascii="Verdana" w:eastAsia="Arial" w:hAnsi="Verdana" w:cs="Arial"/>
          <w:sz w:val="20"/>
          <w:szCs w:val="20"/>
          <w:lang w:val="es-ES"/>
        </w:rPr>
        <w:t xml:space="preserve">Ahora bien, los parámetros descritos también se refieren a la forma en que las personas jurídicas deben acreditar el cumplimiento de sus obligaciones con el Sistema de Seguridad Social. En esta medida, el artículo 50 de la Ley 789 de 2002 dispone que las personas jurídicas deben acreditar el pago de los aportes de sus </w:t>
      </w:r>
      <w:r w:rsidRPr="00454850">
        <w:rPr>
          <w:rFonts w:ascii="Verdana" w:eastAsia="Arial" w:hAnsi="Verdana" w:cs="Arial"/>
          <w:i/>
          <w:iCs/>
          <w:sz w:val="20"/>
          <w:szCs w:val="20"/>
          <w:lang w:val="es-ES"/>
        </w:rPr>
        <w:t>empleados</w:t>
      </w:r>
      <w:r w:rsidRPr="00454850">
        <w:rPr>
          <w:rFonts w:ascii="Verdana" w:eastAsia="Arial" w:hAnsi="Verdana" w:cs="Arial"/>
          <w:sz w:val="20"/>
          <w:szCs w:val="20"/>
          <w:lang w:val="es-ES"/>
        </w:rPr>
        <w:t xml:space="preserve">, con lo que se refiere a aquellas personas que cuenten con una relación laboral en los términos de los artículos 22 y 23 del Código Sustantivo del Trabajo. Teniendo en cuenta que el artículo 84 de la Constitución Política dispone que “cuando un derecho o una actividad hayan sido reglamentados de manera general, las </w:t>
      </w:r>
      <w:proofErr w:type="gramStart"/>
      <w:r w:rsidRPr="00454850">
        <w:rPr>
          <w:rFonts w:ascii="Verdana" w:eastAsia="Arial" w:hAnsi="Verdana" w:cs="Arial"/>
          <w:sz w:val="20"/>
          <w:szCs w:val="20"/>
          <w:lang w:val="es-ES"/>
        </w:rPr>
        <w:t>autoridades públicas</w:t>
      </w:r>
      <w:proofErr w:type="gramEnd"/>
      <w:r w:rsidRPr="00454850">
        <w:rPr>
          <w:rFonts w:ascii="Verdana" w:eastAsia="Arial" w:hAnsi="Verdana" w:cs="Arial"/>
          <w:sz w:val="20"/>
          <w:szCs w:val="20"/>
          <w:lang w:val="es-ES"/>
        </w:rPr>
        <w:t xml:space="preserve"> no podrán establecer ni exigir permisos, licencias o requisitos adicionales para su ejercicio”, es posible señalar que la ley no exigió que las personas jurídicas acrediten el pago de los aportes de sus contratistas, ni aporten las planillas de pago. </w:t>
      </w:r>
    </w:p>
    <w:p w14:paraId="6DBAE0A4" w14:textId="77777777" w:rsidR="00463A11" w:rsidRDefault="00463A11" w:rsidP="004823F9">
      <w:pPr>
        <w:spacing w:after="0" w:line="240" w:lineRule="auto"/>
        <w:jc w:val="both"/>
        <w:rPr>
          <w:rFonts w:ascii="Verdana" w:eastAsia="Calibri" w:hAnsi="Verdana" w:cs="Arial"/>
          <w:sz w:val="20"/>
          <w:szCs w:val="20"/>
          <w:lang w:val="es-ES_tradnl"/>
        </w:rPr>
      </w:pPr>
    </w:p>
    <w:p w14:paraId="00D24F04" w14:textId="1604CD27" w:rsidR="004823F9" w:rsidRPr="00463A11" w:rsidRDefault="00463A11" w:rsidP="004823F9">
      <w:pPr>
        <w:spacing w:after="0" w:line="240" w:lineRule="auto"/>
        <w:jc w:val="both"/>
        <w:rPr>
          <w:rFonts w:ascii="Verdana" w:eastAsia="Calibri" w:hAnsi="Verdana" w:cs="Arial"/>
          <w:sz w:val="20"/>
          <w:szCs w:val="20"/>
          <w:lang w:val="es-ES_tradnl"/>
        </w:rPr>
      </w:pPr>
      <w:r w:rsidRPr="00463A11">
        <w:rPr>
          <w:rFonts w:ascii="Verdana" w:eastAsia="Times New Roman" w:hAnsi="Verdana" w:cs="Arial"/>
          <w:color w:val="000000"/>
          <w:sz w:val="20"/>
          <w:szCs w:val="20"/>
          <w:bdr w:val="none" w:sz="0" w:space="0" w:color="auto" w:frame="1"/>
          <w:lang w:val="es-ES" w:eastAsia="es-CO"/>
        </w:rPr>
        <w:t xml:space="preserve">Se concluye de lo anterior que, los proponentes que tengan la calidad de personas jurídicas únicamente deberán acreditar el pago de los aportes de sus </w:t>
      </w:r>
      <w:r w:rsidRPr="00463A11">
        <w:rPr>
          <w:rFonts w:ascii="Verdana" w:eastAsia="Times New Roman" w:hAnsi="Verdana" w:cs="Arial"/>
          <w:i/>
          <w:iCs/>
          <w:color w:val="000000"/>
          <w:sz w:val="20"/>
          <w:szCs w:val="20"/>
          <w:bdr w:val="none" w:sz="0" w:space="0" w:color="auto" w:frame="1"/>
          <w:lang w:val="es-ES" w:eastAsia="es-CO"/>
        </w:rPr>
        <w:t>empleados</w:t>
      </w:r>
      <w:r w:rsidRPr="00463A11">
        <w:rPr>
          <w:rFonts w:ascii="Verdana" w:eastAsia="Times New Roman" w:hAnsi="Verdana" w:cs="Arial"/>
          <w:color w:val="000000"/>
          <w:sz w:val="20"/>
          <w:szCs w:val="20"/>
          <w:bdr w:val="none" w:sz="0" w:space="0" w:color="auto" w:frame="1"/>
          <w:lang w:val="es-ES" w:eastAsia="es-CO"/>
        </w:rPr>
        <w:t>, tal como lo exige el artículo 50 de la Ley 789 de 2002. En tal sentido, no deberán acreditar dichos pagos con respecto a aquel personal que cuenten con un tipo de vinculación distinta al contrato laboral, como es el caso de aquellas personas contratadas mediante prestación de servicios</w:t>
      </w:r>
      <w:r w:rsidR="0080197C">
        <w:rPr>
          <w:rFonts w:ascii="Verdana" w:eastAsia="Times New Roman" w:hAnsi="Verdana" w:cs="Arial"/>
          <w:color w:val="000000"/>
          <w:sz w:val="20"/>
          <w:szCs w:val="20"/>
          <w:bdr w:val="none" w:sz="0" w:space="0" w:color="auto" w:frame="1"/>
          <w:lang w:val="es-ES" w:eastAsia="es-CO"/>
        </w:rPr>
        <w:t>.</w:t>
      </w:r>
    </w:p>
    <w:p w14:paraId="3A70F4A3" w14:textId="77777777" w:rsidR="004823F9" w:rsidRDefault="004823F9" w:rsidP="004823F9">
      <w:pPr>
        <w:spacing w:after="0" w:line="240" w:lineRule="auto"/>
        <w:rPr>
          <w:rFonts w:ascii="Verdana" w:eastAsia="Times New Roman" w:hAnsi="Verdana" w:cs="Arial"/>
          <w:color w:val="000000"/>
          <w:sz w:val="20"/>
          <w:szCs w:val="20"/>
          <w:bdr w:val="none" w:sz="0" w:space="0" w:color="auto" w:frame="1"/>
          <w:lang w:eastAsia="es-CO"/>
        </w:rPr>
      </w:pPr>
    </w:p>
    <w:p w14:paraId="53F71E3F" w14:textId="77777777" w:rsidR="004823F9" w:rsidRDefault="004823F9" w:rsidP="004823F9">
      <w:pPr>
        <w:spacing w:after="0" w:line="240" w:lineRule="auto"/>
        <w:rPr>
          <w:rFonts w:ascii="Verdana" w:eastAsia="Times New Roman" w:hAnsi="Verdana" w:cs="Arial"/>
          <w:color w:val="000000"/>
          <w:sz w:val="20"/>
          <w:szCs w:val="20"/>
          <w:bdr w:val="none" w:sz="0" w:space="0" w:color="auto" w:frame="1"/>
          <w:lang w:eastAsia="es-CO"/>
        </w:rPr>
      </w:pPr>
    </w:p>
    <w:p w14:paraId="03DFA4EC" w14:textId="77777777" w:rsidR="004823F9" w:rsidRDefault="004823F9" w:rsidP="004823F9">
      <w:pPr>
        <w:spacing w:after="0" w:line="240" w:lineRule="auto"/>
        <w:rPr>
          <w:rFonts w:ascii="Verdana" w:eastAsia="Times New Roman" w:hAnsi="Verdana" w:cs="Arial"/>
          <w:color w:val="000000"/>
          <w:sz w:val="20"/>
          <w:szCs w:val="20"/>
          <w:bdr w:val="none" w:sz="0" w:space="0" w:color="auto" w:frame="1"/>
          <w:lang w:eastAsia="es-CO"/>
        </w:rPr>
      </w:pPr>
    </w:p>
    <w:p w14:paraId="23661BA4" w14:textId="77777777" w:rsidR="004823F9" w:rsidRDefault="004823F9" w:rsidP="004823F9">
      <w:pPr>
        <w:spacing w:after="0" w:line="240" w:lineRule="auto"/>
        <w:rPr>
          <w:rFonts w:ascii="Verdana" w:eastAsia="Times New Roman" w:hAnsi="Verdana" w:cs="Arial"/>
          <w:color w:val="000000"/>
          <w:sz w:val="20"/>
          <w:szCs w:val="20"/>
          <w:bdr w:val="none" w:sz="0" w:space="0" w:color="auto" w:frame="1"/>
          <w:lang w:eastAsia="es-CO"/>
        </w:rPr>
      </w:pPr>
    </w:p>
    <w:p w14:paraId="5548E5B6" w14:textId="77777777" w:rsidR="004823F9" w:rsidRDefault="004823F9" w:rsidP="004823F9">
      <w:pPr>
        <w:spacing w:after="0" w:line="240" w:lineRule="auto"/>
        <w:rPr>
          <w:rFonts w:ascii="Verdana" w:eastAsia="Geomanist Light" w:hAnsi="Verdana" w:cs="Arial"/>
          <w:color w:val="000000" w:themeColor="text1"/>
        </w:rPr>
      </w:pPr>
    </w:p>
    <w:p w14:paraId="605E4DD4" w14:textId="11D0A76D" w:rsidR="003A6A45" w:rsidRPr="00D13E32" w:rsidRDefault="003A6A45" w:rsidP="003A6A45">
      <w:pPr>
        <w:spacing w:after="0" w:line="240" w:lineRule="auto"/>
        <w:rPr>
          <w:rFonts w:ascii="Verdana" w:eastAsia="Geomanist Light" w:hAnsi="Verdana" w:cs="Arial"/>
          <w:color w:val="201F1E"/>
        </w:rPr>
      </w:pPr>
      <w:r w:rsidRPr="00D13E32">
        <w:rPr>
          <w:rFonts w:ascii="Verdana" w:eastAsia="Geomanist Light" w:hAnsi="Verdana" w:cs="Arial"/>
          <w:color w:val="000000" w:themeColor="text1"/>
        </w:rPr>
        <w:lastRenderedPageBreak/>
        <w:t>Bogotá D.C., </w:t>
      </w:r>
      <w:r w:rsidR="00005812">
        <w:rPr>
          <w:rFonts w:ascii="Verdana" w:eastAsia="Geomanist Light" w:hAnsi="Verdana" w:cs="Arial"/>
          <w:color w:val="201F1E"/>
        </w:rPr>
        <w:t>23 de abril de 2025</w:t>
      </w:r>
    </w:p>
    <w:p w14:paraId="1CDCB7A0" w14:textId="77777777" w:rsidR="003A6A45" w:rsidRPr="00D13E32" w:rsidRDefault="003A6A45" w:rsidP="003A6A45">
      <w:pPr>
        <w:spacing w:after="0" w:line="240" w:lineRule="auto"/>
        <w:jc w:val="both"/>
        <w:rPr>
          <w:rFonts w:ascii="Verdana" w:eastAsia="Calibri" w:hAnsi="Verdana" w:cs="Arial"/>
          <w:color w:val="000000"/>
        </w:rPr>
      </w:pPr>
    </w:p>
    <w:p w14:paraId="5A7D4765" w14:textId="301E98DB" w:rsidR="003A6A45" w:rsidRDefault="00005812" w:rsidP="00005812">
      <w:pPr>
        <w:spacing w:after="0" w:line="240" w:lineRule="auto"/>
        <w:jc w:val="right"/>
        <w:rPr>
          <w:rFonts w:ascii="Verdana" w:eastAsia="Calibri" w:hAnsi="Verdana" w:cs="Arial"/>
          <w:color w:val="000000"/>
        </w:rPr>
      </w:pPr>
      <w:r w:rsidRPr="00005812">
        <w:rPr>
          <w:rFonts w:ascii="Verdana" w:eastAsia="Calibri" w:hAnsi="Verdana" w:cs="Arial"/>
          <w:noProof/>
          <w:color w:val="000000"/>
        </w:rPr>
        <w:drawing>
          <wp:inline distT="0" distB="0" distL="0" distR="0" wp14:anchorId="6D6C8B52" wp14:editId="5A225D2C">
            <wp:extent cx="2598420" cy="1135380"/>
            <wp:effectExtent l="0" t="0" r="0" b="7620"/>
            <wp:docPr id="116387077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98420" cy="1135380"/>
                    </a:xfrm>
                    <a:prstGeom prst="rect">
                      <a:avLst/>
                    </a:prstGeom>
                    <a:noFill/>
                    <a:ln>
                      <a:noFill/>
                    </a:ln>
                  </pic:spPr>
                </pic:pic>
              </a:graphicData>
            </a:graphic>
          </wp:inline>
        </w:drawing>
      </w:r>
    </w:p>
    <w:p w14:paraId="697DB1C0" w14:textId="77777777" w:rsidR="00005812" w:rsidRPr="00D13E32" w:rsidRDefault="00005812" w:rsidP="003A6A45">
      <w:pPr>
        <w:spacing w:after="0" w:line="240" w:lineRule="auto"/>
        <w:jc w:val="both"/>
        <w:rPr>
          <w:rFonts w:ascii="Verdana" w:eastAsia="Calibri" w:hAnsi="Verdana" w:cs="Arial"/>
          <w:color w:val="000000"/>
        </w:rPr>
      </w:pPr>
    </w:p>
    <w:p w14:paraId="1328D878" w14:textId="77777777" w:rsidR="003A6A45" w:rsidRPr="00D13E32" w:rsidRDefault="003A6A45" w:rsidP="003A6A45">
      <w:pPr>
        <w:spacing w:after="0" w:line="240" w:lineRule="auto"/>
        <w:jc w:val="both"/>
        <w:rPr>
          <w:rFonts w:ascii="Verdana" w:eastAsia="Calibri" w:hAnsi="Verdana" w:cs="Arial"/>
          <w:lang w:eastAsia="es-ES"/>
        </w:rPr>
      </w:pPr>
      <w:r w:rsidRPr="00D13E32">
        <w:rPr>
          <w:rFonts w:ascii="Verdana" w:eastAsia="Calibri" w:hAnsi="Verdana" w:cs="Arial"/>
          <w:lang w:eastAsia="es-ES"/>
        </w:rPr>
        <w:t>Señor</w:t>
      </w:r>
    </w:p>
    <w:p w14:paraId="210520DA" w14:textId="77777777" w:rsidR="003A6A45" w:rsidRPr="00D13E32" w:rsidRDefault="003A6A45" w:rsidP="003A6A45">
      <w:pPr>
        <w:spacing w:after="0" w:line="240" w:lineRule="auto"/>
        <w:jc w:val="both"/>
        <w:rPr>
          <w:rFonts w:ascii="Verdana" w:eastAsia="Calibri" w:hAnsi="Verdana" w:cs="Arial"/>
          <w:b/>
          <w:bCs/>
          <w:lang w:eastAsia="es-ES"/>
        </w:rPr>
      </w:pPr>
      <w:r w:rsidRPr="00D13E32">
        <w:rPr>
          <w:rFonts w:ascii="Verdana" w:eastAsia="Calibri" w:hAnsi="Verdana" w:cs="Arial"/>
          <w:b/>
          <w:bCs/>
          <w:lang w:eastAsia="es-ES"/>
        </w:rPr>
        <w:t>Camilo Pedraza</w:t>
      </w:r>
    </w:p>
    <w:p w14:paraId="5CCA19F2" w14:textId="77777777" w:rsidR="003A6A45" w:rsidRPr="00D13E32" w:rsidRDefault="003A6A45" w:rsidP="003A6A45">
      <w:pPr>
        <w:spacing w:after="0" w:line="240" w:lineRule="auto"/>
        <w:rPr>
          <w:rFonts w:ascii="Verdana" w:hAnsi="Verdana"/>
        </w:rPr>
      </w:pPr>
      <w:hyperlink r:id="rId12" w:history="1">
        <w:r w:rsidRPr="00D13E32">
          <w:rPr>
            <w:rFonts w:ascii="Verdana" w:hAnsi="Verdana"/>
            <w:color w:val="0563C1" w:themeColor="hyperlink"/>
            <w:u w:val="single"/>
          </w:rPr>
          <w:t>oficinacamilopedraza1@gmail.com</w:t>
        </w:r>
      </w:hyperlink>
      <w:r w:rsidRPr="00D13E32">
        <w:rPr>
          <w:rFonts w:ascii="Verdana" w:hAnsi="Verdana"/>
        </w:rPr>
        <w:t xml:space="preserve"> </w:t>
      </w:r>
    </w:p>
    <w:p w14:paraId="50522F15" w14:textId="77777777" w:rsidR="003A6A45" w:rsidRPr="00D13E32" w:rsidRDefault="003A6A45" w:rsidP="003A6A45">
      <w:pPr>
        <w:spacing w:after="0" w:line="240" w:lineRule="auto"/>
        <w:rPr>
          <w:rFonts w:ascii="Verdana" w:eastAsia="Calibri" w:hAnsi="Verdana" w:cs="Arial"/>
          <w:lang w:eastAsia="es-ES"/>
        </w:rPr>
      </w:pPr>
      <w:r w:rsidRPr="00D13E32">
        <w:rPr>
          <w:rFonts w:ascii="Verdana" w:hAnsi="Verdana"/>
        </w:rPr>
        <w:t xml:space="preserve">Casanare, Yopal  </w:t>
      </w:r>
    </w:p>
    <w:p w14:paraId="7BE50E1E" w14:textId="77777777" w:rsidR="003A6A45" w:rsidRPr="00D13E32" w:rsidRDefault="003A6A45" w:rsidP="003A6A45">
      <w:pPr>
        <w:spacing w:after="0" w:line="240" w:lineRule="auto"/>
        <w:rPr>
          <w:rFonts w:ascii="Verdana" w:eastAsia="Calibri" w:hAnsi="Verdana" w:cs="Arial"/>
          <w:b/>
          <w:bCs/>
          <w:color w:val="000000"/>
          <w:lang w:eastAsia="es-ES_tradnl"/>
        </w:rPr>
      </w:pPr>
    </w:p>
    <w:p w14:paraId="1D5B9EC5" w14:textId="77777777" w:rsidR="003A6A45" w:rsidRPr="00D13E32" w:rsidRDefault="003A6A45" w:rsidP="003A6A45">
      <w:pPr>
        <w:spacing w:after="0" w:line="240" w:lineRule="auto"/>
        <w:rPr>
          <w:rFonts w:ascii="Verdana" w:eastAsia="Calibri" w:hAnsi="Verdana" w:cs="Arial"/>
          <w:b/>
          <w:bCs/>
          <w:color w:val="000000"/>
          <w:lang w:eastAsia="es-ES_tradnl"/>
        </w:rPr>
      </w:pPr>
    </w:p>
    <w:p w14:paraId="5EE6A76F" w14:textId="77777777" w:rsidR="003A6A45" w:rsidRPr="00D13E32" w:rsidRDefault="003A6A45" w:rsidP="003A6A45">
      <w:pPr>
        <w:spacing w:after="0" w:line="240" w:lineRule="auto"/>
        <w:jc w:val="center"/>
        <w:rPr>
          <w:rFonts w:ascii="Verdana" w:eastAsia="Calibri" w:hAnsi="Verdana" w:cs="Arial"/>
          <w:b/>
          <w:bCs/>
          <w:lang w:eastAsia="es-ES"/>
        </w:rPr>
      </w:pPr>
      <w:r w:rsidRPr="00D13E32">
        <w:rPr>
          <w:rFonts w:ascii="Verdana" w:eastAsia="Calibri" w:hAnsi="Verdana" w:cs="Arial"/>
          <w:b/>
          <w:bCs/>
          <w:lang w:eastAsia="es-ES"/>
        </w:rPr>
        <w:t>Concepto C – 327 de 2025</w:t>
      </w:r>
    </w:p>
    <w:p w14:paraId="51B22C2F" w14:textId="77777777" w:rsidR="003A6A45" w:rsidRPr="00D13E32" w:rsidRDefault="003A6A45" w:rsidP="003A6A45">
      <w:pPr>
        <w:spacing w:after="0" w:line="240" w:lineRule="auto"/>
        <w:rPr>
          <w:rFonts w:ascii="Verdana" w:eastAsia="Calibri" w:hAnsi="Verdana" w:cs="Arial"/>
          <w:b/>
          <w:bCs/>
          <w:color w:val="000000"/>
          <w:lang w:eastAsia="es-ES_tradnl"/>
        </w:rPr>
      </w:pPr>
    </w:p>
    <w:tbl>
      <w:tblPr>
        <w:tblStyle w:val="Tablaconcuadrcula"/>
        <w:tblW w:w="8789"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3A6A45" w:rsidRPr="00D13E32" w14:paraId="26E08BB6" w14:textId="77777777" w:rsidTr="00D560BB">
        <w:trPr>
          <w:trHeight w:val="884"/>
        </w:trPr>
        <w:tc>
          <w:tcPr>
            <w:tcW w:w="2689" w:type="dxa"/>
          </w:tcPr>
          <w:p w14:paraId="3B55DF44" w14:textId="77777777" w:rsidR="003A6A45" w:rsidRPr="00D13E32" w:rsidRDefault="003A6A45" w:rsidP="00D560BB">
            <w:pPr>
              <w:jc w:val="both"/>
              <w:rPr>
                <w:rFonts w:ascii="Verdana" w:eastAsia="Calibri" w:hAnsi="Verdana" w:cs="Arial"/>
                <w:color w:val="000000"/>
                <w:lang w:eastAsia="es-ES_tradnl"/>
              </w:rPr>
            </w:pPr>
            <w:r w:rsidRPr="00D13E32">
              <w:rPr>
                <w:rFonts w:ascii="Verdana" w:eastAsia="Calibri" w:hAnsi="Verdana" w:cs="Arial"/>
                <w:b/>
                <w:color w:val="000000"/>
                <w:lang w:eastAsia="es-ES_tradnl"/>
              </w:rPr>
              <w:t>Temas:</w:t>
            </w:r>
            <w:r w:rsidRPr="00D13E32">
              <w:rPr>
                <w:rFonts w:ascii="Verdana" w:eastAsia="Calibri" w:hAnsi="Verdana" w:cs="Arial"/>
                <w:color w:val="000000"/>
                <w:lang w:eastAsia="es-ES_tradnl"/>
              </w:rPr>
              <w:t xml:space="preserve">                   </w:t>
            </w:r>
          </w:p>
        </w:tc>
        <w:tc>
          <w:tcPr>
            <w:tcW w:w="6100" w:type="dxa"/>
          </w:tcPr>
          <w:p w14:paraId="68630586" w14:textId="77777777" w:rsidR="003A6A45" w:rsidRPr="00D13E32" w:rsidRDefault="003A6A45" w:rsidP="00D560BB">
            <w:pPr>
              <w:jc w:val="both"/>
              <w:rPr>
                <w:rFonts w:ascii="Verdana" w:eastAsia="Calibri" w:hAnsi="Verdana" w:cs="Arial"/>
                <w:lang w:val="es-ES" w:eastAsia="es-ES"/>
              </w:rPr>
            </w:pPr>
            <w:r w:rsidRPr="00D13E32">
              <w:rPr>
                <w:rFonts w:ascii="Verdana" w:eastAsia="Calibri" w:hAnsi="Verdana" w:cs="Arial"/>
                <w:lang w:val="es-ES" w:eastAsia="es-ES"/>
              </w:rPr>
              <w:t>SEGURIDAD SOCIAL INTEGRAL – Verificación / SEGURIDAD SOCIAL INTEGRAL – Ley 789 de 2002 – Artículo 50 / EJECUCIÓN – Aportes parafiscales – Acreditación - Régimen jurídico – Afiliación y aporte – Obligación legal – Ejecución del contrato</w:t>
            </w:r>
          </w:p>
          <w:p w14:paraId="39D7CD02" w14:textId="77777777" w:rsidR="003A6A45" w:rsidRPr="00D13E32" w:rsidRDefault="003A6A45" w:rsidP="00D560BB">
            <w:pPr>
              <w:jc w:val="both"/>
              <w:rPr>
                <w:rFonts w:ascii="Verdana" w:eastAsia="Calibri" w:hAnsi="Verdana" w:cs="Arial"/>
                <w:lang w:eastAsia="es-ES"/>
              </w:rPr>
            </w:pPr>
          </w:p>
        </w:tc>
      </w:tr>
      <w:tr w:rsidR="003A6A45" w:rsidRPr="00D13E32" w14:paraId="7BBD9BB2" w14:textId="77777777" w:rsidTr="00D560BB">
        <w:tc>
          <w:tcPr>
            <w:tcW w:w="2689" w:type="dxa"/>
          </w:tcPr>
          <w:p w14:paraId="0F5C919F" w14:textId="77777777" w:rsidR="003A6A45" w:rsidRPr="00D13E32" w:rsidRDefault="003A6A45" w:rsidP="00D560BB">
            <w:pPr>
              <w:jc w:val="both"/>
              <w:rPr>
                <w:rFonts w:ascii="Verdana" w:eastAsia="Calibri" w:hAnsi="Verdana" w:cs="Arial"/>
                <w:b/>
                <w:lang w:eastAsia="es-ES_tradnl"/>
              </w:rPr>
            </w:pPr>
            <w:r w:rsidRPr="00D13E32">
              <w:rPr>
                <w:rFonts w:ascii="Verdana" w:eastAsia="Calibri" w:hAnsi="Verdana" w:cs="Arial"/>
                <w:b/>
                <w:lang w:eastAsia="es-ES_tradnl"/>
              </w:rPr>
              <w:t xml:space="preserve"> Radicación:</w:t>
            </w:r>
            <w:r w:rsidRPr="00D13E32">
              <w:rPr>
                <w:rFonts w:ascii="Verdana" w:eastAsia="Calibri" w:hAnsi="Verdana" w:cs="Arial"/>
                <w:lang w:eastAsia="es-ES_tradnl"/>
              </w:rPr>
              <w:t xml:space="preserve">               </w:t>
            </w:r>
          </w:p>
        </w:tc>
        <w:tc>
          <w:tcPr>
            <w:tcW w:w="6100" w:type="dxa"/>
          </w:tcPr>
          <w:p w14:paraId="6D4B45B1" w14:textId="77777777" w:rsidR="003A6A45" w:rsidRPr="00D13E32" w:rsidRDefault="003A6A45" w:rsidP="00D560BB">
            <w:pPr>
              <w:jc w:val="both"/>
              <w:rPr>
                <w:rFonts w:ascii="Verdana" w:eastAsia="Calibri" w:hAnsi="Verdana" w:cs="Arial"/>
                <w:lang w:eastAsia="es-ES_tradnl"/>
              </w:rPr>
            </w:pPr>
            <w:r w:rsidRPr="00D13E32">
              <w:rPr>
                <w:rFonts w:ascii="Verdana" w:eastAsia="Calibri" w:hAnsi="Verdana" w:cs="Arial"/>
                <w:lang w:eastAsia="es-ES_tradnl"/>
              </w:rPr>
              <w:t>Respuesta a la consulta con radicado No.  P20250318002618</w:t>
            </w:r>
          </w:p>
        </w:tc>
      </w:tr>
    </w:tbl>
    <w:p w14:paraId="340AFA5E" w14:textId="77777777" w:rsidR="003A6A45" w:rsidRPr="00D13E32" w:rsidRDefault="003A6A45" w:rsidP="003A6A45">
      <w:pPr>
        <w:spacing w:after="0" w:line="240" w:lineRule="auto"/>
        <w:jc w:val="both"/>
        <w:rPr>
          <w:rFonts w:ascii="Verdana" w:eastAsia="Calibri" w:hAnsi="Verdana" w:cs="Arial"/>
          <w:color w:val="000000"/>
          <w:lang w:eastAsia="es-ES_tradnl"/>
        </w:rPr>
      </w:pPr>
    </w:p>
    <w:p w14:paraId="2433C7FC" w14:textId="77777777" w:rsidR="003A6A45" w:rsidRPr="00D13E32" w:rsidRDefault="003A6A45" w:rsidP="003A6A45">
      <w:pPr>
        <w:spacing w:after="0" w:line="240" w:lineRule="auto"/>
        <w:jc w:val="both"/>
        <w:rPr>
          <w:rFonts w:ascii="Verdana" w:eastAsia="Calibri" w:hAnsi="Verdana" w:cs="Arial"/>
          <w:color w:val="000000"/>
          <w:lang w:eastAsia="es-ES_tradnl"/>
        </w:rPr>
      </w:pPr>
    </w:p>
    <w:p w14:paraId="718BCE3C" w14:textId="77777777" w:rsidR="003A6A45" w:rsidRPr="00D13E32" w:rsidRDefault="003A6A45" w:rsidP="003A6A45">
      <w:pPr>
        <w:spacing w:after="0" w:line="276" w:lineRule="auto"/>
        <w:jc w:val="both"/>
        <w:rPr>
          <w:rFonts w:ascii="Verdana" w:eastAsia="Calibri" w:hAnsi="Verdana" w:cs="Arial"/>
          <w:lang w:eastAsia="es-ES"/>
        </w:rPr>
      </w:pPr>
      <w:r w:rsidRPr="00D13E32">
        <w:rPr>
          <w:rFonts w:ascii="Verdana" w:eastAsia="Calibri" w:hAnsi="Verdana" w:cs="Arial"/>
          <w:lang w:eastAsia="es-ES"/>
        </w:rPr>
        <w:t xml:space="preserve">Estimado señor Pedraza: </w:t>
      </w:r>
    </w:p>
    <w:p w14:paraId="1B73BCC6" w14:textId="77777777" w:rsidR="003A6A45" w:rsidRPr="00D13E32" w:rsidRDefault="003A6A45" w:rsidP="003A6A45">
      <w:pPr>
        <w:tabs>
          <w:tab w:val="left" w:pos="3768"/>
        </w:tabs>
        <w:spacing w:after="0" w:line="276" w:lineRule="auto"/>
        <w:jc w:val="both"/>
        <w:rPr>
          <w:rFonts w:ascii="Verdana" w:eastAsia="Calibri" w:hAnsi="Verdana" w:cs="Arial"/>
          <w:color w:val="000000" w:themeColor="text1"/>
          <w:lang w:eastAsia="es-ES"/>
        </w:rPr>
      </w:pPr>
      <w:r w:rsidRPr="00D13E32">
        <w:rPr>
          <w:rFonts w:ascii="Verdana" w:eastAsia="Calibri" w:hAnsi="Verdana" w:cs="Arial"/>
          <w:color w:val="000000" w:themeColor="text1"/>
          <w:lang w:eastAsia="es-ES"/>
        </w:rPr>
        <w:tab/>
      </w:r>
    </w:p>
    <w:p w14:paraId="421DBDD7" w14:textId="77777777" w:rsidR="003A6A45" w:rsidRPr="00D13E32" w:rsidRDefault="003A6A45" w:rsidP="003A6A45">
      <w:pPr>
        <w:spacing w:after="0" w:line="276" w:lineRule="auto"/>
        <w:jc w:val="both"/>
        <w:rPr>
          <w:rFonts w:ascii="Verdana" w:eastAsia="Calibri" w:hAnsi="Verdana" w:cs="Arial"/>
          <w:i/>
          <w:iCs/>
          <w:lang w:eastAsia="es-ES"/>
        </w:rPr>
      </w:pPr>
      <w:r w:rsidRPr="00D13E32">
        <w:rPr>
          <w:rFonts w:ascii="Verdana" w:eastAsia="Calibri" w:hAnsi="Verdana" w:cs="Arial"/>
          <w:color w:val="000000" w:themeColor="text1"/>
          <w:lang w:eastAsia="es-ES"/>
        </w:rPr>
        <w:t>En ejercicio de la competencia otorgada por los artículos 3, numeral 5º, y 11, numeral 8º, del Decreto Ley 4170 de 2011,</w:t>
      </w:r>
      <w:r w:rsidRPr="00D13E32">
        <w:rPr>
          <w:rFonts w:ascii="Verdana" w:eastAsia="Arial MT" w:hAnsi="Verdana" w:cs="Arial MT"/>
          <w:lang w:eastAsia="es-ES"/>
        </w:rPr>
        <w:t xml:space="preserve"> </w:t>
      </w:r>
      <w:r w:rsidRPr="00D13E32">
        <w:rPr>
          <w:rFonts w:ascii="Verdana" w:hAnsi="Verdana" w:cs="Arial"/>
        </w:rPr>
        <w:t xml:space="preserve">así como lo establecido en el artículo 4 de la Resolución 1707 de 2018 expedida por esta Entidad, </w:t>
      </w:r>
      <w:r w:rsidRPr="00D13E32">
        <w:rPr>
          <w:rFonts w:ascii="Verdana" w:eastAsia="Calibri" w:hAnsi="Verdana" w:cs="Arial"/>
          <w:color w:val="000000" w:themeColor="text1"/>
          <w:lang w:eastAsia="es-ES"/>
        </w:rPr>
        <w:t>la Agencia Nacional de Contratación Pública – Colombia Compra Eficiente responde su solicitud de concepto del 18</w:t>
      </w:r>
      <w:r w:rsidRPr="00D13E32">
        <w:rPr>
          <w:rFonts w:ascii="Verdana" w:eastAsia="Calibri" w:hAnsi="Verdana" w:cs="Arial"/>
          <w:lang w:eastAsia="es-ES"/>
        </w:rPr>
        <w:t xml:space="preserve"> de marzo de 2025, en la cual consulta sobre lo siguiente:</w:t>
      </w:r>
      <w:r w:rsidRPr="00D13E32">
        <w:rPr>
          <w:rFonts w:ascii="Verdana" w:eastAsia="Calibri" w:hAnsi="Verdana" w:cs="Arial"/>
          <w:i/>
          <w:iCs/>
          <w:lang w:eastAsia="es-ES"/>
        </w:rPr>
        <w:t xml:space="preserve"> </w:t>
      </w:r>
      <w:bookmarkStart w:id="1" w:name="_Hlk95313578"/>
    </w:p>
    <w:p w14:paraId="0A08A6A4" w14:textId="77777777" w:rsidR="003A6A45" w:rsidRPr="00D13E32" w:rsidRDefault="003A6A45" w:rsidP="003A6A45">
      <w:pPr>
        <w:spacing w:after="0" w:line="276" w:lineRule="auto"/>
        <w:jc w:val="both"/>
        <w:rPr>
          <w:rFonts w:ascii="Verdana" w:eastAsia="Calibri" w:hAnsi="Verdana" w:cs="Arial"/>
          <w:i/>
          <w:iCs/>
          <w:lang w:eastAsia="es-ES"/>
        </w:rPr>
      </w:pPr>
    </w:p>
    <w:p w14:paraId="08EDAAA3" w14:textId="77777777" w:rsidR="003A6A45" w:rsidRPr="00464F35" w:rsidRDefault="003A6A45" w:rsidP="003A6A45">
      <w:pPr>
        <w:spacing w:after="0" w:line="240" w:lineRule="auto"/>
        <w:ind w:left="709" w:right="709"/>
        <w:jc w:val="both"/>
        <w:rPr>
          <w:rFonts w:ascii="Verdana" w:hAnsi="Verdana"/>
          <w:sz w:val="20"/>
          <w:szCs w:val="20"/>
        </w:rPr>
      </w:pPr>
      <w:r w:rsidRPr="00464F35">
        <w:rPr>
          <w:rFonts w:ascii="Verdana" w:eastAsia="Arial" w:hAnsi="Verdana" w:cs="Arial"/>
          <w:color w:val="000000"/>
          <w:sz w:val="20"/>
          <w:szCs w:val="20"/>
        </w:rPr>
        <w:t>“</w:t>
      </w:r>
      <w:bookmarkEnd w:id="1"/>
      <w:r w:rsidRPr="00464F35">
        <w:rPr>
          <w:rFonts w:ascii="Verdana" w:hAnsi="Verdana"/>
          <w:sz w:val="20"/>
          <w:szCs w:val="20"/>
        </w:rPr>
        <w:t xml:space="preserve">en un contrato de interventoría con una entidad pública surgen una serie de preguntas </w:t>
      </w:r>
    </w:p>
    <w:p w14:paraId="20B7E684" w14:textId="77777777" w:rsidR="003A6A45" w:rsidRPr="00464F35" w:rsidRDefault="003A6A45" w:rsidP="003A6A45">
      <w:pPr>
        <w:spacing w:after="0" w:line="240" w:lineRule="auto"/>
        <w:ind w:left="709" w:right="709"/>
        <w:jc w:val="both"/>
        <w:rPr>
          <w:rFonts w:ascii="Verdana" w:hAnsi="Verdana"/>
          <w:sz w:val="20"/>
          <w:szCs w:val="20"/>
        </w:rPr>
      </w:pPr>
    </w:p>
    <w:p w14:paraId="4A130B60" w14:textId="77777777" w:rsidR="003A6A45" w:rsidRPr="00464F35" w:rsidRDefault="003A6A45" w:rsidP="003A6A45">
      <w:pPr>
        <w:spacing w:after="0" w:line="240" w:lineRule="auto"/>
        <w:ind w:left="709" w:right="709"/>
        <w:jc w:val="both"/>
        <w:rPr>
          <w:rFonts w:ascii="Verdana" w:hAnsi="Verdana"/>
          <w:sz w:val="20"/>
          <w:szCs w:val="20"/>
        </w:rPr>
      </w:pPr>
      <w:r w:rsidRPr="00464F35">
        <w:rPr>
          <w:rFonts w:ascii="Verdana" w:hAnsi="Verdana"/>
          <w:sz w:val="20"/>
          <w:szCs w:val="20"/>
        </w:rPr>
        <w:t xml:space="preserve">1- ¿Es obligación del contratista demostrar los pagos mensuales de seguridad social bajo su razón social, cuando el contrato en su clausulado </w:t>
      </w:r>
      <w:r w:rsidRPr="00464F35">
        <w:rPr>
          <w:rFonts w:ascii="Verdana" w:hAnsi="Verdana"/>
          <w:sz w:val="20"/>
          <w:szCs w:val="20"/>
        </w:rPr>
        <w:lastRenderedPageBreak/>
        <w:t xml:space="preserve">establece que son actividades o componentes TECNICO, ADMINISTRATIVO, FINANCIERO, AMBIENTAL, ¿CONTABLE Y JURIDICO y no personal profesional? </w:t>
      </w:r>
    </w:p>
    <w:p w14:paraId="57A84F45" w14:textId="77777777" w:rsidR="003A6A45" w:rsidRPr="00464F35" w:rsidRDefault="003A6A45" w:rsidP="003A6A45">
      <w:pPr>
        <w:spacing w:after="0" w:line="240" w:lineRule="auto"/>
        <w:ind w:left="709" w:right="709"/>
        <w:jc w:val="both"/>
        <w:rPr>
          <w:rFonts w:ascii="Verdana" w:hAnsi="Verdana"/>
          <w:iCs/>
          <w:sz w:val="20"/>
          <w:szCs w:val="20"/>
        </w:rPr>
      </w:pPr>
    </w:p>
    <w:p w14:paraId="6EF5EB65" w14:textId="77777777" w:rsidR="003A6A45" w:rsidRPr="00464F35" w:rsidRDefault="003A6A45" w:rsidP="003A6A45">
      <w:pPr>
        <w:spacing w:after="0" w:line="240" w:lineRule="auto"/>
        <w:ind w:left="709" w:right="709"/>
        <w:jc w:val="both"/>
        <w:rPr>
          <w:rFonts w:ascii="Verdana" w:hAnsi="Verdana"/>
          <w:sz w:val="20"/>
          <w:szCs w:val="20"/>
        </w:rPr>
      </w:pPr>
      <w:r w:rsidRPr="00464F35">
        <w:rPr>
          <w:rFonts w:ascii="Verdana" w:hAnsi="Verdana"/>
          <w:sz w:val="20"/>
          <w:szCs w:val="20"/>
        </w:rPr>
        <w:t xml:space="preserve">2- El proceso cuenta con un presupuesto de costos directos e indirectos, el cual establece un factor multiplicador para el personal, pero la entidad realizo un plan de cargas de actividades a ejecutar para determinar los valores de los componentes TECNICO, ADMINISTRATIVO, FINANCIERO, AMBIENTAL, CONTABLE Y JURIDICO y el presupuesto de costos fue un insumo para establecer un valor del contrato, bajo este entendido, ¿se requiere la vinculación laboral del personal profesional y sus pagos de seguridad social y parafiscales? o se faculta al contratista a demostrar que todo el personal profesional se encuentra aportando a la seguridad social y parafiscales sin importar su forma de vinculación con el contratista de interventoría. </w:t>
      </w:r>
    </w:p>
    <w:p w14:paraId="6B548005" w14:textId="77777777" w:rsidR="003A6A45" w:rsidRPr="00464F35" w:rsidRDefault="003A6A45" w:rsidP="003A6A45">
      <w:pPr>
        <w:spacing w:after="0" w:line="240" w:lineRule="auto"/>
        <w:ind w:left="709" w:right="709"/>
        <w:jc w:val="both"/>
        <w:rPr>
          <w:rFonts w:ascii="Verdana" w:hAnsi="Verdana"/>
          <w:iCs/>
          <w:sz w:val="20"/>
          <w:szCs w:val="20"/>
        </w:rPr>
      </w:pPr>
    </w:p>
    <w:p w14:paraId="23C02340" w14:textId="77777777" w:rsidR="003A6A45" w:rsidRPr="00464F35" w:rsidRDefault="003A6A45" w:rsidP="003A6A45">
      <w:pPr>
        <w:spacing w:after="0" w:line="240" w:lineRule="auto"/>
        <w:ind w:left="709" w:right="709"/>
        <w:jc w:val="both"/>
        <w:rPr>
          <w:rFonts w:ascii="Verdana" w:hAnsi="Verdana"/>
          <w:sz w:val="20"/>
          <w:szCs w:val="20"/>
        </w:rPr>
      </w:pPr>
      <w:r w:rsidRPr="00464F35">
        <w:rPr>
          <w:rFonts w:ascii="Verdana" w:hAnsi="Verdana"/>
          <w:sz w:val="20"/>
          <w:szCs w:val="20"/>
        </w:rPr>
        <w:t xml:space="preserve">3- cuando un contrato de interventoría determina su valor con insumos para su estructuración </w:t>
      </w:r>
      <w:proofErr w:type="gramStart"/>
      <w:r w:rsidRPr="00464F35">
        <w:rPr>
          <w:rFonts w:ascii="Verdana" w:hAnsi="Verdana"/>
          <w:sz w:val="20"/>
          <w:szCs w:val="20"/>
        </w:rPr>
        <w:t>de acuerdo a</w:t>
      </w:r>
      <w:proofErr w:type="gramEnd"/>
      <w:r w:rsidRPr="00464F35">
        <w:rPr>
          <w:rFonts w:ascii="Verdana" w:hAnsi="Verdana"/>
          <w:sz w:val="20"/>
          <w:szCs w:val="20"/>
        </w:rPr>
        <w:t xml:space="preserve"> los costos directos e indirectos incluyendo el factor multiplicador de manera mensual y también por valores de componentes </w:t>
      </w:r>
      <w:proofErr w:type="gramStart"/>
      <w:r w:rsidRPr="00464F35">
        <w:rPr>
          <w:rFonts w:ascii="Verdana" w:hAnsi="Verdana"/>
          <w:sz w:val="20"/>
          <w:szCs w:val="20"/>
        </w:rPr>
        <w:t>de acuerdo a</w:t>
      </w:r>
      <w:proofErr w:type="gramEnd"/>
      <w:r w:rsidRPr="00464F35">
        <w:rPr>
          <w:rFonts w:ascii="Verdana" w:hAnsi="Verdana"/>
          <w:sz w:val="20"/>
          <w:szCs w:val="20"/>
        </w:rPr>
        <w:t xml:space="preserve"> un plan de cargas de las actividades a desarrollar. Pero que este contrato establece claramente en su forma de pago un condicionamiento de pago respecto del porcentaje de avance de las obras a vigilar y controlar, este, por simple lógica, se aparta de su estructuración de costos mensuales y se convierte en un contrato netamente por productos TECNICOS, ADMINISTRATIVOS, FINANCIEROS, AMBIENTALES, CONTABLES Y JURIDICOS. conforme a lo anterior, ¿ puede la entidad contratante exigir el pago mensual de los sistemas de seguridad social y parafiscales de los profesionales (costos directos) bajo la razón social del contratista y de acuerdo a los costos fijados en el presupuesto insumo para determinar valor del contrato?, lo anterior, desconociendo que al haber establecido esa forma de pago en el contrato, este debe es hacer entrega de los productos o entregables correspondientes y poder realizar cobros de acuerdo los porcentajes de ejecución del contrato de obra , sin apartarnos que si se demuestra que los profesionales que desarrollaron las actividades, cuentan con certificados de pagos de sus seguridades sociales y parafiscales de manera independiente consecuente a su contratación interna mediante contrato de prestación de servicios profesionales.”</w:t>
      </w:r>
    </w:p>
    <w:p w14:paraId="1D15033A" w14:textId="77777777" w:rsidR="003A6A45" w:rsidRPr="00464F35" w:rsidRDefault="003A6A45" w:rsidP="003A6A45">
      <w:pPr>
        <w:spacing w:after="0" w:line="276" w:lineRule="auto"/>
        <w:ind w:left="709" w:right="709"/>
        <w:jc w:val="both"/>
        <w:rPr>
          <w:rFonts w:ascii="Verdana" w:eastAsia="Arial" w:hAnsi="Verdana" w:cs="Arial"/>
          <w:i/>
          <w:color w:val="000000"/>
        </w:rPr>
      </w:pPr>
    </w:p>
    <w:p w14:paraId="4A298BA8" w14:textId="77777777" w:rsidR="003A6A45" w:rsidRPr="00D13E32" w:rsidRDefault="003A6A45" w:rsidP="003A6A45">
      <w:pPr>
        <w:spacing w:after="120" w:line="276" w:lineRule="auto"/>
        <w:ind w:firstLine="709"/>
        <w:jc w:val="both"/>
        <w:rPr>
          <w:rFonts w:ascii="Verdana" w:eastAsia="Calibri" w:hAnsi="Verdana" w:cs="Arial"/>
          <w:color w:val="000000"/>
          <w:lang w:eastAsia="es-ES"/>
        </w:rPr>
      </w:pPr>
      <w:r w:rsidRPr="00D13E32">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w:t>
      </w:r>
      <w:r w:rsidRPr="00D13E32">
        <w:rPr>
          <w:rFonts w:ascii="Verdana" w:eastAsia="Calibri" w:hAnsi="Verdana" w:cs="Arial"/>
          <w:color w:val="000000"/>
          <w:lang w:eastAsia="es-ES"/>
        </w:rPr>
        <w:lastRenderedPageBreak/>
        <w:t xml:space="preserve">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D13E32">
        <w:rPr>
          <w:rFonts w:ascii="Verdana" w:eastAsia="Calibri" w:hAnsi="Verdana" w:cs="Arial"/>
          <w:color w:val="000000"/>
          <w:szCs w:val="24"/>
          <w:lang w:eastAsia="es-ES_tradnl"/>
        </w:rPr>
        <w:tab/>
      </w:r>
    </w:p>
    <w:p w14:paraId="36DF7FBA" w14:textId="77777777" w:rsidR="003A6A45" w:rsidRPr="00D13E32" w:rsidRDefault="003A6A45" w:rsidP="003A6A45">
      <w:pPr>
        <w:spacing w:after="0" w:line="276" w:lineRule="auto"/>
        <w:ind w:firstLine="709"/>
        <w:jc w:val="both"/>
        <w:rPr>
          <w:rFonts w:ascii="Verdana" w:eastAsia="Calibri" w:hAnsi="Verdana" w:cs="Arial"/>
          <w:color w:val="000000"/>
          <w:lang w:eastAsia="es-ES"/>
        </w:rPr>
      </w:pPr>
      <w:r w:rsidRPr="00D13E32">
        <w:rPr>
          <w:rFonts w:ascii="Verdana" w:eastAsia="Calibri" w:hAnsi="Verdana" w:cs="Arial"/>
          <w:color w:val="000000"/>
          <w:lang w:eastAsia="es-ES"/>
        </w:rPr>
        <w:t>Conforme lo expuesto, en aras de satisfacer el derecho fundamental de petición se resolverá su consulta dentro de los límites de la referida competencia consultiva, esto es, haciendo unas consideraciones sobre las normas generales relacionadas con los</w:t>
      </w:r>
      <w:r w:rsidRPr="00D13E32">
        <w:rPr>
          <w:rFonts w:ascii="Verdana" w:eastAsia="Calibri" w:hAnsi="Verdana" w:cs="Arial"/>
          <w:color w:val="7030A0"/>
          <w:lang w:eastAsia="es-ES"/>
        </w:rPr>
        <w:t xml:space="preserve"> </w:t>
      </w:r>
      <w:r w:rsidRPr="00D13E32">
        <w:rPr>
          <w:rFonts w:ascii="Verdana" w:eastAsia="Calibri" w:hAnsi="Verdana" w:cs="Arial"/>
          <w:color w:val="000000"/>
          <w:lang w:eastAsia="es-ES"/>
        </w:rPr>
        <w:t>problemas</w:t>
      </w:r>
      <w:r w:rsidRPr="00D13E32">
        <w:rPr>
          <w:rFonts w:ascii="Verdana" w:eastAsia="Calibri" w:hAnsi="Verdana" w:cs="Arial"/>
          <w:color w:val="7030A0"/>
          <w:lang w:eastAsia="es-ES"/>
        </w:rPr>
        <w:t xml:space="preserve"> </w:t>
      </w:r>
      <w:r w:rsidRPr="00D13E32">
        <w:rPr>
          <w:rFonts w:ascii="Verdana" w:eastAsia="Calibri" w:hAnsi="Verdana" w:cs="Arial"/>
          <w:color w:val="000000"/>
          <w:lang w:eastAsia="es-ES"/>
        </w:rPr>
        <w:t>jurídicos</w:t>
      </w:r>
      <w:r w:rsidRPr="00D13E32">
        <w:rPr>
          <w:rFonts w:ascii="Verdana" w:eastAsia="Calibri" w:hAnsi="Verdana" w:cs="Arial"/>
          <w:color w:val="7030A0"/>
          <w:lang w:eastAsia="es-ES"/>
        </w:rPr>
        <w:t xml:space="preserve"> </w:t>
      </w:r>
      <w:r w:rsidRPr="00D13E32">
        <w:rPr>
          <w:rFonts w:ascii="Verdana" w:eastAsia="Calibri" w:hAnsi="Verdana" w:cs="Arial"/>
          <w:color w:val="000000"/>
          <w:lang w:eastAsia="es-ES"/>
        </w:rPr>
        <w:t xml:space="preserve">de su consulta. </w:t>
      </w:r>
    </w:p>
    <w:p w14:paraId="3733D84A" w14:textId="77777777" w:rsidR="003A6A45" w:rsidRPr="00D13E32" w:rsidRDefault="003A6A45" w:rsidP="003A6A45">
      <w:pPr>
        <w:spacing w:after="0" w:line="276" w:lineRule="auto"/>
        <w:ind w:firstLine="709"/>
        <w:jc w:val="both"/>
        <w:rPr>
          <w:rFonts w:ascii="Verdana" w:eastAsia="Calibri" w:hAnsi="Verdana" w:cs="Arial"/>
          <w:color w:val="000000"/>
          <w:lang w:eastAsia="es-ES"/>
        </w:rPr>
      </w:pPr>
    </w:p>
    <w:p w14:paraId="5AFD60EE" w14:textId="77777777" w:rsidR="003A6A45" w:rsidRPr="00D13E32" w:rsidRDefault="003A6A45" w:rsidP="003A6A45">
      <w:pPr>
        <w:numPr>
          <w:ilvl w:val="0"/>
          <w:numId w:val="1"/>
        </w:numPr>
        <w:tabs>
          <w:tab w:val="left" w:pos="142"/>
          <w:tab w:val="left" w:pos="284"/>
        </w:tabs>
        <w:spacing w:after="0" w:line="276" w:lineRule="auto"/>
        <w:ind w:left="644"/>
        <w:jc w:val="both"/>
        <w:rPr>
          <w:rFonts w:ascii="Verdana" w:eastAsia="Century Gothic" w:hAnsi="Verdana" w:cs="Century Gothic"/>
          <w:b/>
          <w:bCs/>
        </w:rPr>
      </w:pPr>
      <w:r w:rsidRPr="00D13E32">
        <w:rPr>
          <w:rFonts w:ascii="Verdana" w:eastAsia="Century Gothic" w:hAnsi="Verdana" w:cs="Century Gothic"/>
          <w:b/>
          <w:bCs/>
        </w:rPr>
        <w:t>Problemas planteados:</w:t>
      </w:r>
    </w:p>
    <w:p w14:paraId="457C6054" w14:textId="77777777" w:rsidR="003A6A45" w:rsidRPr="00D13E32" w:rsidRDefault="003A6A45" w:rsidP="003A6A45">
      <w:pPr>
        <w:tabs>
          <w:tab w:val="left" w:pos="426"/>
        </w:tabs>
        <w:spacing w:after="0" w:line="276" w:lineRule="auto"/>
        <w:jc w:val="both"/>
        <w:rPr>
          <w:rFonts w:ascii="Verdana" w:eastAsia="Century Gothic" w:hAnsi="Verdana" w:cs="Century Gothic"/>
        </w:rPr>
      </w:pPr>
    </w:p>
    <w:p w14:paraId="4F885680" w14:textId="77777777" w:rsidR="003A6A45" w:rsidRPr="00D13E32" w:rsidRDefault="003A6A45" w:rsidP="003A6A45">
      <w:pPr>
        <w:spacing w:after="0" w:line="276" w:lineRule="auto"/>
        <w:jc w:val="both"/>
        <w:rPr>
          <w:rFonts w:ascii="Verdana" w:eastAsia="Century Gothic" w:hAnsi="Verdana" w:cs="Century Gothic"/>
          <w:color w:val="000000" w:themeColor="text1"/>
        </w:rPr>
      </w:pPr>
      <w:r w:rsidRPr="00D13E32">
        <w:rPr>
          <w:rFonts w:ascii="Verdana" w:eastAsia="Century Gothic" w:hAnsi="Verdana" w:cs="Century Gothic"/>
        </w:rPr>
        <w:t xml:space="preserve">De acuerdo con el contenido de su solicitud, esta Agencia resolverá el siguiente problema jurídico: </w:t>
      </w:r>
      <w:r w:rsidRPr="00D13E32">
        <w:rPr>
          <w:rFonts w:ascii="Verdana" w:eastAsia="Century Gothic" w:hAnsi="Verdana" w:cs="Century Gothic"/>
          <w:color w:val="000000" w:themeColor="text1"/>
        </w:rPr>
        <w:t>“¿Es obligación del contratista demostrar el pago de seguridad social durante la ejecución de un contrato de interventoría?”</w:t>
      </w:r>
    </w:p>
    <w:p w14:paraId="3C6B3A20" w14:textId="77777777" w:rsidR="003A6A45" w:rsidRPr="00D13E32" w:rsidRDefault="003A6A45" w:rsidP="003A6A45">
      <w:pPr>
        <w:spacing w:after="0" w:line="276" w:lineRule="auto"/>
        <w:jc w:val="both"/>
        <w:rPr>
          <w:rFonts w:ascii="Verdana" w:eastAsia="Calibri" w:hAnsi="Verdana" w:cs="Arial"/>
          <w:color w:val="7030A0"/>
        </w:rPr>
      </w:pPr>
    </w:p>
    <w:p w14:paraId="78A1BE5B" w14:textId="77777777" w:rsidR="003A6A45" w:rsidRPr="00D13E32" w:rsidRDefault="003A6A45" w:rsidP="003A6A45">
      <w:pPr>
        <w:numPr>
          <w:ilvl w:val="0"/>
          <w:numId w:val="1"/>
        </w:numPr>
        <w:tabs>
          <w:tab w:val="left" w:pos="142"/>
          <w:tab w:val="left" w:pos="284"/>
        </w:tabs>
        <w:spacing w:after="0" w:line="276" w:lineRule="auto"/>
        <w:ind w:left="644"/>
        <w:jc w:val="both"/>
        <w:rPr>
          <w:rFonts w:ascii="Verdana" w:eastAsia="Century Gothic" w:hAnsi="Verdana" w:cs="Century Gothic"/>
          <w:b/>
          <w:bCs/>
        </w:rPr>
      </w:pPr>
      <w:r w:rsidRPr="00D13E32">
        <w:rPr>
          <w:rFonts w:ascii="Verdana" w:eastAsia="Century Gothic" w:hAnsi="Verdana" w:cs="Century Gothic"/>
          <w:b/>
          <w:bCs/>
        </w:rPr>
        <w:t>Respuestas:</w:t>
      </w:r>
    </w:p>
    <w:p w14:paraId="70109600" w14:textId="77777777" w:rsidR="003A6A45" w:rsidRPr="00D13E32" w:rsidRDefault="003A6A45" w:rsidP="003A6A45">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3A6A45" w:rsidRPr="00D13E32" w14:paraId="4984C705" w14:textId="77777777" w:rsidTr="00D560BB">
        <w:trPr>
          <w:jc w:val="center"/>
        </w:trPr>
        <w:tc>
          <w:tcPr>
            <w:tcW w:w="8828" w:type="dxa"/>
            <w:shd w:val="clear" w:color="auto" w:fill="auto"/>
          </w:tcPr>
          <w:p w14:paraId="47578266" w14:textId="77777777" w:rsidR="003A6A45" w:rsidRPr="00D13E32" w:rsidRDefault="003A6A45" w:rsidP="00D560BB">
            <w:pPr>
              <w:spacing w:after="120" w:line="276" w:lineRule="auto"/>
              <w:jc w:val="both"/>
              <w:rPr>
                <w:rFonts w:ascii="Verdana" w:eastAsia="Arial" w:hAnsi="Verdana" w:cs="Arial"/>
                <w:bCs/>
              </w:rPr>
            </w:pPr>
            <w:bookmarkStart w:id="2" w:name="_Hlk171694685"/>
            <w:r w:rsidRPr="00D13E32">
              <w:rPr>
                <w:rFonts w:ascii="Verdana" w:eastAsia="Arial" w:hAnsi="Verdana" w:cs="Arial"/>
                <w:bCs/>
              </w:rPr>
              <w:t xml:space="preserve">De conformidad con el artículo 50 de la Ley 789 de 2002, la verificación de las obligaciones relacionadas con el Sistema de Seguridad Social Integral deberá efectuarse en todos los contratos que celebren las Entidades Estatales independientemente de su naturaleza o modalidad de selección, en diferentes momentos del proceso contractual, esto es, tanto antes de celebrar el contrato como durante su ejecución y liquidación. </w:t>
            </w:r>
            <w:r>
              <w:rPr>
                <w:rFonts w:ascii="Verdana" w:eastAsia="Arial" w:hAnsi="Verdana" w:cs="Arial"/>
                <w:bCs/>
              </w:rPr>
              <w:t>D</w:t>
            </w:r>
            <w:proofErr w:type="spellStart"/>
            <w:r w:rsidRPr="00D13E32">
              <w:rPr>
                <w:rFonts w:ascii="Verdana" w:eastAsia="Calibri" w:hAnsi="Verdana" w:cs="Arial"/>
                <w:lang w:val="es-ES_tradnl"/>
              </w:rPr>
              <w:t>e</w:t>
            </w:r>
            <w:proofErr w:type="spellEnd"/>
            <w:r w:rsidRPr="00D13E32">
              <w:rPr>
                <w:rFonts w:ascii="Verdana" w:eastAsia="Calibri" w:hAnsi="Verdana" w:cs="Arial"/>
                <w:lang w:val="es-ES_tradnl"/>
              </w:rPr>
              <w:t xml:space="preserve"> acuerdo con el artículo 23 de la Ley 1150 de 2007, si bien los proponentes y los contratistas deben estar al día en el pago al Sistema de Seguridad Social, la verificación de este requisito, por parte de las Entidades Estatales, se realizará como presupuesto para iniciar la ejecución de los contratos –inciso primero– y cuando realicen cada pago originado en el contrato estatal –parágrafo 1–, es decir, durante la ejecución del contrato.</w:t>
            </w:r>
          </w:p>
          <w:p w14:paraId="03325B66" w14:textId="77777777" w:rsidR="003A6A45" w:rsidRPr="00D13E32" w:rsidRDefault="003A6A45" w:rsidP="00D560BB">
            <w:pPr>
              <w:spacing w:after="120" w:line="276" w:lineRule="auto"/>
              <w:ind w:firstLine="708"/>
              <w:jc w:val="both"/>
              <w:rPr>
                <w:rFonts w:ascii="Verdana" w:eastAsia="Calibri" w:hAnsi="Verdana" w:cs="Arial"/>
                <w:lang w:val="es-ES_tradnl"/>
              </w:rPr>
            </w:pPr>
            <w:r w:rsidRPr="00D13E32">
              <w:rPr>
                <w:rFonts w:ascii="Verdana" w:eastAsia="Calibri" w:hAnsi="Verdana" w:cs="Arial"/>
                <w:lang w:val="es-ES_tradnl"/>
              </w:rPr>
              <w:t xml:space="preserve">De esta manera, la verificación del cumplimiento de las obligaciones relacionadas con el Sistema de Seguridad Social Integral se deberá realizar durante la ejecución de un contrato de interventoría, en la medida que ni el </w:t>
            </w:r>
            <w:r w:rsidRPr="00D13E32">
              <w:rPr>
                <w:rFonts w:ascii="Verdana" w:eastAsia="Calibri" w:hAnsi="Verdana" w:cs="Arial"/>
                <w:lang w:val="es-ES_tradnl"/>
              </w:rPr>
              <w:lastRenderedPageBreak/>
              <w:t>artículo 41 de la Ley 80 de 1993, modificado por el artículo 23 de la Ley 1150 de 2007, ni el artículo 50 de la Ley 789 de 2002 se refiere exclusivamente a una tipología contractual o a una modalidad de selección particular</w:t>
            </w:r>
            <w:r>
              <w:rPr>
                <w:rFonts w:ascii="Verdana" w:eastAsia="Calibri" w:hAnsi="Verdana" w:cs="Arial"/>
                <w:lang w:val="es-ES_tradnl"/>
              </w:rPr>
              <w:t>,</w:t>
            </w:r>
            <w:r w:rsidRPr="00D13E32">
              <w:rPr>
                <w:rFonts w:ascii="Verdana" w:eastAsia="Calibri" w:hAnsi="Verdana" w:cs="Arial"/>
                <w:lang w:val="es-ES_tradnl"/>
              </w:rPr>
              <w:t xml:space="preserve"> sino</w:t>
            </w:r>
            <w:r>
              <w:rPr>
                <w:rFonts w:ascii="Verdana" w:eastAsia="Calibri" w:hAnsi="Verdana" w:cs="Arial"/>
                <w:lang w:val="es-ES_tradnl"/>
              </w:rPr>
              <w:t xml:space="preserve"> que se refiere de forma genérica</w:t>
            </w:r>
            <w:r w:rsidRPr="00D13E32">
              <w:rPr>
                <w:rFonts w:ascii="Verdana" w:eastAsia="Calibri" w:hAnsi="Verdana" w:cs="Arial"/>
                <w:lang w:val="es-ES_tradnl"/>
              </w:rPr>
              <w:t xml:space="preserve"> a cualquier contrato que celebre una Entidad Estatal.</w:t>
            </w:r>
          </w:p>
          <w:p w14:paraId="3DE91173" w14:textId="77777777" w:rsidR="003A6A45" w:rsidRPr="00D13E32" w:rsidRDefault="003A6A45" w:rsidP="00D560BB">
            <w:pPr>
              <w:widowControl w:val="0"/>
              <w:autoSpaceDE w:val="0"/>
              <w:autoSpaceDN w:val="0"/>
              <w:spacing w:after="120" w:line="276" w:lineRule="auto"/>
              <w:ind w:firstLine="709"/>
              <w:jc w:val="both"/>
              <w:rPr>
                <w:rFonts w:ascii="Verdana" w:eastAsia="Arial" w:hAnsi="Verdana" w:cs="Arial"/>
                <w:lang w:val="es-ES"/>
              </w:rPr>
            </w:pPr>
            <w:r w:rsidRPr="00D13E32">
              <w:rPr>
                <w:rFonts w:ascii="Verdana" w:eastAsia="Arial" w:hAnsi="Verdana" w:cs="Arial"/>
                <w:lang w:val="es-ES"/>
              </w:rPr>
              <w:t xml:space="preserve">En este contexto, se precisa que el artículo 50 de la Ley 789 de 2002 dispone que las personas jurídicas deben acreditar el pago de los aportes al Sistema de Seguridad Social de sus </w:t>
            </w:r>
            <w:r w:rsidRPr="00D13E32">
              <w:rPr>
                <w:rFonts w:ascii="Verdana" w:eastAsia="Arial" w:hAnsi="Verdana" w:cs="Arial"/>
                <w:i/>
                <w:iCs/>
                <w:lang w:val="es-ES"/>
              </w:rPr>
              <w:t>empleados</w:t>
            </w:r>
            <w:r w:rsidRPr="00D13E32">
              <w:rPr>
                <w:rFonts w:ascii="Verdana" w:eastAsia="Arial" w:hAnsi="Verdana" w:cs="Arial"/>
                <w:lang w:val="es-ES"/>
              </w:rPr>
              <w:t xml:space="preserve">, con lo que se refiere a aquellas personas que cuenten con una relación laboral en los términos de los artículos 22 y 23 del Código Sustantivo del Trabajo. De esta manera, los proponentes que tengan la calidad de personas jurídicas únicamente deberán acreditar el pago de los aportes de sus </w:t>
            </w:r>
            <w:r w:rsidRPr="00D13E32">
              <w:rPr>
                <w:rFonts w:ascii="Verdana" w:eastAsia="Arial" w:hAnsi="Verdana" w:cs="Arial"/>
                <w:i/>
                <w:iCs/>
                <w:lang w:val="es-ES"/>
              </w:rPr>
              <w:t>empleados</w:t>
            </w:r>
            <w:r w:rsidRPr="00D13E32">
              <w:rPr>
                <w:rFonts w:ascii="Verdana" w:eastAsia="Arial" w:hAnsi="Verdana" w:cs="Arial"/>
                <w:lang w:val="es-ES"/>
              </w:rPr>
              <w:t>, tal como lo exige el artículo 50 de la Ley 789 de 2002. En tal sentido, no deberán acreditar dichos pagos con respecto a aquel personal que cuenten con un tipo de vinculación distinta al contrato laboral, como es el caso de aquell</w:t>
            </w:r>
            <w:r>
              <w:rPr>
                <w:rFonts w:ascii="Verdana" w:eastAsia="Arial" w:hAnsi="Verdana" w:cs="Arial"/>
                <w:lang w:val="es-ES"/>
              </w:rPr>
              <w:t>a</w:t>
            </w:r>
            <w:r w:rsidRPr="00D13E32">
              <w:rPr>
                <w:rFonts w:ascii="Verdana" w:eastAsia="Arial" w:hAnsi="Verdana" w:cs="Arial"/>
                <w:lang w:val="es-ES"/>
              </w:rPr>
              <w:t>s</w:t>
            </w:r>
            <w:r>
              <w:rPr>
                <w:rFonts w:ascii="Verdana" w:eastAsia="Arial" w:hAnsi="Verdana" w:cs="Arial"/>
                <w:lang w:val="es-ES"/>
              </w:rPr>
              <w:t xml:space="preserve"> personas</w:t>
            </w:r>
            <w:r w:rsidRPr="00D13E32">
              <w:rPr>
                <w:rFonts w:ascii="Verdana" w:eastAsia="Arial" w:hAnsi="Verdana" w:cs="Arial"/>
                <w:lang w:val="es-ES"/>
              </w:rPr>
              <w:t xml:space="preserve"> contratad</w:t>
            </w:r>
            <w:r>
              <w:rPr>
                <w:rFonts w:ascii="Verdana" w:eastAsia="Arial" w:hAnsi="Verdana" w:cs="Arial"/>
                <w:lang w:val="es-ES"/>
              </w:rPr>
              <w:t>a</w:t>
            </w:r>
            <w:r w:rsidRPr="00D13E32">
              <w:rPr>
                <w:rFonts w:ascii="Verdana" w:eastAsia="Arial" w:hAnsi="Verdana" w:cs="Arial"/>
                <w:lang w:val="es-ES"/>
              </w:rPr>
              <w:t xml:space="preserve">s mediante prestación de servicios. </w:t>
            </w:r>
          </w:p>
          <w:p w14:paraId="314F47DD" w14:textId="77777777" w:rsidR="003A6A45" w:rsidRPr="00D13E32" w:rsidRDefault="003A6A45" w:rsidP="00D560BB">
            <w:pPr>
              <w:widowControl w:val="0"/>
              <w:autoSpaceDE w:val="0"/>
              <w:autoSpaceDN w:val="0"/>
              <w:spacing w:line="276" w:lineRule="auto"/>
              <w:ind w:firstLine="709"/>
              <w:jc w:val="both"/>
              <w:rPr>
                <w:rFonts w:ascii="Verdana" w:eastAsia="Arial" w:hAnsi="Verdana" w:cs="Arial"/>
                <w:lang w:val="es-ES"/>
              </w:rPr>
            </w:pPr>
            <w:r w:rsidRPr="00D13E32">
              <w:rPr>
                <w:rFonts w:ascii="Verdana" w:eastAsia="Arial" w:hAnsi="Verdana" w:cs="Arial"/>
                <w:lang w:val="es-ES"/>
              </w:rPr>
              <w:t xml:space="preserve">Asimismo, para la realización de cada pago derivado del contrato estatal, el contratista </w:t>
            </w:r>
            <w:r w:rsidRPr="00D13E32">
              <w:rPr>
                <w:rFonts w:ascii="Verdana" w:eastAsia="Arial" w:hAnsi="Verdana" w:cs="Times New Roman"/>
              </w:rPr>
              <w:t>deberá dar cumplimiento a las normas de afiliación y pago al Sistema de Seguridad Social Integral (salud, pensiones y riesgos</w:t>
            </w:r>
            <w:r>
              <w:rPr>
                <w:rFonts w:ascii="Verdana" w:eastAsia="Arial" w:hAnsi="Verdana" w:cs="Times New Roman"/>
              </w:rPr>
              <w:t xml:space="preserve"> laborales</w:t>
            </w:r>
            <w:r w:rsidRPr="00D13E32">
              <w:rPr>
                <w:rFonts w:ascii="Verdana" w:eastAsia="Arial" w:hAnsi="Verdana" w:cs="Times New Roman"/>
              </w:rPr>
              <w:t>) que le correspondan, de acuerdo con el personal que llegare a emplear en la ejecución del contrato vinculado mediante contrato de trabajo</w:t>
            </w:r>
            <w:r w:rsidRPr="00D13E32">
              <w:rPr>
                <w:rFonts w:ascii="Verdana" w:eastAsia="Arial" w:hAnsi="Verdana" w:cs="Arial"/>
              </w:rPr>
              <w:t xml:space="preserve">, en las cuantías y en la </w:t>
            </w:r>
            <w:r w:rsidRPr="00D13E32">
              <w:rPr>
                <w:rFonts w:ascii="Verdana" w:eastAsia="Arial" w:hAnsi="Verdana" w:cs="Arial"/>
                <w:i/>
                <w:iCs/>
              </w:rPr>
              <w:t>periodicidad</w:t>
            </w:r>
            <w:r w:rsidRPr="00D13E32">
              <w:rPr>
                <w:rFonts w:ascii="Verdana" w:eastAsia="Arial" w:hAnsi="Verdana" w:cs="Arial"/>
              </w:rPr>
              <w:t xml:space="preserve"> que determine la normativa que rige la materia.</w:t>
            </w:r>
          </w:p>
        </w:tc>
      </w:tr>
    </w:tbl>
    <w:p w14:paraId="05D3ED93" w14:textId="77777777" w:rsidR="003A6A45" w:rsidRPr="00D13E32" w:rsidRDefault="003A6A45" w:rsidP="003A6A45">
      <w:pPr>
        <w:tabs>
          <w:tab w:val="left" w:pos="142"/>
          <w:tab w:val="left" w:pos="284"/>
        </w:tabs>
        <w:spacing w:after="0" w:line="276" w:lineRule="auto"/>
        <w:jc w:val="both"/>
        <w:rPr>
          <w:rFonts w:ascii="Verdana" w:eastAsia="Century Gothic" w:hAnsi="Verdana" w:cs="Century Gothic"/>
          <w:b/>
          <w:bCs/>
        </w:rPr>
      </w:pPr>
    </w:p>
    <w:bookmarkEnd w:id="2"/>
    <w:p w14:paraId="2E4DE351" w14:textId="77777777" w:rsidR="003A6A45" w:rsidRPr="00D13E32" w:rsidRDefault="003A6A45" w:rsidP="003A6A45">
      <w:pPr>
        <w:numPr>
          <w:ilvl w:val="0"/>
          <w:numId w:val="1"/>
        </w:numPr>
        <w:tabs>
          <w:tab w:val="left" w:pos="142"/>
          <w:tab w:val="left" w:pos="284"/>
        </w:tabs>
        <w:spacing w:after="0" w:line="276" w:lineRule="auto"/>
        <w:ind w:left="644"/>
        <w:jc w:val="both"/>
        <w:rPr>
          <w:rFonts w:ascii="Verdana" w:eastAsia="Century Gothic" w:hAnsi="Verdana" w:cs="Century Gothic"/>
          <w:b/>
          <w:bCs/>
        </w:rPr>
      </w:pPr>
      <w:r w:rsidRPr="00D13E32">
        <w:rPr>
          <w:rFonts w:ascii="Verdana" w:eastAsia="Century Gothic" w:hAnsi="Verdana" w:cs="Century Gothic"/>
          <w:b/>
          <w:bCs/>
        </w:rPr>
        <w:t>Razones de las respuestas:</w:t>
      </w:r>
    </w:p>
    <w:p w14:paraId="7D1655C4" w14:textId="77777777" w:rsidR="003A6A45" w:rsidRPr="00D13E32" w:rsidRDefault="003A6A45" w:rsidP="003A6A45">
      <w:pPr>
        <w:spacing w:after="0" w:line="276" w:lineRule="auto"/>
        <w:jc w:val="both"/>
        <w:rPr>
          <w:rFonts w:ascii="Verdana" w:eastAsia="Calibri" w:hAnsi="Verdana" w:cs="Arial"/>
          <w:color w:val="7030A0"/>
        </w:rPr>
      </w:pPr>
    </w:p>
    <w:p w14:paraId="5CE53B02" w14:textId="77777777" w:rsidR="003A6A45" w:rsidRPr="00D13E32" w:rsidRDefault="003A6A45" w:rsidP="003A6A45">
      <w:pPr>
        <w:spacing w:after="0" w:line="276" w:lineRule="auto"/>
        <w:jc w:val="both"/>
        <w:rPr>
          <w:rFonts w:ascii="Verdana" w:eastAsia="Calibri" w:hAnsi="Verdana" w:cs="Arial"/>
        </w:rPr>
      </w:pPr>
      <w:r w:rsidRPr="00D13E32">
        <w:rPr>
          <w:rFonts w:ascii="Verdana" w:eastAsia="Calibri" w:hAnsi="Verdana" w:cs="Arial"/>
        </w:rPr>
        <w:t>Lo anterior se sustenta en las siguientes consideraciones:</w:t>
      </w:r>
    </w:p>
    <w:p w14:paraId="6115B0D6" w14:textId="77777777" w:rsidR="003A6A45" w:rsidRPr="00D13E32" w:rsidRDefault="003A6A45" w:rsidP="003A6A45">
      <w:pPr>
        <w:spacing w:after="0" w:line="276" w:lineRule="auto"/>
        <w:jc w:val="both"/>
        <w:rPr>
          <w:rFonts w:ascii="Verdana" w:eastAsia="Calibri" w:hAnsi="Verdana" w:cs="Arial"/>
        </w:rPr>
      </w:pPr>
    </w:p>
    <w:p w14:paraId="182DFE47" w14:textId="77777777" w:rsidR="003A6A45" w:rsidRPr="00D13E32" w:rsidRDefault="003A6A45" w:rsidP="003A6A45">
      <w:pPr>
        <w:widowControl w:val="0"/>
        <w:autoSpaceDE w:val="0"/>
        <w:autoSpaceDN w:val="0"/>
        <w:spacing w:after="120" w:line="276" w:lineRule="auto"/>
        <w:jc w:val="both"/>
        <w:rPr>
          <w:rFonts w:ascii="Verdana" w:eastAsia="Calibri" w:hAnsi="Verdana" w:cs="Arial"/>
          <w:color w:val="000000" w:themeColor="text1"/>
        </w:rPr>
      </w:pPr>
      <w:r w:rsidRPr="00D13E32">
        <w:rPr>
          <w:rFonts w:ascii="Verdana" w:eastAsia="Calibri" w:hAnsi="Verdana" w:cs="Arial"/>
          <w:color w:val="000000" w:themeColor="text1"/>
        </w:rPr>
        <w:t xml:space="preserve">La Seguridad Social es un servicio público obligatorio, cuya dirección, coordinación y control está a cargo del Estado y es prestado por entidades públicas y privadas. Mediante esta se evitan desequilibrios económicos y sociales que, de no resolverse, significarían la reducción o la pérdida de los ingresos por causa de contingencias como la enfermedad, los accidentes, la maternidad o el desempleo, entre otras. De acuerdo con la Ley 100 de 1993, el Sistema de Seguridad Social Integral en Colombia se compone de los sistemas de pensiones, </w:t>
      </w:r>
      <w:r w:rsidRPr="00D13E32">
        <w:rPr>
          <w:rFonts w:ascii="Verdana" w:eastAsia="Calibri" w:hAnsi="Verdana" w:cs="Arial"/>
          <w:color w:val="000000" w:themeColor="text1"/>
        </w:rPr>
        <w:lastRenderedPageBreak/>
        <w:t>de salud y de riesgos laborales y de los servicios sociales complementarios.</w:t>
      </w:r>
    </w:p>
    <w:p w14:paraId="378098EC" w14:textId="77777777" w:rsidR="003A6A45" w:rsidRPr="00D13E32" w:rsidRDefault="003A6A45" w:rsidP="003A6A45">
      <w:pPr>
        <w:widowControl w:val="0"/>
        <w:autoSpaceDE w:val="0"/>
        <w:autoSpaceDN w:val="0"/>
        <w:spacing w:after="120" w:line="276" w:lineRule="auto"/>
        <w:jc w:val="both"/>
        <w:rPr>
          <w:rFonts w:ascii="Verdana" w:eastAsia="Calibri" w:hAnsi="Verdana" w:cs="Arial"/>
          <w:color w:val="000000" w:themeColor="text1"/>
        </w:rPr>
      </w:pPr>
      <w:r w:rsidRPr="00D13E32">
        <w:rPr>
          <w:rFonts w:ascii="Verdana" w:eastAsia="Calibri" w:hAnsi="Verdana" w:cs="Arial"/>
          <w:color w:val="000000" w:themeColor="text1"/>
        </w:rPr>
        <w:tab/>
        <w:t xml:space="preserve">En materia de contratación estatal, el texto original del artículo 41 de la Ley 80 de 1993 dispuso que los requisitos para perfeccionar el contrato son: i) el acuerdo sobre el objeto y la contraprestación, y </w:t>
      </w:r>
      <w:proofErr w:type="spellStart"/>
      <w:r w:rsidRPr="00D13E32">
        <w:rPr>
          <w:rFonts w:ascii="Verdana" w:eastAsia="Calibri" w:hAnsi="Verdana" w:cs="Arial"/>
          <w:color w:val="000000" w:themeColor="text1"/>
        </w:rPr>
        <w:t>ii</w:t>
      </w:r>
      <w:proofErr w:type="spellEnd"/>
      <w:r w:rsidRPr="00D13E32">
        <w:rPr>
          <w:rFonts w:ascii="Verdana" w:eastAsia="Calibri" w:hAnsi="Verdana" w:cs="Arial"/>
          <w:color w:val="000000" w:themeColor="text1"/>
        </w:rPr>
        <w:t xml:space="preserve">) que conste por escrito. Por su parte, para iniciar la ejecución se requiere: i) la constitución y aprobación de la garantía y </w:t>
      </w:r>
      <w:proofErr w:type="spellStart"/>
      <w:r w:rsidRPr="00D13E32">
        <w:rPr>
          <w:rFonts w:ascii="Verdana" w:eastAsia="Calibri" w:hAnsi="Verdana" w:cs="Arial"/>
          <w:color w:val="000000" w:themeColor="text1"/>
        </w:rPr>
        <w:t>ii</w:t>
      </w:r>
      <w:proofErr w:type="spellEnd"/>
      <w:r w:rsidRPr="00D13E32">
        <w:rPr>
          <w:rFonts w:ascii="Verdana" w:eastAsia="Calibri" w:hAnsi="Verdana" w:cs="Arial"/>
          <w:color w:val="000000" w:themeColor="text1"/>
        </w:rPr>
        <w:t>) la existencia del registro presupuestal, salvo que se tratara de la contratación con recursos de vigencias fiscales futuras, de conformidad con lo previsto en la Ley Orgánica del Presupuesto, condiciones que solo son posibles cumplir una vez se haya suscrito el contrato. Posteriormente, el artículo 23 de la Ley 1150 de 2007 modificó el inciso segundo del artículo 41 de la Ley 80 de 1993, incluyendo la obligación, para los proponentes y contratistas, de acreditar estar a paz y salvo con los aportes parafiscales al Sistema de Seguridad Social Integral.</w:t>
      </w:r>
    </w:p>
    <w:p w14:paraId="5B77793D" w14:textId="77777777" w:rsidR="003A6A45" w:rsidRPr="00D13E32" w:rsidRDefault="003A6A45" w:rsidP="003A6A45">
      <w:pPr>
        <w:widowControl w:val="0"/>
        <w:autoSpaceDE w:val="0"/>
        <w:autoSpaceDN w:val="0"/>
        <w:spacing w:after="120" w:line="276" w:lineRule="auto"/>
        <w:ind w:firstLine="709"/>
        <w:jc w:val="both"/>
        <w:rPr>
          <w:rFonts w:ascii="Verdana" w:eastAsia="Calibri" w:hAnsi="Verdana" w:cs="Arial"/>
          <w:color w:val="000000" w:themeColor="text1"/>
        </w:rPr>
      </w:pPr>
      <w:r w:rsidRPr="00D13E32">
        <w:rPr>
          <w:rFonts w:ascii="Verdana" w:eastAsia="Calibri" w:hAnsi="Verdana" w:cs="Arial"/>
          <w:color w:val="000000" w:themeColor="text1"/>
        </w:rPr>
        <w:t>Por su parte, el artículo 50 de la Ley 789 de 2002 dispuso como obligación de quien quiere celebrar, renovar o liquidar contratos de cualquier naturaleza con entidades del sector público, cumplir con las obligaciones a los sistemas de salud, riesgos profesionales, pensiones y aportes a la Caja de Compensación Familiar, Instituto Colombiano de Bienestar Familiar y Servicio Nacional de Aprendizaje. Asimismo, faculta a la Entidad Estatal, al momento de liquidar los contratos, para verificar y dejar constancia del cumplimiento de las obligaciones del contratista frente a los aportes mencionados durante toda su vigencia, estableciendo una correcta relación entre el monto cancelado y las sumas que debió cotizar</w:t>
      </w:r>
      <w:r w:rsidRPr="00D13E32">
        <w:rPr>
          <w:rFonts w:ascii="Verdana" w:eastAsia="Calibri" w:hAnsi="Verdana" w:cs="Arial"/>
          <w:color w:val="000000" w:themeColor="text1"/>
          <w:vertAlign w:val="superscript"/>
        </w:rPr>
        <w:footnoteReference w:id="2"/>
      </w:r>
      <w:r w:rsidRPr="00D13E32">
        <w:rPr>
          <w:rFonts w:ascii="Verdana" w:eastAsia="Calibri" w:hAnsi="Verdana" w:cs="Arial"/>
          <w:color w:val="000000" w:themeColor="text1"/>
          <w:vertAlign w:val="superscript"/>
        </w:rPr>
        <w:t>.</w:t>
      </w:r>
    </w:p>
    <w:p w14:paraId="1172FB65" w14:textId="77777777" w:rsidR="003A6A45" w:rsidRPr="00D13E32" w:rsidRDefault="003A6A45" w:rsidP="003A6A45">
      <w:pPr>
        <w:widowControl w:val="0"/>
        <w:autoSpaceDE w:val="0"/>
        <w:autoSpaceDN w:val="0"/>
        <w:spacing w:after="120" w:line="276" w:lineRule="auto"/>
        <w:ind w:firstLine="709"/>
        <w:jc w:val="both"/>
        <w:rPr>
          <w:rFonts w:ascii="Verdana" w:eastAsia="Calibri" w:hAnsi="Verdana" w:cs="Arial"/>
          <w:color w:val="000000" w:themeColor="text1"/>
        </w:rPr>
      </w:pPr>
      <w:r w:rsidRPr="00D13E32">
        <w:rPr>
          <w:rFonts w:ascii="Verdana" w:eastAsia="Calibri" w:hAnsi="Verdana" w:cs="Arial"/>
          <w:color w:val="000000" w:themeColor="text1"/>
        </w:rPr>
        <w:lastRenderedPageBreak/>
        <w:t>Además, aclara que las personas jurídicas que quieran celebrar contratos con las Entidades Estatales deben acreditar el pago al Sistema de Seguridad Social de sus empleados, por eso presentarán una certificación expedida por el revisor fiscal o por el representante legal, durante un lapso equivalente al que exija el respectivo régimen de contratación para que se hubiera constituido la sociedad, el cual no será inferior a los seis (6) meses anteriores a la celebración del contrato. En este sentido, la ley señala que para presentar la oferta las personas jurídicas deben acreditar el requisito señalado anteriormente.</w:t>
      </w:r>
    </w:p>
    <w:p w14:paraId="03230A31" w14:textId="77777777" w:rsidR="003A6A45" w:rsidRDefault="003A6A45" w:rsidP="003A6A45">
      <w:pPr>
        <w:widowControl w:val="0"/>
        <w:autoSpaceDE w:val="0"/>
        <w:autoSpaceDN w:val="0"/>
        <w:spacing w:after="120" w:line="276" w:lineRule="auto"/>
        <w:ind w:firstLine="708"/>
        <w:jc w:val="both"/>
        <w:rPr>
          <w:rFonts w:ascii="Verdana" w:eastAsia="Calibri" w:hAnsi="Verdana" w:cs="Arial"/>
          <w:color w:val="000000" w:themeColor="text1"/>
        </w:rPr>
      </w:pPr>
      <w:r w:rsidRPr="00D13E32">
        <w:rPr>
          <w:rFonts w:ascii="Verdana" w:eastAsia="Calibri" w:hAnsi="Verdana" w:cs="Arial"/>
          <w:color w:val="000000" w:themeColor="text1"/>
        </w:rPr>
        <w:t>Esta norma fue analizada por la Sección Tercera del Consejo de Estado, que consideró que el artículo 50 de la Ley 789 de 2002 tiene por objeto evitar la evasión por parte de los empleadores de las cotizaciones al Sistema de Seguridad Social y de los aportes parafiscales</w:t>
      </w:r>
      <w:r>
        <w:rPr>
          <w:rFonts w:ascii="Verdana" w:eastAsia="Calibri" w:hAnsi="Verdana" w:cs="Arial"/>
          <w:color w:val="000000" w:themeColor="text1"/>
        </w:rPr>
        <w:t xml:space="preserve">. </w:t>
      </w:r>
      <w:r w:rsidRPr="00D13E32">
        <w:rPr>
          <w:rFonts w:ascii="Verdana" w:eastAsia="Calibri" w:hAnsi="Verdana" w:cs="Arial"/>
          <w:color w:val="000000" w:themeColor="text1"/>
        </w:rPr>
        <w:t>Para lograr esa finalidad el legislador impuso a las Entidades Estatales la obligación de verificar, en los procesos de selección de contratistas y durante la ejecución y liquidación de los contratos, que tanto los oferentes como los contratistas hayan realizado los aportes al Sistema de Seguridad Social Integral</w:t>
      </w:r>
      <w:r w:rsidRPr="00D13E32">
        <w:rPr>
          <w:rFonts w:ascii="Verdana" w:eastAsia="Calibri" w:hAnsi="Verdana" w:cs="Arial"/>
          <w:color w:val="000000" w:themeColor="text1"/>
          <w:vertAlign w:val="superscript"/>
        </w:rPr>
        <w:footnoteReference w:id="3"/>
      </w:r>
      <w:r w:rsidRPr="00D13E32">
        <w:rPr>
          <w:rFonts w:ascii="Verdana" w:eastAsia="Calibri" w:hAnsi="Verdana" w:cs="Arial"/>
          <w:color w:val="000000" w:themeColor="text1"/>
        </w:rPr>
        <w:t xml:space="preserve">. </w:t>
      </w:r>
    </w:p>
    <w:p w14:paraId="724AABA0" w14:textId="77777777" w:rsidR="003A6A45" w:rsidRPr="00D13E32" w:rsidRDefault="003A6A45" w:rsidP="003A6A45">
      <w:pPr>
        <w:widowControl w:val="0"/>
        <w:autoSpaceDE w:val="0"/>
        <w:autoSpaceDN w:val="0"/>
        <w:spacing w:after="0" w:line="276" w:lineRule="auto"/>
        <w:ind w:firstLine="708"/>
        <w:jc w:val="both"/>
        <w:rPr>
          <w:rFonts w:ascii="Verdana" w:eastAsia="Calibri" w:hAnsi="Verdana" w:cs="Arial"/>
          <w:color w:val="000000" w:themeColor="text1"/>
        </w:rPr>
      </w:pPr>
      <w:r w:rsidRPr="00D13E32">
        <w:rPr>
          <w:rFonts w:ascii="Verdana" w:eastAsia="Calibri" w:hAnsi="Verdana" w:cs="Arial"/>
          <w:color w:val="000000" w:themeColor="text1"/>
        </w:rPr>
        <w:t>Por lo tanto, la jurisprudencia reiteró la necesidad de que las Entidades Estatales, durante la ejecución de un contrato, verifiquen el cumplimiento de las obligaciones del Sistema de Seguridad Social por parte de los oferentes. De esta manera, el artículo 23 de la Ley 1150 de 2007</w:t>
      </w:r>
      <w:r>
        <w:rPr>
          <w:rFonts w:ascii="Verdana" w:eastAsia="Calibri" w:hAnsi="Verdana" w:cs="Arial"/>
          <w:color w:val="000000" w:themeColor="text1"/>
        </w:rPr>
        <w:t>,</w:t>
      </w:r>
      <w:r w:rsidRPr="00D13E32">
        <w:rPr>
          <w:rFonts w:ascii="Verdana" w:eastAsia="Calibri" w:hAnsi="Verdana" w:cs="Arial"/>
          <w:color w:val="000000" w:themeColor="text1"/>
        </w:rPr>
        <w:t xml:space="preserve"> que modificó el inciso segundo del artículo 41 de la Ley 80 de 1993, incluye la obligación, para los proponentes y contratistas, de estar a paz y salvo con los aportes parafiscales al Sistema de Seguridad Social Integral, al señalar:</w:t>
      </w:r>
    </w:p>
    <w:p w14:paraId="35A71150" w14:textId="77777777" w:rsidR="003A6A45" w:rsidRPr="00D13E32" w:rsidRDefault="003A6A45" w:rsidP="003A6A45">
      <w:pPr>
        <w:widowControl w:val="0"/>
        <w:autoSpaceDE w:val="0"/>
        <w:autoSpaceDN w:val="0"/>
        <w:spacing w:after="0" w:line="276" w:lineRule="auto"/>
        <w:ind w:firstLine="709"/>
        <w:jc w:val="both"/>
        <w:rPr>
          <w:rFonts w:ascii="Verdana" w:eastAsia="Calibri" w:hAnsi="Verdana" w:cs="Arial"/>
          <w:color w:val="000000" w:themeColor="text1"/>
        </w:rPr>
      </w:pPr>
    </w:p>
    <w:p w14:paraId="6550021A" w14:textId="77777777" w:rsidR="003A6A45" w:rsidRPr="00D13E32" w:rsidRDefault="003A6A45" w:rsidP="003A6A45">
      <w:pPr>
        <w:widowControl w:val="0"/>
        <w:autoSpaceDE w:val="0"/>
        <w:autoSpaceDN w:val="0"/>
        <w:spacing w:after="0" w:line="240" w:lineRule="auto"/>
        <w:ind w:left="709" w:right="709"/>
        <w:jc w:val="both"/>
        <w:rPr>
          <w:rFonts w:ascii="Verdana" w:eastAsia="Calibri" w:hAnsi="Verdana" w:cs="Arial"/>
          <w:color w:val="000000" w:themeColor="text1"/>
          <w:sz w:val="20"/>
          <w:szCs w:val="20"/>
        </w:rPr>
      </w:pPr>
      <w:r>
        <w:rPr>
          <w:rFonts w:ascii="Verdana" w:eastAsia="Calibri" w:hAnsi="Verdana" w:cs="Arial"/>
          <w:color w:val="000000" w:themeColor="text1"/>
          <w:sz w:val="20"/>
          <w:szCs w:val="20"/>
        </w:rPr>
        <w:t>“</w:t>
      </w:r>
      <w:r w:rsidRPr="00D13E32">
        <w:rPr>
          <w:rFonts w:ascii="Verdana" w:eastAsia="Calibri" w:hAnsi="Verdana" w:cs="Arial"/>
          <w:color w:val="000000" w:themeColor="text1"/>
          <w:sz w:val="20"/>
          <w:szCs w:val="20"/>
        </w:rPr>
        <w:t xml:space="preserve">Para la ejecución se requerirá de la aprobación de la garantía y de la existencia de las disponibilidades presupuestales correspondientes, salvo que se trate de la contratación con recursos de vigencias fiscales futuras de conformidad con lo previsto en la ley orgánica del presupuesto. El proponente y el contratista deberán acreditar que se encuentran al día en el pago de aportes parafiscales relativos al Sistema de Seguridad Social </w:t>
      </w:r>
      <w:r w:rsidRPr="00D13E32">
        <w:rPr>
          <w:rFonts w:ascii="Verdana" w:eastAsia="Calibri" w:hAnsi="Verdana" w:cs="Arial"/>
          <w:color w:val="000000" w:themeColor="text1"/>
          <w:sz w:val="20"/>
          <w:szCs w:val="20"/>
        </w:rPr>
        <w:lastRenderedPageBreak/>
        <w:t>Integral, así como los propios del Sena, ICBF y Cajas de Compensación Familiar, cuando corresponda.</w:t>
      </w:r>
    </w:p>
    <w:p w14:paraId="496D89B2" w14:textId="77777777" w:rsidR="003A6A45" w:rsidRPr="00D13E32" w:rsidRDefault="003A6A45" w:rsidP="003A6A45">
      <w:pPr>
        <w:widowControl w:val="0"/>
        <w:autoSpaceDE w:val="0"/>
        <w:autoSpaceDN w:val="0"/>
        <w:spacing w:after="0" w:line="240" w:lineRule="auto"/>
        <w:ind w:left="709" w:right="709"/>
        <w:jc w:val="both"/>
        <w:rPr>
          <w:rFonts w:ascii="Verdana" w:eastAsia="Calibri" w:hAnsi="Verdana" w:cs="Arial"/>
          <w:color w:val="000000" w:themeColor="text1"/>
          <w:sz w:val="20"/>
          <w:szCs w:val="20"/>
        </w:rPr>
      </w:pPr>
    </w:p>
    <w:p w14:paraId="0A483ADF" w14:textId="77777777" w:rsidR="003A6A45" w:rsidRPr="00D13E32" w:rsidRDefault="003A6A45" w:rsidP="003A6A45">
      <w:pPr>
        <w:widowControl w:val="0"/>
        <w:autoSpaceDE w:val="0"/>
        <w:autoSpaceDN w:val="0"/>
        <w:spacing w:after="0" w:line="240" w:lineRule="auto"/>
        <w:ind w:left="709" w:right="709"/>
        <w:jc w:val="both"/>
        <w:rPr>
          <w:rFonts w:ascii="Verdana" w:eastAsia="Calibri" w:hAnsi="Verdana" w:cs="Arial"/>
          <w:color w:val="000000" w:themeColor="text1"/>
          <w:sz w:val="20"/>
          <w:szCs w:val="20"/>
        </w:rPr>
      </w:pPr>
      <w:r w:rsidRPr="00D13E32">
        <w:rPr>
          <w:rFonts w:ascii="Verdana" w:eastAsia="Calibri" w:hAnsi="Verdana" w:cs="Arial"/>
          <w:color w:val="000000" w:themeColor="text1"/>
          <w:sz w:val="20"/>
          <w:szCs w:val="20"/>
        </w:rPr>
        <w:t>Parágrafo 1. El requisito establecido en la parte final del inciso segundo de este artículo deberá acreditarse para la realización de cada pago derivado del contrato estatal.</w:t>
      </w:r>
    </w:p>
    <w:p w14:paraId="10074240" w14:textId="77777777" w:rsidR="003A6A45" w:rsidRPr="00D13E32" w:rsidRDefault="003A6A45" w:rsidP="003A6A45">
      <w:pPr>
        <w:widowControl w:val="0"/>
        <w:autoSpaceDE w:val="0"/>
        <w:autoSpaceDN w:val="0"/>
        <w:spacing w:after="0" w:line="240" w:lineRule="auto"/>
        <w:ind w:left="709" w:right="709"/>
        <w:jc w:val="both"/>
        <w:rPr>
          <w:rFonts w:ascii="Verdana" w:eastAsia="Calibri" w:hAnsi="Verdana" w:cs="Arial"/>
          <w:color w:val="000000" w:themeColor="text1"/>
          <w:sz w:val="20"/>
          <w:szCs w:val="20"/>
        </w:rPr>
      </w:pPr>
    </w:p>
    <w:p w14:paraId="01853E70" w14:textId="77777777" w:rsidR="003A6A45" w:rsidRPr="00D13E32" w:rsidRDefault="003A6A45" w:rsidP="003A6A45">
      <w:pPr>
        <w:widowControl w:val="0"/>
        <w:autoSpaceDE w:val="0"/>
        <w:autoSpaceDN w:val="0"/>
        <w:spacing w:after="0" w:line="240" w:lineRule="auto"/>
        <w:ind w:left="709" w:right="709"/>
        <w:jc w:val="both"/>
        <w:rPr>
          <w:rFonts w:ascii="Verdana" w:eastAsia="Calibri" w:hAnsi="Verdana" w:cs="Arial"/>
          <w:color w:val="000000" w:themeColor="text1"/>
          <w:sz w:val="20"/>
          <w:szCs w:val="20"/>
        </w:rPr>
      </w:pPr>
      <w:r w:rsidRPr="00D13E32">
        <w:rPr>
          <w:rFonts w:ascii="Verdana" w:eastAsia="Calibri" w:hAnsi="Verdana" w:cs="Arial"/>
          <w:color w:val="000000" w:themeColor="text1"/>
          <w:sz w:val="20"/>
          <w:szCs w:val="20"/>
        </w:rPr>
        <w:t>El servidor público que sin justa causa no verifique el pago de los aportes a que se refiere el presente artículo, incurrirá en causal de mala conducta, que será sancionada con arreglo al régimen disciplinario vigente</w:t>
      </w:r>
      <w:r>
        <w:rPr>
          <w:rFonts w:ascii="Verdana" w:eastAsia="Calibri" w:hAnsi="Verdana" w:cs="Arial"/>
          <w:color w:val="000000" w:themeColor="text1"/>
          <w:sz w:val="20"/>
          <w:szCs w:val="20"/>
        </w:rPr>
        <w:t>”</w:t>
      </w:r>
      <w:r w:rsidRPr="00D13E32">
        <w:rPr>
          <w:rFonts w:ascii="Verdana" w:eastAsia="Calibri" w:hAnsi="Verdana" w:cs="Arial"/>
          <w:color w:val="000000" w:themeColor="text1"/>
          <w:sz w:val="20"/>
          <w:szCs w:val="20"/>
        </w:rPr>
        <w:t>.</w:t>
      </w:r>
    </w:p>
    <w:p w14:paraId="6FB8F01A" w14:textId="77777777" w:rsidR="003A6A45" w:rsidRPr="00D13E32" w:rsidRDefault="003A6A45" w:rsidP="003A6A45">
      <w:pPr>
        <w:spacing w:after="0" w:line="276" w:lineRule="auto"/>
        <w:ind w:firstLine="709"/>
        <w:jc w:val="both"/>
        <w:rPr>
          <w:rFonts w:ascii="Verdana" w:eastAsia="Calibri" w:hAnsi="Verdana" w:cs="Arial"/>
          <w:lang w:val="es-ES_tradnl"/>
        </w:rPr>
      </w:pPr>
    </w:p>
    <w:p w14:paraId="24E0161A" w14:textId="77777777" w:rsidR="003A6A45" w:rsidRPr="00D13E32" w:rsidRDefault="003A6A45" w:rsidP="003A6A45">
      <w:pPr>
        <w:spacing w:after="120" w:line="276" w:lineRule="auto"/>
        <w:ind w:firstLine="708"/>
        <w:jc w:val="both"/>
        <w:rPr>
          <w:rFonts w:ascii="Verdana" w:eastAsia="Calibri" w:hAnsi="Verdana" w:cs="Arial"/>
          <w:lang w:val="es-ES_tradnl"/>
        </w:rPr>
      </w:pPr>
      <w:r w:rsidRPr="00D13E32">
        <w:rPr>
          <w:rFonts w:ascii="Verdana" w:eastAsia="Calibri" w:hAnsi="Verdana" w:cs="Arial"/>
          <w:lang w:val="es-ES_tradnl"/>
        </w:rPr>
        <w:t xml:space="preserve">Del artículo 23 de la Ley 1150 de 2007 se concluye que, si bien los proponentes y los contratistas deben estar al día en el pago al Sistema de Seguridad Social, la verificación de este requisito, por parte de las Entidades Estatales, se realizará como presupuesto para iniciar la ejecución de los contratos –inciso primero– y cuando realicen cada pago originado en el contrato estatal –parágrafo 1–, es decir, durante la ejecución del contrato. En estos términos, la obligación de estar al día en el pago al Sistema de Seguridad Social Integral es un requisito de ejecución de los contratos estatales. </w:t>
      </w:r>
    </w:p>
    <w:p w14:paraId="43BC9DD1" w14:textId="77777777" w:rsidR="003A6A45" w:rsidRPr="00D13E32" w:rsidRDefault="003A6A45" w:rsidP="003A6A45">
      <w:pPr>
        <w:spacing w:after="120" w:line="276" w:lineRule="auto"/>
        <w:ind w:firstLine="708"/>
        <w:jc w:val="both"/>
        <w:rPr>
          <w:rFonts w:ascii="Verdana" w:eastAsia="Calibri" w:hAnsi="Verdana" w:cs="Arial"/>
          <w:lang w:val="es-ES_tradnl"/>
        </w:rPr>
      </w:pPr>
      <w:r w:rsidRPr="00D13E32">
        <w:rPr>
          <w:rFonts w:ascii="Verdana" w:eastAsia="Calibri" w:hAnsi="Verdana" w:cs="Arial"/>
          <w:color w:val="000000" w:themeColor="text1"/>
        </w:rPr>
        <w:t xml:space="preserve">La verificación del aporte Sistema de Seguridad Social Integral cambia, dependiendo si se trata de una persona natural o de una jurídica: i) si es una natural, la Entidad Estatal verificará el pago al Sistema de Seguridad Social Integral cuando se realicen los pagos del contrato, es decir, durante su ejecución y </w:t>
      </w:r>
      <w:proofErr w:type="spellStart"/>
      <w:r w:rsidRPr="00D13E32">
        <w:rPr>
          <w:rFonts w:ascii="Verdana" w:eastAsia="Calibri" w:hAnsi="Verdana" w:cs="Arial"/>
          <w:color w:val="000000" w:themeColor="text1"/>
        </w:rPr>
        <w:t>ii</w:t>
      </w:r>
      <w:proofErr w:type="spellEnd"/>
      <w:r w:rsidRPr="00D13E32">
        <w:rPr>
          <w:rFonts w:ascii="Verdana" w:eastAsia="Calibri" w:hAnsi="Verdana" w:cs="Arial"/>
          <w:color w:val="000000" w:themeColor="text1"/>
        </w:rPr>
        <w:t>) si se refiere a una persona jurídica, el comprobante de pago de los aportes al Sistema de Seguridad Social Integral de sus empleados se debe aportar con la presentación de la oferta, y este constituye un criterio de admisión de la oferta. Lo anterior, sin perjuicio de que durante la ejecución del contrato también se acredite el pago al Sistema de Seguridad Social Integral para pagar las cuentas o facturas si a ello hubiere lugar.</w:t>
      </w:r>
    </w:p>
    <w:p w14:paraId="35FF2182" w14:textId="77777777" w:rsidR="003A6A45" w:rsidRPr="00D13E32" w:rsidRDefault="003A6A45" w:rsidP="003A6A45">
      <w:pPr>
        <w:spacing w:after="120" w:line="276" w:lineRule="auto"/>
        <w:ind w:firstLine="708"/>
        <w:jc w:val="both"/>
        <w:rPr>
          <w:rFonts w:ascii="Verdana" w:eastAsia="Calibri" w:hAnsi="Verdana" w:cs="Arial"/>
          <w:lang w:val="es-ES_tradnl"/>
        </w:rPr>
      </w:pPr>
      <w:r w:rsidRPr="00D13E32">
        <w:rPr>
          <w:rFonts w:ascii="Verdana" w:eastAsia="Calibri" w:hAnsi="Verdana" w:cs="Arial"/>
          <w:lang w:val="es-ES_tradnl"/>
        </w:rPr>
        <w:t xml:space="preserve">A partir de las reglas mencionadas, se evidencia que estar al día en el pago de las obligaciones relacionadas con el Sistema de Seguridad Social Integral es un requisito cuya verificación debe realizarse en distintos momentos del proceso contractual: 1. </w:t>
      </w:r>
      <w:r w:rsidRPr="00D13E32">
        <w:rPr>
          <w:rFonts w:ascii="Verdana" w:eastAsia="Arial" w:hAnsi="Verdana" w:cs="Arial"/>
          <w:lang w:val="es-ES"/>
        </w:rPr>
        <w:t>Para presentar la oferta; 2. En el momento del perfeccionamiento del contrato estatal; 3. Para la ejecución del contrato; 4. Durante la ejecución del contrato y</w:t>
      </w:r>
      <w:r>
        <w:rPr>
          <w:rFonts w:ascii="Verdana" w:eastAsia="Arial" w:hAnsi="Verdana" w:cs="Arial"/>
          <w:lang w:val="es-ES"/>
        </w:rPr>
        <w:t>;</w:t>
      </w:r>
      <w:r w:rsidRPr="00D13E32">
        <w:rPr>
          <w:rFonts w:ascii="Verdana" w:eastAsia="Arial" w:hAnsi="Verdana" w:cs="Arial"/>
          <w:lang w:val="es-ES"/>
        </w:rPr>
        <w:t xml:space="preserve"> 4. </w:t>
      </w:r>
      <w:r>
        <w:rPr>
          <w:rFonts w:ascii="Verdana" w:eastAsia="Arial" w:hAnsi="Verdana" w:cs="Arial"/>
          <w:lang w:val="es-ES"/>
        </w:rPr>
        <w:t>A</w:t>
      </w:r>
      <w:r w:rsidRPr="00D13E32">
        <w:rPr>
          <w:rFonts w:ascii="Verdana" w:eastAsia="Arial" w:hAnsi="Verdana" w:cs="Arial"/>
          <w:lang w:val="es-ES"/>
        </w:rPr>
        <w:t>l momento de su liquidación</w:t>
      </w:r>
      <w:r w:rsidRPr="00D13E32">
        <w:rPr>
          <w:rFonts w:ascii="Verdana" w:eastAsia="Calibri" w:hAnsi="Verdana" w:cs="Arial"/>
          <w:lang w:val="es-ES_tradnl"/>
        </w:rPr>
        <w:t xml:space="preserve">. Además, dicha verificación deberá efectuarse en relación con todos los contratos que celebren las Entidades Estatales independientemente de su naturaleza o modalidad de selección. </w:t>
      </w:r>
    </w:p>
    <w:p w14:paraId="17B5561D" w14:textId="77777777" w:rsidR="003A6A45" w:rsidRPr="00D13E32" w:rsidRDefault="003A6A45" w:rsidP="003A6A45">
      <w:pPr>
        <w:spacing w:after="120" w:line="276" w:lineRule="auto"/>
        <w:ind w:firstLine="708"/>
        <w:jc w:val="both"/>
        <w:rPr>
          <w:rFonts w:ascii="Verdana" w:eastAsia="Calibri" w:hAnsi="Verdana" w:cs="Arial"/>
          <w:lang w:val="es-ES_tradnl"/>
        </w:rPr>
      </w:pPr>
      <w:r w:rsidRPr="00D13E32">
        <w:rPr>
          <w:rFonts w:ascii="Verdana" w:eastAsia="Calibri" w:hAnsi="Verdana" w:cs="Arial"/>
          <w:lang w:val="es-ES_tradnl"/>
        </w:rPr>
        <w:lastRenderedPageBreak/>
        <w:t xml:space="preserve">De esta manera, la verificación del cumplimiento de las obligaciones relacionadas con el Sistema de Seguridad Social Integral se deberá realizar durante la ejecución de un contrato de interventoría independientemente de su forma de pago, en la medida que ni el artículo 41 de la Ley 80 de 1993, modificado por el artículo 23 de la Ley 1150 de 2007, ni el artículo 50 de la Ley 789 de 2002 se refiere exclusivamente a una tipología contractual o a una modalidad de selección particular sino </w:t>
      </w:r>
      <w:r>
        <w:rPr>
          <w:rFonts w:ascii="Verdana" w:eastAsia="Calibri" w:hAnsi="Verdana" w:cs="Arial"/>
          <w:lang w:val="es-ES_tradnl"/>
        </w:rPr>
        <w:t xml:space="preserve">que se refiere </w:t>
      </w:r>
      <w:r w:rsidRPr="00D13E32">
        <w:rPr>
          <w:rFonts w:ascii="Verdana" w:eastAsia="Calibri" w:hAnsi="Verdana" w:cs="Arial"/>
          <w:lang w:val="es-ES_tradnl"/>
        </w:rPr>
        <w:t xml:space="preserve">a cualquier contrato que celebre una Entidad Estatal. </w:t>
      </w:r>
    </w:p>
    <w:p w14:paraId="22B560DE" w14:textId="77777777" w:rsidR="003A6A45" w:rsidRPr="00D13E32" w:rsidRDefault="003A6A45" w:rsidP="003A6A45">
      <w:pPr>
        <w:widowControl w:val="0"/>
        <w:autoSpaceDE w:val="0"/>
        <w:autoSpaceDN w:val="0"/>
        <w:spacing w:after="120" w:line="276" w:lineRule="auto"/>
        <w:ind w:firstLine="709"/>
        <w:jc w:val="both"/>
        <w:rPr>
          <w:rFonts w:ascii="Verdana" w:eastAsia="Arial" w:hAnsi="Verdana" w:cs="Arial"/>
          <w:lang w:val="es-ES"/>
        </w:rPr>
      </w:pPr>
      <w:r w:rsidRPr="00D13E32">
        <w:rPr>
          <w:rFonts w:ascii="Verdana" w:eastAsia="Arial" w:hAnsi="Verdana" w:cs="Arial"/>
          <w:lang w:val="es-ES"/>
        </w:rPr>
        <w:t xml:space="preserve">Ahora bien, los parámetros descritos también se refieren a la forma en que las personas jurídicas deben acreditar el cumplimiento de sus obligaciones con el Sistema de Seguridad Social. En esta medida, el artículo 50 de la Ley 789 de 2002 dispone que las personas jurídicas deben acreditar el pago de los aportes de sus </w:t>
      </w:r>
      <w:r w:rsidRPr="00D13E32">
        <w:rPr>
          <w:rFonts w:ascii="Verdana" w:eastAsia="Arial" w:hAnsi="Verdana" w:cs="Arial"/>
          <w:i/>
          <w:iCs/>
          <w:lang w:val="es-ES"/>
        </w:rPr>
        <w:t>empleados</w:t>
      </w:r>
      <w:r w:rsidRPr="00D13E32">
        <w:rPr>
          <w:rFonts w:ascii="Verdana" w:eastAsia="Arial" w:hAnsi="Verdana" w:cs="Arial"/>
          <w:lang w:val="es-ES"/>
        </w:rPr>
        <w:t xml:space="preserve">, con lo que se refiere a aquellas personas que cuenten con una relación laboral en los términos de los artículos 22 y 23 del Código Sustantivo del Trabajo. Teniendo en cuenta que el artículo 84 de la Constitución Política dispone que “cuando un derecho o una actividad hayan sido reglamentados de manera general, las </w:t>
      </w:r>
      <w:proofErr w:type="gramStart"/>
      <w:r w:rsidRPr="00D13E32">
        <w:rPr>
          <w:rFonts w:ascii="Verdana" w:eastAsia="Arial" w:hAnsi="Verdana" w:cs="Arial"/>
          <w:lang w:val="es-ES"/>
        </w:rPr>
        <w:t>autoridades públicas</w:t>
      </w:r>
      <w:proofErr w:type="gramEnd"/>
      <w:r w:rsidRPr="00D13E32">
        <w:rPr>
          <w:rFonts w:ascii="Verdana" w:eastAsia="Arial" w:hAnsi="Verdana" w:cs="Arial"/>
          <w:lang w:val="es-ES"/>
        </w:rPr>
        <w:t xml:space="preserve"> no podrán establecer ni exigir permisos, licencias o requisitos adicionales para su ejercicio”, es posible señalar que la ley no exigió que las personas jurídicas acrediten el pago de los aportes de sus contratistas, ni aporten las planillas de pago. </w:t>
      </w:r>
    </w:p>
    <w:p w14:paraId="2351DF52" w14:textId="77777777" w:rsidR="003A6A45" w:rsidRPr="00D13E32" w:rsidRDefault="003A6A45" w:rsidP="003A6A45">
      <w:pPr>
        <w:widowControl w:val="0"/>
        <w:autoSpaceDE w:val="0"/>
        <w:autoSpaceDN w:val="0"/>
        <w:spacing w:after="120" w:line="276" w:lineRule="auto"/>
        <w:ind w:firstLine="709"/>
        <w:jc w:val="both"/>
        <w:rPr>
          <w:rFonts w:ascii="Verdana" w:eastAsia="Arial" w:hAnsi="Verdana" w:cs="Arial"/>
        </w:rPr>
      </w:pPr>
      <w:r w:rsidRPr="00D13E32">
        <w:rPr>
          <w:rFonts w:ascii="Verdana" w:eastAsia="Arial" w:hAnsi="Verdana" w:cs="Arial"/>
          <w:lang w:val="es-ES"/>
        </w:rPr>
        <w:t>Se concluye de lo anterior que</w:t>
      </w:r>
      <w:r>
        <w:rPr>
          <w:rFonts w:ascii="Verdana" w:eastAsia="Arial" w:hAnsi="Verdana" w:cs="Arial"/>
          <w:lang w:val="es-ES"/>
        </w:rPr>
        <w:t>,</w:t>
      </w:r>
      <w:r w:rsidRPr="00D13E32">
        <w:rPr>
          <w:rFonts w:ascii="Verdana" w:eastAsia="Arial" w:hAnsi="Verdana" w:cs="Arial"/>
          <w:lang w:val="es-ES"/>
        </w:rPr>
        <w:t xml:space="preserve"> los proponentes que tengan la calidad de personas jurídicas únicamente deberán acreditar el pago de los aportes de sus </w:t>
      </w:r>
      <w:r w:rsidRPr="00D13E32">
        <w:rPr>
          <w:rFonts w:ascii="Verdana" w:eastAsia="Arial" w:hAnsi="Verdana" w:cs="Arial"/>
          <w:i/>
          <w:iCs/>
          <w:lang w:val="es-ES"/>
        </w:rPr>
        <w:t>empleados</w:t>
      </w:r>
      <w:r w:rsidRPr="00D13E32">
        <w:rPr>
          <w:rFonts w:ascii="Verdana" w:eastAsia="Arial" w:hAnsi="Verdana" w:cs="Arial"/>
          <w:lang w:val="es-ES"/>
        </w:rPr>
        <w:t>, tal como lo exige el artículo 50 de la Ley 789 de 2002. En tal sentido, no deberán acreditar dichos pagos con respecto a aquel personal que cuenten con un tipo de vinculación distinta al contrato laboral, como es el caso de aquell</w:t>
      </w:r>
      <w:r>
        <w:rPr>
          <w:rFonts w:ascii="Verdana" w:eastAsia="Arial" w:hAnsi="Verdana" w:cs="Arial"/>
          <w:lang w:val="es-ES"/>
        </w:rPr>
        <w:t>a</w:t>
      </w:r>
      <w:r w:rsidRPr="00D13E32">
        <w:rPr>
          <w:rFonts w:ascii="Verdana" w:eastAsia="Arial" w:hAnsi="Verdana" w:cs="Arial"/>
          <w:lang w:val="es-ES"/>
        </w:rPr>
        <w:t>s</w:t>
      </w:r>
      <w:r>
        <w:rPr>
          <w:rFonts w:ascii="Verdana" w:eastAsia="Arial" w:hAnsi="Verdana" w:cs="Arial"/>
          <w:lang w:val="es-ES"/>
        </w:rPr>
        <w:t xml:space="preserve"> personas</w:t>
      </w:r>
      <w:r w:rsidRPr="00D13E32">
        <w:rPr>
          <w:rFonts w:ascii="Verdana" w:eastAsia="Arial" w:hAnsi="Verdana" w:cs="Arial"/>
          <w:lang w:val="es-ES"/>
        </w:rPr>
        <w:t xml:space="preserve"> contratad</w:t>
      </w:r>
      <w:r>
        <w:rPr>
          <w:rFonts w:ascii="Verdana" w:eastAsia="Arial" w:hAnsi="Verdana" w:cs="Arial"/>
          <w:lang w:val="es-ES"/>
        </w:rPr>
        <w:t>a</w:t>
      </w:r>
      <w:r w:rsidRPr="00D13E32">
        <w:rPr>
          <w:rFonts w:ascii="Verdana" w:eastAsia="Arial" w:hAnsi="Verdana" w:cs="Arial"/>
          <w:lang w:val="es-ES"/>
        </w:rPr>
        <w:t xml:space="preserve">s mediante prestación de servicios. Asimismo, para la realización de cada pago derivado del contrato estatal, el contratista </w:t>
      </w:r>
      <w:r w:rsidRPr="00D13E32">
        <w:rPr>
          <w:rFonts w:ascii="Verdana" w:eastAsia="Arial" w:hAnsi="Verdana" w:cs="Times New Roman"/>
        </w:rPr>
        <w:t xml:space="preserve">deberá dar cumplimiento a las normas de afiliación y </w:t>
      </w:r>
      <w:bookmarkStart w:id="3" w:name="_Hlk196147444"/>
      <w:r w:rsidRPr="00D13E32">
        <w:rPr>
          <w:rFonts w:ascii="Verdana" w:eastAsia="Arial" w:hAnsi="Verdana" w:cs="Times New Roman"/>
        </w:rPr>
        <w:t xml:space="preserve">pago al Sistema de Seguridad Social Integral </w:t>
      </w:r>
      <w:bookmarkEnd w:id="3"/>
      <w:r w:rsidRPr="00D13E32">
        <w:rPr>
          <w:rFonts w:ascii="Verdana" w:eastAsia="Arial" w:hAnsi="Verdana" w:cs="Times New Roman"/>
        </w:rPr>
        <w:t>(salud, pensiones y riesgos) que le correspondan, de acuerdo con el personal que llegare a emplear en la ejecución del contrato vinculado mediante contrato de trabajo</w:t>
      </w:r>
      <w:r w:rsidRPr="00D13E32">
        <w:rPr>
          <w:rFonts w:ascii="Verdana" w:eastAsia="Arial" w:hAnsi="Verdana" w:cs="Arial"/>
        </w:rPr>
        <w:t xml:space="preserve">, en las cuantías y en la </w:t>
      </w:r>
      <w:r w:rsidRPr="00D13E32">
        <w:rPr>
          <w:rFonts w:ascii="Verdana" w:eastAsia="Arial" w:hAnsi="Verdana" w:cs="Arial"/>
          <w:i/>
          <w:iCs/>
        </w:rPr>
        <w:t>periodicidad</w:t>
      </w:r>
      <w:r w:rsidRPr="00D13E32">
        <w:rPr>
          <w:rFonts w:ascii="Verdana" w:eastAsia="Arial" w:hAnsi="Verdana" w:cs="Arial"/>
        </w:rPr>
        <w:t xml:space="preserve"> que determine la normativa que rige la materia. </w:t>
      </w:r>
    </w:p>
    <w:p w14:paraId="16F108E2" w14:textId="77777777" w:rsidR="003A6A45" w:rsidRPr="00D13E32" w:rsidRDefault="003A6A45" w:rsidP="003A6A45">
      <w:pPr>
        <w:widowControl w:val="0"/>
        <w:autoSpaceDE w:val="0"/>
        <w:autoSpaceDN w:val="0"/>
        <w:spacing w:after="0" w:line="276" w:lineRule="auto"/>
        <w:ind w:firstLine="709"/>
        <w:jc w:val="both"/>
        <w:rPr>
          <w:rFonts w:ascii="Verdana" w:hAnsi="Verdana" w:cs="Arial"/>
        </w:rPr>
      </w:pPr>
      <w:r w:rsidRPr="00D13E32">
        <w:rPr>
          <w:rFonts w:ascii="Verdana" w:hAnsi="Verdana" w:cs="Arial"/>
        </w:rPr>
        <w:t>En todo caso, debe advertirse que el análisis requerido para para resolver problemas puntuales en torno a la acreditación y verificación del pago</w:t>
      </w:r>
      <w:r w:rsidRPr="00D13E32">
        <w:rPr>
          <w:rFonts w:ascii="Verdana" w:eastAsia="Arial" w:hAnsi="Verdana" w:cs="Times New Roman"/>
        </w:rPr>
        <w:t xml:space="preserve"> al Sistema de Seguridad Social Integral en un contrato especifico </w:t>
      </w:r>
      <w:r w:rsidRPr="00D13E32">
        <w:rPr>
          <w:rFonts w:ascii="Verdana" w:hAnsi="Verdana" w:cs="Arial"/>
        </w:rPr>
        <w:t xml:space="preserve">debe ser realizado por </w:t>
      </w:r>
      <w:r w:rsidRPr="00D13E32">
        <w:rPr>
          <w:rFonts w:ascii="Verdana" w:hAnsi="Verdana" w:cs="Arial"/>
        </w:rPr>
        <w:lastRenderedPageBreak/>
        <w:t xml:space="preserve">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  </w:t>
      </w:r>
    </w:p>
    <w:p w14:paraId="37EE9381" w14:textId="77777777" w:rsidR="003A6A45" w:rsidRPr="00D13E32" w:rsidRDefault="003A6A45" w:rsidP="003A6A45">
      <w:pPr>
        <w:spacing w:after="0" w:line="276" w:lineRule="auto"/>
        <w:jc w:val="both"/>
        <w:rPr>
          <w:rFonts w:ascii="Verdana" w:eastAsia="Calibri" w:hAnsi="Verdana" w:cs="Arial"/>
        </w:rPr>
      </w:pPr>
    </w:p>
    <w:p w14:paraId="569D87B1" w14:textId="77777777" w:rsidR="003A6A45" w:rsidRPr="00D13E32" w:rsidRDefault="003A6A45" w:rsidP="003A6A45">
      <w:pPr>
        <w:numPr>
          <w:ilvl w:val="0"/>
          <w:numId w:val="1"/>
        </w:numPr>
        <w:tabs>
          <w:tab w:val="left" w:pos="142"/>
          <w:tab w:val="left" w:pos="284"/>
        </w:tabs>
        <w:spacing w:after="0" w:line="276" w:lineRule="auto"/>
        <w:ind w:left="644"/>
        <w:jc w:val="both"/>
        <w:rPr>
          <w:rFonts w:ascii="Verdana" w:eastAsia="Century Gothic" w:hAnsi="Verdana" w:cs="Century Gothic"/>
          <w:b/>
          <w:bCs/>
        </w:rPr>
      </w:pPr>
      <w:r w:rsidRPr="00D13E32">
        <w:rPr>
          <w:rFonts w:ascii="Verdana" w:eastAsia="Century Gothic" w:hAnsi="Verdana" w:cs="Century Gothic"/>
          <w:b/>
          <w:bCs/>
        </w:rPr>
        <w:t>Referencias normativas y jurisprudenciales:</w:t>
      </w:r>
    </w:p>
    <w:p w14:paraId="746B643E" w14:textId="77777777" w:rsidR="003A6A45" w:rsidRPr="00D13E32" w:rsidRDefault="003A6A45" w:rsidP="003A6A45">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3A6A45" w:rsidRPr="00D13E32" w14:paraId="7FCD2A58" w14:textId="77777777" w:rsidTr="00D560BB">
        <w:trPr>
          <w:trHeight w:val="410"/>
          <w:jc w:val="center"/>
        </w:trPr>
        <w:tc>
          <w:tcPr>
            <w:tcW w:w="8647" w:type="dxa"/>
          </w:tcPr>
          <w:p w14:paraId="56F1A1A6" w14:textId="77777777" w:rsidR="003A6A45" w:rsidRPr="00D13E32" w:rsidRDefault="003A6A45" w:rsidP="003A6A45">
            <w:pPr>
              <w:widowControl w:val="0"/>
              <w:numPr>
                <w:ilvl w:val="0"/>
                <w:numId w:val="3"/>
              </w:numPr>
              <w:autoSpaceDE w:val="0"/>
              <w:autoSpaceDN w:val="0"/>
              <w:spacing w:line="276" w:lineRule="auto"/>
              <w:ind w:left="318" w:hanging="284"/>
              <w:contextualSpacing/>
              <w:jc w:val="both"/>
              <w:rPr>
                <w:rFonts w:ascii="Verdana" w:hAnsi="Verdana" w:cs="Arial"/>
                <w:lang w:val="es-MX"/>
              </w:rPr>
            </w:pPr>
            <w:r w:rsidRPr="00D13E32">
              <w:rPr>
                <w:rFonts w:ascii="Verdana" w:hAnsi="Verdana" w:cs="Arial"/>
                <w:lang w:val="es-MX"/>
              </w:rPr>
              <w:t>Ley 789 de 2002: artículo 50.</w:t>
            </w:r>
          </w:p>
          <w:p w14:paraId="0ED3325A" w14:textId="77777777" w:rsidR="003A6A45" w:rsidRPr="00D13E32" w:rsidRDefault="003A6A45" w:rsidP="003A6A45">
            <w:pPr>
              <w:widowControl w:val="0"/>
              <w:numPr>
                <w:ilvl w:val="0"/>
                <w:numId w:val="3"/>
              </w:numPr>
              <w:autoSpaceDE w:val="0"/>
              <w:autoSpaceDN w:val="0"/>
              <w:spacing w:line="276" w:lineRule="auto"/>
              <w:ind w:left="318" w:hanging="284"/>
              <w:contextualSpacing/>
              <w:jc w:val="both"/>
              <w:rPr>
                <w:rFonts w:ascii="Verdana" w:hAnsi="Verdana" w:cs="Arial"/>
                <w:lang w:val="es-MX"/>
              </w:rPr>
            </w:pPr>
            <w:r w:rsidRPr="00D13E32">
              <w:rPr>
                <w:rFonts w:ascii="Verdana" w:hAnsi="Verdana" w:cs="Arial"/>
                <w:lang w:val="es-MX"/>
              </w:rPr>
              <w:t>Ley 80 de 1993: artículo 41.</w:t>
            </w:r>
          </w:p>
          <w:p w14:paraId="573F6064" w14:textId="77777777" w:rsidR="003A6A45" w:rsidRPr="00D13E32" w:rsidRDefault="003A6A45" w:rsidP="003A6A45">
            <w:pPr>
              <w:widowControl w:val="0"/>
              <w:numPr>
                <w:ilvl w:val="0"/>
                <w:numId w:val="3"/>
              </w:numPr>
              <w:autoSpaceDE w:val="0"/>
              <w:autoSpaceDN w:val="0"/>
              <w:spacing w:line="276" w:lineRule="auto"/>
              <w:ind w:left="318" w:hanging="284"/>
              <w:contextualSpacing/>
              <w:jc w:val="both"/>
              <w:rPr>
                <w:rFonts w:ascii="Verdana" w:hAnsi="Verdana" w:cs="Arial"/>
                <w:lang w:val="es-MX"/>
              </w:rPr>
            </w:pPr>
            <w:r w:rsidRPr="00D13E32">
              <w:rPr>
                <w:rFonts w:ascii="Verdana" w:hAnsi="Verdana" w:cs="Arial"/>
                <w:lang w:val="es-MX"/>
              </w:rPr>
              <w:t>Ley 1150 de 2007: artículo 23</w:t>
            </w:r>
          </w:p>
          <w:p w14:paraId="3561B0EC" w14:textId="77777777" w:rsidR="003A6A45" w:rsidRPr="00D13E32" w:rsidRDefault="003A6A45" w:rsidP="003A6A45">
            <w:pPr>
              <w:widowControl w:val="0"/>
              <w:numPr>
                <w:ilvl w:val="0"/>
                <w:numId w:val="3"/>
              </w:numPr>
              <w:autoSpaceDE w:val="0"/>
              <w:autoSpaceDN w:val="0"/>
              <w:spacing w:line="276" w:lineRule="auto"/>
              <w:ind w:left="318" w:hanging="284"/>
              <w:contextualSpacing/>
              <w:jc w:val="both"/>
              <w:rPr>
                <w:rFonts w:ascii="Verdana" w:hAnsi="Verdana" w:cs="Arial"/>
                <w:lang w:val="es-MX"/>
              </w:rPr>
            </w:pPr>
            <w:r w:rsidRPr="00D13E32">
              <w:rPr>
                <w:rFonts w:ascii="Verdana" w:hAnsi="Verdana" w:cs="Arial"/>
                <w:lang w:val="es-ES"/>
              </w:rPr>
              <w:t xml:space="preserve">Consejo de Estado. Sección Tercera. Subsección C. Sentencia del 8 de junio de 2011. </w:t>
            </w:r>
            <w:proofErr w:type="spellStart"/>
            <w:r w:rsidRPr="00D13E32">
              <w:rPr>
                <w:rFonts w:ascii="Verdana" w:hAnsi="Verdana" w:cs="Arial"/>
                <w:lang w:val="es-ES"/>
              </w:rPr>
              <w:t>Exp</w:t>
            </w:r>
            <w:proofErr w:type="spellEnd"/>
            <w:r w:rsidRPr="00D13E32">
              <w:rPr>
                <w:rFonts w:ascii="Verdana" w:hAnsi="Verdana" w:cs="Arial"/>
                <w:lang w:val="es-ES"/>
              </w:rPr>
              <w:t>. 20001-23-31-000-2005-00409-01(AP), C.P. Enrique Gil Botero.</w:t>
            </w:r>
          </w:p>
        </w:tc>
      </w:tr>
    </w:tbl>
    <w:p w14:paraId="7CDE5F49" w14:textId="77777777" w:rsidR="003A6A45" w:rsidRPr="00D13E32" w:rsidRDefault="003A6A45" w:rsidP="003A6A45">
      <w:pPr>
        <w:widowControl w:val="0"/>
        <w:autoSpaceDE w:val="0"/>
        <w:autoSpaceDN w:val="0"/>
        <w:spacing w:after="0" w:line="276" w:lineRule="auto"/>
        <w:jc w:val="both"/>
        <w:rPr>
          <w:rFonts w:ascii="Verdana" w:hAnsi="Verdana" w:cs="Arial"/>
        </w:rPr>
      </w:pPr>
    </w:p>
    <w:p w14:paraId="79FA7451" w14:textId="77777777" w:rsidR="003A6A45" w:rsidRPr="00D13E32" w:rsidRDefault="003A6A45" w:rsidP="003A6A45">
      <w:pPr>
        <w:numPr>
          <w:ilvl w:val="0"/>
          <w:numId w:val="1"/>
        </w:numPr>
        <w:tabs>
          <w:tab w:val="left" w:pos="142"/>
          <w:tab w:val="left" w:pos="284"/>
        </w:tabs>
        <w:spacing w:after="0" w:line="276" w:lineRule="auto"/>
        <w:ind w:left="644"/>
        <w:jc w:val="both"/>
        <w:rPr>
          <w:rFonts w:ascii="Verdana" w:eastAsia="Century Gothic" w:hAnsi="Verdana" w:cs="Century Gothic"/>
          <w:b/>
          <w:bCs/>
        </w:rPr>
      </w:pPr>
      <w:r w:rsidRPr="00D13E32">
        <w:rPr>
          <w:rFonts w:ascii="Verdana" w:eastAsia="Century Gothic" w:hAnsi="Verdana" w:cs="Century Gothic"/>
          <w:b/>
          <w:bCs/>
        </w:rPr>
        <w:t>Doctrina de la Agencia Nacional de Contratación Pública:</w:t>
      </w:r>
    </w:p>
    <w:p w14:paraId="184D50EC" w14:textId="77777777" w:rsidR="003A6A45" w:rsidRPr="00D13E32" w:rsidRDefault="003A6A45" w:rsidP="003A6A45">
      <w:pPr>
        <w:widowControl w:val="0"/>
        <w:autoSpaceDE w:val="0"/>
        <w:autoSpaceDN w:val="0"/>
        <w:spacing w:after="0" w:line="276" w:lineRule="auto"/>
        <w:jc w:val="both"/>
        <w:rPr>
          <w:rFonts w:ascii="Verdana" w:hAnsi="Verdana" w:cs="Arial"/>
        </w:rPr>
      </w:pPr>
    </w:p>
    <w:p w14:paraId="69262D32" w14:textId="77777777" w:rsidR="003A6A45" w:rsidRPr="00D13E32" w:rsidRDefault="003A6A45" w:rsidP="003A6A45">
      <w:pPr>
        <w:widowControl w:val="0"/>
        <w:autoSpaceDE w:val="0"/>
        <w:autoSpaceDN w:val="0"/>
        <w:spacing w:after="0" w:line="276" w:lineRule="auto"/>
        <w:jc w:val="both"/>
        <w:rPr>
          <w:rFonts w:ascii="Verdana" w:hAnsi="Verdana" w:cs="Arial"/>
          <w:color w:val="000000" w:themeColor="text1"/>
          <w:shd w:val="clear" w:color="auto" w:fill="FFFFFF"/>
          <w:lang w:val="es-ES"/>
        </w:rPr>
      </w:pPr>
      <w:r w:rsidRPr="00D13E32">
        <w:rPr>
          <w:rFonts w:ascii="Verdana" w:hAnsi="Verdana" w:cs="Arial"/>
          <w:shd w:val="clear" w:color="auto" w:fill="FFFFFF"/>
          <w:lang w:val="es-ES"/>
        </w:rPr>
        <w:t>Sobre la seguridad social integral se pronunció esta Subdirección en los conceptos</w:t>
      </w:r>
      <w:r w:rsidRPr="00D13E32">
        <w:rPr>
          <w:rFonts w:ascii="Verdana" w:hAnsi="Verdana" w:cs="Calibri"/>
          <w:shd w:val="clear" w:color="auto" w:fill="FFFFFF"/>
        </w:rPr>
        <w:t xml:space="preserve"> </w:t>
      </w:r>
      <w:r w:rsidRPr="00D13E32">
        <w:rPr>
          <w:rFonts w:ascii="Verdana" w:hAnsi="Verdana" w:cs="Arial"/>
          <w:shd w:val="clear" w:color="auto" w:fill="FFFFFF"/>
          <w:lang w:val="es-ES"/>
        </w:rPr>
        <w:t>número 42019130000005594 de 30 de septiembre de 2019, 4201913000006384 de 21 de octubre de 2019, 4201912000007492 de 17 de diciembre de 2019, C-040 de 5 de febrero de 2020, C-042 de 5 de febrero de 2020, C-134 del 7 de abril 2021, C-038 del 1 de marzo de 2022, C- 617 del 27 de septiembre de 2022, C-712 del 13 de octubre del 2022, C-192 del 13 de junio del 2023, C-054 del 19 de abril del 2023, C-448 del 26 de diciembre de 2023, C-293 del 20 de agosto de 2024, C-458 del 20 de septiembre de 2024, C-233 del 1 de abril de 2025 y C-270 del 8 de abril de 2025</w:t>
      </w:r>
      <w:r w:rsidRPr="00D13E32">
        <w:rPr>
          <w:rFonts w:ascii="Verdana" w:eastAsia="Aptos" w:hAnsi="Verdana" w:cs="Arial"/>
          <w:shd w:val="clear" w:color="auto" w:fill="FFFFFF"/>
        </w:rPr>
        <w:t xml:space="preserve">. </w:t>
      </w:r>
      <w:r w:rsidRPr="00D13E32">
        <w:rPr>
          <w:rFonts w:ascii="Verdana" w:hAnsi="Verdana" w:cs="Arial"/>
          <w:shd w:val="clear" w:color="auto" w:fill="FFFFFF"/>
        </w:rPr>
        <w:t>Es</w:t>
      </w:r>
      <w:r w:rsidRPr="00D13E32">
        <w:rPr>
          <w:rFonts w:ascii="Verdana" w:hAnsi="Verdana"/>
        </w:rPr>
        <w:t>tos conceptos se encuentran disponibles para consulta en el Sistema de relatoría de la Agencia, al cual se puede acceder a través del siguiente enlace:</w:t>
      </w:r>
      <w:r w:rsidRPr="00D13E32">
        <w:rPr>
          <w:rFonts w:ascii="Verdana" w:hAnsi="Verdana" w:cs="Arial"/>
          <w:shd w:val="clear" w:color="auto" w:fill="FFFFFF"/>
        </w:rPr>
        <w:t xml:space="preserve"> </w:t>
      </w:r>
      <w:hyperlink r:id="rId13" w:history="1">
        <w:r w:rsidRPr="00D13E32">
          <w:rPr>
            <w:rFonts w:ascii="Verdana" w:hAnsi="Verdana" w:cs="Arial"/>
            <w:color w:val="0563C1" w:themeColor="hyperlink"/>
            <w:u w:val="single"/>
            <w:shd w:val="clear" w:color="auto" w:fill="FFFFFF"/>
          </w:rPr>
          <w:t>https://relatoria.colombiacompra.gov.co/busqueda/conceptos</w:t>
        </w:r>
      </w:hyperlink>
      <w:r w:rsidRPr="00D13E32">
        <w:rPr>
          <w:rFonts w:ascii="Verdana" w:hAnsi="Verdana" w:cs="Arial"/>
          <w:shd w:val="clear" w:color="auto" w:fill="FFFFFF"/>
        </w:rPr>
        <w:t>.</w:t>
      </w:r>
      <w:r w:rsidRPr="00D13E32">
        <w:rPr>
          <w:rFonts w:ascii="Verdana" w:hAnsi="Verdana" w:cs="Arial"/>
          <w:color w:val="FF0000"/>
          <w:shd w:val="clear" w:color="auto" w:fill="FFFFFF"/>
        </w:rPr>
        <w:t xml:space="preserve"> </w:t>
      </w:r>
      <w:r w:rsidRPr="00D13E32">
        <w:rPr>
          <w:rFonts w:ascii="Verdana" w:hAnsi="Verdana" w:cs="Arial"/>
          <w:color w:val="000000" w:themeColor="text1"/>
          <w:shd w:val="clear" w:color="auto" w:fill="FFFFFF"/>
        </w:rPr>
        <w:t>  </w:t>
      </w:r>
    </w:p>
    <w:p w14:paraId="78A0D198" w14:textId="77777777" w:rsidR="003A6A45" w:rsidRPr="00D13E32" w:rsidRDefault="003A6A45" w:rsidP="003A6A45">
      <w:pPr>
        <w:widowControl w:val="0"/>
        <w:autoSpaceDE w:val="0"/>
        <w:autoSpaceDN w:val="0"/>
        <w:spacing w:after="0" w:line="276" w:lineRule="auto"/>
        <w:jc w:val="both"/>
        <w:rPr>
          <w:rFonts w:ascii="Verdana" w:eastAsia="Calibri" w:hAnsi="Verdana" w:cs="Arial"/>
          <w:color w:val="000000" w:themeColor="text1"/>
        </w:rPr>
      </w:pPr>
    </w:p>
    <w:p w14:paraId="4C95ACC7" w14:textId="77777777" w:rsidR="003A6A45" w:rsidRPr="00D13E32" w:rsidRDefault="003A6A45" w:rsidP="003A6A45">
      <w:pPr>
        <w:widowControl w:val="0"/>
        <w:autoSpaceDE w:val="0"/>
        <w:autoSpaceDN w:val="0"/>
        <w:spacing w:after="0" w:line="276" w:lineRule="auto"/>
        <w:jc w:val="both"/>
        <w:rPr>
          <w:rFonts w:ascii="Verdana" w:hAnsi="Verdana" w:cs="Arial"/>
        </w:rPr>
      </w:pPr>
      <w:r w:rsidRPr="00D13E32">
        <w:rPr>
          <w:rFonts w:ascii="Verdana" w:hAnsi="Verdana" w:cs="Ari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2512322D" w14:textId="77777777" w:rsidR="003A6A45" w:rsidRPr="00D13E32" w:rsidRDefault="003A6A45" w:rsidP="003A6A45">
      <w:pPr>
        <w:widowControl w:val="0"/>
        <w:autoSpaceDE w:val="0"/>
        <w:autoSpaceDN w:val="0"/>
        <w:spacing w:after="0" w:line="276" w:lineRule="auto"/>
        <w:jc w:val="both"/>
        <w:rPr>
          <w:rFonts w:ascii="Verdana" w:hAnsi="Verdana" w:cs="Arial"/>
        </w:rPr>
      </w:pPr>
    </w:p>
    <w:p w14:paraId="461BA0B2" w14:textId="77777777" w:rsidR="003A6A45" w:rsidRPr="00D13E32" w:rsidRDefault="003A6A45" w:rsidP="003A6A45">
      <w:pPr>
        <w:spacing w:after="0" w:line="276" w:lineRule="auto"/>
        <w:rPr>
          <w:rFonts w:ascii="Verdana" w:hAnsi="Verdana" w:cs="Arial"/>
          <w:lang w:eastAsia="es-CO"/>
        </w:rPr>
      </w:pPr>
      <w:r w:rsidRPr="00D13E32">
        <w:rPr>
          <w:rFonts w:ascii="Verdana" w:eastAsia="Times New Roman" w:hAnsi="Verdana" w:cs="Arial"/>
          <w:lang w:eastAsia="es-CO"/>
        </w:rPr>
        <w:t>Atentamente,</w:t>
      </w:r>
      <w:r w:rsidRPr="00D13E32">
        <w:rPr>
          <w:rFonts w:ascii="Verdana" w:hAnsi="Verdana" w:cs="Arial"/>
          <w:lang w:eastAsia="es-CO"/>
        </w:rPr>
        <w:t xml:space="preserve"> </w:t>
      </w:r>
    </w:p>
    <w:p w14:paraId="2CF096EB" w14:textId="63E6A2AD" w:rsidR="003A6A45" w:rsidRPr="00D13E32" w:rsidRDefault="00A07369" w:rsidP="003A6A45">
      <w:pPr>
        <w:spacing w:line="276" w:lineRule="auto"/>
        <w:jc w:val="center"/>
        <w:rPr>
          <w:rFonts w:ascii="Verdana" w:hAnsi="Verdana" w:cs="Arial"/>
          <w:color w:val="000000"/>
          <w:lang w:eastAsia="es-CO"/>
        </w:rPr>
      </w:pPr>
      <w:r w:rsidRPr="002C3AD6">
        <w:rPr>
          <w:rFonts w:ascii="Century Gothic" w:hAnsi="Century Gothic"/>
          <w:noProof/>
        </w:rPr>
        <w:drawing>
          <wp:inline distT="0" distB="0" distL="0" distR="0" wp14:anchorId="21FBBB10" wp14:editId="51442416">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4"/>
                    <a:stretch>
                      <a:fillRect/>
                    </a:stretch>
                  </pic:blipFill>
                  <pic:spPr>
                    <a:xfrm>
                      <a:off x="0" y="0"/>
                      <a:ext cx="3772426" cy="140037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3A6A45" w:rsidRPr="00D13E32" w14:paraId="69BB2843" w14:textId="77777777" w:rsidTr="00D560BB">
        <w:trPr>
          <w:trHeight w:val="315"/>
        </w:trPr>
        <w:tc>
          <w:tcPr>
            <w:tcW w:w="893" w:type="dxa"/>
            <w:vAlign w:val="center"/>
            <w:hideMark/>
          </w:tcPr>
          <w:p w14:paraId="24DA8F70" w14:textId="77777777" w:rsidR="003A6A45" w:rsidRPr="00D13E32" w:rsidRDefault="003A6A45" w:rsidP="00D560BB">
            <w:pPr>
              <w:contextualSpacing/>
              <w:rPr>
                <w:rFonts w:ascii="Verdana" w:hAnsi="Verdana" w:cs="Arial"/>
                <w:sz w:val="16"/>
                <w:szCs w:val="16"/>
                <w:lang w:eastAsia="es-ES"/>
              </w:rPr>
            </w:pPr>
            <w:r w:rsidRPr="00D13E32">
              <w:rPr>
                <w:rFonts w:ascii="Verdana" w:hAnsi="Verdana" w:cs="Arial"/>
                <w:sz w:val="16"/>
                <w:szCs w:val="16"/>
                <w:lang w:eastAsia="es-ES"/>
              </w:rPr>
              <w:t>Elaboró:</w:t>
            </w:r>
          </w:p>
        </w:tc>
        <w:tc>
          <w:tcPr>
            <w:tcW w:w="5628" w:type="dxa"/>
            <w:tcBorders>
              <w:top w:val="nil"/>
              <w:left w:val="nil"/>
              <w:bottom w:val="dotted" w:sz="4" w:space="0" w:color="7F7F7F" w:themeColor="text1" w:themeTint="80"/>
              <w:right w:val="nil"/>
            </w:tcBorders>
            <w:vAlign w:val="center"/>
            <w:hideMark/>
          </w:tcPr>
          <w:p w14:paraId="6FBD7BE6" w14:textId="77777777" w:rsidR="003A6A45" w:rsidRPr="00D13E32" w:rsidRDefault="003A6A45" w:rsidP="00D560BB">
            <w:pPr>
              <w:contextualSpacing/>
              <w:rPr>
                <w:rFonts w:ascii="Verdana" w:hAnsi="Verdana"/>
                <w:sz w:val="16"/>
                <w:szCs w:val="16"/>
              </w:rPr>
            </w:pPr>
            <w:r w:rsidRPr="00D13E32">
              <w:rPr>
                <w:rFonts w:ascii="Verdana" w:hAnsi="Verdana"/>
                <w:sz w:val="16"/>
                <w:szCs w:val="16"/>
              </w:rPr>
              <w:t>Tatiana Baquero Iguarán</w:t>
            </w:r>
          </w:p>
          <w:p w14:paraId="534719F2" w14:textId="77777777" w:rsidR="003A6A45" w:rsidRPr="00D13E32" w:rsidRDefault="003A6A45" w:rsidP="00D560BB">
            <w:pPr>
              <w:contextualSpacing/>
              <w:rPr>
                <w:rFonts w:ascii="Verdana" w:eastAsia="Arial" w:hAnsi="Verdana" w:cs="Arial"/>
                <w:sz w:val="16"/>
                <w:szCs w:val="16"/>
              </w:rPr>
            </w:pPr>
            <w:r w:rsidRPr="00D13E32">
              <w:rPr>
                <w:rFonts w:ascii="Verdana" w:hAnsi="Verdana"/>
                <w:sz w:val="16"/>
                <w:szCs w:val="16"/>
              </w:rPr>
              <w:t>Contratista de la Subdirección de Gestión Contractual</w:t>
            </w:r>
          </w:p>
        </w:tc>
      </w:tr>
      <w:tr w:rsidR="003A6A45" w:rsidRPr="00D13E32" w14:paraId="743E9D9A" w14:textId="77777777" w:rsidTr="00D560BB">
        <w:trPr>
          <w:trHeight w:val="330"/>
        </w:trPr>
        <w:tc>
          <w:tcPr>
            <w:tcW w:w="893" w:type="dxa"/>
            <w:vAlign w:val="center"/>
            <w:hideMark/>
          </w:tcPr>
          <w:p w14:paraId="4C0479E4" w14:textId="77777777" w:rsidR="003A6A45" w:rsidRPr="00D13E32" w:rsidRDefault="003A6A45" w:rsidP="00D560BB">
            <w:pPr>
              <w:contextualSpacing/>
              <w:rPr>
                <w:rFonts w:ascii="Verdana" w:hAnsi="Verdana" w:cs="Arial"/>
                <w:sz w:val="16"/>
                <w:szCs w:val="16"/>
                <w:lang w:eastAsia="es-ES"/>
              </w:rPr>
            </w:pPr>
            <w:r w:rsidRPr="00D13E32">
              <w:rPr>
                <w:rFonts w:ascii="Verdana" w:hAnsi="Verdana" w:cs="Arial"/>
                <w:sz w:val="16"/>
                <w:szCs w:val="16"/>
                <w:lang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62C4FAB7" w14:textId="77777777" w:rsidR="003A6A45" w:rsidRPr="00D13E32" w:rsidRDefault="003A6A45" w:rsidP="00D560BB">
            <w:pPr>
              <w:spacing w:before="100" w:beforeAutospacing="1" w:after="100" w:afterAutospacing="1"/>
              <w:contextualSpacing/>
              <w:textAlignment w:val="baseline"/>
              <w:rPr>
                <w:rFonts w:ascii="Verdana" w:eastAsia="Times New Roman" w:hAnsi="Verdana" w:cs="Arial"/>
                <w:sz w:val="16"/>
                <w:szCs w:val="16"/>
                <w:lang w:eastAsia="es-ES_tradnl"/>
              </w:rPr>
            </w:pPr>
            <w:r w:rsidRPr="00D13E32">
              <w:rPr>
                <w:rFonts w:ascii="Verdana" w:eastAsia="Times New Roman" w:hAnsi="Verdana" w:cs="Arial"/>
                <w:sz w:val="16"/>
                <w:szCs w:val="16"/>
                <w:lang w:eastAsia="es-ES_tradnl"/>
              </w:rPr>
              <w:t>Diana Lucía Saavedra Castañeda</w:t>
            </w:r>
          </w:p>
          <w:p w14:paraId="39D324FC" w14:textId="77777777" w:rsidR="003A6A45" w:rsidRPr="00D13E32" w:rsidRDefault="003A6A45" w:rsidP="00D560BB">
            <w:pPr>
              <w:contextualSpacing/>
              <w:textAlignment w:val="baseline"/>
              <w:rPr>
                <w:rFonts w:ascii="Verdana" w:eastAsia="Times New Roman" w:hAnsi="Verdana" w:cs="Segoe UI"/>
                <w:sz w:val="16"/>
                <w:szCs w:val="16"/>
                <w:lang w:eastAsia="es-ES_tradnl"/>
              </w:rPr>
            </w:pPr>
            <w:r w:rsidRPr="00D13E32">
              <w:rPr>
                <w:rFonts w:ascii="Verdana" w:hAnsi="Verdana"/>
                <w:sz w:val="16"/>
                <w:szCs w:val="16"/>
              </w:rPr>
              <w:t>Contratista de la Subdirección de Gestión Contractual</w:t>
            </w:r>
          </w:p>
        </w:tc>
      </w:tr>
      <w:tr w:rsidR="003A6A45" w:rsidRPr="00D13E32" w14:paraId="6D70B009" w14:textId="77777777" w:rsidTr="00D560BB">
        <w:trPr>
          <w:trHeight w:val="300"/>
        </w:trPr>
        <w:tc>
          <w:tcPr>
            <w:tcW w:w="893" w:type="dxa"/>
            <w:vAlign w:val="center"/>
          </w:tcPr>
          <w:p w14:paraId="213116C8" w14:textId="77777777" w:rsidR="003A6A45" w:rsidRPr="00D13E32" w:rsidRDefault="003A6A45" w:rsidP="00D560BB">
            <w:pPr>
              <w:contextualSpacing/>
              <w:rPr>
                <w:rFonts w:ascii="Verdana" w:hAnsi="Verdana" w:cs="Arial"/>
                <w:sz w:val="16"/>
                <w:szCs w:val="16"/>
                <w:lang w:eastAsia="es-ES"/>
              </w:rPr>
            </w:pPr>
            <w:r w:rsidRPr="00D13E32">
              <w:rPr>
                <w:rFonts w:ascii="Verdana" w:hAnsi="Verdana" w:cs="Arial"/>
                <w:sz w:val="16"/>
                <w:szCs w:val="16"/>
                <w:lang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7343B79E" w14:textId="77777777" w:rsidR="003A6A45" w:rsidRPr="00D13E32" w:rsidRDefault="003A6A45" w:rsidP="00D560BB">
            <w:pPr>
              <w:contextualSpacing/>
              <w:rPr>
                <w:rFonts w:ascii="Verdana" w:eastAsia="Calibri" w:hAnsi="Verdana" w:cs="Arial"/>
                <w:sz w:val="16"/>
                <w:szCs w:val="16"/>
                <w:lang w:eastAsia="es-ES"/>
              </w:rPr>
            </w:pPr>
            <w:r w:rsidRPr="00D13E32">
              <w:rPr>
                <w:rFonts w:ascii="Verdana" w:eastAsia="Calibri" w:hAnsi="Verdana" w:cs="Arial"/>
                <w:sz w:val="16"/>
                <w:szCs w:val="16"/>
                <w:lang w:eastAsia="es-ES"/>
              </w:rPr>
              <w:t xml:space="preserve">Carolina Quintero </w:t>
            </w:r>
            <w:proofErr w:type="spellStart"/>
            <w:r w:rsidRPr="00D13E32">
              <w:rPr>
                <w:rFonts w:ascii="Verdana" w:eastAsia="Calibri" w:hAnsi="Verdana" w:cs="Arial"/>
                <w:sz w:val="16"/>
                <w:szCs w:val="16"/>
                <w:lang w:eastAsia="es-ES"/>
              </w:rPr>
              <w:t>Gacharná</w:t>
            </w:r>
            <w:proofErr w:type="spellEnd"/>
          </w:p>
          <w:p w14:paraId="07E814C0" w14:textId="77777777" w:rsidR="003A6A45" w:rsidRPr="00D13E32" w:rsidRDefault="003A6A45" w:rsidP="00D560BB">
            <w:pPr>
              <w:contextualSpacing/>
              <w:rPr>
                <w:rFonts w:ascii="Verdana" w:eastAsia="Calibri" w:hAnsi="Verdana" w:cs="Arial"/>
                <w:sz w:val="16"/>
                <w:szCs w:val="16"/>
                <w:lang w:eastAsia="es-ES"/>
              </w:rPr>
            </w:pPr>
            <w:r w:rsidRPr="00D13E32">
              <w:rPr>
                <w:rFonts w:ascii="Verdana" w:eastAsia="Calibri" w:hAnsi="Verdana" w:cs="Arial"/>
                <w:sz w:val="16"/>
                <w:szCs w:val="16"/>
                <w:lang w:eastAsia="es-ES"/>
              </w:rPr>
              <w:t>Subdirectora de Gestión Contractual ANCP – CCE</w:t>
            </w:r>
          </w:p>
        </w:tc>
      </w:tr>
      <w:bookmarkEnd w:id="0"/>
    </w:tbl>
    <w:p w14:paraId="171E4282" w14:textId="77777777" w:rsidR="003A6A45" w:rsidRPr="00D13E32" w:rsidRDefault="003A6A45" w:rsidP="003A6A45"/>
    <w:p w14:paraId="311134CD" w14:textId="77777777" w:rsidR="00577EBD" w:rsidRPr="003A6A45" w:rsidRDefault="00577EBD" w:rsidP="003A6A45"/>
    <w:sectPr w:rsidR="00577EBD" w:rsidRPr="003A6A45" w:rsidSect="00C44B4C">
      <w:headerReference w:type="default" r:id="rId15"/>
      <w:footerReference w:type="default" r:id="rId16"/>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5B1C6F" w14:textId="77777777" w:rsidR="00CB6A68" w:rsidRPr="009B7987" w:rsidRDefault="00CB6A68" w:rsidP="00B30448">
      <w:pPr>
        <w:spacing w:after="0" w:line="240" w:lineRule="auto"/>
      </w:pPr>
      <w:r w:rsidRPr="009B7987">
        <w:separator/>
      </w:r>
    </w:p>
  </w:endnote>
  <w:endnote w:type="continuationSeparator" w:id="0">
    <w:p w14:paraId="2A9807CB" w14:textId="77777777" w:rsidR="00CB6A68" w:rsidRPr="009B7987" w:rsidRDefault="00CB6A68" w:rsidP="00B30448">
      <w:pPr>
        <w:spacing w:after="0" w:line="240" w:lineRule="auto"/>
      </w:pPr>
      <w:r w:rsidRPr="009B7987">
        <w:continuationSeparator/>
      </w:r>
    </w:p>
  </w:endnote>
  <w:endnote w:type="continuationNotice" w:id="1">
    <w:p w14:paraId="4AE75B97" w14:textId="77777777" w:rsidR="00CB6A68" w:rsidRPr="009B7987" w:rsidRDefault="00CB6A6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9C0E4" w14:textId="77777777" w:rsidR="00A81E50" w:rsidRPr="009B7987" w:rsidRDefault="00A81E50" w:rsidP="00A81E50">
    <w:pPr>
      <w:pBdr>
        <w:top w:val="single" w:sz="4" w:space="1" w:color="auto"/>
      </w:pBdr>
      <w:spacing w:after="0"/>
      <w:rPr>
        <w:rFonts w:ascii="Verdana" w:hAnsi="Verdana"/>
        <w:b/>
        <w:bCs/>
        <w:sz w:val="20"/>
        <w:szCs w:val="20"/>
      </w:rPr>
    </w:pPr>
    <w:r w:rsidRPr="009B7987">
      <w:rPr>
        <w:rFonts w:ascii="Verdana" w:hAnsi="Verdana"/>
        <w:b/>
        <w:bCs/>
        <w:sz w:val="20"/>
        <w:szCs w:val="20"/>
      </w:rPr>
      <w:t xml:space="preserve">Agencia Nacional de Contratación Pública                                              </w:t>
    </w:r>
    <w:r w:rsidRPr="009B7987">
      <w:rPr>
        <w:rFonts w:ascii="Verdana" w:eastAsiaTheme="majorEastAsia" w:hAnsi="Verdana" w:cstheme="majorBidi"/>
        <w:b/>
        <w:bCs/>
        <w:sz w:val="16"/>
        <w:szCs w:val="16"/>
      </w:rPr>
      <w:t xml:space="preserve">pág. </w:t>
    </w:r>
    <w:r w:rsidRPr="009B7987">
      <w:rPr>
        <w:rFonts w:ascii="Verdana" w:eastAsiaTheme="minorEastAsia" w:hAnsi="Verdana"/>
        <w:b/>
        <w:bCs/>
        <w:sz w:val="16"/>
        <w:szCs w:val="16"/>
      </w:rPr>
      <w:fldChar w:fldCharType="begin"/>
    </w:r>
    <w:r w:rsidRPr="009B7987">
      <w:rPr>
        <w:rFonts w:ascii="Verdana" w:hAnsi="Verdana"/>
        <w:b/>
        <w:bCs/>
        <w:sz w:val="16"/>
        <w:szCs w:val="16"/>
      </w:rPr>
      <w:instrText>PAGE    \* MERGEFORMAT</w:instrText>
    </w:r>
    <w:r w:rsidRPr="009B7987">
      <w:rPr>
        <w:rFonts w:ascii="Verdana" w:eastAsiaTheme="minorEastAsia" w:hAnsi="Verdana"/>
        <w:b/>
        <w:bCs/>
        <w:sz w:val="16"/>
        <w:szCs w:val="16"/>
      </w:rPr>
      <w:fldChar w:fldCharType="separate"/>
    </w:r>
    <w:r w:rsidRPr="009B7987">
      <w:rPr>
        <w:rFonts w:ascii="Verdana" w:eastAsiaTheme="minorEastAsia" w:hAnsi="Verdana"/>
        <w:b/>
        <w:bCs/>
        <w:sz w:val="16"/>
        <w:szCs w:val="16"/>
      </w:rPr>
      <w:t>1</w:t>
    </w:r>
    <w:r w:rsidRPr="009B7987">
      <w:rPr>
        <w:rFonts w:ascii="Verdana" w:eastAsiaTheme="majorEastAsia" w:hAnsi="Verdana" w:cstheme="majorBidi"/>
        <w:b/>
        <w:bCs/>
        <w:sz w:val="16"/>
        <w:szCs w:val="16"/>
      </w:rPr>
      <w:fldChar w:fldCharType="end"/>
    </w:r>
    <w:r w:rsidRPr="009B7987">
      <w:rPr>
        <w:rFonts w:ascii="Verdana" w:hAnsi="Verdana"/>
        <w:b/>
        <w:bCs/>
        <w:sz w:val="20"/>
        <w:szCs w:val="20"/>
      </w:rPr>
      <w:t xml:space="preserve">              Colombia Compra Eficiente                                                            </w:t>
    </w:r>
  </w:p>
  <w:p w14:paraId="4FC9CAA9" w14:textId="77777777" w:rsidR="00A81E50" w:rsidRPr="009B7987" w:rsidRDefault="00A81E50" w:rsidP="00A81E50">
    <w:pPr>
      <w:spacing w:after="0"/>
      <w:jc w:val="both"/>
      <w:rPr>
        <w:rFonts w:ascii="Verdana" w:hAnsi="Verdana"/>
        <w:sz w:val="18"/>
        <w:szCs w:val="18"/>
      </w:rPr>
    </w:pPr>
    <w:r w:rsidRPr="009B7987">
      <w:rPr>
        <w:rFonts w:ascii="Verdana" w:hAnsi="Verdana"/>
        <w:sz w:val="18"/>
        <w:szCs w:val="18"/>
      </w:rPr>
      <w:t>Dirección: Carrera 7 # 26 – 20 - Bogotá, Colombia</w:t>
    </w:r>
  </w:p>
  <w:p w14:paraId="0B709B73" w14:textId="77777777" w:rsidR="00A81E50" w:rsidRPr="009B7987" w:rsidRDefault="00A81E50" w:rsidP="00A81E50">
    <w:pPr>
      <w:spacing w:after="0"/>
      <w:jc w:val="both"/>
      <w:rPr>
        <w:rFonts w:ascii="Verdana" w:hAnsi="Verdana"/>
        <w:sz w:val="18"/>
        <w:szCs w:val="18"/>
      </w:rPr>
    </w:pPr>
    <w:r w:rsidRPr="009B7987">
      <w:rPr>
        <w:rFonts w:ascii="Verdana" w:hAnsi="Verdana"/>
        <w:sz w:val="18"/>
        <w:szCs w:val="18"/>
      </w:rPr>
      <w:t>Mesa de servicio: (+57) 601 7456788</w:t>
    </w:r>
  </w:p>
  <w:p w14:paraId="224AB27F" w14:textId="77777777" w:rsidR="00DD7A2C" w:rsidRPr="009B7987" w:rsidRDefault="00A81E50" w:rsidP="00C00976">
    <w:pPr>
      <w:pBdr>
        <w:top w:val="nil"/>
        <w:left w:val="nil"/>
        <w:bottom w:val="nil"/>
        <w:right w:val="nil"/>
        <w:between w:val="nil"/>
      </w:pBdr>
      <w:tabs>
        <w:tab w:val="center" w:pos="4419"/>
        <w:tab w:val="right" w:pos="8838"/>
        <w:tab w:val="center" w:pos="5400"/>
      </w:tabs>
      <w:spacing w:after="0"/>
      <w:rPr>
        <w:rFonts w:ascii="Verdana" w:hAnsi="Verdana"/>
        <w:sz w:val="20"/>
        <w:szCs w:val="20"/>
      </w:rPr>
    </w:pPr>
    <w:r w:rsidRPr="009B7987">
      <w:rPr>
        <w:rFonts w:ascii="Verdana" w:hAnsi="Verdana"/>
        <w:sz w:val="18"/>
        <w:szCs w:val="18"/>
      </w:rPr>
      <w:t>Atención al ciudadano: (+57) 601 7956600</w:t>
    </w:r>
    <w:r w:rsidRPr="009B7987">
      <w:rPr>
        <w:rFonts w:ascii="Verdana" w:hAnsi="Verdana"/>
        <w:sz w:val="20"/>
        <w:szCs w:val="20"/>
      </w:rPr>
      <w:t xml:space="preserve">         </w:t>
    </w:r>
  </w:p>
  <w:p w14:paraId="2B8DBB2A" w14:textId="26AE77D2" w:rsidR="00A81E50" w:rsidRPr="009B7987" w:rsidRDefault="00A81E50" w:rsidP="00DD7A2C">
    <w:pPr>
      <w:pBdr>
        <w:top w:val="nil"/>
        <w:left w:val="nil"/>
        <w:bottom w:val="nil"/>
        <w:right w:val="nil"/>
        <w:between w:val="nil"/>
      </w:pBdr>
      <w:tabs>
        <w:tab w:val="center" w:pos="4419"/>
        <w:tab w:val="right" w:pos="8838"/>
        <w:tab w:val="center" w:pos="5400"/>
      </w:tabs>
      <w:spacing w:after="0"/>
      <w:jc w:val="right"/>
    </w:pPr>
    <w:r w:rsidRPr="009B7987">
      <w:rPr>
        <w:rFonts w:ascii="Verdana" w:hAnsi="Verdana"/>
        <w:sz w:val="20"/>
        <w:szCs w:val="20"/>
      </w:rPr>
      <w:t xml:space="preserve"> </w:t>
    </w:r>
    <w:r w:rsidRPr="009B7987">
      <w:rPr>
        <w:rFonts w:ascii="Verdana" w:eastAsia="Geo" w:hAnsi="Verdana" w:cs="Geo"/>
        <w:bCs/>
        <w:color w:val="000000"/>
        <w:sz w:val="16"/>
        <w:szCs w:val="16"/>
        <w:lang w:eastAsia="es-CO"/>
      </w:rPr>
      <w:t>Código: CCE-REC-FM-13 Versión</w:t>
    </w:r>
    <w:r w:rsidRPr="009B7987">
      <w:rPr>
        <w:rFonts w:ascii="Verdana" w:eastAsia="Arial Nova" w:hAnsi="Verdana" w:cs="Arial Nova"/>
        <w:bCs/>
        <w:color w:val="000000"/>
        <w:sz w:val="16"/>
        <w:szCs w:val="16"/>
        <w:lang w:eastAsia="es-CO"/>
      </w:rPr>
      <w:t>:</w:t>
    </w:r>
    <w:r w:rsidRPr="009B7987">
      <w:rPr>
        <w:rFonts w:ascii="Verdana" w:eastAsia="Arial Nova" w:hAnsi="Verdana" w:cs="Arial Nova"/>
        <w:b/>
        <w:color w:val="000000"/>
        <w:sz w:val="16"/>
        <w:szCs w:val="16"/>
        <w:lang w:eastAsia="es-CO"/>
      </w:rPr>
      <w:t xml:space="preserve"> </w:t>
    </w:r>
    <w:r w:rsidRPr="009B7987">
      <w:rPr>
        <w:rFonts w:ascii="Verdana" w:eastAsia="Geo" w:hAnsi="Verdana" w:cs="Geo"/>
        <w:sz w:val="16"/>
        <w:szCs w:val="16"/>
        <w:lang w:eastAsia="es-CO"/>
      </w:rPr>
      <w:t>01 Fecha:15-06-2023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71B7C6" w14:textId="77777777" w:rsidR="00CB6A68" w:rsidRPr="009B7987" w:rsidRDefault="00CB6A68" w:rsidP="00B30448">
      <w:pPr>
        <w:spacing w:after="0" w:line="240" w:lineRule="auto"/>
      </w:pPr>
      <w:r w:rsidRPr="009B7987">
        <w:separator/>
      </w:r>
    </w:p>
  </w:footnote>
  <w:footnote w:type="continuationSeparator" w:id="0">
    <w:p w14:paraId="143C7A88" w14:textId="77777777" w:rsidR="00CB6A68" w:rsidRPr="009B7987" w:rsidRDefault="00CB6A68" w:rsidP="00B30448">
      <w:pPr>
        <w:spacing w:after="0" w:line="240" w:lineRule="auto"/>
      </w:pPr>
      <w:r w:rsidRPr="009B7987">
        <w:continuationSeparator/>
      </w:r>
    </w:p>
  </w:footnote>
  <w:footnote w:type="continuationNotice" w:id="1">
    <w:p w14:paraId="6F87B476" w14:textId="77777777" w:rsidR="00CB6A68" w:rsidRPr="009B7987" w:rsidRDefault="00CB6A68">
      <w:pPr>
        <w:spacing w:after="0" w:line="240" w:lineRule="auto"/>
      </w:pPr>
    </w:p>
  </w:footnote>
  <w:footnote w:id="2">
    <w:p w14:paraId="57B9E409" w14:textId="77777777" w:rsidR="003A6A45" w:rsidRPr="00BE3C67" w:rsidRDefault="003A6A45" w:rsidP="003A6A45">
      <w:pPr>
        <w:widowControl w:val="0"/>
        <w:autoSpaceDE w:val="0"/>
        <w:autoSpaceDN w:val="0"/>
        <w:spacing w:after="0" w:line="240" w:lineRule="auto"/>
        <w:ind w:firstLine="708"/>
        <w:jc w:val="both"/>
        <w:rPr>
          <w:rFonts w:ascii="Verdana" w:eastAsia="Arial" w:hAnsi="Verdana" w:cs="Arial"/>
          <w:sz w:val="16"/>
          <w:szCs w:val="16"/>
          <w:lang w:val="es-ES"/>
        </w:rPr>
      </w:pPr>
      <w:r w:rsidRPr="00BE3C67">
        <w:rPr>
          <w:rStyle w:val="Refdenotaalpie"/>
          <w:rFonts w:ascii="Verdana" w:hAnsi="Verdana" w:cs="Arial"/>
          <w:sz w:val="16"/>
          <w:szCs w:val="16"/>
        </w:rPr>
        <w:footnoteRef/>
      </w:r>
      <w:r w:rsidRPr="00BE3C67">
        <w:rPr>
          <w:rFonts w:ascii="Verdana" w:hAnsi="Verdana" w:cs="Arial"/>
          <w:sz w:val="16"/>
          <w:szCs w:val="16"/>
        </w:rPr>
        <w:t xml:space="preserve"> </w:t>
      </w:r>
      <w:r w:rsidRPr="00BE3C67">
        <w:rPr>
          <w:rFonts w:ascii="Verdana" w:eastAsia="Arial" w:hAnsi="Verdana" w:cs="Arial"/>
          <w:sz w:val="16"/>
          <w:szCs w:val="16"/>
          <w:lang w:val="es-ES"/>
        </w:rPr>
        <w:t>Ley 789 de 2002: «Artículo 50. Control a la evasión de los recursos parafiscales. La celebración, renovación o liquidación por parte de un particular, de contratos de cualquier naturaleza con Entidades del sector público, requerirá para el efecto, del cumplimiento por parte del contratista de</w:t>
      </w:r>
      <w:r w:rsidRPr="00BE3C67">
        <w:rPr>
          <w:rFonts w:ascii="Verdana" w:eastAsia="Arial" w:hAnsi="Verdana" w:cs="Arial"/>
          <w:spacing w:val="-10"/>
          <w:sz w:val="16"/>
          <w:szCs w:val="16"/>
          <w:lang w:val="es-ES"/>
        </w:rPr>
        <w:t xml:space="preserve"> </w:t>
      </w:r>
      <w:r w:rsidRPr="00BE3C67">
        <w:rPr>
          <w:rFonts w:ascii="Verdana" w:eastAsia="Arial" w:hAnsi="Verdana" w:cs="Arial"/>
          <w:sz w:val="16"/>
          <w:szCs w:val="16"/>
          <w:lang w:val="es-ES"/>
        </w:rPr>
        <w:t>sus</w:t>
      </w:r>
      <w:r w:rsidRPr="00BE3C67">
        <w:rPr>
          <w:rFonts w:ascii="Verdana" w:eastAsia="Arial" w:hAnsi="Verdana" w:cs="Arial"/>
          <w:spacing w:val="-10"/>
          <w:sz w:val="16"/>
          <w:szCs w:val="16"/>
          <w:lang w:val="es-ES"/>
        </w:rPr>
        <w:t xml:space="preserve"> </w:t>
      </w:r>
      <w:r w:rsidRPr="00BE3C67">
        <w:rPr>
          <w:rFonts w:ascii="Verdana" w:eastAsia="Arial" w:hAnsi="Verdana" w:cs="Arial"/>
          <w:sz w:val="16"/>
          <w:szCs w:val="16"/>
          <w:lang w:val="es-ES"/>
        </w:rPr>
        <w:t>obligaciones</w:t>
      </w:r>
      <w:r w:rsidRPr="00BE3C67">
        <w:rPr>
          <w:rFonts w:ascii="Verdana" w:eastAsia="Arial" w:hAnsi="Verdana" w:cs="Arial"/>
          <w:spacing w:val="-10"/>
          <w:sz w:val="16"/>
          <w:szCs w:val="16"/>
          <w:lang w:val="es-ES"/>
        </w:rPr>
        <w:t xml:space="preserve"> </w:t>
      </w:r>
      <w:r w:rsidRPr="00BE3C67">
        <w:rPr>
          <w:rFonts w:ascii="Verdana" w:eastAsia="Arial" w:hAnsi="Verdana" w:cs="Arial"/>
          <w:sz w:val="16"/>
          <w:szCs w:val="16"/>
          <w:lang w:val="es-ES"/>
        </w:rPr>
        <w:t>con</w:t>
      </w:r>
      <w:r w:rsidRPr="00BE3C67">
        <w:rPr>
          <w:rFonts w:ascii="Verdana" w:eastAsia="Arial" w:hAnsi="Verdana" w:cs="Arial"/>
          <w:spacing w:val="-10"/>
          <w:sz w:val="16"/>
          <w:szCs w:val="16"/>
          <w:lang w:val="es-ES"/>
        </w:rPr>
        <w:t xml:space="preserve"> </w:t>
      </w:r>
      <w:r w:rsidRPr="00BE3C67">
        <w:rPr>
          <w:rFonts w:ascii="Verdana" w:eastAsia="Arial" w:hAnsi="Verdana" w:cs="Arial"/>
          <w:sz w:val="16"/>
          <w:szCs w:val="16"/>
          <w:lang w:val="es-ES"/>
        </w:rPr>
        <w:t>los</w:t>
      </w:r>
      <w:r w:rsidRPr="00BE3C67">
        <w:rPr>
          <w:rFonts w:ascii="Verdana" w:eastAsia="Arial" w:hAnsi="Verdana" w:cs="Arial"/>
          <w:spacing w:val="-10"/>
          <w:sz w:val="16"/>
          <w:szCs w:val="16"/>
          <w:lang w:val="es-ES"/>
        </w:rPr>
        <w:t xml:space="preserve"> </w:t>
      </w:r>
      <w:r w:rsidRPr="00BE3C67">
        <w:rPr>
          <w:rFonts w:ascii="Verdana" w:eastAsia="Arial" w:hAnsi="Verdana" w:cs="Arial"/>
          <w:sz w:val="16"/>
          <w:szCs w:val="16"/>
          <w:lang w:val="es-ES"/>
        </w:rPr>
        <w:t>sistemas</w:t>
      </w:r>
      <w:r w:rsidRPr="00BE3C67">
        <w:rPr>
          <w:rFonts w:ascii="Verdana" w:eastAsia="Arial" w:hAnsi="Verdana" w:cs="Arial"/>
          <w:spacing w:val="-10"/>
          <w:sz w:val="16"/>
          <w:szCs w:val="16"/>
          <w:lang w:val="es-ES"/>
        </w:rPr>
        <w:t xml:space="preserve"> </w:t>
      </w:r>
      <w:r w:rsidRPr="00BE3C67">
        <w:rPr>
          <w:rFonts w:ascii="Verdana" w:eastAsia="Arial" w:hAnsi="Verdana" w:cs="Arial"/>
          <w:sz w:val="16"/>
          <w:szCs w:val="16"/>
          <w:lang w:val="es-ES"/>
        </w:rPr>
        <w:t>de</w:t>
      </w:r>
      <w:r w:rsidRPr="00BE3C67">
        <w:rPr>
          <w:rFonts w:ascii="Verdana" w:eastAsia="Arial" w:hAnsi="Verdana" w:cs="Arial"/>
          <w:spacing w:val="-10"/>
          <w:sz w:val="16"/>
          <w:szCs w:val="16"/>
          <w:lang w:val="es-ES"/>
        </w:rPr>
        <w:t xml:space="preserve"> </w:t>
      </w:r>
      <w:r w:rsidRPr="00BE3C67">
        <w:rPr>
          <w:rFonts w:ascii="Verdana" w:eastAsia="Arial" w:hAnsi="Verdana" w:cs="Arial"/>
          <w:sz w:val="16"/>
          <w:szCs w:val="16"/>
          <w:lang w:val="es-ES"/>
        </w:rPr>
        <w:t>salud,</w:t>
      </w:r>
      <w:r w:rsidRPr="00BE3C67">
        <w:rPr>
          <w:rFonts w:ascii="Verdana" w:eastAsia="Arial" w:hAnsi="Verdana" w:cs="Arial"/>
          <w:spacing w:val="-9"/>
          <w:sz w:val="16"/>
          <w:szCs w:val="16"/>
          <w:lang w:val="es-ES"/>
        </w:rPr>
        <w:t xml:space="preserve"> </w:t>
      </w:r>
      <w:r w:rsidRPr="00BE3C67">
        <w:rPr>
          <w:rFonts w:ascii="Verdana" w:eastAsia="Arial" w:hAnsi="Verdana" w:cs="Arial"/>
          <w:sz w:val="16"/>
          <w:szCs w:val="16"/>
          <w:lang w:val="es-ES"/>
        </w:rPr>
        <w:t>riesgos</w:t>
      </w:r>
      <w:r w:rsidRPr="00BE3C67">
        <w:rPr>
          <w:rFonts w:ascii="Verdana" w:eastAsia="Arial" w:hAnsi="Verdana" w:cs="Arial"/>
          <w:spacing w:val="-10"/>
          <w:sz w:val="16"/>
          <w:szCs w:val="16"/>
          <w:lang w:val="es-ES"/>
        </w:rPr>
        <w:t xml:space="preserve"> </w:t>
      </w:r>
      <w:r w:rsidRPr="00BE3C67">
        <w:rPr>
          <w:rFonts w:ascii="Verdana" w:eastAsia="Arial" w:hAnsi="Verdana" w:cs="Arial"/>
          <w:sz w:val="16"/>
          <w:szCs w:val="16"/>
          <w:lang w:val="es-ES"/>
        </w:rPr>
        <w:t>profesionales,</w:t>
      </w:r>
      <w:r w:rsidRPr="00BE3C67">
        <w:rPr>
          <w:rFonts w:ascii="Verdana" w:eastAsia="Arial" w:hAnsi="Verdana" w:cs="Arial"/>
          <w:spacing w:val="-10"/>
          <w:sz w:val="16"/>
          <w:szCs w:val="16"/>
          <w:lang w:val="es-ES"/>
        </w:rPr>
        <w:t xml:space="preserve"> </w:t>
      </w:r>
      <w:r w:rsidRPr="00BE3C67">
        <w:rPr>
          <w:rFonts w:ascii="Verdana" w:eastAsia="Arial" w:hAnsi="Verdana" w:cs="Arial"/>
          <w:sz w:val="16"/>
          <w:szCs w:val="16"/>
          <w:lang w:val="es-ES"/>
        </w:rPr>
        <w:t>pensiones</w:t>
      </w:r>
      <w:r w:rsidRPr="00BE3C67">
        <w:rPr>
          <w:rFonts w:ascii="Verdana" w:eastAsia="Arial" w:hAnsi="Verdana" w:cs="Arial"/>
          <w:spacing w:val="-9"/>
          <w:sz w:val="16"/>
          <w:szCs w:val="16"/>
          <w:lang w:val="es-ES"/>
        </w:rPr>
        <w:t xml:space="preserve"> </w:t>
      </w:r>
      <w:r w:rsidRPr="00BE3C67">
        <w:rPr>
          <w:rFonts w:ascii="Verdana" w:eastAsia="Arial" w:hAnsi="Verdana" w:cs="Arial"/>
          <w:sz w:val="16"/>
          <w:szCs w:val="16"/>
          <w:lang w:val="es-ES"/>
        </w:rPr>
        <w:t>y</w:t>
      </w:r>
      <w:r w:rsidRPr="00BE3C67">
        <w:rPr>
          <w:rFonts w:ascii="Verdana" w:eastAsia="Arial" w:hAnsi="Verdana" w:cs="Arial"/>
          <w:spacing w:val="-10"/>
          <w:sz w:val="16"/>
          <w:szCs w:val="16"/>
          <w:lang w:val="es-ES"/>
        </w:rPr>
        <w:t xml:space="preserve"> </w:t>
      </w:r>
      <w:r w:rsidRPr="00BE3C67">
        <w:rPr>
          <w:rFonts w:ascii="Verdana" w:eastAsia="Arial" w:hAnsi="Verdana" w:cs="Arial"/>
          <w:sz w:val="16"/>
          <w:szCs w:val="16"/>
          <w:lang w:val="es-ES"/>
        </w:rPr>
        <w:t>aportes</w:t>
      </w:r>
      <w:r w:rsidRPr="00BE3C67">
        <w:rPr>
          <w:rFonts w:ascii="Verdana" w:eastAsia="Arial" w:hAnsi="Verdana" w:cs="Arial"/>
          <w:spacing w:val="-10"/>
          <w:sz w:val="16"/>
          <w:szCs w:val="16"/>
          <w:lang w:val="es-ES"/>
        </w:rPr>
        <w:t xml:space="preserve"> </w:t>
      </w:r>
      <w:r w:rsidRPr="00BE3C67">
        <w:rPr>
          <w:rFonts w:ascii="Verdana" w:eastAsia="Arial" w:hAnsi="Verdana" w:cs="Arial"/>
          <w:sz w:val="16"/>
          <w:szCs w:val="16"/>
          <w:lang w:val="es-ES"/>
        </w:rPr>
        <w:t>a</w:t>
      </w:r>
      <w:r w:rsidRPr="00BE3C67">
        <w:rPr>
          <w:rFonts w:ascii="Verdana" w:eastAsia="Arial" w:hAnsi="Verdana" w:cs="Arial"/>
          <w:spacing w:val="-10"/>
          <w:sz w:val="16"/>
          <w:szCs w:val="16"/>
          <w:lang w:val="es-ES"/>
        </w:rPr>
        <w:t xml:space="preserve"> </w:t>
      </w:r>
      <w:r w:rsidRPr="00BE3C67">
        <w:rPr>
          <w:rFonts w:ascii="Verdana" w:eastAsia="Arial" w:hAnsi="Verdana" w:cs="Arial"/>
          <w:sz w:val="16"/>
          <w:szCs w:val="16"/>
          <w:lang w:val="es-ES"/>
        </w:rPr>
        <w:t>las</w:t>
      </w:r>
      <w:r w:rsidRPr="00BE3C67">
        <w:rPr>
          <w:rFonts w:ascii="Verdana" w:eastAsia="Arial" w:hAnsi="Verdana" w:cs="Arial"/>
          <w:spacing w:val="-10"/>
          <w:sz w:val="16"/>
          <w:szCs w:val="16"/>
          <w:lang w:val="es-ES"/>
        </w:rPr>
        <w:t xml:space="preserve"> </w:t>
      </w:r>
      <w:r w:rsidRPr="00BE3C67">
        <w:rPr>
          <w:rFonts w:ascii="Verdana" w:eastAsia="Arial" w:hAnsi="Verdana" w:cs="Arial"/>
          <w:sz w:val="16"/>
          <w:szCs w:val="16"/>
          <w:lang w:val="es-ES"/>
        </w:rPr>
        <w:t>Cajas de Compensación Familiar, Instituto Colombiano de Bienestar Familiar y Servicio Nacional de Aprendizaje,</w:t>
      </w:r>
      <w:r w:rsidRPr="00BE3C67">
        <w:rPr>
          <w:rFonts w:ascii="Verdana" w:eastAsia="Arial" w:hAnsi="Verdana" w:cs="Arial"/>
          <w:spacing w:val="-9"/>
          <w:sz w:val="16"/>
          <w:szCs w:val="16"/>
          <w:lang w:val="es-ES"/>
        </w:rPr>
        <w:t xml:space="preserve"> </w:t>
      </w:r>
      <w:r w:rsidRPr="00BE3C67">
        <w:rPr>
          <w:rFonts w:ascii="Verdana" w:eastAsia="Arial" w:hAnsi="Verdana" w:cs="Arial"/>
          <w:sz w:val="16"/>
          <w:szCs w:val="16"/>
          <w:lang w:val="es-ES"/>
        </w:rPr>
        <w:t>cuando</w:t>
      </w:r>
      <w:r w:rsidRPr="00BE3C67">
        <w:rPr>
          <w:rFonts w:ascii="Verdana" w:eastAsia="Arial" w:hAnsi="Verdana" w:cs="Arial"/>
          <w:spacing w:val="-10"/>
          <w:sz w:val="16"/>
          <w:szCs w:val="16"/>
          <w:lang w:val="es-ES"/>
        </w:rPr>
        <w:t xml:space="preserve"> </w:t>
      </w:r>
      <w:r w:rsidRPr="00BE3C67">
        <w:rPr>
          <w:rFonts w:ascii="Verdana" w:eastAsia="Arial" w:hAnsi="Verdana" w:cs="Arial"/>
          <w:sz w:val="16"/>
          <w:szCs w:val="16"/>
          <w:lang w:val="es-ES"/>
        </w:rPr>
        <w:t>a</w:t>
      </w:r>
      <w:r w:rsidRPr="00BE3C67">
        <w:rPr>
          <w:rFonts w:ascii="Verdana" w:eastAsia="Arial" w:hAnsi="Verdana" w:cs="Arial"/>
          <w:spacing w:val="-10"/>
          <w:sz w:val="16"/>
          <w:szCs w:val="16"/>
          <w:lang w:val="es-ES"/>
        </w:rPr>
        <w:t xml:space="preserve"> </w:t>
      </w:r>
      <w:r w:rsidRPr="00BE3C67">
        <w:rPr>
          <w:rFonts w:ascii="Verdana" w:eastAsia="Arial" w:hAnsi="Verdana" w:cs="Arial"/>
          <w:sz w:val="16"/>
          <w:szCs w:val="16"/>
          <w:lang w:val="es-ES"/>
        </w:rPr>
        <w:t>ello</w:t>
      </w:r>
      <w:r w:rsidRPr="00BE3C67">
        <w:rPr>
          <w:rFonts w:ascii="Verdana" w:eastAsia="Arial" w:hAnsi="Verdana" w:cs="Arial"/>
          <w:spacing w:val="-10"/>
          <w:sz w:val="16"/>
          <w:szCs w:val="16"/>
          <w:lang w:val="es-ES"/>
        </w:rPr>
        <w:t xml:space="preserve"> </w:t>
      </w:r>
      <w:r w:rsidRPr="00BE3C67">
        <w:rPr>
          <w:rFonts w:ascii="Verdana" w:eastAsia="Arial" w:hAnsi="Verdana" w:cs="Arial"/>
          <w:sz w:val="16"/>
          <w:szCs w:val="16"/>
          <w:lang w:val="es-ES"/>
        </w:rPr>
        <w:t>haya</w:t>
      </w:r>
      <w:r w:rsidRPr="00BE3C67">
        <w:rPr>
          <w:rFonts w:ascii="Verdana" w:eastAsia="Arial" w:hAnsi="Verdana" w:cs="Arial"/>
          <w:spacing w:val="-10"/>
          <w:sz w:val="16"/>
          <w:szCs w:val="16"/>
          <w:lang w:val="es-ES"/>
        </w:rPr>
        <w:t xml:space="preserve"> </w:t>
      </w:r>
      <w:r w:rsidRPr="00BE3C67">
        <w:rPr>
          <w:rFonts w:ascii="Verdana" w:eastAsia="Arial" w:hAnsi="Verdana" w:cs="Arial"/>
          <w:sz w:val="16"/>
          <w:szCs w:val="16"/>
          <w:lang w:val="es-ES"/>
        </w:rPr>
        <w:t>lugar.</w:t>
      </w:r>
      <w:r w:rsidRPr="00BE3C67">
        <w:rPr>
          <w:rFonts w:ascii="Verdana" w:eastAsia="Arial" w:hAnsi="Verdana" w:cs="Arial"/>
          <w:spacing w:val="-11"/>
          <w:sz w:val="16"/>
          <w:szCs w:val="16"/>
          <w:lang w:val="es-ES"/>
        </w:rPr>
        <w:t xml:space="preserve"> </w:t>
      </w:r>
      <w:r w:rsidRPr="00BE3C67">
        <w:rPr>
          <w:rFonts w:ascii="Verdana" w:eastAsia="Arial" w:hAnsi="Verdana" w:cs="Arial"/>
          <w:sz w:val="16"/>
          <w:szCs w:val="16"/>
          <w:lang w:val="es-ES"/>
        </w:rPr>
        <w:t>Las</w:t>
      </w:r>
      <w:r w:rsidRPr="00BE3C67">
        <w:rPr>
          <w:rFonts w:ascii="Verdana" w:eastAsia="Arial" w:hAnsi="Verdana" w:cs="Arial"/>
          <w:spacing w:val="-10"/>
          <w:sz w:val="16"/>
          <w:szCs w:val="16"/>
          <w:lang w:val="es-ES"/>
        </w:rPr>
        <w:t xml:space="preserve"> </w:t>
      </w:r>
      <w:r w:rsidRPr="00BE3C67">
        <w:rPr>
          <w:rFonts w:ascii="Verdana" w:eastAsia="Arial" w:hAnsi="Verdana" w:cs="Arial"/>
          <w:sz w:val="16"/>
          <w:szCs w:val="16"/>
          <w:lang w:val="es-ES"/>
        </w:rPr>
        <w:t>Entidades</w:t>
      </w:r>
      <w:r w:rsidRPr="00BE3C67">
        <w:rPr>
          <w:rFonts w:ascii="Verdana" w:eastAsia="Arial" w:hAnsi="Verdana" w:cs="Arial"/>
          <w:spacing w:val="-9"/>
          <w:sz w:val="16"/>
          <w:szCs w:val="16"/>
          <w:lang w:val="es-ES"/>
        </w:rPr>
        <w:t xml:space="preserve"> </w:t>
      </w:r>
      <w:r w:rsidRPr="00BE3C67">
        <w:rPr>
          <w:rFonts w:ascii="Verdana" w:eastAsia="Arial" w:hAnsi="Verdana" w:cs="Arial"/>
          <w:sz w:val="16"/>
          <w:szCs w:val="16"/>
          <w:lang w:val="es-ES"/>
        </w:rPr>
        <w:t>públicas</w:t>
      </w:r>
      <w:r w:rsidRPr="00BE3C67">
        <w:rPr>
          <w:rFonts w:ascii="Verdana" w:eastAsia="Arial" w:hAnsi="Verdana" w:cs="Arial"/>
          <w:spacing w:val="-10"/>
          <w:sz w:val="16"/>
          <w:szCs w:val="16"/>
          <w:lang w:val="es-ES"/>
        </w:rPr>
        <w:t xml:space="preserve"> </w:t>
      </w:r>
      <w:r w:rsidRPr="00BE3C67">
        <w:rPr>
          <w:rFonts w:ascii="Verdana" w:eastAsia="Arial" w:hAnsi="Verdana" w:cs="Arial"/>
          <w:sz w:val="16"/>
          <w:szCs w:val="16"/>
          <w:lang w:val="es-ES"/>
        </w:rPr>
        <w:t>en</w:t>
      </w:r>
      <w:r w:rsidRPr="00BE3C67">
        <w:rPr>
          <w:rFonts w:ascii="Verdana" w:eastAsia="Arial" w:hAnsi="Verdana" w:cs="Arial"/>
          <w:spacing w:val="-10"/>
          <w:sz w:val="16"/>
          <w:szCs w:val="16"/>
          <w:lang w:val="es-ES"/>
        </w:rPr>
        <w:t xml:space="preserve"> </w:t>
      </w:r>
      <w:r w:rsidRPr="00BE3C67">
        <w:rPr>
          <w:rFonts w:ascii="Verdana" w:eastAsia="Arial" w:hAnsi="Verdana" w:cs="Arial"/>
          <w:sz w:val="16"/>
          <w:szCs w:val="16"/>
          <w:lang w:val="es-ES"/>
        </w:rPr>
        <w:t>el</w:t>
      </w:r>
      <w:r w:rsidRPr="00BE3C67">
        <w:rPr>
          <w:rFonts w:ascii="Verdana" w:eastAsia="Arial" w:hAnsi="Verdana" w:cs="Arial"/>
          <w:spacing w:val="-10"/>
          <w:sz w:val="16"/>
          <w:szCs w:val="16"/>
          <w:lang w:val="es-ES"/>
        </w:rPr>
        <w:t xml:space="preserve"> </w:t>
      </w:r>
      <w:r w:rsidRPr="00BE3C67">
        <w:rPr>
          <w:rFonts w:ascii="Verdana" w:eastAsia="Arial" w:hAnsi="Verdana" w:cs="Arial"/>
          <w:sz w:val="16"/>
          <w:szCs w:val="16"/>
          <w:lang w:val="es-ES"/>
        </w:rPr>
        <w:t>momento</w:t>
      </w:r>
      <w:r w:rsidRPr="00BE3C67">
        <w:rPr>
          <w:rFonts w:ascii="Verdana" w:eastAsia="Arial" w:hAnsi="Verdana" w:cs="Arial"/>
          <w:spacing w:val="-11"/>
          <w:sz w:val="16"/>
          <w:szCs w:val="16"/>
          <w:lang w:val="es-ES"/>
        </w:rPr>
        <w:t xml:space="preserve"> </w:t>
      </w:r>
      <w:r w:rsidRPr="00BE3C67">
        <w:rPr>
          <w:rFonts w:ascii="Verdana" w:eastAsia="Arial" w:hAnsi="Verdana" w:cs="Arial"/>
          <w:sz w:val="16"/>
          <w:szCs w:val="16"/>
          <w:lang w:val="es-ES"/>
        </w:rPr>
        <w:t>de</w:t>
      </w:r>
      <w:r w:rsidRPr="00BE3C67">
        <w:rPr>
          <w:rFonts w:ascii="Verdana" w:eastAsia="Arial" w:hAnsi="Verdana" w:cs="Arial"/>
          <w:spacing w:val="-10"/>
          <w:sz w:val="16"/>
          <w:szCs w:val="16"/>
          <w:lang w:val="es-ES"/>
        </w:rPr>
        <w:t xml:space="preserve"> </w:t>
      </w:r>
      <w:r w:rsidRPr="00BE3C67">
        <w:rPr>
          <w:rFonts w:ascii="Verdana" w:eastAsia="Arial" w:hAnsi="Verdana" w:cs="Arial"/>
          <w:sz w:val="16"/>
          <w:szCs w:val="16"/>
          <w:lang w:val="es-ES"/>
        </w:rPr>
        <w:t>liquidar</w:t>
      </w:r>
      <w:r w:rsidRPr="00BE3C67">
        <w:rPr>
          <w:rFonts w:ascii="Verdana" w:eastAsia="Arial" w:hAnsi="Verdana" w:cs="Arial"/>
          <w:spacing w:val="-10"/>
          <w:sz w:val="16"/>
          <w:szCs w:val="16"/>
          <w:lang w:val="es-ES"/>
        </w:rPr>
        <w:t xml:space="preserve"> </w:t>
      </w:r>
      <w:r w:rsidRPr="00BE3C67">
        <w:rPr>
          <w:rFonts w:ascii="Verdana" w:eastAsia="Arial" w:hAnsi="Verdana" w:cs="Arial"/>
          <w:sz w:val="16"/>
          <w:szCs w:val="16"/>
          <w:lang w:val="es-ES"/>
        </w:rPr>
        <w:t>los</w:t>
      </w:r>
      <w:r w:rsidRPr="00BE3C67">
        <w:rPr>
          <w:rFonts w:ascii="Verdana" w:eastAsia="Arial" w:hAnsi="Verdana" w:cs="Arial"/>
          <w:spacing w:val="-10"/>
          <w:sz w:val="16"/>
          <w:szCs w:val="16"/>
          <w:lang w:val="es-ES"/>
        </w:rPr>
        <w:t xml:space="preserve"> </w:t>
      </w:r>
      <w:r w:rsidRPr="00BE3C67">
        <w:rPr>
          <w:rFonts w:ascii="Verdana" w:eastAsia="Arial" w:hAnsi="Verdana" w:cs="Arial"/>
          <w:sz w:val="16"/>
          <w:szCs w:val="16"/>
          <w:lang w:val="es-ES"/>
        </w:rPr>
        <w:t>contratos deberán verificar y dejar constancia del cumplimiento de las obligaciones del contratista frente a los aportes mencionados durante toda su vigencia, estableciendo una correcta relación entre el monto cancelado y las sumas que debieron haber sido</w:t>
      </w:r>
      <w:r w:rsidRPr="00BE3C67">
        <w:rPr>
          <w:rFonts w:ascii="Verdana" w:eastAsia="Arial" w:hAnsi="Verdana" w:cs="Arial"/>
          <w:spacing w:val="-10"/>
          <w:sz w:val="16"/>
          <w:szCs w:val="16"/>
          <w:lang w:val="es-ES"/>
        </w:rPr>
        <w:t xml:space="preserve"> </w:t>
      </w:r>
      <w:r w:rsidRPr="00BE3C67">
        <w:rPr>
          <w:rFonts w:ascii="Verdana" w:eastAsia="Arial" w:hAnsi="Verdana" w:cs="Arial"/>
          <w:sz w:val="16"/>
          <w:szCs w:val="16"/>
          <w:lang w:val="es-ES"/>
        </w:rPr>
        <w:t>cotizadas.</w:t>
      </w:r>
    </w:p>
    <w:p w14:paraId="116E1C64" w14:textId="77777777" w:rsidR="003A6A45" w:rsidRPr="00BE3C67" w:rsidRDefault="003A6A45" w:rsidP="003A6A45">
      <w:pPr>
        <w:widowControl w:val="0"/>
        <w:autoSpaceDE w:val="0"/>
        <w:autoSpaceDN w:val="0"/>
        <w:spacing w:after="0" w:line="240" w:lineRule="auto"/>
        <w:ind w:firstLine="708"/>
        <w:jc w:val="both"/>
        <w:rPr>
          <w:rFonts w:ascii="Verdana" w:eastAsia="Arial" w:hAnsi="Verdana" w:cs="Arial"/>
          <w:sz w:val="16"/>
          <w:szCs w:val="16"/>
          <w:lang w:val="es-ES"/>
        </w:rPr>
      </w:pPr>
      <w:r w:rsidRPr="00BE3C67">
        <w:rPr>
          <w:rFonts w:ascii="Verdana" w:eastAsia="Arial" w:hAnsi="Verdana" w:cs="Arial"/>
          <w:sz w:val="16"/>
          <w:szCs w:val="16"/>
          <w:lang w:val="es-ES"/>
        </w:rPr>
        <w:t>»En el evento en que no se hubieran realizado totalmente los aportes correspondientes, la Entidad pública deberá retener las sumas adeudadas al sistema en el momento de la liquidación y efectuará el giro directo de dichos recursos a los correspondientes sistemas con prioridad a los regímenes de salud y pensiones, conforme lo define el reglamento.</w:t>
      </w:r>
    </w:p>
    <w:p w14:paraId="4843EA1D" w14:textId="77777777" w:rsidR="003A6A45" w:rsidRPr="00BE3C67" w:rsidRDefault="003A6A45" w:rsidP="003A6A45">
      <w:pPr>
        <w:widowControl w:val="0"/>
        <w:autoSpaceDE w:val="0"/>
        <w:autoSpaceDN w:val="0"/>
        <w:spacing w:after="0" w:line="240" w:lineRule="auto"/>
        <w:ind w:firstLine="708"/>
        <w:jc w:val="both"/>
        <w:rPr>
          <w:rFonts w:ascii="Verdana" w:eastAsia="Arial" w:hAnsi="Verdana" w:cs="Arial"/>
          <w:sz w:val="16"/>
          <w:szCs w:val="16"/>
          <w:lang w:val="es-ES"/>
        </w:rPr>
      </w:pPr>
      <w:r w:rsidRPr="00BE3C67">
        <w:rPr>
          <w:rFonts w:ascii="Verdana" w:eastAsia="Arial" w:hAnsi="Verdana" w:cs="Arial"/>
          <w:sz w:val="16"/>
          <w:szCs w:val="16"/>
          <w:lang w:val="es-ES"/>
        </w:rPr>
        <w:t>»Cuando</w:t>
      </w:r>
      <w:r w:rsidRPr="00BE3C67">
        <w:rPr>
          <w:rFonts w:ascii="Verdana" w:eastAsia="Arial" w:hAnsi="Verdana" w:cs="Arial"/>
          <w:spacing w:val="-8"/>
          <w:sz w:val="16"/>
          <w:szCs w:val="16"/>
          <w:lang w:val="es-ES"/>
        </w:rPr>
        <w:t xml:space="preserve"> </w:t>
      </w:r>
      <w:r w:rsidRPr="00BE3C67">
        <w:rPr>
          <w:rFonts w:ascii="Verdana" w:eastAsia="Arial" w:hAnsi="Verdana" w:cs="Arial"/>
          <w:sz w:val="16"/>
          <w:szCs w:val="16"/>
          <w:lang w:val="es-ES"/>
        </w:rPr>
        <w:t>la</w:t>
      </w:r>
      <w:r w:rsidRPr="00BE3C67">
        <w:rPr>
          <w:rFonts w:ascii="Verdana" w:eastAsia="Arial" w:hAnsi="Verdana" w:cs="Arial"/>
          <w:spacing w:val="-8"/>
          <w:sz w:val="16"/>
          <w:szCs w:val="16"/>
          <w:lang w:val="es-ES"/>
        </w:rPr>
        <w:t xml:space="preserve"> </w:t>
      </w:r>
      <w:r w:rsidRPr="00BE3C67">
        <w:rPr>
          <w:rFonts w:ascii="Verdana" w:eastAsia="Arial" w:hAnsi="Verdana" w:cs="Arial"/>
          <w:sz w:val="16"/>
          <w:szCs w:val="16"/>
          <w:lang w:val="es-ES"/>
        </w:rPr>
        <w:t>contratación</w:t>
      </w:r>
      <w:r w:rsidRPr="00BE3C67">
        <w:rPr>
          <w:rFonts w:ascii="Verdana" w:eastAsia="Arial" w:hAnsi="Verdana" w:cs="Arial"/>
          <w:spacing w:val="-8"/>
          <w:sz w:val="16"/>
          <w:szCs w:val="16"/>
          <w:lang w:val="es-ES"/>
        </w:rPr>
        <w:t xml:space="preserve"> </w:t>
      </w:r>
      <w:r w:rsidRPr="00BE3C67">
        <w:rPr>
          <w:rFonts w:ascii="Verdana" w:eastAsia="Arial" w:hAnsi="Verdana" w:cs="Arial"/>
          <w:sz w:val="16"/>
          <w:szCs w:val="16"/>
          <w:lang w:val="es-ES"/>
        </w:rPr>
        <w:t>se</w:t>
      </w:r>
      <w:r w:rsidRPr="00BE3C67">
        <w:rPr>
          <w:rFonts w:ascii="Verdana" w:eastAsia="Arial" w:hAnsi="Verdana" w:cs="Arial"/>
          <w:spacing w:val="-8"/>
          <w:sz w:val="16"/>
          <w:szCs w:val="16"/>
          <w:lang w:val="es-ES"/>
        </w:rPr>
        <w:t xml:space="preserve"> </w:t>
      </w:r>
      <w:r w:rsidRPr="00BE3C67">
        <w:rPr>
          <w:rFonts w:ascii="Verdana" w:eastAsia="Arial" w:hAnsi="Verdana" w:cs="Arial"/>
          <w:sz w:val="16"/>
          <w:szCs w:val="16"/>
          <w:lang w:val="es-ES"/>
        </w:rPr>
        <w:t>realice</w:t>
      </w:r>
      <w:r w:rsidRPr="00BE3C67">
        <w:rPr>
          <w:rFonts w:ascii="Verdana" w:eastAsia="Arial" w:hAnsi="Verdana" w:cs="Arial"/>
          <w:spacing w:val="-8"/>
          <w:sz w:val="16"/>
          <w:szCs w:val="16"/>
          <w:lang w:val="es-ES"/>
        </w:rPr>
        <w:t xml:space="preserve"> </w:t>
      </w:r>
      <w:r w:rsidRPr="00BE3C67">
        <w:rPr>
          <w:rFonts w:ascii="Verdana" w:eastAsia="Arial" w:hAnsi="Verdana" w:cs="Arial"/>
          <w:sz w:val="16"/>
          <w:szCs w:val="16"/>
          <w:lang w:val="es-ES"/>
        </w:rPr>
        <w:t>con</w:t>
      </w:r>
      <w:r w:rsidRPr="00BE3C67">
        <w:rPr>
          <w:rFonts w:ascii="Verdana" w:eastAsia="Arial" w:hAnsi="Verdana" w:cs="Arial"/>
          <w:spacing w:val="-8"/>
          <w:sz w:val="16"/>
          <w:szCs w:val="16"/>
          <w:lang w:val="es-ES"/>
        </w:rPr>
        <w:t xml:space="preserve"> </w:t>
      </w:r>
      <w:r w:rsidRPr="00BE3C67">
        <w:rPr>
          <w:rFonts w:ascii="Verdana" w:eastAsia="Arial" w:hAnsi="Verdana" w:cs="Arial"/>
          <w:sz w:val="16"/>
          <w:szCs w:val="16"/>
          <w:lang w:val="es-ES"/>
        </w:rPr>
        <w:t>personas</w:t>
      </w:r>
      <w:r w:rsidRPr="00BE3C67">
        <w:rPr>
          <w:rFonts w:ascii="Verdana" w:eastAsia="Arial" w:hAnsi="Verdana" w:cs="Arial"/>
          <w:spacing w:val="-8"/>
          <w:sz w:val="16"/>
          <w:szCs w:val="16"/>
          <w:lang w:val="es-ES"/>
        </w:rPr>
        <w:t xml:space="preserve"> </w:t>
      </w:r>
      <w:r w:rsidRPr="00BE3C67">
        <w:rPr>
          <w:rFonts w:ascii="Verdana" w:eastAsia="Arial" w:hAnsi="Verdana" w:cs="Arial"/>
          <w:sz w:val="16"/>
          <w:szCs w:val="16"/>
          <w:lang w:val="es-ES"/>
        </w:rPr>
        <w:t>jurídicas,</w:t>
      </w:r>
      <w:r w:rsidRPr="00BE3C67">
        <w:rPr>
          <w:rFonts w:ascii="Verdana" w:eastAsia="Arial" w:hAnsi="Verdana" w:cs="Arial"/>
          <w:spacing w:val="-8"/>
          <w:sz w:val="16"/>
          <w:szCs w:val="16"/>
          <w:lang w:val="es-ES"/>
        </w:rPr>
        <w:t xml:space="preserve"> </w:t>
      </w:r>
      <w:r w:rsidRPr="00BE3C67">
        <w:rPr>
          <w:rFonts w:ascii="Verdana" w:eastAsia="Arial" w:hAnsi="Verdana" w:cs="Arial"/>
          <w:sz w:val="16"/>
          <w:szCs w:val="16"/>
          <w:lang w:val="es-ES"/>
        </w:rPr>
        <w:t>se</w:t>
      </w:r>
      <w:r w:rsidRPr="00BE3C67">
        <w:rPr>
          <w:rFonts w:ascii="Verdana" w:eastAsia="Arial" w:hAnsi="Verdana" w:cs="Arial"/>
          <w:spacing w:val="-8"/>
          <w:sz w:val="16"/>
          <w:szCs w:val="16"/>
          <w:lang w:val="es-ES"/>
        </w:rPr>
        <w:t xml:space="preserve"> </w:t>
      </w:r>
      <w:r w:rsidRPr="00BE3C67">
        <w:rPr>
          <w:rFonts w:ascii="Verdana" w:eastAsia="Arial" w:hAnsi="Verdana" w:cs="Arial"/>
          <w:sz w:val="16"/>
          <w:szCs w:val="16"/>
          <w:lang w:val="es-ES"/>
        </w:rPr>
        <w:t>deberá</w:t>
      </w:r>
      <w:r w:rsidRPr="00BE3C67">
        <w:rPr>
          <w:rFonts w:ascii="Verdana" w:eastAsia="Arial" w:hAnsi="Verdana" w:cs="Arial"/>
          <w:spacing w:val="-8"/>
          <w:sz w:val="16"/>
          <w:szCs w:val="16"/>
          <w:lang w:val="es-ES"/>
        </w:rPr>
        <w:t xml:space="preserve"> </w:t>
      </w:r>
      <w:r w:rsidRPr="00BE3C67">
        <w:rPr>
          <w:rFonts w:ascii="Verdana" w:eastAsia="Arial" w:hAnsi="Verdana" w:cs="Arial"/>
          <w:sz w:val="16"/>
          <w:szCs w:val="16"/>
          <w:lang w:val="es-ES"/>
        </w:rPr>
        <w:t>acreditar</w:t>
      </w:r>
      <w:r w:rsidRPr="00BE3C67">
        <w:rPr>
          <w:rFonts w:ascii="Verdana" w:eastAsia="Arial" w:hAnsi="Verdana" w:cs="Arial"/>
          <w:spacing w:val="-7"/>
          <w:sz w:val="16"/>
          <w:szCs w:val="16"/>
          <w:lang w:val="es-ES"/>
        </w:rPr>
        <w:t xml:space="preserve"> </w:t>
      </w:r>
      <w:r w:rsidRPr="00BE3C67">
        <w:rPr>
          <w:rFonts w:ascii="Verdana" w:eastAsia="Arial" w:hAnsi="Verdana" w:cs="Arial"/>
          <w:sz w:val="16"/>
          <w:szCs w:val="16"/>
          <w:lang w:val="es-ES"/>
        </w:rPr>
        <w:t>el</w:t>
      </w:r>
      <w:r w:rsidRPr="00BE3C67">
        <w:rPr>
          <w:rFonts w:ascii="Verdana" w:eastAsia="Arial" w:hAnsi="Verdana" w:cs="Arial"/>
          <w:spacing w:val="-8"/>
          <w:sz w:val="16"/>
          <w:szCs w:val="16"/>
          <w:lang w:val="es-ES"/>
        </w:rPr>
        <w:t xml:space="preserve"> </w:t>
      </w:r>
      <w:r w:rsidRPr="00BE3C67">
        <w:rPr>
          <w:rFonts w:ascii="Verdana" w:eastAsia="Arial" w:hAnsi="Verdana" w:cs="Arial"/>
          <w:sz w:val="16"/>
          <w:szCs w:val="16"/>
          <w:lang w:val="es-ES"/>
        </w:rPr>
        <w:t>pago</w:t>
      </w:r>
      <w:r w:rsidRPr="00BE3C67">
        <w:rPr>
          <w:rFonts w:ascii="Verdana" w:eastAsia="Arial" w:hAnsi="Verdana" w:cs="Arial"/>
          <w:spacing w:val="-8"/>
          <w:sz w:val="16"/>
          <w:szCs w:val="16"/>
          <w:lang w:val="es-ES"/>
        </w:rPr>
        <w:t xml:space="preserve"> </w:t>
      </w:r>
      <w:r w:rsidRPr="00BE3C67">
        <w:rPr>
          <w:rFonts w:ascii="Verdana" w:eastAsia="Arial" w:hAnsi="Verdana" w:cs="Arial"/>
          <w:sz w:val="16"/>
          <w:szCs w:val="16"/>
          <w:lang w:val="es-ES"/>
        </w:rPr>
        <w:t>de</w:t>
      </w:r>
      <w:r w:rsidRPr="00BE3C67">
        <w:rPr>
          <w:rFonts w:ascii="Verdana" w:eastAsia="Arial" w:hAnsi="Verdana" w:cs="Arial"/>
          <w:spacing w:val="-8"/>
          <w:sz w:val="16"/>
          <w:szCs w:val="16"/>
          <w:lang w:val="es-ES"/>
        </w:rPr>
        <w:t xml:space="preserve"> </w:t>
      </w:r>
      <w:r w:rsidRPr="00BE3C67">
        <w:rPr>
          <w:rFonts w:ascii="Verdana" w:eastAsia="Arial" w:hAnsi="Verdana" w:cs="Arial"/>
          <w:sz w:val="16"/>
          <w:szCs w:val="16"/>
          <w:lang w:val="es-ES"/>
        </w:rPr>
        <w:t>los aportes</w:t>
      </w:r>
      <w:r w:rsidRPr="00BE3C67">
        <w:rPr>
          <w:rFonts w:ascii="Verdana" w:eastAsia="Arial" w:hAnsi="Verdana" w:cs="Arial"/>
          <w:spacing w:val="-10"/>
          <w:sz w:val="16"/>
          <w:szCs w:val="16"/>
          <w:lang w:val="es-ES"/>
        </w:rPr>
        <w:t xml:space="preserve"> </w:t>
      </w:r>
      <w:r w:rsidRPr="00BE3C67">
        <w:rPr>
          <w:rFonts w:ascii="Verdana" w:eastAsia="Arial" w:hAnsi="Verdana" w:cs="Arial"/>
          <w:sz w:val="16"/>
          <w:szCs w:val="16"/>
          <w:lang w:val="es-ES"/>
        </w:rPr>
        <w:t>de</w:t>
      </w:r>
      <w:r w:rsidRPr="00BE3C67">
        <w:rPr>
          <w:rFonts w:ascii="Verdana" w:eastAsia="Arial" w:hAnsi="Verdana" w:cs="Arial"/>
          <w:spacing w:val="-9"/>
          <w:sz w:val="16"/>
          <w:szCs w:val="16"/>
          <w:lang w:val="es-ES"/>
        </w:rPr>
        <w:t xml:space="preserve"> </w:t>
      </w:r>
      <w:r w:rsidRPr="00BE3C67">
        <w:rPr>
          <w:rFonts w:ascii="Verdana" w:eastAsia="Arial" w:hAnsi="Verdana" w:cs="Arial"/>
          <w:sz w:val="16"/>
          <w:szCs w:val="16"/>
          <w:lang w:val="es-ES"/>
        </w:rPr>
        <w:t>sus</w:t>
      </w:r>
      <w:r w:rsidRPr="00BE3C67">
        <w:rPr>
          <w:rFonts w:ascii="Verdana" w:eastAsia="Arial" w:hAnsi="Verdana" w:cs="Arial"/>
          <w:spacing w:val="-9"/>
          <w:sz w:val="16"/>
          <w:szCs w:val="16"/>
          <w:lang w:val="es-ES"/>
        </w:rPr>
        <w:t xml:space="preserve"> </w:t>
      </w:r>
      <w:r w:rsidRPr="00BE3C67">
        <w:rPr>
          <w:rFonts w:ascii="Verdana" w:eastAsia="Arial" w:hAnsi="Verdana" w:cs="Arial"/>
          <w:sz w:val="16"/>
          <w:szCs w:val="16"/>
          <w:lang w:val="es-ES"/>
        </w:rPr>
        <w:t>empleados,</w:t>
      </w:r>
      <w:r w:rsidRPr="00BE3C67">
        <w:rPr>
          <w:rFonts w:ascii="Verdana" w:eastAsia="Arial" w:hAnsi="Verdana" w:cs="Arial"/>
          <w:spacing w:val="-9"/>
          <w:sz w:val="16"/>
          <w:szCs w:val="16"/>
          <w:lang w:val="es-ES"/>
        </w:rPr>
        <w:t xml:space="preserve"> </w:t>
      </w:r>
      <w:r w:rsidRPr="00BE3C67">
        <w:rPr>
          <w:rFonts w:ascii="Verdana" w:eastAsia="Arial" w:hAnsi="Verdana" w:cs="Arial"/>
          <w:sz w:val="16"/>
          <w:szCs w:val="16"/>
          <w:lang w:val="es-ES"/>
        </w:rPr>
        <w:t>a</w:t>
      </w:r>
      <w:r w:rsidRPr="00BE3C67">
        <w:rPr>
          <w:rFonts w:ascii="Verdana" w:eastAsia="Arial" w:hAnsi="Verdana" w:cs="Arial"/>
          <w:spacing w:val="-9"/>
          <w:sz w:val="16"/>
          <w:szCs w:val="16"/>
          <w:lang w:val="es-ES"/>
        </w:rPr>
        <w:t xml:space="preserve"> </w:t>
      </w:r>
      <w:r w:rsidRPr="00BE3C67">
        <w:rPr>
          <w:rFonts w:ascii="Verdana" w:eastAsia="Arial" w:hAnsi="Verdana" w:cs="Arial"/>
          <w:sz w:val="16"/>
          <w:szCs w:val="16"/>
          <w:lang w:val="es-ES"/>
        </w:rPr>
        <w:t>los</w:t>
      </w:r>
      <w:r w:rsidRPr="00BE3C67">
        <w:rPr>
          <w:rFonts w:ascii="Verdana" w:eastAsia="Arial" w:hAnsi="Verdana" w:cs="Arial"/>
          <w:spacing w:val="-9"/>
          <w:sz w:val="16"/>
          <w:szCs w:val="16"/>
          <w:lang w:val="es-ES"/>
        </w:rPr>
        <w:t xml:space="preserve"> </w:t>
      </w:r>
      <w:r w:rsidRPr="00BE3C67">
        <w:rPr>
          <w:rFonts w:ascii="Verdana" w:eastAsia="Arial" w:hAnsi="Verdana" w:cs="Arial"/>
          <w:sz w:val="16"/>
          <w:szCs w:val="16"/>
          <w:lang w:val="es-ES"/>
        </w:rPr>
        <w:t>sistemas</w:t>
      </w:r>
      <w:r w:rsidRPr="00BE3C67">
        <w:rPr>
          <w:rFonts w:ascii="Verdana" w:eastAsia="Arial" w:hAnsi="Verdana" w:cs="Arial"/>
          <w:spacing w:val="-9"/>
          <w:sz w:val="16"/>
          <w:szCs w:val="16"/>
          <w:lang w:val="es-ES"/>
        </w:rPr>
        <w:t xml:space="preserve"> </w:t>
      </w:r>
      <w:r w:rsidRPr="00BE3C67">
        <w:rPr>
          <w:rFonts w:ascii="Verdana" w:eastAsia="Arial" w:hAnsi="Verdana" w:cs="Arial"/>
          <w:sz w:val="16"/>
          <w:szCs w:val="16"/>
          <w:lang w:val="es-ES"/>
        </w:rPr>
        <w:t>mencionados</w:t>
      </w:r>
      <w:r w:rsidRPr="00BE3C67">
        <w:rPr>
          <w:rFonts w:ascii="Verdana" w:eastAsia="Arial" w:hAnsi="Verdana" w:cs="Arial"/>
          <w:spacing w:val="-9"/>
          <w:sz w:val="16"/>
          <w:szCs w:val="16"/>
          <w:lang w:val="es-ES"/>
        </w:rPr>
        <w:t xml:space="preserve"> </w:t>
      </w:r>
      <w:r w:rsidRPr="00BE3C67">
        <w:rPr>
          <w:rFonts w:ascii="Verdana" w:eastAsia="Arial" w:hAnsi="Verdana" w:cs="Arial"/>
          <w:sz w:val="16"/>
          <w:szCs w:val="16"/>
          <w:lang w:val="es-ES"/>
        </w:rPr>
        <w:t>mediante</w:t>
      </w:r>
      <w:r w:rsidRPr="00BE3C67">
        <w:rPr>
          <w:rFonts w:ascii="Verdana" w:eastAsia="Arial" w:hAnsi="Verdana" w:cs="Arial"/>
          <w:spacing w:val="-9"/>
          <w:sz w:val="16"/>
          <w:szCs w:val="16"/>
          <w:lang w:val="es-ES"/>
        </w:rPr>
        <w:t xml:space="preserve"> </w:t>
      </w:r>
      <w:r w:rsidRPr="00BE3C67">
        <w:rPr>
          <w:rFonts w:ascii="Verdana" w:eastAsia="Arial" w:hAnsi="Verdana" w:cs="Arial"/>
          <w:sz w:val="16"/>
          <w:szCs w:val="16"/>
          <w:lang w:val="es-ES"/>
        </w:rPr>
        <w:t>certificación</w:t>
      </w:r>
      <w:r w:rsidRPr="00BE3C67">
        <w:rPr>
          <w:rFonts w:ascii="Verdana" w:eastAsia="Arial" w:hAnsi="Verdana" w:cs="Arial"/>
          <w:spacing w:val="-9"/>
          <w:sz w:val="16"/>
          <w:szCs w:val="16"/>
          <w:lang w:val="es-ES"/>
        </w:rPr>
        <w:t xml:space="preserve"> </w:t>
      </w:r>
      <w:r w:rsidRPr="00BE3C67">
        <w:rPr>
          <w:rFonts w:ascii="Verdana" w:eastAsia="Arial" w:hAnsi="Verdana" w:cs="Arial"/>
          <w:sz w:val="16"/>
          <w:szCs w:val="16"/>
          <w:lang w:val="es-ES"/>
        </w:rPr>
        <w:t>expedida</w:t>
      </w:r>
      <w:r w:rsidRPr="00BE3C67">
        <w:rPr>
          <w:rFonts w:ascii="Verdana" w:eastAsia="Arial" w:hAnsi="Verdana" w:cs="Arial"/>
          <w:spacing w:val="-9"/>
          <w:sz w:val="16"/>
          <w:szCs w:val="16"/>
          <w:lang w:val="es-ES"/>
        </w:rPr>
        <w:t xml:space="preserve"> </w:t>
      </w:r>
      <w:r w:rsidRPr="00BE3C67">
        <w:rPr>
          <w:rFonts w:ascii="Verdana" w:eastAsia="Arial" w:hAnsi="Verdana" w:cs="Arial"/>
          <w:sz w:val="16"/>
          <w:szCs w:val="16"/>
          <w:lang w:val="es-ES"/>
        </w:rPr>
        <w:t>por</w:t>
      </w:r>
      <w:r w:rsidRPr="00BE3C67">
        <w:rPr>
          <w:rFonts w:ascii="Verdana" w:eastAsia="Arial" w:hAnsi="Verdana" w:cs="Arial"/>
          <w:spacing w:val="-9"/>
          <w:sz w:val="16"/>
          <w:szCs w:val="16"/>
          <w:lang w:val="es-ES"/>
        </w:rPr>
        <w:t xml:space="preserve"> </w:t>
      </w:r>
      <w:r w:rsidRPr="00BE3C67">
        <w:rPr>
          <w:rFonts w:ascii="Verdana" w:eastAsia="Arial" w:hAnsi="Verdana" w:cs="Arial"/>
          <w:sz w:val="16"/>
          <w:szCs w:val="16"/>
          <w:lang w:val="es-ES"/>
        </w:rPr>
        <w:t>el</w:t>
      </w:r>
      <w:r w:rsidRPr="00BE3C67">
        <w:rPr>
          <w:rFonts w:ascii="Verdana" w:eastAsia="Arial" w:hAnsi="Verdana" w:cs="Arial"/>
          <w:spacing w:val="-9"/>
          <w:sz w:val="16"/>
          <w:szCs w:val="16"/>
          <w:lang w:val="es-ES"/>
        </w:rPr>
        <w:t xml:space="preserve"> </w:t>
      </w:r>
      <w:r w:rsidRPr="00BE3C67">
        <w:rPr>
          <w:rFonts w:ascii="Verdana" w:eastAsia="Arial" w:hAnsi="Verdana" w:cs="Arial"/>
          <w:sz w:val="16"/>
          <w:szCs w:val="16"/>
          <w:lang w:val="es-ES"/>
        </w:rPr>
        <w:t>revisor fiscal, cuando este exista de acuerdo con los requerimientos de ley, o por el representante legal durante un lapso equivalente al que exija el respectivo régimen de contratación para que se hubiera constituido la sociedad, el cual en todo caso no será inferior a los seis (6) meses anteriores a la celebración del contrato. En el evento en que la sociedad no tenga más de seis (6) meses de constituida, deberá acreditar los pagos a partir de la fecha de su</w:t>
      </w:r>
      <w:r w:rsidRPr="00BE3C67">
        <w:rPr>
          <w:rFonts w:ascii="Verdana" w:eastAsia="Arial" w:hAnsi="Verdana" w:cs="Arial"/>
          <w:spacing w:val="-20"/>
          <w:sz w:val="16"/>
          <w:szCs w:val="16"/>
          <w:lang w:val="es-ES"/>
        </w:rPr>
        <w:t xml:space="preserve"> </w:t>
      </w:r>
      <w:r w:rsidRPr="00BE3C67">
        <w:rPr>
          <w:rFonts w:ascii="Verdana" w:eastAsia="Arial" w:hAnsi="Verdana" w:cs="Arial"/>
          <w:sz w:val="16"/>
          <w:szCs w:val="16"/>
          <w:lang w:val="es-ES"/>
        </w:rPr>
        <w:t>constitución.</w:t>
      </w:r>
    </w:p>
    <w:p w14:paraId="707946CE" w14:textId="77777777" w:rsidR="003A6A45" w:rsidRPr="00BE3C67" w:rsidRDefault="003A6A45" w:rsidP="003A6A45">
      <w:pPr>
        <w:pStyle w:val="Textonotapie"/>
        <w:rPr>
          <w:rFonts w:ascii="Verdana" w:eastAsia="Arial" w:hAnsi="Verdana" w:cs="Arial"/>
          <w:sz w:val="16"/>
          <w:szCs w:val="16"/>
          <w:lang w:val="es-ES"/>
        </w:rPr>
      </w:pPr>
      <w:r w:rsidRPr="00BE3C67">
        <w:rPr>
          <w:rFonts w:ascii="Verdana" w:eastAsia="Arial" w:hAnsi="Verdana" w:cs="Arial"/>
          <w:sz w:val="16"/>
          <w:szCs w:val="16"/>
          <w:lang w:val="es-ES"/>
        </w:rPr>
        <w:tab/>
        <w:t>»Para</w:t>
      </w:r>
      <w:r w:rsidRPr="00BE3C67">
        <w:rPr>
          <w:rFonts w:ascii="Verdana" w:eastAsia="Arial" w:hAnsi="Verdana" w:cs="Arial"/>
          <w:spacing w:val="-10"/>
          <w:sz w:val="16"/>
          <w:szCs w:val="16"/>
          <w:lang w:val="es-ES"/>
        </w:rPr>
        <w:t xml:space="preserve"> </w:t>
      </w:r>
      <w:r w:rsidRPr="00BE3C67">
        <w:rPr>
          <w:rFonts w:ascii="Verdana" w:eastAsia="Arial" w:hAnsi="Verdana" w:cs="Arial"/>
          <w:sz w:val="16"/>
          <w:szCs w:val="16"/>
          <w:lang w:val="es-ES"/>
        </w:rPr>
        <w:t>la</w:t>
      </w:r>
      <w:r w:rsidRPr="00BE3C67">
        <w:rPr>
          <w:rFonts w:ascii="Verdana" w:eastAsia="Arial" w:hAnsi="Verdana" w:cs="Arial"/>
          <w:spacing w:val="-10"/>
          <w:sz w:val="16"/>
          <w:szCs w:val="16"/>
          <w:lang w:val="es-ES"/>
        </w:rPr>
        <w:t xml:space="preserve"> </w:t>
      </w:r>
      <w:r w:rsidRPr="00BE3C67">
        <w:rPr>
          <w:rFonts w:ascii="Verdana" w:eastAsia="Arial" w:hAnsi="Verdana" w:cs="Arial"/>
          <w:sz w:val="16"/>
          <w:szCs w:val="16"/>
          <w:lang w:val="es-ES"/>
        </w:rPr>
        <w:t>presentación</w:t>
      </w:r>
      <w:r w:rsidRPr="00BE3C67">
        <w:rPr>
          <w:rFonts w:ascii="Verdana" w:eastAsia="Arial" w:hAnsi="Verdana" w:cs="Arial"/>
          <w:spacing w:val="-9"/>
          <w:sz w:val="16"/>
          <w:szCs w:val="16"/>
          <w:lang w:val="es-ES"/>
        </w:rPr>
        <w:t xml:space="preserve"> </w:t>
      </w:r>
      <w:r w:rsidRPr="00BE3C67">
        <w:rPr>
          <w:rFonts w:ascii="Verdana" w:eastAsia="Arial" w:hAnsi="Verdana" w:cs="Arial"/>
          <w:sz w:val="16"/>
          <w:szCs w:val="16"/>
          <w:lang w:val="es-ES"/>
        </w:rPr>
        <w:t>de</w:t>
      </w:r>
      <w:r w:rsidRPr="00BE3C67">
        <w:rPr>
          <w:rFonts w:ascii="Verdana" w:eastAsia="Arial" w:hAnsi="Verdana" w:cs="Arial"/>
          <w:spacing w:val="-10"/>
          <w:sz w:val="16"/>
          <w:szCs w:val="16"/>
          <w:lang w:val="es-ES"/>
        </w:rPr>
        <w:t xml:space="preserve"> </w:t>
      </w:r>
      <w:r w:rsidRPr="00BE3C67">
        <w:rPr>
          <w:rFonts w:ascii="Verdana" w:eastAsia="Arial" w:hAnsi="Verdana" w:cs="Arial"/>
          <w:sz w:val="16"/>
          <w:szCs w:val="16"/>
          <w:lang w:val="es-ES"/>
        </w:rPr>
        <w:t>ofertas</w:t>
      </w:r>
      <w:r w:rsidRPr="00BE3C67">
        <w:rPr>
          <w:rFonts w:ascii="Verdana" w:eastAsia="Arial" w:hAnsi="Verdana" w:cs="Arial"/>
          <w:spacing w:val="-10"/>
          <w:sz w:val="16"/>
          <w:szCs w:val="16"/>
          <w:lang w:val="es-ES"/>
        </w:rPr>
        <w:t xml:space="preserve"> </w:t>
      </w:r>
      <w:r w:rsidRPr="00BE3C67">
        <w:rPr>
          <w:rFonts w:ascii="Verdana" w:eastAsia="Arial" w:hAnsi="Verdana" w:cs="Arial"/>
          <w:sz w:val="16"/>
          <w:szCs w:val="16"/>
          <w:lang w:val="es-ES"/>
        </w:rPr>
        <w:t>por</w:t>
      </w:r>
      <w:r w:rsidRPr="00BE3C67">
        <w:rPr>
          <w:rFonts w:ascii="Verdana" w:eastAsia="Arial" w:hAnsi="Verdana" w:cs="Arial"/>
          <w:spacing w:val="-10"/>
          <w:sz w:val="16"/>
          <w:szCs w:val="16"/>
          <w:lang w:val="es-ES"/>
        </w:rPr>
        <w:t xml:space="preserve"> </w:t>
      </w:r>
      <w:r w:rsidRPr="00BE3C67">
        <w:rPr>
          <w:rFonts w:ascii="Verdana" w:eastAsia="Arial" w:hAnsi="Verdana" w:cs="Arial"/>
          <w:sz w:val="16"/>
          <w:szCs w:val="16"/>
          <w:lang w:val="es-ES"/>
        </w:rPr>
        <w:t>parte</w:t>
      </w:r>
      <w:r w:rsidRPr="00BE3C67">
        <w:rPr>
          <w:rFonts w:ascii="Verdana" w:eastAsia="Arial" w:hAnsi="Verdana" w:cs="Arial"/>
          <w:spacing w:val="-10"/>
          <w:sz w:val="16"/>
          <w:szCs w:val="16"/>
          <w:lang w:val="es-ES"/>
        </w:rPr>
        <w:t xml:space="preserve"> </w:t>
      </w:r>
      <w:r w:rsidRPr="00BE3C67">
        <w:rPr>
          <w:rFonts w:ascii="Verdana" w:eastAsia="Arial" w:hAnsi="Verdana" w:cs="Arial"/>
          <w:sz w:val="16"/>
          <w:szCs w:val="16"/>
          <w:lang w:val="es-ES"/>
        </w:rPr>
        <w:t>de</w:t>
      </w:r>
      <w:r w:rsidRPr="00BE3C67">
        <w:rPr>
          <w:rFonts w:ascii="Verdana" w:eastAsia="Arial" w:hAnsi="Verdana" w:cs="Arial"/>
          <w:spacing w:val="-9"/>
          <w:sz w:val="16"/>
          <w:szCs w:val="16"/>
          <w:lang w:val="es-ES"/>
        </w:rPr>
        <w:t xml:space="preserve"> </w:t>
      </w:r>
      <w:r w:rsidRPr="00BE3C67">
        <w:rPr>
          <w:rFonts w:ascii="Verdana" w:eastAsia="Arial" w:hAnsi="Verdana" w:cs="Arial"/>
          <w:sz w:val="16"/>
          <w:szCs w:val="16"/>
          <w:lang w:val="es-ES"/>
        </w:rPr>
        <w:t>personas</w:t>
      </w:r>
      <w:r w:rsidRPr="00BE3C67">
        <w:rPr>
          <w:rFonts w:ascii="Verdana" w:eastAsia="Arial" w:hAnsi="Verdana" w:cs="Arial"/>
          <w:spacing w:val="-10"/>
          <w:sz w:val="16"/>
          <w:szCs w:val="16"/>
          <w:lang w:val="es-ES"/>
        </w:rPr>
        <w:t xml:space="preserve"> </w:t>
      </w:r>
      <w:r w:rsidRPr="00BE3C67">
        <w:rPr>
          <w:rFonts w:ascii="Verdana" w:eastAsia="Arial" w:hAnsi="Verdana" w:cs="Arial"/>
          <w:sz w:val="16"/>
          <w:szCs w:val="16"/>
          <w:lang w:val="es-ES"/>
        </w:rPr>
        <w:t>jurídicas</w:t>
      </w:r>
      <w:r w:rsidRPr="00BE3C67">
        <w:rPr>
          <w:rFonts w:ascii="Verdana" w:eastAsia="Arial" w:hAnsi="Verdana" w:cs="Arial"/>
          <w:spacing w:val="-10"/>
          <w:sz w:val="16"/>
          <w:szCs w:val="16"/>
          <w:lang w:val="es-ES"/>
        </w:rPr>
        <w:t xml:space="preserve"> </w:t>
      </w:r>
      <w:r w:rsidRPr="00BE3C67">
        <w:rPr>
          <w:rFonts w:ascii="Verdana" w:eastAsia="Arial" w:hAnsi="Verdana" w:cs="Arial"/>
          <w:sz w:val="16"/>
          <w:szCs w:val="16"/>
          <w:lang w:val="es-ES"/>
        </w:rPr>
        <w:t>será</w:t>
      </w:r>
      <w:r w:rsidRPr="00BE3C67">
        <w:rPr>
          <w:rFonts w:ascii="Verdana" w:eastAsia="Arial" w:hAnsi="Verdana" w:cs="Arial"/>
          <w:spacing w:val="-10"/>
          <w:sz w:val="16"/>
          <w:szCs w:val="16"/>
          <w:lang w:val="es-ES"/>
        </w:rPr>
        <w:t xml:space="preserve"> </w:t>
      </w:r>
      <w:r w:rsidRPr="00BE3C67">
        <w:rPr>
          <w:rFonts w:ascii="Verdana" w:eastAsia="Arial" w:hAnsi="Verdana" w:cs="Arial"/>
          <w:sz w:val="16"/>
          <w:szCs w:val="16"/>
          <w:lang w:val="es-ES"/>
        </w:rPr>
        <w:t>indispensable</w:t>
      </w:r>
      <w:r w:rsidRPr="00BE3C67">
        <w:rPr>
          <w:rFonts w:ascii="Verdana" w:eastAsia="Arial" w:hAnsi="Verdana" w:cs="Arial"/>
          <w:spacing w:val="-9"/>
          <w:sz w:val="16"/>
          <w:szCs w:val="16"/>
          <w:lang w:val="es-ES"/>
        </w:rPr>
        <w:t xml:space="preserve"> </w:t>
      </w:r>
      <w:r w:rsidRPr="00BE3C67">
        <w:rPr>
          <w:rFonts w:ascii="Verdana" w:eastAsia="Arial" w:hAnsi="Verdana" w:cs="Arial"/>
          <w:sz w:val="16"/>
          <w:szCs w:val="16"/>
          <w:lang w:val="es-ES"/>
        </w:rPr>
        <w:t>acreditar el requisito señalado anteriormente. El funcionario que no deje constancia de la verificación del cumplimiento de este requisito incurrirá en causal de mala</w:t>
      </w:r>
      <w:r w:rsidRPr="00BE3C67">
        <w:rPr>
          <w:rFonts w:ascii="Verdana" w:eastAsia="Arial" w:hAnsi="Verdana" w:cs="Arial"/>
          <w:spacing w:val="-12"/>
          <w:sz w:val="16"/>
          <w:szCs w:val="16"/>
          <w:lang w:val="es-ES"/>
        </w:rPr>
        <w:t xml:space="preserve"> </w:t>
      </w:r>
      <w:r w:rsidRPr="00BE3C67">
        <w:rPr>
          <w:rFonts w:ascii="Verdana" w:eastAsia="Arial" w:hAnsi="Verdana" w:cs="Arial"/>
          <w:sz w:val="16"/>
          <w:szCs w:val="16"/>
          <w:lang w:val="es-ES"/>
        </w:rPr>
        <w:t>conducta»</w:t>
      </w:r>
    </w:p>
    <w:p w14:paraId="779E38BB" w14:textId="77777777" w:rsidR="003A6A45" w:rsidRPr="00BE3C67" w:rsidRDefault="003A6A45" w:rsidP="003A6A45">
      <w:pPr>
        <w:pStyle w:val="Textonotapie"/>
        <w:rPr>
          <w:rFonts w:ascii="Verdana" w:hAnsi="Verdana" w:cs="Arial"/>
          <w:sz w:val="16"/>
          <w:szCs w:val="16"/>
          <w:lang w:val="es-CO"/>
        </w:rPr>
      </w:pPr>
    </w:p>
  </w:footnote>
  <w:footnote w:id="3">
    <w:p w14:paraId="0BF34D5B" w14:textId="77777777" w:rsidR="003A6A45" w:rsidRPr="00BE3C67" w:rsidRDefault="003A6A45" w:rsidP="003A6A45">
      <w:pPr>
        <w:pStyle w:val="Textonotapie"/>
        <w:ind w:firstLine="708"/>
        <w:rPr>
          <w:rFonts w:ascii="Verdana" w:eastAsia="Arial" w:hAnsi="Verdana" w:cs="Arial"/>
          <w:sz w:val="16"/>
          <w:szCs w:val="16"/>
          <w:lang w:val="es-ES"/>
        </w:rPr>
      </w:pPr>
      <w:r w:rsidRPr="00BE3C67">
        <w:rPr>
          <w:rStyle w:val="Refdenotaalpie"/>
          <w:rFonts w:ascii="Verdana" w:hAnsi="Verdana" w:cs="Arial"/>
          <w:sz w:val="16"/>
          <w:szCs w:val="16"/>
        </w:rPr>
        <w:footnoteRef/>
      </w:r>
      <w:r w:rsidRPr="00BE3C67">
        <w:rPr>
          <w:rFonts w:ascii="Verdana" w:hAnsi="Verdana" w:cs="Arial"/>
          <w:sz w:val="16"/>
          <w:szCs w:val="16"/>
        </w:rPr>
        <w:t xml:space="preserve"> </w:t>
      </w:r>
      <w:r w:rsidRPr="00BE3C67">
        <w:rPr>
          <w:rFonts w:ascii="Verdana" w:eastAsia="Arial" w:hAnsi="Verdana" w:cs="Arial"/>
          <w:sz w:val="16"/>
          <w:szCs w:val="16"/>
          <w:lang w:val="es-ES"/>
        </w:rPr>
        <w:t xml:space="preserve">Consejo de Estado. Sección Tercera. Subsección C. Sentencia del 8 de junio de 2011. </w:t>
      </w:r>
      <w:r w:rsidRPr="00BE3C67">
        <w:rPr>
          <w:rFonts w:ascii="Verdana" w:eastAsia="Arial" w:hAnsi="Verdana" w:cs="Arial"/>
          <w:sz w:val="16"/>
          <w:szCs w:val="16"/>
          <w:lang w:val="es-ES"/>
        </w:rPr>
        <w:t>Exp. 20001-23-31-000-2005-00409-01(AP), C.P. Enrique Gil Botero.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49BFF" w14:textId="77777777" w:rsidR="00006F59" w:rsidRPr="009B7987" w:rsidRDefault="00006F59" w:rsidP="00006F59">
    <w:pPr>
      <w:pStyle w:val="Encabezado"/>
    </w:pPr>
    <w:r w:rsidRPr="009B7987">
      <w:rPr>
        <w:rFonts w:ascii="Geomanist Bold" w:hAnsi="Geomanist Bold"/>
        <w:b/>
        <w:bCs/>
        <w:noProof/>
        <w:color w:val="002060"/>
        <w:sz w:val="24"/>
        <w:szCs w:val="24"/>
      </w:rPr>
      <w:drawing>
        <wp:anchor distT="0" distB="0" distL="114300" distR="114300" simplePos="0" relativeHeight="251658241" behindDoc="1" locked="0" layoutInCell="1" allowOverlap="1" wp14:anchorId="4812B632" wp14:editId="2E35C64A">
          <wp:simplePos x="0" y="0"/>
          <wp:positionH relativeFrom="margin">
            <wp:align>center</wp:align>
          </wp:positionH>
          <wp:positionV relativeFrom="paragraph">
            <wp:posOffset>-250190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Pr="009B7987">
      <w:rPr>
        <w:rFonts w:ascii="Geomanist Bold" w:hAnsi="Geomanist Bold"/>
        <w:b/>
        <w:bCs/>
        <w:noProof/>
        <w:color w:val="002060"/>
        <w:sz w:val="24"/>
        <w:szCs w:val="24"/>
      </w:rPr>
      <w:drawing>
        <wp:anchor distT="0" distB="0" distL="114300" distR="114300" simplePos="0" relativeHeight="251658240" behindDoc="0" locked="0" layoutInCell="1" allowOverlap="1" wp14:anchorId="292DC36A" wp14:editId="6004C65E">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49914" name="Imagen 962149914"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34B171C2" w14:textId="77777777" w:rsidR="00006F59" w:rsidRPr="009B7987" w:rsidRDefault="00006F59" w:rsidP="00006F59">
    <w:pPr>
      <w:pStyle w:val="Encabezado"/>
      <w:jc w:val="center"/>
    </w:pPr>
  </w:p>
  <w:p w14:paraId="1665FD71" w14:textId="77777777" w:rsidR="00006F59" w:rsidRPr="009B7987" w:rsidRDefault="00006F59" w:rsidP="00006F59">
    <w:pPr>
      <w:pStyle w:val="Encabezado"/>
    </w:pPr>
  </w:p>
  <w:p w14:paraId="61B882FC" w14:textId="77777777" w:rsidR="00006F59" w:rsidRPr="009B7987" w:rsidRDefault="00006F59" w:rsidP="00006F59">
    <w:pPr>
      <w:spacing w:after="0"/>
      <w:rPr>
        <w:rFonts w:ascii="Verdana" w:hAnsi="Verdana"/>
        <w:b/>
        <w:bCs/>
        <w:sz w:val="24"/>
        <w:szCs w:val="24"/>
      </w:rPr>
    </w:pPr>
  </w:p>
  <w:p w14:paraId="701A9D55" w14:textId="29EB49FC" w:rsidR="00006F59" w:rsidRPr="009B7987" w:rsidRDefault="00006F59" w:rsidP="001918F1">
    <w:pPr>
      <w:tabs>
        <w:tab w:val="left" w:pos="6217"/>
      </w:tabs>
      <w:spacing w:after="0"/>
      <w:rPr>
        <w:rFonts w:ascii="Verdana" w:hAnsi="Verdana"/>
        <w:b/>
        <w:bCs/>
        <w:sz w:val="24"/>
        <w:szCs w:val="24"/>
      </w:rPr>
    </w:pPr>
    <w:r w:rsidRPr="009B7987">
      <w:rPr>
        <w:rFonts w:ascii="Verdana" w:hAnsi="Verdana"/>
        <w:b/>
        <w:bCs/>
        <w:sz w:val="24"/>
        <w:szCs w:val="24"/>
      </w:rPr>
      <w:t>FORMATO PQRSD</w:t>
    </w:r>
  </w:p>
  <w:p w14:paraId="68E0C024" w14:textId="62811F13" w:rsidR="00B30448" w:rsidRPr="009B7987" w:rsidRDefault="00B30448" w:rsidP="00006F59">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5E83FFA"/>
    <w:multiLevelType w:val="hybridMultilevel"/>
    <w:tmpl w:val="8EF612C4"/>
    <w:lvl w:ilvl="0" w:tplc="DCA0A690">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 w15:restartNumberingAfterBreak="0">
    <w:nsid w:val="239D63F5"/>
    <w:multiLevelType w:val="hybridMultilevel"/>
    <w:tmpl w:val="F538EEB4"/>
    <w:lvl w:ilvl="0" w:tplc="DB68C6FA">
      <w:numFmt w:val="bullet"/>
      <w:lvlText w:val="-"/>
      <w:lvlJc w:val="left"/>
      <w:pPr>
        <w:ind w:left="1069" w:hanging="360"/>
      </w:pPr>
      <w:rPr>
        <w:rFonts w:ascii="Verdana" w:eastAsia="Calibri" w:hAnsi="Verdana" w:cs="Arial" w:hint="default"/>
      </w:rPr>
    </w:lvl>
    <w:lvl w:ilvl="1" w:tplc="240A0003" w:tentative="1">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3" w15:restartNumberingAfterBreak="0">
    <w:nsid w:val="2F2143A1"/>
    <w:multiLevelType w:val="hybridMultilevel"/>
    <w:tmpl w:val="4EB84EEC"/>
    <w:lvl w:ilvl="0" w:tplc="5E185100">
      <w:start w:val="1"/>
      <w:numFmt w:val="lowerRoman"/>
      <w:lvlText w:val="%1)"/>
      <w:lvlJc w:val="left"/>
      <w:pPr>
        <w:ind w:left="2136" w:hanging="720"/>
      </w:pPr>
      <w:rPr>
        <w:rFonts w:hint="default"/>
      </w:rPr>
    </w:lvl>
    <w:lvl w:ilvl="1" w:tplc="240A0019" w:tentative="1">
      <w:start w:val="1"/>
      <w:numFmt w:val="lowerLetter"/>
      <w:lvlText w:val="%2."/>
      <w:lvlJc w:val="left"/>
      <w:pPr>
        <w:ind w:left="2496" w:hanging="360"/>
      </w:pPr>
    </w:lvl>
    <w:lvl w:ilvl="2" w:tplc="240A001B" w:tentative="1">
      <w:start w:val="1"/>
      <w:numFmt w:val="lowerRoman"/>
      <w:lvlText w:val="%3."/>
      <w:lvlJc w:val="right"/>
      <w:pPr>
        <w:ind w:left="3216" w:hanging="180"/>
      </w:pPr>
    </w:lvl>
    <w:lvl w:ilvl="3" w:tplc="240A000F" w:tentative="1">
      <w:start w:val="1"/>
      <w:numFmt w:val="decimal"/>
      <w:lvlText w:val="%4."/>
      <w:lvlJc w:val="left"/>
      <w:pPr>
        <w:ind w:left="3936" w:hanging="360"/>
      </w:pPr>
    </w:lvl>
    <w:lvl w:ilvl="4" w:tplc="240A0019" w:tentative="1">
      <w:start w:val="1"/>
      <w:numFmt w:val="lowerLetter"/>
      <w:lvlText w:val="%5."/>
      <w:lvlJc w:val="left"/>
      <w:pPr>
        <w:ind w:left="4656" w:hanging="360"/>
      </w:pPr>
    </w:lvl>
    <w:lvl w:ilvl="5" w:tplc="240A001B" w:tentative="1">
      <w:start w:val="1"/>
      <w:numFmt w:val="lowerRoman"/>
      <w:lvlText w:val="%6."/>
      <w:lvlJc w:val="right"/>
      <w:pPr>
        <w:ind w:left="5376" w:hanging="180"/>
      </w:pPr>
    </w:lvl>
    <w:lvl w:ilvl="6" w:tplc="240A000F" w:tentative="1">
      <w:start w:val="1"/>
      <w:numFmt w:val="decimal"/>
      <w:lvlText w:val="%7."/>
      <w:lvlJc w:val="left"/>
      <w:pPr>
        <w:ind w:left="6096" w:hanging="360"/>
      </w:pPr>
    </w:lvl>
    <w:lvl w:ilvl="7" w:tplc="240A0019" w:tentative="1">
      <w:start w:val="1"/>
      <w:numFmt w:val="lowerLetter"/>
      <w:lvlText w:val="%8."/>
      <w:lvlJc w:val="left"/>
      <w:pPr>
        <w:ind w:left="6816" w:hanging="360"/>
      </w:pPr>
    </w:lvl>
    <w:lvl w:ilvl="8" w:tplc="240A001B" w:tentative="1">
      <w:start w:val="1"/>
      <w:numFmt w:val="lowerRoman"/>
      <w:lvlText w:val="%9."/>
      <w:lvlJc w:val="right"/>
      <w:pPr>
        <w:ind w:left="7536" w:hanging="180"/>
      </w:pPr>
    </w:lvl>
  </w:abstractNum>
  <w:abstractNum w:abstractNumId="4" w15:restartNumberingAfterBreak="0">
    <w:nsid w:val="2F2F4AAF"/>
    <w:multiLevelType w:val="hybridMultilevel"/>
    <w:tmpl w:val="8780C6F4"/>
    <w:lvl w:ilvl="0" w:tplc="55946782">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5"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6" w15:restartNumberingAfterBreak="0">
    <w:nsid w:val="388E5AE1"/>
    <w:multiLevelType w:val="hybridMultilevel"/>
    <w:tmpl w:val="1B62FAF4"/>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39CD3660"/>
    <w:multiLevelType w:val="hybridMultilevel"/>
    <w:tmpl w:val="DCEE24D0"/>
    <w:lvl w:ilvl="0" w:tplc="7D9E7E62">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9" w15:restartNumberingAfterBreak="0">
    <w:nsid w:val="3D5D596E"/>
    <w:multiLevelType w:val="hybridMultilevel"/>
    <w:tmpl w:val="88DE2ABC"/>
    <w:lvl w:ilvl="0" w:tplc="ECF04718">
      <w:start w:val="1"/>
      <w:numFmt w:val="lowerRoman"/>
      <w:lvlText w:val="%1)"/>
      <w:lvlJc w:val="left"/>
      <w:pPr>
        <w:ind w:left="1429" w:hanging="720"/>
      </w:pPr>
      <w:rPr>
        <w:rFonts w:ascii="Verdana" w:eastAsia="Calibri" w:hAnsi="Verdana" w:cs="Arial"/>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0" w15:restartNumberingAfterBreak="0">
    <w:nsid w:val="418679D0"/>
    <w:multiLevelType w:val="hybridMultilevel"/>
    <w:tmpl w:val="F2F430A2"/>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11" w15:restartNumberingAfterBreak="0">
    <w:nsid w:val="475C5A77"/>
    <w:multiLevelType w:val="hybridMultilevel"/>
    <w:tmpl w:val="F5321E28"/>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4C2578F1"/>
    <w:multiLevelType w:val="hybridMultilevel"/>
    <w:tmpl w:val="1C0C61AA"/>
    <w:lvl w:ilvl="0" w:tplc="0DAE4A5C">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50A4622B"/>
    <w:multiLevelType w:val="hybridMultilevel"/>
    <w:tmpl w:val="E41ED338"/>
    <w:lvl w:ilvl="0" w:tplc="FBC0C1AE">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4" w15:restartNumberingAfterBreak="0">
    <w:nsid w:val="522C350D"/>
    <w:multiLevelType w:val="hybridMultilevel"/>
    <w:tmpl w:val="89B6917E"/>
    <w:lvl w:ilvl="0" w:tplc="A7B2FCBE">
      <w:start w:val="1"/>
      <w:numFmt w:val="decimal"/>
      <w:lvlText w:val="%1."/>
      <w:lvlJc w:val="left"/>
      <w:pPr>
        <w:ind w:left="1494" w:hanging="360"/>
      </w:pPr>
      <w:rPr>
        <w:rFonts w:hint="default"/>
      </w:rPr>
    </w:lvl>
    <w:lvl w:ilvl="1" w:tplc="240A0019" w:tentative="1">
      <w:start w:val="1"/>
      <w:numFmt w:val="lowerLetter"/>
      <w:lvlText w:val="%2."/>
      <w:lvlJc w:val="left"/>
      <w:pPr>
        <w:ind w:left="2214" w:hanging="360"/>
      </w:pPr>
    </w:lvl>
    <w:lvl w:ilvl="2" w:tplc="240A001B" w:tentative="1">
      <w:start w:val="1"/>
      <w:numFmt w:val="lowerRoman"/>
      <w:lvlText w:val="%3."/>
      <w:lvlJc w:val="right"/>
      <w:pPr>
        <w:ind w:left="2934" w:hanging="180"/>
      </w:pPr>
    </w:lvl>
    <w:lvl w:ilvl="3" w:tplc="240A000F" w:tentative="1">
      <w:start w:val="1"/>
      <w:numFmt w:val="decimal"/>
      <w:lvlText w:val="%4."/>
      <w:lvlJc w:val="left"/>
      <w:pPr>
        <w:ind w:left="3654" w:hanging="360"/>
      </w:pPr>
    </w:lvl>
    <w:lvl w:ilvl="4" w:tplc="240A0019" w:tentative="1">
      <w:start w:val="1"/>
      <w:numFmt w:val="lowerLetter"/>
      <w:lvlText w:val="%5."/>
      <w:lvlJc w:val="left"/>
      <w:pPr>
        <w:ind w:left="4374" w:hanging="360"/>
      </w:pPr>
    </w:lvl>
    <w:lvl w:ilvl="5" w:tplc="240A001B" w:tentative="1">
      <w:start w:val="1"/>
      <w:numFmt w:val="lowerRoman"/>
      <w:lvlText w:val="%6."/>
      <w:lvlJc w:val="right"/>
      <w:pPr>
        <w:ind w:left="5094" w:hanging="180"/>
      </w:pPr>
    </w:lvl>
    <w:lvl w:ilvl="6" w:tplc="240A000F" w:tentative="1">
      <w:start w:val="1"/>
      <w:numFmt w:val="decimal"/>
      <w:lvlText w:val="%7."/>
      <w:lvlJc w:val="left"/>
      <w:pPr>
        <w:ind w:left="5814" w:hanging="360"/>
      </w:pPr>
    </w:lvl>
    <w:lvl w:ilvl="7" w:tplc="240A0019" w:tentative="1">
      <w:start w:val="1"/>
      <w:numFmt w:val="lowerLetter"/>
      <w:lvlText w:val="%8."/>
      <w:lvlJc w:val="left"/>
      <w:pPr>
        <w:ind w:left="6534" w:hanging="360"/>
      </w:pPr>
    </w:lvl>
    <w:lvl w:ilvl="8" w:tplc="240A001B" w:tentative="1">
      <w:start w:val="1"/>
      <w:numFmt w:val="lowerRoman"/>
      <w:lvlText w:val="%9."/>
      <w:lvlJc w:val="right"/>
      <w:pPr>
        <w:ind w:left="7254" w:hanging="180"/>
      </w:pPr>
    </w:lvl>
  </w:abstractNum>
  <w:abstractNum w:abstractNumId="15" w15:restartNumberingAfterBreak="0">
    <w:nsid w:val="540506B6"/>
    <w:multiLevelType w:val="hybridMultilevel"/>
    <w:tmpl w:val="974E041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5A676181"/>
    <w:multiLevelType w:val="multilevel"/>
    <w:tmpl w:val="D30E7A7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 w15:restartNumberingAfterBreak="0">
    <w:nsid w:val="604178A9"/>
    <w:multiLevelType w:val="hybridMultilevel"/>
    <w:tmpl w:val="7486A3C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15:restartNumberingAfterBreak="0">
    <w:nsid w:val="620101A4"/>
    <w:multiLevelType w:val="hybridMultilevel"/>
    <w:tmpl w:val="717C38BE"/>
    <w:lvl w:ilvl="0" w:tplc="FFFFFFFF">
      <w:start w:val="1"/>
      <w:numFmt w:val="lowerRoman"/>
      <w:lvlText w:val="%1)"/>
      <w:lvlJc w:val="left"/>
      <w:pPr>
        <w:ind w:left="1429" w:hanging="720"/>
      </w:pPr>
      <w:rPr>
        <w:rFonts w:ascii="Verdana" w:eastAsia="Calibri" w:hAnsi="Verdana" w:cs="Arial"/>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9" w15:restartNumberingAfterBreak="0">
    <w:nsid w:val="6F9B4C89"/>
    <w:multiLevelType w:val="hybridMultilevel"/>
    <w:tmpl w:val="AFD86F96"/>
    <w:lvl w:ilvl="0" w:tplc="C2E8C748">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0" w15:restartNumberingAfterBreak="0">
    <w:nsid w:val="77681820"/>
    <w:multiLevelType w:val="hybridMultilevel"/>
    <w:tmpl w:val="978A042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15:restartNumberingAfterBreak="0">
    <w:nsid w:val="7DD23916"/>
    <w:multiLevelType w:val="multilevel"/>
    <w:tmpl w:val="89F2A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330140246">
    <w:abstractNumId w:val="0"/>
  </w:num>
  <w:num w:numId="2" w16cid:durableId="1492209491">
    <w:abstractNumId w:val="5"/>
  </w:num>
  <w:num w:numId="3" w16cid:durableId="679089576">
    <w:abstractNumId w:val="8"/>
  </w:num>
  <w:num w:numId="4" w16cid:durableId="893472101">
    <w:abstractNumId w:val="2"/>
  </w:num>
  <w:num w:numId="5" w16cid:durableId="1982299905">
    <w:abstractNumId w:val="21"/>
  </w:num>
  <w:num w:numId="6" w16cid:durableId="130758360">
    <w:abstractNumId w:val="11"/>
  </w:num>
  <w:num w:numId="7" w16cid:durableId="262541512">
    <w:abstractNumId w:val="20"/>
  </w:num>
  <w:num w:numId="8" w16cid:durableId="1947226218">
    <w:abstractNumId w:val="7"/>
  </w:num>
  <w:num w:numId="9" w16cid:durableId="1180706126">
    <w:abstractNumId w:val="10"/>
  </w:num>
  <w:num w:numId="10" w16cid:durableId="2097506960">
    <w:abstractNumId w:val="17"/>
  </w:num>
  <w:num w:numId="11" w16cid:durableId="1977490869">
    <w:abstractNumId w:val="15"/>
  </w:num>
  <w:num w:numId="12" w16cid:durableId="158663248">
    <w:abstractNumId w:val="14"/>
  </w:num>
  <w:num w:numId="13" w16cid:durableId="2024085788">
    <w:abstractNumId w:val="1"/>
  </w:num>
  <w:num w:numId="14" w16cid:durableId="1885099950">
    <w:abstractNumId w:val="6"/>
  </w:num>
  <w:num w:numId="15" w16cid:durableId="32047459">
    <w:abstractNumId w:val="3"/>
  </w:num>
  <w:num w:numId="16" w16cid:durableId="1192261824">
    <w:abstractNumId w:val="4"/>
  </w:num>
  <w:num w:numId="17" w16cid:durableId="375933272">
    <w:abstractNumId w:val="9"/>
  </w:num>
  <w:num w:numId="18" w16cid:durableId="610939998">
    <w:abstractNumId w:val="18"/>
  </w:num>
  <w:num w:numId="19" w16cid:durableId="456604943">
    <w:abstractNumId w:val="16"/>
  </w:num>
  <w:num w:numId="20" w16cid:durableId="999042847">
    <w:abstractNumId w:val="12"/>
  </w:num>
  <w:num w:numId="21" w16cid:durableId="742532337">
    <w:abstractNumId w:val="13"/>
  </w:num>
  <w:num w:numId="22" w16cid:durableId="556209593">
    <w:abstractNumId w:val="8"/>
  </w:num>
  <w:num w:numId="23" w16cid:durableId="31425990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448"/>
    <w:rsid w:val="00001B12"/>
    <w:rsid w:val="00001B99"/>
    <w:rsid w:val="00001E39"/>
    <w:rsid w:val="00002920"/>
    <w:rsid w:val="00002D55"/>
    <w:rsid w:val="0000399A"/>
    <w:rsid w:val="00005225"/>
    <w:rsid w:val="000054DB"/>
    <w:rsid w:val="00005812"/>
    <w:rsid w:val="0000587D"/>
    <w:rsid w:val="000059AE"/>
    <w:rsid w:val="00005BB0"/>
    <w:rsid w:val="00006F59"/>
    <w:rsid w:val="00007382"/>
    <w:rsid w:val="0001025F"/>
    <w:rsid w:val="0001155E"/>
    <w:rsid w:val="00011613"/>
    <w:rsid w:val="00011D3C"/>
    <w:rsid w:val="0001222D"/>
    <w:rsid w:val="00012679"/>
    <w:rsid w:val="00012EDA"/>
    <w:rsid w:val="00013B3F"/>
    <w:rsid w:val="00014981"/>
    <w:rsid w:val="00014B0D"/>
    <w:rsid w:val="00016280"/>
    <w:rsid w:val="0001672C"/>
    <w:rsid w:val="00016F04"/>
    <w:rsid w:val="00017870"/>
    <w:rsid w:val="00021068"/>
    <w:rsid w:val="00021595"/>
    <w:rsid w:val="000219D1"/>
    <w:rsid w:val="00021C3A"/>
    <w:rsid w:val="0002202D"/>
    <w:rsid w:val="00022088"/>
    <w:rsid w:val="00022C23"/>
    <w:rsid w:val="00023DF7"/>
    <w:rsid w:val="0002412A"/>
    <w:rsid w:val="00024A0F"/>
    <w:rsid w:val="000267DD"/>
    <w:rsid w:val="000273EA"/>
    <w:rsid w:val="00027B63"/>
    <w:rsid w:val="00027CA9"/>
    <w:rsid w:val="00030B3D"/>
    <w:rsid w:val="00030BC5"/>
    <w:rsid w:val="00030BFB"/>
    <w:rsid w:val="00031DA1"/>
    <w:rsid w:val="00031EAF"/>
    <w:rsid w:val="00033390"/>
    <w:rsid w:val="00034B01"/>
    <w:rsid w:val="000361EA"/>
    <w:rsid w:val="000369C0"/>
    <w:rsid w:val="0003731A"/>
    <w:rsid w:val="00037A8B"/>
    <w:rsid w:val="00040372"/>
    <w:rsid w:val="000408AD"/>
    <w:rsid w:val="00041469"/>
    <w:rsid w:val="0004180C"/>
    <w:rsid w:val="000419D7"/>
    <w:rsid w:val="00042DD7"/>
    <w:rsid w:val="000442CC"/>
    <w:rsid w:val="000442DE"/>
    <w:rsid w:val="00044B24"/>
    <w:rsid w:val="0004508D"/>
    <w:rsid w:val="0004709D"/>
    <w:rsid w:val="000504AA"/>
    <w:rsid w:val="0005086B"/>
    <w:rsid w:val="00050C95"/>
    <w:rsid w:val="00050CAD"/>
    <w:rsid w:val="0005142D"/>
    <w:rsid w:val="00051A3C"/>
    <w:rsid w:val="00051BE4"/>
    <w:rsid w:val="00051E96"/>
    <w:rsid w:val="000526A8"/>
    <w:rsid w:val="00052EF1"/>
    <w:rsid w:val="0005420B"/>
    <w:rsid w:val="000548F8"/>
    <w:rsid w:val="000551CB"/>
    <w:rsid w:val="0005620B"/>
    <w:rsid w:val="00057392"/>
    <w:rsid w:val="000577A2"/>
    <w:rsid w:val="000577D3"/>
    <w:rsid w:val="00057963"/>
    <w:rsid w:val="000579AB"/>
    <w:rsid w:val="00060AE4"/>
    <w:rsid w:val="000622B9"/>
    <w:rsid w:val="0006377C"/>
    <w:rsid w:val="00063B4B"/>
    <w:rsid w:val="00064721"/>
    <w:rsid w:val="00064D60"/>
    <w:rsid w:val="00065973"/>
    <w:rsid w:val="00065C6D"/>
    <w:rsid w:val="000663AC"/>
    <w:rsid w:val="000665D3"/>
    <w:rsid w:val="00066646"/>
    <w:rsid w:val="00066C7A"/>
    <w:rsid w:val="00066CF1"/>
    <w:rsid w:val="0007144A"/>
    <w:rsid w:val="000716AB"/>
    <w:rsid w:val="00071AB8"/>
    <w:rsid w:val="0007243A"/>
    <w:rsid w:val="000762C0"/>
    <w:rsid w:val="00076436"/>
    <w:rsid w:val="00076737"/>
    <w:rsid w:val="00076C2B"/>
    <w:rsid w:val="00076C73"/>
    <w:rsid w:val="00076F81"/>
    <w:rsid w:val="000779DE"/>
    <w:rsid w:val="000800B6"/>
    <w:rsid w:val="00080FBF"/>
    <w:rsid w:val="00081B03"/>
    <w:rsid w:val="000847A0"/>
    <w:rsid w:val="00084BFD"/>
    <w:rsid w:val="0008503D"/>
    <w:rsid w:val="00087073"/>
    <w:rsid w:val="0008739A"/>
    <w:rsid w:val="000875BD"/>
    <w:rsid w:val="000878E7"/>
    <w:rsid w:val="00087A3B"/>
    <w:rsid w:val="00087C01"/>
    <w:rsid w:val="000903E4"/>
    <w:rsid w:val="000906E3"/>
    <w:rsid w:val="000918A6"/>
    <w:rsid w:val="00091D73"/>
    <w:rsid w:val="000933B5"/>
    <w:rsid w:val="000933BC"/>
    <w:rsid w:val="00093544"/>
    <w:rsid w:val="00093D95"/>
    <w:rsid w:val="00094663"/>
    <w:rsid w:val="00095410"/>
    <w:rsid w:val="00095E48"/>
    <w:rsid w:val="00096637"/>
    <w:rsid w:val="0009726B"/>
    <w:rsid w:val="00097285"/>
    <w:rsid w:val="000975EA"/>
    <w:rsid w:val="000A021A"/>
    <w:rsid w:val="000A1828"/>
    <w:rsid w:val="000A1D06"/>
    <w:rsid w:val="000A1F38"/>
    <w:rsid w:val="000A2030"/>
    <w:rsid w:val="000A3202"/>
    <w:rsid w:val="000A37F5"/>
    <w:rsid w:val="000A413A"/>
    <w:rsid w:val="000A4F1E"/>
    <w:rsid w:val="000A5881"/>
    <w:rsid w:val="000A66A1"/>
    <w:rsid w:val="000A69FB"/>
    <w:rsid w:val="000B1087"/>
    <w:rsid w:val="000B199A"/>
    <w:rsid w:val="000B1FF7"/>
    <w:rsid w:val="000B2529"/>
    <w:rsid w:val="000B2B7C"/>
    <w:rsid w:val="000B377E"/>
    <w:rsid w:val="000B381D"/>
    <w:rsid w:val="000B3DD4"/>
    <w:rsid w:val="000B4024"/>
    <w:rsid w:val="000B44BA"/>
    <w:rsid w:val="000B5311"/>
    <w:rsid w:val="000B5313"/>
    <w:rsid w:val="000B5C65"/>
    <w:rsid w:val="000B6BE9"/>
    <w:rsid w:val="000B7C9B"/>
    <w:rsid w:val="000C02AD"/>
    <w:rsid w:val="000C060A"/>
    <w:rsid w:val="000C07B0"/>
    <w:rsid w:val="000C09DF"/>
    <w:rsid w:val="000C0AA8"/>
    <w:rsid w:val="000C18BD"/>
    <w:rsid w:val="000C1FC8"/>
    <w:rsid w:val="000C36E1"/>
    <w:rsid w:val="000C42A9"/>
    <w:rsid w:val="000C42C6"/>
    <w:rsid w:val="000C50D6"/>
    <w:rsid w:val="000C557B"/>
    <w:rsid w:val="000C5A85"/>
    <w:rsid w:val="000C5F29"/>
    <w:rsid w:val="000C5F48"/>
    <w:rsid w:val="000C66BF"/>
    <w:rsid w:val="000D0372"/>
    <w:rsid w:val="000D0ADE"/>
    <w:rsid w:val="000D1A8F"/>
    <w:rsid w:val="000D2914"/>
    <w:rsid w:val="000D2E60"/>
    <w:rsid w:val="000D2F50"/>
    <w:rsid w:val="000D3275"/>
    <w:rsid w:val="000D3A1B"/>
    <w:rsid w:val="000D3B86"/>
    <w:rsid w:val="000D5008"/>
    <w:rsid w:val="000D570C"/>
    <w:rsid w:val="000D5A0F"/>
    <w:rsid w:val="000D5B1E"/>
    <w:rsid w:val="000D5D9B"/>
    <w:rsid w:val="000D5E3F"/>
    <w:rsid w:val="000D5F94"/>
    <w:rsid w:val="000D6532"/>
    <w:rsid w:val="000D68D4"/>
    <w:rsid w:val="000D6E33"/>
    <w:rsid w:val="000E0622"/>
    <w:rsid w:val="000E07AA"/>
    <w:rsid w:val="000E1D6F"/>
    <w:rsid w:val="000E2420"/>
    <w:rsid w:val="000E2D0D"/>
    <w:rsid w:val="000E3381"/>
    <w:rsid w:val="000E3744"/>
    <w:rsid w:val="000E3CD9"/>
    <w:rsid w:val="000E481D"/>
    <w:rsid w:val="000E4DBF"/>
    <w:rsid w:val="000E4DF2"/>
    <w:rsid w:val="000E77CC"/>
    <w:rsid w:val="000F0144"/>
    <w:rsid w:val="000F0807"/>
    <w:rsid w:val="000F080D"/>
    <w:rsid w:val="000F0B3C"/>
    <w:rsid w:val="000F13D5"/>
    <w:rsid w:val="000F1AD8"/>
    <w:rsid w:val="000F2F4C"/>
    <w:rsid w:val="000F38D9"/>
    <w:rsid w:val="000F3CED"/>
    <w:rsid w:val="000F414C"/>
    <w:rsid w:val="000F64FC"/>
    <w:rsid w:val="000F696E"/>
    <w:rsid w:val="000F6C10"/>
    <w:rsid w:val="000F718E"/>
    <w:rsid w:val="001001F2"/>
    <w:rsid w:val="00100207"/>
    <w:rsid w:val="001003C6"/>
    <w:rsid w:val="00100682"/>
    <w:rsid w:val="001010D3"/>
    <w:rsid w:val="0010144A"/>
    <w:rsid w:val="00101C11"/>
    <w:rsid w:val="00102F4F"/>
    <w:rsid w:val="001034DD"/>
    <w:rsid w:val="00104425"/>
    <w:rsid w:val="00104B4C"/>
    <w:rsid w:val="001055A2"/>
    <w:rsid w:val="00106502"/>
    <w:rsid w:val="0010682A"/>
    <w:rsid w:val="00106C4C"/>
    <w:rsid w:val="00107DEF"/>
    <w:rsid w:val="00107F47"/>
    <w:rsid w:val="0011037E"/>
    <w:rsid w:val="00110404"/>
    <w:rsid w:val="001109E8"/>
    <w:rsid w:val="00110F73"/>
    <w:rsid w:val="00111E35"/>
    <w:rsid w:val="001128B4"/>
    <w:rsid w:val="00112EBD"/>
    <w:rsid w:val="001132C2"/>
    <w:rsid w:val="0011382D"/>
    <w:rsid w:val="00113AF2"/>
    <w:rsid w:val="00113C17"/>
    <w:rsid w:val="00114051"/>
    <w:rsid w:val="00114973"/>
    <w:rsid w:val="00114CFF"/>
    <w:rsid w:val="00114FDF"/>
    <w:rsid w:val="0011650B"/>
    <w:rsid w:val="00116616"/>
    <w:rsid w:val="00116FC5"/>
    <w:rsid w:val="00117163"/>
    <w:rsid w:val="00117BBD"/>
    <w:rsid w:val="001202DF"/>
    <w:rsid w:val="00120F1B"/>
    <w:rsid w:val="001213E7"/>
    <w:rsid w:val="001224BA"/>
    <w:rsid w:val="00122EA2"/>
    <w:rsid w:val="001238BC"/>
    <w:rsid w:val="00123AC4"/>
    <w:rsid w:val="00124518"/>
    <w:rsid w:val="001248AB"/>
    <w:rsid w:val="00124981"/>
    <w:rsid w:val="00124B2E"/>
    <w:rsid w:val="001256A1"/>
    <w:rsid w:val="00125D81"/>
    <w:rsid w:val="00126301"/>
    <w:rsid w:val="0012661F"/>
    <w:rsid w:val="001266A0"/>
    <w:rsid w:val="00126966"/>
    <w:rsid w:val="001269B0"/>
    <w:rsid w:val="00126B24"/>
    <w:rsid w:val="00127234"/>
    <w:rsid w:val="001276C4"/>
    <w:rsid w:val="00127C68"/>
    <w:rsid w:val="00127D5B"/>
    <w:rsid w:val="00131373"/>
    <w:rsid w:val="001314A0"/>
    <w:rsid w:val="00131A1F"/>
    <w:rsid w:val="00131A66"/>
    <w:rsid w:val="00131F9C"/>
    <w:rsid w:val="00132336"/>
    <w:rsid w:val="00132425"/>
    <w:rsid w:val="0013280A"/>
    <w:rsid w:val="001332B6"/>
    <w:rsid w:val="0013343F"/>
    <w:rsid w:val="001344F9"/>
    <w:rsid w:val="00134F37"/>
    <w:rsid w:val="00135F76"/>
    <w:rsid w:val="001360E9"/>
    <w:rsid w:val="001360F4"/>
    <w:rsid w:val="001363C7"/>
    <w:rsid w:val="00136E87"/>
    <w:rsid w:val="00137994"/>
    <w:rsid w:val="00140793"/>
    <w:rsid w:val="001422BD"/>
    <w:rsid w:val="0014286D"/>
    <w:rsid w:val="00143B8E"/>
    <w:rsid w:val="00143F21"/>
    <w:rsid w:val="0014420C"/>
    <w:rsid w:val="0014456B"/>
    <w:rsid w:val="001446C3"/>
    <w:rsid w:val="001461A7"/>
    <w:rsid w:val="00146946"/>
    <w:rsid w:val="00146E7C"/>
    <w:rsid w:val="00147B24"/>
    <w:rsid w:val="00150492"/>
    <w:rsid w:val="001513CE"/>
    <w:rsid w:val="00151465"/>
    <w:rsid w:val="00151AD8"/>
    <w:rsid w:val="00151D67"/>
    <w:rsid w:val="00151E77"/>
    <w:rsid w:val="00153287"/>
    <w:rsid w:val="001533E6"/>
    <w:rsid w:val="00153479"/>
    <w:rsid w:val="001538BE"/>
    <w:rsid w:val="00153C33"/>
    <w:rsid w:val="00155198"/>
    <w:rsid w:val="00155EF1"/>
    <w:rsid w:val="00156192"/>
    <w:rsid w:val="00156E57"/>
    <w:rsid w:val="0015710D"/>
    <w:rsid w:val="00157338"/>
    <w:rsid w:val="00157CE5"/>
    <w:rsid w:val="00157DEB"/>
    <w:rsid w:val="00160CE5"/>
    <w:rsid w:val="001610BC"/>
    <w:rsid w:val="00161847"/>
    <w:rsid w:val="00161E13"/>
    <w:rsid w:val="001629D8"/>
    <w:rsid w:val="00162B2A"/>
    <w:rsid w:val="00162B43"/>
    <w:rsid w:val="00162B8D"/>
    <w:rsid w:val="00162F9F"/>
    <w:rsid w:val="00164803"/>
    <w:rsid w:val="00164AE0"/>
    <w:rsid w:val="00165BF5"/>
    <w:rsid w:val="0016646A"/>
    <w:rsid w:val="001666F3"/>
    <w:rsid w:val="00166AF7"/>
    <w:rsid w:val="00167C43"/>
    <w:rsid w:val="001706C9"/>
    <w:rsid w:val="0017120C"/>
    <w:rsid w:val="0017150D"/>
    <w:rsid w:val="001727D7"/>
    <w:rsid w:val="0017298F"/>
    <w:rsid w:val="00172C96"/>
    <w:rsid w:val="00172DDC"/>
    <w:rsid w:val="00172F3A"/>
    <w:rsid w:val="00172FC3"/>
    <w:rsid w:val="00173477"/>
    <w:rsid w:val="0017414F"/>
    <w:rsid w:val="0017432C"/>
    <w:rsid w:val="00174636"/>
    <w:rsid w:val="00174735"/>
    <w:rsid w:val="0017481D"/>
    <w:rsid w:val="00174B1B"/>
    <w:rsid w:val="00174BD8"/>
    <w:rsid w:val="00174D51"/>
    <w:rsid w:val="001750BC"/>
    <w:rsid w:val="001765BB"/>
    <w:rsid w:val="0017667E"/>
    <w:rsid w:val="001766D3"/>
    <w:rsid w:val="00176AE8"/>
    <w:rsid w:val="00176E76"/>
    <w:rsid w:val="00177570"/>
    <w:rsid w:val="00177E95"/>
    <w:rsid w:val="0018007F"/>
    <w:rsid w:val="001811FC"/>
    <w:rsid w:val="00182338"/>
    <w:rsid w:val="00182348"/>
    <w:rsid w:val="00183F50"/>
    <w:rsid w:val="00184BD9"/>
    <w:rsid w:val="00184ED6"/>
    <w:rsid w:val="00184F13"/>
    <w:rsid w:val="00184FD9"/>
    <w:rsid w:val="001850B3"/>
    <w:rsid w:val="00185830"/>
    <w:rsid w:val="00186037"/>
    <w:rsid w:val="00186AE4"/>
    <w:rsid w:val="00186D14"/>
    <w:rsid w:val="001876D8"/>
    <w:rsid w:val="00187B74"/>
    <w:rsid w:val="00190325"/>
    <w:rsid w:val="00190391"/>
    <w:rsid w:val="0019151E"/>
    <w:rsid w:val="00191593"/>
    <w:rsid w:val="001918F1"/>
    <w:rsid w:val="0019196E"/>
    <w:rsid w:val="00191FF5"/>
    <w:rsid w:val="001926D7"/>
    <w:rsid w:val="00192CCE"/>
    <w:rsid w:val="0019385B"/>
    <w:rsid w:val="00193F1C"/>
    <w:rsid w:val="001945D4"/>
    <w:rsid w:val="001948F5"/>
    <w:rsid w:val="00194958"/>
    <w:rsid w:val="00196359"/>
    <w:rsid w:val="00197205"/>
    <w:rsid w:val="00197632"/>
    <w:rsid w:val="0019793F"/>
    <w:rsid w:val="00197A9D"/>
    <w:rsid w:val="001A06A0"/>
    <w:rsid w:val="001A08E7"/>
    <w:rsid w:val="001A17D7"/>
    <w:rsid w:val="001A1FDD"/>
    <w:rsid w:val="001A2D8F"/>
    <w:rsid w:val="001A3D89"/>
    <w:rsid w:val="001A5458"/>
    <w:rsid w:val="001A545B"/>
    <w:rsid w:val="001A54DA"/>
    <w:rsid w:val="001A5E69"/>
    <w:rsid w:val="001A6861"/>
    <w:rsid w:val="001A6FEC"/>
    <w:rsid w:val="001A78AA"/>
    <w:rsid w:val="001B08B5"/>
    <w:rsid w:val="001B10F5"/>
    <w:rsid w:val="001B143B"/>
    <w:rsid w:val="001B1532"/>
    <w:rsid w:val="001B1777"/>
    <w:rsid w:val="001B19C5"/>
    <w:rsid w:val="001B1B6D"/>
    <w:rsid w:val="001B1C93"/>
    <w:rsid w:val="001B21CA"/>
    <w:rsid w:val="001B28D5"/>
    <w:rsid w:val="001B28E4"/>
    <w:rsid w:val="001B2C4A"/>
    <w:rsid w:val="001B35D4"/>
    <w:rsid w:val="001B3C44"/>
    <w:rsid w:val="001B4446"/>
    <w:rsid w:val="001B4A40"/>
    <w:rsid w:val="001B50E6"/>
    <w:rsid w:val="001B5A00"/>
    <w:rsid w:val="001B5F59"/>
    <w:rsid w:val="001B63A7"/>
    <w:rsid w:val="001B6810"/>
    <w:rsid w:val="001B6E89"/>
    <w:rsid w:val="001B73E0"/>
    <w:rsid w:val="001B7B33"/>
    <w:rsid w:val="001C0125"/>
    <w:rsid w:val="001C1074"/>
    <w:rsid w:val="001C21C8"/>
    <w:rsid w:val="001C25F5"/>
    <w:rsid w:val="001C34D0"/>
    <w:rsid w:val="001C4249"/>
    <w:rsid w:val="001C46E3"/>
    <w:rsid w:val="001C4F27"/>
    <w:rsid w:val="001C6573"/>
    <w:rsid w:val="001C7D03"/>
    <w:rsid w:val="001D00BE"/>
    <w:rsid w:val="001D02C6"/>
    <w:rsid w:val="001D079B"/>
    <w:rsid w:val="001D0D32"/>
    <w:rsid w:val="001D17C9"/>
    <w:rsid w:val="001D1AB9"/>
    <w:rsid w:val="001D1F20"/>
    <w:rsid w:val="001D3017"/>
    <w:rsid w:val="001D3323"/>
    <w:rsid w:val="001D3566"/>
    <w:rsid w:val="001D3795"/>
    <w:rsid w:val="001D4006"/>
    <w:rsid w:val="001D543C"/>
    <w:rsid w:val="001D54BD"/>
    <w:rsid w:val="001D5C72"/>
    <w:rsid w:val="001D626E"/>
    <w:rsid w:val="001D733B"/>
    <w:rsid w:val="001D7674"/>
    <w:rsid w:val="001D7736"/>
    <w:rsid w:val="001E0902"/>
    <w:rsid w:val="001E13E5"/>
    <w:rsid w:val="001E1801"/>
    <w:rsid w:val="001E1C73"/>
    <w:rsid w:val="001E1E05"/>
    <w:rsid w:val="001E22D2"/>
    <w:rsid w:val="001E2343"/>
    <w:rsid w:val="001E2463"/>
    <w:rsid w:val="001E3A17"/>
    <w:rsid w:val="001E3FCB"/>
    <w:rsid w:val="001E52DF"/>
    <w:rsid w:val="001E588A"/>
    <w:rsid w:val="001E6BCB"/>
    <w:rsid w:val="001E783B"/>
    <w:rsid w:val="001E7FBC"/>
    <w:rsid w:val="001F0822"/>
    <w:rsid w:val="001F08CB"/>
    <w:rsid w:val="001F15F6"/>
    <w:rsid w:val="001F179C"/>
    <w:rsid w:val="001F24B7"/>
    <w:rsid w:val="001F2649"/>
    <w:rsid w:val="001F3496"/>
    <w:rsid w:val="001F41CA"/>
    <w:rsid w:val="001F4355"/>
    <w:rsid w:val="001F4819"/>
    <w:rsid w:val="001F48BD"/>
    <w:rsid w:val="001F5034"/>
    <w:rsid w:val="001F5116"/>
    <w:rsid w:val="001F61DE"/>
    <w:rsid w:val="001F7054"/>
    <w:rsid w:val="001F7DB7"/>
    <w:rsid w:val="002000AA"/>
    <w:rsid w:val="00200AD4"/>
    <w:rsid w:val="00200F10"/>
    <w:rsid w:val="00201502"/>
    <w:rsid w:val="0020302A"/>
    <w:rsid w:val="002032A0"/>
    <w:rsid w:val="00203532"/>
    <w:rsid w:val="00203AE0"/>
    <w:rsid w:val="00204106"/>
    <w:rsid w:val="00204109"/>
    <w:rsid w:val="00205041"/>
    <w:rsid w:val="0020524C"/>
    <w:rsid w:val="002059E3"/>
    <w:rsid w:val="002100FF"/>
    <w:rsid w:val="00210B9B"/>
    <w:rsid w:val="002118D1"/>
    <w:rsid w:val="00211DCE"/>
    <w:rsid w:val="00212390"/>
    <w:rsid w:val="00212897"/>
    <w:rsid w:val="00212A0C"/>
    <w:rsid w:val="0021386A"/>
    <w:rsid w:val="00213C44"/>
    <w:rsid w:val="002147EE"/>
    <w:rsid w:val="00215516"/>
    <w:rsid w:val="002159D5"/>
    <w:rsid w:val="00215B64"/>
    <w:rsid w:val="00215C05"/>
    <w:rsid w:val="002161E3"/>
    <w:rsid w:val="00216857"/>
    <w:rsid w:val="00216DF5"/>
    <w:rsid w:val="00216EFA"/>
    <w:rsid w:val="0021798E"/>
    <w:rsid w:val="00217CA1"/>
    <w:rsid w:val="00217DEE"/>
    <w:rsid w:val="002203BF"/>
    <w:rsid w:val="00220C4C"/>
    <w:rsid w:val="00220DAC"/>
    <w:rsid w:val="00220E95"/>
    <w:rsid w:val="002217FE"/>
    <w:rsid w:val="0022180C"/>
    <w:rsid w:val="00221C72"/>
    <w:rsid w:val="002223E1"/>
    <w:rsid w:val="002225AB"/>
    <w:rsid w:val="00222A58"/>
    <w:rsid w:val="002231B0"/>
    <w:rsid w:val="002250D1"/>
    <w:rsid w:val="00225549"/>
    <w:rsid w:val="002267D2"/>
    <w:rsid w:val="00230839"/>
    <w:rsid w:val="00230EE8"/>
    <w:rsid w:val="00231ADB"/>
    <w:rsid w:val="00232178"/>
    <w:rsid w:val="00232248"/>
    <w:rsid w:val="00232D12"/>
    <w:rsid w:val="00233616"/>
    <w:rsid w:val="00233975"/>
    <w:rsid w:val="00233B8C"/>
    <w:rsid w:val="002353E3"/>
    <w:rsid w:val="00235CC0"/>
    <w:rsid w:val="00235F30"/>
    <w:rsid w:val="00236287"/>
    <w:rsid w:val="002363FF"/>
    <w:rsid w:val="00236758"/>
    <w:rsid w:val="00236D10"/>
    <w:rsid w:val="002407CE"/>
    <w:rsid w:val="00240E6B"/>
    <w:rsid w:val="00242325"/>
    <w:rsid w:val="00243A38"/>
    <w:rsid w:val="0024474F"/>
    <w:rsid w:val="00244761"/>
    <w:rsid w:val="002450F2"/>
    <w:rsid w:val="0024555C"/>
    <w:rsid w:val="00245B7F"/>
    <w:rsid w:val="002469C2"/>
    <w:rsid w:val="00247BDE"/>
    <w:rsid w:val="00247DE2"/>
    <w:rsid w:val="002505DE"/>
    <w:rsid w:val="00250758"/>
    <w:rsid w:val="002514FA"/>
    <w:rsid w:val="00251DAF"/>
    <w:rsid w:val="00252503"/>
    <w:rsid w:val="00252ED7"/>
    <w:rsid w:val="0025393C"/>
    <w:rsid w:val="002549E7"/>
    <w:rsid w:val="00254A7A"/>
    <w:rsid w:val="00254EA4"/>
    <w:rsid w:val="0025509C"/>
    <w:rsid w:val="002552F8"/>
    <w:rsid w:val="0025575F"/>
    <w:rsid w:val="002571E3"/>
    <w:rsid w:val="00260496"/>
    <w:rsid w:val="00260542"/>
    <w:rsid w:val="00260BAD"/>
    <w:rsid w:val="0026224C"/>
    <w:rsid w:val="00263654"/>
    <w:rsid w:val="00264C7C"/>
    <w:rsid w:val="00266060"/>
    <w:rsid w:val="0026650F"/>
    <w:rsid w:val="00266C60"/>
    <w:rsid w:val="00266DC3"/>
    <w:rsid w:val="0027029D"/>
    <w:rsid w:val="00270443"/>
    <w:rsid w:val="00270EE2"/>
    <w:rsid w:val="0027138C"/>
    <w:rsid w:val="0027165A"/>
    <w:rsid w:val="00272787"/>
    <w:rsid w:val="00272826"/>
    <w:rsid w:val="00272A7B"/>
    <w:rsid w:val="00272C44"/>
    <w:rsid w:val="00272DEF"/>
    <w:rsid w:val="00272F05"/>
    <w:rsid w:val="00273527"/>
    <w:rsid w:val="00273F6B"/>
    <w:rsid w:val="002747EF"/>
    <w:rsid w:val="00274B06"/>
    <w:rsid w:val="002751D6"/>
    <w:rsid w:val="002754D3"/>
    <w:rsid w:val="00276944"/>
    <w:rsid w:val="00276964"/>
    <w:rsid w:val="002769AE"/>
    <w:rsid w:val="00277588"/>
    <w:rsid w:val="002817A6"/>
    <w:rsid w:val="002821E8"/>
    <w:rsid w:val="002826CA"/>
    <w:rsid w:val="00282F1D"/>
    <w:rsid w:val="00283215"/>
    <w:rsid w:val="002833F3"/>
    <w:rsid w:val="00283CCE"/>
    <w:rsid w:val="00284203"/>
    <w:rsid w:val="00285237"/>
    <w:rsid w:val="00285A8B"/>
    <w:rsid w:val="00285E3F"/>
    <w:rsid w:val="0028610D"/>
    <w:rsid w:val="002862CC"/>
    <w:rsid w:val="00286BFE"/>
    <w:rsid w:val="00286C81"/>
    <w:rsid w:val="0028703E"/>
    <w:rsid w:val="0028709F"/>
    <w:rsid w:val="0028717B"/>
    <w:rsid w:val="00287379"/>
    <w:rsid w:val="00287524"/>
    <w:rsid w:val="00290119"/>
    <w:rsid w:val="0029040D"/>
    <w:rsid w:val="0029071B"/>
    <w:rsid w:val="002908F8"/>
    <w:rsid w:val="00290A53"/>
    <w:rsid w:val="00290B64"/>
    <w:rsid w:val="00291CB7"/>
    <w:rsid w:val="00292E91"/>
    <w:rsid w:val="002930AD"/>
    <w:rsid w:val="00293254"/>
    <w:rsid w:val="00295002"/>
    <w:rsid w:val="0029568E"/>
    <w:rsid w:val="00295E8C"/>
    <w:rsid w:val="002971C7"/>
    <w:rsid w:val="002971F2"/>
    <w:rsid w:val="00297785"/>
    <w:rsid w:val="00297845"/>
    <w:rsid w:val="00297E05"/>
    <w:rsid w:val="002A0444"/>
    <w:rsid w:val="002A0F8D"/>
    <w:rsid w:val="002A1311"/>
    <w:rsid w:val="002A1377"/>
    <w:rsid w:val="002A211A"/>
    <w:rsid w:val="002A264B"/>
    <w:rsid w:val="002A38DF"/>
    <w:rsid w:val="002A3991"/>
    <w:rsid w:val="002A4A82"/>
    <w:rsid w:val="002A4B33"/>
    <w:rsid w:val="002A4C00"/>
    <w:rsid w:val="002A5311"/>
    <w:rsid w:val="002A5863"/>
    <w:rsid w:val="002A6B31"/>
    <w:rsid w:val="002A6E9B"/>
    <w:rsid w:val="002A6FBB"/>
    <w:rsid w:val="002B05D1"/>
    <w:rsid w:val="002B1933"/>
    <w:rsid w:val="002B20BD"/>
    <w:rsid w:val="002B2611"/>
    <w:rsid w:val="002B27D8"/>
    <w:rsid w:val="002B38D2"/>
    <w:rsid w:val="002B3A46"/>
    <w:rsid w:val="002B3F1C"/>
    <w:rsid w:val="002B401B"/>
    <w:rsid w:val="002B4ED9"/>
    <w:rsid w:val="002B4EF4"/>
    <w:rsid w:val="002B4EFB"/>
    <w:rsid w:val="002B58C5"/>
    <w:rsid w:val="002B5BA5"/>
    <w:rsid w:val="002B6CA2"/>
    <w:rsid w:val="002B6E44"/>
    <w:rsid w:val="002B6E8A"/>
    <w:rsid w:val="002B726F"/>
    <w:rsid w:val="002B744E"/>
    <w:rsid w:val="002B7909"/>
    <w:rsid w:val="002C000B"/>
    <w:rsid w:val="002C016F"/>
    <w:rsid w:val="002C09A8"/>
    <w:rsid w:val="002C103C"/>
    <w:rsid w:val="002C1109"/>
    <w:rsid w:val="002C12C7"/>
    <w:rsid w:val="002C1E93"/>
    <w:rsid w:val="002C29EB"/>
    <w:rsid w:val="002C30F0"/>
    <w:rsid w:val="002C401A"/>
    <w:rsid w:val="002C479B"/>
    <w:rsid w:val="002C532B"/>
    <w:rsid w:val="002C676E"/>
    <w:rsid w:val="002C6D15"/>
    <w:rsid w:val="002C72F4"/>
    <w:rsid w:val="002C7E5B"/>
    <w:rsid w:val="002D0907"/>
    <w:rsid w:val="002D0E9E"/>
    <w:rsid w:val="002D1381"/>
    <w:rsid w:val="002D2D68"/>
    <w:rsid w:val="002D2F69"/>
    <w:rsid w:val="002D3067"/>
    <w:rsid w:val="002D38D9"/>
    <w:rsid w:val="002D3CE3"/>
    <w:rsid w:val="002D4298"/>
    <w:rsid w:val="002D47E8"/>
    <w:rsid w:val="002D4FCC"/>
    <w:rsid w:val="002D5FD5"/>
    <w:rsid w:val="002D68F4"/>
    <w:rsid w:val="002D6A81"/>
    <w:rsid w:val="002D7417"/>
    <w:rsid w:val="002D782B"/>
    <w:rsid w:val="002E00AD"/>
    <w:rsid w:val="002E0D9C"/>
    <w:rsid w:val="002E1247"/>
    <w:rsid w:val="002E26E8"/>
    <w:rsid w:val="002E2D43"/>
    <w:rsid w:val="002E3DD8"/>
    <w:rsid w:val="002E3ED8"/>
    <w:rsid w:val="002E3F15"/>
    <w:rsid w:val="002E5A01"/>
    <w:rsid w:val="002E5EA3"/>
    <w:rsid w:val="002E717C"/>
    <w:rsid w:val="002E7533"/>
    <w:rsid w:val="002E7A61"/>
    <w:rsid w:val="002F00B8"/>
    <w:rsid w:val="002F0106"/>
    <w:rsid w:val="002F03C8"/>
    <w:rsid w:val="002F0C24"/>
    <w:rsid w:val="002F182B"/>
    <w:rsid w:val="002F188D"/>
    <w:rsid w:val="002F18A5"/>
    <w:rsid w:val="002F26F3"/>
    <w:rsid w:val="002F317F"/>
    <w:rsid w:val="002F34EE"/>
    <w:rsid w:val="002F51A2"/>
    <w:rsid w:val="002F5304"/>
    <w:rsid w:val="002F5BA8"/>
    <w:rsid w:val="002F5E95"/>
    <w:rsid w:val="002F63CA"/>
    <w:rsid w:val="002F67B4"/>
    <w:rsid w:val="002F6A5D"/>
    <w:rsid w:val="002F6F73"/>
    <w:rsid w:val="002F7AA9"/>
    <w:rsid w:val="003004E3"/>
    <w:rsid w:val="00301C0D"/>
    <w:rsid w:val="00301D7B"/>
    <w:rsid w:val="00301E19"/>
    <w:rsid w:val="003023DE"/>
    <w:rsid w:val="00303A48"/>
    <w:rsid w:val="00303DC4"/>
    <w:rsid w:val="00304676"/>
    <w:rsid w:val="00306BE7"/>
    <w:rsid w:val="003110A2"/>
    <w:rsid w:val="00311B66"/>
    <w:rsid w:val="00311F29"/>
    <w:rsid w:val="003128E7"/>
    <w:rsid w:val="00314036"/>
    <w:rsid w:val="00314347"/>
    <w:rsid w:val="00314C4F"/>
    <w:rsid w:val="00314E81"/>
    <w:rsid w:val="00314FAF"/>
    <w:rsid w:val="003162A5"/>
    <w:rsid w:val="00316591"/>
    <w:rsid w:val="00320C6D"/>
    <w:rsid w:val="00320CBE"/>
    <w:rsid w:val="003213A8"/>
    <w:rsid w:val="00321FA8"/>
    <w:rsid w:val="00321FFD"/>
    <w:rsid w:val="003225AD"/>
    <w:rsid w:val="00322E18"/>
    <w:rsid w:val="00323C3D"/>
    <w:rsid w:val="00323D1D"/>
    <w:rsid w:val="00323D95"/>
    <w:rsid w:val="00323F8A"/>
    <w:rsid w:val="00324D73"/>
    <w:rsid w:val="00326011"/>
    <w:rsid w:val="0032643D"/>
    <w:rsid w:val="00326619"/>
    <w:rsid w:val="00326D02"/>
    <w:rsid w:val="00327069"/>
    <w:rsid w:val="00327557"/>
    <w:rsid w:val="00327812"/>
    <w:rsid w:val="00327AFB"/>
    <w:rsid w:val="00327BAF"/>
    <w:rsid w:val="00327D10"/>
    <w:rsid w:val="00330299"/>
    <w:rsid w:val="00331894"/>
    <w:rsid w:val="00332CB8"/>
    <w:rsid w:val="00333428"/>
    <w:rsid w:val="003350B6"/>
    <w:rsid w:val="0033595E"/>
    <w:rsid w:val="0033601B"/>
    <w:rsid w:val="003364B6"/>
    <w:rsid w:val="0033764C"/>
    <w:rsid w:val="00337DF3"/>
    <w:rsid w:val="00340039"/>
    <w:rsid w:val="003400D3"/>
    <w:rsid w:val="0034024F"/>
    <w:rsid w:val="00340A77"/>
    <w:rsid w:val="00340D39"/>
    <w:rsid w:val="00340DFB"/>
    <w:rsid w:val="003411C7"/>
    <w:rsid w:val="00341941"/>
    <w:rsid w:val="0034207A"/>
    <w:rsid w:val="0034278F"/>
    <w:rsid w:val="00343B47"/>
    <w:rsid w:val="0034404F"/>
    <w:rsid w:val="00344ACC"/>
    <w:rsid w:val="00345F01"/>
    <w:rsid w:val="0034654F"/>
    <w:rsid w:val="00346B28"/>
    <w:rsid w:val="00347685"/>
    <w:rsid w:val="003509A5"/>
    <w:rsid w:val="003515FD"/>
    <w:rsid w:val="003518A4"/>
    <w:rsid w:val="00351E21"/>
    <w:rsid w:val="00351E2C"/>
    <w:rsid w:val="00352327"/>
    <w:rsid w:val="00354062"/>
    <w:rsid w:val="00354405"/>
    <w:rsid w:val="00355A76"/>
    <w:rsid w:val="00355DEC"/>
    <w:rsid w:val="0035635F"/>
    <w:rsid w:val="00356E0F"/>
    <w:rsid w:val="0035700C"/>
    <w:rsid w:val="00357615"/>
    <w:rsid w:val="003607EE"/>
    <w:rsid w:val="00360BC8"/>
    <w:rsid w:val="00360E35"/>
    <w:rsid w:val="003617AE"/>
    <w:rsid w:val="0036215C"/>
    <w:rsid w:val="003630F7"/>
    <w:rsid w:val="0036332B"/>
    <w:rsid w:val="00363589"/>
    <w:rsid w:val="00363636"/>
    <w:rsid w:val="003651AC"/>
    <w:rsid w:val="003653AA"/>
    <w:rsid w:val="00366120"/>
    <w:rsid w:val="003661FF"/>
    <w:rsid w:val="003665A5"/>
    <w:rsid w:val="00366A0C"/>
    <w:rsid w:val="00367238"/>
    <w:rsid w:val="00367462"/>
    <w:rsid w:val="003677D5"/>
    <w:rsid w:val="0037034B"/>
    <w:rsid w:val="00370507"/>
    <w:rsid w:val="00370682"/>
    <w:rsid w:val="00370F0B"/>
    <w:rsid w:val="00371715"/>
    <w:rsid w:val="003718D8"/>
    <w:rsid w:val="00371F19"/>
    <w:rsid w:val="00372A01"/>
    <w:rsid w:val="003733DF"/>
    <w:rsid w:val="00373865"/>
    <w:rsid w:val="003739DA"/>
    <w:rsid w:val="00373CE8"/>
    <w:rsid w:val="00374DB0"/>
    <w:rsid w:val="003751C7"/>
    <w:rsid w:val="00375C84"/>
    <w:rsid w:val="00376524"/>
    <w:rsid w:val="00376E3B"/>
    <w:rsid w:val="003776FE"/>
    <w:rsid w:val="00377973"/>
    <w:rsid w:val="00380424"/>
    <w:rsid w:val="00380868"/>
    <w:rsid w:val="00380B9B"/>
    <w:rsid w:val="003818B3"/>
    <w:rsid w:val="003819F5"/>
    <w:rsid w:val="00381A52"/>
    <w:rsid w:val="00381B57"/>
    <w:rsid w:val="00381D47"/>
    <w:rsid w:val="003821CC"/>
    <w:rsid w:val="003835F0"/>
    <w:rsid w:val="00383E33"/>
    <w:rsid w:val="00384D70"/>
    <w:rsid w:val="003853B1"/>
    <w:rsid w:val="003853ED"/>
    <w:rsid w:val="00385EA0"/>
    <w:rsid w:val="0038628F"/>
    <w:rsid w:val="00386421"/>
    <w:rsid w:val="0038704C"/>
    <w:rsid w:val="00387AA1"/>
    <w:rsid w:val="00387E85"/>
    <w:rsid w:val="003900EA"/>
    <w:rsid w:val="0039082A"/>
    <w:rsid w:val="0039101F"/>
    <w:rsid w:val="00392EDB"/>
    <w:rsid w:val="00392FAE"/>
    <w:rsid w:val="003931AA"/>
    <w:rsid w:val="00393EEE"/>
    <w:rsid w:val="00394D45"/>
    <w:rsid w:val="00395132"/>
    <w:rsid w:val="00395D99"/>
    <w:rsid w:val="003968DF"/>
    <w:rsid w:val="003976C3"/>
    <w:rsid w:val="00397A03"/>
    <w:rsid w:val="00397A64"/>
    <w:rsid w:val="003A099A"/>
    <w:rsid w:val="003A1372"/>
    <w:rsid w:val="003A1D46"/>
    <w:rsid w:val="003A2447"/>
    <w:rsid w:val="003A2B82"/>
    <w:rsid w:val="003A3927"/>
    <w:rsid w:val="003A3D2E"/>
    <w:rsid w:val="003A3FF7"/>
    <w:rsid w:val="003A43D1"/>
    <w:rsid w:val="003A4B49"/>
    <w:rsid w:val="003A6A45"/>
    <w:rsid w:val="003A6A51"/>
    <w:rsid w:val="003A6D8A"/>
    <w:rsid w:val="003A6E29"/>
    <w:rsid w:val="003A7FEA"/>
    <w:rsid w:val="003B0BDB"/>
    <w:rsid w:val="003B0E88"/>
    <w:rsid w:val="003B106E"/>
    <w:rsid w:val="003B153F"/>
    <w:rsid w:val="003B17B0"/>
    <w:rsid w:val="003B1844"/>
    <w:rsid w:val="003B1A5C"/>
    <w:rsid w:val="003B211E"/>
    <w:rsid w:val="003B24EA"/>
    <w:rsid w:val="003B2DA7"/>
    <w:rsid w:val="003B3AB7"/>
    <w:rsid w:val="003B3ABC"/>
    <w:rsid w:val="003B3CDD"/>
    <w:rsid w:val="003B3D8E"/>
    <w:rsid w:val="003B3FED"/>
    <w:rsid w:val="003B3FF1"/>
    <w:rsid w:val="003B4217"/>
    <w:rsid w:val="003B59A1"/>
    <w:rsid w:val="003B6D11"/>
    <w:rsid w:val="003B74F1"/>
    <w:rsid w:val="003B7541"/>
    <w:rsid w:val="003B7966"/>
    <w:rsid w:val="003B7F07"/>
    <w:rsid w:val="003B7FCE"/>
    <w:rsid w:val="003C0F87"/>
    <w:rsid w:val="003C141E"/>
    <w:rsid w:val="003C1B83"/>
    <w:rsid w:val="003C2084"/>
    <w:rsid w:val="003C210E"/>
    <w:rsid w:val="003C21B3"/>
    <w:rsid w:val="003C30AD"/>
    <w:rsid w:val="003C3503"/>
    <w:rsid w:val="003C40DE"/>
    <w:rsid w:val="003C4851"/>
    <w:rsid w:val="003C4C96"/>
    <w:rsid w:val="003C55B7"/>
    <w:rsid w:val="003C55E0"/>
    <w:rsid w:val="003C5E39"/>
    <w:rsid w:val="003C683A"/>
    <w:rsid w:val="003C696B"/>
    <w:rsid w:val="003D0079"/>
    <w:rsid w:val="003D017D"/>
    <w:rsid w:val="003D04D6"/>
    <w:rsid w:val="003D10EC"/>
    <w:rsid w:val="003D28DE"/>
    <w:rsid w:val="003D29B9"/>
    <w:rsid w:val="003D2FAE"/>
    <w:rsid w:val="003D33AB"/>
    <w:rsid w:val="003D3500"/>
    <w:rsid w:val="003D37B6"/>
    <w:rsid w:val="003D3C68"/>
    <w:rsid w:val="003D450D"/>
    <w:rsid w:val="003D503A"/>
    <w:rsid w:val="003D571E"/>
    <w:rsid w:val="003D6505"/>
    <w:rsid w:val="003D71A6"/>
    <w:rsid w:val="003D7709"/>
    <w:rsid w:val="003E004C"/>
    <w:rsid w:val="003E0BAF"/>
    <w:rsid w:val="003E0E25"/>
    <w:rsid w:val="003E1409"/>
    <w:rsid w:val="003E16F2"/>
    <w:rsid w:val="003E4A52"/>
    <w:rsid w:val="003E6AA1"/>
    <w:rsid w:val="003E78A9"/>
    <w:rsid w:val="003E7912"/>
    <w:rsid w:val="003F04E6"/>
    <w:rsid w:val="003F2CDD"/>
    <w:rsid w:val="003F45D7"/>
    <w:rsid w:val="003F5660"/>
    <w:rsid w:val="003F5717"/>
    <w:rsid w:val="003F5A39"/>
    <w:rsid w:val="003F5B56"/>
    <w:rsid w:val="003F5B9F"/>
    <w:rsid w:val="003F5C1A"/>
    <w:rsid w:val="003F6A6A"/>
    <w:rsid w:val="003F6AC7"/>
    <w:rsid w:val="003F738D"/>
    <w:rsid w:val="003F7554"/>
    <w:rsid w:val="003F7FA1"/>
    <w:rsid w:val="004006EA"/>
    <w:rsid w:val="004008DE"/>
    <w:rsid w:val="00400B4E"/>
    <w:rsid w:val="0040130D"/>
    <w:rsid w:val="00402E56"/>
    <w:rsid w:val="00403634"/>
    <w:rsid w:val="00404592"/>
    <w:rsid w:val="00404B58"/>
    <w:rsid w:val="0040544F"/>
    <w:rsid w:val="00405537"/>
    <w:rsid w:val="0040625C"/>
    <w:rsid w:val="004069D2"/>
    <w:rsid w:val="004076FF"/>
    <w:rsid w:val="00410982"/>
    <w:rsid w:val="00410E71"/>
    <w:rsid w:val="00411B17"/>
    <w:rsid w:val="0041222D"/>
    <w:rsid w:val="004124F2"/>
    <w:rsid w:val="00412E6F"/>
    <w:rsid w:val="00413C5C"/>
    <w:rsid w:val="0041413F"/>
    <w:rsid w:val="0041567A"/>
    <w:rsid w:val="00415BAB"/>
    <w:rsid w:val="00415BCF"/>
    <w:rsid w:val="00416297"/>
    <w:rsid w:val="004166B6"/>
    <w:rsid w:val="00417083"/>
    <w:rsid w:val="0042057C"/>
    <w:rsid w:val="00420BDF"/>
    <w:rsid w:val="00421608"/>
    <w:rsid w:val="00421C23"/>
    <w:rsid w:val="0042261E"/>
    <w:rsid w:val="00422749"/>
    <w:rsid w:val="004228F2"/>
    <w:rsid w:val="00422FCE"/>
    <w:rsid w:val="004233DC"/>
    <w:rsid w:val="00423429"/>
    <w:rsid w:val="00424888"/>
    <w:rsid w:val="004255D9"/>
    <w:rsid w:val="00425763"/>
    <w:rsid w:val="00425C3C"/>
    <w:rsid w:val="00427D1B"/>
    <w:rsid w:val="00427E40"/>
    <w:rsid w:val="004306AB"/>
    <w:rsid w:val="0043159D"/>
    <w:rsid w:val="00431655"/>
    <w:rsid w:val="0043171D"/>
    <w:rsid w:val="00432F78"/>
    <w:rsid w:val="004334A2"/>
    <w:rsid w:val="004335BC"/>
    <w:rsid w:val="004339E6"/>
    <w:rsid w:val="00434723"/>
    <w:rsid w:val="00434729"/>
    <w:rsid w:val="0043617B"/>
    <w:rsid w:val="00437D17"/>
    <w:rsid w:val="00437D2F"/>
    <w:rsid w:val="0044046D"/>
    <w:rsid w:val="00440A2B"/>
    <w:rsid w:val="004410D3"/>
    <w:rsid w:val="00441A5B"/>
    <w:rsid w:val="00441DAF"/>
    <w:rsid w:val="0044270D"/>
    <w:rsid w:val="00442E8C"/>
    <w:rsid w:val="0044312A"/>
    <w:rsid w:val="00443310"/>
    <w:rsid w:val="004435D5"/>
    <w:rsid w:val="00443A34"/>
    <w:rsid w:val="00443D38"/>
    <w:rsid w:val="00444140"/>
    <w:rsid w:val="00444BF5"/>
    <w:rsid w:val="00444F43"/>
    <w:rsid w:val="00447C23"/>
    <w:rsid w:val="00450744"/>
    <w:rsid w:val="00450BE7"/>
    <w:rsid w:val="00450FE8"/>
    <w:rsid w:val="0045213A"/>
    <w:rsid w:val="0045230E"/>
    <w:rsid w:val="004528FA"/>
    <w:rsid w:val="00452D67"/>
    <w:rsid w:val="00452E53"/>
    <w:rsid w:val="004542C6"/>
    <w:rsid w:val="0045431D"/>
    <w:rsid w:val="00454850"/>
    <w:rsid w:val="00454EDC"/>
    <w:rsid w:val="00455B00"/>
    <w:rsid w:val="00455B97"/>
    <w:rsid w:val="00456635"/>
    <w:rsid w:val="00456BFD"/>
    <w:rsid w:val="004575D5"/>
    <w:rsid w:val="00457657"/>
    <w:rsid w:val="00457D49"/>
    <w:rsid w:val="004600BF"/>
    <w:rsid w:val="004607D0"/>
    <w:rsid w:val="00460CE3"/>
    <w:rsid w:val="004612A4"/>
    <w:rsid w:val="0046153C"/>
    <w:rsid w:val="004624D2"/>
    <w:rsid w:val="004625C8"/>
    <w:rsid w:val="00462DCE"/>
    <w:rsid w:val="00463A11"/>
    <w:rsid w:val="0046442A"/>
    <w:rsid w:val="00464BF1"/>
    <w:rsid w:val="00466078"/>
    <w:rsid w:val="0046626B"/>
    <w:rsid w:val="004676E4"/>
    <w:rsid w:val="00467AFF"/>
    <w:rsid w:val="00470183"/>
    <w:rsid w:val="004708C9"/>
    <w:rsid w:val="00470C48"/>
    <w:rsid w:val="0047139F"/>
    <w:rsid w:val="00471429"/>
    <w:rsid w:val="004722B1"/>
    <w:rsid w:val="004722CE"/>
    <w:rsid w:val="004727AF"/>
    <w:rsid w:val="004735B7"/>
    <w:rsid w:val="00473A47"/>
    <w:rsid w:val="00473A4F"/>
    <w:rsid w:val="00473C0A"/>
    <w:rsid w:val="00473EEF"/>
    <w:rsid w:val="00474219"/>
    <w:rsid w:val="00474415"/>
    <w:rsid w:val="00474BC1"/>
    <w:rsid w:val="00474BD0"/>
    <w:rsid w:val="0047722F"/>
    <w:rsid w:val="00477459"/>
    <w:rsid w:val="00477CC9"/>
    <w:rsid w:val="0048026E"/>
    <w:rsid w:val="00480303"/>
    <w:rsid w:val="004807A9"/>
    <w:rsid w:val="00480A8A"/>
    <w:rsid w:val="00480F76"/>
    <w:rsid w:val="004810A5"/>
    <w:rsid w:val="004810E0"/>
    <w:rsid w:val="00481318"/>
    <w:rsid w:val="00481363"/>
    <w:rsid w:val="004813EE"/>
    <w:rsid w:val="00481835"/>
    <w:rsid w:val="004823F9"/>
    <w:rsid w:val="00482CDC"/>
    <w:rsid w:val="00482FB0"/>
    <w:rsid w:val="00483B03"/>
    <w:rsid w:val="0048444C"/>
    <w:rsid w:val="00485058"/>
    <w:rsid w:val="004851E3"/>
    <w:rsid w:val="00485702"/>
    <w:rsid w:val="004867EC"/>
    <w:rsid w:val="00486A37"/>
    <w:rsid w:val="00487662"/>
    <w:rsid w:val="004876C6"/>
    <w:rsid w:val="00487D7B"/>
    <w:rsid w:val="00490F7A"/>
    <w:rsid w:val="00490FD5"/>
    <w:rsid w:val="00491241"/>
    <w:rsid w:val="00491813"/>
    <w:rsid w:val="00493278"/>
    <w:rsid w:val="00493855"/>
    <w:rsid w:val="004951D8"/>
    <w:rsid w:val="004952C1"/>
    <w:rsid w:val="00497575"/>
    <w:rsid w:val="004A078B"/>
    <w:rsid w:val="004A12C0"/>
    <w:rsid w:val="004A169A"/>
    <w:rsid w:val="004A18C9"/>
    <w:rsid w:val="004A191A"/>
    <w:rsid w:val="004A1A70"/>
    <w:rsid w:val="004A4027"/>
    <w:rsid w:val="004A419E"/>
    <w:rsid w:val="004A4688"/>
    <w:rsid w:val="004A6463"/>
    <w:rsid w:val="004A66CE"/>
    <w:rsid w:val="004A6B58"/>
    <w:rsid w:val="004B0535"/>
    <w:rsid w:val="004B06C3"/>
    <w:rsid w:val="004B087F"/>
    <w:rsid w:val="004B0917"/>
    <w:rsid w:val="004B0B09"/>
    <w:rsid w:val="004B140F"/>
    <w:rsid w:val="004B14EB"/>
    <w:rsid w:val="004B21CF"/>
    <w:rsid w:val="004B2DE3"/>
    <w:rsid w:val="004B390A"/>
    <w:rsid w:val="004B3FEA"/>
    <w:rsid w:val="004B53F1"/>
    <w:rsid w:val="004B5D6E"/>
    <w:rsid w:val="004B60BA"/>
    <w:rsid w:val="004B6946"/>
    <w:rsid w:val="004B6D89"/>
    <w:rsid w:val="004B6E81"/>
    <w:rsid w:val="004C0FFE"/>
    <w:rsid w:val="004C136D"/>
    <w:rsid w:val="004C1619"/>
    <w:rsid w:val="004C177F"/>
    <w:rsid w:val="004C1B59"/>
    <w:rsid w:val="004C3BB8"/>
    <w:rsid w:val="004C3C25"/>
    <w:rsid w:val="004C3EEA"/>
    <w:rsid w:val="004C4EA2"/>
    <w:rsid w:val="004C596B"/>
    <w:rsid w:val="004C5E41"/>
    <w:rsid w:val="004C60E7"/>
    <w:rsid w:val="004C7BDE"/>
    <w:rsid w:val="004D0090"/>
    <w:rsid w:val="004D020F"/>
    <w:rsid w:val="004D03D1"/>
    <w:rsid w:val="004D0481"/>
    <w:rsid w:val="004D11AF"/>
    <w:rsid w:val="004D1789"/>
    <w:rsid w:val="004D28EF"/>
    <w:rsid w:val="004D2E58"/>
    <w:rsid w:val="004D37D9"/>
    <w:rsid w:val="004D38E5"/>
    <w:rsid w:val="004D41A2"/>
    <w:rsid w:val="004D502C"/>
    <w:rsid w:val="004D5587"/>
    <w:rsid w:val="004D5758"/>
    <w:rsid w:val="004D60A3"/>
    <w:rsid w:val="004D71CA"/>
    <w:rsid w:val="004E016A"/>
    <w:rsid w:val="004E0461"/>
    <w:rsid w:val="004E0D95"/>
    <w:rsid w:val="004E29B1"/>
    <w:rsid w:val="004E3F87"/>
    <w:rsid w:val="004E461B"/>
    <w:rsid w:val="004E477D"/>
    <w:rsid w:val="004E5890"/>
    <w:rsid w:val="004E79EF"/>
    <w:rsid w:val="004E7B33"/>
    <w:rsid w:val="004E7E5C"/>
    <w:rsid w:val="004F0368"/>
    <w:rsid w:val="004F0D19"/>
    <w:rsid w:val="004F121B"/>
    <w:rsid w:val="004F140F"/>
    <w:rsid w:val="004F185F"/>
    <w:rsid w:val="004F2811"/>
    <w:rsid w:val="004F2CFA"/>
    <w:rsid w:val="004F3326"/>
    <w:rsid w:val="004F590E"/>
    <w:rsid w:val="004F5966"/>
    <w:rsid w:val="004F6026"/>
    <w:rsid w:val="004F60F4"/>
    <w:rsid w:val="004F62E8"/>
    <w:rsid w:val="004F67C3"/>
    <w:rsid w:val="004F6C17"/>
    <w:rsid w:val="004F7390"/>
    <w:rsid w:val="004F78F8"/>
    <w:rsid w:val="005001A5"/>
    <w:rsid w:val="00500CCD"/>
    <w:rsid w:val="005019AA"/>
    <w:rsid w:val="005032E9"/>
    <w:rsid w:val="00503C3B"/>
    <w:rsid w:val="00503CE7"/>
    <w:rsid w:val="005040C9"/>
    <w:rsid w:val="005042DB"/>
    <w:rsid w:val="0050458E"/>
    <w:rsid w:val="00505928"/>
    <w:rsid w:val="00505CD6"/>
    <w:rsid w:val="005063B3"/>
    <w:rsid w:val="005069B2"/>
    <w:rsid w:val="0050741A"/>
    <w:rsid w:val="00510452"/>
    <w:rsid w:val="0051067F"/>
    <w:rsid w:val="005108EC"/>
    <w:rsid w:val="00511F8F"/>
    <w:rsid w:val="00512FA4"/>
    <w:rsid w:val="00513291"/>
    <w:rsid w:val="0051386E"/>
    <w:rsid w:val="00513EA4"/>
    <w:rsid w:val="005147DA"/>
    <w:rsid w:val="00514D4B"/>
    <w:rsid w:val="00514FBF"/>
    <w:rsid w:val="005153AC"/>
    <w:rsid w:val="005153C3"/>
    <w:rsid w:val="00515745"/>
    <w:rsid w:val="00515862"/>
    <w:rsid w:val="005165FE"/>
    <w:rsid w:val="00516942"/>
    <w:rsid w:val="00516DC0"/>
    <w:rsid w:val="00516DC5"/>
    <w:rsid w:val="0052022A"/>
    <w:rsid w:val="00520A80"/>
    <w:rsid w:val="00520BBA"/>
    <w:rsid w:val="005213E9"/>
    <w:rsid w:val="005225AC"/>
    <w:rsid w:val="005226FA"/>
    <w:rsid w:val="005233F3"/>
    <w:rsid w:val="0052365C"/>
    <w:rsid w:val="005245D2"/>
    <w:rsid w:val="0052488B"/>
    <w:rsid w:val="00524C98"/>
    <w:rsid w:val="00524C9C"/>
    <w:rsid w:val="00524EDD"/>
    <w:rsid w:val="00525B59"/>
    <w:rsid w:val="005269C4"/>
    <w:rsid w:val="00526A20"/>
    <w:rsid w:val="00531966"/>
    <w:rsid w:val="005329DA"/>
    <w:rsid w:val="0053322F"/>
    <w:rsid w:val="00533BC1"/>
    <w:rsid w:val="00533DBF"/>
    <w:rsid w:val="00534940"/>
    <w:rsid w:val="00535673"/>
    <w:rsid w:val="00535784"/>
    <w:rsid w:val="00535D6B"/>
    <w:rsid w:val="00536442"/>
    <w:rsid w:val="005374FE"/>
    <w:rsid w:val="0054053D"/>
    <w:rsid w:val="0054126C"/>
    <w:rsid w:val="00541368"/>
    <w:rsid w:val="005415DD"/>
    <w:rsid w:val="005423F3"/>
    <w:rsid w:val="005426DB"/>
    <w:rsid w:val="00542A29"/>
    <w:rsid w:val="0054340B"/>
    <w:rsid w:val="005442F1"/>
    <w:rsid w:val="00544A24"/>
    <w:rsid w:val="0054583C"/>
    <w:rsid w:val="00546227"/>
    <w:rsid w:val="005468E2"/>
    <w:rsid w:val="00546D83"/>
    <w:rsid w:val="00547F1B"/>
    <w:rsid w:val="00550113"/>
    <w:rsid w:val="0055019B"/>
    <w:rsid w:val="005504BE"/>
    <w:rsid w:val="0055082B"/>
    <w:rsid w:val="0055093A"/>
    <w:rsid w:val="00550F00"/>
    <w:rsid w:val="00551BDF"/>
    <w:rsid w:val="00551ED7"/>
    <w:rsid w:val="0055211C"/>
    <w:rsid w:val="0055263A"/>
    <w:rsid w:val="005526EE"/>
    <w:rsid w:val="00552B57"/>
    <w:rsid w:val="00552E53"/>
    <w:rsid w:val="00553E34"/>
    <w:rsid w:val="005547B7"/>
    <w:rsid w:val="005551E9"/>
    <w:rsid w:val="0055680D"/>
    <w:rsid w:val="00560094"/>
    <w:rsid w:val="00560C62"/>
    <w:rsid w:val="00562A61"/>
    <w:rsid w:val="00562E78"/>
    <w:rsid w:val="005647AF"/>
    <w:rsid w:val="00564E45"/>
    <w:rsid w:val="005652D5"/>
    <w:rsid w:val="00565E52"/>
    <w:rsid w:val="005662DE"/>
    <w:rsid w:val="00567227"/>
    <w:rsid w:val="00567CD0"/>
    <w:rsid w:val="00570C7B"/>
    <w:rsid w:val="00571C77"/>
    <w:rsid w:val="00572D5B"/>
    <w:rsid w:val="00574614"/>
    <w:rsid w:val="00574A70"/>
    <w:rsid w:val="00574D35"/>
    <w:rsid w:val="00575C75"/>
    <w:rsid w:val="005770CF"/>
    <w:rsid w:val="00577904"/>
    <w:rsid w:val="00577922"/>
    <w:rsid w:val="00577AC3"/>
    <w:rsid w:val="00577EBD"/>
    <w:rsid w:val="00580577"/>
    <w:rsid w:val="005815A8"/>
    <w:rsid w:val="00581915"/>
    <w:rsid w:val="00583431"/>
    <w:rsid w:val="005846C0"/>
    <w:rsid w:val="00584D04"/>
    <w:rsid w:val="0058567E"/>
    <w:rsid w:val="00585DE1"/>
    <w:rsid w:val="0058659E"/>
    <w:rsid w:val="005869EE"/>
    <w:rsid w:val="005872DD"/>
    <w:rsid w:val="005875FA"/>
    <w:rsid w:val="00587CF2"/>
    <w:rsid w:val="00587D3A"/>
    <w:rsid w:val="00590346"/>
    <w:rsid w:val="00590BA2"/>
    <w:rsid w:val="00590CA7"/>
    <w:rsid w:val="00590E93"/>
    <w:rsid w:val="005915E1"/>
    <w:rsid w:val="00591C75"/>
    <w:rsid w:val="00592D10"/>
    <w:rsid w:val="00593879"/>
    <w:rsid w:val="0059388B"/>
    <w:rsid w:val="00593A5F"/>
    <w:rsid w:val="0059404E"/>
    <w:rsid w:val="00594269"/>
    <w:rsid w:val="00594ACC"/>
    <w:rsid w:val="00595539"/>
    <w:rsid w:val="00597108"/>
    <w:rsid w:val="005976DB"/>
    <w:rsid w:val="005A143E"/>
    <w:rsid w:val="005A3689"/>
    <w:rsid w:val="005A3E82"/>
    <w:rsid w:val="005A4DB0"/>
    <w:rsid w:val="005A5597"/>
    <w:rsid w:val="005A57BF"/>
    <w:rsid w:val="005A6AC2"/>
    <w:rsid w:val="005A7A65"/>
    <w:rsid w:val="005A7ADF"/>
    <w:rsid w:val="005A7B26"/>
    <w:rsid w:val="005A7B8E"/>
    <w:rsid w:val="005B012B"/>
    <w:rsid w:val="005B0C87"/>
    <w:rsid w:val="005B0FE9"/>
    <w:rsid w:val="005B19E2"/>
    <w:rsid w:val="005B2195"/>
    <w:rsid w:val="005B26C7"/>
    <w:rsid w:val="005B2D65"/>
    <w:rsid w:val="005B3877"/>
    <w:rsid w:val="005B3AC8"/>
    <w:rsid w:val="005B3CC1"/>
    <w:rsid w:val="005B4002"/>
    <w:rsid w:val="005B45AB"/>
    <w:rsid w:val="005B4919"/>
    <w:rsid w:val="005B4D8F"/>
    <w:rsid w:val="005B6551"/>
    <w:rsid w:val="005B71A8"/>
    <w:rsid w:val="005B744B"/>
    <w:rsid w:val="005C0A6F"/>
    <w:rsid w:val="005C0FA7"/>
    <w:rsid w:val="005C155F"/>
    <w:rsid w:val="005C1C0E"/>
    <w:rsid w:val="005C36E2"/>
    <w:rsid w:val="005C3E9E"/>
    <w:rsid w:val="005C400C"/>
    <w:rsid w:val="005C410C"/>
    <w:rsid w:val="005C4BF1"/>
    <w:rsid w:val="005C4BF2"/>
    <w:rsid w:val="005C52D4"/>
    <w:rsid w:val="005C5BED"/>
    <w:rsid w:val="005C5D86"/>
    <w:rsid w:val="005C6167"/>
    <w:rsid w:val="005C6ADB"/>
    <w:rsid w:val="005C6EE2"/>
    <w:rsid w:val="005C7A07"/>
    <w:rsid w:val="005C7DDC"/>
    <w:rsid w:val="005C7F7C"/>
    <w:rsid w:val="005D107D"/>
    <w:rsid w:val="005D123A"/>
    <w:rsid w:val="005D1CFC"/>
    <w:rsid w:val="005D2506"/>
    <w:rsid w:val="005D2DEC"/>
    <w:rsid w:val="005D3677"/>
    <w:rsid w:val="005D4E4C"/>
    <w:rsid w:val="005D5B5E"/>
    <w:rsid w:val="005D5C85"/>
    <w:rsid w:val="005D5CA0"/>
    <w:rsid w:val="005D69AB"/>
    <w:rsid w:val="005D72FC"/>
    <w:rsid w:val="005D7DFC"/>
    <w:rsid w:val="005E035A"/>
    <w:rsid w:val="005E0464"/>
    <w:rsid w:val="005E0681"/>
    <w:rsid w:val="005E1218"/>
    <w:rsid w:val="005E18EC"/>
    <w:rsid w:val="005E1B6B"/>
    <w:rsid w:val="005E1F61"/>
    <w:rsid w:val="005E2281"/>
    <w:rsid w:val="005E236C"/>
    <w:rsid w:val="005E351B"/>
    <w:rsid w:val="005E38A8"/>
    <w:rsid w:val="005E39F9"/>
    <w:rsid w:val="005E4828"/>
    <w:rsid w:val="005E5016"/>
    <w:rsid w:val="005E5231"/>
    <w:rsid w:val="005E55BB"/>
    <w:rsid w:val="005E5647"/>
    <w:rsid w:val="005E59FD"/>
    <w:rsid w:val="005E5D11"/>
    <w:rsid w:val="005E667C"/>
    <w:rsid w:val="005E6A1D"/>
    <w:rsid w:val="005E6F12"/>
    <w:rsid w:val="005E733E"/>
    <w:rsid w:val="005E7428"/>
    <w:rsid w:val="005E7773"/>
    <w:rsid w:val="005F0694"/>
    <w:rsid w:val="005F06E1"/>
    <w:rsid w:val="005F077C"/>
    <w:rsid w:val="005F0B88"/>
    <w:rsid w:val="005F1735"/>
    <w:rsid w:val="005F187E"/>
    <w:rsid w:val="005F252A"/>
    <w:rsid w:val="005F3562"/>
    <w:rsid w:val="005F3CE8"/>
    <w:rsid w:val="005F3EDB"/>
    <w:rsid w:val="005F4F41"/>
    <w:rsid w:val="005F566D"/>
    <w:rsid w:val="005F648F"/>
    <w:rsid w:val="005F68C3"/>
    <w:rsid w:val="005F7D87"/>
    <w:rsid w:val="00601794"/>
    <w:rsid w:val="00601E94"/>
    <w:rsid w:val="006021B1"/>
    <w:rsid w:val="006037C5"/>
    <w:rsid w:val="00603A13"/>
    <w:rsid w:val="006040CE"/>
    <w:rsid w:val="0060467D"/>
    <w:rsid w:val="0060585E"/>
    <w:rsid w:val="00605B9D"/>
    <w:rsid w:val="00606213"/>
    <w:rsid w:val="00606B57"/>
    <w:rsid w:val="00606B85"/>
    <w:rsid w:val="00607390"/>
    <w:rsid w:val="006076D8"/>
    <w:rsid w:val="006079D8"/>
    <w:rsid w:val="00607E6D"/>
    <w:rsid w:val="0061061D"/>
    <w:rsid w:val="00611816"/>
    <w:rsid w:val="00611A3B"/>
    <w:rsid w:val="006120CA"/>
    <w:rsid w:val="00612389"/>
    <w:rsid w:val="00612570"/>
    <w:rsid w:val="006127BD"/>
    <w:rsid w:val="00612871"/>
    <w:rsid w:val="00612929"/>
    <w:rsid w:val="00612A44"/>
    <w:rsid w:val="00612A8E"/>
    <w:rsid w:val="00613098"/>
    <w:rsid w:val="006134D9"/>
    <w:rsid w:val="006135DA"/>
    <w:rsid w:val="00613BDC"/>
    <w:rsid w:val="00615564"/>
    <w:rsid w:val="006155E2"/>
    <w:rsid w:val="00615F26"/>
    <w:rsid w:val="00616618"/>
    <w:rsid w:val="00616CCC"/>
    <w:rsid w:val="00617A81"/>
    <w:rsid w:val="00617DEC"/>
    <w:rsid w:val="00620579"/>
    <w:rsid w:val="006208AA"/>
    <w:rsid w:val="0062128D"/>
    <w:rsid w:val="00622536"/>
    <w:rsid w:val="0062258F"/>
    <w:rsid w:val="00622732"/>
    <w:rsid w:val="00622E6D"/>
    <w:rsid w:val="00623BC7"/>
    <w:rsid w:val="00623E70"/>
    <w:rsid w:val="006241D0"/>
    <w:rsid w:val="00624425"/>
    <w:rsid w:val="00624665"/>
    <w:rsid w:val="00624A31"/>
    <w:rsid w:val="00625434"/>
    <w:rsid w:val="0062576B"/>
    <w:rsid w:val="00625C5F"/>
    <w:rsid w:val="00626032"/>
    <w:rsid w:val="00627643"/>
    <w:rsid w:val="00627788"/>
    <w:rsid w:val="006300CD"/>
    <w:rsid w:val="0063017E"/>
    <w:rsid w:val="00630723"/>
    <w:rsid w:val="00630EAE"/>
    <w:rsid w:val="006312D0"/>
    <w:rsid w:val="006318A4"/>
    <w:rsid w:val="00631A11"/>
    <w:rsid w:val="00631D4F"/>
    <w:rsid w:val="006321B6"/>
    <w:rsid w:val="006327C6"/>
    <w:rsid w:val="006329A2"/>
    <w:rsid w:val="00633496"/>
    <w:rsid w:val="006338D2"/>
    <w:rsid w:val="00633F92"/>
    <w:rsid w:val="0063435E"/>
    <w:rsid w:val="00634CB2"/>
    <w:rsid w:val="006357E2"/>
    <w:rsid w:val="00635FD8"/>
    <w:rsid w:val="00636651"/>
    <w:rsid w:val="006367A7"/>
    <w:rsid w:val="006368E4"/>
    <w:rsid w:val="00636F7B"/>
    <w:rsid w:val="0064019C"/>
    <w:rsid w:val="00640288"/>
    <w:rsid w:val="006405AC"/>
    <w:rsid w:val="0064099D"/>
    <w:rsid w:val="006412CD"/>
    <w:rsid w:val="006413D8"/>
    <w:rsid w:val="00641610"/>
    <w:rsid w:val="00641B7B"/>
    <w:rsid w:val="00641C55"/>
    <w:rsid w:val="00642405"/>
    <w:rsid w:val="00642645"/>
    <w:rsid w:val="006436E4"/>
    <w:rsid w:val="006437E8"/>
    <w:rsid w:val="006438E0"/>
    <w:rsid w:val="00644BED"/>
    <w:rsid w:val="00645405"/>
    <w:rsid w:val="006455CB"/>
    <w:rsid w:val="00646FD5"/>
    <w:rsid w:val="006472F8"/>
    <w:rsid w:val="00647680"/>
    <w:rsid w:val="00647743"/>
    <w:rsid w:val="006510C0"/>
    <w:rsid w:val="00652092"/>
    <w:rsid w:val="00652472"/>
    <w:rsid w:val="00652F31"/>
    <w:rsid w:val="0065394E"/>
    <w:rsid w:val="00653B38"/>
    <w:rsid w:val="00656385"/>
    <w:rsid w:val="00656F19"/>
    <w:rsid w:val="00657BB7"/>
    <w:rsid w:val="00657BC8"/>
    <w:rsid w:val="00660009"/>
    <w:rsid w:val="006600A1"/>
    <w:rsid w:val="00660552"/>
    <w:rsid w:val="00660DBE"/>
    <w:rsid w:val="00661113"/>
    <w:rsid w:val="0066127D"/>
    <w:rsid w:val="00661AB0"/>
    <w:rsid w:val="006623A4"/>
    <w:rsid w:val="0066351C"/>
    <w:rsid w:val="006635BF"/>
    <w:rsid w:val="0066367B"/>
    <w:rsid w:val="00664498"/>
    <w:rsid w:val="00664693"/>
    <w:rsid w:val="00664DC0"/>
    <w:rsid w:val="006651CC"/>
    <w:rsid w:val="0066582B"/>
    <w:rsid w:val="006658DA"/>
    <w:rsid w:val="00665CA1"/>
    <w:rsid w:val="00667421"/>
    <w:rsid w:val="0066780E"/>
    <w:rsid w:val="00667A31"/>
    <w:rsid w:val="00670702"/>
    <w:rsid w:val="006708EB"/>
    <w:rsid w:val="0067147C"/>
    <w:rsid w:val="00672A8A"/>
    <w:rsid w:val="00673BFE"/>
    <w:rsid w:val="00673F50"/>
    <w:rsid w:val="00674EEA"/>
    <w:rsid w:val="0067549D"/>
    <w:rsid w:val="006759B0"/>
    <w:rsid w:val="00676013"/>
    <w:rsid w:val="006765AC"/>
    <w:rsid w:val="00677012"/>
    <w:rsid w:val="006771EA"/>
    <w:rsid w:val="00680D0E"/>
    <w:rsid w:val="00680F00"/>
    <w:rsid w:val="006821E7"/>
    <w:rsid w:val="006825A6"/>
    <w:rsid w:val="006825B4"/>
    <w:rsid w:val="006829BA"/>
    <w:rsid w:val="00682AF2"/>
    <w:rsid w:val="00682E8A"/>
    <w:rsid w:val="00682FB7"/>
    <w:rsid w:val="006837DE"/>
    <w:rsid w:val="00683CE0"/>
    <w:rsid w:val="0068537F"/>
    <w:rsid w:val="00686104"/>
    <w:rsid w:val="00686334"/>
    <w:rsid w:val="006866E5"/>
    <w:rsid w:val="00686C3A"/>
    <w:rsid w:val="00686EEB"/>
    <w:rsid w:val="00687628"/>
    <w:rsid w:val="00687CFE"/>
    <w:rsid w:val="0069035A"/>
    <w:rsid w:val="00690EB8"/>
    <w:rsid w:val="0069109D"/>
    <w:rsid w:val="006915E5"/>
    <w:rsid w:val="00692401"/>
    <w:rsid w:val="00693B7A"/>
    <w:rsid w:val="006941CC"/>
    <w:rsid w:val="006942BA"/>
    <w:rsid w:val="00694537"/>
    <w:rsid w:val="006945D4"/>
    <w:rsid w:val="00694EC0"/>
    <w:rsid w:val="00695852"/>
    <w:rsid w:val="00695D10"/>
    <w:rsid w:val="00695F56"/>
    <w:rsid w:val="006966A3"/>
    <w:rsid w:val="0069682F"/>
    <w:rsid w:val="0069758B"/>
    <w:rsid w:val="00697F88"/>
    <w:rsid w:val="006A07BA"/>
    <w:rsid w:val="006A0A70"/>
    <w:rsid w:val="006A0B6C"/>
    <w:rsid w:val="006A1692"/>
    <w:rsid w:val="006A16E1"/>
    <w:rsid w:val="006A188D"/>
    <w:rsid w:val="006A3293"/>
    <w:rsid w:val="006A36DF"/>
    <w:rsid w:val="006A3C8A"/>
    <w:rsid w:val="006A3E61"/>
    <w:rsid w:val="006A5213"/>
    <w:rsid w:val="006A6003"/>
    <w:rsid w:val="006A6737"/>
    <w:rsid w:val="006B0690"/>
    <w:rsid w:val="006B0967"/>
    <w:rsid w:val="006B0AE6"/>
    <w:rsid w:val="006B1E08"/>
    <w:rsid w:val="006B2099"/>
    <w:rsid w:val="006B26B1"/>
    <w:rsid w:val="006B2E45"/>
    <w:rsid w:val="006B341B"/>
    <w:rsid w:val="006B3875"/>
    <w:rsid w:val="006B425B"/>
    <w:rsid w:val="006B545C"/>
    <w:rsid w:val="006B5AC8"/>
    <w:rsid w:val="006B5D32"/>
    <w:rsid w:val="006B758B"/>
    <w:rsid w:val="006B77BD"/>
    <w:rsid w:val="006B7BF8"/>
    <w:rsid w:val="006C01F6"/>
    <w:rsid w:val="006C054E"/>
    <w:rsid w:val="006C0F11"/>
    <w:rsid w:val="006C23E1"/>
    <w:rsid w:val="006C25D5"/>
    <w:rsid w:val="006C25F9"/>
    <w:rsid w:val="006C262B"/>
    <w:rsid w:val="006C31C6"/>
    <w:rsid w:val="006C3A2D"/>
    <w:rsid w:val="006C4666"/>
    <w:rsid w:val="006C49BF"/>
    <w:rsid w:val="006C4DF1"/>
    <w:rsid w:val="006C5CB4"/>
    <w:rsid w:val="006C63D7"/>
    <w:rsid w:val="006C6894"/>
    <w:rsid w:val="006C69D9"/>
    <w:rsid w:val="006C7535"/>
    <w:rsid w:val="006C76A6"/>
    <w:rsid w:val="006C796D"/>
    <w:rsid w:val="006D0525"/>
    <w:rsid w:val="006D08DC"/>
    <w:rsid w:val="006D0C98"/>
    <w:rsid w:val="006D22A9"/>
    <w:rsid w:val="006D2F09"/>
    <w:rsid w:val="006D2FD2"/>
    <w:rsid w:val="006D336E"/>
    <w:rsid w:val="006D33E6"/>
    <w:rsid w:val="006D3DC0"/>
    <w:rsid w:val="006D40C4"/>
    <w:rsid w:val="006D4162"/>
    <w:rsid w:val="006D453E"/>
    <w:rsid w:val="006D5303"/>
    <w:rsid w:val="006D5E84"/>
    <w:rsid w:val="006D6288"/>
    <w:rsid w:val="006D7A4C"/>
    <w:rsid w:val="006D7C99"/>
    <w:rsid w:val="006E0443"/>
    <w:rsid w:val="006E0C50"/>
    <w:rsid w:val="006E0DCF"/>
    <w:rsid w:val="006E14D6"/>
    <w:rsid w:val="006E1647"/>
    <w:rsid w:val="006E2298"/>
    <w:rsid w:val="006E2F3A"/>
    <w:rsid w:val="006E310A"/>
    <w:rsid w:val="006E3C3E"/>
    <w:rsid w:val="006E3FBD"/>
    <w:rsid w:val="006E40C7"/>
    <w:rsid w:val="006E429F"/>
    <w:rsid w:val="006E47E0"/>
    <w:rsid w:val="006E50E4"/>
    <w:rsid w:val="006E6F30"/>
    <w:rsid w:val="006E6FE9"/>
    <w:rsid w:val="006E7082"/>
    <w:rsid w:val="006E709F"/>
    <w:rsid w:val="006E749C"/>
    <w:rsid w:val="006E7F73"/>
    <w:rsid w:val="006F030F"/>
    <w:rsid w:val="006F193C"/>
    <w:rsid w:val="006F1B58"/>
    <w:rsid w:val="006F27DC"/>
    <w:rsid w:val="006F2B89"/>
    <w:rsid w:val="006F36F1"/>
    <w:rsid w:val="006F3B81"/>
    <w:rsid w:val="006F42E1"/>
    <w:rsid w:val="006F4D59"/>
    <w:rsid w:val="006F4F79"/>
    <w:rsid w:val="006F4F80"/>
    <w:rsid w:val="006F5532"/>
    <w:rsid w:val="006F5ADA"/>
    <w:rsid w:val="006F62CC"/>
    <w:rsid w:val="006F644B"/>
    <w:rsid w:val="006F66C1"/>
    <w:rsid w:val="006F681D"/>
    <w:rsid w:val="006F731E"/>
    <w:rsid w:val="006F78E9"/>
    <w:rsid w:val="0070235F"/>
    <w:rsid w:val="00702BC3"/>
    <w:rsid w:val="00702FF3"/>
    <w:rsid w:val="007032AC"/>
    <w:rsid w:val="00703496"/>
    <w:rsid w:val="007036FE"/>
    <w:rsid w:val="00703AB1"/>
    <w:rsid w:val="00704614"/>
    <w:rsid w:val="00704DE5"/>
    <w:rsid w:val="0070522E"/>
    <w:rsid w:val="00705B37"/>
    <w:rsid w:val="0070658A"/>
    <w:rsid w:val="00706B65"/>
    <w:rsid w:val="007071AF"/>
    <w:rsid w:val="00707634"/>
    <w:rsid w:val="00707C1A"/>
    <w:rsid w:val="00710023"/>
    <w:rsid w:val="00710207"/>
    <w:rsid w:val="0071023D"/>
    <w:rsid w:val="007104CB"/>
    <w:rsid w:val="00710530"/>
    <w:rsid w:val="007107BD"/>
    <w:rsid w:val="0071118D"/>
    <w:rsid w:val="00711E77"/>
    <w:rsid w:val="00712912"/>
    <w:rsid w:val="00712FCF"/>
    <w:rsid w:val="0071393E"/>
    <w:rsid w:val="00713AAC"/>
    <w:rsid w:val="007141DC"/>
    <w:rsid w:val="00714B04"/>
    <w:rsid w:val="00714F75"/>
    <w:rsid w:val="007155CE"/>
    <w:rsid w:val="007168A0"/>
    <w:rsid w:val="00716BC6"/>
    <w:rsid w:val="00716C95"/>
    <w:rsid w:val="00717014"/>
    <w:rsid w:val="00717762"/>
    <w:rsid w:val="00717F1A"/>
    <w:rsid w:val="007204DA"/>
    <w:rsid w:val="00720512"/>
    <w:rsid w:val="00721A63"/>
    <w:rsid w:val="00721DED"/>
    <w:rsid w:val="00721FF9"/>
    <w:rsid w:val="0072229E"/>
    <w:rsid w:val="00722F53"/>
    <w:rsid w:val="0072337E"/>
    <w:rsid w:val="00723696"/>
    <w:rsid w:val="0072442F"/>
    <w:rsid w:val="00725189"/>
    <w:rsid w:val="0072541E"/>
    <w:rsid w:val="00725735"/>
    <w:rsid w:val="0072630D"/>
    <w:rsid w:val="00726A2A"/>
    <w:rsid w:val="007271E9"/>
    <w:rsid w:val="007273BC"/>
    <w:rsid w:val="007275FD"/>
    <w:rsid w:val="007276E5"/>
    <w:rsid w:val="00730943"/>
    <w:rsid w:val="007315FC"/>
    <w:rsid w:val="00731AE1"/>
    <w:rsid w:val="00731D5E"/>
    <w:rsid w:val="00732492"/>
    <w:rsid w:val="00733E5A"/>
    <w:rsid w:val="00733F25"/>
    <w:rsid w:val="00736395"/>
    <w:rsid w:val="00736459"/>
    <w:rsid w:val="0073685F"/>
    <w:rsid w:val="00737821"/>
    <w:rsid w:val="00740381"/>
    <w:rsid w:val="0074058F"/>
    <w:rsid w:val="00740E86"/>
    <w:rsid w:val="00741175"/>
    <w:rsid w:val="007419FB"/>
    <w:rsid w:val="00741F1B"/>
    <w:rsid w:val="007424AA"/>
    <w:rsid w:val="00742606"/>
    <w:rsid w:val="00743994"/>
    <w:rsid w:val="007441FF"/>
    <w:rsid w:val="00744EE8"/>
    <w:rsid w:val="00744F42"/>
    <w:rsid w:val="007459F5"/>
    <w:rsid w:val="00745EFF"/>
    <w:rsid w:val="00746713"/>
    <w:rsid w:val="007467E4"/>
    <w:rsid w:val="00747569"/>
    <w:rsid w:val="00750238"/>
    <w:rsid w:val="0075023C"/>
    <w:rsid w:val="007518E3"/>
    <w:rsid w:val="007518E9"/>
    <w:rsid w:val="00752247"/>
    <w:rsid w:val="007523E7"/>
    <w:rsid w:val="007531CA"/>
    <w:rsid w:val="00754252"/>
    <w:rsid w:val="00756033"/>
    <w:rsid w:val="007577B1"/>
    <w:rsid w:val="00757CB3"/>
    <w:rsid w:val="00757D87"/>
    <w:rsid w:val="00760EED"/>
    <w:rsid w:val="0076109F"/>
    <w:rsid w:val="00761303"/>
    <w:rsid w:val="00761399"/>
    <w:rsid w:val="00761615"/>
    <w:rsid w:val="007616DA"/>
    <w:rsid w:val="007619CE"/>
    <w:rsid w:val="00761F4F"/>
    <w:rsid w:val="007620DC"/>
    <w:rsid w:val="00762102"/>
    <w:rsid w:val="0076255D"/>
    <w:rsid w:val="007625F6"/>
    <w:rsid w:val="00762B8B"/>
    <w:rsid w:val="0076325B"/>
    <w:rsid w:val="00764AF9"/>
    <w:rsid w:val="007650AD"/>
    <w:rsid w:val="0076549C"/>
    <w:rsid w:val="00765D18"/>
    <w:rsid w:val="0076640B"/>
    <w:rsid w:val="00770939"/>
    <w:rsid w:val="00770AA7"/>
    <w:rsid w:val="00770C54"/>
    <w:rsid w:val="00771344"/>
    <w:rsid w:val="00772613"/>
    <w:rsid w:val="00772B41"/>
    <w:rsid w:val="00772CED"/>
    <w:rsid w:val="00773EA1"/>
    <w:rsid w:val="00775215"/>
    <w:rsid w:val="00775748"/>
    <w:rsid w:val="00776ACC"/>
    <w:rsid w:val="00777AE2"/>
    <w:rsid w:val="00777C71"/>
    <w:rsid w:val="00777D6B"/>
    <w:rsid w:val="00777F20"/>
    <w:rsid w:val="0078080B"/>
    <w:rsid w:val="00781148"/>
    <w:rsid w:val="0078120F"/>
    <w:rsid w:val="00781F98"/>
    <w:rsid w:val="0078265B"/>
    <w:rsid w:val="00782AFE"/>
    <w:rsid w:val="00782E10"/>
    <w:rsid w:val="00784926"/>
    <w:rsid w:val="00784DB8"/>
    <w:rsid w:val="00784FDD"/>
    <w:rsid w:val="0078508F"/>
    <w:rsid w:val="00786448"/>
    <w:rsid w:val="007875D7"/>
    <w:rsid w:val="007906B2"/>
    <w:rsid w:val="0079134E"/>
    <w:rsid w:val="007925F0"/>
    <w:rsid w:val="0079278E"/>
    <w:rsid w:val="00792DCA"/>
    <w:rsid w:val="00792E3C"/>
    <w:rsid w:val="007930C1"/>
    <w:rsid w:val="0079315D"/>
    <w:rsid w:val="00793B45"/>
    <w:rsid w:val="00795706"/>
    <w:rsid w:val="007960E3"/>
    <w:rsid w:val="00796F7C"/>
    <w:rsid w:val="00797131"/>
    <w:rsid w:val="00797254"/>
    <w:rsid w:val="00797430"/>
    <w:rsid w:val="007A0F8D"/>
    <w:rsid w:val="007A1078"/>
    <w:rsid w:val="007A1499"/>
    <w:rsid w:val="007A180A"/>
    <w:rsid w:val="007A257D"/>
    <w:rsid w:val="007A2CB0"/>
    <w:rsid w:val="007A343D"/>
    <w:rsid w:val="007A38CE"/>
    <w:rsid w:val="007A3D5A"/>
    <w:rsid w:val="007A3F1C"/>
    <w:rsid w:val="007A48D8"/>
    <w:rsid w:val="007A5ACE"/>
    <w:rsid w:val="007A5C5C"/>
    <w:rsid w:val="007A6528"/>
    <w:rsid w:val="007A7B48"/>
    <w:rsid w:val="007B18C6"/>
    <w:rsid w:val="007B1946"/>
    <w:rsid w:val="007B19C8"/>
    <w:rsid w:val="007B20C2"/>
    <w:rsid w:val="007B25D5"/>
    <w:rsid w:val="007B27E4"/>
    <w:rsid w:val="007B2910"/>
    <w:rsid w:val="007B301D"/>
    <w:rsid w:val="007B3264"/>
    <w:rsid w:val="007B35F6"/>
    <w:rsid w:val="007B373F"/>
    <w:rsid w:val="007B3F87"/>
    <w:rsid w:val="007B404F"/>
    <w:rsid w:val="007B44A6"/>
    <w:rsid w:val="007B494E"/>
    <w:rsid w:val="007B4C5E"/>
    <w:rsid w:val="007B7462"/>
    <w:rsid w:val="007B7B52"/>
    <w:rsid w:val="007C02A3"/>
    <w:rsid w:val="007C0C55"/>
    <w:rsid w:val="007C1507"/>
    <w:rsid w:val="007C2F60"/>
    <w:rsid w:val="007C3E16"/>
    <w:rsid w:val="007C4D8D"/>
    <w:rsid w:val="007C5144"/>
    <w:rsid w:val="007C5613"/>
    <w:rsid w:val="007C6138"/>
    <w:rsid w:val="007C6153"/>
    <w:rsid w:val="007C6849"/>
    <w:rsid w:val="007C6BC6"/>
    <w:rsid w:val="007C6C12"/>
    <w:rsid w:val="007C73B2"/>
    <w:rsid w:val="007D0435"/>
    <w:rsid w:val="007D116E"/>
    <w:rsid w:val="007D1B24"/>
    <w:rsid w:val="007D267F"/>
    <w:rsid w:val="007D3341"/>
    <w:rsid w:val="007D3A3E"/>
    <w:rsid w:val="007D400A"/>
    <w:rsid w:val="007D4B0E"/>
    <w:rsid w:val="007D4DD2"/>
    <w:rsid w:val="007D5D0F"/>
    <w:rsid w:val="007D6A04"/>
    <w:rsid w:val="007D6EA8"/>
    <w:rsid w:val="007D7B39"/>
    <w:rsid w:val="007E013C"/>
    <w:rsid w:val="007E1247"/>
    <w:rsid w:val="007E1A44"/>
    <w:rsid w:val="007E2419"/>
    <w:rsid w:val="007E3FF5"/>
    <w:rsid w:val="007E4219"/>
    <w:rsid w:val="007E577E"/>
    <w:rsid w:val="007E635E"/>
    <w:rsid w:val="007E6A9C"/>
    <w:rsid w:val="007E6C0C"/>
    <w:rsid w:val="007E7300"/>
    <w:rsid w:val="007E767B"/>
    <w:rsid w:val="007F038C"/>
    <w:rsid w:val="007F0428"/>
    <w:rsid w:val="007F0F24"/>
    <w:rsid w:val="007F1755"/>
    <w:rsid w:val="007F1982"/>
    <w:rsid w:val="007F222B"/>
    <w:rsid w:val="007F2CBC"/>
    <w:rsid w:val="007F3092"/>
    <w:rsid w:val="007F30F9"/>
    <w:rsid w:val="007F39B8"/>
    <w:rsid w:val="007F3C03"/>
    <w:rsid w:val="007F3E3F"/>
    <w:rsid w:val="007F4463"/>
    <w:rsid w:val="007F45B4"/>
    <w:rsid w:val="007F45DF"/>
    <w:rsid w:val="007F4A6F"/>
    <w:rsid w:val="007F4FBC"/>
    <w:rsid w:val="007F5975"/>
    <w:rsid w:val="007F5AB9"/>
    <w:rsid w:val="007F6497"/>
    <w:rsid w:val="007F6836"/>
    <w:rsid w:val="007F7DF2"/>
    <w:rsid w:val="00800187"/>
    <w:rsid w:val="008005E6"/>
    <w:rsid w:val="00800A35"/>
    <w:rsid w:val="00800D91"/>
    <w:rsid w:val="008015F2"/>
    <w:rsid w:val="0080197C"/>
    <w:rsid w:val="00801A0E"/>
    <w:rsid w:val="00801DF3"/>
    <w:rsid w:val="00803AF8"/>
    <w:rsid w:val="00803C65"/>
    <w:rsid w:val="00804BC0"/>
    <w:rsid w:val="00804E3C"/>
    <w:rsid w:val="00804E4C"/>
    <w:rsid w:val="0080662C"/>
    <w:rsid w:val="008070B2"/>
    <w:rsid w:val="008075A2"/>
    <w:rsid w:val="00807D79"/>
    <w:rsid w:val="00810102"/>
    <w:rsid w:val="008102BC"/>
    <w:rsid w:val="00810A05"/>
    <w:rsid w:val="008116F3"/>
    <w:rsid w:val="008117C4"/>
    <w:rsid w:val="0081222E"/>
    <w:rsid w:val="00812461"/>
    <w:rsid w:val="008127E0"/>
    <w:rsid w:val="00812810"/>
    <w:rsid w:val="0081398E"/>
    <w:rsid w:val="008149D8"/>
    <w:rsid w:val="00814B1C"/>
    <w:rsid w:val="00815714"/>
    <w:rsid w:val="00815A2A"/>
    <w:rsid w:val="00815E62"/>
    <w:rsid w:val="008170A5"/>
    <w:rsid w:val="0081788A"/>
    <w:rsid w:val="00817927"/>
    <w:rsid w:val="00817CFC"/>
    <w:rsid w:val="00817E82"/>
    <w:rsid w:val="00821D81"/>
    <w:rsid w:val="00822519"/>
    <w:rsid w:val="00822A52"/>
    <w:rsid w:val="00823209"/>
    <w:rsid w:val="00823654"/>
    <w:rsid w:val="00823A90"/>
    <w:rsid w:val="00823B2E"/>
    <w:rsid w:val="00825559"/>
    <w:rsid w:val="00825C68"/>
    <w:rsid w:val="0082757E"/>
    <w:rsid w:val="00827661"/>
    <w:rsid w:val="0082769C"/>
    <w:rsid w:val="00827B29"/>
    <w:rsid w:val="00827B6C"/>
    <w:rsid w:val="00827D77"/>
    <w:rsid w:val="00830561"/>
    <w:rsid w:val="00831115"/>
    <w:rsid w:val="008316DE"/>
    <w:rsid w:val="0083249C"/>
    <w:rsid w:val="00832D42"/>
    <w:rsid w:val="008333A9"/>
    <w:rsid w:val="00833419"/>
    <w:rsid w:val="008342A5"/>
    <w:rsid w:val="00834B7C"/>
    <w:rsid w:val="00834BE2"/>
    <w:rsid w:val="00834EA4"/>
    <w:rsid w:val="00835049"/>
    <w:rsid w:val="008354B9"/>
    <w:rsid w:val="00835DCB"/>
    <w:rsid w:val="00836090"/>
    <w:rsid w:val="00836921"/>
    <w:rsid w:val="00836C36"/>
    <w:rsid w:val="00837237"/>
    <w:rsid w:val="008376C0"/>
    <w:rsid w:val="0084035D"/>
    <w:rsid w:val="00840426"/>
    <w:rsid w:val="008405F9"/>
    <w:rsid w:val="0084060B"/>
    <w:rsid w:val="0084139B"/>
    <w:rsid w:val="0084143B"/>
    <w:rsid w:val="008417D4"/>
    <w:rsid w:val="008424F2"/>
    <w:rsid w:val="00842547"/>
    <w:rsid w:val="008427D3"/>
    <w:rsid w:val="00842946"/>
    <w:rsid w:val="008429CF"/>
    <w:rsid w:val="0084324C"/>
    <w:rsid w:val="00844307"/>
    <w:rsid w:val="008443A3"/>
    <w:rsid w:val="008451F8"/>
    <w:rsid w:val="008457D2"/>
    <w:rsid w:val="00845AE6"/>
    <w:rsid w:val="00846212"/>
    <w:rsid w:val="008468E0"/>
    <w:rsid w:val="00846CF0"/>
    <w:rsid w:val="0084767E"/>
    <w:rsid w:val="0084790F"/>
    <w:rsid w:val="00847BE7"/>
    <w:rsid w:val="00850EAB"/>
    <w:rsid w:val="00851C80"/>
    <w:rsid w:val="00851D70"/>
    <w:rsid w:val="008529B3"/>
    <w:rsid w:val="00852ADD"/>
    <w:rsid w:val="00853883"/>
    <w:rsid w:val="00853EB9"/>
    <w:rsid w:val="00854CF7"/>
    <w:rsid w:val="00854DA7"/>
    <w:rsid w:val="008557A0"/>
    <w:rsid w:val="008559E6"/>
    <w:rsid w:val="00856607"/>
    <w:rsid w:val="00860ADD"/>
    <w:rsid w:val="008612EE"/>
    <w:rsid w:val="008616A2"/>
    <w:rsid w:val="00861C6C"/>
    <w:rsid w:val="00863862"/>
    <w:rsid w:val="00863AAD"/>
    <w:rsid w:val="00864644"/>
    <w:rsid w:val="00866296"/>
    <w:rsid w:val="008665C7"/>
    <w:rsid w:val="008707A3"/>
    <w:rsid w:val="00870A36"/>
    <w:rsid w:val="008711AE"/>
    <w:rsid w:val="00871874"/>
    <w:rsid w:val="00871A36"/>
    <w:rsid w:val="00872F21"/>
    <w:rsid w:val="00873736"/>
    <w:rsid w:val="0087378E"/>
    <w:rsid w:val="008737DF"/>
    <w:rsid w:val="008747B4"/>
    <w:rsid w:val="008755E7"/>
    <w:rsid w:val="00875E16"/>
    <w:rsid w:val="00877D03"/>
    <w:rsid w:val="00877E96"/>
    <w:rsid w:val="0088023D"/>
    <w:rsid w:val="0088036B"/>
    <w:rsid w:val="008803CE"/>
    <w:rsid w:val="00882077"/>
    <w:rsid w:val="008820D9"/>
    <w:rsid w:val="00883299"/>
    <w:rsid w:val="00883613"/>
    <w:rsid w:val="00884C27"/>
    <w:rsid w:val="0088557F"/>
    <w:rsid w:val="00886393"/>
    <w:rsid w:val="00886579"/>
    <w:rsid w:val="00886B03"/>
    <w:rsid w:val="00886F19"/>
    <w:rsid w:val="00887865"/>
    <w:rsid w:val="00887B37"/>
    <w:rsid w:val="00890598"/>
    <w:rsid w:val="0089065A"/>
    <w:rsid w:val="00890DEB"/>
    <w:rsid w:val="00890EFE"/>
    <w:rsid w:val="0089177A"/>
    <w:rsid w:val="00891D7A"/>
    <w:rsid w:val="00891DFC"/>
    <w:rsid w:val="00892B98"/>
    <w:rsid w:val="00893422"/>
    <w:rsid w:val="008945D2"/>
    <w:rsid w:val="008949A3"/>
    <w:rsid w:val="008959FC"/>
    <w:rsid w:val="0089605E"/>
    <w:rsid w:val="00896668"/>
    <w:rsid w:val="00896E9A"/>
    <w:rsid w:val="008A1BCC"/>
    <w:rsid w:val="008A1D0E"/>
    <w:rsid w:val="008A25EA"/>
    <w:rsid w:val="008A276E"/>
    <w:rsid w:val="008A2F6A"/>
    <w:rsid w:val="008A31C7"/>
    <w:rsid w:val="008A3215"/>
    <w:rsid w:val="008A3630"/>
    <w:rsid w:val="008A3E8B"/>
    <w:rsid w:val="008A47BE"/>
    <w:rsid w:val="008A4AEC"/>
    <w:rsid w:val="008A4DF4"/>
    <w:rsid w:val="008A5609"/>
    <w:rsid w:val="008A5697"/>
    <w:rsid w:val="008A6DD5"/>
    <w:rsid w:val="008A6DF0"/>
    <w:rsid w:val="008A6FA0"/>
    <w:rsid w:val="008A7A2D"/>
    <w:rsid w:val="008B0FAB"/>
    <w:rsid w:val="008B105C"/>
    <w:rsid w:val="008B15CE"/>
    <w:rsid w:val="008B1C4C"/>
    <w:rsid w:val="008B1C8F"/>
    <w:rsid w:val="008B2570"/>
    <w:rsid w:val="008B2B19"/>
    <w:rsid w:val="008B2F40"/>
    <w:rsid w:val="008B2FCD"/>
    <w:rsid w:val="008B3627"/>
    <w:rsid w:val="008B3EAD"/>
    <w:rsid w:val="008B49B6"/>
    <w:rsid w:val="008B4CAA"/>
    <w:rsid w:val="008B56A0"/>
    <w:rsid w:val="008B5AA1"/>
    <w:rsid w:val="008B5E61"/>
    <w:rsid w:val="008B64CE"/>
    <w:rsid w:val="008B68B4"/>
    <w:rsid w:val="008B7545"/>
    <w:rsid w:val="008B7914"/>
    <w:rsid w:val="008C0D0C"/>
    <w:rsid w:val="008C127A"/>
    <w:rsid w:val="008C18BD"/>
    <w:rsid w:val="008C1932"/>
    <w:rsid w:val="008C2C7F"/>
    <w:rsid w:val="008C2F0D"/>
    <w:rsid w:val="008C314A"/>
    <w:rsid w:val="008C364D"/>
    <w:rsid w:val="008C500C"/>
    <w:rsid w:val="008C5D2A"/>
    <w:rsid w:val="008C6754"/>
    <w:rsid w:val="008C6C16"/>
    <w:rsid w:val="008C74B4"/>
    <w:rsid w:val="008C74FB"/>
    <w:rsid w:val="008C7AF4"/>
    <w:rsid w:val="008C7DA4"/>
    <w:rsid w:val="008C7F6E"/>
    <w:rsid w:val="008D0210"/>
    <w:rsid w:val="008D033E"/>
    <w:rsid w:val="008D0835"/>
    <w:rsid w:val="008D0851"/>
    <w:rsid w:val="008D0DEF"/>
    <w:rsid w:val="008D0F8F"/>
    <w:rsid w:val="008D0FCD"/>
    <w:rsid w:val="008D1074"/>
    <w:rsid w:val="008D1079"/>
    <w:rsid w:val="008D2643"/>
    <w:rsid w:val="008D280F"/>
    <w:rsid w:val="008D318B"/>
    <w:rsid w:val="008D3994"/>
    <w:rsid w:val="008D3C3D"/>
    <w:rsid w:val="008D478E"/>
    <w:rsid w:val="008D534E"/>
    <w:rsid w:val="008D619B"/>
    <w:rsid w:val="008D6E81"/>
    <w:rsid w:val="008D7739"/>
    <w:rsid w:val="008D7A64"/>
    <w:rsid w:val="008D7A92"/>
    <w:rsid w:val="008E0302"/>
    <w:rsid w:val="008E1267"/>
    <w:rsid w:val="008E19FD"/>
    <w:rsid w:val="008E22F8"/>
    <w:rsid w:val="008E39D8"/>
    <w:rsid w:val="008E5D73"/>
    <w:rsid w:val="008E606F"/>
    <w:rsid w:val="008E61C1"/>
    <w:rsid w:val="008E6AD9"/>
    <w:rsid w:val="008F022A"/>
    <w:rsid w:val="008F06FD"/>
    <w:rsid w:val="008F1172"/>
    <w:rsid w:val="008F27E3"/>
    <w:rsid w:val="008F3485"/>
    <w:rsid w:val="008F3AC3"/>
    <w:rsid w:val="008F42DC"/>
    <w:rsid w:val="008F51FF"/>
    <w:rsid w:val="008F52FC"/>
    <w:rsid w:val="008F5DEF"/>
    <w:rsid w:val="008F61F2"/>
    <w:rsid w:val="008F7C0A"/>
    <w:rsid w:val="00900A07"/>
    <w:rsid w:val="00901DBB"/>
    <w:rsid w:val="009026CB"/>
    <w:rsid w:val="00902876"/>
    <w:rsid w:val="00903415"/>
    <w:rsid w:val="00903FB2"/>
    <w:rsid w:val="00904038"/>
    <w:rsid w:val="009041AF"/>
    <w:rsid w:val="009042AA"/>
    <w:rsid w:val="009049AB"/>
    <w:rsid w:val="009050B7"/>
    <w:rsid w:val="00905130"/>
    <w:rsid w:val="009053BD"/>
    <w:rsid w:val="00905728"/>
    <w:rsid w:val="009061B8"/>
    <w:rsid w:val="009064BF"/>
    <w:rsid w:val="009069B8"/>
    <w:rsid w:val="00907CFC"/>
    <w:rsid w:val="009130CC"/>
    <w:rsid w:val="00913AF7"/>
    <w:rsid w:val="00913B37"/>
    <w:rsid w:val="00914683"/>
    <w:rsid w:val="00914861"/>
    <w:rsid w:val="009148D8"/>
    <w:rsid w:val="00914B5F"/>
    <w:rsid w:val="00914E71"/>
    <w:rsid w:val="0091504C"/>
    <w:rsid w:val="00915897"/>
    <w:rsid w:val="00915B44"/>
    <w:rsid w:val="00915CD5"/>
    <w:rsid w:val="00916093"/>
    <w:rsid w:val="009160E3"/>
    <w:rsid w:val="0091639C"/>
    <w:rsid w:val="00916E99"/>
    <w:rsid w:val="0092002E"/>
    <w:rsid w:val="0092050A"/>
    <w:rsid w:val="00920EC6"/>
    <w:rsid w:val="0092101E"/>
    <w:rsid w:val="009227A1"/>
    <w:rsid w:val="0092383B"/>
    <w:rsid w:val="00923DCE"/>
    <w:rsid w:val="00924119"/>
    <w:rsid w:val="00924E47"/>
    <w:rsid w:val="00925120"/>
    <w:rsid w:val="009255FA"/>
    <w:rsid w:val="009262E4"/>
    <w:rsid w:val="009266D2"/>
    <w:rsid w:val="00927D4E"/>
    <w:rsid w:val="00930AC2"/>
    <w:rsid w:val="00930D2A"/>
    <w:rsid w:val="009312BF"/>
    <w:rsid w:val="00931680"/>
    <w:rsid w:val="00931B84"/>
    <w:rsid w:val="00932188"/>
    <w:rsid w:val="009322B2"/>
    <w:rsid w:val="009328DA"/>
    <w:rsid w:val="00932E7E"/>
    <w:rsid w:val="00933C87"/>
    <w:rsid w:val="0093442D"/>
    <w:rsid w:val="00934CD2"/>
    <w:rsid w:val="00935A35"/>
    <w:rsid w:val="00935F66"/>
    <w:rsid w:val="009375E5"/>
    <w:rsid w:val="00937BC5"/>
    <w:rsid w:val="00937D30"/>
    <w:rsid w:val="00941848"/>
    <w:rsid w:val="0094337A"/>
    <w:rsid w:val="009437F2"/>
    <w:rsid w:val="009442E8"/>
    <w:rsid w:val="00944901"/>
    <w:rsid w:val="00944BA7"/>
    <w:rsid w:val="00945331"/>
    <w:rsid w:val="0094636D"/>
    <w:rsid w:val="00947222"/>
    <w:rsid w:val="0094759C"/>
    <w:rsid w:val="00947AF0"/>
    <w:rsid w:val="009503FE"/>
    <w:rsid w:val="00950448"/>
    <w:rsid w:val="009507D4"/>
    <w:rsid w:val="00950ACD"/>
    <w:rsid w:val="00950E37"/>
    <w:rsid w:val="00951666"/>
    <w:rsid w:val="0095182F"/>
    <w:rsid w:val="00952524"/>
    <w:rsid w:val="0095278F"/>
    <w:rsid w:val="00953D2D"/>
    <w:rsid w:val="00953EAF"/>
    <w:rsid w:val="0095426C"/>
    <w:rsid w:val="00955EE9"/>
    <w:rsid w:val="00956BF5"/>
    <w:rsid w:val="009570CF"/>
    <w:rsid w:val="009571C2"/>
    <w:rsid w:val="009575C3"/>
    <w:rsid w:val="0095770C"/>
    <w:rsid w:val="009579AF"/>
    <w:rsid w:val="00957CC8"/>
    <w:rsid w:val="00957EE7"/>
    <w:rsid w:val="0096086A"/>
    <w:rsid w:val="00961453"/>
    <w:rsid w:val="009616D4"/>
    <w:rsid w:val="00962150"/>
    <w:rsid w:val="00964166"/>
    <w:rsid w:val="009645AD"/>
    <w:rsid w:val="0096475C"/>
    <w:rsid w:val="0096546E"/>
    <w:rsid w:val="0096562A"/>
    <w:rsid w:val="00965865"/>
    <w:rsid w:val="00966096"/>
    <w:rsid w:val="00966A13"/>
    <w:rsid w:val="00967473"/>
    <w:rsid w:val="00967730"/>
    <w:rsid w:val="00970D56"/>
    <w:rsid w:val="00970E50"/>
    <w:rsid w:val="00971074"/>
    <w:rsid w:val="009725B2"/>
    <w:rsid w:val="009747AA"/>
    <w:rsid w:val="00974B99"/>
    <w:rsid w:val="00974BCB"/>
    <w:rsid w:val="0097529C"/>
    <w:rsid w:val="00975361"/>
    <w:rsid w:val="009758CD"/>
    <w:rsid w:val="00975AEF"/>
    <w:rsid w:val="00975BF2"/>
    <w:rsid w:val="0097616C"/>
    <w:rsid w:val="009763E4"/>
    <w:rsid w:val="0097649D"/>
    <w:rsid w:val="0097654D"/>
    <w:rsid w:val="009766B7"/>
    <w:rsid w:val="00977C23"/>
    <w:rsid w:val="00980974"/>
    <w:rsid w:val="00980A22"/>
    <w:rsid w:val="00980D85"/>
    <w:rsid w:val="009810A1"/>
    <w:rsid w:val="00981E09"/>
    <w:rsid w:val="00983094"/>
    <w:rsid w:val="00983599"/>
    <w:rsid w:val="00983A34"/>
    <w:rsid w:val="009843DE"/>
    <w:rsid w:val="0098544F"/>
    <w:rsid w:val="00985B04"/>
    <w:rsid w:val="00986A6D"/>
    <w:rsid w:val="00986BEF"/>
    <w:rsid w:val="00987298"/>
    <w:rsid w:val="009872D8"/>
    <w:rsid w:val="00987B34"/>
    <w:rsid w:val="00987D84"/>
    <w:rsid w:val="00991DF8"/>
    <w:rsid w:val="00991F7D"/>
    <w:rsid w:val="00992499"/>
    <w:rsid w:val="00992986"/>
    <w:rsid w:val="009936E2"/>
    <w:rsid w:val="00994B55"/>
    <w:rsid w:val="00995D86"/>
    <w:rsid w:val="00995FB2"/>
    <w:rsid w:val="0099781E"/>
    <w:rsid w:val="00997A68"/>
    <w:rsid w:val="009A00EA"/>
    <w:rsid w:val="009A0587"/>
    <w:rsid w:val="009A0DA2"/>
    <w:rsid w:val="009A1F6B"/>
    <w:rsid w:val="009A2C4C"/>
    <w:rsid w:val="009A2DD8"/>
    <w:rsid w:val="009A30DE"/>
    <w:rsid w:val="009A3D29"/>
    <w:rsid w:val="009A509F"/>
    <w:rsid w:val="009A5453"/>
    <w:rsid w:val="009A6A7B"/>
    <w:rsid w:val="009A7532"/>
    <w:rsid w:val="009A7883"/>
    <w:rsid w:val="009B0596"/>
    <w:rsid w:val="009B0F0D"/>
    <w:rsid w:val="009B114C"/>
    <w:rsid w:val="009B1D50"/>
    <w:rsid w:val="009B22E2"/>
    <w:rsid w:val="009B237F"/>
    <w:rsid w:val="009B2760"/>
    <w:rsid w:val="009B308D"/>
    <w:rsid w:val="009B38D5"/>
    <w:rsid w:val="009B3B62"/>
    <w:rsid w:val="009B3C8D"/>
    <w:rsid w:val="009B4FFB"/>
    <w:rsid w:val="009B53C7"/>
    <w:rsid w:val="009B6758"/>
    <w:rsid w:val="009B6A0D"/>
    <w:rsid w:val="009B7489"/>
    <w:rsid w:val="009B7987"/>
    <w:rsid w:val="009B7B0A"/>
    <w:rsid w:val="009C07C9"/>
    <w:rsid w:val="009C08D7"/>
    <w:rsid w:val="009C1866"/>
    <w:rsid w:val="009C1FDE"/>
    <w:rsid w:val="009C23FE"/>
    <w:rsid w:val="009C375C"/>
    <w:rsid w:val="009C4839"/>
    <w:rsid w:val="009C4E0D"/>
    <w:rsid w:val="009C4F1B"/>
    <w:rsid w:val="009C503B"/>
    <w:rsid w:val="009C503E"/>
    <w:rsid w:val="009C5793"/>
    <w:rsid w:val="009C5816"/>
    <w:rsid w:val="009C61EA"/>
    <w:rsid w:val="009C63EC"/>
    <w:rsid w:val="009C7777"/>
    <w:rsid w:val="009C7DAC"/>
    <w:rsid w:val="009D077D"/>
    <w:rsid w:val="009D08A6"/>
    <w:rsid w:val="009D1915"/>
    <w:rsid w:val="009D1B69"/>
    <w:rsid w:val="009D1EB3"/>
    <w:rsid w:val="009D2ABF"/>
    <w:rsid w:val="009D34F6"/>
    <w:rsid w:val="009D3793"/>
    <w:rsid w:val="009D3AD2"/>
    <w:rsid w:val="009D3E06"/>
    <w:rsid w:val="009D5843"/>
    <w:rsid w:val="009D638D"/>
    <w:rsid w:val="009D6393"/>
    <w:rsid w:val="009E0885"/>
    <w:rsid w:val="009E1CC8"/>
    <w:rsid w:val="009E2827"/>
    <w:rsid w:val="009E30D2"/>
    <w:rsid w:val="009E42CE"/>
    <w:rsid w:val="009E4885"/>
    <w:rsid w:val="009E508B"/>
    <w:rsid w:val="009E6A00"/>
    <w:rsid w:val="009F0086"/>
    <w:rsid w:val="009F03AB"/>
    <w:rsid w:val="009F0471"/>
    <w:rsid w:val="009F0619"/>
    <w:rsid w:val="009F068A"/>
    <w:rsid w:val="009F08C5"/>
    <w:rsid w:val="009F0A85"/>
    <w:rsid w:val="009F1260"/>
    <w:rsid w:val="009F15CA"/>
    <w:rsid w:val="009F1B71"/>
    <w:rsid w:val="009F220A"/>
    <w:rsid w:val="009F356A"/>
    <w:rsid w:val="009F36D6"/>
    <w:rsid w:val="009F6575"/>
    <w:rsid w:val="009F6799"/>
    <w:rsid w:val="009F7ADC"/>
    <w:rsid w:val="00A0002A"/>
    <w:rsid w:val="00A00B74"/>
    <w:rsid w:val="00A0236D"/>
    <w:rsid w:val="00A02985"/>
    <w:rsid w:val="00A02B2B"/>
    <w:rsid w:val="00A02FA8"/>
    <w:rsid w:val="00A02FB8"/>
    <w:rsid w:val="00A03F1A"/>
    <w:rsid w:val="00A03F74"/>
    <w:rsid w:val="00A03F88"/>
    <w:rsid w:val="00A043EB"/>
    <w:rsid w:val="00A046BF"/>
    <w:rsid w:val="00A05820"/>
    <w:rsid w:val="00A05B25"/>
    <w:rsid w:val="00A05C04"/>
    <w:rsid w:val="00A05EC0"/>
    <w:rsid w:val="00A06254"/>
    <w:rsid w:val="00A06842"/>
    <w:rsid w:val="00A07369"/>
    <w:rsid w:val="00A07459"/>
    <w:rsid w:val="00A07D78"/>
    <w:rsid w:val="00A07DB6"/>
    <w:rsid w:val="00A1094D"/>
    <w:rsid w:val="00A10972"/>
    <w:rsid w:val="00A11406"/>
    <w:rsid w:val="00A13205"/>
    <w:rsid w:val="00A132A1"/>
    <w:rsid w:val="00A13422"/>
    <w:rsid w:val="00A135C9"/>
    <w:rsid w:val="00A15132"/>
    <w:rsid w:val="00A1554D"/>
    <w:rsid w:val="00A15792"/>
    <w:rsid w:val="00A158E3"/>
    <w:rsid w:val="00A1591A"/>
    <w:rsid w:val="00A172E0"/>
    <w:rsid w:val="00A17527"/>
    <w:rsid w:val="00A17635"/>
    <w:rsid w:val="00A211C5"/>
    <w:rsid w:val="00A221A3"/>
    <w:rsid w:val="00A223D5"/>
    <w:rsid w:val="00A235E4"/>
    <w:rsid w:val="00A23829"/>
    <w:rsid w:val="00A23F41"/>
    <w:rsid w:val="00A24270"/>
    <w:rsid w:val="00A25547"/>
    <w:rsid w:val="00A25F76"/>
    <w:rsid w:val="00A3003E"/>
    <w:rsid w:val="00A31E14"/>
    <w:rsid w:val="00A3325E"/>
    <w:rsid w:val="00A334D6"/>
    <w:rsid w:val="00A34276"/>
    <w:rsid w:val="00A34524"/>
    <w:rsid w:val="00A345B6"/>
    <w:rsid w:val="00A357A4"/>
    <w:rsid w:val="00A35CDF"/>
    <w:rsid w:val="00A36453"/>
    <w:rsid w:val="00A37970"/>
    <w:rsid w:val="00A37A68"/>
    <w:rsid w:val="00A37B0C"/>
    <w:rsid w:val="00A37CE6"/>
    <w:rsid w:val="00A37D1C"/>
    <w:rsid w:val="00A37FFE"/>
    <w:rsid w:val="00A404BE"/>
    <w:rsid w:val="00A40ECF"/>
    <w:rsid w:val="00A411C9"/>
    <w:rsid w:val="00A41FEF"/>
    <w:rsid w:val="00A42476"/>
    <w:rsid w:val="00A433CA"/>
    <w:rsid w:val="00A43A1A"/>
    <w:rsid w:val="00A43D48"/>
    <w:rsid w:val="00A43F3C"/>
    <w:rsid w:val="00A447A5"/>
    <w:rsid w:val="00A45B83"/>
    <w:rsid w:val="00A4646E"/>
    <w:rsid w:val="00A468FD"/>
    <w:rsid w:val="00A46921"/>
    <w:rsid w:val="00A47249"/>
    <w:rsid w:val="00A47E3B"/>
    <w:rsid w:val="00A501C7"/>
    <w:rsid w:val="00A5058A"/>
    <w:rsid w:val="00A50905"/>
    <w:rsid w:val="00A513FD"/>
    <w:rsid w:val="00A5254B"/>
    <w:rsid w:val="00A52BC1"/>
    <w:rsid w:val="00A5347F"/>
    <w:rsid w:val="00A534A0"/>
    <w:rsid w:val="00A537EA"/>
    <w:rsid w:val="00A539AD"/>
    <w:rsid w:val="00A53E3E"/>
    <w:rsid w:val="00A540B2"/>
    <w:rsid w:val="00A5414D"/>
    <w:rsid w:val="00A54A3E"/>
    <w:rsid w:val="00A54C08"/>
    <w:rsid w:val="00A556B7"/>
    <w:rsid w:val="00A562B5"/>
    <w:rsid w:val="00A564A6"/>
    <w:rsid w:val="00A56819"/>
    <w:rsid w:val="00A568AC"/>
    <w:rsid w:val="00A56A78"/>
    <w:rsid w:val="00A6025F"/>
    <w:rsid w:val="00A60E9C"/>
    <w:rsid w:val="00A61196"/>
    <w:rsid w:val="00A6131E"/>
    <w:rsid w:val="00A616AF"/>
    <w:rsid w:val="00A61879"/>
    <w:rsid w:val="00A628B4"/>
    <w:rsid w:val="00A62E6A"/>
    <w:rsid w:val="00A63E4E"/>
    <w:rsid w:val="00A6444F"/>
    <w:rsid w:val="00A652FF"/>
    <w:rsid w:val="00A65982"/>
    <w:rsid w:val="00A65A0D"/>
    <w:rsid w:val="00A65C27"/>
    <w:rsid w:val="00A65F3C"/>
    <w:rsid w:val="00A661FD"/>
    <w:rsid w:val="00A66E75"/>
    <w:rsid w:val="00A66FB3"/>
    <w:rsid w:val="00A67832"/>
    <w:rsid w:val="00A67A2C"/>
    <w:rsid w:val="00A709A3"/>
    <w:rsid w:val="00A71187"/>
    <w:rsid w:val="00A71216"/>
    <w:rsid w:val="00A714A3"/>
    <w:rsid w:val="00A71B8B"/>
    <w:rsid w:val="00A74DE0"/>
    <w:rsid w:val="00A75089"/>
    <w:rsid w:val="00A75EDC"/>
    <w:rsid w:val="00A80404"/>
    <w:rsid w:val="00A80548"/>
    <w:rsid w:val="00A8085F"/>
    <w:rsid w:val="00A80A3D"/>
    <w:rsid w:val="00A817A8"/>
    <w:rsid w:val="00A81E50"/>
    <w:rsid w:val="00A81F1C"/>
    <w:rsid w:val="00A82602"/>
    <w:rsid w:val="00A82DA0"/>
    <w:rsid w:val="00A83E49"/>
    <w:rsid w:val="00A8401C"/>
    <w:rsid w:val="00A8415A"/>
    <w:rsid w:val="00A841A6"/>
    <w:rsid w:val="00A84221"/>
    <w:rsid w:val="00A843CA"/>
    <w:rsid w:val="00A84B7A"/>
    <w:rsid w:val="00A85063"/>
    <w:rsid w:val="00A86359"/>
    <w:rsid w:val="00A86FBC"/>
    <w:rsid w:val="00A879C5"/>
    <w:rsid w:val="00A902AD"/>
    <w:rsid w:val="00A90302"/>
    <w:rsid w:val="00A9099E"/>
    <w:rsid w:val="00A91FB7"/>
    <w:rsid w:val="00A9298F"/>
    <w:rsid w:val="00A9301E"/>
    <w:rsid w:val="00A93E3A"/>
    <w:rsid w:val="00A95186"/>
    <w:rsid w:val="00A951AD"/>
    <w:rsid w:val="00A961BD"/>
    <w:rsid w:val="00A973B1"/>
    <w:rsid w:val="00A97FC2"/>
    <w:rsid w:val="00AA027E"/>
    <w:rsid w:val="00AA1224"/>
    <w:rsid w:val="00AA14F2"/>
    <w:rsid w:val="00AA180B"/>
    <w:rsid w:val="00AA1BBC"/>
    <w:rsid w:val="00AA1D43"/>
    <w:rsid w:val="00AA2358"/>
    <w:rsid w:val="00AA2469"/>
    <w:rsid w:val="00AA2CD7"/>
    <w:rsid w:val="00AA2FA4"/>
    <w:rsid w:val="00AA3301"/>
    <w:rsid w:val="00AA3360"/>
    <w:rsid w:val="00AA386B"/>
    <w:rsid w:val="00AA6220"/>
    <w:rsid w:val="00AA6384"/>
    <w:rsid w:val="00AA6B93"/>
    <w:rsid w:val="00AA7A06"/>
    <w:rsid w:val="00AA7A7F"/>
    <w:rsid w:val="00AB1984"/>
    <w:rsid w:val="00AB1CBB"/>
    <w:rsid w:val="00AB215B"/>
    <w:rsid w:val="00AB3146"/>
    <w:rsid w:val="00AB323C"/>
    <w:rsid w:val="00AB333E"/>
    <w:rsid w:val="00AB37DB"/>
    <w:rsid w:val="00AB3ECC"/>
    <w:rsid w:val="00AB54B5"/>
    <w:rsid w:val="00AB5A73"/>
    <w:rsid w:val="00AB5F48"/>
    <w:rsid w:val="00AB7156"/>
    <w:rsid w:val="00AB716D"/>
    <w:rsid w:val="00AB72BB"/>
    <w:rsid w:val="00AB7472"/>
    <w:rsid w:val="00AB7BD0"/>
    <w:rsid w:val="00AB7BF3"/>
    <w:rsid w:val="00AC09D5"/>
    <w:rsid w:val="00AC0D8E"/>
    <w:rsid w:val="00AC175B"/>
    <w:rsid w:val="00AC1AA3"/>
    <w:rsid w:val="00AC1F8E"/>
    <w:rsid w:val="00AC22C1"/>
    <w:rsid w:val="00AC2726"/>
    <w:rsid w:val="00AC2F99"/>
    <w:rsid w:val="00AC374B"/>
    <w:rsid w:val="00AC3798"/>
    <w:rsid w:val="00AC3ED5"/>
    <w:rsid w:val="00AC4CB3"/>
    <w:rsid w:val="00AC4D7C"/>
    <w:rsid w:val="00AC51BE"/>
    <w:rsid w:val="00AC53B0"/>
    <w:rsid w:val="00AC6EF2"/>
    <w:rsid w:val="00AC71A6"/>
    <w:rsid w:val="00AC742F"/>
    <w:rsid w:val="00AC7664"/>
    <w:rsid w:val="00AC774F"/>
    <w:rsid w:val="00AC780D"/>
    <w:rsid w:val="00AC787B"/>
    <w:rsid w:val="00AC78A0"/>
    <w:rsid w:val="00AC7956"/>
    <w:rsid w:val="00AC7E18"/>
    <w:rsid w:val="00AD1B79"/>
    <w:rsid w:val="00AD1C7C"/>
    <w:rsid w:val="00AD31F7"/>
    <w:rsid w:val="00AD3208"/>
    <w:rsid w:val="00AD3437"/>
    <w:rsid w:val="00AD3C00"/>
    <w:rsid w:val="00AD50F8"/>
    <w:rsid w:val="00AD719F"/>
    <w:rsid w:val="00AD7447"/>
    <w:rsid w:val="00AD7D36"/>
    <w:rsid w:val="00AE0A0E"/>
    <w:rsid w:val="00AE0DED"/>
    <w:rsid w:val="00AE12ED"/>
    <w:rsid w:val="00AE1D05"/>
    <w:rsid w:val="00AE2780"/>
    <w:rsid w:val="00AE284A"/>
    <w:rsid w:val="00AE2DBE"/>
    <w:rsid w:val="00AE307E"/>
    <w:rsid w:val="00AE3450"/>
    <w:rsid w:val="00AE392E"/>
    <w:rsid w:val="00AE3E11"/>
    <w:rsid w:val="00AE40B3"/>
    <w:rsid w:val="00AE4BDC"/>
    <w:rsid w:val="00AE4CFD"/>
    <w:rsid w:val="00AE4EA6"/>
    <w:rsid w:val="00AE51FF"/>
    <w:rsid w:val="00AE55AD"/>
    <w:rsid w:val="00AE5D8F"/>
    <w:rsid w:val="00AE67D5"/>
    <w:rsid w:val="00AE78ED"/>
    <w:rsid w:val="00AE7AC2"/>
    <w:rsid w:val="00AE7EC9"/>
    <w:rsid w:val="00AF1117"/>
    <w:rsid w:val="00AF1555"/>
    <w:rsid w:val="00AF174E"/>
    <w:rsid w:val="00AF18BA"/>
    <w:rsid w:val="00AF1CA5"/>
    <w:rsid w:val="00AF228C"/>
    <w:rsid w:val="00AF2DB9"/>
    <w:rsid w:val="00AF3928"/>
    <w:rsid w:val="00AF3B55"/>
    <w:rsid w:val="00AF3D62"/>
    <w:rsid w:val="00AF4146"/>
    <w:rsid w:val="00AF56FE"/>
    <w:rsid w:val="00AF6AC5"/>
    <w:rsid w:val="00AF7809"/>
    <w:rsid w:val="00AF7CA7"/>
    <w:rsid w:val="00AF7F7B"/>
    <w:rsid w:val="00B00BDE"/>
    <w:rsid w:val="00B0104B"/>
    <w:rsid w:val="00B01EC7"/>
    <w:rsid w:val="00B021E0"/>
    <w:rsid w:val="00B03A30"/>
    <w:rsid w:val="00B03A35"/>
    <w:rsid w:val="00B04F99"/>
    <w:rsid w:val="00B057B6"/>
    <w:rsid w:val="00B05A7C"/>
    <w:rsid w:val="00B06361"/>
    <w:rsid w:val="00B0651D"/>
    <w:rsid w:val="00B06955"/>
    <w:rsid w:val="00B07BEA"/>
    <w:rsid w:val="00B07F41"/>
    <w:rsid w:val="00B102F9"/>
    <w:rsid w:val="00B11C80"/>
    <w:rsid w:val="00B12152"/>
    <w:rsid w:val="00B12DCA"/>
    <w:rsid w:val="00B13ECB"/>
    <w:rsid w:val="00B1524F"/>
    <w:rsid w:val="00B1555E"/>
    <w:rsid w:val="00B15A54"/>
    <w:rsid w:val="00B15ECF"/>
    <w:rsid w:val="00B169CD"/>
    <w:rsid w:val="00B16C0A"/>
    <w:rsid w:val="00B17F60"/>
    <w:rsid w:val="00B2039A"/>
    <w:rsid w:val="00B20AC8"/>
    <w:rsid w:val="00B215D5"/>
    <w:rsid w:val="00B21D55"/>
    <w:rsid w:val="00B225CB"/>
    <w:rsid w:val="00B22870"/>
    <w:rsid w:val="00B22A22"/>
    <w:rsid w:val="00B22AA6"/>
    <w:rsid w:val="00B23D85"/>
    <w:rsid w:val="00B23F4C"/>
    <w:rsid w:val="00B24233"/>
    <w:rsid w:val="00B246DD"/>
    <w:rsid w:val="00B248D8"/>
    <w:rsid w:val="00B24BA7"/>
    <w:rsid w:val="00B25A6F"/>
    <w:rsid w:val="00B25CD9"/>
    <w:rsid w:val="00B268D0"/>
    <w:rsid w:val="00B269D3"/>
    <w:rsid w:val="00B27F44"/>
    <w:rsid w:val="00B301ED"/>
    <w:rsid w:val="00B3032D"/>
    <w:rsid w:val="00B30448"/>
    <w:rsid w:val="00B3048B"/>
    <w:rsid w:val="00B306A3"/>
    <w:rsid w:val="00B30C49"/>
    <w:rsid w:val="00B30D75"/>
    <w:rsid w:val="00B30DAD"/>
    <w:rsid w:val="00B31315"/>
    <w:rsid w:val="00B31C8A"/>
    <w:rsid w:val="00B3260E"/>
    <w:rsid w:val="00B32C4B"/>
    <w:rsid w:val="00B3407E"/>
    <w:rsid w:val="00B34C84"/>
    <w:rsid w:val="00B34D6A"/>
    <w:rsid w:val="00B35021"/>
    <w:rsid w:val="00B35749"/>
    <w:rsid w:val="00B35EF5"/>
    <w:rsid w:val="00B3677F"/>
    <w:rsid w:val="00B36872"/>
    <w:rsid w:val="00B3704D"/>
    <w:rsid w:val="00B37071"/>
    <w:rsid w:val="00B40162"/>
    <w:rsid w:val="00B4054D"/>
    <w:rsid w:val="00B40FDB"/>
    <w:rsid w:val="00B41C6D"/>
    <w:rsid w:val="00B420B2"/>
    <w:rsid w:val="00B42800"/>
    <w:rsid w:val="00B42832"/>
    <w:rsid w:val="00B42863"/>
    <w:rsid w:val="00B430F6"/>
    <w:rsid w:val="00B43511"/>
    <w:rsid w:val="00B43CE6"/>
    <w:rsid w:val="00B44053"/>
    <w:rsid w:val="00B45528"/>
    <w:rsid w:val="00B46B6E"/>
    <w:rsid w:val="00B478FA"/>
    <w:rsid w:val="00B50156"/>
    <w:rsid w:val="00B501E8"/>
    <w:rsid w:val="00B502A3"/>
    <w:rsid w:val="00B506D4"/>
    <w:rsid w:val="00B507AA"/>
    <w:rsid w:val="00B50953"/>
    <w:rsid w:val="00B509AE"/>
    <w:rsid w:val="00B50C39"/>
    <w:rsid w:val="00B50E13"/>
    <w:rsid w:val="00B51581"/>
    <w:rsid w:val="00B518AD"/>
    <w:rsid w:val="00B51BB6"/>
    <w:rsid w:val="00B52056"/>
    <w:rsid w:val="00B52B0E"/>
    <w:rsid w:val="00B52D81"/>
    <w:rsid w:val="00B5355B"/>
    <w:rsid w:val="00B5402E"/>
    <w:rsid w:val="00B540E8"/>
    <w:rsid w:val="00B54681"/>
    <w:rsid w:val="00B55852"/>
    <w:rsid w:val="00B560A9"/>
    <w:rsid w:val="00B56866"/>
    <w:rsid w:val="00B56CC4"/>
    <w:rsid w:val="00B604BB"/>
    <w:rsid w:val="00B6062A"/>
    <w:rsid w:val="00B60A96"/>
    <w:rsid w:val="00B60DD7"/>
    <w:rsid w:val="00B60EB6"/>
    <w:rsid w:val="00B60EE5"/>
    <w:rsid w:val="00B616A5"/>
    <w:rsid w:val="00B628BE"/>
    <w:rsid w:val="00B637FB"/>
    <w:rsid w:val="00B6386F"/>
    <w:rsid w:val="00B64907"/>
    <w:rsid w:val="00B64DE4"/>
    <w:rsid w:val="00B65D9B"/>
    <w:rsid w:val="00B66E51"/>
    <w:rsid w:val="00B67145"/>
    <w:rsid w:val="00B67346"/>
    <w:rsid w:val="00B6793A"/>
    <w:rsid w:val="00B67AC3"/>
    <w:rsid w:val="00B70880"/>
    <w:rsid w:val="00B71422"/>
    <w:rsid w:val="00B71486"/>
    <w:rsid w:val="00B71607"/>
    <w:rsid w:val="00B71EF7"/>
    <w:rsid w:val="00B72361"/>
    <w:rsid w:val="00B72A8E"/>
    <w:rsid w:val="00B74AB0"/>
    <w:rsid w:val="00B75345"/>
    <w:rsid w:val="00B76327"/>
    <w:rsid w:val="00B76400"/>
    <w:rsid w:val="00B76C94"/>
    <w:rsid w:val="00B76D4E"/>
    <w:rsid w:val="00B76D6E"/>
    <w:rsid w:val="00B771AA"/>
    <w:rsid w:val="00B772D0"/>
    <w:rsid w:val="00B804A2"/>
    <w:rsid w:val="00B80A99"/>
    <w:rsid w:val="00B80F12"/>
    <w:rsid w:val="00B80F4E"/>
    <w:rsid w:val="00B814CF"/>
    <w:rsid w:val="00B81A33"/>
    <w:rsid w:val="00B82B2D"/>
    <w:rsid w:val="00B83117"/>
    <w:rsid w:val="00B8319C"/>
    <w:rsid w:val="00B85791"/>
    <w:rsid w:val="00B864A3"/>
    <w:rsid w:val="00B90351"/>
    <w:rsid w:val="00B906F2"/>
    <w:rsid w:val="00B90D9B"/>
    <w:rsid w:val="00B91259"/>
    <w:rsid w:val="00B91B81"/>
    <w:rsid w:val="00B91FF0"/>
    <w:rsid w:val="00B926A8"/>
    <w:rsid w:val="00B92FFF"/>
    <w:rsid w:val="00B936F8"/>
    <w:rsid w:val="00B9492E"/>
    <w:rsid w:val="00B94E75"/>
    <w:rsid w:val="00B9530C"/>
    <w:rsid w:val="00B95895"/>
    <w:rsid w:val="00B96799"/>
    <w:rsid w:val="00B96DE5"/>
    <w:rsid w:val="00B976E4"/>
    <w:rsid w:val="00B97A76"/>
    <w:rsid w:val="00BA0166"/>
    <w:rsid w:val="00BA0584"/>
    <w:rsid w:val="00BA0755"/>
    <w:rsid w:val="00BA1E9D"/>
    <w:rsid w:val="00BA249D"/>
    <w:rsid w:val="00BA348A"/>
    <w:rsid w:val="00BA3C66"/>
    <w:rsid w:val="00BA3C80"/>
    <w:rsid w:val="00BA4D00"/>
    <w:rsid w:val="00BA4F9B"/>
    <w:rsid w:val="00BA5665"/>
    <w:rsid w:val="00BA72D9"/>
    <w:rsid w:val="00BA764F"/>
    <w:rsid w:val="00BB0628"/>
    <w:rsid w:val="00BB0AB5"/>
    <w:rsid w:val="00BB195B"/>
    <w:rsid w:val="00BB1BBA"/>
    <w:rsid w:val="00BB204A"/>
    <w:rsid w:val="00BB31DF"/>
    <w:rsid w:val="00BB33E9"/>
    <w:rsid w:val="00BB34B7"/>
    <w:rsid w:val="00BB3BE4"/>
    <w:rsid w:val="00BB44DB"/>
    <w:rsid w:val="00BB57D3"/>
    <w:rsid w:val="00BB58EE"/>
    <w:rsid w:val="00BB5C57"/>
    <w:rsid w:val="00BB64EC"/>
    <w:rsid w:val="00BB7589"/>
    <w:rsid w:val="00BB7668"/>
    <w:rsid w:val="00BB7B26"/>
    <w:rsid w:val="00BB7E42"/>
    <w:rsid w:val="00BC077E"/>
    <w:rsid w:val="00BC0E57"/>
    <w:rsid w:val="00BC12A9"/>
    <w:rsid w:val="00BC1F5F"/>
    <w:rsid w:val="00BC21BE"/>
    <w:rsid w:val="00BC2465"/>
    <w:rsid w:val="00BC3E36"/>
    <w:rsid w:val="00BC4107"/>
    <w:rsid w:val="00BC4B2D"/>
    <w:rsid w:val="00BC4CE8"/>
    <w:rsid w:val="00BC4D54"/>
    <w:rsid w:val="00BC5EBE"/>
    <w:rsid w:val="00BC6E2F"/>
    <w:rsid w:val="00BC728A"/>
    <w:rsid w:val="00BC7632"/>
    <w:rsid w:val="00BC77A4"/>
    <w:rsid w:val="00BC7C9E"/>
    <w:rsid w:val="00BD1E79"/>
    <w:rsid w:val="00BD23A5"/>
    <w:rsid w:val="00BD2937"/>
    <w:rsid w:val="00BD2AFC"/>
    <w:rsid w:val="00BD2CD4"/>
    <w:rsid w:val="00BD3143"/>
    <w:rsid w:val="00BD330C"/>
    <w:rsid w:val="00BD3368"/>
    <w:rsid w:val="00BD359B"/>
    <w:rsid w:val="00BD3663"/>
    <w:rsid w:val="00BD367F"/>
    <w:rsid w:val="00BD4871"/>
    <w:rsid w:val="00BD48A9"/>
    <w:rsid w:val="00BD4B19"/>
    <w:rsid w:val="00BD4B47"/>
    <w:rsid w:val="00BD5712"/>
    <w:rsid w:val="00BD581A"/>
    <w:rsid w:val="00BD5C02"/>
    <w:rsid w:val="00BD658C"/>
    <w:rsid w:val="00BD678A"/>
    <w:rsid w:val="00BD6819"/>
    <w:rsid w:val="00BD70B0"/>
    <w:rsid w:val="00BD7EC6"/>
    <w:rsid w:val="00BD7EDA"/>
    <w:rsid w:val="00BE063A"/>
    <w:rsid w:val="00BE0FF2"/>
    <w:rsid w:val="00BE1345"/>
    <w:rsid w:val="00BE18BC"/>
    <w:rsid w:val="00BE2147"/>
    <w:rsid w:val="00BE239E"/>
    <w:rsid w:val="00BE3B83"/>
    <w:rsid w:val="00BE3C67"/>
    <w:rsid w:val="00BE3CF7"/>
    <w:rsid w:val="00BE42FC"/>
    <w:rsid w:val="00BE6085"/>
    <w:rsid w:val="00BE66FC"/>
    <w:rsid w:val="00BE73FA"/>
    <w:rsid w:val="00BE7C64"/>
    <w:rsid w:val="00BF00D1"/>
    <w:rsid w:val="00BF0353"/>
    <w:rsid w:val="00BF0634"/>
    <w:rsid w:val="00BF090A"/>
    <w:rsid w:val="00BF0918"/>
    <w:rsid w:val="00BF2001"/>
    <w:rsid w:val="00BF2575"/>
    <w:rsid w:val="00BF31A0"/>
    <w:rsid w:val="00BF323A"/>
    <w:rsid w:val="00BF36C0"/>
    <w:rsid w:val="00BF3F0A"/>
    <w:rsid w:val="00BF4E35"/>
    <w:rsid w:val="00BF5FB3"/>
    <w:rsid w:val="00BF6F82"/>
    <w:rsid w:val="00BF78FE"/>
    <w:rsid w:val="00BF7B9B"/>
    <w:rsid w:val="00C0083F"/>
    <w:rsid w:val="00C00976"/>
    <w:rsid w:val="00C00C47"/>
    <w:rsid w:val="00C020CD"/>
    <w:rsid w:val="00C02DDE"/>
    <w:rsid w:val="00C0362D"/>
    <w:rsid w:val="00C0367B"/>
    <w:rsid w:val="00C04E51"/>
    <w:rsid w:val="00C05074"/>
    <w:rsid w:val="00C05AF9"/>
    <w:rsid w:val="00C060A3"/>
    <w:rsid w:val="00C060B0"/>
    <w:rsid w:val="00C06D2C"/>
    <w:rsid w:val="00C072F0"/>
    <w:rsid w:val="00C07344"/>
    <w:rsid w:val="00C079A3"/>
    <w:rsid w:val="00C07C1F"/>
    <w:rsid w:val="00C07C79"/>
    <w:rsid w:val="00C11A79"/>
    <w:rsid w:val="00C11B06"/>
    <w:rsid w:val="00C120E9"/>
    <w:rsid w:val="00C1211E"/>
    <w:rsid w:val="00C13607"/>
    <w:rsid w:val="00C137B1"/>
    <w:rsid w:val="00C13B43"/>
    <w:rsid w:val="00C15E81"/>
    <w:rsid w:val="00C17034"/>
    <w:rsid w:val="00C174C9"/>
    <w:rsid w:val="00C17B6E"/>
    <w:rsid w:val="00C200BA"/>
    <w:rsid w:val="00C20748"/>
    <w:rsid w:val="00C20754"/>
    <w:rsid w:val="00C21378"/>
    <w:rsid w:val="00C21E1D"/>
    <w:rsid w:val="00C220A5"/>
    <w:rsid w:val="00C22307"/>
    <w:rsid w:val="00C22BB2"/>
    <w:rsid w:val="00C22EAF"/>
    <w:rsid w:val="00C23150"/>
    <w:rsid w:val="00C24580"/>
    <w:rsid w:val="00C24908"/>
    <w:rsid w:val="00C250E8"/>
    <w:rsid w:val="00C2515F"/>
    <w:rsid w:val="00C25B30"/>
    <w:rsid w:val="00C25DCF"/>
    <w:rsid w:val="00C26AEA"/>
    <w:rsid w:val="00C26EA3"/>
    <w:rsid w:val="00C276EC"/>
    <w:rsid w:val="00C27C0A"/>
    <w:rsid w:val="00C31AD4"/>
    <w:rsid w:val="00C31C63"/>
    <w:rsid w:val="00C31CD9"/>
    <w:rsid w:val="00C32481"/>
    <w:rsid w:val="00C3394C"/>
    <w:rsid w:val="00C34581"/>
    <w:rsid w:val="00C34AD7"/>
    <w:rsid w:val="00C3516D"/>
    <w:rsid w:val="00C351E4"/>
    <w:rsid w:val="00C361A6"/>
    <w:rsid w:val="00C365C5"/>
    <w:rsid w:val="00C3670F"/>
    <w:rsid w:val="00C36E1A"/>
    <w:rsid w:val="00C371DF"/>
    <w:rsid w:val="00C37818"/>
    <w:rsid w:val="00C37EFC"/>
    <w:rsid w:val="00C37FF9"/>
    <w:rsid w:val="00C40126"/>
    <w:rsid w:val="00C41099"/>
    <w:rsid w:val="00C41425"/>
    <w:rsid w:val="00C41B4A"/>
    <w:rsid w:val="00C4213A"/>
    <w:rsid w:val="00C42739"/>
    <w:rsid w:val="00C42C11"/>
    <w:rsid w:val="00C43ADB"/>
    <w:rsid w:val="00C44949"/>
    <w:rsid w:val="00C44B4C"/>
    <w:rsid w:val="00C450E3"/>
    <w:rsid w:val="00C45830"/>
    <w:rsid w:val="00C45C56"/>
    <w:rsid w:val="00C45CCD"/>
    <w:rsid w:val="00C46734"/>
    <w:rsid w:val="00C50112"/>
    <w:rsid w:val="00C5105D"/>
    <w:rsid w:val="00C511F0"/>
    <w:rsid w:val="00C513C7"/>
    <w:rsid w:val="00C51639"/>
    <w:rsid w:val="00C53220"/>
    <w:rsid w:val="00C533A0"/>
    <w:rsid w:val="00C537E7"/>
    <w:rsid w:val="00C53AFE"/>
    <w:rsid w:val="00C53E9D"/>
    <w:rsid w:val="00C5426B"/>
    <w:rsid w:val="00C54C18"/>
    <w:rsid w:val="00C573DA"/>
    <w:rsid w:val="00C5772E"/>
    <w:rsid w:val="00C5781B"/>
    <w:rsid w:val="00C61117"/>
    <w:rsid w:val="00C616B4"/>
    <w:rsid w:val="00C621A7"/>
    <w:rsid w:val="00C62AA0"/>
    <w:rsid w:val="00C62BF2"/>
    <w:rsid w:val="00C62D1B"/>
    <w:rsid w:val="00C638A6"/>
    <w:rsid w:val="00C63FB9"/>
    <w:rsid w:val="00C64266"/>
    <w:rsid w:val="00C647DF"/>
    <w:rsid w:val="00C66306"/>
    <w:rsid w:val="00C66CE8"/>
    <w:rsid w:val="00C70074"/>
    <w:rsid w:val="00C70DF4"/>
    <w:rsid w:val="00C71252"/>
    <w:rsid w:val="00C7277F"/>
    <w:rsid w:val="00C730E8"/>
    <w:rsid w:val="00C73B23"/>
    <w:rsid w:val="00C73C07"/>
    <w:rsid w:val="00C74930"/>
    <w:rsid w:val="00C74B47"/>
    <w:rsid w:val="00C74D80"/>
    <w:rsid w:val="00C754BD"/>
    <w:rsid w:val="00C75D3A"/>
    <w:rsid w:val="00C769A9"/>
    <w:rsid w:val="00C7734D"/>
    <w:rsid w:val="00C774C9"/>
    <w:rsid w:val="00C77F1B"/>
    <w:rsid w:val="00C80987"/>
    <w:rsid w:val="00C80A3F"/>
    <w:rsid w:val="00C8180E"/>
    <w:rsid w:val="00C818A9"/>
    <w:rsid w:val="00C82436"/>
    <w:rsid w:val="00C827A3"/>
    <w:rsid w:val="00C82933"/>
    <w:rsid w:val="00C82BE2"/>
    <w:rsid w:val="00C83DE2"/>
    <w:rsid w:val="00C84BBF"/>
    <w:rsid w:val="00C84BE9"/>
    <w:rsid w:val="00C85DEF"/>
    <w:rsid w:val="00C85E40"/>
    <w:rsid w:val="00C86D76"/>
    <w:rsid w:val="00C9049A"/>
    <w:rsid w:val="00C910F8"/>
    <w:rsid w:val="00C91106"/>
    <w:rsid w:val="00C9117B"/>
    <w:rsid w:val="00C91D19"/>
    <w:rsid w:val="00C939B4"/>
    <w:rsid w:val="00C93B58"/>
    <w:rsid w:val="00C93C2F"/>
    <w:rsid w:val="00C9437C"/>
    <w:rsid w:val="00C946CD"/>
    <w:rsid w:val="00C946E4"/>
    <w:rsid w:val="00C946FF"/>
    <w:rsid w:val="00C94A14"/>
    <w:rsid w:val="00C94CDA"/>
    <w:rsid w:val="00C95BED"/>
    <w:rsid w:val="00C96725"/>
    <w:rsid w:val="00C97A66"/>
    <w:rsid w:val="00CA007B"/>
    <w:rsid w:val="00CA0AA4"/>
    <w:rsid w:val="00CA15B0"/>
    <w:rsid w:val="00CA1C71"/>
    <w:rsid w:val="00CA1D4C"/>
    <w:rsid w:val="00CA1D50"/>
    <w:rsid w:val="00CA1DAB"/>
    <w:rsid w:val="00CA20E0"/>
    <w:rsid w:val="00CA2598"/>
    <w:rsid w:val="00CA3347"/>
    <w:rsid w:val="00CA3884"/>
    <w:rsid w:val="00CA449E"/>
    <w:rsid w:val="00CA523D"/>
    <w:rsid w:val="00CA6FDA"/>
    <w:rsid w:val="00CA77CF"/>
    <w:rsid w:val="00CA7B58"/>
    <w:rsid w:val="00CB0836"/>
    <w:rsid w:val="00CB0CB9"/>
    <w:rsid w:val="00CB11E7"/>
    <w:rsid w:val="00CB1413"/>
    <w:rsid w:val="00CB1766"/>
    <w:rsid w:val="00CB2518"/>
    <w:rsid w:val="00CB27F4"/>
    <w:rsid w:val="00CB3180"/>
    <w:rsid w:val="00CB3920"/>
    <w:rsid w:val="00CB4C4C"/>
    <w:rsid w:val="00CB6413"/>
    <w:rsid w:val="00CB696F"/>
    <w:rsid w:val="00CB6A00"/>
    <w:rsid w:val="00CB6A68"/>
    <w:rsid w:val="00CB7097"/>
    <w:rsid w:val="00CB77F4"/>
    <w:rsid w:val="00CC0F1C"/>
    <w:rsid w:val="00CC1374"/>
    <w:rsid w:val="00CC1F78"/>
    <w:rsid w:val="00CC299A"/>
    <w:rsid w:val="00CC3039"/>
    <w:rsid w:val="00CC32B7"/>
    <w:rsid w:val="00CC36DE"/>
    <w:rsid w:val="00CC3A06"/>
    <w:rsid w:val="00CC3FE9"/>
    <w:rsid w:val="00CC4F99"/>
    <w:rsid w:val="00CC5CDC"/>
    <w:rsid w:val="00CC5FC3"/>
    <w:rsid w:val="00CC622F"/>
    <w:rsid w:val="00CC6369"/>
    <w:rsid w:val="00CC65D6"/>
    <w:rsid w:val="00CC73F3"/>
    <w:rsid w:val="00CC7B85"/>
    <w:rsid w:val="00CD081C"/>
    <w:rsid w:val="00CD14DA"/>
    <w:rsid w:val="00CD1B5A"/>
    <w:rsid w:val="00CD1E9C"/>
    <w:rsid w:val="00CD27DB"/>
    <w:rsid w:val="00CD2E70"/>
    <w:rsid w:val="00CD30F6"/>
    <w:rsid w:val="00CD34F9"/>
    <w:rsid w:val="00CD386B"/>
    <w:rsid w:val="00CD3D06"/>
    <w:rsid w:val="00CD4A09"/>
    <w:rsid w:val="00CD4C67"/>
    <w:rsid w:val="00CD4C7B"/>
    <w:rsid w:val="00CD5397"/>
    <w:rsid w:val="00CD5E93"/>
    <w:rsid w:val="00CE15AE"/>
    <w:rsid w:val="00CE1CFC"/>
    <w:rsid w:val="00CE22B1"/>
    <w:rsid w:val="00CE235A"/>
    <w:rsid w:val="00CE37A3"/>
    <w:rsid w:val="00CE3814"/>
    <w:rsid w:val="00CE56B7"/>
    <w:rsid w:val="00CE6660"/>
    <w:rsid w:val="00CE6855"/>
    <w:rsid w:val="00CE6B6F"/>
    <w:rsid w:val="00CE7033"/>
    <w:rsid w:val="00CE7075"/>
    <w:rsid w:val="00CE770A"/>
    <w:rsid w:val="00CF02A6"/>
    <w:rsid w:val="00CF04DB"/>
    <w:rsid w:val="00CF05A6"/>
    <w:rsid w:val="00CF06CF"/>
    <w:rsid w:val="00CF101C"/>
    <w:rsid w:val="00CF15C5"/>
    <w:rsid w:val="00CF1B9C"/>
    <w:rsid w:val="00CF28DD"/>
    <w:rsid w:val="00CF2DC1"/>
    <w:rsid w:val="00CF2EE2"/>
    <w:rsid w:val="00CF38A2"/>
    <w:rsid w:val="00CF3948"/>
    <w:rsid w:val="00CF3ACF"/>
    <w:rsid w:val="00CF441D"/>
    <w:rsid w:val="00CF4FCF"/>
    <w:rsid w:val="00CF4FDC"/>
    <w:rsid w:val="00CF56AF"/>
    <w:rsid w:val="00CF5BE0"/>
    <w:rsid w:val="00CF5BF1"/>
    <w:rsid w:val="00CF61CB"/>
    <w:rsid w:val="00CF666F"/>
    <w:rsid w:val="00CF686F"/>
    <w:rsid w:val="00CF6CA7"/>
    <w:rsid w:val="00CF6E7D"/>
    <w:rsid w:val="00CF7053"/>
    <w:rsid w:val="00D00175"/>
    <w:rsid w:val="00D00223"/>
    <w:rsid w:val="00D008D8"/>
    <w:rsid w:val="00D00DBF"/>
    <w:rsid w:val="00D0149B"/>
    <w:rsid w:val="00D01F5D"/>
    <w:rsid w:val="00D01FA9"/>
    <w:rsid w:val="00D03DBE"/>
    <w:rsid w:val="00D03EED"/>
    <w:rsid w:val="00D0597D"/>
    <w:rsid w:val="00D06274"/>
    <w:rsid w:val="00D066D8"/>
    <w:rsid w:val="00D07FB9"/>
    <w:rsid w:val="00D11949"/>
    <w:rsid w:val="00D11A69"/>
    <w:rsid w:val="00D12C98"/>
    <w:rsid w:val="00D12FFC"/>
    <w:rsid w:val="00D13CA3"/>
    <w:rsid w:val="00D1484F"/>
    <w:rsid w:val="00D14BA0"/>
    <w:rsid w:val="00D14D7B"/>
    <w:rsid w:val="00D1516D"/>
    <w:rsid w:val="00D158B0"/>
    <w:rsid w:val="00D1707A"/>
    <w:rsid w:val="00D178BD"/>
    <w:rsid w:val="00D17CC2"/>
    <w:rsid w:val="00D21435"/>
    <w:rsid w:val="00D2242C"/>
    <w:rsid w:val="00D224FA"/>
    <w:rsid w:val="00D23033"/>
    <w:rsid w:val="00D2402F"/>
    <w:rsid w:val="00D245C2"/>
    <w:rsid w:val="00D25660"/>
    <w:rsid w:val="00D258EB"/>
    <w:rsid w:val="00D25AEB"/>
    <w:rsid w:val="00D25CFB"/>
    <w:rsid w:val="00D271CD"/>
    <w:rsid w:val="00D3064E"/>
    <w:rsid w:val="00D315CC"/>
    <w:rsid w:val="00D32067"/>
    <w:rsid w:val="00D327A3"/>
    <w:rsid w:val="00D34806"/>
    <w:rsid w:val="00D34C50"/>
    <w:rsid w:val="00D34C82"/>
    <w:rsid w:val="00D35628"/>
    <w:rsid w:val="00D35EC6"/>
    <w:rsid w:val="00D36550"/>
    <w:rsid w:val="00D379EC"/>
    <w:rsid w:val="00D37C94"/>
    <w:rsid w:val="00D41E42"/>
    <w:rsid w:val="00D41F6B"/>
    <w:rsid w:val="00D42380"/>
    <w:rsid w:val="00D42C9B"/>
    <w:rsid w:val="00D4348D"/>
    <w:rsid w:val="00D436D7"/>
    <w:rsid w:val="00D44E42"/>
    <w:rsid w:val="00D44FC3"/>
    <w:rsid w:val="00D450E2"/>
    <w:rsid w:val="00D453D7"/>
    <w:rsid w:val="00D4552D"/>
    <w:rsid w:val="00D45A0E"/>
    <w:rsid w:val="00D462C0"/>
    <w:rsid w:val="00D462D6"/>
    <w:rsid w:val="00D474AB"/>
    <w:rsid w:val="00D4754E"/>
    <w:rsid w:val="00D47B66"/>
    <w:rsid w:val="00D50961"/>
    <w:rsid w:val="00D50A02"/>
    <w:rsid w:val="00D512A1"/>
    <w:rsid w:val="00D52AB4"/>
    <w:rsid w:val="00D52F26"/>
    <w:rsid w:val="00D531F5"/>
    <w:rsid w:val="00D538C1"/>
    <w:rsid w:val="00D538D5"/>
    <w:rsid w:val="00D53B5C"/>
    <w:rsid w:val="00D544C6"/>
    <w:rsid w:val="00D54640"/>
    <w:rsid w:val="00D55455"/>
    <w:rsid w:val="00D559B5"/>
    <w:rsid w:val="00D56420"/>
    <w:rsid w:val="00D5658A"/>
    <w:rsid w:val="00D56A94"/>
    <w:rsid w:val="00D56C0C"/>
    <w:rsid w:val="00D56D4B"/>
    <w:rsid w:val="00D57023"/>
    <w:rsid w:val="00D5798B"/>
    <w:rsid w:val="00D57A70"/>
    <w:rsid w:val="00D60736"/>
    <w:rsid w:val="00D6170E"/>
    <w:rsid w:val="00D61B58"/>
    <w:rsid w:val="00D6307D"/>
    <w:rsid w:val="00D63632"/>
    <w:rsid w:val="00D63732"/>
    <w:rsid w:val="00D6373B"/>
    <w:rsid w:val="00D6405D"/>
    <w:rsid w:val="00D6479D"/>
    <w:rsid w:val="00D64E27"/>
    <w:rsid w:val="00D64EE9"/>
    <w:rsid w:val="00D6568E"/>
    <w:rsid w:val="00D65893"/>
    <w:rsid w:val="00D658EC"/>
    <w:rsid w:val="00D6684E"/>
    <w:rsid w:val="00D6729D"/>
    <w:rsid w:val="00D6742A"/>
    <w:rsid w:val="00D67B9B"/>
    <w:rsid w:val="00D71733"/>
    <w:rsid w:val="00D718AC"/>
    <w:rsid w:val="00D719A3"/>
    <w:rsid w:val="00D71E7A"/>
    <w:rsid w:val="00D72DE7"/>
    <w:rsid w:val="00D7302F"/>
    <w:rsid w:val="00D73BB2"/>
    <w:rsid w:val="00D74D14"/>
    <w:rsid w:val="00D74F3B"/>
    <w:rsid w:val="00D752E7"/>
    <w:rsid w:val="00D7574B"/>
    <w:rsid w:val="00D75E82"/>
    <w:rsid w:val="00D76270"/>
    <w:rsid w:val="00D769C5"/>
    <w:rsid w:val="00D76E76"/>
    <w:rsid w:val="00D80631"/>
    <w:rsid w:val="00D818EC"/>
    <w:rsid w:val="00D81A20"/>
    <w:rsid w:val="00D81F55"/>
    <w:rsid w:val="00D8321A"/>
    <w:rsid w:val="00D84A86"/>
    <w:rsid w:val="00D84D06"/>
    <w:rsid w:val="00D85152"/>
    <w:rsid w:val="00D85F2C"/>
    <w:rsid w:val="00D861BD"/>
    <w:rsid w:val="00D86D55"/>
    <w:rsid w:val="00D87796"/>
    <w:rsid w:val="00D8789C"/>
    <w:rsid w:val="00D87B3F"/>
    <w:rsid w:val="00D9003D"/>
    <w:rsid w:val="00D90558"/>
    <w:rsid w:val="00D9082F"/>
    <w:rsid w:val="00D90C79"/>
    <w:rsid w:val="00D914EB"/>
    <w:rsid w:val="00D91B36"/>
    <w:rsid w:val="00D92C1E"/>
    <w:rsid w:val="00D9305B"/>
    <w:rsid w:val="00D94085"/>
    <w:rsid w:val="00D9634D"/>
    <w:rsid w:val="00D9652D"/>
    <w:rsid w:val="00D9683D"/>
    <w:rsid w:val="00D96D4F"/>
    <w:rsid w:val="00DA1258"/>
    <w:rsid w:val="00DA1806"/>
    <w:rsid w:val="00DA1BD1"/>
    <w:rsid w:val="00DA212B"/>
    <w:rsid w:val="00DA3A76"/>
    <w:rsid w:val="00DA3B5B"/>
    <w:rsid w:val="00DA6D6D"/>
    <w:rsid w:val="00DA73C1"/>
    <w:rsid w:val="00DA7457"/>
    <w:rsid w:val="00DA770D"/>
    <w:rsid w:val="00DA7851"/>
    <w:rsid w:val="00DA7DC1"/>
    <w:rsid w:val="00DB00EE"/>
    <w:rsid w:val="00DB0132"/>
    <w:rsid w:val="00DB2754"/>
    <w:rsid w:val="00DB2D88"/>
    <w:rsid w:val="00DB3687"/>
    <w:rsid w:val="00DB38D1"/>
    <w:rsid w:val="00DB41CB"/>
    <w:rsid w:val="00DB654F"/>
    <w:rsid w:val="00DB681B"/>
    <w:rsid w:val="00DB7E24"/>
    <w:rsid w:val="00DC0445"/>
    <w:rsid w:val="00DC072F"/>
    <w:rsid w:val="00DC115F"/>
    <w:rsid w:val="00DC2082"/>
    <w:rsid w:val="00DC225F"/>
    <w:rsid w:val="00DC2883"/>
    <w:rsid w:val="00DC2C48"/>
    <w:rsid w:val="00DC3856"/>
    <w:rsid w:val="00DC46B5"/>
    <w:rsid w:val="00DC4B28"/>
    <w:rsid w:val="00DC4B5D"/>
    <w:rsid w:val="00DC525E"/>
    <w:rsid w:val="00DC535C"/>
    <w:rsid w:val="00DC5DCB"/>
    <w:rsid w:val="00DC6C0D"/>
    <w:rsid w:val="00DC7CC7"/>
    <w:rsid w:val="00DD0426"/>
    <w:rsid w:val="00DD074A"/>
    <w:rsid w:val="00DD0D70"/>
    <w:rsid w:val="00DD1941"/>
    <w:rsid w:val="00DD1EEA"/>
    <w:rsid w:val="00DD26A5"/>
    <w:rsid w:val="00DD2812"/>
    <w:rsid w:val="00DD34F2"/>
    <w:rsid w:val="00DD3C6B"/>
    <w:rsid w:val="00DD41EE"/>
    <w:rsid w:val="00DD54ED"/>
    <w:rsid w:val="00DD5D45"/>
    <w:rsid w:val="00DD697F"/>
    <w:rsid w:val="00DD699C"/>
    <w:rsid w:val="00DD72B2"/>
    <w:rsid w:val="00DD739F"/>
    <w:rsid w:val="00DD7631"/>
    <w:rsid w:val="00DD7762"/>
    <w:rsid w:val="00DD781E"/>
    <w:rsid w:val="00DD7A2C"/>
    <w:rsid w:val="00DD7F63"/>
    <w:rsid w:val="00DE0A1B"/>
    <w:rsid w:val="00DE1238"/>
    <w:rsid w:val="00DE1FFE"/>
    <w:rsid w:val="00DE204F"/>
    <w:rsid w:val="00DE2F9E"/>
    <w:rsid w:val="00DE31B1"/>
    <w:rsid w:val="00DE32E7"/>
    <w:rsid w:val="00DE3BB8"/>
    <w:rsid w:val="00DE40EB"/>
    <w:rsid w:val="00DE5117"/>
    <w:rsid w:val="00DE51F6"/>
    <w:rsid w:val="00DE5648"/>
    <w:rsid w:val="00DE568A"/>
    <w:rsid w:val="00DE595E"/>
    <w:rsid w:val="00DE5CD9"/>
    <w:rsid w:val="00DE65EC"/>
    <w:rsid w:val="00DE6A70"/>
    <w:rsid w:val="00DE70B5"/>
    <w:rsid w:val="00DE7113"/>
    <w:rsid w:val="00DE79B7"/>
    <w:rsid w:val="00DF00F9"/>
    <w:rsid w:val="00DF0576"/>
    <w:rsid w:val="00DF1981"/>
    <w:rsid w:val="00DF1D07"/>
    <w:rsid w:val="00DF1E89"/>
    <w:rsid w:val="00DF2144"/>
    <w:rsid w:val="00DF23A8"/>
    <w:rsid w:val="00DF24D9"/>
    <w:rsid w:val="00DF2EA5"/>
    <w:rsid w:val="00DF310B"/>
    <w:rsid w:val="00DF3E47"/>
    <w:rsid w:val="00DF41C9"/>
    <w:rsid w:val="00DF56E8"/>
    <w:rsid w:val="00DF6655"/>
    <w:rsid w:val="00DF6665"/>
    <w:rsid w:val="00DF6EB6"/>
    <w:rsid w:val="00DF7133"/>
    <w:rsid w:val="00DF722A"/>
    <w:rsid w:val="00DF764C"/>
    <w:rsid w:val="00DF7FBF"/>
    <w:rsid w:val="00E009BD"/>
    <w:rsid w:val="00E00BB4"/>
    <w:rsid w:val="00E00CAA"/>
    <w:rsid w:val="00E01441"/>
    <w:rsid w:val="00E01682"/>
    <w:rsid w:val="00E018B5"/>
    <w:rsid w:val="00E01D4A"/>
    <w:rsid w:val="00E02F4B"/>
    <w:rsid w:val="00E0393F"/>
    <w:rsid w:val="00E03D04"/>
    <w:rsid w:val="00E04332"/>
    <w:rsid w:val="00E043BB"/>
    <w:rsid w:val="00E04ECF"/>
    <w:rsid w:val="00E0502A"/>
    <w:rsid w:val="00E05902"/>
    <w:rsid w:val="00E067C4"/>
    <w:rsid w:val="00E06A36"/>
    <w:rsid w:val="00E0771A"/>
    <w:rsid w:val="00E1198B"/>
    <w:rsid w:val="00E126B2"/>
    <w:rsid w:val="00E127E3"/>
    <w:rsid w:val="00E13E8F"/>
    <w:rsid w:val="00E14818"/>
    <w:rsid w:val="00E148E8"/>
    <w:rsid w:val="00E1610C"/>
    <w:rsid w:val="00E162BD"/>
    <w:rsid w:val="00E16660"/>
    <w:rsid w:val="00E16682"/>
    <w:rsid w:val="00E16C78"/>
    <w:rsid w:val="00E16D73"/>
    <w:rsid w:val="00E17296"/>
    <w:rsid w:val="00E17833"/>
    <w:rsid w:val="00E17981"/>
    <w:rsid w:val="00E17C90"/>
    <w:rsid w:val="00E17CD2"/>
    <w:rsid w:val="00E17E36"/>
    <w:rsid w:val="00E201F2"/>
    <w:rsid w:val="00E206D8"/>
    <w:rsid w:val="00E20A87"/>
    <w:rsid w:val="00E20ED9"/>
    <w:rsid w:val="00E2113A"/>
    <w:rsid w:val="00E21C65"/>
    <w:rsid w:val="00E2307E"/>
    <w:rsid w:val="00E2352B"/>
    <w:rsid w:val="00E23E84"/>
    <w:rsid w:val="00E23F9B"/>
    <w:rsid w:val="00E24D23"/>
    <w:rsid w:val="00E24D83"/>
    <w:rsid w:val="00E26285"/>
    <w:rsid w:val="00E26649"/>
    <w:rsid w:val="00E2703D"/>
    <w:rsid w:val="00E271F9"/>
    <w:rsid w:val="00E27F0A"/>
    <w:rsid w:val="00E30712"/>
    <w:rsid w:val="00E309B0"/>
    <w:rsid w:val="00E32143"/>
    <w:rsid w:val="00E326E9"/>
    <w:rsid w:val="00E33106"/>
    <w:rsid w:val="00E345C2"/>
    <w:rsid w:val="00E34D99"/>
    <w:rsid w:val="00E352C3"/>
    <w:rsid w:val="00E35476"/>
    <w:rsid w:val="00E355C0"/>
    <w:rsid w:val="00E359A5"/>
    <w:rsid w:val="00E35C28"/>
    <w:rsid w:val="00E372F7"/>
    <w:rsid w:val="00E37DC0"/>
    <w:rsid w:val="00E37EC6"/>
    <w:rsid w:val="00E40432"/>
    <w:rsid w:val="00E40850"/>
    <w:rsid w:val="00E40D52"/>
    <w:rsid w:val="00E41187"/>
    <w:rsid w:val="00E411B3"/>
    <w:rsid w:val="00E41585"/>
    <w:rsid w:val="00E41F94"/>
    <w:rsid w:val="00E421ED"/>
    <w:rsid w:val="00E4220D"/>
    <w:rsid w:val="00E4231E"/>
    <w:rsid w:val="00E4279A"/>
    <w:rsid w:val="00E42BEC"/>
    <w:rsid w:val="00E44AC7"/>
    <w:rsid w:val="00E45B2D"/>
    <w:rsid w:val="00E466DC"/>
    <w:rsid w:val="00E468F2"/>
    <w:rsid w:val="00E47A20"/>
    <w:rsid w:val="00E5084C"/>
    <w:rsid w:val="00E50871"/>
    <w:rsid w:val="00E50AD9"/>
    <w:rsid w:val="00E50B4C"/>
    <w:rsid w:val="00E51A01"/>
    <w:rsid w:val="00E52063"/>
    <w:rsid w:val="00E53533"/>
    <w:rsid w:val="00E537ED"/>
    <w:rsid w:val="00E5384D"/>
    <w:rsid w:val="00E53F2E"/>
    <w:rsid w:val="00E54004"/>
    <w:rsid w:val="00E546C9"/>
    <w:rsid w:val="00E54BB9"/>
    <w:rsid w:val="00E54D3F"/>
    <w:rsid w:val="00E55F1F"/>
    <w:rsid w:val="00E56002"/>
    <w:rsid w:val="00E56735"/>
    <w:rsid w:val="00E56866"/>
    <w:rsid w:val="00E56904"/>
    <w:rsid w:val="00E57DFD"/>
    <w:rsid w:val="00E60423"/>
    <w:rsid w:val="00E607E5"/>
    <w:rsid w:val="00E60A16"/>
    <w:rsid w:val="00E610CB"/>
    <w:rsid w:val="00E610D5"/>
    <w:rsid w:val="00E6125B"/>
    <w:rsid w:val="00E6170A"/>
    <w:rsid w:val="00E62ADF"/>
    <w:rsid w:val="00E62FA7"/>
    <w:rsid w:val="00E637A3"/>
    <w:rsid w:val="00E659FD"/>
    <w:rsid w:val="00E65B0C"/>
    <w:rsid w:val="00E66B16"/>
    <w:rsid w:val="00E66BA2"/>
    <w:rsid w:val="00E677DB"/>
    <w:rsid w:val="00E700F8"/>
    <w:rsid w:val="00E701DC"/>
    <w:rsid w:val="00E71C2D"/>
    <w:rsid w:val="00E71CD5"/>
    <w:rsid w:val="00E7266C"/>
    <w:rsid w:val="00E72BB6"/>
    <w:rsid w:val="00E72CD0"/>
    <w:rsid w:val="00E730AC"/>
    <w:rsid w:val="00E7310C"/>
    <w:rsid w:val="00E734CE"/>
    <w:rsid w:val="00E73D33"/>
    <w:rsid w:val="00E77443"/>
    <w:rsid w:val="00E778DC"/>
    <w:rsid w:val="00E80336"/>
    <w:rsid w:val="00E80D00"/>
    <w:rsid w:val="00E815CE"/>
    <w:rsid w:val="00E81611"/>
    <w:rsid w:val="00E81800"/>
    <w:rsid w:val="00E81863"/>
    <w:rsid w:val="00E81C42"/>
    <w:rsid w:val="00E81C5C"/>
    <w:rsid w:val="00E81FDB"/>
    <w:rsid w:val="00E82026"/>
    <w:rsid w:val="00E82064"/>
    <w:rsid w:val="00E82B6E"/>
    <w:rsid w:val="00E82DC6"/>
    <w:rsid w:val="00E8347E"/>
    <w:rsid w:val="00E835C5"/>
    <w:rsid w:val="00E83A55"/>
    <w:rsid w:val="00E83ACD"/>
    <w:rsid w:val="00E848F0"/>
    <w:rsid w:val="00E84D1C"/>
    <w:rsid w:val="00E84D9C"/>
    <w:rsid w:val="00E8623E"/>
    <w:rsid w:val="00E8628F"/>
    <w:rsid w:val="00E86888"/>
    <w:rsid w:val="00E87155"/>
    <w:rsid w:val="00E87454"/>
    <w:rsid w:val="00E92C96"/>
    <w:rsid w:val="00E942B8"/>
    <w:rsid w:val="00E944ED"/>
    <w:rsid w:val="00E945AF"/>
    <w:rsid w:val="00E94A0B"/>
    <w:rsid w:val="00E94A2C"/>
    <w:rsid w:val="00E9544C"/>
    <w:rsid w:val="00E95799"/>
    <w:rsid w:val="00E95D93"/>
    <w:rsid w:val="00E9683D"/>
    <w:rsid w:val="00E970B7"/>
    <w:rsid w:val="00E97D42"/>
    <w:rsid w:val="00E97D95"/>
    <w:rsid w:val="00EA010D"/>
    <w:rsid w:val="00EA04C5"/>
    <w:rsid w:val="00EA0507"/>
    <w:rsid w:val="00EA0BB5"/>
    <w:rsid w:val="00EA1A8A"/>
    <w:rsid w:val="00EA21FA"/>
    <w:rsid w:val="00EA25EB"/>
    <w:rsid w:val="00EA26D5"/>
    <w:rsid w:val="00EA2775"/>
    <w:rsid w:val="00EA2974"/>
    <w:rsid w:val="00EA305D"/>
    <w:rsid w:val="00EA3106"/>
    <w:rsid w:val="00EA3874"/>
    <w:rsid w:val="00EA5AB6"/>
    <w:rsid w:val="00EA5FB0"/>
    <w:rsid w:val="00EA612E"/>
    <w:rsid w:val="00EA761C"/>
    <w:rsid w:val="00EA7D7F"/>
    <w:rsid w:val="00EB0810"/>
    <w:rsid w:val="00EB0B5F"/>
    <w:rsid w:val="00EB1CF7"/>
    <w:rsid w:val="00EB25C2"/>
    <w:rsid w:val="00EB2B6F"/>
    <w:rsid w:val="00EB2CAD"/>
    <w:rsid w:val="00EB2FA2"/>
    <w:rsid w:val="00EB3272"/>
    <w:rsid w:val="00EB371A"/>
    <w:rsid w:val="00EB37B2"/>
    <w:rsid w:val="00EB3AB0"/>
    <w:rsid w:val="00EB3FF9"/>
    <w:rsid w:val="00EB4D9F"/>
    <w:rsid w:val="00EB5F05"/>
    <w:rsid w:val="00EB5F0B"/>
    <w:rsid w:val="00EB6EF5"/>
    <w:rsid w:val="00EB7352"/>
    <w:rsid w:val="00EB769A"/>
    <w:rsid w:val="00EC11E4"/>
    <w:rsid w:val="00EC14E1"/>
    <w:rsid w:val="00EC2A3F"/>
    <w:rsid w:val="00EC2E64"/>
    <w:rsid w:val="00EC3A35"/>
    <w:rsid w:val="00EC3C52"/>
    <w:rsid w:val="00EC3E69"/>
    <w:rsid w:val="00EC41A7"/>
    <w:rsid w:val="00EC4B19"/>
    <w:rsid w:val="00EC4D63"/>
    <w:rsid w:val="00EC5554"/>
    <w:rsid w:val="00EC572B"/>
    <w:rsid w:val="00EC5B8E"/>
    <w:rsid w:val="00EC7356"/>
    <w:rsid w:val="00EC75F6"/>
    <w:rsid w:val="00ED0065"/>
    <w:rsid w:val="00ED17B5"/>
    <w:rsid w:val="00ED1BA0"/>
    <w:rsid w:val="00ED1D2D"/>
    <w:rsid w:val="00ED346A"/>
    <w:rsid w:val="00ED353D"/>
    <w:rsid w:val="00ED588C"/>
    <w:rsid w:val="00ED5AFA"/>
    <w:rsid w:val="00ED6E7A"/>
    <w:rsid w:val="00ED6EA1"/>
    <w:rsid w:val="00ED7A7F"/>
    <w:rsid w:val="00EE060B"/>
    <w:rsid w:val="00EE07AC"/>
    <w:rsid w:val="00EE0891"/>
    <w:rsid w:val="00EE1062"/>
    <w:rsid w:val="00EE17F2"/>
    <w:rsid w:val="00EE188A"/>
    <w:rsid w:val="00EE1B01"/>
    <w:rsid w:val="00EE1DB8"/>
    <w:rsid w:val="00EE2746"/>
    <w:rsid w:val="00EE3EF1"/>
    <w:rsid w:val="00EE4759"/>
    <w:rsid w:val="00EE4C20"/>
    <w:rsid w:val="00EE4F2D"/>
    <w:rsid w:val="00EE524C"/>
    <w:rsid w:val="00EE6755"/>
    <w:rsid w:val="00EE78D6"/>
    <w:rsid w:val="00EF03DC"/>
    <w:rsid w:val="00EF0437"/>
    <w:rsid w:val="00EF0BFE"/>
    <w:rsid w:val="00EF1DE8"/>
    <w:rsid w:val="00EF2AC7"/>
    <w:rsid w:val="00EF3397"/>
    <w:rsid w:val="00EF40BF"/>
    <w:rsid w:val="00EF4557"/>
    <w:rsid w:val="00EF493F"/>
    <w:rsid w:val="00EF5947"/>
    <w:rsid w:val="00EF5E22"/>
    <w:rsid w:val="00EF60CA"/>
    <w:rsid w:val="00EF63C1"/>
    <w:rsid w:val="00EF6476"/>
    <w:rsid w:val="00EF69B7"/>
    <w:rsid w:val="00EF6C2B"/>
    <w:rsid w:val="00EF7824"/>
    <w:rsid w:val="00F00059"/>
    <w:rsid w:val="00F008BD"/>
    <w:rsid w:val="00F0177B"/>
    <w:rsid w:val="00F021A9"/>
    <w:rsid w:val="00F02C54"/>
    <w:rsid w:val="00F02D03"/>
    <w:rsid w:val="00F03492"/>
    <w:rsid w:val="00F035DB"/>
    <w:rsid w:val="00F0448C"/>
    <w:rsid w:val="00F04977"/>
    <w:rsid w:val="00F0553C"/>
    <w:rsid w:val="00F06BA7"/>
    <w:rsid w:val="00F071BA"/>
    <w:rsid w:val="00F074D1"/>
    <w:rsid w:val="00F117F0"/>
    <w:rsid w:val="00F1284F"/>
    <w:rsid w:val="00F136A4"/>
    <w:rsid w:val="00F1377B"/>
    <w:rsid w:val="00F13C5E"/>
    <w:rsid w:val="00F14108"/>
    <w:rsid w:val="00F148D5"/>
    <w:rsid w:val="00F1493C"/>
    <w:rsid w:val="00F1601A"/>
    <w:rsid w:val="00F160BF"/>
    <w:rsid w:val="00F16173"/>
    <w:rsid w:val="00F1675C"/>
    <w:rsid w:val="00F16A3C"/>
    <w:rsid w:val="00F173A7"/>
    <w:rsid w:val="00F17428"/>
    <w:rsid w:val="00F20046"/>
    <w:rsid w:val="00F20CC1"/>
    <w:rsid w:val="00F20D22"/>
    <w:rsid w:val="00F21A58"/>
    <w:rsid w:val="00F2302A"/>
    <w:rsid w:val="00F23048"/>
    <w:rsid w:val="00F239CD"/>
    <w:rsid w:val="00F23DCC"/>
    <w:rsid w:val="00F24294"/>
    <w:rsid w:val="00F2477C"/>
    <w:rsid w:val="00F24E5D"/>
    <w:rsid w:val="00F24EBB"/>
    <w:rsid w:val="00F25A21"/>
    <w:rsid w:val="00F25BAA"/>
    <w:rsid w:val="00F26F79"/>
    <w:rsid w:val="00F27F06"/>
    <w:rsid w:val="00F314E8"/>
    <w:rsid w:val="00F316A2"/>
    <w:rsid w:val="00F323A2"/>
    <w:rsid w:val="00F3281D"/>
    <w:rsid w:val="00F332D4"/>
    <w:rsid w:val="00F33B57"/>
    <w:rsid w:val="00F33CA8"/>
    <w:rsid w:val="00F33D5C"/>
    <w:rsid w:val="00F356D6"/>
    <w:rsid w:val="00F36635"/>
    <w:rsid w:val="00F3785D"/>
    <w:rsid w:val="00F378BE"/>
    <w:rsid w:val="00F37D37"/>
    <w:rsid w:val="00F400E3"/>
    <w:rsid w:val="00F4021A"/>
    <w:rsid w:val="00F40876"/>
    <w:rsid w:val="00F43F7B"/>
    <w:rsid w:val="00F44621"/>
    <w:rsid w:val="00F44642"/>
    <w:rsid w:val="00F448AE"/>
    <w:rsid w:val="00F454A2"/>
    <w:rsid w:val="00F45E89"/>
    <w:rsid w:val="00F47845"/>
    <w:rsid w:val="00F47B6C"/>
    <w:rsid w:val="00F50039"/>
    <w:rsid w:val="00F50675"/>
    <w:rsid w:val="00F5071D"/>
    <w:rsid w:val="00F50BD6"/>
    <w:rsid w:val="00F50E16"/>
    <w:rsid w:val="00F5116A"/>
    <w:rsid w:val="00F513B2"/>
    <w:rsid w:val="00F51520"/>
    <w:rsid w:val="00F52140"/>
    <w:rsid w:val="00F521E4"/>
    <w:rsid w:val="00F52CCE"/>
    <w:rsid w:val="00F53151"/>
    <w:rsid w:val="00F535A9"/>
    <w:rsid w:val="00F53F92"/>
    <w:rsid w:val="00F5480F"/>
    <w:rsid w:val="00F552F7"/>
    <w:rsid w:val="00F553A7"/>
    <w:rsid w:val="00F554EB"/>
    <w:rsid w:val="00F5562D"/>
    <w:rsid w:val="00F566EA"/>
    <w:rsid w:val="00F567A4"/>
    <w:rsid w:val="00F578EB"/>
    <w:rsid w:val="00F605BE"/>
    <w:rsid w:val="00F60AF6"/>
    <w:rsid w:val="00F60DDC"/>
    <w:rsid w:val="00F610A9"/>
    <w:rsid w:val="00F617BE"/>
    <w:rsid w:val="00F61C7A"/>
    <w:rsid w:val="00F625F7"/>
    <w:rsid w:val="00F64483"/>
    <w:rsid w:val="00F64D5A"/>
    <w:rsid w:val="00F65399"/>
    <w:rsid w:val="00F65C22"/>
    <w:rsid w:val="00F65EC9"/>
    <w:rsid w:val="00F664BA"/>
    <w:rsid w:val="00F66CB1"/>
    <w:rsid w:val="00F672BD"/>
    <w:rsid w:val="00F67E15"/>
    <w:rsid w:val="00F67FCA"/>
    <w:rsid w:val="00F7073C"/>
    <w:rsid w:val="00F70815"/>
    <w:rsid w:val="00F709F4"/>
    <w:rsid w:val="00F71019"/>
    <w:rsid w:val="00F710A9"/>
    <w:rsid w:val="00F7284D"/>
    <w:rsid w:val="00F72CFE"/>
    <w:rsid w:val="00F72FB0"/>
    <w:rsid w:val="00F73423"/>
    <w:rsid w:val="00F7365E"/>
    <w:rsid w:val="00F737A4"/>
    <w:rsid w:val="00F75481"/>
    <w:rsid w:val="00F765F3"/>
    <w:rsid w:val="00F76A4C"/>
    <w:rsid w:val="00F76AB3"/>
    <w:rsid w:val="00F816A4"/>
    <w:rsid w:val="00F81AE9"/>
    <w:rsid w:val="00F82C78"/>
    <w:rsid w:val="00F82E2E"/>
    <w:rsid w:val="00F83186"/>
    <w:rsid w:val="00F831EE"/>
    <w:rsid w:val="00F83601"/>
    <w:rsid w:val="00F837E6"/>
    <w:rsid w:val="00F8389A"/>
    <w:rsid w:val="00F83AE9"/>
    <w:rsid w:val="00F83EC8"/>
    <w:rsid w:val="00F843D4"/>
    <w:rsid w:val="00F84A40"/>
    <w:rsid w:val="00F84B50"/>
    <w:rsid w:val="00F84DBD"/>
    <w:rsid w:val="00F8516E"/>
    <w:rsid w:val="00F852E5"/>
    <w:rsid w:val="00F85C0D"/>
    <w:rsid w:val="00F86741"/>
    <w:rsid w:val="00F86796"/>
    <w:rsid w:val="00F86E7C"/>
    <w:rsid w:val="00F87C3F"/>
    <w:rsid w:val="00F87C5B"/>
    <w:rsid w:val="00F87FEA"/>
    <w:rsid w:val="00F90613"/>
    <w:rsid w:val="00F906F4"/>
    <w:rsid w:val="00F915F3"/>
    <w:rsid w:val="00F91800"/>
    <w:rsid w:val="00F91853"/>
    <w:rsid w:val="00F91987"/>
    <w:rsid w:val="00F9208E"/>
    <w:rsid w:val="00F92571"/>
    <w:rsid w:val="00F93B2F"/>
    <w:rsid w:val="00F93C0A"/>
    <w:rsid w:val="00F93CAE"/>
    <w:rsid w:val="00F94CDC"/>
    <w:rsid w:val="00F954E4"/>
    <w:rsid w:val="00F95CCE"/>
    <w:rsid w:val="00F9692D"/>
    <w:rsid w:val="00F978BE"/>
    <w:rsid w:val="00F97D7B"/>
    <w:rsid w:val="00FA0013"/>
    <w:rsid w:val="00FA0288"/>
    <w:rsid w:val="00FA0F71"/>
    <w:rsid w:val="00FA26BC"/>
    <w:rsid w:val="00FA3A97"/>
    <w:rsid w:val="00FA3AEA"/>
    <w:rsid w:val="00FA4219"/>
    <w:rsid w:val="00FA48C7"/>
    <w:rsid w:val="00FA54FF"/>
    <w:rsid w:val="00FA5570"/>
    <w:rsid w:val="00FA59E0"/>
    <w:rsid w:val="00FA5C0B"/>
    <w:rsid w:val="00FA70F5"/>
    <w:rsid w:val="00FA7902"/>
    <w:rsid w:val="00FB005D"/>
    <w:rsid w:val="00FB183E"/>
    <w:rsid w:val="00FB1CD3"/>
    <w:rsid w:val="00FB1D54"/>
    <w:rsid w:val="00FB2825"/>
    <w:rsid w:val="00FB3363"/>
    <w:rsid w:val="00FB4048"/>
    <w:rsid w:val="00FB4629"/>
    <w:rsid w:val="00FB577F"/>
    <w:rsid w:val="00FB5E5D"/>
    <w:rsid w:val="00FB5FAC"/>
    <w:rsid w:val="00FB5FC4"/>
    <w:rsid w:val="00FB6327"/>
    <w:rsid w:val="00FB6A07"/>
    <w:rsid w:val="00FB6FB1"/>
    <w:rsid w:val="00FB7460"/>
    <w:rsid w:val="00FB7A10"/>
    <w:rsid w:val="00FC0ED9"/>
    <w:rsid w:val="00FC0F81"/>
    <w:rsid w:val="00FC199B"/>
    <w:rsid w:val="00FC1C95"/>
    <w:rsid w:val="00FC24A5"/>
    <w:rsid w:val="00FC3798"/>
    <w:rsid w:val="00FC59AF"/>
    <w:rsid w:val="00FC59E0"/>
    <w:rsid w:val="00FC5C43"/>
    <w:rsid w:val="00FC5F72"/>
    <w:rsid w:val="00FC60F9"/>
    <w:rsid w:val="00FC62B5"/>
    <w:rsid w:val="00FC6D4E"/>
    <w:rsid w:val="00FC7073"/>
    <w:rsid w:val="00FC736F"/>
    <w:rsid w:val="00FC7B86"/>
    <w:rsid w:val="00FD0CDB"/>
    <w:rsid w:val="00FD1FA7"/>
    <w:rsid w:val="00FD2D42"/>
    <w:rsid w:val="00FD30B5"/>
    <w:rsid w:val="00FD3453"/>
    <w:rsid w:val="00FD39CF"/>
    <w:rsid w:val="00FD4B7B"/>
    <w:rsid w:val="00FD4D84"/>
    <w:rsid w:val="00FD5468"/>
    <w:rsid w:val="00FD58F5"/>
    <w:rsid w:val="00FD754C"/>
    <w:rsid w:val="00FE0DAE"/>
    <w:rsid w:val="00FE1370"/>
    <w:rsid w:val="00FE1510"/>
    <w:rsid w:val="00FE2121"/>
    <w:rsid w:val="00FE254A"/>
    <w:rsid w:val="00FE321B"/>
    <w:rsid w:val="00FE3D07"/>
    <w:rsid w:val="00FE4B6F"/>
    <w:rsid w:val="00FE6818"/>
    <w:rsid w:val="00FE6BFB"/>
    <w:rsid w:val="00FF0CF5"/>
    <w:rsid w:val="00FF0D6F"/>
    <w:rsid w:val="00FF0E9E"/>
    <w:rsid w:val="00FF1103"/>
    <w:rsid w:val="00FF1712"/>
    <w:rsid w:val="00FF251D"/>
    <w:rsid w:val="00FF37DC"/>
    <w:rsid w:val="00FF37F2"/>
    <w:rsid w:val="00FF43D9"/>
    <w:rsid w:val="00FF5B3C"/>
    <w:rsid w:val="00FF69C8"/>
    <w:rsid w:val="00FF6D3D"/>
    <w:rsid w:val="00FF7866"/>
    <w:rsid w:val="024D7E2C"/>
    <w:rsid w:val="0D2EB883"/>
    <w:rsid w:val="0D8163B6"/>
    <w:rsid w:val="1BB32F19"/>
    <w:rsid w:val="1F2C3AF5"/>
    <w:rsid w:val="1FF4886A"/>
    <w:rsid w:val="22D2584A"/>
    <w:rsid w:val="28751A95"/>
    <w:rsid w:val="29FA8189"/>
    <w:rsid w:val="2C00A012"/>
    <w:rsid w:val="389994B3"/>
    <w:rsid w:val="3B30A011"/>
    <w:rsid w:val="3B93C128"/>
    <w:rsid w:val="3CFBE104"/>
    <w:rsid w:val="467F9A7B"/>
    <w:rsid w:val="510454D8"/>
    <w:rsid w:val="5395A1E2"/>
    <w:rsid w:val="5D8505AD"/>
    <w:rsid w:val="6F81B597"/>
    <w:rsid w:val="71443FBB"/>
    <w:rsid w:val="7563E76A"/>
    <w:rsid w:val="79A6159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127A6B"/>
  <w15:docId w15:val="{9003D52C-EAFF-4023-919F-C462EC874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07E5"/>
  </w:style>
  <w:style w:type="paragraph" w:styleId="Ttulo1">
    <w:name w:val="heading 1"/>
    <w:basedOn w:val="Normal"/>
    <w:link w:val="Ttulo1Car"/>
    <w:uiPriority w:val="9"/>
    <w:qFormat/>
    <w:rsid w:val="00CD2E7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B3044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B30448"/>
    <w:pPr>
      <w:spacing w:after="0" w:line="240" w:lineRule="auto"/>
    </w:pPr>
    <w:rPr>
      <w:sz w:val="20"/>
      <w:szCs w:val="20"/>
      <w:lang w:val="es-MX"/>
    </w:rPr>
  </w:style>
  <w:style w:type="character" w:customStyle="1" w:styleId="TextonotapieCar1">
    <w:name w:val="Texto nota pie Car1"/>
    <w:basedOn w:val="Fuentedeprrafopredeter"/>
    <w:uiPriority w:val="99"/>
    <w:semiHidden/>
    <w:rsid w:val="00B3044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B30448"/>
    <w:rPr>
      <w:vertAlign w:val="superscript"/>
    </w:rPr>
  </w:style>
  <w:style w:type="paragraph" w:customStyle="1" w:styleId="Appelnotedebasde">
    <w:name w:val="Appel note de bas de..."/>
    <w:basedOn w:val="Normal"/>
    <w:link w:val="Refdenotaalpie"/>
    <w:uiPriority w:val="99"/>
    <w:rsid w:val="00B30448"/>
    <w:pPr>
      <w:spacing w:line="240" w:lineRule="exact"/>
    </w:pPr>
    <w:rPr>
      <w:vertAlign w:val="superscript"/>
    </w:rPr>
  </w:style>
  <w:style w:type="paragraph" w:styleId="Encabezado">
    <w:name w:val="header"/>
    <w:basedOn w:val="Normal"/>
    <w:link w:val="EncabezadoCar"/>
    <w:uiPriority w:val="99"/>
    <w:unhideWhenUsed/>
    <w:rsid w:val="00B3044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30448"/>
  </w:style>
  <w:style w:type="paragraph" w:styleId="Piedepgina">
    <w:name w:val="footer"/>
    <w:basedOn w:val="Normal"/>
    <w:link w:val="PiedepginaCar"/>
    <w:uiPriority w:val="99"/>
    <w:unhideWhenUsed/>
    <w:rsid w:val="00B3044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30448"/>
  </w:style>
  <w:style w:type="table" w:styleId="Tablaconcuadrcula">
    <w:name w:val="Table Grid"/>
    <w:basedOn w:val="Tablanormal"/>
    <w:uiPriority w:val="39"/>
    <w:qFormat/>
    <w:rsid w:val="00B304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C22307"/>
    <w:rPr>
      <w:color w:val="0563C1" w:themeColor="hyperlink"/>
      <w:u w:val="single"/>
    </w:rPr>
  </w:style>
  <w:style w:type="character" w:styleId="Mencinsinresolver">
    <w:name w:val="Unresolved Mention"/>
    <w:basedOn w:val="Fuentedeprrafopredeter"/>
    <w:uiPriority w:val="99"/>
    <w:semiHidden/>
    <w:unhideWhenUsed/>
    <w:rsid w:val="00C22307"/>
    <w:rPr>
      <w:color w:val="605E5C"/>
      <w:shd w:val="clear" w:color="auto" w:fill="E1DFDD"/>
    </w:rPr>
  </w:style>
  <w:style w:type="character" w:styleId="Hipervnculovisitado">
    <w:name w:val="FollowedHyperlink"/>
    <w:basedOn w:val="Fuentedeprrafopredeter"/>
    <w:uiPriority w:val="99"/>
    <w:semiHidden/>
    <w:unhideWhenUsed/>
    <w:rsid w:val="00C22307"/>
    <w:rPr>
      <w:color w:val="954F72" w:themeColor="followedHyperlink"/>
      <w:u w:val="single"/>
    </w:rPr>
  </w:style>
  <w:style w:type="character" w:styleId="Refdecomentario">
    <w:name w:val="annotation reference"/>
    <w:basedOn w:val="Fuentedeprrafopredeter"/>
    <w:uiPriority w:val="99"/>
    <w:semiHidden/>
    <w:unhideWhenUsed/>
    <w:rsid w:val="00A37D1C"/>
    <w:rPr>
      <w:sz w:val="16"/>
      <w:szCs w:val="16"/>
    </w:rPr>
  </w:style>
  <w:style w:type="paragraph" w:styleId="Textocomentario">
    <w:name w:val="annotation text"/>
    <w:basedOn w:val="Normal"/>
    <w:link w:val="TextocomentarioCar"/>
    <w:uiPriority w:val="99"/>
    <w:unhideWhenUsed/>
    <w:rsid w:val="00A37D1C"/>
    <w:pPr>
      <w:spacing w:line="240" w:lineRule="auto"/>
    </w:pPr>
    <w:rPr>
      <w:sz w:val="20"/>
      <w:szCs w:val="20"/>
    </w:rPr>
  </w:style>
  <w:style w:type="character" w:customStyle="1" w:styleId="TextocomentarioCar">
    <w:name w:val="Texto comentario Car"/>
    <w:basedOn w:val="Fuentedeprrafopredeter"/>
    <w:link w:val="Textocomentario"/>
    <w:uiPriority w:val="99"/>
    <w:rsid w:val="00A37D1C"/>
    <w:rPr>
      <w:sz w:val="20"/>
      <w:szCs w:val="20"/>
    </w:rPr>
  </w:style>
  <w:style w:type="paragraph" w:styleId="Asuntodelcomentario">
    <w:name w:val="annotation subject"/>
    <w:basedOn w:val="Textocomentario"/>
    <w:next w:val="Textocomentario"/>
    <w:link w:val="AsuntodelcomentarioCar"/>
    <w:uiPriority w:val="99"/>
    <w:semiHidden/>
    <w:unhideWhenUsed/>
    <w:rsid w:val="00A37D1C"/>
    <w:rPr>
      <w:b/>
      <w:bCs/>
    </w:rPr>
  </w:style>
  <w:style w:type="character" w:customStyle="1" w:styleId="AsuntodelcomentarioCar">
    <w:name w:val="Asunto del comentario Car"/>
    <w:basedOn w:val="TextocomentarioCar"/>
    <w:link w:val="Asuntodelcomentario"/>
    <w:uiPriority w:val="99"/>
    <w:semiHidden/>
    <w:rsid w:val="00A37D1C"/>
    <w:rPr>
      <w:b/>
      <w:bCs/>
      <w:sz w:val="20"/>
      <w:szCs w:val="20"/>
    </w:rPr>
  </w:style>
  <w:style w:type="paragraph" w:customStyle="1" w:styleId="Normal11pt">
    <w:name w:val="Normal + 11 pt"/>
    <w:aliases w:val="Negro,Justificado,Izquierda:  -0,95 cm,Derecha:  0,04 cm"/>
    <w:basedOn w:val="Normal"/>
    <w:uiPriority w:val="99"/>
    <w:rsid w:val="00B76C94"/>
    <w:pPr>
      <w:spacing w:after="0" w:line="240" w:lineRule="auto"/>
      <w:ind w:left="-540"/>
      <w:jc w:val="both"/>
    </w:pPr>
    <w:rPr>
      <w:rFonts w:ascii="Arial" w:eastAsia="Times New Roman" w:hAnsi="Arial" w:cs="Arial"/>
      <w:color w:val="000000"/>
      <w:lang w:val="es-ES_tradnl" w:eastAsia="es-ES"/>
    </w:rPr>
  </w:style>
  <w:style w:type="paragraph" w:styleId="Revisin">
    <w:name w:val="Revision"/>
    <w:hidden/>
    <w:uiPriority w:val="99"/>
    <w:semiHidden/>
    <w:rsid w:val="00F64D5A"/>
    <w:pPr>
      <w:spacing w:after="0" w:line="240" w:lineRule="auto"/>
    </w:pPr>
  </w:style>
  <w:style w:type="character" w:customStyle="1" w:styleId="cf01">
    <w:name w:val="cf01"/>
    <w:basedOn w:val="Fuentedeprrafopredeter"/>
    <w:rsid w:val="005019AA"/>
    <w:rPr>
      <w:rFonts w:ascii="Segoe UI" w:hAnsi="Segoe UI" w:cs="Segoe UI" w:hint="default"/>
      <w:i/>
      <w:iCs/>
      <w:sz w:val="18"/>
      <w:szCs w:val="18"/>
    </w:rPr>
  </w:style>
  <w:style w:type="character" w:customStyle="1" w:styleId="normaltextrun">
    <w:name w:val="normaltextrun"/>
    <w:basedOn w:val="Fuentedeprrafopredeter"/>
    <w:rsid w:val="5D8505AD"/>
  </w:style>
  <w:style w:type="character" w:customStyle="1" w:styleId="eop">
    <w:name w:val="eop"/>
    <w:basedOn w:val="Fuentedeprrafopredeter"/>
    <w:rsid w:val="5D8505AD"/>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E84D1C"/>
    <w:pPr>
      <w:spacing w:after="0" w:line="240" w:lineRule="auto"/>
      <w:ind w:left="720"/>
      <w:contextualSpacing/>
    </w:pPr>
    <w:rPr>
      <w:sz w:val="24"/>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E84D1C"/>
    <w:rPr>
      <w:sz w:val="24"/>
      <w:lang w:val="es-MX"/>
    </w:rPr>
  </w:style>
  <w:style w:type="character" w:customStyle="1" w:styleId="Ttulo1Car">
    <w:name w:val="Título 1 Car"/>
    <w:basedOn w:val="Fuentedeprrafopredeter"/>
    <w:link w:val="Ttulo1"/>
    <w:uiPriority w:val="9"/>
    <w:rsid w:val="00CD2E70"/>
    <w:rPr>
      <w:rFonts w:ascii="Times New Roman" w:eastAsia="Times New Roman" w:hAnsi="Times New Roman" w:cs="Times New Roman"/>
      <w:b/>
      <w:bCs/>
      <w:kern w:val="36"/>
      <w:sz w:val="48"/>
      <w:szCs w:val="48"/>
      <w:lang w:eastAsia="es-ES_tradnl"/>
    </w:rPr>
  </w:style>
  <w:style w:type="paragraph" w:customStyle="1" w:styleId="paragraph">
    <w:name w:val="paragraph"/>
    <w:basedOn w:val="Normal"/>
    <w:rsid w:val="00CD2E70"/>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superscript">
    <w:name w:val="superscript"/>
    <w:basedOn w:val="Fuentedeprrafopredeter"/>
    <w:rsid w:val="003651AC"/>
  </w:style>
  <w:style w:type="paragraph" w:styleId="NormalWeb">
    <w:name w:val="Normal (Web)"/>
    <w:basedOn w:val="Normal"/>
    <w:uiPriority w:val="99"/>
    <w:unhideWhenUsed/>
    <w:rsid w:val="00FB5FC4"/>
    <w:rPr>
      <w:rFonts w:ascii="Times New Roman" w:hAnsi="Times New Roman" w:cs="Times New Roman"/>
      <w:sz w:val="24"/>
      <w:szCs w:val="24"/>
    </w:rPr>
  </w:style>
  <w:style w:type="character" w:customStyle="1" w:styleId="Hipervnculo1">
    <w:name w:val="Hipervínculo1"/>
    <w:basedOn w:val="Fuentedeprrafopredeter"/>
    <w:uiPriority w:val="99"/>
    <w:unhideWhenUsed/>
    <w:rsid w:val="00FB5FC4"/>
    <w:rPr>
      <w:color w:val="F2F2F2"/>
      <w:u w:val="single"/>
    </w:rPr>
  </w:style>
  <w:style w:type="character" w:styleId="Textoennegrita">
    <w:name w:val="Strong"/>
    <w:basedOn w:val="Fuentedeprrafopredeter"/>
    <w:uiPriority w:val="22"/>
    <w:qFormat/>
    <w:rsid w:val="00FB5FC4"/>
    <w:rPr>
      <w:b/>
      <w:bCs/>
    </w:rPr>
  </w:style>
  <w:style w:type="character" w:styleId="nfasis">
    <w:name w:val="Emphasis"/>
    <w:basedOn w:val="Fuentedeprrafopredeter"/>
    <w:uiPriority w:val="20"/>
    <w:qFormat/>
    <w:rsid w:val="00FB5FC4"/>
    <w:rPr>
      <w:i/>
      <w:iCs/>
    </w:rPr>
  </w:style>
  <w:style w:type="paragraph" w:customStyle="1" w:styleId="Textoindependiente21">
    <w:name w:val="Texto independiente 21"/>
    <w:basedOn w:val="Normal"/>
    <w:rsid w:val="007A6528"/>
    <w:pPr>
      <w:overflowPunct w:val="0"/>
      <w:autoSpaceDE w:val="0"/>
      <w:autoSpaceDN w:val="0"/>
      <w:adjustRightInd w:val="0"/>
      <w:spacing w:after="0" w:line="360" w:lineRule="auto"/>
      <w:ind w:firstLine="710"/>
      <w:jc w:val="both"/>
      <w:textAlignment w:val="baseline"/>
    </w:pPr>
    <w:rPr>
      <w:rFonts w:ascii="Arial" w:eastAsia="Times New Roman" w:hAnsi="Arial" w:cs="Times New Roman"/>
      <w:sz w:val="24"/>
      <w:szCs w:val="20"/>
      <w:lang w:eastAsia="es-ES"/>
    </w:rPr>
  </w:style>
  <w:style w:type="paragraph" w:styleId="Textoindependiente">
    <w:name w:val="Body Text"/>
    <w:basedOn w:val="Normal"/>
    <w:link w:val="TextoindependienteCar"/>
    <w:uiPriority w:val="99"/>
    <w:unhideWhenUsed/>
    <w:rsid w:val="00002D5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extoindependienteCar">
    <w:name w:val="Texto independiente Car"/>
    <w:basedOn w:val="Fuentedeprrafopredeter"/>
    <w:link w:val="Textoindependiente"/>
    <w:uiPriority w:val="99"/>
    <w:rsid w:val="00002D55"/>
    <w:rPr>
      <w:rFonts w:ascii="Times New Roman" w:eastAsia="Times New Roman" w:hAnsi="Times New Roman" w:cs="Times New Roman"/>
      <w:sz w:val="24"/>
      <w:szCs w:val="24"/>
      <w:lang w:eastAsia="es-CO"/>
    </w:rPr>
  </w:style>
  <w:style w:type="character" w:customStyle="1" w:styleId="FontStyle23">
    <w:name w:val="Font Style23"/>
    <w:basedOn w:val="Fuentedeprrafopredeter"/>
    <w:rsid w:val="0081788A"/>
    <w:rPr>
      <w:rFonts w:ascii="Times New Roman" w:hAnsi="Times New Roman" w:cs="Times New Roman" w:hint="default"/>
      <w:sz w:val="20"/>
      <w:szCs w:val="20"/>
    </w:rPr>
  </w:style>
  <w:style w:type="character" w:customStyle="1" w:styleId="baj">
    <w:name w:val="b_aj"/>
    <w:basedOn w:val="Fuentedeprrafopredeter"/>
    <w:rsid w:val="00B43C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134882">
      <w:bodyDiv w:val="1"/>
      <w:marLeft w:val="0"/>
      <w:marRight w:val="0"/>
      <w:marTop w:val="0"/>
      <w:marBottom w:val="0"/>
      <w:divBdr>
        <w:top w:val="none" w:sz="0" w:space="0" w:color="auto"/>
        <w:left w:val="none" w:sz="0" w:space="0" w:color="auto"/>
        <w:bottom w:val="none" w:sz="0" w:space="0" w:color="auto"/>
        <w:right w:val="none" w:sz="0" w:space="0" w:color="auto"/>
      </w:divBdr>
    </w:div>
    <w:div w:id="39211859">
      <w:bodyDiv w:val="1"/>
      <w:marLeft w:val="0"/>
      <w:marRight w:val="0"/>
      <w:marTop w:val="0"/>
      <w:marBottom w:val="0"/>
      <w:divBdr>
        <w:top w:val="none" w:sz="0" w:space="0" w:color="auto"/>
        <w:left w:val="none" w:sz="0" w:space="0" w:color="auto"/>
        <w:bottom w:val="none" w:sz="0" w:space="0" w:color="auto"/>
        <w:right w:val="none" w:sz="0" w:space="0" w:color="auto"/>
      </w:divBdr>
    </w:div>
    <w:div w:id="46149373">
      <w:bodyDiv w:val="1"/>
      <w:marLeft w:val="0"/>
      <w:marRight w:val="0"/>
      <w:marTop w:val="0"/>
      <w:marBottom w:val="0"/>
      <w:divBdr>
        <w:top w:val="none" w:sz="0" w:space="0" w:color="auto"/>
        <w:left w:val="none" w:sz="0" w:space="0" w:color="auto"/>
        <w:bottom w:val="none" w:sz="0" w:space="0" w:color="auto"/>
        <w:right w:val="none" w:sz="0" w:space="0" w:color="auto"/>
      </w:divBdr>
    </w:div>
    <w:div w:id="107549441">
      <w:bodyDiv w:val="1"/>
      <w:marLeft w:val="0"/>
      <w:marRight w:val="0"/>
      <w:marTop w:val="0"/>
      <w:marBottom w:val="0"/>
      <w:divBdr>
        <w:top w:val="none" w:sz="0" w:space="0" w:color="auto"/>
        <w:left w:val="none" w:sz="0" w:space="0" w:color="auto"/>
        <w:bottom w:val="none" w:sz="0" w:space="0" w:color="auto"/>
        <w:right w:val="none" w:sz="0" w:space="0" w:color="auto"/>
      </w:divBdr>
    </w:div>
    <w:div w:id="112671991">
      <w:bodyDiv w:val="1"/>
      <w:marLeft w:val="0"/>
      <w:marRight w:val="0"/>
      <w:marTop w:val="0"/>
      <w:marBottom w:val="0"/>
      <w:divBdr>
        <w:top w:val="none" w:sz="0" w:space="0" w:color="auto"/>
        <w:left w:val="none" w:sz="0" w:space="0" w:color="auto"/>
        <w:bottom w:val="none" w:sz="0" w:space="0" w:color="auto"/>
        <w:right w:val="none" w:sz="0" w:space="0" w:color="auto"/>
      </w:divBdr>
    </w:div>
    <w:div w:id="125584597">
      <w:bodyDiv w:val="1"/>
      <w:marLeft w:val="0"/>
      <w:marRight w:val="0"/>
      <w:marTop w:val="0"/>
      <w:marBottom w:val="0"/>
      <w:divBdr>
        <w:top w:val="none" w:sz="0" w:space="0" w:color="auto"/>
        <w:left w:val="none" w:sz="0" w:space="0" w:color="auto"/>
        <w:bottom w:val="none" w:sz="0" w:space="0" w:color="auto"/>
        <w:right w:val="none" w:sz="0" w:space="0" w:color="auto"/>
      </w:divBdr>
    </w:div>
    <w:div w:id="139424028">
      <w:bodyDiv w:val="1"/>
      <w:marLeft w:val="0"/>
      <w:marRight w:val="0"/>
      <w:marTop w:val="0"/>
      <w:marBottom w:val="0"/>
      <w:divBdr>
        <w:top w:val="none" w:sz="0" w:space="0" w:color="auto"/>
        <w:left w:val="none" w:sz="0" w:space="0" w:color="auto"/>
        <w:bottom w:val="none" w:sz="0" w:space="0" w:color="auto"/>
        <w:right w:val="none" w:sz="0" w:space="0" w:color="auto"/>
      </w:divBdr>
      <w:divsChild>
        <w:div w:id="1821341347">
          <w:marLeft w:val="0"/>
          <w:marRight w:val="0"/>
          <w:marTop w:val="0"/>
          <w:marBottom w:val="0"/>
          <w:divBdr>
            <w:top w:val="none" w:sz="0" w:space="0" w:color="auto"/>
            <w:left w:val="none" w:sz="0" w:space="0" w:color="auto"/>
            <w:bottom w:val="none" w:sz="0" w:space="0" w:color="auto"/>
            <w:right w:val="none" w:sz="0" w:space="0" w:color="auto"/>
          </w:divBdr>
          <w:divsChild>
            <w:div w:id="91904659">
              <w:marLeft w:val="0"/>
              <w:marRight w:val="0"/>
              <w:marTop w:val="0"/>
              <w:marBottom w:val="0"/>
              <w:divBdr>
                <w:top w:val="none" w:sz="0" w:space="0" w:color="auto"/>
                <w:left w:val="none" w:sz="0" w:space="0" w:color="auto"/>
                <w:bottom w:val="none" w:sz="0" w:space="0" w:color="auto"/>
                <w:right w:val="none" w:sz="0" w:space="0" w:color="auto"/>
              </w:divBdr>
              <w:divsChild>
                <w:div w:id="205610424">
                  <w:marLeft w:val="0"/>
                  <w:marRight w:val="0"/>
                  <w:marTop w:val="0"/>
                  <w:marBottom w:val="0"/>
                  <w:divBdr>
                    <w:top w:val="none" w:sz="0" w:space="0" w:color="auto"/>
                    <w:left w:val="none" w:sz="0" w:space="0" w:color="auto"/>
                    <w:bottom w:val="none" w:sz="0" w:space="0" w:color="auto"/>
                    <w:right w:val="none" w:sz="0" w:space="0" w:color="auto"/>
                  </w:divBdr>
                  <w:divsChild>
                    <w:div w:id="744687126">
                      <w:marLeft w:val="0"/>
                      <w:marRight w:val="0"/>
                      <w:marTop w:val="0"/>
                      <w:marBottom w:val="0"/>
                      <w:divBdr>
                        <w:top w:val="none" w:sz="0" w:space="0" w:color="auto"/>
                        <w:left w:val="none" w:sz="0" w:space="0" w:color="auto"/>
                        <w:bottom w:val="none" w:sz="0" w:space="0" w:color="auto"/>
                        <w:right w:val="none" w:sz="0" w:space="0" w:color="auto"/>
                      </w:divBdr>
                      <w:divsChild>
                        <w:div w:id="658389621">
                          <w:marLeft w:val="0"/>
                          <w:marRight w:val="0"/>
                          <w:marTop w:val="0"/>
                          <w:marBottom w:val="0"/>
                          <w:divBdr>
                            <w:top w:val="none" w:sz="0" w:space="0" w:color="auto"/>
                            <w:left w:val="none" w:sz="0" w:space="0" w:color="auto"/>
                            <w:bottom w:val="none" w:sz="0" w:space="0" w:color="auto"/>
                            <w:right w:val="none" w:sz="0" w:space="0" w:color="auto"/>
                          </w:divBdr>
                          <w:divsChild>
                            <w:div w:id="49117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283863">
      <w:bodyDiv w:val="1"/>
      <w:marLeft w:val="0"/>
      <w:marRight w:val="0"/>
      <w:marTop w:val="0"/>
      <w:marBottom w:val="0"/>
      <w:divBdr>
        <w:top w:val="none" w:sz="0" w:space="0" w:color="auto"/>
        <w:left w:val="none" w:sz="0" w:space="0" w:color="auto"/>
        <w:bottom w:val="none" w:sz="0" w:space="0" w:color="auto"/>
        <w:right w:val="none" w:sz="0" w:space="0" w:color="auto"/>
      </w:divBdr>
    </w:div>
    <w:div w:id="205606860">
      <w:bodyDiv w:val="1"/>
      <w:marLeft w:val="0"/>
      <w:marRight w:val="0"/>
      <w:marTop w:val="0"/>
      <w:marBottom w:val="0"/>
      <w:divBdr>
        <w:top w:val="none" w:sz="0" w:space="0" w:color="auto"/>
        <w:left w:val="none" w:sz="0" w:space="0" w:color="auto"/>
        <w:bottom w:val="none" w:sz="0" w:space="0" w:color="auto"/>
        <w:right w:val="none" w:sz="0" w:space="0" w:color="auto"/>
      </w:divBdr>
    </w:div>
    <w:div w:id="271516540">
      <w:bodyDiv w:val="1"/>
      <w:marLeft w:val="0"/>
      <w:marRight w:val="0"/>
      <w:marTop w:val="0"/>
      <w:marBottom w:val="0"/>
      <w:divBdr>
        <w:top w:val="none" w:sz="0" w:space="0" w:color="auto"/>
        <w:left w:val="none" w:sz="0" w:space="0" w:color="auto"/>
        <w:bottom w:val="none" w:sz="0" w:space="0" w:color="auto"/>
        <w:right w:val="none" w:sz="0" w:space="0" w:color="auto"/>
      </w:divBdr>
    </w:div>
    <w:div w:id="283849664">
      <w:bodyDiv w:val="1"/>
      <w:marLeft w:val="0"/>
      <w:marRight w:val="0"/>
      <w:marTop w:val="0"/>
      <w:marBottom w:val="0"/>
      <w:divBdr>
        <w:top w:val="none" w:sz="0" w:space="0" w:color="auto"/>
        <w:left w:val="none" w:sz="0" w:space="0" w:color="auto"/>
        <w:bottom w:val="none" w:sz="0" w:space="0" w:color="auto"/>
        <w:right w:val="none" w:sz="0" w:space="0" w:color="auto"/>
      </w:divBdr>
    </w:div>
    <w:div w:id="302009774">
      <w:bodyDiv w:val="1"/>
      <w:marLeft w:val="0"/>
      <w:marRight w:val="0"/>
      <w:marTop w:val="0"/>
      <w:marBottom w:val="0"/>
      <w:divBdr>
        <w:top w:val="none" w:sz="0" w:space="0" w:color="auto"/>
        <w:left w:val="none" w:sz="0" w:space="0" w:color="auto"/>
        <w:bottom w:val="none" w:sz="0" w:space="0" w:color="auto"/>
        <w:right w:val="none" w:sz="0" w:space="0" w:color="auto"/>
      </w:divBdr>
    </w:div>
    <w:div w:id="329917147">
      <w:bodyDiv w:val="1"/>
      <w:marLeft w:val="0"/>
      <w:marRight w:val="0"/>
      <w:marTop w:val="0"/>
      <w:marBottom w:val="0"/>
      <w:divBdr>
        <w:top w:val="none" w:sz="0" w:space="0" w:color="auto"/>
        <w:left w:val="none" w:sz="0" w:space="0" w:color="auto"/>
        <w:bottom w:val="none" w:sz="0" w:space="0" w:color="auto"/>
        <w:right w:val="none" w:sz="0" w:space="0" w:color="auto"/>
      </w:divBdr>
    </w:div>
    <w:div w:id="334461891">
      <w:bodyDiv w:val="1"/>
      <w:marLeft w:val="0"/>
      <w:marRight w:val="0"/>
      <w:marTop w:val="0"/>
      <w:marBottom w:val="0"/>
      <w:divBdr>
        <w:top w:val="none" w:sz="0" w:space="0" w:color="auto"/>
        <w:left w:val="none" w:sz="0" w:space="0" w:color="auto"/>
        <w:bottom w:val="none" w:sz="0" w:space="0" w:color="auto"/>
        <w:right w:val="none" w:sz="0" w:space="0" w:color="auto"/>
      </w:divBdr>
    </w:div>
    <w:div w:id="337804836">
      <w:bodyDiv w:val="1"/>
      <w:marLeft w:val="0"/>
      <w:marRight w:val="0"/>
      <w:marTop w:val="0"/>
      <w:marBottom w:val="0"/>
      <w:divBdr>
        <w:top w:val="none" w:sz="0" w:space="0" w:color="auto"/>
        <w:left w:val="none" w:sz="0" w:space="0" w:color="auto"/>
        <w:bottom w:val="none" w:sz="0" w:space="0" w:color="auto"/>
        <w:right w:val="none" w:sz="0" w:space="0" w:color="auto"/>
      </w:divBdr>
    </w:div>
    <w:div w:id="374045247">
      <w:bodyDiv w:val="1"/>
      <w:marLeft w:val="0"/>
      <w:marRight w:val="0"/>
      <w:marTop w:val="0"/>
      <w:marBottom w:val="0"/>
      <w:divBdr>
        <w:top w:val="none" w:sz="0" w:space="0" w:color="auto"/>
        <w:left w:val="none" w:sz="0" w:space="0" w:color="auto"/>
        <w:bottom w:val="none" w:sz="0" w:space="0" w:color="auto"/>
        <w:right w:val="none" w:sz="0" w:space="0" w:color="auto"/>
      </w:divBdr>
      <w:divsChild>
        <w:div w:id="506864930">
          <w:marLeft w:val="0"/>
          <w:marRight w:val="0"/>
          <w:marTop w:val="0"/>
          <w:marBottom w:val="160"/>
          <w:divBdr>
            <w:top w:val="none" w:sz="0" w:space="0" w:color="auto"/>
            <w:left w:val="none" w:sz="0" w:space="0" w:color="auto"/>
            <w:bottom w:val="none" w:sz="0" w:space="0" w:color="auto"/>
            <w:right w:val="none" w:sz="0" w:space="0" w:color="auto"/>
          </w:divBdr>
        </w:div>
        <w:div w:id="563570546">
          <w:marLeft w:val="0"/>
          <w:marRight w:val="0"/>
          <w:marTop w:val="0"/>
          <w:marBottom w:val="160"/>
          <w:divBdr>
            <w:top w:val="none" w:sz="0" w:space="0" w:color="auto"/>
            <w:left w:val="none" w:sz="0" w:space="0" w:color="auto"/>
            <w:bottom w:val="none" w:sz="0" w:space="0" w:color="auto"/>
            <w:right w:val="none" w:sz="0" w:space="0" w:color="auto"/>
          </w:divBdr>
        </w:div>
        <w:div w:id="773287731">
          <w:marLeft w:val="0"/>
          <w:marRight w:val="0"/>
          <w:marTop w:val="0"/>
          <w:marBottom w:val="160"/>
          <w:divBdr>
            <w:top w:val="none" w:sz="0" w:space="0" w:color="auto"/>
            <w:left w:val="none" w:sz="0" w:space="0" w:color="auto"/>
            <w:bottom w:val="none" w:sz="0" w:space="0" w:color="auto"/>
            <w:right w:val="none" w:sz="0" w:space="0" w:color="auto"/>
          </w:divBdr>
        </w:div>
      </w:divsChild>
    </w:div>
    <w:div w:id="411780121">
      <w:bodyDiv w:val="1"/>
      <w:marLeft w:val="0"/>
      <w:marRight w:val="0"/>
      <w:marTop w:val="0"/>
      <w:marBottom w:val="0"/>
      <w:divBdr>
        <w:top w:val="none" w:sz="0" w:space="0" w:color="auto"/>
        <w:left w:val="none" w:sz="0" w:space="0" w:color="auto"/>
        <w:bottom w:val="none" w:sz="0" w:space="0" w:color="auto"/>
        <w:right w:val="none" w:sz="0" w:space="0" w:color="auto"/>
      </w:divBdr>
    </w:div>
    <w:div w:id="432018390">
      <w:bodyDiv w:val="1"/>
      <w:marLeft w:val="0"/>
      <w:marRight w:val="0"/>
      <w:marTop w:val="0"/>
      <w:marBottom w:val="0"/>
      <w:divBdr>
        <w:top w:val="none" w:sz="0" w:space="0" w:color="auto"/>
        <w:left w:val="none" w:sz="0" w:space="0" w:color="auto"/>
        <w:bottom w:val="none" w:sz="0" w:space="0" w:color="auto"/>
        <w:right w:val="none" w:sz="0" w:space="0" w:color="auto"/>
      </w:divBdr>
    </w:div>
    <w:div w:id="438305584">
      <w:bodyDiv w:val="1"/>
      <w:marLeft w:val="0"/>
      <w:marRight w:val="0"/>
      <w:marTop w:val="0"/>
      <w:marBottom w:val="0"/>
      <w:divBdr>
        <w:top w:val="none" w:sz="0" w:space="0" w:color="auto"/>
        <w:left w:val="none" w:sz="0" w:space="0" w:color="auto"/>
        <w:bottom w:val="none" w:sz="0" w:space="0" w:color="auto"/>
        <w:right w:val="none" w:sz="0" w:space="0" w:color="auto"/>
      </w:divBdr>
    </w:div>
    <w:div w:id="497113796">
      <w:bodyDiv w:val="1"/>
      <w:marLeft w:val="0"/>
      <w:marRight w:val="0"/>
      <w:marTop w:val="0"/>
      <w:marBottom w:val="0"/>
      <w:divBdr>
        <w:top w:val="none" w:sz="0" w:space="0" w:color="auto"/>
        <w:left w:val="none" w:sz="0" w:space="0" w:color="auto"/>
        <w:bottom w:val="none" w:sz="0" w:space="0" w:color="auto"/>
        <w:right w:val="none" w:sz="0" w:space="0" w:color="auto"/>
      </w:divBdr>
      <w:divsChild>
        <w:div w:id="932205885">
          <w:marLeft w:val="0"/>
          <w:marRight w:val="0"/>
          <w:marTop w:val="0"/>
          <w:marBottom w:val="0"/>
          <w:divBdr>
            <w:top w:val="none" w:sz="0" w:space="0" w:color="auto"/>
            <w:left w:val="none" w:sz="0" w:space="0" w:color="auto"/>
            <w:bottom w:val="none" w:sz="0" w:space="0" w:color="auto"/>
            <w:right w:val="none" w:sz="0" w:space="0" w:color="auto"/>
          </w:divBdr>
          <w:divsChild>
            <w:div w:id="396978682">
              <w:marLeft w:val="0"/>
              <w:marRight w:val="0"/>
              <w:marTop w:val="0"/>
              <w:marBottom w:val="0"/>
              <w:divBdr>
                <w:top w:val="none" w:sz="0" w:space="0" w:color="auto"/>
                <w:left w:val="none" w:sz="0" w:space="0" w:color="auto"/>
                <w:bottom w:val="none" w:sz="0" w:space="0" w:color="auto"/>
                <w:right w:val="none" w:sz="0" w:space="0" w:color="auto"/>
              </w:divBdr>
              <w:divsChild>
                <w:div w:id="1886520651">
                  <w:marLeft w:val="0"/>
                  <w:marRight w:val="0"/>
                  <w:marTop w:val="0"/>
                  <w:marBottom w:val="0"/>
                  <w:divBdr>
                    <w:top w:val="none" w:sz="0" w:space="0" w:color="auto"/>
                    <w:left w:val="none" w:sz="0" w:space="0" w:color="auto"/>
                    <w:bottom w:val="none" w:sz="0" w:space="0" w:color="auto"/>
                    <w:right w:val="none" w:sz="0" w:space="0" w:color="auto"/>
                  </w:divBdr>
                  <w:divsChild>
                    <w:div w:id="1561600205">
                      <w:marLeft w:val="0"/>
                      <w:marRight w:val="0"/>
                      <w:marTop w:val="0"/>
                      <w:marBottom w:val="0"/>
                      <w:divBdr>
                        <w:top w:val="none" w:sz="0" w:space="0" w:color="auto"/>
                        <w:left w:val="none" w:sz="0" w:space="0" w:color="auto"/>
                        <w:bottom w:val="none" w:sz="0" w:space="0" w:color="auto"/>
                        <w:right w:val="none" w:sz="0" w:space="0" w:color="auto"/>
                      </w:divBdr>
                      <w:divsChild>
                        <w:div w:id="312949149">
                          <w:marLeft w:val="0"/>
                          <w:marRight w:val="0"/>
                          <w:marTop w:val="0"/>
                          <w:marBottom w:val="0"/>
                          <w:divBdr>
                            <w:top w:val="none" w:sz="0" w:space="0" w:color="auto"/>
                            <w:left w:val="none" w:sz="0" w:space="0" w:color="auto"/>
                            <w:bottom w:val="none" w:sz="0" w:space="0" w:color="auto"/>
                            <w:right w:val="none" w:sz="0" w:space="0" w:color="auto"/>
                          </w:divBdr>
                          <w:divsChild>
                            <w:div w:id="1128743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2404418">
      <w:bodyDiv w:val="1"/>
      <w:marLeft w:val="0"/>
      <w:marRight w:val="0"/>
      <w:marTop w:val="0"/>
      <w:marBottom w:val="0"/>
      <w:divBdr>
        <w:top w:val="none" w:sz="0" w:space="0" w:color="auto"/>
        <w:left w:val="none" w:sz="0" w:space="0" w:color="auto"/>
        <w:bottom w:val="none" w:sz="0" w:space="0" w:color="auto"/>
        <w:right w:val="none" w:sz="0" w:space="0" w:color="auto"/>
      </w:divBdr>
    </w:div>
    <w:div w:id="569076646">
      <w:bodyDiv w:val="1"/>
      <w:marLeft w:val="0"/>
      <w:marRight w:val="0"/>
      <w:marTop w:val="0"/>
      <w:marBottom w:val="0"/>
      <w:divBdr>
        <w:top w:val="none" w:sz="0" w:space="0" w:color="auto"/>
        <w:left w:val="none" w:sz="0" w:space="0" w:color="auto"/>
        <w:bottom w:val="none" w:sz="0" w:space="0" w:color="auto"/>
        <w:right w:val="none" w:sz="0" w:space="0" w:color="auto"/>
      </w:divBdr>
    </w:div>
    <w:div w:id="588775434">
      <w:bodyDiv w:val="1"/>
      <w:marLeft w:val="0"/>
      <w:marRight w:val="0"/>
      <w:marTop w:val="0"/>
      <w:marBottom w:val="0"/>
      <w:divBdr>
        <w:top w:val="none" w:sz="0" w:space="0" w:color="auto"/>
        <w:left w:val="none" w:sz="0" w:space="0" w:color="auto"/>
        <w:bottom w:val="none" w:sz="0" w:space="0" w:color="auto"/>
        <w:right w:val="none" w:sz="0" w:space="0" w:color="auto"/>
      </w:divBdr>
      <w:divsChild>
        <w:div w:id="686953851">
          <w:marLeft w:val="0"/>
          <w:marRight w:val="0"/>
          <w:marTop w:val="0"/>
          <w:marBottom w:val="0"/>
          <w:divBdr>
            <w:top w:val="none" w:sz="0" w:space="0" w:color="auto"/>
            <w:left w:val="none" w:sz="0" w:space="0" w:color="auto"/>
            <w:bottom w:val="none" w:sz="0" w:space="0" w:color="auto"/>
            <w:right w:val="none" w:sz="0" w:space="0" w:color="auto"/>
          </w:divBdr>
          <w:divsChild>
            <w:div w:id="172259401">
              <w:marLeft w:val="0"/>
              <w:marRight w:val="0"/>
              <w:marTop w:val="0"/>
              <w:marBottom w:val="0"/>
              <w:divBdr>
                <w:top w:val="none" w:sz="0" w:space="0" w:color="auto"/>
                <w:left w:val="none" w:sz="0" w:space="0" w:color="auto"/>
                <w:bottom w:val="none" w:sz="0" w:space="0" w:color="auto"/>
                <w:right w:val="none" w:sz="0" w:space="0" w:color="auto"/>
              </w:divBdr>
              <w:divsChild>
                <w:div w:id="2105608189">
                  <w:marLeft w:val="0"/>
                  <w:marRight w:val="0"/>
                  <w:marTop w:val="0"/>
                  <w:marBottom w:val="0"/>
                  <w:divBdr>
                    <w:top w:val="none" w:sz="0" w:space="0" w:color="auto"/>
                    <w:left w:val="none" w:sz="0" w:space="0" w:color="auto"/>
                    <w:bottom w:val="none" w:sz="0" w:space="0" w:color="auto"/>
                    <w:right w:val="none" w:sz="0" w:space="0" w:color="auto"/>
                  </w:divBdr>
                  <w:divsChild>
                    <w:div w:id="1691952384">
                      <w:marLeft w:val="0"/>
                      <w:marRight w:val="0"/>
                      <w:marTop w:val="0"/>
                      <w:marBottom w:val="0"/>
                      <w:divBdr>
                        <w:top w:val="none" w:sz="0" w:space="0" w:color="auto"/>
                        <w:left w:val="none" w:sz="0" w:space="0" w:color="auto"/>
                        <w:bottom w:val="none" w:sz="0" w:space="0" w:color="auto"/>
                        <w:right w:val="none" w:sz="0" w:space="0" w:color="auto"/>
                      </w:divBdr>
                      <w:divsChild>
                        <w:div w:id="1490360998">
                          <w:marLeft w:val="0"/>
                          <w:marRight w:val="0"/>
                          <w:marTop w:val="0"/>
                          <w:marBottom w:val="0"/>
                          <w:divBdr>
                            <w:top w:val="none" w:sz="0" w:space="0" w:color="auto"/>
                            <w:left w:val="none" w:sz="0" w:space="0" w:color="auto"/>
                            <w:bottom w:val="none" w:sz="0" w:space="0" w:color="auto"/>
                            <w:right w:val="none" w:sz="0" w:space="0" w:color="auto"/>
                          </w:divBdr>
                          <w:divsChild>
                            <w:div w:id="626544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3080197">
      <w:bodyDiv w:val="1"/>
      <w:marLeft w:val="0"/>
      <w:marRight w:val="0"/>
      <w:marTop w:val="0"/>
      <w:marBottom w:val="0"/>
      <w:divBdr>
        <w:top w:val="none" w:sz="0" w:space="0" w:color="auto"/>
        <w:left w:val="none" w:sz="0" w:space="0" w:color="auto"/>
        <w:bottom w:val="none" w:sz="0" w:space="0" w:color="auto"/>
        <w:right w:val="none" w:sz="0" w:space="0" w:color="auto"/>
      </w:divBdr>
    </w:div>
    <w:div w:id="612518399">
      <w:bodyDiv w:val="1"/>
      <w:marLeft w:val="0"/>
      <w:marRight w:val="0"/>
      <w:marTop w:val="0"/>
      <w:marBottom w:val="0"/>
      <w:divBdr>
        <w:top w:val="none" w:sz="0" w:space="0" w:color="auto"/>
        <w:left w:val="none" w:sz="0" w:space="0" w:color="auto"/>
        <w:bottom w:val="none" w:sz="0" w:space="0" w:color="auto"/>
        <w:right w:val="none" w:sz="0" w:space="0" w:color="auto"/>
      </w:divBdr>
    </w:div>
    <w:div w:id="644244441">
      <w:bodyDiv w:val="1"/>
      <w:marLeft w:val="0"/>
      <w:marRight w:val="0"/>
      <w:marTop w:val="0"/>
      <w:marBottom w:val="0"/>
      <w:divBdr>
        <w:top w:val="none" w:sz="0" w:space="0" w:color="auto"/>
        <w:left w:val="none" w:sz="0" w:space="0" w:color="auto"/>
        <w:bottom w:val="none" w:sz="0" w:space="0" w:color="auto"/>
        <w:right w:val="none" w:sz="0" w:space="0" w:color="auto"/>
      </w:divBdr>
    </w:div>
    <w:div w:id="696200587">
      <w:bodyDiv w:val="1"/>
      <w:marLeft w:val="0"/>
      <w:marRight w:val="0"/>
      <w:marTop w:val="0"/>
      <w:marBottom w:val="0"/>
      <w:divBdr>
        <w:top w:val="none" w:sz="0" w:space="0" w:color="auto"/>
        <w:left w:val="none" w:sz="0" w:space="0" w:color="auto"/>
        <w:bottom w:val="none" w:sz="0" w:space="0" w:color="auto"/>
        <w:right w:val="none" w:sz="0" w:space="0" w:color="auto"/>
      </w:divBdr>
    </w:div>
    <w:div w:id="719481719">
      <w:bodyDiv w:val="1"/>
      <w:marLeft w:val="0"/>
      <w:marRight w:val="0"/>
      <w:marTop w:val="0"/>
      <w:marBottom w:val="0"/>
      <w:divBdr>
        <w:top w:val="none" w:sz="0" w:space="0" w:color="auto"/>
        <w:left w:val="none" w:sz="0" w:space="0" w:color="auto"/>
        <w:bottom w:val="none" w:sz="0" w:space="0" w:color="auto"/>
        <w:right w:val="none" w:sz="0" w:space="0" w:color="auto"/>
      </w:divBdr>
    </w:div>
    <w:div w:id="723599209">
      <w:bodyDiv w:val="1"/>
      <w:marLeft w:val="0"/>
      <w:marRight w:val="0"/>
      <w:marTop w:val="0"/>
      <w:marBottom w:val="0"/>
      <w:divBdr>
        <w:top w:val="none" w:sz="0" w:space="0" w:color="auto"/>
        <w:left w:val="none" w:sz="0" w:space="0" w:color="auto"/>
        <w:bottom w:val="none" w:sz="0" w:space="0" w:color="auto"/>
        <w:right w:val="none" w:sz="0" w:space="0" w:color="auto"/>
      </w:divBdr>
    </w:div>
    <w:div w:id="784926870">
      <w:bodyDiv w:val="1"/>
      <w:marLeft w:val="0"/>
      <w:marRight w:val="0"/>
      <w:marTop w:val="0"/>
      <w:marBottom w:val="0"/>
      <w:divBdr>
        <w:top w:val="none" w:sz="0" w:space="0" w:color="auto"/>
        <w:left w:val="none" w:sz="0" w:space="0" w:color="auto"/>
        <w:bottom w:val="none" w:sz="0" w:space="0" w:color="auto"/>
        <w:right w:val="none" w:sz="0" w:space="0" w:color="auto"/>
      </w:divBdr>
    </w:div>
    <w:div w:id="850341528">
      <w:bodyDiv w:val="1"/>
      <w:marLeft w:val="0"/>
      <w:marRight w:val="0"/>
      <w:marTop w:val="0"/>
      <w:marBottom w:val="0"/>
      <w:divBdr>
        <w:top w:val="none" w:sz="0" w:space="0" w:color="auto"/>
        <w:left w:val="none" w:sz="0" w:space="0" w:color="auto"/>
        <w:bottom w:val="none" w:sz="0" w:space="0" w:color="auto"/>
        <w:right w:val="none" w:sz="0" w:space="0" w:color="auto"/>
      </w:divBdr>
    </w:div>
    <w:div w:id="905454849">
      <w:bodyDiv w:val="1"/>
      <w:marLeft w:val="0"/>
      <w:marRight w:val="0"/>
      <w:marTop w:val="0"/>
      <w:marBottom w:val="0"/>
      <w:divBdr>
        <w:top w:val="none" w:sz="0" w:space="0" w:color="auto"/>
        <w:left w:val="none" w:sz="0" w:space="0" w:color="auto"/>
        <w:bottom w:val="none" w:sz="0" w:space="0" w:color="auto"/>
        <w:right w:val="none" w:sz="0" w:space="0" w:color="auto"/>
      </w:divBdr>
      <w:divsChild>
        <w:div w:id="591283175">
          <w:marLeft w:val="0"/>
          <w:marRight w:val="0"/>
          <w:marTop w:val="0"/>
          <w:marBottom w:val="160"/>
          <w:divBdr>
            <w:top w:val="none" w:sz="0" w:space="0" w:color="auto"/>
            <w:left w:val="none" w:sz="0" w:space="0" w:color="auto"/>
            <w:bottom w:val="none" w:sz="0" w:space="0" w:color="auto"/>
            <w:right w:val="none" w:sz="0" w:space="0" w:color="auto"/>
          </w:divBdr>
        </w:div>
        <w:div w:id="2145074026">
          <w:marLeft w:val="0"/>
          <w:marRight w:val="0"/>
          <w:marTop w:val="0"/>
          <w:marBottom w:val="160"/>
          <w:divBdr>
            <w:top w:val="none" w:sz="0" w:space="0" w:color="auto"/>
            <w:left w:val="none" w:sz="0" w:space="0" w:color="auto"/>
            <w:bottom w:val="none" w:sz="0" w:space="0" w:color="auto"/>
            <w:right w:val="none" w:sz="0" w:space="0" w:color="auto"/>
          </w:divBdr>
        </w:div>
        <w:div w:id="1578511561">
          <w:marLeft w:val="0"/>
          <w:marRight w:val="0"/>
          <w:marTop w:val="0"/>
          <w:marBottom w:val="160"/>
          <w:divBdr>
            <w:top w:val="none" w:sz="0" w:space="0" w:color="auto"/>
            <w:left w:val="none" w:sz="0" w:space="0" w:color="auto"/>
            <w:bottom w:val="none" w:sz="0" w:space="0" w:color="auto"/>
            <w:right w:val="none" w:sz="0" w:space="0" w:color="auto"/>
          </w:divBdr>
        </w:div>
      </w:divsChild>
    </w:div>
    <w:div w:id="935362018">
      <w:bodyDiv w:val="1"/>
      <w:marLeft w:val="0"/>
      <w:marRight w:val="0"/>
      <w:marTop w:val="0"/>
      <w:marBottom w:val="0"/>
      <w:divBdr>
        <w:top w:val="none" w:sz="0" w:space="0" w:color="auto"/>
        <w:left w:val="none" w:sz="0" w:space="0" w:color="auto"/>
        <w:bottom w:val="none" w:sz="0" w:space="0" w:color="auto"/>
        <w:right w:val="none" w:sz="0" w:space="0" w:color="auto"/>
      </w:divBdr>
    </w:div>
    <w:div w:id="951672208">
      <w:bodyDiv w:val="1"/>
      <w:marLeft w:val="0"/>
      <w:marRight w:val="0"/>
      <w:marTop w:val="0"/>
      <w:marBottom w:val="0"/>
      <w:divBdr>
        <w:top w:val="none" w:sz="0" w:space="0" w:color="auto"/>
        <w:left w:val="none" w:sz="0" w:space="0" w:color="auto"/>
        <w:bottom w:val="none" w:sz="0" w:space="0" w:color="auto"/>
        <w:right w:val="none" w:sz="0" w:space="0" w:color="auto"/>
      </w:divBdr>
    </w:div>
    <w:div w:id="956060098">
      <w:bodyDiv w:val="1"/>
      <w:marLeft w:val="0"/>
      <w:marRight w:val="0"/>
      <w:marTop w:val="0"/>
      <w:marBottom w:val="0"/>
      <w:divBdr>
        <w:top w:val="none" w:sz="0" w:space="0" w:color="auto"/>
        <w:left w:val="none" w:sz="0" w:space="0" w:color="auto"/>
        <w:bottom w:val="none" w:sz="0" w:space="0" w:color="auto"/>
        <w:right w:val="none" w:sz="0" w:space="0" w:color="auto"/>
      </w:divBdr>
    </w:div>
    <w:div w:id="985858265">
      <w:bodyDiv w:val="1"/>
      <w:marLeft w:val="0"/>
      <w:marRight w:val="0"/>
      <w:marTop w:val="0"/>
      <w:marBottom w:val="0"/>
      <w:divBdr>
        <w:top w:val="none" w:sz="0" w:space="0" w:color="auto"/>
        <w:left w:val="none" w:sz="0" w:space="0" w:color="auto"/>
        <w:bottom w:val="none" w:sz="0" w:space="0" w:color="auto"/>
        <w:right w:val="none" w:sz="0" w:space="0" w:color="auto"/>
      </w:divBdr>
    </w:div>
    <w:div w:id="1015158801">
      <w:bodyDiv w:val="1"/>
      <w:marLeft w:val="0"/>
      <w:marRight w:val="0"/>
      <w:marTop w:val="0"/>
      <w:marBottom w:val="0"/>
      <w:divBdr>
        <w:top w:val="none" w:sz="0" w:space="0" w:color="auto"/>
        <w:left w:val="none" w:sz="0" w:space="0" w:color="auto"/>
        <w:bottom w:val="none" w:sz="0" w:space="0" w:color="auto"/>
        <w:right w:val="none" w:sz="0" w:space="0" w:color="auto"/>
      </w:divBdr>
    </w:div>
    <w:div w:id="1067846211">
      <w:bodyDiv w:val="1"/>
      <w:marLeft w:val="0"/>
      <w:marRight w:val="0"/>
      <w:marTop w:val="0"/>
      <w:marBottom w:val="0"/>
      <w:divBdr>
        <w:top w:val="none" w:sz="0" w:space="0" w:color="auto"/>
        <w:left w:val="none" w:sz="0" w:space="0" w:color="auto"/>
        <w:bottom w:val="none" w:sz="0" w:space="0" w:color="auto"/>
        <w:right w:val="none" w:sz="0" w:space="0" w:color="auto"/>
      </w:divBdr>
    </w:div>
    <w:div w:id="1089231679">
      <w:bodyDiv w:val="1"/>
      <w:marLeft w:val="0"/>
      <w:marRight w:val="0"/>
      <w:marTop w:val="0"/>
      <w:marBottom w:val="0"/>
      <w:divBdr>
        <w:top w:val="none" w:sz="0" w:space="0" w:color="auto"/>
        <w:left w:val="none" w:sz="0" w:space="0" w:color="auto"/>
        <w:bottom w:val="none" w:sz="0" w:space="0" w:color="auto"/>
        <w:right w:val="none" w:sz="0" w:space="0" w:color="auto"/>
      </w:divBdr>
    </w:div>
    <w:div w:id="1090585167">
      <w:bodyDiv w:val="1"/>
      <w:marLeft w:val="0"/>
      <w:marRight w:val="0"/>
      <w:marTop w:val="0"/>
      <w:marBottom w:val="0"/>
      <w:divBdr>
        <w:top w:val="none" w:sz="0" w:space="0" w:color="auto"/>
        <w:left w:val="none" w:sz="0" w:space="0" w:color="auto"/>
        <w:bottom w:val="none" w:sz="0" w:space="0" w:color="auto"/>
        <w:right w:val="none" w:sz="0" w:space="0" w:color="auto"/>
      </w:divBdr>
    </w:div>
    <w:div w:id="1107236897">
      <w:bodyDiv w:val="1"/>
      <w:marLeft w:val="0"/>
      <w:marRight w:val="0"/>
      <w:marTop w:val="0"/>
      <w:marBottom w:val="0"/>
      <w:divBdr>
        <w:top w:val="none" w:sz="0" w:space="0" w:color="auto"/>
        <w:left w:val="none" w:sz="0" w:space="0" w:color="auto"/>
        <w:bottom w:val="none" w:sz="0" w:space="0" w:color="auto"/>
        <w:right w:val="none" w:sz="0" w:space="0" w:color="auto"/>
      </w:divBdr>
      <w:divsChild>
        <w:div w:id="477647396">
          <w:marLeft w:val="0"/>
          <w:marRight w:val="0"/>
          <w:marTop w:val="0"/>
          <w:marBottom w:val="0"/>
          <w:divBdr>
            <w:top w:val="none" w:sz="0" w:space="0" w:color="auto"/>
            <w:left w:val="none" w:sz="0" w:space="0" w:color="auto"/>
            <w:bottom w:val="none" w:sz="0" w:space="0" w:color="auto"/>
            <w:right w:val="none" w:sz="0" w:space="0" w:color="auto"/>
          </w:divBdr>
          <w:divsChild>
            <w:div w:id="796800405">
              <w:marLeft w:val="0"/>
              <w:marRight w:val="0"/>
              <w:marTop w:val="0"/>
              <w:marBottom w:val="0"/>
              <w:divBdr>
                <w:top w:val="none" w:sz="0" w:space="0" w:color="auto"/>
                <w:left w:val="none" w:sz="0" w:space="0" w:color="auto"/>
                <w:bottom w:val="none" w:sz="0" w:space="0" w:color="auto"/>
                <w:right w:val="none" w:sz="0" w:space="0" w:color="auto"/>
              </w:divBdr>
              <w:divsChild>
                <w:div w:id="969165727">
                  <w:marLeft w:val="0"/>
                  <w:marRight w:val="0"/>
                  <w:marTop w:val="0"/>
                  <w:marBottom w:val="0"/>
                  <w:divBdr>
                    <w:top w:val="none" w:sz="0" w:space="0" w:color="auto"/>
                    <w:left w:val="none" w:sz="0" w:space="0" w:color="auto"/>
                    <w:bottom w:val="none" w:sz="0" w:space="0" w:color="auto"/>
                    <w:right w:val="none" w:sz="0" w:space="0" w:color="auto"/>
                  </w:divBdr>
                  <w:divsChild>
                    <w:div w:id="324626554">
                      <w:marLeft w:val="0"/>
                      <w:marRight w:val="0"/>
                      <w:marTop w:val="0"/>
                      <w:marBottom w:val="0"/>
                      <w:divBdr>
                        <w:top w:val="none" w:sz="0" w:space="0" w:color="auto"/>
                        <w:left w:val="none" w:sz="0" w:space="0" w:color="auto"/>
                        <w:bottom w:val="none" w:sz="0" w:space="0" w:color="auto"/>
                        <w:right w:val="none" w:sz="0" w:space="0" w:color="auto"/>
                      </w:divBdr>
                      <w:divsChild>
                        <w:div w:id="1435707499">
                          <w:marLeft w:val="0"/>
                          <w:marRight w:val="0"/>
                          <w:marTop w:val="0"/>
                          <w:marBottom w:val="0"/>
                          <w:divBdr>
                            <w:top w:val="none" w:sz="0" w:space="0" w:color="auto"/>
                            <w:left w:val="none" w:sz="0" w:space="0" w:color="auto"/>
                            <w:bottom w:val="none" w:sz="0" w:space="0" w:color="auto"/>
                            <w:right w:val="none" w:sz="0" w:space="0" w:color="auto"/>
                          </w:divBdr>
                          <w:divsChild>
                            <w:div w:id="330301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3371148">
      <w:bodyDiv w:val="1"/>
      <w:marLeft w:val="0"/>
      <w:marRight w:val="0"/>
      <w:marTop w:val="0"/>
      <w:marBottom w:val="0"/>
      <w:divBdr>
        <w:top w:val="none" w:sz="0" w:space="0" w:color="auto"/>
        <w:left w:val="none" w:sz="0" w:space="0" w:color="auto"/>
        <w:bottom w:val="none" w:sz="0" w:space="0" w:color="auto"/>
        <w:right w:val="none" w:sz="0" w:space="0" w:color="auto"/>
      </w:divBdr>
      <w:divsChild>
        <w:div w:id="578834935">
          <w:marLeft w:val="0"/>
          <w:marRight w:val="0"/>
          <w:marTop w:val="0"/>
          <w:marBottom w:val="160"/>
          <w:divBdr>
            <w:top w:val="none" w:sz="0" w:space="0" w:color="auto"/>
            <w:left w:val="none" w:sz="0" w:space="0" w:color="auto"/>
            <w:bottom w:val="none" w:sz="0" w:space="0" w:color="auto"/>
            <w:right w:val="none" w:sz="0" w:space="0" w:color="auto"/>
          </w:divBdr>
        </w:div>
        <w:div w:id="86193346">
          <w:marLeft w:val="0"/>
          <w:marRight w:val="0"/>
          <w:marTop w:val="0"/>
          <w:marBottom w:val="160"/>
          <w:divBdr>
            <w:top w:val="none" w:sz="0" w:space="0" w:color="auto"/>
            <w:left w:val="none" w:sz="0" w:space="0" w:color="auto"/>
            <w:bottom w:val="none" w:sz="0" w:space="0" w:color="auto"/>
            <w:right w:val="none" w:sz="0" w:space="0" w:color="auto"/>
          </w:divBdr>
        </w:div>
        <w:div w:id="185557124">
          <w:marLeft w:val="0"/>
          <w:marRight w:val="0"/>
          <w:marTop w:val="0"/>
          <w:marBottom w:val="160"/>
          <w:divBdr>
            <w:top w:val="none" w:sz="0" w:space="0" w:color="auto"/>
            <w:left w:val="none" w:sz="0" w:space="0" w:color="auto"/>
            <w:bottom w:val="none" w:sz="0" w:space="0" w:color="auto"/>
            <w:right w:val="none" w:sz="0" w:space="0" w:color="auto"/>
          </w:divBdr>
        </w:div>
      </w:divsChild>
    </w:div>
    <w:div w:id="1165128992">
      <w:bodyDiv w:val="1"/>
      <w:marLeft w:val="0"/>
      <w:marRight w:val="0"/>
      <w:marTop w:val="0"/>
      <w:marBottom w:val="0"/>
      <w:divBdr>
        <w:top w:val="none" w:sz="0" w:space="0" w:color="auto"/>
        <w:left w:val="none" w:sz="0" w:space="0" w:color="auto"/>
        <w:bottom w:val="none" w:sz="0" w:space="0" w:color="auto"/>
        <w:right w:val="none" w:sz="0" w:space="0" w:color="auto"/>
      </w:divBdr>
    </w:div>
    <w:div w:id="1200049807">
      <w:bodyDiv w:val="1"/>
      <w:marLeft w:val="0"/>
      <w:marRight w:val="0"/>
      <w:marTop w:val="0"/>
      <w:marBottom w:val="0"/>
      <w:divBdr>
        <w:top w:val="none" w:sz="0" w:space="0" w:color="auto"/>
        <w:left w:val="none" w:sz="0" w:space="0" w:color="auto"/>
        <w:bottom w:val="none" w:sz="0" w:space="0" w:color="auto"/>
        <w:right w:val="none" w:sz="0" w:space="0" w:color="auto"/>
      </w:divBdr>
    </w:div>
    <w:div w:id="1212838153">
      <w:bodyDiv w:val="1"/>
      <w:marLeft w:val="0"/>
      <w:marRight w:val="0"/>
      <w:marTop w:val="0"/>
      <w:marBottom w:val="0"/>
      <w:divBdr>
        <w:top w:val="none" w:sz="0" w:space="0" w:color="auto"/>
        <w:left w:val="none" w:sz="0" w:space="0" w:color="auto"/>
        <w:bottom w:val="none" w:sz="0" w:space="0" w:color="auto"/>
        <w:right w:val="none" w:sz="0" w:space="0" w:color="auto"/>
      </w:divBdr>
    </w:div>
    <w:div w:id="1243177627">
      <w:bodyDiv w:val="1"/>
      <w:marLeft w:val="0"/>
      <w:marRight w:val="0"/>
      <w:marTop w:val="0"/>
      <w:marBottom w:val="0"/>
      <w:divBdr>
        <w:top w:val="none" w:sz="0" w:space="0" w:color="auto"/>
        <w:left w:val="none" w:sz="0" w:space="0" w:color="auto"/>
        <w:bottom w:val="none" w:sz="0" w:space="0" w:color="auto"/>
        <w:right w:val="none" w:sz="0" w:space="0" w:color="auto"/>
      </w:divBdr>
    </w:div>
    <w:div w:id="1270358733">
      <w:bodyDiv w:val="1"/>
      <w:marLeft w:val="0"/>
      <w:marRight w:val="0"/>
      <w:marTop w:val="0"/>
      <w:marBottom w:val="0"/>
      <w:divBdr>
        <w:top w:val="none" w:sz="0" w:space="0" w:color="auto"/>
        <w:left w:val="none" w:sz="0" w:space="0" w:color="auto"/>
        <w:bottom w:val="none" w:sz="0" w:space="0" w:color="auto"/>
        <w:right w:val="none" w:sz="0" w:space="0" w:color="auto"/>
      </w:divBdr>
    </w:div>
    <w:div w:id="1292829531">
      <w:bodyDiv w:val="1"/>
      <w:marLeft w:val="0"/>
      <w:marRight w:val="0"/>
      <w:marTop w:val="0"/>
      <w:marBottom w:val="0"/>
      <w:divBdr>
        <w:top w:val="none" w:sz="0" w:space="0" w:color="auto"/>
        <w:left w:val="none" w:sz="0" w:space="0" w:color="auto"/>
        <w:bottom w:val="none" w:sz="0" w:space="0" w:color="auto"/>
        <w:right w:val="none" w:sz="0" w:space="0" w:color="auto"/>
      </w:divBdr>
    </w:div>
    <w:div w:id="1320504720">
      <w:bodyDiv w:val="1"/>
      <w:marLeft w:val="0"/>
      <w:marRight w:val="0"/>
      <w:marTop w:val="0"/>
      <w:marBottom w:val="0"/>
      <w:divBdr>
        <w:top w:val="none" w:sz="0" w:space="0" w:color="auto"/>
        <w:left w:val="none" w:sz="0" w:space="0" w:color="auto"/>
        <w:bottom w:val="none" w:sz="0" w:space="0" w:color="auto"/>
        <w:right w:val="none" w:sz="0" w:space="0" w:color="auto"/>
      </w:divBdr>
    </w:div>
    <w:div w:id="1347245505">
      <w:bodyDiv w:val="1"/>
      <w:marLeft w:val="0"/>
      <w:marRight w:val="0"/>
      <w:marTop w:val="0"/>
      <w:marBottom w:val="0"/>
      <w:divBdr>
        <w:top w:val="none" w:sz="0" w:space="0" w:color="auto"/>
        <w:left w:val="none" w:sz="0" w:space="0" w:color="auto"/>
        <w:bottom w:val="none" w:sz="0" w:space="0" w:color="auto"/>
        <w:right w:val="none" w:sz="0" w:space="0" w:color="auto"/>
      </w:divBdr>
    </w:div>
    <w:div w:id="1350988023">
      <w:bodyDiv w:val="1"/>
      <w:marLeft w:val="0"/>
      <w:marRight w:val="0"/>
      <w:marTop w:val="0"/>
      <w:marBottom w:val="0"/>
      <w:divBdr>
        <w:top w:val="none" w:sz="0" w:space="0" w:color="auto"/>
        <w:left w:val="none" w:sz="0" w:space="0" w:color="auto"/>
        <w:bottom w:val="none" w:sz="0" w:space="0" w:color="auto"/>
        <w:right w:val="none" w:sz="0" w:space="0" w:color="auto"/>
      </w:divBdr>
    </w:div>
    <w:div w:id="1391033297">
      <w:bodyDiv w:val="1"/>
      <w:marLeft w:val="0"/>
      <w:marRight w:val="0"/>
      <w:marTop w:val="0"/>
      <w:marBottom w:val="0"/>
      <w:divBdr>
        <w:top w:val="none" w:sz="0" w:space="0" w:color="auto"/>
        <w:left w:val="none" w:sz="0" w:space="0" w:color="auto"/>
        <w:bottom w:val="none" w:sz="0" w:space="0" w:color="auto"/>
        <w:right w:val="none" w:sz="0" w:space="0" w:color="auto"/>
      </w:divBdr>
      <w:divsChild>
        <w:div w:id="1302231751">
          <w:marLeft w:val="0"/>
          <w:marRight w:val="0"/>
          <w:marTop w:val="0"/>
          <w:marBottom w:val="0"/>
          <w:divBdr>
            <w:top w:val="none" w:sz="0" w:space="0" w:color="auto"/>
            <w:left w:val="none" w:sz="0" w:space="0" w:color="auto"/>
            <w:bottom w:val="none" w:sz="0" w:space="0" w:color="auto"/>
            <w:right w:val="none" w:sz="0" w:space="0" w:color="auto"/>
          </w:divBdr>
          <w:divsChild>
            <w:div w:id="1910311305">
              <w:marLeft w:val="0"/>
              <w:marRight w:val="0"/>
              <w:marTop w:val="0"/>
              <w:marBottom w:val="0"/>
              <w:divBdr>
                <w:top w:val="none" w:sz="0" w:space="0" w:color="auto"/>
                <w:left w:val="none" w:sz="0" w:space="0" w:color="auto"/>
                <w:bottom w:val="none" w:sz="0" w:space="0" w:color="auto"/>
                <w:right w:val="none" w:sz="0" w:space="0" w:color="auto"/>
              </w:divBdr>
              <w:divsChild>
                <w:div w:id="245462431">
                  <w:marLeft w:val="0"/>
                  <w:marRight w:val="0"/>
                  <w:marTop w:val="0"/>
                  <w:marBottom w:val="0"/>
                  <w:divBdr>
                    <w:top w:val="none" w:sz="0" w:space="0" w:color="auto"/>
                    <w:left w:val="none" w:sz="0" w:space="0" w:color="auto"/>
                    <w:bottom w:val="none" w:sz="0" w:space="0" w:color="auto"/>
                    <w:right w:val="none" w:sz="0" w:space="0" w:color="auto"/>
                  </w:divBdr>
                  <w:divsChild>
                    <w:div w:id="1029255869">
                      <w:marLeft w:val="0"/>
                      <w:marRight w:val="0"/>
                      <w:marTop w:val="0"/>
                      <w:marBottom w:val="0"/>
                      <w:divBdr>
                        <w:top w:val="none" w:sz="0" w:space="0" w:color="auto"/>
                        <w:left w:val="none" w:sz="0" w:space="0" w:color="auto"/>
                        <w:bottom w:val="none" w:sz="0" w:space="0" w:color="auto"/>
                        <w:right w:val="none" w:sz="0" w:space="0" w:color="auto"/>
                      </w:divBdr>
                      <w:divsChild>
                        <w:div w:id="613244225">
                          <w:marLeft w:val="0"/>
                          <w:marRight w:val="0"/>
                          <w:marTop w:val="0"/>
                          <w:marBottom w:val="0"/>
                          <w:divBdr>
                            <w:top w:val="none" w:sz="0" w:space="0" w:color="auto"/>
                            <w:left w:val="none" w:sz="0" w:space="0" w:color="auto"/>
                            <w:bottom w:val="none" w:sz="0" w:space="0" w:color="auto"/>
                            <w:right w:val="none" w:sz="0" w:space="0" w:color="auto"/>
                          </w:divBdr>
                          <w:divsChild>
                            <w:div w:id="582883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6247560">
      <w:bodyDiv w:val="1"/>
      <w:marLeft w:val="0"/>
      <w:marRight w:val="0"/>
      <w:marTop w:val="0"/>
      <w:marBottom w:val="0"/>
      <w:divBdr>
        <w:top w:val="none" w:sz="0" w:space="0" w:color="auto"/>
        <w:left w:val="none" w:sz="0" w:space="0" w:color="auto"/>
        <w:bottom w:val="none" w:sz="0" w:space="0" w:color="auto"/>
        <w:right w:val="none" w:sz="0" w:space="0" w:color="auto"/>
      </w:divBdr>
    </w:div>
    <w:div w:id="1448115632">
      <w:bodyDiv w:val="1"/>
      <w:marLeft w:val="0"/>
      <w:marRight w:val="0"/>
      <w:marTop w:val="0"/>
      <w:marBottom w:val="0"/>
      <w:divBdr>
        <w:top w:val="none" w:sz="0" w:space="0" w:color="auto"/>
        <w:left w:val="none" w:sz="0" w:space="0" w:color="auto"/>
        <w:bottom w:val="none" w:sz="0" w:space="0" w:color="auto"/>
        <w:right w:val="none" w:sz="0" w:space="0" w:color="auto"/>
      </w:divBdr>
    </w:div>
    <w:div w:id="1498619727">
      <w:bodyDiv w:val="1"/>
      <w:marLeft w:val="0"/>
      <w:marRight w:val="0"/>
      <w:marTop w:val="0"/>
      <w:marBottom w:val="0"/>
      <w:divBdr>
        <w:top w:val="none" w:sz="0" w:space="0" w:color="auto"/>
        <w:left w:val="none" w:sz="0" w:space="0" w:color="auto"/>
        <w:bottom w:val="none" w:sz="0" w:space="0" w:color="auto"/>
        <w:right w:val="none" w:sz="0" w:space="0" w:color="auto"/>
      </w:divBdr>
      <w:divsChild>
        <w:div w:id="797839195">
          <w:marLeft w:val="0"/>
          <w:marRight w:val="0"/>
          <w:marTop w:val="0"/>
          <w:marBottom w:val="160"/>
          <w:divBdr>
            <w:top w:val="none" w:sz="0" w:space="0" w:color="auto"/>
            <w:left w:val="none" w:sz="0" w:space="0" w:color="auto"/>
            <w:bottom w:val="none" w:sz="0" w:space="0" w:color="auto"/>
            <w:right w:val="none" w:sz="0" w:space="0" w:color="auto"/>
          </w:divBdr>
        </w:div>
        <w:div w:id="560681091">
          <w:marLeft w:val="0"/>
          <w:marRight w:val="0"/>
          <w:marTop w:val="0"/>
          <w:marBottom w:val="160"/>
          <w:divBdr>
            <w:top w:val="none" w:sz="0" w:space="0" w:color="auto"/>
            <w:left w:val="none" w:sz="0" w:space="0" w:color="auto"/>
            <w:bottom w:val="none" w:sz="0" w:space="0" w:color="auto"/>
            <w:right w:val="none" w:sz="0" w:space="0" w:color="auto"/>
          </w:divBdr>
        </w:div>
        <w:div w:id="1153833297">
          <w:marLeft w:val="0"/>
          <w:marRight w:val="0"/>
          <w:marTop w:val="0"/>
          <w:marBottom w:val="160"/>
          <w:divBdr>
            <w:top w:val="none" w:sz="0" w:space="0" w:color="auto"/>
            <w:left w:val="none" w:sz="0" w:space="0" w:color="auto"/>
            <w:bottom w:val="none" w:sz="0" w:space="0" w:color="auto"/>
            <w:right w:val="none" w:sz="0" w:space="0" w:color="auto"/>
          </w:divBdr>
        </w:div>
      </w:divsChild>
    </w:div>
    <w:div w:id="1503475624">
      <w:bodyDiv w:val="1"/>
      <w:marLeft w:val="0"/>
      <w:marRight w:val="0"/>
      <w:marTop w:val="0"/>
      <w:marBottom w:val="0"/>
      <w:divBdr>
        <w:top w:val="none" w:sz="0" w:space="0" w:color="auto"/>
        <w:left w:val="none" w:sz="0" w:space="0" w:color="auto"/>
        <w:bottom w:val="none" w:sz="0" w:space="0" w:color="auto"/>
        <w:right w:val="none" w:sz="0" w:space="0" w:color="auto"/>
      </w:divBdr>
    </w:div>
    <w:div w:id="1505320125">
      <w:bodyDiv w:val="1"/>
      <w:marLeft w:val="0"/>
      <w:marRight w:val="0"/>
      <w:marTop w:val="0"/>
      <w:marBottom w:val="0"/>
      <w:divBdr>
        <w:top w:val="none" w:sz="0" w:space="0" w:color="auto"/>
        <w:left w:val="none" w:sz="0" w:space="0" w:color="auto"/>
        <w:bottom w:val="none" w:sz="0" w:space="0" w:color="auto"/>
        <w:right w:val="none" w:sz="0" w:space="0" w:color="auto"/>
      </w:divBdr>
    </w:div>
    <w:div w:id="1541283808">
      <w:bodyDiv w:val="1"/>
      <w:marLeft w:val="0"/>
      <w:marRight w:val="0"/>
      <w:marTop w:val="0"/>
      <w:marBottom w:val="0"/>
      <w:divBdr>
        <w:top w:val="none" w:sz="0" w:space="0" w:color="auto"/>
        <w:left w:val="none" w:sz="0" w:space="0" w:color="auto"/>
        <w:bottom w:val="none" w:sz="0" w:space="0" w:color="auto"/>
        <w:right w:val="none" w:sz="0" w:space="0" w:color="auto"/>
      </w:divBdr>
    </w:div>
    <w:div w:id="1562521597">
      <w:bodyDiv w:val="1"/>
      <w:marLeft w:val="0"/>
      <w:marRight w:val="0"/>
      <w:marTop w:val="0"/>
      <w:marBottom w:val="0"/>
      <w:divBdr>
        <w:top w:val="none" w:sz="0" w:space="0" w:color="auto"/>
        <w:left w:val="none" w:sz="0" w:space="0" w:color="auto"/>
        <w:bottom w:val="none" w:sz="0" w:space="0" w:color="auto"/>
        <w:right w:val="none" w:sz="0" w:space="0" w:color="auto"/>
      </w:divBdr>
    </w:div>
    <w:div w:id="1568610026">
      <w:bodyDiv w:val="1"/>
      <w:marLeft w:val="0"/>
      <w:marRight w:val="0"/>
      <w:marTop w:val="0"/>
      <w:marBottom w:val="0"/>
      <w:divBdr>
        <w:top w:val="none" w:sz="0" w:space="0" w:color="auto"/>
        <w:left w:val="none" w:sz="0" w:space="0" w:color="auto"/>
        <w:bottom w:val="none" w:sz="0" w:space="0" w:color="auto"/>
        <w:right w:val="none" w:sz="0" w:space="0" w:color="auto"/>
      </w:divBdr>
    </w:div>
    <w:div w:id="1569070866">
      <w:bodyDiv w:val="1"/>
      <w:marLeft w:val="0"/>
      <w:marRight w:val="0"/>
      <w:marTop w:val="0"/>
      <w:marBottom w:val="0"/>
      <w:divBdr>
        <w:top w:val="none" w:sz="0" w:space="0" w:color="auto"/>
        <w:left w:val="none" w:sz="0" w:space="0" w:color="auto"/>
        <w:bottom w:val="none" w:sz="0" w:space="0" w:color="auto"/>
        <w:right w:val="none" w:sz="0" w:space="0" w:color="auto"/>
      </w:divBdr>
    </w:div>
    <w:div w:id="1606376211">
      <w:bodyDiv w:val="1"/>
      <w:marLeft w:val="0"/>
      <w:marRight w:val="0"/>
      <w:marTop w:val="0"/>
      <w:marBottom w:val="0"/>
      <w:divBdr>
        <w:top w:val="none" w:sz="0" w:space="0" w:color="auto"/>
        <w:left w:val="none" w:sz="0" w:space="0" w:color="auto"/>
        <w:bottom w:val="none" w:sz="0" w:space="0" w:color="auto"/>
        <w:right w:val="none" w:sz="0" w:space="0" w:color="auto"/>
      </w:divBdr>
      <w:divsChild>
        <w:div w:id="729840230">
          <w:marLeft w:val="0"/>
          <w:marRight w:val="0"/>
          <w:marTop w:val="0"/>
          <w:marBottom w:val="160"/>
          <w:divBdr>
            <w:top w:val="none" w:sz="0" w:space="0" w:color="auto"/>
            <w:left w:val="none" w:sz="0" w:space="0" w:color="auto"/>
            <w:bottom w:val="none" w:sz="0" w:space="0" w:color="auto"/>
            <w:right w:val="none" w:sz="0" w:space="0" w:color="auto"/>
          </w:divBdr>
        </w:div>
        <w:div w:id="1459761652">
          <w:marLeft w:val="0"/>
          <w:marRight w:val="0"/>
          <w:marTop w:val="0"/>
          <w:marBottom w:val="160"/>
          <w:divBdr>
            <w:top w:val="none" w:sz="0" w:space="0" w:color="auto"/>
            <w:left w:val="none" w:sz="0" w:space="0" w:color="auto"/>
            <w:bottom w:val="none" w:sz="0" w:space="0" w:color="auto"/>
            <w:right w:val="none" w:sz="0" w:space="0" w:color="auto"/>
          </w:divBdr>
        </w:div>
        <w:div w:id="2021463511">
          <w:marLeft w:val="0"/>
          <w:marRight w:val="0"/>
          <w:marTop w:val="0"/>
          <w:marBottom w:val="160"/>
          <w:divBdr>
            <w:top w:val="none" w:sz="0" w:space="0" w:color="auto"/>
            <w:left w:val="none" w:sz="0" w:space="0" w:color="auto"/>
            <w:bottom w:val="none" w:sz="0" w:space="0" w:color="auto"/>
            <w:right w:val="none" w:sz="0" w:space="0" w:color="auto"/>
          </w:divBdr>
        </w:div>
      </w:divsChild>
    </w:div>
    <w:div w:id="1607687474">
      <w:bodyDiv w:val="1"/>
      <w:marLeft w:val="0"/>
      <w:marRight w:val="0"/>
      <w:marTop w:val="0"/>
      <w:marBottom w:val="0"/>
      <w:divBdr>
        <w:top w:val="none" w:sz="0" w:space="0" w:color="auto"/>
        <w:left w:val="none" w:sz="0" w:space="0" w:color="auto"/>
        <w:bottom w:val="none" w:sz="0" w:space="0" w:color="auto"/>
        <w:right w:val="none" w:sz="0" w:space="0" w:color="auto"/>
      </w:divBdr>
    </w:div>
    <w:div w:id="1607956335">
      <w:bodyDiv w:val="1"/>
      <w:marLeft w:val="0"/>
      <w:marRight w:val="0"/>
      <w:marTop w:val="0"/>
      <w:marBottom w:val="0"/>
      <w:divBdr>
        <w:top w:val="none" w:sz="0" w:space="0" w:color="auto"/>
        <w:left w:val="none" w:sz="0" w:space="0" w:color="auto"/>
        <w:bottom w:val="none" w:sz="0" w:space="0" w:color="auto"/>
        <w:right w:val="none" w:sz="0" w:space="0" w:color="auto"/>
      </w:divBdr>
    </w:div>
    <w:div w:id="1626696393">
      <w:bodyDiv w:val="1"/>
      <w:marLeft w:val="0"/>
      <w:marRight w:val="0"/>
      <w:marTop w:val="0"/>
      <w:marBottom w:val="0"/>
      <w:divBdr>
        <w:top w:val="none" w:sz="0" w:space="0" w:color="auto"/>
        <w:left w:val="none" w:sz="0" w:space="0" w:color="auto"/>
        <w:bottom w:val="none" w:sz="0" w:space="0" w:color="auto"/>
        <w:right w:val="none" w:sz="0" w:space="0" w:color="auto"/>
      </w:divBdr>
    </w:div>
    <w:div w:id="1630818964">
      <w:bodyDiv w:val="1"/>
      <w:marLeft w:val="0"/>
      <w:marRight w:val="0"/>
      <w:marTop w:val="0"/>
      <w:marBottom w:val="0"/>
      <w:divBdr>
        <w:top w:val="none" w:sz="0" w:space="0" w:color="auto"/>
        <w:left w:val="none" w:sz="0" w:space="0" w:color="auto"/>
        <w:bottom w:val="none" w:sz="0" w:space="0" w:color="auto"/>
        <w:right w:val="none" w:sz="0" w:space="0" w:color="auto"/>
      </w:divBdr>
    </w:div>
    <w:div w:id="1641811474">
      <w:bodyDiv w:val="1"/>
      <w:marLeft w:val="0"/>
      <w:marRight w:val="0"/>
      <w:marTop w:val="0"/>
      <w:marBottom w:val="0"/>
      <w:divBdr>
        <w:top w:val="none" w:sz="0" w:space="0" w:color="auto"/>
        <w:left w:val="none" w:sz="0" w:space="0" w:color="auto"/>
        <w:bottom w:val="none" w:sz="0" w:space="0" w:color="auto"/>
        <w:right w:val="none" w:sz="0" w:space="0" w:color="auto"/>
      </w:divBdr>
    </w:div>
    <w:div w:id="1647588101">
      <w:bodyDiv w:val="1"/>
      <w:marLeft w:val="0"/>
      <w:marRight w:val="0"/>
      <w:marTop w:val="0"/>
      <w:marBottom w:val="0"/>
      <w:divBdr>
        <w:top w:val="none" w:sz="0" w:space="0" w:color="auto"/>
        <w:left w:val="none" w:sz="0" w:space="0" w:color="auto"/>
        <w:bottom w:val="none" w:sz="0" w:space="0" w:color="auto"/>
        <w:right w:val="none" w:sz="0" w:space="0" w:color="auto"/>
      </w:divBdr>
    </w:div>
    <w:div w:id="1669096844">
      <w:bodyDiv w:val="1"/>
      <w:marLeft w:val="0"/>
      <w:marRight w:val="0"/>
      <w:marTop w:val="0"/>
      <w:marBottom w:val="0"/>
      <w:divBdr>
        <w:top w:val="none" w:sz="0" w:space="0" w:color="auto"/>
        <w:left w:val="none" w:sz="0" w:space="0" w:color="auto"/>
        <w:bottom w:val="none" w:sz="0" w:space="0" w:color="auto"/>
        <w:right w:val="none" w:sz="0" w:space="0" w:color="auto"/>
      </w:divBdr>
      <w:divsChild>
        <w:div w:id="518936356">
          <w:marLeft w:val="0"/>
          <w:marRight w:val="0"/>
          <w:marTop w:val="0"/>
          <w:marBottom w:val="160"/>
          <w:divBdr>
            <w:top w:val="none" w:sz="0" w:space="0" w:color="auto"/>
            <w:left w:val="none" w:sz="0" w:space="0" w:color="auto"/>
            <w:bottom w:val="none" w:sz="0" w:space="0" w:color="auto"/>
            <w:right w:val="none" w:sz="0" w:space="0" w:color="auto"/>
          </w:divBdr>
        </w:div>
        <w:div w:id="528104072">
          <w:marLeft w:val="0"/>
          <w:marRight w:val="0"/>
          <w:marTop w:val="0"/>
          <w:marBottom w:val="160"/>
          <w:divBdr>
            <w:top w:val="none" w:sz="0" w:space="0" w:color="auto"/>
            <w:left w:val="none" w:sz="0" w:space="0" w:color="auto"/>
            <w:bottom w:val="none" w:sz="0" w:space="0" w:color="auto"/>
            <w:right w:val="none" w:sz="0" w:space="0" w:color="auto"/>
          </w:divBdr>
        </w:div>
        <w:div w:id="273513336">
          <w:marLeft w:val="0"/>
          <w:marRight w:val="0"/>
          <w:marTop w:val="0"/>
          <w:marBottom w:val="160"/>
          <w:divBdr>
            <w:top w:val="none" w:sz="0" w:space="0" w:color="auto"/>
            <w:left w:val="none" w:sz="0" w:space="0" w:color="auto"/>
            <w:bottom w:val="none" w:sz="0" w:space="0" w:color="auto"/>
            <w:right w:val="none" w:sz="0" w:space="0" w:color="auto"/>
          </w:divBdr>
        </w:div>
      </w:divsChild>
    </w:div>
    <w:div w:id="1695689083">
      <w:bodyDiv w:val="1"/>
      <w:marLeft w:val="0"/>
      <w:marRight w:val="0"/>
      <w:marTop w:val="0"/>
      <w:marBottom w:val="0"/>
      <w:divBdr>
        <w:top w:val="none" w:sz="0" w:space="0" w:color="auto"/>
        <w:left w:val="none" w:sz="0" w:space="0" w:color="auto"/>
        <w:bottom w:val="none" w:sz="0" w:space="0" w:color="auto"/>
        <w:right w:val="none" w:sz="0" w:space="0" w:color="auto"/>
      </w:divBdr>
    </w:div>
    <w:div w:id="1699356438">
      <w:bodyDiv w:val="1"/>
      <w:marLeft w:val="0"/>
      <w:marRight w:val="0"/>
      <w:marTop w:val="0"/>
      <w:marBottom w:val="0"/>
      <w:divBdr>
        <w:top w:val="none" w:sz="0" w:space="0" w:color="auto"/>
        <w:left w:val="none" w:sz="0" w:space="0" w:color="auto"/>
        <w:bottom w:val="none" w:sz="0" w:space="0" w:color="auto"/>
        <w:right w:val="none" w:sz="0" w:space="0" w:color="auto"/>
      </w:divBdr>
    </w:div>
    <w:div w:id="1761637096">
      <w:bodyDiv w:val="1"/>
      <w:marLeft w:val="0"/>
      <w:marRight w:val="0"/>
      <w:marTop w:val="0"/>
      <w:marBottom w:val="0"/>
      <w:divBdr>
        <w:top w:val="none" w:sz="0" w:space="0" w:color="auto"/>
        <w:left w:val="none" w:sz="0" w:space="0" w:color="auto"/>
        <w:bottom w:val="none" w:sz="0" w:space="0" w:color="auto"/>
        <w:right w:val="none" w:sz="0" w:space="0" w:color="auto"/>
      </w:divBdr>
      <w:divsChild>
        <w:div w:id="423385161">
          <w:marLeft w:val="0"/>
          <w:marRight w:val="0"/>
          <w:marTop w:val="0"/>
          <w:marBottom w:val="160"/>
          <w:divBdr>
            <w:top w:val="none" w:sz="0" w:space="0" w:color="auto"/>
            <w:left w:val="none" w:sz="0" w:space="0" w:color="auto"/>
            <w:bottom w:val="none" w:sz="0" w:space="0" w:color="auto"/>
            <w:right w:val="none" w:sz="0" w:space="0" w:color="auto"/>
          </w:divBdr>
        </w:div>
        <w:div w:id="2126801678">
          <w:marLeft w:val="0"/>
          <w:marRight w:val="0"/>
          <w:marTop w:val="0"/>
          <w:marBottom w:val="160"/>
          <w:divBdr>
            <w:top w:val="none" w:sz="0" w:space="0" w:color="auto"/>
            <w:left w:val="none" w:sz="0" w:space="0" w:color="auto"/>
            <w:bottom w:val="none" w:sz="0" w:space="0" w:color="auto"/>
            <w:right w:val="none" w:sz="0" w:space="0" w:color="auto"/>
          </w:divBdr>
        </w:div>
        <w:div w:id="827133892">
          <w:marLeft w:val="0"/>
          <w:marRight w:val="0"/>
          <w:marTop w:val="0"/>
          <w:marBottom w:val="160"/>
          <w:divBdr>
            <w:top w:val="none" w:sz="0" w:space="0" w:color="auto"/>
            <w:left w:val="none" w:sz="0" w:space="0" w:color="auto"/>
            <w:bottom w:val="none" w:sz="0" w:space="0" w:color="auto"/>
            <w:right w:val="none" w:sz="0" w:space="0" w:color="auto"/>
          </w:divBdr>
        </w:div>
      </w:divsChild>
    </w:div>
    <w:div w:id="1799494866">
      <w:bodyDiv w:val="1"/>
      <w:marLeft w:val="0"/>
      <w:marRight w:val="0"/>
      <w:marTop w:val="0"/>
      <w:marBottom w:val="0"/>
      <w:divBdr>
        <w:top w:val="none" w:sz="0" w:space="0" w:color="auto"/>
        <w:left w:val="none" w:sz="0" w:space="0" w:color="auto"/>
        <w:bottom w:val="none" w:sz="0" w:space="0" w:color="auto"/>
        <w:right w:val="none" w:sz="0" w:space="0" w:color="auto"/>
      </w:divBdr>
    </w:div>
    <w:div w:id="1806653743">
      <w:bodyDiv w:val="1"/>
      <w:marLeft w:val="0"/>
      <w:marRight w:val="0"/>
      <w:marTop w:val="0"/>
      <w:marBottom w:val="0"/>
      <w:divBdr>
        <w:top w:val="none" w:sz="0" w:space="0" w:color="auto"/>
        <w:left w:val="none" w:sz="0" w:space="0" w:color="auto"/>
        <w:bottom w:val="none" w:sz="0" w:space="0" w:color="auto"/>
        <w:right w:val="none" w:sz="0" w:space="0" w:color="auto"/>
      </w:divBdr>
    </w:div>
    <w:div w:id="1831869620">
      <w:bodyDiv w:val="1"/>
      <w:marLeft w:val="0"/>
      <w:marRight w:val="0"/>
      <w:marTop w:val="0"/>
      <w:marBottom w:val="0"/>
      <w:divBdr>
        <w:top w:val="none" w:sz="0" w:space="0" w:color="auto"/>
        <w:left w:val="none" w:sz="0" w:space="0" w:color="auto"/>
        <w:bottom w:val="none" w:sz="0" w:space="0" w:color="auto"/>
        <w:right w:val="none" w:sz="0" w:space="0" w:color="auto"/>
      </w:divBdr>
    </w:div>
    <w:div w:id="1838374371">
      <w:bodyDiv w:val="1"/>
      <w:marLeft w:val="0"/>
      <w:marRight w:val="0"/>
      <w:marTop w:val="0"/>
      <w:marBottom w:val="0"/>
      <w:divBdr>
        <w:top w:val="none" w:sz="0" w:space="0" w:color="auto"/>
        <w:left w:val="none" w:sz="0" w:space="0" w:color="auto"/>
        <w:bottom w:val="none" w:sz="0" w:space="0" w:color="auto"/>
        <w:right w:val="none" w:sz="0" w:space="0" w:color="auto"/>
      </w:divBdr>
    </w:div>
    <w:div w:id="1843085015">
      <w:bodyDiv w:val="1"/>
      <w:marLeft w:val="0"/>
      <w:marRight w:val="0"/>
      <w:marTop w:val="0"/>
      <w:marBottom w:val="0"/>
      <w:divBdr>
        <w:top w:val="none" w:sz="0" w:space="0" w:color="auto"/>
        <w:left w:val="none" w:sz="0" w:space="0" w:color="auto"/>
        <w:bottom w:val="none" w:sz="0" w:space="0" w:color="auto"/>
        <w:right w:val="none" w:sz="0" w:space="0" w:color="auto"/>
      </w:divBdr>
    </w:div>
    <w:div w:id="1900286666">
      <w:bodyDiv w:val="1"/>
      <w:marLeft w:val="0"/>
      <w:marRight w:val="0"/>
      <w:marTop w:val="0"/>
      <w:marBottom w:val="0"/>
      <w:divBdr>
        <w:top w:val="none" w:sz="0" w:space="0" w:color="auto"/>
        <w:left w:val="none" w:sz="0" w:space="0" w:color="auto"/>
        <w:bottom w:val="none" w:sz="0" w:space="0" w:color="auto"/>
        <w:right w:val="none" w:sz="0" w:space="0" w:color="auto"/>
      </w:divBdr>
    </w:div>
    <w:div w:id="1900362576">
      <w:bodyDiv w:val="1"/>
      <w:marLeft w:val="0"/>
      <w:marRight w:val="0"/>
      <w:marTop w:val="0"/>
      <w:marBottom w:val="0"/>
      <w:divBdr>
        <w:top w:val="none" w:sz="0" w:space="0" w:color="auto"/>
        <w:left w:val="none" w:sz="0" w:space="0" w:color="auto"/>
        <w:bottom w:val="none" w:sz="0" w:space="0" w:color="auto"/>
        <w:right w:val="none" w:sz="0" w:space="0" w:color="auto"/>
      </w:divBdr>
    </w:div>
    <w:div w:id="1951625272">
      <w:bodyDiv w:val="1"/>
      <w:marLeft w:val="0"/>
      <w:marRight w:val="0"/>
      <w:marTop w:val="0"/>
      <w:marBottom w:val="0"/>
      <w:divBdr>
        <w:top w:val="none" w:sz="0" w:space="0" w:color="auto"/>
        <w:left w:val="none" w:sz="0" w:space="0" w:color="auto"/>
        <w:bottom w:val="none" w:sz="0" w:space="0" w:color="auto"/>
        <w:right w:val="none" w:sz="0" w:space="0" w:color="auto"/>
      </w:divBdr>
    </w:div>
    <w:div w:id="1958440709">
      <w:bodyDiv w:val="1"/>
      <w:marLeft w:val="0"/>
      <w:marRight w:val="0"/>
      <w:marTop w:val="0"/>
      <w:marBottom w:val="0"/>
      <w:divBdr>
        <w:top w:val="none" w:sz="0" w:space="0" w:color="auto"/>
        <w:left w:val="none" w:sz="0" w:space="0" w:color="auto"/>
        <w:bottom w:val="none" w:sz="0" w:space="0" w:color="auto"/>
        <w:right w:val="none" w:sz="0" w:space="0" w:color="auto"/>
      </w:divBdr>
    </w:div>
    <w:div w:id="2021278799">
      <w:bodyDiv w:val="1"/>
      <w:marLeft w:val="0"/>
      <w:marRight w:val="0"/>
      <w:marTop w:val="0"/>
      <w:marBottom w:val="0"/>
      <w:divBdr>
        <w:top w:val="none" w:sz="0" w:space="0" w:color="auto"/>
        <w:left w:val="none" w:sz="0" w:space="0" w:color="auto"/>
        <w:bottom w:val="none" w:sz="0" w:space="0" w:color="auto"/>
        <w:right w:val="none" w:sz="0" w:space="0" w:color="auto"/>
      </w:divBdr>
    </w:div>
    <w:div w:id="2067560641">
      <w:bodyDiv w:val="1"/>
      <w:marLeft w:val="0"/>
      <w:marRight w:val="0"/>
      <w:marTop w:val="0"/>
      <w:marBottom w:val="0"/>
      <w:divBdr>
        <w:top w:val="none" w:sz="0" w:space="0" w:color="auto"/>
        <w:left w:val="none" w:sz="0" w:space="0" w:color="auto"/>
        <w:bottom w:val="none" w:sz="0" w:space="0" w:color="auto"/>
        <w:right w:val="none" w:sz="0" w:space="0" w:color="auto"/>
      </w:divBdr>
    </w:div>
    <w:div w:id="2110271813">
      <w:bodyDiv w:val="1"/>
      <w:marLeft w:val="0"/>
      <w:marRight w:val="0"/>
      <w:marTop w:val="0"/>
      <w:marBottom w:val="0"/>
      <w:divBdr>
        <w:top w:val="none" w:sz="0" w:space="0" w:color="auto"/>
        <w:left w:val="none" w:sz="0" w:space="0" w:color="auto"/>
        <w:bottom w:val="none" w:sz="0" w:space="0" w:color="auto"/>
        <w:right w:val="none" w:sz="0" w:space="0" w:color="auto"/>
      </w:divBdr>
    </w:div>
    <w:div w:id="2115590451">
      <w:bodyDiv w:val="1"/>
      <w:marLeft w:val="0"/>
      <w:marRight w:val="0"/>
      <w:marTop w:val="0"/>
      <w:marBottom w:val="0"/>
      <w:divBdr>
        <w:top w:val="none" w:sz="0" w:space="0" w:color="auto"/>
        <w:left w:val="none" w:sz="0" w:space="0" w:color="auto"/>
        <w:bottom w:val="none" w:sz="0" w:space="0" w:color="auto"/>
        <w:right w:val="none" w:sz="0" w:space="0" w:color="auto"/>
      </w:divBdr>
      <w:divsChild>
        <w:div w:id="428045146">
          <w:marLeft w:val="0"/>
          <w:marRight w:val="0"/>
          <w:marTop w:val="0"/>
          <w:marBottom w:val="0"/>
          <w:divBdr>
            <w:top w:val="none" w:sz="0" w:space="0" w:color="auto"/>
            <w:left w:val="none" w:sz="0" w:space="0" w:color="auto"/>
            <w:bottom w:val="none" w:sz="0" w:space="0" w:color="auto"/>
            <w:right w:val="none" w:sz="0" w:space="0" w:color="auto"/>
          </w:divBdr>
          <w:divsChild>
            <w:div w:id="1917788406">
              <w:marLeft w:val="0"/>
              <w:marRight w:val="0"/>
              <w:marTop w:val="0"/>
              <w:marBottom w:val="0"/>
              <w:divBdr>
                <w:top w:val="none" w:sz="0" w:space="0" w:color="auto"/>
                <w:left w:val="none" w:sz="0" w:space="0" w:color="auto"/>
                <w:bottom w:val="none" w:sz="0" w:space="0" w:color="auto"/>
                <w:right w:val="none" w:sz="0" w:space="0" w:color="auto"/>
              </w:divBdr>
              <w:divsChild>
                <w:div w:id="109321855">
                  <w:marLeft w:val="0"/>
                  <w:marRight w:val="0"/>
                  <w:marTop w:val="0"/>
                  <w:marBottom w:val="0"/>
                  <w:divBdr>
                    <w:top w:val="none" w:sz="0" w:space="0" w:color="auto"/>
                    <w:left w:val="none" w:sz="0" w:space="0" w:color="auto"/>
                    <w:bottom w:val="none" w:sz="0" w:space="0" w:color="auto"/>
                    <w:right w:val="none" w:sz="0" w:space="0" w:color="auto"/>
                  </w:divBdr>
                  <w:divsChild>
                    <w:div w:id="824205549">
                      <w:marLeft w:val="0"/>
                      <w:marRight w:val="0"/>
                      <w:marTop w:val="0"/>
                      <w:marBottom w:val="0"/>
                      <w:divBdr>
                        <w:top w:val="none" w:sz="0" w:space="0" w:color="auto"/>
                        <w:left w:val="none" w:sz="0" w:space="0" w:color="auto"/>
                        <w:bottom w:val="none" w:sz="0" w:space="0" w:color="auto"/>
                        <w:right w:val="none" w:sz="0" w:space="0" w:color="auto"/>
                      </w:divBdr>
                      <w:divsChild>
                        <w:div w:id="1492217882">
                          <w:marLeft w:val="0"/>
                          <w:marRight w:val="0"/>
                          <w:marTop w:val="0"/>
                          <w:marBottom w:val="0"/>
                          <w:divBdr>
                            <w:top w:val="none" w:sz="0" w:space="0" w:color="auto"/>
                            <w:left w:val="none" w:sz="0" w:space="0" w:color="auto"/>
                            <w:bottom w:val="none" w:sz="0" w:space="0" w:color="auto"/>
                            <w:right w:val="none" w:sz="0" w:space="0" w:color="auto"/>
                          </w:divBdr>
                          <w:divsChild>
                            <w:div w:id="1675567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82362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oficinacamilopedraza1@gmail.co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_Flow_SignoffStatus xmlns="9d85dbaf-23eb-4e57-a637-93dcacc8b1a1" xsi:nil="true"/>
    <SharedWithUsers xmlns="a6cb9e4b-f1d1-4245-83ec-6cad768d538a">
      <UserInfo>
        <DisplayName>Alejandro Sarmiento</DisplayName>
        <AccountId>129</AccountId>
        <AccountType/>
      </UserInfo>
    </SharedWithUser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3B8AE37-E1F3-4B08-98E9-52F0B3FA79CF}">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206954CD-A18B-4BC8-BDFD-948A7B8E2372}">
  <ds:schemaRefs>
    <ds:schemaRef ds:uri="http://schemas.openxmlformats.org/officeDocument/2006/bibliography"/>
  </ds:schemaRefs>
</ds:datastoreItem>
</file>

<file path=customXml/itemProps3.xml><?xml version="1.0" encoding="utf-8"?>
<ds:datastoreItem xmlns:ds="http://schemas.openxmlformats.org/officeDocument/2006/customXml" ds:itemID="{B524EFD2-6506-4654-A0AC-DEF36450FF53}">
  <ds:schemaRefs>
    <ds:schemaRef ds:uri="http://schemas.microsoft.com/sharepoint/v3/contenttype/forms"/>
  </ds:schemaRefs>
</ds:datastoreItem>
</file>

<file path=customXml/itemProps4.xml><?xml version="1.0" encoding="utf-8"?>
<ds:datastoreItem xmlns:ds="http://schemas.openxmlformats.org/officeDocument/2006/customXml" ds:itemID="{06F8AB61-4B8C-4292-AD00-5B9AA853CC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12</Pages>
  <Words>3945</Words>
  <Characters>21701</Characters>
  <Application>Microsoft Office Word</Application>
  <DocSecurity>0</DocSecurity>
  <Lines>180</Lines>
  <Paragraphs>51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25595</CharactersWithSpaces>
  <SharedDoc>false</SharedDoc>
  <HLinks>
    <vt:vector size="48" baseType="variant">
      <vt:variant>
        <vt:i4>5439494</vt:i4>
      </vt:variant>
      <vt:variant>
        <vt:i4>15</vt:i4>
      </vt:variant>
      <vt:variant>
        <vt:i4>0</vt:i4>
      </vt:variant>
      <vt:variant>
        <vt:i4>5</vt:i4>
      </vt:variant>
      <vt:variant>
        <vt:lpwstr>https://www.colombiacompra.gov.co/sala-de-prensa/boletin-digital</vt:lpwstr>
      </vt:variant>
      <vt:variant>
        <vt:lpwstr/>
      </vt:variant>
      <vt:variant>
        <vt:i4>7471218</vt:i4>
      </vt:variant>
      <vt:variant>
        <vt:i4>12</vt:i4>
      </vt:variant>
      <vt:variant>
        <vt:i4>0</vt:i4>
      </vt:variant>
      <vt:variant>
        <vt:i4>5</vt:i4>
      </vt:variant>
      <vt:variant>
        <vt:lpwstr>https://relatoria.colombiacompra.gov.co/busqueda/conceptos</vt:lpwstr>
      </vt:variant>
      <vt:variant>
        <vt:lpwstr/>
      </vt:variant>
      <vt:variant>
        <vt:i4>5111895</vt:i4>
      </vt:variant>
      <vt:variant>
        <vt:i4>9</vt:i4>
      </vt:variant>
      <vt:variant>
        <vt:i4>0</vt:i4>
      </vt:variant>
      <vt:variant>
        <vt:i4>5</vt:i4>
      </vt:variant>
      <vt:variant>
        <vt:lpwstr>https://www.colombiacompra.gov.co/manuales-guias-y-pliegos-tipo/manuales-y-guias</vt:lpwstr>
      </vt:variant>
      <vt:variant>
        <vt:lpwstr/>
      </vt:variant>
      <vt:variant>
        <vt:i4>3801145</vt:i4>
      </vt:variant>
      <vt:variant>
        <vt:i4>6</vt:i4>
      </vt:variant>
      <vt:variant>
        <vt:i4>0</vt:i4>
      </vt:variant>
      <vt:variant>
        <vt:i4>5</vt:i4>
      </vt:variant>
      <vt:variant>
        <vt:lpwstr>https://relatoria.colombiacompra.gov.co/providencias-consejo-de-estado/</vt:lpwstr>
      </vt:variant>
      <vt:variant>
        <vt:lpwstr/>
      </vt:variant>
      <vt:variant>
        <vt:i4>3145787</vt:i4>
      </vt:variant>
      <vt:variant>
        <vt:i4>3</vt:i4>
      </vt:variant>
      <vt:variant>
        <vt:i4>0</vt:i4>
      </vt:variant>
      <vt:variant>
        <vt:i4>5</vt:i4>
      </vt:variant>
      <vt:variant>
        <vt:lpwstr>https://www.colombiacompra.gov.co/content/04-documentos-tipo-de-licitacion-de-obra-publica-para-proyectos-de-infraestructura-social</vt:lpwstr>
      </vt:variant>
      <vt:variant>
        <vt:lpwstr/>
      </vt:variant>
      <vt:variant>
        <vt:i4>7208987</vt:i4>
      </vt:variant>
      <vt:variant>
        <vt:i4>0</vt:i4>
      </vt:variant>
      <vt:variant>
        <vt:i4>0</vt:i4>
      </vt:variant>
      <vt:variant>
        <vt:i4>5</vt:i4>
      </vt:variant>
      <vt:variant>
        <vt:lpwstr>https://www.colombiacompra.gov.co/sites/cce_public/files/cce_circulares/circular_externa_unica_version_3_vf49.pdf</vt:lpwstr>
      </vt:variant>
      <vt:variant>
        <vt:lpwstr/>
      </vt:variant>
      <vt:variant>
        <vt:i4>6619182</vt:i4>
      </vt:variant>
      <vt:variant>
        <vt:i4>3</vt:i4>
      </vt:variant>
      <vt:variant>
        <vt:i4>0</vt:i4>
      </vt:variant>
      <vt:variant>
        <vt:i4>5</vt:i4>
      </vt:variant>
      <vt:variant>
        <vt:lpwstr>https://www.culturarecreacionydeporte.gov.co/es/bogotanitos/bogodatos/las-plazas-de-mercado-de-bogota</vt:lpwstr>
      </vt:variant>
      <vt:variant>
        <vt:lpwstr>:~:text=Muchos%20tienen%20diferentes%20conceptos%20sobre,en%20un%20sitio%20abierto%20o</vt:lpwstr>
      </vt:variant>
      <vt:variant>
        <vt:i4>2883621</vt:i4>
      </vt:variant>
      <vt:variant>
        <vt:i4>0</vt:i4>
      </vt:variant>
      <vt:variant>
        <vt:i4>0</vt:i4>
      </vt:variant>
      <vt:variant>
        <vt:i4>5</vt:i4>
      </vt:variant>
      <vt:variant>
        <vt:lpwstr>https://www.colombiacompra.gov.co/content/03-documentos-tipo-transversales-de-licitacion-de-obra-publica-de-infraestructura-social-con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ANCP-SGC</dc:creator>
  <cp:keywords/>
  <dc:description/>
  <cp:lastModifiedBy>Sergio Andrés Rivera Cano</cp:lastModifiedBy>
  <cp:revision>9</cp:revision>
  <dcterms:created xsi:type="dcterms:W3CDTF">2025-04-24T19:46:00Z</dcterms:created>
  <dcterms:modified xsi:type="dcterms:W3CDTF">2025-04-24T22:45:00Z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