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9A84F" w14:textId="77777777" w:rsidR="00585A49" w:rsidRPr="00BB0056" w:rsidRDefault="00585A49" w:rsidP="00585A49">
      <w:pPr>
        <w:spacing w:line="276" w:lineRule="auto"/>
        <w:jc w:val="right"/>
        <w:rPr>
          <w:rFonts w:ascii="Arial" w:eastAsia="Calibri" w:hAnsi="Arial" w:cs="Arial"/>
          <w:b/>
          <w:bCs/>
          <w:sz w:val="22"/>
          <w:lang w:val="es-CO"/>
        </w:rPr>
      </w:pPr>
      <w:bookmarkStart w:id="0" w:name="_Hlk29890381"/>
      <w:bookmarkStart w:id="1" w:name="_Hlk61017405"/>
      <w:bookmarkEnd w:id="0"/>
      <w:r w:rsidRPr="00BB0056">
        <w:rPr>
          <w:rFonts w:ascii="Arial" w:eastAsia="Times New Roman" w:hAnsi="Arial" w:cs="Arial"/>
          <w:b/>
          <w:bCs/>
          <w:sz w:val="16"/>
          <w:szCs w:val="16"/>
          <w:lang w:val="es-CO" w:eastAsia="es-ES"/>
        </w:rPr>
        <w:t>CCE-DES-FM-17</w:t>
      </w:r>
    </w:p>
    <w:p w14:paraId="31BAACC7" w14:textId="77777777" w:rsidR="00585A49" w:rsidRDefault="00585A49" w:rsidP="00585A49">
      <w:pPr>
        <w:jc w:val="both"/>
        <w:rPr>
          <w:rFonts w:ascii="Arial" w:eastAsia="Calibri" w:hAnsi="Arial" w:cs="Arial"/>
          <w:b/>
          <w:sz w:val="22"/>
        </w:rPr>
      </w:pPr>
    </w:p>
    <w:p w14:paraId="073DBF5E" w14:textId="4296548F" w:rsidR="00585A49" w:rsidRDefault="00696340" w:rsidP="00585A49">
      <w:pPr>
        <w:jc w:val="both"/>
        <w:rPr>
          <w:rFonts w:ascii="Arial" w:eastAsia="Calibri" w:hAnsi="Arial" w:cs="Arial"/>
          <w:b/>
          <w:sz w:val="22"/>
        </w:rPr>
      </w:pPr>
      <w:r w:rsidRPr="00696340">
        <w:rPr>
          <w:rFonts w:ascii="Arial" w:eastAsia="Calibri" w:hAnsi="Arial" w:cs="Arial"/>
          <w:b/>
          <w:sz w:val="22"/>
        </w:rPr>
        <w:t>BIENES O SERVICIOS ADICIONALES – Experiencia adicional</w:t>
      </w:r>
      <w:r w:rsidR="00D916F1">
        <w:rPr>
          <w:rFonts w:ascii="Arial" w:eastAsia="Calibri" w:hAnsi="Arial" w:cs="Arial"/>
          <w:b/>
          <w:sz w:val="22"/>
        </w:rPr>
        <w:t xml:space="preserve"> </w:t>
      </w:r>
      <w:r>
        <w:rPr>
          <w:rFonts w:ascii="Arial" w:eastAsia="Calibri" w:hAnsi="Arial" w:cs="Arial"/>
          <w:b/>
          <w:sz w:val="22"/>
        </w:rPr>
        <w:t>– Documento Base – Interpretación estricta</w:t>
      </w:r>
      <w:r w:rsidR="002F1FF8">
        <w:rPr>
          <w:rFonts w:ascii="Arial" w:eastAsia="Calibri" w:hAnsi="Arial" w:cs="Arial"/>
          <w:b/>
          <w:sz w:val="22"/>
        </w:rPr>
        <w:t xml:space="preserve"> </w:t>
      </w:r>
    </w:p>
    <w:p w14:paraId="66E32A00" w14:textId="77777777" w:rsidR="00585A49" w:rsidRPr="00C43C0D" w:rsidRDefault="00585A49" w:rsidP="00585A49">
      <w:pPr>
        <w:jc w:val="both"/>
        <w:rPr>
          <w:rFonts w:ascii="Arial" w:eastAsia="Calibri" w:hAnsi="Arial" w:cs="Arial"/>
          <w:bCs/>
          <w:sz w:val="22"/>
        </w:rPr>
      </w:pPr>
    </w:p>
    <w:p w14:paraId="2EB7DA67" w14:textId="28CE2D7A" w:rsidR="00DA6755" w:rsidRPr="00DA6755" w:rsidRDefault="0012691D" w:rsidP="00696340">
      <w:pPr>
        <w:jc w:val="both"/>
        <w:rPr>
          <w:rFonts w:ascii="Arial" w:eastAsia="Calibri" w:hAnsi="Arial" w:cs="Arial"/>
          <w:bCs/>
          <w:sz w:val="22"/>
        </w:rPr>
      </w:pPr>
      <w:r w:rsidRPr="0012691D">
        <w:rPr>
          <w:rFonts w:ascii="Arial" w:eastAsia="Calibri" w:hAnsi="Arial" w:cs="Arial"/>
          <w:bCs/>
          <w:sz w:val="20"/>
          <w:szCs w:val="20"/>
        </w:rPr>
        <w:t>Cuando la entidad requiere bienes y servicios que no se encuentran incluidos como infraestructura de transporte en la «Matriz 1 – Experiencia» y considera necesario exigir experiencia adicional, debe aplicar el artículo 4 de la Resolución 240 de 2020. 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 transporte.</w:t>
      </w:r>
    </w:p>
    <w:p w14:paraId="1BF6F6A0" w14:textId="77777777" w:rsidR="00DA6755" w:rsidRPr="00696340" w:rsidRDefault="00DA6755" w:rsidP="00DA6755">
      <w:pPr>
        <w:jc w:val="both"/>
        <w:rPr>
          <w:rFonts w:ascii="Arial" w:eastAsia="Calibri" w:hAnsi="Arial" w:cs="Arial"/>
          <w:bCs/>
          <w:sz w:val="20"/>
          <w:szCs w:val="20"/>
        </w:rPr>
      </w:pPr>
    </w:p>
    <w:p w14:paraId="6C6013FE" w14:textId="77777777" w:rsidR="00DA6755" w:rsidRDefault="00DA6755" w:rsidP="00DA6755">
      <w:pPr>
        <w:jc w:val="both"/>
        <w:rPr>
          <w:rFonts w:ascii="Arial" w:eastAsia="Calibri" w:hAnsi="Arial" w:cs="Arial"/>
          <w:b/>
          <w:sz w:val="22"/>
        </w:rPr>
      </w:pPr>
      <w:r w:rsidRPr="00696340">
        <w:rPr>
          <w:rFonts w:ascii="Arial" w:eastAsia="Calibri" w:hAnsi="Arial" w:cs="Arial"/>
          <w:b/>
          <w:sz w:val="22"/>
        </w:rPr>
        <w:t>BIENES O SERVICIOS ADICIONALES – Experiencia adicional</w:t>
      </w:r>
      <w:r>
        <w:rPr>
          <w:rFonts w:ascii="Arial" w:eastAsia="Calibri" w:hAnsi="Arial" w:cs="Arial"/>
          <w:b/>
          <w:sz w:val="22"/>
        </w:rPr>
        <w:t xml:space="preserve"> – Documento Base – Interpretación estricta </w:t>
      </w:r>
    </w:p>
    <w:p w14:paraId="3CEBD622" w14:textId="77777777" w:rsidR="00DA6755" w:rsidRPr="00C43C0D" w:rsidRDefault="00DA6755" w:rsidP="00DA6755">
      <w:pPr>
        <w:jc w:val="both"/>
        <w:rPr>
          <w:rFonts w:ascii="Arial" w:eastAsia="Calibri" w:hAnsi="Arial" w:cs="Arial"/>
          <w:bCs/>
          <w:sz w:val="22"/>
        </w:rPr>
      </w:pPr>
    </w:p>
    <w:p w14:paraId="001FF0A4" w14:textId="3E2D7CD6" w:rsidR="0012691D" w:rsidRDefault="0012691D" w:rsidP="0012691D">
      <w:pPr>
        <w:jc w:val="both"/>
        <w:rPr>
          <w:rFonts w:ascii="Arial" w:eastAsia="Calibri" w:hAnsi="Arial" w:cs="Arial"/>
          <w:bCs/>
          <w:color w:val="000000" w:themeColor="text1"/>
          <w:sz w:val="20"/>
          <w:szCs w:val="20"/>
          <w:lang w:val="es-ES"/>
        </w:rPr>
      </w:pPr>
      <w:r w:rsidRPr="0012691D">
        <w:rPr>
          <w:rFonts w:ascii="Arial" w:eastAsia="Calibri" w:hAnsi="Arial" w:cs="Arial"/>
          <w:bCs/>
          <w:color w:val="000000" w:themeColor="text1"/>
          <w:sz w:val="20"/>
          <w:szCs w:val="20"/>
          <w:lang w:val="es-ES"/>
        </w:rPr>
        <w:t>Conforme con lo anterior, la regla general frente a la aplicación del documento base es su inalterabilidad, pues no se podrán incluir o modificar dentro de los documentos del proceso las condiciones habilitantes, los factores técnicos y económicos de escogencia y los sistemas de ponderación señalados en los documentos tipo, salvo lo previsto en el artículo 4 de la Resolución 240 del 27 de noviembre de 2020. Por tanto, si el objeto contractual incluye bienes o servicios ajenos a la obra pública de infraestructura de transporte, de allí solo se deriva que podrá incluirse la experiencia adicional que se considere conveniente, atendiendo a las reglas explicadas con anterioridad.</w:t>
      </w:r>
    </w:p>
    <w:p w14:paraId="721AF5B5" w14:textId="77777777" w:rsidR="0012691D" w:rsidRPr="0012691D" w:rsidRDefault="0012691D" w:rsidP="0012691D">
      <w:pPr>
        <w:jc w:val="both"/>
        <w:rPr>
          <w:rFonts w:ascii="Arial" w:eastAsia="Calibri" w:hAnsi="Arial" w:cs="Arial"/>
          <w:bCs/>
          <w:color w:val="000000" w:themeColor="text1"/>
          <w:sz w:val="20"/>
          <w:szCs w:val="20"/>
          <w:lang w:val="es-ES"/>
        </w:rPr>
      </w:pPr>
    </w:p>
    <w:p w14:paraId="79E331B5" w14:textId="645F7C39" w:rsidR="00DA6755" w:rsidRDefault="0012691D" w:rsidP="0012691D">
      <w:pPr>
        <w:jc w:val="both"/>
        <w:rPr>
          <w:rFonts w:ascii="Arial" w:eastAsia="Calibri" w:hAnsi="Arial" w:cs="Arial"/>
          <w:bCs/>
          <w:sz w:val="20"/>
          <w:szCs w:val="20"/>
        </w:rPr>
      </w:pPr>
      <w:r w:rsidRPr="0012691D">
        <w:rPr>
          <w:rFonts w:ascii="Arial" w:eastAsia="Calibri" w:hAnsi="Arial" w:cs="Arial"/>
          <w:bCs/>
          <w:color w:val="000000" w:themeColor="text1"/>
          <w:sz w:val="20"/>
          <w:szCs w:val="20"/>
          <w:lang w:val="es-ES"/>
        </w:rPr>
        <w:t>En la consulta se indaga en torno la posibilidad de exigir experiencia adicional para evaluar la idoneidad del contratista respecto del mantenimiento de la maquinaria–de propiedad de la entidad contratante– que utilizará el contratista para realizar las actividades de mantenimiento de una vía terciaria. Al respecto, es necesario distinguir dos posibles escenarios: i) la entidad requiere contratar el mantenimiento de la maquinaria de su propiedad o ii) se necesita contratar, el mantenimiento de red vial terciaria y el mantenimiento de maquinaria propiedad del municipio que se usará para la ejecución del contrato.</w:t>
      </w:r>
    </w:p>
    <w:p w14:paraId="3814DDED" w14:textId="77777777" w:rsidR="00DA6755" w:rsidRPr="0060468D" w:rsidRDefault="00DA6755" w:rsidP="00696340">
      <w:pPr>
        <w:jc w:val="both"/>
        <w:rPr>
          <w:rFonts w:ascii="Arial" w:eastAsia="Calibri" w:hAnsi="Arial" w:cs="Arial"/>
          <w:bCs/>
          <w:sz w:val="20"/>
          <w:szCs w:val="20"/>
        </w:rPr>
      </w:pPr>
    </w:p>
    <w:p w14:paraId="0E910474" w14:textId="77777777" w:rsidR="00585A49" w:rsidRDefault="00585A49" w:rsidP="00585A49">
      <w:pPr>
        <w:jc w:val="both"/>
        <w:rPr>
          <w:rFonts w:ascii="Arial" w:eastAsia="Calibri" w:hAnsi="Arial" w:cs="Arial"/>
          <w:sz w:val="20"/>
          <w:szCs w:val="20"/>
          <w:lang w:val="es-CO"/>
        </w:rPr>
      </w:pPr>
    </w:p>
    <w:p w14:paraId="6C648AF6" w14:textId="77777777" w:rsidR="00585A49" w:rsidRDefault="00585A49" w:rsidP="00585A49">
      <w:pPr>
        <w:jc w:val="both"/>
        <w:rPr>
          <w:rFonts w:ascii="Arial" w:eastAsia="Calibri" w:hAnsi="Arial" w:cs="Arial"/>
          <w:sz w:val="20"/>
          <w:szCs w:val="20"/>
          <w:lang w:val="es-CO"/>
        </w:rPr>
      </w:pPr>
    </w:p>
    <w:p w14:paraId="683401BE" w14:textId="77777777" w:rsidR="00585A49" w:rsidRPr="00BB0056" w:rsidRDefault="00585A49" w:rsidP="00585A49">
      <w:pPr>
        <w:jc w:val="both"/>
        <w:rPr>
          <w:rFonts w:ascii="Arial" w:eastAsia="Calibri" w:hAnsi="Arial" w:cs="Arial"/>
          <w:sz w:val="20"/>
          <w:szCs w:val="20"/>
          <w:lang w:val="es-CO"/>
        </w:rPr>
      </w:pPr>
    </w:p>
    <w:p w14:paraId="2E33B1F6" w14:textId="77777777" w:rsidR="00585A49" w:rsidRPr="00BB0056" w:rsidRDefault="00585A49" w:rsidP="00585A49">
      <w:pPr>
        <w:jc w:val="both"/>
        <w:rPr>
          <w:rFonts w:ascii="Arial" w:eastAsia="Calibri" w:hAnsi="Arial" w:cs="Arial"/>
          <w:bCs/>
          <w:sz w:val="20"/>
          <w:szCs w:val="20"/>
          <w:lang w:val="es-CO"/>
        </w:rPr>
      </w:pPr>
    </w:p>
    <w:p w14:paraId="103EFF57" w14:textId="77777777" w:rsidR="00585A49" w:rsidRDefault="00585A49" w:rsidP="00585A49">
      <w:pPr>
        <w:spacing w:after="200" w:line="276" w:lineRule="auto"/>
        <w:rPr>
          <w:rFonts w:ascii="Arial" w:eastAsia="Calibri" w:hAnsi="Arial" w:cs="Arial"/>
          <w:sz w:val="20"/>
          <w:szCs w:val="20"/>
          <w:lang w:val="es-CO"/>
        </w:rPr>
      </w:pPr>
      <w:r>
        <w:rPr>
          <w:rFonts w:ascii="Arial" w:eastAsia="Calibri" w:hAnsi="Arial" w:cs="Arial"/>
          <w:sz w:val="20"/>
          <w:szCs w:val="20"/>
          <w:lang w:val="es-CO"/>
        </w:rPr>
        <w:br w:type="page"/>
      </w:r>
    </w:p>
    <w:p w14:paraId="5BD65F55" w14:textId="77777777" w:rsidR="00585A49" w:rsidRPr="00BB0056" w:rsidRDefault="00585A49" w:rsidP="00585A49">
      <w:pPr>
        <w:jc w:val="both"/>
        <w:rPr>
          <w:rFonts w:ascii="Arial" w:hAnsi="Arial" w:cs="Arial"/>
          <w:sz w:val="22"/>
          <w:lang w:val="es-CO"/>
        </w:rPr>
      </w:pPr>
    </w:p>
    <w:p w14:paraId="7C3475C8" w14:textId="6C802704" w:rsidR="0013785A" w:rsidRDefault="0013785A" w:rsidP="0013785A">
      <w:pPr>
        <w:rPr>
          <w:rFonts w:ascii="Arial" w:eastAsia="Calibri" w:hAnsi="Arial" w:cs="Arial"/>
          <w:sz w:val="22"/>
        </w:rPr>
      </w:pPr>
    </w:p>
    <w:p w14:paraId="0B65C34F" w14:textId="5A02751B" w:rsidR="00464E3D" w:rsidRDefault="00464E3D" w:rsidP="0013785A">
      <w:pPr>
        <w:rPr>
          <w:rFonts w:ascii="Arial" w:eastAsia="Calibri" w:hAnsi="Arial" w:cs="Arial"/>
          <w:sz w:val="22"/>
        </w:rPr>
      </w:pPr>
    </w:p>
    <w:p w14:paraId="2B536A9F" w14:textId="550CC0AE" w:rsidR="00464E3D" w:rsidRDefault="0012691D" w:rsidP="0012691D">
      <w:pPr>
        <w:ind w:left="5529"/>
        <w:rPr>
          <w:rFonts w:ascii="Arial" w:eastAsia="Calibri" w:hAnsi="Arial" w:cs="Arial"/>
          <w:sz w:val="22"/>
        </w:rPr>
      </w:pPr>
      <w:r w:rsidRPr="0012691D">
        <w:rPr>
          <w:rFonts w:ascii="Arial" w:eastAsia="Calibri" w:hAnsi="Arial" w:cs="Arial"/>
          <w:sz w:val="22"/>
        </w:rPr>
        <w:drawing>
          <wp:inline distT="0" distB="0" distL="0" distR="0" wp14:anchorId="6548BBA9" wp14:editId="1EFBD7F3">
            <wp:extent cx="2274277" cy="660274"/>
            <wp:effectExtent l="0" t="0" r="0" b="635"/>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1"/>
                    <a:stretch>
                      <a:fillRect/>
                    </a:stretch>
                  </pic:blipFill>
                  <pic:spPr>
                    <a:xfrm>
                      <a:off x="0" y="0"/>
                      <a:ext cx="2303488" cy="668755"/>
                    </a:xfrm>
                    <a:prstGeom prst="rect">
                      <a:avLst/>
                    </a:prstGeom>
                  </pic:spPr>
                </pic:pic>
              </a:graphicData>
            </a:graphic>
          </wp:inline>
        </w:drawing>
      </w:r>
    </w:p>
    <w:p w14:paraId="15869F6B" w14:textId="77777777" w:rsidR="00464E3D" w:rsidRDefault="00464E3D" w:rsidP="0013785A">
      <w:pPr>
        <w:rPr>
          <w:rFonts w:ascii="Arial" w:eastAsia="Calibri" w:hAnsi="Arial" w:cs="Arial"/>
          <w:sz w:val="22"/>
        </w:rPr>
      </w:pPr>
    </w:p>
    <w:p w14:paraId="2BFDE0F5" w14:textId="77777777" w:rsidR="00585A49" w:rsidRPr="00BB0056" w:rsidRDefault="00585A49" w:rsidP="00585A49">
      <w:pPr>
        <w:rPr>
          <w:rFonts w:ascii="Arial" w:eastAsia="Calibri" w:hAnsi="Arial" w:cs="Arial"/>
          <w:sz w:val="22"/>
          <w:lang w:val="es-CO"/>
        </w:rPr>
      </w:pPr>
    </w:p>
    <w:p w14:paraId="45ABE4C8" w14:textId="72E95EBA" w:rsidR="00585A49" w:rsidRPr="00BB0056" w:rsidRDefault="00DA4B0F" w:rsidP="00585A49">
      <w:pPr>
        <w:rPr>
          <w:rFonts w:ascii="Arial" w:eastAsia="Calibri" w:hAnsi="Arial" w:cs="Arial"/>
          <w:sz w:val="22"/>
          <w:lang w:val="es-CO"/>
        </w:rPr>
      </w:pPr>
      <w:bookmarkStart w:id="2" w:name="_Hlk67928110"/>
      <w:r>
        <w:rPr>
          <w:rFonts w:ascii="Arial" w:eastAsia="Calibri" w:hAnsi="Arial" w:cs="Arial"/>
          <w:sz w:val="22"/>
          <w:lang w:val="es-CO"/>
        </w:rPr>
        <w:t>Señor</w:t>
      </w:r>
    </w:p>
    <w:p w14:paraId="63DF614A" w14:textId="41E9D249" w:rsidR="0013785A" w:rsidRPr="009F035A" w:rsidRDefault="00286099" w:rsidP="00585A49">
      <w:pPr>
        <w:rPr>
          <w:rFonts w:ascii="Arial" w:hAnsi="Arial" w:cs="Arial"/>
          <w:b/>
          <w:bCs/>
          <w:sz w:val="22"/>
          <w:lang w:val="es-CO"/>
        </w:rPr>
      </w:pPr>
      <w:r w:rsidRPr="00286099">
        <w:rPr>
          <w:rFonts w:ascii="Arial" w:hAnsi="Arial" w:cs="Arial"/>
          <w:b/>
          <w:bCs/>
          <w:sz w:val="22"/>
          <w:lang w:val="es-CO"/>
        </w:rPr>
        <w:t>Wilson Alexander Piragauta Montaña</w:t>
      </w:r>
    </w:p>
    <w:p w14:paraId="09838613" w14:textId="254FD55B" w:rsidR="00585A49" w:rsidRPr="00BB0056" w:rsidRDefault="0013785A" w:rsidP="00585A49">
      <w:pPr>
        <w:rPr>
          <w:rFonts w:ascii="Arial" w:eastAsia="Calibri" w:hAnsi="Arial" w:cs="Arial"/>
          <w:sz w:val="22"/>
          <w:lang w:val="es-CO"/>
        </w:rPr>
      </w:pPr>
      <w:r>
        <w:rPr>
          <w:rFonts w:ascii="Arial" w:hAnsi="Arial" w:cs="Arial"/>
          <w:color w:val="000000" w:themeColor="text1"/>
          <w:sz w:val="22"/>
          <w:lang w:val="es-CO"/>
        </w:rPr>
        <w:t>Yopal, Casanare</w:t>
      </w:r>
    </w:p>
    <w:p w14:paraId="15BB3F2D" w14:textId="77777777" w:rsidR="00585A49" w:rsidRPr="00BB0056" w:rsidRDefault="00585A49" w:rsidP="00585A49">
      <w:pPr>
        <w:rPr>
          <w:rFonts w:ascii="Arial" w:eastAsia="Calibri" w:hAnsi="Arial" w:cs="Arial"/>
          <w:sz w:val="22"/>
          <w:lang w:val="es-CO"/>
        </w:rPr>
      </w:pPr>
    </w:p>
    <w:p w14:paraId="4B7364A2" w14:textId="77777777" w:rsidR="00585A49" w:rsidRPr="00BB0056" w:rsidRDefault="00585A49" w:rsidP="00585A49">
      <w:pPr>
        <w:rPr>
          <w:rFonts w:ascii="Arial" w:eastAsia="Calibri" w:hAnsi="Arial" w:cs="Arial"/>
          <w:sz w:val="22"/>
          <w:lang w:val="es-CO"/>
        </w:rPr>
      </w:pPr>
    </w:p>
    <w:p w14:paraId="24E8790A" w14:textId="290DD6F9" w:rsidR="00585A49" w:rsidRPr="00BB0056" w:rsidRDefault="00585A49" w:rsidP="00585A49">
      <w:pPr>
        <w:rPr>
          <w:rFonts w:ascii="Arial" w:eastAsia="Calibri" w:hAnsi="Arial" w:cs="Arial"/>
          <w:b/>
          <w:sz w:val="22"/>
          <w:lang w:val="es-CO"/>
        </w:rPr>
      </w:pPr>
      <w:r w:rsidRPr="00BB0056">
        <w:rPr>
          <w:rFonts w:ascii="Arial" w:eastAsia="Calibri" w:hAnsi="Arial" w:cs="Arial"/>
          <w:sz w:val="22"/>
          <w:lang w:val="es-CO"/>
        </w:rPr>
        <w:t xml:space="preserve">                                            </w:t>
      </w:r>
      <w:r w:rsidRPr="00BB0056">
        <w:rPr>
          <w:rFonts w:ascii="Arial" w:eastAsia="Calibri" w:hAnsi="Arial" w:cs="Arial"/>
          <w:b/>
          <w:sz w:val="22"/>
          <w:lang w:val="es-CO"/>
        </w:rPr>
        <w:t xml:space="preserve">Concepto C – </w:t>
      </w:r>
      <w:r w:rsidR="0013785A">
        <w:rPr>
          <w:rFonts w:ascii="Arial" w:eastAsia="Calibri" w:hAnsi="Arial" w:cs="Arial"/>
          <w:b/>
          <w:sz w:val="22"/>
          <w:lang w:val="es-CO"/>
        </w:rPr>
        <w:t>330</w:t>
      </w:r>
      <w:r w:rsidRPr="00BB0056">
        <w:rPr>
          <w:rFonts w:ascii="Arial" w:eastAsia="Calibri" w:hAnsi="Arial" w:cs="Arial"/>
          <w:b/>
          <w:sz w:val="22"/>
          <w:lang w:val="es-CO"/>
        </w:rPr>
        <w:t xml:space="preserve"> de 202</w:t>
      </w:r>
      <w:r w:rsidR="00B60BE5">
        <w:rPr>
          <w:rFonts w:ascii="Arial" w:eastAsia="Calibri" w:hAnsi="Arial" w:cs="Arial"/>
          <w:b/>
          <w:sz w:val="22"/>
          <w:lang w:val="es-CO"/>
        </w:rPr>
        <w:t>1</w:t>
      </w:r>
    </w:p>
    <w:p w14:paraId="0578347A" w14:textId="77777777" w:rsidR="00585A49" w:rsidRPr="00BB0056" w:rsidRDefault="00585A49" w:rsidP="00585A49">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85A49" w:rsidRPr="00BB0056" w14:paraId="66C0E12E" w14:textId="77777777" w:rsidTr="00954F8C">
        <w:tc>
          <w:tcPr>
            <w:tcW w:w="2689" w:type="dxa"/>
            <w:hideMark/>
          </w:tcPr>
          <w:p w14:paraId="6F81D681" w14:textId="77777777" w:rsidR="00585A49" w:rsidRPr="00BB0056" w:rsidRDefault="00585A49" w:rsidP="00954F8C">
            <w:pPr>
              <w:rPr>
                <w:rFonts w:ascii="Arial" w:eastAsia="Calibri" w:hAnsi="Arial" w:cs="Arial"/>
                <w:sz w:val="22"/>
                <w:lang w:val="es-CO"/>
              </w:rPr>
            </w:pPr>
            <w:r w:rsidRPr="00BB0056">
              <w:rPr>
                <w:rFonts w:ascii="Arial" w:eastAsia="Calibri" w:hAnsi="Arial" w:cs="Arial"/>
                <w:b/>
                <w:sz w:val="22"/>
                <w:lang w:val="es-CO"/>
              </w:rPr>
              <w:t>Temas:</w:t>
            </w:r>
            <w:r w:rsidRPr="00BB0056">
              <w:rPr>
                <w:rFonts w:ascii="Arial" w:eastAsia="Calibri" w:hAnsi="Arial" w:cs="Arial"/>
                <w:sz w:val="22"/>
                <w:lang w:val="es-CO"/>
              </w:rPr>
              <w:t xml:space="preserve">           </w:t>
            </w:r>
          </w:p>
          <w:p w14:paraId="630EF6D1" w14:textId="77777777" w:rsidR="00585A49" w:rsidRPr="00BB0056" w:rsidRDefault="00585A49" w:rsidP="00954F8C">
            <w:pPr>
              <w:rPr>
                <w:rFonts w:ascii="Arial" w:eastAsia="Calibri" w:hAnsi="Arial" w:cs="Arial"/>
                <w:sz w:val="22"/>
                <w:lang w:val="es-CO"/>
              </w:rPr>
            </w:pPr>
            <w:r w:rsidRPr="00BB0056">
              <w:rPr>
                <w:rFonts w:ascii="Arial" w:eastAsia="Calibri" w:hAnsi="Arial" w:cs="Arial"/>
                <w:sz w:val="22"/>
                <w:lang w:val="es-CO"/>
              </w:rPr>
              <w:t xml:space="preserve">                           </w:t>
            </w:r>
          </w:p>
        </w:tc>
        <w:tc>
          <w:tcPr>
            <w:tcW w:w="6237" w:type="dxa"/>
            <w:hideMark/>
          </w:tcPr>
          <w:p w14:paraId="501F95C1" w14:textId="00F5CAF4" w:rsidR="00585A49" w:rsidRPr="00BB0056" w:rsidRDefault="00FF7627" w:rsidP="00954F8C">
            <w:pPr>
              <w:spacing w:after="120"/>
              <w:jc w:val="both"/>
              <w:rPr>
                <w:rFonts w:ascii="Arial" w:hAnsi="Arial" w:cs="Arial"/>
                <w:sz w:val="22"/>
                <w:lang w:val="es-CO"/>
              </w:rPr>
            </w:pPr>
            <w:r w:rsidRPr="00FF7627">
              <w:rPr>
                <w:rFonts w:ascii="Arial" w:hAnsi="Arial" w:cs="Arial"/>
                <w:sz w:val="22"/>
                <w:lang w:val="es-CO"/>
              </w:rPr>
              <w:t>DOCUMENTOS TIPO ‒ Licitación pública – Versión 3 – Infraestructura de transporte – Obra pública – Bienes o servicios adicionales – Experiencia adicional</w:t>
            </w:r>
            <w:r>
              <w:rPr>
                <w:rFonts w:ascii="Arial" w:hAnsi="Arial" w:cs="Arial"/>
                <w:sz w:val="22"/>
                <w:lang w:val="es-CO"/>
              </w:rPr>
              <w:t xml:space="preserve"> / </w:t>
            </w:r>
            <w:r w:rsidRPr="00FF7627">
              <w:rPr>
                <w:rFonts w:ascii="Arial" w:hAnsi="Arial" w:cs="Arial"/>
                <w:sz w:val="22"/>
                <w:lang w:val="es-CO"/>
              </w:rPr>
              <w:t>BIENES O SERVICIOS ADICIONALES – Experiencia adicional – Documento Base – Interpretación estricta</w:t>
            </w:r>
            <w:r>
              <w:rPr>
                <w:rFonts w:ascii="Arial" w:hAnsi="Arial" w:cs="Arial"/>
                <w:sz w:val="22"/>
                <w:lang w:val="es-CO"/>
              </w:rPr>
              <w:t xml:space="preserve"> / </w:t>
            </w:r>
            <w:r w:rsidRPr="00FF7627">
              <w:rPr>
                <w:rFonts w:ascii="Arial" w:hAnsi="Arial" w:cs="Arial"/>
                <w:sz w:val="22"/>
                <w:lang w:val="es-CO"/>
              </w:rPr>
              <w:t>BIENES O SERVICIOS ADICIONALES – Experiencia adicional – Documento Base – Interpretación estricta</w:t>
            </w:r>
          </w:p>
        </w:tc>
      </w:tr>
      <w:tr w:rsidR="00585A49" w:rsidRPr="00BB0056" w14:paraId="59883EC0" w14:textId="77777777" w:rsidTr="00954F8C">
        <w:tc>
          <w:tcPr>
            <w:tcW w:w="2689" w:type="dxa"/>
          </w:tcPr>
          <w:p w14:paraId="108B9A46" w14:textId="77777777" w:rsidR="00585A49" w:rsidRPr="00BB0056" w:rsidRDefault="00585A49" w:rsidP="00954F8C">
            <w:pPr>
              <w:spacing w:before="60"/>
              <w:rPr>
                <w:rFonts w:ascii="Arial" w:eastAsia="Calibri" w:hAnsi="Arial" w:cs="Arial"/>
                <w:b/>
                <w:sz w:val="22"/>
                <w:lang w:val="es-CO"/>
              </w:rPr>
            </w:pPr>
            <w:r w:rsidRPr="00BB0056">
              <w:rPr>
                <w:rFonts w:ascii="Arial" w:eastAsia="Calibri" w:hAnsi="Arial" w:cs="Arial"/>
                <w:b/>
                <w:sz w:val="22"/>
                <w:lang w:val="es-CO"/>
              </w:rPr>
              <w:t>Radicación:</w:t>
            </w:r>
            <w:r w:rsidRPr="00BB0056">
              <w:rPr>
                <w:rFonts w:ascii="Arial" w:eastAsia="Calibri" w:hAnsi="Arial" w:cs="Arial"/>
                <w:sz w:val="22"/>
                <w:lang w:val="es-CO"/>
              </w:rPr>
              <w:t xml:space="preserve">                              </w:t>
            </w:r>
          </w:p>
        </w:tc>
        <w:tc>
          <w:tcPr>
            <w:tcW w:w="6237" w:type="dxa"/>
          </w:tcPr>
          <w:p w14:paraId="56AA2CDF" w14:textId="16CD2FFF" w:rsidR="00585A49" w:rsidRPr="00BB0056" w:rsidRDefault="00585A49" w:rsidP="00954F8C">
            <w:pPr>
              <w:spacing w:before="60"/>
              <w:jc w:val="both"/>
              <w:rPr>
                <w:rFonts w:ascii="Arial" w:eastAsia="Calibri" w:hAnsi="Arial" w:cs="Arial"/>
                <w:sz w:val="22"/>
                <w:lang w:val="es-CO"/>
              </w:rPr>
            </w:pPr>
            <w:r w:rsidRPr="00BB0056">
              <w:rPr>
                <w:rFonts w:ascii="Arial" w:eastAsia="Calibri" w:hAnsi="Arial" w:cs="Arial"/>
                <w:sz w:val="22"/>
                <w:lang w:val="es-CO"/>
              </w:rPr>
              <w:t xml:space="preserve">Respuesta a la consulta </w:t>
            </w:r>
            <w:r w:rsidR="005677D7" w:rsidRPr="005677D7">
              <w:rPr>
                <w:rFonts w:ascii="Arial" w:eastAsia="Calibri" w:hAnsi="Arial" w:cs="Arial"/>
                <w:sz w:val="22"/>
                <w:lang w:val="es-CO"/>
              </w:rPr>
              <w:t>P2021</w:t>
            </w:r>
            <w:r w:rsidR="0013785A">
              <w:rPr>
                <w:rFonts w:ascii="Arial" w:eastAsia="Calibri" w:hAnsi="Arial" w:cs="Arial"/>
                <w:sz w:val="22"/>
                <w:lang w:val="es-CO"/>
              </w:rPr>
              <w:t>0525004536</w:t>
            </w:r>
          </w:p>
        </w:tc>
      </w:tr>
    </w:tbl>
    <w:p w14:paraId="5ADC407D" w14:textId="77777777" w:rsidR="00585A49" w:rsidRPr="00BB0056" w:rsidRDefault="00585A49" w:rsidP="00585A49">
      <w:pPr>
        <w:spacing w:before="60"/>
        <w:jc w:val="both"/>
        <w:rPr>
          <w:rFonts w:ascii="Arial" w:eastAsia="Calibri" w:hAnsi="Arial" w:cs="Arial"/>
          <w:sz w:val="22"/>
          <w:lang w:val="es-CO"/>
        </w:rPr>
      </w:pPr>
    </w:p>
    <w:p w14:paraId="4EA2D519" w14:textId="77777777" w:rsidR="00585A49" w:rsidRPr="00BB0056" w:rsidRDefault="00585A49" w:rsidP="00585A49">
      <w:pPr>
        <w:rPr>
          <w:rFonts w:ascii="Arial" w:eastAsia="Calibri" w:hAnsi="Arial" w:cs="Arial"/>
          <w:sz w:val="22"/>
          <w:lang w:val="es-CO"/>
        </w:rPr>
      </w:pPr>
    </w:p>
    <w:p w14:paraId="57D60A2E" w14:textId="289206CD" w:rsidR="00585A49" w:rsidRPr="00BB0056" w:rsidRDefault="00585A49" w:rsidP="00585A49">
      <w:pPr>
        <w:rPr>
          <w:rFonts w:ascii="Arial" w:eastAsia="Calibri" w:hAnsi="Arial" w:cs="Arial"/>
          <w:sz w:val="22"/>
          <w:lang w:val="es-CO"/>
        </w:rPr>
      </w:pPr>
      <w:r w:rsidRPr="00BB0056">
        <w:rPr>
          <w:rFonts w:ascii="Arial" w:eastAsia="Calibri" w:hAnsi="Arial" w:cs="Arial"/>
          <w:sz w:val="22"/>
          <w:lang w:val="es-CO"/>
        </w:rPr>
        <w:t>Estimad</w:t>
      </w:r>
      <w:r>
        <w:rPr>
          <w:rFonts w:ascii="Arial" w:eastAsia="Calibri" w:hAnsi="Arial" w:cs="Arial"/>
          <w:sz w:val="22"/>
          <w:lang w:val="es-CO"/>
        </w:rPr>
        <w:t>o</w:t>
      </w:r>
      <w:r w:rsidRPr="00BB0056">
        <w:rPr>
          <w:rFonts w:ascii="Arial" w:eastAsia="Calibri" w:hAnsi="Arial" w:cs="Arial"/>
          <w:sz w:val="22"/>
          <w:lang w:val="es-CO"/>
        </w:rPr>
        <w:t xml:space="preserve"> </w:t>
      </w:r>
      <w:r w:rsidR="00033F25">
        <w:rPr>
          <w:rFonts w:ascii="Arial" w:eastAsia="Calibri" w:hAnsi="Arial" w:cs="Arial"/>
          <w:sz w:val="22"/>
          <w:lang w:val="es-CO"/>
        </w:rPr>
        <w:t>s</w:t>
      </w:r>
      <w:r w:rsidR="005677D7">
        <w:rPr>
          <w:rFonts w:ascii="Arial" w:eastAsia="Calibri" w:hAnsi="Arial" w:cs="Arial"/>
          <w:sz w:val="22"/>
          <w:lang w:val="es-CO"/>
        </w:rPr>
        <w:t>eñor</w:t>
      </w:r>
      <w:r>
        <w:rPr>
          <w:rFonts w:ascii="Arial" w:eastAsia="Calibri" w:hAnsi="Arial" w:cs="Arial"/>
          <w:sz w:val="22"/>
          <w:lang w:val="es-CO"/>
        </w:rPr>
        <w:t xml:space="preserve"> </w:t>
      </w:r>
      <w:proofErr w:type="spellStart"/>
      <w:r w:rsidR="00286099">
        <w:rPr>
          <w:rFonts w:ascii="Arial" w:eastAsia="Calibri" w:hAnsi="Arial" w:cs="Arial"/>
          <w:sz w:val="22"/>
          <w:lang w:val="es-CO"/>
        </w:rPr>
        <w:t>Piraguata</w:t>
      </w:r>
      <w:proofErr w:type="spellEnd"/>
      <w:r w:rsidRPr="00BB0056">
        <w:rPr>
          <w:rFonts w:ascii="Arial" w:eastAsia="Calibri" w:hAnsi="Arial" w:cs="Arial"/>
          <w:sz w:val="22"/>
          <w:lang w:val="es-CO"/>
        </w:rPr>
        <w:t>:</w:t>
      </w:r>
    </w:p>
    <w:p w14:paraId="49516858" w14:textId="77777777" w:rsidR="00585A49" w:rsidRPr="00BB0056" w:rsidRDefault="00585A49" w:rsidP="00585A49">
      <w:pPr>
        <w:rPr>
          <w:rFonts w:ascii="Arial" w:eastAsia="Calibri" w:hAnsi="Arial" w:cs="Arial"/>
          <w:sz w:val="22"/>
          <w:lang w:val="es-CO"/>
        </w:rPr>
      </w:pPr>
    </w:p>
    <w:p w14:paraId="531CC572" w14:textId="58795E00" w:rsidR="00585A49" w:rsidRPr="00BB0056" w:rsidRDefault="00585A49" w:rsidP="00585A49">
      <w:pPr>
        <w:spacing w:line="276" w:lineRule="auto"/>
        <w:ind w:right="49"/>
        <w:jc w:val="both"/>
        <w:rPr>
          <w:rFonts w:ascii="Arial" w:eastAsia="Calibri" w:hAnsi="Arial" w:cs="Arial"/>
          <w:sz w:val="22"/>
          <w:lang w:val="es-CO"/>
        </w:rPr>
      </w:pPr>
      <w:r w:rsidRPr="00BB0056">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13785A">
        <w:rPr>
          <w:rFonts w:ascii="Arial" w:eastAsia="Calibri" w:hAnsi="Arial" w:cs="Arial"/>
          <w:sz w:val="22"/>
          <w:lang w:val="es-CO"/>
        </w:rPr>
        <w:t>25</w:t>
      </w:r>
      <w:r w:rsidR="005677D7">
        <w:rPr>
          <w:rFonts w:ascii="Arial" w:eastAsia="Calibri" w:hAnsi="Arial" w:cs="Arial"/>
          <w:sz w:val="22"/>
          <w:lang w:val="es-CO"/>
        </w:rPr>
        <w:t xml:space="preserve"> de </w:t>
      </w:r>
      <w:r w:rsidR="0013785A">
        <w:rPr>
          <w:rFonts w:ascii="Arial" w:eastAsia="Calibri" w:hAnsi="Arial" w:cs="Arial"/>
          <w:sz w:val="22"/>
          <w:lang w:val="es-CO"/>
        </w:rPr>
        <w:t>mayo</w:t>
      </w:r>
      <w:r w:rsidRPr="00BB0056">
        <w:rPr>
          <w:rFonts w:ascii="Arial" w:eastAsia="Calibri" w:hAnsi="Arial" w:cs="Arial"/>
          <w:sz w:val="22"/>
          <w:lang w:val="es-CO"/>
        </w:rPr>
        <w:t xml:space="preserve"> de 202</w:t>
      </w:r>
      <w:r w:rsidR="005677D7">
        <w:rPr>
          <w:rFonts w:ascii="Arial" w:eastAsia="Calibri" w:hAnsi="Arial" w:cs="Arial"/>
          <w:sz w:val="22"/>
          <w:lang w:val="es-CO"/>
        </w:rPr>
        <w:t>1</w:t>
      </w:r>
      <w:r w:rsidRPr="00BB0056">
        <w:rPr>
          <w:rFonts w:ascii="Arial" w:eastAsia="Calibri" w:hAnsi="Arial" w:cs="Arial"/>
          <w:sz w:val="22"/>
          <w:lang w:val="es-CO"/>
        </w:rPr>
        <w:t xml:space="preserve">. </w:t>
      </w:r>
    </w:p>
    <w:p w14:paraId="11CF7937" w14:textId="77777777" w:rsidR="00585A49" w:rsidRPr="00BB0056" w:rsidRDefault="00585A49" w:rsidP="00585A49">
      <w:pPr>
        <w:spacing w:line="276" w:lineRule="auto"/>
        <w:jc w:val="both"/>
        <w:rPr>
          <w:rFonts w:ascii="Arial" w:eastAsia="Calibri" w:hAnsi="Arial" w:cs="Arial"/>
          <w:sz w:val="22"/>
          <w:lang w:val="es-CO"/>
        </w:rPr>
      </w:pPr>
    </w:p>
    <w:p w14:paraId="5F69DB71" w14:textId="77777777" w:rsidR="00585A49" w:rsidRPr="00BB0056" w:rsidRDefault="00585A49" w:rsidP="00585A49">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BB0056">
        <w:rPr>
          <w:rFonts w:ascii="Arial" w:eastAsia="Calibri" w:hAnsi="Arial" w:cs="Arial"/>
          <w:b/>
          <w:sz w:val="22"/>
          <w:lang w:val="es-CO"/>
        </w:rPr>
        <w:t>Problema</w:t>
      </w:r>
      <w:r>
        <w:rPr>
          <w:rFonts w:ascii="Arial" w:eastAsia="Calibri" w:hAnsi="Arial" w:cs="Arial"/>
          <w:b/>
          <w:sz w:val="22"/>
          <w:lang w:val="es-CO"/>
        </w:rPr>
        <w:t>s</w:t>
      </w:r>
      <w:r w:rsidRPr="00BB0056">
        <w:rPr>
          <w:rFonts w:ascii="Arial" w:eastAsia="Calibri" w:hAnsi="Arial" w:cs="Arial"/>
          <w:b/>
          <w:sz w:val="22"/>
          <w:lang w:val="es-CO"/>
        </w:rPr>
        <w:t xml:space="preserve"> planteado</w:t>
      </w:r>
      <w:r>
        <w:rPr>
          <w:rFonts w:ascii="Arial" w:eastAsia="Calibri" w:hAnsi="Arial" w:cs="Arial"/>
          <w:b/>
          <w:sz w:val="22"/>
          <w:lang w:val="es-CO"/>
        </w:rPr>
        <w:t>s</w:t>
      </w:r>
      <w:r w:rsidRPr="00BB0056">
        <w:rPr>
          <w:rFonts w:ascii="Arial" w:eastAsia="Calibri" w:hAnsi="Arial" w:cs="Arial"/>
          <w:b/>
          <w:sz w:val="22"/>
          <w:lang w:val="es-CO"/>
        </w:rPr>
        <w:t xml:space="preserve"> </w:t>
      </w:r>
    </w:p>
    <w:p w14:paraId="12852961" w14:textId="77777777" w:rsidR="00286099" w:rsidRDefault="00286099" w:rsidP="009F035A">
      <w:pPr>
        <w:pStyle w:val="Default"/>
        <w:spacing w:line="276" w:lineRule="auto"/>
        <w:jc w:val="both"/>
        <w:rPr>
          <w:rFonts w:eastAsia="Calibri"/>
          <w:color w:val="auto"/>
          <w:sz w:val="22"/>
        </w:rPr>
      </w:pPr>
      <w:bookmarkStart w:id="3" w:name="_Hlk67642291"/>
      <w:bookmarkStart w:id="4" w:name="_Hlk56103000"/>
    </w:p>
    <w:p w14:paraId="4CAAA344" w14:textId="1D2DDA0F" w:rsidR="00286099" w:rsidRDefault="0013785A" w:rsidP="00286099">
      <w:pPr>
        <w:pStyle w:val="Default"/>
        <w:spacing w:line="276" w:lineRule="auto"/>
        <w:jc w:val="both"/>
        <w:rPr>
          <w:rFonts w:eastAsia="Calibri"/>
          <w:color w:val="auto"/>
          <w:sz w:val="22"/>
        </w:rPr>
      </w:pPr>
      <w:r w:rsidRPr="00502617">
        <w:rPr>
          <w:rFonts w:eastAsia="Calibri"/>
          <w:color w:val="auto"/>
          <w:sz w:val="22"/>
        </w:rPr>
        <w:t xml:space="preserve">Usted </w:t>
      </w:r>
      <w:r>
        <w:rPr>
          <w:rFonts w:eastAsia="Calibri"/>
          <w:color w:val="auto"/>
          <w:sz w:val="22"/>
        </w:rPr>
        <w:t>comenta</w:t>
      </w:r>
      <w:r w:rsidRPr="00502617">
        <w:rPr>
          <w:rFonts w:eastAsia="Calibri"/>
          <w:color w:val="auto"/>
          <w:sz w:val="22"/>
        </w:rPr>
        <w:t xml:space="preserve"> lo siguiente, </w:t>
      </w:r>
      <w:r>
        <w:rPr>
          <w:rFonts w:eastAsia="Calibri"/>
          <w:color w:val="auto"/>
          <w:sz w:val="22"/>
        </w:rPr>
        <w:t>en</w:t>
      </w:r>
      <w:r w:rsidRPr="00502617">
        <w:rPr>
          <w:rFonts w:eastAsia="Calibri"/>
          <w:color w:val="auto"/>
          <w:sz w:val="22"/>
        </w:rPr>
        <w:t xml:space="preserve"> relación </w:t>
      </w:r>
      <w:r>
        <w:rPr>
          <w:rFonts w:eastAsia="Calibri"/>
          <w:color w:val="auto"/>
          <w:sz w:val="22"/>
        </w:rPr>
        <w:t xml:space="preserve">con los documentos tipo de obra pública de infraestructura de transporte: </w:t>
      </w:r>
    </w:p>
    <w:p w14:paraId="03132BC8" w14:textId="77777777" w:rsidR="00286099" w:rsidRDefault="00286099" w:rsidP="009F035A">
      <w:pPr>
        <w:pStyle w:val="Default"/>
        <w:spacing w:line="276" w:lineRule="auto"/>
        <w:jc w:val="both"/>
        <w:rPr>
          <w:rFonts w:eastAsia="Calibri"/>
          <w:color w:val="auto"/>
          <w:sz w:val="22"/>
        </w:rPr>
      </w:pPr>
    </w:p>
    <w:p w14:paraId="43997CBC" w14:textId="49032679" w:rsidR="00EE152D" w:rsidRPr="009F035A" w:rsidRDefault="0013785A" w:rsidP="009F035A">
      <w:pPr>
        <w:ind w:left="709" w:right="709"/>
        <w:jc w:val="both"/>
        <w:rPr>
          <w:rFonts w:ascii="Arial" w:hAnsi="Arial" w:cs="Arial"/>
          <w:sz w:val="21"/>
          <w:szCs w:val="21"/>
        </w:rPr>
      </w:pPr>
      <w:r w:rsidRPr="009F035A">
        <w:rPr>
          <w:rFonts w:ascii="Arial" w:eastAsia="Calibri" w:hAnsi="Arial" w:cs="Arial"/>
          <w:sz w:val="21"/>
          <w:szCs w:val="21"/>
        </w:rPr>
        <w:t>«</w:t>
      </w:r>
      <w:r w:rsidR="00EE152D" w:rsidRPr="009F035A">
        <w:rPr>
          <w:rFonts w:ascii="Arial" w:hAnsi="Arial" w:cs="Arial"/>
          <w:sz w:val="21"/>
          <w:szCs w:val="21"/>
        </w:rPr>
        <w:t xml:space="preserve">El municipio de Monterrey Casanare requiere adelantar el mantenimiento rutinario de la malla vial rural (Terciaria), para cumplir con esta actividad el municipio cuenta con un Banco de maquinaria que incluye Motoniveladora, Vibro compactador, volquetas y Retro cargador pero dentro de su planta de personal no cuenta con personal para la operacion de los equipos ni para su mantenimiento, el municipio considera adelantar un proceso de contratación </w:t>
      </w:r>
      <w:r w:rsidR="00EE152D" w:rsidRPr="009F035A">
        <w:rPr>
          <w:rFonts w:ascii="Arial" w:hAnsi="Arial" w:cs="Arial"/>
          <w:sz w:val="21"/>
          <w:szCs w:val="21"/>
        </w:rPr>
        <w:lastRenderedPageBreak/>
        <w:t xml:space="preserve">para que un oferente interesado realice el mantenimiento de la malla vial mediante la utilización del banco de maquinaria municipal, para este fin el proponente debe realizar el mantenimiento de los equipos y su operación mediante la adquisición de insumos (Combustibles, llantas y lubricantes) además de realizar mantenimiento correctivo al banco de maquinaria. </w:t>
      </w:r>
    </w:p>
    <w:p w14:paraId="5E6C8DE5" w14:textId="7B79EEE2" w:rsidR="00EE152D" w:rsidRDefault="00EE152D">
      <w:pPr>
        <w:pStyle w:val="Default"/>
        <w:ind w:left="709" w:right="709"/>
        <w:jc w:val="both"/>
        <w:rPr>
          <w:rFonts w:eastAsia="Calibri"/>
          <w:color w:val="auto"/>
          <w:sz w:val="21"/>
          <w:szCs w:val="21"/>
        </w:rPr>
      </w:pPr>
    </w:p>
    <w:p w14:paraId="0FCE4B77" w14:textId="58BC407F" w:rsidR="00EE152D" w:rsidRDefault="00EE152D">
      <w:pPr>
        <w:pStyle w:val="Default"/>
        <w:ind w:left="709" w:right="709"/>
        <w:jc w:val="both"/>
        <w:rPr>
          <w:rFonts w:eastAsia="Calibri"/>
          <w:color w:val="auto"/>
          <w:sz w:val="21"/>
          <w:szCs w:val="21"/>
        </w:rPr>
      </w:pPr>
      <w:r>
        <w:rPr>
          <w:rFonts w:eastAsia="Calibri"/>
          <w:color w:val="auto"/>
          <w:sz w:val="21"/>
          <w:szCs w:val="21"/>
        </w:rPr>
        <w:t>[…]</w:t>
      </w:r>
    </w:p>
    <w:p w14:paraId="7A41A665" w14:textId="77777777" w:rsidR="00EE152D" w:rsidRDefault="00EE152D">
      <w:pPr>
        <w:pStyle w:val="Default"/>
        <w:ind w:left="709" w:right="709"/>
        <w:jc w:val="both"/>
        <w:rPr>
          <w:rFonts w:eastAsia="Calibri"/>
          <w:color w:val="auto"/>
          <w:sz w:val="21"/>
          <w:szCs w:val="21"/>
        </w:rPr>
      </w:pPr>
    </w:p>
    <w:p w14:paraId="56EEC23A" w14:textId="1829367C" w:rsidR="0013785A" w:rsidRPr="009F035A" w:rsidRDefault="0013785A" w:rsidP="009F035A">
      <w:pPr>
        <w:pStyle w:val="Default"/>
        <w:ind w:left="709" w:right="709"/>
        <w:jc w:val="both"/>
        <w:rPr>
          <w:rFonts w:eastAsia="Calibri"/>
          <w:color w:val="auto"/>
          <w:sz w:val="21"/>
          <w:szCs w:val="21"/>
        </w:rPr>
      </w:pPr>
      <w:r w:rsidRPr="009F035A">
        <w:rPr>
          <w:rFonts w:eastAsia="Calibri"/>
          <w:color w:val="auto"/>
          <w:sz w:val="21"/>
          <w:szCs w:val="21"/>
        </w:rPr>
        <w:t xml:space="preserve">Puede el municipio de Monterrey Casanare solicitar a los oferentes experiencia adicional para el proceso selección, de manera que se garantice la idoneidad y experiencia de los posibles oferentes en el desarrollo de actividades de mantenimiento de maquinaria y equipos, se debe considerar que el Municipio de Monterrey al contar con el Banco de maquinaria reduce notoriamente el costo del mantenimiento al realizarlo con sus propios equipos, adicionalmente se debe considerar que el municipio no cuenta dentro de la planta de personal con los operadores vinculados que puedan desarrollar esta actividad».  </w:t>
      </w:r>
    </w:p>
    <w:bookmarkEnd w:id="3"/>
    <w:p w14:paraId="230C66D4" w14:textId="378E7EE8" w:rsidR="00585A49" w:rsidRDefault="00585A49" w:rsidP="00585A49">
      <w:pPr>
        <w:tabs>
          <w:tab w:val="left" w:pos="709"/>
        </w:tabs>
        <w:spacing w:line="276" w:lineRule="auto"/>
        <w:jc w:val="both"/>
        <w:rPr>
          <w:rFonts w:ascii="Arial" w:eastAsia="Calibri" w:hAnsi="Arial" w:cs="Arial"/>
          <w:sz w:val="22"/>
          <w:lang w:val="es-CO"/>
        </w:rPr>
      </w:pPr>
    </w:p>
    <w:bookmarkEnd w:id="4"/>
    <w:p w14:paraId="2DD19DF2" w14:textId="18E7BDBC" w:rsidR="00585A49" w:rsidRDefault="00585A49" w:rsidP="00585A49">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0D669D9B" w14:textId="77777777" w:rsidR="00EE152D" w:rsidRPr="00BB0056" w:rsidRDefault="00EE152D" w:rsidP="009F035A">
      <w:pPr>
        <w:pStyle w:val="Prrafodelista"/>
        <w:tabs>
          <w:tab w:val="left" w:pos="426"/>
        </w:tabs>
        <w:spacing w:line="276" w:lineRule="auto"/>
        <w:ind w:left="284"/>
        <w:jc w:val="both"/>
        <w:rPr>
          <w:rFonts w:ascii="Arial" w:eastAsia="Calibri" w:hAnsi="Arial" w:cs="Arial"/>
          <w:b/>
          <w:sz w:val="22"/>
          <w:lang w:val="es-CO"/>
        </w:rPr>
      </w:pPr>
    </w:p>
    <w:p w14:paraId="26E2C4DF" w14:textId="77777777" w:rsidR="00FA7684" w:rsidRDefault="00FA7684" w:rsidP="00FA7684">
      <w:pPr>
        <w:spacing w:after="120" w:line="276" w:lineRule="auto"/>
        <w:jc w:val="both"/>
        <w:rPr>
          <w:rFonts w:ascii="Arial" w:hAnsi="Arial" w:cs="Arial"/>
          <w:bCs/>
          <w:sz w:val="22"/>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64A77361" w14:textId="77777777" w:rsidR="00FA7684" w:rsidRPr="00162BC5" w:rsidRDefault="00FA7684" w:rsidP="00FA7684">
      <w:pPr>
        <w:spacing w:after="120" w:line="276" w:lineRule="auto"/>
        <w:ind w:firstLine="708"/>
        <w:jc w:val="both"/>
        <w:rPr>
          <w:rFonts w:ascii="Arial" w:hAnsi="Arial" w:cs="Arial"/>
          <w:sz w:val="22"/>
          <w:lang w:val="es-ES"/>
        </w:rPr>
      </w:pPr>
      <w:bookmarkStart w:id="5" w:name="_Hlk61701014"/>
      <w:bookmarkStart w:id="6"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7"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07023E50" w14:textId="77777777" w:rsidR="00FA7684" w:rsidRDefault="00FA7684" w:rsidP="00FA7684">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xml:space="preserve">. Esta competencia de interpretación de normas generales, por definición, no puede extenderse </w:t>
      </w:r>
      <w:r w:rsidRPr="00162BC5">
        <w:rPr>
          <w:rFonts w:ascii="Arial" w:hAnsi="Arial" w:cs="Arial"/>
          <w:sz w:val="22"/>
          <w:lang w:val="es-ES"/>
        </w:rPr>
        <w:lastRenderedPageBreak/>
        <w:t xml:space="preserve">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w:t>
      </w:r>
      <w:proofErr w:type="gramStart"/>
      <w:r w:rsidRPr="00162BC5">
        <w:rPr>
          <w:rFonts w:ascii="Arial" w:hAnsi="Arial" w:cs="Arial"/>
          <w:sz w:val="22"/>
          <w:lang w:val="es-ES"/>
        </w:rPr>
        <w:t>que</w:t>
      </w:r>
      <w:proofErr w:type="gramEnd"/>
      <w:r w:rsidRPr="00162BC5">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7"/>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p>
    <w:bookmarkEnd w:id="6"/>
    <w:p w14:paraId="7C1D3004" w14:textId="40054B05" w:rsidR="00FA7684" w:rsidRDefault="00FA7684" w:rsidP="00FA7684">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la Subdirección</w:t>
      </w:r>
      <w:r w:rsidR="00583340">
        <w:rPr>
          <w:rFonts w:ascii="Arial" w:eastAsia="Calibri" w:hAnsi="Arial" w:cs="Arial"/>
          <w:color w:val="000000" w:themeColor="text1"/>
          <w:sz w:val="22"/>
          <w:lang w:val="es-ES"/>
        </w:rPr>
        <w:t xml:space="preserve"> de Gestión Contractual</w:t>
      </w:r>
      <w:r>
        <w:rPr>
          <w:rFonts w:ascii="Arial" w:eastAsia="Calibri" w:hAnsi="Arial" w:cs="Arial"/>
          <w:color w:val="000000" w:themeColor="text1"/>
          <w:sz w:val="22"/>
          <w:lang w:val="es-ES"/>
        </w:rPr>
        <w:t xml:space="preserve"> –dentro de los límites de sus atribuciones, esto es, </w:t>
      </w:r>
      <w:bookmarkStart w:id="8" w:name="_Hlk61025408"/>
      <w:r>
        <w:rPr>
          <w:rFonts w:ascii="Arial" w:eastAsia="Calibri" w:hAnsi="Arial" w:cs="Arial"/>
          <w:color w:val="000000" w:themeColor="text1"/>
          <w:sz w:val="22"/>
          <w:lang w:val="es-ES"/>
        </w:rPr>
        <w:t>haciendo abstracción del caso particular expuesto por el peticionario</w:t>
      </w:r>
      <w:bookmarkEnd w:id="8"/>
      <w:r>
        <w:rPr>
          <w:rFonts w:ascii="Arial" w:eastAsia="Calibri" w:hAnsi="Arial" w:cs="Arial"/>
          <w:color w:val="000000" w:themeColor="text1"/>
          <w:sz w:val="22"/>
          <w:lang w:val="es-ES"/>
        </w:rPr>
        <w:t xml:space="preserve">– resolverá la consulta conforme a las normas generales en materia de contratación estatal. Para ello se explicará la regla del artículo 4 de la Resolución No. 240 de 2020, en virtud de la cual, en el marco de licitaciones de obra pública de infraestructura de transporte adelantadas con documentos tipo, las entidades pueden solicitar experiencia adicional a la estandarizada por la «Matriz 1 – Experiencia» cuando se contratan bienes o servicios adicionales a la obra pública de infraestructura de transporte. </w:t>
      </w:r>
    </w:p>
    <w:p w14:paraId="73165306" w14:textId="37257C86" w:rsidR="00585A49" w:rsidRPr="000370F9" w:rsidRDefault="006373CE" w:rsidP="009F035A">
      <w:pPr>
        <w:spacing w:after="120" w:line="276" w:lineRule="auto"/>
        <w:ind w:firstLine="708"/>
        <w:jc w:val="both"/>
        <w:rPr>
          <w:rFonts w:ascii="Arial" w:eastAsia="Calibri" w:hAnsi="Arial" w:cs="Arial"/>
          <w:color w:val="000000" w:themeColor="text1"/>
          <w:sz w:val="22"/>
          <w:lang w:val="es-ES"/>
        </w:rPr>
      </w:pPr>
      <w:bookmarkStart w:id="9" w:name="_Hlk60921449"/>
      <w:r w:rsidRPr="006373CE">
        <w:rPr>
          <w:rFonts w:ascii="Arial" w:eastAsia="Calibri" w:hAnsi="Arial" w:cs="Arial"/>
          <w:color w:val="000000" w:themeColor="text1"/>
          <w:sz w:val="22"/>
          <w:lang w:val="es-ES"/>
        </w:rPr>
        <w:t xml:space="preserve">La Agencia Nacional de Contratación Pública – Colombia Compra Eficiente, en el </w:t>
      </w:r>
      <w:r w:rsidR="00B8210F">
        <w:rPr>
          <w:rFonts w:ascii="Arial" w:eastAsia="Calibri" w:hAnsi="Arial" w:cs="Arial"/>
          <w:color w:val="000000" w:themeColor="text1"/>
          <w:sz w:val="22"/>
          <w:lang w:val="es-ES"/>
        </w:rPr>
        <w:t>c</w:t>
      </w:r>
      <w:r w:rsidRPr="006373CE">
        <w:rPr>
          <w:rFonts w:ascii="Arial" w:eastAsia="Calibri" w:hAnsi="Arial" w:cs="Arial"/>
          <w:color w:val="000000" w:themeColor="text1"/>
          <w:sz w:val="22"/>
          <w:lang w:val="es-ES"/>
        </w:rPr>
        <w:t xml:space="preserve">oncepto No. 4201912000004855 del 13 de agosto de 2019, reiterado y desarrollado en los </w:t>
      </w:r>
      <w:r w:rsidR="00DA70DE">
        <w:rPr>
          <w:rFonts w:ascii="Arial" w:eastAsia="Calibri" w:hAnsi="Arial" w:cs="Arial"/>
          <w:color w:val="000000" w:themeColor="text1"/>
          <w:sz w:val="22"/>
          <w:lang w:val="es-ES"/>
        </w:rPr>
        <w:t>C</w:t>
      </w:r>
      <w:r w:rsidRPr="006373CE">
        <w:rPr>
          <w:rFonts w:ascii="Arial" w:eastAsia="Calibri" w:hAnsi="Arial" w:cs="Arial"/>
          <w:color w:val="000000" w:themeColor="text1"/>
          <w:sz w:val="22"/>
          <w:lang w:val="es-ES"/>
        </w:rPr>
        <w:t>onceptos No. 4201912000006117 del 7 de septiembre de 2019, 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w:t>
      </w:r>
      <w:r w:rsidR="00612B5E">
        <w:rPr>
          <w:rFonts w:ascii="Arial" w:eastAsia="Calibri" w:hAnsi="Arial" w:cs="Arial"/>
          <w:color w:val="000000" w:themeColor="text1"/>
          <w:sz w:val="22"/>
          <w:lang w:val="es-ES"/>
        </w:rPr>
        <w:t>,</w:t>
      </w:r>
      <w:r w:rsidRPr="006373CE">
        <w:rPr>
          <w:rFonts w:ascii="Arial" w:eastAsia="Calibri" w:hAnsi="Arial" w:cs="Arial"/>
          <w:color w:val="000000" w:themeColor="text1"/>
          <w:sz w:val="22"/>
          <w:lang w:val="es-ES"/>
        </w:rPr>
        <w:t xml:space="preserve"> C-144 del 2 de marzo de 2020</w:t>
      </w:r>
      <w:r w:rsidR="00612B5E">
        <w:rPr>
          <w:rFonts w:ascii="Arial" w:eastAsia="Calibri" w:hAnsi="Arial" w:cs="Arial"/>
          <w:color w:val="000000" w:themeColor="text1"/>
          <w:sz w:val="22"/>
          <w:lang w:val="es-ES"/>
        </w:rPr>
        <w:t>,</w:t>
      </w:r>
      <w:r w:rsidR="003F3821">
        <w:rPr>
          <w:rFonts w:ascii="Arial" w:eastAsia="Calibri" w:hAnsi="Arial" w:cs="Arial"/>
          <w:color w:val="000000" w:themeColor="text1"/>
          <w:sz w:val="22"/>
          <w:lang w:val="es-ES"/>
        </w:rPr>
        <w:t xml:space="preserve"> C-341 del 22 de mayo de 2020,</w:t>
      </w:r>
      <w:r w:rsidR="00612B5E">
        <w:rPr>
          <w:rFonts w:ascii="Arial" w:eastAsia="Calibri" w:hAnsi="Arial" w:cs="Arial"/>
          <w:color w:val="000000" w:themeColor="text1"/>
          <w:sz w:val="22"/>
          <w:lang w:val="es-ES"/>
        </w:rPr>
        <w:t xml:space="preserve"> </w:t>
      </w:r>
      <w:r w:rsidR="005316F8">
        <w:rPr>
          <w:rFonts w:ascii="Arial" w:eastAsia="Calibri" w:hAnsi="Arial" w:cs="Arial"/>
          <w:color w:val="000000" w:themeColor="text1"/>
          <w:sz w:val="22"/>
          <w:lang w:val="es-ES"/>
        </w:rPr>
        <w:t xml:space="preserve">C-596 del 8 de septiembre de 2020, </w:t>
      </w:r>
      <w:r w:rsidR="00AE7536">
        <w:rPr>
          <w:rFonts w:ascii="Arial" w:eastAsia="Calibri" w:hAnsi="Arial" w:cs="Arial"/>
          <w:color w:val="000000" w:themeColor="text1"/>
          <w:sz w:val="22"/>
          <w:lang w:val="es-ES"/>
        </w:rPr>
        <w:t xml:space="preserve">C-588 del 14 de septiembre de 2020, </w:t>
      </w:r>
      <w:r w:rsidR="00612B5E" w:rsidRPr="00612B5E">
        <w:rPr>
          <w:rFonts w:ascii="Arial" w:eastAsia="Calibri" w:hAnsi="Arial" w:cs="Arial"/>
          <w:color w:val="000000" w:themeColor="text1"/>
          <w:sz w:val="22"/>
          <w:lang w:val="es-ES"/>
        </w:rPr>
        <w:t>C-440 del 21</w:t>
      </w:r>
      <w:r w:rsidR="00612B5E">
        <w:rPr>
          <w:rFonts w:ascii="Arial" w:eastAsia="Calibri" w:hAnsi="Arial" w:cs="Arial"/>
          <w:color w:val="000000" w:themeColor="text1"/>
          <w:sz w:val="22"/>
          <w:lang w:val="es-ES"/>
        </w:rPr>
        <w:t xml:space="preserve"> de octubre de </w:t>
      </w:r>
      <w:r w:rsidR="00612B5E" w:rsidRPr="00612B5E">
        <w:rPr>
          <w:rFonts w:ascii="Arial" w:eastAsia="Calibri" w:hAnsi="Arial" w:cs="Arial"/>
          <w:color w:val="000000" w:themeColor="text1"/>
          <w:sz w:val="22"/>
          <w:lang w:val="es-ES"/>
        </w:rPr>
        <w:t>2020</w:t>
      </w:r>
      <w:r w:rsidR="00AE7536">
        <w:rPr>
          <w:rFonts w:ascii="Arial" w:eastAsia="Calibri" w:hAnsi="Arial" w:cs="Arial"/>
          <w:color w:val="000000" w:themeColor="text1"/>
          <w:sz w:val="22"/>
          <w:lang w:val="es-ES"/>
        </w:rPr>
        <w:t xml:space="preserve">, </w:t>
      </w:r>
      <w:r w:rsidR="00612B5E" w:rsidRPr="00612B5E">
        <w:rPr>
          <w:rFonts w:ascii="Arial" w:eastAsia="Calibri" w:hAnsi="Arial" w:cs="Arial"/>
          <w:color w:val="000000" w:themeColor="text1"/>
          <w:sz w:val="22"/>
          <w:lang w:val="es-ES"/>
        </w:rPr>
        <w:t>C-649 del 2</w:t>
      </w:r>
      <w:r w:rsidR="00612B5E">
        <w:rPr>
          <w:rFonts w:ascii="Arial" w:eastAsia="Calibri" w:hAnsi="Arial" w:cs="Arial"/>
          <w:color w:val="000000" w:themeColor="text1"/>
          <w:sz w:val="22"/>
          <w:lang w:val="es-ES"/>
        </w:rPr>
        <w:t xml:space="preserve">7 de octubre de </w:t>
      </w:r>
      <w:r w:rsidR="00612B5E" w:rsidRPr="00612B5E">
        <w:rPr>
          <w:rFonts w:ascii="Arial" w:eastAsia="Calibri" w:hAnsi="Arial" w:cs="Arial"/>
          <w:color w:val="000000" w:themeColor="text1"/>
          <w:sz w:val="22"/>
          <w:lang w:val="es-ES"/>
        </w:rPr>
        <w:t>2020, C-736 del 15</w:t>
      </w:r>
      <w:r w:rsidR="00612B5E">
        <w:rPr>
          <w:rFonts w:ascii="Arial" w:eastAsia="Calibri" w:hAnsi="Arial" w:cs="Arial"/>
          <w:color w:val="000000" w:themeColor="text1"/>
          <w:sz w:val="22"/>
          <w:lang w:val="es-ES"/>
        </w:rPr>
        <w:t xml:space="preserve"> de diciembre </w:t>
      </w:r>
      <w:r w:rsidR="00612B5E" w:rsidRPr="00612B5E">
        <w:rPr>
          <w:rFonts w:ascii="Arial" w:eastAsia="Calibri" w:hAnsi="Arial" w:cs="Arial"/>
          <w:color w:val="000000" w:themeColor="text1"/>
          <w:sz w:val="22"/>
          <w:lang w:val="es-ES"/>
        </w:rPr>
        <w:t>2020</w:t>
      </w:r>
      <w:r w:rsidR="00D700AB">
        <w:rPr>
          <w:rFonts w:ascii="Arial" w:eastAsia="Calibri" w:hAnsi="Arial" w:cs="Arial"/>
          <w:color w:val="000000" w:themeColor="text1"/>
          <w:sz w:val="22"/>
          <w:lang w:val="es-ES"/>
        </w:rPr>
        <w:t xml:space="preserve"> y C-</w:t>
      </w:r>
      <w:r w:rsidR="00A85C2E">
        <w:rPr>
          <w:rFonts w:ascii="Arial" w:eastAsia="Calibri" w:hAnsi="Arial" w:cs="Arial"/>
          <w:color w:val="000000" w:themeColor="text1"/>
          <w:sz w:val="22"/>
          <w:lang w:val="es-ES"/>
        </w:rPr>
        <w:t>801 del 21 de enero de 2021</w:t>
      </w:r>
      <w:r w:rsidR="00612B5E">
        <w:rPr>
          <w:rFonts w:ascii="Arial" w:eastAsia="Calibri" w:hAnsi="Arial" w:cs="Arial"/>
          <w:color w:val="000000" w:themeColor="text1"/>
          <w:sz w:val="22"/>
          <w:lang w:val="es-ES"/>
        </w:rPr>
        <w:t>,</w:t>
      </w:r>
      <w:r w:rsidRPr="006373CE">
        <w:rPr>
          <w:rFonts w:ascii="Arial" w:eastAsia="Calibri" w:hAnsi="Arial" w:cs="Arial"/>
          <w:color w:val="000000" w:themeColor="text1"/>
          <w:sz w:val="22"/>
          <w:lang w:val="es-ES"/>
        </w:rPr>
        <w:t xml:space="preserve"> estudió la posibilidad de solicitar experiencia adicional cuando se </w:t>
      </w:r>
      <w:r w:rsidR="00EE152D">
        <w:rPr>
          <w:rFonts w:ascii="Arial" w:eastAsia="Calibri" w:hAnsi="Arial" w:cs="Arial"/>
          <w:color w:val="000000" w:themeColor="text1"/>
          <w:sz w:val="22"/>
          <w:lang w:val="es-ES"/>
        </w:rPr>
        <w:t>requiere contratar en contratos de obra pública,</w:t>
      </w:r>
      <w:r w:rsidRPr="006373CE">
        <w:rPr>
          <w:rFonts w:ascii="Arial" w:eastAsia="Calibri" w:hAnsi="Arial" w:cs="Arial"/>
          <w:color w:val="000000" w:themeColor="text1"/>
          <w:sz w:val="22"/>
          <w:lang w:val="es-ES"/>
        </w:rPr>
        <w:t xml:space="preserve"> bienes o servicios adicionales a la obra pública de infraestructura de transporte.</w:t>
      </w:r>
      <w:r w:rsidR="00A85C2E">
        <w:rPr>
          <w:rFonts w:ascii="Arial" w:hAnsi="Arial" w:cs="Arial"/>
          <w:color w:val="000000" w:themeColor="text1"/>
          <w:sz w:val="22"/>
        </w:rPr>
        <w:t xml:space="preserve"> L</w:t>
      </w:r>
      <w:r w:rsidR="00585A49">
        <w:rPr>
          <w:rFonts w:ascii="Arial" w:hAnsi="Arial" w:cs="Arial"/>
          <w:color w:val="000000" w:themeColor="text1"/>
          <w:sz w:val="22"/>
        </w:rPr>
        <w:t>a tesis expuesta en estos conceptos se reitera a continuación</w:t>
      </w:r>
      <w:r w:rsidR="00A85C2E">
        <w:rPr>
          <w:rFonts w:ascii="Arial" w:hAnsi="Arial" w:cs="Arial"/>
          <w:color w:val="000000" w:themeColor="text1"/>
          <w:sz w:val="22"/>
        </w:rPr>
        <w:t xml:space="preserve"> y se complementa en lo pertinente</w:t>
      </w:r>
      <w:r w:rsidR="00585A49">
        <w:rPr>
          <w:rFonts w:ascii="Arial" w:hAnsi="Arial" w:cs="Arial"/>
          <w:color w:val="000000" w:themeColor="text1"/>
          <w:sz w:val="22"/>
        </w:rPr>
        <w:t>:</w:t>
      </w:r>
      <w:bookmarkEnd w:id="9"/>
    </w:p>
    <w:p w14:paraId="0DE4B08D" w14:textId="382914A6" w:rsidR="003C07B0" w:rsidRDefault="001405A0" w:rsidP="000370F9">
      <w:pPr>
        <w:spacing w:after="120" w:line="276" w:lineRule="auto"/>
        <w:ind w:firstLine="708"/>
        <w:jc w:val="both"/>
        <w:rPr>
          <w:rFonts w:ascii="Arial" w:eastAsia="Calibri" w:hAnsi="Arial" w:cs="Arial"/>
          <w:sz w:val="22"/>
        </w:rPr>
      </w:pPr>
      <w:r>
        <w:rPr>
          <w:rFonts w:ascii="Arial" w:eastAsia="Calibri" w:hAnsi="Arial" w:cs="Arial"/>
          <w:sz w:val="22"/>
        </w:rPr>
        <w:t xml:space="preserve">Para definir si </w:t>
      </w:r>
      <w:r w:rsidR="003C07B0">
        <w:rPr>
          <w:rFonts w:ascii="Arial" w:eastAsia="Calibri" w:hAnsi="Arial" w:cs="Arial"/>
          <w:sz w:val="22"/>
        </w:rPr>
        <w:t xml:space="preserve">los «Documentos Tipo – Versión </w:t>
      </w:r>
      <w:r w:rsidR="00A85C2E">
        <w:rPr>
          <w:rFonts w:ascii="Arial" w:eastAsia="Calibri" w:hAnsi="Arial" w:cs="Arial"/>
          <w:sz w:val="22"/>
        </w:rPr>
        <w:t>3</w:t>
      </w:r>
      <w:r w:rsidR="003C07B0">
        <w:rPr>
          <w:rFonts w:ascii="Arial" w:eastAsia="Calibri" w:hAnsi="Arial" w:cs="Arial"/>
          <w:sz w:val="22"/>
        </w:rPr>
        <w:t>» de licitación de obra pública de infraestructura de transporte aplican a un tipo de obra específico, la entidad estatal –en la etapa de planeación– debe identificar</w:t>
      </w:r>
      <w:r>
        <w:rPr>
          <w:rFonts w:ascii="Arial" w:eastAsia="Calibri" w:hAnsi="Arial" w:cs="Arial"/>
          <w:sz w:val="22"/>
        </w:rPr>
        <w:t xml:space="preserve"> </w:t>
      </w:r>
      <w:r w:rsidR="004816BA">
        <w:rPr>
          <w:rFonts w:ascii="Arial" w:eastAsia="Calibri" w:hAnsi="Arial" w:cs="Arial"/>
          <w:sz w:val="22"/>
        </w:rPr>
        <w:t>qué</w:t>
      </w:r>
      <w:r>
        <w:rPr>
          <w:rFonts w:ascii="Arial" w:eastAsia="Calibri" w:hAnsi="Arial" w:cs="Arial"/>
          <w:sz w:val="22"/>
        </w:rPr>
        <w:t xml:space="preserve"> </w:t>
      </w:r>
      <w:r w:rsidR="003C07B0">
        <w:rPr>
          <w:rFonts w:ascii="Arial" w:eastAsia="Calibri" w:hAnsi="Arial" w:cs="Arial"/>
          <w:sz w:val="22"/>
        </w:rPr>
        <w:t>tipo de infraestructura</w:t>
      </w:r>
      <w:r>
        <w:rPr>
          <w:rFonts w:ascii="Arial" w:eastAsia="Calibri" w:hAnsi="Arial" w:cs="Arial"/>
          <w:sz w:val="22"/>
        </w:rPr>
        <w:t xml:space="preserve"> se intervendrá mediante la obra. Asimismo, debe establecer si el objeto a contratar encaja dentro de alguna de </w:t>
      </w:r>
      <w:r w:rsidR="003C07B0">
        <w:rPr>
          <w:rFonts w:ascii="Arial" w:eastAsia="Calibri" w:hAnsi="Arial" w:cs="Arial"/>
          <w:sz w:val="22"/>
        </w:rPr>
        <w:t>las actividades definidas en la «Matriz 1 – Experiencia»</w:t>
      </w:r>
      <w:r>
        <w:rPr>
          <w:rFonts w:ascii="Arial" w:eastAsia="Calibri" w:hAnsi="Arial" w:cs="Arial"/>
          <w:sz w:val="22"/>
        </w:rPr>
        <w:t>,</w:t>
      </w:r>
      <w:r w:rsidR="003C07B0">
        <w:rPr>
          <w:rFonts w:ascii="Arial" w:eastAsia="Calibri" w:hAnsi="Arial" w:cs="Arial"/>
          <w:sz w:val="22"/>
        </w:rPr>
        <w:t xml:space="preserve"> de acuerdo con </w:t>
      </w:r>
      <w:r w:rsidR="00C12552">
        <w:rPr>
          <w:rFonts w:ascii="Arial" w:eastAsia="Calibri" w:hAnsi="Arial" w:cs="Arial"/>
          <w:sz w:val="22"/>
        </w:rPr>
        <w:t>la complejidad</w:t>
      </w:r>
      <w:r w:rsidR="003C07B0">
        <w:rPr>
          <w:rFonts w:ascii="Arial" w:eastAsia="Calibri" w:hAnsi="Arial" w:cs="Arial"/>
          <w:sz w:val="22"/>
        </w:rPr>
        <w:t xml:space="preserve"> </w:t>
      </w:r>
      <w:r w:rsidR="00C56AB3">
        <w:rPr>
          <w:rFonts w:ascii="Arial" w:eastAsia="Calibri" w:hAnsi="Arial" w:cs="Arial"/>
          <w:sz w:val="22"/>
        </w:rPr>
        <w:t xml:space="preserve">técnica </w:t>
      </w:r>
      <w:r w:rsidR="00C56AB3">
        <w:rPr>
          <w:rFonts w:ascii="Arial" w:eastAsia="Calibri" w:hAnsi="Arial" w:cs="Arial"/>
          <w:sz w:val="22"/>
        </w:rPr>
        <w:lastRenderedPageBreak/>
        <w:t>del proyecto</w:t>
      </w:r>
      <w:r w:rsidR="00C12552">
        <w:rPr>
          <w:rStyle w:val="Refdenotaalpie"/>
          <w:rFonts w:ascii="Arial" w:eastAsia="Calibri" w:hAnsi="Arial" w:cs="Arial"/>
          <w:sz w:val="22"/>
        </w:rPr>
        <w:footnoteReference w:id="2"/>
      </w:r>
      <w:r w:rsidR="003C07B0">
        <w:rPr>
          <w:rFonts w:ascii="Arial" w:eastAsia="Calibri" w:hAnsi="Arial" w:cs="Arial"/>
          <w:sz w:val="22"/>
        </w:rPr>
        <w:t xml:space="preserve">. </w:t>
      </w:r>
      <w:r w:rsidR="00C56AB3">
        <w:rPr>
          <w:rFonts w:ascii="Arial" w:eastAsia="Calibri" w:hAnsi="Arial" w:cs="Arial"/>
          <w:sz w:val="22"/>
        </w:rPr>
        <w:t>Igualmente</w:t>
      </w:r>
      <w:r w:rsidR="003C07B0">
        <w:rPr>
          <w:rFonts w:ascii="Arial" w:eastAsia="Calibri" w:hAnsi="Arial" w:cs="Arial"/>
          <w:sz w:val="22"/>
        </w:rPr>
        <w:t xml:space="preserve">, para </w:t>
      </w:r>
      <w:r w:rsidR="00A85C2E">
        <w:rPr>
          <w:rFonts w:ascii="Arial" w:eastAsia="Calibri" w:hAnsi="Arial" w:cs="Arial"/>
          <w:sz w:val="22"/>
        </w:rPr>
        <w:t>determinar</w:t>
      </w:r>
      <w:r w:rsidR="003C07B0">
        <w:rPr>
          <w:rFonts w:ascii="Arial" w:eastAsia="Calibri" w:hAnsi="Arial" w:cs="Arial"/>
          <w:sz w:val="22"/>
        </w:rPr>
        <w:t xml:space="preserve"> si</w:t>
      </w:r>
      <w:r w:rsidR="00A85C2E">
        <w:rPr>
          <w:rFonts w:ascii="Arial" w:eastAsia="Calibri" w:hAnsi="Arial" w:cs="Arial"/>
          <w:sz w:val="22"/>
        </w:rPr>
        <w:t xml:space="preserve"> aplican</w:t>
      </w:r>
      <w:r w:rsidR="003C07B0">
        <w:rPr>
          <w:rFonts w:ascii="Arial" w:eastAsia="Calibri" w:hAnsi="Arial" w:cs="Arial"/>
          <w:sz w:val="22"/>
        </w:rPr>
        <w:t xml:space="preserve"> los documentos tipo, debe tener en cuenta los conceptos propios de la ingeniería civil</w:t>
      </w:r>
      <w:r w:rsidR="00C209D8">
        <w:rPr>
          <w:rFonts w:ascii="Arial" w:eastAsia="Calibri" w:hAnsi="Arial" w:cs="Arial"/>
          <w:sz w:val="22"/>
        </w:rPr>
        <w:t>,</w:t>
      </w:r>
      <w:r w:rsidR="003C07B0">
        <w:rPr>
          <w:rFonts w:ascii="Arial" w:eastAsia="Calibri" w:hAnsi="Arial" w:cs="Arial"/>
          <w:sz w:val="22"/>
        </w:rPr>
        <w:t xml:space="preserve"> los definidos del «Anexo 3 – Glosario»</w:t>
      </w:r>
      <w:r w:rsidR="00C33805">
        <w:rPr>
          <w:rFonts w:ascii="Arial" w:eastAsia="Calibri" w:hAnsi="Arial" w:cs="Arial"/>
          <w:sz w:val="22"/>
        </w:rPr>
        <w:t xml:space="preserve"> y la Ley 1682 de 2013</w:t>
      </w:r>
      <w:r w:rsidR="003C07B0">
        <w:rPr>
          <w:rFonts w:ascii="Arial" w:eastAsia="Calibri" w:hAnsi="Arial" w:cs="Arial"/>
          <w:sz w:val="22"/>
        </w:rPr>
        <w:t xml:space="preserve">. </w:t>
      </w:r>
      <w:r w:rsidR="00033F25">
        <w:rPr>
          <w:rFonts w:ascii="Arial" w:eastAsia="Calibri" w:hAnsi="Arial" w:cs="Arial"/>
          <w:sz w:val="22"/>
        </w:rPr>
        <w:t xml:space="preserve">Lo anterior, </w:t>
      </w:r>
      <w:r w:rsidR="003C07B0">
        <w:rPr>
          <w:rFonts w:ascii="Arial" w:eastAsia="Calibri" w:hAnsi="Arial" w:cs="Arial"/>
          <w:sz w:val="22"/>
        </w:rPr>
        <w:t xml:space="preserve">con el fin de verificar si el objeto </w:t>
      </w:r>
      <w:r w:rsidR="00033F25">
        <w:rPr>
          <w:rFonts w:ascii="Arial" w:eastAsia="Calibri" w:hAnsi="Arial" w:cs="Arial"/>
          <w:sz w:val="22"/>
        </w:rPr>
        <w:t xml:space="preserve">a contratar </w:t>
      </w:r>
      <w:r w:rsidR="003C07B0">
        <w:rPr>
          <w:rFonts w:ascii="Arial" w:eastAsia="Calibri" w:hAnsi="Arial" w:cs="Arial"/>
          <w:sz w:val="22"/>
        </w:rPr>
        <w:t xml:space="preserve">se enmarca en </w:t>
      </w:r>
      <w:r w:rsidR="00033F25">
        <w:rPr>
          <w:rFonts w:ascii="Arial" w:eastAsia="Calibri" w:hAnsi="Arial" w:cs="Arial"/>
          <w:sz w:val="22"/>
        </w:rPr>
        <w:t xml:space="preserve">las </w:t>
      </w:r>
      <w:r w:rsidR="003C07B0">
        <w:rPr>
          <w:rFonts w:ascii="Arial" w:eastAsia="Calibri" w:hAnsi="Arial" w:cs="Arial"/>
          <w:sz w:val="22"/>
        </w:rPr>
        <w:t>actividades</w:t>
      </w:r>
      <w:r w:rsidR="00033F25">
        <w:rPr>
          <w:rFonts w:ascii="Arial" w:eastAsia="Calibri" w:hAnsi="Arial" w:cs="Arial"/>
          <w:sz w:val="22"/>
        </w:rPr>
        <w:t xml:space="preserve"> señaladas en la Matriz </w:t>
      </w:r>
      <w:r w:rsidR="004816BA">
        <w:rPr>
          <w:rFonts w:ascii="Arial" w:eastAsia="Calibri" w:hAnsi="Arial" w:cs="Arial"/>
          <w:sz w:val="22"/>
        </w:rPr>
        <w:t>1</w:t>
      </w:r>
      <w:r w:rsidR="003C07B0">
        <w:rPr>
          <w:rFonts w:ascii="Arial" w:eastAsia="Calibri" w:hAnsi="Arial" w:cs="Arial"/>
          <w:sz w:val="22"/>
        </w:rPr>
        <w:t>. De esta manera, para definir la experiencia exigible la entidad estatal debe seguir los siguientes pasos:</w:t>
      </w:r>
    </w:p>
    <w:p w14:paraId="1955C35A" w14:textId="6016EE46"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a) </w:t>
      </w:r>
      <w:r w:rsidR="00C56AB3">
        <w:rPr>
          <w:rFonts w:ascii="Arial" w:eastAsia="Calibri" w:hAnsi="Arial" w:cs="Arial"/>
          <w:sz w:val="22"/>
        </w:rPr>
        <w:t>De acuerdo con la complejidad técnica del proyecto, i</w:t>
      </w:r>
      <w:r>
        <w:rPr>
          <w:rFonts w:ascii="Arial" w:eastAsia="Calibri" w:hAnsi="Arial" w:cs="Arial"/>
          <w:sz w:val="22"/>
        </w:rPr>
        <w:t>dentificar en la «Matriz 1 – Experiencia» el tipo de infraestructura sobre el cual recae la obra a ejecutar. Al respecto esta matriz contiene ocho (8) secciones</w:t>
      </w:r>
      <w:r w:rsidR="00B32F07">
        <w:rPr>
          <w:rFonts w:ascii="Arial" w:eastAsia="Calibri" w:hAnsi="Arial" w:cs="Arial"/>
          <w:sz w:val="22"/>
        </w:rPr>
        <w:t>, a saber</w:t>
      </w:r>
      <w:r>
        <w:rPr>
          <w:rFonts w:ascii="Arial" w:eastAsia="Calibri" w:hAnsi="Arial" w:cs="Arial"/>
          <w:sz w:val="22"/>
        </w:rPr>
        <w:t xml:space="preserve">: </w:t>
      </w:r>
      <w:r w:rsidR="004816BA">
        <w:rPr>
          <w:rFonts w:ascii="Arial" w:eastAsia="Calibri" w:hAnsi="Arial" w:cs="Arial"/>
          <w:sz w:val="22"/>
        </w:rPr>
        <w:t>i)</w:t>
      </w:r>
      <w:r>
        <w:rPr>
          <w:rFonts w:ascii="Arial" w:eastAsia="Calibri" w:hAnsi="Arial" w:cs="Arial"/>
          <w:sz w:val="22"/>
        </w:rPr>
        <w:t xml:space="preserve"> </w:t>
      </w:r>
      <w:r w:rsidR="004816BA">
        <w:rPr>
          <w:rFonts w:ascii="Arial" w:eastAsia="Calibri" w:hAnsi="Arial" w:cs="Arial"/>
          <w:sz w:val="22"/>
        </w:rPr>
        <w:t>obras en vías primarias o secundarias,</w:t>
      </w:r>
      <w:r>
        <w:rPr>
          <w:rFonts w:ascii="Arial" w:eastAsia="Calibri" w:hAnsi="Arial" w:cs="Arial"/>
          <w:sz w:val="22"/>
        </w:rPr>
        <w:t xml:space="preserve"> </w:t>
      </w:r>
      <w:r w:rsidR="004816BA">
        <w:rPr>
          <w:rFonts w:ascii="Arial" w:eastAsia="Calibri" w:hAnsi="Arial" w:cs="Arial"/>
          <w:sz w:val="22"/>
        </w:rPr>
        <w:t>ii) obras en vías terciarias,</w:t>
      </w:r>
      <w:r>
        <w:rPr>
          <w:rFonts w:ascii="Arial" w:eastAsia="Calibri" w:hAnsi="Arial" w:cs="Arial"/>
          <w:sz w:val="22"/>
        </w:rPr>
        <w:t xml:space="preserve"> </w:t>
      </w:r>
      <w:r w:rsidR="004816BA">
        <w:rPr>
          <w:rFonts w:ascii="Arial" w:eastAsia="Calibri" w:hAnsi="Arial" w:cs="Arial"/>
          <w:sz w:val="22"/>
        </w:rPr>
        <w:t>iii)</w:t>
      </w:r>
      <w:r>
        <w:rPr>
          <w:rFonts w:ascii="Arial" w:eastAsia="Calibri" w:hAnsi="Arial" w:cs="Arial"/>
          <w:sz w:val="22"/>
        </w:rPr>
        <w:t xml:space="preserve"> </w:t>
      </w:r>
      <w:r w:rsidR="004816BA">
        <w:rPr>
          <w:rFonts w:ascii="Arial" w:eastAsia="Calibri" w:hAnsi="Arial" w:cs="Arial"/>
          <w:sz w:val="22"/>
        </w:rPr>
        <w:t>obras marítimas y fluviales,</w:t>
      </w:r>
      <w:r>
        <w:rPr>
          <w:rFonts w:ascii="Arial" w:eastAsia="Calibri" w:hAnsi="Arial" w:cs="Arial"/>
          <w:sz w:val="22"/>
        </w:rPr>
        <w:t xml:space="preserve"> </w:t>
      </w:r>
      <w:r w:rsidR="004816BA">
        <w:rPr>
          <w:rFonts w:ascii="Arial" w:eastAsia="Calibri" w:hAnsi="Arial" w:cs="Arial"/>
          <w:sz w:val="22"/>
        </w:rPr>
        <w:t>iv)</w:t>
      </w:r>
      <w:r>
        <w:rPr>
          <w:rFonts w:ascii="Arial" w:eastAsia="Calibri" w:hAnsi="Arial" w:cs="Arial"/>
          <w:sz w:val="22"/>
        </w:rPr>
        <w:t xml:space="preserve"> </w:t>
      </w:r>
      <w:r w:rsidR="00B32F07">
        <w:rPr>
          <w:rFonts w:ascii="Arial" w:eastAsia="Calibri" w:hAnsi="Arial" w:cs="Arial"/>
          <w:sz w:val="22"/>
        </w:rPr>
        <w:t>obras en v</w:t>
      </w:r>
      <w:r w:rsidR="006E5168">
        <w:rPr>
          <w:rFonts w:ascii="Arial" w:eastAsia="Calibri" w:hAnsi="Arial" w:cs="Arial"/>
          <w:sz w:val="22"/>
        </w:rPr>
        <w:t>í</w:t>
      </w:r>
      <w:r w:rsidR="00B32F07">
        <w:rPr>
          <w:rFonts w:ascii="Arial" w:eastAsia="Calibri" w:hAnsi="Arial" w:cs="Arial"/>
          <w:sz w:val="22"/>
        </w:rPr>
        <w:t>as primarias o secundarias o terciarias para atención de emergencias diferentes a contratación directa,</w:t>
      </w:r>
      <w:r>
        <w:rPr>
          <w:rFonts w:ascii="Arial" w:eastAsia="Calibri" w:hAnsi="Arial" w:cs="Arial"/>
          <w:sz w:val="22"/>
        </w:rPr>
        <w:t xml:space="preserve"> </w:t>
      </w:r>
      <w:r w:rsidR="00B32F07">
        <w:rPr>
          <w:rFonts w:ascii="Arial" w:eastAsia="Calibri" w:hAnsi="Arial" w:cs="Arial"/>
          <w:sz w:val="22"/>
        </w:rPr>
        <w:t>v)</w:t>
      </w:r>
      <w:r>
        <w:rPr>
          <w:rFonts w:ascii="Arial" w:eastAsia="Calibri" w:hAnsi="Arial" w:cs="Arial"/>
          <w:sz w:val="22"/>
        </w:rPr>
        <w:t xml:space="preserve"> </w:t>
      </w:r>
      <w:r w:rsidR="00B32F07">
        <w:rPr>
          <w:rFonts w:ascii="Arial" w:eastAsia="Calibri" w:hAnsi="Arial" w:cs="Arial"/>
          <w:sz w:val="22"/>
        </w:rPr>
        <w:t>obras férreas,</w:t>
      </w:r>
      <w:r>
        <w:rPr>
          <w:rFonts w:ascii="Arial" w:eastAsia="Calibri" w:hAnsi="Arial" w:cs="Arial"/>
          <w:sz w:val="22"/>
        </w:rPr>
        <w:t xml:space="preserve"> </w:t>
      </w:r>
      <w:r w:rsidR="00B32F07">
        <w:rPr>
          <w:rFonts w:ascii="Arial" w:eastAsia="Calibri" w:hAnsi="Arial" w:cs="Arial"/>
          <w:sz w:val="22"/>
        </w:rPr>
        <w:t>vi) obras infraestructura vial urbana, vii) obras en puentes y viii) obras aeroportuarias.</w:t>
      </w:r>
    </w:p>
    <w:p w14:paraId="0A341B08" w14:textId="703C37C6"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b) Una vez definido el tipo de infraestructura, identificar </w:t>
      </w:r>
      <w:r w:rsidR="00DC0094">
        <w:rPr>
          <w:rFonts w:ascii="Arial" w:eastAsia="Calibri" w:hAnsi="Arial" w:cs="Arial"/>
          <w:sz w:val="22"/>
        </w:rPr>
        <w:t>en cuál de las actividades definidas en la</w:t>
      </w:r>
      <w:r>
        <w:rPr>
          <w:rFonts w:ascii="Arial" w:eastAsia="Calibri" w:hAnsi="Arial" w:cs="Arial"/>
          <w:sz w:val="22"/>
        </w:rPr>
        <w:t xml:space="preserve"> </w:t>
      </w:r>
      <w:r w:rsidR="00C56AB3">
        <w:rPr>
          <w:rFonts w:ascii="Arial" w:eastAsia="Calibri" w:hAnsi="Arial" w:cs="Arial"/>
          <w:sz w:val="22"/>
        </w:rPr>
        <w:t>«</w:t>
      </w:r>
      <w:r>
        <w:rPr>
          <w:rFonts w:ascii="Arial" w:eastAsia="Calibri" w:hAnsi="Arial" w:cs="Arial"/>
          <w:sz w:val="22"/>
        </w:rPr>
        <w:t xml:space="preserve">Matriz 1 </w:t>
      </w:r>
      <w:r w:rsidR="00C56AB3">
        <w:rPr>
          <w:rFonts w:ascii="Arial" w:eastAsia="Calibri" w:hAnsi="Arial" w:cs="Arial"/>
          <w:sz w:val="22"/>
        </w:rPr>
        <w:t>–</w:t>
      </w:r>
      <w:r>
        <w:rPr>
          <w:rFonts w:ascii="Arial" w:eastAsia="Calibri" w:hAnsi="Arial" w:cs="Arial"/>
          <w:sz w:val="22"/>
        </w:rPr>
        <w:t xml:space="preserve"> Experiencia</w:t>
      </w:r>
      <w:r w:rsidR="00C56AB3">
        <w:rPr>
          <w:rFonts w:ascii="Arial" w:eastAsia="Calibri" w:hAnsi="Arial" w:cs="Arial"/>
          <w:sz w:val="22"/>
        </w:rPr>
        <w:t>»</w:t>
      </w:r>
      <w:r w:rsidR="00DC0094">
        <w:rPr>
          <w:rFonts w:ascii="Arial" w:eastAsia="Calibri" w:hAnsi="Arial" w:cs="Arial"/>
          <w:sz w:val="22"/>
        </w:rPr>
        <w:t xml:space="preserve"> encaja el objeto a contratar. </w:t>
      </w:r>
    </w:p>
    <w:p w14:paraId="0BFDB263" w14:textId="77777777"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c) Identificar el rango en el cual se encuentra el procedimiento de contratación de acuerdo con el presupuesto oficial.</w:t>
      </w:r>
    </w:p>
    <w:p w14:paraId="1EB14773" w14:textId="77777777"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d) Identificar la «experiencia general» exigible acorde con la «Matriz 1 – Experiencia», teniendo en cuenta la actividad a contratar y el rango de la cuantía del procedimiento contractual.</w:t>
      </w:r>
    </w:p>
    <w:p w14:paraId="120EC532" w14:textId="3DAA87B0"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e) Identificar la «experiencia específica» exigible y el porcentaje de dimensionamiento que se puede solicitar, acorde con la longitud </w:t>
      </w:r>
      <w:r w:rsidR="00380ABA">
        <w:rPr>
          <w:rFonts w:ascii="Arial" w:eastAsia="Calibri" w:hAnsi="Arial" w:cs="Arial"/>
          <w:sz w:val="22"/>
        </w:rPr>
        <w:t xml:space="preserve">–u otra magnitud– </w:t>
      </w:r>
      <w:r>
        <w:rPr>
          <w:rFonts w:ascii="Arial" w:eastAsia="Calibri" w:hAnsi="Arial" w:cs="Arial"/>
          <w:sz w:val="22"/>
        </w:rPr>
        <w:t xml:space="preserve">a ejecutar, de acuerdo con la cuantía del procedimiento de contratación. Cuando en la «experiencia específica» se indiquen las siglas N.A., significa que la entidad estatal no </w:t>
      </w:r>
      <w:r>
        <w:rPr>
          <w:rFonts w:ascii="Arial" w:eastAsia="Calibri" w:hAnsi="Arial" w:cs="Arial"/>
          <w:sz w:val="22"/>
        </w:rPr>
        <w:lastRenderedPageBreak/>
        <w:t>puede exigir a los proponentes ningún tipo de experiencia específica en los procedimientos de contratación.</w:t>
      </w:r>
    </w:p>
    <w:p w14:paraId="5BAFCE67" w14:textId="594CD813"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En este sentido, </w:t>
      </w:r>
      <w:r w:rsidR="00696806">
        <w:rPr>
          <w:rFonts w:ascii="Arial" w:eastAsia="Calibri" w:hAnsi="Arial" w:cs="Arial"/>
          <w:sz w:val="22"/>
        </w:rPr>
        <w:t xml:space="preserve">tanto </w:t>
      </w:r>
      <w:r>
        <w:rPr>
          <w:rFonts w:ascii="Arial" w:eastAsia="Calibri" w:hAnsi="Arial" w:cs="Arial"/>
          <w:sz w:val="22"/>
        </w:rPr>
        <w:t>la experiencia general</w:t>
      </w:r>
      <w:r w:rsidR="00696806">
        <w:rPr>
          <w:rFonts w:ascii="Arial" w:eastAsia="Calibri" w:hAnsi="Arial" w:cs="Arial"/>
          <w:sz w:val="22"/>
        </w:rPr>
        <w:t xml:space="preserve"> como la</w:t>
      </w:r>
      <w:r>
        <w:rPr>
          <w:rFonts w:ascii="Arial" w:eastAsia="Calibri" w:hAnsi="Arial" w:cs="Arial"/>
          <w:sz w:val="22"/>
        </w:rPr>
        <w:t xml:space="preserve"> específica se </w:t>
      </w:r>
      <w:r w:rsidR="009D1FA8">
        <w:rPr>
          <w:rFonts w:ascii="Arial" w:eastAsia="Calibri" w:hAnsi="Arial" w:cs="Arial"/>
          <w:sz w:val="22"/>
        </w:rPr>
        <w:t>deben exigir</w:t>
      </w:r>
      <w:r>
        <w:rPr>
          <w:rFonts w:ascii="Arial" w:eastAsia="Calibri" w:hAnsi="Arial" w:cs="Arial"/>
          <w:sz w:val="22"/>
        </w:rPr>
        <w:t xml:space="preserve"> de acuerdo con la actividad a contratar y con la cuantía del procedimiento de contratación. Por lo tanto, no se podrán exigir </w:t>
      </w:r>
      <w:r w:rsidR="00696806">
        <w:rPr>
          <w:rFonts w:ascii="Arial" w:eastAsia="Calibri" w:hAnsi="Arial" w:cs="Arial"/>
          <w:sz w:val="22"/>
        </w:rPr>
        <w:t>requisitos de experiencia distintos</w:t>
      </w:r>
      <w:r>
        <w:rPr>
          <w:rFonts w:ascii="Arial" w:eastAsia="Calibri" w:hAnsi="Arial" w:cs="Arial"/>
          <w:sz w:val="22"/>
        </w:rPr>
        <w:t xml:space="preserve"> </w:t>
      </w:r>
      <w:r w:rsidR="00696806">
        <w:rPr>
          <w:rFonts w:ascii="Arial" w:eastAsia="Calibri" w:hAnsi="Arial" w:cs="Arial"/>
          <w:sz w:val="22"/>
        </w:rPr>
        <w:t xml:space="preserve">de </w:t>
      </w:r>
      <w:r>
        <w:rPr>
          <w:rFonts w:ascii="Arial" w:eastAsia="Calibri" w:hAnsi="Arial" w:cs="Arial"/>
          <w:sz w:val="22"/>
        </w:rPr>
        <w:t>l</w:t>
      </w:r>
      <w:r w:rsidR="00696806">
        <w:rPr>
          <w:rFonts w:ascii="Arial" w:eastAsia="Calibri" w:hAnsi="Arial" w:cs="Arial"/>
          <w:sz w:val="22"/>
        </w:rPr>
        <w:t>o</w:t>
      </w:r>
      <w:r>
        <w:rPr>
          <w:rFonts w:ascii="Arial" w:eastAsia="Calibri" w:hAnsi="Arial" w:cs="Arial"/>
          <w:sz w:val="22"/>
        </w:rPr>
        <w:t>s previst</w:t>
      </w:r>
      <w:r w:rsidR="00696806">
        <w:rPr>
          <w:rFonts w:ascii="Arial" w:eastAsia="Calibri" w:hAnsi="Arial" w:cs="Arial"/>
          <w:sz w:val="22"/>
        </w:rPr>
        <w:t>os</w:t>
      </w:r>
      <w:r>
        <w:rPr>
          <w:rFonts w:ascii="Arial" w:eastAsia="Calibri" w:hAnsi="Arial" w:cs="Arial"/>
          <w:sz w:val="22"/>
        </w:rPr>
        <w:t xml:space="preserve"> en la «Matriz 1 – Experiencia».</w:t>
      </w:r>
      <w:r w:rsidR="00057743">
        <w:rPr>
          <w:rFonts w:ascii="Arial" w:eastAsia="Calibri" w:hAnsi="Arial" w:cs="Arial"/>
          <w:sz w:val="22"/>
        </w:rPr>
        <w:t xml:space="preserve"> Esto significa que los requisitos de experiencia exigibles por las entidades son los estandarizados por la «Matriz 1– Experiencia», los cuales además son inalterables.</w:t>
      </w:r>
    </w:p>
    <w:p w14:paraId="028E2AF3" w14:textId="12B3936B"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Una </w:t>
      </w:r>
      <w:r w:rsidR="00057743">
        <w:rPr>
          <w:rFonts w:ascii="Arial" w:eastAsia="Calibri" w:hAnsi="Arial" w:cs="Arial"/>
          <w:sz w:val="22"/>
        </w:rPr>
        <w:t xml:space="preserve">excepción </w:t>
      </w:r>
      <w:r>
        <w:rPr>
          <w:rFonts w:ascii="Arial" w:eastAsia="Calibri" w:hAnsi="Arial" w:cs="Arial"/>
          <w:sz w:val="22"/>
        </w:rPr>
        <w:t xml:space="preserve">a la regla anterior </w:t>
      </w:r>
      <w:r w:rsidR="00BF77B6">
        <w:rPr>
          <w:rFonts w:ascii="Arial" w:eastAsia="Calibri" w:hAnsi="Arial" w:cs="Arial"/>
          <w:sz w:val="22"/>
        </w:rPr>
        <w:t xml:space="preserve">se </w:t>
      </w:r>
      <w:r w:rsidR="005D131F">
        <w:rPr>
          <w:rFonts w:ascii="Arial" w:eastAsia="Calibri" w:hAnsi="Arial" w:cs="Arial"/>
          <w:sz w:val="22"/>
        </w:rPr>
        <w:t xml:space="preserve">encuentra regulada </w:t>
      </w:r>
      <w:r>
        <w:rPr>
          <w:rFonts w:ascii="Arial" w:eastAsia="Calibri" w:hAnsi="Arial" w:cs="Arial"/>
          <w:sz w:val="22"/>
        </w:rPr>
        <w:t xml:space="preserve">en el </w:t>
      </w:r>
      <w:r w:rsidR="00057743">
        <w:rPr>
          <w:rFonts w:ascii="Arial" w:eastAsia="Calibri" w:hAnsi="Arial" w:cs="Arial"/>
          <w:sz w:val="22"/>
        </w:rPr>
        <w:t xml:space="preserve">artículo </w:t>
      </w:r>
      <w:r w:rsidR="00057743" w:rsidRPr="00057743">
        <w:rPr>
          <w:rFonts w:ascii="Arial" w:eastAsia="Calibri" w:hAnsi="Arial" w:cs="Arial"/>
          <w:sz w:val="22"/>
        </w:rPr>
        <w:t xml:space="preserve">2.2.1.2.6.1.5 </w:t>
      </w:r>
      <w:r w:rsidR="00057743">
        <w:rPr>
          <w:rFonts w:ascii="Arial" w:eastAsia="Calibri" w:hAnsi="Arial" w:cs="Arial"/>
          <w:sz w:val="22"/>
        </w:rPr>
        <w:t>d</w:t>
      </w:r>
      <w:r>
        <w:rPr>
          <w:rFonts w:ascii="Arial" w:eastAsia="Calibri" w:hAnsi="Arial" w:cs="Arial"/>
          <w:sz w:val="22"/>
        </w:rPr>
        <w:t>el Decreto 1082 de 2015</w:t>
      </w:r>
      <w:r w:rsidR="00057743">
        <w:rPr>
          <w:rFonts w:ascii="Arial" w:eastAsia="Calibri" w:hAnsi="Arial" w:cs="Arial"/>
          <w:sz w:val="22"/>
        </w:rPr>
        <w:t>–adicionado por el Decreto 342 de 2019–</w:t>
      </w:r>
      <w:r w:rsidR="005D131F">
        <w:rPr>
          <w:rFonts w:ascii="Arial" w:eastAsia="Calibri" w:hAnsi="Arial" w:cs="Arial"/>
          <w:sz w:val="22"/>
        </w:rPr>
        <w:t xml:space="preserve">, la cual es concordante </w:t>
      </w:r>
      <w:r w:rsidR="00BF77B6">
        <w:rPr>
          <w:rFonts w:ascii="Arial" w:eastAsia="Calibri" w:hAnsi="Arial" w:cs="Arial"/>
          <w:sz w:val="22"/>
        </w:rPr>
        <w:t>con el artículo 4 de la Resolución 240 del 27 de noviembre de 2020</w:t>
      </w:r>
      <w:r w:rsidR="005D131F">
        <w:rPr>
          <w:rFonts w:ascii="Arial" w:eastAsia="Calibri" w:hAnsi="Arial" w:cs="Arial"/>
          <w:sz w:val="22"/>
        </w:rPr>
        <w:t xml:space="preserve">. Tales disposiciones establecen unos </w:t>
      </w:r>
      <w:r w:rsidR="00DC0094">
        <w:rPr>
          <w:rFonts w:ascii="Arial" w:eastAsia="Calibri" w:hAnsi="Arial" w:cs="Arial"/>
          <w:sz w:val="22"/>
        </w:rPr>
        <w:t>parámetros</w:t>
      </w:r>
      <w:r>
        <w:rPr>
          <w:rFonts w:ascii="Arial" w:eastAsia="Calibri" w:hAnsi="Arial" w:cs="Arial"/>
          <w:sz w:val="22"/>
        </w:rPr>
        <w:t xml:space="preserve"> </w:t>
      </w:r>
      <w:r w:rsidR="00057743">
        <w:rPr>
          <w:rFonts w:ascii="Arial" w:eastAsia="Calibri" w:hAnsi="Arial" w:cs="Arial"/>
          <w:sz w:val="22"/>
        </w:rPr>
        <w:t xml:space="preserve">en aplicación de los cuales </w:t>
      </w:r>
      <w:r>
        <w:rPr>
          <w:rFonts w:ascii="Arial" w:eastAsia="Calibri" w:hAnsi="Arial" w:cs="Arial"/>
          <w:sz w:val="22"/>
        </w:rPr>
        <w:t>la entidad puede solicitar experiencia adicional para evaluar la idoneidad del contratista en procesos de contratación que incluyen bienes o servicios adicionales</w:t>
      </w:r>
      <w:r w:rsidR="00057743">
        <w:rPr>
          <w:rFonts w:ascii="Arial" w:eastAsia="Calibri" w:hAnsi="Arial" w:cs="Arial"/>
          <w:sz w:val="22"/>
        </w:rPr>
        <w:t xml:space="preserve"> a la obra pública de infraestructura de transporte</w:t>
      </w:r>
      <w:r>
        <w:rPr>
          <w:rFonts w:ascii="Arial" w:eastAsia="Calibri" w:hAnsi="Arial" w:cs="Arial"/>
          <w:sz w:val="22"/>
        </w:rPr>
        <w:t xml:space="preserve">. Estos </w:t>
      </w:r>
      <w:r w:rsidR="00057743">
        <w:rPr>
          <w:rFonts w:ascii="Arial" w:eastAsia="Calibri" w:hAnsi="Arial" w:cs="Arial"/>
          <w:sz w:val="22"/>
        </w:rPr>
        <w:t>bienes y servicios son aquellos que por estar relacionados con la obra pública a desarrollar, requieren ser contratados junto con la obra.</w:t>
      </w:r>
      <w:r>
        <w:rPr>
          <w:rFonts w:ascii="Arial" w:eastAsia="Calibri" w:hAnsi="Arial" w:cs="Arial"/>
          <w:sz w:val="22"/>
        </w:rPr>
        <w:t xml:space="preserve"> Por ello, con </w:t>
      </w:r>
      <w:r w:rsidR="00380ABA">
        <w:rPr>
          <w:rFonts w:ascii="Arial" w:eastAsia="Calibri" w:hAnsi="Arial" w:cs="Arial"/>
          <w:sz w:val="22"/>
        </w:rPr>
        <w:t xml:space="preserve">fundamento en </w:t>
      </w:r>
      <w:r>
        <w:rPr>
          <w:rFonts w:ascii="Arial" w:eastAsia="Calibri" w:hAnsi="Arial" w:cs="Arial"/>
          <w:sz w:val="22"/>
        </w:rPr>
        <w:t>esta disposición las entidades pueden requerir experiencia</w:t>
      </w:r>
      <w:r w:rsidR="00380ABA">
        <w:rPr>
          <w:rFonts w:ascii="Arial" w:eastAsia="Calibri" w:hAnsi="Arial" w:cs="Arial"/>
          <w:sz w:val="22"/>
        </w:rPr>
        <w:t xml:space="preserve"> añadida</w:t>
      </w:r>
      <w:r>
        <w:rPr>
          <w:rFonts w:ascii="Arial" w:eastAsia="Calibri" w:hAnsi="Arial" w:cs="Arial"/>
          <w:sz w:val="22"/>
        </w:rPr>
        <w:t xml:space="preserve"> cuando el bien o servicio adicional es de tal magnitud que no es posible valorar la idoneidad del contratista </w:t>
      </w:r>
      <w:r w:rsidR="00033F25">
        <w:rPr>
          <w:rFonts w:ascii="Arial" w:eastAsia="Calibri" w:hAnsi="Arial" w:cs="Arial"/>
          <w:sz w:val="22"/>
        </w:rPr>
        <w:t xml:space="preserve">únicamente </w:t>
      </w:r>
      <w:r>
        <w:rPr>
          <w:rFonts w:ascii="Arial" w:eastAsia="Calibri" w:hAnsi="Arial" w:cs="Arial"/>
          <w:sz w:val="22"/>
        </w:rPr>
        <w:t>a partir de la experiencia establecida en la «Matriz 1 – Experiencia».</w:t>
      </w:r>
    </w:p>
    <w:p w14:paraId="2312647A" w14:textId="4801FD6B"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Cuando la entidad requiere bienes y servicios que no se encuentran incluidos como infraestructura de transporte</w:t>
      </w:r>
      <w:r w:rsidR="00380ABA">
        <w:rPr>
          <w:rFonts w:ascii="Arial" w:eastAsia="Calibri" w:hAnsi="Arial" w:cs="Arial"/>
          <w:sz w:val="22"/>
        </w:rPr>
        <w:t xml:space="preserve"> en la «Matriz 1 – Experiencia» y considera necesario exigir experiencia adicional, </w:t>
      </w:r>
      <w:r>
        <w:rPr>
          <w:rFonts w:ascii="Arial" w:eastAsia="Calibri" w:hAnsi="Arial" w:cs="Arial"/>
          <w:sz w:val="22"/>
        </w:rPr>
        <w:t xml:space="preserve">debe aplicar el artículo </w:t>
      </w:r>
      <w:r w:rsidR="00033F25">
        <w:rPr>
          <w:rFonts w:ascii="Arial" w:eastAsia="Calibri" w:hAnsi="Arial" w:cs="Arial"/>
          <w:sz w:val="22"/>
        </w:rPr>
        <w:t>4 de la Resolución 240 de 2020</w:t>
      </w:r>
      <w:r>
        <w:rPr>
          <w:rFonts w:ascii="Arial" w:eastAsia="Calibri" w:hAnsi="Arial" w:cs="Arial"/>
          <w:sz w:val="22"/>
        </w:rPr>
        <w:t>. 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w:t>
      </w:r>
      <w:r w:rsidR="00380ABA">
        <w:rPr>
          <w:rFonts w:ascii="Arial" w:eastAsia="Calibri" w:hAnsi="Arial" w:cs="Arial"/>
          <w:sz w:val="22"/>
        </w:rPr>
        <w:t xml:space="preserve"> de infraestructura de transporte</w:t>
      </w:r>
      <w:r>
        <w:rPr>
          <w:rFonts w:ascii="Arial" w:eastAsia="Calibri" w:hAnsi="Arial" w:cs="Arial"/>
          <w:sz w:val="22"/>
        </w:rPr>
        <w:t>.</w:t>
      </w:r>
    </w:p>
    <w:p w14:paraId="49465E86" w14:textId="7ED3484F"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La entidad que opte por solicitar experiencia adicional en desarrollo de esta norma debe evidenciar en los documentos del proceso que agotó estos parámetros. Para ello, debe justificar en los estudios y documentos previos</w:t>
      </w:r>
      <w:r w:rsidR="006667EB">
        <w:rPr>
          <w:rFonts w:ascii="Arial" w:eastAsia="Calibri" w:hAnsi="Arial" w:cs="Arial"/>
          <w:sz w:val="22"/>
        </w:rPr>
        <w:t>,</w:t>
      </w:r>
      <w:r>
        <w:rPr>
          <w:rFonts w:ascii="Arial" w:eastAsia="Calibri" w:hAnsi="Arial" w:cs="Arial"/>
          <w:sz w:val="22"/>
        </w:rPr>
        <w:t xml:space="preserve"> como parte del deber de análisis, que ha verificado que la experiencia adicional relacionada con los bienes o servicios </w:t>
      </w:r>
      <w:r w:rsidR="00EE0373">
        <w:rPr>
          <w:rFonts w:ascii="Arial" w:eastAsia="Calibri" w:hAnsi="Arial" w:cs="Arial"/>
          <w:sz w:val="22"/>
        </w:rPr>
        <w:t xml:space="preserve">y que </w:t>
      </w:r>
      <w:r w:rsidR="007F7A15">
        <w:rPr>
          <w:rFonts w:ascii="Arial" w:eastAsia="Calibri" w:hAnsi="Arial" w:cs="Arial"/>
          <w:sz w:val="22"/>
        </w:rPr>
        <w:t>dicha experiencia</w:t>
      </w:r>
      <w:r w:rsidR="00EE0373">
        <w:rPr>
          <w:rFonts w:ascii="Arial" w:eastAsia="Calibri" w:hAnsi="Arial" w:cs="Arial"/>
          <w:sz w:val="22"/>
        </w:rPr>
        <w:t xml:space="preserve"> </w:t>
      </w:r>
      <w:r>
        <w:rPr>
          <w:rFonts w:ascii="Arial" w:eastAsia="Calibri" w:hAnsi="Arial" w:cs="Arial"/>
          <w:sz w:val="22"/>
        </w:rPr>
        <w:t>no afecta significativamente la pluralidad de oferentes. Es decir, la entidad debe revisar que al solicitar esta experiencia exist</w:t>
      </w:r>
      <w:r w:rsidR="00530EC9">
        <w:rPr>
          <w:rFonts w:ascii="Arial" w:eastAsia="Calibri" w:hAnsi="Arial" w:cs="Arial"/>
          <w:sz w:val="22"/>
        </w:rPr>
        <w:t>a</w:t>
      </w:r>
      <w:r>
        <w:rPr>
          <w:rFonts w:ascii="Arial" w:eastAsia="Calibri" w:hAnsi="Arial" w:cs="Arial"/>
          <w:sz w:val="22"/>
        </w:rPr>
        <w:t xml:space="preserve">n suficientes potenciales proponentes que puedan acreditar estas condiciones. </w:t>
      </w:r>
    </w:p>
    <w:p w14:paraId="2BA51771" w14:textId="77777777"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En segundo lugar, la solicitud de esta experiencia no permite que la entidad modifique los requisitos habilitantes y de ponderación de la propuesta, por lo cual se deben mantener los establecidos en los documentos tipo. </w:t>
      </w:r>
    </w:p>
    <w:p w14:paraId="77811EF1" w14:textId="77777777"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En tercer lugar, la experiencia adicional solicitada debe relacionarse con los bienes y servicios sobre los cuales la entidad requiere que se demuestre idoneidad por parte de </w:t>
      </w:r>
      <w:r>
        <w:rPr>
          <w:rFonts w:ascii="Arial" w:eastAsia="Calibri" w:hAnsi="Arial" w:cs="Arial"/>
          <w:sz w:val="22"/>
        </w:rPr>
        <w:lastRenderedPageBreak/>
        <w:t>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w:t>
      </w:r>
      <w:r>
        <w:rPr>
          <w:rFonts w:ascii="Arial" w:hAnsi="Arial" w:cs="Arial"/>
          <w:sz w:val="22"/>
        </w:rPr>
        <w:t xml:space="preserve"> de imposible cumplimiento. </w:t>
      </w:r>
    </w:p>
    <w:p w14:paraId="2F8CFC09" w14:textId="146B7955"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Por último, la experiencia requerida debe clasifica</w:t>
      </w:r>
      <w:r w:rsidR="004F7335">
        <w:rPr>
          <w:rFonts w:ascii="Arial" w:eastAsia="Calibri" w:hAnsi="Arial" w:cs="Arial"/>
          <w:sz w:val="22"/>
        </w:rPr>
        <w:t>rse</w:t>
      </w:r>
      <w:r>
        <w:rPr>
          <w:rFonts w:ascii="Arial" w:eastAsia="Calibri" w:hAnsi="Arial" w:cs="Arial"/>
          <w:sz w:val="22"/>
        </w:rPr>
        <w:t xml:space="preserve"> hasta el tercer nivel del clasificador de bienes y servicios</w:t>
      </w:r>
      <w:r w:rsidR="004F7335">
        <w:rPr>
          <w:rFonts w:ascii="Arial" w:eastAsia="Calibri" w:hAnsi="Arial" w:cs="Arial"/>
          <w:sz w:val="22"/>
        </w:rPr>
        <w:t>.</w:t>
      </w:r>
      <w:r>
        <w:rPr>
          <w:rFonts w:ascii="Arial" w:eastAsia="Calibri" w:hAnsi="Arial" w:cs="Arial"/>
          <w:sz w:val="22"/>
        </w:rPr>
        <w:t xml:space="preserve"> </w:t>
      </w:r>
      <w:r w:rsidR="004F7335">
        <w:rPr>
          <w:rFonts w:ascii="Arial" w:eastAsia="Calibri" w:hAnsi="Arial" w:cs="Arial"/>
          <w:sz w:val="22"/>
        </w:rPr>
        <w:t>P</w:t>
      </w:r>
      <w:r>
        <w:rPr>
          <w:rFonts w:ascii="Arial" w:eastAsia="Calibri" w:hAnsi="Arial" w:cs="Arial"/>
          <w:sz w:val="22"/>
        </w:rPr>
        <w:t xml:space="preserve">or lo tanto, la entidad no puede requerir que se acredite el «producto» de este clasificador. </w:t>
      </w:r>
    </w:p>
    <w:p w14:paraId="342B9CBC" w14:textId="4517361E" w:rsidR="00446F1D" w:rsidRDefault="00EE0373" w:rsidP="00D83E59">
      <w:pPr>
        <w:spacing w:after="120" w:line="276" w:lineRule="auto"/>
        <w:ind w:firstLine="708"/>
        <w:jc w:val="both"/>
        <w:rPr>
          <w:rFonts w:ascii="Arial" w:eastAsia="Calibri" w:hAnsi="Arial" w:cs="Arial"/>
          <w:sz w:val="22"/>
        </w:rPr>
      </w:pPr>
      <w:bookmarkStart w:id="10" w:name="_Hlk67647659"/>
      <w:r>
        <w:rPr>
          <w:rFonts w:ascii="Arial" w:eastAsia="Calibri" w:hAnsi="Arial" w:cs="Arial"/>
          <w:sz w:val="22"/>
        </w:rPr>
        <w:t xml:space="preserve">Esta </w:t>
      </w:r>
      <w:r w:rsidR="003C07B0">
        <w:rPr>
          <w:rFonts w:ascii="Arial" w:eastAsia="Calibri" w:hAnsi="Arial" w:cs="Arial"/>
          <w:sz w:val="22"/>
        </w:rPr>
        <w:t xml:space="preserve">posibilidad de solicitar experiencia adicional solo </w:t>
      </w:r>
      <w:r w:rsidR="001E6B05">
        <w:rPr>
          <w:rFonts w:ascii="Arial" w:eastAsia="Calibri" w:hAnsi="Arial" w:cs="Arial"/>
          <w:sz w:val="22"/>
        </w:rPr>
        <w:t xml:space="preserve">ocurre </w:t>
      </w:r>
      <w:r w:rsidR="003C07B0">
        <w:rPr>
          <w:rFonts w:ascii="Arial" w:eastAsia="Calibri" w:hAnsi="Arial" w:cs="Arial"/>
          <w:sz w:val="22"/>
        </w:rPr>
        <w:t>cuando el objeto contractual incluye bienes o servicios adicionales a la obra pública de infraestructura de transporte. Esto implica que: i) la actividad que se requiere, si bien es una labor de obra</w:t>
      </w:r>
      <w:r w:rsidR="0009134B">
        <w:rPr>
          <w:rFonts w:ascii="Arial" w:eastAsia="Calibri" w:hAnsi="Arial" w:cs="Arial"/>
          <w:sz w:val="22"/>
        </w:rPr>
        <w:t>,</w:t>
      </w:r>
      <w:r w:rsidR="003C07B0">
        <w:rPr>
          <w:rFonts w:ascii="Arial" w:eastAsia="Calibri" w:hAnsi="Arial" w:cs="Arial"/>
          <w:sz w:val="22"/>
        </w:rPr>
        <w:t xml:space="preserve"> no </w:t>
      </w:r>
      <w:r>
        <w:rPr>
          <w:rFonts w:ascii="Arial" w:eastAsia="Calibri" w:hAnsi="Arial" w:cs="Arial"/>
          <w:sz w:val="22"/>
        </w:rPr>
        <w:t xml:space="preserve">se realiza sobre </w:t>
      </w:r>
      <w:r w:rsidR="003C07B0">
        <w:rPr>
          <w:rFonts w:ascii="Arial" w:eastAsia="Calibri" w:hAnsi="Arial" w:cs="Arial"/>
          <w:sz w:val="22"/>
        </w:rPr>
        <w:t>infraestructura de transporte</w:t>
      </w:r>
      <w:r>
        <w:rPr>
          <w:rFonts w:ascii="Arial" w:eastAsia="Calibri" w:hAnsi="Arial" w:cs="Arial"/>
          <w:sz w:val="22"/>
        </w:rPr>
        <w:t xml:space="preserve"> propiamente dicha</w:t>
      </w:r>
      <w:r w:rsidR="003C07B0">
        <w:rPr>
          <w:rFonts w:ascii="Arial" w:eastAsia="Calibri" w:hAnsi="Arial" w:cs="Arial"/>
          <w:sz w:val="22"/>
        </w:rPr>
        <w:t>,</w:t>
      </w:r>
      <w:r>
        <w:rPr>
          <w:rFonts w:ascii="Arial" w:eastAsia="Calibri" w:hAnsi="Arial" w:cs="Arial"/>
          <w:sz w:val="22"/>
        </w:rPr>
        <w:t xml:space="preserve"> </w:t>
      </w:r>
      <w:r w:rsidR="003C07B0">
        <w:rPr>
          <w:rFonts w:ascii="Arial" w:eastAsia="Calibri" w:hAnsi="Arial" w:cs="Arial"/>
          <w:sz w:val="22"/>
        </w:rPr>
        <w:t xml:space="preserve">por ejemplo, la construcción de </w:t>
      </w:r>
      <w:r w:rsidR="00587D51">
        <w:rPr>
          <w:rFonts w:ascii="Arial" w:eastAsia="Calibri" w:hAnsi="Arial" w:cs="Arial"/>
          <w:sz w:val="22"/>
        </w:rPr>
        <w:t>un parque recreativo cerca de la vía</w:t>
      </w:r>
      <w:r w:rsidR="003C07B0">
        <w:rPr>
          <w:rFonts w:ascii="Arial" w:eastAsia="Calibri" w:hAnsi="Arial" w:cs="Arial"/>
          <w:sz w:val="22"/>
        </w:rPr>
        <w:t xml:space="preserve">, </w:t>
      </w:r>
      <w:r>
        <w:rPr>
          <w:rFonts w:ascii="Arial" w:eastAsia="Calibri" w:hAnsi="Arial" w:cs="Arial"/>
          <w:sz w:val="22"/>
        </w:rPr>
        <w:t xml:space="preserve">o </w:t>
      </w:r>
      <w:r w:rsidR="003C07B0">
        <w:rPr>
          <w:rFonts w:ascii="Arial" w:eastAsia="Calibri" w:hAnsi="Arial" w:cs="Arial"/>
          <w:sz w:val="22"/>
        </w:rPr>
        <w:t xml:space="preserve">ii) </w:t>
      </w:r>
      <w:r w:rsidR="00630FF0">
        <w:rPr>
          <w:rFonts w:ascii="Arial" w:eastAsia="Calibri" w:hAnsi="Arial" w:cs="Arial"/>
          <w:sz w:val="22"/>
        </w:rPr>
        <w:t>el</w:t>
      </w:r>
      <w:r w:rsidR="003C07B0">
        <w:rPr>
          <w:rFonts w:ascii="Arial" w:eastAsia="Calibri" w:hAnsi="Arial" w:cs="Arial"/>
          <w:sz w:val="22"/>
        </w:rPr>
        <w:t xml:space="preserve"> </w:t>
      </w:r>
      <w:r w:rsidR="00D83E59">
        <w:rPr>
          <w:rFonts w:ascii="Arial" w:eastAsia="Calibri" w:hAnsi="Arial" w:cs="Arial"/>
          <w:sz w:val="22"/>
        </w:rPr>
        <w:t>bien</w:t>
      </w:r>
      <w:r w:rsidR="003C07B0">
        <w:rPr>
          <w:rFonts w:ascii="Arial" w:eastAsia="Calibri" w:hAnsi="Arial" w:cs="Arial"/>
          <w:sz w:val="22"/>
        </w:rPr>
        <w:t xml:space="preserve"> o servicio adicional es distinto a la actividad </w:t>
      </w:r>
      <w:r w:rsidR="00587D51">
        <w:rPr>
          <w:rFonts w:ascii="Arial" w:eastAsia="Calibri" w:hAnsi="Arial" w:cs="Arial"/>
          <w:sz w:val="22"/>
        </w:rPr>
        <w:t>principal</w:t>
      </w:r>
      <w:r w:rsidR="003C07B0">
        <w:rPr>
          <w:rFonts w:ascii="Arial" w:eastAsia="Calibri" w:hAnsi="Arial" w:cs="Arial"/>
          <w:sz w:val="22"/>
        </w:rPr>
        <w:t>, aun cuando se relaciona con la infraestructura de transporte</w:t>
      </w:r>
      <w:r w:rsidR="00FD2A09">
        <w:rPr>
          <w:rFonts w:ascii="Arial" w:eastAsia="Calibri" w:hAnsi="Arial" w:cs="Arial"/>
          <w:sz w:val="22"/>
        </w:rPr>
        <w:t xml:space="preserve">– </w:t>
      </w:r>
      <w:r w:rsidR="00FD2A09" w:rsidRPr="009F035A">
        <w:rPr>
          <w:rFonts w:ascii="Arial" w:eastAsia="Calibri" w:hAnsi="Arial" w:cs="Arial"/>
          <w:i/>
          <w:iCs/>
          <w:sz w:val="22"/>
        </w:rPr>
        <w:t>v. gr</w:t>
      </w:r>
      <w:r w:rsidR="00FD2A09">
        <w:rPr>
          <w:rFonts w:ascii="Arial" w:eastAsia="Calibri" w:hAnsi="Arial" w:cs="Arial"/>
          <w:sz w:val="22"/>
        </w:rPr>
        <w:t>., cuando se requiere que el contratista realice los estudios y diseños de la obra–. En supuestos como los indicados es posible que la entidad exija experiencia adicional para acreditar la idoneidad del contratista en la ejecución de estos bienes o servicios adicionales a la obra de infraestructura de transporte.</w:t>
      </w:r>
    </w:p>
    <w:bookmarkEnd w:id="10"/>
    <w:p w14:paraId="3E69A18C" w14:textId="34FED57A" w:rsidR="003C07B0" w:rsidRDefault="00781902" w:rsidP="003C07B0">
      <w:pPr>
        <w:spacing w:before="120" w:after="120" w:line="276" w:lineRule="auto"/>
        <w:ind w:firstLine="709"/>
        <w:jc w:val="both"/>
        <w:rPr>
          <w:rFonts w:ascii="Arial" w:eastAsia="Calibri" w:hAnsi="Arial" w:cs="Arial"/>
          <w:sz w:val="22"/>
        </w:rPr>
      </w:pPr>
      <w:r>
        <w:rPr>
          <w:rFonts w:ascii="Arial" w:eastAsia="Calibri" w:hAnsi="Arial" w:cs="Arial"/>
          <w:sz w:val="22"/>
        </w:rPr>
        <w:t>Al respecto</w:t>
      </w:r>
      <w:r w:rsidR="003C07B0">
        <w:rPr>
          <w:rFonts w:ascii="Arial" w:eastAsia="Calibri" w:hAnsi="Arial" w:cs="Arial"/>
          <w:sz w:val="22"/>
        </w:rPr>
        <w:t>,</w:t>
      </w:r>
      <w:r>
        <w:rPr>
          <w:rFonts w:ascii="Arial" w:eastAsia="Calibri" w:hAnsi="Arial" w:cs="Arial"/>
          <w:sz w:val="22"/>
        </w:rPr>
        <w:t xml:space="preserve"> es importante tener en cuenta que</w:t>
      </w:r>
      <w:r w:rsidR="003C07B0">
        <w:rPr>
          <w:rFonts w:ascii="Arial" w:eastAsia="Calibri" w:hAnsi="Arial" w:cs="Arial"/>
          <w:sz w:val="22"/>
        </w:rPr>
        <w:t xml:space="preserve"> la regla de la inalterabilidad de los </w:t>
      </w:r>
      <w:r w:rsidR="00DC7CD3">
        <w:rPr>
          <w:rFonts w:ascii="Arial" w:eastAsia="Calibri" w:hAnsi="Arial" w:cs="Arial"/>
          <w:sz w:val="22"/>
        </w:rPr>
        <w:t>documentos tipo</w:t>
      </w:r>
      <w:r w:rsidR="001D2849">
        <w:rPr>
          <w:rFonts w:ascii="Arial" w:eastAsia="Calibri" w:hAnsi="Arial" w:cs="Arial"/>
          <w:sz w:val="22"/>
        </w:rPr>
        <w:t xml:space="preserve"> </w:t>
      </w:r>
      <w:r w:rsidR="003C07B0">
        <w:rPr>
          <w:rFonts w:ascii="Arial" w:eastAsia="Calibri" w:hAnsi="Arial" w:cs="Arial"/>
          <w:sz w:val="22"/>
        </w:rPr>
        <w:t xml:space="preserve">se fundamenta en </w:t>
      </w:r>
      <w:r w:rsidR="00233094">
        <w:rPr>
          <w:rFonts w:ascii="Arial" w:eastAsia="Calibri" w:hAnsi="Arial" w:cs="Arial"/>
          <w:sz w:val="22"/>
        </w:rPr>
        <w:t>los</w:t>
      </w:r>
      <w:r w:rsidR="000370F9">
        <w:rPr>
          <w:rFonts w:ascii="Arial" w:eastAsia="Calibri" w:hAnsi="Arial" w:cs="Arial"/>
          <w:sz w:val="22"/>
        </w:rPr>
        <w:t xml:space="preserve"> artículo</w:t>
      </w:r>
      <w:r w:rsidR="00233094">
        <w:rPr>
          <w:rFonts w:ascii="Arial" w:eastAsia="Calibri" w:hAnsi="Arial" w:cs="Arial"/>
          <w:sz w:val="22"/>
        </w:rPr>
        <w:t>s 2 y</w:t>
      </w:r>
      <w:r w:rsidR="000370F9">
        <w:rPr>
          <w:rFonts w:ascii="Arial" w:eastAsia="Calibri" w:hAnsi="Arial" w:cs="Arial"/>
          <w:sz w:val="22"/>
        </w:rPr>
        <w:t xml:space="preserve"> 3 de la Resolución 240 del 27 de noviembre de 2020, </w:t>
      </w:r>
      <w:r w:rsidR="00233094">
        <w:rPr>
          <w:rFonts w:ascii="Arial" w:eastAsia="Calibri" w:hAnsi="Arial" w:cs="Arial"/>
          <w:sz w:val="22"/>
        </w:rPr>
        <w:t xml:space="preserve">que </w:t>
      </w:r>
      <w:r w:rsidR="003C07B0">
        <w:rPr>
          <w:rFonts w:ascii="Arial" w:eastAsia="Calibri" w:hAnsi="Arial" w:cs="Arial"/>
          <w:sz w:val="22"/>
        </w:rPr>
        <w:t>dispone</w:t>
      </w:r>
      <w:r w:rsidR="00233094">
        <w:rPr>
          <w:rFonts w:ascii="Arial" w:eastAsia="Calibri" w:hAnsi="Arial" w:cs="Arial"/>
          <w:sz w:val="22"/>
        </w:rPr>
        <w:t>n la obligatoriedad de los documentos tipo y</w:t>
      </w:r>
      <w:r w:rsidR="003C07B0">
        <w:rPr>
          <w:rFonts w:ascii="Arial" w:eastAsia="Calibri" w:hAnsi="Arial" w:cs="Arial"/>
          <w:sz w:val="22"/>
        </w:rPr>
        <w:t xml:space="preserve"> que las entidades contratantes no podrán incluir o modificar dentro de los documentos del proceso las condiciones habilitantes, los factores técnicos y económicos de escogencia y los sistemas de ponderación señalados en los documentos tipo</w:t>
      </w:r>
      <w:r w:rsidR="003C07B0">
        <w:rPr>
          <w:rStyle w:val="Refdenotaalpie"/>
          <w:rFonts w:ascii="Arial" w:eastAsia="Calibri" w:hAnsi="Arial" w:cs="Arial"/>
          <w:sz w:val="22"/>
        </w:rPr>
        <w:footnoteReference w:id="3"/>
      </w:r>
      <w:r w:rsidR="003C07B0">
        <w:rPr>
          <w:rFonts w:ascii="Arial" w:eastAsia="Calibri" w:hAnsi="Arial" w:cs="Arial"/>
          <w:sz w:val="22"/>
        </w:rPr>
        <w:t xml:space="preserve">. </w:t>
      </w:r>
    </w:p>
    <w:p w14:paraId="185FAA12" w14:textId="65945D92" w:rsidR="003C07B0" w:rsidRDefault="001D2849" w:rsidP="00446F1D">
      <w:pPr>
        <w:spacing w:before="120" w:line="276" w:lineRule="auto"/>
        <w:ind w:firstLine="709"/>
        <w:jc w:val="both"/>
        <w:rPr>
          <w:rFonts w:ascii="Arial" w:eastAsia="Calibri" w:hAnsi="Arial" w:cs="Arial"/>
          <w:sz w:val="22"/>
        </w:rPr>
      </w:pPr>
      <w:r>
        <w:rPr>
          <w:rFonts w:ascii="Arial" w:eastAsia="Calibri" w:hAnsi="Arial" w:cs="Arial"/>
          <w:sz w:val="22"/>
        </w:rPr>
        <w:t>Además</w:t>
      </w:r>
      <w:r w:rsidR="003C07B0">
        <w:rPr>
          <w:rFonts w:ascii="Arial" w:eastAsia="Calibri" w:hAnsi="Arial" w:cs="Arial"/>
          <w:sz w:val="22"/>
        </w:rPr>
        <w:t>, la parte introductoria de los documentos tipo señala que los aspectos incluidos en corchetes y resaltado gris deben diligencia</w:t>
      </w:r>
      <w:r w:rsidR="007F6BAE">
        <w:rPr>
          <w:rFonts w:ascii="Arial" w:eastAsia="Calibri" w:hAnsi="Arial" w:cs="Arial"/>
          <w:sz w:val="22"/>
        </w:rPr>
        <w:t>rse</w:t>
      </w:r>
      <w:r w:rsidR="003C07B0">
        <w:rPr>
          <w:rFonts w:ascii="Arial" w:eastAsia="Calibri" w:hAnsi="Arial" w:cs="Arial"/>
          <w:sz w:val="22"/>
        </w:rPr>
        <w:t xml:space="preserve"> por la entidad. Es así como en cada acápite que esté resaltado en gris </w:t>
      </w:r>
      <w:r w:rsidR="009E6883">
        <w:rPr>
          <w:rFonts w:ascii="Arial" w:eastAsia="Calibri" w:hAnsi="Arial" w:cs="Arial"/>
          <w:sz w:val="22"/>
        </w:rPr>
        <w:t xml:space="preserve">la entidad </w:t>
      </w:r>
      <w:r w:rsidR="003C07B0">
        <w:rPr>
          <w:rFonts w:ascii="Arial" w:eastAsia="Calibri" w:hAnsi="Arial" w:cs="Arial"/>
          <w:sz w:val="22"/>
        </w:rPr>
        <w:t xml:space="preserve">tendrá la libertad de determinar la información que se diligenciará en los documentos tipo. Esto de acuerdo con su necesidad y las instrucciones </w:t>
      </w:r>
      <w:r w:rsidR="00E93BAA">
        <w:rPr>
          <w:rFonts w:ascii="Arial" w:eastAsia="Calibri" w:hAnsi="Arial" w:cs="Arial"/>
          <w:sz w:val="22"/>
        </w:rPr>
        <w:t>d</w:t>
      </w:r>
      <w:r w:rsidR="003C07B0">
        <w:rPr>
          <w:rFonts w:ascii="Arial" w:eastAsia="Calibri" w:hAnsi="Arial" w:cs="Arial"/>
          <w:sz w:val="22"/>
        </w:rPr>
        <w:t xml:space="preserve">el pliego. Por consiguiente, para solicitar </w:t>
      </w:r>
      <w:r w:rsidR="00C1265D">
        <w:rPr>
          <w:rFonts w:ascii="Arial" w:eastAsia="Calibri" w:hAnsi="Arial" w:cs="Arial"/>
          <w:sz w:val="22"/>
        </w:rPr>
        <w:t xml:space="preserve">experiencia frente a </w:t>
      </w:r>
      <w:r w:rsidR="003C07B0">
        <w:rPr>
          <w:rFonts w:ascii="Arial" w:eastAsia="Calibri" w:hAnsi="Arial" w:cs="Arial"/>
          <w:sz w:val="22"/>
        </w:rPr>
        <w:t xml:space="preserve">bienes o </w:t>
      </w:r>
      <w:r w:rsidR="003C07B0">
        <w:rPr>
          <w:rFonts w:ascii="Arial" w:eastAsia="Calibri" w:hAnsi="Arial" w:cs="Arial"/>
          <w:sz w:val="22"/>
        </w:rPr>
        <w:lastRenderedPageBreak/>
        <w:t xml:space="preserve">servicios adicionales que no se encuentren contemplados en la «Matriz 1 – Experiencia», el literal </w:t>
      </w:r>
      <w:r w:rsidR="009476DF">
        <w:rPr>
          <w:rFonts w:ascii="Arial" w:eastAsia="Calibri" w:hAnsi="Arial" w:cs="Arial"/>
          <w:sz w:val="22"/>
        </w:rPr>
        <w:t>H</w:t>
      </w:r>
      <w:r w:rsidR="003C07B0">
        <w:rPr>
          <w:rFonts w:ascii="Arial" w:eastAsia="Calibri" w:hAnsi="Arial" w:cs="Arial"/>
          <w:sz w:val="22"/>
        </w:rPr>
        <w:t xml:space="preserve"> del numeral 3.5.</w:t>
      </w:r>
      <w:r w:rsidR="009476DF">
        <w:rPr>
          <w:rFonts w:ascii="Arial" w:eastAsia="Calibri" w:hAnsi="Arial" w:cs="Arial"/>
          <w:sz w:val="22"/>
        </w:rPr>
        <w:t>2</w:t>
      </w:r>
      <w:r w:rsidR="003C07B0">
        <w:rPr>
          <w:rFonts w:ascii="Arial" w:eastAsia="Calibri" w:hAnsi="Arial" w:cs="Arial"/>
          <w:sz w:val="22"/>
        </w:rPr>
        <w:t xml:space="preserve"> del </w:t>
      </w:r>
      <w:r w:rsidR="00D83687">
        <w:rPr>
          <w:rFonts w:ascii="Arial" w:eastAsia="Calibri" w:hAnsi="Arial" w:cs="Arial"/>
          <w:sz w:val="22"/>
        </w:rPr>
        <w:t>documento base</w:t>
      </w:r>
      <w:r w:rsidR="00E93BAA">
        <w:rPr>
          <w:rFonts w:ascii="Arial" w:eastAsia="Calibri" w:hAnsi="Arial" w:cs="Arial"/>
          <w:sz w:val="22"/>
        </w:rPr>
        <w:t xml:space="preserve"> dispone lo siguiente</w:t>
      </w:r>
      <w:r w:rsidR="003C07B0">
        <w:rPr>
          <w:rFonts w:ascii="Arial" w:eastAsia="Calibri" w:hAnsi="Arial" w:cs="Arial"/>
          <w:sz w:val="22"/>
        </w:rPr>
        <w:t>:</w:t>
      </w:r>
    </w:p>
    <w:p w14:paraId="290C410B" w14:textId="77777777" w:rsidR="003C07B0" w:rsidRDefault="003C07B0" w:rsidP="003C07B0">
      <w:pPr>
        <w:spacing w:line="276" w:lineRule="auto"/>
        <w:ind w:firstLine="708"/>
        <w:jc w:val="both"/>
        <w:rPr>
          <w:rFonts w:ascii="Arial" w:eastAsia="Calibri" w:hAnsi="Arial" w:cs="Arial"/>
          <w:sz w:val="22"/>
        </w:rPr>
      </w:pPr>
    </w:p>
    <w:p w14:paraId="562807EE" w14:textId="1EBCB1A8" w:rsidR="003C07B0" w:rsidRDefault="003C07B0" w:rsidP="009F035A">
      <w:pPr>
        <w:ind w:left="709" w:right="709"/>
        <w:jc w:val="both"/>
        <w:rPr>
          <w:rFonts w:ascii="Arial" w:eastAsia="Calibri" w:hAnsi="Arial" w:cs="Arial"/>
          <w:sz w:val="21"/>
          <w:szCs w:val="21"/>
          <w:highlight w:val="lightGray"/>
        </w:rPr>
      </w:pPr>
      <w:r>
        <w:rPr>
          <w:rFonts w:ascii="Arial" w:eastAsia="Calibri" w:hAnsi="Arial" w:cs="Arial"/>
          <w:sz w:val="21"/>
          <w:szCs w:val="21"/>
          <w:highlight w:val="lightGray"/>
        </w:rPr>
        <w:t>[Cuando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2.2.1.2.6.1.5 del Decreto 1082 de 2015.</w:t>
      </w:r>
    </w:p>
    <w:p w14:paraId="704A007D" w14:textId="77777777" w:rsidR="00EE0373" w:rsidRDefault="00EE0373" w:rsidP="00EE0373">
      <w:pPr>
        <w:ind w:left="709" w:right="709"/>
        <w:jc w:val="both"/>
        <w:rPr>
          <w:rFonts w:ascii="Arial" w:eastAsia="Calibri" w:hAnsi="Arial" w:cs="Arial"/>
          <w:sz w:val="21"/>
          <w:szCs w:val="21"/>
          <w:highlight w:val="lightGray"/>
        </w:rPr>
      </w:pPr>
    </w:p>
    <w:p w14:paraId="58C5137F" w14:textId="1AACBFE2" w:rsidR="003C07B0" w:rsidRDefault="003C07B0" w:rsidP="009F035A">
      <w:pPr>
        <w:ind w:left="709" w:right="709"/>
        <w:jc w:val="both"/>
        <w:rPr>
          <w:rFonts w:ascii="Arial" w:eastAsia="Calibri" w:hAnsi="Arial" w:cs="Arial"/>
          <w:sz w:val="21"/>
          <w:szCs w:val="21"/>
          <w:highlight w:val="lightGray"/>
        </w:rPr>
      </w:pPr>
      <w:r>
        <w:rPr>
          <w:rFonts w:ascii="Arial" w:eastAsia="Calibri" w:hAnsi="Arial" w:cs="Arial"/>
          <w:sz w:val="21"/>
          <w:szCs w:val="21"/>
          <w:highlight w:val="lightGray"/>
        </w:rPr>
        <w:t>Conforme a esta disposición, la Entidad no puede requerir experiencia adicional que incluya volúmenes o cantidades de obra específica expresadas en SMMLV]</w:t>
      </w:r>
    </w:p>
    <w:p w14:paraId="759E9DC4" w14:textId="77777777" w:rsidR="00EE0373" w:rsidRDefault="00EE0373" w:rsidP="00EE0373">
      <w:pPr>
        <w:ind w:left="709" w:right="709"/>
        <w:jc w:val="both"/>
        <w:rPr>
          <w:rFonts w:ascii="Arial" w:eastAsia="Calibri" w:hAnsi="Arial" w:cs="Arial"/>
          <w:sz w:val="21"/>
          <w:szCs w:val="21"/>
          <w:highlight w:val="lightGray"/>
        </w:rPr>
      </w:pPr>
    </w:p>
    <w:p w14:paraId="1B89C768" w14:textId="6201AEDF" w:rsidR="003C07B0" w:rsidRDefault="003C07B0" w:rsidP="009F035A">
      <w:pPr>
        <w:ind w:left="709" w:right="709"/>
        <w:jc w:val="both"/>
        <w:rPr>
          <w:rFonts w:ascii="Arial" w:eastAsia="Calibri" w:hAnsi="Arial" w:cs="Arial"/>
          <w:sz w:val="21"/>
          <w:szCs w:val="21"/>
        </w:rPr>
      </w:pPr>
      <w:r>
        <w:rPr>
          <w:rFonts w:ascii="Arial" w:eastAsia="Calibri" w:hAnsi="Arial" w:cs="Arial"/>
          <w:sz w:val="21"/>
          <w:szCs w:val="21"/>
          <w:highlight w:val="lightGray"/>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0FB39336" w14:textId="77777777" w:rsidR="003C07B0" w:rsidRDefault="003C07B0" w:rsidP="003C07B0">
      <w:pPr>
        <w:spacing w:line="276" w:lineRule="auto"/>
        <w:ind w:firstLine="708"/>
        <w:jc w:val="both"/>
        <w:rPr>
          <w:rFonts w:ascii="Arial" w:eastAsia="Calibri" w:hAnsi="Arial" w:cs="Arial"/>
          <w:sz w:val="22"/>
        </w:rPr>
      </w:pPr>
    </w:p>
    <w:p w14:paraId="17A0C09E" w14:textId="133CBEA1" w:rsidR="00DE76B5" w:rsidRDefault="003C07B0" w:rsidP="000370F9">
      <w:pPr>
        <w:spacing w:after="120" w:line="276" w:lineRule="auto"/>
        <w:ind w:firstLine="709"/>
        <w:jc w:val="both"/>
        <w:rPr>
          <w:rFonts w:ascii="Arial" w:eastAsia="Calibri" w:hAnsi="Arial" w:cs="Arial"/>
          <w:sz w:val="22"/>
        </w:rPr>
      </w:pPr>
      <w:bookmarkStart w:id="11" w:name="_Hlk61699623"/>
      <w:r>
        <w:rPr>
          <w:rFonts w:ascii="Arial" w:eastAsia="Calibri" w:hAnsi="Arial" w:cs="Arial"/>
          <w:sz w:val="22"/>
        </w:rPr>
        <w:t xml:space="preserve">Conforme </w:t>
      </w:r>
      <w:r w:rsidR="00233094">
        <w:rPr>
          <w:rFonts w:ascii="Arial" w:eastAsia="Calibri" w:hAnsi="Arial" w:cs="Arial"/>
          <w:sz w:val="22"/>
        </w:rPr>
        <w:t>con</w:t>
      </w:r>
      <w:r>
        <w:rPr>
          <w:rFonts w:ascii="Arial" w:eastAsia="Calibri" w:hAnsi="Arial" w:cs="Arial"/>
          <w:sz w:val="22"/>
        </w:rPr>
        <w:t xml:space="preserve"> lo anterior, la regla general frente a la aplicación del documento base es su inalterabilidad</w:t>
      </w:r>
      <w:r w:rsidR="00F80A04">
        <w:rPr>
          <w:rFonts w:ascii="Arial" w:eastAsia="Calibri" w:hAnsi="Arial" w:cs="Arial"/>
          <w:sz w:val="22"/>
        </w:rPr>
        <w:t>, pues</w:t>
      </w:r>
      <w:r>
        <w:rPr>
          <w:rFonts w:ascii="Arial" w:eastAsia="Calibri" w:hAnsi="Arial" w:cs="Arial"/>
          <w:sz w:val="22"/>
        </w:rPr>
        <w:t xml:space="preserve"> no se podrán incluir o modificar dentro de los documentos del proceso las condiciones habilitantes, los factores técnicos y económicos de escogencia y los sistemas de ponderación señalados en los documentos tipo</w:t>
      </w:r>
      <w:r w:rsidR="00D83687">
        <w:rPr>
          <w:rFonts w:ascii="Arial" w:eastAsia="Calibri" w:hAnsi="Arial" w:cs="Arial"/>
          <w:sz w:val="22"/>
        </w:rPr>
        <w:t>, s</w:t>
      </w:r>
      <w:r>
        <w:rPr>
          <w:rFonts w:ascii="Arial" w:eastAsia="Calibri" w:hAnsi="Arial" w:cs="Arial"/>
          <w:sz w:val="22"/>
        </w:rPr>
        <w:t xml:space="preserve">alvo lo previsto en </w:t>
      </w:r>
      <w:r w:rsidR="00AD76C2">
        <w:rPr>
          <w:rFonts w:ascii="Arial" w:eastAsia="Calibri" w:hAnsi="Arial" w:cs="Arial"/>
          <w:sz w:val="22"/>
        </w:rPr>
        <w:t xml:space="preserve">el artículo </w:t>
      </w:r>
      <w:r w:rsidR="00233094">
        <w:rPr>
          <w:rFonts w:ascii="Arial" w:eastAsia="Calibri" w:hAnsi="Arial" w:cs="Arial"/>
          <w:sz w:val="22"/>
        </w:rPr>
        <w:t>4</w:t>
      </w:r>
      <w:r w:rsidR="00AD76C2">
        <w:rPr>
          <w:rFonts w:ascii="Arial" w:eastAsia="Calibri" w:hAnsi="Arial" w:cs="Arial"/>
          <w:sz w:val="22"/>
        </w:rPr>
        <w:t xml:space="preserve"> de la Resolución 240 del 27 de noviembre de 2020</w:t>
      </w:r>
      <w:r w:rsidR="00D83687">
        <w:rPr>
          <w:rFonts w:ascii="Arial" w:eastAsia="Calibri" w:hAnsi="Arial" w:cs="Arial"/>
          <w:sz w:val="22"/>
        </w:rPr>
        <w:t xml:space="preserve">. Por tanto, </w:t>
      </w:r>
      <w:r>
        <w:rPr>
          <w:rFonts w:ascii="Arial" w:eastAsia="Calibri" w:hAnsi="Arial" w:cs="Arial"/>
          <w:sz w:val="22"/>
        </w:rPr>
        <w:t>si el objeto contractual incluye bienes o servicios ajenos a la obra pública de infraestructura de transporte,</w:t>
      </w:r>
      <w:r w:rsidR="00C1265D">
        <w:rPr>
          <w:rFonts w:ascii="Arial" w:eastAsia="Calibri" w:hAnsi="Arial" w:cs="Arial"/>
          <w:sz w:val="22"/>
        </w:rPr>
        <w:t xml:space="preserve"> de allí</w:t>
      </w:r>
      <w:r>
        <w:rPr>
          <w:rFonts w:ascii="Arial" w:eastAsia="Calibri" w:hAnsi="Arial" w:cs="Arial"/>
          <w:sz w:val="22"/>
        </w:rPr>
        <w:t xml:space="preserve"> </w:t>
      </w:r>
      <w:r w:rsidR="001D2849">
        <w:rPr>
          <w:rFonts w:ascii="Arial" w:eastAsia="Calibri" w:hAnsi="Arial" w:cs="Arial"/>
          <w:sz w:val="22"/>
        </w:rPr>
        <w:t>solo</w:t>
      </w:r>
      <w:r w:rsidR="00C1265D">
        <w:rPr>
          <w:rFonts w:ascii="Arial" w:eastAsia="Calibri" w:hAnsi="Arial" w:cs="Arial"/>
          <w:sz w:val="22"/>
        </w:rPr>
        <w:t xml:space="preserve"> se deriva que</w:t>
      </w:r>
      <w:r w:rsidR="001D2849">
        <w:rPr>
          <w:rFonts w:ascii="Arial" w:eastAsia="Calibri" w:hAnsi="Arial" w:cs="Arial"/>
          <w:sz w:val="22"/>
        </w:rPr>
        <w:t xml:space="preserve"> </w:t>
      </w:r>
      <w:r>
        <w:rPr>
          <w:rFonts w:ascii="Arial" w:eastAsia="Calibri" w:hAnsi="Arial" w:cs="Arial"/>
          <w:sz w:val="22"/>
        </w:rPr>
        <w:t>podrá incluir</w:t>
      </w:r>
      <w:r w:rsidR="00446F1D">
        <w:rPr>
          <w:rFonts w:ascii="Arial" w:eastAsia="Calibri" w:hAnsi="Arial" w:cs="Arial"/>
          <w:sz w:val="22"/>
        </w:rPr>
        <w:t>se la</w:t>
      </w:r>
      <w:r>
        <w:rPr>
          <w:rFonts w:ascii="Arial" w:eastAsia="Calibri" w:hAnsi="Arial" w:cs="Arial"/>
          <w:sz w:val="22"/>
        </w:rPr>
        <w:t xml:space="preserve"> experiencia adicional</w:t>
      </w:r>
      <w:r w:rsidR="00C1265D">
        <w:rPr>
          <w:rFonts w:ascii="Arial" w:eastAsia="Calibri" w:hAnsi="Arial" w:cs="Arial"/>
          <w:sz w:val="22"/>
        </w:rPr>
        <w:t xml:space="preserve"> que se considere conveniente, atendiendo a las reglas explicadas con anterioridad</w:t>
      </w:r>
      <w:r>
        <w:rPr>
          <w:rFonts w:ascii="Arial" w:eastAsia="Calibri" w:hAnsi="Arial" w:cs="Arial"/>
          <w:sz w:val="22"/>
        </w:rPr>
        <w:t>.</w:t>
      </w:r>
    </w:p>
    <w:p w14:paraId="27134700" w14:textId="466BE22E" w:rsidR="004C1FCB" w:rsidRDefault="004C1FCB" w:rsidP="004C1FCB">
      <w:pPr>
        <w:spacing w:after="120" w:line="276" w:lineRule="auto"/>
        <w:ind w:firstLine="708"/>
        <w:jc w:val="both"/>
        <w:rPr>
          <w:rFonts w:ascii="Arial" w:eastAsia="Calibri" w:hAnsi="Arial" w:cs="Arial"/>
          <w:sz w:val="22"/>
        </w:rPr>
      </w:pPr>
      <w:bookmarkStart w:id="12" w:name="_Hlk67927605"/>
      <w:r>
        <w:rPr>
          <w:rFonts w:ascii="Arial" w:eastAsia="Calibri" w:hAnsi="Arial" w:cs="Arial"/>
          <w:sz w:val="22"/>
        </w:rPr>
        <w:t>En la consulta se indaga en torno la posibilidad de exigir experiencia adicional para evaluar la idoneidad del contratista respecto del mantenimiento de la maquinaria–de propiedad de la entidad contratante– que</w:t>
      </w:r>
      <w:r w:rsidR="008C029C">
        <w:rPr>
          <w:rFonts w:ascii="Arial" w:eastAsia="Calibri" w:hAnsi="Arial" w:cs="Arial"/>
          <w:sz w:val="22"/>
        </w:rPr>
        <w:t xml:space="preserve"> </w:t>
      </w:r>
      <w:r>
        <w:rPr>
          <w:rFonts w:ascii="Arial" w:eastAsia="Calibri" w:hAnsi="Arial" w:cs="Arial"/>
          <w:sz w:val="22"/>
        </w:rPr>
        <w:t>utilizará el contratista para</w:t>
      </w:r>
      <w:r w:rsidR="008C029C">
        <w:rPr>
          <w:rFonts w:ascii="Arial" w:eastAsia="Calibri" w:hAnsi="Arial" w:cs="Arial"/>
          <w:sz w:val="22"/>
        </w:rPr>
        <w:t xml:space="preserve"> realizar las actividades de</w:t>
      </w:r>
      <w:r>
        <w:rPr>
          <w:rFonts w:ascii="Arial" w:eastAsia="Calibri" w:hAnsi="Arial" w:cs="Arial"/>
          <w:sz w:val="22"/>
        </w:rPr>
        <w:t xml:space="preserve"> mantenimiento </w:t>
      </w:r>
      <w:r w:rsidR="00542DA4">
        <w:rPr>
          <w:rFonts w:ascii="Arial" w:eastAsia="Calibri" w:hAnsi="Arial" w:cs="Arial"/>
          <w:sz w:val="22"/>
        </w:rPr>
        <w:t>de</w:t>
      </w:r>
      <w:r>
        <w:rPr>
          <w:rFonts w:ascii="Arial" w:eastAsia="Calibri" w:hAnsi="Arial" w:cs="Arial"/>
          <w:sz w:val="22"/>
        </w:rPr>
        <w:t xml:space="preserve"> una vía terciaria. Al respecto, es necesario distinguir dos posibles </w:t>
      </w:r>
      <w:r w:rsidR="0088260D">
        <w:rPr>
          <w:rFonts w:ascii="Arial" w:eastAsia="Calibri" w:hAnsi="Arial" w:cs="Arial"/>
          <w:sz w:val="22"/>
        </w:rPr>
        <w:t xml:space="preserve">escenarios: i) la entidad requiere contratar el mantenimiento de la maquinaria de su propiedad o ii) se necesita contratar, el mantenimiento de red vial terciaria y el mantenimiento de maquinaria propiedad del municipio que se usará para la ejecución del contrato. </w:t>
      </w:r>
    </w:p>
    <w:p w14:paraId="06C1B73F" w14:textId="6C014600" w:rsidR="0088260D" w:rsidRPr="001139CA" w:rsidRDefault="0088260D" w:rsidP="004C1FCB">
      <w:pPr>
        <w:spacing w:after="120" w:line="276" w:lineRule="auto"/>
        <w:ind w:firstLine="708"/>
        <w:jc w:val="both"/>
        <w:rPr>
          <w:rFonts w:ascii="Arial" w:eastAsia="Calibri" w:hAnsi="Arial" w:cs="Arial"/>
          <w:sz w:val="22"/>
        </w:rPr>
      </w:pPr>
      <w:r w:rsidRPr="001139CA">
        <w:rPr>
          <w:rFonts w:ascii="Arial" w:eastAsia="Calibri" w:hAnsi="Arial" w:cs="Arial"/>
          <w:sz w:val="22"/>
        </w:rPr>
        <w:t xml:space="preserve">El primero de estos escenarios no implica la aplicación de los documentos tipo en comento, ya </w:t>
      </w:r>
      <w:r w:rsidR="001139CA">
        <w:rPr>
          <w:rFonts w:ascii="Arial" w:eastAsia="Calibri" w:hAnsi="Arial" w:cs="Arial"/>
          <w:sz w:val="22"/>
        </w:rPr>
        <w:t xml:space="preserve">que </w:t>
      </w:r>
      <w:r w:rsidR="001139CA" w:rsidRPr="001139CA">
        <w:rPr>
          <w:rFonts w:ascii="Arial" w:eastAsia="Calibri" w:hAnsi="Arial" w:cs="Arial"/>
          <w:sz w:val="22"/>
        </w:rPr>
        <w:t>se trata de un</w:t>
      </w:r>
      <w:r w:rsidRPr="001139CA">
        <w:rPr>
          <w:rFonts w:ascii="Arial" w:eastAsia="Calibri" w:hAnsi="Arial" w:cs="Arial"/>
          <w:sz w:val="22"/>
        </w:rPr>
        <w:t xml:space="preserve"> mantenimiento sobre bienes muebles </w:t>
      </w:r>
      <w:r w:rsidR="001139CA" w:rsidRPr="001139CA">
        <w:rPr>
          <w:rFonts w:ascii="Arial" w:eastAsia="Calibri" w:hAnsi="Arial" w:cs="Arial"/>
          <w:sz w:val="22"/>
        </w:rPr>
        <w:t xml:space="preserve">tales </w:t>
      </w:r>
      <w:r w:rsidRPr="001139CA">
        <w:rPr>
          <w:rFonts w:ascii="Arial" w:eastAsia="Calibri" w:hAnsi="Arial" w:cs="Arial"/>
          <w:sz w:val="22"/>
        </w:rPr>
        <w:t>como la maquinaria de obra</w:t>
      </w:r>
      <w:r w:rsidR="001139CA" w:rsidRPr="001139CA">
        <w:rPr>
          <w:rFonts w:ascii="Arial" w:eastAsia="Calibri" w:hAnsi="Arial" w:cs="Arial"/>
          <w:sz w:val="22"/>
        </w:rPr>
        <w:t>, actividad que</w:t>
      </w:r>
      <w:r w:rsidRPr="001139CA">
        <w:rPr>
          <w:rFonts w:ascii="Arial" w:eastAsia="Calibri" w:hAnsi="Arial" w:cs="Arial"/>
          <w:sz w:val="22"/>
        </w:rPr>
        <w:t xml:space="preserve"> no constituye un contrato de obra pública de acuerdo a la definición del artículo 32 de la Ley 80 de 1993, que</w:t>
      </w:r>
      <w:r w:rsidR="001139CA" w:rsidRPr="001139CA">
        <w:rPr>
          <w:rFonts w:ascii="Arial" w:eastAsia="Calibri" w:hAnsi="Arial" w:cs="Arial"/>
          <w:sz w:val="22"/>
        </w:rPr>
        <w:t xml:space="preserve"> define el contratos de obra pública «[…]</w:t>
      </w:r>
      <w:r w:rsidR="001139CA" w:rsidRPr="009F035A">
        <w:rPr>
          <w:rFonts w:ascii="Arial" w:hAnsi="Arial" w:cs="Arial"/>
          <w:sz w:val="22"/>
        </w:rPr>
        <w:t xml:space="preserve"> los que celebren las entidades estatales para la construcción, mantenimiento, instalación y, en general, para la realización de cualquier otro trabajo material sobre bienes </w:t>
      </w:r>
      <w:r w:rsidR="001139CA" w:rsidRPr="009F035A">
        <w:rPr>
          <w:rFonts w:ascii="Arial" w:hAnsi="Arial" w:cs="Arial"/>
          <w:sz w:val="22"/>
        </w:rPr>
        <w:lastRenderedPageBreak/>
        <w:t>inmuebles»</w:t>
      </w:r>
      <w:r w:rsidRPr="001139CA">
        <w:rPr>
          <w:rStyle w:val="Refdenotaalpie"/>
          <w:rFonts w:ascii="Arial" w:eastAsia="Calibri" w:hAnsi="Arial" w:cs="Arial"/>
          <w:sz w:val="22"/>
        </w:rPr>
        <w:footnoteReference w:id="4"/>
      </w:r>
      <w:r w:rsidR="001139CA">
        <w:rPr>
          <w:rFonts w:ascii="Arial" w:hAnsi="Arial" w:cs="Arial"/>
          <w:sz w:val="22"/>
        </w:rPr>
        <w:t>. Esto significa que este contrato se encuentra por fuera del ámbito de aplicación de los documentos tipo</w:t>
      </w:r>
      <w:r w:rsidR="00542DA4">
        <w:rPr>
          <w:rFonts w:ascii="Arial" w:hAnsi="Arial" w:cs="Arial"/>
          <w:sz w:val="22"/>
        </w:rPr>
        <w:t xml:space="preserve"> de obra pública de infraestructura de transporte</w:t>
      </w:r>
      <w:r w:rsidR="001139CA">
        <w:rPr>
          <w:rFonts w:ascii="Arial" w:hAnsi="Arial" w:cs="Arial"/>
          <w:sz w:val="22"/>
        </w:rPr>
        <w:t xml:space="preserve">. </w:t>
      </w:r>
    </w:p>
    <w:p w14:paraId="317B74BB" w14:textId="6B484AD4" w:rsidR="001139CA" w:rsidRDefault="001139CA" w:rsidP="004C1FCB">
      <w:pPr>
        <w:spacing w:after="120" w:line="276" w:lineRule="auto"/>
        <w:ind w:firstLine="708"/>
        <w:jc w:val="both"/>
        <w:rPr>
          <w:rFonts w:ascii="Arial" w:eastAsia="Calibri" w:hAnsi="Arial" w:cs="Arial"/>
          <w:sz w:val="22"/>
        </w:rPr>
      </w:pPr>
      <w:r>
        <w:rPr>
          <w:rFonts w:ascii="Arial" w:eastAsia="Calibri" w:hAnsi="Arial" w:cs="Arial"/>
          <w:sz w:val="22"/>
        </w:rPr>
        <w:t>Por el contrario, el segundo escenario si implica la aplicación obligatoria de los documentos tipo. El objeto de este contrato, en lo relacionado con el mantenimiento de la vía terciaria, corresponde a la actividad 2.3 de la Matriz 1, relativa a «M</w:t>
      </w:r>
      <w:r w:rsidRPr="001139CA">
        <w:rPr>
          <w:rFonts w:ascii="Arial" w:eastAsia="Calibri" w:hAnsi="Arial" w:cs="Arial"/>
          <w:sz w:val="22"/>
        </w:rPr>
        <w:t>antenimiento o rehabilitación en vías terciarias</w:t>
      </w:r>
      <w:r>
        <w:rPr>
          <w:rFonts w:ascii="Arial" w:eastAsia="Calibri" w:hAnsi="Arial" w:cs="Arial"/>
          <w:sz w:val="22"/>
        </w:rPr>
        <w:t xml:space="preserve">». </w:t>
      </w:r>
      <w:r w:rsidR="008C4E4D">
        <w:rPr>
          <w:rFonts w:ascii="Arial" w:eastAsia="Calibri" w:hAnsi="Arial" w:cs="Arial"/>
          <w:sz w:val="22"/>
        </w:rPr>
        <w:t xml:space="preserve">Por ello, </w:t>
      </w:r>
      <w:r w:rsidR="0000104F">
        <w:rPr>
          <w:rFonts w:ascii="Arial" w:eastAsia="Calibri" w:hAnsi="Arial" w:cs="Arial"/>
          <w:sz w:val="22"/>
        </w:rPr>
        <w:t>l</w:t>
      </w:r>
      <w:r>
        <w:rPr>
          <w:rFonts w:ascii="Arial" w:eastAsia="Calibri" w:hAnsi="Arial" w:cs="Arial"/>
          <w:sz w:val="22"/>
        </w:rPr>
        <w:t xml:space="preserve">o relacionado con el mantenimiento de la maquinaria correspondería a un servicio adicional a la obra pública de infraestructura de transporte. </w:t>
      </w:r>
    </w:p>
    <w:p w14:paraId="56B65C4B" w14:textId="4F6BA1AC" w:rsidR="0088260D" w:rsidRDefault="001139CA" w:rsidP="009F035A">
      <w:pPr>
        <w:spacing w:line="276" w:lineRule="auto"/>
        <w:ind w:firstLine="708"/>
        <w:jc w:val="both"/>
        <w:rPr>
          <w:rFonts w:ascii="Arial" w:eastAsia="Calibri" w:hAnsi="Arial" w:cs="Arial"/>
          <w:i/>
          <w:iCs/>
          <w:sz w:val="22"/>
        </w:rPr>
      </w:pPr>
      <w:r>
        <w:rPr>
          <w:rFonts w:ascii="Arial" w:eastAsia="Calibri" w:hAnsi="Arial" w:cs="Arial"/>
          <w:sz w:val="22"/>
        </w:rPr>
        <w:t>Conforme a esto</w:t>
      </w:r>
      <w:r w:rsidR="00EE152D">
        <w:rPr>
          <w:rFonts w:ascii="Arial" w:eastAsia="Calibri" w:hAnsi="Arial" w:cs="Arial"/>
          <w:sz w:val="22"/>
        </w:rPr>
        <w:t xml:space="preserve">, la entidad contratante, para evaluar la idoneidad del proponente en lo relacionado con el mantenimiento de la vía terciaria debe aplicar los requisitos de experiencia estandarizados en la Matriz 1. En lo relacionado con el mantenimiento de la maquinaria, la entidad </w:t>
      </w:r>
      <w:r w:rsidR="00542DA4">
        <w:rPr>
          <w:rFonts w:ascii="Arial" w:eastAsia="Calibri" w:hAnsi="Arial" w:cs="Arial"/>
          <w:sz w:val="22"/>
        </w:rPr>
        <w:t>podrá,</w:t>
      </w:r>
      <w:r w:rsidR="00EE152D">
        <w:rPr>
          <w:rFonts w:ascii="Arial" w:eastAsia="Calibri" w:hAnsi="Arial" w:cs="Arial"/>
          <w:sz w:val="22"/>
        </w:rPr>
        <w:t xml:space="preserve"> configurar unos requisitos de experiencia que permitan verificar la idoneidad del proponente en cuanto a la prestación de este servicio adicional, los cuales deberán ser configurados aplicando los parámetros establecidos en el artículo 4 de la Resolución No. 240 de 2020, explicados </w:t>
      </w:r>
      <w:r w:rsidR="00EE152D" w:rsidRPr="009F035A">
        <w:rPr>
          <w:rFonts w:ascii="Arial" w:eastAsia="Calibri" w:hAnsi="Arial" w:cs="Arial"/>
          <w:i/>
          <w:iCs/>
          <w:sz w:val="22"/>
        </w:rPr>
        <w:t>supra.</w:t>
      </w:r>
    </w:p>
    <w:p w14:paraId="0C81D036" w14:textId="77777777" w:rsidR="00A122E7" w:rsidRDefault="00A122E7" w:rsidP="009F035A">
      <w:pPr>
        <w:spacing w:line="276" w:lineRule="auto"/>
        <w:ind w:firstLine="708"/>
        <w:jc w:val="both"/>
        <w:rPr>
          <w:rFonts w:ascii="Arial" w:eastAsia="Calibri" w:hAnsi="Arial" w:cs="Arial"/>
          <w:sz w:val="22"/>
        </w:rPr>
      </w:pPr>
    </w:p>
    <w:bookmarkEnd w:id="11"/>
    <w:bookmarkEnd w:id="12"/>
    <w:p w14:paraId="3A7BF0D6" w14:textId="77777777" w:rsidR="00585A49" w:rsidRPr="00BB0056" w:rsidRDefault="00585A49" w:rsidP="00585A49">
      <w:pPr>
        <w:pStyle w:val="Prrafodelista"/>
        <w:numPr>
          <w:ilvl w:val="0"/>
          <w:numId w:val="1"/>
        </w:numPr>
        <w:tabs>
          <w:tab w:val="left" w:pos="284"/>
        </w:tabs>
        <w:spacing w:line="276" w:lineRule="auto"/>
        <w:ind w:left="0" w:firstLine="0"/>
        <w:jc w:val="both"/>
        <w:rPr>
          <w:rFonts w:ascii="Arial" w:eastAsia="Calibri" w:hAnsi="Arial" w:cs="Arial"/>
          <w:sz w:val="22"/>
          <w:lang w:val="es-CO"/>
        </w:rPr>
      </w:pPr>
      <w:r w:rsidRPr="00BB0056">
        <w:rPr>
          <w:rFonts w:ascii="Arial" w:eastAsia="Calibri" w:hAnsi="Arial" w:cs="Arial"/>
          <w:b/>
          <w:sz w:val="22"/>
          <w:lang w:val="es-CO"/>
        </w:rPr>
        <w:t>Respuestas</w:t>
      </w:r>
    </w:p>
    <w:p w14:paraId="3FD30BB2" w14:textId="77777777" w:rsidR="00585A49" w:rsidRPr="00BB0056" w:rsidRDefault="00585A49" w:rsidP="00585A49">
      <w:pPr>
        <w:spacing w:line="276" w:lineRule="auto"/>
        <w:ind w:right="709"/>
        <w:jc w:val="both"/>
        <w:rPr>
          <w:rFonts w:ascii="Arial" w:eastAsia="Calibri" w:hAnsi="Arial" w:cs="Arial"/>
          <w:iCs/>
          <w:sz w:val="22"/>
          <w:lang w:val="es-CO"/>
        </w:rPr>
      </w:pPr>
    </w:p>
    <w:p w14:paraId="36A2A433" w14:textId="77777777" w:rsidR="00EE152D" w:rsidRPr="00D03B4E" w:rsidRDefault="00EE152D" w:rsidP="00EE152D">
      <w:pPr>
        <w:ind w:left="709" w:right="709"/>
        <w:jc w:val="both"/>
        <w:rPr>
          <w:rFonts w:ascii="Arial" w:hAnsi="Arial" w:cs="Arial"/>
          <w:sz w:val="21"/>
          <w:szCs w:val="21"/>
        </w:rPr>
      </w:pPr>
      <w:r w:rsidRPr="00D03B4E">
        <w:rPr>
          <w:rFonts w:ascii="Arial" w:eastAsia="Calibri" w:hAnsi="Arial" w:cs="Arial"/>
          <w:sz w:val="21"/>
          <w:szCs w:val="21"/>
        </w:rPr>
        <w:t>«</w:t>
      </w:r>
      <w:r w:rsidRPr="00D03B4E">
        <w:rPr>
          <w:rFonts w:ascii="Arial" w:hAnsi="Arial" w:cs="Arial"/>
          <w:sz w:val="21"/>
          <w:szCs w:val="21"/>
        </w:rPr>
        <w:t xml:space="preserve">El municipio de Monterrey Casanare requiere adelantar el mantenimiento rutinario de la malla vial rural (Terciaria), para cumplir con esta actividad el municipio cuenta con un Banco de maquinaria que incluye Motoniveladora, Vibro compactador, volquetas y Retro cargador pero dentro de su planta de personal no cuenta con personal para la operacion de los equipos ni para su mantenimiento, el municipio considera adelantar un proceso de contratación para que un oferente interesado realice el mantenimiento de la malla vial mediante la utilización del banco de maquinaria municipal, para este fin el proponente debe realizar el mantenimiento de los equipos y su operación mediante la adquisición de insumos (Combustibles, llantas y lubricantes) además de realizar mantenimiento correctivo al banco de maquinaria. </w:t>
      </w:r>
    </w:p>
    <w:p w14:paraId="188210A5" w14:textId="77777777" w:rsidR="00EE152D" w:rsidRDefault="00EE152D" w:rsidP="00EE152D">
      <w:pPr>
        <w:pStyle w:val="Default"/>
        <w:ind w:left="709" w:right="709"/>
        <w:jc w:val="both"/>
        <w:rPr>
          <w:rFonts w:eastAsia="Calibri"/>
          <w:color w:val="auto"/>
          <w:sz w:val="21"/>
          <w:szCs w:val="21"/>
        </w:rPr>
      </w:pPr>
    </w:p>
    <w:p w14:paraId="50C554CB" w14:textId="77777777" w:rsidR="00EE152D" w:rsidRDefault="00EE152D" w:rsidP="00EE152D">
      <w:pPr>
        <w:pStyle w:val="Default"/>
        <w:ind w:left="709" w:right="709"/>
        <w:jc w:val="both"/>
        <w:rPr>
          <w:rFonts w:eastAsia="Calibri"/>
          <w:color w:val="auto"/>
          <w:sz w:val="21"/>
          <w:szCs w:val="21"/>
        </w:rPr>
      </w:pPr>
      <w:r>
        <w:rPr>
          <w:rFonts w:eastAsia="Calibri"/>
          <w:color w:val="auto"/>
          <w:sz w:val="21"/>
          <w:szCs w:val="21"/>
        </w:rPr>
        <w:t>[…]</w:t>
      </w:r>
    </w:p>
    <w:p w14:paraId="3D52DB32" w14:textId="77777777" w:rsidR="00EE152D" w:rsidRDefault="00EE152D" w:rsidP="00EE152D">
      <w:pPr>
        <w:pStyle w:val="Default"/>
        <w:ind w:left="709" w:right="709"/>
        <w:jc w:val="both"/>
        <w:rPr>
          <w:rFonts w:eastAsia="Calibri"/>
          <w:color w:val="auto"/>
          <w:sz w:val="21"/>
          <w:szCs w:val="21"/>
        </w:rPr>
      </w:pPr>
    </w:p>
    <w:p w14:paraId="2EAFD2C6" w14:textId="77777777" w:rsidR="00EE152D" w:rsidRPr="00D03B4E" w:rsidRDefault="00EE152D" w:rsidP="00EE152D">
      <w:pPr>
        <w:pStyle w:val="Default"/>
        <w:ind w:left="709" w:right="709"/>
        <w:jc w:val="both"/>
        <w:rPr>
          <w:rFonts w:eastAsia="Calibri"/>
          <w:color w:val="auto"/>
          <w:sz w:val="21"/>
          <w:szCs w:val="21"/>
        </w:rPr>
      </w:pPr>
      <w:r w:rsidRPr="00D03B4E">
        <w:rPr>
          <w:rFonts w:eastAsia="Calibri"/>
          <w:color w:val="auto"/>
          <w:sz w:val="21"/>
          <w:szCs w:val="21"/>
        </w:rPr>
        <w:t xml:space="preserve">Puede el municipio de Monterrey Casanare solicitar a los oferentes experiencia adicional para el proceso selección, de manera que se garantice la idoneidad y experiencia de los posibles oferentes en el desarrollo de actividades de mantenimiento de maquinaria y equipos, se debe considerar que el Municipio de Monterrey al contar con el Banco de maquinaria reduce notoriamente el costo del mantenimiento al realizarlo con sus propios equipos, adicionalmente se debe considerar que el municipio no cuenta dentro de la planta de personal con los operadores vinculados que puedan desarrollar esta actividad».  </w:t>
      </w:r>
    </w:p>
    <w:p w14:paraId="137A21BB" w14:textId="77777777" w:rsidR="00DC06BD" w:rsidRDefault="00DC06BD" w:rsidP="00DC06BD">
      <w:pPr>
        <w:spacing w:after="120" w:line="276" w:lineRule="auto"/>
        <w:jc w:val="both"/>
        <w:rPr>
          <w:rFonts w:ascii="Arial" w:eastAsia="Calibri" w:hAnsi="Arial" w:cs="Arial"/>
          <w:sz w:val="22"/>
          <w:lang w:val="es-CO"/>
        </w:rPr>
      </w:pPr>
      <w:bookmarkStart w:id="13" w:name="_Hlk61701154"/>
      <w:bookmarkStart w:id="14" w:name="_Hlk57650395"/>
    </w:p>
    <w:p w14:paraId="5182F7C7" w14:textId="147F086A" w:rsidR="00585A49" w:rsidRDefault="00A122E7" w:rsidP="009F035A">
      <w:pPr>
        <w:spacing w:after="120" w:line="276" w:lineRule="auto"/>
        <w:ind w:firstLine="708"/>
        <w:jc w:val="both"/>
        <w:rPr>
          <w:rFonts w:ascii="Arial" w:eastAsia="Calibri" w:hAnsi="Arial" w:cs="Arial"/>
          <w:sz w:val="22"/>
        </w:rPr>
      </w:pPr>
      <w:r w:rsidRPr="009502D2">
        <w:rPr>
          <w:rFonts w:ascii="Arial" w:eastAsia="Calibri" w:hAnsi="Arial" w:cs="Arial"/>
          <w:sz w:val="22"/>
          <w:lang w:val="es-CO"/>
        </w:rPr>
        <w:t xml:space="preserve">Por las razones expuestas en la parte considerativa de este concepto, haciendo abstracción del caso particular expuesto </w:t>
      </w:r>
      <w:r>
        <w:rPr>
          <w:rFonts w:ascii="Arial" w:eastAsia="Calibri" w:hAnsi="Arial" w:cs="Arial"/>
          <w:sz w:val="22"/>
          <w:lang w:val="es-CO"/>
        </w:rPr>
        <w:t>en l</w:t>
      </w:r>
      <w:r w:rsidRPr="009502D2">
        <w:rPr>
          <w:rFonts w:ascii="Arial" w:eastAsia="Calibri" w:hAnsi="Arial" w:cs="Arial"/>
          <w:sz w:val="22"/>
          <w:lang w:val="es-CO"/>
        </w:rPr>
        <w:t>a consulta, se</w:t>
      </w:r>
      <w:r>
        <w:rPr>
          <w:rFonts w:ascii="Arial" w:eastAsia="Calibri" w:hAnsi="Arial" w:cs="Arial"/>
          <w:sz w:val="22"/>
          <w:lang w:val="es-CO"/>
        </w:rPr>
        <w:t xml:space="preserve"> aclara que </w:t>
      </w:r>
      <w:r>
        <w:rPr>
          <w:rFonts w:ascii="Arial" w:eastAsia="Calibri" w:hAnsi="Arial" w:cs="Arial"/>
          <w:sz w:val="22"/>
        </w:rPr>
        <w:t xml:space="preserve">cuando el objeto contractual incluye bienes o servicios adicionales a la obra pública de infraestructura de transporte la entidad </w:t>
      </w:r>
      <w:r>
        <w:rPr>
          <w:rFonts w:ascii="Arial" w:eastAsia="Calibri" w:hAnsi="Arial" w:cs="Arial"/>
          <w:i/>
          <w:iCs/>
          <w:sz w:val="22"/>
        </w:rPr>
        <w:t>puede</w:t>
      </w:r>
      <w:r>
        <w:rPr>
          <w:rFonts w:ascii="Arial" w:eastAsia="Calibri" w:hAnsi="Arial" w:cs="Arial"/>
          <w:sz w:val="22"/>
        </w:rPr>
        <w:t xml:space="preserve"> solicitar experiencia adicional</w:t>
      </w:r>
      <w:r w:rsidR="0009025B">
        <w:rPr>
          <w:rFonts w:ascii="Arial" w:eastAsia="Calibri" w:hAnsi="Arial" w:cs="Arial"/>
          <w:sz w:val="22"/>
        </w:rPr>
        <w:t xml:space="preserve"> con miras a evaluar la idoneidad del contratista</w:t>
      </w:r>
      <w:r w:rsidR="00D83C4A">
        <w:rPr>
          <w:rFonts w:ascii="Arial" w:eastAsia="Calibri" w:hAnsi="Arial" w:cs="Arial"/>
          <w:sz w:val="22"/>
        </w:rPr>
        <w:t>, siempre que la entidad cumpla con el deber de satisfacer  los siguientes parámetros:</w:t>
      </w:r>
      <w:r>
        <w:rPr>
          <w:rFonts w:ascii="Arial" w:eastAsia="Calibri" w:hAnsi="Arial" w:cs="Arial"/>
          <w:sz w:val="22"/>
        </w:rPr>
        <w:t xml:space="preserve"> i) la actividad que se requiere, si bien es una labor de obra, no está relacionada con la infraestructura de transporte, por ejemplo, la construcción de un parque recreativo cerca de la vía, y ii) el bien o servicio adicional es distinto a la actividad principal, aun cuando se relaciona con la infraestructura de transporte, v. gr., cuando se requieren el contratista realice los estudios y diseños de la obra. </w:t>
      </w:r>
      <w:r w:rsidR="00343DE0">
        <w:rPr>
          <w:rFonts w:ascii="Arial" w:eastAsia="Calibri" w:hAnsi="Arial" w:cs="Arial"/>
          <w:sz w:val="22"/>
        </w:rPr>
        <w:t>Se reitera que e</w:t>
      </w:r>
      <w:r>
        <w:rPr>
          <w:rFonts w:ascii="Arial" w:eastAsia="Calibri" w:hAnsi="Arial" w:cs="Arial"/>
          <w:sz w:val="22"/>
        </w:rPr>
        <w:t xml:space="preserve">n </w:t>
      </w:r>
      <w:r w:rsidR="00343DE0">
        <w:rPr>
          <w:rFonts w:ascii="Arial" w:eastAsia="Calibri" w:hAnsi="Arial" w:cs="Arial"/>
          <w:sz w:val="22"/>
        </w:rPr>
        <w:t xml:space="preserve">los </w:t>
      </w:r>
      <w:r>
        <w:rPr>
          <w:rFonts w:ascii="Arial" w:eastAsia="Calibri" w:hAnsi="Arial" w:cs="Arial"/>
          <w:sz w:val="22"/>
        </w:rPr>
        <w:t>supuestos como los indicados es posible que la entidad exija experiencia adicional para acreditar la idoneidad del contratista en la ejecución de los servicios adicionales a la obra de infraestructura de transporte</w:t>
      </w:r>
      <w:r w:rsidR="00542DA4">
        <w:rPr>
          <w:rFonts w:ascii="Arial" w:eastAsia="Calibri" w:hAnsi="Arial" w:cs="Arial"/>
          <w:sz w:val="22"/>
        </w:rPr>
        <w:t>, siempre que se</w:t>
      </w:r>
      <w:r w:rsidR="004A1AA8">
        <w:rPr>
          <w:rFonts w:ascii="Arial" w:eastAsia="Calibri" w:hAnsi="Arial" w:cs="Arial"/>
          <w:sz w:val="22"/>
        </w:rPr>
        <w:t xml:space="preserve"> apliquen los parámetros establecidos en el artículo 4 de Resolución No. 240 de 2020. </w:t>
      </w:r>
      <w:bookmarkEnd w:id="13"/>
    </w:p>
    <w:p w14:paraId="5F13BD4E" w14:textId="77777777" w:rsidR="00EE152D" w:rsidRPr="00696340" w:rsidRDefault="00EE152D" w:rsidP="00696340">
      <w:pPr>
        <w:spacing w:line="276" w:lineRule="auto"/>
        <w:jc w:val="both"/>
        <w:rPr>
          <w:rFonts w:ascii="Arial" w:eastAsia="Calibri" w:hAnsi="Arial" w:cs="Arial"/>
          <w:sz w:val="22"/>
        </w:rPr>
      </w:pPr>
    </w:p>
    <w:bookmarkEnd w:id="14"/>
    <w:p w14:paraId="28687B4A" w14:textId="77777777" w:rsidR="00585A49" w:rsidRPr="00BB0056" w:rsidRDefault="00585A49" w:rsidP="00585A49">
      <w:pPr>
        <w:spacing w:after="120" w:line="276" w:lineRule="auto"/>
        <w:jc w:val="both"/>
        <w:rPr>
          <w:rFonts w:ascii="Arial" w:eastAsia="Calibri" w:hAnsi="Arial" w:cs="Arial"/>
          <w:sz w:val="22"/>
          <w:lang w:val="es-CO"/>
        </w:rPr>
      </w:pPr>
      <w:r w:rsidRPr="00BB0056">
        <w:rPr>
          <w:rFonts w:ascii="Arial" w:eastAsia="Calibri" w:hAnsi="Arial" w:cs="Arial"/>
          <w:sz w:val="22"/>
          <w:lang w:val="es-CO"/>
        </w:rPr>
        <w:t>Este concepto tiene el alcance previsto en el artículo 28 del Código de Procedimiento Administrativo y de lo Contencioso Administrativo.</w:t>
      </w:r>
    </w:p>
    <w:p w14:paraId="4B4E923C" w14:textId="77777777" w:rsidR="00585A49" w:rsidRPr="00BB0056" w:rsidRDefault="00585A49" w:rsidP="00585A49">
      <w:pPr>
        <w:jc w:val="both"/>
        <w:rPr>
          <w:rFonts w:ascii="Arial" w:eastAsia="Calibri" w:hAnsi="Arial" w:cs="Arial"/>
          <w:sz w:val="22"/>
          <w:lang w:val="es-CO"/>
        </w:rPr>
      </w:pPr>
      <w:r w:rsidRPr="00BB0056">
        <w:rPr>
          <w:noProof/>
          <w:lang w:val="es-CO"/>
        </w:rPr>
        <mc:AlternateContent>
          <mc:Choice Requires="wps">
            <w:drawing>
              <wp:anchor distT="0" distB="0" distL="114300" distR="114300" simplePos="0" relativeHeight="251659264" behindDoc="0" locked="0" layoutInCell="1" allowOverlap="1" wp14:anchorId="568A4A2C" wp14:editId="124C615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6CE5F7"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04CE529" w14:textId="77777777" w:rsidR="00585A49" w:rsidRPr="00BB0056" w:rsidRDefault="00585A49" w:rsidP="00585A49">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410015CF" w14:textId="77777777" w:rsidR="00585A49" w:rsidRPr="00BB0056" w:rsidRDefault="00585A49" w:rsidP="00585A49">
      <w:pPr>
        <w:rPr>
          <w:rFonts w:ascii="Arial" w:eastAsia="Times New Roman" w:hAnsi="Arial" w:cs="Arial"/>
          <w:sz w:val="22"/>
          <w:lang w:val="es-CO" w:eastAsia="es-CO"/>
        </w:rPr>
      </w:pPr>
    </w:p>
    <w:p w14:paraId="3B517DB7" w14:textId="33096578" w:rsidR="00585A49" w:rsidRPr="00BB0056" w:rsidRDefault="0012691D" w:rsidP="00585A49">
      <w:pPr>
        <w:jc w:val="center"/>
        <w:rPr>
          <w:rFonts w:ascii="Arial" w:eastAsia="Times New Roman" w:hAnsi="Arial" w:cs="Arial"/>
          <w:sz w:val="22"/>
          <w:lang w:val="es-CO" w:eastAsia="es-CO"/>
        </w:rPr>
      </w:pPr>
      <w:r w:rsidRPr="00BE64CD">
        <w:rPr>
          <w:rFonts w:ascii="Arial" w:hAnsi="Arial" w:cs="Arial"/>
          <w:noProof/>
          <w:color w:val="000000"/>
        </w:rPr>
        <w:drawing>
          <wp:inline distT="0" distB="0" distL="0" distR="0" wp14:anchorId="5BBA5D7D" wp14:editId="17A1594F">
            <wp:extent cx="2600416" cy="1148861"/>
            <wp:effectExtent l="0" t="0" r="317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6105" cy="1160210"/>
                    </a:xfrm>
                    <a:prstGeom prst="rect">
                      <a:avLst/>
                    </a:prstGeom>
                    <a:noFill/>
                    <a:ln>
                      <a:noFill/>
                    </a:ln>
                  </pic:spPr>
                </pic:pic>
              </a:graphicData>
            </a:graphic>
          </wp:inline>
        </w:drawing>
      </w:r>
      <w:r w:rsidR="00585A49" w:rsidRPr="00BB0056">
        <w:rPr>
          <w:noProof/>
          <w:lang w:val="es-CO"/>
        </w:rPr>
        <w:t xml:space="preserve"> </w:t>
      </w:r>
    </w:p>
    <w:p w14:paraId="4050B550" w14:textId="77777777" w:rsidR="00585A49" w:rsidRPr="00BB0056" w:rsidRDefault="00585A49" w:rsidP="00585A49">
      <w:pPr>
        <w:rPr>
          <w:rFonts w:ascii="Arial" w:eastAsia="Times New Roman" w:hAnsi="Arial" w:cs="Arial"/>
          <w:sz w:val="22"/>
          <w:lang w:val="es-CO" w:eastAsia="es-CO"/>
        </w:rPr>
      </w:pPr>
    </w:p>
    <w:p w14:paraId="7348A41D" w14:textId="77777777" w:rsidR="00585A49" w:rsidRPr="00BB0056" w:rsidRDefault="00585A49" w:rsidP="00585A49">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85A49" w:rsidRPr="00BB0056" w14:paraId="32C5CE54" w14:textId="77777777" w:rsidTr="00954F8C">
        <w:trPr>
          <w:trHeight w:val="315"/>
        </w:trPr>
        <w:tc>
          <w:tcPr>
            <w:tcW w:w="488" w:type="dxa"/>
            <w:vAlign w:val="center"/>
            <w:hideMark/>
          </w:tcPr>
          <w:p w14:paraId="44CCD582"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49E916FA" w14:textId="1E6801DE" w:rsidR="00B77C23" w:rsidRDefault="00B77C23" w:rsidP="00954F8C">
            <w:pPr>
              <w:rPr>
                <w:rFonts w:ascii="Arial" w:eastAsia="Times New Roman" w:hAnsi="Arial" w:cs="Arial"/>
                <w:sz w:val="16"/>
                <w:szCs w:val="16"/>
                <w:lang w:val="es-CO" w:eastAsia="es-ES"/>
              </w:rPr>
            </w:pPr>
            <w:proofErr w:type="spellStart"/>
            <w:r w:rsidRPr="00B77C23">
              <w:rPr>
                <w:rFonts w:ascii="Arial" w:eastAsia="Times New Roman" w:hAnsi="Arial" w:cs="Arial"/>
                <w:sz w:val="16"/>
                <w:szCs w:val="16"/>
                <w:lang w:val="es-CO" w:eastAsia="es-ES"/>
              </w:rPr>
              <w:t>Kamal</w:t>
            </w:r>
            <w:proofErr w:type="spellEnd"/>
            <w:r w:rsidRPr="00B77C23">
              <w:rPr>
                <w:rFonts w:ascii="Arial" w:eastAsia="Times New Roman" w:hAnsi="Arial" w:cs="Arial"/>
                <w:sz w:val="16"/>
                <w:szCs w:val="16"/>
                <w:lang w:val="es-CO" w:eastAsia="es-ES"/>
              </w:rPr>
              <w:t xml:space="preserve"> Abdul </w:t>
            </w:r>
            <w:proofErr w:type="spellStart"/>
            <w:r w:rsidRPr="00B77C23">
              <w:rPr>
                <w:rFonts w:ascii="Arial" w:eastAsia="Times New Roman" w:hAnsi="Arial" w:cs="Arial"/>
                <w:sz w:val="16"/>
                <w:szCs w:val="16"/>
                <w:lang w:val="es-CO" w:eastAsia="es-ES"/>
              </w:rPr>
              <w:t>Nassar</w:t>
            </w:r>
            <w:proofErr w:type="spellEnd"/>
            <w:r w:rsidRPr="00B77C23">
              <w:rPr>
                <w:rFonts w:ascii="Arial" w:eastAsia="Times New Roman" w:hAnsi="Arial" w:cs="Arial"/>
                <w:sz w:val="16"/>
                <w:szCs w:val="16"/>
                <w:lang w:val="es-CO" w:eastAsia="es-ES"/>
              </w:rPr>
              <w:t xml:space="preserve"> Montoya</w:t>
            </w:r>
          </w:p>
          <w:p w14:paraId="6E439C08" w14:textId="39B70D85" w:rsidR="00585A49" w:rsidRPr="00BB0056" w:rsidRDefault="00B77C23" w:rsidP="00954F8C">
            <w:pPr>
              <w:rPr>
                <w:rFonts w:ascii="Arial" w:eastAsia="Times New Roman" w:hAnsi="Arial" w:cs="Arial"/>
                <w:sz w:val="16"/>
                <w:szCs w:val="16"/>
                <w:lang w:val="es-CO" w:eastAsia="es-ES"/>
              </w:rPr>
            </w:pPr>
            <w:r>
              <w:rPr>
                <w:rFonts w:ascii="Arial" w:eastAsia="Times New Roman" w:hAnsi="Arial" w:cs="Arial"/>
                <w:sz w:val="16"/>
                <w:szCs w:val="16"/>
                <w:lang w:val="es-CO" w:eastAsia="es-ES"/>
              </w:rPr>
              <w:t>Contratista</w:t>
            </w:r>
            <w:r w:rsidR="00585A49" w:rsidRPr="00BB0056">
              <w:rPr>
                <w:rFonts w:ascii="Arial" w:eastAsia="Times New Roman" w:hAnsi="Arial" w:cs="Arial"/>
                <w:sz w:val="16"/>
                <w:szCs w:val="16"/>
                <w:lang w:val="es-CO" w:eastAsia="es-ES"/>
              </w:rPr>
              <w:t xml:space="preserve"> de la Subdirección de Gestión Contractual</w:t>
            </w:r>
          </w:p>
        </w:tc>
      </w:tr>
      <w:tr w:rsidR="00585A49" w:rsidRPr="00BB0056" w14:paraId="749BD554" w14:textId="77777777" w:rsidTr="00954F8C">
        <w:trPr>
          <w:trHeight w:val="330"/>
        </w:trPr>
        <w:tc>
          <w:tcPr>
            <w:tcW w:w="488" w:type="dxa"/>
            <w:vAlign w:val="center"/>
            <w:hideMark/>
          </w:tcPr>
          <w:p w14:paraId="69892F6D"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ED4A4E" w14:textId="2B6FD280" w:rsidR="00585A49" w:rsidRPr="00BB0056" w:rsidRDefault="00B77C23" w:rsidP="00954F8C">
            <w:pPr>
              <w:rPr>
                <w:rFonts w:ascii="Arial" w:eastAsia="Times New Roman" w:hAnsi="Arial" w:cs="Arial"/>
                <w:sz w:val="16"/>
                <w:szCs w:val="16"/>
                <w:lang w:val="es-CO" w:eastAsia="es-ES"/>
              </w:rPr>
            </w:pPr>
            <w:r>
              <w:rPr>
                <w:rFonts w:ascii="Arial" w:eastAsia="Times New Roman" w:hAnsi="Arial" w:cs="Arial"/>
                <w:sz w:val="16"/>
                <w:szCs w:val="16"/>
                <w:lang w:val="es-CO" w:eastAsia="es-ES"/>
              </w:rPr>
              <w:t>Alejandro Sarmiento Cantillo</w:t>
            </w:r>
          </w:p>
          <w:p w14:paraId="004866C9" w14:textId="7BEB4E5D" w:rsidR="00F71D0F" w:rsidRPr="00FF4A64" w:rsidRDefault="00585A49" w:rsidP="00F71D0F">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lastRenderedPageBreak/>
              <w:t>Gestor T1-1</w:t>
            </w:r>
            <w:r w:rsidR="00B77C23">
              <w:rPr>
                <w:rFonts w:ascii="Arial" w:eastAsia="Times New Roman" w:hAnsi="Arial" w:cs="Arial"/>
                <w:sz w:val="16"/>
                <w:szCs w:val="16"/>
                <w:lang w:val="es-CO" w:eastAsia="es-ES"/>
              </w:rPr>
              <w:t>1</w:t>
            </w:r>
            <w:r w:rsidRPr="00BB0056">
              <w:rPr>
                <w:rFonts w:ascii="Arial" w:eastAsia="Times New Roman" w:hAnsi="Arial" w:cs="Arial"/>
                <w:sz w:val="16"/>
                <w:szCs w:val="16"/>
                <w:lang w:val="es-CO" w:eastAsia="es-ES"/>
              </w:rPr>
              <w:t xml:space="preserve"> de la Subdirección de Gestión Contractual</w:t>
            </w:r>
          </w:p>
        </w:tc>
      </w:tr>
      <w:tr w:rsidR="00585A49" w:rsidRPr="00BB0056" w14:paraId="09C22A4D" w14:textId="77777777" w:rsidTr="00954F8C">
        <w:trPr>
          <w:trHeight w:val="300"/>
        </w:trPr>
        <w:tc>
          <w:tcPr>
            <w:tcW w:w="488" w:type="dxa"/>
            <w:vAlign w:val="center"/>
            <w:hideMark/>
          </w:tcPr>
          <w:p w14:paraId="1953ED15"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BB0057"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7808EEE8"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Pr>
                <w:rFonts w:ascii="Arial" w:eastAsia="Times New Roman" w:hAnsi="Arial" w:cs="Arial"/>
                <w:sz w:val="16"/>
                <w:szCs w:val="16"/>
                <w:lang w:val="es-CO" w:eastAsia="es-ES"/>
              </w:rPr>
              <w:t xml:space="preserve"> ANCP – CCE</w:t>
            </w:r>
          </w:p>
        </w:tc>
      </w:tr>
      <w:bookmarkEnd w:id="1"/>
      <w:bookmarkEnd w:id="2"/>
    </w:tbl>
    <w:p w14:paraId="77805263" w14:textId="77777777" w:rsidR="00335C02" w:rsidRPr="00585A49" w:rsidRDefault="00335C02" w:rsidP="00457886"/>
    <w:sectPr w:rsidR="00335C02" w:rsidRPr="00585A49" w:rsidSect="00954F8C">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82451" w14:textId="77777777" w:rsidR="00356757" w:rsidRDefault="00356757" w:rsidP="00585A49">
      <w:r>
        <w:separator/>
      </w:r>
    </w:p>
  </w:endnote>
  <w:endnote w:type="continuationSeparator" w:id="0">
    <w:p w14:paraId="53948579" w14:textId="77777777" w:rsidR="00356757" w:rsidRDefault="00356757" w:rsidP="0058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1B0B" w14:textId="77777777" w:rsidR="00954F8C" w:rsidRDefault="00954F8C" w:rsidP="00954F8C">
    <w:pPr>
      <w:pStyle w:val="Sinespaciado"/>
      <w:rPr>
        <w:rFonts w:ascii="Arial" w:hAnsi="Arial" w:cs="Arial"/>
        <w:sz w:val="18"/>
        <w:szCs w:val="18"/>
      </w:rPr>
    </w:pPr>
  </w:p>
  <w:p w14:paraId="4ED52EC4" w14:textId="77777777" w:rsidR="00954F8C" w:rsidRDefault="00954F8C" w:rsidP="00954F8C">
    <w:pPr>
      <w:pStyle w:val="Sinespaciado"/>
      <w:rPr>
        <w:rFonts w:ascii="Arial" w:hAnsi="Arial" w:cs="Arial"/>
        <w:sz w:val="18"/>
        <w:szCs w:val="18"/>
      </w:rPr>
    </w:pPr>
  </w:p>
  <w:p w14:paraId="636FF0C3" w14:textId="77777777" w:rsidR="00954F8C" w:rsidRPr="005A79FE" w:rsidRDefault="00954F8C" w:rsidP="00954F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587467B1" w14:textId="77777777" w:rsidR="00954F8C" w:rsidRDefault="00954F8C" w:rsidP="00954F8C">
    <w:pPr>
      <w:pStyle w:val="Piedepgina"/>
      <w:jc w:val="center"/>
      <w:rPr>
        <w:lang w:val="es-ES"/>
      </w:rPr>
    </w:pPr>
    <w:r>
      <w:rPr>
        <w:noProof/>
      </w:rPr>
      <w:drawing>
        <wp:inline distT="0" distB="0" distL="0" distR="0" wp14:anchorId="13CBB78B" wp14:editId="094D07B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4BADF00" w14:textId="77777777" w:rsidR="00954F8C" w:rsidRDefault="00954F8C" w:rsidP="00954F8C">
    <w:pPr>
      <w:pStyle w:val="Piedepgina"/>
      <w:jc w:val="center"/>
      <w:rPr>
        <w:lang w:val="es-ES"/>
      </w:rPr>
    </w:pPr>
  </w:p>
  <w:p w14:paraId="1009B37B" w14:textId="77777777" w:rsidR="00954F8C" w:rsidRPr="007B0854" w:rsidRDefault="00954F8C" w:rsidP="00954F8C">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D6F02" w14:textId="77777777" w:rsidR="00356757" w:rsidRDefault="00356757" w:rsidP="00585A49">
      <w:r>
        <w:separator/>
      </w:r>
    </w:p>
  </w:footnote>
  <w:footnote w:type="continuationSeparator" w:id="0">
    <w:p w14:paraId="005457F8" w14:textId="77777777" w:rsidR="00356757" w:rsidRDefault="00356757" w:rsidP="00585A49">
      <w:r>
        <w:continuationSeparator/>
      </w:r>
    </w:p>
  </w:footnote>
  <w:footnote w:id="1">
    <w:p w14:paraId="06C8090F" w14:textId="77777777" w:rsidR="00FA7684" w:rsidRDefault="00FA7684" w:rsidP="00FA7684">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176E414" w14:textId="35742DA0" w:rsidR="00C56AB3" w:rsidRPr="00C56AB3" w:rsidRDefault="00C12552" w:rsidP="00C56AB3">
      <w:pPr>
        <w:ind w:firstLine="708"/>
        <w:jc w:val="both"/>
        <w:rPr>
          <w:rFonts w:ascii="Arial" w:eastAsia="Calibri" w:hAnsi="Arial" w:cs="Times New Roman"/>
          <w:color w:val="000000"/>
          <w:sz w:val="19"/>
          <w:szCs w:val="19"/>
        </w:rPr>
      </w:pPr>
      <w:r w:rsidRPr="00C12552">
        <w:rPr>
          <w:rStyle w:val="Refdenotaalpie"/>
          <w:rFonts w:ascii="Arial" w:hAnsi="Arial" w:cs="Arial"/>
          <w:sz w:val="19"/>
          <w:szCs w:val="19"/>
        </w:rPr>
        <w:footnoteRef/>
      </w:r>
      <w:r w:rsidRPr="00C12552">
        <w:rPr>
          <w:rFonts w:ascii="Arial" w:hAnsi="Arial" w:cs="Arial"/>
          <w:sz w:val="19"/>
          <w:szCs w:val="19"/>
        </w:rPr>
        <w:t xml:space="preserve"> </w:t>
      </w:r>
      <w:r>
        <w:rPr>
          <w:rFonts w:ascii="Arial" w:hAnsi="Arial" w:cs="Arial"/>
          <w:sz w:val="19"/>
          <w:szCs w:val="19"/>
        </w:rPr>
        <w:t xml:space="preserve">Al respecto, el numeral 3.5.1 del documento base dispone lo siguiente: </w:t>
      </w:r>
      <w:r w:rsidRPr="00C56AB3">
        <w:rPr>
          <w:rFonts w:ascii="Arial" w:hAnsi="Arial" w:cs="Arial"/>
          <w:sz w:val="19"/>
          <w:szCs w:val="19"/>
        </w:rPr>
        <w:t>«</w:t>
      </w:r>
      <w:r w:rsidR="00C56AB3" w:rsidRPr="00C56AB3">
        <w:rPr>
          <w:rFonts w:ascii="Arial" w:eastAsia="Calibri" w:hAnsi="Arial" w:cs="Times New Roman"/>
          <w:color w:val="000000"/>
          <w:sz w:val="19"/>
          <w:szCs w:val="19"/>
        </w:rPr>
        <w:t xml:space="preserve">La complejidad técnica del proyecto se establece de la siguiente manera, en concordancia con lo previsto en la “Matriz 1 – Experiencia”: </w:t>
      </w:r>
    </w:p>
    <w:p w14:paraId="3918B3ED" w14:textId="77777777" w:rsidR="00C56AB3" w:rsidRPr="00C56AB3" w:rsidRDefault="00C56AB3" w:rsidP="00C56AB3">
      <w:pPr>
        <w:spacing w:line="259" w:lineRule="auto"/>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highlight w:val="lightGray"/>
        </w:rPr>
        <w:t>[La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condiciones geográficas, geológicas, hidrológicas, climáticas, así como el alcance físico del proyecto de infraestructura de transporte].</w:t>
      </w:r>
    </w:p>
    <w:p w14:paraId="03BB4AB7" w14:textId="77777777" w:rsidR="00C56AB3" w:rsidRPr="00C56AB3" w:rsidRDefault="00C56AB3" w:rsidP="00C56AB3">
      <w:pPr>
        <w:spacing w:line="259" w:lineRule="auto"/>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highlight w:val="lightGray"/>
        </w:rPr>
        <w:t>[La justificación realizada por la entidad para determinar la complejidad técnica puede ser observada por los interesados en el proceso de selección].</w:t>
      </w:r>
    </w:p>
    <w:p w14:paraId="585B8712" w14:textId="0D2A4C23" w:rsidR="00C12552" w:rsidRPr="00C12552" w:rsidRDefault="00C56AB3" w:rsidP="009F035A">
      <w:pPr>
        <w:spacing w:line="259" w:lineRule="auto"/>
        <w:ind w:firstLine="708"/>
        <w:jc w:val="both"/>
        <w:rPr>
          <w:rFonts w:ascii="Arial" w:hAnsi="Arial" w:cs="Arial"/>
          <w:sz w:val="19"/>
          <w:szCs w:val="19"/>
        </w:rPr>
      </w:pPr>
      <w:r w:rsidRPr="00C56AB3">
        <w:rPr>
          <w:rFonts w:ascii="Arial" w:eastAsia="Calibri" w:hAnsi="Arial" w:cs="Times New Roman"/>
          <w:color w:val="000000"/>
          <w:sz w:val="19"/>
          <w:szCs w:val="19"/>
        </w:rPr>
        <w:t xml:space="preserve">De conformidad con lo anterior, los requisitos de experiencia son: </w:t>
      </w:r>
      <w:r w:rsidRPr="00C56AB3">
        <w:rPr>
          <w:rFonts w:ascii="Arial" w:eastAsia="Calibri" w:hAnsi="Arial" w:cs="Times New Roman"/>
          <w:color w:val="000000"/>
          <w:sz w:val="19"/>
          <w:szCs w:val="19"/>
          <w:highlight w:val="lightGray"/>
        </w:rPr>
        <w:t xml:space="preserve">[la entidad deberá indicar el número de la actividad a contratar, y transcribir textualmente lo indicado en la Matriz 1 – Experiencia. </w:t>
      </w:r>
      <w:r w:rsidRPr="00C56AB3">
        <w:rPr>
          <w:rFonts w:ascii="Arial" w:eastAsia="Calibri" w:hAnsi="Arial" w:cs="Times New Roman"/>
          <w:color w:val="000000"/>
          <w:sz w:val="19"/>
          <w:szCs w:val="19"/>
          <w:highlight w:val="lightGray"/>
        </w:rPr>
        <w:t>En caso de requerir combinar experiencia, se procederá según lo establecido en la Matriz 1]</w:t>
      </w:r>
      <w:r w:rsidRPr="00C56AB3">
        <w:rPr>
          <w:rFonts w:ascii="Arial" w:eastAsia="Calibri" w:hAnsi="Arial" w:cs="Times New Roman"/>
          <w:color w:val="000000"/>
          <w:sz w:val="19"/>
          <w:szCs w:val="19"/>
        </w:rPr>
        <w:t>».</w:t>
      </w:r>
    </w:p>
  </w:footnote>
  <w:footnote w:id="3">
    <w:p w14:paraId="1AC26323" w14:textId="77777777" w:rsidR="00233094" w:rsidRPr="00FB15CC" w:rsidRDefault="003C07B0" w:rsidP="00233094">
      <w:pPr>
        <w:pStyle w:val="Car1"/>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sidR="00233094" w:rsidRPr="00FB15CC">
        <w:rPr>
          <w:rFonts w:ascii="Arial" w:hAnsi="Arial" w:cs="Arial"/>
          <w:sz w:val="19"/>
          <w:szCs w:val="19"/>
        </w:rPr>
        <w:t>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4F5663AC" w14:textId="42775A65" w:rsidR="003C07B0" w:rsidRDefault="00233094" w:rsidP="00233094">
      <w:pPr>
        <w:pStyle w:val="Textonotapie"/>
        <w:ind w:firstLine="708"/>
        <w:jc w:val="both"/>
        <w:rPr>
          <w:rFonts w:ascii="Arial" w:hAnsi="Arial" w:cs="Arial"/>
          <w:sz w:val="19"/>
          <w:szCs w:val="19"/>
        </w:rPr>
      </w:pPr>
      <w:r w:rsidRPr="00FB15CC">
        <w:rPr>
          <w:rFonts w:ascii="Arial" w:hAnsi="Arial" w:cs="Arial"/>
          <w:sz w:val="19"/>
          <w:szCs w:val="19"/>
        </w:rPr>
        <w:t xml:space="preserve">«Artículo 3. </w:t>
      </w:r>
      <w:r w:rsidR="00EE0373">
        <w:rPr>
          <w:rFonts w:ascii="Arial" w:hAnsi="Arial" w:cs="Arial"/>
          <w:sz w:val="19"/>
          <w:szCs w:val="19"/>
        </w:rPr>
        <w:t>I</w:t>
      </w:r>
      <w:r w:rsidR="00EE0373" w:rsidRPr="00FB15CC">
        <w:rPr>
          <w:rFonts w:ascii="Arial" w:hAnsi="Arial" w:cs="Arial"/>
          <w:sz w:val="19"/>
          <w:szCs w:val="19"/>
        </w:rPr>
        <w:t xml:space="preserve">nalterabilidad de los documentos tipo. </w:t>
      </w:r>
      <w:r w:rsidRPr="00FB15CC">
        <w:rPr>
          <w:rFonts w:ascii="Arial" w:hAnsi="Arial" w:cs="Arial"/>
          <w:sz w:val="19"/>
          <w:szCs w:val="19"/>
        </w:rPr>
        <w:t>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r w:rsidR="00EE0373">
        <w:rPr>
          <w:rFonts w:ascii="Arial" w:hAnsi="Arial" w:cs="Arial"/>
          <w:sz w:val="19"/>
          <w:szCs w:val="19"/>
        </w:rPr>
        <w:t>.</w:t>
      </w:r>
    </w:p>
  </w:footnote>
  <w:footnote w:id="4">
    <w:p w14:paraId="5325BF10" w14:textId="00079130" w:rsidR="0088260D" w:rsidRPr="009F035A" w:rsidRDefault="0088260D" w:rsidP="009F035A">
      <w:pPr>
        <w:pStyle w:val="Textonotapie"/>
        <w:ind w:firstLine="708"/>
        <w:jc w:val="both"/>
        <w:rPr>
          <w:rFonts w:ascii="Arial" w:hAnsi="Arial" w:cs="Arial"/>
          <w:sz w:val="19"/>
          <w:szCs w:val="19"/>
        </w:rPr>
      </w:pPr>
      <w:r w:rsidRPr="009F035A">
        <w:rPr>
          <w:rStyle w:val="Refdenotaalpie"/>
          <w:rFonts w:ascii="Arial" w:hAnsi="Arial" w:cs="Arial"/>
          <w:sz w:val="19"/>
          <w:szCs w:val="19"/>
        </w:rPr>
        <w:footnoteRef/>
      </w:r>
      <w:r w:rsidRPr="009F035A">
        <w:rPr>
          <w:rFonts w:ascii="Arial" w:hAnsi="Arial" w:cs="Arial"/>
          <w:sz w:val="19"/>
          <w:szCs w:val="19"/>
        </w:rPr>
        <w:t xml:space="preserve"> </w:t>
      </w:r>
      <w:r w:rsidRPr="009F035A">
        <w:rPr>
          <w:rFonts w:ascii="Arial" w:hAnsi="Arial" w:cs="Arial"/>
          <w:sz w:val="19"/>
          <w:szCs w:val="19"/>
        </w:rPr>
        <w:t xml:space="preserve">Ley 80 de 1993: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63C82EA6" w14:textId="2BA85973" w:rsidR="0088260D" w:rsidRPr="009F035A" w:rsidRDefault="0088260D" w:rsidP="009F035A">
      <w:pPr>
        <w:pStyle w:val="Textonotapie"/>
        <w:ind w:firstLine="708"/>
        <w:jc w:val="both"/>
        <w:rPr>
          <w:rFonts w:ascii="Arial" w:hAnsi="Arial" w:cs="Arial"/>
          <w:sz w:val="19"/>
          <w:szCs w:val="19"/>
        </w:rPr>
      </w:pPr>
      <w:r w:rsidRPr="009F035A">
        <w:rPr>
          <w:rFonts w:ascii="Arial" w:hAnsi="Arial" w:cs="Arial"/>
          <w:sz w:val="19"/>
          <w:szCs w:val="19"/>
        </w:rPr>
        <w:t xml:space="preserve">»1o. Contrato de obra. </w:t>
      </w:r>
    </w:p>
    <w:p w14:paraId="5463FCE0" w14:textId="78117390" w:rsidR="0088260D" w:rsidRPr="009F035A" w:rsidRDefault="0088260D" w:rsidP="009F035A">
      <w:pPr>
        <w:pStyle w:val="Textonotapie"/>
        <w:ind w:firstLine="708"/>
        <w:jc w:val="both"/>
        <w:rPr>
          <w:rFonts w:ascii="Arial" w:hAnsi="Arial" w:cs="Arial"/>
          <w:sz w:val="19"/>
          <w:szCs w:val="19"/>
        </w:rPr>
      </w:pPr>
      <w:r w:rsidRPr="009F035A">
        <w:rPr>
          <w:rFonts w:ascii="Arial" w:hAnsi="Arial" w:cs="Arial"/>
          <w:sz w:val="19"/>
          <w:szCs w:val="19"/>
        </w:rPr>
        <w:t xml:space="preserve">»Son contratos de obra los que celebren las entidades estatales para la construcción, mantenimiento, instalación y, en general, para la realización de cualquier otro trabajo material sobre bienes inmuebles, cualquiera que sea la modalidad de ejecución y pago. </w:t>
      </w:r>
    </w:p>
    <w:p w14:paraId="0985E466" w14:textId="72CB0385" w:rsidR="0088260D" w:rsidRDefault="0088260D" w:rsidP="009F035A">
      <w:pPr>
        <w:pStyle w:val="Textonotapie"/>
        <w:ind w:firstLine="708"/>
        <w:jc w:val="both"/>
      </w:pPr>
      <w:r w:rsidRPr="009F035A">
        <w:rPr>
          <w:rFonts w:ascii="Arial" w:hAnsi="Arial" w:cs="Arial"/>
          <w:sz w:val="19"/>
          <w:szCs w:val="19"/>
        </w:rPr>
        <w:t>»En los contratos de obra que hayan sido celebrados como resultado de un proceso de licitación o concurso públicos, la interventoría deberá ser contratada con una persona independiente de la entidad contratante y del contratista, quien responderá por los hechos y omisiones que le fueren imputables en los términos previstos en el artículo 53 del presente estatuto».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09F15" w14:textId="77777777" w:rsidR="00954F8C" w:rsidRDefault="00954F8C">
    <w:pPr>
      <w:pStyle w:val="Encabezado"/>
    </w:pPr>
  </w:p>
  <w:p w14:paraId="30B3DC05" w14:textId="77777777" w:rsidR="00954F8C" w:rsidRDefault="00954F8C">
    <w:pPr>
      <w:pStyle w:val="Encabezado"/>
    </w:pPr>
  </w:p>
  <w:p w14:paraId="7F0C7B29" w14:textId="77777777" w:rsidR="00954F8C" w:rsidRDefault="00954F8C">
    <w:pPr>
      <w:pStyle w:val="Encabezado"/>
    </w:pPr>
    <w:r>
      <w:rPr>
        <w:noProof/>
        <w:lang w:val="en-US"/>
      </w:rPr>
      <w:drawing>
        <wp:anchor distT="0" distB="0" distL="114300" distR="114300" simplePos="0" relativeHeight="251659264" behindDoc="1" locked="0" layoutInCell="1" allowOverlap="1" wp14:anchorId="65325909" wp14:editId="578E93D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DE1D0" w14:textId="77777777" w:rsidR="00954F8C" w:rsidRDefault="00954F8C">
    <w:pPr>
      <w:pStyle w:val="Encabezado"/>
    </w:pPr>
  </w:p>
  <w:p w14:paraId="072C9D3E" w14:textId="77777777" w:rsidR="00954F8C" w:rsidRDefault="00954F8C">
    <w:pPr>
      <w:pStyle w:val="Encabezado"/>
    </w:pPr>
  </w:p>
  <w:p w14:paraId="5598FB3C" w14:textId="77777777" w:rsidR="00954F8C" w:rsidRDefault="00954F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9E6E3F"/>
    <w:multiLevelType w:val="hybridMultilevel"/>
    <w:tmpl w:val="854EA874"/>
    <w:lvl w:ilvl="0" w:tplc="1AD6EBD2">
      <w:start w:val="1"/>
      <w:numFmt w:val="upp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49"/>
    <w:rsid w:val="0000104F"/>
    <w:rsid w:val="00007A38"/>
    <w:rsid w:val="00033F25"/>
    <w:rsid w:val="000370F9"/>
    <w:rsid w:val="00044C69"/>
    <w:rsid w:val="00057743"/>
    <w:rsid w:val="000616D8"/>
    <w:rsid w:val="00071B1B"/>
    <w:rsid w:val="0009025B"/>
    <w:rsid w:val="0009134B"/>
    <w:rsid w:val="00091A12"/>
    <w:rsid w:val="000A4AA3"/>
    <w:rsid w:val="000B0F85"/>
    <w:rsid w:val="000C4A36"/>
    <w:rsid w:val="000D769C"/>
    <w:rsid w:val="000E021D"/>
    <w:rsid w:val="000E5921"/>
    <w:rsid w:val="000F63AB"/>
    <w:rsid w:val="00100C76"/>
    <w:rsid w:val="001139CA"/>
    <w:rsid w:val="00121A68"/>
    <w:rsid w:val="00124434"/>
    <w:rsid w:val="00124EA4"/>
    <w:rsid w:val="001266B5"/>
    <w:rsid w:val="0012691D"/>
    <w:rsid w:val="00136DC1"/>
    <w:rsid w:val="0013785A"/>
    <w:rsid w:val="001405A0"/>
    <w:rsid w:val="001501A7"/>
    <w:rsid w:val="001656C7"/>
    <w:rsid w:val="00165891"/>
    <w:rsid w:val="001773D1"/>
    <w:rsid w:val="00180388"/>
    <w:rsid w:val="00182BA9"/>
    <w:rsid w:val="00191069"/>
    <w:rsid w:val="00194026"/>
    <w:rsid w:val="00196393"/>
    <w:rsid w:val="0019663C"/>
    <w:rsid w:val="001B0652"/>
    <w:rsid w:val="001C3166"/>
    <w:rsid w:val="001D2849"/>
    <w:rsid w:val="001E4B5D"/>
    <w:rsid w:val="001E6B05"/>
    <w:rsid w:val="002060D3"/>
    <w:rsid w:val="002074D6"/>
    <w:rsid w:val="00233094"/>
    <w:rsid w:val="00264AD8"/>
    <w:rsid w:val="002675F1"/>
    <w:rsid w:val="00286099"/>
    <w:rsid w:val="0028752A"/>
    <w:rsid w:val="002B0DF6"/>
    <w:rsid w:val="002B1F02"/>
    <w:rsid w:val="002B4A86"/>
    <w:rsid w:val="002C1E47"/>
    <w:rsid w:val="002D108B"/>
    <w:rsid w:val="002F1FF8"/>
    <w:rsid w:val="00300394"/>
    <w:rsid w:val="00300997"/>
    <w:rsid w:val="00307AB1"/>
    <w:rsid w:val="00321E1E"/>
    <w:rsid w:val="00335C02"/>
    <w:rsid w:val="00343DE0"/>
    <w:rsid w:val="00347F5E"/>
    <w:rsid w:val="003503D7"/>
    <w:rsid w:val="00356757"/>
    <w:rsid w:val="00363F89"/>
    <w:rsid w:val="0037606E"/>
    <w:rsid w:val="00380ABA"/>
    <w:rsid w:val="00392832"/>
    <w:rsid w:val="003A129A"/>
    <w:rsid w:val="003A52C0"/>
    <w:rsid w:val="003B346B"/>
    <w:rsid w:val="003C07B0"/>
    <w:rsid w:val="003C590F"/>
    <w:rsid w:val="003E1B8F"/>
    <w:rsid w:val="003E2348"/>
    <w:rsid w:val="003F3821"/>
    <w:rsid w:val="00407BC5"/>
    <w:rsid w:val="00411076"/>
    <w:rsid w:val="004136CC"/>
    <w:rsid w:val="00414489"/>
    <w:rsid w:val="00446B27"/>
    <w:rsid w:val="00446F1D"/>
    <w:rsid w:val="00451EF6"/>
    <w:rsid w:val="00457886"/>
    <w:rsid w:val="004618C7"/>
    <w:rsid w:val="00464E3D"/>
    <w:rsid w:val="00474597"/>
    <w:rsid w:val="00480574"/>
    <w:rsid w:val="004816BA"/>
    <w:rsid w:val="004A1AA8"/>
    <w:rsid w:val="004B3162"/>
    <w:rsid w:val="004B3DF2"/>
    <w:rsid w:val="004C1FCB"/>
    <w:rsid w:val="004C38BB"/>
    <w:rsid w:val="004C7ABE"/>
    <w:rsid w:val="004D030C"/>
    <w:rsid w:val="004F1D41"/>
    <w:rsid w:val="004F23DF"/>
    <w:rsid w:val="004F2553"/>
    <w:rsid w:val="004F3F1D"/>
    <w:rsid w:val="004F7335"/>
    <w:rsid w:val="005002B4"/>
    <w:rsid w:val="0050142D"/>
    <w:rsid w:val="00507560"/>
    <w:rsid w:val="00512D56"/>
    <w:rsid w:val="005159D4"/>
    <w:rsid w:val="00516578"/>
    <w:rsid w:val="00516E2B"/>
    <w:rsid w:val="0052276C"/>
    <w:rsid w:val="00530EC9"/>
    <w:rsid w:val="005316F8"/>
    <w:rsid w:val="00537CA0"/>
    <w:rsid w:val="00542CE7"/>
    <w:rsid w:val="00542DA4"/>
    <w:rsid w:val="005452E6"/>
    <w:rsid w:val="00551334"/>
    <w:rsid w:val="0055149D"/>
    <w:rsid w:val="005548E1"/>
    <w:rsid w:val="00563DA0"/>
    <w:rsid w:val="005677D7"/>
    <w:rsid w:val="00582789"/>
    <w:rsid w:val="00583340"/>
    <w:rsid w:val="00585A49"/>
    <w:rsid w:val="0058635C"/>
    <w:rsid w:val="00587D51"/>
    <w:rsid w:val="00592898"/>
    <w:rsid w:val="00592B9A"/>
    <w:rsid w:val="00593B97"/>
    <w:rsid w:val="005A14CE"/>
    <w:rsid w:val="005A34D1"/>
    <w:rsid w:val="005A46E5"/>
    <w:rsid w:val="005B0469"/>
    <w:rsid w:val="005B5061"/>
    <w:rsid w:val="005B5638"/>
    <w:rsid w:val="005C6C32"/>
    <w:rsid w:val="005D131F"/>
    <w:rsid w:val="005D6DA9"/>
    <w:rsid w:val="005F7629"/>
    <w:rsid w:val="00612B5E"/>
    <w:rsid w:val="006131C6"/>
    <w:rsid w:val="00621B03"/>
    <w:rsid w:val="00624E27"/>
    <w:rsid w:val="00630FF0"/>
    <w:rsid w:val="00635B7E"/>
    <w:rsid w:val="00636E18"/>
    <w:rsid w:val="006373CE"/>
    <w:rsid w:val="0064121F"/>
    <w:rsid w:val="00664A8E"/>
    <w:rsid w:val="006667EB"/>
    <w:rsid w:val="006905EE"/>
    <w:rsid w:val="00694830"/>
    <w:rsid w:val="00696340"/>
    <w:rsid w:val="00696806"/>
    <w:rsid w:val="006B1F5B"/>
    <w:rsid w:val="006B3088"/>
    <w:rsid w:val="006C5402"/>
    <w:rsid w:val="006D113D"/>
    <w:rsid w:val="006D4471"/>
    <w:rsid w:val="006E5168"/>
    <w:rsid w:val="006F48B2"/>
    <w:rsid w:val="006F4AF3"/>
    <w:rsid w:val="007203B0"/>
    <w:rsid w:val="00724564"/>
    <w:rsid w:val="00734DB8"/>
    <w:rsid w:val="007357C9"/>
    <w:rsid w:val="00735909"/>
    <w:rsid w:val="00745D2B"/>
    <w:rsid w:val="00750926"/>
    <w:rsid w:val="00752F11"/>
    <w:rsid w:val="00781902"/>
    <w:rsid w:val="007945AB"/>
    <w:rsid w:val="007A17A3"/>
    <w:rsid w:val="007A322C"/>
    <w:rsid w:val="007C2875"/>
    <w:rsid w:val="007D3788"/>
    <w:rsid w:val="007F6BAE"/>
    <w:rsid w:val="007F7A15"/>
    <w:rsid w:val="00802865"/>
    <w:rsid w:val="00823A9C"/>
    <w:rsid w:val="0083328C"/>
    <w:rsid w:val="0084149A"/>
    <w:rsid w:val="00841EA2"/>
    <w:rsid w:val="0084410B"/>
    <w:rsid w:val="0084413D"/>
    <w:rsid w:val="00845BB0"/>
    <w:rsid w:val="008471A7"/>
    <w:rsid w:val="0085517F"/>
    <w:rsid w:val="00856AD8"/>
    <w:rsid w:val="00872048"/>
    <w:rsid w:val="0088102B"/>
    <w:rsid w:val="00881FC0"/>
    <w:rsid w:val="0088260D"/>
    <w:rsid w:val="00882875"/>
    <w:rsid w:val="00885EE6"/>
    <w:rsid w:val="00890104"/>
    <w:rsid w:val="00890445"/>
    <w:rsid w:val="0089300B"/>
    <w:rsid w:val="008A2197"/>
    <w:rsid w:val="008A2D58"/>
    <w:rsid w:val="008A3F4D"/>
    <w:rsid w:val="008C029C"/>
    <w:rsid w:val="008C4E4D"/>
    <w:rsid w:val="008E4BF5"/>
    <w:rsid w:val="008E7471"/>
    <w:rsid w:val="008F43F8"/>
    <w:rsid w:val="00900C3B"/>
    <w:rsid w:val="00900C6F"/>
    <w:rsid w:val="0091081B"/>
    <w:rsid w:val="00916892"/>
    <w:rsid w:val="009347D3"/>
    <w:rsid w:val="00934826"/>
    <w:rsid w:val="009368C2"/>
    <w:rsid w:val="00946065"/>
    <w:rsid w:val="00946A46"/>
    <w:rsid w:val="009476DF"/>
    <w:rsid w:val="009502D2"/>
    <w:rsid w:val="00954F8C"/>
    <w:rsid w:val="00964B6D"/>
    <w:rsid w:val="00983A1E"/>
    <w:rsid w:val="00991B91"/>
    <w:rsid w:val="009939C1"/>
    <w:rsid w:val="009B3689"/>
    <w:rsid w:val="009D1FA8"/>
    <w:rsid w:val="009E1F48"/>
    <w:rsid w:val="009E3E5D"/>
    <w:rsid w:val="009E6883"/>
    <w:rsid w:val="009F035A"/>
    <w:rsid w:val="00A00293"/>
    <w:rsid w:val="00A04518"/>
    <w:rsid w:val="00A122E7"/>
    <w:rsid w:val="00A268AF"/>
    <w:rsid w:val="00A35F84"/>
    <w:rsid w:val="00A45B67"/>
    <w:rsid w:val="00A717FB"/>
    <w:rsid w:val="00A85C2E"/>
    <w:rsid w:val="00A86353"/>
    <w:rsid w:val="00A911B7"/>
    <w:rsid w:val="00A945D6"/>
    <w:rsid w:val="00AA7407"/>
    <w:rsid w:val="00AB0CB4"/>
    <w:rsid w:val="00AB1F41"/>
    <w:rsid w:val="00AB237A"/>
    <w:rsid w:val="00AB27A0"/>
    <w:rsid w:val="00AB600B"/>
    <w:rsid w:val="00AD013B"/>
    <w:rsid w:val="00AD76C2"/>
    <w:rsid w:val="00AE6499"/>
    <w:rsid w:val="00AE6C0D"/>
    <w:rsid w:val="00AE7536"/>
    <w:rsid w:val="00AF3EFF"/>
    <w:rsid w:val="00B10B74"/>
    <w:rsid w:val="00B17E14"/>
    <w:rsid w:val="00B32F07"/>
    <w:rsid w:val="00B47E04"/>
    <w:rsid w:val="00B5097E"/>
    <w:rsid w:val="00B60BE5"/>
    <w:rsid w:val="00B66D06"/>
    <w:rsid w:val="00B77C23"/>
    <w:rsid w:val="00B8210F"/>
    <w:rsid w:val="00B877F9"/>
    <w:rsid w:val="00B93B80"/>
    <w:rsid w:val="00BB6656"/>
    <w:rsid w:val="00BD794B"/>
    <w:rsid w:val="00BE34D6"/>
    <w:rsid w:val="00BF1B08"/>
    <w:rsid w:val="00BF77B6"/>
    <w:rsid w:val="00C0173E"/>
    <w:rsid w:val="00C12552"/>
    <w:rsid w:val="00C1265D"/>
    <w:rsid w:val="00C14AA3"/>
    <w:rsid w:val="00C209D8"/>
    <w:rsid w:val="00C21140"/>
    <w:rsid w:val="00C33805"/>
    <w:rsid w:val="00C3565D"/>
    <w:rsid w:val="00C56AB3"/>
    <w:rsid w:val="00C57539"/>
    <w:rsid w:val="00C60D8D"/>
    <w:rsid w:val="00C771DD"/>
    <w:rsid w:val="00C81800"/>
    <w:rsid w:val="00C83656"/>
    <w:rsid w:val="00C84FE1"/>
    <w:rsid w:val="00CB62F6"/>
    <w:rsid w:val="00CD3606"/>
    <w:rsid w:val="00CE0AE3"/>
    <w:rsid w:val="00CF7A57"/>
    <w:rsid w:val="00D031F0"/>
    <w:rsid w:val="00D128CC"/>
    <w:rsid w:val="00D16A0A"/>
    <w:rsid w:val="00D2344A"/>
    <w:rsid w:val="00D35B7C"/>
    <w:rsid w:val="00D373F8"/>
    <w:rsid w:val="00D476B4"/>
    <w:rsid w:val="00D530AE"/>
    <w:rsid w:val="00D5411F"/>
    <w:rsid w:val="00D67AAC"/>
    <w:rsid w:val="00D700AB"/>
    <w:rsid w:val="00D76891"/>
    <w:rsid w:val="00D83687"/>
    <w:rsid w:val="00D83C4A"/>
    <w:rsid w:val="00D83E59"/>
    <w:rsid w:val="00D9082F"/>
    <w:rsid w:val="00D916F1"/>
    <w:rsid w:val="00DA4B0F"/>
    <w:rsid w:val="00DA6755"/>
    <w:rsid w:val="00DA70DE"/>
    <w:rsid w:val="00DB128B"/>
    <w:rsid w:val="00DC0094"/>
    <w:rsid w:val="00DC06BD"/>
    <w:rsid w:val="00DC7CD3"/>
    <w:rsid w:val="00DE76B5"/>
    <w:rsid w:val="00DF391F"/>
    <w:rsid w:val="00E077BC"/>
    <w:rsid w:val="00E15514"/>
    <w:rsid w:val="00E1780E"/>
    <w:rsid w:val="00E3081D"/>
    <w:rsid w:val="00E46193"/>
    <w:rsid w:val="00E50133"/>
    <w:rsid w:val="00E77FDE"/>
    <w:rsid w:val="00E803F0"/>
    <w:rsid w:val="00E80657"/>
    <w:rsid w:val="00E82F9C"/>
    <w:rsid w:val="00E85064"/>
    <w:rsid w:val="00E85B8D"/>
    <w:rsid w:val="00E93BAA"/>
    <w:rsid w:val="00E949AA"/>
    <w:rsid w:val="00EB5DC0"/>
    <w:rsid w:val="00ED01BC"/>
    <w:rsid w:val="00ED396F"/>
    <w:rsid w:val="00EE0373"/>
    <w:rsid w:val="00EE152D"/>
    <w:rsid w:val="00EE7044"/>
    <w:rsid w:val="00EF5067"/>
    <w:rsid w:val="00F04ADA"/>
    <w:rsid w:val="00F225ED"/>
    <w:rsid w:val="00F260E3"/>
    <w:rsid w:val="00F308FF"/>
    <w:rsid w:val="00F4030F"/>
    <w:rsid w:val="00F67A56"/>
    <w:rsid w:val="00F70894"/>
    <w:rsid w:val="00F71D0F"/>
    <w:rsid w:val="00F80A04"/>
    <w:rsid w:val="00F91A6D"/>
    <w:rsid w:val="00FA202F"/>
    <w:rsid w:val="00FA4E35"/>
    <w:rsid w:val="00FA7684"/>
    <w:rsid w:val="00FB20D3"/>
    <w:rsid w:val="00FB3F7E"/>
    <w:rsid w:val="00FC1AC0"/>
    <w:rsid w:val="00FC3AD8"/>
    <w:rsid w:val="00FC43B2"/>
    <w:rsid w:val="00FC4EEC"/>
    <w:rsid w:val="00FD2A09"/>
    <w:rsid w:val="00FF04AC"/>
    <w:rsid w:val="00FF76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263B"/>
  <w15:chartTrackingRefBased/>
  <w15:docId w15:val="{CDA9E061-EAA7-4AD2-B742-B710E7E0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FF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85A49"/>
    <w:pPr>
      <w:tabs>
        <w:tab w:val="center" w:pos="4419"/>
        <w:tab w:val="right" w:pos="8838"/>
      </w:tabs>
    </w:pPr>
  </w:style>
  <w:style w:type="character" w:customStyle="1" w:styleId="PiedepginaCar">
    <w:name w:val="Pie de página Car"/>
    <w:basedOn w:val="Fuentedeprrafopredeter"/>
    <w:link w:val="Piedepgina"/>
    <w:uiPriority w:val="99"/>
    <w:rsid w:val="00585A49"/>
    <w:rPr>
      <w:sz w:val="24"/>
      <w:lang w:val="es-MX"/>
    </w:rPr>
  </w:style>
  <w:style w:type="paragraph" w:styleId="Encabezado">
    <w:name w:val="header"/>
    <w:basedOn w:val="Normal"/>
    <w:link w:val="EncabezadoCar"/>
    <w:uiPriority w:val="99"/>
    <w:unhideWhenUsed/>
    <w:rsid w:val="00585A49"/>
    <w:pPr>
      <w:tabs>
        <w:tab w:val="center" w:pos="4252"/>
        <w:tab w:val="right" w:pos="8504"/>
      </w:tabs>
    </w:pPr>
  </w:style>
  <w:style w:type="character" w:customStyle="1" w:styleId="EncabezadoCar">
    <w:name w:val="Encabezado Car"/>
    <w:basedOn w:val="Fuentedeprrafopredeter"/>
    <w:link w:val="Encabezado"/>
    <w:uiPriority w:val="99"/>
    <w:rsid w:val="00585A49"/>
    <w:rPr>
      <w:sz w:val="24"/>
      <w:lang w:val="es-MX"/>
    </w:rPr>
  </w:style>
  <w:style w:type="table" w:styleId="Tablaconcuadrcula">
    <w:name w:val="Table Grid"/>
    <w:basedOn w:val="Tablanormal"/>
    <w:uiPriority w:val="59"/>
    <w:rsid w:val="00585A4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85A49"/>
    <w:pPr>
      <w:ind w:left="720"/>
      <w:contextualSpacing/>
    </w:pPr>
  </w:style>
  <w:style w:type="paragraph" w:styleId="Sinespaciado">
    <w:name w:val="No Spacing"/>
    <w:uiPriority w:val="1"/>
    <w:qFormat/>
    <w:rsid w:val="00585A4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85A4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85A49"/>
    <w:rPr>
      <w:sz w:val="20"/>
      <w:szCs w:val="20"/>
    </w:rPr>
  </w:style>
  <w:style w:type="character" w:customStyle="1" w:styleId="TextonotapieCar1">
    <w:name w:val="Texto nota pie Car1"/>
    <w:basedOn w:val="Fuentedeprrafopredeter"/>
    <w:uiPriority w:val="99"/>
    <w:semiHidden/>
    <w:rsid w:val="00585A4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5A4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85A49"/>
    <w:rPr>
      <w:vertAlign w:val="superscript"/>
    </w:rPr>
  </w:style>
  <w:style w:type="paragraph" w:customStyle="1" w:styleId="Appelnotedebasde">
    <w:name w:val="Appel note de bas de..."/>
    <w:basedOn w:val="Normal"/>
    <w:link w:val="Refdenotaalpie"/>
    <w:uiPriority w:val="99"/>
    <w:rsid w:val="00585A49"/>
    <w:pPr>
      <w:spacing w:after="160" w:line="240" w:lineRule="exact"/>
    </w:pPr>
    <w:rPr>
      <w:sz w:val="22"/>
      <w:vertAlign w:val="superscript"/>
      <w:lang w:val="es-ES"/>
    </w:rPr>
  </w:style>
  <w:style w:type="character" w:customStyle="1" w:styleId="normaltextrun">
    <w:name w:val="normaltextrun"/>
    <w:basedOn w:val="Fuentedeprrafopredeter"/>
    <w:rsid w:val="00585A49"/>
  </w:style>
  <w:style w:type="paragraph" w:styleId="Textodeglobo">
    <w:name w:val="Balloon Text"/>
    <w:basedOn w:val="Normal"/>
    <w:link w:val="TextodegloboCar"/>
    <w:uiPriority w:val="99"/>
    <w:semiHidden/>
    <w:unhideWhenUsed/>
    <w:rsid w:val="006948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483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694830"/>
    <w:rPr>
      <w:sz w:val="16"/>
      <w:szCs w:val="16"/>
    </w:rPr>
  </w:style>
  <w:style w:type="paragraph" w:styleId="Textocomentario">
    <w:name w:val="annotation text"/>
    <w:basedOn w:val="Normal"/>
    <w:link w:val="TextocomentarioCar"/>
    <w:uiPriority w:val="99"/>
    <w:semiHidden/>
    <w:unhideWhenUsed/>
    <w:rsid w:val="00694830"/>
    <w:rPr>
      <w:sz w:val="20"/>
      <w:szCs w:val="20"/>
    </w:rPr>
  </w:style>
  <w:style w:type="character" w:customStyle="1" w:styleId="TextocomentarioCar">
    <w:name w:val="Texto comentario Car"/>
    <w:basedOn w:val="Fuentedeprrafopredeter"/>
    <w:link w:val="Textocomentario"/>
    <w:uiPriority w:val="99"/>
    <w:semiHidden/>
    <w:rsid w:val="0069483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94830"/>
    <w:rPr>
      <w:b/>
      <w:bCs/>
    </w:rPr>
  </w:style>
  <w:style w:type="character" w:customStyle="1" w:styleId="AsuntodelcomentarioCar">
    <w:name w:val="Asunto del comentario Car"/>
    <w:basedOn w:val="TextocomentarioCar"/>
    <w:link w:val="Asuntodelcomentario"/>
    <w:uiPriority w:val="99"/>
    <w:semiHidden/>
    <w:rsid w:val="00694830"/>
    <w:rPr>
      <w:b/>
      <w:bCs/>
      <w:sz w:val="20"/>
      <w:szCs w:val="20"/>
      <w:lang w:val="es-MX"/>
    </w:rPr>
  </w:style>
  <w:style w:type="character" w:customStyle="1" w:styleId="eop">
    <w:name w:val="eop"/>
    <w:basedOn w:val="Fuentedeprrafopredeter"/>
    <w:rsid w:val="003C07B0"/>
  </w:style>
  <w:style w:type="table" w:customStyle="1" w:styleId="Tablaconcuadrcula1">
    <w:name w:val="Tabla con cuadrícula1"/>
    <w:basedOn w:val="Tablanormal"/>
    <w:next w:val="Tablaconcuadrcula"/>
    <w:uiPriority w:val="39"/>
    <w:rsid w:val="0023309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233094"/>
    <w:rPr>
      <w:sz w:val="20"/>
      <w:szCs w:val="20"/>
    </w:rPr>
  </w:style>
  <w:style w:type="paragraph" w:customStyle="1" w:styleId="Default">
    <w:name w:val="Default"/>
    <w:rsid w:val="0013785A"/>
    <w:pPr>
      <w:autoSpaceDE w:val="0"/>
      <w:autoSpaceDN w:val="0"/>
      <w:adjustRightInd w:val="0"/>
      <w:spacing w:after="0" w:line="240" w:lineRule="auto"/>
    </w:pPr>
    <w:rPr>
      <w:rFonts w:ascii="Arial" w:hAnsi="Arial" w:cs="Arial"/>
      <w:color w:val="000000"/>
      <w:sz w:val="24"/>
      <w:szCs w:val="24"/>
      <w:lang w:val="es-CO"/>
    </w:rPr>
  </w:style>
  <w:style w:type="paragraph" w:styleId="Revisin">
    <w:name w:val="Revision"/>
    <w:hidden/>
    <w:uiPriority w:val="99"/>
    <w:semiHidden/>
    <w:rsid w:val="009F035A"/>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943927">
      <w:bodyDiv w:val="1"/>
      <w:marLeft w:val="0"/>
      <w:marRight w:val="0"/>
      <w:marTop w:val="0"/>
      <w:marBottom w:val="0"/>
      <w:divBdr>
        <w:top w:val="none" w:sz="0" w:space="0" w:color="auto"/>
        <w:left w:val="none" w:sz="0" w:space="0" w:color="auto"/>
        <w:bottom w:val="none" w:sz="0" w:space="0" w:color="auto"/>
        <w:right w:val="none" w:sz="0" w:space="0" w:color="auto"/>
      </w:divBdr>
    </w:div>
    <w:div w:id="1244533645">
      <w:bodyDiv w:val="1"/>
      <w:marLeft w:val="0"/>
      <w:marRight w:val="0"/>
      <w:marTop w:val="0"/>
      <w:marBottom w:val="0"/>
      <w:divBdr>
        <w:top w:val="none" w:sz="0" w:space="0" w:color="auto"/>
        <w:left w:val="none" w:sz="0" w:space="0" w:color="auto"/>
        <w:bottom w:val="none" w:sz="0" w:space="0" w:color="auto"/>
        <w:right w:val="none" w:sz="0" w:space="0" w:color="auto"/>
      </w:divBdr>
    </w:div>
    <w:div w:id="1341353621">
      <w:bodyDiv w:val="1"/>
      <w:marLeft w:val="0"/>
      <w:marRight w:val="0"/>
      <w:marTop w:val="0"/>
      <w:marBottom w:val="0"/>
      <w:divBdr>
        <w:top w:val="none" w:sz="0" w:space="0" w:color="auto"/>
        <w:left w:val="none" w:sz="0" w:space="0" w:color="auto"/>
        <w:bottom w:val="none" w:sz="0" w:space="0" w:color="auto"/>
        <w:right w:val="none" w:sz="0" w:space="0" w:color="auto"/>
      </w:divBdr>
    </w:div>
    <w:div w:id="1368800575">
      <w:bodyDiv w:val="1"/>
      <w:marLeft w:val="0"/>
      <w:marRight w:val="0"/>
      <w:marTop w:val="0"/>
      <w:marBottom w:val="0"/>
      <w:divBdr>
        <w:top w:val="none" w:sz="0" w:space="0" w:color="auto"/>
        <w:left w:val="none" w:sz="0" w:space="0" w:color="auto"/>
        <w:bottom w:val="none" w:sz="0" w:space="0" w:color="auto"/>
        <w:right w:val="none" w:sz="0" w:space="0" w:color="auto"/>
      </w:divBdr>
    </w:div>
    <w:div w:id="1418743528">
      <w:bodyDiv w:val="1"/>
      <w:marLeft w:val="0"/>
      <w:marRight w:val="0"/>
      <w:marTop w:val="0"/>
      <w:marBottom w:val="0"/>
      <w:divBdr>
        <w:top w:val="none" w:sz="0" w:space="0" w:color="auto"/>
        <w:left w:val="none" w:sz="0" w:space="0" w:color="auto"/>
        <w:bottom w:val="none" w:sz="0" w:space="0" w:color="auto"/>
        <w:right w:val="none" w:sz="0" w:space="0" w:color="auto"/>
      </w:divBdr>
    </w:div>
    <w:div w:id="1849907399">
      <w:bodyDiv w:val="1"/>
      <w:marLeft w:val="0"/>
      <w:marRight w:val="0"/>
      <w:marTop w:val="0"/>
      <w:marBottom w:val="0"/>
      <w:divBdr>
        <w:top w:val="none" w:sz="0" w:space="0" w:color="auto"/>
        <w:left w:val="none" w:sz="0" w:space="0" w:color="auto"/>
        <w:bottom w:val="none" w:sz="0" w:space="0" w:color="auto"/>
        <w:right w:val="none" w:sz="0" w:space="0" w:color="auto"/>
      </w:divBdr>
    </w:div>
    <w:div w:id="213701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ABE4D61-133D-4C00-8BFA-E3E0CA1CDB01}">
  <ds:schemaRefs>
    <ds:schemaRef ds:uri="http://schemas.openxmlformats.org/officeDocument/2006/bibliography"/>
  </ds:schemaRefs>
</ds:datastoreItem>
</file>

<file path=customXml/itemProps2.xml><?xml version="1.0" encoding="utf-8"?>
<ds:datastoreItem xmlns:ds="http://schemas.openxmlformats.org/officeDocument/2006/customXml" ds:itemID="{08C2798A-0455-47A2-BE5C-86B96566B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8D64F0-05B5-49D0-8ADD-DE2FC2DE2CB4}">
  <ds:schemaRefs>
    <ds:schemaRef ds:uri="http://schemas.microsoft.com/sharepoint/v3/contenttype/forms"/>
  </ds:schemaRefs>
</ds:datastoreItem>
</file>

<file path=customXml/itemProps4.xml><?xml version="1.0" encoding="utf-8"?>
<ds:datastoreItem xmlns:ds="http://schemas.openxmlformats.org/officeDocument/2006/customXml" ds:itemID="{1854E785-AA95-4D3B-9492-3CAEE6FBCC4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3596</Words>
  <Characters>19783</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David Montoya Penagos</dc:creator>
  <cp:keywords/>
  <dc:description/>
  <cp:lastModifiedBy>JUAN CAMILO VESGA BONILLA</cp:lastModifiedBy>
  <cp:revision>2</cp:revision>
  <dcterms:created xsi:type="dcterms:W3CDTF">2021-09-06T16:24:00Z</dcterms:created>
  <dcterms:modified xsi:type="dcterms:W3CDTF">2021-09-06T16:24:00Z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