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8E027" w14:textId="77777777" w:rsidR="0044333F" w:rsidRPr="00E87EA6" w:rsidRDefault="0044333F" w:rsidP="00B03B23">
      <w:pPr>
        <w:pStyle w:val="Textoindependiente"/>
        <w:spacing w:before="90"/>
        <w:jc w:val="both"/>
        <w:rPr>
          <w:rFonts w:ascii="Verdana" w:hAnsi="Verdana"/>
          <w:b/>
          <w:lang w:val="es-ES_tradnl"/>
        </w:rPr>
      </w:pPr>
      <w:r w:rsidRPr="00E87EA6">
        <w:rPr>
          <w:rFonts w:ascii="Verdana" w:hAnsi="Verdana"/>
          <w:b/>
          <w:lang w:val="es-ES_tradnl"/>
        </w:rPr>
        <w:t xml:space="preserve">GARANTÍA DE ÚNICA DE CUMPLIMIENTO – Definición – Fundamento normativo </w:t>
      </w:r>
    </w:p>
    <w:p w14:paraId="3CA4549D" w14:textId="77777777" w:rsidR="0044333F" w:rsidRPr="00B03B23" w:rsidRDefault="0044333F" w:rsidP="00B03B23">
      <w:pPr>
        <w:pStyle w:val="Textoindependiente"/>
        <w:spacing w:before="90"/>
        <w:jc w:val="both"/>
        <w:rPr>
          <w:rFonts w:ascii="Verdana" w:hAnsi="Verdana"/>
          <w:sz w:val="20"/>
          <w:szCs w:val="20"/>
          <w:lang w:val="es-ES_tradnl"/>
        </w:rPr>
      </w:pPr>
      <w:r w:rsidRPr="00B03B23">
        <w:rPr>
          <w:rFonts w:ascii="Verdana" w:hAnsi="Verdana"/>
          <w:sz w:val="20"/>
          <w:szCs w:val="20"/>
          <w:lang w:val="es-ES_tradnl"/>
        </w:rPr>
        <w:t xml:space="preserve">[…] mediante la </w:t>
      </w:r>
      <w:r w:rsidRPr="00B03B23">
        <w:rPr>
          <w:rFonts w:ascii="Verdana" w:hAnsi="Verdana"/>
          <w:i/>
          <w:iCs/>
          <w:sz w:val="20"/>
          <w:szCs w:val="20"/>
          <w:lang w:val="es-ES_tradnl"/>
        </w:rPr>
        <w:t>garantía de única de cumplimiento</w:t>
      </w:r>
      <w:r w:rsidRPr="00B03B23">
        <w:rPr>
          <w:rFonts w:ascii="Verdana" w:hAnsi="Verdana"/>
          <w:sz w:val="20"/>
          <w:szCs w:val="20"/>
          <w:lang w:val="es-ES_tradnl"/>
        </w:rPr>
        <w:t xml:space="preserve">, el contratista ampara los perjuicios que le pueda generar a la entidad el incumplimiento de las obligaciones derivadas del contrato. En esta medida, tienen como objetivo reparar los perjuicios causados por conductas atribuibles al contratista, por lo que estos últimos son un presupuesto necesario para el pago que cubre la garantía. Para estos efectos es única, ya que “[…] La prioridad […] es que no haya garantías separadas para los diferentes riesgos, aunque existan varias garantías para diferentes proporciones del interés asegurado […]”.    </w:t>
      </w:r>
    </w:p>
    <w:p w14:paraId="750EC0D1" w14:textId="77777777" w:rsidR="0044333F" w:rsidRPr="00B03B23" w:rsidRDefault="0044333F" w:rsidP="00B03B23">
      <w:pPr>
        <w:pStyle w:val="Textoindependiente"/>
        <w:spacing w:before="90"/>
        <w:jc w:val="both"/>
        <w:rPr>
          <w:rFonts w:ascii="Verdana" w:hAnsi="Verdana"/>
          <w:sz w:val="20"/>
          <w:szCs w:val="20"/>
        </w:rPr>
      </w:pPr>
      <w:r w:rsidRPr="00B03B23">
        <w:rPr>
          <w:rFonts w:ascii="Verdana" w:hAnsi="Verdana"/>
          <w:sz w:val="20"/>
          <w:szCs w:val="20"/>
        </w:rPr>
        <w:t xml:space="preserve">Desde esta perspectiva, ambas garantías constituyen una obligación de seguridad, es decir, aquella donde el interés del acreedor no consiste en una utilidad específica y tangible, sino en la tranquilidad frente a ciertos riesgos por la cobertura de sus consecuencias nocivas. Conforme al inciso segundo del artículo 7 de la Ley 1150 de 2007, pueden otorgarse a través de: i) contratos de seguro, </w:t>
      </w:r>
      <w:proofErr w:type="spellStart"/>
      <w:r w:rsidRPr="00B03B23">
        <w:rPr>
          <w:rFonts w:ascii="Verdana" w:hAnsi="Verdana"/>
          <w:sz w:val="20"/>
          <w:szCs w:val="20"/>
        </w:rPr>
        <w:t>ii</w:t>
      </w:r>
      <w:proofErr w:type="spellEnd"/>
      <w:r w:rsidRPr="00B03B23">
        <w:rPr>
          <w:rFonts w:ascii="Verdana" w:hAnsi="Verdana"/>
          <w:sz w:val="20"/>
          <w:szCs w:val="20"/>
        </w:rPr>
        <w:t xml:space="preserve">) garantías bancarias o </w:t>
      </w:r>
      <w:proofErr w:type="spellStart"/>
      <w:r w:rsidRPr="00B03B23">
        <w:rPr>
          <w:rFonts w:ascii="Verdana" w:hAnsi="Verdana"/>
          <w:sz w:val="20"/>
          <w:szCs w:val="20"/>
        </w:rPr>
        <w:t>iii</w:t>
      </w:r>
      <w:proofErr w:type="spellEnd"/>
      <w:r w:rsidRPr="00B03B23">
        <w:rPr>
          <w:rFonts w:ascii="Verdana" w:hAnsi="Verdana"/>
          <w:sz w:val="20"/>
          <w:szCs w:val="20"/>
        </w:rPr>
        <w:t>) los demás mecanismos de cobertura del riesgo que disponga el reglamento. Igualmente establece que “[…] tratándose de pólizas, las mismas no expirarán por falta de pago de la prima o por revocatoria unilateral […]”. Esta norma es una excepción a la terminación automática del contrato de seguro prevista en los artículos 1068 y 1071 del Código de Comercio. De esta manera, las garantías previstas en la ley tienen como objetivo asegurar la solvencia del garante.</w:t>
      </w:r>
    </w:p>
    <w:p w14:paraId="18DD82A2" w14:textId="77777777" w:rsidR="0044333F" w:rsidRPr="00E87EA6" w:rsidRDefault="0044333F" w:rsidP="00B03B23">
      <w:pPr>
        <w:pStyle w:val="Textoindependiente"/>
        <w:spacing w:before="90"/>
        <w:jc w:val="both"/>
        <w:rPr>
          <w:rFonts w:ascii="Verdana" w:hAnsi="Verdana"/>
          <w:b/>
          <w:lang w:val="es-ES_tradnl"/>
        </w:rPr>
      </w:pPr>
      <w:r w:rsidRPr="00E87EA6">
        <w:rPr>
          <w:rFonts w:ascii="Verdana" w:hAnsi="Verdana"/>
          <w:b/>
          <w:lang w:val="es-ES_tradnl"/>
        </w:rPr>
        <w:t xml:space="preserve">LIQUIDACIÓN DEL CONTRATO – Definición – Objetivo </w:t>
      </w:r>
    </w:p>
    <w:p w14:paraId="0540C162" w14:textId="77777777" w:rsidR="0044333F" w:rsidRPr="00B03B23" w:rsidRDefault="0044333F" w:rsidP="00B03B23">
      <w:pPr>
        <w:pStyle w:val="Textoindependiente"/>
        <w:spacing w:before="90"/>
        <w:jc w:val="both"/>
        <w:rPr>
          <w:rFonts w:ascii="Verdana" w:hAnsi="Verdana"/>
          <w:sz w:val="20"/>
          <w:szCs w:val="20"/>
        </w:rPr>
      </w:pPr>
      <w:r w:rsidRPr="00B03B23">
        <w:rPr>
          <w:rFonts w:ascii="Verdana" w:hAnsi="Verdana"/>
          <w:sz w:val="20"/>
          <w:szCs w:val="20"/>
        </w:rPr>
        <w:t xml:space="preserve">La liquidación del contrato estatal es el ajuste de cuentas en el cual se realiza un balance económico, técnico y jurídico del negocio. Así lo manifestó el Consejo de Estado en la sentencia del 20 de octubre de 2014, en la que consideró, por un lado, que </w:t>
      </w:r>
      <w:r w:rsidRPr="00B03B23">
        <w:rPr>
          <w:rFonts w:ascii="Verdana" w:hAnsi="Verdana"/>
          <w:i/>
          <w:iCs/>
          <w:sz w:val="20"/>
          <w:szCs w:val="20"/>
        </w:rPr>
        <w:t>liquidar</w:t>
      </w:r>
      <w:r w:rsidRPr="00B03B23">
        <w:rPr>
          <w:rFonts w:ascii="Verdana" w:hAnsi="Verdana"/>
          <w:sz w:val="20"/>
          <w:szCs w:val="20"/>
        </w:rPr>
        <w:t xml:space="preserve"> supone un ajuste en relación con las cuentas y el estado de cumplimiento del contrato estatal y, por otro, que la </w:t>
      </w:r>
      <w:r w:rsidRPr="00B03B23">
        <w:rPr>
          <w:rFonts w:ascii="Verdana" w:hAnsi="Verdana"/>
          <w:i/>
          <w:iCs/>
          <w:sz w:val="20"/>
          <w:szCs w:val="20"/>
        </w:rPr>
        <w:t>liquidación</w:t>
      </w:r>
      <w:r w:rsidRPr="00B03B23">
        <w:rPr>
          <w:rFonts w:ascii="Verdana" w:hAnsi="Verdana"/>
          <w:sz w:val="20"/>
          <w:szCs w:val="20"/>
        </w:rPr>
        <w:t xml:space="preserve"> debe incluir el análisis de las condiciones de calidad y oportunidad en la entrega de los bienes, obras o servicios, así como el balance económico y el comportamiento financiero del negocio.</w:t>
      </w:r>
    </w:p>
    <w:p w14:paraId="1D3C4A6A" w14:textId="1C50D545" w:rsidR="0044333F" w:rsidRPr="00B03B23" w:rsidRDefault="0044333F" w:rsidP="00B03B23">
      <w:pPr>
        <w:pStyle w:val="Textoindependiente"/>
        <w:spacing w:before="90"/>
        <w:jc w:val="both"/>
        <w:rPr>
          <w:rFonts w:ascii="Verdana" w:hAnsi="Verdana"/>
          <w:b/>
          <w:lang w:val="es-ES_tradnl"/>
        </w:rPr>
      </w:pPr>
      <w:r w:rsidRPr="00E87EA6">
        <w:rPr>
          <w:rFonts w:ascii="Verdana" w:hAnsi="Verdana"/>
          <w:b/>
          <w:lang w:val="es-ES_tradnl"/>
        </w:rPr>
        <w:t xml:space="preserve">LIQUIDACIÓN DEL CONTRATO – Normativa </w:t>
      </w:r>
    </w:p>
    <w:p w14:paraId="2CFF98F4" w14:textId="35A857A5" w:rsidR="0044333F" w:rsidRPr="00B03B23" w:rsidRDefault="0044333F" w:rsidP="00B03B23">
      <w:pPr>
        <w:pStyle w:val="Textoindependiente"/>
        <w:spacing w:before="90"/>
        <w:jc w:val="both"/>
        <w:rPr>
          <w:rFonts w:ascii="Verdana" w:hAnsi="Verdana"/>
          <w:sz w:val="20"/>
          <w:szCs w:val="20"/>
        </w:rPr>
      </w:pPr>
      <w:r w:rsidRPr="00B03B23">
        <w:rPr>
          <w:rFonts w:ascii="Verdana" w:hAnsi="Verdana"/>
          <w:sz w:val="20"/>
          <w:szCs w:val="20"/>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realización. De acuerdo con el artículo 60 de la Ley 80 de 1993, los contratos de tracto sucesivo, aquellos cuyo cumplimiento o ejecución se prolongue en el tiempo y los demás que lo requieran «serán objeto de liquidación». El mismo </w:t>
      </w:r>
      <w:r w:rsidRPr="00B03B23">
        <w:rPr>
          <w:rFonts w:ascii="Verdana" w:hAnsi="Verdana"/>
          <w:sz w:val="20"/>
          <w:szCs w:val="20"/>
        </w:rPr>
        <w:lastRenderedPageBreak/>
        <w:t xml:space="preserve">artículo prescribe que no será obligatoria la liquidación en los contratos de prestación de servicios profesionales y de apoyo a la gestión. El artículo 11 de la Ley 1150 de </w:t>
      </w:r>
      <w:r w:rsidR="00B03B23" w:rsidRPr="00B03B23">
        <w:rPr>
          <w:rFonts w:ascii="Verdana" w:hAnsi="Verdana"/>
          <w:sz w:val="20"/>
          <w:szCs w:val="20"/>
        </w:rPr>
        <w:t>2007 contiene</w:t>
      </w:r>
      <w:r w:rsidRPr="00B03B23">
        <w:rPr>
          <w:rFonts w:ascii="Verdana" w:hAnsi="Verdana"/>
          <w:sz w:val="20"/>
          <w:szCs w:val="20"/>
        </w:rPr>
        <w:t xml:space="preserve"> las reglas de tipo procedimental para liquidar los contratos estatales, […].</w:t>
      </w:r>
    </w:p>
    <w:p w14:paraId="4008CDA0" w14:textId="77777777" w:rsidR="0044333F" w:rsidRPr="00E87EA6" w:rsidRDefault="0044333F" w:rsidP="00B03B23">
      <w:pPr>
        <w:pStyle w:val="Textoindependiente"/>
        <w:spacing w:before="90"/>
        <w:jc w:val="both"/>
        <w:rPr>
          <w:rFonts w:ascii="Verdana" w:hAnsi="Verdana"/>
          <w:b/>
          <w:lang w:val="es-ES_tradnl"/>
        </w:rPr>
      </w:pPr>
      <w:r w:rsidRPr="00E87EA6">
        <w:rPr>
          <w:rFonts w:ascii="Verdana" w:hAnsi="Verdana"/>
          <w:b/>
          <w:lang w:val="es-ES_tradnl"/>
        </w:rPr>
        <w:t>LIQUIDACIÓN DEL CONTRATO – Garantía única de cumplimiento – Suficiencia</w:t>
      </w:r>
    </w:p>
    <w:p w14:paraId="281DD1CB" w14:textId="77777777" w:rsidR="0044333F" w:rsidRPr="00B03B23" w:rsidRDefault="0044333F" w:rsidP="00B03B23">
      <w:pPr>
        <w:pStyle w:val="Textoindependiente"/>
        <w:spacing w:before="90"/>
        <w:jc w:val="both"/>
        <w:rPr>
          <w:rFonts w:ascii="Verdana" w:hAnsi="Verdana"/>
          <w:sz w:val="20"/>
          <w:szCs w:val="20"/>
        </w:rPr>
      </w:pPr>
      <w:r w:rsidRPr="00B03B23">
        <w:rPr>
          <w:rFonts w:ascii="Verdana" w:hAnsi="Verdana"/>
          <w:sz w:val="20"/>
          <w:szCs w:val="20"/>
        </w:rPr>
        <w:t xml:space="preserve">El artículo 2.2.1.2.3.1.12 regula la suficiencia de la garantía de cumplimiento. Esta debe tener una vigencia mínima hasta la liquidación y, por regla general un valor de por lo menos el diez por ciento (10%) del total del contrato, siempre que este sea inferior a un millón (1.000.000) de </w:t>
      </w:r>
      <w:proofErr w:type="spellStart"/>
      <w:r w:rsidRPr="00B03B23">
        <w:rPr>
          <w:rFonts w:ascii="Verdana" w:hAnsi="Verdana"/>
          <w:sz w:val="20"/>
          <w:szCs w:val="20"/>
        </w:rPr>
        <w:t>smmlv</w:t>
      </w:r>
      <w:proofErr w:type="spellEnd"/>
      <w:r w:rsidRPr="00B03B23">
        <w:rPr>
          <w:rFonts w:ascii="Verdana" w:hAnsi="Verdana"/>
          <w:sz w:val="20"/>
          <w:szCs w:val="20"/>
        </w:rPr>
        <w:t>. Conforme la norma citada, el amparo cubre tanto el plazo de ejecución como el plazo de vigencia del contrato. Así, la cobertura mínima del amparo de cumplimiento cubre el plazo de ejecución y el plazo de vigencia, el cual finaliza con la liquidación. En palabras de la doctrina, “[…] el contratista deberá otorgarla con una vigencia igual al plazo del contrato garantizado más el plazo contractual previsto para la liquidación de aquel. En caso de no haberse convenido por las partes un término para la liquidación del contrato, la garantía deberá mantenerse vigente por el término legal previsto para este efecto […]”.</w:t>
      </w:r>
    </w:p>
    <w:p w14:paraId="53D8C3D1" w14:textId="77777777" w:rsidR="0044333F" w:rsidRPr="00B03B23" w:rsidRDefault="0044333F" w:rsidP="00B03B23">
      <w:pPr>
        <w:pStyle w:val="Textoindependiente"/>
        <w:spacing w:before="90"/>
        <w:jc w:val="both"/>
        <w:rPr>
          <w:rFonts w:ascii="Verdana" w:hAnsi="Verdana"/>
          <w:sz w:val="20"/>
          <w:szCs w:val="20"/>
        </w:rPr>
      </w:pPr>
      <w:r w:rsidRPr="00B03B23">
        <w:rPr>
          <w:rFonts w:ascii="Verdana" w:hAnsi="Verdana"/>
          <w:sz w:val="20"/>
          <w:szCs w:val="20"/>
        </w:rPr>
        <w:t>Dentro de este marco, los interesados adoptarán las medidas que estimen pertinentes respecto a la vigencia del amparo de cumplimiento después de vencer el término para liquidar. Especialmente, previa asesoría de sus representantes legales, los contratistas del Estado deberán evaluar los cursos de acción disponibles frente a la falta de liquidación oportuna. En ambos casos, al tratarse de un análisis que debe realizarse en cada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uno de ellos definirá la forma de adelantar su gestión contractual, sin que sea atribución de Colombia Compra Eficiente validar sus actuaciones.</w:t>
      </w:r>
    </w:p>
    <w:p w14:paraId="4381D623" w14:textId="16373587" w:rsidR="00871B59" w:rsidRDefault="0044333F" w:rsidP="00B03B23">
      <w:pPr>
        <w:rPr>
          <w:rFonts w:ascii="Verdana" w:eastAsia="Times New Roman" w:hAnsi="Verdana" w:cs="Times New Roman"/>
          <w:lang w:eastAsia="es-ES"/>
        </w:rPr>
      </w:pPr>
      <w:r w:rsidRPr="00E87EA6">
        <w:rPr>
          <w:rFonts w:ascii="Verdana" w:hAnsi="Verdana"/>
        </w:rPr>
        <w:br w:type="page"/>
      </w:r>
    </w:p>
    <w:p w14:paraId="18AB2A11" w14:textId="77777777" w:rsidR="00B03B23" w:rsidRPr="00B03B23" w:rsidRDefault="00B03B23" w:rsidP="00B03B23">
      <w:pPr>
        <w:rPr>
          <w:rFonts w:ascii="Verdana" w:eastAsia="Times New Roman" w:hAnsi="Verdana" w:cs="Times New Roman"/>
          <w:lang w:eastAsia="es-ES"/>
        </w:rPr>
      </w:pPr>
    </w:p>
    <w:p w14:paraId="6700D6DA" w14:textId="77777777" w:rsidR="00871B59" w:rsidRPr="00E87EA6" w:rsidRDefault="00871B59" w:rsidP="00871B59">
      <w:pPr>
        <w:spacing w:after="0" w:line="240" w:lineRule="auto"/>
        <w:rPr>
          <w:rFonts w:ascii="Verdana" w:eastAsia="Geomanist Light" w:hAnsi="Verdana" w:cs="Arial"/>
          <w:lang w:val="es-MX"/>
        </w:rPr>
      </w:pPr>
      <w:r w:rsidRPr="00E87EA6">
        <w:rPr>
          <w:rFonts w:ascii="Verdana" w:eastAsia="Geomanist Light" w:hAnsi="Verdana" w:cs="Arial"/>
          <w:lang w:val="es-MX"/>
        </w:rPr>
        <w:t>Bogotá D.C., [Día] de [</w:t>
      </w:r>
      <w:proofErr w:type="spellStart"/>
      <w:r w:rsidRPr="00E87EA6">
        <w:rPr>
          <w:rFonts w:ascii="Verdana" w:eastAsia="Geomanist Light" w:hAnsi="Verdana" w:cs="Arial"/>
          <w:lang w:val="es-MX"/>
        </w:rPr>
        <w:t>Mes.NombreCapitalizado</w:t>
      </w:r>
      <w:proofErr w:type="spellEnd"/>
      <w:r w:rsidRPr="00E87EA6">
        <w:rPr>
          <w:rFonts w:ascii="Verdana" w:eastAsia="Geomanist Light" w:hAnsi="Verdana" w:cs="Arial"/>
          <w:lang w:val="es-MX"/>
        </w:rPr>
        <w:t>] de [Año]</w:t>
      </w:r>
    </w:p>
    <w:p w14:paraId="263F56BE" w14:textId="77777777" w:rsidR="00871B59" w:rsidRPr="00E87EA6" w:rsidRDefault="00871B59" w:rsidP="00871B59">
      <w:pPr>
        <w:spacing w:after="0" w:line="240" w:lineRule="auto"/>
        <w:jc w:val="both"/>
        <w:rPr>
          <w:rFonts w:ascii="Verdana" w:eastAsia="Calibri" w:hAnsi="Verdana" w:cs="Arial"/>
          <w:lang w:val="es-ES"/>
        </w:rPr>
      </w:pPr>
    </w:p>
    <w:p w14:paraId="66EF7FED" w14:textId="2D7DED6F" w:rsidR="00871B59" w:rsidRPr="00E87EA6" w:rsidRDefault="00B03B23" w:rsidP="00871B59">
      <w:pPr>
        <w:spacing w:after="0" w:line="240" w:lineRule="auto"/>
        <w:jc w:val="both"/>
        <w:rPr>
          <w:rFonts w:ascii="Verdana" w:eastAsia="Calibri" w:hAnsi="Verdana" w:cs="Arial"/>
          <w:lang w:val="es-ES" w:eastAsia="es-ES"/>
        </w:rPr>
      </w:pPr>
      <w:r w:rsidRPr="00233B2C">
        <w:rPr>
          <w:rFonts w:ascii="Verdana" w:eastAsia="Calibri" w:hAnsi="Verdana" w:cs="Arial"/>
          <w:b/>
          <w:noProof/>
          <w:lang w:val="es-ES_tradnl" w:eastAsia="es-ES_tradnl"/>
        </w:rPr>
        <w:drawing>
          <wp:anchor distT="0" distB="0" distL="114300" distR="114300" simplePos="0" relativeHeight="251658240" behindDoc="1" locked="0" layoutInCell="1" allowOverlap="1" wp14:anchorId="6A4520DF" wp14:editId="5A3E756F">
            <wp:simplePos x="0" y="0"/>
            <wp:positionH relativeFrom="margin">
              <wp:posOffset>2891128</wp:posOffset>
            </wp:positionH>
            <wp:positionV relativeFrom="paragraph">
              <wp:posOffset>8282</wp:posOffset>
            </wp:positionV>
            <wp:extent cx="2700020" cy="717550"/>
            <wp:effectExtent l="0" t="0" r="5080" b="6350"/>
            <wp:wrapSquare wrapText="bothSides"/>
            <wp:docPr id="2259032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903234" name=""/>
                    <pic:cNvPicPr/>
                  </pic:nvPicPr>
                  <pic:blipFill>
                    <a:blip r:embed="rId11">
                      <a:extLst>
                        <a:ext uri="{28A0092B-C50C-407E-A947-70E740481C1C}">
                          <a14:useLocalDpi xmlns:a14="http://schemas.microsoft.com/office/drawing/2010/main" val="0"/>
                        </a:ext>
                      </a:extLst>
                    </a:blip>
                    <a:stretch>
                      <a:fillRect/>
                    </a:stretch>
                  </pic:blipFill>
                  <pic:spPr>
                    <a:xfrm>
                      <a:off x="0" y="0"/>
                      <a:ext cx="2700020" cy="717550"/>
                    </a:xfrm>
                    <a:prstGeom prst="rect">
                      <a:avLst/>
                    </a:prstGeom>
                  </pic:spPr>
                </pic:pic>
              </a:graphicData>
            </a:graphic>
            <wp14:sizeRelH relativeFrom="page">
              <wp14:pctWidth>0</wp14:pctWidth>
            </wp14:sizeRelH>
            <wp14:sizeRelV relativeFrom="page">
              <wp14:pctHeight>0</wp14:pctHeight>
            </wp14:sizeRelV>
          </wp:anchor>
        </w:drawing>
      </w:r>
      <w:r w:rsidR="00871B59" w:rsidRPr="00E87EA6">
        <w:rPr>
          <w:rFonts w:ascii="Verdana" w:eastAsia="Calibri" w:hAnsi="Verdana" w:cs="Arial"/>
          <w:lang w:val="es-ES" w:eastAsia="es-ES"/>
        </w:rPr>
        <w:t>Señor</w:t>
      </w:r>
      <w:r w:rsidR="0044333F" w:rsidRPr="00E87EA6">
        <w:rPr>
          <w:rFonts w:ascii="Verdana" w:eastAsia="Calibri" w:hAnsi="Verdana" w:cs="Arial"/>
          <w:lang w:val="es-ES" w:eastAsia="es-ES"/>
        </w:rPr>
        <w:t>a</w:t>
      </w:r>
    </w:p>
    <w:p w14:paraId="0D0B9D30" w14:textId="530A7FE2" w:rsidR="00871B59" w:rsidRPr="00E87EA6" w:rsidRDefault="0044333F" w:rsidP="00871B59">
      <w:pPr>
        <w:spacing w:after="0" w:line="240" w:lineRule="auto"/>
        <w:rPr>
          <w:rFonts w:ascii="Verdana" w:eastAsia="Calibri" w:hAnsi="Verdana" w:cs="Arial"/>
          <w:b/>
          <w:lang w:val="es-ES_tradnl" w:eastAsia="es-ES_tradnl"/>
        </w:rPr>
      </w:pPr>
      <w:r w:rsidRPr="00E87EA6">
        <w:rPr>
          <w:rFonts w:ascii="Verdana" w:eastAsia="Calibri" w:hAnsi="Verdana" w:cs="Arial"/>
          <w:b/>
          <w:lang w:val="es-ES_tradnl" w:eastAsia="es-ES_tradnl"/>
        </w:rPr>
        <w:t>Lina Alejandra Urrea Serna</w:t>
      </w:r>
      <w:r w:rsidR="00233B2C">
        <w:rPr>
          <w:rFonts w:ascii="Verdana" w:eastAsia="Calibri" w:hAnsi="Verdana" w:cs="Arial"/>
          <w:b/>
          <w:lang w:val="es-ES_tradnl" w:eastAsia="es-ES_tradnl"/>
        </w:rPr>
        <w:tab/>
      </w:r>
      <w:r w:rsidR="00233B2C">
        <w:rPr>
          <w:rFonts w:ascii="Verdana" w:eastAsia="Calibri" w:hAnsi="Verdana" w:cs="Arial"/>
          <w:b/>
          <w:lang w:val="es-ES_tradnl" w:eastAsia="es-ES_tradnl"/>
        </w:rPr>
        <w:tab/>
      </w:r>
    </w:p>
    <w:p w14:paraId="1199F81B" w14:textId="52E8DF12" w:rsidR="00871B59" w:rsidRPr="00E87EA6" w:rsidRDefault="0044333F" w:rsidP="00871B59">
      <w:pPr>
        <w:spacing w:after="0" w:line="240" w:lineRule="auto"/>
        <w:rPr>
          <w:rFonts w:ascii="Verdana" w:eastAsia="Calibri" w:hAnsi="Verdana" w:cs="Arial"/>
          <w:u w:val="single"/>
          <w:lang w:val="es-ES" w:eastAsia="es-ES"/>
        </w:rPr>
      </w:pPr>
      <w:r w:rsidRPr="00E87EA6">
        <w:rPr>
          <w:rFonts w:ascii="Verdana" w:eastAsia="Calibri" w:hAnsi="Verdana" w:cs="Arial"/>
          <w:u w:val="single"/>
          <w:lang w:val="es-ES" w:eastAsia="es-ES"/>
        </w:rPr>
        <w:t>Linaurrea91@gmail.com</w:t>
      </w:r>
    </w:p>
    <w:p w14:paraId="5ACFEA17" w14:textId="2DE4CE5F" w:rsidR="00871B59" w:rsidRPr="00E87EA6" w:rsidRDefault="0044333F" w:rsidP="00871B59">
      <w:pPr>
        <w:spacing w:after="0" w:line="240" w:lineRule="auto"/>
        <w:rPr>
          <w:rFonts w:ascii="Verdana" w:eastAsia="Calibri" w:hAnsi="Verdana" w:cs="Arial"/>
          <w:b/>
          <w:bCs/>
          <w:lang w:val="es-ES" w:eastAsia="es-ES"/>
        </w:rPr>
      </w:pPr>
      <w:r w:rsidRPr="00E87EA6">
        <w:rPr>
          <w:rFonts w:ascii="Verdana" w:eastAsia="Calibri" w:hAnsi="Verdana" w:cs="Arial"/>
          <w:lang w:val="es-ES" w:eastAsia="es-ES"/>
        </w:rPr>
        <w:t>Bogotá, DC.</w:t>
      </w:r>
    </w:p>
    <w:p w14:paraId="75545CBA" w14:textId="77777777" w:rsidR="00871B59" w:rsidRPr="00E87EA6" w:rsidRDefault="00871B59" w:rsidP="00871B59">
      <w:pPr>
        <w:spacing w:after="0" w:line="240" w:lineRule="auto"/>
        <w:rPr>
          <w:rFonts w:ascii="Verdana" w:eastAsia="Calibri" w:hAnsi="Verdana" w:cs="Arial"/>
          <w:b/>
          <w:bCs/>
          <w:lang w:val="es-ES_tradnl" w:eastAsia="es-ES_tradnl"/>
        </w:rPr>
      </w:pPr>
    </w:p>
    <w:p w14:paraId="40764CBF" w14:textId="77777777" w:rsidR="00871B59" w:rsidRPr="00E87EA6" w:rsidRDefault="00871B59" w:rsidP="00871B5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87EA6" w:rsidRPr="00E87EA6" w14:paraId="6AC1791A" w14:textId="77777777" w:rsidTr="002607A7">
        <w:trPr>
          <w:trHeight w:val="884"/>
        </w:trPr>
        <w:tc>
          <w:tcPr>
            <w:tcW w:w="2689" w:type="dxa"/>
          </w:tcPr>
          <w:p w14:paraId="156B1AEC" w14:textId="77777777" w:rsidR="00871B59" w:rsidRPr="00E87EA6" w:rsidRDefault="00871B59" w:rsidP="002607A7">
            <w:pPr>
              <w:jc w:val="both"/>
              <w:rPr>
                <w:rFonts w:ascii="Verdana" w:eastAsia="Calibri" w:hAnsi="Verdana" w:cs="Arial"/>
                <w:b/>
                <w:bCs/>
                <w:lang w:val="es-ES_tradnl" w:eastAsia="es-ES_tradnl"/>
              </w:rPr>
            </w:pPr>
          </w:p>
        </w:tc>
        <w:tc>
          <w:tcPr>
            <w:tcW w:w="6100" w:type="dxa"/>
          </w:tcPr>
          <w:p w14:paraId="48F499EA" w14:textId="797997C1" w:rsidR="00871B59" w:rsidRPr="00E87EA6" w:rsidRDefault="00871B59" w:rsidP="002607A7">
            <w:pPr>
              <w:jc w:val="both"/>
              <w:rPr>
                <w:rFonts w:ascii="Verdana" w:eastAsia="Calibri" w:hAnsi="Verdana" w:cs="Arial"/>
                <w:b/>
                <w:bCs/>
                <w:lang w:val="es-ES" w:eastAsia="es-ES"/>
              </w:rPr>
            </w:pPr>
            <w:r w:rsidRPr="00E87EA6">
              <w:rPr>
                <w:rFonts w:ascii="Verdana" w:eastAsia="Calibri" w:hAnsi="Verdana" w:cs="Arial"/>
                <w:b/>
                <w:bCs/>
                <w:lang w:val="es-ES" w:eastAsia="es-ES"/>
              </w:rPr>
              <w:t>Concepto C-</w:t>
            </w:r>
            <w:r w:rsidR="00B31328">
              <w:rPr>
                <w:rFonts w:ascii="Verdana" w:eastAsia="Calibri" w:hAnsi="Verdana" w:cs="Arial"/>
                <w:b/>
                <w:bCs/>
                <w:lang w:val="es-ES" w:eastAsia="es-ES"/>
              </w:rPr>
              <w:t>330</w:t>
            </w:r>
            <w:r w:rsidRPr="00E87EA6">
              <w:rPr>
                <w:rFonts w:ascii="Verdana" w:eastAsia="Calibri" w:hAnsi="Verdana" w:cs="Arial"/>
                <w:b/>
                <w:bCs/>
                <w:lang w:val="es-ES" w:eastAsia="es-ES"/>
              </w:rPr>
              <w:t xml:space="preserve"> de 202</w:t>
            </w:r>
            <w:r w:rsidR="00B31328">
              <w:rPr>
                <w:rFonts w:ascii="Verdana" w:eastAsia="Calibri" w:hAnsi="Verdana" w:cs="Arial"/>
                <w:b/>
                <w:bCs/>
                <w:lang w:val="es-ES" w:eastAsia="es-ES"/>
              </w:rPr>
              <w:t>5</w:t>
            </w:r>
          </w:p>
        </w:tc>
      </w:tr>
      <w:tr w:rsidR="00E87EA6" w:rsidRPr="00E87EA6" w14:paraId="0DD246A7" w14:textId="77777777" w:rsidTr="002607A7">
        <w:trPr>
          <w:trHeight w:val="884"/>
        </w:trPr>
        <w:tc>
          <w:tcPr>
            <w:tcW w:w="2689" w:type="dxa"/>
          </w:tcPr>
          <w:p w14:paraId="1B4FC525" w14:textId="77777777" w:rsidR="00871B59" w:rsidRPr="00E87EA6" w:rsidRDefault="00871B59" w:rsidP="002607A7">
            <w:pPr>
              <w:jc w:val="both"/>
              <w:rPr>
                <w:rFonts w:ascii="Verdana" w:eastAsia="Calibri" w:hAnsi="Verdana" w:cs="Arial"/>
                <w:lang w:val="es-ES_tradnl" w:eastAsia="es-ES_tradnl"/>
              </w:rPr>
            </w:pPr>
            <w:r w:rsidRPr="00E87EA6">
              <w:rPr>
                <w:rFonts w:ascii="Verdana" w:eastAsia="Calibri" w:hAnsi="Verdana" w:cs="Arial"/>
                <w:b/>
                <w:lang w:val="es-ES_tradnl" w:eastAsia="es-ES_tradnl"/>
              </w:rPr>
              <w:t>Temas:</w:t>
            </w:r>
            <w:r w:rsidRPr="00E87EA6">
              <w:rPr>
                <w:rFonts w:ascii="Verdana" w:eastAsia="Calibri" w:hAnsi="Verdana" w:cs="Arial"/>
                <w:lang w:val="es-ES_tradnl" w:eastAsia="es-ES_tradnl"/>
              </w:rPr>
              <w:t xml:space="preserve">                   </w:t>
            </w:r>
          </w:p>
        </w:tc>
        <w:tc>
          <w:tcPr>
            <w:tcW w:w="6100" w:type="dxa"/>
          </w:tcPr>
          <w:p w14:paraId="7ADD1096" w14:textId="23B4D979" w:rsidR="0044333F" w:rsidRPr="00E87EA6" w:rsidRDefault="0044333F" w:rsidP="002607A7">
            <w:pPr>
              <w:spacing w:line="276" w:lineRule="auto"/>
              <w:jc w:val="both"/>
              <w:rPr>
                <w:rFonts w:ascii="Verdana" w:eastAsia="Calibri" w:hAnsi="Verdana" w:cs="Arial"/>
                <w:lang w:val="es-ES" w:eastAsia="es-ES"/>
              </w:rPr>
            </w:pPr>
            <w:r w:rsidRPr="00E87EA6">
              <w:rPr>
                <w:rFonts w:ascii="Verdana" w:eastAsia="Calibri" w:hAnsi="Verdana" w:cs="Arial"/>
                <w:lang w:val="es-ES" w:eastAsia="es-ES"/>
              </w:rPr>
              <w:t>GARANTÍA DE ÚNICA DE CUMPLIMIENTO – Definición – Fundamento normativo / LIQUIDACIÓN DEL CONTRATO – Definición - Objetivo   / LIQUIDACIÓN DEL CONTRATO – Normativa / LIQUIDACIÓN DEL CONTRATO – Garantía Única de Cumplimiento – Suficiencia</w:t>
            </w:r>
          </w:p>
        </w:tc>
      </w:tr>
      <w:tr w:rsidR="00871B59" w:rsidRPr="00E87EA6" w14:paraId="0A874006" w14:textId="77777777" w:rsidTr="002607A7">
        <w:tc>
          <w:tcPr>
            <w:tcW w:w="2689" w:type="dxa"/>
          </w:tcPr>
          <w:p w14:paraId="56ED2765" w14:textId="77777777" w:rsidR="00871B59" w:rsidRPr="00E87EA6" w:rsidRDefault="00871B59" w:rsidP="002607A7">
            <w:pPr>
              <w:jc w:val="both"/>
              <w:rPr>
                <w:rFonts w:ascii="Verdana" w:eastAsia="Calibri" w:hAnsi="Verdana" w:cs="Arial"/>
                <w:b/>
                <w:lang w:val="es-ES_tradnl" w:eastAsia="es-ES_tradnl"/>
              </w:rPr>
            </w:pPr>
            <w:r w:rsidRPr="00E87EA6">
              <w:rPr>
                <w:rFonts w:ascii="Verdana" w:eastAsia="Calibri" w:hAnsi="Verdana" w:cs="Arial"/>
                <w:b/>
                <w:lang w:val="es-ES_tradnl" w:eastAsia="es-ES_tradnl"/>
              </w:rPr>
              <w:t>Radicación:</w:t>
            </w:r>
            <w:r w:rsidRPr="00E87EA6">
              <w:rPr>
                <w:rFonts w:ascii="Verdana" w:eastAsia="Calibri" w:hAnsi="Verdana" w:cs="Arial"/>
                <w:lang w:val="es-ES_tradnl" w:eastAsia="es-ES_tradnl"/>
              </w:rPr>
              <w:t xml:space="preserve">               </w:t>
            </w:r>
          </w:p>
        </w:tc>
        <w:tc>
          <w:tcPr>
            <w:tcW w:w="6100" w:type="dxa"/>
          </w:tcPr>
          <w:p w14:paraId="630D2668" w14:textId="3792775C" w:rsidR="00871B59" w:rsidRPr="00E87EA6" w:rsidRDefault="00871B59" w:rsidP="002607A7">
            <w:pPr>
              <w:jc w:val="both"/>
              <w:rPr>
                <w:rFonts w:ascii="Verdana" w:eastAsia="Calibri" w:hAnsi="Verdana" w:cs="Arial"/>
                <w:lang w:val="es-ES_tradnl" w:eastAsia="es-ES_tradnl"/>
              </w:rPr>
            </w:pPr>
            <w:r w:rsidRPr="00E87EA6">
              <w:rPr>
                <w:rFonts w:ascii="Verdana" w:eastAsia="Calibri" w:hAnsi="Verdana" w:cs="Arial"/>
                <w:lang w:val="es-ES_tradnl" w:eastAsia="es-ES_tradnl"/>
              </w:rPr>
              <w:t>Respuesta a consulta con radicado No. P202</w:t>
            </w:r>
            <w:r w:rsidR="0044333F" w:rsidRPr="00E87EA6">
              <w:rPr>
                <w:rFonts w:ascii="Verdana" w:eastAsia="Calibri" w:hAnsi="Verdana" w:cs="Arial"/>
                <w:lang w:val="es-ES_tradnl" w:eastAsia="es-ES_tradnl"/>
              </w:rPr>
              <w:t>50318002624</w:t>
            </w:r>
          </w:p>
        </w:tc>
      </w:tr>
    </w:tbl>
    <w:p w14:paraId="01AFCA4D" w14:textId="77777777" w:rsidR="00871B59" w:rsidRPr="00E87EA6" w:rsidRDefault="00871B59" w:rsidP="00871B59">
      <w:pPr>
        <w:spacing w:after="0" w:line="240" w:lineRule="auto"/>
        <w:jc w:val="both"/>
        <w:rPr>
          <w:rFonts w:ascii="Verdana" w:eastAsia="Calibri" w:hAnsi="Verdana" w:cs="Arial"/>
          <w:lang w:val="es-ES_tradnl" w:eastAsia="es-ES_tradnl"/>
        </w:rPr>
      </w:pPr>
    </w:p>
    <w:p w14:paraId="4FF08E37" w14:textId="77777777" w:rsidR="00871B59" w:rsidRPr="00E87EA6" w:rsidRDefault="00871B59" w:rsidP="00871B59">
      <w:pPr>
        <w:spacing w:after="0" w:line="240" w:lineRule="auto"/>
        <w:jc w:val="both"/>
        <w:rPr>
          <w:rFonts w:ascii="Verdana" w:eastAsia="Calibri" w:hAnsi="Verdana" w:cs="Arial"/>
          <w:lang w:val="es-ES_tradnl" w:eastAsia="es-ES_tradnl"/>
        </w:rPr>
      </w:pPr>
    </w:p>
    <w:p w14:paraId="5A8CAE32" w14:textId="77777777" w:rsidR="00871B59" w:rsidRPr="00E87EA6" w:rsidRDefault="00871B59" w:rsidP="00871B59">
      <w:pPr>
        <w:spacing w:after="0" w:line="276" w:lineRule="auto"/>
        <w:jc w:val="both"/>
        <w:rPr>
          <w:rFonts w:ascii="Verdana" w:eastAsia="Calibri" w:hAnsi="Verdana" w:cs="Arial"/>
          <w:lang w:val="es-ES" w:eastAsia="es-ES"/>
        </w:rPr>
      </w:pPr>
      <w:r w:rsidRPr="00E87EA6">
        <w:rPr>
          <w:rFonts w:ascii="Verdana" w:eastAsia="Calibri" w:hAnsi="Verdana" w:cs="Arial"/>
          <w:lang w:val="es-ES" w:eastAsia="es-ES"/>
        </w:rPr>
        <w:t xml:space="preserve">Estimado señor(a) Pérez: </w:t>
      </w:r>
    </w:p>
    <w:p w14:paraId="62039951" w14:textId="77777777" w:rsidR="00871B59" w:rsidRPr="00E87EA6" w:rsidRDefault="00871B59" w:rsidP="00871B59">
      <w:pPr>
        <w:tabs>
          <w:tab w:val="left" w:pos="3768"/>
        </w:tabs>
        <w:spacing w:after="0" w:line="276" w:lineRule="auto"/>
        <w:jc w:val="both"/>
        <w:rPr>
          <w:rFonts w:ascii="Verdana" w:eastAsia="Calibri" w:hAnsi="Verdana" w:cs="Arial"/>
          <w:lang w:val="es-ES" w:eastAsia="es-ES"/>
        </w:rPr>
      </w:pPr>
      <w:r w:rsidRPr="00E87EA6">
        <w:rPr>
          <w:rFonts w:ascii="Verdana" w:eastAsia="Calibri" w:hAnsi="Verdana" w:cs="Arial"/>
          <w:lang w:val="es-ES" w:eastAsia="es-ES"/>
        </w:rPr>
        <w:tab/>
      </w:r>
    </w:p>
    <w:p w14:paraId="3F1D9A82" w14:textId="6A4102B7" w:rsidR="00871B59" w:rsidRPr="00E87EA6" w:rsidRDefault="00871B59" w:rsidP="00871B59">
      <w:pPr>
        <w:spacing w:after="0" w:line="276" w:lineRule="auto"/>
        <w:jc w:val="both"/>
        <w:rPr>
          <w:rFonts w:ascii="Verdana" w:eastAsia="Calibri" w:hAnsi="Verdana" w:cs="Arial"/>
          <w:lang w:val="es-ES" w:eastAsia="es-ES"/>
        </w:rPr>
      </w:pPr>
      <w:r w:rsidRPr="00E87EA6">
        <w:rPr>
          <w:rFonts w:ascii="Verdana" w:eastAsia="Calibri" w:hAnsi="Verdana" w:cs="Arial"/>
          <w:lang w:val="es-ES" w:eastAsia="es-ES"/>
        </w:rPr>
        <w:t>En ejercicio de la competencia otorgada por los artículos 3, numeral 5º, y 11, numeral 8º, del Decreto Ley 4170 de 2011,</w:t>
      </w:r>
      <w:r w:rsidRPr="00E87EA6">
        <w:rPr>
          <w:rFonts w:ascii="Verdana" w:eastAsia="Arial MT" w:hAnsi="Verdana" w:cs="Arial MT"/>
          <w:lang w:val="es-ES" w:eastAsia="es-ES"/>
        </w:rPr>
        <w:t xml:space="preserve"> </w:t>
      </w:r>
      <w:r w:rsidRPr="00E87EA6">
        <w:rPr>
          <w:rFonts w:ascii="Verdana" w:hAnsi="Verdana" w:cs="Arial"/>
        </w:rPr>
        <w:t xml:space="preserve">así como lo establecido en el artículo 4 de la Resolución 1707 de 2018 expedida por esta Entidad, </w:t>
      </w:r>
      <w:r w:rsidRPr="00E87EA6">
        <w:rPr>
          <w:rFonts w:ascii="Verdana" w:eastAsia="Calibri" w:hAnsi="Verdana" w:cs="Arial"/>
          <w:lang w:val="es-ES" w:eastAsia="es-ES"/>
        </w:rPr>
        <w:t xml:space="preserve">la Agencia Nacional de Contratación Pública – Colombia Compra Eficiente– responde su solicitud de consulta de fecha </w:t>
      </w:r>
      <w:r w:rsidR="00102259" w:rsidRPr="00E87EA6">
        <w:rPr>
          <w:rFonts w:ascii="Verdana" w:eastAsia="Calibri" w:hAnsi="Verdana" w:cs="Arial"/>
          <w:lang w:val="es-ES" w:eastAsia="es-ES"/>
        </w:rPr>
        <w:t>18</w:t>
      </w:r>
      <w:r w:rsidRPr="00E87EA6">
        <w:rPr>
          <w:rFonts w:ascii="Verdana" w:eastAsia="Calibri" w:hAnsi="Verdana" w:cs="Arial"/>
          <w:lang w:val="es-ES" w:eastAsia="es-ES"/>
        </w:rPr>
        <w:t xml:space="preserve"> de </w:t>
      </w:r>
      <w:r w:rsidR="00102259" w:rsidRPr="00E87EA6">
        <w:rPr>
          <w:rFonts w:ascii="Verdana" w:eastAsia="Calibri" w:hAnsi="Verdana" w:cs="Arial"/>
          <w:lang w:val="es-ES" w:eastAsia="es-ES"/>
        </w:rPr>
        <w:t>marzo</w:t>
      </w:r>
      <w:r w:rsidRPr="00E87EA6">
        <w:rPr>
          <w:rFonts w:ascii="Verdana" w:eastAsia="Calibri" w:hAnsi="Verdana" w:cs="Arial"/>
          <w:lang w:val="es-ES" w:eastAsia="es-ES"/>
        </w:rPr>
        <w:t xml:space="preserve"> de 20</w:t>
      </w:r>
      <w:r w:rsidR="00102259" w:rsidRPr="00E87EA6">
        <w:rPr>
          <w:rFonts w:ascii="Verdana" w:eastAsia="Calibri" w:hAnsi="Verdana" w:cs="Arial"/>
          <w:lang w:val="es-ES" w:eastAsia="es-ES"/>
        </w:rPr>
        <w:t>25</w:t>
      </w:r>
      <w:r w:rsidRPr="00E87EA6">
        <w:rPr>
          <w:rFonts w:ascii="Verdana" w:eastAsia="Calibri" w:hAnsi="Verdana" w:cs="Arial"/>
          <w:lang w:val="es-ES" w:eastAsia="es-ES"/>
        </w:rPr>
        <w:t xml:space="preserve">, en la cual manifiesta lo siguiente: </w:t>
      </w:r>
    </w:p>
    <w:p w14:paraId="6DBD3E26" w14:textId="77777777" w:rsidR="00871B59" w:rsidRPr="00E87EA6"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1006183E" w14:textId="3883789D" w:rsidR="00871B59" w:rsidRPr="00E87EA6" w:rsidRDefault="00871B59" w:rsidP="00871B59">
      <w:pPr>
        <w:spacing w:after="0" w:line="240" w:lineRule="auto"/>
        <w:ind w:left="709" w:right="709"/>
        <w:jc w:val="both"/>
        <w:rPr>
          <w:rFonts w:ascii="Verdana" w:eastAsia="Century Gothic" w:hAnsi="Verdana" w:cs="Century Gothic"/>
          <w:sz w:val="20"/>
          <w:szCs w:val="20"/>
          <w:lang w:val="es-ES"/>
        </w:rPr>
      </w:pPr>
      <w:bookmarkStart w:id="0" w:name="_Hlk95313578"/>
      <w:r w:rsidRPr="00E87EA6">
        <w:rPr>
          <w:rFonts w:ascii="Verdana" w:eastAsia="Century Gothic" w:hAnsi="Verdana" w:cs="Century Gothic"/>
          <w:sz w:val="20"/>
          <w:szCs w:val="20"/>
          <w:lang w:val="es-ES"/>
        </w:rPr>
        <w:t>“</w:t>
      </w:r>
      <w:r w:rsidR="00102259" w:rsidRPr="00E87EA6">
        <w:rPr>
          <w:rFonts w:ascii="Verdana" w:hAnsi="Verdana" w:cs="Arial"/>
          <w:shd w:val="clear" w:color="auto" w:fill="FFFFFF"/>
        </w:rPr>
        <w:t xml:space="preserve">Por medio de la presente se solicita la expedición de concepto en el cual se dilucide sobre necesidad y/o obligación de ampliar la </w:t>
      </w:r>
      <w:r w:rsidR="00BB28F9" w:rsidRPr="00E87EA6">
        <w:rPr>
          <w:rFonts w:ascii="Verdana" w:hAnsi="Verdana" w:cs="Arial"/>
          <w:shd w:val="clear" w:color="auto" w:fill="FFFFFF"/>
        </w:rPr>
        <w:t>póliza</w:t>
      </w:r>
      <w:r w:rsidR="00102259" w:rsidRPr="00E87EA6">
        <w:rPr>
          <w:rFonts w:ascii="Verdana" w:hAnsi="Verdana" w:cs="Arial"/>
          <w:shd w:val="clear" w:color="auto" w:fill="FFFFFF"/>
        </w:rPr>
        <w:t xml:space="preserve"> por parte del contratista </w:t>
      </w:r>
      <w:proofErr w:type="gramStart"/>
      <w:r w:rsidR="00102259" w:rsidRPr="00E87EA6">
        <w:rPr>
          <w:rFonts w:ascii="Verdana" w:hAnsi="Verdana" w:cs="Arial"/>
          <w:shd w:val="clear" w:color="auto" w:fill="FFFFFF"/>
        </w:rPr>
        <w:t>en relación a</w:t>
      </w:r>
      <w:proofErr w:type="gramEnd"/>
      <w:r w:rsidR="00102259" w:rsidRPr="00E87EA6">
        <w:rPr>
          <w:rFonts w:ascii="Verdana" w:hAnsi="Verdana" w:cs="Arial"/>
          <w:shd w:val="clear" w:color="auto" w:fill="FFFFFF"/>
        </w:rPr>
        <w:t xml:space="preserve"> la </w:t>
      </w:r>
      <w:r w:rsidR="00BB28F9" w:rsidRPr="00E87EA6">
        <w:rPr>
          <w:rFonts w:ascii="Verdana" w:hAnsi="Verdana" w:cs="Arial"/>
          <w:shd w:val="clear" w:color="auto" w:fill="FFFFFF"/>
        </w:rPr>
        <w:t>Garantía</w:t>
      </w:r>
      <w:r w:rsidR="00102259" w:rsidRPr="00E87EA6">
        <w:rPr>
          <w:rFonts w:ascii="Verdana" w:hAnsi="Verdana" w:cs="Arial"/>
          <w:shd w:val="clear" w:color="auto" w:fill="FFFFFF"/>
        </w:rPr>
        <w:t xml:space="preserve"> de Cumplimiento para la Liquidación de un contrato, cuando han pasado 2 años desde la fecha de terminación del bilateral suscrito, </w:t>
      </w:r>
      <w:r w:rsidR="00102259" w:rsidRPr="00E87EA6">
        <w:rPr>
          <w:rFonts w:ascii="Verdana" w:hAnsi="Verdana" w:cs="Arial"/>
          <w:shd w:val="clear" w:color="auto" w:fill="FFFFFF"/>
        </w:rPr>
        <w:lastRenderedPageBreak/>
        <w:t>lo anterior de conformidad con el Decreto 1082 de 2015, ARTÍCULO 2.2.1.2.3.1.12. Suficiencia de la garantía de cumplimiento. La garantía de cumplimiento del contrato debe tener una vigencia mínima hasta la liquidación del contrato</w:t>
      </w:r>
      <w:r w:rsidRPr="00E87EA6">
        <w:rPr>
          <w:rFonts w:ascii="Verdana" w:eastAsia="Century Gothic" w:hAnsi="Verdana" w:cs="Century Gothic"/>
          <w:sz w:val="20"/>
          <w:szCs w:val="20"/>
          <w:lang w:val="es-ES"/>
        </w:rPr>
        <w:t>”</w:t>
      </w:r>
      <w:bookmarkEnd w:id="0"/>
      <w:r w:rsidRPr="00E87EA6">
        <w:rPr>
          <w:rFonts w:ascii="Verdana" w:eastAsia="Century Gothic" w:hAnsi="Verdana" w:cs="Century Gothic"/>
          <w:sz w:val="20"/>
          <w:szCs w:val="20"/>
          <w:lang w:val="es-ES"/>
        </w:rPr>
        <w:t>.</w:t>
      </w:r>
    </w:p>
    <w:p w14:paraId="54DCAD4E" w14:textId="77777777" w:rsidR="00871B59" w:rsidRPr="00E87EA6"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30F17EAD" w14:textId="77777777" w:rsidR="00871B59" w:rsidRPr="00E87EA6" w:rsidRDefault="00871B59" w:rsidP="00871B59">
      <w:pPr>
        <w:spacing w:after="120" w:line="276" w:lineRule="auto"/>
        <w:ind w:firstLine="709"/>
        <w:jc w:val="both"/>
        <w:rPr>
          <w:rFonts w:ascii="Verdana" w:eastAsia="Calibri" w:hAnsi="Verdana" w:cs="Arial"/>
          <w:szCs w:val="24"/>
          <w:lang w:val="es-ES_tradnl" w:eastAsia="es-ES_tradnl"/>
        </w:rPr>
      </w:pPr>
      <w:r w:rsidRPr="00E87EA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87EA6">
        <w:rPr>
          <w:rFonts w:ascii="Verdana" w:eastAsia="Calibri" w:hAnsi="Verdana" w:cs="Arial"/>
          <w:szCs w:val="24"/>
          <w:lang w:val="es-ES_tradnl" w:eastAsia="es-ES_tradnl"/>
        </w:rPr>
        <w:tab/>
      </w:r>
    </w:p>
    <w:p w14:paraId="3B95778F" w14:textId="77777777" w:rsidR="00871B59" w:rsidRPr="00E87EA6" w:rsidRDefault="00871B59" w:rsidP="00871B59">
      <w:pPr>
        <w:spacing w:after="0" w:line="276" w:lineRule="auto"/>
        <w:ind w:firstLine="709"/>
        <w:jc w:val="both"/>
        <w:rPr>
          <w:rFonts w:ascii="Verdana" w:eastAsia="Calibri" w:hAnsi="Verdana" w:cs="Arial"/>
          <w:lang w:val="es-ES" w:eastAsia="es-ES"/>
        </w:rPr>
      </w:pPr>
      <w:r w:rsidRPr="00E87EA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70187214" w14:textId="77777777" w:rsidR="00871B59" w:rsidRPr="00E87EA6" w:rsidRDefault="00871B59" w:rsidP="00871B59">
      <w:pPr>
        <w:spacing w:after="0" w:line="276" w:lineRule="auto"/>
        <w:ind w:firstLine="709"/>
        <w:jc w:val="both"/>
        <w:rPr>
          <w:rFonts w:ascii="Verdana" w:eastAsia="Calibri" w:hAnsi="Verdana" w:cs="Arial"/>
          <w:lang w:val="es-ES" w:eastAsia="es-ES"/>
        </w:rPr>
      </w:pPr>
    </w:p>
    <w:p w14:paraId="74DD4DE4" w14:textId="77777777" w:rsidR="00871B59" w:rsidRPr="00E87EA6"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E87EA6">
        <w:rPr>
          <w:rFonts w:ascii="Verdana" w:eastAsia="Century Gothic" w:hAnsi="Verdana" w:cs="Century Gothic"/>
          <w:b/>
          <w:bCs/>
          <w:lang w:val="es-ES"/>
        </w:rPr>
        <w:t>Problema planteado:</w:t>
      </w:r>
    </w:p>
    <w:p w14:paraId="690221EE" w14:textId="77777777" w:rsidR="00871B59" w:rsidRPr="00E87EA6" w:rsidRDefault="00871B59" w:rsidP="00871B59">
      <w:pPr>
        <w:tabs>
          <w:tab w:val="left" w:pos="426"/>
        </w:tabs>
        <w:spacing w:after="0" w:line="276" w:lineRule="auto"/>
        <w:jc w:val="both"/>
        <w:rPr>
          <w:rFonts w:ascii="Verdana" w:eastAsia="Century Gothic" w:hAnsi="Verdana" w:cs="Century Gothic"/>
          <w:lang w:val="es-ES"/>
        </w:rPr>
      </w:pPr>
    </w:p>
    <w:p w14:paraId="11DC9C47" w14:textId="33F37E68" w:rsidR="00871B59" w:rsidRPr="00E87EA6" w:rsidRDefault="00871B59" w:rsidP="00871B59">
      <w:pPr>
        <w:spacing w:after="0" w:line="276" w:lineRule="auto"/>
        <w:jc w:val="both"/>
        <w:rPr>
          <w:rFonts w:ascii="Verdana" w:eastAsia="Century Gothic" w:hAnsi="Verdana" w:cs="Century Gothic"/>
        </w:rPr>
      </w:pPr>
      <w:r w:rsidRPr="00E87EA6">
        <w:rPr>
          <w:rFonts w:ascii="Verdana" w:eastAsia="Century Gothic" w:hAnsi="Verdana" w:cs="Century Gothic"/>
        </w:rPr>
        <w:t xml:space="preserve">De acuerdo con el contenido de su solicitud, esta Agencia resolverá </w:t>
      </w:r>
      <w:proofErr w:type="gramStart"/>
      <w:r w:rsidRPr="00E87EA6">
        <w:rPr>
          <w:rFonts w:ascii="Verdana" w:eastAsia="Century Gothic" w:hAnsi="Verdana" w:cs="Century Gothic"/>
        </w:rPr>
        <w:t>el  siguiente</w:t>
      </w:r>
      <w:proofErr w:type="gramEnd"/>
      <w:r w:rsidRPr="00E87EA6">
        <w:rPr>
          <w:rFonts w:ascii="Verdana" w:eastAsia="Century Gothic" w:hAnsi="Verdana" w:cs="Century Gothic"/>
        </w:rPr>
        <w:t xml:space="preserve"> problema</w:t>
      </w:r>
      <w:r w:rsidR="00BB28F9" w:rsidRPr="00E87EA6">
        <w:rPr>
          <w:rFonts w:ascii="Verdana" w:eastAsia="Century Gothic" w:hAnsi="Verdana" w:cs="Century Gothic"/>
        </w:rPr>
        <w:t xml:space="preserve"> </w:t>
      </w:r>
      <w:r w:rsidRPr="00E87EA6">
        <w:rPr>
          <w:rFonts w:ascii="Verdana" w:eastAsia="Century Gothic" w:hAnsi="Verdana" w:cs="Century Gothic"/>
        </w:rPr>
        <w:t xml:space="preserve">jurídico: </w:t>
      </w:r>
      <w:proofErr w:type="gramStart"/>
      <w:r w:rsidRPr="00E87EA6">
        <w:rPr>
          <w:rFonts w:ascii="Verdana" w:eastAsia="Century Gothic" w:hAnsi="Verdana" w:cs="Century Gothic"/>
        </w:rPr>
        <w:t>¿</w:t>
      </w:r>
      <w:r w:rsidR="00BB28F9" w:rsidRPr="00E87EA6">
        <w:rPr>
          <w:rFonts w:ascii="Verdana" w:eastAsia="Century Gothic" w:hAnsi="Verdana" w:cs="Century Gothic"/>
        </w:rPr>
        <w:t>El contratista debe ampliar la vigencia de la garantía de cumplimiento cuando han transcurrido más de dos años desde la terminación del contrato y este aún no ha sido liquidado, teniendo en cuenta que, conforme al artículo 2.</w:t>
      </w:r>
      <w:proofErr w:type="gramEnd"/>
      <w:r w:rsidR="00BB28F9" w:rsidRPr="00E87EA6">
        <w:rPr>
          <w:rFonts w:ascii="Verdana" w:eastAsia="Century Gothic" w:hAnsi="Verdana" w:cs="Century Gothic"/>
        </w:rPr>
        <w:t>2.1.2.3.1.12 del Decreto 1082 de 2015, dicha garantía debe mantenerse vigente hasta la liquidación del contrato?</w:t>
      </w:r>
    </w:p>
    <w:p w14:paraId="57640A16" w14:textId="77777777" w:rsidR="00871B59" w:rsidRPr="00E87EA6" w:rsidRDefault="00871B59" w:rsidP="00871B59">
      <w:pPr>
        <w:spacing w:after="0" w:line="276" w:lineRule="auto"/>
        <w:jc w:val="both"/>
        <w:rPr>
          <w:rFonts w:ascii="Verdana" w:eastAsia="Calibri" w:hAnsi="Verdana" w:cs="Arial"/>
          <w:lang w:val="es-ES"/>
        </w:rPr>
      </w:pPr>
    </w:p>
    <w:p w14:paraId="33E3D3F8" w14:textId="77777777" w:rsidR="00871B59" w:rsidRPr="00E87EA6"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E87EA6">
        <w:rPr>
          <w:rFonts w:ascii="Verdana" w:eastAsia="Century Gothic" w:hAnsi="Verdana" w:cs="Century Gothic"/>
          <w:b/>
          <w:bCs/>
          <w:lang w:val="es-ES"/>
        </w:rPr>
        <w:t>Respuesta:</w:t>
      </w:r>
    </w:p>
    <w:p w14:paraId="4647B31A" w14:textId="77777777" w:rsidR="00871B59" w:rsidRPr="00E87EA6"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87EA6" w:rsidRPr="00E87EA6" w14:paraId="14984B9D" w14:textId="77777777" w:rsidTr="002607A7">
        <w:tc>
          <w:tcPr>
            <w:tcW w:w="8828" w:type="dxa"/>
            <w:shd w:val="clear" w:color="auto" w:fill="auto"/>
          </w:tcPr>
          <w:p w14:paraId="1F43D8E1" w14:textId="63E89DA1" w:rsidR="000A537C" w:rsidRPr="00E87EA6" w:rsidRDefault="000A537C" w:rsidP="000A537C">
            <w:pPr>
              <w:spacing w:before="120" w:after="120" w:line="276" w:lineRule="auto"/>
              <w:ind w:left="103" w:right="101"/>
              <w:jc w:val="both"/>
              <w:rPr>
                <w:rFonts w:ascii="Verdana" w:eastAsia="Calibri" w:hAnsi="Verdana" w:cs="Arial"/>
              </w:rPr>
            </w:pPr>
            <w:r w:rsidRPr="00E87EA6">
              <w:rPr>
                <w:rFonts w:ascii="Verdana" w:eastAsia="Calibri" w:hAnsi="Verdana" w:cs="Arial"/>
              </w:rPr>
              <w:t>El artículo 2.2.1.2.3.1.12 del Decreto 1082 de 2015 regula la suficiencia de la garantía de cumplimiento. Esta garantía debe tener una vigencia mínima hasta la liquidación del contrato y, por regla general, un valor de por lo menos el diez por ciento (10 %) del valor total del contrato, siempre que este sea inferior a un millón (1.000.000) de salarios mínimos mensuales legales vigentes. Conforme con la norma citada, el amparo debe cubrir tanto el plazo de ejecución como el plazo de vigencia del contrato.</w:t>
            </w:r>
          </w:p>
          <w:p w14:paraId="08E3FB92" w14:textId="77777777" w:rsidR="000A537C" w:rsidRPr="000A537C" w:rsidRDefault="000A537C" w:rsidP="000A537C">
            <w:pPr>
              <w:spacing w:before="120" w:after="120" w:line="276" w:lineRule="auto"/>
              <w:ind w:left="103" w:right="101"/>
              <w:jc w:val="both"/>
              <w:rPr>
                <w:rFonts w:ascii="Verdana" w:eastAsia="Calibri" w:hAnsi="Verdana" w:cs="Arial"/>
              </w:rPr>
            </w:pPr>
            <w:r w:rsidRPr="000A537C">
              <w:rPr>
                <w:rFonts w:ascii="Verdana" w:eastAsia="Calibri" w:hAnsi="Verdana" w:cs="Arial"/>
              </w:rPr>
              <w:t>En consecuencia, la cobertura mínima del amparo de cumplimiento comprende no solo el período de ejecución contractual, sino también el plazo de vigencia, el cual finaliza con la liquidación del contrato. En palabras de la doctrina, “[...] el contratista deberá otorgarla con una vigencia igual al plazo del contrato garantizado más el plazo contractual previsto para la liquidación de aquel. En caso de no haberse convenido por las partes un término para la liquidación del contrato, la garantía deberá mantenerse vigente por el término legal previsto para este efecto [...]”.</w:t>
            </w:r>
          </w:p>
          <w:p w14:paraId="2D36BC9F" w14:textId="0A8B7511" w:rsidR="000A537C" w:rsidRPr="000A537C" w:rsidRDefault="000A537C" w:rsidP="000A537C">
            <w:pPr>
              <w:spacing w:before="120" w:after="120" w:line="276" w:lineRule="auto"/>
              <w:ind w:left="103" w:right="101"/>
              <w:jc w:val="both"/>
              <w:rPr>
                <w:rFonts w:ascii="Verdana" w:eastAsia="Calibri" w:hAnsi="Verdana" w:cs="Arial"/>
              </w:rPr>
            </w:pPr>
            <w:r w:rsidRPr="000A537C">
              <w:rPr>
                <w:rFonts w:ascii="Verdana" w:eastAsia="Calibri" w:hAnsi="Verdana" w:cs="Arial"/>
              </w:rPr>
              <w:t>En este punto, es preciso señalar que la liquidación constituye el procedimiento mediante el cual las partes cruzan cuentas respecto de sus obligaciones, una vez concluido el contrato. Su propósito es establecer si ambas partes pueden declararse recíprocamente a paz y salvo</w:t>
            </w:r>
            <w:r w:rsidR="0044203C" w:rsidRPr="00E87EA6">
              <w:rPr>
                <w:rFonts w:ascii="Verdana" w:eastAsia="Calibri" w:hAnsi="Verdana" w:cs="Arial"/>
              </w:rPr>
              <w:t xml:space="preserve"> o establecer las salvedades que correspondan</w:t>
            </w:r>
            <w:r w:rsidRPr="000A537C">
              <w:rPr>
                <w:rFonts w:ascii="Verdana" w:eastAsia="Calibri" w:hAnsi="Verdana" w:cs="Arial"/>
              </w:rPr>
              <w:t xml:space="preserve">. En este sentido, no es jurídicamente posible liquidar un contrato cuando alguna de las obligaciones de las partes se encuentra pendiente de cumplimiento; </w:t>
            </w:r>
            <w:r w:rsidR="0044203C" w:rsidRPr="00E87EA6">
              <w:rPr>
                <w:rFonts w:ascii="Verdana" w:eastAsia="Calibri" w:hAnsi="Verdana" w:cs="Arial"/>
              </w:rPr>
              <w:t>atendiendo a ello se precisa</w:t>
            </w:r>
            <w:r w:rsidRPr="000A537C">
              <w:rPr>
                <w:rFonts w:ascii="Verdana" w:eastAsia="Calibri" w:hAnsi="Verdana" w:cs="Arial"/>
              </w:rPr>
              <w:t xml:space="preserve"> el deber de mantener vigente la garantía de cumplimiento hasta la suscripción del acta de liquidación.</w:t>
            </w:r>
          </w:p>
          <w:p w14:paraId="27EEFC86" w14:textId="77777777" w:rsidR="000A537C" w:rsidRPr="000A537C" w:rsidRDefault="000A537C" w:rsidP="000A537C">
            <w:pPr>
              <w:spacing w:before="120" w:after="120" w:line="276" w:lineRule="auto"/>
              <w:ind w:left="103" w:right="101"/>
              <w:jc w:val="both"/>
              <w:rPr>
                <w:rFonts w:ascii="Verdana" w:eastAsia="Calibri" w:hAnsi="Verdana" w:cs="Arial"/>
              </w:rPr>
            </w:pPr>
            <w:r w:rsidRPr="000A537C">
              <w:rPr>
                <w:rFonts w:ascii="Verdana" w:eastAsia="Calibri" w:hAnsi="Verdana" w:cs="Arial"/>
              </w:rPr>
              <w:t>Sin embargo, resulta relevante advertir que, durante el proceso de liquidación, la Entidad Estatal puede exigir al contratista la extensión o ampliación —si a ello hubiere lugar— de la garantía del contrato, para cubrir los amparos correspondientes al cumplimiento, al buen manejo e inversión del anticipo o pago anticipado, y a la calidad del bien o servicio entregado.</w:t>
            </w:r>
          </w:p>
          <w:p w14:paraId="165A7594" w14:textId="2316BB7C" w:rsidR="000A537C" w:rsidRPr="000A537C" w:rsidRDefault="000A537C" w:rsidP="000A537C">
            <w:pPr>
              <w:spacing w:before="120" w:after="120" w:line="276" w:lineRule="auto"/>
              <w:ind w:left="103" w:right="101"/>
              <w:jc w:val="both"/>
              <w:rPr>
                <w:rFonts w:ascii="Verdana" w:eastAsia="Calibri" w:hAnsi="Verdana" w:cs="Arial"/>
              </w:rPr>
            </w:pPr>
            <w:r w:rsidRPr="000A537C">
              <w:rPr>
                <w:rFonts w:ascii="Verdana" w:eastAsia="Calibri" w:hAnsi="Verdana" w:cs="Arial"/>
              </w:rPr>
              <w:lastRenderedPageBreak/>
              <w:t xml:space="preserve">Adicionalmente, si la entidad considera que lo pactado en el contrato no se ha cumplido, puede acudir a lo dispuesto en el artículo 86 de la Ley 1474 de 2011. </w:t>
            </w:r>
          </w:p>
          <w:p w14:paraId="275D5A87" w14:textId="77777777" w:rsidR="000A537C" w:rsidRPr="000A537C" w:rsidRDefault="000A537C" w:rsidP="000A537C">
            <w:pPr>
              <w:spacing w:before="120" w:after="120" w:line="276" w:lineRule="auto"/>
              <w:ind w:left="103" w:right="101"/>
              <w:jc w:val="both"/>
              <w:rPr>
                <w:rFonts w:ascii="Verdana" w:eastAsia="Calibri" w:hAnsi="Verdana" w:cs="Arial"/>
              </w:rPr>
            </w:pPr>
            <w:r w:rsidRPr="000A537C">
              <w:rPr>
                <w:rFonts w:ascii="Verdana" w:eastAsia="Calibri" w:hAnsi="Verdana" w:cs="Arial"/>
              </w:rPr>
              <w:t xml:space="preserve">En ese orden, debe tenerse presente que, en cumplimiento de lo dispuesto en el artículo 2.2.1.2.3.1.18 del Decreto 1082 de 2015, al contratista únicamente se le exige: i) ampliar el valor de la garantía cuando hay una adición al contrato, y </w:t>
            </w:r>
            <w:proofErr w:type="spellStart"/>
            <w:r w:rsidRPr="000A537C">
              <w:rPr>
                <w:rFonts w:ascii="Verdana" w:eastAsia="Calibri" w:hAnsi="Verdana" w:cs="Arial"/>
              </w:rPr>
              <w:t>ii</w:t>
            </w:r>
            <w:proofErr w:type="spellEnd"/>
            <w:r w:rsidRPr="000A537C">
              <w:rPr>
                <w:rFonts w:ascii="Verdana" w:eastAsia="Calibri" w:hAnsi="Verdana" w:cs="Arial"/>
              </w:rPr>
              <w:t>) ampliar su vigencia cuando se modifica el plazo contractual. En ninguno de estos dos supuestos es necesario modificar otras condiciones de la garantía.</w:t>
            </w:r>
          </w:p>
          <w:p w14:paraId="4366A384" w14:textId="6E3862E5" w:rsidR="000A537C" w:rsidRPr="000A537C" w:rsidRDefault="000A537C" w:rsidP="000A537C">
            <w:pPr>
              <w:spacing w:before="120" w:after="120" w:line="276" w:lineRule="auto"/>
              <w:ind w:left="103" w:right="101"/>
              <w:jc w:val="both"/>
              <w:rPr>
                <w:rFonts w:ascii="Verdana" w:eastAsia="Calibri" w:hAnsi="Verdana" w:cs="Arial"/>
              </w:rPr>
            </w:pPr>
            <w:r w:rsidRPr="000A537C">
              <w:rPr>
                <w:rFonts w:ascii="Verdana" w:eastAsia="Calibri" w:hAnsi="Verdana" w:cs="Arial"/>
              </w:rPr>
              <w:t>No obstante</w:t>
            </w:r>
            <w:r w:rsidR="0035570A" w:rsidRPr="00E87EA6">
              <w:rPr>
                <w:rFonts w:ascii="Verdana" w:eastAsia="Calibri" w:hAnsi="Verdana" w:cs="Arial"/>
              </w:rPr>
              <w:t>,</w:t>
            </w:r>
            <w:r w:rsidRPr="000A537C">
              <w:rPr>
                <w:rFonts w:ascii="Verdana" w:eastAsia="Calibri" w:hAnsi="Verdana" w:cs="Arial"/>
              </w:rPr>
              <w:t xml:space="preserve"> lo anterior, los interesados podrán adoptar las medidas que estimen pertinentes respecto de la vigencia del amparo de cumplimiento una vez haya vencido el término legal para liquidar el contrato. En particular, y con la debida asesoría de sus representantes legales, los contratistas del Estado deberán evaluar los cursos de acción disponibles frente a la falta de liquidación oportuna.</w:t>
            </w:r>
          </w:p>
          <w:p w14:paraId="539BDAD0" w14:textId="77777777" w:rsidR="000A537C" w:rsidRPr="000A537C" w:rsidRDefault="000A537C" w:rsidP="000A537C">
            <w:pPr>
              <w:spacing w:before="120" w:after="120" w:line="276" w:lineRule="auto"/>
              <w:ind w:left="103" w:right="101"/>
              <w:jc w:val="both"/>
              <w:rPr>
                <w:rFonts w:ascii="Verdana" w:eastAsia="Calibri" w:hAnsi="Verdana" w:cs="Arial"/>
              </w:rPr>
            </w:pPr>
            <w:r w:rsidRPr="000A537C">
              <w:rPr>
                <w:rFonts w:ascii="Verdana" w:eastAsia="Calibri" w:hAnsi="Verdana" w:cs="Arial"/>
              </w:rPr>
              <w:t>En todo caso, dado que se trata de un análisis que debe realizarse en atención a las particularidades de cada procedimiento contractual, la Agencia no puede, por vía consultiva, establecer un criterio universal y absoluto. En su lugar, brinda elementos generales para que los distintos partícipes del sistema de compras y contratación pública adopten la decisión que corresponda, conforme al principio de juridicidad. En ese sentido, corresponde a cada uno de ellos definir la forma de adelantar su gestión contractual, sin que sea competencia de Colombia Compra Eficiente validar sus actuaciones.</w:t>
            </w:r>
          </w:p>
          <w:p w14:paraId="47AEB666" w14:textId="1D2651EE" w:rsidR="00871B59" w:rsidRPr="00E87EA6" w:rsidRDefault="00871B59" w:rsidP="000A537C">
            <w:pPr>
              <w:spacing w:before="120" w:after="120" w:line="276" w:lineRule="auto"/>
              <w:ind w:left="103" w:right="101"/>
              <w:jc w:val="both"/>
              <w:rPr>
                <w:rFonts w:ascii="Verdana" w:eastAsia="Calibri" w:hAnsi="Verdana" w:cs="Arial"/>
                <w:lang w:val="es-ES"/>
              </w:rPr>
            </w:pPr>
          </w:p>
        </w:tc>
      </w:tr>
    </w:tbl>
    <w:p w14:paraId="3199705F" w14:textId="77777777" w:rsidR="00871B59" w:rsidRPr="00E87EA6" w:rsidRDefault="00871B59" w:rsidP="00871B59">
      <w:pPr>
        <w:tabs>
          <w:tab w:val="left" w:pos="142"/>
          <w:tab w:val="left" w:pos="284"/>
        </w:tabs>
        <w:spacing w:after="0" w:line="276" w:lineRule="auto"/>
        <w:jc w:val="both"/>
        <w:rPr>
          <w:rFonts w:ascii="Verdana" w:eastAsia="Century Gothic" w:hAnsi="Verdana" w:cs="Century Gothic"/>
          <w:b/>
          <w:bCs/>
          <w:lang w:val="es-ES"/>
        </w:rPr>
      </w:pPr>
    </w:p>
    <w:p w14:paraId="6678B80A" w14:textId="77777777" w:rsidR="00871B59" w:rsidRPr="00E87EA6"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E87EA6">
        <w:rPr>
          <w:rFonts w:ascii="Verdana" w:eastAsia="Century Gothic" w:hAnsi="Verdana" w:cs="Century Gothic"/>
          <w:b/>
          <w:bCs/>
          <w:lang w:val="es-ES"/>
        </w:rPr>
        <w:t>Razones de la respuesta:</w:t>
      </w:r>
    </w:p>
    <w:p w14:paraId="40393512" w14:textId="77777777" w:rsidR="00871B59" w:rsidRPr="00E87EA6" w:rsidRDefault="00871B59" w:rsidP="00871B59">
      <w:pPr>
        <w:spacing w:after="0" w:line="276" w:lineRule="auto"/>
        <w:jc w:val="both"/>
        <w:rPr>
          <w:rFonts w:ascii="Verdana" w:eastAsia="Calibri" w:hAnsi="Verdana" w:cs="Arial"/>
          <w:lang w:val="es-ES"/>
        </w:rPr>
      </w:pPr>
    </w:p>
    <w:p w14:paraId="7CB401A3" w14:textId="77777777" w:rsidR="005A7BCE" w:rsidRPr="00E87EA6" w:rsidRDefault="005A7BCE" w:rsidP="005A7BCE">
      <w:pPr>
        <w:spacing w:line="276" w:lineRule="auto"/>
        <w:rPr>
          <w:rFonts w:ascii="Verdana" w:eastAsia="Calibri" w:hAnsi="Verdana" w:cs="Arial"/>
        </w:rPr>
      </w:pPr>
      <w:bookmarkStart w:id="1" w:name="_Hlk36018082"/>
    </w:p>
    <w:p w14:paraId="20AFB657" w14:textId="77777777" w:rsidR="005A7BCE" w:rsidRPr="00E87EA6" w:rsidRDefault="005A7BCE" w:rsidP="005A7BCE">
      <w:pPr>
        <w:spacing w:line="276" w:lineRule="auto"/>
        <w:jc w:val="both"/>
        <w:rPr>
          <w:rFonts w:ascii="Verdana" w:eastAsia="Calibri" w:hAnsi="Verdana" w:cs="Arial"/>
        </w:rPr>
      </w:pPr>
      <w:r w:rsidRPr="00E87EA6">
        <w:rPr>
          <w:rFonts w:ascii="Verdana" w:eastAsia="Calibri" w:hAnsi="Verdana" w:cs="Arial"/>
        </w:rPr>
        <w:t xml:space="preserve">Lo anterior se sustenta en las siguientes consideraciones: </w:t>
      </w:r>
    </w:p>
    <w:bookmarkEnd w:id="1"/>
    <w:p w14:paraId="0FF2DF48" w14:textId="77777777" w:rsidR="005A7BCE" w:rsidRPr="00E87EA6" w:rsidRDefault="005A7BCE" w:rsidP="005A7BCE">
      <w:pPr>
        <w:spacing w:before="120" w:after="0" w:line="276" w:lineRule="auto"/>
        <w:ind w:firstLine="708"/>
        <w:jc w:val="both"/>
        <w:rPr>
          <w:rFonts w:ascii="Verdana" w:eastAsia="Calibri" w:hAnsi="Verdana" w:cs="Arial"/>
        </w:rPr>
      </w:pPr>
      <w:r w:rsidRPr="00E87EA6">
        <w:rPr>
          <w:rFonts w:ascii="Verdana" w:eastAsia="Times New Roman" w:hAnsi="Verdana" w:cs="Arial"/>
          <w:lang w:eastAsia="es-CO"/>
        </w:rPr>
        <w:lastRenderedPageBreak/>
        <w:t xml:space="preserve">El artículo 2.2.1.2.3.1.12 regula la suficiencia de la garantía de cumplimiento. Esta debe tener una vigencia mínima hasta la liquidación y, por regla general un valor de por lo menos el diez por ciento (10%) del total del contrato, siempre que este sea inferior a un millón (1.000.000) de </w:t>
      </w:r>
      <w:proofErr w:type="spellStart"/>
      <w:r w:rsidRPr="00E87EA6">
        <w:rPr>
          <w:rFonts w:ascii="Verdana" w:eastAsia="Times New Roman" w:hAnsi="Verdana" w:cs="Arial"/>
          <w:lang w:eastAsia="es-CO"/>
        </w:rPr>
        <w:t>smmlv</w:t>
      </w:r>
      <w:proofErr w:type="spellEnd"/>
      <w:r w:rsidRPr="00E87EA6">
        <w:rPr>
          <w:rFonts w:ascii="Verdana" w:eastAsia="Times New Roman" w:hAnsi="Verdana" w:cs="Arial"/>
          <w:vertAlign w:val="superscript"/>
          <w:lang w:eastAsia="es-CO"/>
        </w:rPr>
        <w:footnoteReference w:id="2"/>
      </w:r>
      <w:r w:rsidRPr="00E87EA6">
        <w:rPr>
          <w:rFonts w:ascii="Verdana" w:eastAsia="Times New Roman" w:hAnsi="Verdana" w:cs="Arial"/>
          <w:lang w:eastAsia="es-CO"/>
        </w:rPr>
        <w:t xml:space="preserve">. Conforme la norma citada, el amparo cubre tanto el </w:t>
      </w:r>
      <w:r w:rsidRPr="00E87EA6">
        <w:rPr>
          <w:rFonts w:ascii="Verdana" w:eastAsia="Times New Roman" w:hAnsi="Verdana" w:cs="Arial"/>
          <w:i/>
          <w:iCs/>
          <w:lang w:eastAsia="es-CO"/>
        </w:rPr>
        <w:t>plazo de ejecución</w:t>
      </w:r>
      <w:r w:rsidRPr="00E87EA6">
        <w:rPr>
          <w:rFonts w:ascii="Verdana" w:eastAsia="Times New Roman" w:hAnsi="Verdana" w:cs="Arial"/>
          <w:lang w:eastAsia="es-CO"/>
        </w:rPr>
        <w:t xml:space="preserve"> como el </w:t>
      </w:r>
      <w:r w:rsidRPr="00E87EA6">
        <w:rPr>
          <w:rFonts w:ascii="Verdana" w:eastAsia="Times New Roman" w:hAnsi="Verdana" w:cs="Arial"/>
          <w:i/>
          <w:iCs/>
          <w:lang w:eastAsia="es-CO"/>
        </w:rPr>
        <w:t>plazo de vigencia</w:t>
      </w:r>
      <w:r w:rsidRPr="00E87EA6">
        <w:rPr>
          <w:rFonts w:ascii="Verdana" w:eastAsia="Times New Roman" w:hAnsi="Verdana" w:cs="Arial"/>
          <w:lang w:eastAsia="es-CO"/>
        </w:rPr>
        <w:t xml:space="preserve"> del contrato. </w:t>
      </w:r>
      <w:r w:rsidRPr="00E87EA6">
        <w:rPr>
          <w:rFonts w:ascii="Verdana" w:eastAsia="Calibri" w:hAnsi="Verdana" w:cs="Arial"/>
        </w:rPr>
        <w:t xml:space="preserve">Al respecto, la jurisprudencia define el </w:t>
      </w:r>
      <w:r w:rsidRPr="00E87EA6">
        <w:rPr>
          <w:rFonts w:ascii="Verdana" w:eastAsia="Calibri" w:hAnsi="Verdana" w:cs="Arial"/>
          <w:i/>
          <w:iCs/>
        </w:rPr>
        <w:t>plazo de ejecución</w:t>
      </w:r>
      <w:r w:rsidRPr="00E87EA6">
        <w:rPr>
          <w:rFonts w:ascii="Verdana" w:eastAsia="Calibri" w:hAnsi="Verdana" w:cs="Arial"/>
        </w:rPr>
        <w:t xml:space="preserve"> como el establecido para la realización de las prestaciones contractuales y, de igual forma, considera que el </w:t>
      </w:r>
      <w:r w:rsidRPr="00E87EA6">
        <w:rPr>
          <w:rFonts w:ascii="Verdana" w:eastAsia="Calibri" w:hAnsi="Verdana" w:cs="Arial"/>
          <w:i/>
          <w:iCs/>
        </w:rPr>
        <w:t>plazo de vigencia</w:t>
      </w:r>
      <w:r w:rsidRPr="00E87EA6">
        <w:rPr>
          <w:rFonts w:ascii="Verdana" w:eastAsia="Calibri" w:hAnsi="Verdana" w:cs="Arial"/>
        </w:rPr>
        <w:t xml:space="preserve"> de este no ha finalizado mientras subsista la obligación para las partes de liquidar el contrato</w:t>
      </w:r>
      <w:r w:rsidRPr="00E87EA6">
        <w:rPr>
          <w:rFonts w:ascii="Verdana" w:eastAsia="Calibri" w:hAnsi="Verdana" w:cs="Arial"/>
          <w:vertAlign w:val="superscript"/>
        </w:rPr>
        <w:footnoteReference w:id="3"/>
      </w:r>
      <w:r w:rsidRPr="00E87EA6">
        <w:rPr>
          <w:rFonts w:ascii="Verdana" w:eastAsia="Calibri" w:hAnsi="Verdana" w:cs="Arial"/>
        </w:rPr>
        <w:t>. Por ello, explica lo siguiente:</w:t>
      </w:r>
    </w:p>
    <w:p w14:paraId="736C7F0E" w14:textId="77777777" w:rsidR="005A7BCE" w:rsidRPr="00E87EA6" w:rsidRDefault="005A7BCE" w:rsidP="005A7BCE">
      <w:pPr>
        <w:spacing w:after="0" w:line="276" w:lineRule="auto"/>
        <w:ind w:firstLine="708"/>
        <w:jc w:val="both"/>
        <w:rPr>
          <w:rFonts w:ascii="Verdana" w:eastAsia="Calibri" w:hAnsi="Verdana" w:cs="Arial"/>
        </w:rPr>
      </w:pPr>
    </w:p>
    <w:p w14:paraId="24533B3E" w14:textId="77777777" w:rsidR="005A7BCE" w:rsidRPr="00E87EA6" w:rsidRDefault="005A7BCE" w:rsidP="005A7BCE">
      <w:pPr>
        <w:spacing w:after="0" w:line="276" w:lineRule="auto"/>
        <w:ind w:left="709" w:right="709"/>
        <w:jc w:val="both"/>
        <w:rPr>
          <w:rFonts w:ascii="Verdana" w:eastAsia="Times New Roman" w:hAnsi="Verdana" w:cs="Arial"/>
          <w:sz w:val="20"/>
          <w:szCs w:val="20"/>
          <w:lang w:eastAsia="es-CO"/>
        </w:rPr>
      </w:pPr>
      <w:r w:rsidRPr="00E87EA6">
        <w:rPr>
          <w:rFonts w:ascii="Verdana" w:eastAsia="Times New Roman" w:hAnsi="Verdana" w:cs="Arial"/>
          <w:sz w:val="20"/>
          <w:szCs w:val="20"/>
          <w:lang w:eastAsia="es-CO"/>
        </w:rPr>
        <w:t>“[…] si bien es cierto en la mayoría de los casos el plazo del contrato coincide con el de ejecución de la obra, con la entrega del suministro, con la prestación del servicio, también lo es, que este plazo no constituye propiamente hablando el periodo de ejecución del contrato porque al finalizar el plazo que se ha destinado para el cumplimiento de la obligación principal por parte del contratista las partes no quedan liberadas de pleno derecho mientras no se extingan todas las obligaciones adquiridas, lo cual se cumple necesariamente en la etapa de liquidación del contrato en la cual es donde la administración puede valorar el cumplimiento total de las obligaciones a cargo del contratista y es la que le pone término a la vinculación de las partes”</w:t>
      </w:r>
      <w:r w:rsidRPr="00E87EA6">
        <w:rPr>
          <w:rFonts w:ascii="Verdana" w:eastAsia="Times New Roman" w:hAnsi="Verdana" w:cs="Arial"/>
          <w:sz w:val="20"/>
          <w:szCs w:val="20"/>
          <w:vertAlign w:val="superscript"/>
          <w:lang w:eastAsia="es-CO"/>
        </w:rPr>
        <w:footnoteReference w:id="4"/>
      </w:r>
      <w:r w:rsidRPr="00E87EA6">
        <w:rPr>
          <w:rFonts w:ascii="Verdana" w:eastAsia="Times New Roman" w:hAnsi="Verdana" w:cs="Arial"/>
          <w:sz w:val="20"/>
          <w:szCs w:val="20"/>
          <w:lang w:eastAsia="es-CO"/>
        </w:rPr>
        <w:t>.</w:t>
      </w:r>
    </w:p>
    <w:p w14:paraId="28147671" w14:textId="77777777" w:rsidR="005A7BCE" w:rsidRPr="00E87EA6" w:rsidRDefault="005A7BCE" w:rsidP="005A7BCE">
      <w:pPr>
        <w:spacing w:after="0" w:line="276" w:lineRule="auto"/>
        <w:jc w:val="both"/>
        <w:rPr>
          <w:rFonts w:ascii="Verdana" w:eastAsia="Times New Roman" w:hAnsi="Verdana" w:cs="Arial"/>
          <w:lang w:eastAsia="es-CO"/>
        </w:rPr>
      </w:pPr>
    </w:p>
    <w:p w14:paraId="34109A61" w14:textId="77777777" w:rsidR="005A7BCE" w:rsidRPr="00E87EA6" w:rsidRDefault="005A7BCE" w:rsidP="005A7BCE">
      <w:pPr>
        <w:spacing w:after="0" w:line="276" w:lineRule="auto"/>
        <w:ind w:firstLine="709"/>
        <w:jc w:val="both"/>
        <w:rPr>
          <w:rFonts w:ascii="Verdana" w:eastAsia="Times New Roman" w:hAnsi="Verdana" w:cs="Arial"/>
          <w:lang w:eastAsia="es-CO"/>
        </w:rPr>
      </w:pPr>
      <w:r w:rsidRPr="00E87EA6">
        <w:rPr>
          <w:rFonts w:ascii="Verdana" w:eastAsia="Times New Roman" w:hAnsi="Verdana" w:cs="Arial"/>
          <w:lang w:eastAsia="es-CO"/>
        </w:rPr>
        <w:t xml:space="preserve">Así, la cobertura mínima del amparo de cumplimiento cubre el </w:t>
      </w:r>
      <w:r w:rsidRPr="00E87EA6">
        <w:rPr>
          <w:rFonts w:ascii="Verdana" w:eastAsia="Times New Roman" w:hAnsi="Verdana" w:cs="Arial"/>
          <w:i/>
          <w:iCs/>
          <w:lang w:eastAsia="es-CO"/>
        </w:rPr>
        <w:t>plazo de ejecución</w:t>
      </w:r>
      <w:r w:rsidRPr="00E87EA6">
        <w:rPr>
          <w:rFonts w:ascii="Verdana" w:eastAsia="Times New Roman" w:hAnsi="Verdana" w:cs="Arial"/>
          <w:lang w:eastAsia="es-CO"/>
        </w:rPr>
        <w:t xml:space="preserve"> y el </w:t>
      </w:r>
      <w:r w:rsidRPr="00E87EA6">
        <w:rPr>
          <w:rFonts w:ascii="Verdana" w:eastAsia="Times New Roman" w:hAnsi="Verdana" w:cs="Arial"/>
          <w:i/>
          <w:iCs/>
          <w:lang w:eastAsia="es-CO"/>
        </w:rPr>
        <w:t>plazo de vigencia</w:t>
      </w:r>
      <w:r w:rsidRPr="00E87EA6">
        <w:rPr>
          <w:rFonts w:ascii="Verdana" w:eastAsia="Times New Roman" w:hAnsi="Verdana" w:cs="Arial"/>
          <w:lang w:eastAsia="es-CO"/>
        </w:rPr>
        <w:t>, el cual finaliza con la liquidación. En palabras de la doctrina, “[…] el contratista deberá otorgarla con una vigencia igual al plazo del contrato garantizado más el plazo contractual previsto para la liquidación de aquel. En caso de no haberse convenido por las partes un término para la liquidación del contrato, la garantía deberá mantenerse vigente por el término legal previsto para este efecto […]”</w:t>
      </w:r>
      <w:r w:rsidRPr="00E87EA6">
        <w:rPr>
          <w:rFonts w:ascii="Verdana" w:eastAsia="Times New Roman" w:hAnsi="Verdana" w:cs="Arial"/>
          <w:vertAlign w:val="superscript"/>
          <w:lang w:eastAsia="es-CO"/>
        </w:rPr>
        <w:footnoteReference w:id="5"/>
      </w:r>
      <w:r w:rsidRPr="00E87EA6">
        <w:rPr>
          <w:rFonts w:ascii="Verdana" w:eastAsia="Times New Roman" w:hAnsi="Verdana" w:cs="Arial"/>
          <w:lang w:eastAsia="es-CO"/>
        </w:rPr>
        <w:t>. Teniendo en cuenta lo anterior, corresponde analizar los plazos para liquidar los contratos estatales, aspecto que se abordará en el siguiente apartado.</w:t>
      </w:r>
    </w:p>
    <w:p w14:paraId="7BFF4018" w14:textId="77777777" w:rsidR="005A7BCE" w:rsidRPr="00E87EA6" w:rsidRDefault="005A7BCE" w:rsidP="005A7BCE">
      <w:pPr>
        <w:spacing w:after="0" w:line="276" w:lineRule="auto"/>
        <w:ind w:firstLine="709"/>
        <w:jc w:val="both"/>
        <w:rPr>
          <w:rFonts w:ascii="Verdana" w:eastAsia="Times New Roman" w:hAnsi="Verdana" w:cs="Arial"/>
          <w:lang w:eastAsia="es-CO"/>
        </w:rPr>
      </w:pPr>
    </w:p>
    <w:p w14:paraId="0A4AD627" w14:textId="1E73FDC4" w:rsidR="005A7BCE" w:rsidRPr="00E87EA6" w:rsidRDefault="005A7BCE" w:rsidP="005A7BCE">
      <w:pPr>
        <w:spacing w:after="0" w:line="276" w:lineRule="auto"/>
        <w:jc w:val="both"/>
        <w:rPr>
          <w:rFonts w:ascii="Verdana" w:eastAsia="Calibri" w:hAnsi="Verdana" w:cs="Arial"/>
          <w:lang w:val="es-ES"/>
        </w:rPr>
      </w:pPr>
      <w:r w:rsidRPr="00E87EA6">
        <w:rPr>
          <w:rFonts w:ascii="Verdana" w:eastAsia="Calibri" w:hAnsi="Verdana" w:cs="Arial"/>
          <w:lang w:val="es-ES"/>
        </w:rPr>
        <w:t xml:space="preserve">La liquidación del contrato estatal es el ajuste de cuentas en el cual se realiza un balance económico, técnico y jurídico </w:t>
      </w:r>
      <w:r w:rsidR="00CE3A5C" w:rsidRPr="00E87EA6">
        <w:rPr>
          <w:rFonts w:ascii="Verdana" w:eastAsia="Calibri" w:hAnsi="Verdana" w:cs="Arial"/>
          <w:lang w:val="es-ES"/>
        </w:rPr>
        <w:tab/>
      </w:r>
      <w:r w:rsidRPr="00E87EA6">
        <w:rPr>
          <w:rFonts w:ascii="Verdana" w:eastAsia="Calibri" w:hAnsi="Verdana" w:cs="Arial"/>
          <w:lang w:val="es-ES"/>
        </w:rPr>
        <w:t xml:space="preserve">del negocio. Así lo manifestó el Consejo de Estado en la sentencia del 20 de octubre de 2014, en la que consideró, por un lado, que </w:t>
      </w:r>
      <w:r w:rsidRPr="00E87EA6">
        <w:rPr>
          <w:rFonts w:ascii="Verdana" w:eastAsia="Calibri" w:hAnsi="Verdana" w:cs="Arial"/>
          <w:i/>
          <w:lang w:val="es-ES"/>
        </w:rPr>
        <w:t>liquidar</w:t>
      </w:r>
      <w:r w:rsidRPr="00E87EA6">
        <w:rPr>
          <w:rFonts w:ascii="Verdana" w:eastAsia="Calibri" w:hAnsi="Verdana" w:cs="Arial"/>
          <w:lang w:val="es-ES"/>
        </w:rPr>
        <w:t xml:space="preserve"> supone un ajuste en relación con las cuentas y el estado de cumplimiento del contrato estatal y, por otro, que la </w:t>
      </w:r>
      <w:r w:rsidRPr="00E87EA6">
        <w:rPr>
          <w:rFonts w:ascii="Verdana" w:eastAsia="Calibri" w:hAnsi="Verdana" w:cs="Arial"/>
          <w:i/>
          <w:lang w:val="es-ES"/>
        </w:rPr>
        <w:t>liquidación</w:t>
      </w:r>
      <w:r w:rsidRPr="00E87EA6">
        <w:rPr>
          <w:rFonts w:ascii="Verdana" w:eastAsia="Calibri" w:hAnsi="Verdana" w:cs="Arial"/>
          <w:lang w:val="es-ES"/>
        </w:rPr>
        <w:t xml:space="preserve"> debe incluir el análisis de las condiciones de calidad y oportunidad en la entrega de los bienes, obras o servicios, así como el balance económico y el comportamiento financiero del negocio</w:t>
      </w:r>
      <w:r w:rsidRPr="00E87EA6">
        <w:rPr>
          <w:rFonts w:ascii="Verdana" w:eastAsia="Calibri" w:hAnsi="Verdana" w:cs="Arial"/>
          <w:vertAlign w:val="superscript"/>
          <w:lang w:val="es-ES"/>
        </w:rPr>
        <w:footnoteReference w:id="6"/>
      </w:r>
      <w:r w:rsidRPr="00E87EA6">
        <w:rPr>
          <w:rFonts w:ascii="Verdana" w:eastAsia="Calibri" w:hAnsi="Verdana" w:cs="Arial"/>
          <w:lang w:val="es-ES"/>
        </w:rPr>
        <w:t>. En tal sentido, explica:</w:t>
      </w:r>
    </w:p>
    <w:p w14:paraId="74064C57" w14:textId="77777777" w:rsidR="005A7BCE" w:rsidRPr="00E87EA6" w:rsidRDefault="005A7BCE" w:rsidP="005A7BCE">
      <w:pPr>
        <w:spacing w:after="0" w:line="276" w:lineRule="auto"/>
        <w:ind w:firstLine="708"/>
        <w:jc w:val="both"/>
        <w:rPr>
          <w:rFonts w:ascii="Verdana" w:eastAsia="Calibri" w:hAnsi="Verdana" w:cs="Arial"/>
          <w:lang w:val="es-ES_tradnl"/>
        </w:rPr>
      </w:pPr>
    </w:p>
    <w:p w14:paraId="30AB8BF5" w14:textId="77777777" w:rsidR="005A7BCE" w:rsidRPr="00E87EA6" w:rsidRDefault="005A7BCE" w:rsidP="005A7BCE">
      <w:pPr>
        <w:spacing w:after="0" w:line="276" w:lineRule="auto"/>
        <w:ind w:left="709" w:right="709"/>
        <w:jc w:val="both"/>
        <w:rPr>
          <w:rFonts w:ascii="Verdana" w:eastAsia="Calibri" w:hAnsi="Verdana" w:cs="Arial"/>
          <w:sz w:val="20"/>
          <w:szCs w:val="20"/>
          <w:lang w:val="es-ES_tradnl"/>
        </w:rPr>
      </w:pPr>
      <w:r w:rsidRPr="00E87EA6">
        <w:rPr>
          <w:rFonts w:ascii="Verdana" w:eastAsia="Calibri" w:hAnsi="Verdana" w:cs="Arial"/>
          <w:sz w:val="20"/>
          <w:szCs w:val="20"/>
          <w:lang w:val="es-ES_tradnl"/>
        </w:rPr>
        <w:t xml:space="preserve">“[…]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w:t>
      </w:r>
      <w:r w:rsidRPr="00E87EA6">
        <w:rPr>
          <w:rFonts w:ascii="Verdana" w:eastAsia="Calibri" w:hAnsi="Verdana" w:cs="Arial"/>
          <w:sz w:val="20"/>
          <w:szCs w:val="20"/>
          <w:lang w:val="es-ES_tradnl"/>
        </w:rPr>
        <w:lastRenderedPageBreak/>
        <w:t>pagos efectuados, estado del crédito o de la deuda de cada parte, entre otros detalles mínimos y necesarios para finiquitar una relación jurídica contractual”</w:t>
      </w:r>
      <w:r w:rsidRPr="00E87EA6">
        <w:rPr>
          <w:rFonts w:ascii="Verdana" w:eastAsia="Calibri" w:hAnsi="Verdana" w:cs="Arial"/>
          <w:sz w:val="20"/>
          <w:szCs w:val="20"/>
          <w:vertAlign w:val="superscript"/>
          <w:lang w:val="es-ES_tradnl"/>
        </w:rPr>
        <w:footnoteReference w:id="7"/>
      </w:r>
      <w:r w:rsidRPr="00E87EA6">
        <w:rPr>
          <w:rFonts w:ascii="Verdana" w:eastAsia="Calibri" w:hAnsi="Verdana" w:cs="Arial"/>
          <w:sz w:val="20"/>
          <w:szCs w:val="20"/>
          <w:lang w:val="es-ES_tradnl"/>
        </w:rPr>
        <w:t>.</w:t>
      </w:r>
    </w:p>
    <w:p w14:paraId="402514A3" w14:textId="77777777" w:rsidR="005A7BCE" w:rsidRPr="00E87EA6" w:rsidRDefault="005A7BCE" w:rsidP="005A7BCE">
      <w:pPr>
        <w:spacing w:after="0" w:line="276" w:lineRule="auto"/>
        <w:ind w:left="709" w:right="709"/>
        <w:jc w:val="both"/>
        <w:rPr>
          <w:rFonts w:ascii="Verdana" w:eastAsia="Calibri" w:hAnsi="Verdana" w:cs="Arial"/>
          <w:lang w:val="es-ES_tradnl"/>
        </w:rPr>
      </w:pPr>
    </w:p>
    <w:p w14:paraId="69959ADD" w14:textId="77777777" w:rsidR="005A7BCE" w:rsidRPr="00E87EA6" w:rsidRDefault="005A7BCE" w:rsidP="005A7BCE">
      <w:pPr>
        <w:spacing w:after="120" w:line="276" w:lineRule="auto"/>
        <w:ind w:right="-68" w:firstLine="708"/>
        <w:jc w:val="both"/>
        <w:rPr>
          <w:rFonts w:ascii="Verdana" w:eastAsia="Times New Roman" w:hAnsi="Verdana" w:cs="Arial"/>
          <w:lang w:val="es-ES_tradnl" w:eastAsia="es-ES"/>
        </w:rPr>
      </w:pPr>
      <w:r w:rsidRPr="00E87EA6">
        <w:rPr>
          <w:rFonts w:ascii="Verdana" w:eastAsia="Times New Roman" w:hAnsi="Verdana" w:cs="Arial"/>
          <w:lang w:val="es-ES_tradnl" w:eastAsia="es-ES"/>
        </w:rPr>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realización. 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El artículo 11 de la Ley 1150 de 2007</w:t>
      </w:r>
      <w:r w:rsidRPr="00E87EA6">
        <w:rPr>
          <w:rFonts w:ascii="Verdana" w:eastAsia="Times New Roman" w:hAnsi="Verdana" w:cs="Arial"/>
          <w:vertAlign w:val="superscript"/>
          <w:lang w:val="es-ES_tradnl" w:eastAsia="es-ES"/>
        </w:rPr>
        <w:footnoteReference w:id="8"/>
      </w:r>
      <w:r w:rsidRPr="00E87EA6">
        <w:rPr>
          <w:rFonts w:ascii="Verdana" w:eastAsia="Times New Roman" w:hAnsi="Verdana" w:cs="Arial"/>
          <w:lang w:val="es-ES_tradnl" w:eastAsia="es-ES"/>
        </w:rPr>
        <w:t xml:space="preserve"> contiene las reglas de tipo procedimental para liquidar los contratos estatales, que se pasan a explicar. </w:t>
      </w:r>
    </w:p>
    <w:p w14:paraId="2B62EE79" w14:textId="77777777" w:rsidR="005A7BCE" w:rsidRPr="00E87EA6" w:rsidRDefault="005A7BCE" w:rsidP="005A7BCE">
      <w:pPr>
        <w:spacing w:after="120" w:line="276" w:lineRule="auto"/>
        <w:ind w:firstLine="709"/>
        <w:jc w:val="both"/>
        <w:rPr>
          <w:rFonts w:ascii="Verdana" w:eastAsia="Calibri" w:hAnsi="Verdana" w:cs="Arial"/>
          <w:lang w:val="es-ES"/>
        </w:rPr>
      </w:pPr>
      <w:r w:rsidRPr="00E87EA6">
        <w:rPr>
          <w:rFonts w:ascii="Verdana" w:eastAsia="Calibri" w:hAnsi="Verdana" w:cs="Arial"/>
          <w:lang w:val="es-ES"/>
        </w:rPr>
        <w:t xml:space="preserve">En primer lugar, en ejercicio de la autonomía de la voluntad y de conformidad con la naturaleza, el objeto y el plazo del contrato, la entidad estatal puede definir en el pliego de condiciones o el documento equivalente el plazo para efectuar la liquidación de mutuo acuerdo. Al respecto, el artículo 11 de la Ley 1150 de 2007 señala que la liquidación de mutuo acuerdo se deberá realizar </w:t>
      </w:r>
      <w:r w:rsidRPr="00E87EA6">
        <w:rPr>
          <w:rFonts w:ascii="Verdana" w:eastAsia="Calibri" w:hAnsi="Verdana" w:cs="Arial"/>
          <w:lang w:val="es-ES"/>
        </w:rPr>
        <w:lastRenderedPageBreak/>
        <w:t xml:space="preserve">dentro del plazo previsto en “los pliegos de condiciones o sus equivalentes, o dentro del que acuerden las partes para el efecto”. De otro lado, cuando el artículo 11 de la Ley 1150 de 2007 hace referencia al término que “acuerden las partes” para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w:t>
      </w:r>
    </w:p>
    <w:p w14:paraId="0D6357CD" w14:textId="77777777" w:rsidR="005A7BCE" w:rsidRPr="00E87EA6" w:rsidRDefault="005A7BCE" w:rsidP="005A7BCE">
      <w:pPr>
        <w:spacing w:after="0" w:line="276" w:lineRule="auto"/>
        <w:ind w:firstLine="709"/>
        <w:jc w:val="both"/>
        <w:rPr>
          <w:rFonts w:ascii="Verdana" w:eastAsia="Calibri" w:hAnsi="Verdana" w:cs="Arial"/>
          <w:lang w:val="es-ES"/>
        </w:rPr>
      </w:pPr>
      <w:r w:rsidRPr="00E87EA6">
        <w:rPr>
          <w:rFonts w:ascii="Verdana" w:eastAsia="Calibri" w:hAnsi="Verdana" w:cs="Arial"/>
          <w:lang w:val="es-ES"/>
        </w:rPr>
        <w:t xml:space="preserve">En segundo lugar, en ausencia de pacto, el artículo 11 de la Ley 1150 de 2007 dispone un término supletivo de cuatro (4) meses contados desde: i) el vencimiento del plazo previsto para la ejecución del contrato, </w:t>
      </w:r>
      <w:proofErr w:type="spellStart"/>
      <w:r w:rsidRPr="00E87EA6">
        <w:rPr>
          <w:rFonts w:ascii="Verdana" w:eastAsia="Calibri" w:hAnsi="Verdana" w:cs="Arial"/>
          <w:lang w:val="es-ES"/>
        </w:rPr>
        <w:t>ii</w:t>
      </w:r>
      <w:proofErr w:type="spellEnd"/>
      <w:r w:rsidRPr="00E87EA6">
        <w:rPr>
          <w:rFonts w:ascii="Verdana" w:eastAsia="Calibri" w:hAnsi="Verdana" w:cs="Arial"/>
          <w:lang w:val="es-ES"/>
        </w:rPr>
        <w:t xml:space="preserve">) la expedición del acto administrativo que ordene la terminación del contrato o </w:t>
      </w:r>
      <w:proofErr w:type="spellStart"/>
      <w:r w:rsidRPr="00E87EA6">
        <w:rPr>
          <w:rFonts w:ascii="Verdana" w:eastAsia="Calibri" w:hAnsi="Verdana" w:cs="Arial"/>
          <w:lang w:val="es-ES"/>
        </w:rPr>
        <w:t>iii</w:t>
      </w:r>
      <w:proofErr w:type="spellEnd"/>
      <w:r w:rsidRPr="00E87EA6">
        <w:rPr>
          <w:rFonts w:ascii="Verdana" w:eastAsia="Calibri" w:hAnsi="Verdana" w:cs="Arial"/>
          <w:lang w:val="es-ES"/>
        </w:rPr>
        <w:t xml:space="preserve">) la fecha del acuerdo que disponga la terminación del contrato.  Ahora bien, el término de cuatro (4) </w:t>
      </w:r>
      <w:proofErr w:type="gramStart"/>
      <w:r w:rsidRPr="00E87EA6">
        <w:rPr>
          <w:rFonts w:ascii="Verdana" w:eastAsia="Calibri" w:hAnsi="Verdana" w:cs="Arial"/>
          <w:lang w:val="es-ES"/>
        </w:rPr>
        <w:t>meses previsto</w:t>
      </w:r>
      <w:proofErr w:type="gramEnd"/>
      <w:r w:rsidRPr="00E87EA6">
        <w:rPr>
          <w:rFonts w:ascii="Verdana" w:eastAsia="Calibri" w:hAnsi="Verdana" w:cs="Arial"/>
          <w:lang w:val="es-ES"/>
        </w:rPr>
        <w:t xml:space="preserve"> en el artículo 11 de la Ley 1150 de 2007, dado su carácter supletivo, solo resulta aplicable ante la ausencia de regulación </w:t>
      </w:r>
      <w:proofErr w:type="gramStart"/>
      <w:r w:rsidRPr="00E87EA6">
        <w:rPr>
          <w:rFonts w:ascii="Verdana" w:eastAsia="Calibri" w:hAnsi="Verdana" w:cs="Arial"/>
          <w:lang w:val="es-ES"/>
        </w:rPr>
        <w:t>del mismo</w:t>
      </w:r>
      <w:proofErr w:type="gramEnd"/>
      <w:r w:rsidRPr="00E87EA6">
        <w:rPr>
          <w:rFonts w:ascii="Verdana" w:eastAsia="Calibri" w:hAnsi="Verdana" w:cs="Arial"/>
          <w:lang w:val="es-ES"/>
        </w:rPr>
        <w:t xml:space="preserve"> en el pliego de condiciones –documento equivalente– y ante la falta de acuerdo entre las partes en torno al plazo de liquidación bilateral. Durante este término el contratista puede solicitar que se adelante el trámite de liquidación. Sin embargo, es responsabilidad de la entidad estatal convocarlo para adelantar la liquidación de común acuerdo o notificarlo para que se presente a la liquidación</w:t>
      </w:r>
      <w:r w:rsidRPr="00E87EA6">
        <w:rPr>
          <w:rFonts w:ascii="Verdana" w:eastAsia="Calibri" w:hAnsi="Verdana" w:cs="Arial"/>
          <w:vertAlign w:val="superscript"/>
          <w:lang w:val="es-ES"/>
        </w:rPr>
        <w:footnoteReference w:id="9"/>
      </w:r>
      <w:r w:rsidRPr="00E87EA6">
        <w:rPr>
          <w:rFonts w:ascii="Verdana" w:eastAsia="Calibri" w:hAnsi="Verdana" w:cs="Arial"/>
          <w:lang w:val="es-ES"/>
        </w:rPr>
        <w:t>, de manera que el contrato pueda ser liquidado bilateralmente, bien sea en el plazo previsto en el pliego de condiciones, el acordado por las partes, o en los cuatro meses señalados en la Ley, según corresponda. Esta liquidación bilateral puede ser total o parcial</w:t>
      </w:r>
      <w:r w:rsidRPr="00E87EA6">
        <w:rPr>
          <w:rFonts w:ascii="Verdana" w:eastAsia="Calibri" w:hAnsi="Verdana" w:cs="Arial"/>
          <w:vertAlign w:val="superscript"/>
          <w:lang w:val="es-ES"/>
        </w:rPr>
        <w:footnoteReference w:id="10"/>
      </w:r>
      <w:r w:rsidRPr="00E87EA6">
        <w:rPr>
          <w:rFonts w:ascii="Verdana" w:eastAsia="Calibri" w:hAnsi="Verdana" w:cs="Arial"/>
          <w:lang w:val="es-ES"/>
        </w:rPr>
        <w:t xml:space="preserve">. Si no es posible efectuar la liquidación de manera bilateral en los términos anteriormente explicados, el ordenamiento jurídico prevé una habilitación competencial, de carácter subsidiario, para que </w:t>
      </w:r>
      <w:r w:rsidRPr="00E87EA6">
        <w:rPr>
          <w:rFonts w:ascii="Verdana" w:eastAsia="Calibri" w:hAnsi="Verdana" w:cs="Arial"/>
          <w:lang w:val="es-ES"/>
        </w:rPr>
        <w:lastRenderedPageBreak/>
        <w:t>la entidad estatal realice la liquidación unilateralmente. Sobre el punto, el Consejo de Estado ha señalado:</w:t>
      </w:r>
    </w:p>
    <w:p w14:paraId="372BFDA8" w14:textId="77777777" w:rsidR="005A7BCE" w:rsidRPr="00E87EA6" w:rsidRDefault="005A7BCE" w:rsidP="005A7BCE">
      <w:pPr>
        <w:spacing w:after="0" w:line="276" w:lineRule="auto"/>
        <w:ind w:left="709" w:right="760"/>
        <w:jc w:val="both"/>
        <w:rPr>
          <w:rFonts w:ascii="Verdana" w:eastAsia="Times New Roman" w:hAnsi="Verdana" w:cs="Arial"/>
          <w:lang w:val="es-ES_tradnl" w:eastAsia="es-ES"/>
        </w:rPr>
      </w:pPr>
    </w:p>
    <w:p w14:paraId="2DAEF9FD" w14:textId="77777777" w:rsidR="005A7BCE" w:rsidRPr="00E87EA6" w:rsidRDefault="005A7BCE" w:rsidP="005A7BCE">
      <w:pPr>
        <w:spacing w:after="0" w:line="276" w:lineRule="auto"/>
        <w:ind w:left="709" w:right="709"/>
        <w:jc w:val="both"/>
        <w:rPr>
          <w:rFonts w:ascii="Verdana" w:eastAsia="Times New Roman" w:hAnsi="Verdana" w:cs="Arial"/>
          <w:sz w:val="20"/>
          <w:szCs w:val="20"/>
          <w:lang w:val="es-ES_tradnl" w:eastAsia="es-ES"/>
        </w:rPr>
      </w:pPr>
      <w:r w:rsidRPr="00E87EA6">
        <w:rPr>
          <w:rFonts w:ascii="Verdana" w:eastAsia="Times New Roman" w:hAnsi="Verdana" w:cs="Arial"/>
          <w:sz w:val="20"/>
          <w:szCs w:val="20"/>
          <w:lang w:val="es-ES_tradnl" w:eastAsia="es-ES"/>
        </w:rPr>
        <w:t>“Al respecto 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sidRPr="00E87EA6">
        <w:rPr>
          <w:rFonts w:ascii="Verdana" w:eastAsia="Times New Roman" w:hAnsi="Verdana" w:cs="Arial"/>
          <w:sz w:val="20"/>
          <w:szCs w:val="20"/>
          <w:vertAlign w:val="superscript"/>
          <w:lang w:val="es-ES_tradnl" w:eastAsia="es-ES"/>
        </w:rPr>
        <w:footnoteReference w:id="11"/>
      </w:r>
      <w:r w:rsidRPr="00E87EA6">
        <w:rPr>
          <w:rFonts w:ascii="Verdana" w:eastAsia="Times New Roman" w:hAnsi="Verdana" w:cs="Arial"/>
          <w:sz w:val="20"/>
          <w:szCs w:val="20"/>
          <w:lang w:val="es-ES_tradnl" w:eastAsia="es-ES"/>
        </w:rPr>
        <w:t xml:space="preserve">. </w:t>
      </w:r>
    </w:p>
    <w:p w14:paraId="2CB91E3A" w14:textId="77777777" w:rsidR="005A7BCE" w:rsidRPr="00E87EA6" w:rsidRDefault="005A7BCE" w:rsidP="005A7BCE">
      <w:pPr>
        <w:spacing w:after="0" w:line="276" w:lineRule="auto"/>
        <w:ind w:left="709" w:right="760"/>
        <w:jc w:val="both"/>
        <w:rPr>
          <w:rFonts w:ascii="Verdana" w:eastAsia="Times New Roman" w:hAnsi="Verdana" w:cs="Arial"/>
          <w:lang w:val="es-ES_tradnl" w:eastAsia="es-ES"/>
        </w:rPr>
      </w:pPr>
    </w:p>
    <w:p w14:paraId="54C95D34" w14:textId="77777777" w:rsidR="005A7BCE" w:rsidRPr="00E87EA6" w:rsidRDefault="005A7BCE" w:rsidP="005A7BCE">
      <w:pPr>
        <w:spacing w:after="0" w:line="276" w:lineRule="auto"/>
        <w:ind w:right="-68" w:firstLine="709"/>
        <w:jc w:val="both"/>
        <w:rPr>
          <w:rFonts w:ascii="Verdana" w:eastAsia="Times New Roman" w:hAnsi="Verdana" w:cs="Arial"/>
          <w:lang w:val="es-ES" w:eastAsia="es-ES"/>
        </w:rPr>
      </w:pPr>
      <w:r w:rsidRPr="00E87EA6">
        <w:rPr>
          <w:rFonts w:ascii="Verdana" w:eastAsia="Times New Roman" w:hAnsi="Verdana" w:cs="Arial"/>
          <w:lang w:val="es-ES" w:eastAsia="es-ES"/>
        </w:rPr>
        <w:t>Por lo tanto, si no se logra la liquidación bilateral del contrato en el término convencional o subsidiario, la entidad estatal tiene la facultad de liquidarlo unilateralmente durante el término de dos (2) meses contados a partir del vencimiento del plazo que acuerden las partes para liquidar bilateralmente, o ante el silencio de estas, del vencimiento de los cuatro (4) meses establecidos por la ley</w:t>
      </w:r>
      <w:r w:rsidRPr="00E87EA6">
        <w:rPr>
          <w:rFonts w:ascii="Verdana" w:eastAsia="Times New Roman" w:hAnsi="Verdana" w:cs="Arial"/>
          <w:vertAlign w:val="superscript"/>
          <w:lang w:val="es-ES" w:eastAsia="es-ES"/>
        </w:rPr>
        <w:footnoteReference w:id="12"/>
      </w:r>
      <w:r w:rsidRPr="00E87EA6">
        <w:rPr>
          <w:rFonts w:ascii="Verdana" w:eastAsia="Times New Roman" w:hAnsi="Verdana" w:cs="Arial"/>
          <w:lang w:val="es-ES" w:eastAsia="es-ES"/>
        </w:rPr>
        <w:t xml:space="preserve">. Finalmente, transcurridos estos dos (2) meses, sin que se haya efectuado, la liquidación podrá realizarse en cualquier tiempo dentro de los dos años siguientes al vencimiento del término referido. Durante estos dos años la liquidación podrá hacerse de mutuo acuerdo, unilateralmente por la entidad, o podrá ser solicitada judicialmente. En este sentido, en decisión de unificación, el Consejo de Estado dijo: </w:t>
      </w:r>
    </w:p>
    <w:p w14:paraId="4C096E54" w14:textId="77777777" w:rsidR="005A7BCE" w:rsidRPr="00E87EA6" w:rsidRDefault="005A7BCE" w:rsidP="005A7BCE">
      <w:pPr>
        <w:spacing w:after="0" w:line="276" w:lineRule="auto"/>
        <w:ind w:left="709" w:right="760"/>
        <w:jc w:val="both"/>
        <w:rPr>
          <w:rFonts w:ascii="Verdana" w:eastAsia="Times New Roman" w:hAnsi="Verdana" w:cs="Arial"/>
          <w:sz w:val="20"/>
          <w:szCs w:val="20"/>
          <w:lang w:val="es-ES_tradnl" w:eastAsia="es-ES"/>
        </w:rPr>
      </w:pPr>
    </w:p>
    <w:p w14:paraId="20DA6F93" w14:textId="77777777" w:rsidR="005A7BCE" w:rsidRPr="00E87EA6" w:rsidRDefault="005A7BCE" w:rsidP="005A7BCE">
      <w:pPr>
        <w:spacing w:after="0" w:line="276" w:lineRule="auto"/>
        <w:ind w:left="709" w:right="709"/>
        <w:jc w:val="both"/>
        <w:rPr>
          <w:rFonts w:ascii="Verdana" w:eastAsia="Times New Roman" w:hAnsi="Verdana" w:cs="Arial"/>
          <w:sz w:val="20"/>
          <w:szCs w:val="20"/>
          <w:lang w:val="es-ES" w:eastAsia="es-ES"/>
        </w:rPr>
      </w:pPr>
      <w:r w:rsidRPr="00E87EA6">
        <w:rPr>
          <w:rFonts w:ascii="Verdana" w:eastAsia="Times New Roman" w:hAnsi="Verdana" w:cs="Arial"/>
          <w:sz w:val="20"/>
          <w:szCs w:val="20"/>
          <w:lang w:val="es-ES" w:eastAsia="es-ES"/>
        </w:rPr>
        <w:t xml:space="preserve">“Como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w:t>
      </w:r>
      <w:r w:rsidRPr="00E87EA6">
        <w:rPr>
          <w:rFonts w:ascii="Verdana" w:eastAsia="Times New Roman" w:hAnsi="Verdana" w:cs="Arial"/>
          <w:sz w:val="20"/>
          <w:szCs w:val="20"/>
          <w:lang w:val="es-ES" w:eastAsia="es-ES"/>
        </w:rPr>
        <w:lastRenderedPageBreak/>
        <w:t xml:space="preserve">incluso, después de haber pasado los dos meses subsiguientes a dicho vencimiento sin que la administración lo hubiera liquidado unilateralmente, bajo condición de que el acuerdo </w:t>
      </w:r>
      <w:proofErr w:type="spellStart"/>
      <w:r w:rsidRPr="00E87EA6">
        <w:rPr>
          <w:rFonts w:ascii="Verdana" w:eastAsia="Times New Roman" w:hAnsi="Verdana" w:cs="Arial"/>
          <w:sz w:val="20"/>
          <w:szCs w:val="20"/>
          <w:lang w:val="es-ES" w:eastAsia="es-ES"/>
        </w:rPr>
        <w:t>liquidatorio</w:t>
      </w:r>
      <w:proofErr w:type="spellEnd"/>
      <w:r w:rsidRPr="00E87EA6">
        <w:rPr>
          <w:rFonts w:ascii="Verdana" w:eastAsia="Times New Roman" w:hAnsi="Verdana" w:cs="Arial"/>
          <w:sz w:val="20"/>
          <w:szCs w:val="20"/>
          <w:lang w:val="es-ES" w:eastAsia="es-ES"/>
        </w:rPr>
        <w:t xml:space="preserve"> se logre dentro del lapso de dos años contados a partir del vencimiento del término legalmente conocido para la liquidación unilateral, pues ese es el lapso que el ordenamiento ha fijado para el ejercicio oportuno de la acción”</w:t>
      </w:r>
      <w:r w:rsidRPr="00E87EA6">
        <w:rPr>
          <w:rFonts w:ascii="Verdana" w:eastAsia="Times New Roman" w:hAnsi="Verdana" w:cs="Arial"/>
          <w:sz w:val="20"/>
          <w:szCs w:val="20"/>
          <w:vertAlign w:val="superscript"/>
          <w:lang w:val="es-ES" w:eastAsia="es-ES"/>
        </w:rPr>
        <w:footnoteReference w:id="13"/>
      </w:r>
      <w:r w:rsidRPr="00E87EA6">
        <w:rPr>
          <w:rFonts w:ascii="Verdana" w:eastAsia="Times New Roman" w:hAnsi="Verdana" w:cs="Arial"/>
          <w:sz w:val="20"/>
          <w:szCs w:val="20"/>
          <w:lang w:val="es-ES" w:eastAsia="es-ES"/>
        </w:rPr>
        <w:t>.</w:t>
      </w:r>
    </w:p>
    <w:p w14:paraId="76F712D2" w14:textId="77777777" w:rsidR="005A7BCE" w:rsidRPr="00E87EA6" w:rsidRDefault="005A7BCE" w:rsidP="005A7BCE">
      <w:pPr>
        <w:spacing w:after="0" w:line="276" w:lineRule="auto"/>
        <w:ind w:left="709" w:right="760"/>
        <w:jc w:val="both"/>
        <w:rPr>
          <w:rFonts w:ascii="Verdana" w:eastAsia="Times New Roman" w:hAnsi="Verdana" w:cs="Arial"/>
          <w:lang w:val="es-ES_tradnl" w:eastAsia="es-ES"/>
        </w:rPr>
      </w:pPr>
    </w:p>
    <w:p w14:paraId="7F99F9DF" w14:textId="77777777" w:rsidR="005A7BCE" w:rsidRPr="00E87EA6" w:rsidRDefault="005A7BCE" w:rsidP="005A7BCE">
      <w:pPr>
        <w:spacing w:after="120" w:line="276" w:lineRule="auto"/>
        <w:jc w:val="both"/>
        <w:rPr>
          <w:rFonts w:ascii="Verdana" w:eastAsia="Calibri" w:hAnsi="Verdana" w:cs="Arial"/>
          <w:lang w:val="es-ES_tradnl"/>
        </w:rPr>
      </w:pPr>
      <w:r w:rsidRPr="00E87EA6">
        <w:rPr>
          <w:rFonts w:ascii="Verdana" w:eastAsia="Calibri" w:hAnsi="Verdana" w:cs="Arial"/>
          <w:lang w:val="es-ES_tradnl"/>
        </w:rPr>
        <w:tab/>
        <w:t>Así las cosas,</w:t>
      </w:r>
      <w:r w:rsidRPr="00E87EA6">
        <w:rPr>
          <w:rFonts w:ascii="Verdana" w:eastAsia="Calibri" w:hAnsi="Verdana" w:cs="Arial"/>
          <w:lang w:val="es-ES_tradnl"/>
        </w:rPr>
        <w:tab/>
        <w:t>es claro que el ordenamiento jurídico vigente permite la liquidación unilateral o bilateral, una vez vencido el plazo de dos meses para la liquidación unilateral de que trata el inciso segundo del artículo 11 de la Ley 1150 de 2007, siempre y cuando la liquidación se realice dentro del plazo de dos años “a partir del vencimiento del término legalmente conocido para la liquidación unilateral, pues este es el lapso que el ordenamiento ha fijado para el ejercicio oportuno de la acción”</w:t>
      </w:r>
      <w:r w:rsidRPr="00E87EA6">
        <w:rPr>
          <w:rFonts w:ascii="Verdana" w:eastAsia="Calibri" w:hAnsi="Verdana" w:cs="Arial"/>
          <w:vertAlign w:val="superscript"/>
          <w:lang w:val="es-ES_tradnl"/>
        </w:rPr>
        <w:footnoteReference w:id="14"/>
      </w:r>
      <w:r w:rsidRPr="00E87EA6">
        <w:rPr>
          <w:rFonts w:ascii="Verdana" w:eastAsia="Calibri" w:hAnsi="Verdana" w:cs="Arial"/>
          <w:lang w:val="es-ES_tradnl"/>
        </w:rPr>
        <w:t xml:space="preserve">. </w:t>
      </w:r>
    </w:p>
    <w:p w14:paraId="5113DC51" w14:textId="77777777" w:rsidR="005A7BCE" w:rsidRPr="00E87EA6" w:rsidRDefault="005A7BCE" w:rsidP="005A7BCE">
      <w:pPr>
        <w:spacing w:line="276" w:lineRule="auto"/>
        <w:ind w:firstLine="709"/>
        <w:jc w:val="both"/>
        <w:rPr>
          <w:rFonts w:ascii="Verdana" w:eastAsia="Calibri" w:hAnsi="Verdana" w:cs="Arial"/>
          <w:lang w:val="es-ES"/>
        </w:rPr>
      </w:pPr>
      <w:r w:rsidRPr="00E87EA6">
        <w:rPr>
          <w:rFonts w:ascii="Verdana" w:eastAsia="Calibri" w:hAnsi="Verdana" w:cs="Arial"/>
          <w:lang w:val="es-ES"/>
        </w:rPr>
        <w:t xml:space="preserve">En suma, de acuerdo con el artículo 11 de la Ley 1150 de 2007, existen tres (3) tipos de liquidación: i) bilateral, </w:t>
      </w:r>
      <w:proofErr w:type="spellStart"/>
      <w:r w:rsidRPr="00E87EA6">
        <w:rPr>
          <w:rFonts w:ascii="Verdana" w:eastAsia="Calibri" w:hAnsi="Verdana" w:cs="Arial"/>
          <w:lang w:val="es-ES"/>
        </w:rPr>
        <w:t>ii</w:t>
      </w:r>
      <w:proofErr w:type="spellEnd"/>
      <w:r w:rsidRPr="00E87EA6">
        <w:rPr>
          <w:rFonts w:ascii="Verdana" w:eastAsia="Calibri" w:hAnsi="Verdana" w:cs="Arial"/>
          <w:lang w:val="es-ES"/>
        </w:rPr>
        <w:t xml:space="preserve">) unilateral y </w:t>
      </w:r>
      <w:proofErr w:type="spellStart"/>
      <w:r w:rsidRPr="00E87EA6">
        <w:rPr>
          <w:rFonts w:ascii="Verdana" w:eastAsia="Calibri" w:hAnsi="Verdana" w:cs="Arial"/>
          <w:lang w:val="es-ES"/>
        </w:rPr>
        <w:t>iii</w:t>
      </w:r>
      <w:proofErr w:type="spellEnd"/>
      <w:r w:rsidRPr="00E87EA6">
        <w:rPr>
          <w:rFonts w:ascii="Verdana" w:eastAsia="Calibri" w:hAnsi="Verdana" w:cs="Arial"/>
          <w:lang w:val="es-ES"/>
        </w:rPr>
        <w:t>)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dos (2) años contados a partir de los dos meses establecidos en la Ley para realizar la liquidación unilateral, de conformidad con el citado auto de unificación jurisprudencial del Consejo de Estado.</w:t>
      </w:r>
    </w:p>
    <w:p w14:paraId="5D756BC3" w14:textId="77777777" w:rsidR="005A7BCE" w:rsidRPr="00E87EA6" w:rsidRDefault="005A7BCE" w:rsidP="00871B59">
      <w:pPr>
        <w:spacing w:after="0" w:line="276" w:lineRule="auto"/>
        <w:jc w:val="both"/>
        <w:rPr>
          <w:rFonts w:ascii="Verdana" w:eastAsia="Calibri" w:hAnsi="Verdana" w:cs="Arial"/>
          <w:lang w:val="es-ES"/>
        </w:rPr>
      </w:pPr>
    </w:p>
    <w:p w14:paraId="53133908" w14:textId="77777777" w:rsidR="00871B59" w:rsidRPr="00E87EA6"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E87EA6">
        <w:rPr>
          <w:rFonts w:ascii="Verdana" w:eastAsia="Century Gothic" w:hAnsi="Verdana" w:cs="Century Gothic"/>
          <w:b/>
          <w:bCs/>
          <w:lang w:val="es-ES"/>
        </w:rPr>
        <w:t>Referencias normativas, jurisprudenciales y otras fuentes:</w:t>
      </w:r>
    </w:p>
    <w:p w14:paraId="237FD993" w14:textId="77777777" w:rsidR="00871B59" w:rsidRPr="00E87EA6" w:rsidRDefault="00871B59" w:rsidP="00871B5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87EA6" w:rsidRPr="00E87EA6" w14:paraId="150F7C2A" w14:textId="77777777" w:rsidTr="002607A7">
        <w:trPr>
          <w:trHeight w:val="870"/>
        </w:trPr>
        <w:tc>
          <w:tcPr>
            <w:tcW w:w="8647" w:type="dxa"/>
          </w:tcPr>
          <w:p w14:paraId="726013F2" w14:textId="77777777" w:rsidR="00E87EA6" w:rsidRPr="00E87EA6" w:rsidRDefault="00E87EA6" w:rsidP="00E87EA6">
            <w:pPr>
              <w:widowControl w:val="0"/>
              <w:numPr>
                <w:ilvl w:val="0"/>
                <w:numId w:val="8"/>
              </w:numPr>
              <w:autoSpaceDE w:val="0"/>
              <w:autoSpaceDN w:val="0"/>
              <w:spacing w:after="120"/>
              <w:contextualSpacing/>
              <w:jc w:val="both"/>
              <w:rPr>
                <w:rFonts w:ascii="Verdana" w:eastAsia="Calibri" w:hAnsi="Verdana" w:cs="Arial"/>
              </w:rPr>
            </w:pPr>
            <w:r w:rsidRPr="00E87EA6">
              <w:rPr>
                <w:rFonts w:ascii="Verdana" w:eastAsia="Calibri" w:hAnsi="Verdana" w:cs="Arial"/>
              </w:rPr>
              <w:lastRenderedPageBreak/>
              <w:t xml:space="preserve">Ley 80 de 1993, artículo 60. Disponible en: </w:t>
            </w:r>
            <w:hyperlink r:id="rId12" w:history="1">
              <w:r w:rsidRPr="00E87EA6">
                <w:rPr>
                  <w:rFonts w:ascii="Verdana" w:eastAsia="Calibri" w:hAnsi="Verdana" w:cs="Arial"/>
                  <w:u w:val="single"/>
                </w:rPr>
                <w:t>https://relatoria.colombiacompra.gov.co/normativa/ley-80-de-1993/</w:t>
              </w:r>
            </w:hyperlink>
          </w:p>
          <w:p w14:paraId="6AEA1636" w14:textId="77777777" w:rsidR="00E87EA6" w:rsidRPr="00E87EA6" w:rsidRDefault="00E87EA6" w:rsidP="00E87EA6">
            <w:pPr>
              <w:widowControl w:val="0"/>
              <w:autoSpaceDE w:val="0"/>
              <w:autoSpaceDN w:val="0"/>
              <w:spacing w:after="120"/>
              <w:ind w:left="720"/>
              <w:contextualSpacing/>
              <w:jc w:val="both"/>
              <w:rPr>
                <w:rFonts w:ascii="Verdana" w:eastAsia="Calibri" w:hAnsi="Verdana" w:cs="Arial"/>
              </w:rPr>
            </w:pPr>
          </w:p>
          <w:p w14:paraId="3162F3A7" w14:textId="77777777" w:rsidR="00E87EA6" w:rsidRPr="00E87EA6" w:rsidRDefault="00E87EA6" w:rsidP="00E87EA6">
            <w:pPr>
              <w:widowControl w:val="0"/>
              <w:numPr>
                <w:ilvl w:val="0"/>
                <w:numId w:val="8"/>
              </w:numPr>
              <w:autoSpaceDE w:val="0"/>
              <w:autoSpaceDN w:val="0"/>
              <w:spacing w:after="120"/>
              <w:contextualSpacing/>
              <w:jc w:val="both"/>
              <w:rPr>
                <w:rFonts w:ascii="Verdana" w:eastAsia="Calibri" w:hAnsi="Verdana" w:cs="Arial"/>
              </w:rPr>
            </w:pPr>
            <w:r w:rsidRPr="00E87EA6">
              <w:rPr>
                <w:rFonts w:ascii="Verdana" w:eastAsia="Calibri" w:hAnsi="Verdana" w:cs="Arial"/>
              </w:rPr>
              <w:t xml:space="preserve">Ley 1150 de 2007, artículo 11. Disponible en: </w:t>
            </w:r>
            <w:hyperlink r:id="rId13" w:history="1">
              <w:r w:rsidRPr="00E87EA6">
                <w:rPr>
                  <w:rFonts w:ascii="Verdana" w:eastAsia="Calibri" w:hAnsi="Verdana" w:cs="Arial"/>
                  <w:u w:val="single"/>
                </w:rPr>
                <w:t>https://relatoria.colombiacompra.gov.co/normativa/ley-1150-de-2007/</w:t>
              </w:r>
            </w:hyperlink>
          </w:p>
          <w:p w14:paraId="3C2A2602" w14:textId="77777777" w:rsidR="00E87EA6" w:rsidRPr="00E87EA6" w:rsidRDefault="00E87EA6" w:rsidP="00E87EA6">
            <w:pPr>
              <w:widowControl w:val="0"/>
              <w:numPr>
                <w:ilvl w:val="0"/>
                <w:numId w:val="8"/>
              </w:numPr>
              <w:autoSpaceDE w:val="0"/>
              <w:autoSpaceDN w:val="0"/>
              <w:spacing w:after="120"/>
              <w:contextualSpacing/>
              <w:jc w:val="both"/>
              <w:rPr>
                <w:rFonts w:ascii="Verdana" w:eastAsia="Calibri" w:hAnsi="Verdana" w:cs="Arial"/>
              </w:rPr>
            </w:pPr>
            <w:r w:rsidRPr="00E87EA6">
              <w:rPr>
                <w:rFonts w:ascii="Verdana" w:eastAsia="Calibri" w:hAnsi="Verdana" w:cs="Arial"/>
              </w:rPr>
              <w:t xml:space="preserve">Código de Comercio, artículo 1048. Disponible en: </w:t>
            </w:r>
            <w:hyperlink r:id="rId14" w:history="1">
              <w:r w:rsidRPr="00E87EA6">
                <w:rPr>
                  <w:rFonts w:ascii="Verdana" w:eastAsia="Calibri" w:hAnsi="Verdana" w:cs="Arial"/>
                  <w:u w:val="single"/>
                </w:rPr>
                <w:t>https://relatoria.colombiacompra.gov.co/normativa/codigo-de-comercio-decreto-410-de-1971/</w:t>
              </w:r>
            </w:hyperlink>
          </w:p>
          <w:p w14:paraId="3800FA7C" w14:textId="77777777" w:rsidR="00E87EA6" w:rsidRPr="00E87EA6" w:rsidRDefault="00E87EA6" w:rsidP="00E87EA6">
            <w:pPr>
              <w:widowControl w:val="0"/>
              <w:autoSpaceDE w:val="0"/>
              <w:autoSpaceDN w:val="0"/>
              <w:spacing w:after="120"/>
              <w:ind w:left="720"/>
              <w:contextualSpacing/>
              <w:jc w:val="both"/>
              <w:rPr>
                <w:rFonts w:ascii="Verdana" w:eastAsia="Calibri" w:hAnsi="Verdana" w:cs="Arial"/>
              </w:rPr>
            </w:pPr>
          </w:p>
          <w:p w14:paraId="18964622" w14:textId="77777777" w:rsidR="00E87EA6" w:rsidRPr="00E87EA6" w:rsidRDefault="00E87EA6" w:rsidP="00E87EA6">
            <w:pPr>
              <w:widowControl w:val="0"/>
              <w:numPr>
                <w:ilvl w:val="0"/>
                <w:numId w:val="8"/>
              </w:numPr>
              <w:autoSpaceDE w:val="0"/>
              <w:autoSpaceDN w:val="0"/>
              <w:spacing w:after="120"/>
              <w:contextualSpacing/>
              <w:jc w:val="both"/>
              <w:rPr>
                <w:rFonts w:ascii="Verdana" w:eastAsia="Calibri" w:hAnsi="Verdana" w:cs="Arial"/>
              </w:rPr>
            </w:pPr>
            <w:r w:rsidRPr="00E87EA6">
              <w:rPr>
                <w:rFonts w:ascii="Verdana" w:eastAsia="Calibri" w:hAnsi="Verdana" w:cs="Arial"/>
              </w:rPr>
              <w:t>Decreto</w:t>
            </w:r>
            <w:r w:rsidRPr="00E87EA6">
              <w:rPr>
                <w:rFonts w:ascii="Verdana" w:eastAsia="Calibri" w:hAnsi="Verdana" w:cs="Arial"/>
              </w:rPr>
              <w:tab/>
              <w:t>1082</w:t>
            </w:r>
            <w:r w:rsidRPr="00E87EA6">
              <w:rPr>
                <w:rFonts w:ascii="Verdana" w:eastAsia="Calibri" w:hAnsi="Verdana" w:cs="Arial"/>
              </w:rPr>
              <w:tab/>
              <w:t>de</w:t>
            </w:r>
            <w:r w:rsidRPr="00E87EA6">
              <w:rPr>
                <w:rFonts w:ascii="Verdana" w:eastAsia="Calibri" w:hAnsi="Verdana" w:cs="Arial"/>
              </w:rPr>
              <w:tab/>
              <w:t>2015,</w:t>
            </w:r>
            <w:r w:rsidRPr="00E87EA6">
              <w:rPr>
                <w:rFonts w:ascii="Verdana" w:eastAsia="Calibri" w:hAnsi="Verdana" w:cs="Arial"/>
              </w:rPr>
              <w:tab/>
              <w:t>artículos</w:t>
            </w:r>
            <w:r w:rsidRPr="00E87EA6">
              <w:rPr>
                <w:rFonts w:ascii="Verdana" w:eastAsia="Calibri" w:hAnsi="Verdana" w:cs="Arial"/>
              </w:rPr>
              <w:tab/>
              <w:t>2.2.1.2.3.1.3,</w:t>
            </w:r>
            <w:r w:rsidRPr="00E87EA6">
              <w:rPr>
                <w:rFonts w:ascii="Verdana" w:eastAsia="Calibri" w:hAnsi="Verdana" w:cs="Arial"/>
              </w:rPr>
              <w:tab/>
              <w:t xml:space="preserve">2.2.1.2.3.1.7, 2.2.1.2.3.1.12. Disponible en: </w:t>
            </w:r>
            <w:hyperlink r:id="rId15" w:history="1">
              <w:r w:rsidRPr="00E87EA6">
                <w:rPr>
                  <w:rFonts w:ascii="Verdana" w:eastAsia="Calibri" w:hAnsi="Verdana" w:cs="Arial"/>
                  <w:u w:val="single"/>
                </w:rPr>
                <w:t>https://relatoria.colombiacompra.gov.co/normativa/decreto-1082-de-2015/</w:t>
              </w:r>
            </w:hyperlink>
          </w:p>
          <w:p w14:paraId="580D4D15" w14:textId="77777777" w:rsidR="00E87EA6" w:rsidRPr="00E87EA6" w:rsidRDefault="00E87EA6" w:rsidP="00E87EA6">
            <w:pPr>
              <w:widowControl w:val="0"/>
              <w:autoSpaceDE w:val="0"/>
              <w:autoSpaceDN w:val="0"/>
              <w:spacing w:after="120"/>
              <w:ind w:left="720"/>
              <w:contextualSpacing/>
              <w:jc w:val="both"/>
              <w:rPr>
                <w:rFonts w:ascii="Verdana" w:eastAsia="Calibri" w:hAnsi="Verdana" w:cs="Arial"/>
              </w:rPr>
            </w:pPr>
          </w:p>
          <w:p w14:paraId="11530A74" w14:textId="77777777" w:rsidR="00E87EA6" w:rsidRPr="00E87EA6" w:rsidRDefault="00E87EA6" w:rsidP="00E87EA6">
            <w:pPr>
              <w:widowControl w:val="0"/>
              <w:numPr>
                <w:ilvl w:val="0"/>
                <w:numId w:val="8"/>
              </w:numPr>
              <w:autoSpaceDE w:val="0"/>
              <w:autoSpaceDN w:val="0"/>
              <w:spacing w:after="120"/>
              <w:contextualSpacing/>
              <w:jc w:val="both"/>
              <w:rPr>
                <w:rFonts w:ascii="Verdana" w:eastAsia="Calibri" w:hAnsi="Verdana" w:cs="Arial"/>
              </w:rPr>
            </w:pPr>
            <w:r w:rsidRPr="00E87EA6">
              <w:rPr>
                <w:rFonts w:ascii="Verdana" w:eastAsia="Calibri" w:hAnsi="Verdana" w:cs="Arial"/>
              </w:rPr>
              <w:t xml:space="preserve">CONSEJO DE ESTADO. Sección Tercera. Subsección A. Sentencia del 12 de febrero de 2015. </w:t>
            </w:r>
            <w:proofErr w:type="spellStart"/>
            <w:r w:rsidRPr="00E87EA6">
              <w:rPr>
                <w:rFonts w:ascii="Verdana" w:eastAsia="Calibri" w:hAnsi="Verdana" w:cs="Arial"/>
              </w:rPr>
              <w:t>Exp</w:t>
            </w:r>
            <w:proofErr w:type="spellEnd"/>
            <w:r w:rsidRPr="00E87EA6">
              <w:rPr>
                <w:rFonts w:ascii="Verdana" w:eastAsia="Calibri" w:hAnsi="Verdana" w:cs="Arial"/>
              </w:rPr>
              <w:t xml:space="preserve">. 28278. C.P. Carlos Alberto Zambrano Barrera. Disponible: </w:t>
            </w:r>
            <w:hyperlink r:id="rId16" w:history="1">
              <w:r w:rsidRPr="00E87EA6">
                <w:rPr>
                  <w:rFonts w:ascii="Verdana" w:eastAsia="Calibri" w:hAnsi="Verdana" w:cs="Arial"/>
                  <w:u w:val="single"/>
                </w:rPr>
                <w:t>https://relatoria.colombiacompra.gov.co/providencias/25000-23-26-000-2003-00874-01_28278/</w:t>
              </w:r>
            </w:hyperlink>
          </w:p>
          <w:p w14:paraId="39C4C63A" w14:textId="77777777" w:rsidR="00E87EA6" w:rsidRPr="00E87EA6" w:rsidRDefault="00E87EA6" w:rsidP="00E87EA6">
            <w:pPr>
              <w:widowControl w:val="0"/>
              <w:autoSpaceDE w:val="0"/>
              <w:autoSpaceDN w:val="0"/>
              <w:spacing w:after="120"/>
              <w:ind w:left="720"/>
              <w:contextualSpacing/>
              <w:jc w:val="both"/>
              <w:rPr>
                <w:rFonts w:ascii="Verdana" w:eastAsia="Calibri" w:hAnsi="Verdana" w:cs="Arial"/>
              </w:rPr>
            </w:pPr>
          </w:p>
          <w:p w14:paraId="4CF580DA" w14:textId="77777777" w:rsidR="00E87EA6" w:rsidRPr="00E87EA6" w:rsidRDefault="00E87EA6" w:rsidP="00E87EA6">
            <w:pPr>
              <w:widowControl w:val="0"/>
              <w:numPr>
                <w:ilvl w:val="0"/>
                <w:numId w:val="8"/>
              </w:numPr>
              <w:autoSpaceDE w:val="0"/>
              <w:autoSpaceDN w:val="0"/>
              <w:spacing w:after="120"/>
              <w:contextualSpacing/>
              <w:jc w:val="both"/>
              <w:rPr>
                <w:rFonts w:ascii="Verdana" w:eastAsia="Calibri" w:hAnsi="Verdana" w:cs="Arial"/>
              </w:rPr>
            </w:pPr>
            <w:r w:rsidRPr="00E87EA6">
              <w:rPr>
                <w:rFonts w:ascii="Verdana" w:eastAsia="Calibri" w:hAnsi="Verdana" w:cs="Arial"/>
              </w:rPr>
              <w:t xml:space="preserve">CONSEJO DE ESTADO. Sección Tercera. Sentencia del 29 de julio de 2015. </w:t>
            </w:r>
            <w:proofErr w:type="spellStart"/>
            <w:r w:rsidRPr="00E87EA6">
              <w:rPr>
                <w:rFonts w:ascii="Verdana" w:eastAsia="Calibri" w:hAnsi="Verdana" w:cs="Arial"/>
              </w:rPr>
              <w:t>Exp</w:t>
            </w:r>
            <w:proofErr w:type="spellEnd"/>
            <w:r w:rsidRPr="00E87EA6">
              <w:rPr>
                <w:rFonts w:ascii="Verdana" w:eastAsia="Calibri" w:hAnsi="Verdana" w:cs="Arial"/>
              </w:rPr>
              <w:t xml:space="preserve">. 42.494. C.P. Jaime Orlando Santofimio Gamboa. Disponible en: </w:t>
            </w:r>
            <w:hyperlink r:id="rId17" w:history="1">
              <w:r w:rsidRPr="00E87EA6">
                <w:rPr>
                  <w:rFonts w:ascii="Verdana" w:eastAsia="Calibri" w:hAnsi="Verdana" w:cs="Arial"/>
                  <w:u w:val="single"/>
                </w:rPr>
                <w:t>https://relatoria.colombiacompra.gov.co/providencias/25000-23-26-000-2007-00108-01_42494/</w:t>
              </w:r>
            </w:hyperlink>
          </w:p>
          <w:p w14:paraId="015D069D" w14:textId="77777777" w:rsidR="00E87EA6" w:rsidRPr="00E87EA6" w:rsidRDefault="00E87EA6" w:rsidP="00E87EA6">
            <w:pPr>
              <w:widowControl w:val="0"/>
              <w:autoSpaceDE w:val="0"/>
              <w:autoSpaceDN w:val="0"/>
              <w:spacing w:after="120"/>
              <w:ind w:left="720"/>
              <w:contextualSpacing/>
              <w:jc w:val="both"/>
              <w:rPr>
                <w:rFonts w:ascii="Verdana" w:eastAsia="Calibri" w:hAnsi="Verdana" w:cs="Arial"/>
              </w:rPr>
            </w:pPr>
          </w:p>
          <w:p w14:paraId="68D35939" w14:textId="77777777" w:rsidR="00E87EA6" w:rsidRPr="00E87EA6" w:rsidRDefault="00E87EA6" w:rsidP="00E87EA6">
            <w:pPr>
              <w:widowControl w:val="0"/>
              <w:numPr>
                <w:ilvl w:val="0"/>
                <w:numId w:val="8"/>
              </w:numPr>
              <w:autoSpaceDE w:val="0"/>
              <w:autoSpaceDN w:val="0"/>
              <w:spacing w:after="120"/>
              <w:contextualSpacing/>
              <w:jc w:val="both"/>
              <w:rPr>
                <w:rFonts w:ascii="Verdana" w:eastAsia="Calibri" w:hAnsi="Verdana" w:cs="Arial"/>
              </w:rPr>
            </w:pPr>
            <w:r w:rsidRPr="00E87EA6">
              <w:rPr>
                <w:rFonts w:ascii="Verdana" w:eastAsia="Calibri" w:hAnsi="Verdana" w:cs="Arial"/>
              </w:rPr>
              <w:t>CONSEJO DE ESTADO. Sección Tercera. Subsección C. Radicado No. 05001-23-31-000-1998-00038-01. Número Interno 27.777. M.P.</w:t>
            </w:r>
          </w:p>
          <w:p w14:paraId="0F12D5A6" w14:textId="77777777" w:rsidR="00E87EA6" w:rsidRPr="00E87EA6" w:rsidRDefault="00E87EA6" w:rsidP="00E87EA6">
            <w:pPr>
              <w:widowControl w:val="0"/>
              <w:autoSpaceDE w:val="0"/>
              <w:autoSpaceDN w:val="0"/>
              <w:spacing w:after="120"/>
              <w:ind w:left="720"/>
              <w:contextualSpacing/>
              <w:jc w:val="both"/>
              <w:rPr>
                <w:rFonts w:ascii="Verdana" w:eastAsia="Calibri" w:hAnsi="Verdana" w:cs="Arial"/>
              </w:rPr>
            </w:pPr>
            <w:r w:rsidRPr="00E87EA6">
              <w:rPr>
                <w:rFonts w:ascii="Verdana" w:eastAsia="Calibri" w:hAnsi="Verdana" w:cs="Arial"/>
              </w:rPr>
              <w:t>Enrique Gil Botero</w:t>
            </w:r>
          </w:p>
          <w:p w14:paraId="609AFC7F" w14:textId="77777777" w:rsidR="00E87EA6" w:rsidRPr="00E87EA6" w:rsidRDefault="00E87EA6" w:rsidP="00E87EA6">
            <w:pPr>
              <w:widowControl w:val="0"/>
              <w:autoSpaceDE w:val="0"/>
              <w:autoSpaceDN w:val="0"/>
              <w:spacing w:after="120"/>
              <w:jc w:val="both"/>
              <w:rPr>
                <w:rFonts w:ascii="Verdana" w:eastAsia="Calibri" w:hAnsi="Verdana" w:cs="Arial"/>
              </w:rPr>
            </w:pPr>
          </w:p>
          <w:p w14:paraId="34D58102" w14:textId="77777777" w:rsidR="00E87EA6" w:rsidRPr="00E87EA6" w:rsidRDefault="00E87EA6" w:rsidP="00E87EA6">
            <w:pPr>
              <w:widowControl w:val="0"/>
              <w:numPr>
                <w:ilvl w:val="0"/>
                <w:numId w:val="8"/>
              </w:numPr>
              <w:autoSpaceDE w:val="0"/>
              <w:autoSpaceDN w:val="0"/>
              <w:spacing w:after="120"/>
              <w:contextualSpacing/>
              <w:jc w:val="both"/>
              <w:rPr>
                <w:rFonts w:ascii="Verdana" w:eastAsia="Calibri" w:hAnsi="Verdana" w:cs="Arial"/>
              </w:rPr>
            </w:pPr>
            <w:r w:rsidRPr="00E87EA6">
              <w:rPr>
                <w:rFonts w:ascii="Verdana" w:eastAsia="Calibri" w:hAnsi="Verdana" w:cs="Arial"/>
              </w:rPr>
              <w:t xml:space="preserve">CONSEJO DE ESTADO. Sección Tercera. Sentencia del 13 de septiembre de 1999. </w:t>
            </w:r>
            <w:proofErr w:type="spellStart"/>
            <w:r w:rsidRPr="00E87EA6">
              <w:rPr>
                <w:rFonts w:ascii="Verdana" w:eastAsia="Calibri" w:hAnsi="Verdana" w:cs="Arial"/>
              </w:rPr>
              <w:t>Exp</w:t>
            </w:r>
            <w:proofErr w:type="spellEnd"/>
            <w:r w:rsidRPr="00E87EA6">
              <w:rPr>
                <w:rFonts w:ascii="Verdana" w:eastAsia="Calibri" w:hAnsi="Verdana" w:cs="Arial"/>
              </w:rPr>
              <w:t>. 10.264. C.P. Ricardo Hoyos Duque.</w:t>
            </w:r>
          </w:p>
          <w:p w14:paraId="7DC300A4" w14:textId="77777777" w:rsidR="00E87EA6" w:rsidRPr="00E87EA6" w:rsidRDefault="00E87EA6" w:rsidP="00E87EA6">
            <w:pPr>
              <w:widowControl w:val="0"/>
              <w:autoSpaceDE w:val="0"/>
              <w:autoSpaceDN w:val="0"/>
              <w:spacing w:after="120"/>
              <w:ind w:left="720"/>
              <w:contextualSpacing/>
              <w:jc w:val="both"/>
              <w:rPr>
                <w:rFonts w:ascii="Verdana" w:eastAsia="Calibri" w:hAnsi="Verdana" w:cs="Arial"/>
              </w:rPr>
            </w:pPr>
          </w:p>
          <w:p w14:paraId="3CFC8864" w14:textId="77777777" w:rsidR="00E87EA6" w:rsidRPr="00E87EA6" w:rsidRDefault="00E87EA6" w:rsidP="00E87EA6">
            <w:pPr>
              <w:widowControl w:val="0"/>
              <w:numPr>
                <w:ilvl w:val="0"/>
                <w:numId w:val="8"/>
              </w:numPr>
              <w:autoSpaceDE w:val="0"/>
              <w:autoSpaceDN w:val="0"/>
              <w:spacing w:after="120"/>
              <w:contextualSpacing/>
              <w:jc w:val="both"/>
              <w:rPr>
                <w:rFonts w:ascii="Verdana" w:eastAsia="Calibri" w:hAnsi="Verdana" w:cs="Arial"/>
              </w:rPr>
            </w:pPr>
            <w:r w:rsidRPr="00E87EA6">
              <w:rPr>
                <w:rFonts w:ascii="Verdana" w:eastAsia="Calibri" w:hAnsi="Verdana" w:cs="Arial"/>
              </w:rPr>
              <w:t xml:space="preserve">CONSEJO DE ESTADO. Sala de Consulta y Servicio Civil. Concepto de 28 de junio de 2016. Radicación: 2253. C.P. Álvaro </w:t>
            </w:r>
            <w:proofErr w:type="spellStart"/>
            <w:r w:rsidRPr="00E87EA6">
              <w:rPr>
                <w:rFonts w:ascii="Verdana" w:eastAsia="Calibri" w:hAnsi="Verdana" w:cs="Arial"/>
              </w:rPr>
              <w:t>Namén</w:t>
            </w:r>
            <w:proofErr w:type="spellEnd"/>
            <w:r w:rsidRPr="00E87EA6">
              <w:rPr>
                <w:rFonts w:ascii="Verdana" w:eastAsia="Calibri" w:hAnsi="Verdana" w:cs="Arial"/>
              </w:rPr>
              <w:t xml:space="preserve"> Vargas</w:t>
            </w:r>
          </w:p>
          <w:p w14:paraId="3F094510" w14:textId="77777777" w:rsidR="00E87EA6" w:rsidRPr="00E87EA6" w:rsidRDefault="00E87EA6" w:rsidP="00E87EA6">
            <w:pPr>
              <w:widowControl w:val="0"/>
              <w:numPr>
                <w:ilvl w:val="0"/>
                <w:numId w:val="8"/>
              </w:numPr>
              <w:autoSpaceDE w:val="0"/>
              <w:autoSpaceDN w:val="0"/>
              <w:spacing w:after="120"/>
              <w:contextualSpacing/>
              <w:jc w:val="both"/>
              <w:rPr>
                <w:rFonts w:ascii="Verdana" w:eastAsia="Calibri" w:hAnsi="Verdana" w:cs="Arial"/>
              </w:rPr>
            </w:pPr>
            <w:r w:rsidRPr="00E87EA6">
              <w:rPr>
                <w:rFonts w:ascii="Verdana" w:eastAsia="Calibri" w:hAnsi="Verdana" w:cs="Arial"/>
              </w:rPr>
              <w:t xml:space="preserve">CONSEJO DE ESTADO. Sección Tercera. Sala Plena. Auto de 1 de agosto de 2019. </w:t>
            </w:r>
            <w:proofErr w:type="spellStart"/>
            <w:r w:rsidRPr="00E87EA6">
              <w:rPr>
                <w:rFonts w:ascii="Verdana" w:eastAsia="Calibri" w:hAnsi="Verdana" w:cs="Arial"/>
              </w:rPr>
              <w:t>Exp</w:t>
            </w:r>
            <w:proofErr w:type="spellEnd"/>
            <w:r w:rsidRPr="00E87EA6">
              <w:rPr>
                <w:rFonts w:ascii="Verdana" w:eastAsia="Calibri" w:hAnsi="Verdana" w:cs="Arial"/>
              </w:rPr>
              <w:t xml:space="preserve">. 62009. C.P. Jaime Enrique Rodríguez Navas. </w:t>
            </w:r>
            <w:r w:rsidRPr="00E87EA6">
              <w:rPr>
                <w:rFonts w:ascii="Verdana" w:eastAsia="Calibri" w:hAnsi="Verdana" w:cs="Arial"/>
              </w:rPr>
              <w:lastRenderedPageBreak/>
              <w:t xml:space="preserve">Disponible en: </w:t>
            </w:r>
            <w:hyperlink r:id="rId18" w:history="1">
              <w:r w:rsidRPr="00E87EA6">
                <w:rPr>
                  <w:rFonts w:ascii="Verdana" w:eastAsia="Calibri" w:hAnsi="Verdana" w:cs="Arial"/>
                  <w:u w:val="single"/>
                </w:rPr>
                <w:t>https://relatoria.colombiacompra.gov.co/providencias/2019_05001-23-33-000-2018-00342-01_62009/</w:t>
              </w:r>
            </w:hyperlink>
          </w:p>
          <w:p w14:paraId="61AB3D65" w14:textId="77777777" w:rsidR="00E87EA6" w:rsidRPr="00E87EA6" w:rsidRDefault="00E87EA6" w:rsidP="00E87EA6">
            <w:pPr>
              <w:widowControl w:val="0"/>
              <w:autoSpaceDE w:val="0"/>
              <w:autoSpaceDN w:val="0"/>
              <w:spacing w:after="120"/>
              <w:ind w:left="720"/>
              <w:contextualSpacing/>
              <w:jc w:val="both"/>
              <w:rPr>
                <w:rFonts w:ascii="Verdana" w:eastAsia="Calibri" w:hAnsi="Verdana" w:cs="Arial"/>
              </w:rPr>
            </w:pPr>
          </w:p>
          <w:p w14:paraId="015F2995" w14:textId="77777777" w:rsidR="00E87EA6" w:rsidRPr="00E87EA6" w:rsidRDefault="00E87EA6" w:rsidP="00E87EA6">
            <w:pPr>
              <w:widowControl w:val="0"/>
              <w:numPr>
                <w:ilvl w:val="0"/>
                <w:numId w:val="8"/>
              </w:numPr>
              <w:autoSpaceDE w:val="0"/>
              <w:autoSpaceDN w:val="0"/>
              <w:spacing w:after="120"/>
              <w:contextualSpacing/>
              <w:rPr>
                <w:rFonts w:ascii="Verdana" w:eastAsia="Calibri" w:hAnsi="Verdana" w:cs="Arial"/>
              </w:rPr>
            </w:pPr>
            <w:r w:rsidRPr="00E87EA6">
              <w:rPr>
                <w:rFonts w:ascii="Verdana" w:eastAsia="Calibri" w:hAnsi="Verdana" w:cs="Arial"/>
              </w:rPr>
              <w:t>COLOMBIA COMPRA EFICIENTE. Guía para la Liquidación de los Procesos</w:t>
            </w:r>
            <w:r w:rsidRPr="00E87EA6">
              <w:rPr>
                <w:rFonts w:ascii="Verdana" w:eastAsia="Calibri" w:hAnsi="Verdana" w:cs="Arial"/>
              </w:rPr>
              <w:tab/>
              <w:t>de</w:t>
            </w:r>
            <w:r w:rsidRPr="00E87EA6">
              <w:rPr>
                <w:rFonts w:ascii="Verdana" w:eastAsia="Calibri" w:hAnsi="Verdana" w:cs="Arial"/>
              </w:rPr>
              <w:tab/>
              <w:t>Contratación.</w:t>
            </w:r>
            <w:r w:rsidRPr="00E87EA6">
              <w:rPr>
                <w:rFonts w:ascii="Verdana" w:eastAsia="Calibri" w:hAnsi="Verdana" w:cs="Arial"/>
              </w:rPr>
              <w:tab/>
              <w:t>Disponible</w:t>
            </w:r>
            <w:r w:rsidRPr="00E87EA6">
              <w:rPr>
                <w:rFonts w:ascii="Verdana" w:eastAsia="Calibri" w:hAnsi="Verdana" w:cs="Arial"/>
              </w:rPr>
              <w:tab/>
              <w:t xml:space="preserve">en: </w:t>
            </w:r>
            <w:hyperlink r:id="rId19" w:history="1">
              <w:r w:rsidRPr="00E87EA6">
                <w:rPr>
                  <w:rFonts w:ascii="Verdana" w:eastAsia="Calibri" w:hAnsi="Verdana" w:cs="Arial"/>
                  <w:u w:val="single"/>
                </w:rPr>
                <w:t>https://www.colombiacompra.gov.co/sites/cce_public/files/cce_documents/cce_guia_liquidacion_procesos.pdf</w:t>
              </w:r>
            </w:hyperlink>
          </w:p>
          <w:p w14:paraId="3ACADD18" w14:textId="77777777" w:rsidR="00E87EA6" w:rsidRPr="00E87EA6" w:rsidRDefault="00E87EA6" w:rsidP="00E87EA6">
            <w:pPr>
              <w:widowControl w:val="0"/>
              <w:autoSpaceDE w:val="0"/>
              <w:autoSpaceDN w:val="0"/>
              <w:spacing w:after="120"/>
              <w:ind w:left="720"/>
              <w:contextualSpacing/>
              <w:jc w:val="both"/>
              <w:rPr>
                <w:rFonts w:ascii="Verdana" w:eastAsia="Calibri" w:hAnsi="Verdana" w:cs="Arial"/>
              </w:rPr>
            </w:pPr>
          </w:p>
          <w:p w14:paraId="6ACEA7FD" w14:textId="1390C2C1" w:rsidR="00871B59" w:rsidRPr="00E87EA6" w:rsidRDefault="00E87EA6" w:rsidP="00E87EA6">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E87EA6">
              <w:rPr>
                <w:rFonts w:ascii="Verdana" w:eastAsia="Calibri" w:hAnsi="Verdana" w:cs="Arial"/>
              </w:rPr>
              <w:t>PALACIO HINCAPIÉ, Juan Ángel. La contratación de las entidades estatales. Octava edición. Medellín: Librería Jurídica Sánchez R. SAS, 2020.</w:t>
            </w:r>
          </w:p>
        </w:tc>
      </w:tr>
    </w:tbl>
    <w:p w14:paraId="0E1B166D" w14:textId="77777777" w:rsidR="00871B59" w:rsidRPr="00E87EA6" w:rsidRDefault="00871B59" w:rsidP="00871B59">
      <w:pPr>
        <w:widowControl w:val="0"/>
        <w:autoSpaceDE w:val="0"/>
        <w:autoSpaceDN w:val="0"/>
        <w:spacing w:after="0" w:line="276" w:lineRule="auto"/>
        <w:jc w:val="both"/>
        <w:rPr>
          <w:rFonts w:ascii="Verdana" w:hAnsi="Verdana" w:cs="Arial"/>
        </w:rPr>
      </w:pPr>
    </w:p>
    <w:p w14:paraId="40380BCB" w14:textId="77777777" w:rsidR="00871B59" w:rsidRPr="00E87EA6"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E87EA6">
        <w:rPr>
          <w:rFonts w:ascii="Verdana" w:eastAsia="Century Gothic" w:hAnsi="Verdana" w:cs="Century Gothic"/>
          <w:b/>
          <w:bCs/>
          <w:lang w:val="es-ES"/>
        </w:rPr>
        <w:t>Doctrina de la Agencia Nacional de Contratación Pública:</w:t>
      </w:r>
    </w:p>
    <w:p w14:paraId="41294D6D" w14:textId="77777777" w:rsidR="00871B59" w:rsidRPr="00E87EA6" w:rsidRDefault="00871B59" w:rsidP="00871B59">
      <w:pPr>
        <w:widowControl w:val="0"/>
        <w:autoSpaceDE w:val="0"/>
        <w:autoSpaceDN w:val="0"/>
        <w:spacing w:after="0" w:line="276" w:lineRule="auto"/>
        <w:jc w:val="both"/>
        <w:rPr>
          <w:rFonts w:ascii="Verdana" w:hAnsi="Verdana" w:cs="Arial"/>
        </w:rPr>
      </w:pPr>
    </w:p>
    <w:p w14:paraId="688C30E7" w14:textId="34A7E75A" w:rsidR="00871B59" w:rsidRPr="00E87EA6" w:rsidRDefault="00E87EA6" w:rsidP="00871B59">
      <w:pPr>
        <w:widowControl w:val="0"/>
        <w:autoSpaceDE w:val="0"/>
        <w:autoSpaceDN w:val="0"/>
        <w:spacing w:after="0" w:line="276" w:lineRule="auto"/>
        <w:jc w:val="both"/>
        <w:rPr>
          <w:rStyle w:val="normaltextrun"/>
          <w:rFonts w:ascii="Verdana" w:eastAsia="Calibri" w:hAnsi="Verdana" w:cs="Arial"/>
          <w:lang w:eastAsia="es-ES_tradnl"/>
        </w:rPr>
      </w:pPr>
      <w:r w:rsidRPr="00E87EA6">
        <w:rPr>
          <w:rFonts w:ascii="Verdana" w:eastAsia="Calibri" w:hAnsi="Verdana" w:cs="Arial"/>
          <w:lang w:val="es-ES_tradnl" w:eastAsia="es-ES_tradnl"/>
        </w:rPr>
        <w:t>La Agencia Nacional de Contratación Pública – Colombia Compra Eficiente se ha pronunciado s</w:t>
      </w:r>
      <w:r w:rsidRPr="00E87EA6">
        <w:rPr>
          <w:rFonts w:ascii="Verdana" w:eastAsia="Calibri" w:hAnsi="Verdana" w:cs="Arial"/>
          <w:shd w:val="clear" w:color="auto" w:fill="FFFFFF"/>
          <w:lang w:val="es-ES"/>
        </w:rPr>
        <w:t>obre las garantías en la contratación estatal en los conceptos 2201913000009075 del 9 de diciembre de 2019, C-080 del 8 de abril de 2021, C-525 del 24 de septiembre de 2021, C-584 del 26 de septiembre de 2022 y C-066 del 21 de abril de 2024, entre otros. También se ha pronunciado sobre la liquidación de los contratos estatales en los conceptos 4201912000004908 del 27 de septiembre de 2019, CU-028 de 25 de febrero de 2020, C-221 de 21 de abril de 2020, C-078 del 17 de marzo de 2021, C-220 del 18 de mayo de 2021, C-548 del 5 de octubre de 2021 y C-739 del 29 de noviembre de 2022, C-144 del 9 de julio de 2024 y C-129 del 29 de julio de 2024, C-335 del 26 de agosto de 2024</w:t>
      </w:r>
      <w:r w:rsidRPr="00E87EA6">
        <w:rPr>
          <w:rFonts w:ascii="Verdana" w:eastAsia="Calibri" w:hAnsi="Verdana" w:cs="Arial"/>
          <w:shd w:val="clear" w:color="auto" w:fill="FFFFFF"/>
          <w:lang w:val="es-ES_tradnl"/>
        </w:rPr>
        <w:t>,</w:t>
      </w:r>
      <w:r w:rsidR="00F046C6">
        <w:rPr>
          <w:rFonts w:ascii="Verdana" w:eastAsia="Calibri" w:hAnsi="Verdana" w:cs="Arial"/>
          <w:shd w:val="clear" w:color="auto" w:fill="FFFFFF"/>
          <w:lang w:val="es-ES_tradnl"/>
        </w:rPr>
        <w:t xml:space="preserve"> Concepto c-078 de 2025</w:t>
      </w:r>
      <w:r w:rsidRPr="00E87EA6">
        <w:rPr>
          <w:rFonts w:ascii="Verdana" w:eastAsia="Calibri" w:hAnsi="Verdana" w:cs="Arial"/>
          <w:shd w:val="clear" w:color="auto" w:fill="FFFFFF"/>
          <w:lang w:val="es-ES_tradnl"/>
        </w:rPr>
        <w:t xml:space="preserve"> </w:t>
      </w:r>
      <w:r w:rsidRPr="00E87EA6">
        <w:rPr>
          <w:rFonts w:ascii="Verdana" w:eastAsia="Calibri" w:hAnsi="Verdana" w:cs="Arial"/>
          <w:shd w:val="clear" w:color="auto" w:fill="FFFFFF"/>
          <w:lang w:val="es-ES"/>
        </w:rPr>
        <w:t>entre otros</w:t>
      </w:r>
      <w:r w:rsidRPr="00E87EA6">
        <w:rPr>
          <w:rFonts w:ascii="Verdana" w:eastAsia="Calibri" w:hAnsi="Verdana" w:cs="Arial"/>
          <w:lang w:val="es-ES" w:eastAsia="es-ES_tradnl"/>
        </w:rPr>
        <w:t>.</w:t>
      </w:r>
      <w:r w:rsidRPr="00E87EA6">
        <w:rPr>
          <w:rFonts w:ascii="Verdana" w:eastAsia="Calibri" w:hAnsi="Verdana" w:cs="Arial"/>
          <w:lang w:eastAsia="es-ES_tradnl"/>
        </w:rPr>
        <w:t xml:space="preserve"> </w:t>
      </w:r>
      <w:r w:rsidRPr="00E87EA6">
        <w:rPr>
          <w:rFonts w:ascii="Verdana" w:eastAsia="Calibri" w:hAnsi="Verdana" w:cs="Arial"/>
          <w:shd w:val="clear" w:color="auto" w:fill="FFFFFF"/>
        </w:rPr>
        <w:t xml:space="preserve">Estos y otros conceptos los podrá consultar en el siguiente enlace: </w:t>
      </w:r>
      <w:hyperlink r:id="rId20" w:tooltip="Dirección URL original: https://relatoria.colombiacompra.gov.co/. Haga clic o pulse si confía en este vínculo." w:history="1">
        <w:r w:rsidRPr="00E87EA6">
          <w:rPr>
            <w:rFonts w:ascii="Verdana" w:eastAsia="Calibri" w:hAnsi="Verdana" w:cs="Arial"/>
            <w:u w:val="single"/>
            <w:lang w:eastAsia="es-ES_tradnl"/>
          </w:rPr>
          <w:t>https://relatoria.colombiacompra.gov.co/</w:t>
        </w:r>
      </w:hyperlink>
      <w:r w:rsidRPr="00E87EA6">
        <w:rPr>
          <w:rFonts w:ascii="Verdana" w:eastAsia="Calibri" w:hAnsi="Verdana" w:cs="Arial"/>
          <w:lang w:eastAsia="es-ES_tradnl"/>
        </w:rPr>
        <w:t> </w:t>
      </w:r>
      <w:r w:rsidR="00871B59" w:rsidRPr="00E87EA6">
        <w:rPr>
          <w:rStyle w:val="normaltextrun"/>
          <w:rFonts w:ascii="Verdana" w:hAnsi="Verdana" w:cs="Arial"/>
          <w:shd w:val="clear" w:color="auto" w:fill="FFFFFF"/>
          <w:lang w:val="es-ES"/>
        </w:rPr>
        <w:t xml:space="preserve"> </w:t>
      </w:r>
    </w:p>
    <w:p w14:paraId="653CF3BE" w14:textId="77777777" w:rsidR="00871B59" w:rsidRPr="00E87EA6" w:rsidRDefault="00871B59" w:rsidP="00871B59">
      <w:pPr>
        <w:widowControl w:val="0"/>
        <w:autoSpaceDE w:val="0"/>
        <w:autoSpaceDN w:val="0"/>
        <w:spacing w:after="0" w:line="276" w:lineRule="auto"/>
        <w:jc w:val="both"/>
        <w:rPr>
          <w:rStyle w:val="normaltextrun"/>
          <w:rFonts w:ascii="Verdana" w:hAnsi="Verdana" w:cs="Arial"/>
          <w:shd w:val="clear" w:color="auto" w:fill="FFFFFF"/>
          <w:lang w:val="es-ES"/>
        </w:rPr>
      </w:pPr>
    </w:p>
    <w:p w14:paraId="6E5FBA74" w14:textId="77777777" w:rsidR="00871B59" w:rsidRPr="00E87EA6" w:rsidRDefault="00871B59" w:rsidP="00871B59">
      <w:pPr>
        <w:widowControl w:val="0"/>
        <w:autoSpaceDE w:val="0"/>
        <w:autoSpaceDN w:val="0"/>
        <w:spacing w:after="0" w:line="276" w:lineRule="auto"/>
        <w:jc w:val="both"/>
        <w:rPr>
          <w:rStyle w:val="normaltextrun"/>
          <w:rFonts w:ascii="Verdana" w:hAnsi="Verdana" w:cs="Arial"/>
          <w:shd w:val="clear" w:color="auto" w:fill="FFFFFF"/>
          <w:lang w:val="es-ES"/>
        </w:rPr>
      </w:pPr>
      <w:r w:rsidRPr="00E87EA6">
        <w:rPr>
          <w:rStyle w:val="normaltextrun"/>
          <w:rFonts w:ascii="Verdana" w:hAnsi="Verdana" w:cs="Arial"/>
          <w:shd w:val="clear" w:color="auto" w:fill="FFFFFF"/>
          <w:lang w:val="es-ES"/>
        </w:rPr>
        <w:t xml:space="preserve">También le invitamos a consultar las versiones I y II de 2024 del Boletín de Relatoría de la Subdirección de Gestión Contractual, las cuales puede descargar en la página web de la Agencia: </w:t>
      </w:r>
      <w:hyperlink r:id="rId21" w:history="1">
        <w:r w:rsidRPr="00E87EA6">
          <w:rPr>
            <w:rStyle w:val="Hipervnculo"/>
            <w:rFonts w:ascii="Verdana" w:hAnsi="Verdana" w:cs="Arial"/>
            <w:color w:val="auto"/>
            <w:shd w:val="clear" w:color="auto" w:fill="FFFFFF"/>
            <w:lang w:val="es-ES"/>
          </w:rPr>
          <w:t>https://www.colombiacompra.gov.co/sala-de-prensa/boletin-digital</w:t>
        </w:r>
      </w:hyperlink>
      <w:r w:rsidRPr="00E87EA6">
        <w:rPr>
          <w:rStyle w:val="normaltextrun"/>
          <w:rFonts w:ascii="Verdana" w:hAnsi="Verdana" w:cs="Arial"/>
          <w:shd w:val="clear" w:color="auto" w:fill="FFFFFF"/>
          <w:lang w:val="es-ES"/>
        </w:rPr>
        <w:t xml:space="preserve">      </w:t>
      </w:r>
    </w:p>
    <w:p w14:paraId="1570ED43" w14:textId="77777777" w:rsidR="008815E5" w:rsidRPr="00E87EA6" w:rsidRDefault="008815E5" w:rsidP="008815E5">
      <w:pPr>
        <w:spacing w:after="0" w:line="240" w:lineRule="auto"/>
        <w:jc w:val="both"/>
        <w:rPr>
          <w:rFonts w:ascii="Verdana" w:hAnsi="Verdana"/>
        </w:rPr>
      </w:pPr>
      <w:r w:rsidRPr="00E87EA6">
        <w:rPr>
          <w:rFonts w:ascii="Verdana" w:hAnsi="Verdana"/>
        </w:rPr>
        <w:t xml:space="preserve">Por último, lo invitamos a seguirnos en las redes sociales en las cuales se difunde información institucional: </w:t>
      </w:r>
    </w:p>
    <w:p w14:paraId="284AF384" w14:textId="77777777" w:rsidR="008815E5" w:rsidRPr="00E87EA6" w:rsidRDefault="008815E5" w:rsidP="008815E5">
      <w:pPr>
        <w:spacing w:after="0" w:line="240" w:lineRule="auto"/>
        <w:jc w:val="both"/>
        <w:rPr>
          <w:rFonts w:ascii="Verdana" w:hAnsi="Verdana"/>
        </w:rPr>
      </w:pPr>
    </w:p>
    <w:p w14:paraId="5E6CD010" w14:textId="77777777" w:rsidR="008815E5" w:rsidRPr="00E87EA6" w:rsidRDefault="008815E5" w:rsidP="008815E5">
      <w:pPr>
        <w:spacing w:after="0" w:line="240" w:lineRule="auto"/>
        <w:jc w:val="both"/>
        <w:rPr>
          <w:rFonts w:ascii="Verdana" w:hAnsi="Verdana"/>
        </w:rPr>
      </w:pPr>
      <w:r w:rsidRPr="00E87EA6">
        <w:rPr>
          <w:rFonts w:ascii="Verdana" w:hAnsi="Verdana"/>
        </w:rPr>
        <w:lastRenderedPageBreak/>
        <w:t xml:space="preserve">Twitter: </w:t>
      </w:r>
      <w:r w:rsidRPr="00E87EA6">
        <w:rPr>
          <w:rStyle w:val="Hipervnculo"/>
          <w:rFonts w:ascii="Verdana" w:hAnsi="Verdana"/>
          <w:color w:val="auto"/>
        </w:rPr>
        <w:t>@colombiacompra</w:t>
      </w:r>
      <w:r w:rsidRPr="00E87EA6">
        <w:rPr>
          <w:rFonts w:ascii="Verdana" w:hAnsi="Verdana"/>
        </w:rPr>
        <w:t xml:space="preserve"> </w:t>
      </w:r>
    </w:p>
    <w:p w14:paraId="0F76F019" w14:textId="77777777" w:rsidR="008815E5" w:rsidRPr="00E87EA6" w:rsidRDefault="008815E5" w:rsidP="008815E5">
      <w:pPr>
        <w:spacing w:after="0" w:line="240" w:lineRule="auto"/>
        <w:jc w:val="both"/>
        <w:rPr>
          <w:rFonts w:ascii="Verdana" w:hAnsi="Verdana"/>
        </w:rPr>
      </w:pPr>
      <w:r w:rsidRPr="00E87EA6">
        <w:rPr>
          <w:rFonts w:ascii="Verdana" w:hAnsi="Verdana"/>
        </w:rPr>
        <w:t xml:space="preserve">Facebook: </w:t>
      </w:r>
      <w:proofErr w:type="spellStart"/>
      <w:r w:rsidRPr="00E87EA6">
        <w:rPr>
          <w:rStyle w:val="Hipervnculo"/>
          <w:rFonts w:ascii="Verdana" w:hAnsi="Verdana"/>
          <w:color w:val="auto"/>
        </w:rPr>
        <w:t>ColombiaCompraEficiente</w:t>
      </w:r>
      <w:proofErr w:type="spellEnd"/>
    </w:p>
    <w:p w14:paraId="60E5B357" w14:textId="77777777" w:rsidR="008815E5" w:rsidRPr="00E87EA6" w:rsidRDefault="008815E5" w:rsidP="008815E5">
      <w:pPr>
        <w:spacing w:after="0" w:line="240" w:lineRule="auto"/>
        <w:jc w:val="both"/>
        <w:rPr>
          <w:rFonts w:ascii="Verdana" w:hAnsi="Verdana"/>
        </w:rPr>
      </w:pPr>
      <w:r w:rsidRPr="00E87EA6">
        <w:rPr>
          <w:rFonts w:ascii="Verdana" w:hAnsi="Verdana"/>
        </w:rPr>
        <w:t xml:space="preserve">LinkedIn: </w:t>
      </w:r>
      <w:r w:rsidRPr="00E87EA6">
        <w:rPr>
          <w:rStyle w:val="Hipervnculo"/>
          <w:rFonts w:ascii="Verdana" w:hAnsi="Verdana"/>
          <w:color w:val="auto"/>
        </w:rPr>
        <w:t>Agencia Nacional de Contratación Pública - Colombia Compra Eficiente</w:t>
      </w:r>
      <w:r w:rsidRPr="00E87EA6">
        <w:rPr>
          <w:rFonts w:ascii="Verdana" w:hAnsi="Verdana"/>
        </w:rPr>
        <w:t xml:space="preserve"> Instagram: </w:t>
      </w:r>
      <w:r w:rsidRPr="00E87EA6">
        <w:rPr>
          <w:rStyle w:val="Hipervnculo"/>
          <w:rFonts w:ascii="Verdana" w:hAnsi="Verdana"/>
          <w:color w:val="auto"/>
        </w:rPr>
        <w:t>@colombiacompraeficiente_cce</w:t>
      </w:r>
    </w:p>
    <w:p w14:paraId="6980ECB3" w14:textId="77777777" w:rsidR="00871B59" w:rsidRPr="00E87EA6" w:rsidRDefault="00871B59" w:rsidP="00871B59">
      <w:pPr>
        <w:widowControl w:val="0"/>
        <w:autoSpaceDE w:val="0"/>
        <w:autoSpaceDN w:val="0"/>
        <w:spacing w:after="0" w:line="276" w:lineRule="auto"/>
        <w:jc w:val="both"/>
        <w:rPr>
          <w:rFonts w:ascii="Verdana" w:hAnsi="Verdana" w:cs="Arial"/>
        </w:rPr>
      </w:pPr>
    </w:p>
    <w:p w14:paraId="120572E9" w14:textId="77777777" w:rsidR="00871B59" w:rsidRPr="00E87EA6" w:rsidRDefault="00871B59" w:rsidP="00871B59">
      <w:pPr>
        <w:widowControl w:val="0"/>
        <w:autoSpaceDE w:val="0"/>
        <w:autoSpaceDN w:val="0"/>
        <w:spacing w:after="0" w:line="276" w:lineRule="auto"/>
        <w:jc w:val="both"/>
        <w:rPr>
          <w:rFonts w:ascii="Verdana" w:hAnsi="Verdana" w:cs="Arial"/>
          <w:lang w:val="es-ES_tradnl"/>
        </w:rPr>
      </w:pPr>
      <w:r w:rsidRPr="00E87EA6">
        <w:rPr>
          <w:rFonts w:ascii="Verdana" w:hAnsi="Verdana" w:cs="Arial"/>
        </w:rPr>
        <w:t xml:space="preserve">Este concepto tiene el alcance previsto en el artículo 28 del Código de Procedimiento Administrativo y de lo Contencioso Administrativo </w:t>
      </w:r>
      <w:r w:rsidRPr="00E87EA6">
        <w:rPr>
          <w:rFonts w:ascii="Verdana" w:hAnsi="Verdana" w:cs="Arial"/>
          <w:lang w:val="es-ES_tradnl"/>
        </w:rPr>
        <w:t>y las expresiones aquí utilizadas con mayúscula inicial deben ser entendidas con el significado que les otorga el artículo 2.2.1.1.1.3.1. del Decreto 1082 de 2015.</w:t>
      </w:r>
    </w:p>
    <w:p w14:paraId="76160CFD" w14:textId="77777777" w:rsidR="00871B59" w:rsidRPr="00E87EA6" w:rsidRDefault="00871B59" w:rsidP="00871B59">
      <w:pPr>
        <w:widowControl w:val="0"/>
        <w:autoSpaceDE w:val="0"/>
        <w:autoSpaceDN w:val="0"/>
        <w:spacing w:after="0" w:line="276" w:lineRule="auto"/>
        <w:jc w:val="both"/>
        <w:rPr>
          <w:rFonts w:ascii="Verdana" w:hAnsi="Verdana" w:cs="Arial"/>
        </w:rPr>
      </w:pPr>
    </w:p>
    <w:p w14:paraId="46FD3687" w14:textId="77777777" w:rsidR="00871B59" w:rsidRPr="00E87EA6" w:rsidRDefault="00871B59" w:rsidP="00871B59">
      <w:pPr>
        <w:spacing w:after="0" w:line="240" w:lineRule="auto"/>
        <w:rPr>
          <w:rFonts w:ascii="Verdana" w:hAnsi="Verdana" w:cs="Arial"/>
          <w:lang w:eastAsia="es-CO"/>
        </w:rPr>
      </w:pPr>
      <w:r w:rsidRPr="00E87EA6">
        <w:rPr>
          <w:rFonts w:ascii="Verdana" w:eastAsia="Times New Roman" w:hAnsi="Verdana" w:cs="Arial"/>
          <w:lang w:eastAsia="es-CO"/>
        </w:rPr>
        <w:t>Atentamente,</w:t>
      </w:r>
      <w:r w:rsidRPr="00E87EA6">
        <w:rPr>
          <w:rFonts w:ascii="Verdana" w:hAnsi="Verdana" w:cs="Arial"/>
          <w:lang w:eastAsia="es-CO"/>
        </w:rPr>
        <w:t xml:space="preserve"> </w:t>
      </w:r>
    </w:p>
    <w:p w14:paraId="7B21B32E" w14:textId="14F21E71" w:rsidR="00871B59" w:rsidRPr="00E87EA6" w:rsidRDefault="00D04400" w:rsidP="00871B59">
      <w:pPr>
        <w:spacing w:line="276" w:lineRule="auto"/>
        <w:jc w:val="center"/>
        <w:rPr>
          <w:rFonts w:ascii="Verdana" w:hAnsi="Verdana" w:cs="Arial"/>
          <w:lang w:val="es-ES_tradnl" w:eastAsia="es-CO"/>
        </w:rPr>
      </w:pPr>
      <w:r>
        <w:rPr>
          <w:rFonts w:ascii="Verdana" w:hAnsi="Verdana" w:cs="Arial"/>
          <w:noProof/>
          <w:lang w:val="es-ES_tradnl" w:eastAsia="es-CO"/>
        </w:rPr>
        <w:drawing>
          <wp:inline distT="0" distB="0" distL="0" distR="0" wp14:anchorId="278693D8" wp14:editId="03BFACDC">
            <wp:extent cx="3639058" cy="1343212"/>
            <wp:effectExtent l="0" t="0" r="0" b="0"/>
            <wp:docPr id="147027786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277861" name="Imagen 1" descr="Texto&#10;&#10;Descripción generada automáticamente"/>
                    <pic:cNvPicPr/>
                  </pic:nvPicPr>
                  <pic:blipFill>
                    <a:blip r:embed="rId22">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87EA6" w:rsidRPr="00E87EA6" w14:paraId="2A20789D" w14:textId="77777777" w:rsidTr="002607A7">
        <w:trPr>
          <w:trHeight w:val="315"/>
        </w:trPr>
        <w:tc>
          <w:tcPr>
            <w:tcW w:w="893" w:type="dxa"/>
            <w:vAlign w:val="center"/>
            <w:hideMark/>
          </w:tcPr>
          <w:p w14:paraId="56E3D941" w14:textId="77777777" w:rsidR="00871B59" w:rsidRPr="00E87EA6" w:rsidRDefault="00871B59" w:rsidP="002607A7">
            <w:pPr>
              <w:contextualSpacing/>
              <w:rPr>
                <w:rFonts w:ascii="Verdana" w:hAnsi="Verdana" w:cs="Arial"/>
                <w:sz w:val="16"/>
                <w:szCs w:val="16"/>
                <w:lang w:val="es-ES" w:eastAsia="es-ES"/>
              </w:rPr>
            </w:pPr>
            <w:r w:rsidRPr="00E87EA6">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E128207" w14:textId="765C04BD" w:rsidR="00871B59" w:rsidRPr="00E71CD1" w:rsidRDefault="00E87EA6" w:rsidP="002607A7">
            <w:pPr>
              <w:contextualSpacing/>
              <w:rPr>
                <w:rFonts w:ascii="Verdana" w:eastAsia="Arial" w:hAnsi="Verdana" w:cs="Arial"/>
                <w:sz w:val="16"/>
                <w:szCs w:val="16"/>
              </w:rPr>
            </w:pPr>
            <w:r w:rsidRPr="00E71CD1">
              <w:rPr>
                <w:rFonts w:ascii="Verdana" w:eastAsia="Arial" w:hAnsi="Verdana" w:cs="Arial"/>
                <w:sz w:val="16"/>
                <w:szCs w:val="16"/>
              </w:rPr>
              <w:t>Gloria Elizabeth Arango Builes</w:t>
            </w:r>
          </w:p>
          <w:p w14:paraId="27134A92" w14:textId="7DD0D733" w:rsidR="00871B59" w:rsidRPr="00E87EA6" w:rsidRDefault="00E87EA6" w:rsidP="002607A7">
            <w:pPr>
              <w:contextualSpacing/>
              <w:rPr>
                <w:rFonts w:ascii="Verdana" w:eastAsia="Arial" w:hAnsi="Verdana" w:cs="Arial"/>
                <w:sz w:val="16"/>
                <w:szCs w:val="16"/>
              </w:rPr>
            </w:pPr>
            <w:r w:rsidRPr="00E71CD1">
              <w:rPr>
                <w:rStyle w:val="normaltextrun"/>
                <w:rFonts w:ascii="Verdana" w:eastAsia="Arial" w:hAnsi="Verdana" w:cs="Arial"/>
                <w:sz w:val="16"/>
                <w:szCs w:val="16"/>
              </w:rPr>
              <w:t>Contratista</w:t>
            </w:r>
            <w:r w:rsidR="00871B59" w:rsidRPr="00E71CD1">
              <w:rPr>
                <w:rStyle w:val="normaltextrun"/>
                <w:rFonts w:ascii="Verdana" w:eastAsia="Arial" w:hAnsi="Verdana" w:cs="Arial"/>
                <w:sz w:val="16"/>
                <w:szCs w:val="16"/>
              </w:rPr>
              <w:t xml:space="preserve"> de la Subdirección de Gestión Contractual</w:t>
            </w:r>
          </w:p>
        </w:tc>
      </w:tr>
      <w:tr w:rsidR="00E87EA6" w:rsidRPr="00E87EA6" w14:paraId="409BBACC" w14:textId="77777777" w:rsidTr="002607A7">
        <w:trPr>
          <w:trHeight w:val="330"/>
        </w:trPr>
        <w:tc>
          <w:tcPr>
            <w:tcW w:w="893" w:type="dxa"/>
            <w:vAlign w:val="center"/>
            <w:hideMark/>
          </w:tcPr>
          <w:p w14:paraId="3ABFF401" w14:textId="77777777" w:rsidR="00871B59" w:rsidRPr="00E87EA6" w:rsidRDefault="00871B59" w:rsidP="002607A7">
            <w:pPr>
              <w:contextualSpacing/>
              <w:rPr>
                <w:rFonts w:ascii="Verdana" w:hAnsi="Verdana" w:cs="Arial"/>
                <w:sz w:val="16"/>
                <w:szCs w:val="16"/>
                <w:lang w:val="es-ES" w:eastAsia="es-ES"/>
              </w:rPr>
            </w:pPr>
            <w:r w:rsidRPr="00E87EA6">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100A373" w14:textId="3DC9A12C" w:rsidR="00871B59" w:rsidRPr="00E87EA6" w:rsidRDefault="00E87EA6" w:rsidP="002607A7">
            <w:pPr>
              <w:pStyle w:val="paragraph"/>
              <w:spacing w:before="0" w:beforeAutospacing="0" w:after="0" w:afterAutospacing="0"/>
              <w:contextualSpacing/>
              <w:textAlignment w:val="baseline"/>
              <w:rPr>
                <w:rFonts w:ascii="Verdana" w:hAnsi="Verdana" w:cs="Segoe UI"/>
                <w:sz w:val="16"/>
                <w:szCs w:val="16"/>
              </w:rPr>
            </w:pPr>
            <w:r w:rsidRPr="00E87EA6">
              <w:rPr>
                <w:rFonts w:ascii="Verdana" w:hAnsi="Verdana" w:cs="Segoe UI"/>
                <w:sz w:val="16"/>
                <w:szCs w:val="16"/>
              </w:rPr>
              <w:t>Juan Carlos González Vásquez</w:t>
            </w:r>
          </w:p>
          <w:p w14:paraId="408B71DB" w14:textId="2E4D9008" w:rsidR="00871B59" w:rsidRPr="00E87EA6" w:rsidRDefault="00E87EA6" w:rsidP="002607A7">
            <w:pPr>
              <w:pStyle w:val="paragraph"/>
              <w:spacing w:before="0" w:beforeAutospacing="0" w:after="0" w:afterAutospacing="0"/>
              <w:contextualSpacing/>
              <w:textAlignment w:val="baseline"/>
              <w:rPr>
                <w:rFonts w:ascii="Verdana" w:hAnsi="Verdana" w:cs="Segoe UI"/>
                <w:sz w:val="16"/>
                <w:szCs w:val="16"/>
              </w:rPr>
            </w:pPr>
            <w:r w:rsidRPr="00E87EA6">
              <w:rPr>
                <w:rStyle w:val="normaltextrun"/>
                <w:rFonts w:ascii="Verdana" w:hAnsi="Verdana" w:cs="Arial"/>
                <w:sz w:val="16"/>
                <w:szCs w:val="16"/>
                <w:lang w:val="es-ES"/>
              </w:rPr>
              <w:t>Contratista</w:t>
            </w:r>
            <w:r w:rsidR="00871B59" w:rsidRPr="00E87EA6">
              <w:rPr>
                <w:rStyle w:val="normaltextrun"/>
                <w:rFonts w:ascii="Verdana" w:hAnsi="Verdana" w:cs="Arial"/>
                <w:sz w:val="16"/>
                <w:szCs w:val="16"/>
                <w:lang w:val="es-ES"/>
              </w:rPr>
              <w:t xml:space="preserve"> de la Subdirección de Gestión Contractual</w:t>
            </w:r>
            <w:r w:rsidR="00871B59" w:rsidRPr="00E87EA6">
              <w:rPr>
                <w:rStyle w:val="eop"/>
                <w:rFonts w:ascii="Verdana" w:hAnsi="Verdana" w:cs="Arial"/>
                <w:sz w:val="16"/>
                <w:szCs w:val="16"/>
              </w:rPr>
              <w:t> </w:t>
            </w:r>
          </w:p>
        </w:tc>
      </w:tr>
      <w:tr w:rsidR="00871B59" w:rsidRPr="00E87EA6" w14:paraId="2A81CFC8" w14:textId="77777777" w:rsidTr="002607A7">
        <w:trPr>
          <w:trHeight w:val="300"/>
        </w:trPr>
        <w:tc>
          <w:tcPr>
            <w:tcW w:w="893" w:type="dxa"/>
            <w:vAlign w:val="center"/>
          </w:tcPr>
          <w:p w14:paraId="3159EE97" w14:textId="77777777" w:rsidR="00871B59" w:rsidRPr="00E87EA6" w:rsidRDefault="00871B59" w:rsidP="002607A7">
            <w:pPr>
              <w:contextualSpacing/>
              <w:rPr>
                <w:rFonts w:ascii="Verdana" w:hAnsi="Verdana" w:cs="Arial"/>
                <w:sz w:val="16"/>
                <w:szCs w:val="16"/>
                <w:lang w:val="es-ES" w:eastAsia="es-ES"/>
              </w:rPr>
            </w:pPr>
            <w:r w:rsidRPr="00E87EA6">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E87EA6" w:rsidRDefault="00871B59" w:rsidP="002607A7">
            <w:pPr>
              <w:contextualSpacing/>
              <w:rPr>
                <w:rFonts w:ascii="Verdana" w:eastAsia="Calibri" w:hAnsi="Verdana" w:cs="Arial"/>
                <w:sz w:val="16"/>
                <w:szCs w:val="16"/>
                <w:lang w:val="pt-BR" w:eastAsia="es-ES"/>
              </w:rPr>
            </w:pPr>
            <w:r w:rsidRPr="00E87EA6">
              <w:rPr>
                <w:rFonts w:ascii="Verdana" w:eastAsia="Calibri" w:hAnsi="Verdana" w:cs="Arial"/>
                <w:sz w:val="16"/>
                <w:szCs w:val="16"/>
                <w:lang w:val="pt-BR" w:eastAsia="es-ES"/>
              </w:rPr>
              <w:t xml:space="preserve">Carolina Quintero </w:t>
            </w:r>
            <w:proofErr w:type="spellStart"/>
            <w:r w:rsidRPr="00E87EA6">
              <w:rPr>
                <w:rFonts w:ascii="Verdana" w:eastAsia="Calibri" w:hAnsi="Verdana" w:cs="Arial"/>
                <w:sz w:val="16"/>
                <w:szCs w:val="16"/>
                <w:lang w:val="pt-BR" w:eastAsia="es-ES"/>
              </w:rPr>
              <w:t>Gacharná</w:t>
            </w:r>
            <w:proofErr w:type="spellEnd"/>
          </w:p>
          <w:p w14:paraId="6EE38C14" w14:textId="77777777" w:rsidR="00871B59" w:rsidRPr="00E87EA6" w:rsidRDefault="00871B59" w:rsidP="002607A7">
            <w:pPr>
              <w:contextualSpacing/>
              <w:rPr>
                <w:rFonts w:ascii="Verdana" w:eastAsia="Calibri" w:hAnsi="Verdana" w:cs="Arial"/>
                <w:sz w:val="16"/>
                <w:szCs w:val="16"/>
                <w:lang w:val="pt-BR" w:eastAsia="es-ES"/>
              </w:rPr>
            </w:pPr>
            <w:r w:rsidRPr="00E87EA6">
              <w:rPr>
                <w:rFonts w:ascii="Verdana" w:eastAsia="Calibri" w:hAnsi="Verdana" w:cs="Arial"/>
                <w:sz w:val="16"/>
                <w:szCs w:val="16"/>
                <w:lang w:eastAsia="es-ES"/>
              </w:rPr>
              <w:t>Subdirectora</w:t>
            </w:r>
            <w:r w:rsidRPr="00E87EA6">
              <w:rPr>
                <w:rFonts w:ascii="Verdana" w:eastAsia="Calibri" w:hAnsi="Verdana" w:cs="Arial"/>
                <w:sz w:val="16"/>
                <w:szCs w:val="16"/>
                <w:lang w:val="pt-BR" w:eastAsia="es-ES"/>
              </w:rPr>
              <w:t xml:space="preserve"> de Gestión </w:t>
            </w:r>
            <w:proofErr w:type="spellStart"/>
            <w:r w:rsidRPr="00E87EA6">
              <w:rPr>
                <w:rFonts w:ascii="Verdana" w:eastAsia="Calibri" w:hAnsi="Verdana" w:cs="Arial"/>
                <w:sz w:val="16"/>
                <w:szCs w:val="16"/>
                <w:lang w:val="pt-BR" w:eastAsia="es-ES"/>
              </w:rPr>
              <w:t>Contractual</w:t>
            </w:r>
            <w:proofErr w:type="spellEnd"/>
            <w:r w:rsidRPr="00E87EA6">
              <w:rPr>
                <w:rFonts w:ascii="Verdana" w:eastAsia="Calibri" w:hAnsi="Verdana" w:cs="Arial"/>
                <w:sz w:val="16"/>
                <w:szCs w:val="16"/>
                <w:lang w:val="pt-BR" w:eastAsia="es-ES"/>
              </w:rPr>
              <w:t xml:space="preserve"> ANCP – CCE</w:t>
            </w:r>
          </w:p>
        </w:tc>
      </w:tr>
    </w:tbl>
    <w:p w14:paraId="510CF084" w14:textId="77777777" w:rsidR="00871B59" w:rsidRPr="00E87EA6" w:rsidRDefault="00871B59" w:rsidP="00871B59">
      <w:pPr>
        <w:spacing w:after="0" w:line="240" w:lineRule="auto"/>
        <w:rPr>
          <w:rFonts w:ascii="Verdana" w:eastAsia="Times New Roman" w:hAnsi="Verdana" w:cs="Arial"/>
          <w:sz w:val="24"/>
          <w:szCs w:val="24"/>
          <w:lang w:eastAsia="es-ES"/>
        </w:rPr>
      </w:pPr>
    </w:p>
    <w:p w14:paraId="0083C991" w14:textId="5C765C2F" w:rsidR="5D8505AD" w:rsidRPr="00E87EA6" w:rsidRDefault="5D8505AD" w:rsidP="00871B59"/>
    <w:sectPr w:rsidR="5D8505AD" w:rsidRPr="00E87EA6" w:rsidSect="00E45F4B">
      <w:headerReference w:type="default" r:id="rId23"/>
      <w:footerReference w:type="default" r:id="rId24"/>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3B256" w14:textId="77777777" w:rsidR="00E96875" w:rsidRDefault="00E96875" w:rsidP="00B30448">
      <w:pPr>
        <w:spacing w:after="0" w:line="240" w:lineRule="auto"/>
      </w:pPr>
      <w:r>
        <w:separator/>
      </w:r>
    </w:p>
  </w:endnote>
  <w:endnote w:type="continuationSeparator" w:id="0">
    <w:p w14:paraId="67DB56F9" w14:textId="77777777" w:rsidR="00E96875" w:rsidRDefault="00E96875" w:rsidP="00B30448">
      <w:pPr>
        <w:spacing w:after="0" w:line="240" w:lineRule="auto"/>
      </w:pPr>
      <w:r>
        <w:continuationSeparator/>
      </w:r>
    </w:p>
  </w:endnote>
  <w:endnote w:type="continuationNotice" w:id="1">
    <w:p w14:paraId="18049AF1" w14:textId="77777777" w:rsidR="00E96875" w:rsidRDefault="00E968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66253" w14:textId="77777777" w:rsidR="00E96875" w:rsidRDefault="00E96875" w:rsidP="00B30448">
      <w:pPr>
        <w:spacing w:after="0" w:line="240" w:lineRule="auto"/>
      </w:pPr>
      <w:r>
        <w:separator/>
      </w:r>
    </w:p>
  </w:footnote>
  <w:footnote w:type="continuationSeparator" w:id="0">
    <w:p w14:paraId="5BEAE2C6" w14:textId="77777777" w:rsidR="00E96875" w:rsidRDefault="00E96875" w:rsidP="00B30448">
      <w:pPr>
        <w:spacing w:after="0" w:line="240" w:lineRule="auto"/>
      </w:pPr>
      <w:r>
        <w:continuationSeparator/>
      </w:r>
    </w:p>
  </w:footnote>
  <w:footnote w:type="continuationNotice" w:id="1">
    <w:p w14:paraId="7C805026" w14:textId="77777777" w:rsidR="00E96875" w:rsidRDefault="00E96875">
      <w:pPr>
        <w:spacing w:after="0" w:line="240" w:lineRule="auto"/>
      </w:pPr>
    </w:p>
  </w:footnote>
  <w:footnote w:id="2">
    <w:p w14:paraId="01F7F675" w14:textId="77777777" w:rsidR="005A7BCE" w:rsidRPr="005A7BCE" w:rsidRDefault="005A7BCE" w:rsidP="005A7BCE">
      <w:pPr>
        <w:pStyle w:val="Textonotapie"/>
        <w:ind w:firstLine="708"/>
        <w:jc w:val="both"/>
        <w:rPr>
          <w:rFonts w:ascii="Verdana" w:hAnsi="Verdana" w:cs="Arial"/>
          <w:color w:val="000000"/>
          <w:sz w:val="16"/>
          <w:szCs w:val="16"/>
        </w:rPr>
      </w:pPr>
      <w:r w:rsidRPr="005A7BCE">
        <w:rPr>
          <w:rStyle w:val="Refdenotaalpie"/>
          <w:rFonts w:ascii="Verdana" w:hAnsi="Verdana" w:cs="Arial"/>
          <w:color w:val="000000"/>
          <w:sz w:val="16"/>
          <w:szCs w:val="16"/>
        </w:rPr>
        <w:footnoteRef/>
      </w:r>
      <w:r w:rsidRPr="005A7BCE">
        <w:rPr>
          <w:rFonts w:ascii="Verdana" w:hAnsi="Verdana" w:cs="Arial"/>
          <w:color w:val="000000"/>
          <w:sz w:val="16"/>
          <w:szCs w:val="16"/>
        </w:rPr>
        <w:t xml:space="preserve"> “Artículo 2.2.1.2.3.1.12. Suficiencia de la garantía de cumplimiento. La garantía de cumplimiento del contrato debe tener una vigencia mínima hasta la liquidación del contrato. El valor de esta garantía debe ser de por lo menos el diez por ciento (10%) del valor del contrato a menos que el valor del contrato sea superior a un millón (1.000.000) de smmlv, caso en el cual la Entidad Estatal aplicará las siguientes reglas: </w:t>
      </w:r>
    </w:p>
    <w:p w14:paraId="20B6909E" w14:textId="77777777" w:rsidR="005A7BCE" w:rsidRPr="005A7BCE" w:rsidRDefault="005A7BCE" w:rsidP="005A7BCE">
      <w:pPr>
        <w:pStyle w:val="Textonotapie"/>
        <w:ind w:firstLine="708"/>
        <w:jc w:val="both"/>
        <w:rPr>
          <w:rFonts w:ascii="Verdana" w:hAnsi="Verdana" w:cs="Arial"/>
          <w:color w:val="000000"/>
          <w:sz w:val="16"/>
          <w:szCs w:val="16"/>
        </w:rPr>
      </w:pPr>
      <w:r w:rsidRPr="005A7BCE">
        <w:rPr>
          <w:rFonts w:ascii="Verdana" w:hAnsi="Verdana" w:cs="Arial"/>
          <w:color w:val="000000"/>
          <w:sz w:val="16"/>
          <w:szCs w:val="16"/>
        </w:rPr>
        <w:t xml:space="preserve">1. Si el valor del contrato es superior a un millón (1.000.000) de smmlv y hasta cinco millones (5.000.000) de smmlv, la Entidad Estatal puede aceptar garantías que cubran al menos el dos punto cinco por ciento (2,5%) del valor del contrato. </w:t>
      </w:r>
    </w:p>
    <w:p w14:paraId="16D6B407" w14:textId="77777777" w:rsidR="005A7BCE" w:rsidRPr="005A7BCE" w:rsidRDefault="005A7BCE" w:rsidP="005A7BCE">
      <w:pPr>
        <w:pStyle w:val="Textonotapie"/>
        <w:ind w:firstLine="708"/>
        <w:jc w:val="both"/>
        <w:rPr>
          <w:rFonts w:ascii="Verdana" w:hAnsi="Verdana" w:cs="Arial"/>
          <w:color w:val="000000"/>
          <w:sz w:val="16"/>
          <w:szCs w:val="16"/>
        </w:rPr>
      </w:pPr>
      <w:r w:rsidRPr="005A7BCE">
        <w:rPr>
          <w:rFonts w:ascii="Verdana" w:hAnsi="Verdana" w:cs="Arial"/>
          <w:color w:val="000000"/>
          <w:sz w:val="16"/>
          <w:szCs w:val="16"/>
        </w:rPr>
        <w:t xml:space="preserve">2. Si el valor del contrato es superior a cinco millones (5.000.000) de smmlv y hasta diez millones (10.000.000) de smmlv, la Entidad Estatal puede aceptar garantías que cubran al menos el uno por ciento (1%) del valor del contrato. </w:t>
      </w:r>
    </w:p>
    <w:p w14:paraId="45C5249E" w14:textId="77777777" w:rsidR="005A7BCE" w:rsidRPr="005A7BCE" w:rsidRDefault="005A7BCE" w:rsidP="005A7BCE">
      <w:pPr>
        <w:pStyle w:val="Textonotapie"/>
        <w:ind w:firstLine="708"/>
        <w:jc w:val="both"/>
        <w:rPr>
          <w:rFonts w:ascii="Verdana" w:hAnsi="Verdana" w:cs="Arial"/>
          <w:color w:val="000000"/>
          <w:sz w:val="16"/>
          <w:szCs w:val="16"/>
        </w:rPr>
      </w:pPr>
      <w:r w:rsidRPr="005A7BCE">
        <w:rPr>
          <w:rFonts w:ascii="Verdana" w:hAnsi="Verdana" w:cs="Arial"/>
          <w:color w:val="000000"/>
          <w:sz w:val="16"/>
          <w:szCs w:val="16"/>
        </w:rPr>
        <w:t>3. Si el valor del contrato es superior a diez millones (10.000.000) de smmlv, la Entidad Estatal puede aceptar garantías que cubran al menos el cero punto cinco por ciento (0,5%) del valor del contrato.</w:t>
      </w:r>
    </w:p>
    <w:p w14:paraId="371AA474" w14:textId="77777777" w:rsidR="005A7BCE" w:rsidRPr="005A7BCE" w:rsidRDefault="005A7BCE" w:rsidP="005A7BCE">
      <w:pPr>
        <w:pStyle w:val="Textonotapie"/>
        <w:ind w:firstLine="708"/>
        <w:jc w:val="both"/>
        <w:rPr>
          <w:rFonts w:ascii="Verdana" w:hAnsi="Verdana" w:cs="Arial"/>
          <w:color w:val="000000"/>
          <w:sz w:val="16"/>
          <w:szCs w:val="16"/>
        </w:rPr>
      </w:pPr>
      <w:r w:rsidRPr="005A7BCE">
        <w:rPr>
          <w:rFonts w:ascii="Verdana" w:hAnsi="Verdana" w:cs="Arial"/>
          <w:color w:val="000000"/>
          <w:sz w:val="16"/>
          <w:szCs w:val="16"/>
        </w:rPr>
        <w:t>4. Colombia Compra Eficiente debe determinar el valor de la garantía única de cumplimiento del Acuerdo Marco de Precios de acuerdo con el objeto, el valor, la naturaleza y las obligaciones contenidas en este”.</w:t>
      </w:r>
    </w:p>
  </w:footnote>
  <w:footnote w:id="3">
    <w:p w14:paraId="1423D4EE" w14:textId="77777777" w:rsidR="005A7BCE" w:rsidRPr="005A7BCE" w:rsidRDefault="005A7BCE" w:rsidP="005A7BCE">
      <w:pPr>
        <w:pStyle w:val="Textonotapie"/>
        <w:ind w:firstLine="709"/>
        <w:jc w:val="both"/>
        <w:rPr>
          <w:rFonts w:ascii="Verdana" w:hAnsi="Verdana" w:cs="Arial"/>
          <w:sz w:val="16"/>
          <w:szCs w:val="16"/>
        </w:rPr>
      </w:pPr>
      <w:r w:rsidRPr="005A7BCE">
        <w:rPr>
          <w:rStyle w:val="Refdenotaalpie"/>
          <w:rFonts w:ascii="Verdana" w:hAnsi="Verdana" w:cs="Arial"/>
          <w:sz w:val="16"/>
          <w:szCs w:val="16"/>
        </w:rPr>
        <w:footnoteRef/>
      </w:r>
      <w:r w:rsidRPr="005A7BCE">
        <w:rPr>
          <w:rFonts w:ascii="Verdana" w:hAnsi="Verdana" w:cs="Arial"/>
          <w:sz w:val="16"/>
          <w:szCs w:val="16"/>
        </w:rPr>
        <w:t xml:space="preserve"> CONSEJO DE ESTADO. Sección Tercera. Sentencia del 29 de julio de 2015. Exp. 42.494. C.P. Jaime Orlando Santofimio Gamboa.</w:t>
      </w:r>
    </w:p>
  </w:footnote>
  <w:footnote w:id="4">
    <w:p w14:paraId="3DAC5952" w14:textId="77777777" w:rsidR="005A7BCE" w:rsidRPr="007148BA" w:rsidRDefault="005A7BCE" w:rsidP="005A7BCE">
      <w:pPr>
        <w:pStyle w:val="Textonotapie"/>
        <w:ind w:firstLine="708"/>
        <w:jc w:val="both"/>
        <w:rPr>
          <w:rFonts w:ascii="Verdana" w:hAnsi="Verdana" w:cs="Arial"/>
          <w:sz w:val="16"/>
          <w:szCs w:val="16"/>
        </w:rPr>
      </w:pPr>
      <w:r w:rsidRPr="007148BA">
        <w:rPr>
          <w:rStyle w:val="Refdenotaalpie"/>
          <w:rFonts w:ascii="Verdana" w:hAnsi="Verdana" w:cs="Arial"/>
          <w:sz w:val="16"/>
          <w:szCs w:val="16"/>
        </w:rPr>
        <w:footnoteRef/>
      </w:r>
      <w:r w:rsidRPr="007148BA">
        <w:rPr>
          <w:rFonts w:ascii="Verdana" w:hAnsi="Verdana" w:cs="Arial"/>
          <w:sz w:val="16"/>
          <w:szCs w:val="16"/>
        </w:rPr>
        <w:t xml:space="preserve"> CONSEJO DE ESTADO. Sección Tercera. Sentencia del 13 de septiembre de 1999. Exp. 10.264. C.P. Ricardo Hoyos Duque.</w:t>
      </w:r>
    </w:p>
  </w:footnote>
  <w:footnote w:id="5">
    <w:p w14:paraId="17EB74BC" w14:textId="77777777" w:rsidR="005A7BCE" w:rsidRPr="007148BA" w:rsidRDefault="005A7BCE" w:rsidP="005A7BCE">
      <w:pPr>
        <w:pStyle w:val="Textonotapie"/>
        <w:ind w:firstLine="708"/>
        <w:jc w:val="both"/>
        <w:rPr>
          <w:rFonts w:ascii="Verdana" w:hAnsi="Verdana" w:cs="Arial"/>
          <w:sz w:val="16"/>
          <w:szCs w:val="16"/>
          <w:lang w:val="es-ES"/>
        </w:rPr>
      </w:pPr>
      <w:r w:rsidRPr="007148BA">
        <w:rPr>
          <w:rStyle w:val="Refdenotaalpie"/>
          <w:rFonts w:ascii="Verdana" w:hAnsi="Verdana" w:cs="Arial"/>
          <w:sz w:val="16"/>
          <w:szCs w:val="16"/>
        </w:rPr>
        <w:footnoteRef/>
      </w:r>
      <w:r w:rsidRPr="007148BA">
        <w:rPr>
          <w:rFonts w:ascii="Verdana" w:hAnsi="Verdana" w:cs="Arial"/>
          <w:sz w:val="16"/>
          <w:szCs w:val="16"/>
        </w:rPr>
        <w:t xml:space="preserve"> PALACIO HINCAPIÉ, Juan Ángel. La contratación de las entidades estatales. Octava edición. Medellín: Librería Jurídica Sánchez R. SAS, 2020. p. 659.</w:t>
      </w:r>
    </w:p>
  </w:footnote>
  <w:footnote w:id="6">
    <w:p w14:paraId="3EEA10E3" w14:textId="77777777" w:rsidR="005A7BCE" w:rsidRPr="007148BA" w:rsidRDefault="005A7BCE" w:rsidP="005A7BCE">
      <w:pPr>
        <w:spacing w:after="0" w:line="240" w:lineRule="auto"/>
        <w:ind w:firstLine="709"/>
        <w:jc w:val="both"/>
        <w:rPr>
          <w:rFonts w:ascii="Verdana" w:hAnsi="Verdana" w:cs="Arial"/>
          <w:color w:val="000000"/>
          <w:sz w:val="16"/>
          <w:szCs w:val="16"/>
        </w:rPr>
      </w:pPr>
      <w:r w:rsidRPr="007148BA">
        <w:rPr>
          <w:rStyle w:val="Refdenotaalpie"/>
          <w:rFonts w:ascii="Verdana" w:hAnsi="Verdana" w:cs="Arial"/>
          <w:color w:val="000000"/>
          <w:sz w:val="16"/>
          <w:szCs w:val="16"/>
        </w:rPr>
        <w:footnoteRef/>
      </w:r>
      <w:r w:rsidRPr="007148BA">
        <w:rPr>
          <w:rFonts w:ascii="Verdana" w:hAnsi="Verdana" w:cs="Arial"/>
          <w:color w:val="000000"/>
          <w:sz w:val="16"/>
          <w:szCs w:val="16"/>
        </w:rPr>
        <w:t xml:space="preserve"> Consejo de Estado. Sección Tercera. Subsección C. Radicado No. 05001-23-31-000-1998-00038-01. Número Interno 27.777. M.P. Enrique Gil Botero.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7">
    <w:p w14:paraId="34969DF8" w14:textId="77777777" w:rsidR="005A7BCE" w:rsidRPr="00E87EA6" w:rsidRDefault="005A7BCE" w:rsidP="005A7BCE">
      <w:pPr>
        <w:pStyle w:val="Textonotapie"/>
        <w:ind w:firstLine="709"/>
        <w:jc w:val="both"/>
        <w:rPr>
          <w:rFonts w:ascii="Verdana" w:hAnsi="Verdana" w:cs="Arial"/>
          <w:color w:val="000000"/>
          <w:sz w:val="16"/>
          <w:szCs w:val="16"/>
        </w:rPr>
      </w:pPr>
      <w:r w:rsidRPr="00E87EA6">
        <w:rPr>
          <w:rStyle w:val="Refdenotaalpie"/>
          <w:rFonts w:ascii="Verdana" w:hAnsi="Verdana" w:cs="Arial"/>
          <w:color w:val="000000"/>
          <w:sz w:val="16"/>
          <w:szCs w:val="16"/>
        </w:rPr>
        <w:footnoteRef/>
      </w:r>
      <w:r w:rsidRPr="00E87EA6">
        <w:rPr>
          <w:rFonts w:ascii="Verdana" w:hAnsi="Verdana" w:cs="Arial"/>
          <w:color w:val="000000"/>
          <w:sz w:val="16"/>
          <w:szCs w:val="16"/>
        </w:rPr>
        <w:t xml:space="preserve"> </w:t>
      </w:r>
      <w:r w:rsidRPr="00E87EA6">
        <w:rPr>
          <w:rFonts w:ascii="Verdana" w:hAnsi="Verdana" w:cs="Arial"/>
          <w:i/>
          <w:iCs/>
          <w:color w:val="000000"/>
          <w:sz w:val="16"/>
          <w:szCs w:val="16"/>
        </w:rPr>
        <w:t>Ibidem</w:t>
      </w:r>
      <w:r w:rsidRPr="00E87EA6">
        <w:rPr>
          <w:rFonts w:ascii="Verdana" w:hAnsi="Verdana" w:cs="Arial"/>
          <w:color w:val="000000"/>
          <w:sz w:val="16"/>
          <w:szCs w:val="16"/>
        </w:rPr>
        <w:t>.</w:t>
      </w:r>
    </w:p>
  </w:footnote>
  <w:footnote w:id="8">
    <w:p w14:paraId="11371434" w14:textId="77777777" w:rsidR="005A7BCE" w:rsidRPr="00E87EA6" w:rsidRDefault="005A7BCE" w:rsidP="005A7BCE">
      <w:pPr>
        <w:pStyle w:val="Textonotapie"/>
        <w:ind w:firstLine="709"/>
        <w:jc w:val="both"/>
        <w:rPr>
          <w:rFonts w:ascii="Verdana" w:hAnsi="Verdana" w:cs="Arial"/>
          <w:color w:val="000000"/>
          <w:sz w:val="16"/>
          <w:szCs w:val="16"/>
          <w:lang w:val="es-ES"/>
        </w:rPr>
      </w:pPr>
      <w:r w:rsidRPr="00E87EA6">
        <w:rPr>
          <w:rStyle w:val="Refdenotaalpie"/>
          <w:rFonts w:ascii="Verdana" w:hAnsi="Verdana" w:cs="Arial"/>
          <w:color w:val="000000"/>
          <w:sz w:val="16"/>
          <w:szCs w:val="16"/>
        </w:rPr>
        <w:footnoteRef/>
      </w:r>
      <w:r w:rsidRPr="00E87EA6">
        <w:rPr>
          <w:rFonts w:ascii="Verdana" w:hAnsi="Verdana" w:cs="Arial"/>
          <w:color w:val="000000"/>
          <w:sz w:val="16"/>
          <w:szCs w:val="16"/>
        </w:rPr>
        <w:t xml:space="preserve"> </w:t>
      </w:r>
      <w:r w:rsidRPr="00E87EA6">
        <w:rPr>
          <w:rFonts w:ascii="Verdana" w:hAnsi="Verdana" w:cs="Arial"/>
          <w:color w:val="000000"/>
          <w:sz w:val="16"/>
          <w:szCs w:val="16"/>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090ED1F5" w14:textId="77777777" w:rsidR="005A7BCE" w:rsidRPr="00E87EA6" w:rsidRDefault="005A7BCE" w:rsidP="005A7BCE">
      <w:pPr>
        <w:pStyle w:val="Textonotapie"/>
        <w:ind w:firstLine="709"/>
        <w:jc w:val="both"/>
        <w:rPr>
          <w:rFonts w:ascii="Verdana" w:hAnsi="Verdana" w:cs="Arial"/>
          <w:color w:val="000000"/>
          <w:sz w:val="16"/>
          <w:szCs w:val="16"/>
          <w:lang w:val="es-ES"/>
        </w:rPr>
      </w:pPr>
      <w:r w:rsidRPr="00E87EA6">
        <w:rPr>
          <w:rFonts w:ascii="Verdana" w:hAnsi="Verdana" w:cs="Arial"/>
          <w:color w:val="000000"/>
          <w:sz w:val="16"/>
          <w:szCs w:val="16"/>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189946EC" w14:textId="77777777" w:rsidR="005A7BCE" w:rsidRPr="00E87EA6" w:rsidRDefault="005A7BCE" w:rsidP="005A7BCE">
      <w:pPr>
        <w:pStyle w:val="Textonotapie"/>
        <w:ind w:firstLine="709"/>
        <w:jc w:val="both"/>
        <w:rPr>
          <w:rFonts w:ascii="Verdana" w:hAnsi="Verdana" w:cs="Arial"/>
          <w:color w:val="000000"/>
          <w:sz w:val="16"/>
          <w:szCs w:val="16"/>
          <w:lang w:val="es-ES"/>
        </w:rPr>
      </w:pPr>
      <w:r w:rsidRPr="00E87EA6">
        <w:rPr>
          <w:rFonts w:ascii="Verdana" w:hAnsi="Verdana" w:cs="Arial"/>
          <w:color w:val="000000"/>
          <w:sz w:val="16"/>
          <w:szCs w:val="16"/>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4B4297F0" w14:textId="77777777" w:rsidR="005A7BCE" w:rsidRPr="00E87EA6" w:rsidRDefault="005A7BCE" w:rsidP="005A7BCE">
      <w:pPr>
        <w:pStyle w:val="Textonotapie"/>
        <w:ind w:firstLine="709"/>
        <w:jc w:val="both"/>
        <w:rPr>
          <w:rFonts w:ascii="Verdana" w:hAnsi="Verdana" w:cs="Arial"/>
          <w:color w:val="000000"/>
          <w:sz w:val="16"/>
          <w:szCs w:val="16"/>
          <w:lang w:val="es-ES"/>
        </w:rPr>
      </w:pPr>
      <w:r w:rsidRPr="00E87EA6">
        <w:rPr>
          <w:rFonts w:ascii="Verdana" w:hAnsi="Verdana" w:cs="Arial"/>
          <w:color w:val="000000"/>
          <w:sz w:val="16"/>
          <w:szCs w:val="16"/>
          <w:lang w:val="es-ES"/>
        </w:rPr>
        <w:t>Los contratistas tendrán derecho a efectuar salvedades a la liquidación por mutuo acuerdo, y en este evento la liquidación unilateral solo procederá en relación con los aspectos que no hayan sido objeto de acuerdo”.</w:t>
      </w:r>
    </w:p>
  </w:footnote>
  <w:footnote w:id="9">
    <w:p w14:paraId="54CBA19C" w14:textId="77777777" w:rsidR="005A7BCE" w:rsidRPr="00E87EA6" w:rsidRDefault="005A7BCE" w:rsidP="005A7BCE">
      <w:pPr>
        <w:pStyle w:val="Textonotapie"/>
        <w:ind w:firstLine="709"/>
        <w:jc w:val="both"/>
        <w:rPr>
          <w:rFonts w:ascii="Verdana" w:hAnsi="Verdana" w:cs="Arial"/>
          <w:color w:val="000000"/>
          <w:sz w:val="16"/>
          <w:szCs w:val="16"/>
          <w:lang w:val="es-ES"/>
        </w:rPr>
      </w:pPr>
      <w:r w:rsidRPr="00E87EA6">
        <w:rPr>
          <w:rStyle w:val="Refdenotaalpie"/>
          <w:rFonts w:ascii="Verdana" w:hAnsi="Verdana" w:cs="Arial"/>
          <w:color w:val="000000"/>
          <w:sz w:val="16"/>
          <w:szCs w:val="16"/>
        </w:rPr>
        <w:footnoteRef/>
      </w:r>
      <w:r w:rsidRPr="00E87EA6">
        <w:rPr>
          <w:rFonts w:ascii="Verdana" w:hAnsi="Verdana" w:cs="Arial"/>
          <w:color w:val="000000"/>
          <w:sz w:val="16"/>
          <w:szCs w:val="16"/>
        </w:rPr>
        <w:t xml:space="preserve"> COLOMBIA COMPRA EFICIENTE. Guía para la Liquidación de los Procesos de Contratación. página 5, disponible en: </w:t>
      </w:r>
      <w:hyperlink r:id="rId1" w:history="1">
        <w:r w:rsidRPr="00E87EA6">
          <w:rPr>
            <w:rStyle w:val="Hipervnculo"/>
            <w:rFonts w:ascii="Verdana" w:hAnsi="Verdana" w:cs="Arial"/>
            <w:color w:val="000000"/>
            <w:sz w:val="16"/>
            <w:szCs w:val="16"/>
          </w:rPr>
          <w:t>https://www.colombiacompra.gov.co/sites/cce_public/files/cce_documents/cce_guia_liquidacion_procesos.pdf</w:t>
        </w:r>
      </w:hyperlink>
      <w:r w:rsidRPr="00E87EA6">
        <w:rPr>
          <w:rFonts w:ascii="Verdana" w:hAnsi="Verdana" w:cs="Arial"/>
          <w:color w:val="000000"/>
          <w:sz w:val="16"/>
          <w:szCs w:val="16"/>
        </w:rPr>
        <w:t xml:space="preserve"> </w:t>
      </w:r>
    </w:p>
  </w:footnote>
  <w:footnote w:id="10">
    <w:p w14:paraId="2303CC31" w14:textId="77777777" w:rsidR="005A7BCE" w:rsidRPr="00E87EA6" w:rsidRDefault="005A7BCE" w:rsidP="005A7BCE">
      <w:pPr>
        <w:pStyle w:val="Textonotapie"/>
        <w:ind w:firstLine="709"/>
        <w:jc w:val="both"/>
        <w:rPr>
          <w:rFonts w:ascii="Verdana" w:hAnsi="Verdana" w:cs="Arial"/>
          <w:color w:val="000000"/>
          <w:sz w:val="16"/>
          <w:szCs w:val="16"/>
        </w:rPr>
      </w:pPr>
      <w:r w:rsidRPr="00E87EA6">
        <w:rPr>
          <w:rStyle w:val="Refdenotaalpie"/>
          <w:rFonts w:ascii="Verdana" w:hAnsi="Verdana" w:cs="Arial"/>
          <w:color w:val="000000"/>
          <w:sz w:val="16"/>
          <w:szCs w:val="16"/>
        </w:rPr>
        <w:footnoteRef/>
      </w:r>
      <w:r w:rsidRPr="00E87EA6">
        <w:rPr>
          <w:rFonts w:ascii="Verdana" w:hAnsi="Verdana" w:cs="Arial"/>
          <w:color w:val="000000"/>
          <w:sz w:val="16"/>
          <w:szCs w:val="16"/>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11">
    <w:p w14:paraId="63BD4A91" w14:textId="77777777" w:rsidR="005A7BCE" w:rsidRPr="00E87EA6" w:rsidRDefault="005A7BCE" w:rsidP="005A7BCE">
      <w:pPr>
        <w:pStyle w:val="Textonotapie"/>
        <w:ind w:firstLine="709"/>
        <w:jc w:val="both"/>
        <w:rPr>
          <w:rFonts w:ascii="Verdana" w:hAnsi="Verdana" w:cs="Arial"/>
          <w:color w:val="000000"/>
          <w:sz w:val="16"/>
          <w:szCs w:val="16"/>
        </w:rPr>
      </w:pPr>
      <w:r w:rsidRPr="00E87EA6">
        <w:rPr>
          <w:rStyle w:val="Refdenotaalpie"/>
          <w:rFonts w:ascii="Verdana" w:hAnsi="Verdana" w:cs="Arial"/>
          <w:color w:val="000000"/>
          <w:sz w:val="16"/>
          <w:szCs w:val="16"/>
        </w:rPr>
        <w:footnoteRef/>
      </w:r>
      <w:r w:rsidRPr="00E87EA6">
        <w:rPr>
          <w:rFonts w:ascii="Verdana" w:hAnsi="Verdana" w:cs="Arial"/>
          <w:color w:val="000000"/>
          <w:sz w:val="16"/>
          <w:szCs w:val="16"/>
        </w:rPr>
        <w:t xml:space="preserve"> CONSEJO DE ESTADO. Sala de Consulta y Servicio Civil. Concepto de 28 de junio de 2016. Radicación: 2253. C.P. Álvaro Namén Vargas. </w:t>
      </w:r>
    </w:p>
  </w:footnote>
  <w:footnote w:id="12">
    <w:p w14:paraId="6FE2838D" w14:textId="77777777" w:rsidR="005A7BCE" w:rsidRPr="00E87EA6" w:rsidRDefault="005A7BCE" w:rsidP="005A7BCE">
      <w:pPr>
        <w:pStyle w:val="Textonotapie"/>
        <w:ind w:firstLine="709"/>
        <w:jc w:val="both"/>
        <w:rPr>
          <w:rFonts w:ascii="Verdana" w:hAnsi="Verdana" w:cs="Arial"/>
          <w:color w:val="000000"/>
          <w:sz w:val="16"/>
          <w:szCs w:val="16"/>
        </w:rPr>
      </w:pPr>
      <w:r w:rsidRPr="00E87EA6">
        <w:rPr>
          <w:rStyle w:val="Refdenotaalpie"/>
          <w:rFonts w:ascii="Verdana" w:hAnsi="Verdana" w:cs="Arial"/>
          <w:color w:val="000000"/>
          <w:sz w:val="16"/>
          <w:szCs w:val="16"/>
        </w:rPr>
        <w:footnoteRef/>
      </w:r>
      <w:r w:rsidRPr="00E87EA6">
        <w:rPr>
          <w:rFonts w:ascii="Verdana" w:hAnsi="Verdana" w:cs="Arial"/>
          <w:color w:val="000000"/>
          <w:sz w:val="16"/>
          <w:szCs w:val="16"/>
        </w:rPr>
        <w:t xml:space="preserve"> Es importante advertir que también durante estos dos meses se podrá realizar una liquidación bilateral, esto es, de mutuo acuerdo, lo cual significa que el plazo para hacer la liquidación bilateral no es un término perentorio, sino sencillamente indicativo.</w:t>
      </w:r>
    </w:p>
  </w:footnote>
  <w:footnote w:id="13">
    <w:p w14:paraId="5FDDA11F" w14:textId="77777777" w:rsidR="005A7BCE" w:rsidRPr="00E87EA6" w:rsidRDefault="005A7BCE" w:rsidP="005A7BCE">
      <w:pPr>
        <w:pStyle w:val="Textonotapie"/>
        <w:ind w:firstLine="709"/>
        <w:jc w:val="both"/>
        <w:rPr>
          <w:rFonts w:ascii="Verdana" w:hAnsi="Verdana" w:cs="Arial"/>
          <w:color w:val="000000"/>
          <w:sz w:val="16"/>
          <w:szCs w:val="16"/>
          <w:lang w:val="es-ES"/>
        </w:rPr>
      </w:pPr>
      <w:r w:rsidRPr="00E87EA6">
        <w:rPr>
          <w:rStyle w:val="Refdenotaalpie"/>
          <w:rFonts w:ascii="Verdana" w:hAnsi="Verdana" w:cs="Arial"/>
          <w:color w:val="000000"/>
          <w:sz w:val="16"/>
          <w:szCs w:val="16"/>
        </w:rPr>
        <w:footnoteRef/>
      </w:r>
      <w:r w:rsidRPr="00E87EA6">
        <w:rPr>
          <w:rFonts w:ascii="Verdana" w:hAnsi="Verdana" w:cs="Arial"/>
          <w:color w:val="000000"/>
          <w:sz w:val="16"/>
          <w:szCs w:val="16"/>
        </w:rPr>
        <w:t xml:space="preserve"> CONSEJO DE ESTADO. Sección Tercera. Sala Plena. Auto de 1 de agosto de 2019. Exp. 62009. C.P. Jaime Enrique Rodríguez Navas. </w:t>
      </w:r>
    </w:p>
  </w:footnote>
  <w:footnote w:id="14">
    <w:p w14:paraId="547B077D" w14:textId="77777777" w:rsidR="005A7BCE" w:rsidRPr="00E87EA6" w:rsidRDefault="005A7BCE" w:rsidP="005A7BCE">
      <w:pPr>
        <w:pStyle w:val="Textonotapie"/>
        <w:ind w:firstLine="709"/>
        <w:jc w:val="both"/>
        <w:rPr>
          <w:rFonts w:ascii="Verdana" w:hAnsi="Verdana" w:cs="Arial"/>
          <w:sz w:val="16"/>
          <w:szCs w:val="16"/>
          <w:lang w:val="es-ES"/>
        </w:rPr>
      </w:pPr>
      <w:r w:rsidRPr="00E87EA6">
        <w:rPr>
          <w:rStyle w:val="Refdenotaalpie"/>
          <w:rFonts w:ascii="Verdana" w:hAnsi="Verdana" w:cs="Arial"/>
          <w:sz w:val="16"/>
          <w:szCs w:val="16"/>
        </w:rPr>
        <w:footnoteRef/>
      </w:r>
      <w:r w:rsidRPr="00E87EA6">
        <w:rPr>
          <w:rFonts w:ascii="Verdana" w:hAnsi="Verdana" w:cs="Arial"/>
          <w:sz w:val="16"/>
          <w:szCs w:val="16"/>
        </w:rPr>
        <w:t xml:space="preserve"> </w:t>
      </w:r>
      <w:r w:rsidRPr="00E87EA6">
        <w:rPr>
          <w:rFonts w:ascii="Verdana" w:hAnsi="Verdana" w:cs="Arial"/>
          <w:sz w:val="16"/>
          <w:szCs w:val="16"/>
          <w:lang w:val="es-ES"/>
        </w:rPr>
        <w:t>Ibidem.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8" w15:restartNumberingAfterBreak="0">
    <w:nsid w:val="53511E6D"/>
    <w:multiLevelType w:val="multilevel"/>
    <w:tmpl w:val="F202E2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9796081"/>
    <w:multiLevelType w:val="hybridMultilevel"/>
    <w:tmpl w:val="20DAD2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90670214">
    <w:abstractNumId w:val="5"/>
  </w:num>
  <w:num w:numId="2" w16cid:durableId="4285022">
    <w:abstractNumId w:val="2"/>
  </w:num>
  <w:num w:numId="3" w16cid:durableId="881983949">
    <w:abstractNumId w:val="3"/>
  </w:num>
  <w:num w:numId="4" w16cid:durableId="341274352">
    <w:abstractNumId w:val="0"/>
  </w:num>
  <w:num w:numId="5" w16cid:durableId="1887524674">
    <w:abstractNumId w:val="7"/>
  </w:num>
  <w:num w:numId="6" w16cid:durableId="1082990391">
    <w:abstractNumId w:val="1"/>
  </w:num>
  <w:num w:numId="7" w16cid:durableId="1492209491">
    <w:abstractNumId w:val="4"/>
  </w:num>
  <w:num w:numId="8" w16cid:durableId="679089576">
    <w:abstractNumId w:val="6"/>
  </w:num>
  <w:num w:numId="9" w16cid:durableId="1580360366">
    <w:abstractNumId w:val="9"/>
  </w:num>
  <w:num w:numId="10" w16cid:durableId="5878151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716AB"/>
    <w:rsid w:val="00082E4C"/>
    <w:rsid w:val="000849D5"/>
    <w:rsid w:val="0008528F"/>
    <w:rsid w:val="000A537C"/>
    <w:rsid w:val="000A6E0C"/>
    <w:rsid w:val="000A7A56"/>
    <w:rsid w:val="000B1FF7"/>
    <w:rsid w:val="000B2513"/>
    <w:rsid w:val="000B4024"/>
    <w:rsid w:val="000C3C51"/>
    <w:rsid w:val="000C7262"/>
    <w:rsid w:val="000D2A7F"/>
    <w:rsid w:val="000D4FCE"/>
    <w:rsid w:val="00102259"/>
    <w:rsid w:val="0011037E"/>
    <w:rsid w:val="001363C7"/>
    <w:rsid w:val="00141AC5"/>
    <w:rsid w:val="00146B11"/>
    <w:rsid w:val="0014799F"/>
    <w:rsid w:val="00147A04"/>
    <w:rsid w:val="0015476D"/>
    <w:rsid w:val="00161E13"/>
    <w:rsid w:val="00164AE0"/>
    <w:rsid w:val="00165E83"/>
    <w:rsid w:val="00166CD7"/>
    <w:rsid w:val="0017120C"/>
    <w:rsid w:val="00172F3A"/>
    <w:rsid w:val="0019532A"/>
    <w:rsid w:val="0019670E"/>
    <w:rsid w:val="00197205"/>
    <w:rsid w:val="001A5DD4"/>
    <w:rsid w:val="001A67E9"/>
    <w:rsid w:val="001B143B"/>
    <w:rsid w:val="001B21CA"/>
    <w:rsid w:val="001C04FC"/>
    <w:rsid w:val="001C25A3"/>
    <w:rsid w:val="001C5D03"/>
    <w:rsid w:val="001C7771"/>
    <w:rsid w:val="001D62FF"/>
    <w:rsid w:val="001E2C84"/>
    <w:rsid w:val="001E5469"/>
    <w:rsid w:val="001F3F48"/>
    <w:rsid w:val="002000AA"/>
    <w:rsid w:val="00204109"/>
    <w:rsid w:val="00211E6E"/>
    <w:rsid w:val="00212A46"/>
    <w:rsid w:val="0021401D"/>
    <w:rsid w:val="002146B8"/>
    <w:rsid w:val="00215516"/>
    <w:rsid w:val="00233B2C"/>
    <w:rsid w:val="00243D56"/>
    <w:rsid w:val="002527C2"/>
    <w:rsid w:val="00270443"/>
    <w:rsid w:val="00270EE2"/>
    <w:rsid w:val="00272972"/>
    <w:rsid w:val="00286491"/>
    <w:rsid w:val="002A0F8D"/>
    <w:rsid w:val="002A796C"/>
    <w:rsid w:val="002B6E44"/>
    <w:rsid w:val="002B74B1"/>
    <w:rsid w:val="002E1DB5"/>
    <w:rsid w:val="002F6CCB"/>
    <w:rsid w:val="0030461E"/>
    <w:rsid w:val="0032756A"/>
    <w:rsid w:val="00334EF8"/>
    <w:rsid w:val="00336408"/>
    <w:rsid w:val="00340DFB"/>
    <w:rsid w:val="0034404F"/>
    <w:rsid w:val="0035570A"/>
    <w:rsid w:val="00356980"/>
    <w:rsid w:val="00367462"/>
    <w:rsid w:val="00371ECA"/>
    <w:rsid w:val="00372748"/>
    <w:rsid w:val="0037332A"/>
    <w:rsid w:val="0038151A"/>
    <w:rsid w:val="0039082A"/>
    <w:rsid w:val="00390C21"/>
    <w:rsid w:val="003A37BD"/>
    <w:rsid w:val="003B1731"/>
    <w:rsid w:val="003B6D94"/>
    <w:rsid w:val="003C4C96"/>
    <w:rsid w:val="003C55E0"/>
    <w:rsid w:val="003F519B"/>
    <w:rsid w:val="003F644D"/>
    <w:rsid w:val="0040544F"/>
    <w:rsid w:val="00406A19"/>
    <w:rsid w:val="0041222D"/>
    <w:rsid w:val="0041483E"/>
    <w:rsid w:val="00415369"/>
    <w:rsid w:val="00430492"/>
    <w:rsid w:val="0044203C"/>
    <w:rsid w:val="0044333F"/>
    <w:rsid w:val="00450BE7"/>
    <w:rsid w:val="0046741E"/>
    <w:rsid w:val="00472CC6"/>
    <w:rsid w:val="0048026E"/>
    <w:rsid w:val="004807A9"/>
    <w:rsid w:val="004813EE"/>
    <w:rsid w:val="0049174E"/>
    <w:rsid w:val="00493278"/>
    <w:rsid w:val="004943D9"/>
    <w:rsid w:val="004A0E7B"/>
    <w:rsid w:val="004A3498"/>
    <w:rsid w:val="004B0C45"/>
    <w:rsid w:val="004C0AB2"/>
    <w:rsid w:val="004C1619"/>
    <w:rsid w:val="004C1A26"/>
    <w:rsid w:val="004C1CC9"/>
    <w:rsid w:val="004C3755"/>
    <w:rsid w:val="004C4485"/>
    <w:rsid w:val="004D11AF"/>
    <w:rsid w:val="004F72A5"/>
    <w:rsid w:val="00500DFA"/>
    <w:rsid w:val="005019AA"/>
    <w:rsid w:val="005021BB"/>
    <w:rsid w:val="005139E7"/>
    <w:rsid w:val="005147DA"/>
    <w:rsid w:val="00515FB5"/>
    <w:rsid w:val="0052365C"/>
    <w:rsid w:val="005271EB"/>
    <w:rsid w:val="005426DB"/>
    <w:rsid w:val="0055082B"/>
    <w:rsid w:val="00552503"/>
    <w:rsid w:val="00552B57"/>
    <w:rsid w:val="00557DA1"/>
    <w:rsid w:val="0056322C"/>
    <w:rsid w:val="0058743A"/>
    <w:rsid w:val="005A4DB0"/>
    <w:rsid w:val="005A7B8E"/>
    <w:rsid w:val="005A7BCE"/>
    <w:rsid w:val="005B012B"/>
    <w:rsid w:val="005B0C87"/>
    <w:rsid w:val="005D23F6"/>
    <w:rsid w:val="005D2FA8"/>
    <w:rsid w:val="005E2281"/>
    <w:rsid w:val="005E667C"/>
    <w:rsid w:val="005F077C"/>
    <w:rsid w:val="005F63D0"/>
    <w:rsid w:val="005F7973"/>
    <w:rsid w:val="0061690E"/>
    <w:rsid w:val="00627361"/>
    <w:rsid w:val="0063017E"/>
    <w:rsid w:val="00631B28"/>
    <w:rsid w:val="00645B90"/>
    <w:rsid w:val="00650991"/>
    <w:rsid w:val="006511D7"/>
    <w:rsid w:val="00663D75"/>
    <w:rsid w:val="00670AEF"/>
    <w:rsid w:val="00672A77"/>
    <w:rsid w:val="00673B4B"/>
    <w:rsid w:val="00675678"/>
    <w:rsid w:val="00677012"/>
    <w:rsid w:val="006825B4"/>
    <w:rsid w:val="00682AF2"/>
    <w:rsid w:val="006864DF"/>
    <w:rsid w:val="006A3C8A"/>
    <w:rsid w:val="006A7552"/>
    <w:rsid w:val="006B5953"/>
    <w:rsid w:val="006B7A81"/>
    <w:rsid w:val="006C4BAC"/>
    <w:rsid w:val="006C52F3"/>
    <w:rsid w:val="006D03C0"/>
    <w:rsid w:val="006E7F37"/>
    <w:rsid w:val="006F3B81"/>
    <w:rsid w:val="006F4F79"/>
    <w:rsid w:val="00705B37"/>
    <w:rsid w:val="00711FD9"/>
    <w:rsid w:val="007148BA"/>
    <w:rsid w:val="00735062"/>
    <w:rsid w:val="00746BA5"/>
    <w:rsid w:val="00751D23"/>
    <w:rsid w:val="00770577"/>
    <w:rsid w:val="00777666"/>
    <w:rsid w:val="0078159B"/>
    <w:rsid w:val="00782E10"/>
    <w:rsid w:val="0078706B"/>
    <w:rsid w:val="00790836"/>
    <w:rsid w:val="00797131"/>
    <w:rsid w:val="007A3C1D"/>
    <w:rsid w:val="007B285D"/>
    <w:rsid w:val="007B53F9"/>
    <w:rsid w:val="007C6BC6"/>
    <w:rsid w:val="00807D79"/>
    <w:rsid w:val="00813634"/>
    <w:rsid w:val="00822821"/>
    <w:rsid w:val="00831C29"/>
    <w:rsid w:val="008431EF"/>
    <w:rsid w:val="008468E0"/>
    <w:rsid w:val="008526E9"/>
    <w:rsid w:val="00871B59"/>
    <w:rsid w:val="00877D03"/>
    <w:rsid w:val="00877E96"/>
    <w:rsid w:val="008806CA"/>
    <w:rsid w:val="008815E5"/>
    <w:rsid w:val="00887B37"/>
    <w:rsid w:val="008909B9"/>
    <w:rsid w:val="00891DFC"/>
    <w:rsid w:val="008A7FCA"/>
    <w:rsid w:val="008B12B4"/>
    <w:rsid w:val="008B7914"/>
    <w:rsid w:val="008C5D2A"/>
    <w:rsid w:val="008C7AF4"/>
    <w:rsid w:val="008D529F"/>
    <w:rsid w:val="008F3069"/>
    <w:rsid w:val="008F5CC8"/>
    <w:rsid w:val="009061B8"/>
    <w:rsid w:val="0091008B"/>
    <w:rsid w:val="00911EA2"/>
    <w:rsid w:val="00916C7D"/>
    <w:rsid w:val="0092575D"/>
    <w:rsid w:val="009341DA"/>
    <w:rsid w:val="009430F9"/>
    <w:rsid w:val="009442E8"/>
    <w:rsid w:val="00946BD0"/>
    <w:rsid w:val="0095426C"/>
    <w:rsid w:val="00970087"/>
    <w:rsid w:val="00971074"/>
    <w:rsid w:val="00983695"/>
    <w:rsid w:val="00993A6B"/>
    <w:rsid w:val="00995D86"/>
    <w:rsid w:val="009A5453"/>
    <w:rsid w:val="009B4D94"/>
    <w:rsid w:val="009C2871"/>
    <w:rsid w:val="009D3C33"/>
    <w:rsid w:val="009D7F3A"/>
    <w:rsid w:val="009E4885"/>
    <w:rsid w:val="009E5867"/>
    <w:rsid w:val="00A07DB6"/>
    <w:rsid w:val="00A10A73"/>
    <w:rsid w:val="00A10ABC"/>
    <w:rsid w:val="00A170B3"/>
    <w:rsid w:val="00A223D5"/>
    <w:rsid w:val="00A37D1C"/>
    <w:rsid w:val="00A4062B"/>
    <w:rsid w:val="00A5453E"/>
    <w:rsid w:val="00A56F6C"/>
    <w:rsid w:val="00A76C8C"/>
    <w:rsid w:val="00A85F30"/>
    <w:rsid w:val="00A9099E"/>
    <w:rsid w:val="00A91FB7"/>
    <w:rsid w:val="00A9298F"/>
    <w:rsid w:val="00AA0351"/>
    <w:rsid w:val="00AA5F4A"/>
    <w:rsid w:val="00AB1984"/>
    <w:rsid w:val="00AB52B1"/>
    <w:rsid w:val="00AC4CB3"/>
    <w:rsid w:val="00AC780D"/>
    <w:rsid w:val="00AD036B"/>
    <w:rsid w:val="00AD1996"/>
    <w:rsid w:val="00AD4099"/>
    <w:rsid w:val="00AD4901"/>
    <w:rsid w:val="00B02FE0"/>
    <w:rsid w:val="00B03B23"/>
    <w:rsid w:val="00B057B6"/>
    <w:rsid w:val="00B2575B"/>
    <w:rsid w:val="00B30448"/>
    <w:rsid w:val="00B31328"/>
    <w:rsid w:val="00B34786"/>
    <w:rsid w:val="00B400EC"/>
    <w:rsid w:val="00B40162"/>
    <w:rsid w:val="00B41ACE"/>
    <w:rsid w:val="00B50156"/>
    <w:rsid w:val="00B518AD"/>
    <w:rsid w:val="00B60A96"/>
    <w:rsid w:val="00B678EC"/>
    <w:rsid w:val="00B76C94"/>
    <w:rsid w:val="00B772D0"/>
    <w:rsid w:val="00B836EA"/>
    <w:rsid w:val="00B84C05"/>
    <w:rsid w:val="00B91B81"/>
    <w:rsid w:val="00B97135"/>
    <w:rsid w:val="00BB28F9"/>
    <w:rsid w:val="00BB3072"/>
    <w:rsid w:val="00BC7632"/>
    <w:rsid w:val="00BD48A9"/>
    <w:rsid w:val="00BD630F"/>
    <w:rsid w:val="00BD7EC6"/>
    <w:rsid w:val="00BE73FA"/>
    <w:rsid w:val="00BF6B4B"/>
    <w:rsid w:val="00C0511C"/>
    <w:rsid w:val="00C20ACF"/>
    <w:rsid w:val="00C22307"/>
    <w:rsid w:val="00C23469"/>
    <w:rsid w:val="00C30C62"/>
    <w:rsid w:val="00C371DF"/>
    <w:rsid w:val="00C42055"/>
    <w:rsid w:val="00C44B4C"/>
    <w:rsid w:val="00C46734"/>
    <w:rsid w:val="00C47A86"/>
    <w:rsid w:val="00C53220"/>
    <w:rsid w:val="00C547BC"/>
    <w:rsid w:val="00CA3347"/>
    <w:rsid w:val="00CC299A"/>
    <w:rsid w:val="00CD03E3"/>
    <w:rsid w:val="00CE3A5C"/>
    <w:rsid w:val="00CE6BDA"/>
    <w:rsid w:val="00D03DBE"/>
    <w:rsid w:val="00D04400"/>
    <w:rsid w:val="00D072C0"/>
    <w:rsid w:val="00D34C82"/>
    <w:rsid w:val="00D3757A"/>
    <w:rsid w:val="00D47CD4"/>
    <w:rsid w:val="00D504A9"/>
    <w:rsid w:val="00D5206D"/>
    <w:rsid w:val="00D6509F"/>
    <w:rsid w:val="00D7177D"/>
    <w:rsid w:val="00D81311"/>
    <w:rsid w:val="00DB201E"/>
    <w:rsid w:val="00DC0E68"/>
    <w:rsid w:val="00DD25ED"/>
    <w:rsid w:val="00DE0D6E"/>
    <w:rsid w:val="00E1610C"/>
    <w:rsid w:val="00E16D73"/>
    <w:rsid w:val="00E21BDA"/>
    <w:rsid w:val="00E23E9E"/>
    <w:rsid w:val="00E25722"/>
    <w:rsid w:val="00E27F0A"/>
    <w:rsid w:val="00E4231E"/>
    <w:rsid w:val="00E4302C"/>
    <w:rsid w:val="00E44AC7"/>
    <w:rsid w:val="00E45F4B"/>
    <w:rsid w:val="00E60A16"/>
    <w:rsid w:val="00E71CD1"/>
    <w:rsid w:val="00E72D20"/>
    <w:rsid w:val="00E82B6E"/>
    <w:rsid w:val="00E87EA6"/>
    <w:rsid w:val="00E94258"/>
    <w:rsid w:val="00E96875"/>
    <w:rsid w:val="00E96C18"/>
    <w:rsid w:val="00EA2E61"/>
    <w:rsid w:val="00EA7D7F"/>
    <w:rsid w:val="00EB02F4"/>
    <w:rsid w:val="00EB2FA2"/>
    <w:rsid w:val="00EB769A"/>
    <w:rsid w:val="00EC3A35"/>
    <w:rsid w:val="00EE17F2"/>
    <w:rsid w:val="00EE3138"/>
    <w:rsid w:val="00EF2AC7"/>
    <w:rsid w:val="00EF400A"/>
    <w:rsid w:val="00EF6BE4"/>
    <w:rsid w:val="00EF6E5D"/>
    <w:rsid w:val="00F046C6"/>
    <w:rsid w:val="00F07764"/>
    <w:rsid w:val="00F12517"/>
    <w:rsid w:val="00F131DD"/>
    <w:rsid w:val="00F16BA1"/>
    <w:rsid w:val="00F24435"/>
    <w:rsid w:val="00F30C0F"/>
    <w:rsid w:val="00F314E8"/>
    <w:rsid w:val="00F323A2"/>
    <w:rsid w:val="00F33B57"/>
    <w:rsid w:val="00F33D5C"/>
    <w:rsid w:val="00F34E90"/>
    <w:rsid w:val="00F356D6"/>
    <w:rsid w:val="00F53BE2"/>
    <w:rsid w:val="00F55684"/>
    <w:rsid w:val="00F64D5A"/>
    <w:rsid w:val="00F709CD"/>
    <w:rsid w:val="00F906F4"/>
    <w:rsid w:val="00FA0716"/>
    <w:rsid w:val="00FB4629"/>
    <w:rsid w:val="00FB6FB1"/>
    <w:rsid w:val="00FB7063"/>
    <w:rsid w:val="00FC7056"/>
    <w:rsid w:val="00FD4D94"/>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981806491">
      <w:bodyDiv w:val="1"/>
      <w:marLeft w:val="0"/>
      <w:marRight w:val="0"/>
      <w:marTop w:val="0"/>
      <w:marBottom w:val="0"/>
      <w:divBdr>
        <w:top w:val="none" w:sz="0" w:space="0" w:color="auto"/>
        <w:left w:val="none" w:sz="0" w:space="0" w:color="auto"/>
        <w:bottom w:val="none" w:sz="0" w:space="0" w:color="auto"/>
        <w:right w:val="none" w:sz="0" w:space="0" w:color="auto"/>
      </w:divBdr>
    </w:div>
    <w:div w:id="1128862705">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1150-de-2007/" TargetMode="External"/><Relationship Id="rId18" Type="http://schemas.openxmlformats.org/officeDocument/2006/relationships/hyperlink" Target="https://relatoria.colombiacompra.gov.co/providencias/2019_05001-23-33-000-2018-00342-01_62009/"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olombiacompra.gov.co/sala-de-prensa/boletin-digital" TargetMode="External"/><Relationship Id="rId7" Type="http://schemas.openxmlformats.org/officeDocument/2006/relationships/settings" Target="settings.xml"/><Relationship Id="rId12" Type="http://schemas.openxmlformats.org/officeDocument/2006/relationships/hyperlink" Target="https://relatoria.colombiacompra.gov.co/normativa/ley-80-de-1993/" TargetMode="External"/><Relationship Id="rId17" Type="http://schemas.openxmlformats.org/officeDocument/2006/relationships/hyperlink" Target="https://relatoria.colombiacompra.gov.co/providencias/25000-23-26-000-2007-00108-01_42494/"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elatoria.colombiacompra.gov.co/providencias/25000-23-26-000-2003-00874-01_28278/" TargetMode="External"/><Relationship Id="rId20"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latoria.colombiacompra.gov.co/normativa/decreto-1082-de-2015/"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olombiacompra.gov.co/sites/cce_public/files/cce_documents/cce_guia_liquidacion_proceso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codigo-de-comercio-decreto-410-de-1971/" TargetMode="External"/><Relationship Id="rId22"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liquidacion_proceso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4353</Words>
  <Characters>23946</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6</cp:revision>
  <dcterms:created xsi:type="dcterms:W3CDTF">2025-04-24T22:20:00Z</dcterms:created>
  <dcterms:modified xsi:type="dcterms:W3CDTF">2025-04-24T22:29:00Z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