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B0F92" w14:textId="77777777" w:rsidR="00871B59" w:rsidRDefault="00871B59" w:rsidP="00871B59">
      <w:pPr>
        <w:spacing w:after="0" w:line="240" w:lineRule="auto"/>
        <w:rPr>
          <w:rFonts w:ascii="Verdana" w:eastAsia="Geomanist Light" w:hAnsi="Verdana" w:cs="Arial"/>
          <w:color w:val="000000" w:themeColor="text1"/>
          <w:lang w:val="es-MX"/>
        </w:rPr>
      </w:pPr>
    </w:p>
    <w:p w14:paraId="377C77EE" w14:textId="41086F87" w:rsidR="00D16CD0" w:rsidRDefault="00D16CD0" w:rsidP="00D16CD0">
      <w:pPr>
        <w:pStyle w:val="Textoindependiente"/>
        <w:spacing w:before="1"/>
        <w:rPr>
          <w:rFonts w:ascii="Verdana" w:hAnsi="Verdana"/>
        </w:rPr>
      </w:pPr>
    </w:p>
    <w:p w14:paraId="0412FB92" w14:textId="77777777" w:rsidR="00D16CD0" w:rsidRDefault="00D16CD0" w:rsidP="00D16CD0">
      <w:pPr>
        <w:spacing w:after="0" w:line="240" w:lineRule="auto"/>
        <w:jc w:val="both"/>
        <w:rPr>
          <w:rFonts w:ascii="Verdana" w:hAnsi="Verdana" w:cs="Arial"/>
          <w:b/>
          <w:color w:val="000000" w:themeColor="text1"/>
          <w:lang w:val="es-ES_tradnl"/>
        </w:rPr>
      </w:pPr>
      <w:bookmarkStart w:id="0" w:name="_Hlk181166130"/>
      <w:r w:rsidRPr="00F23114">
        <w:rPr>
          <w:rFonts w:ascii="Verdana" w:hAnsi="Verdana" w:cs="Arial"/>
          <w:b/>
          <w:color w:val="000000" w:themeColor="text1"/>
          <w:lang w:val="es-ES_tradnl"/>
        </w:rPr>
        <w:t>LEY DE GARANTÍAS ELECTORALES ‒ Finalidad</w:t>
      </w:r>
    </w:p>
    <w:p w14:paraId="6749D38C" w14:textId="77777777" w:rsidR="00D16CD0" w:rsidRPr="00F23114" w:rsidRDefault="00D16CD0" w:rsidP="00D16CD0">
      <w:pPr>
        <w:spacing w:after="0" w:line="240" w:lineRule="auto"/>
        <w:jc w:val="both"/>
        <w:rPr>
          <w:rFonts w:ascii="Verdana" w:hAnsi="Verdana"/>
          <w:b/>
        </w:rPr>
      </w:pPr>
    </w:p>
    <w:bookmarkEnd w:id="0"/>
    <w:p w14:paraId="164594F4" w14:textId="77777777" w:rsidR="00D16CD0" w:rsidRPr="00F23114" w:rsidRDefault="00D16CD0" w:rsidP="00D16CD0">
      <w:pPr>
        <w:jc w:val="both"/>
        <w:rPr>
          <w:rFonts w:ascii="Verdana" w:eastAsia="Geomanist Light" w:hAnsi="Verdana" w:cs="Arial"/>
          <w:color w:val="000000" w:themeColor="text1"/>
          <w:sz w:val="20"/>
          <w:szCs w:val="20"/>
          <w:lang w:val="es-MX"/>
        </w:rPr>
      </w:pPr>
      <w:r w:rsidRPr="00F23114">
        <w:rPr>
          <w:rFonts w:ascii="Verdana" w:eastAsia="Times New Roman" w:hAnsi="Verdana" w:cs="Arial"/>
          <w:sz w:val="20"/>
          <w:szCs w:val="20"/>
          <w:lang w:val="es-MX" w:eastAsia="es-CO"/>
        </w:rPr>
        <w:t>[…] Para empezar,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0670081F" w14:textId="77777777" w:rsidR="00D16CD0" w:rsidRPr="00F23114" w:rsidRDefault="00D16CD0" w:rsidP="00D16CD0">
      <w:pPr>
        <w:jc w:val="both"/>
        <w:rPr>
          <w:rFonts w:ascii="Verdana" w:hAnsi="Verdana" w:cs="Arial"/>
          <w:b/>
          <w:color w:val="000000" w:themeColor="text1"/>
          <w:lang w:val="es-ES_tradnl"/>
        </w:rPr>
      </w:pPr>
      <w:r w:rsidRPr="00F23114">
        <w:rPr>
          <w:rFonts w:ascii="Verdana" w:hAnsi="Verdana" w:cs="Arial"/>
          <w:b/>
          <w:color w:val="000000" w:themeColor="text1"/>
          <w:lang w:val="es-ES_tradnl"/>
        </w:rPr>
        <w:t>LEY DE GARANTÍAS ELECTORALES ‒ Tipos de restricciones – Sociedades de economía mixta</w:t>
      </w:r>
    </w:p>
    <w:p w14:paraId="12F43893" w14:textId="77777777" w:rsidR="00D16CD0" w:rsidRPr="00F23114" w:rsidRDefault="00D16CD0" w:rsidP="00D16CD0">
      <w:pPr>
        <w:spacing w:after="120" w:line="276" w:lineRule="auto"/>
        <w:jc w:val="both"/>
        <w:rPr>
          <w:rFonts w:ascii="Verdana" w:eastAsia="Times New Roman" w:hAnsi="Verdana" w:cs="Open Sans"/>
          <w:sz w:val="20"/>
          <w:szCs w:val="20"/>
          <w:lang w:eastAsia="es-CO"/>
        </w:rPr>
      </w:pPr>
      <w:r w:rsidRPr="00F23114">
        <w:rPr>
          <w:rFonts w:ascii="Verdana" w:eastAsia="Times New Roman" w:hAnsi="Verdana" w:cs="Open Sans"/>
          <w:sz w:val="20"/>
          <w:szCs w:val="20"/>
          <w:lang w:eastAsia="es-CO"/>
        </w:rPr>
        <w:t xml:space="preserve">El artículo 33 de la Ley 996 de 2205 prohíbe la contratación directa por parte de todos los Entes Estatales durante los cuatro (4) meses anteriores a las elecciones presidenciales y dispone las excepciones a dicha prohibición. Así, su ámbito de prohibición está delimitado por la expresión “queda prohibida la contratación directa” y para los efectos de la Ley de Garantías Electorales y, en particular, para la prohibición o restricción temporal contenida en su artículo 33, “contratación directa” se refiere a cualquier sistema de selección o procedimiento de contratación utilizado por las entidades estatales que no incluya la convocatoria pública en alguna de sus etapas, ni permita la participación de una pluralidad de oferentes. </w:t>
      </w:r>
    </w:p>
    <w:p w14:paraId="3E2B126E" w14:textId="77777777" w:rsidR="00D16CD0" w:rsidRPr="00F23114" w:rsidRDefault="00D16CD0" w:rsidP="00D16CD0">
      <w:pPr>
        <w:spacing w:after="120" w:line="276" w:lineRule="auto"/>
        <w:jc w:val="both"/>
        <w:rPr>
          <w:rFonts w:ascii="Verdana" w:hAnsi="Verdana"/>
          <w:sz w:val="20"/>
          <w:szCs w:val="20"/>
        </w:rPr>
      </w:pPr>
      <w:r w:rsidRPr="00F23114">
        <w:rPr>
          <w:rFonts w:ascii="Verdana" w:eastAsia="Times New Roman" w:hAnsi="Verdana" w:cs="Open Sans"/>
          <w:sz w:val="20"/>
          <w:szCs w:val="20"/>
          <w:lang w:eastAsia="es-CO"/>
        </w:rPr>
        <w:t xml:space="preserve">Por su parte, </w:t>
      </w:r>
      <w:r w:rsidRPr="00F23114">
        <w:rPr>
          <w:rFonts w:ascii="Verdana" w:hAnsi="Verdana"/>
          <w:sz w:val="20"/>
          <w:szCs w:val="20"/>
        </w:rPr>
        <w:t xml:space="preserve">los destinatarios de la prohibición están expresamente señalados como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156ED430" w14:textId="77777777" w:rsidR="00D16CD0" w:rsidRPr="00F23114" w:rsidRDefault="00D16CD0" w:rsidP="00D16CD0">
      <w:pPr>
        <w:spacing w:after="120" w:line="276" w:lineRule="auto"/>
        <w:jc w:val="both"/>
        <w:rPr>
          <w:rFonts w:ascii="Verdana" w:eastAsia="Times New Roman" w:hAnsi="Verdana" w:cs="Arial"/>
          <w:sz w:val="20"/>
          <w:szCs w:val="20"/>
          <w:lang w:val="es-ES"/>
        </w:rPr>
      </w:pPr>
      <w:r w:rsidRPr="00F23114">
        <w:rPr>
          <w:rFonts w:ascii="Verdana" w:eastAsia="Times New Roman" w:hAnsi="Verdana" w:cs="Arial"/>
          <w:sz w:val="20"/>
          <w:szCs w:val="20"/>
          <w:lang w:val="es-ES"/>
        </w:rPr>
        <w:t xml:space="preserve">En consecuencia, las restricciones a la contratación contenidas en la Ley de Garantías Electorales son aplicables a entidades descentralizadas como las sociedades de economía </w:t>
      </w:r>
      <w:r w:rsidRPr="00F23114">
        <w:rPr>
          <w:rFonts w:ascii="Verdana" w:eastAsia="Times New Roman" w:hAnsi="Verdana" w:cs="Arial"/>
          <w:sz w:val="20"/>
          <w:szCs w:val="20"/>
          <w:lang w:val="es-ES"/>
        </w:rPr>
        <w:lastRenderedPageBreak/>
        <w:t>mixta. Por lo tanto, la celebración de cualquier contrato de forma directa, esto es, sin que exista un proceso abierto y competitivo, también se encuentra restringida para este tipo de entidades, sin perjuicio de las excepciones expresamente previstas en el inciso final del artículo 33 de dicha norma.</w:t>
      </w:r>
    </w:p>
    <w:p w14:paraId="206B17F5" w14:textId="77777777" w:rsidR="00D16CD0" w:rsidRPr="00D16CD0" w:rsidRDefault="00D16CD0" w:rsidP="00D16CD0">
      <w:pPr>
        <w:pStyle w:val="Textoindependiente"/>
        <w:spacing w:before="1"/>
        <w:rPr>
          <w:rFonts w:ascii="Verdana" w:hAnsi="Verdana"/>
          <w:lang w:val="es-ES"/>
        </w:rPr>
      </w:pPr>
    </w:p>
    <w:p w14:paraId="532CFDE8" w14:textId="03FBFE64" w:rsidR="00D16CD0" w:rsidRDefault="00D16CD0" w:rsidP="00D16CD0">
      <w:pPr>
        <w:pStyle w:val="Textoindependiente"/>
        <w:spacing w:before="1"/>
        <w:rPr>
          <w:rFonts w:ascii="Verdana" w:hAnsi="Verdana"/>
        </w:rPr>
      </w:pPr>
    </w:p>
    <w:p w14:paraId="55383E92" w14:textId="77777777" w:rsidR="00D16CD0" w:rsidRDefault="00D16CD0" w:rsidP="00D16CD0">
      <w:pPr>
        <w:pStyle w:val="Textoindependiente"/>
        <w:spacing w:before="1"/>
        <w:rPr>
          <w:rFonts w:ascii="Verdana" w:hAnsi="Verdana"/>
        </w:rPr>
      </w:pPr>
    </w:p>
    <w:p w14:paraId="50764A1D" w14:textId="77777777" w:rsidR="00D16CD0" w:rsidRDefault="00D16CD0" w:rsidP="00D16CD0">
      <w:pPr>
        <w:pStyle w:val="Textoindependiente"/>
        <w:spacing w:before="1"/>
        <w:rPr>
          <w:rFonts w:ascii="Verdana" w:hAnsi="Verdana"/>
        </w:rPr>
      </w:pPr>
    </w:p>
    <w:p w14:paraId="3708E45F" w14:textId="77777777" w:rsidR="00D16CD0" w:rsidRDefault="00D16CD0" w:rsidP="00D16CD0">
      <w:pPr>
        <w:pStyle w:val="Textoindependiente"/>
        <w:spacing w:before="1"/>
        <w:rPr>
          <w:rFonts w:ascii="Verdana" w:hAnsi="Verdana"/>
        </w:rPr>
      </w:pPr>
    </w:p>
    <w:p w14:paraId="5CD7811B" w14:textId="3E6D8D5B" w:rsidR="00D16CD0" w:rsidRDefault="00D16CD0" w:rsidP="00D16CD0">
      <w:pPr>
        <w:pStyle w:val="Textoindependiente"/>
        <w:spacing w:before="1"/>
        <w:rPr>
          <w:rFonts w:ascii="Verdana" w:hAnsi="Verdana"/>
        </w:rPr>
      </w:pPr>
    </w:p>
    <w:p w14:paraId="32841749" w14:textId="77777777" w:rsidR="00D16CD0" w:rsidRDefault="00D16CD0" w:rsidP="00D16CD0">
      <w:pPr>
        <w:pStyle w:val="Textoindependiente"/>
        <w:spacing w:before="1"/>
        <w:rPr>
          <w:rFonts w:ascii="Verdana" w:hAnsi="Verdana"/>
        </w:rPr>
      </w:pPr>
    </w:p>
    <w:p w14:paraId="5146D949" w14:textId="2890CF3D" w:rsidR="00D16CD0" w:rsidRDefault="00D16CD0" w:rsidP="00D16CD0">
      <w:pPr>
        <w:pStyle w:val="Textoindependiente"/>
        <w:spacing w:before="1"/>
        <w:rPr>
          <w:rFonts w:ascii="Verdana" w:hAnsi="Verdana"/>
        </w:rPr>
      </w:pPr>
    </w:p>
    <w:p w14:paraId="003FE1B8" w14:textId="77777777" w:rsidR="00D16CD0" w:rsidRDefault="00D16CD0" w:rsidP="00D16CD0">
      <w:pPr>
        <w:pStyle w:val="Textoindependiente"/>
        <w:spacing w:before="1"/>
        <w:rPr>
          <w:rFonts w:ascii="Verdana" w:hAnsi="Verdana"/>
        </w:rPr>
      </w:pPr>
    </w:p>
    <w:p w14:paraId="2D5D72B9" w14:textId="77777777" w:rsidR="00D16CD0" w:rsidRDefault="00D16CD0" w:rsidP="00D16CD0">
      <w:pPr>
        <w:pStyle w:val="Textoindependiente"/>
        <w:spacing w:before="1"/>
        <w:rPr>
          <w:rFonts w:ascii="Verdana" w:hAnsi="Verdana"/>
        </w:rPr>
      </w:pPr>
    </w:p>
    <w:p w14:paraId="25B9A2F8" w14:textId="64C0AFF1" w:rsidR="00D16CD0" w:rsidRDefault="00D16CD0" w:rsidP="00D16CD0">
      <w:pPr>
        <w:pStyle w:val="Textoindependiente"/>
        <w:spacing w:before="1"/>
        <w:rPr>
          <w:rFonts w:ascii="Verdana" w:hAnsi="Verdana"/>
        </w:rPr>
      </w:pPr>
    </w:p>
    <w:p w14:paraId="6D81E109" w14:textId="77777777" w:rsidR="00D16CD0" w:rsidRDefault="00D16CD0" w:rsidP="00D16CD0">
      <w:pPr>
        <w:pStyle w:val="Textoindependiente"/>
        <w:spacing w:before="1"/>
        <w:rPr>
          <w:rFonts w:ascii="Verdana" w:hAnsi="Verdana"/>
        </w:rPr>
      </w:pPr>
    </w:p>
    <w:p w14:paraId="4A889566" w14:textId="3B9642D3" w:rsidR="00D16CD0" w:rsidRDefault="00D16CD0" w:rsidP="00D16CD0">
      <w:pPr>
        <w:pStyle w:val="Textoindependiente"/>
        <w:spacing w:before="1"/>
        <w:rPr>
          <w:rFonts w:ascii="Verdana" w:hAnsi="Verdana"/>
        </w:rPr>
      </w:pPr>
    </w:p>
    <w:p w14:paraId="26A625E4" w14:textId="77777777" w:rsidR="00D16CD0" w:rsidRDefault="00D16CD0" w:rsidP="00D16CD0">
      <w:pPr>
        <w:pStyle w:val="Textoindependiente"/>
        <w:spacing w:before="1"/>
        <w:rPr>
          <w:rFonts w:ascii="Verdana" w:hAnsi="Verdana"/>
        </w:rPr>
      </w:pPr>
    </w:p>
    <w:p w14:paraId="127A3417" w14:textId="4150588B" w:rsidR="00D16CD0" w:rsidRDefault="00D16CD0" w:rsidP="00D16CD0">
      <w:pPr>
        <w:pStyle w:val="Textoindependiente"/>
        <w:spacing w:before="1"/>
        <w:rPr>
          <w:rFonts w:ascii="Verdana" w:hAnsi="Verdana"/>
        </w:rPr>
      </w:pPr>
    </w:p>
    <w:p w14:paraId="5C3AFDE9" w14:textId="26CBFDAD" w:rsidR="00D16CD0" w:rsidRDefault="00D16CD0" w:rsidP="00D16CD0">
      <w:pPr>
        <w:pStyle w:val="Textoindependiente"/>
        <w:spacing w:before="1"/>
        <w:rPr>
          <w:rFonts w:ascii="Verdana" w:hAnsi="Verdana"/>
        </w:rPr>
      </w:pPr>
    </w:p>
    <w:p w14:paraId="4FD5DB40" w14:textId="4E229642" w:rsidR="00D16CD0" w:rsidRDefault="00D16CD0" w:rsidP="00D16CD0">
      <w:pPr>
        <w:pStyle w:val="Textoindependiente"/>
        <w:spacing w:before="1"/>
        <w:rPr>
          <w:rFonts w:ascii="Verdana" w:hAnsi="Verdana"/>
        </w:rPr>
      </w:pPr>
    </w:p>
    <w:p w14:paraId="3BD4D834" w14:textId="16236B88" w:rsidR="00D16CD0" w:rsidRDefault="00D16CD0" w:rsidP="00D16CD0">
      <w:pPr>
        <w:pStyle w:val="Textoindependiente"/>
        <w:spacing w:before="1"/>
        <w:rPr>
          <w:rFonts w:ascii="Verdana" w:hAnsi="Verdana"/>
        </w:rPr>
      </w:pPr>
    </w:p>
    <w:p w14:paraId="4620546B" w14:textId="05D1F640" w:rsidR="00D16CD0" w:rsidRDefault="00D16CD0" w:rsidP="00D16CD0">
      <w:pPr>
        <w:pStyle w:val="Textoindependiente"/>
        <w:spacing w:before="1"/>
        <w:rPr>
          <w:rFonts w:ascii="Verdana" w:hAnsi="Verdana"/>
        </w:rPr>
      </w:pPr>
    </w:p>
    <w:p w14:paraId="575328E4" w14:textId="7E8672E6" w:rsidR="00D16CD0" w:rsidRDefault="00D16CD0" w:rsidP="00D16CD0">
      <w:pPr>
        <w:pStyle w:val="Textoindependiente"/>
        <w:spacing w:before="1"/>
        <w:rPr>
          <w:rFonts w:ascii="Verdana" w:hAnsi="Verdana"/>
        </w:rPr>
      </w:pPr>
    </w:p>
    <w:p w14:paraId="45E6E84A" w14:textId="77777777" w:rsidR="00D16CD0" w:rsidRDefault="00D16CD0" w:rsidP="00D16CD0">
      <w:pPr>
        <w:pStyle w:val="Textoindependiente"/>
        <w:spacing w:before="1"/>
        <w:rPr>
          <w:rFonts w:ascii="Verdana" w:hAnsi="Verdana"/>
        </w:rPr>
      </w:pPr>
    </w:p>
    <w:p w14:paraId="731D6DBD" w14:textId="1CC3A53B" w:rsidR="00D16CD0" w:rsidRDefault="00D16CD0" w:rsidP="00D16CD0">
      <w:pPr>
        <w:pStyle w:val="Textoindependiente"/>
        <w:spacing w:before="1"/>
        <w:rPr>
          <w:rFonts w:ascii="Verdana" w:hAnsi="Verdana"/>
        </w:rPr>
      </w:pPr>
    </w:p>
    <w:p w14:paraId="0A018E42" w14:textId="77777777" w:rsidR="00D16CD0" w:rsidRDefault="00D16CD0" w:rsidP="00D16CD0">
      <w:pPr>
        <w:pStyle w:val="Textoindependiente"/>
        <w:spacing w:before="1"/>
        <w:rPr>
          <w:rFonts w:ascii="Verdana" w:hAnsi="Verdana"/>
        </w:rPr>
      </w:pPr>
    </w:p>
    <w:p w14:paraId="42D0CA06" w14:textId="3FD045FC" w:rsidR="00D16CD0" w:rsidRDefault="00D16CD0" w:rsidP="00D16CD0">
      <w:pPr>
        <w:pStyle w:val="Textoindependiente"/>
        <w:spacing w:before="1"/>
        <w:rPr>
          <w:rFonts w:ascii="Verdana" w:hAnsi="Verdana"/>
        </w:rPr>
      </w:pPr>
    </w:p>
    <w:p w14:paraId="56121EA6" w14:textId="67E1056A" w:rsidR="00D16CD0" w:rsidRPr="00D16CD0" w:rsidRDefault="00D16CD0" w:rsidP="00D16CD0">
      <w:pPr>
        <w:pStyle w:val="Textoindependiente"/>
        <w:spacing w:before="1"/>
        <w:rPr>
          <w:rFonts w:ascii="Verdana" w:hAnsi="Verdana"/>
        </w:rPr>
      </w:pPr>
      <w:r w:rsidRPr="00D16CD0">
        <w:rPr>
          <w:rFonts w:ascii="Verdana" w:hAnsi="Verdana"/>
          <w:noProof/>
        </w:rPr>
        <w:drawing>
          <wp:anchor distT="0" distB="0" distL="0" distR="0" simplePos="0" relativeHeight="251659264" behindDoc="0" locked="0" layoutInCell="1" allowOverlap="1" wp14:anchorId="102EA2EB" wp14:editId="232F874A">
            <wp:simplePos x="0" y="0"/>
            <wp:positionH relativeFrom="page">
              <wp:posOffset>4312516</wp:posOffset>
            </wp:positionH>
            <wp:positionV relativeFrom="paragraph">
              <wp:posOffset>159096</wp:posOffset>
            </wp:positionV>
            <wp:extent cx="2400300" cy="61595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2400300" cy="615950"/>
                    </a:xfrm>
                    <a:prstGeom prst="rect">
                      <a:avLst/>
                    </a:prstGeom>
                  </pic:spPr>
                </pic:pic>
              </a:graphicData>
            </a:graphic>
          </wp:anchor>
        </w:drawing>
      </w:r>
      <w:r w:rsidRPr="00D16CD0">
        <w:rPr>
          <w:rFonts w:ascii="Verdana" w:hAnsi="Verdana"/>
        </w:rPr>
        <w:t>Bogotá</w:t>
      </w:r>
      <w:r w:rsidRPr="00D16CD0">
        <w:rPr>
          <w:rFonts w:ascii="Verdana" w:hAnsi="Verdana"/>
          <w:spacing w:val="-6"/>
        </w:rPr>
        <w:t xml:space="preserve"> </w:t>
      </w:r>
      <w:r w:rsidRPr="00D16CD0">
        <w:rPr>
          <w:rFonts w:ascii="Verdana" w:hAnsi="Verdana"/>
        </w:rPr>
        <w:t>D.C.,</w:t>
      </w:r>
      <w:r w:rsidRPr="00D16CD0">
        <w:rPr>
          <w:rFonts w:ascii="Verdana" w:hAnsi="Verdana"/>
          <w:spacing w:val="-4"/>
        </w:rPr>
        <w:t xml:space="preserve"> </w:t>
      </w:r>
      <w:r w:rsidRPr="00D16CD0">
        <w:rPr>
          <w:rFonts w:ascii="Verdana" w:hAnsi="Verdana"/>
        </w:rPr>
        <w:t>14</w:t>
      </w:r>
      <w:r w:rsidRPr="00D16CD0">
        <w:rPr>
          <w:rFonts w:ascii="Verdana" w:hAnsi="Verdana"/>
          <w:spacing w:val="-2"/>
        </w:rPr>
        <w:t xml:space="preserve"> </w:t>
      </w:r>
      <w:r w:rsidRPr="00D16CD0">
        <w:rPr>
          <w:rFonts w:ascii="Verdana" w:hAnsi="Verdana"/>
        </w:rPr>
        <w:t>Abril</w:t>
      </w:r>
      <w:r w:rsidRPr="00D16CD0">
        <w:rPr>
          <w:rFonts w:ascii="Verdana" w:hAnsi="Verdana"/>
          <w:spacing w:val="-3"/>
        </w:rPr>
        <w:t xml:space="preserve"> </w:t>
      </w:r>
      <w:r w:rsidRPr="00D16CD0">
        <w:rPr>
          <w:rFonts w:ascii="Verdana" w:hAnsi="Verdana"/>
          <w:spacing w:val="-4"/>
        </w:rPr>
        <w:t>2026</w:t>
      </w:r>
    </w:p>
    <w:p w14:paraId="72911EE4" w14:textId="6048C32F" w:rsidR="00871B59" w:rsidRPr="00D16CD0" w:rsidRDefault="00871B59" w:rsidP="00871B59">
      <w:pPr>
        <w:spacing w:after="0" w:line="240" w:lineRule="auto"/>
        <w:rPr>
          <w:rFonts w:ascii="Verdana" w:eastAsia="Geomanist Light" w:hAnsi="Verdana" w:cs="Arial"/>
          <w:color w:val="000000" w:themeColor="text1"/>
        </w:rPr>
      </w:pPr>
    </w:p>
    <w:p w14:paraId="5CEEDA1A" w14:textId="6BBE204E" w:rsidR="00871B59" w:rsidRDefault="00871B59" w:rsidP="001B0E81">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401162E7" w14:textId="32263179" w:rsidR="001B0E81" w:rsidRPr="001B0E81" w:rsidRDefault="001B0E81" w:rsidP="00871B59">
      <w:pPr>
        <w:spacing w:after="0" w:line="240" w:lineRule="auto"/>
        <w:rPr>
          <w:rFonts w:ascii="Verdana" w:eastAsia="Calibri" w:hAnsi="Verdana" w:cs="Arial"/>
          <w:b/>
          <w:bCs/>
          <w:lang w:val="es-ES" w:eastAsia="es-ES"/>
        </w:rPr>
      </w:pPr>
      <w:proofErr w:type="spellStart"/>
      <w:r w:rsidRPr="001B0E81">
        <w:rPr>
          <w:rFonts w:ascii="Verdana" w:eastAsia="Calibri" w:hAnsi="Verdana" w:cs="Arial"/>
          <w:b/>
          <w:bCs/>
          <w:lang w:val="es-ES" w:eastAsia="es-ES"/>
        </w:rPr>
        <w:t>Jhon</w:t>
      </w:r>
      <w:proofErr w:type="spellEnd"/>
      <w:r w:rsidRPr="001B0E81">
        <w:rPr>
          <w:rFonts w:ascii="Verdana" w:eastAsia="Calibri" w:hAnsi="Verdana" w:cs="Arial"/>
          <w:b/>
          <w:bCs/>
          <w:lang w:val="es-ES" w:eastAsia="es-ES"/>
        </w:rPr>
        <w:t xml:space="preserve"> Jairo González Rivera</w:t>
      </w:r>
    </w:p>
    <w:p w14:paraId="7BED390F" w14:textId="6D8D7602" w:rsidR="001B0E81" w:rsidRDefault="000D343B" w:rsidP="00871B59">
      <w:pPr>
        <w:spacing w:after="0" w:line="240" w:lineRule="auto"/>
        <w:rPr>
          <w:rFonts w:ascii="Verdana" w:eastAsia="Calibri" w:hAnsi="Verdana" w:cs="Arial"/>
          <w:lang w:val="es-ES" w:eastAsia="es-ES"/>
        </w:rPr>
      </w:pPr>
      <w:hyperlink r:id="rId12" w:history="1">
        <w:r w:rsidR="001B0E81" w:rsidRPr="006F40A2">
          <w:rPr>
            <w:rStyle w:val="Hipervnculo"/>
            <w:rFonts w:ascii="Verdana" w:eastAsia="Calibri" w:hAnsi="Verdana" w:cs="Arial"/>
            <w:lang w:val="es-ES" w:eastAsia="es-ES"/>
          </w:rPr>
          <w:t>jhon.gonzalez@contraloria.gov.co</w:t>
        </w:r>
      </w:hyperlink>
    </w:p>
    <w:p w14:paraId="62108308" w14:textId="74303AAA" w:rsidR="00871B59" w:rsidRPr="00B96799" w:rsidRDefault="001B0E81" w:rsidP="00871B59">
      <w:pPr>
        <w:spacing w:after="0" w:line="240" w:lineRule="auto"/>
        <w:rPr>
          <w:rFonts w:ascii="Verdana" w:eastAsia="Calibri" w:hAnsi="Verdana" w:cs="Arial"/>
          <w:b/>
          <w:bCs/>
          <w:lang w:val="es-ES" w:eastAsia="es-ES"/>
        </w:rPr>
      </w:pPr>
      <w:r>
        <w:rPr>
          <w:rFonts w:ascii="Verdana" w:eastAsia="Calibri" w:hAnsi="Verdana" w:cs="Arial"/>
          <w:lang w:val="es-ES" w:eastAsia="es-ES"/>
        </w:rPr>
        <w:t>Bogotá, D.C</w:t>
      </w:r>
    </w:p>
    <w:p w14:paraId="2E7FC5EA" w14:textId="77777777" w:rsidR="00871B59" w:rsidRPr="00593A5F" w:rsidRDefault="00871B59" w:rsidP="00871B59">
      <w:pPr>
        <w:spacing w:after="0" w:line="240" w:lineRule="auto"/>
        <w:rPr>
          <w:rFonts w:ascii="Verdana" w:eastAsia="Calibri" w:hAnsi="Verdana" w:cs="Arial"/>
          <w:b/>
          <w:bCs/>
          <w:color w:val="000000"/>
          <w:lang w:val="es-ES_tradnl" w:eastAsia="es-ES_tradnl"/>
        </w:rPr>
      </w:pPr>
    </w:p>
    <w:p w14:paraId="76D86D15" w14:textId="77777777" w:rsidR="00871B59" w:rsidRPr="00593A5F" w:rsidRDefault="00871B59" w:rsidP="00871B5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593A5F" w14:paraId="7F4D56C3" w14:textId="77777777" w:rsidTr="002607A7">
        <w:trPr>
          <w:trHeight w:val="884"/>
        </w:trPr>
        <w:tc>
          <w:tcPr>
            <w:tcW w:w="2689" w:type="dxa"/>
          </w:tcPr>
          <w:p w14:paraId="67DDBEFB" w14:textId="77777777" w:rsidR="00871B59" w:rsidRPr="00C00976" w:rsidRDefault="00871B59" w:rsidP="002607A7">
            <w:pPr>
              <w:jc w:val="both"/>
              <w:rPr>
                <w:rFonts w:ascii="Verdana" w:eastAsia="Calibri" w:hAnsi="Verdana" w:cs="Arial"/>
                <w:b/>
                <w:bCs/>
                <w:color w:val="7030A0"/>
                <w:lang w:val="es-ES_tradnl" w:eastAsia="es-ES_tradnl"/>
              </w:rPr>
            </w:pPr>
          </w:p>
        </w:tc>
        <w:tc>
          <w:tcPr>
            <w:tcW w:w="6100" w:type="dxa"/>
          </w:tcPr>
          <w:p w14:paraId="40F482DE" w14:textId="3C69501F" w:rsidR="00871B59" w:rsidRPr="00C00976" w:rsidRDefault="00871B59" w:rsidP="002607A7">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Concepto C-</w:t>
            </w:r>
            <w:r w:rsidR="001B0E81">
              <w:rPr>
                <w:rFonts w:ascii="Verdana" w:eastAsia="Calibri" w:hAnsi="Verdana" w:cs="Arial"/>
                <w:b/>
                <w:bCs/>
                <w:lang w:val="es-ES" w:eastAsia="es-ES"/>
              </w:rPr>
              <w:t>331</w:t>
            </w:r>
            <w:r w:rsidRPr="00C00976">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sidR="001B0E81">
              <w:rPr>
                <w:rFonts w:ascii="Verdana" w:eastAsia="Calibri" w:hAnsi="Verdana" w:cs="Arial"/>
                <w:b/>
                <w:bCs/>
                <w:lang w:val="es-ES" w:eastAsia="es-ES"/>
              </w:rPr>
              <w:t xml:space="preserve"> 2026</w:t>
            </w:r>
          </w:p>
        </w:tc>
      </w:tr>
      <w:tr w:rsidR="001B0E81" w:rsidRPr="00593A5F" w14:paraId="0906E828" w14:textId="77777777" w:rsidTr="002607A7">
        <w:trPr>
          <w:trHeight w:val="884"/>
        </w:trPr>
        <w:tc>
          <w:tcPr>
            <w:tcW w:w="2689" w:type="dxa"/>
          </w:tcPr>
          <w:p w14:paraId="5506680E" w14:textId="77777777" w:rsidR="001B0E81" w:rsidRPr="001B0E81" w:rsidRDefault="001B0E81" w:rsidP="001B0E81">
            <w:pPr>
              <w:jc w:val="both"/>
              <w:rPr>
                <w:rFonts w:ascii="Verdana" w:eastAsia="Calibri" w:hAnsi="Verdana" w:cs="Arial"/>
                <w:color w:val="000000" w:themeColor="text1"/>
                <w:lang w:val="es-ES_tradnl" w:eastAsia="es-ES_tradnl"/>
              </w:rPr>
            </w:pPr>
            <w:r w:rsidRPr="001B0E81">
              <w:rPr>
                <w:rFonts w:ascii="Verdana" w:eastAsia="Calibri" w:hAnsi="Verdana" w:cs="Arial"/>
                <w:b/>
                <w:color w:val="000000" w:themeColor="text1"/>
                <w:lang w:val="es-ES_tradnl" w:eastAsia="es-ES_tradnl"/>
              </w:rPr>
              <w:t>Temas:</w:t>
            </w:r>
            <w:r w:rsidRPr="001B0E81">
              <w:rPr>
                <w:rFonts w:ascii="Verdana" w:eastAsia="Calibri" w:hAnsi="Verdana" w:cs="Arial"/>
                <w:color w:val="000000" w:themeColor="text1"/>
                <w:lang w:val="es-ES_tradnl" w:eastAsia="es-ES_tradnl"/>
              </w:rPr>
              <w:t xml:space="preserve">                   </w:t>
            </w:r>
          </w:p>
        </w:tc>
        <w:tc>
          <w:tcPr>
            <w:tcW w:w="6100" w:type="dxa"/>
          </w:tcPr>
          <w:p w14:paraId="6C9E5B50" w14:textId="77777777" w:rsidR="001B0E81" w:rsidRPr="001B0E81" w:rsidRDefault="001B0E81" w:rsidP="001B0E81">
            <w:pPr>
              <w:jc w:val="both"/>
              <w:rPr>
                <w:rFonts w:ascii="Verdana" w:hAnsi="Verdana" w:cs="Arial"/>
                <w:bCs/>
                <w:color w:val="000000" w:themeColor="text1"/>
                <w:lang w:val="es-ES_tradnl"/>
              </w:rPr>
            </w:pPr>
            <w:r w:rsidRPr="001B0E81">
              <w:rPr>
                <w:rFonts w:ascii="Verdana" w:hAnsi="Verdana" w:cs="Arial"/>
                <w:bCs/>
                <w:color w:val="000000" w:themeColor="text1"/>
                <w:lang w:val="es-ES_tradnl"/>
              </w:rPr>
              <w:t>LEY DE GARANTÍAS ELECTORALES ‒ Finalidad / LEY DE GARANTÍAS ELECTORALES ‒ Tipos de restricciones – Sociedades de economía mixta</w:t>
            </w:r>
          </w:p>
          <w:p w14:paraId="3F004940" w14:textId="77777777" w:rsidR="001B0E81" w:rsidRPr="001B0E81" w:rsidRDefault="001B0E81" w:rsidP="001B0E81">
            <w:pPr>
              <w:spacing w:line="276" w:lineRule="auto"/>
              <w:jc w:val="both"/>
              <w:rPr>
                <w:rFonts w:ascii="Verdana" w:eastAsia="Calibri" w:hAnsi="Verdana" w:cs="Arial"/>
                <w:color w:val="000000" w:themeColor="text1"/>
                <w:lang w:val="es-ES" w:eastAsia="es-ES"/>
              </w:rPr>
            </w:pPr>
          </w:p>
        </w:tc>
      </w:tr>
      <w:tr w:rsidR="001B0E81" w:rsidRPr="00593A5F" w14:paraId="7714BC55" w14:textId="77777777" w:rsidTr="002607A7">
        <w:tc>
          <w:tcPr>
            <w:tcW w:w="2689" w:type="dxa"/>
          </w:tcPr>
          <w:p w14:paraId="6904FA14" w14:textId="77777777" w:rsidR="001B0E81" w:rsidRPr="001B0E81" w:rsidRDefault="001B0E81" w:rsidP="001B0E81">
            <w:pPr>
              <w:jc w:val="both"/>
              <w:rPr>
                <w:rFonts w:ascii="Verdana" w:eastAsia="Calibri" w:hAnsi="Verdana" w:cs="Arial"/>
                <w:b/>
                <w:color w:val="000000" w:themeColor="text1"/>
                <w:lang w:val="es-ES_tradnl" w:eastAsia="es-ES_tradnl"/>
              </w:rPr>
            </w:pPr>
            <w:r w:rsidRPr="001B0E81">
              <w:rPr>
                <w:rFonts w:ascii="Verdana" w:eastAsia="Calibri" w:hAnsi="Verdana" w:cs="Arial"/>
                <w:b/>
                <w:color w:val="000000" w:themeColor="text1"/>
                <w:lang w:val="es-ES_tradnl" w:eastAsia="es-ES_tradnl"/>
              </w:rPr>
              <w:t xml:space="preserve">Radicación:               </w:t>
            </w:r>
          </w:p>
        </w:tc>
        <w:tc>
          <w:tcPr>
            <w:tcW w:w="6100" w:type="dxa"/>
          </w:tcPr>
          <w:p w14:paraId="7EFAD044" w14:textId="7EEEE744" w:rsidR="001B0E81" w:rsidRPr="001B0E81" w:rsidRDefault="001B0E81" w:rsidP="001B0E81">
            <w:pPr>
              <w:jc w:val="both"/>
              <w:rPr>
                <w:rFonts w:ascii="Verdana" w:eastAsia="Calibri" w:hAnsi="Verdana" w:cs="Arial"/>
                <w:bCs/>
                <w:color w:val="000000" w:themeColor="text1"/>
                <w:lang w:val="es-ES_tradnl" w:eastAsia="es-ES_tradnl"/>
              </w:rPr>
            </w:pPr>
            <w:r w:rsidRPr="001B0E81">
              <w:rPr>
                <w:rFonts w:ascii="Verdana" w:eastAsia="Calibri" w:hAnsi="Verdana" w:cs="Arial"/>
                <w:bCs/>
                <w:color w:val="000000" w:themeColor="text1"/>
                <w:lang w:val="es-ES_tradnl" w:eastAsia="es-ES_tradnl"/>
              </w:rPr>
              <w:t xml:space="preserve">Respuesta a consulta con radicado No. </w:t>
            </w:r>
            <w:r w:rsidRPr="001B0E81">
              <w:rPr>
                <w:rFonts w:ascii="Verdana" w:hAnsi="Verdana" w:cs="Segoe UI"/>
                <w:bCs/>
                <w:color w:val="000000" w:themeColor="text1"/>
                <w:shd w:val="clear" w:color="auto" w:fill="FFFFFF"/>
              </w:rPr>
              <w:t>1_2026_03_03_002903</w:t>
            </w:r>
          </w:p>
        </w:tc>
      </w:tr>
    </w:tbl>
    <w:p w14:paraId="7189FDD7"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55DC0FC6"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765603B5" w14:textId="110EAA8C" w:rsidR="00871B59" w:rsidRPr="001B0E81" w:rsidRDefault="00871B59" w:rsidP="00871B59">
      <w:pPr>
        <w:spacing w:after="0" w:line="276" w:lineRule="auto"/>
        <w:jc w:val="both"/>
        <w:rPr>
          <w:rFonts w:ascii="Verdana" w:eastAsia="Calibri" w:hAnsi="Verdana" w:cs="Arial"/>
          <w:color w:val="000000" w:themeColor="text1"/>
          <w:lang w:val="es-ES" w:eastAsia="es-ES"/>
        </w:rPr>
      </w:pPr>
      <w:r w:rsidRPr="001B0E81">
        <w:rPr>
          <w:rFonts w:ascii="Verdana" w:eastAsia="Calibri" w:hAnsi="Verdana" w:cs="Arial"/>
          <w:color w:val="000000" w:themeColor="text1"/>
          <w:lang w:val="es-ES" w:eastAsia="es-ES"/>
        </w:rPr>
        <w:t>Estimado señor</w:t>
      </w:r>
      <w:r w:rsidR="001B0E81" w:rsidRPr="001B0E81">
        <w:rPr>
          <w:rFonts w:ascii="Verdana" w:eastAsia="Calibri" w:hAnsi="Verdana" w:cs="Arial"/>
          <w:color w:val="000000" w:themeColor="text1"/>
          <w:lang w:val="es-ES" w:eastAsia="es-ES"/>
        </w:rPr>
        <w:t xml:space="preserve"> Gon</w:t>
      </w:r>
      <w:r w:rsidR="001B0E81">
        <w:rPr>
          <w:rFonts w:ascii="Verdana" w:eastAsia="Calibri" w:hAnsi="Verdana" w:cs="Arial"/>
          <w:color w:val="000000" w:themeColor="text1"/>
          <w:lang w:val="es-ES" w:eastAsia="es-ES"/>
        </w:rPr>
        <w:t>zá</w:t>
      </w:r>
      <w:r w:rsidR="001B0E81" w:rsidRPr="001B0E81">
        <w:rPr>
          <w:rFonts w:ascii="Verdana" w:eastAsia="Calibri" w:hAnsi="Verdana" w:cs="Arial"/>
          <w:color w:val="000000" w:themeColor="text1"/>
          <w:lang w:val="es-ES" w:eastAsia="es-ES"/>
        </w:rPr>
        <w:t>les:</w:t>
      </w:r>
    </w:p>
    <w:p w14:paraId="5CD91C5B" w14:textId="77777777" w:rsidR="00871B59" w:rsidRDefault="00871B59" w:rsidP="00871B5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021B497" w14:textId="45750251" w:rsidR="00871B59" w:rsidRPr="00593A5F" w:rsidRDefault="00871B59" w:rsidP="00871B59">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w:t>
      </w:r>
      <w:r w:rsidRPr="001B0E81">
        <w:rPr>
          <w:rFonts w:ascii="Verdana" w:eastAsia="Calibri" w:hAnsi="Verdana" w:cs="Arial"/>
          <w:color w:val="000000" w:themeColor="text1"/>
          <w:lang w:val="es-ES" w:eastAsia="es-ES"/>
        </w:rPr>
        <w:t xml:space="preserve">consulta de fecha </w:t>
      </w:r>
      <w:r w:rsidR="001B0E81" w:rsidRPr="001B0E81">
        <w:rPr>
          <w:rFonts w:ascii="Verdana" w:eastAsia="Calibri" w:hAnsi="Verdana" w:cs="Arial"/>
          <w:color w:val="000000" w:themeColor="text1"/>
          <w:lang w:val="es-ES" w:eastAsia="es-ES"/>
        </w:rPr>
        <w:t>03</w:t>
      </w:r>
      <w:r w:rsidRPr="001B0E81">
        <w:rPr>
          <w:rFonts w:ascii="Verdana" w:eastAsia="Calibri" w:hAnsi="Verdana" w:cs="Arial"/>
          <w:color w:val="000000" w:themeColor="text1"/>
          <w:lang w:val="es-ES" w:eastAsia="es-ES"/>
        </w:rPr>
        <w:t xml:space="preserve"> de </w:t>
      </w:r>
      <w:r w:rsidR="001B0E81" w:rsidRPr="001B0E81">
        <w:rPr>
          <w:rFonts w:ascii="Verdana" w:eastAsia="Calibri" w:hAnsi="Verdana" w:cs="Arial"/>
          <w:color w:val="000000" w:themeColor="text1"/>
          <w:lang w:val="es-ES" w:eastAsia="es-ES"/>
        </w:rPr>
        <w:t>marzo</w:t>
      </w:r>
      <w:r w:rsidRPr="001B0E81">
        <w:rPr>
          <w:rFonts w:ascii="Verdana" w:eastAsia="Calibri" w:hAnsi="Verdana" w:cs="Arial"/>
          <w:color w:val="000000" w:themeColor="text1"/>
          <w:lang w:val="es-ES" w:eastAsia="es-ES"/>
        </w:rPr>
        <w:t xml:space="preserve"> de 20</w:t>
      </w:r>
      <w:r w:rsidR="001B0E81" w:rsidRPr="001B0E81">
        <w:rPr>
          <w:rFonts w:ascii="Verdana" w:eastAsia="Calibri" w:hAnsi="Verdana" w:cs="Arial"/>
          <w:color w:val="000000" w:themeColor="text1"/>
          <w:lang w:val="es-ES" w:eastAsia="es-ES"/>
        </w:rPr>
        <w:t>26</w:t>
      </w:r>
      <w:r w:rsidRPr="001B0E81">
        <w:rPr>
          <w:rFonts w:ascii="Verdana" w:eastAsia="Calibri" w:hAnsi="Verdana" w:cs="Arial"/>
          <w:color w:val="000000" w:themeColor="text1"/>
          <w:lang w:val="es-ES" w:eastAsia="es-ES"/>
        </w:rPr>
        <w:t>, en la cual manifiesta lo siguiente:</w:t>
      </w:r>
    </w:p>
    <w:p w14:paraId="7819BD0C" w14:textId="77777777" w:rsidR="00871B59" w:rsidRPr="008D76F0" w:rsidRDefault="00871B59" w:rsidP="008D76F0">
      <w:pPr>
        <w:pStyle w:val="Prrafodelista"/>
        <w:tabs>
          <w:tab w:val="left" w:pos="142"/>
          <w:tab w:val="left" w:pos="284"/>
        </w:tabs>
        <w:spacing w:line="276" w:lineRule="auto"/>
        <w:ind w:left="0"/>
        <w:jc w:val="both"/>
        <w:rPr>
          <w:rFonts w:ascii="Verdana" w:eastAsia="Century Gothic" w:hAnsi="Verdana" w:cs="Century Gothic"/>
          <w:b/>
          <w:bCs/>
          <w:color w:val="000000" w:themeColor="text1"/>
          <w:lang w:val="es-ES"/>
        </w:rPr>
      </w:pPr>
      <w:bookmarkStart w:id="1" w:name="OLE_LINK1"/>
    </w:p>
    <w:p w14:paraId="0E767E68" w14:textId="0EDB6FA4" w:rsidR="00871B59" w:rsidRPr="008D76F0" w:rsidRDefault="00871B59" w:rsidP="008D76F0">
      <w:pPr>
        <w:spacing w:after="0" w:line="240" w:lineRule="auto"/>
        <w:ind w:left="709" w:right="709"/>
        <w:jc w:val="both"/>
        <w:rPr>
          <w:rFonts w:ascii="Verdana" w:eastAsia="Century Gothic" w:hAnsi="Verdana" w:cs="Century Gothic"/>
          <w:color w:val="000000" w:themeColor="text1"/>
          <w:sz w:val="20"/>
          <w:szCs w:val="20"/>
          <w:lang w:val="es-ES"/>
        </w:rPr>
      </w:pPr>
      <w:bookmarkStart w:id="2" w:name="_Hlk95313578"/>
      <w:r w:rsidRPr="008D76F0">
        <w:rPr>
          <w:rFonts w:ascii="Verdana" w:eastAsia="Century Gothic" w:hAnsi="Verdana" w:cs="Century Gothic"/>
          <w:color w:val="000000" w:themeColor="text1"/>
          <w:sz w:val="20"/>
          <w:szCs w:val="20"/>
          <w:lang w:val="es-ES"/>
        </w:rPr>
        <w:t>“</w:t>
      </w:r>
      <w:r w:rsidR="008D76F0" w:rsidRPr="008D76F0">
        <w:rPr>
          <w:rFonts w:ascii="Verdana" w:eastAsia="Century Gothic" w:hAnsi="Verdana" w:cs="Century Gothic"/>
          <w:color w:val="000000" w:themeColor="text1"/>
          <w:sz w:val="20"/>
          <w:szCs w:val="20"/>
          <w:lang w:val="es-ES"/>
        </w:rPr>
        <w:t>En aplicación de la ley 996 de 2005, ley de Garantías y en concordancia con la circular 006 de 2025 de Colombia Compra Eficiente, las Sociedades de Economía Mixta en cuyo capital público es del 87% y el restante 12% privado, con autonomía administrativa, regida por el derecho privado y por estatutos de la sociedad, ¿la restricción de contratación directa aplica para sociedades de economía mixta teniendo en cuenta su naturaleza y conformación? según la circular 006 de 2025 y la ley 996 de 20</w:t>
      </w:r>
      <w:bookmarkEnd w:id="2"/>
      <w:r w:rsidR="008D76F0" w:rsidRPr="008D76F0">
        <w:rPr>
          <w:rStyle w:val="normaltextrun"/>
          <w:rFonts w:ascii="Verdana" w:hAnsi="Verdana" w:cs="Arial"/>
          <w:color w:val="000000" w:themeColor="text1"/>
          <w:sz w:val="20"/>
          <w:szCs w:val="20"/>
          <w:shd w:val="clear" w:color="auto" w:fill="FFFFFF"/>
          <w:lang w:val="es-ES"/>
        </w:rPr>
        <w:t>15”</w:t>
      </w:r>
    </w:p>
    <w:bookmarkEnd w:id="1"/>
    <w:p w14:paraId="72DC17CC" w14:textId="77777777" w:rsidR="00871B59" w:rsidRPr="00593A5F"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0089D9E9" w14:textId="77777777" w:rsidR="00871B59" w:rsidRDefault="00871B59" w:rsidP="00871B5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379693B" w14:textId="3C0171A0" w:rsidR="00871B59" w:rsidRDefault="00871B59" w:rsidP="00871B5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p>
    <w:p w14:paraId="23C6CF02" w14:textId="77777777" w:rsidR="00871B59" w:rsidRPr="00593A5F" w:rsidRDefault="00871B59" w:rsidP="00871B59">
      <w:pPr>
        <w:spacing w:after="0" w:line="276" w:lineRule="auto"/>
        <w:ind w:firstLine="709"/>
        <w:jc w:val="both"/>
        <w:rPr>
          <w:rFonts w:ascii="Verdana" w:eastAsia="Calibri" w:hAnsi="Verdana" w:cs="Arial"/>
          <w:color w:val="000000"/>
          <w:lang w:val="es-ES" w:eastAsia="es-ES"/>
        </w:rPr>
      </w:pPr>
    </w:p>
    <w:p w14:paraId="1D00451D" w14:textId="77777777" w:rsidR="00871B59" w:rsidRPr="00593A5F"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593A5F">
        <w:rPr>
          <w:rFonts w:ascii="Verdana" w:eastAsia="Century Gothic" w:hAnsi="Verdana" w:cs="Century Gothic"/>
          <w:b/>
          <w:bCs/>
          <w:lang w:val="es-ES"/>
        </w:rPr>
        <w:t>Problema planteado:</w:t>
      </w:r>
    </w:p>
    <w:p w14:paraId="2E6824A8" w14:textId="77777777" w:rsidR="00871B59" w:rsidRPr="00593A5F" w:rsidRDefault="00871B59" w:rsidP="00871B59">
      <w:pPr>
        <w:tabs>
          <w:tab w:val="left" w:pos="426"/>
        </w:tabs>
        <w:spacing w:after="0" w:line="276" w:lineRule="auto"/>
        <w:jc w:val="both"/>
        <w:rPr>
          <w:rFonts w:ascii="Verdana" w:eastAsia="Century Gothic" w:hAnsi="Verdana" w:cs="Century Gothic"/>
          <w:lang w:val="es-ES"/>
        </w:rPr>
      </w:pPr>
    </w:p>
    <w:p w14:paraId="42D3BEED" w14:textId="58FE3608" w:rsidR="00783BB1" w:rsidRDefault="00871B59" w:rsidP="00871B59">
      <w:pPr>
        <w:spacing w:after="0" w:line="276" w:lineRule="auto"/>
        <w:jc w:val="both"/>
        <w:rPr>
          <w:rFonts w:ascii="Verdana" w:eastAsia="Century Gothic" w:hAnsi="Verdana" w:cs="Century Gothic"/>
        </w:rPr>
      </w:pPr>
      <w:r w:rsidRPr="1F9252E4">
        <w:rPr>
          <w:rFonts w:ascii="Verdana" w:eastAsia="Century Gothic" w:hAnsi="Verdana" w:cs="Century Gothic"/>
        </w:rPr>
        <w:t>De acuerdo con el contenido de su solicitud, esta Agencia resolverá el siguiente problema jurídico:</w:t>
      </w:r>
      <w:r w:rsidR="00D67EE2">
        <w:rPr>
          <w:rFonts w:ascii="Verdana" w:eastAsia="Century Gothic" w:hAnsi="Verdana" w:cs="Century Gothic"/>
        </w:rPr>
        <w:t xml:space="preserve"> </w:t>
      </w:r>
      <w:r w:rsidR="00783BB1" w:rsidRPr="005649AA">
        <w:rPr>
          <w:rFonts w:ascii="Verdana" w:eastAsia="Century Gothic" w:hAnsi="Verdana" w:cs="Century Gothic"/>
        </w:rPr>
        <w:t xml:space="preserve">¿Las restricciones contenidas en la Ley de Garantías Electorales en materia de </w:t>
      </w:r>
      <w:r w:rsidR="00783BB1">
        <w:rPr>
          <w:rFonts w:ascii="Verdana" w:eastAsia="Century Gothic" w:hAnsi="Verdana" w:cs="Century Gothic"/>
        </w:rPr>
        <w:t xml:space="preserve">contratación directa y celebración de convenios </w:t>
      </w:r>
      <w:r w:rsidR="00783BB1" w:rsidRPr="005649AA">
        <w:rPr>
          <w:rFonts w:ascii="Verdana" w:eastAsia="Century Gothic" w:hAnsi="Verdana" w:cs="Century Gothic"/>
        </w:rPr>
        <w:t xml:space="preserve">son aplicables a </w:t>
      </w:r>
      <w:r w:rsidR="00783BB1">
        <w:rPr>
          <w:rFonts w:ascii="Verdana" w:eastAsia="Century Gothic" w:hAnsi="Verdana" w:cs="Century Gothic"/>
        </w:rPr>
        <w:t>una sociedad de economía mixta</w:t>
      </w:r>
      <w:r w:rsidR="00783BB1" w:rsidRPr="005649AA">
        <w:rPr>
          <w:rFonts w:ascii="Verdana" w:eastAsia="Century Gothic" w:hAnsi="Verdana" w:cs="Century Gothic"/>
        </w:rPr>
        <w:t>?</w:t>
      </w:r>
      <w:r w:rsidR="00783BB1">
        <w:rPr>
          <w:rFonts w:ascii="Verdana" w:eastAsia="Calibri" w:hAnsi="Verdana" w:cs="Arial"/>
          <w:lang w:eastAsia="es-ES"/>
        </w:rPr>
        <w:t xml:space="preserve">  </w:t>
      </w:r>
      <w:r w:rsidR="00783BB1">
        <w:rPr>
          <w:rFonts w:ascii="Verdana" w:eastAsia="Century Gothic" w:hAnsi="Verdana" w:cs="Century Gothic"/>
        </w:rPr>
        <w:t xml:space="preserve">    </w:t>
      </w:r>
    </w:p>
    <w:p w14:paraId="7B860526" w14:textId="77777777" w:rsidR="00783BB1" w:rsidRPr="00783BB1" w:rsidRDefault="00783BB1" w:rsidP="00871B59">
      <w:pPr>
        <w:spacing w:after="0" w:line="276" w:lineRule="auto"/>
        <w:jc w:val="both"/>
        <w:rPr>
          <w:rFonts w:ascii="Verdana" w:eastAsia="Century Gothic" w:hAnsi="Verdana" w:cs="Century Gothic"/>
        </w:rPr>
      </w:pPr>
    </w:p>
    <w:p w14:paraId="72C1196A"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Respuesta:</w:t>
      </w:r>
    </w:p>
    <w:p w14:paraId="74F8E2A7"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593A5F" w14:paraId="4FB02D92" w14:textId="77777777" w:rsidTr="002607A7">
        <w:tc>
          <w:tcPr>
            <w:tcW w:w="8828" w:type="dxa"/>
          </w:tcPr>
          <w:p w14:paraId="36148BC3" w14:textId="77777777" w:rsidR="00783BB1" w:rsidRDefault="00783BB1" w:rsidP="00783BB1">
            <w:pPr>
              <w:spacing w:after="120" w:line="276" w:lineRule="auto"/>
              <w:jc w:val="both"/>
              <w:rPr>
                <w:rFonts w:ascii="Verdana" w:eastAsia="Times New Roman" w:hAnsi="Verdana" w:cs="Open Sans"/>
                <w:lang w:eastAsia="es-CO"/>
              </w:rPr>
            </w:pPr>
            <w:r>
              <w:rPr>
                <w:rFonts w:ascii="Verdana" w:eastAsia="Times New Roman" w:hAnsi="Verdana" w:cs="Open Sans"/>
                <w:lang w:eastAsia="es-CO"/>
              </w:rPr>
              <w:t xml:space="preserve">En relación con las prohibiciones consagradas en la Ley de Garantías Electorales en materia de contratación estatal debe señalarse que: </w:t>
            </w:r>
          </w:p>
          <w:p w14:paraId="4D4298DF" w14:textId="77777777" w:rsidR="00783BB1" w:rsidRDefault="00783BB1" w:rsidP="00783BB1">
            <w:pPr>
              <w:spacing w:after="120" w:line="276" w:lineRule="auto"/>
              <w:jc w:val="both"/>
              <w:rPr>
                <w:rFonts w:ascii="Verdana" w:eastAsia="Times New Roman" w:hAnsi="Verdana" w:cs="Open Sans"/>
                <w:lang w:eastAsia="es-CO"/>
              </w:rPr>
            </w:pPr>
            <w:r>
              <w:rPr>
                <w:rFonts w:ascii="Verdana" w:eastAsia="Times New Roman" w:hAnsi="Verdana" w:cs="Open Sans"/>
                <w:lang w:eastAsia="es-CO"/>
              </w:rPr>
              <w:t xml:space="preserve">         </w:t>
            </w:r>
            <w:r w:rsidRPr="00DE5508">
              <w:rPr>
                <w:rFonts w:ascii="Verdana" w:eastAsia="Times New Roman" w:hAnsi="Verdana" w:cs="Open Sans"/>
                <w:lang w:eastAsia="es-CO"/>
              </w:rPr>
              <w:t xml:space="preserve">El artículo 33 de la Ley 996 de 2205 prohíbe la contratación directa por parte de todos los Entes Estatales durante los cuatro </w:t>
            </w:r>
            <w:r>
              <w:rPr>
                <w:rFonts w:ascii="Verdana" w:eastAsia="Times New Roman" w:hAnsi="Verdana" w:cs="Open Sans"/>
                <w:lang w:eastAsia="es-CO"/>
              </w:rPr>
              <w:t>(4)</w:t>
            </w:r>
            <w:r w:rsidRPr="00DE5508">
              <w:rPr>
                <w:rFonts w:ascii="Verdana" w:eastAsia="Times New Roman" w:hAnsi="Verdana" w:cs="Open Sans"/>
                <w:lang w:eastAsia="es-CO"/>
              </w:rPr>
              <w:t xml:space="preserve"> meses anteriores a las elecciones presidenciales y dispone las excepciones a dicha prohibición. Así, su ámbito de prohibición está delimitado por la expresión “queda prohibida </w:t>
            </w:r>
            <w:r w:rsidRPr="00DE5508">
              <w:rPr>
                <w:rFonts w:ascii="Verdana" w:eastAsia="Times New Roman" w:hAnsi="Verdana" w:cs="Open Sans"/>
                <w:lang w:eastAsia="es-CO"/>
              </w:rPr>
              <w:lastRenderedPageBreak/>
              <w:t xml:space="preserve">la contratación directa” y para los efectos de la Ley de Garantías Electorales y, en particular, para la prohibición o restricción temporal contenida en su artículo 33, “contratación directa” </w:t>
            </w:r>
            <w:r w:rsidRPr="485EFC16">
              <w:rPr>
                <w:rFonts w:ascii="Verdana" w:eastAsia="Times New Roman" w:hAnsi="Verdana" w:cs="Open Sans"/>
                <w:lang w:eastAsia="es-CO"/>
              </w:rPr>
              <w:t>se refiere a</w:t>
            </w:r>
            <w:r w:rsidRPr="00DE5508">
              <w:rPr>
                <w:rFonts w:ascii="Verdana" w:eastAsia="Times New Roman" w:hAnsi="Verdana" w:cs="Open Sans"/>
                <w:lang w:eastAsia="es-CO"/>
              </w:rPr>
              <w:t xml:space="preserve"> cualquier sistema de selección o procedimiento de contratación utilizado por las entidades estatales que no incluya la convocatoria pública en alguna de sus etapas, ni permita la participación de una pluralidad de oferentes. </w:t>
            </w:r>
          </w:p>
          <w:p w14:paraId="0EEF8579" w14:textId="77777777" w:rsidR="00783BB1" w:rsidRDefault="00783BB1" w:rsidP="00783BB1">
            <w:pPr>
              <w:spacing w:after="120" w:line="276" w:lineRule="auto"/>
              <w:ind w:firstLine="709"/>
              <w:jc w:val="both"/>
              <w:rPr>
                <w:rFonts w:ascii="Verdana" w:hAnsi="Verdana"/>
              </w:rPr>
            </w:pPr>
            <w:r>
              <w:rPr>
                <w:rFonts w:ascii="Verdana" w:eastAsia="Times New Roman" w:hAnsi="Verdana" w:cs="Open Sans"/>
                <w:lang w:eastAsia="es-CO"/>
              </w:rPr>
              <w:t>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xml:space="preserve">, expresión que contempla a los diferentes organismos o entidades autorizadas por la ley para suscribir contratos. En efecto, tal como lo ha sostenido el Consejo de Estado, el vocablo </w:t>
            </w:r>
            <w:r>
              <w:rPr>
                <w:rFonts w:ascii="Verdana" w:hAnsi="Verdana"/>
              </w:rPr>
              <w:t>“</w:t>
            </w:r>
            <w:r w:rsidRPr="00D44FF2">
              <w:rPr>
                <w:rFonts w:ascii="Verdana" w:hAnsi="Verdana"/>
              </w:rPr>
              <w:t>todos</w:t>
            </w:r>
            <w:r>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rPr>
              <w:t xml:space="preserve"> </w:t>
            </w:r>
          </w:p>
          <w:p w14:paraId="15E019FF" w14:textId="77777777" w:rsidR="00783BB1" w:rsidRPr="00C40D52" w:rsidRDefault="00783BB1" w:rsidP="00783BB1">
            <w:pPr>
              <w:spacing w:after="120" w:line="276" w:lineRule="auto"/>
              <w:ind w:firstLine="709"/>
              <w:jc w:val="both"/>
              <w:rPr>
                <w:rFonts w:ascii="Verdana" w:eastAsia="Times New Roman" w:hAnsi="Verdana" w:cs="Arial"/>
                <w:lang w:val="es-ES"/>
              </w:rPr>
            </w:pPr>
            <w:r w:rsidRPr="00C40D52">
              <w:rPr>
                <w:rFonts w:ascii="Verdana" w:eastAsia="Times New Roman" w:hAnsi="Verdana" w:cs="Arial"/>
                <w:lang w:val="es-ES"/>
              </w:rPr>
              <w:t>En consecuencia, las restricciones a la contratación contenidas en la Ley de Garantías Electorales son aplicables a entidades descentralizadas como las sociedades de economía mixta. Por lo tanto, la celebración de cualquier contrato de forma directa, esto es, sin que exista un proceso abierto y competitivo, también se encuentra restringida para este tipo de entidades, sin perjuicio de las excepciones expresamente previstas en el inciso final del artículo 33 de dicha norma.</w:t>
            </w:r>
          </w:p>
          <w:p w14:paraId="51521777" w14:textId="77777777" w:rsidR="00783BB1" w:rsidRPr="00DE5508" w:rsidRDefault="00783BB1" w:rsidP="00783BB1">
            <w:pPr>
              <w:pStyle w:val="Prrafodelista"/>
              <w:spacing w:after="120" w:line="276" w:lineRule="auto"/>
              <w:ind w:left="0" w:firstLine="709"/>
              <w:contextualSpacing w:val="0"/>
              <w:jc w:val="both"/>
              <w:rPr>
                <w:rFonts w:ascii="Verdana" w:eastAsia="Times New Roman" w:hAnsi="Verdana" w:cs="Arial"/>
                <w:lang w:val="es-MX" w:eastAsia="es-CO"/>
              </w:rPr>
            </w:pPr>
            <w:r>
              <w:rPr>
                <w:rFonts w:ascii="Verdana" w:hAnsi="Verdana" w:cs="BCDHEE+Verdana"/>
                <w:color w:val="000000"/>
              </w:rPr>
              <w:t>En ese sentido, debe señalarse que, p</w:t>
            </w:r>
            <w:r w:rsidRPr="00DE5508">
              <w:rPr>
                <w:rFonts w:ascii="Verdana" w:hAnsi="Verdana" w:cs="BCDHEE+Verdana"/>
                <w:color w:val="000000"/>
              </w:rPr>
              <w:t xml:space="preserve">ara las elecciones presidenciales, el Consejo Nacional Electoral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w:t>
            </w:r>
            <w:r>
              <w:rPr>
                <w:rFonts w:ascii="Verdana" w:hAnsi="Verdana" w:cs="BCDHEE+Verdana"/>
                <w:color w:val="000000"/>
              </w:rPr>
              <w:t>cuatro (</w:t>
            </w:r>
            <w:r w:rsidRPr="00DE5508">
              <w:rPr>
                <w:rFonts w:ascii="Verdana" w:hAnsi="Verdana" w:cs="BCDHEE+Verdana"/>
                <w:color w:val="000000"/>
              </w:rPr>
              <w:t>4</w:t>
            </w:r>
            <w:r>
              <w:rPr>
                <w:rFonts w:ascii="Verdana" w:hAnsi="Verdana" w:cs="BCDHEE+Verdana"/>
                <w:color w:val="000000"/>
              </w:rPr>
              <w:t>)</w:t>
            </w:r>
            <w:r w:rsidRPr="00DE5508">
              <w:rPr>
                <w:rFonts w:ascii="Verdana" w:hAnsi="Verdana" w:cs="BCDHEE+Verdana"/>
                <w:color w:val="000000"/>
              </w:rPr>
              <w:t xml:space="preserve"> meses anteriores a la elección presidencial, es decir desde el 31 de enero de 2026 y hasta el momento de la celebración de la segunda vuelta, si fuere el caso, queda prohibida la contratación directa por parte de todos los entes del Estado</w:t>
            </w:r>
            <w:r>
              <w:rPr>
                <w:rFonts w:ascii="Verdana" w:hAnsi="Verdana" w:cs="BCDHEE+Verdana"/>
                <w:color w:val="000000"/>
              </w:rPr>
              <w:t>.</w:t>
            </w:r>
          </w:p>
          <w:p w14:paraId="555B032D" w14:textId="77777777" w:rsidR="00783BB1" w:rsidRDefault="00783BB1" w:rsidP="00783BB1">
            <w:pPr>
              <w:spacing w:after="120" w:line="276" w:lineRule="auto"/>
              <w:ind w:firstLine="709"/>
              <w:jc w:val="both"/>
              <w:rPr>
                <w:rFonts w:ascii="Verdana" w:eastAsia="Arial" w:hAnsi="Verdana" w:cs="Arial"/>
                <w:color w:val="000000"/>
              </w:rPr>
            </w:pPr>
            <w:r>
              <w:rPr>
                <w:rFonts w:ascii="Verdana" w:hAnsi="Verdana" w:cs="BCDHEE+Verdana"/>
                <w:color w:val="000000"/>
              </w:rPr>
              <w:lastRenderedPageBreak/>
              <w:t xml:space="preserve">Por otro lado, el parágrafo del artículo 38 de la Ley 996 de 2005 </w:t>
            </w:r>
            <w:r w:rsidRPr="00DE5508">
              <w:rPr>
                <w:rFonts w:ascii="Verdana" w:hAnsi="Verdana" w:cs="BCDHEE+Verdana"/>
                <w:color w:val="000000"/>
              </w:rPr>
              <w:t xml:space="preserve">prohíbe a los gobernadores, alcaldes municipales o distritales, secretarios, gerentes y directores de entidades descentralizadas del orden municipal, departamental o distrital </w:t>
            </w:r>
            <w:r w:rsidRPr="007A3B8C">
              <w:rPr>
                <w:rFonts w:ascii="Verdana" w:eastAsia="Arial" w:hAnsi="Verdana" w:cs="Arial"/>
                <w:color w:val="000000"/>
              </w:rPr>
              <w:t xml:space="preserve">“[…] celebrar </w:t>
            </w:r>
            <w:r w:rsidRPr="00122AC1">
              <w:rPr>
                <w:rFonts w:ascii="Verdana" w:eastAsia="Arial" w:hAnsi="Verdana" w:cs="Arial"/>
                <w:i/>
                <w:color w:val="000000"/>
              </w:rPr>
              <w:t xml:space="preserve">convenios interadministrativos </w:t>
            </w:r>
            <w:r w:rsidRPr="007A3B8C">
              <w:rPr>
                <w:rFonts w:ascii="Verdana" w:eastAsia="Arial" w:hAnsi="Verdana" w:cs="Arial"/>
                <w:color w:val="000000"/>
              </w:rPr>
              <w:t>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Arial" w:hAnsi="Verdana" w:cs="Arial"/>
                <w:color w:val="000000"/>
              </w:rPr>
              <w:t xml:space="preserve"> </w:t>
            </w:r>
          </w:p>
          <w:p w14:paraId="1F95B21C" w14:textId="77777777" w:rsidR="00783BB1" w:rsidRPr="00F2587B" w:rsidRDefault="00783BB1" w:rsidP="00783BB1">
            <w:pPr>
              <w:spacing w:after="120" w:line="276" w:lineRule="auto"/>
              <w:ind w:firstLine="709"/>
              <w:jc w:val="both"/>
              <w:rPr>
                <w:rFonts w:ascii="Verdana" w:eastAsia="Arial" w:hAnsi="Verdana" w:cs="Arial"/>
                <w:color w:val="000000"/>
              </w:rPr>
            </w:pPr>
            <w:r>
              <w:rPr>
                <w:rFonts w:ascii="Verdana" w:hAnsi="Verdana" w:cs="BCDHEE+Verdana"/>
                <w:color w:val="000000"/>
              </w:rPr>
              <w:t>P</w:t>
            </w:r>
            <w:r w:rsidRPr="00DE5508">
              <w:rPr>
                <w:rFonts w:ascii="Verdana" w:hAnsi="Verdana" w:cs="BCDHEE+Verdana"/>
                <w:color w:val="000000"/>
              </w:rPr>
              <w:t>ara las elecciones al Congreso de la República que serán el 8 de marzo de 2026,</w:t>
            </w:r>
            <w:r>
              <w:rPr>
                <w:rFonts w:ascii="Verdana" w:hAnsi="Verdana" w:cs="BCDHEE+Verdana"/>
                <w:color w:val="000000"/>
              </w:rPr>
              <w:t xml:space="preserve"> según calendario electoral fijado por </w:t>
            </w:r>
            <w:r w:rsidRPr="00DE5508">
              <w:rPr>
                <w:rFonts w:ascii="Verdana" w:hAnsi="Verdana" w:cs="BCDHEE+Verdana"/>
                <w:color w:val="000000"/>
              </w:rPr>
              <w:t>el Consejo Nacional Electoral mediante Resolución No. 2581 del 5 de marzo de 2025, de acuerdo con el artículo 38 de la Ley 996 de 2005,</w:t>
            </w:r>
            <w:r>
              <w:rPr>
                <w:rFonts w:ascii="Verdana" w:hAnsi="Verdana" w:cs="BCDHEE+Verdana"/>
                <w:color w:val="000000"/>
              </w:rPr>
              <w:t xml:space="preserve"> Por lo cual la anterior restricción </w:t>
            </w:r>
            <w:r w:rsidRPr="00DE5508">
              <w:rPr>
                <w:rFonts w:ascii="Verdana" w:hAnsi="Verdana" w:cs="BCDHEE+Verdana"/>
                <w:color w:val="000000"/>
              </w:rPr>
              <w:t>inici</w:t>
            </w:r>
            <w:r>
              <w:rPr>
                <w:rFonts w:ascii="Verdana" w:hAnsi="Verdana" w:cs="BCDHEE+Verdana"/>
                <w:color w:val="000000"/>
              </w:rPr>
              <w:t>ó</w:t>
            </w:r>
            <w:r w:rsidRPr="00DE5508">
              <w:rPr>
                <w:rFonts w:ascii="Verdana" w:hAnsi="Verdana" w:cs="BCDHEE+Verdana"/>
                <w:color w:val="000000"/>
              </w:rPr>
              <w:t xml:space="preserve"> el 8 de noviembre de 2025, es decir, </w:t>
            </w:r>
            <w:r>
              <w:rPr>
                <w:rFonts w:ascii="Verdana" w:hAnsi="Verdana" w:cs="BCDHEE+Verdana"/>
                <w:color w:val="000000"/>
              </w:rPr>
              <w:t>cuatro</w:t>
            </w:r>
            <w:r w:rsidRPr="00DE5508">
              <w:rPr>
                <w:rFonts w:ascii="Verdana" w:hAnsi="Verdana" w:cs="BCDHEE+Verdana"/>
                <w:color w:val="000000"/>
              </w:rPr>
              <w:t xml:space="preserve"> </w:t>
            </w:r>
            <w:r>
              <w:rPr>
                <w:rFonts w:ascii="Verdana" w:hAnsi="Verdana" w:cs="BCDHEE+Verdana"/>
                <w:color w:val="000000"/>
              </w:rPr>
              <w:t>(</w:t>
            </w:r>
            <w:r w:rsidRPr="00DE5508">
              <w:rPr>
                <w:rFonts w:ascii="Verdana" w:hAnsi="Verdana" w:cs="BCDHEE+Verdana"/>
                <w:color w:val="000000"/>
              </w:rPr>
              <w:t>4</w:t>
            </w:r>
            <w:r>
              <w:rPr>
                <w:rFonts w:ascii="Verdana" w:hAnsi="Verdana" w:cs="BCDHEE+Verdana"/>
                <w:color w:val="000000"/>
              </w:rPr>
              <w:t>)</w:t>
            </w:r>
            <w:r w:rsidRPr="00DE5508">
              <w:rPr>
                <w:rFonts w:ascii="Verdana" w:hAnsi="Verdana" w:cs="BCDHEE+Verdana"/>
                <w:color w:val="000000"/>
              </w:rPr>
              <w:t xml:space="preserve"> meses antes de la fecha de las elecciones</w:t>
            </w:r>
            <w:r>
              <w:rPr>
                <w:rFonts w:ascii="Verdana" w:hAnsi="Verdana" w:cs="BCDHEE+Verdana"/>
                <w:color w:val="000000"/>
              </w:rPr>
              <w:t>.</w:t>
            </w:r>
          </w:p>
          <w:p w14:paraId="4CDEB111" w14:textId="77777777" w:rsidR="00783BB1" w:rsidRPr="00775AB1" w:rsidRDefault="00783BB1" w:rsidP="00783BB1">
            <w:pPr>
              <w:spacing w:after="120" w:line="276" w:lineRule="auto"/>
              <w:ind w:firstLine="709"/>
              <w:jc w:val="both"/>
              <w:rPr>
                <w:rFonts w:ascii="Verdana" w:eastAsia="Times New Roman" w:hAnsi="Verdana" w:cs="Arial"/>
                <w:lang w:val="es-MX" w:eastAsia="es-CO"/>
              </w:rPr>
            </w:pPr>
            <w:r>
              <w:rPr>
                <w:rFonts w:ascii="Verdana" w:hAnsi="Verdana" w:cs="BCDHEE+Verdana"/>
                <w:color w:val="000000"/>
              </w:rPr>
              <w:t xml:space="preserve"> Por lo que, </w:t>
            </w:r>
            <w:r w:rsidRPr="00E2397D">
              <w:rPr>
                <w:rFonts w:ascii="Verdana" w:eastAsia="Times New Roman" w:hAnsi="Verdana" w:cs="Arial"/>
                <w:lang w:val="es-MX" w:eastAsia="es-CO"/>
              </w:rPr>
              <w:t xml:space="preserve">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w:t>
            </w:r>
            <w:r w:rsidRPr="00E2397D">
              <w:rPr>
                <w:rFonts w:ascii="Verdana" w:eastAsia="Times New Roman" w:hAnsi="Verdana" w:cs="Arial"/>
                <w:i/>
                <w:iCs/>
                <w:lang w:val="es-MX" w:eastAsia="es-CO"/>
              </w:rPr>
              <w:t>convenios</w:t>
            </w:r>
            <w:r>
              <w:rPr>
                <w:rFonts w:ascii="Verdana" w:eastAsia="Times New Roman" w:hAnsi="Verdana" w:cs="Arial"/>
                <w:i/>
                <w:iCs/>
                <w:lang w:val="es-MX" w:eastAsia="es-CO"/>
              </w:rPr>
              <w:t xml:space="preserve"> interadministrativos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163BAB4D" w14:textId="77777777" w:rsidR="00783BB1" w:rsidRDefault="00783BB1" w:rsidP="00783BB1">
            <w:pPr>
              <w:spacing w:before="120" w:line="276" w:lineRule="auto"/>
              <w:jc w:val="both"/>
              <w:rPr>
                <w:rFonts w:ascii="Verdana" w:eastAsia="Calibri" w:hAnsi="Verdana" w:cs="Arial"/>
              </w:rPr>
            </w:pPr>
            <w:r>
              <w:rPr>
                <w:rFonts w:ascii="Verdana" w:hAnsi="Verdana"/>
              </w:rPr>
              <w:t xml:space="preserve">          </w:t>
            </w:r>
            <w:r w:rsidRPr="00DE5508">
              <w:rPr>
                <w:rFonts w:ascii="Verdana" w:hAnsi="Verdana"/>
              </w:rPr>
              <w:t>Dentro de este marco, corresponde a cada entidad pública, en ejercicio de su competencia y previa valoración de los elementos fácticos y jurídicos, así como de las disposiciones legales mencionadas, determinar su gestión contractual durante la aplicación de las restricciones de la Ley de Garantías Electorales.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547323">
              <w:rPr>
                <w:rFonts w:ascii="Verdana" w:eastAsia="Calibri" w:hAnsi="Verdana" w:cs="Arial"/>
              </w:rPr>
              <w:t xml:space="preserve"> </w:t>
            </w:r>
          </w:p>
          <w:p w14:paraId="0A275F73" w14:textId="77777777" w:rsidR="00783BB1" w:rsidRPr="00B87FBD" w:rsidRDefault="00783BB1" w:rsidP="00783BB1">
            <w:pPr>
              <w:spacing w:line="276" w:lineRule="auto"/>
              <w:jc w:val="both"/>
              <w:rPr>
                <w:rFonts w:ascii="Verdana" w:hAnsi="Verdana" w:cs="Arial"/>
              </w:rPr>
            </w:pPr>
          </w:p>
          <w:p w14:paraId="23857447" w14:textId="77777777" w:rsidR="00783BB1" w:rsidRPr="00C71956" w:rsidRDefault="00783BB1" w:rsidP="00783BB1">
            <w:pPr>
              <w:spacing w:after="120" w:line="276" w:lineRule="auto"/>
              <w:jc w:val="both"/>
              <w:rPr>
                <w:rFonts w:ascii="Verdana" w:eastAsia="Aptos" w:hAnsi="Verdana" w:cs="Arial"/>
                <w:shd w:val="clear" w:color="auto" w:fill="FFFFFF"/>
              </w:rPr>
            </w:pPr>
            <w:r>
              <w:rPr>
                <w:rFonts w:ascii="Verdana" w:eastAsia="Arial MT" w:hAnsi="Verdana" w:cs="Arial"/>
                <w:lang w:eastAsia="es-ES" w:bidi="es-ES"/>
              </w:rPr>
              <w:t xml:space="preserve">        </w:t>
            </w: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w:t>
            </w:r>
            <w:r w:rsidRPr="00DB4737">
              <w:rPr>
                <w:rFonts w:ascii="Verdana" w:eastAsia="Calibri" w:hAnsi="Verdana" w:cs="Times New Roman"/>
              </w:rPr>
              <w:lastRenderedPageBreak/>
              <w:t>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51CA95CB" w14:textId="77777777" w:rsidR="00783BB1" w:rsidRDefault="00783BB1" w:rsidP="00783BB1">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0B1C1722" w14:textId="0FF7F23B" w:rsidR="00871B59" w:rsidRPr="00593A5F" w:rsidRDefault="00871B59" w:rsidP="002607A7">
            <w:pPr>
              <w:spacing w:line="276" w:lineRule="auto"/>
              <w:jc w:val="both"/>
              <w:rPr>
                <w:rFonts w:ascii="Verdana" w:eastAsia="Calibri" w:hAnsi="Verdana" w:cs="Arial"/>
                <w:color w:val="7030A0"/>
                <w:lang w:val="es-ES"/>
              </w:rPr>
            </w:pPr>
            <w:r w:rsidRPr="00593A5F">
              <w:rPr>
                <w:rFonts w:ascii="Verdana" w:eastAsia="Calibri" w:hAnsi="Verdana" w:cs="Arial"/>
                <w:color w:val="7030A0"/>
                <w:lang w:val="es-ES"/>
              </w:rPr>
              <w:t xml:space="preserve"> </w:t>
            </w:r>
          </w:p>
        </w:tc>
      </w:tr>
    </w:tbl>
    <w:p w14:paraId="34D1190D"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54BAC77C"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Razones de la respuesta:</w:t>
      </w:r>
    </w:p>
    <w:p w14:paraId="1C83CFFE" w14:textId="77777777" w:rsidR="00871B59" w:rsidRPr="00593A5F" w:rsidRDefault="00871B59" w:rsidP="00871B59">
      <w:pPr>
        <w:spacing w:after="0" w:line="276" w:lineRule="auto"/>
        <w:jc w:val="both"/>
        <w:rPr>
          <w:rFonts w:ascii="Verdana" w:eastAsia="Calibri" w:hAnsi="Verdana" w:cs="Arial"/>
          <w:color w:val="7030A0"/>
          <w:lang w:val="es-ES"/>
        </w:rPr>
      </w:pPr>
    </w:p>
    <w:p w14:paraId="07CF04FD" w14:textId="77777777" w:rsidR="00871B59" w:rsidRPr="00B96799" w:rsidRDefault="00871B59" w:rsidP="00871B59">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60AC81C7" w14:textId="77777777" w:rsidR="00871B59" w:rsidRDefault="00871B59" w:rsidP="00871B59">
      <w:pPr>
        <w:widowControl w:val="0"/>
        <w:autoSpaceDE w:val="0"/>
        <w:autoSpaceDN w:val="0"/>
        <w:spacing w:after="0" w:line="276" w:lineRule="auto"/>
        <w:jc w:val="both"/>
        <w:rPr>
          <w:rFonts w:ascii="Verdana" w:eastAsia="Calibri" w:hAnsi="Verdana" w:cs="Arial"/>
          <w:color w:val="7030A0"/>
          <w:lang w:val="es-ES"/>
        </w:rPr>
      </w:pPr>
    </w:p>
    <w:p w14:paraId="0188D3B9" w14:textId="77777777" w:rsidR="00D93D99" w:rsidRPr="00C40D52" w:rsidRDefault="00D93D99" w:rsidP="00D93D99">
      <w:pPr>
        <w:autoSpaceDE w:val="0"/>
        <w:autoSpaceDN w:val="0"/>
        <w:adjustRightInd w:val="0"/>
        <w:spacing w:after="120" w:line="276" w:lineRule="auto"/>
        <w:jc w:val="both"/>
        <w:rPr>
          <w:rFonts w:ascii="Verdana" w:hAnsi="Verdana" w:cs="Arial"/>
          <w:lang w:val="es-ES_tradnl"/>
        </w:rPr>
      </w:pPr>
      <w:r w:rsidRPr="00C40D52">
        <w:rPr>
          <w:rFonts w:ascii="Verdana" w:hAnsi="Verdana" w:cs="Arial"/>
          <w:color w:val="000000" w:themeColor="text1"/>
          <w:lang w:val="es-ES_tradnl"/>
        </w:rPr>
        <w:t>En nuestro ordenamiento jurídico, el</w:t>
      </w:r>
      <w:r w:rsidRPr="00C40D52">
        <w:rPr>
          <w:rFonts w:ascii="Verdana" w:hAnsi="Verdana" w:cs="Arial"/>
          <w:lang w:val="es-ES_tradnl"/>
        </w:rPr>
        <w:t xml:space="preserve"> artículo 97 de la Ley 489 de 1998 define a las sociedades de economía mixta como organismos autorizados por la ley, constituidos como sociedades comerciales, con aportes de capital público y privado, que desarrollan actividades de naturaleza industrial o comercial conforme a las reglas del derecho privado, salvo las excepciones que consagra la ley.</w:t>
      </w:r>
    </w:p>
    <w:p w14:paraId="792F0AEA" w14:textId="77777777" w:rsidR="00D93D99" w:rsidRPr="00C40D52" w:rsidRDefault="00D93D99" w:rsidP="00D93D99">
      <w:pPr>
        <w:spacing w:after="120" w:line="276" w:lineRule="auto"/>
        <w:ind w:firstLine="709"/>
        <w:jc w:val="both"/>
        <w:textAlignment w:val="baseline"/>
        <w:rPr>
          <w:rFonts w:ascii="Verdana" w:eastAsia="Times New Roman" w:hAnsi="Verdana" w:cs="Arial"/>
          <w:lang w:val="es-ES" w:eastAsia="es-MX"/>
        </w:rPr>
      </w:pPr>
      <w:r w:rsidRPr="00C40D52">
        <w:rPr>
          <w:rFonts w:ascii="Verdana" w:eastAsia="Times New Roman" w:hAnsi="Verdana" w:cs="Arial"/>
          <w:lang w:val="es-ES" w:eastAsia="es-MX"/>
        </w:rPr>
        <w:t>En este sentido, la misma Ley, en los artículos 38 y 68, clasifica a las sociedades de economía mixta como entidades descentralizadas por servicios, con personería jurídica, autonomía administrativa y patrimonio propio</w:t>
      </w:r>
      <w:r w:rsidRPr="00C40D52">
        <w:rPr>
          <w:rStyle w:val="Refdenotaalpie"/>
          <w:rFonts w:ascii="Verdana" w:eastAsia="Times New Roman" w:hAnsi="Verdana" w:cs="Arial"/>
          <w:lang w:val="es-ES_tradnl" w:eastAsia="es-MX"/>
        </w:rPr>
        <w:footnoteReference w:id="2"/>
      </w:r>
      <w:r w:rsidRPr="00C40D52">
        <w:rPr>
          <w:rFonts w:ascii="Verdana" w:eastAsia="Times New Roman" w:hAnsi="Verdana" w:cs="Arial"/>
          <w:lang w:val="es-ES" w:eastAsia="es-MX"/>
        </w:rPr>
        <w:t xml:space="preserve">, que </w:t>
      </w:r>
      <w:r w:rsidRPr="00C40D52">
        <w:rPr>
          <w:rFonts w:ascii="Verdana" w:eastAsia="Times New Roman" w:hAnsi="Verdana" w:cs="Arial"/>
          <w:lang w:val="es-ES" w:eastAsia="es-MX"/>
        </w:rPr>
        <w:lastRenderedPageBreak/>
        <w:t>pueden ser del orden nacional, departamental o municipal, según su órgano de creación</w:t>
      </w:r>
      <w:r w:rsidRPr="00C40D52">
        <w:rPr>
          <w:rStyle w:val="Refdenotaalpie"/>
          <w:rFonts w:ascii="Verdana" w:eastAsia="Times New Roman" w:hAnsi="Verdana" w:cs="Arial"/>
          <w:lang w:val="es-ES_tradnl" w:eastAsia="es-MX"/>
        </w:rPr>
        <w:footnoteReference w:id="3"/>
      </w:r>
      <w:r w:rsidRPr="00C40D52">
        <w:rPr>
          <w:rFonts w:ascii="Verdana" w:eastAsia="Times New Roman" w:hAnsi="Verdana" w:cs="Arial"/>
          <w:lang w:val="es-ES" w:eastAsia="es-MX"/>
        </w:rPr>
        <w:t xml:space="preserve">. Al respecto, la Corte Constitucional, en sentencias C-736 del 19 de septiembre de 2007, C-118 del 14 de noviembre de 2018 y C-306 del 10 de julio de 2019, ha considerado que las sociedades estudiadas, desde una perspectiva constitucional, se caracterizan por los siguientes aspectos: i) pertenecen a la rama ejecutiva del poder público, como manifestación de la descentralización por servicios. Así mismo, </w:t>
      </w:r>
      <w:proofErr w:type="spellStart"/>
      <w:r w:rsidRPr="00C40D52">
        <w:rPr>
          <w:rFonts w:ascii="Verdana" w:eastAsia="Times New Roman" w:hAnsi="Verdana" w:cs="Arial"/>
          <w:lang w:val="es-ES" w:eastAsia="es-MX"/>
        </w:rPr>
        <w:t>ii</w:t>
      </w:r>
      <w:proofErr w:type="spellEnd"/>
      <w:r w:rsidRPr="00C40D52">
        <w:rPr>
          <w:rFonts w:ascii="Verdana" w:eastAsia="Times New Roman" w:hAnsi="Verdana" w:cs="Arial"/>
          <w:lang w:val="es-ES" w:eastAsia="es-MX"/>
        </w:rPr>
        <w:t xml:space="preserve">) están sujetas al control fiscal, financiero, de gestión y de resultados en cabeza de la Contraloría General de la República. Por otra parte, </w:t>
      </w:r>
      <w:proofErr w:type="spellStart"/>
      <w:r w:rsidRPr="00C40D52">
        <w:rPr>
          <w:rFonts w:ascii="Verdana" w:eastAsia="Times New Roman" w:hAnsi="Verdana" w:cs="Arial"/>
          <w:lang w:val="es-ES" w:eastAsia="es-MX"/>
        </w:rPr>
        <w:t>iii</w:t>
      </w:r>
      <w:proofErr w:type="spellEnd"/>
      <w:r w:rsidRPr="00C40D52">
        <w:rPr>
          <w:rFonts w:ascii="Verdana" w:eastAsia="Times New Roman" w:hAnsi="Verdana" w:cs="Arial"/>
          <w:lang w:val="es-ES" w:eastAsia="es-MX"/>
        </w:rPr>
        <w:t xml:space="preserve">) se someten al control político, que ejerce directamente el Congreso de la República. Además, </w:t>
      </w:r>
      <w:proofErr w:type="spellStart"/>
      <w:r w:rsidRPr="00C40D52">
        <w:rPr>
          <w:rFonts w:ascii="Verdana" w:eastAsia="Times New Roman" w:hAnsi="Verdana" w:cs="Arial"/>
          <w:lang w:val="es-ES" w:eastAsia="es-MX"/>
        </w:rPr>
        <w:t>iv</w:t>
      </w:r>
      <w:proofErr w:type="spellEnd"/>
      <w:r w:rsidRPr="00C40D52">
        <w:rPr>
          <w:rFonts w:ascii="Verdana" w:eastAsia="Times New Roman" w:hAnsi="Verdana" w:cs="Arial"/>
          <w:lang w:val="es-ES" w:eastAsia="es-MX"/>
        </w:rPr>
        <w:t xml:space="preserve">) en el caso de las sociedades de economía mixta del orden nacional, le corresponde al Congreso de la República su creación o autorización mediante ley. En cambio, v) en el caso de los órdenes departamental y municipal, esta misma facultad se les reconoce a las asambleas y concejos. Adicionalmente, vi) a todas las sociedades de economía mixta les son aplicables las inhabilidades para la integración de órganos directivos a que aluden los artículos 180- 3, 292 y 323 de la Constitución Política. A lo anterior debe agregarse que, </w:t>
      </w:r>
      <w:proofErr w:type="spellStart"/>
      <w:r w:rsidRPr="00C40D52">
        <w:rPr>
          <w:rFonts w:ascii="Verdana" w:eastAsia="Times New Roman" w:hAnsi="Verdana" w:cs="Arial"/>
          <w:lang w:val="es-ES" w:eastAsia="es-MX"/>
        </w:rPr>
        <w:t>vii</w:t>
      </w:r>
      <w:proofErr w:type="spellEnd"/>
      <w:r w:rsidRPr="00C40D52">
        <w:rPr>
          <w:rFonts w:ascii="Verdana" w:eastAsia="Times New Roman" w:hAnsi="Verdana" w:cs="Arial"/>
          <w:lang w:val="es-ES" w:eastAsia="es-MX"/>
        </w:rPr>
        <w:t xml:space="preserve">) en materia presupuestal, las sociedades de economía mixta quedan sujetas a las reglas de la ley orgánica del presupuesto. De otro lado, </w:t>
      </w:r>
      <w:proofErr w:type="spellStart"/>
      <w:r w:rsidRPr="00C40D52">
        <w:rPr>
          <w:rFonts w:ascii="Verdana" w:eastAsia="Times New Roman" w:hAnsi="Verdana" w:cs="Arial"/>
          <w:lang w:val="es-ES" w:eastAsia="es-MX"/>
        </w:rPr>
        <w:t>viii</w:t>
      </w:r>
      <w:proofErr w:type="spellEnd"/>
      <w:r w:rsidRPr="00C40D52">
        <w:rPr>
          <w:rFonts w:ascii="Verdana" w:eastAsia="Times New Roman" w:hAnsi="Verdana" w:cs="Arial"/>
          <w:lang w:val="es-ES" w:eastAsia="es-MX"/>
        </w:rPr>
        <w:t xml:space="preserve">) en materia contable, quedan vinculadas a las reglas de contabilidad oficial. Además, </w:t>
      </w:r>
      <w:proofErr w:type="spellStart"/>
      <w:r w:rsidRPr="00C40D52">
        <w:rPr>
          <w:rFonts w:ascii="Verdana" w:eastAsia="Times New Roman" w:hAnsi="Verdana" w:cs="Arial"/>
          <w:lang w:val="es-ES" w:eastAsia="es-MX"/>
        </w:rPr>
        <w:t>ix</w:t>
      </w:r>
      <w:proofErr w:type="spellEnd"/>
      <w:r w:rsidRPr="00C40D52">
        <w:rPr>
          <w:rFonts w:ascii="Verdana" w:eastAsia="Times New Roman" w:hAnsi="Verdana" w:cs="Arial"/>
          <w:lang w:val="es-ES" w:eastAsia="es-MX"/>
        </w:rPr>
        <w:t>) se rigen por el derecho privado, en virtud de la naturaleza de las actividades que desarrollan.  </w:t>
      </w:r>
    </w:p>
    <w:p w14:paraId="1CC2A161" w14:textId="77777777" w:rsidR="00D93D99" w:rsidRPr="00C40D52" w:rsidRDefault="00D93D99" w:rsidP="00D93D99">
      <w:pPr>
        <w:spacing w:after="120" w:line="276" w:lineRule="auto"/>
        <w:ind w:firstLine="709"/>
        <w:jc w:val="both"/>
        <w:textAlignment w:val="baseline"/>
        <w:rPr>
          <w:rFonts w:ascii="Verdana" w:eastAsia="Times New Roman" w:hAnsi="Verdana" w:cs="Arial"/>
          <w:lang w:val="es-ES_tradnl" w:eastAsia="es-MX"/>
        </w:rPr>
      </w:pPr>
      <w:r w:rsidRPr="00C40D52">
        <w:rPr>
          <w:rFonts w:ascii="Verdana" w:eastAsia="Times New Roman" w:hAnsi="Verdana" w:cs="Arial"/>
          <w:lang w:val="es-ES_tradnl" w:eastAsia="es-MX"/>
        </w:rPr>
        <w:t xml:space="preserve">Sin embargo, este Alto Tribunal, en sentencia C-529 del 12 de julio de 2006, hizo énfasis en que, a pesar del sometimiento al régimen jurídico de derecho privado para el desarrollo de sus actividades, las sociedades de economía mixta no pierden su carácter de expresión organizacional de la </w:t>
      </w:r>
      <w:r w:rsidRPr="00C40D52">
        <w:rPr>
          <w:rFonts w:ascii="Verdana" w:eastAsia="Times New Roman" w:hAnsi="Verdana" w:cs="Arial"/>
          <w:lang w:val="es-ES_tradnl" w:eastAsia="es-MX"/>
        </w:rPr>
        <w:lastRenderedPageBreak/>
        <w:t>actividad estatal</w:t>
      </w:r>
      <w:r w:rsidRPr="00C40D52">
        <w:rPr>
          <w:rStyle w:val="Refdenotaalpie"/>
          <w:rFonts w:ascii="Verdana" w:eastAsia="Times New Roman" w:hAnsi="Verdana" w:cs="Arial"/>
          <w:lang w:val="es-ES_tradnl" w:eastAsia="es-MX"/>
        </w:rPr>
        <w:footnoteReference w:id="4"/>
      </w:r>
      <w:r w:rsidRPr="00C40D52">
        <w:rPr>
          <w:rFonts w:ascii="Verdana" w:eastAsia="Times New Roman" w:hAnsi="Verdana" w:cs="Arial"/>
          <w:lang w:val="es-ES_tradnl" w:eastAsia="es-MX"/>
        </w:rPr>
        <w:t>, más precisamente de la función administrativa</w:t>
      </w:r>
      <w:r w:rsidRPr="00C40D52">
        <w:rPr>
          <w:rStyle w:val="Refdenotaalpie"/>
          <w:rFonts w:ascii="Verdana" w:eastAsia="Times New Roman" w:hAnsi="Verdana" w:cs="Arial"/>
          <w:lang w:val="es-ES_tradnl" w:eastAsia="es-MX"/>
        </w:rPr>
        <w:footnoteReference w:id="5"/>
      </w:r>
      <w:r w:rsidRPr="00C40D52">
        <w:rPr>
          <w:rFonts w:ascii="Verdana" w:eastAsia="Times New Roman" w:hAnsi="Verdana" w:cs="Arial"/>
          <w:lang w:val="es-ES_tradnl" w:eastAsia="es-MX"/>
        </w:rPr>
        <w:t>, en virtud del aporte público en la constitución del capital social y la consiguiente pertenencia a la administración pública, en la condición de entidades descentralizadas.</w:t>
      </w:r>
    </w:p>
    <w:p w14:paraId="71B5DA88" w14:textId="77777777" w:rsidR="00D93D99" w:rsidRPr="00C40D52" w:rsidRDefault="00D93D99" w:rsidP="00D93D99">
      <w:pPr>
        <w:spacing w:after="0" w:line="276" w:lineRule="auto"/>
        <w:ind w:firstLine="709"/>
        <w:jc w:val="both"/>
        <w:textAlignment w:val="baseline"/>
        <w:rPr>
          <w:rFonts w:ascii="Verdana" w:eastAsia="Times New Roman" w:hAnsi="Verdana" w:cs="Arial"/>
          <w:lang w:val="es-ES" w:eastAsia="es-MX"/>
        </w:rPr>
      </w:pPr>
      <w:r w:rsidRPr="00C40D52">
        <w:rPr>
          <w:rFonts w:ascii="Verdana" w:eastAsia="Times New Roman" w:hAnsi="Verdana" w:cs="Arial"/>
          <w:lang w:val="es-ES" w:eastAsia="es-MX"/>
        </w:rPr>
        <w:t>Así las cosas, resulta importante resaltar que, en nuestro ordenamiento jurídico, las sociedades de economía mixta están sometidas a un régimen jurídico compuesto por un conjunto normativo de derecho público y de derecho privado</w:t>
      </w:r>
      <w:r>
        <w:rPr>
          <w:rFonts w:ascii="Verdana" w:eastAsia="Times New Roman" w:hAnsi="Verdana" w:cs="Arial"/>
          <w:lang w:val="es-ES" w:eastAsia="es-MX"/>
        </w:rPr>
        <w:t>. E</w:t>
      </w:r>
      <w:r w:rsidRPr="00C40D52">
        <w:rPr>
          <w:rFonts w:ascii="Verdana" w:eastAsia="Times New Roman" w:hAnsi="Verdana" w:cs="Arial"/>
          <w:lang w:val="es-ES" w:eastAsia="es-MX"/>
        </w:rPr>
        <w:t xml:space="preserve">l primero, derivado directamente de la Constitución Política y referido a aspectos como su creación, autorización, organización y funcionamiento internos. Y el segundo destinado a regir el desarrollo de la actividad económica de cada sociedad. Ahora bien, también resulta importante señalar que el artículo 14 de la Ley 1150 de 2007 –modificado por el artículo 93 de la Ley 1474 de 2011– establece el régimen contractual de las sociedades de economía mixta, en las que el Estado tenga participación superior al cincuenta por ciento, señalando que: </w:t>
      </w:r>
    </w:p>
    <w:p w14:paraId="688D7A81" w14:textId="77777777" w:rsidR="00D93D99" w:rsidRPr="00C40D52" w:rsidRDefault="00D93D99" w:rsidP="00D93D99">
      <w:pPr>
        <w:spacing w:after="0" w:line="276" w:lineRule="auto"/>
        <w:ind w:firstLine="709"/>
        <w:jc w:val="both"/>
        <w:textAlignment w:val="baseline"/>
        <w:rPr>
          <w:rFonts w:ascii="Verdana" w:eastAsia="Times New Roman" w:hAnsi="Verdana" w:cs="Arial"/>
          <w:lang w:val="es-ES_tradnl" w:eastAsia="es-MX"/>
        </w:rPr>
      </w:pPr>
    </w:p>
    <w:p w14:paraId="16A1A4AC" w14:textId="77777777" w:rsidR="00D93D99" w:rsidRPr="00C40D52" w:rsidRDefault="00D93D99" w:rsidP="00D93D99">
      <w:pPr>
        <w:spacing w:after="0" w:line="240" w:lineRule="auto"/>
        <w:ind w:left="709" w:right="709"/>
        <w:jc w:val="both"/>
        <w:textAlignment w:val="baseline"/>
        <w:rPr>
          <w:rFonts w:ascii="Verdana" w:eastAsia="Times New Roman" w:hAnsi="Verdana" w:cs="Arial"/>
          <w:sz w:val="20"/>
          <w:szCs w:val="20"/>
          <w:lang w:val="es-ES_tradnl" w:eastAsia="es-MX"/>
        </w:rPr>
      </w:pPr>
      <w:r w:rsidRPr="00C40D52">
        <w:rPr>
          <w:rFonts w:ascii="Verdana" w:eastAsia="Times New Roman" w:hAnsi="Verdana" w:cs="Arial"/>
          <w:sz w:val="20"/>
          <w:szCs w:val="20"/>
          <w:lang w:val="es-ES_tradnl" w:eastAsia="es-MX"/>
        </w:rPr>
        <w:t xml:space="preserve">Artículo 14. DEL RÉGIMEN CONTRACTUAL DE LAS EMPRESAS INDUSTRIALES Y COMERCIALES DEL ESTADO, LAS SOCIEDADES DE ECONOMÍA MIXTA, SUS FILIALES Y EMPRESAS CON PARTICIPACIÓN MAYORITARIA DEL ESTADO. &lt;Artículo modificado por el artículo 93 de la Ley 1474 de 2011. El nuevo texto es el siguiente:&gt; Las Empresas Industriales y Comerciales del Estado, las Sociedades de Economía Mixta en las que el Estado tenga participación superior al cincuenta por ciento (50%), sus filiales y las Sociedades entre Entidades Públicas con </w:t>
      </w:r>
      <w:r w:rsidRPr="00C40D52">
        <w:rPr>
          <w:rFonts w:ascii="Verdana" w:eastAsia="Times New Roman" w:hAnsi="Verdana" w:cs="Arial"/>
          <w:sz w:val="20"/>
          <w:szCs w:val="20"/>
          <w:lang w:val="es-ES_tradnl" w:eastAsia="es-MX"/>
        </w:rPr>
        <w:lastRenderedPageBreak/>
        <w:t>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p w14:paraId="52370CFC" w14:textId="77777777" w:rsidR="00D93D99" w:rsidRPr="00122AC1" w:rsidRDefault="00D93D99" w:rsidP="00D93D99">
      <w:pPr>
        <w:spacing w:after="0" w:line="240" w:lineRule="auto"/>
        <w:ind w:left="709" w:right="709" w:firstLine="709"/>
        <w:jc w:val="both"/>
        <w:textAlignment w:val="baseline"/>
        <w:rPr>
          <w:rFonts w:ascii="Verdana" w:eastAsia="Times New Roman" w:hAnsi="Verdana" w:cs="Arial"/>
          <w:lang w:val="es-ES_tradnl" w:eastAsia="es-MX"/>
        </w:rPr>
      </w:pPr>
    </w:p>
    <w:p w14:paraId="24FA09B9" w14:textId="77777777" w:rsidR="00D93D99" w:rsidRDefault="00D93D99" w:rsidP="00D93D99">
      <w:pPr>
        <w:spacing w:after="120" w:line="276" w:lineRule="auto"/>
        <w:ind w:firstLine="708"/>
        <w:jc w:val="both"/>
        <w:textAlignment w:val="baseline"/>
        <w:rPr>
          <w:rFonts w:ascii="Verdana" w:eastAsia="Times New Roman" w:hAnsi="Verdana" w:cs="Arial"/>
          <w:lang w:val="es-MX" w:eastAsia="es-CO"/>
        </w:rPr>
      </w:pPr>
      <w:r w:rsidRPr="00C40D52">
        <w:rPr>
          <w:rFonts w:ascii="Verdana" w:eastAsia="Times New Roman" w:hAnsi="Verdana" w:cs="Arial"/>
          <w:lang w:val="es-ES" w:eastAsia="es-MX"/>
        </w:rPr>
        <w:t>Teniendo en cuenta el contexto anterior,</w:t>
      </w:r>
      <w:r>
        <w:rPr>
          <w:rFonts w:ascii="Verdana" w:eastAsia="Times New Roman" w:hAnsi="Verdana" w:cs="Arial"/>
          <w:lang w:val="es-ES" w:eastAsia="es-MX"/>
        </w:rPr>
        <w:t xml:space="preserve"> </w:t>
      </w:r>
      <w:r w:rsidRPr="00C40D52">
        <w:rPr>
          <w:rFonts w:ascii="Verdana" w:eastAsia="Times New Roman" w:hAnsi="Verdana" w:cs="Arial"/>
          <w:lang w:val="es-ES" w:eastAsia="es-MX"/>
        </w:rPr>
        <w:t xml:space="preserve">atendiendo a que </w:t>
      </w:r>
      <w:r>
        <w:rPr>
          <w:rFonts w:ascii="Verdana" w:eastAsia="Times New Roman" w:hAnsi="Verdana" w:cs="Arial"/>
          <w:lang w:val="es-ES" w:eastAsia="es-MX"/>
        </w:rPr>
        <w:t>la consulta</w:t>
      </w:r>
      <w:r w:rsidRPr="00C40D52">
        <w:rPr>
          <w:rFonts w:ascii="Verdana" w:eastAsia="Times New Roman" w:hAnsi="Verdana" w:cs="Arial"/>
          <w:lang w:val="es-ES" w:eastAsia="es-MX"/>
        </w:rPr>
        <w:t xml:space="preserve"> está relacionada con el alcance de las prohibiciones en materia contractual establecidas en la </w:t>
      </w:r>
      <w:r>
        <w:rPr>
          <w:rFonts w:ascii="Verdana" w:eastAsia="Times New Roman" w:hAnsi="Verdana" w:cs="Arial"/>
          <w:lang w:val="es-ES" w:eastAsia="es-MX"/>
        </w:rPr>
        <w:t>L</w:t>
      </w:r>
      <w:r w:rsidRPr="00C40D52">
        <w:rPr>
          <w:rFonts w:ascii="Verdana" w:eastAsia="Times New Roman" w:hAnsi="Verdana" w:cs="Arial"/>
          <w:lang w:val="es-ES" w:eastAsia="es-MX"/>
        </w:rPr>
        <w:t xml:space="preserve">ey 996 de 2005 –Ley de Garantías Electorales–, a </w:t>
      </w:r>
      <w:r w:rsidRPr="23D8F5BD">
        <w:rPr>
          <w:rFonts w:ascii="Verdana" w:eastAsia="Times New Roman" w:hAnsi="Verdana" w:cs="Arial"/>
          <w:lang w:val="es-ES" w:eastAsia="es-MX"/>
        </w:rPr>
        <w:t>continuación,</w:t>
      </w:r>
      <w:r w:rsidRPr="00C40D52">
        <w:rPr>
          <w:rFonts w:ascii="Verdana" w:eastAsia="Times New Roman" w:hAnsi="Verdana" w:cs="Arial"/>
          <w:lang w:val="es-ES" w:eastAsia="es-MX"/>
        </w:rPr>
        <w:t xml:space="preserve"> se analizará el alcance de las restricciones establecidas en el artículo 33 y el parágrafo del artículo 38. </w:t>
      </w:r>
    </w:p>
    <w:p w14:paraId="2753C072" w14:textId="77777777" w:rsidR="00D93D99" w:rsidRDefault="00D93D99" w:rsidP="00D93D99">
      <w:pPr>
        <w:tabs>
          <w:tab w:val="left" w:pos="426"/>
        </w:tabs>
        <w:spacing w:after="120" w:line="276" w:lineRule="auto"/>
        <w:jc w:val="both"/>
        <w:rPr>
          <w:rFonts w:ascii="Verdana" w:eastAsia="Calibri" w:hAnsi="Verdana" w:cs="Arial"/>
          <w:lang w:val="es-ES_tradnl"/>
        </w:rPr>
      </w:pPr>
      <w:r>
        <w:rPr>
          <w:rFonts w:ascii="Verdana" w:eastAsia="Times New Roman" w:hAnsi="Verdana" w:cs="Arial"/>
          <w:lang w:val="es-MX" w:eastAsia="es-CO"/>
        </w:rPr>
        <w:tab/>
      </w:r>
      <w:r>
        <w:rPr>
          <w:rFonts w:ascii="Verdana" w:eastAsia="Times New Roman" w:hAnsi="Verdana" w:cs="Arial"/>
          <w:lang w:val="es-MX" w:eastAsia="es-CO"/>
        </w:rPr>
        <w:tab/>
        <w:t>Para empezar, l</w:t>
      </w:r>
      <w:r w:rsidRPr="00E2397D">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6"/>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p>
    <w:p w14:paraId="530A9EC5" w14:textId="77777777" w:rsidR="00D93D99" w:rsidRPr="006B14B5" w:rsidRDefault="00D93D99" w:rsidP="00D93D99">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5979BEBC" w14:textId="77777777" w:rsidR="00D93D99" w:rsidRPr="00E2397D" w:rsidRDefault="00D93D99" w:rsidP="00D93D99">
      <w:pPr>
        <w:spacing w:after="0" w:line="276" w:lineRule="auto"/>
        <w:ind w:right="709"/>
        <w:contextualSpacing/>
        <w:jc w:val="both"/>
        <w:rPr>
          <w:rFonts w:ascii="Verdana" w:eastAsia="Times New Roman" w:hAnsi="Verdana" w:cs="Arial"/>
          <w:lang w:val="es-ES" w:eastAsia="es-CO"/>
        </w:rPr>
      </w:pPr>
    </w:p>
    <w:p w14:paraId="2E9723F7" w14:textId="77777777" w:rsidR="00D93D99" w:rsidRPr="00E2397D" w:rsidRDefault="00D93D99" w:rsidP="00D93D99">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774B8342" w14:textId="77777777" w:rsidR="00D93D99" w:rsidRPr="00E2397D" w:rsidRDefault="00D93D99" w:rsidP="00D93D99">
      <w:pPr>
        <w:spacing w:after="0" w:line="240" w:lineRule="auto"/>
        <w:ind w:left="709" w:right="709"/>
        <w:contextualSpacing/>
        <w:jc w:val="both"/>
        <w:rPr>
          <w:rFonts w:ascii="Verdana" w:eastAsia="Times New Roman" w:hAnsi="Verdana" w:cs="Arial"/>
          <w:sz w:val="20"/>
          <w:szCs w:val="20"/>
          <w:lang w:val="es-MX" w:eastAsia="es-CO"/>
        </w:rPr>
      </w:pPr>
    </w:p>
    <w:p w14:paraId="0935B37D" w14:textId="5C263732" w:rsidR="00D93D99" w:rsidRPr="00E2397D" w:rsidRDefault="00D93D99" w:rsidP="00D67EE2">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r w:rsidRPr="00E2397D">
        <w:rPr>
          <w:rFonts w:ascii="Verdana" w:eastAsia="Times New Roman" w:hAnsi="Verdana" w:cs="Arial"/>
          <w:sz w:val="20"/>
          <w:szCs w:val="20"/>
          <w:lang w:val="es-MX" w:eastAsia="es-CO"/>
        </w:rPr>
        <w:t xml:space="preserve">Una ley de garantías electorales es una guía para el ejercicio equitativo y transparente de la democracia representativa. Un estatuto diseñado </w:t>
      </w:r>
      <w:r w:rsidRPr="00E2397D">
        <w:rPr>
          <w:rFonts w:ascii="Verdana" w:eastAsia="Times New Roman" w:hAnsi="Verdana" w:cs="Arial"/>
          <w:sz w:val="20"/>
          <w:szCs w:val="20"/>
          <w:lang w:val="es-MX" w:eastAsia="es-CO"/>
        </w:rPr>
        <w:lastRenderedPageBreak/>
        <w:t>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7"/>
      </w:r>
    </w:p>
    <w:p w14:paraId="6C336B8B" w14:textId="77777777" w:rsidR="00D93D99" w:rsidRPr="00E2397D" w:rsidRDefault="00D93D99" w:rsidP="00D93D99">
      <w:pPr>
        <w:spacing w:after="0" w:line="276" w:lineRule="auto"/>
        <w:ind w:firstLine="709"/>
        <w:jc w:val="both"/>
        <w:rPr>
          <w:rFonts w:ascii="Verdana" w:eastAsia="Times New Roman" w:hAnsi="Verdana" w:cs="Arial"/>
          <w:lang w:val="es-MX" w:eastAsia="es-CO"/>
        </w:rPr>
      </w:pPr>
    </w:p>
    <w:p w14:paraId="0BB1A8FD" w14:textId="77777777" w:rsidR="00D93D99" w:rsidRPr="00E2397D" w:rsidRDefault="00D93D99" w:rsidP="00D93D99">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39AC9E32" w14:textId="77777777" w:rsidR="00D93D99" w:rsidRPr="00886C02" w:rsidRDefault="00D93D99" w:rsidP="00D93D99">
      <w:pPr>
        <w:spacing w:after="0" w:line="276" w:lineRule="auto"/>
        <w:ind w:firstLine="709"/>
        <w:jc w:val="both"/>
        <w:rPr>
          <w:rFonts w:ascii="Verdana" w:eastAsia="Times New Roman" w:hAnsi="Verdana" w:cs="Arial"/>
          <w:lang w:val="es-MX" w:eastAsia="es-CO"/>
        </w:rPr>
      </w:pPr>
    </w:p>
    <w:p w14:paraId="2E3DA50E" w14:textId="77777777" w:rsidR="00D93D99" w:rsidRPr="00E2397D" w:rsidRDefault="00D93D99" w:rsidP="00D93D99">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DF1C91B" w14:textId="77777777" w:rsidR="00D93D99" w:rsidRPr="00E2397D" w:rsidRDefault="00D93D99" w:rsidP="00D93D99">
      <w:pPr>
        <w:spacing w:after="0" w:line="240" w:lineRule="auto"/>
        <w:ind w:right="709"/>
        <w:contextualSpacing/>
        <w:jc w:val="both"/>
        <w:rPr>
          <w:rFonts w:ascii="Verdana" w:eastAsia="Times New Roman" w:hAnsi="Verdana" w:cs="Arial"/>
          <w:lang w:val="es-MX" w:eastAsia="es-CO"/>
        </w:rPr>
      </w:pPr>
    </w:p>
    <w:p w14:paraId="0FBCBB12" w14:textId="77777777" w:rsidR="00D93D99" w:rsidRPr="00E2397D" w:rsidRDefault="00D93D99" w:rsidP="00D93D99">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8"/>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9"/>
      </w:r>
      <w:r w:rsidRPr="00E2397D">
        <w:rPr>
          <w:rFonts w:ascii="Verdana" w:eastAsia="Times New Roman" w:hAnsi="Verdana" w:cs="Arial"/>
          <w:sz w:val="20"/>
          <w:szCs w:val="20"/>
          <w:lang w:val="es-MX" w:eastAsia="es-CO"/>
        </w:rPr>
        <w:t xml:space="preserve">, coinciden en que las normas que establecen prohibiciones deben estar de manera explícita en la Constitución o en la ley y no podrán ser excesivas </w:t>
      </w:r>
      <w:r w:rsidRPr="00E2397D">
        <w:rPr>
          <w:rFonts w:ascii="Verdana" w:eastAsia="Times New Roman" w:hAnsi="Verdana" w:cs="Arial"/>
          <w:sz w:val="20"/>
          <w:szCs w:val="20"/>
          <w:lang w:val="es-MX" w:eastAsia="es-CO"/>
        </w:rPr>
        <w:lastRenderedPageBreak/>
        <w:t>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10"/>
      </w:r>
      <w:r w:rsidRPr="00E2397D">
        <w:rPr>
          <w:rFonts w:ascii="Verdana" w:eastAsia="Times New Roman" w:hAnsi="Verdana" w:cs="Arial"/>
          <w:sz w:val="20"/>
          <w:szCs w:val="20"/>
          <w:lang w:val="es-MX" w:eastAsia="es-CO"/>
        </w:rPr>
        <w:t>.</w:t>
      </w:r>
    </w:p>
    <w:p w14:paraId="56616619" w14:textId="77777777" w:rsidR="00D93D99" w:rsidRPr="00E2397D" w:rsidRDefault="00D93D99" w:rsidP="00D93D99">
      <w:pPr>
        <w:spacing w:after="0" w:line="276" w:lineRule="auto"/>
        <w:jc w:val="both"/>
        <w:rPr>
          <w:rFonts w:ascii="Verdana" w:eastAsia="Calibri" w:hAnsi="Verdana" w:cs="Arial"/>
          <w:bCs/>
          <w:lang w:val="es-ES_tradnl"/>
        </w:rPr>
      </w:pPr>
    </w:p>
    <w:p w14:paraId="7196AEA3" w14:textId="77777777" w:rsidR="00D93D99" w:rsidRPr="00B3605D" w:rsidRDefault="00D93D99" w:rsidP="00D93D99">
      <w:pPr>
        <w:spacing w:after="120" w:line="276" w:lineRule="auto"/>
        <w:ind w:firstLine="709"/>
        <w:jc w:val="both"/>
        <w:rPr>
          <w:rFonts w:ascii="Verdana" w:eastAsia="Arial" w:hAnsi="Verdana" w:cs="Arial"/>
          <w:lang w:val="es-ES" w:eastAsia="es-ES" w:bidi="es-ES"/>
        </w:rPr>
      </w:pPr>
      <w:r w:rsidRPr="00B3605D">
        <w:rPr>
          <w:rFonts w:ascii="Verdana" w:eastAsia="Times New Roman" w:hAnsi="Verdana" w:cs="Arial"/>
          <w:lang w:val="es-MX" w:eastAsia="es-CO"/>
        </w:rPr>
        <w:t>De</w:t>
      </w:r>
      <w:r w:rsidRPr="00B3605D">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3CB69016" w14:textId="77777777" w:rsidR="00D93D99" w:rsidRDefault="00D93D99" w:rsidP="00D93D99">
      <w:pPr>
        <w:spacing w:after="0" w:line="276" w:lineRule="auto"/>
        <w:ind w:firstLine="709"/>
        <w:jc w:val="both"/>
        <w:rPr>
          <w:rFonts w:ascii="Verdana" w:eastAsia="Arial" w:hAnsi="Verdana" w:cs="Arial"/>
          <w:lang w:val="es-ES" w:eastAsia="es-ES" w:bidi="es-ES"/>
        </w:rPr>
      </w:pPr>
      <w:r w:rsidRPr="00B3605D">
        <w:rPr>
          <w:rFonts w:ascii="Verdana" w:eastAsia="Calibri" w:hAnsi="Verdana" w:cs="Arial"/>
          <w:lang w:val="es-ES"/>
        </w:rPr>
        <w:t xml:space="preserve">Las restricciones consagradas en la mencionada Ley se dirigen a dos tipos de campañas electorales: </w:t>
      </w:r>
      <w:r w:rsidRPr="00B3605D">
        <w:rPr>
          <w:rFonts w:ascii="Verdana" w:eastAsia="Arial" w:hAnsi="Verdana" w:cs="Arial"/>
          <w:lang w:val="es-ES" w:eastAsia="es-ES" w:bidi="es-ES"/>
        </w:rPr>
        <w:t>las presidenciales y las demás que se adelanten para la elección de los demás cargos de elección popular, tanto a nivel nacional como territorial:</w:t>
      </w:r>
    </w:p>
    <w:p w14:paraId="42C272FC" w14:textId="77777777" w:rsidR="00D93D99" w:rsidRDefault="00D93D99" w:rsidP="00D93D99">
      <w:pPr>
        <w:spacing w:after="0" w:line="240" w:lineRule="auto"/>
        <w:ind w:firstLine="709"/>
        <w:jc w:val="both"/>
        <w:rPr>
          <w:rFonts w:ascii="Verdana" w:eastAsia="Arial" w:hAnsi="Verdana" w:cs="Arial"/>
          <w:lang w:val="es-ES" w:eastAsia="es-ES" w:bidi="es-ES"/>
        </w:rPr>
      </w:pPr>
    </w:p>
    <w:p w14:paraId="38C202F7" w14:textId="77777777" w:rsidR="00D93D99" w:rsidRPr="00F2587B" w:rsidRDefault="00D93D99" w:rsidP="00D93D99">
      <w:pPr>
        <w:pStyle w:val="Prrafodelista"/>
        <w:numPr>
          <w:ilvl w:val="0"/>
          <w:numId w:val="9"/>
        </w:numPr>
        <w:spacing w:after="0" w:line="240" w:lineRule="auto"/>
        <w:contextualSpacing w:val="0"/>
        <w:jc w:val="both"/>
        <w:rPr>
          <w:rFonts w:ascii="Verdana" w:eastAsia="Arial" w:hAnsi="Verdana" w:cs="Arial"/>
          <w:i/>
          <w:lang w:eastAsia="es-ES" w:bidi="es-ES"/>
        </w:rPr>
      </w:pPr>
      <w:r w:rsidRPr="00F2587B">
        <w:rPr>
          <w:rFonts w:ascii="Verdana" w:eastAsia="Arial" w:hAnsi="Verdana" w:cs="Arial"/>
          <w:i/>
          <w:lang w:eastAsia="es-ES" w:bidi="es-ES"/>
        </w:rPr>
        <w:t xml:space="preserve">Restricciones </w:t>
      </w:r>
      <w:r>
        <w:rPr>
          <w:rFonts w:ascii="Verdana" w:eastAsia="Arial" w:hAnsi="Verdana" w:cs="Arial"/>
          <w:i/>
          <w:lang w:eastAsia="es-ES" w:bidi="es-ES"/>
        </w:rPr>
        <w:t>frente a</w:t>
      </w:r>
      <w:r w:rsidRPr="00F2587B">
        <w:rPr>
          <w:rFonts w:ascii="Verdana" w:eastAsia="Arial" w:hAnsi="Verdana" w:cs="Arial"/>
          <w:i/>
          <w:lang w:eastAsia="es-ES" w:bidi="es-ES"/>
        </w:rPr>
        <w:t xml:space="preserve"> elecciones presidenciales </w:t>
      </w:r>
    </w:p>
    <w:p w14:paraId="05F89A45" w14:textId="77777777" w:rsidR="00D93D99" w:rsidRPr="00A545DE" w:rsidRDefault="00D93D99" w:rsidP="00D93D99">
      <w:pPr>
        <w:pStyle w:val="Prrafodelista"/>
        <w:spacing w:after="0" w:line="240" w:lineRule="auto"/>
        <w:ind w:left="1080"/>
        <w:contextualSpacing w:val="0"/>
        <w:jc w:val="both"/>
        <w:rPr>
          <w:rFonts w:ascii="Verdana" w:eastAsia="Arial" w:hAnsi="Verdana" w:cs="Arial"/>
          <w:lang w:eastAsia="es-ES" w:bidi="es-ES"/>
        </w:rPr>
      </w:pPr>
    </w:p>
    <w:p w14:paraId="2D43090E" w14:textId="77777777" w:rsidR="00D93D99" w:rsidRPr="00FC54ED" w:rsidRDefault="00D93D99" w:rsidP="00D93D99">
      <w:pPr>
        <w:spacing w:after="0" w:line="240" w:lineRule="auto"/>
        <w:ind w:left="709" w:right="703"/>
        <w:jc w:val="both"/>
        <w:rPr>
          <w:rFonts w:ascii="Verdana" w:eastAsia="Times New Roman" w:hAnsi="Verdana" w:cs="Open Sans"/>
          <w:sz w:val="20"/>
          <w:szCs w:val="20"/>
          <w:lang w:eastAsia="es-CO"/>
        </w:rPr>
      </w:pPr>
      <w:bookmarkStart w:id="3" w:name="33"/>
      <w:r>
        <w:rPr>
          <w:rFonts w:ascii="Verdana" w:eastAsia="Times New Roman" w:hAnsi="Verdana" w:cs="Open Sans"/>
          <w:b/>
          <w:bCs/>
          <w:sz w:val="20"/>
          <w:szCs w:val="20"/>
          <w:lang w:eastAsia="es-CO"/>
        </w:rPr>
        <w:t>“</w:t>
      </w:r>
      <w:r w:rsidRPr="00FC54ED">
        <w:rPr>
          <w:rFonts w:ascii="Verdana" w:eastAsia="Times New Roman" w:hAnsi="Verdana" w:cs="Open Sans"/>
          <w:b/>
          <w:bCs/>
          <w:sz w:val="20"/>
          <w:szCs w:val="20"/>
          <w:lang w:eastAsia="es-CO"/>
        </w:rPr>
        <w:t>ARTÍCULO 33. RESTRICCIONES A LA CONTRATACIÓN PÚBLICA.</w:t>
      </w:r>
      <w:bookmarkEnd w:id="3"/>
      <w:r w:rsidRPr="00FC54ED">
        <w:rPr>
          <w:rFonts w:ascii="Verdana" w:eastAsia="Times New Roman" w:hAnsi="Verdana" w:cs="Open Sans"/>
          <w:sz w:val="20"/>
          <w:szCs w:val="20"/>
          <w:lang w:eastAsia="es-CO"/>
        </w:rPr>
        <w:t>  Durante los cuatro (4) meses anteriores a la elección presidencial y hasta la realización de la elección en la segunda vuelta, si fuere el caso, queda prohibida la contratación directa por parte de todos los entes del Estado.</w:t>
      </w:r>
    </w:p>
    <w:p w14:paraId="7FBF3C91" w14:textId="77777777" w:rsidR="00D93D99" w:rsidRPr="00FC54ED" w:rsidRDefault="00D93D99" w:rsidP="00D93D99">
      <w:pPr>
        <w:spacing w:after="0" w:line="240" w:lineRule="auto"/>
        <w:ind w:left="709" w:right="703"/>
        <w:jc w:val="both"/>
        <w:rPr>
          <w:rFonts w:ascii="Verdana" w:eastAsia="Times New Roman" w:hAnsi="Verdana" w:cs="Open Sans"/>
          <w:sz w:val="20"/>
          <w:szCs w:val="20"/>
          <w:lang w:eastAsia="es-CO"/>
        </w:rPr>
      </w:pPr>
    </w:p>
    <w:p w14:paraId="668388C0" w14:textId="77777777" w:rsidR="00D93D99" w:rsidRPr="00B3605D" w:rsidRDefault="00D93D99" w:rsidP="00D93D99">
      <w:pPr>
        <w:spacing w:after="0" w:line="240" w:lineRule="auto"/>
        <w:ind w:left="709" w:right="703"/>
        <w:jc w:val="both"/>
        <w:rPr>
          <w:rFonts w:ascii="Verdana" w:eastAsia="Times New Roman" w:hAnsi="Verdana" w:cs="Open Sans"/>
          <w:sz w:val="20"/>
          <w:szCs w:val="20"/>
          <w:lang w:eastAsia="es-CO"/>
        </w:rPr>
      </w:pPr>
      <w:r w:rsidRPr="00FC54ED">
        <w:rPr>
          <w:rFonts w:ascii="Verdana" w:eastAsia="Times New Roman" w:hAnsi="Verdana" w:cs="Open Sans"/>
          <w:sz w:val="20"/>
          <w:szCs w:val="20"/>
          <w:lang w:eastAsia="es-CO"/>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Times New Roman" w:hAnsi="Verdana" w:cs="Open Sans"/>
          <w:sz w:val="20"/>
          <w:szCs w:val="20"/>
          <w:lang w:eastAsia="es-CO"/>
        </w:rPr>
        <w:t>”</w:t>
      </w:r>
      <w:r w:rsidRPr="00FC54ED">
        <w:rPr>
          <w:rFonts w:ascii="Verdana" w:eastAsia="Times New Roman" w:hAnsi="Verdana" w:cs="Open Sans"/>
          <w:sz w:val="20"/>
          <w:szCs w:val="20"/>
          <w:lang w:eastAsia="es-CO"/>
        </w:rPr>
        <w:t>.</w:t>
      </w:r>
    </w:p>
    <w:p w14:paraId="5F22142D" w14:textId="77777777" w:rsidR="00D93D99" w:rsidRDefault="00D93D99" w:rsidP="00D93D99">
      <w:pPr>
        <w:spacing w:after="0" w:line="276" w:lineRule="auto"/>
        <w:ind w:right="618" w:firstLine="708"/>
        <w:jc w:val="both"/>
        <w:rPr>
          <w:rFonts w:ascii="Verdana" w:eastAsia="Times New Roman" w:hAnsi="Verdana" w:cs="Open Sans"/>
          <w:lang w:eastAsia="es-CO"/>
        </w:rPr>
      </w:pPr>
    </w:p>
    <w:p w14:paraId="396CE7CD" w14:textId="77777777" w:rsidR="00D93D99" w:rsidRDefault="00D93D99" w:rsidP="00D93D99">
      <w:pPr>
        <w:spacing w:after="120" w:line="276" w:lineRule="auto"/>
        <w:ind w:firstLine="709"/>
        <w:jc w:val="both"/>
        <w:rPr>
          <w:rFonts w:ascii="Verdana" w:eastAsia="Times New Roman" w:hAnsi="Verdana" w:cs="Open Sans"/>
          <w:lang w:eastAsia="es-CO"/>
        </w:rPr>
      </w:pPr>
      <w:r w:rsidRPr="00B3605D">
        <w:rPr>
          <w:rFonts w:ascii="Verdana" w:eastAsia="Times New Roman" w:hAnsi="Verdana" w:cs="Open Sans"/>
          <w:lang w:eastAsia="es-CO"/>
        </w:rPr>
        <w:lastRenderedPageBreak/>
        <w:t>Como se puede observar, el artículo 33 de la Ley 996 de 2</w:t>
      </w:r>
      <w:r>
        <w:rPr>
          <w:rFonts w:ascii="Verdana" w:eastAsia="Times New Roman" w:hAnsi="Verdana" w:cs="Open Sans"/>
          <w:lang w:eastAsia="es-CO"/>
        </w:rPr>
        <w:t>0</w:t>
      </w:r>
      <w:r w:rsidRPr="00B3605D">
        <w:rPr>
          <w:rFonts w:ascii="Verdana" w:eastAsia="Times New Roman" w:hAnsi="Verdana" w:cs="Open Sans"/>
          <w:lang w:eastAsia="es-CO"/>
        </w:rPr>
        <w:t xml:space="preserve">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Así, su ámbito de prohibición está delimitado por la expresión “</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Style w:val="Refdenotaalpie"/>
          <w:rFonts w:ascii="Verdana" w:eastAsia="Times New Roman" w:hAnsi="Verdana" w:cs="Open Sans"/>
          <w:lang w:eastAsia="es-CO"/>
        </w:rPr>
        <w:footnoteReference w:id="11"/>
      </w:r>
      <w:r>
        <w:rPr>
          <w:rFonts w:ascii="Verdana" w:eastAsia="Times New Roman" w:hAnsi="Verdana" w:cs="Open Sans"/>
          <w:lang w:eastAsia="es-CO"/>
        </w:rPr>
        <w:t>.</w:t>
      </w:r>
    </w:p>
    <w:p w14:paraId="22057B11" w14:textId="77777777" w:rsidR="00D93D99" w:rsidRDefault="00D93D99" w:rsidP="00D93D99">
      <w:pPr>
        <w:spacing w:after="120" w:line="276" w:lineRule="auto"/>
        <w:ind w:firstLine="709"/>
        <w:jc w:val="both"/>
        <w:rPr>
          <w:rFonts w:ascii="Verdana" w:eastAsia="Times New Roman" w:hAnsi="Verdana" w:cs="Open Sans"/>
          <w:lang w:eastAsia="es-CO"/>
        </w:rPr>
      </w:pPr>
      <w:r w:rsidRPr="00A545DE">
        <w:rPr>
          <w:rFonts w:ascii="Verdana" w:eastAsia="Times New Roman" w:hAnsi="Verdana" w:cs="Open Sans"/>
          <w:lang w:eastAsia="es-CO"/>
        </w:rPr>
        <w:t>De lo anterior se desprende que la restricción aplica, sin perjuicio de las excepciones establecidas en la misma ley, para celebrar cualquier contrato de</w:t>
      </w:r>
      <w:r w:rsidRPr="006A640E">
        <w:rPr>
          <w:rFonts w:ascii="Verdana" w:eastAsia="Times New Roman" w:hAnsi="Verdana" w:cs="Open Sans"/>
          <w:lang w:eastAsia="es-CO"/>
        </w:rPr>
        <w:t xml:space="preserve"> forma</w:t>
      </w:r>
      <w:r>
        <w:rPr>
          <w:rFonts w:ascii="Verdana" w:eastAsia="Times New Roman" w:hAnsi="Verdana" w:cs="Open Sans"/>
          <w:lang w:eastAsia="es-CO"/>
        </w:rPr>
        <w:t xml:space="preserve"> </w:t>
      </w:r>
      <w:r w:rsidRPr="006A640E">
        <w:rPr>
          <w:rFonts w:ascii="Verdana" w:eastAsia="Times New Roman" w:hAnsi="Verdana" w:cs="Open Sans"/>
          <w:lang w:eastAsia="es-CO"/>
        </w:rPr>
        <w:t>directa</w:t>
      </w:r>
      <w:r>
        <w:rPr>
          <w:rFonts w:ascii="Verdana" w:eastAsia="Times New Roman" w:hAnsi="Verdana" w:cs="Open Sans"/>
          <w:lang w:eastAsia="es-CO"/>
        </w:rPr>
        <w:t xml:space="preserve">, esto es, </w:t>
      </w:r>
      <w:r w:rsidRPr="006A640E">
        <w:rPr>
          <w:rFonts w:ascii="Verdana" w:eastAsia="Times New Roman" w:hAnsi="Verdana" w:cs="Open Sans"/>
          <w:lang w:eastAsia="es-CO"/>
        </w:rPr>
        <w:t>sin que exista un proceso abierto y competitivo. Por tanto, no son</w:t>
      </w:r>
      <w:r>
        <w:rPr>
          <w:rFonts w:ascii="Verdana" w:eastAsia="Times New Roman" w:hAnsi="Verdana" w:cs="Open Sans"/>
          <w:lang w:eastAsia="es-CO"/>
        </w:rPr>
        <w:t xml:space="preserve"> </w:t>
      </w:r>
      <w:r w:rsidRPr="006A640E">
        <w:rPr>
          <w:rFonts w:ascii="Verdana" w:eastAsia="Times New Roman" w:hAnsi="Verdana" w:cs="Open Sans"/>
          <w:lang w:eastAsia="es-CO"/>
        </w:rPr>
        <w:t>materia de la prohibición las demás modalidades de selección previstas en la Ley</w:t>
      </w:r>
      <w:r>
        <w:rPr>
          <w:rFonts w:ascii="Verdana" w:eastAsia="Times New Roman" w:hAnsi="Verdana" w:cs="Open Sans"/>
          <w:lang w:eastAsia="es-CO"/>
        </w:rPr>
        <w:t xml:space="preserve"> </w:t>
      </w:r>
      <w:r w:rsidRPr="006A640E">
        <w:rPr>
          <w:rFonts w:ascii="Verdana" w:eastAsia="Times New Roman" w:hAnsi="Verdana" w:cs="Open Sans"/>
          <w:lang w:eastAsia="es-CO"/>
        </w:rPr>
        <w:t>1150 de 2007, es decir, la licitación pública, el concurso de méritos, la selección</w:t>
      </w:r>
      <w:r>
        <w:rPr>
          <w:rFonts w:ascii="Verdana" w:eastAsia="Times New Roman" w:hAnsi="Verdana" w:cs="Open Sans"/>
          <w:lang w:eastAsia="es-CO"/>
        </w:rPr>
        <w:t xml:space="preserve"> </w:t>
      </w:r>
      <w:r w:rsidRPr="006A640E">
        <w:rPr>
          <w:rFonts w:ascii="Verdana" w:eastAsia="Times New Roman" w:hAnsi="Verdana" w:cs="Open Sans"/>
          <w:lang w:eastAsia="es-CO"/>
        </w:rPr>
        <w:t>abreviada y la contratación de mínima cuantía, razón por la cual en el período</w:t>
      </w:r>
      <w:r>
        <w:rPr>
          <w:rFonts w:ascii="Verdana" w:eastAsia="Times New Roman" w:hAnsi="Verdana" w:cs="Open Sans"/>
          <w:lang w:eastAsia="es-CO"/>
        </w:rPr>
        <w:t xml:space="preserve"> </w:t>
      </w:r>
      <w:r w:rsidRPr="006A640E">
        <w:rPr>
          <w:rFonts w:ascii="Verdana" w:eastAsia="Times New Roman" w:hAnsi="Verdana" w:cs="Open Sans"/>
          <w:lang w:eastAsia="es-CO"/>
        </w:rPr>
        <w:t>preelectoral de que trata la disposición las entidades públicas pueden seguir</w:t>
      </w:r>
      <w:r>
        <w:rPr>
          <w:rFonts w:ascii="Verdana" w:eastAsia="Times New Roman" w:hAnsi="Verdana" w:cs="Open Sans"/>
          <w:lang w:eastAsia="es-CO"/>
        </w:rPr>
        <w:t xml:space="preserve"> </w:t>
      </w:r>
      <w:r w:rsidRPr="006A640E">
        <w:rPr>
          <w:rFonts w:ascii="Verdana" w:eastAsia="Times New Roman" w:hAnsi="Verdana" w:cs="Open Sans"/>
          <w:lang w:eastAsia="es-CO"/>
        </w:rPr>
        <w:t>contratando bajo estos sistemas.</w:t>
      </w:r>
    </w:p>
    <w:p w14:paraId="474EFB9D" w14:textId="77777777" w:rsidR="00D93D99" w:rsidRDefault="00D93D99" w:rsidP="00D93D99">
      <w:pPr>
        <w:spacing w:after="120" w:line="276" w:lineRule="auto"/>
        <w:ind w:firstLine="709"/>
        <w:jc w:val="both"/>
        <w:rPr>
          <w:rFonts w:ascii="Verdana" w:hAnsi="Verdana"/>
          <w:iCs/>
        </w:rPr>
      </w:pPr>
      <w:r>
        <w:rPr>
          <w:rFonts w:ascii="Verdana" w:eastAsia="Times New Roman" w:hAnsi="Verdana" w:cs="Open Sans"/>
          <w:lang w:eastAsia="es-CO"/>
        </w:rPr>
        <w:t>Ahora bien</w:t>
      </w:r>
      <w:r w:rsidRPr="006A640E">
        <w:rPr>
          <w:rFonts w:ascii="Verdana" w:hAnsi="Verdana"/>
        </w:rPr>
        <w:t>,</w:t>
      </w:r>
      <w:r>
        <w:rPr>
          <w:rFonts w:ascii="Verdana" w:hAnsi="Verdana"/>
        </w:rPr>
        <w:t xml:space="preserve"> el ordenamiento jurídico contempla una serie de</w:t>
      </w:r>
      <w:r w:rsidRPr="006A640E">
        <w:rPr>
          <w:rFonts w:ascii="Verdana" w:hAnsi="Verdana"/>
        </w:rPr>
        <w:t xml:space="preserve"> excepciones a la restricción </w:t>
      </w:r>
      <w:r>
        <w:rPr>
          <w:rFonts w:ascii="Verdana" w:hAnsi="Verdana"/>
        </w:rPr>
        <w:t>de contratación directa</w:t>
      </w:r>
      <w:r w:rsidRPr="006A640E">
        <w:rPr>
          <w:rFonts w:ascii="Verdana" w:hAnsi="Verdana"/>
        </w:rPr>
        <w:t xml:space="preserve"> prevista en la Ley de Garantías</w:t>
      </w:r>
      <w:r>
        <w:rPr>
          <w:rFonts w:ascii="Verdana" w:hAnsi="Verdana"/>
        </w:rPr>
        <w:t xml:space="preserve"> Electorales</w:t>
      </w:r>
      <w:r w:rsidRPr="006A640E">
        <w:rPr>
          <w:rFonts w:ascii="Verdana" w:hAnsi="Verdana"/>
        </w:rPr>
        <w:t>, con fundamento en las cuales podrán las entidades públicas adelantar procedimientos de selección directa en períodos previos a la contienda electoral por la Presidencia</w:t>
      </w:r>
      <w:r>
        <w:rPr>
          <w:rFonts w:ascii="Verdana" w:hAnsi="Verdana"/>
        </w:rPr>
        <w:t>. Estas excepciones</w:t>
      </w:r>
      <w:r w:rsidRPr="006A640E">
        <w:rPr>
          <w:rFonts w:ascii="Verdana" w:hAnsi="Verdana"/>
        </w:rPr>
        <w:t xml:space="preserve"> se encuentran consagradas de manera taxativa en el inciso final del citado artículo 33 de la Ley 996 de 2005 en lo referente a: i) la defensa y seguridad del Estado; </w:t>
      </w:r>
      <w:proofErr w:type="spellStart"/>
      <w:r w:rsidRPr="006A640E">
        <w:rPr>
          <w:rFonts w:ascii="Verdana" w:hAnsi="Verdana"/>
        </w:rPr>
        <w:t>ii</w:t>
      </w:r>
      <w:proofErr w:type="spellEnd"/>
      <w:r w:rsidRPr="006A640E">
        <w:rPr>
          <w:rFonts w:ascii="Verdana" w:hAnsi="Verdana"/>
        </w:rPr>
        <w:t xml:space="preserve">) los contratos de crédito público; </w:t>
      </w:r>
      <w:proofErr w:type="spellStart"/>
      <w:r w:rsidRPr="006A640E">
        <w:rPr>
          <w:rFonts w:ascii="Verdana" w:hAnsi="Verdana"/>
        </w:rPr>
        <w:t>iii</w:t>
      </w:r>
      <w:proofErr w:type="spellEnd"/>
      <w:r w:rsidRPr="006A640E">
        <w:rPr>
          <w:rFonts w:ascii="Verdana" w:hAnsi="Verdana"/>
        </w:rPr>
        <w:t xml:space="preserve">) los requeridos para cubrir las emergencias educativas, sanitarias y desastres; </w:t>
      </w:r>
      <w:proofErr w:type="spellStart"/>
      <w:r w:rsidRPr="006A640E">
        <w:rPr>
          <w:rFonts w:ascii="Verdana" w:hAnsi="Verdana"/>
        </w:rPr>
        <w:t>iv</w:t>
      </w:r>
      <w:proofErr w:type="spellEnd"/>
      <w:r w:rsidRPr="006A640E">
        <w:rPr>
          <w:rFonts w:ascii="Verdana" w:hAnsi="Verdana"/>
        </w:rPr>
        <w:t xml:space="preserve">) los utilizados para la reconstrucción de vías, puentes, carreteras, infraestructura energética y de comunicaciones, en caso de que hayan sido objeto de atentados, acciones terroristas, desastres naturales o casos de fuerza mayor; y, v) </w:t>
      </w:r>
      <w:r w:rsidRPr="005A1342">
        <w:rPr>
          <w:rFonts w:ascii="Verdana" w:hAnsi="Verdana"/>
          <w:iCs/>
        </w:rPr>
        <w:t>los que deban realizar las entidades sanitarias y hospitalarias.</w:t>
      </w:r>
    </w:p>
    <w:p w14:paraId="3C1797F8" w14:textId="77777777" w:rsidR="00D93D99" w:rsidRDefault="00D93D99" w:rsidP="00D93D99">
      <w:pPr>
        <w:spacing w:after="120" w:line="276" w:lineRule="auto"/>
        <w:ind w:firstLine="709"/>
        <w:jc w:val="both"/>
        <w:rPr>
          <w:rFonts w:ascii="Verdana" w:hAnsi="Verdana"/>
        </w:rPr>
      </w:pPr>
      <w:r>
        <w:rPr>
          <w:rFonts w:ascii="Verdana" w:eastAsia="Times New Roman" w:hAnsi="Verdana" w:cs="Open Sans"/>
          <w:lang w:eastAsia="es-CO"/>
        </w:rPr>
        <w:lastRenderedPageBreak/>
        <w:t>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xml:space="preserve">, expresión que contempla a los diferentes organismos o entidades autorizadas por la ley para suscribir contratos. En efecto, tal como lo ha sostenido el Consejo de Estado, el vocablo </w:t>
      </w:r>
      <w:r>
        <w:rPr>
          <w:rFonts w:ascii="Verdana" w:hAnsi="Verdana"/>
        </w:rPr>
        <w:t>“</w:t>
      </w:r>
      <w:r w:rsidRPr="00D44FF2">
        <w:rPr>
          <w:rFonts w:ascii="Verdana" w:hAnsi="Verdana"/>
        </w:rPr>
        <w:t>todos</w:t>
      </w:r>
      <w:r>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rPr>
        <w:t xml:space="preserve"> </w:t>
      </w:r>
    </w:p>
    <w:p w14:paraId="702DC814" w14:textId="77777777" w:rsidR="00D93D99" w:rsidRDefault="00D93D99" w:rsidP="00D93D99">
      <w:pPr>
        <w:spacing w:after="0" w:line="276" w:lineRule="auto"/>
        <w:ind w:firstLine="709"/>
        <w:jc w:val="both"/>
        <w:rPr>
          <w:rFonts w:ascii="Verdana" w:eastAsia="Times New Roman" w:hAnsi="Verdana" w:cs="Arial"/>
          <w:lang w:val="es-ES"/>
        </w:rPr>
      </w:pPr>
      <w:r w:rsidRPr="00C40D52">
        <w:rPr>
          <w:rFonts w:ascii="Verdana" w:eastAsia="Times New Roman" w:hAnsi="Verdana" w:cs="Arial"/>
          <w:lang w:val="es-ES"/>
        </w:rPr>
        <w:t xml:space="preserve">En consecuencia, las restricciones a la contratación </w:t>
      </w:r>
      <w:r>
        <w:rPr>
          <w:rFonts w:ascii="Verdana" w:eastAsia="Times New Roman" w:hAnsi="Verdana" w:cs="Arial"/>
          <w:lang w:val="es-ES"/>
        </w:rPr>
        <w:t xml:space="preserve">directa </w:t>
      </w:r>
      <w:r w:rsidRPr="00C40D52">
        <w:rPr>
          <w:rFonts w:ascii="Verdana" w:eastAsia="Times New Roman" w:hAnsi="Verdana" w:cs="Arial"/>
          <w:lang w:val="es-ES"/>
        </w:rPr>
        <w:t>contenidas en la Ley de Garantías Electorales son aplicables a entidades descentralizadas como las sociedades de economía mixta</w:t>
      </w:r>
      <w:r>
        <w:rPr>
          <w:rFonts w:ascii="Verdana" w:eastAsia="Times New Roman" w:hAnsi="Verdana" w:cs="Arial"/>
          <w:lang w:val="es-ES"/>
        </w:rPr>
        <w:t>, a las que hace referencia en su consulta</w:t>
      </w:r>
      <w:r w:rsidRPr="00C40D52">
        <w:rPr>
          <w:rFonts w:ascii="Verdana" w:eastAsia="Times New Roman" w:hAnsi="Verdana" w:cs="Arial"/>
          <w:lang w:val="es-ES"/>
        </w:rPr>
        <w:t>. Por lo tanto, la celebración de cualquier contrato de forma directa, esto es, sin que exista un proceso abierto y competitivo, también se encuentra restringida para este tipo de entidades, sin perjuicio de las excepciones expresamente previstas en el inciso final del artículo 33 de dicha norma.</w:t>
      </w:r>
    </w:p>
    <w:p w14:paraId="27618FF1" w14:textId="77777777" w:rsidR="00D93D99" w:rsidRPr="005A1342" w:rsidRDefault="00D93D99" w:rsidP="00D93D99">
      <w:pPr>
        <w:spacing w:after="0" w:line="276" w:lineRule="auto"/>
        <w:ind w:firstLine="709"/>
        <w:jc w:val="both"/>
        <w:rPr>
          <w:rFonts w:ascii="Verdana" w:hAnsi="Verdana"/>
          <w:iCs/>
        </w:rPr>
      </w:pPr>
    </w:p>
    <w:p w14:paraId="64DBE0F2" w14:textId="77777777" w:rsidR="00D93D99" w:rsidRPr="00F2587B" w:rsidRDefault="00D93D99" w:rsidP="00D93D99">
      <w:pPr>
        <w:pStyle w:val="Prrafodelista"/>
        <w:numPr>
          <w:ilvl w:val="0"/>
          <w:numId w:val="9"/>
        </w:numPr>
        <w:spacing w:after="0" w:line="276" w:lineRule="auto"/>
        <w:contextualSpacing w:val="0"/>
        <w:jc w:val="both"/>
        <w:rPr>
          <w:rFonts w:ascii="Verdana" w:eastAsia="Times New Roman" w:hAnsi="Verdana" w:cs="Open Sans"/>
          <w:i/>
          <w:lang w:eastAsia="es-CO"/>
        </w:rPr>
      </w:pPr>
      <w:r w:rsidRPr="00F2587B">
        <w:rPr>
          <w:rFonts w:ascii="Verdana" w:eastAsia="Times New Roman" w:hAnsi="Verdana" w:cs="Open Sans"/>
          <w:i/>
          <w:lang w:eastAsia="es-CO"/>
        </w:rPr>
        <w:t xml:space="preserve">Restricciones </w:t>
      </w:r>
      <w:r>
        <w:rPr>
          <w:rFonts w:ascii="Verdana" w:eastAsia="Times New Roman" w:hAnsi="Verdana" w:cs="Open Sans"/>
          <w:i/>
          <w:lang w:eastAsia="es-CO"/>
        </w:rPr>
        <w:t>frente a las</w:t>
      </w:r>
      <w:r w:rsidRPr="00F2587B">
        <w:rPr>
          <w:rFonts w:ascii="Verdana" w:eastAsia="Times New Roman" w:hAnsi="Verdana" w:cs="Open Sans"/>
          <w:i/>
          <w:lang w:eastAsia="es-CO"/>
        </w:rPr>
        <w:t xml:space="preserve"> demás elecciones </w:t>
      </w:r>
    </w:p>
    <w:p w14:paraId="6251A04B" w14:textId="77777777" w:rsidR="00D93D99" w:rsidRDefault="00D93D99" w:rsidP="00D93D99">
      <w:pPr>
        <w:spacing w:after="0" w:line="276" w:lineRule="auto"/>
        <w:jc w:val="both"/>
        <w:rPr>
          <w:rFonts w:ascii="Verdana" w:eastAsia="Times New Roman" w:hAnsi="Verdana" w:cs="Open Sans"/>
          <w:lang w:eastAsia="es-CO"/>
        </w:rPr>
      </w:pPr>
    </w:p>
    <w:p w14:paraId="707F4B2A" w14:textId="77777777" w:rsidR="00D93D99" w:rsidRPr="00D61E29" w:rsidRDefault="00D93D99" w:rsidP="00D93D99">
      <w:pPr>
        <w:spacing w:after="0" w:line="276" w:lineRule="auto"/>
        <w:jc w:val="both"/>
        <w:rPr>
          <w:rFonts w:ascii="Verdana" w:eastAsia="Times New Roman" w:hAnsi="Verdana" w:cs="Open Sans"/>
          <w:lang w:eastAsia="es-CO"/>
        </w:rPr>
      </w:pPr>
      <w:r w:rsidRPr="00D61E29">
        <w:rPr>
          <w:rFonts w:ascii="Verdana" w:eastAsia="Times New Roman" w:hAnsi="Verdana" w:cs="Open Sans"/>
          <w:lang w:eastAsia="es-CO"/>
        </w:rPr>
        <w:t xml:space="preserve">Adicionalmente, el parágrafo del artículo 38 </w:t>
      </w:r>
      <w:r w:rsidRPr="00D61E29">
        <w:rPr>
          <w:rFonts w:ascii="Verdana" w:eastAsia="Calibri" w:hAnsi="Verdana" w:cs="Arial"/>
        </w:rPr>
        <w:t>prevé una restricción, aplicable respecto de cualquier tipo de contienda electoral, como sigue:</w:t>
      </w:r>
    </w:p>
    <w:p w14:paraId="5E737601" w14:textId="77777777" w:rsidR="00D93D99" w:rsidRDefault="00D93D99" w:rsidP="00D93D99">
      <w:pPr>
        <w:pStyle w:val="NormalWeb"/>
        <w:spacing w:after="0" w:line="276" w:lineRule="auto"/>
        <w:ind w:left="709" w:right="616"/>
        <w:jc w:val="both"/>
        <w:rPr>
          <w:rStyle w:val="baj"/>
          <w:rFonts w:ascii="Verdana" w:hAnsi="Verdana" w:cs="Open Sans"/>
          <w:b/>
          <w:sz w:val="20"/>
          <w:szCs w:val="20"/>
        </w:rPr>
      </w:pPr>
    </w:p>
    <w:p w14:paraId="0E82E5D9" w14:textId="77777777" w:rsidR="00D93D99" w:rsidRPr="00D61E29" w:rsidRDefault="00D93D99" w:rsidP="00D93D99">
      <w:pPr>
        <w:pStyle w:val="NormalWeb"/>
        <w:spacing w:after="0"/>
        <w:ind w:left="709" w:right="709"/>
        <w:jc w:val="both"/>
        <w:rPr>
          <w:rFonts w:ascii="Verdana" w:hAnsi="Verdana" w:cs="Open Sans"/>
          <w:sz w:val="20"/>
          <w:szCs w:val="20"/>
        </w:rPr>
      </w:pPr>
      <w:r>
        <w:rPr>
          <w:rStyle w:val="baj"/>
          <w:rFonts w:ascii="Verdana" w:hAnsi="Verdana" w:cs="Open Sans"/>
          <w:b/>
          <w:bCs/>
          <w:sz w:val="20"/>
          <w:szCs w:val="20"/>
        </w:rPr>
        <w:t>“</w:t>
      </w:r>
      <w:r w:rsidRPr="00D61E29">
        <w:rPr>
          <w:rStyle w:val="baj"/>
          <w:rFonts w:ascii="Verdana" w:hAnsi="Verdana" w:cs="Open Sans"/>
          <w:b/>
          <w:bCs/>
          <w:sz w:val="20"/>
          <w:szCs w:val="20"/>
        </w:rPr>
        <w:t>PARÁGRAFO.</w:t>
      </w:r>
      <w:r w:rsidRPr="00D61E29">
        <w:rPr>
          <w:rFonts w:ascii="Verdana" w:hAnsi="Verdana" w:cs="Open Sans"/>
          <w:sz w:val="20"/>
          <w:szCs w:val="20"/>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4EB8755F" w14:textId="77777777" w:rsidR="00D93D99" w:rsidRPr="00D61E29" w:rsidRDefault="00D93D99" w:rsidP="00D93D99">
      <w:pPr>
        <w:pStyle w:val="NormalWeb"/>
        <w:spacing w:after="0"/>
        <w:ind w:left="709" w:right="709"/>
        <w:jc w:val="both"/>
        <w:rPr>
          <w:rFonts w:ascii="Verdana" w:hAnsi="Verdana" w:cs="Open Sans"/>
          <w:sz w:val="20"/>
          <w:szCs w:val="20"/>
        </w:rPr>
      </w:pPr>
    </w:p>
    <w:p w14:paraId="157B988D" w14:textId="77777777" w:rsidR="00D93D99" w:rsidRPr="00D61E29" w:rsidRDefault="00D93D99" w:rsidP="00D93D99">
      <w:pPr>
        <w:pStyle w:val="NormalWeb"/>
        <w:spacing w:after="0"/>
        <w:ind w:left="709" w:right="709"/>
        <w:jc w:val="both"/>
        <w:rPr>
          <w:rFonts w:ascii="Verdana" w:hAnsi="Verdana" w:cs="Open Sans"/>
          <w:sz w:val="20"/>
          <w:szCs w:val="20"/>
        </w:rPr>
      </w:pPr>
      <w:r w:rsidRPr="00D61E29">
        <w:rPr>
          <w:rFonts w:ascii="Verdana" w:hAnsi="Verdana" w:cs="Open Sans"/>
          <w:sz w:val="20"/>
          <w:szCs w:val="20"/>
        </w:rPr>
        <w:t xml:space="preserve">Tampoco podrán inaugurar obras públicas o dar inicio a programas de carácter social en reuniones o eventos en los que participen candidatos a la Presidencia y Vicepresidencia de la República, el Congreso de la </w:t>
      </w:r>
      <w:r w:rsidRPr="00D61E29">
        <w:rPr>
          <w:rFonts w:ascii="Verdana" w:hAnsi="Verdana" w:cs="Open Sans"/>
          <w:sz w:val="20"/>
          <w:szCs w:val="20"/>
        </w:rPr>
        <w:lastRenderedPageBreak/>
        <w:t>República, gobernaciones departamentales, asambleas departamentales, alcaldías y concejos municipales o distritales. Tampoco podrán hacerlo cuando participen voceros de los candidatos.</w:t>
      </w:r>
    </w:p>
    <w:p w14:paraId="4198274C" w14:textId="77777777" w:rsidR="00D93D99" w:rsidRDefault="00D93D99" w:rsidP="00D93D99">
      <w:pPr>
        <w:pStyle w:val="NormalWeb"/>
        <w:spacing w:after="0"/>
        <w:ind w:left="709" w:right="709"/>
        <w:jc w:val="both"/>
        <w:rPr>
          <w:rFonts w:ascii="Verdana" w:hAnsi="Verdana" w:cs="Open Sans"/>
          <w:sz w:val="20"/>
          <w:szCs w:val="20"/>
        </w:rPr>
      </w:pPr>
    </w:p>
    <w:p w14:paraId="052872CB" w14:textId="77777777" w:rsidR="00D93D99" w:rsidRPr="00D61E29" w:rsidRDefault="00D93D99" w:rsidP="00D93D99">
      <w:pPr>
        <w:pStyle w:val="NormalWeb"/>
        <w:spacing w:after="0"/>
        <w:ind w:left="709" w:right="709"/>
        <w:jc w:val="both"/>
        <w:rPr>
          <w:rFonts w:ascii="Verdana" w:hAnsi="Verdana" w:cs="Open Sans"/>
          <w:sz w:val="20"/>
          <w:szCs w:val="20"/>
        </w:rPr>
      </w:pPr>
      <w:r w:rsidRPr="00D61E29">
        <w:rPr>
          <w:rFonts w:ascii="Verdana" w:hAnsi="Verdana" w:cs="Open Sans"/>
          <w:sz w:val="20"/>
          <w:szCs w:val="20"/>
        </w:rPr>
        <w:t>No podrán autorizar la utilización de inmuebles o bienes muebles de carácter público para actividades proselitistas, ni para facilitar el alojamiento, ni el transporte de electores de candidatos a cargos de elección popular. Tampoco podrán hacerlo cuando participen voceros de los candidatos.</w:t>
      </w:r>
    </w:p>
    <w:p w14:paraId="7BC88399" w14:textId="77777777" w:rsidR="00D93D99" w:rsidRDefault="00D93D99" w:rsidP="00D93D99">
      <w:pPr>
        <w:pStyle w:val="NormalWeb"/>
        <w:spacing w:after="0"/>
        <w:ind w:left="709" w:right="709"/>
        <w:jc w:val="both"/>
        <w:rPr>
          <w:rFonts w:ascii="Verdana" w:hAnsi="Verdana" w:cs="Open Sans"/>
          <w:sz w:val="20"/>
          <w:szCs w:val="20"/>
        </w:rPr>
      </w:pPr>
    </w:p>
    <w:p w14:paraId="566D8B14" w14:textId="77777777" w:rsidR="00D93D99" w:rsidRPr="00D61E29" w:rsidRDefault="00D93D99" w:rsidP="00D93D99">
      <w:pPr>
        <w:pStyle w:val="NormalWeb"/>
        <w:spacing w:after="0"/>
        <w:ind w:left="709" w:right="709"/>
        <w:jc w:val="both"/>
        <w:rPr>
          <w:rFonts w:ascii="Verdana" w:hAnsi="Verdana" w:cs="Open Sans"/>
          <w:sz w:val="20"/>
          <w:szCs w:val="20"/>
        </w:rPr>
      </w:pPr>
      <w:r w:rsidRPr="00D61E29">
        <w:rPr>
          <w:rFonts w:ascii="Verdana" w:hAnsi="Verdana" w:cs="Open Sans"/>
          <w:sz w:val="20"/>
          <w:szCs w:val="20"/>
        </w:rPr>
        <w:t>La nómina del respectivo ente territorial o entidad no se podrá modificar dentro de los cuatro (4) meses anteriores a las elecciones a cargos de elección popular, salvo que se trate de provisión de cargos por faltas definitivas, con ocasión de muerte o renuncia irrevocable del cargo correspondiente debidamente aceptada, y en los casos de aplicación de las normas de carrera administrativa</w:t>
      </w:r>
      <w:r>
        <w:rPr>
          <w:rFonts w:ascii="Verdana" w:hAnsi="Verdana" w:cs="Open Sans"/>
          <w:sz w:val="20"/>
          <w:szCs w:val="20"/>
        </w:rPr>
        <w:t>”</w:t>
      </w:r>
      <w:r w:rsidRPr="00D61E29">
        <w:rPr>
          <w:rFonts w:ascii="Verdana" w:hAnsi="Verdana" w:cs="Open Sans"/>
          <w:sz w:val="20"/>
          <w:szCs w:val="20"/>
        </w:rPr>
        <w:t>.</w:t>
      </w:r>
    </w:p>
    <w:p w14:paraId="437D59E7" w14:textId="77777777" w:rsidR="00D93D99" w:rsidRDefault="00D93D99" w:rsidP="00D93D99">
      <w:pPr>
        <w:widowControl w:val="0"/>
        <w:autoSpaceDE w:val="0"/>
        <w:autoSpaceDN w:val="0"/>
        <w:spacing w:after="0" w:line="276" w:lineRule="auto"/>
        <w:ind w:right="113"/>
        <w:contextualSpacing/>
        <w:jc w:val="both"/>
      </w:pPr>
    </w:p>
    <w:p w14:paraId="3AEED261" w14:textId="77777777" w:rsidR="00D93D99" w:rsidRPr="00775AB1" w:rsidRDefault="00D93D99" w:rsidP="00D93D99">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proofErr w:type="spellStart"/>
      <w:r w:rsidRPr="00E2397D">
        <w:rPr>
          <w:rFonts w:ascii="Verdana" w:eastAsia="Times New Roman" w:hAnsi="Verdana" w:cs="Arial"/>
          <w:lang w:eastAsia="es-CO"/>
        </w:rPr>
        <w:t>e</w:t>
      </w:r>
      <w:proofErr w:type="spellEnd"/>
      <w:r w:rsidRPr="00E2397D">
        <w:rPr>
          <w:rFonts w:ascii="Verdana" w:eastAsia="Times New Roman" w:hAnsi="Verdana" w:cs="Arial"/>
          <w:lang w:eastAsia="es-CO"/>
        </w:rPr>
        <w:t xml:space="preserve"> observa entonces </w:t>
      </w:r>
      <w:bookmarkStart w:id="4" w:name="_Hlk207205098"/>
      <w:r w:rsidRPr="00E2397D">
        <w:rPr>
          <w:rFonts w:ascii="Verdana" w:eastAsia="Times New Roman" w:hAnsi="Verdana" w:cs="Arial"/>
          <w:lang w:eastAsia="es-CO"/>
        </w:rPr>
        <w:t xml:space="preserve">que </w:t>
      </w:r>
      <w:r w:rsidRPr="00E2397D">
        <w:rPr>
          <w:rFonts w:ascii="Verdana" w:eastAsia="Times New Roman" w:hAnsi="Verdana" w:cs="Arial"/>
          <w:lang w:val="es-MX" w:eastAsia="es-CO"/>
        </w:rPr>
        <w:t xml:space="preserve">el parágrafo del artículo 38 de la Ley 996 de 2005 prohíbe a los Alcaldes, Gobernadores, Secretarios, Gerentes y Directores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bookmarkEnd w:id="4"/>
    </w:p>
    <w:p w14:paraId="77099672" w14:textId="77777777" w:rsidR="00D93D99" w:rsidRPr="00D61E29" w:rsidRDefault="00D93D99" w:rsidP="00D93D99">
      <w:pPr>
        <w:widowControl w:val="0"/>
        <w:autoSpaceDE w:val="0"/>
        <w:autoSpaceDN w:val="0"/>
        <w:spacing w:after="0" w:line="276" w:lineRule="auto"/>
        <w:ind w:firstLine="708"/>
        <w:contextualSpacing/>
        <w:jc w:val="both"/>
        <w:rPr>
          <w:rFonts w:ascii="Verdana" w:eastAsia="Arial" w:hAnsi="Verdana" w:cs="Arial"/>
          <w:lang w:val="es-ES" w:eastAsia="es-ES" w:bidi="es-ES"/>
        </w:rPr>
      </w:pPr>
      <w:r w:rsidRPr="00D61E29">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45DD90FE" w14:textId="77777777" w:rsidR="00D93D99" w:rsidRPr="00D61E29" w:rsidRDefault="00D93D99" w:rsidP="00D93D99">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60104A98" w14:textId="77777777" w:rsidR="00D93D99" w:rsidRPr="00D61E29" w:rsidRDefault="00D93D99" w:rsidP="00D93D99">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D61E29">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w:t>
      </w:r>
      <w:r w:rsidRPr="00D61E29">
        <w:rPr>
          <w:rFonts w:ascii="Verdana" w:eastAsia="Arial" w:hAnsi="Verdana" w:cs="Arial"/>
          <w:sz w:val="20"/>
          <w:szCs w:val="20"/>
          <w:lang w:eastAsia="es-ES" w:bidi="es-ES"/>
        </w:rPr>
        <w:lastRenderedPageBreak/>
        <w:t>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D61E29">
        <w:rPr>
          <w:rFonts w:ascii="Verdana" w:eastAsia="Arial" w:hAnsi="Verdana" w:cs="Arial"/>
          <w:sz w:val="20"/>
          <w:szCs w:val="20"/>
          <w:vertAlign w:val="superscript"/>
          <w:lang w:eastAsia="es-ES" w:bidi="es-ES"/>
        </w:rPr>
        <w:footnoteReference w:id="12"/>
      </w:r>
    </w:p>
    <w:p w14:paraId="6C0A9FC1" w14:textId="77777777" w:rsidR="00D93D99" w:rsidRPr="00D61E29" w:rsidRDefault="00D93D99" w:rsidP="00D93D99">
      <w:pPr>
        <w:widowControl w:val="0"/>
        <w:autoSpaceDE w:val="0"/>
        <w:autoSpaceDN w:val="0"/>
        <w:spacing w:after="0" w:line="276" w:lineRule="auto"/>
        <w:ind w:left="709" w:right="709"/>
        <w:jc w:val="both"/>
        <w:rPr>
          <w:rFonts w:ascii="Verdana" w:eastAsia="Arial" w:hAnsi="Verdana" w:cs="Arial"/>
          <w:sz w:val="20"/>
          <w:szCs w:val="20"/>
          <w:lang w:eastAsia="es-ES" w:bidi="es-ES"/>
        </w:rPr>
      </w:pPr>
    </w:p>
    <w:p w14:paraId="6E9F9696" w14:textId="77777777" w:rsidR="00D93D99" w:rsidRPr="00947721" w:rsidRDefault="00D93D99" w:rsidP="00D93D99">
      <w:pPr>
        <w:autoSpaceDE w:val="0"/>
        <w:autoSpaceDN w:val="0"/>
        <w:adjustRightInd w:val="0"/>
        <w:spacing w:after="120" w:line="276" w:lineRule="auto"/>
        <w:ind w:firstLine="708"/>
        <w:jc w:val="both"/>
        <w:rPr>
          <w:rFonts w:ascii="Verdana" w:hAnsi="Verdana" w:cs="BCDHEE+Verdana"/>
          <w:color w:val="000000"/>
        </w:rPr>
      </w:pPr>
      <w:r w:rsidRPr="00947721">
        <w:rPr>
          <w:rFonts w:ascii="Verdana" w:hAnsi="Verdana" w:cs="BCDHEE+Verdana"/>
          <w:color w:val="000000"/>
        </w:rPr>
        <w:t xml:space="preserve">Finalmente, sobre las fechas en que aplica la Ley de </w:t>
      </w:r>
      <w:r>
        <w:rPr>
          <w:rFonts w:ascii="Verdana" w:hAnsi="Verdana" w:cs="BCDHEE+Verdana"/>
          <w:color w:val="000000"/>
        </w:rPr>
        <w:t>G</w:t>
      </w:r>
      <w:r w:rsidRPr="00F44D6F">
        <w:rPr>
          <w:rFonts w:ascii="Verdana" w:hAnsi="Verdana" w:cs="BCDHEE+Verdana"/>
          <w:color w:val="000000"/>
        </w:rPr>
        <w:t>arantías</w:t>
      </w:r>
      <w:r>
        <w:rPr>
          <w:rFonts w:ascii="Verdana" w:hAnsi="Verdana" w:cs="BCDHEE+Verdana"/>
          <w:color w:val="000000"/>
        </w:rPr>
        <w:t xml:space="preserve"> Electorales</w:t>
      </w:r>
      <w:r w:rsidRPr="00947721">
        <w:rPr>
          <w:rFonts w:ascii="Verdana" w:hAnsi="Verdana" w:cs="BCDHEE+Verdana"/>
          <w:color w:val="000000"/>
        </w:rPr>
        <w:t>, se debe tener en cuenta que el Consejo Nacional Electoral mediante Resolución No. 2581 del 5 de marzo de 2025 fijó el calendario electoral para las elecciones al Congreso de la República que serán el 8 de marzo de 2026</w:t>
      </w:r>
      <w:r>
        <w:rPr>
          <w:rFonts w:ascii="Verdana" w:hAnsi="Verdana" w:cs="BCDHEE+Verdana"/>
          <w:color w:val="000000"/>
        </w:rPr>
        <w:t>. E</w:t>
      </w:r>
      <w:r w:rsidRPr="00947721">
        <w:rPr>
          <w:rFonts w:ascii="Verdana" w:hAnsi="Verdana" w:cs="BCDHEE+Verdana"/>
          <w:color w:val="000000"/>
        </w:rPr>
        <w:t>n esa medida, de acuerdo con el artículo 38 de la Ley 996 de 2005, la restricción inici</w:t>
      </w:r>
      <w:r>
        <w:rPr>
          <w:rFonts w:ascii="Verdana" w:hAnsi="Verdana" w:cs="BCDHEE+Verdana"/>
          <w:color w:val="000000"/>
        </w:rPr>
        <w:t>ó</w:t>
      </w:r>
      <w:r w:rsidRPr="00947721">
        <w:rPr>
          <w:rFonts w:ascii="Verdana" w:hAnsi="Verdana" w:cs="BCDHEE+Verdana"/>
          <w:color w:val="000000"/>
        </w:rPr>
        <w:t xml:space="preserve"> el 8 de noviembre de 2025, es decir, </w:t>
      </w:r>
      <w:r>
        <w:rPr>
          <w:rFonts w:ascii="Verdana" w:hAnsi="Verdana" w:cs="BCDHEE+Verdana"/>
          <w:color w:val="000000"/>
        </w:rPr>
        <w:t>cuatro (</w:t>
      </w:r>
      <w:r w:rsidRPr="00947721">
        <w:rPr>
          <w:rFonts w:ascii="Verdana" w:hAnsi="Verdana" w:cs="BCDHEE+Verdana"/>
          <w:color w:val="000000"/>
        </w:rPr>
        <w:t>4</w:t>
      </w:r>
      <w:r>
        <w:rPr>
          <w:rFonts w:ascii="Verdana" w:hAnsi="Verdana" w:cs="BCDHEE+Verdana"/>
          <w:color w:val="000000"/>
        </w:rPr>
        <w:t>)</w:t>
      </w:r>
      <w:r w:rsidRPr="00947721">
        <w:rPr>
          <w:rFonts w:ascii="Verdana" w:hAnsi="Verdana" w:cs="BCDHEE+Verdana"/>
          <w:color w:val="000000"/>
        </w:rPr>
        <w:t xml:space="preserve"> meses antes de la fecha de las elecciones, y las restricciones que se aplican son que prohíbe a los gobernadores, alcaldes municipales o distritales, secretarios, gerentes y directores de entidades descentralizadas del orden municipal, departamental o distrital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7B60F2D9" w14:textId="77777777" w:rsidR="00D93D99" w:rsidRPr="005D7599" w:rsidRDefault="00D93D99" w:rsidP="00D93D99">
      <w:pPr>
        <w:spacing w:after="120" w:line="276" w:lineRule="auto"/>
        <w:ind w:firstLine="708"/>
        <w:jc w:val="both"/>
        <w:rPr>
          <w:rFonts w:ascii="Verdana" w:eastAsia="Times New Roman" w:hAnsi="Verdana" w:cs="Arial"/>
          <w:bCs/>
          <w:lang w:val="es-ES" w:eastAsia="es-CO"/>
        </w:rPr>
      </w:pPr>
      <w:r w:rsidRPr="00DE5508">
        <w:rPr>
          <w:rFonts w:ascii="Verdana" w:hAnsi="Verdana" w:cs="BCDHEE+Verdana"/>
          <w:color w:val="000000"/>
        </w:rPr>
        <w:t xml:space="preserve">Para las elecciones presidenciales, el Consejo Nacional Electoral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w:t>
      </w:r>
      <w:r>
        <w:rPr>
          <w:rFonts w:ascii="Verdana" w:hAnsi="Verdana" w:cs="BCDHEE+Verdana"/>
          <w:color w:val="000000"/>
        </w:rPr>
        <w:t>cuatro (</w:t>
      </w:r>
      <w:r w:rsidRPr="00DE5508">
        <w:rPr>
          <w:rFonts w:ascii="Verdana" w:hAnsi="Verdana" w:cs="BCDHEE+Verdana"/>
          <w:color w:val="000000"/>
        </w:rPr>
        <w:t>4</w:t>
      </w:r>
      <w:r>
        <w:rPr>
          <w:rFonts w:ascii="Verdana" w:hAnsi="Verdana" w:cs="BCDHEE+Verdana"/>
          <w:color w:val="000000"/>
        </w:rPr>
        <w:t>)</w:t>
      </w:r>
      <w:r w:rsidRPr="00DE5508">
        <w:rPr>
          <w:rFonts w:ascii="Verdana" w:hAnsi="Verdana" w:cs="BCDHEE+Verdana"/>
          <w:color w:val="000000"/>
        </w:rPr>
        <w:t xml:space="preserve"> meses anteriores a la elección presidencial, es decir desde el 31 de enero de 2026 y hasta el momento de la celebración de la segunda vuelta, si fuere el caso, queda prohibida la contratación directa por parte de todos los entes del Estado</w:t>
      </w:r>
      <w:r w:rsidRPr="00122AC1">
        <w:rPr>
          <w:rFonts w:ascii="Verdana" w:hAnsi="Verdana" w:cs="BCDHEE+Verdana"/>
          <w:color w:val="000000"/>
        </w:rPr>
        <w:t>.</w:t>
      </w:r>
    </w:p>
    <w:p w14:paraId="5151607F" w14:textId="77777777" w:rsidR="00D93D99" w:rsidRPr="00E61635" w:rsidRDefault="00D93D99" w:rsidP="00D93D99">
      <w:pPr>
        <w:widowControl w:val="0"/>
        <w:autoSpaceDE w:val="0"/>
        <w:autoSpaceDN w:val="0"/>
        <w:spacing w:after="0" w:line="276" w:lineRule="auto"/>
        <w:ind w:right="176" w:firstLine="708"/>
        <w:jc w:val="both"/>
        <w:rPr>
          <w:rFonts w:ascii="Verdana" w:hAnsi="Verdana"/>
        </w:rPr>
      </w:pPr>
      <w:r w:rsidRPr="00E61635">
        <w:rPr>
          <w:rFonts w:ascii="Verdana" w:hAnsi="Verdana"/>
        </w:rPr>
        <w:lastRenderedPageBreak/>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determinar su gestión contractual durante la aplicación de las restricciones de la Ley de Garantías Electorales.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9EFD71B" w14:textId="77777777" w:rsidR="00D93D99" w:rsidRDefault="00D93D99" w:rsidP="00D93D99">
      <w:pPr>
        <w:spacing w:after="120" w:line="276" w:lineRule="auto"/>
        <w:jc w:val="both"/>
        <w:rPr>
          <w:rFonts w:ascii="Verdana" w:eastAsia="Calibri" w:hAnsi="Verdana" w:cs="Arial"/>
        </w:rPr>
      </w:pPr>
    </w:p>
    <w:p w14:paraId="411C0106" w14:textId="77777777" w:rsidR="00D93D99" w:rsidRPr="004F7B86" w:rsidRDefault="00D93D99" w:rsidP="00D93D99">
      <w:pPr>
        <w:spacing w:after="120" w:line="276" w:lineRule="auto"/>
        <w:ind w:firstLine="708"/>
        <w:jc w:val="both"/>
        <w:rPr>
          <w:rFonts w:ascii="Verdana" w:eastAsia="Calibri" w:hAnsi="Verdana" w:cs="Arial"/>
          <w:lang w:eastAsia="es-ES_tradnl"/>
        </w:rPr>
      </w:pP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6A601154" w14:textId="77777777" w:rsidR="00D93D99" w:rsidRDefault="00D93D99" w:rsidP="00D93D99">
      <w:pPr>
        <w:spacing w:after="0" w:line="276" w:lineRule="auto"/>
        <w:ind w:firstLine="708"/>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13CED9DE" w14:textId="77777777" w:rsidR="00D93D99" w:rsidRPr="00D93D99" w:rsidRDefault="00D93D99" w:rsidP="00871B59">
      <w:pPr>
        <w:widowControl w:val="0"/>
        <w:autoSpaceDE w:val="0"/>
        <w:autoSpaceDN w:val="0"/>
        <w:spacing w:after="0" w:line="276" w:lineRule="auto"/>
        <w:jc w:val="both"/>
        <w:rPr>
          <w:rFonts w:ascii="Verdana" w:hAnsi="Verdana" w:cs="Arial"/>
          <w:lang w:val="es-ES"/>
        </w:rPr>
      </w:pPr>
    </w:p>
    <w:p w14:paraId="54FB8649"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Referencias normativas, jurisprudenciales y otras fuentes:</w:t>
      </w:r>
    </w:p>
    <w:p w14:paraId="505B73F0" w14:textId="77777777" w:rsidR="00871B59" w:rsidRPr="00593A5F" w:rsidRDefault="00871B59" w:rsidP="00871B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593A5F" w14:paraId="03B22037" w14:textId="77777777" w:rsidTr="002607A7">
        <w:trPr>
          <w:trHeight w:val="870"/>
        </w:trPr>
        <w:tc>
          <w:tcPr>
            <w:tcW w:w="8647" w:type="dxa"/>
          </w:tcPr>
          <w:p w14:paraId="5B8E3EF8" w14:textId="77777777" w:rsidR="004A4B5F" w:rsidRPr="001D2E34" w:rsidRDefault="004A4B5F" w:rsidP="004A4B5F">
            <w:pPr>
              <w:widowControl w:val="0"/>
              <w:numPr>
                <w:ilvl w:val="0"/>
                <w:numId w:val="8"/>
              </w:numPr>
              <w:autoSpaceDE w:val="0"/>
              <w:autoSpaceDN w:val="0"/>
              <w:spacing w:after="120"/>
              <w:jc w:val="both"/>
              <w:rPr>
                <w:rFonts w:ascii="Verdana" w:eastAsia="Arial MT" w:hAnsi="Verdana" w:cs="Arial"/>
                <w:lang w:val="es-ES" w:eastAsia="es-ES" w:bidi="es-ES"/>
              </w:rPr>
            </w:pPr>
            <w:r>
              <w:rPr>
                <w:rFonts w:ascii="Verdana" w:eastAsia="Arial MT" w:hAnsi="Verdana" w:cs="Arial"/>
                <w:lang w:val="es-ES" w:eastAsia="es-ES" w:bidi="es-ES"/>
              </w:rPr>
              <w:lastRenderedPageBreak/>
              <w:t>Ley 489 de 1998: artículo 97.</w:t>
            </w:r>
          </w:p>
          <w:p w14:paraId="7B128A3B" w14:textId="77777777" w:rsidR="004A4B5F" w:rsidRPr="00B3605D" w:rsidRDefault="004A4B5F" w:rsidP="004A4B5F">
            <w:pPr>
              <w:widowControl w:val="0"/>
              <w:numPr>
                <w:ilvl w:val="0"/>
                <w:numId w:val="8"/>
              </w:numPr>
              <w:autoSpaceDE w:val="0"/>
              <w:autoSpaceDN w:val="0"/>
              <w:spacing w:after="120"/>
              <w:jc w:val="both"/>
              <w:rPr>
                <w:rFonts w:ascii="Verdana" w:eastAsia="Arial MT" w:hAnsi="Verdana" w:cs="Arial"/>
                <w:lang w:val="es-ES" w:eastAsia="es-ES" w:bidi="es-ES"/>
              </w:rPr>
            </w:pPr>
            <w:r w:rsidRPr="00DF1048">
              <w:rPr>
                <w:rFonts w:ascii="Verdana" w:eastAsia="Arial MT" w:hAnsi="Verdana" w:cs="Arial"/>
                <w:bCs/>
                <w:lang w:val="es-ES" w:eastAsia="es-ES" w:bidi="es-ES"/>
              </w:rPr>
              <w:t>Ley 996 de 2005: artículos 33 y 38 parágrafo.</w:t>
            </w:r>
          </w:p>
          <w:p w14:paraId="114DE6FB" w14:textId="77777777" w:rsidR="004A4B5F" w:rsidRPr="00274DBA" w:rsidRDefault="004A4B5F" w:rsidP="004A4B5F">
            <w:pPr>
              <w:widowControl w:val="0"/>
              <w:numPr>
                <w:ilvl w:val="0"/>
                <w:numId w:val="8"/>
              </w:numPr>
              <w:autoSpaceDE w:val="0"/>
              <w:autoSpaceDN w:val="0"/>
              <w:spacing w:after="120"/>
              <w:jc w:val="both"/>
              <w:rPr>
                <w:rFonts w:ascii="Verdana" w:eastAsia="Calibri" w:hAnsi="Verdana" w:cs="Arial"/>
                <w:lang w:val="es-ES"/>
              </w:rPr>
            </w:pPr>
            <w:r w:rsidRPr="00274DBA">
              <w:rPr>
                <w:rFonts w:ascii="Verdana" w:eastAsia="Calibri" w:hAnsi="Verdana" w:cs="Arial"/>
                <w:lang w:val="pt-BR"/>
              </w:rPr>
              <w:t xml:space="preserve">Corte Constitucional. Sentencia C -1153 de 2005. </w:t>
            </w:r>
            <w:r w:rsidRPr="00274DBA">
              <w:rPr>
                <w:rFonts w:ascii="Verdana" w:eastAsia="Calibri" w:hAnsi="Verdana" w:cs="Arial"/>
                <w:lang w:val="es-ES"/>
              </w:rPr>
              <w:t xml:space="preserve">M.P. Marco Gerardo Monroy Cabra. </w:t>
            </w:r>
          </w:p>
          <w:p w14:paraId="74A2F416" w14:textId="77777777" w:rsidR="004A4B5F" w:rsidRDefault="004A4B5F" w:rsidP="004A4B5F">
            <w:pPr>
              <w:widowControl w:val="0"/>
              <w:numPr>
                <w:ilvl w:val="0"/>
                <w:numId w:val="8"/>
              </w:numPr>
              <w:autoSpaceDE w:val="0"/>
              <w:autoSpaceDN w:val="0"/>
              <w:spacing w:after="120"/>
              <w:jc w:val="both"/>
              <w:rPr>
                <w:rFonts w:ascii="Verdana" w:eastAsia="Arial MT" w:hAnsi="Verdana" w:cs="Arial"/>
                <w:lang w:val="es-ES" w:eastAsia="es-ES" w:bidi="es-ES"/>
              </w:rPr>
            </w:pPr>
            <w:r w:rsidRPr="00B3605D">
              <w:rPr>
                <w:rFonts w:ascii="Verdana" w:eastAsia="Arial MT" w:hAnsi="Verdana" w:cs="Arial"/>
                <w:lang w:val="es-ES" w:eastAsia="es-ES" w:bidi="es-ES"/>
              </w:rPr>
              <w:t xml:space="preserve">Consejo de Estado, Sala de Consulta y Servicio Civil de fecha 24 de julio de 2013, Rad. 2166, C. P. Álvaro </w:t>
            </w:r>
            <w:proofErr w:type="spellStart"/>
            <w:r w:rsidRPr="00B3605D">
              <w:rPr>
                <w:rFonts w:ascii="Verdana" w:eastAsia="Arial MT" w:hAnsi="Verdana" w:cs="Arial"/>
                <w:lang w:val="es-ES" w:eastAsia="es-ES" w:bidi="es-ES"/>
              </w:rPr>
              <w:t>Namén</w:t>
            </w:r>
            <w:proofErr w:type="spellEnd"/>
            <w:r w:rsidRPr="00B3605D">
              <w:rPr>
                <w:rFonts w:ascii="Verdana" w:eastAsia="Arial MT" w:hAnsi="Verdana" w:cs="Arial"/>
                <w:lang w:val="es-ES" w:eastAsia="es-ES" w:bidi="es-ES"/>
              </w:rPr>
              <w:t xml:space="preserve"> Vargas.  </w:t>
            </w:r>
          </w:p>
          <w:p w14:paraId="48F8967D" w14:textId="005CA5DD" w:rsidR="00871B59" w:rsidRPr="004A4B5F" w:rsidRDefault="004A4B5F" w:rsidP="004A4B5F">
            <w:pPr>
              <w:pStyle w:val="Prrafodelista"/>
              <w:widowControl w:val="0"/>
              <w:numPr>
                <w:ilvl w:val="0"/>
                <w:numId w:val="8"/>
              </w:numPr>
              <w:autoSpaceDE w:val="0"/>
              <w:autoSpaceDN w:val="0"/>
              <w:contextualSpacing w:val="0"/>
              <w:jc w:val="both"/>
              <w:rPr>
                <w:rFonts w:ascii="Verdana" w:eastAsia="Calibri" w:hAnsi="Verdana" w:cs="Arial"/>
                <w:color w:val="000000" w:themeColor="text1"/>
              </w:rPr>
            </w:pPr>
            <w:r w:rsidRPr="0060146E">
              <w:rPr>
                <w:rFonts w:ascii="Verdana" w:hAnsi="Verdana"/>
              </w:rPr>
              <w:t xml:space="preserve">Consejo de Estado. Sala de Consulta y Servicio Civil. Concepto del 12 de junio de 2018. </w:t>
            </w:r>
            <w:proofErr w:type="spellStart"/>
            <w:r w:rsidRPr="0060146E">
              <w:rPr>
                <w:rFonts w:ascii="Verdana" w:hAnsi="Verdana"/>
              </w:rPr>
              <w:t>Exp</w:t>
            </w:r>
            <w:proofErr w:type="spellEnd"/>
            <w:r w:rsidRPr="0060146E">
              <w:rPr>
                <w:rFonts w:ascii="Verdana" w:hAnsi="Verdana"/>
              </w:rPr>
              <w:t>. 2371. C.P. Oscar Darío Amaya Navas</w:t>
            </w:r>
            <w:r>
              <w:rPr>
                <w:rFonts w:ascii="Verdana" w:eastAsia="Calibri" w:hAnsi="Verdana" w:cs="Arial"/>
              </w:rPr>
              <w:t>.</w:t>
            </w:r>
            <w:r w:rsidR="00871B59" w:rsidRPr="004A4B5F">
              <w:rPr>
                <w:rFonts w:ascii="Verdana" w:hAnsi="Verdana" w:cs="Arial"/>
              </w:rPr>
              <w:t xml:space="preserve"> </w:t>
            </w:r>
          </w:p>
        </w:tc>
      </w:tr>
    </w:tbl>
    <w:p w14:paraId="638A998C" w14:textId="77777777" w:rsidR="00871B59" w:rsidRPr="00593A5F" w:rsidRDefault="00871B59" w:rsidP="00871B59">
      <w:pPr>
        <w:widowControl w:val="0"/>
        <w:autoSpaceDE w:val="0"/>
        <w:autoSpaceDN w:val="0"/>
        <w:spacing w:after="0" w:line="276" w:lineRule="auto"/>
        <w:jc w:val="both"/>
        <w:rPr>
          <w:rFonts w:ascii="Verdana" w:hAnsi="Verdana" w:cs="Arial"/>
        </w:rPr>
      </w:pPr>
    </w:p>
    <w:p w14:paraId="57317935"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Pr>
          <w:rFonts w:ascii="Verdana" w:eastAsia="Century Gothic" w:hAnsi="Verdana" w:cs="Century Gothic"/>
          <w:b/>
          <w:bCs/>
          <w:lang w:val="es-ES"/>
        </w:rPr>
        <w:t>Doctrina de la Agencia Nacional de Contratación Pública</w:t>
      </w:r>
      <w:r w:rsidRPr="00593A5F">
        <w:rPr>
          <w:rFonts w:ascii="Verdana" w:eastAsia="Century Gothic" w:hAnsi="Verdana" w:cs="Century Gothic"/>
          <w:b/>
          <w:bCs/>
          <w:lang w:val="es-ES"/>
        </w:rPr>
        <w:t>:</w:t>
      </w:r>
    </w:p>
    <w:p w14:paraId="2003CEEE" w14:textId="77777777" w:rsidR="00871B59" w:rsidRDefault="00871B59" w:rsidP="00871B59">
      <w:pPr>
        <w:widowControl w:val="0"/>
        <w:autoSpaceDE w:val="0"/>
        <w:autoSpaceDN w:val="0"/>
        <w:spacing w:after="0" w:line="276" w:lineRule="auto"/>
        <w:jc w:val="both"/>
        <w:rPr>
          <w:rFonts w:ascii="Verdana" w:hAnsi="Verdana" w:cs="Arial"/>
        </w:rPr>
      </w:pPr>
    </w:p>
    <w:p w14:paraId="533A6935" w14:textId="42160941" w:rsidR="004A4B5F" w:rsidRPr="002A22D8" w:rsidRDefault="004A4B5F" w:rsidP="004A4B5F">
      <w:pPr>
        <w:widowControl w:val="0"/>
        <w:autoSpaceDE w:val="0"/>
        <w:autoSpaceDN w:val="0"/>
        <w:spacing w:after="0" w:line="276" w:lineRule="auto"/>
        <w:jc w:val="both"/>
        <w:rPr>
          <w:rFonts w:ascii="Verdana" w:hAnsi="Verdana" w:cs="Arial"/>
          <w:bCs/>
          <w:shd w:val="clear" w:color="auto" w:fill="FFFFFF"/>
        </w:rPr>
      </w:pPr>
      <w:r>
        <w:rPr>
          <w:rStyle w:val="normaltextrun"/>
          <w:rFonts w:ascii="Verdana" w:hAnsi="Verdana" w:cs="Arial"/>
          <w:shd w:val="clear" w:color="auto" w:fill="FFFFFF"/>
          <w:lang w:val="es-ES"/>
        </w:rPr>
        <w:t>Sobre la aplicación de la Ley de Garantías Electorales</w:t>
      </w:r>
      <w:r w:rsidRPr="00AD7D4E">
        <w:rPr>
          <w:rStyle w:val="normaltextrun"/>
          <w:rFonts w:ascii="Verdana" w:hAnsi="Verdana" w:cs="Arial"/>
          <w:shd w:val="clear" w:color="auto" w:fill="FFFFFF"/>
          <w:lang w:val="es-ES"/>
        </w:rPr>
        <w:t>, esta Subdirección se ha pronunciado en los conceptos</w:t>
      </w:r>
      <w:r>
        <w:rPr>
          <w:rStyle w:val="normaltextrun"/>
          <w:rFonts w:ascii="Verdana" w:hAnsi="Verdana" w:cs="Arial"/>
          <w:shd w:val="clear" w:color="auto" w:fill="FFFFFF"/>
          <w:lang w:val="es-ES"/>
        </w:rPr>
        <w:t xml:space="preserve"> </w:t>
      </w:r>
      <w:r w:rsidRPr="00CF7C16">
        <w:rPr>
          <w:rFonts w:ascii="Verdana" w:hAnsi="Verdana" w:cs="Arial"/>
          <w:shd w:val="clear" w:color="auto" w:fill="FFFFFF"/>
          <w:lang w:val="es-ES"/>
        </w:rPr>
        <w:t xml:space="preserve">C-636 del 16 de noviembre de 2021, 681 del 7 de diciembre de 2021, C-686 del 21 de diciembre de 2021, </w:t>
      </w:r>
      <w:r>
        <w:rPr>
          <w:rFonts w:ascii="Verdana" w:hAnsi="Verdana" w:cs="Arial"/>
          <w:shd w:val="clear" w:color="auto" w:fill="FFFFFF"/>
          <w:lang w:val="es-ES"/>
        </w:rPr>
        <w:t xml:space="preserve">C-1179 del 8 de abril de 2022, </w:t>
      </w:r>
      <w:r w:rsidRPr="00CF7C16">
        <w:rPr>
          <w:rFonts w:ascii="Verdana" w:hAnsi="Verdana" w:cs="Arial"/>
          <w:shd w:val="clear" w:color="auto" w:fill="FFFFFF"/>
          <w:lang w:val="es-ES"/>
        </w:rPr>
        <w:t xml:space="preserve">C-697 del 3 de enero de 2022, </w:t>
      </w:r>
      <w:r>
        <w:rPr>
          <w:rStyle w:val="normaltextrun"/>
          <w:rFonts w:ascii="Verdana" w:hAnsi="Verdana" w:cs="Arial"/>
          <w:shd w:val="clear" w:color="auto" w:fill="FFFFFF"/>
          <w:lang w:val="es-ES"/>
        </w:rPr>
        <w:t xml:space="preserve">C-329 del 24 de mayo de 2022, </w:t>
      </w:r>
      <w:r w:rsidRPr="00CF7C16">
        <w:rPr>
          <w:rFonts w:ascii="Verdana" w:hAnsi="Verdana" w:cs="Arial"/>
          <w:shd w:val="clear" w:color="auto" w:fill="FFFFFF"/>
          <w:lang w:val="es-ES"/>
        </w:rPr>
        <w:t>C-180 del 21 de marzo de 2025, C-317 del 25 de abril de 2025, C-510 del 4 de junio de 2025,</w:t>
      </w:r>
      <w:r>
        <w:rPr>
          <w:rFonts w:ascii="Verdana" w:hAnsi="Verdana" w:cs="Arial"/>
          <w:shd w:val="clear" w:color="auto" w:fill="FFFFFF"/>
          <w:lang w:val="es-ES"/>
        </w:rPr>
        <w:t xml:space="preserve"> C-856 del 11 de agosto de 2025</w:t>
      </w:r>
      <w:r w:rsidR="005462D2">
        <w:rPr>
          <w:rFonts w:ascii="Verdana" w:eastAsia="Calibri" w:hAnsi="Verdana" w:cs="Arial"/>
          <w:lang w:val="es-ES_tradnl" w:eastAsia="es-ES_tradnl"/>
        </w:rPr>
        <w:t xml:space="preserve">, </w:t>
      </w:r>
      <w:r>
        <w:rPr>
          <w:rFonts w:ascii="Verdana" w:eastAsia="Calibri" w:hAnsi="Verdana" w:cs="Arial"/>
          <w:lang w:val="es-ES_tradnl" w:eastAsia="es-ES_tradnl"/>
        </w:rPr>
        <w:t>C-1560 del 04 de diciembre de 2025</w:t>
      </w:r>
      <w:r w:rsidRPr="00B60BC4">
        <w:rPr>
          <w:rFonts w:ascii="Verdana" w:eastAsia="Calibri" w:hAnsi="Verdana" w:cs="Arial"/>
          <w:lang w:val="es-ES_tradnl" w:eastAsia="es-ES_tradnl"/>
        </w:rPr>
        <w:t xml:space="preserve"> </w:t>
      </w:r>
      <w:r w:rsidR="005462D2">
        <w:rPr>
          <w:rFonts w:ascii="Verdana" w:eastAsia="Calibri" w:hAnsi="Verdana" w:cs="Arial"/>
          <w:lang w:val="es-ES_tradnl" w:eastAsia="es-ES_tradnl"/>
        </w:rPr>
        <w:t xml:space="preserve">y el C- 181 del 2026, </w:t>
      </w:r>
      <w:r w:rsidRPr="00B60BC4">
        <w:rPr>
          <w:rFonts w:ascii="Verdana" w:eastAsia="Calibri" w:hAnsi="Verdana" w:cs="Arial"/>
          <w:lang w:val="es-ES_tradnl" w:eastAsia="es-ES_tradnl"/>
        </w:rPr>
        <w:t>entre otros</w:t>
      </w:r>
      <w:r w:rsidRPr="00024134">
        <w:rPr>
          <w:rStyle w:val="normaltextrun"/>
          <w:rFonts w:ascii="Verdana" w:hAnsi="Verdana" w:cs="Arial"/>
          <w:shd w:val="clear" w:color="auto" w:fill="FFFFFF"/>
          <w:lang w:val="es-ES"/>
        </w:rPr>
        <w:t xml:space="preserve">. </w:t>
      </w:r>
      <w:r w:rsidRPr="00024134">
        <w:rPr>
          <w:rFonts w:ascii="Verdana" w:eastAsia="Calibri" w:hAnsi="Verdana" w:cs="Times New Roman"/>
        </w:rPr>
        <w:t>Estos se encuentran</w:t>
      </w:r>
      <w:r w:rsidRPr="00185EE9">
        <w:rPr>
          <w:rFonts w:ascii="Verdana" w:eastAsia="Calibri" w:hAnsi="Verdana" w:cs="Times New Roman"/>
        </w:rPr>
        <w:t xml:space="preserve">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0C060691" w14:textId="1E809869" w:rsidR="004A4B5F" w:rsidRPr="005462D2" w:rsidRDefault="000D343B" w:rsidP="004A4B5F">
      <w:pPr>
        <w:widowControl w:val="0"/>
        <w:autoSpaceDE w:val="0"/>
        <w:autoSpaceDN w:val="0"/>
        <w:spacing w:after="0" w:line="276" w:lineRule="auto"/>
        <w:jc w:val="both"/>
        <w:rPr>
          <w:rFonts w:ascii="Verdana" w:eastAsia="Calibri" w:hAnsi="Verdana" w:cs="Arial"/>
          <w:lang w:val="es-ES_tradnl" w:eastAsia="en-GB"/>
        </w:rPr>
      </w:pPr>
      <w:hyperlink r:id="rId13" w:history="1">
        <w:r w:rsidR="004A4B5F" w:rsidRPr="00191357">
          <w:rPr>
            <w:rStyle w:val="Hipervnculo"/>
            <w:rFonts w:ascii="Verdana" w:eastAsia="Calibri" w:hAnsi="Verdana" w:cs="Times New Roman"/>
            <w:lang w:val="es-ES"/>
          </w:rPr>
          <w:t>https://relatoria.colombiacompra.gov.co/busqueda/conceptos</w:t>
        </w:r>
      </w:hyperlink>
      <w:r w:rsidR="004A4B5F" w:rsidRPr="00185EE9">
        <w:rPr>
          <w:rFonts w:ascii="Verdana" w:eastAsia="Calibri" w:hAnsi="Verdana" w:cs="Times New Roman"/>
        </w:rPr>
        <w:t>.</w:t>
      </w:r>
    </w:p>
    <w:p w14:paraId="5E369DCC" w14:textId="77777777" w:rsidR="004A4B5F" w:rsidRDefault="004A4B5F" w:rsidP="004A4B5F">
      <w:pPr>
        <w:widowControl w:val="0"/>
        <w:autoSpaceDE w:val="0"/>
        <w:autoSpaceDN w:val="0"/>
        <w:spacing w:after="0" w:line="276" w:lineRule="auto"/>
        <w:jc w:val="both"/>
        <w:rPr>
          <w:rFonts w:ascii="Verdana" w:hAnsi="Verdana"/>
        </w:rPr>
      </w:pPr>
    </w:p>
    <w:p w14:paraId="4AA09F74" w14:textId="77777777" w:rsidR="005462D2" w:rsidRPr="009A385A" w:rsidRDefault="005462D2" w:rsidP="005462D2">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0F121323" w14:textId="77777777" w:rsidR="005462D2" w:rsidRDefault="005462D2" w:rsidP="005462D2">
      <w:pPr>
        <w:jc w:val="both"/>
        <w:rPr>
          <w:rFonts w:ascii="Verdana" w:hAnsi="Verdana"/>
        </w:rPr>
      </w:pPr>
      <w:r>
        <w:rPr>
          <w:rFonts w:ascii="Verdana" w:hAnsi="Verdana"/>
        </w:rPr>
        <w:lastRenderedPageBreak/>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1BEF6920" w14:textId="4663A3B9" w:rsidR="005462D2" w:rsidRPr="00103B90" w:rsidRDefault="005462D2" w:rsidP="005462D2">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705092FE" w14:textId="77777777" w:rsidR="004A4B5F" w:rsidRPr="00505CD6" w:rsidRDefault="004A4B5F" w:rsidP="004A4B5F">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5E240C17" w14:textId="77777777" w:rsidR="004A4B5F" w:rsidRPr="00505CD6" w:rsidRDefault="004A4B5F" w:rsidP="004A4B5F">
      <w:pPr>
        <w:widowControl w:val="0"/>
        <w:autoSpaceDE w:val="0"/>
        <w:autoSpaceDN w:val="0"/>
        <w:spacing w:after="0" w:line="276" w:lineRule="auto"/>
        <w:jc w:val="both"/>
        <w:rPr>
          <w:rFonts w:ascii="Verdana" w:hAnsi="Verdana" w:cs="Arial"/>
        </w:rPr>
      </w:pPr>
    </w:p>
    <w:p w14:paraId="35145D5B"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694E2AB2" w14:textId="77777777" w:rsidR="008815E5" w:rsidRPr="003E2460" w:rsidRDefault="008815E5" w:rsidP="008815E5">
      <w:pPr>
        <w:spacing w:after="0" w:line="240" w:lineRule="auto"/>
        <w:jc w:val="both"/>
        <w:rPr>
          <w:rFonts w:ascii="Verdana" w:hAnsi="Verdana"/>
        </w:rPr>
      </w:pPr>
    </w:p>
    <w:p w14:paraId="76C8E92B"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14A61627" w14:textId="77777777" w:rsidR="008815E5" w:rsidRPr="003E2460" w:rsidRDefault="008815E5" w:rsidP="1F9252E4">
      <w:pPr>
        <w:spacing w:after="0" w:line="240" w:lineRule="auto"/>
        <w:jc w:val="both"/>
        <w:rPr>
          <w:rFonts w:ascii="Verdana" w:hAnsi="Verdana"/>
        </w:rPr>
      </w:pPr>
      <w:r w:rsidRPr="1F9252E4">
        <w:rPr>
          <w:rFonts w:ascii="Verdana" w:hAnsi="Verdana"/>
        </w:rPr>
        <w:t xml:space="preserve">Facebook: </w:t>
      </w:r>
      <w:proofErr w:type="spellStart"/>
      <w:r w:rsidRPr="1F9252E4">
        <w:rPr>
          <w:rStyle w:val="Hipervnculo"/>
          <w:rFonts w:ascii="Verdana" w:hAnsi="Verdana"/>
          <w:color w:val="4472C4" w:themeColor="accent1"/>
        </w:rPr>
        <w:t>ColombiaCompraEficiente</w:t>
      </w:r>
      <w:proofErr w:type="spellEnd"/>
    </w:p>
    <w:p w14:paraId="42AC8F7D"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71098686" w14:textId="77777777" w:rsidR="00871B59" w:rsidRPr="00593A5F" w:rsidRDefault="00871B59" w:rsidP="00871B59">
      <w:pPr>
        <w:widowControl w:val="0"/>
        <w:autoSpaceDE w:val="0"/>
        <w:autoSpaceDN w:val="0"/>
        <w:spacing w:after="0" w:line="276" w:lineRule="auto"/>
        <w:jc w:val="both"/>
        <w:rPr>
          <w:rFonts w:ascii="Verdana" w:hAnsi="Verdana" w:cs="Arial"/>
        </w:rPr>
      </w:pPr>
    </w:p>
    <w:p w14:paraId="157AB3E6" w14:textId="77777777" w:rsidR="00871B59" w:rsidRPr="00593A5F" w:rsidRDefault="00871B59" w:rsidP="00871B5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F5443B7" w14:textId="77777777" w:rsidR="00871B59" w:rsidRPr="00593A5F" w:rsidRDefault="00871B59" w:rsidP="00871B59">
      <w:pPr>
        <w:widowControl w:val="0"/>
        <w:autoSpaceDE w:val="0"/>
        <w:autoSpaceDN w:val="0"/>
        <w:spacing w:after="0" w:line="276" w:lineRule="auto"/>
        <w:jc w:val="both"/>
        <w:rPr>
          <w:rFonts w:ascii="Verdana" w:hAnsi="Verdana" w:cs="Arial"/>
        </w:rPr>
      </w:pPr>
    </w:p>
    <w:p w14:paraId="7EB6900E" w14:textId="77777777" w:rsidR="00871B59" w:rsidRPr="00593A5F" w:rsidRDefault="00871B59" w:rsidP="00871B5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374E762" w14:textId="77777777" w:rsidR="00871B59" w:rsidRPr="00593A5F" w:rsidRDefault="00871B59" w:rsidP="00871B59">
      <w:pPr>
        <w:spacing w:after="0" w:line="240" w:lineRule="auto"/>
        <w:rPr>
          <w:rFonts w:ascii="Verdana" w:eastAsia="Times New Roman" w:hAnsi="Verdana" w:cs="Arial"/>
          <w:sz w:val="24"/>
          <w:szCs w:val="24"/>
          <w:lang w:eastAsia="es-ES"/>
        </w:rPr>
      </w:pPr>
    </w:p>
    <w:p w14:paraId="48E0F300" w14:textId="77777777" w:rsidR="00D67EE2" w:rsidRPr="006E273C" w:rsidRDefault="00D67EE2" w:rsidP="00D67EE2">
      <w:pPr>
        <w:spacing w:after="0" w:line="240" w:lineRule="auto"/>
        <w:jc w:val="both"/>
        <w:textAlignment w:val="baseline"/>
        <w:rPr>
          <w:rFonts w:ascii="Verdana" w:eastAsia="Times New Roman" w:hAnsi="Verdana" w:cs="Segoe UI"/>
          <w:lang w:eastAsia="es-CO"/>
        </w:rPr>
      </w:pPr>
    </w:p>
    <w:p w14:paraId="78D7342B" w14:textId="3074E31A" w:rsidR="00D67EE2" w:rsidRPr="004667F5" w:rsidRDefault="00D67EE2" w:rsidP="00D67EE2">
      <w:pPr>
        <w:jc w:val="both"/>
        <w:textAlignment w:val="baseline"/>
        <w:rPr>
          <w:rFonts w:ascii="Verdana" w:eastAsia="Times New Roman" w:hAnsi="Verdana"/>
          <w:lang w:eastAsia="es-CO"/>
        </w:rPr>
      </w:pPr>
      <w:r w:rsidRPr="006E273C">
        <w:rPr>
          <w:rFonts w:ascii="Verdana" w:eastAsia="Times New Roman" w:hAnsi="Verdana" w:cs="Calibri"/>
          <w:lang w:eastAsia="es-CO"/>
        </w:rPr>
        <w:t> </w:t>
      </w:r>
    </w:p>
    <w:p w14:paraId="72F94869" w14:textId="2A1FD914" w:rsidR="00D67EE2" w:rsidRDefault="00D16CD0" w:rsidP="00D67EE2">
      <w:pPr>
        <w:spacing w:after="0" w:line="240" w:lineRule="auto"/>
        <w:jc w:val="center"/>
        <w:textAlignment w:val="baseline"/>
        <w:rPr>
          <w:rFonts w:ascii="Verdana" w:eastAsia="Times New Roman" w:hAnsi="Verdana" w:cs="Segoe UI"/>
          <w:b/>
          <w:bCs/>
          <w:lang w:val="es-MX" w:eastAsia="es-CO"/>
        </w:rPr>
      </w:pPr>
      <w:r w:rsidRPr="004D5C25">
        <w:rPr>
          <w:rFonts w:ascii="Century Gothic" w:hAnsi="Century Gothic"/>
          <w:noProof/>
        </w:rPr>
        <w:drawing>
          <wp:inline distT="0" distB="0" distL="0" distR="0" wp14:anchorId="22D78F89" wp14:editId="42AA483F">
            <wp:extent cx="3385733" cy="1453515"/>
            <wp:effectExtent l="0" t="0" r="5715"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394701" cy="1457365"/>
                    </a:xfrm>
                    <a:prstGeom prst="rect">
                      <a:avLst/>
                    </a:prstGeom>
                  </pic:spPr>
                </pic:pic>
              </a:graphicData>
            </a:graphic>
          </wp:inline>
        </w:drawing>
      </w:r>
    </w:p>
    <w:p w14:paraId="605BC879" w14:textId="77777777" w:rsidR="00D67EE2" w:rsidRPr="004667F5" w:rsidRDefault="00D67EE2" w:rsidP="00D67EE2">
      <w:pPr>
        <w:spacing w:after="0" w:line="240" w:lineRule="auto"/>
        <w:jc w:val="center"/>
        <w:textAlignment w:val="baseline"/>
        <w:rPr>
          <w:rFonts w:ascii="Verdana" w:eastAsia="Times New Roman" w:hAnsi="Verdana" w:cs="Segoe UI"/>
          <w:b/>
          <w:bCs/>
          <w:lang w:val="es-MX"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67EE2" w:rsidRPr="00593A5F" w14:paraId="356CE54C" w14:textId="77777777" w:rsidTr="00E9164D">
        <w:trPr>
          <w:trHeight w:val="315"/>
        </w:trPr>
        <w:tc>
          <w:tcPr>
            <w:tcW w:w="893" w:type="dxa"/>
            <w:vAlign w:val="center"/>
            <w:hideMark/>
          </w:tcPr>
          <w:p w14:paraId="3C26AC30" w14:textId="77777777" w:rsidR="00D67EE2" w:rsidRPr="004E6C40" w:rsidRDefault="00D67EE2" w:rsidP="00E9164D">
            <w:pPr>
              <w:contextualSpacing/>
              <w:rPr>
                <w:rFonts w:ascii="Verdana" w:hAnsi="Verdana" w:cs="Arial"/>
                <w:sz w:val="16"/>
                <w:szCs w:val="16"/>
                <w:lang w:val="es-ES" w:eastAsia="es-ES"/>
              </w:rPr>
            </w:pPr>
            <w:r w:rsidRPr="004E6C4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2A88C4C" w14:textId="77777777" w:rsidR="00D67EE2" w:rsidRPr="004E6C40" w:rsidRDefault="00D67EE2" w:rsidP="00E9164D">
            <w:pPr>
              <w:contextualSpacing/>
              <w:rPr>
                <w:rFonts w:ascii="Verdana" w:eastAsia="Arial" w:hAnsi="Verdana" w:cs="Arial"/>
                <w:sz w:val="16"/>
                <w:szCs w:val="16"/>
              </w:rPr>
            </w:pPr>
            <w:r w:rsidRPr="004E6C40">
              <w:rPr>
                <w:rFonts w:ascii="Verdana" w:eastAsia="Arial" w:hAnsi="Verdana" w:cs="Arial"/>
                <w:sz w:val="16"/>
                <w:szCs w:val="16"/>
              </w:rPr>
              <w:t>An</w:t>
            </w:r>
            <w:r>
              <w:rPr>
                <w:rFonts w:ascii="Verdana" w:eastAsia="Arial" w:hAnsi="Verdana" w:cs="Arial"/>
                <w:sz w:val="16"/>
                <w:szCs w:val="16"/>
              </w:rPr>
              <w:t>drea del Pilar Garzón Sánchez</w:t>
            </w:r>
          </w:p>
          <w:p w14:paraId="071B17CE" w14:textId="77777777" w:rsidR="00D67EE2" w:rsidRPr="004E6C40" w:rsidRDefault="00D67EE2" w:rsidP="00E9164D">
            <w:pPr>
              <w:contextualSpacing/>
              <w:rPr>
                <w:rFonts w:ascii="Verdana" w:eastAsia="Arial" w:hAnsi="Verdana" w:cs="Arial"/>
                <w:sz w:val="16"/>
                <w:szCs w:val="16"/>
              </w:rPr>
            </w:pPr>
            <w:r>
              <w:rPr>
                <w:rStyle w:val="normaltextrun"/>
                <w:rFonts w:ascii="Verdana" w:eastAsia="Arial" w:hAnsi="Verdana" w:cs="Arial"/>
                <w:sz w:val="16"/>
                <w:szCs w:val="16"/>
              </w:rPr>
              <w:t xml:space="preserve">Contratista de </w:t>
            </w:r>
            <w:r w:rsidRPr="004E6C40">
              <w:rPr>
                <w:rStyle w:val="normaltextrun"/>
                <w:rFonts w:ascii="Verdana" w:eastAsia="Arial" w:hAnsi="Verdana" w:cs="Arial"/>
                <w:sz w:val="16"/>
                <w:szCs w:val="16"/>
              </w:rPr>
              <w:t>la Subdirección de Gestión Contractual</w:t>
            </w:r>
          </w:p>
        </w:tc>
      </w:tr>
      <w:tr w:rsidR="00D67EE2" w:rsidRPr="00593A5F" w14:paraId="1E833888" w14:textId="77777777" w:rsidTr="00E9164D">
        <w:trPr>
          <w:trHeight w:val="330"/>
        </w:trPr>
        <w:tc>
          <w:tcPr>
            <w:tcW w:w="893" w:type="dxa"/>
            <w:vAlign w:val="center"/>
            <w:hideMark/>
          </w:tcPr>
          <w:p w14:paraId="2DA55593" w14:textId="77777777" w:rsidR="00D67EE2" w:rsidRPr="004E6C40" w:rsidRDefault="00D67EE2" w:rsidP="00E9164D">
            <w:pPr>
              <w:contextualSpacing/>
              <w:rPr>
                <w:rFonts w:ascii="Verdana" w:hAnsi="Verdana" w:cs="Arial"/>
                <w:sz w:val="16"/>
                <w:szCs w:val="16"/>
                <w:lang w:val="es-ES" w:eastAsia="es-ES"/>
              </w:rPr>
            </w:pPr>
            <w:r w:rsidRPr="004E6C4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B58D593" w14:textId="77777777" w:rsidR="00D67EE2" w:rsidRPr="0043234D" w:rsidRDefault="00D67EE2" w:rsidP="00D67EE2">
            <w:pPr>
              <w:pStyle w:val="paragraph"/>
              <w:spacing w:before="0" w:beforeAutospacing="0" w:after="0" w:afterAutospacing="0"/>
              <w:contextualSpacing/>
              <w:textAlignment w:val="baseline"/>
              <w:rPr>
                <w:rStyle w:val="normaltextrun"/>
                <w:rFonts w:ascii="Verdana" w:hAnsi="Verdana"/>
                <w:sz w:val="16"/>
                <w:szCs w:val="16"/>
              </w:rPr>
            </w:pPr>
            <w:r>
              <w:rPr>
                <w:rStyle w:val="normaltextrun"/>
                <w:rFonts w:ascii="Verdana" w:hAnsi="Verdana"/>
                <w:sz w:val="16"/>
                <w:szCs w:val="16"/>
              </w:rPr>
              <w:t xml:space="preserve">Juan David Cárdenas </w:t>
            </w:r>
          </w:p>
          <w:p w14:paraId="72BED877" w14:textId="2A0651AE" w:rsidR="00D67EE2" w:rsidRPr="004E6C40" w:rsidRDefault="00D67EE2" w:rsidP="00D67EE2">
            <w:pPr>
              <w:pStyle w:val="paragraph"/>
              <w:spacing w:before="0" w:beforeAutospacing="0" w:after="0" w:afterAutospacing="0"/>
              <w:contextualSpacing/>
              <w:textAlignment w:val="baseline"/>
              <w:rPr>
                <w:rFonts w:ascii="Verdana" w:hAnsi="Verdana" w:cs="Segoe UI"/>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r w:rsidRPr="004E6C40">
              <w:rPr>
                <w:rStyle w:val="eop"/>
                <w:rFonts w:ascii="Verdana" w:hAnsi="Verdana" w:cs="Arial"/>
                <w:sz w:val="16"/>
                <w:szCs w:val="16"/>
              </w:rPr>
              <w:t> </w:t>
            </w:r>
          </w:p>
        </w:tc>
      </w:tr>
      <w:tr w:rsidR="00D67EE2" w:rsidRPr="004237F4" w14:paraId="71C37771" w14:textId="77777777" w:rsidTr="00E9164D">
        <w:trPr>
          <w:trHeight w:val="300"/>
        </w:trPr>
        <w:tc>
          <w:tcPr>
            <w:tcW w:w="893" w:type="dxa"/>
            <w:vAlign w:val="center"/>
          </w:tcPr>
          <w:p w14:paraId="2B1C7114" w14:textId="77777777" w:rsidR="00D67EE2" w:rsidRPr="004237F4" w:rsidRDefault="00D67EE2" w:rsidP="00E9164D">
            <w:pPr>
              <w:contextualSpacing/>
              <w:rPr>
                <w:rFonts w:ascii="Verdana" w:hAnsi="Verdana" w:cs="Arial"/>
                <w:sz w:val="16"/>
                <w:szCs w:val="16"/>
                <w:lang w:val="es-ES" w:eastAsia="es-ES"/>
              </w:rPr>
            </w:pPr>
            <w:r w:rsidRPr="004237F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D2AE487" w14:textId="77777777" w:rsidR="00D67EE2" w:rsidRPr="004237F4" w:rsidRDefault="00D67EE2" w:rsidP="00E9164D">
            <w:pPr>
              <w:contextualSpacing/>
              <w:rPr>
                <w:rFonts w:ascii="Verdana" w:eastAsia="Calibri" w:hAnsi="Verdana" w:cs="Arial"/>
                <w:sz w:val="16"/>
                <w:szCs w:val="16"/>
                <w:lang w:val="pt-BR" w:eastAsia="es-ES"/>
              </w:rPr>
            </w:pPr>
            <w:r w:rsidRPr="004237F4">
              <w:rPr>
                <w:rFonts w:ascii="Verdana" w:eastAsia="Calibri" w:hAnsi="Verdana" w:cs="Arial"/>
                <w:sz w:val="16"/>
                <w:szCs w:val="16"/>
                <w:lang w:val="pt-BR" w:eastAsia="es-ES"/>
              </w:rPr>
              <w:t xml:space="preserve">Carolina Quintero </w:t>
            </w:r>
            <w:proofErr w:type="spellStart"/>
            <w:r w:rsidRPr="004237F4">
              <w:rPr>
                <w:rFonts w:ascii="Verdana" w:eastAsia="Calibri" w:hAnsi="Verdana" w:cs="Arial"/>
                <w:sz w:val="16"/>
                <w:szCs w:val="16"/>
                <w:lang w:val="pt-BR" w:eastAsia="es-ES"/>
              </w:rPr>
              <w:t>Gacharná</w:t>
            </w:r>
            <w:proofErr w:type="spellEnd"/>
          </w:p>
          <w:p w14:paraId="718E0E32" w14:textId="77777777" w:rsidR="00D67EE2" w:rsidRPr="004237F4" w:rsidRDefault="00D67EE2" w:rsidP="00E9164D">
            <w:pPr>
              <w:contextualSpacing/>
              <w:rPr>
                <w:rFonts w:ascii="Verdana" w:eastAsia="Calibri" w:hAnsi="Verdana" w:cs="Arial"/>
                <w:sz w:val="16"/>
                <w:szCs w:val="16"/>
                <w:lang w:val="pt-BR" w:eastAsia="es-ES"/>
              </w:rPr>
            </w:pPr>
            <w:r w:rsidRPr="004237F4">
              <w:rPr>
                <w:rFonts w:ascii="Verdana" w:eastAsia="Calibri" w:hAnsi="Verdana" w:cs="Arial"/>
                <w:sz w:val="16"/>
                <w:szCs w:val="16"/>
                <w:lang w:eastAsia="es-ES"/>
              </w:rPr>
              <w:t>Subdirectora</w:t>
            </w:r>
            <w:r w:rsidRPr="004237F4">
              <w:rPr>
                <w:rFonts w:ascii="Verdana" w:eastAsia="Calibri" w:hAnsi="Verdana" w:cs="Arial"/>
                <w:sz w:val="16"/>
                <w:szCs w:val="16"/>
                <w:lang w:val="pt-BR" w:eastAsia="es-ES"/>
              </w:rPr>
              <w:t xml:space="preserve"> de </w:t>
            </w:r>
            <w:proofErr w:type="spellStart"/>
            <w:r w:rsidRPr="004237F4">
              <w:rPr>
                <w:rFonts w:ascii="Verdana" w:eastAsia="Calibri" w:hAnsi="Verdana" w:cs="Arial"/>
                <w:sz w:val="16"/>
                <w:szCs w:val="16"/>
                <w:lang w:val="pt-BR" w:eastAsia="es-ES"/>
              </w:rPr>
              <w:t>Gestión</w:t>
            </w:r>
            <w:proofErr w:type="spellEnd"/>
            <w:r w:rsidRPr="004237F4">
              <w:rPr>
                <w:rFonts w:ascii="Verdana" w:eastAsia="Calibri" w:hAnsi="Verdana" w:cs="Arial"/>
                <w:sz w:val="16"/>
                <w:szCs w:val="16"/>
                <w:lang w:val="pt-BR" w:eastAsia="es-ES"/>
              </w:rPr>
              <w:t xml:space="preserve"> </w:t>
            </w:r>
            <w:proofErr w:type="spellStart"/>
            <w:r w:rsidRPr="004237F4">
              <w:rPr>
                <w:rFonts w:ascii="Verdana" w:eastAsia="Calibri" w:hAnsi="Verdana" w:cs="Arial"/>
                <w:sz w:val="16"/>
                <w:szCs w:val="16"/>
                <w:lang w:val="pt-BR" w:eastAsia="es-ES"/>
              </w:rPr>
              <w:t>Contractual</w:t>
            </w:r>
            <w:proofErr w:type="spellEnd"/>
            <w:r w:rsidRPr="004237F4">
              <w:rPr>
                <w:rFonts w:ascii="Verdana" w:eastAsia="Calibri" w:hAnsi="Verdana" w:cs="Arial"/>
                <w:sz w:val="16"/>
                <w:szCs w:val="16"/>
                <w:lang w:val="pt-BR" w:eastAsia="es-ES"/>
              </w:rPr>
              <w:t xml:space="preserve"> ANCP – CCE</w:t>
            </w:r>
          </w:p>
        </w:tc>
      </w:tr>
    </w:tbl>
    <w:p w14:paraId="72CA1DD0" w14:textId="77777777" w:rsidR="00D67EE2" w:rsidRDefault="00D67EE2" w:rsidP="00D67EE2">
      <w:pPr>
        <w:spacing w:after="0" w:line="240" w:lineRule="auto"/>
        <w:textAlignment w:val="baseline"/>
        <w:rPr>
          <w:rFonts w:ascii="Verdana" w:eastAsia="Times New Roman" w:hAnsi="Verdana" w:cs="Segoe UI"/>
          <w:lang w:eastAsia="es-CO"/>
        </w:rPr>
      </w:pPr>
    </w:p>
    <w:p w14:paraId="4EE6A6D4" w14:textId="77777777" w:rsidR="00D67EE2" w:rsidRPr="006E273C" w:rsidRDefault="00D67EE2" w:rsidP="00D67EE2">
      <w:pPr>
        <w:spacing w:after="0" w:line="240" w:lineRule="auto"/>
        <w:jc w:val="both"/>
        <w:textAlignment w:val="baseline"/>
        <w:rPr>
          <w:rFonts w:ascii="Verdana" w:eastAsia="Times New Roman" w:hAnsi="Verdana" w:cs="Calibri"/>
          <w:lang w:eastAsia="es-CO"/>
        </w:rPr>
      </w:pPr>
    </w:p>
    <w:p w14:paraId="019AED02" w14:textId="77777777" w:rsidR="00D67EE2" w:rsidRPr="004667F5" w:rsidRDefault="00D67EE2" w:rsidP="00D67EE2">
      <w:pPr>
        <w:spacing w:after="0" w:line="240" w:lineRule="auto"/>
        <w:jc w:val="both"/>
        <w:textAlignment w:val="baseline"/>
        <w:rPr>
          <w:rFonts w:ascii="Verdana" w:eastAsia="Times New Roman" w:hAnsi="Verdana" w:cs="Segoe UI"/>
          <w:lang w:eastAsia="es-CO"/>
        </w:rPr>
      </w:pPr>
    </w:p>
    <w:p w14:paraId="2F831EF9" w14:textId="77777777" w:rsidR="00D67EE2" w:rsidRDefault="00D67EE2" w:rsidP="00D67EE2">
      <w:pPr>
        <w:spacing w:after="0" w:line="240" w:lineRule="auto"/>
        <w:jc w:val="both"/>
        <w:textAlignment w:val="baseline"/>
        <w:rPr>
          <w:rFonts w:ascii="Verdana" w:eastAsia="Times New Roman" w:hAnsi="Verdana" w:cs="Segoe UI"/>
          <w:sz w:val="24"/>
          <w:szCs w:val="24"/>
          <w:lang w:eastAsia="es-CO"/>
        </w:rPr>
      </w:pPr>
    </w:p>
    <w:p w14:paraId="5448079B" w14:textId="77777777" w:rsidR="00D67EE2" w:rsidRDefault="00D67EE2" w:rsidP="00D67EE2">
      <w:pPr>
        <w:spacing w:after="0" w:line="240" w:lineRule="auto"/>
        <w:jc w:val="both"/>
        <w:textAlignment w:val="baseline"/>
        <w:rPr>
          <w:rFonts w:ascii="Verdana" w:eastAsia="Times New Roman" w:hAnsi="Verdana" w:cs="Segoe UI"/>
          <w:sz w:val="24"/>
          <w:szCs w:val="24"/>
          <w:lang w:eastAsia="es-CO"/>
        </w:rPr>
      </w:pPr>
    </w:p>
    <w:p w14:paraId="6A589FC8" w14:textId="77777777" w:rsidR="00D67EE2" w:rsidRDefault="00D67EE2" w:rsidP="00D67EE2">
      <w:pPr>
        <w:spacing w:after="0" w:line="240" w:lineRule="auto"/>
        <w:jc w:val="both"/>
        <w:textAlignment w:val="baseline"/>
        <w:rPr>
          <w:rFonts w:ascii="Verdana" w:eastAsia="Times New Roman" w:hAnsi="Verdana" w:cs="Segoe UI"/>
          <w:sz w:val="24"/>
          <w:szCs w:val="24"/>
          <w:lang w:eastAsia="es-CO"/>
        </w:rPr>
      </w:pPr>
    </w:p>
    <w:p w14:paraId="64F6B56A" w14:textId="77777777" w:rsidR="00D67EE2" w:rsidRDefault="00D67EE2" w:rsidP="00D67EE2">
      <w:pPr>
        <w:spacing w:after="0" w:line="240" w:lineRule="auto"/>
        <w:jc w:val="both"/>
        <w:textAlignment w:val="baseline"/>
        <w:rPr>
          <w:rFonts w:ascii="Verdana" w:eastAsia="Times New Roman" w:hAnsi="Verdana" w:cs="Segoe UI"/>
          <w:sz w:val="24"/>
          <w:szCs w:val="24"/>
          <w:lang w:eastAsia="es-CO"/>
        </w:rPr>
      </w:pPr>
    </w:p>
    <w:p w14:paraId="679A83B7" w14:textId="77777777" w:rsidR="00D67EE2" w:rsidRDefault="00D67EE2" w:rsidP="00D67EE2">
      <w:pPr>
        <w:spacing w:after="0" w:line="240" w:lineRule="auto"/>
        <w:jc w:val="both"/>
        <w:textAlignment w:val="baseline"/>
        <w:rPr>
          <w:rFonts w:ascii="Verdana" w:eastAsia="Times New Roman" w:hAnsi="Verdana" w:cs="Segoe UI"/>
          <w:sz w:val="24"/>
          <w:szCs w:val="24"/>
          <w:lang w:eastAsia="es-CO"/>
        </w:rPr>
      </w:pPr>
    </w:p>
    <w:p w14:paraId="2DBBE603" w14:textId="77777777" w:rsidR="00D67EE2" w:rsidRDefault="00D67EE2" w:rsidP="00D67EE2">
      <w:pPr>
        <w:spacing w:after="0" w:line="240" w:lineRule="auto"/>
        <w:jc w:val="both"/>
        <w:textAlignment w:val="baseline"/>
        <w:rPr>
          <w:rFonts w:ascii="Verdana" w:eastAsia="Times New Roman" w:hAnsi="Verdana" w:cs="Segoe UI"/>
          <w:sz w:val="24"/>
          <w:szCs w:val="24"/>
          <w:lang w:eastAsia="es-CO"/>
        </w:rPr>
      </w:pPr>
    </w:p>
    <w:p w14:paraId="1C73D576" w14:textId="77777777" w:rsidR="00D67EE2" w:rsidRDefault="00D67EE2" w:rsidP="00D67EE2">
      <w:pPr>
        <w:spacing w:after="0" w:line="240" w:lineRule="auto"/>
        <w:jc w:val="both"/>
        <w:textAlignment w:val="baseline"/>
        <w:rPr>
          <w:rFonts w:ascii="Verdana" w:eastAsia="Times New Roman" w:hAnsi="Verdana" w:cs="Segoe UI"/>
          <w:sz w:val="24"/>
          <w:szCs w:val="24"/>
          <w:lang w:eastAsia="es-CO"/>
        </w:rPr>
      </w:pPr>
    </w:p>
    <w:p w14:paraId="26DD6276" w14:textId="77777777" w:rsidR="5D8505AD" w:rsidRPr="00871B59" w:rsidRDefault="5D8505AD" w:rsidP="00871B59"/>
    <w:sectPr w:rsidR="5D8505AD" w:rsidRPr="00871B59" w:rsidSect="00E45F4B">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BD6A2" w14:textId="77777777" w:rsidR="00330438" w:rsidRDefault="00330438" w:rsidP="00B30448">
      <w:pPr>
        <w:spacing w:after="0" w:line="240" w:lineRule="auto"/>
      </w:pPr>
      <w:r>
        <w:separator/>
      </w:r>
    </w:p>
  </w:endnote>
  <w:endnote w:type="continuationSeparator" w:id="0">
    <w:p w14:paraId="1C0D9736" w14:textId="77777777" w:rsidR="00330438" w:rsidRDefault="00330438" w:rsidP="00B30448">
      <w:pPr>
        <w:spacing w:after="0" w:line="240" w:lineRule="auto"/>
      </w:pPr>
      <w:r>
        <w:continuationSeparator/>
      </w:r>
    </w:p>
  </w:endnote>
  <w:endnote w:type="continuationNotice" w:id="1">
    <w:p w14:paraId="42AF9851" w14:textId="77777777" w:rsidR="00330438" w:rsidRDefault="003304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Open Sans">
    <w:charset w:val="00"/>
    <w:family w:val="swiss"/>
    <w:pitch w:val="variable"/>
    <w:sig w:usb0="E00002EF" w:usb1="4000205B" w:usb2="00000028"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CDHEE+Verdana">
    <w:altName w:val="Verdana"/>
    <w:charset w:val="00"/>
    <w:family w:val="swiss"/>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91F0A" w14:textId="77777777" w:rsidR="000849D5" w:rsidRDefault="000849D5" w:rsidP="000849D5">
    <w:pPr>
      <w:spacing w:after="0"/>
      <w:rPr>
        <w:rFonts w:ascii="Verdana" w:hAnsi="Verdana"/>
        <w:b/>
        <w:bCs/>
        <w:sz w:val="20"/>
        <w:szCs w:val="20"/>
      </w:rPr>
    </w:pPr>
  </w:p>
  <w:p w14:paraId="41188266"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44F4CA2"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13BCAED"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7DE4CB66"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4D5BF812" w14:textId="77777777" w:rsidR="000849D5" w:rsidRPr="007D04B2" w:rsidRDefault="000849D5" w:rsidP="000849D5">
    <w:pPr>
      <w:pStyle w:val="Piedepgina"/>
    </w:pPr>
  </w:p>
  <w:p w14:paraId="5C48B9A8"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F2268" w14:textId="77777777" w:rsidR="00330438" w:rsidRDefault="00330438" w:rsidP="00B30448">
      <w:pPr>
        <w:spacing w:after="0" w:line="240" w:lineRule="auto"/>
      </w:pPr>
      <w:r>
        <w:separator/>
      </w:r>
    </w:p>
  </w:footnote>
  <w:footnote w:type="continuationSeparator" w:id="0">
    <w:p w14:paraId="0790DE2B" w14:textId="77777777" w:rsidR="00330438" w:rsidRDefault="00330438" w:rsidP="00B30448">
      <w:pPr>
        <w:spacing w:after="0" w:line="240" w:lineRule="auto"/>
      </w:pPr>
      <w:r>
        <w:continuationSeparator/>
      </w:r>
    </w:p>
  </w:footnote>
  <w:footnote w:type="continuationNotice" w:id="1">
    <w:p w14:paraId="4EE81299" w14:textId="77777777" w:rsidR="00330438" w:rsidRDefault="00330438">
      <w:pPr>
        <w:spacing w:after="0" w:line="240" w:lineRule="auto"/>
      </w:pPr>
    </w:p>
  </w:footnote>
  <w:footnote w:id="2">
    <w:p w14:paraId="0285AEAB" w14:textId="77777777" w:rsidR="00D93D99" w:rsidRPr="006A0190" w:rsidRDefault="00D93D99" w:rsidP="00D93D99">
      <w:pPr>
        <w:pStyle w:val="paragraph"/>
        <w:spacing w:before="0" w:beforeAutospacing="0" w:after="0" w:afterAutospacing="0"/>
        <w:ind w:firstLine="709"/>
        <w:jc w:val="both"/>
        <w:textAlignment w:val="baseline"/>
        <w:rPr>
          <w:rFonts w:ascii="Arial" w:hAnsi="Arial" w:cs="Arial"/>
          <w:color w:val="000000" w:themeColor="text1"/>
          <w:sz w:val="19"/>
          <w:szCs w:val="19"/>
        </w:rPr>
      </w:pPr>
      <w:r w:rsidRPr="006A0190">
        <w:rPr>
          <w:rStyle w:val="Refdenotaalpie"/>
          <w:rFonts w:ascii="Arial" w:hAnsi="Arial" w:cs="Arial"/>
          <w:color w:val="000000" w:themeColor="text1"/>
          <w:sz w:val="19"/>
          <w:szCs w:val="19"/>
        </w:rPr>
        <w:footnoteRef/>
      </w:r>
      <w:r w:rsidRPr="006A0190">
        <w:rPr>
          <w:rFonts w:ascii="Arial" w:hAnsi="Arial" w:cs="Arial"/>
          <w:color w:val="000000" w:themeColor="text1"/>
          <w:sz w:val="19"/>
          <w:szCs w:val="19"/>
        </w:rPr>
        <w:t xml:space="preserve"> </w:t>
      </w:r>
      <w:r w:rsidRPr="006A0190">
        <w:rPr>
          <w:rFonts w:ascii="Arial" w:hAnsi="Arial" w:cs="Arial"/>
          <w:color w:val="000000" w:themeColor="text1"/>
          <w:sz w:val="19"/>
          <w:szCs w:val="19"/>
          <w:lang w:val="es-ES"/>
        </w:rPr>
        <w:t>Ley 489 de 1998, artículo 38, numeral 2, literal f, y artículo 68, numeral 2: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6A0190">
        <w:rPr>
          <w:rFonts w:ascii="Arial" w:hAnsi="Arial" w:cs="Arial"/>
          <w:color w:val="000000" w:themeColor="text1"/>
          <w:sz w:val="19"/>
          <w:szCs w:val="19"/>
        </w:rPr>
        <w:t>  </w:t>
      </w:r>
    </w:p>
  </w:footnote>
  <w:footnote w:id="3">
    <w:p w14:paraId="5D8A7FDB" w14:textId="77777777" w:rsidR="00D93D99" w:rsidRPr="006A0190" w:rsidRDefault="00D93D99" w:rsidP="00D93D99">
      <w:pPr>
        <w:spacing w:after="0" w:line="240" w:lineRule="auto"/>
        <w:ind w:firstLine="709"/>
        <w:jc w:val="both"/>
        <w:rPr>
          <w:lang w:val="es-ES"/>
        </w:rPr>
      </w:pPr>
      <w:r w:rsidRPr="006A0190">
        <w:rPr>
          <w:rFonts w:ascii="Arial" w:eastAsia="Times New Roman" w:hAnsi="Arial" w:cs="Arial"/>
          <w:color w:val="000000" w:themeColor="text1"/>
          <w:sz w:val="19"/>
          <w:szCs w:val="19"/>
          <w:lang w:val="es-ES" w:eastAsia="es-MX"/>
        </w:rPr>
        <w:t xml:space="preserve"> </w:t>
      </w:r>
      <w:r w:rsidRPr="006A0190">
        <w:rPr>
          <w:rStyle w:val="Refdenotaalpie"/>
          <w:rFonts w:ascii="Arial" w:hAnsi="Arial" w:cs="Arial"/>
          <w:color w:val="000000" w:themeColor="text1"/>
          <w:sz w:val="19"/>
          <w:szCs w:val="19"/>
        </w:rPr>
        <w:footnoteRef/>
      </w:r>
      <w:r w:rsidRPr="006A0190">
        <w:rPr>
          <w:rFonts w:ascii="Arial" w:eastAsia="Times New Roman" w:hAnsi="Arial" w:cs="Arial"/>
          <w:color w:val="000000" w:themeColor="text1"/>
          <w:sz w:val="19"/>
          <w:szCs w:val="19"/>
          <w:lang w:val="es-ES" w:eastAsia="es-MX"/>
        </w:rPr>
        <w:t xml:space="preserve"> Así lo establece la Constitución Política, en el artículo 150, numeral 7, así como en el artículo 300, numeral 7 y en el artículo 313, numeral 6.</w:t>
      </w:r>
    </w:p>
  </w:footnote>
  <w:footnote w:id="4">
    <w:p w14:paraId="2557D512" w14:textId="77777777" w:rsidR="00D93D99" w:rsidRPr="006A0190" w:rsidRDefault="00D93D99" w:rsidP="00D93D99">
      <w:pPr>
        <w:pStyle w:val="Textonotapie"/>
        <w:ind w:firstLine="709"/>
        <w:rPr>
          <w:rFonts w:ascii="Arial" w:hAnsi="Arial" w:cs="Arial"/>
          <w:sz w:val="19"/>
          <w:szCs w:val="19"/>
        </w:rPr>
      </w:pPr>
      <w:r w:rsidRPr="006A0190">
        <w:rPr>
          <w:rStyle w:val="Refdenotaalpie"/>
          <w:rFonts w:ascii="Arial" w:hAnsi="Arial" w:cs="Arial"/>
          <w:sz w:val="19"/>
          <w:szCs w:val="19"/>
        </w:rPr>
        <w:footnoteRef/>
      </w:r>
      <w:r w:rsidRPr="006A0190">
        <w:rPr>
          <w:rFonts w:ascii="Arial" w:hAnsi="Arial" w:cs="Arial"/>
          <w:sz w:val="19"/>
          <w:szCs w:val="19"/>
        </w:rPr>
        <w:t xml:space="preserve"> Las sociedades de economía mixta son una clara manifestación organizacional de la función administrativa. Al respecto, la doctrina colombiana ha considerado que «la organización debe ocupar un lugar central en el estudio del derecho administrativo, sobre todo si se tiene en cuenta que lo estructural es consustancial a la actividad administrativa. De hecho, podemos afirmar que se trata de una verdadera dialéctica en la que se presenta una relación de medio a fin, ya que su objeto es precisamente el diseño y puesta en funcionamiento de las maneras o formas de gestión de potestades, atribuciones y competencias administrativas» (RINCÓN CÓRDOBA, Jorge Iván. Teoría de la organización administrativa en Colombia, Bogotá: Universidad Externado de Colombia, 2019, pp. 31-32). </w:t>
      </w:r>
    </w:p>
    <w:p w14:paraId="3595DC38" w14:textId="77777777" w:rsidR="00D93D99" w:rsidRPr="006A0190" w:rsidRDefault="00D93D99" w:rsidP="00D93D99">
      <w:pPr>
        <w:pStyle w:val="Textonotapie"/>
        <w:ind w:firstLine="709"/>
        <w:rPr>
          <w:rFonts w:ascii="Arial" w:hAnsi="Arial" w:cs="Arial"/>
          <w:sz w:val="19"/>
          <w:szCs w:val="19"/>
        </w:rPr>
      </w:pPr>
    </w:p>
  </w:footnote>
  <w:footnote w:id="5">
    <w:p w14:paraId="512E3186" w14:textId="77777777" w:rsidR="00D93D99" w:rsidRPr="006A0190" w:rsidRDefault="00D93D99" w:rsidP="00D93D99">
      <w:pPr>
        <w:pStyle w:val="Textonotapie"/>
        <w:ind w:firstLine="709"/>
        <w:rPr>
          <w:rFonts w:ascii="Arial" w:hAnsi="Arial" w:cs="Arial"/>
          <w:sz w:val="19"/>
          <w:szCs w:val="19"/>
          <w:lang w:val="es-CO"/>
        </w:rPr>
      </w:pPr>
      <w:r w:rsidRPr="006A0190">
        <w:rPr>
          <w:rStyle w:val="Refdenotaalpie"/>
          <w:rFonts w:ascii="Arial" w:hAnsi="Arial" w:cs="Arial"/>
          <w:sz w:val="19"/>
          <w:szCs w:val="19"/>
        </w:rPr>
        <w:footnoteRef/>
      </w:r>
      <w:r w:rsidRPr="006A0190">
        <w:rPr>
          <w:rFonts w:ascii="Arial" w:hAnsi="Arial" w:cs="Arial"/>
          <w:sz w:val="19"/>
          <w:szCs w:val="19"/>
        </w:rPr>
        <w:t xml:space="preserve"> «Una función administrativa entendida entonces, como un conjunto de actividades particulares, disimiles entre sí, pero diversas de aquellas generales de Estado y particulares propias de la función judicial y legislativa, que dan desarrollo directo a las finalidades del estado, consagradas de manera positiva en la Constitución Política, que pueden ser desarrolladas por distintos sujetos de derecho, habilitados para ello, con el respeto y cumplimiento del ordenamiento jurídico superior» (MONTAÑA PLATA, Alberto. Fundamentos de derecho administrativo. Bogotá: Universidad Externado de Colombia, 2010, p. 124).</w:t>
      </w:r>
    </w:p>
  </w:footnote>
  <w:footnote w:id="6">
    <w:p w14:paraId="742ED212" w14:textId="77777777" w:rsidR="00D93D99" w:rsidRPr="00C05384" w:rsidRDefault="00D93D99" w:rsidP="00D93D99">
      <w:pPr>
        <w:pStyle w:val="Textonotapie"/>
        <w:contextualSpacing/>
        <w:jc w:val="both"/>
        <w:rPr>
          <w:rFonts w:ascii="Verdana" w:hAnsi="Verdana" w:cs="Arial"/>
          <w:sz w:val="16"/>
          <w:szCs w:val="16"/>
        </w:rPr>
      </w:pPr>
      <w:r>
        <w:rPr>
          <w:rFonts w:ascii="Verdana" w:hAnsi="Verdana" w:cs="Arial"/>
          <w:sz w:val="16"/>
          <w:szCs w:val="16"/>
        </w:rPr>
        <w:tab/>
      </w:r>
      <w:r w:rsidRPr="00C05384">
        <w:rPr>
          <w:rStyle w:val="Refdenotaalpie"/>
          <w:rFonts w:ascii="Verdana" w:hAnsi="Verdana" w:cs="Arial"/>
          <w:sz w:val="16"/>
          <w:szCs w:val="16"/>
        </w:rPr>
        <w:footnoteRef/>
      </w:r>
      <w:r w:rsidRPr="00C05384">
        <w:rPr>
          <w:rFonts w:ascii="Verdana" w:hAnsi="Verdana" w:cs="Arial"/>
          <w:sz w:val="16"/>
          <w:szCs w:val="16"/>
        </w:rPr>
        <w:t xml:space="preserve"> Gaceta del Congreso de la República No. 71 del 2005.</w:t>
      </w:r>
    </w:p>
  </w:footnote>
  <w:footnote w:id="7">
    <w:p w14:paraId="433DE810" w14:textId="77777777" w:rsidR="00D93D99" w:rsidRPr="00C05384" w:rsidRDefault="00D93D99" w:rsidP="00D93D99">
      <w:pPr>
        <w:pStyle w:val="Textonotapie"/>
        <w:ind w:firstLine="709"/>
        <w:contextualSpacing/>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 C- 1153 de 2005, M.P. Marco Gerardo </w:t>
      </w:r>
      <w:proofErr w:type="spellStart"/>
      <w:r w:rsidRPr="00C05384">
        <w:rPr>
          <w:rFonts w:ascii="Verdana" w:hAnsi="Verdana" w:cs="Arial"/>
          <w:sz w:val="16"/>
          <w:szCs w:val="16"/>
          <w:lang w:val="pt-BR"/>
        </w:rPr>
        <w:t>Monroy</w:t>
      </w:r>
      <w:proofErr w:type="spellEnd"/>
      <w:r w:rsidRPr="00C05384">
        <w:rPr>
          <w:rFonts w:ascii="Verdana" w:hAnsi="Verdana" w:cs="Arial"/>
          <w:sz w:val="16"/>
          <w:szCs w:val="16"/>
          <w:lang w:val="pt-BR"/>
        </w:rPr>
        <w:t xml:space="preserve"> Cabra.</w:t>
      </w:r>
    </w:p>
  </w:footnote>
  <w:footnote w:id="8">
    <w:p w14:paraId="38FC7A77" w14:textId="77777777" w:rsidR="00D93D99" w:rsidRPr="00C05384" w:rsidRDefault="00D93D99" w:rsidP="00D93D99">
      <w:pPr>
        <w:pStyle w:val="Textonotapie"/>
        <w:ind w:firstLine="709"/>
        <w:contextualSpacing/>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Sentencias: C-233 de 4 de abril de 2002, expediente: D-3704; C-551 de 9 de </w:t>
      </w:r>
      <w:proofErr w:type="spellStart"/>
      <w:r w:rsidRPr="00C05384">
        <w:rPr>
          <w:rFonts w:ascii="Verdana" w:hAnsi="Verdana" w:cs="Arial"/>
          <w:sz w:val="16"/>
          <w:szCs w:val="16"/>
          <w:lang w:val="pt-BR"/>
        </w:rPr>
        <w:t>julio</w:t>
      </w:r>
      <w:proofErr w:type="spellEnd"/>
      <w:r w:rsidRPr="00C05384">
        <w:rPr>
          <w:rFonts w:ascii="Verdana" w:hAnsi="Verdana" w:cs="Arial"/>
          <w:sz w:val="16"/>
          <w:szCs w:val="16"/>
          <w:lang w:val="pt-BR"/>
        </w:rPr>
        <w:t xml:space="preserve"> de 2003, expediente: CRF-001 de 9 de </w:t>
      </w:r>
      <w:proofErr w:type="spellStart"/>
      <w:r w:rsidRPr="00C05384">
        <w:rPr>
          <w:rFonts w:ascii="Verdana" w:hAnsi="Verdana" w:cs="Arial"/>
          <w:sz w:val="16"/>
          <w:szCs w:val="16"/>
          <w:lang w:val="pt-BR"/>
        </w:rPr>
        <w:t>julio</w:t>
      </w:r>
      <w:proofErr w:type="spellEnd"/>
      <w:r w:rsidRPr="00C05384">
        <w:rPr>
          <w:rFonts w:ascii="Verdana" w:hAnsi="Verdana" w:cs="Arial"/>
          <w:sz w:val="16"/>
          <w:szCs w:val="16"/>
          <w:lang w:val="pt-BR"/>
        </w:rPr>
        <w:t xml:space="preserve"> de 2003; C-652 de 5 de agosto de 2003, expediente: D-4330; C-353 de 20 de </w:t>
      </w:r>
      <w:proofErr w:type="spellStart"/>
      <w:r w:rsidRPr="00C05384">
        <w:rPr>
          <w:rFonts w:ascii="Verdana" w:hAnsi="Verdana" w:cs="Arial"/>
          <w:sz w:val="16"/>
          <w:szCs w:val="16"/>
          <w:lang w:val="pt-BR"/>
        </w:rPr>
        <w:t>mayo</w:t>
      </w:r>
      <w:proofErr w:type="spellEnd"/>
      <w:r w:rsidRPr="00C05384">
        <w:rPr>
          <w:rFonts w:ascii="Verdana" w:hAnsi="Verdana" w:cs="Arial"/>
          <w:sz w:val="16"/>
          <w:szCs w:val="16"/>
          <w:lang w:val="pt-BR"/>
        </w:rPr>
        <w:t xml:space="preserve"> de 2009, expediente: D-7518, C-541 de 30 de </w:t>
      </w:r>
      <w:proofErr w:type="spellStart"/>
      <w:r w:rsidRPr="00C05384">
        <w:rPr>
          <w:rFonts w:ascii="Verdana" w:hAnsi="Verdana" w:cs="Arial"/>
          <w:sz w:val="16"/>
          <w:szCs w:val="16"/>
          <w:lang w:val="pt-BR"/>
        </w:rPr>
        <w:t>junio</w:t>
      </w:r>
      <w:proofErr w:type="spellEnd"/>
      <w:r w:rsidRPr="00C05384">
        <w:rPr>
          <w:rFonts w:ascii="Verdana" w:hAnsi="Verdana" w:cs="Arial"/>
          <w:sz w:val="16"/>
          <w:szCs w:val="16"/>
          <w:lang w:val="pt-BR"/>
        </w:rPr>
        <w:t xml:space="preserve"> de 2010, expediente: DD7966; entre </w:t>
      </w:r>
      <w:proofErr w:type="spellStart"/>
      <w:r w:rsidRPr="00C05384">
        <w:rPr>
          <w:rFonts w:ascii="Verdana" w:hAnsi="Verdana" w:cs="Arial"/>
          <w:sz w:val="16"/>
          <w:szCs w:val="16"/>
          <w:lang w:val="pt-BR"/>
        </w:rPr>
        <w:t>otras</w:t>
      </w:r>
      <w:proofErr w:type="spellEnd"/>
      <w:r w:rsidRPr="00C05384">
        <w:rPr>
          <w:rFonts w:ascii="Verdana" w:hAnsi="Verdana" w:cs="Arial"/>
          <w:sz w:val="16"/>
          <w:szCs w:val="16"/>
          <w:lang w:val="pt-BR"/>
        </w:rPr>
        <w:t>.</w:t>
      </w:r>
    </w:p>
  </w:footnote>
  <w:footnote w:id="9">
    <w:p w14:paraId="48F2FA1A" w14:textId="77777777" w:rsidR="00D93D99" w:rsidRPr="00C05384" w:rsidRDefault="00D93D99" w:rsidP="00D93D99">
      <w:pPr>
        <w:pStyle w:val="Textonotapie"/>
        <w:ind w:firstLine="709"/>
        <w:contextualSpacing/>
        <w:jc w:val="both"/>
        <w:rPr>
          <w:rFonts w:ascii="Verdana" w:hAnsi="Verdana" w:cs="Arial"/>
          <w:sz w:val="16"/>
          <w:szCs w:val="16"/>
          <w:lang w:val="es-CO"/>
        </w:rPr>
      </w:pPr>
      <w:r w:rsidRPr="00C05384">
        <w:rPr>
          <w:rStyle w:val="Refdenotaalpie"/>
          <w:rFonts w:ascii="Verdana" w:hAnsi="Verdana" w:cs="Arial"/>
          <w:sz w:val="16"/>
          <w:szCs w:val="16"/>
        </w:rPr>
        <w:footnoteRef/>
      </w:r>
      <w:r w:rsidRPr="00C05384">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10">
    <w:p w14:paraId="2C718D3D" w14:textId="77777777" w:rsidR="00D93D99" w:rsidRPr="00C05384" w:rsidRDefault="00D93D99" w:rsidP="00D93D99">
      <w:pPr>
        <w:pStyle w:val="Textonotapie"/>
        <w:ind w:firstLine="709"/>
        <w:contextualSpacing/>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de fecha 24 de julio de 2013, Rad. 2166, C. P. Álvaro Namén Vargas.  </w:t>
      </w:r>
    </w:p>
  </w:footnote>
  <w:footnote w:id="11">
    <w:p w14:paraId="1B44362D" w14:textId="77777777" w:rsidR="00D93D99" w:rsidRPr="00C05384" w:rsidRDefault="00D93D99" w:rsidP="00D93D99">
      <w:pPr>
        <w:pStyle w:val="Textonotapie"/>
        <w:ind w:firstLine="709"/>
        <w:contextualSpacing/>
        <w:jc w:val="both"/>
        <w:rPr>
          <w:rFonts w:ascii="Verdana" w:hAnsi="Verdana"/>
          <w:sz w:val="16"/>
          <w:szCs w:val="16"/>
          <w:lang w:val="es-ES"/>
        </w:rPr>
      </w:pPr>
      <w:r w:rsidRPr="00C05384">
        <w:rPr>
          <w:rStyle w:val="Refdenotaalpie"/>
          <w:rFonts w:ascii="Verdana" w:hAnsi="Verdana"/>
          <w:sz w:val="16"/>
          <w:szCs w:val="16"/>
        </w:rPr>
        <w:footnoteRef/>
      </w:r>
      <w:r w:rsidRPr="00C05384">
        <w:rPr>
          <w:rFonts w:ascii="Verdana" w:hAnsi="Verdana"/>
          <w:sz w:val="16"/>
          <w:szCs w:val="16"/>
        </w:rPr>
        <w:t xml:space="preserve"> Consejo de Estado. Sala de Consulta y Servicio Civil. Concepto del 08 de mayo de 2018. Exp. 2.382. C.P. Álvaro Namén Vargas.</w:t>
      </w:r>
    </w:p>
  </w:footnote>
  <w:footnote w:id="12">
    <w:p w14:paraId="22DF2E19" w14:textId="77777777" w:rsidR="00D93D99" w:rsidRPr="00C05384" w:rsidRDefault="00D93D99" w:rsidP="00D93D99">
      <w:pPr>
        <w:spacing w:after="0" w:line="240" w:lineRule="auto"/>
        <w:ind w:left="100" w:right="244" w:firstLine="709"/>
        <w:contextualSpacing/>
        <w:jc w:val="both"/>
        <w:rPr>
          <w:rFonts w:ascii="Verdana" w:hAnsi="Verdana" w:cs="Arial"/>
          <w:sz w:val="16"/>
          <w:szCs w:val="16"/>
          <w:lang w:val="es-ES"/>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7B1E8"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4B0C4AF" w14:textId="77777777" w:rsidR="00515FB5" w:rsidRDefault="00515FB5" w:rsidP="00515FB5">
    <w:pPr>
      <w:pStyle w:val="Encabezado"/>
    </w:pPr>
  </w:p>
  <w:p w14:paraId="5C763847" w14:textId="77777777" w:rsidR="00515FB5" w:rsidRDefault="00515FB5" w:rsidP="00515FB5">
    <w:pPr>
      <w:pStyle w:val="Encabezado"/>
    </w:pPr>
  </w:p>
  <w:p w14:paraId="3E59D94E" w14:textId="77777777" w:rsidR="00515FB5" w:rsidRDefault="00515FB5" w:rsidP="00515FB5">
    <w:pPr>
      <w:pStyle w:val="Encabezado"/>
    </w:pPr>
  </w:p>
  <w:p w14:paraId="17F25330" w14:textId="77777777" w:rsidR="00515FB5" w:rsidRPr="00AB7B56" w:rsidRDefault="00515FB5" w:rsidP="00515FB5">
    <w:pPr>
      <w:pStyle w:val="Encabezado"/>
    </w:pPr>
  </w:p>
  <w:p w14:paraId="466E27B6"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46AE4259"/>
    <w:multiLevelType w:val="hybridMultilevel"/>
    <w:tmpl w:val="87BCDB0A"/>
    <w:lvl w:ilvl="0" w:tplc="DFE0476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num w:numId="1">
    <w:abstractNumId w:val="5"/>
  </w:num>
  <w:num w:numId="2">
    <w:abstractNumId w:val="2"/>
  </w:num>
  <w:num w:numId="3">
    <w:abstractNumId w:val="3"/>
  </w:num>
  <w:num w:numId="4">
    <w:abstractNumId w:val="0"/>
  </w:num>
  <w:num w:numId="5">
    <w:abstractNumId w:val="8"/>
  </w:num>
  <w:num w:numId="6">
    <w:abstractNumId w:val="1"/>
  </w:num>
  <w:num w:numId="7">
    <w:abstractNumId w:val="4"/>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6F0"/>
    <w:rsid w:val="000016F3"/>
    <w:rsid w:val="000037AE"/>
    <w:rsid w:val="00005BB0"/>
    <w:rsid w:val="0001025F"/>
    <w:rsid w:val="0001222D"/>
    <w:rsid w:val="000135EB"/>
    <w:rsid w:val="00015D2B"/>
    <w:rsid w:val="00031584"/>
    <w:rsid w:val="00032A0E"/>
    <w:rsid w:val="00037347"/>
    <w:rsid w:val="000442CC"/>
    <w:rsid w:val="000556D4"/>
    <w:rsid w:val="000716AB"/>
    <w:rsid w:val="00082E4C"/>
    <w:rsid w:val="000849D5"/>
    <w:rsid w:val="0008528F"/>
    <w:rsid w:val="000958B9"/>
    <w:rsid w:val="000A6E0C"/>
    <w:rsid w:val="000A7A56"/>
    <w:rsid w:val="000B1FF7"/>
    <w:rsid w:val="000B2513"/>
    <w:rsid w:val="000B4024"/>
    <w:rsid w:val="000C3C51"/>
    <w:rsid w:val="000C7262"/>
    <w:rsid w:val="000D2A7F"/>
    <w:rsid w:val="000D343B"/>
    <w:rsid w:val="000D4FCE"/>
    <w:rsid w:val="0011037E"/>
    <w:rsid w:val="001363C7"/>
    <w:rsid w:val="00141AC5"/>
    <w:rsid w:val="00146B11"/>
    <w:rsid w:val="00147A04"/>
    <w:rsid w:val="0015476D"/>
    <w:rsid w:val="00161E13"/>
    <w:rsid w:val="00164AE0"/>
    <w:rsid w:val="00165E83"/>
    <w:rsid w:val="00166CD7"/>
    <w:rsid w:val="0017120C"/>
    <w:rsid w:val="00172F3A"/>
    <w:rsid w:val="0019532A"/>
    <w:rsid w:val="0019670E"/>
    <w:rsid w:val="00197205"/>
    <w:rsid w:val="001A5DD4"/>
    <w:rsid w:val="001A67E9"/>
    <w:rsid w:val="001B0E81"/>
    <w:rsid w:val="001B143B"/>
    <w:rsid w:val="001B21CA"/>
    <w:rsid w:val="001C04FC"/>
    <w:rsid w:val="001C25A3"/>
    <w:rsid w:val="001C5D03"/>
    <w:rsid w:val="001C7771"/>
    <w:rsid w:val="001D62FF"/>
    <w:rsid w:val="001F3F48"/>
    <w:rsid w:val="002000AA"/>
    <w:rsid w:val="00204109"/>
    <w:rsid w:val="00211E6E"/>
    <w:rsid w:val="00212A46"/>
    <w:rsid w:val="0021401D"/>
    <w:rsid w:val="002146B8"/>
    <w:rsid w:val="00215516"/>
    <w:rsid w:val="002527C2"/>
    <w:rsid w:val="00270443"/>
    <w:rsid w:val="00270EE2"/>
    <w:rsid w:val="00272972"/>
    <w:rsid w:val="00286491"/>
    <w:rsid w:val="002A0F8D"/>
    <w:rsid w:val="002B6E44"/>
    <w:rsid w:val="002B74B1"/>
    <w:rsid w:val="002E1DB5"/>
    <w:rsid w:val="002F6CCB"/>
    <w:rsid w:val="0030461E"/>
    <w:rsid w:val="003107A1"/>
    <w:rsid w:val="0032756A"/>
    <w:rsid w:val="00330438"/>
    <w:rsid w:val="00334EF8"/>
    <w:rsid w:val="00336408"/>
    <w:rsid w:val="00340DFB"/>
    <w:rsid w:val="0034404F"/>
    <w:rsid w:val="00356980"/>
    <w:rsid w:val="00367462"/>
    <w:rsid w:val="00371ECA"/>
    <w:rsid w:val="00372748"/>
    <w:rsid w:val="0037332A"/>
    <w:rsid w:val="0038151A"/>
    <w:rsid w:val="0039082A"/>
    <w:rsid w:val="00390C21"/>
    <w:rsid w:val="003A37BD"/>
    <w:rsid w:val="003B6D94"/>
    <w:rsid w:val="003C4C96"/>
    <w:rsid w:val="003C55E0"/>
    <w:rsid w:val="003F519B"/>
    <w:rsid w:val="0040544F"/>
    <w:rsid w:val="00406A19"/>
    <w:rsid w:val="0041222D"/>
    <w:rsid w:val="0041483E"/>
    <w:rsid w:val="00415369"/>
    <w:rsid w:val="00430492"/>
    <w:rsid w:val="00450BE7"/>
    <w:rsid w:val="0046741E"/>
    <w:rsid w:val="00472CC6"/>
    <w:rsid w:val="0048026E"/>
    <w:rsid w:val="004807A9"/>
    <w:rsid w:val="004813EE"/>
    <w:rsid w:val="00493278"/>
    <w:rsid w:val="004943D9"/>
    <w:rsid w:val="004A0E7B"/>
    <w:rsid w:val="004A3498"/>
    <w:rsid w:val="004A4B5F"/>
    <w:rsid w:val="004A5C77"/>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365C"/>
    <w:rsid w:val="005271EB"/>
    <w:rsid w:val="005426DB"/>
    <w:rsid w:val="005462D2"/>
    <w:rsid w:val="0055082B"/>
    <w:rsid w:val="00552503"/>
    <w:rsid w:val="00552B57"/>
    <w:rsid w:val="00557DA1"/>
    <w:rsid w:val="0056322C"/>
    <w:rsid w:val="0058743A"/>
    <w:rsid w:val="005A4DB0"/>
    <w:rsid w:val="005A7B8E"/>
    <w:rsid w:val="005B012B"/>
    <w:rsid w:val="005B0C87"/>
    <w:rsid w:val="005D23F6"/>
    <w:rsid w:val="005D2FA8"/>
    <w:rsid w:val="005E2281"/>
    <w:rsid w:val="005E667C"/>
    <w:rsid w:val="005F077C"/>
    <w:rsid w:val="005F63D0"/>
    <w:rsid w:val="005F7973"/>
    <w:rsid w:val="0061690E"/>
    <w:rsid w:val="00627361"/>
    <w:rsid w:val="0063017E"/>
    <w:rsid w:val="00631B28"/>
    <w:rsid w:val="00645B90"/>
    <w:rsid w:val="00650991"/>
    <w:rsid w:val="006511D7"/>
    <w:rsid w:val="00663D75"/>
    <w:rsid w:val="00670AEF"/>
    <w:rsid w:val="00675678"/>
    <w:rsid w:val="00677012"/>
    <w:rsid w:val="006825B4"/>
    <w:rsid w:val="00682AF2"/>
    <w:rsid w:val="006864DF"/>
    <w:rsid w:val="006A3C8A"/>
    <w:rsid w:val="006A7552"/>
    <w:rsid w:val="006B5953"/>
    <w:rsid w:val="006B7A81"/>
    <w:rsid w:val="006C4BAC"/>
    <w:rsid w:val="006C52F3"/>
    <w:rsid w:val="006E7F37"/>
    <w:rsid w:val="006F3B81"/>
    <w:rsid w:val="006F4F79"/>
    <w:rsid w:val="00705B37"/>
    <w:rsid w:val="00711FD9"/>
    <w:rsid w:val="00735062"/>
    <w:rsid w:val="00746BA5"/>
    <w:rsid w:val="00751D23"/>
    <w:rsid w:val="00770577"/>
    <w:rsid w:val="00777666"/>
    <w:rsid w:val="0078159B"/>
    <w:rsid w:val="00782E10"/>
    <w:rsid w:val="00783BB1"/>
    <w:rsid w:val="0078706B"/>
    <w:rsid w:val="00790836"/>
    <w:rsid w:val="00797131"/>
    <w:rsid w:val="007A3C1D"/>
    <w:rsid w:val="007B285D"/>
    <w:rsid w:val="007C6BC6"/>
    <w:rsid w:val="00800423"/>
    <w:rsid w:val="00801DCA"/>
    <w:rsid w:val="00807D79"/>
    <w:rsid w:val="00813634"/>
    <w:rsid w:val="00822821"/>
    <w:rsid w:val="00831C29"/>
    <w:rsid w:val="008431EF"/>
    <w:rsid w:val="008468E0"/>
    <w:rsid w:val="008526E9"/>
    <w:rsid w:val="00863B82"/>
    <w:rsid w:val="00871B59"/>
    <w:rsid w:val="00877D03"/>
    <w:rsid w:val="00877E96"/>
    <w:rsid w:val="008806CA"/>
    <w:rsid w:val="008815E5"/>
    <w:rsid w:val="00887B37"/>
    <w:rsid w:val="008909B9"/>
    <w:rsid w:val="00891DFC"/>
    <w:rsid w:val="008B12B4"/>
    <w:rsid w:val="008B7914"/>
    <w:rsid w:val="008C5D2A"/>
    <w:rsid w:val="008C7AF4"/>
    <w:rsid w:val="008D529F"/>
    <w:rsid w:val="008D76F0"/>
    <w:rsid w:val="008F5CC8"/>
    <w:rsid w:val="009061B8"/>
    <w:rsid w:val="0091008B"/>
    <w:rsid w:val="00911EA2"/>
    <w:rsid w:val="00916C7D"/>
    <w:rsid w:val="0092575D"/>
    <w:rsid w:val="009341DA"/>
    <w:rsid w:val="009430F9"/>
    <w:rsid w:val="009442E8"/>
    <w:rsid w:val="00946BD0"/>
    <w:rsid w:val="0095426C"/>
    <w:rsid w:val="00970087"/>
    <w:rsid w:val="00971074"/>
    <w:rsid w:val="00983695"/>
    <w:rsid w:val="00995D86"/>
    <w:rsid w:val="009A5453"/>
    <w:rsid w:val="009B4D94"/>
    <w:rsid w:val="009C2871"/>
    <w:rsid w:val="009D3C33"/>
    <w:rsid w:val="009D7F3A"/>
    <w:rsid w:val="009E295D"/>
    <w:rsid w:val="009E4885"/>
    <w:rsid w:val="00A07DB6"/>
    <w:rsid w:val="00A10A73"/>
    <w:rsid w:val="00A170B3"/>
    <w:rsid w:val="00A223D5"/>
    <w:rsid w:val="00A37D1C"/>
    <w:rsid w:val="00A5453E"/>
    <w:rsid w:val="00A56F6C"/>
    <w:rsid w:val="00A76C8C"/>
    <w:rsid w:val="00A85F30"/>
    <w:rsid w:val="00A9099E"/>
    <w:rsid w:val="00A91FB7"/>
    <w:rsid w:val="00A9298F"/>
    <w:rsid w:val="00AA0351"/>
    <w:rsid w:val="00AA5F4A"/>
    <w:rsid w:val="00AB1984"/>
    <w:rsid w:val="00AB52B1"/>
    <w:rsid w:val="00AC4CB3"/>
    <w:rsid w:val="00AC780D"/>
    <w:rsid w:val="00AD036B"/>
    <w:rsid w:val="00AD1996"/>
    <w:rsid w:val="00AD4099"/>
    <w:rsid w:val="00AD4901"/>
    <w:rsid w:val="00B02FE0"/>
    <w:rsid w:val="00B057B6"/>
    <w:rsid w:val="00B2575B"/>
    <w:rsid w:val="00B30448"/>
    <w:rsid w:val="00B34786"/>
    <w:rsid w:val="00B400EC"/>
    <w:rsid w:val="00B40162"/>
    <w:rsid w:val="00B41ACE"/>
    <w:rsid w:val="00B50156"/>
    <w:rsid w:val="00B518AD"/>
    <w:rsid w:val="00B60A96"/>
    <w:rsid w:val="00B678EC"/>
    <w:rsid w:val="00B76C94"/>
    <w:rsid w:val="00B772D0"/>
    <w:rsid w:val="00B836EA"/>
    <w:rsid w:val="00B84C05"/>
    <w:rsid w:val="00B91B81"/>
    <w:rsid w:val="00B97135"/>
    <w:rsid w:val="00BB3072"/>
    <w:rsid w:val="00BC7632"/>
    <w:rsid w:val="00BD48A9"/>
    <w:rsid w:val="00BD630F"/>
    <w:rsid w:val="00BD7EC6"/>
    <w:rsid w:val="00BE73FA"/>
    <w:rsid w:val="00BF6B4B"/>
    <w:rsid w:val="00C0174E"/>
    <w:rsid w:val="00C0511C"/>
    <w:rsid w:val="00C20ACF"/>
    <w:rsid w:val="00C22307"/>
    <w:rsid w:val="00C23469"/>
    <w:rsid w:val="00C30C62"/>
    <w:rsid w:val="00C371DF"/>
    <w:rsid w:val="00C42055"/>
    <w:rsid w:val="00C44B4C"/>
    <w:rsid w:val="00C46734"/>
    <w:rsid w:val="00C47A86"/>
    <w:rsid w:val="00C53220"/>
    <w:rsid w:val="00CA3347"/>
    <w:rsid w:val="00CC299A"/>
    <w:rsid w:val="00CD03E3"/>
    <w:rsid w:val="00CE6BDA"/>
    <w:rsid w:val="00D03DBE"/>
    <w:rsid w:val="00D072C0"/>
    <w:rsid w:val="00D16CD0"/>
    <w:rsid w:val="00D34C82"/>
    <w:rsid w:val="00D3757A"/>
    <w:rsid w:val="00D504A9"/>
    <w:rsid w:val="00D5206D"/>
    <w:rsid w:val="00D67EE2"/>
    <w:rsid w:val="00D7177D"/>
    <w:rsid w:val="00D81311"/>
    <w:rsid w:val="00D93D99"/>
    <w:rsid w:val="00DB201E"/>
    <w:rsid w:val="00DC0E68"/>
    <w:rsid w:val="00DD25ED"/>
    <w:rsid w:val="00DE0D6E"/>
    <w:rsid w:val="00E1610C"/>
    <w:rsid w:val="00E16D73"/>
    <w:rsid w:val="00E23E9E"/>
    <w:rsid w:val="00E25722"/>
    <w:rsid w:val="00E27F0A"/>
    <w:rsid w:val="00E4231E"/>
    <w:rsid w:val="00E4302C"/>
    <w:rsid w:val="00E44AC7"/>
    <w:rsid w:val="00E45F4B"/>
    <w:rsid w:val="00E60A16"/>
    <w:rsid w:val="00E72D20"/>
    <w:rsid w:val="00E82B6E"/>
    <w:rsid w:val="00E94258"/>
    <w:rsid w:val="00E96C18"/>
    <w:rsid w:val="00EA2E61"/>
    <w:rsid w:val="00EA7D7F"/>
    <w:rsid w:val="00EB02F4"/>
    <w:rsid w:val="00EB2FA2"/>
    <w:rsid w:val="00EB769A"/>
    <w:rsid w:val="00EC3A35"/>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53BE2"/>
    <w:rsid w:val="00F55684"/>
    <w:rsid w:val="00F64D5A"/>
    <w:rsid w:val="00F709CD"/>
    <w:rsid w:val="00F906F4"/>
    <w:rsid w:val="00FA0716"/>
    <w:rsid w:val="00FB4629"/>
    <w:rsid w:val="00FB6FB1"/>
    <w:rsid w:val="00FB7063"/>
    <w:rsid w:val="00FC7056"/>
    <w:rsid w:val="00FE1A00"/>
    <w:rsid w:val="024D7E2C"/>
    <w:rsid w:val="0D2EB883"/>
    <w:rsid w:val="0D8163B6"/>
    <w:rsid w:val="13A69650"/>
    <w:rsid w:val="18C10F1C"/>
    <w:rsid w:val="1BB32F19"/>
    <w:rsid w:val="1F2C3AF5"/>
    <w:rsid w:val="1F9252E4"/>
    <w:rsid w:val="1FF4886A"/>
    <w:rsid w:val="22D2584A"/>
    <w:rsid w:val="28751A95"/>
    <w:rsid w:val="29FA8189"/>
    <w:rsid w:val="2C00A012"/>
    <w:rsid w:val="2F421DDF"/>
    <w:rsid w:val="389994B3"/>
    <w:rsid w:val="3B30A011"/>
    <w:rsid w:val="3B93C128"/>
    <w:rsid w:val="3CFBE104"/>
    <w:rsid w:val="510454D8"/>
    <w:rsid w:val="521E120A"/>
    <w:rsid w:val="5D8505AD"/>
    <w:rsid w:val="6CAEFF2C"/>
    <w:rsid w:val="71443FBB"/>
    <w:rsid w:val="72EE784C"/>
    <w:rsid w:val="7563E76A"/>
    <w:rsid w:val="79A6159C"/>
    <w:rsid w:val="7B5CC0D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42706"/>
  <w15:docId w15:val="{560C3492-E338-CA4A-BE1D-A9FEDA44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link w:val="NormalWebCar"/>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character" w:customStyle="1" w:styleId="NormalWebCar">
    <w:name w:val="Normal (Web) Car"/>
    <w:link w:val="NormalWeb"/>
    <w:uiPriority w:val="99"/>
    <w:rsid w:val="00D93D99"/>
    <w:rPr>
      <w:rFonts w:ascii="Times New Roman" w:hAnsi="Times New Roman" w:cs="Times New Roman"/>
      <w:sz w:val="24"/>
      <w:szCs w:val="24"/>
    </w:rPr>
  </w:style>
  <w:style w:type="character" w:customStyle="1" w:styleId="baj">
    <w:name w:val="b_aj"/>
    <w:basedOn w:val="Fuentedeprrafopredeter"/>
    <w:rsid w:val="00D93D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hon.gonzalez@contraloria.gov.co"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B789C8B4-083D-4D43-8AD7-766218097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5940</Words>
  <Characters>32670</Characters>
  <Application>Microsoft Office Word</Application>
  <DocSecurity>0</DocSecurity>
  <Lines>272</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Betty Elena Díaz Fernandez</cp:lastModifiedBy>
  <cp:revision>2</cp:revision>
  <dcterms:created xsi:type="dcterms:W3CDTF">2026-05-06T14:02:00Z</dcterms:created>
  <dcterms:modified xsi:type="dcterms:W3CDTF">2026-05-06T14:02:00Z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