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AC7C1" w14:textId="29E6E92D" w:rsidR="00C36C0C" w:rsidRPr="00C61891" w:rsidRDefault="00EF22DD" w:rsidP="00EF22DD">
      <w:pPr>
        <w:spacing w:after="0"/>
        <w:jc w:val="both"/>
        <w:rPr>
          <w:rFonts w:ascii="Verdana" w:hAnsi="Verdana"/>
          <w:b/>
          <w:bCs/>
          <w:sz w:val="20"/>
          <w:szCs w:val="20"/>
        </w:rPr>
      </w:pPr>
      <w:bookmarkStart w:id="0" w:name="_Hlk143780582"/>
      <w:bookmarkStart w:id="1" w:name="_Hlk195597546"/>
      <w:r w:rsidRPr="00C61891">
        <w:rPr>
          <w:rFonts w:ascii="Verdana" w:hAnsi="Verdana"/>
          <w:b/>
          <w:bCs/>
          <w:sz w:val="20"/>
          <w:szCs w:val="20"/>
        </w:rPr>
        <w:t xml:space="preserve">ENTIDADES DE RÉGIMEN ESPECIAL – Procedimientos contractuales – DERECHO PRIVADO </w:t>
      </w:r>
    </w:p>
    <w:p w14:paraId="0E4B4C2F" w14:textId="77777777" w:rsidR="00EF22DD" w:rsidRPr="00C61891" w:rsidRDefault="00EF22DD" w:rsidP="00E11DD9">
      <w:pPr>
        <w:spacing w:after="0"/>
        <w:rPr>
          <w:rFonts w:ascii="Verdana" w:hAnsi="Verdana"/>
          <w:b/>
          <w:bCs/>
          <w:sz w:val="20"/>
          <w:szCs w:val="20"/>
        </w:rPr>
      </w:pPr>
    </w:p>
    <w:p w14:paraId="675A3B40" w14:textId="1E50CD55" w:rsidR="00EF22DD" w:rsidRPr="00C61891" w:rsidRDefault="00EF22DD" w:rsidP="00EF22DD">
      <w:pPr>
        <w:spacing w:after="0"/>
        <w:jc w:val="both"/>
        <w:rPr>
          <w:rFonts w:ascii="Verdana" w:hAnsi="Verdana"/>
          <w:sz w:val="20"/>
          <w:szCs w:val="20"/>
        </w:rPr>
      </w:pPr>
      <w:r w:rsidRPr="00C61891">
        <w:rPr>
          <w:rFonts w:ascii="Verdana" w:hAnsi="Verdana"/>
          <w:sz w:val="20"/>
          <w:szCs w:val="20"/>
        </w:rPr>
        <w:t>L</w:t>
      </w:r>
      <w:r w:rsidRPr="00C61891">
        <w:rPr>
          <w:rFonts w:ascii="Verdana" w:hAnsi="Verdana"/>
          <w:sz w:val="20"/>
          <w:szCs w:val="20"/>
        </w:rPr>
        <w:t>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1FB8B3E4" w14:textId="77777777" w:rsidR="00EF22DD" w:rsidRPr="00C61891" w:rsidRDefault="00EF22DD" w:rsidP="00EF22DD">
      <w:pPr>
        <w:spacing w:after="0"/>
        <w:jc w:val="both"/>
        <w:rPr>
          <w:rFonts w:ascii="Verdana" w:hAnsi="Verdana"/>
          <w:sz w:val="20"/>
          <w:szCs w:val="20"/>
        </w:rPr>
      </w:pPr>
    </w:p>
    <w:p w14:paraId="4391B83D" w14:textId="58911AF0" w:rsidR="00EF22DD" w:rsidRPr="00C61891" w:rsidRDefault="00EF22DD" w:rsidP="00EF22DD">
      <w:pPr>
        <w:spacing w:after="0"/>
        <w:jc w:val="both"/>
        <w:rPr>
          <w:rFonts w:ascii="Verdana" w:hAnsi="Verdana"/>
          <w:b/>
          <w:bCs/>
          <w:sz w:val="20"/>
          <w:szCs w:val="20"/>
        </w:rPr>
      </w:pPr>
      <w:r w:rsidRPr="00C61891">
        <w:rPr>
          <w:rFonts w:ascii="Verdana" w:hAnsi="Verdana"/>
          <w:b/>
          <w:bCs/>
          <w:sz w:val="20"/>
          <w:szCs w:val="20"/>
        </w:rPr>
        <w:t xml:space="preserve">ENTIDADES CON RÉGIMEN ESPECIAL – Aplicación de los principios de la función pública y control fiscal  </w:t>
      </w:r>
    </w:p>
    <w:p w14:paraId="05140A48" w14:textId="77777777" w:rsidR="00EF22DD" w:rsidRPr="00C61891" w:rsidRDefault="00EF22DD" w:rsidP="00EF22DD">
      <w:pPr>
        <w:spacing w:after="0"/>
        <w:jc w:val="both"/>
        <w:rPr>
          <w:rFonts w:ascii="Verdana" w:hAnsi="Verdana"/>
          <w:sz w:val="20"/>
          <w:szCs w:val="20"/>
        </w:rPr>
      </w:pPr>
    </w:p>
    <w:p w14:paraId="2F33A630" w14:textId="348BFEEC" w:rsidR="00EF22DD" w:rsidRPr="00C61891" w:rsidRDefault="00EF22DD" w:rsidP="00EF22DD">
      <w:pPr>
        <w:spacing w:after="0"/>
        <w:jc w:val="both"/>
        <w:rPr>
          <w:rFonts w:ascii="Verdana" w:hAnsi="Verdana"/>
          <w:sz w:val="20"/>
          <w:szCs w:val="20"/>
        </w:rPr>
      </w:pPr>
      <w:r w:rsidRPr="00C61891">
        <w:rPr>
          <w:rFonts w:ascii="Verdana" w:hAnsi="Verdana"/>
          <w:sz w:val="20"/>
          <w:szCs w:val="20"/>
        </w:rPr>
        <w:t xml:space="preserve">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como el régimen de inhabilidades e incompatibilidades previsto para la contratación estatal. </w:t>
      </w:r>
    </w:p>
    <w:p w14:paraId="2600A8D9" w14:textId="77777777" w:rsidR="00EF22DD" w:rsidRPr="00C61891" w:rsidRDefault="00EF22DD" w:rsidP="00EF22DD">
      <w:pPr>
        <w:spacing w:after="0"/>
        <w:jc w:val="both"/>
        <w:rPr>
          <w:rFonts w:ascii="Verdana" w:hAnsi="Verdana"/>
          <w:sz w:val="20"/>
          <w:szCs w:val="20"/>
        </w:rPr>
      </w:pPr>
    </w:p>
    <w:p w14:paraId="4B201304" w14:textId="04B1B152" w:rsidR="00EF22DD" w:rsidRPr="00C61891" w:rsidRDefault="00EF22DD" w:rsidP="00EF22DD">
      <w:pPr>
        <w:spacing w:after="0"/>
        <w:jc w:val="both"/>
        <w:rPr>
          <w:rFonts w:ascii="Verdana" w:hAnsi="Verdana"/>
          <w:b/>
          <w:bCs/>
          <w:sz w:val="20"/>
          <w:szCs w:val="20"/>
        </w:rPr>
      </w:pPr>
      <w:r w:rsidRPr="00C61891">
        <w:rPr>
          <w:rFonts w:ascii="Verdana" w:hAnsi="Verdana"/>
          <w:b/>
          <w:bCs/>
          <w:sz w:val="20"/>
          <w:szCs w:val="20"/>
        </w:rPr>
        <w:t>ENTIDADES CON RÉGIMEN ESPECIAL – Aplicación de las cláusulas excepcionales – CLÁUSULAS EXCEPCIONALES – Terminación del contrato o sanción - Juez competente</w:t>
      </w:r>
    </w:p>
    <w:p w14:paraId="08CCB24D" w14:textId="77777777" w:rsidR="00EF22DD" w:rsidRPr="00C61891" w:rsidRDefault="00EF22DD" w:rsidP="00EF22DD">
      <w:pPr>
        <w:spacing w:after="0"/>
        <w:jc w:val="both"/>
        <w:rPr>
          <w:rFonts w:ascii="Verdana" w:hAnsi="Verdana"/>
          <w:sz w:val="20"/>
          <w:szCs w:val="20"/>
        </w:rPr>
      </w:pPr>
    </w:p>
    <w:p w14:paraId="625855BB" w14:textId="29D7F580" w:rsidR="00EF22DD" w:rsidRPr="00C61891" w:rsidRDefault="00EF22DD" w:rsidP="00EF22DD">
      <w:pPr>
        <w:spacing w:after="0"/>
        <w:jc w:val="both"/>
        <w:rPr>
          <w:rFonts w:ascii="Verdana" w:hAnsi="Verdana"/>
          <w:sz w:val="20"/>
          <w:szCs w:val="20"/>
        </w:rPr>
      </w:pPr>
      <w:r w:rsidRPr="00C61891">
        <w:rPr>
          <w:rFonts w:ascii="Verdana" w:hAnsi="Verdana"/>
          <w:sz w:val="20"/>
          <w:szCs w:val="20"/>
        </w:rPr>
        <w:t>E</w:t>
      </w:r>
      <w:r w:rsidRPr="00C61891">
        <w:rPr>
          <w:rFonts w:ascii="Verdana" w:hAnsi="Verdana"/>
          <w:sz w:val="20"/>
          <w:szCs w:val="20"/>
        </w:rPr>
        <w:t>n torno a la aplicabilidad de las cláusulas excepcionales, se debe tener en cuenta que éstas no se encuentran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r w:rsidRPr="00C61891">
        <w:rPr>
          <w:rFonts w:ascii="Verdana" w:hAnsi="Verdana"/>
          <w:sz w:val="20"/>
          <w:szCs w:val="20"/>
        </w:rPr>
        <w:t>.</w:t>
      </w:r>
    </w:p>
    <w:p w14:paraId="4B042FCC" w14:textId="77777777" w:rsidR="00EF22DD" w:rsidRPr="00C61891" w:rsidRDefault="00EF22DD" w:rsidP="00EF22DD">
      <w:pPr>
        <w:spacing w:after="0"/>
        <w:jc w:val="both"/>
        <w:rPr>
          <w:rFonts w:ascii="Verdana" w:hAnsi="Verdana"/>
          <w:sz w:val="20"/>
          <w:szCs w:val="20"/>
        </w:rPr>
      </w:pPr>
    </w:p>
    <w:p w14:paraId="7F0F704B" w14:textId="2B61D93F" w:rsidR="00EF22DD" w:rsidRPr="00C61891" w:rsidRDefault="00EF22DD" w:rsidP="00EF22DD">
      <w:pPr>
        <w:spacing w:after="0"/>
        <w:jc w:val="both"/>
        <w:rPr>
          <w:rFonts w:ascii="Verdana" w:hAnsi="Verdana"/>
          <w:b/>
          <w:bCs/>
          <w:sz w:val="20"/>
          <w:szCs w:val="20"/>
        </w:rPr>
      </w:pPr>
      <w:r w:rsidRPr="00C61891">
        <w:rPr>
          <w:rFonts w:ascii="Verdana" w:hAnsi="Verdana"/>
          <w:b/>
          <w:bCs/>
          <w:sz w:val="20"/>
          <w:szCs w:val="20"/>
        </w:rPr>
        <w:t>PROCEDIMIENTO ADMINISTRATIVO SANCIONATORIO DE CARÁCTER CONTRACTUAL – Cláusulas excepcionales – PROCEDIMIENTO ADMINISTRATIVO SANCIONATORIO DE CARÁCTER CONTRACTUAL - Ley 1474 de 2011 artículo 86 – Entidades sometidas al Estatuto General de Contratación Pública</w:t>
      </w:r>
      <w:r w:rsidR="004536AA" w:rsidRPr="00C61891">
        <w:rPr>
          <w:rFonts w:ascii="Verdana" w:hAnsi="Verdana"/>
          <w:b/>
          <w:bCs/>
          <w:sz w:val="20"/>
          <w:szCs w:val="20"/>
        </w:rPr>
        <w:t xml:space="preserve"> – ENTIDADES CON RÉGIMEN ESPECIAL – inaplicación del procedimiento sancionatorio administrativo de carácter contractual </w:t>
      </w:r>
    </w:p>
    <w:p w14:paraId="74969C21" w14:textId="77777777" w:rsidR="004536AA" w:rsidRPr="00C61891" w:rsidRDefault="004536AA" w:rsidP="00EF22DD">
      <w:pPr>
        <w:spacing w:after="0"/>
        <w:jc w:val="both"/>
        <w:rPr>
          <w:rFonts w:ascii="Verdana" w:hAnsi="Verdana"/>
          <w:b/>
          <w:bCs/>
          <w:sz w:val="20"/>
          <w:szCs w:val="20"/>
        </w:rPr>
      </w:pPr>
    </w:p>
    <w:p w14:paraId="7922C9F7" w14:textId="3EB55A46" w:rsidR="00EF22DD" w:rsidRPr="00C61891" w:rsidRDefault="00EF22DD" w:rsidP="00EF22DD">
      <w:pPr>
        <w:spacing w:after="0"/>
        <w:jc w:val="both"/>
        <w:rPr>
          <w:rFonts w:ascii="Verdana" w:hAnsi="Verdana"/>
          <w:sz w:val="20"/>
          <w:szCs w:val="20"/>
        </w:rPr>
      </w:pPr>
      <w:r w:rsidRPr="00C61891">
        <w:rPr>
          <w:rFonts w:ascii="Verdana" w:hAnsi="Verdana"/>
          <w:sz w:val="20"/>
          <w:szCs w:val="20"/>
        </w:rPr>
        <w:t xml:space="preserve">Para el ejercicio de estas potestades exorbitantes en particular, el artículo 86 de la Ley 1474 de 2011 regula un procedimiento administrativo sancionatorio dirigido a sujetos específicos: las entidades sometidas al Estatuto General de Contratación de la Administración Pública, es decir, a la Ley 80 de 1993 y a la Ley 1150 de 2007. Así se </w:t>
      </w:r>
      <w:r w:rsidRPr="00C61891">
        <w:rPr>
          <w:rFonts w:ascii="Verdana" w:hAnsi="Verdana"/>
          <w:sz w:val="20"/>
          <w:szCs w:val="20"/>
        </w:rPr>
        <w:lastRenderedPageBreak/>
        <w:t xml:space="preserve">desprende del primer inciso de aquel artículo, que dispone: “Las entidades sometidas al Estatuto General de Contratación de la Administración Pública podrán declarar el incumplimiento, cuantificando los perjuicios </w:t>
      </w:r>
      <w:proofErr w:type="gramStart"/>
      <w:r w:rsidRPr="00C61891">
        <w:rPr>
          <w:rFonts w:ascii="Verdana" w:hAnsi="Verdana"/>
          <w:sz w:val="20"/>
          <w:szCs w:val="20"/>
        </w:rPr>
        <w:t>del mismo</w:t>
      </w:r>
      <w:proofErr w:type="gramEnd"/>
      <w:r w:rsidRPr="00C61891">
        <w:rPr>
          <w:rFonts w:ascii="Verdana" w:hAnsi="Verdana"/>
          <w:sz w:val="20"/>
          <w:szCs w:val="20"/>
        </w:rPr>
        <w:t>, imponer las multas y sanciones pactadas en el contrato, y hacer efectiva la cláusula penal. Para tal efecto observarán el siguiente procedimiento […]”. De ahí que, solo por esta razón, las entidades de régimen</w:t>
      </w:r>
      <w:r w:rsidRPr="00C61891">
        <w:rPr>
          <w:rFonts w:ascii="Verdana" w:hAnsi="Verdana"/>
          <w:sz w:val="20"/>
          <w:szCs w:val="20"/>
        </w:rPr>
        <w:t xml:space="preserve"> </w:t>
      </w:r>
      <w:r w:rsidR="004536AA" w:rsidRPr="00C61891">
        <w:rPr>
          <w:rFonts w:ascii="Verdana" w:hAnsi="Verdana"/>
          <w:sz w:val="20"/>
          <w:szCs w:val="20"/>
        </w:rPr>
        <w:t>especial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p>
    <w:p w14:paraId="3145973D" w14:textId="77777777" w:rsidR="004536AA" w:rsidRPr="00C61891" w:rsidRDefault="004536AA" w:rsidP="00EF22DD">
      <w:pPr>
        <w:spacing w:after="0"/>
        <w:jc w:val="both"/>
        <w:rPr>
          <w:rFonts w:ascii="Verdana" w:hAnsi="Verdana"/>
          <w:sz w:val="20"/>
          <w:szCs w:val="20"/>
        </w:rPr>
      </w:pPr>
    </w:p>
    <w:p w14:paraId="6AD1D53A" w14:textId="578C5680" w:rsidR="004536AA" w:rsidRPr="00C61891" w:rsidRDefault="004536AA" w:rsidP="00EF22DD">
      <w:pPr>
        <w:spacing w:after="0"/>
        <w:jc w:val="both"/>
        <w:rPr>
          <w:rFonts w:ascii="Verdana" w:hAnsi="Verdana"/>
          <w:b/>
          <w:bCs/>
          <w:sz w:val="20"/>
          <w:szCs w:val="20"/>
        </w:rPr>
      </w:pPr>
      <w:r w:rsidRPr="00C61891">
        <w:rPr>
          <w:rFonts w:ascii="Verdana" w:hAnsi="Verdana"/>
          <w:b/>
          <w:bCs/>
          <w:sz w:val="20"/>
          <w:szCs w:val="20"/>
        </w:rPr>
        <w:t xml:space="preserve">ENTIDADES CON RÉGIMEN ESPECIAL – Pacto de cláusulas de ejercicio unilateral – ACTOS CONTRACTUALES – No son actos administrativos  </w:t>
      </w:r>
    </w:p>
    <w:p w14:paraId="67106FEC" w14:textId="77777777" w:rsidR="004536AA" w:rsidRPr="00C61891" w:rsidRDefault="004536AA" w:rsidP="00EF22DD">
      <w:pPr>
        <w:spacing w:after="0"/>
        <w:jc w:val="both"/>
        <w:rPr>
          <w:rFonts w:ascii="Verdana" w:hAnsi="Verdana"/>
          <w:sz w:val="20"/>
          <w:szCs w:val="20"/>
        </w:rPr>
      </w:pPr>
    </w:p>
    <w:p w14:paraId="04A7C430" w14:textId="49237D79" w:rsidR="004536AA" w:rsidRPr="00C61891" w:rsidRDefault="004536AA" w:rsidP="00EF22DD">
      <w:pPr>
        <w:spacing w:after="0"/>
        <w:jc w:val="both"/>
        <w:rPr>
          <w:rFonts w:ascii="Verdana" w:hAnsi="Verdana"/>
          <w:sz w:val="20"/>
          <w:szCs w:val="20"/>
        </w:rPr>
      </w:pPr>
      <w:r w:rsidRPr="00C61891">
        <w:rPr>
          <w:rFonts w:ascii="Verdana" w:hAnsi="Verdana"/>
          <w:sz w:val="20"/>
          <w:szCs w:val="20"/>
        </w:rPr>
        <w:t>L</w:t>
      </w:r>
      <w:r w:rsidRPr="00C61891">
        <w:rPr>
          <w:rFonts w:ascii="Verdana" w:hAnsi="Verdana"/>
          <w:sz w:val="20"/>
          <w:szCs w:val="20"/>
        </w:rPr>
        <w:t>as entidades estatales sometidas regímenes especiales de contratación, si bien no tienen potestad sancionatoria por mérito de la ley, tienen la posibilidad de acudir a la autonomía de la voluntad para pactar el ejercicio de potestades unilateral. Sin embargo, los actos a través de los cuales se materialice el ejercicio de potestades unilaterales emanadas del ejercicio de la autonomía de la voluntad, en el marco de contratos estatales exceptuados del EGCAP, no pueden ser equiparados a actos administrativo</w:t>
      </w:r>
      <w:r w:rsidRPr="00C61891">
        <w:rPr>
          <w:rFonts w:ascii="Verdana" w:hAnsi="Verdana"/>
          <w:sz w:val="20"/>
          <w:szCs w:val="20"/>
        </w:rPr>
        <w:t>.</w:t>
      </w:r>
    </w:p>
    <w:p w14:paraId="7ED0974C" w14:textId="77777777" w:rsidR="004536AA" w:rsidRPr="00C61891" w:rsidRDefault="004536AA" w:rsidP="00EF22DD">
      <w:pPr>
        <w:spacing w:after="0"/>
        <w:jc w:val="both"/>
        <w:rPr>
          <w:rFonts w:ascii="Verdana" w:hAnsi="Verdana"/>
          <w:sz w:val="20"/>
          <w:szCs w:val="20"/>
        </w:rPr>
      </w:pPr>
    </w:p>
    <w:p w14:paraId="4C26A172" w14:textId="59080786" w:rsidR="004536AA" w:rsidRPr="00C61891" w:rsidRDefault="004536AA" w:rsidP="00EF22DD">
      <w:pPr>
        <w:spacing w:after="0"/>
        <w:jc w:val="both"/>
        <w:rPr>
          <w:rFonts w:ascii="Verdana" w:hAnsi="Verdana"/>
          <w:b/>
          <w:bCs/>
          <w:sz w:val="20"/>
          <w:szCs w:val="20"/>
        </w:rPr>
      </w:pPr>
      <w:r w:rsidRPr="00C61891">
        <w:rPr>
          <w:rFonts w:ascii="Verdana" w:hAnsi="Verdana"/>
          <w:b/>
          <w:bCs/>
          <w:sz w:val="20"/>
          <w:szCs w:val="20"/>
        </w:rPr>
        <w:t xml:space="preserve">GARANTÍAS </w:t>
      </w:r>
      <w:r w:rsidR="00C61891" w:rsidRPr="00C61891">
        <w:rPr>
          <w:rFonts w:ascii="Verdana" w:hAnsi="Verdana"/>
          <w:b/>
          <w:bCs/>
          <w:sz w:val="20"/>
          <w:szCs w:val="20"/>
        </w:rPr>
        <w:t>–</w:t>
      </w:r>
      <w:r w:rsidRPr="00C61891">
        <w:rPr>
          <w:rFonts w:ascii="Verdana" w:hAnsi="Verdana"/>
          <w:b/>
          <w:bCs/>
          <w:sz w:val="20"/>
          <w:szCs w:val="20"/>
        </w:rPr>
        <w:t xml:space="preserve"> </w:t>
      </w:r>
      <w:r w:rsidR="00C61891" w:rsidRPr="00C61891">
        <w:rPr>
          <w:rFonts w:ascii="Verdana" w:hAnsi="Verdana"/>
          <w:b/>
          <w:bCs/>
          <w:sz w:val="20"/>
          <w:szCs w:val="20"/>
        </w:rPr>
        <w:t>Contratos con régimen privado</w:t>
      </w:r>
      <w:r w:rsidR="00C61891">
        <w:rPr>
          <w:rFonts w:ascii="Verdana" w:hAnsi="Verdana"/>
          <w:b/>
          <w:bCs/>
          <w:sz w:val="20"/>
          <w:szCs w:val="20"/>
        </w:rPr>
        <w:t xml:space="preserve"> – Aplicación del Código de Comercio</w:t>
      </w:r>
    </w:p>
    <w:p w14:paraId="2D536C35" w14:textId="77777777" w:rsidR="00EF22DD" w:rsidRPr="00C61891" w:rsidRDefault="00EF22DD" w:rsidP="00EF22DD">
      <w:pPr>
        <w:spacing w:after="0"/>
        <w:jc w:val="both"/>
        <w:rPr>
          <w:rFonts w:ascii="Verdana" w:hAnsi="Verdana"/>
          <w:sz w:val="20"/>
          <w:szCs w:val="20"/>
        </w:rPr>
      </w:pPr>
    </w:p>
    <w:p w14:paraId="466C92E0" w14:textId="5A304816" w:rsidR="00EF22DD" w:rsidRPr="00C61891" w:rsidRDefault="004536AA" w:rsidP="00EF22DD">
      <w:pPr>
        <w:spacing w:after="0"/>
        <w:jc w:val="both"/>
        <w:rPr>
          <w:rFonts w:ascii="Verdana" w:hAnsi="Verdana"/>
          <w:sz w:val="20"/>
          <w:szCs w:val="20"/>
        </w:rPr>
      </w:pPr>
      <w:r w:rsidRPr="00C61891">
        <w:rPr>
          <w:rFonts w:ascii="Verdana" w:hAnsi="Verdana"/>
          <w:sz w:val="20"/>
          <w:szCs w:val="20"/>
        </w:rPr>
        <w:t>Al respecto, es importante tener en cuenta que, frente a la implementación de mecanismos de cobertura del riesgo como el contrato de seguro, su aplicación por parte de entidades de régimen especial implica ciertas distinciones en comparación con el régimen de contratación general. Por ejemplo, para la declaratoria del siniestro que da lugar al cobro de la póliza de</w:t>
      </w:r>
      <w:r w:rsidR="00C61891" w:rsidRPr="00C61891">
        <w:rPr>
          <w:rFonts w:ascii="Verdana" w:hAnsi="Verdana"/>
          <w:sz w:val="20"/>
          <w:szCs w:val="20"/>
        </w:rPr>
        <w:t xml:space="preserve"> c</w:t>
      </w:r>
      <w:r w:rsidR="00C61891" w:rsidRPr="00C61891">
        <w:rPr>
          <w:rFonts w:ascii="Verdana" w:hAnsi="Verdana"/>
          <w:sz w:val="20"/>
          <w:szCs w:val="20"/>
        </w:rPr>
        <w:t>umplimiento, las entidades de régimen especial deben seguir las normas del Código de Comercio.</w:t>
      </w:r>
      <w:r w:rsidR="00C61891" w:rsidRPr="00C61891">
        <w:rPr>
          <w:rFonts w:ascii="Verdana" w:hAnsi="Verdana"/>
          <w:sz w:val="20"/>
          <w:szCs w:val="20"/>
        </w:rPr>
        <w:t xml:space="preserve"> </w:t>
      </w:r>
      <w:r w:rsidR="00C61891" w:rsidRPr="00C61891">
        <w:rPr>
          <w:rFonts w:ascii="Verdana" w:hAnsi="Verdana"/>
          <w:sz w:val="20"/>
          <w:szCs w:val="20"/>
        </w:rPr>
        <w:t>Sobre el particular este establece en su artículo 1077 que le corresponde al asegurado demostrar la ocurrencia del siniestro, así como la cuantía de la pérdida. Esto resulta particularmente relevante, considerando que, de acuerdo con lo antes explicado, las entidades estatales de régimen especial no tienen la posibilidad de expedir actos administrativos tendientes declarar el incumplimiento, materializar el siniestro y hacer efectivo el amparo de la póliza del seguro de cumplimiento.</w:t>
      </w:r>
    </w:p>
    <w:p w14:paraId="5D954F06" w14:textId="77777777" w:rsidR="00EF22DD" w:rsidRPr="00C61891" w:rsidRDefault="00EF22DD" w:rsidP="00EF22DD">
      <w:pPr>
        <w:spacing w:after="0"/>
        <w:jc w:val="both"/>
        <w:rPr>
          <w:rFonts w:ascii="Verdana" w:hAnsi="Verdana"/>
          <w:sz w:val="20"/>
          <w:szCs w:val="20"/>
        </w:rPr>
      </w:pPr>
    </w:p>
    <w:p w14:paraId="20BCC67D" w14:textId="2582B6E5" w:rsidR="00C36C0C" w:rsidRDefault="00C61891" w:rsidP="00C61891">
      <w:pPr>
        <w:spacing w:after="0"/>
        <w:jc w:val="both"/>
        <w:rPr>
          <w:rFonts w:ascii="Verdana" w:hAnsi="Verdana"/>
          <w:sz w:val="20"/>
          <w:szCs w:val="20"/>
        </w:rPr>
      </w:pPr>
      <w:r w:rsidRPr="00C61891">
        <w:rPr>
          <w:rFonts w:ascii="Verdana" w:hAnsi="Verdana"/>
          <w:sz w:val="20"/>
          <w:szCs w:val="20"/>
        </w:rPr>
        <w:t>Por lo tanto, una entidad estatal cuyos actos y contratos se rijan por el derecho privado, deberá realizar las mismas actuaciones que el resto de los sujetos de derecho privado; así, para el caso del contrato de seguros, deberá acudir a la aseguradora con el fin de demostrar la ocurrencia del siniestro y la cuantía de los perjuicios</w:t>
      </w:r>
    </w:p>
    <w:p w14:paraId="66739A08" w14:textId="77777777" w:rsidR="00C61891" w:rsidRDefault="00C61891" w:rsidP="00C61891">
      <w:pPr>
        <w:spacing w:after="0"/>
        <w:jc w:val="both"/>
        <w:rPr>
          <w:rFonts w:ascii="Verdana" w:hAnsi="Verdana"/>
          <w:sz w:val="20"/>
          <w:szCs w:val="20"/>
        </w:rPr>
      </w:pPr>
    </w:p>
    <w:p w14:paraId="35874B4A" w14:textId="59BECFFD" w:rsidR="00C61891" w:rsidRPr="00C61891" w:rsidRDefault="00C61891" w:rsidP="00C61891">
      <w:pPr>
        <w:spacing w:after="0"/>
        <w:jc w:val="both"/>
        <w:rPr>
          <w:rFonts w:ascii="Verdana" w:hAnsi="Verdana"/>
          <w:b/>
          <w:bCs/>
          <w:sz w:val="20"/>
          <w:szCs w:val="20"/>
        </w:rPr>
      </w:pPr>
      <w:r w:rsidRPr="00C61891">
        <w:rPr>
          <w:rFonts w:ascii="Verdana" w:hAnsi="Verdana"/>
          <w:b/>
          <w:bCs/>
          <w:sz w:val="20"/>
          <w:szCs w:val="20"/>
        </w:rPr>
        <w:t xml:space="preserve">GARANTÍAS – Reclamación por la ocurrencia del siniestro – ENTIDADES CON RÉGIMEN DE CONTRATACIÓN ESTSTAL – Código de Comercio artículo 1075 </w:t>
      </w:r>
    </w:p>
    <w:p w14:paraId="709D50BB" w14:textId="54106B84" w:rsidR="00C36C0C" w:rsidRDefault="00C61891" w:rsidP="00C61891">
      <w:pPr>
        <w:spacing w:after="0"/>
        <w:jc w:val="both"/>
        <w:rPr>
          <w:rFonts w:ascii="Verdana" w:hAnsi="Verdana"/>
        </w:rPr>
      </w:pPr>
      <w:r>
        <w:rPr>
          <w:rFonts w:ascii="Verdana" w:hAnsi="Verdana"/>
        </w:rPr>
        <w:lastRenderedPageBreak/>
        <w:t>C</w:t>
      </w:r>
      <w:r w:rsidRPr="00C61891">
        <w:rPr>
          <w:rFonts w:ascii="Verdana" w:hAnsi="Verdana"/>
        </w:rPr>
        <w:t>onforme lo establece el artículo 1075 de Código de Comercio, el asegurado o el beneficiario estarán obligados a dar noticia al asegurador de la ocurrencia del siniestro, dentro de los tres días siguientes a la fecha en que lo hayan conocido o debido conocer. La compañía aseguradora podrá tomar a su cargo el cumplimiento del contrato sustituyendo al contratista por otro que dé cumplimiento a los derechos y obligaciones derivados del contrato asegurado. En caso de que la reclamación sea objetada por parte de la compañía de seguros, la entidad deberá acudir al juez del contrato mediante la acción de responsabilidad civil contractual contra la contratista, vinculando como tercero civilmente responsable a la aseguradora. De esta manera, en caso de que el contratista sea condenado, el juez podrá ordenar a la aseguradora el pago de los perjuicios hasta el monto pactado como valor asegurado.</w:t>
      </w:r>
    </w:p>
    <w:p w14:paraId="4E189F70" w14:textId="77777777" w:rsidR="00C61891" w:rsidRDefault="00C61891" w:rsidP="00E11DD9">
      <w:pPr>
        <w:spacing w:after="0"/>
        <w:rPr>
          <w:rFonts w:ascii="Verdana" w:hAnsi="Verdana"/>
        </w:rPr>
      </w:pPr>
    </w:p>
    <w:p w14:paraId="435E76F4" w14:textId="77777777" w:rsidR="00C61891" w:rsidRDefault="00C61891" w:rsidP="00E11DD9">
      <w:pPr>
        <w:spacing w:after="0"/>
        <w:rPr>
          <w:rFonts w:ascii="Verdana" w:hAnsi="Verdana"/>
        </w:rPr>
      </w:pPr>
    </w:p>
    <w:p w14:paraId="7BE401B3" w14:textId="77777777" w:rsidR="00C61891" w:rsidRDefault="00C61891" w:rsidP="00E11DD9">
      <w:pPr>
        <w:spacing w:after="0"/>
        <w:rPr>
          <w:rFonts w:ascii="Verdana" w:hAnsi="Verdana"/>
        </w:rPr>
      </w:pPr>
    </w:p>
    <w:p w14:paraId="3BE05656" w14:textId="77777777" w:rsidR="00C61891" w:rsidRDefault="00C61891" w:rsidP="00E11DD9">
      <w:pPr>
        <w:spacing w:after="0"/>
        <w:rPr>
          <w:rFonts w:ascii="Verdana" w:hAnsi="Verdana"/>
        </w:rPr>
      </w:pPr>
    </w:p>
    <w:p w14:paraId="10FF72FA" w14:textId="77777777" w:rsidR="00C61891" w:rsidRDefault="00C61891" w:rsidP="00E11DD9">
      <w:pPr>
        <w:spacing w:after="0"/>
        <w:rPr>
          <w:rFonts w:ascii="Verdana" w:hAnsi="Verdana"/>
        </w:rPr>
      </w:pPr>
    </w:p>
    <w:p w14:paraId="6F3ED723" w14:textId="77777777" w:rsidR="00C61891" w:rsidRDefault="00C61891" w:rsidP="00E11DD9">
      <w:pPr>
        <w:spacing w:after="0"/>
        <w:rPr>
          <w:rFonts w:ascii="Verdana" w:hAnsi="Verdana"/>
        </w:rPr>
      </w:pPr>
    </w:p>
    <w:p w14:paraId="49F436B1" w14:textId="77777777" w:rsidR="00C61891" w:rsidRDefault="00C61891" w:rsidP="00E11DD9">
      <w:pPr>
        <w:spacing w:after="0"/>
        <w:rPr>
          <w:rFonts w:ascii="Verdana" w:hAnsi="Verdana"/>
        </w:rPr>
      </w:pPr>
    </w:p>
    <w:p w14:paraId="74D2788D" w14:textId="77777777" w:rsidR="00C61891" w:rsidRDefault="00C61891" w:rsidP="00E11DD9">
      <w:pPr>
        <w:spacing w:after="0"/>
        <w:rPr>
          <w:rFonts w:ascii="Verdana" w:hAnsi="Verdana"/>
        </w:rPr>
      </w:pPr>
    </w:p>
    <w:p w14:paraId="2BBCF6DC" w14:textId="77777777" w:rsidR="00C61891" w:rsidRDefault="00C61891" w:rsidP="00E11DD9">
      <w:pPr>
        <w:spacing w:after="0"/>
        <w:rPr>
          <w:rFonts w:ascii="Verdana" w:hAnsi="Verdana"/>
        </w:rPr>
      </w:pPr>
    </w:p>
    <w:p w14:paraId="29464F3B" w14:textId="77777777" w:rsidR="00C61891" w:rsidRDefault="00C61891" w:rsidP="00E11DD9">
      <w:pPr>
        <w:spacing w:after="0"/>
        <w:rPr>
          <w:rFonts w:ascii="Verdana" w:hAnsi="Verdana"/>
        </w:rPr>
      </w:pPr>
    </w:p>
    <w:p w14:paraId="6A1396A1" w14:textId="77777777" w:rsidR="00C61891" w:rsidRDefault="00C61891" w:rsidP="00E11DD9">
      <w:pPr>
        <w:spacing w:after="0"/>
        <w:rPr>
          <w:rFonts w:ascii="Verdana" w:hAnsi="Verdana"/>
        </w:rPr>
      </w:pPr>
    </w:p>
    <w:p w14:paraId="1EF6925A" w14:textId="77777777" w:rsidR="00C61891" w:rsidRDefault="00C61891" w:rsidP="00E11DD9">
      <w:pPr>
        <w:spacing w:after="0"/>
        <w:rPr>
          <w:rFonts w:ascii="Verdana" w:hAnsi="Verdana"/>
        </w:rPr>
      </w:pPr>
    </w:p>
    <w:p w14:paraId="20F0BAF0" w14:textId="77777777" w:rsidR="00C61891" w:rsidRDefault="00C61891" w:rsidP="00E11DD9">
      <w:pPr>
        <w:spacing w:after="0"/>
        <w:rPr>
          <w:rFonts w:ascii="Verdana" w:hAnsi="Verdana"/>
        </w:rPr>
      </w:pPr>
    </w:p>
    <w:p w14:paraId="160FE1A2" w14:textId="77777777" w:rsidR="00C61891" w:rsidRDefault="00C61891" w:rsidP="00E11DD9">
      <w:pPr>
        <w:spacing w:after="0"/>
        <w:rPr>
          <w:rFonts w:ascii="Verdana" w:hAnsi="Verdana"/>
        </w:rPr>
      </w:pPr>
    </w:p>
    <w:p w14:paraId="60F38F45" w14:textId="77777777" w:rsidR="00C61891" w:rsidRDefault="00C61891" w:rsidP="00E11DD9">
      <w:pPr>
        <w:spacing w:after="0"/>
        <w:rPr>
          <w:rFonts w:ascii="Verdana" w:hAnsi="Verdana"/>
        </w:rPr>
      </w:pPr>
    </w:p>
    <w:p w14:paraId="0719AF78" w14:textId="77777777" w:rsidR="00C61891" w:rsidRDefault="00C61891" w:rsidP="00E11DD9">
      <w:pPr>
        <w:spacing w:after="0"/>
        <w:rPr>
          <w:rFonts w:ascii="Verdana" w:hAnsi="Verdana"/>
        </w:rPr>
      </w:pPr>
    </w:p>
    <w:p w14:paraId="206C5D1B" w14:textId="77777777" w:rsidR="00C61891" w:rsidRDefault="00C61891" w:rsidP="00E11DD9">
      <w:pPr>
        <w:spacing w:after="0"/>
        <w:rPr>
          <w:rFonts w:ascii="Verdana" w:hAnsi="Verdana"/>
        </w:rPr>
      </w:pPr>
    </w:p>
    <w:p w14:paraId="4819899A" w14:textId="77777777" w:rsidR="00C61891" w:rsidRDefault="00C61891" w:rsidP="00E11DD9">
      <w:pPr>
        <w:spacing w:after="0"/>
        <w:rPr>
          <w:rFonts w:ascii="Verdana" w:hAnsi="Verdana"/>
        </w:rPr>
      </w:pPr>
    </w:p>
    <w:p w14:paraId="79249FDC" w14:textId="77777777" w:rsidR="00C61891" w:rsidRDefault="00C61891" w:rsidP="00E11DD9">
      <w:pPr>
        <w:spacing w:after="0"/>
        <w:rPr>
          <w:rFonts w:ascii="Verdana" w:hAnsi="Verdana"/>
        </w:rPr>
      </w:pPr>
    </w:p>
    <w:p w14:paraId="175C397E" w14:textId="77777777" w:rsidR="00C61891" w:rsidRDefault="00C61891" w:rsidP="00E11DD9">
      <w:pPr>
        <w:spacing w:after="0"/>
        <w:rPr>
          <w:rFonts w:ascii="Verdana" w:hAnsi="Verdana"/>
        </w:rPr>
      </w:pPr>
    </w:p>
    <w:p w14:paraId="1CF70AB9" w14:textId="77777777" w:rsidR="00C61891" w:rsidRDefault="00C61891" w:rsidP="00E11DD9">
      <w:pPr>
        <w:spacing w:after="0"/>
        <w:rPr>
          <w:rFonts w:ascii="Verdana" w:hAnsi="Verdana"/>
        </w:rPr>
      </w:pPr>
    </w:p>
    <w:p w14:paraId="1098B158" w14:textId="77777777" w:rsidR="00C61891" w:rsidRDefault="00C61891" w:rsidP="00E11DD9">
      <w:pPr>
        <w:spacing w:after="0"/>
        <w:rPr>
          <w:rFonts w:ascii="Verdana" w:hAnsi="Verdana"/>
        </w:rPr>
      </w:pPr>
    </w:p>
    <w:p w14:paraId="1B7CC5F6" w14:textId="77777777" w:rsidR="00C61891" w:rsidRDefault="00C61891" w:rsidP="00E11DD9">
      <w:pPr>
        <w:spacing w:after="0"/>
        <w:rPr>
          <w:rFonts w:ascii="Verdana" w:hAnsi="Verdana"/>
        </w:rPr>
      </w:pPr>
    </w:p>
    <w:p w14:paraId="06ED3683" w14:textId="77777777" w:rsidR="00C61891" w:rsidRDefault="00C61891" w:rsidP="00E11DD9">
      <w:pPr>
        <w:spacing w:after="0"/>
        <w:rPr>
          <w:rFonts w:ascii="Verdana" w:hAnsi="Verdana"/>
        </w:rPr>
      </w:pPr>
    </w:p>
    <w:p w14:paraId="1EA0784E" w14:textId="77777777" w:rsidR="00C61891" w:rsidRDefault="00C61891" w:rsidP="00E11DD9">
      <w:pPr>
        <w:spacing w:after="0"/>
        <w:rPr>
          <w:rFonts w:ascii="Verdana" w:hAnsi="Verdana"/>
        </w:rPr>
      </w:pPr>
    </w:p>
    <w:p w14:paraId="2194A69A" w14:textId="77777777" w:rsidR="00C61891" w:rsidRDefault="00C61891" w:rsidP="00E11DD9">
      <w:pPr>
        <w:spacing w:after="0"/>
        <w:rPr>
          <w:rFonts w:ascii="Verdana" w:hAnsi="Verdana"/>
        </w:rPr>
      </w:pPr>
    </w:p>
    <w:p w14:paraId="411AD1AB" w14:textId="77777777" w:rsidR="00C61891" w:rsidRDefault="00C61891" w:rsidP="00E11DD9">
      <w:pPr>
        <w:spacing w:after="0"/>
        <w:rPr>
          <w:rFonts w:ascii="Verdana" w:hAnsi="Verdana"/>
        </w:rPr>
      </w:pPr>
    </w:p>
    <w:p w14:paraId="0706E258" w14:textId="77777777" w:rsidR="00C61891" w:rsidRDefault="00C61891" w:rsidP="00E11DD9">
      <w:pPr>
        <w:spacing w:after="0"/>
        <w:rPr>
          <w:rFonts w:ascii="Verdana" w:hAnsi="Verdana"/>
        </w:rPr>
      </w:pPr>
    </w:p>
    <w:p w14:paraId="4755BBD4" w14:textId="3CEA63E3" w:rsidR="00C36C0C" w:rsidRDefault="00E11DD9" w:rsidP="00E11DD9">
      <w:pPr>
        <w:spacing w:after="0"/>
        <w:rPr>
          <w:rFonts w:ascii="Verdana" w:hAnsi="Verdana"/>
        </w:rPr>
      </w:pPr>
      <w:r w:rsidRPr="0044528D">
        <w:rPr>
          <w:rFonts w:ascii="Verdana" w:hAnsi="Verdana"/>
        </w:rPr>
        <w:lastRenderedPageBreak/>
        <w:t xml:space="preserve">Bogotá D.C., </w:t>
      </w:r>
      <w:r w:rsidR="00C36C0C">
        <w:rPr>
          <w:rFonts w:ascii="Verdana" w:hAnsi="Verdana"/>
        </w:rPr>
        <w:t xml:space="preserve">28 de abril de 2025 </w:t>
      </w:r>
    </w:p>
    <w:p w14:paraId="6B90A4A5" w14:textId="26AE0B84" w:rsidR="00E11DD9" w:rsidRPr="0044528D" w:rsidRDefault="00E11DD9" w:rsidP="00E11DD9">
      <w:pPr>
        <w:spacing w:after="0"/>
        <w:rPr>
          <w:rFonts w:ascii="Verdana" w:hAnsi="Verdana"/>
        </w:rPr>
      </w:pPr>
    </w:p>
    <w:p w14:paraId="27092DB4" w14:textId="31D788F0" w:rsidR="00E11DD9" w:rsidRDefault="00C36C0C" w:rsidP="00C36C0C">
      <w:pPr>
        <w:spacing w:after="0" w:line="240" w:lineRule="auto"/>
        <w:jc w:val="right"/>
        <w:rPr>
          <w:rFonts w:ascii="Verdana" w:eastAsia="Calibri" w:hAnsi="Verdana" w:cs="Arial"/>
          <w:lang w:val="es-ES" w:eastAsia="es-ES"/>
        </w:rPr>
      </w:pPr>
      <w:r w:rsidRPr="00C36C0C">
        <w:rPr>
          <w:rFonts w:ascii="Verdana" w:eastAsia="Calibri" w:hAnsi="Verdana" w:cs="Arial"/>
          <w:lang w:val="es-ES" w:eastAsia="es-ES"/>
        </w:rPr>
        <w:drawing>
          <wp:inline distT="0" distB="0" distL="0" distR="0" wp14:anchorId="34AD3030" wp14:editId="22DFB2E3">
            <wp:extent cx="2622550" cy="628650"/>
            <wp:effectExtent l="0" t="0" r="6350" b="0"/>
            <wp:docPr id="10473503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50330" name=""/>
                    <pic:cNvPicPr/>
                  </pic:nvPicPr>
                  <pic:blipFill>
                    <a:blip r:embed="rId11"/>
                    <a:stretch>
                      <a:fillRect/>
                    </a:stretch>
                  </pic:blipFill>
                  <pic:spPr>
                    <a:xfrm>
                      <a:off x="0" y="0"/>
                      <a:ext cx="2629091" cy="630218"/>
                    </a:xfrm>
                    <a:prstGeom prst="rect">
                      <a:avLst/>
                    </a:prstGeom>
                  </pic:spPr>
                </pic:pic>
              </a:graphicData>
            </a:graphic>
          </wp:inline>
        </w:drawing>
      </w:r>
    </w:p>
    <w:p w14:paraId="262B0B43" w14:textId="77777777" w:rsidR="00E11DD9" w:rsidRPr="00F71A6A" w:rsidRDefault="00E11DD9" w:rsidP="00E11DD9">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5C5BDE02" w14:textId="77777777" w:rsidR="00E11DD9" w:rsidRDefault="00E11DD9" w:rsidP="00E11DD9">
      <w:pPr>
        <w:spacing w:after="0" w:line="240" w:lineRule="auto"/>
        <w:rPr>
          <w:rFonts w:ascii="Verdana" w:eastAsia="Calibri" w:hAnsi="Verdana" w:cs="Arial"/>
          <w:b/>
          <w:lang w:eastAsia="es-ES_tradnl"/>
        </w:rPr>
      </w:pPr>
      <w:r>
        <w:rPr>
          <w:rFonts w:ascii="Verdana" w:eastAsia="Calibri" w:hAnsi="Verdana" w:cs="Arial"/>
          <w:b/>
          <w:lang w:eastAsia="es-ES_tradnl"/>
        </w:rPr>
        <w:t>Jenny Natalia Guevara Bustamante</w:t>
      </w:r>
    </w:p>
    <w:p w14:paraId="4B60D64E" w14:textId="77777777" w:rsidR="00E11DD9" w:rsidRPr="00E222FB" w:rsidRDefault="00E11DD9" w:rsidP="00E11DD9">
      <w:pPr>
        <w:spacing w:after="0" w:line="240" w:lineRule="auto"/>
        <w:rPr>
          <w:rFonts w:ascii="Verdana" w:eastAsia="Times New Roman" w:hAnsi="Verdana" w:cs="Calibri"/>
          <w:color w:val="0563C1"/>
          <w:u w:val="single"/>
          <w:lang w:eastAsia="es-CO"/>
        </w:rPr>
      </w:pPr>
      <w:r>
        <w:rPr>
          <w:rFonts w:ascii="Verdana" w:eastAsia="Times New Roman" w:hAnsi="Verdana" w:cs="Calibri"/>
          <w:color w:val="0563C1"/>
          <w:u w:val="single"/>
          <w:lang w:eastAsia="es-CO"/>
        </w:rPr>
        <w:t>jenny.guevara@prosperidadadsocial.gov.co</w:t>
      </w:r>
    </w:p>
    <w:p w14:paraId="5D0A5789" w14:textId="77777777" w:rsidR="00E11DD9" w:rsidRPr="00E222FB" w:rsidRDefault="00E11DD9" w:rsidP="00E11DD9">
      <w:pPr>
        <w:spacing w:after="0" w:line="240" w:lineRule="auto"/>
        <w:rPr>
          <w:rFonts w:ascii="Verdana" w:eastAsia="Calibri" w:hAnsi="Verdana" w:cs="Arial"/>
          <w:color w:val="000000"/>
          <w:lang w:val="es-ES_tradnl" w:eastAsia="es-ES_tradnl"/>
        </w:rPr>
      </w:pPr>
      <w:r w:rsidRPr="00E222FB">
        <w:rPr>
          <w:rFonts w:ascii="Verdana" w:eastAsia="Calibri" w:hAnsi="Verdana" w:cs="Arial"/>
          <w:color w:val="000000"/>
          <w:lang w:val="es-ES_tradnl" w:eastAsia="es-ES_tradnl"/>
        </w:rPr>
        <w:t>Ciudad</w:t>
      </w:r>
    </w:p>
    <w:p w14:paraId="70CCFD81" w14:textId="77777777" w:rsidR="00E11DD9" w:rsidRPr="00F71A6A" w:rsidRDefault="00E11DD9" w:rsidP="00E11DD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11DD9" w:rsidRPr="00F71A6A" w14:paraId="5BB58CD3" w14:textId="77777777" w:rsidTr="009C400E">
        <w:trPr>
          <w:trHeight w:val="431"/>
        </w:trPr>
        <w:tc>
          <w:tcPr>
            <w:tcW w:w="2689" w:type="dxa"/>
          </w:tcPr>
          <w:p w14:paraId="03263CCC" w14:textId="77777777" w:rsidR="00E11DD9" w:rsidRPr="00F71A6A" w:rsidRDefault="00E11DD9" w:rsidP="00DD0D03">
            <w:pPr>
              <w:jc w:val="both"/>
              <w:rPr>
                <w:rFonts w:ascii="Verdana" w:eastAsia="Calibri" w:hAnsi="Verdana" w:cs="Arial"/>
                <w:b/>
                <w:color w:val="000000"/>
                <w:lang w:val="es-ES_tradnl" w:eastAsia="es-ES_tradnl"/>
              </w:rPr>
            </w:pPr>
          </w:p>
        </w:tc>
        <w:tc>
          <w:tcPr>
            <w:tcW w:w="6100" w:type="dxa"/>
            <w:shd w:val="clear" w:color="auto" w:fill="auto"/>
          </w:tcPr>
          <w:p w14:paraId="6CF70632" w14:textId="77777777" w:rsidR="00E11DD9" w:rsidRPr="00E222FB" w:rsidRDefault="00E11DD9" w:rsidP="00DD0D03">
            <w:pPr>
              <w:tabs>
                <w:tab w:val="left" w:pos="1315"/>
              </w:tabs>
              <w:spacing w:line="276" w:lineRule="auto"/>
              <w:jc w:val="both"/>
              <w:rPr>
                <w:rFonts w:ascii="Verdana" w:eastAsia="Calibri" w:hAnsi="Verdana" w:cs="Arial"/>
                <w:b/>
                <w:bCs/>
                <w:lang w:eastAsia="es-ES"/>
              </w:rPr>
            </w:pPr>
            <w:r w:rsidRPr="00E222FB">
              <w:rPr>
                <w:rFonts w:ascii="Verdana" w:eastAsia="Calibri" w:hAnsi="Verdana" w:cs="Arial"/>
                <w:b/>
                <w:bCs/>
                <w:lang w:eastAsia="es-ES"/>
              </w:rPr>
              <w:t>Concepto C-3</w:t>
            </w:r>
            <w:r>
              <w:rPr>
                <w:rFonts w:ascii="Verdana" w:eastAsia="Calibri" w:hAnsi="Verdana" w:cs="Arial"/>
                <w:b/>
                <w:bCs/>
                <w:lang w:eastAsia="es-ES"/>
              </w:rPr>
              <w:t>32</w:t>
            </w:r>
            <w:r w:rsidRPr="00E222FB">
              <w:rPr>
                <w:rFonts w:ascii="Verdana" w:eastAsia="Calibri" w:hAnsi="Verdana" w:cs="Arial"/>
                <w:b/>
                <w:bCs/>
                <w:lang w:eastAsia="es-ES"/>
              </w:rPr>
              <w:t xml:space="preserve"> de 2025</w:t>
            </w:r>
          </w:p>
        </w:tc>
      </w:tr>
      <w:tr w:rsidR="00E11DD9" w:rsidRPr="00F71A6A" w14:paraId="340E298C" w14:textId="77777777" w:rsidTr="009C400E">
        <w:trPr>
          <w:trHeight w:val="884"/>
        </w:trPr>
        <w:tc>
          <w:tcPr>
            <w:tcW w:w="2689" w:type="dxa"/>
          </w:tcPr>
          <w:p w14:paraId="5EE85158" w14:textId="77777777" w:rsidR="00E11DD9" w:rsidRPr="00F71A6A" w:rsidRDefault="00E11DD9" w:rsidP="00DD0D03">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6100" w:type="dxa"/>
            <w:shd w:val="clear" w:color="auto" w:fill="auto"/>
          </w:tcPr>
          <w:p w14:paraId="11857CE1" w14:textId="77777777" w:rsidR="00E11DD9" w:rsidRDefault="00E11DD9" w:rsidP="00DD0D03">
            <w:pPr>
              <w:spacing w:line="276" w:lineRule="auto"/>
              <w:jc w:val="both"/>
              <w:rPr>
                <w:rFonts w:ascii="Verdana" w:eastAsia="Calibri" w:hAnsi="Verdana" w:cs="Arial"/>
                <w:lang w:val="es-ES" w:eastAsia="es-ES"/>
              </w:rPr>
            </w:pPr>
            <w:r w:rsidRPr="005122D5">
              <w:rPr>
                <w:rFonts w:ascii="Verdana" w:eastAsia="Calibri" w:hAnsi="Verdana" w:cs="Arial"/>
                <w:lang w:val="es-ES_tradnl" w:eastAsia="es-ES"/>
              </w:rPr>
              <w:t>PROCEDIMIENTO SANCIONATORIO CONTRACTUAL – Inaplicación – Entidades de régimen especial /</w:t>
            </w:r>
            <w:r>
              <w:rPr>
                <w:rFonts w:ascii="Verdana" w:eastAsia="Calibri" w:hAnsi="Verdana" w:cs="Arial"/>
                <w:lang w:val="es-ES_tradnl" w:eastAsia="es-ES"/>
              </w:rPr>
              <w:t xml:space="preserve"> </w:t>
            </w:r>
            <w:r>
              <w:rPr>
                <w:rFonts w:ascii="Verdana" w:eastAsia="Calibri" w:hAnsi="Verdana" w:cs="Arial"/>
                <w:color w:val="000000" w:themeColor="text1"/>
                <w:lang w:val="es-ES_tradnl"/>
              </w:rPr>
              <w:t>ENTIDADES DE RÉGIMEN ESPECIAL – Declaratoria de Incumplimiento – Derecho privado – Autonomía de la voluntad – Actos contractuales</w:t>
            </w:r>
            <w:r>
              <w:rPr>
                <w:rFonts w:ascii="Verdana" w:eastAsia="Calibri" w:hAnsi="Verdana" w:cs="Arial"/>
                <w:lang w:eastAsia="es-ES"/>
              </w:rPr>
              <w:t xml:space="preserve"> / </w:t>
            </w:r>
            <w:r>
              <w:rPr>
                <w:rFonts w:ascii="Verdana" w:eastAsia="Calibri" w:hAnsi="Verdana" w:cs="Arial"/>
                <w:color w:val="000000" w:themeColor="text1"/>
                <w:lang w:val="es-ES_tradnl"/>
              </w:rPr>
              <w:t xml:space="preserve">ENTIDADES DE RÉGIMEN ESPECIAL – Derecho privado / </w:t>
            </w:r>
            <w:r w:rsidRPr="000205B1">
              <w:rPr>
                <w:rFonts w:ascii="Verdana" w:eastAsia="Calibri" w:hAnsi="Verdana" w:cs="Arial"/>
                <w:color w:val="000000" w:themeColor="text1"/>
                <w:lang w:val="es-ES_tradnl"/>
              </w:rPr>
              <w:t>GARANTÍAS – Régimen especial</w:t>
            </w:r>
            <w:r>
              <w:rPr>
                <w:rFonts w:ascii="Verdana" w:eastAsia="Calibri" w:hAnsi="Verdana" w:cs="Arial"/>
                <w:color w:val="000000" w:themeColor="text1"/>
                <w:lang w:val="es-ES_tradnl"/>
              </w:rPr>
              <w:t xml:space="preserve"> – Aplicación Código de Comercio</w:t>
            </w:r>
            <w:r w:rsidRPr="000205B1">
              <w:rPr>
                <w:rFonts w:ascii="Verdana" w:eastAsia="Calibri" w:hAnsi="Verdana" w:cs="Arial"/>
                <w:color w:val="000000" w:themeColor="text1"/>
                <w:lang w:val="es-ES_tradnl"/>
              </w:rPr>
              <w:t xml:space="preserve">  </w:t>
            </w:r>
          </w:p>
          <w:p w14:paraId="49148A65" w14:textId="77777777" w:rsidR="00E11DD9" w:rsidRPr="005122D5" w:rsidRDefault="00E11DD9" w:rsidP="00DD0D03">
            <w:pPr>
              <w:contextualSpacing/>
              <w:jc w:val="both"/>
              <w:rPr>
                <w:rFonts w:ascii="Verdana" w:eastAsia="Calibri" w:hAnsi="Verdana" w:cs="Arial"/>
                <w:lang w:val="es-ES" w:eastAsia="es-ES"/>
              </w:rPr>
            </w:pPr>
          </w:p>
        </w:tc>
      </w:tr>
      <w:tr w:rsidR="00E11DD9" w:rsidRPr="00F71A6A" w14:paraId="717F9EF8" w14:textId="77777777" w:rsidTr="009C400E">
        <w:tc>
          <w:tcPr>
            <w:tcW w:w="2689" w:type="dxa"/>
          </w:tcPr>
          <w:p w14:paraId="1E5CA612" w14:textId="77777777" w:rsidR="00E11DD9" w:rsidRPr="00F71A6A" w:rsidRDefault="00E11DD9" w:rsidP="00DD0D03">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6100" w:type="dxa"/>
          </w:tcPr>
          <w:p w14:paraId="635BBB95" w14:textId="77777777" w:rsidR="00E11DD9" w:rsidRPr="00E222FB" w:rsidRDefault="00E11DD9" w:rsidP="00DD0D03">
            <w:pPr>
              <w:jc w:val="both"/>
              <w:rPr>
                <w:rFonts w:ascii="Verdana" w:eastAsia="Calibri" w:hAnsi="Verdana" w:cs="Arial"/>
                <w:lang w:val="es-ES_tradnl" w:eastAsia="es-ES_tradnl"/>
              </w:rPr>
            </w:pPr>
            <w:r w:rsidRPr="00581526">
              <w:rPr>
                <w:rFonts w:ascii="Verdana" w:eastAsia="Calibri" w:hAnsi="Verdana" w:cs="Arial"/>
                <w:lang w:val="es-ES_tradnl" w:eastAsia="es-ES_tradnl"/>
              </w:rPr>
              <w:t xml:space="preserve">Respuesta a consulta con radicado No. </w:t>
            </w:r>
          </w:p>
          <w:p w14:paraId="51382210" w14:textId="77777777" w:rsidR="00E11DD9" w:rsidRPr="00C21593" w:rsidRDefault="00E11DD9" w:rsidP="00DD0D03">
            <w:pPr>
              <w:jc w:val="both"/>
              <w:rPr>
                <w:rFonts w:ascii="Verdana" w:hAnsi="Verdana" w:cs="Calibri"/>
                <w:color w:val="000000"/>
              </w:rPr>
            </w:pPr>
            <w:r>
              <w:rPr>
                <w:rFonts w:ascii="Verdana" w:hAnsi="Verdana" w:cs="Calibri"/>
                <w:color w:val="000000"/>
              </w:rPr>
              <w:t>P20250319002647</w:t>
            </w:r>
          </w:p>
        </w:tc>
      </w:tr>
    </w:tbl>
    <w:p w14:paraId="48028428" w14:textId="77777777" w:rsidR="00E11DD9" w:rsidRPr="00F71A6A" w:rsidRDefault="00E11DD9" w:rsidP="00E11DD9">
      <w:pPr>
        <w:spacing w:after="0" w:line="276" w:lineRule="auto"/>
        <w:jc w:val="both"/>
        <w:rPr>
          <w:rFonts w:ascii="Verdana" w:eastAsia="Calibri" w:hAnsi="Verdana" w:cs="Arial"/>
          <w:lang w:val="es-ES_tradnl" w:eastAsia="es-ES_tradnl"/>
        </w:rPr>
      </w:pPr>
    </w:p>
    <w:p w14:paraId="2394DA4F" w14:textId="77777777" w:rsidR="00E11DD9" w:rsidRPr="00F71A6A" w:rsidRDefault="00E11DD9" w:rsidP="00E11DD9">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Estimad</w:t>
      </w:r>
      <w:r>
        <w:rPr>
          <w:rFonts w:ascii="Verdana" w:eastAsia="Calibri" w:hAnsi="Verdana" w:cs="Arial"/>
          <w:lang w:val="es-ES" w:eastAsia="es-ES"/>
        </w:rPr>
        <w:t>a señora Jenny Natalia:</w:t>
      </w:r>
      <w:r w:rsidRPr="00F71A6A">
        <w:rPr>
          <w:rFonts w:ascii="Verdana" w:eastAsia="Calibri" w:hAnsi="Verdana" w:cs="Arial"/>
          <w:lang w:val="es-ES" w:eastAsia="es-ES"/>
        </w:rPr>
        <w:t xml:space="preserve"> </w:t>
      </w:r>
    </w:p>
    <w:p w14:paraId="2087D222" w14:textId="77777777" w:rsidR="00E11DD9" w:rsidRPr="00F71A6A" w:rsidRDefault="00E11DD9" w:rsidP="00E11DD9">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15951621" w14:textId="77777777" w:rsidR="00E11DD9" w:rsidRPr="00F71A6A" w:rsidRDefault="00E11DD9" w:rsidP="00E11DD9">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lang w:val="es-ES" w:eastAsia="es-ES"/>
        </w:rPr>
        <w:t xml:space="preserve">responde su solicitud de consulta de fecha </w:t>
      </w:r>
      <w:r>
        <w:rPr>
          <w:rFonts w:ascii="Verdana" w:eastAsia="Calibri" w:hAnsi="Verdana" w:cs="Arial"/>
          <w:lang w:val="es-ES" w:eastAsia="es-ES"/>
        </w:rPr>
        <w:t>14 de marzo</w:t>
      </w:r>
      <w:r w:rsidRPr="00DC1BDA">
        <w:rPr>
          <w:rFonts w:ascii="Verdana" w:eastAsia="Calibri" w:hAnsi="Verdana" w:cs="Arial"/>
          <w:lang w:val="es-ES" w:eastAsia="es-ES"/>
        </w:rPr>
        <w:t xml:space="preserve"> de 2025, remitida</w:t>
      </w:r>
      <w:r w:rsidRPr="00F71A6A">
        <w:rPr>
          <w:rFonts w:ascii="Verdana" w:eastAsia="Calibri" w:hAnsi="Verdana" w:cs="Arial"/>
          <w:lang w:val="es-ES" w:eastAsia="es-ES"/>
        </w:rPr>
        <w:t xml:space="preserve"> previamente por el Departamento Administrativo de la Función Pública con oficio remisorio No. </w:t>
      </w:r>
      <w:r w:rsidRPr="00C21593">
        <w:rPr>
          <w:rFonts w:ascii="Verdana" w:eastAsia="Calibri" w:hAnsi="Verdana" w:cs="Arial"/>
          <w:lang w:eastAsia="es-ES"/>
        </w:rPr>
        <w:t xml:space="preserve">20252040154891 </w:t>
      </w:r>
      <w:r>
        <w:rPr>
          <w:rFonts w:ascii="Verdana" w:eastAsia="Calibri" w:hAnsi="Verdana" w:cs="Arial"/>
          <w:lang w:val="es-ES" w:eastAsia="es-ES"/>
        </w:rPr>
        <w:t>del 17 de marzo de 2025</w:t>
      </w:r>
      <w:r w:rsidRPr="00F71A6A">
        <w:rPr>
          <w:rFonts w:ascii="Verdana" w:eastAsia="Calibri" w:hAnsi="Verdana" w:cs="Arial"/>
          <w:lang w:val="es-ES" w:eastAsia="es-ES"/>
        </w:rPr>
        <w:t>,</w:t>
      </w:r>
      <w:r>
        <w:rPr>
          <w:rFonts w:ascii="Verdana" w:eastAsia="Calibri" w:hAnsi="Verdana" w:cs="Arial"/>
          <w:lang w:val="es-ES" w:eastAsia="es-ES"/>
        </w:rPr>
        <w:t xml:space="preserve"> </w:t>
      </w:r>
      <w:r w:rsidRPr="00F71A6A">
        <w:rPr>
          <w:rFonts w:ascii="Verdana" w:eastAsia="Calibri" w:hAnsi="Verdana" w:cs="Arial"/>
          <w:lang w:val="es-ES" w:eastAsia="es-ES"/>
        </w:rPr>
        <w:t>en la cual manifiesta lo siguiente:</w:t>
      </w:r>
    </w:p>
    <w:p w14:paraId="137EB72C" w14:textId="77777777" w:rsidR="00E11DD9" w:rsidRPr="000643DA" w:rsidRDefault="00E11DD9" w:rsidP="00E11DD9">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F45DBE3" w14:textId="77777777" w:rsidR="00E11DD9" w:rsidRDefault="00E11DD9" w:rsidP="00E11DD9">
      <w:pPr>
        <w:spacing w:after="0" w:line="240" w:lineRule="auto"/>
        <w:ind w:left="709" w:right="902"/>
        <w:jc w:val="both"/>
        <w:rPr>
          <w:rFonts w:ascii="Verdana" w:hAnsi="Verdana"/>
          <w:sz w:val="20"/>
          <w:szCs w:val="20"/>
        </w:rPr>
      </w:pPr>
      <w:bookmarkStart w:id="2" w:name="_Hlk192699624"/>
      <w:r w:rsidRPr="00F060A7">
        <w:rPr>
          <w:rFonts w:ascii="Verdana" w:eastAsia="Century Gothic" w:hAnsi="Verdana" w:cs="Century Gothic"/>
          <w:sz w:val="20"/>
          <w:szCs w:val="20"/>
        </w:rPr>
        <w:t xml:space="preserve">“(…) </w:t>
      </w:r>
      <w:r w:rsidRPr="00C21593">
        <w:rPr>
          <w:rFonts w:ascii="Verdana" w:hAnsi="Verdana"/>
          <w:sz w:val="20"/>
          <w:szCs w:val="20"/>
        </w:rPr>
        <w:t xml:space="preserve">Ley 487 de 1998 “Por la cual se autoriza un endeudamiento público interno y se crea el Fondo de Inversión para la Paz”, establece lo siguiente, respecto de los contratos celebrados con estos recursos: </w:t>
      </w:r>
    </w:p>
    <w:p w14:paraId="3611898E" w14:textId="77777777" w:rsidR="00E11DD9" w:rsidRDefault="00E11DD9" w:rsidP="00E11DD9">
      <w:pPr>
        <w:spacing w:after="0" w:line="240" w:lineRule="auto"/>
        <w:ind w:left="709" w:right="902"/>
        <w:jc w:val="both"/>
        <w:rPr>
          <w:rFonts w:ascii="Verdana" w:hAnsi="Verdana"/>
          <w:sz w:val="20"/>
          <w:szCs w:val="20"/>
        </w:rPr>
      </w:pPr>
    </w:p>
    <w:p w14:paraId="59D6CA40" w14:textId="77777777" w:rsidR="00E11DD9" w:rsidRDefault="00E11DD9" w:rsidP="00E11DD9">
      <w:pPr>
        <w:spacing w:after="0" w:line="240" w:lineRule="auto"/>
        <w:ind w:left="709" w:right="902"/>
        <w:jc w:val="both"/>
        <w:rPr>
          <w:rFonts w:ascii="Verdana" w:hAnsi="Verdana"/>
          <w:sz w:val="20"/>
          <w:szCs w:val="20"/>
        </w:rPr>
      </w:pPr>
      <w:r w:rsidRPr="00C21593">
        <w:rPr>
          <w:rFonts w:ascii="Verdana" w:hAnsi="Verdana"/>
          <w:sz w:val="20"/>
          <w:szCs w:val="20"/>
        </w:rPr>
        <w:t xml:space="preserve">(…) </w:t>
      </w:r>
      <w:r w:rsidRPr="00C21593">
        <w:rPr>
          <w:rFonts w:ascii="Verdana" w:hAnsi="Verdana"/>
          <w:b/>
          <w:bCs/>
          <w:i/>
          <w:iCs/>
          <w:sz w:val="20"/>
          <w:szCs w:val="20"/>
        </w:rPr>
        <w:t>“ARTÍCULO 8o. FONDO DE INVERSIÓN PARA LA PAZ.</w:t>
      </w:r>
      <w:r w:rsidRPr="00C21593">
        <w:rPr>
          <w:rFonts w:ascii="Verdana" w:hAnsi="Verdana"/>
          <w:sz w:val="20"/>
          <w:szCs w:val="20"/>
        </w:rPr>
        <w:t xml:space="preserve"> Créase el Fondo de Inversión para la Paz como principal instrumento de financiación de programas y proyectos estructurados para la obtención de la Paz. </w:t>
      </w:r>
    </w:p>
    <w:p w14:paraId="2019E5E6" w14:textId="77777777" w:rsidR="00E11DD9" w:rsidRDefault="00E11DD9" w:rsidP="00E11DD9">
      <w:pPr>
        <w:spacing w:after="0" w:line="240" w:lineRule="auto"/>
        <w:ind w:left="709" w:right="902"/>
        <w:jc w:val="both"/>
        <w:rPr>
          <w:rFonts w:ascii="Verdana" w:hAnsi="Verdana"/>
          <w:sz w:val="20"/>
          <w:szCs w:val="20"/>
        </w:rPr>
      </w:pPr>
    </w:p>
    <w:p w14:paraId="1C956A92" w14:textId="77777777" w:rsidR="00E11DD9" w:rsidRDefault="00E11DD9" w:rsidP="00E11DD9">
      <w:pPr>
        <w:spacing w:after="0" w:line="240" w:lineRule="auto"/>
        <w:ind w:left="709" w:right="902"/>
        <w:jc w:val="both"/>
        <w:rPr>
          <w:rFonts w:ascii="Verdana" w:hAnsi="Verdana"/>
          <w:sz w:val="20"/>
          <w:szCs w:val="20"/>
        </w:rPr>
      </w:pPr>
      <w:r w:rsidRPr="00C21593">
        <w:rPr>
          <w:rFonts w:ascii="Verdana" w:hAnsi="Verdana"/>
          <w:sz w:val="20"/>
          <w:szCs w:val="20"/>
        </w:rPr>
        <w:lastRenderedPageBreak/>
        <w:t xml:space="preserve">Este Fondo será una cuenta especial sin personería jurídica, adscrita a la Presidencia de la República, administrada por un consejo directivo y sujeta a la inspección y vigilancia de una veeduría especial, sin perjuicio de las facultades a cargo de la Contraloría General de la República. </w:t>
      </w:r>
    </w:p>
    <w:p w14:paraId="2B26177E" w14:textId="77777777" w:rsidR="00E11DD9" w:rsidRDefault="00E11DD9" w:rsidP="00E11DD9">
      <w:pPr>
        <w:spacing w:after="0" w:line="240" w:lineRule="auto"/>
        <w:ind w:left="709" w:right="902"/>
        <w:jc w:val="both"/>
        <w:rPr>
          <w:rFonts w:ascii="Verdana" w:hAnsi="Verdana"/>
          <w:sz w:val="20"/>
          <w:szCs w:val="20"/>
        </w:rPr>
      </w:pPr>
    </w:p>
    <w:p w14:paraId="6F5FF5F1" w14:textId="77777777" w:rsidR="00E11DD9" w:rsidRDefault="00E11DD9" w:rsidP="00E11DD9">
      <w:pPr>
        <w:spacing w:after="0" w:line="240" w:lineRule="auto"/>
        <w:ind w:left="709" w:right="902"/>
        <w:jc w:val="both"/>
        <w:rPr>
          <w:rFonts w:ascii="Verdana" w:hAnsi="Verdana"/>
          <w:sz w:val="20"/>
          <w:szCs w:val="20"/>
        </w:rPr>
      </w:pPr>
      <w:r w:rsidRPr="00C21593">
        <w:rPr>
          <w:rFonts w:ascii="Verdana" w:hAnsi="Verdana"/>
          <w:sz w:val="20"/>
          <w:szCs w:val="20"/>
        </w:rPr>
        <w:t xml:space="preserve">Las funciones relativas a la administración del fondo tanto del Departamento Administrativo de la Presidencia de la República como del </w:t>
      </w:r>
      <w:proofErr w:type="spellStart"/>
      <w:r w:rsidRPr="00C21593">
        <w:rPr>
          <w:rFonts w:ascii="Verdana" w:hAnsi="Verdana"/>
          <w:sz w:val="20"/>
          <w:szCs w:val="20"/>
        </w:rPr>
        <w:t>Organo</w:t>
      </w:r>
      <w:proofErr w:type="spellEnd"/>
      <w:r w:rsidRPr="00C21593">
        <w:rPr>
          <w:rFonts w:ascii="Verdana" w:hAnsi="Verdana"/>
          <w:sz w:val="20"/>
          <w:szCs w:val="20"/>
        </w:rPr>
        <w:t xml:space="preserve"> de Administración del Fondo, se ejercerán en coordinación con el Departamento Nacional de Planeación. </w:t>
      </w:r>
    </w:p>
    <w:p w14:paraId="4F6B0F18" w14:textId="77777777" w:rsidR="00E11DD9" w:rsidRDefault="00E11DD9" w:rsidP="00E11DD9">
      <w:pPr>
        <w:spacing w:after="0" w:line="240" w:lineRule="auto"/>
        <w:ind w:left="709" w:right="902"/>
        <w:jc w:val="both"/>
        <w:rPr>
          <w:rFonts w:ascii="Verdana" w:hAnsi="Verdana"/>
          <w:sz w:val="20"/>
          <w:szCs w:val="20"/>
        </w:rPr>
      </w:pPr>
    </w:p>
    <w:p w14:paraId="592EDEF6" w14:textId="77777777" w:rsidR="00E11DD9" w:rsidRDefault="00E11DD9" w:rsidP="00E11DD9">
      <w:pPr>
        <w:spacing w:after="0" w:line="240" w:lineRule="auto"/>
        <w:ind w:left="709" w:right="902"/>
        <w:jc w:val="both"/>
        <w:rPr>
          <w:rFonts w:ascii="Verdana" w:hAnsi="Verdana"/>
          <w:sz w:val="20"/>
          <w:szCs w:val="20"/>
        </w:rPr>
      </w:pPr>
      <w:r w:rsidRPr="00C21593">
        <w:rPr>
          <w:rFonts w:ascii="Verdana" w:hAnsi="Verdana"/>
          <w:sz w:val="20"/>
          <w:szCs w:val="20"/>
        </w:rPr>
        <w:t xml:space="preserve">Para el desarrollo de la finalidad del Fondo se podrán crear Fondos Fiduciarios, celebrar contratos de fiducia y encargos fiduciarios, contratos de administración y de mandato y </w:t>
      </w:r>
      <w:proofErr w:type="gramStart"/>
      <w:r w:rsidRPr="00C21593">
        <w:rPr>
          <w:rFonts w:ascii="Verdana" w:hAnsi="Verdana"/>
          <w:sz w:val="20"/>
          <w:szCs w:val="20"/>
        </w:rPr>
        <w:t>la demás clases</w:t>
      </w:r>
      <w:proofErr w:type="gramEnd"/>
      <w:r w:rsidRPr="00C21593">
        <w:rPr>
          <w:rFonts w:ascii="Verdana" w:hAnsi="Verdana"/>
          <w:sz w:val="20"/>
          <w:szCs w:val="20"/>
        </w:rPr>
        <w:t xml:space="preserve"> de negocios jurídicos que sean necesarios. </w:t>
      </w:r>
      <w:r w:rsidRPr="00C21593">
        <w:rPr>
          <w:rFonts w:ascii="Verdana" w:hAnsi="Verdana"/>
          <w:sz w:val="20"/>
          <w:szCs w:val="20"/>
          <w:u w:val="single"/>
        </w:rPr>
        <w:t xml:space="preserve">Para todos los efectos, los contratos que se celebren en relación con el Fondo, para arbitrar recursos o para la ejecución o inversión de </w:t>
      </w:r>
      <w:proofErr w:type="gramStart"/>
      <w:r w:rsidRPr="00C21593">
        <w:rPr>
          <w:rFonts w:ascii="Verdana" w:hAnsi="Verdana"/>
          <w:sz w:val="20"/>
          <w:szCs w:val="20"/>
          <w:u w:val="single"/>
        </w:rPr>
        <w:t>los mismos</w:t>
      </w:r>
      <w:proofErr w:type="gramEnd"/>
      <w:r w:rsidRPr="00C21593">
        <w:rPr>
          <w:rFonts w:ascii="Verdana" w:hAnsi="Verdana"/>
          <w:sz w:val="20"/>
          <w:szCs w:val="20"/>
          <w:u w:val="single"/>
        </w:rPr>
        <w:t xml:space="preserve"> se regirán por las reglas del derecho privado.</w:t>
      </w:r>
      <w:r w:rsidRPr="00C21593">
        <w:rPr>
          <w:rFonts w:ascii="Verdana" w:hAnsi="Verdana"/>
          <w:sz w:val="20"/>
          <w:szCs w:val="20"/>
        </w:rPr>
        <w:t xml:space="preserve"> </w:t>
      </w:r>
    </w:p>
    <w:p w14:paraId="762C7C00" w14:textId="77777777" w:rsidR="00E11DD9" w:rsidRDefault="00E11DD9" w:rsidP="00E11DD9">
      <w:pPr>
        <w:spacing w:after="0" w:line="240" w:lineRule="auto"/>
        <w:ind w:left="709" w:right="902"/>
        <w:jc w:val="both"/>
        <w:rPr>
          <w:rFonts w:ascii="Verdana" w:hAnsi="Verdana"/>
          <w:sz w:val="20"/>
          <w:szCs w:val="20"/>
        </w:rPr>
      </w:pPr>
    </w:p>
    <w:p w14:paraId="239DF6C6" w14:textId="77777777" w:rsidR="00E11DD9" w:rsidRDefault="00E11DD9" w:rsidP="00E11DD9">
      <w:pPr>
        <w:spacing w:after="0" w:line="240" w:lineRule="auto"/>
        <w:ind w:left="709" w:right="902"/>
        <w:jc w:val="both"/>
        <w:rPr>
          <w:rFonts w:ascii="Verdana" w:hAnsi="Verdana"/>
          <w:sz w:val="20"/>
          <w:szCs w:val="20"/>
        </w:rPr>
      </w:pPr>
      <w:r w:rsidRPr="00C21593">
        <w:rPr>
          <w:rFonts w:ascii="Verdana" w:hAnsi="Verdana"/>
          <w:sz w:val="20"/>
          <w:szCs w:val="20"/>
        </w:rPr>
        <w:t xml:space="preserve">Los recursos provenientes de los Bonos de Paz que se crean en la presente </w:t>
      </w:r>
      <w:proofErr w:type="gramStart"/>
      <w:r w:rsidRPr="00C21593">
        <w:rPr>
          <w:rFonts w:ascii="Verdana" w:hAnsi="Verdana"/>
          <w:sz w:val="20"/>
          <w:szCs w:val="20"/>
        </w:rPr>
        <w:t>ley,</w:t>
      </w:r>
      <w:proofErr w:type="gramEnd"/>
      <w:r w:rsidRPr="00C21593">
        <w:rPr>
          <w:rFonts w:ascii="Verdana" w:hAnsi="Verdana"/>
          <w:sz w:val="20"/>
          <w:szCs w:val="20"/>
        </w:rPr>
        <w:t xml:space="preserve"> estarán destinados exclusivamente al Fondo a que se refiere este artículo. </w:t>
      </w:r>
    </w:p>
    <w:p w14:paraId="7E10DD9F" w14:textId="77777777" w:rsidR="00E11DD9" w:rsidRDefault="00E11DD9" w:rsidP="00E11DD9">
      <w:pPr>
        <w:spacing w:after="0" w:line="240" w:lineRule="auto"/>
        <w:ind w:left="709" w:right="902"/>
        <w:jc w:val="both"/>
        <w:rPr>
          <w:rFonts w:ascii="Verdana" w:hAnsi="Verdana"/>
          <w:sz w:val="20"/>
          <w:szCs w:val="20"/>
        </w:rPr>
      </w:pPr>
    </w:p>
    <w:p w14:paraId="681318D7" w14:textId="77777777" w:rsidR="00E11DD9" w:rsidRDefault="00E11DD9" w:rsidP="00E11DD9">
      <w:pPr>
        <w:spacing w:after="0" w:line="240" w:lineRule="auto"/>
        <w:ind w:left="709" w:right="902"/>
        <w:jc w:val="both"/>
        <w:rPr>
          <w:rFonts w:ascii="Verdana" w:hAnsi="Verdana"/>
          <w:sz w:val="20"/>
          <w:szCs w:val="20"/>
        </w:rPr>
      </w:pPr>
      <w:r w:rsidRPr="00C21593">
        <w:rPr>
          <w:rFonts w:ascii="Verdana" w:hAnsi="Verdana"/>
          <w:sz w:val="20"/>
          <w:szCs w:val="20"/>
        </w:rPr>
        <w:t xml:space="preserve">El Fondo podrá nutrirse con recursos de otras fuentes de conformidad con lo que disponga el Gobierno Nacional. </w:t>
      </w:r>
    </w:p>
    <w:p w14:paraId="3FACE884" w14:textId="77777777" w:rsidR="00E11DD9" w:rsidRDefault="00E11DD9" w:rsidP="00E11DD9">
      <w:pPr>
        <w:spacing w:after="0" w:line="240" w:lineRule="auto"/>
        <w:ind w:left="709" w:right="902"/>
        <w:jc w:val="both"/>
        <w:rPr>
          <w:rFonts w:ascii="Verdana" w:hAnsi="Verdana"/>
          <w:sz w:val="20"/>
          <w:szCs w:val="20"/>
        </w:rPr>
      </w:pPr>
    </w:p>
    <w:p w14:paraId="6760E5D2" w14:textId="77777777" w:rsidR="00E11DD9" w:rsidRDefault="00E11DD9" w:rsidP="00E11DD9">
      <w:pPr>
        <w:spacing w:after="0" w:line="240" w:lineRule="auto"/>
        <w:ind w:left="709" w:right="902"/>
        <w:jc w:val="both"/>
        <w:rPr>
          <w:rFonts w:ascii="Verdana" w:hAnsi="Verdana"/>
          <w:sz w:val="20"/>
          <w:szCs w:val="20"/>
        </w:rPr>
      </w:pPr>
      <w:r w:rsidRPr="00C21593">
        <w:rPr>
          <w:rFonts w:ascii="Verdana" w:hAnsi="Verdana"/>
          <w:b/>
          <w:bCs/>
          <w:sz w:val="20"/>
          <w:szCs w:val="20"/>
        </w:rPr>
        <w:t>PARÁGRAFO 1o.</w:t>
      </w:r>
      <w:r w:rsidRPr="00C21593">
        <w:rPr>
          <w:rFonts w:ascii="Verdana" w:hAnsi="Verdana"/>
          <w:sz w:val="20"/>
          <w:szCs w:val="20"/>
        </w:rPr>
        <w:t xml:space="preserve"> De los recursos provenientes del Fondo de Inversión para la Paz, se asignará y apropiará un porcentaje suficiente para fortalecer el desarrollo de los proyectos de reforma agraria integral, a través de las entidades competentes y que ejecuten los programas de paz. </w:t>
      </w:r>
    </w:p>
    <w:p w14:paraId="0B5D8947" w14:textId="77777777" w:rsidR="00E11DD9" w:rsidRDefault="00E11DD9" w:rsidP="00E11DD9">
      <w:pPr>
        <w:spacing w:after="0" w:line="240" w:lineRule="auto"/>
        <w:ind w:left="709" w:right="902"/>
        <w:jc w:val="both"/>
        <w:rPr>
          <w:rFonts w:ascii="Verdana" w:hAnsi="Verdana"/>
          <w:sz w:val="20"/>
          <w:szCs w:val="20"/>
        </w:rPr>
      </w:pPr>
    </w:p>
    <w:p w14:paraId="1E68100F" w14:textId="77777777" w:rsidR="00E11DD9" w:rsidRDefault="00E11DD9" w:rsidP="00E11DD9">
      <w:pPr>
        <w:spacing w:after="0" w:line="240" w:lineRule="auto"/>
        <w:ind w:left="709" w:right="902"/>
        <w:jc w:val="both"/>
        <w:rPr>
          <w:rFonts w:ascii="Verdana" w:hAnsi="Verdana"/>
          <w:sz w:val="20"/>
          <w:szCs w:val="20"/>
        </w:rPr>
      </w:pPr>
      <w:r w:rsidRPr="00C21593">
        <w:rPr>
          <w:rFonts w:ascii="Verdana" w:hAnsi="Verdana"/>
          <w:b/>
          <w:bCs/>
          <w:sz w:val="20"/>
          <w:szCs w:val="20"/>
        </w:rPr>
        <w:t>PARÁGRAFO 2o.</w:t>
      </w:r>
      <w:r w:rsidRPr="00C21593">
        <w:rPr>
          <w:rFonts w:ascii="Verdana" w:hAnsi="Verdana"/>
          <w:sz w:val="20"/>
          <w:szCs w:val="20"/>
        </w:rPr>
        <w:t xml:space="preserve"> El Gobierno Nacional deberá presentar un informe semestral al Congreso de la República sobre la aplicación de los bonos de solidaridad para la paz en el fondo de inversión creado para tal efecto”. </w:t>
      </w:r>
      <w:r w:rsidRPr="00C21593">
        <w:rPr>
          <w:rFonts w:ascii="Verdana" w:hAnsi="Verdana"/>
          <w:b/>
          <w:bCs/>
          <w:sz w:val="20"/>
          <w:szCs w:val="20"/>
        </w:rPr>
        <w:t>Subrayado fuera de texto original</w:t>
      </w:r>
      <w:r w:rsidRPr="00C21593">
        <w:rPr>
          <w:rFonts w:ascii="Verdana" w:hAnsi="Verdana"/>
          <w:sz w:val="20"/>
          <w:szCs w:val="20"/>
        </w:rPr>
        <w:t xml:space="preserve">. </w:t>
      </w:r>
    </w:p>
    <w:p w14:paraId="193CC9D2" w14:textId="77777777" w:rsidR="00E11DD9" w:rsidRDefault="00E11DD9" w:rsidP="00E11DD9">
      <w:pPr>
        <w:spacing w:after="0" w:line="240" w:lineRule="auto"/>
        <w:ind w:left="709" w:right="902"/>
        <w:jc w:val="both"/>
        <w:rPr>
          <w:rFonts w:ascii="Verdana" w:hAnsi="Verdana"/>
          <w:sz w:val="20"/>
          <w:szCs w:val="20"/>
        </w:rPr>
      </w:pPr>
    </w:p>
    <w:p w14:paraId="4C1743DF" w14:textId="77777777" w:rsidR="00E11DD9" w:rsidRDefault="00E11DD9" w:rsidP="00E11DD9">
      <w:pPr>
        <w:spacing w:after="0" w:line="240" w:lineRule="auto"/>
        <w:ind w:left="709" w:right="902"/>
        <w:jc w:val="both"/>
        <w:rPr>
          <w:rFonts w:ascii="Verdana" w:hAnsi="Verdana"/>
          <w:sz w:val="20"/>
          <w:szCs w:val="20"/>
        </w:rPr>
      </w:pPr>
      <w:r w:rsidRPr="00C21593">
        <w:rPr>
          <w:rFonts w:ascii="Verdana" w:hAnsi="Verdana"/>
          <w:sz w:val="20"/>
          <w:szCs w:val="20"/>
        </w:rPr>
        <w:t xml:space="preserve">De la norma trascrita, se entiende que todos los contratos que se celebren con los recursos del fondo de inversión para la </w:t>
      </w:r>
      <w:proofErr w:type="gramStart"/>
      <w:r w:rsidRPr="00C21593">
        <w:rPr>
          <w:rFonts w:ascii="Verdana" w:hAnsi="Verdana"/>
          <w:sz w:val="20"/>
          <w:szCs w:val="20"/>
        </w:rPr>
        <w:t>paz,</w:t>
      </w:r>
      <w:proofErr w:type="gramEnd"/>
      <w:r w:rsidRPr="00C21593">
        <w:rPr>
          <w:rFonts w:ascii="Verdana" w:hAnsi="Verdana"/>
          <w:sz w:val="20"/>
          <w:szCs w:val="20"/>
        </w:rPr>
        <w:t xml:space="preserve"> se regirán por las normas del derecho privado, en este orden de ideas es importe</w:t>
      </w:r>
      <w:r>
        <w:rPr>
          <w:rFonts w:ascii="Verdana" w:hAnsi="Verdana"/>
          <w:sz w:val="20"/>
          <w:szCs w:val="20"/>
        </w:rPr>
        <w:t xml:space="preserve"> (sic) </w:t>
      </w:r>
      <w:r w:rsidRPr="00C21593">
        <w:rPr>
          <w:rFonts w:ascii="Verdana" w:hAnsi="Verdana"/>
          <w:sz w:val="20"/>
          <w:szCs w:val="20"/>
        </w:rPr>
        <w:t xml:space="preserve">realizar las siguientes preguntas: </w:t>
      </w:r>
    </w:p>
    <w:p w14:paraId="33939FE6" w14:textId="77777777" w:rsidR="00E11DD9" w:rsidRDefault="00E11DD9" w:rsidP="00E11DD9">
      <w:pPr>
        <w:spacing w:after="0" w:line="240" w:lineRule="auto"/>
        <w:ind w:left="709" w:right="902"/>
        <w:jc w:val="both"/>
        <w:rPr>
          <w:rFonts w:ascii="Verdana" w:hAnsi="Verdana"/>
          <w:sz w:val="20"/>
          <w:szCs w:val="20"/>
        </w:rPr>
      </w:pPr>
    </w:p>
    <w:p w14:paraId="416A04E2" w14:textId="77777777" w:rsidR="00E11DD9" w:rsidRPr="0056567C" w:rsidRDefault="00E11DD9" w:rsidP="00E11DD9">
      <w:pPr>
        <w:spacing w:after="0" w:line="240" w:lineRule="auto"/>
        <w:ind w:left="709" w:right="902"/>
        <w:jc w:val="both"/>
        <w:rPr>
          <w:rFonts w:ascii="Verdana" w:hAnsi="Verdana"/>
          <w:sz w:val="20"/>
          <w:szCs w:val="20"/>
        </w:rPr>
      </w:pPr>
      <w:bookmarkStart w:id="3" w:name="_Hlk195594983"/>
      <w:r w:rsidRPr="0056567C">
        <w:rPr>
          <w:rFonts w:ascii="Verdana" w:hAnsi="Verdana"/>
          <w:sz w:val="20"/>
          <w:szCs w:val="20"/>
        </w:rPr>
        <w:t>1. ¿</w:t>
      </w:r>
      <w:proofErr w:type="spellStart"/>
      <w:r w:rsidRPr="0056567C">
        <w:rPr>
          <w:rFonts w:ascii="Verdana" w:hAnsi="Verdana"/>
          <w:sz w:val="20"/>
          <w:szCs w:val="20"/>
        </w:rPr>
        <w:t>Cual</w:t>
      </w:r>
      <w:proofErr w:type="spellEnd"/>
      <w:r w:rsidRPr="0056567C">
        <w:rPr>
          <w:rFonts w:ascii="Verdana" w:hAnsi="Verdana"/>
          <w:sz w:val="20"/>
          <w:szCs w:val="20"/>
        </w:rPr>
        <w:t xml:space="preserve"> (sic) es el procediendo que debe adelantar la entidad pública contratante frente a un posible incumpliendo (sic) contractual? </w:t>
      </w:r>
    </w:p>
    <w:p w14:paraId="1B4A3323" w14:textId="77777777" w:rsidR="00E11DD9" w:rsidRPr="0056567C" w:rsidRDefault="00E11DD9" w:rsidP="00E11DD9">
      <w:pPr>
        <w:spacing w:after="0" w:line="240" w:lineRule="auto"/>
        <w:ind w:left="709" w:right="902"/>
        <w:jc w:val="both"/>
        <w:rPr>
          <w:rFonts w:ascii="Verdana" w:hAnsi="Verdana"/>
          <w:sz w:val="20"/>
          <w:szCs w:val="20"/>
        </w:rPr>
      </w:pPr>
      <w:r w:rsidRPr="0056567C">
        <w:rPr>
          <w:rFonts w:ascii="Verdana" w:hAnsi="Verdana"/>
          <w:sz w:val="20"/>
          <w:szCs w:val="20"/>
        </w:rPr>
        <w:t xml:space="preserve">2. ¿Cuál (sic) es el procedimiento para adelantar la reclamación de seguros, de contar el contrato o convenio con póliza de cumplimiento? </w:t>
      </w:r>
    </w:p>
    <w:p w14:paraId="089881D0" w14:textId="77777777" w:rsidR="00E11DD9" w:rsidRPr="0056567C" w:rsidRDefault="00E11DD9" w:rsidP="00E11DD9">
      <w:pPr>
        <w:spacing w:after="0" w:line="240" w:lineRule="auto"/>
        <w:ind w:left="709" w:right="902"/>
        <w:jc w:val="both"/>
        <w:rPr>
          <w:rFonts w:ascii="Verdana" w:hAnsi="Verdana"/>
          <w:sz w:val="20"/>
          <w:szCs w:val="20"/>
        </w:rPr>
      </w:pPr>
      <w:r w:rsidRPr="0056567C">
        <w:rPr>
          <w:rFonts w:ascii="Verdana" w:hAnsi="Verdana"/>
          <w:sz w:val="20"/>
          <w:szCs w:val="20"/>
        </w:rPr>
        <w:t xml:space="preserve">3. En virtud del artículo 1077 del código de comercio y bajo el marco de realizar la reclamación de seguros con las normas del derecho común, </w:t>
      </w:r>
      <w:r w:rsidRPr="0056567C">
        <w:rPr>
          <w:rFonts w:ascii="Verdana" w:hAnsi="Verdana"/>
          <w:sz w:val="20"/>
          <w:szCs w:val="20"/>
        </w:rPr>
        <w:lastRenderedPageBreak/>
        <w:t xml:space="preserve">¿Cómo la entidad </w:t>
      </w:r>
      <w:proofErr w:type="spellStart"/>
      <w:r w:rsidRPr="0056567C">
        <w:rPr>
          <w:rFonts w:ascii="Verdana" w:hAnsi="Verdana"/>
          <w:sz w:val="20"/>
          <w:szCs w:val="20"/>
        </w:rPr>
        <w:t>publica</w:t>
      </w:r>
      <w:proofErr w:type="spellEnd"/>
      <w:r w:rsidRPr="0056567C">
        <w:rPr>
          <w:rFonts w:ascii="Verdana" w:hAnsi="Verdana"/>
          <w:sz w:val="20"/>
          <w:szCs w:val="20"/>
        </w:rPr>
        <w:t xml:space="preserve"> (sic) contratante acredita la ocurrencia del siniestro y cuantifica los perjuicios? </w:t>
      </w:r>
    </w:p>
    <w:p w14:paraId="5DB8AF99" w14:textId="77777777" w:rsidR="00E11DD9" w:rsidRPr="0056567C" w:rsidRDefault="00E11DD9" w:rsidP="00E11DD9">
      <w:pPr>
        <w:spacing w:after="0" w:line="240" w:lineRule="auto"/>
        <w:ind w:left="709" w:right="902"/>
        <w:jc w:val="both"/>
        <w:rPr>
          <w:rFonts w:ascii="Verdana" w:hAnsi="Verdana"/>
          <w:sz w:val="20"/>
          <w:szCs w:val="20"/>
        </w:rPr>
      </w:pPr>
      <w:r w:rsidRPr="0056567C">
        <w:rPr>
          <w:rFonts w:ascii="Verdana" w:hAnsi="Verdana"/>
          <w:sz w:val="20"/>
          <w:szCs w:val="20"/>
        </w:rPr>
        <w:t xml:space="preserve">4. Cuando en virtud del contrato se adquiere </w:t>
      </w:r>
      <w:r w:rsidRPr="0056567C">
        <w:rPr>
          <w:rFonts w:ascii="Verdana" w:hAnsi="Verdana"/>
          <w:sz w:val="20"/>
          <w:szCs w:val="20"/>
          <w:u w:val="single"/>
        </w:rPr>
        <w:t>una póliza de cumplimiento ante entidades públicas con régimen privado de contratación</w:t>
      </w:r>
      <w:r w:rsidRPr="0056567C">
        <w:rPr>
          <w:rFonts w:ascii="Verdana" w:hAnsi="Verdana"/>
          <w:sz w:val="20"/>
          <w:szCs w:val="20"/>
        </w:rPr>
        <w:t xml:space="preserve">, ¿debe seguirse el proceso establecido en su clausulado para la reclamación de seguros o lo indicado en el código de comercio o ambos? </w:t>
      </w:r>
    </w:p>
    <w:p w14:paraId="113572C7" w14:textId="77777777" w:rsidR="00E11DD9" w:rsidRPr="00835A24" w:rsidRDefault="00E11DD9" w:rsidP="00E11DD9">
      <w:pPr>
        <w:spacing w:after="0" w:line="240" w:lineRule="auto"/>
        <w:ind w:left="709" w:right="902"/>
        <w:jc w:val="both"/>
        <w:rPr>
          <w:rFonts w:ascii="Verdana" w:hAnsi="Verdana"/>
          <w:sz w:val="20"/>
          <w:szCs w:val="20"/>
        </w:rPr>
      </w:pPr>
      <w:r w:rsidRPr="0056567C">
        <w:rPr>
          <w:rFonts w:ascii="Verdana" w:hAnsi="Verdana"/>
          <w:sz w:val="20"/>
          <w:szCs w:val="20"/>
        </w:rPr>
        <w:t xml:space="preserve">5. ¿Es posible que la entidad </w:t>
      </w:r>
      <w:proofErr w:type="spellStart"/>
      <w:r w:rsidRPr="0056567C">
        <w:rPr>
          <w:rFonts w:ascii="Verdana" w:hAnsi="Verdana"/>
          <w:sz w:val="20"/>
          <w:szCs w:val="20"/>
        </w:rPr>
        <w:t>publica</w:t>
      </w:r>
      <w:proofErr w:type="spellEnd"/>
      <w:r w:rsidRPr="0056567C">
        <w:rPr>
          <w:rFonts w:ascii="Verdana" w:hAnsi="Verdana"/>
          <w:sz w:val="20"/>
          <w:szCs w:val="20"/>
        </w:rPr>
        <w:t xml:space="preserve"> haga efectiva la cláusula penal que las partes de común acuerdo estipularon respecto de un contrato con recursos del Fondo de Inversión para la Paz y en donde el clausulado de la póliza establezca la posibilidad de hacer efectiva el cobro de </w:t>
      </w:r>
      <w:proofErr w:type="gramStart"/>
      <w:r w:rsidRPr="0056567C">
        <w:rPr>
          <w:rFonts w:ascii="Verdana" w:hAnsi="Verdana"/>
          <w:sz w:val="20"/>
          <w:szCs w:val="20"/>
        </w:rPr>
        <w:t>la misma</w:t>
      </w:r>
      <w:proofErr w:type="gramEnd"/>
      <w:r w:rsidRPr="0056567C">
        <w:rPr>
          <w:rFonts w:ascii="Verdana" w:hAnsi="Verdana"/>
          <w:sz w:val="20"/>
          <w:szCs w:val="20"/>
        </w:rPr>
        <w:t>?</w:t>
      </w:r>
      <w:r w:rsidRPr="00C21593">
        <w:rPr>
          <w:rFonts w:ascii="Verdana" w:hAnsi="Verdana"/>
          <w:sz w:val="20"/>
          <w:szCs w:val="20"/>
        </w:rPr>
        <w:t xml:space="preserve"> 6. Una reclamación de seguros que adelante una entidad pública contratante con Fondos de Inversión para la Paz y que cuente con una póliza de cumplimiento ante entidades </w:t>
      </w:r>
      <w:proofErr w:type="spellStart"/>
      <w:r w:rsidRPr="00C21593">
        <w:rPr>
          <w:rFonts w:ascii="Verdana" w:hAnsi="Verdana"/>
          <w:sz w:val="20"/>
          <w:szCs w:val="20"/>
        </w:rPr>
        <w:t>publicas</w:t>
      </w:r>
      <w:proofErr w:type="spellEnd"/>
      <w:r w:rsidRPr="00C21593">
        <w:rPr>
          <w:rFonts w:ascii="Verdana" w:hAnsi="Verdana"/>
          <w:sz w:val="20"/>
          <w:szCs w:val="20"/>
        </w:rPr>
        <w:t xml:space="preserve"> de derecho privado de contratación, ¿debe seguirse por el Código civil y de comercio o por lo establecido en el clausulado de la póliza?</w:t>
      </w:r>
      <w:r w:rsidRPr="00C21593">
        <w:rPr>
          <w:rFonts w:ascii="Verdana" w:hAnsi="Verdana"/>
          <w:b/>
          <w:bCs/>
          <w:sz w:val="20"/>
          <w:szCs w:val="20"/>
        </w:rPr>
        <w:t xml:space="preserve"> </w:t>
      </w:r>
      <w:r w:rsidRPr="00835A24">
        <w:rPr>
          <w:rFonts w:ascii="Verdana" w:eastAsia="Century Gothic" w:hAnsi="Verdana" w:cs="Century Gothic"/>
          <w:sz w:val="20"/>
          <w:szCs w:val="20"/>
        </w:rPr>
        <w:t>(…)”.</w:t>
      </w:r>
      <w:bookmarkEnd w:id="3"/>
    </w:p>
    <w:bookmarkEnd w:id="2"/>
    <w:p w14:paraId="4A80E8E0" w14:textId="77777777" w:rsidR="00E11DD9" w:rsidRPr="00F71A6A" w:rsidRDefault="00E11DD9" w:rsidP="00E11DD9">
      <w:pPr>
        <w:pStyle w:val="Prrafodelista"/>
        <w:tabs>
          <w:tab w:val="left" w:pos="142"/>
          <w:tab w:val="left" w:pos="284"/>
        </w:tabs>
        <w:spacing w:after="0" w:line="240" w:lineRule="auto"/>
        <w:ind w:left="0"/>
        <w:jc w:val="both"/>
        <w:rPr>
          <w:rFonts w:ascii="Verdana" w:eastAsia="Century Gothic" w:hAnsi="Verdana" w:cs="Century Gothic"/>
          <w:b/>
          <w:bCs/>
        </w:rPr>
      </w:pPr>
    </w:p>
    <w:p w14:paraId="4E72B623" w14:textId="77777777" w:rsidR="00E11DD9" w:rsidRPr="00995CAD" w:rsidRDefault="00E11DD9" w:rsidP="00E11DD9">
      <w:pPr>
        <w:spacing w:after="120" w:line="276" w:lineRule="auto"/>
        <w:ind w:firstLine="709"/>
        <w:jc w:val="both"/>
        <w:rPr>
          <w:rFonts w:ascii="Verdana" w:eastAsia="Calibri" w:hAnsi="Verdana" w:cs="Arial"/>
          <w:color w:val="000000"/>
          <w:szCs w:val="24"/>
          <w:lang w:val="es-ES_tradnl" w:eastAsia="es-ES_tradnl"/>
        </w:rPr>
      </w:pPr>
      <w:r w:rsidRPr="00995CA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5CAD">
        <w:rPr>
          <w:rFonts w:ascii="Verdana" w:eastAsia="Calibri" w:hAnsi="Verdana" w:cs="Arial"/>
          <w:color w:val="000000"/>
          <w:szCs w:val="24"/>
          <w:lang w:val="es-ES_tradnl" w:eastAsia="es-ES_tradnl"/>
        </w:rPr>
        <w:tab/>
      </w:r>
    </w:p>
    <w:p w14:paraId="21C2319C" w14:textId="77777777" w:rsidR="00E11DD9" w:rsidRPr="00995CAD" w:rsidRDefault="00E11DD9" w:rsidP="00E11DD9">
      <w:pPr>
        <w:spacing w:after="0" w:line="276" w:lineRule="auto"/>
        <w:ind w:firstLine="709"/>
        <w:jc w:val="both"/>
        <w:rPr>
          <w:rFonts w:ascii="Verdana" w:eastAsia="Calibri" w:hAnsi="Verdana" w:cs="Arial"/>
          <w:color w:val="000000"/>
          <w:lang w:val="es-ES" w:eastAsia="es-ES"/>
        </w:rPr>
      </w:pPr>
      <w:r w:rsidRPr="00995CAD">
        <w:rPr>
          <w:rFonts w:ascii="Verdana" w:eastAsia="Calibri" w:hAnsi="Verdana" w:cs="Arial"/>
          <w:color w:val="000000"/>
          <w:lang w:val="es-ES" w:eastAsia="es-ES"/>
        </w:rPr>
        <w:t xml:space="preserve">Conforme lo expuesto, en aras de garantizar el derecho fundamental de petición, se resolverá su petición dentro de los límites de la referida competencia consultiva, esto es, haciendo </w:t>
      </w:r>
      <w:r>
        <w:rPr>
          <w:rFonts w:ascii="Verdana" w:eastAsia="Calibri" w:hAnsi="Verdana" w:cs="Arial"/>
          <w:color w:val="000000"/>
          <w:lang w:val="es-ES" w:eastAsia="es-ES"/>
        </w:rPr>
        <w:t>abstracción del caso particular y concreto señalado en su petición, pero señalando</w:t>
      </w:r>
      <w:r w:rsidRPr="00995CAD">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995CAD">
        <w:rPr>
          <w:rFonts w:ascii="Verdana" w:eastAsia="Calibri" w:hAnsi="Verdana" w:cs="Arial"/>
          <w:color w:val="000000"/>
          <w:lang w:val="es-ES" w:eastAsia="es-ES"/>
        </w:rPr>
        <w:t>unas consideraciones sobre las normas generales relacionadas con el</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problema</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jurídico</w:t>
      </w:r>
      <w:r w:rsidRPr="00995CAD">
        <w:rPr>
          <w:rFonts w:ascii="Verdana" w:eastAsia="Calibri" w:hAnsi="Verdana" w:cs="Arial"/>
          <w:color w:val="7030A0"/>
          <w:lang w:val="es-ES" w:eastAsia="es-ES"/>
        </w:rPr>
        <w:t xml:space="preserve"> </w:t>
      </w:r>
      <w:r w:rsidRPr="00995CAD">
        <w:rPr>
          <w:rFonts w:ascii="Verdana" w:eastAsia="Calibri" w:hAnsi="Verdana" w:cs="Arial"/>
          <w:color w:val="000000"/>
          <w:lang w:val="es-ES" w:eastAsia="es-ES"/>
        </w:rPr>
        <w:t xml:space="preserve">de su consulta.  </w:t>
      </w:r>
    </w:p>
    <w:p w14:paraId="31F5FFCB" w14:textId="77777777" w:rsidR="00E11DD9" w:rsidRPr="00F71A6A" w:rsidRDefault="00E11DD9" w:rsidP="00E11DD9">
      <w:pPr>
        <w:spacing w:after="0" w:line="276" w:lineRule="auto"/>
        <w:jc w:val="both"/>
        <w:rPr>
          <w:rFonts w:ascii="Verdana" w:eastAsia="Calibri" w:hAnsi="Verdana" w:cs="Arial"/>
          <w:color w:val="000000"/>
          <w:lang w:val="es-ES" w:eastAsia="es-ES"/>
        </w:rPr>
      </w:pPr>
    </w:p>
    <w:p w14:paraId="4562EB95" w14:textId="77777777" w:rsidR="00E11DD9" w:rsidRPr="00FA78D7" w:rsidRDefault="00E11DD9" w:rsidP="00E11DD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A78D7">
        <w:rPr>
          <w:rFonts w:ascii="Verdana" w:eastAsia="Century Gothic" w:hAnsi="Verdana" w:cs="Century Gothic"/>
          <w:b/>
          <w:bCs/>
        </w:rPr>
        <w:t>Problemas planteados:</w:t>
      </w:r>
    </w:p>
    <w:p w14:paraId="7EF48EFD" w14:textId="77777777" w:rsidR="00E11DD9" w:rsidRPr="002A589A" w:rsidRDefault="00E11DD9" w:rsidP="00E11DD9">
      <w:pPr>
        <w:tabs>
          <w:tab w:val="left" w:pos="426"/>
        </w:tabs>
        <w:spacing w:after="0" w:line="276" w:lineRule="auto"/>
        <w:jc w:val="both"/>
        <w:rPr>
          <w:rFonts w:ascii="Verdana" w:eastAsia="Century Gothic" w:hAnsi="Verdana" w:cs="Century Gothic"/>
          <w:highlight w:val="yellow"/>
          <w:lang w:val="es-ES"/>
        </w:rPr>
      </w:pPr>
    </w:p>
    <w:p w14:paraId="071E7447" w14:textId="77777777" w:rsidR="00E11DD9" w:rsidRPr="00FA78D7" w:rsidRDefault="00E11DD9" w:rsidP="00E11DD9">
      <w:pPr>
        <w:spacing w:after="0" w:line="276" w:lineRule="auto"/>
        <w:ind w:firstLine="709"/>
        <w:jc w:val="both"/>
        <w:rPr>
          <w:rFonts w:ascii="Verdana" w:eastAsia="Century Gothic" w:hAnsi="Verdana" w:cs="Century Gothic"/>
        </w:rPr>
      </w:pPr>
      <w:r w:rsidRPr="00FA78D7">
        <w:rPr>
          <w:rFonts w:ascii="Verdana" w:eastAsia="Century Gothic" w:hAnsi="Verdana" w:cs="Century Gothic"/>
        </w:rPr>
        <w:t xml:space="preserve">De acuerdo con el contenido de su solicitud, esta Agencia resolverá los siguientes problemas jurídicos: </w:t>
      </w:r>
    </w:p>
    <w:p w14:paraId="365F7EB7" w14:textId="77777777" w:rsidR="00E11DD9" w:rsidRDefault="00E11DD9" w:rsidP="00E11DD9">
      <w:pPr>
        <w:spacing w:after="0" w:line="276" w:lineRule="auto"/>
        <w:ind w:firstLine="709"/>
        <w:jc w:val="both"/>
        <w:rPr>
          <w:rFonts w:ascii="Verdana" w:eastAsia="Century Gothic" w:hAnsi="Verdana" w:cs="Century Gothic"/>
          <w:highlight w:val="yellow"/>
        </w:rPr>
      </w:pPr>
    </w:p>
    <w:p w14:paraId="088D11CB" w14:textId="77777777" w:rsidR="00E11DD9" w:rsidRDefault="00E11DD9" w:rsidP="00E11DD9">
      <w:pPr>
        <w:pStyle w:val="Prrafodelista"/>
        <w:numPr>
          <w:ilvl w:val="0"/>
          <w:numId w:val="18"/>
        </w:numPr>
        <w:jc w:val="both"/>
        <w:rPr>
          <w:rFonts w:ascii="Verdana" w:hAnsi="Verdana"/>
        </w:rPr>
      </w:pPr>
      <w:r>
        <w:rPr>
          <w:rFonts w:ascii="Verdana" w:hAnsi="Verdana"/>
        </w:rPr>
        <w:lastRenderedPageBreak/>
        <w:t xml:space="preserve">Las entidades públicas con régimen especial de contratación ¿pueden adelantar algún procedimiento por posible incumplimiento?   </w:t>
      </w:r>
    </w:p>
    <w:p w14:paraId="26F04E06" w14:textId="77777777" w:rsidR="00E11DD9" w:rsidRDefault="00E11DD9" w:rsidP="00E11DD9">
      <w:pPr>
        <w:pStyle w:val="Prrafodelista"/>
        <w:numPr>
          <w:ilvl w:val="0"/>
          <w:numId w:val="18"/>
        </w:numPr>
        <w:jc w:val="both"/>
        <w:rPr>
          <w:rFonts w:ascii="Verdana" w:hAnsi="Verdana"/>
        </w:rPr>
      </w:pPr>
      <w:r>
        <w:rPr>
          <w:rFonts w:ascii="Verdana" w:hAnsi="Verdana"/>
        </w:rPr>
        <w:t xml:space="preserve">¿Cuál es el procedimiento que debe adelantar la entidad pública con régimen especial de contratación para reclamar el siniestro de una póliza de cumplimiento? </w:t>
      </w:r>
    </w:p>
    <w:p w14:paraId="6BEDF546" w14:textId="77777777" w:rsidR="00E11DD9" w:rsidRDefault="00E11DD9" w:rsidP="00E11DD9">
      <w:pPr>
        <w:pStyle w:val="Prrafodelista"/>
        <w:numPr>
          <w:ilvl w:val="0"/>
          <w:numId w:val="18"/>
        </w:numPr>
        <w:jc w:val="both"/>
        <w:rPr>
          <w:rFonts w:ascii="Verdana" w:hAnsi="Verdana"/>
        </w:rPr>
      </w:pPr>
      <w:r w:rsidRPr="00073C17">
        <w:rPr>
          <w:rFonts w:ascii="Verdana" w:hAnsi="Verdana"/>
        </w:rPr>
        <w:t xml:space="preserve">Una entidad pública sometida al régimen especial de contratación ¿cómo puede acreditar la ocurrencia del siniestro y la cuantificación de los perjuicios? </w:t>
      </w:r>
    </w:p>
    <w:p w14:paraId="22E76801" w14:textId="77777777" w:rsidR="00E11DD9" w:rsidRPr="00073C17" w:rsidRDefault="00E11DD9" w:rsidP="00E11DD9">
      <w:pPr>
        <w:pStyle w:val="Prrafodelista"/>
        <w:ind w:left="1440"/>
        <w:jc w:val="both"/>
        <w:rPr>
          <w:rFonts w:ascii="Verdana" w:hAnsi="Verdana"/>
        </w:rPr>
      </w:pPr>
    </w:p>
    <w:p w14:paraId="228DC5A8" w14:textId="77777777" w:rsidR="00E11DD9" w:rsidRPr="003B2EAC" w:rsidRDefault="00E11DD9" w:rsidP="00E11DD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33E488F6" w14:textId="77777777" w:rsidR="00E11DD9" w:rsidRPr="00F71A6A" w:rsidRDefault="00E11DD9" w:rsidP="00E11DD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11DD9" w:rsidRPr="00F71A6A" w14:paraId="4A141DB9" w14:textId="77777777" w:rsidTr="00DD0D03">
        <w:tc>
          <w:tcPr>
            <w:tcW w:w="8828" w:type="dxa"/>
            <w:tcBorders>
              <w:top w:val="single" w:sz="4" w:space="0" w:color="auto"/>
              <w:left w:val="single" w:sz="4" w:space="0" w:color="auto"/>
              <w:bottom w:val="single" w:sz="4" w:space="0" w:color="auto"/>
              <w:right w:val="single" w:sz="4" w:space="0" w:color="auto"/>
            </w:tcBorders>
            <w:shd w:val="clear" w:color="auto" w:fill="auto"/>
          </w:tcPr>
          <w:p w14:paraId="331B4F97" w14:textId="77777777" w:rsidR="00D6475D" w:rsidRDefault="00D6475D" w:rsidP="00D6475D">
            <w:pPr>
              <w:tabs>
                <w:tab w:val="left" w:pos="426"/>
              </w:tabs>
              <w:spacing w:line="276" w:lineRule="auto"/>
              <w:ind w:firstLine="425"/>
              <w:jc w:val="both"/>
              <w:rPr>
                <w:rFonts w:ascii="Verdana" w:eastAsia="Calibri" w:hAnsi="Verdana" w:cs="Arial"/>
                <w:color w:val="000000" w:themeColor="text1"/>
                <w:lang w:val="es-ES_tradnl"/>
              </w:rPr>
            </w:pPr>
            <w:r>
              <w:rPr>
                <w:rFonts w:ascii="Verdana" w:hAnsi="Verdana" w:cs="Arial"/>
                <w:lang w:val="es-MX"/>
              </w:rPr>
              <w:t>i) Para resolver el primer problema jurídico, debe sostenerse que l</w:t>
            </w:r>
            <w:r w:rsidRPr="00C47EB4">
              <w:rPr>
                <w:rFonts w:ascii="Verdana" w:hAnsi="Verdana" w:cs="Arial"/>
                <w:lang w:val="es-MX"/>
              </w:rPr>
              <w:t>as</w:t>
            </w:r>
            <w:r w:rsidRPr="00C47EB4">
              <w:rPr>
                <w:rFonts w:ascii="Verdana" w:eastAsia="Calibri" w:hAnsi="Verdana" w:cs="Arial"/>
                <w:color w:val="000000" w:themeColor="text1"/>
                <w:lang w:val="es-ES_tradnl"/>
              </w:rPr>
              <w:t xml:space="preserve">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1705EB7C" w14:textId="77777777" w:rsidR="00941758" w:rsidRPr="00C47EB4" w:rsidRDefault="00941758" w:rsidP="00D6475D">
            <w:pPr>
              <w:tabs>
                <w:tab w:val="left" w:pos="426"/>
              </w:tabs>
              <w:spacing w:line="276" w:lineRule="auto"/>
              <w:ind w:firstLine="425"/>
              <w:jc w:val="both"/>
              <w:rPr>
                <w:rFonts w:ascii="Verdana" w:eastAsia="Calibri" w:hAnsi="Verdana" w:cs="Arial"/>
                <w:b/>
                <w:color w:val="000000" w:themeColor="text1"/>
                <w:lang w:val="es-ES_tradnl"/>
              </w:rPr>
            </w:pPr>
          </w:p>
          <w:p w14:paraId="15861EE0" w14:textId="77777777" w:rsidR="00E11DD9" w:rsidRDefault="00164C38" w:rsidP="00DD0D03">
            <w:pPr>
              <w:pStyle w:val="estilo1"/>
              <w:spacing w:before="0" w:beforeAutospacing="0" w:after="120" w:afterAutospacing="0" w:line="276" w:lineRule="auto"/>
              <w:ind w:right="51" w:firstLine="709"/>
              <w:jc w:val="both"/>
              <w:rPr>
                <w:rFonts w:ascii="Verdana" w:eastAsia="Calibri" w:hAnsi="Verdana" w:cs="Arial"/>
                <w:color w:val="000000" w:themeColor="text1"/>
                <w:sz w:val="22"/>
                <w:szCs w:val="22"/>
              </w:rPr>
            </w:pPr>
            <w:r w:rsidRPr="00164C38">
              <w:rPr>
                <w:rFonts w:ascii="Verdana" w:eastAsia="Calibri" w:hAnsi="Verdana" w:cs="Arial"/>
                <w:color w:val="000000" w:themeColor="text1"/>
                <w:sz w:val="22"/>
                <w:szCs w:val="22"/>
              </w:rPr>
              <w:t>Ahora bien, en torno a la aplicabilidad de las cláusulas excepcionales, se debe tener en cuenta que éstas no se encuentran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r w:rsidR="00941758">
              <w:rPr>
                <w:rFonts w:ascii="Verdana" w:eastAsia="Calibri" w:hAnsi="Verdana" w:cs="Arial"/>
                <w:color w:val="000000" w:themeColor="text1"/>
                <w:sz w:val="22"/>
                <w:szCs w:val="22"/>
              </w:rPr>
              <w:t>.</w:t>
            </w:r>
          </w:p>
          <w:p w14:paraId="388EAF00" w14:textId="77777777" w:rsidR="00941758" w:rsidRDefault="00141963" w:rsidP="001F3A5C">
            <w:pPr>
              <w:pStyle w:val="estilo1"/>
              <w:spacing w:before="0" w:beforeAutospacing="0" w:after="120" w:afterAutospacing="0" w:line="276" w:lineRule="auto"/>
              <w:ind w:right="51" w:firstLine="709"/>
              <w:jc w:val="both"/>
              <w:rPr>
                <w:rFonts w:ascii="Verdana" w:eastAsia="Arial" w:hAnsi="Verdana" w:cs="Arial"/>
                <w:color w:val="000000" w:themeColor="text1"/>
                <w:sz w:val="22"/>
                <w:szCs w:val="22"/>
                <w:lang w:val="es-ES_tradnl" w:eastAsia="en-US"/>
              </w:rPr>
            </w:pPr>
            <w:r w:rsidRPr="00141963">
              <w:rPr>
                <w:rFonts w:ascii="Verdana" w:eastAsia="Calibri" w:hAnsi="Verdana" w:cs="Arial"/>
                <w:color w:val="000000" w:themeColor="text1"/>
                <w:sz w:val="22"/>
                <w:szCs w:val="22"/>
              </w:rPr>
              <w:t>Para el ejercicio de estas potestades exorbitantes en particular, el</w:t>
            </w:r>
            <w:r w:rsidRPr="00141963">
              <w:rPr>
                <w:rFonts w:ascii="Verdana" w:eastAsia="Calibri" w:hAnsi="Verdana" w:cs="Arial"/>
                <w:color w:val="000000" w:themeColor="text1"/>
                <w:sz w:val="22"/>
                <w:szCs w:val="22"/>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 Así se desprende del primer inciso de aquel artículo, que dispone: “</w:t>
            </w:r>
            <w:r w:rsidRPr="00141963">
              <w:rPr>
                <w:rFonts w:ascii="Verdana" w:eastAsia="Calibri" w:hAnsi="Verdana" w:cs="Arial"/>
                <w:i/>
                <w:color w:val="000000" w:themeColor="text1"/>
                <w:sz w:val="22"/>
                <w:szCs w:val="22"/>
                <w:lang w:val="es-ES_tradnl"/>
              </w:rPr>
              <w:t>Las entidades sometidas al Estatuto General de Contratación de la Administración Pública</w:t>
            </w:r>
            <w:r w:rsidRPr="00141963">
              <w:rPr>
                <w:rFonts w:ascii="Verdana" w:eastAsia="Calibri" w:hAnsi="Verdana" w:cs="Arial"/>
                <w:color w:val="000000" w:themeColor="text1"/>
                <w:sz w:val="22"/>
                <w:szCs w:val="22"/>
                <w:lang w:val="es-ES_tradnl"/>
              </w:rPr>
              <w:t xml:space="preserve"> podrán declarar el </w:t>
            </w:r>
            <w:r w:rsidRPr="00141963">
              <w:rPr>
                <w:rFonts w:ascii="Verdana" w:eastAsia="Calibri" w:hAnsi="Verdana" w:cs="Arial"/>
                <w:color w:val="000000" w:themeColor="text1"/>
                <w:sz w:val="22"/>
                <w:szCs w:val="22"/>
                <w:lang w:val="es-ES_tradnl"/>
              </w:rPr>
              <w:lastRenderedPageBreak/>
              <w:t xml:space="preserve">incumplimiento, cuantificando los perjuicios </w:t>
            </w:r>
            <w:proofErr w:type="gramStart"/>
            <w:r w:rsidRPr="00141963">
              <w:rPr>
                <w:rFonts w:ascii="Verdana" w:eastAsia="Calibri" w:hAnsi="Verdana" w:cs="Arial"/>
                <w:color w:val="000000" w:themeColor="text1"/>
                <w:sz w:val="22"/>
                <w:szCs w:val="22"/>
                <w:lang w:val="es-ES_tradnl"/>
              </w:rPr>
              <w:t>del mismo</w:t>
            </w:r>
            <w:proofErr w:type="gramEnd"/>
            <w:r w:rsidRPr="00141963">
              <w:rPr>
                <w:rFonts w:ascii="Verdana" w:eastAsia="Calibri" w:hAnsi="Verdana" w:cs="Arial"/>
                <w:color w:val="000000" w:themeColor="text1"/>
                <w:sz w:val="22"/>
                <w:szCs w:val="22"/>
                <w:lang w:val="es-ES_tradnl"/>
              </w:rPr>
              <w:t>, imponer las multas y sanciones pactadas en el contrato, y hacer efectiva la cláusula penal. Para tal efecto observarán el siguiente procedimiento […]”.</w:t>
            </w:r>
            <w:r>
              <w:rPr>
                <w:rFonts w:ascii="Verdana" w:eastAsia="Calibri" w:hAnsi="Verdana" w:cs="Arial"/>
                <w:color w:val="000000" w:themeColor="text1"/>
                <w:sz w:val="22"/>
                <w:szCs w:val="22"/>
                <w:lang w:val="es-ES_tradnl"/>
              </w:rPr>
              <w:t xml:space="preserve"> </w:t>
            </w:r>
            <w:r w:rsidR="001F3A5C" w:rsidRPr="00141963">
              <w:rPr>
                <w:rFonts w:ascii="Verdana" w:eastAsia="Arial" w:hAnsi="Verdana" w:cs="Arial"/>
                <w:color w:val="000000" w:themeColor="text1"/>
                <w:sz w:val="22"/>
                <w:szCs w:val="22"/>
                <w:lang w:val="es-ES_tradnl" w:eastAsia="en-US"/>
              </w:rPr>
              <w:t>De ahí que, solo por esta razón, las entidades de régimen especial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p>
          <w:p w14:paraId="54DC52EA" w14:textId="77777777" w:rsidR="00924CB9" w:rsidRDefault="00924CB9" w:rsidP="00924CB9">
            <w:pPr>
              <w:spacing w:before="120" w:after="120" w:line="276" w:lineRule="auto"/>
              <w:ind w:firstLine="709"/>
              <w:jc w:val="both"/>
              <w:rPr>
                <w:rFonts w:ascii="Verdana" w:eastAsia="Calibri" w:hAnsi="Verdana" w:cs="Arial"/>
                <w:color w:val="000000" w:themeColor="text1"/>
              </w:rPr>
            </w:pPr>
            <w:r w:rsidRPr="003C4BBC">
              <w:rPr>
                <w:rFonts w:ascii="Verdana" w:eastAsia="Calibri" w:hAnsi="Verdana" w:cs="Arial"/>
                <w:color w:val="000000" w:themeColor="text1"/>
              </w:rPr>
              <w:t xml:space="preserve">En ese orden, si bien el ejercicio de potestades unilaterales no se encuentra previsto </w:t>
            </w:r>
            <w:r>
              <w:rPr>
                <w:rFonts w:ascii="Verdana" w:eastAsia="Calibri" w:hAnsi="Verdana" w:cs="Arial"/>
                <w:color w:val="000000" w:themeColor="text1"/>
              </w:rPr>
              <w:t xml:space="preserve">para las entidades con </w:t>
            </w:r>
            <w:r w:rsidRPr="003C4BBC">
              <w:rPr>
                <w:rFonts w:ascii="Verdana" w:eastAsia="Calibri" w:hAnsi="Verdana" w:cs="Arial"/>
                <w:color w:val="000000" w:themeColor="text1"/>
              </w:rPr>
              <w:t>régimen de contratación</w:t>
            </w:r>
            <w:r>
              <w:rPr>
                <w:rFonts w:ascii="Verdana" w:eastAsia="Calibri" w:hAnsi="Verdana" w:cs="Arial"/>
                <w:color w:val="000000" w:themeColor="text1"/>
              </w:rPr>
              <w:t xml:space="preserve"> especial [salvo excepciones ya descritas]</w:t>
            </w:r>
            <w:r w:rsidRPr="003C4BBC">
              <w:rPr>
                <w:rFonts w:ascii="Verdana" w:eastAsia="Calibri" w:hAnsi="Verdana" w:cs="Arial"/>
                <w:color w:val="000000" w:themeColor="text1"/>
              </w:rPr>
              <w:t>, pueden hacer uso de la autonomía de la voluntad estableciendo estipulaciones que de manera expresa reconozcan la posibilidad de acudir a este tipo de facultades. En todo caso, al no tener origen en la ley sino en la autonomía de la voluntad, los actos que se expidan en ejercicio de tales potestades no tendrían el carácter de actos administrativos sino de actos contractuales.</w:t>
            </w:r>
          </w:p>
          <w:p w14:paraId="48118987" w14:textId="77777777" w:rsidR="00924CB9" w:rsidRDefault="00E63FA0" w:rsidP="00DC73C0">
            <w:pPr>
              <w:spacing w:before="120" w:line="276" w:lineRule="auto"/>
              <w:ind w:firstLine="708"/>
              <w:jc w:val="both"/>
              <w:rPr>
                <w:rFonts w:ascii="Verdana" w:hAnsi="Verdana" w:cs="Arial"/>
                <w:color w:val="000000" w:themeColor="text1"/>
              </w:rPr>
            </w:pP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w:t>
            </w:r>
            <w:r w:rsidRPr="003E2347">
              <w:rPr>
                <w:rFonts w:ascii="Verdana" w:eastAsia="Calibri" w:hAnsi="Verdana" w:cs="Arial"/>
                <w:color w:val="000000" w:themeColor="text1"/>
              </w:rPr>
              <w:t xml:space="preserve">De otra parte, </w:t>
            </w:r>
            <w:r>
              <w:rPr>
                <w:rFonts w:ascii="Verdana" w:eastAsia="Calibri" w:hAnsi="Verdana" w:cs="Arial"/>
                <w:color w:val="000000" w:themeColor="text1"/>
              </w:rPr>
              <w:t xml:space="preserve">frente al segundo problema jurídico planteado, </w:t>
            </w:r>
            <w:r w:rsidRPr="003E2347">
              <w:rPr>
                <w:rFonts w:ascii="Verdana" w:eastAsia="Calibri" w:hAnsi="Verdana" w:cs="Arial"/>
                <w:color w:val="000000" w:themeColor="text1"/>
              </w:rPr>
              <w:t xml:space="preserve">en cuanto a </w:t>
            </w:r>
            <w:r w:rsidRPr="003E2347">
              <w:rPr>
                <w:rFonts w:ascii="Verdana" w:hAnsi="Verdana" w:cs="Arial"/>
                <w:color w:val="000000" w:themeColor="text1"/>
              </w:rPr>
              <w:t>las garantías en la contratación estatal, ha de tenerse en cuenta que el Estatuto General de Contratación de la Administración Pública, por regla general, para seleccionar los contratistas y para ejecutar los contratos se requiere la constitución de garantías.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63D5EB6A" w14:textId="77777777" w:rsidR="00DC73C0" w:rsidRPr="003E2347" w:rsidRDefault="00DC73C0" w:rsidP="00DC73C0">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rPr>
              <w:t xml:space="preserve">Con todo, en respuesta a la consulta de la referencia, se debe indicar que este régimen de garantías aplica respecto de los contratos sometidos al Estatuto General de Contratación de la Administración Pública. Esto significa que, estas regulaciones no resultan </w:t>
            </w:r>
            <w:r w:rsidRPr="006D4859">
              <w:rPr>
                <w:rFonts w:ascii="Verdana" w:eastAsia="Calibri" w:hAnsi="Verdana" w:cs="Arial"/>
                <w:i/>
                <w:iCs/>
                <w:color w:val="000000" w:themeColor="text1"/>
              </w:rPr>
              <w:t>per se</w:t>
            </w:r>
            <w:r>
              <w:rPr>
                <w:rFonts w:ascii="Verdana" w:eastAsia="Calibri" w:hAnsi="Verdana" w:cs="Arial"/>
                <w:i/>
                <w:iCs/>
                <w:color w:val="000000" w:themeColor="text1"/>
              </w:rPr>
              <w:t xml:space="preserve"> </w:t>
            </w:r>
            <w:r>
              <w:rPr>
                <w:rFonts w:ascii="Verdana" w:eastAsia="Calibri" w:hAnsi="Verdana" w:cs="Arial"/>
                <w:color w:val="000000" w:themeColor="text1"/>
              </w:rPr>
              <w:t>aplicables a las entidades estatales que están sometidas a regímenes especiales, dado que están llamadas a aplicar los mecanismos de cobertura del riesgo que resulten pertinentes de acuerdo con lo establecidos en estatuto interno de contratación.</w:t>
            </w:r>
          </w:p>
          <w:p w14:paraId="20B52683" w14:textId="2873ACA6" w:rsidR="00DC73C0" w:rsidRDefault="00DC73C0" w:rsidP="00DC73C0">
            <w:pPr>
              <w:spacing w:after="120" w:line="276" w:lineRule="auto"/>
              <w:ind w:firstLine="708"/>
              <w:jc w:val="both"/>
              <w:rPr>
                <w:rFonts w:ascii="Verdana" w:eastAsia="Calibri" w:hAnsi="Verdana" w:cs="Arial"/>
              </w:rPr>
            </w:pPr>
            <w:r>
              <w:rPr>
                <w:rFonts w:ascii="Verdana" w:eastAsia="Calibri" w:hAnsi="Verdana" w:cs="Arial"/>
                <w:color w:val="000000" w:themeColor="text1"/>
                <w:lang w:val="es-ES_tradnl"/>
              </w:rPr>
              <w:t>Al respecto, es importante tener en cuenta</w:t>
            </w:r>
            <w:r>
              <w:rPr>
                <w:rFonts w:ascii="Verdana" w:eastAsia="Calibri" w:hAnsi="Verdana" w:cs="Arial"/>
              </w:rPr>
              <w:t xml:space="preserve"> que</w:t>
            </w:r>
            <w:r w:rsidRPr="00BE4E34">
              <w:rPr>
                <w:rFonts w:ascii="Verdana" w:eastAsia="Calibri" w:hAnsi="Verdana" w:cs="Arial"/>
              </w:rPr>
              <w:t>, frente a la</w:t>
            </w:r>
            <w:r>
              <w:rPr>
                <w:rFonts w:ascii="Verdana" w:eastAsia="Calibri" w:hAnsi="Verdana" w:cs="Arial"/>
              </w:rPr>
              <w:t xml:space="preserve"> implementación de mecanismos de cobertura del riesgo como el contrato de </w:t>
            </w:r>
            <w:r>
              <w:rPr>
                <w:rFonts w:ascii="Verdana" w:eastAsia="Calibri" w:hAnsi="Verdana" w:cs="Arial"/>
              </w:rPr>
              <w:lastRenderedPageBreak/>
              <w:t xml:space="preserve">seguro, su aplicación por parte de entidades de régimen especial implica ciertas distinciones en comparación con el régimen de contratación general. </w:t>
            </w:r>
            <w:r w:rsidRPr="00BE4E34">
              <w:rPr>
                <w:rFonts w:ascii="Verdana" w:eastAsia="Calibri" w:hAnsi="Verdana" w:cs="Arial"/>
              </w:rPr>
              <w:t xml:space="preserve">Sobre el particular este establece en su artículo 1077 que le corresponde al asegurado demostrar la ocurrencia del siniestro, así como la cuantía de la pérdida. </w:t>
            </w:r>
            <w:r>
              <w:rPr>
                <w:rFonts w:ascii="Verdana" w:eastAsia="Calibri" w:hAnsi="Verdana" w:cs="Arial"/>
              </w:rPr>
              <w:t>Esto resulta particularmente relevante, considerando que, de acuerdo con lo antes explicado,</w:t>
            </w:r>
            <w:r w:rsidRPr="00BE4E34">
              <w:rPr>
                <w:rFonts w:ascii="Verdana" w:eastAsia="Calibri" w:hAnsi="Verdana" w:cs="Arial"/>
              </w:rPr>
              <w:t xml:space="preserve"> </w:t>
            </w:r>
            <w:r>
              <w:rPr>
                <w:rFonts w:ascii="Verdana" w:eastAsia="Calibri" w:hAnsi="Verdana" w:cs="Arial"/>
              </w:rPr>
              <w:t xml:space="preserve">las entidades estatales de régimen especial no tienen la posibilidad de </w:t>
            </w:r>
            <w:r w:rsidRPr="00BE4E34">
              <w:rPr>
                <w:rFonts w:ascii="Verdana" w:eastAsia="Calibri" w:hAnsi="Verdana" w:cs="Arial"/>
              </w:rPr>
              <w:t xml:space="preserve">expedir actos administrativos </w:t>
            </w:r>
            <w:r>
              <w:rPr>
                <w:rFonts w:ascii="Verdana" w:eastAsia="Calibri" w:hAnsi="Verdana" w:cs="Arial"/>
              </w:rPr>
              <w:t>tendientes</w:t>
            </w:r>
            <w:r w:rsidRPr="00BE4E34">
              <w:rPr>
                <w:rFonts w:ascii="Verdana" w:eastAsia="Calibri" w:hAnsi="Verdana" w:cs="Arial"/>
              </w:rPr>
              <w:t xml:space="preserve"> declarar el incumplimiento</w:t>
            </w:r>
            <w:r>
              <w:rPr>
                <w:rFonts w:ascii="Verdana" w:eastAsia="Calibri" w:hAnsi="Verdana" w:cs="Arial"/>
              </w:rPr>
              <w:t>, materializar el siniestro</w:t>
            </w:r>
            <w:r w:rsidRPr="00BE4E34">
              <w:rPr>
                <w:rFonts w:ascii="Verdana" w:eastAsia="Calibri" w:hAnsi="Verdana" w:cs="Arial"/>
              </w:rPr>
              <w:t xml:space="preserve"> y hacer efectivo el amparo de la póliza del seguro de cumplimiento.</w:t>
            </w:r>
            <w:r>
              <w:rPr>
                <w:rFonts w:ascii="Verdana" w:eastAsia="Calibri" w:hAnsi="Verdana" w:cs="Arial"/>
              </w:rPr>
              <w:t xml:space="preserve"> </w:t>
            </w:r>
          </w:p>
          <w:p w14:paraId="5A4482BA" w14:textId="4E52AEE3" w:rsidR="00C275EA" w:rsidRDefault="00DC73C0" w:rsidP="00F240B3">
            <w:pPr>
              <w:spacing w:before="120" w:line="276" w:lineRule="auto"/>
              <w:ind w:firstLine="708"/>
              <w:jc w:val="both"/>
              <w:rPr>
                <w:rFonts w:ascii="Verdana" w:eastAsia="Calibri" w:hAnsi="Verdana" w:cs="Arial"/>
              </w:rPr>
            </w:pPr>
            <w:r>
              <w:rPr>
                <w:rFonts w:ascii="Verdana" w:eastAsia="Calibri" w:hAnsi="Verdana" w:cs="Arial"/>
              </w:rPr>
              <w:t xml:space="preserve">Por lo tanto, </w:t>
            </w:r>
            <w:r w:rsidRPr="00CB471F">
              <w:rPr>
                <w:rFonts w:ascii="Verdana" w:eastAsia="Calibri" w:hAnsi="Verdana" w:cs="Arial"/>
              </w:rPr>
              <w:t xml:space="preserve">una entidad estatal cuyos actos y contratos se rijan por el derecho privado, deberá realizar las mismas actuaciones que el resto de los sujetos de derecho privado; así, para el caso del contrato de seguros, deberá acudir a la aseguradora </w:t>
            </w:r>
            <w:r>
              <w:rPr>
                <w:rFonts w:ascii="Verdana" w:eastAsia="Calibri" w:hAnsi="Verdana" w:cs="Arial"/>
              </w:rPr>
              <w:t>con el fin de</w:t>
            </w:r>
            <w:r w:rsidRPr="00CB471F">
              <w:rPr>
                <w:rFonts w:ascii="Verdana" w:eastAsia="Calibri" w:hAnsi="Verdana" w:cs="Arial"/>
              </w:rPr>
              <w:t xml:space="preserve"> demostrar la ocurrencia del siniestro y la cuantía de los perjuicios</w:t>
            </w:r>
            <w:r>
              <w:rPr>
                <w:rFonts w:ascii="Verdana" w:eastAsia="Calibri" w:hAnsi="Verdana" w:cs="Arial"/>
              </w:rPr>
              <w:t>.</w:t>
            </w:r>
          </w:p>
          <w:p w14:paraId="4DB2AC24" w14:textId="77777777" w:rsidR="00F240B3" w:rsidRDefault="00F240B3" w:rsidP="00F240B3">
            <w:pPr>
              <w:ind w:firstLine="709"/>
              <w:jc w:val="both"/>
              <w:rPr>
                <w:rFonts w:ascii="Verdana" w:eastAsia="Calibri" w:hAnsi="Verdana" w:cs="Arial"/>
              </w:rPr>
            </w:pPr>
          </w:p>
          <w:p w14:paraId="3676CF9A" w14:textId="77777777" w:rsidR="00A60BF5" w:rsidRPr="005C280F" w:rsidRDefault="00A60BF5" w:rsidP="00A60BF5">
            <w:pPr>
              <w:spacing w:after="120" w:line="276" w:lineRule="auto"/>
              <w:ind w:firstLine="708"/>
              <w:jc w:val="both"/>
              <w:rPr>
                <w:rFonts w:ascii="Verdana" w:eastAsia="Calibri" w:hAnsi="Verdana" w:cs="Arial"/>
              </w:rPr>
            </w:pPr>
            <w:proofErr w:type="spellStart"/>
            <w:r>
              <w:rPr>
                <w:rFonts w:ascii="Verdana" w:eastAsia="Calibri" w:hAnsi="Verdana" w:cs="Arial"/>
              </w:rPr>
              <w:t>iii</w:t>
            </w:r>
            <w:proofErr w:type="spellEnd"/>
            <w:r>
              <w:rPr>
                <w:rFonts w:ascii="Verdana" w:eastAsia="Calibri" w:hAnsi="Verdana" w:cs="Arial"/>
              </w:rPr>
              <w:t xml:space="preserve">) Por último, </w:t>
            </w:r>
            <w:r w:rsidRPr="00BE4E34">
              <w:rPr>
                <w:rFonts w:ascii="Verdana" w:eastAsia="Calibri" w:hAnsi="Verdana" w:cs="Arial"/>
              </w:rPr>
              <w:t>conforme lo establece el artículo 1075 de Código de Comercio, el asegurado o el beneficiario estarán obligados a dar noticia al asegurador de la ocurrencia del siniestro, dentro de los tres días siguientes a la fecha en que lo hayan conocido o debido conocer. La compañía aseguradora podrá tomar a su cargo el cumplimiento del contrato sustituyendo al contratista por otro que d</w:t>
            </w:r>
            <w:r>
              <w:rPr>
                <w:rFonts w:ascii="Verdana" w:eastAsia="Calibri" w:hAnsi="Verdana" w:cs="Arial"/>
              </w:rPr>
              <w:t>é</w:t>
            </w:r>
            <w:r w:rsidRPr="00BE4E34">
              <w:rPr>
                <w:rFonts w:ascii="Verdana" w:eastAsia="Calibri" w:hAnsi="Verdana" w:cs="Arial"/>
              </w:rPr>
              <w:t xml:space="preserve"> cumplimiento a los derechos y obligaciones derivados del contrato asegurado.</w:t>
            </w:r>
            <w:r>
              <w:rPr>
                <w:rFonts w:ascii="Verdana" w:eastAsia="Calibri" w:hAnsi="Verdana" w:cs="Arial"/>
              </w:rPr>
              <w:t xml:space="preserve"> </w:t>
            </w:r>
            <w:r w:rsidRPr="00BE4E34">
              <w:rPr>
                <w:rFonts w:ascii="Verdana" w:eastAsia="Calibri" w:hAnsi="Verdana" w:cs="Arial"/>
              </w:rPr>
              <w:t>En caso de que la reclamación sea objetada por parte de la compañía de seguros, la entidad deberá acudir al juez del contrato mediante la acción de responsabilidad civil contractual contra la contratista, vinculando como tercero civilmente responsable a la aseguradora. De esta manera, en caso de que el contratista sea condenado, el juez podrá ordenar a la aseguradora el pago de los perjuicios hasta el monto pactado como valor asegurado.</w:t>
            </w:r>
          </w:p>
          <w:p w14:paraId="6167116B" w14:textId="3CE86307" w:rsidR="00A60BF5" w:rsidRPr="00A60BF5" w:rsidRDefault="00A60BF5" w:rsidP="00A60BF5">
            <w:pPr>
              <w:spacing w:after="120" w:line="276" w:lineRule="auto"/>
              <w:ind w:firstLine="708"/>
              <w:jc w:val="both"/>
              <w:rPr>
                <w:rFonts w:ascii="Verdana" w:eastAsia="Calibri" w:hAnsi="Verdana" w:cs="Arial"/>
              </w:rPr>
            </w:pPr>
            <w:r>
              <w:rPr>
                <w:rFonts w:ascii="Verdana" w:eastAsia="Calibri" w:hAnsi="Verdana" w:cs="Arial"/>
              </w:rPr>
              <w:t xml:space="preserve">Sin perjuicio de lo anterior, en el marco de la discrecionalidad que les asiste para configurar el contenidas en sus manuales de contratación, los órganos de decisión que al interior de dichas entidades tengan la competencia para establecer el estatuto interno o manual de contratación, pueden optar por establecer mecanismos de cobertura de los riesgos similares a los establecidos por el artículo 7 de la Ley 1150 de 2007 o incorporar los consideren adecuados a los negocios jurídicos que suscriben. De cualquier modo, los mecanismos que adopten deberán necesariamente enmarcarse en </w:t>
            </w:r>
            <w:r>
              <w:rPr>
                <w:rFonts w:ascii="Verdana" w:eastAsia="Calibri" w:hAnsi="Verdana" w:cs="Arial"/>
              </w:rPr>
              <w:lastRenderedPageBreak/>
              <w:t xml:space="preserve">el derecho privado y actuar como particular, lo anterior enmarcado en la autonomía de la voluntad que imprime las cláusulas pactadas en los contratos o convenios a celebrar.   </w:t>
            </w:r>
          </w:p>
        </w:tc>
      </w:tr>
    </w:tbl>
    <w:p w14:paraId="23679A54" w14:textId="30C64B33" w:rsidR="00E11DD9" w:rsidRPr="00395CFB" w:rsidRDefault="00C275EA" w:rsidP="00C275E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lastRenderedPageBreak/>
        <w:t xml:space="preserve">3. </w:t>
      </w:r>
      <w:r w:rsidR="00E11DD9" w:rsidRPr="00F71A6A">
        <w:rPr>
          <w:rFonts w:ascii="Verdana" w:eastAsia="Century Gothic" w:hAnsi="Verdana" w:cs="Century Gothic"/>
          <w:b/>
          <w:bCs/>
        </w:rPr>
        <w:t>Razones de la respuesta:</w:t>
      </w:r>
    </w:p>
    <w:p w14:paraId="58985012" w14:textId="77777777" w:rsidR="00E11DD9" w:rsidRPr="00F71A6A" w:rsidRDefault="00E11DD9" w:rsidP="00E11DD9">
      <w:pPr>
        <w:spacing w:after="0" w:line="276" w:lineRule="auto"/>
        <w:jc w:val="both"/>
        <w:rPr>
          <w:rFonts w:ascii="Verdana" w:eastAsia="Calibri" w:hAnsi="Verdana" w:cs="Arial"/>
          <w:color w:val="7030A0"/>
          <w:lang w:val="es-ES"/>
        </w:rPr>
      </w:pPr>
    </w:p>
    <w:p w14:paraId="6644B9C9" w14:textId="77777777" w:rsidR="00E11DD9" w:rsidRDefault="00E11DD9" w:rsidP="00E11DD9">
      <w:pPr>
        <w:spacing w:after="0" w:line="276" w:lineRule="auto"/>
        <w:jc w:val="both"/>
        <w:rPr>
          <w:rFonts w:ascii="Verdana" w:eastAsia="Calibri" w:hAnsi="Verdana" w:cs="Arial"/>
          <w:lang w:val="es-ES"/>
        </w:rPr>
      </w:pPr>
      <w:r w:rsidRPr="00F71A6A">
        <w:rPr>
          <w:rFonts w:ascii="Verdana" w:eastAsia="Calibri" w:hAnsi="Verdana" w:cs="Arial"/>
          <w:lang w:val="es-ES"/>
        </w:rPr>
        <w:t xml:space="preserve">Lo anterior se sustenta en las siguientes consideraciones: </w:t>
      </w:r>
    </w:p>
    <w:p w14:paraId="7598441C" w14:textId="77777777" w:rsidR="00E11DD9" w:rsidRDefault="00E11DD9" w:rsidP="00E11DD9">
      <w:pPr>
        <w:spacing w:after="0" w:line="276" w:lineRule="auto"/>
        <w:jc w:val="both"/>
        <w:rPr>
          <w:rFonts w:ascii="Verdana" w:eastAsia="Calibri" w:hAnsi="Verdana" w:cs="Arial"/>
          <w:lang w:val="es-ES"/>
        </w:rPr>
      </w:pPr>
    </w:p>
    <w:p w14:paraId="6D79DC2E" w14:textId="77777777" w:rsidR="00E11DD9" w:rsidRDefault="00E11DD9" w:rsidP="00E11DD9">
      <w:pPr>
        <w:tabs>
          <w:tab w:val="left" w:pos="426"/>
        </w:tabs>
        <w:spacing w:line="276" w:lineRule="auto"/>
        <w:ind w:firstLine="425"/>
        <w:jc w:val="both"/>
        <w:rPr>
          <w:rFonts w:ascii="Verdana" w:eastAsia="Century Gothic" w:hAnsi="Verdana" w:cs="Century Gothic"/>
        </w:rPr>
      </w:pPr>
      <w:r>
        <w:rPr>
          <w:rFonts w:ascii="Verdana" w:hAnsi="Verdana" w:cs="Arial"/>
          <w:lang w:val="es-MX"/>
        </w:rPr>
        <w:t xml:space="preserve">El Fondo de Inversión para la paz se creó mediante la Ley 487 de 1998 artículo 8, constituida como una cuenta especial </w:t>
      </w:r>
      <w:r w:rsidRPr="00962765">
        <w:rPr>
          <w:rFonts w:ascii="Verdana" w:eastAsia="Century Gothic" w:hAnsi="Verdana" w:cs="Century Gothic"/>
        </w:rPr>
        <w:t>sin personería jurídica, adscrita a la Presidencia de la República, administrada por un consejo directivo y sujeta a la inspección y vigilancia de una veeduría especial, sin perjuicio de las facultades a cargo de la Contraloría General de la República.</w:t>
      </w:r>
    </w:p>
    <w:p w14:paraId="7700D435" w14:textId="77777777" w:rsidR="00E11DD9" w:rsidRDefault="00E11DD9" w:rsidP="00E11DD9">
      <w:pPr>
        <w:spacing w:after="0" w:line="276" w:lineRule="auto"/>
        <w:ind w:firstLine="709"/>
        <w:jc w:val="both"/>
        <w:rPr>
          <w:rFonts w:ascii="Verdana" w:eastAsia="Century Gothic" w:hAnsi="Verdana" w:cs="Century Gothic"/>
        </w:rPr>
      </w:pPr>
      <w:r>
        <w:rPr>
          <w:rFonts w:ascii="Verdana" w:hAnsi="Verdana" w:cs="Arial"/>
          <w:lang w:val="es-MX"/>
        </w:rPr>
        <w:t xml:space="preserve">En cuanto al régimen contractual, el mismo artículo estipuló que </w:t>
      </w:r>
      <w:r>
        <w:rPr>
          <w:rFonts w:ascii="Verdana" w:hAnsi="Verdana" w:cs="Arial"/>
          <w:i/>
          <w:iCs/>
          <w:lang w:val="es-MX"/>
        </w:rPr>
        <w:t>“</w:t>
      </w:r>
      <w:r w:rsidRPr="00822C74">
        <w:rPr>
          <w:rFonts w:ascii="Verdana" w:eastAsia="Century Gothic" w:hAnsi="Verdana" w:cs="Century Gothic"/>
          <w:i/>
          <w:iCs/>
        </w:rPr>
        <w:t xml:space="preserve">Para el desarrollo de la finalidad del Fondo se podrán crear Fondos Fiduciarios, celebrar contratos de fiducia y encargos fiduciarios, contratos de administración y de mandato y </w:t>
      </w:r>
      <w:proofErr w:type="gramStart"/>
      <w:r w:rsidRPr="00822C74">
        <w:rPr>
          <w:rFonts w:ascii="Verdana" w:eastAsia="Century Gothic" w:hAnsi="Verdana" w:cs="Century Gothic"/>
          <w:i/>
          <w:iCs/>
        </w:rPr>
        <w:t>la demás clases</w:t>
      </w:r>
      <w:proofErr w:type="gramEnd"/>
      <w:r w:rsidRPr="00822C74">
        <w:rPr>
          <w:rFonts w:ascii="Verdana" w:eastAsia="Century Gothic" w:hAnsi="Verdana" w:cs="Century Gothic"/>
          <w:i/>
          <w:iCs/>
        </w:rPr>
        <w:t xml:space="preserve"> de negocios jurídicos que sean necesarios. Para todos los efectos, </w:t>
      </w:r>
      <w:bookmarkStart w:id="4" w:name="_Hlk195551101"/>
      <w:r w:rsidRPr="00822C74">
        <w:rPr>
          <w:rFonts w:ascii="Verdana" w:eastAsia="Century Gothic" w:hAnsi="Verdana" w:cs="Century Gothic"/>
          <w:i/>
          <w:iCs/>
        </w:rPr>
        <w:t xml:space="preserve">los contratos que se celebren en relación con el Fondo, para arbitrar recursos o para la ejecución o inversión de </w:t>
      </w:r>
      <w:proofErr w:type="gramStart"/>
      <w:r w:rsidRPr="00822C74">
        <w:rPr>
          <w:rFonts w:ascii="Verdana" w:eastAsia="Century Gothic" w:hAnsi="Verdana" w:cs="Century Gothic"/>
          <w:i/>
          <w:iCs/>
        </w:rPr>
        <w:t>los mismos</w:t>
      </w:r>
      <w:proofErr w:type="gramEnd"/>
      <w:r w:rsidRPr="00822C74">
        <w:rPr>
          <w:rFonts w:ascii="Verdana" w:eastAsia="Century Gothic" w:hAnsi="Verdana" w:cs="Century Gothic"/>
          <w:i/>
          <w:iCs/>
        </w:rPr>
        <w:t xml:space="preserve"> se regirán por las reglas del derecho privado</w:t>
      </w:r>
      <w:bookmarkEnd w:id="4"/>
      <w:r>
        <w:rPr>
          <w:rFonts w:ascii="Verdana" w:eastAsia="Century Gothic" w:hAnsi="Verdana" w:cs="Century Gothic"/>
          <w:i/>
          <w:iCs/>
        </w:rPr>
        <w:t>”</w:t>
      </w:r>
      <w:r w:rsidRPr="00962765">
        <w:rPr>
          <w:rFonts w:ascii="Verdana" w:eastAsia="Century Gothic" w:hAnsi="Verdana" w:cs="Century Gothic"/>
          <w:i/>
          <w:iCs/>
        </w:rPr>
        <w:t>.</w:t>
      </w:r>
    </w:p>
    <w:p w14:paraId="75D9ED10" w14:textId="77777777" w:rsidR="00E11DD9" w:rsidRDefault="00E11DD9" w:rsidP="00E11DD9">
      <w:pPr>
        <w:spacing w:after="0" w:line="276" w:lineRule="auto"/>
        <w:ind w:firstLine="709"/>
        <w:jc w:val="both"/>
        <w:rPr>
          <w:rFonts w:ascii="Verdana" w:eastAsia="Century Gothic" w:hAnsi="Verdana" w:cs="Century Gothic"/>
        </w:rPr>
      </w:pPr>
    </w:p>
    <w:p w14:paraId="446869BC" w14:textId="77777777" w:rsidR="00E11DD9" w:rsidRPr="00D81043" w:rsidRDefault="00E11DD9" w:rsidP="00E11DD9">
      <w:pPr>
        <w:spacing w:after="0" w:line="276" w:lineRule="auto"/>
        <w:ind w:firstLine="709"/>
        <w:jc w:val="both"/>
        <w:rPr>
          <w:rFonts w:ascii="Verdana" w:eastAsia="Century Gothic" w:hAnsi="Verdana" w:cs="Century Gothic"/>
        </w:rPr>
      </w:pPr>
      <w:r>
        <w:rPr>
          <w:rFonts w:ascii="Verdana" w:eastAsia="Century Gothic" w:hAnsi="Verdana" w:cs="Century Gothic"/>
        </w:rPr>
        <w:t>Posteriormente, el Decreto 1812 de 2000 en su artículo 2 reiteró el carácter de ser una cuenta especial, sin personería jurídica a cargo del Departamento</w:t>
      </w:r>
      <w:r w:rsidRPr="00D81043">
        <w:rPr>
          <w:rFonts w:ascii="Verdana" w:eastAsia="Century Gothic" w:hAnsi="Verdana" w:cs="Century Gothic"/>
        </w:rPr>
        <w:t xml:space="preserve"> Administrativo de la Presidencia de la República</w:t>
      </w:r>
      <w:r>
        <w:rPr>
          <w:rFonts w:ascii="Verdana" w:eastAsia="Century Gothic" w:hAnsi="Verdana" w:cs="Century Gothic"/>
        </w:rPr>
        <w:t xml:space="preserve"> y del consejo directivo, en coordinación con el Departamento Nacional de Planeación</w:t>
      </w:r>
      <w:r w:rsidRPr="00D81043">
        <w:rPr>
          <w:rFonts w:ascii="Verdana" w:eastAsia="Century Gothic" w:hAnsi="Verdana" w:cs="Century Gothic"/>
        </w:rPr>
        <w:t>, que se administrará como un sistema separado de cuentas. </w:t>
      </w:r>
    </w:p>
    <w:p w14:paraId="74AD32ED" w14:textId="77777777" w:rsidR="00E11DD9" w:rsidRDefault="00E11DD9" w:rsidP="00E11DD9">
      <w:pPr>
        <w:spacing w:after="0" w:line="276" w:lineRule="auto"/>
        <w:ind w:firstLine="709"/>
        <w:jc w:val="both"/>
        <w:rPr>
          <w:rFonts w:ascii="Verdana" w:eastAsia="Century Gothic" w:hAnsi="Verdana" w:cs="Century Gothic"/>
        </w:rPr>
      </w:pPr>
    </w:p>
    <w:p w14:paraId="3387A1F0" w14:textId="77777777" w:rsidR="00E11DD9" w:rsidRPr="00D81043" w:rsidRDefault="00E11DD9" w:rsidP="00E11DD9">
      <w:pPr>
        <w:ind w:firstLine="709"/>
        <w:jc w:val="both"/>
        <w:rPr>
          <w:rFonts w:ascii="Verdana" w:hAnsi="Verdana"/>
        </w:rPr>
      </w:pPr>
      <w:r>
        <w:rPr>
          <w:rFonts w:ascii="Verdana" w:hAnsi="Verdana" w:cs="Arial"/>
          <w:lang w:val="es-MX"/>
        </w:rPr>
        <w:t xml:space="preserve">El artículo 10 dispuso que </w:t>
      </w:r>
      <w:r w:rsidRPr="00D81043">
        <w:rPr>
          <w:rFonts w:ascii="Verdana" w:hAnsi="Verdana"/>
        </w:rPr>
        <w:t xml:space="preserve">los contratos que se celebren para el funcionamiento del Fondo para arbitrar recursos o para la ejecución o inversión de </w:t>
      </w:r>
      <w:proofErr w:type="gramStart"/>
      <w:r w:rsidRPr="00D81043">
        <w:rPr>
          <w:rFonts w:ascii="Verdana" w:hAnsi="Verdana"/>
        </w:rPr>
        <w:t>los mismos</w:t>
      </w:r>
      <w:proofErr w:type="gramEnd"/>
      <w:r w:rsidRPr="00D81043">
        <w:rPr>
          <w:rFonts w:ascii="Verdana" w:hAnsi="Verdana"/>
        </w:rPr>
        <w:t>, se regirán por las reglas de derecho privado, sin perjuicio del deber de selección objetiva de los contratistas y del ejercicio del control por parte de las autoridades competentes del comportamiento de los servidores públicos que hayan intervenido en la celebración y ejecución de los contratos. </w:t>
      </w:r>
    </w:p>
    <w:p w14:paraId="3FA0916B" w14:textId="369BE7D8" w:rsidR="00276F03" w:rsidRPr="00276F03" w:rsidRDefault="00E11DD9" w:rsidP="00276F03">
      <w:pPr>
        <w:ind w:firstLine="709"/>
        <w:jc w:val="both"/>
      </w:pPr>
      <w:r>
        <w:rPr>
          <w:rFonts w:ascii="Verdana" w:hAnsi="Verdana"/>
        </w:rPr>
        <w:t xml:space="preserve">Ahora bien, mediante el Decreto 2467 de 2005 </w:t>
      </w:r>
      <w:r w:rsidRPr="006F2425">
        <w:rPr>
          <w:rFonts w:ascii="Verdana" w:hAnsi="Verdana"/>
        </w:rPr>
        <w:t xml:space="preserve">se fusionó la Agencia Colombiana para la Cooperación Internacional –ACCI a la Red de Solidaridad el Fondo de Inversión para la Paz –FIP, se adscribió a la nueva entidad con el objeto </w:t>
      </w:r>
      <w:r>
        <w:rPr>
          <w:rFonts w:ascii="Verdana" w:hAnsi="Verdana"/>
        </w:rPr>
        <w:t>dispuesto en el artículo 30 al determinar que e</w:t>
      </w:r>
      <w:r w:rsidRPr="006F2425">
        <w:rPr>
          <w:rFonts w:ascii="Verdana" w:hAnsi="Verdana"/>
        </w:rPr>
        <w:t xml:space="preserve">l Fondo de Inversión para la Paz, </w:t>
      </w:r>
      <w:r w:rsidRPr="006F2425">
        <w:rPr>
          <w:rFonts w:ascii="Verdana" w:hAnsi="Verdana"/>
        </w:rPr>
        <w:lastRenderedPageBreak/>
        <w:t>FIP, creado mediante la Ley 487 de 1998, se adscribe como una cuenta especial, sin personería jurídica, que se administrará como un sistema separado de cuentas, a la Agencia Presidencial para la Acción Social y la Cooperación Internacional, Acción Social, con el objeto de financiar y cofinanciar, los programas y proyectos estructurados para la obtención de la paz en el país, administrado por el consejo directivo y sujeta a la inspección y vigilancia de una veeduría especial, sin perjuicio de las facultades a cargo de la Contralorí</w:t>
      </w:r>
      <w:r>
        <w:rPr>
          <w:rFonts w:ascii="Verdana" w:hAnsi="Verdana"/>
        </w:rPr>
        <w:t xml:space="preserve">a </w:t>
      </w:r>
      <w:r w:rsidRPr="006F2425">
        <w:rPr>
          <w:rFonts w:ascii="Verdana" w:hAnsi="Verdana"/>
        </w:rPr>
        <w:t>General de la República</w:t>
      </w:r>
      <w:r w:rsidR="00276F03">
        <w:rPr>
          <w:rFonts w:ascii="Verdana" w:hAnsi="Verdana"/>
        </w:rPr>
        <w:t>.</w:t>
      </w:r>
      <w:r w:rsidR="00276F03">
        <w:t xml:space="preserve"> </w:t>
      </w:r>
    </w:p>
    <w:p w14:paraId="7021C01C" w14:textId="77777777" w:rsidR="00E11DD9" w:rsidRPr="006F2425" w:rsidRDefault="00E11DD9" w:rsidP="00E11DD9">
      <w:pPr>
        <w:ind w:firstLine="709"/>
        <w:jc w:val="both"/>
        <w:rPr>
          <w:rFonts w:ascii="Verdana" w:hAnsi="Verdana"/>
        </w:rPr>
      </w:pPr>
      <w:bookmarkStart w:id="5" w:name="31"/>
      <w:r w:rsidRPr="00C25ED1">
        <w:rPr>
          <w:rFonts w:ascii="Verdana" w:hAnsi="Verdana"/>
        </w:rPr>
        <w:t>Por su parte, el artículo 31</w:t>
      </w:r>
      <w:r>
        <w:rPr>
          <w:rFonts w:ascii="Verdana" w:hAnsi="Verdana"/>
        </w:rPr>
        <w:t xml:space="preserve"> reiteró el régimen de derecho privado </w:t>
      </w:r>
      <w:bookmarkEnd w:id="5"/>
      <w:r>
        <w:rPr>
          <w:rFonts w:ascii="Verdana" w:hAnsi="Verdana"/>
        </w:rPr>
        <w:t xml:space="preserve">de </w:t>
      </w:r>
      <w:r w:rsidRPr="006F2425">
        <w:rPr>
          <w:rFonts w:ascii="Verdana" w:hAnsi="Verdana"/>
        </w:rPr>
        <w:t xml:space="preserve">los contratos que se celebren para el funcionamiento del Fondo para arbitrar recursos o para la ejecución o inversión de </w:t>
      </w:r>
      <w:proofErr w:type="gramStart"/>
      <w:r w:rsidRPr="006F2425">
        <w:rPr>
          <w:rFonts w:ascii="Verdana" w:hAnsi="Verdana"/>
        </w:rPr>
        <w:t>los mismos</w:t>
      </w:r>
      <w:proofErr w:type="gramEnd"/>
      <w:r w:rsidRPr="006F2425">
        <w:rPr>
          <w:rFonts w:ascii="Verdana" w:hAnsi="Verdana"/>
        </w:rPr>
        <w:t>,</w:t>
      </w:r>
      <w:r>
        <w:rPr>
          <w:rFonts w:ascii="Verdana" w:hAnsi="Verdana"/>
        </w:rPr>
        <w:t xml:space="preserve"> </w:t>
      </w:r>
      <w:r w:rsidRPr="006F2425">
        <w:rPr>
          <w:rFonts w:ascii="Verdana" w:hAnsi="Verdana"/>
        </w:rPr>
        <w:t>sin perjuicio del deber de selección objetiva de los contratistas y del ejercicio del control por parte de las autoridades competentes del comportamiento de los servidores públicos que hayan intervenido en la celebración y ejecución de los contratos.</w:t>
      </w:r>
    </w:p>
    <w:p w14:paraId="59D3ED94" w14:textId="77777777" w:rsidR="00E11DD9" w:rsidRPr="00C25ED1" w:rsidRDefault="00E11DD9" w:rsidP="00E11DD9">
      <w:pPr>
        <w:ind w:firstLine="709"/>
        <w:jc w:val="both"/>
        <w:rPr>
          <w:rFonts w:ascii="Verdana" w:hAnsi="Verdana"/>
        </w:rPr>
      </w:pPr>
      <w:r>
        <w:rPr>
          <w:rFonts w:ascii="Verdana" w:hAnsi="Verdana"/>
        </w:rPr>
        <w:t>Posteriormente, a través del Decreto 4155 de 2011 artículo 29 se transformó la</w:t>
      </w:r>
      <w:r w:rsidRPr="006F2425">
        <w:rPr>
          <w:rFonts w:ascii="Verdana" w:hAnsi="Verdana"/>
        </w:rPr>
        <w:t xml:space="preserve"> Agencia Presidencial para la Acción Social y la Cooperación Internacional (Acción Social) en </w:t>
      </w:r>
      <w:r>
        <w:rPr>
          <w:rFonts w:ascii="Verdana" w:hAnsi="Verdana"/>
        </w:rPr>
        <w:t xml:space="preserve">el </w:t>
      </w:r>
      <w:r w:rsidRPr="006F2425">
        <w:rPr>
          <w:rFonts w:ascii="Verdana" w:hAnsi="Verdana"/>
        </w:rPr>
        <w:t>Departamento Administrativo para la Prosperidad Social, perteneciente al Sector Administrativo de Inclusión Social y Reconciliación</w:t>
      </w:r>
      <w:r>
        <w:rPr>
          <w:rFonts w:ascii="Verdana" w:hAnsi="Verdana"/>
        </w:rPr>
        <w:t xml:space="preserve">. Dicha entidad administrará el Fondo de Inversión para la Paz que contiene las mismas características ya definidas en la Ley 487 de 1998. </w:t>
      </w:r>
    </w:p>
    <w:p w14:paraId="324E26E6" w14:textId="77777777" w:rsidR="00E11DD9" w:rsidRDefault="00E11DD9" w:rsidP="00E11DD9">
      <w:pPr>
        <w:ind w:firstLine="709"/>
        <w:jc w:val="both"/>
        <w:rPr>
          <w:rFonts w:ascii="Verdana" w:hAnsi="Verdana"/>
        </w:rPr>
      </w:pPr>
      <w:r>
        <w:rPr>
          <w:rFonts w:ascii="Verdana" w:hAnsi="Verdana"/>
        </w:rPr>
        <w:t xml:space="preserve">Por último, </w:t>
      </w:r>
      <w:r w:rsidRPr="00C25ED1">
        <w:rPr>
          <w:rFonts w:ascii="Verdana" w:hAnsi="Verdana"/>
        </w:rPr>
        <w:t xml:space="preserve">el </w:t>
      </w:r>
      <w:r>
        <w:rPr>
          <w:rFonts w:ascii="Verdana" w:hAnsi="Verdana"/>
        </w:rPr>
        <w:t>D</w:t>
      </w:r>
      <w:r w:rsidRPr="00C25ED1">
        <w:rPr>
          <w:rFonts w:ascii="Verdana" w:hAnsi="Verdana"/>
        </w:rPr>
        <w:t xml:space="preserve">ecreto </w:t>
      </w:r>
      <w:r>
        <w:rPr>
          <w:rFonts w:ascii="Verdana" w:hAnsi="Verdana"/>
        </w:rPr>
        <w:t xml:space="preserve">2094 de 2016 artículo 31 mantuvo las características del Fondo de Inversión para la Paz.  </w:t>
      </w:r>
    </w:p>
    <w:p w14:paraId="7B37211D" w14:textId="77777777" w:rsidR="00E11DD9" w:rsidRDefault="00E11DD9" w:rsidP="00E11DD9">
      <w:pPr>
        <w:ind w:firstLine="709"/>
        <w:jc w:val="both"/>
        <w:rPr>
          <w:rFonts w:ascii="Verdana" w:hAnsi="Verdana"/>
        </w:rPr>
      </w:pPr>
      <w:r>
        <w:rPr>
          <w:rFonts w:ascii="Verdana" w:hAnsi="Verdana"/>
        </w:rPr>
        <w:t xml:space="preserve">De conformidad con lo anterior, resulta importante resaltar varias características del Fondo de Inversión para la Paz, así: </w:t>
      </w:r>
    </w:p>
    <w:p w14:paraId="0CFE5464" w14:textId="77777777" w:rsidR="00E11DD9" w:rsidRDefault="00E11DD9" w:rsidP="00E11DD9">
      <w:pPr>
        <w:pStyle w:val="Prrafodelista"/>
        <w:numPr>
          <w:ilvl w:val="0"/>
          <w:numId w:val="19"/>
        </w:numPr>
        <w:jc w:val="both"/>
        <w:rPr>
          <w:rFonts w:ascii="Verdana" w:hAnsi="Verdana"/>
        </w:rPr>
      </w:pPr>
      <w:r>
        <w:rPr>
          <w:rFonts w:ascii="Verdana" w:hAnsi="Verdana"/>
        </w:rPr>
        <w:t xml:space="preserve">Se trata de una cuenta especial sin personería jurídica administrada actualmente por el </w:t>
      </w:r>
      <w:r w:rsidRPr="006F2425">
        <w:rPr>
          <w:rFonts w:ascii="Verdana" w:hAnsi="Verdana"/>
        </w:rPr>
        <w:t>Departamento Administrativo para la Prosperidad Social</w:t>
      </w:r>
      <w:r>
        <w:rPr>
          <w:rFonts w:ascii="Verdana" w:hAnsi="Verdana"/>
        </w:rPr>
        <w:t xml:space="preserve">. </w:t>
      </w:r>
    </w:p>
    <w:p w14:paraId="13F847BD" w14:textId="77777777" w:rsidR="00E11DD9" w:rsidRDefault="00E11DD9" w:rsidP="00E11DD9">
      <w:pPr>
        <w:pStyle w:val="Prrafodelista"/>
        <w:numPr>
          <w:ilvl w:val="0"/>
          <w:numId w:val="19"/>
        </w:numPr>
        <w:jc w:val="both"/>
        <w:rPr>
          <w:rFonts w:ascii="Verdana" w:hAnsi="Verdana"/>
        </w:rPr>
      </w:pPr>
      <w:r>
        <w:rPr>
          <w:rFonts w:ascii="Verdana" w:hAnsi="Verdana"/>
        </w:rPr>
        <w:t xml:space="preserve">Le será aplicado el Estatuto orgánico del sistema financiero. </w:t>
      </w:r>
    </w:p>
    <w:p w14:paraId="36E4D51C" w14:textId="77777777" w:rsidR="00E11DD9" w:rsidRPr="00F25457" w:rsidRDefault="00E11DD9" w:rsidP="00E11DD9">
      <w:pPr>
        <w:pStyle w:val="Prrafodelista"/>
        <w:numPr>
          <w:ilvl w:val="0"/>
          <w:numId w:val="19"/>
        </w:numPr>
        <w:jc w:val="both"/>
        <w:rPr>
          <w:rFonts w:ascii="Verdana" w:hAnsi="Verdana"/>
        </w:rPr>
      </w:pPr>
      <w:r>
        <w:rPr>
          <w:rFonts w:ascii="Verdana" w:eastAsia="Century Gothic" w:hAnsi="Verdana" w:cs="Century Gothic"/>
        </w:rPr>
        <w:t xml:space="preserve">Está sujeta </w:t>
      </w:r>
      <w:r w:rsidRPr="00962765">
        <w:rPr>
          <w:rFonts w:ascii="Verdana" w:eastAsia="Century Gothic" w:hAnsi="Verdana" w:cs="Century Gothic"/>
        </w:rPr>
        <w:t>a la inspección y vigilancia de una veeduría especial</w:t>
      </w:r>
      <w:r>
        <w:rPr>
          <w:rFonts w:ascii="Verdana" w:eastAsia="Century Gothic" w:hAnsi="Verdana" w:cs="Century Gothic"/>
        </w:rPr>
        <w:t>.</w:t>
      </w:r>
    </w:p>
    <w:p w14:paraId="03D05689" w14:textId="77777777" w:rsidR="00E11DD9" w:rsidRPr="00F25457" w:rsidRDefault="00E11DD9" w:rsidP="00E11DD9">
      <w:pPr>
        <w:pStyle w:val="Prrafodelista"/>
        <w:numPr>
          <w:ilvl w:val="0"/>
          <w:numId w:val="19"/>
        </w:numPr>
        <w:jc w:val="both"/>
        <w:rPr>
          <w:rFonts w:ascii="Verdana" w:hAnsi="Verdana"/>
        </w:rPr>
      </w:pPr>
      <w:r>
        <w:rPr>
          <w:rFonts w:ascii="Verdana" w:eastAsia="Century Gothic" w:hAnsi="Verdana" w:cs="Century Gothic"/>
        </w:rPr>
        <w:t xml:space="preserve">La Contraloría General de la República tiene facultades para la vigilancia de los recursos de dicha cuenta especial. </w:t>
      </w:r>
    </w:p>
    <w:p w14:paraId="6A94848F" w14:textId="77777777" w:rsidR="00E11DD9" w:rsidRDefault="00E11DD9" w:rsidP="00E11DD9">
      <w:pPr>
        <w:pStyle w:val="Prrafodelista"/>
        <w:numPr>
          <w:ilvl w:val="0"/>
          <w:numId w:val="19"/>
        </w:numPr>
        <w:jc w:val="both"/>
        <w:rPr>
          <w:rFonts w:ascii="Verdana" w:hAnsi="Verdana"/>
        </w:rPr>
      </w:pPr>
      <w:r>
        <w:rPr>
          <w:rFonts w:ascii="Verdana" w:hAnsi="Verdana"/>
        </w:rPr>
        <w:t xml:space="preserve">En cuanto a </w:t>
      </w:r>
      <w:r w:rsidRPr="00D81043">
        <w:rPr>
          <w:rFonts w:ascii="Verdana" w:hAnsi="Verdana"/>
        </w:rPr>
        <w:t xml:space="preserve">los contratos que se celebren para el funcionamiento del Fondo para arbitrar recursos o para la ejecución o inversión de </w:t>
      </w:r>
      <w:proofErr w:type="gramStart"/>
      <w:r w:rsidRPr="00D81043">
        <w:rPr>
          <w:rFonts w:ascii="Verdana" w:hAnsi="Verdana"/>
        </w:rPr>
        <w:t>los mismos</w:t>
      </w:r>
      <w:proofErr w:type="gramEnd"/>
      <w:r w:rsidRPr="00D81043">
        <w:rPr>
          <w:rFonts w:ascii="Verdana" w:hAnsi="Verdana"/>
        </w:rPr>
        <w:t xml:space="preserve">, se regirán por las reglas de derecho privado, sin perjuicio del deber de selección objetiva de los contratistas y del ejercicio del control por parte de las autoridades competentes del comportamiento de los </w:t>
      </w:r>
      <w:r w:rsidRPr="00D81043">
        <w:rPr>
          <w:rFonts w:ascii="Verdana" w:hAnsi="Verdana"/>
        </w:rPr>
        <w:lastRenderedPageBreak/>
        <w:t>servidores públicos que hayan intervenido en la celebración y ejecución de los contratos. </w:t>
      </w:r>
    </w:p>
    <w:p w14:paraId="5EAE4407" w14:textId="30EF703C" w:rsidR="00E11DD9" w:rsidRPr="00C47EB4" w:rsidRDefault="00E11DD9" w:rsidP="00E11DD9">
      <w:pPr>
        <w:pStyle w:val="Prrafodelista"/>
        <w:numPr>
          <w:ilvl w:val="0"/>
          <w:numId w:val="19"/>
        </w:numPr>
        <w:jc w:val="both"/>
        <w:rPr>
          <w:rFonts w:ascii="Verdana" w:hAnsi="Verdana"/>
        </w:rPr>
      </w:pPr>
      <w:r w:rsidRPr="006F106D">
        <w:rPr>
          <w:rFonts w:ascii="Verdana" w:hAnsi="Verdana"/>
        </w:rPr>
        <w:t>Se trata entonces de un régimen especial de contratación distinto a lo establecido en el EG</w:t>
      </w:r>
      <w:r w:rsidR="00F57AB4">
        <w:rPr>
          <w:rFonts w:ascii="Verdana" w:hAnsi="Verdana"/>
        </w:rPr>
        <w:t>C</w:t>
      </w:r>
      <w:r w:rsidRPr="006F106D">
        <w:rPr>
          <w:rFonts w:ascii="Verdana" w:hAnsi="Verdana"/>
        </w:rPr>
        <w:t>P o normas que lo modifiquen. Pese a lo anterior deberán aplicar a sus procesos de contratación el principio de selección objetiva como eje rector</w:t>
      </w:r>
      <w:r>
        <w:rPr>
          <w:rFonts w:ascii="Verdana" w:hAnsi="Verdana"/>
        </w:rPr>
        <w:t xml:space="preserve"> de los contratos a celebrar. </w:t>
      </w:r>
    </w:p>
    <w:p w14:paraId="5E74B7D4" w14:textId="77777777" w:rsidR="00E11DD9" w:rsidRPr="00C47EB4" w:rsidRDefault="00E11DD9" w:rsidP="00E11DD9">
      <w:pPr>
        <w:tabs>
          <w:tab w:val="left" w:pos="426"/>
        </w:tabs>
        <w:spacing w:line="276" w:lineRule="auto"/>
        <w:ind w:firstLine="425"/>
        <w:jc w:val="both"/>
        <w:rPr>
          <w:rFonts w:ascii="Verdana" w:eastAsia="Calibri" w:hAnsi="Verdana" w:cs="Arial"/>
          <w:b/>
          <w:color w:val="000000" w:themeColor="text1"/>
          <w:lang w:val="es-ES_tradnl"/>
        </w:rPr>
      </w:pPr>
      <w:r>
        <w:rPr>
          <w:rFonts w:ascii="Verdana" w:hAnsi="Verdana" w:cs="Arial"/>
          <w:lang w:val="es-MX"/>
        </w:rPr>
        <w:t>i) Para resolver el primer problema jurídico, debe sostenerse que l</w:t>
      </w:r>
      <w:r w:rsidRPr="00C47EB4">
        <w:rPr>
          <w:rFonts w:ascii="Verdana" w:hAnsi="Verdana" w:cs="Arial"/>
          <w:lang w:val="es-MX"/>
        </w:rPr>
        <w:t>as</w:t>
      </w:r>
      <w:r w:rsidRPr="00C47EB4">
        <w:rPr>
          <w:rFonts w:ascii="Verdana" w:eastAsia="Calibri" w:hAnsi="Verdana" w:cs="Arial"/>
          <w:color w:val="000000" w:themeColor="text1"/>
          <w:lang w:val="es-ES_tradnl"/>
        </w:rPr>
        <w:t xml:space="preserve">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3EBD2073" w14:textId="77777777" w:rsidR="00E11DD9" w:rsidRPr="00CC7195" w:rsidRDefault="00E11DD9" w:rsidP="00E11DD9">
      <w:pPr>
        <w:spacing w:before="120" w:after="120" w:line="276" w:lineRule="auto"/>
        <w:ind w:firstLine="709"/>
        <w:jc w:val="both"/>
        <w:rPr>
          <w:rFonts w:ascii="Verdana" w:eastAsia="Calibri" w:hAnsi="Verdana" w:cs="Arial"/>
          <w:color w:val="000000" w:themeColor="text1"/>
          <w:lang w:val="es-ES"/>
        </w:rPr>
      </w:pPr>
      <w:r w:rsidRPr="3957B322">
        <w:rPr>
          <w:rFonts w:ascii="Verdana" w:eastAsia="Calibri" w:hAnsi="Verdana" w:cs="Arial"/>
          <w:color w:val="000000" w:themeColor="text1"/>
          <w:lang w:val="es-ES"/>
        </w:rPr>
        <w:t>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3957B322">
        <w:rPr>
          <w:rStyle w:val="Refdenotaalpie"/>
          <w:rFonts w:ascii="Verdana" w:eastAsia="Calibri" w:hAnsi="Verdana" w:cs="Arial"/>
          <w:color w:val="000000" w:themeColor="text1"/>
          <w:lang w:val="es-ES"/>
        </w:rPr>
        <w:footnoteReference w:id="2"/>
      </w:r>
      <w:r w:rsidRPr="3957B322">
        <w:rPr>
          <w:rFonts w:ascii="Verdana" w:eastAsia="Calibri" w:hAnsi="Verdana" w:cs="Arial"/>
          <w:color w:val="000000" w:themeColor="text1"/>
          <w:lang w:val="es-ES"/>
        </w:rPr>
        <w:t>.</w:t>
      </w:r>
    </w:p>
    <w:p w14:paraId="7892ACD9" w14:textId="77777777" w:rsidR="00E11DD9" w:rsidRPr="00CC7195" w:rsidRDefault="00E11DD9" w:rsidP="00E11DD9">
      <w:pPr>
        <w:spacing w:line="276" w:lineRule="auto"/>
        <w:ind w:firstLine="709"/>
        <w:jc w:val="both"/>
        <w:rPr>
          <w:rFonts w:ascii="Verdana" w:eastAsia="Calibri" w:hAnsi="Verdana" w:cs="Arial"/>
          <w:color w:val="000000" w:themeColor="text1"/>
          <w:lang w:val="es-ES_tradnl"/>
        </w:rPr>
      </w:pPr>
      <w:r w:rsidRPr="00CC7195">
        <w:rPr>
          <w:rFonts w:ascii="Verdana" w:eastAsia="Calibri" w:hAnsi="Verdana" w:cs="Arial"/>
          <w:color w:val="000000" w:themeColor="text1"/>
          <w:lang w:val="es-ES_tradnl"/>
        </w:rPr>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como el régimen de inhabilidades e incompatibilidades previsto para la contratación estatal. Lo anterior es reafirmado por el Consejo de Estado, que destaca las reglas que sigue la contratación de las entidades de régimen especial:</w:t>
      </w:r>
    </w:p>
    <w:p w14:paraId="2DFDEF34" w14:textId="77777777" w:rsidR="00E11DD9" w:rsidRPr="003E2347" w:rsidRDefault="00E11DD9" w:rsidP="00E11DD9">
      <w:pPr>
        <w:spacing w:line="240" w:lineRule="auto"/>
        <w:ind w:left="709" w:right="709"/>
        <w:jc w:val="both"/>
        <w:rPr>
          <w:rFonts w:ascii="Verdana" w:eastAsia="Calibri" w:hAnsi="Verdana" w:cs="Arial"/>
          <w:color w:val="000000" w:themeColor="text1"/>
          <w:sz w:val="20"/>
          <w:szCs w:val="20"/>
          <w:lang w:val="es-ES_tradnl"/>
        </w:rPr>
      </w:pPr>
      <w:r w:rsidRPr="003E2347">
        <w:rPr>
          <w:rFonts w:ascii="Verdana" w:eastAsia="Calibri" w:hAnsi="Verdana" w:cs="Arial"/>
          <w:color w:val="000000" w:themeColor="text1"/>
          <w:sz w:val="20"/>
          <w:szCs w:val="20"/>
          <w:lang w:val="es-ES_tradnl"/>
        </w:rPr>
        <w:t xml:space="preserve">“[...]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w:t>
      </w:r>
      <w:r w:rsidRPr="003E2347">
        <w:rPr>
          <w:rFonts w:ascii="Verdana" w:eastAsia="Calibri" w:hAnsi="Verdana" w:cs="Arial"/>
          <w:color w:val="000000" w:themeColor="text1"/>
          <w:sz w:val="20"/>
          <w:szCs w:val="20"/>
          <w:lang w:val="es-ES_tradnl"/>
        </w:rPr>
        <w:lastRenderedPageBreak/>
        <w:t>gestión fiscal —pero no a la Ley 80 de 1993, con sus reglas particulares—, que inspiran al régimen anterior con valores propios del derecho público.</w:t>
      </w:r>
    </w:p>
    <w:p w14:paraId="01CE66CD" w14:textId="77777777" w:rsidR="00E11DD9" w:rsidRPr="003E2347" w:rsidRDefault="00E11DD9" w:rsidP="00E11DD9">
      <w:pPr>
        <w:spacing w:line="240" w:lineRule="auto"/>
        <w:ind w:left="709" w:right="709"/>
        <w:jc w:val="both"/>
        <w:rPr>
          <w:rFonts w:ascii="Verdana" w:eastAsia="Calibri" w:hAnsi="Verdana" w:cs="Arial"/>
          <w:color w:val="000000" w:themeColor="text1"/>
          <w:sz w:val="20"/>
          <w:szCs w:val="20"/>
          <w:lang w:val="es-ES"/>
        </w:rPr>
      </w:pPr>
      <w:r w:rsidRPr="003E2347">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w:t>
      </w:r>
      <w:proofErr w:type="gramStart"/>
      <w:r w:rsidRPr="003E2347">
        <w:rPr>
          <w:rFonts w:ascii="Verdana" w:eastAsia="Calibri" w:hAnsi="Verdana" w:cs="Arial"/>
          <w:color w:val="000000" w:themeColor="text1"/>
          <w:sz w:val="20"/>
          <w:szCs w:val="20"/>
          <w:lang w:val="es-ES"/>
        </w:rPr>
        <w:t>interpretar</w:t>
      </w:r>
      <w:proofErr w:type="gramEnd"/>
      <w:r w:rsidRPr="003E2347">
        <w:rPr>
          <w:rFonts w:ascii="Verdana" w:eastAsia="Calibri" w:hAnsi="Verdana" w:cs="Arial"/>
          <w:color w:val="000000" w:themeColor="text1"/>
          <w:sz w:val="20"/>
          <w:szCs w:val="20"/>
          <w:lang w:val="es-ES"/>
        </w:rPr>
        <w:t xml:space="preserve"> pero también transforma parte de esas instituciones, porque se suma a ellas, lo que no siempre se logra conservando intacta la institución privada sino introduciéndole modificaciones. </w:t>
      </w:r>
    </w:p>
    <w:p w14:paraId="664A6FD5" w14:textId="77777777" w:rsidR="00E11DD9" w:rsidRPr="003E2347" w:rsidRDefault="00E11DD9" w:rsidP="00E11DD9">
      <w:pPr>
        <w:spacing w:line="240" w:lineRule="auto"/>
        <w:ind w:left="709" w:right="709"/>
        <w:jc w:val="both"/>
        <w:rPr>
          <w:rFonts w:ascii="Verdana" w:eastAsia="Calibri" w:hAnsi="Verdana" w:cs="Arial"/>
          <w:color w:val="000000" w:themeColor="text1"/>
          <w:sz w:val="20"/>
          <w:szCs w:val="20"/>
          <w:lang w:val="es-ES_tradnl"/>
        </w:rPr>
      </w:pPr>
      <w:r w:rsidRPr="003E2347">
        <w:rPr>
          <w:rFonts w:ascii="Verdana" w:eastAsia="Calibri" w:hAnsi="Verdana" w:cs="Arial"/>
          <w:color w:val="000000" w:themeColor="text1"/>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3E2347">
        <w:rPr>
          <w:rStyle w:val="Refdenotaalpie"/>
          <w:rFonts w:ascii="Verdana" w:eastAsia="Calibri" w:hAnsi="Verdana" w:cs="Arial"/>
          <w:color w:val="000000" w:themeColor="text1"/>
          <w:sz w:val="20"/>
          <w:szCs w:val="20"/>
          <w:lang w:val="es-ES_tradnl"/>
        </w:rPr>
        <w:footnoteReference w:id="3"/>
      </w:r>
      <w:r w:rsidRPr="003E2347">
        <w:rPr>
          <w:rFonts w:ascii="Verdana" w:eastAsia="Calibri" w:hAnsi="Verdana" w:cs="Arial"/>
          <w:color w:val="000000" w:themeColor="text1"/>
          <w:sz w:val="20"/>
          <w:szCs w:val="20"/>
          <w:lang w:val="es-ES_tradnl"/>
        </w:rPr>
        <w:t>.</w:t>
      </w:r>
    </w:p>
    <w:p w14:paraId="50B12269" w14:textId="77777777" w:rsidR="00E11DD9" w:rsidRPr="00CC7195" w:rsidRDefault="00E11DD9" w:rsidP="00E11DD9">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Ahora bien, en torno a la aplicabilidad de las cláusulas excepcionales</w:t>
      </w:r>
      <w:r w:rsidRPr="3957B322">
        <w:rPr>
          <w:rFonts w:ascii="Verdana" w:eastAsia="Calibri" w:hAnsi="Verdana" w:cs="Arial"/>
          <w:color w:val="000000" w:themeColor="text1"/>
          <w:lang w:val="es-ES"/>
        </w:rPr>
        <w:t xml:space="preserve">, se debe tener en cuenta que </w:t>
      </w:r>
      <w:r>
        <w:rPr>
          <w:rFonts w:ascii="Verdana" w:eastAsia="Calibri" w:hAnsi="Verdana" w:cs="Arial"/>
          <w:color w:val="000000" w:themeColor="text1"/>
          <w:lang w:val="es-ES"/>
        </w:rPr>
        <w:t xml:space="preserve">éstas </w:t>
      </w:r>
      <w:r w:rsidRPr="3957B322">
        <w:rPr>
          <w:rFonts w:ascii="Verdana" w:eastAsia="Calibri" w:hAnsi="Verdana" w:cs="Arial"/>
          <w:color w:val="000000" w:themeColor="text1"/>
          <w:lang w:val="es-ES"/>
        </w:rPr>
        <w:t>no se encuentran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r w:rsidRPr="3957B322">
        <w:rPr>
          <w:rStyle w:val="Refdenotaalpie"/>
          <w:rFonts w:ascii="Verdana" w:eastAsia="Calibri" w:hAnsi="Verdana" w:cs="Arial"/>
          <w:color w:val="000000" w:themeColor="text1"/>
          <w:lang w:val="es-ES"/>
        </w:rPr>
        <w:footnoteReference w:id="4"/>
      </w:r>
      <w:r w:rsidRPr="3957B322">
        <w:rPr>
          <w:rFonts w:ascii="Verdana" w:eastAsia="Calibri" w:hAnsi="Verdana" w:cs="Arial"/>
          <w:color w:val="000000" w:themeColor="text1"/>
          <w:lang w:val="es-ES"/>
        </w:rPr>
        <w:t>.</w:t>
      </w:r>
    </w:p>
    <w:p w14:paraId="3681F36E" w14:textId="77777777" w:rsidR="00E11DD9" w:rsidRPr="003E2347" w:rsidRDefault="00E11DD9" w:rsidP="00E11DD9">
      <w:pPr>
        <w:spacing w:line="276" w:lineRule="auto"/>
        <w:ind w:firstLine="708"/>
        <w:jc w:val="both"/>
        <w:rPr>
          <w:rFonts w:ascii="Verdana" w:eastAsia="Calibri" w:hAnsi="Verdana" w:cs="Arial"/>
          <w:color w:val="000000" w:themeColor="text1"/>
          <w:lang w:val="es-ES_tradnl"/>
        </w:rPr>
      </w:pPr>
      <w:r w:rsidRPr="003E2347">
        <w:rPr>
          <w:rFonts w:ascii="Verdana" w:eastAsia="Calibri" w:hAnsi="Verdana" w:cs="Arial"/>
          <w:color w:val="000000" w:themeColor="text1"/>
        </w:rPr>
        <w:t>Para el ejercicio de estas potestades exorbitantes en particular, el</w:t>
      </w:r>
      <w:r w:rsidRPr="003E2347">
        <w:rPr>
          <w:rFonts w:ascii="Verdana" w:eastAsia="Calibri" w:hAnsi="Verdana" w:cs="Arial"/>
          <w:color w:val="000000" w:themeColor="text1"/>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3E2347">
        <w:rPr>
          <w:rStyle w:val="Refdenotaalpie"/>
          <w:rFonts w:ascii="Verdana" w:eastAsia="Calibri" w:hAnsi="Verdana" w:cs="Arial"/>
          <w:color w:val="000000" w:themeColor="text1"/>
          <w:lang w:val="es-ES_tradnl"/>
        </w:rPr>
        <w:footnoteReference w:id="5"/>
      </w:r>
      <w:r w:rsidRPr="003E2347">
        <w:rPr>
          <w:rFonts w:ascii="Verdana" w:eastAsia="Calibri" w:hAnsi="Verdana" w:cs="Arial"/>
          <w:color w:val="000000" w:themeColor="text1"/>
          <w:lang w:val="es-ES_tradnl"/>
        </w:rPr>
        <w:t xml:space="preserve">. Así se desprende del primer inciso de aquel artículo, que </w:t>
      </w:r>
      <w:r>
        <w:rPr>
          <w:rFonts w:ascii="Verdana" w:eastAsia="Calibri" w:hAnsi="Verdana" w:cs="Arial"/>
          <w:color w:val="000000" w:themeColor="text1"/>
          <w:lang w:val="es-ES_tradnl"/>
        </w:rPr>
        <w:t>dispone</w:t>
      </w:r>
      <w:r w:rsidRPr="003E2347">
        <w:rPr>
          <w:rFonts w:ascii="Verdana" w:eastAsia="Calibri" w:hAnsi="Verdana" w:cs="Arial"/>
          <w:color w:val="000000" w:themeColor="text1"/>
          <w:lang w:val="es-ES_tradnl"/>
        </w:rPr>
        <w:t>: “</w:t>
      </w:r>
      <w:r w:rsidRPr="003E2347">
        <w:rPr>
          <w:rFonts w:ascii="Verdana" w:eastAsia="Calibri" w:hAnsi="Verdana" w:cs="Arial"/>
          <w:i/>
          <w:color w:val="000000" w:themeColor="text1"/>
          <w:lang w:val="es-ES_tradnl"/>
        </w:rPr>
        <w:t xml:space="preserve">Las entidades sometidas al Estatuto General de Contratación de la </w:t>
      </w:r>
      <w:r w:rsidRPr="003E2347">
        <w:rPr>
          <w:rFonts w:ascii="Verdana" w:eastAsia="Calibri" w:hAnsi="Verdana" w:cs="Arial"/>
          <w:i/>
          <w:color w:val="000000" w:themeColor="text1"/>
          <w:lang w:val="es-ES_tradnl"/>
        </w:rPr>
        <w:lastRenderedPageBreak/>
        <w:t>Administración Pública</w:t>
      </w:r>
      <w:r w:rsidRPr="003E2347">
        <w:rPr>
          <w:rFonts w:ascii="Verdana" w:eastAsia="Calibri" w:hAnsi="Verdana" w:cs="Arial"/>
          <w:color w:val="000000" w:themeColor="text1"/>
          <w:lang w:val="es-ES_tradnl"/>
        </w:rPr>
        <w:t xml:space="preserve"> podrán declarar el incumplimiento, cuantificando los perjuicios </w:t>
      </w:r>
      <w:proofErr w:type="gramStart"/>
      <w:r w:rsidRPr="003E2347">
        <w:rPr>
          <w:rFonts w:ascii="Verdana" w:eastAsia="Calibri" w:hAnsi="Verdana" w:cs="Arial"/>
          <w:color w:val="000000" w:themeColor="text1"/>
          <w:lang w:val="es-ES_tradnl"/>
        </w:rPr>
        <w:t>del mismo</w:t>
      </w:r>
      <w:proofErr w:type="gramEnd"/>
      <w:r w:rsidRPr="003E2347">
        <w:rPr>
          <w:rFonts w:ascii="Verdana" w:eastAsia="Calibri" w:hAnsi="Verdana" w:cs="Arial"/>
          <w:color w:val="000000" w:themeColor="text1"/>
          <w:lang w:val="es-ES_tradnl"/>
        </w:rPr>
        <w:t>, imponer las multas y sanciones pactadas en el contrato, y hacer efectiva la cláusula penal. Para tal efecto observarán el siguiente procedimiento […]”. De ahí que, solo por esta razón, las entidades de régimen especial en materia contractual no pueden aplicar el procedimiento administrativo sancionatorio regulado en el artículo 86 de la Ley 1474 de 2011, al no ser entidades sometidas al Estatuto General de Contratación de la Administración Pública</w:t>
      </w:r>
      <w:r w:rsidRPr="003E2347">
        <w:rPr>
          <w:rStyle w:val="Refdenotaalpie"/>
          <w:rFonts w:ascii="Verdana" w:eastAsia="Calibri" w:hAnsi="Verdana" w:cs="Arial"/>
          <w:color w:val="000000" w:themeColor="text1"/>
          <w:lang w:val="es-ES_tradnl"/>
        </w:rPr>
        <w:footnoteReference w:id="6"/>
      </w:r>
      <w:r w:rsidRPr="003E2347">
        <w:rPr>
          <w:rFonts w:ascii="Verdana" w:eastAsia="Calibri" w:hAnsi="Verdana" w:cs="Arial"/>
          <w:color w:val="000000" w:themeColor="text1"/>
          <w:lang w:val="es-ES_tradnl"/>
        </w:rPr>
        <w:t xml:space="preserve">, sino, por el contrario, entidades exceptuadas de este. </w:t>
      </w:r>
      <w:r>
        <w:rPr>
          <w:rFonts w:ascii="Verdana" w:eastAsia="Calibri" w:hAnsi="Verdana" w:cs="Arial"/>
          <w:color w:val="000000" w:themeColor="text1"/>
          <w:lang w:val="es-ES_tradnl"/>
        </w:rPr>
        <w:t>Así pues</w:t>
      </w:r>
      <w:r w:rsidRPr="003E2347">
        <w:rPr>
          <w:rFonts w:ascii="Verdana" w:eastAsia="Calibri" w:hAnsi="Verdana" w:cs="Arial"/>
          <w:color w:val="000000" w:themeColor="text1"/>
          <w:lang w:val="es-ES_tradnl"/>
        </w:rPr>
        <w:t xml:space="preserve">, si bien, hay entidades de régimen especial que tienen la competencia </w:t>
      </w:r>
      <w:r w:rsidRPr="003E2347">
        <w:rPr>
          <w:rFonts w:ascii="Verdana" w:eastAsia="Calibri" w:hAnsi="Verdana" w:cs="Arial"/>
          <w:color w:val="000000" w:themeColor="text1"/>
          <w:lang w:val="es-ES_tradnl"/>
        </w:rPr>
        <w:lastRenderedPageBreak/>
        <w:t>para hacer uso de cláusulas excepcionales, como las empresas prestadoras de servicios públicos domiciliarios</w:t>
      </w:r>
      <w:r w:rsidRPr="003E2347">
        <w:rPr>
          <w:rStyle w:val="Refdenotaalpie"/>
          <w:rFonts w:ascii="Verdana" w:eastAsia="Calibri" w:hAnsi="Verdana" w:cs="Arial"/>
          <w:color w:val="000000" w:themeColor="text1"/>
          <w:lang w:val="es-ES_tradnl"/>
        </w:rPr>
        <w:footnoteReference w:id="7"/>
      </w:r>
      <w:r w:rsidRPr="003E2347">
        <w:rPr>
          <w:rFonts w:ascii="Verdana" w:eastAsia="Calibri" w:hAnsi="Verdana" w:cs="Arial"/>
          <w:color w:val="000000" w:themeColor="text1"/>
          <w:lang w:val="es-ES_tradnl"/>
        </w:rPr>
        <w:t xml:space="preserve"> y las empresas sociales del Estado</w:t>
      </w:r>
      <w:r w:rsidRPr="003E2347">
        <w:rPr>
          <w:rStyle w:val="Refdenotaalpie"/>
          <w:rFonts w:ascii="Verdana" w:eastAsia="Calibri" w:hAnsi="Verdana" w:cs="Arial"/>
          <w:color w:val="000000" w:themeColor="text1"/>
          <w:lang w:val="es-ES_tradnl"/>
        </w:rPr>
        <w:footnoteReference w:id="8"/>
      </w:r>
      <w:r>
        <w:rPr>
          <w:rFonts w:ascii="Verdana" w:eastAsia="Calibri" w:hAnsi="Verdana" w:cs="Arial"/>
          <w:color w:val="000000" w:themeColor="text1"/>
          <w:lang w:val="es-ES_tradnl"/>
        </w:rPr>
        <w:t>.</w:t>
      </w:r>
    </w:p>
    <w:p w14:paraId="3264A245" w14:textId="77777777" w:rsidR="00E11DD9" w:rsidRPr="003E2347" w:rsidRDefault="00E11DD9" w:rsidP="00E11DD9">
      <w:pPr>
        <w:spacing w:before="120" w:line="276" w:lineRule="auto"/>
        <w:ind w:right="49" w:firstLine="709"/>
        <w:jc w:val="both"/>
        <w:rPr>
          <w:rFonts w:ascii="Verdana" w:eastAsia="Calibri" w:hAnsi="Verdana" w:cs="Arial"/>
          <w:color w:val="000000" w:themeColor="text1"/>
          <w:lang w:val="es-ES_tradnl"/>
        </w:rPr>
      </w:pPr>
      <w:r w:rsidRPr="003E2347">
        <w:rPr>
          <w:rFonts w:ascii="Verdana" w:eastAsia="Calibri" w:hAnsi="Verdana" w:cs="Arial"/>
          <w:color w:val="000000" w:themeColor="text1"/>
          <w:lang w:val="es-ES_tradnl"/>
        </w:rPr>
        <w:t xml:space="preserve">Desde hace cierto tiempo se ha presentado un intenso debate al interior de la Sección Tercera del Consejo de Estado, acerca de la posibilidad de que las entidades con régimen especial de contratación pacten </w:t>
      </w:r>
      <w:r>
        <w:rPr>
          <w:rFonts w:ascii="Verdana" w:eastAsia="Calibri" w:hAnsi="Verdana" w:cs="Arial"/>
          <w:color w:val="000000" w:themeColor="text1"/>
          <w:lang w:val="es-ES_tradnl"/>
        </w:rPr>
        <w:t>cláusulas</w:t>
      </w:r>
      <w:r w:rsidRPr="003E2347">
        <w:rPr>
          <w:rFonts w:ascii="Verdana" w:eastAsia="Calibri" w:hAnsi="Verdana" w:cs="Arial"/>
          <w:color w:val="000000" w:themeColor="text1"/>
          <w:lang w:val="es-ES_tradnl"/>
        </w:rPr>
        <w:t xml:space="preserve"> unilaterales y ejerzan autotutela declarativa, imponiendo las sanciones pactadas en el contrato</w:t>
      </w:r>
      <w:r w:rsidRPr="003E2347">
        <w:rPr>
          <w:rStyle w:val="Refdenotaalpie"/>
          <w:rFonts w:ascii="Verdana" w:eastAsia="Calibri" w:hAnsi="Verdana" w:cs="Arial"/>
          <w:color w:val="000000" w:themeColor="text1"/>
          <w:lang w:val="es-ES_tradnl"/>
        </w:rPr>
        <w:footnoteReference w:id="9"/>
      </w:r>
      <w:r w:rsidRPr="003E2347">
        <w:rPr>
          <w:rFonts w:ascii="Verdana" w:eastAsia="Calibri" w:hAnsi="Verdana" w:cs="Arial"/>
          <w:color w:val="000000" w:themeColor="text1"/>
          <w:lang w:val="es-ES_tradnl"/>
        </w:rPr>
        <w:t xml:space="preserve">. No obstante, dicho debate se ha ido zanjando en la jurisprudencia reciente, la cual ha reconocido la validez de pactar cláusulas de ejercicio unilateral, conforme indica la Sentencia de Unificación del 9 de mayo de 2024 expedida por la Sección Tercera de la referida corporación judicial, en la que se realizaron las siguientes consideraciones: </w:t>
      </w:r>
    </w:p>
    <w:p w14:paraId="59B20CB4" w14:textId="77777777" w:rsidR="00E11DD9" w:rsidRPr="003E2347" w:rsidRDefault="00E11DD9" w:rsidP="00E11DD9">
      <w:pPr>
        <w:spacing w:before="120" w:line="240" w:lineRule="auto"/>
        <w:ind w:left="709" w:right="709"/>
        <w:jc w:val="both"/>
        <w:rPr>
          <w:rFonts w:ascii="Verdana" w:eastAsia="Calibri" w:hAnsi="Verdana" w:cs="Arial"/>
          <w:color w:val="000000" w:themeColor="text1"/>
          <w:sz w:val="20"/>
          <w:szCs w:val="20"/>
        </w:rPr>
      </w:pPr>
      <w:r w:rsidRPr="003E2347">
        <w:rPr>
          <w:rFonts w:ascii="Verdana" w:eastAsia="Calibri" w:hAnsi="Verdana" w:cs="Arial"/>
          <w:color w:val="000000" w:themeColor="text1"/>
          <w:sz w:val="20"/>
          <w:szCs w:val="20"/>
        </w:rPr>
        <w:t xml:space="preserve">“52. Tan precisa, directa y reveladora es la voluntad contractual como fuente de las obligaciones, que el legislador la revistió de carácter normativo al asignar efectos de ley al contrato; de esa manera las partes definen en unión y de común acuerdo todo el negocio jurídico incluyendo, </w:t>
      </w:r>
      <w:r w:rsidRPr="003E2347">
        <w:rPr>
          <w:rFonts w:ascii="Verdana" w:eastAsia="Calibri" w:hAnsi="Verdana" w:cs="Arial"/>
          <w:color w:val="000000" w:themeColor="text1"/>
          <w:sz w:val="20"/>
          <w:szCs w:val="20"/>
        </w:rPr>
        <w:lastRenderedPageBreak/>
        <w:t xml:space="preserve">si así lo convienen, la liquidación por parte de una de ellas, sin que se advierta en el ordenamiento jurídico algún impedimento para llegar a un pacto en tal sentido. Este tipo de acuerdos entre sujetos de derecho privado es válido, de manera que cuando la Administración funge como tal, es decir, cuando su actividad se sujeta a las normas de derecho civil o comercial, está en posibilidad de estipular estas cláusulas y las demás que autoriza el ejercicio de la autonomía de la voluntad, como cualquier otro sujeto que actúa en el ámbito de la </w:t>
      </w:r>
      <w:r w:rsidRPr="003E2347">
        <w:rPr>
          <w:rFonts w:ascii="Verdana" w:eastAsia="Calibri" w:hAnsi="Verdana" w:cs="Arial"/>
          <w:i/>
          <w:iCs/>
          <w:color w:val="000000" w:themeColor="text1"/>
          <w:sz w:val="20"/>
          <w:szCs w:val="20"/>
        </w:rPr>
        <w:t xml:space="preserve">lex </w:t>
      </w:r>
      <w:proofErr w:type="spellStart"/>
      <w:r w:rsidRPr="003E2347">
        <w:rPr>
          <w:rFonts w:ascii="Verdana" w:eastAsia="Calibri" w:hAnsi="Verdana" w:cs="Arial"/>
          <w:i/>
          <w:iCs/>
          <w:color w:val="000000" w:themeColor="text1"/>
          <w:sz w:val="20"/>
          <w:szCs w:val="20"/>
        </w:rPr>
        <w:t>privata</w:t>
      </w:r>
      <w:proofErr w:type="spellEnd"/>
      <w:r w:rsidRPr="003E2347">
        <w:rPr>
          <w:rFonts w:ascii="Verdana" w:eastAsia="Calibri" w:hAnsi="Verdana" w:cs="Arial"/>
          <w:color w:val="000000" w:themeColor="text1"/>
          <w:sz w:val="20"/>
          <w:szCs w:val="20"/>
        </w:rPr>
        <w:t xml:space="preserve">. </w:t>
      </w:r>
    </w:p>
    <w:p w14:paraId="1E9E34DA" w14:textId="77777777" w:rsidR="00E11DD9" w:rsidRPr="003E2347" w:rsidRDefault="00E11DD9" w:rsidP="00E11DD9">
      <w:pPr>
        <w:spacing w:before="120" w:line="240" w:lineRule="auto"/>
        <w:ind w:left="709" w:right="709"/>
        <w:jc w:val="both"/>
        <w:rPr>
          <w:rFonts w:ascii="Verdana" w:eastAsia="Calibri" w:hAnsi="Verdana" w:cs="Arial"/>
          <w:color w:val="000000" w:themeColor="text1"/>
          <w:sz w:val="20"/>
          <w:szCs w:val="20"/>
        </w:rPr>
      </w:pPr>
      <w:r w:rsidRPr="003E2347">
        <w:rPr>
          <w:rFonts w:ascii="Verdana" w:eastAsia="Calibri" w:hAnsi="Verdana" w:cs="Arial"/>
          <w:color w:val="000000" w:themeColor="text1"/>
          <w:sz w:val="20"/>
          <w:szCs w:val="20"/>
        </w:rPr>
        <w:t>53. Aunque este entendimiento es pacífico en la actual jurisprudencia, ello no siempre fue así. En lo que atañe al pacto de este tipo de cláusulas en contratos sometidos al derecho privado, esta Colegiatura sostuvo que las entidades estatales exceptuadas del estatuto de contratación pública no podían convenir tales estipulaciones, porque no contaban con la habilitación legal para hacerlo; sin embargo, la jurisprudencia recondujo esa postura para precisar que en tales casos, “</w:t>
      </w:r>
      <w:r w:rsidRPr="003E2347">
        <w:rPr>
          <w:rFonts w:ascii="Verdana" w:eastAsia="Calibri" w:hAnsi="Verdana" w:cs="Arial"/>
          <w:i/>
          <w:iCs/>
          <w:color w:val="000000" w:themeColor="text1"/>
          <w:sz w:val="20"/>
          <w:szCs w:val="20"/>
        </w:rPr>
        <w:t xml:space="preserve">el pacto de cláusulas accidentales mediante las cuales se prevé el ejercicio de facultades tales como la terminación unilateral o la liquidación unilateral, entre otros se funda primordialmente de la autonomía dispositiva </w:t>
      </w:r>
      <w:r w:rsidRPr="003E2347">
        <w:rPr>
          <w:rFonts w:ascii="Verdana" w:eastAsia="Calibri" w:hAnsi="Verdana" w:cs="Arial"/>
          <w:color w:val="000000" w:themeColor="text1"/>
          <w:sz w:val="20"/>
          <w:szCs w:val="20"/>
        </w:rPr>
        <w:t xml:space="preserve">[por lo que] </w:t>
      </w:r>
      <w:r w:rsidRPr="003E2347">
        <w:rPr>
          <w:rFonts w:ascii="Verdana" w:eastAsia="Calibri" w:hAnsi="Verdana" w:cs="Arial"/>
          <w:i/>
          <w:iCs/>
          <w:color w:val="000000" w:themeColor="text1"/>
          <w:sz w:val="20"/>
          <w:szCs w:val="20"/>
        </w:rPr>
        <w:t>resulta viable que las partes del contrato puedan pactar cláusulas accidentales que impliquen la utilización de mecanismos tales como la cláusula penal, la imposición de multas, la terminación unilateral o la liquidación unilateral del contrato, entre otros, siempre y cuando que esas estipulaciones no vayan en contra de normas imperativas, de las buenas costumbres, del principio de buena fe objetiva, ni mucho menos que comporten un ejercicio abusivo de un derecho, ni contraría el orden público</w:t>
      </w:r>
      <w:r w:rsidRPr="003E2347">
        <w:rPr>
          <w:rFonts w:ascii="Verdana" w:eastAsia="Calibri" w:hAnsi="Verdana" w:cs="Arial"/>
          <w:color w:val="000000" w:themeColor="text1"/>
          <w:sz w:val="20"/>
          <w:szCs w:val="20"/>
        </w:rPr>
        <w:t xml:space="preserve">” </w:t>
      </w:r>
    </w:p>
    <w:p w14:paraId="365E5268" w14:textId="77777777" w:rsidR="00E11DD9" w:rsidRPr="003E2347" w:rsidRDefault="00E11DD9" w:rsidP="00E11DD9">
      <w:pPr>
        <w:spacing w:before="120" w:line="240" w:lineRule="auto"/>
        <w:ind w:left="709" w:right="709"/>
        <w:jc w:val="both"/>
        <w:rPr>
          <w:rFonts w:ascii="Verdana" w:eastAsia="Calibri" w:hAnsi="Verdana" w:cs="Arial"/>
          <w:color w:val="000000" w:themeColor="text1"/>
          <w:lang w:val="es-ES_tradnl"/>
        </w:rPr>
      </w:pPr>
      <w:r w:rsidRPr="003E2347">
        <w:rPr>
          <w:rFonts w:ascii="Verdana" w:eastAsia="Calibri" w:hAnsi="Verdana" w:cs="Arial"/>
          <w:color w:val="000000" w:themeColor="text1"/>
          <w:sz w:val="20"/>
          <w:szCs w:val="20"/>
        </w:rPr>
        <w:t>54. De manera que cuando una entidad estatal celebra un contrato que se rige por las normas del derecho privado, es legalmente admisible que se pacten cláusulas cuya ejecución corresponda a una de ellas, aunque el ejercicio de tales facultades no tenga origen en una prerrogativa atribuida por ley a la contratante, sino en la libertad contractual en la que se fundamentó dicho acuerdo, de modo que si la entidad materializa las atribuciones unilaterales pactadas a través de éstos, se trata de actos contractuales y no administrativos”</w:t>
      </w:r>
      <w:r>
        <w:rPr>
          <w:rStyle w:val="Refdenotaalpie"/>
          <w:rFonts w:ascii="Verdana" w:eastAsia="Calibri" w:hAnsi="Verdana" w:cs="Arial"/>
          <w:color w:val="000000" w:themeColor="text1"/>
          <w:sz w:val="20"/>
          <w:szCs w:val="20"/>
        </w:rPr>
        <w:footnoteReference w:id="10"/>
      </w:r>
      <w:r w:rsidRPr="003E2347">
        <w:rPr>
          <w:rFonts w:ascii="Verdana" w:eastAsia="Calibri" w:hAnsi="Verdana" w:cs="Arial"/>
          <w:i/>
          <w:iCs/>
          <w:color w:val="000000" w:themeColor="text1"/>
          <w:sz w:val="20"/>
          <w:szCs w:val="20"/>
        </w:rPr>
        <w:t>.</w:t>
      </w:r>
    </w:p>
    <w:p w14:paraId="5B8C36FF" w14:textId="77777777" w:rsidR="00E11DD9" w:rsidRDefault="00E11DD9" w:rsidP="00E11DD9">
      <w:pPr>
        <w:spacing w:before="120" w:line="276" w:lineRule="auto"/>
        <w:ind w:right="49" w:firstLine="709"/>
        <w:jc w:val="both"/>
        <w:rPr>
          <w:rFonts w:ascii="Verdana" w:hAnsi="Verdana" w:cs="Arial"/>
          <w:iCs/>
          <w:color w:val="000000" w:themeColor="text1"/>
        </w:rPr>
      </w:pPr>
      <w:r>
        <w:rPr>
          <w:rFonts w:ascii="Verdana" w:hAnsi="Verdana" w:cs="Arial"/>
          <w:iCs/>
          <w:color w:val="000000" w:themeColor="text1"/>
        </w:rPr>
        <w:t xml:space="preserve">De acuerdo con el criterio establecido en la providencia en cita, resulta claro que las entidades estatales sometidas regímenes especiales de contratación, si bien no tienen potestad sancionatoria por mérito de la ley, tienen la posibilidad de acudir a la autonomía de la voluntad para pactar el ejercicio de potestades unilateral. Sin embargo, los actos a través de los cuales se materialice el ejercicio de potestades unilaterales emanadas del ejercicio de la autonomía de la voluntad, en el marco de contratos estatales exceptuados </w:t>
      </w:r>
      <w:r>
        <w:rPr>
          <w:rFonts w:ascii="Verdana" w:hAnsi="Verdana" w:cs="Arial"/>
          <w:iCs/>
          <w:color w:val="000000" w:themeColor="text1"/>
        </w:rPr>
        <w:lastRenderedPageBreak/>
        <w:t xml:space="preserve">del EGCAP, no pueden ser equiparados a actos administrativos, conforme lo precisa la providencia de unificación en cita al indicar que: </w:t>
      </w:r>
    </w:p>
    <w:p w14:paraId="2D26BEF6" w14:textId="77777777" w:rsidR="00E11DD9" w:rsidRPr="003E2347" w:rsidRDefault="00E11DD9" w:rsidP="00E11DD9">
      <w:pPr>
        <w:spacing w:before="120" w:line="240" w:lineRule="auto"/>
        <w:ind w:left="709" w:right="709"/>
        <w:jc w:val="both"/>
        <w:rPr>
          <w:rFonts w:ascii="Verdana" w:hAnsi="Verdana" w:cs="Arial"/>
          <w:iCs/>
          <w:color w:val="000000" w:themeColor="text1"/>
          <w:sz w:val="20"/>
          <w:szCs w:val="20"/>
        </w:rPr>
      </w:pPr>
      <w:r w:rsidRPr="003E2347">
        <w:rPr>
          <w:rFonts w:ascii="Verdana" w:hAnsi="Verdana" w:cs="Arial"/>
          <w:iCs/>
          <w:color w:val="000000" w:themeColor="text1"/>
          <w:sz w:val="20"/>
          <w:szCs w:val="20"/>
        </w:rPr>
        <w:t xml:space="preserve">“55. En esta línea, conviene enfatizar que </w:t>
      </w:r>
      <w:r w:rsidRPr="003E2347">
        <w:rPr>
          <w:rFonts w:ascii="Verdana" w:hAnsi="Verdana" w:cs="Arial"/>
          <w:i/>
          <w:iCs/>
          <w:color w:val="000000" w:themeColor="text1"/>
          <w:sz w:val="20"/>
          <w:szCs w:val="20"/>
        </w:rPr>
        <w:t>“[l]o que no puede pactarse es la facultad de proferir un acto administrativo … [l]a liquidación unilateral del contrato mediante acto administrativo comporta el establecimiento de una potestad prevista solo para las entidades estatales en los contratos sujetos al estatuto de contratación pública, en los cuales se pueden expedir actos administrativos con fuerza ejecutoria en los que se establezca el saldo del contrato y se creen, de ser el caso, obligaciones patrimoniales a cargo del contratista; en la medida en que tales actos gozan de presunción de legalidad, le incumbe al Contratista la carga de desvirtuarla judicialmente</w:t>
      </w:r>
      <w:r w:rsidRPr="003E2347">
        <w:rPr>
          <w:rFonts w:ascii="Verdana" w:hAnsi="Verdana" w:cs="Arial"/>
          <w:iCs/>
          <w:color w:val="000000" w:themeColor="text1"/>
          <w:sz w:val="20"/>
          <w:szCs w:val="20"/>
        </w:rPr>
        <w:t xml:space="preserve">”. </w:t>
      </w:r>
    </w:p>
    <w:p w14:paraId="4278B38A" w14:textId="77777777" w:rsidR="00E11DD9" w:rsidRPr="003E2347" w:rsidRDefault="00E11DD9" w:rsidP="00E11DD9">
      <w:pPr>
        <w:spacing w:before="120" w:line="240" w:lineRule="auto"/>
        <w:ind w:left="709" w:right="709"/>
        <w:jc w:val="both"/>
        <w:rPr>
          <w:rFonts w:ascii="Verdana" w:hAnsi="Verdana" w:cs="Arial"/>
          <w:iCs/>
          <w:color w:val="000000" w:themeColor="text1"/>
        </w:rPr>
      </w:pPr>
      <w:r w:rsidRPr="003E2347">
        <w:rPr>
          <w:rFonts w:ascii="Verdana" w:hAnsi="Verdana" w:cs="Arial"/>
          <w:iCs/>
          <w:color w:val="000000" w:themeColor="text1"/>
          <w:sz w:val="20"/>
          <w:szCs w:val="20"/>
        </w:rPr>
        <w:t>56. Como fruto de tal entendimiento, esta Corporación puntualizó que “</w:t>
      </w:r>
      <w:r w:rsidRPr="003E2347">
        <w:rPr>
          <w:rFonts w:ascii="Verdana" w:hAnsi="Verdana" w:cs="Arial"/>
          <w:i/>
          <w:iCs/>
          <w:color w:val="000000" w:themeColor="text1"/>
          <w:sz w:val="20"/>
          <w:szCs w:val="20"/>
        </w:rPr>
        <w:t>cuando una entidad estatal, regida por derecho privado, pacta una cláusula que confiere una facultad unilateral, al igual que ocurre con los privados, no debe entenderse nada diferente a que, en igual sentido, está habilitada para acudir a este tipo de pactos. Lo anterior pues, cada vez será más difícil entender cómo, aunque los privados puedan pactar este tipo de cláusulas, cuando la Administración se comporta como un privado más, ella no pueda celebrar estos mismos acuerdos</w:t>
      </w:r>
      <w:r w:rsidRPr="003E2347">
        <w:rPr>
          <w:rFonts w:ascii="Verdana" w:hAnsi="Verdana" w:cs="Arial"/>
          <w:iCs/>
          <w:color w:val="000000" w:themeColor="text1"/>
          <w:sz w:val="20"/>
          <w:szCs w:val="20"/>
        </w:rPr>
        <w:t>”</w:t>
      </w:r>
      <w:r w:rsidRPr="003E2347">
        <w:rPr>
          <w:rStyle w:val="Refdenotaalpie"/>
          <w:rFonts w:ascii="Verdana" w:hAnsi="Verdana" w:cs="Arial"/>
          <w:iCs/>
          <w:color w:val="000000" w:themeColor="text1"/>
          <w:sz w:val="20"/>
          <w:szCs w:val="20"/>
        </w:rPr>
        <w:footnoteReference w:id="11"/>
      </w:r>
      <w:r w:rsidRPr="003E2347">
        <w:rPr>
          <w:rFonts w:ascii="Verdana" w:hAnsi="Verdana" w:cs="Arial"/>
          <w:iCs/>
          <w:color w:val="000000" w:themeColor="text1"/>
          <w:sz w:val="20"/>
          <w:szCs w:val="20"/>
        </w:rPr>
        <w:t>; postura que ha venido siendo reiterada</w:t>
      </w:r>
      <w:r w:rsidRPr="003E2347">
        <w:rPr>
          <w:rStyle w:val="Refdenotaalpie"/>
          <w:rFonts w:ascii="Verdana" w:hAnsi="Verdana" w:cs="Arial"/>
          <w:iCs/>
          <w:color w:val="000000" w:themeColor="text1"/>
          <w:sz w:val="20"/>
          <w:szCs w:val="20"/>
        </w:rPr>
        <w:footnoteReference w:id="12"/>
      </w:r>
      <w:r w:rsidRPr="003E2347">
        <w:rPr>
          <w:rFonts w:ascii="Verdana" w:hAnsi="Verdana" w:cs="Arial"/>
          <w:iCs/>
          <w:color w:val="000000" w:themeColor="text1"/>
          <w:sz w:val="20"/>
          <w:szCs w:val="20"/>
        </w:rPr>
        <w:t xml:space="preserve"> y bajo la cual es posible indicar que la naturaleza de los actos unilaterales que emite una entidad estatal en desarrollo de contratos regidos por el derecho privado, se afilia a la categoría de actos contractuales y no a la de actos administrativos</w:t>
      </w:r>
      <w:r w:rsidRPr="003E2347">
        <w:rPr>
          <w:rStyle w:val="Refdenotaalpie"/>
          <w:rFonts w:ascii="Verdana" w:hAnsi="Verdana" w:cs="Arial"/>
          <w:iCs/>
          <w:color w:val="000000" w:themeColor="text1"/>
          <w:sz w:val="20"/>
          <w:szCs w:val="20"/>
        </w:rPr>
        <w:footnoteReference w:id="13"/>
      </w:r>
      <w:r w:rsidRPr="00BD3F94">
        <w:rPr>
          <w:rFonts w:ascii="Verdana" w:hAnsi="Verdana" w:cs="Arial"/>
          <w:iCs/>
          <w:color w:val="000000" w:themeColor="text1"/>
          <w:sz w:val="20"/>
          <w:szCs w:val="20"/>
          <w:vertAlign w:val="superscript"/>
        </w:rPr>
        <w:t>39.</w:t>
      </w:r>
      <w:r w:rsidRPr="003E2347">
        <w:rPr>
          <w:rFonts w:ascii="Verdana" w:hAnsi="Verdana" w:cs="Arial"/>
          <w:iCs/>
          <w:color w:val="000000" w:themeColor="text1"/>
          <w:sz w:val="20"/>
          <w:szCs w:val="20"/>
        </w:rPr>
        <w:t xml:space="preserve"> En estos términos, cuando una entidad pública está sometida al régimen de derecho común debe “</w:t>
      </w:r>
      <w:r w:rsidRPr="003E2347">
        <w:rPr>
          <w:rFonts w:ascii="Verdana" w:hAnsi="Verdana" w:cs="Arial"/>
          <w:i/>
          <w:iCs/>
          <w:color w:val="000000" w:themeColor="text1"/>
          <w:sz w:val="20"/>
          <w:szCs w:val="20"/>
        </w:rPr>
        <w:t>actuar en las mismas condiciones que un particular, por lo cual no estaba habilitada para expedir un acto administrativo</w:t>
      </w:r>
      <w:r w:rsidRPr="003E2347">
        <w:rPr>
          <w:rFonts w:ascii="Verdana" w:hAnsi="Verdana" w:cs="Arial"/>
          <w:iCs/>
          <w:color w:val="000000" w:themeColor="text1"/>
          <w:sz w:val="20"/>
          <w:szCs w:val="20"/>
        </w:rPr>
        <w:t>”</w:t>
      </w:r>
      <w:r w:rsidRPr="003E2347">
        <w:rPr>
          <w:rStyle w:val="Refdenotaalpie"/>
          <w:rFonts w:ascii="Verdana" w:hAnsi="Verdana" w:cs="Arial"/>
          <w:iCs/>
          <w:color w:val="000000" w:themeColor="text1"/>
          <w:sz w:val="20"/>
          <w:szCs w:val="20"/>
        </w:rPr>
        <w:footnoteReference w:id="14"/>
      </w:r>
      <w:r w:rsidRPr="003E2347">
        <w:rPr>
          <w:rFonts w:ascii="Verdana" w:hAnsi="Verdana" w:cs="Arial"/>
          <w:iCs/>
          <w:color w:val="000000" w:themeColor="text1"/>
          <w:sz w:val="20"/>
          <w:szCs w:val="20"/>
        </w:rPr>
        <w:t>, ni puede adjudicarse, por sí misma, competencias que son de rango legal</w:t>
      </w:r>
      <w:r w:rsidRPr="003E2347">
        <w:rPr>
          <w:rStyle w:val="Refdenotaalpie"/>
          <w:rFonts w:ascii="Verdana" w:hAnsi="Verdana" w:cs="Arial"/>
          <w:iCs/>
          <w:color w:val="000000" w:themeColor="text1"/>
          <w:sz w:val="20"/>
          <w:szCs w:val="20"/>
        </w:rPr>
        <w:footnoteReference w:id="15"/>
      </w:r>
      <w:r w:rsidRPr="003E2347">
        <w:rPr>
          <w:rFonts w:ascii="Verdana" w:hAnsi="Verdana" w:cs="Arial"/>
          <w:iCs/>
          <w:color w:val="000000" w:themeColor="text1"/>
          <w:sz w:val="20"/>
          <w:szCs w:val="20"/>
        </w:rPr>
        <w:t xml:space="preserve"> -sin perjuicio de aquellas hipótesis en que el legislador ha autorizado de manera excepcional la posibilidad de que las ESP puedan expedir actos administrativos</w:t>
      </w:r>
      <w:proofErr w:type="gramStart"/>
      <w:r w:rsidRPr="003E2347">
        <w:rPr>
          <w:rFonts w:ascii="Verdana" w:hAnsi="Verdana" w:cs="Arial"/>
          <w:iCs/>
          <w:color w:val="000000" w:themeColor="text1"/>
          <w:sz w:val="20"/>
          <w:szCs w:val="20"/>
        </w:rPr>
        <w:t>-“</w:t>
      </w:r>
      <w:proofErr w:type="gramEnd"/>
      <w:r>
        <w:rPr>
          <w:rStyle w:val="Refdenotaalpie"/>
          <w:rFonts w:ascii="Verdana" w:hAnsi="Verdana" w:cs="Arial"/>
          <w:iCs/>
          <w:color w:val="000000" w:themeColor="text1"/>
          <w:sz w:val="20"/>
          <w:szCs w:val="20"/>
        </w:rPr>
        <w:footnoteReference w:id="16"/>
      </w:r>
      <w:r>
        <w:rPr>
          <w:rFonts w:ascii="Verdana" w:hAnsi="Verdana" w:cs="Arial"/>
          <w:iCs/>
          <w:color w:val="000000" w:themeColor="text1"/>
          <w:sz w:val="20"/>
          <w:szCs w:val="20"/>
        </w:rPr>
        <w:t xml:space="preserve">. </w:t>
      </w:r>
      <w:r w:rsidRPr="003E2347">
        <w:rPr>
          <w:rFonts w:ascii="Verdana" w:hAnsi="Verdana" w:cs="Arial"/>
          <w:iCs/>
          <w:color w:val="000000" w:themeColor="text1"/>
          <w:sz w:val="20"/>
          <w:szCs w:val="20"/>
        </w:rPr>
        <w:t xml:space="preserve"> </w:t>
      </w:r>
      <w:r>
        <w:rPr>
          <w:rFonts w:ascii="Verdana" w:hAnsi="Verdana" w:cs="Arial"/>
          <w:iCs/>
          <w:color w:val="000000" w:themeColor="text1"/>
        </w:rPr>
        <w:t xml:space="preserve"> </w:t>
      </w:r>
    </w:p>
    <w:p w14:paraId="2B8C9C9C" w14:textId="4B2E808A" w:rsidR="00E11DD9" w:rsidRPr="008853DE" w:rsidRDefault="00E11DD9" w:rsidP="00E11DD9">
      <w:pPr>
        <w:spacing w:before="120" w:after="120" w:line="276" w:lineRule="auto"/>
        <w:ind w:firstLine="709"/>
        <w:jc w:val="both"/>
        <w:rPr>
          <w:rFonts w:ascii="Arial" w:eastAsia="Calibri" w:hAnsi="Arial" w:cs="Arial"/>
          <w:color w:val="000000" w:themeColor="text1"/>
          <w:lang w:val="es-ES_tradnl"/>
        </w:rPr>
      </w:pPr>
      <w:r w:rsidRPr="003E2347">
        <w:rPr>
          <w:rFonts w:ascii="Verdana" w:hAnsi="Verdana" w:cs="Arial"/>
          <w:iCs/>
          <w:color w:val="000000" w:themeColor="text1"/>
        </w:rPr>
        <w:lastRenderedPageBreak/>
        <w:t xml:space="preserve"> Conforme </w:t>
      </w:r>
      <w:r>
        <w:rPr>
          <w:rFonts w:ascii="Verdana" w:hAnsi="Verdana" w:cs="Arial"/>
          <w:iCs/>
          <w:color w:val="000000" w:themeColor="text1"/>
        </w:rPr>
        <w:t>con</w:t>
      </w:r>
      <w:r w:rsidRPr="003E2347">
        <w:rPr>
          <w:rFonts w:ascii="Verdana" w:hAnsi="Verdana" w:cs="Arial"/>
          <w:iCs/>
          <w:color w:val="000000" w:themeColor="text1"/>
        </w:rPr>
        <w:t xml:space="preserve"> lo anterior, es claro que, de acuerdo con la jurisprudencia de la </w:t>
      </w:r>
      <w:r>
        <w:rPr>
          <w:rFonts w:ascii="Verdana" w:hAnsi="Verdana" w:cs="Arial"/>
          <w:iCs/>
          <w:color w:val="000000" w:themeColor="text1"/>
        </w:rPr>
        <w:t xml:space="preserve">Sala Plena de la </w:t>
      </w:r>
      <w:r w:rsidRPr="003E2347">
        <w:rPr>
          <w:rFonts w:ascii="Verdana" w:hAnsi="Verdana" w:cs="Arial"/>
          <w:iCs/>
          <w:color w:val="000000" w:themeColor="text1"/>
        </w:rPr>
        <w:t>Sección Tercera del Consejo de Estado, es viable que entidades estatales exceptuadas del EGCP, ejerzan la autonomía de la voluntad estableciendo potestades de ejercicio unilateral</w:t>
      </w:r>
      <w:r>
        <w:rPr>
          <w:rFonts w:ascii="Verdana" w:hAnsi="Verdana" w:cs="Arial"/>
          <w:iCs/>
          <w:color w:val="000000" w:themeColor="text1"/>
        </w:rPr>
        <w:t xml:space="preserve"> y fijando </w:t>
      </w:r>
      <w:r w:rsidRPr="003E2347">
        <w:rPr>
          <w:rFonts w:ascii="Verdana" w:hAnsi="Verdana" w:cs="Arial"/>
          <w:iCs/>
          <w:color w:val="000000" w:themeColor="text1"/>
        </w:rPr>
        <w:t>los mecanismos para hacerlas efectivas. No obstante, a diferencia de lo que sucede con los actos que se expiden como consecuencia del procedimiento establecido en el artículo 86 de la Ley 1474 de 2011, los actos que resultan del ejercicio de estas potestades no son considerados actos administrativos sino contractuales, lo cual tiene distintas consecuencia, como por ejemplo, la inviabilidad de ser cuestionados a través del medio de control de nulidad y restablecimiento del derecho establecido en el artículo 137 de la Ley 1437 de 2011, sin perjuicio de la procedencia del de controversias contractuales contemplado en el artículo 141 de dicho cuerpo normativo</w:t>
      </w:r>
      <w:r>
        <w:rPr>
          <w:rFonts w:ascii="Verdana" w:hAnsi="Verdana" w:cs="Arial"/>
          <w:iCs/>
          <w:color w:val="000000" w:themeColor="text1"/>
        </w:rPr>
        <w:t>,</w:t>
      </w:r>
      <w:r w:rsidRPr="00272295">
        <w:rPr>
          <w:rFonts w:ascii="Verdana" w:hAnsi="Verdana" w:cs="Arial"/>
          <w:iCs/>
          <w:color w:val="000000" w:themeColor="text1"/>
        </w:rPr>
        <w:t xml:space="preserve"> </w:t>
      </w:r>
      <w:r w:rsidRPr="00272295">
        <w:rPr>
          <w:rFonts w:ascii="Verdana" w:eastAsia="Calibri" w:hAnsi="Verdana" w:cs="Arial"/>
          <w:color w:val="000000" w:themeColor="text1"/>
          <w:lang w:val="es-ES_tradnl"/>
        </w:rPr>
        <w:t xml:space="preserve">que, como lo ha indicado la jurisprudencia, es un medio de control </w:t>
      </w:r>
      <w:r>
        <w:rPr>
          <w:rFonts w:ascii="Verdana" w:eastAsia="Calibri" w:hAnsi="Verdana" w:cs="Arial"/>
          <w:color w:val="000000" w:themeColor="text1"/>
          <w:lang w:val="es-ES_tradnl"/>
        </w:rPr>
        <w:t>“</w:t>
      </w:r>
      <w:proofErr w:type="spellStart"/>
      <w:r w:rsidRPr="00272295">
        <w:rPr>
          <w:rFonts w:ascii="Verdana" w:eastAsia="Calibri" w:hAnsi="Verdana" w:cs="Arial"/>
          <w:color w:val="000000" w:themeColor="text1"/>
          <w:lang w:val="es-ES_tradnl"/>
        </w:rPr>
        <w:t>pluripretensional</w:t>
      </w:r>
      <w:proofErr w:type="spellEnd"/>
      <w:r>
        <w:rPr>
          <w:rFonts w:ascii="Verdana" w:eastAsia="Calibri" w:hAnsi="Verdana" w:cs="Arial"/>
          <w:color w:val="000000" w:themeColor="text1"/>
          <w:lang w:val="es-ES_tradnl"/>
        </w:rPr>
        <w:t>”</w:t>
      </w:r>
      <w:r w:rsidRPr="00272295">
        <w:rPr>
          <w:rStyle w:val="Refdenotaalpie"/>
          <w:rFonts w:ascii="Verdana" w:eastAsia="Calibri" w:hAnsi="Verdana" w:cs="Arial"/>
          <w:color w:val="000000" w:themeColor="text1"/>
          <w:lang w:val="es-ES_tradnl"/>
        </w:rPr>
        <w:footnoteReference w:id="17"/>
      </w:r>
      <w:r w:rsidRPr="00272295">
        <w:rPr>
          <w:rFonts w:ascii="Verdana" w:eastAsia="Calibri" w:hAnsi="Verdana" w:cs="Arial"/>
          <w:color w:val="000000" w:themeColor="text1"/>
          <w:lang w:val="es-ES_tradnl"/>
        </w:rPr>
        <w:t xml:space="preserve">, pues admite canalizar a través de él múltiples pretensiones, como la solicitud de declaratoria de incumplimiento y consecuencialmente la imposición de las sanciones estipuladas en el contrato. En efecto, dicho artículo establece que en la demanda se puede pedir </w:t>
      </w:r>
      <w:r>
        <w:rPr>
          <w:rFonts w:ascii="Verdana" w:eastAsia="Calibri" w:hAnsi="Verdana" w:cs="Arial"/>
          <w:color w:val="000000" w:themeColor="text1"/>
          <w:lang w:val="es-ES_tradnl"/>
        </w:rPr>
        <w:t>“</w:t>
      </w:r>
      <w:r w:rsidRPr="00272295">
        <w:rPr>
          <w:rFonts w:ascii="Verdana" w:eastAsia="Calibri" w:hAnsi="Verdana" w:cs="Arial"/>
          <w:color w:val="000000" w:themeColor="text1"/>
          <w:lang w:val="es-ES_tradnl"/>
        </w:rPr>
        <w:t>que se declare su existencia o su nulidad, que se ordene su revisión, que se declare su incumplimiento, que se declare la nulidad de los actos administrativos contractuales, que se condene al responsable a indemnizar los perjuicios, y que se hagan otras declaraciones y condenas</w:t>
      </w:r>
      <w:r>
        <w:rPr>
          <w:rFonts w:ascii="Verdana" w:eastAsia="Calibri" w:hAnsi="Verdana" w:cs="Arial"/>
          <w:color w:val="000000" w:themeColor="text1"/>
          <w:lang w:val="es-ES_tradnl"/>
        </w:rPr>
        <w:t>”</w:t>
      </w:r>
      <w:r w:rsidRPr="00272295">
        <w:rPr>
          <w:rFonts w:ascii="Verdana" w:eastAsia="Calibri" w:hAnsi="Verdana" w:cs="Arial"/>
          <w:color w:val="000000" w:themeColor="text1"/>
          <w:lang w:val="es-ES_tradnl"/>
        </w:rPr>
        <w:t>.</w:t>
      </w:r>
      <w:r w:rsidRPr="008853DE">
        <w:rPr>
          <w:rFonts w:ascii="Arial" w:eastAsia="Calibri" w:hAnsi="Arial" w:cs="Arial"/>
          <w:color w:val="000000" w:themeColor="text1"/>
          <w:lang w:val="es-ES_tradnl"/>
        </w:rPr>
        <w:t xml:space="preserve"> </w:t>
      </w:r>
    </w:p>
    <w:p w14:paraId="4C60E097" w14:textId="77777777" w:rsidR="00E11DD9" w:rsidRPr="00BE4E34" w:rsidRDefault="00E11DD9" w:rsidP="00E11DD9">
      <w:pPr>
        <w:spacing w:after="120" w:line="276" w:lineRule="auto"/>
        <w:ind w:firstLine="708"/>
        <w:jc w:val="both"/>
        <w:rPr>
          <w:rFonts w:ascii="Verdana" w:eastAsia="Calibri" w:hAnsi="Verdana" w:cs="Arial"/>
        </w:rPr>
      </w:pPr>
      <w:r w:rsidRPr="003E2347">
        <w:rPr>
          <w:rFonts w:ascii="Verdana" w:hAnsi="Verdana" w:cs="Arial"/>
          <w:iCs/>
          <w:color w:val="000000" w:themeColor="text1"/>
        </w:rPr>
        <w:t xml:space="preserve"> </w:t>
      </w:r>
      <w:r>
        <w:rPr>
          <w:rFonts w:ascii="Verdana" w:eastAsia="Calibri" w:hAnsi="Verdana" w:cs="Arial"/>
          <w:lang w:val="es-ES_tradnl"/>
        </w:rPr>
        <w:t>Esto resulta coherente con la jurisprudencia de</w:t>
      </w:r>
      <w:r w:rsidRPr="00BE4E34">
        <w:rPr>
          <w:rFonts w:ascii="Verdana" w:eastAsia="Calibri" w:hAnsi="Verdana" w:cs="Arial"/>
          <w:lang w:val="es-ES_tradnl"/>
        </w:rPr>
        <w:t xml:space="preserve"> </w:t>
      </w:r>
      <w:r w:rsidRPr="00BE4E34">
        <w:rPr>
          <w:rFonts w:ascii="Verdana" w:eastAsia="Calibri" w:hAnsi="Verdana" w:cs="Arial"/>
        </w:rPr>
        <w:t xml:space="preserve">la </w:t>
      </w:r>
      <w:r>
        <w:rPr>
          <w:rFonts w:ascii="Verdana" w:eastAsia="Calibri" w:hAnsi="Verdana" w:cs="Arial"/>
        </w:rPr>
        <w:t xml:space="preserve">Sala de Casación Civil de la </w:t>
      </w:r>
      <w:r w:rsidRPr="00BE4E34">
        <w:rPr>
          <w:rFonts w:ascii="Verdana" w:eastAsia="Calibri" w:hAnsi="Verdana" w:cs="Arial"/>
        </w:rPr>
        <w:t xml:space="preserve">Corte Suprema de Justicia </w:t>
      </w:r>
      <w:r>
        <w:rPr>
          <w:rFonts w:ascii="Verdana" w:eastAsia="Calibri" w:hAnsi="Verdana" w:cs="Arial"/>
        </w:rPr>
        <w:t xml:space="preserve">que </w:t>
      </w:r>
      <w:r w:rsidRPr="00BE4E34">
        <w:rPr>
          <w:rFonts w:ascii="Verdana" w:eastAsia="Calibri" w:hAnsi="Verdana" w:cs="Arial"/>
        </w:rPr>
        <w:t>confirm</w:t>
      </w:r>
      <w:r>
        <w:rPr>
          <w:rFonts w:ascii="Verdana" w:eastAsia="Calibri" w:hAnsi="Verdana" w:cs="Arial"/>
        </w:rPr>
        <w:t>a</w:t>
      </w:r>
      <w:r w:rsidRPr="00BE4E34">
        <w:rPr>
          <w:rFonts w:ascii="Verdana" w:eastAsia="Calibri" w:hAnsi="Verdana" w:cs="Arial"/>
        </w:rPr>
        <w:t xml:space="preserve"> la validez del pacto de poderes unilaterales en el marco de los contratos de derecho privado, </w:t>
      </w:r>
      <w:r>
        <w:rPr>
          <w:rFonts w:ascii="Verdana" w:eastAsia="Calibri" w:hAnsi="Verdana" w:cs="Arial"/>
        </w:rPr>
        <w:t xml:space="preserve">como expresión de </w:t>
      </w:r>
      <w:r w:rsidRPr="00BE4E34">
        <w:rPr>
          <w:rFonts w:ascii="Verdana" w:eastAsia="Calibri" w:hAnsi="Verdana" w:cs="Arial"/>
        </w:rPr>
        <w:t xml:space="preserve">la capacidad negocial de las partes </w:t>
      </w:r>
      <w:r>
        <w:rPr>
          <w:rFonts w:ascii="Verdana" w:eastAsia="Calibri" w:hAnsi="Verdana" w:cs="Arial"/>
        </w:rPr>
        <w:t>amparada</w:t>
      </w:r>
      <w:r w:rsidRPr="00BE4E34">
        <w:rPr>
          <w:rFonts w:ascii="Verdana" w:eastAsia="Calibri" w:hAnsi="Verdana" w:cs="Arial"/>
        </w:rPr>
        <w:t xml:space="preserve"> su autonomía de la voluntad</w:t>
      </w:r>
      <w:r>
        <w:rPr>
          <w:rFonts w:ascii="Verdana" w:eastAsia="Calibri" w:hAnsi="Verdana" w:cs="Arial"/>
        </w:rPr>
        <w:t xml:space="preserve">, que se materializa a través </w:t>
      </w:r>
      <w:r w:rsidRPr="00BE4E34">
        <w:rPr>
          <w:rFonts w:ascii="Verdana" w:eastAsia="Calibri" w:hAnsi="Verdana" w:cs="Arial"/>
        </w:rPr>
        <w:t>actos</w:t>
      </w:r>
      <w:r>
        <w:rPr>
          <w:rFonts w:ascii="Verdana" w:eastAsia="Calibri" w:hAnsi="Verdana" w:cs="Arial"/>
        </w:rPr>
        <w:t xml:space="preserve"> </w:t>
      </w:r>
      <w:r w:rsidRPr="00BE4E34">
        <w:rPr>
          <w:rFonts w:ascii="Verdana" w:eastAsia="Calibri" w:hAnsi="Verdana" w:cs="Arial"/>
        </w:rPr>
        <w:t>jurídicos unilaterales de derecho privado</w:t>
      </w:r>
      <w:r w:rsidRPr="00BE4E34">
        <w:rPr>
          <w:rStyle w:val="Refdenotaalpie"/>
          <w:rFonts w:ascii="Verdana" w:eastAsia="Calibri" w:hAnsi="Verdana" w:cs="Arial"/>
        </w:rPr>
        <w:footnoteReference w:id="18"/>
      </w:r>
      <w:r w:rsidRPr="00BE4E34">
        <w:rPr>
          <w:rFonts w:ascii="Verdana" w:eastAsia="Calibri" w:hAnsi="Verdana" w:cs="Arial"/>
        </w:rPr>
        <w:t>.</w:t>
      </w:r>
    </w:p>
    <w:p w14:paraId="3B94EB7B" w14:textId="77777777" w:rsidR="00E11DD9" w:rsidRDefault="00E11DD9" w:rsidP="00E11DD9">
      <w:pPr>
        <w:spacing w:before="120" w:after="120" w:line="276" w:lineRule="auto"/>
        <w:ind w:firstLine="709"/>
        <w:jc w:val="both"/>
        <w:rPr>
          <w:rFonts w:ascii="Verdana" w:eastAsia="Calibri" w:hAnsi="Verdana" w:cs="Arial"/>
          <w:color w:val="000000" w:themeColor="text1"/>
        </w:rPr>
      </w:pPr>
      <w:r w:rsidRPr="003C4BBC">
        <w:rPr>
          <w:rFonts w:ascii="Verdana" w:eastAsia="Calibri" w:hAnsi="Verdana" w:cs="Arial"/>
          <w:color w:val="000000" w:themeColor="text1"/>
        </w:rPr>
        <w:t xml:space="preserve">En ese orden, si bien el ejercicio de potestades unilaterales no se encuentra previsto </w:t>
      </w:r>
      <w:r>
        <w:rPr>
          <w:rFonts w:ascii="Verdana" w:eastAsia="Calibri" w:hAnsi="Verdana" w:cs="Arial"/>
          <w:color w:val="000000" w:themeColor="text1"/>
        </w:rPr>
        <w:t xml:space="preserve">para las entidades con </w:t>
      </w:r>
      <w:r w:rsidRPr="003C4BBC">
        <w:rPr>
          <w:rFonts w:ascii="Verdana" w:eastAsia="Calibri" w:hAnsi="Verdana" w:cs="Arial"/>
          <w:color w:val="000000" w:themeColor="text1"/>
        </w:rPr>
        <w:t>régimen de contratación</w:t>
      </w:r>
      <w:r>
        <w:rPr>
          <w:rFonts w:ascii="Verdana" w:eastAsia="Calibri" w:hAnsi="Verdana" w:cs="Arial"/>
          <w:color w:val="000000" w:themeColor="text1"/>
        </w:rPr>
        <w:t xml:space="preserve"> especial [salvo excepciones ya descritas]</w:t>
      </w:r>
      <w:r w:rsidRPr="003C4BBC">
        <w:rPr>
          <w:rFonts w:ascii="Verdana" w:eastAsia="Calibri" w:hAnsi="Verdana" w:cs="Arial"/>
          <w:color w:val="000000" w:themeColor="text1"/>
        </w:rPr>
        <w:t xml:space="preserve">, pueden hacer uso de la autonomía de la voluntad estableciendo estipulaciones que de manera expresa reconozcan la posibilidad de acudir a este tipo de facultades. En todo caso, al no tener origen en la ley sino en la autonomía de la voluntad, los actos que se expidan en </w:t>
      </w:r>
      <w:r w:rsidRPr="003C4BBC">
        <w:rPr>
          <w:rFonts w:ascii="Verdana" w:eastAsia="Calibri" w:hAnsi="Verdana" w:cs="Arial"/>
          <w:color w:val="000000" w:themeColor="text1"/>
        </w:rPr>
        <w:lastRenderedPageBreak/>
        <w:t>ejercicio de tales potestades no tendrían el carácter de actos administrativos sino de actos contractuales.</w:t>
      </w:r>
    </w:p>
    <w:p w14:paraId="5B1A935E" w14:textId="77777777" w:rsidR="00E11DD9" w:rsidRPr="003E2347" w:rsidRDefault="00E11DD9" w:rsidP="00E11DD9">
      <w:pPr>
        <w:spacing w:before="120" w:line="276" w:lineRule="auto"/>
        <w:ind w:firstLine="708"/>
        <w:jc w:val="both"/>
        <w:rPr>
          <w:rFonts w:ascii="Verdana" w:hAnsi="Verdana" w:cs="Arial"/>
          <w:color w:val="000000" w:themeColor="text1"/>
        </w:rPr>
      </w:pP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w:t>
      </w:r>
      <w:r w:rsidRPr="003E2347">
        <w:rPr>
          <w:rFonts w:ascii="Verdana" w:eastAsia="Calibri" w:hAnsi="Verdana" w:cs="Arial"/>
          <w:color w:val="000000" w:themeColor="text1"/>
        </w:rPr>
        <w:t xml:space="preserve">De otra parte, </w:t>
      </w:r>
      <w:r>
        <w:rPr>
          <w:rFonts w:ascii="Verdana" w:eastAsia="Calibri" w:hAnsi="Verdana" w:cs="Arial"/>
          <w:color w:val="000000" w:themeColor="text1"/>
        </w:rPr>
        <w:t xml:space="preserve">frente al segundo problema jurídico planteado, </w:t>
      </w:r>
      <w:r w:rsidRPr="003E2347">
        <w:rPr>
          <w:rFonts w:ascii="Verdana" w:eastAsia="Calibri" w:hAnsi="Verdana" w:cs="Arial"/>
          <w:color w:val="000000" w:themeColor="text1"/>
        </w:rPr>
        <w:t xml:space="preserve">en cuanto a </w:t>
      </w:r>
      <w:r w:rsidRPr="003E2347">
        <w:rPr>
          <w:rFonts w:ascii="Verdana" w:hAnsi="Verdana" w:cs="Arial"/>
          <w:color w:val="000000" w:themeColor="text1"/>
        </w:rPr>
        <w:t>las garantías en la contratación estatal, ha de tenerse en cuenta que el Estatuto General de Contratación de la Administración Pública, por regla general, para seleccionar los contratistas y para ejecutar los contratos se requiere la constitución de garantías.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25945424" w14:textId="77777777" w:rsidR="00E11DD9" w:rsidRPr="003E2347" w:rsidRDefault="00E11DD9" w:rsidP="00E11DD9">
      <w:pPr>
        <w:spacing w:before="120" w:line="276" w:lineRule="auto"/>
        <w:ind w:firstLine="708"/>
        <w:jc w:val="both"/>
        <w:rPr>
          <w:rFonts w:ascii="Verdana" w:hAnsi="Verdana" w:cs="Arial"/>
          <w:color w:val="000000" w:themeColor="text1"/>
        </w:rPr>
      </w:pPr>
      <w:r w:rsidRPr="003E2347">
        <w:rPr>
          <w:rFonts w:ascii="Verdana" w:hAnsi="Verdana" w:cs="Arial"/>
          <w:lang w:val="es-MX"/>
        </w:rPr>
        <w:t xml:space="preserve">Las condiciones en las que debe cumplirse esta obligación fueron reglamentadas por el Decreto 1082 de 2015, el cual entre sus artículos 2.2.1.2.3.1.1. y 2.2.1.2.3.1.19 se refiere a asuntos como las clases de garantías permitidas, la indivisibilidad de estas,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466CBE7F" w14:textId="77777777" w:rsidR="00E11DD9" w:rsidRPr="003E2347" w:rsidRDefault="00E11DD9" w:rsidP="00E11DD9">
      <w:pPr>
        <w:spacing w:before="120" w:line="276" w:lineRule="auto"/>
        <w:ind w:firstLine="708"/>
        <w:jc w:val="both"/>
        <w:rPr>
          <w:rFonts w:ascii="Verdana" w:hAnsi="Verdana" w:cs="Arial"/>
          <w:color w:val="000000" w:themeColor="text1"/>
        </w:rPr>
      </w:pPr>
      <w:r w:rsidRPr="003E2347">
        <w:rPr>
          <w:rFonts w:ascii="Verdana" w:eastAsia="Calibri" w:hAnsi="Verdana" w:cs="Arial"/>
          <w:lang w:val="es-ES_tradnl"/>
        </w:rPr>
        <w:t xml:space="preserve">De acuerdo a </w:t>
      </w:r>
      <w:r>
        <w:rPr>
          <w:rFonts w:ascii="Verdana" w:eastAsia="Calibri" w:hAnsi="Verdana" w:cs="Arial"/>
          <w:lang w:val="es-ES_tradnl"/>
        </w:rPr>
        <w:t>con esto</w:t>
      </w:r>
      <w:r w:rsidRPr="003E2347">
        <w:rPr>
          <w:rFonts w:ascii="Verdana" w:eastAsia="Calibri" w:hAnsi="Verdana" w:cs="Arial"/>
          <w:lang w:val="es-ES_tradnl"/>
        </w:rPr>
        <w:t>, l</w:t>
      </w:r>
      <w:r w:rsidRPr="003E2347">
        <w:rPr>
          <w:rFonts w:ascii="Verdana" w:hAnsi="Verdana" w:cs="Arial"/>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3E2347">
        <w:rPr>
          <w:rFonts w:ascii="Verdana" w:eastAsia="Calibri" w:hAnsi="Verdana" w:cs="Arial"/>
        </w:rPr>
        <w:t xml:space="preserve">para amparar los riesgos contractuales; </w:t>
      </w:r>
      <w:proofErr w:type="spellStart"/>
      <w:r w:rsidRPr="003E2347">
        <w:rPr>
          <w:rFonts w:ascii="Verdana" w:hAnsi="Verdana" w:cs="Arial"/>
        </w:rPr>
        <w:t>ii</w:t>
      </w:r>
      <w:proofErr w:type="spellEnd"/>
      <w:r w:rsidRPr="003E2347">
        <w:rPr>
          <w:rFonts w:ascii="Verdana" w:hAnsi="Verdana" w:cs="Arial"/>
        </w:rPr>
        <w:t>)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907E99">
        <w:rPr>
          <w:rStyle w:val="Refdenotaalpie"/>
          <w:rFonts w:ascii="Verdana" w:hAnsi="Verdana" w:cs="Arial"/>
        </w:rPr>
        <w:footnoteReference w:id="19"/>
      </w:r>
      <w:r w:rsidRPr="003E2347">
        <w:rPr>
          <w:rFonts w:ascii="Verdana" w:hAnsi="Verdana" w:cs="Arial"/>
        </w:rPr>
        <w:t xml:space="preserve">;  </w:t>
      </w:r>
      <w:proofErr w:type="spellStart"/>
      <w:r w:rsidRPr="003E2347">
        <w:rPr>
          <w:rFonts w:ascii="Verdana" w:hAnsi="Verdana" w:cs="Arial"/>
        </w:rPr>
        <w:t>iii</w:t>
      </w:r>
      <w:proofErr w:type="spellEnd"/>
      <w:r w:rsidRPr="003E2347">
        <w:rPr>
          <w:rFonts w:ascii="Verdana" w:hAnsi="Verdana" w:cs="Arial"/>
        </w:rPr>
        <w:t xml:space="preserve">) garantías bancarias o cartas de crédito </w:t>
      </w:r>
      <w:r w:rsidRPr="003E2347">
        <w:rPr>
          <w:rFonts w:ascii="Verdana" w:hAnsi="Verdana" w:cs="Arial"/>
          <w:i/>
          <w:iCs/>
        </w:rPr>
        <w:t>stand</w:t>
      </w:r>
      <w:r w:rsidRPr="003E2347">
        <w:rPr>
          <w:rFonts w:ascii="Verdana" w:hAnsi="Verdana" w:cs="Arial"/>
        </w:rPr>
        <w:t xml:space="preserve"> </w:t>
      </w:r>
      <w:proofErr w:type="spellStart"/>
      <w:r w:rsidRPr="003E2347">
        <w:rPr>
          <w:rFonts w:ascii="Verdana" w:hAnsi="Verdana" w:cs="Arial"/>
          <w:i/>
          <w:iCs/>
        </w:rPr>
        <w:t>by</w:t>
      </w:r>
      <w:proofErr w:type="spellEnd"/>
      <w:r w:rsidRPr="003E2347">
        <w:rPr>
          <w:rFonts w:ascii="Verdana" w:hAnsi="Verdana" w:cs="Arial"/>
        </w:rPr>
        <w:t xml:space="preserve">, que consisten en compromisos irrevocables o incondicionales asumidos por una entidad financiera </w:t>
      </w:r>
      <w:r w:rsidRPr="003E2347">
        <w:rPr>
          <w:rFonts w:ascii="Verdana" w:hAnsi="Verdana" w:cs="Arial"/>
        </w:rPr>
        <w:lastRenderedPageBreak/>
        <w:t>de pagar una suma determinada de dinero</w:t>
      </w:r>
      <w:r w:rsidRPr="00907E99">
        <w:rPr>
          <w:rStyle w:val="Refdenotaalpie"/>
          <w:rFonts w:ascii="Verdana" w:hAnsi="Verdana" w:cs="Arial"/>
        </w:rPr>
        <w:footnoteReference w:id="20"/>
      </w:r>
      <w:r w:rsidRPr="003E2347">
        <w:rPr>
          <w:rFonts w:ascii="Verdana" w:hAnsi="Verdana" w:cs="Arial"/>
        </w:rPr>
        <w:t>. La suficiencia y la vigencia de las garantías deben ser las reguladas en los artículos 2.2.1.2.3.1.9 a 2.2.1.2.3.1.16 del Decreto 1082 de 2015.</w:t>
      </w:r>
    </w:p>
    <w:p w14:paraId="54D4EAAC" w14:textId="77777777" w:rsidR="00E11DD9" w:rsidRPr="003E2347" w:rsidRDefault="00E11DD9" w:rsidP="00E11DD9">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rPr>
        <w:t xml:space="preserve">Con todo, en respuesta a la consulta de la referencia, se debe indicar que este régimen de garantías aplica respecto de los contratos sometidos al Estatuto General de Contratación de la Administración Pública. Esto significa que, estas regulaciones no resultan </w:t>
      </w:r>
      <w:r w:rsidRPr="006D4859">
        <w:rPr>
          <w:rFonts w:ascii="Verdana" w:eastAsia="Calibri" w:hAnsi="Verdana" w:cs="Arial"/>
          <w:i/>
          <w:iCs/>
          <w:color w:val="000000" w:themeColor="text1"/>
        </w:rPr>
        <w:t>per se</w:t>
      </w:r>
      <w:r>
        <w:rPr>
          <w:rFonts w:ascii="Verdana" w:eastAsia="Calibri" w:hAnsi="Verdana" w:cs="Arial"/>
          <w:i/>
          <w:iCs/>
          <w:color w:val="000000" w:themeColor="text1"/>
        </w:rPr>
        <w:t xml:space="preserve"> </w:t>
      </w:r>
      <w:r>
        <w:rPr>
          <w:rFonts w:ascii="Verdana" w:eastAsia="Calibri" w:hAnsi="Verdana" w:cs="Arial"/>
          <w:color w:val="000000" w:themeColor="text1"/>
        </w:rPr>
        <w:t>aplicables a las entidades estatales que están sometidas a regímenes especiales, dado que están llamadas a aplicar los mecanismos de cobertura del riesgo que resulten pertinentes de acuerdo con lo establecidos en estatuto interno de contratación.</w:t>
      </w:r>
    </w:p>
    <w:p w14:paraId="073BAED7" w14:textId="77777777" w:rsidR="00E11DD9" w:rsidRDefault="00E11DD9" w:rsidP="00E11DD9">
      <w:pPr>
        <w:spacing w:after="120" w:line="276" w:lineRule="auto"/>
        <w:ind w:firstLine="708"/>
        <w:jc w:val="both"/>
        <w:rPr>
          <w:rFonts w:ascii="Verdana" w:eastAsia="Calibri" w:hAnsi="Verdana" w:cs="Arial"/>
        </w:rPr>
      </w:pPr>
      <w:r>
        <w:rPr>
          <w:rFonts w:ascii="Verdana" w:eastAsia="Calibri" w:hAnsi="Verdana" w:cs="Arial"/>
          <w:color w:val="000000" w:themeColor="text1"/>
          <w:lang w:val="es-ES_tradnl"/>
        </w:rPr>
        <w:t>Al respecto, es importante tener en cuenta</w:t>
      </w:r>
      <w:r>
        <w:rPr>
          <w:rFonts w:ascii="Verdana" w:eastAsia="Calibri" w:hAnsi="Verdana" w:cs="Arial"/>
        </w:rPr>
        <w:t xml:space="preserve"> que</w:t>
      </w:r>
      <w:r w:rsidRPr="00BE4E34">
        <w:rPr>
          <w:rFonts w:ascii="Verdana" w:eastAsia="Calibri" w:hAnsi="Verdana" w:cs="Arial"/>
        </w:rPr>
        <w:t>, frente a la</w:t>
      </w:r>
      <w:r>
        <w:rPr>
          <w:rFonts w:ascii="Verdana" w:eastAsia="Calibri" w:hAnsi="Verdana" w:cs="Arial"/>
        </w:rPr>
        <w:t xml:space="preserve"> implementación de mecanismos de cobertura del riesgo como el contrato de seguro, su aplicación por parte de entidades de régimen especial implica ciertas distinciones en comparación con el régimen de contratación general. Por ejemplo, para la </w:t>
      </w:r>
      <w:r w:rsidRPr="00BE4E34">
        <w:rPr>
          <w:rFonts w:ascii="Verdana" w:eastAsia="Calibri" w:hAnsi="Verdana" w:cs="Arial"/>
        </w:rPr>
        <w:t>declaratoria del siniestro que da lugar al cobro de la póliza de cumplimiento, las entidades de régimen especial debe</w:t>
      </w:r>
      <w:r>
        <w:rPr>
          <w:rFonts w:ascii="Verdana" w:eastAsia="Calibri" w:hAnsi="Verdana" w:cs="Arial"/>
        </w:rPr>
        <w:t>n</w:t>
      </w:r>
      <w:r w:rsidRPr="00BE4E34">
        <w:rPr>
          <w:rFonts w:ascii="Verdana" w:eastAsia="Calibri" w:hAnsi="Verdana" w:cs="Arial"/>
        </w:rPr>
        <w:t xml:space="preserve"> seguir las normas del Código de Comercio. Sobre el particular este establece en su artículo 1077 que le corresponde al asegurado demostrar la ocurrencia del siniestro, así como la cuantía de la pérdida. </w:t>
      </w:r>
      <w:r>
        <w:rPr>
          <w:rFonts w:ascii="Verdana" w:eastAsia="Calibri" w:hAnsi="Verdana" w:cs="Arial"/>
        </w:rPr>
        <w:t>Esto resulta particularmente relevante, considerando que, de acuerdo con lo antes explicado,</w:t>
      </w:r>
      <w:r w:rsidRPr="00BE4E34">
        <w:rPr>
          <w:rFonts w:ascii="Verdana" w:eastAsia="Calibri" w:hAnsi="Verdana" w:cs="Arial"/>
        </w:rPr>
        <w:t xml:space="preserve"> </w:t>
      </w:r>
      <w:r>
        <w:rPr>
          <w:rFonts w:ascii="Verdana" w:eastAsia="Calibri" w:hAnsi="Verdana" w:cs="Arial"/>
        </w:rPr>
        <w:t xml:space="preserve">las entidades estatales de régimen especial no tienen la posibilidad de </w:t>
      </w:r>
      <w:r w:rsidRPr="00BE4E34">
        <w:rPr>
          <w:rFonts w:ascii="Verdana" w:eastAsia="Calibri" w:hAnsi="Verdana" w:cs="Arial"/>
        </w:rPr>
        <w:t xml:space="preserve">expedir actos administrativos </w:t>
      </w:r>
      <w:r>
        <w:rPr>
          <w:rFonts w:ascii="Verdana" w:eastAsia="Calibri" w:hAnsi="Verdana" w:cs="Arial"/>
        </w:rPr>
        <w:t>tendientes</w:t>
      </w:r>
      <w:r w:rsidRPr="00BE4E34">
        <w:rPr>
          <w:rFonts w:ascii="Verdana" w:eastAsia="Calibri" w:hAnsi="Verdana" w:cs="Arial"/>
        </w:rPr>
        <w:t xml:space="preserve"> declarar el incumplimiento</w:t>
      </w:r>
      <w:r>
        <w:rPr>
          <w:rFonts w:ascii="Verdana" w:eastAsia="Calibri" w:hAnsi="Verdana" w:cs="Arial"/>
        </w:rPr>
        <w:t>, materializar el siniestro</w:t>
      </w:r>
      <w:r w:rsidRPr="00BE4E34">
        <w:rPr>
          <w:rFonts w:ascii="Verdana" w:eastAsia="Calibri" w:hAnsi="Verdana" w:cs="Arial"/>
        </w:rPr>
        <w:t xml:space="preserve"> y hacer efectivo el amparo de la póliza del seguro de cumplimiento.</w:t>
      </w:r>
      <w:r>
        <w:rPr>
          <w:rFonts w:ascii="Verdana" w:eastAsia="Calibri" w:hAnsi="Verdana" w:cs="Arial"/>
        </w:rPr>
        <w:t xml:space="preserve"> </w:t>
      </w:r>
    </w:p>
    <w:p w14:paraId="17AF263B" w14:textId="77777777" w:rsidR="00E11DD9" w:rsidRDefault="00E11DD9" w:rsidP="00E11DD9">
      <w:pPr>
        <w:tabs>
          <w:tab w:val="left" w:pos="567"/>
        </w:tabs>
        <w:spacing w:after="120" w:line="276" w:lineRule="auto"/>
        <w:ind w:firstLine="567"/>
        <w:jc w:val="both"/>
        <w:rPr>
          <w:rFonts w:ascii="Verdana" w:eastAsia="Calibri" w:hAnsi="Verdana" w:cs="Arial"/>
        </w:rPr>
      </w:pPr>
      <w:r>
        <w:rPr>
          <w:rFonts w:ascii="Verdana" w:eastAsia="Calibri" w:hAnsi="Verdana" w:cs="Arial"/>
        </w:rPr>
        <w:t xml:space="preserve">Por lo tanto, </w:t>
      </w:r>
      <w:r w:rsidRPr="00CB471F">
        <w:rPr>
          <w:rFonts w:ascii="Verdana" w:eastAsia="Calibri" w:hAnsi="Verdana" w:cs="Arial"/>
        </w:rPr>
        <w:t xml:space="preserve">una entidad estatal cuyos actos y contratos se rijan por el derecho privado, deberá realizar las mismas actuaciones que el resto de los sujetos de derecho privado; así, para el caso del contrato de seguros, deberá acudir a la aseguradora </w:t>
      </w:r>
      <w:r>
        <w:rPr>
          <w:rFonts w:ascii="Verdana" w:eastAsia="Calibri" w:hAnsi="Verdana" w:cs="Arial"/>
        </w:rPr>
        <w:t>con el fin de</w:t>
      </w:r>
      <w:r w:rsidRPr="00CB471F">
        <w:rPr>
          <w:rFonts w:ascii="Verdana" w:eastAsia="Calibri" w:hAnsi="Verdana" w:cs="Arial"/>
        </w:rPr>
        <w:t xml:space="preserve"> demostrar la ocurrencia del siniestro y la cuantía de los perjuicios</w:t>
      </w:r>
      <w:r>
        <w:rPr>
          <w:rStyle w:val="Refdenotaalpie"/>
          <w:rFonts w:ascii="Verdana" w:eastAsia="Calibri" w:hAnsi="Verdana" w:cs="Arial"/>
        </w:rPr>
        <w:footnoteReference w:id="21"/>
      </w:r>
      <w:r w:rsidRPr="00CB471F">
        <w:rPr>
          <w:rFonts w:ascii="Verdana" w:eastAsia="Calibri" w:hAnsi="Verdana" w:cs="Arial"/>
        </w:rPr>
        <w:t xml:space="preserve">.  </w:t>
      </w:r>
    </w:p>
    <w:p w14:paraId="355A5AC9" w14:textId="77777777" w:rsidR="00E11DD9" w:rsidRPr="005C280F" w:rsidRDefault="00E11DD9" w:rsidP="00E11DD9">
      <w:pPr>
        <w:spacing w:after="120" w:line="276" w:lineRule="auto"/>
        <w:ind w:firstLine="708"/>
        <w:jc w:val="both"/>
        <w:rPr>
          <w:rFonts w:ascii="Verdana" w:eastAsia="Calibri" w:hAnsi="Verdana" w:cs="Arial"/>
        </w:rPr>
      </w:pPr>
      <w:proofErr w:type="spellStart"/>
      <w:r>
        <w:rPr>
          <w:rFonts w:ascii="Verdana" w:eastAsia="Calibri" w:hAnsi="Verdana" w:cs="Arial"/>
        </w:rPr>
        <w:lastRenderedPageBreak/>
        <w:t>iii</w:t>
      </w:r>
      <w:proofErr w:type="spellEnd"/>
      <w:r>
        <w:rPr>
          <w:rFonts w:ascii="Verdana" w:eastAsia="Calibri" w:hAnsi="Verdana" w:cs="Arial"/>
        </w:rPr>
        <w:t xml:space="preserve">) Por último, </w:t>
      </w:r>
      <w:r w:rsidRPr="00BE4E34">
        <w:rPr>
          <w:rFonts w:ascii="Verdana" w:eastAsia="Calibri" w:hAnsi="Verdana" w:cs="Arial"/>
        </w:rPr>
        <w:t>conforme lo establece el artículo 1075 de Código de Comercio, el asegurado o el beneficiario estarán obligados a dar noticia al asegurador de la ocurrencia del siniestro, dentro de los tres días siguientes a la fecha en que lo hayan conocido o debido conocer. La compañía aseguradora podrá tomar a su cargo el cumplimiento del contrato sustituyendo al contratista por otro que d</w:t>
      </w:r>
      <w:r>
        <w:rPr>
          <w:rFonts w:ascii="Verdana" w:eastAsia="Calibri" w:hAnsi="Verdana" w:cs="Arial"/>
        </w:rPr>
        <w:t>é</w:t>
      </w:r>
      <w:r w:rsidRPr="00BE4E34">
        <w:rPr>
          <w:rFonts w:ascii="Verdana" w:eastAsia="Calibri" w:hAnsi="Verdana" w:cs="Arial"/>
        </w:rPr>
        <w:t xml:space="preserve"> cumplimiento a los derechos y obligaciones derivados del contrato asegurado.</w:t>
      </w:r>
      <w:r>
        <w:rPr>
          <w:rFonts w:ascii="Verdana" w:eastAsia="Calibri" w:hAnsi="Verdana" w:cs="Arial"/>
        </w:rPr>
        <w:t xml:space="preserve"> </w:t>
      </w:r>
      <w:r w:rsidRPr="00BE4E34">
        <w:rPr>
          <w:rFonts w:ascii="Verdana" w:eastAsia="Calibri" w:hAnsi="Verdana" w:cs="Arial"/>
        </w:rPr>
        <w:t>En caso de que la reclamación sea objetada por parte de la compañía de seguros, la entidad deberá acudir al juez del contrato mediante la acción de responsabilidad civil contractual contra la contratista, vinculando como tercero civilmente responsable a la aseguradora. De esta manera, en caso de que el contratista sea condenado, el juez podrá ordenar a la aseguradora el pago de los perjuicios hasta el monto pactado como valor asegurado.</w:t>
      </w:r>
    </w:p>
    <w:p w14:paraId="66599115" w14:textId="77777777" w:rsidR="00E11DD9" w:rsidRPr="005C280F" w:rsidRDefault="00E11DD9" w:rsidP="00E11DD9">
      <w:pPr>
        <w:spacing w:after="120" w:line="276" w:lineRule="auto"/>
        <w:ind w:firstLine="708"/>
        <w:jc w:val="both"/>
        <w:rPr>
          <w:rFonts w:ascii="Verdana" w:eastAsia="Calibri" w:hAnsi="Verdana" w:cs="Arial"/>
        </w:rPr>
      </w:pPr>
      <w:r>
        <w:rPr>
          <w:rFonts w:ascii="Verdana" w:eastAsia="Calibri" w:hAnsi="Verdana" w:cs="Arial"/>
        </w:rPr>
        <w:t xml:space="preserve">Sin perjuicio de lo anterior, en el marco de la discrecionalidad que les asiste para configurar el contenidas en sus manuales de contratación, los órganos de decisión que al interior de dichas entidades tengan la competencia para establecer el estatuto interno o manual de contratación, pueden optar por establecer mecanismos de cobertura de los riesgos similares a los establecidos por el artículo 7 de la Ley 1150 de 2007 o incorporar los consideren adecuados a los negocios jurídicos que suscriben. De cualquier modo, los mecanismos que adopten deberán necesariamente enmarcarse en el derecho privado y actuar como particular, lo anterior enmarcado en la autonomía de la voluntad que imprime las cláusulas pactadas en los contratos o convenios a celebrar.   </w:t>
      </w:r>
    </w:p>
    <w:p w14:paraId="151FB816" w14:textId="77777777" w:rsidR="00E11DD9" w:rsidRPr="006D034C" w:rsidRDefault="00E11DD9" w:rsidP="00E11DD9">
      <w:pPr>
        <w:spacing w:after="0" w:line="276" w:lineRule="auto"/>
        <w:jc w:val="both"/>
        <w:rPr>
          <w:rFonts w:ascii="Verdana" w:eastAsia="Calibri" w:hAnsi="Verdana" w:cs="Arial"/>
        </w:rPr>
      </w:pPr>
    </w:p>
    <w:p w14:paraId="7CE5D537" w14:textId="77777777" w:rsidR="00E11DD9" w:rsidRPr="00ED7249" w:rsidRDefault="00E11DD9" w:rsidP="00E11DD9">
      <w:pPr>
        <w:spacing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11DD9" w:rsidRPr="00F71A6A" w14:paraId="1A15F257" w14:textId="77777777" w:rsidTr="00DD0D03">
        <w:trPr>
          <w:trHeight w:val="632"/>
        </w:trPr>
        <w:tc>
          <w:tcPr>
            <w:tcW w:w="8647" w:type="dxa"/>
          </w:tcPr>
          <w:p w14:paraId="1831AC26"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hAnsi="Verdana" w:cs="Arial"/>
                <w:lang w:val="es-MX"/>
              </w:rPr>
              <w:t>Ley 487 de 1998. Artículo 8.</w:t>
            </w:r>
          </w:p>
          <w:p w14:paraId="44A5E95F"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eastAsia="Century Gothic" w:hAnsi="Verdana" w:cs="Century Gothic"/>
              </w:rPr>
              <w:t xml:space="preserve">Decreto 1812 de 2000. Artículos 2 y 10. </w:t>
            </w:r>
            <w:r w:rsidRPr="006A2E12">
              <w:rPr>
                <w:rFonts w:ascii="Verdana" w:hAnsi="Verdana" w:cs="Arial"/>
                <w:lang w:val="es-MX"/>
              </w:rPr>
              <w:t xml:space="preserve"> </w:t>
            </w:r>
          </w:p>
          <w:p w14:paraId="2BF6CADD"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hAnsi="Verdana" w:cs="Arial"/>
                <w:color w:val="000000" w:themeColor="text1"/>
              </w:rPr>
              <w:t>Ley 1474 de 2011. Artículo 86.</w:t>
            </w:r>
          </w:p>
          <w:p w14:paraId="35D14299"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hAnsi="Verdana"/>
              </w:rPr>
              <w:t>Decreto 2467 de 2005. Artículos 30 y 31.</w:t>
            </w:r>
          </w:p>
          <w:p w14:paraId="37F4B7E8"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hAnsi="Verdana"/>
              </w:rPr>
              <w:t>Decreto 4155 de 2011. Artículo 29.</w:t>
            </w:r>
          </w:p>
          <w:p w14:paraId="42400E55"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hAnsi="Verdana"/>
              </w:rPr>
              <w:t>Decreto 2094 de 2016. Artículo 31.</w:t>
            </w:r>
          </w:p>
          <w:p w14:paraId="2E729E8F"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Pr>
                <w:rFonts w:ascii="Verdana" w:hAnsi="Verdana"/>
              </w:rPr>
              <w:t>Ley 80 de 1993. Artículo 2.</w:t>
            </w:r>
          </w:p>
          <w:p w14:paraId="7E3998F4"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hAnsi="Verdana"/>
              </w:rPr>
              <w:t>Ley 142 de 1994</w:t>
            </w:r>
            <w:r>
              <w:rPr>
                <w:rFonts w:ascii="Verdana" w:hAnsi="Verdana"/>
              </w:rPr>
              <w:t>. Artículo 31.</w:t>
            </w:r>
          </w:p>
          <w:p w14:paraId="02ADD403"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Pr>
                <w:rFonts w:ascii="Verdana" w:hAnsi="Verdana"/>
              </w:rPr>
              <w:t xml:space="preserve">Ley </w:t>
            </w:r>
            <w:r w:rsidRPr="006A2E12">
              <w:rPr>
                <w:rFonts w:ascii="Verdana" w:hAnsi="Verdana"/>
              </w:rPr>
              <w:t>689 de 2001</w:t>
            </w:r>
            <w:r>
              <w:rPr>
                <w:rFonts w:ascii="Verdana" w:hAnsi="Verdana"/>
              </w:rPr>
              <w:t xml:space="preserve">. Artículo 3. </w:t>
            </w:r>
          </w:p>
          <w:p w14:paraId="61AB24DF"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hAnsi="Verdana"/>
              </w:rPr>
              <w:t>Ley 100 de 1993</w:t>
            </w:r>
            <w:r>
              <w:rPr>
                <w:rFonts w:ascii="Verdana" w:hAnsi="Verdana"/>
              </w:rPr>
              <w:t xml:space="preserve">. Artículo </w:t>
            </w:r>
            <w:r w:rsidRPr="006A2E12">
              <w:rPr>
                <w:rFonts w:ascii="Verdana" w:hAnsi="Verdana"/>
              </w:rPr>
              <w:t>195, numeral 6</w:t>
            </w:r>
            <w:r>
              <w:rPr>
                <w:rFonts w:ascii="Verdana" w:hAnsi="Verdana"/>
              </w:rPr>
              <w:t>.</w:t>
            </w:r>
          </w:p>
          <w:p w14:paraId="7DB2582D"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3E2347">
              <w:rPr>
                <w:rFonts w:ascii="Verdana" w:hAnsi="Verdana" w:cs="Arial"/>
                <w:iCs/>
                <w:color w:val="000000" w:themeColor="text1"/>
              </w:rPr>
              <w:t>Ley 1437 de 2011</w:t>
            </w:r>
            <w:r>
              <w:rPr>
                <w:rFonts w:ascii="Verdana" w:hAnsi="Verdana" w:cs="Arial"/>
                <w:iCs/>
                <w:color w:val="000000" w:themeColor="text1"/>
              </w:rPr>
              <w:t>. Artículos 137 y 141.</w:t>
            </w:r>
          </w:p>
          <w:p w14:paraId="3DEDAD09"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Pr>
                <w:rFonts w:ascii="Verdana" w:hAnsi="Verdana" w:cs="Arial"/>
                <w:iCs/>
                <w:color w:val="000000" w:themeColor="text1"/>
              </w:rPr>
              <w:t>Ley 1150 de 2007. Artículo 7.</w:t>
            </w:r>
          </w:p>
          <w:p w14:paraId="62140151"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Pr>
                <w:rFonts w:ascii="Verdana" w:hAnsi="Verdana" w:cs="Arial"/>
                <w:iCs/>
                <w:color w:val="000000" w:themeColor="text1"/>
              </w:rPr>
              <w:lastRenderedPageBreak/>
              <w:t xml:space="preserve">Decreto 1082 de 2015. Artículos </w:t>
            </w:r>
            <w:r w:rsidRPr="003E2347">
              <w:rPr>
                <w:rFonts w:ascii="Verdana" w:hAnsi="Verdana" w:cs="Arial"/>
                <w:lang w:val="es-MX"/>
              </w:rPr>
              <w:t>2.2.1.2.3.1.1.</w:t>
            </w:r>
            <w:r>
              <w:rPr>
                <w:rFonts w:ascii="Verdana" w:hAnsi="Verdana" w:cs="Arial"/>
                <w:lang w:val="es-MX"/>
              </w:rPr>
              <w:t>,</w:t>
            </w:r>
            <w:r w:rsidRPr="003E2347">
              <w:rPr>
                <w:rFonts w:ascii="Verdana" w:hAnsi="Verdana" w:cs="Arial"/>
                <w:lang w:val="es-MX"/>
              </w:rPr>
              <w:t xml:space="preserve"> 2.2.1.2.3.1.19</w:t>
            </w:r>
            <w:r>
              <w:rPr>
                <w:rFonts w:ascii="Verdana" w:hAnsi="Verdana" w:cs="Arial"/>
                <w:lang w:val="es-MX"/>
              </w:rPr>
              <w:t xml:space="preserve"> </w:t>
            </w:r>
            <w:r w:rsidRPr="003E2347">
              <w:rPr>
                <w:rFonts w:ascii="Verdana" w:hAnsi="Verdana" w:cs="Arial"/>
              </w:rPr>
              <w:t>a 2.2.1.2.3.1.16</w:t>
            </w:r>
            <w:r>
              <w:rPr>
                <w:rFonts w:ascii="Verdana" w:hAnsi="Verdana" w:cs="Arial"/>
              </w:rPr>
              <w:t>.</w:t>
            </w:r>
          </w:p>
          <w:p w14:paraId="34837278" w14:textId="77777777" w:rsidR="00E11DD9" w:rsidRPr="006A2E12"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Pr>
                <w:rFonts w:ascii="Verdana" w:hAnsi="Verdana" w:cs="Arial"/>
                <w:iCs/>
                <w:color w:val="000000" w:themeColor="text1"/>
              </w:rPr>
              <w:t xml:space="preserve">Código de Comercio. Artículos 1075 y 1077. </w:t>
            </w:r>
          </w:p>
          <w:p w14:paraId="31CB2A9B"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eastAsia="Calibri" w:hAnsi="Verdana" w:cs="Arial"/>
                <w:color w:val="000000" w:themeColor="text1"/>
              </w:rPr>
              <w:t>Guía para las Entidades Estatales con régimen especial de contratación.</w:t>
            </w:r>
          </w:p>
          <w:p w14:paraId="5A2E3AF3" w14:textId="77777777" w:rsidR="00E11DD9"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cs="Arial"/>
                <w:lang w:val="es-ES_tradnl"/>
              </w:rPr>
              <w:t xml:space="preserve">Agencia Nacional de Contratación Pública –Colombia Compra Eficiente–. Guía de garantías en procesos de contratación. p. 12. Disponible en: </w:t>
            </w:r>
            <w:hyperlink r:id="rId12" w:history="1">
              <w:r w:rsidRPr="00DE192A">
                <w:rPr>
                  <w:rStyle w:val="Hipervnculo"/>
                  <w:rFonts w:ascii="Verdana" w:hAnsi="Verdana" w:cs="Arial"/>
                  <w:lang w:val="es-ES_tradnl"/>
                </w:rPr>
                <w:t>https://www.colombiacompra.gov.co/manuales-guias-y-pliegos-tipo/manuales-y-guias</w:t>
              </w:r>
            </w:hyperlink>
            <w:r w:rsidRPr="00281FB5">
              <w:rPr>
                <w:rFonts w:ascii="Verdana" w:hAnsi="Verdana" w:cs="Arial"/>
                <w:lang w:val="es-ES_tradnl"/>
              </w:rPr>
              <w:t>.</w:t>
            </w:r>
          </w:p>
          <w:p w14:paraId="3A98506C"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cs="Arial"/>
                <w:color w:val="000000" w:themeColor="text1"/>
              </w:rPr>
              <w:t>Consejo de Estado. Sala de lo Contencioso Administrativo. Sección Tercera. Subsección A. Sentencia del 24 de octubre de 2016. Radicado No. 45.607. Consejera Ponente: María Nubia Velásquez Rico.</w:t>
            </w:r>
          </w:p>
          <w:p w14:paraId="00521867"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cs="Arial"/>
                <w:color w:val="000000" w:themeColor="text1"/>
              </w:rPr>
              <w:t xml:space="preserve">Consejo de Estado. Sala de lo Contencioso Administrativo. Sección Tercera. Subsección C. Sentencia del 20 de febrero de 2017. Consejero Ponente: Jaime Orlando Santofimio Gamboa. Expediente: </w:t>
            </w:r>
            <w:r w:rsidRPr="00281FB5">
              <w:rPr>
                <w:rFonts w:ascii="Verdana" w:hAnsi="Verdana" w:cs="Arial"/>
                <w:color w:val="000000" w:themeColor="text1"/>
                <w:lang w:val="es-ES_tradnl"/>
              </w:rPr>
              <w:t>56939</w:t>
            </w:r>
            <w:r>
              <w:rPr>
                <w:rFonts w:ascii="Verdana" w:hAnsi="Verdana" w:cs="Arial"/>
                <w:color w:val="000000" w:themeColor="text1"/>
                <w:lang w:val="es-ES_tradnl"/>
              </w:rPr>
              <w:t>.</w:t>
            </w:r>
          </w:p>
          <w:p w14:paraId="687EE0BC"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cs="Arial"/>
                <w:color w:val="000000" w:themeColor="text1"/>
              </w:rPr>
              <w:t>Consejo de Estado. Sala de lo Contencioso Administrativo. Sección Tercera. Subsección C. Sentencia del 20 de febrero de 2017. Consejero Ponente: Jaime Orlando Santofimio Gamboa</w:t>
            </w:r>
            <w:r>
              <w:rPr>
                <w:rFonts w:ascii="Verdana" w:hAnsi="Verdana" w:cs="Arial"/>
                <w:color w:val="000000" w:themeColor="text1"/>
              </w:rPr>
              <w:t>. Expediente: 5</w:t>
            </w:r>
            <w:r w:rsidRPr="00281FB5">
              <w:rPr>
                <w:rFonts w:ascii="Verdana" w:hAnsi="Verdana" w:cs="Arial"/>
                <w:color w:val="000000" w:themeColor="text1"/>
                <w:lang w:val="es-ES_tradnl"/>
              </w:rPr>
              <w:t xml:space="preserve">6562. </w:t>
            </w:r>
          </w:p>
          <w:p w14:paraId="66808AC6"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cs="Arial"/>
                <w:color w:val="000000" w:themeColor="text1"/>
                <w:lang w:val="es-ES_tradnl"/>
              </w:rPr>
              <w:t>Consejo de Estado. Sala de lo Contencioso Administrativo. Sección Tercera. Subsección B. 1 de agosto de 2018. Consejera Ponente: Stella Conto Díaz del Castillo. Expediente: 39277</w:t>
            </w:r>
            <w:r>
              <w:rPr>
                <w:rFonts w:ascii="Verdana" w:hAnsi="Verdana" w:cs="Arial"/>
                <w:color w:val="000000" w:themeColor="text1"/>
                <w:lang w:val="es-ES_tradnl"/>
              </w:rPr>
              <w:t>.</w:t>
            </w:r>
            <w:r w:rsidRPr="00281FB5">
              <w:rPr>
                <w:rFonts w:ascii="Verdana" w:hAnsi="Verdana" w:cs="Arial"/>
                <w:color w:val="000000" w:themeColor="text1"/>
                <w:lang w:val="es-ES_tradnl"/>
              </w:rPr>
              <w:t xml:space="preserve"> </w:t>
            </w:r>
          </w:p>
          <w:p w14:paraId="6C58CD88"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cs="Arial"/>
                <w:color w:val="000000" w:themeColor="text1"/>
                <w:lang w:val="es-ES_tradnl"/>
              </w:rPr>
              <w:t>Consejo de Estado. Sala de lo Contencioso Administrativo. Sección Tercera. Subsección B sentencia del 14 de febrero de 2019. Consejero Ponente: Carlos Alberto Zambrano Barrera. Expediente: 38937.</w:t>
            </w:r>
          </w:p>
          <w:p w14:paraId="25D1C10F" w14:textId="77777777" w:rsidR="00E11DD9" w:rsidRDefault="00E11DD9" w:rsidP="09FEE39D">
            <w:pPr>
              <w:pStyle w:val="Prrafodelista"/>
              <w:numPr>
                <w:ilvl w:val="0"/>
                <w:numId w:val="17"/>
              </w:numPr>
              <w:spacing w:line="276" w:lineRule="auto"/>
              <w:ind w:left="357" w:hanging="357"/>
              <w:jc w:val="both"/>
              <w:rPr>
                <w:rFonts w:ascii="Verdana" w:hAnsi="Verdana" w:cs="Arial"/>
              </w:rPr>
            </w:pPr>
            <w:r w:rsidRPr="09FEE39D">
              <w:rPr>
                <w:rFonts w:ascii="Verdana" w:hAnsi="Verdana" w:cs="Arial"/>
              </w:rPr>
              <w:t xml:space="preserve">Consejo de Estado. Sala Plena. Sección Tercera. Sentencia de Unificación del 9 de mayo de 2024, C.P. José Roberto Sáchica Méndez, </w:t>
            </w:r>
            <w:proofErr w:type="spellStart"/>
            <w:r w:rsidRPr="09FEE39D">
              <w:rPr>
                <w:rFonts w:ascii="Verdana" w:hAnsi="Verdana" w:cs="Arial"/>
              </w:rPr>
              <w:t>Exp</w:t>
            </w:r>
            <w:proofErr w:type="spellEnd"/>
            <w:r w:rsidRPr="09FEE39D">
              <w:rPr>
                <w:rFonts w:ascii="Verdana" w:hAnsi="Verdana" w:cs="Arial"/>
              </w:rPr>
              <w:t>. No. 53.962.</w:t>
            </w:r>
          </w:p>
          <w:p w14:paraId="7AE83097"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lang w:val="es-CO"/>
              </w:rPr>
              <w:t xml:space="preserve">Consejo de Estado. Sala de lo Contenciosos Administrativo. Sección Tercera. Subsección B, sentencia del 19 de junio de 2019, </w:t>
            </w:r>
            <w:proofErr w:type="spellStart"/>
            <w:r w:rsidRPr="00281FB5">
              <w:rPr>
                <w:rFonts w:ascii="Verdana" w:hAnsi="Verdana"/>
                <w:lang w:val="es-CO"/>
              </w:rPr>
              <w:t>Exp</w:t>
            </w:r>
            <w:proofErr w:type="spellEnd"/>
            <w:r w:rsidRPr="00281FB5">
              <w:rPr>
                <w:rFonts w:ascii="Verdana" w:hAnsi="Verdana"/>
                <w:lang w:val="es-CO"/>
              </w:rPr>
              <w:t xml:space="preserve">. No. 39.800.  </w:t>
            </w:r>
            <w:r w:rsidRPr="00281FB5">
              <w:rPr>
                <w:rFonts w:ascii="Verdana" w:hAnsi="Verdana"/>
              </w:rPr>
              <w:t xml:space="preserve"> </w:t>
            </w:r>
          </w:p>
          <w:p w14:paraId="389D1062"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lang w:val="es-CO"/>
              </w:rPr>
              <w:t xml:space="preserve">Consejo de Estado. Sala de lo Contenciosos Administrativo. Sección Tercera. Subsección B, sentencia del 23 de noviembre de 2022, </w:t>
            </w:r>
            <w:proofErr w:type="spellStart"/>
            <w:r w:rsidRPr="00281FB5">
              <w:rPr>
                <w:rFonts w:ascii="Verdana" w:hAnsi="Verdana"/>
                <w:lang w:val="es-CO"/>
              </w:rPr>
              <w:t>Exp</w:t>
            </w:r>
            <w:proofErr w:type="spellEnd"/>
            <w:r w:rsidRPr="00281FB5">
              <w:rPr>
                <w:rFonts w:ascii="Verdana" w:hAnsi="Verdana"/>
                <w:lang w:val="es-CO"/>
              </w:rPr>
              <w:t xml:space="preserve">. No. 66.700.  </w:t>
            </w:r>
          </w:p>
          <w:p w14:paraId="7C8A5F6E"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lang w:val="es-CO"/>
              </w:rPr>
              <w:t xml:space="preserve">Consejo de Estado. Sala de lo Contenciosos Administrativo. Sección Tercera, Subsección C, sentencia del 21 de octubre de 2021, </w:t>
            </w:r>
            <w:proofErr w:type="spellStart"/>
            <w:r w:rsidRPr="00281FB5">
              <w:rPr>
                <w:rFonts w:ascii="Verdana" w:hAnsi="Verdana"/>
                <w:lang w:val="es-CO"/>
              </w:rPr>
              <w:t>Exp</w:t>
            </w:r>
            <w:proofErr w:type="spellEnd"/>
            <w:r w:rsidRPr="00281FB5">
              <w:rPr>
                <w:rFonts w:ascii="Verdana" w:hAnsi="Verdana"/>
                <w:lang w:val="es-CO"/>
              </w:rPr>
              <w:t>. No. 36697.</w:t>
            </w:r>
          </w:p>
          <w:p w14:paraId="637C0B60"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lang w:val="es-CO"/>
              </w:rPr>
              <w:lastRenderedPageBreak/>
              <w:t xml:space="preserve">Consejo de Estado. Sala de lo Contenciosos Administrativo. Sección Tercera, Subsección A, Sentencia del 24 de septiembre de 2020, </w:t>
            </w:r>
            <w:proofErr w:type="spellStart"/>
            <w:r w:rsidRPr="00281FB5">
              <w:rPr>
                <w:rFonts w:ascii="Verdana" w:hAnsi="Verdana"/>
                <w:lang w:val="es-CO"/>
              </w:rPr>
              <w:t>Exp</w:t>
            </w:r>
            <w:proofErr w:type="spellEnd"/>
            <w:r w:rsidRPr="00281FB5">
              <w:rPr>
                <w:rFonts w:ascii="Verdana" w:hAnsi="Verdana"/>
                <w:lang w:val="es-CO"/>
              </w:rPr>
              <w:t xml:space="preserve">. No. 44707.  </w:t>
            </w:r>
          </w:p>
          <w:p w14:paraId="28CD4B00"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lang w:val="es-CO"/>
              </w:rPr>
              <w:t xml:space="preserve">Consejo de Estado. Sala de lo Contenciosos Administrativo. Tercera, Subsección A, Sentencia del 21 de mayo de 2021, </w:t>
            </w:r>
            <w:proofErr w:type="spellStart"/>
            <w:r w:rsidRPr="00281FB5">
              <w:rPr>
                <w:rFonts w:ascii="Verdana" w:hAnsi="Verdana"/>
                <w:lang w:val="es-CO"/>
              </w:rPr>
              <w:t>Exp</w:t>
            </w:r>
            <w:proofErr w:type="spellEnd"/>
            <w:r w:rsidRPr="00281FB5">
              <w:rPr>
                <w:rFonts w:ascii="Verdana" w:hAnsi="Verdana"/>
                <w:lang w:val="es-CO"/>
              </w:rPr>
              <w:t xml:space="preserve">. No. 57822.  </w:t>
            </w:r>
          </w:p>
          <w:p w14:paraId="66C312C5" w14:textId="77777777" w:rsidR="00E11DD9" w:rsidRPr="00CD3BCC"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cs="Arial"/>
                <w:color w:val="000000" w:themeColor="text1"/>
              </w:rPr>
              <w:t xml:space="preserve">Consejo de Estado. Sala de lo Contencioso Administrativo. Sección Tercera. Auto del 12 de diciembre de 2017. </w:t>
            </w:r>
            <w:proofErr w:type="spellStart"/>
            <w:r w:rsidRPr="00281FB5">
              <w:rPr>
                <w:rFonts w:ascii="Verdana" w:hAnsi="Verdana" w:cs="Arial"/>
                <w:color w:val="000000" w:themeColor="text1"/>
              </w:rPr>
              <w:t>Exp</w:t>
            </w:r>
            <w:proofErr w:type="spellEnd"/>
            <w:r w:rsidRPr="00281FB5">
              <w:rPr>
                <w:rFonts w:ascii="Verdana" w:hAnsi="Verdana" w:cs="Arial"/>
                <w:color w:val="000000" w:themeColor="text1"/>
              </w:rPr>
              <w:t>. 60.477. C.P. Jaime Orlando Santofimio Gamboa.</w:t>
            </w:r>
          </w:p>
          <w:p w14:paraId="64B3EC40"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CD3BCC">
              <w:rPr>
                <w:rFonts w:ascii="Verdana" w:hAnsi="Verdana" w:cs="Arial"/>
                <w:lang w:val="es-ES_tradnl"/>
              </w:rPr>
              <w:t xml:space="preserve">Consejo de Estado. Sala de lo Contencioso Administrativo. Sección Tercera. </w:t>
            </w:r>
            <w:r>
              <w:rPr>
                <w:rFonts w:ascii="Verdana" w:hAnsi="Verdana" w:cs="Arial"/>
                <w:lang w:val="es-ES_tradnl"/>
              </w:rPr>
              <w:t xml:space="preserve">Sentencia del </w:t>
            </w:r>
            <w:r w:rsidRPr="00CD3BCC">
              <w:rPr>
                <w:rFonts w:ascii="Verdana" w:hAnsi="Verdana" w:cs="Arial"/>
                <w:lang w:val="es-ES_tradnl"/>
              </w:rPr>
              <w:t>19 de junio de 2019. Radicado: 85001-23-31-001-2008-00076-01(39800). C.P. Alberto Montaña Plata.</w:t>
            </w:r>
          </w:p>
          <w:p w14:paraId="657B4789" w14:textId="77777777" w:rsidR="00E11DD9" w:rsidRPr="00281FB5"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281FB5">
              <w:rPr>
                <w:rFonts w:ascii="Verdana" w:hAnsi="Verdana" w:cs="Arial"/>
                <w:lang w:val="es-ES_tradnl"/>
              </w:rPr>
              <w:t>Corte Suprema de Justicia. Sala de Casación Civil, sentencia de 30 de agosto de 2011, expediente 11001-3103-012-1999-01957-01.</w:t>
            </w:r>
          </w:p>
          <w:p w14:paraId="45744F60" w14:textId="77777777" w:rsidR="00E11DD9" w:rsidRPr="00CD3BCC" w:rsidRDefault="00E11DD9" w:rsidP="00DD0D03">
            <w:pPr>
              <w:pStyle w:val="Prrafodelista"/>
              <w:numPr>
                <w:ilvl w:val="0"/>
                <w:numId w:val="17"/>
              </w:numPr>
              <w:spacing w:line="276" w:lineRule="auto"/>
              <w:ind w:left="357" w:hanging="357"/>
              <w:contextualSpacing w:val="0"/>
              <w:jc w:val="both"/>
              <w:rPr>
                <w:rFonts w:ascii="Verdana" w:hAnsi="Verdana" w:cs="Arial"/>
                <w:lang w:val="es-ES_tradnl"/>
              </w:rPr>
            </w:pPr>
            <w:r w:rsidRPr="006A2E12">
              <w:rPr>
                <w:rFonts w:ascii="Verdana" w:hAnsi="Verdana" w:cs="Arial"/>
                <w:color w:val="000000" w:themeColor="text1"/>
              </w:rPr>
              <w:t xml:space="preserve">BARRETO MORENO, Antonio A. El derecho de la compra pública. Legis - Universidad de la Sabana, primera edición, Bogotá, 2019. </w:t>
            </w:r>
          </w:p>
        </w:tc>
      </w:tr>
    </w:tbl>
    <w:p w14:paraId="56FEACA0" w14:textId="77777777" w:rsidR="00E11DD9" w:rsidRDefault="00E11DD9" w:rsidP="00E11DD9">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BE61F85" w14:textId="77777777" w:rsidR="00E4235A" w:rsidRDefault="00E4235A" w:rsidP="00E11DD9">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16449558" w14:textId="77777777" w:rsidR="00E4235A" w:rsidRDefault="00E4235A" w:rsidP="00E11DD9">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145657FC" w14:textId="77777777" w:rsidR="00E4235A" w:rsidRDefault="00E4235A" w:rsidP="00E11DD9">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033158BC" w14:textId="77777777" w:rsidR="00E11DD9" w:rsidRPr="00F71A6A" w:rsidRDefault="00E11DD9" w:rsidP="00E11DD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lang w:val="es-CO"/>
        </w:rPr>
        <w:t xml:space="preserve">5. </w:t>
      </w:r>
      <w:r w:rsidRPr="00F71A6A">
        <w:rPr>
          <w:rFonts w:ascii="Verdana" w:eastAsia="Century Gothic" w:hAnsi="Verdana" w:cs="Century Gothic"/>
          <w:b/>
          <w:bCs/>
        </w:rPr>
        <w:t>Doctrina de la Agencia Nacional de Contratación Pública:</w:t>
      </w:r>
    </w:p>
    <w:p w14:paraId="1725D946" w14:textId="77777777" w:rsidR="00E11DD9" w:rsidRDefault="00E11DD9" w:rsidP="00E11DD9">
      <w:pPr>
        <w:spacing w:after="0" w:line="240" w:lineRule="auto"/>
        <w:jc w:val="both"/>
        <w:rPr>
          <w:rFonts w:ascii="Verdana" w:eastAsia="Calibri" w:hAnsi="Verdana" w:cs="Arial"/>
          <w:lang w:eastAsia="es-ES_tradnl"/>
        </w:rPr>
      </w:pPr>
    </w:p>
    <w:p w14:paraId="220D1605" w14:textId="77777777" w:rsidR="00E11DD9" w:rsidRPr="008C57E5" w:rsidRDefault="00E11DD9" w:rsidP="00E11DD9">
      <w:pPr>
        <w:spacing w:after="0" w:line="276" w:lineRule="auto"/>
        <w:jc w:val="both"/>
        <w:rPr>
          <w:rFonts w:ascii="Verdana" w:eastAsia="Aptos" w:hAnsi="Verdana" w:cs="Segoe UI"/>
          <w:kern w:val="2"/>
          <w14:ligatures w14:val="standardContextual"/>
        </w:rPr>
      </w:pPr>
      <w:r w:rsidRPr="00CD3BCC">
        <w:rPr>
          <w:rFonts w:ascii="Verdana" w:eastAsia="Calibri" w:hAnsi="Verdana" w:cs="Arial"/>
          <w:bCs/>
          <w:color w:val="000000" w:themeColor="text1"/>
        </w:rPr>
        <w:t>Respecto de la competencia de las entidades estatales con régimen especial de contratación para iniciar procesos sancionatorios, esta Subdirección se pronunció en los conceptos del 16 de octubre de 2019 –rad. 2201913000007661–, del 5 de diciembre de 2019 −rad. 2201913000008964</w:t>
      </w:r>
      <w:r>
        <w:rPr>
          <w:rFonts w:ascii="Verdana" w:eastAsia="Calibri" w:hAnsi="Verdana" w:cs="Arial"/>
          <w:bCs/>
          <w:color w:val="000000" w:themeColor="text1"/>
        </w:rPr>
        <w:t xml:space="preserve">, </w:t>
      </w:r>
      <w:r w:rsidRPr="00CD3BCC">
        <w:rPr>
          <w:rFonts w:ascii="Verdana" w:eastAsia="Calibri" w:hAnsi="Verdana" w:cs="Arial"/>
          <w:bCs/>
          <w:color w:val="000000" w:themeColor="text1"/>
        </w:rPr>
        <w:t>C-219 del 29 de abril de 2020</w:t>
      </w:r>
      <w:r>
        <w:rPr>
          <w:rFonts w:ascii="Verdana" w:eastAsia="Calibri" w:hAnsi="Verdana" w:cs="Arial"/>
          <w:bCs/>
          <w:color w:val="000000" w:themeColor="text1"/>
        </w:rPr>
        <w:t xml:space="preserve">, C-434 del 29 de julio de 2020, C- 365 del 8 de junio de 2022, C- 492 del 9 de octubre de 2024, C-1005 del 13 de enero de </w:t>
      </w:r>
      <w:r w:rsidRPr="00CD3BCC">
        <w:rPr>
          <w:rFonts w:ascii="Verdana" w:eastAsia="Calibri" w:hAnsi="Verdana" w:cs="Arial"/>
          <w:bCs/>
          <w:color w:val="000000" w:themeColor="text1"/>
        </w:rPr>
        <w:t>2025</w:t>
      </w:r>
      <w:r w:rsidRPr="00CD3BCC">
        <w:rPr>
          <w:rFonts w:ascii="Verdana" w:hAnsi="Verdana" w:cs="Arial"/>
          <w:lang w:val="es-ES"/>
        </w:rPr>
        <w:t xml:space="preserve">, </w:t>
      </w:r>
      <w:r w:rsidRPr="00CD3BCC">
        <w:rPr>
          <w:rFonts w:ascii="Verdana" w:eastAsia="Aptos" w:hAnsi="Verdana" w:cs="Segoe UI"/>
          <w:kern w:val="2"/>
          <w14:ligatures w14:val="standardContextual"/>
        </w:rPr>
        <w:t xml:space="preserve">entre otros. </w:t>
      </w:r>
      <w:r w:rsidRPr="008C57E5">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8C57E5">
          <w:rPr>
            <w:rStyle w:val="Hipervnculo"/>
            <w:rFonts w:ascii="Verdana" w:hAnsi="Verdana" w:cs="Arial"/>
            <w:shd w:val="clear" w:color="auto" w:fill="FFFFFF"/>
          </w:rPr>
          <w:t>https://relatoria.colombiacompra.gov.co/</w:t>
        </w:r>
      </w:hyperlink>
      <w:r w:rsidRPr="008C57E5">
        <w:rPr>
          <w:rFonts w:ascii="Verdana" w:hAnsi="Verdana" w:cs="Arial"/>
          <w:shd w:val="clear" w:color="auto" w:fill="FFFFFF"/>
        </w:rPr>
        <w:t>.</w:t>
      </w:r>
    </w:p>
    <w:p w14:paraId="6B128226" w14:textId="77777777" w:rsidR="00E11DD9" w:rsidRPr="002C1A73" w:rsidRDefault="00E11DD9" w:rsidP="00E11DD9">
      <w:pPr>
        <w:spacing w:after="0" w:line="276" w:lineRule="auto"/>
        <w:jc w:val="both"/>
        <w:rPr>
          <w:rFonts w:ascii="Verdana" w:hAnsi="Verdana" w:cs="Arial"/>
          <w:color w:val="000000" w:themeColor="text1"/>
          <w:shd w:val="clear" w:color="auto" w:fill="FFFFFF"/>
          <w:lang w:val="es-ES_tradnl"/>
        </w:rPr>
      </w:pPr>
    </w:p>
    <w:p w14:paraId="4017DED2" w14:textId="77777777" w:rsidR="00E11DD9" w:rsidRPr="00542EFB" w:rsidRDefault="00E11DD9" w:rsidP="00E11DD9">
      <w:pPr>
        <w:widowControl w:val="0"/>
        <w:autoSpaceDE w:val="0"/>
        <w:autoSpaceDN w:val="0"/>
        <w:spacing w:after="0" w:line="276" w:lineRule="auto"/>
        <w:jc w:val="both"/>
        <w:rPr>
          <w:rFonts w:ascii="Verdana" w:hAnsi="Verdana" w:cs="Arial"/>
          <w:color w:val="4472C4" w:themeColor="accent1"/>
          <w:shd w:val="clear" w:color="auto" w:fill="FFFFFF"/>
          <w:lang w:val="es-ES"/>
        </w:rPr>
      </w:pPr>
      <w:r w:rsidRPr="00B679E6">
        <w:rPr>
          <w:rStyle w:val="normaltextrun"/>
          <w:rFonts w:ascii="Verdana" w:hAnsi="Verdana" w:cs="Arial"/>
          <w:color w:val="000000" w:themeColor="text1"/>
          <w:shd w:val="clear" w:color="auto" w:fill="FFFFFF"/>
          <w:lang w:val="es-ES"/>
        </w:rPr>
        <w:t xml:space="preserve">Te informamos que ya se encuentra disponible la Cartilla para incentivar y fortalecer el acceso a las compras y contratación pública de los pueblos y comunidades étnicas en Colombia. Esta cartilla es una apuesta de la Agencia </w:t>
      </w:r>
      <w:r w:rsidRPr="00B679E6">
        <w:rPr>
          <w:rStyle w:val="normaltextrun"/>
          <w:rFonts w:ascii="Verdana" w:hAnsi="Verdana" w:cs="Arial"/>
          <w:color w:val="000000" w:themeColor="text1"/>
          <w:shd w:val="clear" w:color="auto" w:fill="FFFFFF"/>
          <w:lang w:val="es-ES"/>
        </w:rPr>
        <w:lastRenderedPageBreak/>
        <w:t>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w:t>
      </w:r>
      <w:r w:rsidRPr="00B679E6">
        <w:rPr>
          <w:rFonts w:ascii="Verdana" w:hAnsi="Verdana"/>
        </w:rPr>
        <w:t xml:space="preserve"> enlace: </w:t>
      </w:r>
      <w:hyperlink r:id="rId14" w:tgtFrame="_blank" w:tooltip="Dirección URL original: https://www.colombiacompra.gov.co/manuales-guias-y-pliegos-tipo/manuales-y-guias/cartilla-para-incentivar-y-fortalecer-el-acceso-las. Haga clic o pulse si confía en este vínculo." w:history="1">
        <w:r w:rsidRPr="00B679E6">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6ECBF13B" w14:textId="77777777" w:rsidR="00E11DD9" w:rsidRDefault="00E11DD9" w:rsidP="00E11DD9">
      <w:pPr>
        <w:spacing w:after="0" w:line="276" w:lineRule="auto"/>
        <w:jc w:val="both"/>
        <w:rPr>
          <w:rFonts w:ascii="Verdana" w:hAnsi="Verdana"/>
        </w:rPr>
      </w:pPr>
    </w:p>
    <w:p w14:paraId="20F2678F" w14:textId="77777777" w:rsidR="00E11DD9" w:rsidRPr="00B679E6" w:rsidRDefault="00E11DD9" w:rsidP="00E11DD9">
      <w:pPr>
        <w:spacing w:after="0" w:line="276" w:lineRule="auto"/>
        <w:jc w:val="both"/>
        <w:rPr>
          <w:rFonts w:ascii="Verdana" w:hAnsi="Verdana"/>
        </w:rPr>
      </w:pPr>
      <w:r w:rsidRPr="00B679E6">
        <w:rPr>
          <w:rFonts w:ascii="Verdana" w:hAnsi="Verdana"/>
        </w:rPr>
        <w:t>De otra parte, te informamos que, con el objetivo de garantizar un conocimiento adecuado de las </w:t>
      </w:r>
      <w:r w:rsidRPr="00B679E6">
        <w:rPr>
          <w:rFonts w:ascii="Verdana" w:hAnsi="Verdana"/>
          <w:b/>
          <w:bCs/>
        </w:rPr>
        <w:t>modificaciones y/o actualizaciones realizadas a los Documentos Tipo</w:t>
      </w:r>
      <w:r w:rsidRPr="00B679E6">
        <w:rPr>
          <w:rFonts w:ascii="Verdana" w:hAnsi="Verdana"/>
        </w:rPr>
        <w:t>, hemos programado una serie de </w:t>
      </w:r>
      <w:r w:rsidRPr="00B679E6">
        <w:rPr>
          <w:rFonts w:ascii="Verdana" w:hAnsi="Verdana"/>
          <w:b/>
          <w:bCs/>
        </w:rPr>
        <w:t>capacitaciones </w:t>
      </w:r>
      <w:r w:rsidRPr="00B679E6">
        <w:rPr>
          <w:rFonts w:ascii="Verdana" w:hAnsi="Verdana"/>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B679E6">
          <w:rPr>
            <w:rStyle w:val="Hipervnculo"/>
            <w:rFonts w:ascii="Verdana" w:hAnsi="Verdana"/>
          </w:rPr>
          <w:t>Calendario | Colombia Compra Eficiente | Agencia Nacional de Contratación Pública</w:t>
        </w:r>
      </w:hyperlink>
    </w:p>
    <w:p w14:paraId="0E7BADFF" w14:textId="77777777" w:rsidR="00E11DD9" w:rsidRDefault="00E11DD9" w:rsidP="00E11DD9">
      <w:pPr>
        <w:spacing w:after="0" w:line="276" w:lineRule="auto"/>
        <w:jc w:val="both"/>
        <w:rPr>
          <w:rFonts w:ascii="Verdana" w:hAnsi="Verdana"/>
        </w:rPr>
      </w:pPr>
    </w:p>
    <w:p w14:paraId="39CEC955" w14:textId="77777777" w:rsidR="00E11DD9" w:rsidRPr="00B679E6" w:rsidRDefault="00E11DD9" w:rsidP="00E11DD9">
      <w:pPr>
        <w:spacing w:after="0" w:line="276" w:lineRule="auto"/>
        <w:jc w:val="both"/>
        <w:rPr>
          <w:rFonts w:ascii="Verdana" w:hAnsi="Verdana"/>
        </w:rPr>
      </w:pPr>
      <w:r w:rsidRPr="00B679E6">
        <w:rPr>
          <w:rFonts w:ascii="Verdana" w:hAnsi="Verdana"/>
        </w:rPr>
        <w:t>También, te contamos que ya publicamos </w:t>
      </w:r>
      <w:r w:rsidRPr="00B679E6">
        <w:rPr>
          <w:rFonts w:ascii="Verdana" w:hAnsi="Verdana"/>
          <w:b/>
          <w:bCs/>
        </w:rPr>
        <w:t>la nueva Guía de Contratación Pública Sostenible y Socialmente Responsable</w:t>
      </w:r>
      <w:r w:rsidRPr="00B679E6">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B679E6">
          <w:rPr>
            <w:rStyle w:val="Hipervnculo"/>
            <w:rFonts w:ascii="Verdana" w:hAnsi="Verdana"/>
          </w:rPr>
          <w:t>Guía de Contratación Pública Sostenible y Socialmente Responsable | Colombia Compra Eficiente | Agencia Nacional de Contratación Pública</w:t>
        </w:r>
      </w:hyperlink>
    </w:p>
    <w:p w14:paraId="4D0E9679" w14:textId="77777777" w:rsidR="00E11DD9" w:rsidRPr="00F71A6A" w:rsidRDefault="00E11DD9" w:rsidP="00E11DD9">
      <w:pPr>
        <w:spacing w:after="120" w:line="276" w:lineRule="auto"/>
        <w:jc w:val="both"/>
        <w:rPr>
          <w:rFonts w:ascii="Verdana" w:hAnsi="Verdana"/>
        </w:rPr>
      </w:pPr>
      <w:r w:rsidRPr="00F71A6A">
        <w:rPr>
          <w:rFonts w:ascii="Verdana" w:hAnsi="Verdana"/>
        </w:rPr>
        <w:t xml:space="preserve">Por último, lo invitamos a seguirnos en las redes sociales en las cuales se difunde información institucional: </w:t>
      </w:r>
    </w:p>
    <w:p w14:paraId="43AF7C92" w14:textId="77777777" w:rsidR="00E11DD9" w:rsidRPr="00F71A6A" w:rsidRDefault="00E11DD9" w:rsidP="00E11DD9">
      <w:pPr>
        <w:spacing w:after="0" w:line="240" w:lineRule="auto"/>
        <w:jc w:val="both"/>
        <w:rPr>
          <w:rFonts w:ascii="Verdana" w:hAnsi="Verdana"/>
        </w:rPr>
      </w:pPr>
    </w:p>
    <w:p w14:paraId="3E4AB3FF" w14:textId="77777777" w:rsidR="00E11DD9" w:rsidRPr="00F71A6A" w:rsidRDefault="00E11DD9" w:rsidP="00E11DD9">
      <w:pPr>
        <w:spacing w:after="0" w:line="240"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52E81800" w14:textId="77777777" w:rsidR="00E11DD9" w:rsidRPr="00F71A6A" w:rsidRDefault="00E11DD9" w:rsidP="00E11DD9">
      <w:pPr>
        <w:spacing w:after="0" w:line="240" w:lineRule="auto"/>
        <w:jc w:val="both"/>
        <w:rPr>
          <w:rFonts w:ascii="Verdana" w:hAnsi="Verdana"/>
        </w:rPr>
      </w:pPr>
      <w:r w:rsidRPr="00F71A6A">
        <w:rPr>
          <w:rFonts w:ascii="Verdana" w:hAnsi="Verdana"/>
        </w:rPr>
        <w:t xml:space="preserve">Facebook: </w:t>
      </w:r>
      <w:proofErr w:type="spellStart"/>
      <w:r w:rsidRPr="00F71A6A">
        <w:rPr>
          <w:rStyle w:val="Hipervnculo"/>
          <w:rFonts w:ascii="Verdana" w:hAnsi="Verdana"/>
          <w:color w:val="4472C4" w:themeColor="accent1"/>
        </w:rPr>
        <w:t>ColombiaCompraEficiente</w:t>
      </w:r>
      <w:proofErr w:type="spellEnd"/>
    </w:p>
    <w:p w14:paraId="2CED9417" w14:textId="77777777" w:rsidR="00E11DD9" w:rsidRPr="00F71A6A" w:rsidRDefault="00E11DD9" w:rsidP="00E11DD9">
      <w:pPr>
        <w:spacing w:after="0" w:line="240" w:lineRule="auto"/>
        <w:jc w:val="both"/>
        <w:rPr>
          <w:rFonts w:ascii="Verdana" w:hAnsi="Verdana"/>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3156F2E6" w14:textId="77777777" w:rsidR="00E11DD9" w:rsidRPr="00F71A6A" w:rsidRDefault="00E11DD9" w:rsidP="00E11DD9">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6FB13266" w14:textId="77777777" w:rsidR="00E11DD9" w:rsidRPr="006F2228" w:rsidRDefault="00E11DD9" w:rsidP="00E11DD9">
      <w:pPr>
        <w:widowControl w:val="0"/>
        <w:autoSpaceDE w:val="0"/>
        <w:autoSpaceDN w:val="0"/>
        <w:spacing w:after="0" w:line="276" w:lineRule="auto"/>
        <w:jc w:val="both"/>
        <w:rPr>
          <w:rFonts w:ascii="Verdana" w:hAnsi="Verdana" w:cs="Arial"/>
          <w:lang w:val="es-ES_tradnl"/>
        </w:rPr>
      </w:pPr>
    </w:p>
    <w:p w14:paraId="7BE772E1" w14:textId="77777777" w:rsidR="00E11DD9" w:rsidRDefault="00E11DD9" w:rsidP="00E11DD9">
      <w:pPr>
        <w:spacing w:after="0" w:line="240"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792F1D71" w14:textId="77777777" w:rsidR="00E11DD9" w:rsidRDefault="00E11DD9" w:rsidP="00E11DD9">
      <w:pPr>
        <w:spacing w:after="0" w:line="240" w:lineRule="auto"/>
        <w:jc w:val="center"/>
        <w:rPr>
          <w:rFonts w:ascii="Verdana" w:hAnsi="Verdana" w:cs="Arial"/>
          <w:lang w:eastAsia="es-CO"/>
        </w:rPr>
      </w:pPr>
      <w:r>
        <w:rPr>
          <w:noProof/>
        </w:rPr>
        <w:lastRenderedPageBreak/>
        <w:drawing>
          <wp:inline distT="0" distB="0" distL="0" distR="0" wp14:anchorId="0F886772" wp14:editId="7EF54CEA">
            <wp:extent cx="2694269" cy="1485758"/>
            <wp:effectExtent l="0" t="0" r="0" b="635"/>
            <wp:docPr id="1392930026"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30026" name="Imagen 1" descr="Imagen que contiene Diagrama&#10;&#10;Descripción generada automáticamente"/>
                    <pic:cNvPicPr>
                      <a:picLocks noChangeAspect="1"/>
                    </pic:cNvPicPr>
                  </pic:nvPicPr>
                  <pic:blipFill>
                    <a:blip r:embed="rId17"/>
                    <a:stretch>
                      <a:fillRect/>
                    </a:stretch>
                  </pic:blipFill>
                  <pic:spPr>
                    <a:xfrm>
                      <a:off x="0" y="0"/>
                      <a:ext cx="2709848" cy="1494349"/>
                    </a:xfrm>
                    <a:prstGeom prst="rect">
                      <a:avLst/>
                    </a:prstGeom>
                  </pic:spPr>
                </pic:pic>
              </a:graphicData>
            </a:graphic>
          </wp:inline>
        </w:drawing>
      </w:r>
    </w:p>
    <w:p w14:paraId="1F89740F" w14:textId="77777777" w:rsidR="00E11DD9" w:rsidRPr="00F71A6A" w:rsidRDefault="00E11DD9" w:rsidP="00E11DD9">
      <w:pPr>
        <w:spacing w:line="276" w:lineRule="auto"/>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11DD9" w:rsidRPr="00156969" w14:paraId="7FB4961E" w14:textId="77777777" w:rsidTr="00DD0D03">
        <w:trPr>
          <w:trHeight w:val="315"/>
        </w:trPr>
        <w:tc>
          <w:tcPr>
            <w:tcW w:w="893" w:type="dxa"/>
            <w:vAlign w:val="center"/>
            <w:hideMark/>
          </w:tcPr>
          <w:p w14:paraId="77362E99" w14:textId="77777777" w:rsidR="00E11DD9" w:rsidRPr="00156969" w:rsidRDefault="00E11DD9" w:rsidP="00DD0D03">
            <w:pPr>
              <w:contextualSpacing/>
              <w:rPr>
                <w:rFonts w:ascii="Verdana" w:hAnsi="Verdana" w:cs="Arial"/>
                <w:sz w:val="16"/>
                <w:szCs w:val="16"/>
                <w:lang w:val="es-ES" w:eastAsia="es-ES"/>
              </w:rPr>
            </w:pPr>
            <w:r w:rsidRPr="0015696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4A6AAE6" w14:textId="77777777" w:rsidR="00E11DD9" w:rsidRPr="00156969" w:rsidRDefault="00E11DD9" w:rsidP="00DD0D03">
            <w:pPr>
              <w:contextualSpacing/>
              <w:rPr>
                <w:rStyle w:val="normaltextrun"/>
                <w:rFonts w:ascii="Verdana" w:hAnsi="Verdana"/>
                <w:sz w:val="16"/>
                <w:szCs w:val="16"/>
              </w:rPr>
            </w:pPr>
            <w:r w:rsidRPr="00156969">
              <w:rPr>
                <w:rStyle w:val="normaltextrun"/>
                <w:rFonts w:ascii="Verdana" w:hAnsi="Verdana"/>
                <w:sz w:val="16"/>
                <w:szCs w:val="16"/>
              </w:rPr>
              <w:t xml:space="preserve">Esperanza Contreras P </w:t>
            </w:r>
          </w:p>
          <w:p w14:paraId="38F73B8E" w14:textId="77777777" w:rsidR="00E11DD9" w:rsidRPr="00156969" w:rsidRDefault="00E11DD9" w:rsidP="00DD0D03">
            <w:pPr>
              <w:contextualSpacing/>
              <w:rPr>
                <w:rFonts w:ascii="Verdana" w:eastAsia="Arial" w:hAnsi="Verdana" w:cs="Arial"/>
                <w:sz w:val="16"/>
                <w:szCs w:val="16"/>
              </w:rPr>
            </w:pPr>
            <w:r w:rsidRPr="00156969">
              <w:rPr>
                <w:rStyle w:val="normaltextrun"/>
                <w:rFonts w:ascii="Verdana" w:hAnsi="Verdana" w:cs="Arial"/>
                <w:sz w:val="16"/>
                <w:szCs w:val="16"/>
                <w:lang w:val="es-ES"/>
              </w:rPr>
              <w:t>Contratista de la Subdirección de Gestión Contractual</w:t>
            </w:r>
            <w:r w:rsidRPr="00156969">
              <w:rPr>
                <w:rStyle w:val="eop"/>
                <w:rFonts w:ascii="Verdana" w:hAnsi="Verdana" w:cs="Arial"/>
                <w:sz w:val="16"/>
                <w:szCs w:val="16"/>
              </w:rPr>
              <w:t> </w:t>
            </w:r>
          </w:p>
        </w:tc>
      </w:tr>
      <w:tr w:rsidR="00E11DD9" w:rsidRPr="00156969" w14:paraId="5946D683" w14:textId="77777777" w:rsidTr="00DD0D03">
        <w:trPr>
          <w:trHeight w:val="330"/>
        </w:trPr>
        <w:tc>
          <w:tcPr>
            <w:tcW w:w="893" w:type="dxa"/>
            <w:vAlign w:val="center"/>
            <w:hideMark/>
          </w:tcPr>
          <w:p w14:paraId="4DEFED71" w14:textId="77777777" w:rsidR="00E11DD9" w:rsidRPr="00156969" w:rsidRDefault="00E11DD9" w:rsidP="00DD0D03">
            <w:pPr>
              <w:contextualSpacing/>
              <w:rPr>
                <w:rFonts w:ascii="Verdana" w:hAnsi="Verdana" w:cs="Arial"/>
                <w:sz w:val="16"/>
                <w:szCs w:val="16"/>
                <w:lang w:val="es-ES" w:eastAsia="es-ES"/>
              </w:rPr>
            </w:pPr>
            <w:r w:rsidRPr="0015696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874DB4D" w14:textId="77777777" w:rsidR="00E11DD9" w:rsidRPr="002C1A73" w:rsidRDefault="00E11DD9" w:rsidP="00DD0D03">
            <w:pPr>
              <w:pStyle w:val="paragraph"/>
              <w:spacing w:before="0" w:beforeAutospacing="0" w:after="0" w:afterAutospacing="0"/>
              <w:contextualSpacing/>
              <w:textAlignment w:val="baseline"/>
              <w:rPr>
                <w:rStyle w:val="normaltextrun"/>
                <w:rFonts w:ascii="Verdana" w:hAnsi="Verdana"/>
                <w:sz w:val="16"/>
                <w:szCs w:val="16"/>
                <w:lang w:val="es-ES"/>
              </w:rPr>
            </w:pPr>
            <w:r w:rsidRPr="002C1A73">
              <w:rPr>
                <w:rStyle w:val="normaltextrun"/>
                <w:rFonts w:ascii="Verdana" w:hAnsi="Verdana"/>
                <w:sz w:val="16"/>
                <w:szCs w:val="16"/>
                <w:lang w:val="es-ES"/>
              </w:rPr>
              <w:t>Juan David Cárde</w:t>
            </w:r>
            <w:r>
              <w:rPr>
                <w:rStyle w:val="normaltextrun"/>
                <w:rFonts w:ascii="Verdana" w:hAnsi="Verdana"/>
                <w:sz w:val="16"/>
                <w:szCs w:val="16"/>
                <w:lang w:val="es-ES"/>
              </w:rPr>
              <w:t>n</w:t>
            </w:r>
            <w:r w:rsidRPr="002C1A73">
              <w:rPr>
                <w:rStyle w:val="normaltextrun"/>
                <w:rFonts w:ascii="Verdana" w:hAnsi="Verdana"/>
                <w:sz w:val="16"/>
                <w:szCs w:val="16"/>
                <w:lang w:val="es-ES"/>
              </w:rPr>
              <w:t xml:space="preserve">as </w:t>
            </w:r>
            <w:r>
              <w:rPr>
                <w:rStyle w:val="normaltextrun"/>
                <w:rFonts w:ascii="Verdana" w:hAnsi="Verdana"/>
                <w:sz w:val="16"/>
                <w:szCs w:val="16"/>
                <w:lang w:val="es-ES"/>
              </w:rPr>
              <w:t>Cabeza</w:t>
            </w:r>
          </w:p>
          <w:p w14:paraId="060DC4E2" w14:textId="77777777" w:rsidR="00E11DD9" w:rsidRPr="00326A22" w:rsidRDefault="00E11DD9" w:rsidP="00DD0D03">
            <w:pPr>
              <w:pStyle w:val="paragraph"/>
              <w:spacing w:before="0" w:beforeAutospacing="0" w:after="0" w:afterAutospacing="0"/>
              <w:contextualSpacing/>
              <w:textAlignment w:val="baseline"/>
              <w:rPr>
                <w:rFonts w:ascii="Verdana" w:hAnsi="Verdana" w:cs="Segoe UI"/>
                <w:sz w:val="16"/>
                <w:szCs w:val="16"/>
              </w:rPr>
            </w:pPr>
            <w:r w:rsidRPr="00326A22">
              <w:rPr>
                <w:rStyle w:val="eop"/>
                <w:rFonts w:ascii="Verdana" w:hAnsi="Verdana" w:cs="Arial"/>
                <w:sz w:val="16"/>
                <w:szCs w:val="16"/>
              </w:rPr>
              <w:t xml:space="preserve">Contratista de la Subdirección de Negocios </w:t>
            </w:r>
          </w:p>
        </w:tc>
      </w:tr>
      <w:tr w:rsidR="00E11DD9" w:rsidRPr="00F71A6A" w14:paraId="331849EC" w14:textId="77777777" w:rsidTr="00DD0D03">
        <w:trPr>
          <w:trHeight w:val="300"/>
        </w:trPr>
        <w:tc>
          <w:tcPr>
            <w:tcW w:w="893" w:type="dxa"/>
            <w:vAlign w:val="center"/>
          </w:tcPr>
          <w:p w14:paraId="0DA03337" w14:textId="77777777" w:rsidR="00E11DD9" w:rsidRPr="00156969" w:rsidRDefault="00E11DD9" w:rsidP="00DD0D03">
            <w:pPr>
              <w:contextualSpacing/>
              <w:rPr>
                <w:rFonts w:ascii="Verdana" w:hAnsi="Verdana" w:cs="Arial"/>
                <w:sz w:val="16"/>
                <w:szCs w:val="16"/>
                <w:lang w:val="es-ES" w:eastAsia="es-ES"/>
              </w:rPr>
            </w:pPr>
            <w:r w:rsidRPr="0015696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5D96D5E" w14:textId="77777777" w:rsidR="00E11DD9" w:rsidRPr="00156969" w:rsidRDefault="00E11DD9" w:rsidP="00DD0D03">
            <w:pPr>
              <w:contextualSpacing/>
              <w:rPr>
                <w:rFonts w:ascii="Verdana" w:eastAsia="Calibri" w:hAnsi="Verdana" w:cs="Arial"/>
                <w:sz w:val="16"/>
                <w:szCs w:val="16"/>
                <w:lang w:val="pt-BR" w:eastAsia="es-ES"/>
              </w:rPr>
            </w:pPr>
            <w:r w:rsidRPr="00156969">
              <w:rPr>
                <w:rFonts w:ascii="Verdana" w:eastAsia="Calibri" w:hAnsi="Verdana" w:cs="Arial"/>
                <w:sz w:val="16"/>
                <w:szCs w:val="16"/>
                <w:lang w:val="pt-BR" w:eastAsia="es-ES"/>
              </w:rPr>
              <w:t xml:space="preserve">Carolina Quintero </w:t>
            </w:r>
            <w:proofErr w:type="spellStart"/>
            <w:r w:rsidRPr="00156969">
              <w:rPr>
                <w:rFonts w:ascii="Verdana" w:eastAsia="Calibri" w:hAnsi="Verdana" w:cs="Arial"/>
                <w:sz w:val="16"/>
                <w:szCs w:val="16"/>
                <w:lang w:val="pt-BR" w:eastAsia="es-ES"/>
              </w:rPr>
              <w:t>Gacharná</w:t>
            </w:r>
            <w:proofErr w:type="spellEnd"/>
          </w:p>
          <w:p w14:paraId="11458552" w14:textId="77777777" w:rsidR="00E11DD9" w:rsidRPr="00F71A6A" w:rsidRDefault="00E11DD9" w:rsidP="00DD0D03">
            <w:pPr>
              <w:contextualSpacing/>
              <w:rPr>
                <w:rFonts w:ascii="Verdana" w:eastAsia="Calibri" w:hAnsi="Verdana" w:cs="Arial"/>
                <w:sz w:val="16"/>
                <w:szCs w:val="16"/>
                <w:lang w:val="pt-BR" w:eastAsia="es-ES"/>
              </w:rPr>
            </w:pPr>
            <w:r w:rsidRPr="00156969">
              <w:rPr>
                <w:rFonts w:ascii="Verdana" w:eastAsia="Calibri" w:hAnsi="Verdana" w:cs="Arial"/>
                <w:sz w:val="16"/>
                <w:szCs w:val="16"/>
                <w:lang w:eastAsia="es-ES"/>
              </w:rPr>
              <w:t>Subdirectora</w:t>
            </w:r>
            <w:r w:rsidRPr="00156969">
              <w:rPr>
                <w:rFonts w:ascii="Verdana" w:eastAsia="Calibri" w:hAnsi="Verdana" w:cs="Arial"/>
                <w:sz w:val="16"/>
                <w:szCs w:val="16"/>
                <w:lang w:val="pt-BR" w:eastAsia="es-ES"/>
              </w:rPr>
              <w:t xml:space="preserve"> de Gestión </w:t>
            </w:r>
            <w:proofErr w:type="spellStart"/>
            <w:r w:rsidRPr="00156969">
              <w:rPr>
                <w:rFonts w:ascii="Verdana" w:eastAsia="Calibri" w:hAnsi="Verdana" w:cs="Arial"/>
                <w:sz w:val="16"/>
                <w:szCs w:val="16"/>
                <w:lang w:val="pt-BR" w:eastAsia="es-ES"/>
              </w:rPr>
              <w:t>Contractual</w:t>
            </w:r>
            <w:proofErr w:type="spellEnd"/>
            <w:r w:rsidRPr="00156969">
              <w:rPr>
                <w:rFonts w:ascii="Verdana" w:eastAsia="Calibri" w:hAnsi="Verdana" w:cs="Arial"/>
                <w:sz w:val="16"/>
                <w:szCs w:val="16"/>
                <w:lang w:val="pt-BR" w:eastAsia="es-ES"/>
              </w:rPr>
              <w:t xml:space="preserve"> ANCP – CCE</w:t>
            </w:r>
          </w:p>
        </w:tc>
      </w:tr>
    </w:tbl>
    <w:p w14:paraId="45D89FE0" w14:textId="77777777" w:rsidR="00E11DD9" w:rsidRPr="0044528D" w:rsidRDefault="00E11DD9" w:rsidP="00E11DD9">
      <w:pPr>
        <w:spacing w:after="0"/>
        <w:jc w:val="both"/>
        <w:rPr>
          <w:rStyle w:val="Hipervnculo"/>
          <w:rFonts w:ascii="Verdana" w:hAnsi="Verdana"/>
        </w:rPr>
      </w:pPr>
    </w:p>
    <w:p w14:paraId="227A369C" w14:textId="77777777" w:rsidR="00E11DD9" w:rsidRPr="0044528D" w:rsidRDefault="00E11DD9" w:rsidP="00E11DD9">
      <w:pPr>
        <w:spacing w:after="0"/>
        <w:jc w:val="both"/>
        <w:rPr>
          <w:rStyle w:val="Hipervnculo"/>
          <w:rFonts w:ascii="Verdana" w:hAnsi="Verdana"/>
        </w:rPr>
      </w:pPr>
    </w:p>
    <w:p w14:paraId="458DB72B" w14:textId="77777777" w:rsidR="00E11DD9" w:rsidRPr="0044528D" w:rsidRDefault="00E11DD9" w:rsidP="00E11DD9">
      <w:pPr>
        <w:spacing w:after="0" w:line="240" w:lineRule="auto"/>
        <w:textAlignment w:val="baseline"/>
        <w:rPr>
          <w:rFonts w:ascii="Verdana" w:eastAsia="Times New Roman" w:hAnsi="Verdana" w:cs="Segoe UI"/>
          <w:b/>
          <w:bCs/>
          <w:color w:val="46589C"/>
          <w:lang w:val="es-ES" w:eastAsia="es-CO"/>
        </w:rPr>
      </w:pPr>
    </w:p>
    <w:p w14:paraId="68B8C4CF" w14:textId="77777777" w:rsidR="00E11DD9" w:rsidRPr="00FC5D28" w:rsidRDefault="00E11DD9" w:rsidP="00E11DD9">
      <w:pPr>
        <w:spacing w:after="0"/>
        <w:jc w:val="both"/>
        <w:rPr>
          <w:rStyle w:val="Hipervnculo"/>
          <w:rFonts w:ascii="Verdana" w:hAnsi="Verdana"/>
          <w:lang w:val="es-ES"/>
        </w:rPr>
      </w:pPr>
    </w:p>
    <w:bookmarkEnd w:id="0"/>
    <w:p w14:paraId="13633163" w14:textId="77777777" w:rsidR="00E11DD9" w:rsidRPr="0044528D" w:rsidRDefault="00E11DD9" w:rsidP="00E11DD9">
      <w:pPr>
        <w:spacing w:after="0" w:line="240" w:lineRule="auto"/>
        <w:textAlignment w:val="baseline"/>
        <w:rPr>
          <w:rFonts w:ascii="Verdana" w:eastAsia="Times New Roman" w:hAnsi="Verdana" w:cs="Segoe UI"/>
          <w:b/>
          <w:bCs/>
          <w:color w:val="46589C"/>
          <w:lang w:val="es-ES" w:eastAsia="es-CO"/>
        </w:rPr>
      </w:pPr>
    </w:p>
    <w:bookmarkEnd w:id="1"/>
    <w:p w14:paraId="5F6A63ED" w14:textId="77777777" w:rsidR="00E11DD9" w:rsidRPr="000E3678" w:rsidRDefault="00E11DD9" w:rsidP="00E11DD9">
      <w:pPr>
        <w:rPr>
          <w:lang w:val="es-ES"/>
        </w:rPr>
      </w:pPr>
    </w:p>
    <w:p w14:paraId="3900974D" w14:textId="77777777" w:rsidR="003D5B0D" w:rsidRPr="00E11DD9" w:rsidRDefault="003D5B0D" w:rsidP="00A96C27">
      <w:pPr>
        <w:rPr>
          <w:lang w:val="es-ES"/>
        </w:rPr>
      </w:pPr>
    </w:p>
    <w:sectPr w:rsidR="003D5B0D" w:rsidRPr="00E11DD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29F90" w14:textId="77777777" w:rsidR="007920AE" w:rsidRDefault="007920AE" w:rsidP="004A1847">
      <w:pPr>
        <w:spacing w:after="0" w:line="240" w:lineRule="auto"/>
      </w:pPr>
      <w:r>
        <w:separator/>
      </w:r>
    </w:p>
  </w:endnote>
  <w:endnote w:type="continuationSeparator" w:id="0">
    <w:p w14:paraId="2AE85BB7" w14:textId="77777777" w:rsidR="007920AE" w:rsidRDefault="007920AE" w:rsidP="004A1847">
      <w:pPr>
        <w:spacing w:after="0" w:line="240" w:lineRule="auto"/>
      </w:pPr>
      <w:r>
        <w:continuationSeparator/>
      </w:r>
    </w:p>
  </w:endnote>
  <w:endnote w:type="continuationNotice" w:id="1">
    <w:p w14:paraId="12754B35" w14:textId="77777777" w:rsidR="007920AE" w:rsidRDefault="007920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ACBE2" w14:textId="77777777" w:rsidR="007920AE" w:rsidRDefault="007920AE" w:rsidP="004A1847">
      <w:pPr>
        <w:spacing w:after="0" w:line="240" w:lineRule="auto"/>
      </w:pPr>
      <w:r>
        <w:separator/>
      </w:r>
    </w:p>
  </w:footnote>
  <w:footnote w:type="continuationSeparator" w:id="0">
    <w:p w14:paraId="23AD0C73" w14:textId="77777777" w:rsidR="007920AE" w:rsidRDefault="007920AE" w:rsidP="004A1847">
      <w:pPr>
        <w:spacing w:after="0" w:line="240" w:lineRule="auto"/>
      </w:pPr>
      <w:r>
        <w:continuationSeparator/>
      </w:r>
    </w:p>
  </w:footnote>
  <w:footnote w:type="continuationNotice" w:id="1">
    <w:p w14:paraId="2124B787" w14:textId="77777777" w:rsidR="007920AE" w:rsidRDefault="007920AE">
      <w:pPr>
        <w:spacing w:after="0" w:line="240" w:lineRule="auto"/>
      </w:pPr>
    </w:p>
  </w:footnote>
  <w:footnote w:id="2">
    <w:p w14:paraId="2394984F" w14:textId="77777777" w:rsidR="00E11DD9" w:rsidRPr="003E2347" w:rsidRDefault="00E11DD9" w:rsidP="00E11DD9">
      <w:pPr>
        <w:pStyle w:val="Textonotapie"/>
        <w:ind w:firstLine="709"/>
        <w:jc w:val="both"/>
        <w:rPr>
          <w:rFonts w:ascii="Verdana" w:hAnsi="Verdana" w:cs="Arial"/>
          <w:color w:val="000000" w:themeColor="text1"/>
          <w:sz w:val="16"/>
          <w:szCs w:val="16"/>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16A3C660"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3">
    <w:p w14:paraId="23FE02C7" w14:textId="77777777" w:rsidR="00E11DD9" w:rsidRPr="003E2347" w:rsidRDefault="00E11DD9" w:rsidP="00E11DD9">
      <w:pPr>
        <w:pStyle w:val="Textonotapie"/>
        <w:ind w:firstLine="709"/>
        <w:jc w:val="both"/>
        <w:rPr>
          <w:rFonts w:ascii="Verdana" w:hAnsi="Verdana" w:cs="Arial"/>
          <w:color w:val="000000" w:themeColor="text1"/>
          <w:sz w:val="16"/>
          <w:szCs w:val="16"/>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w:t>
      </w:r>
      <w:bookmarkStart w:id="6" w:name="_Hlk178103192"/>
      <w:r>
        <w:rPr>
          <w:rFonts w:ascii="Verdana" w:hAnsi="Verdana" w:cs="Arial"/>
          <w:color w:val="000000" w:themeColor="text1"/>
          <w:sz w:val="16"/>
          <w:szCs w:val="16"/>
        </w:rPr>
        <w:t>Consejo de Estado</w:t>
      </w:r>
      <w:r w:rsidRPr="003E2347">
        <w:rPr>
          <w:rFonts w:ascii="Verdana" w:hAnsi="Verdana" w:cs="Arial"/>
          <w:color w:val="000000" w:themeColor="text1"/>
          <w:sz w:val="16"/>
          <w:szCs w:val="16"/>
        </w:rPr>
        <w:t>.</w:t>
      </w:r>
      <w:r>
        <w:rPr>
          <w:rFonts w:ascii="Verdana" w:hAnsi="Verdana" w:cs="Arial"/>
          <w:color w:val="000000" w:themeColor="text1"/>
          <w:sz w:val="16"/>
          <w:szCs w:val="16"/>
        </w:rPr>
        <w:t xml:space="preserve"> Sala de lo Contencioso Administrativo. </w:t>
      </w:r>
      <w:r w:rsidRPr="003E2347">
        <w:rPr>
          <w:rFonts w:ascii="Verdana" w:hAnsi="Verdana" w:cs="Arial"/>
          <w:color w:val="000000" w:themeColor="text1"/>
          <w:sz w:val="16"/>
          <w:szCs w:val="16"/>
        </w:rPr>
        <w:t>Sección Tercera.</w:t>
      </w:r>
      <w:r>
        <w:rPr>
          <w:rFonts w:ascii="Verdana" w:hAnsi="Verdana" w:cs="Arial"/>
          <w:color w:val="000000" w:themeColor="text1"/>
          <w:sz w:val="16"/>
          <w:szCs w:val="16"/>
        </w:rPr>
        <w:t xml:space="preserve"> Subsección A.</w:t>
      </w:r>
      <w:r w:rsidRPr="003E2347">
        <w:rPr>
          <w:rFonts w:ascii="Verdana" w:hAnsi="Verdana" w:cs="Arial"/>
          <w:color w:val="000000" w:themeColor="text1"/>
          <w:sz w:val="16"/>
          <w:szCs w:val="16"/>
        </w:rPr>
        <w:t xml:space="preserve"> </w:t>
      </w:r>
      <w:r>
        <w:rPr>
          <w:rFonts w:ascii="Verdana" w:hAnsi="Verdana" w:cs="Arial"/>
          <w:color w:val="000000" w:themeColor="text1"/>
          <w:sz w:val="16"/>
          <w:szCs w:val="16"/>
        </w:rPr>
        <w:t xml:space="preserve">Sentencia del </w:t>
      </w:r>
      <w:r w:rsidRPr="003E2347">
        <w:rPr>
          <w:rFonts w:ascii="Verdana" w:hAnsi="Verdana" w:cs="Arial"/>
          <w:color w:val="000000" w:themeColor="text1"/>
          <w:sz w:val="16"/>
          <w:szCs w:val="16"/>
        </w:rPr>
        <w:t>24 de octubre de 2016.</w:t>
      </w:r>
      <w:r>
        <w:rPr>
          <w:rFonts w:ascii="Verdana" w:hAnsi="Verdana" w:cs="Arial"/>
          <w:color w:val="000000" w:themeColor="text1"/>
          <w:sz w:val="16"/>
          <w:szCs w:val="16"/>
        </w:rPr>
        <w:t xml:space="preserve"> </w:t>
      </w:r>
      <w:r w:rsidRPr="003E2347">
        <w:rPr>
          <w:rFonts w:ascii="Verdana" w:hAnsi="Verdana" w:cs="Arial"/>
          <w:color w:val="000000" w:themeColor="text1"/>
          <w:sz w:val="16"/>
          <w:szCs w:val="16"/>
        </w:rPr>
        <w:t>Radicado No. 45.607</w:t>
      </w:r>
      <w:r>
        <w:rPr>
          <w:rFonts w:ascii="Verdana" w:hAnsi="Verdana" w:cs="Arial"/>
          <w:color w:val="000000" w:themeColor="text1"/>
          <w:sz w:val="16"/>
          <w:szCs w:val="16"/>
        </w:rPr>
        <w:t xml:space="preserve">. </w:t>
      </w:r>
      <w:r w:rsidRPr="003E2347">
        <w:rPr>
          <w:rFonts w:ascii="Verdana" w:hAnsi="Verdana" w:cs="Arial"/>
          <w:color w:val="000000" w:themeColor="text1"/>
          <w:sz w:val="16"/>
          <w:szCs w:val="16"/>
        </w:rPr>
        <w:t>Consejera Ponente: María Nubia Velásquez Rico.</w:t>
      </w:r>
    </w:p>
    <w:bookmarkEnd w:id="6"/>
    <w:p w14:paraId="62BD6515"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4">
    <w:p w14:paraId="16DBB9D6" w14:textId="77777777" w:rsidR="00E11DD9" w:rsidRDefault="00E11DD9" w:rsidP="00E11DD9">
      <w:pPr>
        <w:pStyle w:val="Textonotapie"/>
        <w:ind w:firstLine="709"/>
        <w:jc w:val="both"/>
        <w:rPr>
          <w:rFonts w:ascii="Verdana" w:hAnsi="Verdana" w:cs="Arial"/>
          <w:color w:val="000000" w:themeColor="text1"/>
          <w:sz w:val="16"/>
          <w:szCs w:val="16"/>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Sobre las entidades de régimen especial, se puede consultar su definición y un listado aproximado de este tipo de entidades en: </w:t>
      </w:r>
      <w:bookmarkStart w:id="7" w:name="_Hlk178103160"/>
      <w:r w:rsidRPr="003E2347">
        <w:rPr>
          <w:rFonts w:ascii="Verdana" w:hAnsi="Verdana" w:cs="Arial"/>
          <w:color w:val="000000" w:themeColor="text1"/>
          <w:sz w:val="16"/>
          <w:szCs w:val="16"/>
        </w:rPr>
        <w:t>BARRETO MORENO, Antonio A. El derecho de la compra pública</w:t>
      </w:r>
      <w:bookmarkEnd w:id="7"/>
      <w:r w:rsidRPr="003E2347">
        <w:rPr>
          <w:rFonts w:ascii="Verdana" w:hAnsi="Verdana" w:cs="Arial"/>
          <w:color w:val="000000" w:themeColor="text1"/>
          <w:sz w:val="16"/>
          <w:szCs w:val="16"/>
        </w:rPr>
        <w:t xml:space="preserve">. Legis - Universidad de la Sabana, primera edición, Bogotá, 2019. </w:t>
      </w:r>
    </w:p>
    <w:p w14:paraId="06750D1B"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5">
    <w:p w14:paraId="5384676D"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w:t>
      </w:r>
      <w:r w:rsidRPr="003E2347">
        <w:rPr>
          <w:rFonts w:ascii="Verdana" w:hAnsi="Verdana" w:cs="Arial"/>
          <w:color w:val="000000" w:themeColor="text1"/>
          <w:sz w:val="16"/>
          <w:szCs w:val="16"/>
          <w:lang w:val="es-ES"/>
        </w:rPr>
        <w:t>En efecto, el artículo 86 de la Ley 1474 de 2011 dispone: “</w:t>
      </w:r>
      <w:r w:rsidRPr="003E2347">
        <w:rPr>
          <w:rFonts w:ascii="Verdana" w:hAnsi="Verdana" w:cs="Arial"/>
          <w:i/>
          <w:color w:val="000000" w:themeColor="text1"/>
          <w:sz w:val="16"/>
          <w:szCs w:val="16"/>
          <w:lang w:val="es-ES"/>
        </w:rPr>
        <w:t>Las entidades sometidas al Estatuto General de Contratación de la Administración Pública</w:t>
      </w:r>
      <w:r w:rsidRPr="003E2347">
        <w:rPr>
          <w:rFonts w:ascii="Verdana" w:hAnsi="Verdana" w:cs="Arial"/>
          <w:color w:val="000000" w:themeColor="text1"/>
          <w:sz w:val="16"/>
          <w:szCs w:val="16"/>
          <w:lang w:val="es-ES"/>
        </w:rPr>
        <w:t xml:space="preserve"> podrán declarar el incumplimiento, cuantificando los perjuicios </w:t>
      </w:r>
      <w:r w:rsidRPr="003E2347">
        <w:rPr>
          <w:rFonts w:ascii="Verdana" w:hAnsi="Verdana" w:cs="Arial"/>
          <w:color w:val="000000" w:themeColor="text1"/>
          <w:sz w:val="16"/>
          <w:szCs w:val="16"/>
          <w:lang w:val="es-ES"/>
        </w:rPr>
        <w:t>del mismo, imponer las multas y sanciones pactadas en el contrato, y hacer efectiva la cláusula penal</w:t>
      </w:r>
      <w:r>
        <w:rPr>
          <w:rFonts w:ascii="Verdana" w:hAnsi="Verdana" w:cs="Arial"/>
          <w:color w:val="000000" w:themeColor="text1"/>
          <w:sz w:val="16"/>
          <w:szCs w:val="16"/>
          <w:lang w:val="es-ES"/>
        </w:rPr>
        <w:t xml:space="preserve"> (…)</w:t>
      </w:r>
      <w:r w:rsidRPr="003E2347">
        <w:rPr>
          <w:rFonts w:ascii="Verdana" w:hAnsi="Verdana" w:cs="Arial"/>
          <w:color w:val="000000" w:themeColor="text1"/>
          <w:sz w:val="16"/>
          <w:szCs w:val="16"/>
          <w:lang w:val="es-ES"/>
        </w:rPr>
        <w:t xml:space="preserve">. </w:t>
      </w:r>
    </w:p>
    <w:p w14:paraId="1980974B"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6">
    <w:p w14:paraId="7538D1CA"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Style w:val="Refdenotaalpie"/>
          <w:rFonts w:ascii="Verdana" w:hAnsi="Verdana" w:cs="Arial"/>
          <w:color w:val="000000" w:themeColor="text1"/>
          <w:sz w:val="16"/>
          <w:szCs w:val="16"/>
        </w:rPr>
        <w:footnoteRef/>
      </w:r>
      <w:r w:rsidRPr="00CB471F">
        <w:rPr>
          <w:rFonts w:ascii="Verdana" w:hAnsi="Verdana" w:cs="Arial"/>
          <w:color w:val="000000" w:themeColor="text1"/>
          <w:sz w:val="16"/>
          <w:szCs w:val="16"/>
        </w:rPr>
        <w:t xml:space="preserve"> </w:t>
      </w:r>
      <w:r w:rsidRPr="00CB471F">
        <w:rPr>
          <w:rFonts w:ascii="Verdana" w:hAnsi="Verdana" w:cs="Arial"/>
          <w:color w:val="000000" w:themeColor="text1"/>
          <w:sz w:val="16"/>
          <w:szCs w:val="16"/>
          <w:lang w:val="es-ES"/>
        </w:rPr>
        <w:t>Debe recordarse que las entidades sometidas al Estatuto General de Contratación de la Administración Pública son las que se señalan en el artículo 2 de la Ley 80 de 1993. Esta disposición establece: “Para los solos efectos de esta ley:</w:t>
      </w:r>
    </w:p>
    <w:p w14:paraId="1FD51F68"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1o. Se denominan entidades estatales:</w:t>
      </w:r>
    </w:p>
    <w:p w14:paraId="4E229759"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w:t>
      </w:r>
      <w:r w:rsidRPr="00CB471F">
        <w:rPr>
          <w:rFonts w:ascii="Verdana" w:hAnsi="Verdana"/>
          <w:sz w:val="16"/>
          <w:szCs w:val="16"/>
        </w:rPr>
        <w:t>i</w:t>
      </w:r>
      <w:r w:rsidRPr="00CB471F">
        <w:rPr>
          <w:rFonts w:ascii="Verdana" w:hAnsi="Verdana" w:cs="Arial"/>
          <w:color w:val="000000" w:themeColor="text1"/>
          <w:sz w:val="16"/>
          <w:szCs w:val="16"/>
          <w:lang w:val="es-ES"/>
        </w:rPr>
        <w:t>cha participación pública mayoritaria, cualquiera sea la denominación que ellas adopten, en todos los órdenes y niveles.</w:t>
      </w:r>
    </w:p>
    <w:p w14:paraId="2014FE83"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60749E83"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p>
  </w:footnote>
  <w:footnote w:id="7">
    <w:p w14:paraId="74F1E6E5"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Style w:val="Refdenotaalpie"/>
          <w:rFonts w:ascii="Verdana" w:hAnsi="Verdana" w:cs="Arial"/>
          <w:color w:val="000000" w:themeColor="text1"/>
          <w:sz w:val="16"/>
          <w:szCs w:val="16"/>
        </w:rPr>
        <w:footnoteRef/>
      </w:r>
      <w:r w:rsidRPr="00CB471F">
        <w:rPr>
          <w:rFonts w:ascii="Verdana" w:hAnsi="Verdana" w:cs="Arial"/>
          <w:color w:val="000000" w:themeColor="text1"/>
          <w:sz w:val="16"/>
          <w:szCs w:val="16"/>
        </w:rPr>
        <w:t xml:space="preserve"> </w:t>
      </w:r>
      <w:r w:rsidRPr="00CB471F">
        <w:rPr>
          <w:rFonts w:ascii="Verdana" w:hAnsi="Verdana" w:cs="Arial"/>
          <w:color w:val="000000" w:themeColor="text1"/>
          <w:sz w:val="16"/>
          <w:szCs w:val="16"/>
          <w:lang w:val="es-ES"/>
        </w:rPr>
        <w:t>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7F33E130"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r w:rsidRPr="00CB471F">
        <w:rPr>
          <w:rFonts w:ascii="Verdana" w:hAnsi="Verdana" w:cs="Arial"/>
          <w:color w:val="000000" w:themeColor="text1"/>
          <w:sz w:val="16"/>
          <w:szCs w:val="16"/>
          <w:lang w:val="es-ES"/>
        </w:rPr>
        <w:t>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0452F457"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Fonts w:ascii="Verdana" w:hAnsi="Verdana" w:cs="Arial"/>
          <w:color w:val="000000" w:themeColor="text1"/>
          <w:sz w:val="16"/>
          <w:szCs w:val="16"/>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7D74517E"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p>
  </w:footnote>
  <w:footnote w:id="8">
    <w:p w14:paraId="72674F33" w14:textId="77777777" w:rsidR="00E11DD9" w:rsidRPr="00CB471F" w:rsidRDefault="00E11DD9" w:rsidP="00E11DD9">
      <w:pPr>
        <w:pStyle w:val="Textonotapie"/>
        <w:ind w:firstLine="709"/>
        <w:jc w:val="both"/>
        <w:rPr>
          <w:rFonts w:ascii="Verdana" w:hAnsi="Verdana" w:cs="Arial"/>
          <w:color w:val="000000" w:themeColor="text1"/>
          <w:sz w:val="16"/>
          <w:szCs w:val="16"/>
          <w:lang w:val="es-ES"/>
        </w:rPr>
      </w:pPr>
      <w:r w:rsidRPr="00CB471F">
        <w:rPr>
          <w:rStyle w:val="Refdenotaalpie"/>
          <w:rFonts w:ascii="Verdana" w:hAnsi="Verdana" w:cs="Arial"/>
          <w:color w:val="000000" w:themeColor="text1"/>
          <w:sz w:val="16"/>
          <w:szCs w:val="16"/>
        </w:rPr>
        <w:footnoteRef/>
      </w:r>
      <w:r w:rsidRPr="00CB471F">
        <w:rPr>
          <w:rFonts w:ascii="Verdana" w:hAnsi="Verdana" w:cs="Arial"/>
          <w:color w:val="000000" w:themeColor="text1"/>
          <w:sz w:val="16"/>
          <w:szCs w:val="16"/>
        </w:rPr>
        <w:t xml:space="preserve"> </w:t>
      </w:r>
      <w:r w:rsidRPr="00CB471F">
        <w:rPr>
          <w:rFonts w:ascii="Verdana" w:hAnsi="Verdana" w:cs="Arial"/>
          <w:color w:val="000000" w:themeColor="text1"/>
          <w:sz w:val="16"/>
          <w:szCs w:val="16"/>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p w14:paraId="00563E42" w14:textId="77777777" w:rsidR="00E11DD9" w:rsidRPr="003E2347" w:rsidRDefault="00E11DD9" w:rsidP="00E11DD9">
      <w:pPr>
        <w:pStyle w:val="Textonotapie"/>
        <w:ind w:firstLine="709"/>
        <w:jc w:val="both"/>
        <w:rPr>
          <w:rFonts w:ascii="Verdana" w:hAnsi="Verdana" w:cs="Arial"/>
          <w:color w:val="000000" w:themeColor="text1"/>
          <w:sz w:val="16"/>
          <w:szCs w:val="16"/>
          <w:lang w:val="es-ES"/>
        </w:rPr>
      </w:pPr>
    </w:p>
  </w:footnote>
  <w:footnote w:id="9">
    <w:p w14:paraId="079F1EA8" w14:textId="77777777" w:rsidR="00E11DD9" w:rsidRPr="003E2347" w:rsidRDefault="00E11DD9" w:rsidP="00E11DD9">
      <w:pPr>
        <w:ind w:firstLine="709"/>
        <w:jc w:val="both"/>
        <w:rPr>
          <w:rFonts w:ascii="Verdana" w:hAnsi="Verdana" w:cs="Arial"/>
          <w:color w:val="000000" w:themeColor="text1"/>
          <w:sz w:val="16"/>
          <w:szCs w:val="16"/>
          <w:lang w:val="es-ES_tradnl"/>
        </w:rPr>
      </w:pPr>
      <w:r w:rsidRPr="003E2347">
        <w:rPr>
          <w:rStyle w:val="Refdenotaalpie"/>
          <w:rFonts w:ascii="Verdana" w:hAnsi="Verdana" w:cs="Arial"/>
          <w:color w:val="000000" w:themeColor="text1"/>
          <w:sz w:val="16"/>
          <w:szCs w:val="16"/>
        </w:rPr>
        <w:footnoteRef/>
      </w:r>
      <w:r w:rsidRPr="003E2347">
        <w:rPr>
          <w:rFonts w:ascii="Verdana" w:hAnsi="Verdana" w:cs="Arial"/>
          <w:color w:val="000000" w:themeColor="text1"/>
          <w:sz w:val="16"/>
          <w:szCs w:val="16"/>
        </w:rPr>
        <w:t xml:space="preserve"> </w:t>
      </w:r>
      <w:r w:rsidRPr="003E2347">
        <w:rPr>
          <w:rFonts w:ascii="Verdana" w:hAnsi="Verdana" w:cs="Arial"/>
          <w:color w:val="000000" w:themeColor="text1"/>
          <w:sz w:val="16"/>
          <w:szCs w:val="16"/>
          <w:lang w:val="es-ES"/>
        </w:rPr>
        <w:t xml:space="preserve">Providencias que avalaron dicha tesis fueron las siguientes: Consejo de Estado. </w:t>
      </w:r>
      <w:r>
        <w:rPr>
          <w:rFonts w:ascii="Verdana" w:hAnsi="Verdana" w:cs="Arial"/>
          <w:color w:val="000000" w:themeColor="text1"/>
          <w:sz w:val="16"/>
          <w:szCs w:val="16"/>
          <w:lang w:val="es-ES"/>
        </w:rPr>
        <w:t xml:space="preserve">Sala de lo Contencioso Administrativo. </w:t>
      </w:r>
      <w:r w:rsidRPr="003E2347">
        <w:rPr>
          <w:rFonts w:ascii="Verdana" w:hAnsi="Verdana" w:cs="Arial"/>
          <w:color w:val="000000" w:themeColor="text1"/>
          <w:sz w:val="16"/>
          <w:szCs w:val="16"/>
          <w:lang w:val="es-ES"/>
        </w:rPr>
        <w:t xml:space="preserve">Sección Tercera. </w:t>
      </w:r>
      <w:r>
        <w:rPr>
          <w:rFonts w:ascii="Verdana" w:hAnsi="Verdana" w:cs="Arial"/>
          <w:color w:val="000000" w:themeColor="text1"/>
          <w:sz w:val="16"/>
          <w:szCs w:val="16"/>
          <w:lang w:val="es-ES"/>
        </w:rPr>
        <w:t xml:space="preserve">Subsección C. </w:t>
      </w:r>
      <w:r w:rsidRPr="003E2347">
        <w:rPr>
          <w:rFonts w:ascii="Verdana" w:hAnsi="Verdana" w:cs="Arial"/>
          <w:color w:val="000000" w:themeColor="text1"/>
          <w:sz w:val="16"/>
          <w:szCs w:val="16"/>
          <w:lang w:val="es-ES"/>
        </w:rPr>
        <w:t xml:space="preserve">Sentencias del 20 de febrero de 2017. Consejero Ponente: Jaime Orlando Santofimio Gamboa. Expedientes: </w:t>
      </w:r>
      <w:r w:rsidRPr="003E2347">
        <w:rPr>
          <w:rFonts w:ascii="Verdana" w:hAnsi="Verdana" w:cs="Arial"/>
          <w:color w:val="000000" w:themeColor="text1"/>
          <w:sz w:val="16"/>
          <w:szCs w:val="16"/>
          <w:lang w:val="es-ES_tradnl"/>
        </w:rPr>
        <w:t>56939 y 56562. En cambio, la consideración de que las entidades de régimen especial, por regla general, no pueden ejercer esta potestad sancionatoria, se plantea en las sentencias del Consejo de Estado.</w:t>
      </w:r>
      <w:r>
        <w:rPr>
          <w:rFonts w:ascii="Verdana" w:hAnsi="Verdana" w:cs="Arial"/>
          <w:color w:val="000000" w:themeColor="text1"/>
          <w:sz w:val="16"/>
          <w:szCs w:val="16"/>
          <w:lang w:val="es-ES_tradnl"/>
        </w:rPr>
        <w:t xml:space="preserve"> Sala de lo Contencioso Administrativo. </w:t>
      </w:r>
      <w:r w:rsidRPr="003E2347">
        <w:rPr>
          <w:rFonts w:ascii="Verdana" w:hAnsi="Verdana" w:cs="Arial"/>
          <w:color w:val="000000" w:themeColor="text1"/>
          <w:sz w:val="16"/>
          <w:szCs w:val="16"/>
          <w:lang w:val="es-ES_tradnl"/>
        </w:rPr>
        <w:t>Sección Tercera.</w:t>
      </w:r>
      <w:r>
        <w:rPr>
          <w:rFonts w:ascii="Verdana" w:hAnsi="Verdana" w:cs="Arial"/>
          <w:color w:val="000000" w:themeColor="text1"/>
          <w:sz w:val="16"/>
          <w:szCs w:val="16"/>
          <w:lang w:val="es-ES_tradnl"/>
        </w:rPr>
        <w:t xml:space="preserve"> Subsección B. </w:t>
      </w:r>
      <w:r w:rsidRPr="003E2347">
        <w:rPr>
          <w:rFonts w:ascii="Verdana" w:hAnsi="Verdana" w:cs="Arial"/>
          <w:color w:val="000000" w:themeColor="text1"/>
          <w:sz w:val="16"/>
          <w:szCs w:val="16"/>
          <w:lang w:val="es-ES_tradnl"/>
        </w:rPr>
        <w:t>1 de agosto de 2018. Consejera Ponente: Stella Conto Díaz del Castillo. Expediente: 39277</w:t>
      </w:r>
      <w:r>
        <w:rPr>
          <w:rFonts w:ascii="Verdana" w:hAnsi="Verdana" w:cs="Arial"/>
          <w:color w:val="000000" w:themeColor="text1"/>
          <w:sz w:val="16"/>
          <w:szCs w:val="16"/>
          <w:lang w:val="es-ES_tradnl"/>
        </w:rPr>
        <w:t>.</w:t>
      </w:r>
      <w:r w:rsidRPr="003E2347">
        <w:rPr>
          <w:rFonts w:ascii="Verdana" w:hAnsi="Verdana" w:cs="Arial"/>
          <w:color w:val="000000" w:themeColor="text1"/>
          <w:sz w:val="16"/>
          <w:szCs w:val="16"/>
          <w:lang w:val="es-ES_tradnl"/>
        </w:rPr>
        <w:t xml:space="preserve"> Consejo de Estado.</w:t>
      </w:r>
      <w:r>
        <w:rPr>
          <w:rFonts w:ascii="Verdana" w:hAnsi="Verdana" w:cs="Arial"/>
          <w:color w:val="000000" w:themeColor="text1"/>
          <w:sz w:val="16"/>
          <w:szCs w:val="16"/>
          <w:lang w:val="es-ES_tradnl"/>
        </w:rPr>
        <w:t xml:space="preserve"> Sala de lo Contencioso Administrativo. </w:t>
      </w:r>
      <w:r w:rsidRPr="003E2347">
        <w:rPr>
          <w:rFonts w:ascii="Verdana" w:hAnsi="Verdana" w:cs="Arial"/>
          <w:color w:val="000000" w:themeColor="text1"/>
          <w:sz w:val="16"/>
          <w:szCs w:val="16"/>
          <w:lang w:val="es-ES_tradnl"/>
        </w:rPr>
        <w:t>Sección Tercera.</w:t>
      </w:r>
      <w:r>
        <w:rPr>
          <w:rFonts w:ascii="Verdana" w:hAnsi="Verdana" w:cs="Arial"/>
          <w:color w:val="000000" w:themeColor="text1"/>
          <w:sz w:val="16"/>
          <w:szCs w:val="16"/>
          <w:lang w:val="es-ES_tradnl"/>
        </w:rPr>
        <w:t xml:space="preserve"> Subsección B</w:t>
      </w:r>
      <w:r w:rsidRPr="003E2347">
        <w:rPr>
          <w:rFonts w:ascii="Verdana" w:hAnsi="Verdana" w:cs="Arial"/>
          <w:color w:val="000000" w:themeColor="text1"/>
          <w:sz w:val="16"/>
          <w:szCs w:val="16"/>
          <w:lang w:val="es-ES_tradnl"/>
        </w:rPr>
        <w:t xml:space="preserve"> </w:t>
      </w:r>
      <w:r>
        <w:rPr>
          <w:rFonts w:ascii="Verdana" w:hAnsi="Verdana" w:cs="Arial"/>
          <w:color w:val="000000" w:themeColor="text1"/>
          <w:sz w:val="16"/>
          <w:szCs w:val="16"/>
          <w:lang w:val="es-ES_tradnl"/>
        </w:rPr>
        <w:t xml:space="preserve">sentencia </w:t>
      </w:r>
      <w:r w:rsidRPr="003E2347">
        <w:rPr>
          <w:rFonts w:ascii="Verdana" w:hAnsi="Verdana" w:cs="Arial"/>
          <w:color w:val="000000" w:themeColor="text1"/>
          <w:sz w:val="16"/>
          <w:szCs w:val="16"/>
          <w:lang w:val="es-ES_tradnl"/>
        </w:rPr>
        <w:t>del 14 de febrero de 2019. Consejero Ponente: Carlos Alberto Zambrano Barrera. Expediente: 38937.</w:t>
      </w:r>
    </w:p>
    <w:p w14:paraId="7E67BABE" w14:textId="77777777" w:rsidR="00E11DD9" w:rsidRPr="003E2347" w:rsidRDefault="00E11DD9" w:rsidP="00E11DD9">
      <w:pPr>
        <w:pStyle w:val="Textonotapie"/>
        <w:jc w:val="both"/>
        <w:rPr>
          <w:rFonts w:ascii="Verdana" w:hAnsi="Verdana" w:cs="Arial"/>
          <w:color w:val="000000" w:themeColor="text1"/>
          <w:sz w:val="16"/>
          <w:szCs w:val="16"/>
          <w:lang w:val="es-ES_tradnl"/>
        </w:rPr>
      </w:pPr>
    </w:p>
  </w:footnote>
  <w:footnote w:id="10">
    <w:p w14:paraId="6C73FD94" w14:textId="77777777" w:rsidR="00E11DD9" w:rsidRPr="003E2347" w:rsidRDefault="00E11DD9" w:rsidP="00E11DD9">
      <w:pPr>
        <w:pStyle w:val="Textonotapie"/>
        <w:ind w:firstLine="708"/>
        <w:jc w:val="both"/>
        <w:rPr>
          <w:rFonts w:ascii="Verdana" w:hAnsi="Verdana"/>
          <w:sz w:val="16"/>
          <w:szCs w:val="16"/>
        </w:rPr>
      </w:pPr>
      <w:r w:rsidRPr="003E2347">
        <w:rPr>
          <w:rStyle w:val="Refdenotaalpie"/>
          <w:rFonts w:ascii="Verdana" w:hAnsi="Verdana"/>
          <w:sz w:val="16"/>
          <w:szCs w:val="16"/>
        </w:rPr>
        <w:footnoteRef/>
      </w:r>
      <w:r w:rsidRPr="003E2347">
        <w:rPr>
          <w:rFonts w:ascii="Verdana" w:hAnsi="Verdana"/>
          <w:sz w:val="16"/>
          <w:szCs w:val="16"/>
        </w:rPr>
        <w:t xml:space="preserve"> C</w:t>
      </w:r>
      <w:r>
        <w:rPr>
          <w:rFonts w:ascii="Verdana" w:hAnsi="Verdana"/>
          <w:sz w:val="16"/>
          <w:szCs w:val="16"/>
        </w:rPr>
        <w:t>onsejo de Estado</w:t>
      </w:r>
      <w:r w:rsidRPr="003E2347">
        <w:rPr>
          <w:rFonts w:ascii="Verdana" w:hAnsi="Verdana"/>
          <w:sz w:val="16"/>
          <w:szCs w:val="16"/>
        </w:rPr>
        <w:t xml:space="preserve">. </w:t>
      </w:r>
      <w:r>
        <w:rPr>
          <w:rFonts w:ascii="Verdana" w:hAnsi="Verdana"/>
          <w:sz w:val="16"/>
          <w:szCs w:val="16"/>
        </w:rPr>
        <w:t xml:space="preserve">Sala Plena. </w:t>
      </w:r>
      <w:r w:rsidRPr="003E2347">
        <w:rPr>
          <w:rFonts w:ascii="Verdana" w:hAnsi="Verdana"/>
          <w:sz w:val="16"/>
          <w:szCs w:val="16"/>
        </w:rPr>
        <w:t>Sección Tercera</w:t>
      </w:r>
      <w:r>
        <w:rPr>
          <w:rFonts w:ascii="Verdana" w:hAnsi="Verdana"/>
          <w:sz w:val="16"/>
          <w:szCs w:val="16"/>
        </w:rPr>
        <w:t xml:space="preserve">. </w:t>
      </w:r>
      <w:r w:rsidRPr="003E2347">
        <w:rPr>
          <w:rFonts w:ascii="Verdana" w:hAnsi="Verdana"/>
          <w:sz w:val="16"/>
          <w:szCs w:val="16"/>
        </w:rPr>
        <w:t xml:space="preserve">Sentencia de Unificación del 9 de mayo de 2024, C.P. José Roberto Sáchica Méndez, </w:t>
      </w:r>
      <w:r w:rsidRPr="003E2347">
        <w:rPr>
          <w:rFonts w:ascii="Verdana" w:hAnsi="Verdana"/>
          <w:sz w:val="16"/>
          <w:szCs w:val="16"/>
        </w:rPr>
        <w:t>Exp. No. 53.962.</w:t>
      </w:r>
    </w:p>
    <w:p w14:paraId="38D3FD58" w14:textId="77777777" w:rsidR="00E11DD9" w:rsidRPr="003E2347" w:rsidRDefault="00E11DD9" w:rsidP="00E11DD9">
      <w:pPr>
        <w:pStyle w:val="Textonotapie"/>
        <w:ind w:firstLine="708"/>
        <w:jc w:val="both"/>
        <w:rPr>
          <w:rFonts w:ascii="Verdana" w:hAnsi="Verdana"/>
          <w:sz w:val="16"/>
          <w:szCs w:val="16"/>
        </w:rPr>
      </w:pPr>
      <w:r w:rsidRPr="003E2347">
        <w:rPr>
          <w:rFonts w:ascii="Verdana" w:hAnsi="Verdana"/>
          <w:sz w:val="16"/>
          <w:szCs w:val="16"/>
        </w:rPr>
        <w:t xml:space="preserve">  </w:t>
      </w:r>
    </w:p>
  </w:footnote>
  <w:footnote w:id="11">
    <w:p w14:paraId="37AAE612"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 xml:space="preserve">Consejo de Estado. Sala de lo Contenciosos Administrativo. Sección Tercera. Subsección B, sentencia del 19 de junio de 2019, </w:t>
      </w:r>
      <w:r w:rsidRPr="00CB471F">
        <w:rPr>
          <w:rFonts w:ascii="Verdana" w:hAnsi="Verdana"/>
          <w:sz w:val="16"/>
          <w:szCs w:val="16"/>
          <w:lang w:val="es-CO"/>
        </w:rPr>
        <w:t xml:space="preserve">Exp. No. 39.800.  </w:t>
      </w:r>
      <w:r w:rsidRPr="00CB471F">
        <w:rPr>
          <w:rFonts w:ascii="Verdana" w:hAnsi="Verdana"/>
          <w:sz w:val="16"/>
          <w:szCs w:val="16"/>
        </w:rPr>
        <w:t xml:space="preserve"> </w:t>
      </w:r>
    </w:p>
    <w:p w14:paraId="324916DC" w14:textId="77777777" w:rsidR="00E11DD9" w:rsidRPr="00CB471F" w:rsidRDefault="00E11DD9" w:rsidP="00E11DD9">
      <w:pPr>
        <w:pStyle w:val="Textonotapie"/>
        <w:ind w:firstLine="708"/>
        <w:jc w:val="both"/>
        <w:rPr>
          <w:rFonts w:ascii="Verdana" w:hAnsi="Verdana"/>
          <w:sz w:val="16"/>
          <w:szCs w:val="16"/>
        </w:rPr>
      </w:pPr>
    </w:p>
  </w:footnote>
  <w:footnote w:id="12">
    <w:p w14:paraId="38FEB2FD"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 xml:space="preserve"> Consejo de Estado. Sala de lo Contenciosos Administrativo. Sección Tercera. Subsección B, sentencia del 23 de noviembre de 2022, </w:t>
      </w:r>
      <w:r w:rsidRPr="00CB471F">
        <w:rPr>
          <w:rFonts w:ascii="Verdana" w:hAnsi="Verdana"/>
          <w:sz w:val="16"/>
          <w:szCs w:val="16"/>
          <w:lang w:val="es-CO"/>
        </w:rPr>
        <w:t xml:space="preserve">Exp. No. 66.700.  </w:t>
      </w:r>
    </w:p>
  </w:footnote>
  <w:footnote w:id="13">
    <w:p w14:paraId="1E256F2D" w14:textId="77777777" w:rsidR="00E11DD9" w:rsidRPr="00CB471F" w:rsidRDefault="00E11DD9" w:rsidP="00E11DD9">
      <w:pPr>
        <w:pStyle w:val="Textonotapie"/>
        <w:ind w:firstLine="708"/>
        <w:jc w:val="both"/>
        <w:rPr>
          <w:rFonts w:ascii="Verdana" w:hAnsi="Verdana"/>
          <w:sz w:val="16"/>
          <w:szCs w:val="16"/>
        </w:rPr>
      </w:pPr>
    </w:p>
    <w:p w14:paraId="1D26CDF8"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 xml:space="preserve">Consejo de Estado. Sala de lo Contenciosos Administrativo. Sección Tercera, Subsección C, sentencia del 21 de octubre de 2021, </w:t>
      </w:r>
      <w:r w:rsidRPr="00CB471F">
        <w:rPr>
          <w:rFonts w:ascii="Verdana" w:hAnsi="Verdana"/>
          <w:sz w:val="16"/>
          <w:szCs w:val="16"/>
          <w:lang w:val="es-CO"/>
        </w:rPr>
        <w:t>Exp. No. 36697.</w:t>
      </w:r>
    </w:p>
  </w:footnote>
  <w:footnote w:id="14">
    <w:p w14:paraId="74B8548B" w14:textId="77777777" w:rsidR="00E11DD9" w:rsidRPr="00CB471F" w:rsidRDefault="00E11DD9" w:rsidP="00E11DD9">
      <w:pPr>
        <w:pStyle w:val="Textonotapie"/>
        <w:ind w:firstLine="708"/>
        <w:jc w:val="both"/>
        <w:rPr>
          <w:rFonts w:ascii="Verdana" w:hAnsi="Verdana"/>
          <w:sz w:val="16"/>
          <w:szCs w:val="16"/>
        </w:rPr>
      </w:pPr>
    </w:p>
    <w:p w14:paraId="5E905433"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 xml:space="preserve">Consejo de Estado. Sala de lo Contenciosos Administrativo. Sección Tercera, Subsección A, Sentencia del 24 de septiembre de 2020, </w:t>
      </w:r>
      <w:r w:rsidRPr="00CB471F">
        <w:rPr>
          <w:rFonts w:ascii="Verdana" w:hAnsi="Verdana"/>
          <w:sz w:val="16"/>
          <w:szCs w:val="16"/>
          <w:lang w:val="es-CO"/>
        </w:rPr>
        <w:t xml:space="preserve">Exp. No. 44707.  </w:t>
      </w:r>
    </w:p>
  </w:footnote>
  <w:footnote w:id="15">
    <w:p w14:paraId="61FB2488" w14:textId="77777777" w:rsidR="00E11DD9" w:rsidRPr="00CB471F" w:rsidRDefault="00E11DD9" w:rsidP="00E11DD9">
      <w:pPr>
        <w:pStyle w:val="Textonotapie"/>
        <w:jc w:val="both"/>
        <w:rPr>
          <w:rFonts w:ascii="Verdana" w:hAnsi="Verdana"/>
          <w:sz w:val="16"/>
          <w:szCs w:val="16"/>
        </w:rPr>
      </w:pPr>
    </w:p>
    <w:p w14:paraId="7AB566D8" w14:textId="77777777" w:rsidR="00E11DD9" w:rsidRPr="00CB471F" w:rsidRDefault="00E11DD9" w:rsidP="00E11DD9">
      <w:pPr>
        <w:pStyle w:val="Textonotapie"/>
        <w:ind w:firstLine="708"/>
        <w:jc w:val="both"/>
        <w:rPr>
          <w:rFonts w:ascii="Verdana" w:hAnsi="Verdana"/>
          <w:sz w:val="16"/>
          <w:szCs w:val="16"/>
        </w:rPr>
      </w:pPr>
      <w:r w:rsidRPr="00CB471F">
        <w:rPr>
          <w:rStyle w:val="Refdenotaalpie"/>
          <w:rFonts w:ascii="Verdana" w:hAnsi="Verdana"/>
          <w:sz w:val="16"/>
          <w:szCs w:val="16"/>
        </w:rPr>
        <w:footnoteRef/>
      </w:r>
      <w:r w:rsidRPr="00CB471F">
        <w:rPr>
          <w:rFonts w:ascii="Verdana" w:hAnsi="Verdana"/>
          <w:sz w:val="16"/>
          <w:szCs w:val="16"/>
        </w:rPr>
        <w:t xml:space="preserve"> </w:t>
      </w:r>
      <w:r w:rsidRPr="00CB471F">
        <w:rPr>
          <w:rFonts w:ascii="Verdana" w:hAnsi="Verdana"/>
          <w:sz w:val="16"/>
          <w:szCs w:val="16"/>
          <w:lang w:val="es-CO"/>
        </w:rPr>
        <w:t xml:space="preserve">Consejo de Estado. Sala de lo Contenciosos Administrativo. Tercera, Subsección A, Sentencia del 21 de mayo de 2021, </w:t>
      </w:r>
      <w:r w:rsidRPr="00CB471F">
        <w:rPr>
          <w:rFonts w:ascii="Verdana" w:hAnsi="Verdana"/>
          <w:sz w:val="16"/>
          <w:szCs w:val="16"/>
          <w:lang w:val="es-CO"/>
        </w:rPr>
        <w:t xml:space="preserve">Exp. No. 57822.  </w:t>
      </w:r>
    </w:p>
  </w:footnote>
  <w:footnote w:id="16">
    <w:p w14:paraId="1C376CD3" w14:textId="77777777" w:rsidR="00E11DD9" w:rsidRPr="00CB471F" w:rsidRDefault="00E11DD9" w:rsidP="00E11DD9">
      <w:pPr>
        <w:pStyle w:val="Textonotapie"/>
        <w:ind w:firstLine="708"/>
        <w:jc w:val="both"/>
        <w:rPr>
          <w:rFonts w:ascii="Verdana" w:hAnsi="Verdana"/>
          <w:sz w:val="16"/>
          <w:szCs w:val="16"/>
        </w:rPr>
      </w:pPr>
    </w:p>
  </w:footnote>
  <w:footnote w:id="17">
    <w:p w14:paraId="155693FA" w14:textId="77777777" w:rsidR="00E11DD9" w:rsidRPr="009C400E" w:rsidRDefault="00E11DD9" w:rsidP="00E11DD9">
      <w:pPr>
        <w:pStyle w:val="Textonotapie"/>
        <w:ind w:firstLine="709"/>
        <w:jc w:val="both"/>
        <w:rPr>
          <w:rFonts w:ascii="Verdana" w:hAnsi="Verdana" w:cs="Arial"/>
          <w:color w:val="000000" w:themeColor="text1"/>
          <w:sz w:val="16"/>
          <w:szCs w:val="16"/>
          <w:lang w:val="pt-PT"/>
        </w:rPr>
      </w:pPr>
      <w:r w:rsidRPr="00CB471F">
        <w:rPr>
          <w:rStyle w:val="Refdenotaalpie"/>
          <w:rFonts w:ascii="Verdana" w:hAnsi="Verdana" w:cs="Arial"/>
          <w:color w:val="000000" w:themeColor="text1"/>
          <w:sz w:val="16"/>
          <w:szCs w:val="16"/>
        </w:rPr>
        <w:footnoteRef/>
      </w:r>
      <w:r w:rsidRPr="00CB471F">
        <w:rPr>
          <w:rFonts w:ascii="Verdana" w:hAnsi="Verdana" w:cs="Arial"/>
          <w:color w:val="000000" w:themeColor="text1"/>
          <w:sz w:val="16"/>
          <w:szCs w:val="16"/>
        </w:rPr>
        <w:t xml:space="preserve"> </w:t>
      </w:r>
      <w:r w:rsidRPr="00CB471F">
        <w:rPr>
          <w:rFonts w:ascii="Verdana" w:hAnsi="Verdana" w:cs="Arial"/>
          <w:color w:val="000000" w:themeColor="text1"/>
          <w:sz w:val="16"/>
          <w:szCs w:val="16"/>
          <w:lang w:val="es-ES"/>
        </w:rPr>
        <w:t xml:space="preserve">Consejo de Estado. Sala de lo Contencioso Administrativo. Sección Tercera. Auto del 12 de diciembre de 2017. </w:t>
      </w:r>
      <w:r w:rsidRPr="009C400E">
        <w:rPr>
          <w:rFonts w:ascii="Verdana" w:hAnsi="Verdana" w:cs="Arial"/>
          <w:color w:val="000000" w:themeColor="text1"/>
          <w:sz w:val="16"/>
          <w:szCs w:val="16"/>
          <w:lang w:val="pt-PT"/>
        </w:rPr>
        <w:t>Exp. 60.477. C.P. Jaime Orlando Santofimio Gamboa.</w:t>
      </w:r>
    </w:p>
    <w:p w14:paraId="35778F93" w14:textId="77777777" w:rsidR="00E11DD9" w:rsidRPr="009C400E" w:rsidRDefault="00E11DD9" w:rsidP="00E11DD9">
      <w:pPr>
        <w:pStyle w:val="Textonotapie"/>
        <w:ind w:firstLine="709"/>
        <w:jc w:val="both"/>
        <w:rPr>
          <w:rFonts w:ascii="Verdana" w:hAnsi="Verdana" w:cs="Arial"/>
          <w:color w:val="000000" w:themeColor="text1"/>
          <w:sz w:val="16"/>
          <w:szCs w:val="16"/>
          <w:lang w:val="pt-PT"/>
        </w:rPr>
      </w:pPr>
    </w:p>
  </w:footnote>
  <w:footnote w:id="18">
    <w:p w14:paraId="46CBC541" w14:textId="77777777" w:rsidR="00E11DD9" w:rsidRPr="00375291" w:rsidRDefault="00E11DD9" w:rsidP="00E11DD9">
      <w:pPr>
        <w:pStyle w:val="Textonotapie"/>
        <w:ind w:firstLine="709"/>
        <w:jc w:val="both"/>
        <w:rPr>
          <w:rFonts w:ascii="Verdana" w:hAnsi="Verdana" w:cs="Arial"/>
          <w:sz w:val="16"/>
          <w:szCs w:val="16"/>
        </w:rPr>
      </w:pPr>
      <w:r w:rsidRPr="00375291">
        <w:rPr>
          <w:rStyle w:val="Refdenotaalpie"/>
          <w:rFonts w:ascii="Verdana" w:hAnsi="Verdana" w:cs="Arial"/>
          <w:sz w:val="16"/>
          <w:szCs w:val="16"/>
        </w:rPr>
        <w:footnoteRef/>
      </w:r>
      <w:r w:rsidRPr="009C400E">
        <w:rPr>
          <w:rFonts w:ascii="Verdana" w:hAnsi="Verdana" w:cs="Arial"/>
          <w:sz w:val="16"/>
          <w:szCs w:val="16"/>
          <w:lang w:val="pt-PT"/>
        </w:rPr>
        <w:t xml:space="preserve"> Corte Suprema de Justicia. </w:t>
      </w:r>
      <w:r w:rsidRPr="00375291">
        <w:rPr>
          <w:rFonts w:ascii="Verdana" w:hAnsi="Verdana" w:cs="Arial"/>
          <w:sz w:val="16"/>
          <w:szCs w:val="16"/>
        </w:rPr>
        <w:t>Sala de Casación Civil, sentencia de 30 de agosto de 2011, expediente 11001-3103-012-1999-01957-01</w:t>
      </w:r>
      <w:r>
        <w:rPr>
          <w:rFonts w:ascii="Verdana" w:hAnsi="Verdana" w:cs="Arial"/>
          <w:sz w:val="16"/>
          <w:szCs w:val="16"/>
        </w:rPr>
        <w:t>.</w:t>
      </w:r>
    </w:p>
  </w:footnote>
  <w:footnote w:id="19">
    <w:p w14:paraId="125B3A10" w14:textId="77777777" w:rsidR="00E11DD9" w:rsidRPr="00CB471F" w:rsidRDefault="00E11DD9" w:rsidP="00E11DD9">
      <w:pPr>
        <w:pStyle w:val="Textonotapie"/>
        <w:ind w:firstLine="708"/>
        <w:jc w:val="both"/>
        <w:rPr>
          <w:rFonts w:ascii="Verdana" w:hAnsi="Verdana" w:cs="Arial"/>
          <w:sz w:val="16"/>
          <w:szCs w:val="16"/>
        </w:rPr>
      </w:pPr>
      <w:r w:rsidRPr="00CB471F">
        <w:rPr>
          <w:rStyle w:val="Refdenotaalpie"/>
          <w:rFonts w:ascii="Verdana" w:hAnsi="Verdana" w:cs="Arial"/>
          <w:sz w:val="16"/>
          <w:szCs w:val="16"/>
        </w:rPr>
        <w:footnoteRef/>
      </w:r>
      <w:r w:rsidRPr="00CB471F">
        <w:rPr>
          <w:rFonts w:ascii="Verdana" w:hAnsi="Verdana" w:cs="Arial"/>
          <w:sz w:val="16"/>
          <w:szCs w:val="16"/>
        </w:rPr>
        <w:t xml:space="preserve"> Agencia Nacional de Contratación Pública –Colombia Compra Eficiente–. Guía de garantías en procesos de contratación. p. 12. Disponible en: </w:t>
      </w:r>
      <w:hyperlink r:id="rId1" w:history="1">
        <w:r w:rsidRPr="00CB471F">
          <w:rPr>
            <w:rStyle w:val="Hipervnculo"/>
            <w:rFonts w:ascii="Verdana" w:hAnsi="Verdana"/>
            <w:sz w:val="16"/>
            <w:szCs w:val="16"/>
          </w:rPr>
          <w:t>https://www.colombiacompra.gov.co/manuales-guias-y-pliegos-tipo/manuales-y-guias</w:t>
        </w:r>
      </w:hyperlink>
      <w:r w:rsidRPr="00CB471F">
        <w:rPr>
          <w:rFonts w:ascii="Verdana" w:hAnsi="Verdana" w:cs="Arial"/>
          <w:sz w:val="16"/>
          <w:szCs w:val="16"/>
        </w:rPr>
        <w:t xml:space="preserve">. </w:t>
      </w:r>
    </w:p>
    <w:p w14:paraId="50CF3D6C" w14:textId="77777777" w:rsidR="00E11DD9" w:rsidRPr="00CB471F" w:rsidRDefault="00E11DD9" w:rsidP="00E11DD9">
      <w:pPr>
        <w:pStyle w:val="Textonotapie"/>
        <w:ind w:firstLine="708"/>
        <w:jc w:val="both"/>
        <w:rPr>
          <w:rFonts w:ascii="Verdana" w:hAnsi="Verdana" w:cs="Arial"/>
          <w:sz w:val="16"/>
          <w:szCs w:val="16"/>
          <w:lang w:val="es-CO"/>
        </w:rPr>
      </w:pPr>
    </w:p>
  </w:footnote>
  <w:footnote w:id="20">
    <w:p w14:paraId="39742842" w14:textId="77777777" w:rsidR="00E11DD9" w:rsidRPr="00CB471F" w:rsidRDefault="00E11DD9" w:rsidP="00E11DD9">
      <w:pPr>
        <w:pStyle w:val="Textonotapie"/>
        <w:ind w:firstLine="708"/>
        <w:jc w:val="both"/>
        <w:rPr>
          <w:rFonts w:ascii="Verdana" w:hAnsi="Verdana" w:cs="Arial"/>
          <w:sz w:val="16"/>
          <w:szCs w:val="16"/>
        </w:rPr>
      </w:pPr>
      <w:r w:rsidRPr="00CB471F">
        <w:rPr>
          <w:rStyle w:val="Refdenotaalpie"/>
          <w:rFonts w:ascii="Verdana" w:hAnsi="Verdana" w:cs="Arial"/>
          <w:sz w:val="16"/>
          <w:szCs w:val="16"/>
        </w:rPr>
        <w:footnoteRef/>
      </w:r>
      <w:r w:rsidRPr="00CB471F">
        <w:rPr>
          <w:rFonts w:ascii="Verdana" w:hAnsi="Verdana" w:cs="Arial"/>
          <w:sz w:val="16"/>
          <w:szCs w:val="16"/>
        </w:rPr>
        <w:t xml:space="preserve"> Ibidem., p. 17. La guía además señala en relación con las garantías bancarias y cartas de crédito stand </w:t>
      </w:r>
      <w:r w:rsidRPr="00CB471F">
        <w:rPr>
          <w:rFonts w:ascii="Verdana" w:hAnsi="Verdana" w:cs="Arial"/>
          <w:sz w:val="16"/>
          <w:szCs w:val="16"/>
        </w:rPr>
        <w:t>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21">
    <w:p w14:paraId="38394584" w14:textId="77777777" w:rsidR="00E11DD9" w:rsidRPr="00CB471F" w:rsidRDefault="00E11DD9" w:rsidP="00E11DD9">
      <w:pPr>
        <w:pStyle w:val="Textonotapie"/>
        <w:ind w:firstLine="709"/>
        <w:jc w:val="both"/>
        <w:rPr>
          <w:rFonts w:ascii="Verdana" w:hAnsi="Verdana"/>
          <w:sz w:val="16"/>
          <w:szCs w:val="16"/>
          <w:lang w:val="es-ES"/>
        </w:rPr>
      </w:pPr>
      <w:r w:rsidRPr="00CB471F">
        <w:rPr>
          <w:rStyle w:val="Refdenotaalpie"/>
          <w:rFonts w:ascii="Verdana" w:hAnsi="Verdana"/>
          <w:sz w:val="16"/>
          <w:szCs w:val="16"/>
        </w:rPr>
        <w:footnoteRef/>
      </w:r>
      <w:r w:rsidRPr="00CB471F">
        <w:rPr>
          <w:rFonts w:ascii="Verdana" w:hAnsi="Verdana"/>
          <w:sz w:val="16"/>
          <w:szCs w:val="16"/>
        </w:rPr>
        <w:t xml:space="preserve"> </w:t>
      </w:r>
      <w:r>
        <w:rPr>
          <w:rFonts w:ascii="Verdana" w:hAnsi="Verdana"/>
          <w:sz w:val="16"/>
          <w:szCs w:val="16"/>
        </w:rPr>
        <w:t xml:space="preserve">Así se sostuvo en la sentencia del </w:t>
      </w:r>
      <w:r w:rsidRPr="00CB471F">
        <w:rPr>
          <w:rFonts w:ascii="Verdana" w:hAnsi="Verdana"/>
          <w:sz w:val="16"/>
          <w:szCs w:val="16"/>
          <w:lang w:val="es-ES"/>
        </w:rPr>
        <w:t>Consejo de Estado. Sala de lo Contencioso Administrativo. Sección Tercera. 19 de junio de 2019. Radicado: 85001-23-31-001-2008-00076-01(39800). C.P. Alberto Montaña Plata.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8AFBD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85418264" o:spid="_x0000_i1025" type="#_x0000_t75" style="width:11.5pt;height:11.5pt;visibility:visible;mso-wrap-style:square">
            <v:imagedata r:id="rId1" o:title=""/>
          </v:shape>
        </w:pict>
      </mc:Choice>
      <mc:Fallback>
        <w:drawing>
          <wp:inline distT="0" distB="0" distL="0" distR="0" wp14:anchorId="1601A192" wp14:editId="57A0182F">
            <wp:extent cx="146050" cy="146050"/>
            <wp:effectExtent l="0" t="0" r="0" b="0"/>
            <wp:docPr id="1085418264" name="Imagen 1085418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6FC2E5D"/>
    <w:multiLevelType w:val="hybridMultilevel"/>
    <w:tmpl w:val="C32C22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A5D086A"/>
    <w:multiLevelType w:val="hybridMultilevel"/>
    <w:tmpl w:val="0A84C6B2"/>
    <w:lvl w:ilvl="0" w:tplc="4348B772">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1872646036">
    <w:abstractNumId w:val="11"/>
  </w:num>
  <w:num w:numId="19" w16cid:durableId="823012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0B25"/>
    <w:rsid w:val="000A683E"/>
    <w:rsid w:val="000B19B9"/>
    <w:rsid w:val="000D0334"/>
    <w:rsid w:val="000F6486"/>
    <w:rsid w:val="00125105"/>
    <w:rsid w:val="00127233"/>
    <w:rsid w:val="00141963"/>
    <w:rsid w:val="001458EB"/>
    <w:rsid w:val="001511A0"/>
    <w:rsid w:val="00164C38"/>
    <w:rsid w:val="001702D6"/>
    <w:rsid w:val="001C54E1"/>
    <w:rsid w:val="001E4177"/>
    <w:rsid w:val="001F3A5C"/>
    <w:rsid w:val="001F7DC6"/>
    <w:rsid w:val="002421BB"/>
    <w:rsid w:val="0025796E"/>
    <w:rsid w:val="002707A2"/>
    <w:rsid w:val="00276F03"/>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465CF"/>
    <w:rsid w:val="004536AA"/>
    <w:rsid w:val="004A1847"/>
    <w:rsid w:val="004A305D"/>
    <w:rsid w:val="004F0211"/>
    <w:rsid w:val="004F21C4"/>
    <w:rsid w:val="004F685F"/>
    <w:rsid w:val="005566E8"/>
    <w:rsid w:val="00574867"/>
    <w:rsid w:val="00591460"/>
    <w:rsid w:val="00597AB2"/>
    <w:rsid w:val="005B3816"/>
    <w:rsid w:val="005C3777"/>
    <w:rsid w:val="005C5CDC"/>
    <w:rsid w:val="005D476C"/>
    <w:rsid w:val="005E6AE2"/>
    <w:rsid w:val="00601D68"/>
    <w:rsid w:val="006219F8"/>
    <w:rsid w:val="00665D70"/>
    <w:rsid w:val="006900D9"/>
    <w:rsid w:val="006C1950"/>
    <w:rsid w:val="006F26A1"/>
    <w:rsid w:val="00706C16"/>
    <w:rsid w:val="007442BC"/>
    <w:rsid w:val="00756841"/>
    <w:rsid w:val="007649AB"/>
    <w:rsid w:val="00771D0C"/>
    <w:rsid w:val="007833AC"/>
    <w:rsid w:val="007920AE"/>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24CB9"/>
    <w:rsid w:val="009345EC"/>
    <w:rsid w:val="00941758"/>
    <w:rsid w:val="009419F9"/>
    <w:rsid w:val="0095685E"/>
    <w:rsid w:val="00961B09"/>
    <w:rsid w:val="00965334"/>
    <w:rsid w:val="0097093E"/>
    <w:rsid w:val="00986AC5"/>
    <w:rsid w:val="009A0DFA"/>
    <w:rsid w:val="009B2D26"/>
    <w:rsid w:val="009C400E"/>
    <w:rsid w:val="009C71FA"/>
    <w:rsid w:val="009C72E7"/>
    <w:rsid w:val="009D3058"/>
    <w:rsid w:val="009E0C6B"/>
    <w:rsid w:val="009F3A13"/>
    <w:rsid w:val="00A122D3"/>
    <w:rsid w:val="00A17F13"/>
    <w:rsid w:val="00A20739"/>
    <w:rsid w:val="00A33C78"/>
    <w:rsid w:val="00A60BF5"/>
    <w:rsid w:val="00A96C27"/>
    <w:rsid w:val="00AB0ADB"/>
    <w:rsid w:val="00AE5C4C"/>
    <w:rsid w:val="00B01B1A"/>
    <w:rsid w:val="00B66319"/>
    <w:rsid w:val="00B72CD3"/>
    <w:rsid w:val="00B72FFF"/>
    <w:rsid w:val="00BC3D36"/>
    <w:rsid w:val="00BD7F72"/>
    <w:rsid w:val="00C04FB3"/>
    <w:rsid w:val="00C216F1"/>
    <w:rsid w:val="00C275EA"/>
    <w:rsid w:val="00C330EB"/>
    <w:rsid w:val="00C36C0C"/>
    <w:rsid w:val="00C41061"/>
    <w:rsid w:val="00C430F4"/>
    <w:rsid w:val="00C61891"/>
    <w:rsid w:val="00C754BE"/>
    <w:rsid w:val="00C76B1C"/>
    <w:rsid w:val="00CB6357"/>
    <w:rsid w:val="00CC1B26"/>
    <w:rsid w:val="00D423A2"/>
    <w:rsid w:val="00D520D8"/>
    <w:rsid w:val="00D6138F"/>
    <w:rsid w:val="00D63AC2"/>
    <w:rsid w:val="00D6475D"/>
    <w:rsid w:val="00D7383B"/>
    <w:rsid w:val="00DA231B"/>
    <w:rsid w:val="00DB0276"/>
    <w:rsid w:val="00DC39FC"/>
    <w:rsid w:val="00DC73C0"/>
    <w:rsid w:val="00DF5254"/>
    <w:rsid w:val="00E11DD9"/>
    <w:rsid w:val="00E16408"/>
    <w:rsid w:val="00E20894"/>
    <w:rsid w:val="00E245AB"/>
    <w:rsid w:val="00E2764C"/>
    <w:rsid w:val="00E27F2E"/>
    <w:rsid w:val="00E4235A"/>
    <w:rsid w:val="00E50AFE"/>
    <w:rsid w:val="00E63FA0"/>
    <w:rsid w:val="00E75C92"/>
    <w:rsid w:val="00E771DC"/>
    <w:rsid w:val="00E8772A"/>
    <w:rsid w:val="00E90F6B"/>
    <w:rsid w:val="00E92C27"/>
    <w:rsid w:val="00EA0E3D"/>
    <w:rsid w:val="00EC38A7"/>
    <w:rsid w:val="00ED7384"/>
    <w:rsid w:val="00EE1AA8"/>
    <w:rsid w:val="00EF22DD"/>
    <w:rsid w:val="00F240B3"/>
    <w:rsid w:val="00F31EDC"/>
    <w:rsid w:val="00F4418A"/>
    <w:rsid w:val="00F462B3"/>
    <w:rsid w:val="00F5664F"/>
    <w:rsid w:val="00F57AB4"/>
    <w:rsid w:val="00F666C4"/>
    <w:rsid w:val="00F76AFC"/>
    <w:rsid w:val="00FA47C0"/>
    <w:rsid w:val="00FB5DD1"/>
    <w:rsid w:val="00FC2B5D"/>
    <w:rsid w:val="00FF1449"/>
    <w:rsid w:val="09FEE3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11DD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11DD9"/>
    <w:rPr>
      <w:rFonts w:ascii="Geomanist Light" w:hAnsi="Geomanist Light"/>
      <w:lang w:val="es-ES"/>
    </w:rPr>
  </w:style>
  <w:style w:type="paragraph" w:customStyle="1" w:styleId="estilo1">
    <w:name w:val="estilo1"/>
    <w:basedOn w:val="Normal"/>
    <w:rsid w:val="00E11DD9"/>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manuales-guias-y-pliegos-tipo/manuales-y-guias"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EBA6F0F-E648-4847-A368-36C1EFE17A2C}">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1CDC2DB-E425-45ED-AF99-E0A2DBBCE9F1}"/>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25</Pages>
  <Words>8293</Words>
  <Characters>45614</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2025-04-26T02:52:00Z</dcterms:created>
  <dcterms:modified xsi:type="dcterms:W3CDTF">2025-04-30T02:37:00Z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