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112A89"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112A89">
        <w:rPr>
          <w:rFonts w:ascii="Arial" w:hAnsi="Arial" w:cs="Arial"/>
          <w:bCs/>
          <w:color w:val="000000" w:themeColor="text1"/>
          <w:sz w:val="16"/>
          <w:szCs w:val="16"/>
          <w:lang w:val="es-ES_tradnl" w:eastAsia="es-ES"/>
        </w:rPr>
        <w:t>CCE-DES-FM-17</w:t>
      </w:r>
      <w:bookmarkEnd w:id="0"/>
      <w:bookmarkEnd w:id="1"/>
    </w:p>
    <w:p w14:paraId="55FBD910" w14:textId="77777777" w:rsidR="008536BB" w:rsidRPr="00112A89" w:rsidRDefault="008536BB" w:rsidP="00B95C30">
      <w:pPr>
        <w:spacing w:line="276" w:lineRule="auto"/>
        <w:jc w:val="both"/>
        <w:rPr>
          <w:rFonts w:ascii="Arial" w:hAnsi="Arial" w:cs="Arial"/>
          <w:noProof/>
          <w:color w:val="000000" w:themeColor="text1"/>
          <w:sz w:val="22"/>
          <w:lang w:val="es-ES_tradnl"/>
        </w:rPr>
      </w:pPr>
    </w:p>
    <w:p w14:paraId="7BDFF304" w14:textId="77777777" w:rsidR="00447630" w:rsidRPr="00112A89" w:rsidRDefault="00447630" w:rsidP="00447630">
      <w:pPr>
        <w:jc w:val="both"/>
        <w:rPr>
          <w:rFonts w:ascii="Arial" w:eastAsia="Calibri" w:hAnsi="Arial" w:cs="Arial"/>
          <w:b/>
          <w:bCs/>
          <w:color w:val="000000" w:themeColor="text1"/>
          <w:sz w:val="22"/>
          <w:szCs w:val="22"/>
          <w:lang w:val="es-ES_tradnl"/>
        </w:rPr>
      </w:pPr>
      <w:r w:rsidRPr="00112A89">
        <w:rPr>
          <w:rFonts w:ascii="Arial" w:eastAsia="Calibri" w:hAnsi="Arial" w:cs="Arial"/>
          <w:b/>
          <w:bCs/>
          <w:color w:val="000000" w:themeColor="text1"/>
          <w:sz w:val="22"/>
          <w:szCs w:val="22"/>
          <w:lang w:val="es-ES_tradnl"/>
        </w:rPr>
        <w:t xml:space="preserve">CONVENIOS SOLIDARIOS – Marco normativo </w:t>
      </w:r>
    </w:p>
    <w:p w14:paraId="597AD890" w14:textId="77777777" w:rsidR="00447630" w:rsidRPr="00112A89" w:rsidRDefault="00447630" w:rsidP="00447630">
      <w:pPr>
        <w:jc w:val="both"/>
        <w:rPr>
          <w:rFonts w:ascii="Arial" w:eastAsia="Calibri" w:hAnsi="Arial" w:cs="Arial"/>
          <w:b/>
          <w:bCs/>
          <w:color w:val="000000" w:themeColor="text1"/>
          <w:sz w:val="20"/>
          <w:szCs w:val="20"/>
          <w:lang w:val="es-ES_tradnl"/>
        </w:rPr>
      </w:pPr>
    </w:p>
    <w:p w14:paraId="58D2ECBE" w14:textId="77777777" w:rsidR="00447630" w:rsidRPr="00112A89" w:rsidRDefault="00447630" w:rsidP="00447630">
      <w:pPr>
        <w:jc w:val="both"/>
        <w:rPr>
          <w:rFonts w:ascii="Arial" w:eastAsia="Calibri" w:hAnsi="Arial" w:cs="Arial"/>
          <w:bCs/>
          <w:color w:val="000000" w:themeColor="text1"/>
          <w:sz w:val="20"/>
          <w:szCs w:val="20"/>
          <w:lang w:val="es-ES_tradnl"/>
        </w:rPr>
      </w:pPr>
      <w:r w:rsidRPr="00112A89">
        <w:rPr>
          <w:rFonts w:ascii="Arial" w:eastAsia="Calibri" w:hAnsi="Arial" w:cs="Arial"/>
          <w:bCs/>
          <w:color w:val="000000" w:themeColor="text1"/>
          <w:sz w:val="20"/>
          <w:szCs w:val="20"/>
          <w:lang w:val="es-ES_tradnl"/>
        </w:rPr>
        <w:t xml:space="preserve">En concordancia 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aspiraciones de las comunidades».  de obras y la satisfacción de necesidades y aspiraciones de las comunidades» </w:t>
      </w:r>
    </w:p>
    <w:p w14:paraId="2ED12C76" w14:textId="77777777" w:rsidR="00447630" w:rsidRPr="00112A89" w:rsidRDefault="00447630" w:rsidP="00447630">
      <w:pPr>
        <w:jc w:val="both"/>
        <w:rPr>
          <w:rFonts w:ascii="Arial" w:eastAsia="Calibri" w:hAnsi="Arial" w:cs="Arial"/>
          <w:bCs/>
          <w:color w:val="000000" w:themeColor="text1"/>
          <w:sz w:val="20"/>
          <w:szCs w:val="20"/>
          <w:lang w:val="es-ES_tradnl"/>
        </w:rPr>
      </w:pPr>
    </w:p>
    <w:p w14:paraId="29A372E0" w14:textId="77777777" w:rsidR="00447630" w:rsidRPr="00112A89" w:rsidRDefault="00447630" w:rsidP="00447630">
      <w:pPr>
        <w:jc w:val="both"/>
        <w:rPr>
          <w:rFonts w:ascii="Arial" w:eastAsia="Calibri" w:hAnsi="Arial" w:cs="Arial"/>
          <w:b/>
          <w:bCs/>
          <w:color w:val="000000" w:themeColor="text1"/>
          <w:sz w:val="22"/>
          <w:szCs w:val="22"/>
          <w:lang w:val="es-ES_tradnl"/>
        </w:rPr>
      </w:pPr>
      <w:r w:rsidRPr="00112A89">
        <w:rPr>
          <w:rFonts w:ascii="Arial" w:eastAsia="Calibri" w:hAnsi="Arial" w:cs="Arial"/>
          <w:b/>
          <w:bCs/>
          <w:color w:val="000000" w:themeColor="text1"/>
          <w:sz w:val="22"/>
          <w:szCs w:val="22"/>
          <w:lang w:val="es-ES_tradnl"/>
        </w:rPr>
        <w:t xml:space="preserve">LEY 136 DE 1994 – Convenios Solidarios – Ámbito de aplicación – Organismos de acción comunal </w:t>
      </w:r>
    </w:p>
    <w:p w14:paraId="7E7AC434" w14:textId="77777777" w:rsidR="00447630" w:rsidRPr="00112A89" w:rsidRDefault="00447630" w:rsidP="00447630">
      <w:pPr>
        <w:jc w:val="both"/>
        <w:rPr>
          <w:rFonts w:ascii="Arial" w:eastAsia="Calibri" w:hAnsi="Arial" w:cs="Arial"/>
          <w:b/>
          <w:bCs/>
          <w:color w:val="000000" w:themeColor="text1"/>
          <w:sz w:val="20"/>
          <w:szCs w:val="20"/>
          <w:lang w:val="es-ES_tradnl"/>
        </w:rPr>
      </w:pPr>
    </w:p>
    <w:p w14:paraId="46C5EE02" w14:textId="77777777" w:rsidR="00447630" w:rsidRPr="00112A89" w:rsidRDefault="00447630" w:rsidP="00447630">
      <w:pPr>
        <w:jc w:val="both"/>
        <w:rPr>
          <w:rFonts w:ascii="Arial" w:eastAsia="Calibri" w:hAnsi="Arial" w:cs="Arial"/>
          <w:bCs/>
          <w:color w:val="000000" w:themeColor="text1"/>
          <w:sz w:val="20"/>
          <w:szCs w:val="20"/>
          <w:lang w:val="es-ES_tradnl"/>
        </w:rPr>
      </w:pPr>
      <w:r w:rsidRPr="00112A89">
        <w:rPr>
          <w:rFonts w:ascii="Arial" w:eastAsia="Calibri" w:hAnsi="Arial" w:cs="Arial"/>
          <w:bCs/>
          <w:color w:val="000000" w:themeColor="text1"/>
          <w:sz w:val="20"/>
          <w:szCs w:val="20"/>
          <w:lang w:val="es-ES_tradnl"/>
        </w:rPr>
        <w:t xml:space="preserve">[…] el artículo tercero de la Ley 136 de 1994, modificado por la Ley 1551 de 2012, determina tres alternativas mediante las cuales las entidades territoriales pueden celebrar convenios solidarios con organismos de acción comunal, las cuales se enlistan a continuación: 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 ii)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iii)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3248AAF4" w14:textId="77777777" w:rsidR="00447630" w:rsidRPr="00112A89" w:rsidRDefault="00447630" w:rsidP="00447630">
      <w:pPr>
        <w:jc w:val="both"/>
        <w:rPr>
          <w:rFonts w:ascii="Arial" w:eastAsia="Calibri" w:hAnsi="Arial" w:cs="Arial"/>
          <w:bCs/>
          <w:color w:val="000000" w:themeColor="text1"/>
          <w:sz w:val="20"/>
          <w:szCs w:val="20"/>
          <w:lang w:val="es-ES_tradnl"/>
        </w:rPr>
      </w:pPr>
    </w:p>
    <w:p w14:paraId="28D31F85" w14:textId="77777777" w:rsidR="00447630" w:rsidRPr="00112A89" w:rsidRDefault="00447630" w:rsidP="00447630">
      <w:pPr>
        <w:jc w:val="both"/>
        <w:rPr>
          <w:rFonts w:ascii="Arial" w:eastAsia="Calibri" w:hAnsi="Arial" w:cs="Arial"/>
          <w:b/>
          <w:bCs/>
          <w:color w:val="000000" w:themeColor="text1"/>
          <w:sz w:val="22"/>
          <w:szCs w:val="22"/>
          <w:lang w:val="es-ES_tradnl"/>
        </w:rPr>
      </w:pPr>
      <w:r w:rsidRPr="00112A89">
        <w:rPr>
          <w:rFonts w:ascii="Arial" w:eastAsia="Calibri" w:hAnsi="Arial" w:cs="Arial"/>
          <w:b/>
          <w:bCs/>
          <w:color w:val="000000" w:themeColor="text1"/>
          <w:sz w:val="22"/>
          <w:szCs w:val="22"/>
          <w:lang w:val="es-ES_tradnl"/>
        </w:rPr>
        <w:t xml:space="preserve">LEY 136 DE 1994 – Regímenes de contratación – Organismos de acción comunal </w:t>
      </w:r>
    </w:p>
    <w:p w14:paraId="466CF2BB" w14:textId="77777777" w:rsidR="00447630" w:rsidRPr="00112A89" w:rsidRDefault="00447630" w:rsidP="00447630">
      <w:pPr>
        <w:jc w:val="both"/>
        <w:rPr>
          <w:rFonts w:ascii="Arial" w:eastAsia="Calibri" w:hAnsi="Arial" w:cs="Arial"/>
          <w:b/>
          <w:bCs/>
          <w:color w:val="000000" w:themeColor="text1"/>
          <w:sz w:val="20"/>
          <w:szCs w:val="20"/>
          <w:lang w:val="es-ES_tradnl"/>
        </w:rPr>
      </w:pPr>
    </w:p>
    <w:p w14:paraId="5CA8B95D" w14:textId="77777777" w:rsidR="00447630" w:rsidRPr="00112A89" w:rsidRDefault="00447630" w:rsidP="00447630">
      <w:pPr>
        <w:jc w:val="both"/>
        <w:rPr>
          <w:rFonts w:ascii="Arial" w:eastAsia="Calibri" w:hAnsi="Arial" w:cs="Arial"/>
          <w:color w:val="000000" w:themeColor="text1"/>
          <w:sz w:val="20"/>
          <w:szCs w:val="20"/>
          <w:lang w:val="es-ES_tradnl" w:eastAsia="en-US"/>
        </w:rPr>
      </w:pPr>
      <w:r w:rsidRPr="00112A89">
        <w:rPr>
          <w:rFonts w:ascii="Arial" w:eastAsia="Calibri" w:hAnsi="Arial" w:cs="Arial"/>
          <w:color w:val="000000" w:themeColor="text1"/>
          <w:sz w:val="20"/>
          <w:szCs w:val="20"/>
          <w:lang w:val="es-ES_tradnl" w:eastAsia="en-US"/>
        </w:rPr>
        <w:t>El primer régimen encuentra su fundamento en el parágrafo cuarto de la Ley 136 de 1994. […]. Un segundo régimen o modalidad de contratación se encuentra previsto en el Decreto 092 de 2017, exceptuando lo consignado en su artículo quinto, pues versa sobre convenios de asociación. […]. En tercer lugar, encontramos el régimen que se fundamenta en los parágrafos tercero y quinto del artículo 3 de la Ley 136 de 1994. Estas normas deben interpretarse armónicamente con lo dispuesto en el artículo 141 de la precitada Ley y el artículo 55 de la Ley 743 de 2002 -norma vigente hasta la expedición de la Ley 2166 de 2021- […]</w:t>
      </w:r>
    </w:p>
    <w:p w14:paraId="4FDBFEEC" w14:textId="77777777" w:rsidR="00447630" w:rsidRPr="00112A89" w:rsidRDefault="00447630" w:rsidP="00447630">
      <w:pPr>
        <w:jc w:val="both"/>
        <w:rPr>
          <w:rFonts w:ascii="Arial" w:eastAsia="Calibri" w:hAnsi="Arial" w:cs="Arial"/>
          <w:b/>
          <w:bCs/>
          <w:color w:val="000000" w:themeColor="text1"/>
          <w:sz w:val="20"/>
          <w:szCs w:val="20"/>
          <w:lang w:val="es-ES_tradnl" w:eastAsia="en-US"/>
        </w:rPr>
      </w:pPr>
    </w:p>
    <w:p w14:paraId="45CF9148" w14:textId="77777777" w:rsidR="00447630" w:rsidRPr="00112A89" w:rsidRDefault="00447630" w:rsidP="00447630">
      <w:pPr>
        <w:jc w:val="both"/>
        <w:rPr>
          <w:rFonts w:ascii="Arial" w:eastAsia="Calibri" w:hAnsi="Arial" w:cs="Arial"/>
          <w:b/>
          <w:bCs/>
          <w:color w:val="000000" w:themeColor="text1"/>
          <w:sz w:val="22"/>
          <w:szCs w:val="22"/>
          <w:lang w:val="es-ES_tradnl"/>
        </w:rPr>
      </w:pPr>
      <w:r w:rsidRPr="00112A89">
        <w:rPr>
          <w:rFonts w:ascii="Arial" w:eastAsia="Calibri" w:hAnsi="Arial" w:cs="Arial"/>
          <w:b/>
          <w:bCs/>
          <w:color w:val="000000" w:themeColor="text1"/>
          <w:sz w:val="22"/>
          <w:szCs w:val="22"/>
          <w:lang w:val="es-ES_tradnl" w:eastAsia="en-US"/>
        </w:rPr>
        <w:t xml:space="preserve">LEY 2166 DE 2021 </w:t>
      </w:r>
      <w:r w:rsidRPr="00112A89">
        <w:rPr>
          <w:rFonts w:ascii="Arial" w:eastAsia="Calibri" w:hAnsi="Arial" w:cs="Arial"/>
          <w:b/>
          <w:bCs/>
          <w:color w:val="000000" w:themeColor="text1"/>
          <w:sz w:val="22"/>
          <w:szCs w:val="22"/>
          <w:lang w:val="es-ES_tradnl"/>
        </w:rPr>
        <w:t xml:space="preserve">– Organismos de acción comunal – Artículo 95 – Convenios solidarios –Contratación directa – Contratos de obra </w:t>
      </w:r>
    </w:p>
    <w:p w14:paraId="47054010" w14:textId="77777777" w:rsidR="00447630" w:rsidRPr="00112A89" w:rsidRDefault="00447630" w:rsidP="00447630">
      <w:pPr>
        <w:jc w:val="both"/>
        <w:rPr>
          <w:rFonts w:ascii="Arial" w:eastAsia="Calibri" w:hAnsi="Arial" w:cs="Arial"/>
          <w:b/>
          <w:bCs/>
          <w:color w:val="000000" w:themeColor="text1"/>
          <w:sz w:val="20"/>
          <w:szCs w:val="20"/>
          <w:lang w:val="es-ES_tradnl"/>
        </w:rPr>
      </w:pPr>
    </w:p>
    <w:p w14:paraId="2F77758A" w14:textId="77777777" w:rsidR="00447630" w:rsidRPr="00112A89" w:rsidRDefault="00447630" w:rsidP="00447630">
      <w:pPr>
        <w:jc w:val="both"/>
        <w:rPr>
          <w:rFonts w:ascii="Arial" w:eastAsia="Calibri" w:hAnsi="Arial" w:cs="Arial"/>
          <w:bCs/>
          <w:color w:val="000000" w:themeColor="text1"/>
          <w:sz w:val="20"/>
          <w:szCs w:val="20"/>
          <w:lang w:val="es-ES_tradnl" w:eastAsia="en-US"/>
        </w:rPr>
      </w:pPr>
      <w:r w:rsidRPr="00112A89">
        <w:rPr>
          <w:rFonts w:ascii="Arial" w:eastAsia="Calibri" w:hAnsi="Arial" w:cs="Arial"/>
          <w:color w:val="000000" w:themeColor="text1"/>
          <w:sz w:val="20"/>
          <w:szCs w:val="20"/>
          <w:lang w:val="es-ES_tradnl" w:eastAsia="en-US"/>
        </w:rPr>
        <w:t xml:space="preserve">[…] </w:t>
      </w:r>
      <w:r w:rsidRPr="00112A89">
        <w:rPr>
          <w:rFonts w:ascii="Arial" w:eastAsia="Calibri" w:hAnsi="Arial" w:cs="Arial"/>
          <w:bCs/>
          <w:color w:val="000000" w:themeColor="text1"/>
          <w:sz w:val="20"/>
          <w:szCs w:val="20"/>
          <w:lang w:val="es-ES_tradnl" w:eastAsia="en-US"/>
        </w:rPr>
        <w:t xml:space="preserve">esta norma desarrolla las siguientes reglas: esta norma desarrolla las siguientes reglas: i) Las «entidades territoriales del orden Nacional, Departamental, Distrital y municipal»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112A89">
        <w:rPr>
          <w:rFonts w:ascii="Arial" w:eastAsia="Calibri" w:hAnsi="Arial" w:cs="Arial"/>
          <w:bCs/>
          <w:i/>
          <w:iCs/>
          <w:color w:val="000000" w:themeColor="text1"/>
          <w:sz w:val="20"/>
          <w:szCs w:val="20"/>
          <w:lang w:val="es-ES_tradnl" w:eastAsia="en-US"/>
        </w:rPr>
        <w:t>organismos de acción comunal</w:t>
      </w:r>
      <w:r w:rsidRPr="00112A89">
        <w:rPr>
          <w:rFonts w:ascii="Arial" w:eastAsia="Calibri" w:hAnsi="Arial" w:cs="Arial"/>
          <w:bCs/>
          <w:color w:val="000000" w:themeColor="text1"/>
          <w:sz w:val="20"/>
          <w:szCs w:val="20"/>
          <w:lang w:val="es-ES_tradnl" w:eastAsia="en-US"/>
        </w:rPr>
        <w:t xml:space="preserve">.  ii) Estos convenios solidarios deben tener por objeto únicamente la </w:t>
      </w:r>
      <w:r w:rsidRPr="00112A89">
        <w:rPr>
          <w:rFonts w:ascii="Arial" w:eastAsia="Calibri" w:hAnsi="Arial" w:cs="Arial"/>
          <w:bCs/>
          <w:color w:val="000000" w:themeColor="text1"/>
          <w:sz w:val="20"/>
          <w:szCs w:val="20"/>
          <w:lang w:val="es-ES_tradnl" w:eastAsia="en-US"/>
        </w:rPr>
        <w:lastRenderedPageBreak/>
        <w:t xml:space="preserve">ejecución de obras. Esto significa que no pueden desarrollarse otros objetos distintos a la obra con fundamento en este artículo. iii)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iv) Para la ejecución de las obras se establece el deber de contratar con los habitantes de la comunidad. v) En el valor total del convenio la entidad podrá incluir los costos directos, los costos administrativos y el subsidio al dignatario representante legal para transportes de que trata el literal c) del artículo 38 de la Ley 2166 de 2022. Estos costos deberán incluirse en el ejercicio de planeación que realice la entidad y estar debidamente justificados. vi) Las entidades deberán contar con personal técnico y administrativo-contable para apoyar y supervisar a los organismos de acción comunal durante la ejecución de las obras. </w:t>
      </w:r>
    </w:p>
    <w:p w14:paraId="14E4ECCD" w14:textId="77777777" w:rsidR="00447630" w:rsidRPr="00112A89" w:rsidRDefault="00447630" w:rsidP="00447630">
      <w:pPr>
        <w:jc w:val="both"/>
        <w:rPr>
          <w:rFonts w:ascii="Arial" w:eastAsia="Calibri" w:hAnsi="Arial" w:cs="Arial"/>
          <w:b/>
          <w:bCs/>
          <w:color w:val="000000" w:themeColor="text1"/>
          <w:sz w:val="20"/>
          <w:szCs w:val="20"/>
          <w:lang w:val="es-ES_tradnl" w:eastAsia="en-US"/>
        </w:rPr>
      </w:pPr>
    </w:p>
    <w:p w14:paraId="2D5D3AC2" w14:textId="77777777" w:rsidR="00447630" w:rsidRPr="00112A89" w:rsidRDefault="00447630" w:rsidP="00447630">
      <w:pPr>
        <w:jc w:val="both"/>
        <w:rPr>
          <w:rFonts w:ascii="Arial" w:eastAsia="Calibri" w:hAnsi="Arial" w:cs="Arial"/>
          <w:b/>
          <w:bCs/>
          <w:color w:val="000000" w:themeColor="text1"/>
          <w:sz w:val="22"/>
          <w:szCs w:val="22"/>
          <w:lang w:val="es-ES_tradnl"/>
        </w:rPr>
      </w:pPr>
      <w:r w:rsidRPr="00112A89">
        <w:rPr>
          <w:rFonts w:ascii="Arial" w:eastAsia="Calibri" w:hAnsi="Arial" w:cs="Arial"/>
          <w:b/>
          <w:bCs/>
          <w:color w:val="000000" w:themeColor="text1"/>
          <w:sz w:val="22"/>
          <w:szCs w:val="22"/>
          <w:lang w:val="es-ES_tradnl" w:eastAsia="en-US"/>
        </w:rPr>
        <w:t xml:space="preserve">LEY 2166 DE 2021 </w:t>
      </w:r>
      <w:r w:rsidRPr="00112A89">
        <w:rPr>
          <w:rFonts w:ascii="Arial" w:eastAsia="Calibri" w:hAnsi="Arial" w:cs="Arial"/>
          <w:b/>
          <w:bCs/>
          <w:color w:val="000000" w:themeColor="text1"/>
          <w:sz w:val="22"/>
          <w:szCs w:val="22"/>
          <w:lang w:val="es-ES_tradnl"/>
        </w:rPr>
        <w:t>– Artículo 63 – Convenios solidarios – Artículo 141 de la Ley 136 de 1994</w:t>
      </w:r>
    </w:p>
    <w:p w14:paraId="6CA3E67C" w14:textId="77777777" w:rsidR="00447630" w:rsidRPr="00112A89" w:rsidRDefault="00447630" w:rsidP="00447630">
      <w:pPr>
        <w:jc w:val="both"/>
        <w:rPr>
          <w:rFonts w:ascii="Arial" w:eastAsia="Calibri" w:hAnsi="Arial" w:cs="Arial"/>
          <w:bCs/>
          <w:color w:val="000000" w:themeColor="text1"/>
          <w:sz w:val="20"/>
          <w:szCs w:val="20"/>
          <w:lang w:val="es-ES_tradnl"/>
        </w:rPr>
      </w:pPr>
    </w:p>
    <w:p w14:paraId="66CE2439" w14:textId="77777777" w:rsidR="00447630" w:rsidRPr="00112A89" w:rsidRDefault="00447630" w:rsidP="00447630">
      <w:pPr>
        <w:jc w:val="both"/>
        <w:rPr>
          <w:rFonts w:ascii="Arial" w:eastAsia="Calibri" w:hAnsi="Arial" w:cs="Arial"/>
          <w:bCs/>
          <w:color w:val="000000" w:themeColor="text1"/>
          <w:sz w:val="20"/>
          <w:szCs w:val="20"/>
          <w:lang w:val="es-ES_tradnl"/>
        </w:rPr>
      </w:pPr>
      <w:r w:rsidRPr="00112A89">
        <w:rPr>
          <w:rFonts w:ascii="Arial" w:eastAsia="Calibri" w:hAnsi="Arial" w:cs="Arial"/>
          <w:bCs/>
          <w:color w:val="000000" w:themeColor="text1"/>
          <w:sz w:val="20"/>
          <w:szCs w:val="20"/>
          <w:lang w:val="es-ES_tradnl"/>
        </w:rPr>
        <w:t>[….] para la celebración de dichos convenios el citado artículo 63 remite al artículo 141 de la Ley 136 de 1994, en virtud del cual «Los contratos o convenios que se celebren en desarrollo del artículo anterior, se sujetarán a lo dispuesto por los artículos </w:t>
      </w:r>
      <w:hyperlink r:id="rId11" w:anchor="375" w:history="1">
        <w:r w:rsidRPr="00112A89">
          <w:rPr>
            <w:rStyle w:val="Hipervnculo"/>
            <w:rFonts w:ascii="Arial" w:eastAsia="Calibri" w:hAnsi="Arial" w:cs="Arial"/>
            <w:bCs/>
            <w:color w:val="000000" w:themeColor="text1"/>
            <w:sz w:val="20"/>
            <w:szCs w:val="20"/>
            <w:u w:val="none"/>
            <w:lang w:val="es-ES_tradnl"/>
          </w:rPr>
          <w:t>375</w:t>
        </w:r>
      </w:hyperlink>
      <w:r w:rsidRPr="00112A89">
        <w:rPr>
          <w:rFonts w:ascii="Arial" w:eastAsia="Calibri" w:hAnsi="Arial" w:cs="Arial"/>
          <w:bCs/>
          <w:color w:val="000000" w:themeColor="text1"/>
          <w:sz w:val="20"/>
          <w:szCs w:val="20"/>
          <w:lang w:val="es-ES_tradnl"/>
        </w:rPr>
        <w:t> a </w:t>
      </w:r>
      <w:hyperlink r:id="rId12" w:anchor="378" w:history="1">
        <w:r w:rsidRPr="00112A89">
          <w:rPr>
            <w:rStyle w:val="Hipervnculo"/>
            <w:rFonts w:ascii="Arial" w:eastAsia="Calibri" w:hAnsi="Arial" w:cs="Arial"/>
            <w:bCs/>
            <w:color w:val="000000" w:themeColor="text1"/>
            <w:sz w:val="20"/>
            <w:szCs w:val="20"/>
            <w:u w:val="none"/>
            <w:lang w:val="es-ES_tradnl"/>
          </w:rPr>
          <w:t>378</w:t>
        </w:r>
      </w:hyperlink>
      <w:r w:rsidRPr="00112A89">
        <w:rPr>
          <w:rFonts w:ascii="Arial" w:eastAsia="Calibri" w:hAnsi="Arial" w:cs="Arial"/>
          <w:bCs/>
          <w:color w:val="000000" w:themeColor="text1"/>
          <w:sz w:val="20"/>
          <w:szCs w:val="20"/>
          <w:lang w:val="es-ES_tradnl"/>
        </w:rPr>
        <w:t> del Decreto 1333 de 1986 y la Ley </w:t>
      </w:r>
      <w:hyperlink r:id="rId13" w:anchor="inicio" w:history="1">
        <w:r w:rsidRPr="00112A89">
          <w:rPr>
            <w:rStyle w:val="Hipervnculo"/>
            <w:rFonts w:ascii="Arial" w:eastAsia="Calibri" w:hAnsi="Arial" w:cs="Arial"/>
            <w:bCs/>
            <w:color w:val="000000" w:themeColor="text1"/>
            <w:sz w:val="20"/>
            <w:szCs w:val="20"/>
            <w:u w:val="none"/>
            <w:lang w:val="es-ES_tradnl"/>
          </w:rPr>
          <w:t>80</w:t>
        </w:r>
      </w:hyperlink>
      <w:r w:rsidRPr="00112A89">
        <w:rPr>
          <w:rFonts w:ascii="Arial" w:eastAsia="Calibri" w:hAnsi="Arial" w:cs="Arial"/>
          <w:bCs/>
          <w:color w:val="000000" w:themeColor="text1"/>
          <w:sz w:val="20"/>
          <w:szCs w:val="20"/>
          <w:lang w:val="es-ES_tradnl"/>
        </w:rPr>
        <w:t xml:space="preserve"> de 1993». En este sentido, retomando las consideraciones de los conceptos de esta Agencia, en este caso resulta aplicable el tercer régimen expuesto en el numeral 2.1. Esto implica que los convenios solidarios que se celebren con fundamento el artículo 63 de la Ley 2166 de 2021 deben interpretarse armónicamente con el artículo 141 de la Ley 136 de 1994 y los parágrafos tercero y quinto del artículo tercero de la Ley 136 de 1994, por lo que deberá aplicarse lo dispuesto en los artículos 375 a 378 del Decreto 1333 de 1986 y el Estatuto General de Contratación de la Administración Pública. No obstante, se considera que en el caso en que el objeto del convenio involucre únicamente la ejecución una obra por parte de la organización comunal, sin superar el monto de la menor cuantía, la entidad podrá aplicar el régimen previsto en el artículo 95 de la Ley 2166 de 2021 y cumplir con los presupuestos allí contemplados. </w:t>
      </w:r>
    </w:p>
    <w:p w14:paraId="5CF8C5BE" w14:textId="77777777" w:rsidR="00447630" w:rsidRPr="00112A89" w:rsidRDefault="00447630" w:rsidP="001677F3">
      <w:pPr>
        <w:jc w:val="both"/>
        <w:rPr>
          <w:rFonts w:ascii="Arial" w:eastAsia="Calibri" w:hAnsi="Arial" w:cs="Arial"/>
          <w:b/>
          <w:sz w:val="22"/>
          <w:lang w:val="es-ES_tradnl"/>
        </w:rPr>
      </w:pPr>
    </w:p>
    <w:p w14:paraId="067226BB" w14:textId="416C66F1" w:rsidR="001677F3" w:rsidRPr="00112A89" w:rsidRDefault="005E2A98" w:rsidP="001677F3">
      <w:pPr>
        <w:jc w:val="both"/>
        <w:rPr>
          <w:rFonts w:ascii="Arial" w:eastAsia="Calibri" w:hAnsi="Arial" w:cs="Arial"/>
          <w:b/>
          <w:sz w:val="22"/>
          <w:lang w:val="es-ES_tradnl"/>
        </w:rPr>
      </w:pPr>
      <w:r w:rsidRPr="00112A89">
        <w:rPr>
          <w:rFonts w:ascii="Arial" w:eastAsia="Calibri" w:hAnsi="Arial" w:cs="Arial"/>
          <w:b/>
          <w:sz w:val="22"/>
          <w:lang w:val="es-ES_tradnl"/>
        </w:rPr>
        <w:t>DOCUMENTOS TIPO</w:t>
      </w:r>
      <w:r w:rsidR="001677F3" w:rsidRPr="00112A89">
        <w:rPr>
          <w:rFonts w:ascii="Arial" w:eastAsia="Calibri" w:hAnsi="Arial" w:cs="Arial"/>
          <w:b/>
          <w:sz w:val="22"/>
          <w:lang w:val="es-ES_tradnl"/>
        </w:rPr>
        <w:t xml:space="preserve"> – Ley 2195 de 2022 – </w:t>
      </w:r>
      <w:r w:rsidR="00F21D39" w:rsidRPr="00112A89">
        <w:rPr>
          <w:rFonts w:ascii="Arial" w:eastAsia="Calibri" w:hAnsi="Arial" w:cs="Arial"/>
          <w:b/>
          <w:sz w:val="22"/>
          <w:lang w:val="es-ES_tradnl"/>
        </w:rPr>
        <w:t xml:space="preserve">Artículo 56 – </w:t>
      </w:r>
      <w:r w:rsidR="00D82163" w:rsidRPr="00112A89">
        <w:rPr>
          <w:rFonts w:ascii="Arial" w:eastAsia="Calibri" w:hAnsi="Arial" w:cs="Arial"/>
          <w:b/>
          <w:sz w:val="22"/>
          <w:lang w:val="es-ES_tradnl"/>
        </w:rPr>
        <w:t>Estatuto General</w:t>
      </w:r>
      <w:r w:rsidR="001677F3" w:rsidRPr="00112A89">
        <w:rPr>
          <w:rFonts w:ascii="Arial" w:eastAsia="Calibri" w:hAnsi="Arial" w:cs="Arial"/>
          <w:b/>
          <w:sz w:val="22"/>
          <w:lang w:val="es-ES_tradnl"/>
        </w:rPr>
        <w:t xml:space="preserve"> </w:t>
      </w:r>
    </w:p>
    <w:p w14:paraId="3C92D275" w14:textId="67A09B42" w:rsidR="00CD4357" w:rsidRPr="00112A89" w:rsidRDefault="00CD4357" w:rsidP="00B95C30">
      <w:pPr>
        <w:spacing w:line="276" w:lineRule="auto"/>
        <w:jc w:val="both"/>
        <w:rPr>
          <w:rFonts w:ascii="Arial" w:hAnsi="Arial" w:cs="Arial"/>
          <w:noProof/>
          <w:color w:val="000000" w:themeColor="text1"/>
          <w:sz w:val="22"/>
          <w:lang w:val="es-ES_tradnl"/>
        </w:rPr>
      </w:pPr>
    </w:p>
    <w:p w14:paraId="6EF8CE56" w14:textId="15107180" w:rsidR="005E2A98" w:rsidRPr="00112A89" w:rsidRDefault="005E2A98" w:rsidP="005E2A98">
      <w:pPr>
        <w:jc w:val="both"/>
        <w:rPr>
          <w:rFonts w:ascii="Arial" w:hAnsi="Arial" w:cs="Arial"/>
          <w:iCs/>
          <w:color w:val="000000" w:themeColor="text1"/>
          <w:sz w:val="20"/>
          <w:szCs w:val="20"/>
          <w:lang w:val="es-ES_tradnl"/>
        </w:rPr>
      </w:pPr>
      <w:r w:rsidRPr="00112A89">
        <w:rPr>
          <w:rFonts w:ascii="Arial" w:hAnsi="Arial" w:cs="Arial"/>
          <w:iCs/>
          <w:color w:val="000000" w:themeColor="text1"/>
          <w:sz w:val="20"/>
          <w:szCs w:val="20"/>
          <w:lang w:val="es-ES_tradnl"/>
        </w:rPr>
        <w:t xml:space="preserve">[…], la obligación de aplicar los documentos tipo expedidos por la Agencia Nacional de Contratación Pública – Colombia Compra Eficiente, consagrada en el artículo 56 de la Ley 2195 de 2022, se debe cumplir, independientemente de que los sujetos con quienes las entidades sometidas celebrarán el contrato o convenio tengan un régimen de derecho privado. Ahora bien, la misma norma establece que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fomentará como buena práctica la aplicación de los pliegos tipo». En los demás casos no incluidos en esta excepción, si una entidad sometida al Estatuto General de Contratación de la Administración Pública celebrará un contrato o convenio con una entidad estatal exceptuada, deberá aplicar el documento tipo vigente, que haya expedido Colombia Compra Eficiente, para esa tipología contractual. Y, además, «Los procedimientos de selección y los contratos que realicen en desarrollo de los anteriores negocios jurídicos, donde apliquen los documentos tipo se regirán por el Estatuto General de Contratación de la Administración Pública». En consecuencia, si una entidad estatal sometida al Estatuto General de Contratación de la Administración Pública celebra un contrato o convenio con una entidad exceptuada, aplicando el documento tipo, los procedimientos de selección y los contratos que la entidad exceptuada realice </w:t>
      </w:r>
      <w:r w:rsidRPr="00112A89">
        <w:rPr>
          <w:rFonts w:ascii="Arial" w:hAnsi="Arial" w:cs="Arial"/>
          <w:iCs/>
          <w:color w:val="000000" w:themeColor="text1"/>
          <w:sz w:val="20"/>
          <w:szCs w:val="20"/>
          <w:lang w:val="es-ES_tradnl"/>
        </w:rPr>
        <w:lastRenderedPageBreak/>
        <w:t>para desarrollar el contrato o convenio suscrito con la entidad sometida se rigen también por el Estatuto General de Contratación de la Administración Pública.</w:t>
      </w:r>
    </w:p>
    <w:p w14:paraId="17711B21" w14:textId="2C9D1396" w:rsidR="00CD4357" w:rsidRPr="00112A89" w:rsidRDefault="00CD4357" w:rsidP="00B95C30">
      <w:pPr>
        <w:spacing w:line="276" w:lineRule="auto"/>
        <w:jc w:val="both"/>
        <w:rPr>
          <w:rFonts w:ascii="Arial" w:hAnsi="Arial" w:cs="Arial"/>
          <w:noProof/>
          <w:color w:val="000000" w:themeColor="text1"/>
          <w:sz w:val="22"/>
          <w:lang w:val="es-ES_tradnl"/>
        </w:rPr>
      </w:pPr>
    </w:p>
    <w:p w14:paraId="1505F3AA" w14:textId="31709499" w:rsidR="00DD6C2C" w:rsidRPr="00112A89" w:rsidRDefault="00DD6C2C" w:rsidP="00DD6C2C">
      <w:pPr>
        <w:jc w:val="both"/>
        <w:rPr>
          <w:rFonts w:ascii="Arial" w:eastAsia="Calibri" w:hAnsi="Arial" w:cs="Arial"/>
          <w:b/>
          <w:sz w:val="22"/>
          <w:lang w:val="es-ES_tradnl"/>
        </w:rPr>
      </w:pPr>
      <w:r w:rsidRPr="00112A89">
        <w:rPr>
          <w:rFonts w:ascii="Arial" w:eastAsia="Calibri" w:hAnsi="Arial" w:cs="Arial"/>
          <w:b/>
          <w:sz w:val="22"/>
          <w:lang w:val="es-ES_tradnl"/>
        </w:rPr>
        <w:t>CONVENIOS SOLIDARIOS – Ley 2166 de 2021 – Artículo 95 – Entes territoriales – Interpretación sistemática</w:t>
      </w:r>
    </w:p>
    <w:p w14:paraId="2D548D0B" w14:textId="77777777" w:rsidR="00DD6C2C" w:rsidRPr="00112A89" w:rsidRDefault="00DD6C2C" w:rsidP="00DD6C2C">
      <w:pPr>
        <w:jc w:val="both"/>
        <w:rPr>
          <w:rFonts w:ascii="Arial" w:eastAsia="Calibri" w:hAnsi="Arial" w:cs="Arial"/>
          <w:color w:val="000000" w:themeColor="text1"/>
          <w:sz w:val="20"/>
          <w:szCs w:val="20"/>
        </w:rPr>
      </w:pPr>
    </w:p>
    <w:p w14:paraId="7F3F00A0" w14:textId="5A84A255" w:rsidR="00DD6C2C" w:rsidRPr="00112A89" w:rsidRDefault="00DD6C2C" w:rsidP="00DD6C2C">
      <w:pPr>
        <w:jc w:val="both"/>
        <w:rPr>
          <w:rFonts w:ascii="Arial" w:eastAsia="Calibri" w:hAnsi="Arial" w:cs="Arial"/>
          <w:color w:val="000000" w:themeColor="text1"/>
          <w:sz w:val="20"/>
          <w:szCs w:val="20"/>
        </w:rPr>
      </w:pPr>
      <w:r w:rsidRPr="00112A89">
        <w:rPr>
          <w:rFonts w:ascii="Arial" w:eastAsia="Calibri" w:hAnsi="Arial" w:cs="Arial"/>
          <w:color w:val="000000" w:themeColor="text1"/>
          <w:sz w:val="20"/>
          <w:szCs w:val="20"/>
        </w:rPr>
        <w:t xml:space="preserve">[…], aunque en los parágrafos 1 y 2 del artículo 95 el legislador se refiere a los «entes territoriales», tal expresión debe interpretarse de manera </w:t>
      </w:r>
      <w:r w:rsidRPr="00112A89">
        <w:rPr>
          <w:rFonts w:ascii="Arial" w:eastAsia="Calibri" w:hAnsi="Arial" w:cs="Arial"/>
          <w:i/>
          <w:iCs/>
          <w:color w:val="000000" w:themeColor="text1"/>
          <w:sz w:val="20"/>
          <w:szCs w:val="20"/>
        </w:rPr>
        <w:t>sistemática</w:t>
      </w:r>
      <w:r w:rsidRPr="00112A89">
        <w:rPr>
          <w:rFonts w:ascii="Arial" w:eastAsia="Calibri" w:hAnsi="Arial" w:cs="Arial"/>
          <w:color w:val="000000" w:themeColor="text1"/>
          <w:sz w:val="20"/>
          <w:szCs w:val="20"/>
        </w:rPr>
        <w:t xml:space="preserve"> con lo dispuesto en el primer inciso del artículo </w:t>
      </w:r>
      <w:r w:rsidRPr="00112A89">
        <w:rPr>
          <w:rFonts w:ascii="Arial" w:eastAsia="Calibri" w:hAnsi="Arial" w:cs="Arial"/>
          <w:i/>
          <w:iCs/>
          <w:color w:val="000000" w:themeColor="text1"/>
          <w:sz w:val="20"/>
          <w:szCs w:val="20"/>
        </w:rPr>
        <w:t>ibídem</w:t>
      </w:r>
      <w:r w:rsidRPr="00112A89">
        <w:rPr>
          <w:rFonts w:ascii="Arial" w:eastAsia="Calibri" w:hAnsi="Arial" w:cs="Arial"/>
          <w:color w:val="000000" w:themeColor="text1"/>
          <w:sz w:val="20"/>
          <w:szCs w:val="20"/>
        </w:rPr>
        <w:t xml:space="preserve">, que establece que los entes territoriales pueden ser «del orden Nacional, Departamental, Distrital y municipal». Además, de entenderse que el concepto «ente territorial», previsto en los referidos parágrafos, no comprende a la Nación, se llegaría al contrasentido de concluir que esta no se encuentra obligada a contar con personal técnico y administrativo-contable para </w:t>
      </w:r>
      <w:r w:rsidRPr="00112A89">
        <w:rPr>
          <w:rFonts w:ascii="Arial" w:eastAsia="Calibri" w:hAnsi="Arial" w:cs="Arial"/>
          <w:i/>
          <w:iCs/>
          <w:color w:val="000000" w:themeColor="text1"/>
          <w:sz w:val="20"/>
          <w:szCs w:val="20"/>
        </w:rPr>
        <w:t>supervisar</w:t>
      </w:r>
      <w:r w:rsidRPr="00112A89">
        <w:rPr>
          <w:rFonts w:ascii="Arial" w:eastAsia="Calibri" w:hAnsi="Arial" w:cs="Arial"/>
          <w:color w:val="000000" w:themeColor="text1"/>
          <w:sz w:val="20"/>
          <w:szCs w:val="20"/>
        </w:rPr>
        <w:t xml:space="preserve"> la ejecución del convenio, como lo exige el parágrafo 2 –que también emplea el concepto de «ente territorial»–, lo cual comprometería gravemente el cumplimiento del convenio solidario y el principio de responsabilidad previsto en el artículo 26 de la Ley 80 de 1993. </w:t>
      </w:r>
    </w:p>
    <w:p w14:paraId="0DE0AC4F" w14:textId="30A71C3A" w:rsidR="00DD6C2C" w:rsidRPr="00112A89" w:rsidRDefault="00DD6C2C" w:rsidP="00B95C30">
      <w:pPr>
        <w:spacing w:line="276" w:lineRule="auto"/>
        <w:jc w:val="both"/>
        <w:rPr>
          <w:rFonts w:ascii="Arial" w:hAnsi="Arial" w:cs="Arial"/>
          <w:noProof/>
          <w:color w:val="000000" w:themeColor="text1"/>
          <w:sz w:val="22"/>
          <w:lang w:val="es-ES_tradnl"/>
        </w:rPr>
      </w:pPr>
    </w:p>
    <w:p w14:paraId="16B6EFFD" w14:textId="39812104" w:rsidR="00DD6C2C" w:rsidRPr="00112A89" w:rsidRDefault="00DD6C2C" w:rsidP="00DD6C2C">
      <w:pPr>
        <w:jc w:val="both"/>
        <w:rPr>
          <w:rFonts w:ascii="Arial" w:eastAsia="Calibri" w:hAnsi="Arial" w:cs="Arial"/>
          <w:b/>
          <w:sz w:val="22"/>
          <w:lang w:val="es-ES_tradnl"/>
        </w:rPr>
      </w:pPr>
      <w:r w:rsidRPr="00112A89">
        <w:rPr>
          <w:rFonts w:ascii="Arial" w:eastAsia="Calibri" w:hAnsi="Arial" w:cs="Arial"/>
          <w:b/>
          <w:sz w:val="22"/>
          <w:lang w:val="es-ES_tradnl"/>
        </w:rPr>
        <w:t>DEFINICIONES ESTIPULATIVAS – Libertad de configuración – Legislador – Ente territorial – Concepto</w:t>
      </w:r>
    </w:p>
    <w:p w14:paraId="15F297D1" w14:textId="795C1318" w:rsidR="00DD6C2C" w:rsidRPr="00112A89" w:rsidRDefault="00DD6C2C" w:rsidP="00B95C30">
      <w:pPr>
        <w:spacing w:line="276" w:lineRule="auto"/>
        <w:jc w:val="both"/>
        <w:rPr>
          <w:rFonts w:ascii="Arial" w:hAnsi="Arial" w:cs="Arial"/>
          <w:noProof/>
          <w:color w:val="000000" w:themeColor="text1"/>
          <w:sz w:val="22"/>
          <w:lang w:val="es-ES_tradnl"/>
        </w:rPr>
      </w:pPr>
    </w:p>
    <w:p w14:paraId="574190AB" w14:textId="415F6F57" w:rsidR="00DD6C2C" w:rsidRPr="00112A89" w:rsidRDefault="00DD6C2C" w:rsidP="00DD6C2C">
      <w:pPr>
        <w:jc w:val="both"/>
        <w:rPr>
          <w:rFonts w:ascii="Arial" w:eastAsia="Calibri" w:hAnsi="Arial" w:cs="Arial"/>
          <w:color w:val="000000" w:themeColor="text1"/>
          <w:sz w:val="20"/>
          <w:szCs w:val="20"/>
        </w:rPr>
      </w:pPr>
      <w:r w:rsidRPr="00112A89">
        <w:rPr>
          <w:rFonts w:ascii="Arial" w:eastAsia="Calibri" w:hAnsi="Arial" w:cs="Arial"/>
          <w:color w:val="000000" w:themeColor="text1"/>
          <w:sz w:val="20"/>
          <w:szCs w:val="20"/>
        </w:rPr>
        <w:t xml:space="preserve">De otro lado, aunque, como se ha dicho, el artículo 286 de la Constitución emplea un concepto de «entidad territorial» –que, por supuesto, es el que, por regla general, debe aplicarse–, el Congreso de la República, en ejercicio de su libertad de configuración legislativa, utilizó en la Ley 2166 de 2021 un concepto </w:t>
      </w:r>
      <w:r w:rsidRPr="00112A89">
        <w:rPr>
          <w:rFonts w:ascii="Arial" w:eastAsia="Calibri" w:hAnsi="Arial" w:cs="Arial"/>
          <w:i/>
          <w:iCs/>
          <w:color w:val="000000" w:themeColor="text1"/>
          <w:sz w:val="20"/>
          <w:szCs w:val="20"/>
        </w:rPr>
        <w:t>especial</w:t>
      </w:r>
      <w:r w:rsidRPr="00112A89">
        <w:rPr>
          <w:rFonts w:ascii="Arial" w:eastAsia="Calibri" w:hAnsi="Arial" w:cs="Arial"/>
          <w:color w:val="000000" w:themeColor="text1"/>
          <w:sz w:val="20"/>
          <w:szCs w:val="20"/>
        </w:rPr>
        <w:t xml:space="preserve"> de «ente territorial» en el marco de la regulación contenida en esta, pues en el artículo 95 señaló que dicho concepto también incluye a las entidades del nivel nacional. En otras palabras, el concepto de «ente» </w:t>
      </w:r>
      <w:r w:rsidRPr="00112A89">
        <w:rPr>
          <w:rFonts w:ascii="Arial" w:eastAsia="Calibri" w:hAnsi="Arial" w:cs="Arial"/>
          <w:i/>
          <w:iCs/>
          <w:color w:val="000000" w:themeColor="text1"/>
          <w:sz w:val="20"/>
          <w:szCs w:val="20"/>
        </w:rPr>
        <w:t>no es el mismo</w:t>
      </w:r>
      <w:r w:rsidRPr="00112A89">
        <w:rPr>
          <w:rFonts w:ascii="Arial" w:eastAsia="Calibri" w:hAnsi="Arial" w:cs="Arial"/>
          <w:color w:val="000000" w:themeColor="text1"/>
          <w:sz w:val="20"/>
          <w:szCs w:val="20"/>
        </w:rPr>
        <w:t xml:space="preserve"> que el de «entidad</w:t>
      </w:r>
      <w:r w:rsidRPr="00112A89">
        <w:rPr>
          <w:rFonts w:ascii="Arial" w:eastAsia="Calibri" w:hAnsi="Arial" w:cs="Arial"/>
          <w:i/>
          <w:iCs/>
          <w:color w:val="000000" w:themeColor="text1"/>
          <w:sz w:val="20"/>
          <w:szCs w:val="20"/>
        </w:rPr>
        <w:t xml:space="preserve">» </w:t>
      </w:r>
      <w:r w:rsidRPr="00112A89">
        <w:rPr>
          <w:rFonts w:ascii="Arial" w:eastAsia="Calibri" w:hAnsi="Arial" w:cs="Arial"/>
          <w:color w:val="000000" w:themeColor="text1"/>
          <w:sz w:val="20"/>
          <w:szCs w:val="20"/>
        </w:rPr>
        <w:t>territorial</w:t>
      </w:r>
      <w:r w:rsidRPr="00112A89">
        <w:rPr>
          <w:rFonts w:ascii="Arial" w:eastAsia="Calibri" w:hAnsi="Arial" w:cs="Arial"/>
          <w:i/>
          <w:iCs/>
          <w:color w:val="000000" w:themeColor="text1"/>
          <w:sz w:val="20"/>
          <w:szCs w:val="20"/>
        </w:rPr>
        <w:t xml:space="preserve"> </w:t>
      </w:r>
      <w:r w:rsidRPr="00112A89">
        <w:rPr>
          <w:rFonts w:ascii="Arial" w:eastAsia="Calibri" w:hAnsi="Arial" w:cs="Arial"/>
          <w:color w:val="000000" w:themeColor="text1"/>
          <w:sz w:val="20"/>
          <w:szCs w:val="20"/>
        </w:rPr>
        <w:t xml:space="preserve">del artículo 286 de la Constitución, sino que se trata de un concepto </w:t>
      </w:r>
      <w:r w:rsidRPr="00112A89">
        <w:rPr>
          <w:rFonts w:ascii="Arial" w:eastAsia="Calibri" w:hAnsi="Arial" w:cs="Arial"/>
          <w:i/>
          <w:iCs/>
          <w:color w:val="000000" w:themeColor="text1"/>
          <w:sz w:val="20"/>
          <w:szCs w:val="20"/>
        </w:rPr>
        <w:t>especial o estipulativo</w:t>
      </w:r>
      <w:r w:rsidRPr="00112A89">
        <w:rPr>
          <w:rFonts w:ascii="Arial" w:eastAsia="Calibri" w:hAnsi="Arial" w:cs="Arial"/>
          <w:color w:val="000000" w:themeColor="text1"/>
          <w:sz w:val="20"/>
          <w:szCs w:val="20"/>
        </w:rPr>
        <w:t xml:space="preserve">, empleado por el Legislador en la Ley 2166 de 2021, para delimitar el alcance de una potestad contractual. La Corte Constitucional ha reconocido la libertad de que goza el Legislador para establecer «definiciones </w:t>
      </w:r>
      <w:proofErr w:type="spellStart"/>
      <w:r w:rsidRPr="00112A89">
        <w:rPr>
          <w:rFonts w:ascii="Arial" w:eastAsia="Calibri" w:hAnsi="Arial" w:cs="Arial"/>
          <w:color w:val="000000" w:themeColor="text1"/>
          <w:sz w:val="20"/>
          <w:szCs w:val="20"/>
        </w:rPr>
        <w:t>estipulativas</w:t>
      </w:r>
      <w:proofErr w:type="spellEnd"/>
      <w:r w:rsidRPr="00112A89">
        <w:rPr>
          <w:rFonts w:ascii="Arial" w:eastAsia="Calibri" w:hAnsi="Arial" w:cs="Arial"/>
          <w:color w:val="000000" w:themeColor="text1"/>
          <w:sz w:val="20"/>
          <w:szCs w:val="20"/>
        </w:rPr>
        <w:t>»</w:t>
      </w:r>
      <w:r w:rsidR="002338B4" w:rsidRPr="00112A89">
        <w:rPr>
          <w:rFonts w:eastAsia="Calibri"/>
          <w:sz w:val="20"/>
          <w:szCs w:val="20"/>
        </w:rPr>
        <w:t xml:space="preserve"> […]</w:t>
      </w:r>
    </w:p>
    <w:p w14:paraId="0957E384" w14:textId="77777777" w:rsidR="00DD6C2C" w:rsidRPr="00112A89" w:rsidRDefault="00DD6C2C" w:rsidP="00DD6C2C">
      <w:pPr>
        <w:shd w:val="clear" w:color="auto" w:fill="FFFFFF"/>
        <w:jc w:val="both"/>
        <w:rPr>
          <w:rFonts w:ascii="Arial" w:eastAsia="Calibri" w:hAnsi="Arial" w:cs="Arial"/>
          <w:color w:val="000000" w:themeColor="text1"/>
          <w:sz w:val="20"/>
          <w:szCs w:val="20"/>
        </w:rPr>
      </w:pPr>
    </w:p>
    <w:p w14:paraId="5C31C9BD" w14:textId="0044246C" w:rsidR="00DD6C2C" w:rsidRPr="00112A89" w:rsidRDefault="002338B4" w:rsidP="00DD6C2C">
      <w:pPr>
        <w:jc w:val="both"/>
        <w:rPr>
          <w:rFonts w:ascii="Arial" w:eastAsia="Calibri" w:hAnsi="Arial" w:cs="Arial"/>
          <w:color w:val="000000" w:themeColor="text1"/>
          <w:sz w:val="20"/>
          <w:szCs w:val="20"/>
        </w:rPr>
      </w:pPr>
      <w:r w:rsidRPr="00112A89">
        <w:rPr>
          <w:rFonts w:ascii="Arial" w:hAnsi="Arial" w:cs="Arial"/>
          <w:color w:val="000000" w:themeColor="text1"/>
          <w:sz w:val="20"/>
          <w:szCs w:val="20"/>
        </w:rPr>
        <w:t>[…]</w:t>
      </w:r>
    </w:p>
    <w:p w14:paraId="7D15328B" w14:textId="72A0BE8E" w:rsidR="00DD6C2C" w:rsidRPr="00112A89" w:rsidRDefault="00DD6C2C" w:rsidP="00DD6C2C">
      <w:pPr>
        <w:jc w:val="both"/>
        <w:rPr>
          <w:rFonts w:ascii="Arial" w:eastAsia="Calibri" w:hAnsi="Arial" w:cs="Arial"/>
          <w:color w:val="000000" w:themeColor="text1"/>
          <w:sz w:val="20"/>
          <w:szCs w:val="20"/>
        </w:rPr>
      </w:pPr>
      <w:r w:rsidRPr="00112A89">
        <w:rPr>
          <w:rFonts w:ascii="Arial" w:eastAsia="Calibri" w:hAnsi="Arial" w:cs="Arial"/>
          <w:color w:val="000000" w:themeColor="text1"/>
          <w:sz w:val="20"/>
          <w:szCs w:val="20"/>
        </w:rPr>
        <w:t xml:space="preserve">En palabras de Ricardo </w:t>
      </w:r>
      <w:proofErr w:type="spellStart"/>
      <w:r w:rsidRPr="00112A89">
        <w:rPr>
          <w:rFonts w:ascii="Arial" w:eastAsia="Calibri" w:hAnsi="Arial" w:cs="Arial"/>
          <w:color w:val="000000" w:themeColor="text1"/>
          <w:sz w:val="20"/>
          <w:szCs w:val="20"/>
        </w:rPr>
        <w:t>Guastini</w:t>
      </w:r>
      <w:proofErr w:type="spellEnd"/>
      <w:r w:rsidRPr="00112A89">
        <w:rPr>
          <w:rFonts w:ascii="Arial" w:eastAsia="Calibri" w:hAnsi="Arial" w:cs="Arial"/>
          <w:color w:val="000000" w:themeColor="text1"/>
          <w:sz w:val="20"/>
          <w:szCs w:val="20"/>
        </w:rPr>
        <w:t xml:space="preserve">, las «definiciones </w:t>
      </w:r>
      <w:proofErr w:type="spellStart"/>
      <w:r w:rsidRPr="00112A89">
        <w:rPr>
          <w:rFonts w:ascii="Arial" w:eastAsia="Calibri" w:hAnsi="Arial" w:cs="Arial"/>
          <w:color w:val="000000" w:themeColor="text1"/>
          <w:sz w:val="20"/>
          <w:szCs w:val="20"/>
        </w:rPr>
        <w:t>estipulativas</w:t>
      </w:r>
      <w:proofErr w:type="spellEnd"/>
      <w:r w:rsidRPr="00112A89">
        <w:rPr>
          <w:rFonts w:ascii="Arial" w:eastAsia="Calibri" w:hAnsi="Arial" w:cs="Arial"/>
          <w:color w:val="000000" w:themeColor="text1"/>
          <w:sz w:val="20"/>
          <w:szCs w:val="20"/>
        </w:rPr>
        <w:t>» son aquellas que «</w:t>
      </w:r>
      <w:r w:rsidRPr="00112A89">
        <w:rPr>
          <w:rFonts w:ascii="Arial" w:eastAsia="Calibri" w:hAnsi="Arial" w:cs="Arial"/>
          <w:i/>
          <w:iCs/>
          <w:color w:val="000000" w:themeColor="text1"/>
          <w:sz w:val="20"/>
          <w:szCs w:val="20"/>
        </w:rPr>
        <w:t>a)</w:t>
      </w:r>
      <w:r w:rsidRPr="00112A89">
        <w:rPr>
          <w:rFonts w:ascii="Arial" w:eastAsia="Calibri" w:hAnsi="Arial" w:cs="Arial"/>
          <w:color w:val="000000" w:themeColor="text1"/>
          <w:sz w:val="20"/>
          <w:szCs w:val="20"/>
        </w:rPr>
        <w:t xml:space="preserve"> proponen usar un término o sintagma preexistente de un modo nuevo, o </w:t>
      </w:r>
      <w:r w:rsidRPr="00112A89">
        <w:rPr>
          <w:rFonts w:ascii="Arial" w:eastAsia="Calibri" w:hAnsi="Arial" w:cs="Arial"/>
          <w:i/>
          <w:iCs/>
          <w:color w:val="000000" w:themeColor="text1"/>
          <w:sz w:val="20"/>
          <w:szCs w:val="20"/>
        </w:rPr>
        <w:t>b)</w:t>
      </w:r>
      <w:r w:rsidRPr="00112A89">
        <w:rPr>
          <w:rFonts w:ascii="Arial" w:eastAsia="Calibri" w:hAnsi="Arial" w:cs="Arial"/>
          <w:color w:val="000000" w:themeColor="text1"/>
          <w:sz w:val="20"/>
          <w:szCs w:val="20"/>
        </w:rPr>
        <w:t xml:space="preserve"> sugiere usar un término o sintagma preexistente de una forma más precisa respecto del uso común, o bien </w:t>
      </w:r>
      <w:r w:rsidRPr="00112A89">
        <w:rPr>
          <w:rFonts w:ascii="Arial" w:eastAsia="Calibri" w:hAnsi="Arial" w:cs="Arial"/>
          <w:i/>
          <w:iCs/>
          <w:color w:val="000000" w:themeColor="text1"/>
          <w:sz w:val="20"/>
          <w:szCs w:val="20"/>
        </w:rPr>
        <w:t>c)</w:t>
      </w:r>
      <w:r w:rsidRPr="00112A89">
        <w:rPr>
          <w:rFonts w:ascii="Arial" w:eastAsia="Calibri" w:hAnsi="Arial" w:cs="Arial"/>
          <w:color w:val="000000" w:themeColor="text1"/>
          <w:sz w:val="20"/>
          <w:szCs w:val="20"/>
        </w:rPr>
        <w:t xml:space="preserve"> establecen cómo usar un término o sintagma de nueva creación».</w:t>
      </w:r>
      <w:r w:rsidR="00A20DAF" w:rsidRPr="00112A89">
        <w:rPr>
          <w:rFonts w:ascii="Arial" w:eastAsia="Calibri" w:hAnsi="Arial" w:cs="Arial"/>
          <w:color w:val="000000" w:themeColor="text1"/>
          <w:sz w:val="20"/>
          <w:szCs w:val="20"/>
        </w:rPr>
        <w:t xml:space="preserve"> </w:t>
      </w:r>
      <w:r w:rsidRPr="00112A89">
        <w:rPr>
          <w:rFonts w:ascii="Arial" w:eastAsia="Calibri" w:hAnsi="Arial" w:cs="Arial"/>
          <w:color w:val="000000" w:themeColor="text1"/>
          <w:sz w:val="20"/>
          <w:szCs w:val="20"/>
        </w:rPr>
        <w:t xml:space="preserve">Bajo este entendimiento, puede considerarse que la inclusión de la Nación en el concepto de «ente territorial» consagrado en el artículo 95 de la Ley 2166 de 2021 obedece a una definición </w:t>
      </w:r>
      <w:proofErr w:type="spellStart"/>
      <w:r w:rsidRPr="00112A89">
        <w:rPr>
          <w:rFonts w:ascii="Arial" w:eastAsia="Calibri" w:hAnsi="Arial" w:cs="Arial"/>
          <w:color w:val="000000" w:themeColor="text1"/>
          <w:sz w:val="20"/>
          <w:szCs w:val="20"/>
        </w:rPr>
        <w:t>estipulativa</w:t>
      </w:r>
      <w:proofErr w:type="spellEnd"/>
      <w:r w:rsidRPr="00112A89">
        <w:rPr>
          <w:rFonts w:ascii="Arial" w:eastAsia="Calibri" w:hAnsi="Arial" w:cs="Arial"/>
          <w:color w:val="000000" w:themeColor="text1"/>
          <w:sz w:val="20"/>
          <w:szCs w:val="20"/>
        </w:rPr>
        <w:t xml:space="preserve"> del Legislador, que no riñe con el </w:t>
      </w:r>
      <w:r w:rsidRPr="00112A89">
        <w:rPr>
          <w:rFonts w:ascii="Arial" w:eastAsia="Calibri" w:hAnsi="Arial" w:cs="Arial"/>
          <w:i/>
          <w:iCs/>
          <w:color w:val="000000" w:themeColor="text1"/>
          <w:sz w:val="20"/>
          <w:szCs w:val="20"/>
        </w:rPr>
        <w:t>uso común</w:t>
      </w:r>
      <w:r w:rsidRPr="00112A89">
        <w:rPr>
          <w:rFonts w:ascii="Arial" w:eastAsia="Calibri" w:hAnsi="Arial" w:cs="Arial"/>
          <w:color w:val="000000" w:themeColor="text1"/>
          <w:sz w:val="20"/>
          <w:szCs w:val="20"/>
        </w:rPr>
        <w:t xml:space="preserve"> que debe tener el concepto de «entidad territorial» previsto en el artículo 286 de la Constitución. Ello en la medida en que el alcance de la noción de «ente territorial» de la primera norma mencionada es restringido, pues solo se utiliza para indicar qué órganos del Estado pueden celebrar los </w:t>
      </w:r>
      <w:r w:rsidRPr="00112A89">
        <w:rPr>
          <w:rFonts w:ascii="Arial" w:eastAsia="Calibri" w:hAnsi="Arial" w:cs="Arial"/>
          <w:i/>
          <w:iCs/>
          <w:color w:val="000000" w:themeColor="text1"/>
          <w:sz w:val="20"/>
          <w:szCs w:val="20"/>
        </w:rPr>
        <w:t>convenios solidarios</w:t>
      </w:r>
      <w:r w:rsidRPr="00112A89">
        <w:rPr>
          <w:rFonts w:ascii="Arial" w:eastAsia="Calibri" w:hAnsi="Arial" w:cs="Arial"/>
          <w:color w:val="000000" w:themeColor="text1"/>
          <w:sz w:val="20"/>
          <w:szCs w:val="20"/>
        </w:rPr>
        <w:t xml:space="preserve"> regulados en dicha Ley.</w:t>
      </w:r>
    </w:p>
    <w:p w14:paraId="5C5580F8" w14:textId="6606D85E" w:rsidR="00DD6C2C" w:rsidRPr="00112A89" w:rsidRDefault="00DD6C2C" w:rsidP="00B95C30">
      <w:pPr>
        <w:spacing w:line="276" w:lineRule="auto"/>
        <w:jc w:val="both"/>
        <w:rPr>
          <w:rFonts w:ascii="Arial" w:hAnsi="Arial" w:cs="Arial"/>
          <w:noProof/>
          <w:color w:val="000000" w:themeColor="text1"/>
          <w:sz w:val="22"/>
          <w:lang w:val="es-ES_tradnl"/>
        </w:rPr>
      </w:pPr>
    </w:p>
    <w:p w14:paraId="4607D2AA" w14:textId="6D6A54AE" w:rsidR="00B71253" w:rsidRPr="00112A89" w:rsidRDefault="00B71253" w:rsidP="00B71253">
      <w:pPr>
        <w:jc w:val="both"/>
        <w:rPr>
          <w:rFonts w:ascii="Arial" w:eastAsia="Calibri" w:hAnsi="Arial" w:cs="Arial"/>
          <w:b/>
          <w:sz w:val="22"/>
          <w:lang w:val="es-ES_tradnl"/>
        </w:rPr>
      </w:pPr>
      <w:r w:rsidRPr="00112A89">
        <w:rPr>
          <w:rFonts w:ascii="Arial" w:eastAsia="Calibri" w:hAnsi="Arial" w:cs="Arial"/>
          <w:b/>
          <w:sz w:val="22"/>
          <w:lang w:val="es-ES_tradnl"/>
        </w:rPr>
        <w:t>INTERPRETACIÓN SISTEMÁTICA – Concepto – Ley 2166 de 2021 – Parágrafos – Aplicación</w:t>
      </w:r>
    </w:p>
    <w:p w14:paraId="2FA77387" w14:textId="167D7CF2" w:rsidR="00B71253" w:rsidRPr="00112A89" w:rsidRDefault="00B71253" w:rsidP="00B95C30">
      <w:pPr>
        <w:spacing w:line="276" w:lineRule="auto"/>
        <w:jc w:val="both"/>
        <w:rPr>
          <w:rFonts w:ascii="Arial" w:hAnsi="Arial" w:cs="Arial"/>
          <w:noProof/>
          <w:color w:val="000000" w:themeColor="text1"/>
          <w:sz w:val="22"/>
          <w:lang w:val="es-ES_tradnl"/>
        </w:rPr>
      </w:pPr>
    </w:p>
    <w:p w14:paraId="10EFAD05" w14:textId="77777777" w:rsidR="00B71253" w:rsidRPr="00112A89" w:rsidRDefault="00B71253" w:rsidP="00B71253">
      <w:pPr>
        <w:jc w:val="both"/>
        <w:rPr>
          <w:rFonts w:ascii="Arial" w:eastAsia="Calibri" w:hAnsi="Arial" w:cs="Arial"/>
          <w:color w:val="000000" w:themeColor="text1"/>
          <w:sz w:val="20"/>
          <w:szCs w:val="20"/>
        </w:rPr>
      </w:pPr>
      <w:r w:rsidRPr="00112A89">
        <w:rPr>
          <w:rFonts w:ascii="Arial" w:eastAsia="Calibri" w:hAnsi="Arial" w:cs="Arial"/>
          <w:color w:val="000000" w:themeColor="text1"/>
          <w:sz w:val="20"/>
          <w:szCs w:val="20"/>
        </w:rPr>
        <w:t xml:space="preserve">En tal sentido, teniendo en cuenta que el artículo 95 de la Ley 2166 de 2021 emplea la expresión «entes territoriales del orden Nacional, Departamental, Distrital y municipal», como concepto especial, los parágrafos 1 y 2 de dicho artículo deben leerse de </w:t>
      </w:r>
      <w:r w:rsidRPr="00112A89">
        <w:rPr>
          <w:rFonts w:ascii="Arial" w:eastAsia="Calibri" w:hAnsi="Arial" w:cs="Arial"/>
          <w:i/>
          <w:iCs/>
          <w:color w:val="000000" w:themeColor="text1"/>
          <w:sz w:val="20"/>
          <w:szCs w:val="20"/>
        </w:rPr>
        <w:t>manera sistemática</w:t>
      </w:r>
      <w:r w:rsidRPr="00112A89">
        <w:rPr>
          <w:rFonts w:ascii="Arial" w:eastAsia="Calibri" w:hAnsi="Arial" w:cs="Arial"/>
          <w:color w:val="000000" w:themeColor="text1"/>
          <w:sz w:val="20"/>
          <w:szCs w:val="20"/>
        </w:rPr>
        <w:t xml:space="preserve"> con el primer inciso. En efecto, citando de nuevo a </w:t>
      </w:r>
      <w:proofErr w:type="spellStart"/>
      <w:r w:rsidRPr="00112A89">
        <w:rPr>
          <w:rFonts w:ascii="Arial" w:eastAsia="Calibri" w:hAnsi="Arial" w:cs="Arial"/>
          <w:color w:val="000000" w:themeColor="text1"/>
          <w:sz w:val="20"/>
          <w:szCs w:val="20"/>
        </w:rPr>
        <w:t>Guastini</w:t>
      </w:r>
      <w:proofErr w:type="spellEnd"/>
      <w:r w:rsidRPr="00112A89">
        <w:rPr>
          <w:rFonts w:ascii="Arial" w:eastAsia="Calibri" w:hAnsi="Arial" w:cs="Arial"/>
          <w:color w:val="000000" w:themeColor="text1"/>
          <w:sz w:val="20"/>
          <w:szCs w:val="20"/>
        </w:rPr>
        <w:t xml:space="preserve">: </w:t>
      </w:r>
    </w:p>
    <w:p w14:paraId="55CD652B" w14:textId="77777777" w:rsidR="00B71253" w:rsidRPr="00112A89" w:rsidRDefault="00B71253" w:rsidP="00B71253">
      <w:pPr>
        <w:shd w:val="clear" w:color="auto" w:fill="FFFFFF"/>
        <w:jc w:val="both"/>
        <w:rPr>
          <w:rFonts w:ascii="Arial" w:hAnsi="Arial" w:cs="Arial"/>
          <w:color w:val="000000" w:themeColor="text1"/>
          <w:sz w:val="20"/>
          <w:szCs w:val="20"/>
        </w:rPr>
      </w:pPr>
    </w:p>
    <w:p w14:paraId="43AEFFFB" w14:textId="494905AE" w:rsidR="00B71253" w:rsidRPr="00112A89" w:rsidRDefault="00B71253" w:rsidP="00B71253">
      <w:pPr>
        <w:shd w:val="clear" w:color="auto" w:fill="FFFFFF"/>
        <w:jc w:val="both"/>
        <w:rPr>
          <w:rFonts w:ascii="Arial" w:hAnsi="Arial" w:cs="Arial"/>
          <w:color w:val="000000" w:themeColor="text1"/>
          <w:sz w:val="20"/>
          <w:szCs w:val="20"/>
        </w:rPr>
      </w:pPr>
      <w:r w:rsidRPr="00112A89">
        <w:rPr>
          <w:rFonts w:ascii="Arial" w:hAnsi="Arial" w:cs="Arial"/>
          <w:color w:val="000000" w:themeColor="text1"/>
          <w:sz w:val="20"/>
          <w:szCs w:val="20"/>
        </w:rPr>
        <w:lastRenderedPageBreak/>
        <w:t xml:space="preserve">«En la práctica se usa un argumento de tipo sistemático siempre que, para acreditar la interpretación escogida, se alega no el texto de la disposición interpretada aisladamente considerada, sino algún elemento del contexto en el que la disposición está colocada. Tal contexto puede ser más o menos extenso: </w:t>
      </w:r>
      <w:r w:rsidRPr="00112A89">
        <w:rPr>
          <w:rFonts w:ascii="Arial" w:hAnsi="Arial" w:cs="Arial"/>
          <w:i/>
          <w:iCs/>
          <w:color w:val="000000" w:themeColor="text1"/>
          <w:sz w:val="20"/>
          <w:szCs w:val="20"/>
        </w:rPr>
        <w:t>los otros apartados de un mismo artículo</w:t>
      </w:r>
      <w:r w:rsidRPr="00112A89">
        <w:rPr>
          <w:rFonts w:ascii="Arial" w:hAnsi="Arial" w:cs="Arial"/>
          <w:color w:val="000000" w:themeColor="text1"/>
          <w:sz w:val="20"/>
          <w:szCs w:val="20"/>
        </w:rPr>
        <w:t>, los otros artículos de una misma ley, el conjunto de las leyes que se refieren a una misma materia, etc. hasta llegar a la totalidad de las disposiciones que componen un ordenamiento jurídico» (énfasis fuera de texto).</w:t>
      </w:r>
    </w:p>
    <w:p w14:paraId="2B9F2676" w14:textId="77777777" w:rsidR="00B71253" w:rsidRPr="00112A89" w:rsidRDefault="00B71253" w:rsidP="00B71253">
      <w:pPr>
        <w:jc w:val="both"/>
        <w:rPr>
          <w:rFonts w:ascii="Arial" w:eastAsia="Calibri" w:hAnsi="Arial" w:cs="Arial"/>
          <w:color w:val="000000" w:themeColor="text1"/>
          <w:sz w:val="20"/>
          <w:szCs w:val="20"/>
        </w:rPr>
      </w:pPr>
    </w:p>
    <w:p w14:paraId="13935463" w14:textId="77777777" w:rsidR="00B71253" w:rsidRPr="00112A89" w:rsidRDefault="00B71253" w:rsidP="00B71253">
      <w:pPr>
        <w:jc w:val="both"/>
        <w:rPr>
          <w:rFonts w:ascii="Arial" w:eastAsia="Calibri" w:hAnsi="Arial" w:cs="Arial"/>
          <w:color w:val="000000" w:themeColor="text1"/>
          <w:sz w:val="20"/>
          <w:szCs w:val="20"/>
        </w:rPr>
      </w:pPr>
      <w:r w:rsidRPr="00112A89">
        <w:rPr>
          <w:rFonts w:ascii="Arial" w:eastAsia="Calibri" w:hAnsi="Arial" w:cs="Arial"/>
          <w:color w:val="000000" w:themeColor="text1"/>
          <w:sz w:val="20"/>
          <w:szCs w:val="20"/>
        </w:rPr>
        <w:t>De allí, por tanto, que si el primer inciso del artículo 95 de la Ley 2166 de 2021 incluye en la noción de «entes territoriales» a la Nación, y los dos parágrafos del mismo artículo se refieren a los «entes territoriales», se entiende, en sentido lógico-sistemático, que los destinatarios de los enunciados normativos previstos en los parágrafos son los mismos que se acotaron en el primer inciso. Esta interpretación no obsta para que el Gobierno Nacional, en ejercicio de la potestad reglamentaria que le confiere el artículo 189, numeral 11, de la Constitución, asigne a la referida expresión un significado distinto.</w:t>
      </w:r>
    </w:p>
    <w:p w14:paraId="4EFCA9AA" w14:textId="77777777" w:rsidR="007B68EF" w:rsidRPr="00112A89" w:rsidRDefault="007B68EF" w:rsidP="006811FB">
      <w:pPr>
        <w:spacing w:line="276" w:lineRule="auto"/>
        <w:jc w:val="both"/>
        <w:rPr>
          <w:rFonts w:ascii="Arial" w:hAnsi="Arial" w:cs="Arial"/>
          <w:noProof/>
          <w:color w:val="000000" w:themeColor="text1"/>
          <w:sz w:val="22"/>
          <w:lang w:val="es-ES_tradnl"/>
        </w:rPr>
      </w:pPr>
    </w:p>
    <w:p w14:paraId="43C46581"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4A7C790E"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504998E1"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2E150799"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3484A8B5"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6CC06B06"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462B54AD"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7B426CC0"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1330CBF0"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41FF07C4"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0F0F1982"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5EC501FD"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20F6E067"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6BA5A371"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4DC3CC2D"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2A6CC35C"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7F9A3649"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53A3EA01"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263908EA"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28A57E32"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0C0A50FE"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488129BB"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68A695CB"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3BF8CB38"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522D2622"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50CEF4E9"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5AAC14CC"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13EF6C7F"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28D77733"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68A44431" w14:textId="77777777" w:rsidR="00D82163" w:rsidRPr="00112A89" w:rsidRDefault="00D82163" w:rsidP="00155F5E">
      <w:pPr>
        <w:spacing w:line="276" w:lineRule="auto"/>
        <w:jc w:val="both"/>
        <w:rPr>
          <w:rFonts w:ascii="Arial" w:hAnsi="Arial" w:cs="Arial"/>
          <w:noProof/>
          <w:color w:val="000000" w:themeColor="text1"/>
          <w:sz w:val="22"/>
          <w:lang w:val="es-ES_tradnl"/>
        </w:rPr>
      </w:pPr>
    </w:p>
    <w:p w14:paraId="7917BDB0" w14:textId="0FC66B48" w:rsidR="00155F5E" w:rsidRPr="00112A89" w:rsidRDefault="00155F5E" w:rsidP="00155F5E">
      <w:pPr>
        <w:spacing w:line="276" w:lineRule="auto"/>
        <w:jc w:val="both"/>
        <w:rPr>
          <w:rFonts w:ascii="Arial" w:hAnsi="Arial" w:cs="Arial"/>
          <w:b/>
          <w:color w:val="000000" w:themeColor="text1"/>
          <w:sz w:val="22"/>
          <w:lang w:val="es-ES_tradnl"/>
        </w:rPr>
      </w:pPr>
      <w:r w:rsidRPr="00112A89">
        <w:rPr>
          <w:rFonts w:ascii="Arial" w:hAnsi="Arial" w:cs="Arial"/>
          <w:noProof/>
          <w:color w:val="000000" w:themeColor="text1"/>
          <w:sz w:val="22"/>
          <w:lang w:val="es-ES_tradnl"/>
        </w:rPr>
        <w:t xml:space="preserve">Bogotá D.C., </w:t>
      </w:r>
      <w:r w:rsidR="003409BD">
        <w:rPr>
          <w:rFonts w:ascii="Arial" w:hAnsi="Arial" w:cs="Arial"/>
          <w:b/>
          <w:color w:val="000000" w:themeColor="text1"/>
          <w:sz w:val="22"/>
          <w:lang w:val="es-ES_tradnl"/>
        </w:rPr>
        <w:t>24/05/2022 18:11:42</w:t>
      </w:r>
    </w:p>
    <w:p w14:paraId="1ED50A58" w14:textId="77777777" w:rsidR="00155F5E" w:rsidRPr="00112A89" w:rsidRDefault="00155F5E" w:rsidP="00155F5E">
      <w:pPr>
        <w:spacing w:line="276" w:lineRule="auto"/>
        <w:jc w:val="both"/>
        <w:rPr>
          <w:rFonts w:ascii="Arial" w:eastAsia="Calibri" w:hAnsi="Arial" w:cs="Arial"/>
          <w:noProof/>
          <w:color w:val="000000" w:themeColor="text1"/>
          <w:sz w:val="22"/>
          <w:szCs w:val="22"/>
          <w:lang w:val="es-ES_tradnl"/>
        </w:rPr>
      </w:pPr>
    </w:p>
    <w:p w14:paraId="408D64B0" w14:textId="480D1B34" w:rsidR="00155F5E" w:rsidRPr="00112A89" w:rsidRDefault="003409BD" w:rsidP="003409BD">
      <w:pPr>
        <w:jc w:val="right"/>
        <w:rPr>
          <w:rFonts w:ascii="Arial" w:hAnsi="Arial" w:cs="Arial"/>
          <w:bCs/>
          <w:color w:val="000000" w:themeColor="text1"/>
          <w:sz w:val="22"/>
          <w:lang w:val="es-ES_tradnl"/>
        </w:rPr>
      </w:pPr>
      <w:r w:rsidRPr="003409BD">
        <w:rPr>
          <w:rFonts w:ascii="Arial" w:hAnsi="Arial" w:cs="Arial"/>
          <w:b/>
          <w:noProof/>
          <w:color w:val="000000" w:themeColor="text1"/>
          <w:sz w:val="22"/>
          <w:lang w:val="es-ES_tradnl"/>
        </w:rPr>
        <w:drawing>
          <wp:inline distT="0" distB="0" distL="0" distR="0" wp14:anchorId="39D9857D" wp14:editId="68E2DFF4">
            <wp:extent cx="2451100" cy="635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451100" cy="635000"/>
                    </a:xfrm>
                    <a:prstGeom prst="rect">
                      <a:avLst/>
                    </a:prstGeom>
                  </pic:spPr>
                </pic:pic>
              </a:graphicData>
            </a:graphic>
          </wp:inline>
        </w:drawing>
      </w:r>
    </w:p>
    <w:p w14:paraId="44C79315" w14:textId="77777777" w:rsidR="0013144A" w:rsidRPr="00112A89" w:rsidRDefault="0013144A" w:rsidP="00155F5E">
      <w:pPr>
        <w:jc w:val="both"/>
        <w:rPr>
          <w:rFonts w:ascii="Arial" w:hAnsi="Arial" w:cs="Arial"/>
          <w:bCs/>
          <w:color w:val="000000" w:themeColor="text1"/>
          <w:sz w:val="22"/>
          <w:lang w:val="es-ES_tradnl"/>
        </w:rPr>
      </w:pPr>
    </w:p>
    <w:p w14:paraId="0B5C88FC" w14:textId="77777777" w:rsidR="00155F5E" w:rsidRPr="00112A89" w:rsidRDefault="00155F5E" w:rsidP="00155F5E">
      <w:pPr>
        <w:rPr>
          <w:rFonts w:ascii="Arial" w:eastAsia="Calibri" w:hAnsi="Arial" w:cs="Arial"/>
          <w:color w:val="000000" w:themeColor="text1"/>
          <w:sz w:val="22"/>
          <w:lang w:val="es-ES_tradnl"/>
        </w:rPr>
      </w:pPr>
      <w:r w:rsidRPr="00112A89">
        <w:rPr>
          <w:rFonts w:ascii="Arial" w:eastAsia="Calibri" w:hAnsi="Arial" w:cs="Arial"/>
          <w:color w:val="000000" w:themeColor="text1"/>
          <w:sz w:val="22"/>
          <w:lang w:val="es-ES_tradnl"/>
        </w:rPr>
        <w:t>Doctor</w:t>
      </w:r>
    </w:p>
    <w:p w14:paraId="77FFE53D" w14:textId="30CDD868" w:rsidR="00155F5E" w:rsidRPr="00112A89" w:rsidRDefault="00B55CEE" w:rsidP="00155F5E">
      <w:pPr>
        <w:rPr>
          <w:rFonts w:ascii="Arial" w:eastAsia="Calibri" w:hAnsi="Arial" w:cs="Arial"/>
          <w:b/>
          <w:color w:val="000000" w:themeColor="text1"/>
          <w:sz w:val="22"/>
          <w:lang w:val="es-ES_tradnl"/>
        </w:rPr>
      </w:pPr>
      <w:r w:rsidRPr="00112A89">
        <w:rPr>
          <w:rFonts w:ascii="Arial" w:eastAsia="Calibri" w:hAnsi="Arial" w:cs="Arial"/>
          <w:b/>
          <w:color w:val="000000" w:themeColor="text1"/>
          <w:sz w:val="22"/>
          <w:lang w:val="es-ES_tradnl"/>
        </w:rPr>
        <w:t>Ricardo Antonio Corredor Parra</w:t>
      </w:r>
    </w:p>
    <w:p w14:paraId="39B06B96" w14:textId="50DA88CD" w:rsidR="00155F5E" w:rsidRPr="00112A89" w:rsidRDefault="00B55CEE" w:rsidP="00155F5E">
      <w:pPr>
        <w:rPr>
          <w:rFonts w:ascii="Arial" w:eastAsia="Calibri" w:hAnsi="Arial" w:cs="Arial"/>
          <w:color w:val="000000" w:themeColor="text1"/>
          <w:sz w:val="22"/>
          <w:lang w:val="es-ES_tradnl"/>
        </w:rPr>
      </w:pPr>
      <w:r w:rsidRPr="00112A89">
        <w:rPr>
          <w:rFonts w:ascii="Arial" w:eastAsia="Calibri" w:hAnsi="Arial" w:cs="Arial"/>
          <w:color w:val="000000" w:themeColor="text1"/>
          <w:sz w:val="22"/>
          <w:lang w:val="es-ES_tradnl"/>
        </w:rPr>
        <w:t>Subdirector Vías Regionales</w:t>
      </w:r>
    </w:p>
    <w:p w14:paraId="6ABF0014" w14:textId="3609B5B2" w:rsidR="00B55CEE" w:rsidRPr="00112A89" w:rsidRDefault="00B55CEE" w:rsidP="00155F5E">
      <w:pPr>
        <w:rPr>
          <w:rFonts w:ascii="Arial" w:eastAsia="Calibri" w:hAnsi="Arial" w:cs="Arial"/>
          <w:color w:val="000000" w:themeColor="text1"/>
          <w:sz w:val="22"/>
          <w:lang w:val="es-ES_tradnl"/>
        </w:rPr>
      </w:pPr>
      <w:r w:rsidRPr="00112A89">
        <w:rPr>
          <w:rFonts w:ascii="Arial" w:eastAsia="Calibri" w:hAnsi="Arial" w:cs="Arial"/>
          <w:color w:val="000000" w:themeColor="text1"/>
          <w:sz w:val="22"/>
          <w:lang w:val="es-ES_tradnl"/>
        </w:rPr>
        <w:t>IN</w:t>
      </w:r>
      <w:r w:rsidR="00AF09DF" w:rsidRPr="00112A89">
        <w:rPr>
          <w:rFonts w:ascii="Arial" w:eastAsia="Calibri" w:hAnsi="Arial" w:cs="Arial"/>
          <w:color w:val="000000" w:themeColor="text1"/>
          <w:sz w:val="22"/>
          <w:lang w:val="es-ES_tradnl"/>
        </w:rPr>
        <w:t>VÍAS</w:t>
      </w:r>
    </w:p>
    <w:p w14:paraId="401C276B" w14:textId="7509C3EF" w:rsidR="00155F5E" w:rsidRPr="00112A89" w:rsidRDefault="00155F5E" w:rsidP="00155F5E">
      <w:pPr>
        <w:rPr>
          <w:rFonts w:ascii="Arial" w:eastAsia="Calibri" w:hAnsi="Arial" w:cs="Arial"/>
          <w:color w:val="000000" w:themeColor="text1"/>
          <w:sz w:val="22"/>
          <w:lang w:val="es-ES_tradnl"/>
        </w:rPr>
      </w:pPr>
      <w:r w:rsidRPr="00112A89">
        <w:rPr>
          <w:rFonts w:ascii="Arial" w:eastAsia="Calibri" w:hAnsi="Arial" w:cs="Arial"/>
          <w:color w:val="000000" w:themeColor="text1"/>
          <w:sz w:val="22"/>
          <w:lang w:val="es-ES_tradnl"/>
        </w:rPr>
        <w:t>Bogotá, D.C.</w:t>
      </w:r>
    </w:p>
    <w:p w14:paraId="12AE8BC8" w14:textId="07048B79" w:rsidR="0013144A" w:rsidRPr="00112A89" w:rsidRDefault="0013144A" w:rsidP="00155F5E">
      <w:pPr>
        <w:rPr>
          <w:rFonts w:ascii="Arial" w:eastAsia="Calibri" w:hAnsi="Arial" w:cs="Arial"/>
          <w:color w:val="000000" w:themeColor="text1"/>
          <w:sz w:val="22"/>
          <w:lang w:val="es-ES_tradnl"/>
        </w:rPr>
      </w:pPr>
    </w:p>
    <w:p w14:paraId="54675628" w14:textId="77777777" w:rsidR="0013144A" w:rsidRPr="00112A89" w:rsidRDefault="0013144A" w:rsidP="00155F5E">
      <w:pPr>
        <w:rPr>
          <w:rFonts w:ascii="Arial" w:eastAsia="Calibri" w:hAnsi="Arial" w:cs="Arial"/>
          <w:color w:val="000000" w:themeColor="text1"/>
          <w:sz w:val="22"/>
          <w:lang w:val="es-ES_tradnl"/>
        </w:rPr>
      </w:pPr>
    </w:p>
    <w:p w14:paraId="12E66182" w14:textId="797975F7" w:rsidR="00B95C30" w:rsidRPr="00112A89" w:rsidRDefault="0013144A" w:rsidP="00112A89">
      <w:pPr>
        <w:rPr>
          <w:rFonts w:ascii="Arial" w:eastAsia="Calibri" w:hAnsi="Arial" w:cs="Arial"/>
          <w:b/>
          <w:bCs/>
          <w:color w:val="000000" w:themeColor="text1"/>
          <w:sz w:val="22"/>
          <w:lang w:val="es-ES_tradnl"/>
        </w:rPr>
      </w:pPr>
      <w:r w:rsidRPr="00112A89">
        <w:rPr>
          <w:rFonts w:ascii="Arial" w:eastAsia="Calibri" w:hAnsi="Arial" w:cs="Arial"/>
          <w:b/>
          <w:bCs/>
          <w:color w:val="000000" w:themeColor="text1"/>
          <w:sz w:val="22"/>
          <w:lang w:val="es-ES_tradnl"/>
        </w:rPr>
        <w:t xml:space="preserve">                                            </w:t>
      </w:r>
      <w:r w:rsidR="00B95C30" w:rsidRPr="00112A89">
        <w:rPr>
          <w:rFonts w:ascii="Arial" w:eastAsia="Calibri" w:hAnsi="Arial" w:cs="Arial"/>
          <w:b/>
          <w:bCs/>
          <w:color w:val="000000" w:themeColor="text1"/>
          <w:sz w:val="22"/>
          <w:lang w:val="es-ES_tradnl"/>
        </w:rPr>
        <w:t xml:space="preserve">Concepto C ‒ </w:t>
      </w:r>
      <w:r w:rsidR="00F06AC9" w:rsidRPr="00112A89">
        <w:rPr>
          <w:rFonts w:ascii="Arial" w:eastAsia="Calibri" w:hAnsi="Arial" w:cs="Arial"/>
          <w:b/>
          <w:bCs/>
          <w:color w:val="000000" w:themeColor="text1"/>
          <w:sz w:val="22"/>
          <w:lang w:val="es-ES_tradnl"/>
        </w:rPr>
        <w:t>333</w:t>
      </w:r>
      <w:r w:rsidR="00B95C30" w:rsidRPr="00112A89">
        <w:rPr>
          <w:rFonts w:ascii="Arial" w:eastAsia="Calibri" w:hAnsi="Arial" w:cs="Arial"/>
          <w:b/>
          <w:bCs/>
          <w:color w:val="000000" w:themeColor="text1"/>
          <w:sz w:val="22"/>
          <w:lang w:val="es-ES_tradnl"/>
        </w:rPr>
        <w:t xml:space="preserve"> de 202</w:t>
      </w:r>
      <w:r w:rsidR="008E04C3" w:rsidRPr="00112A89">
        <w:rPr>
          <w:rFonts w:ascii="Arial" w:eastAsia="Calibri" w:hAnsi="Arial" w:cs="Arial"/>
          <w:b/>
          <w:bCs/>
          <w:color w:val="000000" w:themeColor="text1"/>
          <w:sz w:val="22"/>
          <w:lang w:val="es-ES_tradnl"/>
        </w:rPr>
        <w:t>2</w:t>
      </w:r>
    </w:p>
    <w:p w14:paraId="1BD594F9" w14:textId="77777777" w:rsidR="00B95C30" w:rsidRPr="00112A89"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112A89" w14:paraId="19DFC051" w14:textId="77777777" w:rsidTr="002442D4">
        <w:tc>
          <w:tcPr>
            <w:tcW w:w="2689" w:type="dxa"/>
          </w:tcPr>
          <w:p w14:paraId="6BC0D1AC" w14:textId="77777777" w:rsidR="00B95C30" w:rsidRPr="00112A89" w:rsidRDefault="00B95C30" w:rsidP="002442D4">
            <w:pPr>
              <w:jc w:val="both"/>
              <w:rPr>
                <w:rFonts w:ascii="Arial" w:eastAsia="Calibri" w:hAnsi="Arial" w:cs="Arial"/>
                <w:color w:val="000000" w:themeColor="text1"/>
                <w:sz w:val="22"/>
                <w:lang w:val="es-ES_tradnl"/>
              </w:rPr>
            </w:pPr>
            <w:r w:rsidRPr="00112A89">
              <w:rPr>
                <w:rFonts w:ascii="Arial" w:eastAsia="Calibri" w:hAnsi="Arial" w:cs="Arial"/>
                <w:b/>
                <w:color w:val="000000" w:themeColor="text1"/>
                <w:sz w:val="22"/>
                <w:lang w:val="es-ES_tradnl"/>
              </w:rPr>
              <w:t>Temas:</w:t>
            </w:r>
            <w:r w:rsidRPr="00112A89">
              <w:rPr>
                <w:rFonts w:ascii="Arial" w:eastAsia="Calibri" w:hAnsi="Arial" w:cs="Arial"/>
                <w:color w:val="000000" w:themeColor="text1"/>
                <w:sz w:val="22"/>
                <w:lang w:val="es-ES_tradnl"/>
              </w:rPr>
              <w:t xml:space="preserve">                                      </w:t>
            </w:r>
          </w:p>
        </w:tc>
        <w:tc>
          <w:tcPr>
            <w:tcW w:w="6237" w:type="dxa"/>
          </w:tcPr>
          <w:p w14:paraId="5F389CAF" w14:textId="003A394E" w:rsidR="00B95C30" w:rsidRPr="00112A89" w:rsidRDefault="008214B4" w:rsidP="00D068F7">
            <w:pPr>
              <w:jc w:val="both"/>
              <w:rPr>
                <w:lang w:val="es-ES_tradnl"/>
              </w:rPr>
            </w:pPr>
            <w:r w:rsidRPr="00112A89">
              <w:rPr>
                <w:rFonts w:ascii="Arial" w:eastAsia="Calibri" w:hAnsi="Arial" w:cs="Arial"/>
                <w:bCs/>
                <w:color w:val="000000" w:themeColor="text1"/>
                <w:sz w:val="22"/>
                <w:lang w:val="es-ES_tradnl"/>
              </w:rPr>
              <w:t>CONVENIOS SOLIDARIOS – Marco normativo / LEY 136 DE 1994 – Convenios Solidarios – Ámbito de aplicación – Organismos de acción comunal / LEY 136 DE 1994 – Regímenes de contratación – Organismos de acción comunal / LEY 2166 DE 2021 – Organismos de acción comunal – Artículo 95 – Convenios solidarios –Contratación directa – Contratos de obra / LEY 2166 DE 2021 – Artículo 63 – Convenios solidarios – Artículo 141 de la Ley 136 de 1994</w:t>
            </w:r>
            <w:r w:rsidR="007B68EF" w:rsidRPr="00112A89">
              <w:rPr>
                <w:rFonts w:ascii="Arial" w:eastAsia="Calibri" w:hAnsi="Arial" w:cs="Arial"/>
                <w:bCs/>
                <w:color w:val="000000" w:themeColor="text1"/>
                <w:sz w:val="22"/>
                <w:lang w:val="es-ES_tradnl"/>
              </w:rPr>
              <w:t xml:space="preserve"> / DOCUMENTOS TIPO – Ley 2195 de 2022 – </w:t>
            </w:r>
            <w:r w:rsidR="00D82163" w:rsidRPr="00112A89">
              <w:rPr>
                <w:rFonts w:ascii="Arial" w:eastAsia="Calibri" w:hAnsi="Arial" w:cs="Arial"/>
                <w:bCs/>
                <w:color w:val="000000" w:themeColor="text1"/>
                <w:sz w:val="22"/>
                <w:lang w:val="es-ES_tradnl"/>
              </w:rPr>
              <w:t>Estatuto General / CONVENIOS SOLIDARIOS – Ley 2166 de 2021 – Artículo 95 – Entes territoriales – Interpretación sistemática / DEFINICIONES ESTIPULATIVAS – Libertad de configuración – Legislador – Ente territorial – Concepto / INTERPRETACIÓN SISTEMÁTICA – Concepto – Ley 2166 de 2021 – Parágrafos – Aplicación</w:t>
            </w:r>
          </w:p>
        </w:tc>
      </w:tr>
      <w:tr w:rsidR="00B95C30" w:rsidRPr="00112A89" w14:paraId="27CD52AB" w14:textId="77777777" w:rsidTr="002442D4">
        <w:tc>
          <w:tcPr>
            <w:tcW w:w="2689" w:type="dxa"/>
          </w:tcPr>
          <w:p w14:paraId="37E195A1" w14:textId="4C368209" w:rsidR="00B95C30" w:rsidRPr="00112A89" w:rsidRDefault="00B95C30" w:rsidP="002442D4">
            <w:pPr>
              <w:spacing w:before="120"/>
              <w:jc w:val="both"/>
              <w:rPr>
                <w:rFonts w:ascii="Arial" w:eastAsia="Calibri" w:hAnsi="Arial" w:cs="Arial"/>
                <w:b/>
                <w:color w:val="000000" w:themeColor="text1"/>
                <w:sz w:val="22"/>
                <w:lang w:val="es-ES_tradnl"/>
              </w:rPr>
            </w:pPr>
            <w:r w:rsidRPr="00112A89">
              <w:rPr>
                <w:rFonts w:ascii="Arial" w:eastAsia="Calibri" w:hAnsi="Arial" w:cs="Arial"/>
                <w:b/>
                <w:color w:val="000000" w:themeColor="text1"/>
                <w:sz w:val="22"/>
                <w:lang w:val="es-ES_tradnl"/>
              </w:rPr>
              <w:t>Radicación:</w:t>
            </w:r>
            <w:r w:rsidRPr="00112A89">
              <w:rPr>
                <w:rFonts w:ascii="Arial" w:eastAsia="Calibri" w:hAnsi="Arial" w:cs="Arial"/>
                <w:color w:val="000000" w:themeColor="text1"/>
                <w:sz w:val="22"/>
                <w:lang w:val="es-ES_tradnl"/>
              </w:rPr>
              <w:t xml:space="preserve">                              </w:t>
            </w:r>
          </w:p>
        </w:tc>
        <w:tc>
          <w:tcPr>
            <w:tcW w:w="6237" w:type="dxa"/>
          </w:tcPr>
          <w:p w14:paraId="09088B1B" w14:textId="4B1F80D7" w:rsidR="00B95C30" w:rsidRPr="00112A89" w:rsidRDefault="00B95C30" w:rsidP="0013144A">
            <w:pPr>
              <w:spacing w:before="120"/>
              <w:jc w:val="both"/>
              <w:rPr>
                <w:rFonts w:ascii="Arial" w:eastAsia="Calibri" w:hAnsi="Arial" w:cs="Arial"/>
                <w:color w:val="000000" w:themeColor="text1"/>
                <w:sz w:val="22"/>
                <w:lang w:val="es-ES_tradnl"/>
              </w:rPr>
            </w:pPr>
            <w:r w:rsidRPr="00112A89">
              <w:rPr>
                <w:rFonts w:ascii="Arial" w:eastAsia="Calibri" w:hAnsi="Arial" w:cs="Arial"/>
                <w:color w:val="000000" w:themeColor="text1"/>
                <w:sz w:val="22"/>
                <w:lang w:val="es-ES_tradnl"/>
              </w:rPr>
              <w:t>Respuesta a consulta</w:t>
            </w:r>
            <w:r w:rsidR="008F135B" w:rsidRPr="00112A89">
              <w:rPr>
                <w:rFonts w:ascii="Arial" w:eastAsia="Calibri" w:hAnsi="Arial" w:cs="Arial"/>
                <w:color w:val="000000" w:themeColor="text1"/>
                <w:sz w:val="22"/>
                <w:lang w:val="es-ES_tradnl"/>
              </w:rPr>
              <w:t>s acumuladas</w:t>
            </w:r>
            <w:r w:rsidRPr="00112A89">
              <w:rPr>
                <w:rFonts w:ascii="Arial" w:eastAsia="Calibri" w:hAnsi="Arial" w:cs="Arial"/>
                <w:color w:val="000000" w:themeColor="text1"/>
                <w:sz w:val="22"/>
                <w:lang w:val="es-ES_tradnl"/>
              </w:rPr>
              <w:t xml:space="preserve"> # </w:t>
            </w:r>
            <w:r w:rsidR="00CD0815" w:rsidRPr="00112A89">
              <w:rPr>
                <w:rFonts w:ascii="Arial" w:eastAsia="Calibri" w:hAnsi="Arial" w:cs="Arial"/>
                <w:color w:val="000000" w:themeColor="text1"/>
                <w:sz w:val="22"/>
                <w:lang w:val="es-ES_tradnl"/>
              </w:rPr>
              <w:t>P20220411003625</w:t>
            </w:r>
            <w:r w:rsidR="008F135B" w:rsidRPr="00112A89">
              <w:rPr>
                <w:rFonts w:ascii="Arial" w:eastAsia="Calibri" w:hAnsi="Arial" w:cs="Arial"/>
                <w:color w:val="000000" w:themeColor="text1"/>
                <w:sz w:val="22"/>
                <w:lang w:val="es-ES_tradnl"/>
              </w:rPr>
              <w:t xml:space="preserve"> y P20220419003843</w:t>
            </w:r>
          </w:p>
        </w:tc>
      </w:tr>
    </w:tbl>
    <w:p w14:paraId="6DDA8985" w14:textId="77777777" w:rsidR="0013144A" w:rsidRPr="00D068F7" w:rsidRDefault="0013144A" w:rsidP="003C3339">
      <w:pPr>
        <w:jc w:val="both"/>
        <w:rPr>
          <w:rFonts w:ascii="Arial" w:eastAsia="Calibri" w:hAnsi="Arial" w:cs="Arial"/>
          <w:color w:val="000000" w:themeColor="text1"/>
          <w:sz w:val="22"/>
          <w:lang w:val="es-ES_tradnl"/>
        </w:rPr>
      </w:pPr>
    </w:p>
    <w:p w14:paraId="0CBF35D0" w14:textId="77777777" w:rsidR="0013144A" w:rsidRPr="00D068F7" w:rsidRDefault="0013144A" w:rsidP="003C3339">
      <w:pPr>
        <w:jc w:val="both"/>
        <w:rPr>
          <w:rFonts w:ascii="Arial" w:eastAsia="Calibri" w:hAnsi="Arial" w:cs="Arial"/>
          <w:color w:val="000000" w:themeColor="text1"/>
          <w:sz w:val="22"/>
          <w:lang w:val="es-ES_tradnl"/>
        </w:rPr>
      </w:pPr>
    </w:p>
    <w:p w14:paraId="1CF4AEA0" w14:textId="51FDB2BF" w:rsidR="003C3339" w:rsidRPr="00112A89" w:rsidRDefault="003C3339" w:rsidP="003C3339">
      <w:pPr>
        <w:jc w:val="both"/>
        <w:rPr>
          <w:rFonts w:ascii="Arial" w:eastAsia="Calibri" w:hAnsi="Arial" w:cs="Arial"/>
          <w:color w:val="000000" w:themeColor="text1"/>
          <w:sz w:val="22"/>
          <w:lang w:val="es-ES_tradnl"/>
        </w:rPr>
      </w:pPr>
      <w:r w:rsidRPr="00112A89">
        <w:rPr>
          <w:rFonts w:ascii="Arial" w:eastAsia="Calibri" w:hAnsi="Arial" w:cs="Arial"/>
          <w:color w:val="000000" w:themeColor="text1"/>
          <w:sz w:val="22"/>
          <w:lang w:val="es-ES_tradnl"/>
        </w:rPr>
        <w:t>Estimad</w:t>
      </w:r>
      <w:r w:rsidR="002822DA" w:rsidRPr="00112A89">
        <w:rPr>
          <w:rFonts w:ascii="Arial" w:eastAsia="Calibri" w:hAnsi="Arial" w:cs="Arial"/>
          <w:color w:val="000000" w:themeColor="text1"/>
          <w:sz w:val="22"/>
          <w:lang w:val="es-ES_tradnl"/>
        </w:rPr>
        <w:t>o</w:t>
      </w:r>
      <w:r w:rsidRPr="00112A89">
        <w:rPr>
          <w:rFonts w:ascii="Arial" w:eastAsia="Calibri" w:hAnsi="Arial" w:cs="Arial"/>
          <w:color w:val="000000" w:themeColor="text1"/>
          <w:sz w:val="22"/>
          <w:lang w:val="es-ES_tradnl"/>
        </w:rPr>
        <w:t xml:space="preserve"> </w:t>
      </w:r>
      <w:r w:rsidR="00677E9C" w:rsidRPr="00112A89">
        <w:rPr>
          <w:rFonts w:ascii="Arial" w:eastAsia="Calibri" w:hAnsi="Arial" w:cs="Arial"/>
          <w:color w:val="000000" w:themeColor="text1"/>
          <w:sz w:val="22"/>
          <w:lang w:val="es-ES_tradnl"/>
        </w:rPr>
        <w:t xml:space="preserve">señor </w:t>
      </w:r>
      <w:r w:rsidR="002822DA" w:rsidRPr="00112A89">
        <w:rPr>
          <w:rFonts w:ascii="Arial" w:eastAsia="Calibri" w:hAnsi="Arial" w:cs="Arial"/>
          <w:color w:val="000000" w:themeColor="text1"/>
          <w:sz w:val="22"/>
          <w:lang w:val="es-ES_tradnl"/>
        </w:rPr>
        <w:t>Corredor</w:t>
      </w:r>
      <w:r w:rsidRPr="00112A89">
        <w:rPr>
          <w:rFonts w:ascii="Arial" w:eastAsia="Calibri" w:hAnsi="Arial" w:cs="Arial"/>
          <w:color w:val="000000" w:themeColor="text1"/>
          <w:sz w:val="22"/>
          <w:lang w:val="es-ES_tradnl"/>
        </w:rPr>
        <w:t>:</w:t>
      </w:r>
    </w:p>
    <w:p w14:paraId="1EAE5543" w14:textId="77777777" w:rsidR="00DD5B04" w:rsidRPr="00112A89" w:rsidRDefault="00DD5B04" w:rsidP="00DF76A2">
      <w:pPr>
        <w:jc w:val="both"/>
        <w:rPr>
          <w:rFonts w:ascii="Arial" w:eastAsia="Calibri" w:hAnsi="Arial" w:cs="Arial"/>
          <w:color w:val="000000" w:themeColor="text1"/>
          <w:sz w:val="22"/>
          <w:lang w:val="es-ES_tradnl"/>
        </w:rPr>
      </w:pPr>
    </w:p>
    <w:p w14:paraId="2109B2D3" w14:textId="493EA02B" w:rsidR="00DD5B04" w:rsidRPr="00112A89" w:rsidRDefault="00DD5B04" w:rsidP="00DF76A2">
      <w:pPr>
        <w:spacing w:line="276" w:lineRule="auto"/>
        <w:jc w:val="both"/>
        <w:rPr>
          <w:rFonts w:ascii="Arial" w:eastAsia="Calibri" w:hAnsi="Arial" w:cs="Arial"/>
          <w:color w:val="000000" w:themeColor="text1"/>
          <w:sz w:val="22"/>
          <w:lang w:val="es-ES_tradnl"/>
        </w:rPr>
      </w:pPr>
      <w:r w:rsidRPr="00112A89">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112A89">
        <w:rPr>
          <w:rFonts w:ascii="Arial" w:eastAsia="Calibri" w:hAnsi="Arial" w:cs="Arial"/>
          <w:color w:val="000000" w:themeColor="text1"/>
          <w:sz w:val="22"/>
          <w:lang w:val="es-ES_tradnl"/>
        </w:rPr>
        <w:t xml:space="preserve"> </w:t>
      </w:r>
      <w:r w:rsidRPr="00112A89">
        <w:rPr>
          <w:rFonts w:ascii="Arial" w:eastAsia="Calibri" w:hAnsi="Arial" w:cs="Arial"/>
          <w:color w:val="000000" w:themeColor="text1"/>
          <w:sz w:val="22"/>
          <w:lang w:val="es-ES_tradnl"/>
        </w:rPr>
        <w:t xml:space="preserve">responde su consulta del </w:t>
      </w:r>
      <w:r w:rsidR="002822DA" w:rsidRPr="00112A89">
        <w:rPr>
          <w:rFonts w:ascii="Arial" w:eastAsia="Calibri" w:hAnsi="Arial" w:cs="Arial"/>
          <w:color w:val="000000" w:themeColor="text1"/>
          <w:sz w:val="22"/>
          <w:lang w:val="es-ES_tradnl"/>
        </w:rPr>
        <w:t>11 de abril</w:t>
      </w:r>
      <w:r w:rsidRPr="00112A89">
        <w:rPr>
          <w:rFonts w:ascii="Arial" w:eastAsia="Calibri" w:hAnsi="Arial" w:cs="Arial"/>
          <w:color w:val="000000" w:themeColor="text1"/>
          <w:sz w:val="22"/>
          <w:lang w:val="es-ES_tradnl"/>
        </w:rPr>
        <w:t xml:space="preserve"> de</w:t>
      </w:r>
      <w:r w:rsidR="007E74BF" w:rsidRPr="00112A89">
        <w:rPr>
          <w:rFonts w:ascii="Arial" w:eastAsia="Calibri" w:hAnsi="Arial" w:cs="Arial"/>
          <w:color w:val="000000" w:themeColor="text1"/>
          <w:sz w:val="22"/>
          <w:lang w:val="es-ES_tradnl"/>
        </w:rPr>
        <w:t xml:space="preserve"> </w:t>
      </w:r>
      <w:r w:rsidRPr="00112A89">
        <w:rPr>
          <w:rFonts w:ascii="Arial" w:eastAsia="Calibri" w:hAnsi="Arial" w:cs="Arial"/>
          <w:color w:val="000000" w:themeColor="text1"/>
          <w:sz w:val="22"/>
          <w:lang w:val="es-ES_tradnl"/>
        </w:rPr>
        <w:t>202</w:t>
      </w:r>
      <w:r w:rsidR="00154493" w:rsidRPr="00112A89">
        <w:rPr>
          <w:rFonts w:ascii="Arial" w:eastAsia="Calibri" w:hAnsi="Arial" w:cs="Arial"/>
          <w:color w:val="000000" w:themeColor="text1"/>
          <w:sz w:val="22"/>
          <w:lang w:val="es-ES_tradnl"/>
        </w:rPr>
        <w:t>2</w:t>
      </w:r>
      <w:r w:rsidR="008C3C57" w:rsidRPr="00112A89">
        <w:rPr>
          <w:rFonts w:ascii="Arial" w:eastAsia="Calibri" w:hAnsi="Arial" w:cs="Arial"/>
          <w:color w:val="000000" w:themeColor="text1"/>
          <w:sz w:val="22"/>
          <w:lang w:val="es-ES_tradnl"/>
        </w:rPr>
        <w:t>.</w:t>
      </w:r>
    </w:p>
    <w:p w14:paraId="0C1E0712" w14:textId="77777777" w:rsidR="00DD5B04" w:rsidRPr="00112A89"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112A89"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112A89">
        <w:rPr>
          <w:rFonts w:ascii="Arial" w:eastAsia="Calibri" w:hAnsi="Arial" w:cs="Arial"/>
          <w:b/>
          <w:color w:val="000000" w:themeColor="text1"/>
          <w:sz w:val="22"/>
          <w:lang w:val="es-ES_tradnl"/>
        </w:rPr>
        <w:t xml:space="preserve">Problema planteado </w:t>
      </w:r>
    </w:p>
    <w:p w14:paraId="224B43D3" w14:textId="77777777" w:rsidR="00DD5B04" w:rsidRPr="00112A89"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2FBA86D2" w:rsidR="00443B55" w:rsidRPr="00112A89" w:rsidRDefault="00207019" w:rsidP="0099583D">
      <w:pPr>
        <w:spacing w:line="276" w:lineRule="auto"/>
        <w:jc w:val="both"/>
        <w:rPr>
          <w:rFonts w:ascii="Arial" w:hAnsi="Arial" w:cs="Arial"/>
          <w:color w:val="000000" w:themeColor="text1"/>
          <w:sz w:val="22"/>
          <w:lang w:val="es-ES_tradnl"/>
        </w:rPr>
      </w:pPr>
      <w:r w:rsidRPr="00D068F7">
        <w:rPr>
          <w:rFonts w:ascii="Arial" w:hAnsi="Arial" w:cs="Arial"/>
          <w:color w:val="000000" w:themeColor="text1"/>
          <w:sz w:val="22"/>
          <w:lang w:val="es-ES_tradnl"/>
        </w:rPr>
        <w:lastRenderedPageBreak/>
        <w:t>S</w:t>
      </w:r>
      <w:r w:rsidR="005E3164" w:rsidRPr="00112A89">
        <w:rPr>
          <w:rFonts w:ascii="Arial" w:hAnsi="Arial" w:cs="Arial"/>
          <w:color w:val="000000" w:themeColor="text1"/>
          <w:sz w:val="22"/>
          <w:lang w:val="es-ES_tradnl"/>
        </w:rPr>
        <w:t>obre</w:t>
      </w:r>
      <w:r w:rsidR="0054285A" w:rsidRPr="00112A89">
        <w:rPr>
          <w:rFonts w:ascii="Arial" w:hAnsi="Arial" w:cs="Arial"/>
          <w:color w:val="000000" w:themeColor="text1"/>
          <w:sz w:val="22"/>
          <w:lang w:val="es-ES_tradnl"/>
        </w:rPr>
        <w:t xml:space="preserve"> </w:t>
      </w:r>
      <w:r w:rsidR="000471B6" w:rsidRPr="00112A89">
        <w:rPr>
          <w:rFonts w:ascii="Arial" w:hAnsi="Arial" w:cs="Arial"/>
          <w:color w:val="000000" w:themeColor="text1"/>
          <w:sz w:val="22"/>
          <w:lang w:val="es-ES_tradnl"/>
        </w:rPr>
        <w:t xml:space="preserve">el artículo </w:t>
      </w:r>
      <w:r w:rsidR="00C923D5" w:rsidRPr="00112A89">
        <w:rPr>
          <w:rFonts w:ascii="Arial" w:hAnsi="Arial" w:cs="Arial"/>
          <w:color w:val="000000" w:themeColor="text1"/>
          <w:sz w:val="22"/>
          <w:lang w:val="es-ES_tradnl"/>
        </w:rPr>
        <w:t>95 de la Ley 2166 de 2021</w:t>
      </w:r>
      <w:r w:rsidR="008D2668" w:rsidRPr="00112A89">
        <w:rPr>
          <w:rFonts w:ascii="Arial" w:hAnsi="Arial" w:cs="Arial"/>
          <w:color w:val="000000" w:themeColor="text1"/>
          <w:sz w:val="22"/>
          <w:lang w:val="es-ES_tradnl"/>
        </w:rPr>
        <w:t xml:space="preserve"> y </w:t>
      </w:r>
      <w:r w:rsidR="00C923D5" w:rsidRPr="00112A89">
        <w:rPr>
          <w:rFonts w:ascii="Arial" w:hAnsi="Arial" w:cs="Arial"/>
          <w:color w:val="000000" w:themeColor="text1"/>
          <w:sz w:val="22"/>
          <w:lang w:val="es-ES_tradnl"/>
        </w:rPr>
        <w:t xml:space="preserve">el artículo </w:t>
      </w:r>
      <w:r w:rsidR="008D2668" w:rsidRPr="00112A89">
        <w:rPr>
          <w:rFonts w:ascii="Arial" w:hAnsi="Arial" w:cs="Arial"/>
          <w:color w:val="000000" w:themeColor="text1"/>
          <w:sz w:val="22"/>
          <w:lang w:val="es-ES_tradnl"/>
        </w:rPr>
        <w:t xml:space="preserve">56 </w:t>
      </w:r>
      <w:r w:rsidR="001E34BD" w:rsidRPr="00112A89">
        <w:rPr>
          <w:rFonts w:ascii="Arial" w:hAnsi="Arial" w:cs="Arial"/>
          <w:color w:val="000000" w:themeColor="text1"/>
          <w:sz w:val="22"/>
          <w:lang w:val="es-ES_tradnl"/>
        </w:rPr>
        <w:t>de la Ley 2195 de 2022</w:t>
      </w:r>
      <w:r w:rsidRPr="00D068F7">
        <w:rPr>
          <w:rFonts w:ascii="Arial" w:hAnsi="Arial" w:cs="Arial"/>
          <w:color w:val="000000" w:themeColor="text1"/>
          <w:sz w:val="22"/>
          <w:lang w:val="es-ES_tradnl"/>
        </w:rPr>
        <w:t>, usted realiza las siguientes preguntas</w:t>
      </w:r>
      <w:r w:rsidR="000314BD" w:rsidRPr="00112A89">
        <w:rPr>
          <w:rFonts w:ascii="Arial" w:hAnsi="Arial" w:cs="Arial"/>
          <w:color w:val="000000" w:themeColor="text1"/>
          <w:sz w:val="22"/>
          <w:lang w:val="es-ES_tradnl"/>
        </w:rPr>
        <w:t>:</w:t>
      </w:r>
      <w:r w:rsidR="007E18DF" w:rsidRPr="00112A89">
        <w:rPr>
          <w:rFonts w:ascii="Arial" w:hAnsi="Arial" w:cs="Arial"/>
          <w:color w:val="000000" w:themeColor="text1"/>
          <w:sz w:val="22"/>
          <w:lang w:val="es-ES_tradnl"/>
        </w:rPr>
        <w:t xml:space="preserve"> </w:t>
      </w:r>
    </w:p>
    <w:p w14:paraId="559EE20C" w14:textId="77777777" w:rsidR="00443B55" w:rsidRPr="00112A89" w:rsidRDefault="00443B55" w:rsidP="0099583D">
      <w:pPr>
        <w:spacing w:line="276" w:lineRule="auto"/>
        <w:jc w:val="both"/>
        <w:rPr>
          <w:rFonts w:ascii="Arial" w:hAnsi="Arial" w:cs="Arial"/>
          <w:color w:val="000000" w:themeColor="text1"/>
          <w:sz w:val="22"/>
          <w:lang w:val="es-ES_tradnl"/>
        </w:rPr>
      </w:pPr>
    </w:p>
    <w:p w14:paraId="0DC03272" w14:textId="3D2640BE" w:rsidR="00DB6009" w:rsidRPr="00112A89" w:rsidRDefault="00145075" w:rsidP="00244869">
      <w:pPr>
        <w:ind w:left="709" w:right="709"/>
        <w:jc w:val="both"/>
        <w:rPr>
          <w:rFonts w:ascii="Arial" w:hAnsi="Arial" w:cs="Arial"/>
          <w:color w:val="000000" w:themeColor="text1"/>
          <w:sz w:val="21"/>
          <w:szCs w:val="21"/>
          <w:lang w:val="es-ES_tradnl"/>
        </w:rPr>
      </w:pPr>
      <w:r w:rsidRPr="00112A89">
        <w:rPr>
          <w:rFonts w:ascii="Arial" w:hAnsi="Arial" w:cs="Arial"/>
          <w:color w:val="000000" w:themeColor="text1"/>
          <w:sz w:val="21"/>
          <w:szCs w:val="21"/>
          <w:lang w:val="es-ES_tradnl"/>
        </w:rPr>
        <w:t>«</w:t>
      </w:r>
      <w:r w:rsidR="008D6D29" w:rsidRPr="00112A89">
        <w:rPr>
          <w:rFonts w:ascii="Arial" w:hAnsi="Arial" w:cs="Arial"/>
          <w:color w:val="000000" w:themeColor="text1"/>
          <w:sz w:val="21"/>
          <w:szCs w:val="21"/>
          <w:lang w:val="es-ES_tradnl"/>
        </w:rPr>
        <w:t xml:space="preserve">1. El </w:t>
      </w:r>
      <w:r w:rsidR="00AD586D" w:rsidRPr="00112A89">
        <w:rPr>
          <w:rFonts w:ascii="Arial" w:hAnsi="Arial" w:cs="Arial"/>
          <w:color w:val="000000" w:themeColor="text1"/>
          <w:sz w:val="21"/>
          <w:szCs w:val="21"/>
          <w:lang w:val="es-ES_tradnl"/>
        </w:rPr>
        <w:t>artículo</w:t>
      </w:r>
      <w:r w:rsidR="008D6D29" w:rsidRPr="00112A89">
        <w:rPr>
          <w:rFonts w:ascii="Arial" w:hAnsi="Arial" w:cs="Arial"/>
          <w:color w:val="000000" w:themeColor="text1"/>
          <w:sz w:val="21"/>
          <w:szCs w:val="21"/>
          <w:lang w:val="es-ES_tradnl"/>
        </w:rPr>
        <w:t xml:space="preserve"> 95 de la Ley 2166 de 2021 se refiere de manera indiscriminada a las entidades del orden Nacional y las entidades territoriales, como entidades territoriales.</w:t>
      </w:r>
      <w:r w:rsidR="00AD586D" w:rsidRPr="00112A89">
        <w:rPr>
          <w:rFonts w:ascii="Arial" w:hAnsi="Arial" w:cs="Arial"/>
          <w:color w:val="000000" w:themeColor="text1"/>
          <w:sz w:val="21"/>
          <w:szCs w:val="21"/>
          <w:lang w:val="es-ES_tradnl"/>
        </w:rPr>
        <w:t xml:space="preserve"> […]</w:t>
      </w:r>
    </w:p>
    <w:p w14:paraId="0F13434A" w14:textId="710930B7" w:rsidR="00145075" w:rsidRPr="00112A89" w:rsidRDefault="00145075" w:rsidP="00244869">
      <w:pPr>
        <w:ind w:left="709" w:right="709"/>
        <w:jc w:val="both"/>
        <w:rPr>
          <w:rFonts w:ascii="Arial" w:hAnsi="Arial" w:cs="Arial"/>
          <w:color w:val="000000" w:themeColor="text1"/>
          <w:sz w:val="21"/>
          <w:szCs w:val="21"/>
          <w:lang w:val="es-ES_tradnl"/>
        </w:rPr>
      </w:pPr>
    </w:p>
    <w:p w14:paraId="089EDD96" w14:textId="7F8E7E54" w:rsidR="00145075" w:rsidRPr="00112A89" w:rsidRDefault="00145075" w:rsidP="00244869">
      <w:pPr>
        <w:ind w:left="709" w:right="709"/>
        <w:jc w:val="both"/>
        <w:rPr>
          <w:rFonts w:ascii="Arial" w:hAnsi="Arial" w:cs="Arial"/>
          <w:color w:val="000000" w:themeColor="text1"/>
          <w:sz w:val="21"/>
          <w:szCs w:val="21"/>
          <w:lang w:val="es-ES_tradnl"/>
        </w:rPr>
      </w:pPr>
      <w:r w:rsidRPr="00112A89">
        <w:rPr>
          <w:rFonts w:ascii="Arial" w:hAnsi="Arial" w:cs="Arial"/>
          <w:color w:val="000000" w:themeColor="text1"/>
          <w:sz w:val="21"/>
          <w:szCs w:val="21"/>
          <w:lang w:val="es-ES_tradnl"/>
        </w:rPr>
        <w:t>»[…]</w:t>
      </w:r>
    </w:p>
    <w:p w14:paraId="732779A0" w14:textId="3CC80ACC" w:rsidR="00145075" w:rsidRPr="00112A89" w:rsidRDefault="00145075" w:rsidP="00244869">
      <w:pPr>
        <w:ind w:left="709" w:right="709"/>
        <w:jc w:val="both"/>
        <w:rPr>
          <w:rFonts w:ascii="Arial" w:hAnsi="Arial" w:cs="Arial"/>
          <w:color w:val="000000" w:themeColor="text1"/>
          <w:sz w:val="21"/>
          <w:szCs w:val="21"/>
          <w:lang w:val="es-ES_tradnl"/>
        </w:rPr>
      </w:pPr>
      <w:proofErr w:type="gramStart"/>
      <w:r w:rsidRPr="00112A89">
        <w:rPr>
          <w:rFonts w:ascii="Arial" w:hAnsi="Arial" w:cs="Arial"/>
          <w:color w:val="000000" w:themeColor="text1"/>
          <w:sz w:val="21"/>
          <w:szCs w:val="21"/>
          <w:lang w:val="es-ES_tradnl"/>
        </w:rPr>
        <w:t>»En</w:t>
      </w:r>
      <w:proofErr w:type="gramEnd"/>
      <w:r w:rsidRPr="00112A89">
        <w:rPr>
          <w:rFonts w:ascii="Arial" w:hAnsi="Arial" w:cs="Arial"/>
          <w:color w:val="000000" w:themeColor="text1"/>
          <w:sz w:val="21"/>
          <w:szCs w:val="21"/>
          <w:lang w:val="es-ES_tradnl"/>
        </w:rPr>
        <w:t xml:space="preserve"> este sentido, y dado que el inciso primero de la norma incluye dentro de la categoría de entes territoriales a las entidades del orden Nacional, ¿Debe entenderse que lo dispuesto en los parágrafos 1 y 2 del artículo 95 de la Ley 2166 de 2021, también son aplicables a los Convenios Solidarios que suscriban las entidades del orden Nacional?</w:t>
      </w:r>
    </w:p>
    <w:p w14:paraId="63F8571B" w14:textId="77777777" w:rsidR="009F21A0" w:rsidRPr="00112A89" w:rsidRDefault="009F21A0" w:rsidP="009F21A0">
      <w:pPr>
        <w:ind w:left="709" w:right="709"/>
        <w:jc w:val="both"/>
        <w:rPr>
          <w:rFonts w:ascii="Arial" w:hAnsi="Arial" w:cs="Arial"/>
          <w:color w:val="000000" w:themeColor="text1"/>
          <w:sz w:val="21"/>
          <w:szCs w:val="21"/>
          <w:lang w:val="es-ES_tradnl"/>
        </w:rPr>
      </w:pPr>
    </w:p>
    <w:p w14:paraId="193173CA" w14:textId="6E9BA43B" w:rsidR="009F21A0" w:rsidRPr="00112A89" w:rsidRDefault="009F21A0" w:rsidP="009F21A0">
      <w:pPr>
        <w:ind w:left="709" w:right="709"/>
        <w:jc w:val="both"/>
        <w:rPr>
          <w:rFonts w:ascii="Arial" w:hAnsi="Arial" w:cs="Arial"/>
          <w:color w:val="000000" w:themeColor="text1"/>
          <w:sz w:val="21"/>
          <w:szCs w:val="21"/>
          <w:lang w:val="es-ES_tradnl"/>
        </w:rPr>
      </w:pPr>
      <w:r w:rsidRPr="00112A89">
        <w:rPr>
          <w:rFonts w:ascii="Arial" w:hAnsi="Arial" w:cs="Arial"/>
          <w:color w:val="000000" w:themeColor="text1"/>
          <w:sz w:val="21"/>
          <w:szCs w:val="21"/>
          <w:lang w:val="es-ES_tradnl"/>
        </w:rPr>
        <w:t>»2. El artículo 56 de la Ley 2195 de 2022 se titula “Aplicación de los documentos tipo a entidades de régimen especial”, sin embargo, de la lectura del cuerpo del artículo se puede interpretar que la sujeción a los documentos tipo va más allá́ de lo indicado en el título, al generar una sujeción a los documentos tipo no solo a las entidades de régimen especial de contratación, sino también de las personas naturales y jurídicas de derecho privado, que suscriban contratos o convenios interadministrativos o de cualquier otra índole con entidades sometidas al Estatuto General de Contratación de la Administración Pública, y cuyo objeto sea la adquisición de bienes, obras o servicios.</w:t>
      </w:r>
    </w:p>
    <w:p w14:paraId="341D99A2" w14:textId="77777777" w:rsidR="009F21A0" w:rsidRPr="00112A89" w:rsidRDefault="009F21A0" w:rsidP="009F21A0">
      <w:pPr>
        <w:ind w:left="709" w:right="709"/>
        <w:jc w:val="both"/>
        <w:rPr>
          <w:rFonts w:ascii="Arial" w:hAnsi="Arial" w:cs="Arial"/>
          <w:color w:val="000000" w:themeColor="text1"/>
          <w:sz w:val="21"/>
          <w:szCs w:val="21"/>
          <w:lang w:val="es-ES_tradnl"/>
        </w:rPr>
      </w:pPr>
    </w:p>
    <w:p w14:paraId="1933CD80" w14:textId="2306ED2E" w:rsidR="009F21A0" w:rsidRPr="00112A89" w:rsidRDefault="005731ED" w:rsidP="009F21A0">
      <w:pPr>
        <w:ind w:left="709" w:right="709"/>
        <w:jc w:val="both"/>
        <w:rPr>
          <w:rFonts w:ascii="Arial" w:hAnsi="Arial" w:cs="Arial"/>
          <w:color w:val="000000" w:themeColor="text1"/>
          <w:sz w:val="21"/>
          <w:szCs w:val="21"/>
          <w:lang w:val="es-ES_tradnl"/>
        </w:rPr>
      </w:pPr>
      <w:proofErr w:type="gramStart"/>
      <w:r w:rsidRPr="00112A89">
        <w:rPr>
          <w:rFonts w:ascii="Arial" w:hAnsi="Arial" w:cs="Arial"/>
          <w:color w:val="000000" w:themeColor="text1"/>
          <w:sz w:val="21"/>
          <w:szCs w:val="21"/>
          <w:lang w:val="es-ES_tradnl"/>
        </w:rPr>
        <w:t>»</w:t>
      </w:r>
      <w:r w:rsidR="009F21A0" w:rsidRPr="00112A89">
        <w:rPr>
          <w:rFonts w:ascii="Arial" w:hAnsi="Arial" w:cs="Arial"/>
          <w:color w:val="000000" w:themeColor="text1"/>
          <w:sz w:val="21"/>
          <w:szCs w:val="21"/>
          <w:lang w:val="es-ES_tradnl"/>
        </w:rPr>
        <w:t>Adicionalmente</w:t>
      </w:r>
      <w:proofErr w:type="gramEnd"/>
      <w:r w:rsidR="009F21A0" w:rsidRPr="00112A89">
        <w:rPr>
          <w:rFonts w:ascii="Arial" w:hAnsi="Arial" w:cs="Arial"/>
          <w:color w:val="000000" w:themeColor="text1"/>
          <w:sz w:val="21"/>
          <w:szCs w:val="21"/>
          <w:lang w:val="es-ES_tradnl"/>
        </w:rPr>
        <w:t>, de la lectura del inciso segundo de la norma en comento, no queda claro si la contratación derivada de los contratos y convenios arriba descritos, estaría sujeta al Estatuto General de Contratación de la Administración Pública, o si se aplicaría el régimen derivado de la naturaleza del quien suscribe el convenio con la entidad sometida a ese estatuto.</w:t>
      </w:r>
    </w:p>
    <w:p w14:paraId="6788049C" w14:textId="77777777" w:rsidR="009F21A0" w:rsidRPr="00112A89" w:rsidRDefault="009F21A0" w:rsidP="009F21A0">
      <w:pPr>
        <w:ind w:left="709" w:right="709"/>
        <w:jc w:val="both"/>
        <w:rPr>
          <w:rFonts w:ascii="Arial" w:hAnsi="Arial" w:cs="Arial"/>
          <w:color w:val="000000" w:themeColor="text1"/>
          <w:sz w:val="21"/>
          <w:szCs w:val="21"/>
          <w:lang w:val="es-ES_tradnl"/>
        </w:rPr>
      </w:pPr>
    </w:p>
    <w:p w14:paraId="735F550E" w14:textId="5BC5CFAE" w:rsidR="009F21A0" w:rsidRPr="00112A89" w:rsidRDefault="005731ED" w:rsidP="009F21A0">
      <w:pPr>
        <w:ind w:left="709" w:right="709"/>
        <w:jc w:val="both"/>
        <w:rPr>
          <w:rFonts w:ascii="Arial" w:hAnsi="Arial" w:cs="Arial"/>
          <w:color w:val="000000" w:themeColor="text1"/>
          <w:sz w:val="21"/>
          <w:szCs w:val="21"/>
          <w:lang w:val="es-ES_tradnl"/>
        </w:rPr>
      </w:pPr>
      <w:proofErr w:type="gramStart"/>
      <w:r w:rsidRPr="00112A89">
        <w:rPr>
          <w:rFonts w:ascii="Arial" w:hAnsi="Arial" w:cs="Arial"/>
          <w:color w:val="000000" w:themeColor="text1"/>
          <w:sz w:val="21"/>
          <w:szCs w:val="21"/>
          <w:lang w:val="es-ES_tradnl"/>
        </w:rPr>
        <w:t>»</w:t>
      </w:r>
      <w:r w:rsidR="009F21A0" w:rsidRPr="00112A89">
        <w:rPr>
          <w:rFonts w:ascii="Arial" w:hAnsi="Arial" w:cs="Arial"/>
          <w:color w:val="000000" w:themeColor="text1"/>
          <w:sz w:val="21"/>
          <w:szCs w:val="21"/>
          <w:lang w:val="es-ES_tradnl"/>
        </w:rPr>
        <w:t>Conforme</w:t>
      </w:r>
      <w:proofErr w:type="gramEnd"/>
      <w:r w:rsidR="009F21A0" w:rsidRPr="00112A89">
        <w:rPr>
          <w:rFonts w:ascii="Arial" w:hAnsi="Arial" w:cs="Arial"/>
          <w:color w:val="000000" w:themeColor="text1"/>
          <w:sz w:val="21"/>
          <w:szCs w:val="21"/>
          <w:lang w:val="es-ES_tradnl"/>
        </w:rPr>
        <w:t xml:space="preserve"> lo anterior, se pregunta el Instituto si:</w:t>
      </w:r>
    </w:p>
    <w:p w14:paraId="0CDD78A3" w14:textId="77777777" w:rsidR="009F21A0" w:rsidRPr="00112A89" w:rsidRDefault="009F21A0" w:rsidP="009F21A0">
      <w:pPr>
        <w:ind w:left="709" w:right="709"/>
        <w:jc w:val="both"/>
        <w:rPr>
          <w:rFonts w:ascii="Arial" w:hAnsi="Arial" w:cs="Arial"/>
          <w:color w:val="000000" w:themeColor="text1"/>
          <w:sz w:val="21"/>
          <w:szCs w:val="21"/>
          <w:lang w:val="es-ES_tradnl"/>
        </w:rPr>
      </w:pPr>
    </w:p>
    <w:p w14:paraId="2B4EE4B6" w14:textId="02B4B5EA" w:rsidR="009F21A0" w:rsidRPr="00112A89" w:rsidRDefault="005731ED" w:rsidP="009F21A0">
      <w:pPr>
        <w:ind w:left="709" w:right="709"/>
        <w:jc w:val="both"/>
        <w:rPr>
          <w:rFonts w:ascii="Arial" w:hAnsi="Arial" w:cs="Arial"/>
          <w:color w:val="000000" w:themeColor="text1"/>
          <w:sz w:val="21"/>
          <w:szCs w:val="21"/>
          <w:lang w:val="es-ES_tradnl"/>
        </w:rPr>
      </w:pPr>
      <w:proofErr w:type="gramStart"/>
      <w:r w:rsidRPr="00112A89">
        <w:rPr>
          <w:rFonts w:ascii="Arial" w:hAnsi="Arial" w:cs="Arial"/>
          <w:color w:val="000000" w:themeColor="text1"/>
          <w:sz w:val="21"/>
          <w:szCs w:val="21"/>
          <w:lang w:val="es-ES_tradnl"/>
        </w:rPr>
        <w:t>»</w:t>
      </w:r>
      <w:r w:rsidR="009F21A0" w:rsidRPr="00112A89">
        <w:rPr>
          <w:rFonts w:ascii="Arial" w:hAnsi="Arial" w:cs="Arial"/>
          <w:color w:val="000000" w:themeColor="text1"/>
          <w:sz w:val="21"/>
          <w:szCs w:val="21"/>
          <w:lang w:val="es-ES_tradnl"/>
        </w:rPr>
        <w:t>a.</w:t>
      </w:r>
      <w:proofErr w:type="gramEnd"/>
      <w:r w:rsidRPr="00112A89">
        <w:rPr>
          <w:rFonts w:ascii="Arial" w:hAnsi="Arial" w:cs="Arial"/>
          <w:color w:val="000000" w:themeColor="text1"/>
          <w:sz w:val="21"/>
          <w:szCs w:val="21"/>
          <w:lang w:val="es-ES_tradnl"/>
        </w:rPr>
        <w:t xml:space="preserve"> </w:t>
      </w:r>
      <w:r w:rsidR="009F21A0" w:rsidRPr="00112A89">
        <w:rPr>
          <w:rFonts w:ascii="Arial" w:hAnsi="Arial" w:cs="Arial"/>
          <w:color w:val="000000" w:themeColor="text1"/>
          <w:sz w:val="21"/>
          <w:szCs w:val="21"/>
          <w:lang w:val="es-ES_tradnl"/>
        </w:rPr>
        <w:t>¿Al ser los Convenios Solidarios, convenios suscritos entre una entidad sometida al Estatuto General de Contratación de la Administración Pública y un organismo de naturaleza solidaria cuyo régimen de contratación es de derecho privado, les son aplicables las disipaciones</w:t>
      </w:r>
      <w:r w:rsidR="00B547B1" w:rsidRPr="00112A89">
        <w:rPr>
          <w:rFonts w:ascii="Arial" w:hAnsi="Arial" w:cs="Arial"/>
          <w:color w:val="000000" w:themeColor="text1"/>
          <w:sz w:val="21"/>
          <w:szCs w:val="21"/>
          <w:lang w:val="es-ES_tradnl"/>
        </w:rPr>
        <w:t xml:space="preserve"> (sic)</w:t>
      </w:r>
      <w:r w:rsidR="009F21A0" w:rsidRPr="00112A89">
        <w:rPr>
          <w:rFonts w:ascii="Arial" w:hAnsi="Arial" w:cs="Arial"/>
          <w:color w:val="000000" w:themeColor="text1"/>
          <w:sz w:val="21"/>
          <w:szCs w:val="21"/>
          <w:lang w:val="es-ES_tradnl"/>
        </w:rPr>
        <w:t xml:space="preserve"> del artículo 56 de la Ley 2195 de 2022?</w:t>
      </w:r>
    </w:p>
    <w:p w14:paraId="312DA176" w14:textId="77777777" w:rsidR="009F21A0" w:rsidRPr="00112A89" w:rsidRDefault="009F21A0" w:rsidP="009F21A0">
      <w:pPr>
        <w:ind w:left="709" w:right="709"/>
        <w:jc w:val="both"/>
        <w:rPr>
          <w:rFonts w:ascii="Arial" w:hAnsi="Arial" w:cs="Arial"/>
          <w:color w:val="000000" w:themeColor="text1"/>
          <w:sz w:val="21"/>
          <w:szCs w:val="21"/>
          <w:lang w:val="es-ES_tradnl"/>
        </w:rPr>
      </w:pPr>
    </w:p>
    <w:p w14:paraId="0CA8DFE1" w14:textId="5EBAAE11" w:rsidR="009F21A0" w:rsidRPr="00112A89" w:rsidRDefault="005731ED" w:rsidP="009F21A0">
      <w:pPr>
        <w:ind w:left="709" w:right="709"/>
        <w:jc w:val="both"/>
        <w:rPr>
          <w:rFonts w:ascii="Arial" w:hAnsi="Arial" w:cs="Arial"/>
          <w:color w:val="000000" w:themeColor="text1"/>
          <w:sz w:val="21"/>
          <w:szCs w:val="21"/>
          <w:lang w:val="es-ES_tradnl"/>
        </w:rPr>
      </w:pPr>
      <w:proofErr w:type="gramStart"/>
      <w:r w:rsidRPr="00112A89">
        <w:rPr>
          <w:rFonts w:ascii="Arial" w:hAnsi="Arial" w:cs="Arial"/>
          <w:color w:val="000000" w:themeColor="text1"/>
          <w:sz w:val="21"/>
          <w:szCs w:val="21"/>
          <w:lang w:val="es-ES_tradnl"/>
        </w:rPr>
        <w:t>»</w:t>
      </w:r>
      <w:r w:rsidR="009F21A0" w:rsidRPr="00112A89">
        <w:rPr>
          <w:rFonts w:ascii="Arial" w:hAnsi="Arial" w:cs="Arial"/>
          <w:color w:val="000000" w:themeColor="text1"/>
          <w:sz w:val="21"/>
          <w:szCs w:val="21"/>
          <w:lang w:val="es-ES_tradnl"/>
        </w:rPr>
        <w:t>b.</w:t>
      </w:r>
      <w:proofErr w:type="gramEnd"/>
      <w:r w:rsidR="009F21A0" w:rsidRPr="00112A89">
        <w:rPr>
          <w:rFonts w:ascii="Arial" w:hAnsi="Arial" w:cs="Arial"/>
          <w:color w:val="000000" w:themeColor="text1"/>
          <w:sz w:val="21"/>
          <w:szCs w:val="21"/>
          <w:lang w:val="es-ES_tradnl"/>
        </w:rPr>
        <w:t xml:space="preserve"> De ser afirmativa la respuesta a la pregunta anterior, ¿El artículo 56 de la Ley 2195 de 2022 implica la obligatoriedad de uso de Documentos Tipo para la suscripción de Convenios Solidarios?</w:t>
      </w:r>
    </w:p>
    <w:p w14:paraId="113EA74F" w14:textId="77777777" w:rsidR="009F21A0" w:rsidRPr="00112A89" w:rsidRDefault="009F21A0" w:rsidP="009F21A0">
      <w:pPr>
        <w:ind w:left="709" w:right="709"/>
        <w:jc w:val="both"/>
        <w:rPr>
          <w:rFonts w:ascii="Arial" w:hAnsi="Arial" w:cs="Arial"/>
          <w:color w:val="000000" w:themeColor="text1"/>
          <w:sz w:val="21"/>
          <w:szCs w:val="21"/>
          <w:lang w:val="es-ES_tradnl"/>
        </w:rPr>
      </w:pPr>
    </w:p>
    <w:p w14:paraId="64A75F76" w14:textId="3AB49D5D" w:rsidR="003B0688" w:rsidRPr="00112A89" w:rsidRDefault="005731ED" w:rsidP="003B0688">
      <w:pPr>
        <w:ind w:left="709" w:right="709"/>
        <w:jc w:val="both"/>
        <w:rPr>
          <w:rFonts w:ascii="Arial" w:hAnsi="Arial" w:cs="Arial"/>
          <w:color w:val="000000" w:themeColor="text1"/>
          <w:sz w:val="21"/>
          <w:szCs w:val="21"/>
          <w:lang w:val="es-ES_tradnl"/>
        </w:rPr>
      </w:pPr>
      <w:proofErr w:type="gramStart"/>
      <w:r w:rsidRPr="00112A89">
        <w:rPr>
          <w:rFonts w:ascii="Arial" w:hAnsi="Arial" w:cs="Arial"/>
          <w:color w:val="000000" w:themeColor="text1"/>
          <w:sz w:val="21"/>
          <w:szCs w:val="21"/>
          <w:lang w:val="es-ES_tradnl"/>
        </w:rPr>
        <w:t>»</w:t>
      </w:r>
      <w:r w:rsidR="009F21A0" w:rsidRPr="00112A89">
        <w:rPr>
          <w:rFonts w:ascii="Arial" w:hAnsi="Arial" w:cs="Arial"/>
          <w:color w:val="000000" w:themeColor="text1"/>
          <w:sz w:val="21"/>
          <w:szCs w:val="21"/>
          <w:lang w:val="es-ES_tradnl"/>
        </w:rPr>
        <w:t>c.</w:t>
      </w:r>
      <w:proofErr w:type="gramEnd"/>
      <w:r w:rsidR="009F21A0" w:rsidRPr="00112A89">
        <w:rPr>
          <w:rFonts w:ascii="Arial" w:hAnsi="Arial" w:cs="Arial"/>
          <w:color w:val="000000" w:themeColor="text1"/>
          <w:sz w:val="21"/>
          <w:szCs w:val="21"/>
          <w:lang w:val="es-ES_tradnl"/>
        </w:rPr>
        <w:t xml:space="preserve"> ¿Lo dispuesto en el inciso segundo del artículo 56 de la Ley 2195 de 2022 implica que el Organismo de Acción Comunal con el que se suscriba un Convenio Solidario por parte de una entidad pública del</w:t>
      </w:r>
      <w:r w:rsidR="003B0688" w:rsidRPr="00112A89">
        <w:rPr>
          <w:rFonts w:ascii="Arial" w:hAnsi="Arial" w:cs="Arial"/>
          <w:color w:val="000000" w:themeColor="text1"/>
          <w:sz w:val="21"/>
          <w:szCs w:val="21"/>
          <w:lang w:val="es-ES_tradnl"/>
        </w:rPr>
        <w:t xml:space="preserve"> orden Nacional sometida al Estatuto General de Contratación de la Administración Pública, debe contratar las obras objeto del Convenio Solidario aplicando las disposiciones del Estatuto General de </w:t>
      </w:r>
      <w:r w:rsidRPr="00112A89">
        <w:rPr>
          <w:rFonts w:ascii="Arial" w:hAnsi="Arial" w:cs="Arial"/>
          <w:color w:val="000000" w:themeColor="text1"/>
          <w:sz w:val="21"/>
          <w:szCs w:val="21"/>
          <w:lang w:val="es-ES_tradnl"/>
        </w:rPr>
        <w:t>Contratación</w:t>
      </w:r>
      <w:r w:rsidR="003B0688" w:rsidRPr="00112A89">
        <w:rPr>
          <w:rFonts w:ascii="Arial" w:hAnsi="Arial" w:cs="Arial"/>
          <w:color w:val="000000" w:themeColor="text1"/>
          <w:sz w:val="21"/>
          <w:szCs w:val="21"/>
          <w:lang w:val="es-ES_tradnl"/>
        </w:rPr>
        <w:t xml:space="preserve"> de la </w:t>
      </w:r>
      <w:r w:rsidRPr="00112A89">
        <w:rPr>
          <w:rFonts w:ascii="Arial" w:hAnsi="Arial" w:cs="Arial"/>
          <w:color w:val="000000" w:themeColor="text1"/>
          <w:sz w:val="21"/>
          <w:szCs w:val="21"/>
          <w:lang w:val="es-ES_tradnl"/>
        </w:rPr>
        <w:t>Administración</w:t>
      </w:r>
      <w:r w:rsidR="003B0688" w:rsidRPr="00112A89">
        <w:rPr>
          <w:rFonts w:ascii="Arial" w:hAnsi="Arial" w:cs="Arial"/>
          <w:color w:val="000000" w:themeColor="text1"/>
          <w:sz w:val="21"/>
          <w:szCs w:val="21"/>
          <w:lang w:val="es-ES_tradnl"/>
        </w:rPr>
        <w:t>?</w:t>
      </w:r>
    </w:p>
    <w:p w14:paraId="3FF80B2E" w14:textId="77777777" w:rsidR="003B0688" w:rsidRPr="00112A89" w:rsidRDefault="003B0688" w:rsidP="003B0688">
      <w:pPr>
        <w:ind w:left="709" w:right="709"/>
        <w:jc w:val="both"/>
        <w:rPr>
          <w:rFonts w:ascii="Arial" w:hAnsi="Arial" w:cs="Arial"/>
          <w:color w:val="000000" w:themeColor="text1"/>
          <w:sz w:val="21"/>
          <w:szCs w:val="21"/>
          <w:lang w:val="es-ES_tradnl"/>
        </w:rPr>
      </w:pPr>
    </w:p>
    <w:p w14:paraId="61531B5C" w14:textId="5668D69A" w:rsidR="00145075" w:rsidRPr="00112A89" w:rsidRDefault="005731ED" w:rsidP="003B0688">
      <w:pPr>
        <w:ind w:left="709" w:right="709"/>
        <w:jc w:val="both"/>
        <w:rPr>
          <w:rFonts w:ascii="Arial" w:hAnsi="Arial" w:cs="Arial"/>
          <w:color w:val="000000" w:themeColor="text1"/>
          <w:sz w:val="21"/>
          <w:szCs w:val="21"/>
          <w:lang w:val="es-ES_tradnl"/>
        </w:rPr>
      </w:pPr>
      <w:proofErr w:type="gramStart"/>
      <w:r w:rsidRPr="00112A89">
        <w:rPr>
          <w:rFonts w:ascii="Arial" w:hAnsi="Arial" w:cs="Arial"/>
          <w:color w:val="000000" w:themeColor="text1"/>
          <w:sz w:val="21"/>
          <w:szCs w:val="21"/>
          <w:lang w:val="es-ES_tradnl"/>
        </w:rPr>
        <w:t>»</w:t>
      </w:r>
      <w:r w:rsidR="003B0688" w:rsidRPr="00112A89">
        <w:rPr>
          <w:rFonts w:ascii="Arial" w:hAnsi="Arial" w:cs="Arial"/>
          <w:color w:val="000000" w:themeColor="text1"/>
          <w:sz w:val="21"/>
          <w:szCs w:val="21"/>
          <w:lang w:val="es-ES_tradnl"/>
        </w:rPr>
        <w:t>d.</w:t>
      </w:r>
      <w:proofErr w:type="gramEnd"/>
      <w:r w:rsidR="003B0688" w:rsidRPr="00112A89">
        <w:rPr>
          <w:rFonts w:ascii="Arial" w:hAnsi="Arial" w:cs="Arial"/>
          <w:color w:val="000000" w:themeColor="text1"/>
          <w:sz w:val="21"/>
          <w:szCs w:val="21"/>
          <w:lang w:val="es-ES_tradnl"/>
        </w:rPr>
        <w:t xml:space="preserve"> En caso de ser afirmativa la respuesta a la pregunta del literal b, ¿Mientras no sean adoptados por Colombia Compra Eficiente Documentos Tipo para los Convenios Solidarios, se entiende que no es aplicable a estos lo dispuesto en el </w:t>
      </w:r>
      <w:r w:rsidRPr="00112A89">
        <w:rPr>
          <w:rFonts w:ascii="Arial" w:hAnsi="Arial" w:cs="Arial"/>
          <w:color w:val="000000" w:themeColor="text1"/>
          <w:sz w:val="21"/>
          <w:szCs w:val="21"/>
          <w:lang w:val="es-ES_tradnl"/>
        </w:rPr>
        <w:t>artículo</w:t>
      </w:r>
      <w:r w:rsidR="003B0688" w:rsidRPr="00112A89">
        <w:rPr>
          <w:rFonts w:ascii="Arial" w:hAnsi="Arial" w:cs="Arial"/>
          <w:color w:val="000000" w:themeColor="text1"/>
          <w:sz w:val="21"/>
          <w:szCs w:val="21"/>
          <w:lang w:val="es-ES_tradnl"/>
        </w:rPr>
        <w:t xml:space="preserve"> 56 de la Ley 2195 de 2022?»</w:t>
      </w:r>
      <w:r w:rsidR="008769A1" w:rsidRPr="00112A89">
        <w:rPr>
          <w:rFonts w:ascii="Arial" w:hAnsi="Arial" w:cs="Arial"/>
          <w:color w:val="000000" w:themeColor="text1"/>
          <w:sz w:val="21"/>
          <w:szCs w:val="21"/>
          <w:lang w:val="es-ES_tradnl"/>
        </w:rPr>
        <w:t>.</w:t>
      </w:r>
    </w:p>
    <w:p w14:paraId="771C5199" w14:textId="77777777" w:rsidR="00EE65C4" w:rsidRPr="00112A89" w:rsidRDefault="00EE65C4" w:rsidP="00D068F7">
      <w:pPr>
        <w:spacing w:line="276" w:lineRule="auto"/>
        <w:ind w:right="709"/>
        <w:jc w:val="both"/>
        <w:rPr>
          <w:rFonts w:ascii="Arial" w:hAnsi="Arial" w:cs="Arial"/>
          <w:color w:val="000000" w:themeColor="text1"/>
          <w:sz w:val="22"/>
          <w:lang w:val="es-ES_tradnl"/>
        </w:rPr>
      </w:pPr>
    </w:p>
    <w:p w14:paraId="124D2DCA" w14:textId="77777777" w:rsidR="00DD5B04" w:rsidRPr="00112A89"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112A89">
        <w:rPr>
          <w:rFonts w:ascii="Arial" w:eastAsia="Calibri" w:hAnsi="Arial" w:cs="Arial"/>
          <w:b/>
          <w:color w:val="000000" w:themeColor="text1"/>
          <w:sz w:val="22"/>
          <w:lang w:val="es-ES_tradnl"/>
        </w:rPr>
        <w:t>Consideraciones</w:t>
      </w:r>
    </w:p>
    <w:p w14:paraId="7D050D2E" w14:textId="77777777" w:rsidR="00435703" w:rsidRPr="00112A89" w:rsidRDefault="00435703" w:rsidP="00DF76A2">
      <w:pPr>
        <w:spacing w:line="276" w:lineRule="auto"/>
        <w:jc w:val="both"/>
        <w:rPr>
          <w:rFonts w:ascii="Arial" w:eastAsia="Calibri" w:hAnsi="Arial" w:cs="Arial"/>
          <w:color w:val="000000" w:themeColor="text1"/>
          <w:sz w:val="22"/>
          <w:szCs w:val="22"/>
          <w:lang w:val="es-ES_tradnl"/>
        </w:rPr>
      </w:pPr>
    </w:p>
    <w:p w14:paraId="2076CB72" w14:textId="1B3BB559" w:rsidR="0018226D" w:rsidRPr="00112A89" w:rsidRDefault="0018226D" w:rsidP="0018226D">
      <w:pPr>
        <w:spacing w:line="276" w:lineRule="auto"/>
        <w:jc w:val="both"/>
        <w:rPr>
          <w:rFonts w:ascii="Arial" w:hAnsi="Arial" w:cs="Arial"/>
          <w:bCs/>
          <w:color w:val="000000" w:themeColor="text1"/>
          <w:sz w:val="22"/>
          <w:lang w:val="es-ES"/>
        </w:rPr>
      </w:pPr>
      <w:r w:rsidRPr="00112A89">
        <w:rPr>
          <w:rFonts w:ascii="Arial" w:eastAsia="Calibri" w:hAnsi="Arial" w:cs="Arial"/>
          <w:color w:val="000000" w:themeColor="text1"/>
          <w:sz w:val="22"/>
          <w:szCs w:val="22"/>
        </w:rPr>
        <w:t xml:space="preserve">Para responder sus interrogantes, </w:t>
      </w:r>
      <w:r w:rsidRPr="00112A89">
        <w:rPr>
          <w:rFonts w:ascii="Arial" w:eastAsia="Calibri" w:hAnsi="Arial" w:cs="Arial"/>
          <w:color w:val="000000" w:themeColor="text1"/>
          <w:sz w:val="22"/>
          <w:lang w:val="es-ES"/>
        </w:rPr>
        <w:t>se analizarán los siguientes temas</w:t>
      </w:r>
      <w:r w:rsidRPr="00112A89">
        <w:rPr>
          <w:rFonts w:ascii="Arial" w:hAnsi="Arial" w:cs="Arial"/>
          <w:color w:val="000000" w:themeColor="text1"/>
          <w:sz w:val="22"/>
          <w:lang w:val="es-ES"/>
        </w:rPr>
        <w:t xml:space="preserve">: </w:t>
      </w:r>
      <w:r w:rsidRPr="00112A89">
        <w:rPr>
          <w:rFonts w:ascii="Arial" w:hAnsi="Arial" w:cs="Arial"/>
          <w:color w:val="000000" w:themeColor="text1"/>
          <w:sz w:val="22"/>
          <w:lang w:val="es-ES_tradnl"/>
        </w:rPr>
        <w:t xml:space="preserve">i) aplicación de los convenios solidarios y los organismos de acción comunal de conformidad con la Ley 136 de 1994, </w:t>
      </w:r>
      <w:r w:rsidRPr="00112A89">
        <w:rPr>
          <w:rFonts w:ascii="Arial" w:hAnsi="Arial" w:cs="Arial"/>
          <w:color w:val="000000" w:themeColor="text1"/>
          <w:sz w:val="22"/>
          <w:lang w:val="es-ES"/>
        </w:rPr>
        <w:t xml:space="preserve">ii) </w:t>
      </w:r>
      <w:r w:rsidRPr="00112A89">
        <w:rPr>
          <w:rFonts w:ascii="Arial" w:eastAsia="Calibri" w:hAnsi="Arial" w:cs="Arial"/>
          <w:bCs/>
          <w:color w:val="000000" w:themeColor="text1"/>
          <w:sz w:val="22"/>
          <w:szCs w:val="22"/>
        </w:rPr>
        <w:t xml:space="preserve">convenios solidarios con organismos de acción comunal bajo la Ley 2166 de 2021 y iii) </w:t>
      </w:r>
      <w:r w:rsidR="002C4743" w:rsidRPr="00112A89">
        <w:rPr>
          <w:rFonts w:ascii="Arial" w:eastAsia="Calibri" w:hAnsi="Arial" w:cs="Arial"/>
          <w:bCs/>
          <w:color w:val="000000" w:themeColor="text1"/>
          <w:sz w:val="22"/>
          <w:szCs w:val="22"/>
        </w:rPr>
        <w:t>alcance del artículo 56 de la Ley 2195 de 2022, aplicado a los convenios solidarios.</w:t>
      </w:r>
    </w:p>
    <w:p w14:paraId="0867A6EA" w14:textId="7C715A3E" w:rsidR="0018226D" w:rsidRPr="00112A89" w:rsidRDefault="0018226D" w:rsidP="0018226D">
      <w:pPr>
        <w:spacing w:before="120" w:line="276" w:lineRule="auto"/>
        <w:ind w:firstLine="709"/>
        <w:jc w:val="both"/>
        <w:rPr>
          <w:rFonts w:ascii="Arial" w:eastAsia="Calibri" w:hAnsi="Arial" w:cs="Arial"/>
          <w:color w:val="000000" w:themeColor="text1"/>
          <w:sz w:val="22"/>
          <w:lang w:val="es-ES"/>
        </w:rPr>
      </w:pPr>
      <w:r w:rsidRPr="00112A89">
        <w:rPr>
          <w:rFonts w:ascii="Arial" w:eastAsia="Calibri" w:hAnsi="Arial" w:cs="Arial"/>
          <w:color w:val="000000" w:themeColor="text1"/>
          <w:sz w:val="22"/>
          <w:lang w:val="es-ES"/>
        </w:rPr>
        <w:t>La Agencia Nacional de Contratación Pública – Colombia Compra Eficiente, en los conceptos No. 4201913000006135 del 10 de septiembre de 2019,</w:t>
      </w:r>
      <w:r w:rsidRPr="00112A89">
        <w:rPr>
          <w:rFonts w:ascii="Arial" w:hAnsi="Arial" w:cs="Arial"/>
          <w:color w:val="000000" w:themeColor="text1"/>
        </w:rPr>
        <w:t xml:space="preserve"> </w:t>
      </w:r>
      <w:r w:rsidRPr="00112A89">
        <w:rPr>
          <w:rFonts w:ascii="Arial" w:eastAsia="Calibri" w:hAnsi="Arial" w:cs="Arial"/>
          <w:color w:val="000000" w:themeColor="text1"/>
          <w:sz w:val="22"/>
          <w:lang w:val="es-ES"/>
        </w:rPr>
        <w:t>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w:t>
      </w:r>
      <w:r w:rsidR="007D3370" w:rsidRPr="00112A89">
        <w:rPr>
          <w:rFonts w:ascii="Arial" w:eastAsia="Calibri" w:hAnsi="Arial" w:cs="Arial"/>
          <w:color w:val="000000" w:themeColor="text1"/>
          <w:sz w:val="22"/>
          <w:lang w:val="es-ES"/>
        </w:rPr>
        <w:t xml:space="preserve"> y </w:t>
      </w:r>
      <w:r w:rsidRPr="00112A89">
        <w:rPr>
          <w:rFonts w:ascii="Arial" w:eastAsia="Calibri" w:hAnsi="Arial" w:cs="Arial"/>
          <w:color w:val="000000" w:themeColor="text1"/>
          <w:sz w:val="22"/>
          <w:lang w:val="es-ES"/>
        </w:rPr>
        <w:t>C-627 del 25 de octubre de 2022 analizó los convenios solidarios, su alcance y su régimen contractual.</w:t>
      </w:r>
      <w:r w:rsidR="007D3370" w:rsidRPr="00112A89">
        <w:rPr>
          <w:rFonts w:ascii="Arial" w:eastAsia="Calibri" w:hAnsi="Arial" w:cs="Arial"/>
          <w:color w:val="000000" w:themeColor="text1"/>
          <w:sz w:val="22"/>
          <w:lang w:val="es-ES"/>
        </w:rPr>
        <w:t xml:space="preserve"> Asimismo, mediante el concepto C-</w:t>
      </w:r>
      <w:r w:rsidR="005D76FA" w:rsidRPr="00112A89">
        <w:rPr>
          <w:rFonts w:ascii="Arial" w:eastAsia="Calibri" w:hAnsi="Arial" w:cs="Arial"/>
          <w:color w:val="000000" w:themeColor="text1"/>
          <w:sz w:val="22"/>
          <w:lang w:val="es-ES"/>
        </w:rPr>
        <w:t xml:space="preserve">119 del 25 de marzo de 2022, </w:t>
      </w:r>
      <w:r w:rsidR="00437BEA" w:rsidRPr="00112A89">
        <w:rPr>
          <w:rFonts w:ascii="Arial" w:eastAsia="Calibri" w:hAnsi="Arial" w:cs="Arial"/>
          <w:color w:val="000000" w:themeColor="text1"/>
          <w:sz w:val="22"/>
          <w:lang w:val="es-ES"/>
        </w:rPr>
        <w:t xml:space="preserve">la Agencia </w:t>
      </w:r>
      <w:r w:rsidR="005D76FA" w:rsidRPr="00112A89">
        <w:rPr>
          <w:rFonts w:ascii="Arial" w:eastAsia="Calibri" w:hAnsi="Arial" w:cs="Arial"/>
          <w:color w:val="000000" w:themeColor="text1"/>
          <w:sz w:val="22"/>
          <w:lang w:val="es-ES"/>
        </w:rPr>
        <w:t xml:space="preserve">interpretó el artículo </w:t>
      </w:r>
      <w:r w:rsidR="00FA0348" w:rsidRPr="00112A89">
        <w:rPr>
          <w:rFonts w:ascii="Arial" w:eastAsia="Calibri" w:hAnsi="Arial" w:cs="Arial"/>
          <w:color w:val="000000" w:themeColor="text1"/>
          <w:sz w:val="22"/>
          <w:lang w:val="es-ES"/>
        </w:rPr>
        <w:t>9</w:t>
      </w:r>
      <w:r w:rsidR="005D76FA" w:rsidRPr="00112A89">
        <w:rPr>
          <w:rFonts w:ascii="Arial" w:eastAsia="Calibri" w:hAnsi="Arial" w:cs="Arial"/>
          <w:color w:val="000000" w:themeColor="text1"/>
          <w:sz w:val="22"/>
          <w:lang w:val="es-ES"/>
        </w:rPr>
        <w:t>5 de la recientemente expedida Ley 2166 de 2021</w:t>
      </w:r>
      <w:r w:rsidR="00A134C5" w:rsidRPr="00112A89">
        <w:rPr>
          <w:rFonts w:ascii="Arial" w:eastAsia="Calibri" w:hAnsi="Arial" w:cs="Arial"/>
          <w:color w:val="000000" w:themeColor="text1"/>
          <w:sz w:val="22"/>
          <w:lang w:val="es-ES"/>
        </w:rPr>
        <w:t>, en especial el alcance de la expresión «entes territoriales del orden nacional».</w:t>
      </w:r>
      <w:r w:rsidRPr="00112A89">
        <w:rPr>
          <w:rFonts w:ascii="Arial" w:eastAsia="Calibri" w:hAnsi="Arial" w:cs="Arial"/>
          <w:color w:val="000000" w:themeColor="text1"/>
          <w:sz w:val="22"/>
          <w:lang w:val="es-ES"/>
        </w:rPr>
        <w:t xml:space="preserve"> </w:t>
      </w:r>
      <w:r w:rsidR="00437BEA" w:rsidRPr="00112A89">
        <w:rPr>
          <w:rFonts w:ascii="Arial" w:eastAsia="Calibri" w:hAnsi="Arial" w:cs="Arial"/>
          <w:color w:val="000000" w:themeColor="text1"/>
          <w:sz w:val="22"/>
          <w:lang w:val="es-ES"/>
        </w:rPr>
        <w:t>Por su parte, en los conceptos</w:t>
      </w:r>
      <w:r w:rsidR="003B3164" w:rsidRPr="00112A89">
        <w:rPr>
          <w:rFonts w:ascii="Arial" w:eastAsia="Calibri" w:hAnsi="Arial" w:cs="Arial"/>
          <w:color w:val="000000" w:themeColor="text1"/>
          <w:sz w:val="22"/>
          <w:lang w:val="es-ES"/>
        </w:rPr>
        <w:t xml:space="preserve"> </w:t>
      </w:r>
      <w:r w:rsidR="002200DC" w:rsidRPr="00112A89">
        <w:rPr>
          <w:rFonts w:ascii="Arial" w:eastAsia="Calibri" w:hAnsi="Arial" w:cs="Arial"/>
          <w:color w:val="000000" w:themeColor="text1"/>
          <w:sz w:val="22"/>
          <w:lang w:val="es-ES"/>
        </w:rPr>
        <w:t xml:space="preserve">C-066 del 28 de enero de 2022, C-033 del 4 de marzo de 2022, </w:t>
      </w:r>
      <w:r w:rsidR="003B3164" w:rsidRPr="00112A89">
        <w:rPr>
          <w:rFonts w:ascii="Arial" w:eastAsia="Calibri" w:hAnsi="Arial" w:cs="Arial"/>
          <w:color w:val="000000" w:themeColor="text1"/>
          <w:sz w:val="22"/>
          <w:lang w:val="es-ES"/>
        </w:rPr>
        <w:t xml:space="preserve">C-049 del 07 de marzo de 2022, C-059 de 08 de marzo de 2022, C-065 del 9 de marzo de 2022, </w:t>
      </w:r>
      <w:r w:rsidR="002200DC" w:rsidRPr="00112A89">
        <w:rPr>
          <w:rFonts w:ascii="Arial" w:eastAsia="Calibri" w:hAnsi="Arial" w:cs="Arial"/>
          <w:color w:val="000000" w:themeColor="text1"/>
          <w:sz w:val="22"/>
          <w:lang w:val="es-ES"/>
        </w:rPr>
        <w:t xml:space="preserve">C-090 del 16 de marzo de 2022, C-087 del 17 de marzo de 2022, </w:t>
      </w:r>
      <w:r w:rsidR="003B3164" w:rsidRPr="00112A89">
        <w:rPr>
          <w:rFonts w:ascii="Arial" w:eastAsia="Calibri" w:hAnsi="Arial" w:cs="Arial"/>
          <w:color w:val="000000" w:themeColor="text1"/>
          <w:sz w:val="22"/>
          <w:lang w:val="es-ES"/>
        </w:rPr>
        <w:t>C-083 del</w:t>
      </w:r>
      <w:r w:rsidR="002200DC" w:rsidRPr="00112A89">
        <w:rPr>
          <w:rFonts w:ascii="Arial" w:eastAsia="Calibri" w:hAnsi="Arial" w:cs="Arial"/>
          <w:color w:val="000000" w:themeColor="text1"/>
          <w:sz w:val="22"/>
          <w:lang w:val="es-ES"/>
        </w:rPr>
        <w:t xml:space="preserve"> </w:t>
      </w:r>
      <w:r w:rsidR="003B3164" w:rsidRPr="00112A89">
        <w:rPr>
          <w:rFonts w:ascii="Arial" w:eastAsia="Calibri" w:hAnsi="Arial" w:cs="Arial"/>
          <w:color w:val="000000" w:themeColor="text1"/>
          <w:sz w:val="22"/>
          <w:lang w:val="es-ES"/>
        </w:rPr>
        <w:t>18</w:t>
      </w:r>
      <w:r w:rsidR="002200DC" w:rsidRPr="00112A89">
        <w:rPr>
          <w:rFonts w:ascii="Arial" w:eastAsia="Calibri" w:hAnsi="Arial" w:cs="Arial"/>
          <w:color w:val="000000" w:themeColor="text1"/>
          <w:sz w:val="22"/>
          <w:lang w:val="es-ES"/>
        </w:rPr>
        <w:t xml:space="preserve"> de marzo de </w:t>
      </w:r>
      <w:r w:rsidR="003B3164" w:rsidRPr="00112A89">
        <w:rPr>
          <w:rFonts w:ascii="Arial" w:eastAsia="Calibri" w:hAnsi="Arial" w:cs="Arial"/>
          <w:color w:val="000000" w:themeColor="text1"/>
          <w:sz w:val="22"/>
          <w:lang w:val="es-ES"/>
        </w:rPr>
        <w:t>2022</w:t>
      </w:r>
      <w:r w:rsidR="002200DC" w:rsidRPr="00112A89">
        <w:rPr>
          <w:rFonts w:ascii="Arial" w:eastAsia="Calibri" w:hAnsi="Arial" w:cs="Arial"/>
          <w:color w:val="000000" w:themeColor="text1"/>
          <w:sz w:val="22"/>
          <w:lang w:val="es-ES"/>
        </w:rPr>
        <w:t xml:space="preserve"> y </w:t>
      </w:r>
      <w:r w:rsidR="003B3164" w:rsidRPr="00112A89">
        <w:rPr>
          <w:rFonts w:ascii="Arial" w:eastAsia="Calibri" w:hAnsi="Arial" w:cs="Arial"/>
          <w:color w:val="000000" w:themeColor="text1"/>
          <w:sz w:val="22"/>
          <w:lang w:val="es-ES"/>
        </w:rPr>
        <w:t>C-160 del 05</w:t>
      </w:r>
      <w:r w:rsidR="002200DC" w:rsidRPr="00112A89">
        <w:rPr>
          <w:rFonts w:ascii="Arial" w:eastAsia="Calibri" w:hAnsi="Arial" w:cs="Arial"/>
          <w:color w:val="000000" w:themeColor="text1"/>
          <w:sz w:val="22"/>
          <w:lang w:val="es-ES"/>
        </w:rPr>
        <w:t xml:space="preserve"> de abril de </w:t>
      </w:r>
      <w:r w:rsidR="003B3164" w:rsidRPr="00112A89">
        <w:rPr>
          <w:rFonts w:ascii="Arial" w:eastAsia="Calibri" w:hAnsi="Arial" w:cs="Arial"/>
          <w:color w:val="000000" w:themeColor="text1"/>
          <w:sz w:val="22"/>
          <w:lang w:val="es-ES"/>
        </w:rPr>
        <w:t>2022</w:t>
      </w:r>
      <w:r w:rsidR="002200DC" w:rsidRPr="00112A89">
        <w:rPr>
          <w:rFonts w:ascii="Arial" w:eastAsia="Calibri" w:hAnsi="Arial" w:cs="Arial"/>
          <w:color w:val="000000" w:themeColor="text1"/>
          <w:sz w:val="22"/>
          <w:lang w:val="es-ES"/>
        </w:rPr>
        <w:t>, se interpretó el artículo 56 de la Ley 2195 de 2022.</w:t>
      </w:r>
      <w:r w:rsidR="00437BEA" w:rsidRPr="00112A89">
        <w:rPr>
          <w:rFonts w:ascii="Arial" w:eastAsia="Calibri" w:hAnsi="Arial" w:cs="Arial"/>
          <w:color w:val="000000" w:themeColor="text1"/>
          <w:sz w:val="22"/>
          <w:lang w:val="es-ES"/>
        </w:rPr>
        <w:t xml:space="preserve"> </w:t>
      </w:r>
      <w:r w:rsidRPr="00112A89">
        <w:rPr>
          <w:rFonts w:ascii="Arial" w:eastAsia="Calibri" w:hAnsi="Arial" w:cs="Arial"/>
          <w:color w:val="000000" w:themeColor="text1"/>
          <w:sz w:val="22"/>
          <w:lang w:val="es-ES_tradnl"/>
        </w:rPr>
        <w:t>La</w:t>
      </w:r>
      <w:r w:rsidR="002200DC" w:rsidRPr="00112A89">
        <w:rPr>
          <w:rFonts w:ascii="Arial" w:eastAsia="Calibri" w:hAnsi="Arial" w:cs="Arial"/>
          <w:color w:val="000000" w:themeColor="text1"/>
          <w:sz w:val="22"/>
          <w:lang w:val="es-ES_tradnl"/>
        </w:rPr>
        <w:t>s</w:t>
      </w:r>
      <w:r w:rsidRPr="00112A89">
        <w:rPr>
          <w:rFonts w:ascii="Arial" w:eastAsia="Calibri" w:hAnsi="Arial" w:cs="Arial"/>
          <w:color w:val="000000" w:themeColor="text1"/>
          <w:sz w:val="22"/>
          <w:lang w:val="es-ES_tradnl"/>
        </w:rPr>
        <w:t xml:space="preserve"> tesis </w:t>
      </w:r>
      <w:r w:rsidR="002200DC" w:rsidRPr="00112A89">
        <w:rPr>
          <w:rFonts w:ascii="Arial" w:eastAsia="Calibri" w:hAnsi="Arial" w:cs="Arial"/>
          <w:color w:val="000000" w:themeColor="text1"/>
          <w:sz w:val="22"/>
          <w:lang w:val="es-ES_tradnl"/>
        </w:rPr>
        <w:t xml:space="preserve">expuestas </w:t>
      </w:r>
      <w:r w:rsidRPr="00112A89">
        <w:rPr>
          <w:rFonts w:ascii="Arial" w:eastAsia="Calibri" w:hAnsi="Arial" w:cs="Arial"/>
          <w:color w:val="000000" w:themeColor="text1"/>
          <w:sz w:val="22"/>
          <w:lang w:val="es-ES_tradnl"/>
        </w:rPr>
        <w:t>en estos conceptos se reitera</w:t>
      </w:r>
      <w:r w:rsidR="002200DC" w:rsidRPr="00112A89">
        <w:rPr>
          <w:rFonts w:ascii="Arial" w:eastAsia="Calibri" w:hAnsi="Arial" w:cs="Arial"/>
          <w:color w:val="000000" w:themeColor="text1"/>
          <w:sz w:val="22"/>
          <w:lang w:val="es-ES_tradnl"/>
        </w:rPr>
        <w:t>n</w:t>
      </w:r>
      <w:r w:rsidRPr="00112A89">
        <w:rPr>
          <w:rFonts w:ascii="Arial" w:eastAsia="Calibri" w:hAnsi="Arial" w:cs="Arial"/>
          <w:color w:val="000000" w:themeColor="text1"/>
          <w:sz w:val="22"/>
          <w:lang w:val="es-ES_tradnl"/>
        </w:rPr>
        <w:t xml:space="preserve"> a continuación y se complementa</w:t>
      </w:r>
      <w:r w:rsidR="002200DC" w:rsidRPr="00112A89">
        <w:rPr>
          <w:rFonts w:ascii="Arial" w:eastAsia="Calibri" w:hAnsi="Arial" w:cs="Arial"/>
          <w:color w:val="000000" w:themeColor="text1"/>
          <w:sz w:val="22"/>
          <w:lang w:val="es-ES_tradnl"/>
        </w:rPr>
        <w:t>n</w:t>
      </w:r>
      <w:r w:rsidRPr="00112A89">
        <w:rPr>
          <w:rFonts w:ascii="Arial" w:eastAsia="Calibri" w:hAnsi="Arial" w:cs="Arial"/>
          <w:color w:val="000000" w:themeColor="text1"/>
          <w:sz w:val="22"/>
          <w:lang w:val="es-ES_tradnl"/>
        </w:rPr>
        <w:t xml:space="preserve"> en lo pertinente</w:t>
      </w:r>
      <w:r w:rsidR="002200DC" w:rsidRPr="00112A89">
        <w:rPr>
          <w:rFonts w:ascii="Arial" w:eastAsia="Calibri" w:hAnsi="Arial" w:cs="Arial"/>
          <w:color w:val="000000" w:themeColor="text1"/>
          <w:sz w:val="22"/>
          <w:lang w:val="es-ES_tradnl"/>
        </w:rPr>
        <w:t xml:space="preserve">, </w:t>
      </w:r>
      <w:r w:rsidRPr="00112A89">
        <w:rPr>
          <w:rFonts w:ascii="Arial" w:eastAsia="Calibri" w:hAnsi="Arial" w:cs="Arial"/>
          <w:color w:val="000000" w:themeColor="text1"/>
          <w:sz w:val="22"/>
          <w:lang w:val="es-ES_tradnl"/>
        </w:rPr>
        <w:t xml:space="preserve">teniendo en cuenta los interrogantes planteados. </w:t>
      </w:r>
    </w:p>
    <w:p w14:paraId="0B7B11F6" w14:textId="77777777" w:rsidR="0018226D" w:rsidRPr="00112A89" w:rsidRDefault="0018226D" w:rsidP="0018226D">
      <w:pPr>
        <w:tabs>
          <w:tab w:val="left" w:pos="0"/>
        </w:tabs>
        <w:spacing w:line="276" w:lineRule="auto"/>
        <w:jc w:val="both"/>
        <w:rPr>
          <w:rFonts w:ascii="Arial" w:eastAsia="Calibri" w:hAnsi="Arial" w:cs="Arial"/>
          <w:b/>
          <w:color w:val="000000" w:themeColor="text1"/>
          <w:sz w:val="22"/>
        </w:rPr>
      </w:pPr>
    </w:p>
    <w:p w14:paraId="0B6CD1A1" w14:textId="77777777" w:rsidR="0018226D" w:rsidRPr="00112A89" w:rsidRDefault="0018226D" w:rsidP="0018226D">
      <w:pPr>
        <w:tabs>
          <w:tab w:val="left" w:pos="426"/>
        </w:tabs>
        <w:jc w:val="both"/>
        <w:rPr>
          <w:rFonts w:ascii="Arial" w:eastAsia="Calibri" w:hAnsi="Arial" w:cs="Arial"/>
          <w:noProof/>
          <w:color w:val="000000" w:themeColor="text1"/>
          <w:sz w:val="22"/>
          <w:lang w:val="es-ES"/>
        </w:rPr>
      </w:pPr>
      <w:r w:rsidRPr="00112A89">
        <w:rPr>
          <w:rFonts w:ascii="Arial" w:eastAsia="Calibri" w:hAnsi="Arial" w:cs="Arial"/>
          <w:b/>
          <w:bCs/>
          <w:color w:val="000000" w:themeColor="text1"/>
          <w:sz w:val="22"/>
          <w:lang w:eastAsia="en-GB"/>
        </w:rPr>
        <w:t xml:space="preserve">2.1. </w:t>
      </w:r>
      <w:r w:rsidRPr="00112A89">
        <w:rPr>
          <w:rFonts w:ascii="Arial" w:eastAsia="Calibri" w:hAnsi="Arial" w:cs="Arial"/>
          <w:b/>
          <w:bCs/>
          <w:color w:val="000000" w:themeColor="text1"/>
          <w:sz w:val="22"/>
          <w:lang w:val="es-ES" w:eastAsia="en-GB"/>
        </w:rPr>
        <w:t>Aplicación de los convenios solidarios</w:t>
      </w:r>
      <w:r w:rsidRPr="00112A89">
        <w:rPr>
          <w:rFonts w:ascii="Arial" w:eastAsia="Calibri" w:hAnsi="Arial" w:cs="Arial"/>
          <w:b/>
          <w:bCs/>
          <w:color w:val="000000" w:themeColor="text1"/>
          <w:sz w:val="22"/>
          <w:lang w:eastAsia="en-GB"/>
        </w:rPr>
        <w:t xml:space="preserve"> y los organismos de acción comunal de conformidad con la Ley 136 de 1994</w:t>
      </w:r>
    </w:p>
    <w:p w14:paraId="68B2B6FF" w14:textId="77777777" w:rsidR="0018226D" w:rsidRPr="00112A89" w:rsidRDefault="0018226D" w:rsidP="0018226D">
      <w:pPr>
        <w:spacing w:line="276" w:lineRule="auto"/>
        <w:jc w:val="both"/>
        <w:rPr>
          <w:rFonts w:ascii="Arial" w:eastAsia="Arial" w:hAnsi="Arial" w:cs="Arial"/>
          <w:b/>
          <w:color w:val="000000" w:themeColor="text1"/>
          <w:sz w:val="22"/>
          <w:szCs w:val="22"/>
          <w:lang w:val="es-ES" w:eastAsia="en-US"/>
        </w:rPr>
      </w:pPr>
    </w:p>
    <w:p w14:paraId="2B23469B" w14:textId="77777777" w:rsidR="0018226D" w:rsidRPr="00112A89" w:rsidRDefault="0018226D" w:rsidP="0018226D">
      <w:pPr>
        <w:spacing w:after="120" w:line="276" w:lineRule="auto"/>
        <w:jc w:val="both"/>
        <w:rPr>
          <w:rFonts w:ascii="Arial" w:eastAsia="Calibri" w:hAnsi="Arial" w:cs="Arial"/>
          <w:color w:val="000000" w:themeColor="text1"/>
          <w:sz w:val="22"/>
          <w:lang w:val="es-ES"/>
        </w:rPr>
      </w:pPr>
      <w:r w:rsidRPr="00112A89">
        <w:rPr>
          <w:rFonts w:ascii="Arial" w:eastAsia="Calibri" w:hAnsi="Arial" w:cs="Arial"/>
          <w:color w:val="000000" w:themeColor="text1"/>
          <w:sz w:val="22"/>
          <w:szCs w:val="22"/>
          <w:lang w:val="es-ES"/>
        </w:rPr>
        <w:t xml:space="preserve">La contratación estatal con entidades privadas sin ánimo de lucro encuentra su fundamento en el artículo 355 de la Constitución Política, el cual, tras proscribir cualquier tipo de donación por parte del Estado a personas de derecho privado, dispone que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 </w:t>
      </w:r>
      <w:r w:rsidRPr="00112A89">
        <w:rPr>
          <w:rFonts w:ascii="Arial" w:eastAsia="Calibri" w:hAnsi="Arial" w:cs="Arial"/>
          <w:color w:val="000000" w:themeColor="text1"/>
          <w:sz w:val="22"/>
          <w:lang w:val="es-ES"/>
        </w:rPr>
        <w:t>A su vez, el referido mandato constitucional faculta al Gobierno Nacional para reglamentar la materia.</w:t>
      </w:r>
    </w:p>
    <w:p w14:paraId="0358665A" w14:textId="77777777" w:rsidR="0018226D" w:rsidRPr="00112A89" w:rsidRDefault="0018226D" w:rsidP="0018226D">
      <w:pPr>
        <w:spacing w:after="120" w:line="276" w:lineRule="auto"/>
        <w:ind w:firstLine="708"/>
        <w:jc w:val="both"/>
        <w:rPr>
          <w:rFonts w:ascii="Arial" w:eastAsia="Calibri" w:hAnsi="Arial" w:cs="Arial"/>
          <w:color w:val="000000" w:themeColor="text1"/>
          <w:sz w:val="22"/>
          <w:lang w:val="es-ES"/>
        </w:rPr>
      </w:pPr>
      <w:r w:rsidRPr="00112A89">
        <w:rPr>
          <w:rFonts w:ascii="Arial" w:eastAsia="Calibri" w:hAnsi="Arial" w:cs="Arial"/>
          <w:color w:val="000000" w:themeColor="text1"/>
          <w:sz w:val="22"/>
          <w:lang w:val="es-ES"/>
        </w:rPr>
        <w:lastRenderedPageBreak/>
        <w:t>En concordancia 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aspiraciones de las comunidades».  En este sentido, reiterando la tesis expuesta por esta Agencia mediante concepto C – 140 del 31 de marzo de 2020, el artículo tercero de la Ley 136 de 1994, modificado por la Ley 1551 de 2012, determina tres alternativas mediante las cuales las entidades territoriales pueden celebrar convenios solidarios con organismos de acción comunal, las cuales se enlistan a continuación:</w:t>
      </w:r>
    </w:p>
    <w:p w14:paraId="715B4D74" w14:textId="77777777" w:rsidR="0018226D" w:rsidRPr="00112A89" w:rsidRDefault="0018226D" w:rsidP="0018226D">
      <w:pPr>
        <w:spacing w:after="120" w:line="276" w:lineRule="auto"/>
        <w:ind w:firstLine="708"/>
        <w:jc w:val="both"/>
        <w:rPr>
          <w:rFonts w:ascii="Arial" w:eastAsia="Calibri" w:hAnsi="Arial" w:cs="Arial"/>
          <w:color w:val="000000" w:themeColor="text1"/>
          <w:sz w:val="22"/>
          <w:lang w:val="es-ES"/>
        </w:rPr>
      </w:pPr>
      <w:r w:rsidRPr="00112A89">
        <w:rPr>
          <w:rFonts w:ascii="Arial" w:eastAsia="Calibri" w:hAnsi="Arial" w:cs="Arial"/>
          <w:color w:val="000000" w:themeColor="text1"/>
          <w:sz w:val="22"/>
          <w:lang w:val="es-ES"/>
        </w:rPr>
        <w:t>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w:t>
      </w:r>
      <w:r w:rsidRPr="00112A89">
        <w:rPr>
          <w:rStyle w:val="Refdenotaalpie"/>
          <w:rFonts w:eastAsia="Calibri"/>
        </w:rPr>
        <w:footnoteReference w:id="2"/>
      </w:r>
      <w:r w:rsidRPr="00112A89">
        <w:rPr>
          <w:rFonts w:ascii="Arial" w:eastAsia="Calibri" w:hAnsi="Arial" w:cs="Arial"/>
          <w:color w:val="000000" w:themeColor="text1"/>
          <w:sz w:val="22"/>
          <w:lang w:val="es-ES"/>
        </w:rPr>
        <w:t>.</w:t>
      </w:r>
    </w:p>
    <w:p w14:paraId="56B75546" w14:textId="77777777" w:rsidR="0018226D" w:rsidRPr="00112A89" w:rsidRDefault="0018226D" w:rsidP="0018226D">
      <w:pPr>
        <w:spacing w:after="120" w:line="276" w:lineRule="auto"/>
        <w:ind w:firstLine="708"/>
        <w:jc w:val="both"/>
        <w:rPr>
          <w:rFonts w:ascii="Arial" w:eastAsia="Calibri" w:hAnsi="Arial" w:cs="Arial"/>
          <w:color w:val="000000" w:themeColor="text1"/>
          <w:sz w:val="22"/>
          <w:lang w:val="es-ES"/>
        </w:rPr>
      </w:pPr>
      <w:r w:rsidRPr="00112A89">
        <w:rPr>
          <w:rFonts w:ascii="Arial" w:eastAsia="Calibri" w:hAnsi="Arial" w:cs="Arial"/>
          <w:color w:val="000000" w:themeColor="text1"/>
          <w:sz w:val="22"/>
          <w:lang w:val="es-ES"/>
        </w:rPr>
        <w:t xml:space="preserve">ii)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14:paraId="524F3B44" w14:textId="77777777" w:rsidR="0018226D" w:rsidRPr="00112A89" w:rsidRDefault="0018226D" w:rsidP="0018226D">
      <w:pPr>
        <w:spacing w:after="120" w:line="276" w:lineRule="auto"/>
        <w:ind w:firstLine="709"/>
        <w:jc w:val="both"/>
        <w:rPr>
          <w:rFonts w:ascii="Arial" w:eastAsia="Calibri" w:hAnsi="Arial" w:cs="Arial"/>
          <w:color w:val="000000" w:themeColor="text1"/>
          <w:sz w:val="22"/>
          <w:lang w:val="es-ES"/>
        </w:rPr>
      </w:pPr>
      <w:r w:rsidRPr="00112A89">
        <w:rPr>
          <w:rFonts w:ascii="Arial" w:eastAsia="Calibri" w:hAnsi="Arial" w:cs="Arial"/>
          <w:color w:val="000000" w:themeColor="text1"/>
          <w:sz w:val="22"/>
          <w:lang w:val="es-ES"/>
        </w:rPr>
        <w:t xml:space="preserve">iii)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44A17B91" w14:textId="77777777" w:rsidR="0018226D" w:rsidRPr="00112A89" w:rsidRDefault="0018226D" w:rsidP="0018226D">
      <w:pPr>
        <w:spacing w:after="120" w:line="276" w:lineRule="auto"/>
        <w:ind w:firstLine="709"/>
        <w:jc w:val="both"/>
        <w:rPr>
          <w:rFonts w:ascii="Arial" w:eastAsia="Calibri" w:hAnsi="Arial" w:cs="Arial"/>
          <w:color w:val="000000" w:themeColor="text1"/>
          <w:sz w:val="22"/>
          <w:lang w:val="es-ES"/>
        </w:rPr>
      </w:pPr>
      <w:r w:rsidRPr="00112A89">
        <w:rPr>
          <w:rFonts w:ascii="Arial" w:eastAsia="Calibri" w:hAnsi="Arial" w:cs="Arial"/>
          <w:color w:val="000000" w:themeColor="text1"/>
          <w:sz w:val="22"/>
          <w:lang w:val="es-ES"/>
        </w:rPr>
        <w:t xml:space="preserve">Existen características que se encuentran presentes en los tres regímenes de contratación aplicables y que están contenidas en el parágrafo tercero del artículo 3 de la Ley 136 de 1994, en consonancia con el artículo 355 de la Constitución Política. En ese sentido, debe tenerse en cuenta que todos los convenios solidarios celebrados entre entidades del orden nacional, departamental, distrital o municipal y los organismos de acción comunal deben propender por la satisfacción de necesidades y aspiraciones de las comunidades, estar encaminados a la satisfacción del interés público, y ser concordantes con el Plan Nacional o los planes seccionales de desarrollo, según el caso. </w:t>
      </w:r>
    </w:p>
    <w:p w14:paraId="020E37AE" w14:textId="77777777" w:rsidR="0018226D" w:rsidRPr="00112A89" w:rsidRDefault="0018226D" w:rsidP="0018226D">
      <w:pPr>
        <w:spacing w:after="120" w:line="276" w:lineRule="auto"/>
        <w:ind w:firstLine="709"/>
        <w:jc w:val="both"/>
        <w:rPr>
          <w:rFonts w:ascii="Arial" w:hAnsi="Arial" w:cs="Arial"/>
          <w:color w:val="000000" w:themeColor="text1"/>
          <w:sz w:val="22"/>
          <w:lang w:val="es-ES"/>
        </w:rPr>
      </w:pPr>
      <w:r w:rsidRPr="00112A89">
        <w:rPr>
          <w:rFonts w:ascii="Arial" w:hAnsi="Arial" w:cs="Arial"/>
          <w:color w:val="000000" w:themeColor="text1"/>
          <w:sz w:val="22"/>
          <w:lang w:val="es-ES"/>
        </w:rPr>
        <w:lastRenderedPageBreak/>
        <w:t xml:space="preserve">De esta manera, habiendo abordado las características generales aplicables a la celebración de cualquier convenio solidario, debe destacarse que el </w:t>
      </w:r>
      <w:bookmarkStart w:id="2" w:name="_Hlk69293147"/>
      <w:r w:rsidRPr="00112A89">
        <w:rPr>
          <w:rFonts w:ascii="Arial" w:hAnsi="Arial" w:cs="Arial"/>
          <w:i/>
          <w:iCs/>
          <w:color w:val="000000" w:themeColor="text1"/>
          <w:sz w:val="22"/>
          <w:lang w:val="es-ES"/>
        </w:rPr>
        <w:t>primer régimen</w:t>
      </w:r>
      <w:r w:rsidRPr="00112A89">
        <w:rPr>
          <w:rFonts w:ascii="Arial" w:hAnsi="Arial" w:cs="Arial"/>
          <w:color w:val="000000" w:themeColor="text1"/>
          <w:sz w:val="22"/>
          <w:lang w:val="es-ES"/>
        </w:rPr>
        <w:t xml:space="preserve"> encuentra su fundamento en el </w:t>
      </w:r>
      <w:r w:rsidRPr="00112A89">
        <w:rPr>
          <w:rFonts w:ascii="Arial" w:hAnsi="Arial" w:cs="Arial"/>
          <w:i/>
          <w:iCs/>
          <w:color w:val="000000" w:themeColor="text1"/>
          <w:sz w:val="22"/>
          <w:lang w:val="es-ES"/>
        </w:rPr>
        <w:t>parágrafo cuarto de la Ley 136 de 1994</w:t>
      </w:r>
      <w:r w:rsidRPr="00112A89">
        <w:rPr>
          <w:rFonts w:ascii="Arial" w:hAnsi="Arial" w:cs="Arial"/>
          <w:color w:val="000000" w:themeColor="text1"/>
          <w:sz w:val="22"/>
          <w:lang w:val="es-ES"/>
        </w:rPr>
        <w:t>. Como se indicó, este determina una sub-regla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ii) que el objeto contractual consista en la ejecución de obras; y, iii) que el contrato no supere la mínima cuantía. De concurrir las anteriores circunstancias, la norma autoriza la contratación directa entre la entidad territorial y la respectiva junta de acción comunal previamente legalizada y reconocida ante los organismos competentes. En todo caso, esta contratación debe tomar como personal para la ejecución de la obra a los habitantes de la comunidad.</w:t>
      </w:r>
      <w:bookmarkEnd w:id="2"/>
      <w:r w:rsidRPr="00112A89">
        <w:rPr>
          <w:rFonts w:ascii="Arial" w:hAnsi="Arial" w:cs="Arial"/>
          <w:color w:val="000000" w:themeColor="text1"/>
          <w:sz w:val="22"/>
          <w:lang w:val="es-ES"/>
        </w:rPr>
        <w:t xml:space="preserve"> Sin embargo, como se expondrá más adelante, el artículo 95 de la Ley 2166 de 2021 amplió esta subregla en cuanto a los sujetos aplicables, condiciones y la cuantía del contrato. </w:t>
      </w:r>
    </w:p>
    <w:p w14:paraId="767AC50E" w14:textId="77777777" w:rsidR="0018226D" w:rsidRPr="00112A89" w:rsidRDefault="0018226D" w:rsidP="0018226D">
      <w:pPr>
        <w:spacing w:after="120" w:line="276" w:lineRule="auto"/>
        <w:ind w:firstLine="709"/>
        <w:jc w:val="both"/>
        <w:rPr>
          <w:rFonts w:ascii="Arial" w:hAnsi="Arial" w:cs="Arial"/>
          <w:color w:val="000000" w:themeColor="text1"/>
          <w:sz w:val="22"/>
          <w:lang w:val="es-ES"/>
        </w:rPr>
      </w:pPr>
      <w:r w:rsidRPr="00112A89">
        <w:rPr>
          <w:rFonts w:ascii="Arial" w:hAnsi="Arial" w:cs="Arial"/>
          <w:color w:val="000000" w:themeColor="text1"/>
          <w:sz w:val="22"/>
          <w:lang w:val="es-ES"/>
        </w:rPr>
        <w:t xml:space="preserve">Un </w:t>
      </w:r>
      <w:r w:rsidRPr="00112A89">
        <w:rPr>
          <w:rFonts w:ascii="Arial" w:hAnsi="Arial" w:cs="Arial"/>
          <w:i/>
          <w:iCs/>
          <w:color w:val="000000" w:themeColor="text1"/>
          <w:sz w:val="22"/>
          <w:lang w:val="es-ES"/>
        </w:rPr>
        <w:t>segundo</w:t>
      </w:r>
      <w:r w:rsidRPr="00112A89">
        <w:rPr>
          <w:rFonts w:ascii="Arial" w:hAnsi="Arial" w:cs="Arial"/>
          <w:color w:val="000000" w:themeColor="text1"/>
          <w:sz w:val="22"/>
          <w:lang w:val="es-ES"/>
        </w:rPr>
        <w:t xml:space="preserve"> régimen o modalidad de contratación se encuentra prevista en el Decreto 092 de 2017, exceptuando lo consignado en su artículo quinto, pues versa sobre convenios de asociación. Este decreto desarrolla, en términos generales, la contratación autorizada por el artículo 355 de la Constitución Política, la cual, en concordancia con el numeral 16 y el parágrafo tercero del artículo tercero de la Ley 136 de 1994, puede manifestarse a través de convenios solidarios.  </w:t>
      </w:r>
    </w:p>
    <w:p w14:paraId="5EE6A8CA" w14:textId="77777777" w:rsidR="0018226D" w:rsidRPr="00112A89" w:rsidRDefault="0018226D" w:rsidP="0018226D">
      <w:pPr>
        <w:spacing w:after="120" w:line="276" w:lineRule="auto"/>
        <w:ind w:firstLine="709"/>
        <w:jc w:val="both"/>
        <w:rPr>
          <w:rFonts w:ascii="Arial" w:hAnsi="Arial" w:cs="Arial"/>
          <w:color w:val="000000" w:themeColor="text1"/>
          <w:sz w:val="22"/>
          <w:lang w:val="es-ES"/>
        </w:rPr>
      </w:pPr>
      <w:r w:rsidRPr="00112A89">
        <w:rPr>
          <w:rFonts w:ascii="Arial" w:hAnsi="Arial" w:cs="Arial"/>
          <w:color w:val="000000" w:themeColor="text1"/>
          <w:sz w:val="22"/>
          <w:lang w:val="es-ES"/>
        </w:rPr>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ii) que el objeto del contrato esté dirigido al impulso de programas y actividades de interés público acordes con el plan de desarrollo aplicable; iii) que el contrato, independientemente de su cuantía, no refleje relaciones conmutativas que impliquen contraprestaciones para la entidad del Estado; y iv) que la entidad del Estado no imparta instrucciones precisas para la ejecución del objeto convenido. </w:t>
      </w:r>
    </w:p>
    <w:p w14:paraId="51E64425" w14:textId="77777777" w:rsidR="0018226D" w:rsidRPr="00112A89" w:rsidRDefault="0018226D" w:rsidP="0018226D">
      <w:pPr>
        <w:spacing w:after="120" w:line="276" w:lineRule="auto"/>
        <w:ind w:firstLine="709"/>
        <w:jc w:val="both"/>
        <w:rPr>
          <w:rFonts w:ascii="Arial" w:hAnsi="Arial" w:cs="Arial"/>
          <w:color w:val="000000" w:themeColor="text1"/>
          <w:sz w:val="22"/>
          <w:lang w:val="es-ES"/>
        </w:rPr>
      </w:pPr>
      <w:r w:rsidRPr="00112A89">
        <w:rPr>
          <w:rFonts w:ascii="Arial" w:hAnsi="Arial" w:cs="Arial"/>
          <w:color w:val="000000" w:themeColor="text1"/>
          <w:sz w:val="22"/>
          <w:lang w:val="es-ES"/>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Estatuto General de Contratación de la Administración Pública –en adelante EGCAP–, con base en las remisiones efectuadas en los artículos séptimo y octavo de aquel Decreto. </w:t>
      </w:r>
    </w:p>
    <w:p w14:paraId="09D11576" w14:textId="77777777" w:rsidR="0018226D" w:rsidRPr="00112A89" w:rsidRDefault="0018226D" w:rsidP="0018226D">
      <w:pPr>
        <w:spacing w:after="120" w:line="276" w:lineRule="auto"/>
        <w:ind w:firstLine="709"/>
        <w:jc w:val="both"/>
        <w:rPr>
          <w:rFonts w:ascii="Arial" w:hAnsi="Arial" w:cs="Arial"/>
          <w:color w:val="000000" w:themeColor="text1"/>
          <w:sz w:val="22"/>
          <w:lang w:val="es-ES"/>
        </w:rPr>
      </w:pPr>
      <w:r w:rsidRPr="00112A89">
        <w:rPr>
          <w:rFonts w:ascii="Arial" w:hAnsi="Arial" w:cs="Arial"/>
          <w:i/>
          <w:iCs/>
          <w:color w:val="000000" w:themeColor="text1"/>
          <w:sz w:val="22"/>
          <w:lang w:val="es-ES"/>
        </w:rPr>
        <w:t>Por último</w:t>
      </w:r>
      <w:r w:rsidRPr="00112A89">
        <w:rPr>
          <w:rFonts w:ascii="Arial" w:hAnsi="Arial" w:cs="Arial"/>
          <w:color w:val="000000" w:themeColor="text1"/>
          <w:sz w:val="22"/>
          <w:lang w:val="es-ES"/>
        </w:rPr>
        <w:t xml:space="preserve">, en armonía con la modificación realizada por la Ley 1955 de 2019, se presenta un </w:t>
      </w:r>
      <w:r w:rsidRPr="00112A89">
        <w:rPr>
          <w:rFonts w:ascii="Arial" w:hAnsi="Arial" w:cs="Arial"/>
          <w:i/>
          <w:iCs/>
          <w:color w:val="000000" w:themeColor="text1"/>
          <w:sz w:val="22"/>
          <w:lang w:val="es-ES"/>
        </w:rPr>
        <w:t>tercer régimen</w:t>
      </w:r>
      <w:r w:rsidRPr="00112A89">
        <w:rPr>
          <w:rFonts w:ascii="Arial" w:hAnsi="Arial" w:cs="Arial"/>
          <w:color w:val="000000" w:themeColor="text1"/>
          <w:sz w:val="22"/>
          <w:lang w:val="es-ES"/>
        </w:rPr>
        <w:t xml:space="preserve">, </w:t>
      </w:r>
      <w:bookmarkStart w:id="3" w:name="_Hlk98594490"/>
      <w:r w:rsidRPr="00112A89">
        <w:rPr>
          <w:rFonts w:ascii="Arial" w:hAnsi="Arial" w:cs="Arial"/>
          <w:color w:val="000000" w:themeColor="text1"/>
          <w:sz w:val="22"/>
          <w:lang w:val="es-ES"/>
        </w:rPr>
        <w:t xml:space="preserve">que encuentra su fundamento en los parágrafos tercero y quinto </w:t>
      </w:r>
      <w:r w:rsidRPr="00112A89">
        <w:rPr>
          <w:rFonts w:ascii="Arial" w:hAnsi="Arial" w:cs="Arial"/>
          <w:color w:val="000000" w:themeColor="text1"/>
          <w:sz w:val="22"/>
          <w:lang w:val="es-ES"/>
        </w:rPr>
        <w:lastRenderedPageBreak/>
        <w:t>del artículo tercero de la Ley 136 de 1994</w:t>
      </w:r>
      <w:bookmarkEnd w:id="3"/>
      <w:r w:rsidRPr="00112A89">
        <w:rPr>
          <w:rFonts w:ascii="Arial" w:hAnsi="Arial" w:cs="Arial"/>
          <w:color w:val="000000" w:themeColor="text1"/>
          <w:sz w:val="22"/>
          <w:lang w:val="es-ES"/>
        </w:rPr>
        <w:t>. Retomando los conceptos de esta Agencia</w:t>
      </w:r>
      <w:r w:rsidRPr="00112A89">
        <w:rPr>
          <w:rStyle w:val="Refdenotaalpie"/>
        </w:rPr>
        <w:footnoteReference w:id="3"/>
      </w:r>
      <w:r w:rsidRPr="00112A89">
        <w:rPr>
          <w:rFonts w:ascii="Arial" w:hAnsi="Arial" w:cs="Arial"/>
          <w:color w:val="000000" w:themeColor="text1"/>
          <w:sz w:val="22"/>
          <w:lang w:val="es-ES"/>
        </w:rPr>
        <w:t>, se ha considerado que estas normas deben interpretarse armónicamente con lo dispuesto en el artículo 141 de la precitada Ley</w:t>
      </w:r>
      <w:r w:rsidRPr="00112A89">
        <w:rPr>
          <w:rStyle w:val="Refdenotaalpie"/>
        </w:rPr>
        <w:footnoteReference w:id="4"/>
      </w:r>
      <w:r w:rsidRPr="00112A89">
        <w:rPr>
          <w:rFonts w:ascii="Arial" w:hAnsi="Arial" w:cs="Arial"/>
          <w:color w:val="000000" w:themeColor="text1"/>
          <w:sz w:val="22"/>
          <w:lang w:val="es-ES"/>
        </w:rPr>
        <w:t xml:space="preserve"> y el artículo 55 de la Ley 743 de 2002</w:t>
      </w:r>
      <w:r w:rsidRPr="00112A89">
        <w:rPr>
          <w:rStyle w:val="Refdenotaalpie"/>
        </w:rPr>
        <w:footnoteReference w:id="5"/>
      </w:r>
      <w:r w:rsidRPr="00112A89">
        <w:rPr>
          <w:rFonts w:ascii="Arial" w:hAnsi="Arial" w:cs="Arial"/>
          <w:color w:val="000000" w:themeColor="text1"/>
          <w:sz w:val="22"/>
          <w:lang w:val="es-ES"/>
        </w:rPr>
        <w:t xml:space="preserve"> –norma vigente hasta la expedición de la Ley 2166 de 2021–. </w:t>
      </w:r>
      <w:r w:rsidRPr="00112A89">
        <w:rPr>
          <w:rFonts w:ascii="Arial" w:eastAsiaTheme="minorHAnsi" w:hAnsi="Arial" w:cs="Arial"/>
          <w:color w:val="000000" w:themeColor="text1"/>
          <w:sz w:val="22"/>
          <w:szCs w:val="22"/>
          <w:lang w:val="es-ES" w:eastAsia="en-US"/>
        </w:rPr>
        <w:t>En virtud de tales disposiciones normativas, las organizaciones comunitarias cuentan con la posibilidad de «vincularse al desarrollo y mejoramiento municipal mediante la participación en el ejercicio de las funciones, la prestación de servicios o la ejecución de obras públicas a cargo de la administración central o descentralizada». Para ese efecto, se dará aplicación a los artículos 375 a 378 del Decreto 1333 de 1986 y al Estatuto General de Contratación de la Administración Pública. Esta modalidad de contratación resulta aplicable a todos los casos no reglamentados a través de normas específicas en los que: i) se vinculen entidades del orden nacional, municipal o distrital y organizaciones comunales; ii) se cumpla con el objetivo planteado en el parágrafo tercero del artículo tercero de la Ley 136 de 1994, en consonancia con el artículo 355 constitucional; y iii) no exista otra forma especial de contratación.</w:t>
      </w:r>
    </w:p>
    <w:p w14:paraId="3531176D" w14:textId="77777777" w:rsidR="0018226D" w:rsidRPr="00112A89" w:rsidRDefault="0018226D" w:rsidP="0018226D">
      <w:pPr>
        <w:spacing w:before="120" w:line="276" w:lineRule="auto"/>
        <w:ind w:firstLine="709"/>
        <w:jc w:val="both"/>
        <w:rPr>
          <w:rFonts w:ascii="Arial" w:eastAsiaTheme="minorHAnsi" w:hAnsi="Arial" w:cs="Arial"/>
          <w:color w:val="000000" w:themeColor="text1"/>
          <w:sz w:val="22"/>
          <w:szCs w:val="22"/>
          <w:lang w:val="es-ES" w:eastAsia="en-US"/>
        </w:rPr>
      </w:pPr>
      <w:r w:rsidRPr="00112A89">
        <w:rPr>
          <w:rFonts w:ascii="Arial" w:eastAsiaTheme="minorHAnsi" w:hAnsi="Arial" w:cs="Arial"/>
          <w:color w:val="000000" w:themeColor="text1"/>
          <w:sz w:val="22"/>
          <w:szCs w:val="22"/>
          <w:lang w:val="es-ES" w:eastAsia="en-US"/>
        </w:rPr>
        <w:t xml:space="preserve">Las anteriores precisiones son importantes para el objeto de la consulta puesto que, como se analizará a continuación, los 3 regímenes de contratación aplicables en los convenios solidarios celebrados con organismos de acción comunal se mantienen actualmente. Sin embargo, de acuerdo con las previsiones de la Ley 2166 de 2021, se presentan algunas variaciones en relación con el contenido de estos convenios. </w:t>
      </w:r>
    </w:p>
    <w:p w14:paraId="6B7622F7" w14:textId="77777777" w:rsidR="00EA2978" w:rsidRPr="00112A89" w:rsidRDefault="00EA2978" w:rsidP="00EA2978">
      <w:pPr>
        <w:spacing w:line="276" w:lineRule="auto"/>
        <w:jc w:val="both"/>
        <w:rPr>
          <w:rFonts w:ascii="Arial" w:eastAsia="Calibri" w:hAnsi="Arial" w:cs="Arial"/>
          <w:b/>
          <w:color w:val="000000" w:themeColor="text1"/>
          <w:sz w:val="22"/>
          <w:szCs w:val="22"/>
        </w:rPr>
      </w:pPr>
    </w:p>
    <w:p w14:paraId="375C75FB" w14:textId="560DD375" w:rsidR="0018226D" w:rsidRPr="00112A89" w:rsidRDefault="0018226D" w:rsidP="00EA2978">
      <w:pPr>
        <w:spacing w:line="276" w:lineRule="auto"/>
        <w:jc w:val="both"/>
        <w:rPr>
          <w:rFonts w:ascii="Arial" w:eastAsia="Calibri" w:hAnsi="Arial" w:cs="Arial"/>
          <w:b/>
          <w:color w:val="000000" w:themeColor="text1"/>
          <w:sz w:val="22"/>
          <w:szCs w:val="22"/>
        </w:rPr>
      </w:pPr>
      <w:r w:rsidRPr="00112A89">
        <w:rPr>
          <w:rFonts w:ascii="Arial" w:eastAsia="Calibri" w:hAnsi="Arial" w:cs="Arial"/>
          <w:b/>
          <w:color w:val="000000" w:themeColor="text1"/>
          <w:sz w:val="22"/>
          <w:szCs w:val="22"/>
        </w:rPr>
        <w:t>2.2. Convenios solidarios con organismos de acción comunal bajo la Ley 2166 de 2021</w:t>
      </w:r>
    </w:p>
    <w:p w14:paraId="7126FFAA" w14:textId="77777777" w:rsidR="0018226D" w:rsidRPr="00112A89" w:rsidRDefault="0018226D" w:rsidP="0018226D">
      <w:pPr>
        <w:spacing w:line="276" w:lineRule="auto"/>
        <w:jc w:val="both"/>
        <w:rPr>
          <w:rFonts w:ascii="Arial" w:eastAsia="Calibri" w:hAnsi="Arial" w:cs="Arial"/>
          <w:b/>
          <w:color w:val="000000" w:themeColor="text1"/>
          <w:sz w:val="22"/>
          <w:szCs w:val="22"/>
          <w:lang w:val="es-ES_tradnl"/>
        </w:rPr>
      </w:pPr>
    </w:p>
    <w:p w14:paraId="002B02AA" w14:textId="77777777" w:rsidR="0018226D" w:rsidRPr="00112A89" w:rsidRDefault="0018226D" w:rsidP="0018226D">
      <w:pPr>
        <w:spacing w:line="276" w:lineRule="auto"/>
        <w:jc w:val="both"/>
        <w:rPr>
          <w:rFonts w:ascii="Arial" w:hAnsi="Arial" w:cs="Arial"/>
          <w:bCs/>
          <w:color w:val="000000" w:themeColor="text1"/>
          <w:sz w:val="22"/>
          <w:lang w:eastAsia="es-MX"/>
        </w:rPr>
      </w:pPr>
      <w:r w:rsidRPr="00112A89">
        <w:rPr>
          <w:rFonts w:ascii="Arial" w:hAnsi="Arial" w:cs="Arial"/>
          <w:bCs/>
          <w:color w:val="000000" w:themeColor="text1"/>
          <w:sz w:val="22"/>
          <w:lang w:eastAsia="es-MX"/>
        </w:rPr>
        <w:t xml:space="preserve">Con la reciente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w:t>
      </w:r>
      <w:r w:rsidRPr="00112A89">
        <w:rPr>
          <w:rFonts w:ascii="Arial" w:hAnsi="Arial" w:cs="Arial"/>
          <w:bCs/>
          <w:color w:val="000000" w:themeColor="text1"/>
          <w:sz w:val="22"/>
          <w:lang w:eastAsia="es-MX"/>
        </w:rPr>
        <w:lastRenderedPageBreak/>
        <w:t xml:space="preserve">afiliados. De acuerdo con el artículo 1 de dicho cuerpo normativo esta ley tiene por objeto </w:t>
      </w:r>
      <w:r w:rsidRPr="00112A89">
        <w:rPr>
          <w:rFonts w:ascii="Arial" w:eastAsia="Calibri" w:hAnsi="Arial" w:cs="Arial"/>
          <w:color w:val="000000" w:themeColor="text1"/>
          <w:sz w:val="22"/>
          <w:szCs w:val="22"/>
          <w:lang w:val="es-ES_tradnl"/>
        </w:rPr>
        <w:t>«</w:t>
      </w:r>
      <w:r w:rsidRPr="00112A89">
        <w:rPr>
          <w:rFonts w:ascii="Arial" w:hAnsi="Arial" w:cs="Arial"/>
          <w:bCs/>
          <w:color w:val="000000" w:themeColor="text1"/>
          <w:sz w:val="22"/>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 […]</w:t>
      </w:r>
      <w:r w:rsidRPr="00112A89">
        <w:rPr>
          <w:rFonts w:ascii="Arial" w:eastAsia="Calibri" w:hAnsi="Arial" w:cs="Arial"/>
          <w:color w:val="000000" w:themeColor="text1"/>
          <w:sz w:val="22"/>
          <w:szCs w:val="22"/>
          <w:lang w:val="es-ES_tradnl"/>
        </w:rPr>
        <w:t>»</w:t>
      </w:r>
      <w:r w:rsidRPr="00112A89">
        <w:rPr>
          <w:rFonts w:ascii="Arial" w:hAnsi="Arial" w:cs="Arial"/>
          <w:bCs/>
          <w:color w:val="000000" w:themeColor="text1"/>
          <w:sz w:val="22"/>
          <w:lang w:eastAsia="es-MX"/>
        </w:rPr>
        <w:t xml:space="preserve">. </w:t>
      </w:r>
    </w:p>
    <w:p w14:paraId="0D11E870" w14:textId="77777777" w:rsidR="0018226D" w:rsidRPr="00112A89" w:rsidRDefault="0018226D" w:rsidP="0018226D">
      <w:pPr>
        <w:spacing w:before="120" w:line="276" w:lineRule="auto"/>
        <w:ind w:firstLine="709"/>
        <w:jc w:val="both"/>
        <w:rPr>
          <w:rFonts w:ascii="Arial" w:hAnsi="Arial" w:cs="Arial"/>
          <w:bCs/>
          <w:color w:val="000000" w:themeColor="text1"/>
          <w:sz w:val="22"/>
          <w:lang w:eastAsia="es-MX"/>
        </w:rPr>
      </w:pPr>
      <w:r w:rsidRPr="00112A89">
        <w:rPr>
          <w:rFonts w:ascii="Arial" w:hAnsi="Arial" w:cs="Arial"/>
          <w:bCs/>
          <w:color w:val="000000" w:themeColor="text1"/>
          <w:sz w:val="22"/>
          <w:lang w:eastAsia="es-MX"/>
        </w:rPr>
        <w:t xml:space="preserve">En desarrollo de lo anterior, el artículo 95 de dicha ley contempla la celebración de directa de convenios solidarios entre organismos de acción comunal y «los entes territoriales del orden Nacional, Departamental, Distrital y municipal» prescribiendo lo siguiente: </w:t>
      </w:r>
    </w:p>
    <w:p w14:paraId="030EB868" w14:textId="77777777" w:rsidR="0018226D" w:rsidRPr="00112A89" w:rsidRDefault="0018226D" w:rsidP="0018226D">
      <w:pPr>
        <w:spacing w:line="276" w:lineRule="auto"/>
        <w:ind w:firstLine="709"/>
        <w:jc w:val="both"/>
        <w:rPr>
          <w:rFonts w:ascii="Arial" w:hAnsi="Arial" w:cs="Arial"/>
          <w:bCs/>
          <w:color w:val="000000" w:themeColor="text1"/>
          <w:sz w:val="22"/>
          <w:lang w:eastAsia="es-MX"/>
        </w:rPr>
      </w:pPr>
    </w:p>
    <w:p w14:paraId="66C5139C" w14:textId="77777777" w:rsidR="0018226D" w:rsidRPr="00112A89" w:rsidRDefault="0018226D" w:rsidP="0018226D">
      <w:pPr>
        <w:ind w:left="709" w:right="709"/>
        <w:jc w:val="both"/>
        <w:rPr>
          <w:rFonts w:ascii="Arial" w:hAnsi="Arial" w:cs="Arial"/>
          <w:color w:val="000000" w:themeColor="text1"/>
          <w:sz w:val="21"/>
          <w:szCs w:val="21"/>
        </w:rPr>
      </w:pPr>
      <w:r w:rsidRPr="00112A89">
        <w:rPr>
          <w:rFonts w:ascii="Arial" w:hAnsi="Arial" w:cs="Arial"/>
          <w:color w:val="000000" w:themeColor="text1"/>
          <w:sz w:val="21"/>
          <w:szCs w:val="21"/>
        </w:rPr>
        <w:t>Artículo 95. Convenios Solidarios.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318E2E35" w14:textId="77777777" w:rsidR="0018226D" w:rsidRPr="00112A89" w:rsidRDefault="0018226D" w:rsidP="0018226D">
      <w:pPr>
        <w:ind w:left="709" w:right="709"/>
        <w:jc w:val="both"/>
        <w:rPr>
          <w:rFonts w:ascii="Arial" w:hAnsi="Arial" w:cs="Arial"/>
          <w:color w:val="000000" w:themeColor="text1"/>
          <w:sz w:val="21"/>
          <w:szCs w:val="21"/>
        </w:rPr>
      </w:pPr>
    </w:p>
    <w:p w14:paraId="368F655F" w14:textId="77777777" w:rsidR="0018226D" w:rsidRPr="00112A89" w:rsidRDefault="0018226D" w:rsidP="0018226D">
      <w:pPr>
        <w:ind w:left="709" w:right="709"/>
        <w:jc w:val="both"/>
        <w:rPr>
          <w:rFonts w:ascii="Arial" w:hAnsi="Arial" w:cs="Arial"/>
          <w:color w:val="000000" w:themeColor="text1"/>
          <w:sz w:val="21"/>
          <w:szCs w:val="21"/>
        </w:rPr>
      </w:pPr>
      <w:r w:rsidRPr="00112A89">
        <w:rPr>
          <w:rFonts w:ascii="Arial" w:hAnsi="Arial" w:cs="Arial"/>
          <w:color w:val="000000" w:themeColor="text1"/>
          <w:sz w:val="21"/>
          <w:szCs w:val="21"/>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3630B73E" w14:textId="77777777" w:rsidR="0018226D" w:rsidRPr="00112A89" w:rsidRDefault="0018226D" w:rsidP="0018226D">
      <w:pPr>
        <w:ind w:left="709" w:right="709"/>
        <w:jc w:val="both"/>
        <w:rPr>
          <w:rFonts w:ascii="Arial" w:hAnsi="Arial" w:cs="Arial"/>
          <w:color w:val="000000" w:themeColor="text1"/>
          <w:sz w:val="21"/>
          <w:szCs w:val="21"/>
        </w:rPr>
      </w:pPr>
    </w:p>
    <w:p w14:paraId="05F2952D" w14:textId="77777777" w:rsidR="0018226D" w:rsidRPr="00112A89" w:rsidRDefault="0018226D" w:rsidP="0018226D">
      <w:pPr>
        <w:ind w:left="709" w:right="709"/>
        <w:jc w:val="both"/>
        <w:rPr>
          <w:rFonts w:ascii="Arial" w:hAnsi="Arial" w:cs="Arial"/>
          <w:color w:val="000000" w:themeColor="text1"/>
          <w:sz w:val="21"/>
          <w:szCs w:val="21"/>
        </w:rPr>
      </w:pPr>
      <w:r w:rsidRPr="00112A89">
        <w:rPr>
          <w:rFonts w:ascii="Arial" w:hAnsi="Arial" w:cs="Arial"/>
          <w:color w:val="000000" w:themeColor="text1"/>
          <w:sz w:val="21"/>
          <w:szCs w:val="21"/>
        </w:rPr>
        <w:t>Parágrafo 2. Adicional del monto del Convenio Solidario, los entes territoriales deberán contar o disponer de personal técnico y administrativo-contable, para supervisar y apoyar a los Organismos de Acción Comunal en la ejecución de las obras</w:t>
      </w:r>
      <w:r w:rsidRPr="00112A89">
        <w:rPr>
          <w:rStyle w:val="Refdenotaalpie"/>
          <w:rFonts w:ascii="Arial" w:hAnsi="Arial" w:cs="Arial"/>
          <w:sz w:val="22"/>
          <w:szCs w:val="22"/>
        </w:rPr>
        <w:footnoteReference w:id="6"/>
      </w:r>
      <w:r w:rsidRPr="00112A89">
        <w:rPr>
          <w:rFonts w:ascii="Arial" w:hAnsi="Arial" w:cs="Arial"/>
          <w:color w:val="000000" w:themeColor="text1"/>
          <w:sz w:val="21"/>
          <w:szCs w:val="21"/>
        </w:rPr>
        <w:t>.</w:t>
      </w:r>
    </w:p>
    <w:p w14:paraId="4651960C" w14:textId="77777777" w:rsidR="0018226D" w:rsidRPr="00112A89" w:rsidRDefault="0018226D" w:rsidP="00D068F7">
      <w:pPr>
        <w:spacing w:line="276" w:lineRule="auto"/>
        <w:ind w:firstLine="709"/>
        <w:jc w:val="both"/>
        <w:rPr>
          <w:rFonts w:ascii="Arial" w:hAnsi="Arial" w:cs="Arial"/>
          <w:bCs/>
          <w:color w:val="000000" w:themeColor="text1"/>
          <w:sz w:val="22"/>
          <w:lang w:eastAsia="es-MX"/>
        </w:rPr>
      </w:pPr>
    </w:p>
    <w:p w14:paraId="42F614C3" w14:textId="77777777" w:rsidR="0018226D" w:rsidRPr="00112A89" w:rsidRDefault="0018226D" w:rsidP="00112A89">
      <w:pPr>
        <w:spacing w:line="276" w:lineRule="auto"/>
        <w:ind w:firstLine="709"/>
        <w:jc w:val="both"/>
        <w:rPr>
          <w:rFonts w:ascii="Arial" w:eastAsia="Calibri" w:hAnsi="Arial" w:cs="Arial"/>
          <w:color w:val="000000" w:themeColor="text1"/>
          <w:sz w:val="22"/>
          <w:szCs w:val="22"/>
          <w:lang w:val="es-ES_tradnl"/>
        </w:rPr>
      </w:pPr>
      <w:r w:rsidRPr="00112A89">
        <w:rPr>
          <w:rFonts w:ascii="Arial" w:hAnsi="Arial" w:cs="Arial"/>
          <w:bCs/>
          <w:color w:val="000000" w:themeColor="text1"/>
          <w:sz w:val="22"/>
          <w:lang w:eastAsia="es-MX"/>
        </w:rPr>
        <w:t xml:space="preserve">Según se evidencia, esta norma desarrolla las siguientes reglas: i) </w:t>
      </w:r>
      <w:r w:rsidRPr="00112A89">
        <w:rPr>
          <w:rFonts w:ascii="Arial" w:hAnsi="Arial" w:cs="Arial"/>
          <w:bCs/>
          <w:color w:val="000000" w:themeColor="text1"/>
          <w:sz w:val="22"/>
          <w:szCs w:val="22"/>
          <w:lang w:eastAsia="es-MX"/>
        </w:rPr>
        <w:t xml:space="preserve">Las </w:t>
      </w:r>
      <w:r w:rsidRPr="00112A89">
        <w:rPr>
          <w:rFonts w:ascii="Arial" w:eastAsia="Calibri" w:hAnsi="Arial" w:cs="Arial"/>
          <w:color w:val="000000" w:themeColor="text1"/>
          <w:sz w:val="22"/>
          <w:szCs w:val="22"/>
          <w:lang w:val="es-ES_tradnl"/>
        </w:rPr>
        <w:t>«</w:t>
      </w:r>
      <w:r w:rsidRPr="00112A89">
        <w:rPr>
          <w:rFonts w:ascii="Arial" w:hAnsi="Arial" w:cs="Arial"/>
          <w:bCs/>
          <w:color w:val="000000" w:themeColor="text1"/>
          <w:sz w:val="22"/>
          <w:szCs w:val="22"/>
          <w:lang w:eastAsia="es-MX"/>
        </w:rPr>
        <w:t>entidades territoriales del</w:t>
      </w:r>
      <w:r w:rsidRPr="00112A89">
        <w:rPr>
          <w:rFonts w:ascii="Arial" w:eastAsia="Calibri" w:hAnsi="Arial" w:cs="Arial"/>
          <w:color w:val="000000" w:themeColor="text1"/>
          <w:sz w:val="22"/>
          <w:szCs w:val="22"/>
          <w:lang w:val="es-ES_tradnl"/>
        </w:rPr>
        <w:t xml:space="preserve"> </w:t>
      </w:r>
      <w:r w:rsidRPr="00112A89">
        <w:rPr>
          <w:rFonts w:ascii="Arial" w:hAnsi="Arial" w:cs="Arial"/>
          <w:color w:val="000000" w:themeColor="text1"/>
          <w:sz w:val="22"/>
          <w:szCs w:val="22"/>
        </w:rPr>
        <w:t>orden Nacional, Departamental, Distrital y municipal</w:t>
      </w:r>
      <w:bookmarkStart w:id="5" w:name="_Hlk98576273"/>
      <w:r w:rsidRPr="00112A89">
        <w:rPr>
          <w:rFonts w:ascii="Arial" w:eastAsia="Calibri" w:hAnsi="Arial" w:cs="Arial"/>
          <w:color w:val="000000" w:themeColor="text1"/>
          <w:sz w:val="22"/>
          <w:szCs w:val="22"/>
          <w:lang w:val="es-ES_tradnl"/>
        </w:rPr>
        <w:t>»</w:t>
      </w:r>
      <w:bookmarkEnd w:id="5"/>
      <w:r w:rsidRPr="00112A89">
        <w:rPr>
          <w:rFonts w:ascii="Arial" w:eastAsia="Calibri" w:hAnsi="Arial" w:cs="Arial"/>
          <w:color w:val="000000" w:themeColor="text1"/>
          <w:sz w:val="22"/>
          <w:szCs w:val="22"/>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112A89">
        <w:rPr>
          <w:rFonts w:ascii="Arial" w:eastAsia="Calibri" w:hAnsi="Arial" w:cs="Arial"/>
          <w:i/>
          <w:iCs/>
          <w:color w:val="000000" w:themeColor="text1"/>
          <w:sz w:val="22"/>
          <w:szCs w:val="22"/>
          <w:lang w:val="es-ES_tradnl"/>
        </w:rPr>
        <w:t>organismos de acción comunal</w:t>
      </w:r>
      <w:r w:rsidRPr="00112A89">
        <w:rPr>
          <w:rStyle w:val="Refdenotaalpie"/>
          <w:rFonts w:ascii="Arial" w:eastAsia="Calibri" w:hAnsi="Arial" w:cs="Arial"/>
          <w:sz w:val="22"/>
          <w:szCs w:val="22"/>
        </w:rPr>
        <w:footnoteReference w:id="7"/>
      </w:r>
      <w:r w:rsidRPr="00112A89">
        <w:rPr>
          <w:rFonts w:ascii="Arial" w:eastAsia="Calibri" w:hAnsi="Arial" w:cs="Arial"/>
          <w:color w:val="000000" w:themeColor="text1"/>
          <w:sz w:val="22"/>
          <w:szCs w:val="22"/>
          <w:lang w:val="es-ES_tradnl"/>
        </w:rPr>
        <w:t xml:space="preserve">.  </w:t>
      </w:r>
    </w:p>
    <w:p w14:paraId="758764D6" w14:textId="77777777" w:rsidR="0018226D" w:rsidRPr="00112A89" w:rsidRDefault="0018226D" w:rsidP="0018226D">
      <w:pPr>
        <w:spacing w:before="120" w:line="276" w:lineRule="auto"/>
        <w:ind w:firstLine="709"/>
        <w:jc w:val="both"/>
        <w:rPr>
          <w:rFonts w:ascii="Arial" w:eastAsia="Calibri" w:hAnsi="Arial" w:cs="Arial"/>
          <w:color w:val="000000" w:themeColor="text1"/>
          <w:sz w:val="22"/>
          <w:szCs w:val="22"/>
          <w:lang w:val="es-ES_tradnl"/>
        </w:rPr>
      </w:pPr>
      <w:r w:rsidRPr="00112A89">
        <w:rPr>
          <w:rFonts w:ascii="Arial" w:eastAsia="Calibri" w:hAnsi="Arial" w:cs="Arial"/>
          <w:color w:val="000000" w:themeColor="text1"/>
          <w:sz w:val="22"/>
          <w:szCs w:val="22"/>
          <w:lang w:val="es-ES_tradnl"/>
        </w:rPr>
        <w:lastRenderedPageBreak/>
        <w:t xml:space="preserve">ii) Estos convenios solidarios deben tener por objeto únicamente la ejecución de obras. Esto significa que no pueden desarrollarse otros objetos distintos a la obra con fundamento en este artículo. </w:t>
      </w:r>
    </w:p>
    <w:p w14:paraId="66346A70" w14:textId="77777777" w:rsidR="0018226D" w:rsidRPr="00112A89" w:rsidRDefault="0018226D" w:rsidP="0018226D">
      <w:pPr>
        <w:spacing w:before="120" w:line="276" w:lineRule="auto"/>
        <w:ind w:firstLine="709"/>
        <w:jc w:val="both"/>
        <w:rPr>
          <w:rFonts w:ascii="Arial" w:eastAsia="Calibri" w:hAnsi="Arial" w:cs="Arial"/>
          <w:color w:val="000000" w:themeColor="text1"/>
          <w:sz w:val="22"/>
          <w:szCs w:val="22"/>
          <w:lang w:val="es-ES_tradnl"/>
        </w:rPr>
      </w:pPr>
      <w:r w:rsidRPr="00112A89">
        <w:rPr>
          <w:rFonts w:ascii="Arial" w:eastAsia="Calibri" w:hAnsi="Arial" w:cs="Arial"/>
          <w:color w:val="000000" w:themeColor="text1"/>
          <w:sz w:val="22"/>
          <w:szCs w:val="22"/>
          <w:lang w:val="es-ES_tradnl"/>
        </w:rPr>
        <w:t xml:space="preserve">iii)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
    <w:p w14:paraId="03E43EE8" w14:textId="77777777" w:rsidR="0018226D" w:rsidRPr="00112A89" w:rsidRDefault="0018226D" w:rsidP="0018226D">
      <w:pPr>
        <w:spacing w:before="120" w:line="276" w:lineRule="auto"/>
        <w:ind w:firstLine="709"/>
        <w:jc w:val="both"/>
        <w:rPr>
          <w:rFonts w:ascii="Arial" w:eastAsia="Calibri" w:hAnsi="Arial" w:cs="Arial"/>
          <w:color w:val="000000" w:themeColor="text1"/>
          <w:sz w:val="22"/>
          <w:szCs w:val="22"/>
          <w:lang w:val="es-ES_tradnl"/>
        </w:rPr>
      </w:pPr>
      <w:r w:rsidRPr="00112A89">
        <w:rPr>
          <w:rFonts w:ascii="Arial" w:eastAsia="Calibri" w:hAnsi="Arial" w:cs="Arial"/>
          <w:color w:val="000000" w:themeColor="text1"/>
          <w:sz w:val="22"/>
          <w:szCs w:val="22"/>
          <w:lang w:val="es-ES_tradnl"/>
        </w:rPr>
        <w:t>iv) Para la ejecución de las obras se establece el deber de contratar con los habitantes de la comunidad.</w:t>
      </w:r>
    </w:p>
    <w:p w14:paraId="52A2B210" w14:textId="77777777" w:rsidR="00597C38" w:rsidRPr="00112A89" w:rsidRDefault="0018226D" w:rsidP="0018226D">
      <w:pPr>
        <w:spacing w:before="120" w:line="276" w:lineRule="auto"/>
        <w:ind w:firstLine="709"/>
        <w:jc w:val="both"/>
        <w:rPr>
          <w:rFonts w:ascii="Arial" w:eastAsia="Calibri" w:hAnsi="Arial" w:cs="Arial"/>
          <w:color w:val="000000" w:themeColor="text1"/>
          <w:sz w:val="22"/>
          <w:szCs w:val="22"/>
        </w:rPr>
      </w:pPr>
      <w:r w:rsidRPr="00112A89">
        <w:rPr>
          <w:rFonts w:ascii="Arial" w:eastAsia="Calibri" w:hAnsi="Arial" w:cs="Arial"/>
          <w:color w:val="000000" w:themeColor="text1"/>
          <w:sz w:val="22"/>
          <w:szCs w:val="22"/>
          <w:lang w:val="es-ES_tradnl"/>
        </w:rPr>
        <w:t>v) En el valor total del convenio la entidad</w:t>
      </w:r>
      <w:r w:rsidR="00D630B1" w:rsidRPr="00112A89">
        <w:rPr>
          <w:rFonts w:ascii="Arial" w:eastAsia="Calibri" w:hAnsi="Arial" w:cs="Arial"/>
          <w:color w:val="000000" w:themeColor="text1"/>
          <w:sz w:val="22"/>
          <w:szCs w:val="22"/>
          <w:lang w:val="es-ES_tradnl"/>
        </w:rPr>
        <w:t xml:space="preserve"> </w:t>
      </w:r>
      <w:r w:rsidRPr="00112A89">
        <w:rPr>
          <w:rFonts w:ascii="Arial" w:eastAsia="Calibri" w:hAnsi="Arial" w:cs="Arial"/>
          <w:color w:val="000000" w:themeColor="text1"/>
          <w:sz w:val="22"/>
          <w:szCs w:val="22"/>
          <w:lang w:val="es-ES_tradnl"/>
        </w:rPr>
        <w:t xml:space="preserve">podrá incluir los costos directos, los costos administrativos y el subsidio </w:t>
      </w:r>
      <w:r w:rsidRPr="00112A89">
        <w:rPr>
          <w:rFonts w:ascii="Arial" w:eastAsia="Calibri" w:hAnsi="Arial" w:cs="Arial"/>
          <w:color w:val="000000" w:themeColor="text1"/>
          <w:sz w:val="22"/>
          <w:szCs w:val="22"/>
        </w:rPr>
        <w:t xml:space="preserve">al dignatario representante legal para transportes de que trata el literal c) del artículo 38 de la Ley 2166 de 2022. Estos costos deberán incluirse en el ejercicio de planeación que realice la entidad y estar debidamente justificados. </w:t>
      </w:r>
    </w:p>
    <w:p w14:paraId="57777F62" w14:textId="77777777" w:rsidR="0018226D" w:rsidRPr="00112A89" w:rsidRDefault="0018226D" w:rsidP="0018226D">
      <w:pPr>
        <w:spacing w:before="120" w:line="276" w:lineRule="auto"/>
        <w:ind w:firstLine="709"/>
        <w:jc w:val="both"/>
        <w:rPr>
          <w:rFonts w:ascii="Arial" w:eastAsia="Calibri" w:hAnsi="Arial" w:cs="Arial"/>
          <w:color w:val="000000" w:themeColor="text1"/>
          <w:sz w:val="22"/>
          <w:szCs w:val="22"/>
          <w:lang w:val="es-ES_tradnl"/>
        </w:rPr>
      </w:pPr>
      <w:r w:rsidRPr="00112A89">
        <w:rPr>
          <w:rFonts w:ascii="Arial" w:eastAsia="Calibri" w:hAnsi="Arial" w:cs="Arial"/>
          <w:color w:val="000000" w:themeColor="text1"/>
          <w:sz w:val="22"/>
          <w:szCs w:val="22"/>
        </w:rPr>
        <w:t xml:space="preserve">vi) Las entidades deberán contar con personal técnico y administrativo-contable para apoyar y supervisar a los organismos de acción comunal durante la ejecución de las obras. </w:t>
      </w:r>
    </w:p>
    <w:p w14:paraId="1E5EB19D" w14:textId="77777777" w:rsidR="0018226D" w:rsidRPr="00112A89" w:rsidRDefault="0018226D" w:rsidP="0018226D">
      <w:pPr>
        <w:spacing w:before="120" w:line="276" w:lineRule="auto"/>
        <w:ind w:firstLine="709"/>
        <w:jc w:val="both"/>
        <w:rPr>
          <w:rFonts w:ascii="Arial" w:hAnsi="Arial" w:cs="Arial"/>
          <w:bCs/>
          <w:color w:val="000000" w:themeColor="text1"/>
          <w:sz w:val="22"/>
          <w:lang w:eastAsia="es-MX"/>
        </w:rPr>
      </w:pPr>
      <w:r w:rsidRPr="00112A89">
        <w:rPr>
          <w:rFonts w:ascii="Arial" w:hAnsi="Arial" w:cs="Arial"/>
          <w:bCs/>
          <w:color w:val="000000" w:themeColor="text1"/>
          <w:sz w:val="22"/>
          <w:lang w:eastAsia="es-MX"/>
        </w:rPr>
        <w:t xml:space="preserve">Como se observa, el artículo 95 de la Ley 2166 de 2021 determina la celebración por contratación directa de convenios solidarios. Este régimen de contratación, como se explicó, ya se había contemplado inicialmente en el parágrafo 4 del artículo 3 de la Ley 136 de 1994. Sin embargo, el contenido del artículo 95 es más amplio en relación con los </w:t>
      </w:r>
      <w:r w:rsidRPr="00112A89">
        <w:rPr>
          <w:rFonts w:ascii="Arial" w:hAnsi="Arial" w:cs="Arial"/>
          <w:bCs/>
          <w:color w:val="000000" w:themeColor="text1"/>
          <w:sz w:val="22"/>
          <w:lang w:eastAsia="es-MX"/>
        </w:rPr>
        <w:lastRenderedPageBreak/>
        <w:t xml:space="preserve">sujetos, la cuantía del contrato y la ejecución de dichos convenios. En efecto, el artículo 95 incluye a los </w:t>
      </w:r>
      <w:bookmarkStart w:id="7" w:name="_Hlk98594011"/>
      <w:r w:rsidRPr="00112A89">
        <w:rPr>
          <w:rFonts w:ascii="Arial" w:eastAsia="Calibri" w:hAnsi="Arial" w:cs="Arial"/>
          <w:color w:val="000000" w:themeColor="text1"/>
          <w:sz w:val="22"/>
          <w:szCs w:val="22"/>
          <w:lang w:val="es-ES_tradnl"/>
        </w:rPr>
        <w:t>«</w:t>
      </w:r>
      <w:bookmarkEnd w:id="7"/>
      <w:r w:rsidRPr="00112A89">
        <w:rPr>
          <w:rFonts w:ascii="Arial" w:hAnsi="Arial" w:cs="Arial"/>
          <w:bCs/>
          <w:color w:val="000000" w:themeColor="text1"/>
          <w:sz w:val="22"/>
          <w:szCs w:val="22"/>
          <w:lang w:eastAsia="es-MX"/>
        </w:rPr>
        <w:t>entes territoriales del</w:t>
      </w:r>
      <w:r w:rsidRPr="00112A89">
        <w:rPr>
          <w:rFonts w:ascii="Arial" w:eastAsia="Calibri" w:hAnsi="Arial" w:cs="Arial"/>
          <w:color w:val="000000" w:themeColor="text1"/>
          <w:sz w:val="22"/>
          <w:szCs w:val="22"/>
          <w:lang w:val="es-ES_tradnl"/>
        </w:rPr>
        <w:t xml:space="preserve"> </w:t>
      </w:r>
      <w:r w:rsidRPr="00112A89">
        <w:rPr>
          <w:rFonts w:ascii="Arial" w:hAnsi="Arial" w:cs="Arial"/>
          <w:color w:val="000000" w:themeColor="text1"/>
          <w:sz w:val="22"/>
          <w:szCs w:val="22"/>
        </w:rPr>
        <w:t>orden Nacional, Departamental, Distrital y municipal</w:t>
      </w:r>
      <w:bookmarkStart w:id="8" w:name="_Hlk98583226"/>
      <w:r w:rsidRPr="00112A89">
        <w:rPr>
          <w:rFonts w:ascii="Arial" w:eastAsia="Calibri" w:hAnsi="Arial" w:cs="Arial"/>
          <w:color w:val="000000" w:themeColor="text1"/>
          <w:sz w:val="22"/>
          <w:szCs w:val="22"/>
          <w:lang w:val="es-ES_tradnl"/>
        </w:rPr>
        <w:t>»</w:t>
      </w:r>
      <w:bookmarkEnd w:id="8"/>
      <w:r w:rsidRPr="00112A89">
        <w:rPr>
          <w:rFonts w:ascii="Arial" w:eastAsia="Calibri" w:hAnsi="Arial" w:cs="Arial"/>
          <w:color w:val="000000" w:themeColor="text1"/>
          <w:sz w:val="22"/>
          <w:szCs w:val="22"/>
          <w:lang w:val="es-ES_tradnl"/>
        </w:rPr>
        <w:t xml:space="preserve"> y a los «organismos de acción comunal». Es decir, </w:t>
      </w:r>
      <w:r w:rsidRPr="00112A89">
        <w:rPr>
          <w:rFonts w:ascii="Arial" w:hAnsi="Arial" w:cs="Arial"/>
          <w:bCs/>
          <w:color w:val="000000" w:themeColor="text1"/>
          <w:sz w:val="22"/>
          <w:lang w:eastAsia="es-MX"/>
        </w:rPr>
        <w:t xml:space="preserve">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w:t>
      </w:r>
    </w:p>
    <w:p w14:paraId="0E11A04F" w14:textId="661DF849" w:rsidR="00510F0F" w:rsidRPr="00112A89" w:rsidRDefault="0018226D" w:rsidP="0018226D">
      <w:pPr>
        <w:spacing w:before="120" w:line="276" w:lineRule="auto"/>
        <w:ind w:firstLine="709"/>
        <w:jc w:val="both"/>
        <w:rPr>
          <w:rFonts w:ascii="Arial" w:hAnsi="Arial" w:cs="Arial"/>
          <w:bCs/>
          <w:color w:val="000000" w:themeColor="text1"/>
          <w:sz w:val="22"/>
          <w:lang w:eastAsia="es-MX"/>
        </w:rPr>
      </w:pPr>
      <w:r w:rsidRPr="00112A89">
        <w:rPr>
          <w:rFonts w:ascii="Arial" w:hAnsi="Arial" w:cs="Arial"/>
          <w:bCs/>
          <w:color w:val="000000" w:themeColor="text1"/>
          <w:sz w:val="22"/>
          <w:lang w:eastAsia="es-MX"/>
        </w:rPr>
        <w:t>En relación con los sujetos, es importante señalar</w:t>
      </w:r>
      <w:r w:rsidR="00471E58" w:rsidRPr="00112A89">
        <w:rPr>
          <w:rFonts w:ascii="Arial" w:hAnsi="Arial" w:cs="Arial"/>
          <w:bCs/>
          <w:color w:val="000000" w:themeColor="text1"/>
          <w:sz w:val="22"/>
          <w:lang w:eastAsia="es-MX"/>
        </w:rPr>
        <w:t xml:space="preserve"> –como lo indicó esta Agencia en el </w:t>
      </w:r>
      <w:r w:rsidR="00BE3327" w:rsidRPr="00D068F7">
        <w:rPr>
          <w:rFonts w:ascii="Arial" w:eastAsia="Calibri" w:hAnsi="Arial" w:cs="Arial"/>
          <w:color w:val="000000" w:themeColor="text1"/>
          <w:sz w:val="22"/>
          <w:lang w:val="es-ES"/>
        </w:rPr>
        <w:t>C</w:t>
      </w:r>
      <w:r w:rsidR="00471E58" w:rsidRPr="00112A89">
        <w:rPr>
          <w:rFonts w:ascii="Arial" w:eastAsia="Calibri" w:hAnsi="Arial" w:cs="Arial"/>
          <w:color w:val="000000" w:themeColor="text1"/>
          <w:sz w:val="22"/>
          <w:lang w:val="es-ES"/>
        </w:rPr>
        <w:t>oncepto C-119 del 25 de marzo de 2022–</w:t>
      </w:r>
      <w:r w:rsidRPr="00112A89">
        <w:rPr>
          <w:rFonts w:ascii="Arial" w:hAnsi="Arial" w:cs="Arial"/>
          <w:bCs/>
          <w:color w:val="000000" w:themeColor="text1"/>
          <w:sz w:val="22"/>
          <w:lang w:eastAsia="es-MX"/>
        </w:rPr>
        <w:t xml:space="preserve"> que</w:t>
      </w:r>
      <w:r w:rsidRPr="00112A89">
        <w:rPr>
          <w:rFonts w:ascii="Arial" w:eastAsia="Calibri" w:hAnsi="Arial" w:cs="Arial"/>
          <w:color w:val="000000" w:themeColor="text1"/>
          <w:sz w:val="22"/>
          <w:szCs w:val="22"/>
          <w:lang w:val="es-ES_tradnl"/>
        </w:rPr>
        <w:t xml:space="preserve"> aunque la norma de forma imprecisa incluye como parte de los «entes territoriales» a las entidades del orden nacional</w:t>
      </w:r>
      <w:r w:rsidRPr="00112A89">
        <w:rPr>
          <w:rStyle w:val="Refdenotaalpie"/>
          <w:rFonts w:eastAsia="Calibri"/>
        </w:rPr>
        <w:footnoteReference w:id="8"/>
      </w:r>
      <w:r w:rsidRPr="00112A89">
        <w:rPr>
          <w:rFonts w:ascii="Arial" w:eastAsia="Calibri" w:hAnsi="Arial" w:cs="Arial"/>
          <w:color w:val="000000" w:themeColor="text1"/>
          <w:sz w:val="22"/>
          <w:szCs w:val="22"/>
          <w:lang w:val="es-ES_tradnl"/>
        </w:rPr>
        <w:t xml:space="preserve">, a nuestro juicio su intención no es otra que incluir a las entidades del orden nacional dentro de los sujetos que pueden celebrar estos convenios solidarios con los organismos de acción comunal. Esta interpretación resulta coherente </w:t>
      </w:r>
      <w:r w:rsidRPr="00112A89">
        <w:rPr>
          <w:rFonts w:ascii="Arial" w:hAnsi="Arial" w:cs="Arial"/>
          <w:bCs/>
          <w:color w:val="000000" w:themeColor="text1"/>
          <w:sz w:val="22"/>
          <w:lang w:eastAsia="es-MX"/>
        </w:rPr>
        <w:t xml:space="preserve">con lo señalado en el trámite legislativo en el Congreso de la República de la Ley 2166 de 2021, conforme al cual esta iniciativa legislativa pretende fortalecer las organizaciones comunales </w:t>
      </w:r>
      <w:r w:rsidRPr="00112A89">
        <w:rPr>
          <w:rFonts w:ascii="Arial" w:eastAsia="Calibri" w:hAnsi="Arial" w:cs="Arial"/>
          <w:color w:val="000000" w:themeColor="text1"/>
          <w:sz w:val="22"/>
          <w:szCs w:val="22"/>
          <w:lang w:val="es-ES_tradnl"/>
        </w:rPr>
        <w:t>«</w:t>
      </w:r>
      <w:r w:rsidRPr="00112A89">
        <w:rPr>
          <w:rFonts w:ascii="Arial" w:hAnsi="Arial" w:cs="Arial"/>
          <w:bCs/>
          <w:color w:val="000000" w:themeColor="text1"/>
          <w:sz w:val="22"/>
          <w:lang w:eastAsia="es-MX"/>
        </w:rPr>
        <w:t xml:space="preserve">incentivando la formulación y ejecución de los Planes de Desarrollo Estratégicos Comunales y </w:t>
      </w:r>
      <w:r w:rsidRPr="00112A89">
        <w:rPr>
          <w:rFonts w:ascii="Arial" w:hAnsi="Arial" w:cs="Arial"/>
          <w:bCs/>
          <w:i/>
          <w:iCs/>
          <w:color w:val="000000" w:themeColor="text1"/>
          <w:sz w:val="22"/>
          <w:lang w:eastAsia="es-MX"/>
        </w:rPr>
        <w:t>su capacidad de contratación social con el Estado</w:t>
      </w:r>
      <w:r w:rsidRPr="00112A89">
        <w:rPr>
          <w:rFonts w:ascii="Arial" w:hAnsi="Arial" w:cs="Arial"/>
          <w:bCs/>
          <w:color w:val="000000" w:themeColor="text1"/>
          <w:sz w:val="22"/>
          <w:lang w:eastAsia="es-MX"/>
        </w:rPr>
        <w:t xml:space="preserve"> a través de herramientas que beneficien el desarrollo de los territorios y sus comunidades</w:t>
      </w:r>
      <w:r w:rsidRPr="00112A89">
        <w:rPr>
          <w:rFonts w:ascii="Arial" w:eastAsia="Calibri" w:hAnsi="Arial" w:cs="Arial"/>
          <w:color w:val="000000" w:themeColor="text1"/>
          <w:sz w:val="22"/>
          <w:szCs w:val="22"/>
          <w:lang w:val="es-ES_tradnl"/>
        </w:rPr>
        <w:t>»</w:t>
      </w:r>
      <w:r w:rsidRPr="00112A89">
        <w:rPr>
          <w:rStyle w:val="Refdenotaalpie"/>
          <w:rFonts w:eastAsia="Calibri"/>
        </w:rPr>
        <w:footnoteReference w:id="9"/>
      </w:r>
      <w:r w:rsidRPr="00112A89">
        <w:rPr>
          <w:rFonts w:ascii="Arial" w:eastAsia="Calibri" w:hAnsi="Arial" w:cs="Arial"/>
          <w:color w:val="000000" w:themeColor="text1"/>
          <w:sz w:val="22"/>
          <w:szCs w:val="22"/>
          <w:lang w:val="es-ES_tradnl"/>
        </w:rPr>
        <w:t xml:space="preserve"> (Énfasis por fuera de texto)</w:t>
      </w:r>
      <w:r w:rsidRPr="00112A89">
        <w:rPr>
          <w:rFonts w:ascii="Arial" w:hAnsi="Arial" w:cs="Arial"/>
          <w:bCs/>
          <w:color w:val="000000" w:themeColor="text1"/>
          <w:sz w:val="22"/>
          <w:lang w:eastAsia="es-MX"/>
        </w:rPr>
        <w:t xml:space="preserve">. Asimismo, el artículo 1 de la Ley 2166 de 2021 señala como objetivo de esta </w:t>
      </w:r>
      <w:r w:rsidRPr="00112A89">
        <w:rPr>
          <w:rFonts w:ascii="Arial" w:eastAsia="Calibri" w:hAnsi="Arial" w:cs="Arial"/>
          <w:color w:val="000000" w:themeColor="text1"/>
          <w:sz w:val="22"/>
          <w:szCs w:val="22"/>
          <w:lang w:val="es-ES_tradnl"/>
        </w:rPr>
        <w:t>«</w:t>
      </w:r>
      <w:r w:rsidRPr="00112A89">
        <w:rPr>
          <w:rFonts w:ascii="Arial" w:eastAsia="Calibri" w:hAnsi="Arial" w:cs="Arial"/>
          <w:color w:val="000000" w:themeColor="text1"/>
          <w:sz w:val="22"/>
          <w:szCs w:val="22"/>
        </w:rPr>
        <w:t>establecer un marco jurídico para sus relaciones con el Estado y con los particulares, así como para el cabal ejercicio de derechos y deberes</w:t>
      </w:r>
      <w:r w:rsidRPr="00112A89">
        <w:rPr>
          <w:rFonts w:ascii="Arial" w:eastAsia="Calibri" w:hAnsi="Arial" w:cs="Arial"/>
          <w:color w:val="000000" w:themeColor="text1"/>
          <w:sz w:val="22"/>
          <w:szCs w:val="22"/>
          <w:lang w:val="es-ES_tradnl"/>
        </w:rPr>
        <w:t>»</w:t>
      </w:r>
      <w:r w:rsidRPr="00112A89">
        <w:rPr>
          <w:rFonts w:ascii="Arial" w:hAnsi="Arial" w:cs="Arial"/>
          <w:bCs/>
          <w:color w:val="000000" w:themeColor="text1"/>
          <w:sz w:val="22"/>
          <w:lang w:eastAsia="es-MX"/>
        </w:rPr>
        <w:t xml:space="preserve">. De esta manera, el artículo 95 </w:t>
      </w:r>
      <w:r w:rsidRPr="00112A89">
        <w:rPr>
          <w:rFonts w:ascii="Arial" w:hAnsi="Arial" w:cs="Arial"/>
          <w:bCs/>
          <w:i/>
          <w:iCs/>
          <w:color w:val="000000" w:themeColor="text1"/>
          <w:sz w:val="22"/>
          <w:lang w:eastAsia="es-MX"/>
        </w:rPr>
        <w:t xml:space="preserve">ibidem </w:t>
      </w:r>
      <w:r w:rsidRPr="00112A89">
        <w:rPr>
          <w:rFonts w:ascii="Arial" w:hAnsi="Arial" w:cs="Arial"/>
          <w:bCs/>
          <w:color w:val="000000" w:themeColor="text1"/>
          <w:sz w:val="22"/>
          <w:lang w:eastAsia="es-MX"/>
        </w:rPr>
        <w:t>desarrolla estos objetivos</w:t>
      </w:r>
      <w:r w:rsidRPr="00112A89">
        <w:rPr>
          <w:rFonts w:ascii="Arial" w:hAnsi="Arial" w:cs="Arial"/>
          <w:bCs/>
          <w:i/>
          <w:iCs/>
          <w:color w:val="000000" w:themeColor="text1"/>
          <w:sz w:val="22"/>
          <w:lang w:eastAsia="es-MX"/>
        </w:rPr>
        <w:t xml:space="preserve"> y </w:t>
      </w:r>
      <w:r w:rsidRPr="00112A89">
        <w:rPr>
          <w:rFonts w:ascii="Arial" w:hAnsi="Arial" w:cs="Arial"/>
          <w:bCs/>
          <w:color w:val="000000" w:themeColor="text1"/>
          <w:sz w:val="22"/>
          <w:lang w:eastAsia="es-MX"/>
        </w:rPr>
        <w:t>permite la celebración de convenios solidarios con entidades territoriales del orden departamental, municipal y distrital, así como con las entidades del orden nacional.</w:t>
      </w:r>
    </w:p>
    <w:p w14:paraId="612BF923" w14:textId="535192F3" w:rsidR="00941CFB" w:rsidRPr="00112A89" w:rsidRDefault="00212CCD" w:rsidP="00941CFB">
      <w:pPr>
        <w:spacing w:before="120" w:line="276" w:lineRule="auto"/>
        <w:ind w:firstLine="709"/>
        <w:jc w:val="both"/>
        <w:rPr>
          <w:rFonts w:ascii="Arial" w:eastAsia="Calibri" w:hAnsi="Arial" w:cs="Arial"/>
          <w:color w:val="000000" w:themeColor="text1"/>
          <w:sz w:val="22"/>
          <w:szCs w:val="22"/>
        </w:rPr>
      </w:pPr>
      <w:r w:rsidRPr="00112A89">
        <w:rPr>
          <w:rFonts w:ascii="Arial" w:eastAsia="Calibri" w:hAnsi="Arial" w:cs="Arial"/>
          <w:color w:val="000000" w:themeColor="text1"/>
          <w:sz w:val="22"/>
          <w:szCs w:val="22"/>
        </w:rPr>
        <w:t>Por ello</w:t>
      </w:r>
      <w:r w:rsidR="006755A3" w:rsidRPr="00112A89">
        <w:rPr>
          <w:rFonts w:ascii="Arial" w:eastAsia="Calibri" w:hAnsi="Arial" w:cs="Arial"/>
          <w:color w:val="000000" w:themeColor="text1"/>
          <w:sz w:val="22"/>
          <w:szCs w:val="22"/>
        </w:rPr>
        <w:t>,</w:t>
      </w:r>
      <w:r w:rsidRPr="00112A89">
        <w:rPr>
          <w:rFonts w:ascii="Arial" w:eastAsia="Calibri" w:hAnsi="Arial" w:cs="Arial"/>
          <w:color w:val="000000" w:themeColor="text1"/>
          <w:sz w:val="22"/>
          <w:szCs w:val="22"/>
        </w:rPr>
        <w:t xml:space="preserve"> en armonía con el </w:t>
      </w:r>
      <w:r w:rsidR="00EC238A" w:rsidRPr="00D068F7">
        <w:rPr>
          <w:rFonts w:ascii="Arial" w:eastAsia="Calibri" w:hAnsi="Arial" w:cs="Arial"/>
          <w:color w:val="000000" w:themeColor="text1"/>
          <w:sz w:val="22"/>
          <w:lang w:val="es-ES"/>
        </w:rPr>
        <w:t>C</w:t>
      </w:r>
      <w:r w:rsidRPr="00112A89">
        <w:rPr>
          <w:rFonts w:ascii="Arial" w:eastAsia="Calibri" w:hAnsi="Arial" w:cs="Arial"/>
          <w:color w:val="000000" w:themeColor="text1"/>
          <w:sz w:val="22"/>
          <w:lang w:val="es-ES"/>
        </w:rPr>
        <w:t>oncepto C-119 del 25 de marzo de 2022</w:t>
      </w:r>
      <w:r w:rsidR="001358C5" w:rsidRPr="00112A89">
        <w:rPr>
          <w:rFonts w:ascii="Arial" w:eastAsia="Calibri" w:hAnsi="Arial" w:cs="Arial"/>
          <w:color w:val="000000" w:themeColor="text1"/>
          <w:sz w:val="22"/>
          <w:lang w:val="es-ES"/>
        </w:rPr>
        <w:t>, puede afirmarse que</w:t>
      </w:r>
      <w:r w:rsidR="006755A3" w:rsidRPr="00112A89">
        <w:rPr>
          <w:rFonts w:ascii="Arial" w:eastAsia="Calibri" w:hAnsi="Arial" w:cs="Arial"/>
          <w:color w:val="000000" w:themeColor="text1"/>
          <w:sz w:val="22"/>
          <w:szCs w:val="22"/>
        </w:rPr>
        <w:t xml:space="preserve"> aunque en los parágrafos 1 y 2 del artículo 95</w:t>
      </w:r>
      <w:r w:rsidR="0063152E" w:rsidRPr="00112A89">
        <w:rPr>
          <w:rFonts w:ascii="Arial" w:eastAsia="Calibri" w:hAnsi="Arial" w:cs="Arial"/>
          <w:color w:val="000000" w:themeColor="text1"/>
          <w:sz w:val="22"/>
          <w:szCs w:val="22"/>
        </w:rPr>
        <w:t xml:space="preserve"> de la Ley 2166 de 2021</w:t>
      </w:r>
      <w:r w:rsidR="006755A3" w:rsidRPr="00112A89">
        <w:rPr>
          <w:rFonts w:ascii="Arial" w:eastAsia="Calibri" w:hAnsi="Arial" w:cs="Arial"/>
          <w:color w:val="000000" w:themeColor="text1"/>
          <w:sz w:val="22"/>
          <w:szCs w:val="22"/>
        </w:rPr>
        <w:t xml:space="preserve"> el legislador se refiere a los «entes territoriales», tal expresión debe interpretarse de manera </w:t>
      </w:r>
      <w:r w:rsidR="006755A3" w:rsidRPr="00112A89">
        <w:rPr>
          <w:rFonts w:ascii="Arial" w:eastAsia="Calibri" w:hAnsi="Arial" w:cs="Arial"/>
          <w:i/>
          <w:iCs/>
          <w:color w:val="000000" w:themeColor="text1"/>
          <w:sz w:val="22"/>
          <w:szCs w:val="22"/>
        </w:rPr>
        <w:t>sistemática</w:t>
      </w:r>
      <w:r w:rsidR="006755A3" w:rsidRPr="00112A89">
        <w:rPr>
          <w:rFonts w:ascii="Arial" w:eastAsia="Calibri" w:hAnsi="Arial" w:cs="Arial"/>
          <w:color w:val="000000" w:themeColor="text1"/>
          <w:sz w:val="22"/>
          <w:szCs w:val="22"/>
        </w:rPr>
        <w:t xml:space="preserve"> con lo </w:t>
      </w:r>
      <w:r w:rsidR="009A42B9" w:rsidRPr="00112A89">
        <w:rPr>
          <w:rFonts w:ascii="Arial" w:eastAsia="Calibri" w:hAnsi="Arial" w:cs="Arial"/>
          <w:color w:val="000000" w:themeColor="text1"/>
          <w:sz w:val="22"/>
          <w:szCs w:val="22"/>
        </w:rPr>
        <w:t>dispuesto</w:t>
      </w:r>
      <w:r w:rsidR="006755A3" w:rsidRPr="00112A89">
        <w:rPr>
          <w:rFonts w:ascii="Arial" w:eastAsia="Calibri" w:hAnsi="Arial" w:cs="Arial"/>
          <w:color w:val="000000" w:themeColor="text1"/>
          <w:sz w:val="22"/>
          <w:szCs w:val="22"/>
        </w:rPr>
        <w:t xml:space="preserve"> en el primer inciso del artículo </w:t>
      </w:r>
      <w:r w:rsidR="006755A3" w:rsidRPr="00112A89">
        <w:rPr>
          <w:rFonts w:ascii="Arial" w:eastAsia="Calibri" w:hAnsi="Arial" w:cs="Arial"/>
          <w:i/>
          <w:iCs/>
          <w:color w:val="000000" w:themeColor="text1"/>
          <w:sz w:val="22"/>
          <w:szCs w:val="22"/>
        </w:rPr>
        <w:t>ibídem</w:t>
      </w:r>
      <w:r w:rsidR="006755A3" w:rsidRPr="00112A89">
        <w:rPr>
          <w:rFonts w:ascii="Arial" w:eastAsia="Calibri" w:hAnsi="Arial" w:cs="Arial"/>
          <w:color w:val="000000" w:themeColor="text1"/>
          <w:sz w:val="22"/>
          <w:szCs w:val="22"/>
        </w:rPr>
        <w:t>, que establece que los entes territoriales pueden ser «del orden Nacional, Departamental, Distrital y municipal».</w:t>
      </w:r>
      <w:r w:rsidR="001358C5" w:rsidRPr="00112A89">
        <w:rPr>
          <w:rFonts w:ascii="Arial" w:eastAsia="Calibri" w:hAnsi="Arial" w:cs="Arial"/>
          <w:color w:val="000000" w:themeColor="text1"/>
          <w:sz w:val="22"/>
          <w:szCs w:val="22"/>
        </w:rPr>
        <w:t xml:space="preserve"> </w:t>
      </w:r>
      <w:r w:rsidR="006755A3" w:rsidRPr="00112A89">
        <w:rPr>
          <w:rFonts w:ascii="Arial" w:eastAsia="Calibri" w:hAnsi="Arial" w:cs="Arial"/>
          <w:color w:val="000000" w:themeColor="text1"/>
          <w:sz w:val="22"/>
          <w:szCs w:val="22"/>
        </w:rPr>
        <w:t xml:space="preserve">Además, de entenderse que el concepto «ente territorial», </w:t>
      </w:r>
      <w:r w:rsidR="009A42B9" w:rsidRPr="00112A89">
        <w:rPr>
          <w:rFonts w:ascii="Arial" w:eastAsia="Calibri" w:hAnsi="Arial" w:cs="Arial"/>
          <w:color w:val="000000" w:themeColor="text1"/>
          <w:sz w:val="22"/>
          <w:szCs w:val="22"/>
        </w:rPr>
        <w:t xml:space="preserve">previsto </w:t>
      </w:r>
      <w:r w:rsidR="006755A3" w:rsidRPr="00112A89">
        <w:rPr>
          <w:rFonts w:ascii="Arial" w:eastAsia="Calibri" w:hAnsi="Arial" w:cs="Arial"/>
          <w:color w:val="000000" w:themeColor="text1"/>
          <w:sz w:val="22"/>
          <w:szCs w:val="22"/>
        </w:rPr>
        <w:t xml:space="preserve">en los referidos parágrafos, no comprende a la Nación, se llegaría al contrasentido de concluir que esta no </w:t>
      </w:r>
      <w:r w:rsidR="006755A3" w:rsidRPr="00112A89">
        <w:rPr>
          <w:rFonts w:ascii="Arial" w:eastAsia="Calibri" w:hAnsi="Arial" w:cs="Arial"/>
          <w:color w:val="000000" w:themeColor="text1"/>
          <w:sz w:val="22"/>
          <w:szCs w:val="22"/>
        </w:rPr>
        <w:lastRenderedPageBreak/>
        <w:t xml:space="preserve">se encuentra obligada a contar con personal técnico y administrativo-contable para </w:t>
      </w:r>
      <w:r w:rsidR="006755A3" w:rsidRPr="00112A89">
        <w:rPr>
          <w:rFonts w:ascii="Arial" w:eastAsia="Calibri" w:hAnsi="Arial" w:cs="Arial"/>
          <w:i/>
          <w:iCs/>
          <w:color w:val="000000" w:themeColor="text1"/>
          <w:sz w:val="22"/>
          <w:szCs w:val="22"/>
        </w:rPr>
        <w:t>supervisar</w:t>
      </w:r>
      <w:r w:rsidR="006755A3" w:rsidRPr="00112A89">
        <w:rPr>
          <w:rFonts w:ascii="Arial" w:eastAsia="Calibri" w:hAnsi="Arial" w:cs="Arial"/>
          <w:color w:val="000000" w:themeColor="text1"/>
          <w:sz w:val="22"/>
          <w:szCs w:val="22"/>
        </w:rPr>
        <w:t xml:space="preserve"> la ejecución del convenio, como lo exige el parágrafo 2 –que también emplea el concepto de «ente territorial»–, lo cual comprometería gravemente el cumplimiento del convenio solidario y el principio de responsabilidad previsto en el artículo 26 de la Ley 80 de 1993. </w:t>
      </w:r>
    </w:p>
    <w:p w14:paraId="74746A7D" w14:textId="613AB0D8" w:rsidR="00E37D50" w:rsidRPr="00112A89" w:rsidRDefault="006755A3" w:rsidP="00E312C8">
      <w:pPr>
        <w:spacing w:before="120" w:line="276" w:lineRule="auto"/>
        <w:ind w:firstLine="709"/>
        <w:jc w:val="both"/>
        <w:rPr>
          <w:rFonts w:ascii="Arial" w:eastAsia="Calibri" w:hAnsi="Arial" w:cs="Arial"/>
          <w:color w:val="000000" w:themeColor="text1"/>
          <w:sz w:val="22"/>
          <w:szCs w:val="22"/>
        </w:rPr>
      </w:pPr>
      <w:r w:rsidRPr="00112A89">
        <w:rPr>
          <w:rFonts w:ascii="Arial" w:eastAsia="Calibri" w:hAnsi="Arial" w:cs="Arial"/>
          <w:color w:val="000000" w:themeColor="text1"/>
          <w:sz w:val="22"/>
          <w:szCs w:val="22"/>
        </w:rPr>
        <w:t>De otro lado, aunque, como se ha dicho, el artículo 286 de la Constitución emplea un concepto de «entidad territorial» –que, por supuesto, es el que</w:t>
      </w:r>
      <w:r w:rsidR="000C5F28" w:rsidRPr="00112A89">
        <w:rPr>
          <w:rFonts w:ascii="Arial" w:eastAsia="Calibri" w:hAnsi="Arial" w:cs="Arial"/>
          <w:color w:val="000000" w:themeColor="text1"/>
          <w:sz w:val="22"/>
          <w:szCs w:val="22"/>
        </w:rPr>
        <w:t>,</w:t>
      </w:r>
      <w:r w:rsidRPr="00112A89">
        <w:rPr>
          <w:rFonts w:ascii="Arial" w:eastAsia="Calibri" w:hAnsi="Arial" w:cs="Arial"/>
          <w:color w:val="000000" w:themeColor="text1"/>
          <w:sz w:val="22"/>
          <w:szCs w:val="22"/>
        </w:rPr>
        <w:t xml:space="preserve"> por regla general</w:t>
      </w:r>
      <w:r w:rsidR="000C5F28" w:rsidRPr="00112A89">
        <w:rPr>
          <w:rFonts w:ascii="Arial" w:eastAsia="Calibri" w:hAnsi="Arial" w:cs="Arial"/>
          <w:color w:val="000000" w:themeColor="text1"/>
          <w:sz w:val="22"/>
          <w:szCs w:val="22"/>
        </w:rPr>
        <w:t>,</w:t>
      </w:r>
      <w:r w:rsidRPr="00112A89">
        <w:rPr>
          <w:rFonts w:ascii="Arial" w:eastAsia="Calibri" w:hAnsi="Arial" w:cs="Arial"/>
          <w:color w:val="000000" w:themeColor="text1"/>
          <w:sz w:val="22"/>
          <w:szCs w:val="22"/>
        </w:rPr>
        <w:t xml:space="preserve"> debe aplicarse–, </w:t>
      </w:r>
      <w:r w:rsidR="00CB482F" w:rsidRPr="00112A89">
        <w:rPr>
          <w:rFonts w:ascii="Arial" w:eastAsia="Calibri" w:hAnsi="Arial" w:cs="Arial"/>
          <w:color w:val="000000" w:themeColor="text1"/>
          <w:sz w:val="22"/>
          <w:szCs w:val="22"/>
        </w:rPr>
        <w:t xml:space="preserve">el Congreso de la República, en ejercicio de su libertad de configuración legislativa, </w:t>
      </w:r>
      <w:r w:rsidRPr="00112A89">
        <w:rPr>
          <w:rFonts w:ascii="Arial" w:eastAsia="Calibri" w:hAnsi="Arial" w:cs="Arial"/>
          <w:color w:val="000000" w:themeColor="text1"/>
          <w:sz w:val="22"/>
          <w:szCs w:val="22"/>
        </w:rPr>
        <w:t>utiliz</w:t>
      </w:r>
      <w:r w:rsidR="00CB482F" w:rsidRPr="00112A89">
        <w:rPr>
          <w:rFonts w:ascii="Arial" w:eastAsia="Calibri" w:hAnsi="Arial" w:cs="Arial"/>
          <w:color w:val="000000" w:themeColor="text1"/>
          <w:sz w:val="22"/>
          <w:szCs w:val="22"/>
        </w:rPr>
        <w:t>ó en</w:t>
      </w:r>
      <w:r w:rsidRPr="00112A89">
        <w:rPr>
          <w:rFonts w:ascii="Arial" w:eastAsia="Calibri" w:hAnsi="Arial" w:cs="Arial"/>
          <w:color w:val="000000" w:themeColor="text1"/>
          <w:sz w:val="22"/>
          <w:szCs w:val="22"/>
        </w:rPr>
        <w:t xml:space="preserve"> </w:t>
      </w:r>
      <w:r w:rsidR="00CB482F" w:rsidRPr="00112A89">
        <w:rPr>
          <w:rFonts w:ascii="Arial" w:eastAsia="Calibri" w:hAnsi="Arial" w:cs="Arial"/>
          <w:color w:val="000000" w:themeColor="text1"/>
          <w:sz w:val="22"/>
          <w:szCs w:val="22"/>
        </w:rPr>
        <w:t>la Ley 2166</w:t>
      </w:r>
      <w:r w:rsidR="003A29CB" w:rsidRPr="00112A89">
        <w:rPr>
          <w:rFonts w:ascii="Arial" w:eastAsia="Calibri" w:hAnsi="Arial" w:cs="Arial"/>
          <w:color w:val="000000" w:themeColor="text1"/>
          <w:sz w:val="22"/>
          <w:szCs w:val="22"/>
        </w:rPr>
        <w:t xml:space="preserve"> de 2021</w:t>
      </w:r>
      <w:r w:rsidR="00CB482F" w:rsidRPr="00112A89">
        <w:rPr>
          <w:rFonts w:ascii="Arial" w:eastAsia="Calibri" w:hAnsi="Arial" w:cs="Arial"/>
          <w:color w:val="000000" w:themeColor="text1"/>
          <w:sz w:val="22"/>
          <w:szCs w:val="22"/>
        </w:rPr>
        <w:t xml:space="preserve"> </w:t>
      </w:r>
      <w:r w:rsidRPr="00112A89">
        <w:rPr>
          <w:rFonts w:ascii="Arial" w:eastAsia="Calibri" w:hAnsi="Arial" w:cs="Arial"/>
          <w:color w:val="000000" w:themeColor="text1"/>
          <w:sz w:val="22"/>
          <w:szCs w:val="22"/>
        </w:rPr>
        <w:t xml:space="preserve">un concepto </w:t>
      </w:r>
      <w:r w:rsidRPr="00112A89">
        <w:rPr>
          <w:rFonts w:ascii="Arial" w:eastAsia="Calibri" w:hAnsi="Arial" w:cs="Arial"/>
          <w:i/>
          <w:iCs/>
          <w:color w:val="000000" w:themeColor="text1"/>
          <w:sz w:val="22"/>
          <w:szCs w:val="22"/>
        </w:rPr>
        <w:t>especial</w:t>
      </w:r>
      <w:r w:rsidRPr="00112A89">
        <w:rPr>
          <w:rFonts w:ascii="Arial" w:eastAsia="Calibri" w:hAnsi="Arial" w:cs="Arial"/>
          <w:color w:val="000000" w:themeColor="text1"/>
          <w:sz w:val="22"/>
          <w:szCs w:val="22"/>
        </w:rPr>
        <w:t xml:space="preserve"> de «ente territorial» en el marco de la regulación contenida en esta</w:t>
      </w:r>
      <w:r w:rsidR="00CB482F" w:rsidRPr="00112A89">
        <w:rPr>
          <w:rFonts w:ascii="Arial" w:eastAsia="Calibri" w:hAnsi="Arial" w:cs="Arial"/>
          <w:color w:val="000000" w:themeColor="text1"/>
          <w:sz w:val="22"/>
          <w:szCs w:val="22"/>
        </w:rPr>
        <w:t xml:space="preserve">, pues en el artículo </w:t>
      </w:r>
      <w:r w:rsidR="00D45EDD" w:rsidRPr="00112A89">
        <w:rPr>
          <w:rFonts w:ascii="Arial" w:eastAsia="Calibri" w:hAnsi="Arial" w:cs="Arial"/>
          <w:color w:val="000000" w:themeColor="text1"/>
          <w:sz w:val="22"/>
          <w:szCs w:val="22"/>
        </w:rPr>
        <w:t>95</w:t>
      </w:r>
      <w:r w:rsidR="00E0401F" w:rsidRPr="00112A89">
        <w:rPr>
          <w:rFonts w:ascii="Arial" w:eastAsia="Calibri" w:hAnsi="Arial" w:cs="Arial"/>
          <w:color w:val="000000" w:themeColor="text1"/>
          <w:sz w:val="22"/>
          <w:szCs w:val="22"/>
        </w:rPr>
        <w:t xml:space="preserve"> señaló que </w:t>
      </w:r>
      <w:r w:rsidR="000C5F28" w:rsidRPr="00112A89">
        <w:rPr>
          <w:rFonts w:ascii="Arial" w:eastAsia="Calibri" w:hAnsi="Arial" w:cs="Arial"/>
          <w:color w:val="000000" w:themeColor="text1"/>
          <w:sz w:val="22"/>
          <w:szCs w:val="22"/>
        </w:rPr>
        <w:t xml:space="preserve">dicho </w:t>
      </w:r>
      <w:r w:rsidR="00E0401F" w:rsidRPr="00112A89">
        <w:rPr>
          <w:rFonts w:ascii="Arial" w:eastAsia="Calibri" w:hAnsi="Arial" w:cs="Arial"/>
          <w:color w:val="000000" w:themeColor="text1"/>
          <w:sz w:val="22"/>
          <w:szCs w:val="22"/>
        </w:rPr>
        <w:t>concepto también incluye a las entidades del nivel nacional.</w:t>
      </w:r>
      <w:r w:rsidR="009D1DF4" w:rsidRPr="00112A89">
        <w:rPr>
          <w:rFonts w:ascii="Arial" w:eastAsia="Calibri" w:hAnsi="Arial" w:cs="Arial"/>
          <w:color w:val="000000" w:themeColor="text1"/>
          <w:sz w:val="22"/>
          <w:szCs w:val="22"/>
        </w:rPr>
        <w:t xml:space="preserve"> En otras palabras, el concepto de «ente» </w:t>
      </w:r>
      <w:r w:rsidR="009D1DF4" w:rsidRPr="00112A89">
        <w:rPr>
          <w:rFonts w:ascii="Arial" w:eastAsia="Calibri" w:hAnsi="Arial" w:cs="Arial"/>
          <w:i/>
          <w:iCs/>
          <w:color w:val="000000" w:themeColor="text1"/>
          <w:sz w:val="22"/>
          <w:szCs w:val="22"/>
        </w:rPr>
        <w:t>no es el mismo</w:t>
      </w:r>
      <w:r w:rsidR="009D1DF4" w:rsidRPr="00112A89">
        <w:rPr>
          <w:rFonts w:ascii="Arial" w:eastAsia="Calibri" w:hAnsi="Arial" w:cs="Arial"/>
          <w:color w:val="000000" w:themeColor="text1"/>
          <w:sz w:val="22"/>
          <w:szCs w:val="22"/>
        </w:rPr>
        <w:t xml:space="preserve"> que el de </w:t>
      </w:r>
      <w:r w:rsidR="00C03F9D" w:rsidRPr="00112A89">
        <w:rPr>
          <w:rFonts w:ascii="Arial" w:eastAsia="Calibri" w:hAnsi="Arial" w:cs="Arial"/>
          <w:color w:val="000000" w:themeColor="text1"/>
          <w:sz w:val="22"/>
          <w:szCs w:val="22"/>
        </w:rPr>
        <w:t>«</w:t>
      </w:r>
      <w:r w:rsidR="009D1DF4" w:rsidRPr="00112A89">
        <w:rPr>
          <w:rFonts w:ascii="Arial" w:eastAsia="Calibri" w:hAnsi="Arial" w:cs="Arial"/>
          <w:color w:val="000000" w:themeColor="text1"/>
          <w:sz w:val="22"/>
          <w:szCs w:val="22"/>
        </w:rPr>
        <w:t>entidad</w:t>
      </w:r>
      <w:r w:rsidR="00C03F9D" w:rsidRPr="00112A89">
        <w:rPr>
          <w:rFonts w:ascii="Arial" w:eastAsia="Calibri" w:hAnsi="Arial" w:cs="Arial"/>
          <w:i/>
          <w:iCs/>
          <w:color w:val="000000" w:themeColor="text1"/>
          <w:sz w:val="22"/>
          <w:szCs w:val="22"/>
        </w:rPr>
        <w:t>»</w:t>
      </w:r>
      <w:r w:rsidR="009D1DF4" w:rsidRPr="00112A89">
        <w:rPr>
          <w:rFonts w:ascii="Arial" w:eastAsia="Calibri" w:hAnsi="Arial" w:cs="Arial"/>
          <w:i/>
          <w:iCs/>
          <w:color w:val="000000" w:themeColor="text1"/>
          <w:sz w:val="22"/>
          <w:szCs w:val="22"/>
        </w:rPr>
        <w:t xml:space="preserve"> </w:t>
      </w:r>
      <w:r w:rsidR="009D1DF4" w:rsidRPr="00112A89">
        <w:rPr>
          <w:rFonts w:ascii="Arial" w:eastAsia="Calibri" w:hAnsi="Arial" w:cs="Arial"/>
          <w:color w:val="000000" w:themeColor="text1"/>
          <w:sz w:val="22"/>
          <w:szCs w:val="22"/>
        </w:rPr>
        <w:t>territorial</w:t>
      </w:r>
      <w:r w:rsidR="003A29CB" w:rsidRPr="00112A89">
        <w:rPr>
          <w:rFonts w:ascii="Arial" w:eastAsia="Calibri" w:hAnsi="Arial" w:cs="Arial"/>
          <w:i/>
          <w:iCs/>
          <w:color w:val="000000" w:themeColor="text1"/>
          <w:sz w:val="22"/>
          <w:szCs w:val="22"/>
        </w:rPr>
        <w:t xml:space="preserve"> </w:t>
      </w:r>
      <w:r w:rsidR="003A29CB" w:rsidRPr="00112A89">
        <w:rPr>
          <w:rFonts w:ascii="Arial" w:eastAsia="Calibri" w:hAnsi="Arial" w:cs="Arial"/>
          <w:color w:val="000000" w:themeColor="text1"/>
          <w:sz w:val="22"/>
          <w:szCs w:val="22"/>
        </w:rPr>
        <w:t xml:space="preserve">del artículo 286 de la Constitución, sino que se trata de un concepto </w:t>
      </w:r>
      <w:r w:rsidR="003A29CB" w:rsidRPr="00112A89">
        <w:rPr>
          <w:rFonts w:ascii="Arial" w:eastAsia="Calibri" w:hAnsi="Arial" w:cs="Arial"/>
          <w:i/>
          <w:iCs/>
          <w:color w:val="000000" w:themeColor="text1"/>
          <w:sz w:val="22"/>
          <w:szCs w:val="22"/>
        </w:rPr>
        <w:t>especial</w:t>
      </w:r>
      <w:r w:rsidR="00C03F9D" w:rsidRPr="00112A89">
        <w:rPr>
          <w:rFonts w:ascii="Arial" w:eastAsia="Calibri" w:hAnsi="Arial" w:cs="Arial"/>
          <w:i/>
          <w:iCs/>
          <w:color w:val="000000" w:themeColor="text1"/>
          <w:sz w:val="22"/>
          <w:szCs w:val="22"/>
        </w:rPr>
        <w:t xml:space="preserve"> o estipulativo</w:t>
      </w:r>
      <w:r w:rsidR="003A29CB" w:rsidRPr="00112A89">
        <w:rPr>
          <w:rFonts w:ascii="Arial" w:eastAsia="Calibri" w:hAnsi="Arial" w:cs="Arial"/>
          <w:color w:val="000000" w:themeColor="text1"/>
          <w:sz w:val="22"/>
          <w:szCs w:val="22"/>
        </w:rPr>
        <w:t xml:space="preserve">, </w:t>
      </w:r>
      <w:r w:rsidR="00AC32D6" w:rsidRPr="00112A89">
        <w:rPr>
          <w:rFonts w:ascii="Arial" w:eastAsia="Calibri" w:hAnsi="Arial" w:cs="Arial"/>
          <w:color w:val="000000" w:themeColor="text1"/>
          <w:sz w:val="22"/>
          <w:szCs w:val="22"/>
        </w:rPr>
        <w:t>empleado</w:t>
      </w:r>
      <w:r w:rsidR="003A29CB" w:rsidRPr="00112A89">
        <w:rPr>
          <w:rFonts w:ascii="Arial" w:eastAsia="Calibri" w:hAnsi="Arial" w:cs="Arial"/>
          <w:color w:val="000000" w:themeColor="text1"/>
          <w:sz w:val="22"/>
          <w:szCs w:val="22"/>
        </w:rPr>
        <w:t xml:space="preserve"> por el Legislador en la Ley 2166 de 2021, para delimitar el alcance de una potestad contractual.</w:t>
      </w:r>
      <w:r w:rsidR="00E312C8" w:rsidRPr="00112A89">
        <w:rPr>
          <w:rFonts w:ascii="Arial" w:eastAsia="Calibri" w:hAnsi="Arial" w:cs="Arial"/>
          <w:color w:val="000000" w:themeColor="text1"/>
          <w:sz w:val="22"/>
          <w:szCs w:val="22"/>
        </w:rPr>
        <w:t xml:space="preserve"> </w:t>
      </w:r>
      <w:r w:rsidR="00952153" w:rsidRPr="00112A89">
        <w:rPr>
          <w:rFonts w:ascii="Arial" w:eastAsia="Calibri" w:hAnsi="Arial" w:cs="Arial"/>
          <w:color w:val="000000" w:themeColor="text1"/>
          <w:sz w:val="22"/>
          <w:szCs w:val="22"/>
        </w:rPr>
        <w:t xml:space="preserve">La Corte Constitucional ha reconocido la libertad de que goza el Legislador para establecer </w:t>
      </w:r>
      <w:r w:rsidR="0097120B" w:rsidRPr="00112A89">
        <w:rPr>
          <w:rFonts w:ascii="Arial" w:eastAsia="Calibri" w:hAnsi="Arial" w:cs="Arial"/>
          <w:color w:val="000000" w:themeColor="text1"/>
          <w:sz w:val="22"/>
          <w:szCs w:val="22"/>
        </w:rPr>
        <w:t>«</w:t>
      </w:r>
      <w:r w:rsidR="00952153" w:rsidRPr="00112A89">
        <w:rPr>
          <w:rFonts w:ascii="Arial" w:eastAsia="Calibri" w:hAnsi="Arial" w:cs="Arial"/>
          <w:color w:val="000000" w:themeColor="text1"/>
          <w:sz w:val="22"/>
          <w:szCs w:val="22"/>
        </w:rPr>
        <w:t xml:space="preserve">definiciones </w:t>
      </w:r>
      <w:proofErr w:type="spellStart"/>
      <w:r w:rsidR="00952153" w:rsidRPr="00112A89">
        <w:rPr>
          <w:rFonts w:ascii="Arial" w:eastAsia="Calibri" w:hAnsi="Arial" w:cs="Arial"/>
          <w:color w:val="000000" w:themeColor="text1"/>
          <w:sz w:val="22"/>
          <w:szCs w:val="22"/>
        </w:rPr>
        <w:t>estipulativas</w:t>
      </w:r>
      <w:proofErr w:type="spellEnd"/>
      <w:r w:rsidR="0097120B" w:rsidRPr="00112A89">
        <w:rPr>
          <w:rFonts w:ascii="Arial" w:eastAsia="Calibri" w:hAnsi="Arial" w:cs="Arial"/>
          <w:color w:val="000000" w:themeColor="text1"/>
          <w:sz w:val="22"/>
          <w:szCs w:val="22"/>
        </w:rPr>
        <w:t>»</w:t>
      </w:r>
      <w:r w:rsidR="0097120B" w:rsidRPr="00112A89">
        <w:rPr>
          <w:rStyle w:val="Refdenotaalpie"/>
          <w:rFonts w:ascii="Arial" w:eastAsia="Calibri" w:hAnsi="Arial" w:cs="Arial"/>
          <w:sz w:val="22"/>
          <w:szCs w:val="22"/>
        </w:rPr>
        <w:footnoteReference w:id="10"/>
      </w:r>
      <w:r w:rsidR="00E6679F" w:rsidRPr="00112A89">
        <w:rPr>
          <w:rFonts w:ascii="Arial" w:eastAsia="Calibri" w:hAnsi="Arial" w:cs="Arial"/>
          <w:color w:val="000000" w:themeColor="text1"/>
          <w:sz w:val="22"/>
          <w:szCs w:val="22"/>
        </w:rPr>
        <w:t>. Sobre est</w:t>
      </w:r>
      <w:r w:rsidR="00E37D50" w:rsidRPr="00112A89">
        <w:rPr>
          <w:rFonts w:ascii="Arial" w:eastAsia="Calibri" w:hAnsi="Arial" w:cs="Arial"/>
          <w:color w:val="000000" w:themeColor="text1"/>
          <w:sz w:val="22"/>
          <w:szCs w:val="22"/>
        </w:rPr>
        <w:t>a potestad</w:t>
      </w:r>
      <w:r w:rsidR="00FD6D11" w:rsidRPr="00112A89">
        <w:rPr>
          <w:rFonts w:ascii="Arial" w:eastAsia="Calibri" w:hAnsi="Arial" w:cs="Arial"/>
          <w:color w:val="000000" w:themeColor="text1"/>
          <w:sz w:val="22"/>
          <w:szCs w:val="22"/>
        </w:rPr>
        <w:t xml:space="preserve"> </w:t>
      </w:r>
      <w:r w:rsidR="00E37D50" w:rsidRPr="00112A89">
        <w:rPr>
          <w:rFonts w:ascii="Arial" w:eastAsia="Calibri" w:hAnsi="Arial" w:cs="Arial"/>
          <w:color w:val="000000" w:themeColor="text1"/>
          <w:sz w:val="22"/>
          <w:szCs w:val="22"/>
        </w:rPr>
        <w:t xml:space="preserve">el alto tribunal </w:t>
      </w:r>
      <w:r w:rsidR="00FD6D11" w:rsidRPr="00112A89">
        <w:rPr>
          <w:rFonts w:ascii="Arial" w:eastAsia="Calibri" w:hAnsi="Arial" w:cs="Arial"/>
          <w:color w:val="000000" w:themeColor="text1"/>
          <w:sz w:val="22"/>
          <w:szCs w:val="22"/>
        </w:rPr>
        <w:t>ha indicado</w:t>
      </w:r>
      <w:r w:rsidR="00E37D50" w:rsidRPr="00112A89">
        <w:rPr>
          <w:rFonts w:ascii="Arial" w:eastAsia="Calibri" w:hAnsi="Arial" w:cs="Arial"/>
          <w:color w:val="000000" w:themeColor="text1"/>
          <w:sz w:val="22"/>
          <w:szCs w:val="22"/>
        </w:rPr>
        <w:t>:</w:t>
      </w:r>
    </w:p>
    <w:p w14:paraId="1F5C2CB8" w14:textId="77777777" w:rsidR="00E37D50" w:rsidRPr="00112A89" w:rsidRDefault="00E37D50" w:rsidP="00E37D50">
      <w:pPr>
        <w:shd w:val="clear" w:color="auto" w:fill="FFFFFF"/>
        <w:ind w:right="45"/>
        <w:jc w:val="both"/>
        <w:rPr>
          <w:rFonts w:ascii="Arial" w:eastAsia="Calibri" w:hAnsi="Arial" w:cs="Arial"/>
          <w:color w:val="000000" w:themeColor="text1"/>
          <w:sz w:val="22"/>
          <w:szCs w:val="22"/>
        </w:rPr>
      </w:pPr>
    </w:p>
    <w:p w14:paraId="7D31CB75" w14:textId="1C850C3F" w:rsidR="00E37D50" w:rsidRPr="00112A89" w:rsidRDefault="00E37D50" w:rsidP="00E37D50">
      <w:pPr>
        <w:shd w:val="clear" w:color="auto" w:fill="FFFFFF"/>
        <w:ind w:left="709" w:right="709"/>
        <w:jc w:val="both"/>
        <w:rPr>
          <w:rFonts w:ascii="Arial" w:hAnsi="Arial" w:cs="Arial"/>
          <w:color w:val="000000" w:themeColor="text1"/>
          <w:sz w:val="21"/>
          <w:szCs w:val="21"/>
        </w:rPr>
      </w:pPr>
      <w:r w:rsidRPr="00112A89">
        <w:rPr>
          <w:rFonts w:ascii="Arial" w:hAnsi="Arial" w:cs="Arial"/>
          <w:color w:val="000000" w:themeColor="text1"/>
          <w:sz w:val="21"/>
          <w:szCs w:val="21"/>
        </w:rPr>
        <w:t>De otra parte cabe resaltar que esa posibilidad es implícitamente reconocida por la regla de interpretación contenida desde el Siglo XIX en el artículo 29 del Código Civil, según la cual cuando el legislador haya definido expresamente el alcance de ciertas palabras respecto de determinadas materias, el operador jurídico deberá estarse a tales definiciones, incluso si ellas difieren de lo que pudiera considerarse el sentido natural y obvio de esas expresiones. Esta precisión resulta significativa pese a hallarse contenida en una norma de carácter legal, pues refleja la convicción largamente existente en el ordenamiento jurídico colombiano, en el sentido de que el legislador puede válidamente incorporar definiciones en las leyes</w:t>
      </w:r>
      <w:r w:rsidR="007B286B" w:rsidRPr="00112A89">
        <w:rPr>
          <w:rStyle w:val="Refdenotaalpie"/>
          <w:rFonts w:ascii="Arial" w:hAnsi="Arial" w:cs="Arial"/>
          <w:sz w:val="22"/>
          <w:szCs w:val="22"/>
        </w:rPr>
        <w:footnoteReference w:id="11"/>
      </w:r>
      <w:r w:rsidRPr="00112A89">
        <w:rPr>
          <w:rFonts w:ascii="Arial" w:hAnsi="Arial" w:cs="Arial"/>
          <w:color w:val="000000" w:themeColor="text1"/>
          <w:sz w:val="21"/>
          <w:szCs w:val="21"/>
        </w:rPr>
        <w:t>.</w:t>
      </w:r>
    </w:p>
    <w:p w14:paraId="56980E24" w14:textId="77777777" w:rsidR="00A91709" w:rsidRPr="00112A89" w:rsidRDefault="00A91709" w:rsidP="00A91709">
      <w:pPr>
        <w:spacing w:line="276" w:lineRule="auto"/>
        <w:ind w:firstLine="709"/>
        <w:jc w:val="both"/>
        <w:rPr>
          <w:rFonts w:ascii="Arial" w:eastAsia="Calibri" w:hAnsi="Arial" w:cs="Arial"/>
          <w:color w:val="000000" w:themeColor="text1"/>
          <w:sz w:val="22"/>
          <w:szCs w:val="22"/>
        </w:rPr>
      </w:pPr>
    </w:p>
    <w:p w14:paraId="55E01F56" w14:textId="71230BC9" w:rsidR="007D3337" w:rsidRPr="00112A89" w:rsidRDefault="00826119" w:rsidP="00A91709">
      <w:pPr>
        <w:spacing w:line="276" w:lineRule="auto"/>
        <w:ind w:firstLine="709"/>
        <w:jc w:val="both"/>
        <w:rPr>
          <w:rFonts w:ascii="Arial" w:eastAsia="Calibri" w:hAnsi="Arial" w:cs="Arial"/>
          <w:color w:val="000000" w:themeColor="text1"/>
          <w:sz w:val="22"/>
          <w:szCs w:val="22"/>
        </w:rPr>
      </w:pPr>
      <w:r w:rsidRPr="00112A89">
        <w:rPr>
          <w:rFonts w:ascii="Arial" w:eastAsia="Calibri" w:hAnsi="Arial" w:cs="Arial"/>
          <w:color w:val="000000" w:themeColor="text1"/>
          <w:sz w:val="22"/>
          <w:szCs w:val="22"/>
        </w:rPr>
        <w:t xml:space="preserve">En palabras de Ricardo </w:t>
      </w:r>
      <w:proofErr w:type="spellStart"/>
      <w:r w:rsidRPr="00112A89">
        <w:rPr>
          <w:rFonts w:ascii="Arial" w:eastAsia="Calibri" w:hAnsi="Arial" w:cs="Arial"/>
          <w:color w:val="000000" w:themeColor="text1"/>
          <w:sz w:val="22"/>
          <w:szCs w:val="22"/>
        </w:rPr>
        <w:t>Guastini</w:t>
      </w:r>
      <w:proofErr w:type="spellEnd"/>
      <w:r w:rsidRPr="00112A89">
        <w:rPr>
          <w:rFonts w:ascii="Arial" w:eastAsia="Calibri" w:hAnsi="Arial" w:cs="Arial"/>
          <w:color w:val="000000" w:themeColor="text1"/>
          <w:sz w:val="22"/>
          <w:szCs w:val="22"/>
        </w:rPr>
        <w:t>,</w:t>
      </w:r>
      <w:r w:rsidR="0089064C" w:rsidRPr="00112A89">
        <w:rPr>
          <w:rFonts w:ascii="Arial" w:eastAsia="Calibri" w:hAnsi="Arial" w:cs="Arial"/>
          <w:color w:val="000000" w:themeColor="text1"/>
          <w:sz w:val="22"/>
          <w:szCs w:val="22"/>
        </w:rPr>
        <w:t xml:space="preserve"> las «definiciones </w:t>
      </w:r>
      <w:proofErr w:type="spellStart"/>
      <w:r w:rsidR="0089064C" w:rsidRPr="00112A89">
        <w:rPr>
          <w:rFonts w:ascii="Arial" w:eastAsia="Calibri" w:hAnsi="Arial" w:cs="Arial"/>
          <w:color w:val="000000" w:themeColor="text1"/>
          <w:sz w:val="22"/>
          <w:szCs w:val="22"/>
        </w:rPr>
        <w:t>estipulativas</w:t>
      </w:r>
      <w:proofErr w:type="spellEnd"/>
      <w:r w:rsidR="0089064C" w:rsidRPr="00112A89">
        <w:rPr>
          <w:rFonts w:ascii="Arial" w:eastAsia="Calibri" w:hAnsi="Arial" w:cs="Arial"/>
          <w:color w:val="000000" w:themeColor="text1"/>
          <w:sz w:val="22"/>
          <w:szCs w:val="22"/>
        </w:rPr>
        <w:t>» son aquellas que «</w:t>
      </w:r>
      <w:r w:rsidR="00CD6448" w:rsidRPr="00112A89">
        <w:rPr>
          <w:rFonts w:ascii="Arial" w:eastAsia="Calibri" w:hAnsi="Arial" w:cs="Arial"/>
          <w:i/>
          <w:iCs/>
          <w:color w:val="000000" w:themeColor="text1"/>
          <w:sz w:val="22"/>
          <w:szCs w:val="22"/>
        </w:rPr>
        <w:t>a)</w:t>
      </w:r>
      <w:r w:rsidR="00CD6448" w:rsidRPr="00112A89">
        <w:rPr>
          <w:rFonts w:ascii="Arial" w:eastAsia="Calibri" w:hAnsi="Arial" w:cs="Arial"/>
          <w:color w:val="000000" w:themeColor="text1"/>
          <w:sz w:val="22"/>
          <w:szCs w:val="22"/>
        </w:rPr>
        <w:t xml:space="preserve"> proponen usar un término o sintagma preexistente de un modo nuevo, o </w:t>
      </w:r>
      <w:r w:rsidR="00CD6448" w:rsidRPr="00112A89">
        <w:rPr>
          <w:rFonts w:ascii="Arial" w:eastAsia="Calibri" w:hAnsi="Arial" w:cs="Arial"/>
          <w:i/>
          <w:iCs/>
          <w:color w:val="000000" w:themeColor="text1"/>
          <w:sz w:val="22"/>
          <w:szCs w:val="22"/>
        </w:rPr>
        <w:t>b)</w:t>
      </w:r>
      <w:r w:rsidR="00906C9E" w:rsidRPr="00112A89">
        <w:rPr>
          <w:rFonts w:ascii="Arial" w:eastAsia="Calibri" w:hAnsi="Arial" w:cs="Arial"/>
          <w:color w:val="000000" w:themeColor="text1"/>
          <w:sz w:val="22"/>
          <w:szCs w:val="22"/>
        </w:rPr>
        <w:t xml:space="preserve"> sugiere usar un término o sintagma preexistente de una forma más precisa respecto del uso común, o bien </w:t>
      </w:r>
      <w:r w:rsidR="00906C9E" w:rsidRPr="00112A89">
        <w:rPr>
          <w:rFonts w:ascii="Arial" w:eastAsia="Calibri" w:hAnsi="Arial" w:cs="Arial"/>
          <w:i/>
          <w:iCs/>
          <w:color w:val="000000" w:themeColor="text1"/>
          <w:sz w:val="22"/>
          <w:szCs w:val="22"/>
        </w:rPr>
        <w:t>c)</w:t>
      </w:r>
      <w:r w:rsidR="00906C9E" w:rsidRPr="00112A89">
        <w:rPr>
          <w:rFonts w:ascii="Arial" w:eastAsia="Calibri" w:hAnsi="Arial" w:cs="Arial"/>
          <w:color w:val="000000" w:themeColor="text1"/>
          <w:sz w:val="22"/>
          <w:szCs w:val="22"/>
        </w:rPr>
        <w:t xml:space="preserve"> establecen</w:t>
      </w:r>
      <w:r w:rsidR="00683891" w:rsidRPr="00112A89">
        <w:rPr>
          <w:rFonts w:ascii="Arial" w:eastAsia="Calibri" w:hAnsi="Arial" w:cs="Arial"/>
          <w:color w:val="000000" w:themeColor="text1"/>
          <w:sz w:val="22"/>
          <w:szCs w:val="22"/>
        </w:rPr>
        <w:t xml:space="preserve"> cómo usar un término o sintagma de nueva creación»</w:t>
      </w:r>
      <w:r w:rsidR="00683891" w:rsidRPr="00112A89">
        <w:rPr>
          <w:rStyle w:val="Refdenotaalpie"/>
          <w:rFonts w:ascii="Arial" w:eastAsia="Calibri" w:hAnsi="Arial" w:cs="Arial"/>
          <w:sz w:val="22"/>
          <w:szCs w:val="22"/>
        </w:rPr>
        <w:footnoteReference w:id="12"/>
      </w:r>
      <w:r w:rsidR="00683891" w:rsidRPr="00112A89">
        <w:rPr>
          <w:rFonts w:ascii="Arial" w:eastAsia="Calibri" w:hAnsi="Arial" w:cs="Arial"/>
          <w:color w:val="000000" w:themeColor="text1"/>
          <w:sz w:val="22"/>
          <w:szCs w:val="22"/>
        </w:rPr>
        <w:t xml:space="preserve">. </w:t>
      </w:r>
      <w:r w:rsidR="00815F9D" w:rsidRPr="00112A89">
        <w:rPr>
          <w:rFonts w:ascii="Arial" w:eastAsia="Calibri" w:hAnsi="Arial" w:cs="Arial"/>
          <w:color w:val="000000" w:themeColor="text1"/>
          <w:sz w:val="22"/>
          <w:szCs w:val="22"/>
        </w:rPr>
        <w:t xml:space="preserve">Bajo este entendimiento, puede considerarse que la inclusión de la Nación en el concepto de «ente territorial» consagrado en el artículo 95 de la Ley 2166 de 2021 obedece a una definición </w:t>
      </w:r>
      <w:proofErr w:type="spellStart"/>
      <w:r w:rsidR="00815F9D" w:rsidRPr="00112A89">
        <w:rPr>
          <w:rFonts w:ascii="Arial" w:eastAsia="Calibri" w:hAnsi="Arial" w:cs="Arial"/>
          <w:color w:val="000000" w:themeColor="text1"/>
          <w:sz w:val="22"/>
          <w:szCs w:val="22"/>
        </w:rPr>
        <w:t>estipulativa</w:t>
      </w:r>
      <w:proofErr w:type="spellEnd"/>
      <w:r w:rsidR="00815F9D" w:rsidRPr="00112A89">
        <w:rPr>
          <w:rFonts w:ascii="Arial" w:eastAsia="Calibri" w:hAnsi="Arial" w:cs="Arial"/>
          <w:color w:val="000000" w:themeColor="text1"/>
          <w:sz w:val="22"/>
          <w:szCs w:val="22"/>
        </w:rPr>
        <w:t xml:space="preserve"> del Legislador, que no riñe con el </w:t>
      </w:r>
      <w:r w:rsidR="00815F9D" w:rsidRPr="00112A89">
        <w:rPr>
          <w:rFonts w:ascii="Arial" w:eastAsia="Calibri" w:hAnsi="Arial" w:cs="Arial"/>
          <w:i/>
          <w:iCs/>
          <w:color w:val="000000" w:themeColor="text1"/>
          <w:sz w:val="22"/>
          <w:szCs w:val="22"/>
        </w:rPr>
        <w:t>uso común</w:t>
      </w:r>
      <w:r w:rsidR="00815F9D" w:rsidRPr="00112A89">
        <w:rPr>
          <w:rFonts w:ascii="Arial" w:eastAsia="Calibri" w:hAnsi="Arial" w:cs="Arial"/>
          <w:color w:val="000000" w:themeColor="text1"/>
          <w:sz w:val="22"/>
          <w:szCs w:val="22"/>
        </w:rPr>
        <w:t xml:space="preserve"> que debe tener el concepto de </w:t>
      </w:r>
      <w:r w:rsidR="00815F9D" w:rsidRPr="00112A89">
        <w:rPr>
          <w:rFonts w:ascii="Arial" w:eastAsia="Calibri" w:hAnsi="Arial" w:cs="Arial"/>
          <w:color w:val="000000" w:themeColor="text1"/>
          <w:sz w:val="22"/>
          <w:szCs w:val="22"/>
        </w:rPr>
        <w:lastRenderedPageBreak/>
        <w:t xml:space="preserve">«entidad territorial» previsto en el artículo 286 de la Constitución. Ello en la medida en que </w:t>
      </w:r>
      <w:r w:rsidR="00AC40C3" w:rsidRPr="00112A89">
        <w:rPr>
          <w:rFonts w:ascii="Arial" w:eastAsia="Calibri" w:hAnsi="Arial" w:cs="Arial"/>
          <w:color w:val="000000" w:themeColor="text1"/>
          <w:sz w:val="22"/>
          <w:szCs w:val="22"/>
        </w:rPr>
        <w:t>el alcance de la noción de «ente territorial» de la primera norma mencionada es restringido</w:t>
      </w:r>
      <w:r w:rsidR="00E47E9A" w:rsidRPr="00112A89">
        <w:rPr>
          <w:rFonts w:ascii="Arial" w:eastAsia="Calibri" w:hAnsi="Arial" w:cs="Arial"/>
          <w:color w:val="000000" w:themeColor="text1"/>
          <w:sz w:val="22"/>
          <w:szCs w:val="22"/>
        </w:rPr>
        <w:t xml:space="preserve">, pues solo se utiliza para indicar qué </w:t>
      </w:r>
      <w:r w:rsidR="007D3337" w:rsidRPr="00112A89">
        <w:rPr>
          <w:rFonts w:ascii="Arial" w:eastAsia="Calibri" w:hAnsi="Arial" w:cs="Arial"/>
          <w:color w:val="000000" w:themeColor="text1"/>
          <w:sz w:val="22"/>
          <w:szCs w:val="22"/>
        </w:rPr>
        <w:t xml:space="preserve">órganos del Estado </w:t>
      </w:r>
      <w:r w:rsidR="00E47E9A" w:rsidRPr="00112A89">
        <w:rPr>
          <w:rFonts w:ascii="Arial" w:eastAsia="Calibri" w:hAnsi="Arial" w:cs="Arial"/>
          <w:color w:val="000000" w:themeColor="text1"/>
          <w:sz w:val="22"/>
          <w:szCs w:val="22"/>
        </w:rPr>
        <w:t xml:space="preserve">pueden celebrar los </w:t>
      </w:r>
      <w:r w:rsidR="00E47E9A" w:rsidRPr="00112A89">
        <w:rPr>
          <w:rFonts w:ascii="Arial" w:eastAsia="Calibri" w:hAnsi="Arial" w:cs="Arial"/>
          <w:i/>
          <w:iCs/>
          <w:color w:val="000000" w:themeColor="text1"/>
          <w:sz w:val="22"/>
          <w:szCs w:val="22"/>
        </w:rPr>
        <w:t>con</w:t>
      </w:r>
      <w:r w:rsidR="007D3337" w:rsidRPr="00112A89">
        <w:rPr>
          <w:rFonts w:ascii="Arial" w:eastAsia="Calibri" w:hAnsi="Arial" w:cs="Arial"/>
          <w:i/>
          <w:iCs/>
          <w:color w:val="000000" w:themeColor="text1"/>
          <w:sz w:val="22"/>
          <w:szCs w:val="22"/>
        </w:rPr>
        <w:t>venios solidarios</w:t>
      </w:r>
      <w:r w:rsidR="007D3337" w:rsidRPr="00112A89">
        <w:rPr>
          <w:rFonts w:ascii="Arial" w:eastAsia="Calibri" w:hAnsi="Arial" w:cs="Arial"/>
          <w:color w:val="000000" w:themeColor="text1"/>
          <w:sz w:val="22"/>
          <w:szCs w:val="22"/>
        </w:rPr>
        <w:t xml:space="preserve"> regulados en dicha Ley.</w:t>
      </w:r>
    </w:p>
    <w:p w14:paraId="3187999C" w14:textId="332C4219" w:rsidR="007D3337" w:rsidRPr="00112A89" w:rsidRDefault="007D3337" w:rsidP="007D3337">
      <w:pPr>
        <w:spacing w:before="120" w:line="276" w:lineRule="auto"/>
        <w:ind w:firstLine="709"/>
        <w:jc w:val="both"/>
        <w:rPr>
          <w:rFonts w:ascii="Arial" w:eastAsia="Calibri" w:hAnsi="Arial" w:cs="Arial"/>
          <w:color w:val="000000" w:themeColor="text1"/>
          <w:sz w:val="22"/>
          <w:szCs w:val="22"/>
        </w:rPr>
      </w:pPr>
      <w:r w:rsidRPr="00112A89">
        <w:rPr>
          <w:rFonts w:ascii="Arial" w:eastAsia="Calibri" w:hAnsi="Arial" w:cs="Arial"/>
          <w:color w:val="000000" w:themeColor="text1"/>
          <w:sz w:val="22"/>
          <w:szCs w:val="22"/>
        </w:rPr>
        <w:t>En tal sentido,</w:t>
      </w:r>
      <w:r w:rsidR="00632136" w:rsidRPr="00112A89">
        <w:rPr>
          <w:rFonts w:ascii="Arial" w:eastAsia="Calibri" w:hAnsi="Arial" w:cs="Arial"/>
          <w:color w:val="000000" w:themeColor="text1"/>
          <w:sz w:val="22"/>
          <w:szCs w:val="22"/>
        </w:rPr>
        <w:t xml:space="preserve"> teniendo en cuenta que el artículo 95 de la Ley 2166 de 2021 </w:t>
      </w:r>
      <w:r w:rsidR="00E263A0" w:rsidRPr="00112A89">
        <w:rPr>
          <w:rFonts w:ascii="Arial" w:eastAsia="Calibri" w:hAnsi="Arial" w:cs="Arial"/>
          <w:color w:val="000000" w:themeColor="text1"/>
          <w:sz w:val="22"/>
          <w:szCs w:val="22"/>
        </w:rPr>
        <w:t xml:space="preserve">emplea la expresión «entes territoriales del orden Nacional, Departamental, Distrital y municipal», como concepto especial, los parágrafos 1 y 2 de dicho artículo deben leerse de </w:t>
      </w:r>
      <w:r w:rsidR="00E263A0" w:rsidRPr="00112A89">
        <w:rPr>
          <w:rFonts w:ascii="Arial" w:eastAsia="Calibri" w:hAnsi="Arial" w:cs="Arial"/>
          <w:i/>
          <w:iCs/>
          <w:color w:val="000000" w:themeColor="text1"/>
          <w:sz w:val="22"/>
          <w:szCs w:val="22"/>
        </w:rPr>
        <w:t>manera sistemática</w:t>
      </w:r>
      <w:r w:rsidR="00E263A0" w:rsidRPr="00112A89">
        <w:rPr>
          <w:rFonts w:ascii="Arial" w:eastAsia="Calibri" w:hAnsi="Arial" w:cs="Arial"/>
          <w:color w:val="000000" w:themeColor="text1"/>
          <w:sz w:val="22"/>
          <w:szCs w:val="22"/>
        </w:rPr>
        <w:t xml:space="preserve"> con el </w:t>
      </w:r>
      <w:r w:rsidR="007F3224" w:rsidRPr="00112A89">
        <w:rPr>
          <w:rFonts w:ascii="Arial" w:eastAsia="Calibri" w:hAnsi="Arial" w:cs="Arial"/>
          <w:color w:val="000000" w:themeColor="text1"/>
          <w:sz w:val="22"/>
          <w:szCs w:val="22"/>
        </w:rPr>
        <w:t>primer inciso</w:t>
      </w:r>
      <w:r w:rsidR="006516C5" w:rsidRPr="00112A89">
        <w:rPr>
          <w:rFonts w:ascii="Arial" w:eastAsia="Calibri" w:hAnsi="Arial" w:cs="Arial"/>
          <w:color w:val="000000" w:themeColor="text1"/>
          <w:sz w:val="22"/>
          <w:szCs w:val="22"/>
        </w:rPr>
        <w:t xml:space="preserve">. </w:t>
      </w:r>
      <w:r w:rsidR="00CF0AC2" w:rsidRPr="00112A89">
        <w:rPr>
          <w:rFonts w:ascii="Arial" w:eastAsia="Calibri" w:hAnsi="Arial" w:cs="Arial"/>
          <w:color w:val="000000" w:themeColor="text1"/>
          <w:sz w:val="22"/>
          <w:szCs w:val="22"/>
        </w:rPr>
        <w:t>En efecto, c</w:t>
      </w:r>
      <w:r w:rsidR="006516C5" w:rsidRPr="00112A89">
        <w:rPr>
          <w:rFonts w:ascii="Arial" w:eastAsia="Calibri" w:hAnsi="Arial" w:cs="Arial"/>
          <w:color w:val="000000" w:themeColor="text1"/>
          <w:sz w:val="22"/>
          <w:szCs w:val="22"/>
        </w:rPr>
        <w:t xml:space="preserve">itando de nuevo a </w:t>
      </w:r>
      <w:proofErr w:type="spellStart"/>
      <w:r w:rsidR="006516C5" w:rsidRPr="00112A89">
        <w:rPr>
          <w:rFonts w:ascii="Arial" w:eastAsia="Calibri" w:hAnsi="Arial" w:cs="Arial"/>
          <w:color w:val="000000" w:themeColor="text1"/>
          <w:sz w:val="22"/>
          <w:szCs w:val="22"/>
        </w:rPr>
        <w:t>Guastini</w:t>
      </w:r>
      <w:proofErr w:type="spellEnd"/>
      <w:r w:rsidR="006516C5" w:rsidRPr="00112A89">
        <w:rPr>
          <w:rFonts w:ascii="Arial" w:eastAsia="Calibri" w:hAnsi="Arial" w:cs="Arial"/>
          <w:color w:val="000000" w:themeColor="text1"/>
          <w:sz w:val="22"/>
          <w:szCs w:val="22"/>
        </w:rPr>
        <w:t xml:space="preserve">: </w:t>
      </w:r>
    </w:p>
    <w:p w14:paraId="220C375F" w14:textId="77777777" w:rsidR="00DD6C2C" w:rsidRPr="00112A89" w:rsidRDefault="00DD6C2C" w:rsidP="00A91709">
      <w:pPr>
        <w:shd w:val="clear" w:color="auto" w:fill="FFFFFF"/>
        <w:ind w:left="709" w:right="709"/>
        <w:jc w:val="both"/>
        <w:rPr>
          <w:rFonts w:ascii="Arial" w:hAnsi="Arial" w:cs="Arial"/>
          <w:color w:val="000000" w:themeColor="text1"/>
          <w:sz w:val="21"/>
          <w:szCs w:val="21"/>
        </w:rPr>
      </w:pPr>
    </w:p>
    <w:p w14:paraId="7A573738" w14:textId="4701905E" w:rsidR="00E37D50" w:rsidRPr="00112A89" w:rsidRDefault="00F42A08" w:rsidP="00A91709">
      <w:pPr>
        <w:shd w:val="clear" w:color="auto" w:fill="FFFFFF"/>
        <w:ind w:left="709" w:right="709"/>
        <w:jc w:val="both"/>
        <w:rPr>
          <w:rFonts w:ascii="Arial" w:hAnsi="Arial" w:cs="Arial"/>
          <w:color w:val="000000" w:themeColor="text1"/>
          <w:sz w:val="21"/>
          <w:szCs w:val="21"/>
        </w:rPr>
      </w:pPr>
      <w:r w:rsidRPr="00112A89">
        <w:rPr>
          <w:rFonts w:ascii="Arial" w:hAnsi="Arial" w:cs="Arial"/>
          <w:color w:val="000000" w:themeColor="text1"/>
          <w:sz w:val="21"/>
          <w:szCs w:val="21"/>
        </w:rPr>
        <w:t>En la práctica se usa un argumento de tipo sistemático siempre que, para acreditar la interpretación escogida, se alega</w:t>
      </w:r>
      <w:r w:rsidR="00295267" w:rsidRPr="00112A89">
        <w:rPr>
          <w:rFonts w:ascii="Arial" w:hAnsi="Arial" w:cs="Arial"/>
          <w:color w:val="000000" w:themeColor="text1"/>
          <w:sz w:val="21"/>
          <w:szCs w:val="21"/>
        </w:rPr>
        <w:t xml:space="preserve"> no el texto de la disposición interpretada aisladamente considerada, sino algún elemento del contexto en el que la disposición está colocada.</w:t>
      </w:r>
      <w:r w:rsidR="00A3799B" w:rsidRPr="00112A89">
        <w:rPr>
          <w:rFonts w:ascii="Arial" w:hAnsi="Arial" w:cs="Arial"/>
          <w:color w:val="000000" w:themeColor="text1"/>
          <w:sz w:val="21"/>
          <w:szCs w:val="21"/>
        </w:rPr>
        <w:t xml:space="preserve"> Tal contexto puede ser más o menos extenso: </w:t>
      </w:r>
      <w:r w:rsidR="00A3799B" w:rsidRPr="00112A89">
        <w:rPr>
          <w:rFonts w:ascii="Arial" w:hAnsi="Arial" w:cs="Arial"/>
          <w:i/>
          <w:iCs/>
          <w:color w:val="000000" w:themeColor="text1"/>
          <w:sz w:val="21"/>
          <w:szCs w:val="21"/>
        </w:rPr>
        <w:t>los otros apartados de un mismo artículo</w:t>
      </w:r>
      <w:r w:rsidR="00A3799B" w:rsidRPr="00112A89">
        <w:rPr>
          <w:rFonts w:ascii="Arial" w:hAnsi="Arial" w:cs="Arial"/>
          <w:color w:val="000000" w:themeColor="text1"/>
          <w:sz w:val="21"/>
          <w:szCs w:val="21"/>
        </w:rPr>
        <w:t>, los otros artículos de una misma ley</w:t>
      </w:r>
      <w:r w:rsidR="00C34003" w:rsidRPr="00112A89">
        <w:rPr>
          <w:rFonts w:ascii="Arial" w:hAnsi="Arial" w:cs="Arial"/>
          <w:color w:val="000000" w:themeColor="text1"/>
          <w:sz w:val="21"/>
          <w:szCs w:val="21"/>
        </w:rPr>
        <w:t>, el conjunto de las leyes que se refieren a una misma materia, etc. hasta llegar a la totalidad de las disposiciones que componen un ordenamiento jurídico</w:t>
      </w:r>
      <w:r w:rsidR="00C34003" w:rsidRPr="00112A89">
        <w:rPr>
          <w:rStyle w:val="Refdenotaalpie"/>
          <w:rFonts w:ascii="Arial" w:hAnsi="Arial" w:cs="Arial"/>
          <w:sz w:val="22"/>
          <w:szCs w:val="22"/>
        </w:rPr>
        <w:footnoteReference w:id="13"/>
      </w:r>
      <w:r w:rsidR="004E2B1F" w:rsidRPr="00112A89">
        <w:rPr>
          <w:rFonts w:ascii="Arial" w:hAnsi="Arial" w:cs="Arial"/>
          <w:color w:val="000000" w:themeColor="text1"/>
          <w:sz w:val="22"/>
          <w:szCs w:val="22"/>
        </w:rPr>
        <w:t xml:space="preserve"> </w:t>
      </w:r>
      <w:r w:rsidR="004E2B1F" w:rsidRPr="00112A89">
        <w:rPr>
          <w:rFonts w:ascii="Arial" w:hAnsi="Arial" w:cs="Arial"/>
          <w:color w:val="000000" w:themeColor="text1"/>
          <w:sz w:val="21"/>
          <w:szCs w:val="21"/>
        </w:rPr>
        <w:t>(énfasis fuera de texto)</w:t>
      </w:r>
      <w:r w:rsidR="00C34003" w:rsidRPr="00112A89">
        <w:rPr>
          <w:rFonts w:ascii="Arial" w:hAnsi="Arial" w:cs="Arial"/>
          <w:color w:val="000000" w:themeColor="text1"/>
          <w:sz w:val="21"/>
          <w:szCs w:val="21"/>
        </w:rPr>
        <w:t>.</w:t>
      </w:r>
    </w:p>
    <w:p w14:paraId="3AE2D637" w14:textId="77777777" w:rsidR="00A91709" w:rsidRPr="00112A89" w:rsidRDefault="00A91709" w:rsidP="00A91709">
      <w:pPr>
        <w:spacing w:line="276" w:lineRule="auto"/>
        <w:ind w:firstLine="709"/>
        <w:jc w:val="both"/>
        <w:rPr>
          <w:rFonts w:ascii="Arial" w:eastAsia="Calibri" w:hAnsi="Arial" w:cs="Arial"/>
          <w:color w:val="000000" w:themeColor="text1"/>
          <w:sz w:val="22"/>
          <w:szCs w:val="22"/>
        </w:rPr>
      </w:pPr>
    </w:p>
    <w:p w14:paraId="222CF588" w14:textId="61823CED" w:rsidR="006755A3" w:rsidRPr="00112A89" w:rsidRDefault="00A91709" w:rsidP="006A416A">
      <w:pPr>
        <w:spacing w:line="276" w:lineRule="auto"/>
        <w:ind w:firstLine="709"/>
        <w:jc w:val="both"/>
        <w:rPr>
          <w:rFonts w:ascii="Arial" w:eastAsia="Calibri" w:hAnsi="Arial" w:cs="Arial"/>
          <w:color w:val="000000" w:themeColor="text1"/>
          <w:sz w:val="22"/>
          <w:szCs w:val="22"/>
        </w:rPr>
      </w:pPr>
      <w:r w:rsidRPr="00112A89">
        <w:rPr>
          <w:rFonts w:ascii="Arial" w:eastAsia="Calibri" w:hAnsi="Arial" w:cs="Arial"/>
          <w:color w:val="000000" w:themeColor="text1"/>
          <w:sz w:val="22"/>
          <w:szCs w:val="22"/>
        </w:rPr>
        <w:t>De allí, por tanto, que si el primer inciso del artículo 95 de la Ley 21</w:t>
      </w:r>
      <w:r w:rsidR="00557BD3" w:rsidRPr="00112A89">
        <w:rPr>
          <w:rFonts w:ascii="Arial" w:eastAsia="Calibri" w:hAnsi="Arial" w:cs="Arial"/>
          <w:color w:val="000000" w:themeColor="text1"/>
          <w:sz w:val="22"/>
          <w:szCs w:val="22"/>
        </w:rPr>
        <w:t>66</w:t>
      </w:r>
      <w:r w:rsidRPr="00112A89">
        <w:rPr>
          <w:rFonts w:ascii="Arial" w:eastAsia="Calibri" w:hAnsi="Arial" w:cs="Arial"/>
          <w:color w:val="000000" w:themeColor="text1"/>
          <w:sz w:val="22"/>
          <w:szCs w:val="22"/>
        </w:rPr>
        <w:t xml:space="preserve"> de 2021 incluye en la noción de </w:t>
      </w:r>
      <w:r w:rsidR="00A333AC" w:rsidRPr="00112A89">
        <w:rPr>
          <w:rFonts w:ascii="Arial" w:eastAsia="Calibri" w:hAnsi="Arial" w:cs="Arial"/>
          <w:color w:val="000000" w:themeColor="text1"/>
          <w:sz w:val="22"/>
          <w:szCs w:val="22"/>
        </w:rPr>
        <w:t>«</w:t>
      </w:r>
      <w:r w:rsidRPr="00112A89">
        <w:rPr>
          <w:rFonts w:ascii="Arial" w:eastAsia="Calibri" w:hAnsi="Arial" w:cs="Arial"/>
          <w:color w:val="000000" w:themeColor="text1"/>
          <w:sz w:val="22"/>
          <w:szCs w:val="22"/>
        </w:rPr>
        <w:t>ente</w:t>
      </w:r>
      <w:r w:rsidR="00A333AC" w:rsidRPr="00112A89">
        <w:rPr>
          <w:rFonts w:ascii="Arial" w:eastAsia="Calibri" w:hAnsi="Arial" w:cs="Arial"/>
          <w:color w:val="000000" w:themeColor="text1"/>
          <w:sz w:val="22"/>
          <w:szCs w:val="22"/>
        </w:rPr>
        <w:t>s</w:t>
      </w:r>
      <w:r w:rsidRPr="00112A89">
        <w:rPr>
          <w:rFonts w:ascii="Arial" w:eastAsia="Calibri" w:hAnsi="Arial" w:cs="Arial"/>
          <w:color w:val="000000" w:themeColor="text1"/>
          <w:sz w:val="22"/>
          <w:szCs w:val="22"/>
        </w:rPr>
        <w:t xml:space="preserve"> territorial</w:t>
      </w:r>
      <w:r w:rsidR="00A333AC" w:rsidRPr="00112A89">
        <w:rPr>
          <w:rFonts w:ascii="Arial" w:eastAsia="Calibri" w:hAnsi="Arial" w:cs="Arial"/>
          <w:color w:val="000000" w:themeColor="text1"/>
          <w:sz w:val="22"/>
          <w:szCs w:val="22"/>
        </w:rPr>
        <w:t>es»</w:t>
      </w:r>
      <w:r w:rsidRPr="00112A89">
        <w:rPr>
          <w:rFonts w:ascii="Arial" w:eastAsia="Calibri" w:hAnsi="Arial" w:cs="Arial"/>
          <w:color w:val="000000" w:themeColor="text1"/>
          <w:sz w:val="22"/>
          <w:szCs w:val="22"/>
        </w:rPr>
        <w:t xml:space="preserve"> a la Nación, y los dos parágrafos de</w:t>
      </w:r>
      <w:r w:rsidR="00A333AC" w:rsidRPr="00112A89">
        <w:rPr>
          <w:rFonts w:ascii="Arial" w:eastAsia="Calibri" w:hAnsi="Arial" w:cs="Arial"/>
          <w:color w:val="000000" w:themeColor="text1"/>
          <w:sz w:val="22"/>
          <w:szCs w:val="22"/>
        </w:rPr>
        <w:t>l mismo artículo se refieren a los «entes territoriales», se entiende, en sentido lógico-sistemático, que</w:t>
      </w:r>
      <w:r w:rsidR="006A416A" w:rsidRPr="00112A89">
        <w:rPr>
          <w:rFonts w:ascii="Arial" w:eastAsia="Calibri" w:hAnsi="Arial" w:cs="Arial"/>
          <w:color w:val="000000" w:themeColor="text1"/>
          <w:sz w:val="22"/>
          <w:szCs w:val="22"/>
        </w:rPr>
        <w:t xml:space="preserve"> los destinatarios de los enunciados normativos previstos en los parágrafos son los mismos que se acotaron en el primer inciso.</w:t>
      </w:r>
      <w:r w:rsidR="00557BD3" w:rsidRPr="00112A89">
        <w:rPr>
          <w:rFonts w:ascii="Arial" w:eastAsia="Calibri" w:hAnsi="Arial" w:cs="Arial"/>
          <w:color w:val="000000" w:themeColor="text1"/>
          <w:sz w:val="22"/>
          <w:szCs w:val="22"/>
        </w:rPr>
        <w:t xml:space="preserve"> Esta interpretación no obsta para que</w:t>
      </w:r>
      <w:r w:rsidR="00A56A31" w:rsidRPr="00D068F7">
        <w:rPr>
          <w:rFonts w:ascii="Arial" w:eastAsia="Calibri" w:hAnsi="Arial" w:cs="Arial"/>
          <w:color w:val="000000" w:themeColor="text1"/>
          <w:sz w:val="22"/>
          <w:szCs w:val="22"/>
        </w:rPr>
        <w:t xml:space="preserve"> eventualmente</w:t>
      </w:r>
      <w:r w:rsidR="00557BD3" w:rsidRPr="00112A89">
        <w:rPr>
          <w:rFonts w:ascii="Arial" w:eastAsia="Calibri" w:hAnsi="Arial" w:cs="Arial"/>
          <w:color w:val="000000" w:themeColor="text1"/>
          <w:sz w:val="22"/>
          <w:szCs w:val="22"/>
        </w:rPr>
        <w:t xml:space="preserve"> el Gobierno Nacional, en ejercicio de la potestad reglamentaria que le confiere el artículo 189</w:t>
      </w:r>
      <w:r w:rsidR="006D6F58" w:rsidRPr="00D068F7">
        <w:rPr>
          <w:rFonts w:ascii="Arial" w:eastAsia="Calibri" w:hAnsi="Arial" w:cs="Arial"/>
          <w:color w:val="000000" w:themeColor="text1"/>
          <w:sz w:val="22"/>
          <w:szCs w:val="22"/>
        </w:rPr>
        <w:t>.</w:t>
      </w:r>
      <w:r w:rsidR="00557BD3" w:rsidRPr="00112A89">
        <w:rPr>
          <w:rFonts w:ascii="Arial" w:eastAsia="Calibri" w:hAnsi="Arial" w:cs="Arial"/>
          <w:color w:val="000000" w:themeColor="text1"/>
          <w:sz w:val="22"/>
          <w:szCs w:val="22"/>
        </w:rPr>
        <w:t>11 de la Constitución, asigne a la</w:t>
      </w:r>
      <w:r w:rsidR="00534FF1" w:rsidRPr="00112A89">
        <w:rPr>
          <w:rFonts w:ascii="Arial" w:eastAsia="Calibri" w:hAnsi="Arial" w:cs="Arial"/>
          <w:color w:val="000000" w:themeColor="text1"/>
          <w:sz w:val="22"/>
          <w:szCs w:val="22"/>
        </w:rPr>
        <w:t xml:space="preserve"> referida expresión un significado distinto.</w:t>
      </w:r>
    </w:p>
    <w:p w14:paraId="29C2E90E" w14:textId="77777777" w:rsidR="0018226D" w:rsidRPr="00112A89" w:rsidRDefault="0018226D" w:rsidP="0018226D">
      <w:pPr>
        <w:spacing w:before="120" w:line="276" w:lineRule="auto"/>
        <w:ind w:firstLine="709"/>
        <w:jc w:val="both"/>
        <w:rPr>
          <w:rFonts w:ascii="Arial" w:hAnsi="Arial" w:cs="Arial"/>
          <w:bCs/>
          <w:color w:val="000000" w:themeColor="text1"/>
          <w:sz w:val="22"/>
          <w:lang w:eastAsia="es-MX"/>
        </w:rPr>
      </w:pPr>
      <w:r w:rsidRPr="00112A89">
        <w:rPr>
          <w:rFonts w:ascii="Arial" w:hAnsi="Arial" w:cs="Arial"/>
          <w:bCs/>
          <w:color w:val="000000" w:themeColor="text1"/>
          <w:sz w:val="22"/>
          <w:lang w:eastAsia="es-MX"/>
        </w:rPr>
        <w:t xml:space="preserve">En este sentido, el régimen de contratación directa de los convenios solidarios señalado en el artículo 95 de la Ley 2166 de 2021 únicamente puede realizarse conforme a lo dispuesto en dicha norma, de manera que no podrá extenderse a otros objetos distintos al de obra, siempre que se cumplan con los demás presupuestos indicados. </w:t>
      </w:r>
    </w:p>
    <w:p w14:paraId="35737FCD" w14:textId="77777777" w:rsidR="0018226D" w:rsidRPr="00112A89" w:rsidRDefault="0018226D" w:rsidP="0018226D">
      <w:pPr>
        <w:spacing w:before="120" w:line="276" w:lineRule="auto"/>
        <w:ind w:firstLine="709"/>
        <w:jc w:val="both"/>
        <w:rPr>
          <w:rFonts w:ascii="Arial" w:hAnsi="Arial" w:cs="Arial"/>
          <w:bCs/>
          <w:color w:val="000000" w:themeColor="text1"/>
          <w:sz w:val="22"/>
          <w:lang w:eastAsia="es-MX"/>
        </w:rPr>
      </w:pPr>
      <w:r w:rsidRPr="00112A89">
        <w:rPr>
          <w:rFonts w:ascii="Arial" w:hAnsi="Arial" w:cs="Arial"/>
          <w:bCs/>
          <w:color w:val="000000" w:themeColor="text1"/>
          <w:sz w:val="22"/>
          <w:lang w:eastAsia="es-MX"/>
        </w:rPr>
        <w:t xml:space="preserve">Lo anterior, sin perjuicio de la celebración de convenios solidarios con los organismos de acción comunal mediante los otros dos regímenes señalados en el numeral 2.1 de este concepto, esto es, el previsto en el Decreto 092 de 2017; y el que </w:t>
      </w:r>
      <w:r w:rsidRPr="00112A89">
        <w:rPr>
          <w:rFonts w:ascii="Arial" w:hAnsi="Arial" w:cs="Arial"/>
          <w:color w:val="000000" w:themeColor="text1"/>
          <w:sz w:val="22"/>
          <w:lang w:val="es-ES" w:eastAsia="es-MX"/>
        </w:rPr>
        <w:t xml:space="preserve">se fundamenta en los parágrafos tercero y quinto del artículo 3 de la Ley 136 de 1994, los cuales deben </w:t>
      </w:r>
      <w:r w:rsidRPr="00112A89">
        <w:rPr>
          <w:rFonts w:ascii="Arial" w:hAnsi="Arial" w:cs="Arial"/>
          <w:color w:val="000000" w:themeColor="text1"/>
          <w:sz w:val="22"/>
          <w:lang w:val="es-ES" w:eastAsia="es-MX"/>
        </w:rPr>
        <w:lastRenderedPageBreak/>
        <w:t>interpretarse armónicamente con lo dispuesto en el artículo 141 de la precitada Ley y, actualmente, con el artículo 63 de la Ley 2166 de 2021</w:t>
      </w:r>
      <w:r w:rsidRPr="00112A89">
        <w:rPr>
          <w:rStyle w:val="Refdenotaalpie"/>
        </w:rPr>
        <w:footnoteReference w:id="14"/>
      </w:r>
      <w:r w:rsidRPr="00112A89">
        <w:rPr>
          <w:rFonts w:ascii="Arial" w:hAnsi="Arial" w:cs="Arial"/>
          <w:color w:val="000000" w:themeColor="text1"/>
          <w:sz w:val="22"/>
          <w:lang w:val="es-ES" w:eastAsia="es-MX"/>
        </w:rPr>
        <w:t xml:space="preserve">. </w:t>
      </w:r>
    </w:p>
    <w:p w14:paraId="2AFA9A6A" w14:textId="77777777" w:rsidR="0018226D" w:rsidRPr="00112A89" w:rsidRDefault="0018226D" w:rsidP="0018226D">
      <w:pPr>
        <w:spacing w:before="120" w:line="276" w:lineRule="auto"/>
        <w:ind w:firstLine="709"/>
        <w:jc w:val="both"/>
        <w:rPr>
          <w:rFonts w:ascii="Arial" w:hAnsi="Arial" w:cs="Arial"/>
          <w:color w:val="000000" w:themeColor="text1"/>
          <w:sz w:val="22"/>
          <w:lang w:val="es-ES" w:eastAsia="es-MX"/>
        </w:rPr>
      </w:pPr>
      <w:r w:rsidRPr="00112A89">
        <w:rPr>
          <w:rFonts w:ascii="Arial" w:hAnsi="Arial" w:cs="Arial"/>
          <w:bCs/>
          <w:color w:val="000000" w:themeColor="text1"/>
          <w:sz w:val="22"/>
          <w:lang w:eastAsia="es-MX"/>
        </w:rPr>
        <w:t xml:space="preserve">A este respecto, es preciso señalar que conforme con el artículo 63 de la </w:t>
      </w:r>
      <w:r w:rsidRPr="00112A89">
        <w:rPr>
          <w:rFonts w:ascii="Arial" w:hAnsi="Arial" w:cs="Arial"/>
          <w:color w:val="000000" w:themeColor="text1"/>
          <w:sz w:val="22"/>
          <w:lang w:val="es-ES" w:eastAsia="es-MX"/>
        </w:rPr>
        <w:t xml:space="preserve">Ley 2166 de 2021 las organizaciones comunales cuentan con la posibilidad de vincularse al desarrollo y mejoramiento municipal mediante la participación en el ejercicio de las funciones, la prestación de servicios o la ejecución de obras públicas a cargo de la administración central o descentralizada. El tenor literal de este artículo es el siguiente: </w:t>
      </w:r>
    </w:p>
    <w:p w14:paraId="6B029E29" w14:textId="77777777" w:rsidR="0018226D" w:rsidRPr="00112A89" w:rsidRDefault="0018226D" w:rsidP="0018226D">
      <w:pPr>
        <w:spacing w:line="276" w:lineRule="auto"/>
        <w:ind w:firstLine="709"/>
        <w:jc w:val="both"/>
        <w:rPr>
          <w:rFonts w:ascii="Arial" w:hAnsi="Arial" w:cs="Arial"/>
          <w:color w:val="000000" w:themeColor="text1"/>
          <w:sz w:val="22"/>
          <w:lang w:val="es-ES" w:eastAsia="es-MX"/>
        </w:rPr>
      </w:pPr>
    </w:p>
    <w:p w14:paraId="5E7A79F0" w14:textId="77777777" w:rsidR="0018226D" w:rsidRPr="00112A89" w:rsidRDefault="0018226D" w:rsidP="0018226D">
      <w:pPr>
        <w:ind w:left="709" w:right="709"/>
        <w:jc w:val="both"/>
        <w:rPr>
          <w:rFonts w:ascii="Arial" w:hAnsi="Arial" w:cs="Arial"/>
          <w:color w:val="000000" w:themeColor="text1"/>
          <w:sz w:val="21"/>
          <w:szCs w:val="21"/>
        </w:rPr>
      </w:pPr>
      <w:bookmarkStart w:id="9" w:name="63"/>
      <w:r w:rsidRPr="00112A89">
        <w:rPr>
          <w:rFonts w:ascii="Arial" w:hAnsi="Arial" w:cs="Arial"/>
          <w:color w:val="000000" w:themeColor="text1"/>
          <w:sz w:val="21"/>
          <w:szCs w:val="21"/>
        </w:rPr>
        <w:t>Artículo 63.</w:t>
      </w:r>
      <w:bookmarkEnd w:id="9"/>
      <w:r w:rsidRPr="00112A89">
        <w:rPr>
          <w:rFonts w:ascii="Arial" w:hAnsi="Arial" w:cs="Arial"/>
          <w:color w:val="000000" w:themeColor="text1"/>
          <w:sz w:val="21"/>
          <w:szCs w:val="21"/>
        </w:rPr>
        <w:t> Conforme con el artículo </w:t>
      </w:r>
      <w:hyperlink r:id="rId15" w:anchor="141" w:history="1">
        <w:r w:rsidRPr="00112A89">
          <w:rPr>
            <w:rFonts w:ascii="Arial" w:hAnsi="Arial" w:cs="Arial"/>
            <w:color w:val="000000" w:themeColor="text1"/>
            <w:sz w:val="21"/>
            <w:szCs w:val="21"/>
          </w:rPr>
          <w:t>141</w:t>
        </w:r>
      </w:hyperlink>
      <w:r w:rsidRPr="00112A89">
        <w:rPr>
          <w:rFonts w:ascii="Arial" w:hAnsi="Arial" w:cs="Arial"/>
          <w:color w:val="000000" w:themeColor="text1"/>
          <w:sz w:val="21"/>
          <w:szCs w:val="21"/>
        </w:rPr>
        <w:t> de la Ley 136 de 1994, los organismos comunales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acuerdo con la ley y sus objetivos, se regularán por el régimen vigente de contratación para organizaciones solidarias.</w:t>
      </w:r>
    </w:p>
    <w:p w14:paraId="1BA4CD86" w14:textId="77777777" w:rsidR="0018226D" w:rsidRPr="00112A89" w:rsidRDefault="0018226D" w:rsidP="0018226D">
      <w:pPr>
        <w:ind w:left="709" w:right="709"/>
        <w:jc w:val="both"/>
        <w:rPr>
          <w:rFonts w:ascii="Arial" w:hAnsi="Arial" w:cs="Arial"/>
          <w:color w:val="000000" w:themeColor="text1"/>
          <w:sz w:val="21"/>
          <w:szCs w:val="21"/>
        </w:rPr>
      </w:pPr>
    </w:p>
    <w:p w14:paraId="1C6D3F49" w14:textId="77777777" w:rsidR="0018226D" w:rsidRPr="00112A89" w:rsidRDefault="0018226D" w:rsidP="0018226D">
      <w:pPr>
        <w:ind w:left="709" w:right="709"/>
        <w:jc w:val="both"/>
        <w:rPr>
          <w:rFonts w:ascii="Arial" w:hAnsi="Arial" w:cs="Arial"/>
          <w:color w:val="000000" w:themeColor="text1"/>
          <w:sz w:val="21"/>
          <w:szCs w:val="21"/>
        </w:rPr>
      </w:pPr>
      <w:r w:rsidRPr="00112A89">
        <w:rPr>
          <w:rFonts w:ascii="Arial" w:hAnsi="Arial" w:cs="Arial"/>
          <w:color w:val="000000" w:themeColor="text1"/>
          <w:sz w:val="21"/>
          <w:szCs w:val="21"/>
        </w:rPr>
        <w:t>PARÁGRAFO 1o. Los organismos de Acción Comunal podrán contratar con las entidades territoriales hasta por la menor cuantía de dicha entidad de conformidad con la ley.</w:t>
      </w:r>
    </w:p>
    <w:p w14:paraId="26219070" w14:textId="77777777" w:rsidR="0018226D" w:rsidRPr="00112A89" w:rsidRDefault="0018226D" w:rsidP="0018226D">
      <w:pPr>
        <w:ind w:left="709" w:right="709"/>
        <w:jc w:val="both"/>
        <w:rPr>
          <w:rFonts w:ascii="Arial" w:hAnsi="Arial" w:cs="Arial"/>
          <w:color w:val="000000" w:themeColor="text1"/>
          <w:sz w:val="21"/>
          <w:szCs w:val="21"/>
        </w:rPr>
      </w:pPr>
    </w:p>
    <w:p w14:paraId="70AEE603" w14:textId="77777777" w:rsidR="0018226D" w:rsidRPr="00112A89" w:rsidRDefault="0018226D" w:rsidP="0018226D">
      <w:pPr>
        <w:ind w:left="709" w:right="709"/>
        <w:jc w:val="both"/>
        <w:rPr>
          <w:rFonts w:ascii="Arial" w:hAnsi="Arial" w:cs="Arial"/>
          <w:color w:val="000000" w:themeColor="text1"/>
          <w:sz w:val="21"/>
          <w:szCs w:val="21"/>
        </w:rPr>
      </w:pPr>
      <w:r w:rsidRPr="00112A89">
        <w:rPr>
          <w:rFonts w:ascii="Arial" w:hAnsi="Arial" w:cs="Arial"/>
          <w:color w:val="000000" w:themeColor="text1"/>
          <w:sz w:val="21"/>
          <w:szCs w:val="21"/>
        </w:rPr>
        <w:t xml:space="preserve">PARÁGRAFO 2o. Los denominados convenios solidarios y contratos interadministrativos de mínima, que trata el presente artículo también podrán ser celebrados </w:t>
      </w:r>
      <w:bookmarkStart w:id="10" w:name="_Hlk98592569"/>
      <w:r w:rsidRPr="00112A89">
        <w:rPr>
          <w:rFonts w:ascii="Arial" w:hAnsi="Arial" w:cs="Arial"/>
          <w:color w:val="000000" w:themeColor="text1"/>
          <w:sz w:val="21"/>
          <w:szCs w:val="21"/>
        </w:rPr>
        <w:t xml:space="preserve">entre las entidades del orden nacional, departamental, distrital, local y municipal y los organismos de acción comunal </w:t>
      </w:r>
      <w:bookmarkEnd w:id="10"/>
      <w:r w:rsidRPr="00112A89">
        <w:rPr>
          <w:rFonts w:ascii="Arial" w:hAnsi="Arial" w:cs="Arial"/>
          <w:color w:val="000000" w:themeColor="text1"/>
          <w:sz w:val="21"/>
          <w:szCs w:val="21"/>
        </w:rPr>
        <w:t>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6" w:anchor="281" w:history="1">
        <w:r w:rsidRPr="00112A89">
          <w:rPr>
            <w:rFonts w:ascii="Arial" w:hAnsi="Arial" w:cs="Arial"/>
            <w:color w:val="000000" w:themeColor="text1"/>
            <w:sz w:val="21"/>
            <w:szCs w:val="21"/>
          </w:rPr>
          <w:t>281</w:t>
        </w:r>
      </w:hyperlink>
      <w:r w:rsidRPr="00112A89">
        <w:rPr>
          <w:rFonts w:ascii="Arial" w:hAnsi="Arial" w:cs="Arial"/>
          <w:color w:val="000000" w:themeColor="text1"/>
          <w:sz w:val="21"/>
          <w:szCs w:val="21"/>
        </w:rPr>
        <w:t> de la Ley 1955 de 2019.</w:t>
      </w:r>
    </w:p>
    <w:p w14:paraId="00BAEC51" w14:textId="77777777" w:rsidR="0018226D" w:rsidRPr="00112A89" w:rsidRDefault="0018226D" w:rsidP="0018226D">
      <w:pPr>
        <w:ind w:left="709" w:right="709"/>
        <w:jc w:val="both"/>
        <w:rPr>
          <w:rFonts w:ascii="Arial" w:hAnsi="Arial" w:cs="Arial"/>
          <w:color w:val="000000" w:themeColor="text1"/>
          <w:sz w:val="21"/>
          <w:szCs w:val="21"/>
        </w:rPr>
      </w:pPr>
    </w:p>
    <w:p w14:paraId="1E089035" w14:textId="77777777" w:rsidR="0018226D" w:rsidRPr="00112A89" w:rsidRDefault="0018226D" w:rsidP="0018226D">
      <w:pPr>
        <w:spacing w:line="276" w:lineRule="auto"/>
        <w:ind w:firstLine="709"/>
        <w:jc w:val="both"/>
        <w:rPr>
          <w:rFonts w:ascii="Arial" w:hAnsi="Arial" w:cs="Arial"/>
          <w:color w:val="000000" w:themeColor="text1"/>
          <w:sz w:val="22"/>
          <w:lang w:eastAsia="es-MX"/>
        </w:rPr>
      </w:pPr>
      <w:r w:rsidRPr="00112A89">
        <w:rPr>
          <w:rFonts w:ascii="Arial" w:hAnsi="Arial" w:cs="Arial"/>
          <w:color w:val="000000" w:themeColor="text1"/>
          <w:sz w:val="22"/>
          <w:lang w:val="es-ES" w:eastAsia="es-MX"/>
        </w:rPr>
        <w:t xml:space="preserve">Según se evidencia, </w:t>
      </w:r>
      <w:r w:rsidRPr="00112A89">
        <w:rPr>
          <w:rFonts w:ascii="Arial" w:hAnsi="Arial" w:cs="Arial"/>
          <w:color w:val="000000" w:themeColor="text1"/>
          <w:sz w:val="22"/>
          <w:lang w:eastAsia="es-MX"/>
        </w:rPr>
        <w:t xml:space="preserve">esta </w:t>
      </w:r>
      <w:r w:rsidRPr="00112A89">
        <w:rPr>
          <w:rFonts w:ascii="Arial" w:hAnsi="Arial" w:cs="Arial"/>
          <w:color w:val="000000" w:themeColor="text1"/>
          <w:sz w:val="22"/>
          <w:lang w:val="es-ES" w:eastAsia="es-MX"/>
        </w:rPr>
        <w:t xml:space="preserve">disposición contempla supuestos distintos al establecido en el artículo 95 de la Ley 2166 de 2021. En efecto, el artículo 63 </w:t>
      </w:r>
      <w:r w:rsidRPr="00112A89">
        <w:rPr>
          <w:rFonts w:ascii="Arial" w:hAnsi="Arial" w:cs="Arial"/>
          <w:i/>
          <w:iCs/>
          <w:color w:val="000000" w:themeColor="text1"/>
          <w:sz w:val="22"/>
          <w:lang w:val="es-ES" w:eastAsia="es-MX"/>
        </w:rPr>
        <w:t xml:space="preserve">ibidem </w:t>
      </w:r>
      <w:r w:rsidRPr="00112A89">
        <w:rPr>
          <w:rFonts w:ascii="Arial" w:hAnsi="Arial" w:cs="Arial"/>
          <w:color w:val="000000" w:themeColor="text1"/>
          <w:sz w:val="22"/>
          <w:lang w:val="es-ES" w:eastAsia="es-MX"/>
        </w:rPr>
        <w:t xml:space="preserve">permite la celebración de convenios solidarios con </w:t>
      </w:r>
      <w:r w:rsidRPr="00112A89">
        <w:rPr>
          <w:rFonts w:ascii="Arial" w:hAnsi="Arial" w:cs="Arial"/>
          <w:color w:val="000000" w:themeColor="text1"/>
          <w:sz w:val="22"/>
          <w:lang w:eastAsia="es-MX"/>
        </w:rPr>
        <w:t xml:space="preserve">organismos de acción comunal con la finalidad de que estos se vinculen al desarrollo y mejoramiento municipal mediante: i) su participación en el ejercicio de sus funciones, ii) la prestación de bienes y servicios o iii) la ejecución de </w:t>
      </w:r>
      <w:r w:rsidRPr="00112A89">
        <w:rPr>
          <w:rFonts w:ascii="Arial" w:hAnsi="Arial" w:cs="Arial"/>
          <w:color w:val="000000" w:themeColor="text1"/>
          <w:sz w:val="22"/>
          <w:lang w:eastAsia="es-MX"/>
        </w:rPr>
        <w:lastRenderedPageBreak/>
        <w:t>obras públicas</w:t>
      </w:r>
      <w:r w:rsidRPr="00112A89">
        <w:rPr>
          <w:rFonts w:ascii="Arial" w:hAnsi="Arial" w:cs="Arial"/>
          <w:color w:val="000000" w:themeColor="text1"/>
          <w:sz w:val="21"/>
          <w:szCs w:val="21"/>
        </w:rPr>
        <w:t xml:space="preserve"> </w:t>
      </w:r>
      <w:r w:rsidRPr="00112A89">
        <w:rPr>
          <w:rFonts w:ascii="Arial" w:hAnsi="Arial" w:cs="Arial"/>
          <w:color w:val="000000" w:themeColor="text1"/>
          <w:sz w:val="22"/>
          <w:lang w:eastAsia="es-MX"/>
        </w:rPr>
        <w:t>cargo de la administración central o descentralizada. Además, con fundamento en este artículo, las entidades del orden nacional, departamental, distrital, local y municipal y los organismos de acción comunal podrán ejecutar los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7" w:anchor="281" w:history="1">
        <w:r w:rsidRPr="00112A89">
          <w:rPr>
            <w:rStyle w:val="Hipervnculo"/>
            <w:rFonts w:ascii="Arial" w:hAnsi="Arial" w:cs="Arial"/>
            <w:color w:val="000000" w:themeColor="text1"/>
            <w:sz w:val="22"/>
            <w:u w:val="none"/>
            <w:lang w:eastAsia="es-MX"/>
          </w:rPr>
          <w:t>281</w:t>
        </w:r>
      </w:hyperlink>
      <w:r w:rsidRPr="00112A89">
        <w:rPr>
          <w:rFonts w:ascii="Arial" w:hAnsi="Arial" w:cs="Arial"/>
          <w:color w:val="000000" w:themeColor="text1"/>
          <w:sz w:val="22"/>
          <w:lang w:eastAsia="es-MX"/>
        </w:rPr>
        <w:t xml:space="preserve"> de la Ley 1955 de 2019. Como se observa, la norma señalada contempla diversos objetos para la celebración de convenios solidarios. Por el contrario, el artículo 95 </w:t>
      </w:r>
      <w:r w:rsidRPr="00112A89">
        <w:rPr>
          <w:rFonts w:ascii="Arial" w:hAnsi="Arial" w:cs="Arial"/>
          <w:color w:val="000000" w:themeColor="text1"/>
          <w:sz w:val="22"/>
          <w:lang w:val="es-ES" w:eastAsia="es-MX"/>
        </w:rPr>
        <w:t xml:space="preserve">de la Ley 2166 de 2021 permite la ejecución de obras. </w:t>
      </w:r>
    </w:p>
    <w:p w14:paraId="4990FE3F" w14:textId="77777777" w:rsidR="0018226D" w:rsidRPr="00112A89" w:rsidRDefault="0018226D" w:rsidP="0018226D">
      <w:pPr>
        <w:spacing w:before="120" w:line="276" w:lineRule="auto"/>
        <w:ind w:firstLine="709"/>
        <w:jc w:val="both"/>
        <w:rPr>
          <w:rFonts w:ascii="Arial" w:hAnsi="Arial" w:cs="Arial"/>
          <w:color w:val="000000" w:themeColor="text1"/>
          <w:sz w:val="22"/>
          <w:lang w:eastAsia="es-MX"/>
        </w:rPr>
      </w:pPr>
      <w:r w:rsidRPr="00112A89">
        <w:rPr>
          <w:rFonts w:ascii="Arial" w:hAnsi="Arial" w:cs="Arial"/>
          <w:color w:val="000000" w:themeColor="text1"/>
          <w:sz w:val="22"/>
          <w:lang w:eastAsia="es-MX"/>
        </w:rPr>
        <w:t xml:space="preserve">Aunado a lo anterior, para la celebración de dichos convenios el citado artículo 63 remite al artículo 141 de la Ley 136 de 1994, en virtud del cual </w:t>
      </w:r>
      <w:r w:rsidRPr="00112A89">
        <w:rPr>
          <w:rFonts w:ascii="Arial" w:eastAsia="Calibri" w:hAnsi="Arial" w:cs="Arial"/>
          <w:color w:val="000000" w:themeColor="text1"/>
          <w:sz w:val="22"/>
          <w:szCs w:val="22"/>
          <w:lang w:val="es-ES_tradnl"/>
        </w:rPr>
        <w:t>«</w:t>
      </w:r>
      <w:r w:rsidRPr="00112A89">
        <w:rPr>
          <w:rFonts w:ascii="Arial" w:hAnsi="Arial" w:cs="Arial"/>
          <w:color w:val="000000" w:themeColor="text1"/>
          <w:sz w:val="22"/>
          <w:lang w:eastAsia="es-MX"/>
        </w:rPr>
        <w:t>Los contratos o convenios que se celebren en desarrollo del artículo anterior, se sujetarán a lo dispuesto por los artículos </w:t>
      </w:r>
      <w:hyperlink r:id="rId18" w:anchor="375" w:history="1">
        <w:r w:rsidRPr="00112A89">
          <w:rPr>
            <w:rStyle w:val="Hipervnculo"/>
            <w:rFonts w:ascii="Arial" w:hAnsi="Arial" w:cs="Arial"/>
            <w:color w:val="000000" w:themeColor="text1"/>
            <w:sz w:val="22"/>
            <w:u w:val="none"/>
            <w:lang w:eastAsia="es-MX"/>
          </w:rPr>
          <w:t>375</w:t>
        </w:r>
      </w:hyperlink>
      <w:r w:rsidRPr="00112A89">
        <w:rPr>
          <w:rFonts w:ascii="Arial" w:hAnsi="Arial" w:cs="Arial"/>
          <w:color w:val="000000" w:themeColor="text1"/>
          <w:sz w:val="22"/>
          <w:lang w:eastAsia="es-MX"/>
        </w:rPr>
        <w:t> a </w:t>
      </w:r>
      <w:hyperlink r:id="rId19" w:anchor="378" w:history="1">
        <w:r w:rsidRPr="00112A89">
          <w:rPr>
            <w:rStyle w:val="Hipervnculo"/>
            <w:rFonts w:ascii="Arial" w:hAnsi="Arial" w:cs="Arial"/>
            <w:color w:val="000000" w:themeColor="text1"/>
            <w:sz w:val="22"/>
            <w:u w:val="none"/>
            <w:lang w:eastAsia="es-MX"/>
          </w:rPr>
          <w:t>378</w:t>
        </w:r>
      </w:hyperlink>
      <w:r w:rsidRPr="00112A89">
        <w:rPr>
          <w:rFonts w:ascii="Arial" w:hAnsi="Arial" w:cs="Arial"/>
          <w:color w:val="000000" w:themeColor="text1"/>
          <w:sz w:val="22"/>
          <w:lang w:eastAsia="es-MX"/>
        </w:rPr>
        <w:t> del Decreto 1333 de 1986 y la Ley </w:t>
      </w:r>
      <w:hyperlink r:id="rId20" w:anchor="inicio" w:history="1">
        <w:r w:rsidRPr="00112A89">
          <w:rPr>
            <w:rStyle w:val="Hipervnculo"/>
            <w:rFonts w:ascii="Arial" w:hAnsi="Arial" w:cs="Arial"/>
            <w:color w:val="000000" w:themeColor="text1"/>
            <w:sz w:val="22"/>
            <w:u w:val="none"/>
            <w:lang w:eastAsia="es-MX"/>
          </w:rPr>
          <w:t>80</w:t>
        </w:r>
      </w:hyperlink>
      <w:r w:rsidRPr="00112A89">
        <w:rPr>
          <w:rFonts w:ascii="Arial" w:hAnsi="Arial" w:cs="Arial"/>
          <w:color w:val="000000" w:themeColor="text1"/>
          <w:sz w:val="22"/>
          <w:lang w:eastAsia="es-MX"/>
        </w:rPr>
        <w:t> de 1993</w:t>
      </w:r>
      <w:r w:rsidRPr="00112A89">
        <w:rPr>
          <w:rFonts w:ascii="Arial" w:eastAsia="Calibri" w:hAnsi="Arial" w:cs="Arial"/>
          <w:color w:val="000000" w:themeColor="text1"/>
          <w:sz w:val="22"/>
          <w:szCs w:val="22"/>
          <w:lang w:val="es-ES_tradnl"/>
        </w:rPr>
        <w:t>»</w:t>
      </w:r>
      <w:r w:rsidRPr="00112A89">
        <w:rPr>
          <w:rFonts w:ascii="Arial" w:hAnsi="Arial" w:cs="Arial"/>
          <w:color w:val="000000" w:themeColor="text1"/>
          <w:sz w:val="22"/>
          <w:lang w:eastAsia="es-MX"/>
        </w:rPr>
        <w:t xml:space="preserve">. En este sentido, retomando las consideraciones de los conceptos de esta Agencia, en este caso resulta aplicable el tercer régimen expuesto en el numeral 2.1. Esto implica que los convenios solidarios que se celebren con fundamento el artículo 63 de la Ley </w:t>
      </w:r>
      <w:r w:rsidRPr="00112A89">
        <w:rPr>
          <w:rFonts w:ascii="Arial" w:hAnsi="Arial" w:cs="Arial"/>
          <w:color w:val="000000" w:themeColor="text1"/>
          <w:sz w:val="22"/>
          <w:lang w:val="es-ES" w:eastAsia="es-MX"/>
        </w:rPr>
        <w:t>2166 de 2021</w:t>
      </w:r>
      <w:r w:rsidRPr="00112A89">
        <w:rPr>
          <w:rFonts w:ascii="Arial" w:hAnsi="Arial" w:cs="Arial"/>
          <w:color w:val="000000" w:themeColor="text1"/>
          <w:sz w:val="22"/>
          <w:lang w:val="es-ES"/>
        </w:rPr>
        <w:t xml:space="preserve"> deben interpretarse armónicamente con </w:t>
      </w:r>
      <w:r w:rsidRPr="00112A89">
        <w:rPr>
          <w:rFonts w:ascii="Arial" w:hAnsi="Arial" w:cs="Arial"/>
          <w:color w:val="000000" w:themeColor="text1"/>
          <w:sz w:val="22"/>
          <w:lang w:eastAsia="es-MX"/>
        </w:rPr>
        <w:t xml:space="preserve">el artículo 141 de la Ley 136 de 1994 y </w:t>
      </w:r>
      <w:r w:rsidRPr="00112A89">
        <w:rPr>
          <w:rFonts w:ascii="Arial" w:hAnsi="Arial" w:cs="Arial"/>
          <w:color w:val="000000" w:themeColor="text1"/>
          <w:sz w:val="22"/>
          <w:lang w:val="es-ES"/>
        </w:rPr>
        <w:t>los parágrafos tercero y quinto del artículo tercero de la Ley 136 de 1994</w:t>
      </w:r>
      <w:r w:rsidRPr="00112A89">
        <w:rPr>
          <w:rFonts w:ascii="Arial" w:hAnsi="Arial" w:cs="Arial"/>
          <w:color w:val="000000" w:themeColor="text1"/>
          <w:sz w:val="22"/>
          <w:lang w:val="es-ES" w:eastAsia="es-MX"/>
        </w:rPr>
        <w:t xml:space="preserve">, por lo que deberá aplicarse lo dispuesto en los artículos 375 a 378 del Decreto 1333 de 1986 y el Estatuto General de Contratación de la Administración Pública. No obstante, se considera que en el caso en que el objeto del convenio involucre únicamente la ejecución una obra por parte de la organización comunal, sin superar el monto de la menor cuantía, la entidad podrá aplicar el régimen previsto en el artículo 95 de la Ley 2166 de 2021 y cumplir con los presupuestos allí contemplados. </w:t>
      </w:r>
    </w:p>
    <w:p w14:paraId="5A7696AE" w14:textId="77777777" w:rsidR="0018226D" w:rsidRPr="00112A89" w:rsidRDefault="0018226D" w:rsidP="0018226D">
      <w:pPr>
        <w:spacing w:before="120" w:line="276" w:lineRule="auto"/>
        <w:ind w:firstLine="709"/>
        <w:jc w:val="both"/>
        <w:rPr>
          <w:rFonts w:ascii="Arial" w:hAnsi="Arial" w:cs="Arial"/>
          <w:color w:val="000000" w:themeColor="text1"/>
          <w:sz w:val="22"/>
          <w:lang w:eastAsia="es-MX"/>
        </w:rPr>
      </w:pPr>
      <w:r w:rsidRPr="00112A89">
        <w:rPr>
          <w:rFonts w:ascii="Arial" w:hAnsi="Arial" w:cs="Arial"/>
          <w:color w:val="000000" w:themeColor="text1"/>
          <w:sz w:val="22"/>
          <w:lang w:eastAsia="es-MX"/>
        </w:rPr>
        <w:t xml:space="preserve">Así las cosas, cuando el artículo 63 de la Ley 2166 de 2021 establece que </w:t>
      </w:r>
      <w:r w:rsidRPr="00112A89">
        <w:rPr>
          <w:rFonts w:ascii="Arial" w:eastAsia="Calibri" w:hAnsi="Arial" w:cs="Arial"/>
          <w:color w:val="000000" w:themeColor="text1"/>
          <w:sz w:val="22"/>
          <w:szCs w:val="22"/>
          <w:lang w:val="es-ES_tradnl"/>
        </w:rPr>
        <w:t>«</w:t>
      </w:r>
      <w:r w:rsidRPr="00112A89">
        <w:rPr>
          <w:rFonts w:ascii="Arial" w:hAnsi="Arial" w:cs="Arial"/>
          <w:color w:val="000000" w:themeColor="text1"/>
          <w:sz w:val="22"/>
          <w:lang w:eastAsia="es-MX"/>
        </w:rPr>
        <w:t>Los contratos o convenios que celebren con los organismos comunales se realizarán de acuerdo con la ley y sus objetivos, se regularán por el régimen vigente de contratación para organizaciones solidarias</w:t>
      </w:r>
      <w:r w:rsidRPr="00112A89">
        <w:rPr>
          <w:rFonts w:ascii="Arial" w:eastAsia="Calibri" w:hAnsi="Arial" w:cs="Arial"/>
          <w:color w:val="000000" w:themeColor="text1"/>
          <w:sz w:val="22"/>
          <w:szCs w:val="22"/>
          <w:lang w:val="es-ES_tradnl"/>
        </w:rPr>
        <w:t>»</w:t>
      </w:r>
      <w:r w:rsidRPr="00112A89">
        <w:rPr>
          <w:rFonts w:ascii="Arial" w:hAnsi="Arial" w:cs="Arial"/>
          <w:color w:val="000000" w:themeColor="text1"/>
          <w:sz w:val="22"/>
          <w:lang w:eastAsia="es-MX"/>
        </w:rPr>
        <w:t xml:space="preserve"> debe interpretarse armónicamente con lo dispuesto por el artículo 141 de la Ley 136 de 1994 –al que hace referencia el mismo artículo 63–, de manera que su contratación debe sujetarse a los </w:t>
      </w:r>
      <w:r w:rsidRPr="00112A89">
        <w:rPr>
          <w:rFonts w:ascii="Arial" w:hAnsi="Arial" w:cs="Arial"/>
          <w:color w:val="000000" w:themeColor="text1"/>
          <w:sz w:val="22"/>
          <w:lang w:val="es-ES" w:eastAsia="es-MX"/>
        </w:rPr>
        <w:t xml:space="preserve">artículos 375 a 378 del Decreto 1333 de 1986 y al Estatuto General de Contratación de la Administración Pública. Según el artículo 376 Decreto 1333 de 1986 </w:t>
      </w:r>
      <w:r w:rsidRPr="00112A89">
        <w:rPr>
          <w:rFonts w:ascii="Arial" w:eastAsia="Calibri" w:hAnsi="Arial" w:cs="Arial"/>
          <w:color w:val="000000" w:themeColor="text1"/>
          <w:sz w:val="22"/>
          <w:szCs w:val="22"/>
          <w:lang w:val="es-ES_tradnl"/>
        </w:rPr>
        <w:t>«L</w:t>
      </w:r>
      <w:r w:rsidRPr="00112A89">
        <w:rPr>
          <w:rFonts w:ascii="Arial" w:hAnsi="Arial" w:cs="Arial"/>
          <w:color w:val="000000" w:themeColor="text1"/>
          <w:sz w:val="22"/>
          <w:lang w:eastAsia="es-MX"/>
        </w:rPr>
        <w:t>os contratos que celebren los Municipios en desarrollo del artículo 375 no estarán sujetos a formalidades o requisitos distintos de los que la ley exige para la contratación entre particulares, ni requerirán de la revisión que ordena el Código Contencioso Administrativo. Sin embargo, contendrán las cláusulas que la ley prevé sobre interpretación, modificación y terminación unilaterales, multas, garantías, sujeción de los pagos a las apropiaciones presupuestales y caducidad. La verificación de su cumplimiento estará a cargo del interventor que designe el alcalde o representante legal de la entidad descentralizada, según el caso</w:t>
      </w:r>
      <w:r w:rsidRPr="00112A89">
        <w:rPr>
          <w:rFonts w:ascii="Arial" w:eastAsia="Calibri" w:hAnsi="Arial" w:cs="Arial"/>
          <w:color w:val="000000" w:themeColor="text1"/>
          <w:sz w:val="22"/>
          <w:szCs w:val="22"/>
          <w:lang w:val="es-ES_tradnl"/>
        </w:rPr>
        <w:t>»</w:t>
      </w:r>
      <w:r w:rsidRPr="00112A89">
        <w:rPr>
          <w:rFonts w:ascii="Arial" w:hAnsi="Arial" w:cs="Arial"/>
          <w:color w:val="000000" w:themeColor="text1"/>
          <w:sz w:val="22"/>
          <w:lang w:eastAsia="es-MX"/>
        </w:rPr>
        <w:t xml:space="preserve">. </w:t>
      </w:r>
    </w:p>
    <w:p w14:paraId="127F8700" w14:textId="77777777" w:rsidR="0018226D" w:rsidRPr="00112A89" w:rsidRDefault="0018226D" w:rsidP="0018226D">
      <w:pPr>
        <w:spacing w:before="120" w:line="276" w:lineRule="auto"/>
        <w:ind w:firstLine="709"/>
        <w:jc w:val="both"/>
        <w:rPr>
          <w:rFonts w:ascii="Arial" w:hAnsi="Arial" w:cs="Arial"/>
          <w:color w:val="000000" w:themeColor="text1"/>
          <w:sz w:val="22"/>
          <w:lang w:val="es-ES" w:eastAsia="es-MX"/>
        </w:rPr>
      </w:pPr>
      <w:r w:rsidRPr="00112A89">
        <w:rPr>
          <w:rFonts w:ascii="Arial" w:hAnsi="Arial" w:cs="Arial"/>
          <w:color w:val="000000" w:themeColor="text1"/>
          <w:sz w:val="22"/>
          <w:lang w:val="es-ES" w:eastAsia="es-MX"/>
        </w:rPr>
        <w:lastRenderedPageBreak/>
        <w:t xml:space="preserve">Ahora bien, el parágrafo primero del artículo 63 de la Ley 2166 de 2021 dispone que </w:t>
      </w:r>
      <w:r w:rsidRPr="00112A89">
        <w:rPr>
          <w:rFonts w:ascii="Arial" w:hAnsi="Arial" w:cs="Arial"/>
          <w:color w:val="000000" w:themeColor="text1"/>
          <w:sz w:val="22"/>
          <w:lang w:eastAsia="es-MX"/>
        </w:rPr>
        <w:t xml:space="preserve">los organismos de acción comunal podrán contratar con las entidades territoriales hasta por la menor cuantía de dicha entidad de conformidad con la ley. Por su parte, el parágrafo segundo se refiere a la facultad que tienen las entidades del orden nacional, departamental, distrital, local y municipal y los organismos de acción comunal para celebrar convenios solidarios con el fin de ejecutar los proyectos allí señalados. </w:t>
      </w:r>
      <w:r w:rsidRPr="00112A89">
        <w:rPr>
          <w:rFonts w:ascii="Arial" w:hAnsi="Arial" w:cs="Arial"/>
          <w:color w:val="000000" w:themeColor="text1"/>
          <w:sz w:val="22"/>
          <w:lang w:val="es-ES" w:eastAsia="es-MX"/>
        </w:rPr>
        <w:t xml:space="preserve">De lo anterior se desprende que los parágrafos primero y segundo dan alcance a lo señalado en el inciso primero del artículo 63 de la Ley 2166 de 2021. De esta manera, esta Agencia considera que cuando el parágrafo segundo extrañamente se refriere a los </w:t>
      </w:r>
      <w:r w:rsidRPr="00112A89">
        <w:rPr>
          <w:rFonts w:ascii="Arial" w:eastAsia="Calibri" w:hAnsi="Arial" w:cs="Arial"/>
          <w:color w:val="000000" w:themeColor="text1"/>
          <w:sz w:val="22"/>
          <w:szCs w:val="22"/>
          <w:lang w:val="es-ES_tradnl"/>
        </w:rPr>
        <w:t>«</w:t>
      </w:r>
      <w:r w:rsidRPr="00112A89">
        <w:rPr>
          <w:rFonts w:ascii="Arial" w:hAnsi="Arial" w:cs="Arial"/>
          <w:color w:val="000000" w:themeColor="text1"/>
          <w:sz w:val="22"/>
          <w:lang w:val="es-ES" w:eastAsia="es-MX"/>
        </w:rPr>
        <w:t>contratos interadministrativos de mínima</w:t>
      </w:r>
      <w:r w:rsidRPr="00112A89">
        <w:rPr>
          <w:rFonts w:ascii="Arial" w:eastAsia="Calibri" w:hAnsi="Arial" w:cs="Arial"/>
          <w:color w:val="000000" w:themeColor="text1"/>
          <w:sz w:val="22"/>
          <w:szCs w:val="22"/>
          <w:lang w:val="es-ES_tradnl"/>
        </w:rPr>
        <w:t>»</w:t>
      </w:r>
      <w:r w:rsidRPr="00112A89">
        <w:rPr>
          <w:rFonts w:ascii="Arial" w:hAnsi="Arial" w:cs="Arial"/>
          <w:color w:val="000000" w:themeColor="text1"/>
          <w:sz w:val="22"/>
          <w:lang w:val="es-ES" w:eastAsia="es-MX"/>
        </w:rPr>
        <w:t xml:space="preserve"> es posible colegir que se hace referencia a los convenios solidarios precisamente para destacar que estos pueden celebrarse con las entidades estatales señaladas en dicho parágrafo. Sin embargo, se aclara que, a juicio de esta Agencia, lo señalado en el parágrafo segundo no se trata de una tipología adicional a las existentes en el ordenamiento jurídico y no se advierte que el legislador hubiese querido crear una tipología o modalidad adicional, máxime cuando el parágrafo se integra al contenido del artículo 63. </w:t>
      </w:r>
    </w:p>
    <w:p w14:paraId="416AD328" w14:textId="77777777" w:rsidR="0018226D" w:rsidRPr="00112A89" w:rsidRDefault="0018226D" w:rsidP="0018226D">
      <w:pPr>
        <w:spacing w:before="120" w:line="276" w:lineRule="auto"/>
        <w:ind w:firstLine="703"/>
        <w:jc w:val="both"/>
        <w:textAlignment w:val="baseline"/>
        <w:rPr>
          <w:rFonts w:ascii="Arial" w:hAnsi="Arial" w:cs="Arial"/>
          <w:color w:val="000000" w:themeColor="text1"/>
          <w:sz w:val="22"/>
          <w:szCs w:val="22"/>
          <w:lang w:val="es-ES" w:eastAsia="es-CO"/>
        </w:rPr>
      </w:pPr>
      <w:r w:rsidRPr="00112A89">
        <w:rPr>
          <w:rFonts w:ascii="Arial" w:hAnsi="Arial" w:cs="Arial"/>
          <w:color w:val="000000" w:themeColor="text1"/>
          <w:sz w:val="22"/>
          <w:szCs w:val="22"/>
          <w:lang w:eastAsia="es-CO"/>
        </w:rPr>
        <w:t xml:space="preserve">Por ello, considerando la naturaleza jurídica de las partes, los convenios solidarios entre las entidades estatales y los organismos de acción comunal no se calificarían como contratos o convenios interadministrativos. </w:t>
      </w:r>
      <w:r w:rsidRPr="00112A89">
        <w:rPr>
          <w:rFonts w:ascii="Arial" w:hAnsi="Arial" w:cs="Arial"/>
          <w:color w:val="000000" w:themeColor="text1"/>
          <w:sz w:val="22"/>
          <w:szCs w:val="22"/>
          <w:lang w:val="es-ES" w:eastAsia="es-CO"/>
        </w:rPr>
        <w:t>Al respecto, esta última tipología contractual fue creada en la Ley 80 de 1993 y, aunque no la definió ni desarrolló, el Decreto 1082 de 2015 califica a los convenios o contratos interadministrativos como aquella contratación entre entidades estatales.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3A337C4D" w14:textId="77777777" w:rsidR="0018226D" w:rsidRPr="00112A89" w:rsidRDefault="0018226D" w:rsidP="0018226D">
      <w:pPr>
        <w:spacing w:before="120" w:line="276" w:lineRule="auto"/>
        <w:ind w:firstLine="703"/>
        <w:jc w:val="both"/>
        <w:textAlignment w:val="baseline"/>
        <w:rPr>
          <w:rFonts w:ascii="Arial" w:hAnsi="Arial" w:cs="Arial"/>
          <w:color w:val="000000" w:themeColor="text1"/>
          <w:sz w:val="22"/>
          <w:szCs w:val="22"/>
          <w:lang w:eastAsia="es-CO"/>
        </w:rPr>
      </w:pPr>
      <w:r w:rsidRPr="00112A89">
        <w:rPr>
          <w:rFonts w:ascii="Arial" w:hAnsi="Arial" w:cs="Arial"/>
          <w:color w:val="000000" w:themeColor="text1"/>
          <w:sz w:val="22"/>
          <w:szCs w:val="22"/>
          <w:lang w:val="es-ES" w:eastAsia="es-CO"/>
        </w:rPr>
        <w:t xml:space="preserve">En este sentido, los convenios solidarios no corresponden a la categoría </w:t>
      </w:r>
      <w:r w:rsidRPr="00112A89">
        <w:rPr>
          <w:rFonts w:ascii="Arial" w:hAnsi="Arial" w:cs="Arial"/>
          <w:color w:val="000000" w:themeColor="text1"/>
          <w:sz w:val="22"/>
          <w:szCs w:val="22"/>
          <w:lang w:eastAsia="es-CO"/>
        </w:rPr>
        <w:t>definida en el 2.2.1.2.1.4.4 del Decreto 1082 de 2015</w:t>
      </w:r>
      <w:r w:rsidRPr="00112A89">
        <w:rPr>
          <w:rFonts w:ascii="Arial" w:hAnsi="Arial" w:cs="Arial"/>
          <w:color w:val="000000" w:themeColor="text1"/>
          <w:sz w:val="22"/>
          <w:szCs w:val="22"/>
          <w:lang w:val="es-ES" w:eastAsia="es-CO"/>
        </w:rPr>
        <w:t>, pues –tomando en consideración</w:t>
      </w:r>
      <w:r w:rsidRPr="00112A89">
        <w:rPr>
          <w:rFonts w:ascii="Arial" w:hAnsi="Arial" w:cs="Arial"/>
          <w:color w:val="000000" w:themeColor="text1"/>
          <w:sz w:val="22"/>
          <w:szCs w:val="22"/>
          <w:lang w:eastAsia="es-CO"/>
        </w:rPr>
        <w:t xml:space="preserve"> lo señalado en el artículo 7 de la Ley 2166 de 2021–</w:t>
      </w:r>
      <w:r w:rsidRPr="00112A89">
        <w:rPr>
          <w:rFonts w:ascii="Arial" w:hAnsi="Arial" w:cs="Arial"/>
          <w:color w:val="000000" w:themeColor="text1"/>
          <w:sz w:val="22"/>
          <w:szCs w:val="22"/>
          <w:lang w:val="es-ES" w:eastAsia="es-CO"/>
        </w:rPr>
        <w:t xml:space="preserve"> no implica una contratación entre autoridades del Estado, sino un negocio jurídico entre una entidad estatal y una persona jurídica de derecho privado sin ánimo de lucro.</w:t>
      </w:r>
    </w:p>
    <w:p w14:paraId="6434567C" w14:textId="77777777" w:rsidR="0018226D" w:rsidRPr="00112A89" w:rsidRDefault="0018226D" w:rsidP="0018226D">
      <w:pPr>
        <w:spacing w:before="120" w:line="276" w:lineRule="auto"/>
        <w:ind w:firstLine="709"/>
        <w:jc w:val="both"/>
        <w:rPr>
          <w:rFonts w:ascii="Arial" w:hAnsi="Arial" w:cs="Arial"/>
          <w:color w:val="000000" w:themeColor="text1"/>
          <w:sz w:val="22"/>
          <w:lang w:val="es-ES" w:eastAsia="es-MX"/>
        </w:rPr>
      </w:pPr>
      <w:r w:rsidRPr="00112A89">
        <w:rPr>
          <w:rFonts w:ascii="Arial" w:hAnsi="Arial" w:cs="Arial"/>
          <w:color w:val="000000" w:themeColor="text1"/>
          <w:sz w:val="22"/>
          <w:lang w:val="es-ES" w:eastAsia="es-MX"/>
        </w:rPr>
        <w:t>Bajo estas consideraciones, es viable concluir que la intención del legislador en relación con los parágrafos del artículo 63 de la Ley 2166 de 2021 consiste en precisar las facultades que tienen las entidades estatales allí señaladas para la celebración de convenios solidarios con los organismos de acción comunal, sin que ello signifique la creación de una tipología contractual distinta.</w:t>
      </w:r>
    </w:p>
    <w:p w14:paraId="4CE637F5" w14:textId="77777777" w:rsidR="00DA37FA" w:rsidRPr="00112A89" w:rsidRDefault="00DA37FA" w:rsidP="00DA37FA">
      <w:pPr>
        <w:spacing w:line="276" w:lineRule="auto"/>
        <w:ind w:firstLine="709"/>
        <w:jc w:val="both"/>
        <w:rPr>
          <w:rFonts w:ascii="Arial" w:eastAsia="Calibri" w:hAnsi="Arial" w:cs="Arial"/>
          <w:color w:val="000000" w:themeColor="text1"/>
          <w:sz w:val="22"/>
          <w:szCs w:val="22"/>
          <w:lang w:val="es-ES"/>
        </w:rPr>
      </w:pPr>
    </w:p>
    <w:p w14:paraId="1C8D1D9B" w14:textId="7FA55D02" w:rsidR="00BA5C3B" w:rsidRPr="00112A89" w:rsidRDefault="00BA5C3B" w:rsidP="00BA5C3B">
      <w:pPr>
        <w:spacing w:line="276" w:lineRule="auto"/>
        <w:jc w:val="both"/>
        <w:rPr>
          <w:rFonts w:ascii="Arial" w:hAnsi="Arial" w:cs="Arial"/>
          <w:b/>
          <w:bCs/>
          <w:iCs/>
          <w:color w:val="000000" w:themeColor="text1"/>
          <w:sz w:val="22"/>
          <w:lang w:val="es-ES_tradnl"/>
        </w:rPr>
      </w:pPr>
      <w:r w:rsidRPr="00112A89">
        <w:rPr>
          <w:rFonts w:ascii="Arial" w:hAnsi="Arial" w:cs="Arial"/>
          <w:b/>
          <w:bCs/>
          <w:iCs/>
          <w:color w:val="000000" w:themeColor="text1"/>
          <w:sz w:val="22"/>
          <w:lang w:val="es-ES_tradnl"/>
        </w:rPr>
        <w:t>2.</w:t>
      </w:r>
      <w:r w:rsidR="00B90171" w:rsidRPr="00112A89">
        <w:rPr>
          <w:rFonts w:ascii="Arial" w:hAnsi="Arial" w:cs="Arial"/>
          <w:b/>
          <w:bCs/>
          <w:iCs/>
          <w:color w:val="000000" w:themeColor="text1"/>
          <w:sz w:val="22"/>
          <w:lang w:val="es-ES_tradnl"/>
        </w:rPr>
        <w:t>3</w:t>
      </w:r>
      <w:r w:rsidRPr="00112A89">
        <w:rPr>
          <w:rFonts w:ascii="Arial" w:hAnsi="Arial" w:cs="Arial"/>
          <w:b/>
          <w:bCs/>
          <w:iCs/>
          <w:color w:val="000000" w:themeColor="text1"/>
          <w:sz w:val="22"/>
          <w:lang w:val="es-ES_tradnl"/>
        </w:rPr>
        <w:t xml:space="preserve">. Aplicación de los documentos tipo </w:t>
      </w:r>
      <w:r w:rsidR="00695110" w:rsidRPr="00112A89">
        <w:rPr>
          <w:rFonts w:ascii="Arial" w:hAnsi="Arial" w:cs="Arial"/>
          <w:b/>
          <w:bCs/>
          <w:iCs/>
          <w:color w:val="000000" w:themeColor="text1"/>
          <w:sz w:val="22"/>
          <w:lang w:val="es-ES_tradnl"/>
        </w:rPr>
        <w:t>y del Estatuto General de Contratación de la Administración Pública</w:t>
      </w:r>
      <w:r w:rsidRPr="00112A89">
        <w:rPr>
          <w:rFonts w:ascii="Arial" w:hAnsi="Arial" w:cs="Arial"/>
          <w:b/>
          <w:bCs/>
          <w:iCs/>
          <w:color w:val="000000" w:themeColor="text1"/>
          <w:sz w:val="22"/>
          <w:lang w:val="es-ES_tradnl"/>
        </w:rPr>
        <w:t xml:space="preserve"> </w:t>
      </w:r>
      <w:r w:rsidR="00695110" w:rsidRPr="00112A89">
        <w:rPr>
          <w:rFonts w:ascii="Arial" w:hAnsi="Arial" w:cs="Arial"/>
          <w:b/>
          <w:bCs/>
          <w:iCs/>
          <w:color w:val="000000" w:themeColor="text1"/>
          <w:sz w:val="22"/>
          <w:lang w:val="es-ES_tradnl"/>
        </w:rPr>
        <w:t xml:space="preserve">a los convenios solidarios. </w:t>
      </w:r>
      <w:r w:rsidRPr="00112A89">
        <w:rPr>
          <w:rFonts w:ascii="Arial" w:hAnsi="Arial" w:cs="Arial"/>
          <w:b/>
          <w:bCs/>
          <w:iCs/>
          <w:color w:val="000000" w:themeColor="text1"/>
          <w:sz w:val="22"/>
          <w:lang w:val="es-ES_tradnl"/>
        </w:rPr>
        <w:t>Artículo 56 de la Ley 2195 de 2022</w:t>
      </w:r>
    </w:p>
    <w:p w14:paraId="6BAB0FE1" w14:textId="0AB348F1" w:rsidR="00BA5C3B" w:rsidRPr="00112A89" w:rsidRDefault="00BA5C3B" w:rsidP="00822257">
      <w:pPr>
        <w:spacing w:line="276" w:lineRule="auto"/>
        <w:jc w:val="both"/>
        <w:rPr>
          <w:rFonts w:ascii="Arial" w:eastAsia="Calibri" w:hAnsi="Arial" w:cs="Arial"/>
          <w:b/>
          <w:bCs/>
          <w:color w:val="000000" w:themeColor="text1"/>
          <w:sz w:val="22"/>
          <w:lang w:val="es-ES_tradnl"/>
        </w:rPr>
      </w:pPr>
    </w:p>
    <w:p w14:paraId="390B4D10" w14:textId="77777777" w:rsidR="00A37893" w:rsidRPr="00112A89" w:rsidRDefault="00A37893" w:rsidP="00A37893">
      <w:pPr>
        <w:spacing w:after="120" w:line="276" w:lineRule="auto"/>
        <w:jc w:val="both"/>
        <w:rPr>
          <w:rFonts w:ascii="Arial" w:eastAsia="Calibri" w:hAnsi="Arial" w:cs="Arial"/>
          <w:color w:val="000000"/>
          <w:sz w:val="22"/>
          <w:szCs w:val="22"/>
          <w:lang w:val="es-ES_tradnl"/>
        </w:rPr>
      </w:pPr>
      <w:r w:rsidRPr="00112A89">
        <w:rPr>
          <w:rFonts w:ascii="Arial" w:eastAsia="Calibri" w:hAnsi="Arial" w:cs="Arial"/>
          <w:color w:val="000000"/>
          <w:sz w:val="22"/>
          <w:szCs w:val="22"/>
          <w:lang w:val="es-ES_tradnl"/>
        </w:rPr>
        <w:t>La adopción de los documentos tipo obligatorios en el ordenamiento jurídico colombiano se incluyó por primera vez en el parágrafo 3 del artículo 2 de la Ley 1150 de 2007</w:t>
      </w:r>
      <w:r w:rsidRPr="00112A89">
        <w:rPr>
          <w:rStyle w:val="Refdenotaalpie"/>
          <w:rFonts w:ascii="Arial" w:eastAsia="Calibri" w:hAnsi="Arial" w:cs="Arial"/>
          <w:sz w:val="22"/>
          <w:szCs w:val="22"/>
        </w:rPr>
        <w:footnoteReference w:id="15"/>
      </w:r>
      <w:r w:rsidRPr="00112A89">
        <w:rPr>
          <w:rFonts w:ascii="Arial" w:eastAsia="Calibri" w:hAnsi="Arial" w:cs="Arial"/>
          <w:color w:val="000000"/>
          <w:sz w:val="22"/>
          <w:szCs w:val="22"/>
          <w:lang w:val="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0198441F" w14:textId="77777777" w:rsidR="00A37893" w:rsidRPr="00112A89" w:rsidRDefault="00A37893" w:rsidP="00A37893">
      <w:pPr>
        <w:spacing w:line="276" w:lineRule="auto"/>
        <w:ind w:firstLine="708"/>
        <w:jc w:val="both"/>
        <w:rPr>
          <w:rFonts w:ascii="Arial" w:eastAsia="Calibri" w:hAnsi="Arial" w:cs="Arial"/>
          <w:color w:val="000000"/>
          <w:sz w:val="22"/>
          <w:szCs w:val="22"/>
          <w:lang w:val="es-ES_tradnl"/>
        </w:rPr>
      </w:pPr>
      <w:r w:rsidRPr="00112A89">
        <w:rPr>
          <w:rFonts w:ascii="Arial" w:eastAsia="Calibri" w:hAnsi="Arial" w:cs="Arial"/>
          <w:color w:val="000000"/>
          <w:sz w:val="22"/>
          <w:szCs w:val="22"/>
          <w:lang w:val="es-ES_tradnl"/>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4979FC8D" w14:textId="77777777" w:rsidR="00A37893" w:rsidRPr="00112A89" w:rsidRDefault="00A37893" w:rsidP="00A37893">
      <w:pPr>
        <w:spacing w:before="120" w:after="120" w:line="276" w:lineRule="auto"/>
        <w:ind w:firstLine="708"/>
        <w:jc w:val="both"/>
        <w:rPr>
          <w:rFonts w:ascii="Arial" w:eastAsia="Calibri" w:hAnsi="Arial" w:cs="Arial"/>
          <w:color w:val="000000"/>
          <w:sz w:val="22"/>
          <w:szCs w:val="22"/>
          <w:lang w:val="es-ES_tradnl"/>
        </w:rPr>
      </w:pPr>
      <w:r w:rsidRPr="00112A89">
        <w:rPr>
          <w:rFonts w:ascii="Arial" w:eastAsia="Calibri" w:hAnsi="Arial" w:cs="Arial"/>
          <w:color w:val="000000"/>
          <w:sz w:val="22"/>
          <w:szCs w:val="22"/>
          <w:lang w:val="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112A89">
        <w:rPr>
          <w:rStyle w:val="Refdenotaalpie"/>
          <w:rFonts w:ascii="Arial" w:eastAsia="Calibri" w:hAnsi="Arial" w:cs="Arial"/>
          <w:sz w:val="22"/>
          <w:szCs w:val="22"/>
        </w:rPr>
        <w:footnoteReference w:id="16"/>
      </w:r>
      <w:r w:rsidRPr="00112A89">
        <w:rPr>
          <w:rFonts w:ascii="Arial" w:eastAsia="Calibri" w:hAnsi="Arial" w:cs="Arial"/>
          <w:color w:val="000000"/>
          <w:sz w:val="22"/>
          <w:szCs w:val="22"/>
          <w:lang w:val="es-ES_tradnl"/>
        </w:rPr>
        <w:t>.</w:t>
      </w:r>
    </w:p>
    <w:p w14:paraId="67DA9C44" w14:textId="77777777" w:rsidR="00A37893" w:rsidRPr="00112A89" w:rsidRDefault="00A37893" w:rsidP="00A37893">
      <w:pPr>
        <w:spacing w:before="120" w:after="120" w:line="276" w:lineRule="auto"/>
        <w:jc w:val="both"/>
        <w:rPr>
          <w:rFonts w:ascii="Arial" w:eastAsia="Calibri" w:hAnsi="Arial" w:cs="Arial"/>
          <w:color w:val="000000"/>
          <w:sz w:val="22"/>
          <w:szCs w:val="22"/>
          <w:lang w:val="es-ES_tradnl"/>
        </w:rPr>
      </w:pPr>
      <w:r w:rsidRPr="00112A89">
        <w:rPr>
          <w:rFonts w:ascii="Arial" w:eastAsia="Calibri" w:hAnsi="Arial" w:cs="Arial"/>
          <w:color w:val="000000"/>
          <w:sz w:val="22"/>
          <w:szCs w:val="22"/>
          <w:lang w:val="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w:t>
      </w:r>
      <w:r w:rsidRPr="00112A89">
        <w:rPr>
          <w:rFonts w:ascii="Arial" w:eastAsia="Calibri" w:hAnsi="Arial" w:cs="Arial"/>
          <w:color w:val="000000"/>
          <w:sz w:val="22"/>
          <w:szCs w:val="22"/>
          <w:lang w:val="es-ES_tradnl"/>
        </w:rPr>
        <w:lastRenderedPageBreak/>
        <w:t xml:space="preserve">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48A9C959" w14:textId="77777777" w:rsidR="00A37893" w:rsidRPr="00112A89" w:rsidRDefault="00A37893" w:rsidP="00A37893">
      <w:pPr>
        <w:spacing w:before="120" w:after="120" w:line="276" w:lineRule="auto"/>
        <w:jc w:val="both"/>
        <w:rPr>
          <w:rFonts w:ascii="Arial" w:eastAsia="Calibri" w:hAnsi="Arial" w:cs="Arial"/>
          <w:color w:val="000000"/>
          <w:sz w:val="22"/>
          <w:szCs w:val="22"/>
          <w:lang w:val="es-ES_tradnl"/>
        </w:rPr>
      </w:pPr>
      <w:r w:rsidRPr="00112A89">
        <w:rPr>
          <w:rFonts w:ascii="Arial" w:eastAsia="Calibri" w:hAnsi="Arial" w:cs="Arial"/>
          <w:color w:val="000000"/>
          <w:sz w:val="22"/>
          <w:szCs w:val="22"/>
          <w:lang w:val="es-ES_tradnl"/>
        </w:rPr>
        <w:tab/>
        <w:t xml:space="preserve">De la norma descrita se concluía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349E43B5" w14:textId="77777777" w:rsidR="00A37893" w:rsidRPr="00112A89" w:rsidRDefault="00A37893" w:rsidP="00A37893">
      <w:pPr>
        <w:spacing w:before="120" w:after="120" w:line="276" w:lineRule="auto"/>
        <w:jc w:val="both"/>
        <w:rPr>
          <w:rFonts w:ascii="Arial" w:eastAsia="Calibri" w:hAnsi="Arial" w:cs="Arial"/>
          <w:color w:val="000000"/>
          <w:sz w:val="22"/>
          <w:szCs w:val="22"/>
          <w:lang w:val="es-ES_tradnl"/>
        </w:rPr>
      </w:pPr>
      <w:r w:rsidRPr="00112A89">
        <w:rPr>
          <w:rFonts w:ascii="Arial" w:eastAsia="Calibri" w:hAnsi="Arial" w:cs="Arial"/>
          <w:color w:val="000000"/>
          <w:sz w:val="22"/>
          <w:szCs w:val="22"/>
          <w:lang w:val="es-ES_tradnl"/>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112A89">
        <w:rPr>
          <w:rStyle w:val="Refdenotaalpie"/>
          <w:rFonts w:eastAsia="Calibri"/>
        </w:rPr>
        <w:footnoteReference w:id="17"/>
      </w:r>
      <w:r w:rsidRPr="00112A89">
        <w:rPr>
          <w:rFonts w:ascii="Arial" w:eastAsia="Calibri" w:hAnsi="Arial" w:cs="Arial"/>
          <w:color w:val="000000"/>
          <w:sz w:val="22"/>
          <w:szCs w:val="22"/>
          <w:lang w:val="es-ES_tradnl"/>
        </w:rPr>
        <w:t>.</w:t>
      </w:r>
    </w:p>
    <w:p w14:paraId="36985191" w14:textId="77777777" w:rsidR="00A37893" w:rsidRPr="00112A89" w:rsidRDefault="00A37893" w:rsidP="00A37893">
      <w:pPr>
        <w:spacing w:before="120" w:after="120" w:line="276" w:lineRule="auto"/>
        <w:jc w:val="both"/>
        <w:rPr>
          <w:rFonts w:ascii="Arial" w:eastAsia="Calibri" w:hAnsi="Arial" w:cs="Arial"/>
          <w:color w:val="000000"/>
          <w:sz w:val="22"/>
          <w:szCs w:val="22"/>
          <w:lang w:val="es-ES_tradnl"/>
        </w:rPr>
      </w:pPr>
      <w:r w:rsidRPr="00112A89">
        <w:rPr>
          <w:rFonts w:ascii="Arial" w:eastAsia="Calibri" w:hAnsi="Arial" w:cs="Arial"/>
          <w:color w:val="000000"/>
          <w:sz w:val="22"/>
          <w:szCs w:val="22"/>
          <w:lang w:val="es-ES_tradnl"/>
        </w:rPr>
        <w:tab/>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w:t>
      </w:r>
      <w:r w:rsidRPr="00112A89">
        <w:rPr>
          <w:rFonts w:ascii="Arial" w:eastAsia="Calibri" w:hAnsi="Arial" w:cs="Arial"/>
          <w:color w:val="000000"/>
          <w:sz w:val="22"/>
          <w:szCs w:val="22"/>
          <w:lang w:val="es-ES_tradnl"/>
        </w:rPr>
        <w:lastRenderedPageBreak/>
        <w:t>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0C7E0736" w14:textId="022F3959" w:rsidR="00A37893" w:rsidRPr="00112A89" w:rsidRDefault="00A37893" w:rsidP="00A37893">
      <w:pPr>
        <w:spacing w:before="120" w:line="276" w:lineRule="auto"/>
        <w:ind w:firstLine="709"/>
        <w:jc w:val="both"/>
        <w:rPr>
          <w:rFonts w:ascii="Arial" w:eastAsia="Calibri" w:hAnsi="Arial" w:cs="Arial"/>
          <w:color w:val="000000"/>
          <w:sz w:val="22"/>
          <w:szCs w:val="22"/>
          <w:lang w:val="es-ES_tradnl" w:eastAsia="es-ES"/>
        </w:rPr>
      </w:pPr>
      <w:r w:rsidRPr="00112A89">
        <w:rPr>
          <w:rFonts w:ascii="Arial" w:eastAsia="Calibri" w:hAnsi="Arial" w:cs="Arial"/>
          <w:color w:val="000000"/>
          <w:sz w:val="22"/>
          <w:szCs w:val="22"/>
          <w:lang w:val="es-ES_tradnl" w:eastAsia="es-ES"/>
        </w:rPr>
        <w:t>Por otra parte</w:t>
      </w:r>
      <w:r w:rsidRPr="00112A89">
        <w:rPr>
          <w:rFonts w:ascii="Arial" w:eastAsia="Calibri" w:hAnsi="Arial" w:cs="Arial"/>
          <w:i/>
          <w:iCs/>
          <w:color w:val="000000"/>
          <w:sz w:val="22"/>
          <w:szCs w:val="22"/>
          <w:lang w:val="es-ES_tradnl" w:eastAsia="es-ES"/>
        </w:rPr>
        <w:t>,</w:t>
      </w:r>
      <w:r w:rsidRPr="00112A89">
        <w:rPr>
          <w:rFonts w:ascii="Arial" w:eastAsia="Calibri" w:hAnsi="Arial" w:cs="Arial"/>
          <w:color w:val="000000"/>
          <w:sz w:val="22"/>
          <w:szCs w:val="22"/>
          <w:lang w:val="es-ES_tradnl" w:eastAsia="es-ES"/>
        </w:rPr>
        <w:t xml:space="preserve"> debe tenerse en cuenta que la Ley 2022 fue sancionada por el </w:t>
      </w:r>
      <w:proofErr w:type="gramStart"/>
      <w:r w:rsidRPr="00112A89">
        <w:rPr>
          <w:rFonts w:ascii="Arial" w:eastAsia="Calibri" w:hAnsi="Arial" w:cs="Arial"/>
          <w:color w:val="000000"/>
          <w:sz w:val="22"/>
          <w:szCs w:val="22"/>
          <w:lang w:val="es-ES_tradnl" w:eastAsia="es-ES"/>
        </w:rPr>
        <w:t>Presidente</w:t>
      </w:r>
      <w:proofErr w:type="gramEnd"/>
      <w:r w:rsidRPr="00112A89">
        <w:rPr>
          <w:rFonts w:ascii="Arial" w:eastAsia="Calibri" w:hAnsi="Arial" w:cs="Arial"/>
          <w:color w:val="000000"/>
          <w:sz w:val="22"/>
          <w:szCs w:val="22"/>
          <w:lang w:val="es-ES_tradnl" w:eastAsia="es-ES"/>
        </w:rPr>
        <w:t xml:space="preserve"> de la República el 22 de julio de 2020.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112A89">
        <w:rPr>
          <w:rStyle w:val="Refdenotaalpie"/>
          <w:rFonts w:ascii="Arial" w:eastAsia="Calibri" w:hAnsi="Arial" w:cs="Arial"/>
          <w:sz w:val="22"/>
          <w:szCs w:val="22"/>
        </w:rPr>
        <w:footnoteReference w:id="18"/>
      </w:r>
      <w:r w:rsidRPr="00112A89">
        <w:rPr>
          <w:rFonts w:ascii="Arial" w:eastAsia="Calibri" w:hAnsi="Arial" w:cs="Arial"/>
          <w:color w:val="000000"/>
          <w:sz w:val="22"/>
          <w:szCs w:val="22"/>
          <w:lang w:val="es-ES_tradnl" w:eastAsia="es-ES"/>
        </w:rPr>
        <w:t>. En este sentido, con la finalidad de realizar un desarrollo armónico y ajustado a la ley que otorga esta competencia, la Agencia Nacional de Contratación Pública expidió la Resolución 160 del 15 de septiembre de 2020</w:t>
      </w:r>
      <w:r w:rsidR="00DE3048" w:rsidRPr="00D068F7">
        <w:rPr>
          <w:rFonts w:ascii="Arial" w:eastAsia="Calibri" w:hAnsi="Arial" w:cs="Arial"/>
          <w:color w:val="000000"/>
          <w:sz w:val="22"/>
          <w:szCs w:val="22"/>
          <w:lang w:val="es-ES_tradnl" w:eastAsia="es-ES"/>
        </w:rPr>
        <w:t>,</w:t>
      </w:r>
      <w:r w:rsidRPr="00112A89">
        <w:rPr>
          <w:rFonts w:ascii="Arial" w:eastAsia="Calibri" w:hAnsi="Arial" w:cs="Arial"/>
          <w:color w:val="000000"/>
          <w:sz w:val="22"/>
          <w:szCs w:val="22"/>
          <w:lang w:val="es-ES_tradnl" w:eastAsia="es-ES"/>
        </w:rPr>
        <w:t xml:space="preserve"> «Por la cual se adopta el procedimiento para implementar los documentos tipo y se define el sistema para su revisión». </w:t>
      </w:r>
    </w:p>
    <w:p w14:paraId="05CD6B8F" w14:textId="7181ADE4" w:rsidR="00B03690" w:rsidRPr="00112A89" w:rsidRDefault="008E6056" w:rsidP="00A37893">
      <w:pPr>
        <w:spacing w:before="120" w:line="276" w:lineRule="auto"/>
        <w:ind w:firstLine="709"/>
        <w:jc w:val="both"/>
        <w:rPr>
          <w:rFonts w:ascii="Arial" w:eastAsia="Calibri" w:hAnsi="Arial" w:cs="Arial"/>
          <w:color w:val="000000"/>
          <w:sz w:val="22"/>
          <w:szCs w:val="22"/>
          <w:lang w:val="es-ES_tradnl" w:eastAsia="es-ES"/>
        </w:rPr>
      </w:pPr>
      <w:r w:rsidRPr="00112A89">
        <w:rPr>
          <w:rFonts w:ascii="Arial" w:eastAsia="Calibri" w:hAnsi="Arial" w:cs="Arial"/>
          <w:color w:val="000000"/>
          <w:sz w:val="22"/>
          <w:szCs w:val="22"/>
          <w:lang w:val="es-ES_tradnl" w:eastAsia="es-ES"/>
        </w:rPr>
        <w:t>Como se advierte de lo anterior</w:t>
      </w:r>
      <w:r w:rsidR="00AA44A6" w:rsidRPr="00112A89">
        <w:rPr>
          <w:rFonts w:ascii="Arial" w:eastAsia="Calibri" w:hAnsi="Arial" w:cs="Arial"/>
          <w:color w:val="000000"/>
          <w:sz w:val="22"/>
          <w:szCs w:val="22"/>
          <w:lang w:val="es-ES_tradnl" w:eastAsia="es-ES"/>
        </w:rPr>
        <w:t>,</w:t>
      </w:r>
      <w:r w:rsidRPr="00112A89">
        <w:rPr>
          <w:rFonts w:ascii="Arial" w:eastAsia="Calibri" w:hAnsi="Arial" w:cs="Arial"/>
          <w:color w:val="000000"/>
          <w:sz w:val="22"/>
          <w:szCs w:val="22"/>
          <w:lang w:val="es-ES_tradnl" w:eastAsia="es-ES"/>
        </w:rPr>
        <w:t xml:space="preserve"> la obligatoriedad de los documentos tipo ha estado limitada a las entidades sometidas al Estatuto General de Contratación de la Administración Pública, por ser un elemento establecido tanto en la Ley 1882 de 2018, como en su modificación realizada por la Ley 2022 de 2020. No </w:t>
      </w:r>
      <w:proofErr w:type="gramStart"/>
      <w:r w:rsidRPr="00112A89">
        <w:rPr>
          <w:rFonts w:ascii="Arial" w:eastAsia="Calibri" w:hAnsi="Arial" w:cs="Arial"/>
          <w:color w:val="000000"/>
          <w:sz w:val="22"/>
          <w:szCs w:val="22"/>
          <w:lang w:val="es-ES_tradnl" w:eastAsia="es-ES"/>
        </w:rPr>
        <w:t>obstante</w:t>
      </w:r>
      <w:proofErr w:type="gramEnd"/>
      <w:r w:rsidRPr="00112A89">
        <w:rPr>
          <w:rFonts w:ascii="Arial" w:eastAsia="Calibri" w:hAnsi="Arial" w:cs="Arial"/>
          <w:color w:val="000000"/>
          <w:sz w:val="22"/>
          <w:szCs w:val="22"/>
          <w:lang w:val="es-ES_tradnl" w:eastAsia="es-ES"/>
        </w:rPr>
        <w:t xml:space="preserve"> lo anterior,</w:t>
      </w:r>
      <w:r w:rsidR="00AA44A6" w:rsidRPr="00112A89">
        <w:rPr>
          <w:rFonts w:ascii="Arial" w:eastAsia="Calibri" w:hAnsi="Arial" w:cs="Arial"/>
          <w:color w:val="000000"/>
          <w:sz w:val="22"/>
          <w:szCs w:val="22"/>
          <w:lang w:val="es-ES_tradnl" w:eastAsia="es-ES"/>
        </w:rPr>
        <w:t xml:space="preserve"> r</w:t>
      </w:r>
      <w:r w:rsidR="00BE51EE" w:rsidRPr="00112A89">
        <w:rPr>
          <w:rFonts w:ascii="Arial" w:eastAsia="Calibri" w:hAnsi="Arial" w:cs="Arial"/>
          <w:color w:val="000000"/>
          <w:sz w:val="22"/>
          <w:szCs w:val="22"/>
          <w:lang w:val="es-ES_tradnl" w:eastAsia="es-ES"/>
        </w:rPr>
        <w:t xml:space="preserve">ecientemente el artículo 56 de la Ley 2195 de 2022 </w:t>
      </w:r>
      <w:r w:rsidR="00AC6988" w:rsidRPr="00112A89">
        <w:rPr>
          <w:rFonts w:ascii="Arial" w:eastAsia="Calibri" w:hAnsi="Arial" w:cs="Arial"/>
          <w:color w:val="000000"/>
          <w:sz w:val="22"/>
          <w:szCs w:val="22"/>
          <w:lang w:val="es-ES_tradnl" w:eastAsia="es-ES"/>
        </w:rPr>
        <w:t>dispuso lo siguiente</w:t>
      </w:r>
      <w:r w:rsidR="00BE51EE" w:rsidRPr="00112A89">
        <w:rPr>
          <w:rFonts w:ascii="Arial" w:eastAsia="Calibri" w:hAnsi="Arial" w:cs="Arial"/>
          <w:color w:val="000000"/>
          <w:sz w:val="22"/>
          <w:szCs w:val="22"/>
          <w:lang w:val="es-ES_tradnl" w:eastAsia="es-ES"/>
        </w:rPr>
        <w:t>:</w:t>
      </w:r>
    </w:p>
    <w:p w14:paraId="147FF273" w14:textId="77777777" w:rsidR="00B03690" w:rsidRPr="00112A89" w:rsidRDefault="00B03690" w:rsidP="00B03690">
      <w:pPr>
        <w:ind w:left="851" w:right="851"/>
        <w:jc w:val="both"/>
        <w:rPr>
          <w:rFonts w:ascii="Arial" w:eastAsia="Calibri" w:hAnsi="Arial" w:cs="Arial"/>
          <w:color w:val="000000"/>
          <w:sz w:val="21"/>
          <w:szCs w:val="21"/>
          <w:lang w:val="es-ES_tradnl" w:eastAsia="es-ES"/>
        </w:rPr>
      </w:pPr>
    </w:p>
    <w:p w14:paraId="210D339F" w14:textId="19C0D6E8" w:rsidR="00B03690" w:rsidRPr="00112A89" w:rsidRDefault="00B03690" w:rsidP="0068727C">
      <w:pPr>
        <w:ind w:left="709" w:right="709"/>
        <w:jc w:val="both"/>
        <w:rPr>
          <w:rFonts w:ascii="Arial" w:eastAsia="Calibri" w:hAnsi="Arial" w:cs="Arial"/>
          <w:color w:val="000000"/>
          <w:sz w:val="21"/>
          <w:szCs w:val="21"/>
          <w:lang w:val="es-ES_tradnl" w:eastAsia="es-ES"/>
        </w:rPr>
      </w:pPr>
      <w:r w:rsidRPr="00112A89">
        <w:rPr>
          <w:rFonts w:ascii="Arial" w:eastAsia="Calibri" w:hAnsi="Arial" w:cs="Arial"/>
          <w:color w:val="000000"/>
          <w:sz w:val="21"/>
          <w:szCs w:val="21"/>
          <w:lang w:val="es-ES_tradnl" w:eastAsia="es-ES"/>
        </w:rPr>
        <w:t xml:space="preserve">Para la adquisición de bienes, obras o servicios, las entidades estatales sometidas al Estatuto General de Contratación de la </w:t>
      </w:r>
      <w:r w:rsidR="001300C2" w:rsidRPr="00112A89">
        <w:rPr>
          <w:rFonts w:ascii="Arial" w:eastAsia="Calibri" w:hAnsi="Arial" w:cs="Arial"/>
          <w:color w:val="000000"/>
          <w:sz w:val="21"/>
          <w:szCs w:val="21"/>
          <w:lang w:val="es-ES_tradnl" w:eastAsia="es-ES"/>
        </w:rPr>
        <w:t>Administración</w:t>
      </w:r>
      <w:r w:rsidRPr="00112A89">
        <w:rPr>
          <w:rFonts w:ascii="Arial" w:eastAsia="Calibri" w:hAnsi="Arial" w:cs="Arial"/>
          <w:color w:val="000000"/>
          <w:sz w:val="21"/>
          <w:szCs w:val="21"/>
          <w:lang w:val="es-ES_tradnl" w:eastAsia="es-ES"/>
        </w:rPr>
        <w:t xml:space="preserve"> </w:t>
      </w:r>
      <w:r w:rsidR="001300C2" w:rsidRPr="00112A89">
        <w:rPr>
          <w:rFonts w:ascii="Arial" w:eastAsia="Calibri" w:hAnsi="Arial" w:cs="Arial"/>
          <w:color w:val="000000"/>
          <w:sz w:val="21"/>
          <w:szCs w:val="21"/>
          <w:lang w:val="es-ES_tradnl" w:eastAsia="es-ES"/>
        </w:rPr>
        <w:t>Pública</w:t>
      </w:r>
      <w:r w:rsidRPr="00112A89">
        <w:rPr>
          <w:rFonts w:ascii="Arial" w:eastAsia="Calibri" w:hAnsi="Arial" w:cs="Arial"/>
          <w:color w:val="000000"/>
          <w:sz w:val="21"/>
          <w:szCs w:val="21"/>
          <w:lang w:val="es-ES_tradnl" w:eastAsia="es-ES"/>
        </w:rPr>
        <w:t xml:space="preserve"> que celebren contratos o convenios interadministrativos o de cualquier otra </w:t>
      </w:r>
      <w:r w:rsidR="001300C2" w:rsidRPr="00112A89">
        <w:rPr>
          <w:rFonts w:ascii="Arial" w:eastAsia="Calibri" w:hAnsi="Arial" w:cs="Arial"/>
          <w:color w:val="000000"/>
          <w:sz w:val="21"/>
          <w:szCs w:val="21"/>
          <w:lang w:val="es-ES_tradnl" w:eastAsia="es-ES"/>
        </w:rPr>
        <w:t>índole</w:t>
      </w:r>
      <w:r w:rsidRPr="00112A89">
        <w:rPr>
          <w:rFonts w:ascii="Arial" w:eastAsia="Calibri" w:hAnsi="Arial" w:cs="Arial"/>
          <w:color w:val="000000"/>
          <w:sz w:val="21"/>
          <w:szCs w:val="21"/>
          <w:lang w:val="es-ES_tradnl" w:eastAsia="es-ES"/>
        </w:rPr>
        <w:t xml:space="preserve">, </w:t>
      </w:r>
      <w:r w:rsidRPr="00112A89">
        <w:rPr>
          <w:rFonts w:ascii="Arial" w:eastAsia="Calibri" w:hAnsi="Arial" w:cs="Arial"/>
          <w:color w:val="000000"/>
          <w:sz w:val="21"/>
          <w:szCs w:val="21"/>
          <w:lang w:val="es-ES_tradnl" w:eastAsia="es-ES"/>
        </w:rPr>
        <w:lastRenderedPageBreak/>
        <w:t xml:space="preserve">con otra entidad estatal o con patrimonios </w:t>
      </w:r>
      <w:r w:rsidR="001300C2" w:rsidRPr="00112A89">
        <w:rPr>
          <w:rFonts w:ascii="Arial" w:eastAsia="Calibri" w:hAnsi="Arial" w:cs="Arial"/>
          <w:color w:val="000000"/>
          <w:sz w:val="21"/>
          <w:szCs w:val="21"/>
          <w:lang w:val="es-ES_tradnl" w:eastAsia="es-ES"/>
        </w:rPr>
        <w:t>autónomos</w:t>
      </w:r>
      <w:r w:rsidRPr="00112A89">
        <w:rPr>
          <w:rFonts w:ascii="Arial" w:eastAsia="Calibri" w:hAnsi="Arial" w:cs="Arial"/>
          <w:color w:val="000000"/>
          <w:sz w:val="21"/>
          <w:szCs w:val="21"/>
          <w:lang w:val="es-ES_tradnl" w:eastAsia="es-ES"/>
        </w:rPr>
        <w:t xml:space="preserve"> o con personas naturales o </w:t>
      </w:r>
      <w:r w:rsidR="001300C2" w:rsidRPr="00112A89">
        <w:rPr>
          <w:rFonts w:ascii="Arial" w:eastAsia="Calibri" w:hAnsi="Arial" w:cs="Arial"/>
          <w:color w:val="000000"/>
          <w:sz w:val="21"/>
          <w:szCs w:val="21"/>
          <w:lang w:val="es-ES_tradnl" w:eastAsia="es-ES"/>
        </w:rPr>
        <w:t>jurídicas</w:t>
      </w:r>
      <w:r w:rsidRPr="00112A89">
        <w:rPr>
          <w:rFonts w:ascii="Arial" w:eastAsia="Calibri" w:hAnsi="Arial" w:cs="Arial"/>
          <w:color w:val="000000"/>
          <w:sz w:val="21"/>
          <w:szCs w:val="21"/>
          <w:lang w:val="es-ES_tradnl" w:eastAsia="es-ES"/>
        </w:rPr>
        <w:t xml:space="preserve"> de derecho privado, cuyo </w:t>
      </w:r>
      <w:r w:rsidR="001300C2" w:rsidRPr="00112A89">
        <w:rPr>
          <w:rFonts w:ascii="Arial" w:eastAsia="Calibri" w:hAnsi="Arial" w:cs="Arial"/>
          <w:color w:val="000000"/>
          <w:sz w:val="21"/>
          <w:szCs w:val="21"/>
          <w:lang w:val="es-ES_tradnl" w:eastAsia="es-ES"/>
        </w:rPr>
        <w:t>régimen</w:t>
      </w:r>
      <w:r w:rsidRPr="00112A89">
        <w:rPr>
          <w:rFonts w:ascii="Arial" w:eastAsia="Calibri" w:hAnsi="Arial" w:cs="Arial"/>
          <w:color w:val="000000"/>
          <w:sz w:val="21"/>
          <w:szCs w:val="21"/>
          <w:lang w:val="es-ES_tradnl" w:eastAsia="es-ES"/>
        </w:rPr>
        <w:t xml:space="preserve"> de </w:t>
      </w:r>
      <w:r w:rsidR="001300C2" w:rsidRPr="00112A89">
        <w:rPr>
          <w:rFonts w:ascii="Arial" w:eastAsia="Calibri" w:hAnsi="Arial" w:cs="Arial"/>
          <w:color w:val="000000"/>
          <w:sz w:val="21"/>
          <w:szCs w:val="21"/>
          <w:lang w:val="es-ES_tradnl" w:eastAsia="es-ES"/>
        </w:rPr>
        <w:t>contratación</w:t>
      </w:r>
      <w:r w:rsidRPr="00112A89">
        <w:rPr>
          <w:rFonts w:ascii="Arial" w:eastAsia="Calibri" w:hAnsi="Arial" w:cs="Arial"/>
          <w:color w:val="000000"/>
          <w:sz w:val="21"/>
          <w:szCs w:val="21"/>
          <w:lang w:val="es-ES_tradnl" w:eastAsia="es-ES"/>
        </w:rPr>
        <w:t xml:space="preserve"> sea especial o de derecho privado, </w:t>
      </w:r>
      <w:r w:rsidR="001300C2" w:rsidRPr="00112A89">
        <w:rPr>
          <w:rFonts w:ascii="Arial" w:eastAsia="Calibri" w:hAnsi="Arial" w:cs="Arial"/>
          <w:color w:val="000000"/>
          <w:sz w:val="21"/>
          <w:szCs w:val="21"/>
          <w:lang w:val="es-ES_tradnl" w:eastAsia="es-ES"/>
        </w:rPr>
        <w:t>deberán</w:t>
      </w:r>
      <w:r w:rsidRPr="00112A89">
        <w:rPr>
          <w:rFonts w:ascii="Arial" w:eastAsia="Calibri" w:hAnsi="Arial" w:cs="Arial"/>
          <w:color w:val="000000"/>
          <w:sz w:val="21"/>
          <w:szCs w:val="21"/>
          <w:lang w:val="es-ES_tradnl" w:eastAsia="es-ES"/>
        </w:rPr>
        <w:t xml:space="preserve"> aplicar los documentos tipo adoptados por la Agencia Nacional de </w:t>
      </w:r>
      <w:r w:rsidR="001300C2" w:rsidRPr="00112A89">
        <w:rPr>
          <w:rFonts w:ascii="Arial" w:eastAsia="Calibri" w:hAnsi="Arial" w:cs="Arial"/>
          <w:color w:val="000000"/>
          <w:sz w:val="21"/>
          <w:szCs w:val="21"/>
          <w:lang w:val="es-ES_tradnl" w:eastAsia="es-ES"/>
        </w:rPr>
        <w:t>Contratación</w:t>
      </w:r>
      <w:r w:rsidRPr="00112A89">
        <w:rPr>
          <w:rFonts w:ascii="Arial" w:eastAsia="Calibri" w:hAnsi="Arial" w:cs="Arial"/>
          <w:color w:val="000000"/>
          <w:sz w:val="21"/>
          <w:szCs w:val="21"/>
          <w:lang w:val="es-ES_tradnl" w:eastAsia="es-ES"/>
        </w:rPr>
        <w:t xml:space="preserve"> </w:t>
      </w:r>
      <w:r w:rsidR="001300C2" w:rsidRPr="00112A89">
        <w:rPr>
          <w:rFonts w:ascii="Arial" w:eastAsia="Calibri" w:hAnsi="Arial" w:cs="Arial"/>
          <w:color w:val="000000"/>
          <w:sz w:val="21"/>
          <w:szCs w:val="21"/>
          <w:lang w:val="es-ES_tradnl" w:eastAsia="es-ES"/>
        </w:rPr>
        <w:t>Pública</w:t>
      </w:r>
      <w:r w:rsidRPr="00112A89">
        <w:rPr>
          <w:rFonts w:ascii="Arial" w:eastAsia="Calibri" w:hAnsi="Arial" w:cs="Arial"/>
          <w:color w:val="000000"/>
          <w:sz w:val="21"/>
          <w:szCs w:val="21"/>
          <w:lang w:val="es-ES_tradnl" w:eastAsia="es-ES"/>
        </w:rPr>
        <w:t xml:space="preserve"> - Colombia Compra Eficiente o quien haga sus veces, conforme al </w:t>
      </w:r>
      <w:r w:rsidR="001300C2" w:rsidRPr="00112A89">
        <w:rPr>
          <w:rFonts w:ascii="Arial" w:eastAsia="Calibri" w:hAnsi="Arial" w:cs="Arial"/>
          <w:color w:val="000000"/>
          <w:sz w:val="21"/>
          <w:szCs w:val="21"/>
          <w:lang w:val="es-ES_tradnl" w:eastAsia="es-ES"/>
        </w:rPr>
        <w:t>parágrafo</w:t>
      </w:r>
      <w:r w:rsidRPr="00112A89">
        <w:rPr>
          <w:rFonts w:ascii="Arial" w:eastAsia="Calibri" w:hAnsi="Arial" w:cs="Arial"/>
          <w:color w:val="000000"/>
          <w:sz w:val="21"/>
          <w:szCs w:val="21"/>
          <w:lang w:val="es-ES_tradnl" w:eastAsia="es-ES"/>
        </w:rPr>
        <w:t xml:space="preserve"> 7 del </w:t>
      </w:r>
      <w:r w:rsidR="001300C2" w:rsidRPr="00112A89">
        <w:rPr>
          <w:rFonts w:ascii="Arial" w:eastAsia="Calibri" w:hAnsi="Arial" w:cs="Arial"/>
          <w:color w:val="000000"/>
          <w:sz w:val="21"/>
          <w:szCs w:val="21"/>
          <w:lang w:val="es-ES_tradnl" w:eastAsia="es-ES"/>
        </w:rPr>
        <w:t>artículo</w:t>
      </w:r>
      <w:r w:rsidRPr="00112A89">
        <w:rPr>
          <w:rFonts w:ascii="Arial" w:eastAsia="Calibri" w:hAnsi="Arial" w:cs="Arial"/>
          <w:color w:val="000000"/>
          <w:sz w:val="21"/>
          <w:szCs w:val="21"/>
          <w:lang w:val="es-ES_tradnl" w:eastAsia="es-ES"/>
        </w:rPr>
        <w:t xml:space="preserve"> 2 de la Ley 1150 de 2007 o las normas que lo modifiquen o sustituyan.</w:t>
      </w:r>
    </w:p>
    <w:p w14:paraId="16013F47" w14:textId="77777777" w:rsidR="001300C2" w:rsidRPr="00112A89" w:rsidRDefault="001300C2" w:rsidP="0068727C">
      <w:pPr>
        <w:ind w:left="709" w:right="709"/>
        <w:jc w:val="both"/>
        <w:rPr>
          <w:rFonts w:ascii="Arial" w:eastAsia="Calibri" w:hAnsi="Arial" w:cs="Arial"/>
          <w:color w:val="000000"/>
          <w:sz w:val="21"/>
          <w:szCs w:val="21"/>
          <w:lang w:val="es-ES_tradnl" w:eastAsia="es-ES"/>
        </w:rPr>
      </w:pPr>
    </w:p>
    <w:p w14:paraId="128214FC" w14:textId="62390CD8" w:rsidR="00B03690" w:rsidRPr="00112A89" w:rsidRDefault="00B03690" w:rsidP="0068727C">
      <w:pPr>
        <w:ind w:left="709" w:right="709"/>
        <w:jc w:val="both"/>
        <w:rPr>
          <w:rFonts w:ascii="Arial" w:eastAsia="Calibri" w:hAnsi="Arial" w:cs="Arial"/>
          <w:color w:val="000000"/>
          <w:sz w:val="21"/>
          <w:szCs w:val="21"/>
          <w:lang w:val="es-ES_tradnl" w:eastAsia="es-ES"/>
        </w:rPr>
      </w:pPr>
      <w:r w:rsidRPr="00112A89">
        <w:rPr>
          <w:rFonts w:ascii="Arial" w:eastAsia="Calibri" w:hAnsi="Arial" w:cs="Arial"/>
          <w:color w:val="000000"/>
          <w:sz w:val="21"/>
          <w:szCs w:val="21"/>
          <w:lang w:val="es-ES_tradnl" w:eastAsia="es-ES"/>
        </w:rPr>
        <w:t xml:space="preserve">Los procedimientos de </w:t>
      </w:r>
      <w:r w:rsidR="001300C2" w:rsidRPr="00112A89">
        <w:rPr>
          <w:rFonts w:ascii="Arial" w:eastAsia="Calibri" w:hAnsi="Arial" w:cs="Arial"/>
          <w:color w:val="000000"/>
          <w:sz w:val="21"/>
          <w:szCs w:val="21"/>
          <w:lang w:val="es-ES_tradnl" w:eastAsia="es-ES"/>
        </w:rPr>
        <w:t>selección</w:t>
      </w:r>
      <w:r w:rsidRPr="00112A89">
        <w:rPr>
          <w:rFonts w:ascii="Arial" w:eastAsia="Calibri" w:hAnsi="Arial" w:cs="Arial"/>
          <w:color w:val="000000"/>
          <w:sz w:val="21"/>
          <w:szCs w:val="21"/>
          <w:lang w:val="es-ES_tradnl" w:eastAsia="es-ES"/>
        </w:rPr>
        <w:t xml:space="preserve"> y los contratos que realicen en desarrollo de los anteriores negocios </w:t>
      </w:r>
      <w:r w:rsidR="001300C2" w:rsidRPr="00112A89">
        <w:rPr>
          <w:rFonts w:ascii="Arial" w:eastAsia="Calibri" w:hAnsi="Arial" w:cs="Arial"/>
          <w:color w:val="000000"/>
          <w:sz w:val="21"/>
          <w:szCs w:val="21"/>
          <w:lang w:val="es-ES_tradnl" w:eastAsia="es-ES"/>
        </w:rPr>
        <w:t>jurídicos</w:t>
      </w:r>
      <w:r w:rsidRPr="00112A89">
        <w:rPr>
          <w:rFonts w:ascii="Arial" w:eastAsia="Calibri" w:hAnsi="Arial" w:cs="Arial"/>
          <w:color w:val="000000"/>
          <w:sz w:val="21"/>
          <w:szCs w:val="21"/>
          <w:lang w:val="es-ES_tradnl" w:eastAsia="es-ES"/>
        </w:rPr>
        <w:t xml:space="preserve">, donde apliquen los documentos tipo se </w:t>
      </w:r>
      <w:r w:rsidR="001300C2" w:rsidRPr="00112A89">
        <w:rPr>
          <w:rFonts w:ascii="Arial" w:eastAsia="Calibri" w:hAnsi="Arial" w:cs="Arial"/>
          <w:color w:val="000000"/>
          <w:sz w:val="21"/>
          <w:szCs w:val="21"/>
          <w:lang w:val="es-ES_tradnl" w:eastAsia="es-ES"/>
        </w:rPr>
        <w:t>regirán</w:t>
      </w:r>
      <w:r w:rsidRPr="00112A89">
        <w:rPr>
          <w:rFonts w:ascii="Arial" w:eastAsia="Calibri" w:hAnsi="Arial" w:cs="Arial"/>
          <w:color w:val="000000"/>
          <w:sz w:val="21"/>
          <w:szCs w:val="21"/>
          <w:lang w:val="es-ES_tradnl" w:eastAsia="es-ES"/>
        </w:rPr>
        <w:t xml:space="preserve"> por el Estatuto General de </w:t>
      </w:r>
      <w:r w:rsidR="001300C2" w:rsidRPr="00112A89">
        <w:rPr>
          <w:rFonts w:ascii="Arial" w:eastAsia="Calibri" w:hAnsi="Arial" w:cs="Arial"/>
          <w:color w:val="000000"/>
          <w:sz w:val="21"/>
          <w:szCs w:val="21"/>
          <w:lang w:val="es-ES_tradnl" w:eastAsia="es-ES"/>
        </w:rPr>
        <w:t>Contratación</w:t>
      </w:r>
      <w:r w:rsidRPr="00112A89">
        <w:rPr>
          <w:rFonts w:ascii="Arial" w:eastAsia="Calibri" w:hAnsi="Arial" w:cs="Arial"/>
          <w:color w:val="000000"/>
          <w:sz w:val="21"/>
          <w:szCs w:val="21"/>
          <w:lang w:val="es-ES_tradnl" w:eastAsia="es-ES"/>
        </w:rPr>
        <w:t xml:space="preserve"> de la </w:t>
      </w:r>
      <w:r w:rsidR="001300C2" w:rsidRPr="00112A89">
        <w:rPr>
          <w:rFonts w:ascii="Arial" w:eastAsia="Calibri" w:hAnsi="Arial" w:cs="Arial"/>
          <w:color w:val="000000"/>
          <w:sz w:val="21"/>
          <w:szCs w:val="21"/>
          <w:lang w:val="es-ES_tradnl" w:eastAsia="es-ES"/>
        </w:rPr>
        <w:t>Administración</w:t>
      </w:r>
      <w:r w:rsidRPr="00112A89">
        <w:rPr>
          <w:rFonts w:ascii="Arial" w:eastAsia="Calibri" w:hAnsi="Arial" w:cs="Arial"/>
          <w:color w:val="000000"/>
          <w:sz w:val="21"/>
          <w:szCs w:val="21"/>
          <w:lang w:val="es-ES_tradnl" w:eastAsia="es-ES"/>
        </w:rPr>
        <w:t xml:space="preserve"> </w:t>
      </w:r>
      <w:r w:rsidR="001300C2" w:rsidRPr="00112A89">
        <w:rPr>
          <w:rFonts w:ascii="Arial" w:eastAsia="Calibri" w:hAnsi="Arial" w:cs="Arial"/>
          <w:color w:val="000000"/>
          <w:sz w:val="21"/>
          <w:szCs w:val="21"/>
          <w:lang w:val="es-ES_tradnl" w:eastAsia="es-ES"/>
        </w:rPr>
        <w:t>Pública</w:t>
      </w:r>
      <w:r w:rsidRPr="00112A89">
        <w:rPr>
          <w:rFonts w:ascii="Arial" w:eastAsia="Calibri" w:hAnsi="Arial" w:cs="Arial"/>
          <w:color w:val="000000"/>
          <w:sz w:val="21"/>
          <w:szCs w:val="21"/>
          <w:lang w:val="es-ES_tradnl" w:eastAsia="es-ES"/>
        </w:rPr>
        <w:t>.</w:t>
      </w:r>
    </w:p>
    <w:p w14:paraId="640BCEE2" w14:textId="77777777" w:rsidR="001300C2" w:rsidRPr="00112A89" w:rsidRDefault="001300C2" w:rsidP="0068727C">
      <w:pPr>
        <w:ind w:left="709" w:right="709"/>
        <w:jc w:val="both"/>
        <w:rPr>
          <w:rFonts w:ascii="Arial" w:eastAsia="Calibri" w:hAnsi="Arial" w:cs="Arial"/>
          <w:color w:val="000000"/>
          <w:sz w:val="21"/>
          <w:szCs w:val="21"/>
          <w:lang w:val="es-ES_tradnl" w:eastAsia="es-ES"/>
        </w:rPr>
      </w:pPr>
    </w:p>
    <w:p w14:paraId="1B020F22" w14:textId="570E335F" w:rsidR="00A37893" w:rsidRPr="00112A89" w:rsidRDefault="001300C2" w:rsidP="0068727C">
      <w:pPr>
        <w:ind w:left="709" w:right="709"/>
        <w:jc w:val="both"/>
        <w:rPr>
          <w:rFonts w:ascii="Arial" w:eastAsia="Calibri" w:hAnsi="Arial" w:cs="Arial"/>
          <w:color w:val="000000"/>
          <w:sz w:val="21"/>
          <w:szCs w:val="21"/>
          <w:lang w:val="es-ES_tradnl" w:eastAsia="es-ES"/>
        </w:rPr>
      </w:pPr>
      <w:r w:rsidRPr="00112A89">
        <w:rPr>
          <w:rFonts w:ascii="Arial" w:eastAsia="Calibri" w:hAnsi="Arial" w:cs="Arial"/>
          <w:color w:val="000000"/>
          <w:sz w:val="21"/>
          <w:szCs w:val="21"/>
          <w:lang w:val="es-ES_tradnl" w:eastAsia="es-ES"/>
        </w:rPr>
        <w:t>Parágrafo</w:t>
      </w:r>
      <w:r w:rsidR="00B03690" w:rsidRPr="00112A89">
        <w:rPr>
          <w:rFonts w:ascii="Arial" w:eastAsia="Calibri" w:hAnsi="Arial" w:cs="Arial"/>
          <w:color w:val="000000"/>
          <w:sz w:val="21"/>
          <w:szCs w:val="21"/>
          <w:lang w:val="es-ES_tradnl" w:eastAsia="es-ES"/>
        </w:rPr>
        <w:t xml:space="preserve">. Se </w:t>
      </w:r>
      <w:r w:rsidRPr="00112A89">
        <w:rPr>
          <w:rFonts w:ascii="Arial" w:eastAsia="Calibri" w:hAnsi="Arial" w:cs="Arial"/>
          <w:color w:val="000000"/>
          <w:sz w:val="21"/>
          <w:szCs w:val="21"/>
          <w:lang w:val="es-ES_tradnl" w:eastAsia="es-ES"/>
        </w:rPr>
        <w:t>exceptúan</w:t>
      </w:r>
      <w:r w:rsidR="00B03690" w:rsidRPr="00112A89">
        <w:rPr>
          <w:rFonts w:ascii="Arial" w:eastAsia="Calibri" w:hAnsi="Arial" w:cs="Arial"/>
          <w:color w:val="000000"/>
          <w:sz w:val="21"/>
          <w:szCs w:val="21"/>
          <w:lang w:val="es-ES_tradnl" w:eastAsia="es-ES"/>
        </w:rPr>
        <w:t xml:space="preserve"> del presente </w:t>
      </w:r>
      <w:r w:rsidRPr="00112A89">
        <w:rPr>
          <w:rFonts w:ascii="Arial" w:eastAsia="Calibri" w:hAnsi="Arial" w:cs="Arial"/>
          <w:color w:val="000000"/>
          <w:sz w:val="21"/>
          <w:szCs w:val="21"/>
          <w:lang w:val="es-ES_tradnl" w:eastAsia="es-ES"/>
        </w:rPr>
        <w:t>artículo</w:t>
      </w:r>
      <w:r w:rsidR="00B03690" w:rsidRPr="00112A89">
        <w:rPr>
          <w:rFonts w:ascii="Arial" w:eastAsia="Calibri" w:hAnsi="Arial" w:cs="Arial"/>
          <w:color w:val="000000"/>
          <w:sz w:val="21"/>
          <w:szCs w:val="21"/>
          <w:lang w:val="es-ES_tradnl" w:eastAsia="es-ES"/>
        </w:rPr>
        <w:t xml:space="preserve"> las Instituciones de </w:t>
      </w:r>
      <w:r w:rsidRPr="00112A89">
        <w:rPr>
          <w:rFonts w:ascii="Arial" w:eastAsia="Calibri" w:hAnsi="Arial" w:cs="Arial"/>
          <w:color w:val="000000"/>
          <w:sz w:val="21"/>
          <w:szCs w:val="21"/>
          <w:lang w:val="es-ES_tradnl" w:eastAsia="es-ES"/>
        </w:rPr>
        <w:t>Educación</w:t>
      </w:r>
      <w:r w:rsidR="00B03690" w:rsidRPr="00112A89">
        <w:rPr>
          <w:rFonts w:ascii="Arial" w:eastAsia="Calibri" w:hAnsi="Arial" w:cs="Arial"/>
          <w:color w:val="000000"/>
          <w:sz w:val="21"/>
          <w:szCs w:val="21"/>
          <w:lang w:val="es-ES_tradnl" w:eastAsia="es-ES"/>
        </w:rPr>
        <w:t xml:space="preserve"> Superior </w:t>
      </w:r>
      <w:r w:rsidRPr="00112A89">
        <w:rPr>
          <w:rFonts w:ascii="Arial" w:eastAsia="Calibri" w:hAnsi="Arial" w:cs="Arial"/>
          <w:color w:val="000000"/>
          <w:sz w:val="21"/>
          <w:szCs w:val="21"/>
          <w:lang w:val="es-ES_tradnl" w:eastAsia="es-ES"/>
        </w:rPr>
        <w:t>públicas</w:t>
      </w:r>
      <w:r w:rsidR="00B03690" w:rsidRPr="00112A89">
        <w:rPr>
          <w:rFonts w:ascii="Arial" w:eastAsia="Calibri" w:hAnsi="Arial" w:cs="Arial"/>
          <w:color w:val="000000"/>
          <w:sz w:val="21"/>
          <w:szCs w:val="21"/>
          <w:lang w:val="es-ES_tradnl" w:eastAsia="es-ES"/>
        </w:rPr>
        <w:t xml:space="preserve">, las empresas sociales del Estado, las sociedades de </w:t>
      </w:r>
      <w:r w:rsidRPr="00112A89">
        <w:rPr>
          <w:rFonts w:ascii="Arial" w:eastAsia="Calibri" w:hAnsi="Arial" w:cs="Arial"/>
          <w:color w:val="000000"/>
          <w:sz w:val="21"/>
          <w:szCs w:val="21"/>
          <w:lang w:val="es-ES_tradnl" w:eastAsia="es-ES"/>
        </w:rPr>
        <w:t>economía</w:t>
      </w:r>
      <w:r w:rsidR="00B03690" w:rsidRPr="00112A89">
        <w:rPr>
          <w:rFonts w:ascii="Arial" w:eastAsia="Calibri" w:hAnsi="Arial" w:cs="Arial"/>
          <w:color w:val="000000"/>
          <w:sz w:val="21"/>
          <w:szCs w:val="21"/>
          <w:lang w:val="es-ES_tradnl" w:eastAsia="es-ES"/>
        </w:rPr>
        <w:t xml:space="preserve"> mixta y las empresas industriales y comerciales del Estado, </w:t>
      </w:r>
      <w:r w:rsidRPr="00112A89">
        <w:rPr>
          <w:rFonts w:ascii="Arial" w:eastAsia="Calibri" w:hAnsi="Arial" w:cs="Arial"/>
          <w:color w:val="000000"/>
          <w:sz w:val="21"/>
          <w:szCs w:val="21"/>
          <w:lang w:val="es-ES_tradnl" w:eastAsia="es-ES"/>
        </w:rPr>
        <w:t>únicamente</w:t>
      </w:r>
      <w:r w:rsidR="00B03690" w:rsidRPr="00112A89">
        <w:rPr>
          <w:rFonts w:ascii="Arial" w:eastAsia="Calibri" w:hAnsi="Arial" w:cs="Arial"/>
          <w:color w:val="000000"/>
          <w:sz w:val="21"/>
          <w:szCs w:val="21"/>
          <w:lang w:val="es-ES_tradnl" w:eastAsia="es-ES"/>
        </w:rPr>
        <w:t xml:space="preserve"> en cuanto a la </w:t>
      </w:r>
      <w:r w:rsidRPr="00112A89">
        <w:rPr>
          <w:rFonts w:ascii="Arial" w:eastAsia="Calibri" w:hAnsi="Arial" w:cs="Arial"/>
          <w:color w:val="000000"/>
          <w:sz w:val="21"/>
          <w:szCs w:val="21"/>
          <w:lang w:val="es-ES_tradnl" w:eastAsia="es-ES"/>
        </w:rPr>
        <w:t>contratación</w:t>
      </w:r>
      <w:r w:rsidR="00B03690" w:rsidRPr="00112A89">
        <w:rPr>
          <w:rFonts w:ascii="Arial" w:eastAsia="Calibri" w:hAnsi="Arial" w:cs="Arial"/>
          <w:color w:val="000000"/>
          <w:sz w:val="21"/>
          <w:szCs w:val="21"/>
          <w:lang w:val="es-ES_tradnl" w:eastAsia="es-ES"/>
        </w:rPr>
        <w:t xml:space="preserve"> de su giro ordinario. En estos casos, en los manuales de </w:t>
      </w:r>
      <w:r w:rsidRPr="00112A89">
        <w:rPr>
          <w:rFonts w:ascii="Arial" w:eastAsia="Calibri" w:hAnsi="Arial" w:cs="Arial"/>
          <w:color w:val="000000"/>
          <w:sz w:val="21"/>
          <w:szCs w:val="21"/>
          <w:lang w:val="es-ES_tradnl" w:eastAsia="es-ES"/>
        </w:rPr>
        <w:t>contratación</w:t>
      </w:r>
      <w:r w:rsidR="00B03690" w:rsidRPr="00112A89">
        <w:rPr>
          <w:rFonts w:ascii="Arial" w:eastAsia="Calibri" w:hAnsi="Arial" w:cs="Arial"/>
          <w:color w:val="000000"/>
          <w:sz w:val="21"/>
          <w:szCs w:val="21"/>
          <w:lang w:val="es-ES_tradnl" w:eastAsia="es-ES"/>
        </w:rPr>
        <w:t xml:space="preserve"> de estas entidades, se fomentará como buena </w:t>
      </w:r>
      <w:r w:rsidRPr="00112A89">
        <w:rPr>
          <w:rFonts w:ascii="Arial" w:eastAsia="Calibri" w:hAnsi="Arial" w:cs="Arial"/>
          <w:color w:val="000000"/>
          <w:sz w:val="21"/>
          <w:szCs w:val="21"/>
          <w:lang w:val="es-ES_tradnl" w:eastAsia="es-ES"/>
        </w:rPr>
        <w:t>práctica</w:t>
      </w:r>
      <w:r w:rsidR="00B03690" w:rsidRPr="00112A89">
        <w:rPr>
          <w:rFonts w:ascii="Arial" w:eastAsia="Calibri" w:hAnsi="Arial" w:cs="Arial"/>
          <w:color w:val="000000"/>
          <w:sz w:val="21"/>
          <w:szCs w:val="21"/>
          <w:lang w:val="es-ES_tradnl" w:eastAsia="es-ES"/>
        </w:rPr>
        <w:t xml:space="preserve"> la </w:t>
      </w:r>
      <w:r w:rsidRPr="00112A89">
        <w:rPr>
          <w:rFonts w:ascii="Arial" w:eastAsia="Calibri" w:hAnsi="Arial" w:cs="Arial"/>
          <w:color w:val="000000"/>
          <w:sz w:val="21"/>
          <w:szCs w:val="21"/>
          <w:lang w:val="es-ES_tradnl" w:eastAsia="es-ES"/>
        </w:rPr>
        <w:t>aplicación</w:t>
      </w:r>
      <w:r w:rsidR="00B03690" w:rsidRPr="00112A89">
        <w:rPr>
          <w:rFonts w:ascii="Arial" w:eastAsia="Calibri" w:hAnsi="Arial" w:cs="Arial"/>
          <w:color w:val="000000"/>
          <w:sz w:val="21"/>
          <w:szCs w:val="21"/>
          <w:lang w:val="es-ES_tradnl" w:eastAsia="es-ES"/>
        </w:rPr>
        <w:t xml:space="preserve"> de los pliegos tipo.</w:t>
      </w:r>
      <w:r w:rsidR="003563A1" w:rsidRPr="00112A89">
        <w:rPr>
          <w:rFonts w:ascii="Arial" w:eastAsia="Calibri" w:hAnsi="Arial" w:cs="Arial"/>
          <w:color w:val="000000"/>
          <w:sz w:val="21"/>
          <w:szCs w:val="21"/>
          <w:lang w:val="es-ES_tradnl" w:eastAsia="es-ES"/>
        </w:rPr>
        <w:t xml:space="preserve"> </w:t>
      </w:r>
    </w:p>
    <w:p w14:paraId="5E807AA8" w14:textId="77777777" w:rsidR="0051690A" w:rsidRPr="00112A89" w:rsidRDefault="0051690A" w:rsidP="0051690A">
      <w:pPr>
        <w:spacing w:line="276" w:lineRule="auto"/>
        <w:ind w:firstLine="709"/>
        <w:jc w:val="both"/>
        <w:rPr>
          <w:rFonts w:ascii="Arial" w:eastAsia="Calibri" w:hAnsi="Arial" w:cs="Arial"/>
          <w:color w:val="000000"/>
          <w:sz w:val="22"/>
          <w:szCs w:val="22"/>
          <w:lang w:val="es-ES_tradnl" w:eastAsia="es-ES"/>
        </w:rPr>
      </w:pPr>
    </w:p>
    <w:p w14:paraId="710F7951" w14:textId="587A48D0" w:rsidR="00AA44A6" w:rsidRPr="00112A89" w:rsidRDefault="00AA44A6" w:rsidP="00FB2962">
      <w:pPr>
        <w:spacing w:after="120" w:line="276" w:lineRule="auto"/>
        <w:ind w:firstLine="709"/>
        <w:jc w:val="both"/>
        <w:rPr>
          <w:rFonts w:ascii="Arial" w:eastAsia="Calibri" w:hAnsi="Arial" w:cs="Arial"/>
          <w:color w:val="000000"/>
          <w:sz w:val="22"/>
          <w:szCs w:val="22"/>
          <w:lang w:val="es-ES_tradnl" w:eastAsia="es-ES"/>
        </w:rPr>
      </w:pPr>
      <w:r w:rsidRPr="00112A89">
        <w:rPr>
          <w:rFonts w:ascii="Arial" w:eastAsia="Calibri" w:hAnsi="Arial" w:cs="Arial"/>
          <w:bCs/>
          <w:sz w:val="22"/>
          <w:lang w:val="es-ES_tradnl"/>
        </w:rPr>
        <w:t xml:space="preserve">Las implicaciones de lo establecido en esta norma son variadas y se presentan en múltiples ámbitos de la actividad contractual de las entidades estatales, </w:t>
      </w:r>
      <w:proofErr w:type="gramStart"/>
      <w:r w:rsidRPr="00112A89">
        <w:rPr>
          <w:rFonts w:ascii="Arial" w:eastAsia="Calibri" w:hAnsi="Arial" w:cs="Arial"/>
          <w:bCs/>
          <w:sz w:val="22"/>
          <w:lang w:val="es-ES_tradnl"/>
        </w:rPr>
        <w:t>que</w:t>
      </w:r>
      <w:proofErr w:type="gramEnd"/>
      <w:r w:rsidRPr="00112A89">
        <w:rPr>
          <w:rFonts w:ascii="Arial" w:eastAsia="Calibri" w:hAnsi="Arial" w:cs="Arial"/>
          <w:bCs/>
          <w:sz w:val="22"/>
          <w:lang w:val="es-ES_tradnl"/>
        </w:rPr>
        <w:t xml:space="preserve"> como consecuencia de la entrada en vigor de la disposición en cita, ven alterado </w:t>
      </w:r>
      <w:r w:rsidR="00EC5606" w:rsidRPr="00112A89">
        <w:rPr>
          <w:rFonts w:ascii="Arial" w:eastAsia="Calibri" w:hAnsi="Arial" w:cs="Arial"/>
          <w:bCs/>
          <w:sz w:val="22"/>
          <w:lang w:val="es-ES_tradnl"/>
        </w:rPr>
        <w:t xml:space="preserve">parcialmente </w:t>
      </w:r>
      <w:r w:rsidRPr="00112A89">
        <w:rPr>
          <w:rFonts w:ascii="Arial" w:eastAsia="Calibri" w:hAnsi="Arial" w:cs="Arial"/>
          <w:bCs/>
          <w:sz w:val="22"/>
          <w:lang w:val="es-ES_tradnl"/>
        </w:rPr>
        <w:t xml:space="preserve">su régimen jurídico. Es por esto por lo que una interpretación adecuada de esta disposición, orientada a establecer con precisión el alcance de sus efectos, exige detenerse sobre ciertos aspectos que, a juicio de esta Agencia, resulta indispensable analizar para la comprensión de la norma materia de consulta, los cuales se desarrollan a continuación.  </w:t>
      </w:r>
    </w:p>
    <w:p w14:paraId="0914721B" w14:textId="1A645275" w:rsidR="008E6056" w:rsidRPr="00112A89" w:rsidRDefault="008E6056" w:rsidP="008E6056">
      <w:pPr>
        <w:tabs>
          <w:tab w:val="left" w:pos="0"/>
        </w:tabs>
        <w:spacing w:after="120" w:line="276" w:lineRule="auto"/>
        <w:jc w:val="both"/>
        <w:rPr>
          <w:rFonts w:ascii="Arial" w:eastAsia="Calibri" w:hAnsi="Arial" w:cs="Arial"/>
          <w:bCs/>
          <w:sz w:val="22"/>
          <w:lang w:val="es-ES_tradnl"/>
        </w:rPr>
      </w:pPr>
      <w:r w:rsidRPr="00112A89">
        <w:rPr>
          <w:rFonts w:ascii="Arial" w:eastAsia="Calibri" w:hAnsi="Arial" w:cs="Arial"/>
          <w:bCs/>
          <w:sz w:val="22"/>
          <w:lang w:val="es-ES_tradnl"/>
        </w:rPr>
        <w:tab/>
        <w:t xml:space="preserve">Como se desprende de la parte inicial de la norma citada, esta se refiere a la adquisición de bienes, obras o servicios por parte de entidades estatales sometidas al EGCAP, que celebren contratos, convenios interadministrativos o de cualquier otra índole con entidades estatales exceptuadas, patrimonios autónomos, personas naturales o jurídicas de derecho privado. En ese sentido, este primer inciso formula un mandato dirigido a las entidades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w:t>
      </w:r>
    </w:p>
    <w:p w14:paraId="706A2CBA" w14:textId="77777777" w:rsidR="008E6056" w:rsidRPr="00112A89" w:rsidRDefault="008E6056" w:rsidP="008E6056">
      <w:pPr>
        <w:tabs>
          <w:tab w:val="left" w:pos="0"/>
        </w:tabs>
        <w:spacing w:after="120" w:line="276" w:lineRule="auto"/>
        <w:jc w:val="both"/>
        <w:rPr>
          <w:rFonts w:ascii="Arial" w:eastAsia="Calibri" w:hAnsi="Arial" w:cs="Arial"/>
          <w:bCs/>
          <w:sz w:val="22"/>
          <w:lang w:val="es-ES_tradnl"/>
        </w:rPr>
      </w:pPr>
      <w:r w:rsidRPr="00112A89">
        <w:rPr>
          <w:rFonts w:ascii="Arial" w:eastAsia="Calibri" w:hAnsi="Arial" w:cs="Arial"/>
          <w:bCs/>
          <w:sz w:val="22"/>
          <w:lang w:val="es-ES_tradnl"/>
        </w:rPr>
        <w:tab/>
        <w:t xml:space="preserve">De acuerdo con esto, 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con claridad la regla de aplicación obligatoria de los documentos tipo en los Procesos de Contratación adelantados por las entidades estatales regidas por el EGCAP, lo cierto es </w:t>
      </w:r>
      <w:r w:rsidRPr="00112A89">
        <w:rPr>
          <w:rFonts w:ascii="Arial" w:eastAsia="Calibri" w:hAnsi="Arial" w:cs="Arial"/>
          <w:bCs/>
          <w:sz w:val="22"/>
          <w:lang w:val="es-ES_tradnl"/>
        </w:rPr>
        <w:lastRenderedPageBreak/>
        <w:t xml:space="preserve">que sus efectos no eran los mismos en los procesos de selección adelantados por entidades exceptuadas o con regímenes especiales.  </w:t>
      </w:r>
    </w:p>
    <w:p w14:paraId="3442E13E" w14:textId="63BFB223" w:rsidR="008E6056" w:rsidRPr="00112A89" w:rsidRDefault="008E6056" w:rsidP="008E6056">
      <w:pPr>
        <w:tabs>
          <w:tab w:val="left" w:pos="0"/>
        </w:tabs>
        <w:spacing w:after="120" w:line="276" w:lineRule="auto"/>
        <w:jc w:val="both"/>
        <w:rPr>
          <w:rFonts w:ascii="Arial" w:eastAsia="Calibri" w:hAnsi="Arial" w:cs="Arial"/>
          <w:bCs/>
          <w:sz w:val="22"/>
          <w:lang w:val="es-ES_tradnl"/>
        </w:rPr>
      </w:pPr>
      <w:r w:rsidRPr="00112A89">
        <w:rPr>
          <w:rFonts w:ascii="Arial" w:eastAsia="Calibri" w:hAnsi="Arial" w:cs="Arial"/>
          <w:bCs/>
          <w:sz w:val="22"/>
          <w:lang w:val="es-ES_tradnl"/>
        </w:rPr>
        <w:tab/>
        <w:t xml:space="preserve">Antes de la expedición del artículo 56 </w:t>
      </w:r>
      <w:r w:rsidRPr="00112A89">
        <w:rPr>
          <w:rFonts w:ascii="Arial" w:eastAsia="Calibri" w:hAnsi="Arial" w:cs="Arial"/>
          <w:bCs/>
          <w:i/>
          <w:iCs/>
          <w:sz w:val="22"/>
          <w:lang w:val="es-ES_tradnl"/>
        </w:rPr>
        <w:t>ibídem</w:t>
      </w:r>
      <w:r w:rsidRPr="00112A89">
        <w:rPr>
          <w:rFonts w:ascii="Arial" w:eastAsia="Calibri" w:hAnsi="Arial" w:cs="Arial"/>
          <w:bCs/>
          <w:sz w:val="22"/>
          <w:lang w:val="es-ES_tradnl"/>
        </w:rPr>
        <w:t>¸ la Ley 2022 de 2020 ya había establecido el mandato de aplicación obligatoria de los documentos tipo, atribuyendo a esta a Agencia la competencia para expedirlos. Dicha Ley restringe su aplicación en los Procesos de Contratación a través de los que una entidad estatal regida por el EGCAP debe adquirir una obra o servicio, por supuesto siempre que el objeto a contratar, al igual que la 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w:t>
      </w:r>
      <w:r w:rsidR="0059516E" w:rsidRPr="00112A89">
        <w:rPr>
          <w:rFonts w:ascii="Arial" w:eastAsia="Calibri" w:hAnsi="Arial" w:cs="Arial"/>
          <w:bCs/>
          <w:sz w:val="22"/>
          <w:lang w:val="es-ES_tradnl"/>
        </w:rPr>
        <w:t>0</w:t>
      </w:r>
      <w:r w:rsidRPr="00112A89">
        <w:rPr>
          <w:rFonts w:ascii="Arial" w:eastAsia="Calibri" w:hAnsi="Arial" w:cs="Arial"/>
          <w:bCs/>
          <w:sz w:val="22"/>
          <w:lang w:val="es-ES_tradnl"/>
        </w:rPr>
        <w:t xml:space="preserve">, incluso tratándose de obras o servicios para cuya contratación hubieren documentos tipo vigentes, comoquiera que la aplicación de estos solo era procedente cuando el régimen de la entidad contratante </w:t>
      </w:r>
      <w:r w:rsidR="0059516E" w:rsidRPr="00112A89">
        <w:rPr>
          <w:rFonts w:ascii="Arial" w:eastAsia="Calibri" w:hAnsi="Arial" w:cs="Arial"/>
          <w:bCs/>
          <w:sz w:val="22"/>
          <w:lang w:val="es-ES_tradnl"/>
        </w:rPr>
        <w:t>fuera</w:t>
      </w:r>
      <w:r w:rsidRPr="00112A89">
        <w:rPr>
          <w:rFonts w:ascii="Arial" w:eastAsia="Calibri" w:hAnsi="Arial" w:cs="Arial"/>
          <w:bCs/>
          <w:sz w:val="22"/>
          <w:lang w:val="es-ES_tradnl"/>
        </w:rPr>
        <w:t xml:space="preserve"> el EGCAP, toda vez que el parágrafo 7 del artículo 2 de la Ley 1150 de 2007 solo se refiere a la obligación de aplicar los documentos tipo en los Procesos de Contratación que adelanten las entidades sometidas al EGCAP. </w:t>
      </w:r>
    </w:p>
    <w:p w14:paraId="04C7E32A" w14:textId="1CB9E6F0" w:rsidR="008E6056" w:rsidRPr="00112A89" w:rsidRDefault="008E6056" w:rsidP="008E6056">
      <w:pPr>
        <w:tabs>
          <w:tab w:val="left" w:pos="0"/>
        </w:tabs>
        <w:spacing w:after="120" w:line="276" w:lineRule="auto"/>
        <w:jc w:val="both"/>
        <w:rPr>
          <w:rFonts w:ascii="Arial" w:eastAsia="Calibri" w:hAnsi="Arial" w:cs="Arial"/>
          <w:bCs/>
          <w:sz w:val="22"/>
          <w:lang w:val="es-ES_tradnl"/>
        </w:rPr>
      </w:pPr>
      <w:r w:rsidRPr="00112A89">
        <w:rPr>
          <w:rFonts w:ascii="Arial" w:eastAsia="Calibri" w:hAnsi="Arial" w:cs="Arial"/>
          <w:bCs/>
          <w:sz w:val="22"/>
          <w:lang w:val="es-ES_tradnl"/>
        </w:rPr>
        <w:tab/>
        <w:t xml:space="preserve">Por tanto, la norma, por el hecho de estar dirigida únicamente a las entidades sometidas a la Ley 80 de 1993 y la Ley 1150 de 2007, solo permitía que los documentos tipo tuvieran que aplicarse de manera obligatoria cuando este </w:t>
      </w:r>
      <w:r w:rsidR="0059516E" w:rsidRPr="00112A89">
        <w:rPr>
          <w:rFonts w:ascii="Arial" w:eastAsia="Calibri" w:hAnsi="Arial" w:cs="Arial"/>
          <w:bCs/>
          <w:sz w:val="22"/>
          <w:lang w:val="es-ES_tradnl"/>
        </w:rPr>
        <w:t>fuera</w:t>
      </w:r>
      <w:r w:rsidRPr="00112A89">
        <w:rPr>
          <w:rFonts w:ascii="Arial" w:eastAsia="Calibri" w:hAnsi="Arial" w:cs="Arial"/>
          <w:bCs/>
          <w:sz w:val="22"/>
          <w:lang w:val="es-ES_tradnl"/>
        </w:rPr>
        <w:t xml:space="preserve"> el régimen de contratación de la entidad que adelantaba el Proceso de Contratación. En estos términos, si bien la Ley 2022 de 2020 no limitó la aplicabilidad de los documentos tipo expedidos por esta Agencia a una modalidad en específico, sí estableció que su implementación debía hacerse en el marco del EGCAP.</w:t>
      </w:r>
    </w:p>
    <w:p w14:paraId="03627B5B" w14:textId="77777777" w:rsidR="008E6056" w:rsidRPr="00112A89" w:rsidRDefault="008E6056" w:rsidP="008E6056">
      <w:pPr>
        <w:tabs>
          <w:tab w:val="left" w:pos="0"/>
        </w:tabs>
        <w:spacing w:after="120" w:line="276" w:lineRule="auto"/>
        <w:jc w:val="both"/>
        <w:rPr>
          <w:rFonts w:ascii="Arial" w:eastAsia="Calibri" w:hAnsi="Arial" w:cs="Arial"/>
          <w:bCs/>
          <w:sz w:val="22"/>
          <w:lang w:val="es-ES_tradnl"/>
        </w:rPr>
      </w:pPr>
      <w:r w:rsidRPr="00112A89">
        <w:rPr>
          <w:rFonts w:ascii="Arial" w:eastAsia="Calibri" w:hAnsi="Arial" w:cs="Arial"/>
          <w:bCs/>
          <w:sz w:val="22"/>
          <w:lang w:val="es-ES_tradnl"/>
        </w:rPr>
        <w:tab/>
        <w:t xml:space="preserve">En este escenario, 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ii) patrimonios autónomos o iii) con personas naturales o jurídicas de derecho privado, tenga que hacerlo aplicando documentos tipo. Los efectos del primer inciso del artículo 56 se proyectarían entonces a los contratos o convenios que se deban celebrar con estos sujetos, cuyos objetos comprendan la adquisición de bienes, obras o servicios, que, al tenor de lo dispuesto en el apartado normativo bajo examen, deberán celebrarse mediante documentos tipo.      </w:t>
      </w:r>
    </w:p>
    <w:p w14:paraId="74231544" w14:textId="77777777" w:rsidR="008E6056" w:rsidRPr="00112A89" w:rsidRDefault="008E6056" w:rsidP="008E6056">
      <w:pPr>
        <w:tabs>
          <w:tab w:val="left" w:pos="0"/>
        </w:tabs>
        <w:spacing w:after="120" w:line="276" w:lineRule="auto"/>
        <w:jc w:val="both"/>
        <w:rPr>
          <w:rFonts w:ascii="Arial" w:eastAsia="Calibri" w:hAnsi="Arial" w:cs="Arial"/>
          <w:bCs/>
          <w:sz w:val="22"/>
          <w:lang w:val="es-ES_tradnl"/>
        </w:rPr>
      </w:pPr>
      <w:r w:rsidRPr="00112A89">
        <w:rPr>
          <w:rFonts w:ascii="Arial" w:eastAsia="Calibri" w:hAnsi="Arial" w:cs="Arial"/>
          <w:bCs/>
          <w:sz w:val="22"/>
          <w:lang w:val="es-ES_tradnl"/>
        </w:rPr>
        <w:tab/>
        <w:t xml:space="preserve">Sin perjuicio de lo anterior, solo es posible comprender los efectos de lo dispuesto en el artículo 56 de la Ley 2195 de 2020 cuando se interpretan en conjunto todos sus </w:t>
      </w:r>
      <w:r w:rsidRPr="00112A89">
        <w:rPr>
          <w:rFonts w:ascii="Arial" w:eastAsia="Calibri" w:hAnsi="Arial" w:cs="Arial"/>
          <w:bCs/>
          <w:sz w:val="22"/>
          <w:lang w:val="es-ES_tradnl"/>
        </w:rPr>
        <w:lastRenderedPageBreak/>
        <w:t xml:space="preserve">componentes. Esto comoquiera que, a lo anterior se le suman las implicaciones de lo ordenado por el segundo inciso de la norma, en referencia a los procedimientos de selección y contratos que deban celebrarse en desarrollo de los negocios a los que se refiere el primer inciso, en los que, además de la aplicación de los documentos tipo, se dispone la aplicación del EGCAP. </w:t>
      </w:r>
    </w:p>
    <w:p w14:paraId="00F3CF4A" w14:textId="2359F0E0" w:rsidR="008E6056" w:rsidRPr="00112A89" w:rsidRDefault="008E6056" w:rsidP="008E6056">
      <w:pPr>
        <w:tabs>
          <w:tab w:val="left" w:pos="0"/>
        </w:tabs>
        <w:spacing w:after="120" w:line="276" w:lineRule="auto"/>
        <w:jc w:val="both"/>
        <w:rPr>
          <w:rFonts w:ascii="Arial" w:eastAsia="Calibri" w:hAnsi="Arial" w:cs="Arial"/>
          <w:bCs/>
          <w:sz w:val="22"/>
          <w:lang w:val="es-ES_tradnl"/>
        </w:rPr>
      </w:pPr>
      <w:r w:rsidRPr="00112A89">
        <w:rPr>
          <w:rFonts w:ascii="Arial" w:eastAsia="Calibri" w:hAnsi="Arial" w:cs="Arial"/>
          <w:bCs/>
          <w:sz w:val="22"/>
          <w:lang w:val="es-ES_tradnl"/>
        </w:rPr>
        <w:tab/>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Esto significa que, ya sea una entidad estatal de régimen especial, un patrimonio autónomo o una persona natural o jurídica de derecho privado, en virtud de lo dispuesto en los incisos primero y segundo del artículo 56 </w:t>
      </w:r>
      <w:proofErr w:type="spellStart"/>
      <w:r w:rsidRPr="00112A89">
        <w:rPr>
          <w:rFonts w:ascii="Arial" w:eastAsia="Calibri" w:hAnsi="Arial" w:cs="Arial"/>
          <w:bCs/>
          <w:i/>
          <w:iCs/>
          <w:sz w:val="22"/>
          <w:lang w:val="es-ES_tradnl"/>
        </w:rPr>
        <w:t>ejusdem</w:t>
      </w:r>
      <w:proofErr w:type="spellEnd"/>
      <w:r w:rsidRPr="00112A89">
        <w:rPr>
          <w:rFonts w:ascii="Arial" w:eastAsia="Calibri" w:hAnsi="Arial" w:cs="Arial"/>
          <w:bCs/>
          <w:i/>
          <w:iCs/>
          <w:sz w:val="22"/>
          <w:lang w:val="es-ES_tradnl"/>
        </w:rPr>
        <w:t xml:space="preserve">, </w:t>
      </w:r>
      <w:r w:rsidRPr="00112A89">
        <w:rPr>
          <w:rFonts w:ascii="Arial" w:eastAsia="Calibri" w:hAnsi="Arial" w:cs="Arial"/>
          <w:bCs/>
          <w:sz w:val="22"/>
          <w:lang w:val="es-ES_tradnl"/>
        </w:rPr>
        <w:t>si,</w:t>
      </w:r>
      <w:r w:rsidRPr="00112A89">
        <w:rPr>
          <w:rFonts w:ascii="Arial" w:eastAsia="Calibri" w:hAnsi="Arial" w:cs="Arial"/>
          <w:bCs/>
          <w:i/>
          <w:iCs/>
          <w:sz w:val="22"/>
          <w:lang w:val="es-ES_tradnl"/>
        </w:rPr>
        <w:t xml:space="preserve"> </w:t>
      </w:r>
      <w:r w:rsidRPr="00112A89">
        <w:rPr>
          <w:rFonts w:ascii="Arial" w:eastAsia="Calibri" w:hAnsi="Arial" w:cs="Arial"/>
          <w:bCs/>
          <w:sz w:val="22"/>
          <w:lang w:val="es-ES_tradnl"/>
        </w:rPr>
        <w:t xml:space="preserve">en efecto, deben subcontratar bienes, obras o servicios, en cumplimiento de un contrato o convenio con una entidad estatal sometida a la Ley 80 de 1993, deberá adelantar el procedimiento de selección, así como celebrar el respectivo contrato, implementando los documentos tipo y aplicando las disposiciones del EGCAP. </w:t>
      </w:r>
    </w:p>
    <w:p w14:paraId="2463E77B" w14:textId="77777777" w:rsidR="008E6056" w:rsidRPr="00112A89" w:rsidRDefault="008E6056" w:rsidP="008E6056">
      <w:pPr>
        <w:tabs>
          <w:tab w:val="left" w:pos="0"/>
        </w:tabs>
        <w:spacing w:after="120" w:line="276" w:lineRule="auto"/>
        <w:jc w:val="both"/>
        <w:rPr>
          <w:rFonts w:ascii="Arial" w:eastAsia="Calibri" w:hAnsi="Arial" w:cs="Arial"/>
          <w:bCs/>
          <w:sz w:val="22"/>
          <w:lang w:val="es-ES_tradnl"/>
        </w:rPr>
      </w:pPr>
      <w:r w:rsidRPr="00112A89">
        <w:rPr>
          <w:rFonts w:ascii="Arial" w:eastAsia="Calibri" w:hAnsi="Arial" w:cs="Arial"/>
          <w:bCs/>
          <w:sz w:val="22"/>
          <w:lang w:val="es-ES_tradnl"/>
        </w:rPr>
        <w:tab/>
        <w:t xml:space="preserve">Esta, además, es la interpretación que se desprende de la justificación del proyecto normativo que se convirtió en la Ley 2195 de 2022, en la que, respecto de los contratos ejecutados por entidades de derecho privado, se refirió a la «[..] obligatoriedad de aplicar los documentos tipo, aun si son ejecutados con entidades de régimen especial», como uno de los propósitos de la Ley.  Conforme se indica en la justificación jurídica del proyecto ley, este: </w:t>
      </w:r>
    </w:p>
    <w:p w14:paraId="27B429DC" w14:textId="77777777" w:rsidR="008E6056" w:rsidRPr="00112A89" w:rsidRDefault="008E6056" w:rsidP="00FB2962">
      <w:pPr>
        <w:tabs>
          <w:tab w:val="left" w:pos="0"/>
        </w:tabs>
        <w:ind w:left="709" w:right="709"/>
        <w:jc w:val="both"/>
        <w:rPr>
          <w:rFonts w:ascii="Arial" w:eastAsia="Calibri" w:hAnsi="Arial" w:cs="Arial"/>
          <w:bCs/>
          <w:sz w:val="21"/>
          <w:szCs w:val="21"/>
          <w:lang w:val="es-ES_tradnl"/>
        </w:rPr>
      </w:pPr>
      <w:r w:rsidRPr="00112A89">
        <w:rPr>
          <w:rFonts w:ascii="Arial" w:eastAsia="Calibri" w:hAnsi="Arial" w:cs="Arial"/>
          <w:bCs/>
          <w:sz w:val="21"/>
          <w:szCs w:val="21"/>
          <w:lang w:val="es-ES_tradnl"/>
        </w:rPr>
        <w:t>«[…]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contratos realizados en dichos negocios jurídicos deben regirse por las normas de contratación pública»</w:t>
      </w:r>
      <w:r w:rsidRPr="00112A89">
        <w:rPr>
          <w:rStyle w:val="Refdenotaalpie"/>
          <w:rFonts w:eastAsia="Calibri"/>
        </w:rPr>
        <w:footnoteReference w:id="19"/>
      </w:r>
      <w:r w:rsidRPr="00112A89">
        <w:rPr>
          <w:rFonts w:ascii="Arial" w:eastAsia="Calibri" w:hAnsi="Arial" w:cs="Arial"/>
          <w:bCs/>
          <w:sz w:val="21"/>
          <w:szCs w:val="21"/>
          <w:lang w:val="es-ES_tradnl"/>
        </w:rPr>
        <w:t xml:space="preserve">. </w:t>
      </w:r>
    </w:p>
    <w:p w14:paraId="45B6A989" w14:textId="77777777" w:rsidR="008E6056" w:rsidRPr="00112A89" w:rsidRDefault="008E6056" w:rsidP="00FB2962">
      <w:pPr>
        <w:tabs>
          <w:tab w:val="left" w:pos="0"/>
        </w:tabs>
        <w:spacing w:line="276" w:lineRule="auto"/>
        <w:jc w:val="both"/>
        <w:rPr>
          <w:rFonts w:ascii="Arial" w:eastAsia="Calibri" w:hAnsi="Arial" w:cs="Arial"/>
          <w:bCs/>
          <w:sz w:val="22"/>
          <w:lang w:val="es-ES_tradnl"/>
        </w:rPr>
      </w:pPr>
      <w:r w:rsidRPr="00112A89">
        <w:rPr>
          <w:rFonts w:ascii="Arial" w:eastAsia="Calibri" w:hAnsi="Arial" w:cs="Arial"/>
          <w:bCs/>
          <w:sz w:val="22"/>
          <w:lang w:val="es-ES_tradnl"/>
        </w:rPr>
        <w:tab/>
        <w:t xml:space="preserve"> </w:t>
      </w:r>
    </w:p>
    <w:p w14:paraId="0B92CF57" w14:textId="67B0EE9C" w:rsidR="008E6056" w:rsidRPr="00112A89" w:rsidRDefault="008E6056" w:rsidP="00F066B3">
      <w:pPr>
        <w:tabs>
          <w:tab w:val="left" w:pos="0"/>
        </w:tabs>
        <w:spacing w:after="120" w:line="276" w:lineRule="auto"/>
        <w:jc w:val="both"/>
        <w:rPr>
          <w:rFonts w:ascii="Arial" w:eastAsia="Calibri" w:hAnsi="Arial" w:cs="Arial"/>
          <w:bCs/>
          <w:sz w:val="22"/>
          <w:lang w:val="es-ES_tradnl"/>
        </w:rPr>
      </w:pPr>
      <w:r w:rsidRPr="00112A89">
        <w:rPr>
          <w:rFonts w:ascii="Arial" w:eastAsia="Calibri" w:hAnsi="Arial" w:cs="Arial"/>
          <w:bCs/>
          <w:sz w:val="22"/>
          <w:lang w:val="es-ES_tradnl"/>
        </w:rPr>
        <w:tab/>
        <w:t xml:space="preserve">De lo anterior se desprende que el propósito del legislador con la expedición de la norma objeto de consulta, tal como se ha explicado, es que las entidades estatales que </w:t>
      </w:r>
      <w:r w:rsidRPr="00112A89">
        <w:rPr>
          <w:rFonts w:ascii="Arial" w:eastAsia="Calibri" w:hAnsi="Arial" w:cs="Arial"/>
          <w:bCs/>
          <w:sz w:val="22"/>
          <w:lang w:val="es-ES_tradnl"/>
        </w:rPr>
        <w:lastRenderedPageBreak/>
        <w:t xml:space="preserve">tienen como régimen </w:t>
      </w:r>
      <w:r w:rsidR="001570D1" w:rsidRPr="00112A89">
        <w:rPr>
          <w:rFonts w:ascii="Arial" w:eastAsia="Calibri" w:hAnsi="Arial" w:cs="Arial"/>
          <w:bCs/>
          <w:sz w:val="22"/>
          <w:lang w:val="es-ES_tradnl"/>
        </w:rPr>
        <w:t>contractual</w:t>
      </w:r>
      <w:r w:rsidRPr="00112A89">
        <w:rPr>
          <w:rFonts w:ascii="Arial" w:eastAsia="Calibri" w:hAnsi="Arial" w:cs="Arial"/>
          <w:bCs/>
          <w:sz w:val="22"/>
          <w:lang w:val="es-ES_tradnl"/>
        </w:rPr>
        <w:t xml:space="preserve"> el EGCAP no puedan eludir su aplicación, ni la de los documentos tipo que resulten obligatorios, celebrando convenios o contratos con 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subcontratación derivada de obras, bienes, obras o servicios, siempre que exista documento tipo </w:t>
      </w:r>
      <w:r w:rsidR="001570D1" w:rsidRPr="00112A89">
        <w:rPr>
          <w:rFonts w:ascii="Arial" w:eastAsia="Calibri" w:hAnsi="Arial" w:cs="Arial"/>
          <w:bCs/>
          <w:sz w:val="22"/>
          <w:lang w:val="es-ES_tradnl"/>
        </w:rPr>
        <w:t>aplicable al objeto a contratar</w:t>
      </w:r>
      <w:r w:rsidRPr="00112A89">
        <w:rPr>
          <w:rFonts w:ascii="Arial" w:eastAsia="Calibri" w:hAnsi="Arial" w:cs="Arial"/>
          <w:bCs/>
          <w:sz w:val="22"/>
          <w:lang w:val="es-ES_tradnl"/>
        </w:rPr>
        <w:t xml:space="preserve">.  </w:t>
      </w:r>
    </w:p>
    <w:p w14:paraId="251D1272" w14:textId="45524205" w:rsidR="008E6056" w:rsidRPr="00112A89" w:rsidRDefault="00F066B3" w:rsidP="008E6056">
      <w:pPr>
        <w:tabs>
          <w:tab w:val="left" w:pos="0"/>
        </w:tabs>
        <w:spacing w:after="120" w:line="276" w:lineRule="auto"/>
        <w:jc w:val="both"/>
        <w:rPr>
          <w:rFonts w:ascii="Arial" w:eastAsia="Calibri" w:hAnsi="Arial" w:cs="Arial"/>
          <w:bCs/>
          <w:sz w:val="22"/>
          <w:lang w:val="es-ES_tradnl"/>
        </w:rPr>
      </w:pPr>
      <w:r w:rsidRPr="00112A89">
        <w:rPr>
          <w:rFonts w:ascii="Arial" w:eastAsia="Calibri" w:hAnsi="Arial" w:cs="Arial"/>
          <w:bCs/>
          <w:sz w:val="22"/>
          <w:lang w:val="es-ES_tradnl"/>
        </w:rPr>
        <w:tab/>
      </w:r>
      <w:r w:rsidR="008E6056" w:rsidRPr="00112A89">
        <w:rPr>
          <w:rFonts w:ascii="Arial" w:eastAsia="Calibri" w:hAnsi="Arial" w:cs="Arial"/>
          <w:bCs/>
          <w:sz w:val="22"/>
          <w:lang w:val="es-ES_tradnl"/>
        </w:rPr>
        <w:t>En este punto es necesario analizar los efectos del artículo 56 de la Ley 2195 de 2022, respecto de lo dispuesto en el artículo 2, numeral 4, de la Ley 1150 de 2007, particularmente, de lo establecido en el tercer inciso del literal c)</w:t>
      </w:r>
      <w:r w:rsidR="008E6056" w:rsidRPr="00112A89">
        <w:rPr>
          <w:rStyle w:val="Refdenotaalpie"/>
          <w:rFonts w:eastAsia="Calibri"/>
        </w:rPr>
        <w:footnoteReference w:id="20"/>
      </w:r>
      <w:r w:rsidR="008E6056" w:rsidRPr="00112A89">
        <w:rPr>
          <w:rFonts w:ascii="Arial" w:eastAsia="Calibri" w:hAnsi="Arial" w:cs="Arial"/>
          <w:bCs/>
          <w:sz w:val="22"/>
          <w:lang w:val="es-ES_tradnl"/>
        </w:rPr>
        <w:t xml:space="preserve">. Lo anterior por cuanto 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w:t>
      </w:r>
      <w:r w:rsidR="008E6056" w:rsidRPr="00112A89">
        <w:rPr>
          <w:rFonts w:ascii="Arial" w:eastAsia="Calibri" w:hAnsi="Arial" w:cs="Arial"/>
          <w:bCs/>
          <w:sz w:val="22"/>
          <w:lang w:val="es-ES_tradnl"/>
        </w:rPr>
        <w:lastRenderedPageBreak/>
        <w:t xml:space="preserve">ejecutora desarrollara su actividad en competencia con el sector privado, o cuando la ejecución del contrato tuviere relación directa con el desarrollo de su actividad, evento en los que se imponía el derecho privado. En ese sentido, en este último evento el tercer inciso del literal c) del artículo 2-4 de la Ley 1150 de 2007, daba pie a la aplicación de normas de derecho privado, lo que evidencia una aparente tensión entre este y el artículo 56 de la Ley 2195 de 2022, en lo que se refiere al régimen aplicable en estas situaciones, comoquiera </w:t>
      </w:r>
      <w:proofErr w:type="gramStart"/>
      <w:r w:rsidR="008E6056" w:rsidRPr="00112A89">
        <w:rPr>
          <w:rFonts w:ascii="Arial" w:eastAsia="Calibri" w:hAnsi="Arial" w:cs="Arial"/>
          <w:bCs/>
          <w:sz w:val="22"/>
          <w:lang w:val="es-ES_tradnl"/>
        </w:rPr>
        <w:t>que</w:t>
      </w:r>
      <w:proofErr w:type="gramEnd"/>
      <w:r w:rsidR="008E6056" w:rsidRPr="00112A89">
        <w:rPr>
          <w:rFonts w:ascii="Arial" w:eastAsia="Calibri" w:hAnsi="Arial" w:cs="Arial"/>
          <w:bCs/>
          <w:sz w:val="22"/>
          <w:lang w:val="es-ES_tradnl"/>
        </w:rPr>
        <w:t xml:space="preserve"> en estos eventos, al tenor de lo dispuesto en esta última norma, deben aplicarse el EGCAP y los documentos tipo. </w:t>
      </w:r>
    </w:p>
    <w:p w14:paraId="67596A57" w14:textId="77777777" w:rsidR="008E6056" w:rsidRPr="00112A89" w:rsidRDefault="008E6056" w:rsidP="008E6056">
      <w:pPr>
        <w:tabs>
          <w:tab w:val="left" w:pos="0"/>
        </w:tabs>
        <w:spacing w:after="120" w:line="276" w:lineRule="auto"/>
        <w:jc w:val="both"/>
        <w:rPr>
          <w:rFonts w:ascii="Arial" w:eastAsia="Calibri" w:hAnsi="Arial" w:cs="Arial"/>
          <w:bCs/>
          <w:sz w:val="22"/>
          <w:lang w:val="es-ES_tradnl"/>
        </w:rPr>
      </w:pPr>
      <w:r w:rsidRPr="00112A89">
        <w:rPr>
          <w:rFonts w:ascii="Arial" w:eastAsia="Calibri" w:hAnsi="Arial" w:cs="Arial"/>
          <w:bCs/>
          <w:sz w:val="22"/>
          <w:lang w:val="es-ES_tradnl"/>
        </w:rPr>
        <w:tab/>
        <w:t xml:space="preserve">Esto supone una aparente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establecen diferentes consecuencias jurídicas, ya que mientras que la primera norma dispone la aplicación del derecho privado, la última impone la aplicación de documentos tipo y del EGCAP. Esta aparente contradicción, necesariamente debe ser resuelta en favor del artículo 56 de la Ley 2195 de 2022, cuya aplicación debe ser privilegiada, al ser esta la norma expedida más recientemente. </w:t>
      </w:r>
    </w:p>
    <w:p w14:paraId="6C517E05" w14:textId="75D53F66" w:rsidR="008E6056" w:rsidRPr="00112A89" w:rsidRDefault="008E6056" w:rsidP="008E6056">
      <w:pPr>
        <w:tabs>
          <w:tab w:val="left" w:pos="0"/>
        </w:tabs>
        <w:spacing w:after="120" w:line="276" w:lineRule="auto"/>
        <w:jc w:val="both"/>
        <w:rPr>
          <w:rFonts w:ascii="Arial" w:eastAsia="Calibri" w:hAnsi="Arial" w:cs="Arial"/>
          <w:bCs/>
          <w:sz w:val="22"/>
          <w:lang w:val="es-ES_tradnl"/>
        </w:rPr>
      </w:pPr>
      <w:r w:rsidRPr="00112A89">
        <w:rPr>
          <w:rFonts w:ascii="Arial" w:eastAsia="Calibri" w:hAnsi="Arial" w:cs="Arial"/>
          <w:bCs/>
          <w:sz w:val="22"/>
          <w:lang w:val="es-ES_tradnl"/>
        </w:rPr>
        <w:tab/>
        <w:t>En efecto, tratándose de disposiciones de igual jerarquía normativa</w:t>
      </w:r>
      <w:r w:rsidRPr="00112A89">
        <w:rPr>
          <w:rStyle w:val="Refdenotaalpie"/>
          <w:rFonts w:eastAsia="Calibri"/>
        </w:rPr>
        <w:footnoteReference w:id="21"/>
      </w:r>
      <w:r w:rsidR="00F066B3" w:rsidRPr="00112A89">
        <w:rPr>
          <w:rFonts w:ascii="Arial" w:eastAsia="Calibri" w:hAnsi="Arial" w:cs="Arial"/>
          <w:bCs/>
          <w:sz w:val="22"/>
          <w:lang w:val="es-ES_tradnl"/>
        </w:rPr>
        <w:t xml:space="preserve"> </w:t>
      </w:r>
      <w:r w:rsidRPr="00112A89">
        <w:rPr>
          <w:rFonts w:ascii="Arial" w:eastAsia="Calibri" w:hAnsi="Arial" w:cs="Arial"/>
          <w:bCs/>
          <w:sz w:val="22"/>
          <w:lang w:val="es-ES_tradnl"/>
        </w:rPr>
        <w:t>–ambas son leyes ordinarias–, que coinciden en su ámbito de aplicación, debe colegirse 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De acuerdo con lo expuesto, los efectos de esta modificación no solo se proyectan a la celebración propiamente dicha del contrato o convenio entre la entidad sometida y la exceptuada, sino que se extienden a todos los contratos y procedimientos de selección que adelanten estos últimos en desarrollo de la relación primigenia, en los que deberán aplicarse el EGCAP y los documentos tipo vigentes</w:t>
      </w:r>
      <w:r w:rsidR="00F612AA" w:rsidRPr="00112A89">
        <w:rPr>
          <w:rFonts w:ascii="Arial" w:eastAsia="Calibri" w:hAnsi="Arial" w:cs="Arial"/>
          <w:bCs/>
          <w:sz w:val="22"/>
          <w:lang w:val="es-ES_tradnl"/>
        </w:rPr>
        <w:t xml:space="preserve">, </w:t>
      </w:r>
      <w:r w:rsidR="00F612AA" w:rsidRPr="00112A89">
        <w:rPr>
          <w:rFonts w:ascii="Arial" w:eastAsia="Calibri" w:hAnsi="Arial" w:cs="Arial"/>
          <w:color w:val="000000"/>
          <w:sz w:val="22"/>
          <w:szCs w:val="22"/>
          <w:lang w:val="es-ES_tradnl" w:eastAsia="es-ES"/>
        </w:rPr>
        <w:t>siempre que exista un documento tipo aplicable al objeto a contratar.</w:t>
      </w:r>
    </w:p>
    <w:p w14:paraId="0D5C6DAC" w14:textId="072A7482" w:rsidR="008E6056" w:rsidRPr="00112A89" w:rsidRDefault="008E6056" w:rsidP="008E6056">
      <w:pPr>
        <w:tabs>
          <w:tab w:val="left" w:pos="0"/>
        </w:tabs>
        <w:spacing w:after="120" w:line="276" w:lineRule="auto"/>
        <w:jc w:val="both"/>
        <w:rPr>
          <w:rFonts w:ascii="Arial" w:eastAsia="Calibri" w:hAnsi="Arial" w:cs="Arial"/>
          <w:bCs/>
          <w:sz w:val="22"/>
          <w:lang w:val="es-ES_tradnl"/>
        </w:rPr>
      </w:pPr>
      <w:r w:rsidRPr="00112A89">
        <w:rPr>
          <w:rFonts w:ascii="Arial" w:eastAsia="Calibri" w:hAnsi="Arial" w:cs="Arial"/>
          <w:bCs/>
          <w:sz w:val="22"/>
          <w:lang w:val="es-ES_tradnl"/>
        </w:rPr>
        <w:lastRenderedPageBreak/>
        <w:tab/>
        <w:t>En tales términos, de lo analizado hasta aquí es posible concluir que un efecto importante de la norma bajo estudio es la ampliación del ámbito de aplicación de los documentos tipo, al hacerlos obligatorios para unos sujetos que, en principio, de acuerdo con la Ley 2022 de 2020, no estarían sometidos a esos documentos. Para complementar esta medida, la disposición además hace extensiva la aplicación del EGCAP a esto</w:t>
      </w:r>
      <w:r w:rsidR="007428E9" w:rsidRPr="00112A89">
        <w:rPr>
          <w:rFonts w:ascii="Arial" w:eastAsia="Calibri" w:hAnsi="Arial" w:cs="Arial"/>
          <w:bCs/>
          <w:sz w:val="22"/>
          <w:lang w:val="es-ES_tradnl"/>
        </w:rPr>
        <w:t>s</w:t>
      </w:r>
      <w:r w:rsidRPr="00112A89">
        <w:rPr>
          <w:rFonts w:ascii="Arial" w:eastAsia="Calibri" w:hAnsi="Arial" w:cs="Arial"/>
          <w:bCs/>
          <w:sz w:val="22"/>
          <w:lang w:val="es-ES_tradnl"/>
        </w:rPr>
        <w:t xml:space="preserve">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w:t>
      </w:r>
    </w:p>
    <w:p w14:paraId="2DE809AC" w14:textId="3AADADEA" w:rsidR="008E6056" w:rsidRPr="00112A89" w:rsidRDefault="008E6056" w:rsidP="008E6056">
      <w:pPr>
        <w:tabs>
          <w:tab w:val="left" w:pos="0"/>
        </w:tabs>
        <w:spacing w:after="120" w:line="276" w:lineRule="auto"/>
        <w:jc w:val="both"/>
        <w:rPr>
          <w:rFonts w:ascii="Arial" w:eastAsia="Calibri" w:hAnsi="Arial" w:cs="Arial"/>
          <w:bCs/>
          <w:sz w:val="22"/>
          <w:lang w:val="es-ES_tradnl"/>
        </w:rPr>
      </w:pPr>
      <w:r w:rsidRPr="00112A89">
        <w:rPr>
          <w:rFonts w:ascii="Arial" w:eastAsia="Calibri" w:hAnsi="Arial" w:cs="Arial"/>
          <w:bCs/>
          <w:sz w:val="22"/>
          <w:lang w:val="es-ES_tradnl"/>
        </w:rPr>
        <w:tab/>
        <w:t xml:space="preserve">En este punto conviene precisar que, de conformidad con el artículo 56, el hecho de que una entidad exceptuada, un patrimonio autónomo, una persona natural o una persona jurídica, tenga suscrito un contrato o convenio con una entidad sometida al EGCAP, no significa que mute su régimen jurídico de manera permanente. Al respecto, de una lectura conjunta de los incisos primero y segundo se desprende que estos introducen el mandato de aplicación obligatoria del EGCAP por parte de los mencionados sujetos de régimen de derecho privado solo en lo referido a la subcontratación de bienes, obras y servicios relacionados con un contrato o convenio suscrito con una entidad sometida al EGCAP, siempre que exista documento tipo </w:t>
      </w:r>
      <w:r w:rsidR="00F066B3" w:rsidRPr="00112A89">
        <w:rPr>
          <w:rFonts w:ascii="Arial" w:eastAsia="Calibri" w:hAnsi="Arial" w:cs="Arial"/>
          <w:bCs/>
          <w:sz w:val="22"/>
          <w:lang w:val="es-ES_tradnl"/>
        </w:rPr>
        <w:t>aplicable al objeto contractual a ejecutar</w:t>
      </w:r>
      <w:r w:rsidRPr="00112A89">
        <w:rPr>
          <w:rFonts w:ascii="Arial" w:eastAsia="Calibri" w:hAnsi="Arial" w:cs="Arial"/>
          <w:bCs/>
          <w:sz w:val="22"/>
          <w:lang w:val="es-ES_tradnl"/>
        </w:rPr>
        <w:t xml:space="preserve">. Esto significa que los contratos no relacionados con los compromisos adquiridos con la entidad sometida al EGCAP no tendrían que aplicar el régimen contractual público ni los documentos tipo, salvo que quieran hacerlo como una buena práctica de contratación. </w:t>
      </w:r>
    </w:p>
    <w:p w14:paraId="39C7C913" w14:textId="3B5A3961" w:rsidR="008E6056" w:rsidRPr="00112A89" w:rsidRDefault="008E6056" w:rsidP="00FB2962">
      <w:pPr>
        <w:tabs>
          <w:tab w:val="left" w:pos="0"/>
        </w:tabs>
        <w:spacing w:after="120" w:line="276" w:lineRule="auto"/>
        <w:jc w:val="both"/>
        <w:rPr>
          <w:rFonts w:ascii="Arial" w:eastAsia="Calibri" w:hAnsi="Arial" w:cs="Arial"/>
          <w:bCs/>
          <w:sz w:val="22"/>
          <w:lang w:val="es-ES_tradnl"/>
        </w:rPr>
      </w:pPr>
      <w:r w:rsidRPr="00112A89">
        <w:rPr>
          <w:rFonts w:ascii="Arial" w:eastAsia="Calibri" w:hAnsi="Arial" w:cs="Arial"/>
          <w:bCs/>
          <w:sz w:val="22"/>
          <w:lang w:val="es-ES_tradnl"/>
        </w:rPr>
        <w:tab/>
        <w:t xml:space="preserve">De acuerdo con esto, respecto de la aplicación del EGCAP por parte de entidades exceptuadas y particulares, es necesario recalcar que, conforme se interpreta de la redacción de la norma, esta solo es obligatoria en los casos en los que el objeto contractual derivado que se pretende contratar esté cobijado y sometido a algún documento tipo. Esto significa que la aplicación del EGCAP solo será forzosa cuando existe un documento tipo que contempla bienes, obras y servicios dentro de las que se subsume la actividad a contratar por parte de la entidad de régimen especial, patrimonio autónomo o particular. Por ejemplo, si en cumplimiento de un convenio con una entidad sometida al EGCAP, un particular debe contratar el desarrollo de un software o la compra de unos buses, no estará obligado a seguirse por el EGCAP, al no </w:t>
      </w:r>
      <w:r w:rsidR="00A61488" w:rsidRPr="00112A89">
        <w:rPr>
          <w:rFonts w:ascii="Arial" w:eastAsia="Calibri" w:hAnsi="Arial" w:cs="Arial"/>
          <w:bCs/>
          <w:sz w:val="22"/>
          <w:lang w:val="es-ES_tradnl"/>
        </w:rPr>
        <w:t xml:space="preserve">estar cobijados estos </w:t>
      </w:r>
      <w:r w:rsidRPr="00112A89">
        <w:rPr>
          <w:rFonts w:ascii="Arial" w:eastAsia="Calibri" w:hAnsi="Arial" w:cs="Arial"/>
          <w:bCs/>
          <w:sz w:val="22"/>
          <w:lang w:val="es-ES_tradnl"/>
        </w:rPr>
        <w:t xml:space="preserve">objetos </w:t>
      </w:r>
      <w:r w:rsidR="00A61488" w:rsidRPr="00112A89">
        <w:rPr>
          <w:rFonts w:ascii="Arial" w:eastAsia="Calibri" w:hAnsi="Arial" w:cs="Arial"/>
          <w:bCs/>
          <w:sz w:val="22"/>
          <w:lang w:val="es-ES_tradnl"/>
        </w:rPr>
        <w:t>contractuales</w:t>
      </w:r>
      <w:r w:rsidRPr="00112A89">
        <w:rPr>
          <w:rFonts w:ascii="Arial" w:eastAsia="Calibri" w:hAnsi="Arial" w:cs="Arial"/>
          <w:bCs/>
          <w:sz w:val="22"/>
          <w:lang w:val="es-ES_tradnl"/>
        </w:rPr>
        <w:t xml:space="preserve"> por los documentos tipo vigentes, mientras que si lo que requiere, por ejemplo, es el mantenimiento o la rehabilitación de una vía secundaría, por el contrario</w:t>
      </w:r>
      <w:r w:rsidR="004E2F6E" w:rsidRPr="00112A89">
        <w:rPr>
          <w:rFonts w:ascii="Arial" w:eastAsia="Calibri" w:hAnsi="Arial" w:cs="Arial"/>
          <w:bCs/>
          <w:sz w:val="22"/>
          <w:lang w:val="es-ES_tradnl"/>
        </w:rPr>
        <w:t>,</w:t>
      </w:r>
      <w:r w:rsidRPr="00112A89">
        <w:rPr>
          <w:rFonts w:ascii="Arial" w:eastAsia="Calibri" w:hAnsi="Arial" w:cs="Arial"/>
          <w:bCs/>
          <w:sz w:val="22"/>
          <w:lang w:val="es-ES_tradnl"/>
        </w:rPr>
        <w:t xml:space="preserve"> sí estará sometido al EGCAP, al estar tales actividades incluidas dentro de los documentos tipo de infraestructura de </w:t>
      </w:r>
      <w:r w:rsidRPr="00112A89">
        <w:rPr>
          <w:rFonts w:ascii="Arial" w:eastAsia="Calibri" w:hAnsi="Arial" w:cs="Arial"/>
          <w:bCs/>
          <w:sz w:val="22"/>
          <w:lang w:val="es-ES_tradnl"/>
        </w:rPr>
        <w:lastRenderedPageBreak/>
        <w:t xml:space="preserve">transporte. Esto por supuesto puede cambiar si la Agencia, en el futuro, adopta más documentos tipo que incluyan los objetos mencionados. </w:t>
      </w:r>
    </w:p>
    <w:p w14:paraId="563EE759" w14:textId="612321CA" w:rsidR="0051690A" w:rsidRPr="00112A89" w:rsidRDefault="00A61488" w:rsidP="0051690A">
      <w:pPr>
        <w:spacing w:line="276" w:lineRule="auto"/>
        <w:ind w:firstLine="709"/>
        <w:jc w:val="both"/>
        <w:rPr>
          <w:rFonts w:ascii="Arial" w:eastAsia="Calibri" w:hAnsi="Arial" w:cs="Arial"/>
          <w:color w:val="000000"/>
          <w:sz w:val="22"/>
          <w:szCs w:val="22"/>
          <w:lang w:val="es-ES_tradnl" w:eastAsia="es-ES"/>
        </w:rPr>
      </w:pPr>
      <w:r w:rsidRPr="00112A89">
        <w:rPr>
          <w:rFonts w:ascii="Arial" w:eastAsia="Calibri" w:hAnsi="Arial" w:cs="Arial"/>
          <w:color w:val="000000"/>
          <w:sz w:val="22"/>
          <w:szCs w:val="22"/>
          <w:lang w:val="es-ES_tradnl" w:eastAsia="es-ES"/>
        </w:rPr>
        <w:t>Explicado lo anterior, conviene precisar que el artículo 56 de la Ley 2195 de 2022 estableció en su parágrafo que</w:t>
      </w:r>
      <w:r w:rsidR="005D6BD6" w:rsidRPr="00112A89">
        <w:rPr>
          <w:rFonts w:ascii="Arial" w:eastAsia="Calibri" w:hAnsi="Arial" w:cs="Arial"/>
          <w:color w:val="000000"/>
          <w:sz w:val="22"/>
          <w:szCs w:val="22"/>
          <w:lang w:val="es-ES_tradnl" w:eastAsia="es-ES"/>
        </w:rPr>
        <w:t xml:space="preserve">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fomentará como buena práctica la aplicación de los pliegos tipo».</w:t>
      </w:r>
      <w:r w:rsidR="00C836E9" w:rsidRPr="00112A89">
        <w:rPr>
          <w:rFonts w:ascii="Arial" w:eastAsia="Calibri" w:hAnsi="Arial" w:cs="Arial"/>
          <w:color w:val="000000"/>
          <w:sz w:val="22"/>
          <w:szCs w:val="22"/>
          <w:lang w:val="es-ES_tradnl" w:eastAsia="es-ES"/>
        </w:rPr>
        <w:t xml:space="preserve"> En los demás casos</w:t>
      </w:r>
      <w:r w:rsidR="00DB27BD" w:rsidRPr="00112A89">
        <w:rPr>
          <w:rFonts w:ascii="Arial" w:eastAsia="Calibri" w:hAnsi="Arial" w:cs="Arial"/>
          <w:color w:val="000000"/>
          <w:sz w:val="22"/>
          <w:szCs w:val="22"/>
          <w:lang w:val="es-ES_tradnl" w:eastAsia="es-ES"/>
        </w:rPr>
        <w:t xml:space="preserve"> no incluidos en esta excepción, si</w:t>
      </w:r>
      <w:r w:rsidR="00AE1D93" w:rsidRPr="00112A89">
        <w:rPr>
          <w:rFonts w:ascii="Arial" w:eastAsia="Calibri" w:hAnsi="Arial" w:cs="Arial"/>
          <w:color w:val="000000"/>
          <w:sz w:val="22"/>
          <w:szCs w:val="22"/>
          <w:lang w:val="es-ES_tradnl" w:eastAsia="es-ES"/>
        </w:rPr>
        <w:t xml:space="preserve"> </w:t>
      </w:r>
      <w:r w:rsidR="00DB27BD" w:rsidRPr="00112A89">
        <w:rPr>
          <w:rFonts w:ascii="Arial" w:eastAsia="Calibri" w:hAnsi="Arial" w:cs="Arial"/>
          <w:color w:val="000000"/>
          <w:sz w:val="22"/>
          <w:szCs w:val="22"/>
          <w:lang w:val="es-ES_tradnl" w:eastAsia="es-ES"/>
        </w:rPr>
        <w:t xml:space="preserve">una entidad estatal sometida al Estatuto General de Contratación de la Administración Pública celebra un </w:t>
      </w:r>
      <w:r w:rsidR="00AE1D93" w:rsidRPr="00112A89">
        <w:rPr>
          <w:rFonts w:ascii="Arial" w:eastAsia="Calibri" w:hAnsi="Arial" w:cs="Arial"/>
          <w:color w:val="000000"/>
          <w:sz w:val="22"/>
          <w:szCs w:val="22"/>
          <w:lang w:val="es-ES_tradnl" w:eastAsia="es-ES"/>
        </w:rPr>
        <w:t>contrato o convenio</w:t>
      </w:r>
      <w:r w:rsidR="00DB27BD" w:rsidRPr="00112A89">
        <w:rPr>
          <w:rFonts w:ascii="Arial" w:eastAsia="Calibri" w:hAnsi="Arial" w:cs="Arial"/>
          <w:color w:val="000000"/>
          <w:sz w:val="22"/>
          <w:szCs w:val="22"/>
          <w:lang w:val="es-ES_tradnl" w:eastAsia="es-ES"/>
        </w:rPr>
        <w:t xml:space="preserve"> con una</w:t>
      </w:r>
      <w:r w:rsidR="002E6089" w:rsidRPr="00112A89">
        <w:rPr>
          <w:rFonts w:ascii="Arial" w:eastAsia="Calibri" w:hAnsi="Arial" w:cs="Arial"/>
          <w:color w:val="000000"/>
          <w:sz w:val="22"/>
          <w:szCs w:val="22"/>
          <w:lang w:val="es-ES_tradnl" w:eastAsia="es-ES"/>
        </w:rPr>
        <w:t xml:space="preserve"> entidad</w:t>
      </w:r>
      <w:r w:rsidR="009C3FBB" w:rsidRPr="00112A89">
        <w:rPr>
          <w:rFonts w:ascii="Arial" w:eastAsia="Calibri" w:hAnsi="Arial" w:cs="Arial"/>
          <w:color w:val="000000"/>
          <w:sz w:val="22"/>
          <w:szCs w:val="22"/>
          <w:lang w:val="es-ES_tradnl" w:eastAsia="es-ES"/>
        </w:rPr>
        <w:t xml:space="preserve"> exceptuada</w:t>
      </w:r>
      <w:r w:rsidR="00520FCA" w:rsidRPr="00112A89">
        <w:rPr>
          <w:rFonts w:ascii="Arial" w:eastAsia="Calibri" w:hAnsi="Arial" w:cs="Arial"/>
          <w:color w:val="000000"/>
          <w:sz w:val="22"/>
          <w:szCs w:val="22"/>
          <w:lang w:val="es-ES_tradnl" w:eastAsia="es-ES"/>
        </w:rPr>
        <w:t xml:space="preserve">, </w:t>
      </w:r>
      <w:r w:rsidR="002A55D9" w:rsidRPr="00112A89">
        <w:rPr>
          <w:rFonts w:ascii="Arial" w:eastAsia="Calibri" w:hAnsi="Arial" w:cs="Arial"/>
          <w:color w:val="000000"/>
          <w:sz w:val="22"/>
          <w:szCs w:val="22"/>
          <w:lang w:val="es-ES_tradnl" w:eastAsia="es-ES"/>
        </w:rPr>
        <w:t xml:space="preserve">los procedimientos de selección y los contratos que la entidad exceptuada realice </w:t>
      </w:r>
      <w:r w:rsidR="00B1268D" w:rsidRPr="00112A89">
        <w:rPr>
          <w:rFonts w:ascii="Arial" w:eastAsia="Calibri" w:hAnsi="Arial" w:cs="Arial"/>
          <w:color w:val="000000"/>
          <w:sz w:val="22"/>
          <w:szCs w:val="22"/>
          <w:lang w:val="es-ES_tradnl" w:eastAsia="es-ES"/>
        </w:rPr>
        <w:t>para desarrollar el contrato o convenio suscrito con la entidad sometid</w:t>
      </w:r>
      <w:r w:rsidR="00520FCA" w:rsidRPr="00112A89">
        <w:rPr>
          <w:rFonts w:ascii="Arial" w:eastAsia="Calibri" w:hAnsi="Arial" w:cs="Arial"/>
          <w:color w:val="000000"/>
          <w:sz w:val="22"/>
          <w:szCs w:val="22"/>
          <w:lang w:val="es-ES_tradnl" w:eastAsia="es-ES"/>
        </w:rPr>
        <w:t>a</w:t>
      </w:r>
      <w:r w:rsidR="00B1268D" w:rsidRPr="00112A89">
        <w:rPr>
          <w:rFonts w:ascii="Arial" w:eastAsia="Calibri" w:hAnsi="Arial" w:cs="Arial"/>
          <w:color w:val="000000"/>
          <w:sz w:val="22"/>
          <w:szCs w:val="22"/>
          <w:lang w:val="es-ES_tradnl" w:eastAsia="es-ES"/>
        </w:rPr>
        <w:t xml:space="preserve"> </w:t>
      </w:r>
      <w:r w:rsidRPr="00112A89">
        <w:rPr>
          <w:rFonts w:ascii="Arial" w:eastAsia="Calibri" w:hAnsi="Arial" w:cs="Arial"/>
          <w:color w:val="000000"/>
          <w:sz w:val="22"/>
          <w:szCs w:val="22"/>
          <w:lang w:val="es-ES_tradnl" w:eastAsia="es-ES"/>
        </w:rPr>
        <w:t xml:space="preserve">también </w:t>
      </w:r>
      <w:r w:rsidR="00B1268D" w:rsidRPr="00112A89">
        <w:rPr>
          <w:rFonts w:ascii="Arial" w:eastAsia="Calibri" w:hAnsi="Arial" w:cs="Arial"/>
          <w:color w:val="000000"/>
          <w:sz w:val="22"/>
          <w:szCs w:val="22"/>
          <w:lang w:val="es-ES_tradnl" w:eastAsia="es-ES"/>
        </w:rPr>
        <w:t>se rigen por el Estatuto General de Contratación de la Administración Pública</w:t>
      </w:r>
      <w:r w:rsidR="0064089C" w:rsidRPr="00112A89">
        <w:rPr>
          <w:rFonts w:ascii="Arial" w:eastAsia="Calibri" w:hAnsi="Arial" w:cs="Arial"/>
          <w:color w:val="000000"/>
          <w:sz w:val="22"/>
          <w:szCs w:val="22"/>
          <w:lang w:val="es-ES_tradnl" w:eastAsia="es-ES"/>
        </w:rPr>
        <w:t xml:space="preserve"> y por los documentos tipo, </w:t>
      </w:r>
      <w:r w:rsidR="00EC5606" w:rsidRPr="00112A89">
        <w:rPr>
          <w:rFonts w:ascii="Arial" w:eastAsia="Calibri" w:hAnsi="Arial" w:cs="Arial"/>
          <w:color w:val="000000"/>
          <w:sz w:val="22"/>
          <w:szCs w:val="22"/>
          <w:lang w:val="es-ES_tradnl" w:eastAsia="es-ES"/>
        </w:rPr>
        <w:t xml:space="preserve">todo </w:t>
      </w:r>
      <w:r w:rsidR="0064089C" w:rsidRPr="00112A89">
        <w:rPr>
          <w:rFonts w:ascii="Arial" w:eastAsia="Calibri" w:hAnsi="Arial" w:cs="Arial"/>
          <w:color w:val="000000"/>
          <w:sz w:val="22"/>
          <w:szCs w:val="22"/>
          <w:lang w:val="es-ES_tradnl" w:eastAsia="es-ES"/>
        </w:rPr>
        <w:t>lo anterior, siempre que exista un documento tipo aplicable al objeto a contratar por parte de esta.</w:t>
      </w:r>
    </w:p>
    <w:p w14:paraId="55CE4B84" w14:textId="5F768B04" w:rsidR="008B4B94" w:rsidRPr="00112A89" w:rsidRDefault="0064089C" w:rsidP="00807A5C">
      <w:pPr>
        <w:spacing w:before="120" w:line="276" w:lineRule="auto"/>
        <w:ind w:firstLine="709"/>
        <w:jc w:val="both"/>
        <w:rPr>
          <w:rFonts w:ascii="Arial" w:eastAsia="Calibri" w:hAnsi="Arial" w:cs="Arial"/>
          <w:color w:val="000000"/>
          <w:sz w:val="22"/>
          <w:szCs w:val="22"/>
          <w:lang w:val="es-ES_tradnl" w:eastAsia="es-ES"/>
        </w:rPr>
      </w:pPr>
      <w:r w:rsidRPr="00112A89">
        <w:rPr>
          <w:rFonts w:ascii="Arial" w:eastAsia="Calibri" w:hAnsi="Arial" w:cs="Arial"/>
          <w:color w:val="000000"/>
          <w:sz w:val="22"/>
          <w:szCs w:val="22"/>
          <w:lang w:val="es-ES_tradnl" w:eastAsia="es-ES"/>
        </w:rPr>
        <w:t>De acuerdo con este contexto, se precisa que e</w:t>
      </w:r>
      <w:r w:rsidR="00807A5C" w:rsidRPr="00112A89">
        <w:rPr>
          <w:rFonts w:ascii="Arial" w:eastAsia="Calibri" w:hAnsi="Arial" w:cs="Arial"/>
          <w:color w:val="000000"/>
          <w:sz w:val="22"/>
          <w:szCs w:val="22"/>
          <w:lang w:val="es-ES_tradnl" w:eastAsia="es-ES"/>
        </w:rPr>
        <w:t xml:space="preserve">l artículo 56 de la Ley 2195 no </w:t>
      </w:r>
      <w:r w:rsidR="00F13A42" w:rsidRPr="00112A89">
        <w:rPr>
          <w:rFonts w:ascii="Arial" w:eastAsia="Calibri" w:hAnsi="Arial" w:cs="Arial"/>
          <w:color w:val="000000"/>
          <w:sz w:val="22"/>
          <w:szCs w:val="22"/>
          <w:lang w:val="es-ES_tradnl" w:eastAsia="es-ES"/>
        </w:rPr>
        <w:t>establece</w:t>
      </w:r>
      <w:r w:rsidR="00107C9F" w:rsidRPr="00112A89">
        <w:rPr>
          <w:rFonts w:ascii="Arial" w:eastAsia="Calibri" w:hAnsi="Arial" w:cs="Arial"/>
          <w:color w:val="000000"/>
          <w:sz w:val="22"/>
          <w:szCs w:val="22"/>
          <w:lang w:val="es-ES_tradnl" w:eastAsia="es-ES"/>
        </w:rPr>
        <w:t xml:space="preserve"> </w:t>
      </w:r>
      <w:r w:rsidR="002B4CF0" w:rsidRPr="00112A89">
        <w:rPr>
          <w:rFonts w:ascii="Arial" w:eastAsia="Calibri" w:hAnsi="Arial" w:cs="Arial"/>
          <w:color w:val="000000"/>
          <w:sz w:val="22"/>
          <w:szCs w:val="22"/>
          <w:lang w:val="es-ES_tradnl" w:eastAsia="es-ES"/>
        </w:rPr>
        <w:t xml:space="preserve">de forma general </w:t>
      </w:r>
      <w:r w:rsidR="00107C9F" w:rsidRPr="00112A89">
        <w:rPr>
          <w:rFonts w:ascii="Arial" w:eastAsia="Calibri" w:hAnsi="Arial" w:cs="Arial"/>
          <w:color w:val="000000"/>
          <w:sz w:val="22"/>
          <w:szCs w:val="22"/>
          <w:lang w:val="es-ES_tradnl" w:eastAsia="es-ES"/>
        </w:rPr>
        <w:t xml:space="preserve">que si una entidad con régimen especial </w:t>
      </w:r>
      <w:r w:rsidR="00A45464" w:rsidRPr="00112A89">
        <w:rPr>
          <w:rFonts w:ascii="Arial" w:eastAsia="Calibri" w:hAnsi="Arial" w:cs="Arial"/>
          <w:color w:val="000000"/>
          <w:sz w:val="22"/>
          <w:szCs w:val="22"/>
          <w:lang w:val="es-ES_tradnl" w:eastAsia="es-ES"/>
        </w:rPr>
        <w:t>lleva</w:t>
      </w:r>
      <w:r w:rsidR="00107C9F" w:rsidRPr="00112A89">
        <w:rPr>
          <w:rFonts w:ascii="Arial" w:eastAsia="Calibri" w:hAnsi="Arial" w:cs="Arial"/>
          <w:color w:val="000000"/>
          <w:sz w:val="22"/>
          <w:szCs w:val="22"/>
          <w:lang w:val="es-ES_tradnl" w:eastAsia="es-ES"/>
        </w:rPr>
        <w:t xml:space="preserve"> a cabo un procedimiento de selección con un</w:t>
      </w:r>
      <w:r w:rsidR="00875AC6" w:rsidRPr="00112A89">
        <w:rPr>
          <w:rFonts w:ascii="Arial" w:eastAsia="Calibri" w:hAnsi="Arial" w:cs="Arial"/>
          <w:color w:val="000000"/>
          <w:sz w:val="22"/>
          <w:szCs w:val="22"/>
          <w:lang w:val="es-ES_tradnl" w:eastAsia="es-ES"/>
        </w:rPr>
        <w:t xml:space="preserve"> particular</w:t>
      </w:r>
      <w:r w:rsidR="0032196D" w:rsidRPr="00112A89">
        <w:rPr>
          <w:rFonts w:ascii="Arial" w:eastAsia="Calibri" w:hAnsi="Arial" w:cs="Arial"/>
          <w:color w:val="000000"/>
          <w:sz w:val="22"/>
          <w:szCs w:val="22"/>
          <w:lang w:val="es-ES_tradnl" w:eastAsia="es-ES"/>
        </w:rPr>
        <w:t xml:space="preserve"> </w:t>
      </w:r>
      <w:r w:rsidR="007913E3" w:rsidRPr="00112A89">
        <w:rPr>
          <w:rFonts w:ascii="Arial" w:eastAsia="Calibri" w:hAnsi="Arial" w:cs="Arial"/>
          <w:color w:val="000000"/>
          <w:sz w:val="22"/>
          <w:szCs w:val="22"/>
          <w:lang w:val="es-ES_tradnl" w:eastAsia="es-ES"/>
        </w:rPr>
        <w:t xml:space="preserve">debe </w:t>
      </w:r>
      <w:r w:rsidR="001411A6" w:rsidRPr="00112A89">
        <w:rPr>
          <w:rFonts w:ascii="Arial" w:eastAsia="Calibri" w:hAnsi="Arial" w:cs="Arial"/>
          <w:color w:val="000000"/>
          <w:sz w:val="22"/>
          <w:szCs w:val="22"/>
          <w:lang w:val="es-ES_tradnl" w:eastAsia="es-ES"/>
        </w:rPr>
        <w:t>apli</w:t>
      </w:r>
      <w:r w:rsidR="007913E3" w:rsidRPr="00112A89">
        <w:rPr>
          <w:rFonts w:ascii="Arial" w:eastAsia="Calibri" w:hAnsi="Arial" w:cs="Arial"/>
          <w:color w:val="000000"/>
          <w:sz w:val="22"/>
          <w:szCs w:val="22"/>
          <w:lang w:val="es-ES_tradnl" w:eastAsia="es-ES"/>
        </w:rPr>
        <w:t>car</w:t>
      </w:r>
      <w:r w:rsidR="001411A6" w:rsidRPr="00112A89">
        <w:rPr>
          <w:rFonts w:ascii="Arial" w:eastAsia="Calibri" w:hAnsi="Arial" w:cs="Arial"/>
          <w:color w:val="000000"/>
          <w:sz w:val="22"/>
          <w:szCs w:val="22"/>
          <w:lang w:val="es-ES_tradnl" w:eastAsia="es-ES"/>
        </w:rPr>
        <w:t xml:space="preserve"> los documentos tipo</w:t>
      </w:r>
      <w:r w:rsidR="007E36C1" w:rsidRPr="00112A89">
        <w:rPr>
          <w:rFonts w:ascii="Arial" w:eastAsia="Calibri" w:hAnsi="Arial" w:cs="Arial"/>
          <w:color w:val="000000"/>
          <w:sz w:val="22"/>
          <w:szCs w:val="22"/>
          <w:lang w:val="es-ES_tradnl" w:eastAsia="es-ES"/>
        </w:rPr>
        <w:t xml:space="preserve">. La causa jurídica que activa la aplicación del mandato contenido en el mencionado artículo es la celebración </w:t>
      </w:r>
      <w:r w:rsidR="007913E3" w:rsidRPr="00112A89">
        <w:rPr>
          <w:rFonts w:ascii="Arial" w:eastAsia="Calibri" w:hAnsi="Arial" w:cs="Arial"/>
          <w:color w:val="000000"/>
          <w:sz w:val="22"/>
          <w:szCs w:val="22"/>
          <w:lang w:val="es-ES_tradnl" w:eastAsia="es-ES"/>
        </w:rPr>
        <w:t xml:space="preserve">de </w:t>
      </w:r>
      <w:r w:rsidR="007E36C1" w:rsidRPr="00112A89">
        <w:rPr>
          <w:rFonts w:ascii="Arial" w:eastAsia="Calibri" w:hAnsi="Arial" w:cs="Arial"/>
          <w:color w:val="000000"/>
          <w:sz w:val="22"/>
          <w:szCs w:val="22"/>
          <w:lang w:val="es-ES_tradnl" w:eastAsia="es-ES"/>
        </w:rPr>
        <w:t xml:space="preserve">«contratos o convenios interadministrativos o de cualquier otra índole» con una entidad estatal sometida al Estatuto General de Contratación de la Administración Pública. Si no se </w:t>
      </w:r>
      <w:r w:rsidR="00557A05" w:rsidRPr="00112A89">
        <w:rPr>
          <w:rFonts w:ascii="Arial" w:eastAsia="Calibri" w:hAnsi="Arial" w:cs="Arial"/>
          <w:color w:val="000000"/>
          <w:sz w:val="22"/>
          <w:szCs w:val="22"/>
          <w:lang w:val="es-ES_tradnl" w:eastAsia="es-ES"/>
        </w:rPr>
        <w:t>presenta</w:t>
      </w:r>
      <w:r w:rsidR="007E36C1" w:rsidRPr="00112A89">
        <w:rPr>
          <w:rFonts w:ascii="Arial" w:eastAsia="Calibri" w:hAnsi="Arial" w:cs="Arial"/>
          <w:color w:val="000000"/>
          <w:sz w:val="22"/>
          <w:szCs w:val="22"/>
          <w:lang w:val="es-ES_tradnl" w:eastAsia="es-ES"/>
        </w:rPr>
        <w:t xml:space="preserve"> este supuesto, no puede </w:t>
      </w:r>
      <w:r w:rsidR="007913E3" w:rsidRPr="00112A89">
        <w:rPr>
          <w:rFonts w:ascii="Arial" w:eastAsia="Calibri" w:hAnsi="Arial" w:cs="Arial"/>
          <w:color w:val="000000"/>
          <w:sz w:val="22"/>
          <w:szCs w:val="22"/>
          <w:lang w:val="es-ES_tradnl" w:eastAsia="es-ES"/>
        </w:rPr>
        <w:t>darse</w:t>
      </w:r>
      <w:r w:rsidR="007E36C1" w:rsidRPr="00112A89">
        <w:rPr>
          <w:rFonts w:ascii="Arial" w:eastAsia="Calibri" w:hAnsi="Arial" w:cs="Arial"/>
          <w:color w:val="000000"/>
          <w:sz w:val="22"/>
          <w:szCs w:val="22"/>
          <w:lang w:val="es-ES_tradnl" w:eastAsia="es-ES"/>
        </w:rPr>
        <w:t xml:space="preserve"> la consecuencia jurídica</w:t>
      </w:r>
      <w:r w:rsidR="00EB12E2" w:rsidRPr="00112A89">
        <w:rPr>
          <w:rFonts w:ascii="Arial" w:eastAsia="Calibri" w:hAnsi="Arial" w:cs="Arial"/>
          <w:color w:val="000000"/>
          <w:sz w:val="22"/>
          <w:szCs w:val="22"/>
          <w:lang w:val="es-ES_tradnl" w:eastAsia="es-ES"/>
        </w:rPr>
        <w:t xml:space="preserve"> contenida en él</w:t>
      </w:r>
      <w:r w:rsidR="007913E3" w:rsidRPr="00112A89">
        <w:rPr>
          <w:rFonts w:ascii="Arial" w:eastAsia="Calibri" w:hAnsi="Arial" w:cs="Arial"/>
          <w:color w:val="000000"/>
          <w:sz w:val="22"/>
          <w:szCs w:val="22"/>
          <w:lang w:val="es-ES_tradnl" w:eastAsia="es-ES"/>
        </w:rPr>
        <w:t xml:space="preserve">. Por ende, en aquellos eventos en los cuales no se presente el caso previsto en el artículo 56 y una entidad exceptuada </w:t>
      </w:r>
      <w:r w:rsidR="004E2F6E" w:rsidRPr="00112A89">
        <w:rPr>
          <w:rFonts w:ascii="Arial" w:eastAsia="Calibri" w:hAnsi="Arial" w:cs="Arial"/>
          <w:color w:val="000000"/>
          <w:sz w:val="22"/>
          <w:szCs w:val="22"/>
          <w:lang w:val="es-ES_tradnl" w:eastAsia="es-ES"/>
        </w:rPr>
        <w:t>adelante</w:t>
      </w:r>
      <w:r w:rsidR="007913E3" w:rsidRPr="00112A89">
        <w:rPr>
          <w:rFonts w:ascii="Arial" w:eastAsia="Calibri" w:hAnsi="Arial" w:cs="Arial"/>
          <w:color w:val="000000"/>
          <w:sz w:val="22"/>
          <w:szCs w:val="22"/>
          <w:lang w:val="es-ES_tradnl" w:eastAsia="es-ES"/>
        </w:rPr>
        <w:t xml:space="preserve"> un procedimiento de selección, podrá aplicar su ma</w:t>
      </w:r>
      <w:r w:rsidR="007A687F" w:rsidRPr="00112A89">
        <w:rPr>
          <w:rFonts w:ascii="Arial" w:eastAsia="Calibri" w:hAnsi="Arial" w:cs="Arial"/>
          <w:color w:val="000000"/>
          <w:sz w:val="22"/>
          <w:szCs w:val="22"/>
          <w:lang w:val="es-ES_tradnl" w:eastAsia="es-ES"/>
        </w:rPr>
        <w:t>n</w:t>
      </w:r>
      <w:r w:rsidR="007913E3" w:rsidRPr="00112A89">
        <w:rPr>
          <w:rFonts w:ascii="Arial" w:eastAsia="Calibri" w:hAnsi="Arial" w:cs="Arial"/>
          <w:color w:val="000000"/>
          <w:sz w:val="22"/>
          <w:szCs w:val="22"/>
          <w:lang w:val="es-ES_tradnl" w:eastAsia="es-ES"/>
        </w:rPr>
        <w:t>ual interno de contratación</w:t>
      </w:r>
      <w:r w:rsidR="007A687F" w:rsidRPr="00112A89">
        <w:rPr>
          <w:rFonts w:ascii="Arial" w:eastAsia="Calibri" w:hAnsi="Arial" w:cs="Arial"/>
          <w:color w:val="000000"/>
          <w:sz w:val="22"/>
          <w:szCs w:val="22"/>
          <w:lang w:val="es-ES_tradnl" w:eastAsia="es-ES"/>
        </w:rPr>
        <w:t xml:space="preserve"> e igualmente el contrato se regirá por el derecho privado –y por las reglas y principios del derecho público</w:t>
      </w:r>
      <w:r w:rsidR="008B4B94" w:rsidRPr="00112A89">
        <w:rPr>
          <w:rFonts w:ascii="Arial" w:eastAsia="Calibri" w:hAnsi="Arial" w:cs="Arial"/>
          <w:color w:val="000000"/>
          <w:sz w:val="22"/>
          <w:szCs w:val="22"/>
          <w:lang w:val="es-ES_tradnl" w:eastAsia="es-ES"/>
        </w:rPr>
        <w:t xml:space="preserve"> que son transversales a la contratación estatal–.</w:t>
      </w:r>
    </w:p>
    <w:p w14:paraId="50D03C1E" w14:textId="3A0B3602" w:rsidR="00807A5C" w:rsidRPr="00112A89" w:rsidRDefault="00915C17" w:rsidP="00807A5C">
      <w:pPr>
        <w:spacing w:before="120" w:line="276" w:lineRule="auto"/>
        <w:ind w:firstLine="709"/>
        <w:jc w:val="both"/>
        <w:rPr>
          <w:rFonts w:ascii="Arial" w:eastAsia="Calibri" w:hAnsi="Arial" w:cs="Arial"/>
          <w:color w:val="000000"/>
          <w:sz w:val="22"/>
          <w:szCs w:val="22"/>
          <w:lang w:val="es-ES_tradnl" w:eastAsia="es-ES"/>
        </w:rPr>
      </w:pPr>
      <w:r w:rsidRPr="00112A89">
        <w:rPr>
          <w:rFonts w:ascii="Arial" w:eastAsia="Calibri" w:hAnsi="Arial" w:cs="Arial"/>
          <w:color w:val="000000"/>
          <w:sz w:val="22"/>
          <w:szCs w:val="22"/>
          <w:lang w:val="es-ES_tradnl" w:eastAsia="es-ES"/>
        </w:rPr>
        <w:t>S</w:t>
      </w:r>
      <w:r w:rsidR="008B4B94" w:rsidRPr="00112A89">
        <w:rPr>
          <w:rFonts w:ascii="Arial" w:eastAsia="Calibri" w:hAnsi="Arial" w:cs="Arial"/>
          <w:color w:val="000000"/>
          <w:sz w:val="22"/>
          <w:szCs w:val="22"/>
          <w:lang w:val="es-ES_tradnl" w:eastAsia="es-ES"/>
        </w:rPr>
        <w:t xml:space="preserve">e </w:t>
      </w:r>
      <w:r w:rsidR="00A766DA" w:rsidRPr="00112A89">
        <w:rPr>
          <w:rFonts w:ascii="Arial" w:eastAsia="Calibri" w:hAnsi="Arial" w:cs="Arial"/>
          <w:color w:val="000000"/>
          <w:sz w:val="22"/>
          <w:szCs w:val="22"/>
          <w:lang w:val="es-ES_tradnl" w:eastAsia="es-ES"/>
        </w:rPr>
        <w:t>aclara</w:t>
      </w:r>
      <w:r w:rsidR="008B4B94" w:rsidRPr="00112A89">
        <w:rPr>
          <w:rFonts w:ascii="Arial" w:eastAsia="Calibri" w:hAnsi="Arial" w:cs="Arial"/>
          <w:color w:val="000000"/>
          <w:sz w:val="22"/>
          <w:szCs w:val="22"/>
          <w:lang w:val="es-ES_tradnl" w:eastAsia="es-ES"/>
        </w:rPr>
        <w:t xml:space="preserve"> que el artículo 56 de la Ley 2195 de 2022 no definió un período de transición. Más aún, el artículo </w:t>
      </w:r>
      <w:r w:rsidR="00B4738E" w:rsidRPr="00112A89">
        <w:rPr>
          <w:rFonts w:ascii="Arial" w:eastAsia="Calibri" w:hAnsi="Arial" w:cs="Arial"/>
          <w:color w:val="000000"/>
          <w:sz w:val="22"/>
          <w:szCs w:val="22"/>
          <w:lang w:val="es-ES_tradnl" w:eastAsia="es-ES"/>
        </w:rPr>
        <w:t xml:space="preserve">69 de la misma Ley dice que esta «rige a partir de su promulgación». </w:t>
      </w:r>
      <w:r w:rsidR="005E3D22" w:rsidRPr="00112A89">
        <w:rPr>
          <w:rFonts w:ascii="Arial" w:eastAsia="Calibri" w:hAnsi="Arial" w:cs="Arial"/>
          <w:color w:val="000000"/>
          <w:sz w:val="22"/>
          <w:szCs w:val="22"/>
          <w:lang w:val="es-ES_tradnl" w:eastAsia="es-ES"/>
        </w:rPr>
        <w:t>Por tanto, ha de considerarse que el artículo 56 se encuentra vigente. Esto sin perjuicio de lo que establece el</w:t>
      </w:r>
      <w:r w:rsidR="00387C75" w:rsidRPr="00112A89">
        <w:rPr>
          <w:rFonts w:ascii="Arial" w:eastAsia="Calibri" w:hAnsi="Arial" w:cs="Arial"/>
          <w:color w:val="000000"/>
          <w:sz w:val="22"/>
          <w:szCs w:val="22"/>
          <w:lang w:val="es-ES_tradnl" w:eastAsia="es-ES"/>
        </w:rPr>
        <w:t xml:space="preserve"> inciso</w:t>
      </w:r>
      <w:r w:rsidR="00547E10" w:rsidRPr="00112A89">
        <w:rPr>
          <w:rFonts w:ascii="Arial" w:eastAsia="Calibri" w:hAnsi="Arial" w:cs="Arial"/>
          <w:color w:val="000000"/>
          <w:sz w:val="22"/>
          <w:szCs w:val="22"/>
          <w:lang w:val="es-ES_tradnl" w:eastAsia="es-ES"/>
        </w:rPr>
        <w:t xml:space="preserve"> cuarto</w:t>
      </w:r>
      <w:r w:rsidR="00387C75" w:rsidRPr="00112A89">
        <w:rPr>
          <w:rFonts w:ascii="Arial" w:eastAsia="Calibri" w:hAnsi="Arial" w:cs="Arial"/>
          <w:color w:val="000000"/>
          <w:sz w:val="22"/>
          <w:szCs w:val="22"/>
          <w:lang w:val="es-ES_tradnl" w:eastAsia="es-ES"/>
        </w:rPr>
        <w:t xml:space="preserve"> del parágrafo 7 del artículo 2 de la Ley 1150 de 2007, al señalar que «La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r w:rsidR="0064089C" w:rsidRPr="00112A89">
        <w:rPr>
          <w:rFonts w:ascii="Arial" w:eastAsia="Calibri" w:hAnsi="Arial" w:cs="Arial"/>
          <w:color w:val="000000"/>
          <w:sz w:val="22"/>
          <w:szCs w:val="22"/>
          <w:lang w:val="es-ES_tradnl" w:eastAsia="es-ES"/>
        </w:rPr>
        <w:t xml:space="preserve"> En este sentido, actualmente aplica el deber establecido en el artículo 56 de la Ley 2195 de 202</w:t>
      </w:r>
      <w:r w:rsidR="00081D29" w:rsidRPr="00112A89">
        <w:rPr>
          <w:rFonts w:ascii="Arial" w:eastAsia="Calibri" w:hAnsi="Arial" w:cs="Arial"/>
          <w:color w:val="000000"/>
          <w:sz w:val="22"/>
          <w:szCs w:val="22"/>
          <w:lang w:val="es-ES_tradnl" w:eastAsia="es-ES"/>
        </w:rPr>
        <w:t>2</w:t>
      </w:r>
      <w:r w:rsidR="0064089C" w:rsidRPr="00112A89">
        <w:rPr>
          <w:rFonts w:ascii="Arial" w:eastAsia="Calibri" w:hAnsi="Arial" w:cs="Arial"/>
          <w:color w:val="000000"/>
          <w:sz w:val="22"/>
          <w:szCs w:val="22"/>
          <w:lang w:val="es-ES_tradnl" w:eastAsia="es-ES"/>
        </w:rPr>
        <w:t>.</w:t>
      </w:r>
    </w:p>
    <w:p w14:paraId="0DCCF476" w14:textId="3A0C8D97" w:rsidR="00915C17" w:rsidRPr="00112A89" w:rsidRDefault="00915C17" w:rsidP="00915C17">
      <w:pPr>
        <w:spacing w:before="120" w:line="276" w:lineRule="auto"/>
        <w:ind w:firstLine="709"/>
        <w:jc w:val="both"/>
        <w:rPr>
          <w:rFonts w:ascii="Arial" w:eastAsia="Calibri" w:hAnsi="Arial" w:cs="Arial"/>
          <w:color w:val="000000" w:themeColor="text1"/>
          <w:sz w:val="22"/>
          <w:szCs w:val="22"/>
        </w:rPr>
      </w:pPr>
      <w:r w:rsidRPr="00112A89">
        <w:rPr>
          <w:rFonts w:ascii="Arial" w:eastAsia="Calibri" w:hAnsi="Arial" w:cs="Arial"/>
          <w:color w:val="000000" w:themeColor="text1"/>
          <w:sz w:val="22"/>
          <w:szCs w:val="22"/>
        </w:rPr>
        <w:lastRenderedPageBreak/>
        <w:t>Finalmente, en relación con las preguntas contenidas en la consulta, conviene señalar, por tanto, que el artículo 56 de la Ley 2195 de 2022 emplea la expresión «</w:t>
      </w:r>
      <w:r w:rsidRPr="00112A89">
        <w:rPr>
          <w:rFonts w:ascii="Arial" w:eastAsia="Calibri" w:hAnsi="Arial" w:cs="Arial"/>
          <w:i/>
          <w:iCs/>
          <w:color w:val="000000" w:themeColor="text1"/>
          <w:sz w:val="22"/>
          <w:szCs w:val="22"/>
        </w:rPr>
        <w:t>contratos o convenios interadministrativos o de cualquier otra índole</w:t>
      </w:r>
      <w:r w:rsidRPr="00112A89">
        <w:rPr>
          <w:rFonts w:ascii="Arial" w:eastAsia="Calibri" w:hAnsi="Arial" w:cs="Arial"/>
          <w:color w:val="000000" w:themeColor="text1"/>
          <w:sz w:val="22"/>
          <w:szCs w:val="22"/>
        </w:rPr>
        <w:t xml:space="preserve">» (énfasis fuera de texto), para establecer que si estos se celebran por las entidades estatales sometidas al Estatuto General de Contratación de la Administración Publica «con otra entidad estatal o con patrimonios autónomos o con personas naturales o jurídicas de derecho privado, cuyo régimen de contratación sea especial o de derecho privado» deben aplicar los documentos tipo adoptados por la Agencia Nacional de Contratación Pública – Colombia Compra Eficiente. De igual manera, el segundo inciso del artículo </w:t>
      </w:r>
      <w:r w:rsidRPr="00112A89">
        <w:rPr>
          <w:rFonts w:ascii="Arial" w:eastAsia="Calibri" w:hAnsi="Arial" w:cs="Arial"/>
          <w:i/>
          <w:iCs/>
          <w:color w:val="000000" w:themeColor="text1"/>
          <w:sz w:val="22"/>
          <w:szCs w:val="22"/>
        </w:rPr>
        <w:t>ibídem</w:t>
      </w:r>
      <w:r w:rsidRPr="00112A89">
        <w:rPr>
          <w:rFonts w:ascii="Arial" w:eastAsia="Calibri" w:hAnsi="Arial" w:cs="Arial"/>
          <w:color w:val="000000" w:themeColor="text1"/>
          <w:sz w:val="22"/>
          <w:szCs w:val="22"/>
        </w:rPr>
        <w:t xml:space="preserve"> señala que «Los procedimientos de selección y los contratos que realicen </w:t>
      </w:r>
      <w:r w:rsidRPr="00112A89">
        <w:rPr>
          <w:rFonts w:ascii="Arial" w:eastAsia="Calibri" w:hAnsi="Arial" w:cs="Arial"/>
          <w:i/>
          <w:iCs/>
          <w:color w:val="000000" w:themeColor="text1"/>
          <w:sz w:val="22"/>
          <w:szCs w:val="22"/>
        </w:rPr>
        <w:t>en desarrollo de los anteriores negocios jurídicos</w:t>
      </w:r>
      <w:r w:rsidRPr="00112A89">
        <w:rPr>
          <w:rFonts w:ascii="Arial" w:eastAsia="Calibri" w:hAnsi="Arial" w:cs="Arial"/>
          <w:color w:val="000000" w:themeColor="text1"/>
          <w:sz w:val="22"/>
          <w:szCs w:val="22"/>
        </w:rPr>
        <w:t xml:space="preserve">, donde apliquen los documentos tipo se regirán por el Estatuto General de Contratación de la Administración Publica» (énfasis fuera de texto). Pues bien, al ser los </w:t>
      </w:r>
      <w:r w:rsidRPr="00112A89">
        <w:rPr>
          <w:rFonts w:ascii="Arial" w:eastAsia="Calibri" w:hAnsi="Arial" w:cs="Arial"/>
          <w:i/>
          <w:iCs/>
          <w:color w:val="000000" w:themeColor="text1"/>
          <w:sz w:val="22"/>
          <w:szCs w:val="22"/>
        </w:rPr>
        <w:t>convenios solidarios</w:t>
      </w:r>
      <w:r w:rsidRPr="00112A89">
        <w:rPr>
          <w:rFonts w:ascii="Arial" w:eastAsia="Calibri" w:hAnsi="Arial" w:cs="Arial"/>
          <w:color w:val="000000" w:themeColor="text1"/>
          <w:sz w:val="22"/>
          <w:szCs w:val="22"/>
        </w:rPr>
        <w:t xml:space="preserve"> –regulados en los artículos 63 y 95 de la Ley 2166 de 2021 y en sus normas complementarias–, precisamente, «</w:t>
      </w:r>
      <w:r w:rsidRPr="00112A89">
        <w:rPr>
          <w:rFonts w:ascii="Arial" w:eastAsia="Calibri" w:hAnsi="Arial" w:cs="Arial"/>
          <w:i/>
          <w:iCs/>
          <w:color w:val="000000" w:themeColor="text1"/>
          <w:sz w:val="22"/>
          <w:szCs w:val="22"/>
        </w:rPr>
        <w:t>contratos o convenios […]</w:t>
      </w:r>
      <w:r w:rsidRPr="00112A89">
        <w:rPr>
          <w:rFonts w:ascii="Arial" w:eastAsia="Calibri" w:hAnsi="Arial" w:cs="Arial"/>
          <w:color w:val="000000" w:themeColor="text1"/>
          <w:sz w:val="22"/>
          <w:szCs w:val="22"/>
        </w:rPr>
        <w:t xml:space="preserve"> </w:t>
      </w:r>
      <w:r w:rsidRPr="00112A89">
        <w:rPr>
          <w:rFonts w:ascii="Arial" w:eastAsia="Calibri" w:hAnsi="Arial" w:cs="Arial"/>
          <w:i/>
          <w:iCs/>
          <w:color w:val="000000" w:themeColor="text1"/>
          <w:sz w:val="22"/>
          <w:szCs w:val="22"/>
        </w:rPr>
        <w:t>de cualquier otra índole</w:t>
      </w:r>
      <w:r w:rsidRPr="00112A89">
        <w:rPr>
          <w:rFonts w:ascii="Arial" w:eastAsia="Calibri" w:hAnsi="Arial" w:cs="Arial"/>
          <w:color w:val="000000" w:themeColor="text1"/>
          <w:sz w:val="22"/>
          <w:szCs w:val="22"/>
        </w:rPr>
        <w:t>», se puede interpretar con claridad que estos negocios jurídicos ingresan en el campo de aplicación del artículo 56 de la Ley 2195 de 2022, pues se adecuan al supuesto normativo previsto en el primer inciso de este.</w:t>
      </w:r>
    </w:p>
    <w:p w14:paraId="3BEC98E7" w14:textId="33C411D7" w:rsidR="00915C17" w:rsidRPr="00112A89" w:rsidRDefault="00915C17" w:rsidP="00915C17">
      <w:pPr>
        <w:spacing w:before="120" w:line="276" w:lineRule="auto"/>
        <w:ind w:firstLine="709"/>
        <w:jc w:val="both"/>
        <w:rPr>
          <w:rFonts w:ascii="Arial" w:eastAsia="Calibri" w:hAnsi="Arial" w:cs="Arial"/>
          <w:color w:val="000000" w:themeColor="text1"/>
          <w:sz w:val="22"/>
          <w:szCs w:val="22"/>
        </w:rPr>
      </w:pPr>
      <w:r w:rsidRPr="00112A89">
        <w:rPr>
          <w:rFonts w:ascii="Arial" w:eastAsia="Calibri" w:hAnsi="Arial" w:cs="Arial"/>
          <w:color w:val="000000" w:themeColor="text1"/>
          <w:sz w:val="22"/>
          <w:szCs w:val="22"/>
        </w:rPr>
        <w:t>En armonía con lo expresado anteriormente, si una entidad estatal sometida al Estatuto General de Contratación de la Administración Pública pretende celebrar un convenio solidario con un organismo de acción comunal y sobre el objeto del contrato la Agencia Nacional de Contratación Pública – Colombia Compra Eficiente ha adoptado un documento tipo, este se debe aplicar para la suscripción del convenio solidario, sin importar el régimen jurídico de los organismos de acción comunal. Por tanto, los contratos que se realicen en ejecución de los convenios solidarios para adquirir bienes y servicios, siempre que en dichos convenios rijan los documentos tipo, deberán</w:t>
      </w:r>
      <w:r w:rsidR="00991638" w:rsidRPr="00112A89">
        <w:rPr>
          <w:rFonts w:ascii="Arial" w:eastAsia="Calibri" w:hAnsi="Arial" w:cs="Arial"/>
          <w:color w:val="000000" w:themeColor="text1"/>
          <w:sz w:val="22"/>
          <w:szCs w:val="22"/>
        </w:rPr>
        <w:t>,</w:t>
      </w:r>
      <w:r w:rsidRPr="00112A89">
        <w:rPr>
          <w:rFonts w:ascii="Arial" w:eastAsia="Calibri" w:hAnsi="Arial" w:cs="Arial"/>
          <w:color w:val="000000" w:themeColor="text1"/>
          <w:sz w:val="22"/>
          <w:szCs w:val="22"/>
        </w:rPr>
        <w:t xml:space="preserve"> además</w:t>
      </w:r>
      <w:r w:rsidR="00991638" w:rsidRPr="00112A89">
        <w:rPr>
          <w:rFonts w:ascii="Arial" w:eastAsia="Calibri" w:hAnsi="Arial" w:cs="Arial"/>
          <w:color w:val="000000" w:themeColor="text1"/>
          <w:sz w:val="22"/>
          <w:szCs w:val="22"/>
        </w:rPr>
        <w:t>,</w:t>
      </w:r>
      <w:r w:rsidRPr="00112A89">
        <w:rPr>
          <w:rFonts w:ascii="Arial" w:eastAsia="Calibri" w:hAnsi="Arial" w:cs="Arial"/>
          <w:color w:val="000000" w:themeColor="text1"/>
          <w:sz w:val="22"/>
          <w:szCs w:val="22"/>
        </w:rPr>
        <w:t xml:space="preserve"> aplicar el Estatuto General de Contratación de la Administración Pública. Si sobre el convenio solidario, que busca celebrarse, la Agencia Nacional de Contratación Pública – Colombia Compra Eficiente </w:t>
      </w:r>
      <w:r w:rsidRPr="00112A89">
        <w:rPr>
          <w:rFonts w:ascii="Arial" w:eastAsia="Calibri" w:hAnsi="Arial" w:cs="Arial"/>
          <w:i/>
          <w:iCs/>
          <w:color w:val="000000" w:themeColor="text1"/>
          <w:sz w:val="22"/>
          <w:szCs w:val="22"/>
        </w:rPr>
        <w:t>no</w:t>
      </w:r>
      <w:r w:rsidRPr="00112A89">
        <w:rPr>
          <w:rFonts w:ascii="Arial" w:eastAsia="Calibri" w:hAnsi="Arial" w:cs="Arial"/>
          <w:color w:val="000000" w:themeColor="text1"/>
          <w:sz w:val="22"/>
          <w:szCs w:val="22"/>
        </w:rPr>
        <w:t xml:space="preserve"> ha adoptado documentos tipo, por sustracción de materia, no es aplicable la obligación contenida en el artículo 56 de la Ley 2195 de 2022, pues esta disposición normativa parte del supuesto de la existencia de documentos tipo proferidos por la Agencia. En tal caso, los entes territoriales deberán aplicar lo previsto en los artículos 63 y 95 de la Ley 2166 de 2021, así como en las demás normas jurídicas que los complementan, tal como se explicó en </w:t>
      </w:r>
      <w:r w:rsidR="0093691D" w:rsidRPr="00112A89">
        <w:rPr>
          <w:rFonts w:ascii="Arial" w:eastAsia="Calibri" w:hAnsi="Arial" w:cs="Arial"/>
          <w:color w:val="000000" w:themeColor="text1"/>
          <w:sz w:val="22"/>
          <w:szCs w:val="22"/>
        </w:rPr>
        <w:t>los</w:t>
      </w:r>
      <w:r w:rsidRPr="00112A89">
        <w:rPr>
          <w:rFonts w:ascii="Arial" w:eastAsia="Calibri" w:hAnsi="Arial" w:cs="Arial"/>
          <w:color w:val="000000" w:themeColor="text1"/>
          <w:sz w:val="22"/>
          <w:szCs w:val="22"/>
        </w:rPr>
        <w:t xml:space="preserve"> numeral</w:t>
      </w:r>
      <w:r w:rsidR="0093691D" w:rsidRPr="00112A89">
        <w:rPr>
          <w:rFonts w:ascii="Arial" w:eastAsia="Calibri" w:hAnsi="Arial" w:cs="Arial"/>
          <w:color w:val="000000" w:themeColor="text1"/>
          <w:sz w:val="22"/>
          <w:szCs w:val="22"/>
        </w:rPr>
        <w:t>es</w:t>
      </w:r>
      <w:r w:rsidRPr="00112A89">
        <w:rPr>
          <w:rFonts w:ascii="Arial" w:eastAsia="Calibri" w:hAnsi="Arial" w:cs="Arial"/>
          <w:color w:val="000000" w:themeColor="text1"/>
          <w:sz w:val="22"/>
          <w:szCs w:val="22"/>
        </w:rPr>
        <w:t xml:space="preserve"> 2.1. y 2.2. de este concepto.</w:t>
      </w:r>
    </w:p>
    <w:p w14:paraId="7BF3CC03" w14:textId="77777777" w:rsidR="006E088C" w:rsidRPr="00112A89" w:rsidRDefault="006E088C" w:rsidP="00822257">
      <w:pPr>
        <w:spacing w:line="276" w:lineRule="auto"/>
        <w:jc w:val="both"/>
        <w:rPr>
          <w:rFonts w:ascii="Arial" w:eastAsia="Calibri" w:hAnsi="Arial" w:cs="Arial"/>
          <w:b/>
          <w:bCs/>
          <w:color w:val="000000" w:themeColor="text1"/>
          <w:sz w:val="22"/>
          <w:lang w:val="es-ES_tradnl"/>
        </w:rPr>
      </w:pPr>
    </w:p>
    <w:p w14:paraId="37CA9805" w14:textId="7E6B1FAB" w:rsidR="00DD5B04" w:rsidRPr="00112A89" w:rsidRDefault="004177A6" w:rsidP="00510DE9">
      <w:pPr>
        <w:tabs>
          <w:tab w:val="left" w:pos="0"/>
        </w:tabs>
        <w:jc w:val="both"/>
        <w:rPr>
          <w:rFonts w:ascii="Arial" w:eastAsia="Calibri" w:hAnsi="Arial" w:cs="Arial"/>
          <w:b/>
          <w:color w:val="000000" w:themeColor="text1"/>
          <w:sz w:val="22"/>
          <w:lang w:val="es-ES_tradnl"/>
        </w:rPr>
      </w:pPr>
      <w:r w:rsidRPr="00112A89">
        <w:rPr>
          <w:rFonts w:ascii="Arial" w:eastAsia="Calibri" w:hAnsi="Arial" w:cs="Arial"/>
          <w:b/>
          <w:color w:val="000000" w:themeColor="text1"/>
          <w:sz w:val="22"/>
          <w:lang w:val="es-ES_tradnl"/>
        </w:rPr>
        <w:t>3</w:t>
      </w:r>
      <w:r w:rsidR="00B011A9" w:rsidRPr="00112A89">
        <w:rPr>
          <w:rFonts w:ascii="Arial" w:eastAsia="Calibri" w:hAnsi="Arial" w:cs="Arial"/>
          <w:b/>
          <w:color w:val="000000" w:themeColor="text1"/>
          <w:sz w:val="22"/>
          <w:lang w:val="es-ES_tradnl"/>
        </w:rPr>
        <w:t xml:space="preserve">. </w:t>
      </w:r>
      <w:r w:rsidR="00DD5B04" w:rsidRPr="00112A89">
        <w:rPr>
          <w:rFonts w:ascii="Arial" w:eastAsia="Calibri" w:hAnsi="Arial" w:cs="Arial"/>
          <w:b/>
          <w:color w:val="000000" w:themeColor="text1"/>
          <w:sz w:val="22"/>
          <w:lang w:val="es-ES_tradnl"/>
        </w:rPr>
        <w:t>Respuest</w:t>
      </w:r>
      <w:r w:rsidR="00BF0E64" w:rsidRPr="00112A89">
        <w:rPr>
          <w:rFonts w:ascii="Arial" w:eastAsia="Calibri" w:hAnsi="Arial" w:cs="Arial"/>
          <w:b/>
          <w:color w:val="000000" w:themeColor="text1"/>
          <w:sz w:val="22"/>
          <w:lang w:val="es-ES_tradnl"/>
        </w:rPr>
        <w:t>a</w:t>
      </w:r>
    </w:p>
    <w:p w14:paraId="0B74D5B8" w14:textId="7F0A7F13" w:rsidR="00C4581D" w:rsidRPr="00112A89" w:rsidRDefault="00C4581D" w:rsidP="00510DE9">
      <w:pPr>
        <w:tabs>
          <w:tab w:val="left" w:pos="0"/>
        </w:tabs>
        <w:jc w:val="both"/>
        <w:rPr>
          <w:rFonts w:ascii="Arial" w:eastAsia="Calibri" w:hAnsi="Arial" w:cs="Arial"/>
          <w:color w:val="000000" w:themeColor="text1"/>
          <w:sz w:val="22"/>
          <w:lang w:val="es-ES_tradnl"/>
        </w:rPr>
      </w:pPr>
    </w:p>
    <w:p w14:paraId="4754E498" w14:textId="77777777" w:rsidR="002B79EF" w:rsidRPr="00112A89" w:rsidRDefault="002B79EF" w:rsidP="002B79EF">
      <w:pPr>
        <w:ind w:left="709" w:right="709"/>
        <w:jc w:val="both"/>
        <w:rPr>
          <w:rFonts w:ascii="Arial" w:hAnsi="Arial" w:cs="Arial"/>
          <w:color w:val="000000" w:themeColor="text1"/>
          <w:sz w:val="21"/>
          <w:szCs w:val="21"/>
          <w:lang w:val="es-ES_tradnl"/>
        </w:rPr>
      </w:pPr>
      <w:r w:rsidRPr="00112A89">
        <w:rPr>
          <w:rFonts w:ascii="Arial" w:hAnsi="Arial" w:cs="Arial"/>
          <w:color w:val="000000" w:themeColor="text1"/>
          <w:sz w:val="21"/>
          <w:szCs w:val="21"/>
          <w:lang w:val="es-ES_tradnl"/>
        </w:rPr>
        <w:t>«1. El artículo 95 de la Ley 2166 de 2021 se refiere de manera indiscriminada a las entidades del orden Nacional y las entidades territoriales, como entidades territoriales. […]</w:t>
      </w:r>
    </w:p>
    <w:p w14:paraId="1ED2707D" w14:textId="77777777" w:rsidR="002B79EF" w:rsidRPr="00112A89" w:rsidRDefault="002B79EF" w:rsidP="002B79EF">
      <w:pPr>
        <w:ind w:left="709" w:right="709"/>
        <w:jc w:val="both"/>
        <w:rPr>
          <w:rFonts w:ascii="Arial" w:hAnsi="Arial" w:cs="Arial"/>
          <w:color w:val="000000" w:themeColor="text1"/>
          <w:sz w:val="21"/>
          <w:szCs w:val="21"/>
          <w:lang w:val="es-ES_tradnl"/>
        </w:rPr>
      </w:pPr>
    </w:p>
    <w:p w14:paraId="0A323A03" w14:textId="77777777" w:rsidR="002B79EF" w:rsidRPr="00112A89" w:rsidRDefault="002B79EF" w:rsidP="002B79EF">
      <w:pPr>
        <w:ind w:left="709" w:right="709"/>
        <w:jc w:val="both"/>
        <w:rPr>
          <w:rFonts w:ascii="Arial" w:hAnsi="Arial" w:cs="Arial"/>
          <w:color w:val="000000" w:themeColor="text1"/>
          <w:sz w:val="21"/>
          <w:szCs w:val="21"/>
          <w:lang w:val="es-ES_tradnl"/>
        </w:rPr>
      </w:pPr>
      <w:r w:rsidRPr="00112A89">
        <w:rPr>
          <w:rFonts w:ascii="Arial" w:hAnsi="Arial" w:cs="Arial"/>
          <w:color w:val="000000" w:themeColor="text1"/>
          <w:sz w:val="21"/>
          <w:szCs w:val="21"/>
          <w:lang w:val="es-ES_tradnl"/>
        </w:rPr>
        <w:t>»[…]</w:t>
      </w:r>
    </w:p>
    <w:p w14:paraId="43E84D52" w14:textId="77777777" w:rsidR="002B79EF" w:rsidRPr="00112A89" w:rsidRDefault="002B79EF" w:rsidP="002B79EF">
      <w:pPr>
        <w:ind w:left="709" w:right="709"/>
        <w:jc w:val="both"/>
        <w:rPr>
          <w:rFonts w:ascii="Arial" w:hAnsi="Arial" w:cs="Arial"/>
          <w:color w:val="000000" w:themeColor="text1"/>
          <w:sz w:val="21"/>
          <w:szCs w:val="21"/>
          <w:lang w:val="es-ES_tradnl"/>
        </w:rPr>
      </w:pPr>
      <w:proofErr w:type="gramStart"/>
      <w:r w:rsidRPr="00112A89">
        <w:rPr>
          <w:rFonts w:ascii="Arial" w:hAnsi="Arial" w:cs="Arial"/>
          <w:color w:val="000000" w:themeColor="text1"/>
          <w:sz w:val="21"/>
          <w:szCs w:val="21"/>
          <w:lang w:val="es-ES_tradnl"/>
        </w:rPr>
        <w:lastRenderedPageBreak/>
        <w:t>»En</w:t>
      </w:r>
      <w:proofErr w:type="gramEnd"/>
      <w:r w:rsidRPr="00112A89">
        <w:rPr>
          <w:rFonts w:ascii="Arial" w:hAnsi="Arial" w:cs="Arial"/>
          <w:color w:val="000000" w:themeColor="text1"/>
          <w:sz w:val="21"/>
          <w:szCs w:val="21"/>
          <w:lang w:val="es-ES_tradnl"/>
        </w:rPr>
        <w:t xml:space="preserve"> este sentido, y dado que el inciso primero de la norma incluye dentro de la categoría de entes territoriales a las entidades del orden Nacional, ¿Debe entenderse que lo dispuesto en los parágrafos 1 y 2 del artículo 95 de la Ley 2166 de 2021, también son aplicables a los Convenios Solidarios que suscriban las entidades del orden Nacional?</w:t>
      </w:r>
    </w:p>
    <w:p w14:paraId="64490560" w14:textId="77777777" w:rsidR="00F020BB" w:rsidRPr="00112A89" w:rsidRDefault="00F020BB" w:rsidP="006968F1">
      <w:pPr>
        <w:spacing w:line="276" w:lineRule="auto"/>
        <w:jc w:val="both"/>
        <w:rPr>
          <w:rFonts w:ascii="Arial" w:eastAsia="Calibri" w:hAnsi="Arial" w:cs="Arial"/>
          <w:color w:val="000000" w:themeColor="text1"/>
          <w:sz w:val="22"/>
          <w:szCs w:val="22"/>
        </w:rPr>
      </w:pPr>
    </w:p>
    <w:p w14:paraId="6FC7201E" w14:textId="3E7248A6" w:rsidR="006968F1" w:rsidRPr="00112A89" w:rsidRDefault="006968F1" w:rsidP="006968F1">
      <w:pPr>
        <w:spacing w:line="276" w:lineRule="auto"/>
        <w:jc w:val="both"/>
        <w:rPr>
          <w:rFonts w:ascii="Arial" w:eastAsia="Calibri" w:hAnsi="Arial" w:cs="Arial"/>
          <w:color w:val="000000" w:themeColor="text1"/>
          <w:sz w:val="22"/>
          <w:szCs w:val="22"/>
        </w:rPr>
      </w:pPr>
      <w:r w:rsidRPr="00112A89">
        <w:rPr>
          <w:rFonts w:ascii="Arial" w:eastAsia="Calibri" w:hAnsi="Arial" w:cs="Arial"/>
          <w:color w:val="000000" w:themeColor="text1"/>
          <w:sz w:val="22"/>
          <w:szCs w:val="22"/>
        </w:rPr>
        <w:t>Si el primer inciso del artículo 95 de la Ley 2166 de 2021 incluye en la noción de «entes territoriales» a la Nación, y los dos parágrafos del mismo artículo se refieren a los «entes territoriales», se entiende, en sentido lógico-sistemático, que los destinatarios de los enunciados normativos previstos en los parágrafos son los mismos que se acotaron en el primer inciso. Esta interpretación no obsta para que</w:t>
      </w:r>
      <w:r w:rsidR="00DD0C06" w:rsidRPr="00D068F7">
        <w:rPr>
          <w:rFonts w:ascii="Arial" w:eastAsia="Calibri" w:hAnsi="Arial" w:cs="Arial"/>
          <w:color w:val="000000" w:themeColor="text1"/>
          <w:sz w:val="22"/>
          <w:szCs w:val="22"/>
        </w:rPr>
        <w:t xml:space="preserve"> eventualmente</w:t>
      </w:r>
      <w:r w:rsidRPr="00112A89">
        <w:rPr>
          <w:rFonts w:ascii="Arial" w:eastAsia="Calibri" w:hAnsi="Arial" w:cs="Arial"/>
          <w:color w:val="000000" w:themeColor="text1"/>
          <w:sz w:val="22"/>
          <w:szCs w:val="22"/>
        </w:rPr>
        <w:t xml:space="preserve"> el Gobierno Nacional, en ejercicio de la potestad reglamentaria que le confiere el artículo 189</w:t>
      </w:r>
      <w:r w:rsidR="006D6F58" w:rsidRPr="00D068F7">
        <w:rPr>
          <w:rFonts w:ascii="Arial" w:eastAsia="Calibri" w:hAnsi="Arial" w:cs="Arial"/>
          <w:color w:val="000000" w:themeColor="text1"/>
          <w:sz w:val="22"/>
          <w:szCs w:val="22"/>
        </w:rPr>
        <w:t>.</w:t>
      </w:r>
      <w:r w:rsidRPr="00112A89">
        <w:rPr>
          <w:rFonts w:ascii="Arial" w:eastAsia="Calibri" w:hAnsi="Arial" w:cs="Arial"/>
          <w:color w:val="000000" w:themeColor="text1"/>
          <w:sz w:val="22"/>
          <w:szCs w:val="22"/>
        </w:rPr>
        <w:t>11 de la Constitución, asigne a la referida expresión un significado distinto.</w:t>
      </w:r>
    </w:p>
    <w:p w14:paraId="41EB2086" w14:textId="77777777" w:rsidR="002B79EF" w:rsidRPr="00112A89" w:rsidRDefault="002B79EF" w:rsidP="002B79EF">
      <w:pPr>
        <w:ind w:left="709" w:right="709"/>
        <w:jc w:val="both"/>
        <w:rPr>
          <w:rFonts w:ascii="Arial" w:hAnsi="Arial" w:cs="Arial"/>
          <w:color w:val="000000" w:themeColor="text1"/>
          <w:sz w:val="21"/>
          <w:szCs w:val="21"/>
        </w:rPr>
      </w:pPr>
    </w:p>
    <w:p w14:paraId="0685B316" w14:textId="5C2800DA" w:rsidR="002B79EF" w:rsidRPr="00112A89" w:rsidRDefault="002B79EF" w:rsidP="00017B44">
      <w:pPr>
        <w:ind w:left="709" w:right="709"/>
        <w:jc w:val="both"/>
        <w:rPr>
          <w:rFonts w:ascii="Arial" w:hAnsi="Arial" w:cs="Arial"/>
          <w:color w:val="000000" w:themeColor="text1"/>
          <w:sz w:val="21"/>
          <w:szCs w:val="21"/>
          <w:lang w:val="es-ES_tradnl"/>
        </w:rPr>
      </w:pPr>
      <w:r w:rsidRPr="00112A89">
        <w:rPr>
          <w:rFonts w:ascii="Arial" w:hAnsi="Arial" w:cs="Arial"/>
          <w:color w:val="000000" w:themeColor="text1"/>
          <w:sz w:val="21"/>
          <w:szCs w:val="21"/>
          <w:lang w:val="es-ES_tradnl"/>
        </w:rPr>
        <w:t>»</w:t>
      </w:r>
      <w:r w:rsidR="00017B44" w:rsidRPr="00112A89">
        <w:rPr>
          <w:rFonts w:ascii="Arial" w:hAnsi="Arial" w:cs="Arial"/>
          <w:color w:val="000000" w:themeColor="text1"/>
          <w:sz w:val="21"/>
          <w:szCs w:val="21"/>
          <w:lang w:val="es-ES_tradnl"/>
        </w:rPr>
        <w:t>[…]</w:t>
      </w:r>
    </w:p>
    <w:p w14:paraId="5233FC34" w14:textId="77777777" w:rsidR="002B79EF" w:rsidRPr="00112A89" w:rsidRDefault="002B79EF" w:rsidP="002B79EF">
      <w:pPr>
        <w:ind w:left="709" w:right="709"/>
        <w:jc w:val="both"/>
        <w:rPr>
          <w:rFonts w:ascii="Arial" w:hAnsi="Arial" w:cs="Arial"/>
          <w:color w:val="000000" w:themeColor="text1"/>
          <w:sz w:val="21"/>
          <w:szCs w:val="21"/>
          <w:lang w:val="es-ES_tradnl"/>
        </w:rPr>
      </w:pPr>
    </w:p>
    <w:p w14:paraId="2F5F2CFC" w14:textId="385DF7B5" w:rsidR="002B79EF" w:rsidRPr="00112A89" w:rsidRDefault="002B79EF" w:rsidP="002B79EF">
      <w:pPr>
        <w:ind w:left="709" w:right="709"/>
        <w:jc w:val="both"/>
        <w:rPr>
          <w:rFonts w:ascii="Arial" w:hAnsi="Arial" w:cs="Arial"/>
          <w:color w:val="000000" w:themeColor="text1"/>
          <w:sz w:val="21"/>
          <w:szCs w:val="21"/>
          <w:lang w:val="es-ES_tradnl"/>
        </w:rPr>
      </w:pPr>
      <w:proofErr w:type="gramStart"/>
      <w:r w:rsidRPr="00112A89">
        <w:rPr>
          <w:rFonts w:ascii="Arial" w:hAnsi="Arial" w:cs="Arial"/>
          <w:color w:val="000000" w:themeColor="text1"/>
          <w:sz w:val="21"/>
          <w:szCs w:val="21"/>
          <w:lang w:val="es-ES_tradnl"/>
        </w:rPr>
        <w:t>»a.</w:t>
      </w:r>
      <w:proofErr w:type="gramEnd"/>
      <w:r w:rsidRPr="00112A89">
        <w:rPr>
          <w:rFonts w:ascii="Arial" w:hAnsi="Arial" w:cs="Arial"/>
          <w:color w:val="000000" w:themeColor="text1"/>
          <w:sz w:val="21"/>
          <w:szCs w:val="21"/>
          <w:lang w:val="es-ES_tradnl"/>
        </w:rPr>
        <w:t xml:space="preserve"> ¿Al ser los Convenios Solidarios, convenios suscritos entre una entidad sometida al Estatuto General de Contratación de la Administración Pública y un organismo de naturaleza solidaria cuyo régimen de contratación es de derecho privado, les son aplicables las disipaciones</w:t>
      </w:r>
      <w:r w:rsidR="00B547B1" w:rsidRPr="00112A89">
        <w:rPr>
          <w:rFonts w:ascii="Arial" w:hAnsi="Arial" w:cs="Arial"/>
          <w:color w:val="000000" w:themeColor="text1"/>
          <w:sz w:val="21"/>
          <w:szCs w:val="21"/>
          <w:lang w:val="es-ES_tradnl"/>
        </w:rPr>
        <w:t xml:space="preserve"> (sic)</w:t>
      </w:r>
      <w:r w:rsidRPr="00112A89">
        <w:rPr>
          <w:rFonts w:ascii="Arial" w:hAnsi="Arial" w:cs="Arial"/>
          <w:color w:val="000000" w:themeColor="text1"/>
          <w:sz w:val="21"/>
          <w:szCs w:val="21"/>
          <w:lang w:val="es-ES_tradnl"/>
        </w:rPr>
        <w:t xml:space="preserve"> del artículo 56 de la Ley 2195 de 2022?</w:t>
      </w:r>
    </w:p>
    <w:p w14:paraId="714D8E12" w14:textId="10E6B7C4" w:rsidR="002B79EF" w:rsidRPr="00112A89" w:rsidRDefault="002B79EF" w:rsidP="002B79EF">
      <w:pPr>
        <w:ind w:left="709" w:right="709"/>
        <w:jc w:val="both"/>
        <w:rPr>
          <w:rFonts w:ascii="Arial" w:hAnsi="Arial" w:cs="Arial"/>
          <w:color w:val="000000" w:themeColor="text1"/>
          <w:sz w:val="21"/>
          <w:szCs w:val="21"/>
          <w:lang w:val="es-ES_tradnl"/>
        </w:rPr>
      </w:pPr>
    </w:p>
    <w:p w14:paraId="335DF3D4" w14:textId="29ED68C2" w:rsidR="007D75B4" w:rsidRPr="00112A89" w:rsidRDefault="00B177C9" w:rsidP="00B177C9">
      <w:pPr>
        <w:spacing w:line="276" w:lineRule="auto"/>
        <w:jc w:val="both"/>
        <w:rPr>
          <w:rFonts w:ascii="Arial" w:eastAsia="Calibri" w:hAnsi="Arial" w:cs="Arial"/>
          <w:color w:val="000000" w:themeColor="text1"/>
          <w:sz w:val="22"/>
          <w:szCs w:val="22"/>
        </w:rPr>
      </w:pPr>
      <w:r w:rsidRPr="00112A89">
        <w:rPr>
          <w:rFonts w:ascii="Arial" w:eastAsia="Calibri" w:hAnsi="Arial" w:cs="Arial"/>
          <w:color w:val="000000" w:themeColor="text1"/>
          <w:sz w:val="22"/>
          <w:szCs w:val="22"/>
        </w:rPr>
        <w:t>El artículo 56 de la Ley 2195 de 2022</w:t>
      </w:r>
      <w:r w:rsidR="005E0863" w:rsidRPr="00112A89">
        <w:rPr>
          <w:rFonts w:ascii="Arial" w:eastAsia="Calibri" w:hAnsi="Arial" w:cs="Arial"/>
          <w:color w:val="000000" w:themeColor="text1"/>
          <w:sz w:val="22"/>
          <w:szCs w:val="22"/>
        </w:rPr>
        <w:t xml:space="preserve"> emplea la expresión «</w:t>
      </w:r>
      <w:r w:rsidR="005E0863" w:rsidRPr="00112A89">
        <w:rPr>
          <w:rFonts w:ascii="Arial" w:eastAsia="Calibri" w:hAnsi="Arial" w:cs="Arial"/>
          <w:i/>
          <w:iCs/>
          <w:color w:val="000000" w:themeColor="text1"/>
          <w:sz w:val="22"/>
          <w:szCs w:val="22"/>
        </w:rPr>
        <w:t>contratos o convenios interadministrativos o de cualquier otra índole</w:t>
      </w:r>
      <w:r w:rsidR="005E0863" w:rsidRPr="00112A89">
        <w:rPr>
          <w:rFonts w:ascii="Arial" w:eastAsia="Calibri" w:hAnsi="Arial" w:cs="Arial"/>
          <w:color w:val="000000" w:themeColor="text1"/>
          <w:sz w:val="22"/>
          <w:szCs w:val="22"/>
        </w:rPr>
        <w:t>»</w:t>
      </w:r>
      <w:r w:rsidR="00EF6760" w:rsidRPr="00112A89">
        <w:rPr>
          <w:rFonts w:ascii="Arial" w:eastAsia="Calibri" w:hAnsi="Arial" w:cs="Arial"/>
          <w:color w:val="000000" w:themeColor="text1"/>
          <w:sz w:val="22"/>
          <w:szCs w:val="22"/>
        </w:rPr>
        <w:t xml:space="preserve"> (énfasis fuera de texto)</w:t>
      </w:r>
      <w:r w:rsidR="00AC04F4" w:rsidRPr="00112A89">
        <w:rPr>
          <w:rFonts w:ascii="Arial" w:eastAsia="Calibri" w:hAnsi="Arial" w:cs="Arial"/>
          <w:color w:val="000000" w:themeColor="text1"/>
          <w:sz w:val="22"/>
          <w:szCs w:val="22"/>
        </w:rPr>
        <w:t xml:space="preserve">, para establecer que si estos se celebran </w:t>
      </w:r>
      <w:r w:rsidR="00DA5C1F" w:rsidRPr="00112A89">
        <w:rPr>
          <w:rFonts w:ascii="Arial" w:eastAsia="Calibri" w:hAnsi="Arial" w:cs="Arial"/>
          <w:color w:val="000000" w:themeColor="text1"/>
          <w:sz w:val="22"/>
          <w:szCs w:val="22"/>
        </w:rPr>
        <w:t>por las entidades estatales sometidas al Estatuto General de Contratación de la Administración Publica «con otra entidad estatal o con patrimonios autónomos o con personas naturales o jurídicas de derecho privado, cuyo régimen de contratación sea especial o de derecho privado»</w:t>
      </w:r>
      <w:r w:rsidR="00F020BB" w:rsidRPr="00112A89">
        <w:rPr>
          <w:rFonts w:ascii="Arial" w:eastAsia="Calibri" w:hAnsi="Arial" w:cs="Arial"/>
          <w:color w:val="000000" w:themeColor="text1"/>
          <w:sz w:val="22"/>
          <w:szCs w:val="22"/>
        </w:rPr>
        <w:t xml:space="preserve"> </w:t>
      </w:r>
      <w:r w:rsidR="00461961" w:rsidRPr="00112A89">
        <w:rPr>
          <w:rFonts w:ascii="Arial" w:eastAsia="Calibri" w:hAnsi="Arial" w:cs="Arial"/>
          <w:color w:val="000000" w:themeColor="text1"/>
          <w:sz w:val="22"/>
          <w:szCs w:val="22"/>
        </w:rPr>
        <w:t>deben aplicar los documentos tipo adoptados por la Agencia Nacional de Contratación Pública – Colombia Compra Eficiente.</w:t>
      </w:r>
      <w:r w:rsidR="00EF6760" w:rsidRPr="00112A89">
        <w:rPr>
          <w:rFonts w:ascii="Arial" w:eastAsia="Calibri" w:hAnsi="Arial" w:cs="Arial"/>
          <w:color w:val="000000" w:themeColor="text1"/>
          <w:sz w:val="22"/>
          <w:szCs w:val="22"/>
        </w:rPr>
        <w:t xml:space="preserve"> De igual manera, el segundo inciso del artículo </w:t>
      </w:r>
      <w:r w:rsidR="00EF6760" w:rsidRPr="00112A89">
        <w:rPr>
          <w:rFonts w:ascii="Arial" w:eastAsia="Calibri" w:hAnsi="Arial" w:cs="Arial"/>
          <w:i/>
          <w:iCs/>
          <w:color w:val="000000" w:themeColor="text1"/>
          <w:sz w:val="22"/>
          <w:szCs w:val="22"/>
        </w:rPr>
        <w:t>ibídem</w:t>
      </w:r>
      <w:r w:rsidR="007D75B4" w:rsidRPr="00112A89">
        <w:rPr>
          <w:rFonts w:ascii="Arial" w:eastAsia="Calibri" w:hAnsi="Arial" w:cs="Arial"/>
          <w:color w:val="000000" w:themeColor="text1"/>
          <w:sz w:val="22"/>
          <w:szCs w:val="22"/>
        </w:rPr>
        <w:t xml:space="preserve"> señala que «Los procedimientos de selección y los contratos que realicen </w:t>
      </w:r>
      <w:r w:rsidR="007D75B4" w:rsidRPr="00112A89">
        <w:rPr>
          <w:rFonts w:ascii="Arial" w:eastAsia="Calibri" w:hAnsi="Arial" w:cs="Arial"/>
          <w:i/>
          <w:iCs/>
          <w:color w:val="000000" w:themeColor="text1"/>
          <w:sz w:val="22"/>
          <w:szCs w:val="22"/>
        </w:rPr>
        <w:t>en desarrollo de los anteriores negocios jurídicos</w:t>
      </w:r>
      <w:r w:rsidR="007D75B4" w:rsidRPr="00112A89">
        <w:rPr>
          <w:rFonts w:ascii="Arial" w:eastAsia="Calibri" w:hAnsi="Arial" w:cs="Arial"/>
          <w:color w:val="000000" w:themeColor="text1"/>
          <w:sz w:val="22"/>
          <w:szCs w:val="22"/>
        </w:rPr>
        <w:t>, donde apliquen los documentos tipo se regirán por el Estatuto General de Contratación de la Administración Publica» (énfasis fuera de texto).</w:t>
      </w:r>
    </w:p>
    <w:p w14:paraId="0135B147" w14:textId="345FCB71" w:rsidR="007D75B4" w:rsidRPr="00112A89" w:rsidRDefault="00005D36" w:rsidP="007D75B4">
      <w:pPr>
        <w:spacing w:before="120" w:line="276" w:lineRule="auto"/>
        <w:ind w:firstLine="709"/>
        <w:jc w:val="both"/>
        <w:rPr>
          <w:rFonts w:ascii="Arial" w:eastAsia="Calibri" w:hAnsi="Arial" w:cs="Arial"/>
          <w:color w:val="000000" w:themeColor="text1"/>
          <w:sz w:val="22"/>
          <w:szCs w:val="22"/>
        </w:rPr>
      </w:pPr>
      <w:r w:rsidRPr="00112A89">
        <w:rPr>
          <w:rFonts w:ascii="Arial" w:eastAsia="Calibri" w:hAnsi="Arial" w:cs="Arial"/>
          <w:color w:val="000000" w:themeColor="text1"/>
          <w:sz w:val="22"/>
          <w:szCs w:val="22"/>
        </w:rPr>
        <w:t>Pues bien, a</w:t>
      </w:r>
      <w:r w:rsidR="007D75B4" w:rsidRPr="00112A89">
        <w:rPr>
          <w:rFonts w:ascii="Arial" w:eastAsia="Calibri" w:hAnsi="Arial" w:cs="Arial"/>
          <w:color w:val="000000" w:themeColor="text1"/>
          <w:sz w:val="22"/>
          <w:szCs w:val="22"/>
        </w:rPr>
        <w:t xml:space="preserve">l ser </w:t>
      </w:r>
      <w:r w:rsidR="00224D7E" w:rsidRPr="00112A89">
        <w:rPr>
          <w:rFonts w:ascii="Arial" w:eastAsia="Calibri" w:hAnsi="Arial" w:cs="Arial"/>
          <w:color w:val="000000" w:themeColor="text1"/>
          <w:sz w:val="22"/>
          <w:szCs w:val="22"/>
        </w:rPr>
        <w:t xml:space="preserve">los </w:t>
      </w:r>
      <w:r w:rsidR="00224D7E" w:rsidRPr="00112A89">
        <w:rPr>
          <w:rFonts w:ascii="Arial" w:eastAsia="Calibri" w:hAnsi="Arial" w:cs="Arial"/>
          <w:i/>
          <w:iCs/>
          <w:color w:val="000000" w:themeColor="text1"/>
          <w:sz w:val="22"/>
          <w:szCs w:val="22"/>
        </w:rPr>
        <w:t>convenios solidarios</w:t>
      </w:r>
      <w:r w:rsidRPr="00112A89">
        <w:rPr>
          <w:rFonts w:ascii="Arial" w:eastAsia="Calibri" w:hAnsi="Arial" w:cs="Arial"/>
          <w:color w:val="000000" w:themeColor="text1"/>
          <w:sz w:val="22"/>
          <w:szCs w:val="22"/>
        </w:rPr>
        <w:t xml:space="preserve"> </w:t>
      </w:r>
      <w:r w:rsidR="00EC00F5" w:rsidRPr="00112A89">
        <w:rPr>
          <w:rFonts w:ascii="Arial" w:eastAsia="Calibri" w:hAnsi="Arial" w:cs="Arial"/>
          <w:color w:val="000000" w:themeColor="text1"/>
          <w:sz w:val="22"/>
          <w:szCs w:val="22"/>
        </w:rPr>
        <w:t>–</w:t>
      </w:r>
      <w:r w:rsidRPr="00112A89">
        <w:rPr>
          <w:rFonts w:ascii="Arial" w:eastAsia="Calibri" w:hAnsi="Arial" w:cs="Arial"/>
          <w:color w:val="000000" w:themeColor="text1"/>
          <w:sz w:val="22"/>
          <w:szCs w:val="22"/>
        </w:rPr>
        <w:t>regulados en los artículos 63 y 95 de la Ley 2166 de 2021 y en sus normas complementarias</w:t>
      </w:r>
      <w:r w:rsidR="00EC00F5" w:rsidRPr="00112A89">
        <w:rPr>
          <w:rFonts w:ascii="Arial" w:eastAsia="Calibri" w:hAnsi="Arial" w:cs="Arial"/>
          <w:color w:val="000000" w:themeColor="text1"/>
          <w:sz w:val="22"/>
          <w:szCs w:val="22"/>
        </w:rPr>
        <w:t>–</w:t>
      </w:r>
      <w:r w:rsidR="00224D7E" w:rsidRPr="00112A89">
        <w:rPr>
          <w:rFonts w:ascii="Arial" w:eastAsia="Calibri" w:hAnsi="Arial" w:cs="Arial"/>
          <w:color w:val="000000" w:themeColor="text1"/>
          <w:sz w:val="22"/>
          <w:szCs w:val="22"/>
        </w:rPr>
        <w:t xml:space="preserve">, precisamente, </w:t>
      </w:r>
      <w:r w:rsidR="00141D85" w:rsidRPr="00112A89">
        <w:rPr>
          <w:rFonts w:ascii="Arial" w:eastAsia="Calibri" w:hAnsi="Arial" w:cs="Arial"/>
          <w:color w:val="000000" w:themeColor="text1"/>
          <w:sz w:val="22"/>
          <w:szCs w:val="22"/>
        </w:rPr>
        <w:t>«</w:t>
      </w:r>
      <w:r w:rsidR="00141D85" w:rsidRPr="00112A89">
        <w:rPr>
          <w:rFonts w:ascii="Arial" w:eastAsia="Calibri" w:hAnsi="Arial" w:cs="Arial"/>
          <w:i/>
          <w:iCs/>
          <w:color w:val="000000" w:themeColor="text1"/>
          <w:sz w:val="22"/>
          <w:szCs w:val="22"/>
        </w:rPr>
        <w:t>contratos o convenios […]</w:t>
      </w:r>
      <w:r w:rsidR="00141D85" w:rsidRPr="00112A89">
        <w:rPr>
          <w:rFonts w:ascii="Arial" w:eastAsia="Calibri" w:hAnsi="Arial" w:cs="Arial"/>
          <w:color w:val="000000" w:themeColor="text1"/>
          <w:sz w:val="22"/>
          <w:szCs w:val="22"/>
        </w:rPr>
        <w:t xml:space="preserve"> </w:t>
      </w:r>
      <w:r w:rsidR="00141D85" w:rsidRPr="00112A89">
        <w:rPr>
          <w:rFonts w:ascii="Arial" w:eastAsia="Calibri" w:hAnsi="Arial" w:cs="Arial"/>
          <w:i/>
          <w:iCs/>
          <w:color w:val="000000" w:themeColor="text1"/>
          <w:sz w:val="22"/>
          <w:szCs w:val="22"/>
        </w:rPr>
        <w:t>de cualquier otra índole</w:t>
      </w:r>
      <w:r w:rsidR="00141D85" w:rsidRPr="00112A89">
        <w:rPr>
          <w:rFonts w:ascii="Arial" w:eastAsia="Calibri" w:hAnsi="Arial" w:cs="Arial"/>
          <w:color w:val="000000" w:themeColor="text1"/>
          <w:sz w:val="22"/>
          <w:szCs w:val="22"/>
        </w:rPr>
        <w:t xml:space="preserve">», se puede interpretar con claridad que estos negocios jurídicos ingresan en el campo de aplicación del artículo </w:t>
      </w:r>
      <w:r w:rsidR="00B547B1" w:rsidRPr="00112A89">
        <w:rPr>
          <w:rFonts w:ascii="Arial" w:eastAsia="Calibri" w:hAnsi="Arial" w:cs="Arial"/>
          <w:color w:val="000000" w:themeColor="text1"/>
          <w:sz w:val="22"/>
          <w:szCs w:val="22"/>
        </w:rPr>
        <w:t>56 de la Ley 2195 de 2022</w:t>
      </w:r>
      <w:r w:rsidR="00EC00F5" w:rsidRPr="00112A89">
        <w:rPr>
          <w:rFonts w:ascii="Arial" w:eastAsia="Calibri" w:hAnsi="Arial" w:cs="Arial"/>
          <w:color w:val="000000" w:themeColor="text1"/>
          <w:sz w:val="22"/>
          <w:szCs w:val="22"/>
        </w:rPr>
        <w:t xml:space="preserve">, pues se adecuan </w:t>
      </w:r>
      <w:r w:rsidR="00D63F1D" w:rsidRPr="00112A89">
        <w:rPr>
          <w:rFonts w:ascii="Arial" w:eastAsia="Calibri" w:hAnsi="Arial" w:cs="Arial"/>
          <w:color w:val="000000" w:themeColor="text1"/>
          <w:sz w:val="22"/>
          <w:szCs w:val="22"/>
        </w:rPr>
        <w:t>al supuesto normativo previsto en el primer inciso de este.</w:t>
      </w:r>
    </w:p>
    <w:p w14:paraId="7E248E5A" w14:textId="77777777" w:rsidR="00B177C9" w:rsidRPr="00112A89" w:rsidRDefault="00B177C9" w:rsidP="002B79EF">
      <w:pPr>
        <w:ind w:left="709" w:right="709"/>
        <w:jc w:val="both"/>
        <w:rPr>
          <w:rFonts w:ascii="Arial" w:hAnsi="Arial" w:cs="Arial"/>
          <w:color w:val="000000" w:themeColor="text1"/>
          <w:sz w:val="21"/>
          <w:szCs w:val="21"/>
        </w:rPr>
      </w:pPr>
    </w:p>
    <w:p w14:paraId="4750302A" w14:textId="51CA575C" w:rsidR="002B79EF" w:rsidRPr="00112A89" w:rsidRDefault="0046107F" w:rsidP="002B79EF">
      <w:pPr>
        <w:ind w:left="709" w:right="709"/>
        <w:jc w:val="both"/>
        <w:rPr>
          <w:rFonts w:ascii="Arial" w:hAnsi="Arial" w:cs="Arial"/>
          <w:color w:val="000000" w:themeColor="text1"/>
          <w:sz w:val="21"/>
          <w:szCs w:val="21"/>
          <w:lang w:val="es-ES_tradnl"/>
        </w:rPr>
      </w:pPr>
      <w:r w:rsidRPr="00112A89">
        <w:rPr>
          <w:rFonts w:ascii="Arial" w:hAnsi="Arial" w:cs="Arial"/>
          <w:color w:val="000000" w:themeColor="text1"/>
          <w:sz w:val="21"/>
          <w:szCs w:val="21"/>
          <w:lang w:val="es-ES_tradnl"/>
        </w:rPr>
        <w:t>«</w:t>
      </w:r>
      <w:r w:rsidR="002B79EF" w:rsidRPr="00112A89">
        <w:rPr>
          <w:rFonts w:ascii="Arial" w:hAnsi="Arial" w:cs="Arial"/>
          <w:color w:val="000000" w:themeColor="text1"/>
          <w:sz w:val="21"/>
          <w:szCs w:val="21"/>
          <w:lang w:val="es-ES_tradnl"/>
        </w:rPr>
        <w:t>b. De ser afirmativa la respuesta a la pregunta anterior, ¿El artículo 56 de la Ley 2195 de 2022 implica la obligatoriedad de uso de Documentos Tipo para la suscripción de Convenios Solidarios?</w:t>
      </w:r>
    </w:p>
    <w:p w14:paraId="6A549D30" w14:textId="77777777" w:rsidR="002B79EF" w:rsidRPr="00112A89" w:rsidRDefault="002B79EF" w:rsidP="002B79EF">
      <w:pPr>
        <w:ind w:left="709" w:right="709"/>
        <w:jc w:val="both"/>
        <w:rPr>
          <w:rFonts w:ascii="Arial" w:hAnsi="Arial" w:cs="Arial"/>
          <w:color w:val="000000" w:themeColor="text1"/>
          <w:sz w:val="21"/>
          <w:szCs w:val="21"/>
          <w:lang w:val="es-ES_tradnl"/>
        </w:rPr>
      </w:pPr>
    </w:p>
    <w:p w14:paraId="4B1F23C9" w14:textId="77777777" w:rsidR="002B79EF" w:rsidRPr="00112A89" w:rsidRDefault="002B79EF" w:rsidP="002B79EF">
      <w:pPr>
        <w:ind w:left="709" w:right="709"/>
        <w:jc w:val="both"/>
        <w:rPr>
          <w:rFonts w:ascii="Arial" w:hAnsi="Arial" w:cs="Arial"/>
          <w:color w:val="000000" w:themeColor="text1"/>
          <w:sz w:val="21"/>
          <w:szCs w:val="21"/>
          <w:lang w:val="es-ES_tradnl"/>
        </w:rPr>
      </w:pPr>
      <w:proofErr w:type="gramStart"/>
      <w:r w:rsidRPr="00112A89">
        <w:rPr>
          <w:rFonts w:ascii="Arial" w:hAnsi="Arial" w:cs="Arial"/>
          <w:color w:val="000000" w:themeColor="text1"/>
          <w:sz w:val="21"/>
          <w:szCs w:val="21"/>
          <w:lang w:val="es-ES_tradnl"/>
        </w:rPr>
        <w:lastRenderedPageBreak/>
        <w:t>»c.</w:t>
      </w:r>
      <w:proofErr w:type="gramEnd"/>
      <w:r w:rsidRPr="00112A89">
        <w:rPr>
          <w:rFonts w:ascii="Arial" w:hAnsi="Arial" w:cs="Arial"/>
          <w:color w:val="000000" w:themeColor="text1"/>
          <w:sz w:val="21"/>
          <w:szCs w:val="21"/>
          <w:lang w:val="es-ES_tradnl"/>
        </w:rPr>
        <w:t xml:space="preserve"> ¿Lo dispuesto en el inciso segundo del artículo 56 de la Ley 2195 de 2022 implica que el Organismo de Acción Comunal con el que se suscriba un Convenio Solidario por parte de una entidad pública del orden Nacional sometida al Estatuto General de Contratación de la Administración Pública, debe contratar las obras objeto del Convenio Solidario aplicando las disposiciones del Estatuto General de Contratación de la Administración?</w:t>
      </w:r>
    </w:p>
    <w:p w14:paraId="04ACBEB3" w14:textId="77777777" w:rsidR="002B79EF" w:rsidRPr="00112A89" w:rsidRDefault="002B79EF" w:rsidP="002B79EF">
      <w:pPr>
        <w:ind w:left="709" w:right="709"/>
        <w:jc w:val="both"/>
        <w:rPr>
          <w:rFonts w:ascii="Arial" w:hAnsi="Arial" w:cs="Arial"/>
          <w:color w:val="000000" w:themeColor="text1"/>
          <w:sz w:val="21"/>
          <w:szCs w:val="21"/>
          <w:lang w:val="es-ES_tradnl"/>
        </w:rPr>
      </w:pPr>
    </w:p>
    <w:p w14:paraId="721C82FC" w14:textId="77777777" w:rsidR="002B79EF" w:rsidRPr="00112A89" w:rsidRDefault="002B79EF" w:rsidP="002B79EF">
      <w:pPr>
        <w:ind w:left="709" w:right="709"/>
        <w:jc w:val="both"/>
        <w:rPr>
          <w:rFonts w:ascii="Arial" w:hAnsi="Arial" w:cs="Arial"/>
          <w:color w:val="000000" w:themeColor="text1"/>
          <w:sz w:val="21"/>
          <w:szCs w:val="21"/>
          <w:lang w:val="es-ES_tradnl"/>
        </w:rPr>
      </w:pPr>
      <w:proofErr w:type="gramStart"/>
      <w:r w:rsidRPr="00112A89">
        <w:rPr>
          <w:rFonts w:ascii="Arial" w:hAnsi="Arial" w:cs="Arial"/>
          <w:color w:val="000000" w:themeColor="text1"/>
          <w:sz w:val="21"/>
          <w:szCs w:val="21"/>
          <w:lang w:val="es-ES_tradnl"/>
        </w:rPr>
        <w:t>»d.</w:t>
      </w:r>
      <w:proofErr w:type="gramEnd"/>
      <w:r w:rsidRPr="00112A89">
        <w:rPr>
          <w:rFonts w:ascii="Arial" w:hAnsi="Arial" w:cs="Arial"/>
          <w:color w:val="000000" w:themeColor="text1"/>
          <w:sz w:val="21"/>
          <w:szCs w:val="21"/>
          <w:lang w:val="es-ES_tradnl"/>
        </w:rPr>
        <w:t xml:space="preserve"> En caso de ser afirmativa la respuesta a la pregunta del literal b, ¿Mientras no sean adoptados por Colombia Compra Eficiente Documentos Tipo para los Convenios Solidarios, se entiende que no es aplicable a estos lo dispuesto en el artículo 56 de la Ley 2195 de 2022?»</w:t>
      </w:r>
    </w:p>
    <w:p w14:paraId="79D87D9D" w14:textId="77777777" w:rsidR="008D4C74" w:rsidRPr="00112A89" w:rsidRDefault="008D4C74" w:rsidP="002B79EF">
      <w:pPr>
        <w:spacing w:line="276" w:lineRule="auto"/>
        <w:jc w:val="both"/>
        <w:rPr>
          <w:rFonts w:ascii="Arial" w:eastAsia="Calibri" w:hAnsi="Arial" w:cs="Arial"/>
          <w:color w:val="000000"/>
          <w:sz w:val="22"/>
          <w:szCs w:val="22"/>
          <w:lang w:val="es-ES_tradnl" w:eastAsia="es-ES"/>
        </w:rPr>
      </w:pPr>
    </w:p>
    <w:p w14:paraId="1D42153B" w14:textId="34CF56BF" w:rsidR="0046107F" w:rsidRPr="00112A89" w:rsidRDefault="0046107F" w:rsidP="006E6136">
      <w:pPr>
        <w:spacing w:line="276" w:lineRule="auto"/>
        <w:jc w:val="both"/>
        <w:rPr>
          <w:rFonts w:ascii="Arial" w:eastAsia="Calibri" w:hAnsi="Arial" w:cs="Arial"/>
          <w:color w:val="000000" w:themeColor="text1"/>
          <w:sz w:val="22"/>
          <w:szCs w:val="22"/>
        </w:rPr>
      </w:pPr>
      <w:r w:rsidRPr="00112A89">
        <w:rPr>
          <w:rFonts w:ascii="Arial" w:eastAsia="Calibri" w:hAnsi="Arial" w:cs="Arial"/>
          <w:color w:val="000000" w:themeColor="text1"/>
          <w:sz w:val="22"/>
          <w:szCs w:val="22"/>
        </w:rPr>
        <w:t>En armonía con lo expresado anteriormente, se responden en bloque estas tres preguntas, precisando que, en efecto,</w:t>
      </w:r>
      <w:r w:rsidR="0096649D" w:rsidRPr="00112A89">
        <w:rPr>
          <w:rFonts w:ascii="Arial" w:eastAsia="Calibri" w:hAnsi="Arial" w:cs="Arial"/>
          <w:color w:val="000000" w:themeColor="text1"/>
          <w:sz w:val="22"/>
          <w:szCs w:val="22"/>
        </w:rPr>
        <w:t xml:space="preserve"> si una entidad estatal sometida al Estatuto General de Contratación de la Administración Pública pretende celebrar un convenio solidario con un organismo de acción comunal y sobre el objeto del contrato la Agencia Nacional de Contratación Pública – Colombia Compra Eficiente</w:t>
      </w:r>
      <w:r w:rsidR="002775EF" w:rsidRPr="00112A89">
        <w:rPr>
          <w:rFonts w:ascii="Arial" w:eastAsia="Calibri" w:hAnsi="Arial" w:cs="Arial"/>
          <w:color w:val="000000" w:themeColor="text1"/>
          <w:sz w:val="22"/>
          <w:szCs w:val="22"/>
        </w:rPr>
        <w:t xml:space="preserve"> ha adoptado un documento tipo, este se debe aplicar para la suscripción del </w:t>
      </w:r>
      <w:r w:rsidR="000E40D4" w:rsidRPr="00112A89">
        <w:rPr>
          <w:rFonts w:ascii="Arial" w:eastAsia="Calibri" w:hAnsi="Arial" w:cs="Arial"/>
          <w:color w:val="000000" w:themeColor="text1"/>
          <w:sz w:val="22"/>
          <w:szCs w:val="22"/>
        </w:rPr>
        <w:t>convenio solidario</w:t>
      </w:r>
      <w:r w:rsidR="00806A28" w:rsidRPr="00112A89">
        <w:rPr>
          <w:rFonts w:ascii="Arial" w:eastAsia="Calibri" w:hAnsi="Arial" w:cs="Arial"/>
          <w:color w:val="000000" w:themeColor="text1"/>
          <w:sz w:val="22"/>
          <w:szCs w:val="22"/>
        </w:rPr>
        <w:t xml:space="preserve">, </w:t>
      </w:r>
      <w:r w:rsidR="009D7C2F" w:rsidRPr="00112A89">
        <w:rPr>
          <w:rFonts w:ascii="Arial" w:eastAsia="Calibri" w:hAnsi="Arial" w:cs="Arial"/>
          <w:color w:val="000000" w:themeColor="text1"/>
          <w:sz w:val="22"/>
          <w:szCs w:val="22"/>
        </w:rPr>
        <w:t>sin importar el</w:t>
      </w:r>
      <w:r w:rsidR="00806A28" w:rsidRPr="00112A89">
        <w:rPr>
          <w:rFonts w:ascii="Arial" w:eastAsia="Calibri" w:hAnsi="Arial" w:cs="Arial"/>
          <w:color w:val="000000" w:themeColor="text1"/>
          <w:sz w:val="22"/>
          <w:szCs w:val="22"/>
        </w:rPr>
        <w:t xml:space="preserve"> régimen jurídico de los organismos de acción comunal.</w:t>
      </w:r>
      <w:r w:rsidR="00FB28B7" w:rsidRPr="00112A89">
        <w:rPr>
          <w:rFonts w:ascii="Arial" w:eastAsia="Calibri" w:hAnsi="Arial" w:cs="Arial"/>
          <w:color w:val="000000" w:themeColor="text1"/>
          <w:sz w:val="22"/>
          <w:szCs w:val="22"/>
        </w:rPr>
        <w:t xml:space="preserve"> Por tanto, los </w:t>
      </w:r>
      <w:r w:rsidR="00D37A4D" w:rsidRPr="00112A89">
        <w:rPr>
          <w:rFonts w:ascii="Arial" w:eastAsia="Calibri" w:hAnsi="Arial" w:cs="Arial"/>
          <w:color w:val="000000" w:themeColor="text1"/>
          <w:sz w:val="22"/>
          <w:szCs w:val="22"/>
        </w:rPr>
        <w:t xml:space="preserve">contratos que se realicen en ejecución de los convenios solidarios para adquirir </w:t>
      </w:r>
      <w:r w:rsidR="00FB28B7" w:rsidRPr="00112A89">
        <w:rPr>
          <w:rFonts w:ascii="Arial" w:eastAsia="Calibri" w:hAnsi="Arial" w:cs="Arial"/>
          <w:color w:val="000000" w:themeColor="text1"/>
          <w:sz w:val="22"/>
          <w:szCs w:val="22"/>
        </w:rPr>
        <w:t>bienes y servicios</w:t>
      </w:r>
      <w:r w:rsidR="00D37A4D" w:rsidRPr="00112A89">
        <w:rPr>
          <w:rFonts w:ascii="Arial" w:eastAsia="Calibri" w:hAnsi="Arial" w:cs="Arial"/>
          <w:color w:val="000000" w:themeColor="text1"/>
          <w:sz w:val="22"/>
          <w:szCs w:val="22"/>
        </w:rPr>
        <w:t xml:space="preserve">, </w:t>
      </w:r>
      <w:r w:rsidR="00435CFD" w:rsidRPr="00112A89">
        <w:rPr>
          <w:rFonts w:ascii="Arial" w:eastAsia="Calibri" w:hAnsi="Arial" w:cs="Arial"/>
          <w:color w:val="000000" w:themeColor="text1"/>
          <w:sz w:val="22"/>
          <w:szCs w:val="22"/>
        </w:rPr>
        <w:t xml:space="preserve">siempre que en dichos convenios rijan los documentos tipo, </w:t>
      </w:r>
      <w:r w:rsidR="001D72B0" w:rsidRPr="00112A89">
        <w:rPr>
          <w:rFonts w:ascii="Arial" w:eastAsia="Calibri" w:hAnsi="Arial" w:cs="Arial"/>
          <w:color w:val="000000" w:themeColor="text1"/>
          <w:sz w:val="22"/>
          <w:szCs w:val="22"/>
        </w:rPr>
        <w:t>deberán</w:t>
      </w:r>
      <w:r w:rsidR="00F020BB" w:rsidRPr="00112A89">
        <w:rPr>
          <w:rFonts w:ascii="Arial" w:eastAsia="Calibri" w:hAnsi="Arial" w:cs="Arial"/>
          <w:color w:val="000000" w:themeColor="text1"/>
          <w:sz w:val="22"/>
          <w:szCs w:val="22"/>
        </w:rPr>
        <w:t>,</w:t>
      </w:r>
      <w:r w:rsidR="001D72B0" w:rsidRPr="00112A89">
        <w:rPr>
          <w:rFonts w:ascii="Arial" w:eastAsia="Calibri" w:hAnsi="Arial" w:cs="Arial"/>
          <w:color w:val="000000" w:themeColor="text1"/>
          <w:sz w:val="22"/>
          <w:szCs w:val="22"/>
        </w:rPr>
        <w:t xml:space="preserve"> además</w:t>
      </w:r>
      <w:r w:rsidR="00F020BB" w:rsidRPr="00112A89">
        <w:rPr>
          <w:rFonts w:ascii="Arial" w:eastAsia="Calibri" w:hAnsi="Arial" w:cs="Arial"/>
          <w:color w:val="000000" w:themeColor="text1"/>
          <w:sz w:val="22"/>
          <w:szCs w:val="22"/>
        </w:rPr>
        <w:t>,</w:t>
      </w:r>
      <w:r w:rsidR="001D72B0" w:rsidRPr="00112A89">
        <w:rPr>
          <w:rFonts w:ascii="Arial" w:eastAsia="Calibri" w:hAnsi="Arial" w:cs="Arial"/>
          <w:color w:val="000000" w:themeColor="text1"/>
          <w:sz w:val="22"/>
          <w:szCs w:val="22"/>
        </w:rPr>
        <w:t xml:space="preserve"> aplicar el Estatuto General de Contratación de la Administración Pública.</w:t>
      </w:r>
      <w:r w:rsidR="008163AB" w:rsidRPr="00112A89">
        <w:rPr>
          <w:rFonts w:ascii="Arial" w:eastAsia="Calibri" w:hAnsi="Arial" w:cs="Arial"/>
          <w:color w:val="000000" w:themeColor="text1"/>
          <w:sz w:val="22"/>
          <w:szCs w:val="22"/>
        </w:rPr>
        <w:t xml:space="preserve"> Si sobre el convenio solidario</w:t>
      </w:r>
      <w:r w:rsidR="00BA5A50" w:rsidRPr="00112A89">
        <w:rPr>
          <w:rFonts w:ascii="Arial" w:eastAsia="Calibri" w:hAnsi="Arial" w:cs="Arial"/>
          <w:color w:val="000000" w:themeColor="text1"/>
          <w:sz w:val="22"/>
          <w:szCs w:val="22"/>
        </w:rPr>
        <w:t>,</w:t>
      </w:r>
      <w:r w:rsidR="00736805" w:rsidRPr="00112A89">
        <w:rPr>
          <w:rFonts w:ascii="Arial" w:eastAsia="Calibri" w:hAnsi="Arial" w:cs="Arial"/>
          <w:color w:val="000000" w:themeColor="text1"/>
          <w:sz w:val="22"/>
          <w:szCs w:val="22"/>
        </w:rPr>
        <w:t xml:space="preserve"> que busca celebrarse</w:t>
      </w:r>
      <w:r w:rsidR="00BA5A50" w:rsidRPr="00112A89">
        <w:rPr>
          <w:rFonts w:ascii="Arial" w:eastAsia="Calibri" w:hAnsi="Arial" w:cs="Arial"/>
          <w:color w:val="000000" w:themeColor="text1"/>
          <w:sz w:val="22"/>
          <w:szCs w:val="22"/>
        </w:rPr>
        <w:t>,</w:t>
      </w:r>
      <w:r w:rsidR="00736805" w:rsidRPr="00112A89">
        <w:rPr>
          <w:rFonts w:ascii="Arial" w:eastAsia="Calibri" w:hAnsi="Arial" w:cs="Arial"/>
          <w:color w:val="000000" w:themeColor="text1"/>
          <w:sz w:val="22"/>
          <w:szCs w:val="22"/>
        </w:rPr>
        <w:t xml:space="preserve"> la Agencia Nacional de Contratación Pública – Colombia Compra Eficiente </w:t>
      </w:r>
      <w:r w:rsidR="00736805" w:rsidRPr="00112A89">
        <w:rPr>
          <w:rFonts w:ascii="Arial" w:eastAsia="Calibri" w:hAnsi="Arial" w:cs="Arial"/>
          <w:i/>
          <w:iCs/>
          <w:color w:val="000000" w:themeColor="text1"/>
          <w:sz w:val="22"/>
          <w:szCs w:val="22"/>
        </w:rPr>
        <w:t>no</w:t>
      </w:r>
      <w:r w:rsidR="00736805" w:rsidRPr="00112A89">
        <w:rPr>
          <w:rFonts w:ascii="Arial" w:eastAsia="Calibri" w:hAnsi="Arial" w:cs="Arial"/>
          <w:color w:val="000000" w:themeColor="text1"/>
          <w:sz w:val="22"/>
          <w:szCs w:val="22"/>
        </w:rPr>
        <w:t xml:space="preserve"> ha adoptado documentos tipo, por sustracción de materia, no es aplicable la obligación contenida en el artículo 56 de la Ley 2195 de 2022</w:t>
      </w:r>
      <w:r w:rsidR="008531CE" w:rsidRPr="00112A89">
        <w:rPr>
          <w:rFonts w:ascii="Arial" w:eastAsia="Calibri" w:hAnsi="Arial" w:cs="Arial"/>
          <w:color w:val="000000" w:themeColor="text1"/>
          <w:sz w:val="22"/>
          <w:szCs w:val="22"/>
        </w:rPr>
        <w:t xml:space="preserve">, pues esta disposición normativa parte del supuesto de la existencia de </w:t>
      </w:r>
      <w:r w:rsidR="002E49CD" w:rsidRPr="00112A89">
        <w:rPr>
          <w:rFonts w:ascii="Arial" w:eastAsia="Calibri" w:hAnsi="Arial" w:cs="Arial"/>
          <w:color w:val="000000" w:themeColor="text1"/>
          <w:sz w:val="22"/>
          <w:szCs w:val="22"/>
        </w:rPr>
        <w:t xml:space="preserve">documentos tipo proferidos por la Agencia. En tal caso, los entes territoriales deberán aplicar lo </w:t>
      </w:r>
      <w:r w:rsidR="006E6136" w:rsidRPr="00112A89">
        <w:rPr>
          <w:rFonts w:ascii="Arial" w:eastAsia="Calibri" w:hAnsi="Arial" w:cs="Arial"/>
          <w:color w:val="000000" w:themeColor="text1"/>
          <w:sz w:val="22"/>
          <w:szCs w:val="22"/>
        </w:rPr>
        <w:t xml:space="preserve">previsto en los artículos 63 y 95 de la Ley 2166 de 2021, así como en las demás normas jurídicas que los complementan, tal como se explicó en </w:t>
      </w:r>
      <w:r w:rsidR="00F020BB" w:rsidRPr="00112A89">
        <w:rPr>
          <w:rFonts w:ascii="Arial" w:eastAsia="Calibri" w:hAnsi="Arial" w:cs="Arial"/>
          <w:color w:val="000000" w:themeColor="text1"/>
          <w:sz w:val="22"/>
          <w:szCs w:val="22"/>
        </w:rPr>
        <w:t xml:space="preserve">los </w:t>
      </w:r>
      <w:r w:rsidR="006E6136" w:rsidRPr="00112A89">
        <w:rPr>
          <w:rFonts w:ascii="Arial" w:eastAsia="Calibri" w:hAnsi="Arial" w:cs="Arial"/>
          <w:color w:val="000000" w:themeColor="text1"/>
          <w:sz w:val="22"/>
          <w:szCs w:val="22"/>
        </w:rPr>
        <w:t>numeral</w:t>
      </w:r>
      <w:r w:rsidR="00F020BB" w:rsidRPr="00112A89">
        <w:rPr>
          <w:rFonts w:ascii="Arial" w:eastAsia="Calibri" w:hAnsi="Arial" w:cs="Arial"/>
          <w:color w:val="000000" w:themeColor="text1"/>
          <w:sz w:val="22"/>
          <w:szCs w:val="22"/>
        </w:rPr>
        <w:t>es</w:t>
      </w:r>
      <w:r w:rsidR="006E6136" w:rsidRPr="00112A89">
        <w:rPr>
          <w:rFonts w:ascii="Arial" w:eastAsia="Calibri" w:hAnsi="Arial" w:cs="Arial"/>
          <w:color w:val="000000" w:themeColor="text1"/>
          <w:sz w:val="22"/>
          <w:szCs w:val="22"/>
        </w:rPr>
        <w:t xml:space="preserve"> 2.1. y 2.2. de este concepto.</w:t>
      </w:r>
    </w:p>
    <w:p w14:paraId="125B15E3" w14:textId="77777777" w:rsidR="0046107F" w:rsidRPr="00112A89" w:rsidRDefault="0046107F" w:rsidP="00DF76A2">
      <w:pPr>
        <w:spacing w:line="276" w:lineRule="auto"/>
        <w:jc w:val="both"/>
        <w:rPr>
          <w:rFonts w:ascii="Arial" w:hAnsi="Arial" w:cs="Arial"/>
          <w:color w:val="000000" w:themeColor="text1"/>
          <w:sz w:val="22"/>
        </w:rPr>
      </w:pPr>
    </w:p>
    <w:p w14:paraId="7B2C921D" w14:textId="0B352F0F" w:rsidR="00DD5B04" w:rsidRPr="00112A89" w:rsidRDefault="00DD5B04" w:rsidP="00DF76A2">
      <w:pPr>
        <w:spacing w:line="276" w:lineRule="auto"/>
        <w:jc w:val="both"/>
        <w:rPr>
          <w:rFonts w:ascii="Arial" w:hAnsi="Arial" w:cs="Arial"/>
          <w:color w:val="000000" w:themeColor="text1"/>
          <w:sz w:val="22"/>
          <w:lang w:val="es-ES_tradnl"/>
        </w:rPr>
      </w:pPr>
      <w:r w:rsidRPr="00112A89">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112A89"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112A89"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112A89">
        <w:rPr>
          <w:rFonts w:ascii="Arial" w:hAnsi="Arial" w:cs="Arial"/>
          <w:color w:val="000000" w:themeColor="text1"/>
          <w:sz w:val="22"/>
          <w:szCs w:val="22"/>
          <w:lang w:val="es-ES_tradnl"/>
        </w:rPr>
        <w:t>Atentamente,</w:t>
      </w:r>
    </w:p>
    <w:p w14:paraId="7012FFEC" w14:textId="77777777" w:rsidR="00361E78" w:rsidRPr="00112A89" w:rsidRDefault="00361E78" w:rsidP="00361E78">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23F100DD" w14:textId="77777777" w:rsidR="00361E78" w:rsidRPr="00112A89" w:rsidRDefault="00361E78" w:rsidP="00361E78">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6FBAE923" w14:textId="6A1EC1E4" w:rsidR="00361E78" w:rsidRPr="00112A89" w:rsidRDefault="00EF2179" w:rsidP="00EF2179">
      <w:pPr>
        <w:pStyle w:val="NormalWeb"/>
        <w:spacing w:before="0" w:beforeAutospacing="0" w:after="0" w:afterAutospacing="0" w:line="276" w:lineRule="auto"/>
        <w:jc w:val="center"/>
        <w:rPr>
          <w:rFonts w:ascii="Arial" w:hAnsi="Arial" w:cs="Arial"/>
          <w:color w:val="000000" w:themeColor="text1"/>
          <w:lang w:val="es-ES_tradnl"/>
        </w:rPr>
      </w:pPr>
      <w:r>
        <w:rPr>
          <w:noProof/>
        </w:rPr>
        <w:drawing>
          <wp:inline distT="0" distB="0" distL="0" distR="0" wp14:anchorId="39012C62" wp14:editId="7D107C4C">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708ECF29" w14:textId="77777777" w:rsidR="00361E78" w:rsidRPr="00112A89" w:rsidRDefault="00361E78" w:rsidP="00361E78">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61E78" w:rsidRPr="00112A89" w14:paraId="4665EFA3" w14:textId="77777777" w:rsidTr="00857B4E">
        <w:trPr>
          <w:trHeight w:val="315"/>
        </w:trPr>
        <w:tc>
          <w:tcPr>
            <w:tcW w:w="812" w:type="dxa"/>
            <w:vAlign w:val="center"/>
            <w:hideMark/>
          </w:tcPr>
          <w:p w14:paraId="31AE4404" w14:textId="77777777" w:rsidR="00361E78" w:rsidRPr="00112A89" w:rsidRDefault="00361E78" w:rsidP="00857B4E">
            <w:pPr>
              <w:jc w:val="both"/>
              <w:rPr>
                <w:rFonts w:ascii="Arial" w:hAnsi="Arial" w:cs="Arial"/>
                <w:color w:val="000000" w:themeColor="text1"/>
                <w:sz w:val="16"/>
                <w:szCs w:val="16"/>
                <w:lang w:val="es-ES_tradnl" w:eastAsia="es-ES"/>
              </w:rPr>
            </w:pPr>
            <w:r w:rsidRPr="00112A89">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05742B7E" w14:textId="77777777" w:rsidR="00361E78" w:rsidRPr="00112A89" w:rsidRDefault="00361E78" w:rsidP="00857B4E">
            <w:pPr>
              <w:jc w:val="both"/>
              <w:rPr>
                <w:rFonts w:ascii="Arial" w:hAnsi="Arial" w:cs="Arial"/>
                <w:color w:val="000000" w:themeColor="text1"/>
                <w:sz w:val="16"/>
                <w:szCs w:val="16"/>
                <w:lang w:val="es-ES_tradnl" w:eastAsia="es-ES"/>
              </w:rPr>
            </w:pPr>
            <w:r w:rsidRPr="00112A89">
              <w:rPr>
                <w:rFonts w:ascii="Arial" w:hAnsi="Arial" w:cs="Arial"/>
                <w:color w:val="000000" w:themeColor="text1"/>
                <w:sz w:val="16"/>
                <w:szCs w:val="16"/>
                <w:lang w:val="es-ES_tradnl" w:eastAsia="es-ES"/>
              </w:rPr>
              <w:t>Cristian Andrés Díaz Díez</w:t>
            </w:r>
          </w:p>
          <w:p w14:paraId="54B532AD" w14:textId="77777777" w:rsidR="00361E78" w:rsidRPr="00112A89" w:rsidRDefault="00361E78" w:rsidP="00857B4E">
            <w:pPr>
              <w:jc w:val="both"/>
              <w:rPr>
                <w:rFonts w:ascii="Arial" w:hAnsi="Arial" w:cs="Arial"/>
                <w:color w:val="000000" w:themeColor="text1"/>
                <w:sz w:val="16"/>
                <w:szCs w:val="16"/>
                <w:lang w:val="es-ES_tradnl" w:eastAsia="es-ES"/>
              </w:rPr>
            </w:pPr>
            <w:r w:rsidRPr="00112A89">
              <w:rPr>
                <w:rFonts w:ascii="Arial" w:hAnsi="Arial" w:cs="Arial"/>
                <w:color w:val="000000" w:themeColor="text1"/>
                <w:sz w:val="16"/>
                <w:szCs w:val="16"/>
                <w:lang w:val="es-ES_tradnl" w:eastAsia="es-ES"/>
              </w:rPr>
              <w:t>Contratista de la Subdirección de Gestión Contractual</w:t>
            </w:r>
          </w:p>
        </w:tc>
      </w:tr>
      <w:tr w:rsidR="00361E78" w:rsidRPr="00112A89" w14:paraId="2E98D739" w14:textId="77777777" w:rsidTr="00857B4E">
        <w:trPr>
          <w:trHeight w:val="330"/>
        </w:trPr>
        <w:tc>
          <w:tcPr>
            <w:tcW w:w="812" w:type="dxa"/>
            <w:vAlign w:val="center"/>
            <w:hideMark/>
          </w:tcPr>
          <w:p w14:paraId="4FA7236B" w14:textId="77777777" w:rsidR="00361E78" w:rsidRPr="00112A89" w:rsidRDefault="00361E78" w:rsidP="00857B4E">
            <w:pPr>
              <w:jc w:val="both"/>
              <w:rPr>
                <w:rFonts w:ascii="Arial" w:hAnsi="Arial" w:cs="Arial"/>
                <w:color w:val="000000" w:themeColor="text1"/>
                <w:sz w:val="16"/>
                <w:szCs w:val="16"/>
                <w:lang w:val="es-ES_tradnl" w:eastAsia="es-ES"/>
              </w:rPr>
            </w:pPr>
            <w:r w:rsidRPr="00112A89">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A06AC97" w14:textId="77777777" w:rsidR="00361E78" w:rsidRPr="00112A89" w:rsidRDefault="00361E78" w:rsidP="00857B4E">
            <w:pPr>
              <w:jc w:val="both"/>
              <w:rPr>
                <w:rFonts w:ascii="Arial" w:hAnsi="Arial" w:cs="Arial"/>
                <w:color w:val="000000" w:themeColor="text1"/>
                <w:sz w:val="16"/>
                <w:szCs w:val="16"/>
                <w:lang w:val="es-ES_tradnl" w:eastAsia="es-ES"/>
              </w:rPr>
            </w:pPr>
            <w:r w:rsidRPr="00112A89">
              <w:rPr>
                <w:rFonts w:ascii="Arial" w:hAnsi="Arial" w:cs="Arial"/>
                <w:color w:val="000000" w:themeColor="text1"/>
                <w:sz w:val="16"/>
                <w:szCs w:val="16"/>
                <w:lang w:val="es-ES_tradnl" w:eastAsia="es-ES"/>
              </w:rPr>
              <w:t>Juan David Montoya Penagos</w:t>
            </w:r>
          </w:p>
          <w:p w14:paraId="4D180C33" w14:textId="77777777" w:rsidR="00361E78" w:rsidRPr="00112A89" w:rsidRDefault="00361E78" w:rsidP="00857B4E">
            <w:pPr>
              <w:jc w:val="both"/>
              <w:rPr>
                <w:rFonts w:ascii="Arial" w:hAnsi="Arial" w:cs="Arial"/>
                <w:color w:val="000000" w:themeColor="text1"/>
                <w:sz w:val="16"/>
                <w:szCs w:val="16"/>
                <w:lang w:val="es-ES_tradnl" w:eastAsia="es-ES"/>
              </w:rPr>
            </w:pPr>
            <w:r w:rsidRPr="00112A89">
              <w:rPr>
                <w:rFonts w:ascii="Arial" w:hAnsi="Arial" w:cs="Arial"/>
                <w:color w:val="000000" w:themeColor="text1"/>
                <w:sz w:val="16"/>
                <w:szCs w:val="16"/>
                <w:lang w:eastAsia="es-ES"/>
              </w:rPr>
              <w:t>Gestor T1-15 de la Subdirección de Gestión Contractual</w:t>
            </w:r>
          </w:p>
        </w:tc>
      </w:tr>
      <w:tr w:rsidR="00361E78" w:rsidRPr="00E37D50" w14:paraId="5F571217" w14:textId="77777777" w:rsidTr="00857B4E">
        <w:trPr>
          <w:trHeight w:val="300"/>
        </w:trPr>
        <w:tc>
          <w:tcPr>
            <w:tcW w:w="812" w:type="dxa"/>
            <w:vAlign w:val="center"/>
            <w:hideMark/>
          </w:tcPr>
          <w:p w14:paraId="38855F41" w14:textId="77777777" w:rsidR="00361E78" w:rsidRPr="00112A89" w:rsidRDefault="00361E78" w:rsidP="00857B4E">
            <w:pPr>
              <w:jc w:val="both"/>
              <w:rPr>
                <w:rFonts w:ascii="Arial" w:hAnsi="Arial" w:cs="Arial"/>
                <w:color w:val="000000" w:themeColor="text1"/>
                <w:sz w:val="16"/>
                <w:szCs w:val="16"/>
                <w:lang w:val="es-ES_tradnl" w:eastAsia="es-ES"/>
              </w:rPr>
            </w:pPr>
            <w:r w:rsidRPr="00112A89">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FA40745" w14:textId="77777777" w:rsidR="00361E78" w:rsidRPr="00112A89" w:rsidRDefault="00361E78" w:rsidP="00857B4E">
            <w:pPr>
              <w:jc w:val="both"/>
              <w:rPr>
                <w:rFonts w:ascii="Arial" w:hAnsi="Arial" w:cs="Arial"/>
                <w:color w:val="000000" w:themeColor="text1"/>
                <w:sz w:val="16"/>
                <w:szCs w:val="16"/>
                <w:lang w:val="es-ES_tradnl" w:eastAsia="es-ES"/>
              </w:rPr>
            </w:pPr>
            <w:r w:rsidRPr="00112A89">
              <w:rPr>
                <w:rFonts w:ascii="Arial" w:hAnsi="Arial" w:cs="Arial"/>
                <w:color w:val="000000" w:themeColor="text1"/>
                <w:sz w:val="16"/>
                <w:szCs w:val="16"/>
                <w:lang w:val="es-ES_tradnl" w:eastAsia="es-ES"/>
              </w:rPr>
              <w:t>Jorge Augusto Tirado Navarro</w:t>
            </w:r>
          </w:p>
          <w:p w14:paraId="02B7C6ED" w14:textId="77777777" w:rsidR="00361E78" w:rsidRPr="00E37D50" w:rsidRDefault="00361E78" w:rsidP="00857B4E">
            <w:pPr>
              <w:jc w:val="both"/>
              <w:rPr>
                <w:rFonts w:ascii="Arial" w:hAnsi="Arial" w:cs="Arial"/>
                <w:color w:val="000000" w:themeColor="text1"/>
                <w:sz w:val="16"/>
                <w:szCs w:val="16"/>
                <w:lang w:val="es-ES_tradnl" w:eastAsia="es-ES"/>
              </w:rPr>
            </w:pPr>
            <w:r w:rsidRPr="00112A89">
              <w:rPr>
                <w:rFonts w:ascii="Arial" w:hAnsi="Arial" w:cs="Arial"/>
                <w:color w:val="000000" w:themeColor="text1"/>
                <w:sz w:val="16"/>
                <w:szCs w:val="16"/>
                <w:lang w:val="es-ES_tradnl" w:eastAsia="es-ES"/>
              </w:rPr>
              <w:t>Subdirector de Gestión Contractual ANCP – CCE</w:t>
            </w:r>
          </w:p>
        </w:tc>
      </w:tr>
    </w:tbl>
    <w:p w14:paraId="35B56F46" w14:textId="1E4A9E5A" w:rsidR="00746E08" w:rsidRPr="00F020BB" w:rsidRDefault="00746E08" w:rsidP="00F020BB">
      <w:pPr>
        <w:tabs>
          <w:tab w:val="left" w:pos="3795"/>
        </w:tabs>
        <w:rPr>
          <w:rFonts w:ascii="Arial" w:hAnsi="Arial" w:cs="Arial"/>
          <w:color w:val="000000" w:themeColor="text1"/>
          <w:lang w:val="es-ES_tradnl"/>
        </w:rPr>
      </w:pPr>
    </w:p>
    <w:sectPr w:rsidR="00746E08" w:rsidRPr="00F020BB" w:rsidSect="005D791B">
      <w:headerReference w:type="default" r:id="rId22"/>
      <w:footerReference w:type="default" r:id="rId2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6573C" w14:textId="77777777" w:rsidR="00010FFD" w:rsidRDefault="00010FFD">
      <w:r>
        <w:separator/>
      </w:r>
    </w:p>
  </w:endnote>
  <w:endnote w:type="continuationSeparator" w:id="0">
    <w:p w14:paraId="61A854EA" w14:textId="77777777" w:rsidR="00010FFD" w:rsidRDefault="00010FFD">
      <w:r>
        <w:continuationSeparator/>
      </w:r>
    </w:p>
  </w:endnote>
  <w:endnote w:type="continuationNotice" w:id="1">
    <w:p w14:paraId="375FADED" w14:textId="77777777" w:rsidR="00010FFD" w:rsidRDefault="00010F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0CEA0" w14:textId="77777777" w:rsidR="00010FFD" w:rsidRDefault="00010FFD">
      <w:r>
        <w:separator/>
      </w:r>
    </w:p>
  </w:footnote>
  <w:footnote w:type="continuationSeparator" w:id="0">
    <w:p w14:paraId="611093CF" w14:textId="77777777" w:rsidR="00010FFD" w:rsidRDefault="00010FFD">
      <w:r>
        <w:continuationSeparator/>
      </w:r>
    </w:p>
  </w:footnote>
  <w:footnote w:type="continuationNotice" w:id="1">
    <w:p w14:paraId="2009B81F" w14:textId="77777777" w:rsidR="00010FFD" w:rsidRDefault="00010FFD"/>
  </w:footnote>
  <w:footnote w:id="2">
    <w:p w14:paraId="46E6BBF2" w14:textId="77777777" w:rsidR="0018226D" w:rsidRPr="009616D4" w:rsidRDefault="0018226D" w:rsidP="00A91709">
      <w:pPr>
        <w:pStyle w:val="Textonotapie"/>
        <w:ind w:firstLine="709"/>
        <w:jc w:val="both"/>
        <w:rPr>
          <w:rFonts w:ascii="Arial" w:hAnsi="Arial" w:cs="Arial"/>
          <w:color w:val="000000" w:themeColor="text1"/>
          <w:sz w:val="19"/>
          <w:szCs w:val="19"/>
          <w:lang w:val="es-ES"/>
        </w:rPr>
      </w:pPr>
      <w:r w:rsidRPr="009616D4">
        <w:rPr>
          <w:rStyle w:val="Refdenotaalpie"/>
        </w:rPr>
        <w:footnoteRef/>
      </w:r>
      <w:r w:rsidRPr="009616D4">
        <w:rPr>
          <w:rFonts w:ascii="Arial" w:hAnsi="Arial" w:cs="Arial"/>
          <w:color w:val="000000" w:themeColor="text1"/>
          <w:sz w:val="19"/>
          <w:szCs w:val="19"/>
        </w:rPr>
        <w:t xml:space="preserve"> </w:t>
      </w:r>
      <w:r w:rsidRPr="009616D4">
        <w:rPr>
          <w:rFonts w:ascii="Arial" w:hAnsi="Arial" w:cs="Arial"/>
          <w:color w:val="000000" w:themeColor="text1"/>
          <w:sz w:val="19"/>
          <w:szCs w:val="19"/>
          <w:lang w:val="es-ES"/>
        </w:rPr>
        <w:t>El numeral 16 del artículo tercero de la Ley 136 de 1994 dispone:</w:t>
      </w:r>
      <w:r w:rsidRPr="009616D4">
        <w:rPr>
          <w:rFonts w:ascii="Arial" w:hAnsi="Arial" w:cs="Arial"/>
          <w:color w:val="000000" w:themeColor="text1"/>
          <w:sz w:val="19"/>
          <w:szCs w:val="19"/>
          <w:lang w:val="es-CO"/>
        </w:rPr>
        <w:t xml:space="preserve"> «[…] </w:t>
      </w:r>
      <w:r w:rsidRPr="009616D4">
        <w:rPr>
          <w:rFonts w:ascii="Arial" w:hAnsi="Arial" w:cs="Arial"/>
          <w:color w:val="000000" w:themeColor="text1"/>
          <w:sz w:val="19"/>
          <w:szCs w:val="19"/>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9616D4">
        <w:rPr>
          <w:rFonts w:ascii="Arial" w:hAnsi="Arial" w:cs="Arial"/>
          <w:color w:val="000000" w:themeColor="text1"/>
          <w:sz w:val="19"/>
          <w:szCs w:val="19"/>
          <w:lang w:val="es-CO"/>
        </w:rPr>
        <w:t xml:space="preserve"> […]».</w:t>
      </w:r>
    </w:p>
  </w:footnote>
  <w:footnote w:id="3">
    <w:p w14:paraId="1CC51825" w14:textId="77777777" w:rsidR="0018226D" w:rsidRPr="009616D4" w:rsidRDefault="0018226D" w:rsidP="00A91709">
      <w:pPr>
        <w:pStyle w:val="Textonotapie"/>
        <w:ind w:firstLine="709"/>
        <w:jc w:val="both"/>
        <w:rPr>
          <w:rFonts w:ascii="Arial" w:hAnsi="Arial" w:cs="Arial"/>
          <w:color w:val="000000" w:themeColor="text1"/>
          <w:sz w:val="19"/>
          <w:szCs w:val="19"/>
          <w:lang w:val="es-ES"/>
        </w:rPr>
      </w:pPr>
      <w:r w:rsidRPr="009616D4">
        <w:rPr>
          <w:rStyle w:val="Refdenotaalpie"/>
        </w:rPr>
        <w:footnoteRef/>
      </w:r>
      <w:r w:rsidRPr="009616D4">
        <w:rPr>
          <w:rFonts w:ascii="Arial" w:hAnsi="Arial" w:cs="Arial"/>
          <w:color w:val="000000" w:themeColor="text1"/>
          <w:sz w:val="19"/>
          <w:szCs w:val="19"/>
        </w:rPr>
        <w:t xml:space="preserve"> Al respecto puede consultarse, entre otros, los conceptos </w:t>
      </w:r>
      <w:r w:rsidRPr="009616D4">
        <w:rPr>
          <w:rFonts w:ascii="Arial" w:hAnsi="Arial" w:cs="Arial"/>
          <w:color w:val="000000" w:themeColor="text1"/>
          <w:sz w:val="19"/>
          <w:szCs w:val="19"/>
          <w:lang w:val="es-ES"/>
        </w:rPr>
        <w:t xml:space="preserve">C–155 del 14 de abril de 2021, C-364 del 28 de julio de 2021, C-394 del 17 de septiembre de 2021 y C-627 del 25 de octubre de 2021. </w:t>
      </w:r>
    </w:p>
    <w:p w14:paraId="503C0620" w14:textId="77777777" w:rsidR="0018226D" w:rsidRPr="009616D4" w:rsidRDefault="0018226D" w:rsidP="00A91709">
      <w:pPr>
        <w:pStyle w:val="Textonotapie"/>
        <w:ind w:firstLine="709"/>
        <w:jc w:val="both"/>
        <w:rPr>
          <w:rFonts w:ascii="Arial" w:hAnsi="Arial" w:cs="Arial"/>
          <w:color w:val="000000" w:themeColor="text1"/>
          <w:sz w:val="19"/>
          <w:szCs w:val="19"/>
          <w:lang w:val="es-CO"/>
        </w:rPr>
      </w:pPr>
    </w:p>
  </w:footnote>
  <w:footnote w:id="4">
    <w:p w14:paraId="29C3ECCB" w14:textId="77777777" w:rsidR="0018226D" w:rsidRPr="009616D4" w:rsidRDefault="0018226D" w:rsidP="00A91709">
      <w:pPr>
        <w:pStyle w:val="Textonotapie"/>
        <w:ind w:firstLine="709"/>
        <w:jc w:val="both"/>
        <w:rPr>
          <w:rFonts w:ascii="Arial" w:hAnsi="Arial" w:cs="Arial"/>
          <w:color w:val="000000" w:themeColor="text1"/>
          <w:sz w:val="19"/>
          <w:szCs w:val="19"/>
        </w:rPr>
      </w:pPr>
      <w:r w:rsidRPr="009616D4">
        <w:rPr>
          <w:rStyle w:val="Refdenotaalpie"/>
        </w:rPr>
        <w:footnoteRef/>
      </w:r>
      <w:r w:rsidRPr="009616D4">
        <w:rPr>
          <w:rFonts w:ascii="Arial" w:hAnsi="Arial" w:cs="Arial"/>
          <w:color w:val="000000" w:themeColor="text1"/>
          <w:sz w:val="19"/>
          <w:szCs w:val="19"/>
        </w:rPr>
        <w:t xml:space="preserve"> 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p w14:paraId="5C5FE230" w14:textId="77777777" w:rsidR="0018226D" w:rsidRPr="009616D4" w:rsidRDefault="0018226D" w:rsidP="00A91709">
      <w:pPr>
        <w:pStyle w:val="Textonotapie"/>
        <w:ind w:firstLine="709"/>
        <w:jc w:val="both"/>
        <w:rPr>
          <w:rFonts w:ascii="Arial" w:hAnsi="Arial" w:cs="Arial"/>
          <w:color w:val="000000" w:themeColor="text1"/>
          <w:sz w:val="19"/>
          <w:szCs w:val="19"/>
          <w:lang w:val="es-CO"/>
        </w:rPr>
      </w:pPr>
    </w:p>
  </w:footnote>
  <w:footnote w:id="5">
    <w:p w14:paraId="65753F59" w14:textId="77777777" w:rsidR="0018226D" w:rsidRPr="009616D4" w:rsidRDefault="0018226D" w:rsidP="00A91709">
      <w:pPr>
        <w:pStyle w:val="Textonotapie"/>
        <w:ind w:firstLine="709"/>
        <w:jc w:val="both"/>
        <w:rPr>
          <w:rFonts w:ascii="Arial" w:hAnsi="Arial" w:cs="Arial"/>
          <w:color w:val="000000" w:themeColor="text1"/>
          <w:sz w:val="19"/>
          <w:szCs w:val="19"/>
        </w:rPr>
      </w:pPr>
      <w:r w:rsidRPr="009616D4">
        <w:rPr>
          <w:rStyle w:val="Refdenotaalpie"/>
        </w:rPr>
        <w:footnoteRef/>
      </w:r>
      <w:r w:rsidRPr="009616D4">
        <w:rPr>
          <w:rFonts w:ascii="Arial" w:hAnsi="Arial" w:cs="Arial"/>
          <w:color w:val="000000" w:themeColor="text1"/>
          <w:sz w:val="19"/>
          <w:szCs w:val="19"/>
        </w:rPr>
        <w:t xml:space="preserve"> Ley 743 del 2002 «Artículo 55. </w:t>
      </w:r>
      <w:bookmarkStart w:id="4" w:name="_Hlk98586808"/>
      <w:r w:rsidRPr="009616D4">
        <w:rPr>
          <w:rFonts w:ascii="Arial" w:hAnsi="Arial" w:cs="Arial"/>
          <w:color w:val="000000" w:themeColor="text1"/>
          <w:sz w:val="19"/>
          <w:szCs w:val="19"/>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14:paraId="5E0C3975" w14:textId="77777777" w:rsidR="0018226D" w:rsidRPr="009616D4" w:rsidRDefault="0018226D" w:rsidP="00A91709">
      <w:pPr>
        <w:pStyle w:val="Textonotapie"/>
        <w:ind w:firstLine="709"/>
        <w:jc w:val="both"/>
        <w:rPr>
          <w:rFonts w:ascii="Arial" w:hAnsi="Arial" w:cs="Arial"/>
          <w:color w:val="000000" w:themeColor="text1"/>
          <w:sz w:val="19"/>
          <w:szCs w:val="19"/>
          <w:lang w:val="es-CO"/>
        </w:rPr>
      </w:pPr>
      <w:r w:rsidRPr="009616D4">
        <w:rPr>
          <w:rFonts w:ascii="Arial" w:hAnsi="Arial" w:cs="Arial"/>
          <w:color w:val="000000" w:themeColor="text1"/>
          <w:sz w:val="19"/>
          <w:szCs w:val="19"/>
        </w:rPr>
        <w:t xml:space="preserve">»Los contratos o convenios que celebren los organismos comunales se regularán por el régimen vigente de contratación para organizaciones solidarias».  </w:t>
      </w:r>
      <w:bookmarkEnd w:id="4"/>
    </w:p>
  </w:footnote>
  <w:footnote w:id="6">
    <w:p w14:paraId="16052E93" w14:textId="77777777" w:rsidR="0018226D" w:rsidRPr="009616D4" w:rsidRDefault="0018226D" w:rsidP="00A91709">
      <w:pPr>
        <w:pStyle w:val="Textonotapie"/>
        <w:ind w:firstLine="709"/>
        <w:jc w:val="both"/>
        <w:rPr>
          <w:rFonts w:ascii="Arial" w:hAnsi="Arial" w:cs="Arial"/>
          <w:color w:val="000000" w:themeColor="text1"/>
          <w:sz w:val="19"/>
          <w:szCs w:val="19"/>
          <w:lang w:val="es-CO"/>
        </w:rPr>
      </w:pPr>
      <w:r w:rsidRPr="009616D4">
        <w:rPr>
          <w:rStyle w:val="Refdenotaalpie"/>
        </w:rPr>
        <w:footnoteRef/>
      </w:r>
      <w:r w:rsidRPr="009616D4">
        <w:rPr>
          <w:rFonts w:ascii="Arial" w:hAnsi="Arial" w:cs="Arial"/>
          <w:color w:val="000000" w:themeColor="text1"/>
          <w:sz w:val="19"/>
          <w:szCs w:val="19"/>
        </w:rPr>
        <w:t xml:space="preserve"> Texto tomado de la ley sancionada y publicada en la página web de la presidencia de la república, disponible en el siguiente enlace: </w:t>
      </w:r>
      <w:hyperlink r:id="rId1" w:history="1">
        <w:r w:rsidRPr="009616D4">
          <w:rPr>
            <w:rStyle w:val="Hipervnculo"/>
            <w:rFonts w:ascii="Arial" w:hAnsi="Arial" w:cs="Arial"/>
            <w:color w:val="000000" w:themeColor="text1"/>
            <w:sz w:val="19"/>
            <w:szCs w:val="19"/>
          </w:rPr>
          <w:t>https://dapre.presidencia.gov.co/normativa/leyes</w:t>
        </w:r>
      </w:hyperlink>
      <w:r w:rsidRPr="009616D4">
        <w:rPr>
          <w:rFonts w:ascii="Arial" w:hAnsi="Arial" w:cs="Arial"/>
          <w:color w:val="000000" w:themeColor="text1"/>
          <w:sz w:val="19"/>
          <w:szCs w:val="19"/>
        </w:rPr>
        <w:t xml:space="preserve">. </w:t>
      </w:r>
    </w:p>
  </w:footnote>
  <w:footnote w:id="7">
    <w:p w14:paraId="5FD8748C" w14:textId="77777777" w:rsidR="0018226D" w:rsidRPr="009616D4" w:rsidRDefault="0018226D" w:rsidP="00A91709">
      <w:pPr>
        <w:pStyle w:val="Textonotapie"/>
        <w:ind w:firstLine="709"/>
        <w:jc w:val="both"/>
        <w:rPr>
          <w:rFonts w:ascii="Arial" w:hAnsi="Arial" w:cs="Arial"/>
          <w:color w:val="000000" w:themeColor="text1"/>
          <w:sz w:val="19"/>
          <w:szCs w:val="19"/>
          <w:lang w:val="es-CO"/>
        </w:rPr>
      </w:pPr>
      <w:r w:rsidRPr="009616D4">
        <w:rPr>
          <w:rStyle w:val="Refdenotaalpie"/>
        </w:rPr>
        <w:footnoteRef/>
      </w:r>
      <w:r w:rsidRPr="009616D4">
        <w:rPr>
          <w:rFonts w:ascii="Arial" w:hAnsi="Arial" w:cs="Arial"/>
          <w:color w:val="000000" w:themeColor="text1"/>
          <w:sz w:val="19"/>
          <w:szCs w:val="19"/>
        </w:rPr>
        <w:t xml:space="preserve"> </w:t>
      </w:r>
      <w:bookmarkStart w:id="6" w:name="7"/>
      <w:r w:rsidRPr="009616D4">
        <w:rPr>
          <w:rFonts w:ascii="Arial" w:eastAsia="Calibri" w:hAnsi="Arial" w:cs="Arial"/>
          <w:color w:val="000000" w:themeColor="text1"/>
          <w:sz w:val="19"/>
          <w:szCs w:val="19"/>
          <w:lang w:val="es-ES_tradnl"/>
        </w:rPr>
        <w:t>«</w:t>
      </w:r>
      <w:r w:rsidRPr="009616D4">
        <w:rPr>
          <w:rFonts w:ascii="Arial" w:hAnsi="Arial" w:cs="Arial"/>
          <w:color w:val="000000" w:themeColor="text1"/>
          <w:sz w:val="19"/>
          <w:szCs w:val="19"/>
          <w:lang w:val="es-CO"/>
        </w:rPr>
        <w:t>Artículo 7. Organismos de la Acción Comunal.</w:t>
      </w:r>
      <w:bookmarkEnd w:id="6"/>
    </w:p>
    <w:p w14:paraId="0DFC1314" w14:textId="77777777" w:rsidR="0018226D" w:rsidRPr="009616D4" w:rsidRDefault="0018226D" w:rsidP="00A91709">
      <w:pPr>
        <w:pStyle w:val="Textonotapie"/>
        <w:ind w:firstLine="709"/>
        <w:jc w:val="both"/>
        <w:rPr>
          <w:rFonts w:ascii="Arial" w:hAnsi="Arial" w:cs="Arial"/>
          <w:color w:val="000000" w:themeColor="text1"/>
          <w:sz w:val="19"/>
          <w:szCs w:val="19"/>
          <w:lang w:val="es-CO"/>
        </w:rPr>
      </w:pPr>
      <w:r w:rsidRPr="009616D4">
        <w:rPr>
          <w:rFonts w:ascii="Arial" w:eastAsia="Calibri" w:hAnsi="Arial" w:cs="Arial"/>
          <w:color w:val="000000" w:themeColor="text1"/>
          <w:sz w:val="19"/>
          <w:szCs w:val="19"/>
          <w:lang w:val="es-ES_tradnl"/>
        </w:rPr>
        <w:t>»</w:t>
      </w:r>
      <w:r w:rsidRPr="009616D4">
        <w:rPr>
          <w:rFonts w:ascii="Arial" w:hAnsi="Arial" w:cs="Arial"/>
          <w:color w:val="000000" w:themeColor="text1"/>
          <w:sz w:val="19"/>
          <w:szCs w:val="19"/>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1A748F2E" w14:textId="77777777" w:rsidR="0018226D" w:rsidRPr="009616D4" w:rsidRDefault="0018226D" w:rsidP="00A91709">
      <w:pPr>
        <w:pStyle w:val="Textonotapie"/>
        <w:ind w:firstLine="709"/>
        <w:jc w:val="both"/>
        <w:rPr>
          <w:rFonts w:ascii="Arial" w:hAnsi="Arial" w:cs="Arial"/>
          <w:color w:val="000000" w:themeColor="text1"/>
          <w:sz w:val="19"/>
          <w:szCs w:val="19"/>
          <w:lang w:val="es-CO"/>
        </w:rPr>
      </w:pPr>
      <w:r w:rsidRPr="009616D4">
        <w:rPr>
          <w:rFonts w:ascii="Arial" w:eastAsia="Calibri" w:hAnsi="Arial" w:cs="Arial"/>
          <w:color w:val="000000" w:themeColor="text1"/>
          <w:sz w:val="19"/>
          <w:szCs w:val="19"/>
          <w:lang w:val="es-ES_tradnl"/>
        </w:rPr>
        <w:t>»</w:t>
      </w:r>
      <w:r w:rsidRPr="009616D4">
        <w:rPr>
          <w:rFonts w:ascii="Arial" w:hAnsi="Arial" w:cs="Arial"/>
          <w:color w:val="000000" w:themeColor="text1"/>
          <w:sz w:val="19"/>
          <w:szCs w:val="19"/>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04A591EF" w14:textId="77777777" w:rsidR="0018226D" w:rsidRPr="009616D4" w:rsidRDefault="0018226D" w:rsidP="00A91709">
      <w:pPr>
        <w:pStyle w:val="Textonotapie"/>
        <w:ind w:firstLine="709"/>
        <w:jc w:val="both"/>
        <w:rPr>
          <w:rFonts w:ascii="Arial" w:hAnsi="Arial" w:cs="Arial"/>
          <w:color w:val="000000" w:themeColor="text1"/>
          <w:sz w:val="19"/>
          <w:szCs w:val="19"/>
          <w:lang w:val="es-CO"/>
        </w:rPr>
      </w:pPr>
      <w:r w:rsidRPr="009616D4">
        <w:rPr>
          <w:rFonts w:ascii="Arial" w:eastAsia="Calibri" w:hAnsi="Arial" w:cs="Arial"/>
          <w:color w:val="000000" w:themeColor="text1"/>
          <w:sz w:val="19"/>
          <w:szCs w:val="19"/>
          <w:lang w:val="es-ES_tradnl"/>
        </w:rPr>
        <w:t>»</w:t>
      </w:r>
      <w:r w:rsidRPr="009616D4">
        <w:rPr>
          <w:rFonts w:ascii="Arial" w:hAnsi="Arial" w:cs="Arial"/>
          <w:color w:val="000000" w:themeColor="text1"/>
          <w:sz w:val="19"/>
          <w:szCs w:val="19"/>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5EDC3678" w14:textId="77777777" w:rsidR="0018226D" w:rsidRPr="009616D4" w:rsidRDefault="0018226D" w:rsidP="00A91709">
      <w:pPr>
        <w:pStyle w:val="Textonotapie"/>
        <w:ind w:firstLine="709"/>
        <w:jc w:val="both"/>
        <w:rPr>
          <w:rFonts w:ascii="Arial" w:hAnsi="Arial" w:cs="Arial"/>
          <w:color w:val="000000" w:themeColor="text1"/>
          <w:sz w:val="19"/>
          <w:szCs w:val="19"/>
          <w:lang w:val="es-CO"/>
        </w:rPr>
      </w:pPr>
      <w:r w:rsidRPr="009616D4">
        <w:rPr>
          <w:rFonts w:ascii="Arial" w:eastAsia="Calibri" w:hAnsi="Arial" w:cs="Arial"/>
          <w:color w:val="000000" w:themeColor="text1"/>
          <w:sz w:val="19"/>
          <w:szCs w:val="19"/>
          <w:lang w:val="es-ES_tradnl"/>
        </w:rPr>
        <w:t>»</w:t>
      </w:r>
      <w:r w:rsidRPr="009616D4">
        <w:rPr>
          <w:rFonts w:ascii="Arial" w:hAnsi="Arial" w:cs="Arial"/>
          <w:color w:val="000000" w:themeColor="text1"/>
          <w:sz w:val="19"/>
          <w:szCs w:val="19"/>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41227FB9" w14:textId="77777777" w:rsidR="0018226D" w:rsidRPr="009616D4" w:rsidRDefault="0018226D" w:rsidP="00A91709">
      <w:pPr>
        <w:pStyle w:val="Textonotapie"/>
        <w:ind w:firstLine="709"/>
        <w:jc w:val="both"/>
        <w:rPr>
          <w:rFonts w:ascii="Arial" w:hAnsi="Arial" w:cs="Arial"/>
          <w:color w:val="000000" w:themeColor="text1"/>
          <w:sz w:val="19"/>
          <w:szCs w:val="19"/>
          <w:lang w:val="es-CO"/>
        </w:rPr>
      </w:pPr>
      <w:r w:rsidRPr="009616D4">
        <w:rPr>
          <w:rFonts w:ascii="Arial" w:eastAsia="Calibri" w:hAnsi="Arial" w:cs="Arial"/>
          <w:color w:val="000000" w:themeColor="text1"/>
          <w:sz w:val="19"/>
          <w:szCs w:val="19"/>
          <w:lang w:val="es-ES_tradnl"/>
        </w:rPr>
        <w:t>»</w:t>
      </w:r>
      <w:r w:rsidRPr="009616D4">
        <w:rPr>
          <w:rFonts w:ascii="Arial" w:hAnsi="Arial" w:cs="Arial"/>
          <w:color w:val="000000" w:themeColor="text1"/>
          <w:sz w:val="19"/>
          <w:szCs w:val="19"/>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638AA5C9" w14:textId="77777777" w:rsidR="0018226D" w:rsidRPr="009616D4" w:rsidRDefault="0018226D" w:rsidP="00A91709">
      <w:pPr>
        <w:pStyle w:val="Textonotapie"/>
        <w:ind w:firstLine="709"/>
        <w:jc w:val="both"/>
        <w:rPr>
          <w:rFonts w:ascii="Arial" w:hAnsi="Arial" w:cs="Arial"/>
          <w:color w:val="000000" w:themeColor="text1"/>
          <w:sz w:val="19"/>
          <w:szCs w:val="19"/>
          <w:lang w:val="es-CO"/>
        </w:rPr>
      </w:pPr>
      <w:r w:rsidRPr="009616D4">
        <w:rPr>
          <w:rFonts w:ascii="Arial" w:eastAsia="Calibri" w:hAnsi="Arial" w:cs="Arial"/>
          <w:color w:val="000000" w:themeColor="text1"/>
          <w:sz w:val="19"/>
          <w:szCs w:val="19"/>
          <w:lang w:val="es-ES_tradnl"/>
        </w:rPr>
        <w:t>»</w:t>
      </w:r>
      <w:r w:rsidRPr="009616D4">
        <w:rPr>
          <w:rFonts w:ascii="Arial" w:hAnsi="Arial" w:cs="Arial"/>
          <w:color w:val="000000" w:themeColor="text1"/>
          <w:sz w:val="19"/>
          <w:szCs w:val="19"/>
          <w:lang w:val="es-CO"/>
        </w:rPr>
        <w:t>PARÁGRAFO 1o. Cada organismo de acción comunal, se dará su propio reglamento conforme al marco brindado por esta ley enunciado en el artículo 1 y las normas que le sucedan.</w:t>
      </w:r>
    </w:p>
    <w:p w14:paraId="5906F818" w14:textId="77777777" w:rsidR="0018226D" w:rsidRPr="009616D4" w:rsidRDefault="0018226D" w:rsidP="00A91709">
      <w:pPr>
        <w:pStyle w:val="Textonotapie"/>
        <w:ind w:firstLine="709"/>
        <w:jc w:val="both"/>
        <w:rPr>
          <w:rFonts w:ascii="Arial" w:hAnsi="Arial" w:cs="Arial"/>
          <w:color w:val="000000" w:themeColor="text1"/>
          <w:sz w:val="19"/>
          <w:szCs w:val="19"/>
          <w:lang w:val="es-CO"/>
        </w:rPr>
      </w:pPr>
      <w:r w:rsidRPr="009616D4">
        <w:rPr>
          <w:rFonts w:ascii="Arial" w:eastAsia="Calibri" w:hAnsi="Arial" w:cs="Arial"/>
          <w:color w:val="000000" w:themeColor="text1"/>
          <w:sz w:val="19"/>
          <w:szCs w:val="19"/>
          <w:lang w:val="es-ES_tradnl"/>
        </w:rPr>
        <w:t>»</w:t>
      </w:r>
      <w:r w:rsidRPr="009616D4">
        <w:rPr>
          <w:rFonts w:ascii="Arial" w:hAnsi="Arial" w:cs="Arial"/>
          <w:color w:val="000000" w:themeColor="text1"/>
          <w:sz w:val="19"/>
          <w:szCs w:val="19"/>
          <w:lang w:val="es-CO"/>
        </w:rPr>
        <w:t>PARÁGRAFO 2o. Dentro del año siguiente a la expedición de la presente Ley en concertación con la organización social de la Acción Comunal, el Gobierno nacional expedirá una reglamentación para las Juntas de Vivienda Comunal</w:t>
      </w:r>
      <w:r w:rsidRPr="009616D4">
        <w:rPr>
          <w:rFonts w:ascii="Arial" w:eastAsia="Calibri" w:hAnsi="Arial" w:cs="Arial"/>
          <w:color w:val="000000" w:themeColor="text1"/>
          <w:sz w:val="19"/>
          <w:szCs w:val="19"/>
          <w:lang w:val="es-ES_tradnl"/>
        </w:rPr>
        <w:t>».</w:t>
      </w:r>
    </w:p>
    <w:p w14:paraId="7B689605" w14:textId="77777777" w:rsidR="0018226D" w:rsidRPr="009616D4" w:rsidRDefault="0018226D" w:rsidP="00A91709">
      <w:pPr>
        <w:pStyle w:val="Textonotapie"/>
        <w:ind w:firstLine="709"/>
        <w:jc w:val="both"/>
        <w:rPr>
          <w:rFonts w:ascii="Arial" w:hAnsi="Arial" w:cs="Arial"/>
          <w:color w:val="000000" w:themeColor="text1"/>
          <w:sz w:val="19"/>
          <w:szCs w:val="19"/>
          <w:lang w:val="es-CO"/>
        </w:rPr>
      </w:pPr>
    </w:p>
  </w:footnote>
  <w:footnote w:id="8">
    <w:p w14:paraId="76502DD5" w14:textId="77777777" w:rsidR="0018226D" w:rsidRPr="009616D4" w:rsidRDefault="0018226D" w:rsidP="00A91709">
      <w:pPr>
        <w:pStyle w:val="Textonotapie"/>
        <w:ind w:firstLine="709"/>
        <w:jc w:val="both"/>
        <w:rPr>
          <w:rFonts w:ascii="Arial" w:hAnsi="Arial" w:cs="Arial"/>
          <w:color w:val="000000" w:themeColor="text1"/>
          <w:sz w:val="19"/>
          <w:szCs w:val="19"/>
          <w:lang w:val="es-CO"/>
        </w:rPr>
      </w:pPr>
      <w:r w:rsidRPr="009616D4">
        <w:rPr>
          <w:rStyle w:val="Refdenotaalpie"/>
        </w:rPr>
        <w:footnoteRef/>
      </w:r>
      <w:r w:rsidRPr="009616D4">
        <w:rPr>
          <w:rFonts w:ascii="Arial" w:hAnsi="Arial" w:cs="Arial"/>
          <w:color w:val="000000" w:themeColor="text1"/>
          <w:sz w:val="19"/>
          <w:szCs w:val="19"/>
        </w:rPr>
        <w:t xml:space="preserve"> </w:t>
      </w:r>
      <w:r w:rsidRPr="009616D4">
        <w:rPr>
          <w:rFonts w:ascii="Arial" w:hAnsi="Arial" w:cs="Arial"/>
          <w:color w:val="000000" w:themeColor="text1"/>
          <w:sz w:val="19"/>
          <w:szCs w:val="19"/>
          <w:lang w:val="es-CO"/>
        </w:rPr>
        <w:t xml:space="preserve">El artículo 286 de la Constitución política de Colombia señala que </w:t>
      </w:r>
      <w:r w:rsidRPr="009616D4">
        <w:rPr>
          <w:rFonts w:ascii="Arial" w:eastAsia="Calibri" w:hAnsi="Arial" w:cs="Arial"/>
          <w:color w:val="000000" w:themeColor="text1"/>
          <w:sz w:val="19"/>
          <w:szCs w:val="19"/>
          <w:lang w:val="es-ES_tradnl"/>
        </w:rPr>
        <w:t>«</w:t>
      </w:r>
      <w:r w:rsidRPr="009616D4">
        <w:rPr>
          <w:rFonts w:ascii="Arial" w:hAnsi="Arial" w:cs="Arial"/>
          <w:color w:val="000000" w:themeColor="text1"/>
          <w:sz w:val="19"/>
          <w:szCs w:val="19"/>
          <w:lang w:val="es-CO"/>
        </w:rPr>
        <w:t>Son entidades territoriales los departamentos, los distritos, los municipios y los territorios indígenas</w:t>
      </w:r>
      <w:r w:rsidRPr="009616D4">
        <w:rPr>
          <w:rFonts w:ascii="Arial" w:eastAsia="Calibri" w:hAnsi="Arial" w:cs="Arial"/>
          <w:color w:val="000000" w:themeColor="text1"/>
          <w:sz w:val="19"/>
          <w:szCs w:val="19"/>
          <w:lang w:val="es-ES_tradnl"/>
        </w:rPr>
        <w:t>»</w:t>
      </w:r>
      <w:r w:rsidRPr="009616D4">
        <w:rPr>
          <w:rFonts w:ascii="Arial" w:hAnsi="Arial" w:cs="Arial"/>
          <w:color w:val="000000" w:themeColor="text1"/>
          <w:sz w:val="19"/>
          <w:szCs w:val="19"/>
          <w:lang w:val="es-CO"/>
        </w:rPr>
        <w:t>.</w:t>
      </w:r>
    </w:p>
  </w:footnote>
  <w:footnote w:id="9">
    <w:p w14:paraId="7CFB337F" w14:textId="77777777" w:rsidR="0018226D" w:rsidRPr="009616D4" w:rsidRDefault="0018226D" w:rsidP="00A91709">
      <w:pPr>
        <w:pStyle w:val="Textonotapie"/>
        <w:ind w:firstLine="709"/>
        <w:jc w:val="both"/>
        <w:rPr>
          <w:rFonts w:ascii="Arial" w:hAnsi="Arial" w:cs="Arial"/>
          <w:color w:val="000000" w:themeColor="text1"/>
          <w:sz w:val="19"/>
          <w:szCs w:val="19"/>
          <w:lang w:val="es-CO"/>
        </w:rPr>
      </w:pPr>
      <w:r w:rsidRPr="009616D4">
        <w:rPr>
          <w:rStyle w:val="Refdenotaalpie"/>
        </w:rPr>
        <w:footnoteRef/>
      </w:r>
      <w:r w:rsidRPr="009616D4">
        <w:rPr>
          <w:rFonts w:ascii="Arial" w:hAnsi="Arial" w:cs="Arial"/>
          <w:color w:val="000000" w:themeColor="text1"/>
          <w:sz w:val="19"/>
          <w:szCs w:val="19"/>
        </w:rPr>
        <w:t xml:space="preserve"> </w:t>
      </w:r>
      <w:r w:rsidRPr="009616D4">
        <w:rPr>
          <w:rFonts w:ascii="Arial" w:hAnsi="Arial" w:cs="Arial"/>
          <w:color w:val="000000" w:themeColor="text1"/>
          <w:sz w:val="19"/>
          <w:szCs w:val="19"/>
          <w:lang w:val="es-CO"/>
        </w:rPr>
        <w:t>Informe de ponencia para primer debate del proyecto de Ley</w:t>
      </w:r>
      <w:r w:rsidRPr="009616D4">
        <w:rPr>
          <w:rFonts w:ascii="Arial" w:eastAsia="Times New Roman" w:hAnsi="Arial" w:cs="Arial"/>
          <w:color w:val="000000" w:themeColor="text1"/>
          <w:sz w:val="19"/>
          <w:szCs w:val="19"/>
          <w:lang w:val="es-CO" w:eastAsia="es-ES_tradnl"/>
        </w:rPr>
        <w:t xml:space="preserve"> </w:t>
      </w:r>
      <w:r w:rsidRPr="009616D4">
        <w:rPr>
          <w:rFonts w:ascii="Arial" w:hAnsi="Arial" w:cs="Arial"/>
          <w:color w:val="000000" w:themeColor="text1"/>
          <w:sz w:val="19"/>
          <w:szCs w:val="19"/>
          <w:lang w:val="es-CO"/>
        </w:rPr>
        <w:t xml:space="preserve">115 de 2020 Cámara, acumulado con los proyectos de ley 269 de 2020 Cámara, 341 de 2020 Cámara, y 474 de 2020 Cámara “por medio de la cual se deroga la Ley 743 de 2002 y se desarrolla el artículo 38 Constitución Política de Colombia en lo referente a los organismos de acción comunal”. </w:t>
      </w:r>
      <w:r w:rsidRPr="009616D4">
        <w:rPr>
          <w:rFonts w:ascii="Arial" w:hAnsi="Arial" w:cs="Arial"/>
          <w:color w:val="000000" w:themeColor="text1"/>
          <w:sz w:val="19"/>
          <w:szCs w:val="19"/>
        </w:rPr>
        <w:t xml:space="preserve">Gaceta del Congreso de la República No. </w:t>
      </w:r>
      <w:r w:rsidRPr="009616D4">
        <w:rPr>
          <w:rFonts w:ascii="Arial" w:hAnsi="Arial" w:cs="Arial"/>
          <w:color w:val="000000" w:themeColor="text1"/>
          <w:sz w:val="19"/>
          <w:szCs w:val="19"/>
          <w:lang w:val="es-CO"/>
        </w:rPr>
        <w:t xml:space="preserve">578 del 4 de junio de 2021. Disponible en: </w:t>
      </w:r>
      <w:hyperlink r:id="rId2" w:history="1">
        <w:r w:rsidRPr="009616D4">
          <w:rPr>
            <w:rStyle w:val="Hipervnculo"/>
            <w:rFonts w:ascii="Arial" w:hAnsi="Arial" w:cs="Arial"/>
            <w:color w:val="000000" w:themeColor="text1"/>
            <w:sz w:val="19"/>
            <w:szCs w:val="19"/>
            <w:lang w:val="es-CO"/>
          </w:rPr>
          <w:t>https://www.camara.gov.co/juntas-de-accion-comunal</w:t>
        </w:r>
      </w:hyperlink>
      <w:r w:rsidRPr="009616D4">
        <w:rPr>
          <w:rFonts w:ascii="Arial" w:hAnsi="Arial" w:cs="Arial"/>
          <w:color w:val="000000" w:themeColor="text1"/>
          <w:sz w:val="19"/>
          <w:szCs w:val="19"/>
          <w:lang w:val="es-CO"/>
        </w:rPr>
        <w:t xml:space="preserve">  </w:t>
      </w:r>
    </w:p>
    <w:p w14:paraId="4BF3775D" w14:textId="77777777" w:rsidR="0018226D" w:rsidRPr="009616D4" w:rsidRDefault="0018226D" w:rsidP="00A91709">
      <w:pPr>
        <w:pStyle w:val="Textonotapie"/>
        <w:ind w:firstLine="709"/>
        <w:jc w:val="both"/>
        <w:rPr>
          <w:rFonts w:ascii="Arial" w:hAnsi="Arial" w:cs="Arial"/>
          <w:color w:val="000000" w:themeColor="text1"/>
          <w:sz w:val="19"/>
          <w:szCs w:val="19"/>
          <w:lang w:val="es-CO"/>
        </w:rPr>
      </w:pPr>
    </w:p>
  </w:footnote>
  <w:footnote w:id="10">
    <w:p w14:paraId="0F304BD9" w14:textId="451CBA80" w:rsidR="00AA7F2F" w:rsidRPr="009616D4" w:rsidRDefault="0097120B" w:rsidP="00DF3708">
      <w:pPr>
        <w:pStyle w:val="Textonotapie"/>
        <w:ind w:firstLine="709"/>
        <w:jc w:val="both"/>
        <w:rPr>
          <w:rFonts w:ascii="Arial" w:hAnsi="Arial" w:cs="Arial"/>
          <w:sz w:val="19"/>
          <w:szCs w:val="19"/>
        </w:rPr>
      </w:pPr>
      <w:r w:rsidRPr="009616D4">
        <w:rPr>
          <w:rStyle w:val="Refdenotaalpie"/>
        </w:rPr>
        <w:footnoteRef/>
      </w:r>
      <w:r w:rsidRPr="009616D4">
        <w:rPr>
          <w:rFonts w:ascii="Arial" w:hAnsi="Arial" w:cs="Arial"/>
          <w:sz w:val="19"/>
          <w:szCs w:val="19"/>
        </w:rPr>
        <w:t xml:space="preserve"> Al respecto, pueden verse, entre otras, las sentencias </w:t>
      </w:r>
      <w:r w:rsidR="00FD0531" w:rsidRPr="009616D4">
        <w:rPr>
          <w:rFonts w:ascii="Arial" w:hAnsi="Arial" w:cs="Arial"/>
          <w:sz w:val="19"/>
          <w:szCs w:val="19"/>
        </w:rPr>
        <w:t xml:space="preserve">C-507 de 2004 (M.P. </w:t>
      </w:r>
      <w:r w:rsidR="00097372" w:rsidRPr="009616D4">
        <w:rPr>
          <w:rFonts w:ascii="Arial" w:hAnsi="Arial" w:cs="Arial"/>
          <w:sz w:val="19"/>
          <w:szCs w:val="19"/>
        </w:rPr>
        <w:t xml:space="preserve">Manuel José Cepeda Espinosa), C-804 de 2006 (M.P. </w:t>
      </w:r>
      <w:r w:rsidR="00E54147" w:rsidRPr="009616D4">
        <w:rPr>
          <w:rFonts w:ascii="Arial" w:hAnsi="Arial" w:cs="Arial"/>
          <w:sz w:val="19"/>
          <w:szCs w:val="19"/>
        </w:rPr>
        <w:t xml:space="preserve">Humberto Antonio Sierra Porto), </w:t>
      </w:r>
      <w:r w:rsidR="00E90A7D" w:rsidRPr="009616D4">
        <w:rPr>
          <w:rFonts w:ascii="Arial" w:hAnsi="Arial" w:cs="Arial"/>
          <w:sz w:val="19"/>
          <w:szCs w:val="19"/>
        </w:rPr>
        <w:t xml:space="preserve">C-1011 de 2008 (M.P. </w:t>
      </w:r>
      <w:r w:rsidR="00E22632" w:rsidRPr="009616D4">
        <w:rPr>
          <w:rFonts w:ascii="Arial" w:hAnsi="Arial" w:cs="Arial"/>
          <w:sz w:val="19"/>
          <w:szCs w:val="19"/>
        </w:rPr>
        <w:t xml:space="preserve">Jaime Córdoba Triviño), </w:t>
      </w:r>
      <w:r w:rsidR="00E54147" w:rsidRPr="009616D4">
        <w:rPr>
          <w:rFonts w:ascii="Arial" w:hAnsi="Arial" w:cs="Arial"/>
          <w:sz w:val="19"/>
          <w:szCs w:val="19"/>
        </w:rPr>
        <w:t>C-634 de 2011 (M.P.</w:t>
      </w:r>
      <w:r w:rsidR="00B75D47" w:rsidRPr="009616D4">
        <w:rPr>
          <w:rFonts w:ascii="Arial" w:hAnsi="Arial" w:cs="Arial"/>
          <w:sz w:val="19"/>
          <w:szCs w:val="19"/>
        </w:rPr>
        <w:t xml:space="preserve"> Luis Ernesto Vargas Silva), </w:t>
      </w:r>
      <w:r w:rsidR="00F25D7F" w:rsidRPr="009616D4">
        <w:rPr>
          <w:rFonts w:ascii="Arial" w:hAnsi="Arial" w:cs="Arial"/>
          <w:sz w:val="19"/>
          <w:szCs w:val="19"/>
        </w:rPr>
        <w:t xml:space="preserve">C-458 de 2015 (M.P. Gloria Stella Ortiz Delgado), </w:t>
      </w:r>
      <w:r w:rsidR="00C417F4" w:rsidRPr="009616D4">
        <w:rPr>
          <w:rFonts w:ascii="Arial" w:hAnsi="Arial" w:cs="Arial"/>
          <w:sz w:val="19"/>
          <w:szCs w:val="19"/>
        </w:rPr>
        <w:t xml:space="preserve">C-253 de 2017 (M.P. </w:t>
      </w:r>
      <w:r w:rsidR="00B36ACE" w:rsidRPr="009616D4">
        <w:rPr>
          <w:rFonts w:ascii="Arial" w:hAnsi="Arial" w:cs="Arial"/>
          <w:sz w:val="19"/>
          <w:szCs w:val="19"/>
        </w:rPr>
        <w:t xml:space="preserve">Gloria Stella Ortiz Delgado) y C-067 de 2021 (M.P. </w:t>
      </w:r>
      <w:r w:rsidR="00AA7F2F" w:rsidRPr="009616D4">
        <w:rPr>
          <w:rFonts w:ascii="Arial" w:hAnsi="Arial" w:cs="Arial"/>
          <w:sz w:val="19"/>
          <w:szCs w:val="19"/>
        </w:rPr>
        <w:t>Gloria Stella Ortiz Delgado).</w:t>
      </w:r>
    </w:p>
  </w:footnote>
  <w:footnote w:id="11">
    <w:p w14:paraId="68348DA6" w14:textId="3190CEA6" w:rsidR="00815F9D" w:rsidRPr="009616D4" w:rsidRDefault="007B286B" w:rsidP="00DF3708">
      <w:pPr>
        <w:pStyle w:val="Textonotapie"/>
        <w:ind w:firstLine="709"/>
        <w:jc w:val="both"/>
        <w:rPr>
          <w:rFonts w:ascii="Arial" w:hAnsi="Arial" w:cs="Arial"/>
          <w:sz w:val="19"/>
          <w:szCs w:val="19"/>
        </w:rPr>
      </w:pPr>
      <w:r w:rsidRPr="009616D4">
        <w:rPr>
          <w:rStyle w:val="Refdenotaalpie"/>
        </w:rPr>
        <w:footnoteRef/>
      </w:r>
      <w:r w:rsidRPr="009616D4">
        <w:rPr>
          <w:rFonts w:ascii="Arial" w:hAnsi="Arial" w:cs="Arial"/>
          <w:sz w:val="19"/>
          <w:szCs w:val="19"/>
        </w:rPr>
        <w:t xml:space="preserve"> </w:t>
      </w:r>
      <w:r w:rsidR="00826119" w:rsidRPr="009616D4">
        <w:rPr>
          <w:rFonts w:ascii="Arial" w:hAnsi="Arial" w:cs="Arial"/>
          <w:sz w:val="19"/>
          <w:szCs w:val="19"/>
        </w:rPr>
        <w:t>Sentencia C-052 de 2012 (M.P. Nilson Pinilla Pinilla).</w:t>
      </w:r>
    </w:p>
  </w:footnote>
  <w:footnote w:id="12">
    <w:p w14:paraId="6C62C391" w14:textId="5C405554" w:rsidR="00683891" w:rsidRPr="009616D4" w:rsidRDefault="00683891" w:rsidP="00A91709">
      <w:pPr>
        <w:pStyle w:val="Textonotapie"/>
        <w:ind w:firstLine="709"/>
        <w:jc w:val="both"/>
        <w:rPr>
          <w:rFonts w:ascii="Arial" w:hAnsi="Arial" w:cs="Arial"/>
          <w:sz w:val="19"/>
          <w:szCs w:val="19"/>
        </w:rPr>
      </w:pPr>
      <w:r w:rsidRPr="009616D4">
        <w:rPr>
          <w:rStyle w:val="Refdenotaalpie"/>
        </w:rPr>
        <w:footnoteRef/>
      </w:r>
      <w:r w:rsidRPr="009616D4">
        <w:rPr>
          <w:rFonts w:ascii="Arial" w:hAnsi="Arial" w:cs="Arial"/>
          <w:sz w:val="19"/>
          <w:szCs w:val="19"/>
        </w:rPr>
        <w:t xml:space="preserve"> </w:t>
      </w:r>
      <w:r w:rsidR="00B33AAF" w:rsidRPr="009616D4">
        <w:rPr>
          <w:rFonts w:ascii="Arial" w:hAnsi="Arial" w:cs="Arial"/>
          <w:sz w:val="19"/>
          <w:szCs w:val="19"/>
        </w:rPr>
        <w:t xml:space="preserve">GUASTINI, Riccardo. La sintaxis del derecho. Madrid: Marcial Pons, </w:t>
      </w:r>
      <w:r w:rsidR="00815F9D" w:rsidRPr="009616D4">
        <w:rPr>
          <w:rFonts w:ascii="Arial" w:hAnsi="Arial" w:cs="Arial"/>
          <w:sz w:val="19"/>
          <w:szCs w:val="19"/>
        </w:rPr>
        <w:t>2016, p. 21.</w:t>
      </w:r>
    </w:p>
  </w:footnote>
  <w:footnote w:id="13">
    <w:p w14:paraId="3C8B4C6B" w14:textId="2BF05A1B" w:rsidR="00A91709" w:rsidRPr="009616D4" w:rsidRDefault="00C34003" w:rsidP="00205DF6">
      <w:pPr>
        <w:pStyle w:val="Textonotapie"/>
        <w:ind w:firstLine="709"/>
        <w:jc w:val="both"/>
        <w:rPr>
          <w:rFonts w:ascii="Arial" w:hAnsi="Arial" w:cs="Arial"/>
          <w:sz w:val="19"/>
          <w:szCs w:val="19"/>
        </w:rPr>
      </w:pPr>
      <w:r w:rsidRPr="009616D4">
        <w:rPr>
          <w:rStyle w:val="Refdenotaalpie"/>
        </w:rPr>
        <w:footnoteRef/>
      </w:r>
      <w:r w:rsidRPr="009616D4">
        <w:rPr>
          <w:rFonts w:ascii="Arial" w:hAnsi="Arial" w:cs="Arial"/>
          <w:sz w:val="19"/>
          <w:szCs w:val="19"/>
        </w:rPr>
        <w:t xml:space="preserve"> GUASTINI, Riccardo. Interpretar y argumentar.</w:t>
      </w:r>
      <w:r w:rsidR="00A91709" w:rsidRPr="009616D4">
        <w:rPr>
          <w:rFonts w:ascii="Arial" w:hAnsi="Arial" w:cs="Arial"/>
          <w:sz w:val="19"/>
          <w:szCs w:val="19"/>
        </w:rPr>
        <w:t xml:space="preserve"> Madrid: Centro de Estudios Políticos y Constitucionales, 2017. p.</w:t>
      </w:r>
      <w:r w:rsidRPr="009616D4">
        <w:rPr>
          <w:rFonts w:ascii="Arial" w:hAnsi="Arial" w:cs="Arial"/>
          <w:sz w:val="19"/>
          <w:szCs w:val="19"/>
        </w:rPr>
        <w:t xml:space="preserve"> </w:t>
      </w:r>
      <w:r w:rsidR="006B41AB" w:rsidRPr="009616D4">
        <w:rPr>
          <w:rFonts w:ascii="Arial" w:hAnsi="Arial" w:cs="Arial"/>
          <w:sz w:val="19"/>
          <w:szCs w:val="19"/>
        </w:rPr>
        <w:t>290.</w:t>
      </w:r>
    </w:p>
  </w:footnote>
  <w:footnote w:id="14">
    <w:p w14:paraId="5636F7BC" w14:textId="77777777" w:rsidR="0018226D" w:rsidRPr="009616D4" w:rsidRDefault="0018226D" w:rsidP="00A91709">
      <w:pPr>
        <w:pStyle w:val="Textonotapie"/>
        <w:ind w:firstLine="709"/>
        <w:jc w:val="both"/>
        <w:rPr>
          <w:rFonts w:ascii="Arial" w:hAnsi="Arial" w:cs="Arial"/>
          <w:color w:val="000000" w:themeColor="text1"/>
          <w:sz w:val="19"/>
          <w:szCs w:val="19"/>
        </w:rPr>
      </w:pPr>
      <w:r w:rsidRPr="009616D4">
        <w:rPr>
          <w:rStyle w:val="Refdenotaalpie"/>
        </w:rPr>
        <w:footnoteRef/>
      </w:r>
      <w:r w:rsidRPr="009616D4">
        <w:rPr>
          <w:rFonts w:ascii="Arial" w:hAnsi="Arial" w:cs="Arial"/>
          <w:color w:val="000000" w:themeColor="text1"/>
          <w:sz w:val="19"/>
          <w:szCs w:val="19"/>
        </w:rPr>
        <w:t xml:space="preserve"> </w:t>
      </w:r>
      <w:r w:rsidRPr="009616D4">
        <w:rPr>
          <w:rFonts w:ascii="Arial" w:hAnsi="Arial" w:cs="Arial"/>
          <w:color w:val="000000" w:themeColor="text1"/>
          <w:sz w:val="19"/>
          <w:szCs w:val="19"/>
          <w:lang w:val="es-CO"/>
        </w:rPr>
        <w:t xml:space="preserve">El inciso primero de este artículo se encontraba regulado de manera similar en el artículo 55 de la Ley 742 de 2003, norma que para efectos de la celebración de convenios solidarios con los organismos de acción comunal se interpretaba armónicamente con </w:t>
      </w:r>
      <w:r w:rsidRPr="009616D4">
        <w:rPr>
          <w:rFonts w:ascii="Arial" w:hAnsi="Arial" w:cs="Arial"/>
          <w:color w:val="000000" w:themeColor="text1"/>
          <w:sz w:val="19"/>
          <w:szCs w:val="19"/>
          <w:lang w:val="es-ES"/>
        </w:rPr>
        <w:t>los parágrafos tercero y quinto del artículo 3 de la Ley 136 de 1994 y lo dispuesto en el artículo 141 de la precitada Ley</w:t>
      </w:r>
      <w:r w:rsidRPr="009616D4">
        <w:rPr>
          <w:rFonts w:ascii="Arial" w:hAnsi="Arial" w:cs="Arial"/>
          <w:color w:val="000000" w:themeColor="text1"/>
          <w:sz w:val="19"/>
          <w:szCs w:val="19"/>
          <w:lang w:val="es-CO"/>
        </w:rPr>
        <w:t xml:space="preserve">. Este artículo disponía lo siguiente: </w:t>
      </w:r>
      <w:r w:rsidRPr="009616D4">
        <w:rPr>
          <w:rFonts w:ascii="Arial" w:eastAsia="Calibri" w:hAnsi="Arial" w:cs="Arial"/>
          <w:color w:val="000000" w:themeColor="text1"/>
          <w:sz w:val="19"/>
          <w:szCs w:val="19"/>
          <w:lang w:val="es-ES_tradnl"/>
        </w:rPr>
        <w:t>«</w:t>
      </w:r>
      <w:r w:rsidRPr="009616D4">
        <w:rPr>
          <w:rFonts w:ascii="Arial" w:hAnsi="Arial" w:cs="Arial"/>
          <w:color w:val="000000" w:themeColor="text1"/>
          <w:sz w:val="19"/>
          <w:szCs w:val="19"/>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Los contratos o convenios que celebren los organismos comunales se regularán por el régimen vigente de contratación para organizaciones solidarias».  </w:t>
      </w:r>
    </w:p>
    <w:p w14:paraId="15CAD60B" w14:textId="77777777" w:rsidR="0018226D" w:rsidRPr="009616D4" w:rsidRDefault="0018226D" w:rsidP="00A91709">
      <w:pPr>
        <w:pStyle w:val="Textonotapie"/>
        <w:ind w:firstLine="709"/>
        <w:jc w:val="both"/>
        <w:rPr>
          <w:rFonts w:ascii="Arial" w:hAnsi="Arial" w:cs="Arial"/>
          <w:color w:val="000000" w:themeColor="text1"/>
          <w:sz w:val="19"/>
          <w:szCs w:val="19"/>
          <w:lang w:val="es-CO"/>
        </w:rPr>
      </w:pPr>
    </w:p>
  </w:footnote>
  <w:footnote w:id="15">
    <w:p w14:paraId="59E76CCC" w14:textId="77777777" w:rsidR="00A37893" w:rsidRPr="009616D4" w:rsidRDefault="00A37893" w:rsidP="00A91709">
      <w:pPr>
        <w:pStyle w:val="Textonotapie"/>
        <w:ind w:firstLine="709"/>
        <w:jc w:val="both"/>
        <w:rPr>
          <w:rFonts w:ascii="Arial" w:hAnsi="Arial" w:cs="Arial"/>
          <w:color w:val="000000" w:themeColor="text1"/>
          <w:sz w:val="19"/>
          <w:szCs w:val="19"/>
          <w:lang w:val="es-CO"/>
        </w:rPr>
      </w:pPr>
      <w:r w:rsidRPr="009616D4">
        <w:rPr>
          <w:rStyle w:val="Refdenotaalpie"/>
        </w:rPr>
        <w:footnoteRef/>
      </w:r>
      <w:r w:rsidRPr="009616D4">
        <w:rPr>
          <w:rFonts w:ascii="Arial" w:hAnsi="Arial" w:cs="Arial"/>
          <w:color w:val="000000" w:themeColor="text1"/>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16">
    <w:p w14:paraId="1E45A135" w14:textId="77777777" w:rsidR="00A37893" w:rsidRPr="009616D4" w:rsidRDefault="00A37893" w:rsidP="00A91709">
      <w:pPr>
        <w:pStyle w:val="Textonotapie"/>
        <w:ind w:firstLine="709"/>
        <w:jc w:val="both"/>
        <w:rPr>
          <w:rFonts w:ascii="Arial" w:hAnsi="Arial" w:cs="Arial"/>
          <w:color w:val="000000" w:themeColor="text1"/>
          <w:sz w:val="19"/>
          <w:szCs w:val="19"/>
        </w:rPr>
      </w:pPr>
      <w:r w:rsidRPr="009616D4">
        <w:rPr>
          <w:rStyle w:val="Refdenotaalpie"/>
        </w:rPr>
        <w:footnoteRef/>
      </w:r>
      <w:r w:rsidRPr="009616D4">
        <w:rPr>
          <w:rFonts w:ascii="Arial" w:hAnsi="Arial" w:cs="Arial"/>
          <w:color w:val="000000" w:themeColor="text1"/>
          <w:sz w:val="19"/>
          <w:szCs w:val="19"/>
        </w:rPr>
        <w:t xml:space="preserve"> </w:t>
      </w:r>
      <w:r w:rsidRPr="009616D4">
        <w:rPr>
          <w:rFonts w:ascii="Arial" w:hAnsi="Arial" w:cs="Arial"/>
          <w:color w:val="000000" w:themeColor="text1"/>
          <w:sz w:val="19"/>
          <w:szCs w:val="19"/>
          <w:lang w:val="es-CO"/>
        </w:rPr>
        <w:t xml:space="preserve">Ley 1882 de 2018: «Artículo 4. </w:t>
      </w:r>
      <w:r w:rsidRPr="009616D4">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0463296" w14:textId="77777777" w:rsidR="00A37893" w:rsidRPr="009616D4" w:rsidRDefault="00A37893" w:rsidP="00A91709">
      <w:pPr>
        <w:pStyle w:val="Textonotapie"/>
        <w:ind w:firstLine="709"/>
        <w:jc w:val="both"/>
        <w:rPr>
          <w:rFonts w:ascii="Arial" w:hAnsi="Arial" w:cs="Arial"/>
          <w:color w:val="000000" w:themeColor="text1"/>
          <w:sz w:val="19"/>
          <w:szCs w:val="19"/>
          <w:lang w:val="es-CO"/>
        </w:rPr>
      </w:pPr>
      <w:r w:rsidRPr="009616D4">
        <w:rPr>
          <w:rFonts w:ascii="Arial" w:hAnsi="Arial" w:cs="Arial"/>
          <w:color w:val="000000" w:themeColor="text1"/>
          <w:sz w:val="19"/>
          <w:szCs w:val="19"/>
          <w:lang w:val="es-CO"/>
        </w:rPr>
        <w:t>»La facultad de adoptar documentos tipo la tendrá el Gobierno nacional, cuando lo considere necesario, en relación con otros contratos o procesos de selección.</w:t>
      </w:r>
    </w:p>
    <w:p w14:paraId="500F9782" w14:textId="77777777" w:rsidR="00A37893" w:rsidRPr="009616D4" w:rsidRDefault="00A37893" w:rsidP="00A91709">
      <w:pPr>
        <w:pStyle w:val="Textonotapie"/>
        <w:ind w:firstLine="709"/>
        <w:jc w:val="both"/>
        <w:rPr>
          <w:rFonts w:ascii="Arial" w:hAnsi="Arial" w:cs="Arial"/>
          <w:color w:val="000000" w:themeColor="text1"/>
          <w:sz w:val="19"/>
          <w:szCs w:val="19"/>
          <w:lang w:val="es-CO"/>
        </w:rPr>
      </w:pPr>
      <w:r w:rsidRPr="009616D4">
        <w:rPr>
          <w:rFonts w:ascii="Arial" w:hAnsi="Arial" w:cs="Arial"/>
          <w:color w:val="000000" w:themeColor="text1"/>
          <w:sz w:val="19"/>
          <w:szCs w:val="19"/>
          <w:lang w:val="es-CO"/>
        </w:rPr>
        <w:t>»Los pliegos tipo se adoptarán por categorías de acuerdo con la cuantía de la contratación, según la reglamentación que expida el Gobierno nacional».</w:t>
      </w:r>
    </w:p>
    <w:p w14:paraId="0134292D" w14:textId="77777777" w:rsidR="00A37893" w:rsidRPr="009616D4" w:rsidRDefault="00A37893" w:rsidP="00A91709">
      <w:pPr>
        <w:pStyle w:val="Textonotapie"/>
        <w:ind w:firstLine="709"/>
        <w:jc w:val="both"/>
        <w:rPr>
          <w:rFonts w:ascii="Arial" w:hAnsi="Arial" w:cs="Arial"/>
          <w:color w:val="000000" w:themeColor="text1"/>
          <w:sz w:val="19"/>
          <w:szCs w:val="19"/>
          <w:lang w:val="es-CO"/>
        </w:rPr>
      </w:pPr>
    </w:p>
  </w:footnote>
  <w:footnote w:id="17">
    <w:p w14:paraId="491C59BF" w14:textId="77777777" w:rsidR="00A37893" w:rsidRPr="009616D4" w:rsidRDefault="00A37893" w:rsidP="00A91709">
      <w:pPr>
        <w:pStyle w:val="Textonotapie"/>
        <w:ind w:firstLine="709"/>
        <w:jc w:val="both"/>
        <w:rPr>
          <w:rFonts w:ascii="Arial" w:hAnsi="Arial" w:cs="Arial"/>
          <w:color w:val="000000" w:themeColor="text1"/>
          <w:sz w:val="19"/>
          <w:szCs w:val="19"/>
        </w:rPr>
      </w:pPr>
      <w:r w:rsidRPr="009616D4">
        <w:rPr>
          <w:rStyle w:val="Refdenotaalpie"/>
        </w:rPr>
        <w:footnoteRef/>
      </w:r>
      <w:r w:rsidRPr="009616D4">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5FABC948" w14:textId="77777777" w:rsidR="00A37893" w:rsidRPr="009616D4" w:rsidRDefault="00A37893" w:rsidP="00A91709">
      <w:pPr>
        <w:pStyle w:val="Textonotapie"/>
        <w:ind w:firstLine="709"/>
        <w:jc w:val="both"/>
        <w:rPr>
          <w:rFonts w:ascii="Arial" w:hAnsi="Arial" w:cs="Arial"/>
          <w:color w:val="000000" w:themeColor="text1"/>
          <w:sz w:val="19"/>
          <w:szCs w:val="19"/>
        </w:rPr>
      </w:pPr>
    </w:p>
  </w:footnote>
  <w:footnote w:id="18">
    <w:p w14:paraId="5C55ACBE" w14:textId="77777777" w:rsidR="00A37893" w:rsidRPr="009616D4" w:rsidRDefault="00A37893" w:rsidP="00A91709">
      <w:pPr>
        <w:pStyle w:val="Textonotapie"/>
        <w:ind w:firstLine="709"/>
        <w:jc w:val="both"/>
        <w:rPr>
          <w:rFonts w:ascii="Arial" w:hAnsi="Arial" w:cs="Arial"/>
          <w:color w:val="000000" w:themeColor="text1"/>
          <w:sz w:val="19"/>
          <w:szCs w:val="19"/>
        </w:rPr>
      </w:pPr>
      <w:r w:rsidRPr="009616D4">
        <w:rPr>
          <w:rStyle w:val="Refdenotaalpie"/>
        </w:rPr>
        <w:footnoteRef/>
      </w:r>
      <w:r w:rsidRPr="009616D4">
        <w:rPr>
          <w:rFonts w:ascii="Arial" w:hAnsi="Arial" w:cs="Arial"/>
          <w:color w:val="000000" w:themeColor="text1"/>
          <w:sz w:val="19"/>
          <w:szCs w:val="19"/>
        </w:rPr>
        <w:t xml:space="preserve"> «ARTÍCULO 1o. Modifíquese el artículo 4o de la Ley 1882 de 2018, el cual quedará así:</w:t>
      </w:r>
    </w:p>
    <w:p w14:paraId="5DD0C9D7" w14:textId="77777777" w:rsidR="00A37893" w:rsidRPr="009616D4" w:rsidRDefault="00A37893" w:rsidP="00A91709">
      <w:pPr>
        <w:pStyle w:val="Textonotapie"/>
        <w:ind w:firstLine="709"/>
        <w:jc w:val="both"/>
        <w:rPr>
          <w:rFonts w:ascii="Arial" w:hAnsi="Arial" w:cs="Arial"/>
          <w:color w:val="000000" w:themeColor="text1"/>
          <w:sz w:val="19"/>
          <w:szCs w:val="19"/>
        </w:rPr>
      </w:pPr>
      <w:r w:rsidRPr="009616D4">
        <w:rPr>
          <w:rFonts w:ascii="Arial" w:hAnsi="Arial" w:cs="Arial"/>
          <w:color w:val="000000" w:themeColor="text1"/>
          <w:sz w:val="19"/>
          <w:szCs w:val="19"/>
        </w:rPr>
        <w:t>»Artículo 4o. Adiciónese el siguiente parágrafo al artículo 2o de la Ley 1150 de 2007.</w:t>
      </w:r>
    </w:p>
    <w:p w14:paraId="2DDC2EA0" w14:textId="77777777" w:rsidR="00A37893" w:rsidRPr="009616D4" w:rsidRDefault="00A37893" w:rsidP="00A91709">
      <w:pPr>
        <w:pStyle w:val="Textonotapie"/>
        <w:ind w:firstLine="709"/>
        <w:jc w:val="both"/>
        <w:rPr>
          <w:rFonts w:ascii="Arial" w:hAnsi="Arial" w:cs="Arial"/>
          <w:color w:val="000000" w:themeColor="text1"/>
          <w:sz w:val="19"/>
          <w:szCs w:val="19"/>
        </w:rPr>
      </w:pPr>
      <w:r w:rsidRPr="009616D4">
        <w:rPr>
          <w:rFonts w:ascii="Arial" w:hAnsi="Arial" w:cs="Arial"/>
          <w:color w:val="000000" w:themeColor="text1"/>
          <w:sz w:val="19"/>
          <w:szCs w:val="19"/>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72F56AB7" w14:textId="77777777" w:rsidR="00A37893" w:rsidRPr="009616D4" w:rsidRDefault="00A37893" w:rsidP="00A91709">
      <w:pPr>
        <w:pStyle w:val="Textonotapie"/>
        <w:ind w:firstLine="709"/>
        <w:jc w:val="both"/>
        <w:rPr>
          <w:rFonts w:ascii="Arial" w:hAnsi="Arial" w:cs="Arial"/>
          <w:color w:val="000000" w:themeColor="text1"/>
          <w:sz w:val="19"/>
          <w:szCs w:val="19"/>
        </w:rPr>
      </w:pPr>
      <w:r w:rsidRPr="009616D4">
        <w:rPr>
          <w:rFonts w:ascii="Arial" w:hAnsi="Arial" w:cs="Arial"/>
          <w:color w:val="000000" w:themeColor="text1"/>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C0BF055" w14:textId="77777777" w:rsidR="00A37893" w:rsidRPr="009616D4" w:rsidRDefault="00A37893" w:rsidP="00A91709">
      <w:pPr>
        <w:pStyle w:val="Textonotapie"/>
        <w:ind w:firstLine="709"/>
        <w:jc w:val="both"/>
        <w:rPr>
          <w:rFonts w:ascii="Arial" w:hAnsi="Arial" w:cs="Arial"/>
          <w:color w:val="000000" w:themeColor="text1"/>
          <w:sz w:val="19"/>
          <w:szCs w:val="19"/>
        </w:rPr>
      </w:pPr>
      <w:r w:rsidRPr="009616D4">
        <w:rPr>
          <w:rFonts w:ascii="Arial" w:hAnsi="Arial" w:cs="Arial"/>
          <w:color w:val="000000" w:themeColor="text1"/>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010FBE7B" w14:textId="77777777" w:rsidR="00A37893" w:rsidRPr="009616D4" w:rsidRDefault="00A37893" w:rsidP="00A91709">
      <w:pPr>
        <w:pStyle w:val="Textonotapie"/>
        <w:ind w:firstLine="709"/>
        <w:jc w:val="both"/>
        <w:rPr>
          <w:rFonts w:ascii="Arial" w:hAnsi="Arial" w:cs="Arial"/>
          <w:color w:val="000000" w:themeColor="text1"/>
          <w:sz w:val="19"/>
          <w:szCs w:val="19"/>
        </w:rPr>
      </w:pPr>
      <w:r w:rsidRPr="009616D4">
        <w:rPr>
          <w:rFonts w:ascii="Arial" w:hAnsi="Arial" w:cs="Arial"/>
          <w:color w:val="000000" w:themeColor="text1"/>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540B20BE" w14:textId="77777777" w:rsidR="00A37893" w:rsidRPr="009616D4" w:rsidRDefault="00A37893" w:rsidP="00A91709">
      <w:pPr>
        <w:pStyle w:val="Textonotapie"/>
        <w:ind w:firstLine="709"/>
        <w:jc w:val="both"/>
        <w:rPr>
          <w:rFonts w:ascii="Arial" w:hAnsi="Arial" w:cs="Arial"/>
          <w:color w:val="000000" w:themeColor="text1"/>
          <w:sz w:val="19"/>
          <w:szCs w:val="19"/>
          <w:lang w:val="es-CO"/>
        </w:rPr>
      </w:pPr>
      <w:r w:rsidRPr="009616D4">
        <w:rPr>
          <w:rFonts w:ascii="Arial" w:hAnsi="Arial" w:cs="Arial"/>
          <w:color w:val="000000" w:themeColor="text1"/>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19">
    <w:p w14:paraId="4079C395" w14:textId="77777777" w:rsidR="008E6056" w:rsidRPr="009616D4" w:rsidRDefault="008E6056" w:rsidP="00A91709">
      <w:pPr>
        <w:pStyle w:val="Textonotapie"/>
        <w:ind w:firstLine="709"/>
        <w:jc w:val="both"/>
        <w:rPr>
          <w:rFonts w:ascii="Arial" w:hAnsi="Arial" w:cs="Arial"/>
          <w:color w:val="000000" w:themeColor="text1"/>
          <w:sz w:val="19"/>
          <w:szCs w:val="19"/>
        </w:rPr>
      </w:pPr>
      <w:r w:rsidRPr="009616D4">
        <w:rPr>
          <w:rStyle w:val="Refdenotaalpie"/>
        </w:rPr>
        <w:footnoteRef/>
      </w:r>
      <w:r w:rsidRPr="009616D4">
        <w:rPr>
          <w:rFonts w:ascii="Arial" w:hAnsi="Arial" w:cs="Arial"/>
          <w:color w:val="000000" w:themeColor="text1"/>
          <w:sz w:val="19"/>
          <w:szCs w:val="19"/>
        </w:rPr>
        <w:t xml:space="preserve"> ». CONGRESO DE LA REPÚBLICA. Gaceta Nº 1677 del 23 de noviembre de 2021. Justificación jurídica del Proyecto de Ley No. 226 de 2021 Cámara. p. 15.</w:t>
      </w:r>
      <w:r w:rsidRPr="009616D4">
        <w:rPr>
          <w:rFonts w:ascii="Arial" w:hAnsi="Arial" w:cs="Arial"/>
          <w:color w:val="000000" w:themeColor="text1"/>
          <w:sz w:val="19"/>
          <w:szCs w:val="19"/>
        </w:rPr>
        <w:cr/>
      </w:r>
    </w:p>
  </w:footnote>
  <w:footnote w:id="20">
    <w:p w14:paraId="1A50F144" w14:textId="77777777" w:rsidR="008E6056" w:rsidRPr="009616D4" w:rsidRDefault="008E6056" w:rsidP="00A91709">
      <w:pPr>
        <w:pStyle w:val="NormalWeb"/>
        <w:spacing w:before="0" w:beforeAutospacing="0" w:after="0" w:afterAutospacing="0"/>
        <w:ind w:firstLine="709"/>
        <w:jc w:val="both"/>
        <w:rPr>
          <w:rFonts w:ascii="Arial" w:hAnsi="Arial" w:cs="Arial"/>
          <w:color w:val="000000" w:themeColor="text1"/>
          <w:sz w:val="19"/>
          <w:szCs w:val="19"/>
        </w:rPr>
      </w:pPr>
      <w:r w:rsidRPr="009616D4">
        <w:rPr>
          <w:rStyle w:val="Refdenotaalpie"/>
        </w:rPr>
        <w:footnoteRef/>
      </w:r>
      <w:r w:rsidRPr="009616D4">
        <w:rPr>
          <w:rFonts w:ascii="Arial" w:hAnsi="Arial" w:cs="Arial"/>
          <w:color w:val="000000" w:themeColor="text1"/>
          <w:sz w:val="19"/>
          <w:szCs w:val="19"/>
        </w:rPr>
        <w:t xml:space="preserve"> «</w:t>
      </w:r>
      <w:r w:rsidRPr="009616D4">
        <w:rPr>
          <w:rStyle w:val="Textoennegrita"/>
          <w:rFonts w:ascii="Arial" w:hAnsi="Arial" w:cs="Arial"/>
          <w:b w:val="0"/>
          <w:bCs w:val="0"/>
          <w:color w:val="000000" w:themeColor="text1"/>
          <w:sz w:val="19"/>
          <w:szCs w:val="19"/>
        </w:rPr>
        <w:t>Artículo 2°.</w:t>
      </w:r>
      <w:r w:rsidRPr="009616D4">
        <w:rPr>
          <w:rStyle w:val="nfasis"/>
          <w:rFonts w:ascii="Arial" w:hAnsi="Arial" w:cs="Arial"/>
          <w:i w:val="0"/>
          <w:iCs w:val="0"/>
          <w:color w:val="000000" w:themeColor="text1"/>
          <w:sz w:val="19"/>
          <w:szCs w:val="19"/>
        </w:rPr>
        <w:t>De las modalidades de selección</w:t>
      </w:r>
      <w:r w:rsidRPr="009616D4">
        <w:rPr>
          <w:rStyle w:val="nfasis"/>
          <w:rFonts w:ascii="Arial" w:hAnsi="Arial" w:cs="Arial"/>
          <w:b/>
          <w:bCs/>
          <w:color w:val="000000" w:themeColor="text1"/>
          <w:sz w:val="19"/>
          <w:szCs w:val="19"/>
        </w:rPr>
        <w:t>. </w:t>
      </w:r>
      <w:r w:rsidRPr="009616D4">
        <w:rPr>
          <w:rFonts w:ascii="Arial" w:hAnsi="Arial" w:cs="Arial"/>
          <w:color w:val="000000" w:themeColor="text1"/>
          <w:sz w:val="19"/>
          <w:szCs w:val="19"/>
        </w:rPr>
        <w:t xml:space="preserve">La escogencia del contratista se efectuará con arreglo a las modalidades de selección de licitación pública, selección abreviada, concurso de méritos y contratación directa, con base en las siguientes reglas:  </w:t>
      </w:r>
    </w:p>
    <w:p w14:paraId="2E4471C8" w14:textId="77777777" w:rsidR="008E6056" w:rsidRPr="009616D4" w:rsidRDefault="008E6056" w:rsidP="00A91709">
      <w:pPr>
        <w:pStyle w:val="NormalWeb"/>
        <w:spacing w:before="0" w:beforeAutospacing="0" w:after="0" w:afterAutospacing="0"/>
        <w:ind w:firstLine="709"/>
        <w:jc w:val="both"/>
        <w:rPr>
          <w:rFonts w:ascii="Arial" w:hAnsi="Arial" w:cs="Arial"/>
          <w:color w:val="000000" w:themeColor="text1"/>
          <w:sz w:val="19"/>
          <w:szCs w:val="19"/>
        </w:rPr>
      </w:pPr>
      <w:r w:rsidRPr="009616D4">
        <w:rPr>
          <w:rFonts w:ascii="Arial" w:hAnsi="Arial" w:cs="Arial"/>
          <w:color w:val="000000" w:themeColor="text1"/>
          <w:sz w:val="19"/>
          <w:szCs w:val="19"/>
        </w:rPr>
        <w:t>[…]</w:t>
      </w:r>
    </w:p>
    <w:p w14:paraId="12CDC25A" w14:textId="77777777" w:rsidR="008E6056" w:rsidRPr="009616D4" w:rsidRDefault="008E6056" w:rsidP="00A91709">
      <w:pPr>
        <w:pStyle w:val="NormalWeb"/>
        <w:spacing w:before="0" w:beforeAutospacing="0" w:after="0" w:afterAutospacing="0"/>
        <w:ind w:firstLine="709"/>
        <w:jc w:val="both"/>
        <w:rPr>
          <w:rFonts w:ascii="Arial" w:hAnsi="Arial" w:cs="Arial"/>
          <w:color w:val="000000" w:themeColor="text1"/>
          <w:sz w:val="19"/>
          <w:szCs w:val="19"/>
        </w:rPr>
      </w:pPr>
      <w:r w:rsidRPr="009616D4">
        <w:rPr>
          <w:rFonts w:ascii="Arial" w:hAnsi="Arial" w:cs="Arial"/>
          <w:color w:val="000000" w:themeColor="text1"/>
          <w:sz w:val="19"/>
          <w:szCs w:val="19"/>
        </w:rPr>
        <w:t>»4. Contratación directa</w:t>
      </w:r>
      <w:r w:rsidRPr="009616D4">
        <w:rPr>
          <w:rFonts w:ascii="Arial" w:hAnsi="Arial" w:cs="Arial"/>
          <w:b/>
          <w:bCs/>
          <w:color w:val="000000" w:themeColor="text1"/>
          <w:sz w:val="19"/>
          <w:szCs w:val="19"/>
        </w:rPr>
        <w:t>. </w:t>
      </w:r>
      <w:r w:rsidRPr="009616D4">
        <w:rPr>
          <w:rFonts w:ascii="Arial" w:hAnsi="Arial" w:cs="Arial"/>
          <w:color w:val="000000" w:themeColor="text1"/>
          <w:sz w:val="19"/>
          <w:szCs w:val="19"/>
        </w:rPr>
        <w:t>La modalidad de selección de contratación directa, solamente procederá en los siguientes casos: </w:t>
      </w:r>
    </w:p>
    <w:p w14:paraId="7AA5AF1D" w14:textId="77777777" w:rsidR="008E6056" w:rsidRPr="009616D4" w:rsidRDefault="008E6056" w:rsidP="00A91709">
      <w:pPr>
        <w:ind w:firstLine="709"/>
        <w:jc w:val="both"/>
        <w:rPr>
          <w:rFonts w:ascii="Arial" w:hAnsi="Arial" w:cs="Arial"/>
          <w:color w:val="000000" w:themeColor="text1"/>
          <w:sz w:val="19"/>
          <w:szCs w:val="19"/>
          <w:lang w:eastAsia="es-CO"/>
        </w:rPr>
      </w:pPr>
      <w:r w:rsidRPr="009616D4">
        <w:rPr>
          <w:rFonts w:ascii="Arial" w:hAnsi="Arial" w:cs="Arial"/>
          <w:color w:val="000000" w:themeColor="text1"/>
          <w:sz w:val="19"/>
          <w:szCs w:val="19"/>
          <w:lang w:eastAsia="es-CO"/>
        </w:rPr>
        <w:t>  […]  </w:t>
      </w:r>
    </w:p>
    <w:p w14:paraId="413BE31F" w14:textId="77777777" w:rsidR="008E6056" w:rsidRPr="009616D4" w:rsidRDefault="008E6056" w:rsidP="00A91709">
      <w:pPr>
        <w:ind w:firstLine="709"/>
        <w:jc w:val="both"/>
        <w:rPr>
          <w:rFonts w:ascii="Arial" w:hAnsi="Arial" w:cs="Arial"/>
          <w:color w:val="000000" w:themeColor="text1"/>
          <w:sz w:val="19"/>
          <w:szCs w:val="19"/>
          <w:lang w:eastAsia="es-CO"/>
        </w:rPr>
      </w:pPr>
      <w:r w:rsidRPr="009616D4">
        <w:rPr>
          <w:rFonts w:ascii="Arial" w:hAnsi="Arial" w:cs="Arial"/>
          <w:color w:val="000000" w:themeColor="text1"/>
          <w:sz w:val="19"/>
          <w:szCs w:val="19"/>
          <w:lang w:eastAsia="es-CO"/>
        </w:rPr>
        <w:t>»c) Contratos interadministrativos, siempre que las obligaciones derivadas del mismo tengan relación directa con el objeto de la entidad ejecutora señalado en la ley o en sus reglamentos.  </w:t>
      </w:r>
    </w:p>
    <w:p w14:paraId="3184F235" w14:textId="77777777" w:rsidR="008E6056" w:rsidRPr="009616D4" w:rsidRDefault="008E6056" w:rsidP="00A91709">
      <w:pPr>
        <w:ind w:firstLine="709"/>
        <w:jc w:val="both"/>
        <w:rPr>
          <w:rFonts w:ascii="Arial" w:hAnsi="Arial" w:cs="Arial"/>
          <w:color w:val="000000" w:themeColor="text1"/>
          <w:sz w:val="19"/>
          <w:szCs w:val="19"/>
          <w:lang w:eastAsia="es-CO"/>
        </w:rPr>
      </w:pPr>
      <w:r w:rsidRPr="009616D4">
        <w:rPr>
          <w:rFonts w:ascii="Arial" w:hAnsi="Arial" w:cs="Arial"/>
          <w:color w:val="000000" w:themeColor="text1"/>
          <w:sz w:val="19"/>
          <w:szCs w:val="19"/>
          <w:lang w:eastAsia="es-CO"/>
        </w:rPr>
        <w:t>  </w:t>
      </w:r>
      <w:r w:rsidRPr="009616D4">
        <w:rPr>
          <w:rFonts w:ascii="Arial" w:hAnsi="Arial" w:cs="Arial"/>
          <w:color w:val="000000" w:themeColor="text1"/>
          <w:sz w:val="19"/>
          <w:szCs w:val="19"/>
          <w:lang w:eastAsia="es-CO"/>
        </w:rPr>
        <w:tab/>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w:t>
      </w:r>
    </w:p>
    <w:p w14:paraId="544C9BD7" w14:textId="77777777" w:rsidR="008E6056" w:rsidRPr="009616D4" w:rsidRDefault="008E6056" w:rsidP="00A91709">
      <w:pPr>
        <w:ind w:firstLine="709"/>
        <w:jc w:val="both"/>
        <w:rPr>
          <w:rFonts w:ascii="Arial" w:hAnsi="Arial" w:cs="Arial"/>
          <w:color w:val="000000" w:themeColor="text1"/>
          <w:sz w:val="19"/>
          <w:szCs w:val="19"/>
          <w:lang w:eastAsia="es-CO"/>
        </w:rPr>
      </w:pPr>
      <w:r w:rsidRPr="009616D4">
        <w:rPr>
          <w:rFonts w:ascii="Arial" w:hAnsi="Arial" w:cs="Arial"/>
          <w:color w:val="000000" w:themeColor="text1"/>
          <w:sz w:val="19"/>
          <w:szCs w:val="19"/>
          <w:lang w:eastAsia="es-CO"/>
        </w:rPr>
        <w:t>  </w:t>
      </w:r>
      <w:r w:rsidRPr="009616D4">
        <w:rPr>
          <w:rFonts w:ascii="Arial" w:hAnsi="Arial" w:cs="Arial"/>
          <w:color w:val="000000" w:themeColor="text1"/>
          <w:sz w:val="19"/>
          <w:szCs w:val="19"/>
          <w:lang w:eastAsia="es-CO"/>
        </w:rPr>
        <w:tab/>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1A0376FA" w14:textId="77777777" w:rsidR="008E6056" w:rsidRPr="009616D4" w:rsidRDefault="008E6056" w:rsidP="00A91709">
      <w:pPr>
        <w:ind w:firstLine="709"/>
        <w:jc w:val="both"/>
        <w:rPr>
          <w:rFonts w:ascii="Arial" w:hAnsi="Arial" w:cs="Arial"/>
          <w:color w:val="000000" w:themeColor="text1"/>
          <w:sz w:val="19"/>
          <w:szCs w:val="19"/>
          <w:lang w:eastAsia="es-CO"/>
        </w:rPr>
      </w:pPr>
      <w:r w:rsidRPr="009616D4">
        <w:rPr>
          <w:rFonts w:ascii="Arial" w:hAnsi="Arial" w:cs="Arial"/>
          <w:color w:val="000000" w:themeColor="text1"/>
          <w:sz w:val="19"/>
          <w:szCs w:val="19"/>
          <w:lang w:eastAsia="es-CO"/>
        </w:rPr>
        <w:t>  </w:t>
      </w:r>
      <w:r w:rsidRPr="009616D4">
        <w:rPr>
          <w:rFonts w:ascii="Arial" w:hAnsi="Arial" w:cs="Arial"/>
          <w:color w:val="000000" w:themeColor="text1"/>
          <w:sz w:val="19"/>
          <w:szCs w:val="19"/>
          <w:lang w:eastAsia="es-CO"/>
        </w:rPr>
        <w:tab/>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w:t>
      </w:r>
    </w:p>
    <w:p w14:paraId="11F80F91" w14:textId="77777777" w:rsidR="008E6056" w:rsidRPr="009616D4" w:rsidRDefault="008E6056" w:rsidP="00A91709">
      <w:pPr>
        <w:ind w:firstLine="709"/>
        <w:jc w:val="both"/>
        <w:rPr>
          <w:rFonts w:ascii="Arial" w:hAnsi="Arial" w:cs="Arial"/>
          <w:color w:val="000000" w:themeColor="text1"/>
          <w:sz w:val="19"/>
          <w:szCs w:val="19"/>
        </w:rPr>
      </w:pPr>
      <w:r w:rsidRPr="009616D4">
        <w:rPr>
          <w:rFonts w:ascii="Arial" w:hAnsi="Arial" w:cs="Arial"/>
          <w:color w:val="000000" w:themeColor="text1"/>
          <w:sz w:val="19"/>
          <w:szCs w:val="19"/>
          <w:lang w:eastAsia="es-CO"/>
        </w:rPr>
        <w:t>  </w:t>
      </w:r>
      <w:r w:rsidRPr="009616D4">
        <w:rPr>
          <w:rFonts w:ascii="Arial" w:hAnsi="Arial" w:cs="Arial"/>
          <w:color w:val="000000" w:themeColor="text1"/>
          <w:sz w:val="19"/>
          <w:szCs w:val="19"/>
          <w:lang w:eastAsia="es-CO"/>
        </w:rPr>
        <w:tab/>
        <w:t>»Estarán exceptuados de la figura del contrato interadministrativo, los contratos de seguro de las entidades estatales[…]». </w:t>
      </w:r>
      <w:r w:rsidRPr="009616D4">
        <w:rPr>
          <w:rFonts w:ascii="Arial" w:hAnsi="Arial" w:cs="Arial"/>
          <w:color w:val="000000" w:themeColor="text1"/>
          <w:sz w:val="19"/>
          <w:szCs w:val="19"/>
        </w:rPr>
        <w:t xml:space="preserve"> </w:t>
      </w:r>
    </w:p>
  </w:footnote>
  <w:footnote w:id="21">
    <w:p w14:paraId="7479F0BC" w14:textId="77777777" w:rsidR="008E6056" w:rsidRPr="00A91709" w:rsidRDefault="008E6056" w:rsidP="00A91709">
      <w:pPr>
        <w:pStyle w:val="Textonotapie"/>
        <w:ind w:firstLine="709"/>
        <w:jc w:val="both"/>
        <w:rPr>
          <w:rFonts w:ascii="Arial" w:hAnsi="Arial" w:cs="Arial"/>
          <w:color w:val="000000" w:themeColor="text1"/>
          <w:sz w:val="19"/>
          <w:szCs w:val="19"/>
          <w:lang w:val="es-CO"/>
        </w:rPr>
      </w:pPr>
      <w:r w:rsidRPr="009616D4">
        <w:rPr>
          <w:rStyle w:val="Refdenotaalpie"/>
        </w:rPr>
        <w:footnoteRef/>
      </w:r>
      <w:r w:rsidRPr="009616D4">
        <w:rPr>
          <w:rFonts w:ascii="Arial" w:hAnsi="Arial" w:cs="Arial"/>
          <w:color w:val="000000" w:themeColor="text1"/>
          <w:sz w:val="19"/>
          <w:szCs w:val="19"/>
        </w:rPr>
        <w:t xml:space="preserve"> Este es uno de los casos típicos de antinomias que ha identificado la doctrina, que al respecto ha señalado: «Segundo caso: antinomias entre normas provenientes de dos fuentes distintas, pero del mismo tipo (por ejemplo, dos leyes estatales ordinarias) Ahora bien, dos fuentes del mismo tipo por lo general habrán sido promulgadas o emanadas en momentos distintos. En estos casos, la antinomia se resuelve dando la preferencia a la norma más reciente en el tiempo. La norma sucesiva debe ser aplicada, la anterior debe considerarse abrogada, ya no en vigencia […] Este modo de razonar constituye aplicación del principio cronológico: la norma sucesiva abroga la precedente («</w:t>
      </w:r>
      <w:r w:rsidRPr="009616D4">
        <w:rPr>
          <w:rFonts w:ascii="Arial" w:hAnsi="Arial" w:cs="Arial"/>
          <w:i/>
          <w:iCs/>
          <w:color w:val="000000" w:themeColor="text1"/>
          <w:sz w:val="19"/>
          <w:szCs w:val="19"/>
        </w:rPr>
        <w:t>lex posterior derogat legi priori</w:t>
      </w:r>
      <w:r w:rsidRPr="009616D4">
        <w:rPr>
          <w:rFonts w:ascii="Arial" w:hAnsi="Arial" w:cs="Arial"/>
          <w:color w:val="000000" w:themeColor="text1"/>
          <w:sz w:val="19"/>
          <w:szCs w:val="19"/>
        </w:rPr>
        <w:t>»)». GUASTINI, Ricardo. La interpretación de los documentos normativos. Trad. Cesar E. Moreno Primera Edición, Centro Iberoamericano de Investigaciones Jurídicas y Sociales: Derecho Global Editores, México, 2018. pp. 423</w:t>
      </w:r>
      <w:r w:rsidRPr="00A91709">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842088587">
    <w:abstractNumId w:val="11"/>
  </w:num>
  <w:num w:numId="2" w16cid:durableId="1462647806">
    <w:abstractNumId w:val="9"/>
  </w:num>
  <w:num w:numId="3" w16cid:durableId="1251156329">
    <w:abstractNumId w:val="14"/>
  </w:num>
  <w:num w:numId="4" w16cid:durableId="1847090199">
    <w:abstractNumId w:val="17"/>
  </w:num>
  <w:num w:numId="5" w16cid:durableId="47144650">
    <w:abstractNumId w:val="21"/>
  </w:num>
  <w:num w:numId="6" w16cid:durableId="107617086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1289243">
    <w:abstractNumId w:val="19"/>
  </w:num>
  <w:num w:numId="8" w16cid:durableId="909846721">
    <w:abstractNumId w:val="0"/>
  </w:num>
  <w:num w:numId="9" w16cid:durableId="1366441542">
    <w:abstractNumId w:val="4"/>
  </w:num>
  <w:num w:numId="10" w16cid:durableId="19336582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001220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79740118">
    <w:abstractNumId w:val="10"/>
  </w:num>
  <w:num w:numId="13" w16cid:durableId="813061861">
    <w:abstractNumId w:val="13"/>
  </w:num>
  <w:num w:numId="14" w16cid:durableId="1647466355">
    <w:abstractNumId w:val="8"/>
  </w:num>
  <w:num w:numId="15" w16cid:durableId="321276886">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0928770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27559684">
    <w:abstractNumId w:val="23"/>
  </w:num>
  <w:num w:numId="18" w16cid:durableId="1732732120">
    <w:abstractNumId w:val="15"/>
  </w:num>
  <w:num w:numId="19" w16cid:durableId="1441098107">
    <w:abstractNumId w:val="3"/>
  </w:num>
  <w:num w:numId="20" w16cid:durableId="621575099">
    <w:abstractNumId w:val="24"/>
  </w:num>
  <w:num w:numId="21" w16cid:durableId="1203788359">
    <w:abstractNumId w:val="16"/>
  </w:num>
  <w:num w:numId="22" w16cid:durableId="446658798">
    <w:abstractNumId w:val="6"/>
  </w:num>
  <w:num w:numId="23" w16cid:durableId="904141508">
    <w:abstractNumId w:val="5"/>
  </w:num>
  <w:num w:numId="24" w16cid:durableId="1034161469">
    <w:abstractNumId w:val="22"/>
  </w:num>
  <w:num w:numId="25" w16cid:durableId="1677800784">
    <w:abstractNumId w:val="18"/>
  </w:num>
  <w:num w:numId="26" w16cid:durableId="63458081">
    <w:abstractNumId w:val="25"/>
  </w:num>
  <w:num w:numId="27" w16cid:durableId="301809200">
    <w:abstractNumId w:val="7"/>
  </w:num>
  <w:num w:numId="28" w16cid:durableId="2695150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31A8"/>
    <w:rsid w:val="00003C5C"/>
    <w:rsid w:val="00003EFA"/>
    <w:rsid w:val="000040D7"/>
    <w:rsid w:val="00004556"/>
    <w:rsid w:val="000051AF"/>
    <w:rsid w:val="000059D3"/>
    <w:rsid w:val="00005B6D"/>
    <w:rsid w:val="00005D36"/>
    <w:rsid w:val="0000600A"/>
    <w:rsid w:val="00006081"/>
    <w:rsid w:val="00007750"/>
    <w:rsid w:val="000077FD"/>
    <w:rsid w:val="00007E37"/>
    <w:rsid w:val="00010C40"/>
    <w:rsid w:val="00010FFD"/>
    <w:rsid w:val="000112B4"/>
    <w:rsid w:val="00011DCC"/>
    <w:rsid w:val="00012532"/>
    <w:rsid w:val="00012B9E"/>
    <w:rsid w:val="00012FBA"/>
    <w:rsid w:val="00013C6B"/>
    <w:rsid w:val="0001406B"/>
    <w:rsid w:val="000143F8"/>
    <w:rsid w:val="00014624"/>
    <w:rsid w:val="00015B44"/>
    <w:rsid w:val="00016081"/>
    <w:rsid w:val="000165AC"/>
    <w:rsid w:val="00016651"/>
    <w:rsid w:val="00016FE3"/>
    <w:rsid w:val="000171A2"/>
    <w:rsid w:val="00017B44"/>
    <w:rsid w:val="00017B65"/>
    <w:rsid w:val="00020158"/>
    <w:rsid w:val="000207E0"/>
    <w:rsid w:val="000209E2"/>
    <w:rsid w:val="00020F8F"/>
    <w:rsid w:val="00021A95"/>
    <w:rsid w:val="0002256F"/>
    <w:rsid w:val="00023746"/>
    <w:rsid w:val="00023DAE"/>
    <w:rsid w:val="00024896"/>
    <w:rsid w:val="00024A12"/>
    <w:rsid w:val="00025D0A"/>
    <w:rsid w:val="000263F0"/>
    <w:rsid w:val="00026407"/>
    <w:rsid w:val="00026608"/>
    <w:rsid w:val="00027787"/>
    <w:rsid w:val="000278D2"/>
    <w:rsid w:val="0003095C"/>
    <w:rsid w:val="00031158"/>
    <w:rsid w:val="00031364"/>
    <w:rsid w:val="000314BD"/>
    <w:rsid w:val="000315E1"/>
    <w:rsid w:val="00031FF6"/>
    <w:rsid w:val="0003236E"/>
    <w:rsid w:val="000323B0"/>
    <w:rsid w:val="0003339A"/>
    <w:rsid w:val="0003370C"/>
    <w:rsid w:val="0003377C"/>
    <w:rsid w:val="000341F2"/>
    <w:rsid w:val="000343F8"/>
    <w:rsid w:val="00035046"/>
    <w:rsid w:val="000351F2"/>
    <w:rsid w:val="00036E03"/>
    <w:rsid w:val="000406DB"/>
    <w:rsid w:val="0004094D"/>
    <w:rsid w:val="00041029"/>
    <w:rsid w:val="00041210"/>
    <w:rsid w:val="0004149B"/>
    <w:rsid w:val="00042961"/>
    <w:rsid w:val="00042C25"/>
    <w:rsid w:val="00042D03"/>
    <w:rsid w:val="00043086"/>
    <w:rsid w:val="000430A0"/>
    <w:rsid w:val="00043D3B"/>
    <w:rsid w:val="0004418C"/>
    <w:rsid w:val="00044204"/>
    <w:rsid w:val="000449D4"/>
    <w:rsid w:val="00045A00"/>
    <w:rsid w:val="000463B5"/>
    <w:rsid w:val="00046717"/>
    <w:rsid w:val="00046A63"/>
    <w:rsid w:val="00046C09"/>
    <w:rsid w:val="0004716A"/>
    <w:rsid w:val="000471B6"/>
    <w:rsid w:val="00047385"/>
    <w:rsid w:val="000473E8"/>
    <w:rsid w:val="00047F84"/>
    <w:rsid w:val="000504DE"/>
    <w:rsid w:val="00050C5A"/>
    <w:rsid w:val="00051074"/>
    <w:rsid w:val="0005168F"/>
    <w:rsid w:val="000526F0"/>
    <w:rsid w:val="0005273D"/>
    <w:rsid w:val="00052B79"/>
    <w:rsid w:val="00052EA0"/>
    <w:rsid w:val="000536A7"/>
    <w:rsid w:val="000536E3"/>
    <w:rsid w:val="00053896"/>
    <w:rsid w:val="0005474D"/>
    <w:rsid w:val="00055CB9"/>
    <w:rsid w:val="00056CD0"/>
    <w:rsid w:val="00056F66"/>
    <w:rsid w:val="0005702F"/>
    <w:rsid w:val="00061010"/>
    <w:rsid w:val="00061D06"/>
    <w:rsid w:val="00062CDD"/>
    <w:rsid w:val="000635D9"/>
    <w:rsid w:val="000640AF"/>
    <w:rsid w:val="00064940"/>
    <w:rsid w:val="00064CAE"/>
    <w:rsid w:val="00064DB7"/>
    <w:rsid w:val="00064FA7"/>
    <w:rsid w:val="00065195"/>
    <w:rsid w:val="0006536C"/>
    <w:rsid w:val="00070060"/>
    <w:rsid w:val="00070AF1"/>
    <w:rsid w:val="000714DE"/>
    <w:rsid w:val="0007254F"/>
    <w:rsid w:val="00073C30"/>
    <w:rsid w:val="00074305"/>
    <w:rsid w:val="000744D0"/>
    <w:rsid w:val="00074B2A"/>
    <w:rsid w:val="00074EEE"/>
    <w:rsid w:val="000753D5"/>
    <w:rsid w:val="00075B3E"/>
    <w:rsid w:val="00076456"/>
    <w:rsid w:val="00077173"/>
    <w:rsid w:val="0007779B"/>
    <w:rsid w:val="000777E7"/>
    <w:rsid w:val="0007790A"/>
    <w:rsid w:val="0008017B"/>
    <w:rsid w:val="00080451"/>
    <w:rsid w:val="000808C5"/>
    <w:rsid w:val="00080ACD"/>
    <w:rsid w:val="000811ED"/>
    <w:rsid w:val="00081BB9"/>
    <w:rsid w:val="00081D29"/>
    <w:rsid w:val="00081D62"/>
    <w:rsid w:val="00082B74"/>
    <w:rsid w:val="00083099"/>
    <w:rsid w:val="00083452"/>
    <w:rsid w:val="00083EDC"/>
    <w:rsid w:val="000842BE"/>
    <w:rsid w:val="00084B97"/>
    <w:rsid w:val="0008510E"/>
    <w:rsid w:val="000856DE"/>
    <w:rsid w:val="00085F17"/>
    <w:rsid w:val="00085FB0"/>
    <w:rsid w:val="00085FB3"/>
    <w:rsid w:val="0008686B"/>
    <w:rsid w:val="00086B2A"/>
    <w:rsid w:val="00086ED2"/>
    <w:rsid w:val="000914D6"/>
    <w:rsid w:val="00091569"/>
    <w:rsid w:val="00092BD0"/>
    <w:rsid w:val="00092CDB"/>
    <w:rsid w:val="00092DCA"/>
    <w:rsid w:val="000942EB"/>
    <w:rsid w:val="00095B70"/>
    <w:rsid w:val="0009617E"/>
    <w:rsid w:val="0009628D"/>
    <w:rsid w:val="0009670F"/>
    <w:rsid w:val="00097342"/>
    <w:rsid w:val="00097372"/>
    <w:rsid w:val="000979CF"/>
    <w:rsid w:val="00097FCD"/>
    <w:rsid w:val="000A03C8"/>
    <w:rsid w:val="000A05F2"/>
    <w:rsid w:val="000A06C4"/>
    <w:rsid w:val="000A0861"/>
    <w:rsid w:val="000A0ED1"/>
    <w:rsid w:val="000A12DB"/>
    <w:rsid w:val="000A17C8"/>
    <w:rsid w:val="000A1B74"/>
    <w:rsid w:val="000A20D7"/>
    <w:rsid w:val="000A2128"/>
    <w:rsid w:val="000A32D4"/>
    <w:rsid w:val="000A362F"/>
    <w:rsid w:val="000A3B49"/>
    <w:rsid w:val="000A4299"/>
    <w:rsid w:val="000A47E6"/>
    <w:rsid w:val="000A52C0"/>
    <w:rsid w:val="000A5AAF"/>
    <w:rsid w:val="000A5F97"/>
    <w:rsid w:val="000A648E"/>
    <w:rsid w:val="000A73BB"/>
    <w:rsid w:val="000A7EF4"/>
    <w:rsid w:val="000B0A15"/>
    <w:rsid w:val="000B103F"/>
    <w:rsid w:val="000B1437"/>
    <w:rsid w:val="000B1470"/>
    <w:rsid w:val="000B244D"/>
    <w:rsid w:val="000B2570"/>
    <w:rsid w:val="000B2B86"/>
    <w:rsid w:val="000B3051"/>
    <w:rsid w:val="000B419B"/>
    <w:rsid w:val="000B5781"/>
    <w:rsid w:val="000B5CB1"/>
    <w:rsid w:val="000B6D08"/>
    <w:rsid w:val="000C0185"/>
    <w:rsid w:val="000C0F81"/>
    <w:rsid w:val="000C128D"/>
    <w:rsid w:val="000C17A3"/>
    <w:rsid w:val="000C1D4B"/>
    <w:rsid w:val="000C2DC4"/>
    <w:rsid w:val="000C3260"/>
    <w:rsid w:val="000C3B77"/>
    <w:rsid w:val="000C3F6D"/>
    <w:rsid w:val="000C4F49"/>
    <w:rsid w:val="000C5861"/>
    <w:rsid w:val="000C5BDE"/>
    <w:rsid w:val="000C5F28"/>
    <w:rsid w:val="000C639D"/>
    <w:rsid w:val="000C6946"/>
    <w:rsid w:val="000C6C31"/>
    <w:rsid w:val="000C6DBC"/>
    <w:rsid w:val="000C6F79"/>
    <w:rsid w:val="000C7476"/>
    <w:rsid w:val="000C75A0"/>
    <w:rsid w:val="000C7711"/>
    <w:rsid w:val="000C7AA2"/>
    <w:rsid w:val="000D0462"/>
    <w:rsid w:val="000D053D"/>
    <w:rsid w:val="000D0ED2"/>
    <w:rsid w:val="000D1CE1"/>
    <w:rsid w:val="000D1CEB"/>
    <w:rsid w:val="000D2563"/>
    <w:rsid w:val="000D25BF"/>
    <w:rsid w:val="000D3282"/>
    <w:rsid w:val="000D3FDC"/>
    <w:rsid w:val="000D490B"/>
    <w:rsid w:val="000D4E38"/>
    <w:rsid w:val="000D50DB"/>
    <w:rsid w:val="000D5EF9"/>
    <w:rsid w:val="000D6288"/>
    <w:rsid w:val="000D7541"/>
    <w:rsid w:val="000D75E1"/>
    <w:rsid w:val="000D79F4"/>
    <w:rsid w:val="000E047D"/>
    <w:rsid w:val="000E22CF"/>
    <w:rsid w:val="000E2977"/>
    <w:rsid w:val="000E2CC0"/>
    <w:rsid w:val="000E30AC"/>
    <w:rsid w:val="000E3B46"/>
    <w:rsid w:val="000E3E11"/>
    <w:rsid w:val="000E40D4"/>
    <w:rsid w:val="000E4596"/>
    <w:rsid w:val="000E5768"/>
    <w:rsid w:val="000E5843"/>
    <w:rsid w:val="000E6139"/>
    <w:rsid w:val="000E6BE1"/>
    <w:rsid w:val="000E7E0B"/>
    <w:rsid w:val="000F0136"/>
    <w:rsid w:val="000F078A"/>
    <w:rsid w:val="000F122D"/>
    <w:rsid w:val="000F1450"/>
    <w:rsid w:val="000F14E8"/>
    <w:rsid w:val="000F1BBD"/>
    <w:rsid w:val="000F290F"/>
    <w:rsid w:val="000F4403"/>
    <w:rsid w:val="000F4702"/>
    <w:rsid w:val="000F480B"/>
    <w:rsid w:val="000F4E17"/>
    <w:rsid w:val="000F5D2E"/>
    <w:rsid w:val="000F6578"/>
    <w:rsid w:val="000F7E8F"/>
    <w:rsid w:val="000F7FBB"/>
    <w:rsid w:val="001000FB"/>
    <w:rsid w:val="00100A9E"/>
    <w:rsid w:val="00100F6A"/>
    <w:rsid w:val="001021FA"/>
    <w:rsid w:val="00102605"/>
    <w:rsid w:val="00102686"/>
    <w:rsid w:val="00102745"/>
    <w:rsid w:val="00103795"/>
    <w:rsid w:val="00103849"/>
    <w:rsid w:val="00103915"/>
    <w:rsid w:val="00103EA0"/>
    <w:rsid w:val="00104F1C"/>
    <w:rsid w:val="001051E5"/>
    <w:rsid w:val="00105A74"/>
    <w:rsid w:val="00105ACB"/>
    <w:rsid w:val="00105AEF"/>
    <w:rsid w:val="00106259"/>
    <w:rsid w:val="001068EB"/>
    <w:rsid w:val="001078CE"/>
    <w:rsid w:val="00107AAF"/>
    <w:rsid w:val="00107C9F"/>
    <w:rsid w:val="00110F61"/>
    <w:rsid w:val="001111BD"/>
    <w:rsid w:val="0011165A"/>
    <w:rsid w:val="001116C6"/>
    <w:rsid w:val="00111B2B"/>
    <w:rsid w:val="00112774"/>
    <w:rsid w:val="00112A89"/>
    <w:rsid w:val="00112B2E"/>
    <w:rsid w:val="00112B7F"/>
    <w:rsid w:val="00113003"/>
    <w:rsid w:val="00113062"/>
    <w:rsid w:val="00113705"/>
    <w:rsid w:val="00113871"/>
    <w:rsid w:val="00113975"/>
    <w:rsid w:val="00113CFC"/>
    <w:rsid w:val="00113FEA"/>
    <w:rsid w:val="00114631"/>
    <w:rsid w:val="00114A22"/>
    <w:rsid w:val="00114E9D"/>
    <w:rsid w:val="0011507B"/>
    <w:rsid w:val="00115B6A"/>
    <w:rsid w:val="0011627A"/>
    <w:rsid w:val="00116328"/>
    <w:rsid w:val="001163CF"/>
    <w:rsid w:val="001174C9"/>
    <w:rsid w:val="00117E69"/>
    <w:rsid w:val="001204D2"/>
    <w:rsid w:val="00121103"/>
    <w:rsid w:val="001215B2"/>
    <w:rsid w:val="00121BAB"/>
    <w:rsid w:val="00121E3C"/>
    <w:rsid w:val="001221A5"/>
    <w:rsid w:val="00122B23"/>
    <w:rsid w:val="00122B7E"/>
    <w:rsid w:val="00123FB5"/>
    <w:rsid w:val="0012400F"/>
    <w:rsid w:val="001245D6"/>
    <w:rsid w:val="001249DC"/>
    <w:rsid w:val="0012572D"/>
    <w:rsid w:val="00125BED"/>
    <w:rsid w:val="00125C59"/>
    <w:rsid w:val="00125D4F"/>
    <w:rsid w:val="00125DDE"/>
    <w:rsid w:val="00127004"/>
    <w:rsid w:val="00127AF2"/>
    <w:rsid w:val="00127EDC"/>
    <w:rsid w:val="00127F6D"/>
    <w:rsid w:val="00127FF6"/>
    <w:rsid w:val="001300C2"/>
    <w:rsid w:val="00130355"/>
    <w:rsid w:val="00130365"/>
    <w:rsid w:val="0013110D"/>
    <w:rsid w:val="0013144A"/>
    <w:rsid w:val="00131B5A"/>
    <w:rsid w:val="00132C30"/>
    <w:rsid w:val="00132EFD"/>
    <w:rsid w:val="00133AED"/>
    <w:rsid w:val="00134E09"/>
    <w:rsid w:val="00134E7E"/>
    <w:rsid w:val="001358C5"/>
    <w:rsid w:val="00135DB9"/>
    <w:rsid w:val="0013695C"/>
    <w:rsid w:val="00136BF7"/>
    <w:rsid w:val="001378B9"/>
    <w:rsid w:val="00137FFA"/>
    <w:rsid w:val="00140109"/>
    <w:rsid w:val="0014029B"/>
    <w:rsid w:val="00140464"/>
    <w:rsid w:val="00140832"/>
    <w:rsid w:val="001409A9"/>
    <w:rsid w:val="00140A4F"/>
    <w:rsid w:val="001411A6"/>
    <w:rsid w:val="00141226"/>
    <w:rsid w:val="001413AB"/>
    <w:rsid w:val="00141D85"/>
    <w:rsid w:val="00141DBF"/>
    <w:rsid w:val="00142EFD"/>
    <w:rsid w:val="00142F55"/>
    <w:rsid w:val="00143A58"/>
    <w:rsid w:val="00144335"/>
    <w:rsid w:val="0014502F"/>
    <w:rsid w:val="00145075"/>
    <w:rsid w:val="00145282"/>
    <w:rsid w:val="001453B0"/>
    <w:rsid w:val="001454D9"/>
    <w:rsid w:val="00145D8E"/>
    <w:rsid w:val="00146083"/>
    <w:rsid w:val="001462F7"/>
    <w:rsid w:val="00147F35"/>
    <w:rsid w:val="00150005"/>
    <w:rsid w:val="001518D7"/>
    <w:rsid w:val="00151AEB"/>
    <w:rsid w:val="00151B99"/>
    <w:rsid w:val="001521B2"/>
    <w:rsid w:val="00152EDD"/>
    <w:rsid w:val="00153491"/>
    <w:rsid w:val="0015361C"/>
    <w:rsid w:val="0015372F"/>
    <w:rsid w:val="00153BFB"/>
    <w:rsid w:val="0015407E"/>
    <w:rsid w:val="0015448E"/>
    <w:rsid w:val="00154493"/>
    <w:rsid w:val="00154A6F"/>
    <w:rsid w:val="00155D08"/>
    <w:rsid w:val="00155F5E"/>
    <w:rsid w:val="00156BE5"/>
    <w:rsid w:val="00156DC0"/>
    <w:rsid w:val="001570D1"/>
    <w:rsid w:val="00157232"/>
    <w:rsid w:val="00160401"/>
    <w:rsid w:val="00160D4E"/>
    <w:rsid w:val="00160DF9"/>
    <w:rsid w:val="00161DDA"/>
    <w:rsid w:val="00161E62"/>
    <w:rsid w:val="00161F1C"/>
    <w:rsid w:val="0016200B"/>
    <w:rsid w:val="00162013"/>
    <w:rsid w:val="0016229A"/>
    <w:rsid w:val="00162A3A"/>
    <w:rsid w:val="00163D7A"/>
    <w:rsid w:val="00163E3A"/>
    <w:rsid w:val="00164281"/>
    <w:rsid w:val="00165703"/>
    <w:rsid w:val="00166601"/>
    <w:rsid w:val="0016685F"/>
    <w:rsid w:val="0016712F"/>
    <w:rsid w:val="00167503"/>
    <w:rsid w:val="001676A9"/>
    <w:rsid w:val="001677F3"/>
    <w:rsid w:val="00167A15"/>
    <w:rsid w:val="00167A50"/>
    <w:rsid w:val="00167DF5"/>
    <w:rsid w:val="00170001"/>
    <w:rsid w:val="00172198"/>
    <w:rsid w:val="00172612"/>
    <w:rsid w:val="00172817"/>
    <w:rsid w:val="00172944"/>
    <w:rsid w:val="001734E3"/>
    <w:rsid w:val="001742BF"/>
    <w:rsid w:val="001757EF"/>
    <w:rsid w:val="00175E49"/>
    <w:rsid w:val="0017649F"/>
    <w:rsid w:val="001764FD"/>
    <w:rsid w:val="0017655D"/>
    <w:rsid w:val="001802DE"/>
    <w:rsid w:val="001805C1"/>
    <w:rsid w:val="00180A2E"/>
    <w:rsid w:val="001813AF"/>
    <w:rsid w:val="0018226D"/>
    <w:rsid w:val="001829CD"/>
    <w:rsid w:val="00182F01"/>
    <w:rsid w:val="00184902"/>
    <w:rsid w:val="00184F27"/>
    <w:rsid w:val="0018519B"/>
    <w:rsid w:val="00185966"/>
    <w:rsid w:val="00185A2D"/>
    <w:rsid w:val="00185AFE"/>
    <w:rsid w:val="00185E78"/>
    <w:rsid w:val="00187061"/>
    <w:rsid w:val="00187177"/>
    <w:rsid w:val="00187ABD"/>
    <w:rsid w:val="001904E3"/>
    <w:rsid w:val="0019087A"/>
    <w:rsid w:val="00190D7C"/>
    <w:rsid w:val="0019178A"/>
    <w:rsid w:val="00191C5A"/>
    <w:rsid w:val="00191CEB"/>
    <w:rsid w:val="00191E63"/>
    <w:rsid w:val="00192154"/>
    <w:rsid w:val="00192531"/>
    <w:rsid w:val="0019258A"/>
    <w:rsid w:val="00192D68"/>
    <w:rsid w:val="0019388B"/>
    <w:rsid w:val="00193B9A"/>
    <w:rsid w:val="001940ED"/>
    <w:rsid w:val="001946AE"/>
    <w:rsid w:val="001946D5"/>
    <w:rsid w:val="00194804"/>
    <w:rsid w:val="00194E8C"/>
    <w:rsid w:val="001962EC"/>
    <w:rsid w:val="001963DD"/>
    <w:rsid w:val="001965DB"/>
    <w:rsid w:val="00196D01"/>
    <w:rsid w:val="00196DC9"/>
    <w:rsid w:val="00196E95"/>
    <w:rsid w:val="00197CF9"/>
    <w:rsid w:val="001A0236"/>
    <w:rsid w:val="001A0427"/>
    <w:rsid w:val="001A0930"/>
    <w:rsid w:val="001A0AF8"/>
    <w:rsid w:val="001A18D5"/>
    <w:rsid w:val="001A1A38"/>
    <w:rsid w:val="001A1BE0"/>
    <w:rsid w:val="001A1D4A"/>
    <w:rsid w:val="001A3011"/>
    <w:rsid w:val="001A4A9B"/>
    <w:rsid w:val="001A4DAF"/>
    <w:rsid w:val="001A54CD"/>
    <w:rsid w:val="001A65CF"/>
    <w:rsid w:val="001A66DF"/>
    <w:rsid w:val="001A67D0"/>
    <w:rsid w:val="001A6863"/>
    <w:rsid w:val="001A7591"/>
    <w:rsid w:val="001A75B1"/>
    <w:rsid w:val="001A7B06"/>
    <w:rsid w:val="001B0366"/>
    <w:rsid w:val="001B0444"/>
    <w:rsid w:val="001B096B"/>
    <w:rsid w:val="001B0F9F"/>
    <w:rsid w:val="001B123C"/>
    <w:rsid w:val="001B1A0D"/>
    <w:rsid w:val="001B1BF1"/>
    <w:rsid w:val="001B1C97"/>
    <w:rsid w:val="001B2456"/>
    <w:rsid w:val="001B246B"/>
    <w:rsid w:val="001B255B"/>
    <w:rsid w:val="001B3C0E"/>
    <w:rsid w:val="001B449C"/>
    <w:rsid w:val="001B4AA2"/>
    <w:rsid w:val="001B4ADE"/>
    <w:rsid w:val="001B5EA7"/>
    <w:rsid w:val="001B5EF8"/>
    <w:rsid w:val="001B615D"/>
    <w:rsid w:val="001C07C6"/>
    <w:rsid w:val="001C19CD"/>
    <w:rsid w:val="001C22D5"/>
    <w:rsid w:val="001C2515"/>
    <w:rsid w:val="001C26FB"/>
    <w:rsid w:val="001C2BE4"/>
    <w:rsid w:val="001C33C1"/>
    <w:rsid w:val="001C3E30"/>
    <w:rsid w:val="001C3E5C"/>
    <w:rsid w:val="001C4FB7"/>
    <w:rsid w:val="001C5072"/>
    <w:rsid w:val="001C57F4"/>
    <w:rsid w:val="001C5B2A"/>
    <w:rsid w:val="001C600B"/>
    <w:rsid w:val="001C6898"/>
    <w:rsid w:val="001C6DD8"/>
    <w:rsid w:val="001C6DFF"/>
    <w:rsid w:val="001C7C7B"/>
    <w:rsid w:val="001D068D"/>
    <w:rsid w:val="001D12D1"/>
    <w:rsid w:val="001D15DF"/>
    <w:rsid w:val="001D26A6"/>
    <w:rsid w:val="001D30F3"/>
    <w:rsid w:val="001D31A0"/>
    <w:rsid w:val="001D338E"/>
    <w:rsid w:val="001D3EF9"/>
    <w:rsid w:val="001D4F13"/>
    <w:rsid w:val="001D56E9"/>
    <w:rsid w:val="001D5922"/>
    <w:rsid w:val="001D5C1F"/>
    <w:rsid w:val="001D5EE1"/>
    <w:rsid w:val="001D72B0"/>
    <w:rsid w:val="001D796A"/>
    <w:rsid w:val="001D7A84"/>
    <w:rsid w:val="001D7C79"/>
    <w:rsid w:val="001E003B"/>
    <w:rsid w:val="001E1215"/>
    <w:rsid w:val="001E12FF"/>
    <w:rsid w:val="001E1CC4"/>
    <w:rsid w:val="001E1D38"/>
    <w:rsid w:val="001E28A0"/>
    <w:rsid w:val="001E2ECF"/>
    <w:rsid w:val="001E34BD"/>
    <w:rsid w:val="001E3911"/>
    <w:rsid w:val="001E3F3C"/>
    <w:rsid w:val="001E4258"/>
    <w:rsid w:val="001E44EA"/>
    <w:rsid w:val="001E50BA"/>
    <w:rsid w:val="001E5AEF"/>
    <w:rsid w:val="001E5D6A"/>
    <w:rsid w:val="001E6A94"/>
    <w:rsid w:val="001E70FB"/>
    <w:rsid w:val="001E780A"/>
    <w:rsid w:val="001F08E8"/>
    <w:rsid w:val="001F0ADD"/>
    <w:rsid w:val="001F0FA0"/>
    <w:rsid w:val="001F1349"/>
    <w:rsid w:val="001F1863"/>
    <w:rsid w:val="001F2356"/>
    <w:rsid w:val="001F2A68"/>
    <w:rsid w:val="001F4773"/>
    <w:rsid w:val="001F5008"/>
    <w:rsid w:val="001F51A9"/>
    <w:rsid w:val="001F56AA"/>
    <w:rsid w:val="001F58AA"/>
    <w:rsid w:val="001F5A4E"/>
    <w:rsid w:val="001F5EF6"/>
    <w:rsid w:val="001F657F"/>
    <w:rsid w:val="001F6FB6"/>
    <w:rsid w:val="001F72BB"/>
    <w:rsid w:val="001F7374"/>
    <w:rsid w:val="001F7978"/>
    <w:rsid w:val="001F7A0E"/>
    <w:rsid w:val="0020022E"/>
    <w:rsid w:val="0020054E"/>
    <w:rsid w:val="00201260"/>
    <w:rsid w:val="00201AC4"/>
    <w:rsid w:val="00201F1E"/>
    <w:rsid w:val="0020299B"/>
    <w:rsid w:val="00202E44"/>
    <w:rsid w:val="002037AA"/>
    <w:rsid w:val="0020390E"/>
    <w:rsid w:val="00203FE3"/>
    <w:rsid w:val="002042D8"/>
    <w:rsid w:val="00204515"/>
    <w:rsid w:val="00204AA9"/>
    <w:rsid w:val="00204BF5"/>
    <w:rsid w:val="00204E6B"/>
    <w:rsid w:val="00204EF3"/>
    <w:rsid w:val="002053EF"/>
    <w:rsid w:val="002058D4"/>
    <w:rsid w:val="00205DF6"/>
    <w:rsid w:val="0020632A"/>
    <w:rsid w:val="0020697F"/>
    <w:rsid w:val="00207019"/>
    <w:rsid w:val="002110EB"/>
    <w:rsid w:val="00211338"/>
    <w:rsid w:val="00211388"/>
    <w:rsid w:val="0021148C"/>
    <w:rsid w:val="00211694"/>
    <w:rsid w:val="0021201A"/>
    <w:rsid w:val="00212CCD"/>
    <w:rsid w:val="002138FE"/>
    <w:rsid w:val="00213A1F"/>
    <w:rsid w:val="00213C63"/>
    <w:rsid w:val="00214502"/>
    <w:rsid w:val="00214741"/>
    <w:rsid w:val="0021539A"/>
    <w:rsid w:val="00215852"/>
    <w:rsid w:val="00215B8E"/>
    <w:rsid w:val="00216264"/>
    <w:rsid w:val="002176B6"/>
    <w:rsid w:val="0021792D"/>
    <w:rsid w:val="00217DB8"/>
    <w:rsid w:val="002200DC"/>
    <w:rsid w:val="002202CE"/>
    <w:rsid w:val="0022032A"/>
    <w:rsid w:val="0022194E"/>
    <w:rsid w:val="002220B1"/>
    <w:rsid w:val="002221CE"/>
    <w:rsid w:val="00222BE8"/>
    <w:rsid w:val="00223102"/>
    <w:rsid w:val="002232CB"/>
    <w:rsid w:val="00224022"/>
    <w:rsid w:val="00224A66"/>
    <w:rsid w:val="00224D7E"/>
    <w:rsid w:val="00226055"/>
    <w:rsid w:val="0022613F"/>
    <w:rsid w:val="00226236"/>
    <w:rsid w:val="002269B2"/>
    <w:rsid w:val="002270C9"/>
    <w:rsid w:val="00227A8B"/>
    <w:rsid w:val="0023146B"/>
    <w:rsid w:val="002315A0"/>
    <w:rsid w:val="0023161C"/>
    <w:rsid w:val="00231748"/>
    <w:rsid w:val="00231BDE"/>
    <w:rsid w:val="00231EC7"/>
    <w:rsid w:val="00232E15"/>
    <w:rsid w:val="00233079"/>
    <w:rsid w:val="0023382C"/>
    <w:rsid w:val="002338B4"/>
    <w:rsid w:val="00233977"/>
    <w:rsid w:val="00233C58"/>
    <w:rsid w:val="00233C71"/>
    <w:rsid w:val="002345B6"/>
    <w:rsid w:val="002347A6"/>
    <w:rsid w:val="00234B84"/>
    <w:rsid w:val="00236016"/>
    <w:rsid w:val="00237065"/>
    <w:rsid w:val="00237436"/>
    <w:rsid w:val="00237589"/>
    <w:rsid w:val="0023758D"/>
    <w:rsid w:val="002375A7"/>
    <w:rsid w:val="0023798D"/>
    <w:rsid w:val="0024019A"/>
    <w:rsid w:val="0024094F"/>
    <w:rsid w:val="00241146"/>
    <w:rsid w:val="0024120F"/>
    <w:rsid w:val="0024131D"/>
    <w:rsid w:val="002415B8"/>
    <w:rsid w:val="00242D62"/>
    <w:rsid w:val="002430BF"/>
    <w:rsid w:val="002430D0"/>
    <w:rsid w:val="002431D7"/>
    <w:rsid w:val="00244058"/>
    <w:rsid w:val="00244869"/>
    <w:rsid w:val="00245718"/>
    <w:rsid w:val="00245E07"/>
    <w:rsid w:val="00246AEC"/>
    <w:rsid w:val="00247712"/>
    <w:rsid w:val="00250EC6"/>
    <w:rsid w:val="00250FD2"/>
    <w:rsid w:val="002515C7"/>
    <w:rsid w:val="00251866"/>
    <w:rsid w:val="00251A9F"/>
    <w:rsid w:val="00252492"/>
    <w:rsid w:val="00252B35"/>
    <w:rsid w:val="0025316D"/>
    <w:rsid w:val="00253A02"/>
    <w:rsid w:val="00253B81"/>
    <w:rsid w:val="002553E3"/>
    <w:rsid w:val="002554DE"/>
    <w:rsid w:val="00255575"/>
    <w:rsid w:val="00255E11"/>
    <w:rsid w:val="00256835"/>
    <w:rsid w:val="002569F0"/>
    <w:rsid w:val="00256E1A"/>
    <w:rsid w:val="00256ECF"/>
    <w:rsid w:val="00257730"/>
    <w:rsid w:val="00257999"/>
    <w:rsid w:val="002604AA"/>
    <w:rsid w:val="002611A6"/>
    <w:rsid w:val="0026129B"/>
    <w:rsid w:val="00261560"/>
    <w:rsid w:val="00261715"/>
    <w:rsid w:val="00261CF9"/>
    <w:rsid w:val="00261EC0"/>
    <w:rsid w:val="0026231B"/>
    <w:rsid w:val="00263101"/>
    <w:rsid w:val="002631D1"/>
    <w:rsid w:val="00263201"/>
    <w:rsid w:val="00263224"/>
    <w:rsid w:val="002634CA"/>
    <w:rsid w:val="00263A37"/>
    <w:rsid w:val="0026478A"/>
    <w:rsid w:val="0026480D"/>
    <w:rsid w:val="002653A6"/>
    <w:rsid w:val="00265D28"/>
    <w:rsid w:val="002661F1"/>
    <w:rsid w:val="00266DB6"/>
    <w:rsid w:val="00270802"/>
    <w:rsid w:val="002711A4"/>
    <w:rsid w:val="00271ECB"/>
    <w:rsid w:val="00271F13"/>
    <w:rsid w:val="0027278E"/>
    <w:rsid w:val="00272B0F"/>
    <w:rsid w:val="002744D2"/>
    <w:rsid w:val="0027482E"/>
    <w:rsid w:val="00274DB5"/>
    <w:rsid w:val="00275423"/>
    <w:rsid w:val="00275BB1"/>
    <w:rsid w:val="002775EF"/>
    <w:rsid w:val="00277933"/>
    <w:rsid w:val="00277F8D"/>
    <w:rsid w:val="00277FA7"/>
    <w:rsid w:val="00280046"/>
    <w:rsid w:val="00280B4F"/>
    <w:rsid w:val="00280F3D"/>
    <w:rsid w:val="0028106A"/>
    <w:rsid w:val="00281EB4"/>
    <w:rsid w:val="002822DA"/>
    <w:rsid w:val="00282AF6"/>
    <w:rsid w:val="0028308E"/>
    <w:rsid w:val="002834E9"/>
    <w:rsid w:val="00283975"/>
    <w:rsid w:val="00283A52"/>
    <w:rsid w:val="00283C5E"/>
    <w:rsid w:val="00283DE0"/>
    <w:rsid w:val="00283E26"/>
    <w:rsid w:val="00284261"/>
    <w:rsid w:val="0028428F"/>
    <w:rsid w:val="00284CB5"/>
    <w:rsid w:val="00284CFC"/>
    <w:rsid w:val="00285832"/>
    <w:rsid w:val="00285969"/>
    <w:rsid w:val="00286151"/>
    <w:rsid w:val="0028663B"/>
    <w:rsid w:val="00286CEC"/>
    <w:rsid w:val="002870F9"/>
    <w:rsid w:val="002871A9"/>
    <w:rsid w:val="00287505"/>
    <w:rsid w:val="00287B25"/>
    <w:rsid w:val="00290781"/>
    <w:rsid w:val="00291784"/>
    <w:rsid w:val="002920DF"/>
    <w:rsid w:val="00292647"/>
    <w:rsid w:val="0029273C"/>
    <w:rsid w:val="002929BB"/>
    <w:rsid w:val="00294368"/>
    <w:rsid w:val="00294503"/>
    <w:rsid w:val="00294B78"/>
    <w:rsid w:val="00294FA4"/>
    <w:rsid w:val="00295264"/>
    <w:rsid w:val="00295267"/>
    <w:rsid w:val="00295416"/>
    <w:rsid w:val="00295949"/>
    <w:rsid w:val="0029624A"/>
    <w:rsid w:val="00296922"/>
    <w:rsid w:val="00297098"/>
    <w:rsid w:val="002A05D4"/>
    <w:rsid w:val="002A06DB"/>
    <w:rsid w:val="002A09FF"/>
    <w:rsid w:val="002A0E60"/>
    <w:rsid w:val="002A1683"/>
    <w:rsid w:val="002A1A58"/>
    <w:rsid w:val="002A1B02"/>
    <w:rsid w:val="002A1C53"/>
    <w:rsid w:val="002A244B"/>
    <w:rsid w:val="002A28FC"/>
    <w:rsid w:val="002A2B44"/>
    <w:rsid w:val="002A2EA5"/>
    <w:rsid w:val="002A3D94"/>
    <w:rsid w:val="002A42DB"/>
    <w:rsid w:val="002A4736"/>
    <w:rsid w:val="002A4A93"/>
    <w:rsid w:val="002A4B1C"/>
    <w:rsid w:val="002A55D9"/>
    <w:rsid w:val="002A55FE"/>
    <w:rsid w:val="002A6AFB"/>
    <w:rsid w:val="002A733D"/>
    <w:rsid w:val="002A774A"/>
    <w:rsid w:val="002A78F3"/>
    <w:rsid w:val="002A7E5C"/>
    <w:rsid w:val="002A7F6D"/>
    <w:rsid w:val="002B1342"/>
    <w:rsid w:val="002B1F83"/>
    <w:rsid w:val="002B2616"/>
    <w:rsid w:val="002B27C8"/>
    <w:rsid w:val="002B2A7F"/>
    <w:rsid w:val="002B330B"/>
    <w:rsid w:val="002B39BE"/>
    <w:rsid w:val="002B438C"/>
    <w:rsid w:val="002B48DB"/>
    <w:rsid w:val="002B4B34"/>
    <w:rsid w:val="002B4CF0"/>
    <w:rsid w:val="002B541A"/>
    <w:rsid w:val="002B5EAB"/>
    <w:rsid w:val="002B6407"/>
    <w:rsid w:val="002B6416"/>
    <w:rsid w:val="002B6459"/>
    <w:rsid w:val="002B7014"/>
    <w:rsid w:val="002B73B0"/>
    <w:rsid w:val="002B79EF"/>
    <w:rsid w:val="002C0594"/>
    <w:rsid w:val="002C24B4"/>
    <w:rsid w:val="002C2B3A"/>
    <w:rsid w:val="002C2B87"/>
    <w:rsid w:val="002C2D41"/>
    <w:rsid w:val="002C3CF4"/>
    <w:rsid w:val="002C441A"/>
    <w:rsid w:val="002C4743"/>
    <w:rsid w:val="002C4A73"/>
    <w:rsid w:val="002C4B84"/>
    <w:rsid w:val="002C4C0C"/>
    <w:rsid w:val="002C5016"/>
    <w:rsid w:val="002C5C2F"/>
    <w:rsid w:val="002C5D0F"/>
    <w:rsid w:val="002C604C"/>
    <w:rsid w:val="002C60B9"/>
    <w:rsid w:val="002C6882"/>
    <w:rsid w:val="002C6F77"/>
    <w:rsid w:val="002C704D"/>
    <w:rsid w:val="002D0845"/>
    <w:rsid w:val="002D0933"/>
    <w:rsid w:val="002D0CE3"/>
    <w:rsid w:val="002D19BB"/>
    <w:rsid w:val="002D1A9B"/>
    <w:rsid w:val="002D20F8"/>
    <w:rsid w:val="002D22BD"/>
    <w:rsid w:val="002D22C5"/>
    <w:rsid w:val="002D302A"/>
    <w:rsid w:val="002D3552"/>
    <w:rsid w:val="002D36C6"/>
    <w:rsid w:val="002D37C1"/>
    <w:rsid w:val="002D3822"/>
    <w:rsid w:val="002D444B"/>
    <w:rsid w:val="002D4A45"/>
    <w:rsid w:val="002D4B42"/>
    <w:rsid w:val="002D4B43"/>
    <w:rsid w:val="002D5A10"/>
    <w:rsid w:val="002D5A1B"/>
    <w:rsid w:val="002D65BC"/>
    <w:rsid w:val="002D6A45"/>
    <w:rsid w:val="002E055C"/>
    <w:rsid w:val="002E0774"/>
    <w:rsid w:val="002E1050"/>
    <w:rsid w:val="002E107E"/>
    <w:rsid w:val="002E18E5"/>
    <w:rsid w:val="002E1953"/>
    <w:rsid w:val="002E1E30"/>
    <w:rsid w:val="002E2CB5"/>
    <w:rsid w:val="002E2D7D"/>
    <w:rsid w:val="002E32D0"/>
    <w:rsid w:val="002E372E"/>
    <w:rsid w:val="002E3D76"/>
    <w:rsid w:val="002E40A1"/>
    <w:rsid w:val="002E48EC"/>
    <w:rsid w:val="002E49CD"/>
    <w:rsid w:val="002E4B43"/>
    <w:rsid w:val="002E4B44"/>
    <w:rsid w:val="002E4ECB"/>
    <w:rsid w:val="002E4F23"/>
    <w:rsid w:val="002E6089"/>
    <w:rsid w:val="002E635A"/>
    <w:rsid w:val="002E6D68"/>
    <w:rsid w:val="002E7847"/>
    <w:rsid w:val="002E7F03"/>
    <w:rsid w:val="002F0073"/>
    <w:rsid w:val="002F1C67"/>
    <w:rsid w:val="002F240B"/>
    <w:rsid w:val="002F26B7"/>
    <w:rsid w:val="002F29EF"/>
    <w:rsid w:val="002F2F50"/>
    <w:rsid w:val="002F33EC"/>
    <w:rsid w:val="002F34E3"/>
    <w:rsid w:val="002F3601"/>
    <w:rsid w:val="002F45F6"/>
    <w:rsid w:val="002F4B0A"/>
    <w:rsid w:val="002F5143"/>
    <w:rsid w:val="002F53AF"/>
    <w:rsid w:val="002F5A6F"/>
    <w:rsid w:val="002F692F"/>
    <w:rsid w:val="002F6B0D"/>
    <w:rsid w:val="002F6BE2"/>
    <w:rsid w:val="002F7B66"/>
    <w:rsid w:val="00300CB4"/>
    <w:rsid w:val="00300E24"/>
    <w:rsid w:val="003033BA"/>
    <w:rsid w:val="00303C19"/>
    <w:rsid w:val="003043A3"/>
    <w:rsid w:val="00304BD4"/>
    <w:rsid w:val="0030500A"/>
    <w:rsid w:val="003052EB"/>
    <w:rsid w:val="00305FCB"/>
    <w:rsid w:val="003063C3"/>
    <w:rsid w:val="003069DC"/>
    <w:rsid w:val="00306B44"/>
    <w:rsid w:val="00306C82"/>
    <w:rsid w:val="003073E9"/>
    <w:rsid w:val="00307BE8"/>
    <w:rsid w:val="00307C44"/>
    <w:rsid w:val="0031088E"/>
    <w:rsid w:val="00310D01"/>
    <w:rsid w:val="00311376"/>
    <w:rsid w:val="00311A1F"/>
    <w:rsid w:val="00311B47"/>
    <w:rsid w:val="00311D52"/>
    <w:rsid w:val="00312015"/>
    <w:rsid w:val="00312190"/>
    <w:rsid w:val="003125E0"/>
    <w:rsid w:val="0031271D"/>
    <w:rsid w:val="003129FB"/>
    <w:rsid w:val="003132BB"/>
    <w:rsid w:val="00313337"/>
    <w:rsid w:val="00313447"/>
    <w:rsid w:val="00313748"/>
    <w:rsid w:val="00313EA3"/>
    <w:rsid w:val="00315365"/>
    <w:rsid w:val="00315457"/>
    <w:rsid w:val="003161A4"/>
    <w:rsid w:val="00316955"/>
    <w:rsid w:val="0031720A"/>
    <w:rsid w:val="0031749B"/>
    <w:rsid w:val="003174E5"/>
    <w:rsid w:val="00317C9D"/>
    <w:rsid w:val="00317CD2"/>
    <w:rsid w:val="00317D99"/>
    <w:rsid w:val="0032022F"/>
    <w:rsid w:val="0032078D"/>
    <w:rsid w:val="00320ADF"/>
    <w:rsid w:val="0032137B"/>
    <w:rsid w:val="0032196D"/>
    <w:rsid w:val="00321BD6"/>
    <w:rsid w:val="00321FA3"/>
    <w:rsid w:val="003227D3"/>
    <w:rsid w:val="00322937"/>
    <w:rsid w:val="00323881"/>
    <w:rsid w:val="003247ED"/>
    <w:rsid w:val="003251A8"/>
    <w:rsid w:val="003254B1"/>
    <w:rsid w:val="00325D98"/>
    <w:rsid w:val="0032682A"/>
    <w:rsid w:val="00327A5C"/>
    <w:rsid w:val="0033092C"/>
    <w:rsid w:val="0033122A"/>
    <w:rsid w:val="003315AC"/>
    <w:rsid w:val="00331932"/>
    <w:rsid w:val="00332382"/>
    <w:rsid w:val="00332453"/>
    <w:rsid w:val="0033251B"/>
    <w:rsid w:val="00332F8C"/>
    <w:rsid w:val="00332FCC"/>
    <w:rsid w:val="00333196"/>
    <w:rsid w:val="00333A88"/>
    <w:rsid w:val="00335B15"/>
    <w:rsid w:val="00335B21"/>
    <w:rsid w:val="00335D3F"/>
    <w:rsid w:val="00336104"/>
    <w:rsid w:val="00336729"/>
    <w:rsid w:val="0033726D"/>
    <w:rsid w:val="00337CA8"/>
    <w:rsid w:val="003409BD"/>
    <w:rsid w:val="00340D3F"/>
    <w:rsid w:val="0034174B"/>
    <w:rsid w:val="0034177C"/>
    <w:rsid w:val="003420E9"/>
    <w:rsid w:val="00342345"/>
    <w:rsid w:val="0034274A"/>
    <w:rsid w:val="00342C27"/>
    <w:rsid w:val="00342ED2"/>
    <w:rsid w:val="003430C8"/>
    <w:rsid w:val="003432C8"/>
    <w:rsid w:val="003434B3"/>
    <w:rsid w:val="00343536"/>
    <w:rsid w:val="00343EFB"/>
    <w:rsid w:val="00344760"/>
    <w:rsid w:val="003454E8"/>
    <w:rsid w:val="00345574"/>
    <w:rsid w:val="0034680A"/>
    <w:rsid w:val="00346C62"/>
    <w:rsid w:val="00347202"/>
    <w:rsid w:val="0034778E"/>
    <w:rsid w:val="00347A5A"/>
    <w:rsid w:val="003501E2"/>
    <w:rsid w:val="00351E10"/>
    <w:rsid w:val="003533F4"/>
    <w:rsid w:val="003536F6"/>
    <w:rsid w:val="00353DD5"/>
    <w:rsid w:val="00355131"/>
    <w:rsid w:val="00355C52"/>
    <w:rsid w:val="00355F74"/>
    <w:rsid w:val="003560DB"/>
    <w:rsid w:val="003563A1"/>
    <w:rsid w:val="003564DB"/>
    <w:rsid w:val="00356F87"/>
    <w:rsid w:val="00360CF3"/>
    <w:rsid w:val="00361A59"/>
    <w:rsid w:val="00361E78"/>
    <w:rsid w:val="00363348"/>
    <w:rsid w:val="00363857"/>
    <w:rsid w:val="00363D59"/>
    <w:rsid w:val="003640F7"/>
    <w:rsid w:val="00365D3A"/>
    <w:rsid w:val="00366314"/>
    <w:rsid w:val="003664FF"/>
    <w:rsid w:val="00366BD2"/>
    <w:rsid w:val="003670B8"/>
    <w:rsid w:val="00367519"/>
    <w:rsid w:val="003704A3"/>
    <w:rsid w:val="003706F2"/>
    <w:rsid w:val="0037124F"/>
    <w:rsid w:val="003722B3"/>
    <w:rsid w:val="00373827"/>
    <w:rsid w:val="0037401C"/>
    <w:rsid w:val="00374D49"/>
    <w:rsid w:val="0037507B"/>
    <w:rsid w:val="00375C7C"/>
    <w:rsid w:val="00377027"/>
    <w:rsid w:val="00377135"/>
    <w:rsid w:val="00380272"/>
    <w:rsid w:val="003805DB"/>
    <w:rsid w:val="003811F4"/>
    <w:rsid w:val="0038152A"/>
    <w:rsid w:val="00382BAD"/>
    <w:rsid w:val="00382F03"/>
    <w:rsid w:val="003835FD"/>
    <w:rsid w:val="00384DF1"/>
    <w:rsid w:val="00384FF3"/>
    <w:rsid w:val="0038512F"/>
    <w:rsid w:val="00385BC4"/>
    <w:rsid w:val="00386456"/>
    <w:rsid w:val="003865A9"/>
    <w:rsid w:val="00386ADD"/>
    <w:rsid w:val="00387C75"/>
    <w:rsid w:val="0039092B"/>
    <w:rsid w:val="00390DB1"/>
    <w:rsid w:val="00390F32"/>
    <w:rsid w:val="0039135E"/>
    <w:rsid w:val="0039319C"/>
    <w:rsid w:val="00393577"/>
    <w:rsid w:val="00393CAE"/>
    <w:rsid w:val="003945F4"/>
    <w:rsid w:val="003946C8"/>
    <w:rsid w:val="00394849"/>
    <w:rsid w:val="00394EB5"/>
    <w:rsid w:val="00394F19"/>
    <w:rsid w:val="003953B4"/>
    <w:rsid w:val="0039615F"/>
    <w:rsid w:val="003966A0"/>
    <w:rsid w:val="00396A29"/>
    <w:rsid w:val="00397FF0"/>
    <w:rsid w:val="003A0878"/>
    <w:rsid w:val="003A1561"/>
    <w:rsid w:val="003A1D25"/>
    <w:rsid w:val="003A22A2"/>
    <w:rsid w:val="003A2447"/>
    <w:rsid w:val="003A2830"/>
    <w:rsid w:val="003A29CB"/>
    <w:rsid w:val="003A2AA1"/>
    <w:rsid w:val="003A31A5"/>
    <w:rsid w:val="003A329A"/>
    <w:rsid w:val="003A3603"/>
    <w:rsid w:val="003A3851"/>
    <w:rsid w:val="003A39DD"/>
    <w:rsid w:val="003A4199"/>
    <w:rsid w:val="003A4A8E"/>
    <w:rsid w:val="003A563C"/>
    <w:rsid w:val="003A581E"/>
    <w:rsid w:val="003A6160"/>
    <w:rsid w:val="003A65A5"/>
    <w:rsid w:val="003A72F5"/>
    <w:rsid w:val="003A73EE"/>
    <w:rsid w:val="003A762D"/>
    <w:rsid w:val="003A78E5"/>
    <w:rsid w:val="003B0341"/>
    <w:rsid w:val="003B0688"/>
    <w:rsid w:val="003B1E57"/>
    <w:rsid w:val="003B29D4"/>
    <w:rsid w:val="003B2B6C"/>
    <w:rsid w:val="003B2EF3"/>
    <w:rsid w:val="003B3164"/>
    <w:rsid w:val="003B48CE"/>
    <w:rsid w:val="003B4973"/>
    <w:rsid w:val="003B4A4D"/>
    <w:rsid w:val="003B534F"/>
    <w:rsid w:val="003B5391"/>
    <w:rsid w:val="003B58CE"/>
    <w:rsid w:val="003B65D7"/>
    <w:rsid w:val="003B65E0"/>
    <w:rsid w:val="003B6BD4"/>
    <w:rsid w:val="003B6F4D"/>
    <w:rsid w:val="003B6FE7"/>
    <w:rsid w:val="003B731B"/>
    <w:rsid w:val="003C0D1F"/>
    <w:rsid w:val="003C116A"/>
    <w:rsid w:val="003C1AF4"/>
    <w:rsid w:val="003C1C9C"/>
    <w:rsid w:val="003C1CB8"/>
    <w:rsid w:val="003C22DA"/>
    <w:rsid w:val="003C2550"/>
    <w:rsid w:val="003C287F"/>
    <w:rsid w:val="003C3339"/>
    <w:rsid w:val="003C375A"/>
    <w:rsid w:val="003C4D9F"/>
    <w:rsid w:val="003C5247"/>
    <w:rsid w:val="003C622C"/>
    <w:rsid w:val="003C626E"/>
    <w:rsid w:val="003C64C7"/>
    <w:rsid w:val="003C6505"/>
    <w:rsid w:val="003C73C7"/>
    <w:rsid w:val="003C7CFB"/>
    <w:rsid w:val="003D050B"/>
    <w:rsid w:val="003D0B98"/>
    <w:rsid w:val="003D0C38"/>
    <w:rsid w:val="003D0C3C"/>
    <w:rsid w:val="003D0DE5"/>
    <w:rsid w:val="003D0F81"/>
    <w:rsid w:val="003D1351"/>
    <w:rsid w:val="003D1FB5"/>
    <w:rsid w:val="003D21C1"/>
    <w:rsid w:val="003D3B15"/>
    <w:rsid w:val="003D3B2E"/>
    <w:rsid w:val="003D4101"/>
    <w:rsid w:val="003D484D"/>
    <w:rsid w:val="003D49CB"/>
    <w:rsid w:val="003D6B8F"/>
    <w:rsid w:val="003D7566"/>
    <w:rsid w:val="003D7FB3"/>
    <w:rsid w:val="003E0224"/>
    <w:rsid w:val="003E09BB"/>
    <w:rsid w:val="003E159D"/>
    <w:rsid w:val="003E20EA"/>
    <w:rsid w:val="003E210C"/>
    <w:rsid w:val="003E2F55"/>
    <w:rsid w:val="003E3239"/>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DA"/>
    <w:rsid w:val="003E7A8B"/>
    <w:rsid w:val="003F0506"/>
    <w:rsid w:val="003F060E"/>
    <w:rsid w:val="003F0C1B"/>
    <w:rsid w:val="003F0F7F"/>
    <w:rsid w:val="003F115C"/>
    <w:rsid w:val="003F155A"/>
    <w:rsid w:val="003F16E9"/>
    <w:rsid w:val="003F2A95"/>
    <w:rsid w:val="003F300D"/>
    <w:rsid w:val="003F391F"/>
    <w:rsid w:val="003F4599"/>
    <w:rsid w:val="003F45E1"/>
    <w:rsid w:val="003F4F6C"/>
    <w:rsid w:val="003F559E"/>
    <w:rsid w:val="003F6181"/>
    <w:rsid w:val="003F6BFC"/>
    <w:rsid w:val="003F7343"/>
    <w:rsid w:val="00400002"/>
    <w:rsid w:val="00400054"/>
    <w:rsid w:val="004006E8"/>
    <w:rsid w:val="004012E8"/>
    <w:rsid w:val="004016A3"/>
    <w:rsid w:val="00401B31"/>
    <w:rsid w:val="0040202B"/>
    <w:rsid w:val="0040279A"/>
    <w:rsid w:val="0040293D"/>
    <w:rsid w:val="00402DE1"/>
    <w:rsid w:val="00402EEB"/>
    <w:rsid w:val="004037C2"/>
    <w:rsid w:val="00404041"/>
    <w:rsid w:val="00404302"/>
    <w:rsid w:val="004047DF"/>
    <w:rsid w:val="00404B43"/>
    <w:rsid w:val="00404C61"/>
    <w:rsid w:val="00405487"/>
    <w:rsid w:val="00405B8A"/>
    <w:rsid w:val="0040602B"/>
    <w:rsid w:val="00406DF5"/>
    <w:rsid w:val="00406F35"/>
    <w:rsid w:val="00407A7A"/>
    <w:rsid w:val="00407ABC"/>
    <w:rsid w:val="00407F1E"/>
    <w:rsid w:val="004107C1"/>
    <w:rsid w:val="00410A88"/>
    <w:rsid w:val="00411317"/>
    <w:rsid w:val="00411692"/>
    <w:rsid w:val="00411A9E"/>
    <w:rsid w:val="00411D33"/>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70D7"/>
    <w:rsid w:val="004177A6"/>
    <w:rsid w:val="00417C23"/>
    <w:rsid w:val="00417EFD"/>
    <w:rsid w:val="004200EE"/>
    <w:rsid w:val="004209D2"/>
    <w:rsid w:val="00420D6E"/>
    <w:rsid w:val="0042158C"/>
    <w:rsid w:val="00421BD2"/>
    <w:rsid w:val="00421E00"/>
    <w:rsid w:val="00421FCB"/>
    <w:rsid w:val="00422DCA"/>
    <w:rsid w:val="00423412"/>
    <w:rsid w:val="00423562"/>
    <w:rsid w:val="004236BF"/>
    <w:rsid w:val="00423B86"/>
    <w:rsid w:val="00423F9F"/>
    <w:rsid w:val="00425C43"/>
    <w:rsid w:val="004273FA"/>
    <w:rsid w:val="004275A7"/>
    <w:rsid w:val="00430186"/>
    <w:rsid w:val="00430682"/>
    <w:rsid w:val="00431017"/>
    <w:rsid w:val="00431C0B"/>
    <w:rsid w:val="0043269A"/>
    <w:rsid w:val="004330F5"/>
    <w:rsid w:val="004333C2"/>
    <w:rsid w:val="00434787"/>
    <w:rsid w:val="00434C13"/>
    <w:rsid w:val="004351CF"/>
    <w:rsid w:val="00435703"/>
    <w:rsid w:val="00435BD5"/>
    <w:rsid w:val="00435CF0"/>
    <w:rsid w:val="00435CFD"/>
    <w:rsid w:val="00436323"/>
    <w:rsid w:val="004363D3"/>
    <w:rsid w:val="00436674"/>
    <w:rsid w:val="0043683F"/>
    <w:rsid w:val="00436F40"/>
    <w:rsid w:val="004370FA"/>
    <w:rsid w:val="004377CF"/>
    <w:rsid w:val="00437BEA"/>
    <w:rsid w:val="00440096"/>
    <w:rsid w:val="004403DD"/>
    <w:rsid w:val="00440CF3"/>
    <w:rsid w:val="00440DB0"/>
    <w:rsid w:val="00440DDC"/>
    <w:rsid w:val="00440FAD"/>
    <w:rsid w:val="00441291"/>
    <w:rsid w:val="00441E04"/>
    <w:rsid w:val="004420AB"/>
    <w:rsid w:val="004422D6"/>
    <w:rsid w:val="004427AC"/>
    <w:rsid w:val="00442C7D"/>
    <w:rsid w:val="00442D4D"/>
    <w:rsid w:val="0044374D"/>
    <w:rsid w:val="00443B55"/>
    <w:rsid w:val="00443D27"/>
    <w:rsid w:val="0044500B"/>
    <w:rsid w:val="00446037"/>
    <w:rsid w:val="00446268"/>
    <w:rsid w:val="0044642F"/>
    <w:rsid w:val="00447630"/>
    <w:rsid w:val="0044772C"/>
    <w:rsid w:val="00447D53"/>
    <w:rsid w:val="00450846"/>
    <w:rsid w:val="004514D8"/>
    <w:rsid w:val="00451A52"/>
    <w:rsid w:val="004526F1"/>
    <w:rsid w:val="0045271D"/>
    <w:rsid w:val="00452755"/>
    <w:rsid w:val="00452803"/>
    <w:rsid w:val="004529C6"/>
    <w:rsid w:val="00452BA5"/>
    <w:rsid w:val="00452EAD"/>
    <w:rsid w:val="004533D1"/>
    <w:rsid w:val="004534D1"/>
    <w:rsid w:val="00454548"/>
    <w:rsid w:val="00454717"/>
    <w:rsid w:val="00455004"/>
    <w:rsid w:val="00455047"/>
    <w:rsid w:val="00455354"/>
    <w:rsid w:val="0045558D"/>
    <w:rsid w:val="00455B70"/>
    <w:rsid w:val="00455BD3"/>
    <w:rsid w:val="00456970"/>
    <w:rsid w:val="00456BB1"/>
    <w:rsid w:val="00456CD4"/>
    <w:rsid w:val="00456DDB"/>
    <w:rsid w:val="00457031"/>
    <w:rsid w:val="00460915"/>
    <w:rsid w:val="00460946"/>
    <w:rsid w:val="00460CCD"/>
    <w:rsid w:val="0046107F"/>
    <w:rsid w:val="004614A9"/>
    <w:rsid w:val="0046165E"/>
    <w:rsid w:val="00461961"/>
    <w:rsid w:val="00461E97"/>
    <w:rsid w:val="0046268F"/>
    <w:rsid w:val="0046284F"/>
    <w:rsid w:val="00462B10"/>
    <w:rsid w:val="00462C04"/>
    <w:rsid w:val="0046320A"/>
    <w:rsid w:val="004632E2"/>
    <w:rsid w:val="00463473"/>
    <w:rsid w:val="004638E2"/>
    <w:rsid w:val="00463A71"/>
    <w:rsid w:val="00464030"/>
    <w:rsid w:val="004647F8"/>
    <w:rsid w:val="004647FB"/>
    <w:rsid w:val="00465347"/>
    <w:rsid w:val="00465677"/>
    <w:rsid w:val="00466616"/>
    <w:rsid w:val="00466A0C"/>
    <w:rsid w:val="00466A53"/>
    <w:rsid w:val="004673A8"/>
    <w:rsid w:val="0046753A"/>
    <w:rsid w:val="00467D4E"/>
    <w:rsid w:val="0047098A"/>
    <w:rsid w:val="00470A6A"/>
    <w:rsid w:val="00470D73"/>
    <w:rsid w:val="00470D92"/>
    <w:rsid w:val="00471DF7"/>
    <w:rsid w:val="00471E58"/>
    <w:rsid w:val="004734CF"/>
    <w:rsid w:val="004737EA"/>
    <w:rsid w:val="00475C5A"/>
    <w:rsid w:val="00475C9C"/>
    <w:rsid w:val="0047676B"/>
    <w:rsid w:val="0047773C"/>
    <w:rsid w:val="00477C5F"/>
    <w:rsid w:val="00480050"/>
    <w:rsid w:val="0048011C"/>
    <w:rsid w:val="004804BA"/>
    <w:rsid w:val="004808DE"/>
    <w:rsid w:val="00481AC4"/>
    <w:rsid w:val="00481DC1"/>
    <w:rsid w:val="00482507"/>
    <w:rsid w:val="0048268A"/>
    <w:rsid w:val="004835CA"/>
    <w:rsid w:val="004836F8"/>
    <w:rsid w:val="004836FE"/>
    <w:rsid w:val="00484F0F"/>
    <w:rsid w:val="00484F40"/>
    <w:rsid w:val="0048540C"/>
    <w:rsid w:val="004861B4"/>
    <w:rsid w:val="004868DD"/>
    <w:rsid w:val="00486BD0"/>
    <w:rsid w:val="00486D00"/>
    <w:rsid w:val="00487263"/>
    <w:rsid w:val="0048734F"/>
    <w:rsid w:val="0049029D"/>
    <w:rsid w:val="0049030C"/>
    <w:rsid w:val="004903C0"/>
    <w:rsid w:val="00490849"/>
    <w:rsid w:val="0049114B"/>
    <w:rsid w:val="004912A8"/>
    <w:rsid w:val="00491577"/>
    <w:rsid w:val="0049196A"/>
    <w:rsid w:val="0049196E"/>
    <w:rsid w:val="00491B54"/>
    <w:rsid w:val="0049241A"/>
    <w:rsid w:val="00492C1F"/>
    <w:rsid w:val="00492E4C"/>
    <w:rsid w:val="00493664"/>
    <w:rsid w:val="00493961"/>
    <w:rsid w:val="00493E04"/>
    <w:rsid w:val="004940E3"/>
    <w:rsid w:val="00494120"/>
    <w:rsid w:val="0049530F"/>
    <w:rsid w:val="004957D0"/>
    <w:rsid w:val="00496664"/>
    <w:rsid w:val="00496786"/>
    <w:rsid w:val="0049695B"/>
    <w:rsid w:val="00496B9C"/>
    <w:rsid w:val="00496D8F"/>
    <w:rsid w:val="00497463"/>
    <w:rsid w:val="004A054C"/>
    <w:rsid w:val="004A070C"/>
    <w:rsid w:val="004A08D1"/>
    <w:rsid w:val="004A16C1"/>
    <w:rsid w:val="004A1CE2"/>
    <w:rsid w:val="004A34D2"/>
    <w:rsid w:val="004A4301"/>
    <w:rsid w:val="004A48D9"/>
    <w:rsid w:val="004A4D93"/>
    <w:rsid w:val="004A58EE"/>
    <w:rsid w:val="004A59B7"/>
    <w:rsid w:val="004A6051"/>
    <w:rsid w:val="004A623B"/>
    <w:rsid w:val="004A6A04"/>
    <w:rsid w:val="004A6A52"/>
    <w:rsid w:val="004B086E"/>
    <w:rsid w:val="004B0A44"/>
    <w:rsid w:val="004B0F0B"/>
    <w:rsid w:val="004B2197"/>
    <w:rsid w:val="004B298A"/>
    <w:rsid w:val="004B34C4"/>
    <w:rsid w:val="004B50CB"/>
    <w:rsid w:val="004B578D"/>
    <w:rsid w:val="004B5BE7"/>
    <w:rsid w:val="004B5E2D"/>
    <w:rsid w:val="004B66CD"/>
    <w:rsid w:val="004B6C07"/>
    <w:rsid w:val="004B74D3"/>
    <w:rsid w:val="004B788E"/>
    <w:rsid w:val="004B7E5D"/>
    <w:rsid w:val="004C2180"/>
    <w:rsid w:val="004C22F7"/>
    <w:rsid w:val="004C230E"/>
    <w:rsid w:val="004C2B27"/>
    <w:rsid w:val="004C3219"/>
    <w:rsid w:val="004C3929"/>
    <w:rsid w:val="004C46F5"/>
    <w:rsid w:val="004C5212"/>
    <w:rsid w:val="004C580A"/>
    <w:rsid w:val="004C5EF0"/>
    <w:rsid w:val="004C64C9"/>
    <w:rsid w:val="004C7226"/>
    <w:rsid w:val="004C74C9"/>
    <w:rsid w:val="004C7915"/>
    <w:rsid w:val="004C7AA7"/>
    <w:rsid w:val="004C7D70"/>
    <w:rsid w:val="004D02F9"/>
    <w:rsid w:val="004D03FE"/>
    <w:rsid w:val="004D0446"/>
    <w:rsid w:val="004D06A3"/>
    <w:rsid w:val="004D0F95"/>
    <w:rsid w:val="004D106A"/>
    <w:rsid w:val="004D1335"/>
    <w:rsid w:val="004D1C7E"/>
    <w:rsid w:val="004D245A"/>
    <w:rsid w:val="004D26FE"/>
    <w:rsid w:val="004D2E95"/>
    <w:rsid w:val="004D31EE"/>
    <w:rsid w:val="004D36AF"/>
    <w:rsid w:val="004D3BD1"/>
    <w:rsid w:val="004D4BA1"/>
    <w:rsid w:val="004D4EC1"/>
    <w:rsid w:val="004D584D"/>
    <w:rsid w:val="004D5A7E"/>
    <w:rsid w:val="004D5CD1"/>
    <w:rsid w:val="004D6120"/>
    <w:rsid w:val="004D6826"/>
    <w:rsid w:val="004D6D7F"/>
    <w:rsid w:val="004D7098"/>
    <w:rsid w:val="004E023F"/>
    <w:rsid w:val="004E0546"/>
    <w:rsid w:val="004E0742"/>
    <w:rsid w:val="004E0C64"/>
    <w:rsid w:val="004E0F6B"/>
    <w:rsid w:val="004E1545"/>
    <w:rsid w:val="004E1F1C"/>
    <w:rsid w:val="004E2A35"/>
    <w:rsid w:val="004E2B1F"/>
    <w:rsid w:val="004E2F6E"/>
    <w:rsid w:val="004E3BA6"/>
    <w:rsid w:val="004E40CE"/>
    <w:rsid w:val="004E5736"/>
    <w:rsid w:val="004E5A3C"/>
    <w:rsid w:val="004E5B36"/>
    <w:rsid w:val="004E5D5D"/>
    <w:rsid w:val="004E6045"/>
    <w:rsid w:val="004E6F43"/>
    <w:rsid w:val="004E7200"/>
    <w:rsid w:val="004E787E"/>
    <w:rsid w:val="004E7F77"/>
    <w:rsid w:val="004F0960"/>
    <w:rsid w:val="004F0A5C"/>
    <w:rsid w:val="004F163F"/>
    <w:rsid w:val="004F18A0"/>
    <w:rsid w:val="004F1A08"/>
    <w:rsid w:val="004F2B64"/>
    <w:rsid w:val="004F31B8"/>
    <w:rsid w:val="004F375E"/>
    <w:rsid w:val="004F3764"/>
    <w:rsid w:val="004F3C90"/>
    <w:rsid w:val="004F3DB4"/>
    <w:rsid w:val="004F3EEF"/>
    <w:rsid w:val="004F5180"/>
    <w:rsid w:val="004F53D6"/>
    <w:rsid w:val="004F57C9"/>
    <w:rsid w:val="004F5930"/>
    <w:rsid w:val="004F5970"/>
    <w:rsid w:val="004F5F0C"/>
    <w:rsid w:val="004F5F46"/>
    <w:rsid w:val="004F6121"/>
    <w:rsid w:val="004F6161"/>
    <w:rsid w:val="004F66BC"/>
    <w:rsid w:val="004F6B63"/>
    <w:rsid w:val="004F6C26"/>
    <w:rsid w:val="004F6F65"/>
    <w:rsid w:val="004F7AC9"/>
    <w:rsid w:val="004F7DCB"/>
    <w:rsid w:val="0050062F"/>
    <w:rsid w:val="00500E74"/>
    <w:rsid w:val="0050160F"/>
    <w:rsid w:val="0050284E"/>
    <w:rsid w:val="00502993"/>
    <w:rsid w:val="0050306F"/>
    <w:rsid w:val="00505DCB"/>
    <w:rsid w:val="0050703E"/>
    <w:rsid w:val="00507353"/>
    <w:rsid w:val="005075CA"/>
    <w:rsid w:val="00507B06"/>
    <w:rsid w:val="00507BF1"/>
    <w:rsid w:val="0051047A"/>
    <w:rsid w:val="0051074C"/>
    <w:rsid w:val="00510DE9"/>
    <w:rsid w:val="00510F0F"/>
    <w:rsid w:val="00510F21"/>
    <w:rsid w:val="005111E2"/>
    <w:rsid w:val="00511231"/>
    <w:rsid w:val="00512C4F"/>
    <w:rsid w:val="00513042"/>
    <w:rsid w:val="0051334F"/>
    <w:rsid w:val="00513399"/>
    <w:rsid w:val="00513AF2"/>
    <w:rsid w:val="00513AFA"/>
    <w:rsid w:val="0051430A"/>
    <w:rsid w:val="00514575"/>
    <w:rsid w:val="00514C03"/>
    <w:rsid w:val="00514D67"/>
    <w:rsid w:val="0051522A"/>
    <w:rsid w:val="00515515"/>
    <w:rsid w:val="0051635C"/>
    <w:rsid w:val="0051690A"/>
    <w:rsid w:val="00516C5B"/>
    <w:rsid w:val="00517612"/>
    <w:rsid w:val="00517CFB"/>
    <w:rsid w:val="00517F85"/>
    <w:rsid w:val="00520235"/>
    <w:rsid w:val="00520899"/>
    <w:rsid w:val="00520922"/>
    <w:rsid w:val="005209FC"/>
    <w:rsid w:val="00520FCA"/>
    <w:rsid w:val="00521A30"/>
    <w:rsid w:val="005224E5"/>
    <w:rsid w:val="00523903"/>
    <w:rsid w:val="00523993"/>
    <w:rsid w:val="005239B6"/>
    <w:rsid w:val="00523C45"/>
    <w:rsid w:val="00524165"/>
    <w:rsid w:val="005246E7"/>
    <w:rsid w:val="00524B08"/>
    <w:rsid w:val="00524C38"/>
    <w:rsid w:val="00524FD2"/>
    <w:rsid w:val="00525621"/>
    <w:rsid w:val="005257E5"/>
    <w:rsid w:val="00526431"/>
    <w:rsid w:val="00527015"/>
    <w:rsid w:val="00527532"/>
    <w:rsid w:val="00527703"/>
    <w:rsid w:val="00527DEB"/>
    <w:rsid w:val="00527E57"/>
    <w:rsid w:val="00527F2C"/>
    <w:rsid w:val="00530405"/>
    <w:rsid w:val="00530522"/>
    <w:rsid w:val="005305E5"/>
    <w:rsid w:val="00530CBA"/>
    <w:rsid w:val="00530DBD"/>
    <w:rsid w:val="00530F38"/>
    <w:rsid w:val="00531F26"/>
    <w:rsid w:val="00532299"/>
    <w:rsid w:val="0053277C"/>
    <w:rsid w:val="005327C0"/>
    <w:rsid w:val="00533101"/>
    <w:rsid w:val="00533CA9"/>
    <w:rsid w:val="00533D28"/>
    <w:rsid w:val="005346AD"/>
    <w:rsid w:val="00534EFB"/>
    <w:rsid w:val="00534F60"/>
    <w:rsid w:val="00534FF1"/>
    <w:rsid w:val="005357F1"/>
    <w:rsid w:val="00536053"/>
    <w:rsid w:val="00536344"/>
    <w:rsid w:val="00536985"/>
    <w:rsid w:val="005369E6"/>
    <w:rsid w:val="005371AC"/>
    <w:rsid w:val="00537672"/>
    <w:rsid w:val="0053772F"/>
    <w:rsid w:val="00537B77"/>
    <w:rsid w:val="00540C4C"/>
    <w:rsid w:val="005411F3"/>
    <w:rsid w:val="00541469"/>
    <w:rsid w:val="00541571"/>
    <w:rsid w:val="005415F8"/>
    <w:rsid w:val="00541B1F"/>
    <w:rsid w:val="005423F4"/>
    <w:rsid w:val="0054275A"/>
    <w:rsid w:val="0054285A"/>
    <w:rsid w:val="005428B8"/>
    <w:rsid w:val="00542BD7"/>
    <w:rsid w:val="00543084"/>
    <w:rsid w:val="00543314"/>
    <w:rsid w:val="00543584"/>
    <w:rsid w:val="00543A9E"/>
    <w:rsid w:val="0054413A"/>
    <w:rsid w:val="00544288"/>
    <w:rsid w:val="005446BB"/>
    <w:rsid w:val="005448C8"/>
    <w:rsid w:val="00544DA5"/>
    <w:rsid w:val="00544F43"/>
    <w:rsid w:val="00545A19"/>
    <w:rsid w:val="00545E30"/>
    <w:rsid w:val="00545EA3"/>
    <w:rsid w:val="00546C9B"/>
    <w:rsid w:val="00547BF6"/>
    <w:rsid w:val="00547D1A"/>
    <w:rsid w:val="00547E10"/>
    <w:rsid w:val="00547FB3"/>
    <w:rsid w:val="00550E0F"/>
    <w:rsid w:val="00551098"/>
    <w:rsid w:val="00551598"/>
    <w:rsid w:val="0055162B"/>
    <w:rsid w:val="00551BFF"/>
    <w:rsid w:val="00551D68"/>
    <w:rsid w:val="00551DFF"/>
    <w:rsid w:val="005525C9"/>
    <w:rsid w:val="00552B3E"/>
    <w:rsid w:val="005539F6"/>
    <w:rsid w:val="00554D57"/>
    <w:rsid w:val="005551AA"/>
    <w:rsid w:val="00555913"/>
    <w:rsid w:val="0055636A"/>
    <w:rsid w:val="005564CA"/>
    <w:rsid w:val="005568EA"/>
    <w:rsid w:val="00557140"/>
    <w:rsid w:val="00557984"/>
    <w:rsid w:val="00557A05"/>
    <w:rsid w:val="00557BD3"/>
    <w:rsid w:val="00560C87"/>
    <w:rsid w:val="00560F51"/>
    <w:rsid w:val="00561249"/>
    <w:rsid w:val="0056182B"/>
    <w:rsid w:val="00561AF3"/>
    <w:rsid w:val="00561E0B"/>
    <w:rsid w:val="00562141"/>
    <w:rsid w:val="00562D86"/>
    <w:rsid w:val="00563784"/>
    <w:rsid w:val="00563E2F"/>
    <w:rsid w:val="00564704"/>
    <w:rsid w:val="00564712"/>
    <w:rsid w:val="005657A8"/>
    <w:rsid w:val="00565952"/>
    <w:rsid w:val="0056645F"/>
    <w:rsid w:val="00566866"/>
    <w:rsid w:val="00566E76"/>
    <w:rsid w:val="005670A5"/>
    <w:rsid w:val="00567285"/>
    <w:rsid w:val="00567723"/>
    <w:rsid w:val="0056772D"/>
    <w:rsid w:val="00567AB8"/>
    <w:rsid w:val="00570A26"/>
    <w:rsid w:val="00570CFD"/>
    <w:rsid w:val="00571872"/>
    <w:rsid w:val="00572198"/>
    <w:rsid w:val="005721D5"/>
    <w:rsid w:val="0057221F"/>
    <w:rsid w:val="00572539"/>
    <w:rsid w:val="005731ED"/>
    <w:rsid w:val="00573355"/>
    <w:rsid w:val="0057337D"/>
    <w:rsid w:val="00573504"/>
    <w:rsid w:val="00573BA3"/>
    <w:rsid w:val="00573C8C"/>
    <w:rsid w:val="005745F3"/>
    <w:rsid w:val="00574708"/>
    <w:rsid w:val="00574D81"/>
    <w:rsid w:val="005756AA"/>
    <w:rsid w:val="0057696F"/>
    <w:rsid w:val="005774FE"/>
    <w:rsid w:val="0058040C"/>
    <w:rsid w:val="00580D6D"/>
    <w:rsid w:val="005813DE"/>
    <w:rsid w:val="00581796"/>
    <w:rsid w:val="005818B9"/>
    <w:rsid w:val="00581B45"/>
    <w:rsid w:val="00582480"/>
    <w:rsid w:val="00582805"/>
    <w:rsid w:val="0058290E"/>
    <w:rsid w:val="00582CAB"/>
    <w:rsid w:val="00582D08"/>
    <w:rsid w:val="00582FA6"/>
    <w:rsid w:val="0058375E"/>
    <w:rsid w:val="00584233"/>
    <w:rsid w:val="005842D0"/>
    <w:rsid w:val="005845FB"/>
    <w:rsid w:val="005846F3"/>
    <w:rsid w:val="00585154"/>
    <w:rsid w:val="005855AE"/>
    <w:rsid w:val="00585829"/>
    <w:rsid w:val="00585CA8"/>
    <w:rsid w:val="005860F5"/>
    <w:rsid w:val="00586412"/>
    <w:rsid w:val="005864B9"/>
    <w:rsid w:val="005866C4"/>
    <w:rsid w:val="005906E8"/>
    <w:rsid w:val="005908E7"/>
    <w:rsid w:val="00590F1A"/>
    <w:rsid w:val="0059125E"/>
    <w:rsid w:val="00591C03"/>
    <w:rsid w:val="00591D9E"/>
    <w:rsid w:val="00591E2A"/>
    <w:rsid w:val="005923C4"/>
    <w:rsid w:val="00593EA2"/>
    <w:rsid w:val="00593F75"/>
    <w:rsid w:val="005940A0"/>
    <w:rsid w:val="0059429A"/>
    <w:rsid w:val="00594462"/>
    <w:rsid w:val="00594CBE"/>
    <w:rsid w:val="0059516E"/>
    <w:rsid w:val="00596AF7"/>
    <w:rsid w:val="00596B47"/>
    <w:rsid w:val="00596CCE"/>
    <w:rsid w:val="00597C38"/>
    <w:rsid w:val="005A1976"/>
    <w:rsid w:val="005A2120"/>
    <w:rsid w:val="005A2501"/>
    <w:rsid w:val="005A2C80"/>
    <w:rsid w:val="005A3066"/>
    <w:rsid w:val="005A3B35"/>
    <w:rsid w:val="005A3C4B"/>
    <w:rsid w:val="005A3E5A"/>
    <w:rsid w:val="005A43F3"/>
    <w:rsid w:val="005A496F"/>
    <w:rsid w:val="005A4A56"/>
    <w:rsid w:val="005A5608"/>
    <w:rsid w:val="005A5A3D"/>
    <w:rsid w:val="005A6035"/>
    <w:rsid w:val="005A69FC"/>
    <w:rsid w:val="005A6B75"/>
    <w:rsid w:val="005A6E00"/>
    <w:rsid w:val="005A718A"/>
    <w:rsid w:val="005A7752"/>
    <w:rsid w:val="005A7885"/>
    <w:rsid w:val="005B12B2"/>
    <w:rsid w:val="005B143B"/>
    <w:rsid w:val="005B19BD"/>
    <w:rsid w:val="005B1E45"/>
    <w:rsid w:val="005B1F31"/>
    <w:rsid w:val="005B21C4"/>
    <w:rsid w:val="005B2A28"/>
    <w:rsid w:val="005B2BB7"/>
    <w:rsid w:val="005B3621"/>
    <w:rsid w:val="005B4948"/>
    <w:rsid w:val="005B501D"/>
    <w:rsid w:val="005B54CC"/>
    <w:rsid w:val="005B59B6"/>
    <w:rsid w:val="005B74AD"/>
    <w:rsid w:val="005B7E96"/>
    <w:rsid w:val="005C0429"/>
    <w:rsid w:val="005C084F"/>
    <w:rsid w:val="005C0EE9"/>
    <w:rsid w:val="005C16A8"/>
    <w:rsid w:val="005C1716"/>
    <w:rsid w:val="005C1954"/>
    <w:rsid w:val="005C1C0B"/>
    <w:rsid w:val="005C2011"/>
    <w:rsid w:val="005C2EB1"/>
    <w:rsid w:val="005C3EA3"/>
    <w:rsid w:val="005C44DE"/>
    <w:rsid w:val="005C5011"/>
    <w:rsid w:val="005C5241"/>
    <w:rsid w:val="005C529E"/>
    <w:rsid w:val="005C57BA"/>
    <w:rsid w:val="005C5C52"/>
    <w:rsid w:val="005C5D3D"/>
    <w:rsid w:val="005C5EC1"/>
    <w:rsid w:val="005C5F05"/>
    <w:rsid w:val="005C6186"/>
    <w:rsid w:val="005C7E45"/>
    <w:rsid w:val="005C7F3E"/>
    <w:rsid w:val="005D06D3"/>
    <w:rsid w:val="005D0C3B"/>
    <w:rsid w:val="005D1051"/>
    <w:rsid w:val="005D1606"/>
    <w:rsid w:val="005D2044"/>
    <w:rsid w:val="005D2917"/>
    <w:rsid w:val="005D2EB2"/>
    <w:rsid w:val="005D2F48"/>
    <w:rsid w:val="005D3B32"/>
    <w:rsid w:val="005D464B"/>
    <w:rsid w:val="005D466F"/>
    <w:rsid w:val="005D49F0"/>
    <w:rsid w:val="005D51F7"/>
    <w:rsid w:val="005D51FA"/>
    <w:rsid w:val="005D53E8"/>
    <w:rsid w:val="005D5A9D"/>
    <w:rsid w:val="005D6651"/>
    <w:rsid w:val="005D691D"/>
    <w:rsid w:val="005D6A72"/>
    <w:rsid w:val="005D6BD6"/>
    <w:rsid w:val="005D6D48"/>
    <w:rsid w:val="005D6F38"/>
    <w:rsid w:val="005D7279"/>
    <w:rsid w:val="005D76FA"/>
    <w:rsid w:val="005D791B"/>
    <w:rsid w:val="005D7CF2"/>
    <w:rsid w:val="005D7F92"/>
    <w:rsid w:val="005E0863"/>
    <w:rsid w:val="005E0D7B"/>
    <w:rsid w:val="005E1595"/>
    <w:rsid w:val="005E182D"/>
    <w:rsid w:val="005E1F1D"/>
    <w:rsid w:val="005E273D"/>
    <w:rsid w:val="005E2A98"/>
    <w:rsid w:val="005E3164"/>
    <w:rsid w:val="005E3278"/>
    <w:rsid w:val="005E363B"/>
    <w:rsid w:val="005E3736"/>
    <w:rsid w:val="005E3D22"/>
    <w:rsid w:val="005E4A3E"/>
    <w:rsid w:val="005E72B9"/>
    <w:rsid w:val="005E72C9"/>
    <w:rsid w:val="005F305B"/>
    <w:rsid w:val="005F3081"/>
    <w:rsid w:val="005F3361"/>
    <w:rsid w:val="005F3B47"/>
    <w:rsid w:val="005F4481"/>
    <w:rsid w:val="005F47AC"/>
    <w:rsid w:val="005F49AF"/>
    <w:rsid w:val="005F4A58"/>
    <w:rsid w:val="005F54DF"/>
    <w:rsid w:val="005F5888"/>
    <w:rsid w:val="005F5984"/>
    <w:rsid w:val="005F5EAB"/>
    <w:rsid w:val="005F6926"/>
    <w:rsid w:val="005F6CE2"/>
    <w:rsid w:val="005F6F24"/>
    <w:rsid w:val="005F72E9"/>
    <w:rsid w:val="005F780B"/>
    <w:rsid w:val="00600344"/>
    <w:rsid w:val="00600473"/>
    <w:rsid w:val="0060139A"/>
    <w:rsid w:val="006013C9"/>
    <w:rsid w:val="00602B45"/>
    <w:rsid w:val="00602FA5"/>
    <w:rsid w:val="00602FC7"/>
    <w:rsid w:val="006032AB"/>
    <w:rsid w:val="00603499"/>
    <w:rsid w:val="006035F5"/>
    <w:rsid w:val="00603CC2"/>
    <w:rsid w:val="006047D1"/>
    <w:rsid w:val="00604A55"/>
    <w:rsid w:val="00604B75"/>
    <w:rsid w:val="00604D4E"/>
    <w:rsid w:val="00604E3E"/>
    <w:rsid w:val="00604EFB"/>
    <w:rsid w:val="00605AC3"/>
    <w:rsid w:val="00606908"/>
    <w:rsid w:val="00607996"/>
    <w:rsid w:val="00607A37"/>
    <w:rsid w:val="00607E0A"/>
    <w:rsid w:val="00607E9F"/>
    <w:rsid w:val="0061085E"/>
    <w:rsid w:val="00611398"/>
    <w:rsid w:val="00612322"/>
    <w:rsid w:val="006123C0"/>
    <w:rsid w:val="00612DF1"/>
    <w:rsid w:val="00613191"/>
    <w:rsid w:val="006133F9"/>
    <w:rsid w:val="006134B3"/>
    <w:rsid w:val="00613685"/>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D0C"/>
    <w:rsid w:val="00622470"/>
    <w:rsid w:val="00622725"/>
    <w:rsid w:val="0062296B"/>
    <w:rsid w:val="006231AA"/>
    <w:rsid w:val="00623482"/>
    <w:rsid w:val="00623AC2"/>
    <w:rsid w:val="00623EBC"/>
    <w:rsid w:val="0062527C"/>
    <w:rsid w:val="00625497"/>
    <w:rsid w:val="006266D7"/>
    <w:rsid w:val="00626D42"/>
    <w:rsid w:val="00626EE3"/>
    <w:rsid w:val="006274AD"/>
    <w:rsid w:val="00627519"/>
    <w:rsid w:val="00627532"/>
    <w:rsid w:val="0063008E"/>
    <w:rsid w:val="006302AA"/>
    <w:rsid w:val="006310C3"/>
    <w:rsid w:val="0063152E"/>
    <w:rsid w:val="0063161E"/>
    <w:rsid w:val="00631660"/>
    <w:rsid w:val="00631908"/>
    <w:rsid w:val="00631BB5"/>
    <w:rsid w:val="00631DD0"/>
    <w:rsid w:val="00632136"/>
    <w:rsid w:val="0063307A"/>
    <w:rsid w:val="0063396E"/>
    <w:rsid w:val="00633DBF"/>
    <w:rsid w:val="00634122"/>
    <w:rsid w:val="00634261"/>
    <w:rsid w:val="00635E32"/>
    <w:rsid w:val="006360FC"/>
    <w:rsid w:val="006364DB"/>
    <w:rsid w:val="006365DE"/>
    <w:rsid w:val="00636BE4"/>
    <w:rsid w:val="00636F88"/>
    <w:rsid w:val="0063732C"/>
    <w:rsid w:val="00637802"/>
    <w:rsid w:val="00637836"/>
    <w:rsid w:val="00637C26"/>
    <w:rsid w:val="00637F44"/>
    <w:rsid w:val="00640084"/>
    <w:rsid w:val="0064089C"/>
    <w:rsid w:val="00641078"/>
    <w:rsid w:val="00641242"/>
    <w:rsid w:val="006424AA"/>
    <w:rsid w:val="00642A32"/>
    <w:rsid w:val="006433D5"/>
    <w:rsid w:val="00643412"/>
    <w:rsid w:val="00643ACE"/>
    <w:rsid w:val="00643D16"/>
    <w:rsid w:val="00645C53"/>
    <w:rsid w:val="00645CEB"/>
    <w:rsid w:val="00645E6E"/>
    <w:rsid w:val="00646B20"/>
    <w:rsid w:val="00646D0F"/>
    <w:rsid w:val="00647A36"/>
    <w:rsid w:val="00647DCC"/>
    <w:rsid w:val="00647EFA"/>
    <w:rsid w:val="00647F14"/>
    <w:rsid w:val="00650027"/>
    <w:rsid w:val="006516C5"/>
    <w:rsid w:val="00651B9C"/>
    <w:rsid w:val="00651C47"/>
    <w:rsid w:val="00652E70"/>
    <w:rsid w:val="0065316B"/>
    <w:rsid w:val="0065339A"/>
    <w:rsid w:val="00653469"/>
    <w:rsid w:val="006548B8"/>
    <w:rsid w:val="00654A38"/>
    <w:rsid w:val="00655301"/>
    <w:rsid w:val="00655371"/>
    <w:rsid w:val="00655507"/>
    <w:rsid w:val="00656C4B"/>
    <w:rsid w:val="006573EA"/>
    <w:rsid w:val="0066073F"/>
    <w:rsid w:val="00660D2A"/>
    <w:rsid w:val="00661029"/>
    <w:rsid w:val="0066135A"/>
    <w:rsid w:val="00661A38"/>
    <w:rsid w:val="0066272D"/>
    <w:rsid w:val="00662E58"/>
    <w:rsid w:val="00662F39"/>
    <w:rsid w:val="0066339A"/>
    <w:rsid w:val="006635A0"/>
    <w:rsid w:val="00664351"/>
    <w:rsid w:val="0066444B"/>
    <w:rsid w:val="00665875"/>
    <w:rsid w:val="00665968"/>
    <w:rsid w:val="00665B1E"/>
    <w:rsid w:val="00665BF7"/>
    <w:rsid w:val="00666178"/>
    <w:rsid w:val="0066639E"/>
    <w:rsid w:val="00666473"/>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F1C"/>
    <w:rsid w:val="006754F8"/>
    <w:rsid w:val="006755A3"/>
    <w:rsid w:val="00675BD6"/>
    <w:rsid w:val="00676127"/>
    <w:rsid w:val="00676AED"/>
    <w:rsid w:val="00677E9C"/>
    <w:rsid w:val="00677F26"/>
    <w:rsid w:val="006800EE"/>
    <w:rsid w:val="006802A7"/>
    <w:rsid w:val="006811C9"/>
    <w:rsid w:val="006811FB"/>
    <w:rsid w:val="006812CE"/>
    <w:rsid w:val="006826C1"/>
    <w:rsid w:val="00682C89"/>
    <w:rsid w:val="006832B8"/>
    <w:rsid w:val="006837B2"/>
    <w:rsid w:val="00683800"/>
    <w:rsid w:val="00683891"/>
    <w:rsid w:val="00684462"/>
    <w:rsid w:val="00684862"/>
    <w:rsid w:val="00684C8A"/>
    <w:rsid w:val="00684CF5"/>
    <w:rsid w:val="0068553E"/>
    <w:rsid w:val="00685E7B"/>
    <w:rsid w:val="00686551"/>
    <w:rsid w:val="00686CAB"/>
    <w:rsid w:val="00686E4D"/>
    <w:rsid w:val="0068717F"/>
    <w:rsid w:val="0068719A"/>
    <w:rsid w:val="0068727C"/>
    <w:rsid w:val="0068730C"/>
    <w:rsid w:val="00687504"/>
    <w:rsid w:val="00687792"/>
    <w:rsid w:val="00687A14"/>
    <w:rsid w:val="00687A8C"/>
    <w:rsid w:val="00690839"/>
    <w:rsid w:val="006908DB"/>
    <w:rsid w:val="00690DE9"/>
    <w:rsid w:val="00691DE9"/>
    <w:rsid w:val="00691EAA"/>
    <w:rsid w:val="00692245"/>
    <w:rsid w:val="00692FFA"/>
    <w:rsid w:val="00693772"/>
    <w:rsid w:val="00693984"/>
    <w:rsid w:val="00693B77"/>
    <w:rsid w:val="00694160"/>
    <w:rsid w:val="00695110"/>
    <w:rsid w:val="006959A5"/>
    <w:rsid w:val="00695C0C"/>
    <w:rsid w:val="00696736"/>
    <w:rsid w:val="006968F1"/>
    <w:rsid w:val="00696A05"/>
    <w:rsid w:val="00697665"/>
    <w:rsid w:val="006979BF"/>
    <w:rsid w:val="00697C9A"/>
    <w:rsid w:val="00697E68"/>
    <w:rsid w:val="00697FC1"/>
    <w:rsid w:val="006A0274"/>
    <w:rsid w:val="006A103E"/>
    <w:rsid w:val="006A27BC"/>
    <w:rsid w:val="006A2A43"/>
    <w:rsid w:val="006A2A98"/>
    <w:rsid w:val="006A2BF1"/>
    <w:rsid w:val="006A2F9A"/>
    <w:rsid w:val="006A34E4"/>
    <w:rsid w:val="006A3A5A"/>
    <w:rsid w:val="006A416A"/>
    <w:rsid w:val="006A44CF"/>
    <w:rsid w:val="006A457D"/>
    <w:rsid w:val="006A4C06"/>
    <w:rsid w:val="006A55EE"/>
    <w:rsid w:val="006A575B"/>
    <w:rsid w:val="006A59DE"/>
    <w:rsid w:val="006A5E46"/>
    <w:rsid w:val="006A64C6"/>
    <w:rsid w:val="006A6655"/>
    <w:rsid w:val="006A6BF9"/>
    <w:rsid w:val="006A7CB5"/>
    <w:rsid w:val="006A7FD0"/>
    <w:rsid w:val="006B00E4"/>
    <w:rsid w:val="006B025C"/>
    <w:rsid w:val="006B08ED"/>
    <w:rsid w:val="006B2534"/>
    <w:rsid w:val="006B2CB2"/>
    <w:rsid w:val="006B322C"/>
    <w:rsid w:val="006B347D"/>
    <w:rsid w:val="006B359F"/>
    <w:rsid w:val="006B3E19"/>
    <w:rsid w:val="006B41AB"/>
    <w:rsid w:val="006B4488"/>
    <w:rsid w:val="006B49FC"/>
    <w:rsid w:val="006B50C4"/>
    <w:rsid w:val="006B53AE"/>
    <w:rsid w:val="006B58B4"/>
    <w:rsid w:val="006B67AC"/>
    <w:rsid w:val="006B6DB3"/>
    <w:rsid w:val="006B786A"/>
    <w:rsid w:val="006B7A03"/>
    <w:rsid w:val="006B7D67"/>
    <w:rsid w:val="006B7E4E"/>
    <w:rsid w:val="006C003A"/>
    <w:rsid w:val="006C0550"/>
    <w:rsid w:val="006C074F"/>
    <w:rsid w:val="006C107C"/>
    <w:rsid w:val="006C240D"/>
    <w:rsid w:val="006C2454"/>
    <w:rsid w:val="006C2551"/>
    <w:rsid w:val="006C2DEE"/>
    <w:rsid w:val="006C37CA"/>
    <w:rsid w:val="006C40D2"/>
    <w:rsid w:val="006C4BBD"/>
    <w:rsid w:val="006C4C26"/>
    <w:rsid w:val="006C506D"/>
    <w:rsid w:val="006C5B15"/>
    <w:rsid w:val="006C5D32"/>
    <w:rsid w:val="006C5DCB"/>
    <w:rsid w:val="006C6475"/>
    <w:rsid w:val="006C70C4"/>
    <w:rsid w:val="006C741F"/>
    <w:rsid w:val="006D0444"/>
    <w:rsid w:val="006D04DA"/>
    <w:rsid w:val="006D10F6"/>
    <w:rsid w:val="006D1544"/>
    <w:rsid w:val="006D1688"/>
    <w:rsid w:val="006D1DD3"/>
    <w:rsid w:val="006D1FF3"/>
    <w:rsid w:val="006D291B"/>
    <w:rsid w:val="006D2C65"/>
    <w:rsid w:val="006D2DE3"/>
    <w:rsid w:val="006D32C6"/>
    <w:rsid w:val="006D3491"/>
    <w:rsid w:val="006D360E"/>
    <w:rsid w:val="006D3697"/>
    <w:rsid w:val="006D39D2"/>
    <w:rsid w:val="006D3F2A"/>
    <w:rsid w:val="006D4370"/>
    <w:rsid w:val="006D46A3"/>
    <w:rsid w:val="006D62E0"/>
    <w:rsid w:val="006D658F"/>
    <w:rsid w:val="006D6A12"/>
    <w:rsid w:val="006D6F58"/>
    <w:rsid w:val="006D712D"/>
    <w:rsid w:val="006D7687"/>
    <w:rsid w:val="006D7D1F"/>
    <w:rsid w:val="006D7D8A"/>
    <w:rsid w:val="006E0572"/>
    <w:rsid w:val="006E05D8"/>
    <w:rsid w:val="006E088C"/>
    <w:rsid w:val="006E08EE"/>
    <w:rsid w:val="006E155A"/>
    <w:rsid w:val="006E2C34"/>
    <w:rsid w:val="006E359B"/>
    <w:rsid w:val="006E39D1"/>
    <w:rsid w:val="006E3B05"/>
    <w:rsid w:val="006E437F"/>
    <w:rsid w:val="006E4D5B"/>
    <w:rsid w:val="006E602F"/>
    <w:rsid w:val="006E6136"/>
    <w:rsid w:val="006E6720"/>
    <w:rsid w:val="006E7275"/>
    <w:rsid w:val="006E77B8"/>
    <w:rsid w:val="006E7BAF"/>
    <w:rsid w:val="006F13BA"/>
    <w:rsid w:val="006F15CC"/>
    <w:rsid w:val="006F15F6"/>
    <w:rsid w:val="006F36EA"/>
    <w:rsid w:val="006F4147"/>
    <w:rsid w:val="006F4315"/>
    <w:rsid w:val="006F4CB0"/>
    <w:rsid w:val="006F4F78"/>
    <w:rsid w:val="006F547E"/>
    <w:rsid w:val="006F5CCF"/>
    <w:rsid w:val="006F6F04"/>
    <w:rsid w:val="006F71F5"/>
    <w:rsid w:val="00700610"/>
    <w:rsid w:val="00700B9C"/>
    <w:rsid w:val="0070138A"/>
    <w:rsid w:val="0070157E"/>
    <w:rsid w:val="007030D4"/>
    <w:rsid w:val="00703279"/>
    <w:rsid w:val="00703B61"/>
    <w:rsid w:val="00703E11"/>
    <w:rsid w:val="00704102"/>
    <w:rsid w:val="0070437C"/>
    <w:rsid w:val="0070461C"/>
    <w:rsid w:val="00704A91"/>
    <w:rsid w:val="00705631"/>
    <w:rsid w:val="00705818"/>
    <w:rsid w:val="00705F62"/>
    <w:rsid w:val="0070773F"/>
    <w:rsid w:val="007078BD"/>
    <w:rsid w:val="00707ED3"/>
    <w:rsid w:val="007101B7"/>
    <w:rsid w:val="00710668"/>
    <w:rsid w:val="007110F4"/>
    <w:rsid w:val="007112B1"/>
    <w:rsid w:val="0071130F"/>
    <w:rsid w:val="0071143C"/>
    <w:rsid w:val="00711B11"/>
    <w:rsid w:val="00712714"/>
    <w:rsid w:val="007129AB"/>
    <w:rsid w:val="00712B63"/>
    <w:rsid w:val="00713526"/>
    <w:rsid w:val="00713724"/>
    <w:rsid w:val="00713FC5"/>
    <w:rsid w:val="00714DCA"/>
    <w:rsid w:val="00715BBF"/>
    <w:rsid w:val="00715C29"/>
    <w:rsid w:val="00715CBD"/>
    <w:rsid w:val="00715EAA"/>
    <w:rsid w:val="00716CAD"/>
    <w:rsid w:val="00716F18"/>
    <w:rsid w:val="00717363"/>
    <w:rsid w:val="00717786"/>
    <w:rsid w:val="00717ACB"/>
    <w:rsid w:val="0072138B"/>
    <w:rsid w:val="00721BFF"/>
    <w:rsid w:val="00723475"/>
    <w:rsid w:val="007236C4"/>
    <w:rsid w:val="00723917"/>
    <w:rsid w:val="00723D80"/>
    <w:rsid w:val="007242A2"/>
    <w:rsid w:val="00724635"/>
    <w:rsid w:val="00724F21"/>
    <w:rsid w:val="00725134"/>
    <w:rsid w:val="0072554B"/>
    <w:rsid w:val="00725AFD"/>
    <w:rsid w:val="00726603"/>
    <w:rsid w:val="007270EF"/>
    <w:rsid w:val="00727B1D"/>
    <w:rsid w:val="00727DDC"/>
    <w:rsid w:val="00730CD6"/>
    <w:rsid w:val="00730F74"/>
    <w:rsid w:val="00730F87"/>
    <w:rsid w:val="0073114B"/>
    <w:rsid w:val="00732151"/>
    <w:rsid w:val="0073373A"/>
    <w:rsid w:val="007339EC"/>
    <w:rsid w:val="00734952"/>
    <w:rsid w:val="00734990"/>
    <w:rsid w:val="00734FF5"/>
    <w:rsid w:val="00735B78"/>
    <w:rsid w:val="00735DA7"/>
    <w:rsid w:val="00736805"/>
    <w:rsid w:val="007368B4"/>
    <w:rsid w:val="007378E0"/>
    <w:rsid w:val="00737B4A"/>
    <w:rsid w:val="00737D92"/>
    <w:rsid w:val="00740529"/>
    <w:rsid w:val="00740876"/>
    <w:rsid w:val="00741358"/>
    <w:rsid w:val="00741626"/>
    <w:rsid w:val="00742332"/>
    <w:rsid w:val="00742886"/>
    <w:rsid w:val="007428E9"/>
    <w:rsid w:val="00742C76"/>
    <w:rsid w:val="00742DD2"/>
    <w:rsid w:val="00742F60"/>
    <w:rsid w:val="007437C6"/>
    <w:rsid w:val="007441A2"/>
    <w:rsid w:val="00744E80"/>
    <w:rsid w:val="00745035"/>
    <w:rsid w:val="0074531C"/>
    <w:rsid w:val="00745547"/>
    <w:rsid w:val="007459D0"/>
    <w:rsid w:val="0074608B"/>
    <w:rsid w:val="0074623A"/>
    <w:rsid w:val="00746420"/>
    <w:rsid w:val="00746A60"/>
    <w:rsid w:val="00746E04"/>
    <w:rsid w:val="00746E08"/>
    <w:rsid w:val="00746E3D"/>
    <w:rsid w:val="007473B9"/>
    <w:rsid w:val="0074740B"/>
    <w:rsid w:val="00747C96"/>
    <w:rsid w:val="00750075"/>
    <w:rsid w:val="007502EC"/>
    <w:rsid w:val="00750382"/>
    <w:rsid w:val="0075094E"/>
    <w:rsid w:val="00750C88"/>
    <w:rsid w:val="00750FA8"/>
    <w:rsid w:val="00750FB5"/>
    <w:rsid w:val="0075114A"/>
    <w:rsid w:val="007520F0"/>
    <w:rsid w:val="007522E8"/>
    <w:rsid w:val="00753A77"/>
    <w:rsid w:val="00753BAC"/>
    <w:rsid w:val="00754A0B"/>
    <w:rsid w:val="00754DFE"/>
    <w:rsid w:val="007552DB"/>
    <w:rsid w:val="00755B08"/>
    <w:rsid w:val="00755DD0"/>
    <w:rsid w:val="0075647A"/>
    <w:rsid w:val="00756A2F"/>
    <w:rsid w:val="00756B6A"/>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535B"/>
    <w:rsid w:val="00766ECC"/>
    <w:rsid w:val="007672F3"/>
    <w:rsid w:val="007677B5"/>
    <w:rsid w:val="007678B1"/>
    <w:rsid w:val="007708A8"/>
    <w:rsid w:val="0077184A"/>
    <w:rsid w:val="00772100"/>
    <w:rsid w:val="00772275"/>
    <w:rsid w:val="007734E4"/>
    <w:rsid w:val="0077380D"/>
    <w:rsid w:val="00773BC8"/>
    <w:rsid w:val="0077466F"/>
    <w:rsid w:val="007752B7"/>
    <w:rsid w:val="00775467"/>
    <w:rsid w:val="00775597"/>
    <w:rsid w:val="007759A8"/>
    <w:rsid w:val="00775C27"/>
    <w:rsid w:val="00775D98"/>
    <w:rsid w:val="0077644C"/>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28D"/>
    <w:rsid w:val="0078347A"/>
    <w:rsid w:val="007842D6"/>
    <w:rsid w:val="00784FC4"/>
    <w:rsid w:val="00785353"/>
    <w:rsid w:val="00785BBB"/>
    <w:rsid w:val="00786937"/>
    <w:rsid w:val="00786FAD"/>
    <w:rsid w:val="007874FB"/>
    <w:rsid w:val="00787D90"/>
    <w:rsid w:val="00787F5E"/>
    <w:rsid w:val="00790164"/>
    <w:rsid w:val="00790A24"/>
    <w:rsid w:val="00790A37"/>
    <w:rsid w:val="00790A60"/>
    <w:rsid w:val="007913E3"/>
    <w:rsid w:val="0079146D"/>
    <w:rsid w:val="00791728"/>
    <w:rsid w:val="00791C32"/>
    <w:rsid w:val="00791F57"/>
    <w:rsid w:val="00791FF0"/>
    <w:rsid w:val="007923D0"/>
    <w:rsid w:val="007930D3"/>
    <w:rsid w:val="0079381F"/>
    <w:rsid w:val="00793A57"/>
    <w:rsid w:val="00793B2E"/>
    <w:rsid w:val="007948F5"/>
    <w:rsid w:val="0079538B"/>
    <w:rsid w:val="00795647"/>
    <w:rsid w:val="007963F6"/>
    <w:rsid w:val="007968B8"/>
    <w:rsid w:val="00796AFE"/>
    <w:rsid w:val="00796DC8"/>
    <w:rsid w:val="00796E80"/>
    <w:rsid w:val="0079744F"/>
    <w:rsid w:val="007979AD"/>
    <w:rsid w:val="00797A9C"/>
    <w:rsid w:val="007A00FA"/>
    <w:rsid w:val="007A0EAB"/>
    <w:rsid w:val="007A0FEC"/>
    <w:rsid w:val="007A2341"/>
    <w:rsid w:val="007A2754"/>
    <w:rsid w:val="007A3898"/>
    <w:rsid w:val="007A38A1"/>
    <w:rsid w:val="007A3BBE"/>
    <w:rsid w:val="007A3F8D"/>
    <w:rsid w:val="007A4766"/>
    <w:rsid w:val="007A5747"/>
    <w:rsid w:val="007A5947"/>
    <w:rsid w:val="007A5C22"/>
    <w:rsid w:val="007A5DB3"/>
    <w:rsid w:val="007A687F"/>
    <w:rsid w:val="007A717B"/>
    <w:rsid w:val="007A76E6"/>
    <w:rsid w:val="007A7E1A"/>
    <w:rsid w:val="007B0313"/>
    <w:rsid w:val="007B0854"/>
    <w:rsid w:val="007B0E48"/>
    <w:rsid w:val="007B1D1B"/>
    <w:rsid w:val="007B286B"/>
    <w:rsid w:val="007B303E"/>
    <w:rsid w:val="007B32C0"/>
    <w:rsid w:val="007B32F7"/>
    <w:rsid w:val="007B3659"/>
    <w:rsid w:val="007B38B5"/>
    <w:rsid w:val="007B3BF3"/>
    <w:rsid w:val="007B431B"/>
    <w:rsid w:val="007B4558"/>
    <w:rsid w:val="007B4632"/>
    <w:rsid w:val="007B46A2"/>
    <w:rsid w:val="007B4828"/>
    <w:rsid w:val="007B4B2D"/>
    <w:rsid w:val="007B4D4A"/>
    <w:rsid w:val="007B513D"/>
    <w:rsid w:val="007B53B8"/>
    <w:rsid w:val="007B53DA"/>
    <w:rsid w:val="007B5428"/>
    <w:rsid w:val="007B59B7"/>
    <w:rsid w:val="007B5B65"/>
    <w:rsid w:val="007B618D"/>
    <w:rsid w:val="007B68EF"/>
    <w:rsid w:val="007B6C64"/>
    <w:rsid w:val="007B6EC8"/>
    <w:rsid w:val="007B6F81"/>
    <w:rsid w:val="007B7EA2"/>
    <w:rsid w:val="007C097D"/>
    <w:rsid w:val="007C0AF2"/>
    <w:rsid w:val="007C11CE"/>
    <w:rsid w:val="007C1672"/>
    <w:rsid w:val="007C312A"/>
    <w:rsid w:val="007C34A9"/>
    <w:rsid w:val="007C3570"/>
    <w:rsid w:val="007C3F3B"/>
    <w:rsid w:val="007C4241"/>
    <w:rsid w:val="007C425E"/>
    <w:rsid w:val="007C55FF"/>
    <w:rsid w:val="007C6339"/>
    <w:rsid w:val="007C753F"/>
    <w:rsid w:val="007C7C43"/>
    <w:rsid w:val="007C7F0D"/>
    <w:rsid w:val="007D06E3"/>
    <w:rsid w:val="007D1134"/>
    <w:rsid w:val="007D17F0"/>
    <w:rsid w:val="007D23F7"/>
    <w:rsid w:val="007D2566"/>
    <w:rsid w:val="007D2C18"/>
    <w:rsid w:val="007D2D74"/>
    <w:rsid w:val="007D3337"/>
    <w:rsid w:val="007D3370"/>
    <w:rsid w:val="007D3693"/>
    <w:rsid w:val="007D3C6D"/>
    <w:rsid w:val="007D3EE2"/>
    <w:rsid w:val="007D42D3"/>
    <w:rsid w:val="007D481A"/>
    <w:rsid w:val="007D4ED0"/>
    <w:rsid w:val="007D5648"/>
    <w:rsid w:val="007D58C5"/>
    <w:rsid w:val="007D5DE8"/>
    <w:rsid w:val="007D75B4"/>
    <w:rsid w:val="007D7CFC"/>
    <w:rsid w:val="007E0812"/>
    <w:rsid w:val="007E182B"/>
    <w:rsid w:val="007E18DF"/>
    <w:rsid w:val="007E208E"/>
    <w:rsid w:val="007E2C36"/>
    <w:rsid w:val="007E3309"/>
    <w:rsid w:val="007E350D"/>
    <w:rsid w:val="007E36C1"/>
    <w:rsid w:val="007E3A0A"/>
    <w:rsid w:val="007E3ACA"/>
    <w:rsid w:val="007E564D"/>
    <w:rsid w:val="007E5C4A"/>
    <w:rsid w:val="007E64D4"/>
    <w:rsid w:val="007E66E9"/>
    <w:rsid w:val="007E69F2"/>
    <w:rsid w:val="007E6A03"/>
    <w:rsid w:val="007E7432"/>
    <w:rsid w:val="007E74BF"/>
    <w:rsid w:val="007F14D3"/>
    <w:rsid w:val="007F1D9D"/>
    <w:rsid w:val="007F1E28"/>
    <w:rsid w:val="007F1F63"/>
    <w:rsid w:val="007F221F"/>
    <w:rsid w:val="007F22A0"/>
    <w:rsid w:val="007F2358"/>
    <w:rsid w:val="007F2903"/>
    <w:rsid w:val="007F2F90"/>
    <w:rsid w:val="007F3224"/>
    <w:rsid w:val="007F3320"/>
    <w:rsid w:val="007F3AC1"/>
    <w:rsid w:val="007F4976"/>
    <w:rsid w:val="007F52AF"/>
    <w:rsid w:val="007F5A56"/>
    <w:rsid w:val="007F616E"/>
    <w:rsid w:val="007F6790"/>
    <w:rsid w:val="007F6B46"/>
    <w:rsid w:val="007F72CB"/>
    <w:rsid w:val="007F736A"/>
    <w:rsid w:val="007F7635"/>
    <w:rsid w:val="007F785F"/>
    <w:rsid w:val="007F7961"/>
    <w:rsid w:val="007F7AF6"/>
    <w:rsid w:val="007F7E36"/>
    <w:rsid w:val="00800E6D"/>
    <w:rsid w:val="008014D9"/>
    <w:rsid w:val="0080150F"/>
    <w:rsid w:val="0080153A"/>
    <w:rsid w:val="00801A2A"/>
    <w:rsid w:val="00801C48"/>
    <w:rsid w:val="00802041"/>
    <w:rsid w:val="008022C9"/>
    <w:rsid w:val="00802605"/>
    <w:rsid w:val="00802F9E"/>
    <w:rsid w:val="00803700"/>
    <w:rsid w:val="00803D9D"/>
    <w:rsid w:val="0080543F"/>
    <w:rsid w:val="008059C6"/>
    <w:rsid w:val="00805AD7"/>
    <w:rsid w:val="00805BD6"/>
    <w:rsid w:val="00805DE3"/>
    <w:rsid w:val="00806A28"/>
    <w:rsid w:val="00807A5C"/>
    <w:rsid w:val="00807C35"/>
    <w:rsid w:val="00807F35"/>
    <w:rsid w:val="00807F69"/>
    <w:rsid w:val="008100F7"/>
    <w:rsid w:val="00810206"/>
    <w:rsid w:val="00811898"/>
    <w:rsid w:val="00811CDC"/>
    <w:rsid w:val="008124D8"/>
    <w:rsid w:val="0081250A"/>
    <w:rsid w:val="00812AB0"/>
    <w:rsid w:val="00813A7B"/>
    <w:rsid w:val="00813F04"/>
    <w:rsid w:val="00814F1E"/>
    <w:rsid w:val="0081513E"/>
    <w:rsid w:val="00815DA5"/>
    <w:rsid w:val="00815F9D"/>
    <w:rsid w:val="00816221"/>
    <w:rsid w:val="008163AB"/>
    <w:rsid w:val="00817063"/>
    <w:rsid w:val="0081766B"/>
    <w:rsid w:val="00820705"/>
    <w:rsid w:val="00820BA7"/>
    <w:rsid w:val="00820CBF"/>
    <w:rsid w:val="00820DBC"/>
    <w:rsid w:val="00820FA8"/>
    <w:rsid w:val="008212FD"/>
    <w:rsid w:val="00821489"/>
    <w:rsid w:val="008214B4"/>
    <w:rsid w:val="008214DC"/>
    <w:rsid w:val="008217B7"/>
    <w:rsid w:val="00822257"/>
    <w:rsid w:val="0082239B"/>
    <w:rsid w:val="0082292E"/>
    <w:rsid w:val="00822D06"/>
    <w:rsid w:val="00822EC4"/>
    <w:rsid w:val="0082348D"/>
    <w:rsid w:val="008236BE"/>
    <w:rsid w:val="008241CE"/>
    <w:rsid w:val="00825240"/>
    <w:rsid w:val="008253B5"/>
    <w:rsid w:val="00825B43"/>
    <w:rsid w:val="00826119"/>
    <w:rsid w:val="00826C98"/>
    <w:rsid w:val="00826F71"/>
    <w:rsid w:val="00827CC0"/>
    <w:rsid w:val="00830D29"/>
    <w:rsid w:val="00831026"/>
    <w:rsid w:val="0083119B"/>
    <w:rsid w:val="00831BAE"/>
    <w:rsid w:val="00832216"/>
    <w:rsid w:val="00832CD0"/>
    <w:rsid w:val="00833430"/>
    <w:rsid w:val="0083382A"/>
    <w:rsid w:val="00834128"/>
    <w:rsid w:val="0083417F"/>
    <w:rsid w:val="008344DB"/>
    <w:rsid w:val="00835143"/>
    <w:rsid w:val="0083569B"/>
    <w:rsid w:val="00835741"/>
    <w:rsid w:val="00836E74"/>
    <w:rsid w:val="00836EAB"/>
    <w:rsid w:val="00836FDF"/>
    <w:rsid w:val="00837673"/>
    <w:rsid w:val="00837937"/>
    <w:rsid w:val="00837D82"/>
    <w:rsid w:val="00840893"/>
    <w:rsid w:val="00840E88"/>
    <w:rsid w:val="0084120E"/>
    <w:rsid w:val="008423EC"/>
    <w:rsid w:val="008429A6"/>
    <w:rsid w:val="00842FE0"/>
    <w:rsid w:val="00843615"/>
    <w:rsid w:val="00843698"/>
    <w:rsid w:val="00843A4B"/>
    <w:rsid w:val="00843B57"/>
    <w:rsid w:val="00843B60"/>
    <w:rsid w:val="00843D33"/>
    <w:rsid w:val="008440DF"/>
    <w:rsid w:val="008444F0"/>
    <w:rsid w:val="00844562"/>
    <w:rsid w:val="00844D4F"/>
    <w:rsid w:val="00845AE3"/>
    <w:rsid w:val="008466A0"/>
    <w:rsid w:val="00847535"/>
    <w:rsid w:val="00847B6D"/>
    <w:rsid w:val="0085092D"/>
    <w:rsid w:val="00850C79"/>
    <w:rsid w:val="00850D82"/>
    <w:rsid w:val="00850F79"/>
    <w:rsid w:val="0085100B"/>
    <w:rsid w:val="00852C43"/>
    <w:rsid w:val="0085304C"/>
    <w:rsid w:val="008531CE"/>
    <w:rsid w:val="008536BB"/>
    <w:rsid w:val="00853A3C"/>
    <w:rsid w:val="008548CA"/>
    <w:rsid w:val="00854A18"/>
    <w:rsid w:val="00855973"/>
    <w:rsid w:val="00856B9F"/>
    <w:rsid w:val="00856C06"/>
    <w:rsid w:val="00857381"/>
    <w:rsid w:val="008578B1"/>
    <w:rsid w:val="0085790B"/>
    <w:rsid w:val="008579B9"/>
    <w:rsid w:val="00857C95"/>
    <w:rsid w:val="00857E78"/>
    <w:rsid w:val="00860AEF"/>
    <w:rsid w:val="00860B18"/>
    <w:rsid w:val="00860D5E"/>
    <w:rsid w:val="0086122C"/>
    <w:rsid w:val="00861310"/>
    <w:rsid w:val="00861F53"/>
    <w:rsid w:val="0086289E"/>
    <w:rsid w:val="008629CB"/>
    <w:rsid w:val="0086394C"/>
    <w:rsid w:val="0086394E"/>
    <w:rsid w:val="00863F8A"/>
    <w:rsid w:val="00863FE3"/>
    <w:rsid w:val="00864241"/>
    <w:rsid w:val="0086468A"/>
    <w:rsid w:val="008650BE"/>
    <w:rsid w:val="0086633B"/>
    <w:rsid w:val="00866495"/>
    <w:rsid w:val="00866881"/>
    <w:rsid w:val="00866931"/>
    <w:rsid w:val="00866954"/>
    <w:rsid w:val="00867512"/>
    <w:rsid w:val="008678A3"/>
    <w:rsid w:val="00867C13"/>
    <w:rsid w:val="00867C1D"/>
    <w:rsid w:val="0087033C"/>
    <w:rsid w:val="00870B93"/>
    <w:rsid w:val="008715ED"/>
    <w:rsid w:val="008717D8"/>
    <w:rsid w:val="00871E3C"/>
    <w:rsid w:val="00872CC1"/>
    <w:rsid w:val="00872F97"/>
    <w:rsid w:val="00874607"/>
    <w:rsid w:val="00874915"/>
    <w:rsid w:val="00874B89"/>
    <w:rsid w:val="00875403"/>
    <w:rsid w:val="00875434"/>
    <w:rsid w:val="00875AC6"/>
    <w:rsid w:val="00875C1F"/>
    <w:rsid w:val="00876215"/>
    <w:rsid w:val="0087646C"/>
    <w:rsid w:val="00876815"/>
    <w:rsid w:val="008769A1"/>
    <w:rsid w:val="00877932"/>
    <w:rsid w:val="008808C7"/>
    <w:rsid w:val="00880FB5"/>
    <w:rsid w:val="0088106B"/>
    <w:rsid w:val="0088107D"/>
    <w:rsid w:val="00881E64"/>
    <w:rsid w:val="00882D24"/>
    <w:rsid w:val="00882E39"/>
    <w:rsid w:val="008850EB"/>
    <w:rsid w:val="00885228"/>
    <w:rsid w:val="00886C32"/>
    <w:rsid w:val="00886DF2"/>
    <w:rsid w:val="00886FB9"/>
    <w:rsid w:val="00887057"/>
    <w:rsid w:val="00887080"/>
    <w:rsid w:val="00887C79"/>
    <w:rsid w:val="0089064C"/>
    <w:rsid w:val="0089107B"/>
    <w:rsid w:val="008913CC"/>
    <w:rsid w:val="008914AE"/>
    <w:rsid w:val="008919CF"/>
    <w:rsid w:val="00891F84"/>
    <w:rsid w:val="008928EC"/>
    <w:rsid w:val="00892E5D"/>
    <w:rsid w:val="008935CF"/>
    <w:rsid w:val="0089436B"/>
    <w:rsid w:val="00894436"/>
    <w:rsid w:val="0089494C"/>
    <w:rsid w:val="00894BB1"/>
    <w:rsid w:val="008951D0"/>
    <w:rsid w:val="00895817"/>
    <w:rsid w:val="00895828"/>
    <w:rsid w:val="0089582D"/>
    <w:rsid w:val="008959C6"/>
    <w:rsid w:val="0089606D"/>
    <w:rsid w:val="00896129"/>
    <w:rsid w:val="00896316"/>
    <w:rsid w:val="0089774F"/>
    <w:rsid w:val="00897875"/>
    <w:rsid w:val="00897B8F"/>
    <w:rsid w:val="008A00D9"/>
    <w:rsid w:val="008A07D5"/>
    <w:rsid w:val="008A15D3"/>
    <w:rsid w:val="008A1FB7"/>
    <w:rsid w:val="008A229A"/>
    <w:rsid w:val="008A2A23"/>
    <w:rsid w:val="008A2AF5"/>
    <w:rsid w:val="008A2B5A"/>
    <w:rsid w:val="008A3F9D"/>
    <w:rsid w:val="008A4B42"/>
    <w:rsid w:val="008A5474"/>
    <w:rsid w:val="008A5990"/>
    <w:rsid w:val="008A5C9A"/>
    <w:rsid w:val="008A6005"/>
    <w:rsid w:val="008A614F"/>
    <w:rsid w:val="008A6A55"/>
    <w:rsid w:val="008A6DF0"/>
    <w:rsid w:val="008A6F6E"/>
    <w:rsid w:val="008A73C4"/>
    <w:rsid w:val="008A7888"/>
    <w:rsid w:val="008A796E"/>
    <w:rsid w:val="008B0862"/>
    <w:rsid w:val="008B088C"/>
    <w:rsid w:val="008B1BF5"/>
    <w:rsid w:val="008B263F"/>
    <w:rsid w:val="008B3045"/>
    <w:rsid w:val="008B47A6"/>
    <w:rsid w:val="008B4B94"/>
    <w:rsid w:val="008B672C"/>
    <w:rsid w:val="008C065F"/>
    <w:rsid w:val="008C0743"/>
    <w:rsid w:val="008C0B4C"/>
    <w:rsid w:val="008C11F0"/>
    <w:rsid w:val="008C1DBA"/>
    <w:rsid w:val="008C24E7"/>
    <w:rsid w:val="008C2500"/>
    <w:rsid w:val="008C2CAC"/>
    <w:rsid w:val="008C2E00"/>
    <w:rsid w:val="008C3C57"/>
    <w:rsid w:val="008C3E2A"/>
    <w:rsid w:val="008C45BD"/>
    <w:rsid w:val="008C4B19"/>
    <w:rsid w:val="008C62D4"/>
    <w:rsid w:val="008C6B89"/>
    <w:rsid w:val="008D18AA"/>
    <w:rsid w:val="008D1A2A"/>
    <w:rsid w:val="008D1ADE"/>
    <w:rsid w:val="008D2668"/>
    <w:rsid w:val="008D26F0"/>
    <w:rsid w:val="008D347A"/>
    <w:rsid w:val="008D35D9"/>
    <w:rsid w:val="008D3B85"/>
    <w:rsid w:val="008D462D"/>
    <w:rsid w:val="008D4C74"/>
    <w:rsid w:val="008D560B"/>
    <w:rsid w:val="008D6084"/>
    <w:rsid w:val="008D64AC"/>
    <w:rsid w:val="008D66CA"/>
    <w:rsid w:val="008D69B1"/>
    <w:rsid w:val="008D6D29"/>
    <w:rsid w:val="008D7338"/>
    <w:rsid w:val="008D785E"/>
    <w:rsid w:val="008E0012"/>
    <w:rsid w:val="008E04C3"/>
    <w:rsid w:val="008E0DF7"/>
    <w:rsid w:val="008E0FAD"/>
    <w:rsid w:val="008E11E4"/>
    <w:rsid w:val="008E1252"/>
    <w:rsid w:val="008E1347"/>
    <w:rsid w:val="008E16E0"/>
    <w:rsid w:val="008E1C15"/>
    <w:rsid w:val="008E1C9A"/>
    <w:rsid w:val="008E28BD"/>
    <w:rsid w:val="008E30C4"/>
    <w:rsid w:val="008E38B4"/>
    <w:rsid w:val="008E3BA4"/>
    <w:rsid w:val="008E44AB"/>
    <w:rsid w:val="008E5179"/>
    <w:rsid w:val="008E57FE"/>
    <w:rsid w:val="008E6056"/>
    <w:rsid w:val="008E6226"/>
    <w:rsid w:val="008E6598"/>
    <w:rsid w:val="008E7214"/>
    <w:rsid w:val="008E7884"/>
    <w:rsid w:val="008E7D6E"/>
    <w:rsid w:val="008F1056"/>
    <w:rsid w:val="008F135B"/>
    <w:rsid w:val="008F2E8D"/>
    <w:rsid w:val="008F361D"/>
    <w:rsid w:val="008F387B"/>
    <w:rsid w:val="008F3DD9"/>
    <w:rsid w:val="008F4814"/>
    <w:rsid w:val="008F4DA6"/>
    <w:rsid w:val="008F538E"/>
    <w:rsid w:val="008F5A20"/>
    <w:rsid w:val="008F5ABA"/>
    <w:rsid w:val="008F71AB"/>
    <w:rsid w:val="008F7905"/>
    <w:rsid w:val="008F7989"/>
    <w:rsid w:val="008F7F45"/>
    <w:rsid w:val="00901F1D"/>
    <w:rsid w:val="009020B3"/>
    <w:rsid w:val="009028E8"/>
    <w:rsid w:val="00902E5C"/>
    <w:rsid w:val="00903128"/>
    <w:rsid w:val="0090363E"/>
    <w:rsid w:val="009046E5"/>
    <w:rsid w:val="009047C5"/>
    <w:rsid w:val="00905C37"/>
    <w:rsid w:val="00905F59"/>
    <w:rsid w:val="00906C9E"/>
    <w:rsid w:val="00910683"/>
    <w:rsid w:val="00910E00"/>
    <w:rsid w:val="009116CE"/>
    <w:rsid w:val="00911714"/>
    <w:rsid w:val="00911D04"/>
    <w:rsid w:val="00911EFF"/>
    <w:rsid w:val="009136D4"/>
    <w:rsid w:val="00914B9A"/>
    <w:rsid w:val="00914C3F"/>
    <w:rsid w:val="00914F33"/>
    <w:rsid w:val="00915C17"/>
    <w:rsid w:val="00915FCE"/>
    <w:rsid w:val="00916AFE"/>
    <w:rsid w:val="00916FC8"/>
    <w:rsid w:val="009170D3"/>
    <w:rsid w:val="0091759C"/>
    <w:rsid w:val="00917CCE"/>
    <w:rsid w:val="00920026"/>
    <w:rsid w:val="009203E2"/>
    <w:rsid w:val="00920F61"/>
    <w:rsid w:val="00921304"/>
    <w:rsid w:val="00921395"/>
    <w:rsid w:val="00921805"/>
    <w:rsid w:val="00921BFC"/>
    <w:rsid w:val="00921C94"/>
    <w:rsid w:val="00921E63"/>
    <w:rsid w:val="009227CB"/>
    <w:rsid w:val="009231E6"/>
    <w:rsid w:val="00923396"/>
    <w:rsid w:val="00923F56"/>
    <w:rsid w:val="00924F60"/>
    <w:rsid w:val="00925346"/>
    <w:rsid w:val="00925743"/>
    <w:rsid w:val="0092579F"/>
    <w:rsid w:val="00926729"/>
    <w:rsid w:val="00926C40"/>
    <w:rsid w:val="00927E8D"/>
    <w:rsid w:val="00927F23"/>
    <w:rsid w:val="009307CD"/>
    <w:rsid w:val="00931365"/>
    <w:rsid w:val="00931451"/>
    <w:rsid w:val="009314FA"/>
    <w:rsid w:val="0093194F"/>
    <w:rsid w:val="00931BF3"/>
    <w:rsid w:val="00931C55"/>
    <w:rsid w:val="0093210B"/>
    <w:rsid w:val="00933333"/>
    <w:rsid w:val="0093349A"/>
    <w:rsid w:val="009338BA"/>
    <w:rsid w:val="00933FCB"/>
    <w:rsid w:val="00934CEC"/>
    <w:rsid w:val="00934E69"/>
    <w:rsid w:val="00935E70"/>
    <w:rsid w:val="0093609A"/>
    <w:rsid w:val="0093691D"/>
    <w:rsid w:val="00937401"/>
    <w:rsid w:val="009375AD"/>
    <w:rsid w:val="009376FB"/>
    <w:rsid w:val="00937D6B"/>
    <w:rsid w:val="00937E6C"/>
    <w:rsid w:val="00940477"/>
    <w:rsid w:val="00940876"/>
    <w:rsid w:val="00940A53"/>
    <w:rsid w:val="00940F3C"/>
    <w:rsid w:val="009410E0"/>
    <w:rsid w:val="009413C0"/>
    <w:rsid w:val="009415BB"/>
    <w:rsid w:val="00941CFB"/>
    <w:rsid w:val="00941FA9"/>
    <w:rsid w:val="009444B4"/>
    <w:rsid w:val="00944644"/>
    <w:rsid w:val="00945681"/>
    <w:rsid w:val="00946A24"/>
    <w:rsid w:val="009470D4"/>
    <w:rsid w:val="00947337"/>
    <w:rsid w:val="00947E6E"/>
    <w:rsid w:val="00950ABC"/>
    <w:rsid w:val="009512FA"/>
    <w:rsid w:val="009516A9"/>
    <w:rsid w:val="00951E57"/>
    <w:rsid w:val="00952153"/>
    <w:rsid w:val="00952505"/>
    <w:rsid w:val="00953018"/>
    <w:rsid w:val="009533E2"/>
    <w:rsid w:val="00953554"/>
    <w:rsid w:val="0095385A"/>
    <w:rsid w:val="00953F49"/>
    <w:rsid w:val="00955272"/>
    <w:rsid w:val="00955DEC"/>
    <w:rsid w:val="0095780A"/>
    <w:rsid w:val="009578C3"/>
    <w:rsid w:val="009579E4"/>
    <w:rsid w:val="00957AA4"/>
    <w:rsid w:val="00957ACB"/>
    <w:rsid w:val="00957F27"/>
    <w:rsid w:val="00960156"/>
    <w:rsid w:val="00960BDB"/>
    <w:rsid w:val="00960D2E"/>
    <w:rsid w:val="0096105C"/>
    <w:rsid w:val="0096147D"/>
    <w:rsid w:val="009616D4"/>
    <w:rsid w:val="00961D28"/>
    <w:rsid w:val="00961D53"/>
    <w:rsid w:val="00961E5F"/>
    <w:rsid w:val="009625C6"/>
    <w:rsid w:val="009629B5"/>
    <w:rsid w:val="00962A50"/>
    <w:rsid w:val="0096409A"/>
    <w:rsid w:val="00964138"/>
    <w:rsid w:val="009648D6"/>
    <w:rsid w:val="00964B3F"/>
    <w:rsid w:val="00964C98"/>
    <w:rsid w:val="0096649D"/>
    <w:rsid w:val="0097120B"/>
    <w:rsid w:val="00971441"/>
    <w:rsid w:val="009715D4"/>
    <w:rsid w:val="0097179A"/>
    <w:rsid w:val="009732A4"/>
    <w:rsid w:val="00973312"/>
    <w:rsid w:val="009739A8"/>
    <w:rsid w:val="00973C05"/>
    <w:rsid w:val="0097494E"/>
    <w:rsid w:val="00974999"/>
    <w:rsid w:val="00974B58"/>
    <w:rsid w:val="00975445"/>
    <w:rsid w:val="00975868"/>
    <w:rsid w:val="009761ED"/>
    <w:rsid w:val="00980206"/>
    <w:rsid w:val="0098022F"/>
    <w:rsid w:val="00980EAB"/>
    <w:rsid w:val="009810DE"/>
    <w:rsid w:val="00981B91"/>
    <w:rsid w:val="00981DFC"/>
    <w:rsid w:val="009822D7"/>
    <w:rsid w:val="009827E6"/>
    <w:rsid w:val="00982F84"/>
    <w:rsid w:val="009836FA"/>
    <w:rsid w:val="0098427D"/>
    <w:rsid w:val="00984567"/>
    <w:rsid w:val="00984B16"/>
    <w:rsid w:val="00985102"/>
    <w:rsid w:val="009854BC"/>
    <w:rsid w:val="00985DF5"/>
    <w:rsid w:val="0098606C"/>
    <w:rsid w:val="009865D5"/>
    <w:rsid w:val="00986DF4"/>
    <w:rsid w:val="009876F2"/>
    <w:rsid w:val="00987C77"/>
    <w:rsid w:val="00987FED"/>
    <w:rsid w:val="00990345"/>
    <w:rsid w:val="00990395"/>
    <w:rsid w:val="0099042D"/>
    <w:rsid w:val="00990701"/>
    <w:rsid w:val="0099119C"/>
    <w:rsid w:val="0099137A"/>
    <w:rsid w:val="00991638"/>
    <w:rsid w:val="0099211C"/>
    <w:rsid w:val="0099349E"/>
    <w:rsid w:val="00993B78"/>
    <w:rsid w:val="00993DBE"/>
    <w:rsid w:val="00995119"/>
    <w:rsid w:val="0099531F"/>
    <w:rsid w:val="009953AD"/>
    <w:rsid w:val="0099583D"/>
    <w:rsid w:val="00996020"/>
    <w:rsid w:val="00996992"/>
    <w:rsid w:val="00996E1E"/>
    <w:rsid w:val="00996E3D"/>
    <w:rsid w:val="00997148"/>
    <w:rsid w:val="00997392"/>
    <w:rsid w:val="0099747C"/>
    <w:rsid w:val="0099771C"/>
    <w:rsid w:val="009A01E4"/>
    <w:rsid w:val="009A0917"/>
    <w:rsid w:val="009A0A33"/>
    <w:rsid w:val="009A0EDF"/>
    <w:rsid w:val="009A1351"/>
    <w:rsid w:val="009A2435"/>
    <w:rsid w:val="009A254A"/>
    <w:rsid w:val="009A35DC"/>
    <w:rsid w:val="009A38AB"/>
    <w:rsid w:val="009A3D47"/>
    <w:rsid w:val="009A42B9"/>
    <w:rsid w:val="009A4D63"/>
    <w:rsid w:val="009A5356"/>
    <w:rsid w:val="009A5468"/>
    <w:rsid w:val="009A5D99"/>
    <w:rsid w:val="009A608C"/>
    <w:rsid w:val="009A6FDF"/>
    <w:rsid w:val="009A715F"/>
    <w:rsid w:val="009A76D6"/>
    <w:rsid w:val="009A7FDE"/>
    <w:rsid w:val="009B0048"/>
    <w:rsid w:val="009B2374"/>
    <w:rsid w:val="009B2A8C"/>
    <w:rsid w:val="009B2E29"/>
    <w:rsid w:val="009B3163"/>
    <w:rsid w:val="009B38A8"/>
    <w:rsid w:val="009B422F"/>
    <w:rsid w:val="009B46BC"/>
    <w:rsid w:val="009B4D1A"/>
    <w:rsid w:val="009B4D85"/>
    <w:rsid w:val="009B502F"/>
    <w:rsid w:val="009B558B"/>
    <w:rsid w:val="009B5F29"/>
    <w:rsid w:val="009B6A34"/>
    <w:rsid w:val="009B6D21"/>
    <w:rsid w:val="009B78ED"/>
    <w:rsid w:val="009C0EA3"/>
    <w:rsid w:val="009C181C"/>
    <w:rsid w:val="009C1A44"/>
    <w:rsid w:val="009C1C7F"/>
    <w:rsid w:val="009C1EC7"/>
    <w:rsid w:val="009C28A2"/>
    <w:rsid w:val="009C3239"/>
    <w:rsid w:val="009C37CE"/>
    <w:rsid w:val="009C3828"/>
    <w:rsid w:val="009C3AD3"/>
    <w:rsid w:val="009C3AF4"/>
    <w:rsid w:val="009C3D2C"/>
    <w:rsid w:val="009C3FBB"/>
    <w:rsid w:val="009C4987"/>
    <w:rsid w:val="009C4FDE"/>
    <w:rsid w:val="009C523F"/>
    <w:rsid w:val="009C59BF"/>
    <w:rsid w:val="009C5E4F"/>
    <w:rsid w:val="009C5F64"/>
    <w:rsid w:val="009C5F82"/>
    <w:rsid w:val="009C60EA"/>
    <w:rsid w:val="009C6BFC"/>
    <w:rsid w:val="009C70F8"/>
    <w:rsid w:val="009C72FA"/>
    <w:rsid w:val="009C78A3"/>
    <w:rsid w:val="009C7E68"/>
    <w:rsid w:val="009D00D7"/>
    <w:rsid w:val="009D0156"/>
    <w:rsid w:val="009D05DA"/>
    <w:rsid w:val="009D11F6"/>
    <w:rsid w:val="009D1A14"/>
    <w:rsid w:val="009D1DF4"/>
    <w:rsid w:val="009D1E2A"/>
    <w:rsid w:val="009D1E68"/>
    <w:rsid w:val="009D1FA0"/>
    <w:rsid w:val="009D2BDF"/>
    <w:rsid w:val="009D3736"/>
    <w:rsid w:val="009D4529"/>
    <w:rsid w:val="009D604F"/>
    <w:rsid w:val="009D61BB"/>
    <w:rsid w:val="009D6410"/>
    <w:rsid w:val="009D68BB"/>
    <w:rsid w:val="009D70C2"/>
    <w:rsid w:val="009D7ADB"/>
    <w:rsid w:val="009D7B33"/>
    <w:rsid w:val="009D7C2F"/>
    <w:rsid w:val="009E06C3"/>
    <w:rsid w:val="009E0703"/>
    <w:rsid w:val="009E1035"/>
    <w:rsid w:val="009E16DA"/>
    <w:rsid w:val="009E1CD4"/>
    <w:rsid w:val="009E2391"/>
    <w:rsid w:val="009E2EF9"/>
    <w:rsid w:val="009E34A5"/>
    <w:rsid w:val="009E42B7"/>
    <w:rsid w:val="009E476A"/>
    <w:rsid w:val="009E4E05"/>
    <w:rsid w:val="009E56FF"/>
    <w:rsid w:val="009E5CB1"/>
    <w:rsid w:val="009E5E56"/>
    <w:rsid w:val="009E61EA"/>
    <w:rsid w:val="009E6343"/>
    <w:rsid w:val="009E6990"/>
    <w:rsid w:val="009E6FEE"/>
    <w:rsid w:val="009F00B9"/>
    <w:rsid w:val="009F060F"/>
    <w:rsid w:val="009F0781"/>
    <w:rsid w:val="009F0850"/>
    <w:rsid w:val="009F1BDF"/>
    <w:rsid w:val="009F1EAE"/>
    <w:rsid w:val="009F21A0"/>
    <w:rsid w:val="009F2DBD"/>
    <w:rsid w:val="009F369D"/>
    <w:rsid w:val="009F36FE"/>
    <w:rsid w:val="009F4990"/>
    <w:rsid w:val="009F4C5C"/>
    <w:rsid w:val="009F4F25"/>
    <w:rsid w:val="009F59C2"/>
    <w:rsid w:val="009F5A5A"/>
    <w:rsid w:val="009F5C0A"/>
    <w:rsid w:val="009F7263"/>
    <w:rsid w:val="009F76EA"/>
    <w:rsid w:val="009F78EB"/>
    <w:rsid w:val="009F7F32"/>
    <w:rsid w:val="009F7FEB"/>
    <w:rsid w:val="00A003D5"/>
    <w:rsid w:val="00A01852"/>
    <w:rsid w:val="00A0188B"/>
    <w:rsid w:val="00A01E73"/>
    <w:rsid w:val="00A023E7"/>
    <w:rsid w:val="00A02B88"/>
    <w:rsid w:val="00A03160"/>
    <w:rsid w:val="00A036AC"/>
    <w:rsid w:val="00A03C54"/>
    <w:rsid w:val="00A03DE5"/>
    <w:rsid w:val="00A041BC"/>
    <w:rsid w:val="00A0447F"/>
    <w:rsid w:val="00A046D2"/>
    <w:rsid w:val="00A04A54"/>
    <w:rsid w:val="00A05B4B"/>
    <w:rsid w:val="00A066C3"/>
    <w:rsid w:val="00A06754"/>
    <w:rsid w:val="00A069E0"/>
    <w:rsid w:val="00A06C99"/>
    <w:rsid w:val="00A06E4A"/>
    <w:rsid w:val="00A06EE8"/>
    <w:rsid w:val="00A070E9"/>
    <w:rsid w:val="00A078FB"/>
    <w:rsid w:val="00A1036D"/>
    <w:rsid w:val="00A1069F"/>
    <w:rsid w:val="00A10ACA"/>
    <w:rsid w:val="00A10D08"/>
    <w:rsid w:val="00A11E78"/>
    <w:rsid w:val="00A12355"/>
    <w:rsid w:val="00A12411"/>
    <w:rsid w:val="00A127D2"/>
    <w:rsid w:val="00A134C5"/>
    <w:rsid w:val="00A13CF5"/>
    <w:rsid w:val="00A143EC"/>
    <w:rsid w:val="00A149E8"/>
    <w:rsid w:val="00A1500F"/>
    <w:rsid w:val="00A15621"/>
    <w:rsid w:val="00A15670"/>
    <w:rsid w:val="00A157A0"/>
    <w:rsid w:val="00A1585B"/>
    <w:rsid w:val="00A15C19"/>
    <w:rsid w:val="00A15FE9"/>
    <w:rsid w:val="00A16052"/>
    <w:rsid w:val="00A16809"/>
    <w:rsid w:val="00A17769"/>
    <w:rsid w:val="00A17934"/>
    <w:rsid w:val="00A17EA2"/>
    <w:rsid w:val="00A20264"/>
    <w:rsid w:val="00A20997"/>
    <w:rsid w:val="00A20DAF"/>
    <w:rsid w:val="00A213DD"/>
    <w:rsid w:val="00A21454"/>
    <w:rsid w:val="00A216CE"/>
    <w:rsid w:val="00A22025"/>
    <w:rsid w:val="00A22498"/>
    <w:rsid w:val="00A22571"/>
    <w:rsid w:val="00A2298D"/>
    <w:rsid w:val="00A24560"/>
    <w:rsid w:val="00A25B0F"/>
    <w:rsid w:val="00A25BBB"/>
    <w:rsid w:val="00A26B1A"/>
    <w:rsid w:val="00A27036"/>
    <w:rsid w:val="00A27207"/>
    <w:rsid w:val="00A27FB6"/>
    <w:rsid w:val="00A30121"/>
    <w:rsid w:val="00A30368"/>
    <w:rsid w:val="00A3043A"/>
    <w:rsid w:val="00A30E02"/>
    <w:rsid w:val="00A30F6A"/>
    <w:rsid w:val="00A31C3E"/>
    <w:rsid w:val="00A32D39"/>
    <w:rsid w:val="00A333AC"/>
    <w:rsid w:val="00A34538"/>
    <w:rsid w:val="00A34677"/>
    <w:rsid w:val="00A3540F"/>
    <w:rsid w:val="00A35630"/>
    <w:rsid w:val="00A35914"/>
    <w:rsid w:val="00A36189"/>
    <w:rsid w:val="00A37893"/>
    <w:rsid w:val="00A3799B"/>
    <w:rsid w:val="00A37D4F"/>
    <w:rsid w:val="00A37E73"/>
    <w:rsid w:val="00A37FB6"/>
    <w:rsid w:val="00A409E2"/>
    <w:rsid w:val="00A4104A"/>
    <w:rsid w:val="00A41081"/>
    <w:rsid w:val="00A411CA"/>
    <w:rsid w:val="00A42080"/>
    <w:rsid w:val="00A42096"/>
    <w:rsid w:val="00A426F3"/>
    <w:rsid w:val="00A42E8D"/>
    <w:rsid w:val="00A42FDF"/>
    <w:rsid w:val="00A430A9"/>
    <w:rsid w:val="00A431FE"/>
    <w:rsid w:val="00A439E5"/>
    <w:rsid w:val="00A4497A"/>
    <w:rsid w:val="00A44BE8"/>
    <w:rsid w:val="00A44C96"/>
    <w:rsid w:val="00A44CDD"/>
    <w:rsid w:val="00A44F54"/>
    <w:rsid w:val="00A45346"/>
    <w:rsid w:val="00A45464"/>
    <w:rsid w:val="00A45EC5"/>
    <w:rsid w:val="00A45F9B"/>
    <w:rsid w:val="00A46574"/>
    <w:rsid w:val="00A475BC"/>
    <w:rsid w:val="00A500B1"/>
    <w:rsid w:val="00A52A53"/>
    <w:rsid w:val="00A52EE5"/>
    <w:rsid w:val="00A53037"/>
    <w:rsid w:val="00A532B9"/>
    <w:rsid w:val="00A5351D"/>
    <w:rsid w:val="00A53E79"/>
    <w:rsid w:val="00A54031"/>
    <w:rsid w:val="00A5426D"/>
    <w:rsid w:val="00A5471D"/>
    <w:rsid w:val="00A548FA"/>
    <w:rsid w:val="00A54FC2"/>
    <w:rsid w:val="00A55122"/>
    <w:rsid w:val="00A55CEA"/>
    <w:rsid w:val="00A56A31"/>
    <w:rsid w:val="00A56DE7"/>
    <w:rsid w:val="00A57EB2"/>
    <w:rsid w:val="00A6009E"/>
    <w:rsid w:val="00A60265"/>
    <w:rsid w:val="00A60B1F"/>
    <w:rsid w:val="00A613E5"/>
    <w:rsid w:val="00A61488"/>
    <w:rsid w:val="00A614DA"/>
    <w:rsid w:val="00A61C60"/>
    <w:rsid w:val="00A62589"/>
    <w:rsid w:val="00A62AD0"/>
    <w:rsid w:val="00A62C3A"/>
    <w:rsid w:val="00A6319C"/>
    <w:rsid w:val="00A63812"/>
    <w:rsid w:val="00A63DF7"/>
    <w:rsid w:val="00A6454D"/>
    <w:rsid w:val="00A64F18"/>
    <w:rsid w:val="00A64F2F"/>
    <w:rsid w:val="00A65505"/>
    <w:rsid w:val="00A6611E"/>
    <w:rsid w:val="00A6634D"/>
    <w:rsid w:val="00A668BA"/>
    <w:rsid w:val="00A66FA7"/>
    <w:rsid w:val="00A67E16"/>
    <w:rsid w:val="00A67E2C"/>
    <w:rsid w:val="00A67EB1"/>
    <w:rsid w:val="00A703CC"/>
    <w:rsid w:val="00A70C5C"/>
    <w:rsid w:val="00A710A2"/>
    <w:rsid w:val="00A719D1"/>
    <w:rsid w:val="00A71EA7"/>
    <w:rsid w:val="00A730AD"/>
    <w:rsid w:val="00A730EE"/>
    <w:rsid w:val="00A73855"/>
    <w:rsid w:val="00A73D64"/>
    <w:rsid w:val="00A74216"/>
    <w:rsid w:val="00A744B4"/>
    <w:rsid w:val="00A751E3"/>
    <w:rsid w:val="00A75504"/>
    <w:rsid w:val="00A75FD7"/>
    <w:rsid w:val="00A766DA"/>
    <w:rsid w:val="00A77168"/>
    <w:rsid w:val="00A7723B"/>
    <w:rsid w:val="00A7793C"/>
    <w:rsid w:val="00A77D21"/>
    <w:rsid w:val="00A77FDE"/>
    <w:rsid w:val="00A80040"/>
    <w:rsid w:val="00A80085"/>
    <w:rsid w:val="00A8043B"/>
    <w:rsid w:val="00A80DA0"/>
    <w:rsid w:val="00A81323"/>
    <w:rsid w:val="00A820CB"/>
    <w:rsid w:val="00A82342"/>
    <w:rsid w:val="00A83BEF"/>
    <w:rsid w:val="00A84443"/>
    <w:rsid w:val="00A8487F"/>
    <w:rsid w:val="00A849A3"/>
    <w:rsid w:val="00A849D9"/>
    <w:rsid w:val="00A84A0E"/>
    <w:rsid w:val="00A84ECB"/>
    <w:rsid w:val="00A86E0B"/>
    <w:rsid w:val="00A874BB"/>
    <w:rsid w:val="00A90F12"/>
    <w:rsid w:val="00A91709"/>
    <w:rsid w:val="00A91DAA"/>
    <w:rsid w:val="00A92261"/>
    <w:rsid w:val="00A93101"/>
    <w:rsid w:val="00A9413E"/>
    <w:rsid w:val="00A94281"/>
    <w:rsid w:val="00A94293"/>
    <w:rsid w:val="00A9496E"/>
    <w:rsid w:val="00A949F0"/>
    <w:rsid w:val="00A94BDE"/>
    <w:rsid w:val="00A94FCA"/>
    <w:rsid w:val="00A95E4C"/>
    <w:rsid w:val="00A96484"/>
    <w:rsid w:val="00A96C60"/>
    <w:rsid w:val="00A9740B"/>
    <w:rsid w:val="00A9766C"/>
    <w:rsid w:val="00A977F8"/>
    <w:rsid w:val="00A979DB"/>
    <w:rsid w:val="00A97C93"/>
    <w:rsid w:val="00AA08E7"/>
    <w:rsid w:val="00AA0A06"/>
    <w:rsid w:val="00AA1351"/>
    <w:rsid w:val="00AA184C"/>
    <w:rsid w:val="00AA1C84"/>
    <w:rsid w:val="00AA20FA"/>
    <w:rsid w:val="00AA3D7B"/>
    <w:rsid w:val="00AA42A0"/>
    <w:rsid w:val="00AA442B"/>
    <w:rsid w:val="00AA44A6"/>
    <w:rsid w:val="00AA46A4"/>
    <w:rsid w:val="00AA568B"/>
    <w:rsid w:val="00AA5779"/>
    <w:rsid w:val="00AA58A1"/>
    <w:rsid w:val="00AA59B5"/>
    <w:rsid w:val="00AA5C67"/>
    <w:rsid w:val="00AA61C7"/>
    <w:rsid w:val="00AA669D"/>
    <w:rsid w:val="00AA66ED"/>
    <w:rsid w:val="00AA6B59"/>
    <w:rsid w:val="00AA6BE1"/>
    <w:rsid w:val="00AA7416"/>
    <w:rsid w:val="00AA7A60"/>
    <w:rsid w:val="00AA7B42"/>
    <w:rsid w:val="00AA7F2F"/>
    <w:rsid w:val="00AB041C"/>
    <w:rsid w:val="00AB14E8"/>
    <w:rsid w:val="00AB1B1D"/>
    <w:rsid w:val="00AB2216"/>
    <w:rsid w:val="00AB358D"/>
    <w:rsid w:val="00AB37A1"/>
    <w:rsid w:val="00AB3BAD"/>
    <w:rsid w:val="00AB3CFD"/>
    <w:rsid w:val="00AB4244"/>
    <w:rsid w:val="00AB49BC"/>
    <w:rsid w:val="00AB4DEE"/>
    <w:rsid w:val="00AB4E0A"/>
    <w:rsid w:val="00AB4E32"/>
    <w:rsid w:val="00AB5C19"/>
    <w:rsid w:val="00AB6F0D"/>
    <w:rsid w:val="00AB724B"/>
    <w:rsid w:val="00AB726C"/>
    <w:rsid w:val="00AB72B4"/>
    <w:rsid w:val="00AC02AA"/>
    <w:rsid w:val="00AC04F4"/>
    <w:rsid w:val="00AC0537"/>
    <w:rsid w:val="00AC0A84"/>
    <w:rsid w:val="00AC1508"/>
    <w:rsid w:val="00AC2A0B"/>
    <w:rsid w:val="00AC2BEE"/>
    <w:rsid w:val="00AC2E53"/>
    <w:rsid w:val="00AC32D6"/>
    <w:rsid w:val="00AC40C3"/>
    <w:rsid w:val="00AC484F"/>
    <w:rsid w:val="00AC4B20"/>
    <w:rsid w:val="00AC56F2"/>
    <w:rsid w:val="00AC679D"/>
    <w:rsid w:val="00AC6988"/>
    <w:rsid w:val="00AC71C3"/>
    <w:rsid w:val="00AC7E3D"/>
    <w:rsid w:val="00AD04AE"/>
    <w:rsid w:val="00AD09F7"/>
    <w:rsid w:val="00AD1EFA"/>
    <w:rsid w:val="00AD2072"/>
    <w:rsid w:val="00AD28C4"/>
    <w:rsid w:val="00AD2DBD"/>
    <w:rsid w:val="00AD2FBF"/>
    <w:rsid w:val="00AD340E"/>
    <w:rsid w:val="00AD3E34"/>
    <w:rsid w:val="00AD455D"/>
    <w:rsid w:val="00AD463C"/>
    <w:rsid w:val="00AD4F60"/>
    <w:rsid w:val="00AD5044"/>
    <w:rsid w:val="00AD5114"/>
    <w:rsid w:val="00AD586D"/>
    <w:rsid w:val="00AD6236"/>
    <w:rsid w:val="00AD69D5"/>
    <w:rsid w:val="00AD6FD3"/>
    <w:rsid w:val="00AD7252"/>
    <w:rsid w:val="00AD7619"/>
    <w:rsid w:val="00AD7770"/>
    <w:rsid w:val="00AE1772"/>
    <w:rsid w:val="00AE1990"/>
    <w:rsid w:val="00AE1D23"/>
    <w:rsid w:val="00AE1D93"/>
    <w:rsid w:val="00AE25C0"/>
    <w:rsid w:val="00AE25E8"/>
    <w:rsid w:val="00AE2AD4"/>
    <w:rsid w:val="00AE2CA7"/>
    <w:rsid w:val="00AE2F1D"/>
    <w:rsid w:val="00AE3A47"/>
    <w:rsid w:val="00AE4C81"/>
    <w:rsid w:val="00AE586F"/>
    <w:rsid w:val="00AE6582"/>
    <w:rsid w:val="00AE6DC5"/>
    <w:rsid w:val="00AE7686"/>
    <w:rsid w:val="00AE799A"/>
    <w:rsid w:val="00AF041E"/>
    <w:rsid w:val="00AF09DF"/>
    <w:rsid w:val="00AF0E81"/>
    <w:rsid w:val="00AF117A"/>
    <w:rsid w:val="00AF16CA"/>
    <w:rsid w:val="00AF186E"/>
    <w:rsid w:val="00AF19DF"/>
    <w:rsid w:val="00AF1D41"/>
    <w:rsid w:val="00AF26CF"/>
    <w:rsid w:val="00AF344D"/>
    <w:rsid w:val="00AF39B3"/>
    <w:rsid w:val="00AF3E1D"/>
    <w:rsid w:val="00AF4402"/>
    <w:rsid w:val="00AF4639"/>
    <w:rsid w:val="00AF4E92"/>
    <w:rsid w:val="00AF554B"/>
    <w:rsid w:val="00AF5C9B"/>
    <w:rsid w:val="00AF5CED"/>
    <w:rsid w:val="00AF5D53"/>
    <w:rsid w:val="00AF5E2D"/>
    <w:rsid w:val="00AF644B"/>
    <w:rsid w:val="00AF69EB"/>
    <w:rsid w:val="00AF6CA6"/>
    <w:rsid w:val="00AF6EB6"/>
    <w:rsid w:val="00AF7796"/>
    <w:rsid w:val="00AF7E9B"/>
    <w:rsid w:val="00B00199"/>
    <w:rsid w:val="00B008C1"/>
    <w:rsid w:val="00B00C57"/>
    <w:rsid w:val="00B011A7"/>
    <w:rsid w:val="00B011A9"/>
    <w:rsid w:val="00B01BAF"/>
    <w:rsid w:val="00B024ED"/>
    <w:rsid w:val="00B026B8"/>
    <w:rsid w:val="00B02EB3"/>
    <w:rsid w:val="00B02FCB"/>
    <w:rsid w:val="00B033F8"/>
    <w:rsid w:val="00B03690"/>
    <w:rsid w:val="00B03C1E"/>
    <w:rsid w:val="00B04400"/>
    <w:rsid w:val="00B04835"/>
    <w:rsid w:val="00B05041"/>
    <w:rsid w:val="00B05A55"/>
    <w:rsid w:val="00B05DE1"/>
    <w:rsid w:val="00B06595"/>
    <w:rsid w:val="00B10109"/>
    <w:rsid w:val="00B10776"/>
    <w:rsid w:val="00B1085E"/>
    <w:rsid w:val="00B10FD1"/>
    <w:rsid w:val="00B1219D"/>
    <w:rsid w:val="00B1268D"/>
    <w:rsid w:val="00B12735"/>
    <w:rsid w:val="00B12F44"/>
    <w:rsid w:val="00B13C48"/>
    <w:rsid w:val="00B13E35"/>
    <w:rsid w:val="00B13EC0"/>
    <w:rsid w:val="00B14102"/>
    <w:rsid w:val="00B14D32"/>
    <w:rsid w:val="00B1557C"/>
    <w:rsid w:val="00B155DC"/>
    <w:rsid w:val="00B15766"/>
    <w:rsid w:val="00B15E4A"/>
    <w:rsid w:val="00B1666A"/>
    <w:rsid w:val="00B1686D"/>
    <w:rsid w:val="00B16BF7"/>
    <w:rsid w:val="00B17129"/>
    <w:rsid w:val="00B1741D"/>
    <w:rsid w:val="00B17447"/>
    <w:rsid w:val="00B1771D"/>
    <w:rsid w:val="00B177C9"/>
    <w:rsid w:val="00B1789A"/>
    <w:rsid w:val="00B17B91"/>
    <w:rsid w:val="00B20209"/>
    <w:rsid w:val="00B203C9"/>
    <w:rsid w:val="00B2088D"/>
    <w:rsid w:val="00B208FF"/>
    <w:rsid w:val="00B20943"/>
    <w:rsid w:val="00B21916"/>
    <w:rsid w:val="00B22E22"/>
    <w:rsid w:val="00B22F5F"/>
    <w:rsid w:val="00B230C9"/>
    <w:rsid w:val="00B231D9"/>
    <w:rsid w:val="00B23640"/>
    <w:rsid w:val="00B23813"/>
    <w:rsid w:val="00B23FD9"/>
    <w:rsid w:val="00B24591"/>
    <w:rsid w:val="00B245D5"/>
    <w:rsid w:val="00B245EF"/>
    <w:rsid w:val="00B24C36"/>
    <w:rsid w:val="00B24F94"/>
    <w:rsid w:val="00B25126"/>
    <w:rsid w:val="00B25A52"/>
    <w:rsid w:val="00B25FC3"/>
    <w:rsid w:val="00B27211"/>
    <w:rsid w:val="00B27875"/>
    <w:rsid w:val="00B27BB5"/>
    <w:rsid w:val="00B3008D"/>
    <w:rsid w:val="00B30E11"/>
    <w:rsid w:val="00B30EAE"/>
    <w:rsid w:val="00B30EEB"/>
    <w:rsid w:val="00B31339"/>
    <w:rsid w:val="00B31423"/>
    <w:rsid w:val="00B319B1"/>
    <w:rsid w:val="00B323E0"/>
    <w:rsid w:val="00B32DC0"/>
    <w:rsid w:val="00B3346C"/>
    <w:rsid w:val="00B335E4"/>
    <w:rsid w:val="00B33AAF"/>
    <w:rsid w:val="00B33C23"/>
    <w:rsid w:val="00B345B4"/>
    <w:rsid w:val="00B348B1"/>
    <w:rsid w:val="00B34A28"/>
    <w:rsid w:val="00B35046"/>
    <w:rsid w:val="00B35B6A"/>
    <w:rsid w:val="00B35C51"/>
    <w:rsid w:val="00B35DAA"/>
    <w:rsid w:val="00B36ACE"/>
    <w:rsid w:val="00B36D2B"/>
    <w:rsid w:val="00B37657"/>
    <w:rsid w:val="00B37AFD"/>
    <w:rsid w:val="00B37B07"/>
    <w:rsid w:val="00B4046F"/>
    <w:rsid w:val="00B406B3"/>
    <w:rsid w:val="00B40900"/>
    <w:rsid w:val="00B40A36"/>
    <w:rsid w:val="00B40DCB"/>
    <w:rsid w:val="00B41D39"/>
    <w:rsid w:val="00B422C0"/>
    <w:rsid w:val="00B426CA"/>
    <w:rsid w:val="00B426E1"/>
    <w:rsid w:val="00B4284A"/>
    <w:rsid w:val="00B42F6D"/>
    <w:rsid w:val="00B43449"/>
    <w:rsid w:val="00B4387A"/>
    <w:rsid w:val="00B441D0"/>
    <w:rsid w:val="00B44746"/>
    <w:rsid w:val="00B44854"/>
    <w:rsid w:val="00B44BA5"/>
    <w:rsid w:val="00B458D0"/>
    <w:rsid w:val="00B46915"/>
    <w:rsid w:val="00B4738E"/>
    <w:rsid w:val="00B4792C"/>
    <w:rsid w:val="00B47E46"/>
    <w:rsid w:val="00B502B1"/>
    <w:rsid w:val="00B50CAE"/>
    <w:rsid w:val="00B50E01"/>
    <w:rsid w:val="00B512AD"/>
    <w:rsid w:val="00B5196C"/>
    <w:rsid w:val="00B525CB"/>
    <w:rsid w:val="00B52697"/>
    <w:rsid w:val="00B547B1"/>
    <w:rsid w:val="00B54D8F"/>
    <w:rsid w:val="00B55857"/>
    <w:rsid w:val="00B55C69"/>
    <w:rsid w:val="00B55CEE"/>
    <w:rsid w:val="00B56851"/>
    <w:rsid w:val="00B569D4"/>
    <w:rsid w:val="00B56BA8"/>
    <w:rsid w:val="00B56D6E"/>
    <w:rsid w:val="00B572F7"/>
    <w:rsid w:val="00B57B9D"/>
    <w:rsid w:val="00B57DAF"/>
    <w:rsid w:val="00B60094"/>
    <w:rsid w:val="00B6022C"/>
    <w:rsid w:val="00B614F8"/>
    <w:rsid w:val="00B61994"/>
    <w:rsid w:val="00B61AB7"/>
    <w:rsid w:val="00B61C1F"/>
    <w:rsid w:val="00B61FD4"/>
    <w:rsid w:val="00B62880"/>
    <w:rsid w:val="00B637ED"/>
    <w:rsid w:val="00B63872"/>
    <w:rsid w:val="00B63CB2"/>
    <w:rsid w:val="00B64246"/>
    <w:rsid w:val="00B64EDB"/>
    <w:rsid w:val="00B65938"/>
    <w:rsid w:val="00B65C8A"/>
    <w:rsid w:val="00B65CE2"/>
    <w:rsid w:val="00B65F6A"/>
    <w:rsid w:val="00B660AD"/>
    <w:rsid w:val="00B66109"/>
    <w:rsid w:val="00B66349"/>
    <w:rsid w:val="00B66A50"/>
    <w:rsid w:val="00B66CB4"/>
    <w:rsid w:val="00B67903"/>
    <w:rsid w:val="00B67FBF"/>
    <w:rsid w:val="00B70832"/>
    <w:rsid w:val="00B71253"/>
    <w:rsid w:val="00B71376"/>
    <w:rsid w:val="00B71617"/>
    <w:rsid w:val="00B716D7"/>
    <w:rsid w:val="00B72110"/>
    <w:rsid w:val="00B72B91"/>
    <w:rsid w:val="00B73019"/>
    <w:rsid w:val="00B7315F"/>
    <w:rsid w:val="00B7323A"/>
    <w:rsid w:val="00B7353B"/>
    <w:rsid w:val="00B737FB"/>
    <w:rsid w:val="00B73E5D"/>
    <w:rsid w:val="00B73EF3"/>
    <w:rsid w:val="00B7423D"/>
    <w:rsid w:val="00B74D05"/>
    <w:rsid w:val="00B75893"/>
    <w:rsid w:val="00B75C5A"/>
    <w:rsid w:val="00B75D47"/>
    <w:rsid w:val="00B766DC"/>
    <w:rsid w:val="00B777FA"/>
    <w:rsid w:val="00B77850"/>
    <w:rsid w:val="00B7796B"/>
    <w:rsid w:val="00B80C72"/>
    <w:rsid w:val="00B81702"/>
    <w:rsid w:val="00B81964"/>
    <w:rsid w:val="00B81E6F"/>
    <w:rsid w:val="00B82123"/>
    <w:rsid w:val="00B8225B"/>
    <w:rsid w:val="00B82BB5"/>
    <w:rsid w:val="00B83182"/>
    <w:rsid w:val="00B839F0"/>
    <w:rsid w:val="00B851E4"/>
    <w:rsid w:val="00B854CE"/>
    <w:rsid w:val="00B85681"/>
    <w:rsid w:val="00B857EB"/>
    <w:rsid w:val="00B86162"/>
    <w:rsid w:val="00B86877"/>
    <w:rsid w:val="00B8695D"/>
    <w:rsid w:val="00B86E66"/>
    <w:rsid w:val="00B873BA"/>
    <w:rsid w:val="00B8746F"/>
    <w:rsid w:val="00B8760D"/>
    <w:rsid w:val="00B87706"/>
    <w:rsid w:val="00B90171"/>
    <w:rsid w:val="00B90A49"/>
    <w:rsid w:val="00B90A73"/>
    <w:rsid w:val="00B91B8E"/>
    <w:rsid w:val="00B92531"/>
    <w:rsid w:val="00B92618"/>
    <w:rsid w:val="00B92751"/>
    <w:rsid w:val="00B92B69"/>
    <w:rsid w:val="00B92CC6"/>
    <w:rsid w:val="00B935C9"/>
    <w:rsid w:val="00B93E3D"/>
    <w:rsid w:val="00B95220"/>
    <w:rsid w:val="00B95464"/>
    <w:rsid w:val="00B95C30"/>
    <w:rsid w:val="00B95D2F"/>
    <w:rsid w:val="00B95E3D"/>
    <w:rsid w:val="00B9691F"/>
    <w:rsid w:val="00B96EEC"/>
    <w:rsid w:val="00B97392"/>
    <w:rsid w:val="00B976C7"/>
    <w:rsid w:val="00BA0B40"/>
    <w:rsid w:val="00BA0C54"/>
    <w:rsid w:val="00BA1382"/>
    <w:rsid w:val="00BA15E3"/>
    <w:rsid w:val="00BA1A8C"/>
    <w:rsid w:val="00BA20D8"/>
    <w:rsid w:val="00BA22FC"/>
    <w:rsid w:val="00BA2C2A"/>
    <w:rsid w:val="00BA2F30"/>
    <w:rsid w:val="00BA3982"/>
    <w:rsid w:val="00BA4771"/>
    <w:rsid w:val="00BA5027"/>
    <w:rsid w:val="00BA59F2"/>
    <w:rsid w:val="00BA5A50"/>
    <w:rsid w:val="00BA5C3B"/>
    <w:rsid w:val="00BA665B"/>
    <w:rsid w:val="00BA686B"/>
    <w:rsid w:val="00BA6FE8"/>
    <w:rsid w:val="00BA732D"/>
    <w:rsid w:val="00BA7370"/>
    <w:rsid w:val="00BA778B"/>
    <w:rsid w:val="00BB0888"/>
    <w:rsid w:val="00BB0DF1"/>
    <w:rsid w:val="00BB0E9B"/>
    <w:rsid w:val="00BB2841"/>
    <w:rsid w:val="00BB2A74"/>
    <w:rsid w:val="00BB300F"/>
    <w:rsid w:val="00BB32C9"/>
    <w:rsid w:val="00BB35C5"/>
    <w:rsid w:val="00BB4C8E"/>
    <w:rsid w:val="00BB57ED"/>
    <w:rsid w:val="00BB65C3"/>
    <w:rsid w:val="00BB662E"/>
    <w:rsid w:val="00BB66A4"/>
    <w:rsid w:val="00BB67A9"/>
    <w:rsid w:val="00BB6C01"/>
    <w:rsid w:val="00BB748C"/>
    <w:rsid w:val="00BB7942"/>
    <w:rsid w:val="00BB7CD1"/>
    <w:rsid w:val="00BC0F33"/>
    <w:rsid w:val="00BC11F8"/>
    <w:rsid w:val="00BC14A7"/>
    <w:rsid w:val="00BC17CC"/>
    <w:rsid w:val="00BC273A"/>
    <w:rsid w:val="00BC2898"/>
    <w:rsid w:val="00BC2928"/>
    <w:rsid w:val="00BC29BD"/>
    <w:rsid w:val="00BC2BB1"/>
    <w:rsid w:val="00BC2FF2"/>
    <w:rsid w:val="00BC34A3"/>
    <w:rsid w:val="00BC3FF9"/>
    <w:rsid w:val="00BC4112"/>
    <w:rsid w:val="00BC4834"/>
    <w:rsid w:val="00BC4A97"/>
    <w:rsid w:val="00BC4E15"/>
    <w:rsid w:val="00BC4FE1"/>
    <w:rsid w:val="00BC520E"/>
    <w:rsid w:val="00BC5A25"/>
    <w:rsid w:val="00BC5FDD"/>
    <w:rsid w:val="00BC68B4"/>
    <w:rsid w:val="00BD0140"/>
    <w:rsid w:val="00BD02CC"/>
    <w:rsid w:val="00BD088E"/>
    <w:rsid w:val="00BD0C47"/>
    <w:rsid w:val="00BD0F18"/>
    <w:rsid w:val="00BD2063"/>
    <w:rsid w:val="00BD33D9"/>
    <w:rsid w:val="00BD38C5"/>
    <w:rsid w:val="00BD3DEA"/>
    <w:rsid w:val="00BD3E97"/>
    <w:rsid w:val="00BD40E4"/>
    <w:rsid w:val="00BD48E5"/>
    <w:rsid w:val="00BD52FE"/>
    <w:rsid w:val="00BD59CA"/>
    <w:rsid w:val="00BD62CF"/>
    <w:rsid w:val="00BD67B2"/>
    <w:rsid w:val="00BD68E2"/>
    <w:rsid w:val="00BD76E5"/>
    <w:rsid w:val="00BD78FE"/>
    <w:rsid w:val="00BD7D10"/>
    <w:rsid w:val="00BE0149"/>
    <w:rsid w:val="00BE0767"/>
    <w:rsid w:val="00BE12D7"/>
    <w:rsid w:val="00BE1372"/>
    <w:rsid w:val="00BE1775"/>
    <w:rsid w:val="00BE18DA"/>
    <w:rsid w:val="00BE26C0"/>
    <w:rsid w:val="00BE3327"/>
    <w:rsid w:val="00BE3442"/>
    <w:rsid w:val="00BE37CD"/>
    <w:rsid w:val="00BE47B2"/>
    <w:rsid w:val="00BE48C7"/>
    <w:rsid w:val="00BE4C4F"/>
    <w:rsid w:val="00BE4F66"/>
    <w:rsid w:val="00BE51EE"/>
    <w:rsid w:val="00BE5238"/>
    <w:rsid w:val="00BE5679"/>
    <w:rsid w:val="00BE6074"/>
    <w:rsid w:val="00BE7257"/>
    <w:rsid w:val="00BF020D"/>
    <w:rsid w:val="00BF0609"/>
    <w:rsid w:val="00BF0E64"/>
    <w:rsid w:val="00BF0EE8"/>
    <w:rsid w:val="00BF1DD2"/>
    <w:rsid w:val="00BF23A3"/>
    <w:rsid w:val="00BF2A7E"/>
    <w:rsid w:val="00BF3331"/>
    <w:rsid w:val="00BF3A45"/>
    <w:rsid w:val="00BF436F"/>
    <w:rsid w:val="00BF4484"/>
    <w:rsid w:val="00BF5C05"/>
    <w:rsid w:val="00BF6FC6"/>
    <w:rsid w:val="00BF7C52"/>
    <w:rsid w:val="00BF7F99"/>
    <w:rsid w:val="00C00713"/>
    <w:rsid w:val="00C009A0"/>
    <w:rsid w:val="00C01F74"/>
    <w:rsid w:val="00C02558"/>
    <w:rsid w:val="00C0285F"/>
    <w:rsid w:val="00C02F35"/>
    <w:rsid w:val="00C03305"/>
    <w:rsid w:val="00C03515"/>
    <w:rsid w:val="00C03738"/>
    <w:rsid w:val="00C037A6"/>
    <w:rsid w:val="00C03F9D"/>
    <w:rsid w:val="00C043F5"/>
    <w:rsid w:val="00C044E3"/>
    <w:rsid w:val="00C04607"/>
    <w:rsid w:val="00C04BDB"/>
    <w:rsid w:val="00C052A4"/>
    <w:rsid w:val="00C052C6"/>
    <w:rsid w:val="00C05A61"/>
    <w:rsid w:val="00C05AD5"/>
    <w:rsid w:val="00C05FEE"/>
    <w:rsid w:val="00C06CCF"/>
    <w:rsid w:val="00C06FB0"/>
    <w:rsid w:val="00C0794D"/>
    <w:rsid w:val="00C10B33"/>
    <w:rsid w:val="00C10E78"/>
    <w:rsid w:val="00C1159D"/>
    <w:rsid w:val="00C1233E"/>
    <w:rsid w:val="00C123F6"/>
    <w:rsid w:val="00C12FB3"/>
    <w:rsid w:val="00C138BC"/>
    <w:rsid w:val="00C13D85"/>
    <w:rsid w:val="00C14639"/>
    <w:rsid w:val="00C14E82"/>
    <w:rsid w:val="00C14FF6"/>
    <w:rsid w:val="00C15A85"/>
    <w:rsid w:val="00C1637C"/>
    <w:rsid w:val="00C1641B"/>
    <w:rsid w:val="00C165FC"/>
    <w:rsid w:val="00C176D5"/>
    <w:rsid w:val="00C17D24"/>
    <w:rsid w:val="00C207A0"/>
    <w:rsid w:val="00C2082C"/>
    <w:rsid w:val="00C20EB0"/>
    <w:rsid w:val="00C21004"/>
    <w:rsid w:val="00C21005"/>
    <w:rsid w:val="00C2136E"/>
    <w:rsid w:val="00C220B6"/>
    <w:rsid w:val="00C22D7C"/>
    <w:rsid w:val="00C22DDE"/>
    <w:rsid w:val="00C2338B"/>
    <w:rsid w:val="00C233CE"/>
    <w:rsid w:val="00C237DD"/>
    <w:rsid w:val="00C238F4"/>
    <w:rsid w:val="00C23A99"/>
    <w:rsid w:val="00C23FBF"/>
    <w:rsid w:val="00C245EE"/>
    <w:rsid w:val="00C24AE1"/>
    <w:rsid w:val="00C24B8D"/>
    <w:rsid w:val="00C24BD7"/>
    <w:rsid w:val="00C25813"/>
    <w:rsid w:val="00C27143"/>
    <w:rsid w:val="00C272CE"/>
    <w:rsid w:val="00C27490"/>
    <w:rsid w:val="00C27712"/>
    <w:rsid w:val="00C27D37"/>
    <w:rsid w:val="00C309E8"/>
    <w:rsid w:val="00C32017"/>
    <w:rsid w:val="00C3237B"/>
    <w:rsid w:val="00C32571"/>
    <w:rsid w:val="00C325CD"/>
    <w:rsid w:val="00C3322E"/>
    <w:rsid w:val="00C337F5"/>
    <w:rsid w:val="00C33B90"/>
    <w:rsid w:val="00C34003"/>
    <w:rsid w:val="00C34161"/>
    <w:rsid w:val="00C342FF"/>
    <w:rsid w:val="00C34B5F"/>
    <w:rsid w:val="00C358D4"/>
    <w:rsid w:val="00C36462"/>
    <w:rsid w:val="00C365C6"/>
    <w:rsid w:val="00C366F4"/>
    <w:rsid w:val="00C36785"/>
    <w:rsid w:val="00C3711C"/>
    <w:rsid w:val="00C371D9"/>
    <w:rsid w:val="00C37256"/>
    <w:rsid w:val="00C37A7B"/>
    <w:rsid w:val="00C37FFE"/>
    <w:rsid w:val="00C40B50"/>
    <w:rsid w:val="00C417F4"/>
    <w:rsid w:val="00C419E3"/>
    <w:rsid w:val="00C419F4"/>
    <w:rsid w:val="00C41E6A"/>
    <w:rsid w:val="00C42247"/>
    <w:rsid w:val="00C43511"/>
    <w:rsid w:val="00C439BE"/>
    <w:rsid w:val="00C44622"/>
    <w:rsid w:val="00C4494B"/>
    <w:rsid w:val="00C4539B"/>
    <w:rsid w:val="00C45466"/>
    <w:rsid w:val="00C455C1"/>
    <w:rsid w:val="00C4581D"/>
    <w:rsid w:val="00C47472"/>
    <w:rsid w:val="00C500F0"/>
    <w:rsid w:val="00C504A7"/>
    <w:rsid w:val="00C506C9"/>
    <w:rsid w:val="00C50A16"/>
    <w:rsid w:val="00C51C9A"/>
    <w:rsid w:val="00C52C68"/>
    <w:rsid w:val="00C52D98"/>
    <w:rsid w:val="00C52DA1"/>
    <w:rsid w:val="00C536C3"/>
    <w:rsid w:val="00C53D24"/>
    <w:rsid w:val="00C54640"/>
    <w:rsid w:val="00C547A6"/>
    <w:rsid w:val="00C54A3A"/>
    <w:rsid w:val="00C55B52"/>
    <w:rsid w:val="00C55C32"/>
    <w:rsid w:val="00C56976"/>
    <w:rsid w:val="00C56A67"/>
    <w:rsid w:val="00C56CC2"/>
    <w:rsid w:val="00C57498"/>
    <w:rsid w:val="00C5763C"/>
    <w:rsid w:val="00C5780C"/>
    <w:rsid w:val="00C5796B"/>
    <w:rsid w:val="00C612C4"/>
    <w:rsid w:val="00C619A1"/>
    <w:rsid w:val="00C62370"/>
    <w:rsid w:val="00C62BBB"/>
    <w:rsid w:val="00C6305F"/>
    <w:rsid w:val="00C6325B"/>
    <w:rsid w:val="00C63E99"/>
    <w:rsid w:val="00C649B8"/>
    <w:rsid w:val="00C64A64"/>
    <w:rsid w:val="00C65151"/>
    <w:rsid w:val="00C657F4"/>
    <w:rsid w:val="00C6598D"/>
    <w:rsid w:val="00C660FE"/>
    <w:rsid w:val="00C66119"/>
    <w:rsid w:val="00C66292"/>
    <w:rsid w:val="00C66D0A"/>
    <w:rsid w:val="00C672A3"/>
    <w:rsid w:val="00C672F1"/>
    <w:rsid w:val="00C673D0"/>
    <w:rsid w:val="00C6742E"/>
    <w:rsid w:val="00C67B0B"/>
    <w:rsid w:val="00C70012"/>
    <w:rsid w:val="00C708AA"/>
    <w:rsid w:val="00C71E2A"/>
    <w:rsid w:val="00C733BA"/>
    <w:rsid w:val="00C7469E"/>
    <w:rsid w:val="00C7595C"/>
    <w:rsid w:val="00C760B0"/>
    <w:rsid w:val="00C760DC"/>
    <w:rsid w:val="00C772E6"/>
    <w:rsid w:val="00C8082B"/>
    <w:rsid w:val="00C81A88"/>
    <w:rsid w:val="00C81D46"/>
    <w:rsid w:val="00C82298"/>
    <w:rsid w:val="00C833B4"/>
    <w:rsid w:val="00C836E9"/>
    <w:rsid w:val="00C84284"/>
    <w:rsid w:val="00C84E33"/>
    <w:rsid w:val="00C85D99"/>
    <w:rsid w:val="00C85FFC"/>
    <w:rsid w:val="00C861FC"/>
    <w:rsid w:val="00C86C87"/>
    <w:rsid w:val="00C9005E"/>
    <w:rsid w:val="00C90111"/>
    <w:rsid w:val="00C9038E"/>
    <w:rsid w:val="00C9077B"/>
    <w:rsid w:val="00C90CA9"/>
    <w:rsid w:val="00C90F88"/>
    <w:rsid w:val="00C9144F"/>
    <w:rsid w:val="00C915F2"/>
    <w:rsid w:val="00C917B1"/>
    <w:rsid w:val="00C9193C"/>
    <w:rsid w:val="00C91B77"/>
    <w:rsid w:val="00C920E2"/>
    <w:rsid w:val="00C923D5"/>
    <w:rsid w:val="00C935A0"/>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646"/>
    <w:rsid w:val="00CA0E51"/>
    <w:rsid w:val="00CA1691"/>
    <w:rsid w:val="00CA2737"/>
    <w:rsid w:val="00CA2738"/>
    <w:rsid w:val="00CA2D2E"/>
    <w:rsid w:val="00CA41E7"/>
    <w:rsid w:val="00CA4A99"/>
    <w:rsid w:val="00CA5520"/>
    <w:rsid w:val="00CA5812"/>
    <w:rsid w:val="00CA5BD4"/>
    <w:rsid w:val="00CA5C14"/>
    <w:rsid w:val="00CA681B"/>
    <w:rsid w:val="00CA76FC"/>
    <w:rsid w:val="00CA7E7B"/>
    <w:rsid w:val="00CB0236"/>
    <w:rsid w:val="00CB18C7"/>
    <w:rsid w:val="00CB1969"/>
    <w:rsid w:val="00CB19E3"/>
    <w:rsid w:val="00CB2C3A"/>
    <w:rsid w:val="00CB2D38"/>
    <w:rsid w:val="00CB4137"/>
    <w:rsid w:val="00CB482F"/>
    <w:rsid w:val="00CB52D0"/>
    <w:rsid w:val="00CB54AF"/>
    <w:rsid w:val="00CB5578"/>
    <w:rsid w:val="00CB5671"/>
    <w:rsid w:val="00CB591C"/>
    <w:rsid w:val="00CB5943"/>
    <w:rsid w:val="00CB61B3"/>
    <w:rsid w:val="00CB6F83"/>
    <w:rsid w:val="00CB72AE"/>
    <w:rsid w:val="00CC00CD"/>
    <w:rsid w:val="00CC0579"/>
    <w:rsid w:val="00CC0AF3"/>
    <w:rsid w:val="00CC0BC6"/>
    <w:rsid w:val="00CC0E68"/>
    <w:rsid w:val="00CC1780"/>
    <w:rsid w:val="00CC194E"/>
    <w:rsid w:val="00CC1B7E"/>
    <w:rsid w:val="00CC1ED2"/>
    <w:rsid w:val="00CC21AC"/>
    <w:rsid w:val="00CC232E"/>
    <w:rsid w:val="00CC2514"/>
    <w:rsid w:val="00CC2B1A"/>
    <w:rsid w:val="00CC2D34"/>
    <w:rsid w:val="00CC2F69"/>
    <w:rsid w:val="00CC315F"/>
    <w:rsid w:val="00CC3D38"/>
    <w:rsid w:val="00CC40C3"/>
    <w:rsid w:val="00CC4E5D"/>
    <w:rsid w:val="00CC50AE"/>
    <w:rsid w:val="00CC5FFE"/>
    <w:rsid w:val="00CC61B7"/>
    <w:rsid w:val="00CC61CA"/>
    <w:rsid w:val="00CC69EC"/>
    <w:rsid w:val="00CC71D3"/>
    <w:rsid w:val="00CC743D"/>
    <w:rsid w:val="00CC7A62"/>
    <w:rsid w:val="00CD00C3"/>
    <w:rsid w:val="00CD050A"/>
    <w:rsid w:val="00CD0815"/>
    <w:rsid w:val="00CD1017"/>
    <w:rsid w:val="00CD205D"/>
    <w:rsid w:val="00CD2A22"/>
    <w:rsid w:val="00CD2B50"/>
    <w:rsid w:val="00CD2C67"/>
    <w:rsid w:val="00CD2FD9"/>
    <w:rsid w:val="00CD3172"/>
    <w:rsid w:val="00CD41E4"/>
    <w:rsid w:val="00CD4357"/>
    <w:rsid w:val="00CD4506"/>
    <w:rsid w:val="00CD520B"/>
    <w:rsid w:val="00CD592E"/>
    <w:rsid w:val="00CD5982"/>
    <w:rsid w:val="00CD5A1A"/>
    <w:rsid w:val="00CD6448"/>
    <w:rsid w:val="00CD7EFA"/>
    <w:rsid w:val="00CE020E"/>
    <w:rsid w:val="00CE0566"/>
    <w:rsid w:val="00CE1CD4"/>
    <w:rsid w:val="00CE207C"/>
    <w:rsid w:val="00CE2761"/>
    <w:rsid w:val="00CE28FC"/>
    <w:rsid w:val="00CE314E"/>
    <w:rsid w:val="00CE3D5C"/>
    <w:rsid w:val="00CE3E09"/>
    <w:rsid w:val="00CE3E14"/>
    <w:rsid w:val="00CE44C7"/>
    <w:rsid w:val="00CE45FC"/>
    <w:rsid w:val="00CE53CC"/>
    <w:rsid w:val="00CE559D"/>
    <w:rsid w:val="00CE5988"/>
    <w:rsid w:val="00CE65A7"/>
    <w:rsid w:val="00CE68FE"/>
    <w:rsid w:val="00CE69CC"/>
    <w:rsid w:val="00CE6EC4"/>
    <w:rsid w:val="00CE7F26"/>
    <w:rsid w:val="00CF0A8D"/>
    <w:rsid w:val="00CF0AC2"/>
    <w:rsid w:val="00CF0DBA"/>
    <w:rsid w:val="00CF1226"/>
    <w:rsid w:val="00CF193C"/>
    <w:rsid w:val="00CF1ABB"/>
    <w:rsid w:val="00CF1E1D"/>
    <w:rsid w:val="00CF24FE"/>
    <w:rsid w:val="00CF287F"/>
    <w:rsid w:val="00CF35D0"/>
    <w:rsid w:val="00CF3B57"/>
    <w:rsid w:val="00CF3DD5"/>
    <w:rsid w:val="00CF481B"/>
    <w:rsid w:val="00CF4AF7"/>
    <w:rsid w:val="00CF4D20"/>
    <w:rsid w:val="00CF6EC4"/>
    <w:rsid w:val="00CF73F8"/>
    <w:rsid w:val="00CF7928"/>
    <w:rsid w:val="00CF7CA2"/>
    <w:rsid w:val="00D00684"/>
    <w:rsid w:val="00D00911"/>
    <w:rsid w:val="00D00A8E"/>
    <w:rsid w:val="00D00DE0"/>
    <w:rsid w:val="00D00F79"/>
    <w:rsid w:val="00D012BF"/>
    <w:rsid w:val="00D01760"/>
    <w:rsid w:val="00D030BD"/>
    <w:rsid w:val="00D0368E"/>
    <w:rsid w:val="00D0393E"/>
    <w:rsid w:val="00D03AC3"/>
    <w:rsid w:val="00D03D2D"/>
    <w:rsid w:val="00D03E16"/>
    <w:rsid w:val="00D03E7B"/>
    <w:rsid w:val="00D0401A"/>
    <w:rsid w:val="00D046C1"/>
    <w:rsid w:val="00D047E0"/>
    <w:rsid w:val="00D04B9F"/>
    <w:rsid w:val="00D04E8D"/>
    <w:rsid w:val="00D04FFB"/>
    <w:rsid w:val="00D055FE"/>
    <w:rsid w:val="00D058E9"/>
    <w:rsid w:val="00D0612A"/>
    <w:rsid w:val="00D068F7"/>
    <w:rsid w:val="00D06E6B"/>
    <w:rsid w:val="00D07315"/>
    <w:rsid w:val="00D1060D"/>
    <w:rsid w:val="00D10E7C"/>
    <w:rsid w:val="00D11182"/>
    <w:rsid w:val="00D1137B"/>
    <w:rsid w:val="00D11807"/>
    <w:rsid w:val="00D11DB3"/>
    <w:rsid w:val="00D12D82"/>
    <w:rsid w:val="00D12F77"/>
    <w:rsid w:val="00D1306E"/>
    <w:rsid w:val="00D134CD"/>
    <w:rsid w:val="00D14A38"/>
    <w:rsid w:val="00D14B5F"/>
    <w:rsid w:val="00D14E13"/>
    <w:rsid w:val="00D14F23"/>
    <w:rsid w:val="00D15A63"/>
    <w:rsid w:val="00D160F6"/>
    <w:rsid w:val="00D16740"/>
    <w:rsid w:val="00D16A8B"/>
    <w:rsid w:val="00D16E39"/>
    <w:rsid w:val="00D172A4"/>
    <w:rsid w:val="00D17951"/>
    <w:rsid w:val="00D17AD8"/>
    <w:rsid w:val="00D2104A"/>
    <w:rsid w:val="00D21BB5"/>
    <w:rsid w:val="00D21FFC"/>
    <w:rsid w:val="00D223B6"/>
    <w:rsid w:val="00D223E8"/>
    <w:rsid w:val="00D224E1"/>
    <w:rsid w:val="00D22DC8"/>
    <w:rsid w:val="00D2477B"/>
    <w:rsid w:val="00D2522A"/>
    <w:rsid w:val="00D2531C"/>
    <w:rsid w:val="00D2553E"/>
    <w:rsid w:val="00D25A71"/>
    <w:rsid w:val="00D25CFA"/>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F4E"/>
    <w:rsid w:val="00D357F3"/>
    <w:rsid w:val="00D35C0E"/>
    <w:rsid w:val="00D373A8"/>
    <w:rsid w:val="00D379A5"/>
    <w:rsid w:val="00D37A4D"/>
    <w:rsid w:val="00D401BE"/>
    <w:rsid w:val="00D4043A"/>
    <w:rsid w:val="00D40DB0"/>
    <w:rsid w:val="00D41093"/>
    <w:rsid w:val="00D410DC"/>
    <w:rsid w:val="00D416D5"/>
    <w:rsid w:val="00D41858"/>
    <w:rsid w:val="00D422DB"/>
    <w:rsid w:val="00D42303"/>
    <w:rsid w:val="00D424EB"/>
    <w:rsid w:val="00D42AC2"/>
    <w:rsid w:val="00D4498E"/>
    <w:rsid w:val="00D4515F"/>
    <w:rsid w:val="00D451E8"/>
    <w:rsid w:val="00D45EDD"/>
    <w:rsid w:val="00D46185"/>
    <w:rsid w:val="00D466C9"/>
    <w:rsid w:val="00D47275"/>
    <w:rsid w:val="00D50689"/>
    <w:rsid w:val="00D51064"/>
    <w:rsid w:val="00D517F6"/>
    <w:rsid w:val="00D51E15"/>
    <w:rsid w:val="00D5210F"/>
    <w:rsid w:val="00D52B7E"/>
    <w:rsid w:val="00D52E2F"/>
    <w:rsid w:val="00D52F59"/>
    <w:rsid w:val="00D53445"/>
    <w:rsid w:val="00D53E3E"/>
    <w:rsid w:val="00D54620"/>
    <w:rsid w:val="00D54FEE"/>
    <w:rsid w:val="00D5558D"/>
    <w:rsid w:val="00D55904"/>
    <w:rsid w:val="00D5616F"/>
    <w:rsid w:val="00D563D7"/>
    <w:rsid w:val="00D56CFC"/>
    <w:rsid w:val="00D56D5C"/>
    <w:rsid w:val="00D57940"/>
    <w:rsid w:val="00D60327"/>
    <w:rsid w:val="00D61384"/>
    <w:rsid w:val="00D61526"/>
    <w:rsid w:val="00D61F81"/>
    <w:rsid w:val="00D6276C"/>
    <w:rsid w:val="00D62BE6"/>
    <w:rsid w:val="00D630B1"/>
    <w:rsid w:val="00D63766"/>
    <w:rsid w:val="00D63912"/>
    <w:rsid w:val="00D63923"/>
    <w:rsid w:val="00D63F1D"/>
    <w:rsid w:val="00D6451B"/>
    <w:rsid w:val="00D64B57"/>
    <w:rsid w:val="00D651A1"/>
    <w:rsid w:val="00D65DEA"/>
    <w:rsid w:val="00D66579"/>
    <w:rsid w:val="00D676D3"/>
    <w:rsid w:val="00D67B06"/>
    <w:rsid w:val="00D67BC7"/>
    <w:rsid w:val="00D701F1"/>
    <w:rsid w:val="00D705D3"/>
    <w:rsid w:val="00D70E00"/>
    <w:rsid w:val="00D70F7C"/>
    <w:rsid w:val="00D715AC"/>
    <w:rsid w:val="00D71851"/>
    <w:rsid w:val="00D718CF"/>
    <w:rsid w:val="00D71A81"/>
    <w:rsid w:val="00D71ACF"/>
    <w:rsid w:val="00D728F5"/>
    <w:rsid w:val="00D72E9D"/>
    <w:rsid w:val="00D73249"/>
    <w:rsid w:val="00D73419"/>
    <w:rsid w:val="00D73CA9"/>
    <w:rsid w:val="00D751B7"/>
    <w:rsid w:val="00D7524B"/>
    <w:rsid w:val="00D75396"/>
    <w:rsid w:val="00D759C0"/>
    <w:rsid w:val="00D75E99"/>
    <w:rsid w:val="00D75FCE"/>
    <w:rsid w:val="00D765CE"/>
    <w:rsid w:val="00D766C7"/>
    <w:rsid w:val="00D7692B"/>
    <w:rsid w:val="00D7734F"/>
    <w:rsid w:val="00D8044C"/>
    <w:rsid w:val="00D805D6"/>
    <w:rsid w:val="00D8075E"/>
    <w:rsid w:val="00D80860"/>
    <w:rsid w:val="00D808B7"/>
    <w:rsid w:val="00D80D4C"/>
    <w:rsid w:val="00D8184D"/>
    <w:rsid w:val="00D81A7B"/>
    <w:rsid w:val="00D82163"/>
    <w:rsid w:val="00D8223C"/>
    <w:rsid w:val="00D82B57"/>
    <w:rsid w:val="00D82CE5"/>
    <w:rsid w:val="00D831E3"/>
    <w:rsid w:val="00D8342C"/>
    <w:rsid w:val="00D85494"/>
    <w:rsid w:val="00D8582C"/>
    <w:rsid w:val="00D858B1"/>
    <w:rsid w:val="00D85D61"/>
    <w:rsid w:val="00D8616D"/>
    <w:rsid w:val="00D86363"/>
    <w:rsid w:val="00D866CA"/>
    <w:rsid w:val="00D86F41"/>
    <w:rsid w:val="00D8711B"/>
    <w:rsid w:val="00D87384"/>
    <w:rsid w:val="00D9052A"/>
    <w:rsid w:val="00D90683"/>
    <w:rsid w:val="00D90B2A"/>
    <w:rsid w:val="00D913C3"/>
    <w:rsid w:val="00D91483"/>
    <w:rsid w:val="00D915C8"/>
    <w:rsid w:val="00D92AAA"/>
    <w:rsid w:val="00D9310B"/>
    <w:rsid w:val="00D931F3"/>
    <w:rsid w:val="00D933FF"/>
    <w:rsid w:val="00D93726"/>
    <w:rsid w:val="00D93F3E"/>
    <w:rsid w:val="00D9405B"/>
    <w:rsid w:val="00D94345"/>
    <w:rsid w:val="00D94942"/>
    <w:rsid w:val="00D950A1"/>
    <w:rsid w:val="00D95145"/>
    <w:rsid w:val="00D951DA"/>
    <w:rsid w:val="00D95360"/>
    <w:rsid w:val="00D96594"/>
    <w:rsid w:val="00D967CB"/>
    <w:rsid w:val="00D968D4"/>
    <w:rsid w:val="00D96EE0"/>
    <w:rsid w:val="00D97BB7"/>
    <w:rsid w:val="00D97BD1"/>
    <w:rsid w:val="00D97DAD"/>
    <w:rsid w:val="00DA06B8"/>
    <w:rsid w:val="00DA14A9"/>
    <w:rsid w:val="00DA2715"/>
    <w:rsid w:val="00DA2862"/>
    <w:rsid w:val="00DA286D"/>
    <w:rsid w:val="00DA2969"/>
    <w:rsid w:val="00DA29B7"/>
    <w:rsid w:val="00DA337C"/>
    <w:rsid w:val="00DA37FA"/>
    <w:rsid w:val="00DA385C"/>
    <w:rsid w:val="00DA3A15"/>
    <w:rsid w:val="00DA4842"/>
    <w:rsid w:val="00DA5989"/>
    <w:rsid w:val="00DA5AB1"/>
    <w:rsid w:val="00DA5C1F"/>
    <w:rsid w:val="00DA5F9D"/>
    <w:rsid w:val="00DA5FFB"/>
    <w:rsid w:val="00DA69B2"/>
    <w:rsid w:val="00DA7462"/>
    <w:rsid w:val="00DA7AD0"/>
    <w:rsid w:val="00DB02D7"/>
    <w:rsid w:val="00DB03CC"/>
    <w:rsid w:val="00DB0EBE"/>
    <w:rsid w:val="00DB12D4"/>
    <w:rsid w:val="00DB14F0"/>
    <w:rsid w:val="00DB1745"/>
    <w:rsid w:val="00DB19BB"/>
    <w:rsid w:val="00DB1AFF"/>
    <w:rsid w:val="00DB219A"/>
    <w:rsid w:val="00DB27BD"/>
    <w:rsid w:val="00DB3165"/>
    <w:rsid w:val="00DB4292"/>
    <w:rsid w:val="00DB5023"/>
    <w:rsid w:val="00DB56B0"/>
    <w:rsid w:val="00DB6009"/>
    <w:rsid w:val="00DB629E"/>
    <w:rsid w:val="00DB6381"/>
    <w:rsid w:val="00DB6E46"/>
    <w:rsid w:val="00DB7117"/>
    <w:rsid w:val="00DB7760"/>
    <w:rsid w:val="00DB7DD4"/>
    <w:rsid w:val="00DC00B4"/>
    <w:rsid w:val="00DC0954"/>
    <w:rsid w:val="00DC0DF8"/>
    <w:rsid w:val="00DC15BA"/>
    <w:rsid w:val="00DC18CD"/>
    <w:rsid w:val="00DC1A68"/>
    <w:rsid w:val="00DC30B8"/>
    <w:rsid w:val="00DC478F"/>
    <w:rsid w:val="00DC62E5"/>
    <w:rsid w:val="00DC6D70"/>
    <w:rsid w:val="00DC6F33"/>
    <w:rsid w:val="00DC7349"/>
    <w:rsid w:val="00DD0C06"/>
    <w:rsid w:val="00DD14D8"/>
    <w:rsid w:val="00DD1599"/>
    <w:rsid w:val="00DD1B03"/>
    <w:rsid w:val="00DD1E43"/>
    <w:rsid w:val="00DD2A62"/>
    <w:rsid w:val="00DD2F2F"/>
    <w:rsid w:val="00DD2F7A"/>
    <w:rsid w:val="00DD3885"/>
    <w:rsid w:val="00DD5808"/>
    <w:rsid w:val="00DD5946"/>
    <w:rsid w:val="00DD5B04"/>
    <w:rsid w:val="00DD5DAE"/>
    <w:rsid w:val="00DD5EC6"/>
    <w:rsid w:val="00DD605F"/>
    <w:rsid w:val="00DD6141"/>
    <w:rsid w:val="00DD6C2C"/>
    <w:rsid w:val="00DD72A0"/>
    <w:rsid w:val="00DD735D"/>
    <w:rsid w:val="00DE0159"/>
    <w:rsid w:val="00DE064A"/>
    <w:rsid w:val="00DE082D"/>
    <w:rsid w:val="00DE1410"/>
    <w:rsid w:val="00DE2078"/>
    <w:rsid w:val="00DE20C6"/>
    <w:rsid w:val="00DE2AEA"/>
    <w:rsid w:val="00DE3048"/>
    <w:rsid w:val="00DE3119"/>
    <w:rsid w:val="00DE3FF0"/>
    <w:rsid w:val="00DE4105"/>
    <w:rsid w:val="00DE41C4"/>
    <w:rsid w:val="00DE5189"/>
    <w:rsid w:val="00DE6E13"/>
    <w:rsid w:val="00DE7108"/>
    <w:rsid w:val="00DE78D1"/>
    <w:rsid w:val="00DE78FF"/>
    <w:rsid w:val="00DF0263"/>
    <w:rsid w:val="00DF0EB4"/>
    <w:rsid w:val="00DF158B"/>
    <w:rsid w:val="00DF193C"/>
    <w:rsid w:val="00DF1D63"/>
    <w:rsid w:val="00DF1E36"/>
    <w:rsid w:val="00DF236B"/>
    <w:rsid w:val="00DF2A91"/>
    <w:rsid w:val="00DF3708"/>
    <w:rsid w:val="00DF3889"/>
    <w:rsid w:val="00DF3CC9"/>
    <w:rsid w:val="00DF4451"/>
    <w:rsid w:val="00DF49FF"/>
    <w:rsid w:val="00DF4FFB"/>
    <w:rsid w:val="00DF5236"/>
    <w:rsid w:val="00DF651F"/>
    <w:rsid w:val="00DF6F43"/>
    <w:rsid w:val="00DF752F"/>
    <w:rsid w:val="00DF76A2"/>
    <w:rsid w:val="00DF7F2B"/>
    <w:rsid w:val="00E00B7A"/>
    <w:rsid w:val="00E01FDD"/>
    <w:rsid w:val="00E02186"/>
    <w:rsid w:val="00E026BB"/>
    <w:rsid w:val="00E027C5"/>
    <w:rsid w:val="00E03124"/>
    <w:rsid w:val="00E031C3"/>
    <w:rsid w:val="00E03951"/>
    <w:rsid w:val="00E03DB8"/>
    <w:rsid w:val="00E03F17"/>
    <w:rsid w:val="00E0401F"/>
    <w:rsid w:val="00E0420C"/>
    <w:rsid w:val="00E04765"/>
    <w:rsid w:val="00E04EDD"/>
    <w:rsid w:val="00E05E70"/>
    <w:rsid w:val="00E064BC"/>
    <w:rsid w:val="00E07225"/>
    <w:rsid w:val="00E076B4"/>
    <w:rsid w:val="00E07B55"/>
    <w:rsid w:val="00E10579"/>
    <w:rsid w:val="00E109DD"/>
    <w:rsid w:val="00E11229"/>
    <w:rsid w:val="00E114CA"/>
    <w:rsid w:val="00E11FE2"/>
    <w:rsid w:val="00E1397F"/>
    <w:rsid w:val="00E13AB8"/>
    <w:rsid w:val="00E1482E"/>
    <w:rsid w:val="00E153AE"/>
    <w:rsid w:val="00E15523"/>
    <w:rsid w:val="00E15896"/>
    <w:rsid w:val="00E15BB1"/>
    <w:rsid w:val="00E16382"/>
    <w:rsid w:val="00E1699C"/>
    <w:rsid w:val="00E16E75"/>
    <w:rsid w:val="00E1714E"/>
    <w:rsid w:val="00E1746D"/>
    <w:rsid w:val="00E2012A"/>
    <w:rsid w:val="00E205A2"/>
    <w:rsid w:val="00E20BA4"/>
    <w:rsid w:val="00E22632"/>
    <w:rsid w:val="00E2302A"/>
    <w:rsid w:val="00E23137"/>
    <w:rsid w:val="00E23980"/>
    <w:rsid w:val="00E241E9"/>
    <w:rsid w:val="00E24FDC"/>
    <w:rsid w:val="00E255F5"/>
    <w:rsid w:val="00E257C3"/>
    <w:rsid w:val="00E25CB3"/>
    <w:rsid w:val="00E25DA4"/>
    <w:rsid w:val="00E25DA7"/>
    <w:rsid w:val="00E26237"/>
    <w:rsid w:val="00E263A0"/>
    <w:rsid w:val="00E26CB8"/>
    <w:rsid w:val="00E26D16"/>
    <w:rsid w:val="00E26D41"/>
    <w:rsid w:val="00E26FCF"/>
    <w:rsid w:val="00E27165"/>
    <w:rsid w:val="00E275D9"/>
    <w:rsid w:val="00E27988"/>
    <w:rsid w:val="00E3044A"/>
    <w:rsid w:val="00E30E49"/>
    <w:rsid w:val="00E312C8"/>
    <w:rsid w:val="00E3174A"/>
    <w:rsid w:val="00E31A4A"/>
    <w:rsid w:val="00E3344A"/>
    <w:rsid w:val="00E33B29"/>
    <w:rsid w:val="00E33B62"/>
    <w:rsid w:val="00E3403D"/>
    <w:rsid w:val="00E344BD"/>
    <w:rsid w:val="00E34E6C"/>
    <w:rsid w:val="00E353E2"/>
    <w:rsid w:val="00E35E65"/>
    <w:rsid w:val="00E361DE"/>
    <w:rsid w:val="00E36345"/>
    <w:rsid w:val="00E36719"/>
    <w:rsid w:val="00E368BD"/>
    <w:rsid w:val="00E36C86"/>
    <w:rsid w:val="00E36CEB"/>
    <w:rsid w:val="00E37387"/>
    <w:rsid w:val="00E37A28"/>
    <w:rsid w:val="00E37D50"/>
    <w:rsid w:val="00E40430"/>
    <w:rsid w:val="00E40690"/>
    <w:rsid w:val="00E40AEB"/>
    <w:rsid w:val="00E4143A"/>
    <w:rsid w:val="00E424C8"/>
    <w:rsid w:val="00E4251D"/>
    <w:rsid w:val="00E43D00"/>
    <w:rsid w:val="00E443B4"/>
    <w:rsid w:val="00E445E4"/>
    <w:rsid w:val="00E457CB"/>
    <w:rsid w:val="00E45D47"/>
    <w:rsid w:val="00E45DE4"/>
    <w:rsid w:val="00E45E63"/>
    <w:rsid w:val="00E462F0"/>
    <w:rsid w:val="00E46BBC"/>
    <w:rsid w:val="00E46C95"/>
    <w:rsid w:val="00E4759C"/>
    <w:rsid w:val="00E47E9A"/>
    <w:rsid w:val="00E50A7B"/>
    <w:rsid w:val="00E50B0B"/>
    <w:rsid w:val="00E510FE"/>
    <w:rsid w:val="00E516C7"/>
    <w:rsid w:val="00E51C5C"/>
    <w:rsid w:val="00E51E25"/>
    <w:rsid w:val="00E5205B"/>
    <w:rsid w:val="00E521AE"/>
    <w:rsid w:val="00E52212"/>
    <w:rsid w:val="00E529A3"/>
    <w:rsid w:val="00E535BB"/>
    <w:rsid w:val="00E538AD"/>
    <w:rsid w:val="00E53A21"/>
    <w:rsid w:val="00E53BCA"/>
    <w:rsid w:val="00E53DE2"/>
    <w:rsid w:val="00E53F02"/>
    <w:rsid w:val="00E54147"/>
    <w:rsid w:val="00E54534"/>
    <w:rsid w:val="00E548C3"/>
    <w:rsid w:val="00E54C5A"/>
    <w:rsid w:val="00E54F27"/>
    <w:rsid w:val="00E55E1C"/>
    <w:rsid w:val="00E55FF1"/>
    <w:rsid w:val="00E56057"/>
    <w:rsid w:val="00E56090"/>
    <w:rsid w:val="00E5647F"/>
    <w:rsid w:val="00E565B9"/>
    <w:rsid w:val="00E56E7B"/>
    <w:rsid w:val="00E5733B"/>
    <w:rsid w:val="00E5756C"/>
    <w:rsid w:val="00E57811"/>
    <w:rsid w:val="00E601BE"/>
    <w:rsid w:val="00E60B5F"/>
    <w:rsid w:val="00E613AE"/>
    <w:rsid w:val="00E61429"/>
    <w:rsid w:val="00E61ABB"/>
    <w:rsid w:val="00E61FD7"/>
    <w:rsid w:val="00E623E6"/>
    <w:rsid w:val="00E630C0"/>
    <w:rsid w:val="00E63107"/>
    <w:rsid w:val="00E6312C"/>
    <w:rsid w:val="00E634E6"/>
    <w:rsid w:val="00E63DCE"/>
    <w:rsid w:val="00E6453E"/>
    <w:rsid w:val="00E64700"/>
    <w:rsid w:val="00E65074"/>
    <w:rsid w:val="00E6526E"/>
    <w:rsid w:val="00E65E70"/>
    <w:rsid w:val="00E66087"/>
    <w:rsid w:val="00E6679F"/>
    <w:rsid w:val="00E66A24"/>
    <w:rsid w:val="00E66C2D"/>
    <w:rsid w:val="00E66D79"/>
    <w:rsid w:val="00E66FF9"/>
    <w:rsid w:val="00E6706F"/>
    <w:rsid w:val="00E67856"/>
    <w:rsid w:val="00E679C8"/>
    <w:rsid w:val="00E70314"/>
    <w:rsid w:val="00E724E7"/>
    <w:rsid w:val="00E72B41"/>
    <w:rsid w:val="00E73283"/>
    <w:rsid w:val="00E7347B"/>
    <w:rsid w:val="00E73792"/>
    <w:rsid w:val="00E73D03"/>
    <w:rsid w:val="00E74040"/>
    <w:rsid w:val="00E7471C"/>
    <w:rsid w:val="00E7498A"/>
    <w:rsid w:val="00E7514E"/>
    <w:rsid w:val="00E760A4"/>
    <w:rsid w:val="00E76537"/>
    <w:rsid w:val="00E77784"/>
    <w:rsid w:val="00E77AF5"/>
    <w:rsid w:val="00E823F9"/>
    <w:rsid w:val="00E82C1F"/>
    <w:rsid w:val="00E83671"/>
    <w:rsid w:val="00E83F7C"/>
    <w:rsid w:val="00E840EE"/>
    <w:rsid w:val="00E84A71"/>
    <w:rsid w:val="00E85170"/>
    <w:rsid w:val="00E86556"/>
    <w:rsid w:val="00E86D35"/>
    <w:rsid w:val="00E86DC2"/>
    <w:rsid w:val="00E86E32"/>
    <w:rsid w:val="00E86F2E"/>
    <w:rsid w:val="00E8732E"/>
    <w:rsid w:val="00E87E9C"/>
    <w:rsid w:val="00E9011F"/>
    <w:rsid w:val="00E906EB"/>
    <w:rsid w:val="00E90A66"/>
    <w:rsid w:val="00E90A7D"/>
    <w:rsid w:val="00E919FB"/>
    <w:rsid w:val="00E91B82"/>
    <w:rsid w:val="00E9241E"/>
    <w:rsid w:val="00E92460"/>
    <w:rsid w:val="00E92E62"/>
    <w:rsid w:val="00E9366C"/>
    <w:rsid w:val="00E93804"/>
    <w:rsid w:val="00E9429D"/>
    <w:rsid w:val="00E95434"/>
    <w:rsid w:val="00E96467"/>
    <w:rsid w:val="00E9660E"/>
    <w:rsid w:val="00E966DA"/>
    <w:rsid w:val="00E96948"/>
    <w:rsid w:val="00E9737B"/>
    <w:rsid w:val="00E97A3F"/>
    <w:rsid w:val="00E97F0A"/>
    <w:rsid w:val="00EA0100"/>
    <w:rsid w:val="00EA0BCE"/>
    <w:rsid w:val="00EA2744"/>
    <w:rsid w:val="00EA2978"/>
    <w:rsid w:val="00EA37B9"/>
    <w:rsid w:val="00EA39F7"/>
    <w:rsid w:val="00EA3D6F"/>
    <w:rsid w:val="00EA3DC2"/>
    <w:rsid w:val="00EA434E"/>
    <w:rsid w:val="00EA4757"/>
    <w:rsid w:val="00EA4B9A"/>
    <w:rsid w:val="00EA560B"/>
    <w:rsid w:val="00EA5669"/>
    <w:rsid w:val="00EA5CC6"/>
    <w:rsid w:val="00EA63EF"/>
    <w:rsid w:val="00EB0A89"/>
    <w:rsid w:val="00EB12E2"/>
    <w:rsid w:val="00EB1573"/>
    <w:rsid w:val="00EB1910"/>
    <w:rsid w:val="00EB2D83"/>
    <w:rsid w:val="00EB2E97"/>
    <w:rsid w:val="00EB3416"/>
    <w:rsid w:val="00EB429E"/>
    <w:rsid w:val="00EB48E9"/>
    <w:rsid w:val="00EB4AE1"/>
    <w:rsid w:val="00EB52F4"/>
    <w:rsid w:val="00EB5694"/>
    <w:rsid w:val="00EB5779"/>
    <w:rsid w:val="00EB5D15"/>
    <w:rsid w:val="00EB5D2F"/>
    <w:rsid w:val="00EB67F1"/>
    <w:rsid w:val="00EB72CD"/>
    <w:rsid w:val="00EB749A"/>
    <w:rsid w:val="00EB76B6"/>
    <w:rsid w:val="00EB7D8A"/>
    <w:rsid w:val="00EC00F5"/>
    <w:rsid w:val="00EC05E2"/>
    <w:rsid w:val="00EC08AC"/>
    <w:rsid w:val="00EC0B18"/>
    <w:rsid w:val="00EC0E84"/>
    <w:rsid w:val="00EC16E2"/>
    <w:rsid w:val="00EC1CE7"/>
    <w:rsid w:val="00EC238A"/>
    <w:rsid w:val="00EC26F1"/>
    <w:rsid w:val="00EC3B9A"/>
    <w:rsid w:val="00EC3C94"/>
    <w:rsid w:val="00EC44DF"/>
    <w:rsid w:val="00EC4FB9"/>
    <w:rsid w:val="00EC5393"/>
    <w:rsid w:val="00EC5606"/>
    <w:rsid w:val="00EC5741"/>
    <w:rsid w:val="00EC5DA3"/>
    <w:rsid w:val="00EC6014"/>
    <w:rsid w:val="00EC6283"/>
    <w:rsid w:val="00EC6656"/>
    <w:rsid w:val="00EC6B3E"/>
    <w:rsid w:val="00EC73DE"/>
    <w:rsid w:val="00EC7637"/>
    <w:rsid w:val="00EC7CF2"/>
    <w:rsid w:val="00ED046C"/>
    <w:rsid w:val="00ED053A"/>
    <w:rsid w:val="00ED1220"/>
    <w:rsid w:val="00ED15DF"/>
    <w:rsid w:val="00ED1B4C"/>
    <w:rsid w:val="00ED1F03"/>
    <w:rsid w:val="00ED2932"/>
    <w:rsid w:val="00ED2D27"/>
    <w:rsid w:val="00ED3347"/>
    <w:rsid w:val="00ED3441"/>
    <w:rsid w:val="00ED3860"/>
    <w:rsid w:val="00ED3954"/>
    <w:rsid w:val="00ED43A2"/>
    <w:rsid w:val="00ED4967"/>
    <w:rsid w:val="00ED5140"/>
    <w:rsid w:val="00ED538C"/>
    <w:rsid w:val="00ED5771"/>
    <w:rsid w:val="00ED587F"/>
    <w:rsid w:val="00ED5964"/>
    <w:rsid w:val="00ED5F29"/>
    <w:rsid w:val="00ED6147"/>
    <w:rsid w:val="00ED623F"/>
    <w:rsid w:val="00ED63A5"/>
    <w:rsid w:val="00ED69BA"/>
    <w:rsid w:val="00ED6D1A"/>
    <w:rsid w:val="00ED72E9"/>
    <w:rsid w:val="00ED732E"/>
    <w:rsid w:val="00ED77F0"/>
    <w:rsid w:val="00ED7C60"/>
    <w:rsid w:val="00ED7FBC"/>
    <w:rsid w:val="00EE0253"/>
    <w:rsid w:val="00EE0297"/>
    <w:rsid w:val="00EE1258"/>
    <w:rsid w:val="00EE13DA"/>
    <w:rsid w:val="00EE1668"/>
    <w:rsid w:val="00EE1EDB"/>
    <w:rsid w:val="00EE24E2"/>
    <w:rsid w:val="00EE366D"/>
    <w:rsid w:val="00EE4CDF"/>
    <w:rsid w:val="00EE5454"/>
    <w:rsid w:val="00EE59B5"/>
    <w:rsid w:val="00EE5FB7"/>
    <w:rsid w:val="00EE65C4"/>
    <w:rsid w:val="00EE6783"/>
    <w:rsid w:val="00EE7B54"/>
    <w:rsid w:val="00EE7C47"/>
    <w:rsid w:val="00EE7C88"/>
    <w:rsid w:val="00EE7C8B"/>
    <w:rsid w:val="00EF0209"/>
    <w:rsid w:val="00EF05C0"/>
    <w:rsid w:val="00EF0EA4"/>
    <w:rsid w:val="00EF1E97"/>
    <w:rsid w:val="00EF2179"/>
    <w:rsid w:val="00EF2436"/>
    <w:rsid w:val="00EF2547"/>
    <w:rsid w:val="00EF296B"/>
    <w:rsid w:val="00EF2B2B"/>
    <w:rsid w:val="00EF2E1C"/>
    <w:rsid w:val="00EF2FD6"/>
    <w:rsid w:val="00EF326A"/>
    <w:rsid w:val="00EF3ECF"/>
    <w:rsid w:val="00EF427A"/>
    <w:rsid w:val="00EF45DF"/>
    <w:rsid w:val="00EF477D"/>
    <w:rsid w:val="00EF4952"/>
    <w:rsid w:val="00EF498F"/>
    <w:rsid w:val="00EF4A42"/>
    <w:rsid w:val="00EF510C"/>
    <w:rsid w:val="00EF55C4"/>
    <w:rsid w:val="00EF57BC"/>
    <w:rsid w:val="00EF6760"/>
    <w:rsid w:val="00EF6784"/>
    <w:rsid w:val="00EF688A"/>
    <w:rsid w:val="00EF6A03"/>
    <w:rsid w:val="00EF6DC2"/>
    <w:rsid w:val="00EF7506"/>
    <w:rsid w:val="00EF7BF4"/>
    <w:rsid w:val="00F0030F"/>
    <w:rsid w:val="00F00674"/>
    <w:rsid w:val="00F012C6"/>
    <w:rsid w:val="00F01657"/>
    <w:rsid w:val="00F01E67"/>
    <w:rsid w:val="00F020BB"/>
    <w:rsid w:val="00F02744"/>
    <w:rsid w:val="00F02BFD"/>
    <w:rsid w:val="00F02D25"/>
    <w:rsid w:val="00F03C3D"/>
    <w:rsid w:val="00F0435D"/>
    <w:rsid w:val="00F04580"/>
    <w:rsid w:val="00F04ECA"/>
    <w:rsid w:val="00F04F8B"/>
    <w:rsid w:val="00F066B3"/>
    <w:rsid w:val="00F06AC9"/>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A42"/>
    <w:rsid w:val="00F13E62"/>
    <w:rsid w:val="00F148B7"/>
    <w:rsid w:val="00F14EA9"/>
    <w:rsid w:val="00F15505"/>
    <w:rsid w:val="00F15BFF"/>
    <w:rsid w:val="00F16E4F"/>
    <w:rsid w:val="00F17244"/>
    <w:rsid w:val="00F2134C"/>
    <w:rsid w:val="00F213A0"/>
    <w:rsid w:val="00F21D39"/>
    <w:rsid w:val="00F21D54"/>
    <w:rsid w:val="00F21EF4"/>
    <w:rsid w:val="00F23113"/>
    <w:rsid w:val="00F23255"/>
    <w:rsid w:val="00F23393"/>
    <w:rsid w:val="00F23759"/>
    <w:rsid w:val="00F24644"/>
    <w:rsid w:val="00F256F3"/>
    <w:rsid w:val="00F25947"/>
    <w:rsid w:val="00F25D7F"/>
    <w:rsid w:val="00F262D6"/>
    <w:rsid w:val="00F26F33"/>
    <w:rsid w:val="00F2748A"/>
    <w:rsid w:val="00F27A2B"/>
    <w:rsid w:val="00F300A8"/>
    <w:rsid w:val="00F302C6"/>
    <w:rsid w:val="00F303C6"/>
    <w:rsid w:val="00F30400"/>
    <w:rsid w:val="00F3079E"/>
    <w:rsid w:val="00F33968"/>
    <w:rsid w:val="00F3399B"/>
    <w:rsid w:val="00F33F4B"/>
    <w:rsid w:val="00F34035"/>
    <w:rsid w:val="00F341F9"/>
    <w:rsid w:val="00F346ED"/>
    <w:rsid w:val="00F34945"/>
    <w:rsid w:val="00F34E1E"/>
    <w:rsid w:val="00F3570C"/>
    <w:rsid w:val="00F363A4"/>
    <w:rsid w:val="00F36765"/>
    <w:rsid w:val="00F368FF"/>
    <w:rsid w:val="00F36CF5"/>
    <w:rsid w:val="00F37068"/>
    <w:rsid w:val="00F37F3F"/>
    <w:rsid w:val="00F40992"/>
    <w:rsid w:val="00F40F72"/>
    <w:rsid w:val="00F40FD8"/>
    <w:rsid w:val="00F41596"/>
    <w:rsid w:val="00F41D8B"/>
    <w:rsid w:val="00F42121"/>
    <w:rsid w:val="00F424B3"/>
    <w:rsid w:val="00F428B1"/>
    <w:rsid w:val="00F428B4"/>
    <w:rsid w:val="00F42A08"/>
    <w:rsid w:val="00F4345D"/>
    <w:rsid w:val="00F4387B"/>
    <w:rsid w:val="00F448EE"/>
    <w:rsid w:val="00F451D4"/>
    <w:rsid w:val="00F45921"/>
    <w:rsid w:val="00F45B91"/>
    <w:rsid w:val="00F46639"/>
    <w:rsid w:val="00F46DBB"/>
    <w:rsid w:val="00F476FD"/>
    <w:rsid w:val="00F47716"/>
    <w:rsid w:val="00F50183"/>
    <w:rsid w:val="00F50D92"/>
    <w:rsid w:val="00F51765"/>
    <w:rsid w:val="00F51A51"/>
    <w:rsid w:val="00F51A7F"/>
    <w:rsid w:val="00F51BC6"/>
    <w:rsid w:val="00F51CB4"/>
    <w:rsid w:val="00F52324"/>
    <w:rsid w:val="00F52950"/>
    <w:rsid w:val="00F52C9D"/>
    <w:rsid w:val="00F533F1"/>
    <w:rsid w:val="00F53F53"/>
    <w:rsid w:val="00F55679"/>
    <w:rsid w:val="00F561E3"/>
    <w:rsid w:val="00F565E6"/>
    <w:rsid w:val="00F56AFA"/>
    <w:rsid w:val="00F575E2"/>
    <w:rsid w:val="00F579FF"/>
    <w:rsid w:val="00F600E0"/>
    <w:rsid w:val="00F605EC"/>
    <w:rsid w:val="00F60F60"/>
    <w:rsid w:val="00F612AA"/>
    <w:rsid w:val="00F612CE"/>
    <w:rsid w:val="00F6133C"/>
    <w:rsid w:val="00F623D7"/>
    <w:rsid w:val="00F624A7"/>
    <w:rsid w:val="00F62AB6"/>
    <w:rsid w:val="00F65A3C"/>
    <w:rsid w:val="00F65CF6"/>
    <w:rsid w:val="00F65D0E"/>
    <w:rsid w:val="00F66282"/>
    <w:rsid w:val="00F6639E"/>
    <w:rsid w:val="00F670E9"/>
    <w:rsid w:val="00F674BB"/>
    <w:rsid w:val="00F67AF1"/>
    <w:rsid w:val="00F67D8B"/>
    <w:rsid w:val="00F701C5"/>
    <w:rsid w:val="00F70961"/>
    <w:rsid w:val="00F70A8F"/>
    <w:rsid w:val="00F70E36"/>
    <w:rsid w:val="00F71397"/>
    <w:rsid w:val="00F72389"/>
    <w:rsid w:val="00F72516"/>
    <w:rsid w:val="00F72FB4"/>
    <w:rsid w:val="00F735E5"/>
    <w:rsid w:val="00F73E80"/>
    <w:rsid w:val="00F7469C"/>
    <w:rsid w:val="00F7492E"/>
    <w:rsid w:val="00F74945"/>
    <w:rsid w:val="00F749A3"/>
    <w:rsid w:val="00F74AE8"/>
    <w:rsid w:val="00F76B5A"/>
    <w:rsid w:val="00F76C11"/>
    <w:rsid w:val="00F77021"/>
    <w:rsid w:val="00F77E61"/>
    <w:rsid w:val="00F77E9A"/>
    <w:rsid w:val="00F80221"/>
    <w:rsid w:val="00F80632"/>
    <w:rsid w:val="00F80C81"/>
    <w:rsid w:val="00F81265"/>
    <w:rsid w:val="00F815AC"/>
    <w:rsid w:val="00F8187D"/>
    <w:rsid w:val="00F82366"/>
    <w:rsid w:val="00F83B33"/>
    <w:rsid w:val="00F83CAE"/>
    <w:rsid w:val="00F840BF"/>
    <w:rsid w:val="00F8427A"/>
    <w:rsid w:val="00F843DF"/>
    <w:rsid w:val="00F84899"/>
    <w:rsid w:val="00F85585"/>
    <w:rsid w:val="00F859F0"/>
    <w:rsid w:val="00F85CC1"/>
    <w:rsid w:val="00F86B5D"/>
    <w:rsid w:val="00F875E1"/>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4699"/>
    <w:rsid w:val="00F952E4"/>
    <w:rsid w:val="00F9537B"/>
    <w:rsid w:val="00F955B6"/>
    <w:rsid w:val="00F963FC"/>
    <w:rsid w:val="00F97CF1"/>
    <w:rsid w:val="00FA015F"/>
    <w:rsid w:val="00FA0160"/>
    <w:rsid w:val="00FA0348"/>
    <w:rsid w:val="00FA0FAC"/>
    <w:rsid w:val="00FA10F7"/>
    <w:rsid w:val="00FA1DA2"/>
    <w:rsid w:val="00FA3414"/>
    <w:rsid w:val="00FA347A"/>
    <w:rsid w:val="00FA3CDE"/>
    <w:rsid w:val="00FA40FC"/>
    <w:rsid w:val="00FA49B7"/>
    <w:rsid w:val="00FA5043"/>
    <w:rsid w:val="00FA6F8B"/>
    <w:rsid w:val="00FA727C"/>
    <w:rsid w:val="00FA7A30"/>
    <w:rsid w:val="00FB033F"/>
    <w:rsid w:val="00FB12E3"/>
    <w:rsid w:val="00FB1570"/>
    <w:rsid w:val="00FB193B"/>
    <w:rsid w:val="00FB1FBC"/>
    <w:rsid w:val="00FB27B7"/>
    <w:rsid w:val="00FB28B7"/>
    <w:rsid w:val="00FB2962"/>
    <w:rsid w:val="00FB35E3"/>
    <w:rsid w:val="00FB4C98"/>
    <w:rsid w:val="00FB4CE3"/>
    <w:rsid w:val="00FB583C"/>
    <w:rsid w:val="00FB630E"/>
    <w:rsid w:val="00FB6738"/>
    <w:rsid w:val="00FB691B"/>
    <w:rsid w:val="00FB6BE6"/>
    <w:rsid w:val="00FB731C"/>
    <w:rsid w:val="00FB7628"/>
    <w:rsid w:val="00FC05A0"/>
    <w:rsid w:val="00FC0811"/>
    <w:rsid w:val="00FC1196"/>
    <w:rsid w:val="00FC15EB"/>
    <w:rsid w:val="00FC162C"/>
    <w:rsid w:val="00FC18DC"/>
    <w:rsid w:val="00FC1ABF"/>
    <w:rsid w:val="00FC1F6A"/>
    <w:rsid w:val="00FC2477"/>
    <w:rsid w:val="00FC2AC4"/>
    <w:rsid w:val="00FC2CAC"/>
    <w:rsid w:val="00FC2F73"/>
    <w:rsid w:val="00FC3A9B"/>
    <w:rsid w:val="00FC3AE1"/>
    <w:rsid w:val="00FC3DFC"/>
    <w:rsid w:val="00FC3E45"/>
    <w:rsid w:val="00FC3EF4"/>
    <w:rsid w:val="00FC431B"/>
    <w:rsid w:val="00FC434C"/>
    <w:rsid w:val="00FC472C"/>
    <w:rsid w:val="00FC4FDF"/>
    <w:rsid w:val="00FC5CF4"/>
    <w:rsid w:val="00FC5D64"/>
    <w:rsid w:val="00FC6A39"/>
    <w:rsid w:val="00FC76A9"/>
    <w:rsid w:val="00FC79AB"/>
    <w:rsid w:val="00FC7BE7"/>
    <w:rsid w:val="00FC7D25"/>
    <w:rsid w:val="00FC7DAC"/>
    <w:rsid w:val="00FD005D"/>
    <w:rsid w:val="00FD023A"/>
    <w:rsid w:val="00FD04AE"/>
    <w:rsid w:val="00FD0531"/>
    <w:rsid w:val="00FD0DFA"/>
    <w:rsid w:val="00FD128D"/>
    <w:rsid w:val="00FD140A"/>
    <w:rsid w:val="00FD1890"/>
    <w:rsid w:val="00FD1994"/>
    <w:rsid w:val="00FD3275"/>
    <w:rsid w:val="00FD3508"/>
    <w:rsid w:val="00FD393C"/>
    <w:rsid w:val="00FD3AFF"/>
    <w:rsid w:val="00FD43BB"/>
    <w:rsid w:val="00FD48CD"/>
    <w:rsid w:val="00FD4AF3"/>
    <w:rsid w:val="00FD4C22"/>
    <w:rsid w:val="00FD6D11"/>
    <w:rsid w:val="00FD798D"/>
    <w:rsid w:val="00FE0B4F"/>
    <w:rsid w:val="00FE141E"/>
    <w:rsid w:val="00FE144E"/>
    <w:rsid w:val="00FE1768"/>
    <w:rsid w:val="00FE181B"/>
    <w:rsid w:val="00FE24F4"/>
    <w:rsid w:val="00FE2560"/>
    <w:rsid w:val="00FE35D0"/>
    <w:rsid w:val="00FE42ED"/>
    <w:rsid w:val="00FE4E06"/>
    <w:rsid w:val="00FE55A7"/>
    <w:rsid w:val="00FE5C5A"/>
    <w:rsid w:val="00FE6432"/>
    <w:rsid w:val="00FE72A0"/>
    <w:rsid w:val="00FE76F9"/>
    <w:rsid w:val="00FF0050"/>
    <w:rsid w:val="00FF045F"/>
    <w:rsid w:val="00FF12AD"/>
    <w:rsid w:val="00FF13D4"/>
    <w:rsid w:val="00FF2053"/>
    <w:rsid w:val="00FF228B"/>
    <w:rsid w:val="00FF26B3"/>
    <w:rsid w:val="00FF3B37"/>
    <w:rsid w:val="00FF3CC7"/>
    <w:rsid w:val="00FF3D6F"/>
    <w:rsid w:val="00FF4489"/>
    <w:rsid w:val="00FF4BD8"/>
    <w:rsid w:val="00FF4D11"/>
    <w:rsid w:val="00FF5214"/>
    <w:rsid w:val="00FF596E"/>
    <w:rsid w:val="00FF5B59"/>
    <w:rsid w:val="00FF5BFD"/>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426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character" w:styleId="Refdenotaalfinal">
    <w:name w:val="endnote reference"/>
    <w:basedOn w:val="Fuentedeprrafopredeter"/>
    <w:uiPriority w:val="99"/>
    <w:semiHidden/>
    <w:unhideWhenUsed/>
    <w:rsid w:val="00B441D0"/>
    <w:rPr>
      <w:vertAlign w:val="superscript"/>
    </w:rPr>
  </w:style>
  <w:style w:type="paragraph" w:styleId="Revisin">
    <w:name w:val="Revision"/>
    <w:hidden/>
    <w:uiPriority w:val="99"/>
    <w:semiHidden/>
    <w:rsid w:val="00B66A50"/>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6393276">
      <w:bodyDiv w:val="1"/>
      <w:marLeft w:val="0"/>
      <w:marRight w:val="0"/>
      <w:marTop w:val="0"/>
      <w:marBottom w:val="0"/>
      <w:divBdr>
        <w:top w:val="none" w:sz="0" w:space="0" w:color="auto"/>
        <w:left w:val="none" w:sz="0" w:space="0" w:color="auto"/>
        <w:bottom w:val="none" w:sz="0" w:space="0" w:color="auto"/>
        <w:right w:val="none" w:sz="0" w:space="0" w:color="auto"/>
      </w:divBdr>
      <w:divsChild>
        <w:div w:id="1934698579">
          <w:marLeft w:val="0"/>
          <w:marRight w:val="0"/>
          <w:marTop w:val="0"/>
          <w:marBottom w:val="0"/>
          <w:divBdr>
            <w:top w:val="none" w:sz="0" w:space="0" w:color="auto"/>
            <w:left w:val="none" w:sz="0" w:space="0" w:color="auto"/>
            <w:bottom w:val="none" w:sz="0" w:space="0" w:color="auto"/>
            <w:right w:val="none" w:sz="0" w:space="0" w:color="auto"/>
          </w:divBdr>
          <w:divsChild>
            <w:div w:id="349989662">
              <w:marLeft w:val="0"/>
              <w:marRight w:val="0"/>
              <w:marTop w:val="0"/>
              <w:marBottom w:val="0"/>
              <w:divBdr>
                <w:top w:val="none" w:sz="0" w:space="0" w:color="auto"/>
                <w:left w:val="none" w:sz="0" w:space="0" w:color="auto"/>
                <w:bottom w:val="none" w:sz="0" w:space="0" w:color="auto"/>
                <w:right w:val="none" w:sz="0" w:space="0" w:color="auto"/>
              </w:divBdr>
              <w:divsChild>
                <w:div w:id="215820258">
                  <w:marLeft w:val="0"/>
                  <w:marRight w:val="0"/>
                  <w:marTop w:val="0"/>
                  <w:marBottom w:val="0"/>
                  <w:divBdr>
                    <w:top w:val="none" w:sz="0" w:space="0" w:color="auto"/>
                    <w:left w:val="none" w:sz="0" w:space="0" w:color="auto"/>
                    <w:bottom w:val="none" w:sz="0" w:space="0" w:color="auto"/>
                    <w:right w:val="none" w:sz="0" w:space="0" w:color="auto"/>
                  </w:divBdr>
                  <w:divsChild>
                    <w:div w:id="103461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097676">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1025098">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5458964">
      <w:bodyDiv w:val="1"/>
      <w:marLeft w:val="0"/>
      <w:marRight w:val="0"/>
      <w:marTop w:val="0"/>
      <w:marBottom w:val="0"/>
      <w:divBdr>
        <w:top w:val="none" w:sz="0" w:space="0" w:color="auto"/>
        <w:left w:val="none" w:sz="0" w:space="0" w:color="auto"/>
        <w:bottom w:val="none" w:sz="0" w:space="0" w:color="auto"/>
        <w:right w:val="none" w:sz="0" w:space="0" w:color="auto"/>
      </w:divBdr>
    </w:div>
    <w:div w:id="193465072">
      <w:bodyDiv w:val="1"/>
      <w:marLeft w:val="0"/>
      <w:marRight w:val="0"/>
      <w:marTop w:val="0"/>
      <w:marBottom w:val="0"/>
      <w:divBdr>
        <w:top w:val="none" w:sz="0" w:space="0" w:color="auto"/>
        <w:left w:val="none" w:sz="0" w:space="0" w:color="auto"/>
        <w:bottom w:val="none" w:sz="0" w:space="0" w:color="auto"/>
        <w:right w:val="none" w:sz="0" w:space="0" w:color="auto"/>
      </w:divBdr>
      <w:divsChild>
        <w:div w:id="2039310680">
          <w:marLeft w:val="0"/>
          <w:marRight w:val="0"/>
          <w:marTop w:val="0"/>
          <w:marBottom w:val="0"/>
          <w:divBdr>
            <w:top w:val="none" w:sz="0" w:space="0" w:color="auto"/>
            <w:left w:val="none" w:sz="0" w:space="0" w:color="auto"/>
            <w:bottom w:val="none" w:sz="0" w:space="0" w:color="auto"/>
            <w:right w:val="none" w:sz="0" w:space="0" w:color="auto"/>
          </w:divBdr>
          <w:divsChild>
            <w:div w:id="1116144250">
              <w:marLeft w:val="0"/>
              <w:marRight w:val="0"/>
              <w:marTop w:val="0"/>
              <w:marBottom w:val="0"/>
              <w:divBdr>
                <w:top w:val="none" w:sz="0" w:space="0" w:color="auto"/>
                <w:left w:val="none" w:sz="0" w:space="0" w:color="auto"/>
                <w:bottom w:val="none" w:sz="0" w:space="0" w:color="auto"/>
                <w:right w:val="none" w:sz="0" w:space="0" w:color="auto"/>
              </w:divBdr>
              <w:divsChild>
                <w:div w:id="1445225717">
                  <w:marLeft w:val="0"/>
                  <w:marRight w:val="0"/>
                  <w:marTop w:val="0"/>
                  <w:marBottom w:val="0"/>
                  <w:divBdr>
                    <w:top w:val="none" w:sz="0" w:space="0" w:color="auto"/>
                    <w:left w:val="none" w:sz="0" w:space="0" w:color="auto"/>
                    <w:bottom w:val="none" w:sz="0" w:space="0" w:color="auto"/>
                    <w:right w:val="none" w:sz="0" w:space="0" w:color="auto"/>
                  </w:divBdr>
                  <w:divsChild>
                    <w:div w:id="150963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3385160">
      <w:bodyDiv w:val="1"/>
      <w:marLeft w:val="0"/>
      <w:marRight w:val="0"/>
      <w:marTop w:val="0"/>
      <w:marBottom w:val="0"/>
      <w:divBdr>
        <w:top w:val="none" w:sz="0" w:space="0" w:color="auto"/>
        <w:left w:val="none" w:sz="0" w:space="0" w:color="auto"/>
        <w:bottom w:val="none" w:sz="0" w:space="0" w:color="auto"/>
        <w:right w:val="none" w:sz="0" w:space="0" w:color="auto"/>
      </w:divBdr>
      <w:divsChild>
        <w:div w:id="350298098">
          <w:marLeft w:val="0"/>
          <w:marRight w:val="0"/>
          <w:marTop w:val="0"/>
          <w:marBottom w:val="0"/>
          <w:divBdr>
            <w:top w:val="none" w:sz="0" w:space="0" w:color="auto"/>
            <w:left w:val="none" w:sz="0" w:space="0" w:color="auto"/>
            <w:bottom w:val="none" w:sz="0" w:space="0" w:color="auto"/>
            <w:right w:val="none" w:sz="0" w:space="0" w:color="auto"/>
          </w:divBdr>
          <w:divsChild>
            <w:div w:id="191496306">
              <w:marLeft w:val="0"/>
              <w:marRight w:val="0"/>
              <w:marTop w:val="0"/>
              <w:marBottom w:val="0"/>
              <w:divBdr>
                <w:top w:val="none" w:sz="0" w:space="0" w:color="auto"/>
                <w:left w:val="none" w:sz="0" w:space="0" w:color="auto"/>
                <w:bottom w:val="none" w:sz="0" w:space="0" w:color="auto"/>
                <w:right w:val="none" w:sz="0" w:space="0" w:color="auto"/>
              </w:divBdr>
              <w:divsChild>
                <w:div w:id="481655950">
                  <w:marLeft w:val="0"/>
                  <w:marRight w:val="0"/>
                  <w:marTop w:val="0"/>
                  <w:marBottom w:val="0"/>
                  <w:divBdr>
                    <w:top w:val="none" w:sz="0" w:space="0" w:color="auto"/>
                    <w:left w:val="none" w:sz="0" w:space="0" w:color="auto"/>
                    <w:bottom w:val="none" w:sz="0" w:space="0" w:color="auto"/>
                    <w:right w:val="none" w:sz="0" w:space="0" w:color="auto"/>
                  </w:divBdr>
                  <w:divsChild>
                    <w:div w:id="87878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561527">
      <w:bodyDiv w:val="1"/>
      <w:marLeft w:val="0"/>
      <w:marRight w:val="0"/>
      <w:marTop w:val="0"/>
      <w:marBottom w:val="0"/>
      <w:divBdr>
        <w:top w:val="none" w:sz="0" w:space="0" w:color="auto"/>
        <w:left w:val="none" w:sz="0" w:space="0" w:color="auto"/>
        <w:bottom w:val="none" w:sz="0" w:space="0" w:color="auto"/>
        <w:right w:val="none" w:sz="0" w:space="0" w:color="auto"/>
      </w:divBdr>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26160453">
      <w:bodyDiv w:val="1"/>
      <w:marLeft w:val="0"/>
      <w:marRight w:val="0"/>
      <w:marTop w:val="0"/>
      <w:marBottom w:val="0"/>
      <w:divBdr>
        <w:top w:val="none" w:sz="0" w:space="0" w:color="auto"/>
        <w:left w:val="none" w:sz="0" w:space="0" w:color="auto"/>
        <w:bottom w:val="none" w:sz="0" w:space="0" w:color="auto"/>
        <w:right w:val="none" w:sz="0" w:space="0" w:color="auto"/>
      </w:divBdr>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301948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1003421">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543579">
      <w:bodyDiv w:val="1"/>
      <w:marLeft w:val="0"/>
      <w:marRight w:val="0"/>
      <w:marTop w:val="0"/>
      <w:marBottom w:val="0"/>
      <w:divBdr>
        <w:top w:val="none" w:sz="0" w:space="0" w:color="auto"/>
        <w:left w:val="none" w:sz="0" w:space="0" w:color="auto"/>
        <w:bottom w:val="none" w:sz="0" w:space="0" w:color="auto"/>
        <w:right w:val="none" w:sz="0" w:space="0" w:color="auto"/>
      </w:divBdr>
      <w:divsChild>
        <w:div w:id="1855731931">
          <w:marLeft w:val="0"/>
          <w:marRight w:val="0"/>
          <w:marTop w:val="0"/>
          <w:marBottom w:val="0"/>
          <w:divBdr>
            <w:top w:val="none" w:sz="0" w:space="0" w:color="auto"/>
            <w:left w:val="none" w:sz="0" w:space="0" w:color="auto"/>
            <w:bottom w:val="none" w:sz="0" w:space="0" w:color="auto"/>
            <w:right w:val="none" w:sz="0" w:space="0" w:color="auto"/>
          </w:divBdr>
          <w:divsChild>
            <w:div w:id="869297362">
              <w:marLeft w:val="0"/>
              <w:marRight w:val="0"/>
              <w:marTop w:val="0"/>
              <w:marBottom w:val="0"/>
              <w:divBdr>
                <w:top w:val="none" w:sz="0" w:space="0" w:color="auto"/>
                <w:left w:val="none" w:sz="0" w:space="0" w:color="auto"/>
                <w:bottom w:val="none" w:sz="0" w:space="0" w:color="auto"/>
                <w:right w:val="none" w:sz="0" w:space="0" w:color="auto"/>
              </w:divBdr>
              <w:divsChild>
                <w:div w:id="871502947">
                  <w:marLeft w:val="0"/>
                  <w:marRight w:val="0"/>
                  <w:marTop w:val="0"/>
                  <w:marBottom w:val="0"/>
                  <w:divBdr>
                    <w:top w:val="none" w:sz="0" w:space="0" w:color="auto"/>
                    <w:left w:val="none" w:sz="0" w:space="0" w:color="auto"/>
                    <w:bottom w:val="none" w:sz="0" w:space="0" w:color="auto"/>
                    <w:right w:val="none" w:sz="0" w:space="0" w:color="auto"/>
                  </w:divBdr>
                  <w:divsChild>
                    <w:div w:id="22349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38760058">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1130015">
      <w:bodyDiv w:val="1"/>
      <w:marLeft w:val="0"/>
      <w:marRight w:val="0"/>
      <w:marTop w:val="0"/>
      <w:marBottom w:val="0"/>
      <w:divBdr>
        <w:top w:val="none" w:sz="0" w:space="0" w:color="auto"/>
        <w:left w:val="none" w:sz="0" w:space="0" w:color="auto"/>
        <w:bottom w:val="none" w:sz="0" w:space="0" w:color="auto"/>
        <w:right w:val="none" w:sz="0" w:space="0" w:color="auto"/>
      </w:divBdr>
      <w:divsChild>
        <w:div w:id="29230255">
          <w:marLeft w:val="0"/>
          <w:marRight w:val="0"/>
          <w:marTop w:val="0"/>
          <w:marBottom w:val="0"/>
          <w:divBdr>
            <w:top w:val="none" w:sz="0" w:space="0" w:color="auto"/>
            <w:left w:val="none" w:sz="0" w:space="0" w:color="auto"/>
            <w:bottom w:val="none" w:sz="0" w:space="0" w:color="auto"/>
            <w:right w:val="none" w:sz="0" w:space="0" w:color="auto"/>
          </w:divBdr>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49957860">
      <w:bodyDiv w:val="1"/>
      <w:marLeft w:val="0"/>
      <w:marRight w:val="0"/>
      <w:marTop w:val="0"/>
      <w:marBottom w:val="0"/>
      <w:divBdr>
        <w:top w:val="none" w:sz="0" w:space="0" w:color="auto"/>
        <w:left w:val="none" w:sz="0" w:space="0" w:color="auto"/>
        <w:bottom w:val="none" w:sz="0" w:space="0" w:color="auto"/>
        <w:right w:val="none" w:sz="0" w:space="0" w:color="auto"/>
      </w:divBdr>
    </w:div>
    <w:div w:id="1054432504">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5266405">
      <w:bodyDiv w:val="1"/>
      <w:marLeft w:val="0"/>
      <w:marRight w:val="0"/>
      <w:marTop w:val="0"/>
      <w:marBottom w:val="0"/>
      <w:divBdr>
        <w:top w:val="none" w:sz="0" w:space="0" w:color="auto"/>
        <w:left w:val="none" w:sz="0" w:space="0" w:color="auto"/>
        <w:bottom w:val="none" w:sz="0" w:space="0" w:color="auto"/>
        <w:right w:val="none" w:sz="0" w:space="0" w:color="auto"/>
      </w:divBdr>
      <w:divsChild>
        <w:div w:id="203563606">
          <w:marLeft w:val="0"/>
          <w:marRight w:val="0"/>
          <w:marTop w:val="0"/>
          <w:marBottom w:val="0"/>
          <w:divBdr>
            <w:top w:val="none" w:sz="0" w:space="0" w:color="auto"/>
            <w:left w:val="none" w:sz="0" w:space="0" w:color="auto"/>
            <w:bottom w:val="none" w:sz="0" w:space="0" w:color="auto"/>
            <w:right w:val="none" w:sz="0" w:space="0" w:color="auto"/>
          </w:divBdr>
          <w:divsChild>
            <w:div w:id="1000544668">
              <w:marLeft w:val="0"/>
              <w:marRight w:val="0"/>
              <w:marTop w:val="0"/>
              <w:marBottom w:val="0"/>
              <w:divBdr>
                <w:top w:val="none" w:sz="0" w:space="0" w:color="auto"/>
                <w:left w:val="none" w:sz="0" w:space="0" w:color="auto"/>
                <w:bottom w:val="none" w:sz="0" w:space="0" w:color="auto"/>
                <w:right w:val="none" w:sz="0" w:space="0" w:color="auto"/>
              </w:divBdr>
              <w:divsChild>
                <w:div w:id="211289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8147298">
      <w:bodyDiv w:val="1"/>
      <w:marLeft w:val="0"/>
      <w:marRight w:val="0"/>
      <w:marTop w:val="0"/>
      <w:marBottom w:val="0"/>
      <w:divBdr>
        <w:top w:val="none" w:sz="0" w:space="0" w:color="auto"/>
        <w:left w:val="none" w:sz="0" w:space="0" w:color="auto"/>
        <w:bottom w:val="none" w:sz="0" w:space="0" w:color="auto"/>
        <w:right w:val="none" w:sz="0" w:space="0" w:color="auto"/>
      </w:divBdr>
    </w:div>
    <w:div w:id="1246190647">
      <w:bodyDiv w:val="1"/>
      <w:marLeft w:val="0"/>
      <w:marRight w:val="0"/>
      <w:marTop w:val="0"/>
      <w:marBottom w:val="0"/>
      <w:divBdr>
        <w:top w:val="none" w:sz="0" w:space="0" w:color="auto"/>
        <w:left w:val="none" w:sz="0" w:space="0" w:color="auto"/>
        <w:bottom w:val="none" w:sz="0" w:space="0" w:color="auto"/>
        <w:right w:val="none" w:sz="0" w:space="0" w:color="auto"/>
      </w:divBdr>
    </w:div>
    <w:div w:id="1255170101">
      <w:bodyDiv w:val="1"/>
      <w:marLeft w:val="0"/>
      <w:marRight w:val="0"/>
      <w:marTop w:val="0"/>
      <w:marBottom w:val="0"/>
      <w:divBdr>
        <w:top w:val="none" w:sz="0" w:space="0" w:color="auto"/>
        <w:left w:val="none" w:sz="0" w:space="0" w:color="auto"/>
        <w:bottom w:val="none" w:sz="0" w:space="0" w:color="auto"/>
        <w:right w:val="none" w:sz="0" w:space="0" w:color="auto"/>
      </w:divBdr>
      <w:divsChild>
        <w:div w:id="935164915">
          <w:marLeft w:val="0"/>
          <w:marRight w:val="0"/>
          <w:marTop w:val="0"/>
          <w:marBottom w:val="0"/>
          <w:divBdr>
            <w:top w:val="none" w:sz="0" w:space="0" w:color="auto"/>
            <w:left w:val="none" w:sz="0" w:space="0" w:color="auto"/>
            <w:bottom w:val="none" w:sz="0" w:space="0" w:color="auto"/>
            <w:right w:val="none" w:sz="0" w:space="0" w:color="auto"/>
          </w:divBdr>
          <w:divsChild>
            <w:div w:id="1727803744">
              <w:marLeft w:val="0"/>
              <w:marRight w:val="0"/>
              <w:marTop w:val="0"/>
              <w:marBottom w:val="0"/>
              <w:divBdr>
                <w:top w:val="none" w:sz="0" w:space="0" w:color="auto"/>
                <w:left w:val="none" w:sz="0" w:space="0" w:color="auto"/>
                <w:bottom w:val="none" w:sz="0" w:space="0" w:color="auto"/>
                <w:right w:val="none" w:sz="0" w:space="0" w:color="auto"/>
              </w:divBdr>
              <w:divsChild>
                <w:div w:id="206328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537628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009443">
      <w:bodyDiv w:val="1"/>
      <w:marLeft w:val="0"/>
      <w:marRight w:val="0"/>
      <w:marTop w:val="0"/>
      <w:marBottom w:val="0"/>
      <w:divBdr>
        <w:top w:val="none" w:sz="0" w:space="0" w:color="auto"/>
        <w:left w:val="none" w:sz="0" w:space="0" w:color="auto"/>
        <w:bottom w:val="none" w:sz="0" w:space="0" w:color="auto"/>
        <w:right w:val="none" w:sz="0" w:space="0" w:color="auto"/>
      </w:divBdr>
      <w:divsChild>
        <w:div w:id="529606614">
          <w:marLeft w:val="0"/>
          <w:marRight w:val="0"/>
          <w:marTop w:val="0"/>
          <w:marBottom w:val="0"/>
          <w:divBdr>
            <w:top w:val="none" w:sz="0" w:space="0" w:color="auto"/>
            <w:left w:val="none" w:sz="0" w:space="0" w:color="auto"/>
            <w:bottom w:val="none" w:sz="0" w:space="0" w:color="auto"/>
            <w:right w:val="none" w:sz="0" w:space="0" w:color="auto"/>
          </w:divBdr>
          <w:divsChild>
            <w:div w:id="1904292211">
              <w:marLeft w:val="0"/>
              <w:marRight w:val="0"/>
              <w:marTop w:val="0"/>
              <w:marBottom w:val="0"/>
              <w:divBdr>
                <w:top w:val="none" w:sz="0" w:space="0" w:color="auto"/>
                <w:left w:val="none" w:sz="0" w:space="0" w:color="auto"/>
                <w:bottom w:val="none" w:sz="0" w:space="0" w:color="auto"/>
                <w:right w:val="none" w:sz="0" w:space="0" w:color="auto"/>
              </w:divBdr>
              <w:divsChild>
                <w:div w:id="785540650">
                  <w:marLeft w:val="0"/>
                  <w:marRight w:val="0"/>
                  <w:marTop w:val="0"/>
                  <w:marBottom w:val="0"/>
                  <w:divBdr>
                    <w:top w:val="none" w:sz="0" w:space="0" w:color="auto"/>
                    <w:left w:val="none" w:sz="0" w:space="0" w:color="auto"/>
                    <w:bottom w:val="none" w:sz="0" w:space="0" w:color="auto"/>
                    <w:right w:val="none" w:sz="0" w:space="0" w:color="auto"/>
                  </w:divBdr>
                  <w:divsChild>
                    <w:div w:id="144928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847020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78320843">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29506235">
      <w:bodyDiv w:val="1"/>
      <w:marLeft w:val="0"/>
      <w:marRight w:val="0"/>
      <w:marTop w:val="0"/>
      <w:marBottom w:val="0"/>
      <w:divBdr>
        <w:top w:val="none" w:sz="0" w:space="0" w:color="auto"/>
        <w:left w:val="none" w:sz="0" w:space="0" w:color="auto"/>
        <w:bottom w:val="none" w:sz="0" w:space="0" w:color="auto"/>
        <w:right w:val="none" w:sz="0" w:space="0" w:color="auto"/>
      </w:divBdr>
      <w:divsChild>
        <w:div w:id="1633628713">
          <w:marLeft w:val="0"/>
          <w:marRight w:val="0"/>
          <w:marTop w:val="0"/>
          <w:marBottom w:val="0"/>
          <w:divBdr>
            <w:top w:val="none" w:sz="0" w:space="0" w:color="auto"/>
            <w:left w:val="none" w:sz="0" w:space="0" w:color="auto"/>
            <w:bottom w:val="none" w:sz="0" w:space="0" w:color="auto"/>
            <w:right w:val="none" w:sz="0" w:space="0" w:color="auto"/>
          </w:divBdr>
          <w:divsChild>
            <w:div w:id="1760829705">
              <w:marLeft w:val="0"/>
              <w:marRight w:val="0"/>
              <w:marTop w:val="0"/>
              <w:marBottom w:val="0"/>
              <w:divBdr>
                <w:top w:val="none" w:sz="0" w:space="0" w:color="auto"/>
                <w:left w:val="none" w:sz="0" w:space="0" w:color="auto"/>
                <w:bottom w:val="none" w:sz="0" w:space="0" w:color="auto"/>
                <w:right w:val="none" w:sz="0" w:space="0" w:color="auto"/>
              </w:divBdr>
              <w:divsChild>
                <w:div w:id="154999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87058485">
      <w:bodyDiv w:val="1"/>
      <w:marLeft w:val="0"/>
      <w:marRight w:val="0"/>
      <w:marTop w:val="0"/>
      <w:marBottom w:val="0"/>
      <w:divBdr>
        <w:top w:val="none" w:sz="0" w:space="0" w:color="auto"/>
        <w:left w:val="none" w:sz="0" w:space="0" w:color="auto"/>
        <w:bottom w:val="none" w:sz="0" w:space="0" w:color="auto"/>
        <w:right w:val="none" w:sz="0" w:space="0" w:color="auto"/>
      </w:divBdr>
      <w:divsChild>
        <w:div w:id="2046828689">
          <w:marLeft w:val="0"/>
          <w:marRight w:val="0"/>
          <w:marTop w:val="0"/>
          <w:marBottom w:val="0"/>
          <w:divBdr>
            <w:top w:val="none" w:sz="0" w:space="0" w:color="auto"/>
            <w:left w:val="none" w:sz="0" w:space="0" w:color="auto"/>
            <w:bottom w:val="none" w:sz="0" w:space="0" w:color="auto"/>
            <w:right w:val="none" w:sz="0" w:space="0" w:color="auto"/>
          </w:divBdr>
        </w:div>
      </w:divsChild>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3340090">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9742304">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877358">
      <w:bodyDiv w:val="1"/>
      <w:marLeft w:val="0"/>
      <w:marRight w:val="0"/>
      <w:marTop w:val="0"/>
      <w:marBottom w:val="0"/>
      <w:divBdr>
        <w:top w:val="none" w:sz="0" w:space="0" w:color="auto"/>
        <w:left w:val="none" w:sz="0" w:space="0" w:color="auto"/>
        <w:bottom w:val="none" w:sz="0" w:space="0" w:color="auto"/>
        <w:right w:val="none" w:sz="0" w:space="0" w:color="auto"/>
      </w:divBdr>
      <w:divsChild>
        <w:div w:id="753939402">
          <w:marLeft w:val="0"/>
          <w:marRight w:val="0"/>
          <w:marTop w:val="0"/>
          <w:marBottom w:val="0"/>
          <w:divBdr>
            <w:top w:val="none" w:sz="0" w:space="0" w:color="auto"/>
            <w:left w:val="none" w:sz="0" w:space="0" w:color="auto"/>
            <w:bottom w:val="none" w:sz="0" w:space="0" w:color="auto"/>
            <w:right w:val="none" w:sz="0" w:space="0" w:color="auto"/>
          </w:divBdr>
          <w:divsChild>
            <w:div w:id="2058116227">
              <w:marLeft w:val="0"/>
              <w:marRight w:val="0"/>
              <w:marTop w:val="0"/>
              <w:marBottom w:val="0"/>
              <w:divBdr>
                <w:top w:val="none" w:sz="0" w:space="0" w:color="auto"/>
                <w:left w:val="none" w:sz="0" w:space="0" w:color="auto"/>
                <w:bottom w:val="none" w:sz="0" w:space="0" w:color="auto"/>
                <w:right w:val="none" w:sz="0" w:space="0" w:color="auto"/>
              </w:divBdr>
              <w:divsChild>
                <w:div w:id="134193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0511406">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4997725">
      <w:bodyDiv w:val="1"/>
      <w:marLeft w:val="0"/>
      <w:marRight w:val="0"/>
      <w:marTop w:val="0"/>
      <w:marBottom w:val="0"/>
      <w:divBdr>
        <w:top w:val="none" w:sz="0" w:space="0" w:color="auto"/>
        <w:left w:val="none" w:sz="0" w:space="0" w:color="auto"/>
        <w:bottom w:val="none" w:sz="0" w:space="0" w:color="auto"/>
        <w:right w:val="none" w:sz="0" w:space="0" w:color="auto"/>
      </w:divBdr>
      <w:divsChild>
        <w:div w:id="1748071415">
          <w:marLeft w:val="0"/>
          <w:marRight w:val="0"/>
          <w:marTop w:val="0"/>
          <w:marBottom w:val="0"/>
          <w:divBdr>
            <w:top w:val="none" w:sz="0" w:space="0" w:color="auto"/>
            <w:left w:val="none" w:sz="0" w:space="0" w:color="auto"/>
            <w:bottom w:val="none" w:sz="0" w:space="0" w:color="auto"/>
            <w:right w:val="none" w:sz="0" w:space="0" w:color="auto"/>
          </w:divBdr>
          <w:divsChild>
            <w:div w:id="445195109">
              <w:marLeft w:val="0"/>
              <w:marRight w:val="0"/>
              <w:marTop w:val="0"/>
              <w:marBottom w:val="0"/>
              <w:divBdr>
                <w:top w:val="none" w:sz="0" w:space="0" w:color="auto"/>
                <w:left w:val="none" w:sz="0" w:space="0" w:color="auto"/>
                <w:bottom w:val="none" w:sz="0" w:space="0" w:color="auto"/>
                <w:right w:val="none" w:sz="0" w:space="0" w:color="auto"/>
              </w:divBdr>
              <w:divsChild>
                <w:div w:id="36466643">
                  <w:marLeft w:val="0"/>
                  <w:marRight w:val="0"/>
                  <w:marTop w:val="0"/>
                  <w:marBottom w:val="0"/>
                  <w:divBdr>
                    <w:top w:val="none" w:sz="0" w:space="0" w:color="auto"/>
                    <w:left w:val="none" w:sz="0" w:space="0" w:color="auto"/>
                    <w:bottom w:val="none" w:sz="0" w:space="0" w:color="auto"/>
                    <w:right w:val="none" w:sz="0" w:space="0" w:color="auto"/>
                  </w:divBdr>
                  <w:divsChild>
                    <w:div w:id="63564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02630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99186666">
      <w:bodyDiv w:val="1"/>
      <w:marLeft w:val="0"/>
      <w:marRight w:val="0"/>
      <w:marTop w:val="0"/>
      <w:marBottom w:val="0"/>
      <w:divBdr>
        <w:top w:val="none" w:sz="0" w:space="0" w:color="auto"/>
        <w:left w:val="none" w:sz="0" w:space="0" w:color="auto"/>
        <w:bottom w:val="none" w:sz="0" w:space="0" w:color="auto"/>
        <w:right w:val="none" w:sz="0" w:space="0" w:color="auto"/>
      </w:divBdr>
      <w:divsChild>
        <w:div w:id="1880896355">
          <w:marLeft w:val="0"/>
          <w:marRight w:val="0"/>
          <w:marTop w:val="0"/>
          <w:marBottom w:val="0"/>
          <w:divBdr>
            <w:top w:val="none" w:sz="0" w:space="0" w:color="auto"/>
            <w:left w:val="none" w:sz="0" w:space="0" w:color="auto"/>
            <w:bottom w:val="none" w:sz="0" w:space="0" w:color="auto"/>
            <w:right w:val="none" w:sz="0" w:space="0" w:color="auto"/>
          </w:divBdr>
          <w:divsChild>
            <w:div w:id="1246961465">
              <w:marLeft w:val="0"/>
              <w:marRight w:val="0"/>
              <w:marTop w:val="0"/>
              <w:marBottom w:val="0"/>
              <w:divBdr>
                <w:top w:val="none" w:sz="0" w:space="0" w:color="auto"/>
                <w:left w:val="none" w:sz="0" w:space="0" w:color="auto"/>
                <w:bottom w:val="none" w:sz="0" w:space="0" w:color="auto"/>
                <w:right w:val="none" w:sz="0" w:space="0" w:color="auto"/>
              </w:divBdr>
              <w:divsChild>
                <w:div w:id="96254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641560">
      <w:bodyDiv w:val="1"/>
      <w:marLeft w:val="0"/>
      <w:marRight w:val="0"/>
      <w:marTop w:val="0"/>
      <w:marBottom w:val="0"/>
      <w:divBdr>
        <w:top w:val="none" w:sz="0" w:space="0" w:color="auto"/>
        <w:left w:val="none" w:sz="0" w:space="0" w:color="auto"/>
        <w:bottom w:val="none" w:sz="0" w:space="0" w:color="auto"/>
        <w:right w:val="none" w:sz="0" w:space="0" w:color="auto"/>
      </w:divBdr>
      <w:divsChild>
        <w:div w:id="1477189057">
          <w:marLeft w:val="0"/>
          <w:marRight w:val="0"/>
          <w:marTop w:val="0"/>
          <w:marBottom w:val="0"/>
          <w:divBdr>
            <w:top w:val="none" w:sz="0" w:space="0" w:color="auto"/>
            <w:left w:val="none" w:sz="0" w:space="0" w:color="auto"/>
            <w:bottom w:val="none" w:sz="0" w:space="0" w:color="auto"/>
            <w:right w:val="none" w:sz="0" w:space="0" w:color="auto"/>
          </w:divBdr>
          <w:divsChild>
            <w:div w:id="1980272">
              <w:marLeft w:val="0"/>
              <w:marRight w:val="0"/>
              <w:marTop w:val="0"/>
              <w:marBottom w:val="0"/>
              <w:divBdr>
                <w:top w:val="none" w:sz="0" w:space="0" w:color="auto"/>
                <w:left w:val="none" w:sz="0" w:space="0" w:color="auto"/>
                <w:bottom w:val="none" w:sz="0" w:space="0" w:color="auto"/>
                <w:right w:val="none" w:sz="0" w:space="0" w:color="auto"/>
              </w:divBdr>
              <w:divsChild>
                <w:div w:id="210865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18384881">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 w:id="2140605020">
      <w:bodyDiv w:val="1"/>
      <w:marLeft w:val="0"/>
      <w:marRight w:val="0"/>
      <w:marTop w:val="0"/>
      <w:marBottom w:val="0"/>
      <w:divBdr>
        <w:top w:val="none" w:sz="0" w:space="0" w:color="auto"/>
        <w:left w:val="none" w:sz="0" w:space="0" w:color="auto"/>
        <w:bottom w:val="none" w:sz="0" w:space="0" w:color="auto"/>
        <w:right w:val="none" w:sz="0" w:space="0" w:color="auto"/>
      </w:divBdr>
    </w:div>
    <w:div w:id="2141725132">
      <w:bodyDiv w:val="1"/>
      <w:marLeft w:val="0"/>
      <w:marRight w:val="0"/>
      <w:marTop w:val="0"/>
      <w:marBottom w:val="0"/>
      <w:divBdr>
        <w:top w:val="none" w:sz="0" w:space="0" w:color="auto"/>
        <w:left w:val="none" w:sz="0" w:space="0" w:color="auto"/>
        <w:bottom w:val="none" w:sz="0" w:space="0" w:color="auto"/>
        <w:right w:val="none" w:sz="0" w:space="0" w:color="auto"/>
      </w:divBdr>
      <w:divsChild>
        <w:div w:id="294070725">
          <w:marLeft w:val="0"/>
          <w:marRight w:val="0"/>
          <w:marTop w:val="0"/>
          <w:marBottom w:val="0"/>
          <w:divBdr>
            <w:top w:val="none" w:sz="0" w:space="0" w:color="auto"/>
            <w:left w:val="none" w:sz="0" w:space="0" w:color="auto"/>
            <w:bottom w:val="none" w:sz="0" w:space="0" w:color="auto"/>
            <w:right w:val="none" w:sz="0" w:space="0" w:color="auto"/>
          </w:divBdr>
          <w:divsChild>
            <w:div w:id="777722699">
              <w:marLeft w:val="0"/>
              <w:marRight w:val="0"/>
              <w:marTop w:val="0"/>
              <w:marBottom w:val="0"/>
              <w:divBdr>
                <w:top w:val="none" w:sz="0" w:space="0" w:color="auto"/>
                <w:left w:val="none" w:sz="0" w:space="0" w:color="auto"/>
                <w:bottom w:val="none" w:sz="0" w:space="0" w:color="auto"/>
                <w:right w:val="none" w:sz="0" w:space="0" w:color="auto"/>
              </w:divBdr>
              <w:divsChild>
                <w:div w:id="206047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192874">
      <w:bodyDiv w:val="1"/>
      <w:marLeft w:val="0"/>
      <w:marRight w:val="0"/>
      <w:marTop w:val="0"/>
      <w:marBottom w:val="0"/>
      <w:divBdr>
        <w:top w:val="none" w:sz="0" w:space="0" w:color="auto"/>
        <w:left w:val="none" w:sz="0" w:space="0" w:color="auto"/>
        <w:bottom w:val="none" w:sz="0" w:space="0" w:color="auto"/>
        <w:right w:val="none" w:sz="0" w:space="0" w:color="auto"/>
      </w:divBdr>
      <w:divsChild>
        <w:div w:id="831994217">
          <w:marLeft w:val="0"/>
          <w:marRight w:val="0"/>
          <w:marTop w:val="0"/>
          <w:marBottom w:val="0"/>
          <w:divBdr>
            <w:top w:val="none" w:sz="0" w:space="0" w:color="auto"/>
            <w:left w:val="none" w:sz="0" w:space="0" w:color="auto"/>
            <w:bottom w:val="none" w:sz="0" w:space="0" w:color="auto"/>
            <w:right w:val="none" w:sz="0" w:space="0" w:color="auto"/>
          </w:divBdr>
          <w:divsChild>
            <w:div w:id="247428045">
              <w:marLeft w:val="0"/>
              <w:marRight w:val="0"/>
              <w:marTop w:val="0"/>
              <w:marBottom w:val="0"/>
              <w:divBdr>
                <w:top w:val="none" w:sz="0" w:space="0" w:color="auto"/>
                <w:left w:val="none" w:sz="0" w:space="0" w:color="auto"/>
                <w:bottom w:val="none" w:sz="0" w:space="0" w:color="auto"/>
                <w:right w:val="none" w:sz="0" w:space="0" w:color="auto"/>
              </w:divBdr>
              <w:divsChild>
                <w:div w:id="18430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0080_1993.html" TargetMode="External"/><Relationship Id="rId18" Type="http://schemas.openxmlformats.org/officeDocument/2006/relationships/hyperlink" Target="http://www.secretariasenado.gov.co/senado/basedoc/decreto_1333_1986_pr008.html" TargetMode="Externa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http://www.secretariasenado.gov.co/senado/basedoc/decreto_1333_1986_pr008.html" TargetMode="External"/><Relationship Id="rId17" Type="http://schemas.openxmlformats.org/officeDocument/2006/relationships/hyperlink" Target="http://www.secretariasenado.gov.co/senado/basedoc/ley_1955_2019_pr005.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ecretariasenado.gov.co/senado/basedoc/ley_1955_2019_pr005.html" TargetMode="External"/><Relationship Id="rId20" Type="http://schemas.openxmlformats.org/officeDocument/2006/relationships/hyperlink" Target="http://www.secretariasenado.gov.co/senado/basedoc/ley_0080_1993.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cretariasenado.gov.co/senado/basedoc/decreto_1333_1986_pr008.html"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secretariasenado.gov.co/senado/basedoc/ley_0136_1994_pr002.html"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secretariasenado.gov.co/senado/basedoc/decreto_1333_1986_pr008.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camara.gov.co/juntas-de-accion-comunal" TargetMode="External"/><Relationship Id="rId1" Type="http://schemas.openxmlformats.org/officeDocument/2006/relationships/hyperlink" Target="https://dapre.presidencia.gov.co/normativa/ley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93785CEF-26BD-498A-BD84-5F79878AFE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32</Pages>
  <Words>12698</Words>
  <Characters>69840</Characters>
  <Application>Microsoft Office Word</Application>
  <DocSecurity>0</DocSecurity>
  <Lines>582</Lines>
  <Paragraphs>164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82374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MARIA CLAUDIA DE LA OSSA BOBADILLA</cp:lastModifiedBy>
  <cp:revision>2</cp:revision>
  <cp:lastPrinted>2020-01-30T15:05:00Z</cp:lastPrinted>
  <dcterms:created xsi:type="dcterms:W3CDTF">2022-10-11T13:17:00Z</dcterms:created>
  <dcterms:modified xsi:type="dcterms:W3CDTF">2022-10-11T13:17:00Z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