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5D27B" w14:textId="77777777" w:rsidR="003675AB" w:rsidRPr="00EB0513" w:rsidRDefault="003675AB" w:rsidP="003675AB">
      <w:pPr>
        <w:spacing w:after="0" w:line="276" w:lineRule="auto"/>
        <w:jc w:val="both"/>
        <w:rPr>
          <w:rFonts w:ascii="Century Gothic" w:eastAsia="Calibri" w:hAnsi="Century Gothic" w:cs="Arial"/>
          <w:b/>
          <w:bCs/>
          <w:color w:val="000000" w:themeColor="text1"/>
          <w:lang w:val="es-ES" w:eastAsia="es-ES"/>
        </w:rPr>
      </w:pPr>
      <w:r w:rsidRPr="00EB0513">
        <w:rPr>
          <w:rFonts w:ascii="Century Gothic" w:eastAsia="Calibri" w:hAnsi="Century Gothic" w:cs="Arial"/>
          <w:b/>
          <w:bCs/>
          <w:color w:val="000000" w:themeColor="text1"/>
          <w:lang w:val="es-ES" w:eastAsia="es-ES"/>
        </w:rPr>
        <w:t>REQUISITOS HABILITANTES – Capacidad financiera – Autonomía</w:t>
      </w:r>
    </w:p>
    <w:p w14:paraId="77F8B164" w14:textId="77777777" w:rsidR="003675AB" w:rsidRPr="00EB0513" w:rsidRDefault="003675AB" w:rsidP="003675AB">
      <w:pPr>
        <w:spacing w:after="0" w:line="276" w:lineRule="auto"/>
        <w:jc w:val="both"/>
        <w:rPr>
          <w:rFonts w:ascii="Century Gothic" w:eastAsia="Calibri" w:hAnsi="Century Gothic" w:cs="Arial"/>
          <w:color w:val="000000" w:themeColor="text1"/>
          <w:lang w:val="es-ES" w:eastAsia="es-ES"/>
        </w:rPr>
      </w:pPr>
    </w:p>
    <w:p w14:paraId="1ABA3B26" w14:textId="77777777" w:rsidR="003675AB" w:rsidRPr="00EB0513" w:rsidRDefault="003675AB" w:rsidP="003675AB">
      <w:pPr>
        <w:spacing w:after="0" w:line="240" w:lineRule="auto"/>
        <w:jc w:val="both"/>
        <w:rPr>
          <w:rFonts w:ascii="Century Gothic" w:eastAsia="Calibri" w:hAnsi="Century Gothic" w:cs="Arial"/>
          <w:color w:val="000000" w:themeColor="text1"/>
          <w:lang w:val="es-ES" w:eastAsia="es-ES"/>
        </w:rPr>
      </w:pPr>
      <w:r w:rsidRPr="00EB0513">
        <w:rPr>
          <w:rFonts w:ascii="Century Gothic" w:eastAsia="Calibri" w:hAnsi="Century Gothic" w:cs="Arial"/>
          <w:color w:val="000000" w:themeColor="text1"/>
          <w:lang w:val="es-ES" w:eastAsia="es-ES"/>
        </w:rPr>
        <w:t>Los requisitos habilitantes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p w14:paraId="28BE3FE0" w14:textId="77777777" w:rsidR="003675AB" w:rsidRPr="00EB0513" w:rsidRDefault="003675AB" w:rsidP="003675AB">
      <w:pPr>
        <w:spacing w:after="0" w:line="240" w:lineRule="auto"/>
        <w:jc w:val="both"/>
        <w:rPr>
          <w:rFonts w:ascii="Century Gothic" w:eastAsia="Calibri" w:hAnsi="Century Gothic" w:cs="Arial"/>
          <w:color w:val="000000" w:themeColor="text1"/>
          <w:lang w:val="es-ES" w:eastAsia="es-ES"/>
        </w:rPr>
      </w:pPr>
    </w:p>
    <w:p w14:paraId="757BD0FB" w14:textId="77777777" w:rsidR="003675AB" w:rsidRPr="00EB0513" w:rsidRDefault="003675AB" w:rsidP="003675AB">
      <w:pPr>
        <w:spacing w:after="0" w:line="240" w:lineRule="auto"/>
        <w:jc w:val="both"/>
        <w:rPr>
          <w:rFonts w:ascii="Century Gothic" w:eastAsia="Calibri" w:hAnsi="Century Gothic" w:cs="Arial"/>
          <w:color w:val="000000" w:themeColor="text1"/>
          <w:lang w:val="es-ES" w:eastAsia="es-ES"/>
        </w:rPr>
      </w:pPr>
      <w:r w:rsidRPr="00EB0513">
        <w:rPr>
          <w:rFonts w:ascii="Century Gothic" w:eastAsia="Calibri" w:hAnsi="Century Gothic" w:cs="Arial"/>
          <w:color w:val="000000" w:themeColor="text1"/>
          <w:lang w:val="es-ES" w:eastAsia="es-ES"/>
        </w:rPr>
        <w:t>[…]</w:t>
      </w:r>
    </w:p>
    <w:p w14:paraId="51602988" w14:textId="77777777" w:rsidR="003675AB" w:rsidRPr="00EB0513" w:rsidRDefault="003675AB" w:rsidP="003675AB">
      <w:pPr>
        <w:spacing w:after="0" w:line="240" w:lineRule="auto"/>
        <w:jc w:val="both"/>
        <w:rPr>
          <w:rFonts w:ascii="Century Gothic" w:eastAsia="Calibri" w:hAnsi="Century Gothic" w:cs="Arial"/>
          <w:color w:val="000000" w:themeColor="text1"/>
          <w:lang w:val="es-ES" w:eastAsia="es-ES"/>
        </w:rPr>
      </w:pPr>
    </w:p>
    <w:p w14:paraId="2A0D2585" w14:textId="77777777" w:rsidR="003675AB" w:rsidRPr="00EB0513" w:rsidRDefault="003675AB" w:rsidP="003675AB">
      <w:pPr>
        <w:spacing w:after="0" w:line="240" w:lineRule="auto"/>
        <w:jc w:val="both"/>
        <w:rPr>
          <w:rFonts w:ascii="Century Gothic" w:eastAsia="Calibri" w:hAnsi="Century Gothic" w:cs="Arial"/>
          <w:color w:val="000000" w:themeColor="text1"/>
          <w:lang w:val="es-ES" w:eastAsia="es-ES"/>
        </w:rPr>
      </w:pPr>
      <w:r w:rsidRPr="00EB0513">
        <w:rPr>
          <w:rFonts w:ascii="Century Gothic" w:eastAsia="Calibri" w:hAnsi="Century Gothic" w:cs="Arial"/>
          <w:color w:val="000000" w:themeColor="text1"/>
          <w:lang w:val="es-ES" w:eastAsia="es-ES"/>
        </w:rPr>
        <w:t xml:space="preserve">Ahora bien, dentro de los requisitos habilitantes se destaca la capacidad financiera, la cual se deriva del comportamiento contable de la empresa, su liquidez y endeudamiento, para determinar que sus recursos y solidez financiera le permita cumplir los compromisos que adquiera. Como explica esta Agencia en el Manual para determinar y verificar los requisitos habilitantes en los procesos de contratación: </w:t>
      </w:r>
      <w:r w:rsidRPr="00EB0513">
        <w:rPr>
          <w:rFonts w:ascii="Century Gothic" w:eastAsia="Calibri" w:hAnsi="Century Gothic" w:cs="Arial"/>
          <w:i/>
          <w:iCs/>
          <w:color w:val="000000" w:themeColor="text1"/>
          <w:lang w:val="es-ES" w:eastAsia="es-ES"/>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EB0513">
        <w:rPr>
          <w:rFonts w:ascii="Century Gothic" w:eastAsia="Calibri" w:hAnsi="Century Gothic" w:cs="Arial"/>
          <w:color w:val="000000" w:themeColor="text1"/>
          <w:lang w:val="es-ES" w:eastAsia="es-ES"/>
        </w:rPr>
        <w:t>”. 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sector y sus componentes como la identificación de riesgos, el mercado y precio del bien, obra o servicio a contratar.</w:t>
      </w:r>
    </w:p>
    <w:p w14:paraId="55652E5D" w14:textId="77777777" w:rsidR="003675AB" w:rsidRPr="00F91A42" w:rsidRDefault="003675AB" w:rsidP="003675AB">
      <w:pPr>
        <w:spacing w:after="0" w:line="240" w:lineRule="auto"/>
        <w:jc w:val="both"/>
        <w:rPr>
          <w:rFonts w:ascii="Arial" w:eastAsia="Calibri" w:hAnsi="Arial" w:cs="Arial"/>
          <w:lang w:val="es-MX"/>
        </w:rPr>
      </w:pPr>
    </w:p>
    <w:p w14:paraId="2A9FF7FE" w14:textId="77777777" w:rsidR="00FB05D1" w:rsidRPr="00874839" w:rsidRDefault="00FB05D1">
      <w:pPr>
        <w:rPr>
          <w:rFonts w:ascii="Century Gothic" w:eastAsia="Calibri" w:hAnsi="Century Gothic" w:cs="Arial"/>
          <w:color w:val="000000" w:themeColor="text1"/>
          <w:lang w:val="es-ES" w:eastAsia="es-ES"/>
        </w:rPr>
      </w:pPr>
      <w:r w:rsidRPr="00874839">
        <w:rPr>
          <w:rFonts w:ascii="Century Gothic" w:eastAsia="Calibri" w:hAnsi="Century Gothic" w:cs="Arial"/>
          <w:color w:val="000000" w:themeColor="text1"/>
          <w:lang w:val="es-ES" w:eastAsia="es-ES"/>
        </w:rPr>
        <w:br w:type="page"/>
      </w:r>
    </w:p>
    <w:p w14:paraId="6700D6DA" w14:textId="5A091CBA" w:rsidR="00871B59" w:rsidRPr="00F919E7" w:rsidRDefault="00871B59" w:rsidP="00871B59">
      <w:pPr>
        <w:spacing w:after="0" w:line="240" w:lineRule="auto"/>
        <w:rPr>
          <w:rFonts w:ascii="Century Gothic" w:eastAsia="Geomanist Light" w:hAnsi="Century Gothic" w:cs="Arial"/>
          <w:color w:val="201F1E"/>
          <w:lang w:val="es-MX"/>
        </w:rPr>
      </w:pPr>
      <w:r w:rsidRPr="00F919E7">
        <w:rPr>
          <w:rFonts w:ascii="Century Gothic" w:eastAsia="Geomanist Light" w:hAnsi="Century Gothic" w:cs="Arial"/>
          <w:color w:val="000000" w:themeColor="text1"/>
          <w:lang w:val="es-MX"/>
        </w:rPr>
        <w:lastRenderedPageBreak/>
        <w:t>Bogotá D.C., </w:t>
      </w:r>
      <w:r w:rsidRPr="00F919E7">
        <w:rPr>
          <w:rFonts w:ascii="Century Gothic" w:eastAsia="Geomanist Light" w:hAnsi="Century Gothic" w:cs="Arial"/>
          <w:color w:val="201F1E"/>
          <w:lang w:val="es-MX"/>
        </w:rPr>
        <w:t>[Día] de [</w:t>
      </w:r>
      <w:proofErr w:type="spellStart"/>
      <w:r w:rsidRPr="00F919E7">
        <w:rPr>
          <w:rFonts w:ascii="Century Gothic" w:eastAsia="Geomanist Light" w:hAnsi="Century Gothic" w:cs="Arial"/>
          <w:color w:val="201F1E"/>
          <w:lang w:val="es-MX"/>
        </w:rPr>
        <w:t>Mes.NombreCapitalizado</w:t>
      </w:r>
      <w:proofErr w:type="spellEnd"/>
      <w:r w:rsidRPr="00F919E7">
        <w:rPr>
          <w:rFonts w:ascii="Century Gothic" w:eastAsia="Geomanist Light" w:hAnsi="Century Gothic" w:cs="Arial"/>
          <w:color w:val="201F1E"/>
          <w:lang w:val="es-MX"/>
        </w:rPr>
        <w:t>] de [Año]</w:t>
      </w:r>
    </w:p>
    <w:p w14:paraId="263F56BE" w14:textId="77777777" w:rsidR="00871B59" w:rsidRPr="00F919E7" w:rsidRDefault="00871B59" w:rsidP="00871B59">
      <w:pPr>
        <w:spacing w:after="0" w:line="240" w:lineRule="auto"/>
        <w:jc w:val="both"/>
        <w:rPr>
          <w:rFonts w:ascii="Century Gothic" w:eastAsia="Calibri" w:hAnsi="Century Gothic" w:cs="Arial"/>
          <w:color w:val="000000"/>
          <w:lang w:val="es-ES"/>
        </w:rPr>
      </w:pPr>
    </w:p>
    <w:p w14:paraId="66EF7FED" w14:textId="276B0534" w:rsidR="00871B59" w:rsidRPr="00FB05D1" w:rsidRDefault="00871B59" w:rsidP="00871B59">
      <w:pPr>
        <w:spacing w:after="0" w:line="240" w:lineRule="auto"/>
        <w:jc w:val="both"/>
        <w:rPr>
          <w:rFonts w:ascii="Century Gothic" w:eastAsia="Calibri" w:hAnsi="Century Gothic" w:cs="Arial"/>
          <w:bCs/>
          <w:lang w:val="en-US" w:eastAsia="es-ES_tradnl"/>
        </w:rPr>
      </w:pPr>
      <w:r w:rsidRPr="00FB05D1">
        <w:rPr>
          <w:rFonts w:ascii="Century Gothic" w:eastAsia="Calibri" w:hAnsi="Century Gothic" w:cs="Arial"/>
          <w:bCs/>
          <w:lang w:val="en-US" w:eastAsia="es-ES_tradnl"/>
        </w:rPr>
        <w:t>Señor</w:t>
      </w:r>
      <w:r w:rsidR="003675AB">
        <w:rPr>
          <w:rFonts w:ascii="Century Gothic" w:eastAsia="Calibri" w:hAnsi="Century Gothic" w:cs="Arial"/>
          <w:bCs/>
          <w:lang w:val="en-US" w:eastAsia="es-ES_tradnl"/>
        </w:rPr>
        <w:t>a</w:t>
      </w:r>
    </w:p>
    <w:p w14:paraId="313FC98C" w14:textId="77777777" w:rsidR="003675AB" w:rsidRDefault="003675AB" w:rsidP="00871B59">
      <w:pPr>
        <w:spacing w:after="0" w:line="240" w:lineRule="auto"/>
        <w:rPr>
          <w:rFonts w:ascii="Century Gothic" w:eastAsia="Calibri" w:hAnsi="Century Gothic" w:cs="Arial"/>
          <w:b/>
          <w:lang w:eastAsia="es-ES_tradnl"/>
        </w:rPr>
      </w:pPr>
      <w:r w:rsidRPr="003675AB">
        <w:rPr>
          <w:rFonts w:ascii="Century Gothic" w:eastAsia="Calibri" w:hAnsi="Century Gothic" w:cs="Arial"/>
          <w:b/>
          <w:lang w:eastAsia="es-ES_tradnl"/>
        </w:rPr>
        <w:t xml:space="preserve">SANDRA PATRICIA VALENCIA PINZON </w:t>
      </w:r>
    </w:p>
    <w:p w14:paraId="42968F0B" w14:textId="4089D5D1" w:rsidR="00FB05D1" w:rsidRPr="003675AB" w:rsidRDefault="00000000" w:rsidP="00871B59">
      <w:pPr>
        <w:spacing w:after="0" w:line="240" w:lineRule="auto"/>
        <w:rPr>
          <w:rFonts w:ascii="Century Gothic" w:eastAsia="Calibri" w:hAnsi="Century Gothic" w:cs="Arial"/>
          <w:bCs/>
          <w:u w:val="single"/>
          <w:lang w:eastAsia="es-ES_tradnl"/>
        </w:rPr>
      </w:pPr>
      <w:hyperlink r:id="rId11" w:history="1">
        <w:r w:rsidR="003675AB" w:rsidRPr="00D54386">
          <w:rPr>
            <w:rStyle w:val="Hipervnculo"/>
            <w:rFonts w:ascii="Century Gothic" w:eastAsia="Calibri" w:hAnsi="Century Gothic" w:cs="Arial"/>
            <w:bCs/>
            <w:lang w:eastAsia="es-ES_tradnl"/>
          </w:rPr>
          <w:t>patricia.valencia@correo.policia.gov.co</w:t>
        </w:r>
      </w:hyperlink>
    </w:p>
    <w:p w14:paraId="5ACFEA17" w14:textId="6DBBDC4B" w:rsidR="00871B59" w:rsidRPr="00F919E7" w:rsidRDefault="003675AB" w:rsidP="00871B59">
      <w:pPr>
        <w:spacing w:after="0" w:line="240" w:lineRule="auto"/>
        <w:rPr>
          <w:rFonts w:ascii="Century Gothic" w:eastAsia="Calibri" w:hAnsi="Century Gothic" w:cs="Arial"/>
          <w:bCs/>
          <w:lang w:val="es-MX" w:eastAsia="es-ES_tradnl"/>
        </w:rPr>
      </w:pPr>
      <w:r>
        <w:rPr>
          <w:rFonts w:ascii="Century Gothic" w:eastAsia="Calibri" w:hAnsi="Century Gothic" w:cs="Arial"/>
          <w:bCs/>
          <w:lang w:val="es-MX" w:eastAsia="es-ES_tradnl"/>
        </w:rPr>
        <w:t xml:space="preserve">Bogotá D.C. </w:t>
      </w:r>
    </w:p>
    <w:p w14:paraId="75545CBA" w14:textId="77777777" w:rsidR="00871B59" w:rsidRPr="00F919E7" w:rsidRDefault="00871B59" w:rsidP="00871B59">
      <w:pPr>
        <w:spacing w:after="0" w:line="240" w:lineRule="auto"/>
        <w:rPr>
          <w:rFonts w:ascii="Century Gothic" w:eastAsia="Calibri" w:hAnsi="Century Gothic" w:cs="Arial"/>
          <w:b/>
          <w:bCs/>
          <w:color w:val="000000"/>
          <w:lang w:val="es-ES_tradnl" w:eastAsia="es-ES_tradnl"/>
        </w:rPr>
      </w:pPr>
    </w:p>
    <w:p w14:paraId="40764CBF" w14:textId="3F07EF95" w:rsidR="00871B59" w:rsidRPr="00F919E7" w:rsidRDefault="001B275C" w:rsidP="001B275C">
      <w:pPr>
        <w:spacing w:after="0" w:line="240" w:lineRule="auto"/>
        <w:jc w:val="right"/>
        <w:rPr>
          <w:rFonts w:ascii="Century Gothic" w:eastAsia="Calibri" w:hAnsi="Century Gothic" w:cs="Arial"/>
          <w:b/>
          <w:bCs/>
          <w:color w:val="000000"/>
          <w:lang w:val="es-ES_tradnl" w:eastAsia="es-ES_tradnl"/>
        </w:rPr>
      </w:pPr>
      <w:r w:rsidRPr="001B275C">
        <w:rPr>
          <w:rFonts w:ascii="Century Gothic" w:eastAsia="Calibri" w:hAnsi="Century Gothic" w:cs="Arial"/>
          <w:b/>
          <w:bCs/>
          <w:noProof/>
          <w:color w:val="000000"/>
          <w:lang w:val="es-ES_tradnl" w:eastAsia="es-ES_tradnl"/>
        </w:rPr>
        <w:drawing>
          <wp:inline distT="0" distB="0" distL="0" distR="0" wp14:anchorId="2E7EF355" wp14:editId="5749D34D">
            <wp:extent cx="3482642" cy="990686"/>
            <wp:effectExtent l="0" t="0" r="3810" b="0"/>
            <wp:docPr id="16319301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30101" name=""/>
                    <pic:cNvPicPr/>
                  </pic:nvPicPr>
                  <pic:blipFill>
                    <a:blip r:embed="rId12"/>
                    <a:stretch>
                      <a:fillRect/>
                    </a:stretch>
                  </pic:blipFill>
                  <pic:spPr>
                    <a:xfrm>
                      <a:off x="0" y="0"/>
                      <a:ext cx="3482642" cy="990686"/>
                    </a:xfrm>
                    <a:prstGeom prst="rect">
                      <a:avLst/>
                    </a:prstGeom>
                  </pic:spPr>
                </pic:pic>
              </a:graphicData>
            </a:graphic>
          </wp:inline>
        </w:drawing>
      </w: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871B59" w:rsidRPr="00F919E7" w14:paraId="6AC1791A" w14:textId="77777777" w:rsidTr="005A1C97">
        <w:trPr>
          <w:trHeight w:val="884"/>
        </w:trPr>
        <w:tc>
          <w:tcPr>
            <w:tcW w:w="2689" w:type="dxa"/>
          </w:tcPr>
          <w:p w14:paraId="156B1AEC" w14:textId="77777777" w:rsidR="00871B59" w:rsidRPr="00F919E7" w:rsidRDefault="00871B59" w:rsidP="002607A7">
            <w:pPr>
              <w:jc w:val="both"/>
              <w:rPr>
                <w:rFonts w:ascii="Century Gothic" w:eastAsia="Calibri" w:hAnsi="Century Gothic" w:cs="Arial"/>
                <w:b/>
                <w:bCs/>
                <w:color w:val="7030A0"/>
                <w:lang w:val="es-ES_tradnl" w:eastAsia="es-ES_tradnl"/>
              </w:rPr>
            </w:pPr>
          </w:p>
        </w:tc>
        <w:tc>
          <w:tcPr>
            <w:tcW w:w="6242" w:type="dxa"/>
          </w:tcPr>
          <w:p w14:paraId="48F499EA" w14:textId="6DCF31B7" w:rsidR="00871B59" w:rsidRPr="003675AB" w:rsidRDefault="00871B59" w:rsidP="002607A7">
            <w:pPr>
              <w:jc w:val="both"/>
              <w:rPr>
                <w:rFonts w:ascii="Century Gothic" w:eastAsia="Calibri" w:hAnsi="Century Gothic" w:cs="Arial"/>
                <w:b/>
                <w:lang w:val="es-MX" w:eastAsia="es-ES_tradnl"/>
              </w:rPr>
            </w:pPr>
            <w:r w:rsidRPr="003675AB">
              <w:rPr>
                <w:rFonts w:ascii="Century Gothic" w:eastAsia="Calibri" w:hAnsi="Century Gothic" w:cs="Arial"/>
                <w:b/>
                <w:lang w:val="es-MX" w:eastAsia="es-ES_tradnl"/>
              </w:rPr>
              <w:t xml:space="preserve">Concepto C- </w:t>
            </w:r>
            <w:r w:rsidR="00FB05D1" w:rsidRPr="003675AB">
              <w:rPr>
                <w:rFonts w:ascii="Century Gothic" w:eastAsia="Calibri" w:hAnsi="Century Gothic" w:cs="Arial"/>
                <w:b/>
                <w:lang w:val="es-MX" w:eastAsia="es-ES_tradnl"/>
              </w:rPr>
              <w:t>3</w:t>
            </w:r>
            <w:r w:rsidR="003675AB" w:rsidRPr="003675AB">
              <w:rPr>
                <w:rFonts w:ascii="Century Gothic" w:eastAsia="Calibri" w:hAnsi="Century Gothic" w:cs="Arial"/>
                <w:b/>
                <w:lang w:val="es-MX" w:eastAsia="es-ES_tradnl"/>
              </w:rPr>
              <w:t>34</w:t>
            </w:r>
            <w:r w:rsidRPr="003675AB">
              <w:rPr>
                <w:rFonts w:ascii="Century Gothic" w:eastAsia="Calibri" w:hAnsi="Century Gothic" w:cs="Arial"/>
                <w:b/>
                <w:lang w:val="es-MX" w:eastAsia="es-ES_tradnl"/>
              </w:rPr>
              <w:t xml:space="preserve"> de 2024</w:t>
            </w:r>
          </w:p>
        </w:tc>
      </w:tr>
      <w:tr w:rsidR="00916160" w:rsidRPr="00F919E7" w14:paraId="0DD246A7" w14:textId="77777777" w:rsidTr="005A1C97">
        <w:trPr>
          <w:trHeight w:val="884"/>
        </w:trPr>
        <w:tc>
          <w:tcPr>
            <w:tcW w:w="2689" w:type="dxa"/>
          </w:tcPr>
          <w:p w14:paraId="1B4FC525" w14:textId="77777777"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Temas:                   </w:t>
            </w:r>
          </w:p>
        </w:tc>
        <w:tc>
          <w:tcPr>
            <w:tcW w:w="6242" w:type="dxa"/>
          </w:tcPr>
          <w:p w14:paraId="02FAA359" w14:textId="2201A32F" w:rsidR="00685FFD" w:rsidRPr="003675AB" w:rsidRDefault="003675AB" w:rsidP="00916160">
            <w:pPr>
              <w:spacing w:line="276" w:lineRule="auto"/>
              <w:jc w:val="both"/>
              <w:rPr>
                <w:rFonts w:ascii="Century Gothic" w:eastAsia="Calibri" w:hAnsi="Century Gothic" w:cs="Arial"/>
                <w:bCs/>
                <w:lang w:val="es-MX" w:eastAsia="es-ES_tradnl"/>
              </w:rPr>
            </w:pPr>
            <w:r w:rsidRPr="003675AB">
              <w:rPr>
                <w:rFonts w:ascii="Century Gothic" w:eastAsia="Calibri" w:hAnsi="Century Gothic" w:cs="Arial"/>
                <w:bCs/>
                <w:lang w:val="es-MX" w:eastAsia="es-ES_tradnl"/>
              </w:rPr>
              <w:t xml:space="preserve">REQUISITOS HABILITANTES – Capacidad financiera – Autonomía / CAPACIDAD FINANCIERA – Acreditación </w:t>
            </w:r>
            <w:r w:rsidR="00FB05D1" w:rsidRPr="003675AB">
              <w:rPr>
                <w:rFonts w:ascii="Century Gothic" w:eastAsia="Calibri" w:hAnsi="Century Gothic" w:cs="Arial"/>
                <w:bCs/>
                <w:lang w:val="es-MX" w:eastAsia="es-ES_tradnl"/>
              </w:rPr>
              <w:t>–</w:t>
            </w:r>
          </w:p>
          <w:p w14:paraId="7ADD1096" w14:textId="0C00EDC0" w:rsidR="00FB05D1" w:rsidRPr="00F919E7" w:rsidRDefault="00FB05D1" w:rsidP="00916160">
            <w:pPr>
              <w:spacing w:line="276" w:lineRule="auto"/>
              <w:jc w:val="both"/>
              <w:rPr>
                <w:rFonts w:ascii="Century Gothic" w:eastAsia="Calibri" w:hAnsi="Century Gothic" w:cs="Arial"/>
                <w:bCs/>
                <w:lang w:val="es-MX" w:eastAsia="es-ES_tradnl"/>
              </w:rPr>
            </w:pPr>
          </w:p>
        </w:tc>
      </w:tr>
      <w:tr w:rsidR="00916160" w:rsidRPr="00F919E7" w14:paraId="0A874006" w14:textId="77777777" w:rsidTr="005A1C97">
        <w:tc>
          <w:tcPr>
            <w:tcW w:w="2689" w:type="dxa"/>
          </w:tcPr>
          <w:p w14:paraId="56ED2765" w14:textId="77777777"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Radicación:               </w:t>
            </w:r>
          </w:p>
        </w:tc>
        <w:tc>
          <w:tcPr>
            <w:tcW w:w="6242" w:type="dxa"/>
          </w:tcPr>
          <w:p w14:paraId="630D2668" w14:textId="2F810618"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Respuesta a consulta con radicado No. </w:t>
            </w:r>
            <w:r w:rsidR="00EB0513" w:rsidRPr="00EB0513">
              <w:rPr>
                <w:rFonts w:ascii="Century Gothic" w:eastAsia="Calibri" w:hAnsi="Century Gothic" w:cs="Arial"/>
                <w:bCs/>
                <w:lang w:eastAsia="es-ES_tradnl"/>
              </w:rPr>
              <w:t>P20240712007138</w:t>
            </w:r>
          </w:p>
        </w:tc>
      </w:tr>
    </w:tbl>
    <w:p w14:paraId="01AFCA4D"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4FF08E37"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5A8CAE32" w14:textId="2BB2FFD1" w:rsidR="00871B59" w:rsidRPr="00E43EBA" w:rsidRDefault="00871B59" w:rsidP="00871B59">
      <w:pPr>
        <w:spacing w:after="0" w:line="276" w:lineRule="auto"/>
        <w:jc w:val="both"/>
        <w:rPr>
          <w:rFonts w:ascii="Century Gothic" w:eastAsia="Calibri" w:hAnsi="Century Gothic" w:cs="Arial"/>
          <w:bCs/>
          <w:lang w:val="es-MX" w:eastAsia="es-ES_tradnl"/>
        </w:rPr>
      </w:pPr>
      <w:r w:rsidRPr="00E43EBA">
        <w:rPr>
          <w:rFonts w:ascii="Century Gothic" w:eastAsia="Calibri" w:hAnsi="Century Gothic" w:cs="Arial"/>
          <w:bCs/>
          <w:lang w:val="es-MX" w:eastAsia="es-ES_tradnl"/>
        </w:rPr>
        <w:t>Estimad</w:t>
      </w:r>
      <w:r w:rsidR="003675AB">
        <w:rPr>
          <w:rFonts w:ascii="Century Gothic" w:eastAsia="Calibri" w:hAnsi="Century Gothic" w:cs="Arial"/>
          <w:bCs/>
          <w:lang w:val="es-MX" w:eastAsia="es-ES_tradnl"/>
        </w:rPr>
        <w:t>a</w:t>
      </w:r>
      <w:r w:rsidR="00916160">
        <w:rPr>
          <w:rFonts w:ascii="Century Gothic" w:eastAsia="Calibri" w:hAnsi="Century Gothic" w:cs="Arial"/>
          <w:bCs/>
          <w:lang w:val="es-MX" w:eastAsia="es-ES_tradnl"/>
        </w:rPr>
        <w:t xml:space="preserve"> </w:t>
      </w:r>
      <w:r w:rsidRPr="00E43EBA">
        <w:rPr>
          <w:rFonts w:ascii="Century Gothic" w:eastAsia="Calibri" w:hAnsi="Century Gothic" w:cs="Arial"/>
          <w:bCs/>
          <w:lang w:val="es-MX" w:eastAsia="es-ES_tradnl"/>
        </w:rPr>
        <w:t>señor</w:t>
      </w:r>
      <w:r w:rsidR="003675AB">
        <w:rPr>
          <w:rFonts w:ascii="Century Gothic" w:eastAsia="Calibri" w:hAnsi="Century Gothic" w:cs="Arial"/>
          <w:bCs/>
          <w:lang w:val="es-MX" w:eastAsia="es-ES_tradnl"/>
        </w:rPr>
        <w:t>a</w:t>
      </w:r>
      <w:r w:rsidR="00BF755C" w:rsidRPr="00E43EBA">
        <w:rPr>
          <w:rFonts w:ascii="Century Gothic" w:eastAsia="Calibri" w:hAnsi="Century Gothic" w:cs="Arial"/>
          <w:bCs/>
          <w:lang w:val="es-MX" w:eastAsia="es-ES_tradnl"/>
        </w:rPr>
        <w:t xml:space="preserve"> </w:t>
      </w:r>
      <w:r w:rsidR="003675AB">
        <w:rPr>
          <w:rFonts w:ascii="Century Gothic" w:eastAsia="Calibri" w:hAnsi="Century Gothic" w:cs="Arial"/>
          <w:bCs/>
          <w:lang w:val="es-MX" w:eastAsia="es-ES_tradnl"/>
        </w:rPr>
        <w:t>Valencia</w:t>
      </w:r>
      <w:r w:rsidRPr="00E43EBA">
        <w:rPr>
          <w:rFonts w:ascii="Century Gothic" w:eastAsia="Calibri" w:hAnsi="Century Gothic" w:cs="Arial"/>
          <w:bCs/>
          <w:lang w:val="es-MX" w:eastAsia="es-ES_tradnl"/>
        </w:rPr>
        <w:t xml:space="preserve">: </w:t>
      </w:r>
    </w:p>
    <w:p w14:paraId="62039951" w14:textId="77777777" w:rsidR="00871B59" w:rsidRPr="00E43EBA" w:rsidRDefault="00871B59" w:rsidP="00871B59">
      <w:pPr>
        <w:tabs>
          <w:tab w:val="left" w:pos="3768"/>
        </w:tabs>
        <w:spacing w:after="0" w:line="276" w:lineRule="auto"/>
        <w:jc w:val="both"/>
        <w:rPr>
          <w:rFonts w:ascii="Century Gothic" w:eastAsia="Calibri" w:hAnsi="Century Gothic" w:cs="Arial"/>
          <w:color w:val="000000" w:themeColor="text1"/>
          <w:lang w:val="es-ES" w:eastAsia="es-ES"/>
        </w:rPr>
      </w:pPr>
      <w:r w:rsidRPr="00E43EBA">
        <w:rPr>
          <w:rFonts w:ascii="Century Gothic" w:eastAsia="Calibri" w:hAnsi="Century Gothic" w:cs="Arial"/>
          <w:color w:val="000000" w:themeColor="text1"/>
          <w:lang w:val="es-ES" w:eastAsia="es-ES"/>
        </w:rPr>
        <w:tab/>
      </w:r>
    </w:p>
    <w:p w14:paraId="3F1D9A82" w14:textId="7C7B94B6" w:rsidR="00871B59" w:rsidRPr="00E43EBA" w:rsidRDefault="00871B59" w:rsidP="00871B59">
      <w:pPr>
        <w:spacing w:after="0" w:line="276" w:lineRule="auto"/>
        <w:jc w:val="both"/>
        <w:rPr>
          <w:rFonts w:ascii="Century Gothic" w:eastAsia="Calibri" w:hAnsi="Century Gothic" w:cs="Arial"/>
          <w:lang w:val="es-ES" w:eastAsia="es-ES"/>
        </w:rPr>
      </w:pPr>
      <w:r w:rsidRPr="00E43EBA">
        <w:rPr>
          <w:rFonts w:ascii="Century Gothic" w:eastAsia="Calibri" w:hAnsi="Century Gothic" w:cs="Arial"/>
          <w:color w:val="000000" w:themeColor="text1"/>
          <w:lang w:val="es-ES" w:eastAsia="es-ES"/>
        </w:rPr>
        <w:t>En ejercicio de la competencia otorgada por los artículos 3, numeral 5º, y 11, numeral 8º, del Decreto Ley 4170 de 2011,</w:t>
      </w:r>
      <w:r w:rsidRPr="00E43EBA">
        <w:rPr>
          <w:rFonts w:ascii="Century Gothic" w:eastAsia="Arial MT" w:hAnsi="Century Gothic" w:cs="Arial MT"/>
          <w:lang w:val="es-ES" w:eastAsia="es-ES"/>
        </w:rPr>
        <w:t xml:space="preserve"> </w:t>
      </w:r>
      <w:r w:rsidRPr="00E43EBA">
        <w:rPr>
          <w:rFonts w:ascii="Century Gothic" w:hAnsi="Century Gothic" w:cs="Arial"/>
        </w:rPr>
        <w:t xml:space="preserve">así como lo establecido en el artículo 4 de la Resolución 1707 de 2018 expedida por esta Entidad, </w:t>
      </w:r>
      <w:r w:rsidRPr="00E43EBA">
        <w:rPr>
          <w:rFonts w:ascii="Century Gothic" w:eastAsia="Calibri" w:hAnsi="Century Gothic" w:cs="Arial"/>
          <w:lang w:val="es-ES" w:eastAsia="es-ES"/>
        </w:rPr>
        <w:t xml:space="preserve">la Agencia Nacional de Contratación Pública – Colombia Compra Eficiente– responde su solicitud de consulta de fecha </w:t>
      </w:r>
      <w:r w:rsidR="005A1C97">
        <w:rPr>
          <w:rFonts w:ascii="Century Gothic" w:eastAsia="Calibri" w:hAnsi="Century Gothic" w:cs="Arial"/>
          <w:lang w:val="es-ES" w:eastAsia="es-ES"/>
        </w:rPr>
        <w:t>1</w:t>
      </w:r>
      <w:r w:rsidR="003675AB">
        <w:rPr>
          <w:rFonts w:ascii="Century Gothic" w:eastAsia="Calibri" w:hAnsi="Century Gothic" w:cs="Arial"/>
          <w:lang w:val="es-ES" w:eastAsia="es-ES"/>
        </w:rPr>
        <w:t>2</w:t>
      </w:r>
      <w:r w:rsidR="00BF755C" w:rsidRPr="00E43EBA">
        <w:rPr>
          <w:rFonts w:ascii="Century Gothic" w:eastAsia="Calibri" w:hAnsi="Century Gothic" w:cs="Arial"/>
          <w:lang w:val="es-ES" w:eastAsia="es-ES"/>
        </w:rPr>
        <w:t xml:space="preserve"> </w:t>
      </w:r>
      <w:r w:rsidRPr="00E43EBA">
        <w:rPr>
          <w:rFonts w:ascii="Century Gothic" w:eastAsia="Calibri" w:hAnsi="Century Gothic" w:cs="Arial"/>
          <w:lang w:val="es-ES" w:eastAsia="es-ES"/>
        </w:rPr>
        <w:t xml:space="preserve">de </w:t>
      </w:r>
      <w:r w:rsidR="005A1C97">
        <w:rPr>
          <w:rFonts w:ascii="Century Gothic" w:eastAsia="Calibri" w:hAnsi="Century Gothic" w:cs="Arial"/>
          <w:lang w:val="es-ES" w:eastAsia="es-ES"/>
        </w:rPr>
        <w:t>ju</w:t>
      </w:r>
      <w:r w:rsidR="00FB05D1">
        <w:rPr>
          <w:rFonts w:ascii="Century Gothic" w:eastAsia="Calibri" w:hAnsi="Century Gothic" w:cs="Arial"/>
          <w:lang w:val="es-ES" w:eastAsia="es-ES"/>
        </w:rPr>
        <w:t>l</w:t>
      </w:r>
      <w:r w:rsidR="005A1C97">
        <w:rPr>
          <w:rFonts w:ascii="Century Gothic" w:eastAsia="Calibri" w:hAnsi="Century Gothic" w:cs="Arial"/>
          <w:lang w:val="es-ES" w:eastAsia="es-ES"/>
        </w:rPr>
        <w:t>io</w:t>
      </w:r>
      <w:r w:rsidRPr="00E43EBA">
        <w:rPr>
          <w:rFonts w:ascii="Century Gothic" w:eastAsia="Calibri" w:hAnsi="Century Gothic" w:cs="Arial"/>
          <w:lang w:val="es-ES" w:eastAsia="es-ES"/>
        </w:rPr>
        <w:t xml:space="preserve"> de 20</w:t>
      </w:r>
      <w:r w:rsidR="00BF755C" w:rsidRPr="00E43EBA">
        <w:rPr>
          <w:rFonts w:ascii="Century Gothic" w:eastAsia="Calibri" w:hAnsi="Century Gothic" w:cs="Arial"/>
          <w:lang w:val="es-ES" w:eastAsia="es-ES"/>
        </w:rPr>
        <w:t>24</w:t>
      </w:r>
      <w:r w:rsidRPr="00E43EBA">
        <w:rPr>
          <w:rFonts w:ascii="Century Gothic" w:eastAsia="Calibri" w:hAnsi="Century Gothic" w:cs="Arial"/>
          <w:lang w:val="es-ES" w:eastAsia="es-ES"/>
        </w:rPr>
        <w:t xml:space="preserve">, en la cual manifiesta lo siguiente: </w:t>
      </w:r>
    </w:p>
    <w:p w14:paraId="6DBD3E26" w14:textId="77777777" w:rsidR="00871B59" w:rsidRPr="00A83E50"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sz w:val="20"/>
          <w:szCs w:val="20"/>
          <w:lang w:val="es-ES"/>
        </w:rPr>
      </w:pPr>
    </w:p>
    <w:p w14:paraId="1006183E" w14:textId="7E654B34" w:rsidR="00871B59" w:rsidRPr="00916160" w:rsidRDefault="00871B59" w:rsidP="00FB05D1">
      <w:pPr>
        <w:ind w:left="709" w:right="616"/>
        <w:jc w:val="both"/>
        <w:rPr>
          <w:rFonts w:ascii="Century Gothic" w:eastAsia="Century Gothic" w:hAnsi="Century Gothic" w:cs="Century Gothic"/>
          <w:sz w:val="20"/>
          <w:szCs w:val="20"/>
        </w:rPr>
      </w:pPr>
      <w:bookmarkStart w:id="0" w:name="_Hlk95313578"/>
      <w:r w:rsidRPr="00A83E50">
        <w:rPr>
          <w:rFonts w:ascii="Century Gothic" w:eastAsia="Century Gothic" w:hAnsi="Century Gothic" w:cs="Century Gothic"/>
          <w:sz w:val="20"/>
          <w:szCs w:val="20"/>
          <w:lang w:val="es-ES"/>
        </w:rPr>
        <w:t>“</w:t>
      </w:r>
      <w:bookmarkEnd w:id="0"/>
      <w:r w:rsidR="003675AB" w:rsidRPr="003675AB">
        <w:rPr>
          <w:rFonts w:ascii="Century Gothic" w:eastAsia="Century Gothic" w:hAnsi="Century Gothic" w:cs="Century Gothic"/>
          <w:sz w:val="20"/>
          <w:szCs w:val="20"/>
        </w:rPr>
        <w:t xml:space="preserve">Solicito amablemente si fuera posible indicar dentro de un proceso de contratación estatal quien debe suministrar la información de las firmas cuya información financiera se toma para la elaboración de los indicadores financieros y organizacionales en virtud de que se presume que quien conoce de primera mano esta información es quien realiza el estudio de mercado es decir el dueño de la necesidad Me gustaría tener claridad por favor de quién conoce dicha información es decir el nombre de la empresa y el NIT de quién </w:t>
      </w:r>
      <w:r w:rsidR="003675AB" w:rsidRPr="003675AB">
        <w:rPr>
          <w:rFonts w:ascii="Century Gothic" w:eastAsia="Century Gothic" w:hAnsi="Century Gothic" w:cs="Century Gothic"/>
          <w:sz w:val="20"/>
          <w:szCs w:val="20"/>
        </w:rPr>
        <w:lastRenderedPageBreak/>
        <w:t>vende el bien o presta el servicio Y la segunda inquietud es en que páginas del Estado Colombiano diferente del RUES se puede tener acceso de la información financiera completa es decir con los gastos de intereses de todas las empresas del país para tener acceso a esa información y así elaborar el análisis de los requisitos habilitantes de orden financiero y organizacional muchas gracias por su respuesta soy funcionaría pública DISAN PONAL:</w:t>
      </w:r>
      <w:r w:rsidR="003675AB">
        <w:rPr>
          <w:rFonts w:ascii="Century Gothic" w:eastAsia="Century Gothic" w:hAnsi="Century Gothic" w:cs="Century Gothic"/>
          <w:sz w:val="20"/>
          <w:szCs w:val="20"/>
        </w:rPr>
        <w:t>”</w:t>
      </w:r>
      <w:r w:rsidR="00E051A5">
        <w:rPr>
          <w:rFonts w:ascii="Century Gothic" w:eastAsia="Century Gothic" w:hAnsi="Century Gothic" w:cs="Century Gothic"/>
          <w:sz w:val="20"/>
          <w:szCs w:val="20"/>
          <w:lang w:val="es-ES"/>
        </w:rPr>
        <w:t xml:space="preserve"> </w:t>
      </w:r>
      <w:r w:rsidR="006E1D19" w:rsidRPr="00A83E50">
        <w:rPr>
          <w:rFonts w:ascii="Century Gothic" w:eastAsia="Century Gothic" w:hAnsi="Century Gothic" w:cs="Century Gothic"/>
          <w:sz w:val="20"/>
          <w:szCs w:val="20"/>
          <w:lang w:val="es-ES"/>
        </w:rPr>
        <w:t>[sic]</w:t>
      </w:r>
    </w:p>
    <w:p w14:paraId="54DCAD4E" w14:textId="77777777" w:rsidR="00871B59" w:rsidRPr="00E43EBA"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lang w:val="es-ES"/>
        </w:rPr>
      </w:pPr>
    </w:p>
    <w:p w14:paraId="30F17EAD" w14:textId="77777777" w:rsidR="00871B59" w:rsidRPr="00E43EBA" w:rsidRDefault="00871B59" w:rsidP="00871B59">
      <w:pPr>
        <w:spacing w:after="120" w:line="276" w:lineRule="auto"/>
        <w:ind w:firstLine="709"/>
        <w:jc w:val="both"/>
        <w:rPr>
          <w:rFonts w:ascii="Century Gothic" w:eastAsia="Calibri" w:hAnsi="Century Gothic" w:cs="Arial"/>
          <w:color w:val="000000"/>
          <w:lang w:val="es-ES_tradnl" w:eastAsia="es-ES_tradnl"/>
        </w:rPr>
      </w:pPr>
      <w:r w:rsidRPr="00E43EBA">
        <w:rPr>
          <w:rFonts w:ascii="Century Gothic" w:eastAsia="Calibri" w:hAnsi="Century Gothic"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43EBA">
        <w:rPr>
          <w:rFonts w:ascii="Century Gothic" w:eastAsia="Calibri" w:hAnsi="Century Gothic" w:cs="Arial"/>
          <w:color w:val="000000"/>
          <w:lang w:val="es-ES_tradnl" w:eastAsia="es-ES_tradnl"/>
        </w:rPr>
        <w:tab/>
      </w:r>
    </w:p>
    <w:p w14:paraId="3B95778F" w14:textId="33E11D52" w:rsidR="00871B59" w:rsidRPr="00E43EBA" w:rsidRDefault="00871B59" w:rsidP="00871B59">
      <w:pPr>
        <w:spacing w:after="0" w:line="276" w:lineRule="auto"/>
        <w:ind w:firstLine="709"/>
        <w:jc w:val="both"/>
        <w:rPr>
          <w:rFonts w:ascii="Century Gothic" w:eastAsia="Calibri" w:hAnsi="Century Gothic" w:cs="Arial"/>
          <w:color w:val="000000"/>
          <w:lang w:val="es-ES" w:eastAsia="es-ES"/>
        </w:rPr>
      </w:pPr>
      <w:r w:rsidRPr="00E43EBA">
        <w:rPr>
          <w:rFonts w:ascii="Century Gothic" w:eastAsia="Calibri" w:hAnsi="Century Gothic"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problema</w:t>
      </w:r>
      <w:r w:rsidR="00BF755C"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jurídico</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 xml:space="preserve">de su consulta. </w:t>
      </w:r>
    </w:p>
    <w:p w14:paraId="70187214" w14:textId="77777777" w:rsidR="00871B59" w:rsidRDefault="00871B59" w:rsidP="00871B59">
      <w:pPr>
        <w:spacing w:after="0" w:line="276" w:lineRule="auto"/>
        <w:ind w:firstLine="709"/>
        <w:jc w:val="both"/>
        <w:rPr>
          <w:rFonts w:ascii="Century Gothic" w:eastAsia="Calibri" w:hAnsi="Century Gothic" w:cs="Arial"/>
          <w:color w:val="000000"/>
          <w:lang w:val="es-ES" w:eastAsia="es-ES"/>
        </w:rPr>
      </w:pPr>
    </w:p>
    <w:p w14:paraId="6DBDE788" w14:textId="77777777" w:rsidR="00685FFD" w:rsidRPr="00E43EBA" w:rsidRDefault="00685FFD" w:rsidP="00871B59">
      <w:pPr>
        <w:spacing w:after="0" w:line="276" w:lineRule="auto"/>
        <w:ind w:firstLine="709"/>
        <w:jc w:val="both"/>
        <w:rPr>
          <w:rFonts w:ascii="Century Gothic" w:eastAsia="Calibri" w:hAnsi="Century Gothic" w:cs="Arial"/>
          <w:color w:val="000000"/>
          <w:lang w:val="es-ES" w:eastAsia="es-ES"/>
        </w:rPr>
      </w:pPr>
    </w:p>
    <w:p w14:paraId="74DD4DE4" w14:textId="77777777" w:rsidR="00871B59" w:rsidRPr="00E43EBA" w:rsidRDefault="00871B59" w:rsidP="00871B59">
      <w:pPr>
        <w:pStyle w:val="Prrafodelista"/>
        <w:numPr>
          <w:ilvl w:val="0"/>
          <w:numId w:val="4"/>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Problema planteado:</w:t>
      </w:r>
    </w:p>
    <w:p w14:paraId="690221EE" w14:textId="77777777" w:rsidR="00871B59" w:rsidRDefault="00871B59" w:rsidP="00871B59">
      <w:pPr>
        <w:tabs>
          <w:tab w:val="left" w:pos="426"/>
        </w:tabs>
        <w:spacing w:after="0" w:line="276" w:lineRule="auto"/>
        <w:jc w:val="both"/>
        <w:rPr>
          <w:rFonts w:ascii="Century Gothic" w:eastAsia="Century Gothic" w:hAnsi="Century Gothic" w:cs="Century Gothic"/>
          <w:lang w:val="es-ES"/>
        </w:rPr>
      </w:pPr>
    </w:p>
    <w:p w14:paraId="212D4FF9" w14:textId="77777777" w:rsidR="00685FFD" w:rsidRPr="00E43EBA" w:rsidRDefault="00685FFD" w:rsidP="00871B59">
      <w:pPr>
        <w:tabs>
          <w:tab w:val="left" w:pos="426"/>
        </w:tabs>
        <w:spacing w:after="0" w:line="276" w:lineRule="auto"/>
        <w:jc w:val="both"/>
        <w:rPr>
          <w:rFonts w:ascii="Century Gothic" w:eastAsia="Century Gothic" w:hAnsi="Century Gothic" w:cs="Century Gothic"/>
          <w:lang w:val="es-ES"/>
        </w:rPr>
      </w:pPr>
    </w:p>
    <w:p w14:paraId="1D71B419" w14:textId="2EB33AC9" w:rsidR="00916160" w:rsidRPr="005639E9" w:rsidRDefault="00871B59" w:rsidP="00916160">
      <w:pPr>
        <w:pStyle w:val="Textoindependiente"/>
        <w:spacing w:before="1" w:line="276" w:lineRule="auto"/>
        <w:ind w:right="306"/>
        <w:jc w:val="both"/>
      </w:pPr>
      <w:r w:rsidRPr="00E43EBA">
        <w:rPr>
          <w:rFonts w:ascii="Century Gothic" w:eastAsia="Century Gothic" w:hAnsi="Century Gothic" w:cs="Century Gothic"/>
        </w:rPr>
        <w:t xml:space="preserve">De acuerdo con el contenido de su solicitud, esta Agencia resolverá </w:t>
      </w:r>
      <w:r w:rsidR="00916160">
        <w:rPr>
          <w:rFonts w:ascii="Century Gothic" w:eastAsia="Century Gothic" w:hAnsi="Century Gothic" w:cs="Century Gothic"/>
        </w:rPr>
        <w:t>los</w:t>
      </w:r>
      <w:r w:rsidRPr="00E43EBA">
        <w:rPr>
          <w:rFonts w:ascii="Century Gothic" w:eastAsia="Century Gothic" w:hAnsi="Century Gothic" w:cs="Century Gothic"/>
        </w:rPr>
        <w:t xml:space="preserve"> siguiente</w:t>
      </w:r>
      <w:r w:rsidR="00916160">
        <w:rPr>
          <w:rFonts w:ascii="Century Gothic" w:eastAsia="Century Gothic" w:hAnsi="Century Gothic" w:cs="Century Gothic"/>
        </w:rPr>
        <w:t>s</w:t>
      </w:r>
      <w:r w:rsidR="00BF755C" w:rsidRPr="00E43EBA">
        <w:rPr>
          <w:rFonts w:ascii="Century Gothic" w:eastAsia="Century Gothic" w:hAnsi="Century Gothic" w:cs="Century Gothic"/>
        </w:rPr>
        <w:t xml:space="preserve"> </w:t>
      </w:r>
      <w:r w:rsidRPr="00E43EBA">
        <w:rPr>
          <w:rFonts w:ascii="Century Gothic" w:eastAsia="Century Gothic" w:hAnsi="Century Gothic" w:cs="Century Gothic"/>
        </w:rPr>
        <w:t>problema</w:t>
      </w:r>
      <w:r w:rsidR="00916160">
        <w:rPr>
          <w:rFonts w:ascii="Century Gothic" w:eastAsia="Century Gothic" w:hAnsi="Century Gothic" w:cs="Century Gothic"/>
        </w:rPr>
        <w:t>s</w:t>
      </w:r>
      <w:r w:rsidRPr="00E43EBA">
        <w:rPr>
          <w:rFonts w:ascii="Century Gothic" w:eastAsia="Century Gothic" w:hAnsi="Century Gothic" w:cs="Century Gothic"/>
        </w:rPr>
        <w:t xml:space="preserve"> jurídico: </w:t>
      </w:r>
      <w:r w:rsidR="00916160" w:rsidRPr="00916160">
        <w:rPr>
          <w:rFonts w:ascii="Century Gothic" w:eastAsia="Century Gothic" w:hAnsi="Century Gothic" w:cs="Century Gothic"/>
        </w:rPr>
        <w:t>¿</w:t>
      </w:r>
      <w:r w:rsidR="003675AB" w:rsidRPr="003675AB">
        <w:rPr>
          <w:rFonts w:ascii="Century Gothic" w:eastAsia="Century Gothic" w:hAnsi="Century Gothic" w:cs="Century Gothic"/>
        </w:rPr>
        <w:t xml:space="preserve">Cómo establecer </w:t>
      </w:r>
      <w:r w:rsidR="003675AB">
        <w:rPr>
          <w:rFonts w:ascii="Century Gothic" w:eastAsia="Century Gothic" w:hAnsi="Century Gothic" w:cs="Century Gothic"/>
        </w:rPr>
        <w:t xml:space="preserve">la capacidad financiera como </w:t>
      </w:r>
      <w:r w:rsidR="003675AB" w:rsidRPr="003675AB">
        <w:rPr>
          <w:rFonts w:ascii="Century Gothic" w:eastAsia="Century Gothic" w:hAnsi="Century Gothic" w:cs="Century Gothic"/>
        </w:rPr>
        <w:t>requisito habilitante</w:t>
      </w:r>
      <w:r w:rsidR="003675AB">
        <w:rPr>
          <w:rFonts w:ascii="Century Gothic" w:eastAsia="Century Gothic" w:hAnsi="Century Gothic" w:cs="Century Gothic"/>
        </w:rPr>
        <w:t xml:space="preserve"> en un Proceso de Contratación</w:t>
      </w:r>
      <w:r w:rsidR="003675AB" w:rsidRPr="003675AB">
        <w:rPr>
          <w:rFonts w:ascii="Century Gothic" w:eastAsia="Century Gothic" w:hAnsi="Century Gothic" w:cs="Century Gothic"/>
        </w:rPr>
        <w:t>?</w:t>
      </w:r>
      <w:r w:rsidR="00FB05D1" w:rsidRPr="00FB05D1">
        <w:rPr>
          <w:rFonts w:ascii="Century Gothic" w:eastAsia="Century Gothic" w:hAnsi="Century Gothic" w:cs="Century Gothic"/>
        </w:rPr>
        <w:t xml:space="preserve"> </w:t>
      </w:r>
    </w:p>
    <w:p w14:paraId="57640A16" w14:textId="44EF1AD0" w:rsidR="00871B59" w:rsidRDefault="00BF755C" w:rsidP="00871B59">
      <w:pPr>
        <w:spacing w:after="0" w:line="276" w:lineRule="auto"/>
        <w:jc w:val="both"/>
        <w:rPr>
          <w:rFonts w:ascii="Century Gothic" w:eastAsia="Century Gothic" w:hAnsi="Century Gothic" w:cs="Century Gothic"/>
        </w:rPr>
      </w:pPr>
      <w:r w:rsidRPr="00E43EBA">
        <w:rPr>
          <w:rFonts w:ascii="Century Gothic" w:eastAsia="Century Gothic" w:hAnsi="Century Gothic" w:cs="Century Gothic"/>
        </w:rPr>
        <w:t xml:space="preserve"> </w:t>
      </w:r>
    </w:p>
    <w:p w14:paraId="5C57421A" w14:textId="77777777" w:rsidR="00685FFD" w:rsidRPr="00FE33B4" w:rsidRDefault="00685FFD" w:rsidP="00871B59">
      <w:pPr>
        <w:spacing w:after="0" w:line="276" w:lineRule="auto"/>
        <w:jc w:val="both"/>
        <w:rPr>
          <w:rFonts w:ascii="Century Gothic" w:eastAsia="Century Gothic" w:hAnsi="Century Gothic" w:cs="Century Gothic"/>
        </w:rPr>
      </w:pPr>
    </w:p>
    <w:p w14:paraId="33E3D3F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Respuesta:</w:t>
      </w:r>
    </w:p>
    <w:p w14:paraId="4647B31A"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E43EBA" w14:paraId="14984B9D" w14:textId="77777777" w:rsidTr="002607A7">
        <w:tc>
          <w:tcPr>
            <w:tcW w:w="8828" w:type="dxa"/>
            <w:shd w:val="clear" w:color="auto" w:fill="auto"/>
          </w:tcPr>
          <w:p w14:paraId="0C054F66" w14:textId="6B264473" w:rsidR="00916160" w:rsidRDefault="003675AB" w:rsidP="003675AB">
            <w:pPr>
              <w:spacing w:after="120" w:line="276" w:lineRule="auto"/>
              <w:ind w:firstLine="709"/>
              <w:jc w:val="both"/>
              <w:rPr>
                <w:rFonts w:ascii="Century Gothic" w:eastAsia="Calibri" w:hAnsi="Century Gothic" w:cs="Arial"/>
                <w:lang w:eastAsia="es-MX"/>
              </w:rPr>
            </w:pPr>
            <w:r w:rsidRPr="003675AB">
              <w:rPr>
                <w:rFonts w:ascii="Century Gothic" w:eastAsia="Calibri" w:hAnsi="Century Gothic" w:cs="Arial"/>
                <w:lang w:eastAsia="es-MX"/>
              </w:rPr>
              <w:t xml:space="preserve">Para fijar </w:t>
            </w:r>
            <w:r>
              <w:rPr>
                <w:rFonts w:ascii="Century Gothic" w:eastAsia="Calibri" w:hAnsi="Century Gothic" w:cs="Arial"/>
                <w:lang w:eastAsia="es-MX"/>
              </w:rPr>
              <w:t>los requisitos habilitantes</w:t>
            </w:r>
            <w:r w:rsidRPr="003675AB">
              <w:rPr>
                <w:rFonts w:ascii="Century Gothic" w:eastAsia="Calibri" w:hAnsi="Century Gothic" w:cs="Arial"/>
                <w:lang w:eastAsia="es-MX"/>
              </w:rPr>
              <w:t xml:space="preserve"> la Entidad Estatal debe tener como parámetros: (i) el Riesgo del Proceso de Contratación; (</w:t>
            </w:r>
            <w:proofErr w:type="spellStart"/>
            <w:r w:rsidRPr="003675AB">
              <w:rPr>
                <w:rFonts w:ascii="Century Gothic" w:eastAsia="Calibri" w:hAnsi="Century Gothic" w:cs="Arial"/>
                <w:lang w:eastAsia="es-MX"/>
              </w:rPr>
              <w:t>ii</w:t>
            </w:r>
            <w:proofErr w:type="spellEnd"/>
            <w:r w:rsidRPr="003675AB">
              <w:rPr>
                <w:rFonts w:ascii="Century Gothic" w:eastAsia="Calibri" w:hAnsi="Century Gothic" w:cs="Arial"/>
                <w:lang w:eastAsia="es-MX"/>
              </w:rPr>
              <w:t>) el valor del contrato objeto del Proceso de Contratación; (</w:t>
            </w:r>
            <w:proofErr w:type="spellStart"/>
            <w:r w:rsidRPr="003675AB">
              <w:rPr>
                <w:rFonts w:ascii="Century Gothic" w:eastAsia="Calibri" w:hAnsi="Century Gothic" w:cs="Arial"/>
                <w:lang w:eastAsia="es-MX"/>
              </w:rPr>
              <w:t>iii</w:t>
            </w:r>
            <w:proofErr w:type="spellEnd"/>
            <w:r w:rsidRPr="003675AB">
              <w:rPr>
                <w:rFonts w:ascii="Century Gothic" w:eastAsia="Calibri" w:hAnsi="Century Gothic" w:cs="Arial"/>
                <w:lang w:eastAsia="es-MX"/>
              </w:rPr>
              <w:t>) el análisis del sector económico respectivo; y (</w:t>
            </w:r>
            <w:proofErr w:type="spellStart"/>
            <w:r w:rsidRPr="003675AB">
              <w:rPr>
                <w:rFonts w:ascii="Century Gothic" w:eastAsia="Calibri" w:hAnsi="Century Gothic" w:cs="Arial"/>
                <w:lang w:eastAsia="es-MX"/>
              </w:rPr>
              <w:t>iv</w:t>
            </w:r>
            <w:proofErr w:type="spellEnd"/>
            <w:r w:rsidRPr="003675AB">
              <w:rPr>
                <w:rFonts w:ascii="Century Gothic" w:eastAsia="Calibri" w:hAnsi="Century Gothic" w:cs="Arial"/>
                <w:lang w:eastAsia="es-MX"/>
              </w:rPr>
              <w:t xml:space="preserve">) el conocimiento de fondo de los posibles oferentes desde la perspectiva comercial. </w:t>
            </w:r>
          </w:p>
          <w:p w14:paraId="507330E8" w14:textId="6E281A8E" w:rsidR="003675AB" w:rsidRDefault="003675AB" w:rsidP="003675AB">
            <w:pPr>
              <w:spacing w:after="120" w:line="276" w:lineRule="auto"/>
              <w:ind w:firstLine="709"/>
              <w:jc w:val="both"/>
              <w:rPr>
                <w:rFonts w:ascii="Century Gothic" w:eastAsia="Calibri" w:hAnsi="Century Gothic" w:cs="Arial"/>
                <w:lang w:eastAsia="es-MX"/>
              </w:rPr>
            </w:pPr>
            <w:r w:rsidRPr="003675AB">
              <w:rPr>
                <w:rFonts w:ascii="Century Gothic" w:eastAsia="Calibri" w:hAnsi="Century Gothic" w:cs="Arial"/>
                <w:lang w:eastAsia="es-MX"/>
              </w:rPr>
              <w:t>Las Entidades Estatales deben fijar los requisitos habilitantes que se incluirán en los pliegos de condiciones o documentos equivalentes durante la etapa de planeación del contrato estatal, después de haber adelantado el análisis del sector relativo al objeto del Proceso de Contratación, de tal manera que la determinación de las condiciones habilitantes se realice a partir del conocimiento de fondo de los posibles oferentes desde el punto de vista comercial y el análisis de Riesgo</w:t>
            </w:r>
            <w:r w:rsidRPr="003675AB">
              <w:rPr>
                <w:rFonts w:ascii="Century Gothic" w:eastAsia="Calibri" w:hAnsi="Century Gothic" w:cs="Arial"/>
                <w:sz w:val="16"/>
                <w:szCs w:val="16"/>
                <w:lang w:eastAsia="es-MX"/>
              </w:rPr>
              <w:t>.</w:t>
            </w:r>
            <w:r w:rsidRPr="003675AB">
              <w:rPr>
                <w:rFonts w:ascii="Century Gothic" w:eastAsia="Calibri" w:hAnsi="Century Gothic" w:cs="Arial"/>
                <w:lang w:eastAsia="es-MX"/>
              </w:rPr>
              <w:t xml:space="preserve"> Este análisis permite conocer las particularidades correspondientes a cada sector económico, como el tamaño empresarial de los posibles oferentes, su modelo de negocio y si es posible que se presenten proponentes plurales. Estas particularidades deben ser tenidas en cuenta para evitar direccionar los requisitos habilitantes hacia un tipo de proponente.</w:t>
            </w:r>
          </w:p>
          <w:p w14:paraId="063E3C1D" w14:textId="77777777" w:rsidR="003675AB" w:rsidRPr="003675AB" w:rsidRDefault="003675AB" w:rsidP="003675AB">
            <w:pPr>
              <w:spacing w:before="120" w:after="120" w:line="276" w:lineRule="auto"/>
              <w:ind w:firstLine="708"/>
              <w:jc w:val="both"/>
              <w:rPr>
                <w:rFonts w:ascii="Century Gothic" w:eastAsia="Calibri" w:hAnsi="Century Gothic" w:cs="Arial"/>
                <w:lang w:eastAsia="es-MX"/>
              </w:rPr>
            </w:pPr>
            <w:r w:rsidRPr="003675AB">
              <w:rPr>
                <w:rFonts w:ascii="Century Gothic" w:eastAsia="Calibri" w:hAnsi="Century Gothic" w:cs="Arial"/>
                <w:lang w:eastAsia="es-MX"/>
              </w:rPr>
              <w:t>Esta Agencia puso a disposición de los interesados el “</w:t>
            </w:r>
            <w:r w:rsidRPr="003675AB">
              <w:rPr>
                <w:rFonts w:ascii="Century Gothic" w:eastAsia="Calibri" w:hAnsi="Century Gothic" w:cs="Arial"/>
                <w:i/>
                <w:iCs/>
                <w:lang w:eastAsia="es-MX"/>
              </w:rPr>
              <w:t>Manual para determinar y verificar los requisitos habilitantes en los procesos de contratación</w:t>
            </w:r>
            <w:r w:rsidRPr="003675AB">
              <w:rPr>
                <w:rFonts w:ascii="Century Gothic" w:eastAsia="Calibri" w:hAnsi="Century Gothic" w:cs="Arial"/>
                <w:lang w:eastAsia="es-MX"/>
              </w:rPr>
              <w:t>”</w:t>
            </w:r>
            <w:r w:rsidRPr="003675AB">
              <w:rPr>
                <w:rFonts w:ascii="Century Gothic" w:eastAsia="Calibri" w:hAnsi="Century Gothic" w:cs="Arial"/>
                <w:lang w:eastAsia="es-MX"/>
              </w:rPr>
              <w:footnoteReference w:id="2"/>
            </w:r>
            <w:r w:rsidRPr="003675AB">
              <w:rPr>
                <w:rFonts w:ascii="Century Gothic" w:eastAsia="Calibri" w:hAnsi="Century Gothic" w:cs="Arial"/>
                <w:lang w:eastAsia="es-MX"/>
              </w:rPr>
              <w:t>. En dicho Manual se plantean definiciones para cada requisito habilitante y se indican lineamientos orientadores que la Entidad Estatal puede considerar para establecerlos, pero en todo caso es ella quien los define, de forma proporcional a la naturaleza y al valor del contrato, por lo que para ello deberán observarse los resultados de los Estudios del Sector que se hayan realizado para el respectivo Proceso de Contratación.</w:t>
            </w:r>
          </w:p>
          <w:p w14:paraId="47AEB666" w14:textId="315ADF88" w:rsidR="003675AB" w:rsidRPr="003675AB" w:rsidRDefault="003675AB" w:rsidP="003675AB">
            <w:pPr>
              <w:spacing w:after="120" w:line="276" w:lineRule="auto"/>
              <w:jc w:val="both"/>
              <w:rPr>
                <w:rFonts w:ascii="Century Gothic" w:eastAsia="Calibri" w:hAnsi="Century Gothic" w:cs="Arial"/>
                <w:lang w:val="es-ES_tradnl" w:eastAsia="es-MX"/>
              </w:rPr>
            </w:pPr>
          </w:p>
        </w:tc>
      </w:tr>
    </w:tbl>
    <w:p w14:paraId="3199705F"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6678B80A"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Razones de la respuesta:</w:t>
      </w:r>
    </w:p>
    <w:p w14:paraId="40393512"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6DB5BA6B" w14:textId="77777777" w:rsidR="00871B59" w:rsidRPr="00E43EBA" w:rsidRDefault="00871B59" w:rsidP="00871B59">
      <w:pPr>
        <w:spacing w:after="0" w:line="276" w:lineRule="auto"/>
        <w:jc w:val="both"/>
        <w:rPr>
          <w:rFonts w:ascii="Century Gothic" w:eastAsia="Calibri" w:hAnsi="Century Gothic" w:cs="Arial"/>
          <w:lang w:val="es-ES"/>
        </w:rPr>
      </w:pPr>
      <w:r w:rsidRPr="00E43EBA">
        <w:rPr>
          <w:rFonts w:ascii="Century Gothic" w:eastAsia="Calibri" w:hAnsi="Century Gothic" w:cs="Arial"/>
          <w:lang w:val="es-ES"/>
        </w:rPr>
        <w:t xml:space="preserve">Lo anterior se sustenta en las siguientes consideraciones: </w:t>
      </w:r>
    </w:p>
    <w:p w14:paraId="6FBD94A1" w14:textId="77777777" w:rsidR="00871B59" w:rsidRPr="009E35E3" w:rsidRDefault="00871B59" w:rsidP="00871B59">
      <w:pPr>
        <w:spacing w:after="0" w:line="276" w:lineRule="auto"/>
        <w:jc w:val="both"/>
        <w:rPr>
          <w:rFonts w:ascii="Century Gothic" w:eastAsia="Calibri" w:hAnsi="Century Gothic" w:cs="Arial"/>
          <w:lang w:val="es-ES"/>
        </w:rPr>
      </w:pPr>
    </w:p>
    <w:p w14:paraId="7AA7DC5A" w14:textId="77777777" w:rsidR="003675AB" w:rsidRPr="003675AB" w:rsidRDefault="003675AB" w:rsidP="003675AB">
      <w:pPr>
        <w:pStyle w:val="Prrafodelista"/>
        <w:numPr>
          <w:ilvl w:val="0"/>
          <w:numId w:val="19"/>
        </w:numPr>
        <w:spacing w:after="120" w:line="276" w:lineRule="auto"/>
        <w:jc w:val="both"/>
        <w:rPr>
          <w:rFonts w:ascii="Century Gothic" w:eastAsia="Calibri" w:hAnsi="Century Gothic" w:cs="Arial"/>
          <w:color w:val="000000" w:themeColor="text1"/>
          <w:lang w:val="es-ES_tradnl" w:eastAsia="es-ES_tradnl"/>
        </w:rPr>
      </w:pPr>
      <w:r w:rsidRPr="003675AB">
        <w:rPr>
          <w:rFonts w:ascii="Century Gothic" w:eastAsia="Calibri" w:hAnsi="Century Gothic" w:cs="Arial"/>
          <w:color w:val="000000" w:themeColor="text1"/>
          <w:lang w:val="es-ES_tradnl" w:eastAsia="es-ES_tradnl"/>
        </w:rPr>
        <w:t xml:space="preserve">Los </w:t>
      </w:r>
      <w:r w:rsidRPr="003675AB">
        <w:rPr>
          <w:rFonts w:ascii="Century Gothic" w:eastAsia="Calibri" w:hAnsi="Century Gothic" w:cs="Arial"/>
          <w:i/>
          <w:iCs/>
          <w:color w:val="000000" w:themeColor="text1"/>
          <w:lang w:val="es-ES_tradnl" w:eastAsia="es-ES_tradnl"/>
        </w:rPr>
        <w:t>requisitos habilitantes</w:t>
      </w:r>
      <w:r w:rsidRPr="003675AB">
        <w:rPr>
          <w:rFonts w:ascii="Century Gothic" w:eastAsia="Calibri" w:hAnsi="Century Gothic" w:cs="Arial"/>
          <w:color w:val="000000" w:themeColor="text1"/>
          <w:lang w:val="es-ES_tradnl" w:eastAsia="es-ES_tradnl"/>
        </w:rPr>
        <w:t xml:space="preserve">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w:t>
      </w:r>
      <w:r w:rsidRPr="003675AB">
        <w:rPr>
          <w:rFonts w:ascii="Century Gothic" w:eastAsia="Calibri" w:hAnsi="Century Gothic" w:cs="Arial"/>
          <w:i/>
          <w:iCs/>
          <w:color w:val="000000" w:themeColor="text1"/>
          <w:lang w:val="es-ES_tradnl" w:eastAsia="es-ES_tradnl"/>
        </w:rPr>
        <w:t>criterios de evaluación</w:t>
      </w:r>
      <w:r w:rsidRPr="003675AB">
        <w:rPr>
          <w:rFonts w:ascii="Century Gothic" w:eastAsia="Calibri" w:hAnsi="Century Gothic" w:cs="Arial"/>
          <w:color w:val="000000" w:themeColor="text1"/>
          <w:lang w:val="es-ES_tradnl" w:eastAsia="es-ES_tradnl"/>
        </w:rPr>
        <w:t xml:space="preserve"> –también conocidos como </w:t>
      </w:r>
      <w:r w:rsidRPr="003675AB">
        <w:rPr>
          <w:rFonts w:ascii="Century Gothic" w:eastAsia="Calibri" w:hAnsi="Century Gothic" w:cs="Arial"/>
          <w:i/>
          <w:iCs/>
          <w:color w:val="000000" w:themeColor="text1"/>
          <w:lang w:val="es-ES_tradnl" w:eastAsia="es-ES_tradnl"/>
        </w:rPr>
        <w:t>criterios de calificación</w:t>
      </w:r>
      <w:r w:rsidRPr="003675AB">
        <w:rPr>
          <w:rFonts w:ascii="Century Gothic" w:eastAsia="Calibri" w:hAnsi="Century Gothic" w:cs="Arial"/>
          <w:color w:val="000000" w:themeColor="text1"/>
          <w:lang w:val="es-ES_tradnl" w:eastAsia="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14BD580B" w14:textId="77777777" w:rsidR="003675AB" w:rsidRPr="003675AB" w:rsidRDefault="003675AB" w:rsidP="330CE3FD">
      <w:pPr>
        <w:pStyle w:val="Prrafodelista"/>
        <w:numPr>
          <w:ilvl w:val="0"/>
          <w:numId w:val="19"/>
        </w:numPr>
        <w:spacing w:after="120" w:line="276" w:lineRule="auto"/>
        <w:jc w:val="both"/>
        <w:rPr>
          <w:rFonts w:ascii="Century Gothic" w:eastAsia="Calibri" w:hAnsi="Century Gothic" w:cs="Arial"/>
          <w:color w:val="000000" w:themeColor="text1"/>
          <w:lang w:val="es-ES" w:eastAsia="es-ES"/>
        </w:rPr>
      </w:pPr>
      <w:r w:rsidRPr="330CE3FD">
        <w:rPr>
          <w:rFonts w:ascii="Century Gothic" w:eastAsia="Calibri" w:hAnsi="Century Gothic" w:cs="Arial"/>
          <w:color w:val="000000" w:themeColor="text1"/>
          <w:lang w:val="es-ES" w:eastAsia="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3EE74E7A" w14:textId="77777777" w:rsidR="003675AB" w:rsidRPr="003675AB" w:rsidRDefault="003675AB" w:rsidP="330CE3FD">
      <w:pPr>
        <w:pStyle w:val="Prrafodelista"/>
        <w:numPr>
          <w:ilvl w:val="0"/>
          <w:numId w:val="19"/>
        </w:numPr>
        <w:spacing w:after="0" w:line="276" w:lineRule="auto"/>
        <w:jc w:val="both"/>
        <w:rPr>
          <w:rFonts w:ascii="Century Gothic" w:eastAsia="Calibri" w:hAnsi="Century Gothic" w:cs="Arial"/>
          <w:color w:val="000000" w:themeColor="text1"/>
          <w:lang w:val="es-ES" w:eastAsia="es-ES"/>
        </w:rPr>
      </w:pPr>
      <w:r w:rsidRPr="330CE3FD">
        <w:rPr>
          <w:rFonts w:ascii="Century Gothic" w:eastAsia="Calibri" w:hAnsi="Century Gothic" w:cs="Arial"/>
          <w:color w:val="000000" w:themeColor="text1"/>
          <w:lang w:val="es-ES" w:eastAsia="es-ES"/>
        </w:rPr>
        <w:t xml:space="preserve">El mencionado artículo dispone que se considera </w:t>
      </w:r>
      <w:r w:rsidRPr="330CE3FD">
        <w:rPr>
          <w:rFonts w:ascii="Century Gothic" w:eastAsia="Calibri" w:hAnsi="Century Gothic" w:cs="Arial"/>
          <w:i/>
          <w:iCs/>
          <w:color w:val="000000" w:themeColor="text1"/>
          <w:lang w:val="es-ES" w:eastAsia="es-ES"/>
        </w:rPr>
        <w:t>“objetiva la selección en la cual la escogencia se haga al ofrecimiento más favorable a la entidad y a los fines que ella busca, sin tener en consideración factores de afecto o de interés y, en general, cualquier clase de motivación subjetiva”.</w:t>
      </w:r>
      <w:r w:rsidRPr="330CE3FD">
        <w:rPr>
          <w:rFonts w:ascii="Century Gothic" w:eastAsia="Calibri" w:hAnsi="Century Gothic" w:cs="Arial"/>
          <w:color w:val="000000" w:themeColor="text1"/>
          <w:lang w:val="es-ES" w:eastAsia="es-ES"/>
        </w:rPr>
        <w:t xml:space="preserve"> En ese contexto,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w:t>
      </w:r>
      <w:r w:rsidRPr="330CE3FD">
        <w:rPr>
          <w:rFonts w:ascii="Century Gothic" w:eastAsia="Calibri" w:hAnsi="Century Gothic" w:cs="Arial"/>
          <w:color w:val="000000" w:themeColor="text1"/>
          <w:lang w:val="es-ES" w:eastAsia="es-ES"/>
        </w:rPr>
        <w:lastRenderedPageBreak/>
        <w:t xml:space="preserve">verificación, como requisitos habilitantes, </w:t>
      </w:r>
      <w:r w:rsidRPr="330CE3FD">
        <w:rPr>
          <w:rFonts w:ascii="Century Gothic" w:eastAsia="Calibri" w:hAnsi="Century Gothic" w:cs="Arial"/>
          <w:i/>
          <w:iCs/>
          <w:color w:val="000000" w:themeColor="text1"/>
          <w:lang w:val="es-ES" w:eastAsia="es-ES"/>
        </w:rPr>
        <w:t>entre otros</w:t>
      </w:r>
      <w:r w:rsidRPr="330CE3FD">
        <w:rPr>
          <w:rFonts w:ascii="Century Gothic" w:eastAsia="Calibri" w:hAnsi="Century Gothic" w:cs="Arial"/>
          <w:color w:val="000000" w:themeColor="text1"/>
          <w:lang w:val="es-ES" w:eastAsia="es-ES"/>
        </w:rPr>
        <w:t xml:space="preserve">, los siguientes: i) la capacidad jurídica; </w:t>
      </w:r>
      <w:proofErr w:type="spellStart"/>
      <w:r w:rsidRPr="330CE3FD">
        <w:rPr>
          <w:rFonts w:ascii="Century Gothic" w:eastAsia="Calibri" w:hAnsi="Century Gothic" w:cs="Arial"/>
          <w:color w:val="000000" w:themeColor="text1"/>
          <w:lang w:val="es-ES" w:eastAsia="es-ES"/>
        </w:rPr>
        <w:t>ii</w:t>
      </w:r>
      <w:proofErr w:type="spellEnd"/>
      <w:r w:rsidRPr="330CE3FD">
        <w:rPr>
          <w:rFonts w:ascii="Century Gothic" w:eastAsia="Calibri" w:hAnsi="Century Gothic" w:cs="Arial"/>
          <w:color w:val="000000" w:themeColor="text1"/>
          <w:lang w:val="es-ES" w:eastAsia="es-ES"/>
        </w:rPr>
        <w:t xml:space="preserve">) la experiencia; </w:t>
      </w:r>
      <w:proofErr w:type="spellStart"/>
      <w:r w:rsidRPr="330CE3FD">
        <w:rPr>
          <w:rFonts w:ascii="Century Gothic" w:eastAsia="Calibri" w:hAnsi="Century Gothic" w:cs="Arial"/>
          <w:color w:val="000000" w:themeColor="text1"/>
          <w:lang w:val="es-ES" w:eastAsia="es-ES"/>
        </w:rPr>
        <w:t>iii</w:t>
      </w:r>
      <w:proofErr w:type="spellEnd"/>
      <w:r w:rsidRPr="330CE3FD">
        <w:rPr>
          <w:rFonts w:ascii="Century Gothic" w:eastAsia="Calibri" w:hAnsi="Century Gothic" w:cs="Arial"/>
          <w:color w:val="000000" w:themeColor="text1"/>
          <w:lang w:val="es-ES" w:eastAsia="es-ES"/>
        </w:rPr>
        <w:t xml:space="preserve">) la capacidad financiera y </w:t>
      </w:r>
      <w:proofErr w:type="spellStart"/>
      <w:r w:rsidRPr="330CE3FD">
        <w:rPr>
          <w:rFonts w:ascii="Century Gothic" w:eastAsia="Calibri" w:hAnsi="Century Gothic" w:cs="Arial"/>
          <w:color w:val="000000" w:themeColor="text1"/>
          <w:lang w:val="es-ES" w:eastAsia="es-ES"/>
        </w:rPr>
        <w:t>iv</w:t>
      </w:r>
      <w:proofErr w:type="spellEnd"/>
      <w:r w:rsidRPr="330CE3FD">
        <w:rPr>
          <w:rFonts w:ascii="Century Gothic" w:eastAsia="Calibri" w:hAnsi="Century Gothic" w:cs="Arial"/>
          <w:color w:val="000000" w:themeColor="text1"/>
          <w:lang w:val="es-ES" w:eastAsia="es-ES"/>
        </w:rPr>
        <w:t>) la capacidad de organización. En efecto, la normativa citada prescribe lo siguiente:</w:t>
      </w:r>
    </w:p>
    <w:p w14:paraId="4ABA65CD" w14:textId="77777777" w:rsidR="003675AB" w:rsidRPr="003675AB" w:rsidRDefault="003675AB" w:rsidP="003675AB">
      <w:pPr>
        <w:spacing w:after="0" w:line="276" w:lineRule="auto"/>
        <w:ind w:firstLine="709"/>
        <w:jc w:val="both"/>
        <w:rPr>
          <w:rFonts w:ascii="Century Gothic" w:eastAsia="Calibri" w:hAnsi="Century Gothic" w:cs="Arial"/>
          <w:color w:val="000000" w:themeColor="text1"/>
          <w:lang w:val="es-ES_tradnl" w:eastAsia="es-ES_tradnl"/>
        </w:rPr>
      </w:pPr>
      <w:r w:rsidRPr="003675AB">
        <w:rPr>
          <w:rFonts w:ascii="Century Gothic" w:eastAsia="Calibri" w:hAnsi="Century Gothic" w:cs="Arial"/>
          <w:color w:val="000000" w:themeColor="text1"/>
          <w:lang w:val="es-ES_tradnl" w:eastAsia="es-ES_tradnl"/>
        </w:rPr>
        <w:t xml:space="preserve"> </w:t>
      </w:r>
    </w:p>
    <w:p w14:paraId="6BE04E40" w14:textId="77777777" w:rsidR="003675AB" w:rsidRPr="006B76D4" w:rsidRDefault="003675AB" w:rsidP="003675AB">
      <w:pPr>
        <w:spacing w:after="0" w:line="240" w:lineRule="auto"/>
        <w:ind w:left="1134" w:right="709"/>
        <w:jc w:val="both"/>
        <w:rPr>
          <w:rFonts w:ascii="Century Gothic" w:eastAsia="Calibri" w:hAnsi="Century Gothic" w:cs="Arial"/>
          <w:color w:val="000000" w:themeColor="text1"/>
          <w:sz w:val="20"/>
          <w:szCs w:val="20"/>
          <w:lang w:val="es-ES_tradnl" w:eastAsia="es-ES_tradnl"/>
        </w:rPr>
      </w:pPr>
      <w:r w:rsidRPr="006B76D4">
        <w:rPr>
          <w:rFonts w:ascii="Century Gothic" w:eastAsia="Calibri" w:hAnsi="Century Gothic" w:cs="Arial"/>
          <w:i/>
          <w:iCs/>
          <w:color w:val="000000" w:themeColor="text1"/>
          <w:sz w:val="20"/>
          <w:szCs w:val="20"/>
          <w:lang w:val="es-ES_tradnl" w:eastAsia="es-ES_tradnl"/>
        </w:rPr>
        <w:t>“</w:t>
      </w:r>
      <w:r w:rsidRPr="006B76D4">
        <w:rPr>
          <w:rFonts w:ascii="Century Gothic" w:eastAsia="Calibri" w:hAnsi="Century Gothic" w:cs="Arial"/>
          <w:color w:val="000000" w:themeColor="text1"/>
          <w:sz w:val="20"/>
          <w:szCs w:val="20"/>
          <w:lang w:val="es-ES_tradnl" w:eastAsia="es-ES_tradnl"/>
        </w:rPr>
        <w:t xml:space="preserve">Artículo 5. De la Selección Objetiva. </w:t>
      </w:r>
    </w:p>
    <w:p w14:paraId="1726D2DB" w14:textId="77777777" w:rsidR="003675AB" w:rsidRPr="006B76D4" w:rsidRDefault="003675AB" w:rsidP="003675AB">
      <w:pPr>
        <w:spacing w:after="0" w:line="240" w:lineRule="auto"/>
        <w:ind w:left="1134" w:right="709"/>
        <w:jc w:val="both"/>
        <w:rPr>
          <w:rFonts w:ascii="Century Gothic" w:eastAsia="Calibri" w:hAnsi="Century Gothic" w:cs="Arial"/>
          <w:color w:val="000000" w:themeColor="text1"/>
          <w:sz w:val="20"/>
          <w:szCs w:val="20"/>
          <w:lang w:val="es-ES_tradnl" w:eastAsia="es-ES_tradnl"/>
        </w:rPr>
      </w:pPr>
      <w:r w:rsidRPr="006B76D4">
        <w:rPr>
          <w:rFonts w:ascii="Century Gothic" w:eastAsia="Calibri" w:hAnsi="Century Gothic" w:cs="Arial"/>
          <w:color w:val="000000" w:themeColor="text1"/>
          <w:sz w:val="20"/>
          <w:szCs w:val="20"/>
          <w:lang w:val="es-ES_tradnl" w:eastAsia="es-ES_tradnl"/>
        </w:rPr>
        <w:t>[…]</w:t>
      </w:r>
    </w:p>
    <w:p w14:paraId="4773DAB9" w14:textId="2867710C" w:rsidR="003675AB" w:rsidRPr="006B76D4" w:rsidRDefault="003675AB" w:rsidP="330CE3FD">
      <w:pPr>
        <w:pStyle w:val="Prrafodelista"/>
        <w:numPr>
          <w:ilvl w:val="0"/>
          <w:numId w:val="22"/>
        </w:numPr>
        <w:spacing w:after="0" w:line="240" w:lineRule="auto"/>
        <w:ind w:right="709"/>
        <w:jc w:val="both"/>
        <w:rPr>
          <w:rFonts w:ascii="Century Gothic" w:eastAsia="Calibri" w:hAnsi="Century Gothic" w:cs="Arial"/>
          <w:color w:val="000000" w:themeColor="text1"/>
          <w:sz w:val="20"/>
          <w:szCs w:val="20"/>
          <w:lang w:val="es-ES"/>
        </w:rPr>
      </w:pPr>
      <w:r w:rsidRPr="330CE3FD">
        <w:rPr>
          <w:rFonts w:ascii="Century Gothic" w:eastAsia="Calibri" w:hAnsi="Century Gothic" w:cs="Arial"/>
          <w:color w:val="000000" w:themeColor="text1"/>
          <w:sz w:val="20"/>
          <w:szCs w:val="20"/>
          <w:lang w:val="es-ES"/>
        </w:rPr>
        <w:t>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51A0FF1A" w14:textId="77777777" w:rsidR="006B76D4" w:rsidRPr="006B76D4" w:rsidRDefault="006B76D4" w:rsidP="006B76D4">
      <w:pPr>
        <w:pStyle w:val="Prrafodelista"/>
        <w:spacing w:after="0" w:line="240" w:lineRule="auto"/>
        <w:ind w:left="1494" w:right="709"/>
        <w:jc w:val="both"/>
        <w:rPr>
          <w:rFonts w:ascii="Century Gothic" w:eastAsia="Calibri" w:hAnsi="Century Gothic" w:cs="Arial"/>
          <w:color w:val="000000" w:themeColor="text1"/>
          <w:sz w:val="20"/>
          <w:szCs w:val="20"/>
          <w:lang w:val="es-ES_tradnl"/>
        </w:rPr>
      </w:pPr>
    </w:p>
    <w:p w14:paraId="473B46E2" w14:textId="6D202DB9" w:rsidR="003675AB" w:rsidRPr="003675AB" w:rsidRDefault="003675AB" w:rsidP="003675AB">
      <w:pPr>
        <w:pStyle w:val="Prrafodelista"/>
        <w:numPr>
          <w:ilvl w:val="0"/>
          <w:numId w:val="21"/>
        </w:numPr>
        <w:spacing w:after="120" w:line="276" w:lineRule="auto"/>
        <w:jc w:val="both"/>
        <w:rPr>
          <w:rFonts w:ascii="Century Gothic" w:eastAsia="Calibri" w:hAnsi="Century Gothic" w:cs="Arial"/>
          <w:lang w:val="es-MX"/>
        </w:rPr>
      </w:pPr>
      <w:r w:rsidRPr="003675AB">
        <w:rPr>
          <w:rFonts w:ascii="Century Gothic" w:eastAsia="Calibri" w:hAnsi="Century Gothic" w:cs="Arial"/>
          <w:lang w:val="es-MX"/>
        </w:rPr>
        <w:t>Una vez fijados los requisitos habilitantes por la Entidad Estatal, quienes presenten ofertas deben acreditar que cumplen con los mismos, pues, en el evento contrario, las propuestas deberán ser rechazadas. El ente encargado de verificar el cumplimiento por parte de los proponentes sobre los requisitos que haya considerado la entidad como habilitantes será la Cámara de Comercio, esto en la medida en que, mediante el Registro Único de Proponentes –RUP</w:t>
      </w:r>
      <w:r w:rsidRPr="003675AB">
        <w:rPr>
          <w:rFonts w:ascii="Century Gothic" w:hAnsi="Century Gothic"/>
          <w:color w:val="000000" w:themeColor="text1"/>
          <w:vertAlign w:val="superscript"/>
          <w:lang w:val="es-ES_tradnl" w:eastAsia="es-ES_tradnl"/>
        </w:rPr>
        <w:footnoteReference w:id="3"/>
      </w:r>
      <w:r w:rsidRPr="003675AB">
        <w:rPr>
          <w:rFonts w:ascii="Century Gothic" w:eastAsia="Calibri" w:hAnsi="Century Gothic" w:cs="Arial"/>
          <w:lang w:val="es-MX"/>
        </w:rPr>
        <w:t xml:space="preserve">–, se pondrá de presente toda la información relacionada </w:t>
      </w:r>
      <w:r w:rsidRPr="003675AB">
        <w:rPr>
          <w:rFonts w:ascii="Century Gothic" w:eastAsia="Calibri" w:hAnsi="Century Gothic" w:cs="Arial"/>
          <w:lang w:val="es-MX"/>
        </w:rPr>
        <w:lastRenderedPageBreak/>
        <w:t xml:space="preserve">con la experiencia, capacidad jurídica, capacidad financiera y organizacional, así como la clasificación del proponente. </w:t>
      </w:r>
    </w:p>
    <w:p w14:paraId="23D008E3" w14:textId="77777777" w:rsidR="003675AB" w:rsidRPr="003675AB" w:rsidRDefault="003675AB" w:rsidP="003675AB">
      <w:pPr>
        <w:pStyle w:val="Prrafodelista"/>
        <w:numPr>
          <w:ilvl w:val="0"/>
          <w:numId w:val="21"/>
        </w:numPr>
        <w:spacing w:after="120" w:line="276" w:lineRule="auto"/>
        <w:jc w:val="both"/>
        <w:rPr>
          <w:rFonts w:ascii="Century Gothic" w:eastAsia="Calibri" w:hAnsi="Century Gothic" w:cs="Arial"/>
          <w:lang w:val="es-MX"/>
        </w:rPr>
      </w:pPr>
      <w:r w:rsidRPr="003675AB">
        <w:rPr>
          <w:rFonts w:ascii="Century Gothic" w:eastAsia="Calibri" w:hAnsi="Century Gothic" w:cs="Arial"/>
          <w:lang w:val="es-MX"/>
        </w:rPr>
        <w:t>El artículo 6 de la Ley 1150 de 2007, que regula los sujetos que deben inscribirse en el RUP, señaló que deben hacerlo las personas naturales o jurídicas, nacionales o extranjeras que tengan domicilio o sucursal en el país. Estas personas tienen la obligación de registrarse en el RUP, en dos casos: a) cuando pretendan celebrar contratos estatales y b) si el procedimiento de contratación es de aquellos en los cuales no se exceptúa el RUP, de acuerdo con el inciso segundo del artículo 6 de la Ley 1150 de 2007 –contratación directa, contratos para la prestación de servicios de salud, contratos de mínima cuantía, entre otros puestos de presente por la norma–. De esto se desprende que las personas extranjeras sin domicilio o sucursal en Colombia que pretendan celebrar contratos con el Estado colombiano no están obligadas a inscribirse en el RUP, puesto que, tratándose de proponentes extranjeros la norma únicamente señala como obligados a quienes tengan domicilio o sucursal en el país. En consecuencia, este tipo de proponentes extranjeros deberán acreditar la experiencia y los demás requisitos habilitantes exigidos en los procesos de selección de contratación pública en los que participen mediante la presentación de los documentos que cumplan con los requisitos de validez dispuestos por la ley y el pliego de condiciones que haya determinado previamente la Entidad Estatal, para que sirvan de prueba, y la Entidad Estatal deberá realizar una verificación directa del cumplimiento de los requisitos habilitantes.</w:t>
      </w:r>
    </w:p>
    <w:p w14:paraId="55D0319C" w14:textId="36778FAF" w:rsidR="003675AB" w:rsidRPr="003675AB" w:rsidRDefault="003675AB" w:rsidP="003675AB">
      <w:pPr>
        <w:pStyle w:val="Prrafodelista"/>
        <w:numPr>
          <w:ilvl w:val="0"/>
          <w:numId w:val="21"/>
        </w:numPr>
        <w:spacing w:after="120" w:line="276" w:lineRule="auto"/>
        <w:jc w:val="both"/>
        <w:rPr>
          <w:rFonts w:ascii="Century Gothic" w:eastAsia="Calibri" w:hAnsi="Century Gothic" w:cs="Arial"/>
          <w:lang w:val="es-MX"/>
        </w:rPr>
      </w:pPr>
      <w:r w:rsidRPr="003675AB">
        <w:rPr>
          <w:rFonts w:ascii="Century Gothic" w:eastAsia="Calibri" w:hAnsi="Century Gothic" w:cs="Arial"/>
          <w:color w:val="000000"/>
          <w:lang w:val="es-MX" w:eastAsia="es-ES_tradnl"/>
        </w:rPr>
        <w:t xml:space="preserve">Ahora bien, dentro de los requisitos habilitantes se destaca la capacidad financiera, la cual </w:t>
      </w:r>
      <w:r w:rsidRPr="003675AB">
        <w:rPr>
          <w:rFonts w:ascii="Century Gothic" w:eastAsia="Calibri" w:hAnsi="Century Gothic" w:cs="Arial"/>
          <w:lang w:val="es-MX"/>
        </w:rPr>
        <w:t xml:space="preserve">se deriva del comportamiento contable de la empresa, su liquidez y endeudamiento, para determinar que sus recursos y solidez financiera le permita cumplir los compromisos que adquiera. Como explica esta Agencia en el </w:t>
      </w:r>
      <w:r w:rsidRPr="003675AB">
        <w:rPr>
          <w:rFonts w:ascii="Century Gothic" w:eastAsia="Calibri" w:hAnsi="Century Gothic" w:cs="Arial"/>
          <w:i/>
          <w:iCs/>
          <w:lang w:val="es-MX"/>
        </w:rPr>
        <w:t>Manual para determinar y verificar los requisitos habilitantes en los procesos de contratación</w:t>
      </w:r>
      <w:r w:rsidRPr="003675AB">
        <w:rPr>
          <w:rFonts w:ascii="Century Gothic" w:eastAsia="Calibri" w:hAnsi="Century Gothic" w:cs="Arial"/>
          <w:lang w:val="es-MX"/>
        </w:rPr>
        <w:t xml:space="preserve">: </w:t>
      </w:r>
      <w:r w:rsidRPr="003675AB">
        <w:rPr>
          <w:rFonts w:ascii="Century Gothic" w:eastAsia="Calibri" w:hAnsi="Century Gothic" w:cs="Arial"/>
          <w:i/>
          <w:iCs/>
          <w:lang w:val="es-MX"/>
        </w:rPr>
        <w:t xml:space="preserve">“Los indicadores de capacidad financiera buscan establecer unas condiciones mínimas que reflejan la salud financiera de los proponentes a través de su liquidez y endeudamiento. Estas condiciones muestran la aptitud del proponente para </w:t>
      </w:r>
      <w:r w:rsidRPr="003675AB">
        <w:rPr>
          <w:rFonts w:ascii="Century Gothic" w:eastAsia="Calibri" w:hAnsi="Century Gothic" w:cs="Arial"/>
          <w:i/>
          <w:iCs/>
          <w:lang w:val="es-MX"/>
        </w:rPr>
        <w:lastRenderedPageBreak/>
        <w:t>cumplir oportuna y cabalmente el objeto del contrato”</w:t>
      </w:r>
      <w:r w:rsidRPr="003675AB">
        <w:rPr>
          <w:rFonts w:ascii="Century Gothic" w:hAnsi="Century Gothic"/>
          <w:i/>
          <w:iCs/>
          <w:color w:val="000000"/>
          <w:vertAlign w:val="superscript"/>
          <w:lang w:val="es-ES_tradnl" w:eastAsia="es-ES_tradnl"/>
        </w:rPr>
        <w:footnoteReference w:id="4"/>
      </w:r>
      <w:r w:rsidRPr="003675AB">
        <w:rPr>
          <w:rFonts w:ascii="Century Gothic" w:eastAsia="Calibri" w:hAnsi="Century Gothic" w:cs="Arial"/>
          <w:i/>
          <w:iCs/>
          <w:color w:val="000000"/>
          <w:lang w:val="es-ES_tradnl" w:eastAsia="es-ES_tradnl"/>
        </w:rPr>
        <w:t>.</w:t>
      </w:r>
      <w:r w:rsidRPr="003675AB">
        <w:rPr>
          <w:rFonts w:ascii="Century Gothic" w:eastAsia="Calibri" w:hAnsi="Century Gothic" w:cs="Arial"/>
          <w:color w:val="000000"/>
          <w:lang w:val="es-MX" w:eastAsia="es-ES_tradnl"/>
        </w:rPr>
        <w:t xml:space="preserve"> 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sector</w:t>
      </w:r>
      <w:r w:rsidRPr="003675AB">
        <w:rPr>
          <w:rFonts w:ascii="Century Gothic" w:hAnsi="Century Gothic"/>
          <w:color w:val="000000"/>
          <w:vertAlign w:val="superscript"/>
          <w:lang w:val="es-MX" w:eastAsia="es-ES_tradnl"/>
        </w:rPr>
        <w:footnoteReference w:id="5"/>
      </w:r>
      <w:r w:rsidRPr="003675AB">
        <w:rPr>
          <w:rFonts w:ascii="Century Gothic" w:eastAsia="Calibri" w:hAnsi="Century Gothic" w:cs="Arial"/>
          <w:color w:val="000000"/>
          <w:lang w:val="es-MX" w:eastAsia="es-ES_tradnl"/>
        </w:rPr>
        <w:t xml:space="preserve"> y sus componentes como la identificación de riesgos, el mercado y precio del bien, obra o servicio a contratar</w:t>
      </w:r>
      <w:r w:rsidRPr="003675AB">
        <w:rPr>
          <w:rFonts w:ascii="Century Gothic" w:hAnsi="Century Gothic"/>
          <w:color w:val="000000"/>
          <w:vertAlign w:val="superscript"/>
          <w:lang w:val="es-MX" w:eastAsia="es-ES_tradnl"/>
        </w:rPr>
        <w:footnoteReference w:id="6"/>
      </w:r>
      <w:r w:rsidRPr="003675AB">
        <w:rPr>
          <w:rFonts w:ascii="Century Gothic" w:eastAsia="Calibri" w:hAnsi="Century Gothic" w:cs="Arial"/>
          <w:color w:val="000000"/>
          <w:lang w:val="es-MX" w:eastAsia="es-ES_tradnl"/>
        </w:rPr>
        <w:t>.</w:t>
      </w:r>
    </w:p>
    <w:p w14:paraId="2F0C01BE" w14:textId="77777777" w:rsidR="003675AB" w:rsidRPr="003675AB" w:rsidRDefault="003675AB" w:rsidP="003675AB">
      <w:pPr>
        <w:pStyle w:val="Prrafodelista"/>
        <w:numPr>
          <w:ilvl w:val="0"/>
          <w:numId w:val="21"/>
        </w:numPr>
        <w:spacing w:before="120" w:after="120" w:line="276" w:lineRule="auto"/>
        <w:jc w:val="both"/>
        <w:rPr>
          <w:rFonts w:ascii="Century Gothic" w:eastAsia="Calibri" w:hAnsi="Century Gothic" w:cs="Arial"/>
          <w:color w:val="000000"/>
          <w:lang w:val="es-ES_tradnl" w:eastAsia="es-ES_tradnl"/>
        </w:rPr>
      </w:pPr>
      <w:r w:rsidRPr="003675AB">
        <w:rPr>
          <w:rFonts w:ascii="Century Gothic" w:eastAsia="Calibri" w:hAnsi="Century Gothic" w:cs="Arial"/>
          <w:color w:val="000000"/>
          <w:lang w:val="es-ES_tradnl" w:eastAsia="es-ES_tradnl"/>
        </w:rPr>
        <w:t xml:space="preserve">De conformidad con lo dispuesto en los artículos 5, numeral 1 de la Ley 1150 de 2007 y 2.2.1.1.1.5.3 del Decreto 1082 de 2015, por regla general, la acreditación del requisito habilitante de capacidad financiera se realiza a través del RUP. En atención a esto, para los tramites de inscripción, renovación y actualización el numeral 2.3 del artículo 2.2.1.1.1.5.2 del Decreto 1082 de 2015 exige la presentación de los </w:t>
      </w:r>
      <w:r w:rsidRPr="003675AB">
        <w:rPr>
          <w:rFonts w:ascii="Century Gothic" w:eastAsia="Calibri" w:hAnsi="Century Gothic" w:cs="Arial"/>
          <w:i/>
          <w:iCs/>
          <w:color w:val="000000"/>
          <w:lang w:val="es-ES_tradnl" w:eastAsia="es-ES_tradnl"/>
        </w:rPr>
        <w:t>“</w:t>
      </w:r>
      <w:r w:rsidRPr="003675AB">
        <w:rPr>
          <w:rFonts w:ascii="Century Gothic" w:hAnsi="Century Gothic" w:cs="Arial"/>
          <w:i/>
          <w:iCs/>
          <w:color w:val="000000"/>
        </w:rPr>
        <w:t>Estados financieros de la sociedad y los estados financieros consolidados del grupo empresarial, cuando la norma aplicable lo exige, auditados con sus notas […]”</w:t>
      </w:r>
      <w:r w:rsidRPr="003675AB">
        <w:rPr>
          <w:rFonts w:ascii="Century Gothic" w:eastAsia="Calibri" w:hAnsi="Century Gothic" w:cs="Arial"/>
          <w:color w:val="000000"/>
          <w:lang w:val="es-ES_tradnl" w:eastAsia="es-ES_tradnl"/>
        </w:rPr>
        <w:t>, además de unos anexos dirigidos a servir de medio de verificación de la salud financiera de los proponentes</w:t>
      </w:r>
      <w:r w:rsidRPr="003675AB">
        <w:rPr>
          <w:rStyle w:val="Refdenotaalpie"/>
          <w:rFonts w:ascii="Century Gothic" w:eastAsia="Calibri" w:hAnsi="Century Gothic" w:cs="Arial"/>
          <w:color w:val="000000"/>
          <w:lang w:val="es-ES_tradnl" w:eastAsia="es-ES_tradnl"/>
        </w:rPr>
        <w:footnoteReference w:id="7"/>
      </w:r>
      <w:r w:rsidRPr="003675AB">
        <w:rPr>
          <w:rFonts w:ascii="Century Gothic" w:eastAsia="Calibri" w:hAnsi="Century Gothic" w:cs="Arial"/>
          <w:color w:val="000000"/>
          <w:lang w:val="es-ES_tradnl" w:eastAsia="es-ES_tradnl"/>
        </w:rPr>
        <w:t xml:space="preserve">.  De este modo, lo que se verifica con el </w:t>
      </w:r>
      <w:r w:rsidRPr="003675AB">
        <w:rPr>
          <w:rFonts w:ascii="Century Gothic" w:eastAsia="Calibri" w:hAnsi="Century Gothic" w:cs="Arial"/>
          <w:color w:val="000000"/>
          <w:lang w:val="es-ES_tradnl" w:eastAsia="es-ES_tradnl"/>
        </w:rPr>
        <w:lastRenderedPageBreak/>
        <w:t xml:space="preserve">registro es que el proponente cumpla con los indicadores financieros solicitados por la entidad para medir la capacidad financiera requerida para el procedimiento de selección. </w:t>
      </w:r>
    </w:p>
    <w:p w14:paraId="7AABA837" w14:textId="77777777" w:rsidR="003675AB" w:rsidRPr="003675AB" w:rsidRDefault="003675AB" w:rsidP="330CE3FD">
      <w:pPr>
        <w:pStyle w:val="Prrafodelista"/>
        <w:numPr>
          <w:ilvl w:val="0"/>
          <w:numId w:val="21"/>
        </w:numPr>
        <w:spacing w:before="120" w:after="120" w:line="276" w:lineRule="auto"/>
        <w:jc w:val="both"/>
        <w:rPr>
          <w:rFonts w:ascii="Century Gothic" w:eastAsia="Calibri" w:hAnsi="Century Gothic" w:cs="Arial"/>
          <w:color w:val="000000"/>
          <w:lang w:val="es-ES" w:eastAsia="es-ES"/>
        </w:rPr>
      </w:pPr>
      <w:r w:rsidRPr="330CE3FD">
        <w:rPr>
          <w:rFonts w:ascii="Century Gothic" w:eastAsia="Calibri" w:hAnsi="Century Gothic" w:cs="Arial"/>
          <w:color w:val="000000"/>
          <w:lang w:val="es-ES" w:eastAsia="es-ES"/>
        </w:rPr>
        <w:t xml:space="preserve">Según el artículo 2.2.1.1.1.5.3. del Decreto 1082 de 2015, el RUP contempla como indicadores de capacidad financiera los siguientes: i) el </w:t>
      </w:r>
      <w:r w:rsidRPr="330CE3FD">
        <w:rPr>
          <w:rFonts w:ascii="Century Gothic" w:eastAsia="Calibri" w:hAnsi="Century Gothic" w:cs="Arial"/>
          <w:i/>
          <w:iCs/>
          <w:color w:val="000000"/>
          <w:lang w:val="es-ES" w:eastAsia="es-ES"/>
        </w:rPr>
        <w:t>índice de liquidez</w:t>
      </w:r>
      <w:r w:rsidRPr="330CE3FD">
        <w:rPr>
          <w:rFonts w:ascii="Century Gothic" w:eastAsia="Calibri" w:hAnsi="Century Gothic" w:cs="Arial"/>
          <w:color w:val="000000"/>
          <w:lang w:val="es-ES" w:eastAsia="es-ES"/>
        </w:rPr>
        <w:t xml:space="preserve">, que corresponde a la división entre el activo corriente y el pasivo corriente, y que determina la capacidad que tiene el proponente para cumplir con sus obligaciones de corto plazo; </w:t>
      </w:r>
      <w:proofErr w:type="spellStart"/>
      <w:r w:rsidRPr="330CE3FD">
        <w:rPr>
          <w:rFonts w:ascii="Century Gothic" w:eastAsia="Calibri" w:hAnsi="Century Gothic" w:cs="Arial"/>
          <w:color w:val="000000"/>
          <w:lang w:val="es-ES" w:eastAsia="es-ES"/>
        </w:rPr>
        <w:t>ii</w:t>
      </w:r>
      <w:proofErr w:type="spellEnd"/>
      <w:r w:rsidRPr="330CE3FD">
        <w:rPr>
          <w:rFonts w:ascii="Century Gothic" w:eastAsia="Calibri" w:hAnsi="Century Gothic" w:cs="Arial"/>
          <w:color w:val="000000"/>
          <w:lang w:val="es-ES" w:eastAsia="es-ES"/>
        </w:rPr>
        <w:t xml:space="preserve">) el </w:t>
      </w:r>
      <w:r w:rsidRPr="330CE3FD">
        <w:rPr>
          <w:rFonts w:ascii="Century Gothic" w:eastAsia="Calibri" w:hAnsi="Century Gothic" w:cs="Arial"/>
          <w:i/>
          <w:iCs/>
          <w:color w:val="000000"/>
          <w:lang w:val="es-ES" w:eastAsia="es-ES"/>
        </w:rPr>
        <w:t>índice de endeudamiento</w:t>
      </w:r>
      <w:r w:rsidRPr="330CE3FD">
        <w:rPr>
          <w:rFonts w:ascii="Century Gothic" w:eastAsia="Calibri" w:hAnsi="Century Gothic" w:cs="Arial"/>
          <w:color w:val="000000"/>
          <w:lang w:val="es-ES" w:eastAsia="es-ES"/>
        </w:rPr>
        <w:t xml:space="preserve">, que se calcula dividiendo el pasivo total por el activo total, el cual determina el grado de endeudamiento en la estructura de financiación del proponente; y </w:t>
      </w:r>
      <w:proofErr w:type="spellStart"/>
      <w:r w:rsidRPr="330CE3FD">
        <w:rPr>
          <w:rFonts w:ascii="Century Gothic" w:eastAsia="Calibri" w:hAnsi="Century Gothic" w:cs="Arial"/>
          <w:color w:val="000000"/>
          <w:lang w:val="es-ES" w:eastAsia="es-ES"/>
        </w:rPr>
        <w:t>iii</w:t>
      </w:r>
      <w:proofErr w:type="spellEnd"/>
      <w:r w:rsidRPr="330CE3FD">
        <w:rPr>
          <w:rFonts w:ascii="Century Gothic" w:eastAsia="Calibri" w:hAnsi="Century Gothic" w:cs="Arial"/>
          <w:color w:val="000000"/>
          <w:lang w:val="es-ES" w:eastAsia="es-ES"/>
        </w:rPr>
        <w:t xml:space="preserve">) la </w:t>
      </w:r>
      <w:r w:rsidRPr="330CE3FD">
        <w:rPr>
          <w:rFonts w:ascii="Century Gothic" w:eastAsia="Calibri" w:hAnsi="Century Gothic" w:cs="Arial"/>
          <w:i/>
          <w:iCs/>
          <w:color w:val="000000"/>
          <w:lang w:val="es-ES" w:eastAsia="es-ES"/>
        </w:rPr>
        <w:t>razón de cobertura de intereses</w:t>
      </w:r>
      <w:r w:rsidRPr="330CE3FD">
        <w:rPr>
          <w:rFonts w:ascii="Century Gothic" w:eastAsia="Calibri" w:hAnsi="Century Gothic" w:cs="Arial"/>
          <w:color w:val="000000"/>
          <w:lang w:val="es-ES" w:eastAsia="es-ES"/>
        </w:rPr>
        <w:t xml:space="preserve">,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como el </w:t>
      </w:r>
      <w:r w:rsidRPr="330CE3FD">
        <w:rPr>
          <w:rFonts w:ascii="Century Gothic" w:eastAsia="Calibri" w:hAnsi="Century Gothic" w:cs="Arial"/>
          <w:i/>
          <w:iCs/>
          <w:color w:val="000000"/>
          <w:lang w:val="es-ES" w:eastAsia="es-ES"/>
        </w:rPr>
        <w:t>capital de trabajo</w:t>
      </w:r>
      <w:r w:rsidRPr="330CE3FD">
        <w:rPr>
          <w:rFonts w:ascii="Century Gothic" w:eastAsia="Calibri" w:hAnsi="Century Gothic" w:cs="Arial"/>
          <w:color w:val="000000"/>
          <w:lang w:val="es-ES" w:eastAsia="es-ES"/>
        </w:rPr>
        <w:t xml:space="preserve">, la </w:t>
      </w:r>
      <w:r w:rsidRPr="330CE3FD">
        <w:rPr>
          <w:rFonts w:ascii="Century Gothic" w:eastAsia="Calibri" w:hAnsi="Century Gothic" w:cs="Arial"/>
          <w:i/>
          <w:iCs/>
          <w:color w:val="000000"/>
          <w:lang w:val="es-ES" w:eastAsia="es-ES"/>
        </w:rPr>
        <w:t>razón de efectivo</w:t>
      </w:r>
      <w:r w:rsidRPr="330CE3FD">
        <w:rPr>
          <w:rFonts w:ascii="Century Gothic" w:eastAsia="Calibri" w:hAnsi="Century Gothic" w:cs="Arial"/>
          <w:color w:val="000000"/>
          <w:lang w:val="es-ES" w:eastAsia="es-ES"/>
        </w:rPr>
        <w:t xml:space="preserve">, la denominada </w:t>
      </w:r>
      <w:r w:rsidRPr="330CE3FD">
        <w:rPr>
          <w:rFonts w:ascii="Century Gothic" w:eastAsia="Calibri" w:hAnsi="Century Gothic" w:cs="Arial"/>
          <w:i/>
          <w:iCs/>
          <w:color w:val="000000"/>
          <w:lang w:val="es-ES" w:eastAsia="es-ES"/>
        </w:rPr>
        <w:t>prueba ácida</w:t>
      </w:r>
      <w:r w:rsidRPr="330CE3FD">
        <w:rPr>
          <w:rFonts w:ascii="Century Gothic" w:hAnsi="Century Gothic"/>
          <w:vertAlign w:val="superscript"/>
          <w:lang w:val="es-ES" w:eastAsia="es-ES"/>
        </w:rPr>
        <w:footnoteReference w:id="8"/>
      </w:r>
      <w:r w:rsidRPr="330CE3FD">
        <w:rPr>
          <w:rFonts w:ascii="Century Gothic" w:eastAsia="Calibri" w:hAnsi="Century Gothic" w:cs="Arial"/>
          <w:color w:val="000000"/>
          <w:lang w:val="es-ES" w:eastAsia="es-ES"/>
        </w:rPr>
        <w:t xml:space="preserve">, la </w:t>
      </w:r>
      <w:r w:rsidRPr="330CE3FD">
        <w:rPr>
          <w:rFonts w:ascii="Century Gothic" w:eastAsia="Calibri" w:hAnsi="Century Gothic" w:cs="Arial"/>
          <w:i/>
          <w:iCs/>
          <w:color w:val="000000"/>
          <w:lang w:val="es-ES" w:eastAsia="es-ES"/>
        </w:rPr>
        <w:t xml:space="preserve">concentración de endeudamiento a corto </w:t>
      </w:r>
      <w:r w:rsidRPr="330CE3FD">
        <w:rPr>
          <w:rFonts w:ascii="Century Gothic" w:eastAsia="Calibri" w:hAnsi="Century Gothic" w:cs="Arial"/>
          <w:color w:val="000000"/>
          <w:lang w:val="es-ES" w:eastAsia="es-ES"/>
        </w:rPr>
        <w:t>y</w:t>
      </w:r>
      <w:r w:rsidRPr="330CE3FD">
        <w:rPr>
          <w:rFonts w:ascii="Century Gothic" w:eastAsia="Calibri" w:hAnsi="Century Gothic" w:cs="Arial"/>
          <w:i/>
          <w:iCs/>
          <w:color w:val="000000"/>
          <w:lang w:val="es-ES" w:eastAsia="es-ES"/>
        </w:rPr>
        <w:t xml:space="preserve"> a largo plazo</w:t>
      </w:r>
      <w:r w:rsidRPr="330CE3FD">
        <w:rPr>
          <w:rFonts w:ascii="Century Gothic" w:eastAsia="Calibri" w:hAnsi="Century Gothic" w:cs="Arial"/>
          <w:color w:val="000000"/>
          <w:lang w:val="es-ES" w:eastAsia="es-ES"/>
        </w:rPr>
        <w:t xml:space="preserve"> y el </w:t>
      </w:r>
      <w:r w:rsidRPr="330CE3FD">
        <w:rPr>
          <w:rFonts w:ascii="Century Gothic" w:eastAsia="Calibri" w:hAnsi="Century Gothic" w:cs="Arial"/>
          <w:i/>
          <w:iCs/>
          <w:color w:val="000000"/>
          <w:lang w:val="es-ES" w:eastAsia="es-ES"/>
        </w:rPr>
        <w:t>patrimonio</w:t>
      </w:r>
      <w:r w:rsidRPr="330CE3FD">
        <w:rPr>
          <w:rFonts w:ascii="Century Gothic" w:hAnsi="Century Gothic"/>
          <w:i/>
          <w:iCs/>
          <w:vertAlign w:val="superscript"/>
          <w:lang w:val="es-ES" w:eastAsia="es-ES"/>
        </w:rPr>
        <w:footnoteReference w:id="9"/>
      </w:r>
      <w:r w:rsidRPr="330CE3FD">
        <w:rPr>
          <w:rFonts w:ascii="Century Gothic" w:eastAsia="Calibri" w:hAnsi="Century Gothic" w:cs="Arial"/>
          <w:color w:val="000000"/>
          <w:lang w:val="es-ES" w:eastAsia="es-ES"/>
        </w:rPr>
        <w:t>.</w:t>
      </w:r>
    </w:p>
    <w:p w14:paraId="26615026" w14:textId="77777777" w:rsidR="003675AB" w:rsidRPr="003675AB" w:rsidRDefault="003675AB" w:rsidP="003675AB">
      <w:pPr>
        <w:pStyle w:val="Prrafodelista"/>
        <w:numPr>
          <w:ilvl w:val="0"/>
          <w:numId w:val="21"/>
        </w:numPr>
        <w:spacing w:before="120" w:after="120" w:line="276" w:lineRule="auto"/>
        <w:jc w:val="both"/>
        <w:rPr>
          <w:rFonts w:ascii="Century Gothic" w:eastAsia="Calibri" w:hAnsi="Century Gothic" w:cs="Arial"/>
          <w:color w:val="000000" w:themeColor="text1"/>
          <w:lang w:val="es-ES_tradnl" w:eastAsia="es-ES_tradnl"/>
        </w:rPr>
      </w:pPr>
      <w:r w:rsidRPr="003675AB">
        <w:rPr>
          <w:rFonts w:ascii="Century Gothic" w:eastAsia="Calibri" w:hAnsi="Century Gothic" w:cs="Arial"/>
          <w:color w:val="000000" w:themeColor="text1"/>
          <w:lang w:val="es-ES_tradnl" w:eastAsia="es-ES_tradnl"/>
        </w:rPr>
        <w:t xml:space="preserve">De igual forma, es importante tener en cuenta que el numeral 3 del artículo 2.2.1.1.1.5.3. del Decreto 1082 de 2015 se refiere a los aspectos de la capacidad financiera que deben verificar las cámaras de comercio al momento de la inscripción, renovación o actualización del Registro Único de Proponentes. Sin embargo, no dispone expresamente que el índice de liquidez, el índice de endeudamiento y la razón de cobertura de intereses </w:t>
      </w:r>
      <w:r w:rsidRPr="003675AB">
        <w:rPr>
          <w:rFonts w:ascii="Century Gothic" w:eastAsia="Calibri" w:hAnsi="Century Gothic" w:cs="Arial"/>
          <w:color w:val="000000" w:themeColor="text1"/>
          <w:lang w:val="es-ES_tradnl" w:eastAsia="es-ES_tradnl"/>
        </w:rPr>
        <w:lastRenderedPageBreak/>
        <w:t>sean aspectos que deban validarse obligatoriamente en cada proceso de selección. Una cosa son los requisitos de capacidad financiera que debe certificar el registro y otra, muy diferente, los aspectos de este requisito habilitante que la entidad verifica en cada procedimiento contractual. Mientras los primeros están regulados en el artículo 2.2.1.1.1.5.3. del Decreto 1082 de 2015, los segundos debe establecerlos la entidad contratante en el pliego de condiciones o la invitación, según corresponda.</w:t>
      </w:r>
    </w:p>
    <w:p w14:paraId="6416A5D5" w14:textId="77777777" w:rsidR="00543572" w:rsidRDefault="00543572" w:rsidP="00543572">
      <w:pPr>
        <w:pStyle w:val="Prrafodelista"/>
        <w:tabs>
          <w:tab w:val="left" w:pos="142"/>
          <w:tab w:val="left" w:pos="284"/>
        </w:tabs>
        <w:spacing w:after="0" w:line="276" w:lineRule="auto"/>
        <w:ind w:left="0"/>
        <w:contextualSpacing w:val="0"/>
        <w:jc w:val="both"/>
        <w:rPr>
          <w:rFonts w:ascii="Century Gothic" w:eastAsia="Century Gothic" w:hAnsi="Century Gothic" w:cs="Century Gothic"/>
          <w:b/>
          <w:bCs/>
          <w:lang w:val="es-ES"/>
        </w:rPr>
      </w:pPr>
    </w:p>
    <w:p w14:paraId="53133908" w14:textId="7DBA031F"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Referencias normativas, jurisprudenciales y otras fuentes:</w:t>
      </w:r>
    </w:p>
    <w:p w14:paraId="237FD993"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E43EBA" w14:paraId="150F7C2A" w14:textId="77777777" w:rsidTr="002607A7">
        <w:trPr>
          <w:trHeight w:val="870"/>
        </w:trPr>
        <w:tc>
          <w:tcPr>
            <w:tcW w:w="8647" w:type="dxa"/>
          </w:tcPr>
          <w:p w14:paraId="0D5F2A9A" w14:textId="4989183B" w:rsidR="00E43EBA" w:rsidRDefault="00E43EBA"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Ley 1150 de 2007</w:t>
            </w:r>
          </w:p>
          <w:p w14:paraId="056656D9" w14:textId="67A6FDBB" w:rsidR="00685FFD" w:rsidRDefault="00685FFD"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685FFD">
              <w:rPr>
                <w:rFonts w:ascii="Century Gothic" w:eastAsia="Calibri" w:hAnsi="Century Gothic" w:cs="Arial"/>
                <w:color w:val="000000"/>
                <w:lang w:val="es-ES"/>
              </w:rPr>
              <w:t xml:space="preserve">Artículo </w:t>
            </w:r>
            <w:r w:rsidR="00543572" w:rsidRPr="006B76D4">
              <w:rPr>
                <w:rFonts w:ascii="Century Gothic" w:eastAsia="Calibri" w:hAnsi="Century Gothic" w:cs="Arial"/>
                <w:color w:val="000000"/>
                <w:lang w:val="es-ES"/>
              </w:rPr>
              <w:t xml:space="preserve">2.2.1.2.1.4.8 </w:t>
            </w:r>
            <w:r w:rsidRPr="00685FFD">
              <w:rPr>
                <w:rFonts w:ascii="Century Gothic" w:eastAsia="Calibri" w:hAnsi="Century Gothic" w:cs="Arial"/>
                <w:color w:val="000000"/>
                <w:lang w:val="es-ES"/>
              </w:rPr>
              <w:t>del Decreto Único Reglamentario 1082 de 2015</w:t>
            </w:r>
          </w:p>
          <w:p w14:paraId="190A1CF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Jurisprudencia del Consejo de Estado. Disponible en: </w:t>
            </w:r>
            <w:hyperlink r:id="rId13" w:history="1">
              <w:r w:rsidRPr="00E43EBA">
                <w:rPr>
                  <w:rFonts w:ascii="Century Gothic" w:eastAsia="Calibri" w:hAnsi="Century Gothic"/>
                  <w:color w:val="000000"/>
                  <w:lang w:val="es-ES"/>
                </w:rPr>
                <w:t>https://relatoria.colombiacompra.gov.co/providencias-consejo-de-estado/</w:t>
              </w:r>
            </w:hyperlink>
            <w:r w:rsidRPr="00E43EBA">
              <w:rPr>
                <w:rFonts w:ascii="Century Gothic" w:eastAsia="Calibri" w:hAnsi="Century Gothic" w:cs="Arial"/>
                <w:color w:val="000000"/>
                <w:lang w:val="es-ES"/>
              </w:rPr>
              <w:t xml:space="preserve"> </w:t>
            </w:r>
          </w:p>
          <w:p w14:paraId="3406253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Guías y manuales expedidos por la ANCP-CCE. Disponible en: </w:t>
            </w:r>
            <w:hyperlink r:id="rId14" w:history="1">
              <w:r w:rsidRPr="00E43EBA">
                <w:rPr>
                  <w:rFonts w:ascii="Century Gothic" w:eastAsia="Calibri" w:hAnsi="Century Gothic"/>
                  <w:color w:val="000000"/>
                  <w:lang w:val="es-ES"/>
                </w:rPr>
                <w:t>https://www.colombiacompra.gov.co/manuales-guias-y-pliegos-tipo/manuales-y-guias</w:t>
              </w:r>
            </w:hyperlink>
            <w:r w:rsidRPr="00E43EBA">
              <w:rPr>
                <w:rFonts w:ascii="Century Gothic" w:eastAsia="Calibri" w:hAnsi="Century Gothic" w:cs="Arial"/>
                <w:color w:val="000000"/>
                <w:lang w:val="es-ES"/>
              </w:rPr>
              <w:t xml:space="preserve"> </w:t>
            </w:r>
          </w:p>
          <w:p w14:paraId="6ACEA7FD" w14:textId="77777777" w:rsidR="00871B59" w:rsidRPr="00E43EBA" w:rsidRDefault="00871B59" w:rsidP="002607A7">
            <w:pPr>
              <w:widowControl w:val="0"/>
              <w:autoSpaceDE w:val="0"/>
              <w:autoSpaceDN w:val="0"/>
              <w:spacing w:after="120" w:line="276" w:lineRule="auto"/>
              <w:ind w:left="360"/>
              <w:jc w:val="both"/>
              <w:rPr>
                <w:rFonts w:ascii="Century Gothic" w:hAnsi="Century Gothic" w:cs="Arial"/>
              </w:rPr>
            </w:pPr>
          </w:p>
        </w:tc>
      </w:tr>
    </w:tbl>
    <w:p w14:paraId="0E1B166D" w14:textId="77777777" w:rsidR="00871B59" w:rsidRDefault="00871B59" w:rsidP="00871B59">
      <w:pPr>
        <w:widowControl w:val="0"/>
        <w:autoSpaceDE w:val="0"/>
        <w:autoSpaceDN w:val="0"/>
        <w:spacing w:after="0" w:line="276" w:lineRule="auto"/>
        <w:jc w:val="both"/>
        <w:rPr>
          <w:rFonts w:ascii="Century Gothic" w:hAnsi="Century Gothic" w:cs="Arial"/>
        </w:rPr>
      </w:pPr>
    </w:p>
    <w:p w14:paraId="7D95ADC8"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40380BCB"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Doctrina de la Agencia Nacional de Contratación Pública:</w:t>
      </w:r>
    </w:p>
    <w:p w14:paraId="0A6FE44F" w14:textId="77777777" w:rsidR="00685FFD" w:rsidRPr="00543572" w:rsidRDefault="00685FFD" w:rsidP="00871B59">
      <w:pPr>
        <w:widowControl w:val="0"/>
        <w:autoSpaceDE w:val="0"/>
        <w:autoSpaceDN w:val="0"/>
        <w:spacing w:after="0" w:line="276" w:lineRule="auto"/>
        <w:jc w:val="both"/>
        <w:rPr>
          <w:rFonts w:ascii="Century Gothic" w:hAnsi="Century Gothic"/>
        </w:rPr>
      </w:pPr>
    </w:p>
    <w:p w14:paraId="564CF053" w14:textId="091EC0E5" w:rsidR="00286161" w:rsidRPr="00286161" w:rsidRDefault="007A7364" w:rsidP="00286161">
      <w:pPr>
        <w:widowControl w:val="0"/>
        <w:autoSpaceDE w:val="0"/>
        <w:autoSpaceDN w:val="0"/>
        <w:spacing w:after="0" w:line="276" w:lineRule="auto"/>
        <w:jc w:val="both"/>
        <w:rPr>
          <w:rFonts w:ascii="Century Gothic" w:hAnsi="Century Gothic"/>
        </w:rPr>
      </w:pPr>
      <w:r w:rsidRPr="00543572">
        <w:rPr>
          <w:rFonts w:ascii="Century Gothic" w:hAnsi="Century Gothic"/>
        </w:rPr>
        <w:t>La Agencia Nacional de Contratación Pública – Colombia Compra Eficiente, en lo</w:t>
      </w:r>
      <w:r w:rsidR="00600948" w:rsidRPr="00543572">
        <w:rPr>
          <w:rFonts w:ascii="Century Gothic" w:hAnsi="Century Gothic"/>
        </w:rPr>
        <w:t>s</w:t>
      </w:r>
      <w:r w:rsidR="00E43EBA" w:rsidRPr="00543572">
        <w:rPr>
          <w:rFonts w:ascii="Century Gothic" w:hAnsi="Century Gothic"/>
        </w:rPr>
        <w:t xml:space="preserve"> </w:t>
      </w:r>
      <w:r w:rsidR="006B76D4" w:rsidRPr="006B76D4">
        <w:rPr>
          <w:rFonts w:ascii="Century Gothic" w:hAnsi="Century Gothic"/>
        </w:rPr>
        <w:t>conceptos No. 4201912000006798 del 24 de octubre de 2019, C-002 del 12 de febrero de 2020, C-089 del 4 de marzo de 2020, C-099 del 06 de abril de 2020, C-166 del 14 de abril de 2020, C-233 del 16 de abril de 2020, C-326 del 9 de junio de 2020, C-140 del 9 de abril de 2021. Respecto de la reciente reglamentación establecida en los Decretos 399 y 579 de 2021 se pronunció en los Conceptos C-288 de 17 de junio de 2021, C-353 del 19 de julio de 2021, C-366 del 26 de julio de 2021 y C-372 del 28 de julio de 2021, C-406 del 8 de agosto de 2021, C-407 del 25 de agosto de 2021, C-439 de 5 de julio de 2022, C-673 del 19 de octubre de 2023</w:t>
      </w:r>
      <w:r w:rsidR="006B76D4">
        <w:rPr>
          <w:rFonts w:ascii="Century Gothic" w:hAnsi="Century Gothic"/>
        </w:rPr>
        <w:t xml:space="preserve"> y </w:t>
      </w:r>
      <w:r w:rsidR="006B76D4" w:rsidRPr="006B76D4">
        <w:rPr>
          <w:rFonts w:ascii="Century Gothic" w:hAnsi="Century Gothic"/>
        </w:rPr>
        <w:t xml:space="preserve">C-831 del 28 </w:t>
      </w:r>
      <w:r w:rsidR="006B76D4" w:rsidRPr="006B76D4">
        <w:rPr>
          <w:rFonts w:ascii="Century Gothic" w:hAnsi="Century Gothic"/>
        </w:rPr>
        <w:lastRenderedPageBreak/>
        <w:t>de noviembre de 2023</w:t>
      </w:r>
      <w:r w:rsidR="00685FFD" w:rsidRPr="00543572">
        <w:rPr>
          <w:rFonts w:ascii="Century Gothic" w:hAnsi="Century Gothic"/>
        </w:rPr>
        <w:t>, entre otros</w:t>
      </w:r>
      <w:r w:rsidRPr="00543572">
        <w:rPr>
          <w:rFonts w:ascii="Century Gothic" w:hAnsi="Century Gothic"/>
        </w:rPr>
        <w:t>.</w:t>
      </w:r>
      <w:r w:rsidR="00685FFD" w:rsidRPr="00543572">
        <w:rPr>
          <w:rFonts w:ascii="Century Gothic" w:hAnsi="Century Gothic"/>
        </w:rPr>
        <w:t xml:space="preserve"> </w:t>
      </w:r>
      <w:r w:rsidR="00286161" w:rsidRPr="00286161">
        <w:rPr>
          <w:rFonts w:ascii="Century Gothic" w:hAnsi="Century Gothic"/>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tgtFrame="_blank" w:tooltip="Dirección URL original: https://relatoria.colombiacompra.gov.co/. Haga clic o pulse si confía en este vínculo." w:history="1">
        <w:r w:rsidR="00286161" w:rsidRPr="00286161">
          <w:rPr>
            <w:rStyle w:val="Hipervnculo"/>
            <w:rFonts w:ascii="Century Gothic" w:hAnsi="Century Gothic"/>
          </w:rPr>
          <w:t>https://relatoria.colombiacompra.gov.co/</w:t>
        </w:r>
      </w:hyperlink>
      <w:r w:rsidR="00286161" w:rsidRPr="00286161">
        <w:rPr>
          <w:rFonts w:ascii="Century Gothic" w:hAnsi="Century Gothic"/>
        </w:rPr>
        <w:t> . Te invitamos también a revisar la tercera edición del  Boletín de Relatoría de 2024 en el cual podrás consultar en detalle el marco normativo de documentos tipo: </w:t>
      </w:r>
      <w:hyperlink r:id="rId16" w:tgtFrame="_blank" w:tooltip="Dirección URL original: https://www.colombiacompra.gov.co/sites/cce_public/files/files_2020/boletin_de_realtoria_iii.pdf. Haga clic o pulse si confía en este vínculo." w:history="1">
        <w:r w:rsidR="00286161" w:rsidRPr="00286161">
          <w:rPr>
            <w:rStyle w:val="Hipervnculo"/>
            <w:rFonts w:ascii="Century Gothic" w:hAnsi="Century Gothic"/>
          </w:rPr>
          <w:t>https://www.colombiacompra.gov.co/sites/cce_public/files/files_2020/boletin_de_realtoria_iii.pdf</w:t>
        </w:r>
      </w:hyperlink>
      <w:r w:rsidR="00286161">
        <w:rPr>
          <w:rFonts w:ascii="Century Gothic" w:hAnsi="Century Gothic"/>
        </w:rPr>
        <w:t>.</w:t>
      </w:r>
    </w:p>
    <w:p w14:paraId="76265EC9" w14:textId="158EE514" w:rsidR="00286161" w:rsidRPr="00286161" w:rsidRDefault="00286161" w:rsidP="00286161">
      <w:pPr>
        <w:widowControl w:val="0"/>
        <w:autoSpaceDE w:val="0"/>
        <w:autoSpaceDN w:val="0"/>
        <w:spacing w:after="0" w:line="276" w:lineRule="auto"/>
        <w:jc w:val="both"/>
        <w:rPr>
          <w:rFonts w:ascii="Century Gothic" w:hAnsi="Century Gothic"/>
        </w:rPr>
      </w:pPr>
    </w:p>
    <w:p w14:paraId="390F423A" w14:textId="25F6DC8D" w:rsidR="00286161" w:rsidRPr="00286161" w:rsidRDefault="00286161" w:rsidP="00286161">
      <w:pPr>
        <w:widowControl w:val="0"/>
        <w:autoSpaceDE w:val="0"/>
        <w:autoSpaceDN w:val="0"/>
        <w:spacing w:after="0" w:line="276" w:lineRule="auto"/>
        <w:jc w:val="both"/>
        <w:rPr>
          <w:rFonts w:ascii="Century Gothic" w:hAnsi="Century Gothic"/>
        </w:rPr>
      </w:pPr>
      <w:r w:rsidRPr="00286161">
        <w:rPr>
          <w:rFonts w:ascii="Century Gothic" w:hAnsi="Century Gothic"/>
        </w:rPr>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17" w:tgtFrame="_blank" w:tooltip="Dirección URL original: https://www.sucop.gov.co/entidades/colombiacompra/Normativa?IDNorma=17363. Haga clic o pulse si confía en este vínculo." w:history="1">
        <w:r w:rsidRPr="00286161">
          <w:rPr>
            <w:rStyle w:val="Hipervnculo"/>
            <w:rFonts w:ascii="Century Gothic" w:hAnsi="Century Gothic"/>
          </w:rPr>
          <w:t>https://www.sucop.gov.co/entidades/colombiacompra/Normativa?IDNorma=17363</w:t>
        </w:r>
      </w:hyperlink>
      <w:r w:rsidRPr="00286161">
        <w:rPr>
          <w:rFonts w:ascii="Century Gothic" w:hAnsi="Century Gothic"/>
        </w:rPr>
        <w:t> y </w:t>
      </w:r>
      <w:hyperlink r:id="rId18" w:tgtFrame="_blank" w:tooltip="Dirección URL original: https://www.colombiacompra.gov.co/content/convocatorias. Haga clic o pulse si confía en este vínculo." w:history="1">
        <w:r w:rsidRPr="00286161">
          <w:rPr>
            <w:rStyle w:val="Hipervnculo"/>
            <w:rFonts w:ascii="Century Gothic" w:hAnsi="Century Gothic"/>
          </w:rPr>
          <w:t>https://www.colombiacompra.gov.co/content/convocatorias</w:t>
        </w:r>
      </w:hyperlink>
      <w:r w:rsidRPr="00286161">
        <w:rPr>
          <w:rFonts w:ascii="Century Gothic" w:hAnsi="Century Gothic"/>
        </w:rPr>
        <w:t> ". </w:t>
      </w:r>
    </w:p>
    <w:p w14:paraId="653CF3BE" w14:textId="777777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p>
    <w:p w14:paraId="1570ED43" w14:textId="1EF4EB65" w:rsidR="008815E5" w:rsidRPr="00E43EBA" w:rsidRDefault="008815E5" w:rsidP="003A5B4D">
      <w:pPr>
        <w:widowControl w:val="0"/>
        <w:autoSpaceDE w:val="0"/>
        <w:autoSpaceDN w:val="0"/>
        <w:spacing w:after="0" w:line="276" w:lineRule="auto"/>
        <w:jc w:val="both"/>
        <w:rPr>
          <w:rFonts w:ascii="Century Gothic" w:hAnsi="Century Gothic"/>
        </w:rPr>
      </w:pPr>
      <w:r w:rsidRPr="00E43EBA">
        <w:rPr>
          <w:rFonts w:ascii="Century Gothic" w:hAnsi="Century Gothic"/>
        </w:rPr>
        <w:t xml:space="preserve">Por último, </w:t>
      </w:r>
      <w:r w:rsidR="00286161">
        <w:rPr>
          <w:rFonts w:ascii="Century Gothic" w:hAnsi="Century Gothic"/>
        </w:rPr>
        <w:t>te</w:t>
      </w:r>
      <w:r w:rsidRPr="00E43EBA">
        <w:rPr>
          <w:rFonts w:ascii="Century Gothic" w:hAnsi="Century Gothic"/>
        </w:rPr>
        <w:t xml:space="preserve"> invitamos a seguirnos en las redes sociales en las cuales se difunde información institucional: </w:t>
      </w:r>
    </w:p>
    <w:p w14:paraId="284AF384" w14:textId="77777777" w:rsidR="008815E5" w:rsidRPr="00E43EBA" w:rsidRDefault="008815E5" w:rsidP="008815E5">
      <w:pPr>
        <w:spacing w:after="0" w:line="240" w:lineRule="auto"/>
        <w:jc w:val="both"/>
        <w:rPr>
          <w:rFonts w:ascii="Century Gothic" w:hAnsi="Century Gothic"/>
        </w:rPr>
      </w:pPr>
    </w:p>
    <w:p w14:paraId="5E6CD010"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Twitter: </w:t>
      </w:r>
      <w:r w:rsidRPr="00E43EBA">
        <w:rPr>
          <w:rStyle w:val="Hipervnculo"/>
          <w:rFonts w:ascii="Century Gothic" w:hAnsi="Century Gothic"/>
          <w:color w:val="4472C4" w:themeColor="accent1"/>
        </w:rPr>
        <w:t>@colombiacompra</w:t>
      </w:r>
      <w:r w:rsidRPr="00E43EBA">
        <w:rPr>
          <w:rFonts w:ascii="Century Gothic" w:hAnsi="Century Gothic"/>
          <w:color w:val="4472C4" w:themeColor="accent1"/>
        </w:rPr>
        <w:t xml:space="preserve"> </w:t>
      </w:r>
    </w:p>
    <w:p w14:paraId="0F76F019"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Facebook: </w:t>
      </w:r>
      <w:proofErr w:type="spellStart"/>
      <w:r w:rsidRPr="00E43EBA">
        <w:rPr>
          <w:rStyle w:val="Hipervnculo"/>
          <w:rFonts w:ascii="Century Gothic" w:hAnsi="Century Gothic"/>
          <w:color w:val="4472C4" w:themeColor="accent1"/>
        </w:rPr>
        <w:t>ColombiaCompraEficiente</w:t>
      </w:r>
      <w:proofErr w:type="spellEnd"/>
    </w:p>
    <w:p w14:paraId="60E5B357"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LinkedIn: </w:t>
      </w:r>
      <w:r w:rsidRPr="00E43EBA">
        <w:rPr>
          <w:rStyle w:val="Hipervnculo"/>
          <w:rFonts w:ascii="Century Gothic" w:hAnsi="Century Gothic"/>
          <w:color w:val="4472C4" w:themeColor="accent1"/>
        </w:rPr>
        <w:t>Agencia Nacional de Contratación Pública - Colombia Compra Eficiente</w:t>
      </w:r>
      <w:r w:rsidRPr="00E43EBA">
        <w:rPr>
          <w:rFonts w:ascii="Century Gothic" w:hAnsi="Century Gothic"/>
          <w:color w:val="4472C4" w:themeColor="accent1"/>
        </w:rPr>
        <w:t xml:space="preserve"> </w:t>
      </w:r>
      <w:r w:rsidRPr="00E43EBA">
        <w:rPr>
          <w:rFonts w:ascii="Century Gothic" w:hAnsi="Century Gothic"/>
        </w:rPr>
        <w:t xml:space="preserve">Instagram: </w:t>
      </w:r>
      <w:r w:rsidRPr="00E43EBA">
        <w:rPr>
          <w:rStyle w:val="Hipervnculo"/>
          <w:rFonts w:ascii="Century Gothic" w:hAnsi="Century Gothic"/>
          <w:color w:val="4472C4" w:themeColor="accent1"/>
        </w:rPr>
        <w:t>@colombiacompraeficiente_cce</w:t>
      </w:r>
    </w:p>
    <w:p w14:paraId="618EB3FF" w14:textId="77777777" w:rsidR="0031699C" w:rsidRDefault="0031699C" w:rsidP="00871B59">
      <w:pPr>
        <w:widowControl w:val="0"/>
        <w:autoSpaceDE w:val="0"/>
        <w:autoSpaceDN w:val="0"/>
        <w:spacing w:after="0" w:line="276" w:lineRule="auto"/>
        <w:jc w:val="both"/>
        <w:rPr>
          <w:rFonts w:ascii="Century Gothic" w:hAnsi="Century Gothic" w:cs="Arial"/>
        </w:rPr>
      </w:pPr>
    </w:p>
    <w:p w14:paraId="120572E9" w14:textId="77777777" w:rsidR="00871B59" w:rsidRPr="00E43EBA" w:rsidRDefault="00871B59" w:rsidP="00871B59">
      <w:pPr>
        <w:widowControl w:val="0"/>
        <w:autoSpaceDE w:val="0"/>
        <w:autoSpaceDN w:val="0"/>
        <w:spacing w:after="0" w:line="276" w:lineRule="auto"/>
        <w:jc w:val="both"/>
        <w:rPr>
          <w:rFonts w:ascii="Century Gothic" w:hAnsi="Century Gothic" w:cs="Arial"/>
          <w:lang w:val="es-ES_tradnl"/>
        </w:rPr>
      </w:pPr>
      <w:r w:rsidRPr="00E43EBA">
        <w:rPr>
          <w:rFonts w:ascii="Century Gothic" w:hAnsi="Century Gothic" w:cs="Arial"/>
        </w:rPr>
        <w:t xml:space="preserve">Este concepto tiene el alcance previsto en el artículo 28 del Código de Procedimiento Administrativo y de lo Contencioso Administrativo </w:t>
      </w:r>
      <w:r w:rsidRPr="00E43EBA">
        <w:rPr>
          <w:rFonts w:ascii="Century Gothic" w:hAnsi="Century Gothic" w:cs="Arial"/>
          <w:lang w:val="es-ES_tradnl"/>
        </w:rPr>
        <w:t>y las expresiones aquí utilizadas con mayúscula inicial deben ser entendidas con el significado que les otorga el artículo 2.2.1.1.1.3.1. del Decreto 1082 de 2015.</w:t>
      </w:r>
    </w:p>
    <w:p w14:paraId="76160CF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46FD3687" w14:textId="2928F74F" w:rsidR="00871B59" w:rsidRPr="00E43EBA" w:rsidRDefault="00871B59" w:rsidP="00871B59">
      <w:pPr>
        <w:spacing w:after="0" w:line="240" w:lineRule="auto"/>
        <w:rPr>
          <w:rFonts w:ascii="Century Gothic" w:hAnsi="Century Gothic" w:cs="Arial"/>
          <w:lang w:eastAsia="es-CO"/>
        </w:rPr>
      </w:pPr>
      <w:r w:rsidRPr="330CE3FD">
        <w:rPr>
          <w:rFonts w:ascii="Century Gothic" w:eastAsia="Times New Roman" w:hAnsi="Century Gothic" w:cs="Arial"/>
          <w:lang w:eastAsia="es-CO"/>
        </w:rPr>
        <w:t>Atentamente,</w:t>
      </w:r>
      <w:r w:rsidRPr="330CE3FD">
        <w:rPr>
          <w:rFonts w:ascii="Century Gothic" w:hAnsi="Century Gothic" w:cs="Arial"/>
          <w:lang w:eastAsia="es-CO"/>
        </w:rPr>
        <w:t xml:space="preserve"> </w:t>
      </w:r>
    </w:p>
    <w:p w14:paraId="7B21B32E" w14:textId="6DAE1760" w:rsidR="00871B59" w:rsidRPr="00593A5F" w:rsidRDefault="4F689A9F" w:rsidP="330CE3FD">
      <w:pPr>
        <w:spacing w:line="276" w:lineRule="auto"/>
        <w:jc w:val="center"/>
      </w:pPr>
      <w:r>
        <w:rPr>
          <w:noProof/>
        </w:rPr>
        <w:lastRenderedPageBreak/>
        <w:drawing>
          <wp:inline distT="0" distB="0" distL="0" distR="0" wp14:anchorId="38017E17" wp14:editId="18370FB1">
            <wp:extent cx="2676524" cy="990632"/>
            <wp:effectExtent l="0" t="0" r="0" b="0"/>
            <wp:docPr id="346537409" name="Imagen 34653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2676524" cy="99063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593A5F" w14:paraId="2A20789D" w14:textId="77777777" w:rsidTr="002607A7">
        <w:trPr>
          <w:trHeight w:val="315"/>
        </w:trPr>
        <w:tc>
          <w:tcPr>
            <w:tcW w:w="893" w:type="dxa"/>
            <w:vAlign w:val="center"/>
            <w:hideMark/>
          </w:tcPr>
          <w:p w14:paraId="56E3D941"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2929B3B3" w14:textId="20A2AD2E" w:rsidR="007A7364" w:rsidRPr="00685FFD" w:rsidRDefault="00286161" w:rsidP="002607A7">
            <w:pPr>
              <w:contextualSpacing/>
              <w:rPr>
                <w:rFonts w:ascii="Century Gothic" w:hAnsi="Century Gothic" w:cs="Arial"/>
                <w:sz w:val="16"/>
                <w:szCs w:val="16"/>
                <w:lang w:val="es-ES_tradnl"/>
              </w:rPr>
            </w:pPr>
            <w:r>
              <w:rPr>
                <w:rFonts w:ascii="Century Gothic" w:hAnsi="Century Gothic" w:cs="Arial"/>
                <w:sz w:val="16"/>
                <w:szCs w:val="16"/>
                <w:lang w:val="es-ES_tradnl"/>
              </w:rPr>
              <w:t xml:space="preserve">Diana </w:t>
            </w:r>
            <w:r w:rsidR="007A7364" w:rsidRPr="00685FFD">
              <w:rPr>
                <w:rFonts w:ascii="Century Gothic" w:hAnsi="Century Gothic" w:cs="Arial"/>
                <w:sz w:val="16"/>
                <w:szCs w:val="16"/>
                <w:lang w:val="es-ES_tradnl"/>
              </w:rPr>
              <w:t xml:space="preserve">Carolina Blanco Rodriguez </w:t>
            </w:r>
          </w:p>
          <w:p w14:paraId="27134A92" w14:textId="0A67E70D" w:rsidR="00871B59" w:rsidRPr="00685FFD" w:rsidRDefault="007A7364" w:rsidP="002607A7">
            <w:pPr>
              <w:contextualSpacing/>
              <w:rPr>
                <w:rFonts w:ascii="Century Gothic" w:hAnsi="Century Gothic" w:cs="Arial"/>
                <w:sz w:val="16"/>
                <w:szCs w:val="16"/>
                <w:lang w:val="es-ES_tradnl"/>
              </w:rPr>
            </w:pPr>
            <w:r w:rsidRPr="00685FFD">
              <w:rPr>
                <w:rFonts w:ascii="Century Gothic" w:hAnsi="Century Gothic"/>
                <w:sz w:val="16"/>
                <w:szCs w:val="16"/>
                <w:lang w:val="es-ES_tradnl"/>
              </w:rPr>
              <w:t xml:space="preserve">Contratista </w:t>
            </w:r>
            <w:r w:rsidR="00871B59" w:rsidRPr="00685FFD">
              <w:rPr>
                <w:rFonts w:ascii="Century Gothic" w:hAnsi="Century Gothic"/>
                <w:sz w:val="16"/>
                <w:szCs w:val="16"/>
                <w:lang w:val="es-ES_tradnl"/>
              </w:rPr>
              <w:t>de la Subdirección de Gestión Contractual</w:t>
            </w:r>
          </w:p>
        </w:tc>
      </w:tr>
      <w:tr w:rsidR="00871B59" w:rsidRPr="00593A5F" w14:paraId="409BBACC" w14:textId="77777777" w:rsidTr="002607A7">
        <w:trPr>
          <w:trHeight w:val="330"/>
        </w:trPr>
        <w:tc>
          <w:tcPr>
            <w:tcW w:w="893" w:type="dxa"/>
            <w:vAlign w:val="center"/>
            <w:hideMark/>
          </w:tcPr>
          <w:p w14:paraId="3ABFF401"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4F80C80" w14:textId="7805F501" w:rsidR="0031699C" w:rsidRPr="00685FFD" w:rsidRDefault="00543572" w:rsidP="002607A7">
            <w:pPr>
              <w:pStyle w:val="paragraph"/>
              <w:spacing w:before="0" w:beforeAutospacing="0" w:after="0" w:afterAutospacing="0"/>
              <w:contextualSpacing/>
              <w:textAlignment w:val="baseline"/>
              <w:rPr>
                <w:rFonts w:ascii="Century Gothic" w:eastAsiaTheme="minorHAnsi" w:hAnsi="Century Gothic"/>
                <w:sz w:val="16"/>
                <w:szCs w:val="16"/>
                <w:lang w:val="es-ES_tradnl" w:eastAsia="en-US"/>
              </w:rPr>
            </w:pPr>
            <w:r>
              <w:rPr>
                <w:rFonts w:ascii="Century Gothic" w:eastAsiaTheme="minorHAnsi" w:hAnsi="Century Gothic"/>
                <w:sz w:val="16"/>
                <w:szCs w:val="16"/>
                <w:lang w:val="es-ES_tradnl" w:eastAsia="en-US"/>
              </w:rPr>
              <w:t xml:space="preserve">Adriana López </w:t>
            </w:r>
          </w:p>
          <w:p w14:paraId="408B71DB" w14:textId="0A2E1569" w:rsidR="00871B59" w:rsidRPr="00685FFD" w:rsidRDefault="007A7364" w:rsidP="002607A7">
            <w:pPr>
              <w:pStyle w:val="paragraph"/>
              <w:spacing w:before="0" w:beforeAutospacing="0" w:after="0" w:afterAutospacing="0"/>
              <w:contextualSpacing/>
              <w:textAlignment w:val="baseline"/>
              <w:rPr>
                <w:rFonts w:ascii="Century Gothic" w:eastAsiaTheme="minorHAnsi" w:hAnsi="Century Gothic" w:cs="Arial"/>
                <w:sz w:val="16"/>
                <w:szCs w:val="16"/>
                <w:lang w:val="es-ES_tradnl" w:eastAsia="en-US"/>
              </w:rPr>
            </w:pPr>
            <w:r w:rsidRPr="00685FFD">
              <w:rPr>
                <w:rFonts w:ascii="Century Gothic" w:eastAsiaTheme="minorHAnsi" w:hAnsi="Century Gothic"/>
                <w:sz w:val="16"/>
                <w:szCs w:val="16"/>
                <w:lang w:val="es-ES_tradnl" w:eastAsia="en-US"/>
              </w:rPr>
              <w:t>Contratista</w:t>
            </w:r>
            <w:r w:rsidR="00871B59" w:rsidRPr="00685FFD">
              <w:rPr>
                <w:rFonts w:ascii="Century Gothic" w:eastAsiaTheme="minorHAnsi" w:hAnsi="Century Gothic"/>
                <w:sz w:val="16"/>
                <w:szCs w:val="16"/>
                <w:lang w:val="es-ES_tradnl" w:eastAsia="en-US"/>
              </w:rPr>
              <w:t xml:space="preserve"> de la Subdirección de Gestión Contractual </w:t>
            </w:r>
          </w:p>
        </w:tc>
      </w:tr>
      <w:tr w:rsidR="00871B59" w:rsidRPr="00593A5F" w14:paraId="2A81CFC8" w14:textId="77777777" w:rsidTr="002607A7">
        <w:trPr>
          <w:trHeight w:val="300"/>
        </w:trPr>
        <w:tc>
          <w:tcPr>
            <w:tcW w:w="893" w:type="dxa"/>
            <w:vAlign w:val="center"/>
          </w:tcPr>
          <w:p w14:paraId="3159EE97"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 xml:space="preserve">Carolina Quintero </w:t>
            </w:r>
            <w:proofErr w:type="spellStart"/>
            <w:r w:rsidRPr="00685FFD">
              <w:rPr>
                <w:rFonts w:ascii="Century Gothic" w:hAnsi="Century Gothic" w:cs="Arial"/>
                <w:sz w:val="16"/>
                <w:szCs w:val="16"/>
                <w:lang w:val="es-ES_tradnl"/>
              </w:rPr>
              <w:t>Gacharná</w:t>
            </w:r>
            <w:proofErr w:type="spellEnd"/>
          </w:p>
          <w:p w14:paraId="6EE38C14"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Subdirectora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20"/>
      <w:footerReference w:type="default" r:id="rId21"/>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1BAA62" w14:textId="77777777" w:rsidR="00740CB9" w:rsidRDefault="00740CB9" w:rsidP="00B30448">
      <w:pPr>
        <w:spacing w:after="0" w:line="240" w:lineRule="auto"/>
      </w:pPr>
      <w:r>
        <w:separator/>
      </w:r>
    </w:p>
  </w:endnote>
  <w:endnote w:type="continuationSeparator" w:id="0">
    <w:p w14:paraId="0D5BA37A" w14:textId="77777777" w:rsidR="00740CB9" w:rsidRDefault="00740CB9" w:rsidP="00B30448">
      <w:pPr>
        <w:spacing w:after="0" w:line="240" w:lineRule="auto"/>
      </w:pPr>
      <w:r>
        <w:continuationSeparator/>
      </w:r>
    </w:p>
  </w:endnote>
  <w:endnote w:type="continuationNotice" w:id="1">
    <w:p w14:paraId="5090E6ED" w14:textId="77777777" w:rsidR="00740CB9" w:rsidRDefault="00740C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4C5B1A" w14:textId="77777777" w:rsidR="00740CB9" w:rsidRDefault="00740CB9" w:rsidP="00B30448">
      <w:pPr>
        <w:spacing w:after="0" w:line="240" w:lineRule="auto"/>
      </w:pPr>
      <w:r>
        <w:separator/>
      </w:r>
    </w:p>
  </w:footnote>
  <w:footnote w:type="continuationSeparator" w:id="0">
    <w:p w14:paraId="2C86EE3C" w14:textId="77777777" w:rsidR="00740CB9" w:rsidRDefault="00740CB9" w:rsidP="00B30448">
      <w:pPr>
        <w:spacing w:after="0" w:line="240" w:lineRule="auto"/>
      </w:pPr>
      <w:r>
        <w:continuationSeparator/>
      </w:r>
    </w:p>
  </w:footnote>
  <w:footnote w:type="continuationNotice" w:id="1">
    <w:p w14:paraId="54046AA3" w14:textId="77777777" w:rsidR="00740CB9" w:rsidRDefault="00740CB9">
      <w:pPr>
        <w:spacing w:after="0" w:line="240" w:lineRule="auto"/>
      </w:pPr>
    </w:p>
  </w:footnote>
  <w:footnote w:id="2">
    <w:p w14:paraId="1C94DC3F" w14:textId="77777777" w:rsidR="003675AB" w:rsidRPr="002153B5" w:rsidRDefault="003675AB" w:rsidP="003675AB">
      <w:pPr>
        <w:pStyle w:val="Textonotapie"/>
        <w:ind w:firstLine="709"/>
        <w:jc w:val="both"/>
        <w:rPr>
          <w:rFonts w:ascii="Arial" w:hAnsi="Arial" w:cs="Arial"/>
          <w:sz w:val="16"/>
          <w:szCs w:val="16"/>
        </w:rPr>
      </w:pPr>
      <w:r w:rsidRPr="002153B5">
        <w:rPr>
          <w:rStyle w:val="Refdenotaalpie"/>
          <w:rFonts w:ascii="Arial" w:hAnsi="Arial" w:cs="Arial"/>
          <w:sz w:val="16"/>
          <w:szCs w:val="16"/>
        </w:rPr>
        <w:footnoteRef/>
      </w:r>
      <w:r w:rsidRPr="002153B5">
        <w:rPr>
          <w:rFonts w:ascii="Arial" w:hAnsi="Arial" w:cs="Arial"/>
          <w:sz w:val="16"/>
          <w:szCs w:val="16"/>
        </w:rPr>
        <w:t xml:space="preserve"> </w:t>
      </w:r>
      <w:r w:rsidRPr="006B76D4">
        <w:rPr>
          <w:rFonts w:ascii="Century Gothic" w:eastAsia="Calibri" w:hAnsi="Century Gothic" w:cs="Arial"/>
          <w:color w:val="000000"/>
          <w:sz w:val="16"/>
          <w:szCs w:val="16"/>
          <w:lang w:val="es-ES_tradnl" w:eastAsia="es-ES_tradnl"/>
        </w:rPr>
        <w:t xml:space="preserve">El “Manual para verificar y determinar los requisitos habilitantes en los Procesos de Contratación” puede ser consultado en el siguiente link: </w:t>
      </w:r>
      <w:hyperlink r:id="rId1" w:history="1">
        <w:r w:rsidRPr="006B76D4">
          <w:rPr>
            <w:rFonts w:ascii="Century Gothic" w:eastAsia="Calibri" w:hAnsi="Century Gothic" w:cs="Arial"/>
            <w:color w:val="000000"/>
            <w:sz w:val="16"/>
            <w:szCs w:val="16"/>
            <w:u w:val="single"/>
            <w:lang w:val="es-ES_tradnl" w:eastAsia="es-ES_tradnl"/>
          </w:rPr>
          <w:t>https://www.colombiacompra.gov.co/sites/cce_public/files/cce_documents/cce_manual_requisitos_habilitantes.pdf</w:t>
        </w:r>
      </w:hyperlink>
      <w:r w:rsidRPr="002153B5">
        <w:rPr>
          <w:rFonts w:ascii="Arial" w:hAnsi="Arial" w:cs="Arial"/>
          <w:sz w:val="16"/>
          <w:szCs w:val="16"/>
        </w:rPr>
        <w:t xml:space="preserve"> </w:t>
      </w:r>
    </w:p>
  </w:footnote>
  <w:footnote w:id="3">
    <w:p w14:paraId="584AFDA2" w14:textId="77777777" w:rsidR="003675AB" w:rsidRPr="006B76D4" w:rsidRDefault="003675AB" w:rsidP="003675AB">
      <w:pPr>
        <w:pStyle w:val="NormalWeb"/>
        <w:spacing w:after="0"/>
        <w:ind w:firstLine="708"/>
        <w:jc w:val="both"/>
        <w:rPr>
          <w:rFonts w:ascii="Century Gothic" w:eastAsia="Calibri" w:hAnsi="Century Gothic" w:cs="Arial"/>
          <w:color w:val="000000"/>
          <w:sz w:val="16"/>
          <w:szCs w:val="16"/>
          <w:lang w:val="es-ES_tradnl" w:eastAsia="es-ES_tradnl"/>
        </w:rPr>
      </w:pPr>
      <w:r w:rsidRPr="00736BEB">
        <w:rPr>
          <w:rStyle w:val="Refdenotaalpie"/>
          <w:rFonts w:ascii="Arial" w:hAnsi="Arial" w:cs="Arial"/>
          <w:color w:val="000000" w:themeColor="text1"/>
          <w:sz w:val="16"/>
          <w:szCs w:val="16"/>
        </w:rPr>
        <w:footnoteRef/>
      </w:r>
      <w:r w:rsidRPr="00EE1C26">
        <w:rPr>
          <w:rFonts w:ascii="Arial" w:hAnsi="Arial" w:cs="Arial"/>
          <w:color w:val="000000" w:themeColor="text1"/>
          <w:sz w:val="16"/>
          <w:szCs w:val="16"/>
        </w:rPr>
        <w:t xml:space="preserve"> </w:t>
      </w:r>
      <w:r w:rsidRPr="006B76D4">
        <w:rPr>
          <w:rFonts w:ascii="Century Gothic" w:eastAsia="Calibri" w:hAnsi="Century Gothic" w:cs="Arial"/>
          <w:color w:val="000000"/>
          <w:sz w:val="16"/>
          <w:szCs w:val="16"/>
          <w:lang w:val="es-ES_tradnl" w:eastAsia="es-ES_tradnl"/>
        </w:rPr>
        <w:t>Ley 1150 de 2007: “Artículo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FF127E3" w14:textId="77777777" w:rsidR="003675AB" w:rsidRPr="006B76D4" w:rsidRDefault="003675AB" w:rsidP="003675AB">
      <w:pPr>
        <w:pStyle w:val="NormalWeb"/>
        <w:spacing w:after="0"/>
        <w:ind w:firstLine="708"/>
        <w:jc w:val="both"/>
        <w:rPr>
          <w:rFonts w:ascii="Century Gothic" w:eastAsia="Calibri" w:hAnsi="Century Gothic" w:cs="Arial"/>
          <w:color w:val="000000"/>
          <w:sz w:val="16"/>
          <w:szCs w:val="16"/>
          <w:lang w:val="es-ES_tradnl" w:eastAsia="es-ES_tradnl"/>
        </w:rPr>
      </w:pPr>
      <w:r w:rsidRPr="006B76D4">
        <w:rPr>
          <w:rFonts w:ascii="Century Gothic" w:eastAsia="Calibri" w:hAnsi="Century Gothic" w:cs="Arial"/>
          <w:color w:val="000000"/>
          <w:sz w:val="16"/>
          <w:szCs w:val="16"/>
          <w:lang w:val="es-ES_tradnl" w:eastAsia="es-ES_tradnl"/>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19408DA" w14:textId="77777777" w:rsidR="003675AB" w:rsidRPr="00EE1C26" w:rsidRDefault="003675AB" w:rsidP="003675AB">
      <w:pPr>
        <w:pStyle w:val="NormalWeb"/>
        <w:spacing w:after="0"/>
        <w:ind w:firstLine="708"/>
        <w:jc w:val="both"/>
        <w:rPr>
          <w:rFonts w:ascii="Arial" w:hAnsi="Arial" w:cs="Arial"/>
          <w:color w:val="000000" w:themeColor="text1"/>
          <w:sz w:val="16"/>
          <w:szCs w:val="16"/>
        </w:rPr>
      </w:pPr>
      <w:r w:rsidRPr="006B76D4">
        <w:rPr>
          <w:rFonts w:ascii="Century Gothic" w:eastAsia="Calibri" w:hAnsi="Century Gothic" w:cs="Arial"/>
          <w:color w:val="000000"/>
          <w:sz w:val="16"/>
          <w:szCs w:val="16"/>
          <w:lang w:val="es-ES_tradnl" w:eastAsia="es-ES_tradnl"/>
        </w:rPr>
        <w:t>En dicho registro constará la información relacionada con la experiencia, capacidad jurídica, financiera y de organización del proponente y su clasificación”.</w:t>
      </w:r>
    </w:p>
  </w:footnote>
  <w:footnote w:id="4">
    <w:p w14:paraId="572487C8" w14:textId="77777777" w:rsidR="003675AB" w:rsidRPr="00EE1C26" w:rsidRDefault="003675AB" w:rsidP="003675AB">
      <w:pPr>
        <w:pStyle w:val="Textonotapie"/>
        <w:ind w:firstLine="709"/>
        <w:jc w:val="both"/>
        <w:rPr>
          <w:rFonts w:ascii="Arial" w:hAnsi="Arial" w:cs="Arial"/>
          <w:sz w:val="16"/>
          <w:szCs w:val="16"/>
        </w:rPr>
      </w:pPr>
    </w:p>
    <w:p w14:paraId="2F79F5C6" w14:textId="77777777" w:rsidR="003675AB" w:rsidRPr="00EE1C26" w:rsidRDefault="003675AB" w:rsidP="003675AB">
      <w:pPr>
        <w:pStyle w:val="Textonotapie"/>
        <w:ind w:firstLine="709"/>
        <w:jc w:val="both"/>
        <w:rPr>
          <w:rFonts w:ascii="Arial" w:hAnsi="Arial" w:cs="Arial"/>
          <w:sz w:val="16"/>
          <w:szCs w:val="16"/>
          <w:lang w:val="es-ES"/>
        </w:rPr>
      </w:pPr>
      <w:r w:rsidRPr="00EE1C26">
        <w:rPr>
          <w:rStyle w:val="Refdenotaalpie"/>
          <w:rFonts w:ascii="Arial" w:hAnsi="Arial" w:cs="Arial"/>
          <w:sz w:val="16"/>
          <w:szCs w:val="16"/>
        </w:rPr>
        <w:footnoteRef/>
      </w:r>
      <w:r w:rsidRPr="00EE1C26">
        <w:rPr>
          <w:rFonts w:ascii="Arial" w:hAnsi="Arial" w:cs="Arial"/>
          <w:sz w:val="16"/>
          <w:szCs w:val="16"/>
        </w:rPr>
        <w:t xml:space="preserve"> </w:t>
      </w:r>
      <w:r w:rsidRPr="006B76D4">
        <w:rPr>
          <w:rFonts w:ascii="Century Gothic" w:eastAsia="Calibri" w:hAnsi="Century Gothic" w:cs="Arial"/>
          <w:color w:val="000000"/>
          <w:sz w:val="16"/>
          <w:szCs w:val="16"/>
          <w:lang w:val="es-ES_tradnl" w:eastAsia="es-ES_tradnl"/>
        </w:rPr>
        <w:t>Ibídem.</w:t>
      </w:r>
    </w:p>
    <w:p w14:paraId="74D678E7" w14:textId="77777777" w:rsidR="003675AB" w:rsidRPr="00EE1C26" w:rsidRDefault="003675AB" w:rsidP="003675AB">
      <w:pPr>
        <w:pStyle w:val="Textonotapie"/>
        <w:ind w:firstLine="709"/>
        <w:jc w:val="both"/>
        <w:rPr>
          <w:rFonts w:ascii="Arial" w:hAnsi="Arial" w:cs="Arial"/>
          <w:sz w:val="16"/>
          <w:szCs w:val="16"/>
          <w:lang w:val="es-ES"/>
        </w:rPr>
      </w:pPr>
    </w:p>
  </w:footnote>
  <w:footnote w:id="5">
    <w:p w14:paraId="62E93D29" w14:textId="77777777" w:rsidR="003675AB" w:rsidRPr="006B76D4" w:rsidRDefault="003675AB" w:rsidP="003675AB">
      <w:pPr>
        <w:pStyle w:val="Textonotapie"/>
        <w:ind w:firstLine="708"/>
        <w:jc w:val="both"/>
        <w:rPr>
          <w:rFonts w:ascii="Century Gothic" w:eastAsia="Calibri" w:hAnsi="Century Gothic" w:cs="Arial"/>
          <w:color w:val="000000"/>
          <w:sz w:val="16"/>
          <w:szCs w:val="16"/>
          <w:lang w:val="es-ES_tradnl" w:eastAsia="es-ES_tradnl"/>
        </w:rPr>
      </w:pPr>
      <w:r w:rsidRPr="006B76D4">
        <w:rPr>
          <w:rFonts w:ascii="Century Gothic" w:eastAsia="Calibri" w:hAnsi="Century Gothic"/>
          <w:color w:val="000000"/>
          <w:sz w:val="16"/>
          <w:szCs w:val="16"/>
          <w:lang w:val="es-ES_tradnl" w:eastAsia="es-ES_tradnl"/>
        </w:rPr>
        <w:footnoteRef/>
      </w:r>
      <w:r w:rsidRPr="006B76D4">
        <w:rPr>
          <w:rFonts w:ascii="Century Gothic" w:eastAsia="Calibri" w:hAnsi="Century Gothic" w:cs="Arial"/>
          <w:color w:val="000000"/>
          <w:sz w:val="16"/>
          <w:szCs w:val="16"/>
          <w:lang w:val="es-ES_tradnl" w:eastAsia="es-ES_tradnl"/>
        </w:rPr>
        <w:t xml:space="preserve"> Para la realización de los respectivos análisis del sector de los Procesos de Contratación, esta Agencia recomienda tener en cuenta la última modificación de la “Guía de Elaboración de Estudios del Sector”, que puede ser consultada en el siguiente link: </w:t>
      </w:r>
      <w:hyperlink r:id="rId2" w:history="1">
        <w:r w:rsidRPr="006B76D4">
          <w:rPr>
            <w:rFonts w:ascii="Century Gothic" w:hAnsi="Century Gothic"/>
            <w:color w:val="000000"/>
            <w:sz w:val="16"/>
            <w:szCs w:val="16"/>
            <w:lang w:val="es-ES_tradnl" w:eastAsia="es-ES_tradnl"/>
          </w:rPr>
          <w:t>https://www.colombiacompra.gov.co/sites/cce_public/files/cce_documentos/cce-eicp-gi-18._gees_v.2_2.pdf</w:t>
        </w:r>
      </w:hyperlink>
      <w:r w:rsidRPr="006B76D4">
        <w:rPr>
          <w:rFonts w:ascii="Century Gothic" w:eastAsia="Calibri" w:hAnsi="Century Gothic" w:cs="Arial"/>
          <w:color w:val="000000"/>
          <w:sz w:val="16"/>
          <w:szCs w:val="16"/>
          <w:lang w:val="es-ES_tradnl" w:eastAsia="es-ES_tradnl"/>
        </w:rPr>
        <w:t xml:space="preserve"> </w:t>
      </w:r>
    </w:p>
    <w:p w14:paraId="28DC48DB" w14:textId="77777777" w:rsidR="003675AB" w:rsidRPr="006B76D4" w:rsidRDefault="003675AB" w:rsidP="003675AB">
      <w:pPr>
        <w:pStyle w:val="Textonotapie"/>
        <w:ind w:firstLine="708"/>
        <w:jc w:val="both"/>
        <w:rPr>
          <w:rFonts w:ascii="Century Gothic" w:eastAsia="Calibri" w:hAnsi="Century Gothic" w:cs="Arial"/>
          <w:color w:val="000000"/>
          <w:sz w:val="16"/>
          <w:szCs w:val="16"/>
          <w:lang w:val="es-ES_tradnl" w:eastAsia="es-ES_tradnl"/>
        </w:rPr>
      </w:pPr>
    </w:p>
  </w:footnote>
  <w:footnote w:id="6">
    <w:p w14:paraId="25E3AFCF" w14:textId="77777777" w:rsidR="003675AB" w:rsidRPr="006B76D4" w:rsidRDefault="003675AB" w:rsidP="003675AB">
      <w:pPr>
        <w:pStyle w:val="Textonotapie"/>
        <w:ind w:firstLine="708"/>
        <w:jc w:val="both"/>
        <w:rPr>
          <w:rFonts w:ascii="Century Gothic" w:eastAsia="Calibri" w:hAnsi="Century Gothic" w:cs="Arial"/>
          <w:color w:val="000000"/>
          <w:sz w:val="16"/>
          <w:szCs w:val="16"/>
          <w:lang w:val="es-ES_tradnl" w:eastAsia="es-ES_tradnl"/>
        </w:rPr>
      </w:pPr>
      <w:r w:rsidRPr="006B76D4">
        <w:rPr>
          <w:rFonts w:ascii="Century Gothic" w:eastAsia="Calibri" w:hAnsi="Century Gothic"/>
          <w:color w:val="000000"/>
          <w:sz w:val="16"/>
          <w:szCs w:val="16"/>
          <w:lang w:val="es-ES_tradnl" w:eastAsia="es-ES_tradnl"/>
        </w:rPr>
        <w:footnoteRef/>
      </w:r>
      <w:r w:rsidRPr="006B76D4">
        <w:rPr>
          <w:rFonts w:ascii="Century Gothic" w:eastAsia="Calibri" w:hAnsi="Century Gothic" w:cs="Arial"/>
          <w:color w:val="000000"/>
          <w:sz w:val="16"/>
          <w:szCs w:val="16"/>
          <w:lang w:val="es-ES_tradnl" w:eastAsia="es-ES_tradnl"/>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7">
    <w:p w14:paraId="2ADC5F28" w14:textId="77777777" w:rsidR="003675AB" w:rsidRPr="006B76D4" w:rsidRDefault="003675AB" w:rsidP="003675AB">
      <w:pPr>
        <w:pStyle w:val="Textonotapie"/>
        <w:ind w:firstLine="708"/>
        <w:rPr>
          <w:rFonts w:ascii="Century Gothic" w:eastAsia="Calibri" w:hAnsi="Century Gothic" w:cs="Arial"/>
          <w:color w:val="000000"/>
          <w:sz w:val="16"/>
          <w:szCs w:val="16"/>
          <w:lang w:val="es-ES_tradnl" w:eastAsia="es-ES_tradnl"/>
        </w:rPr>
      </w:pPr>
    </w:p>
    <w:p w14:paraId="633B5BE5" w14:textId="77777777" w:rsidR="003675AB" w:rsidRPr="006B76D4" w:rsidRDefault="003675AB" w:rsidP="003675AB">
      <w:pPr>
        <w:pStyle w:val="Textonotapie"/>
        <w:ind w:firstLine="708"/>
        <w:jc w:val="both"/>
        <w:rPr>
          <w:rFonts w:ascii="Century Gothic" w:eastAsia="Calibri" w:hAnsi="Century Gothic" w:cs="Arial"/>
          <w:color w:val="000000"/>
          <w:sz w:val="16"/>
          <w:szCs w:val="16"/>
          <w:lang w:val="es-ES_tradnl" w:eastAsia="es-ES_tradnl"/>
        </w:rPr>
      </w:pPr>
      <w:r w:rsidRPr="006B76D4">
        <w:rPr>
          <w:rFonts w:ascii="Century Gothic" w:eastAsia="Calibri" w:hAnsi="Century Gothic"/>
          <w:color w:val="000000"/>
          <w:sz w:val="16"/>
          <w:szCs w:val="16"/>
          <w:lang w:val="es-ES_tradnl" w:eastAsia="es-ES_tradnl"/>
        </w:rPr>
        <w:footnoteRef/>
      </w:r>
      <w:r w:rsidRPr="006B76D4">
        <w:rPr>
          <w:rFonts w:ascii="Century Gothic" w:eastAsia="Calibri" w:hAnsi="Century Gothic" w:cs="Arial"/>
          <w:color w:val="000000"/>
          <w:sz w:val="16"/>
          <w:szCs w:val="16"/>
          <w:lang w:val="es-ES_tradnl" w:eastAsia="es-ES_tradnl"/>
        </w:rPr>
        <w:t xml:space="preserve"> Decreto 1082 de 2015: “</w:t>
      </w:r>
      <w:r w:rsidRPr="006B76D4">
        <w:rPr>
          <w:rFonts w:ascii="Century Gothic" w:eastAsia="Calibri" w:hAnsi="Century Gothic"/>
          <w:b/>
          <w:bCs/>
          <w:sz w:val="16"/>
          <w:szCs w:val="16"/>
          <w:lang w:val="es-ES_tradnl" w:eastAsia="es-ES_tradnl"/>
        </w:rPr>
        <w:t>Artículo 2.2.1.1.1.5.2. </w:t>
      </w:r>
      <w:r w:rsidRPr="006B76D4">
        <w:rPr>
          <w:rFonts w:ascii="Century Gothic" w:eastAsia="Calibri" w:hAnsi="Century Gothic"/>
          <w:i/>
          <w:iCs/>
          <w:sz w:val="16"/>
          <w:szCs w:val="16"/>
          <w:lang w:val="es-ES_tradnl" w:eastAsia="es-ES_tradnl"/>
        </w:rPr>
        <w:t>Información para inscripción, renovación o actualización. </w:t>
      </w:r>
      <w:r w:rsidRPr="006B76D4">
        <w:rPr>
          <w:rFonts w:ascii="Century Gothic" w:eastAsia="Calibri" w:hAnsi="Century Gothic" w:cs="Arial"/>
          <w:color w:val="000000"/>
          <w:sz w:val="16"/>
          <w:szCs w:val="16"/>
          <w:lang w:val="es-ES_tradnl" w:eastAsia="es-ES_tradnl"/>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77413C46" w14:textId="77777777" w:rsidR="003675AB" w:rsidRPr="006B76D4" w:rsidRDefault="003675AB" w:rsidP="003675AB">
      <w:pPr>
        <w:pStyle w:val="Textonotapie"/>
        <w:ind w:firstLine="708"/>
        <w:jc w:val="both"/>
        <w:rPr>
          <w:rFonts w:ascii="Century Gothic" w:eastAsia="Calibri" w:hAnsi="Century Gothic" w:cs="Arial"/>
          <w:color w:val="000000"/>
          <w:sz w:val="16"/>
          <w:szCs w:val="16"/>
          <w:lang w:val="es-ES_tradnl" w:eastAsia="es-ES_tradnl"/>
        </w:rPr>
      </w:pPr>
      <w:r w:rsidRPr="006B76D4">
        <w:rPr>
          <w:rFonts w:ascii="Century Gothic" w:eastAsia="Calibri" w:hAnsi="Century Gothic" w:cs="Arial"/>
          <w:color w:val="000000"/>
          <w:sz w:val="16"/>
          <w:szCs w:val="16"/>
          <w:lang w:val="es-ES_tradnl" w:eastAsia="es-ES_tradnl"/>
        </w:rPr>
        <w:t>[…]</w:t>
      </w:r>
    </w:p>
    <w:p w14:paraId="1CB252B3" w14:textId="77777777" w:rsidR="003675AB" w:rsidRPr="006B76D4" w:rsidRDefault="003675AB" w:rsidP="003675AB">
      <w:pPr>
        <w:pStyle w:val="Textonotapie"/>
        <w:ind w:firstLine="708"/>
        <w:jc w:val="both"/>
        <w:rPr>
          <w:rFonts w:ascii="Century Gothic" w:eastAsia="Calibri" w:hAnsi="Century Gothic" w:cs="Arial"/>
          <w:color w:val="000000"/>
          <w:sz w:val="16"/>
          <w:szCs w:val="16"/>
          <w:lang w:val="es-ES_tradnl" w:eastAsia="es-ES_tradnl"/>
        </w:rPr>
      </w:pPr>
      <w:r w:rsidRPr="006B76D4">
        <w:rPr>
          <w:rFonts w:ascii="Century Gothic" w:eastAsia="Calibri" w:hAnsi="Century Gothic" w:cs="Arial"/>
          <w:color w:val="000000"/>
          <w:sz w:val="16"/>
          <w:szCs w:val="16"/>
          <w:lang w:val="es-ES_tradnl" w:eastAsia="es-ES_tradnl"/>
        </w:rPr>
        <w:t xml:space="preserve">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w:t>
      </w:r>
    </w:p>
    <w:p w14:paraId="001B6DE1" w14:textId="77777777" w:rsidR="003675AB" w:rsidRPr="006B76D4" w:rsidRDefault="003675AB" w:rsidP="003675AB">
      <w:pPr>
        <w:pStyle w:val="Textonotapie"/>
        <w:ind w:firstLine="708"/>
        <w:jc w:val="both"/>
        <w:rPr>
          <w:rFonts w:ascii="Century Gothic" w:eastAsia="Calibri" w:hAnsi="Century Gothic" w:cs="Arial"/>
          <w:color w:val="000000"/>
          <w:sz w:val="16"/>
          <w:szCs w:val="16"/>
          <w:lang w:val="es-ES_tradnl" w:eastAsia="es-ES_tradnl"/>
        </w:rPr>
      </w:pPr>
      <w:r w:rsidRPr="006B76D4">
        <w:rPr>
          <w:rFonts w:ascii="Century Gothic" w:eastAsia="Calibri" w:hAnsi="Century Gothic" w:cs="Arial"/>
          <w:color w:val="000000"/>
          <w:sz w:val="16"/>
          <w:szCs w:val="16"/>
          <w:lang w:val="es-ES_tradnl" w:eastAsia="es-ES_tradnl"/>
        </w:rPr>
        <w:t xml:space="preserve">I. Principales cuentas detalladas del balance general. </w:t>
      </w:r>
    </w:p>
    <w:p w14:paraId="375303D7" w14:textId="77777777" w:rsidR="003675AB" w:rsidRPr="006B76D4" w:rsidRDefault="003675AB" w:rsidP="003675AB">
      <w:pPr>
        <w:pStyle w:val="Textonotapie"/>
        <w:ind w:firstLine="708"/>
        <w:jc w:val="both"/>
        <w:rPr>
          <w:rFonts w:ascii="Century Gothic" w:eastAsia="Calibri" w:hAnsi="Century Gothic" w:cs="Arial"/>
          <w:color w:val="000000"/>
          <w:sz w:val="16"/>
          <w:szCs w:val="16"/>
          <w:lang w:val="es-ES_tradnl" w:eastAsia="es-ES_tradnl"/>
        </w:rPr>
      </w:pPr>
      <w:r w:rsidRPr="006B76D4">
        <w:rPr>
          <w:rFonts w:ascii="Century Gothic" w:eastAsia="Calibri" w:hAnsi="Century Gothic" w:cs="Arial"/>
          <w:color w:val="000000"/>
          <w:sz w:val="16"/>
          <w:szCs w:val="16"/>
          <w:lang w:val="es-ES_tradnl" w:eastAsia="es-ES_tradnl"/>
        </w:rPr>
        <w:t xml:space="preserve">II. Principales cuentas del estado de pérdidas y ganancias. </w:t>
      </w:r>
    </w:p>
    <w:p w14:paraId="06C7244E" w14:textId="77777777" w:rsidR="003675AB" w:rsidRPr="006B76D4" w:rsidRDefault="003675AB" w:rsidP="003675AB">
      <w:pPr>
        <w:pStyle w:val="Textonotapie"/>
        <w:ind w:firstLine="708"/>
        <w:jc w:val="both"/>
        <w:rPr>
          <w:rFonts w:ascii="Century Gothic" w:eastAsia="Calibri" w:hAnsi="Century Gothic" w:cs="Arial"/>
          <w:color w:val="000000"/>
          <w:sz w:val="16"/>
          <w:szCs w:val="16"/>
          <w:lang w:val="es-ES_tradnl" w:eastAsia="es-ES_tradnl"/>
        </w:rPr>
      </w:pPr>
      <w:r w:rsidRPr="006B76D4">
        <w:rPr>
          <w:rFonts w:ascii="Century Gothic" w:eastAsia="Calibri" w:hAnsi="Century Gothic" w:cs="Arial"/>
          <w:color w:val="000000"/>
          <w:sz w:val="16"/>
          <w:szCs w:val="16"/>
          <w:lang w:val="es-ES_tradnl" w:eastAsia="es-ES_tradnl"/>
        </w:rPr>
        <w:t xml:space="preserve">III. Cuentas contingentes deudoras y acreedoras. </w:t>
      </w:r>
    </w:p>
    <w:p w14:paraId="20C873FE" w14:textId="77777777" w:rsidR="003675AB" w:rsidRPr="00EE1C26" w:rsidRDefault="003675AB" w:rsidP="003675AB">
      <w:pPr>
        <w:pStyle w:val="Textonotapie"/>
        <w:ind w:firstLine="708"/>
        <w:jc w:val="both"/>
        <w:rPr>
          <w:rFonts w:ascii="Arial" w:hAnsi="Arial" w:cs="Arial"/>
          <w:sz w:val="16"/>
          <w:szCs w:val="16"/>
        </w:rPr>
      </w:pPr>
      <w:r w:rsidRPr="006B76D4">
        <w:rPr>
          <w:rFonts w:ascii="Century Gothic" w:eastAsia="Calibri" w:hAnsi="Century Gothic" w:cs="Arial"/>
          <w:color w:val="000000"/>
          <w:sz w:val="16"/>
          <w:szCs w:val="16"/>
          <w:lang w:val="es-ES_tradnl" w:eastAsia="es-ES_tradnl"/>
        </w:rPr>
        <w:t>Si el interesado no tiene antigüedad suficiente para tener estados financieros auditados a 31 de diciembre, debe inscribirse con estados financieros de corte trimestral, suscritos por el representante legal y el auditor o contador o estados financieros de apertura[...]”</w:t>
      </w:r>
      <w:r w:rsidRPr="00EE1C26">
        <w:rPr>
          <w:rFonts w:ascii="Arial" w:hAnsi="Arial" w:cs="Arial"/>
          <w:sz w:val="16"/>
          <w:szCs w:val="16"/>
        </w:rPr>
        <w:t xml:space="preserve">  </w:t>
      </w:r>
    </w:p>
  </w:footnote>
  <w:footnote w:id="8">
    <w:p w14:paraId="45169ED4" w14:textId="77777777" w:rsidR="003675AB" w:rsidRPr="006B76D4" w:rsidRDefault="003675AB" w:rsidP="003675AB">
      <w:pPr>
        <w:pStyle w:val="Textonotapie"/>
        <w:ind w:firstLine="708"/>
        <w:jc w:val="both"/>
        <w:rPr>
          <w:rFonts w:ascii="Century Gothic" w:eastAsia="Calibri" w:hAnsi="Century Gothic" w:cs="Arial"/>
          <w:color w:val="000000"/>
          <w:sz w:val="16"/>
          <w:szCs w:val="16"/>
          <w:lang w:val="es-ES_tradnl" w:eastAsia="es-ES_tradnl"/>
        </w:rPr>
      </w:pPr>
      <w:r w:rsidRPr="002153B5">
        <w:rPr>
          <w:rStyle w:val="Refdenotaalpie"/>
          <w:rFonts w:ascii="Arial" w:hAnsi="Arial" w:cs="Arial"/>
          <w:sz w:val="16"/>
          <w:szCs w:val="16"/>
        </w:rPr>
        <w:footnoteRef/>
      </w:r>
      <w:r w:rsidRPr="002153B5">
        <w:rPr>
          <w:rFonts w:ascii="Arial" w:hAnsi="Arial" w:cs="Arial"/>
          <w:sz w:val="16"/>
          <w:szCs w:val="16"/>
        </w:rPr>
        <w:t xml:space="preserve"> </w:t>
      </w:r>
      <w:r w:rsidRPr="006B76D4">
        <w:rPr>
          <w:rFonts w:ascii="Century Gothic" w:eastAsia="Calibri" w:hAnsi="Century Gothic" w:cs="Arial"/>
          <w:color w:val="000000"/>
          <w:sz w:val="16"/>
          <w:szCs w:val="16"/>
          <w:lang w:val="es-ES_tradnl" w:eastAsia="es-ES_tradnl"/>
        </w:rPr>
        <w:t>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p w14:paraId="0FD816C4" w14:textId="77777777" w:rsidR="003675AB" w:rsidRPr="006B76D4" w:rsidRDefault="003675AB" w:rsidP="003675AB">
      <w:pPr>
        <w:pStyle w:val="Textonotapie"/>
        <w:ind w:firstLine="708"/>
        <w:jc w:val="both"/>
        <w:rPr>
          <w:rFonts w:ascii="Century Gothic" w:eastAsia="Calibri" w:hAnsi="Century Gothic" w:cs="Arial"/>
          <w:color w:val="000000"/>
          <w:sz w:val="16"/>
          <w:szCs w:val="16"/>
          <w:lang w:val="es-ES_tradnl" w:eastAsia="es-ES_tradnl"/>
        </w:rPr>
      </w:pPr>
    </w:p>
  </w:footnote>
  <w:footnote w:id="9">
    <w:p w14:paraId="6FEE1852" w14:textId="77777777" w:rsidR="003675AB" w:rsidRPr="006B76D4" w:rsidRDefault="003675AB" w:rsidP="003675AB">
      <w:pPr>
        <w:pStyle w:val="Textonotapie"/>
        <w:ind w:firstLine="708"/>
        <w:jc w:val="both"/>
        <w:rPr>
          <w:rFonts w:ascii="Century Gothic" w:eastAsia="Calibri" w:hAnsi="Century Gothic" w:cs="Arial"/>
          <w:color w:val="000000"/>
          <w:sz w:val="16"/>
          <w:szCs w:val="16"/>
          <w:lang w:val="es-ES_tradnl" w:eastAsia="es-ES_tradnl"/>
        </w:rPr>
      </w:pPr>
      <w:r w:rsidRPr="00286161">
        <w:rPr>
          <w:rFonts w:ascii="Century Gothic" w:eastAsia="Calibri" w:hAnsi="Century Gothic"/>
          <w:color w:val="000000"/>
          <w:vertAlign w:val="superscript"/>
          <w:lang w:val="es-ES_tradnl" w:eastAsia="es-ES_tradnl"/>
        </w:rPr>
        <w:footnoteRef/>
      </w:r>
      <w:r w:rsidRPr="00286161">
        <w:rPr>
          <w:rFonts w:ascii="Century Gothic" w:eastAsia="Calibri" w:hAnsi="Century Gothic" w:cs="Arial"/>
          <w:color w:val="000000"/>
          <w:sz w:val="16"/>
          <w:szCs w:val="16"/>
          <w:vertAlign w:val="superscript"/>
          <w:lang w:val="es-ES_tradnl" w:eastAsia="es-ES_tradnl"/>
        </w:rPr>
        <w:t xml:space="preserve"> </w:t>
      </w:r>
      <w:r w:rsidRPr="006B76D4">
        <w:rPr>
          <w:rFonts w:ascii="Century Gothic" w:eastAsia="Calibri" w:hAnsi="Century Gothic" w:cs="Arial"/>
          <w:color w:val="000000"/>
          <w:sz w:val="16"/>
          <w:szCs w:val="16"/>
          <w:lang w:val="es-ES_tradnl" w:eastAsia="es-ES_tradnl"/>
        </w:rPr>
        <w:t>Agencia Nacional de Contratación Pública – Colombia Compra Eficiente, “Manual para determinar y verificar los requisitos habilitantes en los Procesos de Contratación”.</w:t>
      </w:r>
    </w:p>
    <w:p w14:paraId="1C27E7B2" w14:textId="77777777" w:rsidR="003675AB" w:rsidRPr="002153B5" w:rsidRDefault="003675AB" w:rsidP="003675AB">
      <w:pPr>
        <w:pStyle w:val="Textonotapie"/>
        <w:ind w:firstLine="567"/>
        <w:jc w:val="both"/>
        <w:rPr>
          <w:rFonts w:ascii="Arial" w:hAnsi="Arial"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B694C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347A2E"/>
    <w:multiLevelType w:val="hybridMultilevel"/>
    <w:tmpl w:val="08D64D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0159B"/>
    <w:multiLevelType w:val="hybridMultilevel"/>
    <w:tmpl w:val="2B76B7F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0FE91606"/>
    <w:multiLevelType w:val="hybridMultilevel"/>
    <w:tmpl w:val="99EA2E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A304681"/>
    <w:multiLevelType w:val="hybridMultilevel"/>
    <w:tmpl w:val="46405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CF543C8"/>
    <w:multiLevelType w:val="hybridMultilevel"/>
    <w:tmpl w:val="FFBEA5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E6B5018"/>
    <w:multiLevelType w:val="hybridMultilevel"/>
    <w:tmpl w:val="F59E2E2C"/>
    <w:lvl w:ilvl="0" w:tplc="240A0001">
      <w:start w:val="1"/>
      <w:numFmt w:val="bullet"/>
      <w:lvlText w:val=""/>
      <w:lvlJc w:val="left"/>
      <w:pPr>
        <w:ind w:left="1427" w:hanging="360"/>
      </w:pPr>
      <w:rPr>
        <w:rFonts w:ascii="Symbol" w:hAnsi="Symbol" w:hint="default"/>
      </w:rPr>
    </w:lvl>
    <w:lvl w:ilvl="1" w:tplc="240A0003" w:tentative="1">
      <w:start w:val="1"/>
      <w:numFmt w:val="bullet"/>
      <w:lvlText w:val="o"/>
      <w:lvlJc w:val="left"/>
      <w:pPr>
        <w:ind w:left="2147" w:hanging="360"/>
      </w:pPr>
      <w:rPr>
        <w:rFonts w:ascii="Courier New" w:hAnsi="Courier New" w:cs="Courier New" w:hint="default"/>
      </w:rPr>
    </w:lvl>
    <w:lvl w:ilvl="2" w:tplc="240A0005" w:tentative="1">
      <w:start w:val="1"/>
      <w:numFmt w:val="bullet"/>
      <w:lvlText w:val=""/>
      <w:lvlJc w:val="left"/>
      <w:pPr>
        <w:ind w:left="2867" w:hanging="360"/>
      </w:pPr>
      <w:rPr>
        <w:rFonts w:ascii="Wingdings" w:hAnsi="Wingdings" w:hint="default"/>
      </w:rPr>
    </w:lvl>
    <w:lvl w:ilvl="3" w:tplc="240A0001" w:tentative="1">
      <w:start w:val="1"/>
      <w:numFmt w:val="bullet"/>
      <w:lvlText w:val=""/>
      <w:lvlJc w:val="left"/>
      <w:pPr>
        <w:ind w:left="3587" w:hanging="360"/>
      </w:pPr>
      <w:rPr>
        <w:rFonts w:ascii="Symbol" w:hAnsi="Symbol" w:hint="default"/>
      </w:rPr>
    </w:lvl>
    <w:lvl w:ilvl="4" w:tplc="240A0003" w:tentative="1">
      <w:start w:val="1"/>
      <w:numFmt w:val="bullet"/>
      <w:lvlText w:val="o"/>
      <w:lvlJc w:val="left"/>
      <w:pPr>
        <w:ind w:left="4307" w:hanging="360"/>
      </w:pPr>
      <w:rPr>
        <w:rFonts w:ascii="Courier New" w:hAnsi="Courier New" w:cs="Courier New" w:hint="default"/>
      </w:rPr>
    </w:lvl>
    <w:lvl w:ilvl="5" w:tplc="240A0005" w:tentative="1">
      <w:start w:val="1"/>
      <w:numFmt w:val="bullet"/>
      <w:lvlText w:val=""/>
      <w:lvlJc w:val="left"/>
      <w:pPr>
        <w:ind w:left="5027" w:hanging="360"/>
      </w:pPr>
      <w:rPr>
        <w:rFonts w:ascii="Wingdings" w:hAnsi="Wingdings" w:hint="default"/>
      </w:rPr>
    </w:lvl>
    <w:lvl w:ilvl="6" w:tplc="240A0001" w:tentative="1">
      <w:start w:val="1"/>
      <w:numFmt w:val="bullet"/>
      <w:lvlText w:val=""/>
      <w:lvlJc w:val="left"/>
      <w:pPr>
        <w:ind w:left="5747" w:hanging="360"/>
      </w:pPr>
      <w:rPr>
        <w:rFonts w:ascii="Symbol" w:hAnsi="Symbol" w:hint="default"/>
      </w:rPr>
    </w:lvl>
    <w:lvl w:ilvl="7" w:tplc="240A0003" w:tentative="1">
      <w:start w:val="1"/>
      <w:numFmt w:val="bullet"/>
      <w:lvlText w:val="o"/>
      <w:lvlJc w:val="left"/>
      <w:pPr>
        <w:ind w:left="6467" w:hanging="360"/>
      </w:pPr>
      <w:rPr>
        <w:rFonts w:ascii="Courier New" w:hAnsi="Courier New" w:cs="Courier New" w:hint="default"/>
      </w:rPr>
    </w:lvl>
    <w:lvl w:ilvl="8" w:tplc="240A0005" w:tentative="1">
      <w:start w:val="1"/>
      <w:numFmt w:val="bullet"/>
      <w:lvlText w:val=""/>
      <w:lvlJc w:val="left"/>
      <w:pPr>
        <w:ind w:left="7187" w:hanging="360"/>
      </w:pPr>
      <w:rPr>
        <w:rFonts w:ascii="Wingdings" w:hAnsi="Wingdings" w:hint="default"/>
      </w:rPr>
    </w:lvl>
  </w:abstractNum>
  <w:abstractNum w:abstractNumId="14" w15:restartNumberingAfterBreak="0">
    <w:nsid w:val="453841F3"/>
    <w:multiLevelType w:val="hybridMultilevel"/>
    <w:tmpl w:val="7570D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6"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7"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44D1A50"/>
    <w:multiLevelType w:val="hybridMultilevel"/>
    <w:tmpl w:val="4E0A28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0" w15:restartNumberingAfterBreak="0">
    <w:nsid w:val="6D1751AC"/>
    <w:multiLevelType w:val="hybridMultilevel"/>
    <w:tmpl w:val="000ADD0E"/>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1" w15:restartNumberingAfterBreak="0">
    <w:nsid w:val="71994FE8"/>
    <w:multiLevelType w:val="hybridMultilevel"/>
    <w:tmpl w:val="59A0D3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90670214">
    <w:abstractNumId w:val="10"/>
  </w:num>
  <w:num w:numId="2" w16cid:durableId="4285022">
    <w:abstractNumId w:val="2"/>
  </w:num>
  <w:num w:numId="3" w16cid:durableId="881983949">
    <w:abstractNumId w:val="7"/>
  </w:num>
  <w:num w:numId="4" w16cid:durableId="341274352">
    <w:abstractNumId w:val="0"/>
  </w:num>
  <w:num w:numId="5" w16cid:durableId="1887524674">
    <w:abstractNumId w:val="15"/>
  </w:num>
  <w:num w:numId="6" w16cid:durableId="1082990391">
    <w:abstractNumId w:val="1"/>
  </w:num>
  <w:num w:numId="7" w16cid:durableId="1492209491">
    <w:abstractNumId w:val="9"/>
  </w:num>
  <w:num w:numId="8" w16cid:durableId="679089576">
    <w:abstractNumId w:val="11"/>
  </w:num>
  <w:num w:numId="9" w16cid:durableId="2123767494">
    <w:abstractNumId w:val="14"/>
  </w:num>
  <w:num w:numId="10" w16cid:durableId="1391228846">
    <w:abstractNumId w:val="8"/>
  </w:num>
  <w:num w:numId="11" w16cid:durableId="15233557">
    <w:abstractNumId w:val="19"/>
  </w:num>
  <w:num w:numId="12" w16cid:durableId="354035714">
    <w:abstractNumId w:val="3"/>
  </w:num>
  <w:num w:numId="13" w16cid:durableId="101463356">
    <w:abstractNumId w:val="5"/>
  </w:num>
  <w:num w:numId="14" w16cid:durableId="190606430">
    <w:abstractNumId w:val="4"/>
  </w:num>
  <w:num w:numId="15" w16cid:durableId="1150177500">
    <w:abstractNumId w:val="12"/>
  </w:num>
  <w:num w:numId="16" w16cid:durableId="1117799111">
    <w:abstractNumId w:val="6"/>
  </w:num>
  <w:num w:numId="17" w16cid:durableId="2146727359">
    <w:abstractNumId w:val="20"/>
  </w:num>
  <w:num w:numId="18" w16cid:durableId="1016154943">
    <w:abstractNumId w:val="21"/>
  </w:num>
  <w:num w:numId="19" w16cid:durableId="2097506960">
    <w:abstractNumId w:val="18"/>
  </w:num>
  <w:num w:numId="20" w16cid:durableId="475490479">
    <w:abstractNumId w:val="13"/>
  </w:num>
  <w:num w:numId="21" w16cid:durableId="1977490869">
    <w:abstractNumId w:val="17"/>
  </w:num>
  <w:num w:numId="22" w16cid:durableId="1586632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4178"/>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02B6"/>
    <w:rsid w:val="0019532A"/>
    <w:rsid w:val="0019670E"/>
    <w:rsid w:val="00197205"/>
    <w:rsid w:val="001A1BFE"/>
    <w:rsid w:val="001A5DD4"/>
    <w:rsid w:val="001A67E9"/>
    <w:rsid w:val="001B143B"/>
    <w:rsid w:val="001B21CA"/>
    <w:rsid w:val="001B275C"/>
    <w:rsid w:val="001C04FC"/>
    <w:rsid w:val="001C25A3"/>
    <w:rsid w:val="001C5D03"/>
    <w:rsid w:val="001C7771"/>
    <w:rsid w:val="001D62FF"/>
    <w:rsid w:val="001F3F48"/>
    <w:rsid w:val="001F48DA"/>
    <w:rsid w:val="002000AA"/>
    <w:rsid w:val="00204109"/>
    <w:rsid w:val="00211E6E"/>
    <w:rsid w:val="00212A46"/>
    <w:rsid w:val="0021401D"/>
    <w:rsid w:val="002146B8"/>
    <w:rsid w:val="00215516"/>
    <w:rsid w:val="002527C2"/>
    <w:rsid w:val="00270443"/>
    <w:rsid w:val="00270EE2"/>
    <w:rsid w:val="00272972"/>
    <w:rsid w:val="00286161"/>
    <w:rsid w:val="00286491"/>
    <w:rsid w:val="002A0F8D"/>
    <w:rsid w:val="002B6E44"/>
    <w:rsid w:val="002E1DB5"/>
    <w:rsid w:val="002F1766"/>
    <w:rsid w:val="002F6CCB"/>
    <w:rsid w:val="0030461E"/>
    <w:rsid w:val="0031699C"/>
    <w:rsid w:val="0032756A"/>
    <w:rsid w:val="00334EF8"/>
    <w:rsid w:val="00336408"/>
    <w:rsid w:val="00340DFB"/>
    <w:rsid w:val="0034404F"/>
    <w:rsid w:val="00356980"/>
    <w:rsid w:val="00367462"/>
    <w:rsid w:val="003675AB"/>
    <w:rsid w:val="00371ECA"/>
    <w:rsid w:val="00372748"/>
    <w:rsid w:val="0037332A"/>
    <w:rsid w:val="0038151A"/>
    <w:rsid w:val="0039082A"/>
    <w:rsid w:val="00390C21"/>
    <w:rsid w:val="003A37BD"/>
    <w:rsid w:val="003A5B4D"/>
    <w:rsid w:val="003B257E"/>
    <w:rsid w:val="003B6D94"/>
    <w:rsid w:val="003C4C96"/>
    <w:rsid w:val="003C55E0"/>
    <w:rsid w:val="003F519B"/>
    <w:rsid w:val="0040544F"/>
    <w:rsid w:val="00406A19"/>
    <w:rsid w:val="0041222D"/>
    <w:rsid w:val="0041483E"/>
    <w:rsid w:val="00415369"/>
    <w:rsid w:val="00430492"/>
    <w:rsid w:val="00450BE7"/>
    <w:rsid w:val="004656D7"/>
    <w:rsid w:val="0046741E"/>
    <w:rsid w:val="00472CC6"/>
    <w:rsid w:val="0048026E"/>
    <w:rsid w:val="004807A9"/>
    <w:rsid w:val="004813EE"/>
    <w:rsid w:val="00493278"/>
    <w:rsid w:val="004943D9"/>
    <w:rsid w:val="00495DB3"/>
    <w:rsid w:val="004A0E7B"/>
    <w:rsid w:val="004A3498"/>
    <w:rsid w:val="004B0C45"/>
    <w:rsid w:val="004C0AB2"/>
    <w:rsid w:val="004C1619"/>
    <w:rsid w:val="004C1A26"/>
    <w:rsid w:val="004C1CC9"/>
    <w:rsid w:val="004C3755"/>
    <w:rsid w:val="004C4485"/>
    <w:rsid w:val="004D11AF"/>
    <w:rsid w:val="004D4593"/>
    <w:rsid w:val="00500DFA"/>
    <w:rsid w:val="005019AA"/>
    <w:rsid w:val="005021BB"/>
    <w:rsid w:val="005139E7"/>
    <w:rsid w:val="005147DA"/>
    <w:rsid w:val="00515FB5"/>
    <w:rsid w:val="0052365C"/>
    <w:rsid w:val="005271EB"/>
    <w:rsid w:val="005426DB"/>
    <w:rsid w:val="00543572"/>
    <w:rsid w:val="00545489"/>
    <w:rsid w:val="0055082B"/>
    <w:rsid w:val="00552503"/>
    <w:rsid w:val="00552B57"/>
    <w:rsid w:val="00557DA1"/>
    <w:rsid w:val="00562FFA"/>
    <w:rsid w:val="0056322C"/>
    <w:rsid w:val="0058743A"/>
    <w:rsid w:val="005A1C97"/>
    <w:rsid w:val="005A3696"/>
    <w:rsid w:val="005A4DB0"/>
    <w:rsid w:val="005A7B8E"/>
    <w:rsid w:val="005B012B"/>
    <w:rsid w:val="005B0C87"/>
    <w:rsid w:val="005D23F6"/>
    <w:rsid w:val="005D2FA8"/>
    <w:rsid w:val="005E2281"/>
    <w:rsid w:val="005E667C"/>
    <w:rsid w:val="005F077C"/>
    <w:rsid w:val="005F63D0"/>
    <w:rsid w:val="005F7973"/>
    <w:rsid w:val="00600948"/>
    <w:rsid w:val="00605783"/>
    <w:rsid w:val="0061690E"/>
    <w:rsid w:val="00627361"/>
    <w:rsid w:val="0063017E"/>
    <w:rsid w:val="00631B28"/>
    <w:rsid w:val="00645B90"/>
    <w:rsid w:val="00650991"/>
    <w:rsid w:val="006511D7"/>
    <w:rsid w:val="00663D75"/>
    <w:rsid w:val="00670AEF"/>
    <w:rsid w:val="00675678"/>
    <w:rsid w:val="00677012"/>
    <w:rsid w:val="00680B4E"/>
    <w:rsid w:val="006825B4"/>
    <w:rsid w:val="00682AF2"/>
    <w:rsid w:val="00685798"/>
    <w:rsid w:val="00685FFD"/>
    <w:rsid w:val="006864DF"/>
    <w:rsid w:val="006A3C8A"/>
    <w:rsid w:val="006A7552"/>
    <w:rsid w:val="006B5953"/>
    <w:rsid w:val="006B76D4"/>
    <w:rsid w:val="006B7A81"/>
    <w:rsid w:val="006C4BAC"/>
    <w:rsid w:val="006C52F3"/>
    <w:rsid w:val="006E1D19"/>
    <w:rsid w:val="006E7F37"/>
    <w:rsid w:val="006F3B81"/>
    <w:rsid w:val="006F4F79"/>
    <w:rsid w:val="00705B37"/>
    <w:rsid w:val="00711FD9"/>
    <w:rsid w:val="0071249B"/>
    <w:rsid w:val="0072628E"/>
    <w:rsid w:val="00735062"/>
    <w:rsid w:val="00740CB9"/>
    <w:rsid w:val="00746BA5"/>
    <w:rsid w:val="00751D23"/>
    <w:rsid w:val="00770577"/>
    <w:rsid w:val="00777666"/>
    <w:rsid w:val="00780EE2"/>
    <w:rsid w:val="0078159B"/>
    <w:rsid w:val="00782E10"/>
    <w:rsid w:val="0078706B"/>
    <w:rsid w:val="00790836"/>
    <w:rsid w:val="00797131"/>
    <w:rsid w:val="007A3C1D"/>
    <w:rsid w:val="007A7364"/>
    <w:rsid w:val="007B285D"/>
    <w:rsid w:val="007B465D"/>
    <w:rsid w:val="007C6BC6"/>
    <w:rsid w:val="00807D79"/>
    <w:rsid w:val="00813634"/>
    <w:rsid w:val="00822821"/>
    <w:rsid w:val="00831C29"/>
    <w:rsid w:val="008431EF"/>
    <w:rsid w:val="008468E0"/>
    <w:rsid w:val="00871B59"/>
    <w:rsid w:val="00874839"/>
    <w:rsid w:val="00877D03"/>
    <w:rsid w:val="00877E96"/>
    <w:rsid w:val="008806CA"/>
    <w:rsid w:val="008815E5"/>
    <w:rsid w:val="00887B37"/>
    <w:rsid w:val="008909B9"/>
    <w:rsid w:val="00891DFC"/>
    <w:rsid w:val="008A59E6"/>
    <w:rsid w:val="008B12B4"/>
    <w:rsid w:val="008B7914"/>
    <w:rsid w:val="008C5D2A"/>
    <w:rsid w:val="008C7AF4"/>
    <w:rsid w:val="008D529F"/>
    <w:rsid w:val="008F5CC8"/>
    <w:rsid w:val="009061B8"/>
    <w:rsid w:val="0091008B"/>
    <w:rsid w:val="00911EA2"/>
    <w:rsid w:val="00916160"/>
    <w:rsid w:val="00916C7D"/>
    <w:rsid w:val="0092575D"/>
    <w:rsid w:val="009341DA"/>
    <w:rsid w:val="009430F9"/>
    <w:rsid w:val="009442E8"/>
    <w:rsid w:val="00946BD0"/>
    <w:rsid w:val="0095426C"/>
    <w:rsid w:val="00970087"/>
    <w:rsid w:val="00971074"/>
    <w:rsid w:val="00995D86"/>
    <w:rsid w:val="009A5453"/>
    <w:rsid w:val="009B4D94"/>
    <w:rsid w:val="009C2871"/>
    <w:rsid w:val="009D3C33"/>
    <w:rsid w:val="009D50FB"/>
    <w:rsid w:val="009D7F3A"/>
    <w:rsid w:val="009E35E3"/>
    <w:rsid w:val="009E4885"/>
    <w:rsid w:val="009E715B"/>
    <w:rsid w:val="00A07DB6"/>
    <w:rsid w:val="00A10A73"/>
    <w:rsid w:val="00A170B3"/>
    <w:rsid w:val="00A223D5"/>
    <w:rsid w:val="00A37D1C"/>
    <w:rsid w:val="00A5453E"/>
    <w:rsid w:val="00A56F6C"/>
    <w:rsid w:val="00A76C8C"/>
    <w:rsid w:val="00A83E50"/>
    <w:rsid w:val="00A85F30"/>
    <w:rsid w:val="00A9099E"/>
    <w:rsid w:val="00A91969"/>
    <w:rsid w:val="00A91FB7"/>
    <w:rsid w:val="00A9298F"/>
    <w:rsid w:val="00AA0351"/>
    <w:rsid w:val="00AA1CB7"/>
    <w:rsid w:val="00AA5F4A"/>
    <w:rsid w:val="00AB025E"/>
    <w:rsid w:val="00AB1984"/>
    <w:rsid w:val="00AB52B1"/>
    <w:rsid w:val="00AC4CB3"/>
    <w:rsid w:val="00AC780D"/>
    <w:rsid w:val="00AD036B"/>
    <w:rsid w:val="00AD1996"/>
    <w:rsid w:val="00AD4099"/>
    <w:rsid w:val="00AD4901"/>
    <w:rsid w:val="00AF1F30"/>
    <w:rsid w:val="00B02FE0"/>
    <w:rsid w:val="00B03FDE"/>
    <w:rsid w:val="00B057B6"/>
    <w:rsid w:val="00B30448"/>
    <w:rsid w:val="00B34786"/>
    <w:rsid w:val="00B400EC"/>
    <w:rsid w:val="00B40162"/>
    <w:rsid w:val="00B41ACE"/>
    <w:rsid w:val="00B50156"/>
    <w:rsid w:val="00B518AD"/>
    <w:rsid w:val="00B60A96"/>
    <w:rsid w:val="00B678EC"/>
    <w:rsid w:val="00B76C94"/>
    <w:rsid w:val="00B772D0"/>
    <w:rsid w:val="00B836EA"/>
    <w:rsid w:val="00B84C05"/>
    <w:rsid w:val="00B87A25"/>
    <w:rsid w:val="00B91B81"/>
    <w:rsid w:val="00B94B92"/>
    <w:rsid w:val="00B97135"/>
    <w:rsid w:val="00BB3072"/>
    <w:rsid w:val="00BC7632"/>
    <w:rsid w:val="00BD48A9"/>
    <w:rsid w:val="00BD630F"/>
    <w:rsid w:val="00BD7EC6"/>
    <w:rsid w:val="00BE73FA"/>
    <w:rsid w:val="00BF6B4B"/>
    <w:rsid w:val="00BF755C"/>
    <w:rsid w:val="00C0511C"/>
    <w:rsid w:val="00C20ACF"/>
    <w:rsid w:val="00C22307"/>
    <w:rsid w:val="00C23469"/>
    <w:rsid w:val="00C30C62"/>
    <w:rsid w:val="00C371DF"/>
    <w:rsid w:val="00C42055"/>
    <w:rsid w:val="00C44B4C"/>
    <w:rsid w:val="00C46734"/>
    <w:rsid w:val="00C47A86"/>
    <w:rsid w:val="00C53220"/>
    <w:rsid w:val="00CA3347"/>
    <w:rsid w:val="00CB7386"/>
    <w:rsid w:val="00CC299A"/>
    <w:rsid w:val="00CD03E3"/>
    <w:rsid w:val="00CE4DAB"/>
    <w:rsid w:val="00CE6BDA"/>
    <w:rsid w:val="00CE7288"/>
    <w:rsid w:val="00D03DBE"/>
    <w:rsid w:val="00D072C0"/>
    <w:rsid w:val="00D34C82"/>
    <w:rsid w:val="00D3757A"/>
    <w:rsid w:val="00D44D04"/>
    <w:rsid w:val="00D504A9"/>
    <w:rsid w:val="00D5206D"/>
    <w:rsid w:val="00D52ECE"/>
    <w:rsid w:val="00D7177D"/>
    <w:rsid w:val="00D81311"/>
    <w:rsid w:val="00D97115"/>
    <w:rsid w:val="00DB201E"/>
    <w:rsid w:val="00DC0E68"/>
    <w:rsid w:val="00DD25ED"/>
    <w:rsid w:val="00DE0D6E"/>
    <w:rsid w:val="00E051A5"/>
    <w:rsid w:val="00E052DF"/>
    <w:rsid w:val="00E07CDA"/>
    <w:rsid w:val="00E1610C"/>
    <w:rsid w:val="00E16D73"/>
    <w:rsid w:val="00E23E9E"/>
    <w:rsid w:val="00E25722"/>
    <w:rsid w:val="00E27F0A"/>
    <w:rsid w:val="00E4231E"/>
    <w:rsid w:val="00E4302C"/>
    <w:rsid w:val="00E43EBA"/>
    <w:rsid w:val="00E44AC7"/>
    <w:rsid w:val="00E45F4B"/>
    <w:rsid w:val="00E60A16"/>
    <w:rsid w:val="00E82B6E"/>
    <w:rsid w:val="00E94258"/>
    <w:rsid w:val="00E96C18"/>
    <w:rsid w:val="00EA2E61"/>
    <w:rsid w:val="00EA334D"/>
    <w:rsid w:val="00EA7D7F"/>
    <w:rsid w:val="00EB02F4"/>
    <w:rsid w:val="00EB0513"/>
    <w:rsid w:val="00EB2FA2"/>
    <w:rsid w:val="00EB769A"/>
    <w:rsid w:val="00EC3A35"/>
    <w:rsid w:val="00ED33DD"/>
    <w:rsid w:val="00EE17F2"/>
    <w:rsid w:val="00EE3138"/>
    <w:rsid w:val="00EF2AC7"/>
    <w:rsid w:val="00EF400A"/>
    <w:rsid w:val="00EF6BE4"/>
    <w:rsid w:val="00EF6E5D"/>
    <w:rsid w:val="00F04CE9"/>
    <w:rsid w:val="00F07764"/>
    <w:rsid w:val="00F12517"/>
    <w:rsid w:val="00F131DD"/>
    <w:rsid w:val="00F16AB7"/>
    <w:rsid w:val="00F16BA1"/>
    <w:rsid w:val="00F24435"/>
    <w:rsid w:val="00F30C0F"/>
    <w:rsid w:val="00F314E8"/>
    <w:rsid w:val="00F323A2"/>
    <w:rsid w:val="00F33B57"/>
    <w:rsid w:val="00F33D5C"/>
    <w:rsid w:val="00F34E90"/>
    <w:rsid w:val="00F356D6"/>
    <w:rsid w:val="00F46F22"/>
    <w:rsid w:val="00F53BE2"/>
    <w:rsid w:val="00F55684"/>
    <w:rsid w:val="00F64D5A"/>
    <w:rsid w:val="00F709CD"/>
    <w:rsid w:val="00F906F4"/>
    <w:rsid w:val="00F919E7"/>
    <w:rsid w:val="00FA0716"/>
    <w:rsid w:val="00FB05D1"/>
    <w:rsid w:val="00FB4629"/>
    <w:rsid w:val="00FB6FB1"/>
    <w:rsid w:val="00FB7063"/>
    <w:rsid w:val="00FC7056"/>
    <w:rsid w:val="00FE1A00"/>
    <w:rsid w:val="00FE33B4"/>
    <w:rsid w:val="00FE4471"/>
    <w:rsid w:val="024D7E2C"/>
    <w:rsid w:val="0D2EB883"/>
    <w:rsid w:val="0D8163B6"/>
    <w:rsid w:val="13A69650"/>
    <w:rsid w:val="1BB32F19"/>
    <w:rsid w:val="1F2C3AF5"/>
    <w:rsid w:val="1FF4886A"/>
    <w:rsid w:val="22D2584A"/>
    <w:rsid w:val="28751A95"/>
    <w:rsid w:val="29FA8189"/>
    <w:rsid w:val="2C00A012"/>
    <w:rsid w:val="304C0AD5"/>
    <w:rsid w:val="330CE3FD"/>
    <w:rsid w:val="389994B3"/>
    <w:rsid w:val="3B30A011"/>
    <w:rsid w:val="3B93C128"/>
    <w:rsid w:val="3CFBE104"/>
    <w:rsid w:val="4F689A9F"/>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1">
    <w:name w:val="Table Normal1"/>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9817">
      <w:bodyDiv w:val="1"/>
      <w:marLeft w:val="0"/>
      <w:marRight w:val="0"/>
      <w:marTop w:val="0"/>
      <w:marBottom w:val="0"/>
      <w:divBdr>
        <w:top w:val="none" w:sz="0" w:space="0" w:color="auto"/>
        <w:left w:val="none" w:sz="0" w:space="0" w:color="auto"/>
        <w:bottom w:val="none" w:sz="0" w:space="0" w:color="auto"/>
        <w:right w:val="none" w:sz="0" w:space="0" w:color="auto"/>
      </w:divBdr>
      <w:divsChild>
        <w:div w:id="2065254455">
          <w:marLeft w:val="0"/>
          <w:marRight w:val="0"/>
          <w:marTop w:val="0"/>
          <w:marBottom w:val="0"/>
          <w:divBdr>
            <w:top w:val="none" w:sz="0" w:space="0" w:color="auto"/>
            <w:left w:val="none" w:sz="0" w:space="0" w:color="auto"/>
            <w:bottom w:val="none" w:sz="0" w:space="0" w:color="auto"/>
            <w:right w:val="none" w:sz="0" w:space="0" w:color="auto"/>
          </w:divBdr>
        </w:div>
      </w:divsChild>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431896965">
      <w:bodyDiv w:val="1"/>
      <w:marLeft w:val="0"/>
      <w:marRight w:val="0"/>
      <w:marTop w:val="0"/>
      <w:marBottom w:val="0"/>
      <w:divBdr>
        <w:top w:val="none" w:sz="0" w:space="0" w:color="auto"/>
        <w:left w:val="none" w:sz="0" w:space="0" w:color="auto"/>
        <w:bottom w:val="none" w:sz="0" w:space="0" w:color="auto"/>
        <w:right w:val="none" w:sz="0" w:space="0" w:color="auto"/>
      </w:divBdr>
      <w:divsChild>
        <w:div w:id="287706397">
          <w:marLeft w:val="0"/>
          <w:marRight w:val="0"/>
          <w:marTop w:val="0"/>
          <w:marBottom w:val="0"/>
          <w:divBdr>
            <w:top w:val="none" w:sz="0" w:space="0" w:color="auto"/>
            <w:left w:val="none" w:sz="0" w:space="0" w:color="auto"/>
            <w:bottom w:val="none" w:sz="0" w:space="0" w:color="auto"/>
            <w:right w:val="none" w:sz="0" w:space="0" w:color="auto"/>
          </w:divBdr>
        </w:div>
      </w:divsChild>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828552474">
      <w:bodyDiv w:val="1"/>
      <w:marLeft w:val="0"/>
      <w:marRight w:val="0"/>
      <w:marTop w:val="0"/>
      <w:marBottom w:val="0"/>
      <w:divBdr>
        <w:top w:val="none" w:sz="0" w:space="0" w:color="auto"/>
        <w:left w:val="none" w:sz="0" w:space="0" w:color="auto"/>
        <w:bottom w:val="none" w:sz="0" w:space="0" w:color="auto"/>
        <w:right w:val="none" w:sz="0" w:space="0" w:color="auto"/>
      </w:divBdr>
      <w:divsChild>
        <w:div w:id="12057567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yperlink" Target="https://nam02.safelinks.protection.outlook.com/?url=https%3A%2F%2Fwww.colombiacompra.gov.co%2Fcontent%2Fconvocatorias&amp;data=05%7C02%7Cdiana.blanco%40colombiacompra.gov.co%7C5aad36a736844ec87b2108dcc1fa4639%7C7b09041e245149d08cb179d5e3d8c1be%7C0%7C0%7C638598527917629752%7CUnknown%7CTWFpbGZsb3d8eyJWIjoiMC4wLjAwMDAiLCJQIjoiV2luMzIiLCJBTiI6Ik1haWwiLCJXVCI6Mn0%3D%7C0%7C%7C%7C&amp;sdata=GAoolGTP3EMvLbuuOcIZqK0EZWu5uKjFqn0sXmbw3fk%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nam02.safelinks.protection.outlook.com/?url=https%3A%2F%2Fwww.sucop.gov.co%2Fentidades%2Fcolombiacompra%2FNormativa%3FIDNorma%3D17363&amp;data=05%7C02%7Cdiana.blanco%40colombiacompra.gov.co%7C5aad36a736844ec87b2108dcc1fa4639%7C7b09041e245149d08cb179d5e3d8c1be%7C0%7C0%7C638598527917618092%7CUnknown%7CTWFpbGZsb3d8eyJWIjoiMC4wLjAwMDAiLCJQIjoiV2luMzIiLCJBTiI6Ik1haWwiLCJXVCI6Mn0%3D%7C0%7C%7C%7C&amp;sdata=yYI6pLYvTWdnmrbsoZcAtOD%2FG7cu%2Bo6Par2iYCSaq4g%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ites%2Fcce_public%2Ffiles%2Ffiles_2020%2Fboletin_de_realtoria_iii.pdf&amp;data=05%7C02%7Cdiana.blanco%40colombiacompra.gov.co%7C5aad36a736844ec87b2108dcc1fa4639%7C7b09041e245149d08cb179d5e3d8c1be%7C0%7C0%7C638598527917605093%7CUnknown%7CTWFpbGZsb3d8eyJWIjoiMC4wLjAwMDAiLCJQIjoiV2luMzIiLCJBTiI6Ik1haWwiLCJXVCI6Mn0%3D%7C0%7C%7C%7C&amp;sdata=GC1x4nLNGPX5zoV2M4K11reL8XIUFpjc0LcVId%2FHtgY%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tricia.valencia@correo.policia.gov.co" TargetMode="External"/><Relationship Id="rId5" Type="http://schemas.openxmlformats.org/officeDocument/2006/relationships/numbering" Target="numbering.xml"/><Relationship Id="rId15"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cce-eicp-gi-18._gees_v.2_2.pdf" TargetMode="External"/><Relationship Id="rId1" Type="http://schemas.openxmlformats.org/officeDocument/2006/relationships/hyperlink" Target="https://www.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3455</Words>
  <Characters>19005</Characters>
  <Application>Microsoft Office Word</Application>
  <DocSecurity>0</DocSecurity>
  <Lines>158</Lines>
  <Paragraphs>44</Paragraphs>
  <ScaleCrop>false</ScaleCrop>
  <Company/>
  <LinksUpToDate>false</LinksUpToDate>
  <CharactersWithSpaces>22416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Andreina Cerpa Muñoz</cp:lastModifiedBy>
  <cp:revision>5</cp:revision>
  <dcterms:created xsi:type="dcterms:W3CDTF">2024-08-22T10:16:00Z</dcterms:created>
  <dcterms:modified xsi:type="dcterms:W3CDTF">2024-09-03T16:03:00Z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