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CAFDC" w14:textId="77777777" w:rsidR="00D75F98" w:rsidRPr="006C15D5" w:rsidRDefault="00D75F98" w:rsidP="00D75F98">
      <w:pPr>
        <w:spacing w:after="0"/>
        <w:jc w:val="both"/>
        <w:rPr>
          <w:rFonts w:ascii="Arial" w:eastAsia="Calibri" w:hAnsi="Arial" w:cs="Arial"/>
          <w:b/>
          <w:color w:val="000000" w:themeColor="text1"/>
          <w:sz w:val="20"/>
          <w:szCs w:val="20"/>
        </w:rPr>
      </w:pPr>
      <w:bookmarkStart w:id="0" w:name="_Hlk94281581"/>
      <w:bookmarkStart w:id="1" w:name="_Hlk102489058"/>
      <w:bookmarkStart w:id="2" w:name="_Hlk34951122"/>
    </w:p>
    <w:p w14:paraId="27C37CF7" w14:textId="77777777" w:rsidR="00D75F98" w:rsidRPr="006C15D5" w:rsidRDefault="00D75F98" w:rsidP="00D75F98">
      <w:pPr>
        <w:spacing w:after="0"/>
        <w:jc w:val="both"/>
        <w:rPr>
          <w:rFonts w:ascii="Arial" w:eastAsia="Calibri" w:hAnsi="Arial" w:cs="Arial"/>
          <w:b/>
          <w:color w:val="000000" w:themeColor="text1"/>
        </w:rPr>
      </w:pPr>
      <w:r>
        <w:rPr>
          <w:rFonts w:ascii="Arial" w:eastAsia="Calibri" w:hAnsi="Arial" w:cs="Arial"/>
          <w:b/>
          <w:color w:val="000000" w:themeColor="text1"/>
        </w:rPr>
        <w:t>EMPRESAS INDUSTRIALES Y COMERCIALES</w:t>
      </w:r>
      <w:r w:rsidRPr="006C15D5">
        <w:rPr>
          <w:rFonts w:ascii="Arial" w:eastAsia="Calibri" w:hAnsi="Arial" w:cs="Arial"/>
          <w:b/>
          <w:color w:val="000000" w:themeColor="text1"/>
        </w:rPr>
        <w:softHyphen/>
        <w:t xml:space="preserve"> </w:t>
      </w:r>
      <w:r>
        <w:rPr>
          <w:rFonts w:ascii="Arial" w:eastAsia="Calibri" w:hAnsi="Arial" w:cs="Arial"/>
          <w:b/>
          <w:color w:val="000000" w:themeColor="text1"/>
        </w:rPr>
        <w:t>–</w:t>
      </w:r>
      <w:r w:rsidRPr="006C15D5">
        <w:rPr>
          <w:rFonts w:ascii="Arial" w:eastAsia="Calibri" w:hAnsi="Arial" w:cs="Arial"/>
          <w:b/>
          <w:color w:val="000000" w:themeColor="text1"/>
        </w:rPr>
        <w:t xml:space="preserve"> </w:t>
      </w:r>
      <w:r>
        <w:rPr>
          <w:rFonts w:ascii="Arial" w:eastAsia="Calibri" w:hAnsi="Arial" w:cs="Arial"/>
          <w:b/>
          <w:color w:val="000000" w:themeColor="text1"/>
        </w:rPr>
        <w:t xml:space="preserve">Régimen contractual – Ley 80 de 1993 – Derecho privado  </w:t>
      </w:r>
    </w:p>
    <w:p w14:paraId="119DD4BE" w14:textId="77777777" w:rsidR="00D75F98" w:rsidRPr="006C15D5" w:rsidRDefault="00D75F98" w:rsidP="00D75F98">
      <w:pPr>
        <w:spacing w:after="0"/>
        <w:jc w:val="both"/>
        <w:rPr>
          <w:rFonts w:ascii="Arial" w:eastAsia="Calibri" w:hAnsi="Arial" w:cs="Arial"/>
          <w:color w:val="000000" w:themeColor="text1"/>
          <w:sz w:val="20"/>
          <w:szCs w:val="20"/>
        </w:rPr>
      </w:pPr>
    </w:p>
    <w:p w14:paraId="6EF73BA9" w14:textId="77777777" w:rsidR="00D75F98" w:rsidRPr="006C15D5" w:rsidRDefault="00D75F98" w:rsidP="00D75F98">
      <w:pPr>
        <w:spacing w:after="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E</w:t>
      </w:r>
      <w:r w:rsidRPr="00DE3F87">
        <w:rPr>
          <w:rFonts w:ascii="Arial" w:eastAsia="Calibri" w:hAnsi="Arial" w:cs="Arial"/>
          <w:bCs/>
          <w:color w:val="000000" w:themeColor="text1"/>
          <w:sz w:val="20"/>
          <w:szCs w:val="20"/>
        </w:rPr>
        <w:t xml:space="preserve">l régimen contractual de las empresas industriales y comerciales del Estado que estén en competencia o desarrollen su actividad en mercados regulados es el propio de tal actividad, esto es, por regla general, el derecho privado, salvo las excepciones legales o las contenidas en el acto de creación o en los estatutos de la respectiva empresa industrial o comercial del Estado. Aunque estos contratos están excluidos de la Ley 80 de 1993, no se rigen exclusivamente por el derecho civil y comercial, pues –conforme al artículo 13 de la Ley 1150 de 2007– aplican tanto los principios de la función administrativa y de la gestión fiscal como el régimen de inhabilidades e incompatibilidades. Por el contrario, aquellas empresas industriales y comerciales del Estado que no estén en competencia ni desarrollen su actividad en mercados regulados están sometidas al Estatuto General de Contratación de la Administración Pública y las normas que lo complementan, como lo dispone el artículo 14 de la Ley 1150 de 2007.  </w:t>
      </w:r>
    </w:p>
    <w:p w14:paraId="1DB8BCE8" w14:textId="77777777" w:rsidR="00D75F98" w:rsidRDefault="00D75F98" w:rsidP="00D75F98">
      <w:pPr>
        <w:tabs>
          <w:tab w:val="left" w:pos="6551"/>
        </w:tabs>
        <w:spacing w:after="0" w:line="240" w:lineRule="auto"/>
        <w:jc w:val="both"/>
        <w:rPr>
          <w:rFonts w:ascii="Arial" w:eastAsia="Calibri" w:hAnsi="Arial" w:cs="Arial"/>
          <w:b/>
          <w:color w:val="000000" w:themeColor="text1"/>
          <w:lang w:val="es-ES_tradnl"/>
        </w:rPr>
      </w:pPr>
    </w:p>
    <w:p w14:paraId="5333C328" w14:textId="77777777" w:rsidR="00D75F98" w:rsidRDefault="00D75F98" w:rsidP="00D75F98">
      <w:pPr>
        <w:tabs>
          <w:tab w:val="left" w:pos="6551"/>
        </w:tabs>
        <w:spacing w:after="0" w:line="240" w:lineRule="auto"/>
        <w:jc w:val="both"/>
        <w:rPr>
          <w:rFonts w:ascii="Arial" w:eastAsia="Calibri" w:hAnsi="Arial" w:cs="Arial"/>
          <w:b/>
          <w:color w:val="000000" w:themeColor="text1"/>
          <w:lang w:val="es-ES_tradnl"/>
        </w:rPr>
      </w:pPr>
      <w:r>
        <w:rPr>
          <w:rFonts w:ascii="Arial" w:eastAsia="Calibri" w:hAnsi="Arial" w:cs="Arial"/>
          <w:b/>
          <w:color w:val="000000" w:themeColor="text1"/>
          <w:lang w:val="es-ES_tradnl"/>
        </w:rPr>
        <w:t xml:space="preserve">PROCEDIMIENTOS CONTRACTUALES – </w:t>
      </w:r>
      <w:bookmarkStart w:id="3" w:name="_Hlk143674453"/>
      <w:r>
        <w:rPr>
          <w:rFonts w:ascii="Arial" w:eastAsia="Calibri" w:hAnsi="Arial" w:cs="Arial"/>
          <w:b/>
          <w:color w:val="000000" w:themeColor="text1"/>
          <w:lang w:val="es-ES_tradnl"/>
        </w:rPr>
        <w:t xml:space="preserve">Principios de igualdad y libre concurrencia </w:t>
      </w:r>
      <w:bookmarkEnd w:id="3"/>
      <w:r>
        <w:rPr>
          <w:rFonts w:ascii="Arial" w:eastAsia="Calibri" w:hAnsi="Arial" w:cs="Arial"/>
          <w:b/>
          <w:color w:val="000000" w:themeColor="text1"/>
          <w:lang w:val="es-ES_tradnl"/>
        </w:rPr>
        <w:t xml:space="preserve">– Entidades sometidas – Alcance  </w:t>
      </w:r>
    </w:p>
    <w:p w14:paraId="03D2BC30" w14:textId="77777777" w:rsidR="00D75F98" w:rsidRDefault="00D75F98" w:rsidP="00D75F98">
      <w:pPr>
        <w:tabs>
          <w:tab w:val="left" w:pos="6551"/>
        </w:tabs>
        <w:spacing w:after="0" w:line="240" w:lineRule="auto"/>
        <w:jc w:val="both"/>
        <w:rPr>
          <w:rFonts w:ascii="Arial" w:eastAsia="Calibri" w:hAnsi="Arial" w:cs="Arial"/>
          <w:b/>
          <w:color w:val="000000" w:themeColor="text1"/>
          <w:lang w:val="es-ES_tradnl"/>
        </w:rPr>
      </w:pPr>
    </w:p>
    <w:p w14:paraId="468A2B12" w14:textId="77777777" w:rsidR="00D75F98" w:rsidRDefault="00D75F98" w:rsidP="00D75F98">
      <w:pPr>
        <w:widowControl w:val="0"/>
        <w:autoSpaceDE w:val="0"/>
        <w:autoSpaceDN w:val="0"/>
        <w:spacing w:line="240" w:lineRule="auto"/>
        <w:contextualSpacing/>
        <w:jc w:val="both"/>
        <w:rPr>
          <w:rFonts w:ascii="Arial" w:eastAsia="Calibri" w:hAnsi="Arial" w:cs="Arial"/>
          <w:bCs/>
          <w:sz w:val="20"/>
          <w:szCs w:val="20"/>
        </w:rPr>
      </w:pPr>
      <w:r w:rsidRPr="00B52C2B">
        <w:rPr>
          <w:rFonts w:ascii="Arial" w:eastAsia="Calibri" w:hAnsi="Arial" w:cs="Arial"/>
          <w:bCs/>
          <w:sz w:val="20"/>
          <w:szCs w:val="20"/>
        </w:rPr>
        <w:t xml:space="preserve">Salvo las </w:t>
      </w:r>
      <w:bookmarkStart w:id="4" w:name="_Hlk143674710"/>
      <w:r w:rsidRPr="00B52C2B">
        <w:rPr>
          <w:rFonts w:ascii="Arial" w:eastAsia="Calibri" w:hAnsi="Arial" w:cs="Arial"/>
          <w:bCs/>
          <w:sz w:val="20"/>
          <w:szCs w:val="20"/>
        </w:rPr>
        <w:t xml:space="preserve">convocatorias limitadas a </w:t>
      </w:r>
      <w:proofErr w:type="spellStart"/>
      <w:r w:rsidRPr="00B52C2B">
        <w:rPr>
          <w:rFonts w:ascii="Arial" w:eastAsia="Calibri" w:hAnsi="Arial" w:cs="Arial"/>
          <w:bCs/>
          <w:sz w:val="20"/>
          <w:szCs w:val="20"/>
        </w:rPr>
        <w:t>Mipymes</w:t>
      </w:r>
      <w:bookmarkEnd w:id="4"/>
      <w:proofErr w:type="spellEnd"/>
      <w:r w:rsidRPr="00B52C2B">
        <w:rPr>
          <w:rFonts w:ascii="Arial" w:eastAsia="Calibri" w:hAnsi="Arial" w:cs="Arial"/>
          <w:bCs/>
          <w:sz w:val="20"/>
          <w:szCs w:val="20"/>
        </w:rPr>
        <w:t xml:space="preserve"> nacionales o territoriales, en los procedimientos de selección competitivos del artículo 2 de la Ley 1150 de 2007 rige el principio de igualdad y concurrencia. Esto significa que debe garantizarse la pluralidad de oferentes como condición necesaria para escoger la oferta más favorable a los intereses de la entidad. Esta prohibición de trato discriminatorio respecto a la posibilidad que tienen los proponentes de presentarse a las licitaciones o concursos es acorde al principio de selección objetiva, el cual define el artículo 5 de la Ley 1150 de 2007 como la escogencia realizada sin tener en consideración factores de afecto o de interés y, en general, cualquier clase de motivación subjetiva</w:t>
      </w:r>
      <w:r>
        <w:rPr>
          <w:rFonts w:ascii="Arial" w:eastAsia="Calibri" w:hAnsi="Arial" w:cs="Arial"/>
          <w:bCs/>
          <w:sz w:val="20"/>
          <w:szCs w:val="20"/>
        </w:rPr>
        <w:t>.</w:t>
      </w:r>
    </w:p>
    <w:p w14:paraId="3DA31CC4" w14:textId="77777777" w:rsidR="00D75F98" w:rsidRPr="00B52C2B" w:rsidRDefault="00D75F98" w:rsidP="00D75F98">
      <w:pPr>
        <w:widowControl w:val="0"/>
        <w:autoSpaceDE w:val="0"/>
        <w:autoSpaceDN w:val="0"/>
        <w:spacing w:line="240" w:lineRule="auto"/>
        <w:contextualSpacing/>
        <w:jc w:val="both"/>
        <w:rPr>
          <w:rFonts w:ascii="Arial" w:eastAsia="Calibri" w:hAnsi="Arial" w:cs="Arial"/>
          <w:bCs/>
          <w:sz w:val="20"/>
          <w:szCs w:val="20"/>
        </w:rPr>
      </w:pPr>
    </w:p>
    <w:p w14:paraId="35937321" w14:textId="77777777" w:rsidR="00D75F98" w:rsidRDefault="00D75F98" w:rsidP="00D75F98">
      <w:pPr>
        <w:widowControl w:val="0"/>
        <w:autoSpaceDE w:val="0"/>
        <w:autoSpaceDN w:val="0"/>
        <w:spacing w:line="240" w:lineRule="auto"/>
        <w:contextualSpacing/>
        <w:jc w:val="both"/>
        <w:rPr>
          <w:rFonts w:ascii="Arial" w:eastAsia="Calibri" w:hAnsi="Arial" w:cs="Arial"/>
          <w:bCs/>
          <w:sz w:val="20"/>
          <w:szCs w:val="20"/>
        </w:rPr>
      </w:pPr>
      <w:r w:rsidRPr="00B52C2B">
        <w:rPr>
          <w:rFonts w:ascii="Arial" w:eastAsia="Calibri" w:hAnsi="Arial" w:cs="Arial"/>
          <w:bCs/>
          <w:sz w:val="20"/>
          <w:szCs w:val="20"/>
        </w:rPr>
        <w:t xml:space="preserve">El principio jurídico de la libre concurrencia garantiza la oposición entre los oferentes, y –como contrapartida– establece una prohibición para el Estado de restringir su participación. En esta perspectiva, es una derivación del principio de igualdad, pues supone la intervención del mayor número de candidatos en un régimen de libre competencia. Ambos se concretan en la prohibición de limitar la presentación de ofertas, pues son importantes para evitar discriminaciones por razón de la nacionalidad pretendiendo favorecer a los nacionales frente a extranjeros, y también se oponen a la exigencia de criterios de territorialidad que vulneren la libertad de empresa en una economía de mercado. Por ello, en el Concepto 2201913000006511 del 3 de septiembre de 2019, la Agencia sostuvo que, por regla general, las entidades no pueden exigir como requisito habilitante que el proponente tenga residencia en el lugar donde se ejecutará el contrato, pues afecta la libre competencia de los procesos de contratación y es una cláusula discriminatoria, sin dejar de lado que no garantiza la aptitud del proponente para ejecutar el objeto del contrato.    </w:t>
      </w:r>
    </w:p>
    <w:p w14:paraId="74B4905A" w14:textId="77777777" w:rsidR="00D75F98" w:rsidRDefault="00D75F98" w:rsidP="00D75F98">
      <w:pPr>
        <w:tabs>
          <w:tab w:val="left" w:pos="6551"/>
        </w:tabs>
        <w:spacing w:after="0" w:line="240" w:lineRule="auto"/>
        <w:jc w:val="both"/>
        <w:rPr>
          <w:rFonts w:ascii="Arial" w:eastAsia="Calibri" w:hAnsi="Arial" w:cs="Arial"/>
          <w:b/>
          <w:color w:val="000000" w:themeColor="text1"/>
          <w:lang w:val="es-ES_tradnl"/>
        </w:rPr>
      </w:pPr>
    </w:p>
    <w:p w14:paraId="4E12C4F4" w14:textId="77777777" w:rsidR="00D75F98" w:rsidRDefault="00D75F98" w:rsidP="00D75F98">
      <w:pPr>
        <w:tabs>
          <w:tab w:val="left" w:pos="6551"/>
        </w:tabs>
        <w:spacing w:after="0" w:line="240" w:lineRule="auto"/>
        <w:jc w:val="both"/>
        <w:rPr>
          <w:rFonts w:ascii="Arial" w:eastAsia="Calibri" w:hAnsi="Arial" w:cs="Arial"/>
          <w:b/>
          <w:color w:val="000000" w:themeColor="text1"/>
          <w:lang w:val="es-ES_tradnl"/>
        </w:rPr>
      </w:pPr>
      <w:r w:rsidRPr="00B52C2B">
        <w:rPr>
          <w:rFonts w:ascii="Arial" w:eastAsia="Calibri" w:hAnsi="Arial" w:cs="Arial"/>
          <w:b/>
          <w:color w:val="000000" w:themeColor="text1"/>
          <w:lang w:val="es-ES_tradnl"/>
        </w:rPr>
        <w:t>PRINCIPIOS DE IGUALDAD Y LIBRE CONCURRENCIA</w:t>
      </w:r>
      <w:r>
        <w:rPr>
          <w:rFonts w:ascii="Arial" w:eastAsia="Calibri" w:hAnsi="Arial" w:cs="Arial"/>
          <w:b/>
          <w:color w:val="000000" w:themeColor="text1"/>
          <w:lang w:val="es-ES_tradnl"/>
        </w:rPr>
        <w:t xml:space="preserve"> – Entidades exceptuadas  </w:t>
      </w:r>
    </w:p>
    <w:p w14:paraId="411AB303" w14:textId="77777777" w:rsidR="00D75F98" w:rsidRDefault="00D75F98" w:rsidP="00D75F98">
      <w:pPr>
        <w:tabs>
          <w:tab w:val="left" w:pos="6551"/>
        </w:tabs>
        <w:spacing w:after="0" w:line="240" w:lineRule="auto"/>
        <w:jc w:val="both"/>
        <w:rPr>
          <w:rFonts w:ascii="Arial" w:eastAsia="Calibri" w:hAnsi="Arial" w:cs="Arial"/>
          <w:b/>
          <w:color w:val="000000" w:themeColor="text1"/>
          <w:lang w:val="es-ES_tradnl"/>
        </w:rPr>
      </w:pPr>
    </w:p>
    <w:p w14:paraId="385242EC" w14:textId="77777777" w:rsidR="00D75F98" w:rsidRDefault="00D75F98" w:rsidP="00D75F98">
      <w:pPr>
        <w:widowControl w:val="0"/>
        <w:autoSpaceDE w:val="0"/>
        <w:autoSpaceDN w:val="0"/>
        <w:spacing w:line="240" w:lineRule="auto"/>
        <w:contextualSpacing/>
        <w:jc w:val="both"/>
        <w:rPr>
          <w:rFonts w:ascii="Arial" w:eastAsia="Calibri" w:hAnsi="Arial" w:cs="Arial"/>
          <w:bCs/>
          <w:sz w:val="20"/>
          <w:szCs w:val="20"/>
        </w:rPr>
      </w:pPr>
      <w:r>
        <w:rPr>
          <w:rFonts w:ascii="Arial" w:eastAsia="Calibri" w:hAnsi="Arial" w:cs="Arial"/>
          <w:bCs/>
          <w:sz w:val="20"/>
          <w:szCs w:val="20"/>
        </w:rPr>
        <w:t>L</w:t>
      </w:r>
      <w:r w:rsidRPr="00B52C2B">
        <w:rPr>
          <w:rFonts w:ascii="Arial" w:eastAsia="Calibri" w:hAnsi="Arial" w:cs="Arial"/>
          <w:bCs/>
          <w:sz w:val="20"/>
          <w:szCs w:val="20"/>
        </w:rPr>
        <w:t xml:space="preserve">as empresas industriales y comerciales del </w:t>
      </w:r>
      <w:proofErr w:type="gramStart"/>
      <w:r w:rsidRPr="00B52C2B">
        <w:rPr>
          <w:rFonts w:ascii="Arial" w:eastAsia="Calibri" w:hAnsi="Arial" w:cs="Arial"/>
          <w:bCs/>
          <w:sz w:val="20"/>
          <w:szCs w:val="20"/>
        </w:rPr>
        <w:t>Estado,</w:t>
      </w:r>
      <w:proofErr w:type="gramEnd"/>
      <w:r w:rsidRPr="00B52C2B">
        <w:rPr>
          <w:rFonts w:ascii="Arial" w:eastAsia="Calibri" w:hAnsi="Arial" w:cs="Arial"/>
          <w:bCs/>
          <w:sz w:val="20"/>
          <w:szCs w:val="20"/>
        </w:rPr>
        <w:t xml:space="preserve"> en cuanto no desarrollen actividades comerciales en competencia con el sector privado y/o público, nacional o internacional o en mercados regulados, están sometidas a la Ley 80 de 1993. </w:t>
      </w:r>
      <w:r w:rsidRPr="00367F40">
        <w:rPr>
          <w:rFonts w:ascii="Arial" w:eastAsia="Calibri" w:hAnsi="Arial" w:cs="Arial"/>
          <w:bCs/>
          <w:sz w:val="20"/>
          <w:szCs w:val="20"/>
        </w:rPr>
        <w:t xml:space="preserve">En gracia de discusión, el razonamiento de los párrafos procedentes podría extenderse mutatis mutandis a aquellas EICE excluidas del Estatuto General de Contratación, especialmente, cuando el artículo 93 de la Ley 1474 de 2011 </w:t>
      </w:r>
      <w:r w:rsidRPr="00367F40">
        <w:rPr>
          <w:rFonts w:ascii="Arial" w:eastAsia="Calibri" w:hAnsi="Arial" w:cs="Arial"/>
          <w:bCs/>
          <w:sz w:val="20"/>
          <w:szCs w:val="20"/>
        </w:rPr>
        <w:lastRenderedPageBreak/>
        <w:t>remite al artículo 13 de la Ley 1150 de 2007. Adicionado por el artículo 53 de la Ley 2195 de 2022, el inciso primero dicha norma dispone que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6DE207D" w14:textId="77777777" w:rsidR="00D75F98" w:rsidRPr="00367F40" w:rsidRDefault="00D75F98" w:rsidP="00D75F98">
      <w:pPr>
        <w:widowControl w:val="0"/>
        <w:autoSpaceDE w:val="0"/>
        <w:autoSpaceDN w:val="0"/>
        <w:spacing w:line="240" w:lineRule="auto"/>
        <w:contextualSpacing/>
        <w:jc w:val="both"/>
        <w:rPr>
          <w:rFonts w:ascii="Arial" w:eastAsia="Calibri" w:hAnsi="Arial" w:cs="Arial"/>
          <w:bCs/>
          <w:sz w:val="20"/>
          <w:szCs w:val="20"/>
        </w:rPr>
      </w:pPr>
    </w:p>
    <w:p w14:paraId="5291438F" w14:textId="77777777" w:rsidR="00D75F98" w:rsidRDefault="00D75F98" w:rsidP="00D75F98">
      <w:pPr>
        <w:widowControl w:val="0"/>
        <w:autoSpaceDE w:val="0"/>
        <w:autoSpaceDN w:val="0"/>
        <w:spacing w:line="240" w:lineRule="auto"/>
        <w:contextualSpacing/>
        <w:jc w:val="both"/>
        <w:rPr>
          <w:rFonts w:ascii="Arial" w:eastAsia="Calibri" w:hAnsi="Arial" w:cs="Arial"/>
          <w:bCs/>
          <w:sz w:val="20"/>
          <w:szCs w:val="20"/>
        </w:rPr>
      </w:pPr>
      <w:r w:rsidRPr="00367F40">
        <w:rPr>
          <w:rFonts w:ascii="Arial" w:eastAsia="Calibri" w:hAnsi="Arial" w:cs="Arial"/>
          <w:bCs/>
          <w:sz w:val="20"/>
          <w:szCs w:val="20"/>
        </w:rPr>
        <w:t xml:space="preserve">Conforme al inciso primero del artículo 209 superior,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(Énfasis fuera de texto). Por tanto, dentro de la regulación especial de los manuales de contratación, en los procedimientos con pluralidad de oferentes las EICE exceptuadas rige también el principio de igualdad y concurrencia, pues –como se explicó ut supra– ambos están estrechamente ligados. </w:t>
      </w:r>
    </w:p>
    <w:p w14:paraId="29D9B139" w14:textId="77777777" w:rsidR="00D75F98" w:rsidRPr="00367F40" w:rsidRDefault="00D75F98" w:rsidP="00D75F98">
      <w:pPr>
        <w:widowControl w:val="0"/>
        <w:autoSpaceDE w:val="0"/>
        <w:autoSpaceDN w:val="0"/>
        <w:spacing w:line="240" w:lineRule="auto"/>
        <w:contextualSpacing/>
        <w:jc w:val="both"/>
        <w:rPr>
          <w:rFonts w:ascii="Arial" w:eastAsia="Calibri" w:hAnsi="Arial" w:cs="Arial"/>
          <w:bCs/>
          <w:sz w:val="20"/>
          <w:szCs w:val="20"/>
        </w:rPr>
      </w:pPr>
    </w:p>
    <w:p w14:paraId="1F709D3E" w14:textId="77777777" w:rsidR="00D75F98" w:rsidRDefault="00D75F98" w:rsidP="00D75F98">
      <w:pPr>
        <w:widowControl w:val="0"/>
        <w:autoSpaceDE w:val="0"/>
        <w:autoSpaceDN w:val="0"/>
        <w:spacing w:line="240" w:lineRule="auto"/>
        <w:contextualSpacing/>
        <w:jc w:val="both"/>
        <w:rPr>
          <w:rFonts w:ascii="Arial" w:eastAsia="Calibri" w:hAnsi="Arial" w:cs="Arial"/>
          <w:bCs/>
          <w:sz w:val="20"/>
          <w:szCs w:val="20"/>
        </w:rPr>
      </w:pPr>
      <w:r w:rsidRPr="00367F40">
        <w:rPr>
          <w:rFonts w:ascii="Arial" w:eastAsia="Calibri" w:hAnsi="Arial" w:cs="Arial"/>
          <w:bCs/>
          <w:sz w:val="20"/>
          <w:szCs w:val="20"/>
        </w:rPr>
        <w:t xml:space="preserve">Sin embargo, la estructura de los procedimientos de las entidades sometidas no es asimilable a los de las entidades exceptuadas. Sin bien en estas últimas rigen por los principios de la función administrativa, la gestión fiscal y el régimen de inhabilidades e incompatibilidades, la aplicación de los principios del artículo 209 se encuentra matizada por lo que definan los documentos del proceso que se estructuren en acatamiento de sus manuales de contratación. Dado que estas actuaciones gozan de presunción de legalidad, la participación de extranjeros se realiza con sujeción a lo que dispongan las entidades dentro de su régimen especial, sin perjuicio del control judicial, fiscal o disciplinario contra violaciones injustificadas del marco normativo citado en los dos (2) párrafos precedentes. Fuera de este matiz, al igual que las sometidas, las exceptuadas también debe aplicar las reglas de trato nacional que, para efectos del puntaje previsto en la Ley 816 de 2003, rige para todas las entidades independientemente de su régimen jurídico, con excepción de las empresas de servicios públicos domiciliarios. </w:t>
      </w:r>
    </w:p>
    <w:p w14:paraId="3E4D1C94" w14:textId="77777777" w:rsidR="00D75F98" w:rsidRDefault="00D75F98" w:rsidP="00D75F98">
      <w:pPr>
        <w:widowControl w:val="0"/>
        <w:autoSpaceDE w:val="0"/>
        <w:autoSpaceDN w:val="0"/>
        <w:spacing w:line="240" w:lineRule="auto"/>
        <w:contextualSpacing/>
        <w:jc w:val="both"/>
        <w:rPr>
          <w:rFonts w:ascii="Arial" w:eastAsia="Calibri" w:hAnsi="Arial" w:cs="Arial"/>
          <w:b/>
          <w:color w:val="000000" w:themeColor="text1"/>
          <w:lang w:val="es-ES_tradnl"/>
        </w:rPr>
      </w:pPr>
    </w:p>
    <w:p w14:paraId="2F4E376D" w14:textId="77777777" w:rsidR="00D75F98" w:rsidRDefault="00D75F98" w:rsidP="00D75F98">
      <w:pPr>
        <w:tabs>
          <w:tab w:val="left" w:pos="6551"/>
        </w:tabs>
        <w:spacing w:after="0" w:line="240" w:lineRule="auto"/>
        <w:jc w:val="both"/>
        <w:rPr>
          <w:rFonts w:ascii="Arial" w:eastAsia="Calibri" w:hAnsi="Arial" w:cs="Arial"/>
          <w:b/>
          <w:color w:val="000000" w:themeColor="text1"/>
          <w:lang w:val="es-ES_tradnl"/>
        </w:rPr>
      </w:pPr>
      <w:r w:rsidRPr="00C21B88">
        <w:rPr>
          <w:rFonts w:ascii="Arial" w:eastAsia="Calibri" w:hAnsi="Arial" w:cs="Arial"/>
          <w:b/>
          <w:color w:val="000000" w:themeColor="text1"/>
          <w:lang w:val="es-ES_tradnl"/>
        </w:rPr>
        <w:t>CONVOCATORIAS LIMITADAS A MIPYMES</w:t>
      </w:r>
      <w:r>
        <w:rPr>
          <w:rFonts w:ascii="Arial" w:eastAsia="Calibri" w:hAnsi="Arial" w:cs="Arial"/>
          <w:b/>
          <w:color w:val="000000" w:themeColor="text1"/>
          <w:lang w:val="es-ES_tradnl"/>
        </w:rPr>
        <w:t xml:space="preserve"> – Limitación nacional y territorial – Trato preferencial  </w:t>
      </w:r>
    </w:p>
    <w:p w14:paraId="66B12C62" w14:textId="77777777" w:rsidR="00D75F98" w:rsidRDefault="00D75F98" w:rsidP="00D75F98">
      <w:pPr>
        <w:tabs>
          <w:tab w:val="left" w:pos="6551"/>
        </w:tabs>
        <w:spacing w:after="0" w:line="240" w:lineRule="auto"/>
        <w:jc w:val="both"/>
        <w:rPr>
          <w:rFonts w:ascii="Arial" w:eastAsia="Calibri" w:hAnsi="Arial" w:cs="Arial"/>
          <w:b/>
          <w:color w:val="000000" w:themeColor="text1"/>
          <w:lang w:val="es-ES_tradnl"/>
        </w:rPr>
      </w:pPr>
    </w:p>
    <w:p w14:paraId="360098FF" w14:textId="77777777" w:rsidR="00D75F98" w:rsidRDefault="00D75F98" w:rsidP="00D75F98">
      <w:pPr>
        <w:widowControl w:val="0"/>
        <w:autoSpaceDE w:val="0"/>
        <w:autoSpaceDN w:val="0"/>
        <w:spacing w:line="240" w:lineRule="auto"/>
        <w:contextualSpacing/>
        <w:jc w:val="both"/>
        <w:rPr>
          <w:rFonts w:ascii="Arial" w:eastAsia="Calibri" w:hAnsi="Arial" w:cs="Arial"/>
          <w:bCs/>
          <w:sz w:val="20"/>
          <w:szCs w:val="20"/>
        </w:rPr>
      </w:pPr>
      <w:r>
        <w:rPr>
          <w:rFonts w:ascii="Arial" w:eastAsia="Calibri" w:hAnsi="Arial" w:cs="Arial"/>
          <w:bCs/>
          <w:sz w:val="20"/>
          <w:szCs w:val="20"/>
        </w:rPr>
        <w:t>S</w:t>
      </w:r>
      <w:r w:rsidRPr="00C21B88">
        <w:rPr>
          <w:rFonts w:ascii="Arial" w:eastAsia="Calibri" w:hAnsi="Arial" w:cs="Arial"/>
          <w:bCs/>
          <w:sz w:val="20"/>
          <w:szCs w:val="20"/>
        </w:rPr>
        <w:t xml:space="preserve">i la convocatoria de se limita a </w:t>
      </w:r>
      <w:proofErr w:type="spellStart"/>
      <w:r w:rsidRPr="00C21B88">
        <w:rPr>
          <w:rFonts w:ascii="Arial" w:eastAsia="Calibri" w:hAnsi="Arial" w:cs="Arial"/>
          <w:bCs/>
          <w:sz w:val="20"/>
          <w:szCs w:val="20"/>
        </w:rPr>
        <w:t>Mipymes</w:t>
      </w:r>
      <w:proofErr w:type="spellEnd"/>
      <w:r w:rsidRPr="00C21B88">
        <w:rPr>
          <w:rFonts w:ascii="Arial" w:eastAsia="Calibri" w:hAnsi="Arial" w:cs="Arial"/>
          <w:bCs/>
          <w:sz w:val="20"/>
          <w:szCs w:val="20"/>
        </w:rPr>
        <w:t xml:space="preserve"> nacionales, quedan excluidos no solo las grandes empresas ubicadas en el territorio colombiano sino también los proponentes extranjeros. En otras palabras, el inciso primero del artículo 12 de la Ley 1150 de 2007 y el artículo 2.2.1.2.4.2.2 del Decreto 1082 de 2015 establece un trato preferencial </w:t>
      </w:r>
      <w:proofErr w:type="gramStart"/>
      <w:r w:rsidRPr="00C21B88">
        <w:rPr>
          <w:rFonts w:ascii="Arial" w:eastAsia="Calibri" w:hAnsi="Arial" w:cs="Arial"/>
          <w:bCs/>
          <w:sz w:val="20"/>
          <w:szCs w:val="20"/>
        </w:rPr>
        <w:t>en razón de</w:t>
      </w:r>
      <w:proofErr w:type="gramEnd"/>
      <w:r w:rsidRPr="00C21B88">
        <w:rPr>
          <w:rFonts w:ascii="Arial" w:eastAsia="Calibri" w:hAnsi="Arial" w:cs="Arial"/>
          <w:bCs/>
          <w:sz w:val="20"/>
          <w:szCs w:val="20"/>
        </w:rPr>
        <w:t xml:space="preserve"> la nacionalidad. En contraste, si la convocatoria limitada beneficia a las </w:t>
      </w:r>
      <w:proofErr w:type="spellStart"/>
      <w:r w:rsidRPr="00C21B88">
        <w:rPr>
          <w:rFonts w:ascii="Arial" w:eastAsia="Calibri" w:hAnsi="Arial" w:cs="Arial"/>
          <w:bCs/>
          <w:sz w:val="20"/>
          <w:szCs w:val="20"/>
        </w:rPr>
        <w:t>Mipymes</w:t>
      </w:r>
      <w:proofErr w:type="spellEnd"/>
      <w:r w:rsidRPr="00C21B88">
        <w:rPr>
          <w:rFonts w:ascii="Arial" w:eastAsia="Calibri" w:hAnsi="Arial" w:cs="Arial"/>
          <w:bCs/>
          <w:sz w:val="20"/>
          <w:szCs w:val="20"/>
        </w:rPr>
        <w:t xml:space="preserve"> del municipio o departamento correspondiente al de la ejecución del contrato, también quedan excluidas –además de los anteriores– las </w:t>
      </w:r>
      <w:proofErr w:type="spellStart"/>
      <w:r w:rsidRPr="00C21B88">
        <w:rPr>
          <w:rFonts w:ascii="Arial" w:eastAsia="Calibri" w:hAnsi="Arial" w:cs="Arial"/>
          <w:bCs/>
          <w:sz w:val="20"/>
          <w:szCs w:val="20"/>
        </w:rPr>
        <w:t>Mipymes</w:t>
      </w:r>
      <w:proofErr w:type="spellEnd"/>
      <w:r w:rsidRPr="00C21B88">
        <w:rPr>
          <w:rFonts w:ascii="Arial" w:eastAsia="Calibri" w:hAnsi="Arial" w:cs="Arial"/>
          <w:bCs/>
          <w:sz w:val="20"/>
          <w:szCs w:val="20"/>
        </w:rPr>
        <w:t xml:space="preserve"> de otros lugares de Colombia. Es decir, el parágrafo 1 del artículo 12 de la Ley 1150 de 2007 y el artículo 2.2.1.2.4.2.3 del Decreto 1082 de 2015 establece un trato privilegiado que se fundamenta en el territorio</w:t>
      </w:r>
      <w:r>
        <w:rPr>
          <w:rFonts w:ascii="Arial" w:eastAsia="Calibri" w:hAnsi="Arial" w:cs="Arial"/>
          <w:bCs/>
          <w:sz w:val="20"/>
          <w:szCs w:val="20"/>
        </w:rPr>
        <w:t>.</w:t>
      </w:r>
    </w:p>
    <w:p w14:paraId="4BE5A925" w14:textId="77777777" w:rsidR="00D75F98" w:rsidRDefault="00D75F98" w:rsidP="00AE02A1">
      <w:pPr>
        <w:spacing w:after="0"/>
        <w:rPr>
          <w:rFonts w:ascii="Arial" w:eastAsia="Geomanist Light" w:hAnsi="Arial" w:cs="Arial"/>
          <w:color w:val="201F1E"/>
          <w:lang w:val="es-MX"/>
        </w:rPr>
      </w:pPr>
    </w:p>
    <w:p w14:paraId="3772F981" w14:textId="77777777" w:rsidR="00D75F98" w:rsidRDefault="00D75F98" w:rsidP="00AE02A1">
      <w:pPr>
        <w:spacing w:after="0"/>
        <w:rPr>
          <w:rFonts w:ascii="Arial" w:eastAsia="Geomanist Light" w:hAnsi="Arial" w:cs="Arial"/>
          <w:color w:val="201F1E"/>
          <w:lang w:val="es-MX"/>
        </w:rPr>
      </w:pPr>
    </w:p>
    <w:p w14:paraId="6D85108B" w14:textId="77777777" w:rsidR="00D75F98" w:rsidRDefault="00D75F98" w:rsidP="00AE02A1">
      <w:pPr>
        <w:spacing w:after="0"/>
        <w:rPr>
          <w:rFonts w:ascii="Arial" w:eastAsia="Geomanist Light" w:hAnsi="Arial" w:cs="Arial"/>
          <w:color w:val="201F1E"/>
          <w:lang w:val="es-MX"/>
        </w:rPr>
      </w:pPr>
    </w:p>
    <w:p w14:paraId="264FF77C" w14:textId="77777777" w:rsidR="00D75F98" w:rsidRDefault="00D75F98" w:rsidP="00AE02A1">
      <w:pPr>
        <w:spacing w:after="0"/>
        <w:rPr>
          <w:rFonts w:ascii="Arial" w:eastAsia="Geomanist Light" w:hAnsi="Arial" w:cs="Arial"/>
          <w:color w:val="201F1E"/>
          <w:lang w:val="es-MX"/>
        </w:rPr>
      </w:pPr>
    </w:p>
    <w:p w14:paraId="01DED705" w14:textId="77777777" w:rsidR="00D75F98" w:rsidRDefault="00D75F98" w:rsidP="00AE02A1">
      <w:pPr>
        <w:spacing w:after="0"/>
        <w:rPr>
          <w:rFonts w:ascii="Arial" w:eastAsia="Geomanist Light" w:hAnsi="Arial" w:cs="Arial"/>
          <w:color w:val="201F1E"/>
          <w:lang w:val="es-MX"/>
        </w:rPr>
      </w:pPr>
    </w:p>
    <w:p w14:paraId="65A4B74E" w14:textId="77777777" w:rsidR="00D75F98" w:rsidRDefault="00D75F98" w:rsidP="00AE02A1">
      <w:pPr>
        <w:spacing w:after="0"/>
        <w:rPr>
          <w:rFonts w:ascii="Arial" w:eastAsia="Geomanist Light" w:hAnsi="Arial" w:cs="Arial"/>
          <w:color w:val="201F1E"/>
          <w:lang w:val="es-MX"/>
        </w:rPr>
      </w:pPr>
    </w:p>
    <w:p w14:paraId="0AC5B711" w14:textId="77777777" w:rsidR="00D75F98" w:rsidRDefault="00D75F98" w:rsidP="00AE02A1">
      <w:pPr>
        <w:spacing w:after="0"/>
        <w:rPr>
          <w:rFonts w:ascii="Arial" w:eastAsia="Geomanist Light" w:hAnsi="Arial" w:cs="Arial"/>
          <w:color w:val="201F1E"/>
          <w:lang w:val="es-MX"/>
        </w:rPr>
      </w:pPr>
    </w:p>
    <w:p w14:paraId="50B84708" w14:textId="7B190AF1" w:rsidR="00AE02A1" w:rsidRPr="00262D58" w:rsidRDefault="00AE02A1" w:rsidP="00AE02A1">
      <w:pPr>
        <w:spacing w:after="0"/>
        <w:rPr>
          <w:rFonts w:ascii="Arial" w:eastAsia="Geomanist Light" w:hAnsi="Arial" w:cs="Arial"/>
          <w:color w:val="201F1E"/>
          <w:lang w:val="es-MX"/>
        </w:rPr>
      </w:pPr>
      <w:r w:rsidRPr="00262D58">
        <w:rPr>
          <w:rFonts w:ascii="Arial" w:eastAsia="Geomanist Light" w:hAnsi="Arial" w:cs="Arial"/>
          <w:color w:val="201F1E"/>
          <w:lang w:val="es-MX"/>
        </w:rPr>
        <w:lastRenderedPageBreak/>
        <w:t xml:space="preserve">Bogotá D.C., </w:t>
      </w:r>
      <w:r w:rsidR="00567661" w:rsidRPr="00567661">
        <w:rPr>
          <w:rFonts w:ascii="Arial" w:eastAsia="Geomanist Light" w:hAnsi="Arial" w:cs="Arial"/>
          <w:color w:val="201F1E"/>
          <w:lang w:val="es-MX"/>
        </w:rPr>
        <w:t xml:space="preserve">26 de </w:t>
      </w:r>
      <w:proofErr w:type="gramStart"/>
      <w:r w:rsidR="00567661" w:rsidRPr="00567661">
        <w:rPr>
          <w:rFonts w:ascii="Arial" w:eastAsia="Geomanist Light" w:hAnsi="Arial" w:cs="Arial"/>
          <w:color w:val="201F1E"/>
          <w:lang w:val="es-MX"/>
        </w:rPr>
        <w:t>Septiembre</w:t>
      </w:r>
      <w:proofErr w:type="gramEnd"/>
      <w:r w:rsidR="00567661" w:rsidRPr="00567661">
        <w:rPr>
          <w:rFonts w:ascii="Arial" w:eastAsia="Geomanist Light" w:hAnsi="Arial" w:cs="Arial"/>
          <w:color w:val="201F1E"/>
          <w:lang w:val="es-MX"/>
        </w:rPr>
        <w:t xml:space="preserve"> de 2023</w:t>
      </w:r>
    </w:p>
    <w:p w14:paraId="4889E921" w14:textId="77777777" w:rsidR="00AE02A1" w:rsidRDefault="00AE02A1" w:rsidP="00AE02A1">
      <w:pPr>
        <w:spacing w:after="0"/>
        <w:rPr>
          <w:rFonts w:ascii="Arial" w:eastAsia="Times New Roman" w:hAnsi="Arial" w:cs="Arial"/>
          <w:lang w:val="es-MX" w:eastAsia="es-ES"/>
        </w:rPr>
      </w:pPr>
    </w:p>
    <w:p w14:paraId="7055B43A" w14:textId="447D7656" w:rsidR="00567661" w:rsidRDefault="00B87D13" w:rsidP="00B87D13">
      <w:pPr>
        <w:spacing w:after="0"/>
        <w:jc w:val="right"/>
        <w:rPr>
          <w:rFonts w:ascii="Arial" w:eastAsia="Times New Roman" w:hAnsi="Arial" w:cs="Arial"/>
          <w:lang w:val="es-MX" w:eastAsia="es-ES"/>
        </w:rPr>
      </w:pPr>
      <w:r>
        <w:rPr>
          <w:rFonts w:ascii="Arial" w:eastAsia="Times New Roman" w:hAnsi="Arial" w:cs="Arial"/>
          <w:noProof/>
          <w:lang w:val="es-MX" w:eastAsia="es-ES"/>
        </w:rPr>
        <w:drawing>
          <wp:inline distT="0" distB="0" distL="0" distR="0" wp14:anchorId="49317912" wp14:editId="15A3AD6E">
            <wp:extent cx="2962910" cy="714375"/>
            <wp:effectExtent l="0" t="0" r="8890" b="9525"/>
            <wp:docPr id="20893817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2910" cy="714375"/>
                    </a:xfrm>
                    <a:prstGeom prst="rect">
                      <a:avLst/>
                    </a:prstGeom>
                    <a:noFill/>
                    <a:ln>
                      <a:noFill/>
                    </a:ln>
                  </pic:spPr>
                </pic:pic>
              </a:graphicData>
            </a:graphic>
          </wp:inline>
        </w:drawing>
      </w:r>
    </w:p>
    <w:p w14:paraId="6DC16E0D" w14:textId="77777777" w:rsidR="00AE02A1" w:rsidRPr="00262D58" w:rsidRDefault="00AE02A1" w:rsidP="00AE02A1">
      <w:pPr>
        <w:spacing w:after="0"/>
        <w:contextualSpacing/>
        <w:jc w:val="both"/>
        <w:rPr>
          <w:rFonts w:ascii="Arial" w:eastAsia="Calibri" w:hAnsi="Arial" w:cs="Arial"/>
          <w:lang w:val="es-ES_tradnl" w:eastAsia="es-ES_tradnl"/>
        </w:rPr>
      </w:pPr>
    </w:p>
    <w:p w14:paraId="30A7EB79" w14:textId="77777777" w:rsidR="00AE02A1" w:rsidRPr="00262D58" w:rsidRDefault="00AE02A1" w:rsidP="00AE02A1">
      <w:pPr>
        <w:contextualSpacing/>
        <w:jc w:val="both"/>
        <w:rPr>
          <w:rFonts w:ascii="Arial" w:eastAsia="Calibri" w:hAnsi="Arial" w:cs="Arial"/>
          <w:lang w:eastAsia="es-ES_tradnl"/>
        </w:rPr>
      </w:pPr>
      <w:r>
        <w:rPr>
          <w:rFonts w:ascii="Arial" w:eastAsia="Calibri" w:hAnsi="Arial" w:cs="Arial"/>
          <w:lang w:eastAsia="es-ES_tradnl"/>
        </w:rPr>
        <w:t>Señora</w:t>
      </w:r>
    </w:p>
    <w:p w14:paraId="35015973" w14:textId="77777777" w:rsidR="00AE02A1" w:rsidRDefault="00AE02A1" w:rsidP="00AE02A1">
      <w:pPr>
        <w:contextualSpacing/>
        <w:jc w:val="both"/>
        <w:rPr>
          <w:rFonts w:ascii="Arial" w:eastAsia="Calibri" w:hAnsi="Arial" w:cs="Arial"/>
          <w:b/>
          <w:lang w:eastAsia="es-ES_tradnl"/>
        </w:rPr>
      </w:pPr>
      <w:r w:rsidRPr="00AF4C37">
        <w:rPr>
          <w:rFonts w:ascii="Arial" w:eastAsia="Calibri" w:hAnsi="Arial" w:cs="Arial"/>
          <w:b/>
          <w:lang w:eastAsia="es-ES_tradnl"/>
        </w:rPr>
        <w:t xml:space="preserve">Valeria </w:t>
      </w:r>
      <w:bookmarkStart w:id="5" w:name="_Hlk143594029"/>
      <w:r w:rsidRPr="00AF4C37">
        <w:rPr>
          <w:rFonts w:ascii="Arial" w:eastAsia="Calibri" w:hAnsi="Arial" w:cs="Arial"/>
          <w:b/>
          <w:lang w:eastAsia="es-ES_tradnl"/>
        </w:rPr>
        <w:t>Maldonado Mejía</w:t>
      </w:r>
      <w:bookmarkEnd w:id="5"/>
      <w:r w:rsidRPr="007E25AB">
        <w:rPr>
          <w:rFonts w:ascii="Arial" w:eastAsia="Calibri" w:hAnsi="Arial" w:cs="Arial"/>
          <w:b/>
          <w:lang w:eastAsia="es-ES_tradnl"/>
        </w:rPr>
        <w:t xml:space="preserve"> </w:t>
      </w:r>
    </w:p>
    <w:p w14:paraId="0FD1581D" w14:textId="77777777" w:rsidR="00AE02A1" w:rsidRPr="00262D58" w:rsidRDefault="00AE02A1" w:rsidP="00AE02A1">
      <w:pPr>
        <w:contextualSpacing/>
        <w:jc w:val="both"/>
        <w:rPr>
          <w:rFonts w:ascii="Arial" w:eastAsia="Calibri" w:hAnsi="Arial" w:cs="Arial"/>
          <w:lang w:eastAsia="es-ES_tradnl"/>
        </w:rPr>
      </w:pPr>
      <w:r w:rsidRPr="00262D58">
        <w:rPr>
          <w:rFonts w:ascii="Arial" w:eastAsia="Geomanist Light" w:hAnsi="Arial" w:cs="Arial"/>
          <w:color w:val="000000" w:themeColor="text1"/>
          <w:lang w:val="es-MX"/>
        </w:rPr>
        <w:t>Bogotá D.C.</w:t>
      </w:r>
      <w:r w:rsidRPr="00262D58">
        <w:rPr>
          <w:rFonts w:ascii="Arial" w:eastAsia="Calibri" w:hAnsi="Arial" w:cs="Arial"/>
          <w:lang w:eastAsia="es-ES_tradnl"/>
        </w:rPr>
        <w:t xml:space="preserve">  </w:t>
      </w:r>
    </w:p>
    <w:p w14:paraId="6D2E0103" w14:textId="77777777" w:rsidR="00AE02A1" w:rsidRPr="00262D58" w:rsidRDefault="00AE02A1" w:rsidP="00AE02A1">
      <w:pPr>
        <w:contextualSpacing/>
        <w:jc w:val="both"/>
        <w:rPr>
          <w:rFonts w:ascii="Arial" w:eastAsia="Calibri" w:hAnsi="Arial" w:cs="Arial"/>
          <w:lang w:val="es-ES_tradnl" w:eastAsia="es-ES_tradnl"/>
        </w:rPr>
      </w:pPr>
    </w:p>
    <w:p w14:paraId="18E9BDF0" w14:textId="77777777" w:rsidR="00AE02A1" w:rsidRPr="00262D58" w:rsidRDefault="00AE02A1" w:rsidP="00AE02A1">
      <w:pPr>
        <w:contextualSpacing/>
        <w:rPr>
          <w:rFonts w:ascii="Arial" w:eastAsia="Calibri" w:hAnsi="Arial" w:cs="Arial"/>
          <w:b/>
          <w:lang w:val="es-ES_tradnl" w:eastAsia="es-ES_tradnl"/>
        </w:rPr>
      </w:pPr>
    </w:p>
    <w:p w14:paraId="5A285EC0" w14:textId="77777777" w:rsidR="00AE02A1" w:rsidRPr="00262D58" w:rsidRDefault="00AE02A1" w:rsidP="00AE02A1">
      <w:pPr>
        <w:ind w:left="2124" w:firstLine="570"/>
        <w:contextualSpacing/>
        <w:rPr>
          <w:rFonts w:ascii="Arial" w:eastAsia="Calibri" w:hAnsi="Arial" w:cs="Arial"/>
          <w:b/>
          <w:lang w:val="es-ES_tradnl" w:eastAsia="es-ES_tradnl"/>
        </w:rPr>
      </w:pPr>
      <w:r w:rsidRPr="00262D58">
        <w:rPr>
          <w:rFonts w:ascii="Arial" w:eastAsia="Calibri" w:hAnsi="Arial" w:cs="Arial"/>
          <w:b/>
          <w:lang w:val="es-ES_tradnl" w:eastAsia="es-ES_tradnl"/>
        </w:rPr>
        <w:t xml:space="preserve">Concepto C – </w:t>
      </w:r>
      <w:r>
        <w:rPr>
          <w:rFonts w:ascii="Arial" w:eastAsia="Calibri" w:hAnsi="Arial" w:cs="Arial"/>
          <w:b/>
          <w:lang w:val="es-ES_tradnl" w:eastAsia="es-ES_tradnl"/>
        </w:rPr>
        <w:t>335</w:t>
      </w:r>
      <w:r w:rsidRPr="00262D58">
        <w:rPr>
          <w:rFonts w:ascii="Arial" w:eastAsia="Calibri" w:hAnsi="Arial" w:cs="Arial"/>
          <w:b/>
          <w:lang w:val="es-ES_tradnl" w:eastAsia="es-ES_tradnl"/>
        </w:rPr>
        <w:t xml:space="preserve"> de 2023</w:t>
      </w:r>
    </w:p>
    <w:p w14:paraId="59C7DF4A" w14:textId="77777777" w:rsidR="00AE02A1" w:rsidRPr="00262D58" w:rsidRDefault="00AE02A1" w:rsidP="00AE02A1">
      <w:pPr>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E02A1" w:rsidRPr="005E53FE" w14:paraId="54CCEF9D" w14:textId="77777777" w:rsidTr="00706B2D">
        <w:tc>
          <w:tcPr>
            <w:tcW w:w="2689" w:type="dxa"/>
          </w:tcPr>
          <w:p w14:paraId="63CDF72B" w14:textId="77777777" w:rsidR="00AE02A1" w:rsidRPr="00262D58" w:rsidRDefault="00AE02A1" w:rsidP="00706B2D">
            <w:pPr>
              <w:contextualSpacing/>
              <w:jc w:val="both"/>
              <w:rPr>
                <w:rFonts w:ascii="Arial" w:eastAsia="Calibri" w:hAnsi="Arial" w:cs="Arial"/>
                <w:lang w:val="es-ES_tradnl" w:eastAsia="es-ES_tradnl"/>
              </w:rPr>
            </w:pPr>
            <w:r w:rsidRPr="00262D58">
              <w:rPr>
                <w:rFonts w:ascii="Arial" w:eastAsia="Calibri" w:hAnsi="Arial" w:cs="Arial"/>
                <w:b/>
                <w:lang w:val="es-ES_tradnl" w:eastAsia="es-ES_tradnl"/>
              </w:rPr>
              <w:t>Temas:</w:t>
            </w:r>
            <w:r w:rsidRPr="00262D58">
              <w:rPr>
                <w:rFonts w:ascii="Arial" w:eastAsia="Calibri" w:hAnsi="Arial" w:cs="Arial"/>
                <w:lang w:val="es-ES_tradnl" w:eastAsia="es-ES_tradnl"/>
              </w:rPr>
              <w:t xml:space="preserve">                                      </w:t>
            </w:r>
          </w:p>
        </w:tc>
        <w:tc>
          <w:tcPr>
            <w:tcW w:w="6237" w:type="dxa"/>
          </w:tcPr>
          <w:p w14:paraId="6F900BED" w14:textId="77777777" w:rsidR="00AE02A1" w:rsidRPr="00262D58" w:rsidRDefault="00AE02A1" w:rsidP="00706B2D">
            <w:pPr>
              <w:spacing w:after="120"/>
              <w:contextualSpacing/>
              <w:jc w:val="both"/>
              <w:rPr>
                <w:rFonts w:ascii="Arial" w:eastAsia="Calibri" w:hAnsi="Arial" w:cs="Arial"/>
                <w:lang w:val="es-MX" w:eastAsia="es-ES_tradnl"/>
              </w:rPr>
            </w:pPr>
            <w:r w:rsidRPr="00EB4798">
              <w:rPr>
                <w:rFonts w:ascii="Arial" w:eastAsia="Calibri" w:hAnsi="Arial" w:cs="Arial"/>
                <w:lang w:val="es-MX" w:eastAsia="es-ES_tradnl"/>
              </w:rPr>
              <w:t>EMPRESAS INDUSTRIALES Y COMERCIALES – Régimen contractual – Ley 80 de 1993 – Derecho privado</w:t>
            </w:r>
            <w:r>
              <w:rPr>
                <w:rFonts w:ascii="Arial" w:eastAsia="Calibri" w:hAnsi="Arial" w:cs="Arial"/>
                <w:lang w:val="es-MX" w:eastAsia="es-ES_tradnl"/>
              </w:rPr>
              <w:t xml:space="preserve"> / </w:t>
            </w:r>
            <w:r w:rsidRPr="00EB4798">
              <w:rPr>
                <w:rFonts w:ascii="Arial" w:eastAsia="Calibri" w:hAnsi="Arial" w:cs="Arial"/>
                <w:lang w:val="es-MX" w:eastAsia="es-ES_tradnl"/>
              </w:rPr>
              <w:t>PROCEDIMIENTOS CONTRACTUALES – Principios de igualdad y libre concurrencia – Entidades sometidas – Alcance</w:t>
            </w:r>
            <w:r>
              <w:rPr>
                <w:rFonts w:ascii="Arial" w:eastAsia="Calibri" w:hAnsi="Arial" w:cs="Arial"/>
                <w:lang w:val="es-MX" w:eastAsia="es-ES_tradnl"/>
              </w:rPr>
              <w:t xml:space="preserve"> /</w:t>
            </w:r>
            <w:r>
              <w:t xml:space="preserve"> </w:t>
            </w:r>
            <w:r w:rsidRPr="00EB4798">
              <w:rPr>
                <w:rFonts w:ascii="Arial" w:eastAsia="Calibri" w:hAnsi="Arial" w:cs="Arial"/>
                <w:lang w:val="es-MX" w:eastAsia="es-ES_tradnl"/>
              </w:rPr>
              <w:t>PRINCIPIOS DE IGUALDAD Y LIBRE CONCURRENCIA – Entidades exceptuadas</w:t>
            </w:r>
            <w:r>
              <w:rPr>
                <w:rFonts w:ascii="Arial" w:eastAsia="Calibri" w:hAnsi="Arial" w:cs="Arial"/>
                <w:lang w:val="es-MX" w:eastAsia="es-ES_tradnl"/>
              </w:rPr>
              <w:t xml:space="preserve"> / </w:t>
            </w:r>
            <w:r w:rsidRPr="00EB4798">
              <w:rPr>
                <w:rFonts w:ascii="Arial" w:eastAsia="Calibri" w:hAnsi="Arial" w:cs="Arial"/>
                <w:lang w:val="es-MX" w:eastAsia="es-ES_tradnl"/>
              </w:rPr>
              <w:t>CONVOCATORIAS LIMITADAS A MIPYMES – Limitación nacional y territorial – Trato preferencial</w:t>
            </w:r>
            <w:r>
              <w:rPr>
                <w:rFonts w:ascii="Arial" w:eastAsia="Calibri" w:hAnsi="Arial" w:cs="Arial"/>
                <w:lang w:val="es-MX" w:eastAsia="es-ES_tradnl"/>
              </w:rPr>
              <w:t xml:space="preserve"> </w:t>
            </w:r>
            <w:r w:rsidRPr="00AD1B6D">
              <w:rPr>
                <w:rFonts w:ascii="Arial" w:eastAsia="Calibri" w:hAnsi="Arial" w:cs="Arial"/>
                <w:lang w:val="es-MX" w:eastAsia="es-ES_tradnl"/>
              </w:rPr>
              <w:t xml:space="preserve"> </w:t>
            </w:r>
            <w:r w:rsidRPr="002362ED">
              <w:rPr>
                <w:rFonts w:ascii="Arial" w:eastAsia="Calibri" w:hAnsi="Arial" w:cs="Arial"/>
                <w:lang w:val="es-MX" w:eastAsia="es-ES_tradnl"/>
              </w:rPr>
              <w:t xml:space="preserve">  </w:t>
            </w:r>
          </w:p>
          <w:p w14:paraId="0426851A" w14:textId="77777777" w:rsidR="00AE02A1" w:rsidRPr="00262D58" w:rsidRDefault="00AE02A1" w:rsidP="00706B2D">
            <w:pPr>
              <w:spacing w:after="120"/>
              <w:contextualSpacing/>
              <w:jc w:val="both"/>
              <w:rPr>
                <w:rFonts w:ascii="Arial" w:eastAsia="Calibri" w:hAnsi="Arial" w:cs="Arial"/>
                <w:sz w:val="12"/>
                <w:szCs w:val="12"/>
                <w:lang w:val="es-ES_tradnl" w:eastAsia="es-ES_tradnl"/>
              </w:rPr>
            </w:pPr>
          </w:p>
        </w:tc>
      </w:tr>
      <w:tr w:rsidR="00AE02A1" w:rsidRPr="005E53FE" w14:paraId="6D19FC9E" w14:textId="77777777" w:rsidTr="00706B2D">
        <w:trPr>
          <w:trHeight w:val="227"/>
        </w:trPr>
        <w:tc>
          <w:tcPr>
            <w:tcW w:w="2689" w:type="dxa"/>
          </w:tcPr>
          <w:p w14:paraId="55114A94" w14:textId="77777777" w:rsidR="00AE02A1" w:rsidRPr="00262D58" w:rsidRDefault="00AE02A1" w:rsidP="00706B2D">
            <w:pPr>
              <w:contextualSpacing/>
              <w:jc w:val="both"/>
              <w:rPr>
                <w:rFonts w:ascii="Arial" w:eastAsia="Calibri" w:hAnsi="Arial" w:cs="Arial"/>
                <w:b/>
                <w:lang w:val="es-ES_tradnl" w:eastAsia="es-ES_tradnl"/>
              </w:rPr>
            </w:pPr>
            <w:r w:rsidRPr="00262D58">
              <w:rPr>
                <w:rFonts w:ascii="Arial" w:eastAsia="Calibri" w:hAnsi="Arial" w:cs="Arial"/>
                <w:b/>
                <w:lang w:val="es-ES_tradnl" w:eastAsia="es-ES_tradnl"/>
              </w:rPr>
              <w:t>Radicación:</w:t>
            </w:r>
            <w:r w:rsidRPr="00262D58">
              <w:rPr>
                <w:rFonts w:ascii="Arial" w:eastAsia="Calibri" w:hAnsi="Arial" w:cs="Arial"/>
                <w:lang w:val="es-ES_tradnl" w:eastAsia="es-ES_tradnl"/>
              </w:rPr>
              <w:t xml:space="preserve">                             </w:t>
            </w:r>
          </w:p>
        </w:tc>
        <w:tc>
          <w:tcPr>
            <w:tcW w:w="6237" w:type="dxa"/>
          </w:tcPr>
          <w:p w14:paraId="1366E2DD" w14:textId="77777777" w:rsidR="00AE02A1" w:rsidRPr="00262D58" w:rsidRDefault="00AE02A1" w:rsidP="00706B2D">
            <w:pPr>
              <w:contextualSpacing/>
              <w:jc w:val="both"/>
              <w:rPr>
                <w:rFonts w:ascii="Arial" w:eastAsia="Calibri" w:hAnsi="Arial" w:cs="Arial"/>
                <w:lang w:val="es-ES_tradnl" w:eastAsia="es-ES_tradnl"/>
              </w:rPr>
            </w:pPr>
            <w:r w:rsidRPr="00262D58">
              <w:rPr>
                <w:rFonts w:ascii="Arial" w:eastAsia="Calibri" w:hAnsi="Arial" w:cs="Arial"/>
                <w:lang w:val="es-ES_tradnl" w:eastAsia="es-ES_tradnl"/>
              </w:rPr>
              <w:t xml:space="preserve">Respuesta a </w:t>
            </w:r>
            <w:r>
              <w:rPr>
                <w:rFonts w:ascii="Arial" w:eastAsia="Calibri" w:hAnsi="Arial" w:cs="Arial"/>
                <w:lang w:val="es-ES_tradnl" w:eastAsia="es-ES_tradnl"/>
              </w:rPr>
              <w:t xml:space="preserve">la </w:t>
            </w:r>
            <w:r w:rsidRPr="00262D58">
              <w:rPr>
                <w:rFonts w:ascii="Arial" w:eastAsia="Calibri" w:hAnsi="Arial" w:cs="Arial"/>
                <w:lang w:val="es-ES_tradnl" w:eastAsia="es-ES_tradnl"/>
              </w:rPr>
              <w:t xml:space="preserve">consulta </w:t>
            </w:r>
            <w:r w:rsidRPr="00AF4C37">
              <w:rPr>
                <w:rFonts w:ascii="Arial" w:eastAsia="Calibri" w:hAnsi="Arial" w:cs="Arial"/>
                <w:lang w:val="es-ES_tradnl" w:eastAsia="es-ES_tradnl"/>
              </w:rPr>
              <w:t>P20230814014197</w:t>
            </w:r>
          </w:p>
        </w:tc>
      </w:tr>
    </w:tbl>
    <w:p w14:paraId="18FD2C6B" w14:textId="77777777" w:rsidR="00AE02A1" w:rsidRPr="00262D58" w:rsidRDefault="00AE02A1" w:rsidP="00AE02A1">
      <w:pPr>
        <w:contextualSpacing/>
        <w:jc w:val="both"/>
        <w:rPr>
          <w:rFonts w:ascii="Arial" w:eastAsia="Calibri" w:hAnsi="Arial" w:cs="Arial"/>
          <w:lang w:val="es-ES_tradnl" w:eastAsia="es-ES_tradnl"/>
        </w:rPr>
      </w:pPr>
    </w:p>
    <w:p w14:paraId="439DB174" w14:textId="77777777" w:rsidR="00AE02A1" w:rsidRPr="00262D58" w:rsidRDefault="00AE02A1" w:rsidP="00AE02A1">
      <w:pPr>
        <w:contextualSpacing/>
        <w:jc w:val="both"/>
        <w:rPr>
          <w:rFonts w:ascii="Arial" w:eastAsia="Calibri" w:hAnsi="Arial" w:cs="Arial"/>
          <w:lang w:val="es-ES_tradnl" w:eastAsia="es-ES_tradnl"/>
        </w:rPr>
      </w:pPr>
    </w:p>
    <w:p w14:paraId="13AD8BE8" w14:textId="77777777" w:rsidR="00AE02A1" w:rsidRPr="00262D58" w:rsidRDefault="00AE02A1" w:rsidP="00AE02A1">
      <w:pPr>
        <w:contextualSpacing/>
        <w:jc w:val="both"/>
        <w:rPr>
          <w:rFonts w:ascii="Arial" w:eastAsia="Calibri" w:hAnsi="Arial" w:cs="Arial"/>
          <w:lang w:val="es-ES" w:eastAsia="es-ES"/>
        </w:rPr>
      </w:pPr>
      <w:r w:rsidRPr="00262D58">
        <w:rPr>
          <w:rFonts w:ascii="Arial" w:eastAsia="Calibri" w:hAnsi="Arial" w:cs="Arial"/>
          <w:lang w:val="es-ES" w:eastAsia="es-ES"/>
        </w:rPr>
        <w:t xml:space="preserve">Respetada </w:t>
      </w:r>
      <w:r>
        <w:rPr>
          <w:rFonts w:ascii="Arial" w:eastAsia="Calibri" w:hAnsi="Arial" w:cs="Arial"/>
          <w:lang w:val="es-ES" w:eastAsia="es-ES"/>
        </w:rPr>
        <w:t>señora</w:t>
      </w:r>
      <w:r w:rsidRPr="00262D58">
        <w:rPr>
          <w:rFonts w:ascii="Arial" w:eastAsia="Calibri" w:hAnsi="Arial" w:cs="Arial"/>
          <w:lang w:val="es-ES" w:eastAsia="es-ES"/>
        </w:rPr>
        <w:t xml:space="preserve"> </w:t>
      </w:r>
      <w:r w:rsidRPr="00AF4C37">
        <w:rPr>
          <w:rFonts w:ascii="Arial" w:eastAsia="Times New Roman" w:hAnsi="Arial" w:cs="Arial"/>
          <w:lang w:eastAsia="es-ES"/>
        </w:rPr>
        <w:t>Maldonado Mejía</w:t>
      </w:r>
      <w:r w:rsidRPr="00262D58">
        <w:rPr>
          <w:rFonts w:ascii="Arial" w:eastAsia="Calibri" w:hAnsi="Arial" w:cs="Arial"/>
          <w:lang w:val="es-ES" w:eastAsia="es-ES"/>
        </w:rPr>
        <w:t xml:space="preserve">: </w:t>
      </w:r>
    </w:p>
    <w:p w14:paraId="03DCF1D1" w14:textId="77777777" w:rsidR="00AE02A1" w:rsidRPr="00262D58" w:rsidRDefault="00AE02A1" w:rsidP="00AE02A1">
      <w:pPr>
        <w:spacing w:line="276" w:lineRule="auto"/>
        <w:contextualSpacing/>
        <w:jc w:val="both"/>
        <w:rPr>
          <w:rFonts w:ascii="Arial" w:eastAsia="Calibri" w:hAnsi="Arial" w:cs="Arial"/>
          <w:szCs w:val="24"/>
          <w:lang w:val="es-ES_tradnl" w:eastAsia="es-ES_tradnl"/>
        </w:rPr>
      </w:pPr>
    </w:p>
    <w:bookmarkEnd w:id="0"/>
    <w:bookmarkEnd w:id="1"/>
    <w:p w14:paraId="4E358AAF" w14:textId="77777777" w:rsidR="00AE02A1" w:rsidRPr="00262D58" w:rsidRDefault="00AE02A1" w:rsidP="00AE02A1">
      <w:pPr>
        <w:spacing w:after="0" w:line="276" w:lineRule="auto"/>
        <w:jc w:val="both"/>
        <w:rPr>
          <w:rFonts w:ascii="Arial" w:eastAsia="Calibri" w:hAnsi="Arial" w:cs="Arial"/>
          <w:color w:val="000000" w:themeColor="text1"/>
          <w:lang w:val="es-ES_tradnl"/>
        </w:rPr>
      </w:pPr>
      <w:r w:rsidRPr="00262D58">
        <w:rPr>
          <w:rFonts w:ascii="Arial" w:eastAsia="Calibri" w:hAnsi="Arial" w:cs="Arial"/>
          <w:color w:val="000000" w:themeColor="text1"/>
          <w:lang w:val="es-ES_tradnl"/>
        </w:rPr>
        <w:t>En ejercicio de la competencia otorgada por el numeral 8 del artículo 11 y el numeral 5 del artículo 3 del Decreto Ley 4170 de 2011</w:t>
      </w:r>
      <w:bookmarkStart w:id="6" w:name="_Hlk99120496"/>
      <w:r w:rsidRPr="00262D58">
        <w:rPr>
          <w:rFonts w:ascii="Arial" w:eastAsia="Arial MT" w:hAnsi="Arial" w:cs="Arial"/>
          <w:lang w:val="es-ES"/>
        </w:rPr>
        <w:t xml:space="preserve">, </w:t>
      </w:r>
      <w:bookmarkEnd w:id="6"/>
      <w:r w:rsidRPr="00262D58">
        <w:rPr>
          <w:rFonts w:ascii="Arial" w:eastAsia="Calibri" w:hAnsi="Arial" w:cs="Arial"/>
          <w:color w:val="000000" w:themeColor="text1"/>
          <w:lang w:val="es-ES_tradnl"/>
        </w:rPr>
        <w:t xml:space="preserve">la Agencia Nacional de Contratación Pública – Colombia Compra Eficiente responde la </w:t>
      </w:r>
      <w:r>
        <w:rPr>
          <w:rFonts w:ascii="Arial" w:eastAsia="Calibri" w:hAnsi="Arial" w:cs="Arial"/>
          <w:color w:val="000000" w:themeColor="text1"/>
          <w:lang w:val="es-ES_tradnl"/>
        </w:rPr>
        <w:t>petición radicada el 14 de agosto de 2023</w:t>
      </w:r>
      <w:r w:rsidRPr="00262D58">
        <w:rPr>
          <w:rFonts w:ascii="Arial" w:eastAsia="Calibri" w:hAnsi="Arial" w:cs="Arial"/>
          <w:color w:val="000000" w:themeColor="text1"/>
          <w:lang w:val="es-ES_tradnl"/>
        </w:rPr>
        <w:t>.</w:t>
      </w:r>
    </w:p>
    <w:p w14:paraId="77163868" w14:textId="77777777" w:rsidR="00AE02A1" w:rsidRPr="00262D58" w:rsidRDefault="00AE02A1" w:rsidP="00AE02A1">
      <w:pPr>
        <w:spacing w:after="0" w:line="276" w:lineRule="auto"/>
        <w:jc w:val="both"/>
        <w:rPr>
          <w:rFonts w:ascii="Arial" w:eastAsia="Calibri" w:hAnsi="Arial" w:cs="Arial"/>
          <w:b/>
          <w:color w:val="000000" w:themeColor="text1"/>
          <w:lang w:val="es-ES_tradnl"/>
        </w:rPr>
      </w:pPr>
    </w:p>
    <w:p w14:paraId="2A7EF002" w14:textId="77777777" w:rsidR="00AE02A1" w:rsidRPr="00262D58" w:rsidRDefault="00AE02A1" w:rsidP="00AE02A1">
      <w:pPr>
        <w:pStyle w:val="Prrafodelista"/>
        <w:numPr>
          <w:ilvl w:val="0"/>
          <w:numId w:val="6"/>
        </w:numPr>
        <w:tabs>
          <w:tab w:val="left" w:pos="0"/>
          <w:tab w:val="left" w:pos="142"/>
          <w:tab w:val="left" w:pos="284"/>
        </w:tabs>
        <w:spacing w:after="0" w:line="276" w:lineRule="auto"/>
        <w:ind w:left="0" w:firstLine="0"/>
        <w:jc w:val="both"/>
        <w:rPr>
          <w:rFonts w:ascii="Arial" w:eastAsia="Calibri" w:hAnsi="Arial" w:cs="Arial"/>
          <w:b/>
          <w:color w:val="000000" w:themeColor="text1"/>
          <w:lang w:val="es-ES_tradnl"/>
        </w:rPr>
      </w:pPr>
      <w:r w:rsidRPr="00262D58">
        <w:rPr>
          <w:rFonts w:ascii="Arial" w:eastAsia="Calibri" w:hAnsi="Arial" w:cs="Arial"/>
          <w:b/>
          <w:color w:val="000000" w:themeColor="text1"/>
          <w:lang w:val="es-ES_tradnl"/>
        </w:rPr>
        <w:t>Problema</w:t>
      </w:r>
      <w:r>
        <w:rPr>
          <w:rFonts w:ascii="Arial" w:eastAsia="Calibri" w:hAnsi="Arial" w:cs="Arial"/>
          <w:b/>
          <w:color w:val="000000" w:themeColor="text1"/>
          <w:lang w:val="es-ES_tradnl"/>
        </w:rPr>
        <w:t>s</w:t>
      </w:r>
      <w:r w:rsidRPr="00262D58">
        <w:rPr>
          <w:rFonts w:ascii="Arial" w:eastAsia="Calibri" w:hAnsi="Arial" w:cs="Arial"/>
          <w:b/>
          <w:color w:val="000000" w:themeColor="text1"/>
          <w:lang w:val="es-ES_tradnl"/>
        </w:rPr>
        <w:t xml:space="preserve"> planteado</w:t>
      </w:r>
      <w:r>
        <w:rPr>
          <w:rFonts w:ascii="Arial" w:eastAsia="Calibri" w:hAnsi="Arial" w:cs="Arial"/>
          <w:b/>
          <w:color w:val="000000" w:themeColor="text1"/>
          <w:lang w:val="es-ES_tradnl"/>
        </w:rPr>
        <w:t>s</w:t>
      </w:r>
      <w:r w:rsidRPr="00262D58">
        <w:rPr>
          <w:rFonts w:ascii="Arial" w:eastAsia="Calibri" w:hAnsi="Arial" w:cs="Arial"/>
          <w:b/>
          <w:color w:val="000000" w:themeColor="text1"/>
          <w:lang w:val="es-ES_tradnl"/>
        </w:rPr>
        <w:t xml:space="preserve"> </w:t>
      </w:r>
    </w:p>
    <w:p w14:paraId="62CA4AE0" w14:textId="77777777" w:rsidR="00AE02A1" w:rsidRPr="00262D58" w:rsidRDefault="00AE02A1" w:rsidP="00AE02A1">
      <w:pPr>
        <w:tabs>
          <w:tab w:val="left" w:pos="426"/>
        </w:tabs>
        <w:spacing w:after="0" w:line="276" w:lineRule="auto"/>
        <w:jc w:val="both"/>
        <w:rPr>
          <w:rFonts w:ascii="Arial" w:eastAsia="Calibri" w:hAnsi="Arial" w:cs="Arial"/>
          <w:b/>
          <w:color w:val="000000" w:themeColor="text1"/>
          <w:lang w:val="es-ES_tradnl"/>
        </w:rPr>
      </w:pPr>
    </w:p>
    <w:p w14:paraId="05A75E87" w14:textId="77777777" w:rsidR="00AE02A1" w:rsidRDefault="00AE02A1" w:rsidP="00AE02A1">
      <w:pPr>
        <w:spacing w:after="0" w:line="276" w:lineRule="auto"/>
        <w:jc w:val="both"/>
        <w:rPr>
          <w:rFonts w:ascii="Arial" w:hAnsi="Arial" w:cs="Arial"/>
          <w:color w:val="000000" w:themeColor="text1"/>
          <w:lang w:val="es-ES_tradnl"/>
        </w:rPr>
      </w:pPr>
      <w:bookmarkStart w:id="7" w:name="_Hlk132728388"/>
      <w:bookmarkStart w:id="8" w:name="_Hlk142917142"/>
      <w:r>
        <w:rPr>
          <w:rFonts w:ascii="Arial" w:hAnsi="Arial" w:cs="Arial"/>
          <w:color w:val="000000" w:themeColor="text1"/>
          <w:lang w:val="es-ES_tradnl"/>
        </w:rPr>
        <w:t>Usted realiza las siguientes preguntas: i) “</w:t>
      </w:r>
      <w:r w:rsidRPr="00AF4C37">
        <w:rPr>
          <w:rFonts w:ascii="Arial" w:hAnsi="Arial" w:cs="Arial"/>
          <w:color w:val="000000" w:themeColor="text1"/>
          <w:lang w:val="es-ES_tradnl"/>
        </w:rPr>
        <w:t>¿Pueden las empresas industriales y comerciales del estado, como entidades estatales, incorporar en los pliegos de condiciones de los procesos de contratación que adelanten, disposiciones, clausulas y/o requisitos habilitantes que restrinjan la participación de proponentes de nacionalidad extranjera?</w:t>
      </w:r>
      <w:r>
        <w:rPr>
          <w:rFonts w:ascii="Arial" w:hAnsi="Arial" w:cs="Arial"/>
          <w:color w:val="000000" w:themeColor="text1"/>
          <w:lang w:val="es-ES_tradnl"/>
        </w:rPr>
        <w:t xml:space="preserve">”, </w:t>
      </w:r>
      <w:bookmarkStart w:id="9" w:name="_Hlk143672983"/>
      <w:proofErr w:type="spellStart"/>
      <w:r>
        <w:rPr>
          <w:rFonts w:ascii="Arial" w:hAnsi="Arial" w:cs="Arial"/>
          <w:color w:val="000000" w:themeColor="text1"/>
          <w:lang w:val="es-ES_tradnl"/>
        </w:rPr>
        <w:t>ii</w:t>
      </w:r>
      <w:proofErr w:type="spellEnd"/>
      <w:r>
        <w:rPr>
          <w:rFonts w:ascii="Arial" w:hAnsi="Arial" w:cs="Arial"/>
          <w:color w:val="000000" w:themeColor="text1"/>
          <w:lang w:val="es-ES_tradnl"/>
        </w:rPr>
        <w:t>) “</w:t>
      </w:r>
      <w:r w:rsidRPr="00AF4C37">
        <w:rPr>
          <w:rFonts w:ascii="Arial" w:hAnsi="Arial" w:cs="Arial"/>
          <w:color w:val="000000" w:themeColor="text1"/>
          <w:lang w:val="es-ES_tradnl"/>
        </w:rPr>
        <w:t>En caso de que la respuesta anterior sea afirmativa, por favor señalar cuales son los lineamientos que deben seguir las empresas industriales y comerciales del estado para incorporar</w:t>
      </w:r>
      <w:r>
        <w:rPr>
          <w:rFonts w:ascii="Arial" w:hAnsi="Arial" w:cs="Arial"/>
          <w:color w:val="000000" w:themeColor="text1"/>
          <w:lang w:val="es-ES_tradnl"/>
        </w:rPr>
        <w:t xml:space="preserve"> </w:t>
      </w:r>
      <w:r w:rsidRPr="00AF4C37">
        <w:rPr>
          <w:rFonts w:ascii="Arial" w:hAnsi="Arial" w:cs="Arial"/>
          <w:color w:val="000000" w:themeColor="text1"/>
          <w:lang w:val="es-ES_tradnl"/>
        </w:rPr>
        <w:t>disposiciones,</w:t>
      </w:r>
      <w:r>
        <w:rPr>
          <w:rFonts w:ascii="Arial" w:hAnsi="Arial" w:cs="Arial"/>
          <w:color w:val="000000" w:themeColor="text1"/>
          <w:lang w:val="es-ES_tradnl"/>
        </w:rPr>
        <w:t xml:space="preserve"> </w:t>
      </w:r>
      <w:r w:rsidRPr="00AF4C37">
        <w:rPr>
          <w:rFonts w:ascii="Arial" w:hAnsi="Arial" w:cs="Arial"/>
          <w:color w:val="000000" w:themeColor="text1"/>
          <w:lang w:val="es-ES_tradnl"/>
        </w:rPr>
        <w:t>clausulas</w:t>
      </w:r>
      <w:r>
        <w:rPr>
          <w:rFonts w:ascii="Arial" w:hAnsi="Arial" w:cs="Arial"/>
          <w:color w:val="000000" w:themeColor="text1"/>
          <w:lang w:val="es-ES_tradnl"/>
        </w:rPr>
        <w:t xml:space="preserve"> </w:t>
      </w:r>
      <w:r w:rsidRPr="00AF4C37">
        <w:rPr>
          <w:rFonts w:ascii="Arial" w:hAnsi="Arial" w:cs="Arial"/>
          <w:color w:val="000000" w:themeColor="text1"/>
          <w:lang w:val="es-ES_tradnl"/>
        </w:rPr>
        <w:t>y/o</w:t>
      </w:r>
      <w:r>
        <w:rPr>
          <w:rFonts w:ascii="Arial" w:hAnsi="Arial" w:cs="Arial"/>
          <w:color w:val="000000" w:themeColor="text1"/>
          <w:lang w:val="es-ES_tradnl"/>
        </w:rPr>
        <w:t xml:space="preserve"> </w:t>
      </w:r>
      <w:r w:rsidRPr="00AF4C37">
        <w:rPr>
          <w:rFonts w:ascii="Arial" w:hAnsi="Arial" w:cs="Arial"/>
          <w:color w:val="000000" w:themeColor="text1"/>
          <w:lang w:val="es-ES_tradnl"/>
        </w:rPr>
        <w:t>requisitos</w:t>
      </w:r>
      <w:r>
        <w:rPr>
          <w:rFonts w:ascii="Arial" w:hAnsi="Arial" w:cs="Arial"/>
          <w:color w:val="000000" w:themeColor="text1"/>
          <w:lang w:val="es-ES_tradnl"/>
        </w:rPr>
        <w:t xml:space="preserve"> </w:t>
      </w:r>
      <w:r w:rsidRPr="00AF4C37">
        <w:rPr>
          <w:rFonts w:ascii="Arial" w:hAnsi="Arial" w:cs="Arial"/>
          <w:color w:val="000000" w:themeColor="text1"/>
          <w:lang w:val="es-ES_tradnl"/>
        </w:rPr>
        <w:t>habilitantes</w:t>
      </w:r>
      <w:r>
        <w:rPr>
          <w:rFonts w:ascii="Arial" w:hAnsi="Arial" w:cs="Arial"/>
          <w:color w:val="000000" w:themeColor="text1"/>
          <w:lang w:val="es-ES_tradnl"/>
        </w:rPr>
        <w:t xml:space="preserve"> </w:t>
      </w:r>
      <w:r w:rsidRPr="00AF4C37">
        <w:rPr>
          <w:rFonts w:ascii="Arial" w:hAnsi="Arial" w:cs="Arial"/>
          <w:color w:val="000000" w:themeColor="text1"/>
          <w:lang w:val="es-ES_tradnl"/>
        </w:rPr>
        <w:t>que</w:t>
      </w:r>
      <w:r>
        <w:rPr>
          <w:rFonts w:ascii="Arial" w:hAnsi="Arial" w:cs="Arial"/>
          <w:color w:val="000000" w:themeColor="text1"/>
          <w:lang w:val="es-ES_tradnl"/>
        </w:rPr>
        <w:t xml:space="preserve"> </w:t>
      </w:r>
      <w:r w:rsidRPr="00AF4C37">
        <w:rPr>
          <w:rFonts w:ascii="Arial" w:hAnsi="Arial" w:cs="Arial"/>
          <w:color w:val="000000" w:themeColor="text1"/>
          <w:lang w:val="es-ES_tradnl"/>
        </w:rPr>
        <w:t>restrinjan</w:t>
      </w:r>
      <w:r>
        <w:rPr>
          <w:rFonts w:ascii="Arial" w:hAnsi="Arial" w:cs="Arial"/>
          <w:color w:val="000000" w:themeColor="text1"/>
          <w:lang w:val="es-ES_tradnl"/>
        </w:rPr>
        <w:t xml:space="preserve"> </w:t>
      </w:r>
      <w:r w:rsidRPr="00AF4C37">
        <w:rPr>
          <w:rFonts w:ascii="Arial" w:hAnsi="Arial" w:cs="Arial"/>
          <w:color w:val="000000" w:themeColor="text1"/>
          <w:lang w:val="es-ES_tradnl"/>
        </w:rPr>
        <w:t>la participación de proponentes de nacionalidad extranjera</w:t>
      </w:r>
      <w:r>
        <w:rPr>
          <w:rFonts w:ascii="Arial" w:hAnsi="Arial" w:cs="Arial"/>
          <w:color w:val="000000" w:themeColor="text1"/>
          <w:lang w:val="es-ES_tradnl"/>
        </w:rPr>
        <w:t xml:space="preserve">” y </w:t>
      </w:r>
      <w:proofErr w:type="spellStart"/>
      <w:r>
        <w:rPr>
          <w:rFonts w:ascii="Arial" w:hAnsi="Arial" w:cs="Arial"/>
          <w:color w:val="000000" w:themeColor="text1"/>
          <w:lang w:val="es-ES_tradnl"/>
        </w:rPr>
        <w:t>iii</w:t>
      </w:r>
      <w:proofErr w:type="spellEnd"/>
      <w:r>
        <w:rPr>
          <w:rFonts w:ascii="Arial" w:hAnsi="Arial" w:cs="Arial"/>
          <w:color w:val="000000" w:themeColor="text1"/>
          <w:lang w:val="es-ES_tradnl"/>
        </w:rPr>
        <w:t>) “</w:t>
      </w:r>
      <w:r w:rsidRPr="00AF4C37">
        <w:rPr>
          <w:rFonts w:ascii="Arial" w:hAnsi="Arial" w:cs="Arial"/>
          <w:color w:val="000000" w:themeColor="text1"/>
          <w:lang w:val="es-ES_tradnl"/>
        </w:rPr>
        <w:t>En caso de que la respuesta a la consulta del numeral 1 anterior sea afirmativa, por favor indique</w:t>
      </w:r>
      <w:r>
        <w:rPr>
          <w:rFonts w:ascii="Arial" w:hAnsi="Arial" w:cs="Arial"/>
          <w:color w:val="000000" w:themeColor="text1"/>
          <w:lang w:val="es-ES_tradnl"/>
        </w:rPr>
        <w:t xml:space="preserve"> </w:t>
      </w:r>
      <w:r w:rsidRPr="00AF4C37">
        <w:rPr>
          <w:rFonts w:ascii="Arial" w:hAnsi="Arial" w:cs="Arial"/>
          <w:color w:val="000000" w:themeColor="text1"/>
          <w:lang w:val="es-ES_tradnl"/>
        </w:rPr>
        <w:t>sí</w:t>
      </w:r>
      <w:r>
        <w:rPr>
          <w:rFonts w:ascii="Arial" w:hAnsi="Arial" w:cs="Arial"/>
          <w:color w:val="000000" w:themeColor="text1"/>
          <w:lang w:val="es-ES_tradnl"/>
        </w:rPr>
        <w:t xml:space="preserve"> </w:t>
      </w:r>
      <w:r w:rsidRPr="00AF4C37">
        <w:rPr>
          <w:rFonts w:ascii="Arial" w:hAnsi="Arial" w:cs="Arial"/>
          <w:color w:val="000000" w:themeColor="text1"/>
          <w:lang w:val="es-ES_tradnl"/>
        </w:rPr>
        <w:t>la</w:t>
      </w:r>
      <w:r>
        <w:rPr>
          <w:rFonts w:ascii="Arial" w:hAnsi="Arial" w:cs="Arial"/>
          <w:color w:val="000000" w:themeColor="text1"/>
          <w:lang w:val="es-ES_tradnl"/>
        </w:rPr>
        <w:t xml:space="preserve"> </w:t>
      </w:r>
      <w:r w:rsidRPr="00AF4C37">
        <w:rPr>
          <w:rFonts w:ascii="Arial" w:hAnsi="Arial" w:cs="Arial"/>
          <w:color w:val="000000" w:themeColor="text1"/>
          <w:lang w:val="es-ES_tradnl"/>
        </w:rPr>
        <w:t>entidad</w:t>
      </w:r>
      <w:r>
        <w:rPr>
          <w:rFonts w:ascii="Arial" w:hAnsi="Arial" w:cs="Arial"/>
          <w:color w:val="000000" w:themeColor="text1"/>
          <w:lang w:val="es-ES_tradnl"/>
        </w:rPr>
        <w:t xml:space="preserve"> </w:t>
      </w:r>
      <w:r w:rsidRPr="00AF4C37">
        <w:rPr>
          <w:rFonts w:ascii="Arial" w:hAnsi="Arial" w:cs="Arial"/>
          <w:color w:val="000000" w:themeColor="text1"/>
          <w:lang w:val="es-ES_tradnl"/>
        </w:rPr>
        <w:t>estatal,</w:t>
      </w:r>
      <w:r>
        <w:rPr>
          <w:rFonts w:ascii="Arial" w:hAnsi="Arial" w:cs="Arial"/>
          <w:color w:val="000000" w:themeColor="text1"/>
          <w:lang w:val="es-ES_tradnl"/>
        </w:rPr>
        <w:t xml:space="preserve"> </w:t>
      </w:r>
      <w:r w:rsidRPr="00AF4C37">
        <w:rPr>
          <w:rFonts w:ascii="Arial" w:hAnsi="Arial" w:cs="Arial"/>
          <w:color w:val="000000" w:themeColor="text1"/>
          <w:lang w:val="es-ES_tradnl"/>
        </w:rPr>
        <w:t>dentro</w:t>
      </w:r>
      <w:r>
        <w:rPr>
          <w:rFonts w:ascii="Arial" w:hAnsi="Arial" w:cs="Arial"/>
          <w:color w:val="000000" w:themeColor="text1"/>
          <w:lang w:val="es-ES_tradnl"/>
        </w:rPr>
        <w:t xml:space="preserve"> </w:t>
      </w:r>
      <w:r w:rsidRPr="00AF4C37">
        <w:rPr>
          <w:rFonts w:ascii="Arial" w:hAnsi="Arial" w:cs="Arial"/>
          <w:color w:val="000000" w:themeColor="text1"/>
          <w:lang w:val="es-ES_tradnl"/>
        </w:rPr>
        <w:t>de</w:t>
      </w:r>
      <w:r>
        <w:rPr>
          <w:rFonts w:ascii="Arial" w:hAnsi="Arial" w:cs="Arial"/>
          <w:color w:val="000000" w:themeColor="text1"/>
          <w:lang w:val="es-ES_tradnl"/>
        </w:rPr>
        <w:t xml:space="preserve"> </w:t>
      </w:r>
      <w:r w:rsidRPr="00AF4C37">
        <w:rPr>
          <w:rFonts w:ascii="Arial" w:hAnsi="Arial" w:cs="Arial"/>
          <w:color w:val="000000" w:themeColor="text1"/>
          <w:lang w:val="es-ES_tradnl"/>
        </w:rPr>
        <w:t>los</w:t>
      </w:r>
      <w:r>
        <w:rPr>
          <w:rFonts w:ascii="Arial" w:hAnsi="Arial" w:cs="Arial"/>
          <w:color w:val="000000" w:themeColor="text1"/>
          <w:lang w:val="es-ES_tradnl"/>
        </w:rPr>
        <w:t xml:space="preserve"> </w:t>
      </w:r>
      <w:r w:rsidRPr="00AF4C37">
        <w:rPr>
          <w:rFonts w:ascii="Arial" w:hAnsi="Arial" w:cs="Arial"/>
          <w:color w:val="000000" w:themeColor="text1"/>
          <w:lang w:val="es-ES_tradnl"/>
        </w:rPr>
        <w:lastRenderedPageBreak/>
        <w:t>términos</w:t>
      </w:r>
      <w:r>
        <w:rPr>
          <w:rFonts w:ascii="Arial" w:hAnsi="Arial" w:cs="Arial"/>
          <w:color w:val="000000" w:themeColor="text1"/>
          <w:lang w:val="es-ES_tradnl"/>
        </w:rPr>
        <w:t xml:space="preserve"> </w:t>
      </w:r>
      <w:r w:rsidRPr="00AF4C37">
        <w:rPr>
          <w:rFonts w:ascii="Arial" w:hAnsi="Arial" w:cs="Arial"/>
          <w:color w:val="000000" w:themeColor="text1"/>
          <w:lang w:val="es-ES_tradnl"/>
        </w:rPr>
        <w:t>de</w:t>
      </w:r>
      <w:r>
        <w:rPr>
          <w:rFonts w:ascii="Arial" w:hAnsi="Arial" w:cs="Arial"/>
          <w:color w:val="000000" w:themeColor="text1"/>
          <w:lang w:val="es-ES_tradnl"/>
        </w:rPr>
        <w:t xml:space="preserve"> </w:t>
      </w:r>
      <w:r w:rsidRPr="00AF4C37">
        <w:rPr>
          <w:rFonts w:ascii="Arial" w:hAnsi="Arial" w:cs="Arial"/>
          <w:color w:val="000000" w:themeColor="text1"/>
          <w:lang w:val="es-ES_tradnl"/>
        </w:rPr>
        <w:t>referencia,</w:t>
      </w:r>
      <w:r>
        <w:rPr>
          <w:rFonts w:ascii="Arial" w:hAnsi="Arial" w:cs="Arial"/>
          <w:color w:val="000000" w:themeColor="text1"/>
          <w:lang w:val="es-ES_tradnl"/>
        </w:rPr>
        <w:t xml:space="preserve"> </w:t>
      </w:r>
      <w:r w:rsidRPr="00AF4C37">
        <w:rPr>
          <w:rFonts w:ascii="Arial" w:hAnsi="Arial" w:cs="Arial"/>
          <w:color w:val="000000" w:themeColor="text1"/>
          <w:lang w:val="es-ES_tradnl"/>
        </w:rPr>
        <w:t>pliegos</w:t>
      </w:r>
      <w:r>
        <w:rPr>
          <w:rFonts w:ascii="Arial" w:hAnsi="Arial" w:cs="Arial"/>
          <w:color w:val="000000" w:themeColor="text1"/>
          <w:lang w:val="es-ES_tradnl"/>
        </w:rPr>
        <w:t xml:space="preserve"> </w:t>
      </w:r>
      <w:r w:rsidRPr="00AF4C37">
        <w:rPr>
          <w:rFonts w:ascii="Arial" w:hAnsi="Arial" w:cs="Arial"/>
          <w:color w:val="000000" w:themeColor="text1"/>
          <w:lang w:val="es-ES_tradnl"/>
        </w:rPr>
        <w:t>de condiciones o documentos precontractuales, debe realizar una justificación detallada del</w:t>
      </w:r>
      <w:r>
        <w:rPr>
          <w:rFonts w:ascii="Arial" w:hAnsi="Arial" w:cs="Arial"/>
          <w:color w:val="000000" w:themeColor="text1"/>
          <w:lang w:val="es-ES_tradnl"/>
        </w:rPr>
        <w:t xml:space="preserve"> </w:t>
      </w:r>
      <w:r w:rsidRPr="00AF4C37">
        <w:rPr>
          <w:rFonts w:ascii="Arial" w:hAnsi="Arial" w:cs="Arial"/>
          <w:color w:val="000000" w:themeColor="text1"/>
          <w:lang w:val="es-ES_tradnl"/>
        </w:rPr>
        <w:t>motivo</w:t>
      </w:r>
      <w:r>
        <w:rPr>
          <w:rFonts w:ascii="Arial" w:hAnsi="Arial" w:cs="Arial"/>
          <w:color w:val="000000" w:themeColor="text1"/>
          <w:lang w:val="es-ES_tradnl"/>
        </w:rPr>
        <w:t xml:space="preserve"> </w:t>
      </w:r>
      <w:r w:rsidRPr="00AF4C37">
        <w:rPr>
          <w:rFonts w:ascii="Arial" w:hAnsi="Arial" w:cs="Arial"/>
          <w:color w:val="000000" w:themeColor="text1"/>
          <w:lang w:val="es-ES_tradnl"/>
        </w:rPr>
        <w:t>y</w:t>
      </w:r>
      <w:r>
        <w:rPr>
          <w:rFonts w:ascii="Arial" w:hAnsi="Arial" w:cs="Arial"/>
          <w:color w:val="000000" w:themeColor="text1"/>
          <w:lang w:val="es-ES_tradnl"/>
        </w:rPr>
        <w:t xml:space="preserve"> </w:t>
      </w:r>
      <w:r w:rsidRPr="00AF4C37">
        <w:rPr>
          <w:rFonts w:ascii="Arial" w:hAnsi="Arial" w:cs="Arial"/>
          <w:color w:val="000000" w:themeColor="text1"/>
          <w:lang w:val="es-ES_tradnl"/>
        </w:rPr>
        <w:t>fundamento</w:t>
      </w:r>
      <w:r>
        <w:rPr>
          <w:rFonts w:ascii="Arial" w:hAnsi="Arial" w:cs="Arial"/>
          <w:color w:val="000000" w:themeColor="text1"/>
          <w:lang w:val="es-ES_tradnl"/>
        </w:rPr>
        <w:t xml:space="preserve"> </w:t>
      </w:r>
      <w:r w:rsidRPr="00AF4C37">
        <w:rPr>
          <w:rFonts w:ascii="Arial" w:hAnsi="Arial" w:cs="Arial"/>
          <w:color w:val="000000" w:themeColor="text1"/>
          <w:lang w:val="es-ES_tradnl"/>
        </w:rPr>
        <w:t>legal</w:t>
      </w:r>
      <w:r>
        <w:rPr>
          <w:rFonts w:ascii="Arial" w:hAnsi="Arial" w:cs="Arial"/>
          <w:color w:val="000000" w:themeColor="text1"/>
          <w:lang w:val="es-ES_tradnl"/>
        </w:rPr>
        <w:t xml:space="preserve"> </w:t>
      </w:r>
      <w:r w:rsidRPr="00AF4C37">
        <w:rPr>
          <w:rFonts w:ascii="Arial" w:hAnsi="Arial" w:cs="Arial"/>
          <w:color w:val="000000" w:themeColor="text1"/>
          <w:lang w:val="es-ES_tradnl"/>
        </w:rPr>
        <w:t>de</w:t>
      </w:r>
      <w:r>
        <w:rPr>
          <w:rFonts w:ascii="Arial" w:hAnsi="Arial" w:cs="Arial"/>
          <w:color w:val="000000" w:themeColor="text1"/>
          <w:lang w:val="es-ES_tradnl"/>
        </w:rPr>
        <w:t xml:space="preserve"> </w:t>
      </w:r>
      <w:r w:rsidRPr="00AF4C37">
        <w:rPr>
          <w:rFonts w:ascii="Arial" w:hAnsi="Arial" w:cs="Arial"/>
          <w:color w:val="000000" w:themeColor="text1"/>
          <w:lang w:val="es-ES_tradnl"/>
        </w:rPr>
        <w:t>las</w:t>
      </w:r>
      <w:r>
        <w:rPr>
          <w:rFonts w:ascii="Arial" w:hAnsi="Arial" w:cs="Arial"/>
          <w:color w:val="000000" w:themeColor="text1"/>
          <w:lang w:val="es-ES_tradnl"/>
        </w:rPr>
        <w:t xml:space="preserve"> </w:t>
      </w:r>
      <w:r w:rsidRPr="00AF4C37">
        <w:rPr>
          <w:rFonts w:ascii="Arial" w:hAnsi="Arial" w:cs="Arial"/>
          <w:color w:val="000000" w:themeColor="text1"/>
          <w:lang w:val="es-ES_tradnl"/>
        </w:rPr>
        <w:t>restricciones</w:t>
      </w:r>
      <w:r>
        <w:rPr>
          <w:rFonts w:ascii="Arial" w:hAnsi="Arial" w:cs="Arial"/>
          <w:color w:val="000000" w:themeColor="text1"/>
          <w:lang w:val="es-ES_tradnl"/>
        </w:rPr>
        <w:t xml:space="preserve"> </w:t>
      </w:r>
      <w:r w:rsidRPr="00AF4C37">
        <w:rPr>
          <w:rFonts w:ascii="Arial" w:hAnsi="Arial" w:cs="Arial"/>
          <w:color w:val="000000" w:themeColor="text1"/>
          <w:lang w:val="es-ES_tradnl"/>
        </w:rPr>
        <w:t>desarrolladas.</w:t>
      </w:r>
      <w:r>
        <w:rPr>
          <w:rFonts w:ascii="Arial" w:hAnsi="Arial" w:cs="Arial"/>
          <w:color w:val="000000" w:themeColor="text1"/>
          <w:lang w:val="es-ES_tradnl"/>
        </w:rPr>
        <w:t xml:space="preserve"> </w:t>
      </w:r>
      <w:r w:rsidRPr="00AF4C37">
        <w:rPr>
          <w:rFonts w:ascii="Arial" w:hAnsi="Arial" w:cs="Arial"/>
          <w:color w:val="000000" w:themeColor="text1"/>
          <w:lang w:val="es-ES_tradnl"/>
        </w:rPr>
        <w:t>Se</w:t>
      </w:r>
      <w:r>
        <w:rPr>
          <w:rFonts w:ascii="Arial" w:hAnsi="Arial" w:cs="Arial"/>
          <w:color w:val="000000" w:themeColor="text1"/>
          <w:lang w:val="es-ES_tradnl"/>
        </w:rPr>
        <w:t xml:space="preserve"> </w:t>
      </w:r>
      <w:r w:rsidRPr="00AF4C37">
        <w:rPr>
          <w:rFonts w:ascii="Arial" w:hAnsi="Arial" w:cs="Arial"/>
          <w:color w:val="000000" w:themeColor="text1"/>
          <w:lang w:val="es-ES_tradnl"/>
        </w:rPr>
        <w:t>solicita amablemente, se indique cuál es la consecuencia de no soportar en los documentos precontractuales las razones y fundamentos de la exclusión</w:t>
      </w:r>
      <w:r>
        <w:rPr>
          <w:rFonts w:ascii="Arial" w:hAnsi="Arial" w:cs="Arial"/>
          <w:color w:val="000000" w:themeColor="text1"/>
          <w:lang w:val="es-ES_tradnl"/>
        </w:rPr>
        <w:t>”</w:t>
      </w:r>
      <w:bookmarkEnd w:id="9"/>
      <w:r w:rsidRPr="00AF4C37">
        <w:rPr>
          <w:rFonts w:ascii="Arial" w:hAnsi="Arial" w:cs="Arial"/>
          <w:color w:val="000000" w:themeColor="text1"/>
          <w:lang w:val="es-ES_tradnl"/>
        </w:rPr>
        <w:t>.</w:t>
      </w:r>
      <w:r>
        <w:rPr>
          <w:rFonts w:ascii="Arial" w:hAnsi="Arial" w:cs="Arial"/>
          <w:color w:val="000000" w:themeColor="text1"/>
          <w:lang w:val="es-ES_tradnl"/>
        </w:rPr>
        <w:t xml:space="preserve"> </w:t>
      </w:r>
    </w:p>
    <w:p w14:paraId="00E20AC8" w14:textId="77777777" w:rsidR="00AE02A1" w:rsidRDefault="00AE02A1" w:rsidP="00AE02A1">
      <w:pPr>
        <w:spacing w:after="0" w:line="276" w:lineRule="auto"/>
        <w:jc w:val="both"/>
        <w:rPr>
          <w:rFonts w:ascii="Arial" w:hAnsi="Arial" w:cs="Arial"/>
          <w:color w:val="000000" w:themeColor="text1"/>
          <w:lang w:val="es-ES_tradnl"/>
        </w:rPr>
      </w:pPr>
    </w:p>
    <w:bookmarkEnd w:id="7"/>
    <w:bookmarkEnd w:id="8"/>
    <w:p w14:paraId="7AC454CC" w14:textId="77777777" w:rsidR="00AE02A1" w:rsidRPr="00262D58" w:rsidRDefault="00AE02A1" w:rsidP="00AE02A1">
      <w:pPr>
        <w:pStyle w:val="Prrafodelista"/>
        <w:numPr>
          <w:ilvl w:val="0"/>
          <w:numId w:val="6"/>
        </w:numPr>
        <w:tabs>
          <w:tab w:val="left" w:pos="0"/>
          <w:tab w:val="left" w:pos="284"/>
        </w:tabs>
        <w:spacing w:after="0" w:line="240" w:lineRule="auto"/>
        <w:ind w:left="0" w:firstLine="0"/>
        <w:jc w:val="both"/>
        <w:rPr>
          <w:rFonts w:ascii="Arial" w:eastAsia="Calibri" w:hAnsi="Arial" w:cs="Arial"/>
          <w:b/>
          <w:color w:val="000000" w:themeColor="text1"/>
          <w:lang w:val="es-ES_tradnl"/>
        </w:rPr>
      </w:pPr>
      <w:r w:rsidRPr="00262D58">
        <w:rPr>
          <w:rFonts w:ascii="Arial" w:eastAsia="Calibri" w:hAnsi="Arial" w:cs="Arial"/>
          <w:b/>
          <w:color w:val="000000" w:themeColor="text1"/>
          <w:lang w:val="es-ES_tradnl"/>
        </w:rPr>
        <w:t>Consideraciones</w:t>
      </w:r>
    </w:p>
    <w:p w14:paraId="58F61483" w14:textId="77777777" w:rsidR="00AE02A1" w:rsidRPr="00262D58" w:rsidRDefault="00AE02A1" w:rsidP="00AE02A1">
      <w:pPr>
        <w:spacing w:after="0" w:line="276" w:lineRule="auto"/>
        <w:jc w:val="both"/>
        <w:rPr>
          <w:rFonts w:ascii="Arial" w:eastAsia="Calibri" w:hAnsi="Arial" w:cs="Arial"/>
          <w:color w:val="000000" w:themeColor="text1"/>
          <w:lang w:val="es-ES"/>
        </w:rPr>
      </w:pPr>
    </w:p>
    <w:p w14:paraId="737DDB73" w14:textId="77777777" w:rsidR="00AE02A1" w:rsidRPr="00262D58" w:rsidRDefault="00AE02A1" w:rsidP="00AE02A1">
      <w:pPr>
        <w:spacing w:line="276" w:lineRule="auto"/>
        <w:jc w:val="both"/>
        <w:rPr>
          <w:rFonts w:ascii="Arial" w:hAnsi="Arial" w:cs="Arial"/>
          <w:color w:val="000000" w:themeColor="text1"/>
          <w:lang w:val="es-ES"/>
        </w:rPr>
      </w:pPr>
      <w:r w:rsidRPr="00262D58">
        <w:rPr>
          <w:rFonts w:ascii="Arial" w:hAnsi="Arial" w:cs="Arial"/>
        </w:rPr>
        <w:t>L</w:t>
      </w:r>
      <w:r w:rsidRPr="00262D58">
        <w:rPr>
          <w:rFonts w:ascii="Arial" w:eastAsia="Calibri" w:hAnsi="Arial" w:cs="Arial"/>
        </w:rPr>
        <w:t xml:space="preserve">a Subdirección resolverá la petición conforme a las normas generales en materia de contratación estatal. Con este objetivo se abordarán </w:t>
      </w:r>
      <w:r w:rsidRPr="00262D58">
        <w:rPr>
          <w:rFonts w:ascii="Arial" w:eastAsia="Calibri" w:hAnsi="Arial" w:cs="Arial"/>
          <w:lang w:val="es-ES"/>
        </w:rPr>
        <w:t>los siguientes temas:</w:t>
      </w:r>
      <w:r w:rsidRPr="00262D58">
        <w:rPr>
          <w:rFonts w:ascii="Arial" w:hAnsi="Arial" w:cs="Arial"/>
          <w:color w:val="000000" w:themeColor="text1"/>
          <w:lang w:val="es-ES"/>
        </w:rPr>
        <w:t xml:space="preserve"> </w:t>
      </w:r>
      <w:r w:rsidRPr="006D02FB">
        <w:rPr>
          <w:rFonts w:ascii="Arial" w:hAnsi="Arial" w:cs="Arial"/>
          <w:color w:val="000000" w:themeColor="text1"/>
          <w:lang w:val="es-ES_tradnl"/>
        </w:rPr>
        <w:t xml:space="preserve">i) </w:t>
      </w:r>
      <w:r>
        <w:rPr>
          <w:rFonts w:ascii="Arial" w:hAnsi="Arial" w:cs="Arial"/>
          <w:color w:val="000000" w:themeColor="text1"/>
          <w:lang w:val="es-ES_tradnl"/>
        </w:rPr>
        <w:t xml:space="preserve">régimen contractual de las empresas industriales y comerciales del Estado, </w:t>
      </w:r>
      <w:proofErr w:type="spellStart"/>
      <w:r>
        <w:rPr>
          <w:rFonts w:ascii="Arial" w:hAnsi="Arial" w:cs="Arial"/>
          <w:color w:val="000000" w:themeColor="text1"/>
          <w:lang w:val="es-ES_tradnl"/>
        </w:rPr>
        <w:t>ii</w:t>
      </w:r>
      <w:proofErr w:type="spellEnd"/>
      <w:r>
        <w:rPr>
          <w:rFonts w:ascii="Arial" w:hAnsi="Arial" w:cs="Arial"/>
          <w:color w:val="000000" w:themeColor="text1"/>
          <w:lang w:val="es-ES_tradnl"/>
        </w:rPr>
        <w:t xml:space="preserve">) </w:t>
      </w:r>
      <w:bookmarkStart w:id="10" w:name="_Hlk143598738"/>
      <w:r>
        <w:rPr>
          <w:rFonts w:ascii="Arial" w:hAnsi="Arial" w:cs="Arial"/>
          <w:color w:val="000000" w:themeColor="text1"/>
          <w:lang w:val="es-ES_tradnl"/>
        </w:rPr>
        <w:t>principio de igualdad y concurrencia como regla general en los procesos de selección</w:t>
      </w:r>
      <w:bookmarkEnd w:id="10"/>
      <w:r>
        <w:rPr>
          <w:rFonts w:ascii="Arial" w:hAnsi="Arial" w:cs="Arial"/>
          <w:color w:val="000000" w:themeColor="text1"/>
          <w:lang w:val="es-ES_tradnl"/>
        </w:rPr>
        <w:t xml:space="preserve"> y </w:t>
      </w:r>
      <w:proofErr w:type="spellStart"/>
      <w:r>
        <w:rPr>
          <w:rFonts w:ascii="Arial" w:hAnsi="Arial" w:cs="Arial"/>
          <w:color w:val="000000" w:themeColor="text1"/>
          <w:lang w:val="es-ES_tradnl"/>
        </w:rPr>
        <w:t>iii</w:t>
      </w:r>
      <w:proofErr w:type="spellEnd"/>
      <w:r>
        <w:rPr>
          <w:rFonts w:ascii="Arial" w:hAnsi="Arial" w:cs="Arial"/>
          <w:color w:val="000000" w:themeColor="text1"/>
          <w:lang w:val="es-ES_tradnl"/>
        </w:rPr>
        <w:t xml:space="preserve">) convocatorias limitadas a </w:t>
      </w:r>
      <w:proofErr w:type="spellStart"/>
      <w:r>
        <w:rPr>
          <w:rFonts w:ascii="Arial" w:hAnsi="Arial" w:cs="Arial"/>
          <w:color w:val="000000" w:themeColor="text1"/>
          <w:lang w:val="es-ES_tradnl"/>
        </w:rPr>
        <w:t>Mipymes</w:t>
      </w:r>
      <w:proofErr w:type="spellEnd"/>
      <w:r>
        <w:rPr>
          <w:rFonts w:ascii="Arial" w:hAnsi="Arial" w:cs="Arial"/>
          <w:color w:val="000000" w:themeColor="text1"/>
          <w:lang w:val="es-ES_tradnl"/>
        </w:rPr>
        <w:t xml:space="preserve"> como excepción al principio de libre participación.</w:t>
      </w:r>
    </w:p>
    <w:p w14:paraId="3E58C044" w14:textId="77777777" w:rsidR="00AE02A1" w:rsidRPr="00262D58" w:rsidRDefault="00AE02A1" w:rsidP="00AE02A1">
      <w:pPr>
        <w:spacing w:after="0" w:line="276" w:lineRule="auto"/>
        <w:ind w:firstLine="709"/>
        <w:jc w:val="both"/>
        <w:rPr>
          <w:rFonts w:ascii="Arial" w:eastAsia="Calibri" w:hAnsi="Arial" w:cs="Arial"/>
          <w:color w:val="000000" w:themeColor="text1"/>
          <w:lang w:val="es-ES"/>
        </w:rPr>
      </w:pPr>
      <w:r w:rsidRPr="00744C1E">
        <w:rPr>
          <w:rFonts w:ascii="Arial" w:eastAsia="Calibri" w:hAnsi="Arial" w:cs="Arial"/>
          <w:color w:val="000000" w:themeColor="text1"/>
          <w:lang w:val="es-ES"/>
        </w:rPr>
        <w:t xml:space="preserve">La Agencia Nacional de Contratación Pública – Colombia Compra Eficiente se pronunció sobre </w:t>
      </w:r>
      <w:r>
        <w:rPr>
          <w:rFonts w:ascii="Arial" w:eastAsia="Calibri" w:hAnsi="Arial" w:cs="Arial"/>
          <w:color w:val="000000" w:themeColor="text1"/>
          <w:lang w:val="es-ES"/>
        </w:rPr>
        <w:t xml:space="preserve">el régimen de las empresas industriales y comerciales en los Conceptos </w:t>
      </w:r>
      <w:r w:rsidRPr="00FC3902">
        <w:rPr>
          <w:rFonts w:ascii="Arial" w:eastAsia="Calibri" w:hAnsi="Arial" w:cs="Arial"/>
          <w:color w:val="000000" w:themeColor="text1"/>
          <w:lang w:val="es-ES"/>
        </w:rPr>
        <w:t>2201913000009314 del 17 de diciembre de 2019</w:t>
      </w:r>
      <w:r>
        <w:rPr>
          <w:rFonts w:ascii="Arial" w:eastAsia="Calibri" w:hAnsi="Arial" w:cs="Arial"/>
          <w:color w:val="000000" w:themeColor="text1"/>
          <w:lang w:val="es-ES"/>
        </w:rPr>
        <w:t xml:space="preserve">, C-251 del 27 de mayo de 2020, C-280 del 6 de julio de 2020, C-253 del 2 de junio de 2021, C-495 del 2 de agosto de 2022 y C-975 del 28 de diciembre de 2022. También se ha referido a la prohibición de trato discriminatorio en el Concepto </w:t>
      </w:r>
      <w:r w:rsidRPr="00784C45">
        <w:rPr>
          <w:rFonts w:ascii="Arial" w:eastAsia="Calibri" w:hAnsi="Arial" w:cs="Arial"/>
          <w:color w:val="000000" w:themeColor="text1"/>
          <w:lang w:val="es-ES"/>
        </w:rPr>
        <w:t>2201913000006511</w:t>
      </w:r>
      <w:r>
        <w:rPr>
          <w:rFonts w:ascii="Arial" w:eastAsia="Calibri" w:hAnsi="Arial" w:cs="Arial"/>
          <w:color w:val="000000" w:themeColor="text1"/>
          <w:lang w:val="es-ES"/>
        </w:rPr>
        <w:t xml:space="preserve"> del 3 de septiembre de 2019. Finalmente, </w:t>
      </w:r>
      <w:r w:rsidRPr="00D07A0E">
        <w:rPr>
          <w:rFonts w:ascii="Arial" w:eastAsia="Calibri" w:hAnsi="Arial" w:cs="Arial"/>
          <w:lang w:val="es-ES_tradnl" w:eastAsia="es-ES_tradnl"/>
        </w:rPr>
        <w:t xml:space="preserve">en los Conceptos </w:t>
      </w:r>
      <w:r w:rsidRPr="00D07A0E">
        <w:rPr>
          <w:rFonts w:ascii="Arial" w:eastAsia="Calibri" w:hAnsi="Arial" w:cs="Arial"/>
          <w:color w:val="000000" w:themeColor="text1"/>
        </w:rPr>
        <w:t xml:space="preserve">216130003241 el 30 de junio de 2016, </w:t>
      </w:r>
      <w:r w:rsidRPr="00D07A0E">
        <w:rPr>
          <w:rFonts w:ascii="Arial" w:hAnsi="Arial" w:cs="Arial"/>
          <w:lang w:val="es-ES_tradnl"/>
        </w:rPr>
        <w:t xml:space="preserve">4201714000006924 del 29 de enero de 2018, </w:t>
      </w:r>
      <w:r w:rsidRPr="00D07A0E">
        <w:rPr>
          <w:rFonts w:ascii="Arial" w:eastAsia="Calibri" w:hAnsi="Arial" w:cs="Arial"/>
          <w:color w:val="000000" w:themeColor="text1"/>
        </w:rPr>
        <w:t>2201813000008184 del 7 de septiembre de 2019,</w:t>
      </w:r>
      <w:r w:rsidRPr="00D07A0E">
        <w:rPr>
          <w:rFonts w:ascii="Arial" w:eastAsia="Calibri" w:hAnsi="Arial" w:cs="Arial"/>
          <w:lang w:val="es-ES_tradnl" w:eastAsia="es-ES_tradnl"/>
        </w:rPr>
        <w:t xml:space="preserve"> </w:t>
      </w:r>
      <w:r w:rsidRPr="00D07A0E">
        <w:rPr>
          <w:rFonts w:ascii="Arial" w:eastAsia="Calibri" w:hAnsi="Arial" w:cs="Arial"/>
          <w:lang w:val="es-ES_tradnl"/>
        </w:rPr>
        <w:t>C-045 del 17 de marzo de 2020, C-162 del 16 de abril de 2020, C-214 del 21 de abril de 2020, C-258 del 17 de abril de 2020, C-364 del 4 de junio de 2020, C-413 del 30 de junio de 2020</w:t>
      </w:r>
      <w:r w:rsidRPr="00D07A0E">
        <w:rPr>
          <w:rFonts w:ascii="Arial" w:hAnsi="Arial" w:cs="Arial"/>
          <w:lang w:val="es-ES_tradnl"/>
        </w:rPr>
        <w:t xml:space="preserve">, </w:t>
      </w:r>
      <w:r w:rsidRPr="00D07A0E">
        <w:rPr>
          <w:rFonts w:ascii="Arial" w:eastAsia="Calibri" w:hAnsi="Arial" w:cs="Arial"/>
          <w:lang w:val="es-ES_tradnl"/>
        </w:rPr>
        <w:t xml:space="preserve">C-492 del 24 de julio de 2020, C-523 del 11 de agosto de 2020, C-610 del 14 de septiembre de 2020, C-700 de 1 de diciembre de 2020, C-705 del 7 de diciembre de 2020, </w:t>
      </w:r>
      <w:r w:rsidRPr="00D07A0E">
        <w:rPr>
          <w:rFonts w:ascii="Arial" w:eastAsia="Calibri" w:hAnsi="Arial" w:cs="Arial"/>
          <w:lang w:val="es-ES_tradnl" w:eastAsia="es-ES_tradnl"/>
        </w:rPr>
        <w:t>C-005 del 16 de febrero de 2021, C-037 del 26 de febrero de 2021, C-035 del 02 de marzo de 2021, C-126 del 06 de abril de 2021, C-127 del 06 de abril de 2021, C-144 del 07 de abril de 2021, C-141 del 08 de abril de 2021, C-163 y C-164 del 19 de abril de 2021, C-242 del 25 de mayo de 2021, C-438 del 27 de septiembre de 2021, C-496 del 14 de septiembre de 2021, C-573 de 13 de octubre de 2021, C-001 del 17 de febrero de 2022, C-041 del 2 de marzo de 2022, C-293 del 12 de mayo de 2022, C-340 del 26 de mayo de 2022, C-395 del 17 de junio de 2022, C-539 del 29 de agosto de 2022, C-089 del 28 de abril de 2023, C-159 del 22 de junio de 2023, C-206 del 20 de junio de 2023 y C-207 del 20 de junio de 2023</w:t>
      </w:r>
      <w:r>
        <w:rPr>
          <w:rFonts w:ascii="Arial" w:eastAsia="Calibri" w:hAnsi="Arial" w:cs="Arial"/>
          <w:lang w:val="es-ES_tradnl" w:eastAsia="es-ES_tradnl"/>
        </w:rPr>
        <w:t>, se pronunció sobre las convocatorias limitadas</w:t>
      </w:r>
      <w:r w:rsidRPr="00262D58">
        <w:rPr>
          <w:rStyle w:val="Refdenotaalpie"/>
          <w:rFonts w:ascii="Arial" w:eastAsia="Calibri" w:hAnsi="Arial" w:cs="Arial"/>
        </w:rPr>
        <w:footnoteReference w:id="2"/>
      </w:r>
      <w:r w:rsidRPr="00262D58">
        <w:rPr>
          <w:rStyle w:val="normaltextrun"/>
          <w:rFonts w:ascii="Arial" w:hAnsi="Arial" w:cs="Arial"/>
          <w:color w:val="000000"/>
          <w:shd w:val="clear" w:color="auto" w:fill="FFFFFF"/>
        </w:rPr>
        <w:t xml:space="preserve">. </w:t>
      </w:r>
      <w:r w:rsidRPr="00262D58">
        <w:rPr>
          <w:rFonts w:ascii="Arial" w:eastAsia="Calibri" w:hAnsi="Arial" w:cs="Arial"/>
          <w:color w:val="000000" w:themeColor="text1"/>
          <w:lang w:val="es-ES_tradnl"/>
        </w:rPr>
        <w:t xml:space="preserve">La tesis propuesta en estos conceptos se reitera a continuación y se complementa en lo pertinente. </w:t>
      </w:r>
    </w:p>
    <w:p w14:paraId="6DD4C359" w14:textId="77777777" w:rsidR="00AE02A1" w:rsidRPr="00262D58" w:rsidRDefault="00AE02A1" w:rsidP="00AE02A1">
      <w:pPr>
        <w:spacing w:after="0" w:line="276" w:lineRule="auto"/>
        <w:contextualSpacing/>
        <w:jc w:val="both"/>
        <w:rPr>
          <w:rFonts w:ascii="Arial" w:eastAsia="Times New Roman" w:hAnsi="Arial" w:cs="Arial"/>
          <w:b/>
          <w:szCs w:val="24"/>
          <w:lang w:eastAsia="es-ES_tradnl"/>
        </w:rPr>
      </w:pPr>
    </w:p>
    <w:p w14:paraId="16571496" w14:textId="77777777" w:rsidR="00AE02A1" w:rsidRDefault="00AE02A1" w:rsidP="00AE02A1">
      <w:pPr>
        <w:spacing w:after="0" w:line="276" w:lineRule="auto"/>
        <w:jc w:val="both"/>
        <w:rPr>
          <w:rFonts w:ascii="Arial" w:eastAsia="Calibri" w:hAnsi="Arial" w:cs="Arial"/>
          <w:b/>
          <w:bCs/>
          <w:color w:val="000000" w:themeColor="text1"/>
        </w:rPr>
      </w:pPr>
      <w:bookmarkStart w:id="11" w:name="_Hlk75784645"/>
      <w:r w:rsidRPr="00B9642A">
        <w:rPr>
          <w:rFonts w:ascii="Arial" w:eastAsia="Calibri" w:hAnsi="Arial" w:cs="Arial"/>
          <w:b/>
          <w:bCs/>
          <w:lang w:val="es-ES_tradnl"/>
        </w:rPr>
        <w:t xml:space="preserve">2.1. </w:t>
      </w:r>
      <w:r w:rsidRPr="00D44227">
        <w:rPr>
          <w:rFonts w:ascii="Arial" w:eastAsia="Calibri" w:hAnsi="Arial" w:cs="Arial"/>
          <w:b/>
          <w:bCs/>
          <w:color w:val="000000" w:themeColor="text1"/>
        </w:rPr>
        <w:t>Régimen contractual de las empresas industriales y comerciales del Estado</w:t>
      </w:r>
    </w:p>
    <w:p w14:paraId="25BD7DA9" w14:textId="77777777" w:rsidR="00AE02A1" w:rsidRDefault="00AE02A1" w:rsidP="00AE02A1">
      <w:pPr>
        <w:spacing w:after="0" w:line="276" w:lineRule="auto"/>
        <w:jc w:val="both"/>
        <w:rPr>
          <w:rFonts w:ascii="Arial" w:eastAsia="Calibri" w:hAnsi="Arial" w:cs="Arial"/>
          <w:b/>
          <w:bCs/>
          <w:color w:val="000000" w:themeColor="text1"/>
        </w:rPr>
      </w:pPr>
    </w:p>
    <w:p w14:paraId="718A7497" w14:textId="77777777" w:rsidR="00AE02A1" w:rsidRPr="00763652" w:rsidRDefault="00AE02A1" w:rsidP="00AE02A1">
      <w:pPr>
        <w:spacing w:after="120" w:line="276" w:lineRule="auto"/>
        <w:jc w:val="both"/>
        <w:rPr>
          <w:rFonts w:ascii="Arial" w:eastAsia="Calibri" w:hAnsi="Arial" w:cs="Arial"/>
          <w:b/>
          <w:bCs/>
          <w:color w:val="000000" w:themeColor="text1"/>
        </w:rPr>
      </w:pPr>
      <w:r w:rsidRPr="00431C20">
        <w:rPr>
          <w:rFonts w:ascii="Arial" w:eastAsia="Calibri" w:hAnsi="Arial" w:cs="Arial"/>
          <w:color w:val="000000" w:themeColor="text1"/>
        </w:rPr>
        <w:t>Dentro de la estructura de la Administración pública se encuentran las entidades</w:t>
      </w:r>
      <w:r>
        <w:rPr>
          <w:rFonts w:ascii="Arial" w:eastAsia="Calibri" w:hAnsi="Arial" w:cs="Arial"/>
          <w:color w:val="000000" w:themeColor="text1"/>
        </w:rPr>
        <w:t xml:space="preserve"> </w:t>
      </w:r>
      <w:r w:rsidRPr="00431C20">
        <w:rPr>
          <w:rFonts w:ascii="Arial" w:eastAsia="Calibri" w:hAnsi="Arial" w:cs="Arial"/>
          <w:color w:val="000000" w:themeColor="text1"/>
        </w:rPr>
        <w:t>descentralizadas por servicios, y dentro de dicha categoría se ubican las empresas</w:t>
      </w:r>
      <w:r>
        <w:rPr>
          <w:rFonts w:ascii="Arial" w:eastAsia="Calibri" w:hAnsi="Arial" w:cs="Arial"/>
          <w:color w:val="000000" w:themeColor="text1"/>
        </w:rPr>
        <w:t xml:space="preserve"> </w:t>
      </w:r>
      <w:r w:rsidRPr="00431C20">
        <w:rPr>
          <w:rFonts w:ascii="Arial" w:eastAsia="Calibri" w:hAnsi="Arial" w:cs="Arial"/>
          <w:color w:val="000000" w:themeColor="text1"/>
        </w:rPr>
        <w:t>industriales y comerciales del Estado, las cuales</w:t>
      </w:r>
      <w:r>
        <w:rPr>
          <w:rFonts w:ascii="Arial" w:eastAsia="Calibri" w:hAnsi="Arial" w:cs="Arial"/>
          <w:color w:val="000000" w:themeColor="text1"/>
        </w:rPr>
        <w:t xml:space="preserve"> –</w:t>
      </w:r>
      <w:r w:rsidRPr="00431C20">
        <w:rPr>
          <w:rFonts w:ascii="Arial" w:eastAsia="Calibri" w:hAnsi="Arial" w:cs="Arial"/>
          <w:color w:val="000000" w:themeColor="text1"/>
        </w:rPr>
        <w:t>sin perjuicio del control de tutela</w:t>
      </w:r>
      <w:r>
        <w:rPr>
          <w:rFonts w:ascii="Arial" w:eastAsia="Calibri" w:hAnsi="Arial" w:cs="Arial"/>
          <w:color w:val="000000" w:themeColor="text1"/>
        </w:rPr>
        <w:t>–</w:t>
      </w:r>
      <w:r w:rsidRPr="00431C20">
        <w:rPr>
          <w:rFonts w:ascii="Arial" w:eastAsia="Calibri" w:hAnsi="Arial" w:cs="Arial"/>
          <w:color w:val="000000" w:themeColor="text1"/>
        </w:rPr>
        <w:t xml:space="preserve"> </w:t>
      </w:r>
      <w:r>
        <w:rPr>
          <w:rFonts w:ascii="Arial" w:eastAsia="Calibri" w:hAnsi="Arial" w:cs="Arial"/>
          <w:color w:val="000000" w:themeColor="text1"/>
        </w:rPr>
        <w:t>tienen</w:t>
      </w:r>
      <w:r w:rsidRPr="00431C20">
        <w:rPr>
          <w:rFonts w:ascii="Arial" w:eastAsia="Calibri" w:hAnsi="Arial" w:cs="Arial"/>
          <w:color w:val="000000" w:themeColor="text1"/>
        </w:rPr>
        <w:t xml:space="preserve"> personería jurídica,</w:t>
      </w:r>
      <w:r>
        <w:rPr>
          <w:rFonts w:ascii="Arial" w:eastAsia="Calibri" w:hAnsi="Arial" w:cs="Arial"/>
          <w:color w:val="000000" w:themeColor="text1"/>
        </w:rPr>
        <w:t xml:space="preserve"> </w:t>
      </w:r>
      <w:r w:rsidRPr="00431C20">
        <w:rPr>
          <w:rFonts w:ascii="Arial" w:eastAsia="Calibri" w:hAnsi="Arial" w:cs="Arial"/>
          <w:color w:val="000000" w:themeColor="text1"/>
        </w:rPr>
        <w:t>autonomía administrativa y patrimonio propio.</w:t>
      </w:r>
      <w:r w:rsidRPr="00D44227">
        <w:rPr>
          <w:rFonts w:ascii="Arial" w:eastAsia="Calibri" w:hAnsi="Arial" w:cs="Arial"/>
          <w:b/>
          <w:bCs/>
          <w:color w:val="000000" w:themeColor="text1"/>
        </w:rPr>
        <w:t xml:space="preserve"> </w:t>
      </w:r>
      <w:r>
        <w:rPr>
          <w:rFonts w:ascii="Arial" w:eastAsia="Calibri" w:hAnsi="Arial" w:cs="Arial"/>
          <w:color w:val="000000" w:themeColor="text1"/>
        </w:rPr>
        <w:t>Estas</w:t>
      </w:r>
      <w:r w:rsidRPr="00431C20">
        <w:rPr>
          <w:rFonts w:ascii="Arial" w:eastAsia="Calibri" w:hAnsi="Arial" w:cs="Arial"/>
          <w:color w:val="000000" w:themeColor="text1"/>
        </w:rPr>
        <w:t xml:space="preserve"> entidades, como su nombre lo indica, se caracterizan por desarrollar actividades de</w:t>
      </w:r>
      <w:r>
        <w:rPr>
          <w:rFonts w:ascii="Arial" w:eastAsia="Calibri" w:hAnsi="Arial" w:cs="Arial"/>
          <w:color w:val="000000" w:themeColor="text1"/>
        </w:rPr>
        <w:t xml:space="preserve"> </w:t>
      </w:r>
      <w:r w:rsidRPr="00431C20">
        <w:rPr>
          <w:rFonts w:ascii="Arial" w:eastAsia="Calibri" w:hAnsi="Arial" w:cs="Arial"/>
          <w:color w:val="000000" w:themeColor="text1"/>
        </w:rPr>
        <w:t>carácter industrial o comercial. Así, por ejemplo, son empresas industriales y comerciales</w:t>
      </w:r>
      <w:r>
        <w:rPr>
          <w:rFonts w:ascii="Arial" w:eastAsia="Calibri" w:hAnsi="Arial" w:cs="Arial"/>
          <w:color w:val="000000" w:themeColor="text1"/>
        </w:rPr>
        <w:t xml:space="preserve"> </w:t>
      </w:r>
      <w:r w:rsidRPr="00431C20">
        <w:rPr>
          <w:rFonts w:ascii="Arial" w:eastAsia="Calibri" w:hAnsi="Arial" w:cs="Arial"/>
          <w:color w:val="000000" w:themeColor="text1"/>
        </w:rPr>
        <w:t>del Estado la Imprenta Nacional de Colombia, Coljuegos, Indumil, la Caja Promotora de</w:t>
      </w:r>
      <w:r>
        <w:rPr>
          <w:rFonts w:ascii="Arial" w:eastAsia="Calibri" w:hAnsi="Arial" w:cs="Arial"/>
          <w:color w:val="000000" w:themeColor="text1"/>
        </w:rPr>
        <w:t xml:space="preserve"> </w:t>
      </w:r>
      <w:r w:rsidRPr="00431C20">
        <w:rPr>
          <w:rFonts w:ascii="Arial" w:eastAsia="Calibri" w:hAnsi="Arial" w:cs="Arial"/>
          <w:color w:val="000000" w:themeColor="text1"/>
        </w:rPr>
        <w:t>Vivienda Militar y de Policía, Colpensiones, entre otras.</w:t>
      </w:r>
    </w:p>
    <w:p w14:paraId="67A7A789" w14:textId="77777777" w:rsidR="00AE02A1" w:rsidRDefault="00AE02A1" w:rsidP="00AE02A1">
      <w:pPr>
        <w:spacing w:after="120" w:line="276" w:lineRule="auto"/>
        <w:jc w:val="both"/>
        <w:rPr>
          <w:rFonts w:ascii="Arial" w:eastAsia="Calibri" w:hAnsi="Arial" w:cs="Arial"/>
          <w:color w:val="000000" w:themeColor="text1"/>
        </w:rPr>
      </w:pPr>
      <w:r>
        <w:rPr>
          <w:rFonts w:ascii="Arial" w:eastAsia="Calibri" w:hAnsi="Arial" w:cs="Arial"/>
          <w:color w:val="000000" w:themeColor="text1"/>
        </w:rPr>
        <w:tab/>
        <w:t>Considerando la</w:t>
      </w:r>
      <w:r w:rsidRPr="00431C20">
        <w:rPr>
          <w:rFonts w:ascii="Arial" w:eastAsia="Calibri" w:hAnsi="Arial" w:cs="Arial"/>
          <w:color w:val="000000" w:themeColor="text1"/>
        </w:rPr>
        <w:t xml:space="preserve"> actividad </w:t>
      </w:r>
      <w:r>
        <w:rPr>
          <w:rFonts w:ascii="Arial" w:eastAsia="Calibri" w:hAnsi="Arial" w:cs="Arial"/>
          <w:color w:val="000000" w:themeColor="text1"/>
        </w:rPr>
        <w:t>desarrollada</w:t>
      </w:r>
      <w:r w:rsidRPr="00431C20">
        <w:rPr>
          <w:rFonts w:ascii="Arial" w:eastAsia="Calibri" w:hAnsi="Arial" w:cs="Arial"/>
          <w:color w:val="000000" w:themeColor="text1"/>
        </w:rPr>
        <w:t>, el régimen</w:t>
      </w:r>
      <w:r>
        <w:rPr>
          <w:rFonts w:ascii="Arial" w:eastAsia="Calibri" w:hAnsi="Arial" w:cs="Arial"/>
          <w:color w:val="000000" w:themeColor="text1"/>
        </w:rPr>
        <w:t xml:space="preserve"> </w:t>
      </w:r>
      <w:r w:rsidRPr="00431C20">
        <w:rPr>
          <w:rFonts w:ascii="Arial" w:eastAsia="Calibri" w:hAnsi="Arial" w:cs="Arial"/>
          <w:color w:val="000000" w:themeColor="text1"/>
        </w:rPr>
        <w:t xml:space="preserve">jurídico </w:t>
      </w:r>
      <w:r>
        <w:rPr>
          <w:rFonts w:ascii="Arial" w:eastAsia="Calibri" w:hAnsi="Arial" w:cs="Arial"/>
          <w:color w:val="000000" w:themeColor="text1"/>
        </w:rPr>
        <w:t>aplicable</w:t>
      </w:r>
      <w:r w:rsidRPr="00431C20">
        <w:rPr>
          <w:rFonts w:ascii="Arial" w:eastAsia="Calibri" w:hAnsi="Arial" w:cs="Arial"/>
          <w:color w:val="000000" w:themeColor="text1"/>
        </w:rPr>
        <w:t xml:space="preserve"> a estas empresas difiere del que corresponde a otras entidades</w:t>
      </w:r>
      <w:r>
        <w:rPr>
          <w:rFonts w:ascii="Arial" w:eastAsia="Calibri" w:hAnsi="Arial" w:cs="Arial"/>
          <w:color w:val="000000" w:themeColor="text1"/>
        </w:rPr>
        <w:t xml:space="preserve"> </w:t>
      </w:r>
      <w:r w:rsidRPr="00431C20">
        <w:rPr>
          <w:rFonts w:ascii="Arial" w:eastAsia="Calibri" w:hAnsi="Arial" w:cs="Arial"/>
          <w:color w:val="000000" w:themeColor="text1"/>
        </w:rPr>
        <w:t>descentralizadas funcionalmente o por servicios, como las superintendencias con</w:t>
      </w:r>
      <w:r>
        <w:rPr>
          <w:rFonts w:ascii="Arial" w:eastAsia="Calibri" w:hAnsi="Arial" w:cs="Arial"/>
          <w:color w:val="000000" w:themeColor="text1"/>
        </w:rPr>
        <w:t xml:space="preserve"> </w:t>
      </w:r>
      <w:r w:rsidRPr="00431C20">
        <w:rPr>
          <w:rFonts w:ascii="Arial" w:eastAsia="Calibri" w:hAnsi="Arial" w:cs="Arial"/>
          <w:color w:val="000000" w:themeColor="text1"/>
        </w:rPr>
        <w:t>personería jurídica, los establecimientos públicos o las unidades administrativas</w:t>
      </w:r>
      <w:r>
        <w:rPr>
          <w:rFonts w:ascii="Arial" w:eastAsia="Calibri" w:hAnsi="Arial" w:cs="Arial"/>
          <w:color w:val="000000" w:themeColor="text1"/>
        </w:rPr>
        <w:t xml:space="preserve"> </w:t>
      </w:r>
      <w:r w:rsidRPr="00431C20">
        <w:rPr>
          <w:rFonts w:ascii="Arial" w:eastAsia="Calibri" w:hAnsi="Arial" w:cs="Arial"/>
          <w:color w:val="000000" w:themeColor="text1"/>
        </w:rPr>
        <w:t>especiales, pues la regla general es el derecho privado, salvo excepciones legales y las</w:t>
      </w:r>
      <w:r>
        <w:rPr>
          <w:rFonts w:ascii="Arial" w:eastAsia="Calibri" w:hAnsi="Arial" w:cs="Arial"/>
          <w:color w:val="000000" w:themeColor="text1"/>
        </w:rPr>
        <w:t xml:space="preserve"> </w:t>
      </w:r>
      <w:r w:rsidRPr="00431C20">
        <w:rPr>
          <w:rFonts w:ascii="Arial" w:eastAsia="Calibri" w:hAnsi="Arial" w:cs="Arial"/>
          <w:color w:val="000000" w:themeColor="text1"/>
        </w:rPr>
        <w:t>contenidas en el acto de creación o en los estatutos de la respectiva empresa industrial o</w:t>
      </w:r>
      <w:r>
        <w:rPr>
          <w:rFonts w:ascii="Arial" w:eastAsia="Calibri" w:hAnsi="Arial" w:cs="Arial"/>
          <w:color w:val="000000" w:themeColor="text1"/>
        </w:rPr>
        <w:t xml:space="preserve"> </w:t>
      </w:r>
      <w:r w:rsidRPr="00431C20">
        <w:rPr>
          <w:rFonts w:ascii="Arial" w:eastAsia="Calibri" w:hAnsi="Arial" w:cs="Arial"/>
          <w:color w:val="000000" w:themeColor="text1"/>
        </w:rPr>
        <w:t>comercial del Estado.</w:t>
      </w:r>
      <w:r>
        <w:rPr>
          <w:rFonts w:ascii="Arial" w:eastAsia="Calibri" w:hAnsi="Arial" w:cs="Arial"/>
          <w:color w:val="000000" w:themeColor="text1"/>
        </w:rPr>
        <w:t xml:space="preserve">         </w:t>
      </w:r>
    </w:p>
    <w:p w14:paraId="25D31527" w14:textId="77777777" w:rsidR="00AE02A1" w:rsidRDefault="00AE02A1" w:rsidP="00AE02A1">
      <w:pPr>
        <w:spacing w:after="120" w:line="276" w:lineRule="auto"/>
        <w:jc w:val="both"/>
        <w:rPr>
          <w:rFonts w:ascii="Arial" w:eastAsia="Calibri" w:hAnsi="Arial" w:cs="Arial"/>
          <w:color w:val="000000" w:themeColor="text1"/>
        </w:rPr>
      </w:pPr>
      <w:r>
        <w:rPr>
          <w:rFonts w:ascii="Arial" w:eastAsia="Calibri" w:hAnsi="Arial" w:cs="Arial"/>
          <w:color w:val="000000" w:themeColor="text1"/>
        </w:rPr>
        <w:tab/>
      </w:r>
      <w:r w:rsidRPr="00954CF5">
        <w:rPr>
          <w:rFonts w:ascii="Arial" w:eastAsia="Calibri" w:hAnsi="Arial" w:cs="Arial"/>
          <w:color w:val="000000" w:themeColor="text1"/>
        </w:rPr>
        <w:t>Sobre el régimen de contratación, el artículo 2 de la Ley 80 de 1993</w:t>
      </w:r>
      <w:r>
        <w:rPr>
          <w:rFonts w:ascii="Arial" w:eastAsia="Calibri" w:hAnsi="Arial" w:cs="Arial"/>
          <w:color w:val="000000" w:themeColor="text1"/>
        </w:rPr>
        <w:t xml:space="preserve"> –en concordancia con el artículo 93 de la Ley 489 de 1998– </w:t>
      </w:r>
      <w:r w:rsidRPr="00954CF5">
        <w:rPr>
          <w:rFonts w:ascii="Arial" w:eastAsia="Calibri" w:hAnsi="Arial" w:cs="Arial"/>
          <w:color w:val="000000" w:themeColor="text1"/>
        </w:rPr>
        <w:t>incorporó a las empresas industriales y comerciales del Estado dentro de la categoría de</w:t>
      </w:r>
      <w:r>
        <w:rPr>
          <w:rFonts w:ascii="Arial" w:eastAsia="Calibri" w:hAnsi="Arial" w:cs="Arial"/>
          <w:color w:val="000000" w:themeColor="text1"/>
        </w:rPr>
        <w:t xml:space="preserve"> </w:t>
      </w:r>
      <w:r w:rsidRPr="00954CF5">
        <w:rPr>
          <w:rFonts w:ascii="Arial" w:eastAsia="Calibri" w:hAnsi="Arial" w:cs="Arial"/>
          <w:color w:val="000000" w:themeColor="text1"/>
        </w:rPr>
        <w:t>entidades estatales</w:t>
      </w:r>
      <w:r>
        <w:rPr>
          <w:rStyle w:val="Refdenotaalpie"/>
          <w:rFonts w:ascii="Arial" w:eastAsia="Calibri" w:hAnsi="Arial" w:cs="Arial"/>
          <w:color w:val="000000" w:themeColor="text1"/>
        </w:rPr>
        <w:footnoteReference w:id="3"/>
      </w:r>
      <w:r>
        <w:rPr>
          <w:rFonts w:ascii="Arial" w:eastAsia="Calibri" w:hAnsi="Arial" w:cs="Arial"/>
          <w:color w:val="000000" w:themeColor="text1"/>
        </w:rPr>
        <w:t>. Para estos efectos, el numeral 1, literal m), del artículo 24 del Estatuto General –derogado por el artículo 32 de la Ley 1150 de 2007– permitía la contratación directa de los bienes y servicios requeridos para el desarrollo de su objeto social, exceptuado los contratos de obra, consultoría, concesión, encargos fiduciarios y fiducia pública</w:t>
      </w:r>
      <w:r>
        <w:rPr>
          <w:rStyle w:val="Refdenotaalpie"/>
          <w:rFonts w:ascii="Arial" w:eastAsia="Calibri" w:hAnsi="Arial" w:cs="Arial"/>
          <w:color w:val="000000" w:themeColor="text1"/>
        </w:rPr>
        <w:footnoteReference w:id="4"/>
      </w:r>
      <w:r>
        <w:rPr>
          <w:rFonts w:ascii="Arial" w:eastAsia="Calibri" w:hAnsi="Arial" w:cs="Arial"/>
          <w:color w:val="000000" w:themeColor="text1"/>
        </w:rPr>
        <w:t xml:space="preserve">. </w:t>
      </w:r>
    </w:p>
    <w:p w14:paraId="2DDF3F9A" w14:textId="77777777" w:rsidR="00AE02A1" w:rsidRDefault="00AE02A1" w:rsidP="00AE02A1">
      <w:pPr>
        <w:spacing w:after="0" w:line="276" w:lineRule="auto"/>
        <w:jc w:val="both"/>
        <w:rPr>
          <w:rFonts w:ascii="Arial" w:eastAsia="Calibri" w:hAnsi="Arial" w:cs="Arial"/>
          <w:color w:val="000000" w:themeColor="text1"/>
        </w:rPr>
      </w:pPr>
      <w:r>
        <w:rPr>
          <w:rFonts w:ascii="Arial" w:eastAsia="Calibri" w:hAnsi="Arial" w:cs="Arial"/>
          <w:color w:val="000000" w:themeColor="text1"/>
        </w:rPr>
        <w:tab/>
        <w:t xml:space="preserve">Actualmente, el artículo 14 de Ley 1150 de 2007 distingue entre las empresas industriales y comerciales del Estado que desarrollan sus actividades en competencia con </w:t>
      </w:r>
      <w:r>
        <w:rPr>
          <w:rFonts w:ascii="Arial" w:eastAsia="Calibri" w:hAnsi="Arial" w:cs="Arial"/>
          <w:color w:val="000000" w:themeColor="text1"/>
        </w:rPr>
        <w:lastRenderedPageBreak/>
        <w:t>los particulares y las que no: mientras los contratos de estas últimas regresan a las normas de la Ley 80 de 1993, los de aquellas permanecen dentro del Código Civil y de Comercio, lo que –respecto al contenido del artículo 85 de la Ley 489 de 1998– implica un retorno parcial del derecho administrativo. De esta manera, la norma anteriormente citada dispone lo siguiente:</w:t>
      </w:r>
    </w:p>
    <w:p w14:paraId="6897C6E4" w14:textId="77777777" w:rsidR="00AE02A1" w:rsidRDefault="00AE02A1" w:rsidP="00AE02A1">
      <w:pPr>
        <w:spacing w:after="0" w:line="276" w:lineRule="auto"/>
        <w:jc w:val="both"/>
        <w:rPr>
          <w:rFonts w:ascii="Arial" w:eastAsia="Calibri" w:hAnsi="Arial" w:cs="Arial"/>
          <w:color w:val="000000" w:themeColor="text1"/>
        </w:rPr>
      </w:pPr>
    </w:p>
    <w:p w14:paraId="21B611C4" w14:textId="77777777" w:rsidR="00AE02A1" w:rsidRPr="00047050" w:rsidRDefault="00AE02A1" w:rsidP="00AE02A1">
      <w:pPr>
        <w:spacing w:after="0" w:line="240" w:lineRule="auto"/>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Pr="00047050">
        <w:rPr>
          <w:rFonts w:ascii="Arial" w:eastAsia="Calibri" w:hAnsi="Arial" w:cs="Arial"/>
          <w:color w:val="000000" w:themeColor="text1"/>
          <w:sz w:val="21"/>
          <w:szCs w:val="21"/>
        </w:rPr>
        <w:t>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Pr>
          <w:rFonts w:ascii="Arial" w:eastAsia="Calibri" w:hAnsi="Arial" w:cs="Arial"/>
          <w:color w:val="000000" w:themeColor="text1"/>
          <w:sz w:val="21"/>
          <w:szCs w:val="21"/>
        </w:rPr>
        <w:t>”</w:t>
      </w:r>
      <w:r w:rsidRPr="00047050">
        <w:rPr>
          <w:rFonts w:ascii="Arial" w:eastAsia="Calibri" w:hAnsi="Arial" w:cs="Arial"/>
          <w:color w:val="000000" w:themeColor="text1"/>
          <w:sz w:val="21"/>
          <w:szCs w:val="21"/>
        </w:rPr>
        <w:t>.</w:t>
      </w:r>
    </w:p>
    <w:p w14:paraId="60D4461F" w14:textId="77777777" w:rsidR="00AE02A1" w:rsidRDefault="00AE02A1" w:rsidP="00AE02A1">
      <w:pPr>
        <w:spacing w:after="0" w:line="276" w:lineRule="auto"/>
        <w:ind w:left="709" w:right="709"/>
        <w:jc w:val="both"/>
        <w:rPr>
          <w:rFonts w:ascii="Arial" w:eastAsia="Calibri" w:hAnsi="Arial" w:cs="Arial"/>
          <w:color w:val="000000" w:themeColor="text1"/>
        </w:rPr>
      </w:pPr>
    </w:p>
    <w:p w14:paraId="4A92FCC3" w14:textId="77777777" w:rsidR="00AE02A1" w:rsidRDefault="00AE02A1" w:rsidP="00AE02A1">
      <w:pPr>
        <w:spacing w:after="0" w:line="276" w:lineRule="auto"/>
        <w:jc w:val="both"/>
        <w:rPr>
          <w:rFonts w:ascii="Arial" w:eastAsia="Calibri" w:hAnsi="Arial" w:cs="Arial"/>
          <w:color w:val="000000" w:themeColor="text1"/>
        </w:rPr>
      </w:pPr>
      <w:r>
        <w:rPr>
          <w:rFonts w:ascii="Arial" w:eastAsia="Calibri" w:hAnsi="Arial" w:cs="Arial"/>
          <w:color w:val="000000" w:themeColor="text1"/>
        </w:rPr>
        <w:tab/>
        <w:t xml:space="preserve">En esta medida, las </w:t>
      </w:r>
      <w:r w:rsidRPr="008F5D4C">
        <w:rPr>
          <w:rFonts w:ascii="Arial" w:eastAsia="Calibri" w:hAnsi="Arial" w:cs="Arial"/>
          <w:color w:val="000000" w:themeColor="text1"/>
        </w:rPr>
        <w:t>empresas industriales y comerciales del Estado que no estén en</w:t>
      </w:r>
      <w:r>
        <w:rPr>
          <w:rFonts w:ascii="Arial" w:eastAsia="Calibri" w:hAnsi="Arial" w:cs="Arial"/>
          <w:color w:val="000000" w:themeColor="text1"/>
        </w:rPr>
        <w:t xml:space="preserve"> </w:t>
      </w:r>
      <w:r w:rsidRPr="008F5D4C">
        <w:rPr>
          <w:rFonts w:ascii="Arial" w:eastAsia="Calibri" w:hAnsi="Arial" w:cs="Arial"/>
          <w:color w:val="000000" w:themeColor="text1"/>
        </w:rPr>
        <w:t>competencia ni desarrollen su actividad en mercados regulados están sometidas al Estatuto General de Contratación de la Administración</w:t>
      </w:r>
      <w:r>
        <w:rPr>
          <w:rFonts w:ascii="Arial" w:eastAsia="Calibri" w:hAnsi="Arial" w:cs="Arial"/>
          <w:color w:val="000000" w:themeColor="text1"/>
        </w:rPr>
        <w:t xml:space="preserve"> </w:t>
      </w:r>
      <w:r w:rsidRPr="008F5D4C">
        <w:rPr>
          <w:rFonts w:ascii="Arial" w:eastAsia="Calibri" w:hAnsi="Arial" w:cs="Arial"/>
          <w:color w:val="000000" w:themeColor="text1"/>
        </w:rPr>
        <w:t>Pública y las normas que lo complementan</w:t>
      </w:r>
      <w:r>
        <w:rPr>
          <w:rFonts w:ascii="Arial" w:eastAsia="Calibri" w:hAnsi="Arial" w:cs="Arial"/>
          <w:color w:val="000000" w:themeColor="text1"/>
        </w:rPr>
        <w:t>. Conforme al literal g) del artículo 2.2 de la Ley 1150 de 2007, estos contratos siguen las reglas del procedimiento de selección abreviada, exceptuados los del artículo 32 de la Ley 80 de 1993</w:t>
      </w:r>
      <w:r>
        <w:rPr>
          <w:rStyle w:val="Refdenotaalpie"/>
          <w:rFonts w:ascii="Arial" w:eastAsia="Calibri" w:hAnsi="Arial" w:cs="Arial"/>
          <w:color w:val="000000" w:themeColor="text1"/>
        </w:rPr>
        <w:footnoteReference w:id="5"/>
      </w:r>
      <w:r>
        <w:rPr>
          <w:rFonts w:ascii="Arial" w:eastAsia="Calibri" w:hAnsi="Arial" w:cs="Arial"/>
          <w:color w:val="000000" w:themeColor="text1"/>
        </w:rPr>
        <w:t xml:space="preserve">. En contraste, </w:t>
      </w:r>
      <w:r w:rsidRPr="001E44A9">
        <w:rPr>
          <w:rFonts w:ascii="Arial" w:eastAsia="Calibri" w:hAnsi="Arial" w:cs="Arial"/>
          <w:color w:val="000000" w:themeColor="text1"/>
        </w:rPr>
        <w:t>el régimen contractual de las empresas industriales y comerciales</w:t>
      </w:r>
      <w:r>
        <w:rPr>
          <w:rFonts w:ascii="Arial" w:eastAsia="Calibri" w:hAnsi="Arial" w:cs="Arial"/>
          <w:color w:val="000000" w:themeColor="text1"/>
        </w:rPr>
        <w:t xml:space="preserve"> </w:t>
      </w:r>
      <w:r w:rsidRPr="001E44A9">
        <w:rPr>
          <w:rFonts w:ascii="Arial" w:eastAsia="Calibri" w:hAnsi="Arial" w:cs="Arial"/>
          <w:color w:val="000000" w:themeColor="text1"/>
        </w:rPr>
        <w:t>del Estado que se encuentren en competencia o en mercados regulados es el propio de tales actividades, esto es, por regla general, el derecho privado.</w:t>
      </w:r>
      <w:r>
        <w:rPr>
          <w:rFonts w:ascii="Arial" w:eastAsia="Calibri" w:hAnsi="Arial" w:cs="Arial"/>
          <w:color w:val="000000" w:themeColor="text1"/>
        </w:rPr>
        <w:t xml:space="preserve"> De acuerdo con la jurisprudencia, la exclusión de estas últimas se justifica en el principio de igualdad, ya que si Estado desarrolla actividades de los particulares, debe actuar no solo desprovisto de poderes exorbitantes sino también con la misma eficacia y eficiencia que los sujetos de derecho privado. No en vano:</w:t>
      </w:r>
    </w:p>
    <w:p w14:paraId="03F79518" w14:textId="77777777" w:rsidR="00AE02A1" w:rsidRDefault="00AE02A1" w:rsidP="00AE02A1">
      <w:pPr>
        <w:spacing w:after="0" w:line="276" w:lineRule="auto"/>
        <w:jc w:val="both"/>
        <w:rPr>
          <w:rFonts w:ascii="Arial" w:eastAsia="Calibri" w:hAnsi="Arial" w:cs="Arial"/>
          <w:color w:val="000000" w:themeColor="text1"/>
        </w:rPr>
      </w:pPr>
    </w:p>
    <w:p w14:paraId="4C1F5B70" w14:textId="77777777" w:rsidR="00AE02A1" w:rsidRPr="00E048AB" w:rsidRDefault="00AE02A1" w:rsidP="00AE02A1">
      <w:pPr>
        <w:spacing w:after="120" w:line="240" w:lineRule="auto"/>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Pr="00E048AB">
        <w:rPr>
          <w:rFonts w:ascii="Arial" w:eastAsia="Calibri" w:hAnsi="Arial" w:cs="Arial"/>
          <w:color w:val="000000" w:themeColor="text1"/>
          <w:sz w:val="21"/>
          <w:szCs w:val="21"/>
        </w:rPr>
        <w:t xml:space="preserve">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w:t>
      </w:r>
      <w:r w:rsidRPr="00E048AB">
        <w:rPr>
          <w:rFonts w:ascii="Arial" w:eastAsia="Calibri" w:hAnsi="Arial" w:cs="Arial"/>
          <w:color w:val="000000" w:themeColor="text1"/>
          <w:sz w:val="21"/>
          <w:szCs w:val="21"/>
        </w:rPr>
        <w:lastRenderedPageBreak/>
        <w:t>prerrogativas exorbitantes que atenten contra el derecho a la igualdad ni estar sujetas a procedimientos administrativos que entraben sus actuaciones y las pongan en situación de desventaja frente a sus competidores.</w:t>
      </w:r>
    </w:p>
    <w:p w14:paraId="6A03A77C" w14:textId="77777777" w:rsidR="00AE02A1" w:rsidRPr="00E048AB" w:rsidRDefault="00AE02A1" w:rsidP="00AE02A1">
      <w:pPr>
        <w:spacing w:after="120" w:line="240" w:lineRule="auto"/>
        <w:ind w:left="709" w:right="709"/>
        <w:jc w:val="both"/>
        <w:rPr>
          <w:rFonts w:ascii="Arial" w:eastAsia="Calibri" w:hAnsi="Arial" w:cs="Arial"/>
          <w:color w:val="000000" w:themeColor="text1"/>
          <w:sz w:val="21"/>
          <w:szCs w:val="21"/>
        </w:rPr>
      </w:pPr>
      <w:r w:rsidRPr="00E048AB">
        <w:rPr>
          <w:rFonts w:ascii="Arial" w:eastAsia="Calibri" w:hAnsi="Arial" w:cs="Arial"/>
          <w:color w:val="000000" w:themeColor="text1"/>
          <w:sz w:val="21"/>
          <w:szCs w:val="21"/>
        </w:rPr>
        <w:t xml:space="preserve">Se trata pues, de que sus actividades de explotación industrial o comercial se desarrollen con las </w:t>
      </w:r>
      <w:proofErr w:type="gramStart"/>
      <w:r w:rsidRPr="00E048AB">
        <w:rPr>
          <w:rFonts w:ascii="Arial" w:eastAsia="Calibri" w:hAnsi="Arial" w:cs="Arial"/>
          <w:color w:val="000000" w:themeColor="text1"/>
          <w:sz w:val="21"/>
          <w:szCs w:val="21"/>
        </w:rPr>
        <w:t>mismas oportunidades y las mismas ventajas</w:t>
      </w:r>
      <w:proofErr w:type="gramEnd"/>
      <w:r w:rsidRPr="00E048AB">
        <w:rPr>
          <w:rFonts w:ascii="Arial" w:eastAsia="Calibri" w:hAnsi="Arial" w:cs="Arial"/>
          <w:color w:val="000000" w:themeColor="text1"/>
          <w:sz w:val="21"/>
          <w:szCs w:val="21"/>
        </w:rPr>
        <w:t xml:space="preserve"> o desventajas que las adelantadas por aquellos, sin que influya para nada su investidura de entidad estatal; que puedan actuar como particulares, frente a las exigencias de la economía y del mercado.</w:t>
      </w:r>
    </w:p>
    <w:p w14:paraId="293D2B0C" w14:textId="77777777" w:rsidR="00AE02A1" w:rsidRPr="00E048AB" w:rsidRDefault="00AE02A1" w:rsidP="00AE02A1">
      <w:pPr>
        <w:spacing w:after="0" w:line="240" w:lineRule="auto"/>
        <w:ind w:left="709" w:right="709"/>
        <w:jc w:val="both"/>
        <w:rPr>
          <w:rFonts w:ascii="Arial" w:eastAsia="Calibri" w:hAnsi="Arial" w:cs="Arial"/>
          <w:color w:val="000000" w:themeColor="text1"/>
          <w:sz w:val="21"/>
          <w:szCs w:val="21"/>
        </w:rPr>
      </w:pPr>
      <w:r w:rsidRPr="00E048AB">
        <w:rPr>
          <w:rFonts w:ascii="Arial" w:eastAsia="Calibri" w:hAnsi="Arial" w:cs="Arial"/>
          <w:color w:val="000000" w:themeColor="text1"/>
          <w:sz w:val="21"/>
          <w:szCs w:val="21"/>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Pr>
          <w:rFonts w:ascii="Arial" w:eastAsia="Calibri" w:hAnsi="Arial" w:cs="Arial"/>
          <w:color w:val="000000" w:themeColor="text1"/>
          <w:sz w:val="21"/>
          <w:szCs w:val="21"/>
        </w:rPr>
        <w:t>”</w:t>
      </w:r>
      <w:r w:rsidRPr="00E048AB">
        <w:rPr>
          <w:rStyle w:val="Refdenotaalpie"/>
          <w:rFonts w:ascii="Arial" w:eastAsia="Calibri" w:hAnsi="Arial" w:cs="Arial"/>
          <w:color w:val="000000" w:themeColor="text1"/>
          <w:sz w:val="21"/>
          <w:szCs w:val="21"/>
        </w:rPr>
        <w:footnoteReference w:id="6"/>
      </w:r>
      <w:r w:rsidRPr="00E048AB">
        <w:rPr>
          <w:rFonts w:ascii="Arial" w:eastAsia="Calibri" w:hAnsi="Arial" w:cs="Arial"/>
          <w:color w:val="000000" w:themeColor="text1"/>
          <w:sz w:val="21"/>
          <w:szCs w:val="21"/>
        </w:rPr>
        <w:t>.</w:t>
      </w:r>
    </w:p>
    <w:p w14:paraId="2AA92D86" w14:textId="77777777" w:rsidR="00AE02A1" w:rsidRDefault="00AE02A1" w:rsidP="00AE02A1">
      <w:pPr>
        <w:spacing w:after="0" w:line="276" w:lineRule="auto"/>
        <w:jc w:val="both"/>
        <w:rPr>
          <w:rFonts w:ascii="Arial" w:eastAsia="Calibri" w:hAnsi="Arial" w:cs="Arial"/>
          <w:color w:val="000000" w:themeColor="text1"/>
        </w:rPr>
      </w:pPr>
    </w:p>
    <w:p w14:paraId="37443011" w14:textId="77777777" w:rsidR="00AE02A1" w:rsidRDefault="00AE02A1" w:rsidP="00AE02A1">
      <w:pPr>
        <w:spacing w:after="0" w:line="276" w:lineRule="auto"/>
        <w:ind w:firstLine="708"/>
        <w:jc w:val="both"/>
        <w:rPr>
          <w:rFonts w:ascii="Arial" w:eastAsia="Calibri" w:hAnsi="Arial" w:cs="Arial"/>
          <w:color w:val="000000" w:themeColor="text1"/>
        </w:rPr>
      </w:pPr>
      <w:r>
        <w:rPr>
          <w:rFonts w:ascii="Arial" w:eastAsia="Calibri" w:hAnsi="Arial" w:cs="Arial"/>
          <w:color w:val="000000" w:themeColor="text1"/>
        </w:rPr>
        <w:t xml:space="preserve">Por lo tanto, </w:t>
      </w:r>
      <w:bookmarkStart w:id="12" w:name="_Hlk41238857"/>
      <w:r>
        <w:rPr>
          <w:rFonts w:ascii="Arial" w:eastAsia="Calibri" w:hAnsi="Arial" w:cs="Arial"/>
          <w:color w:val="000000" w:themeColor="text1"/>
        </w:rPr>
        <w:t>e</w:t>
      </w:r>
      <w:r w:rsidRPr="00694209">
        <w:rPr>
          <w:rFonts w:ascii="Arial" w:eastAsia="Calibri" w:hAnsi="Arial" w:cs="Arial"/>
          <w:color w:val="000000" w:themeColor="text1"/>
        </w:rPr>
        <w:t xml:space="preserve">l régimen contractual </w:t>
      </w:r>
      <w:r>
        <w:rPr>
          <w:rFonts w:ascii="Arial" w:eastAsia="Calibri" w:hAnsi="Arial" w:cs="Arial"/>
          <w:color w:val="000000" w:themeColor="text1"/>
        </w:rPr>
        <w:t>de</w:t>
      </w:r>
      <w:r w:rsidRPr="00694209">
        <w:rPr>
          <w:rFonts w:ascii="Arial" w:eastAsia="Calibri" w:hAnsi="Arial" w:cs="Arial"/>
          <w:color w:val="000000" w:themeColor="text1"/>
        </w:rPr>
        <w:t xml:space="preserve"> las</w:t>
      </w:r>
      <w:r>
        <w:rPr>
          <w:rFonts w:ascii="Arial" w:eastAsia="Calibri" w:hAnsi="Arial" w:cs="Arial"/>
          <w:color w:val="000000" w:themeColor="text1"/>
        </w:rPr>
        <w:t xml:space="preserve"> </w:t>
      </w:r>
      <w:r w:rsidRPr="00694209">
        <w:rPr>
          <w:rFonts w:ascii="Arial" w:eastAsia="Calibri" w:hAnsi="Arial" w:cs="Arial"/>
          <w:color w:val="000000" w:themeColor="text1"/>
        </w:rPr>
        <w:t>empresas industriales y comerciales del Estado que estén en competencia o desarrollen su</w:t>
      </w:r>
      <w:r>
        <w:rPr>
          <w:rFonts w:ascii="Arial" w:eastAsia="Calibri" w:hAnsi="Arial" w:cs="Arial"/>
          <w:color w:val="000000" w:themeColor="text1"/>
        </w:rPr>
        <w:t xml:space="preserve"> </w:t>
      </w:r>
      <w:r w:rsidRPr="00694209">
        <w:rPr>
          <w:rFonts w:ascii="Arial" w:eastAsia="Calibri" w:hAnsi="Arial" w:cs="Arial"/>
          <w:color w:val="000000" w:themeColor="text1"/>
        </w:rPr>
        <w:t>actividad en mercados regulados es el propio de tal actividad, esto es, por regla general, el</w:t>
      </w:r>
      <w:r>
        <w:rPr>
          <w:rFonts w:ascii="Arial" w:eastAsia="Calibri" w:hAnsi="Arial" w:cs="Arial"/>
          <w:color w:val="000000" w:themeColor="text1"/>
        </w:rPr>
        <w:t xml:space="preserve"> </w:t>
      </w:r>
      <w:r w:rsidRPr="00694209">
        <w:rPr>
          <w:rFonts w:ascii="Arial" w:eastAsia="Calibri" w:hAnsi="Arial" w:cs="Arial"/>
          <w:color w:val="000000" w:themeColor="text1"/>
        </w:rPr>
        <w:t>derecho privado, salvo las excepciones legales o las contenidas en el acto de creación o</w:t>
      </w:r>
      <w:r>
        <w:rPr>
          <w:rFonts w:ascii="Arial" w:eastAsia="Calibri" w:hAnsi="Arial" w:cs="Arial"/>
          <w:color w:val="000000" w:themeColor="text1"/>
        </w:rPr>
        <w:t xml:space="preserve"> </w:t>
      </w:r>
      <w:r w:rsidRPr="00694209">
        <w:rPr>
          <w:rFonts w:ascii="Arial" w:eastAsia="Calibri" w:hAnsi="Arial" w:cs="Arial"/>
          <w:color w:val="000000" w:themeColor="text1"/>
        </w:rPr>
        <w:t>en los estatutos de la respectiva empresa industrial o comercial del Estado</w:t>
      </w:r>
      <w:r w:rsidRPr="0096646C">
        <w:rPr>
          <w:rFonts w:ascii="Arial" w:eastAsia="Calibri" w:hAnsi="Arial" w:cs="Arial"/>
          <w:color w:val="000000" w:themeColor="text1"/>
        </w:rPr>
        <w:t>.</w:t>
      </w:r>
      <w:r>
        <w:rPr>
          <w:rFonts w:ascii="Arial" w:eastAsia="Calibri" w:hAnsi="Arial" w:cs="Arial"/>
          <w:color w:val="000000" w:themeColor="text1"/>
        </w:rPr>
        <w:t xml:space="preserve"> Aunque estos contratos están excluidos de la Ley 80 de 1993, no se rigen exclusivamente por el derecho civil y comercial, pues –conforme al artículo 13 de la Ley 1150 de 2007– aplican tanto los principios de la función administrativa y de la gestión fiscal como el régimen de inhabilidades e incompatibilidades. Por el contrario, </w:t>
      </w:r>
      <w:r w:rsidRPr="00694209">
        <w:rPr>
          <w:rFonts w:ascii="Arial" w:eastAsia="Calibri" w:hAnsi="Arial" w:cs="Arial"/>
          <w:color w:val="000000" w:themeColor="text1"/>
        </w:rPr>
        <w:t>aquellas empresas industriales y comerciales del Estado que no estén en</w:t>
      </w:r>
      <w:r>
        <w:rPr>
          <w:rFonts w:ascii="Arial" w:eastAsia="Calibri" w:hAnsi="Arial" w:cs="Arial"/>
          <w:color w:val="000000" w:themeColor="text1"/>
        </w:rPr>
        <w:t xml:space="preserve"> </w:t>
      </w:r>
      <w:r w:rsidRPr="00694209">
        <w:rPr>
          <w:rFonts w:ascii="Arial" w:eastAsia="Calibri" w:hAnsi="Arial" w:cs="Arial"/>
          <w:color w:val="000000" w:themeColor="text1"/>
        </w:rPr>
        <w:t>competencia ni desarrollen su actividad en mercados regulados están sometidas al</w:t>
      </w:r>
      <w:r>
        <w:rPr>
          <w:rFonts w:ascii="Arial" w:eastAsia="Calibri" w:hAnsi="Arial" w:cs="Arial"/>
          <w:color w:val="000000" w:themeColor="text1"/>
        </w:rPr>
        <w:t xml:space="preserve"> </w:t>
      </w:r>
      <w:r w:rsidRPr="00694209">
        <w:rPr>
          <w:rFonts w:ascii="Arial" w:eastAsia="Calibri" w:hAnsi="Arial" w:cs="Arial"/>
          <w:color w:val="000000" w:themeColor="text1"/>
        </w:rPr>
        <w:t>Estatuto General de Contratación de la Administración Pública y las normas que lo</w:t>
      </w:r>
      <w:r>
        <w:rPr>
          <w:rFonts w:ascii="Arial" w:eastAsia="Calibri" w:hAnsi="Arial" w:cs="Arial"/>
          <w:color w:val="000000" w:themeColor="text1"/>
        </w:rPr>
        <w:t xml:space="preserve"> </w:t>
      </w:r>
      <w:r w:rsidRPr="00694209">
        <w:rPr>
          <w:rFonts w:ascii="Arial" w:eastAsia="Calibri" w:hAnsi="Arial" w:cs="Arial"/>
          <w:color w:val="000000" w:themeColor="text1"/>
        </w:rPr>
        <w:t>complementan</w:t>
      </w:r>
      <w:r>
        <w:rPr>
          <w:rFonts w:ascii="Arial" w:eastAsia="Calibri" w:hAnsi="Arial" w:cs="Arial"/>
          <w:color w:val="000000" w:themeColor="text1"/>
        </w:rPr>
        <w:t xml:space="preserve">, </w:t>
      </w:r>
      <w:r>
        <w:rPr>
          <w:rStyle w:val="normaltextrun"/>
          <w:rFonts w:ascii="Arial" w:hAnsi="Arial" w:cs="Arial"/>
          <w:color w:val="000000"/>
          <w:bdr w:val="none" w:sz="0" w:space="0" w:color="auto" w:frame="1"/>
        </w:rPr>
        <w:t>como lo dispone el artículo 14 de la Ley 1150 de 2007</w:t>
      </w:r>
      <w:r>
        <w:rPr>
          <w:rFonts w:ascii="Arial" w:eastAsia="Calibri" w:hAnsi="Arial" w:cs="Arial"/>
          <w:color w:val="000000" w:themeColor="text1"/>
        </w:rPr>
        <w:t xml:space="preserve">. </w:t>
      </w:r>
    </w:p>
    <w:p w14:paraId="4DF4D377" w14:textId="77777777" w:rsidR="00AE02A1" w:rsidRDefault="00AE02A1" w:rsidP="00AE02A1">
      <w:pPr>
        <w:spacing w:after="0" w:line="276" w:lineRule="auto"/>
        <w:ind w:firstLine="708"/>
        <w:jc w:val="both"/>
        <w:rPr>
          <w:rFonts w:ascii="Arial" w:eastAsia="Calibri" w:hAnsi="Arial" w:cs="Arial"/>
          <w:color w:val="000000" w:themeColor="text1"/>
        </w:rPr>
      </w:pPr>
      <w:r w:rsidRPr="00F61A04">
        <w:rPr>
          <w:rFonts w:ascii="Arial" w:eastAsia="Calibri" w:hAnsi="Arial" w:cs="Arial"/>
          <w:color w:val="000000" w:themeColor="text1"/>
        </w:rPr>
        <w:t xml:space="preserve"> </w:t>
      </w:r>
      <w:bookmarkEnd w:id="12"/>
    </w:p>
    <w:p w14:paraId="44616D86" w14:textId="77777777" w:rsidR="00AE02A1" w:rsidRDefault="00AE02A1" w:rsidP="00AE02A1">
      <w:pPr>
        <w:spacing w:after="0" w:line="276" w:lineRule="auto"/>
        <w:jc w:val="both"/>
        <w:rPr>
          <w:rFonts w:ascii="Arial" w:eastAsia="Calibri" w:hAnsi="Arial" w:cs="Arial"/>
          <w:b/>
          <w:bCs/>
          <w:color w:val="000000" w:themeColor="text1"/>
        </w:rPr>
      </w:pPr>
      <w:r w:rsidRPr="001D00D5">
        <w:rPr>
          <w:rFonts w:ascii="Arial" w:eastAsia="Calibri" w:hAnsi="Arial" w:cs="Arial"/>
          <w:b/>
          <w:bCs/>
          <w:color w:val="000000" w:themeColor="text1"/>
        </w:rPr>
        <w:t>2.2. Principio de igualdad y concurrencia como regla general en los procesos de selección: prohibición de trato discriminatorio entre nacionales y extranjeros</w:t>
      </w:r>
    </w:p>
    <w:p w14:paraId="68B379BB" w14:textId="77777777" w:rsidR="00AE02A1" w:rsidRDefault="00AE02A1" w:rsidP="00AE02A1">
      <w:pPr>
        <w:spacing w:after="0" w:line="276" w:lineRule="auto"/>
        <w:jc w:val="both"/>
        <w:rPr>
          <w:rFonts w:ascii="Arial" w:eastAsia="Calibri" w:hAnsi="Arial" w:cs="Arial"/>
          <w:b/>
          <w:bCs/>
          <w:color w:val="000000" w:themeColor="text1"/>
        </w:rPr>
      </w:pPr>
    </w:p>
    <w:p w14:paraId="4851E2C9" w14:textId="77777777" w:rsidR="00AE02A1" w:rsidRDefault="00AE02A1" w:rsidP="00AE02A1">
      <w:pPr>
        <w:spacing w:after="0" w:line="276" w:lineRule="auto"/>
        <w:jc w:val="both"/>
        <w:rPr>
          <w:rFonts w:ascii="Arial" w:eastAsia="Calibri" w:hAnsi="Arial" w:cs="Arial"/>
          <w:color w:val="000000" w:themeColor="text1"/>
        </w:rPr>
      </w:pPr>
      <w:r>
        <w:rPr>
          <w:rFonts w:ascii="Arial" w:eastAsia="Calibri" w:hAnsi="Arial" w:cs="Arial"/>
          <w:color w:val="000000" w:themeColor="text1"/>
        </w:rPr>
        <w:t xml:space="preserve">Salvo las convocatorias limitadas a </w:t>
      </w:r>
      <w:proofErr w:type="spellStart"/>
      <w:r>
        <w:rPr>
          <w:rFonts w:ascii="Arial" w:eastAsia="Calibri" w:hAnsi="Arial" w:cs="Arial"/>
          <w:color w:val="000000" w:themeColor="text1"/>
        </w:rPr>
        <w:t>Mipymes</w:t>
      </w:r>
      <w:proofErr w:type="spellEnd"/>
      <w:r>
        <w:rPr>
          <w:rFonts w:ascii="Arial" w:eastAsia="Calibri" w:hAnsi="Arial" w:cs="Arial"/>
          <w:color w:val="000000" w:themeColor="text1"/>
        </w:rPr>
        <w:t xml:space="preserve"> nacionales o territoriales que se explicarán en el acápite siguiente, los principios de igualdad y concurrencia rigen en los procedimientos de selección competitivos de las entidades sometidas al Estatuto General de Contratación. Esto significa que debe garantizarse la pluralidad de oferentes como condición necesaria para escoger la oferta más favorable a los intereses de la entidad. Esta prohibición de trato discriminatorio respecto a la posibilidad que tienen los proponentes de presentarse a las licitaciones o concursos es acorde al principio de selección objetiva, el cual define el artículo 5 de la Ley 1150 de 2007 como la escogencia realizada </w:t>
      </w:r>
      <w:r w:rsidRPr="00FA1F92">
        <w:rPr>
          <w:rFonts w:ascii="Arial" w:eastAsia="Calibri" w:hAnsi="Arial" w:cs="Arial"/>
          <w:color w:val="000000" w:themeColor="text1"/>
        </w:rPr>
        <w:t xml:space="preserve">sin tener en consideración factores </w:t>
      </w:r>
      <w:r w:rsidRPr="00FA1F92">
        <w:rPr>
          <w:rFonts w:ascii="Arial" w:eastAsia="Calibri" w:hAnsi="Arial" w:cs="Arial"/>
          <w:color w:val="000000" w:themeColor="text1"/>
        </w:rPr>
        <w:lastRenderedPageBreak/>
        <w:t>de afecto o de interés y, en general, cualquier clase de motivación subjetiva</w:t>
      </w:r>
      <w:r>
        <w:rPr>
          <w:rFonts w:ascii="Arial" w:eastAsia="Calibri" w:hAnsi="Arial" w:cs="Arial"/>
          <w:color w:val="000000" w:themeColor="text1"/>
        </w:rPr>
        <w:t>. En el mismo sentido, la doctrina considera que:</w:t>
      </w:r>
    </w:p>
    <w:p w14:paraId="0876096C" w14:textId="77777777" w:rsidR="00AE02A1" w:rsidRDefault="00AE02A1" w:rsidP="00AE02A1">
      <w:pPr>
        <w:spacing w:after="0" w:line="276" w:lineRule="auto"/>
        <w:jc w:val="both"/>
        <w:rPr>
          <w:rFonts w:ascii="Arial" w:eastAsia="Calibri" w:hAnsi="Arial" w:cs="Arial"/>
          <w:color w:val="000000" w:themeColor="text1"/>
        </w:rPr>
      </w:pPr>
    </w:p>
    <w:p w14:paraId="335423E4" w14:textId="77777777" w:rsidR="00AE02A1" w:rsidRPr="00B01626" w:rsidRDefault="00AE02A1" w:rsidP="00AE02A1">
      <w:pPr>
        <w:spacing w:after="0" w:line="240" w:lineRule="auto"/>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Pr="00B01626">
        <w:rPr>
          <w:rFonts w:ascii="Arial" w:eastAsia="Calibri" w:hAnsi="Arial" w:cs="Arial"/>
          <w:color w:val="000000" w:themeColor="text1"/>
          <w:sz w:val="21"/>
          <w:szCs w:val="21"/>
        </w:rPr>
        <w:t>La concurrencia tiene por objeto lograr que al</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procedimiento licitatorio se presente la</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mayor cantidad posible de oferentes;</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porque si</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lo que la Administración pretende para satisfacer en la mejor forma sus intereses públicos, es contratar con</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el</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particular que ofrezca las</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mejores</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garantías</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para el</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cumplimiento del objeto contractual, es necesario que a la compulsa hayan podido acudir todos</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los</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interesados</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en</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participar que estén capacitados para</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brindar la prestación requerida.</w:t>
      </w:r>
    </w:p>
    <w:p w14:paraId="3DF1A963" w14:textId="77777777" w:rsidR="00AE02A1" w:rsidRPr="00B01626" w:rsidRDefault="00AE02A1" w:rsidP="00AE02A1">
      <w:pPr>
        <w:spacing w:after="120" w:line="240" w:lineRule="auto"/>
        <w:ind w:left="709" w:right="709"/>
        <w:jc w:val="both"/>
        <w:rPr>
          <w:rFonts w:ascii="Arial" w:eastAsia="Calibri" w:hAnsi="Arial" w:cs="Arial"/>
          <w:color w:val="000000" w:themeColor="text1"/>
          <w:sz w:val="21"/>
          <w:szCs w:val="21"/>
        </w:rPr>
      </w:pPr>
      <w:r w:rsidRPr="00B01626">
        <w:rPr>
          <w:rFonts w:ascii="Arial" w:eastAsia="Calibri" w:hAnsi="Arial" w:cs="Arial"/>
          <w:color w:val="000000" w:themeColor="text1"/>
          <w:sz w:val="21"/>
          <w:szCs w:val="21"/>
        </w:rPr>
        <w:t>[…]</w:t>
      </w:r>
    </w:p>
    <w:p w14:paraId="7AFC0058" w14:textId="77777777" w:rsidR="00AE02A1" w:rsidRPr="00B01626" w:rsidRDefault="00AE02A1" w:rsidP="00AE02A1">
      <w:pPr>
        <w:spacing w:after="120" w:line="240" w:lineRule="auto"/>
        <w:ind w:left="709" w:right="709"/>
        <w:jc w:val="both"/>
        <w:rPr>
          <w:rFonts w:ascii="Arial" w:eastAsia="Calibri" w:hAnsi="Arial" w:cs="Arial"/>
          <w:color w:val="000000" w:themeColor="text1"/>
          <w:sz w:val="21"/>
          <w:szCs w:val="21"/>
        </w:rPr>
      </w:pPr>
      <w:r w:rsidRPr="00B01626">
        <w:rPr>
          <w:rFonts w:ascii="Arial" w:eastAsia="Calibri" w:hAnsi="Arial" w:cs="Arial"/>
          <w:color w:val="000000" w:themeColor="text1"/>
          <w:sz w:val="21"/>
          <w:szCs w:val="21"/>
        </w:rPr>
        <w:t>La concurrencia no significa enfrentamiento en el sentido de disputa entre los</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interesados,</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ella no</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supone el</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litigio en</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el</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sentido técnico procesal;</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es decir,</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que no</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hay</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litis,</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porque</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los</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participantes</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no</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acuden</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ante</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la</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autoridad administrativa para que ésta resuelva, como juez, un conflicto jurídico; los participantes son, en realidad, proponentes cuya actividad se limita, en principio, a presentar sus antecedentes y propuestas, en orden al emprendimiento licitado.</w:t>
      </w:r>
    </w:p>
    <w:p w14:paraId="30A637D1" w14:textId="77777777" w:rsidR="00AE02A1" w:rsidRDefault="00AE02A1" w:rsidP="00AE02A1">
      <w:pPr>
        <w:spacing w:after="0" w:line="240" w:lineRule="auto"/>
        <w:ind w:left="709" w:right="709"/>
        <w:jc w:val="both"/>
        <w:rPr>
          <w:rFonts w:ascii="Arial" w:eastAsia="Calibri" w:hAnsi="Arial" w:cs="Arial"/>
          <w:color w:val="000000" w:themeColor="text1"/>
        </w:rPr>
      </w:pPr>
      <w:r w:rsidRPr="00B01626">
        <w:rPr>
          <w:rFonts w:ascii="Arial" w:eastAsia="Calibri" w:hAnsi="Arial" w:cs="Arial"/>
          <w:color w:val="000000" w:themeColor="text1"/>
          <w:sz w:val="21"/>
          <w:szCs w:val="21"/>
        </w:rPr>
        <w:t>Existe, sí, oposición, la que consiste en</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un</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procedimiento selectivo que da lugar a que se comparen y evalúen las distintas ofertas, para escoger de entre ellas la</w:t>
      </w:r>
      <w:r>
        <w:rPr>
          <w:rFonts w:ascii="Arial" w:eastAsia="Calibri" w:hAnsi="Arial" w:cs="Arial"/>
          <w:color w:val="000000" w:themeColor="text1"/>
          <w:sz w:val="21"/>
          <w:szCs w:val="21"/>
        </w:rPr>
        <w:t xml:space="preserve"> </w:t>
      </w:r>
      <w:r w:rsidRPr="00B01626">
        <w:rPr>
          <w:rFonts w:ascii="Arial" w:eastAsia="Calibri" w:hAnsi="Arial" w:cs="Arial"/>
          <w:color w:val="000000" w:themeColor="text1"/>
          <w:sz w:val="21"/>
          <w:szCs w:val="21"/>
        </w:rPr>
        <w:t>más conveniente; pero no se da entre los postulantes una situación de contienda, sino, en todo caso, de competencia industrial, comercial, profesional, técnica o de todas ellas combinadas, entre quienes aspiran a ser admitidos en igualdad de condiciones en ese procedimiento y tratados con equidad</w:t>
      </w:r>
      <w:r>
        <w:rPr>
          <w:rFonts w:ascii="Arial" w:eastAsia="Calibri" w:hAnsi="Arial" w:cs="Arial"/>
          <w:color w:val="000000" w:themeColor="text1"/>
          <w:sz w:val="21"/>
          <w:szCs w:val="21"/>
        </w:rPr>
        <w:t>”</w:t>
      </w:r>
      <w:r>
        <w:rPr>
          <w:rStyle w:val="Refdenotaalpie"/>
          <w:rFonts w:ascii="Arial" w:eastAsia="Calibri" w:hAnsi="Arial" w:cs="Arial"/>
          <w:color w:val="000000" w:themeColor="text1"/>
          <w:sz w:val="21"/>
          <w:szCs w:val="21"/>
        </w:rPr>
        <w:footnoteReference w:id="7"/>
      </w:r>
      <w:r w:rsidRPr="00B01626">
        <w:rPr>
          <w:rFonts w:ascii="Arial" w:eastAsia="Calibri" w:hAnsi="Arial" w:cs="Arial"/>
          <w:color w:val="000000" w:themeColor="text1"/>
          <w:sz w:val="21"/>
          <w:szCs w:val="21"/>
        </w:rPr>
        <w:t>.</w:t>
      </w:r>
    </w:p>
    <w:p w14:paraId="73B80C89" w14:textId="77777777" w:rsidR="00AE02A1" w:rsidRDefault="00AE02A1" w:rsidP="00AE02A1">
      <w:pPr>
        <w:spacing w:after="0" w:line="276" w:lineRule="auto"/>
        <w:jc w:val="both"/>
        <w:rPr>
          <w:rFonts w:ascii="Arial" w:eastAsia="Calibri" w:hAnsi="Arial" w:cs="Arial"/>
          <w:color w:val="000000" w:themeColor="text1"/>
        </w:rPr>
      </w:pPr>
    </w:p>
    <w:p w14:paraId="76C5EC23" w14:textId="77777777" w:rsidR="00AE02A1" w:rsidRDefault="00AE02A1" w:rsidP="00AE02A1">
      <w:pPr>
        <w:spacing w:after="120" w:line="276" w:lineRule="auto"/>
        <w:ind w:firstLine="708"/>
        <w:jc w:val="both"/>
        <w:rPr>
          <w:rFonts w:ascii="Arial" w:eastAsia="Calibri" w:hAnsi="Arial" w:cs="Arial"/>
          <w:color w:val="000000" w:themeColor="text1"/>
        </w:rPr>
      </w:pPr>
      <w:r>
        <w:rPr>
          <w:rFonts w:ascii="Arial" w:eastAsia="Calibri" w:hAnsi="Arial" w:cs="Arial"/>
          <w:color w:val="000000" w:themeColor="text1"/>
        </w:rPr>
        <w:t>E</w:t>
      </w:r>
      <w:r w:rsidRPr="0069679C">
        <w:rPr>
          <w:rFonts w:ascii="Arial" w:eastAsia="Calibri" w:hAnsi="Arial" w:cs="Arial"/>
          <w:color w:val="000000" w:themeColor="text1"/>
        </w:rPr>
        <w:t xml:space="preserve">l principio jurídico de la libre concurrencia </w:t>
      </w:r>
      <w:r>
        <w:rPr>
          <w:rFonts w:ascii="Arial" w:eastAsia="Calibri" w:hAnsi="Arial" w:cs="Arial"/>
          <w:color w:val="000000" w:themeColor="text1"/>
        </w:rPr>
        <w:t>garantiza la</w:t>
      </w:r>
      <w:r w:rsidRPr="0069679C">
        <w:rPr>
          <w:rFonts w:ascii="Arial" w:eastAsia="Calibri" w:hAnsi="Arial" w:cs="Arial"/>
          <w:color w:val="000000" w:themeColor="text1"/>
        </w:rPr>
        <w:t xml:space="preserve"> oposición entre los oferentes, </w:t>
      </w:r>
      <w:r>
        <w:rPr>
          <w:rFonts w:ascii="Arial" w:eastAsia="Calibri" w:hAnsi="Arial" w:cs="Arial"/>
          <w:color w:val="000000" w:themeColor="text1"/>
        </w:rPr>
        <w:t>y –</w:t>
      </w:r>
      <w:r w:rsidRPr="0069679C">
        <w:rPr>
          <w:rFonts w:ascii="Arial" w:eastAsia="Calibri" w:hAnsi="Arial" w:cs="Arial"/>
          <w:color w:val="000000" w:themeColor="text1"/>
        </w:rPr>
        <w:t>como contrapartida</w:t>
      </w:r>
      <w:r>
        <w:rPr>
          <w:rFonts w:ascii="Arial" w:eastAsia="Calibri" w:hAnsi="Arial" w:cs="Arial"/>
          <w:color w:val="000000" w:themeColor="text1"/>
        </w:rPr>
        <w:t>– establece una</w:t>
      </w:r>
      <w:r w:rsidRPr="0069679C">
        <w:rPr>
          <w:rFonts w:ascii="Arial" w:eastAsia="Calibri" w:hAnsi="Arial" w:cs="Arial"/>
          <w:color w:val="000000" w:themeColor="text1"/>
        </w:rPr>
        <w:t xml:space="preserve"> prohibición para el Estado </w:t>
      </w:r>
      <w:r>
        <w:rPr>
          <w:rFonts w:ascii="Arial" w:eastAsia="Calibri" w:hAnsi="Arial" w:cs="Arial"/>
          <w:color w:val="000000" w:themeColor="text1"/>
        </w:rPr>
        <w:t>de restringir su participación</w:t>
      </w:r>
      <w:r>
        <w:rPr>
          <w:rStyle w:val="Refdenotaalpie"/>
          <w:rFonts w:ascii="Arial" w:eastAsia="Calibri" w:hAnsi="Arial" w:cs="Arial"/>
          <w:color w:val="000000" w:themeColor="text1"/>
        </w:rPr>
        <w:footnoteReference w:id="8"/>
      </w:r>
      <w:r>
        <w:rPr>
          <w:rFonts w:ascii="Arial" w:eastAsia="Calibri" w:hAnsi="Arial" w:cs="Arial"/>
          <w:color w:val="000000" w:themeColor="text1"/>
        </w:rPr>
        <w:t xml:space="preserve">. En esta perspectiva, es una derivación del principio de igualdad, pues supone la intervención del mayor número de candidatos en un régimen de libre competencia. Ambos se concretan en la prohibición de limitar la presentación de ofertas, pues son importantes para evitar discriminaciones por razón de la nacionalidad pretendiendo favorecer a los nacionales frente a extranjeros, y también se oponen a la exigencia de criterios de territorialidad que vulneren la libertad de empresa en una </w:t>
      </w:r>
      <w:r>
        <w:rPr>
          <w:rFonts w:ascii="Arial" w:eastAsia="Calibri" w:hAnsi="Arial" w:cs="Arial"/>
          <w:color w:val="000000" w:themeColor="text1"/>
        </w:rPr>
        <w:lastRenderedPageBreak/>
        <w:t>economía de mercado</w:t>
      </w:r>
      <w:r>
        <w:rPr>
          <w:rStyle w:val="Refdenotaalpie"/>
          <w:rFonts w:ascii="Arial" w:eastAsia="Calibri" w:hAnsi="Arial" w:cs="Arial"/>
          <w:color w:val="000000" w:themeColor="text1"/>
        </w:rPr>
        <w:footnoteReference w:id="9"/>
      </w:r>
      <w:r>
        <w:rPr>
          <w:rFonts w:ascii="Arial" w:eastAsia="Calibri" w:hAnsi="Arial" w:cs="Arial"/>
          <w:color w:val="000000" w:themeColor="text1"/>
        </w:rPr>
        <w:t>. Por ello, en el Concepto</w:t>
      </w:r>
      <w:r>
        <w:rPr>
          <w:rFonts w:ascii="Arial" w:eastAsia="Calibri" w:hAnsi="Arial" w:cs="Arial"/>
          <w:color w:val="000000" w:themeColor="text1"/>
          <w:lang w:val="es-ES"/>
        </w:rPr>
        <w:t xml:space="preserve"> </w:t>
      </w:r>
      <w:r w:rsidRPr="00784C45">
        <w:rPr>
          <w:rFonts w:ascii="Arial" w:eastAsia="Calibri" w:hAnsi="Arial" w:cs="Arial"/>
          <w:color w:val="000000" w:themeColor="text1"/>
          <w:lang w:val="es-ES"/>
        </w:rPr>
        <w:t>2201913000006511</w:t>
      </w:r>
      <w:r>
        <w:rPr>
          <w:rFonts w:ascii="Arial" w:eastAsia="Calibri" w:hAnsi="Arial" w:cs="Arial"/>
          <w:color w:val="000000" w:themeColor="text1"/>
          <w:lang w:val="es-ES"/>
        </w:rPr>
        <w:t xml:space="preserve"> del 3 de septiembre de 2019, la Agencia sostuvo que, </w:t>
      </w:r>
      <w:r w:rsidRPr="005850DF">
        <w:rPr>
          <w:rFonts w:ascii="Arial" w:eastAsia="Calibri" w:hAnsi="Arial" w:cs="Arial"/>
          <w:color w:val="000000" w:themeColor="text1"/>
          <w:lang w:val="es-ES"/>
        </w:rPr>
        <w:t xml:space="preserve">por regla general, </w:t>
      </w:r>
      <w:r>
        <w:rPr>
          <w:rFonts w:ascii="Arial" w:eastAsia="Calibri" w:hAnsi="Arial" w:cs="Arial"/>
          <w:color w:val="000000" w:themeColor="text1"/>
          <w:lang w:val="es-ES"/>
        </w:rPr>
        <w:t>las entidades no pueden exigir</w:t>
      </w:r>
      <w:r w:rsidRPr="005850DF">
        <w:rPr>
          <w:rFonts w:ascii="Arial" w:eastAsia="Calibri" w:hAnsi="Arial" w:cs="Arial"/>
          <w:color w:val="000000" w:themeColor="text1"/>
          <w:lang w:val="es-ES"/>
        </w:rPr>
        <w:t xml:space="preserve"> como requisito habilitante que el proponente tenga residencia en el lugar donde se ejecutará el contrato,</w:t>
      </w:r>
      <w:r>
        <w:rPr>
          <w:rFonts w:ascii="Arial" w:eastAsia="Calibri" w:hAnsi="Arial" w:cs="Arial"/>
          <w:color w:val="000000" w:themeColor="text1"/>
          <w:lang w:val="es-ES"/>
        </w:rPr>
        <w:t xml:space="preserve"> pues</w:t>
      </w:r>
      <w:r w:rsidRPr="005850DF">
        <w:rPr>
          <w:rFonts w:ascii="Arial" w:eastAsia="Calibri" w:hAnsi="Arial" w:cs="Arial"/>
          <w:color w:val="000000" w:themeColor="text1"/>
          <w:lang w:val="es-ES"/>
        </w:rPr>
        <w:t xml:space="preserve"> afecta la libre competencia de los procesos de contratación y es una cláusula discriminatoria, sin dejar de lado que no garantiza la aptitud del proponente para </w:t>
      </w:r>
      <w:r>
        <w:rPr>
          <w:rFonts w:ascii="Arial" w:eastAsia="Calibri" w:hAnsi="Arial" w:cs="Arial"/>
          <w:color w:val="000000" w:themeColor="text1"/>
          <w:lang w:val="es-ES"/>
        </w:rPr>
        <w:t>ejecutar</w:t>
      </w:r>
      <w:r w:rsidRPr="005850DF">
        <w:rPr>
          <w:rFonts w:ascii="Arial" w:eastAsia="Calibri" w:hAnsi="Arial" w:cs="Arial"/>
          <w:color w:val="000000" w:themeColor="text1"/>
          <w:lang w:val="es-ES"/>
        </w:rPr>
        <w:t xml:space="preserve"> el objeto del contrato</w:t>
      </w:r>
      <w:r>
        <w:rPr>
          <w:rStyle w:val="Refdenotaalpie"/>
          <w:rFonts w:ascii="Arial" w:eastAsia="Calibri" w:hAnsi="Arial" w:cs="Arial"/>
          <w:color w:val="000000" w:themeColor="text1"/>
          <w:lang w:val="es-ES"/>
        </w:rPr>
        <w:footnoteReference w:id="10"/>
      </w:r>
      <w:r>
        <w:rPr>
          <w:rFonts w:ascii="Arial" w:eastAsia="Calibri" w:hAnsi="Arial" w:cs="Arial"/>
          <w:color w:val="000000" w:themeColor="text1"/>
          <w:lang w:val="es-ES"/>
        </w:rPr>
        <w:t xml:space="preserve"> </w:t>
      </w:r>
      <w:r>
        <w:rPr>
          <w:rStyle w:val="Refdenotaalpie"/>
          <w:rFonts w:ascii="Arial" w:eastAsia="Calibri" w:hAnsi="Arial" w:cs="Arial"/>
          <w:color w:val="000000" w:themeColor="text1"/>
          <w:lang w:val="es-ES"/>
        </w:rPr>
        <w:footnoteReference w:id="11"/>
      </w:r>
      <w:r>
        <w:rPr>
          <w:rFonts w:ascii="Arial" w:eastAsia="Calibri" w:hAnsi="Arial" w:cs="Arial"/>
          <w:color w:val="000000" w:themeColor="text1"/>
          <w:lang w:val="es-ES"/>
        </w:rPr>
        <w:t>.</w:t>
      </w:r>
      <w:r>
        <w:rPr>
          <w:rFonts w:ascii="Arial" w:eastAsia="Calibri" w:hAnsi="Arial" w:cs="Arial"/>
          <w:color w:val="000000" w:themeColor="text1"/>
        </w:rPr>
        <w:t xml:space="preserve">    </w:t>
      </w:r>
    </w:p>
    <w:p w14:paraId="2200EB09" w14:textId="77777777" w:rsidR="00AE02A1" w:rsidRDefault="00AE02A1" w:rsidP="00AE02A1">
      <w:pPr>
        <w:spacing w:before="120" w:after="120" w:line="276" w:lineRule="auto"/>
        <w:ind w:firstLine="708"/>
        <w:jc w:val="both"/>
        <w:rPr>
          <w:rFonts w:ascii="Arial" w:eastAsia="Calibri" w:hAnsi="Arial" w:cs="Arial"/>
          <w:color w:val="000000"/>
          <w:lang w:val="es-ES_tradnl"/>
        </w:rPr>
      </w:pPr>
      <w:r>
        <w:rPr>
          <w:rFonts w:ascii="Arial" w:eastAsia="Calibri" w:hAnsi="Arial" w:cs="Arial"/>
          <w:color w:val="000000"/>
          <w:lang w:val="es-ES_tradnl"/>
        </w:rPr>
        <w:t>Lo anterior es congruente con el inciso primero del artículo 13 superior, el cual dispone que “</w:t>
      </w:r>
      <w:r w:rsidRPr="000B1F26">
        <w:rPr>
          <w:rFonts w:ascii="Arial" w:eastAsia="Calibri" w:hAnsi="Arial" w:cs="Arial"/>
          <w:color w:val="000000"/>
          <w:lang w:val="es-ES_tradnl"/>
        </w:rPr>
        <w:t xml:space="preserve">Todas las personas nacen libres e iguales ante la ley, recibirán la misma protección y trato de las autoridades y gozarán de los mismos derechos, libertades y oportunidades sin ninguna discriminación por razones </w:t>
      </w:r>
      <w:r>
        <w:rPr>
          <w:rFonts w:ascii="Arial" w:eastAsia="Calibri" w:hAnsi="Arial" w:cs="Arial"/>
          <w:color w:val="000000"/>
          <w:lang w:val="es-ES_tradnl"/>
        </w:rPr>
        <w:t>[…]</w:t>
      </w:r>
      <w:r w:rsidRPr="000B1F26">
        <w:rPr>
          <w:rFonts w:ascii="Arial" w:eastAsia="Calibri" w:hAnsi="Arial" w:cs="Arial"/>
          <w:color w:val="000000"/>
          <w:lang w:val="es-ES_tradnl"/>
        </w:rPr>
        <w:t xml:space="preserve"> origen nacional </w:t>
      </w:r>
      <w:r>
        <w:rPr>
          <w:rFonts w:ascii="Arial" w:eastAsia="Calibri" w:hAnsi="Arial" w:cs="Arial"/>
          <w:color w:val="000000"/>
          <w:lang w:val="es-ES_tradnl"/>
        </w:rPr>
        <w:t>[…]”</w:t>
      </w:r>
      <w:r w:rsidRPr="000B1F26">
        <w:rPr>
          <w:rFonts w:ascii="Arial" w:eastAsia="Calibri" w:hAnsi="Arial" w:cs="Arial"/>
          <w:color w:val="000000"/>
          <w:lang w:val="es-ES_tradnl"/>
        </w:rPr>
        <w:t xml:space="preserve">. </w:t>
      </w:r>
      <w:r>
        <w:rPr>
          <w:rFonts w:ascii="Arial" w:eastAsia="Calibri" w:hAnsi="Arial" w:cs="Arial"/>
          <w:color w:val="000000"/>
          <w:lang w:val="es-ES_tradnl"/>
        </w:rPr>
        <w:t>Asimismo, conforme al artículo 100 constitucional, “</w:t>
      </w:r>
      <w:r w:rsidRPr="006F1794">
        <w:rPr>
          <w:rFonts w:ascii="Arial" w:eastAsia="Calibri" w:hAnsi="Arial" w:cs="Arial"/>
          <w:i/>
          <w:iCs/>
          <w:color w:val="000000"/>
          <w:lang w:val="es-ES_tradnl"/>
        </w:rPr>
        <w:t>Los extranjeros disfrutarán en Colombia de los mismos derechos civiles que se conceden a los colombianos</w:t>
      </w:r>
      <w:r w:rsidRPr="006F1794">
        <w:rPr>
          <w:rFonts w:ascii="Arial" w:eastAsia="Calibri" w:hAnsi="Arial" w:cs="Arial"/>
          <w:color w:val="000000"/>
          <w:lang w:val="es-ES_tradnl"/>
        </w:rPr>
        <w:t>. No obstante, la ley podrá, por razones de orden público, subordinar a condiciones especiales o negar el ejercicio de determinados derechos civiles a los extranjeros</w:t>
      </w:r>
      <w:r>
        <w:rPr>
          <w:rFonts w:ascii="Arial" w:eastAsia="Calibri" w:hAnsi="Arial" w:cs="Arial"/>
          <w:color w:val="000000"/>
          <w:lang w:val="es-ES_tradnl"/>
        </w:rPr>
        <w:t xml:space="preserve">” (Énfasis fuera de texto). De esta manera, como explica la Corte Constitucional en la Sentencia T-147 de 1996, con ponencia de </w:t>
      </w:r>
      <w:r w:rsidRPr="00D329E6">
        <w:rPr>
          <w:rFonts w:ascii="Arial" w:eastAsia="Calibri" w:hAnsi="Arial" w:cs="Arial"/>
          <w:color w:val="000000"/>
          <w:lang w:val="es-ES_tradnl"/>
        </w:rPr>
        <w:t>Eduardo Cifuentes Muñoz</w:t>
      </w:r>
      <w:r>
        <w:rPr>
          <w:rFonts w:ascii="Arial" w:eastAsia="Calibri" w:hAnsi="Arial" w:cs="Arial"/>
          <w:color w:val="000000"/>
          <w:lang w:val="es-ES_tradnl"/>
        </w:rPr>
        <w:t xml:space="preserve">, “[…] </w:t>
      </w:r>
      <w:r w:rsidRPr="00D329E6">
        <w:rPr>
          <w:rFonts w:ascii="Arial" w:eastAsia="Calibri" w:hAnsi="Arial" w:cs="Arial"/>
          <w:color w:val="000000"/>
          <w:lang w:val="es-ES_tradnl"/>
        </w:rPr>
        <w:t xml:space="preserve">Es evidente que si la Carta excluye la diferenciación de trato sustentado en el origen nacional, está igualmente descartada, inclusive de una manera </w:t>
      </w:r>
      <w:r w:rsidRPr="00D329E6">
        <w:rPr>
          <w:rFonts w:ascii="Arial" w:eastAsia="Calibri" w:hAnsi="Arial" w:cs="Arial"/>
          <w:color w:val="000000"/>
          <w:lang w:val="es-ES_tradnl"/>
        </w:rPr>
        <w:lastRenderedPageBreak/>
        <w:t>más perentoria, la discriminación entre nacionales</w:t>
      </w:r>
      <w:r>
        <w:rPr>
          <w:rFonts w:ascii="Arial" w:eastAsia="Calibri" w:hAnsi="Arial" w:cs="Arial"/>
          <w:color w:val="000000"/>
          <w:lang w:val="es-ES_tradnl"/>
        </w:rPr>
        <w:t xml:space="preserve"> […]”, lo que reitera la prohibición de trato desigual por razón de la nacionalidad o el territorio. </w:t>
      </w:r>
    </w:p>
    <w:p w14:paraId="1845768A" w14:textId="77777777" w:rsidR="00AE02A1" w:rsidRDefault="00AE02A1" w:rsidP="00AE02A1">
      <w:pPr>
        <w:spacing w:before="120" w:after="120" w:line="276" w:lineRule="auto"/>
        <w:ind w:firstLine="708"/>
        <w:jc w:val="both"/>
        <w:rPr>
          <w:rFonts w:ascii="Arial" w:eastAsia="Calibri" w:hAnsi="Arial" w:cs="Arial"/>
          <w:color w:val="000000"/>
          <w:lang w:val="es-ES_tradnl"/>
        </w:rPr>
      </w:pPr>
      <w:r>
        <w:rPr>
          <w:rFonts w:ascii="Arial" w:eastAsia="Calibri" w:hAnsi="Arial" w:cs="Arial"/>
          <w:color w:val="000000"/>
          <w:lang w:val="es-ES_tradnl"/>
        </w:rPr>
        <w:t xml:space="preserve">Por lo demás, </w:t>
      </w:r>
      <w:r w:rsidRPr="00986C37">
        <w:rPr>
          <w:rFonts w:ascii="Arial" w:hAnsi="Arial" w:cs="Arial"/>
          <w:color w:val="000000" w:themeColor="text1"/>
        </w:rPr>
        <w:t>en concordancia con el numeral 1 del artículo 1502 del Código Civil</w:t>
      </w:r>
      <w:r w:rsidRPr="00986C37">
        <w:rPr>
          <w:rStyle w:val="Refdenotaalpie"/>
          <w:rFonts w:ascii="Arial" w:hAnsi="Arial" w:cs="Arial"/>
          <w:color w:val="000000" w:themeColor="text1"/>
        </w:rPr>
        <w:footnoteReference w:id="12"/>
      </w:r>
      <w:r w:rsidRPr="00986C37">
        <w:rPr>
          <w:rFonts w:ascii="Arial" w:hAnsi="Arial" w:cs="Arial"/>
          <w:color w:val="000000" w:themeColor="text1"/>
        </w:rPr>
        <w:t>, el</w:t>
      </w:r>
      <w:r>
        <w:rPr>
          <w:rFonts w:ascii="Arial" w:hAnsi="Arial" w:cs="Arial"/>
          <w:color w:val="000000" w:themeColor="text1"/>
        </w:rPr>
        <w:t xml:space="preserve"> inciso primero del</w:t>
      </w:r>
      <w:r w:rsidRPr="00986C37">
        <w:rPr>
          <w:rFonts w:ascii="Arial" w:hAnsi="Arial" w:cs="Arial"/>
          <w:color w:val="000000" w:themeColor="text1"/>
        </w:rPr>
        <w:t xml:space="preserve"> artículo 6 de la Ley 80 de 1993 </w:t>
      </w:r>
      <w:r>
        <w:rPr>
          <w:rFonts w:ascii="Arial" w:hAnsi="Arial" w:cs="Arial"/>
          <w:color w:val="000000" w:themeColor="text1"/>
        </w:rPr>
        <w:t xml:space="preserve">–modificado por el artículo 1 de la Ley 2160 de 2021– </w:t>
      </w:r>
      <w:r w:rsidRPr="00986C37">
        <w:rPr>
          <w:rFonts w:ascii="Arial" w:hAnsi="Arial" w:cs="Arial"/>
          <w:color w:val="000000" w:themeColor="text1"/>
        </w:rPr>
        <w:t xml:space="preserve">dispone que </w:t>
      </w:r>
      <w:r>
        <w:rPr>
          <w:rFonts w:ascii="Arial" w:hAnsi="Arial" w:cs="Arial"/>
          <w:color w:val="000000" w:themeColor="text1"/>
        </w:rPr>
        <w:t>“</w:t>
      </w:r>
      <w:r w:rsidRPr="00986C37">
        <w:rPr>
          <w:rFonts w:ascii="Arial" w:hAnsi="Arial" w:cs="Arial"/>
          <w:color w:val="000000" w:themeColor="text1"/>
        </w:rPr>
        <w:t>Pueden celebrar contratos con las entidades estatales las personas consideradas legalmente capaces en las disposiciones vigentes</w:t>
      </w:r>
      <w:r>
        <w:rPr>
          <w:rFonts w:ascii="Arial" w:hAnsi="Arial" w:cs="Arial"/>
          <w:color w:val="000000" w:themeColor="text1"/>
        </w:rPr>
        <w:t xml:space="preserve"> […]”. Esta norma es acorde al reconocimiento de la personalidad jurídica del artículo 16 constitucional, de donde </w:t>
      </w:r>
      <w:r>
        <w:rPr>
          <w:rFonts w:ascii="Arial" w:eastAsia="Calibri" w:hAnsi="Arial" w:cs="Arial"/>
          <w:color w:val="000000"/>
          <w:lang w:val="es-ES_tradnl"/>
        </w:rPr>
        <w:t>se infiere que las personas extranjeras –al igual que las nacionales– pueden concurrir en la celebración de contratos estatales, siempre que no se encuentren en alguna causal de inhabilidad o incompatibilidad que la afecte</w:t>
      </w:r>
      <w:r>
        <w:rPr>
          <w:rStyle w:val="Refdenotaalpie"/>
          <w:rFonts w:ascii="Arial" w:eastAsia="Calibri" w:hAnsi="Arial" w:cs="Arial"/>
          <w:color w:val="000000"/>
          <w:lang w:val="es-ES_tradnl"/>
        </w:rPr>
        <w:footnoteReference w:id="13"/>
      </w:r>
      <w:r>
        <w:rPr>
          <w:rFonts w:ascii="Arial" w:eastAsia="Calibri" w:hAnsi="Arial" w:cs="Arial"/>
          <w:color w:val="000000"/>
          <w:lang w:val="es-ES_tradnl"/>
        </w:rPr>
        <w:t xml:space="preserve">.  </w:t>
      </w:r>
    </w:p>
    <w:p w14:paraId="3BE13D70" w14:textId="77777777" w:rsidR="00AE02A1" w:rsidRPr="00E313EF" w:rsidRDefault="00AE02A1" w:rsidP="00AE02A1">
      <w:pPr>
        <w:tabs>
          <w:tab w:val="left" w:pos="0"/>
        </w:tabs>
        <w:spacing w:line="276" w:lineRule="auto"/>
        <w:jc w:val="both"/>
        <w:rPr>
          <w:rFonts w:ascii="Arial" w:eastAsia="Calibri" w:hAnsi="Arial" w:cs="Arial"/>
          <w:bCs/>
          <w:color w:val="000000" w:themeColor="text1"/>
          <w:lang w:val="es-ES_tradnl"/>
        </w:rPr>
      </w:pPr>
      <w:r>
        <w:rPr>
          <w:rFonts w:ascii="Arial" w:eastAsia="Calibri" w:hAnsi="Arial" w:cs="Arial"/>
          <w:color w:val="000000"/>
          <w:lang w:val="es-ES_tradnl"/>
        </w:rPr>
        <w:tab/>
        <w:t>Esta posibilidad de que los extranjeros concurran a los procedimientos de selección adelantados en Colombia también se fundamenta en el artículo 20 de la Ley 80 de 1993</w:t>
      </w:r>
      <w:r w:rsidRPr="00E313EF">
        <w:rPr>
          <w:rStyle w:val="Refdenotaalpie"/>
          <w:rFonts w:ascii="Arial" w:eastAsia="Calibri" w:hAnsi="Arial" w:cs="Arial"/>
          <w:bCs/>
          <w:color w:val="000000" w:themeColor="text1"/>
          <w:lang w:val="es-ES_tradnl"/>
        </w:rPr>
        <w:footnoteReference w:id="14"/>
      </w:r>
      <w:r>
        <w:rPr>
          <w:rFonts w:ascii="Arial" w:eastAsia="Calibri" w:hAnsi="Arial" w:cs="Arial"/>
          <w:color w:val="000000"/>
          <w:lang w:val="es-ES_tradnl"/>
        </w:rPr>
        <w:t xml:space="preserve">. Dicha norma </w:t>
      </w:r>
      <w:r w:rsidRPr="00E313EF">
        <w:rPr>
          <w:rFonts w:ascii="Arial" w:eastAsia="Calibri" w:hAnsi="Arial" w:cs="Arial"/>
          <w:bCs/>
          <w:color w:val="000000" w:themeColor="text1"/>
          <w:lang w:val="es-ES_tradnl"/>
        </w:rPr>
        <w:t xml:space="preserve">consagra el </w:t>
      </w:r>
      <w:r w:rsidRPr="00E313EF">
        <w:rPr>
          <w:rFonts w:ascii="Arial" w:eastAsia="Calibri" w:hAnsi="Arial" w:cs="Arial"/>
          <w:bCs/>
          <w:i/>
          <w:iCs/>
          <w:color w:val="000000" w:themeColor="text1"/>
          <w:lang w:val="es-ES_tradnl"/>
        </w:rPr>
        <w:t>principio de reciprocidad</w:t>
      </w:r>
      <w:r w:rsidRPr="00E313EF">
        <w:rPr>
          <w:rFonts w:ascii="Arial" w:eastAsia="Calibri" w:hAnsi="Arial" w:cs="Arial"/>
          <w:bCs/>
          <w:color w:val="000000" w:themeColor="text1"/>
          <w:lang w:val="es-ES_tradnl"/>
        </w:rPr>
        <w:t xml:space="preserve"> en la contratación estatal, entendido como el compromiso asumido por el Estado de brindar a los oferentes de bienes y servicios de origen extranjero un trato semejante al que les conceden a los colombianos en otros </w:t>
      </w:r>
      <w:r w:rsidRPr="00E313EF">
        <w:rPr>
          <w:rFonts w:ascii="Arial" w:eastAsia="Calibri" w:hAnsi="Arial" w:cs="Arial"/>
          <w:bCs/>
          <w:color w:val="000000" w:themeColor="text1"/>
          <w:lang w:val="es-ES_tradnl"/>
        </w:rPr>
        <w:lastRenderedPageBreak/>
        <w:t>Estados con los cuales se ha celebrado acuerdo o tratado comercial, cuando, en ausencia de tratado, se certifica dicha reciprocidad, o en virtud de procesos de integración regional.</w:t>
      </w:r>
    </w:p>
    <w:p w14:paraId="4AFEB918" w14:textId="77777777" w:rsidR="00AE02A1" w:rsidRDefault="00AE02A1" w:rsidP="00AE02A1">
      <w:pPr>
        <w:tabs>
          <w:tab w:val="left" w:pos="0"/>
        </w:tabs>
        <w:spacing w:before="120" w:line="276" w:lineRule="auto"/>
        <w:ind w:firstLine="709"/>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 xml:space="preserve">En otras palabras, el </w:t>
      </w:r>
      <w:r>
        <w:rPr>
          <w:rFonts w:ascii="Arial" w:eastAsia="Calibri" w:hAnsi="Arial" w:cs="Arial"/>
          <w:bCs/>
          <w:i/>
          <w:iCs/>
          <w:color w:val="000000" w:themeColor="text1"/>
          <w:lang w:val="es-ES_tradnl"/>
        </w:rPr>
        <w:t xml:space="preserve">trato nacional </w:t>
      </w:r>
      <w:r>
        <w:rPr>
          <w:rFonts w:ascii="Arial" w:eastAsia="Calibri" w:hAnsi="Arial" w:cs="Arial"/>
          <w:bCs/>
          <w:color w:val="000000" w:themeColor="text1"/>
          <w:lang w:val="es-ES_tradnl"/>
        </w:rPr>
        <w:t xml:space="preserve">consiste en la consideración especial en la asignación de puntaje, que se tiene sobre los oferentes, bienes y servicios colombianos, en los procedimientos de selección, pero que, en virtud del principio de reciprocidad, se extiende a los oferentes, bienes o servicios extranjeros. Dicho privilegio que puede provenir de alguna de estas tres (3) fuentes: i) un tratado o acuerdo comercial en el que se haya negociado dicho trato nacional, </w:t>
      </w:r>
      <w:proofErr w:type="spellStart"/>
      <w:r>
        <w:rPr>
          <w:rFonts w:ascii="Arial" w:eastAsia="Calibri" w:hAnsi="Arial" w:cs="Arial"/>
          <w:bCs/>
          <w:color w:val="000000" w:themeColor="text1"/>
          <w:lang w:val="es-ES_tradnl"/>
        </w:rPr>
        <w:t>ii</w:t>
      </w:r>
      <w:proofErr w:type="spellEnd"/>
      <w:r>
        <w:rPr>
          <w:rFonts w:ascii="Arial" w:eastAsia="Calibri" w:hAnsi="Arial" w:cs="Arial"/>
          <w:bCs/>
          <w:color w:val="000000" w:themeColor="text1"/>
          <w:lang w:val="es-ES_tradnl"/>
        </w:rPr>
        <w:t xml:space="preserve">) un certificado de reciprocidad expedido por el Ministerio de Relaciones Exteriores –ante la ausencia de un tratado o acuerdo comercial– o </w:t>
      </w:r>
      <w:proofErr w:type="spellStart"/>
      <w:r>
        <w:rPr>
          <w:rFonts w:ascii="Arial" w:eastAsia="Calibri" w:hAnsi="Arial" w:cs="Arial"/>
          <w:bCs/>
          <w:color w:val="000000" w:themeColor="text1"/>
          <w:lang w:val="es-ES_tradnl"/>
        </w:rPr>
        <w:t>iii</w:t>
      </w:r>
      <w:proofErr w:type="spellEnd"/>
      <w:r>
        <w:rPr>
          <w:rFonts w:ascii="Arial" w:eastAsia="Calibri" w:hAnsi="Arial" w:cs="Arial"/>
          <w:bCs/>
          <w:color w:val="000000" w:themeColor="text1"/>
          <w:lang w:val="es-ES_tradnl"/>
        </w:rPr>
        <w:t>) la regulación andina. Las tres fuentes se reconocen no solo en el precitado artículo 20 de la Ley 80 de 1993, sino también en el artículo 2.2.1.2.4.1.3. del Decreto 1082 de 2015</w:t>
      </w:r>
      <w:r>
        <w:rPr>
          <w:rStyle w:val="Refdenotaalpie"/>
          <w:rFonts w:ascii="Arial" w:eastAsia="Calibri" w:hAnsi="Arial" w:cs="Arial"/>
          <w:bCs/>
          <w:color w:val="000000" w:themeColor="text1"/>
          <w:lang w:val="es-ES_tradnl"/>
        </w:rPr>
        <w:footnoteReference w:id="15"/>
      </w:r>
      <w:r>
        <w:rPr>
          <w:rFonts w:ascii="Arial" w:eastAsia="Calibri" w:hAnsi="Arial" w:cs="Arial"/>
          <w:bCs/>
          <w:color w:val="000000" w:themeColor="text1"/>
          <w:lang w:val="es-ES_tradnl"/>
        </w:rPr>
        <w:t>.</w:t>
      </w:r>
    </w:p>
    <w:p w14:paraId="290FAB88" w14:textId="77777777" w:rsidR="00AE02A1" w:rsidRDefault="00AE02A1" w:rsidP="00AE02A1">
      <w:pPr>
        <w:tabs>
          <w:tab w:val="left" w:pos="0"/>
        </w:tabs>
        <w:spacing w:before="120" w:line="276" w:lineRule="auto"/>
        <w:ind w:firstLine="709"/>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 xml:space="preserve">En cuanto a la primera de ellas, cabe señalar que el trato nacional puede estar estipulado en un </w:t>
      </w:r>
      <w:r>
        <w:rPr>
          <w:rFonts w:ascii="Arial" w:eastAsia="Calibri" w:hAnsi="Arial" w:cs="Arial"/>
          <w:bCs/>
          <w:i/>
          <w:iCs/>
          <w:color w:val="000000" w:themeColor="text1"/>
          <w:lang w:val="es-ES_tradnl"/>
        </w:rPr>
        <w:t>tratado o acuerdo comercial</w:t>
      </w:r>
      <w:r>
        <w:rPr>
          <w:rFonts w:ascii="Arial" w:eastAsia="Calibri" w:hAnsi="Arial" w:cs="Arial"/>
          <w:bCs/>
          <w:color w:val="000000" w:themeColor="text1"/>
          <w:lang w:val="es-ES_tradnl"/>
        </w:rPr>
        <w:t xml:space="preserve"> suscrito entre Colombia y uno o varios Estados, adoptando como cláusula que a los oferentes, bienes o servicios extranjeros de dichos Estados se les considerará en nuestro país como nacionales, bajo las condiciones establecidas en la respectiva negociación</w:t>
      </w:r>
      <w:r>
        <w:rPr>
          <w:rStyle w:val="Refdenotaalpie"/>
          <w:rFonts w:ascii="Arial" w:eastAsia="Calibri" w:hAnsi="Arial" w:cs="Arial"/>
          <w:bCs/>
          <w:color w:val="000000" w:themeColor="text1"/>
          <w:lang w:val="es-ES_tradnl"/>
        </w:rPr>
        <w:footnoteReference w:id="16"/>
      </w:r>
      <w:r>
        <w:rPr>
          <w:rFonts w:ascii="Arial" w:eastAsia="Calibri" w:hAnsi="Arial" w:cs="Arial"/>
          <w:bCs/>
          <w:color w:val="000000" w:themeColor="text1"/>
          <w:lang w:val="es-ES_tradnl"/>
        </w:rPr>
        <w:t xml:space="preserve">. Así, el tratado correspondiente puede contener </w:t>
      </w:r>
      <w:r>
        <w:rPr>
          <w:rFonts w:ascii="Arial" w:eastAsia="Calibri" w:hAnsi="Arial" w:cs="Arial"/>
          <w:bCs/>
          <w:color w:val="000000" w:themeColor="text1"/>
          <w:lang w:val="es-ES_tradnl"/>
        </w:rPr>
        <w:lastRenderedPageBreak/>
        <w:t>un acápite en el que se establezca que determinados bienes o servicios cubiertos se beneficiarán por el trato nacional; lo que a veces también puede suceder con los proveedores. A título de ejemplo, la cláusula 11.2 del tratado de libre comercio suscrito entre Colombia y los países del Triángulo Norte de Centroamérica –El Salvador, Guatemala y Honduras–</w:t>
      </w:r>
      <w:r>
        <w:rPr>
          <w:rStyle w:val="Refdenotaalpie"/>
          <w:rFonts w:ascii="Arial" w:eastAsia="Calibri" w:hAnsi="Arial" w:cs="Arial"/>
          <w:bCs/>
          <w:color w:val="000000" w:themeColor="text1"/>
          <w:lang w:val="es-ES_tradnl"/>
        </w:rPr>
        <w:footnoteReference w:id="17"/>
      </w:r>
      <w:r>
        <w:rPr>
          <w:rFonts w:ascii="Arial" w:eastAsia="Calibri" w:hAnsi="Arial" w:cs="Arial"/>
          <w:bCs/>
          <w:color w:val="000000" w:themeColor="text1"/>
          <w:lang w:val="es-ES_tradnl"/>
        </w:rPr>
        <w:t xml:space="preserve"> establece que, con respecto a la cobertura negociada en dicho acuerdo, “cada Parte concederá a las mercancías, servicios, incluidos los servicios de construcción, y proveedores de la otra Parte, un trato no menos favorable que el que conceda a sus propias mercancías, servicios y proveedores”. Asimismo, el artículo 9.2 del tratado de libre comercio celebrado entre Colombia y los Estados Unidos de Norteamérica</w:t>
      </w:r>
      <w:r>
        <w:rPr>
          <w:rStyle w:val="Refdenotaalpie"/>
          <w:rFonts w:ascii="Arial" w:eastAsia="Calibri" w:hAnsi="Arial" w:cs="Arial"/>
          <w:bCs/>
          <w:color w:val="000000" w:themeColor="text1"/>
          <w:lang w:val="es-ES_tradnl"/>
        </w:rPr>
        <w:footnoteReference w:id="18"/>
      </w:r>
      <w:r>
        <w:rPr>
          <w:rFonts w:ascii="Arial" w:eastAsia="Calibri" w:hAnsi="Arial" w:cs="Arial"/>
          <w:bCs/>
          <w:color w:val="000000" w:themeColor="text1"/>
          <w:lang w:val="es-ES_tradnl"/>
        </w:rPr>
        <w:t>, prevé que “Con respecto a cualquier medida cubierta por este Capítulo, cada Parte otorgará incondicionalmente a las mercancías y servicios de la otra Parte y a los proveedores de tales mercancías y servicios, un trato no menos favorable que el trato más favorable otorgado por dicha Parte a sus propias mercancías, servicios y proveedores”.</w:t>
      </w:r>
    </w:p>
    <w:p w14:paraId="593443C4" w14:textId="77777777" w:rsidR="00AE02A1" w:rsidRDefault="00AE02A1" w:rsidP="00AE02A1">
      <w:pPr>
        <w:tabs>
          <w:tab w:val="left" w:pos="0"/>
        </w:tabs>
        <w:spacing w:before="120" w:line="276" w:lineRule="auto"/>
        <w:ind w:firstLine="709"/>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 xml:space="preserve">En consecuencia, para que pueda aplicarse el trato nacional en virtud del pacto contenido en un tratado o acuerdo comercial, la contratación debe versar sobre los bienes, servicios o proveedores </w:t>
      </w:r>
      <w:r>
        <w:rPr>
          <w:rFonts w:ascii="Arial" w:eastAsia="Calibri" w:hAnsi="Arial" w:cs="Arial"/>
          <w:bCs/>
          <w:i/>
          <w:iCs/>
          <w:color w:val="000000" w:themeColor="text1"/>
          <w:lang w:val="es-ES_tradnl"/>
        </w:rPr>
        <w:t>cubiertos</w:t>
      </w:r>
      <w:r>
        <w:rPr>
          <w:rFonts w:ascii="Arial" w:eastAsia="Calibri" w:hAnsi="Arial" w:cs="Arial"/>
          <w:bCs/>
          <w:color w:val="000000" w:themeColor="text1"/>
          <w:lang w:val="es-ES_tradnl"/>
        </w:rPr>
        <w:t xml:space="preserve"> por dicho tratado, pues la autonomía de la voluntad de los Estados, que es expresión de su soberanía, les permite negociar en el acuerdo comercial un alcance o cobertura </w:t>
      </w:r>
      <w:proofErr w:type="gramStart"/>
      <w:r>
        <w:rPr>
          <w:rFonts w:ascii="Arial" w:eastAsia="Calibri" w:hAnsi="Arial" w:cs="Arial"/>
          <w:bCs/>
          <w:color w:val="000000" w:themeColor="text1"/>
          <w:lang w:val="es-ES_tradnl"/>
        </w:rPr>
        <w:t>del mismo</w:t>
      </w:r>
      <w:proofErr w:type="gramEnd"/>
      <w:r>
        <w:rPr>
          <w:rFonts w:ascii="Arial" w:eastAsia="Calibri" w:hAnsi="Arial" w:cs="Arial"/>
          <w:bCs/>
          <w:color w:val="000000" w:themeColor="text1"/>
          <w:lang w:val="es-ES_tradnl"/>
        </w:rPr>
        <w:t xml:space="preserve">, según razones de oportunidad o conveniencia. Es por esto </w:t>
      </w:r>
      <w:proofErr w:type="gramStart"/>
      <w:r>
        <w:rPr>
          <w:rFonts w:ascii="Arial" w:eastAsia="Calibri" w:hAnsi="Arial" w:cs="Arial"/>
          <w:bCs/>
          <w:color w:val="000000" w:themeColor="text1"/>
          <w:lang w:val="es-ES_tradnl"/>
        </w:rPr>
        <w:t>que</w:t>
      </w:r>
      <w:proofErr w:type="gramEnd"/>
      <w:r>
        <w:rPr>
          <w:rFonts w:ascii="Arial" w:eastAsia="Calibri" w:hAnsi="Arial" w:cs="Arial"/>
          <w:bCs/>
          <w:color w:val="000000" w:themeColor="text1"/>
          <w:lang w:val="es-ES_tradnl"/>
        </w:rPr>
        <w:t xml:space="preserve"> los tratados establecen las entidades cubiertas, así como los umbrales, es decir, los valores o montos que, al igualarse o superarse en un procedimiento de contratación, hacen que este quede amparado por el tratado. De igual manera, este también puede contener exclusiones explícitas a su cobertura</w:t>
      </w:r>
      <w:r>
        <w:rPr>
          <w:rStyle w:val="Refdenotaalpie"/>
          <w:rFonts w:ascii="Arial" w:eastAsia="Calibri" w:hAnsi="Arial" w:cs="Arial"/>
          <w:bCs/>
          <w:color w:val="000000" w:themeColor="text1"/>
          <w:lang w:val="es-ES_tradnl"/>
        </w:rPr>
        <w:footnoteReference w:id="19"/>
      </w:r>
      <w:r>
        <w:rPr>
          <w:rFonts w:ascii="Arial" w:eastAsia="Calibri" w:hAnsi="Arial" w:cs="Arial"/>
          <w:bCs/>
          <w:color w:val="000000" w:themeColor="text1"/>
          <w:lang w:val="es-ES_tradnl"/>
        </w:rPr>
        <w:t>.</w:t>
      </w:r>
    </w:p>
    <w:p w14:paraId="45189B5B" w14:textId="77777777" w:rsidR="00AE02A1" w:rsidRDefault="00AE02A1" w:rsidP="00AE02A1">
      <w:pPr>
        <w:tabs>
          <w:tab w:val="left" w:pos="0"/>
        </w:tabs>
        <w:spacing w:before="120" w:line="276" w:lineRule="auto"/>
        <w:ind w:firstLine="709"/>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 xml:space="preserve">En relación con la segunda fuente del trato nacional, esto es, el </w:t>
      </w:r>
      <w:r>
        <w:rPr>
          <w:rFonts w:ascii="Arial" w:eastAsia="Calibri" w:hAnsi="Arial" w:cs="Arial"/>
          <w:bCs/>
          <w:i/>
          <w:iCs/>
          <w:color w:val="000000" w:themeColor="text1"/>
          <w:lang w:val="es-ES_tradnl"/>
        </w:rPr>
        <w:t>certificado de reciprocidad</w:t>
      </w:r>
      <w:r>
        <w:rPr>
          <w:rFonts w:ascii="Arial" w:eastAsia="Calibri" w:hAnsi="Arial" w:cs="Arial"/>
          <w:bCs/>
          <w:color w:val="000000" w:themeColor="text1"/>
          <w:lang w:val="es-ES_tradnl"/>
        </w:rPr>
        <w:t xml:space="preserve">, el artículo 20 de la Ley 80 de 1993 establece que cuando “[…]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Esto significa que la ausencia de tratado o acuerdo comercial no inhabilita por ese solo hecho al oferente extranjero para participar en el procedimiento de selección abierto por una entidad estatal colombiana, ni le impide ser tratado como nacional </w:t>
      </w:r>
      <w:r>
        <w:rPr>
          <w:rFonts w:ascii="Arial" w:eastAsia="Calibri" w:hAnsi="Arial" w:cs="Arial"/>
          <w:bCs/>
          <w:color w:val="000000" w:themeColor="text1"/>
          <w:lang w:val="es-ES_tradnl"/>
        </w:rPr>
        <w:lastRenderedPageBreak/>
        <w:t>de nuestro país, pero, si pretende gozar de este último beneficio, debe contar con un certificado de reciprocidad. Este certificado es un documento que, según el artículo 2.2.1.2.4.1.3 del Decreto 1082 de 2015, debe expedir el Ministerio de Relaciones Exteriores frente “[…]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Tal certificado solo puede expedirse, entonces, cuando no exista tratado o acuerdo comercial suscrito con el Estado del que provenga el oferente, bien o servicio</w:t>
      </w:r>
      <w:r>
        <w:rPr>
          <w:rStyle w:val="Refdenotaalpie"/>
          <w:rFonts w:ascii="Arial" w:eastAsia="Calibri" w:hAnsi="Arial" w:cs="Arial"/>
          <w:bCs/>
          <w:color w:val="000000" w:themeColor="text1"/>
          <w:lang w:val="es-ES_tradnl"/>
        </w:rPr>
        <w:footnoteReference w:id="20"/>
      </w:r>
      <w:r>
        <w:rPr>
          <w:rFonts w:ascii="Arial" w:eastAsia="Calibri" w:hAnsi="Arial" w:cs="Arial"/>
          <w:bCs/>
          <w:color w:val="000000" w:themeColor="text1"/>
          <w:lang w:val="es-ES_tradnl"/>
        </w:rPr>
        <w:t>.</w:t>
      </w:r>
    </w:p>
    <w:p w14:paraId="5C0CD423" w14:textId="77777777" w:rsidR="00AE02A1" w:rsidRDefault="00AE02A1" w:rsidP="00AE02A1">
      <w:pPr>
        <w:tabs>
          <w:tab w:val="left" w:pos="0"/>
        </w:tabs>
        <w:spacing w:before="120" w:line="276" w:lineRule="auto"/>
        <w:ind w:firstLine="709"/>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La tercera fuente del deber de trato nacional es el conjunto de las disposiciones de la Comunidad Andina que consagran este principio</w:t>
      </w:r>
      <w:r>
        <w:rPr>
          <w:rStyle w:val="Refdenotaalpie"/>
          <w:rFonts w:ascii="Arial" w:eastAsia="Calibri" w:hAnsi="Arial" w:cs="Arial"/>
          <w:bCs/>
          <w:color w:val="000000" w:themeColor="text1"/>
          <w:lang w:val="es-ES_tradnl"/>
        </w:rPr>
        <w:footnoteReference w:id="21"/>
      </w:r>
      <w:r>
        <w:rPr>
          <w:rFonts w:ascii="Arial" w:eastAsia="Calibri" w:hAnsi="Arial" w:cs="Arial"/>
          <w:bCs/>
          <w:color w:val="000000" w:themeColor="text1"/>
          <w:lang w:val="es-ES_tradnl"/>
        </w:rPr>
        <w:t>. Así lo reconoce el literal c) del mencionado artículo del Decreto 1082 de 2015, al establecer que las entidades estatales también deben conceder trato nacional “[…] a los servicios prestados por oferentes miembros de la Comunidad Andina de Naciones teniendo en cuenta la regulación andina aplicable a la materia”. Así, por ejemplo, el artículo 4 de la Decisión 439 de la Comisión de la Comunidad Andina, dispuso que “La adquisición de servicios por parte de organismos gubernamentales o de entidades públicas de los Países Miembros estará sujeta al principio de trato nacional entre los Países Miembros, mediante Decisión que será adoptada a más tardar el 1º de enero del año 2002. En caso de no adoptarse dicha Decisión en el plazo señalado, los Países Miembros otorgarán trato nacional en forma inmediata”.</w:t>
      </w:r>
    </w:p>
    <w:p w14:paraId="733339FF" w14:textId="77777777" w:rsidR="00AE02A1" w:rsidRDefault="00AE02A1" w:rsidP="00AE02A1">
      <w:pPr>
        <w:tabs>
          <w:tab w:val="left" w:pos="0"/>
        </w:tabs>
        <w:spacing w:before="120" w:line="276" w:lineRule="auto"/>
        <w:ind w:firstLine="709"/>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 xml:space="preserve">Actualmente el artículo 20 de la Ley 80 de 1993, así como los artículos 2.2.1.2.4.1.1. y 2.2.1.2.4.1.2. del Decreto 1082 de 2015, consagran la prevalencia de los compromisos contenidos en los tratados o acuerdos comerciales suscritos por Colombia con otros Estados, sobre lo que establezca el derecho interno, el cual no puede ser contrario a los </w:t>
      </w:r>
      <w:r>
        <w:rPr>
          <w:rFonts w:ascii="Arial" w:eastAsia="Calibri" w:hAnsi="Arial" w:cs="Arial"/>
          <w:bCs/>
          <w:color w:val="000000" w:themeColor="text1"/>
          <w:lang w:val="es-ES_tradnl"/>
        </w:rPr>
        <w:lastRenderedPageBreak/>
        <w:t>tratados. Esto se deduce de los artículos 26 y 27 de la Convención de Viena sobre el derecho de los tratados</w:t>
      </w:r>
      <w:r>
        <w:rPr>
          <w:rStyle w:val="Refdenotaalpie"/>
          <w:rFonts w:ascii="Arial" w:eastAsia="Calibri" w:hAnsi="Arial" w:cs="Arial"/>
          <w:bCs/>
          <w:color w:val="000000" w:themeColor="text1"/>
          <w:lang w:val="es-ES_tradnl"/>
        </w:rPr>
        <w:footnoteReference w:id="22"/>
      </w:r>
      <w:r>
        <w:rPr>
          <w:rFonts w:ascii="Arial" w:eastAsia="Calibri" w:hAnsi="Arial" w:cs="Arial"/>
          <w:bCs/>
          <w:color w:val="000000" w:themeColor="text1"/>
          <w:lang w:val="es-ES_tradnl"/>
        </w:rPr>
        <w:t xml:space="preserve">. </w:t>
      </w:r>
    </w:p>
    <w:p w14:paraId="0F44F270" w14:textId="77777777" w:rsidR="00AE02A1" w:rsidRDefault="00AE02A1" w:rsidP="00AE02A1">
      <w:pPr>
        <w:tabs>
          <w:tab w:val="left" w:pos="0"/>
        </w:tabs>
        <w:spacing w:before="120" w:line="276" w:lineRule="auto"/>
        <w:ind w:firstLine="709"/>
        <w:jc w:val="both"/>
        <w:rPr>
          <w:rFonts w:ascii="Arial" w:eastAsia="Calibri" w:hAnsi="Arial" w:cs="Arial"/>
          <w:bCs/>
          <w:color w:val="000000" w:themeColor="text1"/>
          <w:lang w:val="es-ES_tradnl"/>
        </w:rPr>
      </w:pPr>
      <w:bookmarkStart w:id="13" w:name="_Hlk101515095"/>
      <w:r w:rsidRPr="00CC230A">
        <w:rPr>
          <w:rFonts w:ascii="Arial" w:eastAsia="Calibri" w:hAnsi="Arial" w:cs="Arial"/>
          <w:bCs/>
          <w:color w:val="000000" w:themeColor="text1"/>
          <w:lang w:val="es-ES_tradnl"/>
        </w:rPr>
        <w:t xml:space="preserve">Una vez analizadas las tres (3) fuentes del trato nacional en la contratación pública, el efecto de dicho beneficio es la asignación del puntaje previsto en la Ley 816 de 2003. </w:t>
      </w:r>
      <w:r>
        <w:rPr>
          <w:rFonts w:ascii="Arial" w:eastAsia="Calibri" w:hAnsi="Arial" w:cs="Arial"/>
          <w:bCs/>
          <w:color w:val="000000" w:themeColor="text1"/>
          <w:lang w:val="es-ES_tradnl"/>
        </w:rPr>
        <w:t>El</w:t>
      </w:r>
      <w:r w:rsidRPr="00CC230A">
        <w:rPr>
          <w:rFonts w:ascii="Arial" w:eastAsia="Calibri" w:hAnsi="Arial" w:cs="Arial"/>
          <w:bCs/>
          <w:color w:val="000000" w:themeColor="text1"/>
          <w:lang w:val="es-ES_tradnl"/>
        </w:rPr>
        <w:t xml:space="preserve"> artículo 1 dispone que las entidades estatales, en los procedimientos de selección que realicen e independientemente del régimen contractual que les sea aplicable, deben adoptar criterios que apoyen la industria nacional</w:t>
      </w:r>
      <w:bookmarkEnd w:id="13"/>
      <w:r w:rsidRPr="00CC230A">
        <w:rPr>
          <w:rFonts w:ascii="Arial" w:eastAsia="Calibri" w:hAnsi="Arial" w:cs="Arial"/>
          <w:bCs/>
          <w:color w:val="000000" w:themeColor="text1"/>
          <w:lang w:val="es-ES_tradnl"/>
        </w:rPr>
        <w:t xml:space="preserve">. En consonancia con lo anterior, el parágrafo </w:t>
      </w:r>
      <w:r w:rsidRPr="008C3F3E">
        <w:rPr>
          <w:rFonts w:ascii="Arial" w:eastAsia="Calibri" w:hAnsi="Arial" w:cs="Arial"/>
          <w:bCs/>
          <w:i/>
          <w:iCs/>
          <w:color w:val="000000" w:themeColor="text1"/>
          <w:lang w:val="es-ES_tradnl"/>
        </w:rPr>
        <w:t>ibidem</w:t>
      </w:r>
      <w:r>
        <w:rPr>
          <w:rFonts w:ascii="Arial" w:eastAsia="Calibri" w:hAnsi="Arial" w:cs="Arial"/>
          <w:bCs/>
          <w:color w:val="000000" w:themeColor="text1"/>
          <w:lang w:val="es-ES_tradnl"/>
        </w:rPr>
        <w:t xml:space="preserve"> </w:t>
      </w:r>
      <w:r w:rsidRPr="00CC230A">
        <w:rPr>
          <w:rFonts w:ascii="Arial" w:eastAsia="Calibri" w:hAnsi="Arial" w:cs="Arial"/>
          <w:bCs/>
          <w:color w:val="000000" w:themeColor="text1"/>
          <w:lang w:val="es-ES_tradnl"/>
        </w:rPr>
        <w:t>dispone lo siguiente: “Se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r>
        <w:rPr>
          <w:rFonts w:ascii="Arial" w:eastAsia="Calibri" w:hAnsi="Arial" w:cs="Arial"/>
          <w:bCs/>
          <w:color w:val="000000" w:themeColor="text1"/>
          <w:lang w:val="es-ES_tradnl"/>
        </w:rPr>
        <w:t xml:space="preserve"> Por tanto, si los extranjeros pueden acceder a este puntaje, es precisamente porque –al igual que los nacionales– están facultados para participar en los procedimientos de selección. </w:t>
      </w:r>
    </w:p>
    <w:p w14:paraId="63155D78" w14:textId="77777777" w:rsidR="00AE02A1" w:rsidRDefault="00AE02A1" w:rsidP="00AE02A1">
      <w:pPr>
        <w:tabs>
          <w:tab w:val="left" w:pos="0"/>
        </w:tabs>
        <w:spacing w:before="120" w:line="276" w:lineRule="auto"/>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ab/>
        <w:t xml:space="preserve">De acuerdo con el apartado precedente, las empresas industriales y comerciales del Estado, en cuanto no </w:t>
      </w:r>
      <w:r w:rsidRPr="008C3F3E">
        <w:rPr>
          <w:rFonts w:ascii="Arial" w:eastAsia="Calibri" w:hAnsi="Arial" w:cs="Arial"/>
          <w:bCs/>
          <w:color w:val="000000" w:themeColor="text1"/>
          <w:lang w:val="es-ES_tradnl"/>
        </w:rPr>
        <w:t>desarrollen actividades comerciales en competencia con el sector privado y/o público, nacional o internacional o en mercados regulados</w:t>
      </w:r>
      <w:r>
        <w:rPr>
          <w:rFonts w:ascii="Arial" w:eastAsia="Calibri" w:hAnsi="Arial" w:cs="Arial"/>
          <w:bCs/>
          <w:color w:val="000000" w:themeColor="text1"/>
          <w:lang w:val="es-ES_tradnl"/>
        </w:rPr>
        <w:t xml:space="preserve">, están sometidas a la Ley 80 de 1993. En gracia de discusión, el razonamiento de los párrafos procedentes podría extenderse </w:t>
      </w:r>
      <w:r w:rsidRPr="008C3F3E">
        <w:rPr>
          <w:rFonts w:ascii="Arial" w:eastAsia="Calibri" w:hAnsi="Arial" w:cs="Arial"/>
          <w:bCs/>
          <w:i/>
          <w:iCs/>
          <w:color w:val="000000" w:themeColor="text1"/>
          <w:lang w:val="es-ES_tradnl"/>
        </w:rPr>
        <w:t>mutatis mutandis</w:t>
      </w:r>
      <w:r>
        <w:rPr>
          <w:rFonts w:ascii="Arial" w:eastAsia="Calibri" w:hAnsi="Arial" w:cs="Arial"/>
          <w:bCs/>
          <w:color w:val="000000" w:themeColor="text1"/>
          <w:lang w:val="es-ES_tradnl"/>
        </w:rPr>
        <w:t xml:space="preserve"> a aquellas EICE excluidas del Estatuto General de Contratación, especialmente, cuando </w:t>
      </w:r>
      <w:r w:rsidRPr="002F0CD9">
        <w:rPr>
          <w:rFonts w:ascii="Arial" w:eastAsia="Calibri" w:hAnsi="Arial" w:cs="Arial"/>
          <w:bCs/>
          <w:color w:val="000000" w:themeColor="text1"/>
          <w:lang w:val="es-ES_tradnl"/>
        </w:rPr>
        <w:t>el artículo 93 de la Ley 1474 de 2011</w:t>
      </w:r>
      <w:r>
        <w:rPr>
          <w:rFonts w:ascii="Arial" w:eastAsia="Calibri" w:hAnsi="Arial" w:cs="Arial"/>
          <w:bCs/>
          <w:color w:val="000000" w:themeColor="text1"/>
          <w:lang w:val="es-ES_tradnl"/>
        </w:rPr>
        <w:t xml:space="preserve"> remite al artículo 13 </w:t>
      </w:r>
      <w:r w:rsidRPr="002F0CD9">
        <w:rPr>
          <w:rFonts w:ascii="Arial" w:eastAsia="Calibri" w:hAnsi="Arial" w:cs="Arial"/>
          <w:bCs/>
          <w:color w:val="000000" w:themeColor="text1"/>
          <w:lang w:val="es-ES_tradnl"/>
        </w:rPr>
        <w:t xml:space="preserve">de la Ley 1150 de 2007. </w:t>
      </w:r>
      <w:r>
        <w:rPr>
          <w:rFonts w:ascii="Arial" w:eastAsia="Calibri" w:hAnsi="Arial" w:cs="Arial"/>
          <w:bCs/>
          <w:color w:val="000000" w:themeColor="text1"/>
          <w:lang w:val="es-ES_tradnl"/>
        </w:rPr>
        <w:t xml:space="preserve">Adicionado por </w:t>
      </w:r>
      <w:r w:rsidRPr="008C0C96">
        <w:rPr>
          <w:rFonts w:ascii="Arial" w:eastAsia="Calibri" w:hAnsi="Arial" w:cs="Arial"/>
          <w:bCs/>
          <w:color w:val="000000" w:themeColor="text1"/>
          <w:lang w:val="es-ES_tradnl"/>
        </w:rPr>
        <w:t>el artículo 53 de la Ley 2195 de 2022</w:t>
      </w:r>
      <w:r>
        <w:rPr>
          <w:rFonts w:ascii="Arial" w:eastAsia="Calibri" w:hAnsi="Arial" w:cs="Arial"/>
          <w:bCs/>
          <w:color w:val="000000" w:themeColor="text1"/>
          <w:lang w:val="es-ES_tradnl"/>
        </w:rPr>
        <w:t>, el inciso primero dicha norma dispone que “</w:t>
      </w:r>
      <w:r w:rsidRPr="008C0C96">
        <w:rPr>
          <w:rFonts w:ascii="Arial" w:eastAsia="Calibri" w:hAnsi="Arial" w:cs="Arial"/>
          <w:bCs/>
          <w:color w:val="000000" w:themeColor="text1"/>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Pr>
          <w:rFonts w:ascii="Arial" w:eastAsia="Calibri" w:hAnsi="Arial" w:cs="Arial"/>
          <w:bCs/>
          <w:color w:val="000000" w:themeColor="text1"/>
          <w:lang w:val="es-ES_tradnl"/>
        </w:rPr>
        <w:t>”.</w:t>
      </w:r>
    </w:p>
    <w:p w14:paraId="45AFB9EE" w14:textId="77777777" w:rsidR="00AE02A1" w:rsidRDefault="00AE02A1" w:rsidP="00AE02A1">
      <w:pPr>
        <w:tabs>
          <w:tab w:val="left" w:pos="0"/>
        </w:tabs>
        <w:spacing w:before="120" w:line="276" w:lineRule="auto"/>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ab/>
        <w:t>Conforme al inciso primero del artículo 209 superior, “</w:t>
      </w:r>
      <w:r w:rsidRPr="00FD36AD">
        <w:rPr>
          <w:rFonts w:ascii="Arial" w:eastAsia="Calibri" w:hAnsi="Arial" w:cs="Arial"/>
          <w:bCs/>
          <w:i/>
          <w:iCs/>
          <w:color w:val="000000" w:themeColor="text1"/>
          <w:lang w:val="es-ES_tradnl"/>
        </w:rPr>
        <w:t>La función administrativa está al servicio de los intereses generales y se desarrolla con fundamento en los principios de igualdad</w:t>
      </w:r>
      <w:r w:rsidRPr="00FA4CA0">
        <w:rPr>
          <w:rFonts w:ascii="Arial" w:eastAsia="Calibri" w:hAnsi="Arial" w:cs="Arial"/>
          <w:bCs/>
          <w:color w:val="000000" w:themeColor="text1"/>
          <w:lang w:val="es-ES_tradnl"/>
        </w:rPr>
        <w:t xml:space="preserve">, moralidad, eficacia, economía, celeridad, </w:t>
      </w:r>
      <w:r w:rsidRPr="00FD36AD">
        <w:rPr>
          <w:rFonts w:ascii="Arial" w:eastAsia="Calibri" w:hAnsi="Arial" w:cs="Arial"/>
          <w:bCs/>
          <w:i/>
          <w:iCs/>
          <w:color w:val="000000" w:themeColor="text1"/>
          <w:lang w:val="es-ES_tradnl"/>
        </w:rPr>
        <w:t>imparcialidad</w:t>
      </w:r>
      <w:r w:rsidRPr="00FA4CA0">
        <w:rPr>
          <w:rFonts w:ascii="Arial" w:eastAsia="Calibri" w:hAnsi="Arial" w:cs="Arial"/>
          <w:bCs/>
          <w:color w:val="000000" w:themeColor="text1"/>
          <w:lang w:val="es-ES_tradnl"/>
        </w:rPr>
        <w:t xml:space="preserve"> y publicidad, mediante la descentralización, la delegación y la desconcentración de funciones</w:t>
      </w:r>
      <w:r>
        <w:rPr>
          <w:rFonts w:ascii="Arial" w:eastAsia="Calibri" w:hAnsi="Arial" w:cs="Arial"/>
          <w:bCs/>
          <w:color w:val="000000" w:themeColor="text1"/>
          <w:lang w:val="es-ES_tradnl"/>
        </w:rPr>
        <w:t xml:space="preserve">” (Énfasis fuera de </w:t>
      </w:r>
      <w:r>
        <w:rPr>
          <w:rFonts w:ascii="Arial" w:eastAsia="Calibri" w:hAnsi="Arial" w:cs="Arial"/>
          <w:bCs/>
          <w:color w:val="000000" w:themeColor="text1"/>
          <w:lang w:val="es-ES_tradnl"/>
        </w:rPr>
        <w:lastRenderedPageBreak/>
        <w:t xml:space="preserve">texto). Por tanto, dentro de la regulación especial de los manuales de contratación, en los procedimientos con pluralidad de oferentes las EICE exceptuadas rige también el principio de igualdad y concurrencia, pues –como se explicó </w:t>
      </w:r>
      <w:r w:rsidRPr="00FD36AD">
        <w:rPr>
          <w:rFonts w:ascii="Arial" w:eastAsia="Calibri" w:hAnsi="Arial" w:cs="Arial"/>
          <w:bCs/>
          <w:i/>
          <w:iCs/>
          <w:color w:val="000000" w:themeColor="text1"/>
          <w:lang w:val="es-ES_tradnl"/>
        </w:rPr>
        <w:t>ut supra</w:t>
      </w:r>
      <w:r>
        <w:rPr>
          <w:rFonts w:ascii="Arial" w:eastAsia="Calibri" w:hAnsi="Arial" w:cs="Arial"/>
          <w:bCs/>
          <w:color w:val="000000" w:themeColor="text1"/>
          <w:lang w:val="es-ES_tradnl"/>
        </w:rPr>
        <w:t xml:space="preserve">– ambos están estrechamente ligados. </w:t>
      </w:r>
    </w:p>
    <w:p w14:paraId="017CCA8A" w14:textId="77777777" w:rsidR="00AE02A1" w:rsidRDefault="00AE02A1" w:rsidP="00AE02A1">
      <w:pPr>
        <w:tabs>
          <w:tab w:val="left" w:pos="0"/>
        </w:tabs>
        <w:spacing w:before="120" w:line="276" w:lineRule="auto"/>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ab/>
        <w:t>Sin embargo, la estructura de los procedimientos de las entidades sometidas no es asimilable a los de las entidades exceptuadas. Sin bien en estas últimas rigen por los principios de la función administrativa, la gestión fiscal y el régimen de inhabilidades e incompatibilidades, la aplicación de los principios del artículo 209 se encuentra matizada por lo que definan los documentos del proceso que se estructuren en acatamiento de sus manuales de contratación. Dado que estas actuaciones gozan de presunción de legalidad, la participación de extranjeros se realiza con sujeción a lo que dispongan las entidades dentro de su régimen especial, sin perjuicio del control judicial, fiscal o disciplinario contra violaciones injustificadas del marco normativo citado en los dos (2) párrafos precedentes.      Fuera de este matiz, al igual que las sometidas, las exceptuadas también debe aplicar las reglas de trato nacional que, para efectos del puntaje previsto en la Ley 816 de 2003, rige para todas las entidades independientemente de su régimen jurídico, con excepción de las empresas de servicios públicos domiciliarios</w:t>
      </w:r>
      <w:r>
        <w:rPr>
          <w:rStyle w:val="Refdenotaalpie"/>
          <w:rFonts w:ascii="Arial" w:eastAsia="Calibri" w:hAnsi="Arial" w:cs="Arial"/>
          <w:bCs/>
          <w:color w:val="000000" w:themeColor="text1"/>
          <w:lang w:val="es-ES_tradnl"/>
        </w:rPr>
        <w:footnoteReference w:id="23"/>
      </w:r>
      <w:r>
        <w:rPr>
          <w:rFonts w:ascii="Arial" w:eastAsia="Calibri" w:hAnsi="Arial" w:cs="Arial"/>
          <w:bCs/>
          <w:color w:val="000000" w:themeColor="text1"/>
          <w:lang w:val="es-ES_tradnl"/>
        </w:rPr>
        <w:t xml:space="preserve">. </w:t>
      </w:r>
    </w:p>
    <w:p w14:paraId="2B72B2E7" w14:textId="77777777" w:rsidR="00AE02A1" w:rsidRPr="001D00D5" w:rsidRDefault="00AE02A1" w:rsidP="00AE02A1">
      <w:pPr>
        <w:tabs>
          <w:tab w:val="left" w:pos="0"/>
        </w:tabs>
        <w:spacing w:before="120" w:after="0" w:line="276" w:lineRule="auto"/>
        <w:jc w:val="both"/>
        <w:rPr>
          <w:rFonts w:ascii="Arial" w:eastAsia="Calibri" w:hAnsi="Arial" w:cs="Arial"/>
          <w:color w:val="000000" w:themeColor="text1"/>
        </w:rPr>
      </w:pPr>
      <w:r>
        <w:rPr>
          <w:rFonts w:ascii="Arial" w:eastAsia="Calibri" w:hAnsi="Arial" w:cs="Arial"/>
          <w:bCs/>
          <w:color w:val="000000" w:themeColor="text1"/>
          <w:lang w:val="es-ES_tradnl"/>
        </w:rPr>
        <w:tab/>
        <w:t xml:space="preserve">En todo caso, en línea con el artículo 12 de la Ley 1150 de 2007, el citado </w:t>
      </w:r>
      <w:r>
        <w:rPr>
          <w:rFonts w:ascii="Arial" w:eastAsia="Calibri" w:hAnsi="Arial" w:cs="Arial"/>
          <w:color w:val="000000" w:themeColor="text1"/>
        </w:rPr>
        <w:t>Concepto</w:t>
      </w:r>
      <w:r>
        <w:rPr>
          <w:rFonts w:ascii="Arial" w:eastAsia="Calibri" w:hAnsi="Arial" w:cs="Arial"/>
          <w:color w:val="000000" w:themeColor="text1"/>
          <w:lang w:val="es-ES"/>
        </w:rPr>
        <w:t xml:space="preserve"> </w:t>
      </w:r>
      <w:r w:rsidRPr="00784C45">
        <w:rPr>
          <w:rFonts w:ascii="Arial" w:eastAsia="Calibri" w:hAnsi="Arial" w:cs="Arial"/>
          <w:color w:val="000000" w:themeColor="text1"/>
          <w:lang w:val="es-ES"/>
        </w:rPr>
        <w:t>2201913000006511</w:t>
      </w:r>
      <w:r>
        <w:rPr>
          <w:rFonts w:ascii="Arial" w:eastAsia="Calibri" w:hAnsi="Arial" w:cs="Arial"/>
          <w:color w:val="000000" w:themeColor="text1"/>
          <w:lang w:val="es-ES"/>
        </w:rPr>
        <w:t xml:space="preserve"> del 3 de septiembre de 2019 precisa que “</w:t>
      </w:r>
      <w:r w:rsidRPr="00E82174">
        <w:rPr>
          <w:rFonts w:ascii="Arial" w:eastAsia="Calibri" w:hAnsi="Arial" w:cs="Arial"/>
          <w:color w:val="000000" w:themeColor="text1"/>
          <w:lang w:val="es-ES"/>
        </w:rPr>
        <w:t xml:space="preserve">Si la entidad estatal limita el proceso de contratación a </w:t>
      </w:r>
      <w:proofErr w:type="spellStart"/>
      <w:r w:rsidRPr="00E82174">
        <w:rPr>
          <w:rFonts w:ascii="Arial" w:eastAsia="Calibri" w:hAnsi="Arial" w:cs="Arial"/>
          <w:color w:val="000000" w:themeColor="text1"/>
          <w:lang w:val="es-ES"/>
        </w:rPr>
        <w:t>Mipymes</w:t>
      </w:r>
      <w:proofErr w:type="spellEnd"/>
      <w:r w:rsidRPr="00E82174">
        <w:rPr>
          <w:rFonts w:ascii="Arial" w:eastAsia="Calibri" w:hAnsi="Arial" w:cs="Arial"/>
          <w:color w:val="000000" w:themeColor="text1"/>
          <w:lang w:val="es-ES"/>
        </w:rPr>
        <w:t xml:space="preserve"> nacionales, de acuerdo con el artículo 2.2.1.2.4.2.2 del Decreto 1082 de 2015, las entidades tienen la facultad de limitar la convocatoria a </w:t>
      </w:r>
      <w:proofErr w:type="spellStart"/>
      <w:r w:rsidRPr="00E82174">
        <w:rPr>
          <w:rFonts w:ascii="Arial" w:eastAsia="Calibri" w:hAnsi="Arial" w:cs="Arial"/>
          <w:color w:val="000000" w:themeColor="text1"/>
          <w:lang w:val="es-ES"/>
        </w:rPr>
        <w:t>Mipymes</w:t>
      </w:r>
      <w:proofErr w:type="spellEnd"/>
      <w:r w:rsidRPr="00E82174">
        <w:rPr>
          <w:rFonts w:ascii="Arial" w:eastAsia="Calibri" w:hAnsi="Arial" w:cs="Arial"/>
          <w:color w:val="000000" w:themeColor="text1"/>
          <w:lang w:val="es-ES"/>
        </w:rPr>
        <w:t xml:space="preserve"> nacionales domiciliadas en los departamentos o municipios en donde se va a ejecutar el contrato. En este caso, la entidad estatal podrá fijar como requisito habilitante que la </w:t>
      </w:r>
      <w:proofErr w:type="spellStart"/>
      <w:r w:rsidRPr="00E82174">
        <w:rPr>
          <w:rFonts w:ascii="Arial" w:eastAsia="Calibri" w:hAnsi="Arial" w:cs="Arial"/>
          <w:color w:val="000000" w:themeColor="text1"/>
          <w:lang w:val="es-ES"/>
        </w:rPr>
        <w:t>Mipyme</w:t>
      </w:r>
      <w:proofErr w:type="spellEnd"/>
      <w:r w:rsidRPr="00E82174">
        <w:rPr>
          <w:rFonts w:ascii="Arial" w:eastAsia="Calibri" w:hAnsi="Arial" w:cs="Arial"/>
          <w:color w:val="000000" w:themeColor="text1"/>
          <w:lang w:val="es-ES"/>
        </w:rPr>
        <w:t xml:space="preserve"> acredite</w:t>
      </w:r>
      <w:r>
        <w:rPr>
          <w:rFonts w:ascii="Arial" w:eastAsia="Calibri" w:hAnsi="Arial" w:cs="Arial"/>
          <w:color w:val="000000" w:themeColor="text1"/>
          <w:lang w:val="es-ES"/>
        </w:rPr>
        <w:t xml:space="preserve"> […] </w:t>
      </w:r>
      <w:r w:rsidRPr="00E82174">
        <w:rPr>
          <w:rFonts w:ascii="Arial" w:eastAsia="Calibri" w:hAnsi="Arial" w:cs="Arial"/>
          <w:color w:val="000000" w:themeColor="text1"/>
          <w:lang w:val="es-ES"/>
        </w:rPr>
        <w:t xml:space="preserve">que está domiciliada en el departamento o municipio en donde se va </w:t>
      </w:r>
      <w:r w:rsidRPr="00E82174">
        <w:rPr>
          <w:rFonts w:ascii="Arial" w:eastAsia="Calibri" w:hAnsi="Arial" w:cs="Arial"/>
          <w:color w:val="000000" w:themeColor="text1"/>
          <w:lang w:val="es-ES"/>
        </w:rPr>
        <w:lastRenderedPageBreak/>
        <w:t>a ejecutar el contrato</w:t>
      </w:r>
      <w:r>
        <w:rPr>
          <w:rFonts w:ascii="Arial" w:eastAsia="Calibri" w:hAnsi="Arial" w:cs="Arial"/>
          <w:color w:val="000000" w:themeColor="text1"/>
          <w:lang w:val="es-ES"/>
        </w:rPr>
        <w:t>”</w:t>
      </w:r>
      <w:r>
        <w:rPr>
          <w:rStyle w:val="Refdenotaalpie"/>
          <w:rFonts w:ascii="Arial" w:eastAsia="Calibri" w:hAnsi="Arial" w:cs="Arial"/>
          <w:color w:val="000000" w:themeColor="text1"/>
          <w:lang w:val="es-ES"/>
        </w:rPr>
        <w:footnoteReference w:id="24"/>
      </w:r>
      <w:r>
        <w:rPr>
          <w:rFonts w:ascii="Arial" w:eastAsia="Calibri" w:hAnsi="Arial" w:cs="Arial"/>
          <w:color w:val="000000" w:themeColor="text1"/>
          <w:lang w:val="es-ES"/>
        </w:rPr>
        <w:t>. Esta norma establece un trato preferencial</w:t>
      </w:r>
      <w:r>
        <w:rPr>
          <w:rFonts w:ascii="Arial" w:eastAsia="Calibri" w:hAnsi="Arial" w:cs="Arial"/>
          <w:color w:val="000000"/>
          <w:lang w:val="es-ES_tradnl"/>
        </w:rPr>
        <w:t>, y se explicará en el siguiente acápite.</w:t>
      </w:r>
    </w:p>
    <w:p w14:paraId="6A46062F" w14:textId="77777777" w:rsidR="00AE02A1" w:rsidRDefault="00AE02A1" w:rsidP="00AE02A1">
      <w:pPr>
        <w:spacing w:after="0" w:line="276" w:lineRule="auto"/>
        <w:jc w:val="both"/>
        <w:rPr>
          <w:rFonts w:ascii="Arial" w:eastAsia="Calibri" w:hAnsi="Arial" w:cs="Arial"/>
          <w:color w:val="000000" w:themeColor="text1"/>
        </w:rPr>
      </w:pPr>
    </w:p>
    <w:p w14:paraId="1B681C3F" w14:textId="77777777" w:rsidR="00AE02A1" w:rsidRPr="00512F93" w:rsidRDefault="00AE02A1" w:rsidP="00AE02A1">
      <w:pPr>
        <w:tabs>
          <w:tab w:val="left" w:pos="426"/>
        </w:tabs>
        <w:spacing w:after="0" w:line="276" w:lineRule="auto"/>
        <w:contextualSpacing/>
        <w:jc w:val="both"/>
        <w:rPr>
          <w:rFonts w:ascii="Arial" w:eastAsia="Calibri" w:hAnsi="Arial" w:cs="Arial"/>
          <w:b/>
          <w:bCs/>
          <w:lang w:val="es-MX"/>
        </w:rPr>
      </w:pPr>
      <w:r w:rsidRPr="00512F93">
        <w:rPr>
          <w:rFonts w:ascii="Arial" w:eastAsia="Calibri" w:hAnsi="Arial" w:cs="Arial"/>
          <w:b/>
          <w:bCs/>
          <w:color w:val="000000" w:themeColor="text1"/>
        </w:rPr>
        <w:t xml:space="preserve">2.3. </w:t>
      </w:r>
      <w:r w:rsidRPr="00512F93">
        <w:rPr>
          <w:rFonts w:ascii="Arial" w:eastAsia="Calibri" w:hAnsi="Arial" w:cs="Arial"/>
          <w:b/>
          <w:bCs/>
          <w:lang w:val="es-MX"/>
        </w:rPr>
        <w:t xml:space="preserve">Convocatorias limitadas a </w:t>
      </w:r>
      <w:proofErr w:type="spellStart"/>
      <w:r w:rsidRPr="00512F93">
        <w:rPr>
          <w:rFonts w:ascii="Arial" w:eastAsia="Calibri" w:hAnsi="Arial" w:cs="Arial"/>
          <w:b/>
          <w:bCs/>
          <w:lang w:val="es-MX"/>
        </w:rPr>
        <w:t>Mipymes</w:t>
      </w:r>
      <w:proofErr w:type="spellEnd"/>
      <w:r w:rsidRPr="00512F93">
        <w:rPr>
          <w:rFonts w:ascii="Arial" w:eastAsia="Calibri" w:hAnsi="Arial" w:cs="Arial"/>
          <w:b/>
          <w:bCs/>
          <w:lang w:val="es-MX"/>
        </w:rPr>
        <w:t xml:space="preserve"> en el sistema de compras públicas</w:t>
      </w:r>
    </w:p>
    <w:p w14:paraId="04104C8C" w14:textId="77777777" w:rsidR="00AE02A1" w:rsidRPr="00366660" w:rsidRDefault="00AE02A1" w:rsidP="00AE02A1">
      <w:pPr>
        <w:tabs>
          <w:tab w:val="left" w:pos="426"/>
        </w:tabs>
        <w:spacing w:after="0" w:line="276" w:lineRule="auto"/>
        <w:contextualSpacing/>
        <w:jc w:val="both"/>
        <w:rPr>
          <w:rFonts w:ascii="Arial" w:eastAsia="Calibri" w:hAnsi="Arial" w:cs="Arial"/>
          <w:b/>
          <w:lang w:val="es-MX"/>
        </w:rPr>
      </w:pPr>
    </w:p>
    <w:p w14:paraId="0055380F" w14:textId="77777777" w:rsidR="00AE02A1" w:rsidRPr="00D07A0E" w:rsidRDefault="00AE02A1" w:rsidP="00AE02A1">
      <w:pPr>
        <w:spacing w:after="0" w:line="276" w:lineRule="auto"/>
        <w:jc w:val="both"/>
        <w:rPr>
          <w:rFonts w:ascii="Arial" w:eastAsia="Arial" w:hAnsi="Arial" w:cs="Arial"/>
          <w:color w:val="000000"/>
        </w:rPr>
      </w:pPr>
      <w:r w:rsidRPr="00D07A0E">
        <w:rPr>
          <w:rFonts w:ascii="Arial" w:eastAsia="Arial" w:hAnsi="Arial" w:cs="Arial"/>
          <w:color w:val="000000"/>
        </w:rPr>
        <w:t xml:space="preserve">En desarrollo del </w:t>
      </w:r>
      <w:r w:rsidRPr="00AB4DFD">
        <w:rPr>
          <w:rFonts w:ascii="Arial" w:eastAsia="Arial" w:hAnsi="Arial" w:cs="Arial"/>
          <w:color w:val="000000"/>
        </w:rPr>
        <w:t>artículo 12 de la Ley 1150 de 2007</w:t>
      </w:r>
      <w:r w:rsidRPr="00D07A0E">
        <w:rPr>
          <w:rFonts w:ascii="Arial" w:eastAsia="Arial" w:hAnsi="Arial" w:cs="Arial"/>
          <w:color w:val="000000"/>
        </w:rPr>
        <w:t xml:space="preserve">, el artículo 2.2.1.2.4.2.2 del Decreto 1082 de 2015 –modificado por el Decreto 1860 de 2021– establece los requisitos que se deben acreditar en las “convocatorias limitadas a </w:t>
      </w:r>
      <w:proofErr w:type="spellStart"/>
      <w:r w:rsidRPr="00D07A0E">
        <w:rPr>
          <w:rFonts w:ascii="Arial" w:eastAsia="Arial" w:hAnsi="Arial" w:cs="Arial"/>
          <w:color w:val="000000"/>
        </w:rPr>
        <w:t>Mipymes</w:t>
      </w:r>
      <w:proofErr w:type="spellEnd"/>
      <w:r w:rsidRPr="00D07A0E">
        <w:rPr>
          <w:rFonts w:ascii="Arial" w:eastAsia="Arial" w:hAnsi="Arial" w:cs="Arial"/>
          <w:color w:val="000000"/>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D07A0E">
        <w:rPr>
          <w:rFonts w:ascii="Arial" w:eastAsia="Arial" w:hAnsi="Arial" w:cs="Arial"/>
          <w:color w:val="000000"/>
        </w:rPr>
        <w:t>Mipyme</w:t>
      </w:r>
      <w:proofErr w:type="spellEnd"/>
      <w:r w:rsidRPr="00D07A0E">
        <w:rPr>
          <w:rFonts w:ascii="Arial" w:eastAsia="Arial" w:hAnsi="Arial" w:cs="Arial"/>
          <w:color w:val="000000"/>
        </w:rPr>
        <w:t xml:space="preserve"> colombianas con mínimo un (1) año de existencia, siempre que se cumplan los requisitos señalados allí. Al respecto indica lo siguiente: </w:t>
      </w:r>
    </w:p>
    <w:p w14:paraId="60543678" w14:textId="77777777" w:rsidR="00AE02A1" w:rsidRPr="00D07A0E" w:rsidRDefault="00AE02A1" w:rsidP="00AE02A1">
      <w:pPr>
        <w:spacing w:after="0" w:line="276" w:lineRule="auto"/>
        <w:ind w:firstLine="709"/>
        <w:jc w:val="both"/>
        <w:rPr>
          <w:rFonts w:ascii="Arial" w:eastAsia="Arial" w:hAnsi="Arial" w:cs="Arial"/>
          <w:color w:val="000000"/>
        </w:rPr>
      </w:pPr>
    </w:p>
    <w:p w14:paraId="19BA7B14" w14:textId="77777777" w:rsidR="00AE02A1" w:rsidRPr="00D07A0E" w:rsidRDefault="00AE02A1" w:rsidP="00AE02A1">
      <w:pPr>
        <w:spacing w:after="0" w:line="240" w:lineRule="auto"/>
        <w:ind w:left="709" w:right="709"/>
        <w:jc w:val="both"/>
        <w:rPr>
          <w:rFonts w:ascii="Arial" w:eastAsia="Calibri" w:hAnsi="Arial" w:cs="Arial"/>
          <w:sz w:val="21"/>
          <w:szCs w:val="21"/>
          <w:lang w:val="es-ES_tradnl"/>
        </w:rPr>
      </w:pPr>
      <w:r w:rsidRPr="00D07A0E">
        <w:rPr>
          <w:rFonts w:ascii="Arial" w:eastAsia="Calibri" w:hAnsi="Arial" w:cs="Arial"/>
          <w:sz w:val="21"/>
          <w:szCs w:val="21"/>
          <w:lang w:val="es-ES_tradnl"/>
        </w:rPr>
        <w:t xml:space="preserve">Artículo 2.2.1.2.4.2.2. Convocatorias Imitadas a </w:t>
      </w:r>
      <w:proofErr w:type="spellStart"/>
      <w:r w:rsidRPr="00D07A0E">
        <w:rPr>
          <w:rFonts w:ascii="Arial" w:eastAsia="Calibri" w:hAnsi="Arial" w:cs="Arial"/>
          <w:sz w:val="21"/>
          <w:szCs w:val="21"/>
          <w:lang w:val="es-ES_tradnl"/>
        </w:rPr>
        <w:t>Mipyme</w:t>
      </w:r>
      <w:proofErr w:type="spellEnd"/>
      <w:r w:rsidRPr="00D07A0E">
        <w:rPr>
          <w:rFonts w:ascii="Arial" w:eastAsia="Calibri" w:hAnsi="Arial" w:cs="Arial"/>
          <w:sz w:val="21"/>
          <w:szCs w:val="21"/>
          <w:lang w:val="es-ES_tradnl"/>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D07A0E">
        <w:rPr>
          <w:rFonts w:ascii="Arial" w:eastAsia="Calibri" w:hAnsi="Arial" w:cs="Arial"/>
          <w:sz w:val="21"/>
          <w:szCs w:val="21"/>
          <w:lang w:val="es-ES_tradnl"/>
        </w:rPr>
        <w:t>Mipyme</w:t>
      </w:r>
      <w:proofErr w:type="spellEnd"/>
      <w:r w:rsidRPr="00D07A0E">
        <w:rPr>
          <w:rFonts w:ascii="Arial" w:eastAsia="Calibri" w:hAnsi="Arial" w:cs="Arial"/>
          <w:sz w:val="21"/>
          <w:szCs w:val="21"/>
          <w:lang w:val="es-ES_tradnl"/>
        </w:rPr>
        <w:t xml:space="preserve"> colombianas con mínimo un (1) año de existencia, cuando concurran los siguientes requisitos: </w:t>
      </w:r>
    </w:p>
    <w:p w14:paraId="22107C31" w14:textId="77777777" w:rsidR="00AE02A1" w:rsidRPr="00D07A0E" w:rsidRDefault="00AE02A1" w:rsidP="00AE02A1">
      <w:pPr>
        <w:spacing w:after="0" w:line="240" w:lineRule="auto"/>
        <w:ind w:left="709" w:right="709"/>
        <w:jc w:val="both"/>
        <w:rPr>
          <w:rFonts w:ascii="Arial" w:eastAsia="Calibri" w:hAnsi="Arial" w:cs="Arial"/>
          <w:sz w:val="21"/>
          <w:szCs w:val="21"/>
          <w:lang w:val="es-ES_tradnl"/>
        </w:rPr>
      </w:pPr>
    </w:p>
    <w:p w14:paraId="6D793A0A" w14:textId="77777777" w:rsidR="00AE02A1" w:rsidRPr="00D07A0E" w:rsidRDefault="00AE02A1" w:rsidP="00AE02A1">
      <w:pPr>
        <w:spacing w:after="120" w:line="240" w:lineRule="auto"/>
        <w:ind w:left="709" w:right="709"/>
        <w:jc w:val="both"/>
        <w:rPr>
          <w:rFonts w:ascii="Arial" w:eastAsia="Calibri" w:hAnsi="Arial" w:cs="Arial"/>
          <w:sz w:val="21"/>
          <w:szCs w:val="21"/>
          <w:lang w:val="es-ES_tradnl"/>
        </w:rPr>
      </w:pPr>
      <w:r w:rsidRPr="00D07A0E">
        <w:rPr>
          <w:rFonts w:ascii="Arial" w:eastAsia="Calibri" w:hAnsi="Arial" w:cs="Arial"/>
          <w:sz w:val="21"/>
          <w:szCs w:val="21"/>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5EB49475" w14:textId="77777777" w:rsidR="00AE02A1" w:rsidRPr="00D07A0E" w:rsidRDefault="00AE02A1" w:rsidP="00AE02A1">
      <w:pPr>
        <w:spacing w:after="0" w:line="240" w:lineRule="auto"/>
        <w:ind w:left="709" w:right="709"/>
        <w:jc w:val="both"/>
        <w:rPr>
          <w:rFonts w:ascii="Arial" w:eastAsia="Calibri" w:hAnsi="Arial" w:cs="Arial"/>
          <w:sz w:val="21"/>
          <w:szCs w:val="21"/>
          <w:lang w:val="es-ES_tradnl"/>
        </w:rPr>
      </w:pPr>
      <w:r w:rsidRPr="00D07A0E">
        <w:rPr>
          <w:rFonts w:ascii="Arial" w:eastAsia="Calibri" w:hAnsi="Arial" w:cs="Arial"/>
          <w:sz w:val="21"/>
          <w:szCs w:val="21"/>
          <w:lang w:val="es-ES_tradnl"/>
        </w:rPr>
        <w:t xml:space="preserve">2. Se hayan recibido solicitudes de por lo menos dos (2) </w:t>
      </w:r>
      <w:proofErr w:type="spellStart"/>
      <w:r w:rsidRPr="00D07A0E">
        <w:rPr>
          <w:rFonts w:ascii="Arial" w:eastAsia="Calibri" w:hAnsi="Arial" w:cs="Arial"/>
          <w:sz w:val="21"/>
          <w:szCs w:val="21"/>
          <w:lang w:val="es-ES_tradnl"/>
        </w:rPr>
        <w:t>Mipyme</w:t>
      </w:r>
      <w:proofErr w:type="spellEnd"/>
      <w:r w:rsidRPr="00D07A0E">
        <w:rPr>
          <w:rFonts w:ascii="Arial" w:eastAsia="Calibri" w:hAnsi="Arial" w:cs="Arial"/>
          <w:sz w:val="21"/>
          <w:szCs w:val="21"/>
          <w:lang w:val="es-ES_tradnl"/>
        </w:rPr>
        <w:t xml:space="preserve"> colombianas para limitar la convocatoria a </w:t>
      </w:r>
      <w:proofErr w:type="spellStart"/>
      <w:r w:rsidRPr="00D07A0E">
        <w:rPr>
          <w:rFonts w:ascii="Arial" w:eastAsia="Calibri" w:hAnsi="Arial" w:cs="Arial"/>
          <w:sz w:val="21"/>
          <w:szCs w:val="21"/>
          <w:lang w:val="es-ES_tradnl"/>
        </w:rPr>
        <w:t>Mipyme</w:t>
      </w:r>
      <w:proofErr w:type="spellEnd"/>
      <w:r w:rsidRPr="00D07A0E">
        <w:rPr>
          <w:rFonts w:ascii="Arial" w:eastAsia="Calibri" w:hAnsi="Arial" w:cs="Arial"/>
          <w:sz w:val="21"/>
          <w:szCs w:val="21"/>
          <w:lang w:val="es-ES_tradnl"/>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w:t>
      </w:r>
      <w:r w:rsidRPr="00D07A0E">
        <w:rPr>
          <w:rFonts w:ascii="Arial" w:eastAsia="Calibri" w:hAnsi="Arial" w:cs="Arial"/>
          <w:sz w:val="21"/>
          <w:szCs w:val="21"/>
          <w:lang w:val="es-ES_tradnl"/>
        </w:rPr>
        <w:lastRenderedPageBreak/>
        <w:t xml:space="preserve">de personas jurídicas, las solicitudes solo las podrán realizar </w:t>
      </w:r>
      <w:proofErr w:type="spellStart"/>
      <w:r w:rsidRPr="00D07A0E">
        <w:rPr>
          <w:rFonts w:ascii="Arial" w:eastAsia="Calibri" w:hAnsi="Arial" w:cs="Arial"/>
          <w:sz w:val="21"/>
          <w:szCs w:val="21"/>
          <w:lang w:val="es-ES_tradnl"/>
        </w:rPr>
        <w:t>Mipyme</w:t>
      </w:r>
      <w:proofErr w:type="spellEnd"/>
      <w:r w:rsidRPr="00D07A0E">
        <w:rPr>
          <w:rFonts w:ascii="Arial" w:eastAsia="Calibri" w:hAnsi="Arial" w:cs="Arial"/>
          <w:sz w:val="21"/>
          <w:szCs w:val="21"/>
          <w:lang w:val="es-ES_tradnl"/>
        </w:rPr>
        <w:t>, cuyo objeto social les permita ejecutar el contrato relacionado con el proceso contractual.</w:t>
      </w:r>
    </w:p>
    <w:p w14:paraId="50B02C09" w14:textId="77777777" w:rsidR="00AE02A1" w:rsidRPr="00D07A0E" w:rsidRDefault="00AE02A1" w:rsidP="00AE02A1">
      <w:pPr>
        <w:spacing w:after="0" w:line="240" w:lineRule="auto"/>
        <w:ind w:left="709" w:right="709"/>
        <w:jc w:val="both"/>
        <w:rPr>
          <w:rFonts w:ascii="Arial" w:eastAsia="Calibri" w:hAnsi="Arial" w:cs="Arial"/>
          <w:sz w:val="21"/>
          <w:szCs w:val="21"/>
          <w:lang w:val="es-ES_tradnl"/>
        </w:rPr>
      </w:pPr>
    </w:p>
    <w:p w14:paraId="119645D1" w14:textId="77777777" w:rsidR="00AE02A1" w:rsidRPr="00D07A0E" w:rsidRDefault="00AE02A1" w:rsidP="00AE02A1">
      <w:pPr>
        <w:spacing w:after="0" w:line="240" w:lineRule="auto"/>
        <w:ind w:left="709" w:right="709"/>
        <w:jc w:val="both"/>
        <w:rPr>
          <w:rFonts w:ascii="Arial" w:eastAsia="Calibri" w:hAnsi="Arial" w:cs="Arial"/>
          <w:sz w:val="21"/>
          <w:szCs w:val="21"/>
          <w:lang w:val="es-ES_tradnl"/>
        </w:rPr>
      </w:pPr>
      <w:r w:rsidRPr="00D07A0E">
        <w:rPr>
          <w:rFonts w:ascii="Arial" w:eastAsia="Calibri" w:hAnsi="Arial" w:cs="Arial"/>
          <w:sz w:val="21"/>
          <w:szCs w:val="21"/>
          <w:lang w:val="es-ES_tradnl"/>
        </w:rPr>
        <w:t xml:space="preserve">Parágrafo. Las cooperativas y demás entidades de economía solidaria, siempre que tengan la calidad de </w:t>
      </w:r>
      <w:proofErr w:type="spellStart"/>
      <w:r w:rsidRPr="00D07A0E">
        <w:rPr>
          <w:rFonts w:ascii="Arial" w:eastAsia="Calibri" w:hAnsi="Arial" w:cs="Arial"/>
          <w:sz w:val="21"/>
          <w:szCs w:val="21"/>
          <w:lang w:val="es-ES_tradnl"/>
        </w:rPr>
        <w:t>Mipyme</w:t>
      </w:r>
      <w:proofErr w:type="spellEnd"/>
      <w:r w:rsidRPr="00D07A0E">
        <w:rPr>
          <w:rFonts w:ascii="Arial" w:eastAsia="Calibri" w:hAnsi="Arial" w:cs="Arial"/>
          <w:sz w:val="21"/>
          <w:szCs w:val="21"/>
          <w:lang w:val="es-ES_tradnl"/>
        </w:rPr>
        <w:t>, podrán solicitar y participar en las convocatorias limitadas en las mismas condiciones dispuestas en el presente artículo.</w:t>
      </w:r>
    </w:p>
    <w:p w14:paraId="4D010FA8" w14:textId="77777777" w:rsidR="00AE02A1" w:rsidRPr="00D07A0E" w:rsidRDefault="00AE02A1" w:rsidP="00AE02A1">
      <w:pPr>
        <w:spacing w:after="0" w:line="276" w:lineRule="auto"/>
        <w:ind w:firstLine="709"/>
        <w:jc w:val="both"/>
        <w:rPr>
          <w:rFonts w:ascii="Arial" w:eastAsia="Arial" w:hAnsi="Arial" w:cs="Arial"/>
          <w:color w:val="000000"/>
        </w:rPr>
      </w:pPr>
    </w:p>
    <w:p w14:paraId="3CC28ABB" w14:textId="77777777" w:rsidR="00AE02A1" w:rsidRPr="00D07A0E" w:rsidRDefault="00AE02A1" w:rsidP="00AE02A1">
      <w:pPr>
        <w:spacing w:after="120" w:line="276" w:lineRule="auto"/>
        <w:ind w:firstLine="709"/>
        <w:jc w:val="both"/>
        <w:rPr>
          <w:rFonts w:ascii="Arial" w:eastAsia="Arial" w:hAnsi="Arial" w:cs="Arial"/>
          <w:color w:val="000000"/>
        </w:rPr>
      </w:pPr>
      <w:r w:rsidRPr="00D07A0E">
        <w:rPr>
          <w:rFonts w:ascii="Arial" w:eastAsia="Arial" w:hAnsi="Arial" w:cs="Arial"/>
          <w:color w:val="000000"/>
        </w:rPr>
        <w:t xml:space="preserve">Según se evidencia, el numeral primero limita cuantitativamente los procesos contractuales para las convocatorias limitadas a </w:t>
      </w:r>
      <w:proofErr w:type="spellStart"/>
      <w:r w:rsidRPr="00D07A0E">
        <w:rPr>
          <w:rFonts w:ascii="Arial" w:eastAsia="Arial" w:hAnsi="Arial" w:cs="Arial"/>
          <w:color w:val="000000"/>
        </w:rPr>
        <w:t>Mipyme</w:t>
      </w:r>
      <w:proofErr w:type="spellEnd"/>
      <w:r w:rsidRPr="00D07A0E">
        <w:rPr>
          <w:rFonts w:ascii="Arial" w:eastAsia="Arial" w:hAnsi="Arial" w:cs="Arial"/>
          <w:color w:val="000000"/>
        </w:rPr>
        <w:t xml:space="preserve">, puesto que el valor del proceso de contratación debe ser “menor a ciento veinticinco mil dólares de los Estados Unidos de América”. Esto de acuerdo con la tasa que determine cada dos años el Ministerio de Comercio, Industria y Turismo. Por su parte, el numeral segundo establece que al menos dos (2) </w:t>
      </w:r>
      <w:proofErr w:type="spellStart"/>
      <w:r w:rsidRPr="00D07A0E">
        <w:rPr>
          <w:rFonts w:ascii="Arial" w:eastAsia="Arial" w:hAnsi="Arial" w:cs="Arial"/>
          <w:color w:val="000000"/>
        </w:rPr>
        <w:t>Mipymes</w:t>
      </w:r>
      <w:proofErr w:type="spellEnd"/>
      <w:r w:rsidRPr="00D07A0E">
        <w:rPr>
          <w:rFonts w:ascii="Arial" w:eastAsia="Arial" w:hAnsi="Arial" w:cs="Arial"/>
          <w:color w:val="000000"/>
        </w:rPr>
        <w:t xml:space="preserve"> colombianas presenten a la entidad la solicitud de limitar el proceso contractual y, por el otro, que hagan la solicitud por lo menos un día (1) hábil antes de la expedición del acto administrativo de apertura </w:t>
      </w:r>
      <w:r w:rsidRPr="00D07A0E">
        <w:rPr>
          <w:rFonts w:ascii="Arial" w:eastAsia="Arial" w:hAnsi="Arial" w:cs="Arial"/>
          <w:color w:val="000000"/>
          <w:lang w:val="es-ES_tradnl"/>
        </w:rPr>
        <w:t>o el que haga sus veces de acuerdo con la normativa aplicable a cada Proceso de Contratación</w:t>
      </w:r>
      <w:r w:rsidRPr="00D07A0E">
        <w:rPr>
          <w:rFonts w:ascii="Arial" w:eastAsia="Arial" w:hAnsi="Arial" w:cs="Arial"/>
          <w:color w:val="000000"/>
        </w:rPr>
        <w:t xml:space="preserve">. Asimismo, la norma señala que, </w:t>
      </w:r>
      <w:r w:rsidRPr="00D07A0E">
        <w:rPr>
          <w:rFonts w:ascii="Arial" w:eastAsia="Arial" w:hAnsi="Arial" w:cs="Arial"/>
          <w:color w:val="000000"/>
          <w:lang w:val="es-ES_tradnl"/>
        </w:rPr>
        <w:t xml:space="preserve">tratándose de personas jurídicas, las solicitudes solo las podrán realizar la </w:t>
      </w:r>
      <w:proofErr w:type="spellStart"/>
      <w:r w:rsidRPr="00D07A0E">
        <w:rPr>
          <w:rFonts w:ascii="Arial" w:eastAsia="Arial" w:hAnsi="Arial" w:cs="Arial"/>
          <w:color w:val="000000"/>
          <w:lang w:val="es-ES_tradnl"/>
        </w:rPr>
        <w:t>Mipyme</w:t>
      </w:r>
      <w:proofErr w:type="spellEnd"/>
      <w:r w:rsidRPr="00D07A0E">
        <w:rPr>
          <w:rFonts w:ascii="Arial" w:eastAsia="Arial" w:hAnsi="Arial" w:cs="Arial"/>
          <w:color w:val="000000"/>
          <w:lang w:val="es-ES_tradnl"/>
        </w:rPr>
        <w:t xml:space="preserv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w:t>
      </w:r>
      <w:proofErr w:type="spellStart"/>
      <w:r w:rsidRPr="00D07A0E">
        <w:rPr>
          <w:rFonts w:ascii="Arial" w:eastAsia="Arial" w:hAnsi="Arial" w:cs="Arial"/>
          <w:color w:val="000000"/>
          <w:lang w:val="es-ES_tradnl"/>
        </w:rPr>
        <w:t>Mipyme</w:t>
      </w:r>
      <w:proofErr w:type="spellEnd"/>
      <w:r w:rsidRPr="00D07A0E">
        <w:rPr>
          <w:rFonts w:ascii="Arial" w:eastAsia="Arial" w:hAnsi="Arial" w:cs="Arial"/>
          <w:color w:val="000000"/>
          <w:lang w:val="es-ES_tradnl"/>
        </w:rPr>
        <w:t xml:space="preserve">, siempre que estas cumplan con las condiciones señaladas en el artículo. </w:t>
      </w:r>
    </w:p>
    <w:p w14:paraId="0E50F497" w14:textId="77777777" w:rsidR="00AE02A1" w:rsidRPr="00D07A0E" w:rsidRDefault="00AE02A1" w:rsidP="00AE02A1">
      <w:pPr>
        <w:spacing w:after="0" w:line="276" w:lineRule="auto"/>
        <w:ind w:firstLine="709"/>
        <w:jc w:val="both"/>
        <w:rPr>
          <w:rFonts w:ascii="Arial" w:eastAsia="Calibri" w:hAnsi="Arial" w:cs="Arial"/>
          <w:lang w:val="es-ES_tradnl"/>
        </w:rPr>
      </w:pPr>
      <w:r w:rsidRPr="00D07A0E">
        <w:rPr>
          <w:rFonts w:ascii="Arial" w:eastAsia="Calibri" w:hAnsi="Arial" w:cs="Arial"/>
          <w:lang w:val="es-ES_tradnl"/>
        </w:rPr>
        <w:t>En relación con las limitaciones territorial</w:t>
      </w:r>
      <w:r w:rsidRPr="00D07A0E">
        <w:rPr>
          <w:rFonts w:ascii="Arial" w:hAnsi="Arial" w:cs="Arial"/>
          <w:lang w:val="es-ES_tradnl"/>
        </w:rPr>
        <w:t xml:space="preserve">es de las convocatorias a </w:t>
      </w:r>
      <w:proofErr w:type="spellStart"/>
      <w:r w:rsidRPr="00D07A0E">
        <w:rPr>
          <w:rFonts w:ascii="Arial" w:hAnsi="Arial" w:cs="Arial"/>
          <w:lang w:val="es-ES_tradnl"/>
        </w:rPr>
        <w:t>Mipyme</w:t>
      </w:r>
      <w:proofErr w:type="spellEnd"/>
      <w:r w:rsidRPr="00D07A0E">
        <w:rPr>
          <w:rFonts w:ascii="Arial" w:hAnsi="Arial" w:cs="Arial"/>
          <w:lang w:val="es-ES_tradnl"/>
        </w:rPr>
        <w:t xml:space="preserve">, </w:t>
      </w:r>
      <w:r w:rsidRPr="00D07A0E">
        <w:rPr>
          <w:rFonts w:ascii="Arial" w:eastAsia="Calibri" w:hAnsi="Arial" w:cs="Arial"/>
          <w:lang w:val="es-ES_tradnl"/>
        </w:rPr>
        <w:t xml:space="preserve"> a la luz del antiguo artículo 2.2.1.2.4.2.3 del Decreto 1082 de 2015, esta Agencia –</w:t>
      </w:r>
      <w:r w:rsidRPr="00D07A0E">
        <w:rPr>
          <w:rFonts w:ascii="Arial" w:hAnsi="Arial" w:cs="Arial"/>
          <w:lang w:val="es-ES_tradnl"/>
        </w:rPr>
        <w:t>en los Conceptos 4201714000006924 del 29 de enero de 2018,</w:t>
      </w:r>
      <w:r w:rsidRPr="00D07A0E">
        <w:rPr>
          <w:rFonts w:ascii="Arial" w:eastAsia="Calibri" w:hAnsi="Arial" w:cs="Arial"/>
          <w:lang w:val="es-ES_tradnl"/>
        </w:rPr>
        <w:t xml:space="preserve"> C-045 del 17 de marzo de 2020, C-162 del 16 de abril de 2020, C-214 del 21 de abril de 2020, C-258 del 17 de abril de 2020, C-364 del 4 de junio de 2020, C-413 del 30 de junio de 2020</w:t>
      </w:r>
      <w:r w:rsidRPr="00D07A0E">
        <w:rPr>
          <w:rFonts w:ascii="Arial" w:hAnsi="Arial" w:cs="Arial"/>
          <w:lang w:val="es-ES_tradnl"/>
        </w:rPr>
        <w:t xml:space="preserve">, </w:t>
      </w:r>
      <w:r w:rsidRPr="00D07A0E">
        <w:rPr>
          <w:rFonts w:ascii="Arial" w:eastAsia="Calibri" w:hAnsi="Arial" w:cs="Arial"/>
          <w:lang w:val="es-ES_tradnl"/>
        </w:rPr>
        <w:t xml:space="preserve">C-492 del 24 de julio de 2020, C-523 del 11 de agosto de 2020, C-610 del 14 de septiembre de 2020 y C-700 de 1 de diciembre de 2020– había sostenido que, para que se permitiera la participación de una </w:t>
      </w:r>
      <w:proofErr w:type="spellStart"/>
      <w:r w:rsidRPr="00D07A0E">
        <w:rPr>
          <w:rFonts w:ascii="Arial" w:eastAsia="Calibri" w:hAnsi="Arial" w:cs="Arial"/>
          <w:lang w:val="es-ES_tradnl"/>
        </w:rPr>
        <w:t>Mipyme</w:t>
      </w:r>
      <w:proofErr w:type="spellEnd"/>
      <w:r w:rsidRPr="00D07A0E">
        <w:rPr>
          <w:rFonts w:ascii="Arial" w:eastAsia="Calibri" w:hAnsi="Arial" w:cs="Arial"/>
          <w:lang w:val="es-ES_tradnl"/>
        </w:rPr>
        <w:t xml:space="preserve"> en uno de estos procesos, era necesario que esta demostrara estar domiciliada en el municipio o departamento en el que se ejecutaría el contrato. La tesis se expuso en los siguientes términos: </w:t>
      </w:r>
    </w:p>
    <w:p w14:paraId="52C3F15D" w14:textId="77777777" w:rsidR="00AE02A1" w:rsidRPr="00D07A0E" w:rsidRDefault="00AE02A1" w:rsidP="00AE02A1">
      <w:pPr>
        <w:spacing w:after="0" w:line="276" w:lineRule="auto"/>
        <w:ind w:firstLine="709"/>
        <w:jc w:val="both"/>
        <w:rPr>
          <w:rFonts w:ascii="Arial" w:eastAsia="Calibri" w:hAnsi="Arial" w:cs="Arial"/>
          <w:lang w:val="es-ES_tradnl"/>
        </w:rPr>
      </w:pPr>
    </w:p>
    <w:p w14:paraId="420F5294" w14:textId="77777777" w:rsidR="00AE02A1" w:rsidRPr="00D07A0E" w:rsidRDefault="00AE02A1" w:rsidP="00AE02A1">
      <w:pPr>
        <w:spacing w:after="120" w:line="240" w:lineRule="auto"/>
        <w:ind w:left="709" w:right="709"/>
        <w:jc w:val="both"/>
        <w:rPr>
          <w:rFonts w:ascii="Arial" w:hAnsi="Arial" w:cs="Arial"/>
          <w:sz w:val="21"/>
          <w:szCs w:val="21"/>
          <w:lang w:val="es-ES_tradnl"/>
        </w:rPr>
      </w:pPr>
      <w:r>
        <w:rPr>
          <w:rFonts w:ascii="Arial" w:hAnsi="Arial" w:cs="Arial"/>
          <w:sz w:val="21"/>
          <w:szCs w:val="21"/>
          <w:lang w:val="es-ES_tradnl"/>
        </w:rPr>
        <w:t>“</w:t>
      </w:r>
      <w:r w:rsidRPr="00D07A0E">
        <w:rPr>
          <w:rFonts w:ascii="Arial" w:hAnsi="Arial" w:cs="Arial"/>
          <w:sz w:val="21"/>
          <w:szCs w:val="21"/>
          <w:lang w:val="es-ES_tradnl"/>
        </w:rPr>
        <w:t xml:space="preserve">Es de resaltar que </w:t>
      </w:r>
      <w:r w:rsidRPr="00D07A0E">
        <w:rPr>
          <w:rFonts w:ascii="Arial" w:hAnsi="Arial" w:cs="Arial"/>
          <w:i/>
          <w:iCs/>
          <w:sz w:val="21"/>
          <w:szCs w:val="21"/>
          <w:lang w:val="es-ES_tradnl"/>
        </w:rPr>
        <w:t xml:space="preserve">estas normas se refieren a las </w:t>
      </w:r>
      <w:proofErr w:type="spellStart"/>
      <w:r w:rsidRPr="00D07A0E">
        <w:rPr>
          <w:rFonts w:ascii="Arial" w:hAnsi="Arial" w:cs="Arial"/>
          <w:i/>
          <w:iCs/>
          <w:sz w:val="21"/>
          <w:szCs w:val="21"/>
          <w:lang w:val="es-ES_tradnl"/>
        </w:rPr>
        <w:t>Mipymes</w:t>
      </w:r>
      <w:proofErr w:type="spellEnd"/>
      <w:r w:rsidRPr="00D07A0E">
        <w:rPr>
          <w:rFonts w:ascii="Arial" w:hAnsi="Arial" w:cs="Arial"/>
          <w:i/>
          <w:iCs/>
          <w:sz w:val="21"/>
          <w:szCs w:val="21"/>
          <w:lang w:val="es-ES_tradnl"/>
        </w:rPr>
        <w:t xml:space="preserve"> nacionales genéricamente y, particularmente, a las </w:t>
      </w:r>
      <w:proofErr w:type="spellStart"/>
      <w:r w:rsidRPr="00D07A0E">
        <w:rPr>
          <w:rFonts w:ascii="Arial" w:hAnsi="Arial" w:cs="Arial"/>
          <w:i/>
          <w:iCs/>
          <w:sz w:val="21"/>
          <w:szCs w:val="21"/>
          <w:lang w:val="es-ES_tradnl"/>
        </w:rPr>
        <w:t>Mipymes</w:t>
      </w:r>
      <w:proofErr w:type="spellEnd"/>
      <w:r w:rsidRPr="00D07A0E">
        <w:rPr>
          <w:rFonts w:ascii="Arial" w:hAnsi="Arial" w:cs="Arial"/>
          <w:i/>
          <w:iCs/>
          <w:sz w:val="21"/>
          <w:szCs w:val="21"/>
          <w:lang w:val="es-ES_tradnl"/>
        </w:rPr>
        <w:t xml:space="preserve"> nacionales “domiciliadas en los departamentos o municipios en donde se va a ejecutar el contrato”.</w:t>
      </w:r>
      <w:r w:rsidRPr="00D07A0E">
        <w:rPr>
          <w:rFonts w:ascii="Arial" w:hAnsi="Arial" w:cs="Arial"/>
          <w:sz w:val="21"/>
          <w:szCs w:val="21"/>
          <w:lang w:val="es-ES_tradnl"/>
        </w:rPr>
        <w:t xml:space="preserve"> En ambos casos se refiere a </w:t>
      </w:r>
      <w:proofErr w:type="spellStart"/>
      <w:r w:rsidRPr="00D07A0E">
        <w:rPr>
          <w:rFonts w:ascii="Arial" w:hAnsi="Arial" w:cs="Arial"/>
          <w:sz w:val="21"/>
          <w:szCs w:val="21"/>
          <w:lang w:val="es-ES_tradnl"/>
        </w:rPr>
        <w:t>Mipymes</w:t>
      </w:r>
      <w:proofErr w:type="spellEnd"/>
      <w:r w:rsidRPr="00D07A0E">
        <w:rPr>
          <w:rFonts w:ascii="Arial" w:hAnsi="Arial" w:cs="Arial"/>
          <w:sz w:val="21"/>
          <w:szCs w:val="21"/>
          <w:lang w:val="es-ES_tradnl"/>
        </w:rPr>
        <w:t xml:space="preserve"> nacionales, distinguiéndolas de las empresas extranjeras. Del artículo 2.2.1.2.4.2.3 del Decreto 1082 de 2015 no se deriva que existan </w:t>
      </w:r>
      <w:proofErr w:type="spellStart"/>
      <w:r w:rsidRPr="00D07A0E">
        <w:rPr>
          <w:rFonts w:ascii="Arial" w:hAnsi="Arial" w:cs="Arial"/>
          <w:sz w:val="21"/>
          <w:szCs w:val="21"/>
          <w:lang w:val="es-ES_tradnl"/>
        </w:rPr>
        <w:t>Mipymes</w:t>
      </w:r>
      <w:proofErr w:type="spellEnd"/>
      <w:r w:rsidRPr="00D07A0E">
        <w:rPr>
          <w:rFonts w:ascii="Arial" w:hAnsi="Arial" w:cs="Arial"/>
          <w:sz w:val="21"/>
          <w:szCs w:val="21"/>
          <w:lang w:val="es-ES_tradnl"/>
        </w:rPr>
        <w:t xml:space="preserve"> del orden territorial. Esta categoría no existe en el ordenamiento jurídico. En ese sentido, toda empresa constituida bajo las leyes colombianas o que tenga su domicilio principal en el territorio colombiano y, </w:t>
      </w:r>
      <w:r w:rsidRPr="00D07A0E">
        <w:rPr>
          <w:rFonts w:ascii="Arial" w:hAnsi="Arial" w:cs="Arial"/>
          <w:sz w:val="21"/>
          <w:szCs w:val="21"/>
          <w:lang w:val="es-ES_tradnl"/>
        </w:rPr>
        <w:lastRenderedPageBreak/>
        <w:t xml:space="preserve">además, cumpla los criterios previstos por la Ley 590 de 2000 y el Decreto 957 de 2019, será considerada </w:t>
      </w:r>
      <w:proofErr w:type="spellStart"/>
      <w:r w:rsidRPr="00D07A0E">
        <w:rPr>
          <w:rFonts w:ascii="Arial" w:hAnsi="Arial" w:cs="Arial"/>
          <w:sz w:val="21"/>
          <w:szCs w:val="21"/>
          <w:lang w:val="es-ES_tradnl"/>
        </w:rPr>
        <w:t>Mipymes</w:t>
      </w:r>
      <w:proofErr w:type="spellEnd"/>
      <w:r w:rsidRPr="00D07A0E">
        <w:rPr>
          <w:rFonts w:ascii="Arial" w:hAnsi="Arial" w:cs="Arial"/>
          <w:sz w:val="21"/>
          <w:szCs w:val="21"/>
          <w:lang w:val="es-ES_tradnl"/>
        </w:rPr>
        <w:t xml:space="preserve"> del orden nacional. Otra cosa es que las normas de contratación permitan que las </w:t>
      </w:r>
      <w:proofErr w:type="spellStart"/>
      <w:r w:rsidRPr="00D07A0E">
        <w:rPr>
          <w:rFonts w:ascii="Arial" w:hAnsi="Arial" w:cs="Arial"/>
          <w:sz w:val="21"/>
          <w:szCs w:val="21"/>
          <w:lang w:val="es-ES_tradnl"/>
        </w:rPr>
        <w:t>Mipymes</w:t>
      </w:r>
      <w:proofErr w:type="spellEnd"/>
      <w:r w:rsidRPr="00D07A0E">
        <w:rPr>
          <w:rFonts w:ascii="Arial" w:hAnsi="Arial" w:cs="Arial"/>
          <w:sz w:val="21"/>
          <w:szCs w:val="21"/>
          <w:lang w:val="es-ES_tradnl"/>
        </w:rPr>
        <w:t xml:space="preserve"> nacionales con “domicilio” en un municipio o departamento puedan beneficiarse en la ejecución de un contrato dentro de la entidad territorial en la que tienen su “domicilio”. De todos modos, las </w:t>
      </w:r>
      <w:proofErr w:type="spellStart"/>
      <w:r w:rsidRPr="00D07A0E">
        <w:rPr>
          <w:rFonts w:ascii="Arial" w:hAnsi="Arial" w:cs="Arial"/>
          <w:sz w:val="21"/>
          <w:szCs w:val="21"/>
          <w:lang w:val="es-ES_tradnl"/>
        </w:rPr>
        <w:t>Mipymes</w:t>
      </w:r>
      <w:proofErr w:type="spellEnd"/>
      <w:r w:rsidRPr="00D07A0E">
        <w:rPr>
          <w:rFonts w:ascii="Arial" w:hAnsi="Arial" w:cs="Arial"/>
          <w:sz w:val="21"/>
          <w:szCs w:val="21"/>
          <w:lang w:val="es-ES_tradnl"/>
        </w:rPr>
        <w:t xml:space="preserve"> domiciliadas en un municipio o departamento son </w:t>
      </w:r>
      <w:proofErr w:type="spellStart"/>
      <w:r w:rsidRPr="00D07A0E">
        <w:rPr>
          <w:rFonts w:ascii="Arial" w:hAnsi="Arial" w:cs="Arial"/>
          <w:sz w:val="21"/>
          <w:szCs w:val="21"/>
          <w:lang w:val="es-ES_tradnl"/>
        </w:rPr>
        <w:t>Mipymes</w:t>
      </w:r>
      <w:proofErr w:type="spellEnd"/>
      <w:r w:rsidRPr="00D07A0E">
        <w:rPr>
          <w:rFonts w:ascii="Arial" w:hAnsi="Arial" w:cs="Arial"/>
          <w:sz w:val="21"/>
          <w:szCs w:val="21"/>
          <w:lang w:val="es-ES_tradnl"/>
        </w:rPr>
        <w:t xml:space="preserve"> nacionales. En consecuencia, no es procedente distinguir entre </w:t>
      </w:r>
      <w:proofErr w:type="spellStart"/>
      <w:r w:rsidRPr="00D07A0E">
        <w:rPr>
          <w:rFonts w:ascii="Arial" w:hAnsi="Arial" w:cs="Arial"/>
          <w:sz w:val="21"/>
          <w:szCs w:val="21"/>
          <w:lang w:val="es-ES_tradnl"/>
        </w:rPr>
        <w:t>Mipymes</w:t>
      </w:r>
      <w:proofErr w:type="spellEnd"/>
      <w:r w:rsidRPr="00D07A0E">
        <w:rPr>
          <w:rFonts w:ascii="Arial" w:hAnsi="Arial" w:cs="Arial"/>
          <w:sz w:val="21"/>
          <w:szCs w:val="21"/>
          <w:lang w:val="es-ES_tradnl"/>
        </w:rPr>
        <w:t xml:space="preserve"> nacionales y </w:t>
      </w:r>
      <w:proofErr w:type="spellStart"/>
      <w:r w:rsidRPr="00D07A0E">
        <w:rPr>
          <w:rFonts w:ascii="Arial" w:hAnsi="Arial" w:cs="Arial"/>
          <w:sz w:val="21"/>
          <w:szCs w:val="21"/>
          <w:lang w:val="es-ES_tradnl"/>
        </w:rPr>
        <w:t>Mipymes</w:t>
      </w:r>
      <w:proofErr w:type="spellEnd"/>
      <w:r w:rsidRPr="00D07A0E">
        <w:rPr>
          <w:rFonts w:ascii="Arial" w:hAnsi="Arial" w:cs="Arial"/>
          <w:sz w:val="21"/>
          <w:szCs w:val="21"/>
          <w:lang w:val="es-ES_tradnl"/>
        </w:rPr>
        <w:t xml:space="preserve"> municipales o departamentales, habida cuenta que estas últimas no existen como categoría dentro del ordenamiento normativo.</w:t>
      </w:r>
    </w:p>
    <w:p w14:paraId="60DFD0C7" w14:textId="77777777" w:rsidR="00AE02A1" w:rsidRPr="00D07A0E" w:rsidRDefault="00AE02A1" w:rsidP="00AE02A1">
      <w:pPr>
        <w:spacing w:after="0" w:line="240" w:lineRule="auto"/>
        <w:ind w:left="709" w:right="709"/>
        <w:jc w:val="both"/>
        <w:rPr>
          <w:rFonts w:ascii="Arial" w:hAnsi="Arial" w:cs="Arial"/>
          <w:sz w:val="21"/>
          <w:szCs w:val="21"/>
          <w:lang w:val="es-ES_tradnl"/>
        </w:rPr>
      </w:pPr>
      <w:r w:rsidRPr="00D07A0E">
        <w:rPr>
          <w:rFonts w:ascii="Arial" w:hAnsi="Arial" w:cs="Arial"/>
          <w:sz w:val="21"/>
          <w:szCs w:val="21"/>
          <w:lang w:val="es-ES_tradnl"/>
        </w:rPr>
        <w:t xml:space="preserve">Igualmente, se debe precisar que </w:t>
      </w:r>
      <w:r w:rsidRPr="00D07A0E">
        <w:rPr>
          <w:rFonts w:ascii="Arial" w:hAnsi="Arial" w:cs="Arial"/>
          <w:i/>
          <w:iCs/>
          <w:sz w:val="21"/>
          <w:szCs w:val="21"/>
          <w:lang w:val="es-ES_tradnl"/>
        </w:rPr>
        <w:t>el artículo 2.2.1.2.4.2.3 del Decreto 1082 de 2015 se refiere a las “</w:t>
      </w:r>
      <w:proofErr w:type="spellStart"/>
      <w:r w:rsidRPr="00D07A0E">
        <w:rPr>
          <w:rFonts w:ascii="Arial" w:hAnsi="Arial" w:cs="Arial"/>
          <w:i/>
          <w:iCs/>
          <w:sz w:val="21"/>
          <w:szCs w:val="21"/>
          <w:lang w:val="es-ES_tradnl"/>
        </w:rPr>
        <w:t>Mipyme</w:t>
      </w:r>
      <w:proofErr w:type="spellEnd"/>
      <w:r w:rsidRPr="00D07A0E">
        <w:rPr>
          <w:rFonts w:ascii="Arial" w:hAnsi="Arial" w:cs="Arial"/>
          <w:i/>
          <w:iCs/>
          <w:sz w:val="21"/>
          <w:szCs w:val="21"/>
          <w:lang w:val="es-ES_tradnl"/>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00D07A0E">
        <w:rPr>
          <w:rFonts w:ascii="Arial" w:hAnsi="Arial" w:cs="Arial"/>
          <w:i/>
          <w:iCs/>
          <w:sz w:val="21"/>
          <w:szCs w:val="21"/>
          <w:lang w:val="es-ES_tradnl"/>
        </w:rPr>
        <w:t>Mipyme</w:t>
      </w:r>
      <w:proofErr w:type="spellEnd"/>
      <w:r w:rsidRPr="00D07A0E">
        <w:rPr>
          <w:rFonts w:ascii="Arial" w:hAnsi="Arial" w:cs="Arial"/>
          <w:i/>
          <w:iCs/>
          <w:sz w:val="21"/>
          <w:szCs w:val="21"/>
          <w:lang w:val="es-ES_tradnl"/>
        </w:rPr>
        <w:t xml:space="preserve"> tiene su “domicilio”, y no en donde tiene sucursales</w:t>
      </w:r>
      <w:r>
        <w:rPr>
          <w:rFonts w:ascii="Arial" w:hAnsi="Arial" w:cs="Arial"/>
          <w:sz w:val="21"/>
          <w:szCs w:val="21"/>
          <w:lang w:val="es-ES_tradnl"/>
        </w:rPr>
        <w:t>”</w:t>
      </w:r>
      <w:r w:rsidRPr="00D07A0E">
        <w:rPr>
          <w:rStyle w:val="Refdenotaalpie"/>
          <w:rFonts w:ascii="Arial" w:hAnsi="Arial" w:cs="Arial"/>
          <w:i/>
          <w:iCs/>
          <w:sz w:val="21"/>
          <w:szCs w:val="21"/>
          <w:lang w:val="es-ES_tradnl"/>
        </w:rPr>
        <w:footnoteReference w:id="25"/>
      </w:r>
      <w:r w:rsidRPr="00D07A0E">
        <w:rPr>
          <w:rFonts w:ascii="Arial" w:hAnsi="Arial" w:cs="Arial"/>
          <w:sz w:val="21"/>
          <w:szCs w:val="21"/>
          <w:lang w:val="es-ES_tradnl"/>
        </w:rPr>
        <w:t>. (Énfasis fuera de texto)</w:t>
      </w:r>
    </w:p>
    <w:p w14:paraId="05595A68" w14:textId="77777777" w:rsidR="00AE02A1" w:rsidRPr="00D07A0E" w:rsidRDefault="00AE02A1" w:rsidP="00AE02A1">
      <w:pPr>
        <w:spacing w:after="0" w:line="276" w:lineRule="auto"/>
        <w:ind w:left="709" w:right="709"/>
        <w:jc w:val="both"/>
        <w:rPr>
          <w:rFonts w:ascii="Arial" w:hAnsi="Arial" w:cs="Arial"/>
          <w:lang w:val="es-ES_tradnl"/>
        </w:rPr>
      </w:pPr>
    </w:p>
    <w:p w14:paraId="4FEE01C6" w14:textId="77777777" w:rsidR="00AE02A1" w:rsidRPr="00D07A0E" w:rsidRDefault="00AE02A1" w:rsidP="00AE02A1">
      <w:pPr>
        <w:spacing w:after="120" w:line="276" w:lineRule="auto"/>
        <w:ind w:firstLine="709"/>
        <w:jc w:val="both"/>
        <w:rPr>
          <w:rFonts w:ascii="Arial" w:eastAsia="Calibri" w:hAnsi="Arial" w:cs="Arial"/>
          <w:lang w:val="es-ES_tradnl"/>
        </w:rPr>
      </w:pPr>
      <w:r w:rsidRPr="00D07A0E">
        <w:rPr>
          <w:rFonts w:ascii="Arial" w:hAnsi="Arial" w:cs="Arial"/>
          <w:lang w:val="es-ES_tradnl"/>
        </w:rPr>
        <w:t xml:space="preserve">Como se aprecia, la postura sostenida por esta Agencia en vigencia del artículo </w:t>
      </w:r>
      <w:r w:rsidRPr="00D07A0E">
        <w:rPr>
          <w:rFonts w:ascii="Arial" w:eastAsia="Calibri" w:hAnsi="Arial" w:cs="Arial"/>
          <w:lang w:val="es-ES_tradnl"/>
        </w:rPr>
        <w:t xml:space="preserve">2.2.1.2.4.2.3 del Decreto 1082 de 2015 no contemplaba la posibilidad de que una </w:t>
      </w:r>
      <w:proofErr w:type="spellStart"/>
      <w:r w:rsidRPr="00D07A0E">
        <w:rPr>
          <w:rFonts w:ascii="Arial" w:eastAsia="Calibri" w:hAnsi="Arial" w:cs="Arial"/>
          <w:lang w:val="es-ES_tradnl"/>
        </w:rPr>
        <w:t>Mipyme</w:t>
      </w:r>
      <w:proofErr w:type="spellEnd"/>
      <w:r w:rsidRPr="00D07A0E">
        <w:rPr>
          <w:rFonts w:ascii="Arial" w:eastAsia="Calibri" w:hAnsi="Arial" w:cs="Arial"/>
          <w:lang w:val="es-ES_tradnl"/>
        </w:rPr>
        <w:t xml:space="preserv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w:t>
      </w:r>
      <w:proofErr w:type="spellStart"/>
      <w:r w:rsidRPr="00D07A0E">
        <w:rPr>
          <w:rFonts w:ascii="Arial" w:eastAsia="Calibri" w:hAnsi="Arial" w:cs="Arial"/>
          <w:lang w:val="es-ES_tradnl"/>
        </w:rPr>
        <w:t>Mipyme</w:t>
      </w:r>
      <w:proofErr w:type="spellEnd"/>
      <w:r w:rsidRPr="00D07A0E">
        <w:rPr>
          <w:rFonts w:ascii="Arial" w:eastAsia="Calibri" w:hAnsi="Arial" w:cs="Arial"/>
          <w:lang w:val="es-ES_tradnl"/>
        </w:rPr>
        <w:t xml:space="preserve">. </w:t>
      </w:r>
    </w:p>
    <w:p w14:paraId="78C6F965" w14:textId="77777777" w:rsidR="00AE02A1" w:rsidRPr="00D07A0E" w:rsidRDefault="00AE02A1" w:rsidP="00AE02A1">
      <w:pPr>
        <w:spacing w:after="0" w:line="276" w:lineRule="auto"/>
        <w:ind w:firstLine="709"/>
        <w:jc w:val="both"/>
        <w:rPr>
          <w:rFonts w:ascii="Arial" w:eastAsia="Calibri" w:hAnsi="Arial" w:cs="Arial"/>
          <w:lang w:val="es-ES_tradnl"/>
        </w:rPr>
      </w:pPr>
      <w:r w:rsidRPr="00D07A0E">
        <w:rPr>
          <w:rFonts w:ascii="Arial" w:eastAsia="Calibri" w:hAnsi="Arial" w:cs="Arial"/>
          <w:lang w:val="es-ES_tradnl"/>
        </w:rPr>
        <w:t xml:space="preserve">Ahora bien, el texto del actual artículo 2.2.1.2.4.2.3, modificado por el artículo 5 del Decreto 1860 de 2021, no cambia la tesis adoptada en conceptos anteriores de Colombia Compra Eficiente. Lo anterior en la medida en que, respecto al domicilio de las </w:t>
      </w:r>
      <w:proofErr w:type="spellStart"/>
      <w:r w:rsidRPr="00D07A0E">
        <w:rPr>
          <w:rFonts w:ascii="Arial" w:eastAsia="Calibri" w:hAnsi="Arial" w:cs="Arial"/>
          <w:lang w:val="es-ES_tradnl"/>
        </w:rPr>
        <w:t>Mipyme</w:t>
      </w:r>
      <w:proofErr w:type="spellEnd"/>
      <w:r w:rsidRPr="00D07A0E">
        <w:rPr>
          <w:rFonts w:ascii="Arial" w:eastAsia="Calibri" w:hAnsi="Arial" w:cs="Arial"/>
          <w:lang w:val="es-ES_tradnl"/>
        </w:rPr>
        <w:t xml:space="preserve"> en el departamento o municipio donde se ejecuta el contrato, la reglamentación no tuvo cambios. Así se desprende del texto de la norma que es del siguiente tenor: </w:t>
      </w:r>
    </w:p>
    <w:p w14:paraId="045A8A30" w14:textId="77777777" w:rsidR="00AE02A1" w:rsidRPr="00D07A0E" w:rsidRDefault="00AE02A1" w:rsidP="00AE02A1">
      <w:pPr>
        <w:spacing w:after="0"/>
        <w:ind w:right="709"/>
        <w:jc w:val="both"/>
        <w:rPr>
          <w:rFonts w:ascii="Arial" w:hAnsi="Arial" w:cs="Arial"/>
          <w:sz w:val="21"/>
          <w:szCs w:val="21"/>
          <w:lang w:val="es-ES_tradnl"/>
        </w:rPr>
      </w:pPr>
    </w:p>
    <w:p w14:paraId="2073F588" w14:textId="77777777" w:rsidR="00AE02A1" w:rsidRPr="00D07A0E" w:rsidRDefault="00AE02A1" w:rsidP="00AE02A1">
      <w:pPr>
        <w:spacing w:after="0" w:line="240" w:lineRule="auto"/>
        <w:ind w:left="709" w:right="709"/>
        <w:jc w:val="both"/>
        <w:rPr>
          <w:rFonts w:ascii="Arial" w:hAnsi="Arial" w:cs="Arial"/>
          <w:sz w:val="21"/>
          <w:szCs w:val="21"/>
          <w:lang w:val="es-ES_tradnl"/>
        </w:rPr>
      </w:pPr>
      <w:r>
        <w:rPr>
          <w:rFonts w:ascii="Arial" w:hAnsi="Arial" w:cs="Arial"/>
          <w:sz w:val="21"/>
          <w:szCs w:val="21"/>
          <w:lang w:val="es-ES_tradnl"/>
        </w:rPr>
        <w:t>“</w:t>
      </w:r>
      <w:r w:rsidRPr="00D07A0E">
        <w:rPr>
          <w:rFonts w:ascii="Arial" w:hAnsi="Arial" w:cs="Arial"/>
          <w:sz w:val="21"/>
          <w:szCs w:val="21"/>
          <w:lang w:val="es-ES_tradnl"/>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1B9F2EB0" w14:textId="77777777" w:rsidR="00AE02A1" w:rsidRPr="00D07A0E" w:rsidRDefault="00AE02A1" w:rsidP="00AE02A1">
      <w:pPr>
        <w:spacing w:after="120" w:line="240" w:lineRule="auto"/>
        <w:ind w:left="709" w:right="709"/>
        <w:jc w:val="both"/>
        <w:rPr>
          <w:rFonts w:ascii="Arial" w:hAnsi="Arial" w:cs="Arial"/>
          <w:sz w:val="21"/>
          <w:szCs w:val="21"/>
          <w:lang w:val="es-ES_tradnl"/>
        </w:rPr>
      </w:pPr>
      <w:r w:rsidRPr="00D07A0E">
        <w:rPr>
          <w:rFonts w:ascii="Arial" w:hAnsi="Arial" w:cs="Arial"/>
          <w:sz w:val="21"/>
          <w:szCs w:val="21"/>
          <w:lang w:val="es-ES_tradnl"/>
        </w:rPr>
        <w:t>[…]</w:t>
      </w:r>
    </w:p>
    <w:p w14:paraId="44CEC5F7" w14:textId="77777777" w:rsidR="00AE02A1" w:rsidRPr="00D07A0E" w:rsidRDefault="00AE02A1" w:rsidP="00AE02A1">
      <w:pPr>
        <w:spacing w:after="0" w:line="240" w:lineRule="auto"/>
        <w:ind w:left="709" w:right="709"/>
        <w:jc w:val="both"/>
        <w:rPr>
          <w:rFonts w:ascii="Arial" w:eastAsia="Calibri" w:hAnsi="Arial" w:cs="Arial"/>
          <w:lang w:val="es-ES_tradnl"/>
        </w:rPr>
      </w:pPr>
      <w:r w:rsidRPr="00D07A0E">
        <w:rPr>
          <w:rFonts w:ascii="Arial" w:hAnsi="Arial" w:cs="Arial"/>
          <w:sz w:val="21"/>
          <w:szCs w:val="21"/>
          <w:lang w:val="es-ES_tradnl"/>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00D07A0E">
        <w:rPr>
          <w:rFonts w:ascii="Arial" w:hAnsi="Arial" w:cs="Arial"/>
          <w:sz w:val="21"/>
          <w:szCs w:val="21"/>
          <w:lang w:val="es-ES_tradnl"/>
        </w:rPr>
        <w:t>Mipyme</w:t>
      </w:r>
      <w:proofErr w:type="spellEnd"/>
      <w:r w:rsidRPr="00D07A0E">
        <w:rPr>
          <w:rFonts w:ascii="Arial" w:hAnsi="Arial" w:cs="Arial"/>
          <w:sz w:val="21"/>
          <w:szCs w:val="21"/>
          <w:lang w:val="es-ES_tradnl"/>
        </w:rPr>
        <w:t xml:space="preserve"> colombianas que tengan domicilio en los departamentos o municipios en donde se va a ejecutar </w:t>
      </w:r>
      <w:r w:rsidRPr="00D07A0E">
        <w:rPr>
          <w:rFonts w:ascii="Arial" w:hAnsi="Arial" w:cs="Arial"/>
          <w:sz w:val="21"/>
          <w:szCs w:val="21"/>
          <w:lang w:val="es-ES_tradnl"/>
        </w:rPr>
        <w:lastRenderedPageBreak/>
        <w:t xml:space="preserve">el contrato. Cada </w:t>
      </w:r>
      <w:proofErr w:type="spellStart"/>
      <w:r w:rsidRPr="00D07A0E">
        <w:rPr>
          <w:rFonts w:ascii="Arial" w:hAnsi="Arial" w:cs="Arial"/>
          <w:sz w:val="21"/>
          <w:szCs w:val="21"/>
          <w:lang w:val="es-ES_tradnl"/>
        </w:rPr>
        <w:t>Mipyme</w:t>
      </w:r>
      <w:proofErr w:type="spellEnd"/>
      <w:r w:rsidRPr="00D07A0E">
        <w:rPr>
          <w:rFonts w:ascii="Arial" w:hAnsi="Arial" w:cs="Arial"/>
          <w:sz w:val="21"/>
          <w:szCs w:val="21"/>
          <w:lang w:val="es-ES_tradnl"/>
        </w:rPr>
        <w:t xml:space="preserve"> deberá acreditar su domicilio con los documentos a los que se refiere el siguiente artículo</w:t>
      </w:r>
      <w:r>
        <w:rPr>
          <w:rFonts w:ascii="Arial" w:hAnsi="Arial" w:cs="Arial"/>
          <w:sz w:val="21"/>
          <w:szCs w:val="21"/>
          <w:lang w:val="es-ES_tradnl"/>
        </w:rPr>
        <w:t>”</w:t>
      </w:r>
      <w:r w:rsidRPr="00D07A0E">
        <w:rPr>
          <w:rFonts w:ascii="Arial" w:hAnsi="Arial" w:cs="Arial"/>
          <w:sz w:val="21"/>
          <w:szCs w:val="21"/>
          <w:lang w:val="es-ES_tradnl"/>
        </w:rPr>
        <w:t xml:space="preserve">. </w:t>
      </w:r>
    </w:p>
    <w:p w14:paraId="4B8D7F21" w14:textId="77777777" w:rsidR="00AE02A1" w:rsidRPr="00D07A0E" w:rsidRDefault="00AE02A1" w:rsidP="00AE02A1">
      <w:pPr>
        <w:spacing w:after="0" w:line="276" w:lineRule="auto"/>
        <w:ind w:left="709" w:right="709"/>
        <w:jc w:val="both"/>
        <w:rPr>
          <w:rFonts w:ascii="Arial" w:eastAsia="Calibri" w:hAnsi="Arial" w:cs="Arial"/>
          <w:lang w:val="es-ES_tradnl"/>
        </w:rPr>
      </w:pPr>
    </w:p>
    <w:p w14:paraId="0E52EC22" w14:textId="77777777" w:rsidR="00AE02A1" w:rsidRPr="00D07A0E" w:rsidRDefault="00AE02A1" w:rsidP="00AE02A1">
      <w:pPr>
        <w:spacing w:after="120" w:line="276" w:lineRule="auto"/>
        <w:ind w:firstLine="709"/>
        <w:jc w:val="both"/>
        <w:rPr>
          <w:rFonts w:ascii="Arial" w:eastAsia="Calibri" w:hAnsi="Arial" w:cs="Arial"/>
          <w:lang w:val="es-ES_tradnl"/>
        </w:rPr>
      </w:pPr>
      <w:r w:rsidRPr="00D07A0E">
        <w:rPr>
          <w:rFonts w:ascii="Arial" w:eastAsia="Calibri" w:hAnsi="Arial" w:cs="Arial"/>
          <w:lang w:val="es-ES_tradnl"/>
        </w:rPr>
        <w:t xml:space="preserve">La norma reglamentaria coincide con la redacción del parágrafo 1 del artículo 34 de la Ley 2069 de 2020, según el cual, “En los procesos de selección que se desarrollen con base en el primer inciso, las entidades podrán realizar las convocatorias limitadas que beneficien a las </w:t>
      </w:r>
      <w:proofErr w:type="spellStart"/>
      <w:r w:rsidRPr="00D07A0E">
        <w:rPr>
          <w:rFonts w:ascii="Arial" w:eastAsia="Calibri" w:hAnsi="Arial" w:cs="Arial"/>
          <w:lang w:val="es-ES_tradnl"/>
        </w:rPr>
        <w:t>Mipymes</w:t>
      </w:r>
      <w:proofErr w:type="spellEnd"/>
      <w:r w:rsidRPr="00D07A0E">
        <w:rPr>
          <w:rFonts w:ascii="Arial" w:eastAsia="Calibri" w:hAnsi="Arial" w:cs="Arial"/>
          <w:lang w:val="es-ES_tradnl"/>
        </w:rPr>
        <w:t xml:space="preserve"> del ámbito municipal o departamental correspondiente al de la ejecución del contrato”. En tales términos, la norma citada solo contempla la posibilidad de limitar convocatorias a </w:t>
      </w:r>
      <w:proofErr w:type="spellStart"/>
      <w:r w:rsidRPr="00D07A0E">
        <w:rPr>
          <w:rFonts w:ascii="Arial" w:eastAsia="Calibri" w:hAnsi="Arial" w:cs="Arial"/>
          <w:lang w:val="es-ES_tradnl"/>
        </w:rPr>
        <w:t>Mipymes</w:t>
      </w:r>
      <w:proofErr w:type="spellEnd"/>
      <w:r w:rsidRPr="00D07A0E">
        <w:rPr>
          <w:rFonts w:ascii="Arial" w:eastAsia="Calibri" w:hAnsi="Arial" w:cs="Arial"/>
          <w:lang w:val="es-ES_tradnl"/>
        </w:rPr>
        <w:t xml:space="preserve"> con domicilio en esos dos tipos de entidades territoriales. </w:t>
      </w:r>
    </w:p>
    <w:p w14:paraId="1E399158" w14:textId="77777777" w:rsidR="00AE02A1" w:rsidRPr="00D07A0E" w:rsidRDefault="00AE02A1" w:rsidP="00AE02A1">
      <w:pPr>
        <w:spacing w:after="120" w:line="276" w:lineRule="auto"/>
        <w:ind w:firstLine="709"/>
        <w:jc w:val="both"/>
        <w:rPr>
          <w:rFonts w:ascii="Arial" w:eastAsia="Arial" w:hAnsi="Arial" w:cs="Arial"/>
          <w:color w:val="000000"/>
          <w:lang w:val="es-ES_tradnl"/>
        </w:rPr>
      </w:pPr>
      <w:r w:rsidRPr="00D07A0E">
        <w:rPr>
          <w:rFonts w:ascii="Arial" w:eastAsia="Arial" w:hAnsi="Arial" w:cs="Arial"/>
          <w:color w:val="000000"/>
          <w:lang w:val="es-ES_tradnl"/>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D07A0E">
        <w:rPr>
          <w:rFonts w:ascii="Arial" w:eastAsia="Arial" w:hAnsi="Arial" w:cs="Arial"/>
          <w:color w:val="000000"/>
          <w:lang w:val="es-ES_tradnl"/>
        </w:rPr>
        <w:t>Mipyme</w:t>
      </w:r>
      <w:proofErr w:type="spellEnd"/>
      <w:r w:rsidRPr="00D07A0E">
        <w:rPr>
          <w:rFonts w:ascii="Arial" w:eastAsia="Arial" w:hAnsi="Arial" w:cs="Arial"/>
          <w:color w:val="000000"/>
          <w:lang w:val="es-ES_tradnl"/>
        </w:rPr>
        <w:t xml:space="preserve"> nacional. Además, las normas de contratación permiten que las </w:t>
      </w:r>
      <w:proofErr w:type="spellStart"/>
      <w:r w:rsidRPr="00D07A0E">
        <w:rPr>
          <w:rFonts w:ascii="Arial" w:eastAsia="Arial" w:hAnsi="Arial" w:cs="Arial"/>
          <w:color w:val="000000"/>
          <w:lang w:val="es-ES_tradnl"/>
        </w:rPr>
        <w:t>Mipyme</w:t>
      </w:r>
      <w:proofErr w:type="spellEnd"/>
      <w:r w:rsidRPr="00D07A0E">
        <w:rPr>
          <w:rFonts w:ascii="Arial" w:eastAsia="Arial" w:hAnsi="Arial" w:cs="Arial"/>
          <w:color w:val="000000"/>
          <w:lang w:val="es-ES_tradnl"/>
        </w:rPr>
        <w:t xml:space="preserve"> nacionales puedan beneficiarse de la ejecución de un contrato dentro de la entidad territorial en la que tienen su “domicilio”. </w:t>
      </w:r>
    </w:p>
    <w:p w14:paraId="2189B144" w14:textId="77777777" w:rsidR="00AE02A1" w:rsidRPr="00D07A0E" w:rsidRDefault="00AE02A1" w:rsidP="00AE02A1">
      <w:pPr>
        <w:spacing w:after="120" w:line="276" w:lineRule="auto"/>
        <w:ind w:firstLine="709"/>
        <w:jc w:val="both"/>
        <w:rPr>
          <w:rFonts w:ascii="Arial" w:eastAsia="Arial" w:hAnsi="Arial" w:cs="Arial"/>
          <w:color w:val="000000"/>
          <w:lang w:val="es-ES_tradnl"/>
        </w:rPr>
      </w:pPr>
      <w:r w:rsidRPr="00D07A0E">
        <w:rPr>
          <w:rFonts w:ascii="Arial" w:eastAsia="Arial" w:hAnsi="Arial" w:cs="Arial"/>
          <w:color w:val="000000"/>
          <w:lang w:val="es-ES_tradnl"/>
        </w:rPr>
        <w:t xml:space="preserve">No puede perderse de vista que la decisión de limitar “a </w:t>
      </w:r>
      <w:proofErr w:type="spellStart"/>
      <w:r w:rsidRPr="00D07A0E">
        <w:rPr>
          <w:rFonts w:ascii="Arial" w:eastAsia="Arial" w:hAnsi="Arial" w:cs="Arial"/>
          <w:color w:val="000000"/>
          <w:lang w:val="es-ES_tradnl"/>
        </w:rPr>
        <w:t>Mipyme</w:t>
      </w:r>
      <w:proofErr w:type="spellEnd"/>
      <w:r w:rsidRPr="00D07A0E">
        <w:rPr>
          <w:rFonts w:ascii="Arial" w:eastAsia="Arial" w:hAnsi="Arial" w:cs="Arial"/>
          <w:color w:val="000000"/>
          <w:lang w:val="es-ES_tradnl"/>
        </w:rPr>
        <w:t xml:space="preserve">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 En ese sentido, si la entidad no recibió las solicitudes para limitar la convocatoria a </w:t>
      </w:r>
      <w:proofErr w:type="spellStart"/>
      <w:r w:rsidRPr="00D07A0E">
        <w:rPr>
          <w:rFonts w:ascii="Arial" w:eastAsia="Arial" w:hAnsi="Arial" w:cs="Arial"/>
          <w:color w:val="000000"/>
          <w:lang w:val="es-ES_tradnl"/>
        </w:rPr>
        <w:t>Mipyme</w:t>
      </w:r>
      <w:proofErr w:type="spellEnd"/>
      <w:r w:rsidRPr="00D07A0E">
        <w:rPr>
          <w:rFonts w:ascii="Arial" w:eastAsia="Arial" w:hAnsi="Arial" w:cs="Arial"/>
          <w:color w:val="000000"/>
          <w:lang w:val="es-ES_tradnl"/>
        </w:rPr>
        <w:t xml:space="preserve">, no puede </w:t>
      </w:r>
      <w:r w:rsidRPr="00D07A0E">
        <w:rPr>
          <w:rFonts w:ascii="Arial" w:eastAsia="Arial" w:hAnsi="Arial" w:cs="Arial"/>
          <w:i/>
          <w:color w:val="000000"/>
          <w:lang w:val="es-ES_tradnl"/>
        </w:rPr>
        <w:t xml:space="preserve">motu proprio </w:t>
      </w:r>
      <w:r w:rsidRPr="00D07A0E">
        <w:rPr>
          <w:rFonts w:ascii="Arial" w:eastAsia="Arial" w:hAnsi="Arial" w:cs="Arial"/>
          <w:color w:val="000000"/>
          <w:lang w:val="es-ES_tradnl"/>
        </w:rPr>
        <w:t xml:space="preserve">proceder con la “limitación territorial” de que trata el artículo 2.2.1.2.4.2.3 del Decreto 1082 de 2015. Esto debido a que el ejercicio de esta facultad solo puede darse ante la “limitación a </w:t>
      </w:r>
      <w:proofErr w:type="spellStart"/>
      <w:r w:rsidRPr="00D07A0E">
        <w:rPr>
          <w:rFonts w:ascii="Arial" w:eastAsia="Arial" w:hAnsi="Arial" w:cs="Arial"/>
          <w:color w:val="000000"/>
          <w:lang w:val="es-ES_tradnl"/>
        </w:rPr>
        <w:t>Mipymes</w:t>
      </w:r>
      <w:proofErr w:type="spellEnd"/>
      <w:r w:rsidRPr="00D07A0E">
        <w:rPr>
          <w:rFonts w:ascii="Arial" w:eastAsia="Arial" w:hAnsi="Arial" w:cs="Arial"/>
          <w:color w:val="000000"/>
          <w:lang w:val="es-ES_tradnl"/>
        </w:rPr>
        <w:t xml:space="preserve"> colombianas”, lo cual supone verificar los supuestos legales establecidos en los mencionados numerales.</w:t>
      </w:r>
    </w:p>
    <w:p w14:paraId="3A623E71" w14:textId="77777777" w:rsidR="00AE02A1" w:rsidRPr="00D07A0E" w:rsidRDefault="00AE02A1" w:rsidP="00AE02A1">
      <w:pPr>
        <w:spacing w:after="120" w:line="276" w:lineRule="auto"/>
        <w:ind w:firstLine="708"/>
        <w:jc w:val="both"/>
        <w:rPr>
          <w:rFonts w:ascii="Arial" w:hAnsi="Arial" w:cs="Arial"/>
          <w:color w:val="000000" w:themeColor="text1"/>
        </w:rPr>
      </w:pPr>
      <w:r w:rsidRPr="00D07A0E">
        <w:rPr>
          <w:rFonts w:ascii="Arial" w:hAnsi="Arial" w:cs="Arial"/>
          <w:color w:val="000000" w:themeColor="text1"/>
        </w:rPr>
        <w:t xml:space="preserve">Cumplidos los dos requisitos del artículo 2.2.1.2.4.2.2 </w:t>
      </w:r>
      <w:proofErr w:type="spellStart"/>
      <w:r w:rsidRPr="00D07A0E">
        <w:rPr>
          <w:rFonts w:ascii="Arial" w:hAnsi="Arial" w:cs="Arial"/>
          <w:i/>
          <w:iCs/>
          <w:color w:val="000000" w:themeColor="text1"/>
        </w:rPr>
        <w:t>ibídem</w:t>
      </w:r>
      <w:proofErr w:type="spellEnd"/>
      <w:r w:rsidRPr="00D07A0E">
        <w:rPr>
          <w:rFonts w:ascii="Arial" w:hAnsi="Arial" w:cs="Arial"/>
          <w:color w:val="000000" w:themeColor="text1"/>
        </w:rPr>
        <w:t xml:space="preserve">, la entidad estatal, independientemente de su régimen de contratación, los patrimonios autónomos constituidos por entidades estatales y los particulares que ejecuten recursos públicos, pueden ─sin estar obligadas─ decidir si limitan la convocatoria a las </w:t>
      </w:r>
      <w:proofErr w:type="spellStart"/>
      <w:r w:rsidRPr="00D07A0E">
        <w:rPr>
          <w:rFonts w:ascii="Arial" w:hAnsi="Arial" w:cs="Arial"/>
          <w:color w:val="000000" w:themeColor="text1"/>
        </w:rPr>
        <w:t>Mipyme</w:t>
      </w:r>
      <w:proofErr w:type="spellEnd"/>
      <w:r w:rsidRPr="00D07A0E">
        <w:rPr>
          <w:rFonts w:ascii="Arial" w:hAnsi="Arial" w:cs="Arial"/>
          <w:color w:val="000000" w:themeColor="text1"/>
        </w:rPr>
        <w:t xml:space="preserve"> colombianas domiciliadas en el municipio o departamento en el que se ejecutará el contrato. Esto de acuerdo con el artículo 2.2.1.2.4.2.3 del Decreto 1082 de 2015 </w:t>
      </w:r>
      <w:r w:rsidRPr="00D07A0E">
        <w:rPr>
          <w:rFonts w:ascii="Arial" w:eastAsia="Arial" w:hAnsi="Arial" w:cs="Arial"/>
          <w:color w:val="000000"/>
          <w:lang w:val="es-ES_tradnl"/>
        </w:rPr>
        <w:t>modificado por el Decreto 1860 de 2021</w:t>
      </w:r>
      <w:r w:rsidRPr="00D07A0E">
        <w:rPr>
          <w:rFonts w:ascii="Arial" w:hAnsi="Arial" w:cs="Arial"/>
          <w:color w:val="000000" w:themeColor="text1"/>
        </w:rPr>
        <w:t xml:space="preserve">, norma que se refiere a la facultad de la administración con el verbo infinitivo “poder”, no “deber”. </w:t>
      </w:r>
    </w:p>
    <w:p w14:paraId="66024C7D" w14:textId="77777777" w:rsidR="00AE02A1" w:rsidRPr="00D07A0E" w:rsidRDefault="00AE02A1" w:rsidP="00AE02A1">
      <w:pPr>
        <w:spacing w:after="120" w:line="276" w:lineRule="auto"/>
        <w:ind w:firstLine="709"/>
        <w:jc w:val="both"/>
        <w:rPr>
          <w:rFonts w:ascii="Arial" w:eastAsia="Calibri" w:hAnsi="Arial" w:cs="Arial"/>
          <w:color w:val="000000" w:themeColor="text1"/>
        </w:rPr>
      </w:pPr>
      <w:r w:rsidRPr="00D07A0E">
        <w:rPr>
          <w:rFonts w:ascii="Arial" w:eastAsia="Calibri" w:hAnsi="Arial" w:cs="Arial"/>
          <w:color w:val="000000" w:themeColor="text1"/>
        </w:rPr>
        <w:t>Colombia Compra Eficiente ha sostenido que la decisión de limitar territorialmente un</w:t>
      </w:r>
      <w:r w:rsidRPr="00D07A0E">
        <w:rPr>
          <w:rFonts w:ascii="Arial" w:hAnsi="Arial" w:cs="Arial"/>
          <w:color w:val="000000" w:themeColor="text1"/>
        </w:rPr>
        <w:t xml:space="preserve">a convocatoria a </w:t>
      </w:r>
      <w:proofErr w:type="spellStart"/>
      <w:r w:rsidRPr="00D07A0E">
        <w:rPr>
          <w:rFonts w:ascii="Arial" w:hAnsi="Arial" w:cs="Arial"/>
          <w:color w:val="000000" w:themeColor="text1"/>
        </w:rPr>
        <w:t>Mipyme</w:t>
      </w:r>
      <w:proofErr w:type="spellEnd"/>
      <w:r w:rsidRPr="00D07A0E">
        <w:rPr>
          <w:rFonts w:ascii="Arial" w:hAnsi="Arial" w:cs="Arial"/>
          <w:color w:val="000000" w:themeColor="text1"/>
        </w:rPr>
        <w:t xml:space="preserve"> </w:t>
      </w:r>
      <w:r w:rsidRPr="00D07A0E">
        <w:rPr>
          <w:rFonts w:ascii="Arial" w:eastAsia="Calibri" w:hAnsi="Arial" w:cs="Arial"/>
          <w:color w:val="000000" w:themeColor="text1"/>
        </w:rPr>
        <w:t xml:space="preserve">es discrecional, y ha precisado que, de todos modos, esta debe justificarse con fundamento en los correspondientes “estudios del sector”. Así lo consideró en la consulta No. 216130003241, resuelta el 30 de junio de 2016. Igualmente, en la consulta resuelta en el radicado No. 2201813000008184 del 7 de septiembre de 2019, se </w:t>
      </w:r>
      <w:r w:rsidRPr="00D07A0E">
        <w:rPr>
          <w:rFonts w:ascii="Arial" w:eastAsia="Calibri" w:hAnsi="Arial" w:cs="Arial"/>
          <w:color w:val="000000" w:themeColor="text1"/>
        </w:rPr>
        <w:lastRenderedPageBreak/>
        <w:t xml:space="preserve">explicó que, de acuerdo con el </w:t>
      </w:r>
      <w:r w:rsidRPr="00D07A0E">
        <w:rPr>
          <w:rFonts w:ascii="Arial" w:hAnsi="Arial" w:cs="Arial"/>
          <w:color w:val="000000" w:themeColor="text1"/>
        </w:rPr>
        <w:t xml:space="preserve">artículo 2.2.1.2.4.2.3 del Decreto 1082 de 2015, las </w:t>
      </w:r>
      <w:proofErr w:type="spellStart"/>
      <w:r w:rsidRPr="00D07A0E">
        <w:rPr>
          <w:rFonts w:ascii="Arial" w:hAnsi="Arial" w:cs="Arial"/>
          <w:color w:val="000000" w:themeColor="text1"/>
        </w:rPr>
        <w:t>Mipyme</w:t>
      </w:r>
      <w:proofErr w:type="spellEnd"/>
      <w:r w:rsidRPr="00D07A0E">
        <w:rPr>
          <w:rFonts w:ascii="Arial" w:eastAsia="Calibri" w:hAnsi="Arial" w:cs="Arial"/>
          <w:color w:val="000000" w:themeColor="text1"/>
        </w:rPr>
        <w:t xml:space="preserve"> beneficiadas deben tener su domicilio principal en el municipio o departamento donde se ejecutará el contrato para participar en una convocatoria limitada territorialmente.</w:t>
      </w:r>
      <w:r w:rsidRPr="00D07A0E">
        <w:rPr>
          <w:rFonts w:ascii="Arial" w:hAnsi="Arial" w:cs="Arial"/>
          <w:color w:val="000000" w:themeColor="text1"/>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 lo cual es congruente como el verbo “podrán” del parágrafo primero del artículo 34 de la Ley de Emprendimiento.</w:t>
      </w:r>
    </w:p>
    <w:p w14:paraId="013D56A4" w14:textId="77777777" w:rsidR="00AE02A1" w:rsidRPr="00D07A0E" w:rsidRDefault="00AE02A1" w:rsidP="00AE02A1">
      <w:pPr>
        <w:spacing w:after="120" w:line="276" w:lineRule="auto"/>
        <w:ind w:firstLine="709"/>
        <w:jc w:val="both"/>
        <w:rPr>
          <w:rFonts w:ascii="Arial" w:eastAsia="Calibri" w:hAnsi="Arial" w:cs="Arial"/>
          <w:color w:val="000000" w:themeColor="text1"/>
        </w:rPr>
      </w:pPr>
      <w:r w:rsidRPr="00D07A0E">
        <w:rPr>
          <w:rFonts w:ascii="Arial" w:hAnsi="Arial" w:cs="Arial"/>
          <w:color w:val="000000" w:themeColor="text1"/>
        </w:rPr>
        <w:t xml:space="preserve">En tal sentido, </w:t>
      </w:r>
      <w:r w:rsidRPr="00D07A0E">
        <w:rPr>
          <w:rFonts w:ascii="Arial" w:eastAsia="Calibri" w:hAnsi="Arial" w:cs="Arial"/>
          <w:color w:val="000000" w:themeColor="text1"/>
        </w:rPr>
        <w:t>lo que debe adoptarse obligatoriamente es la</w:t>
      </w:r>
      <w:r w:rsidRPr="00D07A0E">
        <w:rPr>
          <w:rFonts w:ascii="Arial" w:hAnsi="Arial" w:cs="Arial"/>
          <w:color w:val="000000" w:themeColor="text1"/>
        </w:rPr>
        <w:t xml:space="preserve"> limitación a </w:t>
      </w:r>
      <w:proofErr w:type="spellStart"/>
      <w:r w:rsidRPr="00D07A0E">
        <w:rPr>
          <w:rFonts w:ascii="Arial" w:hAnsi="Arial" w:cs="Arial"/>
          <w:color w:val="000000" w:themeColor="text1"/>
        </w:rPr>
        <w:t>Mipymes</w:t>
      </w:r>
      <w:proofErr w:type="spellEnd"/>
      <w:r w:rsidRPr="00D07A0E">
        <w:rPr>
          <w:rFonts w:ascii="Arial" w:hAnsi="Arial" w:cs="Arial"/>
          <w:color w:val="000000" w:themeColor="text1"/>
        </w:rPr>
        <w:t xml:space="preserve"> colombianas</w:t>
      </w:r>
      <w:r w:rsidRPr="00D07A0E">
        <w:rPr>
          <w:rFonts w:ascii="Arial" w:eastAsia="Calibri" w:hAnsi="Arial" w:cs="Arial"/>
          <w:color w:val="000000" w:themeColor="text1"/>
        </w:rPr>
        <w:t xml:space="preserve"> siempre que se cumplan las condiciones del artículo 2.2.1.2.4.2.2 del Decreto 1082 de 2015, pero no la “limitación territorial” referida en el artículo 2.2.1.2.4.2.3 </w:t>
      </w:r>
      <w:proofErr w:type="spellStart"/>
      <w:r w:rsidRPr="00D07A0E">
        <w:rPr>
          <w:rFonts w:ascii="Arial" w:eastAsia="Calibri" w:hAnsi="Arial" w:cs="Arial"/>
          <w:i/>
          <w:iCs/>
          <w:color w:val="000000" w:themeColor="text1"/>
        </w:rPr>
        <w:t>ibídem</w:t>
      </w:r>
      <w:proofErr w:type="spellEnd"/>
      <w:r w:rsidRPr="00D07A0E">
        <w:rPr>
          <w:rFonts w:ascii="Arial" w:eastAsia="Calibri" w:hAnsi="Arial" w:cs="Arial"/>
          <w:color w:val="000000" w:themeColor="text1"/>
        </w:rPr>
        <w:t>, pues esta es facultativa para la entidad. Las únicas exigencias son que la convocatoria esté l</w:t>
      </w:r>
      <w:r w:rsidRPr="00D07A0E">
        <w:rPr>
          <w:rFonts w:ascii="Arial" w:hAnsi="Arial" w:cs="Arial"/>
          <w:color w:val="000000" w:themeColor="text1"/>
        </w:rPr>
        <w:t xml:space="preserve">imitada a las </w:t>
      </w:r>
      <w:proofErr w:type="spellStart"/>
      <w:r w:rsidRPr="00D07A0E">
        <w:rPr>
          <w:rFonts w:ascii="Arial" w:hAnsi="Arial" w:cs="Arial"/>
          <w:color w:val="000000" w:themeColor="text1"/>
        </w:rPr>
        <w:t>Mipyme</w:t>
      </w:r>
      <w:proofErr w:type="spellEnd"/>
      <w:r w:rsidRPr="00D07A0E">
        <w:rPr>
          <w:rFonts w:ascii="Arial" w:hAnsi="Arial" w:cs="Arial"/>
          <w:color w:val="000000" w:themeColor="text1"/>
        </w:rPr>
        <w:t xml:space="preserve"> colombianas</w:t>
      </w:r>
      <w:r w:rsidRPr="00D07A0E">
        <w:rPr>
          <w:rFonts w:ascii="Arial" w:eastAsia="Calibri" w:hAnsi="Arial" w:cs="Arial"/>
          <w:color w:val="000000" w:themeColor="text1"/>
        </w:rPr>
        <w:t xml:space="preserve"> “domiciliadas en los departamentos o municipios en donde se va a ejecutar el contrato” y que la entidad justifique su decisión con base en los “estudios del sector”</w:t>
      </w:r>
      <w:r w:rsidRPr="00D07A0E">
        <w:rPr>
          <w:rStyle w:val="Refdenotaalpie"/>
          <w:rFonts w:ascii="Arial" w:eastAsia="Calibri" w:hAnsi="Arial" w:cs="Arial"/>
          <w:color w:val="000000" w:themeColor="text1"/>
        </w:rPr>
        <w:footnoteReference w:id="26"/>
      </w:r>
      <w:r w:rsidRPr="00D07A0E">
        <w:rPr>
          <w:rFonts w:ascii="Arial" w:eastAsia="Calibri" w:hAnsi="Arial" w:cs="Arial"/>
          <w:color w:val="000000" w:themeColor="text1"/>
        </w:rPr>
        <w:t xml:space="preserve">. No es procedente, entonces, que sean las </w:t>
      </w:r>
      <w:proofErr w:type="spellStart"/>
      <w:r w:rsidRPr="00D07A0E">
        <w:rPr>
          <w:rFonts w:ascii="Arial" w:eastAsia="Calibri" w:hAnsi="Arial" w:cs="Arial"/>
          <w:color w:val="000000" w:themeColor="text1"/>
        </w:rPr>
        <w:t>Mipymes</w:t>
      </w:r>
      <w:proofErr w:type="spellEnd"/>
      <w:r w:rsidRPr="00D07A0E">
        <w:rPr>
          <w:rFonts w:ascii="Arial" w:eastAsia="Calibri" w:hAnsi="Arial" w:cs="Arial"/>
          <w:color w:val="000000" w:themeColor="text1"/>
        </w:rPr>
        <w:t xml:space="preserve"> las que soliciten la “limitación territorial” a la que se refiere el artículo 2.2.1.2.4.2.3 del Decreto 1082 de 2015. </w:t>
      </w:r>
    </w:p>
    <w:p w14:paraId="29319564" w14:textId="77777777" w:rsidR="00AE02A1" w:rsidRPr="00D07A0E" w:rsidRDefault="00AE02A1" w:rsidP="00AE02A1">
      <w:pPr>
        <w:spacing w:after="120" w:line="276" w:lineRule="auto"/>
        <w:ind w:firstLine="709"/>
        <w:jc w:val="both"/>
        <w:rPr>
          <w:rFonts w:ascii="Arial" w:eastAsia="Calibri" w:hAnsi="Arial" w:cs="Arial"/>
          <w:color w:val="000000" w:themeColor="text1"/>
        </w:rPr>
      </w:pPr>
      <w:r w:rsidRPr="00D07A0E">
        <w:rPr>
          <w:rFonts w:ascii="Arial" w:eastAsia="Calibri" w:hAnsi="Arial" w:cs="Arial"/>
          <w:color w:val="000000" w:themeColor="text1"/>
        </w:rPr>
        <w:t>E</w:t>
      </w:r>
      <w:r w:rsidRPr="00D07A0E">
        <w:rPr>
          <w:rFonts w:ascii="Arial" w:hAnsi="Arial" w:cs="Arial"/>
          <w:color w:val="000000" w:themeColor="text1"/>
        </w:rPr>
        <w:t xml:space="preserve">l origen de las </w:t>
      </w:r>
      <w:proofErr w:type="spellStart"/>
      <w:r w:rsidRPr="00D07A0E">
        <w:rPr>
          <w:rFonts w:ascii="Arial" w:hAnsi="Arial" w:cs="Arial"/>
          <w:color w:val="000000" w:themeColor="text1"/>
        </w:rPr>
        <w:t>Mipyme</w:t>
      </w:r>
      <w:proofErr w:type="spellEnd"/>
      <w:r w:rsidRPr="00D07A0E">
        <w:rPr>
          <w:rFonts w:ascii="Arial" w:eastAsia="Calibri" w:hAnsi="Arial" w:cs="Arial"/>
          <w:color w:val="000000" w:themeColor="text1"/>
        </w:rPr>
        <w:t xml:space="preserve"> que solicitan la “limitación territorial” no es relevante frente a dicha decisión por dos razo</w:t>
      </w:r>
      <w:r w:rsidRPr="00D07A0E">
        <w:rPr>
          <w:rFonts w:ascii="Arial" w:hAnsi="Arial" w:cs="Arial"/>
          <w:color w:val="000000" w:themeColor="text1"/>
        </w:rPr>
        <w:t xml:space="preserve">nes: primero, porque las </w:t>
      </w:r>
      <w:proofErr w:type="spellStart"/>
      <w:r w:rsidRPr="00D07A0E">
        <w:rPr>
          <w:rFonts w:ascii="Arial" w:hAnsi="Arial" w:cs="Arial"/>
          <w:color w:val="000000" w:themeColor="text1"/>
        </w:rPr>
        <w:t>Mipyme</w:t>
      </w:r>
      <w:proofErr w:type="spellEnd"/>
      <w:r w:rsidRPr="00D07A0E">
        <w:rPr>
          <w:rFonts w:ascii="Arial" w:eastAsia="Calibri" w:hAnsi="Arial" w:cs="Arial"/>
          <w:color w:val="000000" w:themeColor="text1"/>
        </w:rPr>
        <w:t xml:space="preserve"> no están habilitadas para pedir la “limitación territorial”, lo están para pedir la “convocatoria limitada a </w:t>
      </w:r>
      <w:proofErr w:type="spellStart"/>
      <w:r w:rsidRPr="00D07A0E">
        <w:rPr>
          <w:rFonts w:ascii="Arial" w:eastAsia="Calibri" w:hAnsi="Arial" w:cs="Arial"/>
          <w:color w:val="000000" w:themeColor="text1"/>
        </w:rPr>
        <w:t>Mipymes</w:t>
      </w:r>
      <w:proofErr w:type="spellEnd"/>
      <w:r w:rsidRPr="00D07A0E">
        <w:rPr>
          <w:rFonts w:ascii="Arial" w:eastAsia="Calibri" w:hAnsi="Arial" w:cs="Arial"/>
          <w:color w:val="000000" w:themeColor="text1"/>
        </w:rPr>
        <w:t>”, y, segundo, porque el único criterio para tener en cuenta, una vez se ha decidido justificadamente limitar territorialmente la convocatori</w:t>
      </w:r>
      <w:r w:rsidRPr="00D07A0E">
        <w:rPr>
          <w:rFonts w:ascii="Arial" w:hAnsi="Arial" w:cs="Arial"/>
          <w:color w:val="000000" w:themeColor="text1"/>
        </w:rPr>
        <w:t xml:space="preserve">a previamente limitada a </w:t>
      </w:r>
      <w:proofErr w:type="spellStart"/>
      <w:r w:rsidRPr="00D07A0E">
        <w:rPr>
          <w:rFonts w:ascii="Arial" w:hAnsi="Arial" w:cs="Arial"/>
          <w:color w:val="000000" w:themeColor="text1"/>
        </w:rPr>
        <w:t>Mipyme</w:t>
      </w:r>
      <w:proofErr w:type="spellEnd"/>
      <w:r w:rsidRPr="00D07A0E">
        <w:rPr>
          <w:rFonts w:ascii="Arial" w:eastAsia="Calibri" w:hAnsi="Arial" w:cs="Arial"/>
          <w:color w:val="000000" w:themeColor="text1"/>
        </w:rPr>
        <w:t>, es el lugar donde se va a ejecutar el contrato.</w:t>
      </w:r>
    </w:p>
    <w:p w14:paraId="6E3CDF90" w14:textId="77777777" w:rsidR="00AE02A1" w:rsidRDefault="00AE02A1" w:rsidP="00AE02A1">
      <w:pPr>
        <w:spacing w:after="120" w:line="276" w:lineRule="auto"/>
        <w:ind w:firstLine="709"/>
        <w:jc w:val="both"/>
        <w:rPr>
          <w:rFonts w:ascii="Arial" w:eastAsia="Arial" w:hAnsi="Arial" w:cs="Arial"/>
          <w:color w:val="000000"/>
        </w:rPr>
      </w:pPr>
      <w:r w:rsidRPr="00D07A0E">
        <w:rPr>
          <w:rFonts w:ascii="Arial" w:eastAsia="Calibri" w:hAnsi="Arial" w:cs="Arial"/>
          <w:color w:val="000000" w:themeColor="text1"/>
        </w:rPr>
        <w:lastRenderedPageBreak/>
        <w:t xml:space="preserve">En resumen, la decisión de limitar o no territorialmente una convocatoria limitada a </w:t>
      </w:r>
      <w:proofErr w:type="spellStart"/>
      <w:r w:rsidRPr="00D07A0E">
        <w:rPr>
          <w:rFonts w:ascii="Arial" w:eastAsia="Calibri" w:hAnsi="Arial" w:cs="Arial"/>
          <w:color w:val="000000" w:themeColor="text1"/>
        </w:rPr>
        <w:t>Mipymes</w:t>
      </w:r>
      <w:proofErr w:type="spellEnd"/>
      <w:r w:rsidRPr="00D07A0E">
        <w:rPr>
          <w:rFonts w:ascii="Arial" w:eastAsia="Calibri" w:hAnsi="Arial" w:cs="Arial"/>
          <w:color w:val="000000" w:themeColor="text1"/>
        </w:rPr>
        <w:t xml:space="preserve"> nacionales es una facultad discrecional, de manera que</w:t>
      </w:r>
      <w:r w:rsidRPr="00D07A0E">
        <w:rPr>
          <w:rFonts w:ascii="Arial" w:eastAsia="Arial" w:hAnsi="Arial" w:cs="Arial"/>
          <w:color w:val="000000"/>
        </w:rPr>
        <w:t xml:space="preserve"> la entidad contratante valorará si es oportuno y conveniente adoptarla</w:t>
      </w:r>
      <w:r w:rsidRPr="00D07A0E">
        <w:rPr>
          <w:rStyle w:val="Refdenotaalpie"/>
          <w:rFonts w:ascii="Arial" w:eastAsia="Arial" w:hAnsi="Arial" w:cs="Arial"/>
          <w:color w:val="000000"/>
        </w:rPr>
        <w:footnoteReference w:id="27"/>
      </w:r>
      <w:r w:rsidRPr="00D07A0E">
        <w:rPr>
          <w:rFonts w:ascii="Arial" w:eastAsia="Arial" w:hAnsi="Arial" w:cs="Arial"/>
          <w:color w:val="000000"/>
        </w:rPr>
        <w:t>.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r>
        <w:rPr>
          <w:rFonts w:ascii="Arial" w:eastAsia="Arial" w:hAnsi="Arial" w:cs="Arial"/>
          <w:color w:val="000000"/>
        </w:rPr>
        <w:t xml:space="preserve"> En cada caso concreto, las consecuencias del incumplimiento de este deber serán analizadas por el juez del contrato previo ejercicio del derecho de acción, bajo en el entendido que la falsa de motivación es uno de los vicios invalidantes de los actos administrativos –art. 137, inc. 2, de la Ley 1437 de 2011–.  </w:t>
      </w:r>
      <w:r w:rsidRPr="00D07A0E">
        <w:rPr>
          <w:rFonts w:ascii="Arial" w:eastAsia="Arial" w:hAnsi="Arial" w:cs="Arial"/>
          <w:color w:val="000000"/>
        </w:rPr>
        <w:t xml:space="preserve"> </w:t>
      </w:r>
    </w:p>
    <w:p w14:paraId="30599289" w14:textId="77777777" w:rsidR="00AE02A1" w:rsidRDefault="00AE02A1" w:rsidP="00AE02A1">
      <w:pPr>
        <w:spacing w:after="0" w:line="276" w:lineRule="auto"/>
        <w:ind w:firstLine="709"/>
        <w:jc w:val="both"/>
        <w:rPr>
          <w:rFonts w:ascii="Arial" w:eastAsia="Arial" w:hAnsi="Arial" w:cs="Arial"/>
          <w:color w:val="000000"/>
        </w:rPr>
      </w:pPr>
      <w:r>
        <w:rPr>
          <w:rFonts w:ascii="Arial" w:eastAsia="Arial" w:hAnsi="Arial" w:cs="Arial"/>
          <w:color w:val="000000"/>
        </w:rPr>
        <w:t xml:space="preserve">Lo importante es que si la convocatoria de se limita a </w:t>
      </w:r>
      <w:proofErr w:type="spellStart"/>
      <w:r>
        <w:rPr>
          <w:rFonts w:ascii="Arial" w:eastAsia="Arial" w:hAnsi="Arial" w:cs="Arial"/>
          <w:color w:val="000000"/>
        </w:rPr>
        <w:t>Mipymes</w:t>
      </w:r>
      <w:proofErr w:type="spellEnd"/>
      <w:r>
        <w:rPr>
          <w:rFonts w:ascii="Arial" w:eastAsia="Arial" w:hAnsi="Arial" w:cs="Arial"/>
          <w:color w:val="000000"/>
        </w:rPr>
        <w:t xml:space="preserve"> nacionales, quedan excluidos no solo las grandes empresas ubicadas en el territorio colombiano sino también los proponentes extranjeros. En otras palabras, el inciso primero del artículo 12 de la Ley 1150 de 2007 y el artículo </w:t>
      </w:r>
      <w:r w:rsidRPr="00D07A0E">
        <w:rPr>
          <w:rFonts w:ascii="Arial" w:eastAsia="Calibri" w:hAnsi="Arial" w:cs="Arial"/>
          <w:color w:val="000000" w:themeColor="text1"/>
        </w:rPr>
        <w:t>2.2.1.2.4.2.2</w:t>
      </w:r>
      <w:r>
        <w:rPr>
          <w:rFonts w:ascii="Arial" w:eastAsia="Calibri" w:hAnsi="Arial" w:cs="Arial"/>
          <w:color w:val="000000" w:themeColor="text1"/>
        </w:rPr>
        <w:t xml:space="preserve"> del Decreto 1082 de 2015 establece un trato preferencial </w:t>
      </w:r>
      <w:proofErr w:type="gramStart"/>
      <w:r>
        <w:rPr>
          <w:rFonts w:ascii="Arial" w:eastAsia="Calibri" w:hAnsi="Arial" w:cs="Arial"/>
          <w:color w:val="000000" w:themeColor="text1"/>
        </w:rPr>
        <w:t>en razón de</w:t>
      </w:r>
      <w:proofErr w:type="gramEnd"/>
      <w:r>
        <w:rPr>
          <w:rFonts w:ascii="Arial" w:eastAsia="Calibri" w:hAnsi="Arial" w:cs="Arial"/>
          <w:color w:val="000000" w:themeColor="text1"/>
        </w:rPr>
        <w:t xml:space="preserve"> la nacionalidad. En contraste, si la </w:t>
      </w:r>
      <w:r w:rsidRPr="00884F6C">
        <w:rPr>
          <w:rFonts w:ascii="Arial" w:eastAsia="Calibri" w:hAnsi="Arial" w:cs="Arial"/>
          <w:color w:val="000000" w:themeColor="text1"/>
        </w:rPr>
        <w:t>convocatoria limitada benefici</w:t>
      </w:r>
      <w:r>
        <w:rPr>
          <w:rFonts w:ascii="Arial" w:eastAsia="Calibri" w:hAnsi="Arial" w:cs="Arial"/>
          <w:color w:val="000000" w:themeColor="text1"/>
        </w:rPr>
        <w:t>a</w:t>
      </w:r>
      <w:r w:rsidRPr="00884F6C">
        <w:rPr>
          <w:rFonts w:ascii="Arial" w:eastAsia="Calibri" w:hAnsi="Arial" w:cs="Arial"/>
          <w:color w:val="000000" w:themeColor="text1"/>
        </w:rPr>
        <w:t xml:space="preserve"> a las </w:t>
      </w:r>
      <w:proofErr w:type="spellStart"/>
      <w:r w:rsidRPr="00884F6C">
        <w:rPr>
          <w:rFonts w:ascii="Arial" w:eastAsia="Calibri" w:hAnsi="Arial" w:cs="Arial"/>
          <w:color w:val="000000" w:themeColor="text1"/>
        </w:rPr>
        <w:t>Mipyme</w:t>
      </w:r>
      <w:r>
        <w:rPr>
          <w:rFonts w:ascii="Arial" w:eastAsia="Calibri" w:hAnsi="Arial" w:cs="Arial"/>
          <w:color w:val="000000" w:themeColor="text1"/>
        </w:rPr>
        <w:t>s</w:t>
      </w:r>
      <w:proofErr w:type="spellEnd"/>
      <w:r w:rsidRPr="00884F6C">
        <w:rPr>
          <w:rFonts w:ascii="Arial" w:eastAsia="Calibri" w:hAnsi="Arial" w:cs="Arial"/>
          <w:color w:val="000000" w:themeColor="text1"/>
        </w:rPr>
        <w:t xml:space="preserve"> </w:t>
      </w:r>
      <w:r>
        <w:rPr>
          <w:rFonts w:ascii="Arial" w:eastAsia="Calibri" w:hAnsi="Arial" w:cs="Arial"/>
          <w:color w:val="000000" w:themeColor="text1"/>
        </w:rPr>
        <w:t>del</w:t>
      </w:r>
      <w:r w:rsidRPr="00884F6C">
        <w:rPr>
          <w:rFonts w:ascii="Arial" w:eastAsia="Calibri" w:hAnsi="Arial" w:cs="Arial"/>
          <w:color w:val="000000" w:themeColor="text1"/>
        </w:rPr>
        <w:t xml:space="preserve"> municip</w:t>
      </w:r>
      <w:r>
        <w:rPr>
          <w:rFonts w:ascii="Arial" w:eastAsia="Calibri" w:hAnsi="Arial" w:cs="Arial"/>
          <w:color w:val="000000" w:themeColor="text1"/>
        </w:rPr>
        <w:t xml:space="preserve">io </w:t>
      </w:r>
      <w:r w:rsidRPr="00884F6C">
        <w:rPr>
          <w:rFonts w:ascii="Arial" w:eastAsia="Calibri" w:hAnsi="Arial" w:cs="Arial"/>
          <w:color w:val="000000" w:themeColor="text1"/>
        </w:rPr>
        <w:t>o departamen</w:t>
      </w:r>
      <w:r>
        <w:rPr>
          <w:rFonts w:ascii="Arial" w:eastAsia="Calibri" w:hAnsi="Arial" w:cs="Arial"/>
          <w:color w:val="000000" w:themeColor="text1"/>
        </w:rPr>
        <w:t>to</w:t>
      </w:r>
      <w:r w:rsidRPr="00884F6C">
        <w:rPr>
          <w:rFonts w:ascii="Arial" w:eastAsia="Calibri" w:hAnsi="Arial" w:cs="Arial"/>
          <w:color w:val="000000" w:themeColor="text1"/>
        </w:rPr>
        <w:t xml:space="preserve"> correspondiente al de la ejecución del contrato</w:t>
      </w:r>
      <w:r>
        <w:rPr>
          <w:rFonts w:ascii="Arial" w:eastAsia="Calibri" w:hAnsi="Arial" w:cs="Arial"/>
          <w:color w:val="000000" w:themeColor="text1"/>
        </w:rPr>
        <w:t xml:space="preserve">, también quedan excluidas –además de los anteriores– las </w:t>
      </w:r>
      <w:proofErr w:type="spellStart"/>
      <w:r>
        <w:rPr>
          <w:rFonts w:ascii="Arial" w:eastAsia="Calibri" w:hAnsi="Arial" w:cs="Arial"/>
          <w:color w:val="000000" w:themeColor="text1"/>
        </w:rPr>
        <w:t>Mipymes</w:t>
      </w:r>
      <w:proofErr w:type="spellEnd"/>
      <w:r>
        <w:rPr>
          <w:rFonts w:ascii="Arial" w:eastAsia="Calibri" w:hAnsi="Arial" w:cs="Arial"/>
          <w:color w:val="000000" w:themeColor="text1"/>
        </w:rPr>
        <w:t xml:space="preserve"> de otros lugares de Colombia. Es decir, el parágrafo 1 </w:t>
      </w:r>
      <w:r>
        <w:rPr>
          <w:rFonts w:ascii="Arial" w:eastAsia="Arial" w:hAnsi="Arial" w:cs="Arial"/>
          <w:color w:val="000000"/>
        </w:rPr>
        <w:t xml:space="preserve">del artículo 12 de la Ley 1150 de 2007 y el artículo </w:t>
      </w:r>
      <w:r w:rsidRPr="00D07A0E">
        <w:rPr>
          <w:rFonts w:ascii="Arial" w:eastAsia="Calibri" w:hAnsi="Arial" w:cs="Arial"/>
          <w:color w:val="000000" w:themeColor="text1"/>
        </w:rPr>
        <w:t>2.2.1.2.4.2.3</w:t>
      </w:r>
      <w:r>
        <w:rPr>
          <w:rFonts w:ascii="Arial" w:eastAsia="Calibri" w:hAnsi="Arial" w:cs="Arial"/>
          <w:color w:val="000000" w:themeColor="text1"/>
        </w:rPr>
        <w:t xml:space="preserve"> del Decreto 1082 de 2015 establece un trato privilegiado que se fundamenta en el territorio. </w:t>
      </w:r>
      <w:r>
        <w:rPr>
          <w:rFonts w:ascii="Arial" w:eastAsia="Arial" w:hAnsi="Arial" w:cs="Arial"/>
          <w:color w:val="000000"/>
        </w:rPr>
        <w:t xml:space="preserve"> </w:t>
      </w:r>
    </w:p>
    <w:bookmarkEnd w:id="11"/>
    <w:p w14:paraId="77574D56" w14:textId="77777777" w:rsidR="00AE02A1" w:rsidRPr="00E470B9" w:rsidRDefault="00AE02A1" w:rsidP="00AE02A1">
      <w:pPr>
        <w:spacing w:after="0" w:line="276" w:lineRule="auto"/>
        <w:jc w:val="both"/>
        <w:rPr>
          <w:rFonts w:ascii="Arial" w:eastAsia="Times New Roman" w:hAnsi="Arial" w:cs="Arial"/>
          <w:color w:val="000000" w:themeColor="text1"/>
          <w:lang w:eastAsia="es-CO"/>
        </w:rPr>
      </w:pPr>
    </w:p>
    <w:p w14:paraId="6B3EC597" w14:textId="77777777" w:rsidR="00AE02A1" w:rsidRPr="00262D58" w:rsidRDefault="00AE02A1" w:rsidP="00AE02A1">
      <w:pPr>
        <w:tabs>
          <w:tab w:val="left" w:pos="0"/>
        </w:tabs>
        <w:spacing w:after="0"/>
        <w:jc w:val="both"/>
        <w:rPr>
          <w:rFonts w:ascii="Arial" w:eastAsia="Calibri" w:hAnsi="Arial" w:cs="Arial"/>
          <w:b/>
          <w:color w:val="000000" w:themeColor="text1"/>
          <w:lang w:val="es-ES_tradnl"/>
        </w:rPr>
      </w:pPr>
      <w:r w:rsidRPr="00262D58">
        <w:rPr>
          <w:rFonts w:ascii="Arial" w:eastAsia="Calibri" w:hAnsi="Arial" w:cs="Arial"/>
          <w:b/>
          <w:color w:val="000000" w:themeColor="text1"/>
          <w:lang w:val="es-ES_tradnl"/>
        </w:rPr>
        <w:t>3. Respuesta</w:t>
      </w:r>
    </w:p>
    <w:p w14:paraId="622F1AAE" w14:textId="77777777" w:rsidR="00AE02A1" w:rsidRPr="00262D58" w:rsidRDefault="00AE02A1" w:rsidP="00AE02A1">
      <w:pPr>
        <w:spacing w:after="0" w:line="276" w:lineRule="auto"/>
        <w:ind w:firstLine="709"/>
        <w:jc w:val="both"/>
        <w:rPr>
          <w:rFonts w:ascii="Arial" w:eastAsia="Times New Roman" w:hAnsi="Arial" w:cs="Arial"/>
          <w:lang w:eastAsia="es-CO"/>
        </w:rPr>
      </w:pPr>
      <w:bookmarkStart w:id="14" w:name="_Hlk131064197"/>
    </w:p>
    <w:p w14:paraId="441F638C" w14:textId="77777777" w:rsidR="00AE02A1" w:rsidRDefault="00AE02A1" w:rsidP="00AE02A1">
      <w:pPr>
        <w:spacing w:after="0" w:line="240" w:lineRule="auto"/>
        <w:ind w:left="709" w:right="709"/>
        <w:jc w:val="both"/>
        <w:rPr>
          <w:rFonts w:ascii="Arial" w:hAnsi="Arial" w:cs="Arial"/>
          <w:color w:val="000000" w:themeColor="text1"/>
          <w:sz w:val="21"/>
          <w:szCs w:val="21"/>
          <w:lang w:val="es-ES_tradnl"/>
        </w:rPr>
      </w:pPr>
      <w:r w:rsidRPr="00AF65DD">
        <w:rPr>
          <w:rFonts w:ascii="Arial" w:hAnsi="Arial" w:cs="Arial"/>
          <w:color w:val="000000" w:themeColor="text1"/>
          <w:sz w:val="21"/>
          <w:szCs w:val="21"/>
          <w:lang w:val="es-ES_tradnl"/>
        </w:rPr>
        <w:t>i) “¿Pueden las empresas industriales y comerciales del estado, como entidades estatales, incorporar en los pliegos de condiciones de los procesos de contratación que adelanten, disposiciones, clausulas y/o requisitos habilitantes que restrinjan la participación de proponentes de nacionalidad extranjera?”</w:t>
      </w:r>
      <w:r w:rsidRPr="00262D58">
        <w:rPr>
          <w:rFonts w:ascii="Arial" w:hAnsi="Arial" w:cs="Arial"/>
          <w:color w:val="000000" w:themeColor="text1"/>
          <w:sz w:val="21"/>
          <w:szCs w:val="21"/>
          <w:lang w:val="es-ES_tradnl"/>
        </w:rPr>
        <w:t>.</w:t>
      </w:r>
    </w:p>
    <w:p w14:paraId="033ABFA4" w14:textId="77777777" w:rsidR="00AE02A1" w:rsidRPr="00262D58" w:rsidRDefault="00AE02A1" w:rsidP="00AE02A1">
      <w:pPr>
        <w:spacing w:after="0" w:line="276" w:lineRule="auto"/>
        <w:jc w:val="both"/>
        <w:rPr>
          <w:rFonts w:ascii="Arial" w:hAnsi="Arial" w:cs="Arial"/>
          <w:color w:val="000000" w:themeColor="text1"/>
          <w:lang w:val="es-ES_tradnl"/>
        </w:rPr>
      </w:pPr>
    </w:p>
    <w:p w14:paraId="7FD69884" w14:textId="77777777" w:rsidR="00AE02A1" w:rsidRDefault="00AE02A1" w:rsidP="00AE02A1">
      <w:pPr>
        <w:spacing w:after="120" w:line="276" w:lineRule="auto"/>
        <w:jc w:val="both"/>
        <w:rPr>
          <w:rFonts w:ascii="Arial" w:hAnsi="Arial" w:cs="Arial"/>
        </w:rPr>
      </w:pPr>
      <w:r>
        <w:rPr>
          <w:rFonts w:ascii="Arial" w:eastAsia="Calibri" w:hAnsi="Arial" w:cs="Arial"/>
          <w:color w:val="000000" w:themeColor="text1"/>
        </w:rPr>
        <w:lastRenderedPageBreak/>
        <w:t xml:space="preserve">Salvo las convocatorias limitadas a </w:t>
      </w:r>
      <w:proofErr w:type="spellStart"/>
      <w:r>
        <w:rPr>
          <w:rFonts w:ascii="Arial" w:eastAsia="Calibri" w:hAnsi="Arial" w:cs="Arial"/>
          <w:color w:val="000000" w:themeColor="text1"/>
        </w:rPr>
        <w:t>Mipymes</w:t>
      </w:r>
      <w:proofErr w:type="spellEnd"/>
      <w:r>
        <w:rPr>
          <w:rFonts w:ascii="Arial" w:eastAsia="Calibri" w:hAnsi="Arial" w:cs="Arial"/>
          <w:color w:val="000000" w:themeColor="text1"/>
        </w:rPr>
        <w:t xml:space="preserve"> nacionales o territoriales que se explicaron en el acápite 2.3 del presente oficio,</w:t>
      </w:r>
      <w:r>
        <w:rPr>
          <w:rFonts w:ascii="Arial" w:hAnsi="Arial" w:cs="Arial"/>
        </w:rPr>
        <w:t xml:space="preserve"> </w:t>
      </w:r>
      <w:r w:rsidRPr="002124C6">
        <w:rPr>
          <w:rFonts w:ascii="Arial" w:hAnsi="Arial" w:cs="Arial"/>
        </w:rPr>
        <w:t>los principios de igualdad y concurrencia rigen en los procedimientos de selección competitivos de las entidades sometidas al Estatuto General de Contratación</w:t>
      </w:r>
      <w:r>
        <w:rPr>
          <w:rFonts w:ascii="Arial" w:eastAsia="Calibri" w:hAnsi="Arial" w:cs="Arial"/>
          <w:color w:val="000000" w:themeColor="text1"/>
        </w:rPr>
        <w:t xml:space="preserve">. Esto significa que debe garantizarse la pluralidad de oferentes como condición necesaria para escoger la oferta más favorable a los intereses de la entidad. Esta prohibición de trato discriminatorio respecto a la posibilidad que tienen los proponentes de presentarse a las licitaciones o concursos es acorde al principio de selección objetiva, el cual define el artículo 5 de la Ley 1150 de 2007 como la escogencia realizada </w:t>
      </w:r>
      <w:r w:rsidRPr="00FA1F92">
        <w:rPr>
          <w:rFonts w:ascii="Arial" w:eastAsia="Calibri" w:hAnsi="Arial" w:cs="Arial"/>
          <w:color w:val="000000" w:themeColor="text1"/>
        </w:rPr>
        <w:t>sin tener en consideración factores de afecto o de interés y, en general, cualquier clase de motivación subjetiva</w:t>
      </w:r>
    </w:p>
    <w:p w14:paraId="66A60B05" w14:textId="77777777" w:rsidR="00AE02A1" w:rsidRDefault="00AE02A1" w:rsidP="00AE02A1">
      <w:pPr>
        <w:spacing w:after="120" w:line="276" w:lineRule="auto"/>
        <w:ind w:firstLine="708"/>
        <w:jc w:val="both"/>
        <w:rPr>
          <w:rFonts w:ascii="Arial" w:eastAsia="Calibri" w:hAnsi="Arial" w:cs="Arial"/>
          <w:color w:val="000000" w:themeColor="text1"/>
        </w:rPr>
      </w:pPr>
      <w:r>
        <w:rPr>
          <w:rFonts w:ascii="Arial" w:eastAsia="Calibri" w:hAnsi="Arial" w:cs="Arial"/>
          <w:color w:val="000000" w:themeColor="text1"/>
        </w:rPr>
        <w:t>E</w:t>
      </w:r>
      <w:r w:rsidRPr="0069679C">
        <w:rPr>
          <w:rFonts w:ascii="Arial" w:eastAsia="Calibri" w:hAnsi="Arial" w:cs="Arial"/>
          <w:color w:val="000000" w:themeColor="text1"/>
        </w:rPr>
        <w:t xml:space="preserve">l principio jurídico de la libre concurrencia </w:t>
      </w:r>
      <w:r>
        <w:rPr>
          <w:rFonts w:ascii="Arial" w:eastAsia="Calibri" w:hAnsi="Arial" w:cs="Arial"/>
          <w:color w:val="000000" w:themeColor="text1"/>
        </w:rPr>
        <w:t>garantiza la</w:t>
      </w:r>
      <w:r w:rsidRPr="0069679C">
        <w:rPr>
          <w:rFonts w:ascii="Arial" w:eastAsia="Calibri" w:hAnsi="Arial" w:cs="Arial"/>
          <w:color w:val="000000" w:themeColor="text1"/>
        </w:rPr>
        <w:t xml:space="preserve"> oposición entre los oferentes, </w:t>
      </w:r>
      <w:r>
        <w:rPr>
          <w:rFonts w:ascii="Arial" w:eastAsia="Calibri" w:hAnsi="Arial" w:cs="Arial"/>
          <w:color w:val="000000" w:themeColor="text1"/>
        </w:rPr>
        <w:t>y –</w:t>
      </w:r>
      <w:r w:rsidRPr="0069679C">
        <w:rPr>
          <w:rFonts w:ascii="Arial" w:eastAsia="Calibri" w:hAnsi="Arial" w:cs="Arial"/>
          <w:color w:val="000000" w:themeColor="text1"/>
        </w:rPr>
        <w:t>como contrapartida</w:t>
      </w:r>
      <w:r>
        <w:rPr>
          <w:rFonts w:ascii="Arial" w:eastAsia="Calibri" w:hAnsi="Arial" w:cs="Arial"/>
          <w:color w:val="000000" w:themeColor="text1"/>
        </w:rPr>
        <w:t>– establece una</w:t>
      </w:r>
      <w:r w:rsidRPr="0069679C">
        <w:rPr>
          <w:rFonts w:ascii="Arial" w:eastAsia="Calibri" w:hAnsi="Arial" w:cs="Arial"/>
          <w:color w:val="000000" w:themeColor="text1"/>
        </w:rPr>
        <w:t xml:space="preserve"> prohibición para el Estado </w:t>
      </w:r>
      <w:r>
        <w:rPr>
          <w:rFonts w:ascii="Arial" w:eastAsia="Calibri" w:hAnsi="Arial" w:cs="Arial"/>
          <w:color w:val="000000" w:themeColor="text1"/>
        </w:rPr>
        <w:t>de restringir su participación. En esta perspectiva, es una derivación del principio de igualdad, pues supone la intervención del mayor número de candidatos en un régimen de libre competencia. Ambos se concretan en la prohibición de limitar la presentación de ofertas, pues son importantes para evitar discriminaciones por razón de la nacionalidad pretendiendo favorecer a los nacionales frente a extranjeros, y también se oponen a la exigencia de criterios de territorialidad que vulneren la libertad de empresa en una economía de mercado. Por ello, en el Concepto</w:t>
      </w:r>
      <w:r>
        <w:rPr>
          <w:rFonts w:ascii="Arial" w:eastAsia="Calibri" w:hAnsi="Arial" w:cs="Arial"/>
          <w:color w:val="000000" w:themeColor="text1"/>
          <w:lang w:val="es-ES"/>
        </w:rPr>
        <w:t xml:space="preserve"> </w:t>
      </w:r>
      <w:r w:rsidRPr="00784C45">
        <w:rPr>
          <w:rFonts w:ascii="Arial" w:eastAsia="Calibri" w:hAnsi="Arial" w:cs="Arial"/>
          <w:color w:val="000000" w:themeColor="text1"/>
          <w:lang w:val="es-ES"/>
        </w:rPr>
        <w:t>2201913000006511</w:t>
      </w:r>
      <w:r>
        <w:rPr>
          <w:rFonts w:ascii="Arial" w:eastAsia="Calibri" w:hAnsi="Arial" w:cs="Arial"/>
          <w:color w:val="000000" w:themeColor="text1"/>
          <w:lang w:val="es-ES"/>
        </w:rPr>
        <w:t xml:space="preserve"> del 3 de septiembre de 2019, la Agencia sostuvo que, </w:t>
      </w:r>
      <w:r w:rsidRPr="005850DF">
        <w:rPr>
          <w:rFonts w:ascii="Arial" w:eastAsia="Calibri" w:hAnsi="Arial" w:cs="Arial"/>
          <w:color w:val="000000" w:themeColor="text1"/>
          <w:lang w:val="es-ES"/>
        </w:rPr>
        <w:t xml:space="preserve">por regla general, </w:t>
      </w:r>
      <w:r>
        <w:rPr>
          <w:rFonts w:ascii="Arial" w:eastAsia="Calibri" w:hAnsi="Arial" w:cs="Arial"/>
          <w:color w:val="000000" w:themeColor="text1"/>
          <w:lang w:val="es-ES"/>
        </w:rPr>
        <w:t>las entidades no pueden exigir</w:t>
      </w:r>
      <w:r w:rsidRPr="005850DF">
        <w:rPr>
          <w:rFonts w:ascii="Arial" w:eastAsia="Calibri" w:hAnsi="Arial" w:cs="Arial"/>
          <w:color w:val="000000" w:themeColor="text1"/>
          <w:lang w:val="es-ES"/>
        </w:rPr>
        <w:t xml:space="preserve"> como requisito habilitante que el proponente tenga residencia en el lugar donde se ejecutará el contrato,</w:t>
      </w:r>
      <w:r>
        <w:rPr>
          <w:rFonts w:ascii="Arial" w:eastAsia="Calibri" w:hAnsi="Arial" w:cs="Arial"/>
          <w:color w:val="000000" w:themeColor="text1"/>
          <w:lang w:val="es-ES"/>
        </w:rPr>
        <w:t xml:space="preserve"> pues</w:t>
      </w:r>
      <w:r w:rsidRPr="005850DF">
        <w:rPr>
          <w:rFonts w:ascii="Arial" w:eastAsia="Calibri" w:hAnsi="Arial" w:cs="Arial"/>
          <w:color w:val="000000" w:themeColor="text1"/>
          <w:lang w:val="es-ES"/>
        </w:rPr>
        <w:t xml:space="preserve"> afecta la libre competencia de los procesos de contratación y es una cláusula discriminatoria, sin dejar de lado que no garantiza la aptitud del proponente para </w:t>
      </w:r>
      <w:r>
        <w:rPr>
          <w:rFonts w:ascii="Arial" w:eastAsia="Calibri" w:hAnsi="Arial" w:cs="Arial"/>
          <w:color w:val="000000" w:themeColor="text1"/>
          <w:lang w:val="es-ES"/>
        </w:rPr>
        <w:t>ejecutar</w:t>
      </w:r>
      <w:r w:rsidRPr="005850DF">
        <w:rPr>
          <w:rFonts w:ascii="Arial" w:eastAsia="Calibri" w:hAnsi="Arial" w:cs="Arial"/>
          <w:color w:val="000000" w:themeColor="text1"/>
          <w:lang w:val="es-ES"/>
        </w:rPr>
        <w:t xml:space="preserve"> el objeto del contrato</w:t>
      </w:r>
      <w:r>
        <w:rPr>
          <w:rFonts w:ascii="Arial" w:eastAsia="Calibri" w:hAnsi="Arial" w:cs="Arial"/>
          <w:color w:val="000000" w:themeColor="text1"/>
          <w:lang w:val="es-ES"/>
        </w:rPr>
        <w:t>.</w:t>
      </w:r>
      <w:r>
        <w:rPr>
          <w:rFonts w:ascii="Arial" w:eastAsia="Calibri" w:hAnsi="Arial" w:cs="Arial"/>
          <w:color w:val="000000" w:themeColor="text1"/>
        </w:rPr>
        <w:t xml:space="preserve">    </w:t>
      </w:r>
    </w:p>
    <w:p w14:paraId="0B01B488" w14:textId="77777777" w:rsidR="00AE02A1" w:rsidRDefault="00AE02A1" w:rsidP="00AE02A1">
      <w:pPr>
        <w:spacing w:before="120" w:after="120" w:line="276" w:lineRule="auto"/>
        <w:ind w:firstLine="708"/>
        <w:jc w:val="both"/>
        <w:rPr>
          <w:rFonts w:ascii="Arial" w:eastAsia="Calibri" w:hAnsi="Arial" w:cs="Arial"/>
          <w:color w:val="000000"/>
          <w:lang w:val="es-ES_tradnl"/>
        </w:rPr>
      </w:pPr>
      <w:r>
        <w:rPr>
          <w:rFonts w:ascii="Arial" w:eastAsia="Calibri" w:hAnsi="Arial" w:cs="Arial"/>
          <w:color w:val="000000"/>
          <w:lang w:val="es-ES_tradnl"/>
        </w:rPr>
        <w:t>Lo anterior es congruente con el inciso primero del artículo 13 superior, el cual dispone que “</w:t>
      </w:r>
      <w:r w:rsidRPr="000B1F26">
        <w:rPr>
          <w:rFonts w:ascii="Arial" w:eastAsia="Calibri" w:hAnsi="Arial" w:cs="Arial"/>
          <w:color w:val="000000"/>
          <w:lang w:val="es-ES_tradnl"/>
        </w:rPr>
        <w:t xml:space="preserve">Todas las personas nacen libres e iguales ante la ley, recibirán la misma protección y trato de las autoridades y gozarán de los mismos derechos, libertades y oportunidades sin ninguna discriminación por razones </w:t>
      </w:r>
      <w:r>
        <w:rPr>
          <w:rFonts w:ascii="Arial" w:eastAsia="Calibri" w:hAnsi="Arial" w:cs="Arial"/>
          <w:color w:val="000000"/>
          <w:lang w:val="es-ES_tradnl"/>
        </w:rPr>
        <w:t>[…]</w:t>
      </w:r>
      <w:r w:rsidRPr="000B1F26">
        <w:rPr>
          <w:rFonts w:ascii="Arial" w:eastAsia="Calibri" w:hAnsi="Arial" w:cs="Arial"/>
          <w:color w:val="000000"/>
          <w:lang w:val="es-ES_tradnl"/>
        </w:rPr>
        <w:t xml:space="preserve"> origen nacional </w:t>
      </w:r>
      <w:r>
        <w:rPr>
          <w:rFonts w:ascii="Arial" w:eastAsia="Calibri" w:hAnsi="Arial" w:cs="Arial"/>
          <w:color w:val="000000"/>
          <w:lang w:val="es-ES_tradnl"/>
        </w:rPr>
        <w:t>[…]”</w:t>
      </w:r>
      <w:r w:rsidRPr="000B1F26">
        <w:rPr>
          <w:rFonts w:ascii="Arial" w:eastAsia="Calibri" w:hAnsi="Arial" w:cs="Arial"/>
          <w:color w:val="000000"/>
          <w:lang w:val="es-ES_tradnl"/>
        </w:rPr>
        <w:t xml:space="preserve">. </w:t>
      </w:r>
      <w:r>
        <w:rPr>
          <w:rFonts w:ascii="Arial" w:eastAsia="Calibri" w:hAnsi="Arial" w:cs="Arial"/>
          <w:color w:val="000000"/>
          <w:lang w:val="es-ES_tradnl"/>
        </w:rPr>
        <w:t>Asimismo, conforme al artículo 100 constitucional, “</w:t>
      </w:r>
      <w:r w:rsidRPr="006F1794">
        <w:rPr>
          <w:rFonts w:ascii="Arial" w:eastAsia="Calibri" w:hAnsi="Arial" w:cs="Arial"/>
          <w:i/>
          <w:iCs/>
          <w:color w:val="000000"/>
          <w:lang w:val="es-ES_tradnl"/>
        </w:rPr>
        <w:t>Los extranjeros disfrutarán en Colombia de los mismos derechos civiles que se conceden a los colombianos</w:t>
      </w:r>
      <w:r w:rsidRPr="006F1794">
        <w:rPr>
          <w:rFonts w:ascii="Arial" w:eastAsia="Calibri" w:hAnsi="Arial" w:cs="Arial"/>
          <w:color w:val="000000"/>
          <w:lang w:val="es-ES_tradnl"/>
        </w:rPr>
        <w:t>. No obstante, la ley podrá, por razones de orden público, subordinar a condiciones especiales o negar el ejercicio de determinados derechos civiles a los extranjeros</w:t>
      </w:r>
      <w:r>
        <w:rPr>
          <w:rFonts w:ascii="Arial" w:eastAsia="Calibri" w:hAnsi="Arial" w:cs="Arial"/>
          <w:color w:val="000000"/>
          <w:lang w:val="es-ES_tradnl"/>
        </w:rPr>
        <w:t xml:space="preserve">” (Énfasis fuera de texto). De esta manera, como explica la Corte Constitucional en la Sentencia T-147 de 1996, con ponencia de </w:t>
      </w:r>
      <w:r w:rsidRPr="00D329E6">
        <w:rPr>
          <w:rFonts w:ascii="Arial" w:eastAsia="Calibri" w:hAnsi="Arial" w:cs="Arial"/>
          <w:color w:val="000000"/>
          <w:lang w:val="es-ES_tradnl"/>
        </w:rPr>
        <w:t>Eduardo Cifuentes Muñoz</w:t>
      </w:r>
      <w:r>
        <w:rPr>
          <w:rFonts w:ascii="Arial" w:eastAsia="Calibri" w:hAnsi="Arial" w:cs="Arial"/>
          <w:color w:val="000000"/>
          <w:lang w:val="es-ES_tradnl"/>
        </w:rPr>
        <w:t xml:space="preserve">, “[…] </w:t>
      </w:r>
      <w:r w:rsidRPr="00D329E6">
        <w:rPr>
          <w:rFonts w:ascii="Arial" w:eastAsia="Calibri" w:hAnsi="Arial" w:cs="Arial"/>
          <w:color w:val="000000"/>
          <w:lang w:val="es-ES_tradnl"/>
        </w:rPr>
        <w:t>Es evidente que si la Carta excluye la diferenciación de trato sustentado en el origen nacional, está igualmente descartada, inclusive de una manera más perentoria, la discriminación entre nacionales</w:t>
      </w:r>
      <w:r>
        <w:rPr>
          <w:rFonts w:ascii="Arial" w:eastAsia="Calibri" w:hAnsi="Arial" w:cs="Arial"/>
          <w:color w:val="000000"/>
          <w:lang w:val="es-ES_tradnl"/>
        </w:rPr>
        <w:t xml:space="preserve"> […]”, lo que reitera la prohibición de trato desigual por razón de la nacionalidad o el territorio. </w:t>
      </w:r>
    </w:p>
    <w:p w14:paraId="5B778698" w14:textId="77777777" w:rsidR="00AE02A1" w:rsidRDefault="00AE02A1" w:rsidP="00AE02A1">
      <w:pPr>
        <w:spacing w:before="120" w:after="120" w:line="276" w:lineRule="auto"/>
        <w:ind w:firstLine="708"/>
        <w:jc w:val="both"/>
        <w:rPr>
          <w:rFonts w:ascii="Arial" w:eastAsia="Calibri" w:hAnsi="Arial" w:cs="Arial"/>
          <w:color w:val="000000"/>
          <w:lang w:val="es-ES_tradnl"/>
        </w:rPr>
      </w:pPr>
      <w:r>
        <w:rPr>
          <w:rFonts w:ascii="Arial" w:eastAsia="Calibri" w:hAnsi="Arial" w:cs="Arial"/>
          <w:color w:val="000000"/>
          <w:lang w:val="es-ES_tradnl"/>
        </w:rPr>
        <w:t xml:space="preserve">Por lo demás, </w:t>
      </w:r>
      <w:r w:rsidRPr="00986C37">
        <w:rPr>
          <w:rFonts w:ascii="Arial" w:hAnsi="Arial" w:cs="Arial"/>
          <w:color w:val="000000" w:themeColor="text1"/>
        </w:rPr>
        <w:t>en concordancia con el numeral 1 del artículo 1502 del Código Civil, el</w:t>
      </w:r>
      <w:r>
        <w:rPr>
          <w:rFonts w:ascii="Arial" w:hAnsi="Arial" w:cs="Arial"/>
          <w:color w:val="000000" w:themeColor="text1"/>
        </w:rPr>
        <w:t xml:space="preserve"> inciso primero del</w:t>
      </w:r>
      <w:r w:rsidRPr="00986C37">
        <w:rPr>
          <w:rFonts w:ascii="Arial" w:hAnsi="Arial" w:cs="Arial"/>
          <w:color w:val="000000" w:themeColor="text1"/>
        </w:rPr>
        <w:t xml:space="preserve"> artículo 6 de la Ley 80 de 1993 </w:t>
      </w:r>
      <w:r>
        <w:rPr>
          <w:rFonts w:ascii="Arial" w:hAnsi="Arial" w:cs="Arial"/>
          <w:color w:val="000000" w:themeColor="text1"/>
        </w:rPr>
        <w:t xml:space="preserve">–modificado por el artículo 1 de la Ley </w:t>
      </w:r>
      <w:r>
        <w:rPr>
          <w:rFonts w:ascii="Arial" w:hAnsi="Arial" w:cs="Arial"/>
          <w:color w:val="000000" w:themeColor="text1"/>
        </w:rPr>
        <w:lastRenderedPageBreak/>
        <w:t xml:space="preserve">2160 de 2021– </w:t>
      </w:r>
      <w:r w:rsidRPr="00986C37">
        <w:rPr>
          <w:rFonts w:ascii="Arial" w:hAnsi="Arial" w:cs="Arial"/>
          <w:color w:val="000000" w:themeColor="text1"/>
        </w:rPr>
        <w:t xml:space="preserve">dispone que </w:t>
      </w:r>
      <w:r>
        <w:rPr>
          <w:rFonts w:ascii="Arial" w:hAnsi="Arial" w:cs="Arial"/>
          <w:color w:val="000000" w:themeColor="text1"/>
        </w:rPr>
        <w:t>“</w:t>
      </w:r>
      <w:r w:rsidRPr="00986C37">
        <w:rPr>
          <w:rFonts w:ascii="Arial" w:hAnsi="Arial" w:cs="Arial"/>
          <w:color w:val="000000" w:themeColor="text1"/>
        </w:rPr>
        <w:t>Pueden celebrar contratos con las entidades estatales las personas consideradas legalmente capaces en las disposiciones vigentes</w:t>
      </w:r>
      <w:r>
        <w:rPr>
          <w:rFonts w:ascii="Arial" w:hAnsi="Arial" w:cs="Arial"/>
          <w:color w:val="000000" w:themeColor="text1"/>
        </w:rPr>
        <w:t xml:space="preserve"> […]”. Esta norma es acorde al reconocimiento de la personalidad jurídica del artículo 16 constitucional, de donde </w:t>
      </w:r>
      <w:r>
        <w:rPr>
          <w:rFonts w:ascii="Arial" w:eastAsia="Calibri" w:hAnsi="Arial" w:cs="Arial"/>
          <w:color w:val="000000"/>
          <w:lang w:val="es-ES_tradnl"/>
        </w:rPr>
        <w:t xml:space="preserve">se infiere que las personas extranjeras –al igual que las nacionales– pueden concurrir en la celebración de contratos estatales, siempre que no se encuentren en alguna causal de inhabilidad o incompatibilidad que la afecte.  </w:t>
      </w:r>
    </w:p>
    <w:p w14:paraId="1373501C" w14:textId="77777777" w:rsidR="00AE02A1" w:rsidRDefault="00AE02A1" w:rsidP="00AE02A1">
      <w:pPr>
        <w:tabs>
          <w:tab w:val="left" w:pos="0"/>
        </w:tabs>
        <w:spacing w:line="276" w:lineRule="auto"/>
        <w:jc w:val="both"/>
        <w:rPr>
          <w:rFonts w:ascii="Arial" w:eastAsia="Calibri" w:hAnsi="Arial" w:cs="Arial"/>
          <w:bCs/>
          <w:color w:val="000000" w:themeColor="text1"/>
          <w:lang w:val="es-ES_tradnl"/>
        </w:rPr>
      </w:pPr>
      <w:r>
        <w:rPr>
          <w:rFonts w:ascii="Arial" w:eastAsia="Calibri" w:hAnsi="Arial" w:cs="Arial"/>
          <w:color w:val="000000"/>
          <w:lang w:val="es-ES_tradnl"/>
        </w:rPr>
        <w:tab/>
        <w:t xml:space="preserve">Esta posibilidad de que los extranjeros concurran a los procedimientos de selección adelantados en Colombia también se fundamenta en el artículo 20 de la Ley 80 de 1993. Dicha norma </w:t>
      </w:r>
      <w:r w:rsidRPr="00E313EF">
        <w:rPr>
          <w:rFonts w:ascii="Arial" w:eastAsia="Calibri" w:hAnsi="Arial" w:cs="Arial"/>
          <w:bCs/>
          <w:color w:val="000000" w:themeColor="text1"/>
          <w:lang w:val="es-ES_tradnl"/>
        </w:rPr>
        <w:t xml:space="preserve">consagra el </w:t>
      </w:r>
      <w:r w:rsidRPr="00E313EF">
        <w:rPr>
          <w:rFonts w:ascii="Arial" w:eastAsia="Calibri" w:hAnsi="Arial" w:cs="Arial"/>
          <w:bCs/>
          <w:i/>
          <w:iCs/>
          <w:color w:val="000000" w:themeColor="text1"/>
          <w:lang w:val="es-ES_tradnl"/>
        </w:rPr>
        <w:t>principio de reciprocidad</w:t>
      </w:r>
      <w:r w:rsidRPr="00E313EF">
        <w:rPr>
          <w:rFonts w:ascii="Arial" w:eastAsia="Calibri" w:hAnsi="Arial" w:cs="Arial"/>
          <w:bCs/>
          <w:color w:val="000000" w:themeColor="text1"/>
          <w:lang w:val="es-ES_tradnl"/>
        </w:rPr>
        <w:t xml:space="preserve">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w:t>
      </w:r>
    </w:p>
    <w:p w14:paraId="49D5024F" w14:textId="77777777" w:rsidR="00AE02A1" w:rsidRDefault="00AE02A1" w:rsidP="00AE02A1">
      <w:pPr>
        <w:tabs>
          <w:tab w:val="left" w:pos="0"/>
        </w:tabs>
        <w:spacing w:before="120" w:line="276" w:lineRule="auto"/>
        <w:ind w:firstLine="709"/>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E</w:t>
      </w:r>
      <w:r w:rsidRPr="00CC230A">
        <w:rPr>
          <w:rFonts w:ascii="Arial" w:eastAsia="Calibri" w:hAnsi="Arial" w:cs="Arial"/>
          <w:bCs/>
          <w:color w:val="000000" w:themeColor="text1"/>
          <w:lang w:val="es-ES_tradnl"/>
        </w:rPr>
        <w:t xml:space="preserve">l efecto de dicho beneficio es la asignación del puntaje previsto en la Ley 816 de 2003. </w:t>
      </w:r>
      <w:r>
        <w:rPr>
          <w:rFonts w:ascii="Arial" w:eastAsia="Calibri" w:hAnsi="Arial" w:cs="Arial"/>
          <w:bCs/>
          <w:color w:val="000000" w:themeColor="text1"/>
          <w:lang w:val="es-ES_tradnl"/>
        </w:rPr>
        <w:t>El</w:t>
      </w:r>
      <w:r w:rsidRPr="00CC230A">
        <w:rPr>
          <w:rFonts w:ascii="Arial" w:eastAsia="Calibri" w:hAnsi="Arial" w:cs="Arial"/>
          <w:bCs/>
          <w:color w:val="000000" w:themeColor="text1"/>
          <w:lang w:val="es-ES_tradnl"/>
        </w:rPr>
        <w:t xml:space="preserve"> artículo 1 dispone que las entidades estatales, en los procedimientos de selección que realicen e independientemente del régimen contractual que les sea aplicable, deben adoptar criterios que apoyen la industria nacional. En consonancia con lo anterior, el parágrafo </w:t>
      </w:r>
      <w:r w:rsidRPr="008C3F3E">
        <w:rPr>
          <w:rFonts w:ascii="Arial" w:eastAsia="Calibri" w:hAnsi="Arial" w:cs="Arial"/>
          <w:bCs/>
          <w:i/>
          <w:iCs/>
          <w:color w:val="000000" w:themeColor="text1"/>
          <w:lang w:val="es-ES_tradnl"/>
        </w:rPr>
        <w:t>ibidem</w:t>
      </w:r>
      <w:r>
        <w:rPr>
          <w:rFonts w:ascii="Arial" w:eastAsia="Calibri" w:hAnsi="Arial" w:cs="Arial"/>
          <w:bCs/>
          <w:color w:val="000000" w:themeColor="text1"/>
          <w:lang w:val="es-ES_tradnl"/>
        </w:rPr>
        <w:t xml:space="preserve"> </w:t>
      </w:r>
      <w:r w:rsidRPr="00CC230A">
        <w:rPr>
          <w:rFonts w:ascii="Arial" w:eastAsia="Calibri" w:hAnsi="Arial" w:cs="Arial"/>
          <w:bCs/>
          <w:color w:val="000000" w:themeColor="text1"/>
          <w:lang w:val="es-ES_tradnl"/>
        </w:rPr>
        <w:t>dispone lo siguiente: “Se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r>
        <w:rPr>
          <w:rFonts w:ascii="Arial" w:eastAsia="Calibri" w:hAnsi="Arial" w:cs="Arial"/>
          <w:bCs/>
          <w:color w:val="000000" w:themeColor="text1"/>
          <w:lang w:val="es-ES_tradnl"/>
        </w:rPr>
        <w:t xml:space="preserve"> Por tanto, si los extranjeros pueden acceder a este puntaje, es precisamente porque –al igual que los nacionales– están facultados para participar en los procedimientos de selección. </w:t>
      </w:r>
    </w:p>
    <w:p w14:paraId="0BC67D20" w14:textId="77777777" w:rsidR="00AE02A1" w:rsidRDefault="00AE02A1" w:rsidP="00AE02A1">
      <w:pPr>
        <w:tabs>
          <w:tab w:val="left" w:pos="0"/>
        </w:tabs>
        <w:spacing w:before="120" w:line="276" w:lineRule="auto"/>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ab/>
        <w:t xml:space="preserve">De acuerdo con el apartado 2.1 del presente oficio, las empresas industriales y comerciales del Estado, en cuanto no </w:t>
      </w:r>
      <w:r w:rsidRPr="008C3F3E">
        <w:rPr>
          <w:rFonts w:ascii="Arial" w:eastAsia="Calibri" w:hAnsi="Arial" w:cs="Arial"/>
          <w:bCs/>
          <w:color w:val="000000" w:themeColor="text1"/>
          <w:lang w:val="es-ES_tradnl"/>
        </w:rPr>
        <w:t>desarrollen actividades comerciales en competencia con el sector privado y/o público, nacional o internacional o en mercados regulados</w:t>
      </w:r>
      <w:r>
        <w:rPr>
          <w:rFonts w:ascii="Arial" w:eastAsia="Calibri" w:hAnsi="Arial" w:cs="Arial"/>
          <w:bCs/>
          <w:color w:val="000000" w:themeColor="text1"/>
          <w:lang w:val="es-ES_tradnl"/>
        </w:rPr>
        <w:t xml:space="preserve">, están sometidas a la Ley 80 de 1993. En gracia de discusión, el razonamiento de los párrafos procedentes podría extenderse </w:t>
      </w:r>
      <w:r w:rsidRPr="008C3F3E">
        <w:rPr>
          <w:rFonts w:ascii="Arial" w:eastAsia="Calibri" w:hAnsi="Arial" w:cs="Arial"/>
          <w:bCs/>
          <w:i/>
          <w:iCs/>
          <w:color w:val="000000" w:themeColor="text1"/>
          <w:lang w:val="es-ES_tradnl"/>
        </w:rPr>
        <w:t>mutatis mutandis</w:t>
      </w:r>
      <w:r>
        <w:rPr>
          <w:rFonts w:ascii="Arial" w:eastAsia="Calibri" w:hAnsi="Arial" w:cs="Arial"/>
          <w:bCs/>
          <w:color w:val="000000" w:themeColor="text1"/>
          <w:lang w:val="es-ES_tradnl"/>
        </w:rPr>
        <w:t xml:space="preserve"> a aquellas EICE excluidas del Estatuto General de Contratación, especialmente, cuando </w:t>
      </w:r>
      <w:r w:rsidRPr="002F0CD9">
        <w:rPr>
          <w:rFonts w:ascii="Arial" w:eastAsia="Calibri" w:hAnsi="Arial" w:cs="Arial"/>
          <w:bCs/>
          <w:color w:val="000000" w:themeColor="text1"/>
          <w:lang w:val="es-ES_tradnl"/>
        </w:rPr>
        <w:t>el artículo 93 de la Ley 1474 de 2011</w:t>
      </w:r>
      <w:r>
        <w:rPr>
          <w:rFonts w:ascii="Arial" w:eastAsia="Calibri" w:hAnsi="Arial" w:cs="Arial"/>
          <w:bCs/>
          <w:color w:val="000000" w:themeColor="text1"/>
          <w:lang w:val="es-ES_tradnl"/>
        </w:rPr>
        <w:t xml:space="preserve"> remite al artículo 13 </w:t>
      </w:r>
      <w:r w:rsidRPr="002F0CD9">
        <w:rPr>
          <w:rFonts w:ascii="Arial" w:eastAsia="Calibri" w:hAnsi="Arial" w:cs="Arial"/>
          <w:bCs/>
          <w:color w:val="000000" w:themeColor="text1"/>
          <w:lang w:val="es-ES_tradnl"/>
        </w:rPr>
        <w:t xml:space="preserve">de la Ley 1150 de 2007. </w:t>
      </w:r>
      <w:r>
        <w:rPr>
          <w:rFonts w:ascii="Arial" w:eastAsia="Calibri" w:hAnsi="Arial" w:cs="Arial"/>
          <w:bCs/>
          <w:color w:val="000000" w:themeColor="text1"/>
          <w:lang w:val="es-ES_tradnl"/>
        </w:rPr>
        <w:t xml:space="preserve">Adicionado por </w:t>
      </w:r>
      <w:r w:rsidRPr="008C0C96">
        <w:rPr>
          <w:rFonts w:ascii="Arial" w:eastAsia="Calibri" w:hAnsi="Arial" w:cs="Arial"/>
          <w:bCs/>
          <w:color w:val="000000" w:themeColor="text1"/>
          <w:lang w:val="es-ES_tradnl"/>
        </w:rPr>
        <w:t>el artículo 53 de la Ley 2195 de 2022</w:t>
      </w:r>
      <w:r>
        <w:rPr>
          <w:rFonts w:ascii="Arial" w:eastAsia="Calibri" w:hAnsi="Arial" w:cs="Arial"/>
          <w:bCs/>
          <w:color w:val="000000" w:themeColor="text1"/>
          <w:lang w:val="es-ES_tradnl"/>
        </w:rPr>
        <w:t>, el inciso primero dicha norma dispone que “</w:t>
      </w:r>
      <w:r w:rsidRPr="008C0C96">
        <w:rPr>
          <w:rFonts w:ascii="Arial" w:eastAsia="Calibri" w:hAnsi="Arial" w:cs="Arial"/>
          <w:bCs/>
          <w:color w:val="000000" w:themeColor="text1"/>
          <w:lang w:val="es-ES_tradnl"/>
        </w:rPr>
        <w:t xml:space="preserve">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w:t>
      </w:r>
      <w:r w:rsidRPr="008C0C96">
        <w:rPr>
          <w:rFonts w:ascii="Arial" w:eastAsia="Calibri" w:hAnsi="Arial" w:cs="Arial"/>
          <w:bCs/>
          <w:color w:val="000000" w:themeColor="text1"/>
          <w:lang w:val="es-ES_tradnl"/>
        </w:rPr>
        <w:lastRenderedPageBreak/>
        <w:t>respectivamente según sea el caso y estarán sometidas al régimen de inhabilidades e incompatibilidades previsto legalmente para la contratación estatal</w:t>
      </w:r>
      <w:r>
        <w:rPr>
          <w:rFonts w:ascii="Arial" w:eastAsia="Calibri" w:hAnsi="Arial" w:cs="Arial"/>
          <w:bCs/>
          <w:color w:val="000000" w:themeColor="text1"/>
          <w:lang w:val="es-ES_tradnl"/>
        </w:rPr>
        <w:t>”.</w:t>
      </w:r>
    </w:p>
    <w:p w14:paraId="58BAE1BB" w14:textId="77777777" w:rsidR="00AE02A1" w:rsidRDefault="00AE02A1" w:rsidP="00AE02A1">
      <w:pPr>
        <w:tabs>
          <w:tab w:val="left" w:pos="0"/>
        </w:tabs>
        <w:spacing w:before="120" w:line="276" w:lineRule="auto"/>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ab/>
        <w:t>Conforme al inciso primero del artículo 209 superior, “</w:t>
      </w:r>
      <w:r w:rsidRPr="00FD36AD">
        <w:rPr>
          <w:rFonts w:ascii="Arial" w:eastAsia="Calibri" w:hAnsi="Arial" w:cs="Arial"/>
          <w:bCs/>
          <w:i/>
          <w:iCs/>
          <w:color w:val="000000" w:themeColor="text1"/>
          <w:lang w:val="es-ES_tradnl"/>
        </w:rPr>
        <w:t>La función administrativa está al servicio de los intereses generales y se desarrolla con fundamento en los principios de igualdad</w:t>
      </w:r>
      <w:r w:rsidRPr="00FA4CA0">
        <w:rPr>
          <w:rFonts w:ascii="Arial" w:eastAsia="Calibri" w:hAnsi="Arial" w:cs="Arial"/>
          <w:bCs/>
          <w:color w:val="000000" w:themeColor="text1"/>
          <w:lang w:val="es-ES_tradnl"/>
        </w:rPr>
        <w:t xml:space="preserve">, moralidad, eficacia, economía, celeridad, </w:t>
      </w:r>
      <w:r w:rsidRPr="00FD36AD">
        <w:rPr>
          <w:rFonts w:ascii="Arial" w:eastAsia="Calibri" w:hAnsi="Arial" w:cs="Arial"/>
          <w:bCs/>
          <w:i/>
          <w:iCs/>
          <w:color w:val="000000" w:themeColor="text1"/>
          <w:lang w:val="es-ES_tradnl"/>
        </w:rPr>
        <w:t>imparcialidad</w:t>
      </w:r>
      <w:r w:rsidRPr="00FA4CA0">
        <w:rPr>
          <w:rFonts w:ascii="Arial" w:eastAsia="Calibri" w:hAnsi="Arial" w:cs="Arial"/>
          <w:bCs/>
          <w:color w:val="000000" w:themeColor="text1"/>
          <w:lang w:val="es-ES_tradnl"/>
        </w:rPr>
        <w:t xml:space="preserve"> y publicidad, mediante la descentralización, la delegación y la desconcentración de funciones</w:t>
      </w:r>
      <w:r>
        <w:rPr>
          <w:rFonts w:ascii="Arial" w:eastAsia="Calibri" w:hAnsi="Arial" w:cs="Arial"/>
          <w:bCs/>
          <w:color w:val="000000" w:themeColor="text1"/>
          <w:lang w:val="es-ES_tradnl"/>
        </w:rPr>
        <w:t xml:space="preserve">” (Énfasis fuera de texto). Por tanto, dentro de la regulación especial de los manuales de contratación, en los procedimientos con pluralidad de oferentes las EICE exceptuadas rige también el principio de igualdad y concurrencia, pues –como se explicó </w:t>
      </w:r>
      <w:r w:rsidRPr="00FD36AD">
        <w:rPr>
          <w:rFonts w:ascii="Arial" w:eastAsia="Calibri" w:hAnsi="Arial" w:cs="Arial"/>
          <w:bCs/>
          <w:i/>
          <w:iCs/>
          <w:color w:val="000000" w:themeColor="text1"/>
          <w:lang w:val="es-ES_tradnl"/>
        </w:rPr>
        <w:t>ut supra</w:t>
      </w:r>
      <w:r>
        <w:rPr>
          <w:rFonts w:ascii="Arial" w:eastAsia="Calibri" w:hAnsi="Arial" w:cs="Arial"/>
          <w:bCs/>
          <w:color w:val="000000" w:themeColor="text1"/>
          <w:lang w:val="es-ES_tradnl"/>
        </w:rPr>
        <w:t xml:space="preserve">– ambos están estrechamente ligados. </w:t>
      </w:r>
    </w:p>
    <w:p w14:paraId="1472AA1D" w14:textId="77777777" w:rsidR="00AE02A1" w:rsidRDefault="00AE02A1" w:rsidP="00AE02A1">
      <w:pPr>
        <w:tabs>
          <w:tab w:val="left" w:pos="0"/>
        </w:tabs>
        <w:spacing w:before="120" w:after="0" w:line="276" w:lineRule="auto"/>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ab/>
        <w:t xml:space="preserve">Sin embargo, la estructura de los procedimientos de las entidades sometidas no es asimilable a los de las entidades exceptuadas. Sin bien en estas últimas rigen por los principios de la función administrativa, la gestión fiscal y el régimen de inhabilidades e incompatibilidades, la aplicación de los principios del artículo 209 se encuentra matizada por lo que definan los documentos del proceso que se estructuren en acatamiento de sus manuales de contratación. Dado que estas actuaciones gozan de presunción de legalidad, la participación de extranjeros se realiza con sujeción a lo que dispongan las entidades dentro de su régimen especial, sin perjuicio del control judicial, fiscal o disciplinario contra violaciones injustificadas del marco normativo citado en los dos (2) párrafos precedentes.      Fuera de este matiz, al igual que las sometidas, las exceptuadas también debe aplicar las reglas de trato nacional que, para efectos del puntaje previsto en la Ley 816 de 2003, rige para todas las entidades independientemente de su régimen jurídico, con excepción de las empresas de servicios públicos domiciliarios. </w:t>
      </w:r>
    </w:p>
    <w:p w14:paraId="0DF4D296" w14:textId="77777777" w:rsidR="00AE02A1" w:rsidRDefault="00AE02A1" w:rsidP="00AE02A1">
      <w:pPr>
        <w:spacing w:after="0" w:line="276" w:lineRule="auto"/>
        <w:ind w:firstLine="708"/>
        <w:jc w:val="both"/>
        <w:rPr>
          <w:rFonts w:ascii="Arial" w:hAnsi="Arial" w:cs="Arial"/>
        </w:rPr>
      </w:pPr>
    </w:p>
    <w:p w14:paraId="043F72E0" w14:textId="77777777" w:rsidR="00AE02A1" w:rsidRDefault="00AE02A1" w:rsidP="00AE02A1">
      <w:pPr>
        <w:spacing w:after="120" w:line="240" w:lineRule="auto"/>
        <w:ind w:left="709" w:right="709"/>
        <w:jc w:val="both"/>
        <w:rPr>
          <w:rFonts w:ascii="Arial" w:hAnsi="Arial" w:cs="Arial"/>
          <w:sz w:val="21"/>
          <w:szCs w:val="21"/>
        </w:rPr>
      </w:pPr>
      <w:proofErr w:type="spellStart"/>
      <w:r w:rsidRPr="002B4977">
        <w:rPr>
          <w:rFonts w:ascii="Arial" w:hAnsi="Arial" w:cs="Arial"/>
          <w:sz w:val="21"/>
          <w:szCs w:val="21"/>
        </w:rPr>
        <w:t>ii</w:t>
      </w:r>
      <w:proofErr w:type="spellEnd"/>
      <w:r w:rsidRPr="002B4977">
        <w:rPr>
          <w:rFonts w:ascii="Arial" w:hAnsi="Arial" w:cs="Arial"/>
          <w:sz w:val="21"/>
          <w:szCs w:val="21"/>
        </w:rPr>
        <w:t>) “En caso de que la respuesta anterior sea afirmativa, por favor señalar cuales son los lineamientos que deben seguir las empresas industriales y comerciales del estado para incorporar disposiciones, clausulas y/o requisitos habilitantes que restrinjan la participación de proponentes de nacionalidad extranjera”</w:t>
      </w:r>
      <w:r>
        <w:rPr>
          <w:rFonts w:ascii="Arial" w:hAnsi="Arial" w:cs="Arial"/>
          <w:sz w:val="21"/>
          <w:szCs w:val="21"/>
        </w:rPr>
        <w:t>.</w:t>
      </w:r>
    </w:p>
    <w:p w14:paraId="1126BF90" w14:textId="77777777" w:rsidR="00AE02A1" w:rsidRPr="00BE6B2A" w:rsidRDefault="00AE02A1" w:rsidP="00AE02A1">
      <w:pPr>
        <w:spacing w:after="0" w:line="240" w:lineRule="auto"/>
        <w:ind w:left="709" w:right="709"/>
        <w:jc w:val="both"/>
        <w:rPr>
          <w:rFonts w:ascii="Arial" w:hAnsi="Arial" w:cs="Arial"/>
          <w:sz w:val="21"/>
          <w:szCs w:val="21"/>
        </w:rPr>
      </w:pPr>
      <w:proofErr w:type="spellStart"/>
      <w:r w:rsidRPr="002B4977">
        <w:rPr>
          <w:rFonts w:ascii="Arial" w:hAnsi="Arial" w:cs="Arial"/>
          <w:sz w:val="21"/>
          <w:szCs w:val="21"/>
        </w:rPr>
        <w:t>iii</w:t>
      </w:r>
      <w:proofErr w:type="spellEnd"/>
      <w:r w:rsidRPr="002B4977">
        <w:rPr>
          <w:rFonts w:ascii="Arial" w:hAnsi="Arial" w:cs="Arial"/>
          <w:sz w:val="21"/>
          <w:szCs w:val="21"/>
        </w:rPr>
        <w:t>) “En caso de que la respuesta a la consulta del numeral 1 anterior sea afirmativa, por favor indique sí la entidad estatal, dentro de los términos de referencia, pliegos de condiciones o documentos precontractuales, debe realizar una justificación detallada del motivo y fundamento legal de las restricciones desarrolladas. Se solicita amablemente, se indique cuál es la consecuencia de no soportar en los documentos precontractuales las razones y fundamentos de la exclusión”</w:t>
      </w:r>
      <w:r w:rsidRPr="00BE6B2A">
        <w:rPr>
          <w:rFonts w:ascii="Arial" w:hAnsi="Arial" w:cs="Arial"/>
          <w:sz w:val="21"/>
          <w:szCs w:val="21"/>
        </w:rPr>
        <w:t>.</w:t>
      </w:r>
    </w:p>
    <w:p w14:paraId="168FB608" w14:textId="77777777" w:rsidR="00AE02A1" w:rsidRDefault="00AE02A1" w:rsidP="00AE02A1">
      <w:pPr>
        <w:spacing w:after="0" w:line="276" w:lineRule="auto"/>
        <w:jc w:val="both"/>
        <w:rPr>
          <w:rFonts w:ascii="Arial" w:hAnsi="Arial" w:cs="Arial"/>
        </w:rPr>
      </w:pPr>
    </w:p>
    <w:bookmarkEnd w:id="14"/>
    <w:p w14:paraId="224705A8" w14:textId="77777777" w:rsidR="00AE02A1" w:rsidRDefault="00AE02A1" w:rsidP="00AE02A1">
      <w:pPr>
        <w:pBdr>
          <w:top w:val="nil"/>
          <w:left w:val="nil"/>
          <w:bottom w:val="nil"/>
          <w:right w:val="nil"/>
          <w:between w:val="nil"/>
        </w:pBdr>
        <w:spacing w:after="120" w:line="276" w:lineRule="auto"/>
        <w:jc w:val="both"/>
        <w:rPr>
          <w:rFonts w:ascii="Arial" w:eastAsia="Calibri" w:hAnsi="Arial" w:cs="Arial"/>
          <w:color w:val="000000" w:themeColor="text1"/>
          <w:lang w:val="es-ES"/>
        </w:rPr>
      </w:pPr>
      <w:r>
        <w:rPr>
          <w:rFonts w:ascii="Arial" w:eastAsia="Calibri" w:hAnsi="Arial" w:cs="Arial"/>
          <w:color w:val="000000" w:themeColor="text1"/>
          <w:lang w:val="es-ES"/>
        </w:rPr>
        <w:t>Como excepción a lo explicado en la respuesta de la pregunta anterior, sin perjuicio de las reglas de participación contempladas en los documentos del proceso y los manuales de contratación de las entidades de régimen especial, s</w:t>
      </w:r>
      <w:r w:rsidRPr="00E82174">
        <w:rPr>
          <w:rFonts w:ascii="Arial" w:eastAsia="Calibri" w:hAnsi="Arial" w:cs="Arial"/>
          <w:color w:val="000000" w:themeColor="text1"/>
          <w:lang w:val="es-ES"/>
        </w:rPr>
        <w:t xml:space="preserve">i la entidad estatal limita el proceso de contratación a </w:t>
      </w:r>
      <w:proofErr w:type="spellStart"/>
      <w:r w:rsidRPr="00E82174">
        <w:rPr>
          <w:rFonts w:ascii="Arial" w:eastAsia="Calibri" w:hAnsi="Arial" w:cs="Arial"/>
          <w:color w:val="000000" w:themeColor="text1"/>
          <w:lang w:val="es-ES"/>
        </w:rPr>
        <w:t>Mipymes</w:t>
      </w:r>
      <w:proofErr w:type="spellEnd"/>
      <w:r w:rsidRPr="00E82174">
        <w:rPr>
          <w:rFonts w:ascii="Arial" w:eastAsia="Calibri" w:hAnsi="Arial" w:cs="Arial"/>
          <w:color w:val="000000" w:themeColor="text1"/>
          <w:lang w:val="es-ES"/>
        </w:rPr>
        <w:t xml:space="preserve"> nacionales, de acuerdo con el artículo 2.2.1.2.4.2.2 del Decreto </w:t>
      </w:r>
      <w:r w:rsidRPr="00E82174">
        <w:rPr>
          <w:rFonts w:ascii="Arial" w:eastAsia="Calibri" w:hAnsi="Arial" w:cs="Arial"/>
          <w:color w:val="000000" w:themeColor="text1"/>
          <w:lang w:val="es-ES"/>
        </w:rPr>
        <w:lastRenderedPageBreak/>
        <w:t xml:space="preserve">1082 de 2015, las entidades tienen la facultad de limitar la convocatoria a </w:t>
      </w:r>
      <w:proofErr w:type="spellStart"/>
      <w:r w:rsidRPr="00E82174">
        <w:rPr>
          <w:rFonts w:ascii="Arial" w:eastAsia="Calibri" w:hAnsi="Arial" w:cs="Arial"/>
          <w:color w:val="000000" w:themeColor="text1"/>
          <w:lang w:val="es-ES"/>
        </w:rPr>
        <w:t>Mipymes</w:t>
      </w:r>
      <w:proofErr w:type="spellEnd"/>
      <w:r w:rsidRPr="00E82174">
        <w:rPr>
          <w:rFonts w:ascii="Arial" w:eastAsia="Calibri" w:hAnsi="Arial" w:cs="Arial"/>
          <w:color w:val="000000" w:themeColor="text1"/>
          <w:lang w:val="es-ES"/>
        </w:rPr>
        <w:t xml:space="preserve"> nacionales domiciliadas en los departamentos o municipios en donde se va a ejecutar el contrato. En este caso, la entidad estatal podrá fijar como requisito habilitante que la </w:t>
      </w:r>
      <w:proofErr w:type="spellStart"/>
      <w:r w:rsidRPr="00E82174">
        <w:rPr>
          <w:rFonts w:ascii="Arial" w:eastAsia="Calibri" w:hAnsi="Arial" w:cs="Arial"/>
          <w:color w:val="000000" w:themeColor="text1"/>
          <w:lang w:val="es-ES"/>
        </w:rPr>
        <w:t>Mipyme</w:t>
      </w:r>
      <w:proofErr w:type="spellEnd"/>
      <w:r w:rsidRPr="00E82174">
        <w:rPr>
          <w:rFonts w:ascii="Arial" w:eastAsia="Calibri" w:hAnsi="Arial" w:cs="Arial"/>
          <w:color w:val="000000" w:themeColor="text1"/>
          <w:lang w:val="es-ES"/>
        </w:rPr>
        <w:t xml:space="preserve"> acredite que está domiciliada en el departamento o municipio en donde se va a ejecutar el contrato</w:t>
      </w:r>
      <w:r>
        <w:rPr>
          <w:rFonts w:ascii="Arial" w:eastAsia="Calibri" w:hAnsi="Arial" w:cs="Arial"/>
          <w:color w:val="000000" w:themeColor="text1"/>
          <w:lang w:val="es-ES"/>
        </w:rPr>
        <w:t>.</w:t>
      </w:r>
    </w:p>
    <w:p w14:paraId="19B0D314" w14:textId="77777777" w:rsidR="00AE02A1" w:rsidRDefault="00AE02A1" w:rsidP="00AE02A1">
      <w:pPr>
        <w:pBdr>
          <w:top w:val="nil"/>
          <w:left w:val="nil"/>
          <w:bottom w:val="nil"/>
          <w:right w:val="nil"/>
          <w:between w:val="nil"/>
        </w:pBdr>
        <w:spacing w:after="120" w:line="276" w:lineRule="auto"/>
        <w:ind w:firstLine="708"/>
        <w:jc w:val="both"/>
        <w:rPr>
          <w:rFonts w:ascii="Arial" w:eastAsia="Arial" w:hAnsi="Arial" w:cs="Arial"/>
          <w:color w:val="000000"/>
        </w:rPr>
      </w:pPr>
      <w:r w:rsidRPr="00D07A0E">
        <w:rPr>
          <w:rFonts w:ascii="Arial" w:eastAsia="Arial" w:hAnsi="Arial" w:cs="Arial"/>
          <w:color w:val="000000"/>
        </w:rPr>
        <w:t xml:space="preserve">En desarrollo del </w:t>
      </w:r>
      <w:r w:rsidRPr="00AB4DFD">
        <w:rPr>
          <w:rFonts w:ascii="Arial" w:eastAsia="Arial" w:hAnsi="Arial" w:cs="Arial"/>
          <w:color w:val="000000"/>
        </w:rPr>
        <w:t>artículo 12 de la Ley 1150 de 2007</w:t>
      </w:r>
      <w:r w:rsidRPr="00D07A0E">
        <w:rPr>
          <w:rFonts w:ascii="Arial" w:eastAsia="Arial" w:hAnsi="Arial" w:cs="Arial"/>
          <w:color w:val="000000"/>
        </w:rPr>
        <w:t xml:space="preserve">, el artículo 2.2.1.2.4.2.2 del Decreto 1082 de 2015 –modificado por el Decreto 1860 de 2021– establece los requisitos que se deben acreditar en las “convocatorias limitadas a </w:t>
      </w:r>
      <w:proofErr w:type="spellStart"/>
      <w:r w:rsidRPr="00D07A0E">
        <w:rPr>
          <w:rFonts w:ascii="Arial" w:eastAsia="Arial" w:hAnsi="Arial" w:cs="Arial"/>
          <w:color w:val="000000"/>
        </w:rPr>
        <w:t>Mipymes</w:t>
      </w:r>
      <w:proofErr w:type="spellEnd"/>
      <w:r w:rsidRPr="00D07A0E">
        <w:rPr>
          <w:rFonts w:ascii="Arial" w:eastAsia="Arial" w:hAnsi="Arial" w:cs="Arial"/>
          <w:color w:val="000000"/>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D07A0E">
        <w:rPr>
          <w:rFonts w:ascii="Arial" w:eastAsia="Arial" w:hAnsi="Arial" w:cs="Arial"/>
          <w:color w:val="000000"/>
        </w:rPr>
        <w:t>Mipyme</w:t>
      </w:r>
      <w:proofErr w:type="spellEnd"/>
      <w:r w:rsidRPr="00D07A0E">
        <w:rPr>
          <w:rFonts w:ascii="Arial" w:eastAsia="Arial" w:hAnsi="Arial" w:cs="Arial"/>
          <w:color w:val="000000"/>
        </w:rPr>
        <w:t xml:space="preserve"> colombianas con mínimo un (1) año de existencia, siempre que se cumplan los requisitos señalados allí</w:t>
      </w:r>
      <w:r>
        <w:rPr>
          <w:rFonts w:ascii="Arial" w:eastAsia="Arial" w:hAnsi="Arial" w:cs="Arial"/>
          <w:color w:val="000000"/>
        </w:rPr>
        <w:t>.</w:t>
      </w:r>
    </w:p>
    <w:p w14:paraId="2F9E5FF6" w14:textId="77777777" w:rsidR="00AE02A1" w:rsidRDefault="00AE02A1" w:rsidP="00AE02A1">
      <w:pPr>
        <w:ind w:firstLine="708"/>
        <w:jc w:val="both"/>
      </w:pPr>
      <w:r w:rsidRPr="00D07A0E">
        <w:rPr>
          <w:rFonts w:ascii="Arial" w:hAnsi="Arial" w:cs="Arial"/>
          <w:color w:val="000000" w:themeColor="text1"/>
        </w:rPr>
        <w:t xml:space="preserve">En tal sentido, </w:t>
      </w:r>
      <w:r w:rsidRPr="00D07A0E">
        <w:rPr>
          <w:rFonts w:ascii="Arial" w:eastAsia="Calibri" w:hAnsi="Arial" w:cs="Arial"/>
          <w:color w:val="000000" w:themeColor="text1"/>
        </w:rPr>
        <w:t>lo que debe adoptarse obligatoriamente es la</w:t>
      </w:r>
      <w:r w:rsidRPr="00D07A0E">
        <w:rPr>
          <w:rFonts w:ascii="Arial" w:hAnsi="Arial" w:cs="Arial"/>
          <w:color w:val="000000" w:themeColor="text1"/>
        </w:rPr>
        <w:t xml:space="preserve"> limitación a </w:t>
      </w:r>
      <w:proofErr w:type="spellStart"/>
      <w:r w:rsidRPr="00D07A0E">
        <w:rPr>
          <w:rFonts w:ascii="Arial" w:hAnsi="Arial" w:cs="Arial"/>
          <w:color w:val="000000" w:themeColor="text1"/>
        </w:rPr>
        <w:t>Mipymes</w:t>
      </w:r>
      <w:proofErr w:type="spellEnd"/>
      <w:r w:rsidRPr="00D07A0E">
        <w:rPr>
          <w:rFonts w:ascii="Arial" w:hAnsi="Arial" w:cs="Arial"/>
          <w:color w:val="000000" w:themeColor="text1"/>
        </w:rPr>
        <w:t xml:space="preserve"> colombianas</w:t>
      </w:r>
      <w:r w:rsidRPr="00D07A0E">
        <w:rPr>
          <w:rFonts w:ascii="Arial" w:eastAsia="Calibri" w:hAnsi="Arial" w:cs="Arial"/>
          <w:color w:val="000000" w:themeColor="text1"/>
        </w:rPr>
        <w:t xml:space="preserve"> siempre que se cumplan las condiciones del artículo 2.2.1.2.4.2.2 del Decreto 1082 de 2015, pero no la “limitación territorial” referida en el artículo 2.2.1.2.4.2.3 </w:t>
      </w:r>
      <w:proofErr w:type="spellStart"/>
      <w:r w:rsidRPr="00D07A0E">
        <w:rPr>
          <w:rFonts w:ascii="Arial" w:eastAsia="Calibri" w:hAnsi="Arial" w:cs="Arial"/>
          <w:i/>
          <w:iCs/>
          <w:color w:val="000000" w:themeColor="text1"/>
        </w:rPr>
        <w:t>ibídem</w:t>
      </w:r>
      <w:proofErr w:type="spellEnd"/>
      <w:r w:rsidRPr="00D07A0E">
        <w:rPr>
          <w:rFonts w:ascii="Arial" w:eastAsia="Calibri" w:hAnsi="Arial" w:cs="Arial"/>
          <w:color w:val="000000" w:themeColor="text1"/>
        </w:rPr>
        <w:t>, pues esta es facultativa para la entidad. Las únicas exigencias son que la convocatoria esté l</w:t>
      </w:r>
      <w:r w:rsidRPr="00D07A0E">
        <w:rPr>
          <w:rFonts w:ascii="Arial" w:hAnsi="Arial" w:cs="Arial"/>
          <w:color w:val="000000" w:themeColor="text1"/>
        </w:rPr>
        <w:t xml:space="preserve">imitada a las </w:t>
      </w:r>
      <w:proofErr w:type="spellStart"/>
      <w:r w:rsidRPr="00D07A0E">
        <w:rPr>
          <w:rFonts w:ascii="Arial" w:hAnsi="Arial" w:cs="Arial"/>
          <w:color w:val="000000" w:themeColor="text1"/>
        </w:rPr>
        <w:t>Mipyme</w:t>
      </w:r>
      <w:proofErr w:type="spellEnd"/>
      <w:r w:rsidRPr="00D07A0E">
        <w:rPr>
          <w:rFonts w:ascii="Arial" w:hAnsi="Arial" w:cs="Arial"/>
          <w:color w:val="000000" w:themeColor="text1"/>
        </w:rPr>
        <w:t xml:space="preserve"> colombianas</w:t>
      </w:r>
      <w:r w:rsidRPr="00D07A0E">
        <w:rPr>
          <w:rFonts w:ascii="Arial" w:eastAsia="Calibri" w:hAnsi="Arial" w:cs="Arial"/>
          <w:color w:val="000000" w:themeColor="text1"/>
        </w:rPr>
        <w:t xml:space="preserve"> “domiciliadas en los departamentos o municipios en donde se va a ejecutar el contrato” y que la entidad justifique su decisión con base en los “estudios del sector”</w:t>
      </w:r>
      <w:r>
        <w:rPr>
          <w:rFonts w:ascii="Arial" w:eastAsia="Calibri" w:hAnsi="Arial" w:cs="Arial"/>
          <w:color w:val="000000" w:themeColor="text1"/>
        </w:rPr>
        <w:t>.</w:t>
      </w:r>
    </w:p>
    <w:p w14:paraId="69D434F6" w14:textId="77777777" w:rsidR="00AE02A1" w:rsidRDefault="00AE02A1" w:rsidP="00AE02A1">
      <w:pPr>
        <w:spacing w:after="120" w:line="276" w:lineRule="auto"/>
        <w:ind w:firstLine="709"/>
        <w:jc w:val="both"/>
        <w:rPr>
          <w:rFonts w:ascii="Arial" w:eastAsia="Arial" w:hAnsi="Arial" w:cs="Arial"/>
          <w:color w:val="000000"/>
        </w:rPr>
      </w:pPr>
      <w:r w:rsidRPr="00D07A0E">
        <w:rPr>
          <w:rFonts w:ascii="Arial" w:eastAsia="Calibri" w:hAnsi="Arial" w:cs="Arial"/>
          <w:color w:val="000000" w:themeColor="text1"/>
        </w:rPr>
        <w:t xml:space="preserve">En resumen, la decisión de limitar o no territorialmente una convocatoria limitada a </w:t>
      </w:r>
      <w:proofErr w:type="spellStart"/>
      <w:r w:rsidRPr="00D07A0E">
        <w:rPr>
          <w:rFonts w:ascii="Arial" w:eastAsia="Calibri" w:hAnsi="Arial" w:cs="Arial"/>
          <w:color w:val="000000" w:themeColor="text1"/>
        </w:rPr>
        <w:t>Mipymes</w:t>
      </w:r>
      <w:proofErr w:type="spellEnd"/>
      <w:r w:rsidRPr="00D07A0E">
        <w:rPr>
          <w:rFonts w:ascii="Arial" w:eastAsia="Calibri" w:hAnsi="Arial" w:cs="Arial"/>
          <w:color w:val="000000" w:themeColor="text1"/>
        </w:rPr>
        <w:t xml:space="preserve"> nacionales es una facultad discrecional, de manera que</w:t>
      </w:r>
      <w:r w:rsidRPr="00D07A0E">
        <w:rPr>
          <w:rFonts w:ascii="Arial" w:eastAsia="Arial" w:hAnsi="Arial" w:cs="Arial"/>
          <w:color w:val="000000"/>
        </w:rPr>
        <w:t xml:space="preserve"> la entidad contratante valorará si es oportuno y conveniente adoptarla.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r>
        <w:rPr>
          <w:rFonts w:ascii="Arial" w:eastAsia="Arial" w:hAnsi="Arial" w:cs="Arial"/>
          <w:color w:val="000000"/>
        </w:rPr>
        <w:t xml:space="preserve"> En cada caso concreto, las consecuencias del incumplimiento de este deber serán analizadas por el juez del contrato previo ejercicio del derecho de acción, bajo en el entendido que la falsa de motivación es uno de los vicios invalidantes de los actos administrativos –art. 137, inc. 2, de la Ley 1437 de 2011–.  </w:t>
      </w:r>
      <w:r w:rsidRPr="00D07A0E">
        <w:rPr>
          <w:rFonts w:ascii="Arial" w:eastAsia="Arial" w:hAnsi="Arial" w:cs="Arial"/>
          <w:color w:val="000000"/>
        </w:rPr>
        <w:t xml:space="preserve"> </w:t>
      </w:r>
    </w:p>
    <w:p w14:paraId="0D009DFB" w14:textId="784861C3" w:rsidR="00AE02A1" w:rsidRDefault="00AE02A1" w:rsidP="00AE02A1">
      <w:pPr>
        <w:spacing w:after="0" w:line="276" w:lineRule="auto"/>
        <w:ind w:firstLine="709"/>
        <w:jc w:val="both"/>
        <w:rPr>
          <w:rFonts w:ascii="Arial" w:eastAsia="Arial" w:hAnsi="Arial" w:cs="Arial"/>
          <w:color w:val="000000"/>
        </w:rPr>
      </w:pPr>
      <w:r w:rsidRPr="7F17D3C5">
        <w:rPr>
          <w:rFonts w:ascii="Arial" w:eastAsia="Arial" w:hAnsi="Arial" w:cs="Arial"/>
          <w:color w:val="000000" w:themeColor="text1"/>
        </w:rPr>
        <w:t>Lo importante es que</w:t>
      </w:r>
      <w:r w:rsidR="0F48910C" w:rsidRPr="7F17D3C5">
        <w:rPr>
          <w:rFonts w:ascii="Arial" w:eastAsia="Arial" w:hAnsi="Arial" w:cs="Arial"/>
          <w:color w:val="000000" w:themeColor="text1"/>
        </w:rPr>
        <w:t>,</w:t>
      </w:r>
      <w:r w:rsidRPr="7F17D3C5">
        <w:rPr>
          <w:rFonts w:ascii="Arial" w:eastAsia="Arial" w:hAnsi="Arial" w:cs="Arial"/>
          <w:color w:val="000000" w:themeColor="text1"/>
        </w:rPr>
        <w:t xml:space="preserve"> si la convocatoria de se limita a </w:t>
      </w:r>
      <w:proofErr w:type="spellStart"/>
      <w:r w:rsidRPr="7F17D3C5">
        <w:rPr>
          <w:rFonts w:ascii="Arial" w:eastAsia="Arial" w:hAnsi="Arial" w:cs="Arial"/>
          <w:color w:val="000000" w:themeColor="text1"/>
        </w:rPr>
        <w:t>Mipymes</w:t>
      </w:r>
      <w:proofErr w:type="spellEnd"/>
      <w:r w:rsidRPr="7F17D3C5">
        <w:rPr>
          <w:rFonts w:ascii="Arial" w:eastAsia="Arial" w:hAnsi="Arial" w:cs="Arial"/>
          <w:color w:val="000000" w:themeColor="text1"/>
        </w:rPr>
        <w:t xml:space="preserve"> nacionales, quedan excluidos no solo las grandes empresas ubicadas en el territorio colombiano sino también los proponentes extranjeros. En otras palabras, el inciso primero del artículo 12 de la Ley 1150 de 2007 y el artículo </w:t>
      </w:r>
      <w:r w:rsidRPr="00D07A0E">
        <w:rPr>
          <w:rFonts w:ascii="Arial" w:eastAsia="Calibri" w:hAnsi="Arial" w:cs="Arial"/>
          <w:color w:val="000000" w:themeColor="text1"/>
        </w:rPr>
        <w:t>2.2.1.2.4.2.2</w:t>
      </w:r>
      <w:r>
        <w:rPr>
          <w:rFonts w:ascii="Arial" w:eastAsia="Calibri" w:hAnsi="Arial" w:cs="Arial"/>
          <w:color w:val="000000" w:themeColor="text1"/>
        </w:rPr>
        <w:t xml:space="preserve"> del Decreto 1082 de 2015 establece un trato </w:t>
      </w:r>
      <w:r>
        <w:rPr>
          <w:rFonts w:ascii="Arial" w:eastAsia="Calibri" w:hAnsi="Arial" w:cs="Arial"/>
          <w:color w:val="000000" w:themeColor="text1"/>
        </w:rPr>
        <w:lastRenderedPageBreak/>
        <w:t xml:space="preserve">preferencial </w:t>
      </w:r>
      <w:proofErr w:type="gramStart"/>
      <w:r>
        <w:rPr>
          <w:rFonts w:ascii="Arial" w:eastAsia="Calibri" w:hAnsi="Arial" w:cs="Arial"/>
          <w:color w:val="000000" w:themeColor="text1"/>
        </w:rPr>
        <w:t>en razón de</w:t>
      </w:r>
      <w:proofErr w:type="gramEnd"/>
      <w:r>
        <w:rPr>
          <w:rFonts w:ascii="Arial" w:eastAsia="Calibri" w:hAnsi="Arial" w:cs="Arial"/>
          <w:color w:val="000000" w:themeColor="text1"/>
        </w:rPr>
        <w:t xml:space="preserve"> la nacionalidad. En contraste, si la </w:t>
      </w:r>
      <w:r w:rsidRPr="00884F6C">
        <w:rPr>
          <w:rFonts w:ascii="Arial" w:eastAsia="Calibri" w:hAnsi="Arial" w:cs="Arial"/>
          <w:color w:val="000000" w:themeColor="text1"/>
        </w:rPr>
        <w:t>convocatoria limitada benefici</w:t>
      </w:r>
      <w:r>
        <w:rPr>
          <w:rFonts w:ascii="Arial" w:eastAsia="Calibri" w:hAnsi="Arial" w:cs="Arial"/>
          <w:color w:val="000000" w:themeColor="text1"/>
        </w:rPr>
        <w:t>a</w:t>
      </w:r>
      <w:r w:rsidRPr="00884F6C">
        <w:rPr>
          <w:rFonts w:ascii="Arial" w:eastAsia="Calibri" w:hAnsi="Arial" w:cs="Arial"/>
          <w:color w:val="000000" w:themeColor="text1"/>
        </w:rPr>
        <w:t xml:space="preserve"> a las </w:t>
      </w:r>
      <w:proofErr w:type="spellStart"/>
      <w:r w:rsidRPr="00884F6C">
        <w:rPr>
          <w:rFonts w:ascii="Arial" w:eastAsia="Calibri" w:hAnsi="Arial" w:cs="Arial"/>
          <w:color w:val="000000" w:themeColor="text1"/>
        </w:rPr>
        <w:t>Mipyme</w:t>
      </w:r>
      <w:r>
        <w:rPr>
          <w:rFonts w:ascii="Arial" w:eastAsia="Calibri" w:hAnsi="Arial" w:cs="Arial"/>
          <w:color w:val="000000" w:themeColor="text1"/>
        </w:rPr>
        <w:t>s</w:t>
      </w:r>
      <w:proofErr w:type="spellEnd"/>
      <w:r w:rsidRPr="00884F6C">
        <w:rPr>
          <w:rFonts w:ascii="Arial" w:eastAsia="Calibri" w:hAnsi="Arial" w:cs="Arial"/>
          <w:color w:val="000000" w:themeColor="text1"/>
        </w:rPr>
        <w:t xml:space="preserve"> </w:t>
      </w:r>
      <w:r>
        <w:rPr>
          <w:rFonts w:ascii="Arial" w:eastAsia="Calibri" w:hAnsi="Arial" w:cs="Arial"/>
          <w:color w:val="000000" w:themeColor="text1"/>
        </w:rPr>
        <w:t>del</w:t>
      </w:r>
      <w:r w:rsidRPr="00884F6C">
        <w:rPr>
          <w:rFonts w:ascii="Arial" w:eastAsia="Calibri" w:hAnsi="Arial" w:cs="Arial"/>
          <w:color w:val="000000" w:themeColor="text1"/>
        </w:rPr>
        <w:t xml:space="preserve"> municip</w:t>
      </w:r>
      <w:r>
        <w:rPr>
          <w:rFonts w:ascii="Arial" w:eastAsia="Calibri" w:hAnsi="Arial" w:cs="Arial"/>
          <w:color w:val="000000" w:themeColor="text1"/>
        </w:rPr>
        <w:t xml:space="preserve">io </w:t>
      </w:r>
      <w:r w:rsidRPr="00884F6C">
        <w:rPr>
          <w:rFonts w:ascii="Arial" w:eastAsia="Calibri" w:hAnsi="Arial" w:cs="Arial"/>
          <w:color w:val="000000" w:themeColor="text1"/>
        </w:rPr>
        <w:t>o departamen</w:t>
      </w:r>
      <w:r>
        <w:rPr>
          <w:rFonts w:ascii="Arial" w:eastAsia="Calibri" w:hAnsi="Arial" w:cs="Arial"/>
          <w:color w:val="000000" w:themeColor="text1"/>
        </w:rPr>
        <w:t>to</w:t>
      </w:r>
      <w:r w:rsidRPr="00884F6C">
        <w:rPr>
          <w:rFonts w:ascii="Arial" w:eastAsia="Calibri" w:hAnsi="Arial" w:cs="Arial"/>
          <w:color w:val="000000" w:themeColor="text1"/>
        </w:rPr>
        <w:t xml:space="preserve"> correspondiente al de la ejecución del contrato</w:t>
      </w:r>
      <w:r>
        <w:rPr>
          <w:rFonts w:ascii="Arial" w:eastAsia="Calibri" w:hAnsi="Arial" w:cs="Arial"/>
          <w:color w:val="000000" w:themeColor="text1"/>
        </w:rPr>
        <w:t xml:space="preserve">, también quedan excluidas –además de los anteriores– las </w:t>
      </w:r>
      <w:proofErr w:type="spellStart"/>
      <w:r>
        <w:rPr>
          <w:rFonts w:ascii="Arial" w:eastAsia="Calibri" w:hAnsi="Arial" w:cs="Arial"/>
          <w:color w:val="000000" w:themeColor="text1"/>
        </w:rPr>
        <w:t>Mipymes</w:t>
      </w:r>
      <w:proofErr w:type="spellEnd"/>
      <w:r>
        <w:rPr>
          <w:rFonts w:ascii="Arial" w:eastAsia="Calibri" w:hAnsi="Arial" w:cs="Arial"/>
          <w:color w:val="000000" w:themeColor="text1"/>
        </w:rPr>
        <w:t xml:space="preserve"> de otros lugares de Colombia. Es decir, el parágrafo 1 </w:t>
      </w:r>
      <w:r w:rsidRPr="7F17D3C5">
        <w:rPr>
          <w:rFonts w:ascii="Arial" w:eastAsia="Arial" w:hAnsi="Arial" w:cs="Arial"/>
          <w:color w:val="000000" w:themeColor="text1"/>
        </w:rPr>
        <w:t xml:space="preserve">del artículo 12 de la Ley 1150 de 2007 y el artículo </w:t>
      </w:r>
      <w:r w:rsidRPr="00D07A0E">
        <w:rPr>
          <w:rFonts w:ascii="Arial" w:eastAsia="Calibri" w:hAnsi="Arial" w:cs="Arial"/>
          <w:color w:val="000000" w:themeColor="text1"/>
        </w:rPr>
        <w:t>2.2.1.2.4.2.3</w:t>
      </w:r>
      <w:r>
        <w:rPr>
          <w:rFonts w:ascii="Arial" w:eastAsia="Calibri" w:hAnsi="Arial" w:cs="Arial"/>
          <w:color w:val="000000" w:themeColor="text1"/>
        </w:rPr>
        <w:t xml:space="preserve"> del Decreto 1082 de 2015 establece un trato privilegiado que se fundamenta en el territorio. </w:t>
      </w:r>
      <w:r w:rsidRPr="7F17D3C5">
        <w:rPr>
          <w:rFonts w:ascii="Arial" w:eastAsia="Arial" w:hAnsi="Arial" w:cs="Arial"/>
          <w:color w:val="000000" w:themeColor="text1"/>
        </w:rPr>
        <w:t xml:space="preserve"> </w:t>
      </w:r>
    </w:p>
    <w:p w14:paraId="6BB96D23" w14:textId="77777777" w:rsidR="00AE02A1" w:rsidRPr="00262D58" w:rsidRDefault="00AE02A1" w:rsidP="00AE02A1">
      <w:pPr>
        <w:pBdr>
          <w:top w:val="nil"/>
          <w:left w:val="nil"/>
          <w:bottom w:val="nil"/>
          <w:right w:val="nil"/>
          <w:between w:val="nil"/>
        </w:pBdr>
        <w:spacing w:after="120" w:line="276" w:lineRule="auto"/>
        <w:jc w:val="both"/>
        <w:rPr>
          <w:rFonts w:ascii="Arial" w:eastAsia="Arial" w:hAnsi="Arial" w:cs="Arial"/>
          <w:color w:val="000000"/>
        </w:rPr>
      </w:pPr>
    </w:p>
    <w:p w14:paraId="439CD871" w14:textId="77777777" w:rsidR="00AE02A1" w:rsidRPr="00262D58" w:rsidRDefault="00AE02A1" w:rsidP="00AE02A1">
      <w:pPr>
        <w:widowControl w:val="0"/>
        <w:autoSpaceDE w:val="0"/>
        <w:autoSpaceDN w:val="0"/>
        <w:spacing w:after="0" w:line="276" w:lineRule="auto"/>
        <w:jc w:val="both"/>
        <w:rPr>
          <w:rFonts w:ascii="Arial" w:hAnsi="Arial" w:cs="Arial"/>
          <w:color w:val="000000" w:themeColor="text1"/>
          <w:lang w:val="es-ES_tradnl" w:bidi="es-ES"/>
        </w:rPr>
      </w:pPr>
      <w:r w:rsidRPr="00262D58">
        <w:rPr>
          <w:rFonts w:ascii="Arial" w:hAnsi="Arial" w:cs="Arial"/>
          <w:color w:val="000000" w:themeColor="text1"/>
          <w:lang w:val="es-ES_tradnl"/>
        </w:rPr>
        <w:t>Este concepto tiene el alcance previsto en el artículo 28 del Código de Procedimiento Administrativo y de lo Contencioso Administrativo.</w:t>
      </w:r>
    </w:p>
    <w:p w14:paraId="73284349" w14:textId="77777777" w:rsidR="00AE02A1" w:rsidRPr="00262D58" w:rsidRDefault="00AE02A1" w:rsidP="00AE02A1">
      <w:pPr>
        <w:widowControl w:val="0"/>
        <w:autoSpaceDE w:val="0"/>
        <w:autoSpaceDN w:val="0"/>
        <w:spacing w:after="0" w:line="276" w:lineRule="auto"/>
        <w:jc w:val="both"/>
        <w:rPr>
          <w:rFonts w:ascii="Arial" w:hAnsi="Arial" w:cs="Arial"/>
          <w:color w:val="000000" w:themeColor="text1"/>
          <w:lang w:val="es-ES_tradnl" w:bidi="es-ES"/>
        </w:rPr>
      </w:pPr>
    </w:p>
    <w:p w14:paraId="6AAA385C" w14:textId="77777777" w:rsidR="00AE02A1" w:rsidRPr="00262D58" w:rsidRDefault="00AE02A1" w:rsidP="00AE02A1">
      <w:pPr>
        <w:tabs>
          <w:tab w:val="left" w:pos="426"/>
        </w:tabs>
        <w:spacing w:line="276" w:lineRule="auto"/>
        <w:jc w:val="both"/>
        <w:rPr>
          <w:rFonts w:ascii="Arial" w:eastAsia="Times New Roman" w:hAnsi="Arial" w:cs="Arial"/>
          <w:color w:val="000000" w:themeColor="text1"/>
        </w:rPr>
      </w:pPr>
      <w:r w:rsidRPr="00262D58">
        <w:rPr>
          <w:rFonts w:ascii="Arial" w:eastAsia="Times New Roman" w:hAnsi="Arial" w:cs="Arial"/>
          <w:color w:val="000000" w:themeColor="text1"/>
        </w:rPr>
        <w:t>Atentamente,</w:t>
      </w:r>
    </w:p>
    <w:p w14:paraId="1F41108B" w14:textId="2B191C3E" w:rsidR="00AE02A1" w:rsidRPr="00262D58" w:rsidRDefault="00C0254F" w:rsidP="00AE02A1">
      <w:pPr>
        <w:jc w:val="center"/>
        <w:rPr>
          <w:rFonts w:ascii="Arial" w:eastAsia="Times New Roman" w:hAnsi="Arial" w:cs="Arial"/>
          <w:lang w:eastAsia="es-CO"/>
        </w:rPr>
      </w:pPr>
      <w:r>
        <w:rPr>
          <w:noProof/>
        </w:rPr>
        <w:drawing>
          <wp:inline distT="0" distB="0" distL="0" distR="0" wp14:anchorId="7D5D4DE3" wp14:editId="7F81F5B9">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E02A1" w:rsidRPr="005E53FE" w14:paraId="75C85230" w14:textId="77777777" w:rsidTr="00706B2D">
        <w:trPr>
          <w:trHeight w:val="409"/>
        </w:trPr>
        <w:tc>
          <w:tcPr>
            <w:tcW w:w="817" w:type="dxa"/>
            <w:tcBorders>
              <w:top w:val="nil"/>
              <w:left w:val="nil"/>
              <w:bottom w:val="nil"/>
              <w:right w:val="nil"/>
            </w:tcBorders>
            <w:vAlign w:val="center"/>
            <w:hideMark/>
          </w:tcPr>
          <w:p w14:paraId="1E246649" w14:textId="77777777" w:rsidR="00AE02A1" w:rsidRPr="00262D58" w:rsidRDefault="00AE02A1" w:rsidP="00706B2D">
            <w:pPr>
              <w:spacing w:after="0" w:line="240" w:lineRule="auto"/>
              <w:jc w:val="both"/>
              <w:rPr>
                <w:rFonts w:ascii="Arial" w:hAnsi="Arial" w:cs="Arial"/>
                <w:sz w:val="16"/>
                <w:szCs w:val="16"/>
              </w:rPr>
            </w:pPr>
            <w:r w:rsidRPr="00262D58">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7574C46D" w14:textId="77777777" w:rsidR="00AE02A1" w:rsidRPr="00262D58" w:rsidRDefault="00AE02A1" w:rsidP="00706B2D">
            <w:pPr>
              <w:spacing w:after="0" w:line="240" w:lineRule="auto"/>
              <w:jc w:val="both"/>
              <w:rPr>
                <w:rFonts w:ascii="Arial" w:hAnsi="Arial" w:cs="Arial"/>
                <w:sz w:val="16"/>
                <w:szCs w:val="16"/>
              </w:rPr>
            </w:pPr>
            <w:r w:rsidRPr="00262D58">
              <w:rPr>
                <w:rFonts w:ascii="Arial" w:hAnsi="Arial" w:cs="Arial"/>
                <w:sz w:val="16"/>
                <w:szCs w:val="16"/>
              </w:rPr>
              <w:t>Juan David Montoya Penagos</w:t>
            </w:r>
          </w:p>
          <w:p w14:paraId="1BA0757F" w14:textId="77777777" w:rsidR="00AE02A1" w:rsidRPr="00262D58" w:rsidRDefault="00AE02A1" w:rsidP="00706B2D">
            <w:pPr>
              <w:spacing w:after="0" w:line="240" w:lineRule="auto"/>
              <w:jc w:val="both"/>
              <w:rPr>
                <w:rFonts w:ascii="Arial" w:hAnsi="Arial" w:cs="Arial"/>
                <w:sz w:val="16"/>
                <w:szCs w:val="16"/>
              </w:rPr>
            </w:pPr>
            <w:r w:rsidRPr="00262D58">
              <w:rPr>
                <w:rFonts w:ascii="Arial" w:hAnsi="Arial" w:cs="Arial"/>
                <w:sz w:val="16"/>
                <w:szCs w:val="16"/>
              </w:rPr>
              <w:t>Contratista de la Subdirección de Gestión Contractual</w:t>
            </w:r>
          </w:p>
        </w:tc>
      </w:tr>
      <w:tr w:rsidR="00AE02A1" w:rsidRPr="005E53FE" w14:paraId="44D01413" w14:textId="77777777" w:rsidTr="00706B2D">
        <w:trPr>
          <w:trHeight w:val="409"/>
        </w:trPr>
        <w:tc>
          <w:tcPr>
            <w:tcW w:w="817" w:type="dxa"/>
            <w:tcBorders>
              <w:top w:val="nil"/>
              <w:left w:val="nil"/>
              <w:right w:val="nil"/>
            </w:tcBorders>
            <w:vAlign w:val="center"/>
          </w:tcPr>
          <w:p w14:paraId="2105FF77" w14:textId="77777777" w:rsidR="00AE02A1" w:rsidRPr="00262D58" w:rsidRDefault="00AE02A1" w:rsidP="00706B2D">
            <w:pPr>
              <w:jc w:val="both"/>
              <w:rPr>
                <w:rFonts w:ascii="Arial" w:hAnsi="Arial" w:cs="Arial"/>
                <w:sz w:val="16"/>
                <w:szCs w:val="16"/>
              </w:rPr>
            </w:pPr>
            <w:r w:rsidRPr="00262D58">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7E262DCD" w14:textId="77777777" w:rsidR="00AE02A1" w:rsidRPr="007E25AB" w:rsidRDefault="00AE02A1" w:rsidP="00706B2D">
            <w:pPr>
              <w:spacing w:after="0" w:line="240" w:lineRule="auto"/>
              <w:jc w:val="both"/>
              <w:rPr>
                <w:rFonts w:ascii="Arial" w:hAnsi="Arial" w:cs="Arial"/>
                <w:sz w:val="16"/>
                <w:szCs w:val="16"/>
              </w:rPr>
            </w:pPr>
            <w:r w:rsidRPr="007E25AB">
              <w:rPr>
                <w:rFonts w:ascii="Arial" w:hAnsi="Arial" w:cs="Arial"/>
                <w:sz w:val="16"/>
                <w:szCs w:val="16"/>
              </w:rPr>
              <w:t>Martha Alicia Romero Vargas</w:t>
            </w:r>
          </w:p>
          <w:p w14:paraId="19B80CCF" w14:textId="77777777" w:rsidR="00AE02A1" w:rsidRPr="00262D58" w:rsidRDefault="00AE02A1" w:rsidP="00706B2D">
            <w:pPr>
              <w:spacing w:after="0" w:line="240" w:lineRule="auto"/>
              <w:jc w:val="both"/>
              <w:rPr>
                <w:rFonts w:ascii="Arial" w:hAnsi="Arial" w:cs="Arial"/>
                <w:sz w:val="16"/>
                <w:szCs w:val="16"/>
              </w:rPr>
            </w:pPr>
            <w:r w:rsidRPr="007E25AB">
              <w:rPr>
                <w:rFonts w:ascii="Arial" w:hAnsi="Arial" w:cs="Arial"/>
                <w:sz w:val="16"/>
                <w:szCs w:val="16"/>
              </w:rPr>
              <w:t>Gestor T1 ‒ 15 de la Subdirección de Gestión Contractual</w:t>
            </w:r>
          </w:p>
        </w:tc>
      </w:tr>
      <w:tr w:rsidR="00AE02A1" w:rsidRPr="005E53FE" w14:paraId="75A2EFDA" w14:textId="77777777" w:rsidTr="00706B2D">
        <w:trPr>
          <w:trHeight w:val="389"/>
        </w:trPr>
        <w:tc>
          <w:tcPr>
            <w:tcW w:w="817" w:type="dxa"/>
            <w:tcBorders>
              <w:top w:val="nil"/>
              <w:left w:val="nil"/>
              <w:bottom w:val="nil"/>
              <w:right w:val="nil"/>
            </w:tcBorders>
            <w:vAlign w:val="center"/>
            <w:hideMark/>
          </w:tcPr>
          <w:p w14:paraId="7D9F038D" w14:textId="77777777" w:rsidR="00AE02A1" w:rsidRPr="00262D58" w:rsidRDefault="00AE02A1" w:rsidP="00706B2D">
            <w:pPr>
              <w:spacing w:after="0" w:line="240" w:lineRule="auto"/>
              <w:jc w:val="both"/>
              <w:rPr>
                <w:rFonts w:ascii="Arial" w:hAnsi="Arial" w:cs="Arial"/>
                <w:sz w:val="16"/>
                <w:szCs w:val="16"/>
              </w:rPr>
            </w:pPr>
            <w:r w:rsidRPr="00262D58">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8583294" w14:textId="77777777" w:rsidR="00AE02A1" w:rsidRPr="00262D58" w:rsidRDefault="00AE02A1" w:rsidP="00706B2D">
            <w:pPr>
              <w:spacing w:after="0" w:line="240" w:lineRule="auto"/>
              <w:jc w:val="both"/>
              <w:rPr>
                <w:rFonts w:ascii="Arial" w:hAnsi="Arial" w:cs="Arial"/>
                <w:sz w:val="16"/>
                <w:szCs w:val="16"/>
              </w:rPr>
            </w:pPr>
            <w:r w:rsidRPr="00262D58">
              <w:rPr>
                <w:rFonts w:ascii="Arial" w:hAnsi="Arial" w:cs="Arial"/>
                <w:sz w:val="16"/>
                <w:szCs w:val="16"/>
              </w:rPr>
              <w:t xml:space="preserve">Nohelia del Carmen </w:t>
            </w:r>
            <w:proofErr w:type="spellStart"/>
            <w:r w:rsidRPr="00262D58">
              <w:rPr>
                <w:rFonts w:ascii="Arial" w:hAnsi="Arial" w:cs="Arial"/>
                <w:sz w:val="16"/>
                <w:szCs w:val="16"/>
              </w:rPr>
              <w:t>Zawady</w:t>
            </w:r>
            <w:proofErr w:type="spellEnd"/>
            <w:r w:rsidRPr="00262D58">
              <w:rPr>
                <w:rFonts w:ascii="Arial" w:hAnsi="Arial" w:cs="Arial"/>
                <w:sz w:val="16"/>
                <w:szCs w:val="16"/>
              </w:rPr>
              <w:t xml:space="preserve"> Palacio</w:t>
            </w:r>
          </w:p>
          <w:p w14:paraId="4A99496E" w14:textId="77777777" w:rsidR="00AE02A1" w:rsidRPr="00262D58" w:rsidRDefault="00AE02A1" w:rsidP="00706B2D">
            <w:pPr>
              <w:spacing w:after="0" w:line="240" w:lineRule="auto"/>
              <w:jc w:val="both"/>
              <w:rPr>
                <w:rFonts w:ascii="Arial" w:hAnsi="Arial" w:cs="Arial"/>
                <w:sz w:val="16"/>
                <w:szCs w:val="16"/>
              </w:rPr>
            </w:pPr>
            <w:r w:rsidRPr="00262D58">
              <w:rPr>
                <w:rFonts w:ascii="Arial" w:hAnsi="Arial" w:cs="Arial"/>
                <w:sz w:val="16"/>
                <w:szCs w:val="16"/>
              </w:rPr>
              <w:t>Subdirectora de Gestión Contractual ANCP – CCE</w:t>
            </w:r>
          </w:p>
        </w:tc>
      </w:tr>
      <w:bookmarkEnd w:id="2"/>
    </w:tbl>
    <w:p w14:paraId="06D877CF" w14:textId="77777777" w:rsidR="00AE02A1" w:rsidRPr="00262D58" w:rsidRDefault="00AE02A1" w:rsidP="00AE02A1">
      <w:pPr>
        <w:tabs>
          <w:tab w:val="left" w:pos="0"/>
        </w:tabs>
        <w:spacing w:line="276" w:lineRule="auto"/>
        <w:contextualSpacing/>
        <w:jc w:val="both"/>
        <w:rPr>
          <w:rFonts w:ascii="Arial" w:hAnsi="Arial" w:cs="Arial"/>
          <w:lang w:val="es-MX"/>
        </w:rPr>
      </w:pPr>
    </w:p>
    <w:p w14:paraId="3978EC2F" w14:textId="77777777" w:rsidR="00AE02A1" w:rsidRPr="00262D58" w:rsidRDefault="00AE02A1" w:rsidP="00AE02A1">
      <w:pPr>
        <w:rPr>
          <w:rFonts w:ascii="Arial" w:hAnsi="Arial" w:cs="Arial"/>
        </w:rPr>
      </w:pPr>
    </w:p>
    <w:p w14:paraId="6F099273" w14:textId="77777777" w:rsidR="00AE02A1" w:rsidRPr="00262D58" w:rsidRDefault="00AE02A1" w:rsidP="00AE02A1">
      <w:pPr>
        <w:rPr>
          <w:rFonts w:ascii="Arial" w:hAnsi="Arial" w:cs="Arial"/>
        </w:rPr>
      </w:pPr>
      <w:r w:rsidRPr="00262D58">
        <w:rPr>
          <w:rFonts w:ascii="Arial" w:hAnsi="Arial" w:cs="Arial"/>
        </w:rPr>
        <w:t xml:space="preserve"> </w:t>
      </w:r>
    </w:p>
    <w:p w14:paraId="0F293BF4" w14:textId="4E630EB9" w:rsidR="00127233" w:rsidRPr="001C6C55" w:rsidRDefault="00E245AB" w:rsidP="001C6C55">
      <w:r w:rsidRPr="001C6C55">
        <w:t xml:space="preserve"> </w:t>
      </w:r>
    </w:p>
    <w:sectPr w:rsidR="00127233" w:rsidRPr="001C6C55" w:rsidSect="00923EE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AE22B" w14:textId="77777777" w:rsidR="007727BB" w:rsidRDefault="007727BB" w:rsidP="004A1847">
      <w:pPr>
        <w:spacing w:after="0" w:line="240" w:lineRule="auto"/>
      </w:pPr>
      <w:r>
        <w:separator/>
      </w:r>
    </w:p>
  </w:endnote>
  <w:endnote w:type="continuationSeparator" w:id="0">
    <w:p w14:paraId="4D487C55" w14:textId="77777777" w:rsidR="007727BB" w:rsidRDefault="007727BB" w:rsidP="004A1847">
      <w:pPr>
        <w:spacing w:after="0" w:line="240" w:lineRule="auto"/>
      </w:pPr>
      <w:r>
        <w:continuationSeparator/>
      </w:r>
    </w:p>
  </w:endnote>
  <w:endnote w:type="continuationNotice" w:id="1">
    <w:p w14:paraId="74ABE455" w14:textId="77777777" w:rsidR="007727BB" w:rsidRDefault="007727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C9EBE" w14:textId="77777777" w:rsidR="007727BB" w:rsidRDefault="007727BB" w:rsidP="004A1847">
      <w:pPr>
        <w:spacing w:after="0" w:line="240" w:lineRule="auto"/>
      </w:pPr>
      <w:r>
        <w:separator/>
      </w:r>
    </w:p>
  </w:footnote>
  <w:footnote w:type="continuationSeparator" w:id="0">
    <w:p w14:paraId="67310E7A" w14:textId="77777777" w:rsidR="007727BB" w:rsidRDefault="007727BB" w:rsidP="004A1847">
      <w:pPr>
        <w:spacing w:after="0" w:line="240" w:lineRule="auto"/>
      </w:pPr>
      <w:r>
        <w:continuationSeparator/>
      </w:r>
    </w:p>
  </w:footnote>
  <w:footnote w:type="continuationNotice" w:id="1">
    <w:p w14:paraId="480837DD" w14:textId="77777777" w:rsidR="007727BB" w:rsidRDefault="007727BB">
      <w:pPr>
        <w:spacing w:after="0" w:line="240" w:lineRule="auto"/>
      </w:pPr>
    </w:p>
  </w:footnote>
  <w:footnote w:id="2">
    <w:p w14:paraId="236C98E9" w14:textId="77777777" w:rsidR="00AE02A1" w:rsidRPr="005C22F3" w:rsidRDefault="00AE02A1" w:rsidP="00AE02A1">
      <w:pPr>
        <w:pStyle w:val="Textonotapie"/>
        <w:ind w:firstLine="708"/>
        <w:jc w:val="both"/>
        <w:rPr>
          <w:rFonts w:ascii="Arial" w:hAnsi="Arial" w:cs="Arial"/>
          <w:sz w:val="18"/>
          <w:szCs w:val="18"/>
        </w:rPr>
      </w:pPr>
      <w:r w:rsidRPr="005C22F3">
        <w:rPr>
          <w:rStyle w:val="Refdenotaalpie"/>
          <w:rFonts w:ascii="Arial" w:hAnsi="Arial" w:cs="Arial"/>
          <w:sz w:val="18"/>
          <w:szCs w:val="18"/>
        </w:rPr>
        <w:footnoteRef/>
      </w:r>
      <w:r w:rsidRPr="005C22F3">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5C22F3">
          <w:rPr>
            <w:rStyle w:val="Hipervnculo"/>
            <w:rFonts w:ascii="Arial" w:hAnsi="Arial" w:cs="Arial"/>
            <w:sz w:val="18"/>
            <w:szCs w:val="18"/>
          </w:rPr>
          <w:t>https://relatoria.colombiacompra.gov.co/busqueda/conceptos</w:t>
        </w:r>
      </w:hyperlink>
      <w:r w:rsidRPr="005C22F3">
        <w:rPr>
          <w:rStyle w:val="Hipervnculo"/>
          <w:rFonts w:ascii="Arial" w:hAnsi="Arial" w:cs="Arial"/>
          <w:sz w:val="18"/>
          <w:szCs w:val="18"/>
        </w:rPr>
        <w:t xml:space="preserve">. </w:t>
      </w:r>
      <w:r w:rsidRPr="005C22F3">
        <w:rPr>
          <w:rFonts w:ascii="Arial" w:hAnsi="Arial" w:cs="Arial"/>
          <w:sz w:val="18"/>
          <w:szCs w:val="18"/>
          <w:shd w:val="clear" w:color="auto" w:fill="E6E6E6"/>
        </w:rPr>
        <w:t xml:space="preserve"> </w:t>
      </w:r>
    </w:p>
  </w:footnote>
  <w:footnote w:id="3">
    <w:p w14:paraId="1832DF6A" w14:textId="77777777" w:rsidR="00AE02A1" w:rsidRPr="005C22F3" w:rsidRDefault="00AE02A1" w:rsidP="00AE02A1">
      <w:pPr>
        <w:pStyle w:val="Textonotapie"/>
        <w:ind w:firstLine="708"/>
        <w:jc w:val="both"/>
        <w:rPr>
          <w:rFonts w:ascii="Arial" w:hAnsi="Arial" w:cs="Arial"/>
          <w:color w:val="000000" w:themeColor="text1"/>
          <w:sz w:val="18"/>
          <w:szCs w:val="18"/>
        </w:rPr>
      </w:pPr>
      <w:r w:rsidRPr="005C22F3">
        <w:rPr>
          <w:rStyle w:val="Refdenotaalpie"/>
          <w:rFonts w:ascii="Arial" w:hAnsi="Arial" w:cs="Arial"/>
          <w:color w:val="000000" w:themeColor="text1"/>
          <w:sz w:val="18"/>
          <w:szCs w:val="18"/>
        </w:rPr>
        <w:footnoteRef/>
      </w:r>
      <w:r w:rsidRPr="005C22F3">
        <w:rPr>
          <w:rFonts w:ascii="Arial" w:hAnsi="Arial" w:cs="Arial"/>
          <w:color w:val="000000" w:themeColor="text1"/>
          <w:sz w:val="18"/>
          <w:szCs w:val="18"/>
        </w:rPr>
        <w:t xml:space="preserve"> Al respecto, el artículo 2, literal a) del numeral 1, del Estatuto General de Contratación denomina como entidades estatales a “La Nación, las regiones, los departamentos, las provincias, el distrito capital y los distritos especiales, las áreas metropolitanas, las asociaciones de municipios, los territorios indígenas y los municipios; los establecimientos públicos, </w:t>
      </w:r>
      <w:r w:rsidRPr="005C22F3">
        <w:rPr>
          <w:rFonts w:ascii="Arial" w:hAnsi="Arial" w:cs="Arial"/>
          <w:i/>
          <w:iCs/>
          <w:color w:val="000000" w:themeColor="text1"/>
          <w:sz w:val="18"/>
          <w:szCs w:val="18"/>
        </w:rPr>
        <w:t>las empresas industriales y comerciales del Estado</w:t>
      </w:r>
      <w:r w:rsidRPr="005C22F3">
        <w:rPr>
          <w:rFonts w:ascii="Arial" w:hAnsi="Arial" w:cs="Arial"/>
          <w:color w:val="000000" w:themeColor="text1"/>
          <w:sz w:val="18"/>
          <w:szCs w:val="18"/>
        </w:rPr>
        <w:t>,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(Énfasis fuera de texto).</w:t>
      </w:r>
    </w:p>
    <w:p w14:paraId="72B1A4E5" w14:textId="77777777" w:rsidR="00AE02A1" w:rsidRPr="005C22F3" w:rsidRDefault="00AE02A1" w:rsidP="00AE02A1">
      <w:pPr>
        <w:pStyle w:val="Textonotapie"/>
        <w:ind w:firstLine="708"/>
        <w:jc w:val="both"/>
        <w:rPr>
          <w:rFonts w:ascii="Arial" w:hAnsi="Arial" w:cs="Arial"/>
          <w:color w:val="000000" w:themeColor="text1"/>
          <w:sz w:val="18"/>
          <w:szCs w:val="18"/>
        </w:rPr>
      </w:pPr>
      <w:r w:rsidRPr="005C22F3">
        <w:rPr>
          <w:rFonts w:ascii="Arial" w:hAnsi="Arial" w:cs="Arial"/>
          <w:color w:val="000000" w:themeColor="text1"/>
          <w:sz w:val="18"/>
          <w:szCs w:val="18"/>
        </w:rPr>
        <w:t xml:space="preserve">Igualmente, el artículo 93 de la Ley 489 de 1998 dispone lo siguiente: “Los actos que expidan las empresas industriales y comerciales del Estado para el desarrollo de su actividad propia, industrial o comercial o de gestión económica </w:t>
      </w:r>
      <w:r w:rsidRPr="005C22F3">
        <w:rPr>
          <w:rFonts w:ascii="Arial" w:hAnsi="Arial" w:cs="Arial"/>
          <w:sz w:val="18"/>
          <w:szCs w:val="18"/>
        </w:rPr>
        <w:t xml:space="preserve">se sujetarán a las disposiciones del Derecho Privado. </w:t>
      </w:r>
      <w:r w:rsidRPr="005C22F3">
        <w:rPr>
          <w:rFonts w:ascii="Arial" w:hAnsi="Arial" w:cs="Arial"/>
          <w:i/>
          <w:iCs/>
          <w:sz w:val="18"/>
          <w:szCs w:val="18"/>
        </w:rPr>
        <w:t>Los contratos que celebren para el cumplimiento de su objeto se sujetarán a las disposiciones del Estatuto General de Contratación de las entidades estatales</w:t>
      </w:r>
      <w:r w:rsidRPr="005C22F3">
        <w:rPr>
          <w:rFonts w:ascii="Arial" w:hAnsi="Arial" w:cs="Arial"/>
          <w:sz w:val="18"/>
          <w:szCs w:val="18"/>
        </w:rPr>
        <w:t>” (Énfasis fuera de texto</w:t>
      </w:r>
      <w:r w:rsidRPr="005C22F3">
        <w:rPr>
          <w:rFonts w:ascii="Arial" w:hAnsi="Arial" w:cs="Arial"/>
          <w:color w:val="000000" w:themeColor="text1"/>
          <w:sz w:val="18"/>
          <w:szCs w:val="18"/>
        </w:rPr>
        <w:t>).</w:t>
      </w:r>
    </w:p>
  </w:footnote>
  <w:footnote w:id="4">
    <w:p w14:paraId="240FD8A8" w14:textId="77777777" w:rsidR="00AE02A1" w:rsidRPr="005C22F3" w:rsidRDefault="00AE02A1" w:rsidP="00AE02A1">
      <w:pPr>
        <w:pStyle w:val="Textonotapie"/>
        <w:ind w:firstLine="708"/>
        <w:jc w:val="both"/>
        <w:rPr>
          <w:rFonts w:ascii="Arial" w:hAnsi="Arial" w:cs="Arial"/>
          <w:sz w:val="18"/>
          <w:szCs w:val="18"/>
        </w:rPr>
      </w:pPr>
      <w:r w:rsidRPr="005C22F3">
        <w:rPr>
          <w:rStyle w:val="Refdenotaalpie"/>
          <w:rFonts w:ascii="Arial" w:hAnsi="Arial" w:cs="Arial"/>
          <w:sz w:val="18"/>
          <w:szCs w:val="18"/>
        </w:rPr>
        <w:footnoteRef/>
      </w:r>
      <w:r w:rsidRPr="005C22F3">
        <w:rPr>
          <w:rFonts w:ascii="Arial" w:hAnsi="Arial" w:cs="Arial"/>
          <w:sz w:val="18"/>
          <w:szCs w:val="18"/>
        </w:rPr>
        <w:t xml:space="preserve"> El numeral derogado disponía que “La escogencia del contratista se efectuará siempre a través de licitación o concurso públicos, salvo en los siguientes casos en los que se podrá contratar directamente: […]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w:t>
      </w:r>
    </w:p>
  </w:footnote>
  <w:footnote w:id="5">
    <w:p w14:paraId="0EF77B6D" w14:textId="77777777" w:rsidR="00AE02A1" w:rsidRPr="005C22F3" w:rsidRDefault="00AE02A1" w:rsidP="00AE02A1">
      <w:pPr>
        <w:pStyle w:val="Textonotapie"/>
        <w:ind w:firstLine="708"/>
        <w:jc w:val="both"/>
        <w:rPr>
          <w:rFonts w:ascii="Arial" w:hAnsi="Arial" w:cs="Arial"/>
          <w:sz w:val="18"/>
          <w:szCs w:val="18"/>
          <w:lang w:val="es-ES"/>
        </w:rPr>
      </w:pPr>
      <w:r w:rsidRPr="005C22F3">
        <w:rPr>
          <w:rStyle w:val="Refdenotaalpie"/>
          <w:rFonts w:ascii="Arial" w:hAnsi="Arial" w:cs="Arial"/>
          <w:sz w:val="18"/>
          <w:szCs w:val="18"/>
        </w:rPr>
        <w:footnoteRef/>
      </w:r>
      <w:r w:rsidRPr="005C22F3">
        <w:rPr>
          <w:rFonts w:ascii="Arial" w:hAnsi="Arial" w:cs="Arial"/>
          <w:sz w:val="18"/>
          <w:szCs w:val="18"/>
        </w:rPr>
        <w:t xml:space="preserve"> En concordancia, el artículo 2.2.1.2.1.2.24 del Decreto 1082 de 2015 prescribe que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footnote>
  <w:footnote w:id="6">
    <w:p w14:paraId="4746C8A2" w14:textId="77777777" w:rsidR="00AE02A1" w:rsidRPr="005C22F3" w:rsidRDefault="00AE02A1" w:rsidP="00AE02A1">
      <w:pPr>
        <w:pStyle w:val="Textonotapie"/>
        <w:ind w:firstLine="708"/>
        <w:jc w:val="both"/>
        <w:rPr>
          <w:rFonts w:ascii="Arial" w:hAnsi="Arial" w:cs="Arial"/>
          <w:sz w:val="18"/>
          <w:szCs w:val="18"/>
        </w:rPr>
      </w:pPr>
      <w:r w:rsidRPr="005C22F3">
        <w:rPr>
          <w:rStyle w:val="Refdenotaalpie"/>
          <w:rFonts w:ascii="Arial" w:hAnsi="Arial" w:cs="Arial"/>
          <w:sz w:val="18"/>
          <w:szCs w:val="18"/>
        </w:rPr>
        <w:footnoteRef/>
      </w:r>
      <w:r w:rsidRPr="005C22F3">
        <w:rPr>
          <w:rFonts w:ascii="Arial" w:hAnsi="Arial" w:cs="Arial"/>
          <w:sz w:val="18"/>
          <w:szCs w:val="18"/>
        </w:rPr>
        <w:t xml:space="preserve"> CONSEJO DE ESTADO. Sección Tercera. Sentencia del 19 de agosto de 2004. Exp. 12.342. C.P. Ramiro Saavedra Becerra. </w:t>
      </w:r>
    </w:p>
  </w:footnote>
  <w:footnote w:id="7">
    <w:p w14:paraId="018BC5FF" w14:textId="77777777" w:rsidR="00AE02A1" w:rsidRPr="00B01626" w:rsidRDefault="00AE02A1" w:rsidP="00AE02A1">
      <w:pPr>
        <w:pStyle w:val="Textonotapie"/>
        <w:ind w:firstLine="708"/>
        <w:jc w:val="both"/>
        <w:rPr>
          <w:rFonts w:ascii="Arial" w:hAnsi="Arial" w:cs="Arial"/>
          <w:sz w:val="18"/>
          <w:szCs w:val="18"/>
        </w:rPr>
      </w:pPr>
      <w:r w:rsidRPr="00B01626">
        <w:rPr>
          <w:rStyle w:val="Refdenotaalpie"/>
          <w:rFonts w:ascii="Arial" w:hAnsi="Arial" w:cs="Arial"/>
          <w:sz w:val="18"/>
          <w:szCs w:val="18"/>
        </w:rPr>
        <w:footnoteRef/>
      </w:r>
      <w:r w:rsidRPr="00B01626">
        <w:rPr>
          <w:rFonts w:ascii="Arial" w:hAnsi="Arial" w:cs="Arial"/>
          <w:sz w:val="18"/>
          <w:szCs w:val="18"/>
        </w:rPr>
        <w:t xml:space="preserve"> </w:t>
      </w:r>
      <w:r>
        <w:rPr>
          <w:rFonts w:ascii="Arial" w:hAnsi="Arial" w:cs="Arial"/>
          <w:sz w:val="18"/>
          <w:szCs w:val="18"/>
        </w:rPr>
        <w:t>COMADIRA, Julio Rodolfo. La licitación pública como procedimiento administrativo especial: protección jurídica al oferente. En: El procedimiento administrativo y el control judicial de la administración pública. Madrid: Instituto Nacional de Administración Pública, 2001. pp. 305-307.</w:t>
      </w:r>
    </w:p>
  </w:footnote>
  <w:footnote w:id="8">
    <w:p w14:paraId="6A3784A0" w14:textId="77777777" w:rsidR="00AE02A1" w:rsidRDefault="00AE02A1" w:rsidP="00AE02A1">
      <w:pPr>
        <w:pStyle w:val="Textonotapie"/>
        <w:ind w:firstLine="708"/>
        <w:jc w:val="both"/>
        <w:rPr>
          <w:rFonts w:ascii="Arial" w:hAnsi="Arial" w:cs="Arial"/>
          <w:sz w:val="18"/>
          <w:szCs w:val="18"/>
        </w:rPr>
      </w:pPr>
      <w:r w:rsidRPr="0069679C">
        <w:rPr>
          <w:rStyle w:val="Refdenotaalpie"/>
          <w:rFonts w:ascii="Arial" w:hAnsi="Arial" w:cs="Arial"/>
          <w:sz w:val="18"/>
          <w:szCs w:val="18"/>
        </w:rPr>
        <w:footnoteRef/>
      </w:r>
      <w:r>
        <w:rPr>
          <w:rFonts w:ascii="Arial" w:hAnsi="Arial" w:cs="Arial"/>
          <w:sz w:val="18"/>
          <w:szCs w:val="18"/>
        </w:rPr>
        <w:t xml:space="preserve"> Cfr. DROMI, Roberto. La licitación pública. </w:t>
      </w:r>
      <w:r w:rsidRPr="00A62ADE">
        <w:rPr>
          <w:rFonts w:ascii="Arial" w:hAnsi="Arial" w:cs="Arial"/>
          <w:sz w:val="18"/>
          <w:szCs w:val="18"/>
        </w:rPr>
        <w:t>Buenos Aires: Ciudad Argentina, 1980.</w:t>
      </w:r>
      <w:r>
        <w:rPr>
          <w:rFonts w:ascii="Arial" w:hAnsi="Arial" w:cs="Arial"/>
          <w:sz w:val="18"/>
          <w:szCs w:val="18"/>
        </w:rPr>
        <w:t xml:space="preserve"> p. 134. Para ESCOBAR GIL, “La finalidad del principio es doble: en primer término, asegura a los asociados la igualdad de oportunidades promoviendo la participación del mayor número de oferentes, y en segundo lugar, facilitar la selección de quien presente la propuesta más favorable en beneficio del interés público […].</w:t>
      </w:r>
    </w:p>
    <w:p w14:paraId="6EE7E8C8" w14:textId="77777777" w:rsidR="00AE02A1" w:rsidRDefault="00AE02A1" w:rsidP="00AE02A1">
      <w:pPr>
        <w:pStyle w:val="Textonotapie"/>
        <w:ind w:firstLine="708"/>
        <w:jc w:val="both"/>
        <w:rPr>
          <w:rFonts w:ascii="Arial" w:hAnsi="Arial" w:cs="Arial"/>
          <w:sz w:val="18"/>
          <w:szCs w:val="18"/>
        </w:rPr>
      </w:pPr>
      <w:r>
        <w:rPr>
          <w:rFonts w:ascii="Arial" w:hAnsi="Arial" w:cs="Arial"/>
          <w:sz w:val="18"/>
          <w:szCs w:val="18"/>
        </w:rPr>
        <w:t>[…]</w:t>
      </w:r>
    </w:p>
    <w:p w14:paraId="51DA3339" w14:textId="77777777" w:rsidR="00AE02A1" w:rsidRPr="0069679C" w:rsidRDefault="00AE02A1" w:rsidP="00AE02A1">
      <w:pPr>
        <w:pStyle w:val="Textonotapie"/>
        <w:ind w:firstLine="708"/>
        <w:jc w:val="both"/>
        <w:rPr>
          <w:rFonts w:ascii="Arial" w:hAnsi="Arial" w:cs="Arial"/>
          <w:sz w:val="18"/>
          <w:szCs w:val="18"/>
        </w:rPr>
      </w:pPr>
      <w:r>
        <w:rPr>
          <w:rFonts w:ascii="Arial" w:hAnsi="Arial" w:cs="Arial"/>
          <w:sz w:val="18"/>
          <w:szCs w:val="18"/>
        </w:rPr>
        <w:t xml:space="preserve">Así mismo, repugna al principio de libertad de concurrencia, la fijación por parte de la Administración Pública de obstáculos y trabas a la participación de los proponentes […]” (Cfr. </w:t>
      </w:r>
      <w:r w:rsidRPr="0011713F">
        <w:rPr>
          <w:rFonts w:ascii="Arial" w:hAnsi="Arial" w:cs="Arial"/>
          <w:sz w:val="18"/>
          <w:szCs w:val="18"/>
        </w:rPr>
        <w:t>ESCOBAR GIL</w:t>
      </w:r>
      <w:r>
        <w:rPr>
          <w:rFonts w:ascii="Arial" w:hAnsi="Arial" w:cs="Arial"/>
          <w:sz w:val="18"/>
          <w:szCs w:val="18"/>
        </w:rPr>
        <w:t xml:space="preserve">, Rodrigo. Teoría general de los contratos de la Administración Pública. Bogotá: Legis, 2000. pp. 154-155).   </w:t>
      </w:r>
    </w:p>
  </w:footnote>
  <w:footnote w:id="9">
    <w:p w14:paraId="3AEBE135" w14:textId="77777777" w:rsidR="00AE02A1" w:rsidRPr="005C22F3" w:rsidRDefault="00AE02A1" w:rsidP="00AE02A1">
      <w:pPr>
        <w:pStyle w:val="Textonotapie"/>
        <w:ind w:firstLine="708"/>
        <w:jc w:val="both"/>
        <w:rPr>
          <w:rFonts w:ascii="Arial" w:hAnsi="Arial" w:cs="Arial"/>
          <w:sz w:val="18"/>
          <w:szCs w:val="18"/>
        </w:rPr>
      </w:pPr>
      <w:r w:rsidRPr="005C22F3">
        <w:rPr>
          <w:rStyle w:val="Refdenotaalpie"/>
          <w:rFonts w:ascii="Arial" w:hAnsi="Arial" w:cs="Arial"/>
          <w:sz w:val="18"/>
          <w:szCs w:val="18"/>
        </w:rPr>
        <w:footnoteRef/>
      </w:r>
      <w:r w:rsidRPr="005C22F3">
        <w:rPr>
          <w:rFonts w:ascii="Arial" w:hAnsi="Arial" w:cs="Arial"/>
          <w:sz w:val="18"/>
          <w:szCs w:val="18"/>
        </w:rPr>
        <w:t xml:space="preserve"> Cfr. RAZQUIN LIZARRAGA, Martín María. Los principios generales de la contratación pública. En: Tratado de los contratos del sector público. Tomo I. Valencia: Tirant lo Blanch, 2018. p. 194 y 210.</w:t>
      </w:r>
    </w:p>
  </w:footnote>
  <w:footnote w:id="10">
    <w:p w14:paraId="062B7D62" w14:textId="77777777" w:rsidR="00AE02A1" w:rsidRDefault="00AE02A1" w:rsidP="00AE02A1">
      <w:pPr>
        <w:pStyle w:val="Textonotapie"/>
        <w:ind w:firstLine="708"/>
        <w:jc w:val="both"/>
        <w:rPr>
          <w:rFonts w:ascii="Arial" w:hAnsi="Arial" w:cs="Arial"/>
          <w:sz w:val="18"/>
          <w:szCs w:val="18"/>
        </w:rPr>
      </w:pPr>
      <w:r w:rsidRPr="00E11B11">
        <w:rPr>
          <w:rStyle w:val="Refdenotaalpie"/>
          <w:rFonts w:ascii="Arial" w:hAnsi="Arial" w:cs="Arial"/>
          <w:sz w:val="18"/>
          <w:szCs w:val="18"/>
        </w:rPr>
        <w:footnoteRef/>
      </w:r>
      <w:r w:rsidRPr="00E11B11">
        <w:rPr>
          <w:rFonts w:ascii="Arial" w:hAnsi="Arial" w:cs="Arial"/>
          <w:sz w:val="18"/>
          <w:szCs w:val="18"/>
        </w:rPr>
        <w:t xml:space="preserve"> </w:t>
      </w:r>
      <w:r>
        <w:rPr>
          <w:rFonts w:ascii="Arial" w:hAnsi="Arial" w:cs="Arial"/>
          <w:sz w:val="18"/>
          <w:szCs w:val="18"/>
        </w:rPr>
        <w:t>Respecto a los factores de evaluación, PALACIO HINCAPIÉ considera que “No puede incluirse como factor de escogencia el hecho de que el proponente resida en el domicilio de la entidad contratante, pues ello viola la igualdad de los oferentes; […] tampoco ser nacional o pertenecer a la industria nacional, pues no hay esa protección […]” (</w:t>
      </w:r>
      <w:r w:rsidRPr="00E11B11">
        <w:rPr>
          <w:rFonts w:ascii="Arial" w:hAnsi="Arial" w:cs="Arial"/>
          <w:sz w:val="18"/>
          <w:szCs w:val="18"/>
        </w:rPr>
        <w:t>PALACIO HINCAPIÉ</w:t>
      </w:r>
      <w:r>
        <w:rPr>
          <w:rFonts w:ascii="Arial" w:hAnsi="Arial" w:cs="Arial"/>
          <w:sz w:val="18"/>
          <w:szCs w:val="18"/>
        </w:rPr>
        <w:t xml:space="preserve">, Juan Ángel. La contratación de las entidades estatales. Octava edición. Medellín: Librería Jurídica Sánchez R. SAS, 2020. pp. 251-252). Por su parte, GONZÁLEZ LÓPEZ estima que “[…] sería violatorio del principio de igualdad el establecer criterios de ponderación superiores respecto de su origen local y departamental” (p. </w:t>
      </w:r>
      <w:r w:rsidRPr="0039507D">
        <w:rPr>
          <w:rFonts w:ascii="Arial" w:hAnsi="Arial" w:cs="Arial"/>
          <w:sz w:val="18"/>
          <w:szCs w:val="18"/>
        </w:rPr>
        <w:t>GONZÁLEZ LÓPEZ</w:t>
      </w:r>
      <w:r>
        <w:rPr>
          <w:rFonts w:ascii="Arial" w:hAnsi="Arial" w:cs="Arial"/>
          <w:sz w:val="18"/>
          <w:szCs w:val="18"/>
        </w:rPr>
        <w:t>, Edgar. El pliego de condiciones en la contratación estatal: la reforma consagrada en la Ley 1150 de 2007 y sus decretos reglamentarios. Bogotá: Universidad Externado de Colombia, 2012. p. 120).</w:t>
      </w:r>
    </w:p>
    <w:p w14:paraId="4D75C4E2" w14:textId="77777777" w:rsidR="00AE02A1" w:rsidRPr="00E11B11" w:rsidRDefault="00AE02A1" w:rsidP="00AE02A1">
      <w:pPr>
        <w:pStyle w:val="Textonotapie"/>
        <w:ind w:firstLine="708"/>
        <w:jc w:val="both"/>
        <w:rPr>
          <w:rFonts w:ascii="Arial" w:hAnsi="Arial" w:cs="Arial"/>
          <w:sz w:val="18"/>
          <w:szCs w:val="18"/>
        </w:rPr>
      </w:pPr>
      <w:r>
        <w:rPr>
          <w:rFonts w:ascii="Arial" w:hAnsi="Arial" w:cs="Arial"/>
          <w:sz w:val="18"/>
          <w:szCs w:val="18"/>
        </w:rPr>
        <w:t xml:space="preserve">Por ello, el </w:t>
      </w:r>
      <w:r w:rsidRPr="0039507D">
        <w:rPr>
          <w:rFonts w:ascii="Arial" w:hAnsi="Arial" w:cs="Arial"/>
          <w:sz w:val="18"/>
          <w:szCs w:val="18"/>
        </w:rPr>
        <w:t>Concepto 2201913000006511 del 3 de septiembre de 2019</w:t>
      </w:r>
      <w:r>
        <w:rPr>
          <w:rFonts w:ascii="Arial" w:hAnsi="Arial" w:cs="Arial"/>
          <w:sz w:val="18"/>
          <w:szCs w:val="18"/>
        </w:rPr>
        <w:t xml:space="preserve"> menciona los siguiente: “[…] </w:t>
      </w:r>
      <w:r w:rsidRPr="0039507D">
        <w:rPr>
          <w:rFonts w:ascii="Arial" w:hAnsi="Arial" w:cs="Arial"/>
          <w:sz w:val="18"/>
          <w:szCs w:val="18"/>
        </w:rPr>
        <w:t>si la jurisprudencia proscribió fijar este criterio como factor de evaluación, con más razón se debe prohibir como requisito habilitante, porque ellos verifican la aptitud del proponente para presentarse a un proceso de contratación y esta exigencia no determina la aptitud del proponente para ejecutar el contrato. En este sentido, las entidades estatales no deben establecer como requisito habilitante la exigencia que el proponente resida en el lugar donde se ejecutará el contrato</w:t>
      </w:r>
      <w:r>
        <w:rPr>
          <w:rFonts w:ascii="Arial" w:hAnsi="Arial" w:cs="Arial"/>
          <w:sz w:val="18"/>
          <w:szCs w:val="18"/>
        </w:rPr>
        <w:t>”</w:t>
      </w:r>
      <w:r w:rsidRPr="0039507D">
        <w:rPr>
          <w:rFonts w:ascii="Arial" w:hAnsi="Arial" w:cs="Arial"/>
          <w:sz w:val="18"/>
          <w:szCs w:val="18"/>
        </w:rPr>
        <w:t>.</w:t>
      </w:r>
    </w:p>
  </w:footnote>
  <w:footnote w:id="11">
    <w:p w14:paraId="3A0EF95A" w14:textId="77777777" w:rsidR="00AE02A1" w:rsidRDefault="00AE02A1" w:rsidP="00AE02A1">
      <w:pPr>
        <w:pStyle w:val="Textonotapie"/>
        <w:ind w:firstLine="708"/>
        <w:jc w:val="both"/>
        <w:rPr>
          <w:rFonts w:ascii="Arial" w:hAnsi="Arial" w:cs="Arial"/>
          <w:sz w:val="18"/>
          <w:szCs w:val="18"/>
        </w:rPr>
      </w:pPr>
      <w:r w:rsidRPr="0058713D">
        <w:rPr>
          <w:rStyle w:val="Refdenotaalpie"/>
          <w:rFonts w:ascii="Arial" w:hAnsi="Arial" w:cs="Arial"/>
          <w:sz w:val="18"/>
          <w:szCs w:val="18"/>
        </w:rPr>
        <w:footnoteRef/>
      </w:r>
      <w:r w:rsidRPr="0058713D">
        <w:rPr>
          <w:rFonts w:ascii="Arial" w:hAnsi="Arial" w:cs="Arial"/>
          <w:sz w:val="18"/>
          <w:szCs w:val="18"/>
        </w:rPr>
        <w:t xml:space="preserve"> </w:t>
      </w:r>
      <w:r>
        <w:rPr>
          <w:rFonts w:ascii="Arial" w:hAnsi="Arial" w:cs="Arial"/>
          <w:sz w:val="18"/>
          <w:szCs w:val="18"/>
        </w:rPr>
        <w:t>Excepcionalmente, algunas normas acotan ámbitos territoriales para la ejecución negocio jurídico. Por ejemplo, el inciso primero del artículo 95 de la Ley 2166 del 2021 dispone que “</w:t>
      </w:r>
      <w:r w:rsidRPr="00B13592">
        <w:rPr>
          <w:rFonts w:ascii="Arial" w:hAnsi="Arial" w:cs="Arial"/>
          <w:sz w:val="18"/>
          <w:szCs w:val="18"/>
        </w:rPr>
        <w:t>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r>
        <w:rPr>
          <w:rFonts w:ascii="Arial" w:hAnsi="Arial" w:cs="Arial"/>
          <w:sz w:val="18"/>
          <w:szCs w:val="18"/>
        </w:rPr>
        <w:t>”</w:t>
      </w:r>
      <w:r w:rsidRPr="00B13592">
        <w:rPr>
          <w:rFonts w:ascii="Arial" w:hAnsi="Arial" w:cs="Arial"/>
          <w:sz w:val="18"/>
          <w:szCs w:val="18"/>
        </w:rPr>
        <w:t>.</w:t>
      </w:r>
      <w:r>
        <w:rPr>
          <w:rFonts w:ascii="Arial" w:hAnsi="Arial" w:cs="Arial"/>
          <w:sz w:val="18"/>
          <w:szCs w:val="18"/>
        </w:rPr>
        <w:t xml:space="preserve"> Esta norma debe concordarse con el artículo 9 </w:t>
      </w:r>
      <w:r w:rsidRPr="0058713D">
        <w:rPr>
          <w:rFonts w:ascii="Arial" w:hAnsi="Arial" w:cs="Arial"/>
          <w:i/>
          <w:iCs/>
          <w:sz w:val="18"/>
          <w:szCs w:val="18"/>
        </w:rPr>
        <w:t>ibidem</w:t>
      </w:r>
      <w:r>
        <w:rPr>
          <w:rFonts w:ascii="Arial" w:hAnsi="Arial" w:cs="Arial"/>
          <w:sz w:val="18"/>
          <w:szCs w:val="18"/>
        </w:rPr>
        <w:t>, el cual dispone lo siguiente: “</w:t>
      </w:r>
      <w:r w:rsidRPr="0058713D">
        <w:rPr>
          <w:rFonts w:ascii="Arial" w:hAnsi="Arial" w:cs="Arial"/>
          <w:i/>
          <w:iCs/>
          <w:sz w:val="18"/>
          <w:szCs w:val="18"/>
        </w:rPr>
        <w:t>Cada organismo de acción comunal desarrollará sus actividades dentro de un territorio delimitado</w:t>
      </w:r>
      <w:r>
        <w:rPr>
          <w:rFonts w:ascii="Arial" w:hAnsi="Arial" w:cs="Arial"/>
          <w:sz w:val="18"/>
          <w:szCs w:val="18"/>
        </w:rPr>
        <w:t xml:space="preserve"> […]” (Énfasis fuera de texto).</w:t>
      </w:r>
    </w:p>
    <w:p w14:paraId="6B80D712" w14:textId="77777777" w:rsidR="00AE02A1" w:rsidRPr="0058713D" w:rsidRDefault="00AE02A1" w:rsidP="00AE02A1">
      <w:pPr>
        <w:pStyle w:val="Textonotapie"/>
        <w:ind w:firstLine="708"/>
        <w:jc w:val="both"/>
        <w:rPr>
          <w:rFonts w:ascii="Arial" w:hAnsi="Arial" w:cs="Arial"/>
          <w:sz w:val="18"/>
          <w:szCs w:val="18"/>
        </w:rPr>
      </w:pPr>
      <w:r>
        <w:rPr>
          <w:rFonts w:ascii="Arial" w:hAnsi="Arial" w:cs="Arial"/>
          <w:sz w:val="18"/>
          <w:szCs w:val="18"/>
        </w:rPr>
        <w:t xml:space="preserve">Asimismo, de acuerdo con el artículo 101.1 de la Ley 2294 de 2023, a través de las </w:t>
      </w:r>
      <w:r w:rsidRPr="00B13592">
        <w:rPr>
          <w:rFonts w:ascii="Arial" w:hAnsi="Arial" w:cs="Arial"/>
          <w:sz w:val="18"/>
          <w:szCs w:val="18"/>
        </w:rPr>
        <w:t xml:space="preserve">Asociaciones de </w:t>
      </w:r>
      <w:r>
        <w:rPr>
          <w:rFonts w:ascii="Arial" w:hAnsi="Arial" w:cs="Arial"/>
          <w:sz w:val="18"/>
          <w:szCs w:val="18"/>
        </w:rPr>
        <w:t>I</w:t>
      </w:r>
      <w:r w:rsidRPr="00B13592">
        <w:rPr>
          <w:rFonts w:ascii="Arial" w:hAnsi="Arial" w:cs="Arial"/>
          <w:sz w:val="18"/>
          <w:szCs w:val="18"/>
        </w:rPr>
        <w:t xml:space="preserve">niciativa </w:t>
      </w:r>
      <w:r>
        <w:rPr>
          <w:rFonts w:ascii="Arial" w:hAnsi="Arial" w:cs="Arial"/>
          <w:sz w:val="18"/>
          <w:szCs w:val="18"/>
        </w:rPr>
        <w:t>P</w:t>
      </w:r>
      <w:r w:rsidRPr="00B13592">
        <w:rPr>
          <w:rFonts w:ascii="Arial" w:hAnsi="Arial" w:cs="Arial"/>
          <w:sz w:val="18"/>
          <w:szCs w:val="18"/>
        </w:rPr>
        <w:t xml:space="preserve">úblico </w:t>
      </w:r>
      <w:r>
        <w:rPr>
          <w:rFonts w:ascii="Arial" w:hAnsi="Arial" w:cs="Arial"/>
          <w:sz w:val="18"/>
          <w:szCs w:val="18"/>
        </w:rPr>
        <w:t>P</w:t>
      </w:r>
      <w:r w:rsidRPr="00B13592">
        <w:rPr>
          <w:rFonts w:ascii="Arial" w:hAnsi="Arial" w:cs="Arial"/>
          <w:sz w:val="18"/>
          <w:szCs w:val="18"/>
        </w:rPr>
        <w:t>opular</w:t>
      </w:r>
      <w:r>
        <w:rPr>
          <w:rFonts w:ascii="Arial" w:hAnsi="Arial" w:cs="Arial"/>
          <w:sz w:val="18"/>
          <w:szCs w:val="18"/>
        </w:rPr>
        <w:t xml:space="preserve"> “[…] </w:t>
      </w:r>
      <w:r w:rsidRPr="00B13592">
        <w:rPr>
          <w:rFonts w:ascii="Arial" w:hAnsi="Arial" w:cs="Arial"/>
          <w:sz w:val="18"/>
          <w:szCs w:val="18"/>
        </w:rPr>
        <w:t xml:space="preserve">se podrá desarrollar el diseño, construcción, renovación, reparación, mejoramiento, equipamiento, gestión, operación y mantenimiento de proyectos de infraestructura y demás actividades técnicas necesarias </w:t>
      </w:r>
      <w:r w:rsidRPr="0058713D">
        <w:rPr>
          <w:rFonts w:ascii="Arial" w:hAnsi="Arial" w:cs="Arial"/>
          <w:i/>
          <w:iCs/>
          <w:sz w:val="18"/>
          <w:szCs w:val="18"/>
        </w:rPr>
        <w:t>para el cumplimiento del contrato en el respectivo territorio de la respectiva comunidad</w:t>
      </w:r>
      <w:r>
        <w:rPr>
          <w:rFonts w:ascii="Arial" w:hAnsi="Arial" w:cs="Arial"/>
          <w:sz w:val="18"/>
          <w:szCs w:val="18"/>
        </w:rPr>
        <w:t>” (Énfasis fuera de texto).</w:t>
      </w:r>
    </w:p>
  </w:footnote>
  <w:footnote w:id="12">
    <w:p w14:paraId="48C7C486" w14:textId="77777777" w:rsidR="00AE02A1" w:rsidRPr="005C22F3" w:rsidRDefault="00AE02A1" w:rsidP="00AE02A1">
      <w:pPr>
        <w:pStyle w:val="Textonotapie"/>
        <w:ind w:firstLine="708"/>
        <w:jc w:val="both"/>
        <w:rPr>
          <w:rFonts w:ascii="Arial" w:hAnsi="Arial" w:cs="Arial"/>
          <w:color w:val="000000" w:themeColor="text1"/>
          <w:sz w:val="18"/>
          <w:szCs w:val="18"/>
        </w:rPr>
      </w:pPr>
      <w:r w:rsidRPr="005C22F3">
        <w:rPr>
          <w:rStyle w:val="Refdenotaalpie"/>
          <w:rFonts w:ascii="Arial" w:hAnsi="Arial" w:cs="Arial"/>
          <w:color w:val="000000" w:themeColor="text1"/>
          <w:sz w:val="18"/>
          <w:szCs w:val="18"/>
        </w:rPr>
        <w:footnoteRef/>
      </w:r>
      <w:r w:rsidRPr="005C22F3">
        <w:rPr>
          <w:rFonts w:ascii="Arial" w:hAnsi="Arial" w:cs="Arial"/>
          <w:color w:val="000000" w:themeColor="text1"/>
          <w:sz w:val="18"/>
          <w:szCs w:val="18"/>
        </w:rPr>
        <w:t xml:space="preserve"> Esta norma prescribe que “Para que una persona se obligue a otra por un acto o declaración de voluntad, es necesario:</w:t>
      </w:r>
    </w:p>
    <w:p w14:paraId="32CB339A" w14:textId="77777777" w:rsidR="00AE02A1" w:rsidRPr="005C22F3" w:rsidRDefault="00AE02A1" w:rsidP="00AE02A1">
      <w:pPr>
        <w:pStyle w:val="Textonotapie"/>
        <w:ind w:firstLine="708"/>
        <w:jc w:val="both"/>
        <w:rPr>
          <w:rFonts w:ascii="Arial" w:hAnsi="Arial" w:cs="Arial"/>
          <w:color w:val="000000" w:themeColor="text1"/>
          <w:sz w:val="18"/>
          <w:szCs w:val="18"/>
        </w:rPr>
      </w:pPr>
      <w:r w:rsidRPr="005C22F3">
        <w:rPr>
          <w:rFonts w:ascii="Arial" w:hAnsi="Arial" w:cs="Arial"/>
          <w:color w:val="000000" w:themeColor="text1"/>
          <w:sz w:val="18"/>
          <w:szCs w:val="18"/>
        </w:rPr>
        <w:t>1o.) que sea legalmente capaz;</w:t>
      </w:r>
    </w:p>
    <w:p w14:paraId="38877C81" w14:textId="77777777" w:rsidR="00AE02A1" w:rsidRPr="005C22F3" w:rsidRDefault="00AE02A1" w:rsidP="00AE02A1">
      <w:pPr>
        <w:pStyle w:val="Textonotapie"/>
        <w:ind w:firstLine="708"/>
        <w:jc w:val="both"/>
        <w:rPr>
          <w:rFonts w:ascii="Arial" w:hAnsi="Arial" w:cs="Arial"/>
          <w:color w:val="000000" w:themeColor="text1"/>
          <w:sz w:val="18"/>
          <w:szCs w:val="18"/>
        </w:rPr>
      </w:pPr>
      <w:r w:rsidRPr="005C22F3">
        <w:rPr>
          <w:rFonts w:ascii="Arial" w:hAnsi="Arial" w:cs="Arial"/>
          <w:color w:val="000000" w:themeColor="text1"/>
          <w:sz w:val="18"/>
          <w:szCs w:val="18"/>
        </w:rPr>
        <w:t>2o.) que consienta en dicho acto o declaración y su consentimiento no adolezca de vicio;</w:t>
      </w:r>
    </w:p>
    <w:p w14:paraId="40C0275F" w14:textId="77777777" w:rsidR="00AE02A1" w:rsidRPr="005C22F3" w:rsidRDefault="00AE02A1" w:rsidP="00AE02A1">
      <w:pPr>
        <w:pStyle w:val="Textonotapie"/>
        <w:ind w:firstLine="708"/>
        <w:jc w:val="both"/>
        <w:rPr>
          <w:rFonts w:ascii="Arial" w:hAnsi="Arial" w:cs="Arial"/>
          <w:color w:val="000000" w:themeColor="text1"/>
          <w:sz w:val="18"/>
          <w:szCs w:val="18"/>
        </w:rPr>
      </w:pPr>
      <w:r w:rsidRPr="005C22F3">
        <w:rPr>
          <w:rFonts w:ascii="Arial" w:hAnsi="Arial" w:cs="Arial"/>
          <w:color w:val="000000" w:themeColor="text1"/>
          <w:sz w:val="18"/>
          <w:szCs w:val="18"/>
        </w:rPr>
        <w:t>3o.) que recaiga sobre un objeto lícito;</w:t>
      </w:r>
    </w:p>
    <w:p w14:paraId="26B33E6E" w14:textId="77777777" w:rsidR="00AE02A1" w:rsidRPr="005C22F3" w:rsidRDefault="00AE02A1" w:rsidP="00AE02A1">
      <w:pPr>
        <w:pStyle w:val="Textonotapie"/>
        <w:ind w:firstLine="708"/>
        <w:jc w:val="both"/>
        <w:rPr>
          <w:rFonts w:ascii="Arial" w:hAnsi="Arial" w:cs="Arial"/>
          <w:color w:val="000000" w:themeColor="text1"/>
          <w:sz w:val="18"/>
          <w:szCs w:val="18"/>
        </w:rPr>
      </w:pPr>
      <w:r w:rsidRPr="005C22F3">
        <w:rPr>
          <w:rFonts w:ascii="Arial" w:hAnsi="Arial" w:cs="Arial"/>
          <w:color w:val="000000" w:themeColor="text1"/>
          <w:sz w:val="18"/>
          <w:szCs w:val="18"/>
        </w:rPr>
        <w:t>4o.) que tenga una causa lícita.</w:t>
      </w:r>
    </w:p>
    <w:p w14:paraId="456ED069" w14:textId="77777777" w:rsidR="00AE02A1" w:rsidRPr="005C22F3" w:rsidRDefault="00AE02A1" w:rsidP="00AE02A1">
      <w:pPr>
        <w:pStyle w:val="Textonotapie"/>
        <w:ind w:firstLine="708"/>
        <w:jc w:val="both"/>
        <w:rPr>
          <w:rFonts w:ascii="Arial" w:hAnsi="Arial" w:cs="Arial"/>
          <w:color w:val="000000" w:themeColor="text1"/>
          <w:sz w:val="18"/>
          <w:szCs w:val="18"/>
        </w:rPr>
      </w:pPr>
      <w:r w:rsidRPr="005C22F3">
        <w:rPr>
          <w:rFonts w:ascii="Arial" w:hAnsi="Arial" w:cs="Arial"/>
          <w:color w:val="000000" w:themeColor="text1"/>
          <w:sz w:val="18"/>
          <w:szCs w:val="18"/>
        </w:rPr>
        <w:t>La capacidad legal de una persona consiste en poderse obligar por sí misma, y sin el ministerio o la autorización de otra”.</w:t>
      </w:r>
    </w:p>
  </w:footnote>
  <w:footnote w:id="13">
    <w:p w14:paraId="473E2CCD" w14:textId="77777777" w:rsidR="00AE02A1" w:rsidRPr="005C22F3" w:rsidRDefault="00AE02A1" w:rsidP="00AE02A1">
      <w:pPr>
        <w:pStyle w:val="Textonotapie"/>
        <w:ind w:firstLine="708"/>
        <w:jc w:val="both"/>
        <w:rPr>
          <w:rFonts w:ascii="Arial" w:hAnsi="Arial" w:cs="Arial"/>
          <w:sz w:val="18"/>
          <w:szCs w:val="18"/>
        </w:rPr>
      </w:pPr>
      <w:r w:rsidRPr="005C22F3">
        <w:rPr>
          <w:rStyle w:val="Refdenotaalpie"/>
          <w:rFonts w:ascii="Arial" w:hAnsi="Arial" w:cs="Arial"/>
          <w:sz w:val="18"/>
          <w:szCs w:val="18"/>
        </w:rPr>
        <w:footnoteRef/>
      </w:r>
      <w:r w:rsidRPr="005C22F3">
        <w:rPr>
          <w:rFonts w:ascii="Arial" w:hAnsi="Arial" w:cs="Arial"/>
          <w:sz w:val="18"/>
          <w:szCs w:val="18"/>
        </w:rPr>
        <w:t xml:space="preserve"> Para el Consejo de Estado “[…]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iter contractual” (CONSEJO DE ESTADO. Sección Tercera. Sentencia del 26 de enero de 2011. Rad. 36.408. C.P. Jaime Orlando Santofimio Gamboa).</w:t>
      </w:r>
    </w:p>
  </w:footnote>
  <w:footnote w:id="14">
    <w:p w14:paraId="37499A73" w14:textId="77777777" w:rsidR="00AE02A1" w:rsidRPr="005C22F3" w:rsidRDefault="00AE02A1" w:rsidP="00AE02A1">
      <w:pPr>
        <w:pStyle w:val="Textonotapie"/>
        <w:ind w:firstLine="709"/>
        <w:jc w:val="both"/>
        <w:rPr>
          <w:rFonts w:ascii="Arial" w:hAnsi="Arial" w:cs="Arial"/>
          <w:color w:val="000000" w:themeColor="text1"/>
          <w:sz w:val="18"/>
          <w:szCs w:val="18"/>
          <w:lang w:val="es-ES"/>
        </w:rPr>
      </w:pPr>
      <w:r w:rsidRPr="005C22F3">
        <w:rPr>
          <w:rStyle w:val="Refdenotaalpie"/>
          <w:rFonts w:ascii="Arial" w:hAnsi="Arial" w:cs="Arial"/>
          <w:color w:val="000000" w:themeColor="text1"/>
          <w:sz w:val="18"/>
          <w:szCs w:val="18"/>
        </w:rPr>
        <w:footnoteRef/>
      </w:r>
      <w:r w:rsidRPr="005C22F3">
        <w:rPr>
          <w:rFonts w:ascii="Arial" w:hAnsi="Arial" w:cs="Arial"/>
          <w:color w:val="000000" w:themeColor="text1"/>
          <w:sz w:val="18"/>
          <w:szCs w:val="18"/>
        </w:rPr>
        <w:t xml:space="preserve"> </w:t>
      </w:r>
      <w:r w:rsidRPr="005C22F3">
        <w:rPr>
          <w:rFonts w:ascii="Arial" w:hAnsi="Arial" w:cs="Arial"/>
          <w:color w:val="000000" w:themeColor="text1"/>
          <w:sz w:val="18"/>
          <w:szCs w:val="18"/>
          <w:lang w:val="es-ES"/>
        </w:rPr>
        <w:t xml:space="preserve">El tenor del artículo 20 es el siguiente: </w:t>
      </w:r>
      <w:r>
        <w:rPr>
          <w:rFonts w:ascii="Arial" w:hAnsi="Arial" w:cs="Arial"/>
          <w:color w:val="000000" w:themeColor="text1"/>
          <w:sz w:val="18"/>
          <w:szCs w:val="18"/>
          <w:lang w:val="es-ES"/>
        </w:rPr>
        <w:t>“</w:t>
      </w:r>
      <w:r w:rsidRPr="005C22F3">
        <w:rPr>
          <w:rFonts w:ascii="Arial" w:hAnsi="Arial" w:cs="Arial"/>
          <w:color w:val="000000" w:themeColor="text1"/>
          <w:sz w:val="18"/>
          <w:szCs w:val="18"/>
          <w:lang w:val="es-ES"/>
        </w:rPr>
        <w:t>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14:paraId="1DB70FC9" w14:textId="77777777" w:rsidR="00AE02A1" w:rsidRPr="005C22F3" w:rsidRDefault="00AE02A1" w:rsidP="00AE02A1">
      <w:pPr>
        <w:pStyle w:val="Textonotapie"/>
        <w:ind w:firstLine="709"/>
        <w:jc w:val="both"/>
        <w:rPr>
          <w:rFonts w:ascii="Arial" w:hAnsi="Arial" w:cs="Arial"/>
          <w:color w:val="000000" w:themeColor="text1"/>
          <w:sz w:val="18"/>
          <w:szCs w:val="18"/>
          <w:lang w:val="es-ES"/>
        </w:rPr>
      </w:pPr>
      <w:r w:rsidRPr="005C22F3">
        <w:rPr>
          <w:rFonts w:ascii="Arial" w:hAnsi="Arial" w:cs="Arial"/>
          <w:color w:val="000000" w:themeColor="text1"/>
          <w:sz w:val="18"/>
          <w:szCs w:val="18"/>
          <w:lang w:val="es-ES"/>
        </w:rPr>
        <w:t>Se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14:paraId="12E55BFA" w14:textId="77777777" w:rsidR="00AE02A1" w:rsidRPr="005C22F3" w:rsidRDefault="00AE02A1" w:rsidP="00AE02A1">
      <w:pPr>
        <w:pStyle w:val="Textonotapie"/>
        <w:ind w:firstLine="709"/>
        <w:jc w:val="both"/>
        <w:rPr>
          <w:rFonts w:ascii="Arial" w:hAnsi="Arial" w:cs="Arial"/>
          <w:color w:val="000000" w:themeColor="text1"/>
          <w:sz w:val="18"/>
          <w:szCs w:val="18"/>
          <w:lang w:val="es-ES"/>
        </w:rPr>
      </w:pPr>
      <w:r w:rsidRPr="005C22F3">
        <w:rPr>
          <w:rFonts w:ascii="Arial" w:hAnsi="Arial" w:cs="Arial"/>
          <w:color w:val="000000" w:themeColor="text1"/>
          <w:sz w:val="18"/>
          <w:szCs w:val="18"/>
          <w:lang w:val="es-ES"/>
        </w:rPr>
        <w:t>PARÁGRAFO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14:paraId="04064404" w14:textId="77777777" w:rsidR="00AE02A1" w:rsidRPr="005C22F3" w:rsidRDefault="00AE02A1" w:rsidP="00AE02A1">
      <w:pPr>
        <w:pStyle w:val="Textonotapie"/>
        <w:ind w:firstLine="709"/>
        <w:jc w:val="both"/>
        <w:rPr>
          <w:rFonts w:ascii="Arial" w:hAnsi="Arial" w:cs="Arial"/>
          <w:color w:val="000000" w:themeColor="text1"/>
          <w:sz w:val="18"/>
          <w:szCs w:val="18"/>
          <w:lang w:val="es-ES"/>
        </w:rPr>
      </w:pPr>
      <w:r w:rsidRPr="005C22F3">
        <w:rPr>
          <w:rFonts w:ascii="Arial" w:hAnsi="Arial" w:cs="Arial"/>
          <w:color w:val="000000" w:themeColor="text1"/>
          <w:sz w:val="18"/>
          <w:szCs w:val="18"/>
          <w:lang w:val="es-ES"/>
        </w:rPr>
        <w:t>PARÁGRAFO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El Gobierno Nacional establecerá los mecanismos para asegurar el cumplimiento de la reciprocidad prevista en este parágrafo</w:t>
      </w:r>
      <w:r>
        <w:rPr>
          <w:rFonts w:ascii="Arial" w:hAnsi="Arial" w:cs="Arial"/>
          <w:color w:val="000000" w:themeColor="text1"/>
          <w:sz w:val="18"/>
          <w:szCs w:val="18"/>
          <w:lang w:val="es-ES"/>
        </w:rPr>
        <w:t>”</w:t>
      </w:r>
      <w:r w:rsidRPr="005C22F3">
        <w:rPr>
          <w:rFonts w:ascii="Arial" w:hAnsi="Arial" w:cs="Arial"/>
          <w:color w:val="000000" w:themeColor="text1"/>
          <w:sz w:val="18"/>
          <w:szCs w:val="18"/>
          <w:lang w:val="es-ES"/>
        </w:rPr>
        <w:t>.</w:t>
      </w:r>
    </w:p>
  </w:footnote>
  <w:footnote w:id="15">
    <w:p w14:paraId="7F6BF7C9" w14:textId="77777777" w:rsidR="00AE02A1" w:rsidRPr="005C22F3" w:rsidRDefault="00AE02A1" w:rsidP="00AE02A1">
      <w:pPr>
        <w:pStyle w:val="Textonotapie"/>
        <w:ind w:firstLine="709"/>
        <w:jc w:val="both"/>
        <w:rPr>
          <w:rFonts w:ascii="Arial" w:hAnsi="Arial" w:cs="Arial"/>
          <w:color w:val="000000" w:themeColor="text1"/>
          <w:sz w:val="18"/>
          <w:szCs w:val="18"/>
          <w:lang w:val="es-ES"/>
        </w:rPr>
      </w:pPr>
      <w:r w:rsidRPr="005C22F3">
        <w:rPr>
          <w:rStyle w:val="Refdenotaalpie"/>
          <w:rFonts w:ascii="Arial" w:hAnsi="Arial" w:cs="Arial"/>
          <w:color w:val="000000" w:themeColor="text1"/>
          <w:sz w:val="18"/>
          <w:szCs w:val="18"/>
        </w:rPr>
        <w:footnoteRef/>
      </w:r>
      <w:r w:rsidRPr="005C22F3">
        <w:rPr>
          <w:rFonts w:ascii="Arial" w:hAnsi="Arial" w:cs="Arial"/>
          <w:color w:val="000000" w:themeColor="text1"/>
          <w:sz w:val="18"/>
          <w:szCs w:val="18"/>
        </w:rPr>
        <w:t xml:space="preserve"> </w:t>
      </w:r>
      <w:r>
        <w:rPr>
          <w:rFonts w:ascii="Arial" w:hAnsi="Arial" w:cs="Arial"/>
          <w:color w:val="000000" w:themeColor="text1"/>
          <w:sz w:val="18"/>
          <w:szCs w:val="18"/>
          <w:lang w:val="es-ES"/>
        </w:rPr>
        <w:t>“</w:t>
      </w:r>
      <w:r w:rsidRPr="005C22F3">
        <w:rPr>
          <w:rFonts w:ascii="Arial" w:hAnsi="Arial" w:cs="Arial"/>
          <w:color w:val="000000" w:themeColor="text1"/>
          <w:sz w:val="18"/>
          <w:szCs w:val="18"/>
          <w:lang w:val="es-ES"/>
        </w:rPr>
        <w:t>Artículo 2.2.1.2.4.1.3. Existencia de trato nacional.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(c) a los servicios prestados por oferentes miembros de la Comunidad Andina de Naciones teniendo en cuenta la regulación andina aplicable a la materia.</w:t>
      </w:r>
    </w:p>
    <w:p w14:paraId="6C0DCBE8" w14:textId="77777777" w:rsidR="00AE02A1" w:rsidRPr="005C22F3" w:rsidRDefault="00AE02A1" w:rsidP="00AE02A1">
      <w:pPr>
        <w:pStyle w:val="Textonotapie"/>
        <w:ind w:firstLine="709"/>
        <w:jc w:val="both"/>
        <w:rPr>
          <w:rFonts w:ascii="Arial" w:hAnsi="Arial" w:cs="Arial"/>
          <w:color w:val="000000" w:themeColor="text1"/>
          <w:sz w:val="18"/>
          <w:szCs w:val="18"/>
          <w:lang w:val="es-ES"/>
        </w:rPr>
      </w:pPr>
      <w:r w:rsidRPr="005C22F3">
        <w:rPr>
          <w:rFonts w:ascii="Arial" w:hAnsi="Arial" w:cs="Arial"/>
          <w:color w:val="000000" w:themeColor="text1"/>
          <w:sz w:val="18"/>
          <w:szCs w:val="18"/>
          <w:lang w:val="es-ES"/>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68548714" w14:textId="77777777" w:rsidR="00AE02A1" w:rsidRPr="005C22F3" w:rsidRDefault="00AE02A1" w:rsidP="00AE02A1">
      <w:pPr>
        <w:pStyle w:val="Textonotapie"/>
        <w:ind w:firstLine="709"/>
        <w:jc w:val="both"/>
        <w:rPr>
          <w:rFonts w:ascii="Arial" w:hAnsi="Arial" w:cs="Arial"/>
          <w:color w:val="000000" w:themeColor="text1"/>
          <w:sz w:val="18"/>
          <w:szCs w:val="18"/>
          <w:lang w:val="es-ES"/>
        </w:rPr>
      </w:pPr>
      <w:r w:rsidRPr="005C22F3">
        <w:rPr>
          <w:rFonts w:ascii="Arial" w:hAnsi="Arial" w:cs="Arial"/>
          <w:color w:val="000000" w:themeColor="text1"/>
          <w:sz w:val="18"/>
          <w:szCs w:val="18"/>
          <w:lang w:val="es-ES"/>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r>
        <w:rPr>
          <w:rFonts w:ascii="Arial" w:hAnsi="Arial" w:cs="Arial"/>
          <w:color w:val="000000" w:themeColor="text1"/>
          <w:sz w:val="18"/>
          <w:szCs w:val="18"/>
          <w:lang w:val="es-ES"/>
        </w:rPr>
        <w:t>”</w:t>
      </w:r>
      <w:r w:rsidRPr="005C22F3">
        <w:rPr>
          <w:rFonts w:ascii="Arial" w:hAnsi="Arial" w:cs="Arial"/>
          <w:color w:val="000000" w:themeColor="text1"/>
          <w:sz w:val="18"/>
          <w:szCs w:val="18"/>
          <w:lang w:val="es-ES"/>
        </w:rPr>
        <w:t>.</w:t>
      </w:r>
    </w:p>
  </w:footnote>
  <w:footnote w:id="16">
    <w:p w14:paraId="0DCEF797" w14:textId="77777777" w:rsidR="00AE02A1" w:rsidRPr="005C22F3" w:rsidRDefault="00AE02A1" w:rsidP="00AE02A1">
      <w:pPr>
        <w:tabs>
          <w:tab w:val="left" w:pos="0"/>
        </w:tabs>
        <w:spacing w:after="0"/>
        <w:ind w:firstLine="709"/>
        <w:jc w:val="both"/>
        <w:rPr>
          <w:rFonts w:ascii="Arial" w:eastAsia="Calibri" w:hAnsi="Arial" w:cs="Arial"/>
          <w:bCs/>
          <w:color w:val="000000" w:themeColor="text1"/>
          <w:sz w:val="18"/>
          <w:szCs w:val="18"/>
          <w:lang w:val="es-ES_tradnl"/>
        </w:rPr>
      </w:pPr>
      <w:r w:rsidRPr="005C22F3">
        <w:rPr>
          <w:rStyle w:val="Refdenotaalpie"/>
          <w:rFonts w:ascii="Arial" w:hAnsi="Arial" w:cs="Arial"/>
          <w:color w:val="000000" w:themeColor="text1"/>
          <w:sz w:val="18"/>
          <w:szCs w:val="18"/>
        </w:rPr>
        <w:footnoteRef/>
      </w:r>
      <w:r w:rsidRPr="005C22F3">
        <w:rPr>
          <w:rFonts w:ascii="Arial" w:hAnsi="Arial" w:cs="Arial"/>
          <w:color w:val="000000" w:themeColor="text1"/>
          <w:sz w:val="18"/>
          <w:szCs w:val="18"/>
        </w:rPr>
        <w:t xml:space="preserve"> </w:t>
      </w:r>
      <w:r w:rsidRPr="005C22F3">
        <w:rPr>
          <w:rFonts w:ascii="Arial" w:eastAsia="Calibri" w:hAnsi="Arial" w:cs="Arial"/>
          <w:bCs/>
          <w:color w:val="000000" w:themeColor="text1"/>
          <w:sz w:val="18"/>
          <w:szCs w:val="18"/>
          <w:lang w:val="es-ES_tradnl"/>
        </w:rPr>
        <w:t xml:space="preserve">Como lo ha indicado la Corte Constitucional, </w:t>
      </w:r>
      <w:r>
        <w:rPr>
          <w:rFonts w:ascii="Arial" w:eastAsia="Calibri" w:hAnsi="Arial" w:cs="Arial"/>
          <w:bCs/>
          <w:color w:val="000000" w:themeColor="text1"/>
          <w:sz w:val="18"/>
          <w:szCs w:val="18"/>
          <w:lang w:val="es-ES_tradnl"/>
        </w:rPr>
        <w:t>“</w:t>
      </w:r>
      <w:r w:rsidRPr="005C22F3">
        <w:rPr>
          <w:rFonts w:ascii="Arial" w:eastAsia="Calibri" w:hAnsi="Arial" w:cs="Arial"/>
          <w:bCs/>
          <w:color w:val="000000" w:themeColor="text1"/>
          <w:sz w:val="18"/>
          <w:szCs w:val="18"/>
          <w:lang w:val="es-ES_tradnl"/>
        </w:rPr>
        <w:t>La cláusula del trato nacional es una clásica manifestación del principio de igualdad en las relaciones internacionales. Su objetivo apunta a que las mercancías que ingresan a un Estado Parte no sean sometidas a un trato discriminatorio en relación con los productos del país receptor. En otras palabras, se busca asegurar la existencia de unas reglas de competencia leal y transparente entre el producto importado y el nacional. La existencia de tales cláusulas-tipo en los tratados internacionales de integración o de inversión extranjera siempre ha sido considerada conforme con la Constitución por la Corte</w:t>
      </w:r>
      <w:r>
        <w:rPr>
          <w:rFonts w:ascii="Arial" w:eastAsia="Calibri" w:hAnsi="Arial" w:cs="Arial"/>
          <w:bCs/>
          <w:color w:val="000000" w:themeColor="text1"/>
          <w:sz w:val="18"/>
          <w:szCs w:val="18"/>
          <w:lang w:val="es-ES_tradnl"/>
        </w:rPr>
        <w:t>”</w:t>
      </w:r>
      <w:r w:rsidRPr="005C22F3">
        <w:rPr>
          <w:rFonts w:ascii="Arial" w:eastAsia="Calibri" w:hAnsi="Arial" w:cs="Arial"/>
          <w:bCs/>
          <w:color w:val="000000" w:themeColor="text1"/>
          <w:sz w:val="18"/>
          <w:szCs w:val="18"/>
          <w:lang w:val="es-ES_tradnl"/>
        </w:rPr>
        <w:t xml:space="preserve"> (Sentencia C-608/10, M.P. Humberto Antonio Sierra Porto).</w:t>
      </w:r>
    </w:p>
  </w:footnote>
  <w:footnote w:id="17">
    <w:p w14:paraId="57FD0FDB" w14:textId="77777777" w:rsidR="00AE02A1" w:rsidRPr="005C22F3" w:rsidRDefault="00AE02A1" w:rsidP="00AE02A1">
      <w:pPr>
        <w:pStyle w:val="Textonotapie"/>
        <w:ind w:firstLine="709"/>
        <w:jc w:val="both"/>
        <w:rPr>
          <w:rFonts w:ascii="Arial" w:hAnsi="Arial" w:cs="Arial"/>
          <w:color w:val="000000" w:themeColor="text1"/>
          <w:sz w:val="18"/>
          <w:szCs w:val="18"/>
          <w:lang w:val="es-ES"/>
        </w:rPr>
      </w:pPr>
      <w:r w:rsidRPr="005C22F3">
        <w:rPr>
          <w:rStyle w:val="Refdenotaalpie"/>
          <w:rFonts w:ascii="Arial" w:hAnsi="Arial" w:cs="Arial"/>
          <w:color w:val="000000" w:themeColor="text1"/>
          <w:sz w:val="18"/>
          <w:szCs w:val="18"/>
        </w:rPr>
        <w:footnoteRef/>
      </w:r>
      <w:r w:rsidRPr="005C22F3">
        <w:rPr>
          <w:rFonts w:ascii="Arial" w:hAnsi="Arial" w:cs="Arial"/>
          <w:color w:val="000000" w:themeColor="text1"/>
          <w:sz w:val="18"/>
          <w:szCs w:val="18"/>
        </w:rPr>
        <w:t xml:space="preserve"> </w:t>
      </w:r>
      <w:r w:rsidRPr="005C22F3">
        <w:rPr>
          <w:rFonts w:ascii="Arial" w:hAnsi="Arial" w:cs="Arial"/>
          <w:color w:val="000000" w:themeColor="text1"/>
          <w:sz w:val="18"/>
          <w:szCs w:val="18"/>
          <w:lang w:val="es-ES"/>
        </w:rPr>
        <w:t>Aprobado mediante Ley 1241 de 2008.</w:t>
      </w:r>
    </w:p>
  </w:footnote>
  <w:footnote w:id="18">
    <w:p w14:paraId="225620A6" w14:textId="77777777" w:rsidR="00AE02A1" w:rsidRPr="005C22F3" w:rsidRDefault="00AE02A1" w:rsidP="00AE02A1">
      <w:pPr>
        <w:pStyle w:val="Textonotapie"/>
        <w:ind w:firstLine="709"/>
        <w:jc w:val="both"/>
        <w:rPr>
          <w:rFonts w:ascii="Arial" w:hAnsi="Arial" w:cs="Arial"/>
          <w:color w:val="000000" w:themeColor="text1"/>
          <w:sz w:val="18"/>
          <w:szCs w:val="18"/>
        </w:rPr>
      </w:pPr>
      <w:r w:rsidRPr="005C22F3">
        <w:rPr>
          <w:rStyle w:val="Refdenotaalpie"/>
          <w:rFonts w:ascii="Arial" w:hAnsi="Arial" w:cs="Arial"/>
          <w:color w:val="000000" w:themeColor="text1"/>
          <w:sz w:val="18"/>
          <w:szCs w:val="18"/>
        </w:rPr>
        <w:footnoteRef/>
      </w:r>
      <w:r w:rsidRPr="005C22F3">
        <w:rPr>
          <w:rFonts w:ascii="Arial" w:hAnsi="Arial" w:cs="Arial"/>
          <w:color w:val="000000" w:themeColor="text1"/>
          <w:sz w:val="18"/>
          <w:szCs w:val="18"/>
        </w:rPr>
        <w:t xml:space="preserve"> Aprobado por la Ley 1143 de 2007.</w:t>
      </w:r>
    </w:p>
  </w:footnote>
  <w:footnote w:id="19">
    <w:p w14:paraId="5D2F3CD8" w14:textId="77777777" w:rsidR="00AE02A1" w:rsidRPr="005C22F3" w:rsidRDefault="00AE02A1" w:rsidP="00AE02A1">
      <w:pPr>
        <w:pStyle w:val="Textonotapie"/>
        <w:ind w:firstLine="709"/>
        <w:jc w:val="both"/>
        <w:rPr>
          <w:rFonts w:ascii="Arial" w:hAnsi="Arial" w:cs="Arial"/>
          <w:color w:val="000000" w:themeColor="text1"/>
          <w:sz w:val="18"/>
          <w:szCs w:val="18"/>
          <w:lang w:val="es-ES"/>
        </w:rPr>
      </w:pPr>
      <w:r w:rsidRPr="005C22F3">
        <w:rPr>
          <w:rStyle w:val="Refdenotaalpie"/>
          <w:rFonts w:ascii="Arial" w:hAnsi="Arial" w:cs="Arial"/>
          <w:color w:val="000000" w:themeColor="text1"/>
          <w:sz w:val="18"/>
          <w:szCs w:val="18"/>
        </w:rPr>
        <w:footnoteRef/>
      </w:r>
      <w:r w:rsidRPr="005C22F3">
        <w:rPr>
          <w:rFonts w:ascii="Arial" w:hAnsi="Arial" w:cs="Arial"/>
          <w:color w:val="000000" w:themeColor="text1"/>
          <w:sz w:val="18"/>
          <w:szCs w:val="18"/>
        </w:rPr>
        <w:t xml:space="preserve"> </w:t>
      </w:r>
      <w:r w:rsidRPr="005C22F3">
        <w:rPr>
          <w:rFonts w:ascii="Arial" w:hAnsi="Arial" w:cs="Arial"/>
          <w:color w:val="000000" w:themeColor="text1"/>
          <w:sz w:val="18"/>
          <w:szCs w:val="18"/>
          <w:lang w:val="es-ES"/>
        </w:rPr>
        <w:t xml:space="preserve">Por ejemplo, la nota 2 del Anexo 9.1 del tratado de libre comercio entre Colombia y los Estados Unidos de Norteamérica dispone que, si bien el Ministerio de Defensa Nacional es una entidad cubierta, </w:t>
      </w:r>
      <w:r>
        <w:rPr>
          <w:rFonts w:ascii="Arial" w:hAnsi="Arial" w:cs="Arial"/>
          <w:color w:val="000000" w:themeColor="text1"/>
          <w:sz w:val="18"/>
          <w:szCs w:val="18"/>
          <w:lang w:val="es-ES"/>
        </w:rPr>
        <w:t>“</w:t>
      </w:r>
      <w:r w:rsidRPr="005C22F3">
        <w:rPr>
          <w:rFonts w:ascii="Arial" w:hAnsi="Arial" w:cs="Arial"/>
          <w:color w:val="000000" w:themeColor="text1"/>
          <w:sz w:val="18"/>
          <w:szCs w:val="18"/>
          <w:lang w:val="es-ES"/>
        </w:rPr>
        <w:t>No estarán cubiertas por este Capítulo las contrataciones de bienes contenidas en la Sección 2 (Alimentos, Bebidas y Tabaco; Textil y Confección y Productos de Cuero) del Clasificador Central de Productos (CPC versión 1.0) de las Naciones Unidas, para el Comando General de las Fuerzas Militares, el Ejército Nacional, la Armada Nacional, la Fuerza Aérea Colombiana, y la Policía Nacional</w:t>
      </w:r>
      <w:r>
        <w:rPr>
          <w:rFonts w:ascii="Arial" w:hAnsi="Arial" w:cs="Arial"/>
          <w:color w:val="000000" w:themeColor="text1"/>
          <w:sz w:val="18"/>
          <w:szCs w:val="18"/>
          <w:lang w:val="es-ES"/>
        </w:rPr>
        <w:t>”</w:t>
      </w:r>
      <w:r w:rsidRPr="005C22F3">
        <w:rPr>
          <w:rFonts w:ascii="Arial" w:hAnsi="Arial" w:cs="Arial"/>
          <w:color w:val="000000" w:themeColor="text1"/>
          <w:sz w:val="18"/>
          <w:szCs w:val="18"/>
          <w:lang w:val="es-ES"/>
        </w:rPr>
        <w:t>.</w:t>
      </w:r>
    </w:p>
    <w:p w14:paraId="783E21AD" w14:textId="77777777" w:rsidR="00AE02A1" w:rsidRPr="005C22F3" w:rsidRDefault="00AE02A1" w:rsidP="00AE02A1">
      <w:pPr>
        <w:pStyle w:val="Textonotapie"/>
        <w:ind w:firstLine="709"/>
        <w:jc w:val="both"/>
        <w:rPr>
          <w:rFonts w:ascii="Arial" w:hAnsi="Arial" w:cs="Arial"/>
          <w:color w:val="000000" w:themeColor="text1"/>
          <w:sz w:val="18"/>
          <w:szCs w:val="18"/>
          <w:lang w:val="es-ES"/>
        </w:rPr>
      </w:pPr>
    </w:p>
  </w:footnote>
  <w:footnote w:id="20">
    <w:p w14:paraId="029EE9AE" w14:textId="77777777" w:rsidR="00AE02A1" w:rsidRPr="002C7F40" w:rsidRDefault="00AE02A1" w:rsidP="00AE02A1">
      <w:pPr>
        <w:spacing w:after="0"/>
        <w:ind w:firstLine="709"/>
        <w:jc w:val="both"/>
        <w:rPr>
          <w:rFonts w:ascii="Arial" w:hAnsi="Arial" w:cs="Arial"/>
          <w:color w:val="000000" w:themeColor="text1"/>
          <w:sz w:val="18"/>
          <w:szCs w:val="18"/>
        </w:rPr>
      </w:pPr>
      <w:r w:rsidRPr="005C22F3">
        <w:rPr>
          <w:rStyle w:val="Refdenotaalpie"/>
          <w:rFonts w:ascii="Arial" w:hAnsi="Arial" w:cs="Arial"/>
          <w:color w:val="000000" w:themeColor="text1"/>
          <w:sz w:val="18"/>
          <w:szCs w:val="18"/>
        </w:rPr>
        <w:footnoteRef/>
      </w:r>
      <w:r w:rsidRPr="005C22F3">
        <w:rPr>
          <w:rFonts w:ascii="Arial" w:hAnsi="Arial" w:cs="Arial"/>
          <w:color w:val="000000" w:themeColor="text1"/>
          <w:sz w:val="18"/>
          <w:szCs w:val="18"/>
        </w:rPr>
        <w:t xml:space="preserve"> Esta es la tesis que ha prohijado esta Agencia en el Manual para el Manejo de los Acuerdos Comerciales en Procesos de Contratación, en las siguientes palabras: </w:t>
      </w:r>
      <w:r>
        <w:rPr>
          <w:rFonts w:ascii="Arial" w:hAnsi="Arial" w:cs="Arial"/>
          <w:color w:val="000000" w:themeColor="text1"/>
          <w:sz w:val="18"/>
          <w:szCs w:val="18"/>
        </w:rPr>
        <w:t>“</w:t>
      </w:r>
      <w:r w:rsidRPr="002C7F40">
        <w:rPr>
          <w:rFonts w:ascii="Arial" w:hAnsi="Arial" w:cs="Arial"/>
          <w:color w:val="000000" w:themeColor="text1"/>
          <w:sz w:val="18"/>
          <w:szCs w:val="18"/>
        </w:rPr>
        <w:t>La Entidad Estatal contratante también debe conceder el mismo trato que da a los</w:t>
      </w:r>
      <w:r>
        <w:rPr>
          <w:rFonts w:ascii="Arial" w:hAnsi="Arial" w:cs="Arial"/>
          <w:color w:val="000000" w:themeColor="text1"/>
          <w:sz w:val="18"/>
          <w:szCs w:val="18"/>
        </w:rPr>
        <w:t xml:space="preserve"> </w:t>
      </w:r>
      <w:r w:rsidRPr="002C7F40">
        <w:rPr>
          <w:rFonts w:ascii="Arial" w:hAnsi="Arial" w:cs="Arial"/>
          <w:color w:val="000000" w:themeColor="text1"/>
          <w:sz w:val="18"/>
          <w:szCs w:val="18"/>
        </w:rPr>
        <w:t>proponentes de colombianos que ofertan bienes y servicios colombianos, a aquellos</w:t>
      </w:r>
      <w:r>
        <w:rPr>
          <w:rFonts w:ascii="Arial" w:hAnsi="Arial" w:cs="Arial"/>
          <w:color w:val="000000" w:themeColor="text1"/>
          <w:sz w:val="18"/>
          <w:szCs w:val="18"/>
        </w:rPr>
        <w:t xml:space="preserve"> </w:t>
      </w:r>
      <w:r w:rsidRPr="002C7F40">
        <w:rPr>
          <w:rFonts w:ascii="Arial" w:hAnsi="Arial" w:cs="Arial"/>
          <w:color w:val="000000" w:themeColor="text1"/>
          <w:sz w:val="18"/>
          <w:szCs w:val="18"/>
        </w:rPr>
        <w:t>oferentes de bienes y servicios originarios de Estados con los cuales, a pesar de no</w:t>
      </w:r>
      <w:r>
        <w:rPr>
          <w:rFonts w:ascii="Arial" w:hAnsi="Arial" w:cs="Arial"/>
          <w:color w:val="000000" w:themeColor="text1"/>
          <w:sz w:val="18"/>
          <w:szCs w:val="18"/>
        </w:rPr>
        <w:t xml:space="preserve"> </w:t>
      </w:r>
      <w:r w:rsidRPr="002C7F40">
        <w:rPr>
          <w:rFonts w:ascii="Arial" w:hAnsi="Arial" w:cs="Arial"/>
          <w:color w:val="000000" w:themeColor="text1"/>
          <w:sz w:val="18"/>
          <w:szCs w:val="18"/>
        </w:rPr>
        <w:t>existir o no estar vigente un Acuerdo Comercial, el Gobierno Nacional ha certificado</w:t>
      </w:r>
      <w:r>
        <w:rPr>
          <w:rFonts w:ascii="Arial" w:hAnsi="Arial" w:cs="Arial"/>
          <w:color w:val="000000" w:themeColor="text1"/>
          <w:sz w:val="18"/>
          <w:szCs w:val="18"/>
        </w:rPr>
        <w:t xml:space="preserve"> </w:t>
      </w:r>
      <w:r w:rsidRPr="002C7F40">
        <w:rPr>
          <w:rFonts w:ascii="Arial" w:hAnsi="Arial" w:cs="Arial"/>
          <w:color w:val="000000" w:themeColor="text1"/>
          <w:sz w:val="18"/>
          <w:szCs w:val="18"/>
        </w:rPr>
        <w:t>reciprocidad. Esto supone que, el Gobierno Nacional, con base en la revisión y</w:t>
      </w:r>
      <w:r>
        <w:rPr>
          <w:rFonts w:ascii="Arial" w:hAnsi="Arial" w:cs="Arial"/>
          <w:color w:val="000000" w:themeColor="text1"/>
          <w:sz w:val="18"/>
          <w:szCs w:val="18"/>
        </w:rPr>
        <w:t xml:space="preserve"> </w:t>
      </w:r>
      <w:r w:rsidRPr="002C7F40">
        <w:rPr>
          <w:rFonts w:ascii="Arial" w:hAnsi="Arial" w:cs="Arial"/>
          <w:color w:val="000000" w:themeColor="text1"/>
          <w:sz w:val="18"/>
          <w:szCs w:val="18"/>
        </w:rPr>
        <w:t>comparación de la normativa vigente en materia de compras públicas de dicho</w:t>
      </w:r>
      <w:r>
        <w:rPr>
          <w:rFonts w:ascii="Arial" w:hAnsi="Arial" w:cs="Arial"/>
          <w:color w:val="000000" w:themeColor="text1"/>
          <w:sz w:val="18"/>
          <w:szCs w:val="18"/>
        </w:rPr>
        <w:t xml:space="preserve"> </w:t>
      </w:r>
      <w:r w:rsidRPr="002C7F40">
        <w:rPr>
          <w:rFonts w:ascii="Arial" w:hAnsi="Arial" w:cs="Arial"/>
          <w:color w:val="000000" w:themeColor="text1"/>
          <w:sz w:val="18"/>
          <w:szCs w:val="18"/>
        </w:rPr>
        <w:t>Estado, determine y certifique que en el respectivo Estado, los bienes, servicios y/o</w:t>
      </w:r>
      <w:r>
        <w:rPr>
          <w:rFonts w:ascii="Arial" w:hAnsi="Arial" w:cs="Arial"/>
          <w:color w:val="000000" w:themeColor="text1"/>
          <w:sz w:val="18"/>
          <w:szCs w:val="18"/>
        </w:rPr>
        <w:t xml:space="preserve"> </w:t>
      </w:r>
      <w:r w:rsidRPr="002C7F40">
        <w:rPr>
          <w:rFonts w:ascii="Arial" w:hAnsi="Arial" w:cs="Arial"/>
          <w:color w:val="000000" w:themeColor="text1"/>
          <w:sz w:val="18"/>
          <w:szCs w:val="18"/>
        </w:rPr>
        <w:t>proveedores colombianos gozan del mismo trato que se le da a los bienes, servicios</w:t>
      </w:r>
      <w:r>
        <w:rPr>
          <w:rFonts w:ascii="Arial" w:hAnsi="Arial" w:cs="Arial"/>
          <w:color w:val="000000" w:themeColor="text1"/>
          <w:sz w:val="18"/>
          <w:szCs w:val="18"/>
        </w:rPr>
        <w:t xml:space="preserve"> </w:t>
      </w:r>
      <w:r w:rsidRPr="002C7F40">
        <w:rPr>
          <w:rFonts w:ascii="Arial" w:hAnsi="Arial" w:cs="Arial"/>
          <w:color w:val="000000" w:themeColor="text1"/>
          <w:sz w:val="18"/>
          <w:szCs w:val="18"/>
        </w:rPr>
        <w:t>y/o proveedores de tal Estado, o que no existe en ese Estado ninguna medida que</w:t>
      </w:r>
      <w:r>
        <w:rPr>
          <w:rFonts w:ascii="Arial" w:hAnsi="Arial" w:cs="Arial"/>
          <w:color w:val="000000" w:themeColor="text1"/>
          <w:sz w:val="18"/>
          <w:szCs w:val="18"/>
        </w:rPr>
        <w:t xml:space="preserve"> </w:t>
      </w:r>
      <w:r w:rsidRPr="002C7F40">
        <w:rPr>
          <w:rFonts w:ascii="Arial" w:hAnsi="Arial" w:cs="Arial"/>
          <w:color w:val="000000" w:themeColor="text1"/>
          <w:sz w:val="18"/>
          <w:szCs w:val="18"/>
        </w:rPr>
        <w:t>fomente el desarrollo local o mejore las cuentas de la balanza de pagos en</w:t>
      </w:r>
      <w:r>
        <w:rPr>
          <w:rFonts w:ascii="Arial" w:hAnsi="Arial" w:cs="Arial"/>
          <w:color w:val="000000" w:themeColor="text1"/>
          <w:sz w:val="18"/>
          <w:szCs w:val="18"/>
        </w:rPr>
        <w:t xml:space="preserve"> </w:t>
      </w:r>
      <w:r w:rsidRPr="002C7F40">
        <w:rPr>
          <w:rFonts w:ascii="Arial" w:hAnsi="Arial" w:cs="Arial"/>
          <w:color w:val="000000" w:themeColor="text1"/>
          <w:sz w:val="18"/>
          <w:szCs w:val="18"/>
        </w:rPr>
        <w:t>detrimento de los bienes o servicios o proveedores colombianos.</w:t>
      </w:r>
    </w:p>
    <w:p w14:paraId="25776731" w14:textId="77777777" w:rsidR="00AE02A1" w:rsidRPr="005C22F3" w:rsidRDefault="00AE02A1" w:rsidP="00AE02A1">
      <w:pPr>
        <w:spacing w:after="0"/>
        <w:ind w:firstLine="709"/>
        <w:jc w:val="both"/>
        <w:rPr>
          <w:rFonts w:ascii="Arial" w:hAnsi="Arial" w:cs="Arial"/>
          <w:color w:val="000000" w:themeColor="text1"/>
          <w:sz w:val="18"/>
          <w:szCs w:val="18"/>
        </w:rPr>
      </w:pPr>
      <w:r w:rsidRPr="002C7F40">
        <w:rPr>
          <w:rFonts w:ascii="Arial" w:hAnsi="Arial" w:cs="Arial"/>
          <w:color w:val="000000" w:themeColor="text1"/>
          <w:sz w:val="18"/>
          <w:szCs w:val="18"/>
        </w:rPr>
        <w:t>La existencia de un Acuerdo Comercial que prevea el Trato Nacional en materia de</w:t>
      </w:r>
      <w:r>
        <w:rPr>
          <w:rFonts w:ascii="Arial" w:hAnsi="Arial" w:cs="Arial"/>
          <w:color w:val="000000" w:themeColor="text1"/>
          <w:sz w:val="18"/>
          <w:szCs w:val="18"/>
        </w:rPr>
        <w:t xml:space="preserve"> </w:t>
      </w:r>
      <w:r w:rsidRPr="002C7F40">
        <w:rPr>
          <w:rFonts w:ascii="Arial" w:hAnsi="Arial" w:cs="Arial"/>
          <w:color w:val="000000" w:themeColor="text1"/>
          <w:sz w:val="18"/>
          <w:szCs w:val="18"/>
        </w:rPr>
        <w:t>contratación pública excluye la posibilidad de que el Gobierno Nacional certifique el</w:t>
      </w:r>
      <w:r>
        <w:rPr>
          <w:rFonts w:ascii="Arial" w:hAnsi="Arial" w:cs="Arial"/>
          <w:color w:val="000000" w:themeColor="text1"/>
          <w:sz w:val="18"/>
          <w:szCs w:val="18"/>
        </w:rPr>
        <w:t xml:space="preserve"> </w:t>
      </w:r>
      <w:r w:rsidRPr="002C7F40">
        <w:rPr>
          <w:rFonts w:ascii="Arial" w:hAnsi="Arial" w:cs="Arial"/>
          <w:color w:val="000000" w:themeColor="text1"/>
          <w:sz w:val="18"/>
          <w:szCs w:val="18"/>
        </w:rPr>
        <w:t>Trato Nacional por reciprocidad. Así, por ejemplo, en ningún caso el Ministerio de</w:t>
      </w:r>
      <w:r>
        <w:rPr>
          <w:rFonts w:ascii="Arial" w:hAnsi="Arial" w:cs="Arial"/>
          <w:color w:val="000000" w:themeColor="text1"/>
          <w:sz w:val="18"/>
          <w:szCs w:val="18"/>
        </w:rPr>
        <w:t xml:space="preserve"> </w:t>
      </w:r>
      <w:r w:rsidRPr="002C7F40">
        <w:rPr>
          <w:rFonts w:ascii="Arial" w:hAnsi="Arial" w:cs="Arial"/>
          <w:color w:val="000000" w:themeColor="text1"/>
          <w:sz w:val="18"/>
          <w:szCs w:val="18"/>
        </w:rPr>
        <w:t>Relaciones Exteriores podría certificar Trato Nacional por reciprocidad con México,</w:t>
      </w:r>
      <w:r>
        <w:rPr>
          <w:rFonts w:ascii="Arial" w:hAnsi="Arial" w:cs="Arial"/>
          <w:color w:val="000000" w:themeColor="text1"/>
          <w:sz w:val="18"/>
          <w:szCs w:val="18"/>
        </w:rPr>
        <w:t xml:space="preserve"> </w:t>
      </w:r>
      <w:r w:rsidRPr="002C7F40">
        <w:rPr>
          <w:rFonts w:ascii="Arial" w:hAnsi="Arial" w:cs="Arial"/>
          <w:color w:val="000000" w:themeColor="text1"/>
          <w:sz w:val="18"/>
          <w:szCs w:val="18"/>
        </w:rPr>
        <w:t>pues existe un Acuerdo Comercial con dicha parte</w:t>
      </w:r>
      <w:r>
        <w:rPr>
          <w:rFonts w:ascii="Arial" w:hAnsi="Arial" w:cs="Arial"/>
          <w:color w:val="000000" w:themeColor="text1"/>
          <w:sz w:val="18"/>
          <w:szCs w:val="18"/>
        </w:rPr>
        <w:t>”</w:t>
      </w:r>
      <w:r w:rsidRPr="005C22F3">
        <w:rPr>
          <w:rFonts w:ascii="Arial" w:hAnsi="Arial" w:cs="Arial"/>
          <w:color w:val="000000" w:themeColor="text1"/>
          <w:sz w:val="18"/>
          <w:szCs w:val="18"/>
        </w:rPr>
        <w:t xml:space="preserve">. </w:t>
      </w:r>
    </w:p>
  </w:footnote>
  <w:footnote w:id="21">
    <w:p w14:paraId="70BE985E" w14:textId="77777777" w:rsidR="00AE02A1" w:rsidRPr="005C22F3" w:rsidRDefault="00AE02A1" w:rsidP="00AE02A1">
      <w:pPr>
        <w:pStyle w:val="Textonotapie"/>
        <w:ind w:firstLine="709"/>
        <w:jc w:val="both"/>
        <w:rPr>
          <w:rFonts w:ascii="Arial" w:hAnsi="Arial" w:cs="Arial"/>
          <w:color w:val="000000" w:themeColor="text1"/>
          <w:sz w:val="18"/>
          <w:szCs w:val="18"/>
          <w:lang w:val="es-ES"/>
        </w:rPr>
      </w:pPr>
      <w:r w:rsidRPr="005C22F3">
        <w:rPr>
          <w:rStyle w:val="Refdenotaalpie"/>
          <w:rFonts w:ascii="Arial" w:hAnsi="Arial" w:cs="Arial"/>
          <w:color w:val="000000" w:themeColor="text1"/>
          <w:sz w:val="18"/>
          <w:szCs w:val="18"/>
        </w:rPr>
        <w:footnoteRef/>
      </w:r>
      <w:r w:rsidRPr="005C22F3">
        <w:rPr>
          <w:rFonts w:ascii="Arial" w:hAnsi="Arial" w:cs="Arial"/>
          <w:color w:val="000000" w:themeColor="text1"/>
          <w:sz w:val="18"/>
          <w:szCs w:val="18"/>
        </w:rPr>
        <w:t xml:space="preserve"> </w:t>
      </w:r>
      <w:r w:rsidRPr="005C22F3">
        <w:rPr>
          <w:rFonts w:ascii="Arial" w:hAnsi="Arial" w:cs="Arial"/>
          <w:color w:val="000000" w:themeColor="text1"/>
          <w:sz w:val="18"/>
          <w:szCs w:val="18"/>
          <w:lang w:val="es-ES"/>
        </w:rPr>
        <w:t>La Comunidad Andina de Naciones –CAN– es un mecanismo subregional de integración creado mediante el Acuerdo de Cartagena del 26 de mayo de 1969, entre Bolivia, Colombia, Ecuador, Perú y Venezuela. Este último país perteneció a la Comunidad hasta el 2006.</w:t>
      </w:r>
    </w:p>
  </w:footnote>
  <w:footnote w:id="22">
    <w:p w14:paraId="5AE84FA0" w14:textId="77777777" w:rsidR="00AE02A1" w:rsidRPr="005C22F3" w:rsidRDefault="00AE02A1" w:rsidP="00AE02A1">
      <w:pPr>
        <w:pStyle w:val="Textonotapie"/>
        <w:ind w:firstLine="709"/>
        <w:jc w:val="both"/>
        <w:rPr>
          <w:rFonts w:ascii="Arial" w:hAnsi="Arial" w:cs="Arial"/>
          <w:color w:val="000000" w:themeColor="text1"/>
          <w:sz w:val="18"/>
          <w:szCs w:val="18"/>
          <w:lang w:val="es-ES"/>
        </w:rPr>
      </w:pPr>
      <w:r w:rsidRPr="005C22F3">
        <w:rPr>
          <w:rStyle w:val="Refdenotaalpie"/>
          <w:rFonts w:ascii="Arial" w:hAnsi="Arial" w:cs="Arial"/>
          <w:color w:val="000000" w:themeColor="text1"/>
          <w:sz w:val="18"/>
          <w:szCs w:val="18"/>
        </w:rPr>
        <w:footnoteRef/>
      </w:r>
      <w:r w:rsidRPr="005C22F3">
        <w:rPr>
          <w:rFonts w:ascii="Arial" w:hAnsi="Arial" w:cs="Arial"/>
          <w:color w:val="000000" w:themeColor="text1"/>
          <w:sz w:val="18"/>
          <w:szCs w:val="18"/>
        </w:rPr>
        <w:t xml:space="preserve"> </w:t>
      </w:r>
      <w:r>
        <w:rPr>
          <w:rFonts w:ascii="Arial" w:hAnsi="Arial" w:cs="Arial"/>
          <w:color w:val="000000" w:themeColor="text1"/>
          <w:sz w:val="18"/>
          <w:szCs w:val="18"/>
          <w:lang w:val="es-ES"/>
        </w:rPr>
        <w:t>“</w:t>
      </w:r>
      <w:r w:rsidRPr="005C22F3">
        <w:rPr>
          <w:rFonts w:ascii="Arial" w:hAnsi="Arial" w:cs="Arial"/>
          <w:color w:val="000000" w:themeColor="text1"/>
          <w:sz w:val="18"/>
          <w:szCs w:val="18"/>
          <w:lang w:val="es-ES"/>
        </w:rPr>
        <w:t>26. "Pacta sunt servanda". Todo tratado en vigor obliga a las partes y debe ser cumplido por ellas de buena fe.</w:t>
      </w:r>
    </w:p>
    <w:p w14:paraId="1D43822C" w14:textId="77777777" w:rsidR="00AE02A1" w:rsidRPr="005C22F3" w:rsidRDefault="00AE02A1" w:rsidP="00AE02A1">
      <w:pPr>
        <w:pStyle w:val="Textonotapie"/>
        <w:ind w:firstLine="709"/>
        <w:jc w:val="both"/>
        <w:rPr>
          <w:rFonts w:ascii="Arial" w:hAnsi="Arial" w:cs="Arial"/>
          <w:color w:val="000000" w:themeColor="text1"/>
          <w:sz w:val="18"/>
          <w:szCs w:val="18"/>
          <w:lang w:val="es-ES"/>
        </w:rPr>
      </w:pPr>
      <w:r w:rsidRPr="005C22F3">
        <w:rPr>
          <w:rFonts w:ascii="Arial" w:hAnsi="Arial" w:cs="Arial"/>
          <w:color w:val="000000" w:themeColor="text1"/>
          <w:sz w:val="18"/>
          <w:szCs w:val="18"/>
          <w:lang w:val="es-ES"/>
        </w:rPr>
        <w:t>27. El derecho interno y la observancia de los tratados. Una parte no podrá invocar las disposiciones de su derecho interno como justificación del incumplimiento de un tratado.</w:t>
      </w:r>
    </w:p>
    <w:p w14:paraId="41E58BAE" w14:textId="77777777" w:rsidR="00AE02A1" w:rsidRPr="005C22F3" w:rsidRDefault="00AE02A1" w:rsidP="00AE02A1">
      <w:pPr>
        <w:pStyle w:val="Textonotapie"/>
        <w:ind w:firstLine="709"/>
        <w:jc w:val="both"/>
        <w:rPr>
          <w:rFonts w:ascii="Arial" w:hAnsi="Arial" w:cs="Arial"/>
          <w:color w:val="000000" w:themeColor="text1"/>
          <w:sz w:val="18"/>
          <w:szCs w:val="18"/>
          <w:lang w:val="es-ES"/>
        </w:rPr>
      </w:pPr>
      <w:r w:rsidRPr="005C22F3">
        <w:rPr>
          <w:rFonts w:ascii="Arial" w:hAnsi="Arial" w:cs="Arial"/>
          <w:color w:val="000000" w:themeColor="text1"/>
          <w:sz w:val="18"/>
          <w:szCs w:val="18"/>
          <w:lang w:val="es-ES"/>
        </w:rPr>
        <w:t>[…]</w:t>
      </w:r>
      <w:r>
        <w:rPr>
          <w:rFonts w:ascii="Arial" w:hAnsi="Arial" w:cs="Arial"/>
          <w:color w:val="000000" w:themeColor="text1"/>
          <w:sz w:val="18"/>
          <w:szCs w:val="18"/>
          <w:lang w:val="es-ES"/>
        </w:rPr>
        <w:t>”</w:t>
      </w:r>
      <w:r w:rsidRPr="005C22F3">
        <w:rPr>
          <w:rFonts w:ascii="Arial" w:hAnsi="Arial" w:cs="Arial"/>
          <w:color w:val="000000" w:themeColor="text1"/>
          <w:sz w:val="18"/>
          <w:szCs w:val="18"/>
          <w:lang w:val="es-ES"/>
        </w:rPr>
        <w:t xml:space="preserve">. </w:t>
      </w:r>
    </w:p>
    <w:p w14:paraId="1E2C66CF" w14:textId="77777777" w:rsidR="00AE02A1" w:rsidRPr="005C22F3" w:rsidRDefault="00AE02A1" w:rsidP="00AE02A1">
      <w:pPr>
        <w:pStyle w:val="Textonotapie"/>
        <w:ind w:firstLine="709"/>
        <w:jc w:val="both"/>
        <w:rPr>
          <w:rFonts w:ascii="Arial" w:hAnsi="Arial" w:cs="Arial"/>
          <w:color w:val="000000" w:themeColor="text1"/>
          <w:sz w:val="18"/>
          <w:szCs w:val="18"/>
          <w:lang w:val="es-ES"/>
        </w:rPr>
      </w:pPr>
    </w:p>
  </w:footnote>
  <w:footnote w:id="23">
    <w:p w14:paraId="2870C973" w14:textId="77777777" w:rsidR="00AE02A1" w:rsidRPr="000B335A" w:rsidRDefault="00AE02A1" w:rsidP="00AE02A1">
      <w:pPr>
        <w:pStyle w:val="Textonotapie"/>
        <w:ind w:firstLine="708"/>
        <w:jc w:val="both"/>
        <w:rPr>
          <w:rFonts w:ascii="Arial" w:hAnsi="Arial" w:cs="Arial"/>
          <w:sz w:val="18"/>
          <w:szCs w:val="18"/>
        </w:rPr>
      </w:pPr>
      <w:r w:rsidRPr="000B335A">
        <w:rPr>
          <w:rStyle w:val="Refdenotaalpie"/>
          <w:rFonts w:ascii="Arial" w:hAnsi="Arial" w:cs="Arial"/>
          <w:sz w:val="18"/>
          <w:szCs w:val="18"/>
        </w:rPr>
        <w:footnoteRef/>
      </w:r>
      <w:r w:rsidRPr="000B335A">
        <w:rPr>
          <w:rFonts w:ascii="Arial" w:hAnsi="Arial" w:cs="Arial"/>
          <w:sz w:val="18"/>
          <w:szCs w:val="18"/>
        </w:rPr>
        <w:t xml:space="preserve"> </w:t>
      </w:r>
      <w:r>
        <w:rPr>
          <w:rFonts w:ascii="Arial" w:hAnsi="Arial" w:cs="Arial"/>
          <w:sz w:val="18"/>
          <w:szCs w:val="18"/>
        </w:rPr>
        <w:t>El artículo 1 de la Ley 816 de 2003 dispone que “</w:t>
      </w:r>
      <w:r w:rsidRPr="000B335A">
        <w:rPr>
          <w:rFonts w:ascii="Arial" w:hAnsi="Arial" w:cs="Arial"/>
          <w:sz w:val="18"/>
          <w:szCs w:val="18"/>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 no obligue a solicitar más de una propuesta, adoptarán criterios objetivos que permitan apoyar a la industria nacional.</w:t>
      </w:r>
    </w:p>
    <w:p w14:paraId="09ED07BD" w14:textId="77777777" w:rsidR="00AE02A1" w:rsidRPr="000B335A" w:rsidRDefault="00AE02A1" w:rsidP="00AE02A1">
      <w:pPr>
        <w:pStyle w:val="Textonotapie"/>
        <w:ind w:firstLine="708"/>
        <w:jc w:val="both"/>
        <w:rPr>
          <w:rFonts w:ascii="Arial" w:hAnsi="Arial" w:cs="Arial"/>
          <w:sz w:val="18"/>
          <w:szCs w:val="18"/>
        </w:rPr>
      </w:pPr>
      <w:r w:rsidRPr="000B335A">
        <w:rPr>
          <w:rFonts w:ascii="Arial" w:hAnsi="Arial" w:cs="Arial"/>
          <w:sz w:val="18"/>
          <w:szCs w:val="18"/>
        </w:rPr>
        <w:t>Para los efectos de esta ley, se entenderá por entidades de la Administración Pública todas aquellas que la integran, de acuerdo con la Ley 489 de 1998, sin que la existencia de regímenes especiales pueda ser obstáculo para su aplicación. Se exceptúan las empresas prestadoras de servicios públicos domiciliarios que se regirán por las normas de Derecho Privado de conformidad con lo preceptuado en la Ley 142 de 1994 y la Ley 689 de 2001.</w:t>
      </w:r>
    </w:p>
    <w:p w14:paraId="654E91A9" w14:textId="77777777" w:rsidR="00AE02A1" w:rsidRPr="000B335A" w:rsidRDefault="00AE02A1" w:rsidP="00AE02A1">
      <w:pPr>
        <w:pStyle w:val="Textonotapie"/>
        <w:ind w:firstLine="708"/>
        <w:jc w:val="both"/>
        <w:rPr>
          <w:rFonts w:ascii="Arial" w:hAnsi="Arial" w:cs="Arial"/>
          <w:sz w:val="18"/>
          <w:szCs w:val="18"/>
        </w:rPr>
      </w:pPr>
      <w:r w:rsidRPr="000B335A">
        <w:rPr>
          <w:rFonts w:ascii="Arial" w:hAnsi="Arial" w:cs="Arial"/>
          <w:sz w:val="18"/>
          <w:szCs w:val="18"/>
        </w:rPr>
        <w:t>PARÁGRAFO. 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r>
        <w:rPr>
          <w:rFonts w:ascii="Arial" w:hAnsi="Arial" w:cs="Arial"/>
          <w:sz w:val="18"/>
          <w:szCs w:val="18"/>
        </w:rPr>
        <w:t>”</w:t>
      </w:r>
      <w:r w:rsidRPr="000B335A">
        <w:rPr>
          <w:rFonts w:ascii="Arial" w:hAnsi="Arial" w:cs="Arial"/>
          <w:sz w:val="18"/>
          <w:szCs w:val="18"/>
        </w:rPr>
        <w:t>.</w:t>
      </w:r>
    </w:p>
  </w:footnote>
  <w:footnote w:id="24">
    <w:p w14:paraId="1236DC7C" w14:textId="77777777" w:rsidR="00AE02A1" w:rsidRDefault="00AE02A1" w:rsidP="00AE02A1">
      <w:pPr>
        <w:pStyle w:val="Textonotapie"/>
        <w:ind w:firstLine="708"/>
        <w:jc w:val="both"/>
        <w:rPr>
          <w:rFonts w:ascii="Arial" w:hAnsi="Arial" w:cs="Arial"/>
          <w:sz w:val="18"/>
          <w:szCs w:val="18"/>
        </w:rPr>
      </w:pPr>
      <w:r w:rsidRPr="00E82174">
        <w:rPr>
          <w:rStyle w:val="Refdenotaalpie"/>
          <w:rFonts w:ascii="Arial" w:hAnsi="Arial" w:cs="Arial"/>
          <w:sz w:val="18"/>
          <w:szCs w:val="18"/>
        </w:rPr>
        <w:footnoteRef/>
      </w:r>
      <w:r w:rsidRPr="00E82174">
        <w:rPr>
          <w:rFonts w:ascii="Arial" w:hAnsi="Arial" w:cs="Arial"/>
          <w:sz w:val="18"/>
          <w:szCs w:val="18"/>
        </w:rPr>
        <w:t xml:space="preserve"> </w:t>
      </w:r>
      <w:r>
        <w:rPr>
          <w:rFonts w:ascii="Arial" w:hAnsi="Arial" w:cs="Arial"/>
          <w:sz w:val="18"/>
          <w:szCs w:val="18"/>
        </w:rPr>
        <w:t xml:space="preserve">En lo pertinente, </w:t>
      </w:r>
      <w:r w:rsidRPr="00E82174">
        <w:rPr>
          <w:rFonts w:ascii="Arial" w:hAnsi="Arial" w:cs="Arial"/>
          <w:sz w:val="18"/>
          <w:szCs w:val="18"/>
        </w:rPr>
        <w:t>el artículo 12 de la Ley 1150 de 2007</w:t>
      </w:r>
      <w:r>
        <w:rPr>
          <w:rFonts w:ascii="Arial" w:hAnsi="Arial" w:cs="Arial"/>
          <w:sz w:val="18"/>
          <w:szCs w:val="18"/>
        </w:rPr>
        <w:t xml:space="preserve"> –</w:t>
      </w:r>
      <w:r w:rsidRPr="00AB4DFD">
        <w:t xml:space="preserve"> </w:t>
      </w:r>
      <w:r w:rsidRPr="00AB4DFD">
        <w:rPr>
          <w:rFonts w:ascii="Arial" w:hAnsi="Arial" w:cs="Arial"/>
          <w:sz w:val="18"/>
          <w:szCs w:val="18"/>
        </w:rPr>
        <w:t>modificado por el artículo 34 de la Ley de Emprendimiento</w:t>
      </w:r>
      <w:r>
        <w:rPr>
          <w:rFonts w:ascii="Arial" w:hAnsi="Arial" w:cs="Arial"/>
          <w:sz w:val="18"/>
          <w:szCs w:val="18"/>
        </w:rPr>
        <w:t>– dispone que “</w:t>
      </w:r>
      <w:r w:rsidRPr="00E82174">
        <w:rPr>
          <w:rFonts w:ascii="Arial" w:hAnsi="Arial" w:cs="Arial"/>
          <w:sz w:val="18"/>
          <w:szCs w:val="18"/>
        </w:rPr>
        <w:t>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r>
        <w:rPr>
          <w:rFonts w:ascii="Arial" w:hAnsi="Arial" w:cs="Arial"/>
          <w:sz w:val="18"/>
          <w:szCs w:val="18"/>
        </w:rPr>
        <w:t>.</w:t>
      </w:r>
    </w:p>
    <w:p w14:paraId="5DB53D96" w14:textId="77777777" w:rsidR="00AE02A1" w:rsidRDefault="00AE02A1" w:rsidP="00AE02A1">
      <w:pPr>
        <w:pStyle w:val="Textonotapie"/>
        <w:ind w:firstLine="708"/>
        <w:jc w:val="both"/>
        <w:rPr>
          <w:rFonts w:ascii="Arial" w:hAnsi="Arial" w:cs="Arial"/>
          <w:sz w:val="18"/>
          <w:szCs w:val="18"/>
        </w:rPr>
      </w:pPr>
      <w:r>
        <w:rPr>
          <w:rFonts w:ascii="Arial" w:hAnsi="Arial" w:cs="Arial"/>
          <w:sz w:val="18"/>
          <w:szCs w:val="18"/>
        </w:rPr>
        <w:t>[…]</w:t>
      </w:r>
    </w:p>
    <w:p w14:paraId="0D089AB5" w14:textId="77777777" w:rsidR="00AE02A1" w:rsidRDefault="00AE02A1" w:rsidP="00AE02A1">
      <w:pPr>
        <w:pStyle w:val="Textonotapie"/>
        <w:ind w:firstLine="708"/>
        <w:jc w:val="both"/>
        <w:rPr>
          <w:rFonts w:ascii="Arial" w:hAnsi="Arial" w:cs="Arial"/>
          <w:sz w:val="18"/>
          <w:szCs w:val="18"/>
        </w:rPr>
      </w:pPr>
      <w:r w:rsidRPr="00AB4DFD">
        <w:rPr>
          <w:rFonts w:ascii="Arial" w:hAnsi="Arial" w:cs="Arial"/>
          <w:sz w:val="18"/>
          <w:szCs w:val="18"/>
        </w:rPr>
        <w:t>PARÁGRAFO 1o. En los Procesos de Contratación que se desarrollen con base en el primer inciso, las entidades podrán realizar las convocatorias limitadas que beneficien a las Mipyme del ámbito municipal o departamental correspondiente al de la ejecución del contrato.</w:t>
      </w:r>
    </w:p>
    <w:p w14:paraId="1E23C4DB" w14:textId="77777777" w:rsidR="00AE02A1" w:rsidRPr="00E82174" w:rsidRDefault="00AE02A1" w:rsidP="00AE02A1">
      <w:pPr>
        <w:pStyle w:val="Textonotapie"/>
        <w:ind w:firstLine="708"/>
        <w:jc w:val="both"/>
        <w:rPr>
          <w:rFonts w:ascii="Arial" w:hAnsi="Arial" w:cs="Arial"/>
          <w:sz w:val="18"/>
          <w:szCs w:val="18"/>
        </w:rPr>
      </w:pPr>
      <w:r>
        <w:rPr>
          <w:rFonts w:ascii="Arial" w:hAnsi="Arial" w:cs="Arial"/>
          <w:sz w:val="18"/>
          <w:szCs w:val="18"/>
        </w:rPr>
        <w:t xml:space="preserve">[…]”. </w:t>
      </w:r>
    </w:p>
  </w:footnote>
  <w:footnote w:id="25">
    <w:p w14:paraId="5D43DAC0" w14:textId="77777777" w:rsidR="00AE02A1" w:rsidRPr="005C22F3" w:rsidRDefault="00AE02A1" w:rsidP="00AE02A1">
      <w:pPr>
        <w:pStyle w:val="Textonotapie"/>
        <w:ind w:firstLine="709"/>
        <w:jc w:val="both"/>
        <w:rPr>
          <w:rFonts w:ascii="Arial" w:hAnsi="Arial" w:cs="Arial"/>
          <w:sz w:val="18"/>
          <w:szCs w:val="18"/>
        </w:rPr>
      </w:pPr>
      <w:r w:rsidRPr="005C22F3">
        <w:rPr>
          <w:rStyle w:val="Refdenotaalpie"/>
          <w:rFonts w:ascii="Arial" w:hAnsi="Arial" w:cs="Arial"/>
          <w:sz w:val="18"/>
          <w:szCs w:val="18"/>
        </w:rPr>
        <w:footnoteRef/>
      </w:r>
      <w:r w:rsidRPr="005C22F3">
        <w:rPr>
          <w:rFonts w:ascii="Arial" w:hAnsi="Arial" w:cs="Arial"/>
          <w:sz w:val="18"/>
          <w:szCs w:val="18"/>
        </w:rPr>
        <w:t xml:space="preserve">  Agencia Nacional de Contratación Pública – Colombia Compra Eficiente. Concepto C-045 del 17 de marzo de 2020. Radicado de salida No. 2202013000001974.</w:t>
      </w:r>
    </w:p>
  </w:footnote>
  <w:footnote w:id="26">
    <w:p w14:paraId="0F2BE5BF" w14:textId="77777777" w:rsidR="00AE02A1" w:rsidRPr="005C22F3" w:rsidRDefault="00AE02A1" w:rsidP="00AE02A1">
      <w:pPr>
        <w:pStyle w:val="Textonotapie"/>
        <w:ind w:firstLine="708"/>
        <w:jc w:val="both"/>
        <w:rPr>
          <w:rFonts w:ascii="Arial" w:hAnsi="Arial" w:cs="Arial"/>
          <w:sz w:val="18"/>
          <w:szCs w:val="18"/>
        </w:rPr>
      </w:pPr>
      <w:r w:rsidRPr="005C22F3">
        <w:rPr>
          <w:rStyle w:val="Refdenotaalpie"/>
          <w:rFonts w:ascii="Arial" w:hAnsi="Arial" w:cs="Arial"/>
          <w:sz w:val="18"/>
          <w:szCs w:val="18"/>
        </w:rPr>
        <w:footnoteRef/>
      </w:r>
      <w:r w:rsidRPr="005C22F3">
        <w:rPr>
          <w:rFonts w:ascii="Arial" w:hAnsi="Arial" w:cs="Arial"/>
          <w:sz w:val="18"/>
          <w:szCs w:val="18"/>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22199CBE" w14:textId="77777777" w:rsidR="00AE02A1" w:rsidRPr="005C22F3" w:rsidRDefault="00AE02A1" w:rsidP="00AE02A1">
      <w:pPr>
        <w:pStyle w:val="Textonotapie"/>
        <w:ind w:firstLine="708"/>
        <w:jc w:val="both"/>
        <w:rPr>
          <w:rFonts w:ascii="Arial" w:hAnsi="Arial" w:cs="Arial"/>
          <w:sz w:val="18"/>
          <w:szCs w:val="18"/>
        </w:rPr>
      </w:pPr>
      <w:r w:rsidRPr="005C22F3">
        <w:rPr>
          <w:rFonts w:ascii="Arial" w:hAnsi="Arial" w:cs="Arial"/>
          <w:sz w:val="18"/>
          <w:szCs w:val="18"/>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footnote>
  <w:footnote w:id="27">
    <w:p w14:paraId="4B9EDC05" w14:textId="77777777" w:rsidR="00AE02A1" w:rsidRPr="005C22F3" w:rsidRDefault="00AE02A1" w:rsidP="00AE02A1">
      <w:pPr>
        <w:pStyle w:val="Textonotapie"/>
        <w:ind w:firstLine="708"/>
        <w:jc w:val="both"/>
        <w:rPr>
          <w:rFonts w:ascii="Arial" w:hAnsi="Arial" w:cs="Arial"/>
          <w:sz w:val="18"/>
          <w:szCs w:val="18"/>
        </w:rPr>
      </w:pPr>
      <w:r w:rsidRPr="005C22F3">
        <w:rPr>
          <w:rStyle w:val="Refdenotaalpie"/>
          <w:rFonts w:ascii="Arial" w:hAnsi="Arial" w:cs="Arial"/>
          <w:sz w:val="18"/>
          <w:szCs w:val="18"/>
        </w:rPr>
        <w:footnoteRef/>
      </w:r>
      <w:r w:rsidRPr="005C22F3">
        <w:rPr>
          <w:rFonts w:ascii="Arial" w:hAnsi="Arial" w:cs="Arial"/>
          <w:sz w:val="18"/>
          <w:szCs w:val="18"/>
        </w:rPr>
        <w:t xml:space="preserve"> La doctrina explica que “[…] la discrecionalidad hace referencia a una decisión o disposición administrativa adoptada dentro un margen de libre apreciación dejado por el ordenamiento jurídico (es decir, hay varias soluciones válidas en Derecho, entre las que la administración puede elegir libremente, aunque justificando su decisión). Cualquiera de las soluciones adoptadas dentro del ámbito de legítima discrecionalidad son igualmente admisibles en Derecho, y todas ellas tienen el mismo valor jurídico. Siempre que no desborde el ámbito de discrecionalidad, la Administración puede decidir utilizando criterios de conveniencia u oportunidad (por lo que la discrecionalidad es la puerta de entrada en la pirámide del ordenamiento de consideraciones de política administrativa o de carácter metajurídico)” (BLANQUER, David. Derecho administrativo: el fin, los medios y el control. Tomo I. Valencia: Tirant lo Blanch, 2010. p. 191).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0C128675"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05614353">
    <w:abstractNumId w:val="3"/>
  </w:num>
  <w:num w:numId="2" w16cid:durableId="616641016">
    <w:abstractNumId w:val="1"/>
  </w:num>
  <w:num w:numId="3" w16cid:durableId="1048723438">
    <w:abstractNumId w:val="2"/>
  </w:num>
  <w:num w:numId="4" w16cid:durableId="5007810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7899711">
    <w:abstractNumId w:val="1"/>
  </w:num>
  <w:num w:numId="6" w16cid:durableId="1763911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A683E"/>
    <w:rsid w:val="000B19B9"/>
    <w:rsid w:val="000D0334"/>
    <w:rsid w:val="000F6486"/>
    <w:rsid w:val="00125105"/>
    <w:rsid w:val="00127233"/>
    <w:rsid w:val="001C6C55"/>
    <w:rsid w:val="001E4177"/>
    <w:rsid w:val="002951A0"/>
    <w:rsid w:val="002962BC"/>
    <w:rsid w:val="002A093D"/>
    <w:rsid w:val="002A49AC"/>
    <w:rsid w:val="002A64FD"/>
    <w:rsid w:val="002C7A84"/>
    <w:rsid w:val="003448F4"/>
    <w:rsid w:val="003A779E"/>
    <w:rsid w:val="003D0F4D"/>
    <w:rsid w:val="003E0499"/>
    <w:rsid w:val="003F3941"/>
    <w:rsid w:val="00400548"/>
    <w:rsid w:val="00426BF9"/>
    <w:rsid w:val="00491CDD"/>
    <w:rsid w:val="004A1847"/>
    <w:rsid w:val="004A305D"/>
    <w:rsid w:val="004F21C4"/>
    <w:rsid w:val="004F685F"/>
    <w:rsid w:val="00533E8F"/>
    <w:rsid w:val="005566E8"/>
    <w:rsid w:val="00567661"/>
    <w:rsid w:val="00574867"/>
    <w:rsid w:val="005B5D8B"/>
    <w:rsid w:val="005C5CDC"/>
    <w:rsid w:val="005D476C"/>
    <w:rsid w:val="006219F8"/>
    <w:rsid w:val="00665D70"/>
    <w:rsid w:val="00706C16"/>
    <w:rsid w:val="00756841"/>
    <w:rsid w:val="007649AB"/>
    <w:rsid w:val="007727BB"/>
    <w:rsid w:val="007833AC"/>
    <w:rsid w:val="007B7171"/>
    <w:rsid w:val="007C3DC2"/>
    <w:rsid w:val="007E5497"/>
    <w:rsid w:val="00806F5F"/>
    <w:rsid w:val="00820278"/>
    <w:rsid w:val="008843B6"/>
    <w:rsid w:val="00891928"/>
    <w:rsid w:val="008A446D"/>
    <w:rsid w:val="008F0EA7"/>
    <w:rsid w:val="00903788"/>
    <w:rsid w:val="00923EEF"/>
    <w:rsid w:val="009416FD"/>
    <w:rsid w:val="009419F9"/>
    <w:rsid w:val="00961B09"/>
    <w:rsid w:val="00965334"/>
    <w:rsid w:val="0097093E"/>
    <w:rsid w:val="009C71FA"/>
    <w:rsid w:val="009C72E7"/>
    <w:rsid w:val="00A17F13"/>
    <w:rsid w:val="00A20739"/>
    <w:rsid w:val="00A33C78"/>
    <w:rsid w:val="00AB0ADB"/>
    <w:rsid w:val="00AD7BFC"/>
    <w:rsid w:val="00AE02A1"/>
    <w:rsid w:val="00B26C76"/>
    <w:rsid w:val="00B72CD3"/>
    <w:rsid w:val="00B72FFF"/>
    <w:rsid w:val="00B87D13"/>
    <w:rsid w:val="00BD2E7A"/>
    <w:rsid w:val="00BD7F72"/>
    <w:rsid w:val="00C0254F"/>
    <w:rsid w:val="00C04FB3"/>
    <w:rsid w:val="00C330EB"/>
    <w:rsid w:val="00C754BE"/>
    <w:rsid w:val="00CB6357"/>
    <w:rsid w:val="00CC1B26"/>
    <w:rsid w:val="00D423A2"/>
    <w:rsid w:val="00D63AC2"/>
    <w:rsid w:val="00D7383B"/>
    <w:rsid w:val="00D75F98"/>
    <w:rsid w:val="00DA231B"/>
    <w:rsid w:val="00E16408"/>
    <w:rsid w:val="00E20894"/>
    <w:rsid w:val="00E245AB"/>
    <w:rsid w:val="00E50AFE"/>
    <w:rsid w:val="00E771DC"/>
    <w:rsid w:val="00E8772A"/>
    <w:rsid w:val="00E90F6B"/>
    <w:rsid w:val="00E92C27"/>
    <w:rsid w:val="00EA0E3D"/>
    <w:rsid w:val="00EA1F64"/>
    <w:rsid w:val="00EE1AA8"/>
    <w:rsid w:val="00F204AB"/>
    <w:rsid w:val="00F31EDC"/>
    <w:rsid w:val="00F5664F"/>
    <w:rsid w:val="00F613A2"/>
    <w:rsid w:val="00F76AFC"/>
    <w:rsid w:val="00FB5DD1"/>
    <w:rsid w:val="00FC2B5D"/>
    <w:rsid w:val="00FF1449"/>
    <w:rsid w:val="0F48910C"/>
    <w:rsid w:val="687B05C8"/>
    <w:rsid w:val="7996B875"/>
    <w:rsid w:val="7F17D3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90378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90378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FE5BFF03-710A-43F8-B3C3-DD5AB6C1E306}"/>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9767</Words>
  <Characters>53721</Characters>
  <Application>Microsoft Office Word</Application>
  <DocSecurity>0</DocSecurity>
  <Lines>447</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6</cp:revision>
  <cp:lastPrinted>2023-01-10T21:18:00Z</cp:lastPrinted>
  <dcterms:created xsi:type="dcterms:W3CDTF">2023-09-27T00:47:00Z</dcterms:created>
  <dcterms:modified xsi:type="dcterms:W3CDTF">2023-09-27T20:06:00Z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