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endnotes.xml" ContentType="application/vnd.openxmlformats-officedocument.wordprocessingml.endnotes+xml"/>
  <Override PartName="/word/footnotes.xml" ContentType="application/vnd.openxmlformats-officedocument.wordprocessingml.footnotes+xml"/>
  <Override PartName="/word/footer1.xml" ContentType="application/vnd.openxmlformats-officedocument.wordprocessingml.footer+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word/webSettings.xml" ContentType="application/vnd.openxmlformats-officedocument.wordprocessingml.webSettings+xml"/>
  <Override PartName="/word/fontTable.xml" ContentType="application/vnd.openxmlformats-officedocument.wordprocessingml.fontTable+xml"/>
  <Override PartName="/word/styles.xml" ContentType="application/vnd.openxmlformats-officedocument.wordprocessingml.styl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5FBC39" w14:textId="77777777" w:rsidR="00DD3396" w:rsidRPr="0008465D" w:rsidRDefault="00DD3396" w:rsidP="00DD3396">
      <w:pPr>
        <w:jc w:val="right"/>
        <w:rPr>
          <w:rFonts w:ascii="Arial" w:hAnsi="Arial" w:cs="Arial"/>
          <w:b/>
          <w:sz w:val="16"/>
          <w:szCs w:val="16"/>
          <w:lang w:val="es-ES" w:eastAsia="es-ES"/>
        </w:rPr>
      </w:pPr>
      <w:r w:rsidRPr="0008465D">
        <w:rPr>
          <w:rFonts w:ascii="Arial" w:hAnsi="Arial" w:cs="Arial"/>
          <w:b/>
          <w:sz w:val="16"/>
          <w:szCs w:val="16"/>
          <w:lang w:val="es-ES" w:eastAsia="es-ES"/>
        </w:rPr>
        <w:t>CCE-DES-FM-17</w:t>
      </w:r>
    </w:p>
    <w:p w14:paraId="5A070154" w14:textId="77777777" w:rsidR="008B685E" w:rsidRPr="00F35189" w:rsidRDefault="008B685E" w:rsidP="008B685E">
      <w:pPr>
        <w:jc w:val="both"/>
        <w:rPr>
          <w:rFonts w:ascii="Arial" w:eastAsia="Calibri" w:hAnsi="Arial" w:cs="Arial"/>
          <w:b/>
          <w:bCs/>
          <w:sz w:val="20"/>
          <w:szCs w:val="20"/>
        </w:rPr>
      </w:pPr>
      <w:r w:rsidRPr="00F35189">
        <w:rPr>
          <w:rFonts w:ascii="Arial" w:eastAsia="Calibri" w:hAnsi="Arial" w:cs="Arial"/>
          <w:b/>
          <w:bCs/>
          <w:sz w:val="20"/>
          <w:szCs w:val="20"/>
        </w:rPr>
        <w:t xml:space="preserve">DOCUMENTOS TIPO – Obligatoriedad </w:t>
      </w:r>
    </w:p>
    <w:p w14:paraId="59CAC9C2" w14:textId="77777777" w:rsidR="008B685E" w:rsidRPr="00F35189" w:rsidRDefault="008B685E" w:rsidP="008B685E">
      <w:pPr>
        <w:pStyle w:val="Normal11pt"/>
        <w:spacing w:line="276" w:lineRule="auto"/>
        <w:ind w:left="0"/>
        <w:rPr>
          <w:sz w:val="20"/>
          <w:szCs w:val="20"/>
        </w:rPr>
      </w:pPr>
    </w:p>
    <w:p w14:paraId="53AAF3F0" w14:textId="77777777" w:rsidR="008B685E" w:rsidRPr="00F35189" w:rsidRDefault="008B685E" w:rsidP="008B685E">
      <w:pPr>
        <w:pStyle w:val="Normal11pt"/>
        <w:ind w:left="0"/>
        <w:rPr>
          <w:rFonts w:eastAsia="Calibri"/>
          <w:color w:val="auto"/>
          <w:sz w:val="20"/>
          <w:szCs w:val="20"/>
          <w:lang w:val="es-ES"/>
        </w:rPr>
      </w:pPr>
      <w:r w:rsidRPr="00F35189">
        <w:rPr>
          <w:sz w:val="20"/>
          <w:szCs w:val="20"/>
        </w:rPr>
        <w:t xml:space="preserve">La Ley 2022 de 2020 «Por la cual modifica el artículo 4 de la ley 1882 de 2018 y se dictan otras disposiciones». En su artículo 1, esta norma modificó el Articulo 4 de la Ley 1882 de 2018, estableciendo a cargo de esta Agencia la adopción de documentos tipo que serán de obligatorio cumplimiento en la actividad contractual de todas las entidades sometidas al Estatuto General de Contratación de la Administración Pública. </w:t>
      </w:r>
      <w:r w:rsidRPr="00F35189">
        <w:rPr>
          <w:rFonts w:eastAsia="Calibri"/>
          <w:color w:val="auto"/>
          <w:sz w:val="20"/>
          <w:szCs w:val="20"/>
          <w:lang w:val="es-ES"/>
        </w:rPr>
        <w:t xml:space="preserve">En este sentido, con la finalidad de realizar un desarrollo armónico y ajustado a la ley que otorga esta competencia, la Agencia Nacional de Contratación Pública expidió la Resolución 160 del 15 de septiembre de 2020, «Por la cual se adopta el procedimiento para implementar los documentos tipo y se define el sistema para su revisión». </w:t>
      </w:r>
    </w:p>
    <w:p w14:paraId="605D1D92" w14:textId="77777777" w:rsidR="008B685E" w:rsidRPr="00F35189" w:rsidRDefault="008B685E" w:rsidP="008B685E">
      <w:pPr>
        <w:jc w:val="both"/>
        <w:rPr>
          <w:rFonts w:ascii="Arial" w:eastAsia="Calibri" w:hAnsi="Arial" w:cs="Arial"/>
          <w:b/>
          <w:bCs/>
          <w:sz w:val="20"/>
          <w:szCs w:val="20"/>
        </w:rPr>
      </w:pPr>
    </w:p>
    <w:p w14:paraId="6F444CA4" w14:textId="77777777" w:rsidR="008B685E" w:rsidRPr="00F35189" w:rsidRDefault="008B685E" w:rsidP="008B685E">
      <w:pPr>
        <w:jc w:val="both"/>
        <w:rPr>
          <w:rFonts w:ascii="Arial" w:eastAsia="Calibri" w:hAnsi="Arial" w:cs="Arial"/>
          <w:b/>
          <w:bCs/>
          <w:sz w:val="20"/>
          <w:szCs w:val="20"/>
        </w:rPr>
      </w:pPr>
      <w:r w:rsidRPr="00F35189">
        <w:rPr>
          <w:rFonts w:ascii="Arial" w:eastAsia="Calibri" w:hAnsi="Arial" w:cs="Arial"/>
          <w:b/>
          <w:bCs/>
          <w:sz w:val="20"/>
          <w:szCs w:val="20"/>
        </w:rPr>
        <w:t xml:space="preserve">DOCUMENTO TIPO DE INFRAESTRUCTURA SOCIAL – Generalidades </w:t>
      </w:r>
    </w:p>
    <w:p w14:paraId="2A3D3148" w14:textId="77777777" w:rsidR="008B685E" w:rsidRPr="00F35189" w:rsidRDefault="008B685E" w:rsidP="008B685E">
      <w:pPr>
        <w:jc w:val="both"/>
        <w:rPr>
          <w:rFonts w:ascii="Arial" w:eastAsia="Calibri" w:hAnsi="Arial" w:cs="Arial"/>
          <w:b/>
          <w:bCs/>
          <w:color w:val="000000" w:themeColor="text1"/>
          <w:sz w:val="20"/>
          <w:szCs w:val="20"/>
        </w:rPr>
      </w:pPr>
    </w:p>
    <w:p w14:paraId="27E2921E" w14:textId="514F3CCB" w:rsidR="002A64A3" w:rsidRPr="00F35189" w:rsidRDefault="008B685E" w:rsidP="002A64A3">
      <w:pPr>
        <w:pStyle w:val="Normal11pt"/>
        <w:spacing w:after="120"/>
        <w:ind w:left="0"/>
        <w:rPr>
          <w:rFonts w:eastAsia="Calibri"/>
          <w:color w:val="auto"/>
          <w:sz w:val="20"/>
          <w:szCs w:val="20"/>
          <w:lang w:val="es-ES"/>
        </w:rPr>
      </w:pPr>
      <w:r w:rsidRPr="00F35189">
        <w:rPr>
          <w:rFonts w:eastAsia="Calibri"/>
          <w:color w:val="000000" w:themeColor="text1"/>
          <w:sz w:val="20"/>
          <w:szCs w:val="20"/>
          <w:lang w:val="es-ES"/>
        </w:rPr>
        <w:t xml:space="preserve">[…] </w:t>
      </w:r>
      <w:r w:rsidR="002A64A3" w:rsidRPr="00F35189">
        <w:rPr>
          <w:rFonts w:eastAsia="Calibri"/>
          <w:color w:val="auto"/>
          <w:sz w:val="20"/>
          <w:szCs w:val="20"/>
          <w:lang w:val="es-ES"/>
        </w:rPr>
        <w:t xml:space="preserve">mediante la Resolución 219 del 6 de agosto de 2021, fueron concebidos como unos </w:t>
      </w:r>
      <w:r w:rsidR="002A64A3" w:rsidRPr="00F35189">
        <w:rPr>
          <w:rFonts w:eastAsia="Calibri"/>
          <w:i/>
          <w:iCs/>
          <w:color w:val="auto"/>
          <w:sz w:val="20"/>
          <w:szCs w:val="20"/>
          <w:lang w:val="es-ES"/>
        </w:rPr>
        <w:t>documentos tipo marco o transversales</w:t>
      </w:r>
      <w:r w:rsidR="002A64A3" w:rsidRPr="00F35189">
        <w:rPr>
          <w:rFonts w:eastAsia="Calibri"/>
          <w:color w:val="auto"/>
          <w:sz w:val="20"/>
          <w:szCs w:val="20"/>
          <w:lang w:val="es-ES"/>
        </w:rPr>
        <w:t xml:space="preserve">, en la medida que el documento base, formatos, matrices y anexos implementados mediante la misma, serán aplicables a la contratación de obras en la modalidad de licitación pública, relacionadas con tres sectores que se integran el concepto de infraestructura social, a saber: i) educación, </w:t>
      </w:r>
      <w:proofErr w:type="spellStart"/>
      <w:r w:rsidR="002A64A3" w:rsidRPr="00F35189">
        <w:rPr>
          <w:rFonts w:eastAsia="Calibri"/>
          <w:color w:val="auto"/>
          <w:sz w:val="20"/>
          <w:szCs w:val="20"/>
          <w:lang w:val="es-ES"/>
        </w:rPr>
        <w:t>ii</w:t>
      </w:r>
      <w:proofErr w:type="spellEnd"/>
      <w:r w:rsidR="002A64A3" w:rsidRPr="00F35189">
        <w:rPr>
          <w:rFonts w:eastAsia="Calibri"/>
          <w:color w:val="auto"/>
          <w:sz w:val="20"/>
          <w:szCs w:val="20"/>
          <w:lang w:val="es-ES"/>
        </w:rPr>
        <w:t xml:space="preserve">) salud </w:t>
      </w:r>
      <w:proofErr w:type="gramStart"/>
      <w:r w:rsidR="002A64A3" w:rsidRPr="00F35189">
        <w:rPr>
          <w:rFonts w:eastAsia="Calibri"/>
          <w:color w:val="auto"/>
          <w:sz w:val="20"/>
          <w:szCs w:val="20"/>
          <w:lang w:val="es-ES"/>
        </w:rPr>
        <w:t xml:space="preserve">y  </w:t>
      </w:r>
      <w:proofErr w:type="spellStart"/>
      <w:r w:rsidR="002A64A3" w:rsidRPr="00F35189">
        <w:rPr>
          <w:rFonts w:eastAsia="Calibri"/>
          <w:color w:val="auto"/>
          <w:sz w:val="20"/>
          <w:szCs w:val="20"/>
          <w:lang w:val="es-ES"/>
        </w:rPr>
        <w:t>iii</w:t>
      </w:r>
      <w:proofErr w:type="spellEnd"/>
      <w:proofErr w:type="gramEnd"/>
      <w:r w:rsidR="002A64A3" w:rsidRPr="00F35189">
        <w:rPr>
          <w:rFonts w:eastAsia="Calibri"/>
          <w:color w:val="auto"/>
          <w:sz w:val="20"/>
          <w:szCs w:val="20"/>
          <w:lang w:val="es-ES"/>
        </w:rPr>
        <w:t xml:space="preserve">) recreación, cultura y deporte. La aplicación de estos documentos tipo debe ser complementada con los </w:t>
      </w:r>
      <w:r w:rsidR="002A64A3" w:rsidRPr="00F35189">
        <w:rPr>
          <w:rFonts w:eastAsia="Calibri"/>
          <w:i/>
          <w:iCs/>
          <w:color w:val="auto"/>
          <w:sz w:val="20"/>
          <w:szCs w:val="20"/>
          <w:lang w:val="es-ES"/>
        </w:rPr>
        <w:t>documentos tipo complementarios</w:t>
      </w:r>
      <w:r w:rsidR="002A64A3" w:rsidRPr="00F35189">
        <w:rPr>
          <w:rFonts w:eastAsia="Calibri"/>
          <w:color w:val="auto"/>
          <w:sz w:val="20"/>
          <w:szCs w:val="20"/>
          <w:lang w:val="es-ES"/>
        </w:rPr>
        <w:t xml:space="preserve"> que deben expedir para cada sector, consistentes en las matrices de experiencia y anexos técnicos de cada </w:t>
      </w:r>
      <w:r w:rsidR="001E528E">
        <w:rPr>
          <w:rFonts w:eastAsia="Calibri"/>
          <w:color w:val="auto"/>
          <w:sz w:val="20"/>
          <w:szCs w:val="20"/>
          <w:lang w:val="es-ES"/>
        </w:rPr>
        <w:t>uno de ellos.</w:t>
      </w:r>
      <w:r w:rsidR="002A64A3" w:rsidRPr="00F35189">
        <w:rPr>
          <w:rFonts w:eastAsia="Calibri"/>
          <w:color w:val="auto"/>
          <w:sz w:val="20"/>
          <w:szCs w:val="20"/>
          <w:lang w:val="es-ES"/>
        </w:rPr>
        <w:t xml:space="preserve"> </w:t>
      </w:r>
    </w:p>
    <w:p w14:paraId="3A0C6151" w14:textId="24ABDD71" w:rsidR="002A64A3" w:rsidRPr="00F35189" w:rsidRDefault="002A64A3" w:rsidP="002A64A3">
      <w:pPr>
        <w:pStyle w:val="Normal11pt"/>
        <w:ind w:left="0"/>
        <w:rPr>
          <w:rFonts w:eastAsia="Calibri"/>
          <w:color w:val="auto"/>
          <w:sz w:val="20"/>
          <w:szCs w:val="20"/>
          <w:lang w:val="es-ES"/>
        </w:rPr>
      </w:pPr>
      <w:r w:rsidRPr="00F35189">
        <w:rPr>
          <w:rFonts w:eastAsia="Calibri"/>
          <w:color w:val="auto"/>
          <w:sz w:val="20"/>
          <w:szCs w:val="20"/>
          <w:lang w:val="es-ES"/>
        </w:rPr>
        <w:t>En este orden de ideas, la Agencia ha expedido tres documentos tipo complementarios de infraestructura social. A saber, la Resolución 220 del 6 de agosto de 2021, “Por la cual se adoptan los documentos tipo complementarios para los procesos de licitación de obra pública de infraestructura social relacionados con el sector educativo”; la Resolución 392 de 2021 del 18 de noviembre de 2021, “Por la cual se adoptan los documentos tipo complementarios para los procesos de licitación de obra pública de infraestructura social relacionados con el sector salud”; la Resolución 454 de 2021 del 16 de diciembre de 2021, “Por la cual se adoptan los documentos tipo complementarios para los procesos de licitación de obra pública de infraestructura social relacionados con el Sector cultura, recreación y deporte”.</w:t>
      </w:r>
    </w:p>
    <w:p w14:paraId="705AF9FC" w14:textId="77777777" w:rsidR="002A64A3" w:rsidRPr="00F35189" w:rsidRDefault="002A64A3" w:rsidP="002A64A3">
      <w:pPr>
        <w:pStyle w:val="Normal11pt"/>
        <w:ind w:left="0"/>
        <w:rPr>
          <w:rFonts w:eastAsia="Calibri"/>
          <w:color w:val="auto"/>
          <w:sz w:val="20"/>
          <w:szCs w:val="20"/>
          <w:lang w:val="es-ES"/>
        </w:rPr>
      </w:pPr>
    </w:p>
    <w:p w14:paraId="78045FD0" w14:textId="7D67918A" w:rsidR="008B685E" w:rsidRPr="00F35189" w:rsidRDefault="008B685E" w:rsidP="002A64A3">
      <w:pPr>
        <w:jc w:val="both"/>
        <w:rPr>
          <w:rFonts w:ascii="Arial" w:eastAsia="Calibri" w:hAnsi="Arial" w:cs="Arial"/>
          <w:b/>
          <w:sz w:val="20"/>
          <w:szCs w:val="20"/>
          <w:lang w:val="es-MX"/>
        </w:rPr>
      </w:pPr>
      <w:r w:rsidRPr="00F35189">
        <w:rPr>
          <w:rFonts w:ascii="Arial" w:eastAsia="Calibri" w:hAnsi="Arial" w:cs="Arial"/>
          <w:b/>
          <w:sz w:val="20"/>
          <w:szCs w:val="20"/>
          <w:lang w:val="es-MX"/>
        </w:rPr>
        <w:t xml:space="preserve">OBRA PÚBLICA – </w:t>
      </w:r>
      <w:r w:rsidR="002A64A3" w:rsidRPr="00F35189">
        <w:rPr>
          <w:rFonts w:ascii="Arial" w:eastAsia="Calibri" w:hAnsi="Arial" w:cs="Arial"/>
          <w:b/>
          <w:sz w:val="20"/>
          <w:szCs w:val="20"/>
          <w:lang w:val="es-MX"/>
        </w:rPr>
        <w:t xml:space="preserve">Definición – Objeto </w:t>
      </w:r>
    </w:p>
    <w:p w14:paraId="16E75821" w14:textId="7C8F4FC0" w:rsidR="002A64A3" w:rsidRPr="00F35189" w:rsidRDefault="002A64A3" w:rsidP="002A64A3">
      <w:pPr>
        <w:spacing w:before="120" w:after="120"/>
        <w:jc w:val="both"/>
        <w:rPr>
          <w:rFonts w:ascii="Arial" w:eastAsia="Calibri" w:hAnsi="Arial" w:cs="Arial"/>
          <w:sz w:val="20"/>
          <w:szCs w:val="20"/>
          <w:lang w:val="es-ES_tradnl"/>
        </w:rPr>
      </w:pPr>
      <w:r w:rsidRPr="00F35189">
        <w:rPr>
          <w:rFonts w:ascii="Arial" w:eastAsia="Calibri" w:hAnsi="Arial" w:cs="Arial"/>
          <w:sz w:val="20"/>
          <w:szCs w:val="20"/>
          <w:lang w:val="es-ES_tradnl"/>
        </w:rPr>
        <w:t xml:space="preserve">En efecto, en el derecho privado brilla por la ausencia una definición del contrato de obra. El artículo 2053 del Código Civil lo tipifica como una de las clases de arrendamiento, y establece reglas para diferenciarlo de la compraventa, para lo cual dispone que «Si al artífice suministra la materia para la confección de una obra material, el contrato es de venta; pero no se perfecciona sino por la aprobación del que ordenó la obra». Por el contrario, «Si la materia es suministrada por la persona que encargó la obra, el contrato es de arrendamiento»; pero «Si la materia principal es suministrada por el que ha ordenado la obra, poniendo el artífice lo demás, el contrato es de arrendamiento; en el caso contrario, de venta». En todo caso, en la medida en que los artículos 2060 y 2061 del Código disponen reglas especiales para los contratos de construcción y de arquitectura, es claro que la realización de trabajos materiales recae tanto sobre bienes muebles como inmuebles. Así, la doctrina considera que «Puede definirse el arrendamiento de obra o contrato de confección de obra material como aquél por el cual una persona llamada artífice, se obliga, mediante cierto precio, a ejecutar una obra material. Los elementos de este contrato, fuera del consentimiento indispensable en todo contrato, son la ejecución de la obra y el precio. Así como en el arrendamiento de cosas, el arrendador es obligado a suministrar el goce de la cosa, en el arrendamiento de obras es obligado a la ejecución de una obra material; mediante este contrato, el arrendador va a poner su trabajo al </w:t>
      </w:r>
      <w:r w:rsidRPr="00F35189">
        <w:rPr>
          <w:rFonts w:ascii="Arial" w:eastAsia="Calibri" w:hAnsi="Arial" w:cs="Arial"/>
          <w:sz w:val="20"/>
          <w:szCs w:val="20"/>
          <w:lang w:val="es-ES_tradnl"/>
        </w:rPr>
        <w:lastRenderedPageBreak/>
        <w:t xml:space="preserve">servicio de otro para transformar una sustancia en una obra nueva, que puede ser mueble o inmueble; cabe dentro de este contrato los más variados trabajos: el del sastre, del carpintero, del arquitecto, del ingeniero, etc. Lo que caracteriza entonces este contrato es que se haga una obra nueva con una sustancia mediante la transformación de ella por el trabajo del hombre.»  </w:t>
      </w:r>
    </w:p>
    <w:p w14:paraId="442CAC26" w14:textId="77777777" w:rsidR="002A64A3" w:rsidRPr="0008465D" w:rsidRDefault="002A64A3" w:rsidP="002A64A3">
      <w:pPr>
        <w:spacing w:line="276" w:lineRule="auto"/>
        <w:ind w:left="709" w:right="709"/>
        <w:jc w:val="both"/>
        <w:rPr>
          <w:rFonts w:ascii="Arial" w:eastAsia="Calibri" w:hAnsi="Arial" w:cs="Arial"/>
          <w:sz w:val="21"/>
          <w:szCs w:val="21"/>
          <w:lang w:val="es-ES_tradnl"/>
        </w:rPr>
      </w:pPr>
      <w:r w:rsidRPr="0008465D">
        <w:rPr>
          <w:rFonts w:ascii="Arial" w:eastAsia="Calibri" w:hAnsi="Arial" w:cs="Arial"/>
          <w:sz w:val="21"/>
          <w:szCs w:val="21"/>
          <w:lang w:val="es-ES_tradnl"/>
        </w:rPr>
        <w:t xml:space="preserve">    </w:t>
      </w:r>
    </w:p>
    <w:p w14:paraId="45B47450" w14:textId="77777777" w:rsidR="002A64A3" w:rsidRPr="008B685E" w:rsidRDefault="002A64A3" w:rsidP="002A64A3">
      <w:pPr>
        <w:jc w:val="both"/>
        <w:rPr>
          <w:rFonts w:ascii="Arial" w:eastAsia="Calibri" w:hAnsi="Arial" w:cs="Arial"/>
          <w:b/>
          <w:lang w:val="es-MX"/>
        </w:rPr>
      </w:pPr>
    </w:p>
    <w:p w14:paraId="24469663" w14:textId="6C9BCDD8" w:rsidR="00DD3396" w:rsidRDefault="00DD3396" w:rsidP="00DD3396">
      <w:pPr>
        <w:rPr>
          <w:rFonts w:ascii="Arial" w:eastAsia="Calibri" w:hAnsi="Arial" w:cs="Arial"/>
          <w:b/>
          <w:bCs/>
          <w:sz w:val="22"/>
        </w:rPr>
      </w:pPr>
    </w:p>
    <w:p w14:paraId="3034C038" w14:textId="72BEFBC8" w:rsidR="00E24028" w:rsidRDefault="00E24028" w:rsidP="00DD3396">
      <w:pPr>
        <w:rPr>
          <w:rFonts w:ascii="Arial" w:eastAsia="Calibri" w:hAnsi="Arial" w:cs="Arial"/>
          <w:b/>
          <w:bCs/>
          <w:sz w:val="22"/>
        </w:rPr>
      </w:pPr>
    </w:p>
    <w:p w14:paraId="23CE26E3" w14:textId="36B6966D" w:rsidR="00E24028" w:rsidRDefault="00E24028" w:rsidP="00DD3396">
      <w:pPr>
        <w:rPr>
          <w:rFonts w:ascii="Arial" w:eastAsia="Calibri" w:hAnsi="Arial" w:cs="Arial"/>
          <w:b/>
          <w:bCs/>
          <w:sz w:val="22"/>
        </w:rPr>
      </w:pPr>
    </w:p>
    <w:p w14:paraId="15B5A3C6" w14:textId="7458A40A" w:rsidR="00E24028" w:rsidRDefault="00E24028" w:rsidP="00DD3396">
      <w:pPr>
        <w:rPr>
          <w:rFonts w:ascii="Arial" w:eastAsia="Calibri" w:hAnsi="Arial" w:cs="Arial"/>
          <w:b/>
          <w:bCs/>
          <w:sz w:val="22"/>
        </w:rPr>
      </w:pPr>
    </w:p>
    <w:p w14:paraId="079A0DEB" w14:textId="3C14B4A2" w:rsidR="00E24028" w:rsidRDefault="00E24028" w:rsidP="00DD3396">
      <w:pPr>
        <w:rPr>
          <w:rFonts w:ascii="Arial" w:eastAsia="Calibri" w:hAnsi="Arial" w:cs="Arial"/>
          <w:b/>
          <w:bCs/>
          <w:sz w:val="22"/>
        </w:rPr>
      </w:pPr>
    </w:p>
    <w:p w14:paraId="0162708A" w14:textId="38840EC3" w:rsidR="00E24028" w:rsidRDefault="00E24028" w:rsidP="00DD3396">
      <w:pPr>
        <w:rPr>
          <w:rFonts w:ascii="Arial" w:eastAsia="Calibri" w:hAnsi="Arial" w:cs="Arial"/>
          <w:b/>
          <w:bCs/>
          <w:sz w:val="22"/>
        </w:rPr>
      </w:pPr>
    </w:p>
    <w:p w14:paraId="3D372442" w14:textId="0776DFFB" w:rsidR="00E24028" w:rsidRDefault="00E24028" w:rsidP="00DD3396">
      <w:pPr>
        <w:rPr>
          <w:rFonts w:ascii="Arial" w:eastAsia="Calibri" w:hAnsi="Arial" w:cs="Arial"/>
          <w:b/>
          <w:bCs/>
          <w:sz w:val="22"/>
        </w:rPr>
      </w:pPr>
    </w:p>
    <w:p w14:paraId="767B5827" w14:textId="74F1C44E" w:rsidR="00E24028" w:rsidRDefault="00E24028" w:rsidP="00DD3396">
      <w:pPr>
        <w:rPr>
          <w:rFonts w:ascii="Arial" w:eastAsia="Calibri" w:hAnsi="Arial" w:cs="Arial"/>
          <w:b/>
          <w:bCs/>
          <w:sz w:val="22"/>
        </w:rPr>
      </w:pPr>
    </w:p>
    <w:p w14:paraId="7A04D327" w14:textId="262571E3" w:rsidR="00E24028" w:rsidRDefault="00E24028" w:rsidP="00DD3396">
      <w:pPr>
        <w:rPr>
          <w:rFonts w:ascii="Arial" w:eastAsia="Calibri" w:hAnsi="Arial" w:cs="Arial"/>
          <w:b/>
          <w:bCs/>
          <w:sz w:val="22"/>
        </w:rPr>
      </w:pPr>
    </w:p>
    <w:p w14:paraId="058EC88B" w14:textId="51B01D04" w:rsidR="00E24028" w:rsidRDefault="00E24028" w:rsidP="00DD3396">
      <w:pPr>
        <w:rPr>
          <w:rFonts w:ascii="Arial" w:eastAsia="Calibri" w:hAnsi="Arial" w:cs="Arial"/>
          <w:b/>
          <w:bCs/>
          <w:sz w:val="22"/>
        </w:rPr>
      </w:pPr>
    </w:p>
    <w:p w14:paraId="6C55F5D9" w14:textId="77777777" w:rsidR="00E24028" w:rsidRDefault="00E24028" w:rsidP="00DD3396">
      <w:pPr>
        <w:rPr>
          <w:rFonts w:ascii="Arial" w:eastAsia="Calibri" w:hAnsi="Arial" w:cs="Arial"/>
          <w:sz w:val="22"/>
          <w:szCs w:val="22"/>
          <w:lang w:val="es-ES"/>
        </w:rPr>
      </w:pPr>
    </w:p>
    <w:p w14:paraId="0944B97F" w14:textId="20F360AE" w:rsidR="005939DC" w:rsidRDefault="005939DC" w:rsidP="00DD3396">
      <w:pPr>
        <w:rPr>
          <w:rFonts w:ascii="Arial" w:eastAsia="Calibri" w:hAnsi="Arial" w:cs="Arial"/>
          <w:sz w:val="22"/>
          <w:szCs w:val="22"/>
          <w:lang w:val="es-ES"/>
        </w:rPr>
      </w:pPr>
    </w:p>
    <w:p w14:paraId="33D0A44A" w14:textId="663B83BF" w:rsidR="002A64A3" w:rsidRDefault="002A64A3" w:rsidP="00DD3396">
      <w:pPr>
        <w:rPr>
          <w:rFonts w:ascii="Arial" w:eastAsia="Calibri" w:hAnsi="Arial" w:cs="Arial"/>
          <w:sz w:val="22"/>
          <w:szCs w:val="22"/>
          <w:lang w:val="es-ES"/>
        </w:rPr>
      </w:pPr>
    </w:p>
    <w:p w14:paraId="143A2090" w14:textId="14FFF68D" w:rsidR="002A64A3" w:rsidRDefault="002A64A3" w:rsidP="00DD3396">
      <w:pPr>
        <w:rPr>
          <w:rFonts w:ascii="Arial" w:eastAsia="Calibri" w:hAnsi="Arial" w:cs="Arial"/>
          <w:sz w:val="22"/>
          <w:szCs w:val="22"/>
          <w:lang w:val="es-ES"/>
        </w:rPr>
      </w:pPr>
    </w:p>
    <w:p w14:paraId="3AA24894" w14:textId="7EC728EF" w:rsidR="002A64A3" w:rsidRDefault="002A64A3" w:rsidP="00DD3396">
      <w:pPr>
        <w:rPr>
          <w:rFonts w:ascii="Arial" w:eastAsia="Calibri" w:hAnsi="Arial" w:cs="Arial"/>
          <w:sz w:val="22"/>
          <w:szCs w:val="22"/>
          <w:lang w:val="es-ES"/>
        </w:rPr>
      </w:pPr>
    </w:p>
    <w:p w14:paraId="397A4A7E" w14:textId="23888C62" w:rsidR="002A64A3" w:rsidRDefault="002A64A3" w:rsidP="00DD3396">
      <w:pPr>
        <w:rPr>
          <w:rFonts w:ascii="Arial" w:eastAsia="Calibri" w:hAnsi="Arial" w:cs="Arial"/>
          <w:sz w:val="22"/>
          <w:szCs w:val="22"/>
          <w:lang w:val="es-ES"/>
        </w:rPr>
      </w:pPr>
    </w:p>
    <w:p w14:paraId="487E3F74" w14:textId="2E55134B" w:rsidR="002A64A3" w:rsidRDefault="002A64A3" w:rsidP="00DD3396">
      <w:pPr>
        <w:rPr>
          <w:rFonts w:ascii="Arial" w:eastAsia="Calibri" w:hAnsi="Arial" w:cs="Arial"/>
          <w:sz w:val="22"/>
          <w:szCs w:val="22"/>
          <w:lang w:val="es-ES"/>
        </w:rPr>
      </w:pPr>
    </w:p>
    <w:p w14:paraId="10D1E909" w14:textId="5FE5A801" w:rsidR="002A64A3" w:rsidRDefault="002A64A3" w:rsidP="00DD3396">
      <w:pPr>
        <w:rPr>
          <w:rFonts w:ascii="Arial" w:eastAsia="Calibri" w:hAnsi="Arial" w:cs="Arial"/>
          <w:sz w:val="22"/>
          <w:szCs w:val="22"/>
          <w:lang w:val="es-ES"/>
        </w:rPr>
      </w:pPr>
    </w:p>
    <w:p w14:paraId="086B0EE0" w14:textId="0E26590E" w:rsidR="002A64A3" w:rsidRDefault="002A64A3" w:rsidP="00DD3396">
      <w:pPr>
        <w:rPr>
          <w:rFonts w:ascii="Arial" w:eastAsia="Calibri" w:hAnsi="Arial" w:cs="Arial"/>
          <w:sz w:val="22"/>
          <w:szCs w:val="22"/>
          <w:lang w:val="es-ES"/>
        </w:rPr>
      </w:pPr>
    </w:p>
    <w:p w14:paraId="703331F8" w14:textId="7710E6A9" w:rsidR="002A64A3" w:rsidRDefault="002A64A3" w:rsidP="00DD3396">
      <w:pPr>
        <w:rPr>
          <w:rFonts w:ascii="Arial" w:eastAsia="Calibri" w:hAnsi="Arial" w:cs="Arial"/>
          <w:sz w:val="22"/>
          <w:szCs w:val="22"/>
          <w:lang w:val="es-ES"/>
        </w:rPr>
      </w:pPr>
    </w:p>
    <w:p w14:paraId="5E6DCD11" w14:textId="3560DFC4" w:rsidR="002A64A3" w:rsidRDefault="002A64A3" w:rsidP="00DD3396">
      <w:pPr>
        <w:rPr>
          <w:rFonts w:ascii="Arial" w:eastAsia="Calibri" w:hAnsi="Arial" w:cs="Arial"/>
          <w:sz w:val="22"/>
          <w:szCs w:val="22"/>
          <w:lang w:val="es-ES"/>
        </w:rPr>
      </w:pPr>
    </w:p>
    <w:p w14:paraId="60752CD4" w14:textId="0A45BDED" w:rsidR="002A64A3" w:rsidRDefault="002A64A3" w:rsidP="00DD3396">
      <w:pPr>
        <w:rPr>
          <w:rFonts w:ascii="Arial" w:eastAsia="Calibri" w:hAnsi="Arial" w:cs="Arial"/>
          <w:sz w:val="22"/>
          <w:szCs w:val="22"/>
          <w:lang w:val="es-ES"/>
        </w:rPr>
      </w:pPr>
    </w:p>
    <w:p w14:paraId="3093D8B5" w14:textId="32ED66A8" w:rsidR="002A64A3" w:rsidRDefault="002A64A3" w:rsidP="00DD3396">
      <w:pPr>
        <w:rPr>
          <w:rFonts w:ascii="Arial" w:eastAsia="Calibri" w:hAnsi="Arial" w:cs="Arial"/>
          <w:sz w:val="22"/>
          <w:szCs w:val="22"/>
          <w:lang w:val="es-ES"/>
        </w:rPr>
      </w:pPr>
    </w:p>
    <w:p w14:paraId="5887F8C5" w14:textId="735F912E" w:rsidR="002A64A3" w:rsidRDefault="002A64A3" w:rsidP="00DD3396">
      <w:pPr>
        <w:rPr>
          <w:rFonts w:ascii="Arial" w:eastAsia="Calibri" w:hAnsi="Arial" w:cs="Arial"/>
          <w:sz w:val="22"/>
          <w:szCs w:val="22"/>
          <w:lang w:val="es-ES"/>
        </w:rPr>
      </w:pPr>
    </w:p>
    <w:p w14:paraId="345175F7" w14:textId="34276012" w:rsidR="002A64A3" w:rsidRDefault="002A64A3" w:rsidP="00DD3396">
      <w:pPr>
        <w:rPr>
          <w:rFonts w:ascii="Arial" w:eastAsia="Calibri" w:hAnsi="Arial" w:cs="Arial"/>
          <w:sz w:val="22"/>
          <w:szCs w:val="22"/>
          <w:lang w:val="es-ES"/>
        </w:rPr>
      </w:pPr>
    </w:p>
    <w:p w14:paraId="659D561F" w14:textId="5FFDDD51" w:rsidR="002A64A3" w:rsidRDefault="002A64A3" w:rsidP="00DD3396">
      <w:pPr>
        <w:rPr>
          <w:rFonts w:ascii="Arial" w:eastAsia="Calibri" w:hAnsi="Arial" w:cs="Arial"/>
          <w:sz w:val="22"/>
          <w:szCs w:val="22"/>
          <w:lang w:val="es-ES"/>
        </w:rPr>
      </w:pPr>
    </w:p>
    <w:p w14:paraId="29206882" w14:textId="5B561546" w:rsidR="002A64A3" w:rsidRDefault="002A64A3" w:rsidP="00DD3396">
      <w:pPr>
        <w:rPr>
          <w:rFonts w:ascii="Arial" w:eastAsia="Calibri" w:hAnsi="Arial" w:cs="Arial"/>
          <w:sz w:val="22"/>
          <w:szCs w:val="22"/>
          <w:lang w:val="es-ES"/>
        </w:rPr>
      </w:pPr>
    </w:p>
    <w:p w14:paraId="107AF44D" w14:textId="57FAE797" w:rsidR="002A64A3" w:rsidRDefault="002A64A3" w:rsidP="00DD3396">
      <w:pPr>
        <w:rPr>
          <w:rFonts w:ascii="Arial" w:eastAsia="Calibri" w:hAnsi="Arial" w:cs="Arial"/>
          <w:sz w:val="22"/>
          <w:szCs w:val="22"/>
          <w:lang w:val="es-ES"/>
        </w:rPr>
      </w:pPr>
    </w:p>
    <w:p w14:paraId="4F937FD8" w14:textId="689C6233" w:rsidR="002A64A3" w:rsidRDefault="002A64A3" w:rsidP="00DD3396">
      <w:pPr>
        <w:rPr>
          <w:rFonts w:ascii="Arial" w:eastAsia="Calibri" w:hAnsi="Arial" w:cs="Arial"/>
          <w:sz w:val="22"/>
          <w:szCs w:val="22"/>
          <w:lang w:val="es-ES"/>
        </w:rPr>
      </w:pPr>
    </w:p>
    <w:p w14:paraId="52702B79" w14:textId="34409ED8" w:rsidR="002A64A3" w:rsidRDefault="002A64A3" w:rsidP="00DD3396">
      <w:pPr>
        <w:rPr>
          <w:rFonts w:ascii="Arial" w:eastAsia="Calibri" w:hAnsi="Arial" w:cs="Arial"/>
          <w:sz w:val="22"/>
          <w:szCs w:val="22"/>
          <w:lang w:val="es-ES"/>
        </w:rPr>
      </w:pPr>
    </w:p>
    <w:p w14:paraId="2E1A8ECD" w14:textId="4BE50924" w:rsidR="002A64A3" w:rsidRDefault="002A64A3" w:rsidP="00DD3396">
      <w:pPr>
        <w:rPr>
          <w:rFonts w:ascii="Arial" w:eastAsia="Calibri" w:hAnsi="Arial" w:cs="Arial"/>
          <w:sz w:val="22"/>
          <w:szCs w:val="22"/>
          <w:lang w:val="es-ES"/>
        </w:rPr>
      </w:pPr>
    </w:p>
    <w:p w14:paraId="2C9C8C89" w14:textId="0CC8312D" w:rsidR="002A64A3" w:rsidRDefault="002A64A3" w:rsidP="00DD3396">
      <w:pPr>
        <w:rPr>
          <w:rFonts w:ascii="Arial" w:eastAsia="Calibri" w:hAnsi="Arial" w:cs="Arial"/>
          <w:sz w:val="22"/>
          <w:szCs w:val="22"/>
          <w:lang w:val="es-ES"/>
        </w:rPr>
      </w:pPr>
    </w:p>
    <w:p w14:paraId="771330CF" w14:textId="36446E82" w:rsidR="002A64A3" w:rsidRDefault="002A64A3" w:rsidP="00DD3396">
      <w:pPr>
        <w:rPr>
          <w:rFonts w:ascii="Arial" w:eastAsia="Calibri" w:hAnsi="Arial" w:cs="Arial"/>
          <w:sz w:val="22"/>
          <w:szCs w:val="22"/>
          <w:lang w:val="es-ES"/>
        </w:rPr>
      </w:pPr>
    </w:p>
    <w:p w14:paraId="7A504E0F" w14:textId="75CF97AC" w:rsidR="002A64A3" w:rsidRDefault="002A64A3" w:rsidP="00DD3396">
      <w:pPr>
        <w:rPr>
          <w:rFonts w:ascii="Arial" w:eastAsia="Calibri" w:hAnsi="Arial" w:cs="Arial"/>
          <w:sz w:val="22"/>
          <w:szCs w:val="22"/>
          <w:lang w:val="es-ES"/>
        </w:rPr>
      </w:pPr>
    </w:p>
    <w:p w14:paraId="37FA9600" w14:textId="235942DC" w:rsidR="002A64A3" w:rsidRDefault="002A64A3" w:rsidP="00DD3396">
      <w:pPr>
        <w:rPr>
          <w:rFonts w:ascii="Arial" w:eastAsia="Calibri" w:hAnsi="Arial" w:cs="Arial"/>
          <w:sz w:val="22"/>
          <w:szCs w:val="22"/>
          <w:lang w:val="es-ES"/>
        </w:rPr>
      </w:pPr>
    </w:p>
    <w:p w14:paraId="3266C8FD" w14:textId="2C396E4C" w:rsidR="002A64A3" w:rsidRDefault="002A64A3" w:rsidP="00DD3396">
      <w:pPr>
        <w:rPr>
          <w:rFonts w:ascii="Arial" w:eastAsia="Calibri" w:hAnsi="Arial" w:cs="Arial"/>
          <w:sz w:val="22"/>
          <w:szCs w:val="22"/>
          <w:lang w:val="es-ES"/>
        </w:rPr>
      </w:pPr>
    </w:p>
    <w:p w14:paraId="32493207" w14:textId="3D10F6E8" w:rsidR="002A64A3" w:rsidRDefault="002A64A3" w:rsidP="00DD3396">
      <w:pPr>
        <w:rPr>
          <w:rFonts w:ascii="Arial" w:eastAsia="Calibri" w:hAnsi="Arial" w:cs="Arial"/>
          <w:sz w:val="22"/>
          <w:szCs w:val="22"/>
          <w:lang w:val="es-ES"/>
        </w:rPr>
      </w:pPr>
    </w:p>
    <w:p w14:paraId="4EDCFD3E" w14:textId="77777777" w:rsidR="002A64A3" w:rsidRDefault="002A64A3" w:rsidP="00DD3396">
      <w:pPr>
        <w:rPr>
          <w:rFonts w:ascii="Arial" w:eastAsia="Calibri" w:hAnsi="Arial" w:cs="Arial"/>
          <w:sz w:val="22"/>
          <w:szCs w:val="22"/>
          <w:lang w:val="es-ES"/>
        </w:rPr>
      </w:pPr>
    </w:p>
    <w:p w14:paraId="574ED424" w14:textId="77777777" w:rsidR="00A56086" w:rsidRDefault="00A56086" w:rsidP="00DD3396">
      <w:pPr>
        <w:rPr>
          <w:rFonts w:ascii="Arial" w:eastAsia="Calibri" w:hAnsi="Arial" w:cs="Arial"/>
          <w:sz w:val="22"/>
          <w:szCs w:val="22"/>
          <w:lang w:val="es-ES"/>
        </w:rPr>
      </w:pPr>
    </w:p>
    <w:p w14:paraId="64291AD5" w14:textId="77777777" w:rsidR="00A56086" w:rsidRDefault="00A56086" w:rsidP="00DD3396">
      <w:pPr>
        <w:rPr>
          <w:rFonts w:ascii="Arial" w:eastAsia="Calibri" w:hAnsi="Arial" w:cs="Arial"/>
          <w:sz w:val="22"/>
          <w:szCs w:val="22"/>
          <w:lang w:val="es-ES"/>
        </w:rPr>
      </w:pPr>
    </w:p>
    <w:p w14:paraId="0FC4D2D9" w14:textId="77777777" w:rsidR="00A56086" w:rsidRDefault="00A56086" w:rsidP="00DD3396">
      <w:pPr>
        <w:rPr>
          <w:rFonts w:ascii="Arial" w:eastAsia="Calibri" w:hAnsi="Arial" w:cs="Arial"/>
          <w:sz w:val="22"/>
          <w:szCs w:val="22"/>
          <w:lang w:val="es-ES"/>
        </w:rPr>
      </w:pPr>
    </w:p>
    <w:p w14:paraId="45E49B4D" w14:textId="36FC3F3A" w:rsidR="002A2D9A" w:rsidRDefault="002A2D9A" w:rsidP="002A2D9A">
      <w:pPr>
        <w:jc w:val="right"/>
      </w:pPr>
      <w:r>
        <w:fldChar w:fldCharType="begin"/>
      </w:r>
      <w:r>
        <w:instrText xml:space="preserve"> INCLUDEPICTURE "/var/folders/tb/0fmk9b510f57pz5rwhv8lnpw0000gp/T/com.microsoft.Word/WebArchiveCopyPasteTempFiles/page1image23801424" \* MERGEFORMATINET </w:instrText>
      </w:r>
      <w:r>
        <w:fldChar w:fldCharType="separate"/>
      </w:r>
      <w:r>
        <w:rPr>
          <w:noProof/>
        </w:rPr>
        <w:drawing>
          <wp:inline distT="0" distB="0" distL="0" distR="0" wp14:anchorId="37835F1D" wp14:editId="17ABDAF9">
            <wp:extent cx="2403475" cy="614045"/>
            <wp:effectExtent l="0" t="0" r="0" b="0"/>
            <wp:docPr id="1" name="Imagen 1" descr="page1image238014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age1image2380142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403475" cy="614045"/>
                    </a:xfrm>
                    <a:prstGeom prst="rect">
                      <a:avLst/>
                    </a:prstGeom>
                    <a:noFill/>
                    <a:ln>
                      <a:noFill/>
                    </a:ln>
                  </pic:spPr>
                </pic:pic>
              </a:graphicData>
            </a:graphic>
          </wp:inline>
        </w:drawing>
      </w:r>
      <w:r>
        <w:fldChar w:fldCharType="end"/>
      </w:r>
    </w:p>
    <w:p w14:paraId="7ED9F97C" w14:textId="77777777" w:rsidR="00A56086" w:rsidRDefault="00A56086" w:rsidP="00DD3396">
      <w:pPr>
        <w:rPr>
          <w:rFonts w:ascii="Arial" w:eastAsia="Calibri" w:hAnsi="Arial" w:cs="Arial"/>
          <w:sz w:val="22"/>
          <w:szCs w:val="22"/>
          <w:lang w:val="es-ES"/>
        </w:rPr>
      </w:pPr>
    </w:p>
    <w:p w14:paraId="69FE747F" w14:textId="77777777" w:rsidR="00A56086" w:rsidRDefault="00A56086" w:rsidP="00DD3396">
      <w:pPr>
        <w:rPr>
          <w:rFonts w:ascii="Arial" w:eastAsia="Calibri" w:hAnsi="Arial" w:cs="Arial"/>
          <w:sz w:val="22"/>
          <w:szCs w:val="22"/>
          <w:lang w:val="es-ES"/>
        </w:rPr>
      </w:pPr>
    </w:p>
    <w:p w14:paraId="43041A3F" w14:textId="56A74492" w:rsidR="00DD3396" w:rsidRPr="00924DEF" w:rsidRDefault="00DD3396" w:rsidP="00DD3396">
      <w:pPr>
        <w:rPr>
          <w:rFonts w:ascii="Arial" w:eastAsia="Calibri" w:hAnsi="Arial" w:cs="Arial"/>
          <w:sz w:val="22"/>
          <w:szCs w:val="22"/>
          <w:lang w:val="es-ES"/>
        </w:rPr>
      </w:pPr>
      <w:r w:rsidRPr="006244FD">
        <w:rPr>
          <w:rFonts w:ascii="Arial" w:eastAsia="Calibri" w:hAnsi="Arial" w:cs="Arial"/>
          <w:sz w:val="22"/>
          <w:szCs w:val="22"/>
          <w:lang w:val="es-ES"/>
        </w:rPr>
        <w:t>Señor</w:t>
      </w:r>
      <w:r w:rsidR="008E4B35">
        <w:rPr>
          <w:rFonts w:ascii="Arial" w:eastAsia="Calibri" w:hAnsi="Arial" w:cs="Arial"/>
          <w:sz w:val="22"/>
          <w:szCs w:val="22"/>
          <w:lang w:val="es-ES"/>
        </w:rPr>
        <w:t>a</w:t>
      </w:r>
    </w:p>
    <w:p w14:paraId="0F6FCB44" w14:textId="533FB09F" w:rsidR="00DD3396" w:rsidRDefault="008E4B35" w:rsidP="00DD3396">
      <w:pPr>
        <w:rPr>
          <w:rFonts w:ascii="Arial" w:eastAsia="Calibri" w:hAnsi="Arial" w:cs="Arial"/>
          <w:b/>
          <w:bCs/>
          <w:sz w:val="22"/>
          <w:szCs w:val="22"/>
          <w:lang w:val="es-ES"/>
        </w:rPr>
      </w:pPr>
      <w:r>
        <w:rPr>
          <w:rFonts w:ascii="Arial" w:eastAsia="Calibri" w:hAnsi="Arial" w:cs="Arial"/>
          <w:b/>
          <w:bCs/>
          <w:sz w:val="22"/>
          <w:szCs w:val="22"/>
          <w:lang w:val="es-ES"/>
        </w:rPr>
        <w:t>Jessika Alexandra Ramos Molano</w:t>
      </w:r>
    </w:p>
    <w:p w14:paraId="4ED5A427" w14:textId="77777777" w:rsidR="00DD3396" w:rsidRPr="00924DEF" w:rsidRDefault="00DD3396" w:rsidP="00DD3396">
      <w:pPr>
        <w:rPr>
          <w:rFonts w:ascii="Arial" w:eastAsia="Calibri" w:hAnsi="Arial" w:cs="Arial"/>
          <w:sz w:val="22"/>
          <w:szCs w:val="22"/>
          <w:lang w:val="es-ES"/>
        </w:rPr>
      </w:pPr>
      <w:r>
        <w:rPr>
          <w:rFonts w:ascii="Arial" w:eastAsia="Calibri" w:hAnsi="Arial" w:cs="Arial"/>
          <w:sz w:val="22"/>
          <w:szCs w:val="22"/>
          <w:lang w:val="es-ES"/>
        </w:rPr>
        <w:t xml:space="preserve">Bogotá, D.C. </w:t>
      </w:r>
    </w:p>
    <w:p w14:paraId="75074BB3" w14:textId="77777777" w:rsidR="00DD3396" w:rsidRPr="00924DEF" w:rsidRDefault="00DD3396" w:rsidP="00DD3396">
      <w:pPr>
        <w:rPr>
          <w:rFonts w:ascii="Arial" w:eastAsia="Calibri" w:hAnsi="Arial" w:cs="Arial"/>
          <w:sz w:val="22"/>
          <w:szCs w:val="22"/>
          <w:lang w:val="es-ES"/>
        </w:rPr>
      </w:pPr>
    </w:p>
    <w:p w14:paraId="199F6E49" w14:textId="231F9DBB" w:rsidR="00DD3396" w:rsidRPr="00F35189" w:rsidRDefault="00DD3396" w:rsidP="00DD3396">
      <w:pPr>
        <w:rPr>
          <w:rFonts w:ascii="Arial" w:eastAsia="Calibri" w:hAnsi="Arial" w:cs="Arial"/>
          <w:b/>
          <w:sz w:val="22"/>
          <w:szCs w:val="22"/>
          <w:lang w:val="es-ES"/>
        </w:rPr>
      </w:pPr>
      <w:r w:rsidRPr="00924DEF">
        <w:rPr>
          <w:rFonts w:ascii="Arial" w:eastAsia="Calibri" w:hAnsi="Arial" w:cs="Arial"/>
          <w:b/>
          <w:sz w:val="22"/>
          <w:szCs w:val="22"/>
          <w:lang w:val="es-ES"/>
        </w:rPr>
        <w:t xml:space="preserve"> </w:t>
      </w:r>
      <w:r w:rsidRPr="00F35189">
        <w:rPr>
          <w:rFonts w:ascii="Arial" w:eastAsia="Calibri" w:hAnsi="Arial" w:cs="Arial"/>
          <w:b/>
          <w:sz w:val="22"/>
          <w:szCs w:val="22"/>
          <w:lang w:val="es-ES"/>
        </w:rPr>
        <w:t xml:space="preserve">                                        Concepto C – </w:t>
      </w:r>
      <w:r w:rsidR="00B2736A">
        <w:rPr>
          <w:rFonts w:ascii="Arial" w:eastAsia="Calibri" w:hAnsi="Arial" w:cs="Arial"/>
          <w:b/>
          <w:sz w:val="22"/>
          <w:szCs w:val="22"/>
          <w:lang w:val="es-ES"/>
        </w:rPr>
        <w:t>336</w:t>
      </w:r>
      <w:r w:rsidRPr="00F35189">
        <w:rPr>
          <w:rFonts w:ascii="Arial" w:eastAsia="Calibri" w:hAnsi="Arial" w:cs="Arial"/>
          <w:b/>
          <w:sz w:val="22"/>
          <w:szCs w:val="22"/>
          <w:lang w:val="es-ES"/>
        </w:rPr>
        <w:t xml:space="preserve"> de 2022</w:t>
      </w:r>
    </w:p>
    <w:p w14:paraId="1456B8CB" w14:textId="77777777" w:rsidR="00DD3396" w:rsidRPr="00F35189" w:rsidRDefault="00DD3396" w:rsidP="00DD3396">
      <w:pPr>
        <w:rPr>
          <w:rFonts w:ascii="Arial" w:eastAsia="Calibri" w:hAnsi="Arial" w:cs="Arial"/>
          <w:b/>
          <w:sz w:val="22"/>
          <w:szCs w:val="22"/>
          <w:lang w:val="es-ES"/>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552"/>
        <w:gridCol w:w="6374"/>
      </w:tblGrid>
      <w:tr w:rsidR="00DD3396" w:rsidRPr="00F35189" w14:paraId="5E976589" w14:textId="77777777" w:rsidTr="008A5DF2">
        <w:trPr>
          <w:trHeight w:val="550"/>
        </w:trPr>
        <w:tc>
          <w:tcPr>
            <w:tcW w:w="2552" w:type="dxa"/>
          </w:tcPr>
          <w:p w14:paraId="5DFC0827" w14:textId="77777777" w:rsidR="00DD3396" w:rsidRPr="00F35189" w:rsidRDefault="00DD3396" w:rsidP="008A5DF2">
            <w:pPr>
              <w:rPr>
                <w:rFonts w:ascii="Arial" w:eastAsia="Calibri" w:hAnsi="Arial" w:cs="Arial"/>
                <w:sz w:val="22"/>
                <w:szCs w:val="22"/>
                <w:lang w:val="es-ES"/>
              </w:rPr>
            </w:pPr>
            <w:r w:rsidRPr="00F35189">
              <w:rPr>
                <w:rFonts w:ascii="Arial" w:eastAsia="Calibri" w:hAnsi="Arial" w:cs="Arial"/>
                <w:b/>
                <w:sz w:val="22"/>
                <w:szCs w:val="22"/>
                <w:lang w:val="es-ES"/>
              </w:rPr>
              <w:t>Temas:</w:t>
            </w:r>
            <w:r w:rsidRPr="00F35189">
              <w:rPr>
                <w:rFonts w:ascii="Arial" w:eastAsia="Calibri" w:hAnsi="Arial" w:cs="Arial"/>
                <w:sz w:val="22"/>
                <w:szCs w:val="22"/>
                <w:lang w:val="es-ES"/>
              </w:rPr>
              <w:t xml:space="preserve">                                    </w:t>
            </w:r>
          </w:p>
        </w:tc>
        <w:tc>
          <w:tcPr>
            <w:tcW w:w="6374" w:type="dxa"/>
          </w:tcPr>
          <w:p w14:paraId="10DF38EC" w14:textId="0EF2CBEE" w:rsidR="001E528E" w:rsidRPr="00582B8C" w:rsidRDefault="002A64A3" w:rsidP="00F35189">
            <w:pPr>
              <w:jc w:val="both"/>
              <w:rPr>
                <w:rFonts w:ascii="Arial" w:eastAsia="Calibri" w:hAnsi="Arial" w:cs="Arial"/>
                <w:sz w:val="22"/>
                <w:szCs w:val="22"/>
                <w:lang w:val="es-MX"/>
              </w:rPr>
            </w:pPr>
            <w:r w:rsidRPr="00F35189">
              <w:rPr>
                <w:rFonts w:ascii="Arial" w:eastAsia="Calibri" w:hAnsi="Arial" w:cs="Arial"/>
                <w:sz w:val="22"/>
                <w:szCs w:val="22"/>
              </w:rPr>
              <w:t xml:space="preserve">DOCUMENTOS TIPO – Obligatoriedad / DOCUMENTO TIPO DE INFRAESTRUCTURA SOCIAL – Generalidades / </w:t>
            </w:r>
            <w:r w:rsidRPr="00F35189">
              <w:rPr>
                <w:rFonts w:ascii="Arial" w:eastAsia="Calibri" w:hAnsi="Arial" w:cs="Arial"/>
                <w:sz w:val="22"/>
                <w:szCs w:val="22"/>
                <w:lang w:val="es-MX"/>
              </w:rPr>
              <w:t>OBRA PÚBLICA – Definición – Objeto</w:t>
            </w:r>
          </w:p>
        </w:tc>
      </w:tr>
      <w:tr w:rsidR="00DD3396" w:rsidRPr="00F35189" w14:paraId="173B1FB9" w14:textId="77777777" w:rsidTr="008A5DF2">
        <w:tc>
          <w:tcPr>
            <w:tcW w:w="2552" w:type="dxa"/>
          </w:tcPr>
          <w:p w14:paraId="711F34A0" w14:textId="77777777" w:rsidR="00DD3396" w:rsidRPr="00F35189" w:rsidRDefault="00DD3396" w:rsidP="008A5DF2">
            <w:pPr>
              <w:rPr>
                <w:rFonts w:ascii="Arial" w:eastAsia="Calibri" w:hAnsi="Arial" w:cs="Arial"/>
                <w:sz w:val="22"/>
                <w:szCs w:val="22"/>
                <w:lang w:val="es-ES"/>
              </w:rPr>
            </w:pPr>
            <w:r w:rsidRPr="00F35189">
              <w:rPr>
                <w:rFonts w:ascii="Arial" w:eastAsia="Calibri" w:hAnsi="Arial" w:cs="Arial"/>
                <w:b/>
                <w:sz w:val="22"/>
                <w:szCs w:val="22"/>
                <w:lang w:val="es-ES"/>
              </w:rPr>
              <w:t>Radicación:</w:t>
            </w:r>
            <w:r w:rsidRPr="00F35189">
              <w:rPr>
                <w:rFonts w:ascii="Arial" w:eastAsia="Calibri" w:hAnsi="Arial" w:cs="Arial"/>
                <w:sz w:val="22"/>
                <w:szCs w:val="22"/>
                <w:lang w:val="es-ES"/>
              </w:rPr>
              <w:t xml:space="preserve">                              </w:t>
            </w:r>
          </w:p>
        </w:tc>
        <w:tc>
          <w:tcPr>
            <w:tcW w:w="6374" w:type="dxa"/>
          </w:tcPr>
          <w:p w14:paraId="5532C1A1" w14:textId="33404B41" w:rsidR="00DD3396" w:rsidRPr="00F35189" w:rsidRDefault="00DD3396" w:rsidP="008A5DF2">
            <w:pPr>
              <w:rPr>
                <w:rFonts w:ascii="Arial" w:eastAsia="Calibri" w:hAnsi="Arial" w:cs="Arial"/>
                <w:sz w:val="22"/>
                <w:szCs w:val="22"/>
                <w:lang w:val="es-ES"/>
              </w:rPr>
            </w:pPr>
            <w:r w:rsidRPr="00F35189">
              <w:rPr>
                <w:rFonts w:ascii="Arial" w:eastAsia="Calibri" w:hAnsi="Arial" w:cs="Arial"/>
                <w:sz w:val="22"/>
                <w:szCs w:val="22"/>
                <w:lang w:val="es-ES"/>
              </w:rPr>
              <w:t xml:space="preserve">Respuesta a consulta </w:t>
            </w:r>
            <w:r w:rsidR="00B2736A" w:rsidRPr="00B2736A">
              <w:rPr>
                <w:rFonts w:ascii="Arial" w:hAnsi="Arial" w:cs="Arial"/>
                <w:sz w:val="22"/>
                <w:szCs w:val="22"/>
              </w:rPr>
              <w:t>P20220411003644</w:t>
            </w:r>
          </w:p>
        </w:tc>
      </w:tr>
    </w:tbl>
    <w:p w14:paraId="523CB4B4" w14:textId="77777777" w:rsidR="00DD3396" w:rsidRPr="00924DEF" w:rsidRDefault="00DD3396" w:rsidP="00DD3396">
      <w:pPr>
        <w:spacing w:line="276" w:lineRule="auto"/>
        <w:rPr>
          <w:rFonts w:ascii="Arial" w:eastAsia="Calibri" w:hAnsi="Arial" w:cs="Arial"/>
          <w:sz w:val="22"/>
          <w:szCs w:val="22"/>
          <w:lang w:val="es-ES"/>
        </w:rPr>
      </w:pPr>
    </w:p>
    <w:p w14:paraId="7DED3594" w14:textId="77777777" w:rsidR="00DD3396" w:rsidRPr="00924DEF" w:rsidRDefault="00DD3396" w:rsidP="00DD3396">
      <w:pPr>
        <w:spacing w:line="276" w:lineRule="auto"/>
        <w:rPr>
          <w:rFonts w:ascii="Arial" w:eastAsia="Calibri" w:hAnsi="Arial" w:cs="Arial"/>
          <w:sz w:val="22"/>
          <w:szCs w:val="22"/>
          <w:lang w:val="es-ES"/>
        </w:rPr>
      </w:pPr>
    </w:p>
    <w:p w14:paraId="102D66F4" w14:textId="1985DB4B" w:rsidR="00DD3396" w:rsidRPr="00924DEF" w:rsidRDefault="00DD3396" w:rsidP="00DD3396">
      <w:pPr>
        <w:tabs>
          <w:tab w:val="left" w:pos="3736"/>
        </w:tabs>
        <w:spacing w:line="276" w:lineRule="auto"/>
        <w:rPr>
          <w:rFonts w:ascii="Arial" w:eastAsia="Calibri" w:hAnsi="Arial" w:cs="Arial"/>
          <w:sz w:val="22"/>
          <w:szCs w:val="22"/>
          <w:lang w:val="es-ES"/>
        </w:rPr>
      </w:pPr>
      <w:r w:rsidRPr="00924DEF">
        <w:rPr>
          <w:rFonts w:ascii="Arial" w:eastAsia="Calibri" w:hAnsi="Arial" w:cs="Arial"/>
          <w:sz w:val="22"/>
          <w:szCs w:val="22"/>
          <w:lang w:val="es-ES"/>
        </w:rPr>
        <w:t>Estimad</w:t>
      </w:r>
      <w:r w:rsidR="008E4B35">
        <w:rPr>
          <w:rFonts w:ascii="Arial" w:eastAsia="Calibri" w:hAnsi="Arial" w:cs="Arial"/>
          <w:sz w:val="22"/>
          <w:szCs w:val="22"/>
          <w:lang w:val="es-ES"/>
        </w:rPr>
        <w:t>a</w:t>
      </w:r>
      <w:r w:rsidRPr="00924DEF">
        <w:rPr>
          <w:rFonts w:ascii="Arial" w:eastAsia="Calibri" w:hAnsi="Arial" w:cs="Arial"/>
          <w:sz w:val="22"/>
          <w:szCs w:val="22"/>
          <w:lang w:val="es-ES"/>
        </w:rPr>
        <w:t xml:space="preserve"> señor</w:t>
      </w:r>
      <w:r w:rsidR="008E4B35">
        <w:rPr>
          <w:rFonts w:ascii="Arial" w:eastAsia="Calibri" w:hAnsi="Arial" w:cs="Arial"/>
          <w:sz w:val="22"/>
          <w:szCs w:val="22"/>
          <w:lang w:val="es-ES"/>
        </w:rPr>
        <w:t>a</w:t>
      </w:r>
      <w:r w:rsidRPr="00924DEF">
        <w:rPr>
          <w:rFonts w:ascii="Arial" w:eastAsia="Calibri" w:hAnsi="Arial" w:cs="Arial"/>
          <w:sz w:val="22"/>
          <w:szCs w:val="22"/>
          <w:lang w:val="es-ES"/>
        </w:rPr>
        <w:t xml:space="preserve"> </w:t>
      </w:r>
      <w:r w:rsidR="008E4B35">
        <w:rPr>
          <w:rFonts w:ascii="Arial" w:eastAsia="Calibri" w:hAnsi="Arial" w:cs="Arial"/>
          <w:sz w:val="22"/>
          <w:szCs w:val="22"/>
          <w:lang w:val="es-ES"/>
        </w:rPr>
        <w:t>Ramos</w:t>
      </w:r>
      <w:r w:rsidR="002A64A3">
        <w:rPr>
          <w:rFonts w:ascii="Arial" w:eastAsia="Calibri" w:hAnsi="Arial" w:cs="Arial"/>
          <w:sz w:val="22"/>
          <w:szCs w:val="22"/>
          <w:lang w:val="es-ES"/>
        </w:rPr>
        <w:t>:</w:t>
      </w:r>
      <w:r w:rsidRPr="00924DEF">
        <w:rPr>
          <w:rFonts w:ascii="Arial" w:eastAsia="Calibri" w:hAnsi="Arial" w:cs="Arial"/>
          <w:sz w:val="22"/>
          <w:szCs w:val="22"/>
          <w:lang w:val="es-ES"/>
        </w:rPr>
        <w:tab/>
      </w:r>
    </w:p>
    <w:p w14:paraId="38D35F9B" w14:textId="77777777" w:rsidR="00DD3396" w:rsidRPr="00924DEF" w:rsidRDefault="00DD3396" w:rsidP="00DD3396">
      <w:pPr>
        <w:spacing w:line="276" w:lineRule="auto"/>
        <w:rPr>
          <w:rFonts w:ascii="Arial" w:eastAsia="Calibri" w:hAnsi="Arial" w:cs="Arial"/>
          <w:sz w:val="22"/>
          <w:szCs w:val="22"/>
          <w:lang w:val="es-ES"/>
        </w:rPr>
      </w:pPr>
    </w:p>
    <w:p w14:paraId="2007834B" w14:textId="71787AFC" w:rsidR="00DD3396" w:rsidRPr="00924DEF" w:rsidRDefault="00DD3396" w:rsidP="00DD3396">
      <w:pPr>
        <w:spacing w:line="276" w:lineRule="auto"/>
        <w:jc w:val="both"/>
        <w:rPr>
          <w:rFonts w:ascii="Arial" w:eastAsia="Calibri" w:hAnsi="Arial" w:cs="Arial"/>
          <w:sz w:val="22"/>
          <w:szCs w:val="22"/>
          <w:lang w:val="es-ES"/>
        </w:rPr>
      </w:pPr>
      <w:r w:rsidRPr="00924DEF">
        <w:rPr>
          <w:rFonts w:ascii="Arial" w:eastAsia="Calibri" w:hAnsi="Arial" w:cs="Arial"/>
          <w:sz w:val="22"/>
          <w:szCs w:val="22"/>
          <w:lang w:val="es-ES"/>
        </w:rPr>
        <w:t>La Agencia Nacional de Contratación Pública – Colombia Compra Eficiente, en ejercicio de la competencia otorgada por el numeral 8 del artículo 11 y el numeral 5 del artículo 3 del Decreto Ley 4170 de 2011</w:t>
      </w:r>
      <w:r>
        <w:rPr>
          <w:rFonts w:ascii="Arial" w:eastAsia="Calibri" w:hAnsi="Arial" w:cs="Arial"/>
          <w:sz w:val="22"/>
          <w:szCs w:val="22"/>
          <w:lang w:val="es-ES"/>
        </w:rPr>
        <w:t xml:space="preserve">, </w:t>
      </w:r>
      <w:r w:rsidRPr="00924DEF">
        <w:rPr>
          <w:rFonts w:ascii="Arial" w:eastAsia="Calibri" w:hAnsi="Arial" w:cs="Arial"/>
          <w:sz w:val="22"/>
          <w:szCs w:val="22"/>
          <w:lang w:val="es-ES"/>
        </w:rPr>
        <w:t xml:space="preserve">responde a su consulta del </w:t>
      </w:r>
      <w:r w:rsidR="00862E0E">
        <w:rPr>
          <w:rFonts w:ascii="Arial" w:eastAsia="Calibri" w:hAnsi="Arial" w:cs="Arial"/>
          <w:sz w:val="22"/>
          <w:szCs w:val="22"/>
          <w:lang w:val="es-ES"/>
        </w:rPr>
        <w:t xml:space="preserve">11 de </w:t>
      </w:r>
      <w:r w:rsidR="008E4B35">
        <w:rPr>
          <w:rFonts w:ascii="Arial" w:eastAsia="Calibri" w:hAnsi="Arial" w:cs="Arial"/>
          <w:sz w:val="22"/>
          <w:szCs w:val="22"/>
          <w:lang w:val="es-ES"/>
        </w:rPr>
        <w:t>abril</w:t>
      </w:r>
      <w:r>
        <w:rPr>
          <w:rFonts w:ascii="Arial" w:eastAsia="Calibri" w:hAnsi="Arial" w:cs="Arial"/>
          <w:sz w:val="22"/>
          <w:szCs w:val="22"/>
          <w:lang w:val="es-ES"/>
        </w:rPr>
        <w:t xml:space="preserve"> de 2022.</w:t>
      </w:r>
    </w:p>
    <w:p w14:paraId="5B44A0BF" w14:textId="77777777" w:rsidR="00DD3396" w:rsidRPr="00924DEF" w:rsidRDefault="00DD3396" w:rsidP="00DD3396">
      <w:pPr>
        <w:pStyle w:val="Prrafodelista"/>
        <w:spacing w:line="276" w:lineRule="auto"/>
        <w:ind w:left="0"/>
        <w:rPr>
          <w:rFonts w:ascii="Arial" w:eastAsia="Calibri" w:hAnsi="Arial" w:cs="Arial"/>
          <w:sz w:val="22"/>
          <w:lang w:val="es-ES"/>
        </w:rPr>
      </w:pPr>
    </w:p>
    <w:p w14:paraId="72D7AAAE" w14:textId="77777777" w:rsidR="00DD3396" w:rsidRPr="00924DEF" w:rsidRDefault="00DD3396" w:rsidP="00DD3396">
      <w:pPr>
        <w:tabs>
          <w:tab w:val="left" w:pos="0"/>
        </w:tabs>
        <w:spacing w:line="276" w:lineRule="auto"/>
        <w:jc w:val="both"/>
        <w:rPr>
          <w:rFonts w:ascii="Arial" w:eastAsia="Calibri" w:hAnsi="Arial" w:cs="Arial"/>
          <w:b/>
          <w:sz w:val="22"/>
          <w:szCs w:val="22"/>
          <w:lang w:val="es-ES"/>
        </w:rPr>
      </w:pPr>
      <w:r w:rsidRPr="00924DEF">
        <w:rPr>
          <w:rFonts w:ascii="Arial" w:eastAsia="Calibri" w:hAnsi="Arial" w:cs="Arial"/>
          <w:b/>
          <w:sz w:val="22"/>
          <w:szCs w:val="22"/>
          <w:lang w:val="es-ES"/>
        </w:rPr>
        <w:t>1. Problema planteado</w:t>
      </w:r>
    </w:p>
    <w:p w14:paraId="313C2844" w14:textId="77777777" w:rsidR="00A56086" w:rsidRDefault="00A56086" w:rsidP="00A56086">
      <w:pPr>
        <w:pStyle w:val="NormalWeb"/>
        <w:spacing w:before="0" w:beforeAutospacing="0" w:after="0" w:afterAutospacing="0" w:line="276" w:lineRule="auto"/>
        <w:jc w:val="both"/>
        <w:rPr>
          <w:rFonts w:ascii="Arial" w:eastAsia="Calibri" w:hAnsi="Arial" w:cs="Arial"/>
          <w:sz w:val="22"/>
          <w:szCs w:val="22"/>
          <w:lang w:val="es-ES"/>
        </w:rPr>
      </w:pPr>
    </w:p>
    <w:p w14:paraId="48C8B6F7" w14:textId="64C9EAA8" w:rsidR="00582B8C" w:rsidRDefault="00DD3396" w:rsidP="00256BF9">
      <w:pPr>
        <w:pStyle w:val="NormalWeb"/>
        <w:spacing w:before="0" w:beforeAutospacing="0" w:after="0" w:afterAutospacing="0" w:line="276" w:lineRule="auto"/>
        <w:jc w:val="both"/>
        <w:rPr>
          <w:rFonts w:ascii="Arial" w:eastAsia="Calibri" w:hAnsi="Arial" w:cs="Arial"/>
          <w:sz w:val="22"/>
          <w:szCs w:val="22"/>
          <w:lang w:val="es-ES"/>
        </w:rPr>
      </w:pPr>
      <w:r w:rsidRPr="00B2736A">
        <w:rPr>
          <w:rFonts w:ascii="Arial" w:eastAsia="Calibri" w:hAnsi="Arial" w:cs="Arial"/>
          <w:sz w:val="22"/>
          <w:szCs w:val="22"/>
          <w:lang w:val="es-ES"/>
        </w:rPr>
        <w:t xml:space="preserve">Usted realiza la siguiente pregunta: </w:t>
      </w:r>
    </w:p>
    <w:p w14:paraId="038D1665" w14:textId="77777777" w:rsidR="00A56086" w:rsidRDefault="00A56086" w:rsidP="00A56086">
      <w:pPr>
        <w:pStyle w:val="NormalWeb"/>
        <w:spacing w:before="0" w:beforeAutospacing="0" w:after="0" w:afterAutospacing="0"/>
        <w:ind w:left="1134" w:right="900"/>
        <w:jc w:val="both"/>
        <w:rPr>
          <w:rFonts w:ascii="Arial" w:hAnsi="Arial" w:cs="Arial"/>
          <w:sz w:val="21"/>
          <w:szCs w:val="21"/>
        </w:rPr>
      </w:pPr>
    </w:p>
    <w:p w14:paraId="0FCE11AD" w14:textId="2C0EF29A" w:rsidR="001032B4" w:rsidRDefault="00DD3396" w:rsidP="00A56086">
      <w:pPr>
        <w:pStyle w:val="NormalWeb"/>
        <w:spacing w:before="0" w:beforeAutospacing="0" w:after="0" w:afterAutospacing="0"/>
        <w:ind w:left="709" w:right="709"/>
        <w:jc w:val="both"/>
        <w:rPr>
          <w:rFonts w:ascii="Arial" w:hAnsi="Arial" w:cs="Arial"/>
          <w:sz w:val="22"/>
          <w:szCs w:val="22"/>
        </w:rPr>
      </w:pPr>
      <w:r w:rsidRPr="00582B8C">
        <w:rPr>
          <w:rFonts w:ascii="Arial" w:hAnsi="Arial" w:cs="Arial"/>
          <w:sz w:val="21"/>
          <w:szCs w:val="21"/>
        </w:rPr>
        <w:t>«</w:t>
      </w:r>
      <w:r w:rsidR="00582B8C" w:rsidRPr="00582B8C">
        <w:rPr>
          <w:rFonts w:ascii="Arial" w:hAnsi="Arial" w:cs="Arial"/>
          <w:sz w:val="21"/>
          <w:szCs w:val="21"/>
        </w:rPr>
        <w:t xml:space="preserve">[…] </w:t>
      </w:r>
      <w:r w:rsidR="00B2736A" w:rsidRPr="00582B8C">
        <w:rPr>
          <w:rFonts w:ascii="Arial" w:hAnsi="Arial" w:cs="Arial"/>
          <w:sz w:val="21"/>
          <w:szCs w:val="21"/>
        </w:rPr>
        <w:t>solicito aclarar de manera formal si las plazas de mercado van incluidas dentro de las infraestructuras culturales de los pliegos tipo, ya que estos no se detallan inmersos en dichos documentos, solo habla de las plazas, plazoletas y plazuelas, pero como tal una plaza de mercado no se evidencia inmersa en estos, bien sea como una de las infraestructuras culturales que tienen que solicitarse por pliegos tipo o como una de las que se pueden acreditar en experiencia</w:t>
      </w:r>
      <w:r w:rsidRPr="00582B8C">
        <w:rPr>
          <w:rFonts w:ascii="Arial" w:hAnsi="Arial" w:cs="Arial"/>
          <w:sz w:val="21"/>
          <w:szCs w:val="21"/>
        </w:rPr>
        <w:t>».</w:t>
      </w:r>
      <w:r w:rsidRPr="00B2736A">
        <w:rPr>
          <w:rFonts w:ascii="Arial" w:hAnsi="Arial" w:cs="Arial"/>
          <w:sz w:val="22"/>
          <w:szCs w:val="22"/>
        </w:rPr>
        <w:t xml:space="preserve"> </w:t>
      </w:r>
    </w:p>
    <w:p w14:paraId="547DCBCB" w14:textId="77777777" w:rsidR="00A56086" w:rsidRPr="00B2736A" w:rsidRDefault="00A56086" w:rsidP="00256BF9">
      <w:pPr>
        <w:pStyle w:val="NormalWeb"/>
        <w:spacing w:before="0" w:beforeAutospacing="0" w:after="0" w:afterAutospacing="0"/>
        <w:ind w:left="709" w:right="709"/>
        <w:jc w:val="both"/>
        <w:rPr>
          <w:rFonts w:ascii="Arial" w:hAnsi="Arial" w:cs="Arial"/>
          <w:sz w:val="22"/>
          <w:szCs w:val="22"/>
        </w:rPr>
      </w:pPr>
    </w:p>
    <w:p w14:paraId="0439D80B" w14:textId="0543A999" w:rsidR="00DD3396" w:rsidRDefault="00DD3396" w:rsidP="00DD3396">
      <w:pPr>
        <w:spacing w:line="276" w:lineRule="auto"/>
        <w:jc w:val="both"/>
        <w:rPr>
          <w:rFonts w:ascii="Arial" w:eastAsia="Calibri" w:hAnsi="Arial" w:cs="Arial"/>
          <w:b/>
          <w:sz w:val="22"/>
          <w:szCs w:val="22"/>
          <w:lang w:val="es-ES"/>
        </w:rPr>
      </w:pPr>
      <w:r w:rsidRPr="00924DEF">
        <w:rPr>
          <w:rFonts w:ascii="Arial" w:eastAsia="Calibri" w:hAnsi="Arial" w:cs="Arial"/>
          <w:b/>
          <w:sz w:val="22"/>
          <w:szCs w:val="22"/>
          <w:lang w:val="es-ES"/>
        </w:rPr>
        <w:t>2. Consideraciones</w:t>
      </w:r>
    </w:p>
    <w:p w14:paraId="3A21D8E4" w14:textId="77777777" w:rsidR="00DD3396" w:rsidRDefault="00DD3396" w:rsidP="00DD3396">
      <w:pPr>
        <w:rPr>
          <w:rFonts w:ascii="Arial" w:hAnsi="Arial" w:cs="Arial"/>
          <w:bCs/>
          <w:sz w:val="22"/>
        </w:rPr>
      </w:pPr>
    </w:p>
    <w:p w14:paraId="3F8A73D3" w14:textId="77777777" w:rsidR="00DD3396" w:rsidRPr="00162BC5" w:rsidRDefault="00DD3396" w:rsidP="00DD3396">
      <w:pPr>
        <w:spacing w:after="120" w:line="276" w:lineRule="auto"/>
        <w:jc w:val="both"/>
        <w:rPr>
          <w:rFonts w:ascii="Arial" w:hAnsi="Arial" w:cs="Arial"/>
          <w:sz w:val="22"/>
          <w:lang w:val="es-ES"/>
        </w:rPr>
      </w:pPr>
      <w:r w:rsidRPr="00162BC5">
        <w:rPr>
          <w:rFonts w:ascii="Arial" w:hAnsi="Arial" w:cs="Arial"/>
          <w:bCs/>
          <w:sz w:val="22"/>
        </w:rPr>
        <w:t xml:space="preserve">En ejercicio de las competencias </w:t>
      </w:r>
      <w:r>
        <w:rPr>
          <w:rFonts w:ascii="Arial" w:hAnsi="Arial" w:cs="Arial"/>
          <w:bCs/>
          <w:sz w:val="22"/>
        </w:rPr>
        <w:t>establecidas</w:t>
      </w:r>
      <w:r w:rsidRPr="00162BC5">
        <w:rPr>
          <w:rFonts w:ascii="Arial" w:hAnsi="Arial" w:cs="Arial"/>
          <w:bCs/>
          <w:sz w:val="22"/>
        </w:rPr>
        <w:t xml:space="preserve"> en los artículos 3</w:t>
      </w:r>
      <w:r>
        <w:rPr>
          <w:rFonts w:ascii="Arial" w:hAnsi="Arial" w:cs="Arial"/>
          <w:bCs/>
          <w:sz w:val="22"/>
        </w:rPr>
        <w:t>.</w:t>
      </w:r>
      <w:r w:rsidRPr="00162BC5">
        <w:rPr>
          <w:rFonts w:ascii="Arial" w:hAnsi="Arial" w:cs="Arial"/>
          <w:bCs/>
          <w:sz w:val="22"/>
        </w:rPr>
        <w:t>5</w:t>
      </w:r>
      <w:r>
        <w:rPr>
          <w:rFonts w:ascii="Arial" w:hAnsi="Arial" w:cs="Arial"/>
          <w:bCs/>
          <w:sz w:val="22"/>
        </w:rPr>
        <w:t xml:space="preserve"> y</w:t>
      </w:r>
      <w:r w:rsidRPr="00162BC5">
        <w:rPr>
          <w:rFonts w:ascii="Arial" w:hAnsi="Arial" w:cs="Arial"/>
          <w:bCs/>
          <w:sz w:val="22"/>
        </w:rPr>
        <w:t xml:space="preserve"> 11</w:t>
      </w:r>
      <w:r>
        <w:rPr>
          <w:rFonts w:ascii="Arial" w:hAnsi="Arial" w:cs="Arial"/>
          <w:bCs/>
          <w:sz w:val="22"/>
        </w:rPr>
        <w:t>.</w:t>
      </w:r>
      <w:r w:rsidRPr="00162BC5">
        <w:rPr>
          <w:rFonts w:ascii="Arial" w:hAnsi="Arial" w:cs="Arial"/>
          <w:bCs/>
          <w:sz w:val="22"/>
        </w:rPr>
        <w:t>8</w:t>
      </w:r>
      <w:r>
        <w:rPr>
          <w:rFonts w:ascii="Arial" w:hAnsi="Arial" w:cs="Arial"/>
          <w:bCs/>
          <w:sz w:val="22"/>
        </w:rPr>
        <w:t xml:space="preserve"> </w:t>
      </w:r>
      <w:r w:rsidRPr="00162BC5">
        <w:rPr>
          <w:rFonts w:ascii="Arial" w:hAnsi="Arial" w:cs="Arial"/>
          <w:bCs/>
          <w:sz w:val="22"/>
        </w:rPr>
        <w:t>del Decreto 4170 de 2011, la Agencia Nacional de Contratación Pública – Colombia Compra Eficiente resuelve las consultas sobre los asuntos de su competencia, esto es, sobre las temáticas de la contratación estatal y compras públicas relacionadas en los artículos citados</w:t>
      </w:r>
      <w:r>
        <w:rPr>
          <w:rFonts w:ascii="Arial" w:hAnsi="Arial" w:cs="Arial"/>
          <w:bCs/>
          <w:sz w:val="22"/>
        </w:rPr>
        <w:t xml:space="preserve">. </w:t>
      </w:r>
      <w:bookmarkStart w:id="0" w:name="_Hlk61701014"/>
      <w:r>
        <w:rPr>
          <w:rFonts w:ascii="Arial" w:hAnsi="Arial" w:cs="Arial"/>
          <w:bCs/>
          <w:sz w:val="22"/>
        </w:rPr>
        <w:t xml:space="preserve"> </w:t>
      </w:r>
      <w:r>
        <w:rPr>
          <w:rFonts w:ascii="Arial" w:hAnsi="Arial" w:cs="Arial"/>
          <w:sz w:val="22"/>
          <w:lang w:val="es-ES"/>
        </w:rPr>
        <w:t>E</w:t>
      </w:r>
      <w:r w:rsidRPr="00162BC5">
        <w:rPr>
          <w:rFonts w:ascii="Arial" w:hAnsi="Arial" w:cs="Arial"/>
          <w:sz w:val="22"/>
          <w:lang w:val="es-ES"/>
        </w:rPr>
        <w:t xml:space="preserve">s necesario tener en cuenta que </w:t>
      </w:r>
      <w:bookmarkStart w:id="1" w:name="_Hlk61026958"/>
      <w:r w:rsidRPr="00162BC5">
        <w:rPr>
          <w:rFonts w:ascii="Arial" w:hAnsi="Arial" w:cs="Arial"/>
          <w:sz w:val="22"/>
          <w:lang w:val="es-ES"/>
        </w:rPr>
        <w:t xml:space="preserve">esta </w:t>
      </w:r>
      <w:r>
        <w:rPr>
          <w:rFonts w:ascii="Arial" w:hAnsi="Arial" w:cs="Arial"/>
          <w:sz w:val="22"/>
          <w:lang w:val="es-ES"/>
        </w:rPr>
        <w:t>e</w:t>
      </w:r>
      <w:r w:rsidRPr="00162BC5">
        <w:rPr>
          <w:rFonts w:ascii="Arial" w:hAnsi="Arial" w:cs="Arial"/>
          <w:sz w:val="22"/>
          <w:lang w:val="es-ES"/>
        </w:rPr>
        <w:t xml:space="preserve">ntidad solo tiene competencia para responder </w:t>
      </w:r>
      <w:r w:rsidRPr="00162BC5">
        <w:rPr>
          <w:rFonts w:ascii="Arial" w:hAnsi="Arial" w:cs="Arial"/>
          <w:sz w:val="22"/>
          <w:lang w:val="es-ES"/>
        </w:rPr>
        <w:lastRenderedPageBreak/>
        <w:t>solicitudes sobre la aplicación de normas de carácter general en materia de compras y contratación pública. En ese sentido, resolver casos particulares desborda las atribuciones asignada</w:t>
      </w:r>
      <w:r>
        <w:rPr>
          <w:rFonts w:ascii="Arial" w:hAnsi="Arial" w:cs="Arial"/>
          <w:sz w:val="22"/>
          <w:lang w:val="es-ES"/>
        </w:rPr>
        <w:t>s</w:t>
      </w:r>
      <w:r w:rsidRPr="00162BC5">
        <w:rPr>
          <w:rFonts w:ascii="Arial" w:hAnsi="Arial" w:cs="Arial"/>
          <w:sz w:val="22"/>
          <w:lang w:val="es-ES"/>
        </w:rPr>
        <w:t xml:space="preserve"> por el legislador extraordinario, que no concibió a Colombia Compra Eficiente como una autoridad para solucionar problemas jurídicos particulares</w:t>
      </w:r>
      <w:r>
        <w:rPr>
          <w:rFonts w:ascii="Arial" w:hAnsi="Arial" w:cs="Arial"/>
          <w:bCs/>
          <w:sz w:val="22"/>
        </w:rPr>
        <w:t xml:space="preserve"> de todos los partícipes de la contratación estatal.</w:t>
      </w:r>
    </w:p>
    <w:p w14:paraId="3D8A4D0E" w14:textId="03D78C7A" w:rsidR="00DD3396" w:rsidRDefault="00DD3396" w:rsidP="00DD3396">
      <w:pPr>
        <w:spacing w:after="120" w:line="276" w:lineRule="auto"/>
        <w:ind w:firstLine="708"/>
        <w:jc w:val="both"/>
        <w:rPr>
          <w:rFonts w:ascii="Arial" w:hAnsi="Arial" w:cs="Arial"/>
          <w:sz w:val="22"/>
          <w:lang w:val="es-ES"/>
        </w:rPr>
      </w:pPr>
      <w:r w:rsidRPr="00162BC5">
        <w:rPr>
          <w:rFonts w:ascii="Arial" w:hAnsi="Arial" w:cs="Arial"/>
          <w:sz w:val="22"/>
          <w:lang w:val="es-ES"/>
        </w:rPr>
        <w:t>La competencia de esta entidad se fija con límites claros, con el objeto de evitar que la Agencia actúe como una instancia de validación de las actuaciones de las entidades sujetas a la Ley 80 de 1993 o de los demás participantes de la contratación pública</w:t>
      </w:r>
      <w:r w:rsidRPr="00162BC5">
        <w:rPr>
          <w:rFonts w:ascii="Arial" w:hAnsi="Arial" w:cs="Arial"/>
          <w:sz w:val="22"/>
          <w:vertAlign w:val="superscript"/>
          <w:lang w:val="es-ES"/>
        </w:rPr>
        <w:footnoteReference w:id="1"/>
      </w:r>
      <w:r w:rsidRPr="00162BC5">
        <w:rPr>
          <w:rFonts w:ascii="Arial" w:hAnsi="Arial" w:cs="Arial"/>
          <w:sz w:val="22"/>
          <w:lang w:val="es-ES"/>
        </w:rPr>
        <w:t xml:space="preserve">. Esta competencia de interpretación de normas generales, por definición, no puede extenderse a la resolución de controversias, ni a brindar asesorías sobre casos puntuales. </w:t>
      </w:r>
      <w:r>
        <w:rPr>
          <w:rFonts w:ascii="Arial" w:hAnsi="Arial" w:cs="Arial"/>
          <w:sz w:val="22"/>
          <w:lang w:val="es-ES"/>
        </w:rPr>
        <w:t>Esto</w:t>
      </w:r>
      <w:r w:rsidRPr="00162BC5">
        <w:rPr>
          <w:rFonts w:ascii="Arial" w:hAnsi="Arial" w:cs="Arial"/>
          <w:sz w:val="22"/>
          <w:lang w:val="es-ES"/>
        </w:rPr>
        <w:t xml:space="preserve"> en la medida en </w:t>
      </w:r>
      <w:r w:rsidR="00F35189" w:rsidRPr="00162BC5">
        <w:rPr>
          <w:rFonts w:ascii="Arial" w:hAnsi="Arial" w:cs="Arial"/>
          <w:sz w:val="22"/>
          <w:lang w:val="es-ES"/>
        </w:rPr>
        <w:t>que,</w:t>
      </w:r>
      <w:r w:rsidRPr="00162BC5">
        <w:rPr>
          <w:rFonts w:ascii="Arial" w:hAnsi="Arial" w:cs="Arial"/>
          <w:sz w:val="22"/>
          <w:lang w:val="es-ES"/>
        </w:rPr>
        <w:t xml:space="preserve"> para resolver una consulta de carácter particular, además de conocer un sinnúmero de detalles de la actuación administrativa, es necesario acceder al expediente y a los documentos del procedimiento contractual donde surge la inquietud</w:t>
      </w:r>
      <w:bookmarkEnd w:id="1"/>
      <w:r>
        <w:rPr>
          <w:rFonts w:ascii="Arial" w:hAnsi="Arial" w:cs="Arial"/>
          <w:sz w:val="22"/>
          <w:lang w:val="es-ES"/>
        </w:rPr>
        <w:t xml:space="preserve">. Por lo anterior, previo concepto de sus órganos asesores, la solución de estos temas corresponde a la entidad que adelanta el procedimiento de selección y, en caso de conflicto, a las autoridades judiciales, fiscales y disciplinarias. </w:t>
      </w:r>
      <w:bookmarkEnd w:id="0"/>
    </w:p>
    <w:p w14:paraId="7C4EE89D" w14:textId="366CA2A8" w:rsidR="00A10A6F" w:rsidRDefault="00DD3396" w:rsidP="00A10A6F">
      <w:pPr>
        <w:pStyle w:val="Normal11pt"/>
        <w:spacing w:after="120" w:line="276" w:lineRule="auto"/>
        <w:ind w:left="0" w:firstLine="708"/>
        <w:rPr>
          <w:rFonts w:eastAsia="Calibri"/>
          <w:color w:val="auto"/>
          <w:lang w:val="es-ES"/>
        </w:rPr>
      </w:pPr>
      <w:r>
        <w:rPr>
          <w:rFonts w:eastAsia="Calibri"/>
        </w:rPr>
        <w:t xml:space="preserve">Sin perjuicio de lo anterior, dentro de los límites de las atribuciones de la función consultiva atribuida a esta entidad, esto es, interpretando de manera general las normas relevantes, la Agencia </w:t>
      </w:r>
      <w:r w:rsidRPr="00DA403A">
        <w:rPr>
          <w:rFonts w:eastAsia="Calibri"/>
        </w:rPr>
        <w:t>absolver</w:t>
      </w:r>
      <w:r>
        <w:rPr>
          <w:rFonts w:eastAsia="Calibri"/>
        </w:rPr>
        <w:t>á</w:t>
      </w:r>
      <w:r w:rsidRPr="00DA403A">
        <w:rPr>
          <w:rFonts w:eastAsia="Calibri"/>
        </w:rPr>
        <w:t xml:space="preserve"> los interrogantes formulados, </w:t>
      </w:r>
      <w:r>
        <w:rPr>
          <w:rFonts w:eastAsia="Calibri"/>
        </w:rPr>
        <w:t>previo análisis</w:t>
      </w:r>
      <w:r w:rsidRPr="00DA403A">
        <w:rPr>
          <w:rFonts w:eastAsia="Calibri"/>
        </w:rPr>
        <w:t xml:space="preserve"> </w:t>
      </w:r>
      <w:r>
        <w:rPr>
          <w:rFonts w:eastAsia="Calibri"/>
        </w:rPr>
        <w:t xml:space="preserve">de </w:t>
      </w:r>
      <w:r w:rsidRPr="00DA403A">
        <w:rPr>
          <w:rFonts w:eastAsia="Calibri"/>
        </w:rPr>
        <w:t>los siguientes temas:</w:t>
      </w:r>
      <w:r>
        <w:rPr>
          <w:rFonts w:eastAsia="Calibri"/>
        </w:rPr>
        <w:t xml:space="preserve"> </w:t>
      </w:r>
      <w:r w:rsidRPr="00DA403A">
        <w:rPr>
          <w:rFonts w:eastAsia="Calibri"/>
        </w:rPr>
        <w:t xml:space="preserve">i) </w:t>
      </w:r>
      <w:r w:rsidR="00052A18">
        <w:rPr>
          <w:rFonts w:eastAsia="Calibri"/>
        </w:rPr>
        <w:t xml:space="preserve">fundamentos jurídicos y evolución normativa de los documentos tipo, </w:t>
      </w:r>
      <w:proofErr w:type="spellStart"/>
      <w:r w:rsidR="00052A18">
        <w:rPr>
          <w:rFonts w:eastAsia="Calibri"/>
        </w:rPr>
        <w:t>ii</w:t>
      </w:r>
      <w:proofErr w:type="spellEnd"/>
      <w:r w:rsidR="00052A18" w:rsidRPr="00052A18">
        <w:rPr>
          <w:rFonts w:eastAsia="Calibri"/>
        </w:rPr>
        <w:t xml:space="preserve">) </w:t>
      </w:r>
      <w:r w:rsidR="00F11318">
        <w:rPr>
          <w:rFonts w:eastAsia="Calibri"/>
        </w:rPr>
        <w:t>i</w:t>
      </w:r>
      <w:r w:rsidR="00F11318" w:rsidRPr="00F11318">
        <w:rPr>
          <w:rFonts w:eastAsia="Calibri"/>
        </w:rPr>
        <w:t>mplementación y ámbito de aplicación de los documentos tipo de licitación de obra pública de infraestructura social</w:t>
      </w:r>
      <w:r w:rsidR="00F11318">
        <w:rPr>
          <w:rFonts w:eastAsia="Calibri"/>
        </w:rPr>
        <w:t xml:space="preserve"> y</w:t>
      </w:r>
      <w:r w:rsidR="00F11318" w:rsidRPr="00F11318">
        <w:rPr>
          <w:rFonts w:eastAsia="Calibri"/>
        </w:rPr>
        <w:t xml:space="preserve"> </w:t>
      </w:r>
      <w:r w:rsidR="00F11318">
        <w:rPr>
          <w:rFonts w:eastAsia="Calibri"/>
        </w:rPr>
        <w:t>n</w:t>
      </w:r>
      <w:r w:rsidR="00F11318" w:rsidRPr="00F11318">
        <w:rPr>
          <w:rFonts w:eastAsia="Calibri"/>
        </w:rPr>
        <w:t xml:space="preserve">ociones de infraestructura cultural, plazas, plazuelas y plazoletas.  </w:t>
      </w:r>
    </w:p>
    <w:p w14:paraId="05DC4D56" w14:textId="40DEB5C4" w:rsidR="00A10A6F" w:rsidRPr="0008465D" w:rsidRDefault="00A10A6F" w:rsidP="00A10A6F">
      <w:pPr>
        <w:pStyle w:val="Prrafodelista"/>
        <w:spacing w:line="276" w:lineRule="auto"/>
        <w:ind w:left="0" w:firstLine="708"/>
        <w:jc w:val="both"/>
        <w:rPr>
          <w:rFonts w:ascii="Arial" w:eastAsia="Calibri" w:hAnsi="Arial" w:cs="Arial"/>
          <w:sz w:val="22"/>
          <w:lang w:val="es-ES"/>
        </w:rPr>
      </w:pPr>
      <w:r w:rsidRPr="00B60E43">
        <w:rPr>
          <w:rFonts w:ascii="Arial" w:hAnsi="Arial" w:cs="Arial"/>
          <w:sz w:val="22"/>
          <w:lang w:val="es-ES_tradnl"/>
        </w:rPr>
        <w:t>La Agencia Nacional de Contratación Pública – Colombia Compra Eficiente se pronunció sobre</w:t>
      </w:r>
      <w:r>
        <w:rPr>
          <w:rFonts w:ascii="Arial" w:hAnsi="Arial" w:cs="Arial"/>
          <w:sz w:val="22"/>
          <w:lang w:val="es-ES_tradnl"/>
        </w:rPr>
        <w:t xml:space="preserve"> la definición y el alcance de</w:t>
      </w:r>
      <w:r w:rsidRPr="00B60E43">
        <w:rPr>
          <w:rFonts w:ascii="Arial" w:hAnsi="Arial" w:cs="Arial"/>
          <w:sz w:val="22"/>
          <w:lang w:val="es-ES_tradnl"/>
        </w:rPr>
        <w:t xml:space="preserve"> </w:t>
      </w:r>
      <w:r>
        <w:rPr>
          <w:rFonts w:ascii="Arial" w:hAnsi="Arial" w:cs="Arial"/>
          <w:sz w:val="22"/>
          <w:lang w:val="es-ES_tradnl"/>
        </w:rPr>
        <w:t xml:space="preserve">los documentos tipo en las siguientes consultas </w:t>
      </w:r>
      <w:r w:rsidRPr="00B7578A">
        <w:rPr>
          <w:rFonts w:ascii="Arial" w:hAnsi="Arial" w:cs="Arial"/>
          <w:color w:val="000000"/>
          <w:sz w:val="22"/>
          <w:shd w:val="clear" w:color="auto" w:fill="FFFFFF"/>
        </w:rPr>
        <w:t xml:space="preserve">C-144 </w:t>
      </w:r>
      <w:r w:rsidRPr="003501B8">
        <w:rPr>
          <w:rFonts w:ascii="Arial" w:hAnsi="Arial" w:cs="Arial"/>
          <w:color w:val="000000"/>
          <w:sz w:val="22"/>
          <w:shd w:val="clear" w:color="auto" w:fill="FFFFFF"/>
        </w:rPr>
        <w:t>del 2 de marzo de 2020, C-143 del 18 de marzo de 2020, C-286 del 26 de mayo de 2020, C-450 del 3 de agosto de 2020, C-643 del 26 de octubre de 2020,</w:t>
      </w:r>
      <w:r w:rsidRPr="003501B8">
        <w:rPr>
          <w:rFonts w:ascii="Arial" w:hAnsi="Arial" w:cs="Arial"/>
          <w:sz w:val="22"/>
        </w:rPr>
        <w:t xml:space="preserve"> C-773 del 14 de enero de 2021, C-789 del 19 de enero de 2021,</w:t>
      </w:r>
      <w:r w:rsidRPr="003501B8">
        <w:rPr>
          <w:rFonts w:ascii="Arial" w:hAnsi="Arial" w:cs="Arial"/>
          <w:color w:val="000000"/>
          <w:sz w:val="22"/>
          <w:shd w:val="clear" w:color="auto" w:fill="FFFFFF"/>
        </w:rPr>
        <w:t xml:space="preserve"> C-064 del 8 de marzo de 2021 y C-157 del 13 de abril del 2021, C-244 del 4 de mayo de 2021, C-224 del 20 de mayo de 2020, C-233 </w:t>
      </w:r>
      <w:r w:rsidRPr="003501B8">
        <w:rPr>
          <w:rFonts w:ascii="Arial" w:hAnsi="Arial" w:cs="Arial"/>
          <w:color w:val="000000"/>
          <w:sz w:val="22"/>
          <w:shd w:val="clear" w:color="auto" w:fill="FFFFFF"/>
        </w:rPr>
        <w:lastRenderedPageBreak/>
        <w:t>del 24 de mayo de 2021</w:t>
      </w:r>
      <w:r>
        <w:rPr>
          <w:rFonts w:ascii="Arial" w:hAnsi="Arial" w:cs="Arial"/>
          <w:color w:val="000000"/>
          <w:sz w:val="22"/>
          <w:shd w:val="clear" w:color="auto" w:fill="FFFFFF"/>
        </w:rPr>
        <w:t xml:space="preserve">, C-251 del 2 de junio de 2021 y C-273 del 11 de junio de 2021. </w:t>
      </w:r>
      <w:r w:rsidRPr="0016149E">
        <w:rPr>
          <w:rFonts w:ascii="Arial" w:eastAsia="Calibri" w:hAnsi="Arial" w:cs="Arial"/>
          <w:sz w:val="22"/>
        </w:rPr>
        <w:t xml:space="preserve">Las tesis desarrolladas en estos conceptos se </w:t>
      </w:r>
      <w:r>
        <w:rPr>
          <w:rFonts w:ascii="Arial" w:eastAsia="Calibri" w:hAnsi="Arial" w:cs="Arial"/>
          <w:sz w:val="22"/>
        </w:rPr>
        <w:t>reiteran</w:t>
      </w:r>
      <w:r w:rsidRPr="0016149E">
        <w:rPr>
          <w:rFonts w:ascii="Arial" w:eastAsia="Calibri" w:hAnsi="Arial" w:cs="Arial"/>
          <w:sz w:val="22"/>
        </w:rPr>
        <w:t xml:space="preserve"> a continuación</w:t>
      </w:r>
      <w:r>
        <w:rPr>
          <w:rFonts w:ascii="Arial" w:eastAsia="Calibri" w:hAnsi="Arial" w:cs="Arial"/>
          <w:sz w:val="22"/>
        </w:rPr>
        <w:t xml:space="preserve"> </w:t>
      </w:r>
      <w:r>
        <w:rPr>
          <w:rFonts w:ascii="Arial" w:hAnsi="Arial" w:cs="Arial"/>
          <w:bCs/>
          <w:color w:val="000000" w:themeColor="text1"/>
          <w:sz w:val="22"/>
        </w:rPr>
        <w:t xml:space="preserve">y se complementan en lo pertinente, respecto a </w:t>
      </w:r>
      <w:r w:rsidR="00AC415E">
        <w:rPr>
          <w:rFonts w:ascii="Arial" w:hAnsi="Arial" w:cs="Arial"/>
          <w:bCs/>
          <w:color w:val="000000" w:themeColor="text1"/>
          <w:sz w:val="22"/>
        </w:rPr>
        <w:t xml:space="preserve">los documentos tipo de infraestructura social se ha pronunciado la agencia en concepto C-375 de 27 de septiembre de 2021. </w:t>
      </w:r>
    </w:p>
    <w:p w14:paraId="28AD0635" w14:textId="77777777" w:rsidR="00F35189" w:rsidRPr="00293834" w:rsidRDefault="00F35189" w:rsidP="00052A18">
      <w:pPr>
        <w:widowControl w:val="0"/>
        <w:autoSpaceDE w:val="0"/>
        <w:autoSpaceDN w:val="0"/>
        <w:spacing w:line="276" w:lineRule="auto"/>
        <w:ind w:right="112"/>
        <w:jc w:val="both"/>
        <w:rPr>
          <w:rFonts w:ascii="Arial" w:eastAsia="Arial" w:hAnsi="Arial" w:cs="Arial"/>
          <w:sz w:val="22"/>
          <w:szCs w:val="22"/>
          <w:lang w:val="es-ES" w:eastAsia="en-US"/>
        </w:rPr>
      </w:pPr>
    </w:p>
    <w:p w14:paraId="4D920D23" w14:textId="77777777" w:rsidR="00862E0E" w:rsidRPr="00AB6A5E" w:rsidRDefault="00862E0E" w:rsidP="00862E0E">
      <w:pPr>
        <w:spacing w:line="276" w:lineRule="auto"/>
        <w:jc w:val="both"/>
        <w:rPr>
          <w:rFonts w:ascii="Arial" w:hAnsi="Arial" w:cs="Arial"/>
          <w:b/>
          <w:bCs/>
          <w:sz w:val="22"/>
          <w:szCs w:val="22"/>
          <w:lang w:val="es-ES"/>
        </w:rPr>
      </w:pPr>
      <w:r w:rsidRPr="00AB6A5E">
        <w:rPr>
          <w:rFonts w:ascii="Arial" w:eastAsia="Calibri" w:hAnsi="Arial" w:cs="Arial"/>
          <w:b/>
          <w:bCs/>
          <w:sz w:val="22"/>
          <w:szCs w:val="22"/>
          <w:lang w:val="es-ES"/>
        </w:rPr>
        <w:t>2.1.</w:t>
      </w:r>
      <w:r w:rsidRPr="00AB6A5E">
        <w:rPr>
          <w:rFonts w:ascii="Arial" w:hAnsi="Arial" w:cs="Arial"/>
          <w:b/>
          <w:bCs/>
          <w:sz w:val="22"/>
          <w:szCs w:val="22"/>
          <w:lang w:val="es-ES"/>
        </w:rPr>
        <w:t xml:space="preserve"> Fundamentos jurídicos y evolución normativa de los documentos tipo</w:t>
      </w:r>
      <w:r w:rsidRPr="00AB6A5E" w:rsidDel="00E82F6A">
        <w:rPr>
          <w:rFonts w:ascii="Arial" w:hAnsi="Arial" w:cs="Arial"/>
          <w:b/>
          <w:bCs/>
          <w:sz w:val="22"/>
          <w:szCs w:val="22"/>
          <w:lang w:val="es-ES"/>
        </w:rPr>
        <w:t xml:space="preserve"> </w:t>
      </w:r>
    </w:p>
    <w:p w14:paraId="770ED991" w14:textId="77777777" w:rsidR="00862E0E" w:rsidRPr="00AB6A5E" w:rsidRDefault="00862E0E" w:rsidP="00862E0E">
      <w:pPr>
        <w:spacing w:line="276" w:lineRule="auto"/>
        <w:jc w:val="both"/>
        <w:rPr>
          <w:rFonts w:ascii="Arial" w:hAnsi="Arial" w:cs="Arial"/>
          <w:sz w:val="22"/>
          <w:szCs w:val="22"/>
          <w:lang w:val="es-ES"/>
        </w:rPr>
      </w:pPr>
    </w:p>
    <w:p w14:paraId="0FBD986C" w14:textId="77777777" w:rsidR="00862E0E" w:rsidRPr="00AB6A5E" w:rsidRDefault="00862E0E" w:rsidP="00862E0E">
      <w:pPr>
        <w:spacing w:after="120" w:line="276" w:lineRule="auto"/>
        <w:jc w:val="both"/>
        <w:rPr>
          <w:rFonts w:ascii="Arial" w:hAnsi="Arial" w:cs="Arial"/>
          <w:sz w:val="22"/>
          <w:szCs w:val="22"/>
          <w:lang w:val="es-ES"/>
        </w:rPr>
      </w:pPr>
      <w:r w:rsidRPr="00AB6A5E">
        <w:rPr>
          <w:rFonts w:ascii="Arial" w:hAnsi="Arial" w:cs="Arial"/>
          <w:sz w:val="22"/>
          <w:szCs w:val="22"/>
          <w:lang w:val="es-ES"/>
        </w:rPr>
        <w:t>La adopción de los documentos tipo obligatorios en el ordenamiento jurídico colombiano se incluyó por primera vez en el parágrafo 3 del artículo 2 de la Ley 1150 de 2007</w:t>
      </w:r>
      <w:r w:rsidRPr="00AB6A5E">
        <w:rPr>
          <w:rStyle w:val="Refdenotaalpie"/>
          <w:rFonts w:ascii="Arial" w:hAnsi="Arial" w:cs="Arial"/>
          <w:sz w:val="22"/>
          <w:szCs w:val="22"/>
          <w:lang w:val="es-ES"/>
        </w:rPr>
        <w:footnoteReference w:id="2"/>
      </w:r>
      <w:r w:rsidRPr="00AB6A5E">
        <w:rPr>
          <w:rFonts w:ascii="Arial" w:hAnsi="Arial" w:cs="Arial"/>
          <w:sz w:val="22"/>
          <w:szCs w:val="22"/>
          <w:lang w:val="es-ES"/>
        </w:rPr>
        <w:t xml:space="preserve">, que facultó al gobierno nacional para expedirlos, pero solo cuando se tratara de la adquisición o suministro de bienes y servicios de características técnicas uniformes y de común utilización. Sin embargo, esta facultad no ha sido ejercida hasta la actualidad. </w:t>
      </w:r>
    </w:p>
    <w:p w14:paraId="778D2DBD" w14:textId="77777777" w:rsidR="00862E0E" w:rsidRPr="00AB6A5E" w:rsidRDefault="00862E0E" w:rsidP="00862E0E">
      <w:pPr>
        <w:spacing w:line="276" w:lineRule="auto"/>
        <w:ind w:firstLine="708"/>
        <w:jc w:val="both"/>
        <w:rPr>
          <w:rFonts w:ascii="Arial" w:hAnsi="Arial" w:cs="Arial"/>
          <w:sz w:val="22"/>
          <w:szCs w:val="22"/>
          <w:lang w:val="es-ES"/>
        </w:rPr>
      </w:pPr>
      <w:r w:rsidRPr="00AB6A5E">
        <w:rPr>
          <w:rFonts w:ascii="Arial" w:hAnsi="Arial" w:cs="Arial"/>
          <w:sz w:val="22"/>
          <w:szCs w:val="22"/>
          <w:lang w:val="es-ES"/>
        </w:rPr>
        <w:t xml:space="preserve">Debido a lo anterior, el artículo 4 de la Ley 1882 de 2018 se convierte en el antecedente más relevante respecto a los documentos tipo. A partir de esta norma se determinó la obligatoriedad por parte de todas las entidades sometidas al Estatuto General de Contratación de la Administración Pública de aplicar los documentos tipo adoptados por el gobierno nacional. Ahora bien, en virtud de la Ley 1882 de 2018 se expidieron varios documentos tipo para el sector de infraestructura de transporte y, por tanto, es importante explicar el proceso previsto en dicho cuerpo normativo. </w:t>
      </w:r>
    </w:p>
    <w:p w14:paraId="7E20A8F0" w14:textId="77777777" w:rsidR="00862E0E" w:rsidRPr="00AB6A5E" w:rsidRDefault="00862E0E" w:rsidP="00862E0E">
      <w:pPr>
        <w:spacing w:before="120" w:after="120" w:line="276" w:lineRule="auto"/>
        <w:ind w:firstLine="709"/>
        <w:jc w:val="both"/>
        <w:rPr>
          <w:rFonts w:ascii="Arial" w:hAnsi="Arial" w:cs="Arial"/>
          <w:sz w:val="22"/>
          <w:szCs w:val="22"/>
          <w:lang w:val="es-ES"/>
        </w:rPr>
      </w:pPr>
      <w:r w:rsidRPr="00AB6A5E">
        <w:rPr>
          <w:rFonts w:ascii="Arial" w:hAnsi="Arial" w:cs="Arial"/>
          <w:sz w:val="22"/>
          <w:szCs w:val="22"/>
          <w:lang w:val="es-ES"/>
        </w:rPr>
        <w:t>La Ley 1882 de 2018, en el artículo 4, establecía que el gobierno nacional adoptaría los documentos tipo para los pliegos de condiciones de los procesos de selección de obras públicas, interventoría para las obras públicas, interventoría para consultoría de estudios y diseños para obras públicas y consultoría en ingeniería para obras, los cuales debían ser utilizados por todas las entidades sometidas al Estatuto General de Contratación de la Administración Pública en los procesos de selección que adelantaran</w:t>
      </w:r>
      <w:r w:rsidRPr="00AB6A5E">
        <w:rPr>
          <w:rStyle w:val="Refdenotaalpie"/>
          <w:rFonts w:ascii="Arial" w:hAnsi="Arial" w:cs="Arial"/>
          <w:sz w:val="22"/>
          <w:szCs w:val="22"/>
          <w:lang w:val="es-ES"/>
        </w:rPr>
        <w:footnoteReference w:id="3"/>
      </w:r>
      <w:r w:rsidRPr="00AB6A5E">
        <w:rPr>
          <w:rFonts w:ascii="Arial" w:hAnsi="Arial" w:cs="Arial"/>
          <w:sz w:val="22"/>
          <w:szCs w:val="22"/>
          <w:lang w:val="es-ES"/>
        </w:rPr>
        <w:t>.</w:t>
      </w:r>
    </w:p>
    <w:p w14:paraId="45FDF400" w14:textId="77777777" w:rsidR="00862E0E" w:rsidRPr="00AB6A5E" w:rsidRDefault="00862E0E" w:rsidP="00862E0E">
      <w:pPr>
        <w:spacing w:before="120" w:after="120" w:line="276" w:lineRule="auto"/>
        <w:jc w:val="both"/>
        <w:rPr>
          <w:rFonts w:ascii="Arial" w:hAnsi="Arial" w:cs="Arial"/>
          <w:sz w:val="22"/>
          <w:szCs w:val="22"/>
          <w:lang w:val="es-ES"/>
        </w:rPr>
      </w:pPr>
      <w:r w:rsidRPr="00AB6A5E">
        <w:rPr>
          <w:rFonts w:ascii="Arial" w:hAnsi="Arial" w:cs="Arial"/>
          <w:sz w:val="22"/>
          <w:szCs w:val="22"/>
          <w:lang w:val="es-ES"/>
        </w:rPr>
        <w:lastRenderedPageBreak/>
        <w:tab/>
        <w:t xml:space="preserve">Asimismo, señalaba que, dentro de los documentos tipo, el gobierno adoptaría de manera general y con alcance obligatorio para todas las entidades las condiciones habilitantes, así como los factores técnicos y económicos de escogencia, según correspondiera a cada modalidad de selección y la ponderación precisa y detallada de los mismos, teniendo en cuenta la naturaleza y cuantía de los contratos. Finalmente, para la adopción de esta reglamentación el gobierno tendría en cuenta las características propias de las regiones con el ánimo de promover el empleo local. Por último, se facultaba al gobierno para adoptar los documentos tipo cuando lo considerara necesario en relación con otros contratos o procesos de selección. </w:t>
      </w:r>
    </w:p>
    <w:p w14:paraId="3A8684BC" w14:textId="77777777" w:rsidR="00862E0E" w:rsidRPr="00AB6A5E" w:rsidRDefault="00862E0E" w:rsidP="00862E0E">
      <w:pPr>
        <w:spacing w:before="120" w:after="120" w:line="276" w:lineRule="auto"/>
        <w:jc w:val="both"/>
        <w:rPr>
          <w:rFonts w:ascii="Arial" w:hAnsi="Arial" w:cs="Arial"/>
          <w:sz w:val="22"/>
          <w:szCs w:val="22"/>
          <w:lang w:val="es-ES"/>
        </w:rPr>
      </w:pPr>
      <w:r w:rsidRPr="00AB6A5E">
        <w:rPr>
          <w:rFonts w:ascii="Arial" w:hAnsi="Arial" w:cs="Arial"/>
          <w:sz w:val="22"/>
          <w:szCs w:val="22"/>
          <w:lang w:val="es-ES"/>
        </w:rPr>
        <w:tab/>
        <w:t xml:space="preserve">De la norma descrita se concluía lo siguiente: i) la adopción de los documentos tipo estaba en cabeza del gobierno nacional; </w:t>
      </w:r>
      <w:proofErr w:type="spellStart"/>
      <w:r w:rsidRPr="00AB6A5E">
        <w:rPr>
          <w:rFonts w:ascii="Arial" w:hAnsi="Arial" w:cs="Arial"/>
          <w:sz w:val="22"/>
          <w:szCs w:val="22"/>
          <w:lang w:val="es-ES"/>
        </w:rPr>
        <w:t>ii</w:t>
      </w:r>
      <w:proofErr w:type="spellEnd"/>
      <w:r w:rsidRPr="00AB6A5E">
        <w:rPr>
          <w:rFonts w:ascii="Arial" w:hAnsi="Arial" w:cs="Arial"/>
          <w:sz w:val="22"/>
          <w:szCs w:val="22"/>
          <w:lang w:val="es-ES"/>
        </w:rPr>
        <w:t xml:space="preserve">) estos debían relacionarse con procesos de obra públicas, interventoría para las obras públicas, interventoría para consultoría de estudios y diseños y, finalmente, consultoría en ingeniería para obras; </w:t>
      </w:r>
      <w:proofErr w:type="spellStart"/>
      <w:r w:rsidRPr="00AB6A5E">
        <w:rPr>
          <w:rFonts w:ascii="Arial" w:hAnsi="Arial" w:cs="Arial"/>
          <w:sz w:val="22"/>
          <w:szCs w:val="22"/>
          <w:lang w:val="es-ES"/>
        </w:rPr>
        <w:t>iii</w:t>
      </w:r>
      <w:proofErr w:type="spellEnd"/>
      <w:r w:rsidRPr="00AB6A5E">
        <w:rPr>
          <w:rFonts w:ascii="Arial" w:hAnsi="Arial" w:cs="Arial"/>
          <w:sz w:val="22"/>
          <w:szCs w:val="22"/>
          <w:lang w:val="es-ES"/>
        </w:rPr>
        <w:t xml:space="preserve">) eran de obligatorio cumplimiento por parte de todas las entidades sometidas al Estatuto General de Contratación de la Administración Pública; </w:t>
      </w:r>
      <w:proofErr w:type="spellStart"/>
      <w:r w:rsidRPr="00AB6A5E">
        <w:rPr>
          <w:rFonts w:ascii="Arial" w:hAnsi="Arial" w:cs="Arial"/>
          <w:sz w:val="22"/>
          <w:szCs w:val="22"/>
          <w:lang w:val="es-ES"/>
        </w:rPr>
        <w:t>iv</w:t>
      </w:r>
      <w:proofErr w:type="spellEnd"/>
      <w:r w:rsidRPr="00AB6A5E">
        <w:rPr>
          <w:rFonts w:ascii="Arial" w:hAnsi="Arial" w:cs="Arial"/>
          <w:sz w:val="22"/>
          <w:szCs w:val="22"/>
          <w:lang w:val="es-ES"/>
        </w:rPr>
        <w:t xml:space="preserve">) en los documentos tipo se indicarían las condiciones generales de los requisitos habilitantes, así como los factores técnicos y económicos de escogencia, según correspondiera para cada modalidad de selección; v) el gobierno nacional tenía la facultad de adoptar documentos tipo en otros contratos o procesos de selección; por último, vi) los documentos tipo serían adoptados por categorías de acuerdo con la cuantía de la contratación. </w:t>
      </w:r>
    </w:p>
    <w:p w14:paraId="559EE6E1" w14:textId="77777777" w:rsidR="00862E0E" w:rsidRPr="00AB6A5E" w:rsidRDefault="00862E0E" w:rsidP="00862E0E">
      <w:pPr>
        <w:spacing w:before="120" w:after="120" w:line="276" w:lineRule="auto"/>
        <w:jc w:val="both"/>
        <w:rPr>
          <w:rFonts w:ascii="Arial" w:hAnsi="Arial" w:cs="Arial"/>
          <w:sz w:val="22"/>
          <w:szCs w:val="22"/>
          <w:lang w:val="es-ES"/>
        </w:rPr>
      </w:pPr>
      <w:r w:rsidRPr="00AB6A5E">
        <w:rPr>
          <w:rFonts w:ascii="Arial" w:hAnsi="Arial" w:cs="Arial"/>
          <w:sz w:val="22"/>
          <w:szCs w:val="22"/>
          <w:lang w:val="es-ES"/>
        </w:rPr>
        <w:tab/>
        <w:t xml:space="preserve">Esta norma fue estudiada por la Corte Constitucional en la Sentencia C-119 de 2020. Al respecto, indicó que la adopción de los documentos tipo no afectaba la autonomía de las entidades territoriales, en cuanto la estandarización se predicaba únicamente de los requisitos habilitantes </w:t>
      </w:r>
      <w:bookmarkStart w:id="2" w:name="_Hlk48665985"/>
      <w:r w:rsidRPr="00AB6A5E">
        <w:rPr>
          <w:rFonts w:ascii="Arial" w:hAnsi="Arial" w:cs="Arial"/>
          <w:sz w:val="22"/>
          <w:szCs w:val="22"/>
          <w:lang w:val="es-ES"/>
        </w:rPr>
        <w:t>y los criterios de escogencia, elementos propios del procedimiento de selección del contratista, materia en la que existe reserva de ley y que no se encuentra atribuida a la regulación de las entidades territoriales</w:t>
      </w:r>
      <w:bookmarkEnd w:id="2"/>
      <w:r w:rsidRPr="00AB6A5E">
        <w:rPr>
          <w:rFonts w:ascii="Arial" w:hAnsi="Arial" w:cs="Arial"/>
          <w:sz w:val="22"/>
          <w:szCs w:val="22"/>
          <w:lang w:val="es-ES"/>
        </w:rPr>
        <w:t>. De igual manera, se establece que esta autonomía se garantiza con la identificación autónoma de sus necesidades y la configuración de los elementos del contrato</w:t>
      </w:r>
      <w:r w:rsidRPr="00AB6A5E">
        <w:rPr>
          <w:rStyle w:val="Refdenotaalpie"/>
          <w:rFonts w:ascii="Arial" w:hAnsi="Arial" w:cs="Arial"/>
          <w:sz w:val="22"/>
          <w:szCs w:val="22"/>
          <w:lang w:val="es-ES"/>
        </w:rPr>
        <w:footnoteReference w:id="4"/>
      </w:r>
      <w:r w:rsidRPr="00AB6A5E">
        <w:rPr>
          <w:rFonts w:ascii="Arial" w:hAnsi="Arial" w:cs="Arial"/>
          <w:sz w:val="22"/>
          <w:szCs w:val="22"/>
          <w:lang w:val="es-ES"/>
        </w:rPr>
        <w:t>.</w:t>
      </w:r>
    </w:p>
    <w:p w14:paraId="4C0C239F" w14:textId="77777777" w:rsidR="00862E0E" w:rsidRPr="00AB6A5E" w:rsidRDefault="00862E0E" w:rsidP="00862E0E">
      <w:pPr>
        <w:spacing w:before="120" w:after="120" w:line="276" w:lineRule="auto"/>
        <w:jc w:val="both"/>
        <w:rPr>
          <w:rFonts w:ascii="Arial" w:hAnsi="Arial" w:cs="Arial"/>
          <w:sz w:val="22"/>
          <w:szCs w:val="22"/>
          <w:lang w:val="es-ES"/>
        </w:rPr>
      </w:pPr>
      <w:r w:rsidRPr="00AB6A5E">
        <w:rPr>
          <w:rFonts w:ascii="Arial" w:hAnsi="Arial" w:cs="Arial"/>
          <w:sz w:val="22"/>
          <w:szCs w:val="22"/>
          <w:lang w:val="es-ES"/>
        </w:rPr>
        <w:lastRenderedPageBreak/>
        <w:tab/>
        <w:t>De este modo, los documentos tipo no afectan la autonomía de las entidades territoriales. Lo anterior, debido a que la definición de los requisitos habilitantes y de aspectos técnicos de la selección del contratista en los procesos de selección, son aspectos en los que el legislador tiene amplia libertad de configuración legislativa y, por tanto, puede atribuir dicha regulación al gobierno nacional. Ahora, dicha autonomía se materializa cuando las entidades territoriales deciden iniciar un proceso de convocatoria para satisfacer sus necesidades para la adquisición de un bien, obra o servicio, y además se incluyen en la minuta del contrato las condiciones particulares del negocio jurídico a celebrar.</w:t>
      </w:r>
    </w:p>
    <w:p w14:paraId="08BF7B75" w14:textId="77777777" w:rsidR="00862E0E" w:rsidRPr="00AB6A5E" w:rsidRDefault="00862E0E" w:rsidP="00862E0E">
      <w:pPr>
        <w:spacing w:before="120" w:after="120" w:line="276" w:lineRule="auto"/>
        <w:jc w:val="both"/>
        <w:rPr>
          <w:rFonts w:ascii="Arial" w:hAnsi="Arial" w:cs="Arial"/>
          <w:sz w:val="22"/>
          <w:szCs w:val="22"/>
          <w:lang w:val="es-ES"/>
        </w:rPr>
      </w:pPr>
      <w:r w:rsidRPr="00AB6A5E">
        <w:rPr>
          <w:rFonts w:ascii="Arial" w:hAnsi="Arial" w:cs="Arial"/>
          <w:sz w:val="22"/>
          <w:szCs w:val="22"/>
          <w:lang w:val="es-ES"/>
        </w:rPr>
        <w:tab/>
        <w:t xml:space="preserve">Explicado el proceso para adoptar los documentos tipo en virtud de la Ley 1882 de 2018 y estudiada su constitucionalidad, de acuerdo con el pronunciamiento de la Corte Constitucional, a continuación, se identificarán los documentos tipo adoptados por el gobierno nacional en virtud de esta ley. Dada la relevancia económica y el impacto que tienen en el nivel territorial los proyectos de obra en el sector transporte, el gobierno nacional, en vigencia del artículo 4 de la Ley 1882 de 2018, por el cual se adicionó el parágrafo 7 del artículo 2 de la Ley 1150 de 2007, inició la implementación gradual mediante el Decreto 342 del 5 de marzo de 2019, relacionado con los documentos tipo para los procesos de selección de licitación de obra pública de infraestructura de transporte. </w:t>
      </w:r>
    </w:p>
    <w:p w14:paraId="34EFF22C" w14:textId="77777777" w:rsidR="00862E0E" w:rsidRPr="00AB6A5E" w:rsidRDefault="00862E0E" w:rsidP="00862E0E">
      <w:pPr>
        <w:spacing w:before="120" w:after="120" w:line="276" w:lineRule="auto"/>
        <w:ind w:firstLine="709"/>
        <w:jc w:val="both"/>
        <w:rPr>
          <w:rFonts w:ascii="Arial" w:hAnsi="Arial" w:cs="Arial"/>
          <w:sz w:val="22"/>
          <w:szCs w:val="22"/>
          <w:lang w:val="es-ES"/>
        </w:rPr>
      </w:pPr>
      <w:r w:rsidRPr="00AB6A5E">
        <w:rPr>
          <w:rFonts w:ascii="Arial" w:hAnsi="Arial" w:cs="Arial"/>
          <w:sz w:val="22"/>
          <w:szCs w:val="22"/>
          <w:lang w:val="es-ES"/>
        </w:rPr>
        <w:t>Luego se expidió el Decreto 2096 del 21 de noviembre de 2019, que permitió el desarrollo de los documentos tipo para los pliegos de condiciones de los procesos de obras públicas de infraestructura de transporte que se adelantaran por la modalidad de selección abreviada de menor cuantía. Finalmente, se profirió el Decreto 594 del 25 de abril de 2020, frente a los documentos tipo para los contratos de obra pública</w:t>
      </w:r>
      <w:r w:rsidRPr="00AB6A5E" w:rsidDel="00A434AB">
        <w:rPr>
          <w:rFonts w:ascii="Arial" w:hAnsi="Arial" w:cs="Arial"/>
          <w:sz w:val="22"/>
          <w:szCs w:val="22"/>
          <w:lang w:val="es-ES"/>
        </w:rPr>
        <w:t xml:space="preserve"> </w:t>
      </w:r>
      <w:r w:rsidRPr="00AB6A5E">
        <w:rPr>
          <w:rFonts w:ascii="Arial" w:hAnsi="Arial" w:cs="Arial"/>
          <w:sz w:val="22"/>
          <w:szCs w:val="22"/>
          <w:lang w:val="es-ES"/>
        </w:rPr>
        <w:t xml:space="preserve">de infraestructura de transporte que se surtieran por la modalidad de mínima cuantía. Estos documentos fueron implementados y desarrollados por la Agencia Nacional de Contratación Pública </w:t>
      </w:r>
      <w:bookmarkStart w:id="3" w:name="_Hlk37841850"/>
      <w:r w:rsidRPr="00AB6A5E">
        <w:rPr>
          <w:rFonts w:ascii="Arial" w:hAnsi="Arial" w:cs="Arial"/>
          <w:sz w:val="22"/>
          <w:szCs w:val="22"/>
          <w:lang w:val="es-ES"/>
        </w:rPr>
        <w:t xml:space="preserve">– Colombia Compra Eficiente, </w:t>
      </w:r>
      <w:bookmarkEnd w:id="3"/>
      <w:r w:rsidRPr="00AB6A5E">
        <w:rPr>
          <w:rFonts w:ascii="Arial" w:hAnsi="Arial" w:cs="Arial"/>
          <w:sz w:val="22"/>
          <w:szCs w:val="22"/>
          <w:lang w:val="es-ES"/>
        </w:rPr>
        <w:t>por medio de la Resolución 1798 de 1 de abril de 2019 –derogada por la Resolución 045 del 14 de febrero de 2020–, la Resolución 044 del 14 de febrero de 2020 y la Resolución 094 del 21 de mayo de 2020.</w:t>
      </w:r>
    </w:p>
    <w:p w14:paraId="742A6470" w14:textId="5DE78C2C" w:rsidR="00862E0E" w:rsidRPr="00AB6A5E" w:rsidRDefault="00862E0E" w:rsidP="00862E0E">
      <w:pPr>
        <w:pStyle w:val="Normal11pt"/>
        <w:spacing w:before="120" w:line="276" w:lineRule="auto"/>
        <w:ind w:left="0" w:firstLine="709"/>
        <w:rPr>
          <w:rFonts w:eastAsia="Calibri"/>
          <w:color w:val="auto"/>
          <w:lang w:val="es-ES"/>
        </w:rPr>
      </w:pPr>
      <w:r w:rsidRPr="00AB6A5E">
        <w:rPr>
          <w:rFonts w:eastAsia="Calibri"/>
          <w:color w:val="auto"/>
          <w:lang w:val="es-ES"/>
        </w:rPr>
        <w:t>Por otra parte</w:t>
      </w:r>
      <w:r w:rsidRPr="00AB6A5E">
        <w:rPr>
          <w:rFonts w:eastAsia="Calibri"/>
          <w:i/>
          <w:iCs/>
          <w:color w:val="auto"/>
          <w:lang w:val="es-ES"/>
        </w:rPr>
        <w:t>,</w:t>
      </w:r>
      <w:r w:rsidRPr="00AB6A5E">
        <w:rPr>
          <w:rFonts w:eastAsia="Calibri"/>
          <w:color w:val="auto"/>
          <w:lang w:val="es-ES"/>
        </w:rPr>
        <w:t xml:space="preserve"> debe tenerse en cuenta que </w:t>
      </w:r>
      <w:r w:rsidRPr="00AB6A5E">
        <w:t>posteriormente fue expedida la Ley 2022 de 2020 «Por la cual modifica el artículo 4 de la ley 1882 de 2018 y se dictan otras disposiciones». En su artículo 1, esta norma modificó el Articulo 4 de la Ley 1882 de 2018</w:t>
      </w:r>
      <w:r w:rsidRPr="00AB6A5E">
        <w:rPr>
          <w:rStyle w:val="Refdenotaalpie"/>
        </w:rPr>
        <w:footnoteReference w:id="5"/>
      </w:r>
      <w:r w:rsidRPr="00AB6A5E">
        <w:t xml:space="preserve">, </w:t>
      </w:r>
      <w:r w:rsidRPr="00AB6A5E">
        <w:lastRenderedPageBreak/>
        <w:t xml:space="preserve">estableciendo a cargo de esta Agencia la adopción de documentos tipo que serán de obligatorio cumplimiento en la actividad contractual de todas las entidades sometidas al Estatuto General de Contratación de la Administración Pública. </w:t>
      </w:r>
      <w:r w:rsidRPr="00AB6A5E">
        <w:rPr>
          <w:rFonts w:eastAsia="Calibri"/>
          <w:color w:val="auto"/>
          <w:lang w:val="es-ES"/>
        </w:rPr>
        <w:t xml:space="preserve">En este sentido, con la finalidad de realizar un desarrollo armónico y ajustado a la ley que otorga esta competencia, la Agencia Nacional de Contratación Pública expidió la Resolución 160 del 15 de septiembre de 2020, «Por la cual se adopta el procedimiento para implementar los documentos tipo y se define el sistema para su revisión». </w:t>
      </w:r>
    </w:p>
    <w:p w14:paraId="195C1074" w14:textId="77777777" w:rsidR="00862E0E" w:rsidRPr="00AB6A5E" w:rsidRDefault="00862E0E" w:rsidP="00862E0E">
      <w:pPr>
        <w:pStyle w:val="Normal11pt"/>
        <w:spacing w:before="120" w:line="276" w:lineRule="auto"/>
        <w:ind w:left="0" w:firstLine="709"/>
        <w:rPr>
          <w:rFonts w:eastAsia="Calibri"/>
          <w:color w:val="auto"/>
          <w:lang w:val="es-ES"/>
        </w:rPr>
      </w:pPr>
      <w:r w:rsidRPr="00AB6A5E">
        <w:rPr>
          <w:rFonts w:eastAsia="Calibri"/>
          <w:color w:val="auto"/>
          <w:lang w:val="es-ES"/>
        </w:rPr>
        <w:t xml:space="preserve">Con fundamento en dicha Ley, se profirió la Resolución 240 del 27 de noviembre de 2020, «Por la cual se actualizan los Documentos Tipo para los procesos de selección de licitación de obra pública de infraestructura de transporte y se deroga la Resolución 0045 de 2020». De igual manera, se expidió la Resolución 241 del 27 de noviembre de 2020, «Por la cual se actualizan los Documentos Tipo para los procesos de selección abreviada de menor cuantía de obra pública de infraestructura de transporte y se deroga la Resolución 0044 de 2020». Adicionalmente, entró en vigor la Resolución 256 de 2020, «Por la cual se adoptan los documentos tipo para los procesos de selección de concursos de méritos, para contratar la interventoría de obras públicas de infraestructura de transporte». </w:t>
      </w:r>
    </w:p>
    <w:p w14:paraId="7BEFFE0A" w14:textId="77777777" w:rsidR="00862E0E" w:rsidRPr="00AB6A5E" w:rsidRDefault="00862E0E" w:rsidP="00862E0E">
      <w:pPr>
        <w:pStyle w:val="Normal11pt"/>
        <w:spacing w:before="120" w:line="276" w:lineRule="auto"/>
        <w:ind w:left="0" w:firstLine="709"/>
        <w:rPr>
          <w:rFonts w:eastAsia="Calibri"/>
          <w:color w:val="auto"/>
          <w:lang w:val="es-ES"/>
        </w:rPr>
      </w:pPr>
      <w:r w:rsidRPr="00AB6A5E">
        <w:rPr>
          <w:rFonts w:eastAsia="Calibri"/>
          <w:color w:val="auto"/>
          <w:lang w:val="es-ES"/>
        </w:rPr>
        <w:t xml:space="preserve">Por otra parte, se expidió la Resolución 248 de 2020, «Por la cual se adoptan los documentos tipo para los procesos de licitación pública para obras de infraestructura de agua potable y saneamiento básico»; la Resolución 249 de 2020, «Por la cual se adoptan los documentos tipo para los procesos de licitación pública para obras de infraestructura de agua potable y saneamiento básico en la modalidad llave en mano»; así como la Resolución 269 de 2020, «Por la cual se adopta el documento tipo para los procesos de gestión catastral con enfoque multipropósito que se celebren a través de contratos interadministrativos». </w:t>
      </w:r>
    </w:p>
    <w:p w14:paraId="40F1C5E9" w14:textId="77777777" w:rsidR="00862E0E" w:rsidRDefault="00862E0E" w:rsidP="00862E0E">
      <w:pPr>
        <w:pStyle w:val="Normal11pt"/>
        <w:spacing w:before="120" w:line="276" w:lineRule="auto"/>
        <w:ind w:left="0" w:firstLine="709"/>
      </w:pPr>
      <w:r w:rsidRPr="00AB6A5E">
        <w:rPr>
          <w:rFonts w:eastAsia="Calibri"/>
          <w:color w:val="auto"/>
          <w:lang w:val="es-ES"/>
        </w:rPr>
        <w:t>De otro lado, en el 2021 se expidió la Resolución 161 de 2021 «Por la cual se modifican los documentos tipo adoptados por la Agencia Nacional de Contratación Pública - Colombia Compra Eficiente», esta última versión de los pliegos tipo rige desde el 28 de junio de 2021. Además, se profirió la Resolución 193 de 2021 «Por la cual se adoptan los documentos tipo para los procesos de selección de concurso de méritos, para contratar la consultoría de estudios de ingeniería de infraestructura de transporte». Finalmente, se expidió la Resolución 219 del 6 de agosto de 2021 «</w:t>
      </w:r>
      <w:r w:rsidRPr="00AB6A5E">
        <w:t xml:space="preserve">Por la cual se adoptan los documentos tipo para los procesos de licitación de obra pública de infraestructura social» y la Resolución 220 del 6 de agosto de 2021 «Por la cual se adoptan los documentos tipo complementarios </w:t>
      </w:r>
      <w:r w:rsidRPr="00AB6A5E">
        <w:lastRenderedPageBreak/>
        <w:t xml:space="preserve">para los procesos de licitación de obra pública de infraestructura social relacionados con el sector educativo». </w:t>
      </w:r>
    </w:p>
    <w:p w14:paraId="1642544A" w14:textId="77777777" w:rsidR="00862E0E" w:rsidRPr="00AB6A5E" w:rsidRDefault="00862E0E" w:rsidP="00862E0E">
      <w:pPr>
        <w:pStyle w:val="Normal11pt"/>
        <w:spacing w:before="120" w:line="276" w:lineRule="auto"/>
        <w:ind w:left="0" w:firstLine="709"/>
        <w:rPr>
          <w:rFonts w:eastAsia="Calibri"/>
          <w:color w:val="auto"/>
          <w:lang w:val="es-ES"/>
        </w:rPr>
      </w:pPr>
      <w:r>
        <w:rPr>
          <w:rFonts w:eastAsia="Calibri"/>
          <w:color w:val="000000" w:themeColor="text1"/>
        </w:rPr>
        <w:t>Finalmente, es importante resaltar que la Agencia Nacional de Contratación Pública – Colombia Compra Eficiente, el 13 de octubre de 2021, expidió la Resolución 304 mediante la cual se modifican los documentos tipo de licitación de obra pública de infraestructura de transporte, agua potable y saneamiento básico, y los de infraestructura social para adecuarlos al Decreto 680 de 2021. La principal modificación realizada en esta resolución consiste en la modificación al factor de evaluación de apoyo a la industria nacional.</w:t>
      </w:r>
    </w:p>
    <w:p w14:paraId="09A849CB" w14:textId="77777777" w:rsidR="00862E0E" w:rsidRPr="00AB6A5E" w:rsidRDefault="00862E0E" w:rsidP="00862E0E">
      <w:pPr>
        <w:pStyle w:val="Normal11pt"/>
        <w:spacing w:before="120" w:line="276" w:lineRule="auto"/>
        <w:ind w:left="0" w:firstLine="709"/>
        <w:rPr>
          <w:rFonts w:eastAsia="Calibri"/>
          <w:color w:val="auto"/>
          <w:lang w:val="es-ES"/>
        </w:rPr>
      </w:pPr>
      <w:r w:rsidRPr="00AB6A5E">
        <w:rPr>
          <w:rFonts w:eastAsia="Calibri"/>
          <w:color w:val="auto"/>
          <w:lang w:val="es-ES"/>
        </w:rPr>
        <w:t xml:space="preserve">En síntesis, hasta el momento se han expedido los siguientes documentos tipo que son obligatorios para todas las entidades sometidas al Estatuto General de Contratación de la Administración Pública: </w:t>
      </w:r>
    </w:p>
    <w:p w14:paraId="182398FC" w14:textId="77777777" w:rsidR="00862E0E" w:rsidRPr="00AB6A5E" w:rsidRDefault="00862E0E" w:rsidP="00862E0E">
      <w:pPr>
        <w:spacing w:before="120" w:line="276" w:lineRule="auto"/>
        <w:ind w:firstLine="709"/>
        <w:jc w:val="both"/>
        <w:rPr>
          <w:rFonts w:ascii="Arial" w:eastAsia="Calibri" w:hAnsi="Arial" w:cs="Arial"/>
          <w:color w:val="000000"/>
          <w:sz w:val="22"/>
          <w:szCs w:val="22"/>
          <w:lang w:val="es-ES_tradnl" w:eastAsia="es-ES"/>
        </w:rPr>
      </w:pPr>
      <w:r w:rsidRPr="00AB6A5E">
        <w:rPr>
          <w:rFonts w:ascii="Arial" w:eastAsia="Calibri" w:hAnsi="Arial" w:cs="Arial"/>
          <w:color w:val="000000"/>
          <w:sz w:val="22"/>
          <w:szCs w:val="22"/>
          <w:lang w:val="es-ES_tradnl" w:eastAsia="es-ES"/>
        </w:rPr>
        <w:t xml:space="preserve">i) Documentos tipo para licitación de obra pública de infraestructura de transporte –versión 1–, obligatorios para los procesos cuyo aviso de convocatoria se haya publicado desde el 1 de abril de 2019. </w:t>
      </w:r>
    </w:p>
    <w:p w14:paraId="28B0C3C8" w14:textId="77777777" w:rsidR="00862E0E" w:rsidRPr="00AB6A5E" w:rsidRDefault="00862E0E" w:rsidP="00862E0E">
      <w:pPr>
        <w:spacing w:before="120" w:line="276" w:lineRule="auto"/>
        <w:ind w:firstLine="709"/>
        <w:jc w:val="both"/>
        <w:rPr>
          <w:rFonts w:ascii="Arial" w:eastAsia="Calibri" w:hAnsi="Arial" w:cs="Arial"/>
          <w:color w:val="000000"/>
          <w:sz w:val="22"/>
          <w:szCs w:val="22"/>
          <w:lang w:val="es-ES_tradnl" w:eastAsia="es-ES"/>
        </w:rPr>
      </w:pPr>
      <w:proofErr w:type="spellStart"/>
      <w:r w:rsidRPr="00AB6A5E">
        <w:rPr>
          <w:rFonts w:ascii="Arial" w:eastAsia="Calibri" w:hAnsi="Arial" w:cs="Arial"/>
          <w:color w:val="000000"/>
          <w:sz w:val="22"/>
          <w:szCs w:val="22"/>
          <w:lang w:val="es-ES_tradnl" w:eastAsia="es-ES"/>
        </w:rPr>
        <w:t>ii</w:t>
      </w:r>
      <w:proofErr w:type="spellEnd"/>
      <w:r w:rsidRPr="00AB6A5E">
        <w:rPr>
          <w:rFonts w:ascii="Arial" w:eastAsia="Calibri" w:hAnsi="Arial" w:cs="Arial"/>
          <w:color w:val="000000"/>
          <w:sz w:val="22"/>
          <w:szCs w:val="22"/>
          <w:lang w:val="es-ES_tradnl" w:eastAsia="es-ES"/>
        </w:rPr>
        <w:t>) Documentos tipo para licitación de obra pública de infraestructura de transporte –versión 2–, obligatorios para los procesos cuyo aviso de convocatoria se haya publicado desde el 10 de marzo de 2020.</w:t>
      </w:r>
    </w:p>
    <w:p w14:paraId="20538708" w14:textId="77777777" w:rsidR="00862E0E" w:rsidRPr="00AB6A5E" w:rsidRDefault="00862E0E" w:rsidP="00862E0E">
      <w:pPr>
        <w:spacing w:before="120" w:line="276" w:lineRule="auto"/>
        <w:ind w:firstLine="709"/>
        <w:jc w:val="both"/>
        <w:rPr>
          <w:rFonts w:ascii="Arial" w:eastAsia="Calibri" w:hAnsi="Arial" w:cs="Arial"/>
          <w:color w:val="000000"/>
          <w:sz w:val="22"/>
          <w:szCs w:val="22"/>
          <w:lang w:val="es-ES_tradnl" w:eastAsia="es-ES"/>
        </w:rPr>
      </w:pPr>
      <w:proofErr w:type="spellStart"/>
      <w:r w:rsidRPr="00AB6A5E">
        <w:rPr>
          <w:rFonts w:ascii="Arial" w:eastAsia="Calibri" w:hAnsi="Arial" w:cs="Arial"/>
          <w:color w:val="000000"/>
          <w:sz w:val="22"/>
          <w:szCs w:val="22"/>
          <w:lang w:val="es-ES_tradnl" w:eastAsia="es-ES"/>
        </w:rPr>
        <w:t>iii</w:t>
      </w:r>
      <w:proofErr w:type="spellEnd"/>
      <w:r w:rsidRPr="00AB6A5E">
        <w:rPr>
          <w:rFonts w:ascii="Arial" w:eastAsia="Calibri" w:hAnsi="Arial" w:cs="Arial"/>
          <w:color w:val="000000"/>
          <w:sz w:val="22"/>
          <w:szCs w:val="22"/>
          <w:lang w:val="es-ES_tradnl" w:eastAsia="es-ES"/>
        </w:rPr>
        <w:t>) Documentos tipo para licitación de obra pública de infraestructura de transporte –versión 3–, obligatorios para los procesos cuyo aviso de convocatoria se haya publicado desde el 1 de enero de 2021.</w:t>
      </w:r>
    </w:p>
    <w:p w14:paraId="3F6FFA4C" w14:textId="77777777" w:rsidR="00862E0E" w:rsidRPr="00AB6A5E" w:rsidRDefault="00862E0E" w:rsidP="00862E0E">
      <w:pPr>
        <w:spacing w:before="120" w:line="276" w:lineRule="auto"/>
        <w:ind w:firstLine="709"/>
        <w:jc w:val="both"/>
        <w:rPr>
          <w:rFonts w:ascii="Arial" w:eastAsia="Calibri" w:hAnsi="Arial" w:cs="Arial"/>
          <w:color w:val="000000"/>
          <w:sz w:val="22"/>
          <w:szCs w:val="22"/>
          <w:lang w:val="es-ES_tradnl" w:eastAsia="es-ES"/>
        </w:rPr>
      </w:pPr>
      <w:proofErr w:type="spellStart"/>
      <w:r w:rsidRPr="00AB6A5E">
        <w:rPr>
          <w:rFonts w:ascii="Arial" w:eastAsia="Calibri" w:hAnsi="Arial" w:cs="Arial"/>
          <w:color w:val="000000"/>
          <w:sz w:val="22"/>
          <w:szCs w:val="22"/>
          <w:lang w:val="es-ES_tradnl" w:eastAsia="es-ES"/>
        </w:rPr>
        <w:t>iv</w:t>
      </w:r>
      <w:proofErr w:type="spellEnd"/>
      <w:r w:rsidRPr="00AB6A5E">
        <w:rPr>
          <w:rFonts w:ascii="Arial" w:eastAsia="Calibri" w:hAnsi="Arial" w:cs="Arial"/>
          <w:color w:val="000000"/>
          <w:sz w:val="22"/>
          <w:szCs w:val="22"/>
          <w:lang w:val="es-ES_tradnl" w:eastAsia="es-ES"/>
        </w:rPr>
        <w:t>) Documentos tipo para procesos de selección abreviada de menor cuantía de infraestructura de transporte –versión 1–, obligatorios para los procesos cuyo aviso de convocatoria se haya publicado desde el 17 de febrero de 2020.</w:t>
      </w:r>
    </w:p>
    <w:p w14:paraId="45E21EE2" w14:textId="77777777" w:rsidR="00862E0E" w:rsidRPr="00AB6A5E" w:rsidRDefault="00862E0E" w:rsidP="00862E0E">
      <w:pPr>
        <w:spacing w:before="120" w:line="276" w:lineRule="auto"/>
        <w:ind w:firstLine="709"/>
        <w:jc w:val="both"/>
        <w:rPr>
          <w:rFonts w:ascii="Arial" w:eastAsia="Calibri" w:hAnsi="Arial" w:cs="Arial"/>
          <w:color w:val="000000"/>
          <w:sz w:val="22"/>
          <w:szCs w:val="22"/>
          <w:lang w:val="es-ES_tradnl" w:eastAsia="es-ES"/>
        </w:rPr>
      </w:pPr>
      <w:r w:rsidRPr="00AB6A5E">
        <w:rPr>
          <w:rFonts w:ascii="Arial" w:eastAsia="Calibri" w:hAnsi="Arial" w:cs="Arial"/>
          <w:color w:val="000000"/>
          <w:sz w:val="22"/>
          <w:szCs w:val="22"/>
          <w:lang w:val="es-ES_tradnl" w:eastAsia="es-ES"/>
        </w:rPr>
        <w:t xml:space="preserve">v) Documentos tipo para procesos de selección abreviada de menor cuantía de infraestructura de transporte –versión 2–, obligatorios para los procesos cuyo aviso de convocatoria se haya publicado desde el 1 de enero de 2021. </w:t>
      </w:r>
    </w:p>
    <w:p w14:paraId="0EC7A5D0" w14:textId="77777777" w:rsidR="00862E0E" w:rsidRPr="00AB6A5E" w:rsidRDefault="00862E0E" w:rsidP="00862E0E">
      <w:pPr>
        <w:spacing w:before="120" w:line="276" w:lineRule="auto"/>
        <w:ind w:firstLine="709"/>
        <w:jc w:val="both"/>
        <w:rPr>
          <w:rFonts w:ascii="Arial" w:eastAsia="Calibri" w:hAnsi="Arial" w:cs="Arial"/>
          <w:color w:val="000000"/>
          <w:sz w:val="22"/>
          <w:szCs w:val="22"/>
          <w:lang w:val="es-ES_tradnl" w:eastAsia="es-ES"/>
        </w:rPr>
      </w:pPr>
      <w:r w:rsidRPr="00AB6A5E">
        <w:rPr>
          <w:rFonts w:ascii="Arial" w:eastAsia="Calibri" w:hAnsi="Arial" w:cs="Arial"/>
          <w:color w:val="000000"/>
          <w:sz w:val="22"/>
          <w:szCs w:val="22"/>
          <w:lang w:val="es-ES_tradnl" w:eastAsia="es-ES"/>
        </w:rPr>
        <w:t>vi) Documentos tipo para procesos de mínima cuantía de infraestructura de transporte, obligatorios para los procesos cuya invitación pública se haya publicado a partir del 10 de junio de 2020.</w:t>
      </w:r>
    </w:p>
    <w:p w14:paraId="1C30CAA5" w14:textId="77777777" w:rsidR="00862E0E" w:rsidRPr="00AB6A5E" w:rsidRDefault="00862E0E" w:rsidP="00862E0E">
      <w:pPr>
        <w:spacing w:before="120" w:line="276" w:lineRule="auto"/>
        <w:ind w:firstLine="709"/>
        <w:jc w:val="both"/>
        <w:rPr>
          <w:rFonts w:ascii="Arial" w:eastAsia="Calibri" w:hAnsi="Arial" w:cs="Arial"/>
          <w:color w:val="000000"/>
          <w:sz w:val="22"/>
          <w:szCs w:val="22"/>
          <w:lang w:val="es-ES_tradnl" w:eastAsia="es-ES"/>
        </w:rPr>
      </w:pPr>
      <w:proofErr w:type="spellStart"/>
      <w:r w:rsidRPr="00AB6A5E">
        <w:rPr>
          <w:rFonts w:ascii="Arial" w:eastAsia="Calibri" w:hAnsi="Arial" w:cs="Arial"/>
          <w:color w:val="000000"/>
          <w:sz w:val="22"/>
          <w:szCs w:val="22"/>
          <w:lang w:val="es-ES_tradnl" w:eastAsia="es-ES"/>
        </w:rPr>
        <w:t>vii</w:t>
      </w:r>
      <w:proofErr w:type="spellEnd"/>
      <w:r w:rsidRPr="00AB6A5E">
        <w:rPr>
          <w:rFonts w:ascii="Arial" w:eastAsia="Calibri" w:hAnsi="Arial" w:cs="Arial"/>
          <w:color w:val="000000"/>
          <w:sz w:val="22"/>
          <w:szCs w:val="22"/>
          <w:lang w:val="es-ES_tradnl" w:eastAsia="es-ES"/>
        </w:rPr>
        <w:t>) Documentos tipo para procesos de concurso de méritos para contratar la interventoría de obras públicas de infraestructura de transporte, obligatorios para los procesos cuyo aviso de convocatoria se haya publicado desde el 1 de enero de 2021.</w:t>
      </w:r>
    </w:p>
    <w:p w14:paraId="16DAEA9E" w14:textId="77777777" w:rsidR="00862E0E" w:rsidRPr="00AB6A5E" w:rsidRDefault="00862E0E" w:rsidP="00862E0E">
      <w:pPr>
        <w:spacing w:before="120" w:line="276" w:lineRule="auto"/>
        <w:ind w:firstLine="709"/>
        <w:jc w:val="both"/>
        <w:rPr>
          <w:rFonts w:ascii="Arial" w:eastAsia="Calibri" w:hAnsi="Arial" w:cs="Arial"/>
          <w:color w:val="000000"/>
          <w:sz w:val="22"/>
          <w:szCs w:val="22"/>
          <w:lang w:val="es-ES_tradnl" w:eastAsia="es-ES"/>
        </w:rPr>
      </w:pPr>
      <w:proofErr w:type="spellStart"/>
      <w:r w:rsidRPr="00AB6A5E">
        <w:rPr>
          <w:rFonts w:ascii="Arial" w:eastAsia="Calibri" w:hAnsi="Arial" w:cs="Arial"/>
          <w:color w:val="000000"/>
          <w:sz w:val="22"/>
          <w:szCs w:val="22"/>
          <w:lang w:val="es-ES_tradnl" w:eastAsia="es-ES"/>
        </w:rPr>
        <w:t>viii</w:t>
      </w:r>
      <w:proofErr w:type="spellEnd"/>
      <w:r w:rsidRPr="00AB6A5E">
        <w:rPr>
          <w:rFonts w:ascii="Arial" w:eastAsia="Calibri" w:hAnsi="Arial" w:cs="Arial"/>
          <w:color w:val="000000"/>
          <w:sz w:val="22"/>
          <w:szCs w:val="22"/>
          <w:lang w:val="es-ES_tradnl" w:eastAsia="es-ES"/>
        </w:rPr>
        <w:t>) Documentos tipo para los procesos de selección de concurso de méritos, para contratar la consultoría de estudios de ingeniería de infraestructura de transporte, obligatorios para los procesos cuyo aviso de convocatoria se haya publicado desde el 9 de agosto de 2021.</w:t>
      </w:r>
    </w:p>
    <w:p w14:paraId="67677E98" w14:textId="77777777" w:rsidR="00862E0E" w:rsidRPr="00AB6A5E" w:rsidRDefault="00862E0E" w:rsidP="00862E0E">
      <w:pPr>
        <w:spacing w:before="120" w:line="276" w:lineRule="auto"/>
        <w:ind w:firstLine="709"/>
        <w:jc w:val="both"/>
        <w:rPr>
          <w:rFonts w:ascii="Arial" w:eastAsia="Calibri" w:hAnsi="Arial" w:cs="Arial"/>
          <w:color w:val="000000"/>
          <w:sz w:val="22"/>
          <w:szCs w:val="22"/>
          <w:lang w:val="es-ES_tradnl" w:eastAsia="es-ES"/>
        </w:rPr>
      </w:pPr>
      <w:proofErr w:type="spellStart"/>
      <w:r w:rsidRPr="00AB6A5E">
        <w:rPr>
          <w:rFonts w:ascii="Arial" w:eastAsia="Calibri" w:hAnsi="Arial" w:cs="Arial"/>
          <w:color w:val="000000"/>
          <w:sz w:val="22"/>
          <w:szCs w:val="22"/>
          <w:lang w:val="es-ES_tradnl" w:eastAsia="es-ES"/>
        </w:rPr>
        <w:lastRenderedPageBreak/>
        <w:t>ix</w:t>
      </w:r>
      <w:proofErr w:type="spellEnd"/>
      <w:r w:rsidRPr="00AB6A5E">
        <w:rPr>
          <w:rFonts w:ascii="Arial" w:eastAsia="Calibri" w:hAnsi="Arial" w:cs="Arial"/>
          <w:color w:val="000000"/>
          <w:sz w:val="22"/>
          <w:szCs w:val="22"/>
          <w:lang w:val="es-ES_tradnl" w:eastAsia="es-ES"/>
        </w:rPr>
        <w:t>) Documentos tipo para procesos de licitación pública para obras de infraestructura de agua potable y saneamiento básico, obligatorios para los procesos cuyo aviso de convocatoria se haya publicado desde el 11 de diciembre de 2020.</w:t>
      </w:r>
    </w:p>
    <w:p w14:paraId="08708D33" w14:textId="77777777" w:rsidR="00862E0E" w:rsidRPr="00AB6A5E" w:rsidRDefault="00862E0E" w:rsidP="00862E0E">
      <w:pPr>
        <w:spacing w:before="120" w:after="120" w:line="276" w:lineRule="auto"/>
        <w:ind w:firstLine="709"/>
        <w:jc w:val="both"/>
        <w:rPr>
          <w:rFonts w:ascii="Arial" w:eastAsia="Calibri" w:hAnsi="Arial" w:cs="Arial"/>
          <w:color w:val="000000"/>
          <w:sz w:val="22"/>
          <w:szCs w:val="22"/>
          <w:lang w:val="es-ES_tradnl" w:eastAsia="es-ES"/>
        </w:rPr>
      </w:pPr>
      <w:r w:rsidRPr="00AB6A5E">
        <w:rPr>
          <w:rFonts w:ascii="Arial" w:eastAsia="Calibri" w:hAnsi="Arial" w:cs="Arial"/>
          <w:color w:val="000000"/>
          <w:sz w:val="22"/>
          <w:szCs w:val="22"/>
          <w:lang w:val="es-ES_tradnl" w:eastAsia="es-ES"/>
        </w:rPr>
        <w:t>x) Documentos tipo para procesos de licitación pública para obras de infraestructura de agua potable y saneamiento básico en la modalidad llave en mano, obligatorios para los procesos cuyo aviso de convocatoria se haya publicado desde el 11 de diciembre de 2020.</w:t>
      </w:r>
    </w:p>
    <w:p w14:paraId="60E59A4B" w14:textId="77777777" w:rsidR="00862E0E" w:rsidRPr="00AB6A5E" w:rsidRDefault="00862E0E" w:rsidP="00862E0E">
      <w:pPr>
        <w:spacing w:before="120" w:after="120" w:line="276" w:lineRule="auto"/>
        <w:ind w:firstLine="709"/>
        <w:jc w:val="both"/>
        <w:rPr>
          <w:rFonts w:ascii="Arial" w:eastAsia="Calibri" w:hAnsi="Arial" w:cs="Arial"/>
          <w:color w:val="000000"/>
          <w:sz w:val="22"/>
          <w:szCs w:val="22"/>
          <w:lang w:val="es-ES_tradnl" w:eastAsia="es-ES"/>
        </w:rPr>
      </w:pPr>
      <w:r w:rsidRPr="00AB6A5E">
        <w:rPr>
          <w:rFonts w:ascii="Arial" w:eastAsia="Calibri" w:hAnsi="Arial" w:cs="Arial"/>
          <w:color w:val="000000"/>
          <w:sz w:val="22"/>
          <w:szCs w:val="22"/>
          <w:lang w:val="es-ES_tradnl" w:eastAsia="es-ES"/>
        </w:rPr>
        <w:t>xi) Documentos tipo para procesos de gestión catastral con enfoque multipropósito que se celebren a través de contratos interadministrativos, obligatorios para los contratos celebrados a partir del 1 de febrero de 2021.</w:t>
      </w:r>
    </w:p>
    <w:p w14:paraId="635D14FF" w14:textId="77777777" w:rsidR="00862E0E" w:rsidRPr="00AB6A5E" w:rsidRDefault="00862E0E" w:rsidP="00862E0E">
      <w:pPr>
        <w:spacing w:after="120" w:line="276" w:lineRule="auto"/>
        <w:ind w:firstLine="709"/>
        <w:jc w:val="both"/>
        <w:rPr>
          <w:rFonts w:ascii="Arial" w:eastAsia="Calibri" w:hAnsi="Arial" w:cs="Arial"/>
          <w:color w:val="000000"/>
          <w:sz w:val="22"/>
          <w:szCs w:val="22"/>
          <w:lang w:val="es-ES_tradnl" w:eastAsia="es-ES"/>
        </w:rPr>
      </w:pPr>
      <w:proofErr w:type="spellStart"/>
      <w:r w:rsidRPr="00AB6A5E">
        <w:rPr>
          <w:rFonts w:ascii="Arial" w:eastAsia="Calibri" w:hAnsi="Arial" w:cs="Arial"/>
          <w:color w:val="000000"/>
          <w:sz w:val="22"/>
          <w:szCs w:val="22"/>
          <w:lang w:val="es-ES_tradnl" w:eastAsia="es-ES"/>
        </w:rPr>
        <w:t>xii</w:t>
      </w:r>
      <w:proofErr w:type="spellEnd"/>
      <w:r w:rsidRPr="00AB6A5E">
        <w:rPr>
          <w:rFonts w:ascii="Arial" w:eastAsia="Calibri" w:hAnsi="Arial" w:cs="Arial"/>
          <w:color w:val="000000"/>
          <w:sz w:val="22"/>
          <w:szCs w:val="22"/>
          <w:lang w:val="es-ES_tradnl" w:eastAsia="es-ES"/>
        </w:rPr>
        <w:t>) Documentos tipo para los procesos de licitación de obra pública de infraestructura social, concretamente, para infraestructura en el sector educativo, obligatorios para los procesos cuyo aviso de convocatoria se publiquen desde el 2 de noviembre de 2021.</w:t>
      </w:r>
    </w:p>
    <w:p w14:paraId="04FB6E1B" w14:textId="77777777" w:rsidR="00862E0E" w:rsidRPr="00AB6A5E" w:rsidRDefault="00862E0E" w:rsidP="00862E0E">
      <w:pPr>
        <w:pStyle w:val="Normal11pt"/>
        <w:spacing w:before="120" w:line="276" w:lineRule="auto"/>
        <w:ind w:left="0" w:firstLine="709"/>
        <w:rPr>
          <w:rFonts w:eastAsia="Calibri"/>
          <w:color w:val="auto"/>
          <w:lang w:val="es-ES"/>
        </w:rPr>
      </w:pPr>
      <w:r w:rsidRPr="00AB6A5E">
        <w:rPr>
          <w:rFonts w:eastAsia="Calibri"/>
          <w:color w:val="auto"/>
          <w:lang w:val="es-ES"/>
        </w:rPr>
        <w:t>Cabe aclarar que la Agencia Nacional de Contratación Pública sigue avanzando en la expedición de nuevos documentos tipo. Sin embargo, debe tenerse en cuenta que estos exigen un minucioso desarrollo en el cual se consideran las observaciones de las entidades técnicas y especializadas, con la finalidad de expedir documentos tipo que contengan las mejores prácticas contractuales que procuren el adecuado desarrollo de los principios que rigen la contratación pública.</w:t>
      </w:r>
    </w:p>
    <w:p w14:paraId="3CBBB1C3" w14:textId="77777777" w:rsidR="00862E0E" w:rsidRDefault="00862E0E" w:rsidP="00862E0E">
      <w:pPr>
        <w:rPr>
          <w:rFonts w:ascii="Arial" w:hAnsi="Arial" w:cs="Arial"/>
          <w:sz w:val="22"/>
          <w:szCs w:val="22"/>
        </w:rPr>
      </w:pPr>
    </w:p>
    <w:p w14:paraId="079F6946" w14:textId="1B444D9C" w:rsidR="00862E0E" w:rsidRDefault="00862E0E" w:rsidP="00862E0E">
      <w:pPr>
        <w:pStyle w:val="Normal11pt"/>
        <w:spacing w:line="276" w:lineRule="auto"/>
        <w:ind w:left="0"/>
        <w:rPr>
          <w:rFonts w:eastAsia="Calibri"/>
          <w:b/>
          <w:bCs/>
          <w:color w:val="auto"/>
          <w:lang w:val="es-ES"/>
        </w:rPr>
      </w:pPr>
      <w:r>
        <w:rPr>
          <w:rFonts w:eastAsia="Calibri"/>
          <w:b/>
          <w:bCs/>
          <w:color w:val="auto"/>
          <w:lang w:val="es-ES"/>
        </w:rPr>
        <w:t>2.2. Implementación y ámbito de aplicación de los documentos tipo de licitación de obra pública de infraestructura social</w:t>
      </w:r>
      <w:r w:rsidR="00E11B55">
        <w:rPr>
          <w:rFonts w:eastAsia="Calibri"/>
          <w:b/>
          <w:bCs/>
          <w:color w:val="auto"/>
          <w:lang w:val="es-ES"/>
        </w:rPr>
        <w:t>. Noc</w:t>
      </w:r>
      <w:r w:rsidR="00F11318">
        <w:rPr>
          <w:rFonts w:eastAsia="Calibri"/>
          <w:b/>
          <w:bCs/>
          <w:color w:val="auto"/>
          <w:lang w:val="es-ES"/>
        </w:rPr>
        <w:t>iones</w:t>
      </w:r>
      <w:r w:rsidR="00E11B55">
        <w:rPr>
          <w:rFonts w:eastAsia="Calibri"/>
          <w:b/>
          <w:bCs/>
          <w:color w:val="auto"/>
          <w:lang w:val="es-ES"/>
        </w:rPr>
        <w:t xml:space="preserve"> de infraestructura cultural</w:t>
      </w:r>
      <w:r w:rsidR="00F11318">
        <w:rPr>
          <w:rFonts w:eastAsia="Calibri"/>
          <w:b/>
          <w:bCs/>
          <w:color w:val="auto"/>
          <w:lang w:val="es-ES"/>
        </w:rPr>
        <w:t xml:space="preserve">, plazas, plazuelas y plazoletas. </w:t>
      </w:r>
      <w:r>
        <w:rPr>
          <w:rFonts w:eastAsia="Calibri"/>
          <w:b/>
          <w:bCs/>
          <w:color w:val="auto"/>
          <w:lang w:val="es-ES"/>
        </w:rPr>
        <w:t xml:space="preserve"> </w:t>
      </w:r>
    </w:p>
    <w:p w14:paraId="09965755" w14:textId="77777777" w:rsidR="00862E0E" w:rsidRDefault="00862E0E" w:rsidP="00862E0E">
      <w:pPr>
        <w:pStyle w:val="Normal11pt"/>
        <w:ind w:left="0"/>
        <w:rPr>
          <w:rFonts w:eastAsia="Calibri"/>
          <w:b/>
          <w:bCs/>
          <w:color w:val="auto"/>
          <w:lang w:val="es-ES"/>
        </w:rPr>
      </w:pPr>
    </w:p>
    <w:p w14:paraId="67A1147E" w14:textId="7DE440EA" w:rsidR="00862E0E" w:rsidRDefault="00862E0E" w:rsidP="00862E0E">
      <w:pPr>
        <w:pStyle w:val="Normal11pt"/>
        <w:spacing w:after="120" w:line="276" w:lineRule="auto"/>
        <w:ind w:left="0"/>
        <w:rPr>
          <w:rFonts w:eastAsia="Calibri"/>
          <w:color w:val="auto"/>
          <w:lang w:val="es-ES"/>
        </w:rPr>
      </w:pPr>
      <w:r>
        <w:rPr>
          <w:rFonts w:eastAsia="Calibri"/>
          <w:color w:val="auto"/>
          <w:lang w:val="es-ES"/>
        </w:rPr>
        <w:t xml:space="preserve">Los documentos tipo para la contratación de obra pública de infraestructura social, adoptados por esta Agencia mediante la Resolución 219 del 6 de agosto de 2021, fueron concebidos como unos </w:t>
      </w:r>
      <w:r w:rsidRPr="00615D22">
        <w:rPr>
          <w:rFonts w:eastAsia="Calibri"/>
          <w:i/>
          <w:iCs/>
          <w:color w:val="auto"/>
          <w:lang w:val="es-ES"/>
        </w:rPr>
        <w:t>documentos tipo marco</w:t>
      </w:r>
      <w:r>
        <w:rPr>
          <w:rFonts w:eastAsia="Calibri"/>
          <w:i/>
          <w:iCs/>
          <w:color w:val="auto"/>
          <w:lang w:val="es-ES"/>
        </w:rPr>
        <w:t xml:space="preserve"> o transversales</w:t>
      </w:r>
      <w:r>
        <w:rPr>
          <w:rFonts w:eastAsia="Calibri"/>
          <w:color w:val="auto"/>
          <w:lang w:val="es-ES"/>
        </w:rPr>
        <w:t xml:space="preserve">, en la medida que el documento base, formatos, matrices y anexos implementados mediante la misma, </w:t>
      </w:r>
      <w:r w:rsidR="00E31965">
        <w:rPr>
          <w:rFonts w:eastAsia="Calibri"/>
          <w:color w:val="auto"/>
          <w:lang w:val="es-ES"/>
        </w:rPr>
        <w:t xml:space="preserve">son </w:t>
      </w:r>
      <w:r>
        <w:rPr>
          <w:rFonts w:eastAsia="Calibri"/>
          <w:color w:val="auto"/>
          <w:lang w:val="es-ES"/>
        </w:rPr>
        <w:t xml:space="preserve">aplicables a la contratación de obras en la modalidad de licitación pública, relacionadas con tres sectores que se integran el concepto de infraestructura social, a saber: i) educación, </w:t>
      </w:r>
      <w:proofErr w:type="spellStart"/>
      <w:r>
        <w:rPr>
          <w:rFonts w:eastAsia="Calibri"/>
          <w:color w:val="auto"/>
          <w:lang w:val="es-ES"/>
        </w:rPr>
        <w:t>ii</w:t>
      </w:r>
      <w:proofErr w:type="spellEnd"/>
      <w:r>
        <w:rPr>
          <w:rFonts w:eastAsia="Calibri"/>
          <w:color w:val="auto"/>
          <w:lang w:val="es-ES"/>
        </w:rPr>
        <w:t xml:space="preserve">) salud y  </w:t>
      </w:r>
      <w:proofErr w:type="spellStart"/>
      <w:r>
        <w:rPr>
          <w:rFonts w:eastAsia="Calibri"/>
          <w:color w:val="auto"/>
          <w:lang w:val="es-ES"/>
        </w:rPr>
        <w:t>iii</w:t>
      </w:r>
      <w:proofErr w:type="spellEnd"/>
      <w:r>
        <w:rPr>
          <w:rFonts w:eastAsia="Calibri"/>
          <w:color w:val="auto"/>
          <w:lang w:val="es-ES"/>
        </w:rPr>
        <w:t xml:space="preserve">) recreación, cultura y deporte. La aplicación de estos documentos tipo debe ser complementada con los </w:t>
      </w:r>
      <w:r w:rsidRPr="00615D22">
        <w:rPr>
          <w:rFonts w:eastAsia="Calibri"/>
          <w:i/>
          <w:iCs/>
          <w:color w:val="auto"/>
          <w:lang w:val="es-ES"/>
        </w:rPr>
        <w:t>documentos tipo complementarios</w:t>
      </w:r>
      <w:r>
        <w:rPr>
          <w:rFonts w:eastAsia="Calibri"/>
          <w:color w:val="auto"/>
          <w:lang w:val="es-ES"/>
        </w:rPr>
        <w:t xml:space="preserve"> </w:t>
      </w:r>
      <w:r w:rsidR="00E31965">
        <w:rPr>
          <w:rFonts w:eastAsia="Calibri"/>
          <w:color w:val="auto"/>
          <w:lang w:val="es-ES"/>
        </w:rPr>
        <w:t>expedidos</w:t>
      </w:r>
      <w:r>
        <w:rPr>
          <w:rFonts w:eastAsia="Calibri"/>
          <w:color w:val="auto"/>
          <w:lang w:val="es-ES"/>
        </w:rPr>
        <w:t xml:space="preserve"> para cada sector, consistentes en las matrices de experiencia y anexos técnicos de cada</w:t>
      </w:r>
      <w:r w:rsidR="00E31965">
        <w:rPr>
          <w:rFonts w:eastAsia="Calibri"/>
          <w:color w:val="auto"/>
          <w:lang w:val="es-ES"/>
        </w:rPr>
        <w:t xml:space="preserve"> uno de ellos</w:t>
      </w:r>
      <w:r>
        <w:rPr>
          <w:rFonts w:eastAsia="Calibri"/>
          <w:color w:val="auto"/>
          <w:lang w:val="es-ES"/>
        </w:rPr>
        <w:t xml:space="preserve">. </w:t>
      </w:r>
    </w:p>
    <w:p w14:paraId="299C23F4" w14:textId="66A9389B" w:rsidR="00862E0E" w:rsidRDefault="00862E0E" w:rsidP="00862E0E">
      <w:pPr>
        <w:pStyle w:val="Normal11pt"/>
        <w:spacing w:after="120" w:line="276" w:lineRule="auto"/>
        <w:ind w:left="0"/>
        <w:rPr>
          <w:rFonts w:eastAsia="Calibri"/>
          <w:color w:val="auto"/>
          <w:lang w:val="es-ES"/>
        </w:rPr>
      </w:pPr>
      <w:r>
        <w:rPr>
          <w:rFonts w:eastAsia="Calibri"/>
          <w:color w:val="auto"/>
          <w:lang w:val="es-ES"/>
        </w:rPr>
        <w:tab/>
        <w:t>En este orden de ideas, la Agencia ha expedido tres documentos tipo complementarios de infraestructura social.</w:t>
      </w:r>
      <w:r w:rsidR="00E31965">
        <w:rPr>
          <w:rFonts w:eastAsia="Calibri"/>
          <w:color w:val="auto"/>
          <w:lang w:val="es-ES"/>
        </w:rPr>
        <w:t xml:space="preserve"> </w:t>
      </w:r>
      <w:r>
        <w:rPr>
          <w:rFonts w:eastAsia="Calibri"/>
          <w:color w:val="auto"/>
          <w:lang w:val="es-ES"/>
        </w:rPr>
        <w:t xml:space="preserve"> </w:t>
      </w:r>
      <w:r w:rsidR="00E31965">
        <w:rPr>
          <w:rFonts w:eastAsia="Calibri"/>
          <w:color w:val="auto"/>
          <w:lang w:val="es-ES"/>
        </w:rPr>
        <w:t>L</w:t>
      </w:r>
      <w:r w:rsidRPr="00303CC5">
        <w:rPr>
          <w:rFonts w:eastAsia="Calibri"/>
          <w:color w:val="auto"/>
          <w:lang w:val="es-ES"/>
        </w:rPr>
        <w:t xml:space="preserve">a Resolución 220 del 6 de agosto de 2021, </w:t>
      </w:r>
      <w:r w:rsidR="00D02A03">
        <w:rPr>
          <w:rFonts w:eastAsia="Calibri"/>
          <w:color w:val="auto"/>
          <w:lang w:val="es-ES"/>
        </w:rPr>
        <w:t>«</w:t>
      </w:r>
      <w:r w:rsidRPr="006B0686">
        <w:rPr>
          <w:rFonts w:eastAsia="Calibri"/>
          <w:color w:val="auto"/>
          <w:lang w:val="es-ES"/>
        </w:rPr>
        <w:t>Por la cual se adoptan los documentos tipo complementarios para los procesos de licitación de obra pública de infraestructura social relacionados con el sector educativo</w:t>
      </w:r>
      <w:r w:rsidR="00D02A03">
        <w:rPr>
          <w:rFonts w:eastAsia="Calibri"/>
          <w:color w:val="auto"/>
          <w:lang w:val="es-ES"/>
        </w:rPr>
        <w:t>»</w:t>
      </w:r>
      <w:r>
        <w:rPr>
          <w:rFonts w:eastAsia="Calibri"/>
          <w:color w:val="auto"/>
          <w:lang w:val="es-ES"/>
        </w:rPr>
        <w:t xml:space="preserve">; la Resolución </w:t>
      </w:r>
      <w:r w:rsidRPr="006B0686">
        <w:rPr>
          <w:rFonts w:eastAsia="Calibri"/>
          <w:color w:val="auto"/>
          <w:lang w:val="es-ES"/>
        </w:rPr>
        <w:t xml:space="preserve">392 de 2021 </w:t>
      </w:r>
      <w:r>
        <w:rPr>
          <w:rFonts w:eastAsia="Calibri"/>
          <w:color w:val="auto"/>
          <w:lang w:val="es-ES"/>
        </w:rPr>
        <w:t xml:space="preserve">del 18 de noviembre de 2021, </w:t>
      </w:r>
      <w:r w:rsidR="00D02A03">
        <w:rPr>
          <w:rFonts w:eastAsia="Calibri"/>
          <w:color w:val="auto"/>
          <w:lang w:val="es-ES"/>
        </w:rPr>
        <w:t>«</w:t>
      </w:r>
      <w:r w:rsidRPr="006B0686">
        <w:rPr>
          <w:rFonts w:eastAsia="Calibri"/>
          <w:color w:val="auto"/>
          <w:lang w:val="es-ES"/>
        </w:rPr>
        <w:t xml:space="preserve">Por la cual se adoptan los </w:t>
      </w:r>
      <w:r w:rsidRPr="006B0686">
        <w:rPr>
          <w:rFonts w:eastAsia="Calibri"/>
          <w:color w:val="auto"/>
          <w:lang w:val="es-ES"/>
        </w:rPr>
        <w:lastRenderedPageBreak/>
        <w:t>documentos tipo complementarios para los procesos de licitación de obra pública de infraestructura social relacionados con el sector salud</w:t>
      </w:r>
      <w:r w:rsidR="00D02A03">
        <w:rPr>
          <w:rFonts w:eastAsia="Calibri"/>
          <w:color w:val="auto"/>
          <w:lang w:val="es-ES"/>
        </w:rPr>
        <w:t>» y</w:t>
      </w:r>
      <w:r>
        <w:rPr>
          <w:rFonts w:eastAsia="Calibri"/>
          <w:color w:val="auto"/>
          <w:lang w:val="es-ES"/>
        </w:rPr>
        <w:t xml:space="preserve"> la Resolución </w:t>
      </w:r>
      <w:r w:rsidRPr="006B0686">
        <w:rPr>
          <w:rFonts w:eastAsia="Calibri"/>
          <w:color w:val="auto"/>
          <w:lang w:val="es-ES"/>
        </w:rPr>
        <w:t>454 de 2021</w:t>
      </w:r>
      <w:r>
        <w:rPr>
          <w:rFonts w:eastAsia="Calibri"/>
          <w:color w:val="auto"/>
          <w:lang w:val="es-ES"/>
        </w:rPr>
        <w:t xml:space="preserve"> del 16 de diciembre de 2021,</w:t>
      </w:r>
      <w:r w:rsidRPr="006B0686">
        <w:rPr>
          <w:rFonts w:eastAsia="Calibri"/>
          <w:color w:val="auto"/>
          <w:lang w:val="es-ES"/>
        </w:rPr>
        <w:t xml:space="preserve"> </w:t>
      </w:r>
      <w:r w:rsidR="00D02A03">
        <w:rPr>
          <w:rFonts w:eastAsia="Calibri"/>
          <w:color w:val="auto"/>
          <w:lang w:val="es-ES"/>
        </w:rPr>
        <w:t>«</w:t>
      </w:r>
      <w:r w:rsidRPr="006B0686">
        <w:rPr>
          <w:rFonts w:eastAsia="Calibri"/>
          <w:color w:val="auto"/>
          <w:lang w:val="es-ES"/>
        </w:rPr>
        <w:t>Por la cual se adoptan los documentos tipo complementarios para los procesos de licitación de obra pública de infraestructura social relacionados con el Sector cultura, recreación y deporte</w:t>
      </w:r>
      <w:r w:rsidR="00D02A03">
        <w:rPr>
          <w:rFonts w:eastAsia="Calibri"/>
          <w:color w:val="auto"/>
          <w:lang w:val="es-ES"/>
        </w:rPr>
        <w:t>»</w:t>
      </w:r>
      <w:r w:rsidRPr="006B0686">
        <w:rPr>
          <w:rFonts w:eastAsia="Calibri"/>
          <w:color w:val="auto"/>
          <w:lang w:val="es-ES"/>
        </w:rPr>
        <w:t>.</w:t>
      </w:r>
    </w:p>
    <w:p w14:paraId="661C1CFB" w14:textId="77777777" w:rsidR="00862E0E" w:rsidRDefault="00862E0E" w:rsidP="00862E0E">
      <w:pPr>
        <w:pStyle w:val="Normal11pt"/>
        <w:spacing w:after="120" w:line="276" w:lineRule="auto"/>
        <w:ind w:left="0" w:firstLine="708"/>
        <w:rPr>
          <w:rFonts w:eastAsia="Calibri"/>
          <w:color w:val="auto"/>
          <w:lang w:val="es-ES"/>
        </w:rPr>
      </w:pPr>
      <w:r>
        <w:rPr>
          <w:rFonts w:eastAsia="Calibri"/>
          <w:color w:val="auto"/>
          <w:lang w:val="es-ES"/>
        </w:rPr>
        <w:t xml:space="preserve">Debe destacarse que, en principio, las Resoluciones 219 y 220 del 6 de agosto de 2021 señalaban como fecha de inicio de implementación de estos documentos tipo el 30 de agosto de 2021. Sin embargo, diferentes entidades de los sectores involucrados, solicitaron a esta Agencia el aplazamiento de dicha fecha de aplicación, con el propósito de generar un mejor aproximación, apropiación y capacitación sobre el contenido de estos documentos, motivo por el cual se expidió la Resolución 261 del 27 de agosto de 2021, la cual aplazó la aplicación obligatoria de los documentos tipo de obra pública de infraestructura social y los complementarios del sector educativo para aquellos procesos «[…] </w:t>
      </w:r>
      <w:r w:rsidRPr="00EA6992">
        <w:rPr>
          <w:rFonts w:eastAsia="Calibri"/>
          <w:color w:val="auto"/>
          <w:lang w:val="es-ES"/>
        </w:rPr>
        <w:t>cuyo aviso de convocatoria sea publicado a partir del 2 de noviembre</w:t>
      </w:r>
      <w:r>
        <w:rPr>
          <w:rFonts w:eastAsia="Calibri"/>
          <w:color w:val="auto"/>
          <w:lang w:val="es-ES"/>
        </w:rPr>
        <w:t xml:space="preserve"> </w:t>
      </w:r>
      <w:r w:rsidRPr="00EA6992">
        <w:rPr>
          <w:rFonts w:eastAsia="Calibri"/>
          <w:color w:val="auto"/>
          <w:lang w:val="es-ES"/>
        </w:rPr>
        <w:t>del 2021</w:t>
      </w:r>
      <w:r>
        <w:rPr>
          <w:rFonts w:eastAsia="Calibri"/>
          <w:color w:val="auto"/>
          <w:lang w:val="es-ES"/>
        </w:rPr>
        <w:t>».</w:t>
      </w:r>
    </w:p>
    <w:p w14:paraId="5F90C51D" w14:textId="77777777" w:rsidR="00862E0E" w:rsidRDefault="00862E0E" w:rsidP="00862E0E">
      <w:pPr>
        <w:pStyle w:val="Normal11pt"/>
        <w:spacing w:after="120" w:line="276" w:lineRule="auto"/>
        <w:ind w:left="0" w:firstLine="708"/>
        <w:rPr>
          <w:rFonts w:eastAsia="Calibri"/>
          <w:color w:val="auto"/>
          <w:lang w:val="es-ES"/>
        </w:rPr>
      </w:pPr>
      <w:r>
        <w:rPr>
          <w:rFonts w:eastAsia="Calibri"/>
          <w:color w:val="auto"/>
          <w:lang w:val="es-ES"/>
        </w:rPr>
        <w:t>Sin embargo, el 2 de noviembre de 2021 se expidió la Resolución 336 de 2021, “</w:t>
      </w:r>
      <w:r w:rsidRPr="005B5C06">
        <w:rPr>
          <w:rFonts w:eastAsia="Calibri"/>
          <w:color w:val="auto"/>
          <w:lang w:val="es-ES"/>
        </w:rPr>
        <w:t>Por la cual se aplaza y se dispone la implementación gradual y progresiva de los Documentos tipo de obra pública de infraestructura social</w:t>
      </w:r>
      <w:r>
        <w:rPr>
          <w:rFonts w:eastAsia="Calibri"/>
          <w:color w:val="auto"/>
          <w:lang w:val="es-ES"/>
        </w:rPr>
        <w:t>”, aplicable para los tres documentos tipo complementarios que se han expedido. En su artículo 1 se establece:</w:t>
      </w:r>
    </w:p>
    <w:p w14:paraId="4FE6D402" w14:textId="77777777" w:rsidR="00862E0E" w:rsidRPr="00463923" w:rsidRDefault="00862E0E" w:rsidP="00862E0E">
      <w:pPr>
        <w:pStyle w:val="Normal11pt"/>
        <w:ind w:left="708" w:right="1325"/>
        <w:rPr>
          <w:rFonts w:eastAsia="Calibri"/>
          <w:color w:val="auto"/>
          <w:sz w:val="21"/>
          <w:szCs w:val="21"/>
          <w:lang w:val="es-ES"/>
        </w:rPr>
      </w:pPr>
      <w:r w:rsidRPr="00322087">
        <w:rPr>
          <w:rFonts w:eastAsia="Calibri"/>
          <w:color w:val="auto"/>
          <w:sz w:val="21"/>
          <w:szCs w:val="21"/>
          <w:lang w:val="es-ES"/>
        </w:rPr>
        <w:t>«</w:t>
      </w:r>
      <w:r w:rsidRPr="00463923">
        <w:rPr>
          <w:rFonts w:eastAsia="Calibri"/>
          <w:color w:val="auto"/>
          <w:sz w:val="21"/>
          <w:szCs w:val="21"/>
          <w:lang w:val="es-ES"/>
        </w:rPr>
        <w:t>Artículo 1.  Modifíquese el artículo 6 de la Resolución 219 del 6 de agosto de 2021.  Modifíquese el artículo 6 de la Resolución 219 del 6 de agosto de 2021, modificado por la Resolución 261 del 27 de agosto de 2021, por medio de la cual se expidieron los documentos tipo para procesos de licitación de obra pública de infraestructura social, en los siguientes términos:</w:t>
      </w:r>
    </w:p>
    <w:p w14:paraId="65602ED6" w14:textId="77777777" w:rsidR="00862E0E" w:rsidRDefault="00862E0E" w:rsidP="00862E0E">
      <w:pPr>
        <w:pStyle w:val="Normal11pt"/>
        <w:ind w:left="708" w:right="1325"/>
        <w:rPr>
          <w:rFonts w:eastAsia="Calibri"/>
          <w:color w:val="auto"/>
          <w:sz w:val="21"/>
          <w:szCs w:val="21"/>
          <w:lang w:val="es-ES"/>
        </w:rPr>
      </w:pPr>
      <w:r w:rsidRPr="00463923">
        <w:rPr>
          <w:rFonts w:eastAsia="Calibri"/>
          <w:color w:val="auto"/>
          <w:sz w:val="21"/>
          <w:szCs w:val="21"/>
          <w:lang w:val="es-ES"/>
        </w:rPr>
        <w:t>“Artículo 6: Vigencia: La presente resolución rige a partir de su publicación y comenzará a aplicarse, de manera gradual y progresiva, en los procedimientos de selección de licitación de obra pública de infraestructura social de acuerdo con el siguiente cronograma:</w:t>
      </w:r>
    </w:p>
    <w:p w14:paraId="35F1A6FA" w14:textId="77777777" w:rsidR="00862E0E" w:rsidRDefault="00862E0E" w:rsidP="00862E0E">
      <w:pPr>
        <w:pStyle w:val="Normal11pt"/>
        <w:ind w:left="708" w:right="1325"/>
        <w:rPr>
          <w:rFonts w:eastAsia="Calibri"/>
          <w:color w:val="auto"/>
          <w:sz w:val="21"/>
          <w:szCs w:val="21"/>
          <w:lang w:val="es-ES"/>
        </w:rPr>
      </w:pPr>
      <w:r>
        <w:rPr>
          <w:rFonts w:eastAsia="Calibri"/>
          <w:color w:val="auto"/>
          <w:sz w:val="21"/>
          <w:szCs w:val="21"/>
          <w:lang w:val="es-ES"/>
        </w:rPr>
        <w:t xml:space="preserve">1. Las </w:t>
      </w:r>
      <w:r w:rsidRPr="004D1AA9">
        <w:rPr>
          <w:rFonts w:eastAsia="Calibri"/>
          <w:color w:val="auto"/>
          <w:sz w:val="21"/>
          <w:szCs w:val="21"/>
          <w:lang w:val="es-ES"/>
        </w:rPr>
        <w:t>entidades</w:t>
      </w:r>
      <w:r>
        <w:rPr>
          <w:rFonts w:eastAsia="Calibri"/>
          <w:color w:val="auto"/>
          <w:sz w:val="21"/>
          <w:szCs w:val="21"/>
          <w:lang w:val="es-ES"/>
        </w:rPr>
        <w:t xml:space="preserve"> </w:t>
      </w:r>
      <w:r w:rsidRPr="004D1AA9">
        <w:rPr>
          <w:rFonts w:eastAsia="Calibri"/>
          <w:color w:val="auto"/>
          <w:sz w:val="21"/>
          <w:szCs w:val="21"/>
          <w:lang w:val="es-ES"/>
        </w:rPr>
        <w:t>de</w:t>
      </w:r>
      <w:r>
        <w:rPr>
          <w:rFonts w:eastAsia="Calibri"/>
          <w:color w:val="auto"/>
          <w:sz w:val="21"/>
          <w:szCs w:val="21"/>
          <w:lang w:val="es-ES"/>
        </w:rPr>
        <w:t xml:space="preserve"> </w:t>
      </w:r>
      <w:r w:rsidRPr="004D1AA9">
        <w:rPr>
          <w:rFonts w:eastAsia="Calibri"/>
          <w:color w:val="auto"/>
          <w:sz w:val="21"/>
          <w:szCs w:val="21"/>
          <w:lang w:val="es-ES"/>
        </w:rPr>
        <w:t>los</w:t>
      </w:r>
      <w:r>
        <w:rPr>
          <w:rFonts w:eastAsia="Calibri"/>
          <w:color w:val="auto"/>
          <w:sz w:val="21"/>
          <w:szCs w:val="21"/>
          <w:lang w:val="es-ES"/>
        </w:rPr>
        <w:t xml:space="preserve"> </w:t>
      </w:r>
      <w:r w:rsidRPr="004D1AA9">
        <w:rPr>
          <w:rFonts w:eastAsia="Calibri"/>
          <w:color w:val="auto"/>
          <w:sz w:val="21"/>
          <w:szCs w:val="21"/>
          <w:lang w:val="es-ES"/>
        </w:rPr>
        <w:t>sectores</w:t>
      </w:r>
      <w:r>
        <w:rPr>
          <w:rFonts w:eastAsia="Calibri"/>
          <w:color w:val="auto"/>
          <w:sz w:val="21"/>
          <w:szCs w:val="21"/>
          <w:lang w:val="es-ES"/>
        </w:rPr>
        <w:t xml:space="preserve"> </w:t>
      </w:r>
      <w:r w:rsidRPr="004D1AA9">
        <w:rPr>
          <w:rFonts w:eastAsia="Calibri"/>
          <w:color w:val="auto"/>
          <w:sz w:val="21"/>
          <w:szCs w:val="21"/>
          <w:lang w:val="es-ES"/>
        </w:rPr>
        <w:t>ce</w:t>
      </w:r>
      <w:r>
        <w:rPr>
          <w:rFonts w:eastAsia="Calibri"/>
          <w:color w:val="auto"/>
          <w:sz w:val="21"/>
          <w:szCs w:val="21"/>
          <w:lang w:val="es-ES"/>
        </w:rPr>
        <w:t xml:space="preserve">ntral y descentralizado de la Rama </w:t>
      </w:r>
      <w:r w:rsidRPr="004D1AA9">
        <w:rPr>
          <w:rFonts w:eastAsia="Calibri"/>
          <w:color w:val="auto"/>
          <w:sz w:val="21"/>
          <w:szCs w:val="21"/>
          <w:lang w:val="es-ES"/>
        </w:rPr>
        <w:t>Ejecutiva</w:t>
      </w:r>
      <w:r>
        <w:rPr>
          <w:rFonts w:eastAsia="Calibri"/>
          <w:color w:val="auto"/>
          <w:sz w:val="21"/>
          <w:szCs w:val="21"/>
          <w:lang w:val="es-ES"/>
        </w:rPr>
        <w:t xml:space="preserve"> </w:t>
      </w:r>
      <w:r w:rsidRPr="004D1AA9">
        <w:rPr>
          <w:rFonts w:eastAsia="Calibri"/>
          <w:color w:val="auto"/>
          <w:sz w:val="21"/>
          <w:szCs w:val="21"/>
          <w:lang w:val="es-ES"/>
        </w:rPr>
        <w:t>del</w:t>
      </w:r>
      <w:r>
        <w:rPr>
          <w:rFonts w:eastAsia="Calibri"/>
          <w:color w:val="auto"/>
          <w:sz w:val="21"/>
          <w:szCs w:val="21"/>
          <w:lang w:val="es-ES"/>
        </w:rPr>
        <w:t xml:space="preserve"> </w:t>
      </w:r>
      <w:r w:rsidRPr="004D1AA9">
        <w:rPr>
          <w:rFonts w:eastAsia="Calibri"/>
          <w:color w:val="auto"/>
          <w:sz w:val="21"/>
          <w:szCs w:val="21"/>
          <w:lang w:val="es-ES"/>
        </w:rPr>
        <w:t>orden nacional deberán</w:t>
      </w:r>
      <w:r>
        <w:rPr>
          <w:rFonts w:eastAsia="Calibri"/>
          <w:color w:val="auto"/>
          <w:sz w:val="21"/>
          <w:szCs w:val="21"/>
          <w:lang w:val="es-ES"/>
        </w:rPr>
        <w:t xml:space="preserve"> </w:t>
      </w:r>
      <w:r w:rsidRPr="004D1AA9">
        <w:rPr>
          <w:rFonts w:eastAsia="Calibri"/>
          <w:color w:val="auto"/>
          <w:sz w:val="21"/>
          <w:szCs w:val="21"/>
          <w:lang w:val="es-ES"/>
        </w:rPr>
        <w:t>aplicar lo dispuesto</w:t>
      </w:r>
      <w:r>
        <w:rPr>
          <w:rFonts w:eastAsia="Calibri"/>
          <w:color w:val="auto"/>
          <w:sz w:val="21"/>
          <w:szCs w:val="21"/>
          <w:lang w:val="es-ES"/>
        </w:rPr>
        <w:t xml:space="preserve"> </w:t>
      </w:r>
      <w:r w:rsidRPr="004D1AA9">
        <w:rPr>
          <w:rFonts w:eastAsia="Calibri"/>
          <w:color w:val="auto"/>
          <w:sz w:val="21"/>
          <w:szCs w:val="21"/>
          <w:lang w:val="es-ES"/>
        </w:rPr>
        <w:t>en esta</w:t>
      </w:r>
      <w:r>
        <w:rPr>
          <w:rFonts w:eastAsia="Calibri"/>
          <w:color w:val="auto"/>
          <w:sz w:val="21"/>
          <w:szCs w:val="21"/>
          <w:lang w:val="es-ES"/>
        </w:rPr>
        <w:t xml:space="preserve"> </w:t>
      </w:r>
      <w:r w:rsidRPr="004D1AA9">
        <w:rPr>
          <w:rFonts w:eastAsia="Calibri"/>
          <w:color w:val="auto"/>
          <w:sz w:val="21"/>
          <w:szCs w:val="21"/>
          <w:lang w:val="es-ES"/>
        </w:rPr>
        <w:t xml:space="preserve">resolución </w:t>
      </w:r>
      <w:r>
        <w:rPr>
          <w:rFonts w:eastAsia="Calibri"/>
          <w:color w:val="auto"/>
          <w:sz w:val="21"/>
          <w:szCs w:val="21"/>
          <w:lang w:val="es-ES"/>
        </w:rPr>
        <w:t>en</w:t>
      </w:r>
      <w:r w:rsidRPr="004D1AA9">
        <w:rPr>
          <w:rFonts w:eastAsia="Calibri"/>
          <w:color w:val="auto"/>
          <w:sz w:val="21"/>
          <w:szCs w:val="21"/>
          <w:lang w:val="es-ES"/>
        </w:rPr>
        <w:t xml:space="preserve"> los </w:t>
      </w:r>
      <w:r>
        <w:rPr>
          <w:rFonts w:eastAsia="Calibri"/>
          <w:color w:val="auto"/>
          <w:sz w:val="21"/>
          <w:szCs w:val="21"/>
          <w:lang w:val="es-ES"/>
        </w:rPr>
        <w:t>p</w:t>
      </w:r>
      <w:r w:rsidRPr="004D1AA9">
        <w:rPr>
          <w:rFonts w:eastAsia="Calibri"/>
          <w:color w:val="auto"/>
          <w:sz w:val="21"/>
          <w:szCs w:val="21"/>
          <w:lang w:val="es-ES"/>
        </w:rPr>
        <w:t>rocedimientos de selección de licitación de obra pública de infraestructura social, cuyo aviso de convocatoria sea publicado a partir del 2 de noviembre de 2021.</w:t>
      </w:r>
    </w:p>
    <w:p w14:paraId="129F997E" w14:textId="77777777" w:rsidR="00862E0E" w:rsidRDefault="00862E0E" w:rsidP="00862E0E">
      <w:pPr>
        <w:pStyle w:val="Normal11pt"/>
        <w:ind w:left="708" w:right="1325"/>
        <w:rPr>
          <w:rFonts w:eastAsia="Calibri"/>
          <w:color w:val="auto"/>
          <w:sz w:val="21"/>
          <w:szCs w:val="21"/>
          <w:lang w:val="es-ES"/>
        </w:rPr>
      </w:pPr>
      <w:r w:rsidRPr="004D1AA9">
        <w:rPr>
          <w:rFonts w:eastAsia="Calibri"/>
          <w:color w:val="auto"/>
          <w:sz w:val="21"/>
          <w:szCs w:val="21"/>
          <w:lang w:val="es-ES"/>
        </w:rPr>
        <w:t>2</w:t>
      </w:r>
      <w:r>
        <w:rPr>
          <w:rFonts w:eastAsia="Calibri"/>
          <w:color w:val="auto"/>
          <w:sz w:val="21"/>
          <w:szCs w:val="21"/>
          <w:lang w:val="es-ES"/>
        </w:rPr>
        <w:t xml:space="preserve">.Las entidades del sector central y sector descentralizado de los niveles municipal y distrital de los municipios y distritos que sean capitales de departamentos deberán aplicar lo dispuesto en </w:t>
      </w:r>
      <w:r w:rsidRPr="004D1AA9">
        <w:rPr>
          <w:rFonts w:eastAsia="Calibri"/>
          <w:color w:val="auto"/>
          <w:sz w:val="21"/>
          <w:szCs w:val="21"/>
          <w:lang w:val="es-ES"/>
        </w:rPr>
        <w:t>esta resolución en</w:t>
      </w:r>
      <w:r>
        <w:rPr>
          <w:rFonts w:eastAsia="Calibri"/>
          <w:color w:val="auto"/>
          <w:sz w:val="21"/>
          <w:szCs w:val="21"/>
          <w:lang w:val="es-ES"/>
        </w:rPr>
        <w:t xml:space="preserve"> </w:t>
      </w:r>
      <w:r w:rsidRPr="004D1AA9">
        <w:rPr>
          <w:rFonts w:eastAsia="Calibri"/>
          <w:color w:val="auto"/>
          <w:sz w:val="21"/>
          <w:szCs w:val="21"/>
          <w:lang w:val="es-ES"/>
        </w:rPr>
        <w:t xml:space="preserve">los procedimientos de selección de licitación de obra pública de infraestructura social, cuyo aviso de convocatoria sea publicado a partir del 1 de febrero de 2022. </w:t>
      </w:r>
    </w:p>
    <w:p w14:paraId="0FD033FE" w14:textId="072A6CC4" w:rsidR="00862E0E" w:rsidRDefault="00862E0E" w:rsidP="00862E0E">
      <w:pPr>
        <w:pStyle w:val="Normal11pt"/>
        <w:ind w:left="708" w:right="1325"/>
        <w:rPr>
          <w:rFonts w:eastAsia="Calibri"/>
          <w:color w:val="auto"/>
          <w:sz w:val="21"/>
          <w:szCs w:val="21"/>
          <w:lang w:val="es-ES"/>
        </w:rPr>
      </w:pPr>
      <w:r w:rsidRPr="004D1AA9">
        <w:rPr>
          <w:rFonts w:eastAsia="Calibri"/>
          <w:color w:val="auto"/>
          <w:sz w:val="21"/>
          <w:szCs w:val="21"/>
          <w:lang w:val="es-ES"/>
        </w:rPr>
        <w:t>3. Las entidades del sec</w:t>
      </w:r>
      <w:r>
        <w:rPr>
          <w:rFonts w:eastAsia="Calibri"/>
          <w:color w:val="auto"/>
          <w:sz w:val="21"/>
          <w:szCs w:val="21"/>
          <w:lang w:val="es-ES"/>
        </w:rPr>
        <w:t>t</w:t>
      </w:r>
      <w:r w:rsidRPr="004D1AA9">
        <w:rPr>
          <w:rFonts w:eastAsia="Calibri"/>
          <w:color w:val="auto"/>
          <w:sz w:val="21"/>
          <w:szCs w:val="21"/>
          <w:lang w:val="es-ES"/>
        </w:rPr>
        <w:t>or central y del sector descentralizado del nivel depar</w:t>
      </w:r>
      <w:r>
        <w:rPr>
          <w:rFonts w:eastAsia="Calibri"/>
          <w:color w:val="auto"/>
          <w:sz w:val="21"/>
          <w:szCs w:val="21"/>
          <w:lang w:val="es-ES"/>
        </w:rPr>
        <w:t>t</w:t>
      </w:r>
      <w:r w:rsidRPr="004D1AA9">
        <w:rPr>
          <w:rFonts w:eastAsia="Calibri"/>
          <w:color w:val="auto"/>
          <w:sz w:val="21"/>
          <w:szCs w:val="21"/>
          <w:lang w:val="es-ES"/>
        </w:rPr>
        <w:t>amental, así como las de los municipios de categorías especial 1, 2 y 3, no cob</w:t>
      </w:r>
      <w:r>
        <w:rPr>
          <w:rFonts w:eastAsia="Calibri"/>
          <w:color w:val="auto"/>
          <w:sz w:val="21"/>
          <w:szCs w:val="21"/>
          <w:lang w:val="es-ES"/>
        </w:rPr>
        <w:t xml:space="preserve">ijadas </w:t>
      </w:r>
      <w:r w:rsidRPr="004D1AA9">
        <w:rPr>
          <w:rFonts w:eastAsia="Calibri"/>
          <w:color w:val="auto"/>
          <w:sz w:val="21"/>
          <w:szCs w:val="21"/>
          <w:lang w:val="es-ES"/>
        </w:rPr>
        <w:t xml:space="preserve">por los anteriores numerales del presente artículo, deberán aplicar lo dispuesto en esta resolución en los procedimientos de </w:t>
      </w:r>
      <w:r w:rsidRPr="004D1AA9">
        <w:rPr>
          <w:rFonts w:eastAsia="Calibri"/>
          <w:color w:val="auto"/>
          <w:sz w:val="21"/>
          <w:szCs w:val="21"/>
          <w:lang w:val="es-ES"/>
        </w:rPr>
        <w:lastRenderedPageBreak/>
        <w:t>selección de licitación de obra pública de infraestructura social, cuyo aviso de convocatoria sea publicado a par</w:t>
      </w:r>
      <w:r>
        <w:rPr>
          <w:rFonts w:eastAsia="Calibri"/>
          <w:color w:val="auto"/>
          <w:sz w:val="21"/>
          <w:szCs w:val="21"/>
          <w:lang w:val="es-ES"/>
        </w:rPr>
        <w:t>tir</w:t>
      </w:r>
      <w:r w:rsidRPr="004D1AA9">
        <w:rPr>
          <w:rFonts w:eastAsia="Calibri"/>
          <w:color w:val="auto"/>
          <w:sz w:val="21"/>
          <w:szCs w:val="21"/>
          <w:lang w:val="es-ES"/>
        </w:rPr>
        <w:t xml:space="preserve"> del 1 de marzo de 2022. </w:t>
      </w:r>
    </w:p>
    <w:p w14:paraId="019B4FCF" w14:textId="77777777" w:rsidR="00482E22" w:rsidRDefault="00482E22" w:rsidP="00862E0E">
      <w:pPr>
        <w:pStyle w:val="Normal11pt"/>
        <w:ind w:left="708" w:right="1325"/>
        <w:rPr>
          <w:rFonts w:eastAsia="Calibri"/>
          <w:color w:val="auto"/>
          <w:sz w:val="21"/>
          <w:szCs w:val="21"/>
          <w:lang w:val="es-ES"/>
        </w:rPr>
      </w:pPr>
    </w:p>
    <w:p w14:paraId="41675A1C" w14:textId="77777777" w:rsidR="00862E0E" w:rsidRDefault="00862E0E" w:rsidP="00862E0E">
      <w:pPr>
        <w:pStyle w:val="Normal11pt"/>
        <w:ind w:left="708" w:right="1325"/>
        <w:rPr>
          <w:rFonts w:eastAsia="Calibri"/>
          <w:color w:val="auto"/>
          <w:sz w:val="21"/>
          <w:szCs w:val="21"/>
          <w:lang w:val="es-ES"/>
        </w:rPr>
      </w:pPr>
      <w:r w:rsidRPr="004D1AA9">
        <w:rPr>
          <w:rFonts w:eastAsia="Calibri"/>
          <w:color w:val="auto"/>
          <w:sz w:val="21"/>
          <w:szCs w:val="21"/>
          <w:lang w:val="es-ES"/>
        </w:rPr>
        <w:t xml:space="preserve">4. Las entidades del sector central y del sector descentralizado del nivel municipal, en las categorías  4,  5  y 6,  al  igual  que  las demás  entidades  estatales  regidas  por el  Estatuto General  de  Contratación  de  la  Administración  Pública  no  cobijadas  por  los  anteriores numerales  del  presente  artículo,  deberán  aplicar lo dispuesto en esta resolución en los procedimientos de selección de licitación de obra  pública de infraestructura social, cuyo aviso de convocatoria sea publicado a partir del 1 de abril de 2022. </w:t>
      </w:r>
    </w:p>
    <w:p w14:paraId="34F8BEE9" w14:textId="77777777" w:rsidR="00862E0E" w:rsidRPr="00463923" w:rsidRDefault="00862E0E" w:rsidP="00862E0E">
      <w:pPr>
        <w:pStyle w:val="Normal11pt"/>
        <w:ind w:left="708" w:right="1325"/>
        <w:rPr>
          <w:rFonts w:eastAsia="Calibri"/>
          <w:color w:val="auto"/>
          <w:sz w:val="21"/>
          <w:szCs w:val="21"/>
          <w:lang w:val="es-ES"/>
        </w:rPr>
      </w:pPr>
      <w:r w:rsidRPr="004D1AA9">
        <w:rPr>
          <w:rFonts w:eastAsia="Calibri"/>
          <w:color w:val="auto"/>
          <w:sz w:val="21"/>
          <w:szCs w:val="21"/>
          <w:lang w:val="es-ES"/>
        </w:rPr>
        <w:t>Parágrafo. La aplicación de los documentos t</w:t>
      </w:r>
      <w:r>
        <w:rPr>
          <w:rFonts w:eastAsia="Calibri"/>
          <w:color w:val="auto"/>
          <w:sz w:val="21"/>
          <w:szCs w:val="21"/>
          <w:lang w:val="es-ES"/>
        </w:rPr>
        <w:t>i</w:t>
      </w:r>
      <w:r w:rsidRPr="004D1AA9">
        <w:rPr>
          <w:rFonts w:eastAsia="Calibri"/>
          <w:color w:val="auto"/>
          <w:sz w:val="21"/>
          <w:szCs w:val="21"/>
          <w:lang w:val="es-ES"/>
        </w:rPr>
        <w:t>po</w:t>
      </w:r>
      <w:r>
        <w:rPr>
          <w:rFonts w:eastAsia="Calibri"/>
          <w:color w:val="auto"/>
          <w:sz w:val="21"/>
          <w:szCs w:val="21"/>
          <w:lang w:val="es-ES"/>
        </w:rPr>
        <w:t xml:space="preserve"> </w:t>
      </w:r>
      <w:r w:rsidRPr="004D1AA9">
        <w:rPr>
          <w:rFonts w:eastAsia="Calibri"/>
          <w:color w:val="auto"/>
          <w:sz w:val="21"/>
          <w:szCs w:val="21"/>
          <w:lang w:val="es-ES"/>
        </w:rPr>
        <w:t>de licitación de</w:t>
      </w:r>
      <w:r>
        <w:rPr>
          <w:rFonts w:eastAsia="Calibri"/>
          <w:color w:val="auto"/>
          <w:sz w:val="21"/>
          <w:szCs w:val="21"/>
          <w:lang w:val="es-ES"/>
        </w:rPr>
        <w:t xml:space="preserve"> </w:t>
      </w:r>
      <w:r w:rsidRPr="004D1AA9">
        <w:rPr>
          <w:rFonts w:eastAsia="Calibri"/>
          <w:color w:val="auto"/>
          <w:sz w:val="21"/>
          <w:szCs w:val="21"/>
          <w:lang w:val="es-ES"/>
        </w:rPr>
        <w:t>obra pública de infraestructura</w:t>
      </w:r>
      <w:r>
        <w:rPr>
          <w:rFonts w:eastAsia="Calibri"/>
          <w:color w:val="auto"/>
          <w:sz w:val="21"/>
          <w:szCs w:val="21"/>
          <w:lang w:val="es-ES"/>
        </w:rPr>
        <w:t xml:space="preserve"> </w:t>
      </w:r>
      <w:r w:rsidRPr="004D1AA9">
        <w:rPr>
          <w:rFonts w:eastAsia="Calibri"/>
          <w:color w:val="auto"/>
          <w:sz w:val="21"/>
          <w:szCs w:val="21"/>
          <w:lang w:val="es-ES"/>
        </w:rPr>
        <w:t>social en los procesos de selección comienza a ser obligatoria para las entidades estatales de acuerdo con lo dispuesto en este artículo. Esto sin perjuicio de que las entidades estatales, en el marco de la autonomía y discrecionalidad que les asiste, a modo de buena práctica contractual, decidan acoger el contenido de los documentos tipo en los procesos de selección que adelanten antes de las fechas señaladas.</w:t>
      </w:r>
      <w:r w:rsidRPr="00322087">
        <w:rPr>
          <w:rFonts w:eastAsia="Calibri"/>
          <w:color w:val="auto"/>
          <w:sz w:val="21"/>
          <w:szCs w:val="21"/>
          <w:lang w:val="es-ES"/>
        </w:rPr>
        <w:t>»</w:t>
      </w:r>
    </w:p>
    <w:p w14:paraId="45C0C936" w14:textId="77777777" w:rsidR="00862E0E" w:rsidRDefault="00862E0E" w:rsidP="001E528E">
      <w:pPr>
        <w:pStyle w:val="Normal11pt"/>
        <w:spacing w:line="276" w:lineRule="auto"/>
        <w:ind w:left="0"/>
        <w:rPr>
          <w:rFonts w:eastAsia="Calibri"/>
          <w:color w:val="auto"/>
          <w:lang w:val="es-ES"/>
        </w:rPr>
      </w:pPr>
    </w:p>
    <w:p w14:paraId="0FF3EAEC" w14:textId="5774AC76" w:rsidR="00862E0E" w:rsidRDefault="00862E0E" w:rsidP="00862E0E">
      <w:pPr>
        <w:pStyle w:val="Normal11pt"/>
        <w:spacing w:after="120" w:line="276" w:lineRule="auto"/>
        <w:ind w:left="0" w:firstLine="708"/>
      </w:pPr>
      <w:r>
        <w:t>En este contexto, sobre la base de las reglas de vigencia de los documentos tipo de infraestructura social transversales y los tres documentos tipo complementarios expedidos, es importante resaltar que</w:t>
      </w:r>
      <w:r w:rsidRPr="003E5B79">
        <w:t>,</w:t>
      </w:r>
      <w:r>
        <w:t xml:space="preserve"> de conformidad con el parágrafo 2 de la Resolución 219 de 2021</w:t>
      </w:r>
      <w:r w:rsidRPr="0046195E">
        <w:t xml:space="preserve"> </w:t>
      </w:r>
      <w:r>
        <w:t>los</w:t>
      </w:r>
      <w:r w:rsidRPr="0046195E">
        <w:t xml:space="preserve"> documentos tipo</w:t>
      </w:r>
      <w:r>
        <w:t xml:space="preserve"> de infraestructura social </w:t>
      </w:r>
      <w:r w:rsidRPr="0046195E">
        <w:t>«</w:t>
      </w:r>
      <w:r>
        <w:t xml:space="preserve">[…] </w:t>
      </w:r>
      <w:r w:rsidRPr="0046195E">
        <w:t>aplicarán  a  los  proyectos  de  infraestructura  social,  tales como, sector educativo, sector salud y sector cultural,  recreación y deporte, de conformidad con cada una de las resoluciones que expida la Agencia Nacional de Contratación Pública -Colombia Compra Eficiente-,</w:t>
      </w:r>
      <w:r>
        <w:t xml:space="preserve"> </w:t>
      </w:r>
      <w:r w:rsidRPr="0046195E">
        <w:t>donde</w:t>
      </w:r>
      <w:r>
        <w:t xml:space="preserve"> </w:t>
      </w:r>
      <w:r w:rsidRPr="0046195E">
        <w:t>se precisará el alcance concreto de estos  documen</w:t>
      </w:r>
      <w:r>
        <w:t>t</w:t>
      </w:r>
      <w:r w:rsidRPr="0046195E">
        <w:t>os tipo; sin perjuicio de que se inc</w:t>
      </w:r>
      <w:r>
        <w:t>l</w:t>
      </w:r>
      <w:r w:rsidRPr="0046195E">
        <w:t>uyan otros tipos de infraestructura social</w:t>
      </w:r>
      <w:r w:rsidRPr="006A1E6E">
        <w:t>»</w:t>
      </w:r>
      <w:r w:rsidR="0042053C">
        <w:t>.</w:t>
      </w:r>
    </w:p>
    <w:p w14:paraId="6CF96F67" w14:textId="77777777" w:rsidR="007F7EF6" w:rsidRDefault="00F61104" w:rsidP="00256BF9">
      <w:pPr>
        <w:pStyle w:val="Normal11pt"/>
        <w:spacing w:line="276" w:lineRule="auto"/>
        <w:ind w:left="0" w:firstLine="708"/>
      </w:pPr>
      <w:r>
        <w:t xml:space="preserve">Ahora bien, </w:t>
      </w:r>
      <w:r w:rsidR="00EF55BE">
        <w:t>la consulta apunta a determinar si las plazas de mercado son considera</w:t>
      </w:r>
      <w:r w:rsidR="003B7A1B">
        <w:t>das infraestructura cultural, a efectos de aplicar de manera obligatoria los documentos tipo de infraestructura social</w:t>
      </w:r>
      <w:r w:rsidR="00BC6673">
        <w:t xml:space="preserve">. A tales efectos, es preciso traer a colación la noción de </w:t>
      </w:r>
      <w:r w:rsidR="00BC6673" w:rsidRPr="00256BF9">
        <w:rPr>
          <w:i/>
          <w:iCs/>
        </w:rPr>
        <w:t>infraestructura cultural</w:t>
      </w:r>
      <w:r w:rsidR="00BC6673">
        <w:t xml:space="preserve"> establecida en el «Anexo - </w:t>
      </w:r>
      <w:r w:rsidR="007F7EF6">
        <w:t>Sector Cultura, Recreación y Deporte» adoptado por la Resolución 454 de 2021, el cual dispone lo siguiente:</w:t>
      </w:r>
    </w:p>
    <w:p w14:paraId="484E1275" w14:textId="77777777" w:rsidR="007F7EF6" w:rsidRDefault="007F7EF6" w:rsidP="00256BF9">
      <w:pPr>
        <w:pStyle w:val="Normal11pt"/>
        <w:spacing w:line="276" w:lineRule="auto"/>
        <w:ind w:left="0" w:firstLine="708"/>
      </w:pPr>
    </w:p>
    <w:p w14:paraId="7113DD61" w14:textId="4EB386B7" w:rsidR="004F27D9" w:rsidRPr="00256BF9" w:rsidRDefault="00482E22" w:rsidP="00256BF9">
      <w:pPr>
        <w:ind w:left="709" w:right="709"/>
        <w:contextualSpacing/>
        <w:jc w:val="both"/>
        <w:rPr>
          <w:rFonts w:ascii="Arial" w:eastAsia="Arial" w:hAnsi="Arial" w:cs="Arial"/>
          <w:b/>
          <w:bCs/>
          <w:sz w:val="21"/>
          <w:szCs w:val="21"/>
        </w:rPr>
      </w:pPr>
      <w:r>
        <w:rPr>
          <w:rFonts w:ascii="Arial" w:eastAsia="Arial" w:hAnsi="Arial" w:cs="Arial"/>
          <w:b/>
          <w:bCs/>
          <w:sz w:val="21"/>
          <w:szCs w:val="21"/>
        </w:rPr>
        <w:t>«</w:t>
      </w:r>
      <w:r w:rsidR="004F27D9" w:rsidRPr="00256BF9">
        <w:rPr>
          <w:rFonts w:ascii="Arial" w:eastAsia="Arial" w:hAnsi="Arial" w:cs="Arial"/>
          <w:b/>
          <w:bCs/>
          <w:sz w:val="21"/>
          <w:szCs w:val="21"/>
        </w:rPr>
        <w:t>2.60. Infraestructura Cultural:</w:t>
      </w:r>
      <w:r w:rsidR="004F27D9" w:rsidRPr="00256BF9">
        <w:rPr>
          <w:rFonts w:ascii="Arial" w:eastAsia="Arial" w:hAnsi="Arial" w:cs="Arial"/>
          <w:sz w:val="21"/>
          <w:szCs w:val="21"/>
        </w:rPr>
        <w:t xml:space="preserve"> Todos aquellos espacios físicos donde tienen </w:t>
      </w:r>
      <w:bookmarkStart w:id="4" w:name="_Hlk103933144"/>
      <w:r w:rsidR="004F27D9" w:rsidRPr="00256BF9">
        <w:rPr>
          <w:rFonts w:ascii="Arial" w:eastAsia="Arial" w:hAnsi="Arial" w:cs="Arial"/>
          <w:sz w:val="21"/>
          <w:szCs w:val="21"/>
        </w:rPr>
        <w:t>lugar las diversas prácticas y manifestaciones artísticas y culturales de las comunidades, c</w:t>
      </w:r>
      <w:bookmarkEnd w:id="4"/>
      <w:r w:rsidR="004F27D9" w:rsidRPr="00256BF9">
        <w:rPr>
          <w:rFonts w:ascii="Arial" w:eastAsia="Arial" w:hAnsi="Arial" w:cs="Arial"/>
          <w:sz w:val="21"/>
          <w:szCs w:val="21"/>
        </w:rPr>
        <w:t>omo casas de cultura, salas de música, escuelas de música, escuelas de baile, salones de baile, bibliotecas, teatros, auditorios, centros de convenciones, escuelas de artes y oficios, talleres de artes y oficios, museos, fonotecas, fototecas, salas de conciertos, archivos, plazas de conciertos, conchas acústicas, coliseos de uso múltiple, aulas múltiples, malocas, centros ceremoniales, cinematecas, catedrales, teatros, centros culturales, escuelas de formación artística, maloca, etc.</w:t>
      </w:r>
      <w:r>
        <w:rPr>
          <w:rFonts w:ascii="Arial" w:eastAsia="Arial" w:hAnsi="Arial" w:cs="Arial"/>
          <w:sz w:val="21"/>
          <w:szCs w:val="21"/>
        </w:rPr>
        <w:t>»</w:t>
      </w:r>
      <w:r w:rsidR="004F27D9" w:rsidRPr="00256BF9">
        <w:rPr>
          <w:rFonts w:ascii="Arial" w:eastAsia="Arial" w:hAnsi="Arial" w:cs="Arial"/>
          <w:sz w:val="21"/>
          <w:szCs w:val="21"/>
        </w:rPr>
        <w:t>.</w:t>
      </w:r>
    </w:p>
    <w:p w14:paraId="0408459A" w14:textId="77777777" w:rsidR="004F27D9" w:rsidRDefault="003B7A1B" w:rsidP="00256BF9">
      <w:pPr>
        <w:pStyle w:val="Normal11pt"/>
        <w:spacing w:line="276" w:lineRule="auto"/>
        <w:ind w:left="0" w:firstLine="708"/>
      </w:pPr>
      <w:r>
        <w:lastRenderedPageBreak/>
        <w:t xml:space="preserve"> </w:t>
      </w:r>
    </w:p>
    <w:p w14:paraId="73DDCBA8" w14:textId="238C4F6D" w:rsidR="00EE22D2" w:rsidRDefault="004F27D9" w:rsidP="00862E0E">
      <w:pPr>
        <w:pStyle w:val="Normal11pt"/>
        <w:spacing w:after="120" w:line="276" w:lineRule="auto"/>
        <w:ind w:left="0" w:firstLine="708"/>
      </w:pPr>
      <w:r>
        <w:t xml:space="preserve">Conforme se aprecia, </w:t>
      </w:r>
      <w:r w:rsidR="00A82514">
        <w:t>la noción de infraestructura cultural</w:t>
      </w:r>
      <w:r w:rsidR="006072DF">
        <w:t xml:space="preserve"> está asociada a espacios físicos destinados a la </w:t>
      </w:r>
      <w:r w:rsidR="00F3556C">
        <w:t xml:space="preserve">realización de </w:t>
      </w:r>
      <w:r w:rsidR="006072DF" w:rsidRPr="006072DF">
        <w:t xml:space="preserve">prácticas y manifestaciones artísticas </w:t>
      </w:r>
      <w:r w:rsidR="00F3556C">
        <w:t>o</w:t>
      </w:r>
      <w:r w:rsidR="006072DF" w:rsidRPr="006072DF">
        <w:t xml:space="preserve"> culturales</w:t>
      </w:r>
      <w:r w:rsidR="00F3556C">
        <w:t xml:space="preserve">, tales como los diferentes </w:t>
      </w:r>
      <w:proofErr w:type="gramStart"/>
      <w:r w:rsidR="009E5CD6">
        <w:t>tipologías referidos</w:t>
      </w:r>
      <w:proofErr w:type="gramEnd"/>
      <w:r w:rsidR="009E5CD6">
        <w:t xml:space="preserve"> de manera enunciativa en la noción citada. </w:t>
      </w:r>
      <w:r w:rsidR="006072DF" w:rsidRPr="006072DF">
        <w:t xml:space="preserve"> </w:t>
      </w:r>
      <w:r w:rsidR="009E5CD6">
        <w:t xml:space="preserve">Estos fines artísticos y culturales se echan de menos en </w:t>
      </w:r>
      <w:r w:rsidR="004A0C86">
        <w:t xml:space="preserve">espacios </w:t>
      </w:r>
      <w:r w:rsidR="00EA50D0">
        <w:t>como las plazas de mercado a las que se hace referencia en la consulta, los cuales son concebidos con fines comerciales</w:t>
      </w:r>
      <w:r w:rsidR="00EE22D2">
        <w:t>, razón por la que no encajan dentro de la noción de infraestructura cultural a la que se hace referencia.</w:t>
      </w:r>
    </w:p>
    <w:p w14:paraId="31438A13" w14:textId="3A3F24F5" w:rsidR="00203299" w:rsidRDefault="00EE22D2" w:rsidP="00862E0E">
      <w:pPr>
        <w:pStyle w:val="Normal11pt"/>
        <w:spacing w:after="120" w:line="276" w:lineRule="auto"/>
        <w:ind w:left="0" w:firstLine="708"/>
      </w:pPr>
      <w:r>
        <w:t xml:space="preserve">Tal consideración significa que la contratación de obras públicas respecto de plazas de mercado, </w:t>
      </w:r>
      <w:r w:rsidR="00EB4336">
        <w:t>no se encuentra cobijada por el ámbito de aplicación de los documentos tipo expedidos mediante las resoluciones 219 y 4</w:t>
      </w:r>
      <w:r w:rsidR="00CD08A2">
        <w:t>54 de 2021, por lo que las entidades no se encuentran obligadas a aplicar los documentos tipo pa</w:t>
      </w:r>
      <w:r w:rsidR="00952C86">
        <w:t xml:space="preserve">ra el adelantamiento de procesos dirigidos a la contratación de </w:t>
      </w:r>
      <w:r w:rsidR="00865DD6">
        <w:t xml:space="preserve">plazas de mercado. Esto sin perjuicio de que, de manera autónoma, y en caso de considerarlo pertinente, </w:t>
      </w:r>
      <w:proofErr w:type="gramStart"/>
      <w:r w:rsidR="00865DD6">
        <w:t>las respectiva entidad estatal</w:t>
      </w:r>
      <w:proofErr w:type="gramEnd"/>
      <w:r w:rsidR="00865DD6">
        <w:t xml:space="preserve"> decida retomar o replicar componentes de los documentos tipo, a modo de buena practica contractual. </w:t>
      </w:r>
    </w:p>
    <w:p w14:paraId="2379A691" w14:textId="034BC98C" w:rsidR="0079522B" w:rsidRDefault="0079522B" w:rsidP="00256BF9">
      <w:pPr>
        <w:pStyle w:val="Normal11pt"/>
        <w:spacing w:line="276" w:lineRule="auto"/>
        <w:ind w:left="0" w:firstLine="708"/>
      </w:pPr>
      <w:r>
        <w:t xml:space="preserve">De otra parte, </w:t>
      </w:r>
      <w:r w:rsidR="008321F5">
        <w:t>ciertamente, la</w:t>
      </w:r>
      <w:r w:rsidR="008B5FE6" w:rsidRPr="008B5FE6">
        <w:t xml:space="preserve"> </w:t>
      </w:r>
      <w:r w:rsidR="008B5FE6">
        <w:t xml:space="preserve">«Matriz </w:t>
      </w:r>
      <w:r w:rsidR="00482E22">
        <w:t>–</w:t>
      </w:r>
      <w:r w:rsidR="008B5FE6">
        <w:t xml:space="preserve"> Experiencia Sector Cultura, Recreación y Deporte» adoptada por la Resolución 454 de 2021</w:t>
      </w:r>
      <w:r w:rsidR="00A74CD8">
        <w:t>, particularmente</w:t>
      </w:r>
      <w:r w:rsidR="005A6A02">
        <w:t>,</w:t>
      </w:r>
      <w:r w:rsidR="00A74CD8">
        <w:t xml:space="preserve"> para </w:t>
      </w:r>
      <w:r w:rsidR="005A6A02">
        <w:t xml:space="preserve">algunas de </w:t>
      </w:r>
      <w:r w:rsidR="00A74CD8">
        <w:t>las obras en infraestructura cultural, establece requisitos de experiencia en l</w:t>
      </w:r>
      <w:r w:rsidR="005A6A02">
        <w:t>o</w:t>
      </w:r>
      <w:r w:rsidR="00A74CD8">
        <w:t xml:space="preserve">s que se </w:t>
      </w:r>
      <w:r w:rsidR="00021873">
        <w:t>contemplan</w:t>
      </w:r>
      <w:r w:rsidR="00A74CD8">
        <w:t xml:space="preserve"> </w:t>
      </w:r>
      <w:r w:rsidR="00021873">
        <w:t xml:space="preserve">la posibilidad de cumplir la condición habilitante acreditando </w:t>
      </w:r>
      <w:r w:rsidR="004654BF">
        <w:t xml:space="preserve">intervenciones </w:t>
      </w:r>
      <w:r w:rsidR="00021873">
        <w:t>realizadas</w:t>
      </w:r>
      <w:r w:rsidR="005A6A02">
        <w:t xml:space="preserve"> </w:t>
      </w:r>
      <w:r w:rsidR="004654BF">
        <w:t>sobre</w:t>
      </w:r>
      <w:r w:rsidR="00A74CD8">
        <w:t xml:space="preserve"> </w:t>
      </w:r>
      <w:r w:rsidR="00A74CD8" w:rsidRPr="00256BF9">
        <w:rPr>
          <w:i/>
          <w:iCs/>
        </w:rPr>
        <w:t>plazas</w:t>
      </w:r>
      <w:r w:rsidR="00A74CD8">
        <w:t xml:space="preserve">, </w:t>
      </w:r>
      <w:r w:rsidR="00A74CD8" w:rsidRPr="00256BF9">
        <w:rPr>
          <w:i/>
          <w:iCs/>
        </w:rPr>
        <w:t>plazoletas</w:t>
      </w:r>
      <w:r w:rsidR="00A74CD8">
        <w:t xml:space="preserve"> o </w:t>
      </w:r>
      <w:r w:rsidR="00A74CD8" w:rsidRPr="00256BF9">
        <w:rPr>
          <w:i/>
          <w:iCs/>
        </w:rPr>
        <w:t>plazuelas</w:t>
      </w:r>
      <w:r w:rsidR="004654BF">
        <w:t xml:space="preserve">. </w:t>
      </w:r>
      <w:r w:rsidR="00AA0D4E">
        <w:t xml:space="preserve">Estos tipos de espacios también son definidos en el </w:t>
      </w:r>
      <w:r w:rsidR="00265E99">
        <w:t xml:space="preserve">«Anexo </w:t>
      </w:r>
      <w:r w:rsidR="00482E22">
        <w:t>–</w:t>
      </w:r>
      <w:r w:rsidR="00265E99">
        <w:t xml:space="preserve"> Sector Cultura, Recreación y Deporte», el cual indica lo siguiente: </w:t>
      </w:r>
      <w:r w:rsidR="00A74CD8">
        <w:t xml:space="preserve"> </w:t>
      </w:r>
    </w:p>
    <w:p w14:paraId="0DCCED68" w14:textId="090612F3" w:rsidR="008321F5" w:rsidRDefault="008321F5" w:rsidP="00256BF9">
      <w:pPr>
        <w:pStyle w:val="Normal11pt"/>
        <w:spacing w:line="276" w:lineRule="auto"/>
        <w:ind w:left="0" w:firstLine="708"/>
      </w:pPr>
    </w:p>
    <w:p w14:paraId="7A7688E3" w14:textId="4BE8F62B" w:rsidR="008321F5" w:rsidRPr="00256BF9" w:rsidRDefault="00482E22" w:rsidP="00256BF9">
      <w:pPr>
        <w:ind w:left="709" w:right="709"/>
        <w:contextualSpacing/>
        <w:jc w:val="both"/>
        <w:rPr>
          <w:rFonts w:ascii="Arial" w:eastAsia="Arial" w:hAnsi="Arial" w:cs="Arial"/>
          <w:b/>
          <w:bCs/>
          <w:sz w:val="21"/>
          <w:szCs w:val="21"/>
        </w:rPr>
      </w:pPr>
      <w:r w:rsidRPr="00256BF9">
        <w:rPr>
          <w:rFonts w:ascii="Arial" w:eastAsia="Arial" w:hAnsi="Arial" w:cs="Arial"/>
          <w:b/>
          <w:bCs/>
          <w:sz w:val="21"/>
          <w:szCs w:val="21"/>
        </w:rPr>
        <w:t>«</w:t>
      </w:r>
      <w:r w:rsidR="003359F2" w:rsidRPr="00256BF9">
        <w:rPr>
          <w:rFonts w:ascii="Arial" w:eastAsia="Arial" w:hAnsi="Arial" w:cs="Arial"/>
          <w:b/>
          <w:bCs/>
          <w:sz w:val="21"/>
          <w:szCs w:val="21"/>
        </w:rPr>
        <w:t xml:space="preserve">2.81. </w:t>
      </w:r>
      <w:r w:rsidR="008321F5" w:rsidRPr="00256BF9">
        <w:rPr>
          <w:rFonts w:ascii="Arial" w:eastAsia="Arial" w:hAnsi="Arial" w:cs="Arial"/>
          <w:b/>
          <w:bCs/>
          <w:sz w:val="21"/>
          <w:szCs w:val="21"/>
        </w:rPr>
        <w:t>Plaza:</w:t>
      </w:r>
      <w:r w:rsidR="008321F5" w:rsidRPr="00256BF9">
        <w:rPr>
          <w:rFonts w:ascii="Arial" w:eastAsia="Arial" w:hAnsi="Arial" w:cs="Arial"/>
          <w:sz w:val="21"/>
          <w:szCs w:val="21"/>
        </w:rPr>
        <w:t xml:space="preserve"> Espacio libre, tratado como zona dura, que se destina al uso cotidiano al servir de soporte a eventos cívicos. Es lugar de encuentro y relaciones entre los ciudadanos, en este, predominan los elementos arquitectónicos sobre los paisajísticos naturales y el peatón tiene una condición prioritaria que ocupan una manzana completa. </w:t>
      </w:r>
    </w:p>
    <w:p w14:paraId="306E73DD" w14:textId="77777777" w:rsidR="008321F5" w:rsidRPr="00256BF9" w:rsidRDefault="008321F5" w:rsidP="00256BF9">
      <w:pPr>
        <w:ind w:left="709" w:right="709"/>
        <w:contextualSpacing/>
        <w:jc w:val="both"/>
        <w:rPr>
          <w:rFonts w:ascii="Arial" w:eastAsia="Arial" w:hAnsi="Arial" w:cs="Arial"/>
          <w:sz w:val="21"/>
          <w:szCs w:val="21"/>
        </w:rPr>
      </w:pPr>
    </w:p>
    <w:p w14:paraId="185FA175" w14:textId="250E4EDE" w:rsidR="008321F5" w:rsidRPr="00256BF9" w:rsidRDefault="003359F2" w:rsidP="00256BF9">
      <w:pPr>
        <w:ind w:left="709" w:right="709"/>
        <w:contextualSpacing/>
        <w:jc w:val="both"/>
        <w:rPr>
          <w:rFonts w:ascii="Arial" w:eastAsia="Arial" w:hAnsi="Arial" w:cs="Arial"/>
          <w:b/>
          <w:bCs/>
          <w:sz w:val="21"/>
          <w:szCs w:val="21"/>
        </w:rPr>
      </w:pPr>
      <w:r w:rsidRPr="00256BF9">
        <w:rPr>
          <w:rFonts w:ascii="Arial" w:eastAsia="Arial" w:hAnsi="Arial" w:cs="Arial"/>
          <w:b/>
          <w:bCs/>
          <w:sz w:val="21"/>
          <w:szCs w:val="21"/>
        </w:rPr>
        <w:t xml:space="preserve">2.82. </w:t>
      </w:r>
      <w:r w:rsidR="008321F5" w:rsidRPr="00256BF9">
        <w:rPr>
          <w:rFonts w:ascii="Arial" w:eastAsia="Arial" w:hAnsi="Arial" w:cs="Arial"/>
          <w:b/>
          <w:bCs/>
          <w:sz w:val="21"/>
          <w:szCs w:val="21"/>
        </w:rPr>
        <w:t>Plazoletas:</w:t>
      </w:r>
      <w:r w:rsidR="008321F5" w:rsidRPr="00256BF9">
        <w:rPr>
          <w:rFonts w:ascii="Arial" w:eastAsia="Arial" w:hAnsi="Arial" w:cs="Arial"/>
          <w:sz w:val="21"/>
          <w:szCs w:val="21"/>
        </w:rPr>
        <w:t xml:space="preserve"> Áreas de espacio público abiertas, tratadas como zonas duras y destinadas al disfrute de los ciudadanos y las actividades de convivencia, ocupan media manzana. </w:t>
      </w:r>
    </w:p>
    <w:p w14:paraId="27C1B383" w14:textId="77777777" w:rsidR="008321F5" w:rsidRPr="00256BF9" w:rsidRDefault="008321F5" w:rsidP="00256BF9">
      <w:pPr>
        <w:ind w:left="709" w:right="709"/>
        <w:contextualSpacing/>
        <w:jc w:val="both"/>
        <w:rPr>
          <w:rFonts w:ascii="Arial" w:eastAsia="Arial" w:hAnsi="Arial" w:cs="Arial"/>
          <w:sz w:val="21"/>
          <w:szCs w:val="21"/>
        </w:rPr>
      </w:pPr>
    </w:p>
    <w:p w14:paraId="4D10704C" w14:textId="55F374EB" w:rsidR="008321F5" w:rsidRPr="00256BF9" w:rsidRDefault="003359F2" w:rsidP="00256BF9">
      <w:pPr>
        <w:ind w:left="709" w:right="709"/>
        <w:contextualSpacing/>
        <w:jc w:val="both"/>
        <w:rPr>
          <w:rFonts w:ascii="Arial" w:eastAsia="Arial" w:hAnsi="Arial" w:cs="Arial"/>
          <w:b/>
          <w:bCs/>
          <w:sz w:val="21"/>
          <w:szCs w:val="21"/>
        </w:rPr>
      </w:pPr>
      <w:r w:rsidRPr="00256BF9">
        <w:rPr>
          <w:rFonts w:ascii="Arial" w:eastAsia="Arial" w:hAnsi="Arial" w:cs="Arial"/>
          <w:b/>
          <w:bCs/>
          <w:sz w:val="21"/>
          <w:szCs w:val="21"/>
        </w:rPr>
        <w:t xml:space="preserve">2.83. </w:t>
      </w:r>
      <w:r w:rsidR="008321F5" w:rsidRPr="00256BF9">
        <w:rPr>
          <w:rFonts w:ascii="Arial" w:eastAsia="Arial" w:hAnsi="Arial" w:cs="Arial"/>
          <w:b/>
          <w:bCs/>
          <w:sz w:val="21"/>
          <w:szCs w:val="21"/>
        </w:rPr>
        <w:t>Plazuelas:</w:t>
      </w:r>
      <w:r w:rsidR="008321F5" w:rsidRPr="00256BF9">
        <w:rPr>
          <w:rFonts w:ascii="Arial" w:eastAsia="Arial" w:hAnsi="Arial" w:cs="Arial"/>
          <w:sz w:val="21"/>
          <w:szCs w:val="21"/>
        </w:rPr>
        <w:t xml:space="preserve"> Áreas de espacio público abiertas, tratadas como zonas duras y destinadas al disfrute de los ciudadanos y las actividades de convivencia que ocupan un cuarto de manzana</w:t>
      </w:r>
      <w:r w:rsidR="00482E22" w:rsidRPr="00256BF9">
        <w:rPr>
          <w:rFonts w:ascii="Arial" w:eastAsia="Arial" w:hAnsi="Arial" w:cs="Arial"/>
          <w:sz w:val="21"/>
          <w:szCs w:val="21"/>
        </w:rPr>
        <w:t>»</w:t>
      </w:r>
      <w:r w:rsidR="008321F5" w:rsidRPr="00256BF9">
        <w:rPr>
          <w:rFonts w:ascii="Arial" w:eastAsia="Arial" w:hAnsi="Arial" w:cs="Arial"/>
          <w:sz w:val="21"/>
          <w:szCs w:val="21"/>
        </w:rPr>
        <w:t>.</w:t>
      </w:r>
    </w:p>
    <w:p w14:paraId="49119A4E" w14:textId="77777777" w:rsidR="008321F5" w:rsidRDefault="008321F5" w:rsidP="00256BF9">
      <w:pPr>
        <w:pStyle w:val="Normal11pt"/>
        <w:spacing w:line="276" w:lineRule="auto"/>
        <w:ind w:left="0" w:firstLine="708"/>
      </w:pPr>
    </w:p>
    <w:p w14:paraId="7D845C0E" w14:textId="1D395D24" w:rsidR="008321F5" w:rsidRPr="007529F3" w:rsidRDefault="00E71166" w:rsidP="00256BF9">
      <w:pPr>
        <w:pStyle w:val="Normal11pt"/>
        <w:spacing w:line="276" w:lineRule="auto"/>
        <w:ind w:left="0" w:firstLine="708"/>
      </w:pPr>
      <w:r>
        <w:t xml:space="preserve">Como se aprecia, las </w:t>
      </w:r>
      <w:r w:rsidRPr="00256BF9">
        <w:rPr>
          <w:i/>
          <w:iCs/>
        </w:rPr>
        <w:t>plazas</w:t>
      </w:r>
      <w:r>
        <w:t xml:space="preserve">, </w:t>
      </w:r>
      <w:r w:rsidRPr="00256BF9">
        <w:rPr>
          <w:i/>
          <w:iCs/>
        </w:rPr>
        <w:t xml:space="preserve">plazoletas </w:t>
      </w:r>
      <w:r w:rsidR="007529F3" w:rsidRPr="00256BF9">
        <w:t>y</w:t>
      </w:r>
      <w:r w:rsidR="007529F3">
        <w:rPr>
          <w:i/>
          <w:iCs/>
        </w:rPr>
        <w:t xml:space="preserve"> plazuelas </w:t>
      </w:r>
      <w:r w:rsidR="007529F3">
        <w:t xml:space="preserve">son tipologías de espacios </w:t>
      </w:r>
      <w:r w:rsidR="00EB371C">
        <w:t xml:space="preserve">definidas en función de ciertas especificaciones técnicas, funcionalidades y </w:t>
      </w:r>
      <w:r w:rsidR="00C65B87">
        <w:t>condiciones</w:t>
      </w:r>
      <w:r w:rsidR="000D53B2">
        <w:t xml:space="preserve"> arquitectónicas, las que cuales determinando cuando una infraestructura se ubica dentro de alguna de estas tres categorías</w:t>
      </w:r>
      <w:r w:rsidR="00C65B87">
        <w:t xml:space="preserve">. Esto es relevante para la aplicación de los referidos </w:t>
      </w:r>
      <w:r w:rsidR="00C65B87">
        <w:lastRenderedPageBreak/>
        <w:t xml:space="preserve">requisitos de experiencia, dado que, son estas características las que determinan </w:t>
      </w:r>
      <w:r w:rsidR="00A54152">
        <w:t xml:space="preserve">si alguna de las obras realizadas acreditadas por el proponente pueden ser tenida en cuenta </w:t>
      </w:r>
      <w:r w:rsidR="004C719C">
        <w:t>para efectos de cumplir el requisito habilitante, ya que, independientemente de la nominación que tenga la infraestructura inter</w:t>
      </w:r>
      <w:r w:rsidR="002A59E3">
        <w:t>venida, habrá que verificar si en efecto la misma cumple con estas características,</w:t>
      </w:r>
      <w:r w:rsidR="00CA3064">
        <w:t xml:space="preserve"> para que efecto pueda ser tenida en cuenta</w:t>
      </w:r>
      <w:r w:rsidR="00F4450B">
        <w:t xml:space="preserve"> por la entidad.</w:t>
      </w:r>
      <w:r w:rsidR="00CA3064">
        <w:t xml:space="preserve"> </w:t>
      </w:r>
      <w:r w:rsidR="002A59E3">
        <w:t xml:space="preserve"> </w:t>
      </w:r>
      <w:r w:rsidR="00A54152">
        <w:t xml:space="preserve"> </w:t>
      </w:r>
      <w:r w:rsidR="00C65B87">
        <w:t xml:space="preserve"> </w:t>
      </w:r>
      <w:r w:rsidR="000D53B2">
        <w:t xml:space="preserve"> </w:t>
      </w:r>
    </w:p>
    <w:p w14:paraId="112E3569" w14:textId="49B06EB3" w:rsidR="00862E0E" w:rsidRPr="00862E0E" w:rsidRDefault="00862E0E" w:rsidP="00862E0E">
      <w:pPr>
        <w:pStyle w:val="Normal11pt"/>
        <w:spacing w:line="276" w:lineRule="auto"/>
        <w:ind w:left="0"/>
        <w:rPr>
          <w:rFonts w:eastAsia="Calibri"/>
        </w:rPr>
      </w:pPr>
      <w:r>
        <w:tab/>
      </w:r>
    </w:p>
    <w:p w14:paraId="51F2BE74" w14:textId="77777777" w:rsidR="00DD3396" w:rsidRDefault="00DD3396" w:rsidP="00DD3396">
      <w:pPr>
        <w:tabs>
          <w:tab w:val="left" w:pos="709"/>
        </w:tabs>
        <w:spacing w:line="276" w:lineRule="auto"/>
        <w:jc w:val="both"/>
        <w:rPr>
          <w:rFonts w:ascii="Arial" w:eastAsia="Calibri" w:hAnsi="Arial" w:cs="Arial"/>
          <w:b/>
          <w:sz w:val="22"/>
          <w:szCs w:val="22"/>
          <w:lang w:val="es-ES"/>
        </w:rPr>
      </w:pPr>
      <w:r w:rsidRPr="00924DEF">
        <w:rPr>
          <w:rFonts w:ascii="Arial" w:eastAsia="Calibri" w:hAnsi="Arial" w:cs="Arial"/>
          <w:b/>
          <w:sz w:val="22"/>
          <w:szCs w:val="22"/>
          <w:lang w:val="es-ES"/>
        </w:rPr>
        <w:t>3. Respuesta</w:t>
      </w:r>
    </w:p>
    <w:p w14:paraId="68813DDB" w14:textId="46B9BB15" w:rsidR="00DD3396" w:rsidRDefault="00DD3396" w:rsidP="00256BF9">
      <w:pPr>
        <w:tabs>
          <w:tab w:val="left" w:pos="709"/>
        </w:tabs>
        <w:jc w:val="both"/>
        <w:rPr>
          <w:rFonts w:ascii="Arial" w:eastAsia="Calibri" w:hAnsi="Arial" w:cs="Arial"/>
          <w:b/>
          <w:sz w:val="22"/>
          <w:szCs w:val="22"/>
          <w:lang w:val="es-ES"/>
        </w:rPr>
      </w:pPr>
    </w:p>
    <w:p w14:paraId="7BD65DF1" w14:textId="77777777" w:rsidR="00D63B20" w:rsidRDefault="00D63B20" w:rsidP="00D63B20">
      <w:pPr>
        <w:pStyle w:val="NormalWeb"/>
        <w:spacing w:before="0" w:beforeAutospacing="0" w:after="0" w:afterAutospacing="0"/>
        <w:ind w:left="709" w:right="709"/>
        <w:jc w:val="both"/>
        <w:rPr>
          <w:rFonts w:ascii="Arial" w:hAnsi="Arial" w:cs="Arial"/>
          <w:sz w:val="22"/>
          <w:szCs w:val="22"/>
        </w:rPr>
      </w:pPr>
      <w:r w:rsidRPr="00582B8C">
        <w:rPr>
          <w:rFonts w:ascii="Arial" w:hAnsi="Arial" w:cs="Arial"/>
          <w:sz w:val="21"/>
          <w:szCs w:val="21"/>
        </w:rPr>
        <w:t>«[…] solicito aclarar de manera formal si las plazas de mercado van incluidas dentro de las infraestructuras culturales de los pliegos tipo, ya que estos no se detallan inmersos en dichos documentos, solo habla de las plazas, plazoletas y plazuelas, pero como tal una plaza de mercado no se evidencia inmersa en estos, bien sea como una de las infraestructuras culturales que tienen que solicitarse por pliegos tipo o como una de las que se pueden acreditar en experiencia».</w:t>
      </w:r>
      <w:r w:rsidRPr="00B2736A">
        <w:rPr>
          <w:rFonts w:ascii="Arial" w:hAnsi="Arial" w:cs="Arial"/>
          <w:sz w:val="22"/>
          <w:szCs w:val="22"/>
        </w:rPr>
        <w:t xml:space="preserve"> </w:t>
      </w:r>
    </w:p>
    <w:p w14:paraId="5E4AE16E" w14:textId="77777777" w:rsidR="00D63B20" w:rsidRDefault="00D63B20" w:rsidP="00256BF9">
      <w:pPr>
        <w:tabs>
          <w:tab w:val="left" w:pos="709"/>
        </w:tabs>
        <w:jc w:val="both"/>
        <w:rPr>
          <w:rFonts w:ascii="Arial" w:eastAsia="Calibri" w:hAnsi="Arial" w:cs="Arial"/>
          <w:b/>
          <w:sz w:val="22"/>
          <w:szCs w:val="22"/>
          <w:lang w:val="es-ES"/>
        </w:rPr>
      </w:pPr>
    </w:p>
    <w:p w14:paraId="4FDC47D1" w14:textId="1470A614" w:rsidR="00862E0E" w:rsidRDefault="00862E0E" w:rsidP="00A17363">
      <w:pPr>
        <w:pStyle w:val="Normal11pt"/>
        <w:spacing w:after="120" w:line="276" w:lineRule="auto"/>
        <w:ind w:left="0"/>
      </w:pPr>
      <w:r w:rsidRPr="00AB6A5E">
        <w:t>Con base en l</w:t>
      </w:r>
      <w:r>
        <w:t xml:space="preserve">as anteriores consideraciones, es posible concluir </w:t>
      </w:r>
      <w:r w:rsidR="00F4450B">
        <w:t xml:space="preserve">que las </w:t>
      </w:r>
      <w:r w:rsidR="00D033BF">
        <w:t>plazas de mercado</w:t>
      </w:r>
      <w:r w:rsidR="00F4450B">
        <w:t xml:space="preserve"> </w:t>
      </w:r>
      <w:r w:rsidR="00A17363">
        <w:t xml:space="preserve">no </w:t>
      </w:r>
      <w:r w:rsidR="00A76F6D">
        <w:t xml:space="preserve">encajan dentro de la noción de infraestructura cultural establecida en </w:t>
      </w:r>
      <w:r w:rsidR="00A17363">
        <w:t xml:space="preserve">el </w:t>
      </w:r>
      <w:r w:rsidR="00A76F6D">
        <w:t>«Anexo - Sector Cultura, Recreación y Deporte» adoptado por la Resolución 454 de 2021,</w:t>
      </w:r>
      <w:r w:rsidR="00D033BF">
        <w:t xml:space="preserve"> </w:t>
      </w:r>
      <w:r w:rsidR="00A17363">
        <w:t xml:space="preserve">por lo que no </w:t>
      </w:r>
      <w:r w:rsidR="00D033BF">
        <w:t>se encuentran dentro del ámbito de aplicación de</w:t>
      </w:r>
      <w:r>
        <w:t xml:space="preserve"> los documentos tipo de infraestructura social </w:t>
      </w:r>
      <w:r w:rsidR="00A17363">
        <w:t xml:space="preserve">expedidos </w:t>
      </w:r>
      <w:r>
        <w:t xml:space="preserve">por esta Agencia. </w:t>
      </w:r>
      <w:r w:rsidR="00A17363">
        <w:t xml:space="preserve">La referida noción de infraestructura cultural está asociada a espacios físicos destinados a la realización de </w:t>
      </w:r>
      <w:r w:rsidR="00A17363" w:rsidRPr="006072DF">
        <w:t xml:space="preserve">prácticas y manifestaciones artísticas </w:t>
      </w:r>
      <w:r w:rsidR="00A17363">
        <w:t>o</w:t>
      </w:r>
      <w:r w:rsidR="00A17363" w:rsidRPr="006072DF">
        <w:t xml:space="preserve"> culturales</w:t>
      </w:r>
      <w:r w:rsidR="00A17363">
        <w:t xml:space="preserve">, fines que en estricto sentido no se cumplen en espacios como las plazas de mercado a las que se hace referencia en la consulta, los cuales son concebidas con fines comerciales. </w:t>
      </w:r>
    </w:p>
    <w:p w14:paraId="19A48307" w14:textId="32B7FE21" w:rsidR="00862E0E" w:rsidRDefault="006227F2" w:rsidP="0050747C">
      <w:pPr>
        <w:pStyle w:val="Normal11pt"/>
        <w:spacing w:after="120" w:line="276" w:lineRule="auto"/>
        <w:ind w:left="0"/>
        <w:rPr>
          <w:color w:val="000000" w:themeColor="text1"/>
        </w:rPr>
      </w:pPr>
      <w:r>
        <w:tab/>
      </w:r>
      <w:r w:rsidR="0050747C">
        <w:t>Lo anterior significa que las entidades estatales no se encuentran obligadas</w:t>
      </w:r>
      <w:r w:rsidR="009E27BA">
        <w:t xml:space="preserve"> a aplicar documentos tipo en el</w:t>
      </w:r>
      <w:r w:rsidR="0050747C">
        <w:t xml:space="preserve"> </w:t>
      </w:r>
      <w:r w:rsidR="00304D65">
        <w:t>desarroll</w:t>
      </w:r>
      <w:r w:rsidR="009E27BA">
        <w:t>o</w:t>
      </w:r>
      <w:r w:rsidR="00304D65">
        <w:t xml:space="preserve"> </w:t>
      </w:r>
      <w:r w:rsidR="009E27BA">
        <w:t>de</w:t>
      </w:r>
      <w:r w:rsidR="00304D65">
        <w:t xml:space="preserve"> procesos d</w:t>
      </w:r>
      <w:r w:rsidR="009E27BA">
        <w:t>irigidos a la contratación de</w:t>
      </w:r>
      <w:r w:rsidR="00304D65">
        <w:t xml:space="preserve"> obras en plazas de mercado</w:t>
      </w:r>
      <w:r w:rsidR="009E27BA">
        <w:t>.</w:t>
      </w:r>
      <w:r w:rsidR="00304D65">
        <w:t xml:space="preserve"> </w:t>
      </w:r>
      <w:r w:rsidR="00862E0E">
        <w:rPr>
          <w:color w:val="000000" w:themeColor="text1"/>
        </w:rPr>
        <w:t>Con todo, los parámetros contenidos en los pliegos tipo adoptados y vigentes por esta Agencia pueden servir como criterio de buena práctica contractual, sin que sea obligatoria su aplicación para objetos contractuales diversos a los para los cuales fueron expedidos.</w:t>
      </w:r>
    </w:p>
    <w:p w14:paraId="1EA4268A" w14:textId="235E08C1" w:rsidR="0050747C" w:rsidRDefault="0050747C" w:rsidP="00256BF9">
      <w:pPr>
        <w:pStyle w:val="Normal11pt"/>
        <w:spacing w:after="120" w:line="276" w:lineRule="auto"/>
        <w:ind w:left="0"/>
      </w:pPr>
      <w:r>
        <w:rPr>
          <w:color w:val="000000" w:themeColor="text1"/>
        </w:rPr>
        <w:tab/>
      </w:r>
      <w:r>
        <w:t xml:space="preserve">En cuanto a la posibilidad de tener en cuenta a las intervenciones en plazas de mercado para el cumplimiento de requisitos de experiencia contemplados en la «Matriz – Experiencia Sector Cultura, Recreación y Deporte», debe advertirse que ello dependerá de que las obras </w:t>
      </w:r>
      <w:r w:rsidR="00E11B55">
        <w:t>acreditas</w:t>
      </w:r>
      <w:r>
        <w:t xml:space="preserve"> se ajusten a las definiciones </w:t>
      </w:r>
      <w:r w:rsidRPr="008D65C2">
        <w:t>de</w:t>
      </w:r>
      <w:r w:rsidRPr="006E2C60">
        <w:rPr>
          <w:i/>
          <w:iCs/>
        </w:rPr>
        <w:t xml:space="preserve"> plazas</w:t>
      </w:r>
      <w:r>
        <w:t xml:space="preserve">, </w:t>
      </w:r>
      <w:r w:rsidRPr="006E2C60">
        <w:rPr>
          <w:i/>
          <w:iCs/>
        </w:rPr>
        <w:t>plazoletas</w:t>
      </w:r>
      <w:r>
        <w:t xml:space="preserve"> o </w:t>
      </w:r>
      <w:r w:rsidRPr="008D65C2">
        <w:rPr>
          <w:i/>
          <w:iCs/>
        </w:rPr>
        <w:t>plazuelas</w:t>
      </w:r>
      <w:r>
        <w:t xml:space="preserve"> establecidas en el «Anexo – Sector Cultura, Recreación y Deporte». En este orden de ideas, el cumplimiento de las especificaciones técnicas que definen estos espacios serán el factor determinante para establecer si determinada experiencia puede ser tenida en cuenta o no para efectos del respectivo requisito</w:t>
      </w:r>
      <w:r w:rsidR="00E11B55">
        <w:t xml:space="preserve">. </w:t>
      </w:r>
    </w:p>
    <w:p w14:paraId="5D775A2C" w14:textId="77777777" w:rsidR="00DD3396" w:rsidRPr="00924DEF" w:rsidRDefault="00DD3396" w:rsidP="00DD3396">
      <w:pPr>
        <w:pStyle w:val="Textoindependiente"/>
        <w:spacing w:line="276" w:lineRule="auto"/>
        <w:ind w:right="51"/>
        <w:jc w:val="both"/>
      </w:pPr>
    </w:p>
    <w:p w14:paraId="46CB3F9F" w14:textId="77777777" w:rsidR="00DD3396" w:rsidRPr="00924DEF" w:rsidRDefault="00DD3396" w:rsidP="00DD3396">
      <w:pPr>
        <w:spacing w:line="276" w:lineRule="auto"/>
        <w:jc w:val="both"/>
        <w:rPr>
          <w:rFonts w:ascii="Arial" w:eastAsia="Calibri" w:hAnsi="Arial" w:cs="Arial"/>
          <w:sz w:val="22"/>
          <w:szCs w:val="22"/>
          <w:lang w:val="es-ES"/>
        </w:rPr>
      </w:pPr>
      <w:r w:rsidRPr="00924DEF">
        <w:rPr>
          <w:rFonts w:ascii="Arial" w:eastAsia="Calibri" w:hAnsi="Arial" w:cs="Arial"/>
          <w:sz w:val="22"/>
          <w:szCs w:val="22"/>
          <w:lang w:val="es-ES"/>
        </w:rPr>
        <w:lastRenderedPageBreak/>
        <w:t>Este concepto tiene el alcance previsto en el artículo 28 del Código de Procedimiento Administrativo y de lo Contencioso Administrativo.</w:t>
      </w:r>
    </w:p>
    <w:p w14:paraId="7E549757" w14:textId="77777777" w:rsidR="00DD3396" w:rsidRPr="00924DEF" w:rsidRDefault="00DD3396" w:rsidP="00DD3396">
      <w:pPr>
        <w:jc w:val="both"/>
        <w:rPr>
          <w:rFonts w:ascii="Arial" w:eastAsia="Calibri" w:hAnsi="Arial" w:cs="Arial"/>
          <w:sz w:val="22"/>
          <w:szCs w:val="22"/>
          <w:lang w:val="es-ES"/>
        </w:rPr>
      </w:pPr>
    </w:p>
    <w:p w14:paraId="0E3EE9FB" w14:textId="656FCFAA" w:rsidR="00DD3396" w:rsidRDefault="00DD3396" w:rsidP="00DD3396">
      <w:pPr>
        <w:jc w:val="both"/>
        <w:rPr>
          <w:rFonts w:ascii="Arial" w:hAnsi="Arial" w:cs="Arial"/>
          <w:sz w:val="22"/>
          <w:szCs w:val="22"/>
          <w:lang w:val="es-ES" w:eastAsia="es-CO"/>
        </w:rPr>
      </w:pPr>
      <w:r w:rsidRPr="00924DEF">
        <w:rPr>
          <w:rFonts w:ascii="Arial" w:hAnsi="Arial" w:cs="Arial"/>
          <w:sz w:val="22"/>
          <w:szCs w:val="22"/>
          <w:lang w:val="es-ES" w:eastAsia="es-CO"/>
        </w:rPr>
        <w:t>Atentamente,</w:t>
      </w:r>
    </w:p>
    <w:p w14:paraId="1B7EA7A3" w14:textId="517747FC" w:rsidR="00BA40B0" w:rsidRDefault="00BA40B0" w:rsidP="00DD3396">
      <w:pPr>
        <w:jc w:val="both"/>
        <w:rPr>
          <w:rFonts w:ascii="Arial" w:hAnsi="Arial" w:cs="Arial"/>
          <w:sz w:val="22"/>
          <w:szCs w:val="22"/>
          <w:lang w:val="es-ES" w:eastAsia="es-CO"/>
        </w:rPr>
      </w:pPr>
    </w:p>
    <w:p w14:paraId="1EA301F3" w14:textId="0F5031D7" w:rsidR="00DD3396" w:rsidRPr="0008465D" w:rsidRDefault="002A2D9A" w:rsidP="00DD3396">
      <w:pPr>
        <w:jc w:val="center"/>
        <w:rPr>
          <w:rFonts w:ascii="Arial" w:hAnsi="Arial" w:cs="Arial"/>
          <w:sz w:val="18"/>
          <w:szCs w:val="20"/>
          <w:lang w:val="es-ES" w:eastAsia="es-CO"/>
        </w:rPr>
      </w:pPr>
      <w:r>
        <w:rPr>
          <w:rFonts w:ascii="Arial" w:hAnsi="Arial" w:cs="Arial"/>
          <w:noProof/>
          <w:color w:val="000000" w:themeColor="text1"/>
          <w:sz w:val="18"/>
          <w:szCs w:val="20"/>
        </w:rPr>
        <w:drawing>
          <wp:inline distT="0" distB="0" distL="0" distR="0" wp14:anchorId="1294C1CD" wp14:editId="6FDB8DE4">
            <wp:extent cx="2514600" cy="1112520"/>
            <wp:effectExtent l="0" t="0" r="0" b="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514600" cy="1112520"/>
                    </a:xfrm>
                    <a:prstGeom prst="rect">
                      <a:avLst/>
                    </a:prstGeom>
                    <a:noFill/>
                    <a:ln>
                      <a:noFill/>
                    </a:ln>
                  </pic:spPr>
                </pic:pic>
              </a:graphicData>
            </a:graphic>
          </wp:inline>
        </w:drawing>
      </w:r>
    </w:p>
    <w:p w14:paraId="6E8E90DB" w14:textId="244A04A6" w:rsidR="00DD3396" w:rsidRDefault="00DD3396" w:rsidP="00DD3396">
      <w:pPr>
        <w:jc w:val="center"/>
        <w:rPr>
          <w:rFonts w:ascii="Arial" w:hAnsi="Arial" w:cs="Arial"/>
          <w:sz w:val="18"/>
          <w:szCs w:val="20"/>
          <w:lang w:val="es-ES"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DD3396" w:rsidRPr="0008465D" w14:paraId="184BA4E2" w14:textId="77777777" w:rsidTr="008A5DF2">
        <w:trPr>
          <w:trHeight w:val="315"/>
        </w:trPr>
        <w:tc>
          <w:tcPr>
            <w:tcW w:w="812" w:type="dxa"/>
            <w:vAlign w:val="center"/>
            <w:hideMark/>
          </w:tcPr>
          <w:p w14:paraId="6E5809A2" w14:textId="77777777" w:rsidR="00DD3396" w:rsidRPr="0008465D" w:rsidRDefault="00DD3396" w:rsidP="008A5DF2">
            <w:pPr>
              <w:rPr>
                <w:rFonts w:ascii="Arial" w:hAnsi="Arial" w:cs="Arial"/>
                <w:sz w:val="16"/>
                <w:szCs w:val="16"/>
                <w:lang w:val="es-ES" w:eastAsia="es-ES"/>
              </w:rPr>
            </w:pPr>
            <w:r w:rsidRPr="0008465D">
              <w:rPr>
                <w:rFonts w:ascii="Arial" w:hAnsi="Arial" w:cs="Arial"/>
                <w:sz w:val="16"/>
                <w:szCs w:val="16"/>
                <w:lang w:val="es-ES" w:eastAsia="es-ES"/>
              </w:rPr>
              <w:t>Elaboró:</w:t>
            </w:r>
          </w:p>
        </w:tc>
        <w:tc>
          <w:tcPr>
            <w:tcW w:w="4413" w:type="dxa"/>
            <w:tcBorders>
              <w:top w:val="nil"/>
              <w:left w:val="nil"/>
              <w:bottom w:val="dotted" w:sz="4" w:space="0" w:color="7F7F7F" w:themeColor="text1" w:themeTint="80"/>
              <w:right w:val="nil"/>
            </w:tcBorders>
            <w:vAlign w:val="center"/>
            <w:hideMark/>
          </w:tcPr>
          <w:p w14:paraId="4276713B" w14:textId="77777777" w:rsidR="00DD3396" w:rsidRPr="0008465D" w:rsidRDefault="00DD3396" w:rsidP="008A5DF2">
            <w:pPr>
              <w:rPr>
                <w:rFonts w:ascii="Arial" w:hAnsi="Arial" w:cs="Arial"/>
                <w:sz w:val="16"/>
                <w:szCs w:val="16"/>
                <w:lang w:val="es-ES" w:eastAsia="es-ES"/>
              </w:rPr>
            </w:pPr>
            <w:r w:rsidRPr="0008465D">
              <w:rPr>
                <w:rFonts w:ascii="Arial" w:hAnsi="Arial" w:cs="Arial"/>
                <w:sz w:val="16"/>
                <w:szCs w:val="16"/>
                <w:lang w:val="es-ES" w:eastAsia="es-ES"/>
              </w:rPr>
              <w:t>Camilo Perdomo Villamil</w:t>
            </w:r>
          </w:p>
          <w:p w14:paraId="54E2B521" w14:textId="77777777" w:rsidR="00DD3396" w:rsidRPr="0008465D" w:rsidRDefault="00DD3396" w:rsidP="008A5DF2">
            <w:pPr>
              <w:rPr>
                <w:rFonts w:ascii="Arial" w:hAnsi="Arial" w:cs="Arial"/>
                <w:sz w:val="16"/>
                <w:szCs w:val="16"/>
                <w:lang w:val="es-ES" w:eastAsia="es-ES"/>
              </w:rPr>
            </w:pPr>
            <w:r w:rsidRPr="0008465D">
              <w:rPr>
                <w:rFonts w:ascii="Arial" w:hAnsi="Arial" w:cs="Arial"/>
                <w:sz w:val="16"/>
                <w:szCs w:val="16"/>
                <w:lang w:val="es-ES" w:eastAsia="es-ES"/>
              </w:rPr>
              <w:t>Contratista de la Subdirección de Gestión Contractual</w:t>
            </w:r>
          </w:p>
        </w:tc>
      </w:tr>
      <w:tr w:rsidR="00DD3396" w:rsidRPr="0008465D" w14:paraId="0FD9A13A" w14:textId="77777777" w:rsidTr="008A5DF2">
        <w:trPr>
          <w:trHeight w:val="330"/>
        </w:trPr>
        <w:tc>
          <w:tcPr>
            <w:tcW w:w="812" w:type="dxa"/>
            <w:vAlign w:val="center"/>
            <w:hideMark/>
          </w:tcPr>
          <w:p w14:paraId="2901292D" w14:textId="77777777" w:rsidR="00DD3396" w:rsidRPr="0008465D" w:rsidRDefault="00DD3396" w:rsidP="008A5DF2">
            <w:pPr>
              <w:rPr>
                <w:rFonts w:ascii="Arial" w:hAnsi="Arial" w:cs="Arial"/>
                <w:sz w:val="16"/>
                <w:szCs w:val="16"/>
                <w:lang w:val="es-ES" w:eastAsia="es-ES"/>
              </w:rPr>
            </w:pPr>
            <w:r w:rsidRPr="0008465D">
              <w:rPr>
                <w:rFonts w:ascii="Arial" w:hAnsi="Arial" w:cs="Arial"/>
                <w:sz w:val="16"/>
                <w:szCs w:val="16"/>
                <w:lang w:val="es-ES"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2C956A3B" w14:textId="77777777" w:rsidR="00DD3396" w:rsidRPr="009F5860" w:rsidRDefault="00DD3396" w:rsidP="008A5DF2">
            <w:pPr>
              <w:rPr>
                <w:rFonts w:ascii="Arial" w:hAnsi="Arial" w:cs="Arial"/>
                <w:sz w:val="16"/>
                <w:szCs w:val="16"/>
                <w:lang w:val="es-ES" w:eastAsia="es-ES"/>
              </w:rPr>
            </w:pPr>
            <w:r w:rsidRPr="009F5860">
              <w:rPr>
                <w:rFonts w:ascii="Arial" w:hAnsi="Arial" w:cs="Arial"/>
                <w:sz w:val="16"/>
                <w:szCs w:val="16"/>
                <w:lang w:val="es-ES" w:eastAsia="es-ES"/>
              </w:rPr>
              <w:t>Alejandro Sarmiento Cantillo</w:t>
            </w:r>
          </w:p>
          <w:p w14:paraId="7B192CD3" w14:textId="77777777" w:rsidR="00DD3396" w:rsidRPr="0008465D" w:rsidRDefault="00DD3396" w:rsidP="008A5DF2">
            <w:pPr>
              <w:rPr>
                <w:rFonts w:ascii="Arial" w:hAnsi="Arial" w:cs="Arial"/>
                <w:sz w:val="16"/>
                <w:szCs w:val="16"/>
                <w:lang w:val="es-ES" w:eastAsia="es-ES"/>
              </w:rPr>
            </w:pPr>
            <w:r w:rsidRPr="009F5860">
              <w:rPr>
                <w:rFonts w:ascii="Arial" w:hAnsi="Arial" w:cs="Arial"/>
                <w:sz w:val="16"/>
                <w:szCs w:val="16"/>
                <w:lang w:val="es-ES" w:eastAsia="es-ES"/>
              </w:rPr>
              <w:t>Gestor T1-1</w:t>
            </w:r>
            <w:r>
              <w:rPr>
                <w:rFonts w:ascii="Arial" w:hAnsi="Arial" w:cs="Arial"/>
                <w:sz w:val="16"/>
                <w:szCs w:val="16"/>
                <w:lang w:val="es-ES" w:eastAsia="es-ES"/>
              </w:rPr>
              <w:t>5</w:t>
            </w:r>
            <w:r w:rsidRPr="009F5860">
              <w:rPr>
                <w:rFonts w:ascii="Arial" w:hAnsi="Arial" w:cs="Arial"/>
                <w:sz w:val="16"/>
                <w:szCs w:val="16"/>
                <w:lang w:val="es-ES" w:eastAsia="es-ES"/>
              </w:rPr>
              <w:t xml:space="preserve"> de la Subdirección de Gestión Contractual</w:t>
            </w:r>
          </w:p>
        </w:tc>
      </w:tr>
      <w:tr w:rsidR="00DD3396" w:rsidRPr="0008465D" w14:paraId="22915ADC" w14:textId="77777777" w:rsidTr="008A5DF2">
        <w:trPr>
          <w:trHeight w:val="300"/>
        </w:trPr>
        <w:tc>
          <w:tcPr>
            <w:tcW w:w="812" w:type="dxa"/>
            <w:vAlign w:val="center"/>
            <w:hideMark/>
          </w:tcPr>
          <w:p w14:paraId="2B0AEA3D" w14:textId="77777777" w:rsidR="00DD3396" w:rsidRPr="0008465D" w:rsidRDefault="00DD3396" w:rsidP="008A5DF2">
            <w:pPr>
              <w:rPr>
                <w:rFonts w:ascii="Arial" w:hAnsi="Arial" w:cs="Arial"/>
                <w:sz w:val="16"/>
                <w:szCs w:val="16"/>
                <w:lang w:val="es-ES" w:eastAsia="es-ES"/>
              </w:rPr>
            </w:pPr>
            <w:r w:rsidRPr="0008465D">
              <w:rPr>
                <w:rFonts w:ascii="Arial" w:hAnsi="Arial" w:cs="Arial"/>
                <w:sz w:val="16"/>
                <w:szCs w:val="16"/>
                <w:lang w:val="es-ES"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5CC8FA87" w14:textId="77777777" w:rsidR="00DD3396" w:rsidRPr="0008465D" w:rsidRDefault="00DD3396" w:rsidP="008A5DF2">
            <w:pPr>
              <w:rPr>
                <w:rFonts w:ascii="Arial" w:hAnsi="Arial" w:cs="Arial"/>
                <w:sz w:val="16"/>
                <w:szCs w:val="16"/>
                <w:lang w:val="es-ES" w:eastAsia="es-ES"/>
              </w:rPr>
            </w:pPr>
            <w:r w:rsidRPr="0008465D">
              <w:rPr>
                <w:rFonts w:ascii="Arial" w:hAnsi="Arial" w:cs="Arial"/>
                <w:sz w:val="16"/>
                <w:szCs w:val="16"/>
                <w:lang w:val="es-ES" w:eastAsia="es-ES"/>
              </w:rPr>
              <w:t>Jorge Augusto Tirado Navarro</w:t>
            </w:r>
          </w:p>
          <w:p w14:paraId="253FFB1D" w14:textId="77777777" w:rsidR="00DD3396" w:rsidRPr="0008465D" w:rsidRDefault="00DD3396" w:rsidP="008A5DF2">
            <w:pPr>
              <w:rPr>
                <w:rFonts w:ascii="Arial" w:hAnsi="Arial" w:cs="Arial"/>
                <w:sz w:val="16"/>
                <w:szCs w:val="16"/>
                <w:lang w:val="es-ES" w:eastAsia="es-ES"/>
              </w:rPr>
            </w:pPr>
            <w:r w:rsidRPr="0008465D">
              <w:rPr>
                <w:rFonts w:ascii="Arial" w:hAnsi="Arial" w:cs="Arial"/>
                <w:sz w:val="16"/>
                <w:szCs w:val="16"/>
                <w:lang w:val="es-ES" w:eastAsia="es-ES"/>
              </w:rPr>
              <w:t>Subdirector de Gestión Contractual ANCP – CCE</w:t>
            </w:r>
          </w:p>
        </w:tc>
      </w:tr>
    </w:tbl>
    <w:p w14:paraId="3D575CCC" w14:textId="77777777" w:rsidR="00DD3396" w:rsidRDefault="00DD3396" w:rsidP="00DD3396">
      <w:pPr>
        <w:spacing w:line="276" w:lineRule="auto"/>
      </w:pPr>
    </w:p>
    <w:p w14:paraId="79C38D80" w14:textId="77777777" w:rsidR="00B55C9B" w:rsidRDefault="00B55C9B"/>
    <w:sectPr w:rsidR="00B55C9B" w:rsidSect="007F1895">
      <w:headerReference w:type="default" r:id="rId10"/>
      <w:footerReference w:type="default" r:id="rId11"/>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36D6A2" w14:textId="77777777" w:rsidR="00977137" w:rsidRDefault="00977137" w:rsidP="00DD3396">
      <w:r>
        <w:separator/>
      </w:r>
    </w:p>
  </w:endnote>
  <w:endnote w:type="continuationSeparator" w:id="0">
    <w:p w14:paraId="3E508AE8" w14:textId="77777777" w:rsidR="00977137" w:rsidRDefault="00977137" w:rsidP="00DD33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D934E8" w14:textId="77777777" w:rsidR="00387886" w:rsidRDefault="00977137" w:rsidP="007F1895">
    <w:pPr>
      <w:pStyle w:val="Sinespaciado"/>
      <w:jc w:val="right"/>
      <w:rPr>
        <w:rFonts w:ascii="Arial" w:hAnsi="Arial" w:cs="Arial"/>
        <w:sz w:val="18"/>
        <w:szCs w:val="18"/>
      </w:rPr>
    </w:pPr>
  </w:p>
  <w:p w14:paraId="05CFB081" w14:textId="77777777" w:rsidR="00387886" w:rsidRDefault="00977137" w:rsidP="007F1895">
    <w:pPr>
      <w:pStyle w:val="Sinespaciado"/>
      <w:jc w:val="right"/>
      <w:rPr>
        <w:rFonts w:ascii="Arial" w:hAnsi="Arial" w:cs="Arial"/>
        <w:sz w:val="18"/>
        <w:szCs w:val="18"/>
      </w:rPr>
    </w:pPr>
  </w:p>
  <w:p w14:paraId="0BB30109" w14:textId="77777777" w:rsidR="00387886" w:rsidRPr="008217B7" w:rsidRDefault="00AB6FA6" w:rsidP="007F1895">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Pr="00084B97">
      <w:rPr>
        <w:rFonts w:ascii="Arial" w:hAnsi="Arial" w:cs="Arial"/>
        <w:b/>
        <w:bCs/>
        <w:color w:val="7F7F7F" w:themeColor="text1" w:themeTint="80"/>
        <w:sz w:val="16"/>
        <w:szCs w:val="16"/>
      </w:rPr>
      <w:t>1</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Pr="00084B97">
      <w:rPr>
        <w:rFonts w:ascii="Arial" w:hAnsi="Arial" w:cs="Arial"/>
        <w:b/>
        <w:bCs/>
        <w:color w:val="7F7F7F" w:themeColor="text1" w:themeTint="80"/>
        <w:sz w:val="16"/>
        <w:szCs w:val="16"/>
      </w:rPr>
      <w:t>2</w:t>
    </w:r>
    <w:r w:rsidRPr="00084B97">
      <w:rPr>
        <w:rFonts w:ascii="Arial" w:hAnsi="Arial" w:cs="Arial"/>
        <w:b/>
        <w:bCs/>
        <w:color w:val="7F7F7F" w:themeColor="text1" w:themeTint="80"/>
        <w:sz w:val="16"/>
        <w:szCs w:val="16"/>
      </w:rPr>
      <w:fldChar w:fldCharType="end"/>
    </w:r>
  </w:p>
  <w:p w14:paraId="6D3B6446" w14:textId="77777777" w:rsidR="00387886" w:rsidRDefault="00AB6FA6" w:rsidP="007F1895">
    <w:pPr>
      <w:pStyle w:val="Piedepgina"/>
      <w:jc w:val="center"/>
      <w:rPr>
        <w:lang w:val="es-ES"/>
      </w:rPr>
    </w:pPr>
    <w:r>
      <w:rPr>
        <w:noProof/>
      </w:rPr>
      <w:drawing>
        <wp:inline distT="0" distB="0" distL="0" distR="0" wp14:anchorId="2E7C97FE" wp14:editId="7CDFBE97">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1A82BF81" w14:textId="77777777" w:rsidR="00387886" w:rsidRPr="00E756AC" w:rsidRDefault="00977137" w:rsidP="007F1895">
    <w:pPr>
      <w:pStyle w:val="Piedepgina"/>
      <w:jc w:val="center"/>
      <w:rPr>
        <w:sz w:val="18"/>
        <w:szCs w:val="18"/>
        <w:lang w:val="es-ES"/>
      </w:rPr>
    </w:pPr>
  </w:p>
  <w:p w14:paraId="24F964E6" w14:textId="77777777" w:rsidR="00387886" w:rsidRPr="00E756AC" w:rsidRDefault="00977137" w:rsidP="007F1895">
    <w:pPr>
      <w:pStyle w:val="Piedepgina"/>
      <w:jc w:val="center"/>
      <w:rPr>
        <w:sz w:val="18"/>
        <w:szCs w:val="18"/>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D6B0BA" w14:textId="77777777" w:rsidR="00977137" w:rsidRDefault="00977137" w:rsidP="00DD3396">
      <w:r>
        <w:separator/>
      </w:r>
    </w:p>
  </w:footnote>
  <w:footnote w:type="continuationSeparator" w:id="0">
    <w:p w14:paraId="618B1918" w14:textId="77777777" w:rsidR="00977137" w:rsidRDefault="00977137" w:rsidP="00DD3396">
      <w:r>
        <w:continuationSeparator/>
      </w:r>
    </w:p>
  </w:footnote>
  <w:footnote w:id="1">
    <w:p w14:paraId="72893CF8" w14:textId="0EA9F744" w:rsidR="00DD3396" w:rsidRDefault="00DD3396" w:rsidP="007439E0">
      <w:pPr>
        <w:pStyle w:val="Textonotapie"/>
        <w:ind w:firstLine="709"/>
        <w:jc w:val="both"/>
        <w:rPr>
          <w:rFonts w:ascii="Arial" w:hAnsi="Arial" w:cs="Arial"/>
          <w:sz w:val="19"/>
          <w:szCs w:val="19"/>
        </w:rPr>
      </w:pPr>
      <w:r w:rsidRPr="001F6332">
        <w:rPr>
          <w:rStyle w:val="Refdenotaalpie"/>
          <w:rFonts w:ascii="Arial" w:hAnsi="Arial" w:cs="Arial"/>
          <w:sz w:val="19"/>
          <w:szCs w:val="19"/>
        </w:rPr>
        <w:footnoteRef/>
      </w:r>
      <w:r w:rsidRPr="001F6332">
        <w:rPr>
          <w:rFonts w:ascii="Arial" w:hAnsi="Arial" w:cs="Arial"/>
          <w:sz w:val="19"/>
          <w:szCs w:val="19"/>
        </w:rPr>
        <w:t xml:space="preserve"> La Agencia Nacional de Contratación Pública ‒ Colombia Compra Eficiente fue creada por el Decreto Ley 4170 de 2011. Su objetivo es servir como ente rector de la política de compras y contratación del Estado. Para tales fines, como órgano técnico especializado, le corresponde formular políticas públicas y normas y unificar los procesos de contratación estatal, con el fin de lograr una mayor eficiencia, transparencia y optimización de los recursos del Estado. El artículo 3 </w:t>
      </w:r>
      <w:r w:rsidRPr="001F6332">
        <w:rPr>
          <w:rFonts w:ascii="Arial" w:hAnsi="Arial" w:cs="Arial"/>
          <w:i/>
          <w:iCs/>
          <w:sz w:val="19"/>
          <w:szCs w:val="19"/>
        </w:rPr>
        <w:t xml:space="preserve">ibidem </w:t>
      </w:r>
      <w:r w:rsidRPr="001F6332">
        <w:rPr>
          <w:rFonts w:ascii="Arial" w:hAnsi="Arial" w:cs="Arial"/>
          <w:sz w:val="19"/>
          <w:szCs w:val="19"/>
        </w:rPr>
        <w:t>señala, de manera precisa, las funciones de Colombia Compra Eficiente. Concretamente, el numeral 5º de este artículo establece que le corresponde a esta entidad: «[a]bsolver consultas sobre la aplicación de normas de carácter general y expedir circulares externas en materia de compras y contratación pública». Seguidamente, el numeral 8º del artículo 11 ibidem señala que es función de la Subdirección de Gestión Contractual: «[a]bsolver consultas sobre la aplicación de normas de carácter general».</w:t>
      </w:r>
    </w:p>
    <w:p w14:paraId="297F918B" w14:textId="77777777" w:rsidR="001032B4" w:rsidRPr="001F6332" w:rsidRDefault="001032B4" w:rsidP="007439E0">
      <w:pPr>
        <w:pStyle w:val="Textonotapie"/>
        <w:ind w:firstLine="709"/>
        <w:jc w:val="both"/>
        <w:rPr>
          <w:rFonts w:ascii="Arial" w:hAnsi="Arial" w:cs="Arial"/>
          <w:sz w:val="19"/>
          <w:szCs w:val="19"/>
          <w:lang w:val="es-ES"/>
        </w:rPr>
      </w:pPr>
    </w:p>
  </w:footnote>
  <w:footnote w:id="2">
    <w:p w14:paraId="2EBA8981" w14:textId="77777777" w:rsidR="00862E0E" w:rsidRPr="009F3352" w:rsidRDefault="00862E0E" w:rsidP="00862E0E">
      <w:pPr>
        <w:pStyle w:val="Textonotapie"/>
        <w:ind w:firstLine="709"/>
        <w:jc w:val="both"/>
        <w:rPr>
          <w:rFonts w:ascii="Arial" w:hAnsi="Arial" w:cs="Arial"/>
          <w:sz w:val="19"/>
          <w:szCs w:val="19"/>
        </w:rPr>
      </w:pPr>
      <w:r w:rsidRPr="009F3352">
        <w:rPr>
          <w:rStyle w:val="Refdenotaalpie"/>
          <w:rFonts w:ascii="Arial" w:hAnsi="Arial" w:cs="Arial"/>
          <w:sz w:val="19"/>
          <w:szCs w:val="19"/>
        </w:rPr>
        <w:footnoteRef/>
      </w:r>
      <w:r w:rsidRPr="009F3352">
        <w:rPr>
          <w:rFonts w:ascii="Arial" w:hAnsi="Arial" w:cs="Arial"/>
          <w:sz w:val="19"/>
          <w:szCs w:val="19"/>
        </w:rPr>
        <w:t xml:space="preserve"> «Parágrafo 3. El Gobierno Nacional tendrá la facultad de estandarizar las condiciones generales de los pliegos de condiciones y los contratos de las entidades estatales, cuando se trate de la adquisición o suministro de bienes y servicios de características técnicas uniformes y de común utilización por parte de las entidades».</w:t>
      </w:r>
    </w:p>
    <w:p w14:paraId="4539EC0F" w14:textId="77777777" w:rsidR="00862E0E" w:rsidRPr="009F3352" w:rsidRDefault="00862E0E" w:rsidP="00862E0E">
      <w:pPr>
        <w:pStyle w:val="Textonotapie"/>
        <w:ind w:firstLine="709"/>
        <w:jc w:val="both"/>
        <w:rPr>
          <w:rFonts w:ascii="Arial" w:hAnsi="Arial" w:cs="Arial"/>
          <w:sz w:val="19"/>
          <w:szCs w:val="19"/>
          <w:lang w:val="es-CO"/>
        </w:rPr>
      </w:pPr>
    </w:p>
  </w:footnote>
  <w:footnote w:id="3">
    <w:p w14:paraId="5A21DF41" w14:textId="77777777" w:rsidR="00862E0E" w:rsidRPr="009F3352" w:rsidRDefault="00862E0E" w:rsidP="00862E0E">
      <w:pPr>
        <w:pStyle w:val="Textonotapie"/>
        <w:ind w:firstLine="709"/>
        <w:jc w:val="both"/>
        <w:rPr>
          <w:rFonts w:ascii="Arial" w:hAnsi="Arial" w:cs="Arial"/>
          <w:sz w:val="19"/>
          <w:szCs w:val="19"/>
        </w:rPr>
      </w:pPr>
      <w:r w:rsidRPr="009F3352">
        <w:rPr>
          <w:rStyle w:val="Refdenotaalpie"/>
          <w:rFonts w:ascii="Arial" w:hAnsi="Arial" w:cs="Arial"/>
          <w:sz w:val="19"/>
          <w:szCs w:val="19"/>
        </w:rPr>
        <w:footnoteRef/>
      </w:r>
      <w:r w:rsidRPr="009F3352">
        <w:rPr>
          <w:rFonts w:ascii="Arial" w:hAnsi="Arial" w:cs="Arial"/>
          <w:sz w:val="19"/>
          <w:szCs w:val="19"/>
        </w:rPr>
        <w:t xml:space="preserve"> </w:t>
      </w:r>
      <w:r w:rsidRPr="009F3352">
        <w:rPr>
          <w:rFonts w:ascii="Arial" w:hAnsi="Arial" w:cs="Arial"/>
          <w:sz w:val="19"/>
          <w:szCs w:val="19"/>
          <w:lang w:val="es-CO"/>
        </w:rPr>
        <w:t xml:space="preserve">Ley 1882 de 2018: «Artículo 4. </w:t>
      </w:r>
      <w:r w:rsidRPr="009F3352">
        <w:rPr>
          <w:rFonts w:ascii="Arial" w:hAnsi="Arial" w:cs="Arial"/>
          <w:sz w:val="19"/>
          <w:szCs w:val="19"/>
        </w:rPr>
        <w:t>El Gobierno nacional adoptará documentos tipo para los pliegos de condiciones de los procesos de selección de obras públicas, interventoría para las obras públicas, interventoría para consultoría de estudios y diseños para obras públicas, consultoría en ingeniería para obras, los cuales deberán ser utilizados por todas las entidades sometidas al Estatuto General de la Contratación de la Administración Pública en los procesos de selección que adelanten. Dentro de los documentos tipo el Gobierno adoptará de manera general y con alcance obligatorio para todas las entidades sometidas al Estatuto General de Contratación de la Administración Pública, las condiciones habilitantes, así como los factores técnicos y económicos de escogencia, según corresponda a cada modalidad de selección y la ponderación precisa y detallada de los mismos, que deberán incluirse en los pliegos de condiciones, teniendo en cuenta la naturaleza y cuantía de los contratos. Para la adopción de esta reglamentación el Gobierno tendrá en cuenta las características propias de las regiones con el ánimo de promover el empleo local.</w:t>
      </w:r>
    </w:p>
    <w:p w14:paraId="607E985A" w14:textId="77777777" w:rsidR="00862E0E" w:rsidRPr="009F3352" w:rsidRDefault="00862E0E" w:rsidP="00862E0E">
      <w:pPr>
        <w:pStyle w:val="Textonotapie"/>
        <w:ind w:firstLine="709"/>
        <w:jc w:val="both"/>
        <w:rPr>
          <w:rFonts w:ascii="Arial" w:hAnsi="Arial" w:cs="Arial"/>
          <w:sz w:val="19"/>
          <w:szCs w:val="19"/>
          <w:lang w:val="es-CO"/>
        </w:rPr>
      </w:pPr>
      <w:r w:rsidRPr="009F3352">
        <w:rPr>
          <w:rFonts w:ascii="Arial" w:hAnsi="Arial" w:cs="Arial"/>
          <w:sz w:val="19"/>
          <w:szCs w:val="19"/>
          <w:lang w:val="es-CO"/>
        </w:rPr>
        <w:t>»La facultad de adoptar documentos tipo la tendrá el Gobierno nacional, cuando lo considere necesario, en relación con otros contratos o procesos de selección.</w:t>
      </w:r>
    </w:p>
    <w:p w14:paraId="73A7A96E" w14:textId="77777777" w:rsidR="00862E0E" w:rsidRPr="009F3352" w:rsidRDefault="00862E0E" w:rsidP="00862E0E">
      <w:pPr>
        <w:pStyle w:val="Textonotapie"/>
        <w:ind w:firstLine="709"/>
        <w:jc w:val="both"/>
        <w:rPr>
          <w:rFonts w:ascii="Arial" w:hAnsi="Arial" w:cs="Arial"/>
          <w:sz w:val="19"/>
          <w:szCs w:val="19"/>
          <w:lang w:val="es-CO"/>
        </w:rPr>
      </w:pPr>
      <w:r w:rsidRPr="009F3352">
        <w:rPr>
          <w:rFonts w:ascii="Arial" w:hAnsi="Arial" w:cs="Arial"/>
          <w:sz w:val="19"/>
          <w:szCs w:val="19"/>
          <w:lang w:val="es-CO"/>
        </w:rPr>
        <w:t>»Los pliegos tipo se adoptarán por categorías de acuerdo con la cuantía de la contratación, según la reglamentación que expida el Gobierno nacional».</w:t>
      </w:r>
    </w:p>
    <w:p w14:paraId="021BE104" w14:textId="77777777" w:rsidR="00862E0E" w:rsidRPr="009F3352" w:rsidRDefault="00862E0E" w:rsidP="00862E0E">
      <w:pPr>
        <w:pStyle w:val="Textonotapie"/>
        <w:ind w:firstLine="709"/>
        <w:jc w:val="both"/>
        <w:rPr>
          <w:rFonts w:ascii="Arial" w:hAnsi="Arial" w:cs="Arial"/>
          <w:sz w:val="19"/>
          <w:szCs w:val="19"/>
          <w:lang w:val="es-CO"/>
        </w:rPr>
      </w:pPr>
    </w:p>
  </w:footnote>
  <w:footnote w:id="4">
    <w:p w14:paraId="02941A44" w14:textId="77777777" w:rsidR="00862E0E" w:rsidRPr="009F3352" w:rsidRDefault="00862E0E" w:rsidP="00862E0E">
      <w:pPr>
        <w:pStyle w:val="Textonotapie"/>
        <w:ind w:firstLine="709"/>
        <w:jc w:val="both"/>
        <w:rPr>
          <w:rFonts w:ascii="Arial" w:hAnsi="Arial" w:cs="Arial"/>
          <w:sz w:val="19"/>
          <w:szCs w:val="19"/>
        </w:rPr>
      </w:pPr>
      <w:r w:rsidRPr="009F3352">
        <w:rPr>
          <w:rStyle w:val="Refdenotaalpie"/>
          <w:rFonts w:ascii="Arial" w:hAnsi="Arial" w:cs="Arial"/>
          <w:sz w:val="19"/>
          <w:szCs w:val="19"/>
        </w:rPr>
        <w:footnoteRef/>
      </w:r>
      <w:r w:rsidRPr="009F3352">
        <w:rPr>
          <w:rFonts w:ascii="Arial" w:hAnsi="Arial" w:cs="Arial"/>
          <w:sz w:val="19"/>
          <w:szCs w:val="19"/>
        </w:rPr>
        <w:t xml:space="preserve"> Corte Constitucional. Sentencia C-119 de 2020. M.P. Alejandro Linares Cantillo. «Encontró la Corte en el control abstracto de constitucionalidad, que de la norma no surge vulneración alguna de la autonomía de los entes territoriales, en cuanto que la estandarización se predica únicamente de los requisitos habilitantes y los criterios de escogencia, elementos propios del procedimiento de selección de contratistas, materia en la que existe reserva de ley, el Legislador goza de un amplio margen de configuración normativa y que no se encuentra atribuida a la regulación de las entidades territoriales. Resaltó que la norma cuestionada no interfiere en la facultad de las entidades territoriales para gestionar sus propios intereses, la que, en materia contractual, se predica particularmente de la identificación autónoma de sus necesidades y la configuración de los elementos del contrato».</w:t>
      </w:r>
    </w:p>
    <w:p w14:paraId="06C064F2" w14:textId="77777777" w:rsidR="00862E0E" w:rsidRPr="009F3352" w:rsidRDefault="00862E0E" w:rsidP="00862E0E">
      <w:pPr>
        <w:pStyle w:val="Textonotapie"/>
        <w:ind w:firstLine="709"/>
        <w:jc w:val="both"/>
        <w:rPr>
          <w:rFonts w:ascii="Arial" w:hAnsi="Arial" w:cs="Arial"/>
          <w:sz w:val="19"/>
          <w:szCs w:val="19"/>
        </w:rPr>
      </w:pPr>
    </w:p>
  </w:footnote>
  <w:footnote w:id="5">
    <w:p w14:paraId="1DED51E8" w14:textId="2E7E2DE5" w:rsidR="00862E0E" w:rsidRPr="009F3352" w:rsidRDefault="00862E0E" w:rsidP="00C33ED4">
      <w:pPr>
        <w:pStyle w:val="Normal11pt"/>
        <w:ind w:left="0" w:firstLine="709"/>
        <w:rPr>
          <w:rFonts w:eastAsia="Calibri"/>
          <w:color w:val="000000" w:themeColor="text1"/>
          <w:sz w:val="19"/>
          <w:szCs w:val="19"/>
        </w:rPr>
      </w:pPr>
      <w:r w:rsidRPr="009F3352">
        <w:rPr>
          <w:rStyle w:val="Refdenotaalpie"/>
          <w:sz w:val="19"/>
          <w:szCs w:val="19"/>
        </w:rPr>
        <w:footnoteRef/>
      </w:r>
      <w:r w:rsidRPr="00BE51B6">
        <w:rPr>
          <w:sz w:val="19"/>
          <w:szCs w:val="19"/>
        </w:rPr>
        <w:t xml:space="preserve"> A</w:t>
      </w:r>
      <w:r w:rsidR="00C33ED4">
        <w:rPr>
          <w:sz w:val="19"/>
          <w:szCs w:val="19"/>
        </w:rPr>
        <w:t>rtículo 4</w:t>
      </w:r>
      <w:r w:rsidRPr="00BE51B6">
        <w:rPr>
          <w:sz w:val="19"/>
          <w:szCs w:val="19"/>
        </w:rPr>
        <w:t xml:space="preserve">º. Adiciónese el siguiente parágrafo al artículo 2º de la Ley 1150 de 2007. </w:t>
      </w:r>
      <w:r w:rsidR="00C33ED4">
        <w:rPr>
          <w:sz w:val="19"/>
          <w:szCs w:val="19"/>
        </w:rPr>
        <w:t xml:space="preserve">Parágrafo </w:t>
      </w:r>
      <w:r w:rsidRPr="00BE51B6">
        <w:rPr>
          <w:sz w:val="19"/>
          <w:szCs w:val="19"/>
        </w:rPr>
        <w:t>7º. La Agencia Nacional de Contratación Pública Colombia Compra Eficiente o quien haga sus veces, adoptará documentos tipo que serán de obligatorio cumplimiento en la actividad contractual de todas las entidades sometidas al Estatuto General de Contratación de la Administración Pública</w:t>
      </w:r>
      <w:r w:rsidRPr="00C74E58">
        <w:rPr>
          <w:sz w:val="19"/>
          <w:szCs w:val="19"/>
        </w:rPr>
        <w:t>. Dentro de estos documentos tipo, se establecerán los requisitos habilitantes, factores técnicos, económicos y otros factores de escogencia, así como aquellos requisitos que, previa justificación, representen buenas prácticas contractuales que procuren el</w:t>
      </w:r>
      <w:r w:rsidRPr="009F3352">
        <w:rPr>
          <w:sz w:val="19"/>
          <w:szCs w:val="19"/>
        </w:rPr>
        <w:t xml:space="preserve"> adecuado desarrollo de los principios que rigen la contratación pública. Con el ánimo de promover la descentralización, el empleo local el desarrollo, los servicios e industria local, en la adopción de los documentos tipo, se tendrá en cuenta las características propias de las regiones, la cuantía, el fomento de la economía local y la naturaleza y especialidad de la contratación. (…)</w:t>
      </w:r>
    </w:p>
    <w:p w14:paraId="346BF3C3" w14:textId="77777777" w:rsidR="00862E0E" w:rsidRPr="009F3352" w:rsidRDefault="00862E0E" w:rsidP="00862E0E">
      <w:pPr>
        <w:pStyle w:val="Textonotapie"/>
        <w:jc w:val="both"/>
        <w:rPr>
          <w:rFonts w:ascii="Arial" w:hAnsi="Arial" w:cs="Arial"/>
          <w:sz w:val="19"/>
          <w:szCs w:val="19"/>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E87F42" w14:textId="77777777" w:rsidR="00387886" w:rsidRDefault="00AB6FA6">
    <w:pPr>
      <w:pStyle w:val="Encabezado"/>
    </w:pPr>
    <w:r>
      <w:rPr>
        <w:noProof/>
        <w:lang w:val="es-CO" w:eastAsia="es-CO"/>
      </w:rPr>
      <w:drawing>
        <wp:anchor distT="0" distB="0" distL="114300" distR="114300" simplePos="0" relativeHeight="251659264" behindDoc="1" locked="0" layoutInCell="1" allowOverlap="1" wp14:anchorId="3F2A7C96" wp14:editId="5BFA5ADC">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5E6035"/>
    <w:multiLevelType w:val="multilevel"/>
    <w:tmpl w:val="8ED88F3A"/>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b/>
        <w:bCs/>
      </w:rPr>
    </w:lvl>
    <w:lvl w:ilvl="2">
      <w:start w:val="1"/>
      <w:numFmt w:val="decimal"/>
      <w:isLgl/>
      <w:lvlText w:val="%1.%2.%3."/>
      <w:lvlJc w:val="left"/>
      <w:pPr>
        <w:ind w:left="720" w:hanging="720"/>
      </w:pPr>
      <w:rPr>
        <w:rFonts w:hint="default"/>
        <w:b/>
        <w:bCs/>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 w15:restartNumberingAfterBreak="0">
    <w:nsid w:val="0A185F2F"/>
    <w:multiLevelType w:val="multilevel"/>
    <w:tmpl w:val="BCA454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C6136D2"/>
    <w:multiLevelType w:val="hybridMultilevel"/>
    <w:tmpl w:val="B6BA7184"/>
    <w:lvl w:ilvl="0" w:tplc="240A0001">
      <w:start w:val="1"/>
      <w:numFmt w:val="bullet"/>
      <w:lvlText w:val=""/>
      <w:lvlJc w:val="left"/>
      <w:pPr>
        <w:ind w:left="1429" w:hanging="360"/>
      </w:pPr>
      <w:rPr>
        <w:rFonts w:ascii="Symbol" w:hAnsi="Symbol" w:hint="default"/>
      </w:rPr>
    </w:lvl>
    <w:lvl w:ilvl="1" w:tplc="240A0003" w:tentative="1">
      <w:start w:val="1"/>
      <w:numFmt w:val="bullet"/>
      <w:lvlText w:val="o"/>
      <w:lvlJc w:val="left"/>
      <w:pPr>
        <w:ind w:left="2149" w:hanging="360"/>
      </w:pPr>
      <w:rPr>
        <w:rFonts w:ascii="Courier New" w:hAnsi="Courier New" w:cs="Courier New" w:hint="default"/>
      </w:rPr>
    </w:lvl>
    <w:lvl w:ilvl="2" w:tplc="240A0005" w:tentative="1">
      <w:start w:val="1"/>
      <w:numFmt w:val="bullet"/>
      <w:lvlText w:val=""/>
      <w:lvlJc w:val="left"/>
      <w:pPr>
        <w:ind w:left="2869" w:hanging="360"/>
      </w:pPr>
      <w:rPr>
        <w:rFonts w:ascii="Wingdings" w:hAnsi="Wingdings" w:hint="default"/>
      </w:rPr>
    </w:lvl>
    <w:lvl w:ilvl="3" w:tplc="240A0001" w:tentative="1">
      <w:start w:val="1"/>
      <w:numFmt w:val="bullet"/>
      <w:lvlText w:val=""/>
      <w:lvlJc w:val="left"/>
      <w:pPr>
        <w:ind w:left="3589" w:hanging="360"/>
      </w:pPr>
      <w:rPr>
        <w:rFonts w:ascii="Symbol" w:hAnsi="Symbol" w:hint="default"/>
      </w:rPr>
    </w:lvl>
    <w:lvl w:ilvl="4" w:tplc="240A0003" w:tentative="1">
      <w:start w:val="1"/>
      <w:numFmt w:val="bullet"/>
      <w:lvlText w:val="o"/>
      <w:lvlJc w:val="left"/>
      <w:pPr>
        <w:ind w:left="4309" w:hanging="360"/>
      </w:pPr>
      <w:rPr>
        <w:rFonts w:ascii="Courier New" w:hAnsi="Courier New" w:cs="Courier New" w:hint="default"/>
      </w:rPr>
    </w:lvl>
    <w:lvl w:ilvl="5" w:tplc="240A0005" w:tentative="1">
      <w:start w:val="1"/>
      <w:numFmt w:val="bullet"/>
      <w:lvlText w:val=""/>
      <w:lvlJc w:val="left"/>
      <w:pPr>
        <w:ind w:left="5029" w:hanging="360"/>
      </w:pPr>
      <w:rPr>
        <w:rFonts w:ascii="Wingdings" w:hAnsi="Wingdings" w:hint="default"/>
      </w:rPr>
    </w:lvl>
    <w:lvl w:ilvl="6" w:tplc="240A0001" w:tentative="1">
      <w:start w:val="1"/>
      <w:numFmt w:val="bullet"/>
      <w:lvlText w:val=""/>
      <w:lvlJc w:val="left"/>
      <w:pPr>
        <w:ind w:left="5749" w:hanging="360"/>
      </w:pPr>
      <w:rPr>
        <w:rFonts w:ascii="Symbol" w:hAnsi="Symbol" w:hint="default"/>
      </w:rPr>
    </w:lvl>
    <w:lvl w:ilvl="7" w:tplc="240A0003" w:tentative="1">
      <w:start w:val="1"/>
      <w:numFmt w:val="bullet"/>
      <w:lvlText w:val="o"/>
      <w:lvlJc w:val="left"/>
      <w:pPr>
        <w:ind w:left="6469" w:hanging="360"/>
      </w:pPr>
      <w:rPr>
        <w:rFonts w:ascii="Courier New" w:hAnsi="Courier New" w:cs="Courier New" w:hint="default"/>
      </w:rPr>
    </w:lvl>
    <w:lvl w:ilvl="8" w:tplc="240A0005" w:tentative="1">
      <w:start w:val="1"/>
      <w:numFmt w:val="bullet"/>
      <w:lvlText w:val=""/>
      <w:lvlJc w:val="left"/>
      <w:pPr>
        <w:ind w:left="7189" w:hanging="360"/>
      </w:pPr>
      <w:rPr>
        <w:rFonts w:ascii="Wingdings" w:hAnsi="Wingdings" w:hint="default"/>
      </w:rPr>
    </w:lvl>
  </w:abstractNum>
  <w:abstractNum w:abstractNumId="3" w15:restartNumberingAfterBreak="0">
    <w:nsid w:val="377F3431"/>
    <w:multiLevelType w:val="hybridMultilevel"/>
    <w:tmpl w:val="346A0E58"/>
    <w:lvl w:ilvl="0" w:tplc="240A0001">
      <w:start w:val="1"/>
      <w:numFmt w:val="bullet"/>
      <w:lvlText w:val=""/>
      <w:lvlJc w:val="left"/>
      <w:pPr>
        <w:ind w:left="1490" w:hanging="360"/>
      </w:pPr>
      <w:rPr>
        <w:rFonts w:ascii="Symbol" w:hAnsi="Symbol" w:hint="default"/>
      </w:rPr>
    </w:lvl>
    <w:lvl w:ilvl="1" w:tplc="240A0003" w:tentative="1">
      <w:start w:val="1"/>
      <w:numFmt w:val="bullet"/>
      <w:lvlText w:val="o"/>
      <w:lvlJc w:val="left"/>
      <w:pPr>
        <w:ind w:left="2210" w:hanging="360"/>
      </w:pPr>
      <w:rPr>
        <w:rFonts w:ascii="Courier New" w:hAnsi="Courier New" w:cs="Courier New" w:hint="default"/>
      </w:rPr>
    </w:lvl>
    <w:lvl w:ilvl="2" w:tplc="240A0005" w:tentative="1">
      <w:start w:val="1"/>
      <w:numFmt w:val="bullet"/>
      <w:lvlText w:val=""/>
      <w:lvlJc w:val="left"/>
      <w:pPr>
        <w:ind w:left="2930" w:hanging="360"/>
      </w:pPr>
      <w:rPr>
        <w:rFonts w:ascii="Wingdings" w:hAnsi="Wingdings" w:hint="default"/>
      </w:rPr>
    </w:lvl>
    <w:lvl w:ilvl="3" w:tplc="240A0001" w:tentative="1">
      <w:start w:val="1"/>
      <w:numFmt w:val="bullet"/>
      <w:lvlText w:val=""/>
      <w:lvlJc w:val="left"/>
      <w:pPr>
        <w:ind w:left="3650" w:hanging="360"/>
      </w:pPr>
      <w:rPr>
        <w:rFonts w:ascii="Symbol" w:hAnsi="Symbol" w:hint="default"/>
      </w:rPr>
    </w:lvl>
    <w:lvl w:ilvl="4" w:tplc="240A0003" w:tentative="1">
      <w:start w:val="1"/>
      <w:numFmt w:val="bullet"/>
      <w:lvlText w:val="o"/>
      <w:lvlJc w:val="left"/>
      <w:pPr>
        <w:ind w:left="4370" w:hanging="360"/>
      </w:pPr>
      <w:rPr>
        <w:rFonts w:ascii="Courier New" w:hAnsi="Courier New" w:cs="Courier New" w:hint="default"/>
      </w:rPr>
    </w:lvl>
    <w:lvl w:ilvl="5" w:tplc="240A0005" w:tentative="1">
      <w:start w:val="1"/>
      <w:numFmt w:val="bullet"/>
      <w:lvlText w:val=""/>
      <w:lvlJc w:val="left"/>
      <w:pPr>
        <w:ind w:left="5090" w:hanging="360"/>
      </w:pPr>
      <w:rPr>
        <w:rFonts w:ascii="Wingdings" w:hAnsi="Wingdings" w:hint="default"/>
      </w:rPr>
    </w:lvl>
    <w:lvl w:ilvl="6" w:tplc="240A0001" w:tentative="1">
      <w:start w:val="1"/>
      <w:numFmt w:val="bullet"/>
      <w:lvlText w:val=""/>
      <w:lvlJc w:val="left"/>
      <w:pPr>
        <w:ind w:left="5810" w:hanging="360"/>
      </w:pPr>
      <w:rPr>
        <w:rFonts w:ascii="Symbol" w:hAnsi="Symbol" w:hint="default"/>
      </w:rPr>
    </w:lvl>
    <w:lvl w:ilvl="7" w:tplc="240A0003" w:tentative="1">
      <w:start w:val="1"/>
      <w:numFmt w:val="bullet"/>
      <w:lvlText w:val="o"/>
      <w:lvlJc w:val="left"/>
      <w:pPr>
        <w:ind w:left="6530" w:hanging="360"/>
      </w:pPr>
      <w:rPr>
        <w:rFonts w:ascii="Courier New" w:hAnsi="Courier New" w:cs="Courier New" w:hint="default"/>
      </w:rPr>
    </w:lvl>
    <w:lvl w:ilvl="8" w:tplc="240A0005" w:tentative="1">
      <w:start w:val="1"/>
      <w:numFmt w:val="bullet"/>
      <w:lvlText w:val=""/>
      <w:lvlJc w:val="left"/>
      <w:pPr>
        <w:ind w:left="7250" w:hanging="360"/>
      </w:pPr>
      <w:rPr>
        <w:rFonts w:ascii="Wingdings" w:hAnsi="Wingdings" w:hint="default"/>
      </w:rPr>
    </w:lvl>
  </w:abstractNum>
  <w:abstractNum w:abstractNumId="4" w15:restartNumberingAfterBreak="0">
    <w:nsid w:val="70C9241D"/>
    <w:multiLevelType w:val="hybridMultilevel"/>
    <w:tmpl w:val="B0B487B8"/>
    <w:lvl w:ilvl="0" w:tplc="AAC4AE08">
      <w:start w:val="1"/>
      <w:numFmt w:val="lowerRoman"/>
      <w:lvlText w:val="%1."/>
      <w:lvlJc w:val="right"/>
      <w:pPr>
        <w:ind w:left="1429" w:hanging="360"/>
      </w:pPr>
      <w:rPr>
        <w:rFonts w:ascii="Arial" w:eastAsia="Calibri" w:hAnsi="Arial" w:cs="Arial"/>
      </w:rPr>
    </w:lvl>
    <w:lvl w:ilvl="1" w:tplc="040A0019" w:tentative="1">
      <w:start w:val="1"/>
      <w:numFmt w:val="lowerLetter"/>
      <w:lvlText w:val="%2."/>
      <w:lvlJc w:val="left"/>
      <w:pPr>
        <w:ind w:left="2149" w:hanging="360"/>
      </w:pPr>
    </w:lvl>
    <w:lvl w:ilvl="2" w:tplc="040A001B" w:tentative="1">
      <w:start w:val="1"/>
      <w:numFmt w:val="lowerRoman"/>
      <w:lvlText w:val="%3."/>
      <w:lvlJc w:val="right"/>
      <w:pPr>
        <w:ind w:left="2869" w:hanging="180"/>
      </w:pPr>
    </w:lvl>
    <w:lvl w:ilvl="3" w:tplc="040A000F" w:tentative="1">
      <w:start w:val="1"/>
      <w:numFmt w:val="decimal"/>
      <w:lvlText w:val="%4."/>
      <w:lvlJc w:val="left"/>
      <w:pPr>
        <w:ind w:left="3589" w:hanging="360"/>
      </w:pPr>
    </w:lvl>
    <w:lvl w:ilvl="4" w:tplc="040A0019" w:tentative="1">
      <w:start w:val="1"/>
      <w:numFmt w:val="lowerLetter"/>
      <w:lvlText w:val="%5."/>
      <w:lvlJc w:val="left"/>
      <w:pPr>
        <w:ind w:left="4309" w:hanging="360"/>
      </w:pPr>
    </w:lvl>
    <w:lvl w:ilvl="5" w:tplc="040A001B" w:tentative="1">
      <w:start w:val="1"/>
      <w:numFmt w:val="lowerRoman"/>
      <w:lvlText w:val="%6."/>
      <w:lvlJc w:val="right"/>
      <w:pPr>
        <w:ind w:left="5029" w:hanging="180"/>
      </w:pPr>
    </w:lvl>
    <w:lvl w:ilvl="6" w:tplc="040A000F" w:tentative="1">
      <w:start w:val="1"/>
      <w:numFmt w:val="decimal"/>
      <w:lvlText w:val="%7."/>
      <w:lvlJc w:val="left"/>
      <w:pPr>
        <w:ind w:left="5749" w:hanging="360"/>
      </w:pPr>
    </w:lvl>
    <w:lvl w:ilvl="7" w:tplc="040A0019" w:tentative="1">
      <w:start w:val="1"/>
      <w:numFmt w:val="lowerLetter"/>
      <w:lvlText w:val="%8."/>
      <w:lvlJc w:val="left"/>
      <w:pPr>
        <w:ind w:left="6469" w:hanging="360"/>
      </w:pPr>
    </w:lvl>
    <w:lvl w:ilvl="8" w:tplc="040A001B" w:tentative="1">
      <w:start w:val="1"/>
      <w:numFmt w:val="lowerRoman"/>
      <w:lvlText w:val="%9."/>
      <w:lvlJc w:val="right"/>
      <w:pPr>
        <w:ind w:left="7189" w:hanging="180"/>
      </w:pPr>
    </w:lvl>
  </w:abstractNum>
  <w:num w:numId="1" w16cid:durableId="2083017203">
    <w:abstractNumId w:val="3"/>
  </w:num>
  <w:num w:numId="2" w16cid:durableId="936672831">
    <w:abstractNumId w:val="2"/>
  </w:num>
  <w:num w:numId="3" w16cid:durableId="170335938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15106237">
    <w:abstractNumId w:val="1"/>
  </w:num>
  <w:num w:numId="5" w16cid:durableId="478476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7"/>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3396"/>
    <w:rsid w:val="00021873"/>
    <w:rsid w:val="00030D2F"/>
    <w:rsid w:val="0005227E"/>
    <w:rsid w:val="00052A18"/>
    <w:rsid w:val="00060385"/>
    <w:rsid w:val="00060AEB"/>
    <w:rsid w:val="000738B3"/>
    <w:rsid w:val="0008579C"/>
    <w:rsid w:val="000B67A9"/>
    <w:rsid w:val="000D53B2"/>
    <w:rsid w:val="000E7C88"/>
    <w:rsid w:val="001032B4"/>
    <w:rsid w:val="0013042F"/>
    <w:rsid w:val="001751BF"/>
    <w:rsid w:val="001E528E"/>
    <w:rsid w:val="001F6332"/>
    <w:rsid w:val="00203299"/>
    <w:rsid w:val="00205342"/>
    <w:rsid w:val="0020534C"/>
    <w:rsid w:val="00221626"/>
    <w:rsid w:val="00222FAB"/>
    <w:rsid w:val="00245D5A"/>
    <w:rsid w:val="00256BF9"/>
    <w:rsid w:val="00265E99"/>
    <w:rsid w:val="0029181B"/>
    <w:rsid w:val="002A2D9A"/>
    <w:rsid w:val="002A59E3"/>
    <w:rsid w:val="002A64A3"/>
    <w:rsid w:val="002B6EC2"/>
    <w:rsid w:val="002D0632"/>
    <w:rsid w:val="002D7F6C"/>
    <w:rsid w:val="00304D65"/>
    <w:rsid w:val="00323D7F"/>
    <w:rsid w:val="003273E3"/>
    <w:rsid w:val="003359F2"/>
    <w:rsid w:val="00345D2B"/>
    <w:rsid w:val="00355E65"/>
    <w:rsid w:val="003A3DEA"/>
    <w:rsid w:val="003A76EE"/>
    <w:rsid w:val="003B7388"/>
    <w:rsid w:val="003B7A1B"/>
    <w:rsid w:val="003E0750"/>
    <w:rsid w:val="003E6E26"/>
    <w:rsid w:val="003F6D7E"/>
    <w:rsid w:val="00417909"/>
    <w:rsid w:val="0042053C"/>
    <w:rsid w:val="004370CB"/>
    <w:rsid w:val="00442240"/>
    <w:rsid w:val="004654BF"/>
    <w:rsid w:val="00482E22"/>
    <w:rsid w:val="004A0C86"/>
    <w:rsid w:val="004C719C"/>
    <w:rsid w:val="004F27D9"/>
    <w:rsid w:val="0050747C"/>
    <w:rsid w:val="00514396"/>
    <w:rsid w:val="00553174"/>
    <w:rsid w:val="005777B9"/>
    <w:rsid w:val="00582B8C"/>
    <w:rsid w:val="005939DC"/>
    <w:rsid w:val="005A3408"/>
    <w:rsid w:val="005A6A02"/>
    <w:rsid w:val="005C5284"/>
    <w:rsid w:val="006072DF"/>
    <w:rsid w:val="006227F2"/>
    <w:rsid w:val="00663ABA"/>
    <w:rsid w:val="006B47E5"/>
    <w:rsid w:val="006D2290"/>
    <w:rsid w:val="006F24BC"/>
    <w:rsid w:val="007162F0"/>
    <w:rsid w:val="007275BC"/>
    <w:rsid w:val="00737B31"/>
    <w:rsid w:val="007439E0"/>
    <w:rsid w:val="007472C6"/>
    <w:rsid w:val="007529F3"/>
    <w:rsid w:val="0079522B"/>
    <w:rsid w:val="007D145E"/>
    <w:rsid w:val="007F460D"/>
    <w:rsid w:val="007F7EF6"/>
    <w:rsid w:val="008321F5"/>
    <w:rsid w:val="00836E8F"/>
    <w:rsid w:val="00862E0E"/>
    <w:rsid w:val="0086520C"/>
    <w:rsid w:val="00865DD6"/>
    <w:rsid w:val="008702D2"/>
    <w:rsid w:val="008926F4"/>
    <w:rsid w:val="008A18BF"/>
    <w:rsid w:val="008B34F2"/>
    <w:rsid w:val="008B5FE6"/>
    <w:rsid w:val="008B685E"/>
    <w:rsid w:val="008D65C2"/>
    <w:rsid w:val="008E4B35"/>
    <w:rsid w:val="008F659E"/>
    <w:rsid w:val="00916C1F"/>
    <w:rsid w:val="00933CE1"/>
    <w:rsid w:val="00937E5E"/>
    <w:rsid w:val="00952C86"/>
    <w:rsid w:val="00977137"/>
    <w:rsid w:val="00991481"/>
    <w:rsid w:val="009A0499"/>
    <w:rsid w:val="009D0E01"/>
    <w:rsid w:val="009E27BA"/>
    <w:rsid w:val="009E4E53"/>
    <w:rsid w:val="009E5CD6"/>
    <w:rsid w:val="00A10A6F"/>
    <w:rsid w:val="00A16EF0"/>
    <w:rsid w:val="00A17363"/>
    <w:rsid w:val="00A2082D"/>
    <w:rsid w:val="00A32742"/>
    <w:rsid w:val="00A54152"/>
    <w:rsid w:val="00A56086"/>
    <w:rsid w:val="00A7208C"/>
    <w:rsid w:val="00A74CD8"/>
    <w:rsid w:val="00A76F6D"/>
    <w:rsid w:val="00A82514"/>
    <w:rsid w:val="00A92EDF"/>
    <w:rsid w:val="00A940E1"/>
    <w:rsid w:val="00AA0D4E"/>
    <w:rsid w:val="00AA7EFB"/>
    <w:rsid w:val="00AB4B53"/>
    <w:rsid w:val="00AB6FA6"/>
    <w:rsid w:val="00AC415E"/>
    <w:rsid w:val="00AE0B71"/>
    <w:rsid w:val="00AE7FAB"/>
    <w:rsid w:val="00B05DFA"/>
    <w:rsid w:val="00B172D2"/>
    <w:rsid w:val="00B2736A"/>
    <w:rsid w:val="00B3205D"/>
    <w:rsid w:val="00B47A38"/>
    <w:rsid w:val="00B55C9B"/>
    <w:rsid w:val="00B64D5C"/>
    <w:rsid w:val="00B76175"/>
    <w:rsid w:val="00B77E78"/>
    <w:rsid w:val="00BA1A16"/>
    <w:rsid w:val="00BA40B0"/>
    <w:rsid w:val="00BC6673"/>
    <w:rsid w:val="00C33ED4"/>
    <w:rsid w:val="00C60F04"/>
    <w:rsid w:val="00C65B87"/>
    <w:rsid w:val="00C667C0"/>
    <w:rsid w:val="00C770B0"/>
    <w:rsid w:val="00CA3064"/>
    <w:rsid w:val="00CA5B29"/>
    <w:rsid w:val="00CB7C3C"/>
    <w:rsid w:val="00CD08A2"/>
    <w:rsid w:val="00CD47EC"/>
    <w:rsid w:val="00CE56FB"/>
    <w:rsid w:val="00D02A03"/>
    <w:rsid w:val="00D033BF"/>
    <w:rsid w:val="00D45A94"/>
    <w:rsid w:val="00D57F71"/>
    <w:rsid w:val="00D63B20"/>
    <w:rsid w:val="00DD3396"/>
    <w:rsid w:val="00DF6F53"/>
    <w:rsid w:val="00E11007"/>
    <w:rsid w:val="00E11B55"/>
    <w:rsid w:val="00E13EE2"/>
    <w:rsid w:val="00E2395A"/>
    <w:rsid w:val="00E24028"/>
    <w:rsid w:val="00E31965"/>
    <w:rsid w:val="00E431A3"/>
    <w:rsid w:val="00E71166"/>
    <w:rsid w:val="00EA3503"/>
    <w:rsid w:val="00EA50D0"/>
    <w:rsid w:val="00EA6F48"/>
    <w:rsid w:val="00EB1F75"/>
    <w:rsid w:val="00EB371C"/>
    <w:rsid w:val="00EB4336"/>
    <w:rsid w:val="00EC4D8E"/>
    <w:rsid w:val="00ED2901"/>
    <w:rsid w:val="00EE22D2"/>
    <w:rsid w:val="00EE2B40"/>
    <w:rsid w:val="00EF55BE"/>
    <w:rsid w:val="00F03EF6"/>
    <w:rsid w:val="00F11318"/>
    <w:rsid w:val="00F23C0C"/>
    <w:rsid w:val="00F35189"/>
    <w:rsid w:val="00F3556C"/>
    <w:rsid w:val="00F4450B"/>
    <w:rsid w:val="00F61104"/>
    <w:rsid w:val="00F658FF"/>
    <w:rsid w:val="00FB72AF"/>
    <w:rsid w:val="00FD5C7B"/>
    <w:rsid w:val="00FF3BCC"/>
    <w:rsid w:val="00FF695B"/>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F085EA"/>
  <w15:chartTrackingRefBased/>
  <w15:docId w15:val="{41C741D8-2EDD-4579-8F21-E3570F7B86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A2D9A"/>
    <w:pPr>
      <w:spacing w:after="0" w:line="240" w:lineRule="auto"/>
    </w:pPr>
    <w:rPr>
      <w:rFonts w:ascii="Times New Roman" w:eastAsia="Times New Roman" w:hAnsi="Times New Roman" w:cs="Times New Roman"/>
      <w:sz w:val="24"/>
      <w:szCs w:val="24"/>
      <w:lang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DD3396"/>
    <w:pPr>
      <w:tabs>
        <w:tab w:val="center" w:pos="4419"/>
        <w:tab w:val="right" w:pos="8838"/>
      </w:tabs>
    </w:pPr>
    <w:rPr>
      <w:rFonts w:asciiTheme="minorHAnsi" w:eastAsiaTheme="minorHAnsi" w:hAnsiTheme="minorHAnsi" w:cstheme="minorBidi"/>
      <w:szCs w:val="22"/>
      <w:lang w:val="es-MX" w:eastAsia="en-US"/>
    </w:rPr>
  </w:style>
  <w:style w:type="character" w:customStyle="1" w:styleId="PiedepginaCar">
    <w:name w:val="Pie de página Car"/>
    <w:basedOn w:val="Fuentedeprrafopredeter"/>
    <w:link w:val="Piedepgina"/>
    <w:uiPriority w:val="99"/>
    <w:rsid w:val="00DD3396"/>
    <w:rPr>
      <w:sz w:val="24"/>
      <w:lang w:val="es-MX"/>
    </w:rPr>
  </w:style>
  <w:style w:type="paragraph" w:styleId="Encabezado">
    <w:name w:val="header"/>
    <w:basedOn w:val="Normal"/>
    <w:link w:val="EncabezadoCar"/>
    <w:uiPriority w:val="99"/>
    <w:unhideWhenUsed/>
    <w:rsid w:val="00DD3396"/>
    <w:pPr>
      <w:tabs>
        <w:tab w:val="center" w:pos="4252"/>
        <w:tab w:val="right" w:pos="8504"/>
      </w:tabs>
    </w:pPr>
    <w:rPr>
      <w:rFonts w:asciiTheme="minorHAnsi" w:eastAsiaTheme="minorHAnsi" w:hAnsiTheme="minorHAnsi" w:cstheme="minorBidi"/>
      <w:szCs w:val="22"/>
      <w:lang w:val="es-MX" w:eastAsia="en-US"/>
    </w:rPr>
  </w:style>
  <w:style w:type="character" w:customStyle="1" w:styleId="EncabezadoCar">
    <w:name w:val="Encabezado Car"/>
    <w:basedOn w:val="Fuentedeprrafopredeter"/>
    <w:link w:val="Encabezado"/>
    <w:uiPriority w:val="99"/>
    <w:rsid w:val="00DD3396"/>
    <w:rPr>
      <w:sz w:val="24"/>
      <w:lang w:val="es-MX"/>
    </w:rPr>
  </w:style>
  <w:style w:type="table" w:styleId="Tablaconcuadrcula">
    <w:name w:val="Table Grid"/>
    <w:basedOn w:val="Tablanormal"/>
    <w:uiPriority w:val="39"/>
    <w:qFormat/>
    <w:rsid w:val="00DD339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34"/>
    <w:qFormat/>
    <w:rsid w:val="00DD3396"/>
    <w:pPr>
      <w:ind w:left="720"/>
      <w:contextualSpacing/>
    </w:pPr>
    <w:rPr>
      <w:rFonts w:asciiTheme="minorHAnsi" w:eastAsiaTheme="minorHAnsi" w:hAnsiTheme="minorHAnsi" w:cstheme="minorBidi"/>
      <w:szCs w:val="22"/>
      <w:lang w:val="es-MX" w:eastAsia="en-US"/>
    </w:rPr>
  </w:style>
  <w:style w:type="paragraph" w:styleId="Sinespaciado">
    <w:name w:val="No Spacing"/>
    <w:aliases w:val="No Indent"/>
    <w:uiPriority w:val="3"/>
    <w:qFormat/>
    <w:rsid w:val="00DD3396"/>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DD3396"/>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DD3396"/>
    <w:rPr>
      <w:rFonts w:asciiTheme="minorHAnsi" w:eastAsiaTheme="minorHAnsi" w:hAnsiTheme="minorHAnsi" w:cstheme="minorBidi"/>
      <w:sz w:val="20"/>
      <w:szCs w:val="20"/>
      <w:lang w:val="es-MX" w:eastAsia="en-US"/>
    </w:rPr>
  </w:style>
  <w:style w:type="character" w:customStyle="1" w:styleId="TextonotapieCar1">
    <w:name w:val="Texto nota pie Car1"/>
    <w:basedOn w:val="Fuentedeprrafopredeter"/>
    <w:uiPriority w:val="99"/>
    <w:semiHidden/>
    <w:rsid w:val="00DD3396"/>
    <w:rPr>
      <w:rFonts w:ascii="Times New Roman" w:eastAsia="Times New Roman" w:hAnsi="Times New Roman" w:cs="Times New Roman"/>
      <w:sz w:val="20"/>
      <w:szCs w:val="20"/>
      <w:lang w:eastAsia="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DD3396"/>
    <w:rPr>
      <w:sz w:val="24"/>
      <w:lang w:val="es-MX"/>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DD3396"/>
    <w:rPr>
      <w:vertAlign w:val="superscript"/>
    </w:rPr>
  </w:style>
  <w:style w:type="paragraph" w:customStyle="1" w:styleId="Appelnotedebasde">
    <w:name w:val="Appel note de bas de..."/>
    <w:basedOn w:val="Normal"/>
    <w:link w:val="Refdenotaalpie"/>
    <w:uiPriority w:val="99"/>
    <w:rsid w:val="00DD3396"/>
    <w:pPr>
      <w:spacing w:after="160" w:line="240" w:lineRule="exact"/>
    </w:pPr>
    <w:rPr>
      <w:rFonts w:asciiTheme="minorHAnsi" w:eastAsiaTheme="minorHAnsi" w:hAnsiTheme="minorHAnsi" w:cstheme="minorBidi"/>
      <w:sz w:val="22"/>
      <w:szCs w:val="22"/>
      <w:vertAlign w:val="superscript"/>
      <w:lang w:eastAsia="en-US"/>
    </w:rPr>
  </w:style>
  <w:style w:type="paragraph" w:styleId="NormalWeb">
    <w:name w:val="Normal (Web)"/>
    <w:basedOn w:val="Normal"/>
    <w:link w:val="NormalWebCar"/>
    <w:uiPriority w:val="99"/>
    <w:unhideWhenUsed/>
    <w:rsid w:val="00DD3396"/>
    <w:pPr>
      <w:spacing w:before="100" w:beforeAutospacing="1" w:after="100" w:afterAutospacing="1"/>
    </w:pPr>
  </w:style>
  <w:style w:type="character" w:customStyle="1" w:styleId="NormalWebCar">
    <w:name w:val="Normal (Web) Car"/>
    <w:link w:val="NormalWeb"/>
    <w:uiPriority w:val="99"/>
    <w:rsid w:val="00DD3396"/>
    <w:rPr>
      <w:rFonts w:ascii="Times New Roman" w:eastAsia="Times New Roman" w:hAnsi="Times New Roman" w:cs="Times New Roman"/>
      <w:sz w:val="24"/>
      <w:szCs w:val="24"/>
      <w:lang w:eastAsia="es-MX"/>
    </w:rPr>
  </w:style>
  <w:style w:type="paragraph" w:styleId="Textoindependiente">
    <w:name w:val="Body Text"/>
    <w:basedOn w:val="Normal"/>
    <w:link w:val="TextoindependienteCar"/>
    <w:uiPriority w:val="1"/>
    <w:qFormat/>
    <w:rsid w:val="00DD3396"/>
    <w:pPr>
      <w:widowControl w:val="0"/>
      <w:autoSpaceDE w:val="0"/>
      <w:autoSpaceDN w:val="0"/>
    </w:pPr>
    <w:rPr>
      <w:rFonts w:ascii="Arial" w:eastAsia="Arial" w:hAnsi="Arial" w:cs="Arial"/>
      <w:sz w:val="20"/>
      <w:szCs w:val="20"/>
      <w:lang w:val="es-ES" w:eastAsia="en-US"/>
    </w:rPr>
  </w:style>
  <w:style w:type="character" w:customStyle="1" w:styleId="TextoindependienteCar">
    <w:name w:val="Texto independiente Car"/>
    <w:basedOn w:val="Fuentedeprrafopredeter"/>
    <w:link w:val="Textoindependiente"/>
    <w:uiPriority w:val="1"/>
    <w:rsid w:val="00DD3396"/>
    <w:rPr>
      <w:rFonts w:ascii="Arial" w:eastAsia="Arial" w:hAnsi="Arial" w:cs="Arial"/>
      <w:sz w:val="20"/>
      <w:szCs w:val="20"/>
      <w:lang w:val="es-ES"/>
    </w:rPr>
  </w:style>
  <w:style w:type="character" w:customStyle="1" w:styleId="baj">
    <w:name w:val="b_aj"/>
    <w:basedOn w:val="Fuentedeprrafopredeter"/>
    <w:rsid w:val="00DD3396"/>
  </w:style>
  <w:style w:type="paragraph" w:styleId="Revisin">
    <w:name w:val="Revision"/>
    <w:hidden/>
    <w:uiPriority w:val="99"/>
    <w:semiHidden/>
    <w:rsid w:val="00DD3396"/>
    <w:pPr>
      <w:spacing w:after="0" w:line="240" w:lineRule="auto"/>
    </w:pPr>
    <w:rPr>
      <w:rFonts w:ascii="Times New Roman" w:eastAsia="Times New Roman" w:hAnsi="Times New Roman" w:cs="Times New Roman"/>
      <w:sz w:val="24"/>
      <w:szCs w:val="24"/>
      <w:lang w:eastAsia="es-MX"/>
    </w:rPr>
  </w:style>
  <w:style w:type="character" w:styleId="Textoennegrita">
    <w:name w:val="Strong"/>
    <w:basedOn w:val="Fuentedeprrafopredeter"/>
    <w:uiPriority w:val="22"/>
    <w:qFormat/>
    <w:rsid w:val="00DD3396"/>
    <w:rPr>
      <w:b/>
      <w:bCs/>
    </w:rPr>
  </w:style>
  <w:style w:type="character" w:styleId="nfasis">
    <w:name w:val="Emphasis"/>
    <w:basedOn w:val="Fuentedeprrafopredeter"/>
    <w:uiPriority w:val="20"/>
    <w:qFormat/>
    <w:rsid w:val="00DD3396"/>
    <w:rPr>
      <w:i/>
      <w:iCs/>
    </w:rPr>
  </w:style>
  <w:style w:type="character" w:styleId="Hipervnculo">
    <w:name w:val="Hyperlink"/>
    <w:basedOn w:val="Fuentedeprrafopredeter"/>
    <w:uiPriority w:val="99"/>
    <w:unhideWhenUsed/>
    <w:rsid w:val="00DD3396"/>
    <w:rPr>
      <w:color w:val="0563C1" w:themeColor="hyperlink"/>
      <w:u w:val="single"/>
    </w:rPr>
  </w:style>
  <w:style w:type="character" w:styleId="Mencinsinresolver">
    <w:name w:val="Unresolved Mention"/>
    <w:basedOn w:val="Fuentedeprrafopredeter"/>
    <w:uiPriority w:val="99"/>
    <w:semiHidden/>
    <w:unhideWhenUsed/>
    <w:rsid w:val="00DD3396"/>
    <w:rPr>
      <w:color w:val="605E5C"/>
      <w:shd w:val="clear" w:color="auto" w:fill="E1DFDD"/>
    </w:rPr>
  </w:style>
  <w:style w:type="character" w:styleId="Refdecomentario">
    <w:name w:val="annotation reference"/>
    <w:basedOn w:val="Fuentedeprrafopredeter"/>
    <w:uiPriority w:val="99"/>
    <w:semiHidden/>
    <w:unhideWhenUsed/>
    <w:rsid w:val="00DD3396"/>
    <w:rPr>
      <w:sz w:val="16"/>
      <w:szCs w:val="16"/>
    </w:rPr>
  </w:style>
  <w:style w:type="paragraph" w:styleId="Textocomentario">
    <w:name w:val="annotation text"/>
    <w:basedOn w:val="Normal"/>
    <w:link w:val="TextocomentarioCar"/>
    <w:uiPriority w:val="99"/>
    <w:semiHidden/>
    <w:unhideWhenUsed/>
    <w:rsid w:val="00DD3396"/>
    <w:rPr>
      <w:sz w:val="20"/>
      <w:szCs w:val="20"/>
    </w:rPr>
  </w:style>
  <w:style w:type="character" w:customStyle="1" w:styleId="TextocomentarioCar">
    <w:name w:val="Texto comentario Car"/>
    <w:basedOn w:val="Fuentedeprrafopredeter"/>
    <w:link w:val="Textocomentario"/>
    <w:uiPriority w:val="99"/>
    <w:semiHidden/>
    <w:rsid w:val="00DD3396"/>
    <w:rPr>
      <w:rFonts w:ascii="Times New Roman" w:eastAsia="Times New Roman" w:hAnsi="Times New Roman" w:cs="Times New Roman"/>
      <w:sz w:val="20"/>
      <w:szCs w:val="20"/>
      <w:lang w:eastAsia="es-MX"/>
    </w:rPr>
  </w:style>
  <w:style w:type="paragraph" w:styleId="Asuntodelcomentario">
    <w:name w:val="annotation subject"/>
    <w:basedOn w:val="Textocomentario"/>
    <w:next w:val="Textocomentario"/>
    <w:link w:val="AsuntodelcomentarioCar"/>
    <w:uiPriority w:val="99"/>
    <w:semiHidden/>
    <w:unhideWhenUsed/>
    <w:rsid w:val="00DD3396"/>
    <w:rPr>
      <w:b/>
      <w:bCs/>
    </w:rPr>
  </w:style>
  <w:style w:type="character" w:customStyle="1" w:styleId="AsuntodelcomentarioCar">
    <w:name w:val="Asunto del comentario Car"/>
    <w:basedOn w:val="TextocomentarioCar"/>
    <w:link w:val="Asuntodelcomentario"/>
    <w:uiPriority w:val="99"/>
    <w:semiHidden/>
    <w:rsid w:val="00DD3396"/>
    <w:rPr>
      <w:rFonts w:ascii="Times New Roman" w:eastAsia="Times New Roman" w:hAnsi="Times New Roman" w:cs="Times New Roman"/>
      <w:b/>
      <w:bCs/>
      <w:sz w:val="20"/>
      <w:szCs w:val="20"/>
      <w:lang w:eastAsia="es-MX"/>
    </w:rPr>
  </w:style>
  <w:style w:type="paragraph" w:customStyle="1" w:styleId="Normal11pt">
    <w:name w:val="Normal + 11 pt"/>
    <w:aliases w:val="Negro,Justificado,Izquierda:  -0,95 cm,Derecha:  0,04 cm"/>
    <w:basedOn w:val="Normal"/>
    <w:uiPriority w:val="99"/>
    <w:rsid w:val="00862E0E"/>
    <w:pPr>
      <w:ind w:left="-540"/>
      <w:jc w:val="both"/>
    </w:pPr>
    <w:rPr>
      <w:rFonts w:ascii="Arial" w:hAnsi="Arial" w:cs="Arial"/>
      <w:color w:val="000000"/>
      <w:sz w:val="22"/>
      <w:szCs w:val="22"/>
      <w:lang w:val="es-ES_tradnl" w:eastAsia="es-ES"/>
    </w:rPr>
  </w:style>
  <w:style w:type="paragraph" w:customStyle="1" w:styleId="Textonotapie1">
    <w:name w:val="Texto nota pie1"/>
    <w:basedOn w:val="Normal"/>
    <w:next w:val="Textonotapie"/>
    <w:uiPriority w:val="99"/>
    <w:semiHidden/>
    <w:unhideWhenUsed/>
    <w:rsid w:val="004F27D9"/>
    <w:pPr>
      <w:jc w:val="both"/>
    </w:pPr>
    <w:rPr>
      <w:rFonts w:ascii="Arial" w:eastAsiaTheme="minorHAnsi" w:hAnsi="Arial" w:cstheme="minorBidi"/>
      <w:sz w:val="20"/>
      <w:szCs w:val="20"/>
      <w:lang w:val="es-E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47732578">
      <w:bodyDiv w:val="1"/>
      <w:marLeft w:val="0"/>
      <w:marRight w:val="0"/>
      <w:marTop w:val="0"/>
      <w:marBottom w:val="0"/>
      <w:divBdr>
        <w:top w:val="none" w:sz="0" w:space="0" w:color="auto"/>
        <w:left w:val="none" w:sz="0" w:space="0" w:color="auto"/>
        <w:bottom w:val="none" w:sz="0" w:space="0" w:color="auto"/>
        <w:right w:val="none" w:sz="0" w:space="0" w:color="auto"/>
      </w:divBdr>
      <w:divsChild>
        <w:div w:id="810362553">
          <w:marLeft w:val="0"/>
          <w:marRight w:val="0"/>
          <w:marTop w:val="0"/>
          <w:marBottom w:val="0"/>
          <w:divBdr>
            <w:top w:val="none" w:sz="0" w:space="0" w:color="auto"/>
            <w:left w:val="none" w:sz="0" w:space="0" w:color="auto"/>
            <w:bottom w:val="none" w:sz="0" w:space="0" w:color="auto"/>
            <w:right w:val="none" w:sz="0" w:space="0" w:color="auto"/>
          </w:divBdr>
          <w:divsChild>
            <w:div w:id="1238976718">
              <w:marLeft w:val="0"/>
              <w:marRight w:val="0"/>
              <w:marTop w:val="0"/>
              <w:marBottom w:val="0"/>
              <w:divBdr>
                <w:top w:val="none" w:sz="0" w:space="0" w:color="auto"/>
                <w:left w:val="none" w:sz="0" w:space="0" w:color="auto"/>
                <w:bottom w:val="none" w:sz="0" w:space="0" w:color="auto"/>
                <w:right w:val="none" w:sz="0" w:space="0" w:color="auto"/>
              </w:divBdr>
              <w:divsChild>
                <w:div w:id="1976334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2068821">
      <w:bodyDiv w:val="1"/>
      <w:marLeft w:val="0"/>
      <w:marRight w:val="0"/>
      <w:marTop w:val="0"/>
      <w:marBottom w:val="0"/>
      <w:divBdr>
        <w:top w:val="none" w:sz="0" w:space="0" w:color="auto"/>
        <w:left w:val="none" w:sz="0" w:space="0" w:color="auto"/>
        <w:bottom w:val="none" w:sz="0" w:space="0" w:color="auto"/>
        <w:right w:val="none" w:sz="0" w:space="0" w:color="auto"/>
      </w:divBdr>
      <w:divsChild>
        <w:div w:id="53019156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customXml" Target="../customXml/item2.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6" ma:contentTypeDescription="Crear nuevo documento." ma:contentTypeScope="" ma:versionID="4d0aff64a573d8785e6a72518a5ad9d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36a2f457a6205ac8ec841d28bbb076c"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4C047DF1-58C4-43A0-80B3-17C61C02C992}">
  <ds:schemaRefs>
    <ds:schemaRef ds:uri="http://schemas.openxmlformats.org/officeDocument/2006/bibliography"/>
  </ds:schemaRefs>
</ds:datastoreItem>
</file>

<file path=customXml/itemProps2.xml><?xml version="1.0" encoding="utf-8"?>
<ds:datastoreItem xmlns:ds="http://schemas.openxmlformats.org/officeDocument/2006/customXml" ds:itemID="{10E1A64F-7ED3-421F-86B8-D6A2307D580D}"/>
</file>

<file path=customXml/itemProps3.xml><?xml version="1.0" encoding="utf-8"?>
<ds:datastoreItem xmlns:ds="http://schemas.openxmlformats.org/officeDocument/2006/customXml" ds:itemID="{0403715F-7819-4BC2-BDAE-5940BE0D8EC6}"/>
</file>

<file path=customXml/itemProps4.xml><?xml version="1.0" encoding="utf-8"?>
<ds:datastoreItem xmlns:ds="http://schemas.openxmlformats.org/officeDocument/2006/customXml" ds:itemID="{3E69BD1D-C171-47DD-9C54-0C12A42C6DDA}"/>
</file>

<file path=docProps/app.xml><?xml version="1.0" encoding="utf-8"?>
<Properties xmlns="http://schemas.openxmlformats.org/officeDocument/2006/extended-properties" xmlns:vt="http://schemas.openxmlformats.org/officeDocument/2006/docPropsVTypes">
  <Template>Normal.dotm</Template>
  <TotalTime>1</TotalTime>
  <Pages>15</Pages>
  <Words>5499</Words>
  <Characters>30249</Characters>
  <Application>Microsoft Office Word</Application>
  <DocSecurity>0</DocSecurity>
  <Lines>252</Lines>
  <Paragraphs>71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35677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Colombia Compra Eficiente</dc:creator>
  <cp:keywords/>
  <dc:description/>
  <cp:lastModifiedBy>nicolle saenz camargo</cp:lastModifiedBy>
  <cp:revision>3</cp:revision>
  <dcterms:created xsi:type="dcterms:W3CDTF">2022-05-24T04:23:00Z</dcterms:created>
  <dcterms:modified xsi:type="dcterms:W3CDTF">2022-05-28T12:50:00Z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