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4BDB8" w14:textId="77777777" w:rsidR="0090277C" w:rsidRPr="00CC200E" w:rsidRDefault="0090277C" w:rsidP="00845C54">
      <w:pPr>
        <w:spacing w:after="120" w:line="276" w:lineRule="auto"/>
        <w:jc w:val="both"/>
        <w:rPr>
          <w:rFonts w:ascii="Arial" w:hAnsi="Arial" w:cs="Arial"/>
          <w:sz w:val="20"/>
          <w:szCs w:val="20"/>
          <w:lang w:val="es-ES_tradnl"/>
        </w:rPr>
      </w:pPr>
      <w:r w:rsidRPr="00CC200E">
        <w:rPr>
          <w:rFonts w:ascii="Arial" w:eastAsia="Calibri" w:hAnsi="Arial" w:cs="Arial"/>
          <w:b/>
          <w:sz w:val="20"/>
          <w:szCs w:val="20"/>
          <w:lang w:val="es-ES_tradnl"/>
        </w:rPr>
        <w:t>EXPERIENCIA – Noción – Concepto</w:t>
      </w:r>
    </w:p>
    <w:p w14:paraId="120F37DA" w14:textId="77777777" w:rsidR="0090277C" w:rsidRPr="00CC200E" w:rsidRDefault="0090277C" w:rsidP="00845C54">
      <w:pPr>
        <w:spacing w:after="120" w:line="240" w:lineRule="auto"/>
        <w:jc w:val="both"/>
        <w:rPr>
          <w:rFonts w:ascii="Arial" w:hAnsi="Arial" w:cs="Arial"/>
          <w:sz w:val="20"/>
          <w:szCs w:val="20"/>
        </w:rPr>
      </w:pPr>
      <w:r w:rsidRPr="00CC200E">
        <w:rPr>
          <w:rFonts w:ascii="Arial" w:eastAsia="Calibri" w:hAnsi="Arial" w:cs="Arial"/>
          <w:bCs/>
          <w:sz w:val="20"/>
          <w:szCs w:val="20"/>
          <w:lang w:val="es-ES_tradnl"/>
        </w:rPr>
        <w:t xml:space="preserve">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 La experiencia que se deriva de los contratos que el proponente ha celebrado y ejecutado con diferentes contratantes, sin importar la naturaleza de estos, se verifica con el Registro Único de Proponentes – en adelante RUP -, cuando este certificado sea exigible de acuerdo con la ley. En este registro constan los requisitos habilitantes que se evalúan exclusivamente con este documento, que es plena prueba, sin que la entidad o el proponente puedan solicitar o aportar otra documentación. </w:t>
      </w:r>
    </w:p>
    <w:p w14:paraId="6CDE7159" w14:textId="77777777" w:rsidR="0090277C" w:rsidRPr="00CC200E" w:rsidRDefault="0090277C" w:rsidP="00845C54">
      <w:pPr>
        <w:spacing w:after="120"/>
        <w:rPr>
          <w:rFonts w:ascii="Arial" w:eastAsia="Calibri" w:hAnsi="Arial" w:cs="Arial"/>
          <w:bCs/>
          <w:sz w:val="20"/>
          <w:szCs w:val="20"/>
          <w:lang w:val="es-ES_tradnl"/>
        </w:rPr>
      </w:pPr>
      <w:r w:rsidRPr="00CC200E">
        <w:rPr>
          <w:rFonts w:ascii="Arial" w:eastAsia="Calibri" w:hAnsi="Arial" w:cs="Arial"/>
          <w:b/>
          <w:sz w:val="20"/>
          <w:szCs w:val="20"/>
          <w:lang w:val="es-ES_tradnl"/>
        </w:rPr>
        <w:t>EXPERIENCIA – Noción ‒ Colombia Compra Eficiente</w:t>
      </w:r>
    </w:p>
    <w:p w14:paraId="2CAF444A"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 xml:space="preserve">i) La experiencia es personal, esto es, se adquiere participando, directa o indirectamente, sin que sea posible no participar y tener una experiencia que no es propia. </w:t>
      </w:r>
    </w:p>
    <w:p w14:paraId="5ADBA685"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 xml:space="preserve">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̶consorcios y uniones temporales ̶ que se verificará en el documento privado de constitución. </w:t>
      </w:r>
    </w:p>
    <w:p w14:paraId="37901BC7"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 xml:space="preserve">iii)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 </w:t>
      </w:r>
    </w:p>
    <w:p w14:paraId="2E866481"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iv) Cuando la persona que adquirió la experiencia desaparece o se liquida, no es posible que comparta o transfiera su experiencia, porque al ser personal sigue la suerte de quien la adquirió.</w:t>
      </w:r>
    </w:p>
    <w:p w14:paraId="17A06997" w14:textId="45D83EE8" w:rsidR="0090277C" w:rsidRPr="00CC200E" w:rsidRDefault="0090277C" w:rsidP="00845C54">
      <w:pPr>
        <w:spacing w:after="120" w:line="240" w:lineRule="auto"/>
        <w:jc w:val="both"/>
        <w:rPr>
          <w:rFonts w:ascii="Arial" w:eastAsia="Calibri" w:hAnsi="Arial" w:cs="Arial"/>
          <w:b/>
          <w:sz w:val="20"/>
          <w:szCs w:val="20"/>
          <w:lang w:val="es-ES_tradnl"/>
        </w:rPr>
      </w:pPr>
      <w:r w:rsidRPr="00CC200E">
        <w:rPr>
          <w:rFonts w:ascii="Arial" w:eastAsia="Calibri" w:hAnsi="Arial" w:cs="Arial"/>
          <w:b/>
          <w:sz w:val="20"/>
          <w:szCs w:val="20"/>
          <w:lang w:val="es-ES_tradnl"/>
        </w:rPr>
        <w:t>SOCIEDADES NUEVAS ‒ Experiencia ‒ Inferior a tres años ‒ Requisitos habilitantes ‒Desarrollo de la empresa</w:t>
      </w:r>
    </w:p>
    <w:p w14:paraId="7FFF961A"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w:t>
      </w:r>
    </w:p>
    <w:p w14:paraId="0B2E51E5"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 xml:space="preserve">[…] </w:t>
      </w:r>
    </w:p>
    <w:p w14:paraId="0B0867C8"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5C820FDD" w14:textId="77777777" w:rsidR="0090277C" w:rsidRPr="00CC200E" w:rsidRDefault="0090277C" w:rsidP="00845C54">
      <w:pPr>
        <w:spacing w:before="120" w:after="120" w:line="240" w:lineRule="auto"/>
        <w:jc w:val="both"/>
        <w:rPr>
          <w:rFonts w:ascii="Arial" w:eastAsia="Calibri" w:hAnsi="Arial" w:cs="Arial"/>
          <w:b/>
          <w:sz w:val="20"/>
          <w:szCs w:val="20"/>
          <w:lang w:val="es-ES_tradnl"/>
        </w:rPr>
      </w:pPr>
      <w:r w:rsidRPr="00CC200E">
        <w:rPr>
          <w:rFonts w:ascii="Arial" w:eastAsia="Calibri" w:hAnsi="Arial" w:cs="Arial"/>
          <w:b/>
          <w:sz w:val="20"/>
          <w:szCs w:val="20"/>
          <w:lang w:val="es-ES_tradnl"/>
        </w:rPr>
        <w:lastRenderedPageBreak/>
        <w:t>EXPERIENCIA ‒ Conservación ‒ Renovación RUP ‒ Cesación efectos RUP</w:t>
      </w:r>
    </w:p>
    <w:p w14:paraId="04A77192"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26BCB12D" w14:textId="77777777" w:rsidR="0090277C" w:rsidRPr="00CC200E" w:rsidRDefault="0090277C" w:rsidP="00845C54">
      <w:pPr>
        <w:spacing w:before="120" w:after="120" w:line="240" w:lineRule="auto"/>
        <w:jc w:val="both"/>
        <w:rPr>
          <w:rFonts w:ascii="Arial" w:eastAsia="Calibri" w:hAnsi="Arial" w:cs="Arial"/>
          <w:b/>
          <w:sz w:val="20"/>
          <w:szCs w:val="20"/>
          <w:lang w:val="es-ES_tradnl"/>
        </w:rPr>
      </w:pPr>
      <w:r w:rsidRPr="00CC200E">
        <w:rPr>
          <w:rFonts w:ascii="Arial" w:eastAsia="Calibri" w:hAnsi="Arial" w:cs="Arial"/>
          <w:b/>
          <w:sz w:val="20"/>
          <w:szCs w:val="20"/>
          <w:lang w:val="es-ES_tradnl"/>
        </w:rPr>
        <w:t>EXPERIENCIA – Retiro del socio − Sociedades – Menor a 3 años de constitución</w:t>
      </w:r>
    </w:p>
    <w:p w14:paraId="2FE5DB99" w14:textId="77777777" w:rsidR="0090277C" w:rsidRPr="00CC200E" w:rsidRDefault="0090277C" w:rsidP="00845C54">
      <w:pPr>
        <w:spacing w:before="120" w:after="120" w:line="240" w:lineRule="auto"/>
        <w:jc w:val="both"/>
        <w:rPr>
          <w:rFonts w:ascii="Arial" w:eastAsia="Calibri" w:hAnsi="Arial" w:cs="Arial"/>
          <w:bCs/>
          <w:sz w:val="20"/>
          <w:szCs w:val="20"/>
          <w:lang w:val="es-ES_tradnl"/>
        </w:rPr>
      </w:pPr>
      <w:r w:rsidRPr="00CC200E">
        <w:rPr>
          <w:rFonts w:ascii="Arial" w:eastAsia="Calibri" w:hAnsi="Arial" w:cs="Arial"/>
          <w:bCs/>
          <w:sz w:val="20"/>
          <w:szCs w:val="20"/>
          <w:lang w:val="es-ES_tradnl"/>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6E3339A0" w14:textId="77777777" w:rsidR="0067425D" w:rsidRPr="00CC200E" w:rsidRDefault="0067425D" w:rsidP="00845C54">
      <w:pPr>
        <w:spacing w:line="240" w:lineRule="auto"/>
        <w:jc w:val="both"/>
        <w:rPr>
          <w:rFonts w:ascii="Arial" w:hAnsi="Arial" w:cs="Arial"/>
          <w:b/>
          <w:bCs/>
          <w:sz w:val="20"/>
          <w:szCs w:val="20"/>
        </w:rPr>
      </w:pPr>
      <w:r w:rsidRPr="00CC200E">
        <w:rPr>
          <w:rFonts w:ascii="Arial" w:hAnsi="Arial" w:cs="Arial"/>
          <w:b/>
          <w:bCs/>
          <w:sz w:val="20"/>
          <w:szCs w:val="20"/>
        </w:rPr>
        <w:t>CAPACIDAD RESIDUAL- Requisito Habilitante – Subsanación – Aclaración</w:t>
      </w:r>
    </w:p>
    <w:p w14:paraId="3E369494" w14:textId="77777777" w:rsidR="0067425D" w:rsidRPr="00CC200E" w:rsidRDefault="0067425D" w:rsidP="00845C54">
      <w:pPr>
        <w:spacing w:line="240" w:lineRule="auto"/>
        <w:jc w:val="both"/>
        <w:rPr>
          <w:rFonts w:ascii="Arial" w:eastAsia="Geomanist Light" w:hAnsi="Arial" w:cs="Arial"/>
          <w:color w:val="000000" w:themeColor="text1"/>
          <w:sz w:val="20"/>
          <w:szCs w:val="20"/>
          <w:lang w:val="es-MX"/>
        </w:rPr>
      </w:pPr>
      <w:r w:rsidRPr="00CC200E">
        <w:rPr>
          <w:rFonts w:ascii="Arial" w:eastAsia="Geomanist Light" w:hAnsi="Arial" w:cs="Arial"/>
          <w:color w:val="000000" w:themeColor="text1"/>
          <w:sz w:val="20"/>
          <w:szCs w:val="20"/>
          <w:lang w:val="es-MX"/>
        </w:rPr>
        <w:t xml:space="preserve">De conformidad con lo expuesto y teniendo en cuenta que la </w:t>
      </w:r>
      <w:r w:rsidRPr="00CC200E">
        <w:rPr>
          <w:rFonts w:ascii="Arial" w:eastAsia="Geomanist Light" w:hAnsi="Arial" w:cs="Arial"/>
          <w:i/>
          <w:iCs/>
          <w:color w:val="000000" w:themeColor="text1"/>
          <w:sz w:val="20"/>
          <w:szCs w:val="20"/>
          <w:lang w:val="es-MX"/>
        </w:rPr>
        <w:t>Capacidad Residual</w:t>
      </w:r>
      <w:r w:rsidRPr="00CC200E">
        <w:rPr>
          <w:rFonts w:ascii="Arial" w:eastAsia="Geomanist Light" w:hAnsi="Arial" w:cs="Arial"/>
          <w:color w:val="000000" w:themeColor="text1"/>
          <w:sz w:val="20"/>
          <w:szCs w:val="20"/>
          <w:lang w:val="es-MX"/>
        </w:rPr>
        <w:t xml:space="preserve"> es un </w:t>
      </w:r>
      <w:r w:rsidRPr="00CC200E">
        <w:rPr>
          <w:rFonts w:ascii="Arial" w:eastAsia="Geomanist Light" w:hAnsi="Arial" w:cs="Arial"/>
          <w:i/>
          <w:iCs/>
          <w:color w:val="000000" w:themeColor="text1"/>
          <w:sz w:val="20"/>
          <w:szCs w:val="20"/>
          <w:lang w:val="es-MX"/>
        </w:rPr>
        <w:t>requisito habilitante</w:t>
      </w:r>
      <w:r w:rsidRPr="00CC200E">
        <w:rPr>
          <w:rFonts w:ascii="Arial" w:eastAsia="Geomanist Light" w:hAnsi="Arial" w:cs="Arial"/>
          <w:color w:val="000000" w:themeColor="text1"/>
          <w:sz w:val="20"/>
          <w:szCs w:val="20"/>
          <w:lang w:val="es-MX"/>
        </w:rPr>
        <w:t xml:space="preserve"> está sujeta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es decir, que lo omitido no sea un factor que afecte la asignación de puntaje, sea la prueba de una circunstancia o hecho que ocurrió con anterioridad al cierre del proceso y no existe disposición legal o en el pliego de condiciones que prohíba su subsanación.</w:t>
      </w:r>
    </w:p>
    <w:p w14:paraId="5253A6CF" w14:textId="77777777" w:rsidR="0067425D" w:rsidRPr="00CC200E" w:rsidRDefault="0067425D" w:rsidP="00845C54">
      <w:pPr>
        <w:spacing w:before="120" w:after="120" w:line="240" w:lineRule="auto"/>
        <w:jc w:val="both"/>
        <w:rPr>
          <w:rFonts w:ascii="Arial" w:eastAsia="Calibri" w:hAnsi="Arial" w:cs="Arial"/>
          <w:bCs/>
          <w:sz w:val="20"/>
          <w:szCs w:val="20"/>
          <w:lang w:val="es-MX"/>
        </w:rPr>
      </w:pPr>
    </w:p>
    <w:p w14:paraId="4176A330" w14:textId="77777777" w:rsidR="00AE441B" w:rsidRPr="00CC200E" w:rsidRDefault="00AE441B" w:rsidP="00845C54">
      <w:pPr>
        <w:spacing w:after="0"/>
        <w:rPr>
          <w:rFonts w:ascii="Arial" w:hAnsi="Arial" w:cs="Arial"/>
          <w:lang w:val="es-ES_tradnl"/>
        </w:rPr>
      </w:pPr>
    </w:p>
    <w:p w14:paraId="4729DE41" w14:textId="77777777" w:rsidR="007D38CE" w:rsidRPr="00CC200E" w:rsidRDefault="007D38CE" w:rsidP="00845C54">
      <w:pPr>
        <w:spacing w:after="0"/>
        <w:rPr>
          <w:rFonts w:ascii="Arial" w:hAnsi="Arial" w:cs="Arial"/>
          <w:lang w:val="es-ES_tradnl"/>
        </w:rPr>
      </w:pPr>
    </w:p>
    <w:p w14:paraId="362977CC" w14:textId="77777777" w:rsidR="007D38CE" w:rsidRPr="00CC200E" w:rsidRDefault="007D38CE" w:rsidP="00845C54">
      <w:pPr>
        <w:spacing w:after="0"/>
        <w:rPr>
          <w:rFonts w:ascii="Arial" w:hAnsi="Arial" w:cs="Arial"/>
          <w:lang w:val="es-ES_tradnl"/>
        </w:rPr>
      </w:pPr>
    </w:p>
    <w:p w14:paraId="565CBFCE" w14:textId="77777777" w:rsidR="007D38CE" w:rsidRPr="00CC200E" w:rsidRDefault="007D38CE" w:rsidP="00845C54">
      <w:pPr>
        <w:spacing w:after="0"/>
        <w:rPr>
          <w:rFonts w:ascii="Arial" w:hAnsi="Arial" w:cs="Arial"/>
          <w:lang w:val="es-ES_tradnl"/>
        </w:rPr>
      </w:pPr>
    </w:p>
    <w:p w14:paraId="410243F3" w14:textId="77777777" w:rsidR="007D38CE" w:rsidRPr="00CC200E" w:rsidRDefault="007D38CE" w:rsidP="00845C54">
      <w:pPr>
        <w:spacing w:after="0"/>
        <w:rPr>
          <w:rFonts w:ascii="Arial" w:hAnsi="Arial" w:cs="Arial"/>
          <w:lang w:val="es-ES_tradnl"/>
        </w:rPr>
      </w:pPr>
    </w:p>
    <w:p w14:paraId="7F861CFB" w14:textId="77777777" w:rsidR="007D38CE" w:rsidRPr="00CC200E" w:rsidRDefault="007D38CE" w:rsidP="00845C54">
      <w:pPr>
        <w:spacing w:after="0"/>
        <w:rPr>
          <w:rFonts w:ascii="Arial" w:hAnsi="Arial" w:cs="Arial"/>
          <w:lang w:val="es-ES_tradnl"/>
        </w:rPr>
      </w:pPr>
    </w:p>
    <w:p w14:paraId="05D8F752" w14:textId="77777777" w:rsidR="007D38CE" w:rsidRPr="00CC200E" w:rsidRDefault="007D38CE" w:rsidP="00845C54">
      <w:pPr>
        <w:spacing w:after="0"/>
        <w:rPr>
          <w:rFonts w:ascii="Arial" w:hAnsi="Arial" w:cs="Arial"/>
          <w:lang w:val="es-ES_tradnl"/>
        </w:rPr>
      </w:pPr>
    </w:p>
    <w:p w14:paraId="374E3BCC" w14:textId="77777777" w:rsidR="007D38CE" w:rsidRPr="00CC200E" w:rsidRDefault="007D38CE" w:rsidP="00845C54">
      <w:pPr>
        <w:spacing w:after="0"/>
        <w:rPr>
          <w:rFonts w:ascii="Arial" w:hAnsi="Arial" w:cs="Arial"/>
          <w:lang w:val="es-ES_tradnl"/>
        </w:rPr>
      </w:pPr>
    </w:p>
    <w:p w14:paraId="1FD16292" w14:textId="77777777" w:rsidR="007D38CE" w:rsidRPr="00CC200E" w:rsidRDefault="007D38CE" w:rsidP="00845C54">
      <w:pPr>
        <w:spacing w:after="0"/>
        <w:rPr>
          <w:rFonts w:ascii="Arial" w:hAnsi="Arial" w:cs="Arial"/>
          <w:lang w:val="es-ES_tradnl"/>
        </w:rPr>
      </w:pPr>
    </w:p>
    <w:p w14:paraId="4A7BEC30" w14:textId="77777777" w:rsidR="007D38CE" w:rsidRPr="00CC200E" w:rsidRDefault="007D38CE" w:rsidP="00845C54">
      <w:pPr>
        <w:spacing w:after="0"/>
        <w:rPr>
          <w:rFonts w:ascii="Arial" w:hAnsi="Arial" w:cs="Arial"/>
          <w:lang w:val="es-ES_tradnl"/>
        </w:rPr>
      </w:pPr>
    </w:p>
    <w:p w14:paraId="7ABA1BBC" w14:textId="77777777" w:rsidR="007D38CE" w:rsidRPr="00CC200E" w:rsidRDefault="007D38CE" w:rsidP="00845C54">
      <w:pPr>
        <w:spacing w:after="0"/>
        <w:rPr>
          <w:rFonts w:ascii="Arial" w:hAnsi="Arial" w:cs="Arial"/>
          <w:lang w:val="es-ES_tradnl"/>
        </w:rPr>
      </w:pPr>
    </w:p>
    <w:p w14:paraId="79AE91A5" w14:textId="77777777" w:rsidR="007D38CE" w:rsidRPr="00CC200E" w:rsidRDefault="007D38CE" w:rsidP="00845C54">
      <w:pPr>
        <w:spacing w:after="0"/>
        <w:rPr>
          <w:rFonts w:ascii="Arial" w:hAnsi="Arial" w:cs="Arial"/>
          <w:lang w:val="es-ES_tradnl"/>
        </w:rPr>
      </w:pPr>
    </w:p>
    <w:p w14:paraId="2A07390E" w14:textId="77777777" w:rsidR="007D38CE" w:rsidRPr="00CC200E" w:rsidRDefault="007D38CE" w:rsidP="00845C54">
      <w:pPr>
        <w:spacing w:after="0"/>
        <w:rPr>
          <w:rFonts w:ascii="Arial" w:hAnsi="Arial" w:cs="Arial"/>
          <w:lang w:val="es-ES_tradnl"/>
        </w:rPr>
      </w:pPr>
    </w:p>
    <w:p w14:paraId="03A41CC4" w14:textId="77777777" w:rsidR="007D38CE" w:rsidRPr="00CC200E" w:rsidRDefault="007D38CE" w:rsidP="00845C54">
      <w:pPr>
        <w:spacing w:after="0"/>
        <w:rPr>
          <w:rFonts w:ascii="Arial" w:hAnsi="Arial" w:cs="Arial"/>
          <w:lang w:val="es-ES_tradnl"/>
        </w:rPr>
      </w:pPr>
    </w:p>
    <w:p w14:paraId="1EAD4163" w14:textId="77777777" w:rsidR="007D38CE" w:rsidRPr="00CC200E" w:rsidRDefault="007D38CE" w:rsidP="00845C54">
      <w:pPr>
        <w:spacing w:after="0"/>
        <w:rPr>
          <w:rFonts w:ascii="Arial" w:hAnsi="Arial" w:cs="Arial"/>
          <w:lang w:val="es-ES_tradnl"/>
        </w:rPr>
      </w:pPr>
    </w:p>
    <w:p w14:paraId="0C61E1B9" w14:textId="77777777" w:rsidR="007D38CE" w:rsidRPr="00CC200E" w:rsidRDefault="007D38CE" w:rsidP="00845C54">
      <w:pPr>
        <w:spacing w:after="0"/>
        <w:rPr>
          <w:rFonts w:ascii="Arial" w:hAnsi="Arial" w:cs="Arial"/>
          <w:lang w:val="es-ES_tradnl"/>
        </w:rPr>
      </w:pPr>
    </w:p>
    <w:p w14:paraId="51960A1C" w14:textId="77777777" w:rsidR="007D38CE" w:rsidRPr="00CC200E" w:rsidRDefault="007D38CE" w:rsidP="00845C54">
      <w:pPr>
        <w:spacing w:after="0"/>
        <w:rPr>
          <w:rFonts w:ascii="Arial" w:hAnsi="Arial" w:cs="Arial"/>
          <w:lang w:val="es-ES_tradnl"/>
        </w:rPr>
      </w:pPr>
    </w:p>
    <w:p w14:paraId="44EE1B77" w14:textId="77777777" w:rsidR="007D38CE" w:rsidRPr="00CC200E" w:rsidRDefault="007D38CE" w:rsidP="00845C54">
      <w:pPr>
        <w:spacing w:after="0"/>
        <w:rPr>
          <w:rFonts w:ascii="Arial" w:hAnsi="Arial" w:cs="Arial"/>
          <w:lang w:val="es-ES_tradnl"/>
        </w:rPr>
      </w:pPr>
    </w:p>
    <w:p w14:paraId="3FE2184B" w14:textId="0707300E" w:rsidR="00E245AB" w:rsidRPr="00CC200E" w:rsidRDefault="00E245AB" w:rsidP="00845C54">
      <w:pPr>
        <w:spacing w:after="0"/>
        <w:rPr>
          <w:rFonts w:ascii="Arial" w:hAnsi="Arial" w:cs="Arial"/>
        </w:rPr>
      </w:pPr>
      <w:r w:rsidRPr="00CC200E">
        <w:rPr>
          <w:rFonts w:ascii="Arial" w:hAnsi="Arial" w:cs="Arial"/>
        </w:rPr>
        <w:t>Bogotá D.C.,</w:t>
      </w:r>
      <w:r w:rsidR="00926726">
        <w:rPr>
          <w:rFonts w:ascii="Arial" w:hAnsi="Arial" w:cs="Arial"/>
        </w:rPr>
        <w:t>18 de agosto del 2023</w:t>
      </w:r>
      <w:r w:rsidRPr="00CC200E">
        <w:rPr>
          <w:rFonts w:ascii="Arial" w:hAnsi="Arial" w:cs="Arial"/>
        </w:rPr>
        <w:tab/>
      </w:r>
    </w:p>
    <w:p w14:paraId="5FCADBF9" w14:textId="77777777" w:rsidR="00E245AB" w:rsidRDefault="00E245AB" w:rsidP="00845C54">
      <w:pPr>
        <w:spacing w:after="0"/>
        <w:rPr>
          <w:rFonts w:ascii="Arial" w:hAnsi="Arial" w:cs="Arial"/>
        </w:rPr>
      </w:pPr>
    </w:p>
    <w:p w14:paraId="5205C50F" w14:textId="74A764CC" w:rsidR="00DC2361" w:rsidRPr="00CC200E" w:rsidRDefault="00E57F85" w:rsidP="00DC2361">
      <w:pPr>
        <w:spacing w:after="0"/>
        <w:jc w:val="right"/>
        <w:rPr>
          <w:rFonts w:ascii="Arial" w:hAnsi="Arial" w:cs="Arial"/>
        </w:rPr>
      </w:pPr>
      <w:r>
        <w:rPr>
          <w:rFonts w:ascii="Arial" w:hAnsi="Arial" w:cs="Arial"/>
          <w:noProof/>
        </w:rPr>
        <w:drawing>
          <wp:inline distT="0" distB="0" distL="0" distR="0" wp14:anchorId="54D2E3EA" wp14:editId="099F7F4F">
            <wp:extent cx="3079115" cy="762000"/>
            <wp:effectExtent l="0" t="0" r="6985" b="0"/>
            <wp:docPr id="1904842958"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42958" name="Imagen 1" descr="Interfaz de usuario gráfica, 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82006" cy="762715"/>
                    </a:xfrm>
                    <a:prstGeom prst="rect">
                      <a:avLst/>
                    </a:prstGeom>
                  </pic:spPr>
                </pic:pic>
              </a:graphicData>
            </a:graphic>
          </wp:inline>
        </w:drawing>
      </w:r>
    </w:p>
    <w:p w14:paraId="2309095A" w14:textId="77777777" w:rsidR="00AE441B" w:rsidRPr="00CC200E" w:rsidRDefault="00AE441B" w:rsidP="00845C54">
      <w:pPr>
        <w:spacing w:after="0"/>
        <w:rPr>
          <w:rFonts w:ascii="Arial" w:hAnsi="Arial" w:cs="Arial"/>
          <w:lang w:val="es-MX"/>
        </w:rPr>
      </w:pPr>
    </w:p>
    <w:p w14:paraId="0D89A08F" w14:textId="3AD546C7" w:rsidR="00AE441B" w:rsidRPr="00CC200E" w:rsidRDefault="00AE441B" w:rsidP="00845C54">
      <w:pPr>
        <w:spacing w:after="0"/>
        <w:rPr>
          <w:rFonts w:ascii="Arial" w:eastAsia="Geomanist Light" w:hAnsi="Arial" w:cs="Arial"/>
          <w:color w:val="201F1E"/>
          <w:lang w:val="es-MX"/>
        </w:rPr>
      </w:pPr>
      <w:r w:rsidRPr="00CC200E">
        <w:rPr>
          <w:rFonts w:ascii="Arial" w:hAnsi="Arial" w:cs="Arial"/>
          <w:lang w:val="es-MX"/>
        </w:rPr>
        <w:t>Señor</w:t>
      </w:r>
    </w:p>
    <w:p w14:paraId="73E14D30" w14:textId="4D32501C" w:rsidR="00AE441B" w:rsidRPr="00CC200E" w:rsidRDefault="008B70F0" w:rsidP="00845C54">
      <w:pPr>
        <w:spacing w:after="0" w:line="276" w:lineRule="auto"/>
        <w:rPr>
          <w:rFonts w:ascii="Arial" w:hAnsi="Arial" w:cs="Arial"/>
          <w:b/>
          <w:bCs/>
          <w:lang w:val="es-MX"/>
        </w:rPr>
      </w:pPr>
      <w:r w:rsidRPr="00CC200E">
        <w:rPr>
          <w:rFonts w:ascii="Arial" w:hAnsi="Arial" w:cs="Arial"/>
          <w:b/>
          <w:bCs/>
          <w:lang w:val="es-MX"/>
        </w:rPr>
        <w:t xml:space="preserve">Miguel Alejandro </w:t>
      </w:r>
      <w:bookmarkStart w:id="0" w:name="_Hlk143088087"/>
      <w:r w:rsidR="00665AB9" w:rsidRPr="00CC200E">
        <w:rPr>
          <w:rFonts w:ascii="Arial" w:hAnsi="Arial" w:cs="Arial"/>
          <w:b/>
          <w:bCs/>
          <w:lang w:val="es-MX"/>
        </w:rPr>
        <w:t>Sarmiento Mojica</w:t>
      </w:r>
      <w:bookmarkEnd w:id="0"/>
    </w:p>
    <w:p w14:paraId="255B0FF8" w14:textId="62B49C4C" w:rsidR="00AE441B" w:rsidRPr="00CC200E" w:rsidRDefault="008B70F0" w:rsidP="00845C54">
      <w:pPr>
        <w:spacing w:after="0" w:line="276" w:lineRule="auto"/>
        <w:rPr>
          <w:rFonts w:ascii="Arial" w:hAnsi="Arial" w:cs="Arial"/>
          <w:lang w:val="es-MX"/>
        </w:rPr>
      </w:pPr>
      <w:r w:rsidRPr="00CC200E">
        <w:rPr>
          <w:rFonts w:ascii="Arial" w:hAnsi="Arial" w:cs="Arial"/>
          <w:lang w:val="es-MX"/>
        </w:rPr>
        <w:t>Tame</w:t>
      </w:r>
      <w:r w:rsidR="00AE441B" w:rsidRPr="00CC200E">
        <w:rPr>
          <w:rFonts w:ascii="Arial" w:hAnsi="Arial" w:cs="Arial"/>
          <w:lang w:val="es-MX"/>
        </w:rPr>
        <w:t xml:space="preserve">, </w:t>
      </w:r>
      <w:r w:rsidRPr="00CC200E">
        <w:rPr>
          <w:rFonts w:ascii="Arial" w:hAnsi="Arial" w:cs="Arial"/>
          <w:lang w:val="es-MX"/>
        </w:rPr>
        <w:t>Arauca</w:t>
      </w:r>
    </w:p>
    <w:p w14:paraId="617B74EB" w14:textId="77777777" w:rsidR="000F7349" w:rsidRPr="00CC200E" w:rsidRDefault="000F7349" w:rsidP="00845C54">
      <w:pPr>
        <w:spacing w:after="0" w:line="276" w:lineRule="auto"/>
        <w:rPr>
          <w:rFonts w:ascii="Arial" w:hAnsi="Arial" w:cs="Arial"/>
          <w:lang w:val="es-MX"/>
        </w:rPr>
      </w:pPr>
    </w:p>
    <w:p w14:paraId="2357BA70" w14:textId="77777777" w:rsidR="00AE441B" w:rsidRPr="00CC200E" w:rsidRDefault="00AE441B" w:rsidP="00845C54">
      <w:pPr>
        <w:spacing w:after="0" w:line="276" w:lineRule="auto"/>
        <w:rPr>
          <w:rFonts w:ascii="Arial" w:hAnsi="Arial" w:cs="Arial"/>
          <w:lang w:val="es-MX"/>
        </w:rPr>
      </w:pPr>
    </w:p>
    <w:p w14:paraId="77981282" w14:textId="6498C86F" w:rsidR="00AE441B" w:rsidRPr="00CC200E" w:rsidRDefault="00AE441B" w:rsidP="00845C54">
      <w:pPr>
        <w:spacing w:after="0" w:line="276" w:lineRule="auto"/>
        <w:ind w:left="2832"/>
        <w:rPr>
          <w:rFonts w:ascii="Arial" w:eastAsia="Calibri" w:hAnsi="Arial" w:cs="Arial"/>
          <w:b/>
          <w:bCs/>
          <w:lang w:val="es-ES"/>
        </w:rPr>
      </w:pPr>
      <w:r w:rsidRPr="00CC200E">
        <w:rPr>
          <w:rFonts w:ascii="Arial" w:eastAsia="Calibri" w:hAnsi="Arial" w:cs="Arial"/>
          <w:b/>
          <w:bCs/>
          <w:lang w:val="es-ES"/>
        </w:rPr>
        <w:t>Concepto C-</w:t>
      </w:r>
      <w:r w:rsidRPr="00CC200E">
        <w:rPr>
          <w:rFonts w:ascii="Arial" w:hAnsi="Arial" w:cs="Arial"/>
        </w:rPr>
        <w:t xml:space="preserve"> </w:t>
      </w:r>
      <w:r w:rsidR="001C2399" w:rsidRPr="00CC200E">
        <w:rPr>
          <w:rFonts w:ascii="Arial" w:eastAsia="Calibri" w:hAnsi="Arial" w:cs="Arial"/>
          <w:b/>
          <w:bCs/>
          <w:lang w:val="es-ES"/>
        </w:rPr>
        <w:t>336</w:t>
      </w:r>
      <w:r w:rsidRPr="00CC200E">
        <w:rPr>
          <w:rFonts w:ascii="Arial" w:eastAsia="Calibri" w:hAnsi="Arial" w:cs="Arial"/>
          <w:b/>
          <w:bCs/>
          <w:lang w:val="es-ES"/>
        </w:rPr>
        <w:t xml:space="preserve"> del 2023</w:t>
      </w:r>
    </w:p>
    <w:p w14:paraId="200AEB6E" w14:textId="77777777" w:rsidR="00AE441B" w:rsidRPr="00CC200E" w:rsidRDefault="00AE441B" w:rsidP="00845C54">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AE441B" w:rsidRPr="00CC200E" w14:paraId="3BDB9064" w14:textId="77777777">
        <w:trPr>
          <w:jc w:val="right"/>
        </w:trPr>
        <w:tc>
          <w:tcPr>
            <w:tcW w:w="1838" w:type="dxa"/>
          </w:tcPr>
          <w:p w14:paraId="5DF6AB82" w14:textId="77777777" w:rsidR="00AE441B" w:rsidRPr="00CC200E" w:rsidRDefault="00AE441B" w:rsidP="00845C54">
            <w:pPr>
              <w:spacing w:line="276" w:lineRule="auto"/>
              <w:jc w:val="center"/>
              <w:rPr>
                <w:rFonts w:ascii="Arial" w:eastAsia="Calibri" w:hAnsi="Arial" w:cs="Arial"/>
                <w:lang w:val="es-ES_tradnl"/>
              </w:rPr>
            </w:pPr>
            <w:r w:rsidRPr="00CC200E">
              <w:rPr>
                <w:rFonts w:ascii="Arial" w:eastAsia="Calibri" w:hAnsi="Arial" w:cs="Arial"/>
                <w:b/>
                <w:lang w:val="es-ES_tradnl"/>
              </w:rPr>
              <w:t>Temas:</w:t>
            </w:r>
          </w:p>
        </w:tc>
        <w:tc>
          <w:tcPr>
            <w:tcW w:w="6237" w:type="dxa"/>
          </w:tcPr>
          <w:p w14:paraId="5B1E7E2E" w14:textId="2FEEDD88" w:rsidR="00AE441B" w:rsidRPr="00CC200E" w:rsidRDefault="006D71F9" w:rsidP="00845C54">
            <w:pPr>
              <w:spacing w:after="120"/>
              <w:contextualSpacing/>
              <w:jc w:val="both"/>
              <w:rPr>
                <w:rFonts w:ascii="Arial" w:eastAsia="Calibri" w:hAnsi="Arial" w:cs="Arial"/>
                <w:bCs/>
                <w:lang w:val="es-MX" w:eastAsia="es-ES_tradnl"/>
              </w:rPr>
            </w:pPr>
            <w:r w:rsidRPr="00CC200E">
              <w:rPr>
                <w:rFonts w:ascii="Arial" w:eastAsia="Calibri" w:hAnsi="Arial" w:cs="Arial"/>
                <w:lang w:val="es-ES_tradnl"/>
              </w:rPr>
              <w:t xml:space="preserve">EXPERIENCIA – Noción / EXPERIENCIA – Noción ‒ Colombia Compra Eficiente / SOCIEDADES NUEVAS ‒ Experiencia ‒ Inferior a tres años ‒ Requisitos habilitantes ‒ Desarrollo de la empresa / EXPERIENCIA ‒ Conservación ‒ Renovación RUP ‒ Cesación efectos RUP / EXPERIENCIA – Retiro del socio − Sociedades – Menor a 3 años de constitución / </w:t>
            </w:r>
            <w:r w:rsidR="00217516" w:rsidRPr="00CC200E">
              <w:rPr>
                <w:rFonts w:ascii="Arial" w:hAnsi="Arial" w:cs="Arial"/>
              </w:rPr>
              <w:t>CAPACIDAD RESIDUAL- Requisito Habilitante – Subsanación – Aclaración</w:t>
            </w:r>
          </w:p>
        </w:tc>
      </w:tr>
      <w:tr w:rsidR="00AE441B" w:rsidRPr="00CC200E" w14:paraId="66557A77" w14:textId="77777777">
        <w:trPr>
          <w:jc w:val="right"/>
        </w:trPr>
        <w:tc>
          <w:tcPr>
            <w:tcW w:w="1838" w:type="dxa"/>
          </w:tcPr>
          <w:p w14:paraId="713F1275" w14:textId="77777777" w:rsidR="00AE441B" w:rsidRPr="00CC200E" w:rsidRDefault="00AE441B" w:rsidP="00845C54">
            <w:pPr>
              <w:spacing w:line="276" w:lineRule="auto"/>
              <w:jc w:val="center"/>
              <w:rPr>
                <w:rFonts w:ascii="Arial" w:eastAsia="Calibri" w:hAnsi="Arial" w:cs="Arial"/>
                <w:b/>
                <w:lang w:val="es-ES"/>
              </w:rPr>
            </w:pPr>
            <w:r w:rsidRPr="00CC200E">
              <w:rPr>
                <w:rFonts w:ascii="Arial" w:eastAsia="Calibri" w:hAnsi="Arial" w:cs="Arial"/>
                <w:b/>
                <w:lang w:val="es-ES"/>
              </w:rPr>
              <w:t>Radicación:</w:t>
            </w:r>
          </w:p>
        </w:tc>
        <w:tc>
          <w:tcPr>
            <w:tcW w:w="6237" w:type="dxa"/>
          </w:tcPr>
          <w:p w14:paraId="1BB4134F" w14:textId="3E90E517" w:rsidR="00AE441B" w:rsidRPr="00CC200E" w:rsidRDefault="00AE441B" w:rsidP="00845C54">
            <w:pPr>
              <w:spacing w:line="276" w:lineRule="auto"/>
              <w:jc w:val="both"/>
              <w:rPr>
                <w:rFonts w:ascii="Arial" w:eastAsia="Calibri" w:hAnsi="Arial" w:cs="Arial"/>
                <w:lang w:val="es-ES"/>
              </w:rPr>
            </w:pPr>
            <w:r w:rsidRPr="00CC200E">
              <w:rPr>
                <w:rFonts w:ascii="Arial" w:eastAsia="Calibri" w:hAnsi="Arial" w:cs="Arial"/>
                <w:lang w:val="es-ES"/>
              </w:rPr>
              <w:t xml:space="preserve">Respuesta a consulta Nro. </w:t>
            </w:r>
            <w:r w:rsidR="001C2399" w:rsidRPr="00CC200E">
              <w:rPr>
                <w:rFonts w:ascii="Arial" w:eastAsia="Calibri" w:hAnsi="Arial" w:cs="Arial"/>
                <w:lang w:val="es-ES"/>
              </w:rPr>
              <w:t>P20230705012954</w:t>
            </w:r>
          </w:p>
        </w:tc>
      </w:tr>
    </w:tbl>
    <w:p w14:paraId="78480CFB" w14:textId="77777777" w:rsidR="00AE441B" w:rsidRPr="00CC200E" w:rsidRDefault="00AE441B" w:rsidP="00845C54">
      <w:pPr>
        <w:spacing w:line="276" w:lineRule="auto"/>
        <w:jc w:val="both"/>
        <w:rPr>
          <w:rFonts w:ascii="Arial" w:eastAsia="Calibri" w:hAnsi="Arial" w:cs="Arial"/>
          <w:lang w:val="es-ES_tradnl"/>
        </w:rPr>
      </w:pPr>
    </w:p>
    <w:p w14:paraId="7F26ECA5" w14:textId="06791E61" w:rsidR="00AE441B" w:rsidRPr="00CC200E" w:rsidRDefault="00AE441B" w:rsidP="00845C54">
      <w:pPr>
        <w:spacing w:line="276" w:lineRule="auto"/>
        <w:jc w:val="both"/>
        <w:rPr>
          <w:rFonts w:ascii="Arial" w:eastAsia="Calibri" w:hAnsi="Arial" w:cs="Arial"/>
          <w:bCs/>
          <w:lang w:val="es-ES_tradnl"/>
        </w:rPr>
      </w:pPr>
      <w:r w:rsidRPr="00CC200E">
        <w:rPr>
          <w:rFonts w:ascii="Arial" w:eastAsia="Calibri" w:hAnsi="Arial" w:cs="Arial"/>
          <w:lang w:val="es-ES_tradnl"/>
        </w:rPr>
        <w:t xml:space="preserve">Estimado señor </w:t>
      </w:r>
      <w:r w:rsidR="000F7349" w:rsidRPr="00CC200E">
        <w:rPr>
          <w:rFonts w:ascii="Arial" w:hAnsi="Arial" w:cs="Arial"/>
          <w:lang w:val="es-MX"/>
        </w:rPr>
        <w:t>Sarmiento Mojica</w:t>
      </w:r>
      <w:r w:rsidRPr="00CC200E">
        <w:rPr>
          <w:rFonts w:ascii="Arial" w:eastAsia="Calibri" w:hAnsi="Arial" w:cs="Arial"/>
          <w:bCs/>
          <w:lang w:val="es-ES_tradnl"/>
        </w:rPr>
        <w:t>:</w:t>
      </w:r>
    </w:p>
    <w:p w14:paraId="135172B3" w14:textId="316A9501" w:rsidR="00AE441B" w:rsidRPr="00CC200E" w:rsidRDefault="00AE441B" w:rsidP="00845C54">
      <w:pPr>
        <w:spacing w:after="0" w:line="276" w:lineRule="auto"/>
        <w:jc w:val="both"/>
        <w:rPr>
          <w:rFonts w:ascii="Arial" w:eastAsia="Calibri" w:hAnsi="Arial" w:cs="Arial"/>
          <w:lang w:val="es-ES"/>
        </w:rPr>
      </w:pPr>
      <w:r w:rsidRPr="00CC200E">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852BF9" w:rsidRPr="00CC200E">
        <w:rPr>
          <w:rFonts w:ascii="Arial" w:eastAsia="Calibri" w:hAnsi="Arial" w:cs="Arial"/>
          <w:lang w:val="es-ES"/>
        </w:rPr>
        <w:t>05 de julio del 2023</w:t>
      </w:r>
      <w:r w:rsidRPr="00CC200E">
        <w:rPr>
          <w:rFonts w:ascii="Arial" w:eastAsia="Calibri" w:hAnsi="Arial" w:cs="Arial"/>
          <w:lang w:val="es-ES"/>
        </w:rPr>
        <w:t>.</w:t>
      </w:r>
    </w:p>
    <w:p w14:paraId="0465BA6D" w14:textId="77777777" w:rsidR="00E245AB" w:rsidRPr="00CC200E" w:rsidRDefault="00E245AB" w:rsidP="00845C54">
      <w:pPr>
        <w:spacing w:after="0"/>
        <w:rPr>
          <w:rFonts w:ascii="Arial" w:hAnsi="Arial" w:cs="Arial"/>
          <w:lang w:val="es-ES"/>
        </w:rPr>
      </w:pPr>
    </w:p>
    <w:p w14:paraId="62D5C5DC" w14:textId="77777777" w:rsidR="00F97BFC" w:rsidRPr="00CC200E" w:rsidRDefault="00F97BFC" w:rsidP="00845C54">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CC200E">
        <w:rPr>
          <w:rFonts w:ascii="Arial" w:eastAsia="Calibri" w:hAnsi="Arial" w:cs="Arial"/>
          <w:b/>
          <w:lang w:val="es-ES_tradnl"/>
        </w:rPr>
        <w:t xml:space="preserve">Problema planteado </w:t>
      </w:r>
    </w:p>
    <w:p w14:paraId="3E1472CC" w14:textId="77777777" w:rsidR="00F97BFC" w:rsidRPr="00CC200E" w:rsidRDefault="00F97BFC" w:rsidP="00845C54">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3184C8D6" w14:textId="23692699" w:rsidR="00F97BFC" w:rsidRPr="00CC200E" w:rsidRDefault="00F97BFC" w:rsidP="00845C54">
      <w:pPr>
        <w:spacing w:after="0" w:line="276" w:lineRule="auto"/>
        <w:jc w:val="both"/>
        <w:rPr>
          <w:rFonts w:ascii="Arial" w:hAnsi="Arial" w:cs="Arial"/>
          <w:lang w:val="es-ES_tradnl"/>
        </w:rPr>
      </w:pPr>
      <w:r w:rsidRPr="00CC200E">
        <w:rPr>
          <w:rFonts w:ascii="Arial" w:hAnsi="Arial" w:cs="Arial"/>
          <w:lang w:val="es-ES_tradnl"/>
        </w:rPr>
        <w:t xml:space="preserve">Respecto a la </w:t>
      </w:r>
      <w:r w:rsidR="00FD215D" w:rsidRPr="00CC200E">
        <w:rPr>
          <w:rFonts w:ascii="Arial" w:hAnsi="Arial" w:cs="Arial"/>
          <w:lang w:val="es-ES_tradnl"/>
        </w:rPr>
        <w:t>acreditación de la experiencia de una sociedad</w:t>
      </w:r>
      <w:r w:rsidR="002636DC" w:rsidRPr="00CC200E">
        <w:rPr>
          <w:rFonts w:ascii="Arial" w:hAnsi="Arial" w:cs="Arial"/>
          <w:lang w:val="es-ES_tradnl"/>
        </w:rPr>
        <w:t xml:space="preserve"> </w:t>
      </w:r>
      <w:r w:rsidRPr="00CC200E">
        <w:rPr>
          <w:rFonts w:ascii="Arial" w:hAnsi="Arial" w:cs="Arial"/>
          <w:lang w:val="es-ES_tradnl"/>
        </w:rPr>
        <w:t xml:space="preserve">usted realiza la siguiente consulta: </w:t>
      </w:r>
    </w:p>
    <w:p w14:paraId="6E7CCD6C" w14:textId="77777777" w:rsidR="00A75A84" w:rsidRPr="00CC200E" w:rsidRDefault="00A75A84" w:rsidP="00845C54">
      <w:pPr>
        <w:spacing w:after="0" w:line="276" w:lineRule="auto"/>
        <w:jc w:val="both"/>
        <w:rPr>
          <w:rFonts w:ascii="Arial" w:hAnsi="Arial" w:cs="Arial"/>
          <w:lang w:val="es-ES_tradnl"/>
        </w:rPr>
      </w:pPr>
    </w:p>
    <w:p w14:paraId="43A25549" w14:textId="77777777" w:rsidR="00A47E23" w:rsidRPr="00CC200E" w:rsidRDefault="00A47E23" w:rsidP="00845C54">
      <w:pPr>
        <w:spacing w:after="0" w:line="240" w:lineRule="auto"/>
        <w:ind w:left="709" w:right="709"/>
        <w:jc w:val="both"/>
        <w:rPr>
          <w:rFonts w:ascii="Arial" w:hAnsi="Arial" w:cs="Arial"/>
          <w:sz w:val="21"/>
          <w:szCs w:val="21"/>
        </w:rPr>
      </w:pPr>
      <w:r w:rsidRPr="00CC200E">
        <w:rPr>
          <w:rFonts w:ascii="Arial" w:hAnsi="Arial" w:cs="Arial"/>
          <w:sz w:val="21"/>
          <w:szCs w:val="21"/>
        </w:rPr>
        <w:t xml:space="preserve">“[…] 1. </w:t>
      </w:r>
      <w:r w:rsidR="00D6422E" w:rsidRPr="00CC200E">
        <w:rPr>
          <w:rFonts w:ascii="Arial" w:hAnsi="Arial" w:cs="Arial"/>
          <w:sz w:val="21"/>
          <w:szCs w:val="21"/>
        </w:rPr>
        <w:t xml:space="preserve">¿Una empresa conformada por Sociedad por Acciones Simplificada (SAS), constituida con más de 3 años, puede utilizar la experiencia del accionista para contratar en un proceso de contratación estatal por modalidad de mínima cuantía o </w:t>
      </w:r>
      <w:r w:rsidR="00D6422E" w:rsidRPr="00CC200E">
        <w:rPr>
          <w:rFonts w:ascii="Arial" w:hAnsi="Arial" w:cs="Arial"/>
          <w:color w:val="000000"/>
          <w:sz w:val="21"/>
          <w:szCs w:val="21"/>
          <w:shd w:val="clear" w:color="auto" w:fill="FFFFFF"/>
        </w:rPr>
        <w:t>Licitación pública (Obra pública)</w:t>
      </w:r>
      <w:r w:rsidR="00D6422E" w:rsidRPr="00CC200E">
        <w:rPr>
          <w:rFonts w:ascii="Arial" w:hAnsi="Arial" w:cs="Arial"/>
          <w:sz w:val="21"/>
          <w:szCs w:val="21"/>
        </w:rPr>
        <w:t>, cuando luego de pasado los 3 años y no permitiese que los efectos del RUP cesen?</w:t>
      </w:r>
    </w:p>
    <w:p w14:paraId="5869A02C" w14:textId="77777777" w:rsidR="00A47E23" w:rsidRPr="00CC200E" w:rsidRDefault="00A47E23" w:rsidP="00845C54">
      <w:pPr>
        <w:spacing w:after="0" w:line="240" w:lineRule="auto"/>
        <w:ind w:left="709" w:right="709"/>
        <w:jc w:val="both"/>
        <w:rPr>
          <w:rFonts w:ascii="Arial" w:hAnsi="Arial" w:cs="Arial"/>
          <w:sz w:val="21"/>
          <w:szCs w:val="21"/>
        </w:rPr>
      </w:pPr>
    </w:p>
    <w:p w14:paraId="1F7924D1" w14:textId="4CD8AE77" w:rsidR="00A47E23" w:rsidRPr="00CC200E" w:rsidRDefault="00A47E23" w:rsidP="00845C54">
      <w:pPr>
        <w:spacing w:after="0" w:line="240" w:lineRule="auto"/>
        <w:ind w:left="709" w:right="709"/>
        <w:jc w:val="both"/>
        <w:rPr>
          <w:rFonts w:ascii="Arial" w:hAnsi="Arial" w:cs="Arial"/>
          <w:sz w:val="21"/>
          <w:szCs w:val="21"/>
        </w:rPr>
      </w:pPr>
      <w:r w:rsidRPr="00CC200E">
        <w:rPr>
          <w:rFonts w:ascii="Arial" w:hAnsi="Arial" w:cs="Arial"/>
          <w:sz w:val="21"/>
          <w:szCs w:val="21"/>
        </w:rPr>
        <w:lastRenderedPageBreak/>
        <w:t>2. ¿Una empresa con más de 3 años constituidas con experiencia acreditada de los socios o accionistas en el RUP, debe eliminar dicha experiencia si los socios se retiran luego de los tres años de constituida la empresa?</w:t>
      </w:r>
    </w:p>
    <w:p w14:paraId="41ABA03A" w14:textId="77777777" w:rsidR="00445F67" w:rsidRPr="00CC200E" w:rsidRDefault="00445F67" w:rsidP="00845C54">
      <w:pPr>
        <w:spacing w:after="0" w:line="240" w:lineRule="auto"/>
        <w:ind w:left="709" w:right="709"/>
        <w:jc w:val="both"/>
        <w:rPr>
          <w:rFonts w:ascii="Arial" w:hAnsi="Arial" w:cs="Arial"/>
          <w:sz w:val="21"/>
          <w:szCs w:val="21"/>
        </w:rPr>
      </w:pPr>
    </w:p>
    <w:p w14:paraId="0E229049" w14:textId="39ABBD28" w:rsidR="00445F67" w:rsidRPr="00CC200E" w:rsidRDefault="00445F67" w:rsidP="00845C54">
      <w:pPr>
        <w:spacing w:after="0" w:line="240" w:lineRule="auto"/>
        <w:ind w:left="709" w:right="709"/>
        <w:jc w:val="both"/>
        <w:rPr>
          <w:rFonts w:ascii="Arial" w:hAnsi="Arial" w:cs="Arial"/>
          <w:sz w:val="21"/>
          <w:szCs w:val="21"/>
        </w:rPr>
      </w:pPr>
      <w:r w:rsidRPr="00CC200E">
        <w:rPr>
          <w:rFonts w:ascii="Arial" w:hAnsi="Arial" w:cs="Arial"/>
          <w:sz w:val="21"/>
          <w:szCs w:val="21"/>
        </w:rPr>
        <w:t xml:space="preserve">3. </w:t>
      </w:r>
      <w:r w:rsidR="00D15B0D" w:rsidRPr="00CC200E">
        <w:rPr>
          <w:rFonts w:ascii="Arial" w:hAnsi="Arial" w:cs="Arial"/>
          <w:sz w:val="21"/>
          <w:szCs w:val="21"/>
        </w:rPr>
        <w:t>¿Una empresa con más de 3 años constituidas la cual los efectos del RUP nunca cesaron, para el cálculo de la capacidad residual, puntualmente en el apartado de experiencia, debe reportar todos los contratos relacionados del Segmento 72 relacionados en el RUP, incluyendo la de socios y accionista presentes en el RUP, así estos ya no se encuentren vinculados a la empresa?</w:t>
      </w:r>
    </w:p>
    <w:p w14:paraId="050C646D" w14:textId="77777777" w:rsidR="00C605D1" w:rsidRPr="00CC200E" w:rsidRDefault="00C605D1" w:rsidP="00845C54">
      <w:pPr>
        <w:spacing w:after="0" w:line="240" w:lineRule="auto"/>
        <w:ind w:left="709" w:right="709"/>
        <w:jc w:val="both"/>
        <w:rPr>
          <w:rFonts w:ascii="Arial" w:hAnsi="Arial" w:cs="Arial"/>
          <w:sz w:val="21"/>
          <w:szCs w:val="21"/>
        </w:rPr>
      </w:pPr>
    </w:p>
    <w:p w14:paraId="7CE22F2C" w14:textId="367571EA" w:rsidR="00C605D1" w:rsidRPr="00CC200E" w:rsidRDefault="00C605D1" w:rsidP="00845C54">
      <w:pPr>
        <w:spacing w:after="0" w:line="240" w:lineRule="auto"/>
        <w:ind w:left="709" w:right="709"/>
        <w:jc w:val="both"/>
        <w:rPr>
          <w:rFonts w:ascii="Arial" w:hAnsi="Arial" w:cs="Arial"/>
          <w:sz w:val="21"/>
          <w:szCs w:val="21"/>
        </w:rPr>
      </w:pPr>
      <w:r w:rsidRPr="00CC200E">
        <w:rPr>
          <w:rFonts w:ascii="Arial" w:hAnsi="Arial" w:cs="Arial"/>
          <w:sz w:val="21"/>
          <w:szCs w:val="21"/>
        </w:rPr>
        <w:t xml:space="preserve">4. </w:t>
      </w:r>
      <w:r w:rsidR="009C1A7A" w:rsidRPr="00CC200E">
        <w:rPr>
          <w:rFonts w:ascii="Arial" w:hAnsi="Arial" w:cs="Arial"/>
          <w:sz w:val="21"/>
          <w:szCs w:val="21"/>
        </w:rPr>
        <w:t>¿Para el cálculo de la capacidad residual, si se comete algún error al momento de reportar el saldo de contratos en ejecución procede a un rechazo de la oferta, si la entidad no pidió aclaración de dichos contratos, esto bajo el concepto que se presentaron la cantidad de contratos en ejecución, pero se cometió algún error al digitar las fechas o algún otro valor requerido conforme a la guía para cálculo de capacidad residual, dado por Colombia Compra Eficiente? […]”</w:t>
      </w:r>
    </w:p>
    <w:p w14:paraId="145A2F50" w14:textId="77777777" w:rsidR="00F97BFC" w:rsidRPr="00CC200E" w:rsidRDefault="00F97BFC" w:rsidP="00845C54">
      <w:pPr>
        <w:spacing w:after="0"/>
        <w:rPr>
          <w:rFonts w:ascii="Arial" w:hAnsi="Arial" w:cs="Arial"/>
          <w:lang w:val="es-ES_tradnl"/>
        </w:rPr>
      </w:pPr>
    </w:p>
    <w:p w14:paraId="1BBE36BF" w14:textId="77777777" w:rsidR="002E2777" w:rsidRPr="00CC200E" w:rsidRDefault="002E2777" w:rsidP="00845C54">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r w:rsidRPr="00CC200E">
        <w:rPr>
          <w:rFonts w:ascii="Arial" w:eastAsia="Calibri" w:hAnsi="Arial" w:cs="Arial"/>
          <w:b/>
          <w:lang w:val="es-ES_tradnl"/>
        </w:rPr>
        <w:t>Consideraciones</w:t>
      </w:r>
    </w:p>
    <w:p w14:paraId="6B470C95" w14:textId="77777777" w:rsidR="002E2777" w:rsidRPr="00CC200E" w:rsidRDefault="002E2777" w:rsidP="00845C54">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1FBAB01C" w14:textId="77777777" w:rsidR="002E2777" w:rsidRPr="00CC200E" w:rsidRDefault="002E2777" w:rsidP="00845C54">
      <w:pPr>
        <w:spacing w:after="120" w:line="276" w:lineRule="auto"/>
        <w:jc w:val="both"/>
        <w:rPr>
          <w:rFonts w:ascii="Arial" w:hAnsi="Arial" w:cs="Arial"/>
          <w:lang w:val="es-ES"/>
        </w:rPr>
      </w:pPr>
      <w:r w:rsidRPr="00CC200E">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CC200E">
        <w:rPr>
          <w:rFonts w:ascii="Arial" w:hAnsi="Arial" w:cs="Arial"/>
        </w:rPr>
        <w:t xml:space="preserve">. </w:t>
      </w:r>
      <w:r w:rsidRPr="00CC200E">
        <w:rPr>
          <w:rFonts w:ascii="Arial" w:hAnsi="Arial" w:cs="Arial"/>
          <w:lang w:val="es-ES"/>
        </w:rPr>
        <w:t xml:space="preserve">Es necesario tener en cuenta que </w:t>
      </w:r>
      <w:bookmarkStart w:id="3" w:name="_Hlk61026958"/>
      <w:r w:rsidRPr="00CC200E">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C200E">
        <w:rPr>
          <w:rFonts w:ascii="Arial" w:hAnsi="Arial" w:cs="Arial"/>
        </w:rPr>
        <w:t xml:space="preserve"> de todos los partícipes de la contratación estatal.</w:t>
      </w:r>
      <w:r w:rsidRPr="00CC200E">
        <w:rPr>
          <w:rFonts w:ascii="Arial" w:hAnsi="Arial" w:cs="Arial"/>
          <w:lang w:val="es-ES"/>
        </w:rPr>
        <w:t xml:space="preserve"> </w:t>
      </w:r>
      <w:bookmarkEnd w:id="1"/>
      <w:bookmarkEnd w:id="2"/>
      <w:bookmarkEnd w:id="3"/>
    </w:p>
    <w:p w14:paraId="5802DEF0" w14:textId="77777777" w:rsidR="002E2777" w:rsidRPr="00CC200E" w:rsidRDefault="002E2777" w:rsidP="00845C54">
      <w:pPr>
        <w:spacing w:after="120" w:line="276" w:lineRule="auto"/>
        <w:ind w:firstLine="708"/>
        <w:jc w:val="both"/>
        <w:rPr>
          <w:rFonts w:ascii="Arial" w:hAnsi="Arial" w:cs="Arial"/>
          <w:lang w:val="es-ES"/>
        </w:rPr>
      </w:pPr>
      <w:r w:rsidRPr="00CC200E">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C200E">
        <w:rPr>
          <w:rFonts w:ascii="Arial" w:eastAsia="Calibri" w:hAnsi="Arial" w:cs="Arial"/>
          <w:vertAlign w:val="superscript"/>
          <w:lang w:val="es-ES"/>
        </w:rPr>
        <w:footnoteReference w:id="2"/>
      </w:r>
      <w:r w:rsidRPr="00CC200E">
        <w:rPr>
          <w:rFonts w:ascii="Arial" w:eastAsia="Calibri" w:hAnsi="Arial" w:cs="Arial"/>
          <w:lang w:val="es-ES"/>
        </w:rPr>
        <w:t xml:space="preserve">. Esta </w:t>
      </w:r>
      <w:r w:rsidRPr="00CC200E">
        <w:rPr>
          <w:rFonts w:ascii="Arial" w:eastAsia="Calibri" w:hAnsi="Arial" w:cs="Arial"/>
          <w:lang w:val="es-ES"/>
        </w:rPr>
        <w:lastRenderedPageBreak/>
        <w:t xml:space="preserve">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524AC434" w14:textId="122A6DDD" w:rsidR="000A1D12" w:rsidRPr="00EA05AC" w:rsidRDefault="002E2777" w:rsidP="00845C54">
      <w:pPr>
        <w:spacing w:before="120" w:after="120" w:line="276" w:lineRule="auto"/>
        <w:ind w:firstLine="709"/>
        <w:jc w:val="both"/>
        <w:rPr>
          <w:rFonts w:ascii="Arial" w:hAnsi="Arial" w:cs="Arial"/>
          <w:lang w:val="es-ES"/>
        </w:rPr>
      </w:pPr>
      <w:r w:rsidRPr="00CC200E">
        <w:rPr>
          <w:rFonts w:ascii="Arial" w:eastAsia="Calibri" w:hAnsi="Arial" w:cs="Arial"/>
          <w:color w:val="000000"/>
          <w:lang w:val="es-MX"/>
        </w:rPr>
        <w:t xml:space="preserve">Sin perjuicio de lo anterior, </w:t>
      </w:r>
      <w:r w:rsidRPr="00CC200E">
        <w:rPr>
          <w:rFonts w:ascii="Arial" w:eastAsia="Calibri" w:hAnsi="Arial" w:cs="Arial"/>
          <w:color w:val="000000"/>
          <w:lang w:val="es-ES"/>
        </w:rPr>
        <w:t xml:space="preserve">la Subdirección de Gestión Contractual –dentro de los límites de sus atribuciones, esto es, </w:t>
      </w:r>
      <w:bookmarkStart w:id="4" w:name="_Hlk61025408"/>
      <w:r w:rsidRPr="00CC200E">
        <w:rPr>
          <w:rFonts w:ascii="Arial" w:eastAsia="Calibri" w:hAnsi="Arial" w:cs="Arial"/>
          <w:color w:val="000000"/>
          <w:lang w:val="es-ES"/>
        </w:rPr>
        <w:t>haciendo abstracción del caso particular expuesto por el peticionari</w:t>
      </w:r>
      <w:bookmarkEnd w:id="4"/>
      <w:r w:rsidRPr="00CC200E">
        <w:rPr>
          <w:rFonts w:ascii="Arial" w:eastAsia="Calibri" w:hAnsi="Arial" w:cs="Arial"/>
          <w:color w:val="000000"/>
          <w:lang w:val="es-ES"/>
        </w:rPr>
        <w:t>o– resolverá la consulta conforme a las normas generales en materia de contratación estatal</w:t>
      </w:r>
      <w:r w:rsidRPr="00CC200E">
        <w:rPr>
          <w:rFonts w:ascii="Arial" w:eastAsia="Calibri" w:hAnsi="Arial" w:cs="Arial"/>
          <w:lang w:val="es-ES_tradnl" w:eastAsia="es-MX"/>
        </w:rPr>
        <w:t xml:space="preserve">. Con este objetivo se analizarán los siguientes temas: </w:t>
      </w:r>
      <w:r w:rsidR="008A2500" w:rsidRPr="00CC200E">
        <w:rPr>
          <w:rFonts w:ascii="Arial" w:hAnsi="Arial" w:cs="Arial"/>
          <w:lang w:val="es-ES_tradnl"/>
        </w:rPr>
        <w:t xml:space="preserve">i) aproximación general al concepto de experiencia en la contratación pública; ii) consideraciones de la Agencia respecto de la experiencia; iii) acreditación de la experiencia de socios, accionistas o constituyentes por parte de sociedades con menos de tres (3) años de constitución iv) límites de la prerrogativa que contempla el numeral 2.5 del artículo 2.2.1.1.1.5.2 del Decreto 1082 de 2015; </w:t>
      </w:r>
      <w:r w:rsidR="002826F8" w:rsidRPr="00CC200E">
        <w:rPr>
          <w:rFonts w:ascii="Arial" w:hAnsi="Arial" w:cs="Arial"/>
          <w:lang w:val="es-ES_tradnl"/>
        </w:rPr>
        <w:t xml:space="preserve">v) </w:t>
      </w:r>
      <w:r w:rsidR="000A1D12" w:rsidRPr="00CC200E">
        <w:rPr>
          <w:rFonts w:ascii="Arial" w:eastAsia="Calibri" w:hAnsi="Arial" w:cs="Arial"/>
        </w:rPr>
        <w:t>a</w:t>
      </w:r>
      <w:r w:rsidR="000A1D12" w:rsidRPr="00CC200E">
        <w:rPr>
          <w:rFonts w:ascii="Arial" w:hAnsi="Arial" w:cs="Arial"/>
        </w:rPr>
        <w:t>nálisis frente al alcance de la regla de la subsanabilidad y la figura de la aclaración de ofertas frente a la Capacidad Residual</w:t>
      </w:r>
      <w:r w:rsidR="00EA05AC">
        <w:rPr>
          <w:rFonts w:ascii="Arial" w:hAnsi="Arial" w:cs="Arial"/>
        </w:rPr>
        <w:t>; y vi) l</w:t>
      </w:r>
      <w:r w:rsidR="00EA05AC" w:rsidRPr="00EA05AC">
        <w:rPr>
          <w:rFonts w:ascii="Arial" w:hAnsi="Arial" w:cs="Arial"/>
        </w:rPr>
        <w:t>a capacidad residual en los procesos de contratación de obra pública.</w:t>
      </w:r>
    </w:p>
    <w:p w14:paraId="266D3F78" w14:textId="68165541" w:rsidR="00B840AD" w:rsidRPr="00CC200E" w:rsidRDefault="002E2777" w:rsidP="00845C54">
      <w:pPr>
        <w:spacing w:line="276" w:lineRule="auto"/>
        <w:ind w:firstLine="708"/>
        <w:jc w:val="both"/>
        <w:rPr>
          <w:rFonts w:ascii="Arial" w:hAnsi="Arial" w:cs="Arial"/>
          <w:lang w:val="es-ES_tradnl"/>
        </w:rPr>
      </w:pPr>
      <w:r w:rsidRPr="00CC200E">
        <w:rPr>
          <w:rFonts w:ascii="Arial" w:eastAsia="Calibri" w:hAnsi="Arial" w:cs="Arial"/>
          <w:color w:val="000000"/>
        </w:rPr>
        <w:t xml:space="preserve"> </w:t>
      </w:r>
      <w:r w:rsidRPr="00CC200E">
        <w:rPr>
          <w:rFonts w:ascii="Arial" w:eastAsia="Calibri" w:hAnsi="Arial" w:cs="Arial"/>
        </w:rPr>
        <w:t xml:space="preserve">La Agencia Nacional de Contratación Pública – Colombia Compra Eficiente –en adelante la ANCP-CCE– </w:t>
      </w:r>
      <w:r w:rsidRPr="00CC200E">
        <w:rPr>
          <w:rFonts w:ascii="Arial" w:eastAsia="Calibri" w:hAnsi="Arial" w:cs="Arial"/>
          <w:lang w:val="es-ES_tradnl"/>
        </w:rPr>
        <w:t xml:space="preserve">ha impartido lineamientos </w:t>
      </w:r>
      <w:r w:rsidR="006B1752" w:rsidRPr="00CC200E">
        <w:rPr>
          <w:rFonts w:ascii="Arial" w:hAnsi="Arial" w:cs="Arial"/>
          <w:lang w:val="es-ES_tradnl"/>
        </w:rPr>
        <w:t>sobre la experiencia como requisito habilitante en la contratación pública e</w:t>
      </w:r>
      <w:r w:rsidR="001571AF" w:rsidRPr="00CC200E">
        <w:rPr>
          <w:rFonts w:ascii="Arial" w:hAnsi="Arial" w:cs="Arial"/>
          <w:lang w:val="es-ES_tradnl"/>
        </w:rPr>
        <w:t>n</w:t>
      </w:r>
      <w:r w:rsidR="004D4D83" w:rsidRPr="00CC200E">
        <w:rPr>
          <w:rFonts w:ascii="Arial" w:hAnsi="Arial" w:cs="Arial"/>
          <w:lang w:val="es-ES_tradnl"/>
        </w:rPr>
        <w:t xml:space="preserve"> los conceptos</w:t>
      </w:r>
      <w:r w:rsidR="00594C0D" w:rsidRPr="00CC200E">
        <w:rPr>
          <w:rFonts w:ascii="Arial" w:hAnsi="Arial" w:cs="Arial"/>
          <w:lang w:val="es-ES_tradnl"/>
        </w:rPr>
        <w:t xml:space="preserve">, C-226 del 26 de abril de 2022, C-234 del 26 de abril de 2022, C-235 del 26 de abril de 2022, C-239, C-242 del 2 de mayo de 2022, C-287 del 11 de mayo de 2022, C-319 del 19 de mayo de 2022, C-569 del 13 de septiembre de 2022, C-574 del 14 de septiembre de 2022. </w:t>
      </w:r>
      <w:r w:rsidR="00B840AD" w:rsidRPr="00CC200E">
        <w:rPr>
          <w:rFonts w:ascii="Arial" w:hAnsi="Arial" w:cs="Arial"/>
          <w:lang w:val="es-ES_tradnl"/>
        </w:rPr>
        <w:t>Del mismo modo, en los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w:t>
      </w:r>
    </w:p>
    <w:p w14:paraId="0A16764D" w14:textId="414C11DD" w:rsidR="00025FB2" w:rsidRPr="00CC200E" w:rsidRDefault="00B17CF2" w:rsidP="00845C54">
      <w:pPr>
        <w:spacing w:after="0" w:line="276" w:lineRule="auto"/>
        <w:ind w:firstLine="709"/>
        <w:jc w:val="both"/>
        <w:rPr>
          <w:rFonts w:ascii="Arial" w:eastAsia="Calibri" w:hAnsi="Arial" w:cs="Arial"/>
          <w:lang w:val="es-ES_tradnl" w:eastAsia="es-ES_tradnl"/>
        </w:rPr>
      </w:pPr>
      <w:r w:rsidRPr="00CC200E">
        <w:rPr>
          <w:rFonts w:ascii="Arial" w:hAnsi="Arial" w:cs="Arial"/>
          <w:lang w:val="es-ES_tradnl"/>
        </w:rPr>
        <w:t xml:space="preserve">Por otra parte, </w:t>
      </w:r>
      <w:r w:rsidR="00780D55" w:rsidRPr="00CC200E">
        <w:rPr>
          <w:rFonts w:ascii="Arial" w:hAnsi="Arial" w:cs="Arial"/>
          <w:lang w:val="es-ES_tradnl"/>
        </w:rPr>
        <w:t xml:space="preserve">en las consultas con radicado Nro. </w:t>
      </w:r>
      <w:r w:rsidR="001C05F6" w:rsidRPr="00CC200E">
        <w:rPr>
          <w:rFonts w:ascii="Arial" w:hAnsi="Arial" w:cs="Arial"/>
          <w:lang w:val="es-ES_tradnl"/>
        </w:rPr>
        <w:t>2201913000006275 del 27 de agosto de 2019, 4201912000004743 con el radicado de salida No. 2201913000006297 del 28 de agosto de 2019, 4201912000003636 con radicado de salida No. 2201913000006028 del 28 de agosto de 2019, 4201913000005158 con radicado de salida No. 2201913000006577 del 5 de septiembre de 2019, C-717 del 10 de diciembre de 2020 y C-929 del 30 de diciembre del 2022</w:t>
      </w:r>
      <w:r w:rsidR="00960E81" w:rsidRPr="00CC200E">
        <w:rPr>
          <w:rFonts w:ascii="Arial" w:hAnsi="Arial" w:cs="Arial"/>
          <w:lang w:val="es-ES_tradnl"/>
        </w:rPr>
        <w:t xml:space="preserve"> la Agencia conceptuó sobre la posibilidad de que la experiencia de los socios, aportada a la empresa pueda ser utilizada a pesar del retiro de </w:t>
      </w:r>
      <w:r w:rsidR="00960E81" w:rsidRPr="00CC200E">
        <w:rPr>
          <w:rFonts w:ascii="Arial" w:hAnsi="Arial" w:cs="Arial"/>
          <w:lang w:val="es-ES_tradnl"/>
        </w:rPr>
        <w:lastRenderedPageBreak/>
        <w:t xml:space="preserve">alguno de ellos. Y frente a </w:t>
      </w:r>
      <w:r w:rsidR="002D758E" w:rsidRPr="00CC200E">
        <w:rPr>
          <w:rFonts w:ascii="Arial" w:hAnsi="Arial" w:cs="Arial"/>
        </w:rPr>
        <w:t xml:space="preserve">la Capacidad Residual </w:t>
      </w:r>
      <w:r w:rsidR="00A14CA3" w:rsidRPr="00CC200E">
        <w:rPr>
          <w:rFonts w:ascii="Arial" w:hAnsi="Arial" w:cs="Arial"/>
        </w:rPr>
        <w:t xml:space="preserve">se ha pronunciado en los conceptos </w:t>
      </w:r>
      <w:r w:rsidR="00467F5C" w:rsidRPr="00CC200E">
        <w:rPr>
          <w:rFonts w:ascii="Arial" w:eastAsia="Times New Roman" w:hAnsi="Arial" w:cs="Arial"/>
          <w:color w:val="000000"/>
          <w:lang w:eastAsia="es-CO"/>
        </w:rPr>
        <w:t>C-105 del 14 de junio del 2023, C-099 del 20 de junio del 2023, C-154 del 02 de junio del 2023, C-193 del 13 de junio del 2023, C-182 del 29 de junio del 2023, C-241 del 22 de junio del 2023, C-233 del 25 de julio del 2023, C-200 del 27 de julio del 2023, C-320 del 02 de agosto del 2023 y C-</w:t>
      </w:r>
      <w:r w:rsidR="0049282D" w:rsidRPr="00CC200E">
        <w:rPr>
          <w:rFonts w:ascii="Arial" w:eastAsia="Times New Roman" w:hAnsi="Arial" w:cs="Arial"/>
          <w:color w:val="000000"/>
          <w:lang w:eastAsia="es-CO"/>
        </w:rPr>
        <w:t>280 del 06 de junio del 2023</w:t>
      </w:r>
      <w:r w:rsidR="002E2777" w:rsidRPr="00CC200E">
        <w:rPr>
          <w:rFonts w:ascii="Arial" w:eastAsia="Calibri" w:hAnsi="Arial" w:cs="Arial"/>
          <w:bCs/>
          <w:lang w:val="es-MX"/>
        </w:rPr>
        <w:t>.</w:t>
      </w:r>
      <w:r w:rsidR="002E2777" w:rsidRPr="00CC200E">
        <w:rPr>
          <w:rStyle w:val="Refdenotaalpie"/>
          <w:rFonts w:ascii="Arial" w:eastAsia="Calibri" w:hAnsi="Arial" w:cs="Arial"/>
          <w:bCs/>
          <w:lang w:val="es-MX"/>
        </w:rPr>
        <w:footnoteReference w:id="3"/>
      </w:r>
      <w:r w:rsidR="002E2777" w:rsidRPr="00CC200E">
        <w:rPr>
          <w:rFonts w:ascii="Arial" w:eastAsia="Calibri" w:hAnsi="Arial" w:cs="Arial"/>
          <w:lang w:val="es-MX" w:eastAsia="es-ES_tradnl"/>
        </w:rPr>
        <w:t xml:space="preserve"> </w:t>
      </w:r>
      <w:r w:rsidR="000A367A" w:rsidRPr="00CC200E">
        <w:rPr>
          <w:rFonts w:ascii="Arial" w:eastAsia="Calibri" w:hAnsi="Arial" w:cs="Arial"/>
          <w:lang w:val="es-ES_tradnl" w:eastAsia="es-ES_tradnl"/>
        </w:rPr>
        <w:t>Algunas de las consideraciones de estos conceptos se reiteran y se complementan en lo pertinente, teniendo en cuenta lo consultado.</w:t>
      </w:r>
    </w:p>
    <w:p w14:paraId="6AAA04FC" w14:textId="77777777" w:rsidR="00025FB2" w:rsidRPr="00CC200E" w:rsidRDefault="00025FB2" w:rsidP="00845C54">
      <w:pPr>
        <w:spacing w:after="0" w:line="276" w:lineRule="auto"/>
        <w:ind w:firstLine="709"/>
        <w:jc w:val="both"/>
        <w:rPr>
          <w:rFonts w:ascii="Arial" w:eastAsia="Calibri" w:hAnsi="Arial" w:cs="Arial"/>
          <w:lang w:val="es-ES_tradnl" w:eastAsia="es-ES_tradnl"/>
        </w:rPr>
      </w:pPr>
    </w:p>
    <w:p w14:paraId="70647DC9" w14:textId="77777777" w:rsidR="00D14339" w:rsidRPr="00CC200E" w:rsidRDefault="00D14339" w:rsidP="00845C54">
      <w:pPr>
        <w:spacing w:after="0" w:line="276" w:lineRule="auto"/>
        <w:jc w:val="both"/>
        <w:rPr>
          <w:rFonts w:ascii="Arial" w:eastAsia="Calibri" w:hAnsi="Arial" w:cs="Arial"/>
          <w:b/>
          <w:color w:val="000000" w:themeColor="text1"/>
        </w:rPr>
      </w:pPr>
      <w:r w:rsidRPr="00CC200E">
        <w:rPr>
          <w:rFonts w:ascii="Arial" w:eastAsia="Calibri" w:hAnsi="Arial" w:cs="Arial"/>
          <w:b/>
          <w:color w:val="000000" w:themeColor="text1"/>
        </w:rPr>
        <w:t>2.1. Aproximación general al concepto de experiencia en la contratación pública</w:t>
      </w:r>
    </w:p>
    <w:p w14:paraId="5A3A7ABC" w14:textId="77777777" w:rsidR="00D14339" w:rsidRPr="00CC200E" w:rsidRDefault="00D14339" w:rsidP="00845C54">
      <w:pPr>
        <w:spacing w:after="0" w:line="276" w:lineRule="auto"/>
        <w:jc w:val="both"/>
        <w:rPr>
          <w:rFonts w:ascii="Arial" w:hAnsi="Arial" w:cs="Arial"/>
          <w:lang w:val="es-ES_tradnl"/>
        </w:rPr>
      </w:pPr>
      <w:r w:rsidRPr="00CC200E">
        <w:rPr>
          <w:rFonts w:ascii="Arial" w:hAnsi="Arial" w:cs="Arial"/>
          <w:lang w:val="es-ES_tradnl"/>
        </w:rPr>
        <w:t xml:space="preserve">  </w:t>
      </w:r>
    </w:p>
    <w:p w14:paraId="10835BBC" w14:textId="46BEDDBD" w:rsidR="00D14339" w:rsidRPr="00CC200E" w:rsidRDefault="00D14339" w:rsidP="00845C54">
      <w:pPr>
        <w:spacing w:line="276" w:lineRule="auto"/>
        <w:jc w:val="both"/>
        <w:rPr>
          <w:rFonts w:ascii="Arial" w:eastAsia="Calibri" w:hAnsi="Arial" w:cs="Arial"/>
          <w:color w:val="000000" w:themeColor="text1"/>
        </w:rPr>
      </w:pPr>
      <w:r w:rsidRPr="00CC200E">
        <w:rPr>
          <w:rFonts w:ascii="Arial" w:eastAsia="Calibri" w:hAnsi="Arial" w:cs="Arial"/>
          <w:color w:val="000000" w:themeColor="text1"/>
        </w:rPr>
        <w:t xml:space="preserve">La Ley 1150 de 2007, en el artículo 5, establece los requisitos habilitantes para participar en un procedimiento contractual, dentro de los cuales se destaca la experiencia. El propósito es que las </w:t>
      </w:r>
      <w:r w:rsidR="00D146F9" w:rsidRPr="00CC200E">
        <w:rPr>
          <w:rFonts w:ascii="Arial" w:eastAsia="Calibri" w:hAnsi="Arial" w:cs="Arial"/>
          <w:color w:val="000000" w:themeColor="text1"/>
        </w:rPr>
        <w:t>E</w:t>
      </w:r>
      <w:r w:rsidRPr="00CC200E">
        <w:rPr>
          <w:rFonts w:ascii="Arial" w:eastAsia="Calibri" w:hAnsi="Arial" w:cs="Arial"/>
          <w:color w:val="000000" w:themeColor="text1"/>
        </w:rPr>
        <w:t>ntidades fijen unos requisitos mínimos que debe tener y acreditar el proponente, para que la entidad verifique su aptitud para participar en el procedimiento de contratación y, si se le adjudica, ejecutar el contrato estatal</w:t>
      </w:r>
      <w:r w:rsidRPr="00CC200E">
        <w:rPr>
          <w:rStyle w:val="Refdenotaalpie"/>
          <w:rFonts w:ascii="Arial" w:eastAsia="Calibri" w:hAnsi="Arial" w:cs="Arial"/>
          <w:color w:val="000000" w:themeColor="text1"/>
        </w:rPr>
        <w:footnoteReference w:id="4"/>
      </w:r>
      <w:r w:rsidRPr="00CC200E">
        <w:rPr>
          <w:rFonts w:ascii="Arial" w:eastAsia="Calibri" w:hAnsi="Arial" w:cs="Arial"/>
          <w:color w:val="000000" w:themeColor="text1"/>
        </w:rPr>
        <w:t xml:space="preserve">. En ese sentido, la </w:t>
      </w:r>
      <w:r w:rsidR="00D146F9" w:rsidRPr="00CC200E">
        <w:rPr>
          <w:rFonts w:ascii="Arial" w:eastAsia="Calibri" w:hAnsi="Arial" w:cs="Arial"/>
          <w:color w:val="000000" w:themeColor="text1"/>
        </w:rPr>
        <w:t>E</w:t>
      </w:r>
      <w:r w:rsidRPr="00CC200E">
        <w:rPr>
          <w:rFonts w:ascii="Arial" w:eastAsia="Calibri" w:hAnsi="Arial" w:cs="Arial"/>
          <w:color w:val="000000" w:themeColor="text1"/>
        </w:rPr>
        <w:t>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r w:rsidRPr="00CC200E">
        <w:rPr>
          <w:rStyle w:val="Refdenotaalpie"/>
          <w:rFonts w:ascii="Arial" w:eastAsia="Calibri" w:hAnsi="Arial" w:cs="Arial"/>
          <w:color w:val="000000" w:themeColor="text1"/>
        </w:rPr>
        <w:footnoteReference w:id="5"/>
      </w:r>
      <w:r w:rsidRPr="00CC200E">
        <w:rPr>
          <w:rFonts w:ascii="Arial" w:eastAsia="Calibri" w:hAnsi="Arial" w:cs="Arial"/>
          <w:color w:val="000000" w:themeColor="text1"/>
        </w:rPr>
        <w:t>.</w:t>
      </w:r>
    </w:p>
    <w:p w14:paraId="1A63022F" w14:textId="77777777" w:rsidR="00D14339" w:rsidRPr="00CC200E" w:rsidRDefault="00D14339" w:rsidP="00CB2BA7">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La experiencia que se deriva de los contratos que el proponente ha celebrado y ejecutado con diferentes contratantes, sin importar la naturaleza de estos, se verifica con el </w:t>
      </w:r>
      <w:r w:rsidRPr="00CC200E">
        <w:rPr>
          <w:rFonts w:ascii="Arial" w:eastAsia="Calibri" w:hAnsi="Arial" w:cs="Arial"/>
          <w:color w:val="000000" w:themeColor="text1"/>
        </w:rPr>
        <w:lastRenderedPageBreak/>
        <w:t>Registro Único de Proponentes – en adelante RUP -</w:t>
      </w:r>
      <w:r w:rsidRPr="00CC200E">
        <w:rPr>
          <w:rStyle w:val="Refdenotaalpie"/>
          <w:rFonts w:ascii="Arial" w:eastAsia="Calibri" w:hAnsi="Arial" w:cs="Arial"/>
          <w:color w:val="000000" w:themeColor="text1"/>
        </w:rPr>
        <w:footnoteReference w:id="6"/>
      </w:r>
      <w:r w:rsidRPr="00CC200E">
        <w:rPr>
          <w:rFonts w:ascii="Arial" w:eastAsia="Calibri" w:hAnsi="Arial" w:cs="Arial"/>
          <w:color w:val="000000" w:themeColor="text1"/>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CC200E">
        <w:rPr>
          <w:rStyle w:val="Refdenotaalpie"/>
          <w:rFonts w:ascii="Arial" w:eastAsia="Calibri" w:hAnsi="Arial" w:cs="Arial"/>
          <w:color w:val="000000" w:themeColor="text1"/>
        </w:rPr>
        <w:footnoteReference w:id="7"/>
      </w:r>
      <w:r w:rsidRPr="00CC200E">
        <w:rPr>
          <w:rFonts w:ascii="Arial" w:eastAsia="Calibri" w:hAnsi="Arial" w:cs="Arial"/>
          <w:color w:val="000000" w:themeColor="text1"/>
        </w:rPr>
        <w:t>.</w:t>
      </w:r>
    </w:p>
    <w:p w14:paraId="6357721B" w14:textId="73AA462B"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CC200E">
        <w:rPr>
          <w:rStyle w:val="Refdenotaalpie"/>
          <w:rFonts w:ascii="Arial" w:eastAsia="Calibri" w:hAnsi="Arial" w:cs="Arial"/>
          <w:color w:val="000000" w:themeColor="text1"/>
        </w:rPr>
        <w:footnoteReference w:id="8"/>
      </w:r>
      <w:r w:rsidRPr="00CC200E">
        <w:rPr>
          <w:rFonts w:ascii="Arial" w:eastAsia="Calibri" w:hAnsi="Arial" w:cs="Arial"/>
          <w:color w:val="000000" w:themeColor="text1"/>
        </w:rPr>
        <w:t>. De esta manera, con el RUP se verifica que el proponente tenga experiencia en la ejecución del objeto que pretende contratar la</w:t>
      </w:r>
      <w:r w:rsidR="00CD1691" w:rsidRPr="00CC200E">
        <w:rPr>
          <w:rFonts w:ascii="Arial" w:eastAsia="Calibri" w:hAnsi="Arial" w:cs="Arial"/>
          <w:color w:val="000000" w:themeColor="text1"/>
        </w:rPr>
        <w:t xml:space="preserve"> E</w:t>
      </w:r>
      <w:r w:rsidRPr="00CC200E">
        <w:rPr>
          <w:rFonts w:ascii="Arial" w:eastAsia="Calibri" w:hAnsi="Arial" w:cs="Arial"/>
          <w:color w:val="000000" w:themeColor="text1"/>
        </w:rPr>
        <w:t>ntidad, esto es, que haya celebrado y ejecutado contratos que se asimilen a la necesidad que la entidad requiere satisfacer con el procedimiento contractual, sin que sea necesario que su objeto sea idéntico.</w:t>
      </w:r>
    </w:p>
    <w:p w14:paraId="2CC15605" w14:textId="77777777" w:rsidR="00D14339" w:rsidRPr="00CC200E" w:rsidRDefault="00D14339" w:rsidP="00845C54">
      <w:pPr>
        <w:spacing w:after="0" w:line="276" w:lineRule="auto"/>
        <w:jc w:val="both"/>
        <w:rPr>
          <w:rFonts w:ascii="Arial" w:eastAsia="Calibri" w:hAnsi="Arial" w:cs="Arial"/>
          <w:b/>
          <w:color w:val="000000" w:themeColor="text1"/>
        </w:rPr>
      </w:pPr>
      <w:r w:rsidRPr="00CC200E">
        <w:rPr>
          <w:rFonts w:ascii="Arial" w:eastAsia="Calibri" w:hAnsi="Arial" w:cs="Arial"/>
          <w:b/>
          <w:color w:val="000000" w:themeColor="text1"/>
        </w:rPr>
        <w:t>2.2. Consideraciones de la Agencia respecto de la experiencia</w:t>
      </w:r>
    </w:p>
    <w:p w14:paraId="100DB9FD" w14:textId="77777777" w:rsidR="00D14339" w:rsidRPr="00CC200E" w:rsidRDefault="00D14339" w:rsidP="00845C54">
      <w:pPr>
        <w:spacing w:after="0" w:line="276" w:lineRule="auto"/>
        <w:jc w:val="both"/>
        <w:rPr>
          <w:rFonts w:ascii="Arial" w:eastAsia="Calibri" w:hAnsi="Arial" w:cs="Arial"/>
          <w:b/>
          <w:color w:val="000000" w:themeColor="text1"/>
        </w:rPr>
      </w:pPr>
    </w:p>
    <w:p w14:paraId="79A4CCEA" w14:textId="1DA941AE" w:rsidR="00D14339" w:rsidRPr="00CC200E" w:rsidRDefault="00D14339" w:rsidP="00845C54">
      <w:pPr>
        <w:spacing w:line="276" w:lineRule="auto"/>
        <w:jc w:val="both"/>
        <w:rPr>
          <w:rFonts w:ascii="Arial" w:eastAsia="Calibri" w:hAnsi="Arial" w:cs="Arial"/>
          <w:color w:val="000000" w:themeColor="text1"/>
        </w:rPr>
      </w:pPr>
      <w:r w:rsidRPr="00CC200E">
        <w:rPr>
          <w:rFonts w:ascii="Arial" w:eastAsia="Calibri" w:hAnsi="Arial" w:cs="Arial"/>
          <w:color w:val="000000" w:themeColor="text1"/>
        </w:rPr>
        <w:lastRenderedPageBreak/>
        <w:t xml:space="preserve">La Agencia Nacional de Contratación Pública – Colombia Compra Eficiente puso a disposición de los interesados del Sistema de Compra Pública el </w:t>
      </w:r>
      <w:r w:rsidR="001B4468" w:rsidRPr="00CC200E">
        <w:rPr>
          <w:rFonts w:ascii="Arial" w:eastAsia="Calibri" w:hAnsi="Arial" w:cs="Arial"/>
          <w:color w:val="000000" w:themeColor="text1"/>
        </w:rPr>
        <w:t>“</w:t>
      </w:r>
      <w:r w:rsidRPr="00CC200E">
        <w:rPr>
          <w:rFonts w:ascii="Arial" w:eastAsia="Calibri" w:hAnsi="Arial" w:cs="Arial"/>
          <w:color w:val="000000" w:themeColor="text1"/>
        </w:rPr>
        <w:t>Manual para determinar y verificar requisitos habilitantes en los procesos de contratación</w:t>
      </w:r>
      <w:r w:rsidR="001B4468" w:rsidRPr="00CC200E">
        <w:rPr>
          <w:rFonts w:ascii="Arial" w:eastAsia="Calibri" w:hAnsi="Arial" w:cs="Arial"/>
          <w:color w:val="000000" w:themeColor="text1"/>
        </w:rPr>
        <w:t>”</w:t>
      </w:r>
      <w:r w:rsidRPr="00CC200E">
        <w:rPr>
          <w:rStyle w:val="Refdenotaalpie"/>
          <w:rFonts w:ascii="Arial" w:eastAsia="Calibri" w:hAnsi="Arial" w:cs="Arial"/>
          <w:color w:val="000000" w:themeColor="text1"/>
        </w:rPr>
        <w:footnoteReference w:id="9"/>
      </w:r>
      <w:r w:rsidRPr="00CC200E">
        <w:rPr>
          <w:rFonts w:ascii="Arial" w:eastAsia="Calibri" w:hAnsi="Arial" w:cs="Arial"/>
          <w:color w:val="000000" w:themeColor="text1"/>
        </w:rPr>
        <w:t xml:space="preserve">, donde se establecen las definiciones de cada requisito habilitante y se dan lineamientos sobre lo que las </w:t>
      </w:r>
      <w:r w:rsidR="001B4468"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pueden hacer para establecerlos. En relación con la experiencia, el Manual se centra en su carácter personal, lo cual significa que la experiencia se obtiene en razón a la participación del proponente, con anterioridad, en actividades que le permitieron conocer cómo ejecutar determinado objeto contractual, que la </w:t>
      </w:r>
      <w:r w:rsidR="001B4468" w:rsidRPr="00CC200E">
        <w:rPr>
          <w:rFonts w:ascii="Arial" w:eastAsia="Calibri" w:hAnsi="Arial" w:cs="Arial"/>
          <w:color w:val="000000" w:themeColor="text1"/>
        </w:rPr>
        <w:t>E</w:t>
      </w:r>
      <w:r w:rsidRPr="00CC200E">
        <w:rPr>
          <w:rFonts w:ascii="Arial" w:eastAsia="Calibri" w:hAnsi="Arial" w:cs="Arial"/>
          <w:color w:val="000000" w:themeColor="text1"/>
        </w:rPr>
        <w:t>ntidad ahora pretende desarrollar</w:t>
      </w:r>
      <w:r w:rsidRPr="00CC200E">
        <w:rPr>
          <w:rStyle w:val="Refdenotaalpie"/>
          <w:rFonts w:ascii="Arial" w:eastAsia="Calibri" w:hAnsi="Arial" w:cs="Arial"/>
          <w:color w:val="000000" w:themeColor="text1"/>
        </w:rPr>
        <w:footnoteReference w:id="10"/>
      </w:r>
      <w:r w:rsidRPr="00CC200E">
        <w:rPr>
          <w:rFonts w:ascii="Arial" w:eastAsia="Calibri" w:hAnsi="Arial" w:cs="Arial"/>
          <w:color w:val="000000" w:themeColor="text1"/>
        </w:rPr>
        <w:t>.</w:t>
      </w:r>
    </w:p>
    <w:p w14:paraId="42561B14"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Lo anterior es determinante, porque no es posible adquirir la experiencia si en la práctica no se han ejecutado actividades similares de forma previa. Precisamente, de la experiencia se deriva el conocimiento del proponente, y para la contratación pública este conocimiento es importante, pues ello garantiza que no habrá improvisación ni mayores costos por errores o dificultades originadas en realizar una actividad por primera vez.</w:t>
      </w:r>
    </w:p>
    <w:p w14:paraId="7C59A1A8"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w:t>
      </w:r>
    </w:p>
    <w:p w14:paraId="159BB09B"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lastRenderedPageBreak/>
        <w:t xml:space="preserve">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10D2E67B"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Finalmente, pueden extraerse cuatro (4) conclusiones relevantes para evaluar las figuras y reformas estatutarias de las sociedades comerciales, respecto de la experiencia: </w:t>
      </w:r>
    </w:p>
    <w:p w14:paraId="05E0AAB2"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i) La experiencia es personal, esto es, se adquiere participando, directa o indirectamente, sin que sea posible no hacerlo y tener experiencia. </w:t>
      </w:r>
    </w:p>
    <w:p w14:paraId="17011003"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ii) La experiencia se puede compartir, sin que implique que la compartida a una persona se entienda suya, ya que dentro del procedimiento contractual se reflejará que esa persona tiene la experiencia de otra, como es el caso de las figuras asociativas ̶consorcios y uniones temporales ̶ que se verificará en el documento privado de constitución</w:t>
      </w:r>
      <w:r w:rsidRPr="00CC200E">
        <w:rPr>
          <w:rStyle w:val="Refdenotaalpie"/>
          <w:rFonts w:ascii="Arial" w:eastAsia="Calibri" w:hAnsi="Arial" w:cs="Arial"/>
          <w:color w:val="000000" w:themeColor="text1"/>
        </w:rPr>
        <w:footnoteReference w:id="11"/>
      </w:r>
      <w:r w:rsidRPr="00CC200E">
        <w:rPr>
          <w:rFonts w:ascii="Arial" w:eastAsia="Calibri" w:hAnsi="Arial" w:cs="Arial"/>
          <w:color w:val="000000" w:themeColor="text1"/>
        </w:rPr>
        <w:t>.</w:t>
      </w:r>
    </w:p>
    <w:p w14:paraId="1ECFF00D"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iii) La experiencia se puede transferir, y esto es diferente a compartir, lo que implica que la experiencia de una persona se traslada a otra, y esta última acredita la experiencia como propia, como sucede con la figura que se explicará con más detalle en el numeral 2.3 de este concepto.</w:t>
      </w:r>
    </w:p>
    <w:p w14:paraId="2A38D59A"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iv) Cuando la persona que adquirió la experiencia desaparece o se liquida no es posible que comparta o transfiera su experiencia, porque al ser personal sigue la suerte de quien la adquirió.</w:t>
      </w:r>
    </w:p>
    <w:p w14:paraId="6167353B" w14:textId="7F407EC8"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Ahora bien, respecto a la forma como se acredita la experiencia, debe destacarse que, el RUP fue creado por el artículo 6 de la Ley 1150 de 2007</w:t>
      </w:r>
      <w:r w:rsidRPr="00CC200E">
        <w:rPr>
          <w:rStyle w:val="Refdenotaalpie"/>
          <w:rFonts w:ascii="Arial" w:eastAsia="Calibri" w:hAnsi="Arial" w:cs="Arial"/>
          <w:color w:val="000000" w:themeColor="text1"/>
        </w:rPr>
        <w:footnoteReference w:id="12"/>
      </w:r>
      <w:r w:rsidRPr="00CC200E">
        <w:rPr>
          <w:rFonts w:ascii="Arial" w:eastAsia="Calibri" w:hAnsi="Arial" w:cs="Arial"/>
          <w:color w:val="000000" w:themeColor="text1"/>
        </w:rPr>
        <w:t xml:space="preserve"> 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r w:rsidR="0088203C" w:rsidRPr="00CC200E">
        <w:rPr>
          <w:rFonts w:ascii="Arial" w:eastAsia="Calibri" w:hAnsi="Arial" w:cs="Arial"/>
          <w:color w:val="000000" w:themeColor="text1"/>
        </w:rPr>
        <w:t>“</w:t>
      </w:r>
      <w:r w:rsidRPr="00CC200E">
        <w:rPr>
          <w:rFonts w:ascii="Arial" w:eastAsia="Calibri" w:hAnsi="Arial" w:cs="Arial"/>
          <w:color w:val="000000" w:themeColor="text1"/>
        </w:rPr>
        <w:t>sometid[a] a los principios de la función administrativa y de contratación estatal</w:t>
      </w:r>
      <w:r w:rsidR="0088203C" w:rsidRPr="00CC200E">
        <w:rPr>
          <w:rFonts w:ascii="Arial" w:eastAsia="Calibri" w:hAnsi="Arial" w:cs="Arial"/>
          <w:color w:val="000000" w:themeColor="text1"/>
        </w:rPr>
        <w:t>”</w:t>
      </w:r>
      <w:r w:rsidRPr="00CC200E">
        <w:rPr>
          <w:rStyle w:val="Refdenotaalpie"/>
          <w:rFonts w:ascii="Arial" w:eastAsia="Calibri" w:hAnsi="Arial" w:cs="Arial"/>
          <w:color w:val="000000" w:themeColor="text1"/>
        </w:rPr>
        <w:footnoteReference w:id="13"/>
      </w:r>
      <w:r w:rsidRPr="00CC200E">
        <w:rPr>
          <w:rFonts w:ascii="Arial" w:eastAsia="Calibri" w:hAnsi="Arial" w:cs="Arial"/>
          <w:color w:val="000000" w:themeColor="text1"/>
        </w:rPr>
        <w:t>.</w:t>
      </w:r>
    </w:p>
    <w:p w14:paraId="4F7212CA" w14:textId="22BFADA2"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El artículo 6 de la Ley 1150 de 2007 señala que el RUP </w:t>
      </w:r>
      <w:r w:rsidR="00D52730" w:rsidRPr="00CC200E">
        <w:rPr>
          <w:rFonts w:ascii="Arial" w:eastAsia="Calibri" w:hAnsi="Arial" w:cs="Arial"/>
          <w:color w:val="000000" w:themeColor="text1"/>
        </w:rPr>
        <w:t>“</w:t>
      </w:r>
      <w:r w:rsidRPr="00CC200E">
        <w:rPr>
          <w:rFonts w:ascii="Arial" w:eastAsia="Calibri" w:hAnsi="Arial" w:cs="Arial"/>
          <w:color w:val="000000" w:themeColor="text1"/>
        </w:rPr>
        <w:t>es plena prueba de las circunstancias que en ella se hagan constar y que hayan sido verificadas por las Cámaras de Comercio</w:t>
      </w:r>
      <w:r w:rsidR="00D52730" w:rsidRPr="00CC200E">
        <w:rPr>
          <w:rFonts w:ascii="Arial" w:eastAsia="Calibri" w:hAnsi="Arial" w:cs="Arial"/>
          <w:color w:val="000000" w:themeColor="text1"/>
        </w:rPr>
        <w:t>”</w:t>
      </w:r>
      <w:r w:rsidRPr="00CC200E">
        <w:rPr>
          <w:rFonts w:ascii="Arial" w:eastAsia="Calibri" w:hAnsi="Arial" w:cs="Arial"/>
          <w:color w:val="000000" w:themeColor="text1"/>
        </w:rPr>
        <w:t xml:space="preserve">, es decir, estableció una regla probatoria en lo que se refiere a las condiciones </w:t>
      </w:r>
      <w:r w:rsidRPr="00CC200E">
        <w:rPr>
          <w:rFonts w:ascii="Arial" w:eastAsia="Calibri" w:hAnsi="Arial" w:cs="Arial"/>
          <w:color w:val="000000" w:themeColor="text1"/>
        </w:rPr>
        <w:lastRenderedPageBreak/>
        <w:t xml:space="preserve">de los proponentes contenidas en el registro y asignó la competencia a las cámaras para verificarlas. </w:t>
      </w:r>
    </w:p>
    <w:p w14:paraId="6647C0F9"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La norma impuso la obligación a todos los proponentes de inscribirse en el RUP,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69C2F861" w14:textId="2BFCFE2C"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Asimismo, correlativo a este deber de los proponentes, la norma impuso a las cámaras de comercio la obligación de verificar los requisitos habilitantes de quienes se registren. El inciso 2 del numeral 6.1. de la Ley 1150 de 2007 le otorga carácter de plena prueba a la información contenida en el registro que haya sido verificada por las cámaras de comercio y, además, dispuso que la verificación de las condiciones de que trata el numeral 1 del artículo 5 ibidem se demostrará </w:t>
      </w:r>
      <w:r w:rsidR="00246528" w:rsidRPr="00CC200E">
        <w:rPr>
          <w:rFonts w:ascii="Arial" w:eastAsia="Calibri" w:hAnsi="Arial" w:cs="Arial"/>
          <w:color w:val="000000" w:themeColor="text1"/>
        </w:rPr>
        <w:t>“</w:t>
      </w:r>
      <w:r w:rsidRPr="00CC200E">
        <w:rPr>
          <w:rFonts w:ascii="Arial" w:eastAsia="Calibri" w:hAnsi="Arial" w:cs="Arial"/>
          <w:color w:val="000000" w:themeColor="text1"/>
        </w:rPr>
        <w:t>exclusivamente con el respectivo certificado del RUP en donde deberán constar dichas condiciones</w:t>
      </w:r>
      <w:r w:rsidR="00246528" w:rsidRPr="00CC200E">
        <w:rPr>
          <w:rFonts w:ascii="Arial" w:eastAsia="Calibri" w:hAnsi="Arial" w:cs="Arial"/>
          <w:color w:val="000000" w:themeColor="text1"/>
        </w:rPr>
        <w:t>”</w:t>
      </w:r>
      <w:r w:rsidRPr="00CC200E">
        <w:rPr>
          <w:rFonts w:ascii="Arial" w:eastAsia="Calibri" w:hAnsi="Arial" w:cs="Arial"/>
          <w:color w:val="000000" w:themeColor="text1"/>
        </w:rPr>
        <w:t xml:space="preserve">. </w:t>
      </w:r>
    </w:p>
    <w:p w14:paraId="77BF9EF7" w14:textId="2B19286B"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En consecuencia, la norma dispone que a las </w:t>
      </w:r>
      <w:r w:rsidR="00246528"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les está prohibido exigir otros documentos para efectuar la inscripción en el registro, salvo lo dispuesto en el inciso 3 del numeral 6.1.del artículo 6 de la Ley 1150 de 2007, en el que se prevé que la </w:t>
      </w:r>
      <w:r w:rsidR="00B821DD" w:rsidRPr="00CC200E">
        <w:rPr>
          <w:rFonts w:ascii="Arial" w:eastAsia="Calibri" w:hAnsi="Arial" w:cs="Arial"/>
          <w:color w:val="000000" w:themeColor="text1"/>
        </w:rPr>
        <w:t>E</w:t>
      </w:r>
      <w:r w:rsidRPr="00CC200E">
        <w:rPr>
          <w:rFonts w:ascii="Arial" w:eastAsia="Calibri" w:hAnsi="Arial" w:cs="Arial"/>
          <w:color w:val="000000" w:themeColor="text1"/>
        </w:rPr>
        <w:t xml:space="preserve">ntidad podrá verificar requisitos adicionales a los contenidos en el registro cuando se requiera en virtud de la naturaleza del objeto a contratar. La norma señala que solo en este último evento la </w:t>
      </w:r>
      <w:r w:rsidR="00B821DD" w:rsidRPr="00CC200E">
        <w:rPr>
          <w:rFonts w:ascii="Arial" w:eastAsia="Calibri" w:hAnsi="Arial" w:cs="Arial"/>
          <w:color w:val="000000" w:themeColor="text1"/>
        </w:rPr>
        <w:t>E</w:t>
      </w:r>
      <w:r w:rsidRPr="00CC200E">
        <w:rPr>
          <w:rFonts w:ascii="Arial" w:eastAsia="Calibri" w:hAnsi="Arial" w:cs="Arial"/>
          <w:color w:val="000000" w:themeColor="text1"/>
        </w:rPr>
        <w:t xml:space="preserve">ntidad podrá hacer la verificación en forma directa, es decir, cuando por el objeto del contrato se requieran verificar requisitos adicionales a los contenidos en el registro. </w:t>
      </w:r>
    </w:p>
    <w:p w14:paraId="0D4261FE" w14:textId="31622C46"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De lo anterior se concluye que la regla general es que la experiencia se acredite a través del RUP y, en consecuencia, la evaluación de la experiencia, como requisito habilitante, no puede ser evaluada nuevamente por la </w:t>
      </w:r>
      <w:r w:rsidR="009B3021" w:rsidRPr="00CC200E">
        <w:rPr>
          <w:rFonts w:ascii="Arial" w:eastAsia="Calibri" w:hAnsi="Arial" w:cs="Arial"/>
          <w:color w:val="000000" w:themeColor="text1"/>
        </w:rPr>
        <w:t>E</w:t>
      </w:r>
      <w:r w:rsidRPr="00CC200E">
        <w:rPr>
          <w:rFonts w:ascii="Arial" w:eastAsia="Calibri" w:hAnsi="Arial" w:cs="Arial"/>
          <w:color w:val="000000" w:themeColor="text1"/>
        </w:rPr>
        <w:t>ntidad pública a partir de otros criterios distintos a los contenidos en el RUP.</w:t>
      </w:r>
    </w:p>
    <w:p w14:paraId="46B61548" w14:textId="77777777" w:rsidR="00D14339" w:rsidRPr="00CC200E" w:rsidRDefault="00D14339" w:rsidP="00845C54">
      <w:pPr>
        <w:spacing w:after="0" w:line="276" w:lineRule="auto"/>
        <w:jc w:val="both"/>
        <w:rPr>
          <w:rFonts w:ascii="Arial" w:eastAsia="Calibri" w:hAnsi="Arial" w:cs="Arial"/>
          <w:b/>
          <w:color w:val="000000" w:themeColor="text1"/>
        </w:rPr>
      </w:pPr>
      <w:r w:rsidRPr="00CC200E">
        <w:rPr>
          <w:rFonts w:ascii="Arial" w:eastAsia="Calibri" w:hAnsi="Arial" w:cs="Arial"/>
          <w:b/>
          <w:color w:val="000000" w:themeColor="text1"/>
        </w:rPr>
        <w:t>2.3. Acreditación de la experiencia de socios, accionistas o constituyentes por parte de sociedades con menos de tres (3) años de constitución</w:t>
      </w:r>
    </w:p>
    <w:p w14:paraId="525B33FC" w14:textId="77777777" w:rsidR="00D14339" w:rsidRPr="00CC200E" w:rsidRDefault="00D14339" w:rsidP="00845C54">
      <w:pPr>
        <w:spacing w:after="0" w:line="276" w:lineRule="auto"/>
        <w:jc w:val="both"/>
        <w:rPr>
          <w:rFonts w:ascii="Arial" w:eastAsia="Calibri" w:hAnsi="Arial" w:cs="Arial"/>
          <w:b/>
          <w:color w:val="000000" w:themeColor="text1"/>
        </w:rPr>
      </w:pPr>
    </w:p>
    <w:p w14:paraId="0FE639AB" w14:textId="44FB0086" w:rsidR="00D14339" w:rsidRPr="00CC200E" w:rsidRDefault="00D14339" w:rsidP="00845C54">
      <w:pPr>
        <w:spacing w:line="276" w:lineRule="auto"/>
        <w:jc w:val="both"/>
        <w:rPr>
          <w:rFonts w:ascii="Arial" w:eastAsia="Calibri" w:hAnsi="Arial" w:cs="Arial"/>
          <w:color w:val="000000" w:themeColor="text1"/>
        </w:rPr>
      </w:pPr>
      <w:r w:rsidRPr="00CC200E">
        <w:rPr>
          <w:rFonts w:ascii="Arial" w:eastAsia="Calibri" w:hAnsi="Arial" w:cs="Arial"/>
          <w:color w:val="000000" w:themeColor="text1"/>
        </w:rPr>
        <w:t xml:space="preserve">El artículo 5 de la Ley 1150 de 2007 dispone que la capacidad jurídica y las condiciones de experiencia, capacidad financiera y de organización de los proponentes serán objeto de verificación por parte de las </w:t>
      </w:r>
      <w:r w:rsidR="00B70D7B" w:rsidRPr="00CC200E">
        <w:rPr>
          <w:rFonts w:ascii="Arial" w:eastAsia="Calibri" w:hAnsi="Arial" w:cs="Arial"/>
          <w:color w:val="000000" w:themeColor="text1"/>
        </w:rPr>
        <w:t>E</w:t>
      </w:r>
      <w:r w:rsidRPr="00CC200E">
        <w:rPr>
          <w:rFonts w:ascii="Arial" w:eastAsia="Calibri" w:hAnsi="Arial" w:cs="Arial"/>
          <w:color w:val="000000" w:themeColor="text1"/>
        </w:rPr>
        <w:t>ntidades como requisitos habilitantes para participar en los procesos de selección y no otorgarán puntaje. Lo anterior con excepción de la selección de consultores mediante un concurso de méritos, donde es posible otorgar puntaje al criterio de experiencia.</w:t>
      </w:r>
    </w:p>
    <w:p w14:paraId="0E3F16E9" w14:textId="746928EC"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lastRenderedPageBreak/>
        <w:t xml:space="preserve">Por su parte, conforme lo expuesto en el numeral anterior de este concepto, el artículo 6 de la Ley 1150 de 2007 señala que todas las personas naturales o jurídicas, nacionales o extranjeras, domiciliadas o con sucursal en Colombia, que aspiren celebrar contratos con las </w:t>
      </w:r>
      <w:r w:rsidR="00C5205E"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deberán estar inscritas en el RUP. En dicho registro constará la información relacionada con la experiencia, capacidad jurídica, financiera y de organización del proponente y su clasificación. Frente al requisito habilitante de experiencia, en el </w:t>
      </w:r>
      <w:r w:rsidR="001A2A33" w:rsidRPr="00CC200E">
        <w:rPr>
          <w:rFonts w:ascii="Arial" w:eastAsia="Calibri" w:hAnsi="Arial" w:cs="Arial"/>
          <w:color w:val="000000" w:themeColor="text1"/>
        </w:rPr>
        <w:t>“</w:t>
      </w:r>
      <w:r w:rsidRPr="00CC200E">
        <w:rPr>
          <w:rFonts w:ascii="Arial" w:eastAsia="Calibri" w:hAnsi="Arial" w:cs="Arial"/>
          <w:color w:val="000000" w:themeColor="text1"/>
        </w:rPr>
        <w:t>Manual para determinar y verificar requisitos habilitantes en los procesos de contratación</w:t>
      </w:r>
      <w:r w:rsidR="001A2A33" w:rsidRPr="00CC200E">
        <w:rPr>
          <w:rFonts w:ascii="Arial" w:eastAsia="Calibri" w:hAnsi="Arial" w:cs="Arial"/>
          <w:color w:val="000000" w:themeColor="text1"/>
        </w:rPr>
        <w:t>”</w:t>
      </w:r>
      <w:r w:rsidRPr="00CC200E">
        <w:rPr>
          <w:rFonts w:ascii="Arial" w:eastAsia="Calibri" w:hAnsi="Arial" w:cs="Arial"/>
          <w:color w:val="000000" w:themeColor="text1"/>
        </w:rPr>
        <w:t xml:space="preserve"> se define la experiencia como </w:t>
      </w:r>
      <w:r w:rsidR="00380CB2" w:rsidRPr="00CC200E">
        <w:rPr>
          <w:rFonts w:ascii="Arial" w:eastAsia="Calibri" w:hAnsi="Arial" w:cs="Arial"/>
          <w:color w:val="000000" w:themeColor="text1"/>
        </w:rPr>
        <w:t>“</w:t>
      </w:r>
      <w:r w:rsidRPr="00CC200E">
        <w:rPr>
          <w:rFonts w:ascii="Arial" w:eastAsia="Calibri" w:hAnsi="Arial" w:cs="Arial"/>
          <w:color w:val="000000" w:themeColor="text1"/>
        </w:rPr>
        <w:t>el conocimiento del proponente derivado de su participación previa en actividades iguales o similares a las previstas en el objeto del contrato</w:t>
      </w:r>
      <w:r w:rsidR="00380CB2" w:rsidRPr="00CC200E">
        <w:rPr>
          <w:rFonts w:ascii="Arial" w:eastAsia="Calibri" w:hAnsi="Arial" w:cs="Arial"/>
          <w:color w:val="000000" w:themeColor="text1"/>
        </w:rPr>
        <w:t>”</w:t>
      </w:r>
      <w:r w:rsidRPr="00CC200E">
        <w:rPr>
          <w:rFonts w:ascii="Arial" w:eastAsia="Calibri" w:hAnsi="Arial" w:cs="Arial"/>
          <w:color w:val="000000" w:themeColor="text1"/>
        </w:rPr>
        <w:t xml:space="preserve">. </w:t>
      </w:r>
    </w:p>
    <w:p w14:paraId="255EAE8E"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CC200E">
        <w:rPr>
          <w:rStyle w:val="Refdenotaalpie"/>
          <w:rFonts w:ascii="Arial" w:eastAsia="Calibri" w:hAnsi="Arial" w:cs="Arial"/>
          <w:color w:val="000000" w:themeColor="text1"/>
        </w:rPr>
        <w:footnoteReference w:id="14"/>
      </w:r>
      <w:r w:rsidRPr="00CC200E">
        <w:rPr>
          <w:rFonts w:ascii="Arial" w:eastAsia="Calibri" w:hAnsi="Arial" w:cs="Arial"/>
          <w:color w:val="000000" w:themeColor="text1"/>
        </w:rPr>
        <w:t>.</w:t>
      </w:r>
    </w:p>
    <w:p w14:paraId="3C5B431F" w14:textId="26886DEC"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De la misma forma, el numeral 2.5. ibidem señala que la persona jurídica se registrará aportando los certificados de la experiencia en la provisión de los bienes, obras y servicios que ofrecerá a las </w:t>
      </w:r>
      <w:r w:rsidR="00F75EF0"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w:t>
      </w:r>
      <w:r w:rsidR="00F75EF0" w:rsidRPr="00CC200E">
        <w:rPr>
          <w:rFonts w:ascii="Arial" w:eastAsia="Calibri" w:hAnsi="Arial" w:cs="Arial"/>
          <w:color w:val="000000" w:themeColor="text1"/>
        </w:rPr>
        <w:t>E</w:t>
      </w:r>
      <w:r w:rsidRPr="00CC200E">
        <w:rPr>
          <w:rFonts w:ascii="Arial" w:eastAsia="Calibri" w:hAnsi="Arial" w:cs="Arial"/>
          <w:color w:val="000000" w:themeColor="text1"/>
        </w:rPr>
        <w:t>statales, los cuales deben ser expedidos por terceros que hayan recibido tales bienes, obras o servicios y deben corresponder a contratos ejecutados o copias de los contratos cuando el interesado no puede obtener tal certificado</w:t>
      </w:r>
      <w:r w:rsidRPr="00CC200E">
        <w:rPr>
          <w:rStyle w:val="Refdenotaalpie"/>
          <w:rFonts w:ascii="Arial" w:eastAsia="Calibri" w:hAnsi="Arial" w:cs="Arial"/>
          <w:color w:val="000000" w:themeColor="text1"/>
        </w:rPr>
        <w:footnoteReference w:id="15"/>
      </w:r>
      <w:r w:rsidRPr="00CC200E">
        <w:rPr>
          <w:rFonts w:ascii="Arial" w:eastAsia="Calibri" w:hAnsi="Arial" w:cs="Arial"/>
          <w:color w:val="000000" w:themeColor="text1"/>
        </w:rPr>
        <w:t>.</w:t>
      </w:r>
    </w:p>
    <w:p w14:paraId="142AC552" w14:textId="63C57206"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El interesado debe indicar en cada certificado, o en cada copia de los contratos, los bienes, obras y servicios a los cuales corresponde la experiencia que pretende acreditar, </w:t>
      </w:r>
      <w:r w:rsidRPr="00CC200E">
        <w:rPr>
          <w:rFonts w:ascii="Arial" w:eastAsia="Calibri" w:hAnsi="Arial" w:cs="Arial"/>
          <w:color w:val="000000" w:themeColor="text1"/>
        </w:rPr>
        <w:lastRenderedPageBreak/>
        <w:t xml:space="preserve">identificándolos con el Clasificador de Bienes y Servicios, en el tercer nivel. La parte final de ese numeral 2.5. indica que </w:t>
      </w:r>
      <w:r w:rsidR="00F75EF0" w:rsidRPr="00CC200E">
        <w:rPr>
          <w:rFonts w:ascii="Arial" w:eastAsia="Calibri" w:hAnsi="Arial" w:cs="Arial"/>
          <w:color w:val="000000" w:themeColor="text1"/>
        </w:rPr>
        <w:t>“</w:t>
      </w:r>
      <w:r w:rsidRPr="00CC200E">
        <w:rPr>
          <w:rFonts w:ascii="Arial" w:eastAsia="Calibri" w:hAnsi="Arial" w:cs="Arial"/>
          <w:color w:val="000000" w:themeColor="text1"/>
        </w:rPr>
        <w:t>Si la constitución del interesado es menor a tres (3) años, puede acreditar la experiencia de sus accionistas, socios o constituyentes</w:t>
      </w:r>
      <w:r w:rsidR="00F75EF0" w:rsidRPr="00CC200E">
        <w:rPr>
          <w:rFonts w:ascii="Arial" w:eastAsia="Calibri" w:hAnsi="Arial" w:cs="Arial"/>
          <w:color w:val="000000" w:themeColor="text1"/>
        </w:rPr>
        <w:t>”</w:t>
      </w:r>
      <w:r w:rsidRPr="00CC200E">
        <w:rPr>
          <w:rFonts w:ascii="Arial" w:eastAsia="Calibri" w:hAnsi="Arial" w:cs="Arial"/>
          <w:color w:val="000000" w:themeColor="text1"/>
        </w:rPr>
        <w:t>.</w:t>
      </w:r>
    </w:p>
    <w:p w14:paraId="47E09216"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0D5131C8"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A pesar de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14:paraId="7EEF8CAF" w14:textId="6FD976B8"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w:t>
      </w:r>
      <w:r w:rsidR="00AD0C18"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w:t>
      </w:r>
      <w:r w:rsidR="00AD0C18" w:rsidRPr="00CC200E">
        <w:rPr>
          <w:rFonts w:ascii="Arial" w:eastAsia="Calibri" w:hAnsi="Arial" w:cs="Arial"/>
          <w:color w:val="000000" w:themeColor="text1"/>
        </w:rPr>
        <w:t>E</w:t>
      </w:r>
      <w:r w:rsidRPr="00CC200E">
        <w:rPr>
          <w:rFonts w:ascii="Arial" w:eastAsia="Calibri" w:hAnsi="Arial" w:cs="Arial"/>
          <w:color w:val="000000" w:themeColor="text1"/>
        </w:rPr>
        <w:t xml:space="preserve">statales en sus procesos de contratación, y de esta forma promover el desarrollo de la empresa y la pluralidad de oferentes en la contratación pública. </w:t>
      </w:r>
    </w:p>
    <w:p w14:paraId="46F51D45"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4470B81B" w14:textId="466DB5D0"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En el concepto identificado con radicado No. 4201814000001418 del 3 de abril de 2018, donde frente a la misma pregunta esta Subdirección respondió que después de cumplidos los tres (3) años contados desde la constitución de la sociedad, las </w:t>
      </w:r>
      <w:r w:rsidR="00FE57C5"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w:t>
      </w:r>
      <w:r w:rsidR="00FE57C5" w:rsidRPr="00CC200E">
        <w:rPr>
          <w:rFonts w:ascii="Arial" w:eastAsia="Calibri" w:hAnsi="Arial" w:cs="Arial"/>
          <w:color w:val="000000" w:themeColor="text1"/>
        </w:rPr>
        <w:t>E</w:t>
      </w:r>
      <w:r w:rsidRPr="00CC200E">
        <w:rPr>
          <w:rFonts w:ascii="Arial" w:eastAsia="Calibri" w:hAnsi="Arial" w:cs="Arial"/>
          <w:color w:val="000000" w:themeColor="text1"/>
        </w:rPr>
        <w:t xml:space="preserve">statales no deberían tener como válida la experiencia acreditada por los socios, accionistas o constituyentes. Como fundamento de esta posición, la Subdirección consideró lo siguiente: </w:t>
      </w:r>
    </w:p>
    <w:p w14:paraId="3353CE0F"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lastRenderedPageBreak/>
        <w:t xml:space="preserve">i) 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14:paraId="3114DEA8"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ii) El Decreto 1082 de 2015 establece que, para la inscripción en el RUP de una persona jurídica si su constitución es menor a tres (3) años, puede acreditar la experiencia de sus accionistas, socios o constituyentes. </w:t>
      </w:r>
    </w:p>
    <w:p w14:paraId="08AE9845"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w:t>
      </w:r>
    </w:p>
    <w:p w14:paraId="2D143C40"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iv)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14:paraId="7C582B07"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5D77AC32"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sidRPr="00CC200E">
        <w:rPr>
          <w:rStyle w:val="Refdenotaalpie"/>
          <w:rFonts w:ascii="Arial" w:eastAsia="Calibri" w:hAnsi="Arial" w:cs="Arial"/>
          <w:color w:val="000000" w:themeColor="text1"/>
        </w:rPr>
        <w:footnoteReference w:id="16"/>
      </w:r>
      <w:r w:rsidRPr="00CC200E">
        <w:rPr>
          <w:rFonts w:ascii="Arial" w:eastAsia="Calibri" w:hAnsi="Arial" w:cs="Arial"/>
          <w:color w:val="000000" w:themeColor="text1"/>
        </w:rPr>
        <w:t>,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w:t>
      </w:r>
    </w:p>
    <w:p w14:paraId="5315CF5B"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Se reitera que la finalidad del numeral 2.5 del artículo 2.2.1.1.1.5.2 del Decreto 1082 de 2015 es incentivar la libre competencia y la pluralidad de oferentes en la contratación </w:t>
      </w:r>
      <w:r w:rsidRPr="00CC200E">
        <w:rPr>
          <w:rFonts w:ascii="Arial" w:eastAsia="Calibri" w:hAnsi="Arial" w:cs="Arial"/>
          <w:color w:val="000000" w:themeColor="text1"/>
        </w:rPr>
        <w:lastRenderedPageBreak/>
        <w:t>estatal. Adicionalmente, el Decreto 1082 de 2015 establece que la persona inscrita en el RUP debe presentar la información para renovar su registro a más tardar el quinto día hábil del mes de abril de cada año, de lo contrario cesan sus efectos</w:t>
      </w:r>
      <w:r w:rsidRPr="00CC200E">
        <w:rPr>
          <w:rStyle w:val="Refdenotaalpie"/>
          <w:rFonts w:ascii="Arial" w:eastAsia="Calibri" w:hAnsi="Arial" w:cs="Arial"/>
          <w:color w:val="000000" w:themeColor="text1"/>
        </w:rPr>
        <w:footnoteReference w:id="17"/>
      </w:r>
      <w:r w:rsidRPr="00CC200E">
        <w:rPr>
          <w:rFonts w:ascii="Arial" w:eastAsia="Calibri" w:hAnsi="Arial" w:cs="Arial"/>
          <w:color w:val="000000" w:themeColor="text1"/>
        </w:rPr>
        <w:t>. En la actualidad, las cámaras de comercio solo pueden eliminar la experiencia registrada en el RUP a solicitud del proponente. Por tanto, les corresponde a las personas jurídicas mantener su RUP actualizado y a las entidades estatales verificar este registro para efectos de verificar y evaluar la experiencia.</w:t>
      </w:r>
    </w:p>
    <w:p w14:paraId="06C0C40F"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En otras palabras, 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Lo anterior, tiene fundamento en la Circular Única de la Superintendencia de Industria y Comercio, cuyo numeral 4.2, sobre el procedimiento para llevar el registro único de proponentes, dispone lo siguiente:</w:t>
      </w:r>
    </w:p>
    <w:p w14:paraId="2C2E1970" w14:textId="7B2F0492" w:rsidR="00D14339" w:rsidRPr="00CC200E" w:rsidRDefault="00691CFE" w:rsidP="00845C54">
      <w:pPr>
        <w:spacing w:after="0"/>
        <w:ind w:left="709" w:right="709"/>
        <w:jc w:val="both"/>
        <w:rPr>
          <w:rFonts w:ascii="Arial" w:eastAsia="Calibri" w:hAnsi="Arial" w:cs="Arial"/>
          <w:sz w:val="21"/>
          <w:szCs w:val="21"/>
        </w:rPr>
      </w:pPr>
      <w:r>
        <w:rPr>
          <w:rFonts w:ascii="Arial" w:eastAsia="Calibri" w:hAnsi="Arial" w:cs="Arial"/>
          <w:sz w:val="21"/>
          <w:szCs w:val="21"/>
        </w:rPr>
        <w:t>“</w:t>
      </w:r>
      <w:r w:rsidR="00D14339" w:rsidRPr="00CC200E">
        <w:rPr>
          <w:rFonts w:ascii="Arial" w:eastAsia="Calibri" w:hAnsi="Arial" w:cs="Arial"/>
          <w:sz w:val="21"/>
          <w:szCs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r>
        <w:rPr>
          <w:rFonts w:ascii="Arial" w:eastAsia="Calibri" w:hAnsi="Arial" w:cs="Arial"/>
          <w:sz w:val="21"/>
          <w:szCs w:val="21"/>
        </w:rPr>
        <w:t>”</w:t>
      </w:r>
      <w:r w:rsidR="00D14339" w:rsidRPr="00CC200E">
        <w:rPr>
          <w:rFonts w:ascii="Arial" w:eastAsia="Calibri" w:hAnsi="Arial" w:cs="Arial"/>
          <w:sz w:val="21"/>
          <w:szCs w:val="21"/>
        </w:rPr>
        <w:t>.</w:t>
      </w:r>
    </w:p>
    <w:p w14:paraId="2AEFC766" w14:textId="77777777" w:rsidR="00911FB5" w:rsidRPr="00CC200E" w:rsidRDefault="00911FB5" w:rsidP="00845C54">
      <w:pPr>
        <w:spacing w:after="0"/>
        <w:ind w:left="709" w:right="709"/>
        <w:jc w:val="both"/>
        <w:rPr>
          <w:rFonts w:ascii="Arial" w:eastAsia="Calibri" w:hAnsi="Arial" w:cs="Arial"/>
          <w:sz w:val="21"/>
          <w:szCs w:val="21"/>
        </w:rPr>
      </w:pPr>
    </w:p>
    <w:p w14:paraId="7F92BB0B" w14:textId="6B97261E"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Así las cosas, con el fin de incentivar la participación continúa y constante de los proponentes, las </w:t>
      </w:r>
      <w:r w:rsidR="00911FB5"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w:t>
      </w:r>
      <w:r w:rsidR="00911FB5" w:rsidRPr="00CC200E">
        <w:rPr>
          <w:rFonts w:ascii="Arial" w:eastAsia="Calibri" w:hAnsi="Arial" w:cs="Arial"/>
          <w:color w:val="000000" w:themeColor="text1"/>
        </w:rPr>
        <w:t>E</w:t>
      </w:r>
      <w:r w:rsidRPr="00CC200E">
        <w:rPr>
          <w:rFonts w:ascii="Arial" w:eastAsia="Calibri" w:hAnsi="Arial" w:cs="Arial"/>
          <w:color w:val="000000" w:themeColor="text1"/>
        </w:rPr>
        <w:t xml:space="preserve">statales, en sus procesos de contratación, aceptarán como válida la experiencia de los socios, accionistas o constituyentes incluso después de cumplidos los tres (3)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w:t>
      </w:r>
      <w:r w:rsidR="00797A43" w:rsidRPr="00CC200E">
        <w:rPr>
          <w:rFonts w:ascii="Arial" w:eastAsia="Calibri" w:hAnsi="Arial" w:cs="Arial"/>
          <w:color w:val="000000" w:themeColor="text1"/>
        </w:rPr>
        <w:lastRenderedPageBreak/>
        <w:t>E</w:t>
      </w:r>
      <w:r w:rsidRPr="00CC200E">
        <w:rPr>
          <w:rFonts w:ascii="Arial" w:eastAsia="Calibri" w:hAnsi="Arial" w:cs="Arial"/>
          <w:color w:val="000000" w:themeColor="text1"/>
        </w:rPr>
        <w:t xml:space="preserve">ntidad la debe tener en cuenta. De esta forma se garantiza la pluralidad de oferentes en los procesos de contratación. </w:t>
      </w:r>
    </w:p>
    <w:p w14:paraId="3B1EA1A3"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14:paraId="212BC1CF" w14:textId="3C2A1D3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Por tanto, en atención al principio general de interpretación según el cual donde el legislador no distingue no le es dado hacerlo al interprete, el hecho de que una sociedad con menos de tres (3) años de constitución haya hecho uso de la referida prerrogativa en determinado proceso de contratación o </w:t>
      </w:r>
      <w:r w:rsidR="00FE6D90" w:rsidRPr="00CC200E">
        <w:rPr>
          <w:rFonts w:ascii="Arial" w:eastAsia="Calibri" w:hAnsi="Arial" w:cs="Arial"/>
          <w:color w:val="000000" w:themeColor="text1"/>
        </w:rPr>
        <w:t>E</w:t>
      </w:r>
      <w:r w:rsidRPr="00CC200E">
        <w:rPr>
          <w:rFonts w:ascii="Arial" w:eastAsia="Calibri" w:hAnsi="Arial" w:cs="Arial"/>
          <w:color w:val="000000" w:themeColor="text1"/>
        </w:rPr>
        <w:t>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26B6E2A4" w14:textId="77777777" w:rsidR="00D14339" w:rsidRPr="00CC200E" w:rsidRDefault="00D14339" w:rsidP="00845C54">
      <w:pPr>
        <w:spacing w:line="276" w:lineRule="auto"/>
        <w:jc w:val="both"/>
        <w:rPr>
          <w:rFonts w:ascii="Arial" w:eastAsia="Calibri" w:hAnsi="Arial" w:cs="Arial"/>
          <w:b/>
          <w:bCs/>
          <w:lang w:val="es-ES_tradnl"/>
        </w:rPr>
      </w:pPr>
      <w:r w:rsidRPr="00CC200E">
        <w:rPr>
          <w:rFonts w:ascii="Arial" w:eastAsia="Calibri" w:hAnsi="Arial" w:cs="Arial"/>
          <w:b/>
          <w:bCs/>
          <w:lang w:val="es-ES_tradnl"/>
        </w:rPr>
        <w:t>2.4. Límites de la prerrogativa que contempla el numeral 2.5 del artículo 2.2.1.1.1.5.2 del Decreto 1082 de 2015</w:t>
      </w:r>
    </w:p>
    <w:p w14:paraId="51216925" w14:textId="77777777" w:rsidR="00D14339" w:rsidRPr="00CC200E" w:rsidRDefault="00D14339" w:rsidP="00845C54">
      <w:pPr>
        <w:spacing w:line="276" w:lineRule="auto"/>
        <w:jc w:val="both"/>
        <w:rPr>
          <w:rFonts w:ascii="Arial" w:eastAsia="Calibri" w:hAnsi="Arial" w:cs="Arial"/>
          <w:color w:val="000000" w:themeColor="text1"/>
        </w:rPr>
      </w:pPr>
      <w:r w:rsidRPr="00CC200E">
        <w:rPr>
          <w:rFonts w:ascii="Arial" w:eastAsia="Calibri" w:hAnsi="Arial" w:cs="Arial"/>
          <w:color w:val="000000" w:themeColor="text1"/>
        </w:rPr>
        <w:t xml:space="preserve">En relación con la consulta plateada acerca de si una persona jurídica puede seguir acreditando la experiencia de un socio o accionista que ya no hace parte de la sociedad, porque este se ha retirado o vendido su parte accionaria después de los tres (3) primeros años, debe darse respuesta con base en los mismos argumentos presentados en el numeral anterior del presente concepto: la experiencia podrá ser acreditada siempre que se haga válidamente de acuerdo con los requisitos establecidos en el ordenamiento. </w:t>
      </w:r>
    </w:p>
    <w:p w14:paraId="09CB99CB"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En ese orden de ideas, no debe perderse de vista que el Decreto 1082 de 2015 solo permite que una sociedad acredite la experiencia de quienes tienen la calidad de accionistas, socios o constituyentes durante los primeros tres (3) años de su constitución. Por tanto, como límite a la prerrogativa que contempla el numeral 2.5 del artículo 2.2.1.1.1.5.2 del Decreto 1082 de 2015, la cual puede ser entendida como una medida de fomento a la participación de las sociedades relativamente nuevas en la contratación estatal, se encuentra la situación en la cual alguno de los socios, accionistas o constituyente pierde estas calidades, como sucedería cuando uno de ellos se retira por venta o cesión de su participación y pierde su calidad de socio. </w:t>
      </w:r>
    </w:p>
    <w:p w14:paraId="62D7C30E" w14:textId="79921960"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Así las cosas, si alguno de los integrantes de la persona jurídica pierde la calidad de accionista, socio o constituyente la experiencia aportada por quien se retira no deberá ser tenida en cuenta por las </w:t>
      </w:r>
      <w:r w:rsidR="00CD21BF" w:rsidRPr="00CC200E">
        <w:rPr>
          <w:rFonts w:ascii="Arial" w:eastAsia="Calibri" w:hAnsi="Arial" w:cs="Arial"/>
          <w:color w:val="000000" w:themeColor="text1"/>
        </w:rPr>
        <w:t>E</w:t>
      </w:r>
      <w:r w:rsidRPr="00CC200E">
        <w:rPr>
          <w:rFonts w:ascii="Arial" w:eastAsia="Calibri" w:hAnsi="Arial" w:cs="Arial"/>
          <w:color w:val="000000" w:themeColor="text1"/>
        </w:rPr>
        <w:t xml:space="preserve">ntidades </w:t>
      </w:r>
      <w:r w:rsidR="00CD21BF" w:rsidRPr="00CC200E">
        <w:rPr>
          <w:rFonts w:ascii="Arial" w:eastAsia="Calibri" w:hAnsi="Arial" w:cs="Arial"/>
          <w:color w:val="000000" w:themeColor="text1"/>
        </w:rPr>
        <w:t>E</w:t>
      </w:r>
      <w:r w:rsidRPr="00CC200E">
        <w:rPr>
          <w:rFonts w:ascii="Arial" w:eastAsia="Calibri" w:hAnsi="Arial" w:cs="Arial"/>
          <w:color w:val="000000" w:themeColor="text1"/>
        </w:rPr>
        <w:t xml:space="preserve">statales, y no debería ser utilizada por el proponente en procesos de contratación, ya que es inherente a la persona que la ha obtenido. En </w:t>
      </w:r>
      <w:r w:rsidRPr="00CC200E">
        <w:rPr>
          <w:rFonts w:ascii="Arial" w:eastAsia="Calibri" w:hAnsi="Arial" w:cs="Arial"/>
          <w:color w:val="000000" w:themeColor="text1"/>
        </w:rPr>
        <w:lastRenderedPageBreak/>
        <w:t xml:space="preserve">consecuencia, el proponente debería actualizar la experiencia en el RUP y abstenerse de inscribir la adquirida por el socio que vendió o cedió sus acciones y se retira de la sociedad, actuando así de buena fe en el proceso de contratación. </w:t>
      </w:r>
    </w:p>
    <w:p w14:paraId="0A62E6C7" w14:textId="77777777" w:rsidR="00D14339" w:rsidRPr="00CC200E" w:rsidRDefault="00D14339"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Esta interpretación, además, se impone en atención a fin de evitar prácticas corruptas o que atenten contra la transparencia en la contratación estatal, por lo que la experiencia aportada por quien se retira en cualquier momento no debería ser utilizada por el proponente en los procesos de contratación. De igual forma, lo anterior se fundamenta como se explicó en líneas atrás, en el carácter personalísimo de la experiencia respecto de la persona que la ha adquirido y que solo en casos excepcionales y por disposición legal o reglamentaria se presume de otra forma. En ese sentido, si el socio se retira de la sociedad por venta o cesión de su participación accionaria, no puede vender o ceder su experiencia para que el adquirente o cesionario de la participación accionaria la aporte a la sociedad.</w:t>
      </w:r>
    </w:p>
    <w:p w14:paraId="41B383D3" w14:textId="541C15ED" w:rsidR="00025FB2" w:rsidRPr="00CC200E" w:rsidRDefault="00A27508" w:rsidP="00845C54">
      <w:pPr>
        <w:spacing w:line="276" w:lineRule="auto"/>
        <w:jc w:val="both"/>
        <w:rPr>
          <w:rFonts w:ascii="Arial" w:eastAsia="Calibri" w:hAnsi="Arial" w:cs="Arial"/>
          <w:b/>
          <w:bCs/>
          <w:color w:val="000000" w:themeColor="text1"/>
        </w:rPr>
      </w:pPr>
      <w:r w:rsidRPr="00CC200E">
        <w:rPr>
          <w:rFonts w:ascii="Arial" w:eastAsia="Calibri" w:hAnsi="Arial" w:cs="Arial"/>
          <w:b/>
          <w:bCs/>
          <w:color w:val="000000" w:themeColor="text1"/>
        </w:rPr>
        <w:t xml:space="preserve">2.5 </w:t>
      </w:r>
      <w:r w:rsidR="00233A47" w:rsidRPr="00CC200E">
        <w:rPr>
          <w:rFonts w:ascii="Arial" w:eastAsia="Calibri" w:hAnsi="Arial" w:cs="Arial"/>
          <w:b/>
          <w:bCs/>
        </w:rPr>
        <w:t>A</w:t>
      </w:r>
      <w:r w:rsidR="00233A47" w:rsidRPr="00CC200E">
        <w:rPr>
          <w:rFonts w:ascii="Arial" w:hAnsi="Arial" w:cs="Arial"/>
          <w:b/>
          <w:bCs/>
        </w:rPr>
        <w:t>nálisis frente al alcance de la regla de la subsanabilidad y la figura de la aclaración de ofertas frente a la Capacidad Residual</w:t>
      </w:r>
    </w:p>
    <w:p w14:paraId="54B8F3AE" w14:textId="6770CB08" w:rsidR="003408F0" w:rsidRPr="00CC200E" w:rsidRDefault="00691CFE" w:rsidP="00CB2BA7">
      <w:pPr>
        <w:spacing w:after="120" w:line="276" w:lineRule="auto"/>
        <w:jc w:val="both"/>
        <w:rPr>
          <w:rFonts w:ascii="Arial" w:hAnsi="Arial" w:cs="Arial"/>
          <w:lang w:val="es-ES_tradnl"/>
        </w:rPr>
      </w:pPr>
      <w:r>
        <w:rPr>
          <w:rFonts w:ascii="Arial" w:hAnsi="Arial" w:cs="Arial"/>
          <w:bCs/>
        </w:rPr>
        <w:t>E</w:t>
      </w:r>
      <w:r w:rsidR="001547E0" w:rsidRPr="00CC200E">
        <w:rPr>
          <w:rFonts w:ascii="Arial" w:hAnsi="Arial" w:cs="Arial"/>
          <w:bCs/>
        </w:rPr>
        <w:t>n el concepto CU — 060 de 16 de enero de 2020, se unificó el concepto de la Agencia Nacional de Contratación Pública – Colombia Compra Eficiente en torno al alcance de la regla de la subsanabilidad, contenida actualmente en el artículo 5 de la Ley 1150 de 2007.</w:t>
      </w:r>
      <w:r w:rsidR="003408F0" w:rsidRPr="00CC200E">
        <w:rPr>
          <w:rFonts w:ascii="Arial" w:hAnsi="Arial" w:cs="Arial"/>
          <w:lang w:val="es-ES_tradnl"/>
        </w:rPr>
        <w:t xml:space="preserve"> La referida postura indica que, por regla general, la falta de entrega y los defectos, en la acreditación de los requisitos habilitantes son aspectos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 no obstante, en la actualidad, bajo el numeral 15 del artículo 25 de la Ley 80 de 1993 ya no es posible rechazar las ofertas por falta de requisitos o documentos que no fueran “</w:t>
      </w:r>
      <w:r w:rsidR="003408F0" w:rsidRPr="00CC200E">
        <w:rPr>
          <w:rFonts w:ascii="Arial" w:hAnsi="Arial" w:cs="Arial"/>
          <w:i/>
          <w:iCs/>
          <w:lang w:val="es-ES_tradnl"/>
        </w:rPr>
        <w:t>necesarios para la comparación de propuestas”.</w:t>
      </w:r>
      <w:r w:rsidR="003408F0" w:rsidRPr="00CC200E">
        <w:rPr>
          <w:rFonts w:ascii="Arial" w:hAnsi="Arial" w:cs="Arial"/>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6693C11" w14:textId="77777777" w:rsidR="003408F0" w:rsidRPr="00CC200E" w:rsidRDefault="003408F0" w:rsidP="00845C54">
      <w:pPr>
        <w:spacing w:after="120" w:line="276" w:lineRule="auto"/>
        <w:jc w:val="both"/>
        <w:rPr>
          <w:rFonts w:ascii="Arial" w:hAnsi="Arial" w:cs="Arial"/>
          <w:lang w:val="es-ES_tradnl"/>
        </w:rPr>
      </w:pPr>
      <w:r w:rsidRPr="00CC200E">
        <w:rPr>
          <w:rFonts w:ascii="Arial" w:hAnsi="Arial" w:cs="Arial"/>
          <w:lang w:val="es-ES_tradnl"/>
        </w:rPr>
        <w:tab/>
        <w:t xml:space="preserve">Posteriormente, con la expedición de la Ley 1150 de 2007, que, en el parágrafo 1º del artículo 5, reiteró lo que dispuso la Ley 80 de 1993, en el sentido de que los requisitos o documentos que no sean necesarios para la comparación de las ofertas pueden </w:t>
      </w:r>
      <w:r w:rsidRPr="00CC200E">
        <w:rPr>
          <w:rFonts w:ascii="Arial" w:hAnsi="Arial" w:cs="Arial"/>
          <w:lang w:val="es-ES_tradnl"/>
        </w:rPr>
        <w:lastRenderedPageBreak/>
        <w:t xml:space="preserve">subsanarse, pero además introdujo otro criterio que le dio mayor claridad al tema: la asignación de puntaje. </w:t>
      </w:r>
    </w:p>
    <w:p w14:paraId="1E323A8F"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07FD4663" w14:textId="2A9BB4AC" w:rsidR="003408F0" w:rsidRPr="00CC200E" w:rsidRDefault="003408F0" w:rsidP="00845C54">
      <w:pPr>
        <w:tabs>
          <w:tab w:val="left" w:pos="284"/>
        </w:tabs>
        <w:spacing w:after="120" w:line="276" w:lineRule="auto"/>
        <w:ind w:firstLine="709"/>
        <w:jc w:val="both"/>
        <w:rPr>
          <w:rFonts w:ascii="Arial" w:hAnsi="Arial" w:cs="Arial"/>
          <w:lang w:val="es-ES_tradnl"/>
        </w:rPr>
      </w:pPr>
      <w:r w:rsidRPr="00CC200E">
        <w:rPr>
          <w:rFonts w:ascii="Arial" w:hAnsi="Arial" w:cs="Arial"/>
          <w:lang w:val="es-ES_tradnl"/>
        </w:rPr>
        <w:t xml:space="preserve">El artículo 5 de la Ley 1150 de 2007, además de consagrar un criterio más claro, y, de paso, reducir la discrecionalidad de la Administración, fijó un ámbito temporal para que las </w:t>
      </w:r>
      <w:r w:rsidR="000A023D" w:rsidRPr="00CC200E">
        <w:rPr>
          <w:rFonts w:ascii="Arial" w:hAnsi="Arial" w:cs="Arial"/>
          <w:lang w:val="es-ES_tradnl"/>
        </w:rPr>
        <w:t>E</w:t>
      </w:r>
      <w:r w:rsidRPr="00CC200E">
        <w:rPr>
          <w:rFonts w:ascii="Arial" w:hAnsi="Arial" w:cs="Arial"/>
          <w:lang w:val="es-ES_tradnl"/>
        </w:rPr>
        <w:t xml:space="preserve">ntidades requirieran la subsanación de las ofertas: “en cualquier momento, hasta la adjudicación”. Esa interpretación fue compartida por la </w:t>
      </w:r>
      <w:r w:rsidRPr="00CC200E">
        <w:rPr>
          <w:rFonts w:ascii="Arial" w:eastAsia="Times New Roman" w:hAnsi="Arial" w:cs="Arial"/>
          <w:lang w:val="es-ES_tradnl" w:eastAsia="es-CO"/>
        </w:rPr>
        <w:t>Agencia Nacional de Contratación Pública – Colombia Compra Eficiente</w:t>
      </w:r>
      <w:r w:rsidRPr="00CC200E">
        <w:rPr>
          <w:rFonts w:ascii="Arial" w:hAnsi="Arial" w:cs="Arial"/>
          <w:lang w:val="es-ES_tradnl"/>
        </w:rPr>
        <w:t>, pues en la Circular Externa Única se precisó que, si durante un Proceso de Contratación hay proponentes que no acreditaron en sus ofertas requisitos que no afectan la asignación de puntaje o la comparación de estas, la Entidad Estatal deberá indicarlo en el informe de evaluación y advertir que la correspondiente oferta puede ser subsanada.</w:t>
      </w:r>
    </w:p>
    <w:p w14:paraId="1A81ED8D" w14:textId="77777777" w:rsidR="003408F0" w:rsidRPr="00CC200E" w:rsidRDefault="003408F0" w:rsidP="00845C54">
      <w:pPr>
        <w:tabs>
          <w:tab w:val="left" w:pos="284"/>
        </w:tabs>
        <w:spacing w:line="276" w:lineRule="auto"/>
        <w:ind w:firstLine="709"/>
        <w:contextualSpacing/>
        <w:jc w:val="both"/>
        <w:rPr>
          <w:rFonts w:ascii="Arial" w:eastAsia="Times New Roman" w:hAnsi="Arial" w:cs="Arial"/>
          <w:lang w:val="es-ES_tradnl" w:eastAsia="es-CO"/>
        </w:rPr>
      </w:pPr>
      <w:r w:rsidRPr="00CC200E">
        <w:rPr>
          <w:rFonts w:ascii="Arial" w:eastAsia="Times New Roman" w:hAnsi="Arial" w:cs="Arial"/>
          <w:lang w:val="es-ES_tradnl" w:eastAsia="es-CO"/>
        </w:rPr>
        <w:t xml:space="preserve">Sin embargo, con la expedición de la Ley 1882 de 2018, con la finalidad de introducir cambios y ajustes para fortalecer la contratación pública, su artículo 5 modificó el parágrafo 1º del artículo 5 de la Ley 1150 de 2007 y, adicionó algunos otros, entre ellos el 4° del artículo 5 de la Ley 1150 de 2007: </w:t>
      </w:r>
    </w:p>
    <w:p w14:paraId="05830CCC" w14:textId="77777777" w:rsidR="003408F0" w:rsidRPr="00CC200E" w:rsidRDefault="003408F0" w:rsidP="00845C54">
      <w:pPr>
        <w:spacing w:line="276" w:lineRule="auto"/>
        <w:ind w:left="709" w:right="709"/>
        <w:contextualSpacing/>
        <w:jc w:val="both"/>
        <w:rPr>
          <w:rFonts w:ascii="Arial" w:eastAsia="Arial" w:hAnsi="Arial" w:cs="Arial"/>
        </w:rPr>
      </w:pPr>
    </w:p>
    <w:p w14:paraId="0F8EA808" w14:textId="77777777" w:rsidR="003408F0" w:rsidRPr="00CC200E" w:rsidRDefault="003408F0" w:rsidP="00845C54">
      <w:pPr>
        <w:ind w:left="709" w:right="709"/>
        <w:contextualSpacing/>
        <w:jc w:val="both"/>
        <w:rPr>
          <w:rFonts w:ascii="Arial" w:eastAsia="Times New Roman" w:hAnsi="Arial" w:cs="Arial"/>
          <w:sz w:val="21"/>
          <w:szCs w:val="21"/>
          <w:lang w:val="es-ES_tradnl" w:eastAsia="es-CO"/>
        </w:rPr>
      </w:pPr>
      <w:r w:rsidRPr="00CC200E">
        <w:rPr>
          <w:rFonts w:ascii="Arial" w:eastAsia="Arial" w:hAnsi="Arial" w:cs="Arial"/>
          <w:sz w:val="21"/>
          <w:szCs w:val="21"/>
        </w:rPr>
        <w:t>“</w:t>
      </w:r>
      <w:r w:rsidRPr="00CC200E">
        <w:rPr>
          <w:rFonts w:ascii="Arial" w:eastAsia="Times New Roman" w:hAnsi="Arial" w:cs="Arial"/>
          <w:sz w:val="21"/>
          <w:szCs w:val="21"/>
          <w:lang w:val="es-ES_tradnl" w:eastAsia="es-CO"/>
        </w:rPr>
        <w:t xml:space="preserve">Artículo 5°. De la selección objetiva. </w:t>
      </w:r>
    </w:p>
    <w:p w14:paraId="6ED0FE0A" w14:textId="77777777" w:rsidR="003408F0" w:rsidRPr="00CC200E" w:rsidRDefault="003408F0" w:rsidP="00845C54">
      <w:pPr>
        <w:ind w:left="709" w:right="709"/>
        <w:contextualSpacing/>
        <w:jc w:val="both"/>
        <w:rPr>
          <w:rFonts w:ascii="Arial" w:eastAsia="Times New Roman" w:hAnsi="Arial" w:cs="Arial"/>
          <w:sz w:val="21"/>
          <w:szCs w:val="21"/>
          <w:lang w:val="es-ES_tradnl" w:eastAsia="es-CO"/>
        </w:rPr>
      </w:pPr>
    </w:p>
    <w:p w14:paraId="62AEBC3E" w14:textId="77777777" w:rsidR="003408F0" w:rsidRPr="00CC200E" w:rsidRDefault="003408F0" w:rsidP="00845C54">
      <w:pPr>
        <w:ind w:left="709" w:right="709"/>
        <w:contextualSpacing/>
        <w:jc w:val="both"/>
        <w:rPr>
          <w:rFonts w:ascii="Arial" w:eastAsia="Times New Roman" w:hAnsi="Arial" w:cs="Arial"/>
          <w:sz w:val="21"/>
          <w:szCs w:val="21"/>
          <w:lang w:val="es-ES_tradnl" w:eastAsia="es-CO"/>
        </w:rPr>
      </w:pPr>
      <w:r w:rsidRPr="00CC200E">
        <w:rPr>
          <w:rFonts w:ascii="Arial" w:eastAsia="Times New Roman" w:hAnsi="Arial" w:cs="Arial"/>
          <w:sz w:val="21"/>
          <w:szCs w:val="21"/>
          <w:lang w:val="es-ES_tradnl" w:eastAsia="es-CO"/>
        </w:rPr>
        <w:t>[... ]</w:t>
      </w:r>
    </w:p>
    <w:p w14:paraId="6478850A" w14:textId="77777777" w:rsidR="003408F0" w:rsidRPr="00CC200E" w:rsidRDefault="003408F0" w:rsidP="00845C54">
      <w:pPr>
        <w:ind w:left="709" w:right="709"/>
        <w:contextualSpacing/>
        <w:jc w:val="both"/>
        <w:rPr>
          <w:rFonts w:ascii="Arial" w:eastAsia="Times New Roman" w:hAnsi="Arial" w:cs="Arial"/>
          <w:sz w:val="21"/>
          <w:szCs w:val="21"/>
          <w:lang w:val="es-ES_tradnl" w:eastAsia="es-CO"/>
        </w:rPr>
      </w:pPr>
    </w:p>
    <w:p w14:paraId="7E94CDC2" w14:textId="77777777" w:rsidR="003408F0" w:rsidRPr="00CC200E" w:rsidRDefault="003408F0" w:rsidP="00845C54">
      <w:pPr>
        <w:ind w:left="709" w:right="709"/>
        <w:contextualSpacing/>
        <w:jc w:val="both"/>
        <w:rPr>
          <w:rFonts w:ascii="Arial" w:eastAsia="Times New Roman" w:hAnsi="Arial" w:cs="Arial"/>
          <w:sz w:val="21"/>
          <w:szCs w:val="21"/>
          <w:lang w:val="es-ES_tradnl" w:eastAsia="es-CO"/>
        </w:rPr>
      </w:pPr>
      <w:r w:rsidRPr="00CC200E">
        <w:rPr>
          <w:rFonts w:ascii="Arial" w:eastAsia="Times New Roman" w:hAnsi="Arial" w:cs="Arial"/>
          <w:sz w:val="21"/>
          <w:szCs w:val="21"/>
          <w:lang w:val="es-ES_tradnl" w:eastAsia="es-CO"/>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w:t>
      </w:r>
      <w:r w:rsidRPr="00CC200E">
        <w:rPr>
          <w:rFonts w:ascii="Arial" w:eastAsia="Times New Roman" w:hAnsi="Arial" w:cs="Arial"/>
          <w:sz w:val="21"/>
          <w:szCs w:val="21"/>
          <w:lang w:val="es-ES_tradnl" w:eastAsia="es-CO"/>
        </w:rPr>
        <w:lastRenderedPageBreak/>
        <w:t xml:space="preserve">proponentes no podrán acreditar circunstancias ocurridas con posterioridad al cierre del proceso.” </w:t>
      </w:r>
    </w:p>
    <w:p w14:paraId="2DA698B8" w14:textId="77777777" w:rsidR="003408F0" w:rsidRPr="00CC200E" w:rsidRDefault="003408F0" w:rsidP="00845C54">
      <w:pPr>
        <w:spacing w:line="276" w:lineRule="auto"/>
        <w:ind w:left="709" w:right="709"/>
        <w:contextualSpacing/>
        <w:jc w:val="both"/>
        <w:rPr>
          <w:rFonts w:ascii="Arial" w:eastAsia="Times New Roman" w:hAnsi="Arial" w:cs="Arial"/>
          <w:lang w:val="es-ES_tradnl" w:eastAsia="es-CO"/>
        </w:rPr>
      </w:pPr>
    </w:p>
    <w:p w14:paraId="6B3D8D74"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33688757" w14:textId="2053D1C9" w:rsidR="003408F0" w:rsidRPr="00CC200E" w:rsidRDefault="003408F0" w:rsidP="00845C54">
      <w:pPr>
        <w:spacing w:after="120" w:line="276" w:lineRule="auto"/>
        <w:ind w:right="51" w:firstLine="709"/>
        <w:jc w:val="both"/>
        <w:rPr>
          <w:rFonts w:ascii="Arial" w:hAnsi="Arial" w:cs="Arial"/>
          <w:lang w:val="es-ES_tradnl"/>
        </w:rPr>
      </w:pPr>
      <w:r w:rsidRPr="00CC200E">
        <w:rPr>
          <w:rFonts w:ascii="Arial" w:hAnsi="Arial" w:cs="Arial"/>
          <w:i/>
          <w:iCs/>
          <w:lang w:val="es-ES_tradnl"/>
        </w:rPr>
        <w:t>El primero</w:t>
      </w:r>
      <w:r w:rsidRPr="00CC200E">
        <w:rPr>
          <w:rFonts w:ascii="Arial" w:hAnsi="Arial" w:cs="Arial"/>
          <w:lang w:val="es-ES_tradnl"/>
        </w:rPr>
        <w:t xml:space="preserve"> es el ámbito temporal para ejercer la facultad de subsanar la oferta, pues la Ley 1882 de 2018 fijó una regla general y una excepción. La regla general es que el límite para que la </w:t>
      </w:r>
      <w:r w:rsidR="003D3FBB" w:rsidRPr="00CC200E">
        <w:rPr>
          <w:rFonts w:ascii="Arial" w:hAnsi="Arial" w:cs="Arial"/>
          <w:lang w:val="es-ES_tradnl"/>
        </w:rPr>
        <w:t>E</w:t>
      </w:r>
      <w:r w:rsidRPr="00CC200E">
        <w:rPr>
          <w:rFonts w:ascii="Arial" w:hAnsi="Arial" w:cs="Arial"/>
          <w:lang w:val="es-ES_tradnl"/>
        </w:rPr>
        <w:t>ntidad solicite y para que el proponente corrija lo que haga falta es hasta el término de traslado del informe de evaluación que corresponda a cada modalidad de selección. La excepción es que el límite anterior no aplica para los procesos de mínima cuantía</w:t>
      </w:r>
      <w:r w:rsidRPr="00CC200E">
        <w:rPr>
          <w:rStyle w:val="Refdenotaalpie"/>
          <w:rFonts w:ascii="Arial" w:hAnsi="Arial" w:cs="Arial"/>
          <w:lang w:val="es-ES_tradnl"/>
        </w:rPr>
        <w:footnoteReference w:id="18"/>
      </w:r>
      <w:r w:rsidRPr="00CC200E">
        <w:rPr>
          <w:rFonts w:ascii="Arial" w:hAnsi="Arial" w:cs="Arial"/>
          <w:lang w:val="es-ES_tradnl"/>
        </w:rPr>
        <w:t xml:space="preserve"> y para el proceso de selección a través del sistema de subasta</w:t>
      </w:r>
      <w:r w:rsidRPr="00CC200E">
        <w:rPr>
          <w:rFonts w:ascii="Arial" w:hAnsi="Arial" w:cs="Arial"/>
          <w:vertAlign w:val="superscript"/>
          <w:lang w:val="es-ES_tradnl"/>
        </w:rPr>
        <w:footnoteReference w:id="19"/>
      </w:r>
      <w:r w:rsidRPr="00CC200E">
        <w:rPr>
          <w:rFonts w:ascii="Arial" w:hAnsi="Arial" w:cs="Arial"/>
          <w:lang w:val="es-ES_tradnl"/>
        </w:rPr>
        <w:t>;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00CC200E">
        <w:rPr>
          <w:rFonts w:ascii="Arial" w:hAnsi="Arial" w:cs="Arial"/>
          <w:vertAlign w:val="superscript"/>
          <w:lang w:val="es-ES_tradnl"/>
        </w:rPr>
        <w:footnoteReference w:id="20"/>
      </w:r>
      <w:r w:rsidRPr="00CC200E">
        <w:rPr>
          <w:rFonts w:ascii="Arial" w:hAnsi="Arial" w:cs="Arial"/>
          <w:lang w:val="es-ES_tradnl"/>
        </w:rPr>
        <w:t xml:space="preserve">. </w:t>
      </w:r>
    </w:p>
    <w:p w14:paraId="4C1CD32C"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lastRenderedPageBreak/>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CC200E">
        <w:rPr>
          <w:rFonts w:ascii="Arial" w:hAnsi="Arial" w:cs="Arial"/>
          <w:i/>
          <w:iCs/>
          <w:lang w:val="es-ES_tradnl"/>
        </w:rPr>
        <w:t>deberán ser solicitados por las entidades estatales y deberán ser entregados por los proponentes hasta el término de traslado del informe de evaluación que corresponda a cada modalidad de selección”.</w:t>
      </w:r>
      <w:r w:rsidRPr="00CC200E">
        <w:rPr>
          <w:rFonts w:ascii="Arial" w:hAnsi="Arial" w:cs="Arial"/>
          <w:lang w:val="es-ES_tradnl"/>
        </w:rPr>
        <w:t xml:space="preserve"> </w:t>
      </w:r>
    </w:p>
    <w:p w14:paraId="08DE0C2A"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CC200E">
        <w:rPr>
          <w:rFonts w:ascii="Arial" w:hAnsi="Arial" w:cs="Arial"/>
          <w:i/>
          <w:iCs/>
          <w:lang w:val="es-ES_tradnl"/>
        </w:rPr>
        <w:t>límite</w:t>
      </w:r>
      <w:r w:rsidRPr="00CC200E">
        <w:rPr>
          <w:rFonts w:ascii="Arial" w:hAnsi="Arial" w:cs="Arial"/>
          <w:lang w:val="es-ES_tradnl"/>
        </w:rPr>
        <w:t xml:space="preserve"> para la subsanación de ofertas, pero no el único momento para hacerlo. </w:t>
      </w:r>
    </w:p>
    <w:p w14:paraId="49855E2E"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1C7AEA06"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p>
    <w:p w14:paraId="32709D74"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 xml:space="preserve">El segundo cambio importante de la Ley 1882 de 2018 fue la introducción de un criterio material, directamente relacionado con los aspectos subsanables: </w:t>
      </w:r>
      <w:r w:rsidRPr="00CC200E">
        <w:rPr>
          <w:rFonts w:ascii="Arial" w:hAnsi="Arial" w:cs="Arial"/>
          <w:i/>
          <w:iCs/>
          <w:lang w:val="es-ES_tradnl"/>
        </w:rPr>
        <w:t>“los proponentes no podrán acreditar circunstancias ocurridas con posterioridad al cierre del proceso”.</w:t>
      </w:r>
      <w:r w:rsidRPr="00CC200E">
        <w:rPr>
          <w:rFonts w:ascii="Arial" w:hAnsi="Arial" w:cs="Arial"/>
          <w:lang w:val="es-ES_tradnl"/>
        </w:rPr>
        <w:t xml:space="preserve"> Lo anterior ofrece dos aspectos que merecen clarificación; primero, qué debe entenderse por circunstancias ocurridas con posterioridad; y segundo, qué es el cierre del proceso. </w:t>
      </w:r>
    </w:p>
    <w:p w14:paraId="25554A9A"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41BB928"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 xml:space="preserve">Un mejor entendimiento del significado de la expresión </w:t>
      </w:r>
      <w:r w:rsidRPr="00CC200E">
        <w:rPr>
          <w:rFonts w:ascii="Arial" w:hAnsi="Arial" w:cs="Arial"/>
          <w:i/>
          <w:iCs/>
          <w:lang w:val="es-ES_tradnl"/>
        </w:rPr>
        <w:t>“circunstancias ocurridas con posterioridad al cierre del proceso”</w:t>
      </w:r>
      <w:r w:rsidRPr="00CC200E">
        <w:rPr>
          <w:rFonts w:ascii="Arial" w:hAnsi="Arial" w:cs="Arial"/>
          <w:lang w:val="es-ES_tradnl"/>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CC200E">
        <w:rPr>
          <w:rFonts w:ascii="Arial" w:hAnsi="Arial" w:cs="Arial"/>
          <w:vertAlign w:val="superscript"/>
          <w:lang w:val="es-ES_tradnl"/>
        </w:rPr>
        <w:footnoteReference w:id="21"/>
      </w:r>
      <w:r w:rsidRPr="00CC200E">
        <w:rPr>
          <w:rFonts w:ascii="Arial" w:hAnsi="Arial" w:cs="Arial"/>
          <w:lang w:val="es-ES_tradnl"/>
        </w:rPr>
        <w:t xml:space="preserve">. </w:t>
      </w:r>
    </w:p>
    <w:p w14:paraId="469B0ABF"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C200E">
        <w:rPr>
          <w:rFonts w:ascii="Arial" w:hAnsi="Arial" w:cs="Arial"/>
          <w:vertAlign w:val="superscript"/>
          <w:lang w:val="es-ES_tradnl"/>
        </w:rPr>
        <w:footnoteReference w:id="22"/>
      </w:r>
      <w:r w:rsidRPr="00CC200E">
        <w:rPr>
          <w:rFonts w:ascii="Arial" w:hAnsi="Arial" w:cs="Arial"/>
          <w:lang w:val="es-ES_tradnl"/>
        </w:rPr>
        <w:t xml:space="preserve">; iii) si un oferente no anexó el Certificado de existencia y representación legal, el documento aportado con posterioridad debe dar cuenta </w:t>
      </w:r>
      <w:r w:rsidRPr="00CC200E">
        <w:rPr>
          <w:rFonts w:ascii="Arial" w:hAnsi="Arial" w:cs="Arial"/>
          <w:lang w:val="es-ES_tradnl"/>
        </w:rPr>
        <w:lastRenderedPageBreak/>
        <w:t>de que la sociedad existía antes del cierre del proceso</w:t>
      </w:r>
      <w:r w:rsidRPr="00CC200E">
        <w:rPr>
          <w:rFonts w:ascii="Arial" w:hAnsi="Arial" w:cs="Arial"/>
          <w:vertAlign w:val="superscript"/>
          <w:lang w:val="es-ES_tradnl"/>
        </w:rPr>
        <w:footnoteReference w:id="23"/>
      </w:r>
      <w:r w:rsidRPr="00CC200E">
        <w:rPr>
          <w:rFonts w:ascii="Arial" w:hAnsi="Arial" w:cs="Arial"/>
          <w:lang w:val="es-ES_tradnl"/>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44F82BB6" w14:textId="77777777" w:rsidR="003408F0" w:rsidRPr="00CC200E" w:rsidRDefault="003408F0" w:rsidP="00845C54">
      <w:pPr>
        <w:spacing w:after="120" w:line="276" w:lineRule="auto"/>
        <w:ind w:firstLine="709"/>
        <w:jc w:val="both"/>
        <w:rPr>
          <w:rFonts w:ascii="Arial" w:hAnsi="Arial" w:cs="Arial"/>
          <w:i/>
          <w:iCs/>
          <w:lang w:val="es-ES_tradnl"/>
        </w:rPr>
      </w:pPr>
      <w:r w:rsidRPr="00CC200E">
        <w:rPr>
          <w:rFonts w:ascii="Arial" w:hAnsi="Arial" w:cs="Arial"/>
          <w:lang w:val="es-ES_tradnl"/>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w:t>
      </w:r>
      <w:r w:rsidRPr="00CC200E">
        <w:rPr>
          <w:rFonts w:ascii="Arial" w:hAnsi="Arial" w:cs="Arial"/>
          <w:i/>
          <w:iCs/>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C200E">
        <w:rPr>
          <w:rFonts w:ascii="Arial" w:hAnsi="Arial" w:cs="Arial"/>
          <w:i/>
          <w:iCs/>
          <w:vertAlign w:val="superscript"/>
          <w:lang w:val="es-ES_tradnl"/>
        </w:rPr>
        <w:footnoteReference w:id="24"/>
      </w:r>
      <w:r w:rsidRPr="00CC200E">
        <w:rPr>
          <w:rFonts w:ascii="Arial" w:hAnsi="Arial" w:cs="Arial"/>
          <w:i/>
          <w:iCs/>
          <w:lang w:val="es-ES_tradnl"/>
        </w:rPr>
        <w:t xml:space="preserve">. </w:t>
      </w:r>
    </w:p>
    <w:p w14:paraId="7FB1B549" w14:textId="77777777" w:rsidR="003408F0" w:rsidRPr="00CC200E" w:rsidRDefault="003408F0" w:rsidP="00845C54">
      <w:pPr>
        <w:spacing w:after="120" w:line="276" w:lineRule="auto"/>
        <w:ind w:firstLine="709"/>
        <w:jc w:val="both"/>
        <w:rPr>
          <w:rFonts w:ascii="Arial" w:hAnsi="Arial" w:cs="Arial"/>
          <w:lang w:val="es-ES_tradnl"/>
        </w:rPr>
      </w:pPr>
      <w:r w:rsidRPr="00CC200E">
        <w:rPr>
          <w:rFonts w:ascii="Arial" w:hAnsi="Arial" w:cs="Arial"/>
          <w:lang w:val="es-ES_tradnl"/>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en segundo lugar, si el cumplimiento del requisito constituye una circunstancia ocurrida con anterioridad o con posterioridad al cierre del proceso, y, en tercer lugar, si existe prohibición legal o en el pliego de condiciones para su subsanación. Para arribar a la conclusión de que lo omitido puede subsanarse, la respuesta al primer interrogante debe ser negativa, es decir, que lo omitido no sea un factor que afecte la asignación de puntaje, la respuesta al segundo interrogante debe dar cuenta de que lo omitido sea la prueba de una circunstancia o hecho que ocurrió con anterioridad al cierre del proceso y la respuesta a lo tercero debe ser que no existe disposición legal o en el pliego de condiciones que prohíba su subsanación. </w:t>
      </w:r>
    </w:p>
    <w:p w14:paraId="5F84BF5B" w14:textId="0B5FAF34" w:rsidR="003408F0" w:rsidRPr="00CC200E" w:rsidRDefault="003408F0" w:rsidP="00845C54">
      <w:pPr>
        <w:spacing w:after="120" w:line="276" w:lineRule="auto"/>
        <w:ind w:firstLine="709"/>
        <w:jc w:val="both"/>
        <w:rPr>
          <w:rFonts w:ascii="Arial" w:hAnsi="Arial" w:cs="Arial"/>
          <w:bCs/>
        </w:rPr>
      </w:pPr>
      <w:r w:rsidRPr="00CC200E">
        <w:rPr>
          <w:rFonts w:ascii="Arial" w:hAnsi="Arial" w:cs="Arial"/>
          <w:bCs/>
        </w:rPr>
        <w:t xml:space="preserve">Ahora bien, la Agencia debe diferenciar entre la regla sobre subsanación de ofertas en los procedimientos de selección, que acaba de explicarse, por un lado, y por el otro lo </w:t>
      </w:r>
      <w:r w:rsidRPr="00CC200E">
        <w:rPr>
          <w:rFonts w:ascii="Arial" w:hAnsi="Arial" w:cs="Arial"/>
          <w:bCs/>
        </w:rPr>
        <w:lastRenderedPageBreak/>
        <w:t xml:space="preserve">referido a la </w:t>
      </w:r>
      <w:r w:rsidRPr="00CC200E">
        <w:rPr>
          <w:rFonts w:ascii="Arial" w:hAnsi="Arial" w:cs="Arial"/>
          <w:bCs/>
          <w:i/>
          <w:iCs/>
        </w:rPr>
        <w:t>aclaración de las ofertas</w:t>
      </w:r>
      <w:r w:rsidRPr="00CC200E">
        <w:rPr>
          <w:rFonts w:ascii="Arial" w:hAnsi="Arial" w:cs="Arial"/>
          <w:bCs/>
        </w:rPr>
        <w:t xml:space="preserve">, cuestiones que resultan ser distintas, sin perjuicio de que ambas puedan ser considerados como elementos propios del principio de selección objetiva. Así, en aras de que la </w:t>
      </w:r>
      <w:r w:rsidR="00355DAA" w:rsidRPr="00CC200E">
        <w:rPr>
          <w:rFonts w:ascii="Arial" w:hAnsi="Arial" w:cs="Arial"/>
          <w:bCs/>
        </w:rPr>
        <w:t>E</w:t>
      </w:r>
      <w:r w:rsidRPr="00CC200E">
        <w:rPr>
          <w:rFonts w:ascii="Arial" w:hAnsi="Arial" w:cs="Arial"/>
          <w:bCs/>
        </w:rPr>
        <w:t>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w:t>
      </w:r>
      <w:r w:rsidRPr="00CC200E">
        <w:rPr>
          <w:rFonts w:ascii="Arial" w:hAnsi="Arial" w:cs="Arial"/>
          <w:bCs/>
          <w:i/>
          <w:iCs/>
        </w:rPr>
        <w:t>plazo razonable dentro del cual la entidad deberá elaborar los estudios técnicos, económicos y jurídicos necesarios para la evaluación de las propuestas y para solicitar a los proponentes las aclaraciones y explicaciones que se estimen indispensables”.</w:t>
      </w:r>
      <w:r w:rsidRPr="00CC200E">
        <w:rPr>
          <w:rFonts w:ascii="Arial" w:hAnsi="Arial" w:cs="Arial"/>
          <w:bCs/>
        </w:rPr>
        <w:t xml:space="preserve"> </w:t>
      </w:r>
    </w:p>
    <w:p w14:paraId="02AE006C" w14:textId="77777777" w:rsidR="003408F0" w:rsidRPr="00CC200E" w:rsidRDefault="003408F0" w:rsidP="00845C54">
      <w:pPr>
        <w:spacing w:after="120" w:line="276" w:lineRule="auto"/>
        <w:ind w:firstLine="709"/>
        <w:jc w:val="both"/>
        <w:rPr>
          <w:rFonts w:ascii="Arial" w:hAnsi="Arial" w:cs="Arial"/>
          <w:bCs/>
        </w:rPr>
      </w:pPr>
      <w:r w:rsidRPr="00CC200E">
        <w:rPr>
          <w:rFonts w:ascii="Arial" w:hAnsi="Arial" w:cs="Arial"/>
          <w:bCs/>
        </w:rPr>
        <w:t xml:space="preserve">La misma facultad en cabeza de la Administración se establece, entre otras, en el artículo 2.2.1.1.2.2.4. del Decreto 1082 de 2015, referido a las explicaciones que la Entidad Estatal deberá pedir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6852D419" w14:textId="77777777" w:rsidR="003408F0" w:rsidRPr="00CC200E" w:rsidRDefault="003408F0" w:rsidP="00845C54">
      <w:pPr>
        <w:spacing w:after="120" w:line="276" w:lineRule="auto"/>
        <w:ind w:firstLine="709"/>
        <w:jc w:val="both"/>
        <w:rPr>
          <w:rFonts w:ascii="Arial" w:hAnsi="Arial" w:cs="Arial"/>
          <w:bCs/>
        </w:rPr>
      </w:pPr>
      <w:r w:rsidRPr="00CC200E">
        <w:rPr>
          <w:rFonts w:ascii="Arial" w:hAnsi="Arial" w:cs="Arial"/>
          <w:bCs/>
        </w:rPr>
        <w:t>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expresado por el Consejo de Estado.</w:t>
      </w:r>
    </w:p>
    <w:p w14:paraId="4C9FAB02" w14:textId="77777777" w:rsidR="003408F0" w:rsidRPr="00CC200E" w:rsidRDefault="003408F0" w:rsidP="00845C54">
      <w:pPr>
        <w:spacing w:after="120" w:line="276" w:lineRule="auto"/>
        <w:ind w:firstLine="709"/>
        <w:jc w:val="both"/>
        <w:rPr>
          <w:rFonts w:ascii="Arial" w:hAnsi="Arial" w:cs="Arial"/>
          <w:bCs/>
        </w:rPr>
      </w:pPr>
      <w:r w:rsidRPr="00CC200E">
        <w:rPr>
          <w:rFonts w:ascii="Arial" w:hAnsi="Arial" w:cs="Arial"/>
          <w:bCs/>
        </w:rPr>
        <w:t xml:space="preserve">Ahora bien, lo anterior no impide que se puedan hacer aclaraciones a las propuestas bien porque la Entidad Estatal las solicite en la etapa de evaluación de las mismas, o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 Por eso, como es posible que por vía aclaratoria los proponentes intenten modificar o mejorar sus ofertas, hay que distinguir entre las simples aclaraciones </w:t>
      </w:r>
      <w:r w:rsidRPr="00CC200E">
        <w:rPr>
          <w:rFonts w:ascii="Arial" w:hAnsi="Arial" w:cs="Arial"/>
          <w:bCs/>
        </w:rPr>
        <w:lastRenderedPageBreak/>
        <w:t>de las propuestas y las modificaciones a estas; las primeras son los medios para que se pueda hacer perceptible, manifiesto, explícito o inteligible algún aspecto confuso de la propuesta, sin implicar una complementación, adición, modificación o mejora de dicho aspecto, que es, precisamente, en lo que consisten las segundas.</w:t>
      </w:r>
    </w:p>
    <w:p w14:paraId="24705A19" w14:textId="7C8B762F" w:rsidR="003408F0" w:rsidRPr="00CC200E" w:rsidRDefault="003408F0" w:rsidP="00845C54">
      <w:pPr>
        <w:spacing w:before="120" w:line="276" w:lineRule="auto"/>
        <w:ind w:firstLine="709"/>
        <w:jc w:val="both"/>
        <w:rPr>
          <w:rFonts w:ascii="Arial" w:hAnsi="Arial" w:cs="Arial"/>
          <w:bCs/>
        </w:rPr>
      </w:pPr>
      <w:bookmarkStart w:id="5" w:name="_Hlk121294835"/>
      <w:r w:rsidRPr="00CC200E">
        <w:rPr>
          <w:rFonts w:ascii="Arial" w:hAnsi="Arial" w:cs="Arial"/>
          <w:bCs/>
        </w:rPr>
        <w:t xml:space="preserve">La solicitud de aclaraciones permite que las </w:t>
      </w:r>
      <w:r w:rsidR="008810C6" w:rsidRPr="00CC200E">
        <w:rPr>
          <w:rFonts w:ascii="Arial" w:hAnsi="Arial" w:cs="Arial"/>
          <w:bCs/>
        </w:rPr>
        <w:t>E</w:t>
      </w:r>
      <w:r w:rsidRPr="00CC200E">
        <w:rPr>
          <w:rFonts w:ascii="Arial" w:hAnsi="Arial" w:cs="Arial"/>
          <w:bCs/>
        </w:rPr>
        <w:t xml:space="preserve">ntidades requieran a los proponentes esclarecer aspectos de sus propuestas que, en principio, resultan confusos para efectos de la evaluación, diferenciándose de la subsanabilidad, pues no parte del supuesto de la ausencia de requisitos de la oferta sino de la existencia de dudas en la misma, cuya explicación se requiere para la evaluar la propuesta. Esta diferencia es importante, pues </w:t>
      </w:r>
      <w:r w:rsidRPr="00CC200E">
        <w:rPr>
          <w:rFonts w:ascii="Arial" w:hAnsi="Arial" w:cs="Arial"/>
          <w:bCs/>
          <w:i/>
          <w:iCs/>
        </w:rPr>
        <w:t>es posible aclarar los requisitos que asignan puntaje</w:t>
      </w:r>
      <w:bookmarkEnd w:id="5"/>
      <w:r w:rsidRPr="00CC200E">
        <w:rPr>
          <w:rFonts w:ascii="Arial" w:hAnsi="Arial" w:cs="Arial"/>
          <w:bCs/>
        </w:rPr>
        <w:t>, tal como lo ha señalado la jurisprudencia en los siguientes términos:</w:t>
      </w:r>
    </w:p>
    <w:p w14:paraId="053D39EB" w14:textId="77777777" w:rsidR="003408F0" w:rsidRPr="00CC200E" w:rsidRDefault="003408F0" w:rsidP="00845C54">
      <w:pPr>
        <w:spacing w:line="276" w:lineRule="auto"/>
        <w:ind w:left="709" w:right="709"/>
        <w:contextualSpacing/>
        <w:jc w:val="both"/>
        <w:rPr>
          <w:rFonts w:ascii="Arial" w:hAnsi="Arial" w:cs="Arial"/>
          <w:bCs/>
        </w:rPr>
      </w:pPr>
    </w:p>
    <w:p w14:paraId="18E38EC4" w14:textId="77777777" w:rsidR="003408F0" w:rsidRPr="00CC200E" w:rsidRDefault="003408F0" w:rsidP="00845C54">
      <w:pPr>
        <w:ind w:left="709" w:right="709"/>
        <w:contextualSpacing/>
        <w:jc w:val="both"/>
        <w:rPr>
          <w:rFonts w:ascii="Arial" w:hAnsi="Arial" w:cs="Arial"/>
          <w:bCs/>
          <w:sz w:val="21"/>
          <w:szCs w:val="21"/>
        </w:rPr>
      </w:pPr>
      <w:bookmarkStart w:id="6" w:name="_3znysh7" w:colFirst="0" w:colLast="0"/>
      <w:bookmarkEnd w:id="6"/>
      <w:r w:rsidRPr="00CC200E">
        <w:rPr>
          <w:rFonts w:ascii="Arial" w:hAnsi="Arial" w:cs="Arial"/>
          <w:bCs/>
          <w:sz w:val="21"/>
          <w:szCs w:val="21"/>
        </w:rPr>
        <w:t>“Conforme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CC200E">
        <w:rPr>
          <w:rFonts w:ascii="Arial" w:hAnsi="Arial" w:cs="Arial"/>
          <w:bCs/>
          <w:sz w:val="21"/>
          <w:szCs w:val="21"/>
          <w:vertAlign w:val="superscript"/>
        </w:rPr>
        <w:footnoteReference w:id="25"/>
      </w:r>
    </w:p>
    <w:p w14:paraId="6CE8B6FD" w14:textId="77777777" w:rsidR="003408F0" w:rsidRPr="00CC200E" w:rsidRDefault="003408F0" w:rsidP="00845C54">
      <w:pPr>
        <w:spacing w:line="276" w:lineRule="auto"/>
        <w:ind w:left="709" w:right="709"/>
        <w:contextualSpacing/>
        <w:jc w:val="both"/>
        <w:rPr>
          <w:rFonts w:ascii="Arial" w:hAnsi="Arial" w:cs="Arial"/>
          <w:bCs/>
        </w:rPr>
      </w:pPr>
    </w:p>
    <w:p w14:paraId="36C0F42F" w14:textId="77777777" w:rsidR="003408F0" w:rsidRPr="00CC200E" w:rsidRDefault="003408F0" w:rsidP="00845C54">
      <w:pPr>
        <w:spacing w:after="120" w:line="276" w:lineRule="auto"/>
        <w:ind w:firstLine="709"/>
        <w:jc w:val="both"/>
        <w:rPr>
          <w:rFonts w:ascii="Arial" w:hAnsi="Arial" w:cs="Arial"/>
          <w:bCs/>
        </w:rPr>
      </w:pPr>
      <w:r w:rsidRPr="00CC200E">
        <w:rPr>
          <w:rFonts w:ascii="Arial" w:hAnsi="Arial" w:cs="Arial"/>
          <w:bCs/>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w:t>
      </w:r>
      <w:r w:rsidRPr="00CC200E">
        <w:rPr>
          <w:rFonts w:ascii="Arial" w:hAnsi="Arial" w:cs="Arial"/>
          <w:bCs/>
        </w:rPr>
        <w:lastRenderedPageBreak/>
        <w:t xml:space="preserve">la oferta, sean o no subsanables, para la correcta verificación y evaluación de los mismos por parte de la entidad pública.  </w:t>
      </w:r>
    </w:p>
    <w:p w14:paraId="236474AF" w14:textId="77777777" w:rsidR="003408F0" w:rsidRPr="00CC200E" w:rsidRDefault="003408F0" w:rsidP="00845C54">
      <w:pPr>
        <w:spacing w:after="120" w:line="276" w:lineRule="auto"/>
        <w:ind w:firstLine="709"/>
        <w:jc w:val="both"/>
        <w:rPr>
          <w:rFonts w:ascii="Arial" w:hAnsi="Arial" w:cs="Arial"/>
          <w:bCs/>
          <w:i/>
          <w:iCs/>
        </w:rPr>
      </w:pPr>
      <w:r w:rsidRPr="00CC200E">
        <w:rPr>
          <w:rFonts w:ascii="Arial" w:hAnsi="Arial" w:cs="Arial"/>
          <w:bCs/>
        </w:rPr>
        <w:t>Ahora bien, como dispone el numeral 7 del artículo 30 de la Ley 80 de 1993, la aclaración de las propuestas se realiza durante la evaluación de estas, pues es necesario esclarecer los aspectos dudosos de las ofertas antes de la adjudicación</w:t>
      </w:r>
      <w:r w:rsidRPr="00CC200E">
        <w:rPr>
          <w:rStyle w:val="Refdenotaalpie"/>
          <w:rFonts w:ascii="Arial" w:hAnsi="Arial" w:cs="Arial"/>
        </w:rPr>
        <w:footnoteReference w:id="26"/>
      </w:r>
      <w:r w:rsidRPr="00CC200E">
        <w:rPr>
          <w:rFonts w:ascii="Arial" w:hAnsi="Arial" w:cs="Arial"/>
          <w:bCs/>
        </w:rPr>
        <w:t xml:space="preserve">. Por ello, la jurisprudencia también explica que </w:t>
      </w:r>
      <w:r w:rsidRPr="00CC200E">
        <w:rPr>
          <w:rFonts w:ascii="Arial" w:hAnsi="Arial" w:cs="Arial"/>
          <w:bCs/>
          <w:i/>
          <w:iCs/>
        </w:rPr>
        <w:t>“[…] el proponente debe acogerse al tiempo que le otorga la administración para subsanar o aclarar la oferta, lapso que la entidad no puede extender más allá de la adjudicación […]”</w:t>
      </w:r>
      <w:r w:rsidRPr="00CC200E">
        <w:rPr>
          <w:rFonts w:ascii="Arial" w:hAnsi="Arial" w:cs="Arial"/>
          <w:bCs/>
          <w:i/>
          <w:iCs/>
          <w:vertAlign w:val="superscript"/>
        </w:rPr>
        <w:footnoteReference w:id="27"/>
      </w:r>
      <w:r w:rsidRPr="00CC200E">
        <w:rPr>
          <w:rFonts w:ascii="Arial" w:hAnsi="Arial" w:cs="Arial"/>
          <w:bCs/>
          <w:i/>
          <w:iCs/>
        </w:rPr>
        <w:t>.</w:t>
      </w:r>
      <w:r w:rsidRPr="00CC200E">
        <w:rPr>
          <w:rFonts w:ascii="Arial" w:hAnsi="Arial" w:cs="Arial"/>
          <w:bCs/>
        </w:rPr>
        <w:t xml:space="preserve"> De esta manera, “</w:t>
      </w:r>
      <w:r w:rsidRPr="00CC200E">
        <w:rPr>
          <w:rFonts w:ascii="Arial" w:hAnsi="Arial" w:cs="Arial"/>
          <w:bCs/>
          <w:i/>
          <w:iCs/>
        </w:rPr>
        <w:t>lo ideal en un proceso de selección es que las aclaraciones y explicaciones se anticipen y soliciten durante la etapa de evaluación, lo más pronto posible, es decir, antes de que la entidad elabore el informe respectivo, de tal manera que las tenga en cuenta para producir ese acto administrativo”.</w:t>
      </w:r>
      <w:r w:rsidRPr="00CC200E">
        <w:rPr>
          <w:rFonts w:ascii="Arial" w:hAnsi="Arial" w:cs="Arial"/>
          <w:bCs/>
          <w:i/>
          <w:iCs/>
          <w:vertAlign w:val="superscript"/>
        </w:rPr>
        <w:footnoteReference w:id="28"/>
      </w:r>
      <w:r w:rsidRPr="00CC200E">
        <w:rPr>
          <w:rFonts w:ascii="Arial" w:hAnsi="Arial" w:cs="Arial"/>
          <w:bCs/>
          <w:i/>
          <w:iCs/>
        </w:rPr>
        <w:t xml:space="preserve"> </w:t>
      </w:r>
    </w:p>
    <w:p w14:paraId="5FDD2D99" w14:textId="77777777" w:rsidR="003408F0" w:rsidRDefault="003408F0" w:rsidP="00845C54">
      <w:pPr>
        <w:tabs>
          <w:tab w:val="left" w:pos="426"/>
        </w:tabs>
        <w:spacing w:after="120" w:line="276" w:lineRule="auto"/>
        <w:jc w:val="both"/>
        <w:rPr>
          <w:rFonts w:ascii="Arial" w:hAnsi="Arial" w:cs="Arial"/>
        </w:rPr>
      </w:pPr>
      <w:r w:rsidRPr="00CC200E">
        <w:rPr>
          <w:rFonts w:ascii="Arial" w:eastAsia="Calibri" w:hAnsi="Arial" w:cs="Arial"/>
          <w:b/>
          <w:bCs/>
        </w:rPr>
        <w:tab/>
      </w:r>
      <w:r w:rsidRPr="00CC200E">
        <w:rPr>
          <w:rFonts w:ascii="Arial" w:eastAsia="Calibri" w:hAnsi="Arial" w:cs="Arial"/>
          <w:b/>
          <w:bCs/>
        </w:rPr>
        <w:tab/>
      </w:r>
      <w:r w:rsidRPr="00CC200E">
        <w:rPr>
          <w:rFonts w:ascii="Arial" w:eastAsia="Calibri" w:hAnsi="Arial" w:cs="Arial"/>
        </w:rPr>
        <w:t xml:space="preserve">De conformidad con lo expuesto y teniendo en cuenta que </w:t>
      </w:r>
      <w:r w:rsidRPr="00CC200E">
        <w:rPr>
          <w:rFonts w:ascii="Arial" w:hAnsi="Arial" w:cs="Arial"/>
          <w:i/>
          <w:iCs/>
        </w:rPr>
        <w:t>la Capacidad Residual es un requisito habilitante</w:t>
      </w:r>
      <w:r w:rsidRPr="00CC200E">
        <w:rPr>
          <w:rFonts w:ascii="Arial" w:hAnsi="Arial" w:cs="Arial"/>
        </w:rPr>
        <w:t xml:space="preserve"> está sujeta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es decir, </w:t>
      </w:r>
      <w:r w:rsidRPr="00CC200E">
        <w:rPr>
          <w:rFonts w:ascii="Arial" w:hAnsi="Arial" w:cs="Arial"/>
          <w:lang w:val="es-ES_tradnl"/>
        </w:rPr>
        <w:t>que lo omitido no sea un factor que afecte la asignación de puntaje, sea la prueba de una circunstancia o hecho que ocurrió con anterioridad al cierre del proceso y no existe disposición legal o en el pliego de condiciones que prohíba su subsanación</w:t>
      </w:r>
      <w:r w:rsidRPr="00CC200E">
        <w:rPr>
          <w:rFonts w:ascii="Arial" w:hAnsi="Arial" w:cs="Arial"/>
        </w:rPr>
        <w:t xml:space="preserve">. </w:t>
      </w:r>
    </w:p>
    <w:p w14:paraId="7ED55589" w14:textId="5A6CE661" w:rsidR="00902436" w:rsidRDefault="00902436" w:rsidP="00902436">
      <w:pPr>
        <w:spacing w:after="0" w:line="276" w:lineRule="auto"/>
        <w:jc w:val="both"/>
        <w:rPr>
          <w:rFonts w:ascii="Arial" w:hAnsi="Arial" w:cs="Arial"/>
          <w:b/>
          <w:bCs/>
          <w:lang w:val="es-ES"/>
        </w:rPr>
      </w:pPr>
      <w:r w:rsidRPr="00EA702B">
        <w:rPr>
          <w:rFonts w:ascii="Arial" w:eastAsia="Calibri" w:hAnsi="Arial" w:cs="Arial"/>
          <w:b/>
          <w:bCs/>
          <w:lang w:eastAsia="es-MX"/>
        </w:rPr>
        <w:t>2.</w:t>
      </w:r>
      <w:r w:rsidR="00EA05AC">
        <w:rPr>
          <w:rFonts w:ascii="Arial" w:eastAsia="Calibri" w:hAnsi="Arial" w:cs="Arial"/>
          <w:b/>
          <w:bCs/>
          <w:lang w:eastAsia="es-MX"/>
        </w:rPr>
        <w:t>6</w:t>
      </w:r>
      <w:r w:rsidRPr="00EA702B">
        <w:rPr>
          <w:rFonts w:ascii="Arial" w:eastAsia="Calibri" w:hAnsi="Arial" w:cs="Arial"/>
          <w:b/>
          <w:bCs/>
          <w:lang w:eastAsia="es-MX"/>
        </w:rPr>
        <w:t xml:space="preserve">. </w:t>
      </w:r>
      <w:r w:rsidRPr="00EA702B">
        <w:rPr>
          <w:rFonts w:ascii="Arial" w:eastAsia="Calibri" w:hAnsi="Arial" w:cs="Arial"/>
          <w:b/>
          <w:bCs/>
          <w:lang w:val="es-ES"/>
        </w:rPr>
        <w:t>La</w:t>
      </w:r>
      <w:r w:rsidRPr="00EA702B">
        <w:rPr>
          <w:rFonts w:ascii="Arial" w:hAnsi="Arial" w:cs="Arial"/>
          <w:b/>
          <w:bCs/>
          <w:lang w:val="es-ES"/>
        </w:rPr>
        <w:t xml:space="preserve"> capacidad residual en los procesos de contratación de obra pública.</w:t>
      </w:r>
    </w:p>
    <w:p w14:paraId="593F73E9" w14:textId="77777777" w:rsidR="00902436" w:rsidRPr="00EA702B" w:rsidRDefault="00902436" w:rsidP="00902436">
      <w:pPr>
        <w:spacing w:after="0" w:line="276" w:lineRule="auto"/>
        <w:jc w:val="both"/>
        <w:rPr>
          <w:rFonts w:ascii="Arial" w:hAnsi="Arial" w:cs="Arial"/>
          <w:lang w:val="es-ES"/>
        </w:rPr>
      </w:pPr>
    </w:p>
    <w:p w14:paraId="724E9752" w14:textId="77777777" w:rsidR="00902436" w:rsidRDefault="00902436" w:rsidP="00902436">
      <w:pPr>
        <w:spacing w:after="0" w:line="276" w:lineRule="auto"/>
        <w:jc w:val="both"/>
        <w:rPr>
          <w:rFonts w:ascii="Arial" w:hAnsi="Arial" w:cs="Arial"/>
          <w:color w:val="000000" w:themeColor="text1"/>
          <w:lang w:val="es-MX"/>
        </w:rPr>
      </w:pPr>
      <w:r w:rsidRPr="00EA702B">
        <w:rPr>
          <w:rFonts w:ascii="Arial" w:hAnsi="Arial" w:cs="Arial"/>
          <w:color w:val="000000" w:themeColor="text1"/>
          <w:lang w:val="es-MX"/>
        </w:rPr>
        <w:t xml:space="preserve">De acuerdo con la definición establecida en el artículo 2.2.1.1.1.3.1. del Decreto 1082 de 2015, la </w:t>
      </w:r>
      <w:r w:rsidRPr="00E43FE1">
        <w:rPr>
          <w:rFonts w:ascii="Arial" w:hAnsi="Arial" w:cs="Arial"/>
          <w:i/>
          <w:iCs/>
          <w:color w:val="000000" w:themeColor="text1"/>
          <w:lang w:val="es-MX"/>
        </w:rPr>
        <w:t>capacidad residual</w:t>
      </w:r>
      <w:r w:rsidRPr="00EA702B">
        <w:rPr>
          <w:rFonts w:ascii="Arial" w:hAnsi="Arial" w:cs="Arial"/>
          <w:color w:val="000000" w:themeColor="text1"/>
          <w:lang w:val="es-MX"/>
        </w:rPr>
        <w:t xml:space="preserve"> </w:t>
      </w:r>
      <w:r>
        <w:rPr>
          <w:rFonts w:ascii="Arial" w:hAnsi="Arial" w:cs="Arial"/>
          <w:color w:val="000000" w:themeColor="text1"/>
          <w:lang w:val="es-MX"/>
        </w:rPr>
        <w:t xml:space="preserve">o </w:t>
      </w:r>
      <w:r w:rsidRPr="00E43FE1">
        <w:rPr>
          <w:rFonts w:ascii="Arial" w:hAnsi="Arial" w:cs="Arial"/>
          <w:i/>
          <w:iCs/>
          <w:color w:val="000000" w:themeColor="text1"/>
          <w:lang w:val="es-MX"/>
        </w:rPr>
        <w:t>K de contratación</w:t>
      </w:r>
      <w:r>
        <w:rPr>
          <w:rFonts w:ascii="Arial" w:hAnsi="Arial" w:cs="Arial"/>
          <w:color w:val="000000" w:themeColor="text1"/>
          <w:lang w:val="es-MX"/>
        </w:rPr>
        <w:t xml:space="preserve"> </w:t>
      </w:r>
      <w:r w:rsidRPr="00EA702B">
        <w:rPr>
          <w:rFonts w:ascii="Arial" w:hAnsi="Arial" w:cs="Arial"/>
          <w:color w:val="000000" w:themeColor="text1"/>
          <w:lang w:val="es-MX"/>
        </w:rPr>
        <w:t>es la aptitud de los oferentes para cumplir de manera oportuna y a cabalidad el objeto de un contrato de obra, sin que los demás compromisos contractuales que han adquirido afecten su habilidad para cumplir el objeto del contrato que está en proceso de selección</w:t>
      </w:r>
      <w:r w:rsidRPr="00EA702B">
        <w:rPr>
          <w:rFonts w:ascii="Arial" w:hAnsi="Arial" w:cs="Arial"/>
          <w:color w:val="000000" w:themeColor="text1"/>
          <w:vertAlign w:val="superscript"/>
          <w:lang w:val="es-MX"/>
        </w:rPr>
        <w:footnoteReference w:id="29"/>
      </w:r>
      <w:r w:rsidRPr="00EA702B">
        <w:rPr>
          <w:rFonts w:ascii="Arial" w:hAnsi="Arial" w:cs="Arial"/>
          <w:color w:val="000000" w:themeColor="text1"/>
          <w:lang w:val="es-MX"/>
        </w:rPr>
        <w:t xml:space="preserve">. Por su parte, el Consejo de Estado ha </w:t>
      </w:r>
      <w:r w:rsidRPr="00EA702B">
        <w:rPr>
          <w:rFonts w:ascii="Arial" w:hAnsi="Arial" w:cs="Arial"/>
          <w:color w:val="000000" w:themeColor="text1"/>
          <w:lang w:val="es-MX"/>
        </w:rPr>
        <w:lastRenderedPageBreak/>
        <w:t>definido la capacidad residual como “[…] la diferencia que existe entre el potencial de contratación que se tiene y los compromisos que haya adquirido y que se encuentren en ejecución, para la fecha de presentación de la oferta”</w:t>
      </w:r>
      <w:r w:rsidRPr="00EA702B">
        <w:rPr>
          <w:rFonts w:ascii="Arial" w:eastAsia="Calibri" w:hAnsi="Arial" w:cs="Arial"/>
          <w:color w:val="000000" w:themeColor="text1"/>
          <w:vertAlign w:val="superscript"/>
          <w:lang w:val="es-MX"/>
        </w:rPr>
        <w:footnoteReference w:id="30"/>
      </w:r>
      <w:r w:rsidRPr="00EA702B">
        <w:rPr>
          <w:rFonts w:ascii="Arial" w:hAnsi="Arial" w:cs="Arial"/>
          <w:color w:val="000000" w:themeColor="text1"/>
          <w:lang w:val="es-MX"/>
        </w:rPr>
        <w:t xml:space="preserve">.En tales términos, la capacidad residual hace referencia a la suficiencia que tiene el proponente para asumir nuevas obligaciones que se derivan del contrato objeto del proceso de contratación, en relación con las obligaciones que ya adquirió frente a otros contratos. </w:t>
      </w:r>
    </w:p>
    <w:p w14:paraId="7670F0D9" w14:textId="77777777" w:rsidR="00D363FB" w:rsidRPr="00EA702B" w:rsidRDefault="00D363FB" w:rsidP="00902436">
      <w:pPr>
        <w:spacing w:after="0" w:line="276" w:lineRule="auto"/>
        <w:jc w:val="both"/>
        <w:rPr>
          <w:rFonts w:ascii="Arial" w:hAnsi="Arial" w:cs="Arial"/>
          <w:color w:val="000000" w:themeColor="text1"/>
          <w:lang w:val="es-MX"/>
        </w:rPr>
      </w:pPr>
    </w:p>
    <w:p w14:paraId="4C101149" w14:textId="77777777" w:rsidR="00902436" w:rsidRPr="00582636" w:rsidRDefault="00902436" w:rsidP="00902436">
      <w:pPr>
        <w:spacing w:after="120" w:line="276" w:lineRule="auto"/>
        <w:ind w:firstLine="708"/>
        <w:jc w:val="both"/>
        <w:rPr>
          <w:rFonts w:ascii="Arial" w:hAnsi="Arial" w:cs="Arial"/>
          <w:color w:val="000000" w:themeColor="text1"/>
          <w:lang w:val="es-MX"/>
        </w:rPr>
      </w:pPr>
      <w:r w:rsidRPr="00EA702B">
        <w:rPr>
          <w:rFonts w:ascii="Arial" w:hAnsi="Arial" w:cs="Arial"/>
          <w:color w:val="000000" w:themeColor="text1"/>
          <w:lang w:val="es-MX"/>
        </w:rPr>
        <w:t xml:space="preserve">El parágrafo 1 artículo 6 de la Ley 1150 de 2007 estableció como condición “para poder participar en los procesos de selección de los contratos de obra, la capacidad residual del proponente o </w:t>
      </w:r>
      <w:r w:rsidRPr="00EA702B">
        <w:rPr>
          <w:rFonts w:ascii="Arial" w:hAnsi="Arial" w:cs="Arial"/>
          <w:i/>
          <w:iCs/>
          <w:color w:val="000000" w:themeColor="text1"/>
          <w:lang w:val="es-MX"/>
        </w:rPr>
        <w:t>K</w:t>
      </w:r>
      <w:r w:rsidRPr="00EA702B">
        <w:rPr>
          <w:rFonts w:ascii="Arial" w:hAnsi="Arial" w:cs="Arial"/>
          <w:color w:val="000000" w:themeColor="text1"/>
          <w:lang w:val="es-MX"/>
        </w:rPr>
        <w:t xml:space="preserve"> de contratación”. Además, determinó que esta debe ser igual o superior a la establecida en los pliegos de condiciones, en los siguientes términos: </w:t>
      </w:r>
    </w:p>
    <w:p w14:paraId="1F73F7F6" w14:textId="77777777" w:rsidR="00902436" w:rsidRPr="0056673D" w:rsidRDefault="00902436" w:rsidP="00902436">
      <w:pPr>
        <w:spacing w:after="120" w:line="276" w:lineRule="auto"/>
        <w:ind w:left="708" w:right="709"/>
        <w:jc w:val="both"/>
        <w:rPr>
          <w:rFonts w:ascii="Arial" w:eastAsia="Calibri" w:hAnsi="Arial" w:cs="Arial"/>
          <w:color w:val="000000" w:themeColor="text1"/>
          <w:sz w:val="21"/>
          <w:szCs w:val="21"/>
          <w:lang w:val="es-MX"/>
        </w:rPr>
      </w:pPr>
      <w:r>
        <w:rPr>
          <w:rFonts w:ascii="Arial" w:eastAsia="Calibri" w:hAnsi="Arial" w:cs="Arial"/>
          <w:color w:val="000000" w:themeColor="text1"/>
          <w:sz w:val="21"/>
          <w:szCs w:val="21"/>
          <w:lang w:val="es-MX"/>
        </w:rPr>
        <w:t>“</w:t>
      </w:r>
      <w:r w:rsidRPr="0056673D">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EFC550F" w14:textId="77777777" w:rsidR="00902436" w:rsidRPr="0056673D" w:rsidRDefault="00902436" w:rsidP="00902436">
      <w:pPr>
        <w:spacing w:after="120" w:line="276" w:lineRule="auto"/>
        <w:ind w:left="708" w:right="709"/>
        <w:jc w:val="both"/>
        <w:rPr>
          <w:rFonts w:ascii="Arial" w:eastAsia="Calibri" w:hAnsi="Arial" w:cs="Arial"/>
          <w:color w:val="000000" w:themeColor="text1"/>
          <w:sz w:val="21"/>
          <w:szCs w:val="21"/>
          <w:lang w:val="es-MX"/>
        </w:rPr>
      </w:pPr>
      <w:r w:rsidRPr="0056673D">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7157FF3B" w14:textId="77777777" w:rsidR="00902436" w:rsidRPr="00EA702B" w:rsidRDefault="00902436" w:rsidP="00902436">
      <w:pPr>
        <w:spacing w:after="120" w:line="276" w:lineRule="auto"/>
        <w:ind w:firstLine="709"/>
        <w:jc w:val="both"/>
        <w:rPr>
          <w:rFonts w:ascii="Arial" w:hAnsi="Arial" w:cs="Arial"/>
          <w:color w:val="000000" w:themeColor="text1"/>
          <w:lang w:val="es-MX"/>
        </w:rPr>
      </w:pPr>
      <w:r w:rsidRPr="00EA702B">
        <w:rPr>
          <w:rFonts w:ascii="Arial" w:hAnsi="Arial" w:cs="Arial"/>
          <w:color w:val="000000" w:themeColor="text1"/>
          <w:lang w:val="es-MX"/>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EA702B">
        <w:rPr>
          <w:rFonts w:ascii="Arial" w:eastAsia="Calibri" w:hAnsi="Arial" w:cs="Arial"/>
          <w:bCs/>
          <w:color w:val="000000" w:themeColor="text1"/>
          <w:lang w:val="es-MX"/>
        </w:rPr>
        <w:t>Organización</w:t>
      </w:r>
      <w:r w:rsidRPr="00EA702B">
        <w:rPr>
          <w:rFonts w:ascii="Arial" w:hAnsi="Arial" w:cs="Arial"/>
          <w:color w:val="000000" w:themeColor="text1"/>
          <w:lang w:val="es-MX"/>
        </w:rPr>
        <w:t xml:space="preserve"> –CO–. </w:t>
      </w:r>
    </w:p>
    <w:p w14:paraId="57E77205" w14:textId="77777777" w:rsidR="00902436" w:rsidRPr="00EA702B" w:rsidRDefault="00902436" w:rsidP="00902436">
      <w:pPr>
        <w:spacing w:after="120" w:line="276" w:lineRule="auto"/>
        <w:ind w:firstLine="709"/>
        <w:jc w:val="both"/>
        <w:rPr>
          <w:rFonts w:ascii="Arial" w:eastAsia="Calibri" w:hAnsi="Arial" w:cs="Arial"/>
          <w:color w:val="000000" w:themeColor="text1"/>
          <w:lang w:val="es-MX"/>
        </w:rPr>
      </w:pPr>
      <w:r w:rsidRPr="00EA702B">
        <w:rPr>
          <w:rFonts w:ascii="Arial" w:eastAsia="Calibri" w:hAnsi="Arial" w:cs="Arial"/>
          <w:color w:val="000000" w:themeColor="text1"/>
          <w:lang w:val="es-MX"/>
        </w:rPr>
        <w:t>Igualmente, el artículo 2.2.1.1.1.6.4 del Decreto 1082 de 2015, establece que las entidades estatales deberán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650DFFC2" w14:textId="77777777" w:rsidR="00902436" w:rsidRPr="00EA702B" w:rsidRDefault="00902436" w:rsidP="00902436">
      <w:pPr>
        <w:spacing w:after="120" w:line="276" w:lineRule="auto"/>
        <w:ind w:right="709" w:firstLine="709"/>
        <w:jc w:val="both"/>
        <w:rPr>
          <w:rFonts w:ascii="Arial" w:eastAsia="Calibri" w:hAnsi="Arial" w:cs="Arial"/>
          <w:color w:val="000000" w:themeColor="text1"/>
          <w:lang w:val="es-MX"/>
        </w:rPr>
      </w:pPr>
    </w:p>
    <w:p w14:paraId="65199C6D" w14:textId="77777777" w:rsidR="00902436" w:rsidRPr="0056673D" w:rsidRDefault="00902436" w:rsidP="00902436">
      <w:pPr>
        <w:spacing w:after="120"/>
        <w:ind w:left="709" w:right="709"/>
        <w:jc w:val="both"/>
        <w:rPr>
          <w:rFonts w:ascii="Arial" w:eastAsia="Calibri" w:hAnsi="Arial" w:cs="Arial"/>
          <w:color w:val="000000" w:themeColor="text1"/>
          <w:sz w:val="21"/>
          <w:szCs w:val="21"/>
          <w:lang w:val="es-MX"/>
        </w:rPr>
      </w:pPr>
      <w:r>
        <w:rPr>
          <w:rFonts w:ascii="Arial" w:eastAsia="Calibri" w:hAnsi="Arial" w:cs="Arial"/>
          <w:color w:val="000000" w:themeColor="text1"/>
          <w:sz w:val="21"/>
          <w:szCs w:val="21"/>
          <w:lang w:val="es-MX"/>
        </w:rPr>
        <w:t>“</w:t>
      </w:r>
      <w:r w:rsidRPr="0056673D">
        <w:rPr>
          <w:rFonts w:ascii="Arial" w:eastAsia="Calibri" w:hAnsi="Arial" w:cs="Arial"/>
          <w:color w:val="000000" w:themeColor="text1"/>
          <w:sz w:val="21"/>
          <w:szCs w:val="21"/>
          <w:lang w:val="es-MX"/>
        </w:rPr>
        <w:t>Artículo 2.2.1.1.1.6.4. Capacidad Residual. El interesado en celebrar contratos de obra pública con Entidades Estatales debe acreditar su Capacidad Residual o K de Contratación con los siguientes documentos: […]</w:t>
      </w:r>
    </w:p>
    <w:p w14:paraId="2292F178" w14:textId="77777777" w:rsidR="00902436" w:rsidRPr="0056673D" w:rsidRDefault="00902436" w:rsidP="00902436">
      <w:pPr>
        <w:spacing w:after="120"/>
        <w:ind w:left="709" w:right="709"/>
        <w:jc w:val="both"/>
        <w:rPr>
          <w:rFonts w:ascii="Arial" w:eastAsia="Calibri" w:hAnsi="Arial" w:cs="Arial"/>
          <w:color w:val="000000" w:themeColor="text1"/>
          <w:sz w:val="21"/>
          <w:szCs w:val="21"/>
          <w:lang w:val="es-MX"/>
        </w:rPr>
      </w:pPr>
      <w:r w:rsidRPr="0056673D">
        <w:rPr>
          <w:rFonts w:ascii="Arial" w:eastAsia="Calibri" w:hAnsi="Arial" w:cs="Arial"/>
          <w:color w:val="000000" w:themeColor="text1"/>
          <w:sz w:val="21"/>
          <w:szCs w:val="21"/>
          <w:lang w:val="es-MX"/>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Pr>
          <w:rFonts w:ascii="Arial" w:eastAsia="Calibri" w:hAnsi="Arial" w:cs="Arial"/>
          <w:color w:val="000000" w:themeColor="text1"/>
          <w:sz w:val="21"/>
          <w:szCs w:val="21"/>
          <w:lang w:val="es-MX"/>
        </w:rPr>
        <w:t>”</w:t>
      </w:r>
      <w:r w:rsidRPr="0056673D">
        <w:rPr>
          <w:rFonts w:ascii="Arial" w:eastAsia="Calibri" w:hAnsi="Arial" w:cs="Arial"/>
          <w:color w:val="000000" w:themeColor="text1"/>
          <w:sz w:val="21"/>
          <w:szCs w:val="21"/>
          <w:lang w:val="es-MX"/>
        </w:rPr>
        <w:t>.</w:t>
      </w:r>
    </w:p>
    <w:p w14:paraId="7A464356" w14:textId="77777777" w:rsidR="00902436" w:rsidRPr="00EA702B" w:rsidRDefault="00902436" w:rsidP="00902436">
      <w:pPr>
        <w:widowControl w:val="0"/>
        <w:autoSpaceDE w:val="0"/>
        <w:autoSpaceDN w:val="0"/>
        <w:spacing w:after="120" w:line="276" w:lineRule="auto"/>
        <w:ind w:firstLine="709"/>
        <w:jc w:val="both"/>
        <w:rPr>
          <w:rFonts w:ascii="Arial" w:eastAsia="Arial" w:hAnsi="Arial" w:cs="Arial"/>
        </w:rPr>
      </w:pPr>
      <w:r w:rsidRPr="00EA702B">
        <w:rPr>
          <w:rFonts w:ascii="Arial" w:eastAsia="Arial" w:hAnsi="Arial" w:cs="Arial"/>
        </w:rPr>
        <w:t>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p>
    <w:p w14:paraId="749223AA" w14:textId="77777777" w:rsidR="00902436" w:rsidRPr="00582636" w:rsidRDefault="00902436" w:rsidP="00902436">
      <w:pPr>
        <w:widowControl w:val="0"/>
        <w:numPr>
          <w:ilvl w:val="0"/>
          <w:numId w:val="8"/>
        </w:numPr>
        <w:tabs>
          <w:tab w:val="left" w:pos="993"/>
        </w:tabs>
        <w:autoSpaceDE w:val="0"/>
        <w:autoSpaceDN w:val="0"/>
        <w:spacing w:after="120" w:line="240" w:lineRule="auto"/>
        <w:ind w:left="709" w:right="709"/>
        <w:jc w:val="both"/>
        <w:rPr>
          <w:rFonts w:ascii="Arial" w:eastAsia="Arial" w:hAnsi="Arial" w:cs="Arial"/>
        </w:rPr>
      </w:pPr>
      <w:r w:rsidRPr="00EA702B">
        <w:rPr>
          <w:rFonts w:ascii="Arial" w:eastAsia="Arial" w:hAnsi="Arial" w:cs="Arial"/>
        </w:rPr>
        <w:t>La lista de los Contratos en Ejecución, así como el valor y plazo de tales contratos.</w:t>
      </w:r>
    </w:p>
    <w:p w14:paraId="256F207A" w14:textId="77777777" w:rsidR="00902436" w:rsidRPr="00582636" w:rsidRDefault="00902436" w:rsidP="00902436">
      <w:pPr>
        <w:widowControl w:val="0"/>
        <w:numPr>
          <w:ilvl w:val="0"/>
          <w:numId w:val="8"/>
        </w:numPr>
        <w:tabs>
          <w:tab w:val="left" w:pos="993"/>
        </w:tabs>
        <w:autoSpaceDE w:val="0"/>
        <w:autoSpaceDN w:val="0"/>
        <w:spacing w:after="120" w:line="240" w:lineRule="auto"/>
        <w:ind w:left="709" w:right="709"/>
        <w:jc w:val="both"/>
        <w:rPr>
          <w:rFonts w:ascii="Arial" w:eastAsia="Arial" w:hAnsi="Arial" w:cs="Arial"/>
        </w:rPr>
      </w:pPr>
      <w:r w:rsidRPr="00EA702B">
        <w:rPr>
          <w:rFonts w:ascii="Arial" w:eastAsia="Arial" w:hAnsi="Arial" w:cs="Arial"/>
        </w:rPr>
        <w:t>La lista de los Contratos en Ejecución, suscritos por sociedades, consorcios o uniones temporales, en los cuales el proponente tenga participación, así como el valor y plazo de tales contratos.</w:t>
      </w:r>
    </w:p>
    <w:p w14:paraId="333DBB91" w14:textId="77777777" w:rsidR="00902436" w:rsidRDefault="00902436" w:rsidP="00902436">
      <w:pPr>
        <w:widowControl w:val="0"/>
        <w:numPr>
          <w:ilvl w:val="0"/>
          <w:numId w:val="8"/>
        </w:numPr>
        <w:tabs>
          <w:tab w:val="left" w:pos="993"/>
        </w:tabs>
        <w:autoSpaceDE w:val="0"/>
        <w:autoSpaceDN w:val="0"/>
        <w:spacing w:after="120" w:line="240" w:lineRule="auto"/>
        <w:ind w:left="709" w:right="709"/>
        <w:jc w:val="both"/>
        <w:rPr>
          <w:rFonts w:ascii="Arial" w:eastAsia="Arial" w:hAnsi="Arial" w:cs="Arial"/>
        </w:rPr>
      </w:pPr>
      <w:r w:rsidRPr="00EA702B">
        <w:rPr>
          <w:rFonts w:ascii="Arial" w:eastAsia="Arial" w:hAnsi="Arial" w:cs="Arial"/>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62517BF2" w14:textId="77777777" w:rsidR="00902436" w:rsidRPr="00EA702B" w:rsidRDefault="00902436" w:rsidP="00902436">
      <w:pPr>
        <w:spacing w:after="120"/>
        <w:ind w:right="51" w:firstLine="709"/>
        <w:jc w:val="both"/>
        <w:rPr>
          <w:rFonts w:ascii="Arial" w:eastAsia="Arial" w:hAnsi="Arial" w:cs="Arial"/>
        </w:rPr>
      </w:pPr>
      <w:r w:rsidRPr="00EA702B">
        <w:rPr>
          <w:rFonts w:ascii="Arial" w:eastAsia="Arial" w:hAnsi="Arial" w:cs="Arial"/>
        </w:rPr>
        <w:t xml:space="preserve">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 </w:t>
      </w:r>
    </w:p>
    <w:p w14:paraId="6B0CDDAF" w14:textId="77777777" w:rsidR="00902436" w:rsidRPr="00EA702B" w:rsidRDefault="00902436" w:rsidP="00902436">
      <w:pPr>
        <w:spacing w:after="120"/>
        <w:ind w:right="51" w:firstLine="709"/>
        <w:jc w:val="both"/>
        <w:rPr>
          <w:rFonts w:ascii="Arial" w:eastAsia="Arial" w:hAnsi="Arial" w:cs="Arial"/>
        </w:rPr>
      </w:pPr>
      <w:r w:rsidRPr="00EA702B">
        <w:rPr>
          <w:rFonts w:ascii="Arial" w:eastAsia="Arial" w:hAnsi="Arial" w:cs="Arial"/>
        </w:rPr>
        <w:t xml:space="preserve">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w:t>
      </w:r>
      <w:r w:rsidRPr="00EA702B">
        <w:rPr>
          <w:rFonts w:ascii="Arial" w:eastAsia="Arial" w:hAnsi="Arial" w:cs="Arial"/>
        </w:rPr>
        <w:lastRenderedPageBreak/>
        <w:t>capacidad financiera “CF”; iii) capacidad técnica “CT”, iv) capacidad de organización “CO”; y v) los saldos de los contratos en ejecución “SCE”, según la siguiente fórmula:</w:t>
      </w:r>
    </w:p>
    <w:p w14:paraId="67A17C8E" w14:textId="77777777" w:rsidR="00902436" w:rsidRPr="00EA702B" w:rsidRDefault="00902436" w:rsidP="00902436">
      <w:pPr>
        <w:spacing w:after="120"/>
        <w:ind w:right="709" w:firstLine="709"/>
        <w:jc w:val="both"/>
        <w:rPr>
          <w:rFonts w:ascii="Arial" w:eastAsia="Calibri" w:hAnsi="Arial" w:cs="Arial"/>
          <w:color w:val="000000" w:themeColor="text1"/>
          <w:lang w:val="es-MX"/>
        </w:rPr>
      </w:pPr>
    </w:p>
    <w:p w14:paraId="393448B3" w14:textId="77777777" w:rsidR="00902436" w:rsidRPr="00EA702B" w:rsidRDefault="00902436" w:rsidP="00902436">
      <w:pPr>
        <w:spacing w:after="120" w:line="276" w:lineRule="auto"/>
        <w:ind w:firstLine="709"/>
        <w:jc w:val="both"/>
        <w:rPr>
          <w:rFonts w:ascii="Arial" w:hAnsi="Arial" w:cs="Arial"/>
          <w:color w:val="000000" w:themeColor="text1"/>
          <w:lang w:val="es-MX"/>
        </w:rPr>
      </w:pPr>
      <w:r w:rsidRPr="00EA702B">
        <w:rPr>
          <w:noProof/>
          <w:lang w:eastAsia="es-CO"/>
        </w:rPr>
        <w:drawing>
          <wp:inline distT="0" distB="0" distL="0" distR="0" wp14:anchorId="214EB273" wp14:editId="6320B1AE">
            <wp:extent cx="4495800" cy="716280"/>
            <wp:effectExtent l="0" t="0" r="0" b="7620"/>
            <wp:docPr id="6" name="Imagen 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con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25D5D132" w14:textId="77777777" w:rsidR="00902436" w:rsidRPr="00EA702B" w:rsidRDefault="00902436" w:rsidP="00902436">
      <w:pPr>
        <w:widowControl w:val="0"/>
        <w:autoSpaceDE w:val="0"/>
        <w:autoSpaceDN w:val="0"/>
        <w:spacing w:after="120" w:line="276" w:lineRule="auto"/>
        <w:ind w:firstLine="709"/>
        <w:jc w:val="both"/>
        <w:rPr>
          <w:rFonts w:ascii="Arial" w:eastAsia="Arial" w:hAnsi="Arial" w:cs="Arial"/>
        </w:rPr>
      </w:pPr>
    </w:p>
    <w:p w14:paraId="16C740A9" w14:textId="77777777" w:rsidR="00902436" w:rsidRPr="00EA702B" w:rsidRDefault="00902436" w:rsidP="00902436">
      <w:pPr>
        <w:widowControl w:val="0"/>
        <w:autoSpaceDE w:val="0"/>
        <w:autoSpaceDN w:val="0"/>
        <w:spacing w:after="120" w:line="276" w:lineRule="auto"/>
        <w:ind w:firstLine="709"/>
        <w:jc w:val="both"/>
        <w:rPr>
          <w:rFonts w:ascii="Arial" w:eastAsia="Arial" w:hAnsi="Arial" w:cs="Arial"/>
        </w:rPr>
      </w:pPr>
      <w:r w:rsidRPr="00EA702B">
        <w:rPr>
          <w:rFonts w:ascii="Arial" w:eastAsia="Arial" w:hAnsi="Arial" w:cs="Arial"/>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75085088" w14:textId="77777777" w:rsidR="00902436" w:rsidRPr="00EA702B" w:rsidRDefault="00902436" w:rsidP="00902436">
      <w:pPr>
        <w:widowControl w:val="0"/>
        <w:numPr>
          <w:ilvl w:val="0"/>
          <w:numId w:val="7"/>
        </w:numPr>
        <w:tabs>
          <w:tab w:val="left" w:pos="993"/>
        </w:tabs>
        <w:autoSpaceDE w:val="0"/>
        <w:autoSpaceDN w:val="0"/>
        <w:spacing w:after="120" w:line="276" w:lineRule="auto"/>
        <w:ind w:left="0" w:firstLine="709"/>
        <w:jc w:val="both"/>
        <w:rPr>
          <w:rFonts w:ascii="Arial" w:eastAsia="Arial" w:hAnsi="Arial" w:cs="Arial"/>
          <w:i/>
          <w:iCs/>
        </w:rPr>
      </w:pPr>
      <w:r w:rsidRPr="00EA702B">
        <w:rPr>
          <w:rFonts w:ascii="Arial" w:eastAsia="Arial" w:hAnsi="Arial" w:cs="Arial"/>
          <w:i/>
          <w:iCs/>
        </w:rPr>
        <w:t>Capacidad financiera.</w:t>
      </w:r>
      <w:r w:rsidRPr="00EA702B">
        <w:rPr>
          <w:rFonts w:ascii="Arial" w:eastAsia="Arial" w:hAnsi="Arial" w:cs="Arial"/>
        </w:rPr>
        <w:t xml:space="preserve"> Se mide por el “índice de liquidez” y este, a su vez, corresponde al resultado de dividir el “activo corriente” sobre el “pasivo corriente”. El resultado puede ser calificado entre 20 y cuarenta puntos, según se explica en la Guía.</w:t>
      </w:r>
    </w:p>
    <w:p w14:paraId="5B067A00" w14:textId="77777777" w:rsidR="00902436" w:rsidRPr="00EA702B" w:rsidRDefault="00902436" w:rsidP="00902436">
      <w:pPr>
        <w:widowControl w:val="0"/>
        <w:numPr>
          <w:ilvl w:val="0"/>
          <w:numId w:val="7"/>
        </w:numPr>
        <w:tabs>
          <w:tab w:val="left" w:pos="993"/>
        </w:tabs>
        <w:autoSpaceDE w:val="0"/>
        <w:autoSpaceDN w:val="0"/>
        <w:spacing w:after="120" w:line="276" w:lineRule="auto"/>
        <w:ind w:left="0" w:firstLine="709"/>
        <w:jc w:val="both"/>
        <w:rPr>
          <w:rFonts w:ascii="Arial" w:eastAsia="Arial" w:hAnsi="Arial" w:cs="Arial"/>
          <w:i/>
          <w:iCs/>
        </w:rPr>
      </w:pPr>
      <w:r w:rsidRPr="00EA702B">
        <w:rPr>
          <w:rFonts w:ascii="Arial" w:eastAsia="Arial" w:hAnsi="Arial" w:cs="Arial"/>
          <w:i/>
          <w:iCs/>
        </w:rPr>
        <w:t>Capacidad técnica</w:t>
      </w:r>
      <w:r w:rsidRPr="00EA702B">
        <w:rPr>
          <w:rFonts w:ascii="Arial" w:eastAsia="Arial" w:hAnsi="Arial" w:cs="Arial"/>
        </w:rPr>
        <w:t>. Se determina teniendo en cuenta el número de socios y profesionales de la arquitectura, ingeniería y geología vinculados mediante una relación laboral o contractual. El puntaje para asignar, según la Guía, oscila entre 20 y 40 puntos. Para tales fines, se aclara, el proponente debe diligenciar el Anexo 2 de la “Guía para Determinar y Verificar la Capacidad Residual del Proponente en los Procesos de Contratación de Obra Pública” −este es diferente al Anexo 2 de los Documentos Tipo−.</w:t>
      </w:r>
    </w:p>
    <w:p w14:paraId="228330F0" w14:textId="77777777" w:rsidR="00902436" w:rsidRPr="00582636" w:rsidRDefault="00902436" w:rsidP="00902436">
      <w:pPr>
        <w:widowControl w:val="0"/>
        <w:numPr>
          <w:ilvl w:val="0"/>
          <w:numId w:val="7"/>
        </w:numPr>
        <w:tabs>
          <w:tab w:val="left" w:pos="993"/>
        </w:tabs>
        <w:autoSpaceDE w:val="0"/>
        <w:autoSpaceDN w:val="0"/>
        <w:spacing w:after="120" w:line="276" w:lineRule="auto"/>
        <w:ind w:left="0" w:firstLine="709"/>
        <w:jc w:val="both"/>
        <w:rPr>
          <w:rFonts w:ascii="Arial" w:eastAsia="Arial" w:hAnsi="Arial" w:cs="Arial"/>
          <w:i/>
          <w:iCs/>
        </w:rPr>
      </w:pPr>
      <w:r w:rsidRPr="00EA702B">
        <w:rPr>
          <w:rFonts w:ascii="Arial" w:eastAsia="Arial" w:hAnsi="Arial" w:cs="Arial"/>
          <w:i/>
          <w:iCs/>
        </w:rPr>
        <w:t>Capacidad de organización</w:t>
      </w:r>
      <w:r w:rsidRPr="00EA702B">
        <w:rPr>
          <w:rFonts w:ascii="Arial" w:eastAsia="Arial" w:hAnsi="Arial" w:cs="Arial"/>
        </w:rPr>
        <w:t>. Corresponde a los ingresos operacionales, según el siguiente cuadro:</w:t>
      </w:r>
    </w:p>
    <w:p w14:paraId="1DF91FFC" w14:textId="77777777" w:rsidR="00902436" w:rsidRPr="00EA702B" w:rsidRDefault="00902436" w:rsidP="00902436">
      <w:pPr>
        <w:widowControl w:val="0"/>
        <w:tabs>
          <w:tab w:val="left" w:pos="993"/>
        </w:tabs>
        <w:autoSpaceDE w:val="0"/>
        <w:autoSpaceDN w:val="0"/>
        <w:spacing w:after="120" w:line="276" w:lineRule="auto"/>
        <w:ind w:right="51" w:firstLine="709"/>
        <w:jc w:val="both"/>
        <w:rPr>
          <w:rFonts w:ascii="Arial" w:eastAsia="Arial" w:hAnsi="Arial" w:cs="Arial"/>
          <w:i/>
          <w:iCs/>
        </w:rPr>
      </w:pPr>
    </w:p>
    <w:tbl>
      <w:tblPr>
        <w:tblStyle w:val="Tablaconcuadrcula"/>
        <w:tblW w:w="7366" w:type="dxa"/>
        <w:tblInd w:w="709" w:type="dxa"/>
        <w:tblLook w:val="04A0" w:firstRow="1" w:lastRow="0" w:firstColumn="1" w:lastColumn="0" w:noHBand="0" w:noVBand="1"/>
      </w:tblPr>
      <w:tblGrid>
        <w:gridCol w:w="4053"/>
        <w:gridCol w:w="3313"/>
      </w:tblGrid>
      <w:tr w:rsidR="00902436" w:rsidRPr="00EA702B" w14:paraId="6527CF51" w14:textId="77777777">
        <w:tc>
          <w:tcPr>
            <w:tcW w:w="4053" w:type="dxa"/>
            <w:shd w:val="clear" w:color="auto" w:fill="D9D9D9" w:themeFill="background1" w:themeFillShade="D9"/>
          </w:tcPr>
          <w:p w14:paraId="794CD43F" w14:textId="77777777" w:rsidR="00902436" w:rsidRPr="00EA702B" w:rsidRDefault="00902436">
            <w:pPr>
              <w:widowControl w:val="0"/>
              <w:tabs>
                <w:tab w:val="left" w:pos="993"/>
              </w:tabs>
              <w:spacing w:after="120" w:line="276" w:lineRule="auto"/>
              <w:ind w:right="51" w:firstLine="709"/>
              <w:jc w:val="center"/>
              <w:rPr>
                <w:rFonts w:ascii="Arial" w:eastAsia="Arial" w:hAnsi="Arial" w:cs="Arial"/>
                <w:b/>
                <w:bCs/>
              </w:rPr>
            </w:pPr>
            <w:r w:rsidRPr="00EA702B">
              <w:rPr>
                <w:rFonts w:ascii="Arial" w:eastAsia="Arial" w:hAnsi="Arial" w:cs="Arial"/>
                <w:b/>
                <w:bCs/>
              </w:rPr>
              <w:t>Años de información financiera</w:t>
            </w:r>
          </w:p>
        </w:tc>
        <w:tc>
          <w:tcPr>
            <w:tcW w:w="3313" w:type="dxa"/>
            <w:shd w:val="clear" w:color="auto" w:fill="D9D9D9" w:themeFill="background1" w:themeFillShade="D9"/>
          </w:tcPr>
          <w:p w14:paraId="13775C97" w14:textId="77777777" w:rsidR="00902436" w:rsidRPr="00EA702B" w:rsidRDefault="00902436">
            <w:pPr>
              <w:widowControl w:val="0"/>
              <w:tabs>
                <w:tab w:val="left" w:pos="993"/>
              </w:tabs>
              <w:spacing w:after="120" w:line="276" w:lineRule="auto"/>
              <w:ind w:right="51" w:firstLine="709"/>
              <w:jc w:val="center"/>
              <w:rPr>
                <w:rFonts w:ascii="Arial" w:eastAsia="Arial" w:hAnsi="Arial" w:cs="Arial"/>
                <w:b/>
                <w:bCs/>
              </w:rPr>
            </w:pPr>
            <w:r w:rsidRPr="00EA702B">
              <w:rPr>
                <w:rFonts w:ascii="Arial" w:eastAsia="Arial" w:hAnsi="Arial" w:cs="Arial"/>
                <w:b/>
                <w:bCs/>
              </w:rPr>
              <w:t>Capacidad de organización</w:t>
            </w:r>
          </w:p>
        </w:tc>
      </w:tr>
      <w:tr w:rsidR="00902436" w:rsidRPr="00EA702B" w14:paraId="73E40DD0" w14:textId="77777777">
        <w:tc>
          <w:tcPr>
            <w:tcW w:w="4053" w:type="dxa"/>
          </w:tcPr>
          <w:p w14:paraId="434934B0" w14:textId="77777777" w:rsidR="00902436" w:rsidRPr="00EA702B" w:rsidRDefault="00902436">
            <w:pPr>
              <w:widowControl w:val="0"/>
              <w:tabs>
                <w:tab w:val="left" w:pos="993"/>
              </w:tabs>
              <w:spacing w:after="120" w:line="276" w:lineRule="auto"/>
              <w:ind w:right="51" w:firstLine="709"/>
              <w:jc w:val="both"/>
              <w:rPr>
                <w:rFonts w:ascii="Arial" w:eastAsia="Arial" w:hAnsi="Arial" w:cs="Arial"/>
              </w:rPr>
            </w:pPr>
            <w:r w:rsidRPr="00EA702B">
              <w:rPr>
                <w:rFonts w:ascii="Arial" w:eastAsia="Arial" w:hAnsi="Arial" w:cs="Arial"/>
              </w:rPr>
              <w:t>Cinco (5) años o más</w:t>
            </w:r>
          </w:p>
        </w:tc>
        <w:tc>
          <w:tcPr>
            <w:tcW w:w="3313" w:type="dxa"/>
          </w:tcPr>
          <w:p w14:paraId="6A770ABE" w14:textId="77777777" w:rsidR="00902436" w:rsidRPr="00EA702B" w:rsidRDefault="00902436">
            <w:pPr>
              <w:widowControl w:val="0"/>
              <w:tabs>
                <w:tab w:val="left" w:pos="993"/>
              </w:tabs>
              <w:spacing w:after="120" w:line="276" w:lineRule="auto"/>
              <w:ind w:right="51" w:firstLine="709"/>
              <w:jc w:val="both"/>
              <w:rPr>
                <w:rFonts w:ascii="Arial" w:eastAsia="Arial" w:hAnsi="Arial" w:cs="Arial"/>
              </w:rPr>
            </w:pPr>
            <w:r w:rsidRPr="00EA702B">
              <w:rPr>
                <w:rFonts w:ascii="Arial" w:eastAsia="Arial" w:hAnsi="Arial" w:cs="Arial"/>
              </w:rPr>
              <w:t>Mayor ingreso operacional de los últimos cinco años</w:t>
            </w:r>
          </w:p>
        </w:tc>
      </w:tr>
      <w:tr w:rsidR="00902436" w:rsidRPr="00EA702B" w14:paraId="295BDF4F" w14:textId="77777777">
        <w:tc>
          <w:tcPr>
            <w:tcW w:w="4053" w:type="dxa"/>
          </w:tcPr>
          <w:p w14:paraId="0EF2C8E5" w14:textId="77777777" w:rsidR="00902436" w:rsidRPr="00EA702B" w:rsidRDefault="00902436">
            <w:pPr>
              <w:widowControl w:val="0"/>
              <w:tabs>
                <w:tab w:val="left" w:pos="993"/>
              </w:tabs>
              <w:spacing w:after="120" w:line="276" w:lineRule="auto"/>
              <w:ind w:right="51" w:firstLine="709"/>
              <w:jc w:val="both"/>
              <w:rPr>
                <w:rFonts w:ascii="Arial" w:eastAsia="Arial" w:hAnsi="Arial" w:cs="Arial"/>
              </w:rPr>
            </w:pPr>
            <w:r w:rsidRPr="00EA702B">
              <w:rPr>
                <w:rFonts w:ascii="Arial" w:eastAsia="Arial" w:hAnsi="Arial" w:cs="Arial"/>
              </w:rPr>
              <w:t>Entre uno (1) y cinco (5) años</w:t>
            </w:r>
          </w:p>
        </w:tc>
        <w:tc>
          <w:tcPr>
            <w:tcW w:w="3313" w:type="dxa"/>
          </w:tcPr>
          <w:p w14:paraId="1311B510" w14:textId="77777777" w:rsidR="00902436" w:rsidRPr="00EA702B" w:rsidRDefault="00902436">
            <w:pPr>
              <w:widowControl w:val="0"/>
              <w:tabs>
                <w:tab w:val="left" w:pos="993"/>
              </w:tabs>
              <w:spacing w:after="120" w:line="276" w:lineRule="auto"/>
              <w:ind w:right="51" w:firstLine="709"/>
              <w:jc w:val="both"/>
              <w:rPr>
                <w:rFonts w:ascii="Arial" w:eastAsia="Arial" w:hAnsi="Arial" w:cs="Arial"/>
              </w:rPr>
            </w:pPr>
            <w:r w:rsidRPr="00EA702B">
              <w:rPr>
                <w:rFonts w:ascii="Arial" w:eastAsia="Arial" w:hAnsi="Arial" w:cs="Arial"/>
              </w:rPr>
              <w:t>Mayor ingreso operacional de los años de vida del oferente</w:t>
            </w:r>
          </w:p>
        </w:tc>
      </w:tr>
      <w:tr w:rsidR="00902436" w:rsidRPr="00EA702B" w14:paraId="27794CA2" w14:textId="77777777">
        <w:tc>
          <w:tcPr>
            <w:tcW w:w="4053" w:type="dxa"/>
          </w:tcPr>
          <w:p w14:paraId="4492B1E4" w14:textId="77777777" w:rsidR="00902436" w:rsidRPr="00EA702B" w:rsidRDefault="00902436">
            <w:pPr>
              <w:widowControl w:val="0"/>
              <w:tabs>
                <w:tab w:val="left" w:pos="993"/>
              </w:tabs>
              <w:spacing w:after="120" w:line="276" w:lineRule="auto"/>
              <w:ind w:right="51" w:firstLine="709"/>
              <w:jc w:val="both"/>
              <w:rPr>
                <w:rFonts w:ascii="Arial" w:eastAsia="Arial" w:hAnsi="Arial" w:cs="Arial"/>
              </w:rPr>
            </w:pPr>
            <w:r w:rsidRPr="00EA702B">
              <w:rPr>
                <w:rFonts w:ascii="Arial" w:eastAsia="Arial" w:hAnsi="Arial" w:cs="Arial"/>
              </w:rPr>
              <w:t>Menos de un (1) año</w:t>
            </w:r>
          </w:p>
        </w:tc>
        <w:tc>
          <w:tcPr>
            <w:tcW w:w="3313" w:type="dxa"/>
          </w:tcPr>
          <w:p w14:paraId="4ABF49A6" w14:textId="77777777" w:rsidR="00902436" w:rsidRPr="00EA702B" w:rsidRDefault="00902436">
            <w:pPr>
              <w:widowControl w:val="0"/>
              <w:tabs>
                <w:tab w:val="left" w:pos="993"/>
              </w:tabs>
              <w:spacing w:after="120" w:line="276" w:lineRule="auto"/>
              <w:ind w:right="51" w:firstLine="709"/>
              <w:jc w:val="both"/>
              <w:rPr>
                <w:rFonts w:ascii="Arial" w:eastAsia="Arial" w:hAnsi="Arial" w:cs="Arial"/>
              </w:rPr>
            </w:pPr>
            <w:r w:rsidRPr="00EA702B">
              <w:rPr>
                <w:rFonts w:ascii="Arial" w:eastAsia="Arial" w:hAnsi="Arial" w:cs="Arial"/>
              </w:rPr>
              <w:t>USD 125.000</w:t>
            </w:r>
          </w:p>
        </w:tc>
      </w:tr>
    </w:tbl>
    <w:p w14:paraId="737DA8D5" w14:textId="77777777" w:rsidR="00902436" w:rsidRPr="00EA702B" w:rsidRDefault="00902436" w:rsidP="00902436">
      <w:pPr>
        <w:widowControl w:val="0"/>
        <w:tabs>
          <w:tab w:val="left" w:pos="993"/>
        </w:tabs>
        <w:autoSpaceDE w:val="0"/>
        <w:autoSpaceDN w:val="0"/>
        <w:spacing w:after="120" w:line="276" w:lineRule="auto"/>
        <w:ind w:right="51" w:firstLine="709"/>
        <w:jc w:val="both"/>
        <w:rPr>
          <w:rFonts w:ascii="Arial" w:eastAsia="Arial" w:hAnsi="Arial" w:cs="Arial"/>
          <w:i/>
          <w:iCs/>
        </w:rPr>
      </w:pPr>
    </w:p>
    <w:p w14:paraId="36C2E63F" w14:textId="77777777" w:rsidR="00902436" w:rsidRPr="00EA702B" w:rsidRDefault="00902436" w:rsidP="00902436">
      <w:pPr>
        <w:widowControl w:val="0"/>
        <w:numPr>
          <w:ilvl w:val="0"/>
          <w:numId w:val="7"/>
        </w:numPr>
        <w:tabs>
          <w:tab w:val="left" w:pos="993"/>
        </w:tabs>
        <w:autoSpaceDE w:val="0"/>
        <w:autoSpaceDN w:val="0"/>
        <w:spacing w:after="120" w:line="276" w:lineRule="auto"/>
        <w:ind w:left="0" w:firstLine="709"/>
        <w:jc w:val="both"/>
        <w:rPr>
          <w:rFonts w:ascii="Arial" w:eastAsia="Arial" w:hAnsi="Arial" w:cs="Arial"/>
        </w:rPr>
      </w:pPr>
      <w:r w:rsidRPr="00EA702B">
        <w:rPr>
          <w:rFonts w:ascii="Arial" w:eastAsia="Arial" w:hAnsi="Arial" w:cs="Arial"/>
          <w:i/>
          <w:iCs/>
        </w:rPr>
        <w:t>Saldos de los contratos en ejecución</w:t>
      </w:r>
      <w:r w:rsidRPr="00EA702B">
        <w:rPr>
          <w:rFonts w:ascii="Arial" w:eastAsia="Arial" w:hAnsi="Arial" w:cs="Arial"/>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6E07C3E5" w14:textId="77777777" w:rsidR="00902436" w:rsidRPr="00EA702B" w:rsidRDefault="00902436" w:rsidP="00902436">
      <w:pPr>
        <w:widowControl w:val="0"/>
        <w:numPr>
          <w:ilvl w:val="0"/>
          <w:numId w:val="7"/>
        </w:numPr>
        <w:tabs>
          <w:tab w:val="left" w:pos="993"/>
        </w:tabs>
        <w:autoSpaceDE w:val="0"/>
        <w:autoSpaceDN w:val="0"/>
        <w:spacing w:after="120" w:line="276" w:lineRule="auto"/>
        <w:ind w:left="0" w:firstLine="709"/>
        <w:jc w:val="both"/>
        <w:rPr>
          <w:rFonts w:ascii="Arial" w:eastAsia="Arial" w:hAnsi="Arial" w:cs="Arial"/>
        </w:rPr>
      </w:pPr>
      <w:r w:rsidRPr="00EA702B">
        <w:rPr>
          <w:rFonts w:ascii="Arial" w:eastAsia="Arial" w:hAnsi="Arial" w:cs="Arial"/>
          <w:i/>
          <w:iCs/>
        </w:rPr>
        <w:t>Experiencia</w:t>
      </w:r>
      <w:r w:rsidRPr="00EA702B">
        <w:rPr>
          <w:rFonts w:ascii="Arial" w:eastAsia="Arial" w:hAnsi="Arial" w:cs="Arial"/>
        </w:rPr>
        <w:t xml:space="preserve">. Para los efectos de la capacidad residual −no para la experiencia general que debe acreditar el contratista según la Matriz 1−,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3AF30D32" w14:textId="77777777" w:rsidR="00902436" w:rsidRPr="00EA702B" w:rsidRDefault="00902436" w:rsidP="00902436">
      <w:pPr>
        <w:widowControl w:val="0"/>
        <w:autoSpaceDE w:val="0"/>
        <w:autoSpaceDN w:val="0"/>
        <w:spacing w:after="120" w:line="276" w:lineRule="auto"/>
        <w:ind w:firstLine="709"/>
        <w:jc w:val="both"/>
        <w:rPr>
          <w:rFonts w:ascii="Arial" w:eastAsia="Arial" w:hAnsi="Arial" w:cs="Arial"/>
        </w:rPr>
      </w:pPr>
      <w:r w:rsidRPr="00EA702B">
        <w:rPr>
          <w:rFonts w:ascii="Arial" w:eastAsia="Arial" w:hAnsi="Arial" w:cs="Arial"/>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sidRPr="00EA702B">
        <w:rPr>
          <w:rFonts w:ascii="Arial" w:eastAsia="Arial" w:hAnsi="Arial" w:cs="Arial"/>
          <w:vertAlign w:val="superscript"/>
        </w:rPr>
        <w:footnoteReference w:id="31"/>
      </w:r>
      <w:r w:rsidRPr="00EA702B">
        <w:rPr>
          <w:rFonts w:ascii="Arial" w:eastAsia="Arial" w:hAnsi="Arial" w:cs="Arial"/>
        </w:rPr>
        <w:t>.</w:t>
      </w:r>
    </w:p>
    <w:p w14:paraId="194E0B50" w14:textId="77777777" w:rsidR="00902436" w:rsidRPr="00EA702B" w:rsidRDefault="00902436" w:rsidP="00902436">
      <w:pPr>
        <w:spacing w:before="120" w:after="120" w:line="276" w:lineRule="auto"/>
        <w:ind w:firstLine="709"/>
        <w:jc w:val="both"/>
        <w:rPr>
          <w:rFonts w:ascii="Arial" w:hAnsi="Arial" w:cs="Arial"/>
          <w:color w:val="000000" w:themeColor="text1"/>
        </w:rPr>
      </w:pPr>
      <w:r w:rsidRPr="00EA702B">
        <w:rPr>
          <w:rFonts w:ascii="Arial" w:hAnsi="Arial" w:cs="Arial"/>
          <w:color w:val="000000" w:themeColor="text1"/>
        </w:rPr>
        <w:t>Respecto de factor de experiencia (</w:t>
      </w:r>
      <w:r w:rsidRPr="00EA702B">
        <w:rPr>
          <w:rFonts w:ascii="Arial" w:hAnsi="Arial" w:cs="Arial"/>
          <w:i/>
          <w:iCs/>
          <w:color w:val="000000" w:themeColor="text1"/>
        </w:rPr>
        <w:t>E</w:t>
      </w:r>
      <w:r w:rsidRPr="00EA702B">
        <w:rPr>
          <w:rFonts w:ascii="Arial" w:hAnsi="Arial" w:cs="Arial"/>
          <w:color w:val="000000" w:themeColor="text1"/>
        </w:rPr>
        <w:t xml:space="preserve">), esta Agencia, en la </w:t>
      </w:r>
      <w:r w:rsidRPr="00EA702B">
        <w:rPr>
          <w:rFonts w:ascii="Arial" w:hAnsi="Arial" w:cs="Arial"/>
          <w:i/>
          <w:iCs/>
          <w:color w:val="000000" w:themeColor="text1"/>
        </w:rPr>
        <w:t>Guía para Determinar y Verificar la Capacidad Residual del Proponente en los Procesos de Contratación de Obra Pública</w:t>
      </w:r>
      <w:r w:rsidRPr="00EA702B">
        <w:rPr>
          <w:rFonts w:ascii="Arial" w:hAnsi="Arial" w:cs="Arial"/>
          <w:color w:val="000000" w:themeColor="text1"/>
        </w:rPr>
        <w:t xml:space="preserve"> estableció una fórmula particular para su cálculo. Esta se obtiene realizando una operación aritmética de división del valor total en pesos de los contratos que figuran en el </w:t>
      </w:r>
      <w:r w:rsidRPr="00EA702B">
        <w:rPr>
          <w:rFonts w:ascii="Arial" w:hAnsi="Arial" w:cs="Arial"/>
          <w:color w:val="000000" w:themeColor="text1"/>
        </w:rPr>
        <w:lastRenderedPageBreak/>
        <w:t>RUP, entre el presupuesto oficial estimado del procedimiento contractual. El cociente de esta operación “[…] indica el número de veces que el proponente ha ejecutado contratos equivalentes a la cuantía del Proceso de Contratación objeto de la acreditación de la Capacidad Residual”. Dicha formula se expresa de la siguiente forma:</w:t>
      </w:r>
    </w:p>
    <w:p w14:paraId="6214AEDD" w14:textId="77777777" w:rsidR="00902436" w:rsidRPr="00EA702B" w:rsidRDefault="00902436" w:rsidP="00902436">
      <w:pPr>
        <w:widowControl w:val="0"/>
        <w:autoSpaceDE w:val="0"/>
        <w:autoSpaceDN w:val="0"/>
        <w:spacing w:after="120" w:line="276" w:lineRule="auto"/>
        <w:ind w:firstLine="709"/>
        <w:jc w:val="both"/>
        <w:rPr>
          <w:rFonts w:ascii="Arial" w:eastAsia="Arial" w:hAnsi="Arial" w:cs="Arial"/>
        </w:rPr>
      </w:pPr>
      <w:r w:rsidRPr="00EA702B">
        <w:rPr>
          <w:rFonts w:ascii="Arial" w:eastAsia="Arial" w:hAnsi="Arial" w:cs="Arial"/>
        </w:rPr>
        <w:t xml:space="preserve"> </w:t>
      </w:r>
      <w:r w:rsidRPr="00EA702B">
        <w:rPr>
          <w:rFonts w:ascii="Arial" w:hAnsi="Arial" w:cs="Arial"/>
          <w:noProof/>
          <w:color w:val="000000" w:themeColor="text1"/>
        </w:rPr>
        <w:drawing>
          <wp:inline distT="0" distB="0" distL="0" distR="0" wp14:anchorId="784D3A1F" wp14:editId="45BBB644">
            <wp:extent cx="6180788" cy="662400"/>
            <wp:effectExtent l="0" t="0" r="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extLst>
                        <a:ext uri="{28A0092B-C50C-407E-A947-70E740481C1C}">
                          <a14:useLocalDpi xmlns:a14="http://schemas.microsoft.com/office/drawing/2010/main" val="0"/>
                        </a:ext>
                      </a:extLst>
                    </a:blip>
                    <a:stretch>
                      <a:fillRect/>
                    </a:stretch>
                  </pic:blipFill>
                  <pic:spPr>
                    <a:xfrm>
                      <a:off x="0" y="0"/>
                      <a:ext cx="6237845" cy="668515"/>
                    </a:xfrm>
                    <a:prstGeom prst="rect">
                      <a:avLst/>
                    </a:prstGeom>
                  </pic:spPr>
                </pic:pic>
              </a:graphicData>
            </a:graphic>
          </wp:inline>
        </w:drawing>
      </w:r>
    </w:p>
    <w:p w14:paraId="4E8533F8" w14:textId="77777777" w:rsidR="00902436" w:rsidRPr="00EA702B" w:rsidRDefault="00902436" w:rsidP="00902436">
      <w:pPr>
        <w:spacing w:before="120" w:after="120" w:line="276" w:lineRule="auto"/>
        <w:ind w:firstLine="709"/>
        <w:jc w:val="both"/>
        <w:rPr>
          <w:rFonts w:ascii="Arial" w:hAnsi="Arial" w:cs="Arial"/>
          <w:color w:val="000000" w:themeColor="text1"/>
        </w:rPr>
      </w:pPr>
    </w:p>
    <w:p w14:paraId="67278935" w14:textId="7A05C23B" w:rsidR="00902436" w:rsidRPr="00EA702B" w:rsidRDefault="00902436" w:rsidP="00902436">
      <w:pPr>
        <w:spacing w:before="120" w:after="120" w:line="276" w:lineRule="auto"/>
        <w:ind w:firstLine="709"/>
        <w:jc w:val="both"/>
        <w:rPr>
          <w:rFonts w:ascii="Arial" w:hAnsi="Arial" w:cs="Arial"/>
          <w:color w:val="000000" w:themeColor="text1"/>
        </w:rPr>
      </w:pPr>
      <w:r w:rsidRPr="00EA702B">
        <w:rPr>
          <w:rFonts w:ascii="Arial" w:hAnsi="Arial" w:cs="Arial"/>
          <w:color w:val="000000" w:themeColor="text1"/>
        </w:rPr>
        <w:t xml:space="preserve">Debe advertirse que, para el cálculo del factor de experiencia (E), el proponente debe diligenciar el formato correspondiente al Anexo 1 de la referida Guía. Dicho anexo consiste en una tabla en la que deben identificarse los contratos inscritos en el RUP del proponente en el segmento 72 del Clasificador UNSPSC –correspondiente a </w:t>
      </w:r>
      <w:r w:rsidRPr="00EA702B">
        <w:rPr>
          <w:rFonts w:ascii="Arial" w:hAnsi="Arial" w:cs="Arial"/>
          <w:color w:val="000000"/>
          <w:bdr w:val="none" w:sz="0" w:space="0" w:color="auto" w:frame="1"/>
        </w:rPr>
        <w:t>“Servicios de Edificación, Construcción de Instalaciones y Mantenimiento”–</w:t>
      </w:r>
      <w:r w:rsidRPr="00EA702B">
        <w:rPr>
          <w:rFonts w:ascii="Arial" w:hAnsi="Arial" w:cs="Arial"/>
          <w:color w:val="000000" w:themeColor="text1"/>
        </w:rPr>
        <w:t>, su valor total en pesos colombianos liquidados con el SMMLV y el porcentaje de participación del proponente en la ejecución de cada uno de estos contratos. Tratándose de personas jurídicas con existencia inferior a tres (3) años, de conformidad con lo dispuesto en el numeral 2.5 del artículo 2.2.1.1.1.5.2. del Decreto 1082 de 2015</w:t>
      </w:r>
      <w:r w:rsidRPr="00EA702B">
        <w:rPr>
          <w:rStyle w:val="Refdenotaalpie"/>
          <w:rFonts w:ascii="Arial" w:hAnsi="Arial" w:cs="Arial"/>
          <w:color w:val="000000" w:themeColor="text1"/>
        </w:rPr>
        <w:footnoteReference w:id="32"/>
      </w:r>
      <w:r w:rsidRPr="00EA702B">
        <w:rPr>
          <w:rFonts w:ascii="Arial" w:hAnsi="Arial" w:cs="Arial"/>
          <w:color w:val="000000" w:themeColor="text1"/>
        </w:rPr>
        <w:t xml:space="preserve"> es posible que las mismas acrediten la experiencia de sus accionistas, socios o constituyentes, por lo que podrán tenerse en cuenta para el cálculo de la capacidad residual</w:t>
      </w:r>
      <w:r w:rsidR="008F3A72">
        <w:rPr>
          <w:rFonts w:ascii="Arial" w:hAnsi="Arial" w:cs="Arial"/>
          <w:color w:val="000000" w:themeColor="text1"/>
        </w:rPr>
        <w:t>, incluso después de los transcurridos los tres a</w:t>
      </w:r>
      <w:r w:rsidR="00A36B48">
        <w:rPr>
          <w:rFonts w:ascii="Arial" w:hAnsi="Arial" w:cs="Arial"/>
          <w:color w:val="000000" w:themeColor="text1"/>
        </w:rPr>
        <w:t>ños</w:t>
      </w:r>
      <w:r w:rsidRPr="00EA702B">
        <w:rPr>
          <w:rStyle w:val="Refdenotaalpie"/>
          <w:rFonts w:ascii="Arial" w:hAnsi="Arial" w:cs="Arial"/>
          <w:color w:val="000000" w:themeColor="text1"/>
        </w:rPr>
        <w:footnoteReference w:id="33"/>
      </w:r>
      <w:r w:rsidR="00E741C0">
        <w:rPr>
          <w:rFonts w:ascii="Arial" w:hAnsi="Arial" w:cs="Arial"/>
          <w:color w:val="000000" w:themeColor="text1"/>
        </w:rPr>
        <w:t>.</w:t>
      </w:r>
      <w:r w:rsidR="00343EA1">
        <w:rPr>
          <w:rFonts w:ascii="Arial" w:hAnsi="Arial" w:cs="Arial"/>
          <w:color w:val="000000" w:themeColor="text1"/>
        </w:rPr>
        <w:t xml:space="preserve"> </w:t>
      </w:r>
    </w:p>
    <w:p w14:paraId="72C7A778" w14:textId="77777777" w:rsidR="00902436" w:rsidRPr="00EA702B" w:rsidRDefault="00902436" w:rsidP="00902436">
      <w:pPr>
        <w:spacing w:before="120" w:after="120" w:line="276" w:lineRule="auto"/>
        <w:ind w:firstLine="709"/>
        <w:jc w:val="both"/>
        <w:rPr>
          <w:rFonts w:ascii="Arial" w:hAnsi="Arial" w:cs="Arial"/>
          <w:color w:val="000000" w:themeColor="text1"/>
        </w:rPr>
      </w:pPr>
      <w:r w:rsidRPr="00EA702B">
        <w:rPr>
          <w:rFonts w:ascii="Arial" w:hAnsi="Arial" w:cs="Arial"/>
          <w:color w:val="000000" w:themeColor="text1"/>
        </w:rPr>
        <w:lastRenderedPageBreak/>
        <w:t>Ahora bien, el cociente surgido de la aplicación de esta última formula sirve para establecer el valor que se remplazará en el factor (E) de la fórmula establecida supra para determinar la CRP. Para ello es necesario revisar la tabla establecida en el literal B del numeral 4 de la referida guía. Esta tabla establece cuatro rangos dentro de los que debe ubicarse el valor obtenido al realizar el cálculo del factor (E), en función de lo cual corresponde un determinado puntaje, el cual será el valor que corresponderá por el factor (E) en la fórmula para el calcula de la CRP.  La tabla consta de lo siguiente:</w:t>
      </w:r>
    </w:p>
    <w:tbl>
      <w:tblPr>
        <w:tblStyle w:val="Tablaconcuadrcula4-nfasis6"/>
        <w:tblW w:w="0" w:type="auto"/>
        <w:jc w:val="center"/>
        <w:tblLook w:val="04A0" w:firstRow="1" w:lastRow="0" w:firstColumn="1" w:lastColumn="0" w:noHBand="0" w:noVBand="1"/>
      </w:tblPr>
      <w:tblGrid>
        <w:gridCol w:w="1946"/>
        <w:gridCol w:w="1769"/>
        <w:gridCol w:w="2357"/>
      </w:tblGrid>
      <w:tr w:rsidR="00902436" w:rsidRPr="00EA702B" w14:paraId="5FD0C912"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6" w:type="dxa"/>
          </w:tcPr>
          <w:p w14:paraId="7070920A" w14:textId="77777777" w:rsidR="00902436" w:rsidRPr="00EA702B" w:rsidRDefault="00902436">
            <w:pPr>
              <w:ind w:right="709"/>
              <w:jc w:val="center"/>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Mayor a</w:t>
            </w:r>
          </w:p>
        </w:tc>
        <w:tc>
          <w:tcPr>
            <w:tcW w:w="1769" w:type="dxa"/>
          </w:tcPr>
          <w:p w14:paraId="299F75C2" w14:textId="77777777" w:rsidR="00902436" w:rsidRPr="00EA702B" w:rsidRDefault="00902436">
            <w:pPr>
              <w:ind w:right="-146"/>
              <w:cnfStyle w:val="100000000000" w:firstRow="1" w:lastRow="0" w:firstColumn="0" w:lastColumn="0" w:oddVBand="0" w:evenVBand="0" w:oddHBand="0"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Menor o igual a</w:t>
            </w:r>
          </w:p>
        </w:tc>
        <w:tc>
          <w:tcPr>
            <w:tcW w:w="2357" w:type="dxa"/>
          </w:tcPr>
          <w:p w14:paraId="65754B25" w14:textId="77777777" w:rsidR="00902436" w:rsidRPr="00EA702B" w:rsidRDefault="00902436">
            <w:pPr>
              <w:ind w:right="709"/>
              <w:jc w:val="center"/>
              <w:cnfStyle w:val="100000000000" w:firstRow="1" w:lastRow="0" w:firstColumn="0" w:lastColumn="0" w:oddVBand="0" w:evenVBand="0" w:oddHBand="0"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Puntaje</w:t>
            </w:r>
          </w:p>
        </w:tc>
      </w:tr>
      <w:tr w:rsidR="00902436" w:rsidRPr="00EA702B" w14:paraId="6F4077A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6" w:type="dxa"/>
          </w:tcPr>
          <w:p w14:paraId="67BE9054" w14:textId="77777777" w:rsidR="00902436" w:rsidRPr="00EA702B" w:rsidRDefault="00902436">
            <w:pPr>
              <w:ind w:right="709"/>
              <w:jc w:val="center"/>
              <w:rPr>
                <w:rFonts w:ascii="Arial" w:hAnsi="Arial" w:cs="Arial"/>
                <w:b w:val="0"/>
                <w:bCs w:val="0"/>
                <w:i/>
                <w:iCs/>
                <w:color w:val="262626" w:themeColor="text1" w:themeTint="D9"/>
                <w:sz w:val="22"/>
                <w:szCs w:val="22"/>
              </w:rPr>
            </w:pPr>
            <w:r w:rsidRPr="00EA702B">
              <w:rPr>
                <w:rFonts w:ascii="Arial" w:hAnsi="Arial" w:cs="Arial"/>
                <w:i/>
                <w:iCs/>
                <w:color w:val="262626" w:themeColor="text1" w:themeTint="D9"/>
                <w:sz w:val="22"/>
                <w:szCs w:val="22"/>
              </w:rPr>
              <w:t>0</w:t>
            </w:r>
          </w:p>
        </w:tc>
        <w:tc>
          <w:tcPr>
            <w:tcW w:w="1769" w:type="dxa"/>
          </w:tcPr>
          <w:p w14:paraId="14B3C9B9" w14:textId="77777777" w:rsidR="00902436" w:rsidRPr="00EA702B" w:rsidRDefault="00902436">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3</w:t>
            </w:r>
          </w:p>
        </w:tc>
        <w:tc>
          <w:tcPr>
            <w:tcW w:w="2357" w:type="dxa"/>
          </w:tcPr>
          <w:p w14:paraId="504E8490" w14:textId="77777777" w:rsidR="00902436" w:rsidRPr="00EA702B" w:rsidRDefault="00902436">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60</w:t>
            </w:r>
          </w:p>
        </w:tc>
      </w:tr>
      <w:tr w:rsidR="00902436" w:rsidRPr="00EA702B" w14:paraId="3859FE55" w14:textId="77777777">
        <w:trPr>
          <w:jc w:val="center"/>
        </w:trPr>
        <w:tc>
          <w:tcPr>
            <w:cnfStyle w:val="001000000000" w:firstRow="0" w:lastRow="0" w:firstColumn="1" w:lastColumn="0" w:oddVBand="0" w:evenVBand="0" w:oddHBand="0" w:evenHBand="0" w:firstRowFirstColumn="0" w:firstRowLastColumn="0" w:lastRowFirstColumn="0" w:lastRowLastColumn="0"/>
            <w:tcW w:w="1946" w:type="dxa"/>
          </w:tcPr>
          <w:p w14:paraId="173B3EBA" w14:textId="77777777" w:rsidR="00902436" w:rsidRPr="00EA702B" w:rsidRDefault="00902436">
            <w:pPr>
              <w:ind w:right="709"/>
              <w:jc w:val="center"/>
              <w:rPr>
                <w:rFonts w:ascii="Arial" w:hAnsi="Arial" w:cs="Arial"/>
                <w:b w:val="0"/>
                <w:bCs w:val="0"/>
                <w:i/>
                <w:iCs/>
                <w:color w:val="262626" w:themeColor="text1" w:themeTint="D9"/>
                <w:sz w:val="22"/>
                <w:szCs w:val="22"/>
              </w:rPr>
            </w:pPr>
            <w:r w:rsidRPr="00EA702B">
              <w:rPr>
                <w:rFonts w:ascii="Arial" w:hAnsi="Arial" w:cs="Arial"/>
                <w:i/>
                <w:iCs/>
                <w:color w:val="262626" w:themeColor="text1" w:themeTint="D9"/>
                <w:sz w:val="22"/>
                <w:szCs w:val="22"/>
              </w:rPr>
              <w:t>3</w:t>
            </w:r>
          </w:p>
        </w:tc>
        <w:tc>
          <w:tcPr>
            <w:tcW w:w="1769" w:type="dxa"/>
          </w:tcPr>
          <w:p w14:paraId="56E21F30" w14:textId="77777777" w:rsidR="00902436" w:rsidRPr="00EA702B" w:rsidRDefault="00902436">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6</w:t>
            </w:r>
          </w:p>
        </w:tc>
        <w:tc>
          <w:tcPr>
            <w:tcW w:w="2357" w:type="dxa"/>
          </w:tcPr>
          <w:p w14:paraId="3BD3686D" w14:textId="77777777" w:rsidR="00902436" w:rsidRPr="00EA702B" w:rsidRDefault="00902436">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80</w:t>
            </w:r>
          </w:p>
        </w:tc>
      </w:tr>
      <w:tr w:rsidR="00902436" w:rsidRPr="00EA702B" w14:paraId="5C25A707" w14:textId="77777777">
        <w:trPr>
          <w:cnfStyle w:val="000000100000" w:firstRow="0" w:lastRow="0" w:firstColumn="0" w:lastColumn="0" w:oddVBand="0" w:evenVBand="0" w:oddHBand="1"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1946" w:type="dxa"/>
          </w:tcPr>
          <w:p w14:paraId="6F7EC975" w14:textId="77777777" w:rsidR="00902436" w:rsidRPr="00EA702B" w:rsidRDefault="00902436">
            <w:pPr>
              <w:ind w:right="709"/>
              <w:jc w:val="center"/>
              <w:rPr>
                <w:rFonts w:ascii="Arial" w:hAnsi="Arial" w:cs="Arial"/>
                <w:b w:val="0"/>
                <w:bCs w:val="0"/>
                <w:i/>
                <w:iCs/>
                <w:color w:val="262626" w:themeColor="text1" w:themeTint="D9"/>
                <w:sz w:val="22"/>
                <w:szCs w:val="22"/>
              </w:rPr>
            </w:pPr>
            <w:r w:rsidRPr="00EA702B">
              <w:rPr>
                <w:rFonts w:ascii="Arial" w:hAnsi="Arial" w:cs="Arial"/>
                <w:i/>
                <w:iCs/>
                <w:color w:val="262626" w:themeColor="text1" w:themeTint="D9"/>
                <w:sz w:val="22"/>
                <w:szCs w:val="22"/>
              </w:rPr>
              <w:t>6</w:t>
            </w:r>
          </w:p>
        </w:tc>
        <w:tc>
          <w:tcPr>
            <w:tcW w:w="1769" w:type="dxa"/>
          </w:tcPr>
          <w:p w14:paraId="6E0391C0" w14:textId="77777777" w:rsidR="00902436" w:rsidRPr="00EA702B" w:rsidRDefault="00902436">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10</w:t>
            </w:r>
          </w:p>
        </w:tc>
        <w:tc>
          <w:tcPr>
            <w:tcW w:w="2357" w:type="dxa"/>
          </w:tcPr>
          <w:p w14:paraId="19FB6385" w14:textId="77777777" w:rsidR="00902436" w:rsidRPr="00EA702B" w:rsidRDefault="00902436">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100</w:t>
            </w:r>
          </w:p>
        </w:tc>
      </w:tr>
      <w:tr w:rsidR="00902436" w:rsidRPr="00EA702B" w14:paraId="6DBF9189" w14:textId="77777777">
        <w:trPr>
          <w:jc w:val="center"/>
        </w:trPr>
        <w:tc>
          <w:tcPr>
            <w:cnfStyle w:val="001000000000" w:firstRow="0" w:lastRow="0" w:firstColumn="1" w:lastColumn="0" w:oddVBand="0" w:evenVBand="0" w:oddHBand="0" w:evenHBand="0" w:firstRowFirstColumn="0" w:firstRowLastColumn="0" w:lastRowFirstColumn="0" w:lastRowLastColumn="0"/>
            <w:tcW w:w="1946" w:type="dxa"/>
          </w:tcPr>
          <w:p w14:paraId="2B859CD9" w14:textId="77777777" w:rsidR="00902436" w:rsidRPr="00EA702B" w:rsidRDefault="00902436">
            <w:pPr>
              <w:ind w:right="709"/>
              <w:jc w:val="center"/>
              <w:rPr>
                <w:rFonts w:ascii="Arial" w:hAnsi="Arial" w:cs="Arial"/>
                <w:b w:val="0"/>
                <w:bCs w:val="0"/>
                <w:i/>
                <w:iCs/>
                <w:color w:val="262626" w:themeColor="text1" w:themeTint="D9"/>
                <w:sz w:val="22"/>
                <w:szCs w:val="22"/>
              </w:rPr>
            </w:pPr>
            <w:r w:rsidRPr="00EA702B">
              <w:rPr>
                <w:rFonts w:ascii="Arial" w:hAnsi="Arial" w:cs="Arial"/>
                <w:i/>
                <w:iCs/>
                <w:color w:val="262626" w:themeColor="text1" w:themeTint="D9"/>
                <w:sz w:val="22"/>
                <w:szCs w:val="22"/>
              </w:rPr>
              <w:t>10</w:t>
            </w:r>
          </w:p>
        </w:tc>
        <w:tc>
          <w:tcPr>
            <w:tcW w:w="1769" w:type="dxa"/>
          </w:tcPr>
          <w:p w14:paraId="3FDEFA7D" w14:textId="77777777" w:rsidR="00902436" w:rsidRPr="00EA702B" w:rsidRDefault="00902436">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Mayores</w:t>
            </w:r>
          </w:p>
        </w:tc>
        <w:tc>
          <w:tcPr>
            <w:tcW w:w="2357" w:type="dxa"/>
          </w:tcPr>
          <w:p w14:paraId="683C5617" w14:textId="77777777" w:rsidR="00902436" w:rsidRPr="00EA702B" w:rsidRDefault="00902436">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2"/>
                <w:szCs w:val="22"/>
              </w:rPr>
            </w:pPr>
            <w:r w:rsidRPr="00EA702B">
              <w:rPr>
                <w:rFonts w:ascii="Arial" w:hAnsi="Arial" w:cs="Arial"/>
                <w:i/>
                <w:iCs/>
                <w:color w:val="262626" w:themeColor="text1" w:themeTint="D9"/>
                <w:sz w:val="22"/>
                <w:szCs w:val="22"/>
              </w:rPr>
              <w:t>120</w:t>
            </w:r>
          </w:p>
        </w:tc>
      </w:tr>
    </w:tbl>
    <w:p w14:paraId="693F2529" w14:textId="77777777" w:rsidR="00902436" w:rsidRDefault="00902436" w:rsidP="00902436">
      <w:pPr>
        <w:pStyle w:val="NormalWeb"/>
        <w:spacing w:after="120" w:line="276" w:lineRule="auto"/>
        <w:ind w:firstLine="709"/>
        <w:jc w:val="both"/>
        <w:rPr>
          <w:rFonts w:ascii="Arial" w:hAnsi="Arial" w:cs="Arial"/>
          <w:color w:val="000000"/>
          <w:sz w:val="22"/>
          <w:szCs w:val="22"/>
          <w:bdr w:val="none" w:sz="0" w:space="0" w:color="auto" w:frame="1"/>
        </w:rPr>
      </w:pPr>
    </w:p>
    <w:p w14:paraId="3681816B" w14:textId="77777777" w:rsidR="00902436" w:rsidRDefault="00902436" w:rsidP="00902436">
      <w:pPr>
        <w:pStyle w:val="NormalWeb"/>
        <w:spacing w:after="120" w:line="276" w:lineRule="auto"/>
        <w:ind w:firstLine="709"/>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Conforme a lo anterior, la referida guía es</w:t>
      </w:r>
      <w:r w:rsidRPr="00EA702B">
        <w:rPr>
          <w:rFonts w:ascii="Arial" w:hAnsi="Arial" w:cs="Arial"/>
          <w:color w:val="000000"/>
          <w:sz w:val="22"/>
          <w:szCs w:val="22"/>
          <w:bdr w:val="none" w:sz="0" w:space="0" w:color="auto" w:frame="1"/>
        </w:rPr>
        <w:t xml:space="preserve"> clara al establecer que el factor de experiencia (E) se obtiene realizando una división del valor total en pesos de los contratos que inscritos en el RUP del proponente en el segmento 72 del Clasificador </w:t>
      </w:r>
      <w:r w:rsidRPr="00EA702B">
        <w:rPr>
          <w:rFonts w:ascii="Arial" w:hAnsi="Arial" w:cs="Arial"/>
          <w:color w:val="000000" w:themeColor="text1"/>
          <w:sz w:val="22"/>
          <w:szCs w:val="22"/>
        </w:rPr>
        <w:t>UNSPSC, entre</w:t>
      </w:r>
      <w:r w:rsidRPr="00EA702B">
        <w:rPr>
          <w:rFonts w:ascii="Arial" w:hAnsi="Arial" w:cs="Arial"/>
          <w:color w:val="000000"/>
          <w:sz w:val="22"/>
          <w:szCs w:val="22"/>
          <w:bdr w:val="none" w:sz="0" w:space="0" w:color="auto" w:frame="1"/>
        </w:rPr>
        <w:t xml:space="preserve"> el presupuesto oficial estimado del procedimiento contractual multiplicado por el porcentaje de participación en el proponente.  La relación indica el número de veces que el proponente ha ejecutado contratos equivalentes a la cuantía del Proceso de Contratación objeto de la acreditación de la Capacidad Residual. </w:t>
      </w:r>
    </w:p>
    <w:p w14:paraId="1DB5E57A" w14:textId="2A9D3746" w:rsidR="00233A47" w:rsidRPr="00CC200E" w:rsidRDefault="00EE71D2" w:rsidP="00845C54">
      <w:pPr>
        <w:spacing w:line="276" w:lineRule="auto"/>
        <w:jc w:val="both"/>
        <w:rPr>
          <w:rFonts w:ascii="Arial" w:eastAsia="Calibri" w:hAnsi="Arial" w:cs="Arial"/>
          <w:b/>
          <w:bCs/>
          <w:color w:val="000000" w:themeColor="text1"/>
        </w:rPr>
      </w:pPr>
      <w:r w:rsidRPr="00CC200E">
        <w:rPr>
          <w:rFonts w:ascii="Arial" w:eastAsia="Calibri" w:hAnsi="Arial" w:cs="Arial"/>
          <w:b/>
          <w:bCs/>
          <w:color w:val="000000" w:themeColor="text1"/>
        </w:rPr>
        <w:t>3. Respuesta</w:t>
      </w:r>
    </w:p>
    <w:p w14:paraId="38F10521" w14:textId="77777777" w:rsidR="00EE71D2" w:rsidRPr="00CC200E" w:rsidRDefault="00EE71D2" w:rsidP="00845C54">
      <w:pPr>
        <w:spacing w:after="0" w:line="240" w:lineRule="auto"/>
        <w:ind w:left="709" w:right="709"/>
        <w:jc w:val="both"/>
        <w:rPr>
          <w:rFonts w:ascii="Arial" w:hAnsi="Arial" w:cs="Arial"/>
          <w:sz w:val="21"/>
          <w:szCs w:val="21"/>
        </w:rPr>
      </w:pPr>
      <w:r w:rsidRPr="00CC200E">
        <w:rPr>
          <w:rFonts w:ascii="Arial" w:hAnsi="Arial" w:cs="Arial"/>
          <w:sz w:val="21"/>
          <w:szCs w:val="21"/>
        </w:rPr>
        <w:t xml:space="preserve">“[…] 1. ¿Una empresa conformada por Sociedad por Acciones Simplificada (SAS), constituida con más de 3 años, puede utilizar la experiencia del accionista para contratar en un proceso de contratación estatal por modalidad de mínima cuantía o </w:t>
      </w:r>
      <w:r w:rsidRPr="00CC200E">
        <w:rPr>
          <w:rFonts w:ascii="Arial" w:hAnsi="Arial" w:cs="Arial"/>
          <w:color w:val="000000"/>
          <w:sz w:val="21"/>
          <w:szCs w:val="21"/>
          <w:shd w:val="clear" w:color="auto" w:fill="FFFFFF"/>
        </w:rPr>
        <w:t>Licitación pública (Obra pública)</w:t>
      </w:r>
      <w:r w:rsidRPr="00CC200E">
        <w:rPr>
          <w:rFonts w:ascii="Arial" w:hAnsi="Arial" w:cs="Arial"/>
          <w:sz w:val="21"/>
          <w:szCs w:val="21"/>
        </w:rPr>
        <w:t>, cuando luego de pasado los 3 años y no permitiese que los efectos del RUP cesen?</w:t>
      </w:r>
    </w:p>
    <w:p w14:paraId="115E8B39" w14:textId="77777777" w:rsidR="00EE71D2" w:rsidRPr="00CC200E" w:rsidRDefault="00EE71D2" w:rsidP="00845C54">
      <w:pPr>
        <w:spacing w:after="0" w:line="240" w:lineRule="auto"/>
        <w:ind w:left="709" w:right="709"/>
        <w:jc w:val="both"/>
        <w:rPr>
          <w:rFonts w:ascii="Arial" w:hAnsi="Arial" w:cs="Arial"/>
          <w:sz w:val="21"/>
          <w:szCs w:val="21"/>
        </w:rPr>
      </w:pPr>
    </w:p>
    <w:p w14:paraId="730FC114" w14:textId="77777777" w:rsidR="00EE71D2" w:rsidRPr="00CC200E" w:rsidRDefault="00EE71D2" w:rsidP="00845C54">
      <w:pPr>
        <w:spacing w:after="0" w:line="240" w:lineRule="auto"/>
        <w:ind w:left="709" w:right="709"/>
        <w:jc w:val="both"/>
        <w:rPr>
          <w:rFonts w:ascii="Arial" w:hAnsi="Arial" w:cs="Arial"/>
          <w:sz w:val="21"/>
          <w:szCs w:val="21"/>
        </w:rPr>
      </w:pPr>
      <w:r w:rsidRPr="00CC200E">
        <w:rPr>
          <w:rFonts w:ascii="Arial" w:hAnsi="Arial" w:cs="Arial"/>
          <w:sz w:val="21"/>
          <w:szCs w:val="21"/>
        </w:rPr>
        <w:t>2. ¿Una empresa con más de 3 años constituidas con experiencia acreditada de los socios o accionistas en el RUP, debe eliminar dicha experiencia si los socios se retiran luego de los tres años de constituida la empresa?</w:t>
      </w:r>
    </w:p>
    <w:p w14:paraId="3E6EFF06" w14:textId="77777777" w:rsidR="00EE71D2" w:rsidRPr="00CC200E" w:rsidRDefault="00EE71D2" w:rsidP="00845C54">
      <w:pPr>
        <w:spacing w:after="0" w:line="240" w:lineRule="auto"/>
        <w:ind w:left="709" w:right="709"/>
        <w:jc w:val="both"/>
        <w:rPr>
          <w:rFonts w:ascii="Arial" w:hAnsi="Arial" w:cs="Arial"/>
          <w:sz w:val="21"/>
          <w:szCs w:val="21"/>
        </w:rPr>
      </w:pPr>
    </w:p>
    <w:p w14:paraId="433A4C3E" w14:textId="77777777" w:rsidR="00EE71D2" w:rsidRPr="00CC200E" w:rsidRDefault="00EE71D2" w:rsidP="00845C54">
      <w:pPr>
        <w:spacing w:after="0" w:line="240" w:lineRule="auto"/>
        <w:ind w:left="709" w:right="709"/>
        <w:jc w:val="both"/>
        <w:rPr>
          <w:rFonts w:ascii="Arial" w:hAnsi="Arial" w:cs="Arial"/>
          <w:sz w:val="21"/>
          <w:szCs w:val="21"/>
        </w:rPr>
      </w:pPr>
      <w:r w:rsidRPr="00CC200E">
        <w:rPr>
          <w:rFonts w:ascii="Arial" w:hAnsi="Arial" w:cs="Arial"/>
          <w:sz w:val="21"/>
          <w:szCs w:val="21"/>
        </w:rPr>
        <w:t>3. ¿Una empresa con más de 3 años constituidas la cual los efectos del RUP nunca cesaron, para el cálculo de la capacidad residual, puntualmente en el apartado de experiencia, debe reportar todos los contratos relacionados del Segmento 72 relacionados en el RUP, incluyendo la de socios y accionista presentes en el RUP, así estos ya no se encuentren vinculados a la empresa?</w:t>
      </w:r>
    </w:p>
    <w:p w14:paraId="2E8BAFCE" w14:textId="77777777" w:rsidR="00EE71D2" w:rsidRPr="00CC200E" w:rsidRDefault="00EE71D2" w:rsidP="00845C54">
      <w:pPr>
        <w:spacing w:after="0" w:line="240" w:lineRule="auto"/>
        <w:ind w:left="709" w:right="709"/>
        <w:jc w:val="both"/>
        <w:rPr>
          <w:rFonts w:ascii="Arial" w:hAnsi="Arial" w:cs="Arial"/>
          <w:sz w:val="21"/>
          <w:szCs w:val="21"/>
        </w:rPr>
      </w:pPr>
    </w:p>
    <w:p w14:paraId="1B672D5C" w14:textId="0739726B" w:rsidR="00EE71D2" w:rsidRPr="00CC200E" w:rsidRDefault="00EE71D2" w:rsidP="00845C54">
      <w:pPr>
        <w:spacing w:after="0" w:line="240" w:lineRule="auto"/>
        <w:ind w:left="709" w:right="709"/>
        <w:jc w:val="both"/>
        <w:rPr>
          <w:rFonts w:ascii="Arial" w:hAnsi="Arial" w:cs="Arial"/>
          <w:sz w:val="21"/>
          <w:szCs w:val="21"/>
        </w:rPr>
      </w:pPr>
      <w:r w:rsidRPr="00CC200E">
        <w:rPr>
          <w:rFonts w:ascii="Arial" w:hAnsi="Arial" w:cs="Arial"/>
          <w:sz w:val="21"/>
          <w:szCs w:val="21"/>
        </w:rPr>
        <w:lastRenderedPageBreak/>
        <w:t>4. ¿Para el cálculo de la capacidad residual, si se comete algún error al momento de reportar el saldo de contratos en ejecución procede a un rechazo de la oferta, si la entidad no pidió aclaración de dichos contratos, esto bajo el concepto que se presentaron la cantidad de contratos en ejecución, pero se cometió algún error al digitar las fechas o algún otro valor requerido conforme a la guía para cálculo de capacidad residual, dado por Colombia Compra Eficiente? […]”</w:t>
      </w:r>
    </w:p>
    <w:p w14:paraId="5A9D42AD" w14:textId="77777777" w:rsidR="005E7ABA" w:rsidRPr="00CC200E" w:rsidRDefault="005E7ABA" w:rsidP="00845C54">
      <w:pPr>
        <w:spacing w:after="0" w:line="240" w:lineRule="auto"/>
        <w:ind w:left="709" w:right="709"/>
        <w:jc w:val="both"/>
        <w:rPr>
          <w:rFonts w:ascii="Arial" w:hAnsi="Arial" w:cs="Arial"/>
          <w:sz w:val="21"/>
          <w:szCs w:val="21"/>
        </w:rPr>
      </w:pPr>
    </w:p>
    <w:p w14:paraId="1A0818E7" w14:textId="5CA33381" w:rsidR="005E7ABA" w:rsidRPr="00CC200E" w:rsidRDefault="005E7ABA" w:rsidP="00845C54">
      <w:pPr>
        <w:spacing w:line="276" w:lineRule="auto"/>
        <w:jc w:val="both"/>
        <w:rPr>
          <w:rFonts w:ascii="Arial" w:eastAsia="Calibri" w:hAnsi="Arial" w:cs="Arial"/>
          <w:color w:val="000000" w:themeColor="text1"/>
        </w:rPr>
      </w:pPr>
      <w:r w:rsidRPr="00CC200E">
        <w:rPr>
          <w:rFonts w:ascii="Arial" w:eastAsia="Calibri" w:hAnsi="Arial" w:cs="Arial"/>
          <w:color w:val="000000" w:themeColor="text1"/>
        </w:rPr>
        <w:t xml:space="preserve">Conforme a lo expuesto, el numeral 2.5 del artículo 2.2.1.1.1.5. del Decreto 1082 de 2015 establece una prerrogativa en atención a la cual, las personas jurídicas con menos de tres (3) años de constitución pueden inscribir en el RUP la experiencia adquirida por sus socios, accionistas o constituyentes y, en consecuencia, acreditarla como propia en los procesos de contratación en los que participen o pretendan participar. Lo anterior, con el fin de permitir que las sociedades que no cuentan con la experiencia suficiente para contratar con el </w:t>
      </w:r>
      <w:r w:rsidR="000B7C05" w:rsidRPr="00CC200E">
        <w:rPr>
          <w:rFonts w:ascii="Arial" w:eastAsia="Calibri" w:hAnsi="Arial" w:cs="Arial"/>
          <w:color w:val="000000" w:themeColor="text1"/>
        </w:rPr>
        <w:t>Estado</w:t>
      </w:r>
      <w:r w:rsidRPr="00CC200E">
        <w:rPr>
          <w:rFonts w:ascii="Arial" w:eastAsia="Calibri" w:hAnsi="Arial" w:cs="Arial"/>
          <w:color w:val="000000" w:themeColor="text1"/>
        </w:rPr>
        <w:t xml:space="preserve"> puedan apoyarse en la experiencia de sus accionistas, socios o constituyentes, para así incentivar la competencia en la contratación estatal y garantizar la pluralidad de oferentes. </w:t>
      </w:r>
    </w:p>
    <w:p w14:paraId="568A1527" w14:textId="62FE9F71" w:rsidR="005E7ABA" w:rsidRPr="00CC200E" w:rsidRDefault="005E7ABA"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 xml:space="preserve">En ese orden, la transferencia de la experiencia de los accionistas, socios o constituyentes a la persona jurídica sólo podrá realizarse cuando esta cuente con menos de tres (3) años de constitución. </w:t>
      </w:r>
      <w:r w:rsidR="000B7C05" w:rsidRPr="00CC200E">
        <w:rPr>
          <w:rFonts w:ascii="Arial" w:eastAsia="Calibri" w:hAnsi="Arial" w:cs="Arial"/>
          <w:color w:val="000000" w:themeColor="text1"/>
        </w:rPr>
        <w:t xml:space="preserve">Así las cosas, y en lo </w:t>
      </w:r>
      <w:r w:rsidRPr="00CC200E">
        <w:rPr>
          <w:rFonts w:ascii="Arial" w:eastAsia="Calibri" w:hAnsi="Arial" w:cs="Arial"/>
          <w:color w:val="000000" w:themeColor="text1"/>
        </w:rPr>
        <w:t xml:space="preserve">que respecta a la </w:t>
      </w:r>
      <w:r w:rsidRPr="00CC200E">
        <w:rPr>
          <w:rFonts w:ascii="Arial" w:eastAsia="Calibri" w:hAnsi="Arial" w:cs="Arial"/>
          <w:i/>
          <w:iCs/>
          <w:color w:val="000000" w:themeColor="text1"/>
        </w:rPr>
        <w:t>conservación de esta experiencia</w:t>
      </w:r>
      <w:r w:rsidRPr="00CC200E">
        <w:rPr>
          <w:rFonts w:ascii="Arial" w:eastAsia="Calibri" w:hAnsi="Arial" w:cs="Arial"/>
          <w:color w:val="000000" w:themeColor="text1"/>
        </w:rPr>
        <w:t xml:space="preserve">, debe señalarse que, la sociedad con menos de tres (3) años de constituida que ha registrado la experiencia de sus socios, accionistas y constituyentes en el RUP y lo ha renovado con frecuencia de forma oportuna, </w:t>
      </w:r>
      <w:r w:rsidRPr="00CC200E">
        <w:rPr>
          <w:rFonts w:ascii="Arial" w:eastAsia="Calibri" w:hAnsi="Arial" w:cs="Arial"/>
          <w:i/>
          <w:iCs/>
          <w:color w:val="000000" w:themeColor="text1"/>
        </w:rPr>
        <w:t>tendrá la facultad de continuar utilizando la experiencia inscrita mientras no cesen los efectos del RUP, incluso después de transcurridos los tres (3) años</w:t>
      </w:r>
      <w:r w:rsidRPr="00CC200E">
        <w:rPr>
          <w:rFonts w:ascii="Arial" w:eastAsia="Calibri" w:hAnsi="Arial" w:cs="Arial"/>
          <w:color w:val="000000" w:themeColor="text1"/>
        </w:rPr>
        <w:t xml:space="preserve">. Por el contrario, si este no se renueva y la persona jurídica supera los tres (3)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A5A4F90" w14:textId="11070033" w:rsidR="005E7ABA" w:rsidRPr="00CC200E" w:rsidRDefault="004B3164"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t>Ahora bien, f</w:t>
      </w:r>
      <w:r w:rsidR="005E7ABA" w:rsidRPr="00CC200E">
        <w:rPr>
          <w:rFonts w:ascii="Arial" w:eastAsia="Calibri" w:hAnsi="Arial" w:cs="Arial"/>
          <w:color w:val="000000" w:themeColor="text1"/>
        </w:rPr>
        <w:t>rente a la consulta planteada acerca de la posibilidad de que si una persona jurídica puede seguir acreditando la experiencia de un socio o accionista que ya no hace parte de la sociedad después de los tres (3) primeros años, debe señalar</w:t>
      </w:r>
      <w:r w:rsidR="008D3DAF" w:rsidRPr="00CC200E">
        <w:rPr>
          <w:rFonts w:ascii="Arial" w:eastAsia="Calibri" w:hAnsi="Arial" w:cs="Arial"/>
          <w:color w:val="000000" w:themeColor="text1"/>
        </w:rPr>
        <w:t>se</w:t>
      </w:r>
      <w:r w:rsidR="005E7ABA" w:rsidRPr="00CC200E">
        <w:rPr>
          <w:rFonts w:ascii="Arial" w:eastAsia="Calibri" w:hAnsi="Arial" w:cs="Arial"/>
          <w:color w:val="000000" w:themeColor="text1"/>
        </w:rPr>
        <w:t xml:space="preserve"> que, el Decreto 1082 de 2015 solo permite que una sociedad acredite la experiencia de quienes tienen la calidad de accionistas, socios o constituyentes durante los primeros tres (3) años de su constitución. Por tanto, si se pierden estas calidades, como sucedería cuando uno de ellos se retira, ya no sería posible que la sociedad en uso de la prerrogativa dispuesta en la precitada norma acredite la experiencia aportada por dicha persona. En consecuencia, la persona jurídica debería actualizar la experiencia en el RUP y abstenerse de inscribir la adquirida por el socio que vendió o cedió sus acciones y se retira de la sociedad, actuando así de buena fe en el proceso de contratación.</w:t>
      </w:r>
    </w:p>
    <w:p w14:paraId="45AB0B59" w14:textId="77777777" w:rsidR="005E7ABA" w:rsidRPr="00CC200E" w:rsidRDefault="005E7ABA" w:rsidP="00845C54">
      <w:pPr>
        <w:spacing w:line="276" w:lineRule="auto"/>
        <w:ind w:firstLine="708"/>
        <w:jc w:val="both"/>
        <w:rPr>
          <w:rFonts w:ascii="Arial" w:eastAsia="Calibri" w:hAnsi="Arial" w:cs="Arial"/>
          <w:color w:val="000000" w:themeColor="text1"/>
        </w:rPr>
      </w:pPr>
      <w:r w:rsidRPr="00CC200E">
        <w:rPr>
          <w:rFonts w:ascii="Arial" w:eastAsia="Calibri" w:hAnsi="Arial" w:cs="Arial"/>
          <w:color w:val="000000" w:themeColor="text1"/>
        </w:rPr>
        <w:lastRenderedPageBreak/>
        <w:t>Esta interpretación se impone en atención a fin de evitar prácticas corruptas o que atenten contra la transparencia en la contratación estatal. De igual forma, lo anterior se fundamenta como se explicó en líneas atrás, en el carácter personalísimo de la experiencia respecto de la persona que la ha adquirido y que solo en casos excepcionales y por disposición legal o reglamentaria, como en el caso del numeral 2.5. del artículo 2.2.1.1.1.5.2. del Decreto 1082 de 2015, se presume de otra forma. En ese sentido, si el socio se retira de la sociedad por venta o cesión de su participación accionaria, no puede vender o ceder su experiencia para que el adquirente o cesionario de la participación accionaria la aporte a la sociedad.</w:t>
      </w:r>
    </w:p>
    <w:p w14:paraId="0B0DBDF8" w14:textId="77777777" w:rsidR="008D528C" w:rsidRPr="00CC200E" w:rsidRDefault="0058738C" w:rsidP="00845C54">
      <w:pPr>
        <w:spacing w:line="276" w:lineRule="auto"/>
        <w:ind w:firstLine="708"/>
        <w:jc w:val="both"/>
        <w:rPr>
          <w:rFonts w:ascii="Arial" w:hAnsi="Arial" w:cs="Arial"/>
          <w:lang w:val="es-ES_tradnl"/>
        </w:rPr>
      </w:pPr>
      <w:r w:rsidRPr="00CC200E">
        <w:rPr>
          <w:rFonts w:ascii="Arial" w:eastAsia="Calibri" w:hAnsi="Arial" w:cs="Arial"/>
          <w:color w:val="000000" w:themeColor="text1"/>
        </w:rPr>
        <w:t xml:space="preserve">Finalmente, y </w:t>
      </w:r>
      <w:r w:rsidR="00AB3798" w:rsidRPr="00CC200E">
        <w:rPr>
          <w:rFonts w:ascii="Arial" w:eastAsia="Calibri" w:hAnsi="Arial" w:cs="Arial"/>
          <w:color w:val="000000" w:themeColor="text1"/>
        </w:rPr>
        <w:t>en relación con</w:t>
      </w:r>
      <w:r w:rsidRPr="00CC200E">
        <w:rPr>
          <w:rFonts w:ascii="Arial" w:eastAsia="Calibri" w:hAnsi="Arial" w:cs="Arial"/>
          <w:color w:val="000000" w:themeColor="text1"/>
        </w:rPr>
        <w:t xml:space="preserve"> la capacidad residual ha de precisarse que </w:t>
      </w:r>
      <w:r w:rsidR="00AB3798" w:rsidRPr="00CC200E">
        <w:rPr>
          <w:rFonts w:ascii="Arial" w:hAnsi="Arial" w:cs="Arial"/>
        </w:rPr>
        <w:t xml:space="preserve">es un requisito habilitante que está sujeto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en este concepto, es decir, </w:t>
      </w:r>
      <w:r w:rsidR="00AB3798" w:rsidRPr="00CC200E">
        <w:rPr>
          <w:rFonts w:ascii="Arial" w:hAnsi="Arial" w:cs="Arial"/>
          <w:lang w:val="es-ES_tradnl"/>
        </w:rPr>
        <w:t>que lo omitido no sea un factor que afecte la asignación de puntaje, que sea la prueba de una circunstancia o hecho que ocurrió con anterioridad al cierre del proceso y que no existe disposición legal o en el pliego de condiciones que prohíba su subsanación</w:t>
      </w:r>
      <w:r w:rsidR="008D528C" w:rsidRPr="00CC200E">
        <w:rPr>
          <w:rFonts w:ascii="Arial" w:hAnsi="Arial" w:cs="Arial"/>
          <w:lang w:val="es-ES_tradnl"/>
        </w:rPr>
        <w:t>.</w:t>
      </w:r>
    </w:p>
    <w:p w14:paraId="23CD677E" w14:textId="07DDCE53" w:rsidR="005E7ABA" w:rsidRPr="00CC200E" w:rsidRDefault="00A96E9E" w:rsidP="00845C54">
      <w:pPr>
        <w:spacing w:after="120" w:line="276" w:lineRule="auto"/>
        <w:jc w:val="both"/>
        <w:rPr>
          <w:rFonts w:ascii="Arial" w:eastAsia="Times New Roman" w:hAnsi="Arial" w:cs="Arial"/>
          <w:lang w:val="es-ES_tradnl" w:eastAsia="es-ES_tradnl"/>
        </w:rPr>
      </w:pPr>
      <w:r w:rsidRPr="00CC200E">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CCCBD25" w14:textId="1CF2BAC6" w:rsidR="007536B9" w:rsidRPr="00CC200E" w:rsidRDefault="00717B6D" w:rsidP="00845C54">
      <w:pPr>
        <w:spacing w:after="120" w:line="276" w:lineRule="auto"/>
        <w:jc w:val="both"/>
        <w:rPr>
          <w:rFonts w:ascii="Arial" w:eastAsia="Times New Roman" w:hAnsi="Arial" w:cs="Arial"/>
          <w:lang w:val="es-ES_tradnl" w:eastAsia="es-ES_tradnl"/>
        </w:rPr>
      </w:pPr>
      <w:r w:rsidRPr="00CC200E">
        <w:rPr>
          <w:rFonts w:ascii="Arial" w:eastAsia="Times New Roman" w:hAnsi="Arial" w:cs="Arial"/>
          <w:lang w:val="es-ES_tradnl" w:eastAsia="es-ES_tradnl"/>
        </w:rPr>
        <w:t>Atentamente,</w:t>
      </w:r>
    </w:p>
    <w:p w14:paraId="7945E712" w14:textId="540AD94B" w:rsidR="003734C1" w:rsidRPr="00CC200E" w:rsidRDefault="00B23F4A" w:rsidP="00845C54">
      <w:pPr>
        <w:spacing w:line="276" w:lineRule="auto"/>
        <w:jc w:val="center"/>
        <w:rPr>
          <w:rFonts w:ascii="Arial" w:eastAsia="Calibri" w:hAnsi="Arial" w:cs="Arial"/>
          <w:b/>
          <w:bCs/>
          <w:color w:val="000000" w:themeColor="text1"/>
          <w:lang w:val="es-ES_tradnl"/>
        </w:rPr>
      </w:pPr>
      <w:r>
        <w:rPr>
          <w:rFonts w:ascii="Arial" w:hAnsi="Arial" w:cs="Arial"/>
          <w:noProof/>
          <w:lang w:val="es-ES_tradnl"/>
        </w:rPr>
        <w:drawing>
          <wp:inline distT="0" distB="0" distL="0" distR="0" wp14:anchorId="3F3EEF3C" wp14:editId="6C6C943B">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734C1" w:rsidRPr="00CC200E" w14:paraId="7A66BFB3" w14:textId="77777777">
        <w:trPr>
          <w:trHeight w:val="315"/>
        </w:trPr>
        <w:tc>
          <w:tcPr>
            <w:tcW w:w="812" w:type="dxa"/>
            <w:vAlign w:val="center"/>
            <w:hideMark/>
          </w:tcPr>
          <w:p w14:paraId="4F14A741" w14:textId="77777777" w:rsidR="003734C1" w:rsidRPr="00CC200E" w:rsidRDefault="003734C1" w:rsidP="00845C54">
            <w:pPr>
              <w:jc w:val="both"/>
              <w:rPr>
                <w:rFonts w:ascii="Arial" w:eastAsia="Times New Roman" w:hAnsi="Arial" w:cs="Arial"/>
                <w:color w:val="000000" w:themeColor="text1"/>
                <w:sz w:val="16"/>
                <w:szCs w:val="16"/>
                <w:lang w:val="es-ES_tradnl" w:eastAsia="es-ES"/>
              </w:rPr>
            </w:pPr>
            <w:r w:rsidRPr="00CC200E">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6614140" w14:textId="4846DE47" w:rsidR="003734C1" w:rsidRPr="00CC200E" w:rsidRDefault="003734C1" w:rsidP="00845C54">
            <w:pPr>
              <w:jc w:val="both"/>
              <w:rPr>
                <w:rFonts w:ascii="Arial" w:eastAsia="Times New Roman" w:hAnsi="Arial" w:cs="Arial"/>
                <w:color w:val="000000" w:themeColor="text1"/>
                <w:sz w:val="16"/>
                <w:szCs w:val="16"/>
                <w:lang w:val="es-ES_tradnl" w:eastAsia="es-ES"/>
              </w:rPr>
            </w:pPr>
            <w:r w:rsidRPr="00CC200E">
              <w:rPr>
                <w:rFonts w:ascii="Arial" w:eastAsia="Times New Roman" w:hAnsi="Arial" w:cs="Arial"/>
                <w:color w:val="000000" w:themeColor="text1"/>
                <w:sz w:val="16"/>
                <w:szCs w:val="16"/>
                <w:lang w:val="es-ES_tradnl" w:eastAsia="es-ES"/>
              </w:rPr>
              <w:t>Ana María Ortiz Ballesteros</w:t>
            </w:r>
          </w:p>
          <w:p w14:paraId="3C112FE2" w14:textId="77777777" w:rsidR="003734C1" w:rsidRPr="00CC200E" w:rsidRDefault="003734C1" w:rsidP="00845C54">
            <w:pPr>
              <w:jc w:val="both"/>
              <w:rPr>
                <w:rFonts w:ascii="Arial" w:eastAsia="Times New Roman" w:hAnsi="Arial" w:cs="Arial"/>
                <w:color w:val="000000" w:themeColor="text1"/>
                <w:sz w:val="16"/>
                <w:szCs w:val="16"/>
                <w:lang w:val="es-ES_tradnl" w:eastAsia="es-ES"/>
              </w:rPr>
            </w:pPr>
            <w:r w:rsidRPr="00CC200E">
              <w:rPr>
                <w:rFonts w:ascii="Arial" w:eastAsia="Times New Roman" w:hAnsi="Arial" w:cs="Arial"/>
                <w:color w:val="000000" w:themeColor="text1"/>
                <w:sz w:val="16"/>
                <w:szCs w:val="16"/>
                <w:lang w:val="es-ES_tradnl" w:eastAsia="es-ES"/>
              </w:rPr>
              <w:t xml:space="preserve">Contratista de la Subdirección de Gestión Contractual  </w:t>
            </w:r>
          </w:p>
        </w:tc>
      </w:tr>
      <w:tr w:rsidR="003734C1" w:rsidRPr="00CC200E" w14:paraId="0E1FCC0C" w14:textId="77777777">
        <w:trPr>
          <w:trHeight w:val="330"/>
        </w:trPr>
        <w:tc>
          <w:tcPr>
            <w:tcW w:w="812" w:type="dxa"/>
            <w:vAlign w:val="center"/>
            <w:hideMark/>
          </w:tcPr>
          <w:p w14:paraId="52D5249F" w14:textId="77777777" w:rsidR="003734C1" w:rsidRPr="00CC200E" w:rsidRDefault="003734C1" w:rsidP="00845C54">
            <w:pPr>
              <w:jc w:val="both"/>
              <w:rPr>
                <w:rFonts w:ascii="Arial" w:eastAsia="Times New Roman" w:hAnsi="Arial" w:cs="Arial"/>
                <w:color w:val="000000" w:themeColor="text1"/>
                <w:sz w:val="16"/>
                <w:szCs w:val="16"/>
                <w:lang w:val="es-ES_tradnl" w:eastAsia="es-ES"/>
              </w:rPr>
            </w:pPr>
            <w:r w:rsidRPr="00CC200E">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48C319" w14:textId="77777777" w:rsidR="003734C1" w:rsidRPr="00CC200E" w:rsidRDefault="003734C1" w:rsidP="00845C54">
            <w:pPr>
              <w:rPr>
                <w:rFonts w:ascii="Arial" w:hAnsi="Arial" w:cs="Arial"/>
                <w:color w:val="000000" w:themeColor="text1"/>
                <w:sz w:val="16"/>
                <w:szCs w:val="16"/>
                <w:lang w:eastAsia="es-ES"/>
              </w:rPr>
            </w:pPr>
            <w:r w:rsidRPr="00CC200E">
              <w:rPr>
                <w:rFonts w:ascii="Arial" w:hAnsi="Arial" w:cs="Arial"/>
                <w:color w:val="000000" w:themeColor="text1"/>
                <w:sz w:val="16"/>
                <w:szCs w:val="16"/>
                <w:lang w:eastAsia="es-ES"/>
              </w:rPr>
              <w:t>Alejandro Sarmiento Cantillo</w:t>
            </w:r>
          </w:p>
          <w:p w14:paraId="1A461852" w14:textId="3CFB488A" w:rsidR="003734C1" w:rsidRPr="00CC200E" w:rsidRDefault="003734C1" w:rsidP="00845C54">
            <w:pPr>
              <w:rPr>
                <w:rFonts w:ascii="Arial" w:hAnsi="Arial" w:cs="Arial"/>
                <w:color w:val="000000" w:themeColor="text1"/>
                <w:sz w:val="16"/>
                <w:szCs w:val="16"/>
                <w:lang w:eastAsia="es-ES"/>
              </w:rPr>
            </w:pPr>
            <w:r w:rsidRPr="00CC200E">
              <w:rPr>
                <w:rFonts w:ascii="Arial" w:hAnsi="Arial" w:cs="Arial"/>
                <w:color w:val="000000" w:themeColor="text1"/>
                <w:sz w:val="16"/>
                <w:szCs w:val="16"/>
                <w:lang w:eastAsia="es-ES"/>
              </w:rPr>
              <w:t>Gestor T1-15 de la Subdirección de Gestión Contractual</w:t>
            </w:r>
          </w:p>
        </w:tc>
      </w:tr>
      <w:tr w:rsidR="003734C1" w:rsidRPr="00CC200E" w14:paraId="73A84742" w14:textId="77777777">
        <w:trPr>
          <w:trHeight w:val="300"/>
        </w:trPr>
        <w:tc>
          <w:tcPr>
            <w:tcW w:w="812" w:type="dxa"/>
            <w:vAlign w:val="center"/>
            <w:hideMark/>
          </w:tcPr>
          <w:p w14:paraId="74E39C0F" w14:textId="77777777" w:rsidR="003734C1" w:rsidRPr="00CC200E" w:rsidRDefault="003734C1" w:rsidP="00845C54">
            <w:pPr>
              <w:jc w:val="both"/>
              <w:rPr>
                <w:rFonts w:ascii="Arial" w:eastAsia="Times New Roman" w:hAnsi="Arial" w:cs="Arial"/>
                <w:color w:val="000000" w:themeColor="text1"/>
                <w:sz w:val="16"/>
                <w:szCs w:val="16"/>
                <w:lang w:val="es-ES_tradnl" w:eastAsia="es-ES"/>
              </w:rPr>
            </w:pPr>
            <w:r w:rsidRPr="00CC200E">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E6D206" w14:textId="0EEEC8D9" w:rsidR="003734C1" w:rsidRPr="00CC200E" w:rsidRDefault="003734C1" w:rsidP="00845C54">
            <w:pPr>
              <w:rPr>
                <w:rFonts w:ascii="Arial" w:eastAsia="Calibri" w:hAnsi="Arial" w:cs="Arial"/>
                <w:sz w:val="16"/>
                <w:szCs w:val="16"/>
                <w:lang w:val="pt-BR" w:eastAsia="es-ES"/>
              </w:rPr>
            </w:pPr>
            <w:r w:rsidRPr="00CC200E">
              <w:rPr>
                <w:rFonts w:ascii="Arial" w:eastAsia="Calibri" w:hAnsi="Arial" w:cs="Arial"/>
                <w:sz w:val="16"/>
                <w:szCs w:val="16"/>
                <w:lang w:val="pt-BR" w:eastAsia="es-ES"/>
              </w:rPr>
              <w:t>Nohelia Del Carmen Zawady Palacio</w:t>
            </w:r>
          </w:p>
          <w:p w14:paraId="641423A4" w14:textId="77777777" w:rsidR="003734C1" w:rsidRPr="00CC200E" w:rsidRDefault="003734C1" w:rsidP="00845C54">
            <w:pPr>
              <w:jc w:val="both"/>
              <w:rPr>
                <w:rFonts w:ascii="Arial" w:eastAsia="Times New Roman" w:hAnsi="Arial" w:cs="Arial"/>
                <w:color w:val="000000" w:themeColor="text1"/>
                <w:sz w:val="16"/>
                <w:szCs w:val="16"/>
                <w:lang w:val="es-ES_tradnl" w:eastAsia="es-ES"/>
              </w:rPr>
            </w:pPr>
            <w:r w:rsidRPr="00CC200E">
              <w:rPr>
                <w:rFonts w:ascii="Arial" w:eastAsia="Calibri" w:hAnsi="Arial" w:cs="Arial"/>
                <w:sz w:val="16"/>
                <w:szCs w:val="16"/>
                <w:lang w:eastAsia="es-ES"/>
              </w:rPr>
              <w:t>Subdirectora</w:t>
            </w:r>
            <w:r w:rsidRPr="00CC200E">
              <w:rPr>
                <w:rFonts w:ascii="Arial" w:eastAsia="Calibri" w:hAnsi="Arial" w:cs="Arial"/>
                <w:sz w:val="16"/>
                <w:szCs w:val="16"/>
                <w:lang w:val="pt-BR" w:eastAsia="es-ES"/>
              </w:rPr>
              <w:t xml:space="preserve"> de Gestión Contractual ANCP – CCE</w:t>
            </w:r>
          </w:p>
        </w:tc>
      </w:tr>
    </w:tbl>
    <w:p w14:paraId="6FDEBD64" w14:textId="77777777" w:rsidR="003734C1" w:rsidRPr="00CC200E" w:rsidRDefault="003734C1" w:rsidP="00845C54">
      <w:pPr>
        <w:spacing w:line="276" w:lineRule="auto"/>
        <w:jc w:val="both"/>
        <w:rPr>
          <w:rFonts w:ascii="Arial" w:eastAsia="Calibri" w:hAnsi="Arial" w:cs="Arial"/>
          <w:color w:val="000000" w:themeColor="text1"/>
          <w:lang w:val="es-ES_tradnl"/>
        </w:rPr>
      </w:pPr>
    </w:p>
    <w:sectPr w:rsidR="003734C1" w:rsidRPr="00CC200E" w:rsidSect="00923EEF">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0DC27" w14:textId="77777777" w:rsidR="00FE42A5" w:rsidRDefault="00FE42A5" w:rsidP="004A1847">
      <w:pPr>
        <w:spacing w:after="0" w:line="240" w:lineRule="auto"/>
      </w:pPr>
      <w:r>
        <w:separator/>
      </w:r>
    </w:p>
  </w:endnote>
  <w:endnote w:type="continuationSeparator" w:id="0">
    <w:p w14:paraId="79B04839" w14:textId="77777777" w:rsidR="00FE42A5" w:rsidRDefault="00FE42A5" w:rsidP="004A1847">
      <w:pPr>
        <w:spacing w:after="0" w:line="240" w:lineRule="auto"/>
      </w:pPr>
      <w:r>
        <w:continuationSeparator/>
      </w:r>
    </w:p>
  </w:endnote>
  <w:endnote w:type="continuationNotice" w:id="1">
    <w:p w14:paraId="094991D9" w14:textId="77777777" w:rsidR="00FE42A5" w:rsidRDefault="00FE42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479E5" w14:textId="77777777" w:rsidR="00FE42A5" w:rsidRDefault="00FE42A5" w:rsidP="004A1847">
      <w:pPr>
        <w:spacing w:after="0" w:line="240" w:lineRule="auto"/>
      </w:pPr>
      <w:r>
        <w:separator/>
      </w:r>
    </w:p>
  </w:footnote>
  <w:footnote w:type="continuationSeparator" w:id="0">
    <w:p w14:paraId="06E62E9E" w14:textId="77777777" w:rsidR="00FE42A5" w:rsidRDefault="00FE42A5" w:rsidP="004A1847">
      <w:pPr>
        <w:spacing w:after="0" w:line="240" w:lineRule="auto"/>
      </w:pPr>
      <w:r>
        <w:continuationSeparator/>
      </w:r>
    </w:p>
  </w:footnote>
  <w:footnote w:type="continuationNotice" w:id="1">
    <w:p w14:paraId="0A3B8237" w14:textId="77777777" w:rsidR="00FE42A5" w:rsidRDefault="00FE42A5">
      <w:pPr>
        <w:spacing w:after="0" w:line="240" w:lineRule="auto"/>
      </w:pPr>
    </w:p>
  </w:footnote>
  <w:footnote w:id="2">
    <w:p w14:paraId="3DEDF0FD" w14:textId="77777777" w:rsidR="002E2777" w:rsidRPr="00DA793A" w:rsidRDefault="002E2777" w:rsidP="002E2777">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A793A">
        <w:rPr>
          <w:rFonts w:ascii="Arial" w:hAnsi="Arial" w:cs="Arial"/>
          <w:i/>
          <w:iCs/>
          <w:sz w:val="18"/>
          <w:szCs w:val="18"/>
        </w:rPr>
        <w:t xml:space="preserve">ibidem </w:t>
      </w:r>
      <w:r w:rsidRPr="00DA793A">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6C42E27A" w14:textId="77777777" w:rsidR="002E2777" w:rsidRPr="00DA793A" w:rsidRDefault="002E2777" w:rsidP="002E2777">
      <w:pPr>
        <w:pStyle w:val="Textonotapie"/>
        <w:ind w:firstLine="708"/>
        <w:jc w:val="both"/>
        <w:rPr>
          <w:rFonts w:ascii="Arial" w:hAnsi="Arial" w:cs="Arial"/>
          <w:sz w:val="18"/>
          <w:szCs w:val="18"/>
        </w:rPr>
      </w:pPr>
    </w:p>
    <w:p w14:paraId="5CF74C44" w14:textId="77777777" w:rsidR="002E2777" w:rsidRPr="00DA793A" w:rsidRDefault="002E2777" w:rsidP="002E2777">
      <w:pPr>
        <w:pStyle w:val="Textonotapie"/>
        <w:ind w:firstLine="708"/>
        <w:jc w:val="both"/>
        <w:rPr>
          <w:rFonts w:ascii="Arial" w:hAnsi="Arial" w:cs="Arial"/>
          <w:sz w:val="18"/>
          <w:szCs w:val="18"/>
          <w:lang w:val="es-ES"/>
        </w:rPr>
      </w:pPr>
    </w:p>
  </w:footnote>
  <w:footnote w:id="3">
    <w:p w14:paraId="281CBC4D" w14:textId="1011EA62" w:rsidR="002E2777" w:rsidRPr="00DA793A" w:rsidRDefault="002E2777" w:rsidP="00FB26A1">
      <w:pPr>
        <w:pStyle w:val="Textonotapie"/>
        <w:ind w:firstLine="708"/>
        <w:jc w:val="both"/>
        <w:rPr>
          <w:rFonts w:ascii="Arial" w:hAnsi="Arial" w:cs="Arial"/>
          <w:sz w:val="18"/>
          <w:szCs w:val="18"/>
          <w:shd w:val="clear" w:color="auto" w:fill="E6E6E6"/>
        </w:rPr>
      </w:pPr>
      <w:r w:rsidRPr="00DA793A">
        <w:rPr>
          <w:rStyle w:val="Refdenotaalpie"/>
          <w:rFonts w:ascii="Arial" w:hAnsi="Arial" w:cs="Arial"/>
          <w:sz w:val="18"/>
          <w:szCs w:val="18"/>
        </w:rPr>
        <w:footnoteRef/>
      </w:r>
      <w:r w:rsidRPr="00DA793A">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DA793A">
          <w:rPr>
            <w:rStyle w:val="Hipervnculo"/>
            <w:rFonts w:ascii="Arial" w:hAnsi="Arial" w:cs="Arial"/>
            <w:color w:val="auto"/>
            <w:sz w:val="18"/>
            <w:szCs w:val="18"/>
          </w:rPr>
          <w:t>https://relatoria.colombiacompra.gov.co/busqueda/conceptos</w:t>
        </w:r>
      </w:hyperlink>
      <w:r w:rsidRPr="00DA793A">
        <w:rPr>
          <w:rStyle w:val="Hipervnculo"/>
          <w:rFonts w:ascii="Arial" w:hAnsi="Arial" w:cs="Arial"/>
          <w:color w:val="auto"/>
          <w:sz w:val="18"/>
          <w:szCs w:val="18"/>
        </w:rPr>
        <w:t xml:space="preserve">. </w:t>
      </w:r>
      <w:r w:rsidRPr="00DA793A">
        <w:rPr>
          <w:rFonts w:ascii="Arial" w:hAnsi="Arial" w:cs="Arial"/>
          <w:sz w:val="18"/>
          <w:szCs w:val="18"/>
          <w:shd w:val="clear" w:color="auto" w:fill="E6E6E6"/>
        </w:rPr>
        <w:t xml:space="preserve"> </w:t>
      </w:r>
    </w:p>
  </w:footnote>
  <w:footnote w:id="4">
    <w:p w14:paraId="0F3C08FB" w14:textId="45EFEC9D" w:rsidR="00D14339" w:rsidRPr="00DA793A" w:rsidRDefault="00D14339" w:rsidP="00D14339">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Ley 1150 de 2007: </w:t>
      </w:r>
      <w:r w:rsidR="005C58E1" w:rsidRPr="00DA793A">
        <w:rPr>
          <w:rFonts w:ascii="Arial" w:hAnsi="Arial" w:cs="Arial"/>
          <w:sz w:val="18"/>
          <w:szCs w:val="18"/>
        </w:rPr>
        <w:t>“</w:t>
      </w:r>
      <w:r w:rsidRPr="00DA793A">
        <w:rPr>
          <w:rFonts w:ascii="Arial" w:hAnsi="Arial" w:cs="Arial"/>
          <w:sz w:val="18"/>
          <w:szCs w:val="18"/>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37F7F34C" w14:textId="7CD01EF8" w:rsidR="00D14339" w:rsidRPr="00DA793A" w:rsidRDefault="00D14339" w:rsidP="00FB26A1">
      <w:pPr>
        <w:pStyle w:val="Textonotapie"/>
        <w:ind w:firstLine="708"/>
        <w:jc w:val="both"/>
        <w:rPr>
          <w:rFonts w:ascii="Arial" w:hAnsi="Arial" w:cs="Arial"/>
          <w:sz w:val="18"/>
          <w:szCs w:val="18"/>
        </w:rPr>
      </w:pPr>
      <w:r w:rsidRPr="00DA793A">
        <w:rPr>
          <w:rFonts w:ascii="Arial"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00D5164E" w:rsidRPr="00DA793A">
        <w:rPr>
          <w:rFonts w:ascii="Arial" w:hAnsi="Arial" w:cs="Arial"/>
          <w:sz w:val="18"/>
          <w:szCs w:val="18"/>
        </w:rPr>
        <w:t>”</w:t>
      </w:r>
      <w:r w:rsidRPr="00DA793A">
        <w:rPr>
          <w:rFonts w:ascii="Arial" w:hAnsi="Arial" w:cs="Arial"/>
          <w:sz w:val="18"/>
          <w:szCs w:val="18"/>
        </w:rPr>
        <w:t>.</w:t>
      </w:r>
    </w:p>
  </w:footnote>
  <w:footnote w:id="5">
    <w:p w14:paraId="54FB9065" w14:textId="5E90F022" w:rsidR="00D14339" w:rsidRPr="00DA793A" w:rsidRDefault="00D14339" w:rsidP="00FB26A1">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Decreto 1082 de 2015: </w:t>
      </w:r>
      <w:r w:rsidR="00585772" w:rsidRPr="00DA793A">
        <w:rPr>
          <w:rFonts w:ascii="Arial" w:hAnsi="Arial" w:cs="Arial"/>
          <w:sz w:val="18"/>
          <w:szCs w:val="18"/>
        </w:rPr>
        <w:t>“</w:t>
      </w:r>
      <w:r w:rsidRPr="00DA793A">
        <w:rPr>
          <w:rFonts w:ascii="Arial" w:hAnsi="Arial" w:cs="Arial"/>
          <w:sz w:val="18"/>
          <w:szCs w:val="18"/>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585772" w:rsidRPr="00DA793A">
        <w:rPr>
          <w:rFonts w:ascii="Arial" w:hAnsi="Arial" w:cs="Arial"/>
          <w:sz w:val="18"/>
          <w:szCs w:val="18"/>
        </w:rPr>
        <w:t>”</w:t>
      </w:r>
      <w:r w:rsidRPr="00DA793A">
        <w:rPr>
          <w:rFonts w:ascii="Arial" w:hAnsi="Arial" w:cs="Arial"/>
          <w:sz w:val="18"/>
          <w:szCs w:val="18"/>
        </w:rPr>
        <w:t xml:space="preserve">. </w:t>
      </w:r>
    </w:p>
  </w:footnote>
  <w:footnote w:id="6">
    <w:p w14:paraId="7E6DF03D" w14:textId="4C023850" w:rsidR="00D14339" w:rsidRPr="00DA793A" w:rsidRDefault="00D14339" w:rsidP="00FB26A1">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Decreto 1082 de 2015: </w:t>
      </w:r>
      <w:r w:rsidR="0009701F" w:rsidRPr="00DA793A">
        <w:rPr>
          <w:rFonts w:ascii="Arial" w:hAnsi="Arial" w:cs="Arial"/>
          <w:sz w:val="18"/>
          <w:szCs w:val="18"/>
        </w:rPr>
        <w:t>“</w:t>
      </w:r>
      <w:r w:rsidRPr="00DA793A">
        <w:rPr>
          <w:rFonts w:ascii="Arial" w:hAnsi="Arial" w:cs="Arial"/>
          <w:sz w:val="18"/>
          <w:szCs w:val="18"/>
        </w:rPr>
        <w:t>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r w:rsidR="0009701F" w:rsidRPr="00DA793A">
        <w:rPr>
          <w:rFonts w:ascii="Arial" w:hAnsi="Arial" w:cs="Arial"/>
          <w:sz w:val="18"/>
          <w:szCs w:val="18"/>
        </w:rPr>
        <w:t>”</w:t>
      </w:r>
      <w:r w:rsidRPr="00DA793A">
        <w:rPr>
          <w:rFonts w:ascii="Arial" w:hAnsi="Arial" w:cs="Arial"/>
          <w:sz w:val="18"/>
          <w:szCs w:val="18"/>
        </w:rPr>
        <w:t>.</w:t>
      </w:r>
    </w:p>
  </w:footnote>
  <w:footnote w:id="7">
    <w:p w14:paraId="39BD286F" w14:textId="00852BB5" w:rsidR="00D14339" w:rsidRDefault="00D14339" w:rsidP="00911CE2">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Ley 1150 de 2007: </w:t>
      </w:r>
      <w:r w:rsidR="00911CE2" w:rsidRPr="00DA793A">
        <w:rPr>
          <w:rFonts w:ascii="Arial" w:hAnsi="Arial" w:cs="Arial"/>
          <w:sz w:val="18"/>
          <w:szCs w:val="18"/>
        </w:rPr>
        <w:t>“</w:t>
      </w:r>
      <w:r w:rsidRPr="00DA793A">
        <w:rPr>
          <w:rFonts w:ascii="Arial" w:hAnsi="Arial" w:cs="Arial"/>
          <w:sz w:val="18"/>
          <w:szCs w:val="18"/>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911CE2" w:rsidRPr="00DA793A">
        <w:rPr>
          <w:rFonts w:ascii="Arial" w:hAnsi="Arial" w:cs="Arial"/>
          <w:sz w:val="18"/>
          <w:szCs w:val="18"/>
        </w:rPr>
        <w:t>”</w:t>
      </w:r>
      <w:r w:rsidRPr="00DA793A">
        <w:rPr>
          <w:rFonts w:ascii="Arial" w:hAnsi="Arial" w:cs="Arial"/>
          <w:sz w:val="18"/>
          <w:szCs w:val="18"/>
        </w:rPr>
        <w:t xml:space="preserve"> [...] </w:t>
      </w:r>
      <w:r w:rsidR="00911CE2" w:rsidRPr="00DA793A">
        <w:rPr>
          <w:rFonts w:ascii="Arial" w:hAnsi="Arial" w:cs="Arial"/>
          <w:sz w:val="18"/>
          <w:szCs w:val="18"/>
        </w:rPr>
        <w:t>“</w:t>
      </w:r>
      <w:r w:rsidRPr="00DA793A">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r w:rsidR="00911CE2" w:rsidRPr="00DA793A">
        <w:rPr>
          <w:rFonts w:ascii="Arial" w:hAnsi="Arial" w:cs="Arial"/>
          <w:sz w:val="18"/>
          <w:szCs w:val="18"/>
        </w:rPr>
        <w:t>”</w:t>
      </w:r>
      <w:r w:rsidRPr="00DA793A">
        <w:rPr>
          <w:rFonts w:ascii="Arial" w:hAnsi="Arial" w:cs="Arial"/>
          <w:sz w:val="18"/>
          <w:szCs w:val="18"/>
        </w:rPr>
        <w:t>.</w:t>
      </w:r>
    </w:p>
    <w:p w14:paraId="5F14E486" w14:textId="77777777" w:rsidR="00687F91" w:rsidRPr="00DA793A" w:rsidRDefault="00687F91" w:rsidP="00911CE2">
      <w:pPr>
        <w:pStyle w:val="Textonotapie"/>
        <w:ind w:firstLine="708"/>
        <w:jc w:val="both"/>
        <w:rPr>
          <w:rFonts w:ascii="Arial" w:hAnsi="Arial" w:cs="Arial"/>
          <w:sz w:val="18"/>
          <w:szCs w:val="18"/>
        </w:rPr>
      </w:pPr>
    </w:p>
  </w:footnote>
  <w:footnote w:id="8">
    <w:p w14:paraId="28C4EF69" w14:textId="0D58A0BB" w:rsidR="00D14339" w:rsidRPr="00DA793A" w:rsidRDefault="00D14339" w:rsidP="00D14339">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Decreto 1082 de 2015: </w:t>
      </w:r>
      <w:r w:rsidR="00911CE2" w:rsidRPr="00DA793A">
        <w:rPr>
          <w:rFonts w:ascii="Arial" w:hAnsi="Arial" w:cs="Arial"/>
          <w:sz w:val="18"/>
          <w:szCs w:val="18"/>
        </w:rPr>
        <w:t>“</w:t>
      </w:r>
      <w:r w:rsidRPr="00DA793A">
        <w:rPr>
          <w:rFonts w:ascii="Arial" w:hAnsi="Arial" w:cs="Arial"/>
          <w:sz w:val="18"/>
          <w:szCs w:val="18"/>
        </w:rPr>
        <w:t xml:space="preserve">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62154C1" w14:textId="77777777"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 xml:space="preserve">1. Si es una persona natural: </w:t>
      </w:r>
    </w:p>
    <w:p w14:paraId="67BD4022" w14:textId="77777777"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 xml:space="preserve">1.1. Bienes, obras y servicios que ofrecerá a las Entidades Estatales, identificados con el Clasificador de Bienes y Servicios en el tercer nivel. </w:t>
      </w:r>
    </w:p>
    <w:p w14:paraId="0C1091C7" w14:textId="71E6A6B2" w:rsidR="00D14339" w:rsidRPr="00DA793A" w:rsidRDefault="00D14339" w:rsidP="00911CE2">
      <w:pPr>
        <w:pStyle w:val="Textonotapie"/>
        <w:ind w:firstLine="708"/>
        <w:jc w:val="both"/>
        <w:rPr>
          <w:rFonts w:ascii="Arial" w:hAnsi="Arial" w:cs="Arial"/>
          <w:sz w:val="18"/>
          <w:szCs w:val="18"/>
        </w:rPr>
      </w:pPr>
      <w:r w:rsidRPr="00DA793A">
        <w:rPr>
          <w:rFonts w:ascii="Arial" w:hAnsi="Arial"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sidR="00911CE2" w:rsidRPr="00DA793A">
        <w:rPr>
          <w:rFonts w:ascii="Arial" w:hAnsi="Arial" w:cs="Arial"/>
          <w:sz w:val="18"/>
          <w:szCs w:val="18"/>
        </w:rPr>
        <w:t>”</w:t>
      </w:r>
      <w:r w:rsidRPr="00DA793A">
        <w:rPr>
          <w:rFonts w:ascii="Arial" w:hAnsi="Arial" w:cs="Arial"/>
          <w:sz w:val="18"/>
          <w:szCs w:val="18"/>
        </w:rPr>
        <w:t>.</w:t>
      </w:r>
    </w:p>
  </w:footnote>
  <w:footnote w:id="9">
    <w:p w14:paraId="72B542CD" w14:textId="412618E8" w:rsidR="00D14339" w:rsidRPr="00DA793A" w:rsidRDefault="00D14339" w:rsidP="00D14339">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El </w:t>
      </w:r>
      <w:r w:rsidR="00911CE2" w:rsidRPr="00DA793A">
        <w:rPr>
          <w:rFonts w:ascii="Arial" w:hAnsi="Arial" w:cs="Arial"/>
          <w:sz w:val="18"/>
          <w:szCs w:val="18"/>
        </w:rPr>
        <w:t>“</w:t>
      </w:r>
      <w:r w:rsidRPr="00DA793A">
        <w:rPr>
          <w:rFonts w:ascii="Arial" w:hAnsi="Arial" w:cs="Arial"/>
          <w:sz w:val="18"/>
          <w:szCs w:val="18"/>
        </w:rPr>
        <w:t>Manual para determinar y verificar requisitos habilitantes en los procesos de contratación</w:t>
      </w:r>
      <w:r w:rsidR="00911CE2" w:rsidRPr="00DA793A">
        <w:rPr>
          <w:rFonts w:ascii="Arial" w:hAnsi="Arial" w:cs="Arial"/>
          <w:sz w:val="18"/>
          <w:szCs w:val="18"/>
        </w:rPr>
        <w:t>”</w:t>
      </w:r>
      <w:r w:rsidRPr="00DA793A">
        <w:rPr>
          <w:rFonts w:ascii="Arial" w:hAnsi="Arial" w:cs="Arial"/>
          <w:sz w:val="18"/>
          <w:szCs w:val="18"/>
        </w:rPr>
        <w:t xml:space="preserve">, expedido por esta Agencia puede ser consultado en el siguiente enlace: </w:t>
      </w:r>
      <w:hyperlink r:id="rId2" w:history="1">
        <w:r w:rsidRPr="00DA793A">
          <w:rPr>
            <w:rStyle w:val="Hipervnculo"/>
            <w:rFonts w:ascii="Arial" w:hAnsi="Arial" w:cs="Arial"/>
            <w:sz w:val="18"/>
            <w:szCs w:val="18"/>
          </w:rPr>
          <w:t>https://colombiacompra.gov.co/sites/cce_public/files/cce_documents/cce_manual_requisitos_habilitantes.pdf</w:t>
        </w:r>
      </w:hyperlink>
      <w:r w:rsidRPr="00DA793A">
        <w:rPr>
          <w:rFonts w:ascii="Arial" w:hAnsi="Arial" w:cs="Arial"/>
          <w:sz w:val="18"/>
          <w:szCs w:val="18"/>
        </w:rPr>
        <w:t xml:space="preserve">  </w:t>
      </w:r>
    </w:p>
    <w:p w14:paraId="2ED0A590" w14:textId="77777777" w:rsidR="00D14339" w:rsidRPr="00DA793A" w:rsidRDefault="00D14339" w:rsidP="00D14339">
      <w:pPr>
        <w:pStyle w:val="Textonotapie"/>
        <w:ind w:firstLine="708"/>
        <w:jc w:val="both"/>
        <w:rPr>
          <w:rFonts w:ascii="Arial" w:hAnsi="Arial" w:cs="Arial"/>
          <w:sz w:val="18"/>
          <w:szCs w:val="18"/>
          <w:lang w:val="es-CO"/>
        </w:rPr>
      </w:pPr>
    </w:p>
  </w:footnote>
  <w:footnote w:id="10">
    <w:p w14:paraId="156C5F28" w14:textId="68118F1C" w:rsidR="00D14339" w:rsidRPr="00DA793A" w:rsidRDefault="00D14339" w:rsidP="00D14339">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Agencia Nacional de Contratación Pública - Colombia Compra Eficiente, Manual para determinar y verificar requisitos habilitantes en los procesos de contratación: </w:t>
      </w:r>
      <w:r w:rsidR="00A4323F" w:rsidRPr="00DA793A">
        <w:rPr>
          <w:rFonts w:ascii="Arial" w:hAnsi="Arial" w:cs="Arial"/>
          <w:sz w:val="18"/>
          <w:szCs w:val="18"/>
        </w:rPr>
        <w:t>“</w:t>
      </w:r>
      <w:r w:rsidRPr="00DA793A">
        <w:rPr>
          <w:rFonts w:ascii="Arial" w:hAnsi="Arial" w:cs="Arial"/>
          <w:sz w:val="18"/>
          <w:szCs w:val="18"/>
        </w:rPr>
        <w:t>La experiencia es el conocimiento del proponente derivado de su participación previa en actividades iguales o similares a las previstas en el objeto del contrato.</w:t>
      </w:r>
      <w:r w:rsidR="00A4323F" w:rsidRPr="00DA793A">
        <w:rPr>
          <w:rFonts w:ascii="Arial" w:hAnsi="Arial" w:cs="Arial"/>
          <w:sz w:val="18"/>
          <w:szCs w:val="18"/>
        </w:rPr>
        <w:t>”</w:t>
      </w:r>
      <w:r w:rsidRPr="00DA793A">
        <w:rPr>
          <w:rFonts w:ascii="Arial" w:hAnsi="Arial" w:cs="Arial"/>
          <w:sz w:val="18"/>
          <w:szCs w:val="18"/>
        </w:rPr>
        <w:t xml:space="preserve"> </w:t>
      </w:r>
    </w:p>
    <w:p w14:paraId="798B2CD6" w14:textId="57F770C7" w:rsidR="00D14339" w:rsidRPr="00DA793A" w:rsidRDefault="00A4323F" w:rsidP="00D14339">
      <w:pPr>
        <w:pStyle w:val="Textonotapie"/>
        <w:ind w:firstLine="708"/>
        <w:jc w:val="both"/>
        <w:rPr>
          <w:rFonts w:ascii="Arial" w:hAnsi="Arial" w:cs="Arial"/>
          <w:sz w:val="18"/>
          <w:szCs w:val="18"/>
        </w:rPr>
      </w:pPr>
      <w:r w:rsidRPr="00DA793A">
        <w:rPr>
          <w:rFonts w:ascii="Arial" w:hAnsi="Arial" w:cs="Arial"/>
          <w:sz w:val="18"/>
          <w:szCs w:val="18"/>
        </w:rPr>
        <w:t>“</w:t>
      </w:r>
      <w:r w:rsidR="00D14339" w:rsidRPr="00DA793A">
        <w:rPr>
          <w:rFonts w:ascii="Arial" w:hAnsi="Arial" w:cs="Arial"/>
          <w:sz w:val="18"/>
          <w:szCs w:val="18"/>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 </w:t>
      </w:r>
    </w:p>
    <w:p w14:paraId="6B440D7E" w14:textId="77777777"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 xml:space="preserve">[...] </w:t>
      </w:r>
    </w:p>
    <w:p w14:paraId="2CC68F70" w14:textId="77777777"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58798E7B" w14:textId="77777777"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 xml:space="preserve">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 </w:t>
      </w:r>
    </w:p>
    <w:p w14:paraId="4A5BF9DF" w14:textId="0C0A9783"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w:t>
      </w:r>
      <w:r w:rsidR="00A4323F" w:rsidRPr="00DA793A">
        <w:rPr>
          <w:rFonts w:ascii="Arial" w:hAnsi="Arial" w:cs="Arial"/>
          <w:sz w:val="18"/>
          <w:szCs w:val="18"/>
        </w:rPr>
        <w:t>”</w:t>
      </w:r>
      <w:r w:rsidRPr="00DA793A">
        <w:rPr>
          <w:rFonts w:ascii="Arial" w:hAnsi="Arial" w:cs="Arial"/>
          <w:sz w:val="18"/>
          <w:szCs w:val="18"/>
        </w:rPr>
        <w:t>.</w:t>
      </w:r>
    </w:p>
    <w:p w14:paraId="458DBD26" w14:textId="77777777" w:rsidR="00D14339" w:rsidRPr="00DA793A" w:rsidRDefault="00D14339" w:rsidP="00D14339">
      <w:pPr>
        <w:pStyle w:val="Textonotapie"/>
        <w:jc w:val="both"/>
        <w:rPr>
          <w:rFonts w:ascii="Arial" w:hAnsi="Arial" w:cs="Arial"/>
          <w:sz w:val="18"/>
          <w:szCs w:val="18"/>
          <w:lang w:val="es-CO"/>
        </w:rPr>
      </w:pPr>
    </w:p>
  </w:footnote>
  <w:footnote w:id="11">
    <w:p w14:paraId="74119E39" w14:textId="452FA8D2" w:rsidR="00D14339" w:rsidRPr="00DA793A" w:rsidRDefault="00D14339" w:rsidP="00D52730">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Esta conclusión cambió respecto del concepto C – 002 del 20 de febrero de 2020, para adecuarla a un mejor entendimiento de las normas sobre la experiencia.</w:t>
      </w:r>
    </w:p>
  </w:footnote>
  <w:footnote w:id="12">
    <w:p w14:paraId="2AB4C3E9" w14:textId="60750DB7" w:rsidR="00D14339" w:rsidRPr="00DA793A" w:rsidRDefault="00D14339" w:rsidP="00D52730">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Artículo 6 de la Ley 1150 de 2007: </w:t>
      </w:r>
      <w:r w:rsidR="00D52730" w:rsidRPr="00DA793A">
        <w:rPr>
          <w:rFonts w:ascii="Arial" w:hAnsi="Arial" w:cs="Arial"/>
          <w:sz w:val="18"/>
          <w:szCs w:val="18"/>
        </w:rPr>
        <w:t>“</w:t>
      </w:r>
      <w:r w:rsidRPr="00DA793A">
        <w:rPr>
          <w:rFonts w:ascii="Arial" w:hAnsi="Arial" w:cs="Arial"/>
          <w:sz w:val="18"/>
          <w:szCs w:val="18"/>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r w:rsidR="00D52730" w:rsidRPr="00DA793A">
        <w:rPr>
          <w:rFonts w:ascii="Arial" w:hAnsi="Arial" w:cs="Arial"/>
          <w:sz w:val="18"/>
          <w:szCs w:val="18"/>
        </w:rPr>
        <w:t>”</w:t>
      </w:r>
      <w:r w:rsidRPr="00DA793A">
        <w:rPr>
          <w:rFonts w:ascii="Arial" w:hAnsi="Arial" w:cs="Arial"/>
          <w:sz w:val="18"/>
          <w:szCs w:val="18"/>
        </w:rPr>
        <w:t>.</w:t>
      </w:r>
    </w:p>
  </w:footnote>
  <w:footnote w:id="13">
    <w:p w14:paraId="73CC9BB5" w14:textId="77777777" w:rsidR="00D14339" w:rsidRPr="00DA793A" w:rsidRDefault="00D14339" w:rsidP="00D14339">
      <w:pPr>
        <w:pStyle w:val="Textonotapie"/>
        <w:ind w:firstLine="708"/>
        <w:jc w:val="both"/>
        <w:rPr>
          <w:rFonts w:ascii="Arial" w:hAnsi="Arial" w:cs="Arial"/>
          <w:sz w:val="18"/>
          <w:szCs w:val="18"/>
          <w:lang w:val="es-CO"/>
        </w:rPr>
      </w:pPr>
      <w:r w:rsidRPr="00DA793A">
        <w:rPr>
          <w:rStyle w:val="Refdenotaalpie"/>
          <w:rFonts w:ascii="Arial" w:hAnsi="Arial" w:cs="Arial"/>
          <w:sz w:val="18"/>
          <w:szCs w:val="18"/>
        </w:rPr>
        <w:footnoteRef/>
      </w:r>
      <w:r w:rsidRPr="00DA793A">
        <w:rPr>
          <w:rFonts w:ascii="Arial" w:hAnsi="Arial" w:cs="Arial"/>
          <w:sz w:val="18"/>
          <w:szCs w:val="18"/>
        </w:rPr>
        <w:t xml:space="preserve"> Corte Constitucional. Sentencia C - 259 del 11 de marzo 2008. M.P. Jaime Córdoba Triviño.</w:t>
      </w:r>
    </w:p>
  </w:footnote>
  <w:footnote w:id="14">
    <w:p w14:paraId="0B7E5556" w14:textId="2F10CD4B" w:rsidR="00D14339" w:rsidRPr="00DA793A" w:rsidRDefault="00D14339" w:rsidP="00D14339">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w:t>
      </w:r>
      <w:r w:rsidR="00430A1D" w:rsidRPr="00DA793A">
        <w:rPr>
          <w:rFonts w:ascii="Arial" w:hAnsi="Arial" w:cs="Arial"/>
          <w:sz w:val="18"/>
          <w:szCs w:val="18"/>
        </w:rPr>
        <w:t>“</w:t>
      </w:r>
      <w:r w:rsidRPr="00DA793A">
        <w:rPr>
          <w:rFonts w:ascii="Arial" w:hAnsi="Arial" w:cs="Arial"/>
          <w:sz w:val="18"/>
          <w:szCs w:val="18"/>
        </w:rPr>
        <w:t xml:space="preserve">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89C6AFC" w14:textId="77777777"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 xml:space="preserve">[…] </w:t>
      </w:r>
    </w:p>
    <w:p w14:paraId="4C9712EE" w14:textId="6A302288" w:rsidR="00D14339" w:rsidRPr="00DA793A" w:rsidRDefault="00430A1D" w:rsidP="00430A1D">
      <w:pPr>
        <w:pStyle w:val="Textonotapie"/>
        <w:ind w:firstLine="708"/>
        <w:jc w:val="both"/>
        <w:rPr>
          <w:rFonts w:ascii="Arial" w:hAnsi="Arial" w:cs="Arial"/>
          <w:sz w:val="18"/>
          <w:szCs w:val="18"/>
        </w:rPr>
      </w:pPr>
      <w:r w:rsidRPr="00DA793A">
        <w:rPr>
          <w:rFonts w:ascii="Arial" w:hAnsi="Arial" w:cs="Arial"/>
          <w:sz w:val="18"/>
          <w:szCs w:val="18"/>
        </w:rPr>
        <w:t>“</w:t>
      </w:r>
      <w:r w:rsidR="00D14339" w:rsidRPr="00DA793A">
        <w:rPr>
          <w:rFonts w:ascii="Arial" w:hAnsi="Arial" w:cs="Arial"/>
          <w:sz w:val="18"/>
          <w:szCs w:val="18"/>
        </w:rPr>
        <w:t>2.1. Bienes, obras y servicios que ofrecerá a las Entidades Estatales, identificados con el Clasificador de Bienes y Servicios en el tercer nivel</w:t>
      </w:r>
      <w:r w:rsidRPr="00DA793A">
        <w:rPr>
          <w:rFonts w:ascii="Arial" w:hAnsi="Arial" w:cs="Arial"/>
          <w:sz w:val="18"/>
          <w:szCs w:val="18"/>
        </w:rPr>
        <w:t>”</w:t>
      </w:r>
      <w:r w:rsidR="00D14339" w:rsidRPr="00DA793A">
        <w:rPr>
          <w:rFonts w:ascii="Arial" w:hAnsi="Arial" w:cs="Arial"/>
          <w:sz w:val="18"/>
          <w:szCs w:val="18"/>
        </w:rPr>
        <w:t>.</w:t>
      </w:r>
    </w:p>
  </w:footnote>
  <w:footnote w:id="15">
    <w:p w14:paraId="5ABE0FCC" w14:textId="2A56E05C" w:rsidR="00D14339" w:rsidRPr="00DA793A" w:rsidRDefault="00D14339" w:rsidP="00D14339">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w:t>
      </w:r>
      <w:r w:rsidR="00430A1D" w:rsidRPr="00DA793A">
        <w:rPr>
          <w:rFonts w:ascii="Arial" w:hAnsi="Arial" w:cs="Arial"/>
          <w:sz w:val="18"/>
          <w:szCs w:val="18"/>
        </w:rPr>
        <w:t>“</w:t>
      </w:r>
      <w:r w:rsidRPr="00DA793A">
        <w:rPr>
          <w:rFonts w:ascii="Arial" w:hAnsi="Arial" w:cs="Arial"/>
          <w:sz w:val="18"/>
          <w:szCs w:val="18"/>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870EF0F" w14:textId="77777777" w:rsidR="00D14339" w:rsidRPr="00DA793A" w:rsidRDefault="00D14339" w:rsidP="00D14339">
      <w:pPr>
        <w:pStyle w:val="Textonotapie"/>
        <w:ind w:firstLine="708"/>
        <w:jc w:val="both"/>
        <w:rPr>
          <w:rFonts w:ascii="Arial" w:hAnsi="Arial" w:cs="Arial"/>
          <w:sz w:val="18"/>
          <w:szCs w:val="18"/>
        </w:rPr>
      </w:pPr>
      <w:r w:rsidRPr="00DA793A">
        <w:rPr>
          <w:rFonts w:ascii="Arial" w:hAnsi="Arial" w:cs="Arial"/>
          <w:sz w:val="18"/>
          <w:szCs w:val="18"/>
        </w:rPr>
        <w:t xml:space="preserve">[…] </w:t>
      </w:r>
    </w:p>
    <w:p w14:paraId="2F8FE625" w14:textId="17CD2A96" w:rsidR="00D14339" w:rsidRPr="00DA793A" w:rsidRDefault="00430A1D" w:rsidP="00D14339">
      <w:pPr>
        <w:pStyle w:val="Textonotapie"/>
        <w:ind w:firstLine="708"/>
        <w:jc w:val="both"/>
        <w:rPr>
          <w:rFonts w:ascii="Arial" w:hAnsi="Arial" w:cs="Arial"/>
          <w:sz w:val="18"/>
          <w:szCs w:val="18"/>
          <w:lang w:val="es-CO"/>
        </w:rPr>
      </w:pPr>
      <w:r w:rsidRPr="00DA793A">
        <w:rPr>
          <w:rFonts w:ascii="Arial" w:hAnsi="Arial" w:cs="Arial"/>
          <w:sz w:val="18"/>
          <w:szCs w:val="18"/>
        </w:rPr>
        <w:t>“</w:t>
      </w:r>
      <w:r w:rsidR="00D14339" w:rsidRPr="00DA793A">
        <w:rPr>
          <w:rFonts w:ascii="Arial" w:hAnsi="Arial" w:cs="Arial"/>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sidRPr="00DA793A">
        <w:rPr>
          <w:rFonts w:ascii="Arial" w:hAnsi="Arial" w:cs="Arial"/>
          <w:sz w:val="18"/>
          <w:szCs w:val="18"/>
        </w:rPr>
        <w:t>”</w:t>
      </w:r>
      <w:r w:rsidR="00D14339" w:rsidRPr="00DA793A">
        <w:rPr>
          <w:rFonts w:ascii="Arial" w:hAnsi="Arial" w:cs="Arial"/>
          <w:sz w:val="18"/>
          <w:szCs w:val="18"/>
        </w:rPr>
        <w:t>.</w:t>
      </w:r>
    </w:p>
  </w:footnote>
  <w:footnote w:id="16">
    <w:p w14:paraId="59EFC9F1" w14:textId="61428FCA" w:rsidR="00D14339" w:rsidRPr="00DA793A" w:rsidRDefault="00D14339" w:rsidP="009C7A80">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Colombia Compra Eficiente. Concepto del 7 de febrero de 2018, Rad. 2201813000000954.</w:t>
      </w:r>
    </w:p>
  </w:footnote>
  <w:footnote w:id="17">
    <w:p w14:paraId="5F22F86B" w14:textId="4C45009F" w:rsidR="00D14339" w:rsidRPr="00DA793A" w:rsidRDefault="00D14339" w:rsidP="00D14339">
      <w:pPr>
        <w:pStyle w:val="Textonotapie"/>
        <w:ind w:firstLine="708"/>
        <w:jc w:val="both"/>
        <w:rPr>
          <w:rFonts w:ascii="Arial" w:hAnsi="Arial" w:cs="Arial"/>
          <w:sz w:val="18"/>
          <w:szCs w:val="18"/>
          <w:lang w:val="es-CO"/>
        </w:rPr>
      </w:pPr>
      <w:r w:rsidRPr="00DA793A">
        <w:rPr>
          <w:rStyle w:val="Refdenotaalpie"/>
          <w:rFonts w:ascii="Arial" w:hAnsi="Arial" w:cs="Arial"/>
          <w:sz w:val="18"/>
          <w:szCs w:val="18"/>
        </w:rPr>
        <w:footnoteRef/>
      </w:r>
      <w:r w:rsidRPr="00DA793A">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w:t>
      </w:r>
      <w:r w:rsidR="009C7A80" w:rsidRPr="00DA793A">
        <w:rPr>
          <w:rFonts w:ascii="Arial" w:hAnsi="Arial" w:cs="Arial"/>
          <w:sz w:val="18"/>
          <w:szCs w:val="18"/>
        </w:rPr>
        <w:t>“</w:t>
      </w:r>
      <w:r w:rsidRPr="00DA793A">
        <w:rPr>
          <w:rFonts w:ascii="Arial" w:hAnsi="Arial" w:cs="Arial"/>
          <w:sz w:val="18"/>
          <w:szCs w:val="18"/>
        </w:rPr>
        <w:t>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r w:rsidR="009C7A80" w:rsidRPr="00DA793A">
        <w:rPr>
          <w:rFonts w:ascii="Arial" w:hAnsi="Arial" w:cs="Arial"/>
          <w:sz w:val="18"/>
          <w:szCs w:val="18"/>
        </w:rPr>
        <w:t>”</w:t>
      </w:r>
      <w:r w:rsidRPr="00DA793A">
        <w:rPr>
          <w:rFonts w:ascii="Arial" w:hAnsi="Arial" w:cs="Arial"/>
          <w:sz w:val="18"/>
          <w:szCs w:val="18"/>
        </w:rPr>
        <w:t>.</w:t>
      </w:r>
    </w:p>
  </w:footnote>
  <w:footnote w:id="18">
    <w:p w14:paraId="687C216C" w14:textId="77777777" w:rsidR="003408F0" w:rsidRPr="00DA793A" w:rsidRDefault="003408F0" w:rsidP="007019FF">
      <w:pPr>
        <w:pStyle w:val="Textonotapie"/>
        <w:ind w:firstLine="708"/>
        <w:jc w:val="both"/>
        <w:rPr>
          <w:rFonts w:ascii="Arial" w:hAnsi="Arial" w:cs="Arial"/>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Sin embargo tener en cuenta el termino de traslado previsto en el Decreto 1080 de 2021 para proceso de contratación adelantados por mínima cuantía.</w:t>
      </w:r>
    </w:p>
  </w:footnote>
  <w:footnote w:id="19">
    <w:p w14:paraId="132BFCE7" w14:textId="6BDB94A3" w:rsidR="003408F0" w:rsidRPr="00DA793A" w:rsidRDefault="003408F0" w:rsidP="007019FF">
      <w:pPr>
        <w:pStyle w:val="Textonotapie"/>
        <w:ind w:firstLine="709"/>
        <w:contextualSpacing/>
        <w:jc w:val="both"/>
        <w:rPr>
          <w:rFonts w:ascii="Arial" w:hAnsi="Arial" w:cs="Arial"/>
          <w:color w:val="000000"/>
          <w:sz w:val="18"/>
          <w:szCs w:val="18"/>
        </w:rPr>
      </w:pPr>
      <w:r w:rsidRPr="00DA793A">
        <w:rPr>
          <w:rStyle w:val="Refdenotaalpie"/>
          <w:rFonts w:ascii="Arial" w:hAnsi="Arial" w:cs="Arial"/>
          <w:color w:val="000000"/>
          <w:sz w:val="18"/>
          <w:szCs w:val="18"/>
        </w:rPr>
        <w:footnoteRef/>
      </w:r>
      <w:r w:rsidRPr="00DA793A">
        <w:rPr>
          <w:rStyle w:val="Refdenotaalpie"/>
          <w:rFonts w:ascii="Arial" w:hAnsi="Arial" w:cs="Arial"/>
          <w:color w:val="000000"/>
          <w:sz w:val="18"/>
          <w:szCs w:val="18"/>
        </w:rPr>
        <w:t xml:space="preserve"> </w:t>
      </w:r>
      <w:r w:rsidRPr="00DA793A">
        <w:rPr>
          <w:rFonts w:ascii="Arial" w:hAnsi="Arial"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20">
    <w:p w14:paraId="1991DD65" w14:textId="77777777" w:rsidR="003408F0" w:rsidRPr="00DA793A" w:rsidRDefault="003408F0" w:rsidP="007019FF">
      <w:pPr>
        <w:pStyle w:val="NormalWeb"/>
        <w:shd w:val="clear" w:color="auto" w:fill="FFFFFF"/>
        <w:spacing w:after="0"/>
        <w:ind w:firstLine="708"/>
        <w:contextualSpacing/>
        <w:jc w:val="both"/>
        <w:rPr>
          <w:rFonts w:ascii="Arial" w:hAnsi="Arial" w:cs="Arial"/>
          <w:sz w:val="18"/>
          <w:szCs w:val="18"/>
          <w:lang w:val="es-ES"/>
        </w:rPr>
      </w:pPr>
      <w:r w:rsidRPr="00DA793A">
        <w:rPr>
          <w:rStyle w:val="Refdenotaalpie"/>
          <w:rFonts w:ascii="Arial" w:eastAsia="Arial" w:hAnsi="Arial" w:cs="Arial"/>
          <w:sz w:val="18"/>
          <w:szCs w:val="18"/>
        </w:rPr>
        <w:footnoteRef/>
      </w:r>
      <w:r w:rsidRPr="00DA793A">
        <w:rPr>
          <w:rFonts w:ascii="Arial" w:hAnsi="Arial" w:cs="Arial"/>
          <w:sz w:val="18"/>
          <w:szCs w:val="18"/>
        </w:rPr>
        <w:t xml:space="preserve"> “</w:t>
      </w:r>
      <w:r w:rsidRPr="00DA793A">
        <w:rPr>
          <w:rFonts w:ascii="Arial" w:hAnsi="Arial" w:cs="Arial"/>
          <w:bCs/>
          <w:sz w:val="18"/>
          <w:szCs w:val="18"/>
          <w:shd w:val="clear" w:color="auto" w:fill="FFFFFF"/>
        </w:rPr>
        <w:t>2.2.1.2.1.5.2</w:t>
      </w:r>
      <w:r w:rsidRPr="00DA793A">
        <w:rPr>
          <w:rFonts w:ascii="Arial" w:hAnsi="Arial" w:cs="Arial"/>
          <w:sz w:val="18"/>
          <w:szCs w:val="18"/>
          <w:lang w:val="es-ES"/>
        </w:rPr>
        <w:t xml:space="preserve">5. </w:t>
      </w:r>
      <w:r w:rsidRPr="00DA793A">
        <w:rPr>
          <w:rFonts w:ascii="Arial" w:hAnsi="Arial" w:cs="Arial"/>
          <w:bCs/>
          <w:sz w:val="18"/>
          <w:szCs w:val="18"/>
          <w:lang w:val="es-ES"/>
        </w:rPr>
        <w:t>Procedimiento para la contratación de mínima cuantía.</w:t>
      </w:r>
      <w:r w:rsidRPr="00DA793A">
        <w:rPr>
          <w:rFonts w:ascii="Arial" w:hAnsi="Arial" w:cs="Arial"/>
          <w:sz w:val="18"/>
          <w:szCs w:val="18"/>
          <w:lang w:val="es-ES"/>
        </w:rPr>
        <w:t> Las siguientes reglas son aplicables a la contratación cuyo valor no excede del diez por ciento (10%) de la menor cuantía de la Entidad Estatal, independientemente de su objeto:</w:t>
      </w:r>
    </w:p>
    <w:p w14:paraId="0BE73D5E" w14:textId="77777777" w:rsidR="003408F0" w:rsidRPr="00DA793A" w:rsidRDefault="003408F0" w:rsidP="007019FF">
      <w:pPr>
        <w:pStyle w:val="NormalWeb"/>
        <w:shd w:val="clear" w:color="auto" w:fill="FFFFFF"/>
        <w:spacing w:after="0"/>
        <w:ind w:firstLine="708"/>
        <w:contextualSpacing/>
        <w:jc w:val="both"/>
        <w:rPr>
          <w:rFonts w:ascii="Arial" w:hAnsi="Arial" w:cs="Arial"/>
          <w:sz w:val="18"/>
          <w:szCs w:val="18"/>
          <w:lang w:val="es-ES"/>
        </w:rPr>
      </w:pPr>
      <w:r w:rsidRPr="00DA793A">
        <w:rPr>
          <w:rFonts w:ascii="Arial" w:hAnsi="Arial" w:cs="Arial"/>
          <w:sz w:val="18"/>
          <w:szCs w:val="18"/>
          <w:lang w:val="es-ES"/>
        </w:rPr>
        <w:t>[…]</w:t>
      </w:r>
    </w:p>
    <w:p w14:paraId="4129F22D" w14:textId="77777777" w:rsidR="003408F0" w:rsidRPr="00DA793A" w:rsidRDefault="003408F0" w:rsidP="007019FF">
      <w:pPr>
        <w:pStyle w:val="NormalWeb"/>
        <w:shd w:val="clear" w:color="auto" w:fill="FFFFFF"/>
        <w:spacing w:after="0"/>
        <w:ind w:firstLine="708"/>
        <w:contextualSpacing/>
        <w:jc w:val="both"/>
        <w:rPr>
          <w:rFonts w:ascii="Arial" w:hAnsi="Arial" w:cs="Arial"/>
          <w:sz w:val="18"/>
          <w:szCs w:val="18"/>
          <w:lang w:val="es-ES"/>
        </w:rPr>
      </w:pPr>
      <w:r w:rsidRPr="00DA793A">
        <w:rPr>
          <w:rFonts w:ascii="Arial" w:hAnsi="Arial" w:cs="Arial"/>
          <w:sz w:val="18"/>
          <w:szCs w:val="18"/>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3" w:anchor="5" w:history="1">
        <w:r w:rsidRPr="00DA793A">
          <w:rPr>
            <w:rFonts w:ascii="Arial" w:hAnsi="Arial" w:cs="Arial"/>
            <w:sz w:val="18"/>
            <w:szCs w:val="18"/>
            <w:u w:val="single"/>
            <w:lang w:val="es-ES"/>
          </w:rPr>
          <w:t>5 </w:t>
        </w:r>
      </w:hyperlink>
      <w:r w:rsidRPr="00DA793A">
        <w:rPr>
          <w:rFonts w:ascii="Arial" w:hAnsi="Arial" w:cs="Arial"/>
          <w:sz w:val="18"/>
          <w:szCs w:val="18"/>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DA793A">
        <w:rPr>
          <w:rFonts w:ascii="Arial" w:hAnsi="Arial" w:cs="Arial"/>
          <w:sz w:val="18"/>
          <w:szCs w:val="18"/>
        </w:rPr>
        <w:t>”</w:t>
      </w:r>
      <w:r w:rsidRPr="00DA793A">
        <w:rPr>
          <w:rFonts w:ascii="Arial" w:hAnsi="Arial" w:cs="Arial"/>
          <w:sz w:val="18"/>
          <w:szCs w:val="18"/>
          <w:lang w:val="es-ES"/>
        </w:rPr>
        <w:t>.</w:t>
      </w:r>
    </w:p>
    <w:p w14:paraId="013C7694" w14:textId="77777777" w:rsidR="003408F0" w:rsidRPr="00DA793A" w:rsidRDefault="003408F0" w:rsidP="003408F0">
      <w:pPr>
        <w:pStyle w:val="Textonotapie"/>
        <w:contextualSpacing/>
        <w:jc w:val="both"/>
        <w:rPr>
          <w:rFonts w:ascii="Arial" w:hAnsi="Arial" w:cs="Arial"/>
          <w:sz w:val="18"/>
          <w:szCs w:val="18"/>
          <w:lang w:val="es-ES"/>
        </w:rPr>
      </w:pPr>
    </w:p>
  </w:footnote>
  <w:footnote w:id="21">
    <w:p w14:paraId="079DB129" w14:textId="77777777" w:rsidR="003408F0" w:rsidRPr="00DA793A" w:rsidRDefault="003408F0" w:rsidP="003408F0">
      <w:pPr>
        <w:pStyle w:val="Textonotapie"/>
        <w:ind w:firstLine="709"/>
        <w:contextualSpacing/>
        <w:jc w:val="both"/>
        <w:rPr>
          <w:rFonts w:ascii="Arial" w:hAnsi="Arial" w:cs="Arial"/>
          <w:color w:val="000000"/>
          <w:sz w:val="18"/>
          <w:szCs w:val="18"/>
        </w:rPr>
      </w:pPr>
      <w:r w:rsidRPr="00DA793A">
        <w:rPr>
          <w:rStyle w:val="Refdenotaalpie"/>
          <w:rFonts w:ascii="Arial" w:hAnsi="Arial" w:cs="Arial"/>
          <w:sz w:val="18"/>
          <w:szCs w:val="18"/>
        </w:rPr>
        <w:footnoteRef/>
      </w:r>
      <w:r w:rsidRPr="00DA793A">
        <w:rPr>
          <w:rFonts w:ascii="Arial" w:hAnsi="Arial" w:cs="Arial"/>
          <w:sz w:val="18"/>
          <w:szCs w:val="18"/>
        </w:rPr>
        <w:t xml:space="preserve"> </w:t>
      </w:r>
      <w:r w:rsidRPr="00DA793A">
        <w:rPr>
          <w:rFonts w:ascii="Arial" w:hAnsi="Arial" w:cs="Arial"/>
          <w:color w:val="000000"/>
          <w:sz w:val="18"/>
          <w:szCs w:val="18"/>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306CC29D" w14:textId="2DE7812B" w:rsidR="003408F0" w:rsidRPr="00DA793A" w:rsidRDefault="003408F0" w:rsidP="00925325">
      <w:pPr>
        <w:pStyle w:val="Textonotapie"/>
        <w:ind w:firstLine="709"/>
        <w:contextualSpacing/>
        <w:jc w:val="both"/>
        <w:rPr>
          <w:rFonts w:ascii="Arial" w:hAnsi="Arial" w:cs="Arial"/>
          <w:color w:val="000000"/>
          <w:sz w:val="18"/>
          <w:szCs w:val="18"/>
        </w:rPr>
      </w:pPr>
      <w:r w:rsidRPr="00DA793A">
        <w:rPr>
          <w:rFonts w:ascii="Arial" w:hAnsi="Arial"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4" w:history="1">
        <w:r w:rsidRPr="00DA793A">
          <w:rPr>
            <w:rStyle w:val="Hipervnculo"/>
            <w:rFonts w:ascii="Arial" w:hAnsi="Arial" w:cs="Arial"/>
            <w:color w:val="000000"/>
            <w:sz w:val="18"/>
            <w:szCs w:val="18"/>
          </w:rPr>
          <w:t>https://www.colombiacompra.gov.co/content/circular-unica-externa</w:t>
        </w:r>
      </w:hyperlink>
      <w:r w:rsidRPr="00DA793A">
        <w:rPr>
          <w:rFonts w:ascii="Arial" w:hAnsi="Arial" w:cs="Arial"/>
          <w:color w:val="000000"/>
          <w:sz w:val="18"/>
          <w:szCs w:val="18"/>
        </w:rPr>
        <w:t>.</w:t>
      </w:r>
    </w:p>
  </w:footnote>
  <w:footnote w:id="22">
    <w:p w14:paraId="67EB2718" w14:textId="3C1614BE" w:rsidR="003408F0" w:rsidRPr="00DA793A" w:rsidRDefault="003408F0" w:rsidP="00925325">
      <w:pPr>
        <w:pStyle w:val="Textonotapie"/>
        <w:ind w:firstLine="709"/>
        <w:contextualSpacing/>
        <w:jc w:val="both"/>
        <w:rPr>
          <w:rFonts w:ascii="Arial" w:hAnsi="Arial" w:cs="Arial"/>
          <w:color w:val="000000"/>
          <w:sz w:val="18"/>
          <w:szCs w:val="18"/>
        </w:rPr>
      </w:pPr>
      <w:r w:rsidRPr="00DA793A">
        <w:rPr>
          <w:rStyle w:val="Refdenotaalpie"/>
          <w:rFonts w:ascii="Arial" w:hAnsi="Arial" w:cs="Arial"/>
          <w:color w:val="000000"/>
          <w:sz w:val="18"/>
          <w:szCs w:val="18"/>
        </w:rPr>
        <w:footnoteRef/>
      </w:r>
      <w:r w:rsidRPr="00DA793A">
        <w:rPr>
          <w:rFonts w:ascii="Arial" w:hAnsi="Arial" w:cs="Arial"/>
          <w:color w:val="000000"/>
          <w:sz w:val="18"/>
          <w:szCs w:val="18"/>
        </w:rPr>
        <w:t xml:space="preserve"> Ver CONSEJO DE ESTADO, Sección Tercera, Subsección C. Sentencia del 26 de febrero de 2011. C.P. Jaime Orlando Santofimio. Rad. 36.408. </w:t>
      </w:r>
    </w:p>
  </w:footnote>
  <w:footnote w:id="23">
    <w:p w14:paraId="4347B310" w14:textId="77777777" w:rsidR="003408F0" w:rsidRPr="00DA793A" w:rsidRDefault="003408F0" w:rsidP="003408F0">
      <w:pPr>
        <w:pStyle w:val="Textonotapie"/>
        <w:ind w:firstLine="709"/>
        <w:contextualSpacing/>
        <w:jc w:val="both"/>
        <w:rPr>
          <w:rFonts w:ascii="Arial" w:hAnsi="Arial" w:cs="Arial"/>
          <w:color w:val="000000"/>
          <w:sz w:val="18"/>
          <w:szCs w:val="18"/>
        </w:rPr>
      </w:pPr>
      <w:r w:rsidRPr="00DA793A">
        <w:rPr>
          <w:rStyle w:val="Refdenotaalpie"/>
          <w:rFonts w:ascii="Arial" w:hAnsi="Arial" w:cs="Arial"/>
          <w:color w:val="000000"/>
          <w:sz w:val="18"/>
          <w:szCs w:val="18"/>
        </w:rPr>
        <w:footnoteRef/>
      </w:r>
      <w:r w:rsidRPr="00DA793A">
        <w:rPr>
          <w:rFonts w:ascii="Arial" w:hAnsi="Arial" w:cs="Arial"/>
          <w:color w:val="000000"/>
          <w:sz w:val="18"/>
          <w:szCs w:val="18"/>
        </w:rPr>
        <w:t xml:space="preserve"> Ver CONSEJO DE ESTADO, Sección Tercera, Subsección C. Sentencia del 26 de febrero de 2014. C.P. Enrique Gil Botero. Rad. 25.804. </w:t>
      </w:r>
    </w:p>
    <w:p w14:paraId="30AD4381" w14:textId="77777777" w:rsidR="003408F0" w:rsidRPr="00DA793A" w:rsidRDefault="003408F0" w:rsidP="003408F0">
      <w:pPr>
        <w:pStyle w:val="Textonotapie"/>
        <w:ind w:firstLine="709"/>
        <w:contextualSpacing/>
        <w:jc w:val="both"/>
        <w:rPr>
          <w:rFonts w:ascii="Arial" w:hAnsi="Arial" w:cs="Arial"/>
          <w:color w:val="000000"/>
          <w:sz w:val="18"/>
          <w:szCs w:val="18"/>
        </w:rPr>
      </w:pPr>
    </w:p>
  </w:footnote>
  <w:footnote w:id="24">
    <w:p w14:paraId="02038BC7" w14:textId="77777777" w:rsidR="003408F0" w:rsidRPr="00DA793A" w:rsidRDefault="003408F0" w:rsidP="003408F0">
      <w:pPr>
        <w:pStyle w:val="Textonotapie"/>
        <w:ind w:firstLine="709"/>
        <w:contextualSpacing/>
        <w:jc w:val="both"/>
        <w:rPr>
          <w:rFonts w:ascii="Arial" w:hAnsi="Arial" w:cs="Arial"/>
          <w:color w:val="000000"/>
          <w:sz w:val="18"/>
          <w:szCs w:val="18"/>
        </w:rPr>
      </w:pPr>
      <w:r w:rsidRPr="00DA793A">
        <w:rPr>
          <w:rStyle w:val="Refdenotaalpie"/>
          <w:rFonts w:ascii="Arial" w:hAnsi="Arial" w:cs="Arial"/>
          <w:color w:val="000000"/>
          <w:sz w:val="18"/>
          <w:szCs w:val="18"/>
        </w:rPr>
        <w:footnoteRef/>
      </w:r>
      <w:r w:rsidRPr="00DA793A">
        <w:rPr>
          <w:rFonts w:ascii="Arial" w:hAnsi="Arial" w:cs="Arial"/>
          <w:color w:val="000000"/>
          <w:sz w:val="18"/>
          <w:szCs w:val="18"/>
        </w:rPr>
        <w:t xml:space="preserve"> CONSEJO DE ESTADO. Sala de Consulta y Servicio Civil. Concepto del 20 de mayo de 2010. Expediente: 1992. Consejero Ponente: Enrique José Arboleda Perdomo.</w:t>
      </w:r>
    </w:p>
  </w:footnote>
  <w:footnote w:id="25">
    <w:p w14:paraId="2DE1EC59" w14:textId="0D600E11" w:rsidR="003408F0" w:rsidRPr="00521917" w:rsidRDefault="003408F0" w:rsidP="00D26C4E">
      <w:pPr>
        <w:pBdr>
          <w:top w:val="nil"/>
          <w:left w:val="nil"/>
          <w:bottom w:val="nil"/>
          <w:right w:val="nil"/>
          <w:between w:val="nil"/>
        </w:pBdr>
        <w:spacing w:after="0"/>
        <w:ind w:firstLine="709"/>
        <w:contextualSpacing/>
        <w:jc w:val="both"/>
        <w:rPr>
          <w:rFonts w:ascii="Arial" w:eastAsia="Arial" w:hAnsi="Arial" w:cs="Arial"/>
          <w:color w:val="000000"/>
          <w:sz w:val="18"/>
          <w:szCs w:val="18"/>
        </w:rPr>
      </w:pPr>
      <w:r w:rsidRPr="00521917">
        <w:rPr>
          <w:rFonts w:ascii="Arial" w:hAnsi="Arial" w:cs="Arial"/>
          <w:sz w:val="18"/>
          <w:szCs w:val="18"/>
          <w:vertAlign w:val="superscript"/>
        </w:rPr>
        <w:footnoteRef/>
      </w:r>
      <w:r w:rsidRPr="00521917">
        <w:rPr>
          <w:rFonts w:ascii="Arial" w:eastAsia="Arial" w:hAnsi="Arial" w:cs="Arial"/>
          <w:color w:val="000000"/>
          <w:sz w:val="18"/>
          <w:szCs w:val="18"/>
        </w:rPr>
        <w:t xml:space="preserve"> CONSEJO DE ESTADO. Sección Tercera. Subsección C. Sentencia del 12 de noviembre de 2014. Exp. 27.986. C.P. Enrique Gil Botero.</w:t>
      </w:r>
    </w:p>
  </w:footnote>
  <w:footnote w:id="26">
    <w:p w14:paraId="4F34EF8B" w14:textId="77777777" w:rsidR="003408F0" w:rsidRPr="00521917" w:rsidRDefault="003408F0" w:rsidP="00D363FB">
      <w:pPr>
        <w:pStyle w:val="Textonotapie"/>
        <w:ind w:firstLine="709"/>
        <w:contextualSpacing/>
        <w:jc w:val="both"/>
        <w:rPr>
          <w:rFonts w:ascii="Arial" w:hAnsi="Arial" w:cs="Arial"/>
          <w:sz w:val="18"/>
          <w:szCs w:val="18"/>
          <w:lang w:val="es-CO"/>
        </w:rPr>
      </w:pPr>
      <w:r w:rsidRPr="00521917">
        <w:rPr>
          <w:rStyle w:val="Refdenotaalpie"/>
          <w:rFonts w:ascii="Arial" w:hAnsi="Arial" w:cs="Arial"/>
          <w:sz w:val="18"/>
          <w:szCs w:val="18"/>
        </w:rPr>
        <w:footnoteRef/>
      </w:r>
      <w:r w:rsidRPr="00521917">
        <w:rPr>
          <w:rFonts w:ascii="Arial" w:hAnsi="Arial" w:cs="Arial"/>
          <w:sz w:val="18"/>
          <w:szCs w:val="18"/>
        </w:rPr>
        <w:t xml:space="preserve"> </w:t>
      </w:r>
      <w:r w:rsidRPr="00521917">
        <w:rPr>
          <w:rFonts w:ascii="Arial" w:hAnsi="Arial" w:cs="Arial"/>
          <w:bCs/>
          <w:sz w:val="18"/>
          <w:szCs w:val="18"/>
        </w:rPr>
        <w:t xml:space="preserve">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footnote>
  <w:footnote w:id="27">
    <w:p w14:paraId="3CD67FD6" w14:textId="77777777" w:rsidR="003408F0" w:rsidRPr="00521917" w:rsidRDefault="003408F0" w:rsidP="00D363FB">
      <w:pPr>
        <w:pBdr>
          <w:top w:val="nil"/>
          <w:left w:val="nil"/>
          <w:bottom w:val="nil"/>
          <w:right w:val="nil"/>
          <w:between w:val="nil"/>
        </w:pBdr>
        <w:spacing w:after="0"/>
        <w:ind w:firstLine="709"/>
        <w:contextualSpacing/>
        <w:jc w:val="both"/>
        <w:rPr>
          <w:rFonts w:ascii="Arial" w:hAnsi="Arial" w:cs="Arial"/>
          <w:color w:val="000000"/>
          <w:sz w:val="18"/>
          <w:szCs w:val="18"/>
        </w:rPr>
      </w:pPr>
      <w:r w:rsidRPr="00521917">
        <w:rPr>
          <w:rFonts w:ascii="Arial" w:hAnsi="Arial" w:cs="Arial"/>
          <w:sz w:val="18"/>
          <w:szCs w:val="18"/>
          <w:vertAlign w:val="superscript"/>
        </w:rPr>
        <w:footnoteRef/>
      </w:r>
      <w:r w:rsidRPr="00521917">
        <w:rPr>
          <w:rFonts w:ascii="Arial" w:hAnsi="Arial" w:cs="Arial"/>
          <w:color w:val="000000"/>
          <w:sz w:val="18"/>
          <w:szCs w:val="18"/>
        </w:rPr>
        <w:t xml:space="preserve"> </w:t>
      </w:r>
      <w:r w:rsidRPr="00521917">
        <w:rPr>
          <w:rFonts w:ascii="Arial" w:eastAsia="Arial" w:hAnsi="Arial" w:cs="Arial"/>
          <w:color w:val="000000"/>
          <w:sz w:val="18"/>
          <w:szCs w:val="18"/>
        </w:rPr>
        <w:t>Ibídem</w:t>
      </w:r>
      <w:r w:rsidRPr="00521917">
        <w:rPr>
          <w:rFonts w:ascii="Arial" w:eastAsia="Arial" w:hAnsi="Arial" w:cs="Arial"/>
          <w:i/>
          <w:color w:val="000000"/>
          <w:sz w:val="18"/>
          <w:szCs w:val="18"/>
        </w:rPr>
        <w:t>.</w:t>
      </w:r>
    </w:p>
  </w:footnote>
  <w:footnote w:id="28">
    <w:p w14:paraId="07665196" w14:textId="0334FCC4" w:rsidR="003408F0" w:rsidRPr="00521917" w:rsidRDefault="003408F0" w:rsidP="00D363FB">
      <w:pPr>
        <w:pBdr>
          <w:top w:val="nil"/>
          <w:left w:val="nil"/>
          <w:bottom w:val="nil"/>
          <w:right w:val="nil"/>
          <w:between w:val="nil"/>
        </w:pBdr>
        <w:spacing w:after="0"/>
        <w:ind w:firstLine="709"/>
        <w:contextualSpacing/>
        <w:jc w:val="both"/>
        <w:rPr>
          <w:rFonts w:ascii="Arial" w:hAnsi="Arial" w:cs="Arial"/>
          <w:color w:val="000000"/>
          <w:sz w:val="18"/>
          <w:szCs w:val="18"/>
        </w:rPr>
      </w:pPr>
      <w:r w:rsidRPr="00521917">
        <w:rPr>
          <w:rFonts w:ascii="Arial" w:hAnsi="Arial" w:cs="Arial"/>
          <w:sz w:val="18"/>
          <w:szCs w:val="18"/>
          <w:vertAlign w:val="superscript"/>
        </w:rPr>
        <w:footnoteRef/>
      </w:r>
      <w:r w:rsidRPr="00521917">
        <w:rPr>
          <w:rFonts w:ascii="Arial" w:hAnsi="Arial" w:cs="Arial"/>
          <w:color w:val="000000"/>
          <w:sz w:val="18"/>
          <w:szCs w:val="18"/>
        </w:rPr>
        <w:t xml:space="preserve"> Ibídem</w:t>
      </w:r>
    </w:p>
  </w:footnote>
  <w:footnote w:id="29">
    <w:p w14:paraId="4D4C240C" w14:textId="77777777" w:rsidR="00902436" w:rsidRPr="00521917" w:rsidRDefault="00902436" w:rsidP="00D363FB">
      <w:pPr>
        <w:pStyle w:val="Textonotapie"/>
        <w:ind w:firstLine="709"/>
        <w:jc w:val="both"/>
        <w:rPr>
          <w:rFonts w:ascii="Arial" w:eastAsia="Calibri" w:hAnsi="Arial" w:cs="Arial"/>
          <w:color w:val="000000" w:themeColor="text1"/>
          <w:sz w:val="18"/>
          <w:szCs w:val="18"/>
        </w:rPr>
      </w:pPr>
      <w:r w:rsidRPr="00521917">
        <w:rPr>
          <w:rStyle w:val="Refdenotaalpie"/>
          <w:rFonts w:ascii="Arial" w:hAnsi="Arial" w:cs="Arial"/>
          <w:color w:val="000000" w:themeColor="text1"/>
          <w:sz w:val="18"/>
          <w:szCs w:val="18"/>
        </w:rPr>
        <w:footnoteRef/>
      </w:r>
      <w:r w:rsidRPr="00521917">
        <w:rPr>
          <w:rFonts w:ascii="Arial" w:hAnsi="Arial" w:cs="Arial"/>
          <w:color w:val="000000" w:themeColor="text1"/>
          <w:sz w:val="18"/>
          <w:szCs w:val="18"/>
        </w:rPr>
        <w:t xml:space="preserve"> </w:t>
      </w:r>
      <w:r w:rsidRPr="00521917">
        <w:rPr>
          <w:rFonts w:ascii="Arial" w:eastAsia="Calibri" w:hAnsi="Arial"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D0FB5ED" w14:textId="77777777" w:rsidR="00902436" w:rsidRPr="00521917" w:rsidRDefault="00902436" w:rsidP="00D363FB">
      <w:pPr>
        <w:pStyle w:val="Textonotapie"/>
        <w:ind w:firstLine="709"/>
        <w:jc w:val="both"/>
        <w:rPr>
          <w:rFonts w:ascii="Arial" w:eastAsia="Calibri" w:hAnsi="Arial" w:cs="Arial"/>
          <w:color w:val="000000" w:themeColor="text1"/>
          <w:sz w:val="18"/>
          <w:szCs w:val="18"/>
        </w:rPr>
      </w:pPr>
      <w:r w:rsidRPr="00521917">
        <w:rPr>
          <w:rFonts w:ascii="Arial" w:eastAsia="Calibri" w:hAnsi="Arial" w:cs="Arial"/>
          <w:color w:val="000000" w:themeColor="text1"/>
          <w:sz w:val="18"/>
          <w:szCs w:val="18"/>
        </w:rPr>
        <w:t>[…]</w:t>
      </w:r>
    </w:p>
    <w:p w14:paraId="0104D23A" w14:textId="3EFF6C8F" w:rsidR="00902436" w:rsidRPr="00521917" w:rsidRDefault="00902436" w:rsidP="00D363FB">
      <w:pPr>
        <w:pStyle w:val="Textonotapie"/>
        <w:ind w:firstLine="709"/>
        <w:jc w:val="both"/>
        <w:rPr>
          <w:rFonts w:ascii="Arial" w:hAnsi="Arial" w:cs="Arial"/>
          <w:color w:val="000000" w:themeColor="text1"/>
          <w:sz w:val="18"/>
          <w:szCs w:val="18"/>
          <w:lang w:val="es-CO"/>
        </w:rPr>
      </w:pPr>
      <w:r w:rsidRPr="00521917">
        <w:rPr>
          <w:rFonts w:ascii="Arial" w:eastAsia="Calibri" w:hAnsi="Arial"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521917">
        <w:rPr>
          <w:rFonts w:ascii="Arial" w:hAnsi="Arial" w:cs="Arial"/>
          <w:color w:val="000000" w:themeColor="text1"/>
          <w:sz w:val="18"/>
          <w:szCs w:val="18"/>
          <w:lang w:val="es-CO"/>
        </w:rPr>
        <w:t xml:space="preserve"> </w:t>
      </w:r>
    </w:p>
  </w:footnote>
  <w:footnote w:id="30">
    <w:p w14:paraId="3101BAE9" w14:textId="67F48117" w:rsidR="00902436" w:rsidRPr="00521917" w:rsidRDefault="00D363FB" w:rsidP="00D363FB">
      <w:pPr>
        <w:pStyle w:val="Textonotapie"/>
        <w:jc w:val="both"/>
        <w:rPr>
          <w:rFonts w:ascii="Arial" w:hAnsi="Arial" w:cs="Arial"/>
          <w:color w:val="000000" w:themeColor="text1"/>
          <w:sz w:val="18"/>
          <w:szCs w:val="18"/>
          <w:lang w:val="es-CO"/>
        </w:rPr>
      </w:pPr>
      <w:r w:rsidRPr="00521917">
        <w:rPr>
          <w:rFonts w:ascii="Arial" w:eastAsia="Calibri" w:hAnsi="Arial" w:cs="Arial"/>
          <w:color w:val="000000" w:themeColor="text1"/>
          <w:sz w:val="18"/>
          <w:szCs w:val="18"/>
          <w:vertAlign w:val="superscript"/>
        </w:rPr>
        <w:tab/>
      </w:r>
      <w:r w:rsidR="00902436" w:rsidRPr="00521917">
        <w:rPr>
          <w:rFonts w:ascii="Arial" w:eastAsia="Calibri" w:hAnsi="Arial" w:cs="Arial"/>
          <w:color w:val="000000" w:themeColor="text1"/>
          <w:sz w:val="18"/>
          <w:szCs w:val="18"/>
          <w:vertAlign w:val="superscript"/>
        </w:rPr>
        <w:footnoteRef/>
      </w:r>
      <w:r w:rsidR="00902436" w:rsidRPr="00521917">
        <w:rPr>
          <w:rFonts w:ascii="Arial" w:eastAsia="Calibri" w:hAnsi="Arial" w:cs="Arial"/>
          <w:color w:val="000000" w:themeColor="text1"/>
          <w:sz w:val="18"/>
          <w:szCs w:val="18"/>
          <w:vertAlign w:val="superscript"/>
        </w:rPr>
        <w:t xml:space="preserve"> </w:t>
      </w:r>
      <w:r w:rsidR="00902436" w:rsidRPr="00521917">
        <w:rPr>
          <w:rFonts w:ascii="Arial" w:eastAsia="Calibri" w:hAnsi="Arial" w:cs="Arial"/>
          <w:color w:val="000000" w:themeColor="text1"/>
          <w:sz w:val="18"/>
          <w:szCs w:val="18"/>
        </w:rPr>
        <w:t xml:space="preserve">CONSEJO DE ESTADO. Sección Tercera. Sentencia del 26 de junio de 2003. Rad. 13.354. C.P: María Elena Giraldo Gómez. </w:t>
      </w:r>
    </w:p>
  </w:footnote>
  <w:footnote w:id="31">
    <w:p w14:paraId="2A6C4D32" w14:textId="77777777" w:rsidR="00902436" w:rsidRPr="00521917" w:rsidRDefault="00902436" w:rsidP="00902436">
      <w:pPr>
        <w:ind w:right="49" w:firstLine="709"/>
        <w:jc w:val="both"/>
        <w:rPr>
          <w:rFonts w:ascii="Arial" w:hAnsi="Arial" w:cs="Arial"/>
          <w:color w:val="000000" w:themeColor="text1"/>
          <w:sz w:val="18"/>
          <w:szCs w:val="18"/>
        </w:rPr>
      </w:pPr>
      <w:r w:rsidRPr="00521917">
        <w:rPr>
          <w:rStyle w:val="Refdenotaalpie"/>
          <w:rFonts w:ascii="Arial" w:hAnsi="Arial" w:cs="Arial"/>
          <w:color w:val="000000" w:themeColor="text1"/>
          <w:sz w:val="18"/>
          <w:szCs w:val="18"/>
        </w:rPr>
        <w:footnoteRef/>
      </w:r>
      <w:r w:rsidRPr="00521917">
        <w:rPr>
          <w:rFonts w:ascii="Arial" w:hAnsi="Arial" w:cs="Arial"/>
          <w:color w:val="000000" w:themeColor="text1"/>
          <w:sz w:val="18"/>
          <w:szCs w:val="18"/>
        </w:rPr>
        <w:t xml:space="preserve"> Decreto 1082 de 2015. “Artículo 2.2.1.1.1.6.4. Capacidad Residual. El interesado en celebrar contratos de obra pública con Entidades Estatales debe acreditar su Capacidad Residual o K de Contratación con los siguientes</w:t>
      </w:r>
      <w:r w:rsidRPr="00521917">
        <w:rPr>
          <w:rFonts w:ascii="Arial" w:hAnsi="Arial" w:cs="Arial"/>
          <w:color w:val="000000" w:themeColor="text1"/>
          <w:spacing w:val="-3"/>
          <w:sz w:val="18"/>
          <w:szCs w:val="18"/>
        </w:rPr>
        <w:t xml:space="preserve"> </w:t>
      </w:r>
      <w:r w:rsidRPr="00521917">
        <w:rPr>
          <w:rFonts w:ascii="Arial" w:hAnsi="Arial" w:cs="Arial"/>
          <w:color w:val="000000" w:themeColor="text1"/>
          <w:sz w:val="18"/>
          <w:szCs w:val="18"/>
        </w:rPr>
        <w:t>documentos:</w:t>
      </w:r>
    </w:p>
    <w:p w14:paraId="17DA4042" w14:textId="77777777" w:rsidR="00902436" w:rsidRPr="00521917" w:rsidRDefault="00902436" w:rsidP="00902436">
      <w:pPr>
        <w:ind w:right="49" w:firstLine="709"/>
        <w:jc w:val="both"/>
        <w:rPr>
          <w:rFonts w:ascii="Arial" w:hAnsi="Arial" w:cs="Arial"/>
          <w:color w:val="000000" w:themeColor="text1"/>
          <w:sz w:val="18"/>
          <w:szCs w:val="18"/>
        </w:rPr>
      </w:pPr>
      <w:r w:rsidRPr="00521917">
        <w:rPr>
          <w:rFonts w:ascii="Arial" w:hAnsi="Arial" w:cs="Arial"/>
          <w:color w:val="000000" w:themeColor="text1"/>
          <w:sz w:val="18"/>
          <w:szCs w:val="18"/>
        </w:rPr>
        <w:t>“1. La lista de los contratos de obras civiles en ejecución suscritos con Entidades Estatales y con entidades privadas, así como el valor y plazo de tales contratos, incluyendo contratos de concesión y los contratos de obra suscritos con</w:t>
      </w:r>
      <w:r w:rsidRPr="00521917">
        <w:rPr>
          <w:rFonts w:ascii="Arial" w:hAnsi="Arial" w:cs="Arial"/>
          <w:color w:val="000000" w:themeColor="text1"/>
          <w:spacing w:val="-4"/>
          <w:sz w:val="18"/>
          <w:szCs w:val="18"/>
        </w:rPr>
        <w:t xml:space="preserve"> </w:t>
      </w:r>
      <w:r w:rsidRPr="00521917">
        <w:rPr>
          <w:rFonts w:ascii="Arial" w:hAnsi="Arial" w:cs="Arial"/>
          <w:color w:val="000000" w:themeColor="text1"/>
          <w:sz w:val="18"/>
          <w:szCs w:val="18"/>
        </w:rPr>
        <w:t>concesionarios.</w:t>
      </w:r>
    </w:p>
    <w:p w14:paraId="2ADFF1F1" w14:textId="77777777" w:rsidR="00902436" w:rsidRPr="00521917" w:rsidRDefault="00902436" w:rsidP="00902436">
      <w:pPr>
        <w:ind w:right="49" w:firstLine="709"/>
        <w:jc w:val="both"/>
        <w:rPr>
          <w:rFonts w:ascii="Arial" w:hAnsi="Arial" w:cs="Arial"/>
          <w:color w:val="000000" w:themeColor="text1"/>
          <w:sz w:val="18"/>
          <w:szCs w:val="18"/>
        </w:rPr>
      </w:pPr>
      <w:r w:rsidRPr="00521917">
        <w:rPr>
          <w:rFonts w:ascii="Arial" w:hAnsi="Arial" w:cs="Arial"/>
          <w:color w:val="000000" w:themeColor="text1"/>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C517118" w14:textId="77777777" w:rsidR="00902436" w:rsidRPr="00521917" w:rsidRDefault="00902436" w:rsidP="00902436">
      <w:pPr>
        <w:ind w:right="49" w:firstLine="709"/>
        <w:jc w:val="both"/>
        <w:rPr>
          <w:rFonts w:ascii="Arial" w:hAnsi="Arial" w:cs="Arial"/>
          <w:color w:val="000000" w:themeColor="text1"/>
          <w:sz w:val="18"/>
          <w:szCs w:val="18"/>
        </w:rPr>
      </w:pPr>
      <w:r w:rsidRPr="00521917">
        <w:rPr>
          <w:rFonts w:ascii="Arial" w:hAnsi="Arial" w:cs="Arial"/>
          <w:color w:val="000000" w:themeColor="text1"/>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0B6C934E" w14:textId="77777777" w:rsidR="00902436" w:rsidRPr="00521917" w:rsidRDefault="00902436" w:rsidP="00902436">
      <w:pPr>
        <w:pStyle w:val="Textonotapie"/>
        <w:ind w:right="49" w:firstLine="709"/>
        <w:jc w:val="both"/>
        <w:rPr>
          <w:rFonts w:ascii="Arial" w:hAnsi="Arial" w:cs="Arial"/>
          <w:color w:val="000000" w:themeColor="text1"/>
          <w:sz w:val="18"/>
          <w:szCs w:val="18"/>
        </w:rPr>
      </w:pPr>
    </w:p>
  </w:footnote>
  <w:footnote w:id="32">
    <w:p w14:paraId="5F5BD0A8" w14:textId="77777777" w:rsidR="00902436" w:rsidRPr="00521917" w:rsidRDefault="00902436" w:rsidP="00902436">
      <w:pPr>
        <w:pStyle w:val="NormalWeb"/>
        <w:spacing w:after="0"/>
        <w:ind w:firstLine="709"/>
        <w:jc w:val="both"/>
        <w:rPr>
          <w:rFonts w:ascii="Arial" w:hAnsi="Arial" w:cs="Arial"/>
          <w:color w:val="000000"/>
          <w:sz w:val="18"/>
          <w:szCs w:val="18"/>
        </w:rPr>
      </w:pPr>
      <w:r w:rsidRPr="00521917">
        <w:rPr>
          <w:rStyle w:val="Refdenotaalpie"/>
          <w:rFonts w:ascii="Arial" w:hAnsi="Arial" w:cs="Arial"/>
          <w:sz w:val="18"/>
          <w:szCs w:val="18"/>
        </w:rPr>
        <w:footnoteRef/>
      </w:r>
      <w:r w:rsidRPr="00521917">
        <w:rPr>
          <w:rFonts w:ascii="Arial" w:hAnsi="Arial" w:cs="Arial"/>
          <w:sz w:val="18"/>
          <w:szCs w:val="18"/>
        </w:rPr>
        <w:t xml:space="preserve"> Decreto 1082 de 2015. “</w:t>
      </w:r>
      <w:r w:rsidRPr="00521917">
        <w:rPr>
          <w:rStyle w:val="Textoennegrita"/>
          <w:rFonts w:ascii="Arial" w:hAnsi="Arial" w:cs="Arial"/>
          <w:color w:val="000000"/>
          <w:sz w:val="18"/>
          <w:szCs w:val="18"/>
        </w:rPr>
        <w:t>Artículo 2.2.1.1.1.5.2. </w:t>
      </w:r>
      <w:r w:rsidRPr="00521917">
        <w:rPr>
          <w:rStyle w:val="nfasis"/>
          <w:rFonts w:ascii="Arial" w:hAnsi="Arial" w:cs="Arial"/>
          <w:color w:val="000000"/>
          <w:sz w:val="18"/>
          <w:szCs w:val="18"/>
        </w:rPr>
        <w:t>Información para inscripción, renovación o actualización. </w:t>
      </w:r>
      <w:r w:rsidRPr="00521917">
        <w:rPr>
          <w:rFonts w:ascii="Arial" w:hAnsi="Arial" w:cs="Arial"/>
          <w:color w:val="000000"/>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60609525" w14:textId="77777777" w:rsidR="00902436" w:rsidRPr="00521917" w:rsidRDefault="00902436" w:rsidP="00902436">
      <w:pPr>
        <w:pStyle w:val="NormalWeb"/>
        <w:spacing w:after="0"/>
        <w:jc w:val="both"/>
        <w:rPr>
          <w:rFonts w:ascii="Arial" w:hAnsi="Arial" w:cs="Arial"/>
          <w:color w:val="000000"/>
          <w:sz w:val="18"/>
          <w:szCs w:val="18"/>
        </w:rPr>
      </w:pPr>
      <w:r w:rsidRPr="00521917">
        <w:rPr>
          <w:rFonts w:ascii="Arial" w:hAnsi="Arial" w:cs="Arial"/>
          <w:color w:val="000000"/>
          <w:sz w:val="18"/>
          <w:szCs w:val="18"/>
        </w:rPr>
        <w:t>[…]</w:t>
      </w:r>
    </w:p>
    <w:p w14:paraId="74469DA8" w14:textId="77777777" w:rsidR="00902436" w:rsidRPr="00521917" w:rsidRDefault="00902436" w:rsidP="00902436">
      <w:pPr>
        <w:pStyle w:val="NormalWeb"/>
        <w:spacing w:after="0"/>
        <w:jc w:val="both"/>
        <w:rPr>
          <w:rFonts w:ascii="Arial" w:hAnsi="Arial" w:cs="Arial"/>
          <w:color w:val="000000"/>
          <w:sz w:val="18"/>
          <w:szCs w:val="18"/>
        </w:rPr>
      </w:pPr>
      <w:r w:rsidRPr="00521917">
        <w:rPr>
          <w:rFonts w:ascii="Arial" w:hAnsi="Arial" w:cs="Arial"/>
          <w:color w:val="000000"/>
          <w:sz w:val="18"/>
          <w:szCs w:val="18"/>
        </w:rPr>
        <w:t>“2. Si es una persona jurídica: </w:t>
      </w:r>
    </w:p>
    <w:p w14:paraId="541B217A" w14:textId="77777777" w:rsidR="00902436" w:rsidRPr="00521917" w:rsidRDefault="00902436" w:rsidP="00902436">
      <w:pPr>
        <w:pStyle w:val="NormalWeb"/>
        <w:spacing w:after="0"/>
        <w:jc w:val="both"/>
        <w:rPr>
          <w:rFonts w:ascii="Arial" w:hAnsi="Arial" w:cs="Arial"/>
          <w:color w:val="000000"/>
          <w:sz w:val="18"/>
          <w:szCs w:val="18"/>
        </w:rPr>
      </w:pPr>
      <w:r w:rsidRPr="00521917">
        <w:rPr>
          <w:rFonts w:ascii="Arial" w:hAnsi="Arial" w:cs="Arial"/>
          <w:color w:val="000000"/>
          <w:sz w:val="18"/>
          <w:szCs w:val="18"/>
        </w:rPr>
        <w:t>  </w:t>
      </w:r>
      <w:r w:rsidRPr="00521917">
        <w:rPr>
          <w:rFonts w:ascii="Arial" w:hAnsi="Arial" w:cs="Arial"/>
          <w:color w:val="000000"/>
          <w:sz w:val="18"/>
          <w:szCs w:val="18"/>
        </w:rPr>
        <w:tab/>
        <w:t>[…]</w:t>
      </w:r>
    </w:p>
    <w:p w14:paraId="46D59A03" w14:textId="44ED053C" w:rsidR="00902436" w:rsidRPr="00521917" w:rsidRDefault="00902436" w:rsidP="0073735B">
      <w:pPr>
        <w:pStyle w:val="NormalWeb"/>
        <w:spacing w:after="0"/>
        <w:jc w:val="both"/>
        <w:rPr>
          <w:rFonts w:ascii="Arial" w:hAnsi="Arial" w:cs="Arial"/>
          <w:color w:val="000000"/>
          <w:sz w:val="18"/>
          <w:szCs w:val="18"/>
        </w:rPr>
      </w:pPr>
      <w:r w:rsidRPr="00521917">
        <w:rPr>
          <w:rFonts w:ascii="Arial" w:hAnsi="Arial" w:cs="Arial"/>
          <w:color w:val="000000"/>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 […]</w:t>
      </w:r>
    </w:p>
  </w:footnote>
  <w:footnote w:id="33">
    <w:p w14:paraId="0B823664" w14:textId="53EE983A" w:rsidR="00902436" w:rsidRPr="00521917" w:rsidRDefault="0073735B" w:rsidP="00902436">
      <w:pPr>
        <w:pStyle w:val="Textonotapie"/>
        <w:jc w:val="both"/>
        <w:rPr>
          <w:rFonts w:ascii="Arial" w:eastAsia="Calibri" w:hAnsi="Arial" w:cs="Arial"/>
          <w:color w:val="000000"/>
          <w:sz w:val="18"/>
          <w:szCs w:val="18"/>
          <w:lang w:eastAsia="es-ES_tradnl"/>
        </w:rPr>
      </w:pPr>
      <w:r w:rsidRPr="00521917">
        <w:rPr>
          <w:rFonts w:ascii="Arial" w:hAnsi="Arial" w:cs="Arial"/>
          <w:sz w:val="18"/>
          <w:szCs w:val="18"/>
        </w:rPr>
        <w:tab/>
      </w:r>
      <w:r w:rsidR="00902436" w:rsidRPr="00521917">
        <w:rPr>
          <w:rStyle w:val="Refdenotaalpie"/>
          <w:rFonts w:ascii="Arial" w:hAnsi="Arial" w:cs="Arial"/>
          <w:sz w:val="18"/>
          <w:szCs w:val="18"/>
        </w:rPr>
        <w:footnoteRef/>
      </w:r>
      <w:r w:rsidR="00902436" w:rsidRPr="00521917">
        <w:rPr>
          <w:rFonts w:ascii="Arial" w:hAnsi="Arial" w:cs="Arial"/>
          <w:sz w:val="18"/>
          <w:szCs w:val="18"/>
        </w:rPr>
        <w:t xml:space="preserve">  La Agencia Nacional de Contratación Pública ‒ Colombia Compra Eficiente se ha pronunciado en múltiples ocasiones sobre el alcance del numeral 2.5. del artículo 2.2.1.1.1.5.2 del Decreto 1082 de 2015, en torno a la posibilidad de que las personas jurídicas acrediten experiencia adquirida por sus socios o constituyentes. En particular en los conceptos </w:t>
      </w:r>
      <w:r w:rsidR="00902436" w:rsidRPr="00521917">
        <w:rPr>
          <w:rFonts w:ascii="Arial" w:eastAsia="Calibri" w:hAnsi="Arial" w:cs="Arial"/>
          <w:color w:val="000000"/>
          <w:sz w:val="18"/>
          <w:szCs w:val="18"/>
          <w:lang w:eastAsia="es-ES_tradnl"/>
        </w:rPr>
        <w:t>C-511 del 18 de agosto de 2020, C-584 de 31 de agosto 2020, C-619 de 21 de septiembre 2020, C-710 del 9 de diciembre de 2020, C-717 del 10 de diciembre de 2020, C-729 del 11 de diciembre de 2020, C-008 del 15 de febrero de 2021, C-103 del 24 de marzo del 2021, C-140 del 9 de abril del 2021, C-230 del 25 de mayo de 2021, C-249 de 1 de junio de 2021, C-326 del 2 de julio de 2021, entre otros.</w:t>
      </w:r>
    </w:p>
    <w:p w14:paraId="1D6D50E1" w14:textId="77777777" w:rsidR="00902436" w:rsidRPr="004570E5" w:rsidRDefault="00902436" w:rsidP="00902436">
      <w:pPr>
        <w:pStyle w:val="Textonotapie"/>
        <w:ind w:firstLine="709"/>
        <w:jc w:val="both"/>
        <w:rPr>
          <w:rFonts w:ascii="Arial" w:hAnsi="Arial"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329089972">
    <w:abstractNumId w:val="0"/>
  </w:num>
  <w:num w:numId="7" w16cid:durableId="1266495051">
    <w:abstractNumId w:val="4"/>
  </w:num>
  <w:num w:numId="8" w16cid:durableId="1022366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F8F"/>
    <w:rsid w:val="00025FB2"/>
    <w:rsid w:val="000755E4"/>
    <w:rsid w:val="0009701F"/>
    <w:rsid w:val="000A023D"/>
    <w:rsid w:val="000A1D12"/>
    <w:rsid w:val="000A367A"/>
    <w:rsid w:val="000A683E"/>
    <w:rsid w:val="000B19B9"/>
    <w:rsid w:val="000B7C05"/>
    <w:rsid w:val="000C2DDD"/>
    <w:rsid w:val="000D0334"/>
    <w:rsid w:val="000D71B2"/>
    <w:rsid w:val="000F6486"/>
    <w:rsid w:val="000F7349"/>
    <w:rsid w:val="00125105"/>
    <w:rsid w:val="0012709C"/>
    <w:rsid w:val="00127233"/>
    <w:rsid w:val="00134850"/>
    <w:rsid w:val="001547E0"/>
    <w:rsid w:val="001571AF"/>
    <w:rsid w:val="001A2A33"/>
    <w:rsid w:val="001B4468"/>
    <w:rsid w:val="001B5F5F"/>
    <w:rsid w:val="001C05F6"/>
    <w:rsid w:val="001C2399"/>
    <w:rsid w:val="001D260C"/>
    <w:rsid w:val="001E4177"/>
    <w:rsid w:val="001F3542"/>
    <w:rsid w:val="00201103"/>
    <w:rsid w:val="00217516"/>
    <w:rsid w:val="00233A47"/>
    <w:rsid w:val="00246528"/>
    <w:rsid w:val="002636DC"/>
    <w:rsid w:val="002826F8"/>
    <w:rsid w:val="002951A0"/>
    <w:rsid w:val="002962BC"/>
    <w:rsid w:val="002A093D"/>
    <w:rsid w:val="002A49AC"/>
    <w:rsid w:val="002A64FD"/>
    <w:rsid w:val="002C7A84"/>
    <w:rsid w:val="002D758E"/>
    <w:rsid w:val="002E2777"/>
    <w:rsid w:val="002E2C77"/>
    <w:rsid w:val="00302E31"/>
    <w:rsid w:val="00326309"/>
    <w:rsid w:val="003408F0"/>
    <w:rsid w:val="00343EA1"/>
    <w:rsid w:val="003448F4"/>
    <w:rsid w:val="00355DAA"/>
    <w:rsid w:val="00370D7D"/>
    <w:rsid w:val="003734C1"/>
    <w:rsid w:val="00380CB2"/>
    <w:rsid w:val="003A247F"/>
    <w:rsid w:val="003A779E"/>
    <w:rsid w:val="003D0F4D"/>
    <w:rsid w:val="003D3FBB"/>
    <w:rsid w:val="003E0499"/>
    <w:rsid w:val="003F3941"/>
    <w:rsid w:val="00400548"/>
    <w:rsid w:val="00414F89"/>
    <w:rsid w:val="00430A1D"/>
    <w:rsid w:val="00442D5F"/>
    <w:rsid w:val="00445F67"/>
    <w:rsid w:val="00452A91"/>
    <w:rsid w:val="00465EDD"/>
    <w:rsid w:val="00467F5C"/>
    <w:rsid w:val="004728D1"/>
    <w:rsid w:val="0049282D"/>
    <w:rsid w:val="004A1847"/>
    <w:rsid w:val="004A305D"/>
    <w:rsid w:val="004B3164"/>
    <w:rsid w:val="004D4D83"/>
    <w:rsid w:val="004F21C4"/>
    <w:rsid w:val="004F685F"/>
    <w:rsid w:val="00521917"/>
    <w:rsid w:val="00544245"/>
    <w:rsid w:val="005566E8"/>
    <w:rsid w:val="00557466"/>
    <w:rsid w:val="00560EE9"/>
    <w:rsid w:val="00574867"/>
    <w:rsid w:val="00585772"/>
    <w:rsid w:val="0058738C"/>
    <w:rsid w:val="00594C0D"/>
    <w:rsid w:val="005C58E1"/>
    <w:rsid w:val="005C5CDC"/>
    <w:rsid w:val="005D476C"/>
    <w:rsid w:val="005E4605"/>
    <w:rsid w:val="005E7ABA"/>
    <w:rsid w:val="005F6B86"/>
    <w:rsid w:val="006219F8"/>
    <w:rsid w:val="00660EB0"/>
    <w:rsid w:val="00665AB9"/>
    <w:rsid w:val="00665D70"/>
    <w:rsid w:val="0067425D"/>
    <w:rsid w:val="0067611C"/>
    <w:rsid w:val="00687F91"/>
    <w:rsid w:val="00691CFE"/>
    <w:rsid w:val="006B1752"/>
    <w:rsid w:val="006D71F9"/>
    <w:rsid w:val="007019FF"/>
    <w:rsid w:val="00706C16"/>
    <w:rsid w:val="00716DBB"/>
    <w:rsid w:val="00717B6D"/>
    <w:rsid w:val="0073735B"/>
    <w:rsid w:val="00745EAA"/>
    <w:rsid w:val="007536B9"/>
    <w:rsid w:val="00756841"/>
    <w:rsid w:val="007649AB"/>
    <w:rsid w:val="00780D55"/>
    <w:rsid w:val="007833AC"/>
    <w:rsid w:val="00797A43"/>
    <w:rsid w:val="007A53BC"/>
    <w:rsid w:val="007B7171"/>
    <w:rsid w:val="007C3DC2"/>
    <w:rsid w:val="007D38CE"/>
    <w:rsid w:val="007E5497"/>
    <w:rsid w:val="00806F5F"/>
    <w:rsid w:val="00820278"/>
    <w:rsid w:val="008448A3"/>
    <w:rsid w:val="00845C54"/>
    <w:rsid w:val="00850037"/>
    <w:rsid w:val="00852BF9"/>
    <w:rsid w:val="00875E8A"/>
    <w:rsid w:val="008810C6"/>
    <w:rsid w:val="0088203C"/>
    <w:rsid w:val="008843B6"/>
    <w:rsid w:val="00891928"/>
    <w:rsid w:val="008A2500"/>
    <w:rsid w:val="008A446D"/>
    <w:rsid w:val="008B70F0"/>
    <w:rsid w:val="008D3DAF"/>
    <w:rsid w:val="008D528C"/>
    <w:rsid w:val="008D6B35"/>
    <w:rsid w:val="008F0EA7"/>
    <w:rsid w:val="008F3A72"/>
    <w:rsid w:val="00902436"/>
    <w:rsid w:val="0090277C"/>
    <w:rsid w:val="00911CE2"/>
    <w:rsid w:val="00911FB5"/>
    <w:rsid w:val="00923EEF"/>
    <w:rsid w:val="00925325"/>
    <w:rsid w:val="00926726"/>
    <w:rsid w:val="009419F9"/>
    <w:rsid w:val="00960E81"/>
    <w:rsid w:val="00961B09"/>
    <w:rsid w:val="00965334"/>
    <w:rsid w:val="0097093E"/>
    <w:rsid w:val="009B3021"/>
    <w:rsid w:val="009C1A7A"/>
    <w:rsid w:val="009C71FA"/>
    <w:rsid w:val="009C72E7"/>
    <w:rsid w:val="009C7A80"/>
    <w:rsid w:val="009E76B7"/>
    <w:rsid w:val="00A0041B"/>
    <w:rsid w:val="00A02F32"/>
    <w:rsid w:val="00A04D92"/>
    <w:rsid w:val="00A14CA3"/>
    <w:rsid w:val="00A17F13"/>
    <w:rsid w:val="00A20739"/>
    <w:rsid w:val="00A27508"/>
    <w:rsid w:val="00A33C78"/>
    <w:rsid w:val="00A33C79"/>
    <w:rsid w:val="00A36B48"/>
    <w:rsid w:val="00A4323F"/>
    <w:rsid w:val="00A47E23"/>
    <w:rsid w:val="00A52E4D"/>
    <w:rsid w:val="00A53FA2"/>
    <w:rsid w:val="00A57AE5"/>
    <w:rsid w:val="00A75A84"/>
    <w:rsid w:val="00A96E9E"/>
    <w:rsid w:val="00AA5466"/>
    <w:rsid w:val="00AB0ADB"/>
    <w:rsid w:val="00AB2A09"/>
    <w:rsid w:val="00AB3798"/>
    <w:rsid w:val="00AD0C18"/>
    <w:rsid w:val="00AE441B"/>
    <w:rsid w:val="00B17CF2"/>
    <w:rsid w:val="00B23F4A"/>
    <w:rsid w:val="00B41948"/>
    <w:rsid w:val="00B70D7B"/>
    <w:rsid w:val="00B72CD3"/>
    <w:rsid w:val="00B72FFF"/>
    <w:rsid w:val="00B821DD"/>
    <w:rsid w:val="00B840AD"/>
    <w:rsid w:val="00BA3D19"/>
    <w:rsid w:val="00BC1A23"/>
    <w:rsid w:val="00BD7F72"/>
    <w:rsid w:val="00C04FB3"/>
    <w:rsid w:val="00C330EB"/>
    <w:rsid w:val="00C35A82"/>
    <w:rsid w:val="00C5205E"/>
    <w:rsid w:val="00C532FE"/>
    <w:rsid w:val="00C559CF"/>
    <w:rsid w:val="00C605D1"/>
    <w:rsid w:val="00C754BE"/>
    <w:rsid w:val="00C92AC0"/>
    <w:rsid w:val="00CB2BA7"/>
    <w:rsid w:val="00CB6357"/>
    <w:rsid w:val="00CC1B26"/>
    <w:rsid w:val="00CC200E"/>
    <w:rsid w:val="00CD1691"/>
    <w:rsid w:val="00CD21BF"/>
    <w:rsid w:val="00CE6760"/>
    <w:rsid w:val="00CF444C"/>
    <w:rsid w:val="00D125A6"/>
    <w:rsid w:val="00D14339"/>
    <w:rsid w:val="00D146F9"/>
    <w:rsid w:val="00D15B0D"/>
    <w:rsid w:val="00D26C4E"/>
    <w:rsid w:val="00D363FB"/>
    <w:rsid w:val="00D423A2"/>
    <w:rsid w:val="00D5164E"/>
    <w:rsid w:val="00D52730"/>
    <w:rsid w:val="00D63AC2"/>
    <w:rsid w:val="00D6422E"/>
    <w:rsid w:val="00D7383B"/>
    <w:rsid w:val="00D75002"/>
    <w:rsid w:val="00DA231B"/>
    <w:rsid w:val="00DA793A"/>
    <w:rsid w:val="00DC2361"/>
    <w:rsid w:val="00E16408"/>
    <w:rsid w:val="00E20894"/>
    <w:rsid w:val="00E23028"/>
    <w:rsid w:val="00E245AB"/>
    <w:rsid w:val="00E50AFE"/>
    <w:rsid w:val="00E57F85"/>
    <w:rsid w:val="00E741C0"/>
    <w:rsid w:val="00E771DC"/>
    <w:rsid w:val="00E776D4"/>
    <w:rsid w:val="00E8772A"/>
    <w:rsid w:val="00E90F6B"/>
    <w:rsid w:val="00E92C27"/>
    <w:rsid w:val="00EA05AC"/>
    <w:rsid w:val="00EA0E3D"/>
    <w:rsid w:val="00EE1AA8"/>
    <w:rsid w:val="00EE71D2"/>
    <w:rsid w:val="00EF3A94"/>
    <w:rsid w:val="00EF6BC4"/>
    <w:rsid w:val="00F204AB"/>
    <w:rsid w:val="00F31EDC"/>
    <w:rsid w:val="00F345AB"/>
    <w:rsid w:val="00F5664F"/>
    <w:rsid w:val="00F75EF0"/>
    <w:rsid w:val="00F76AFC"/>
    <w:rsid w:val="00F97BFC"/>
    <w:rsid w:val="00FB26A1"/>
    <w:rsid w:val="00FB5DD1"/>
    <w:rsid w:val="00FC2B5D"/>
    <w:rsid w:val="00FC32EC"/>
    <w:rsid w:val="00FD215D"/>
    <w:rsid w:val="00FE42A5"/>
    <w:rsid w:val="00FE57C5"/>
    <w:rsid w:val="00FE6D90"/>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9F84EA1-1BC8-491A-B2EA-9E094A23E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97BFC"/>
    <w:rPr>
      <w:rFonts w:ascii="Geomanist Light" w:hAnsi="Geomanist Light"/>
      <w:lang w:val="es-ES"/>
    </w:rPr>
  </w:style>
  <w:style w:type="paragraph" w:customStyle="1" w:styleId="Appelnotedebasde">
    <w:name w:val="Appel note de bas de..."/>
    <w:basedOn w:val="Normal"/>
    <w:link w:val="Refdenotaalpie"/>
    <w:uiPriority w:val="99"/>
    <w:rsid w:val="002E2777"/>
    <w:pPr>
      <w:spacing w:line="240" w:lineRule="exact"/>
    </w:pPr>
    <w:rPr>
      <w:vertAlign w:val="superscript"/>
    </w:rPr>
  </w:style>
  <w:style w:type="paragraph" w:styleId="NormalWeb">
    <w:name w:val="Normal (Web)"/>
    <w:basedOn w:val="Normal"/>
    <w:link w:val="NormalWebCar"/>
    <w:uiPriority w:val="99"/>
    <w:unhideWhenUsed/>
    <w:rsid w:val="003408F0"/>
    <w:rPr>
      <w:rFonts w:ascii="Times New Roman" w:hAnsi="Times New Roman" w:cs="Times New Roman"/>
      <w:sz w:val="24"/>
      <w:szCs w:val="24"/>
    </w:rPr>
  </w:style>
  <w:style w:type="character" w:customStyle="1" w:styleId="NormalWebCar">
    <w:name w:val="Normal (Web) Car"/>
    <w:link w:val="NormalWeb"/>
    <w:uiPriority w:val="99"/>
    <w:rsid w:val="003408F0"/>
    <w:rPr>
      <w:rFonts w:ascii="Times New Roman" w:hAnsi="Times New Roman" w:cs="Times New Roman"/>
      <w:sz w:val="24"/>
      <w:szCs w:val="24"/>
    </w:rPr>
  </w:style>
  <w:style w:type="table" w:customStyle="1" w:styleId="Tablaconcuadrcula1">
    <w:name w:val="Tabla con cuadrícula1"/>
    <w:basedOn w:val="Tablanormal"/>
    <w:next w:val="Tablaconcuadrcula"/>
    <w:uiPriority w:val="59"/>
    <w:rsid w:val="0037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0D71B2"/>
    <w:pPr>
      <w:spacing w:after="0" w:line="240" w:lineRule="auto"/>
    </w:pPr>
  </w:style>
  <w:style w:type="character" w:styleId="Textoennegrita">
    <w:name w:val="Strong"/>
    <w:basedOn w:val="Fuentedeprrafopredeter"/>
    <w:uiPriority w:val="22"/>
    <w:qFormat/>
    <w:rsid w:val="00CE6760"/>
    <w:rPr>
      <w:b/>
      <w:bCs/>
    </w:rPr>
  </w:style>
  <w:style w:type="character" w:styleId="nfasis">
    <w:name w:val="Emphasis"/>
    <w:basedOn w:val="Fuentedeprrafopredeter"/>
    <w:uiPriority w:val="20"/>
    <w:qFormat/>
    <w:rsid w:val="00CE6760"/>
    <w:rPr>
      <w:i/>
      <w:iCs/>
    </w:rPr>
  </w:style>
  <w:style w:type="table" w:styleId="Tablaconcuadrcula4-nfasis6">
    <w:name w:val="Grid Table 4 Accent 6"/>
    <w:basedOn w:val="Tablanormal"/>
    <w:uiPriority w:val="49"/>
    <w:rsid w:val="00CE6760"/>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extoindependiente">
    <w:name w:val="Body Text"/>
    <w:basedOn w:val="Normal"/>
    <w:link w:val="TextoindependienteCar"/>
    <w:uiPriority w:val="1"/>
    <w:qFormat/>
    <w:rsid w:val="00CE6760"/>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CE6760"/>
    <w:rPr>
      <w:rFonts w:ascii="Arial" w:eastAsia="Arial" w:hAnsi="Arial" w:cs="Arial"/>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245817">
      <w:bodyDiv w:val="1"/>
      <w:marLeft w:val="0"/>
      <w:marRight w:val="0"/>
      <w:marTop w:val="0"/>
      <w:marBottom w:val="0"/>
      <w:divBdr>
        <w:top w:val="none" w:sz="0" w:space="0" w:color="auto"/>
        <w:left w:val="none" w:sz="0" w:space="0" w:color="auto"/>
        <w:bottom w:val="none" w:sz="0" w:space="0" w:color="auto"/>
        <w:right w:val="none" w:sz="0" w:space="0" w:color="auto"/>
      </w:divBdr>
      <w:divsChild>
        <w:div w:id="1832522321">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colombiacompra.gov.co/sites/cce_public/files/cce_documents/cce_manual_requisitos_habilitantes.pdf" TargetMode="External"/><Relationship Id="rId1" Type="http://schemas.openxmlformats.org/officeDocument/2006/relationships/hyperlink" Target="https://relatoria.colombiacompra.gov.co/busqueda/conceptos%20" TargetMode="External"/><Relationship Id="rId4" Type="http://schemas.openxmlformats.org/officeDocument/2006/relationships/hyperlink" Target="https://www.colombiacompra.gov.co/content/circular-unica-extern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BB5C1F8A-7A34-4908-AF18-BD972E7ED15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11638</Words>
  <Characters>64011</Characters>
  <Application>Microsoft Office Word</Application>
  <DocSecurity>0</DocSecurity>
  <Lines>533</Lines>
  <Paragraphs>150</Paragraphs>
  <ScaleCrop>false</ScaleCrop>
  <Company/>
  <LinksUpToDate>false</LinksUpToDate>
  <CharactersWithSpaces>75499</CharactersWithSpaces>
  <SharedDoc>false</SharedDoc>
  <HLinks>
    <vt:vector size="24" baseType="variant">
      <vt:variant>
        <vt:i4>5832784</vt:i4>
      </vt:variant>
      <vt:variant>
        <vt:i4>9</vt:i4>
      </vt:variant>
      <vt:variant>
        <vt:i4>0</vt:i4>
      </vt:variant>
      <vt:variant>
        <vt:i4>5</vt:i4>
      </vt:variant>
      <vt:variant>
        <vt:lpwstr>https://www.colombiacompra.gov.co/content/circular-unica-externa</vt:lpwstr>
      </vt:variant>
      <vt:variant>
        <vt:lpwstr/>
      </vt:variant>
      <vt:variant>
        <vt:i4>2555924</vt:i4>
      </vt:variant>
      <vt:variant>
        <vt:i4>6</vt:i4>
      </vt:variant>
      <vt:variant>
        <vt:i4>0</vt:i4>
      </vt:variant>
      <vt:variant>
        <vt:i4>5</vt:i4>
      </vt:variant>
      <vt:variant>
        <vt:lpwstr>https://www.funcionpublica.gov.co/eva/gestornormativo/norma.php?i=25678</vt:lpwstr>
      </vt:variant>
      <vt:variant>
        <vt:lpwstr>5</vt:lpwstr>
      </vt:variant>
      <vt:variant>
        <vt:i4>5242922</vt:i4>
      </vt:variant>
      <vt:variant>
        <vt:i4>3</vt:i4>
      </vt:variant>
      <vt:variant>
        <vt:i4>0</vt:i4>
      </vt:variant>
      <vt:variant>
        <vt:i4>5</vt:i4>
      </vt:variant>
      <vt:variant>
        <vt:lpwstr>https://colombiacompra.gov.co/sites/cce_public/files/cce_documents/cce_manual_requisitos_habilitantes.pdf</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18</cp:revision>
  <cp:lastPrinted>2023-01-11T00:18:00Z</cp:lastPrinted>
  <dcterms:created xsi:type="dcterms:W3CDTF">2023-08-18T03:03:00Z</dcterms:created>
  <dcterms:modified xsi:type="dcterms:W3CDTF">2023-08-18T14:56:00Z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