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8393E" w14:textId="77777777" w:rsidR="00097831" w:rsidRDefault="00097831" w:rsidP="00B3069C">
      <w:pPr>
        <w:spacing w:after="0" w:line="240" w:lineRule="auto"/>
        <w:contextualSpacing/>
        <w:rPr>
          <w:rFonts w:ascii="Verdana" w:eastAsia="Calibri" w:hAnsi="Verdana" w:cs="Arial"/>
          <w:b/>
          <w:bCs/>
          <w:lang w:val="es-ES" w:eastAsia="es-ES"/>
        </w:rPr>
      </w:pPr>
      <w:bookmarkStart w:id="0" w:name="_Hlk143780582"/>
      <w:r w:rsidRPr="00097831">
        <w:rPr>
          <w:rFonts w:ascii="Verdana" w:eastAsia="Calibri" w:hAnsi="Verdana" w:cs="Arial"/>
          <w:b/>
          <w:bCs/>
          <w:lang w:val="es-ES" w:eastAsia="es-ES"/>
        </w:rPr>
        <w:t>ENTIDADES EXCEPTUADAS – Régimen especial – Derecho privado</w:t>
      </w:r>
    </w:p>
    <w:p w14:paraId="501BD06D" w14:textId="77777777" w:rsidR="00B3069C" w:rsidRDefault="00B3069C" w:rsidP="00B3069C">
      <w:pPr>
        <w:spacing w:after="0" w:line="240" w:lineRule="auto"/>
        <w:contextualSpacing/>
        <w:rPr>
          <w:rFonts w:ascii="Verdana" w:eastAsia="Verdana" w:hAnsi="Verdana" w:cs="Verdana"/>
          <w:lang w:val="es-ES"/>
        </w:rPr>
      </w:pPr>
    </w:p>
    <w:p w14:paraId="2436D6C6" w14:textId="0570B6A7" w:rsidR="00AE6AFD" w:rsidRPr="00B3069C" w:rsidRDefault="00AE6AFD" w:rsidP="00B3069C">
      <w:pPr>
        <w:spacing w:after="0" w:line="240" w:lineRule="auto"/>
        <w:contextualSpacing/>
        <w:jc w:val="both"/>
        <w:rPr>
          <w:rFonts w:ascii="Verdana" w:eastAsia="Verdana" w:hAnsi="Verdana" w:cs="Verdana"/>
          <w:sz w:val="20"/>
          <w:szCs w:val="20"/>
          <w:lang w:val="es-ES"/>
        </w:rPr>
      </w:pPr>
      <w:r w:rsidRPr="00B3069C">
        <w:rPr>
          <w:rFonts w:ascii="Verdana" w:eastAsia="Verdana" w:hAnsi="Verdana" w:cs="Verdana"/>
          <w:sz w:val="20"/>
          <w:szCs w:val="20"/>
          <w:lang w:val="es-ES"/>
        </w:rPr>
        <w:t>El ordenamiento jurídico colombiano contempla como categoría única la noción de contratos estatales, pero acepta la posibilidad de que tengan regímenes jurídicos diferenciados.</w:t>
      </w:r>
      <w:r w:rsidRPr="00B3069C">
        <w:rPr>
          <w:rFonts w:ascii="Verdana" w:eastAsia="Verdana" w:hAnsi="Verdana" w:cs="Verdana"/>
          <w:spacing w:val="-5"/>
          <w:sz w:val="20"/>
          <w:szCs w:val="20"/>
          <w:lang w:val="es-ES"/>
        </w:rPr>
        <w:t xml:space="preserve"> </w:t>
      </w:r>
      <w:r w:rsidRPr="00B3069C">
        <w:rPr>
          <w:rFonts w:ascii="Verdana" w:eastAsia="Verdana" w:hAnsi="Verdana" w:cs="Verdana"/>
          <w:sz w:val="20"/>
          <w:szCs w:val="20"/>
          <w:lang w:val="es-ES"/>
        </w:rPr>
        <w:t>En</w:t>
      </w:r>
      <w:r w:rsidRPr="00B3069C">
        <w:rPr>
          <w:rFonts w:ascii="Verdana" w:eastAsia="Verdana" w:hAnsi="Verdana" w:cs="Verdana"/>
          <w:spacing w:val="-10"/>
          <w:sz w:val="20"/>
          <w:szCs w:val="20"/>
          <w:lang w:val="es-ES"/>
        </w:rPr>
        <w:t xml:space="preserve"> </w:t>
      </w:r>
      <w:r w:rsidRPr="00B3069C">
        <w:rPr>
          <w:rFonts w:ascii="Verdana" w:eastAsia="Verdana" w:hAnsi="Verdana" w:cs="Verdana"/>
          <w:sz w:val="20"/>
          <w:szCs w:val="20"/>
          <w:lang w:val="es-ES"/>
        </w:rPr>
        <w:t>consecuencia, los contratos</w:t>
      </w:r>
      <w:r w:rsidRPr="00B3069C">
        <w:rPr>
          <w:rFonts w:ascii="Verdana" w:eastAsia="Verdana" w:hAnsi="Verdana" w:cs="Verdana"/>
          <w:spacing w:val="-7"/>
          <w:sz w:val="20"/>
          <w:szCs w:val="20"/>
          <w:lang w:val="es-ES"/>
        </w:rPr>
        <w:t xml:space="preserve"> </w:t>
      </w:r>
      <w:r w:rsidRPr="00B3069C">
        <w:rPr>
          <w:rFonts w:ascii="Verdana" w:eastAsia="Verdana" w:hAnsi="Verdana" w:cs="Verdana"/>
          <w:sz w:val="20"/>
          <w:szCs w:val="20"/>
          <w:lang w:val="es-ES"/>
        </w:rPr>
        <w:t>estatales</w:t>
      </w:r>
      <w:r w:rsidRPr="00B3069C">
        <w:rPr>
          <w:rFonts w:ascii="Verdana" w:eastAsia="Verdana" w:hAnsi="Verdana" w:cs="Verdana"/>
          <w:spacing w:val="-8"/>
          <w:sz w:val="20"/>
          <w:szCs w:val="20"/>
          <w:lang w:val="es-ES"/>
        </w:rPr>
        <w:t xml:space="preserve"> pueden estar </w:t>
      </w:r>
      <w:r w:rsidRPr="00B3069C">
        <w:rPr>
          <w:rFonts w:ascii="Verdana" w:eastAsia="Verdana" w:hAnsi="Verdana" w:cs="Verdana"/>
          <w:sz w:val="20"/>
          <w:szCs w:val="20"/>
          <w:lang w:val="es-ES"/>
        </w:rPr>
        <w:t>sometidos al Estatuto General de Contratación de la Administración Pública –en adelante EGCAP- (Ley 80 de 1993, 1150 de 2007 y disposiciones complementarias), o estar sujetos a</w:t>
      </w:r>
      <w:r w:rsidRPr="00B3069C">
        <w:rPr>
          <w:rFonts w:ascii="Verdana" w:eastAsia="Verdana" w:hAnsi="Verdana" w:cs="Verdana"/>
          <w:spacing w:val="-15"/>
          <w:sz w:val="20"/>
          <w:szCs w:val="20"/>
          <w:lang w:val="es-ES"/>
        </w:rPr>
        <w:t xml:space="preserve"> </w:t>
      </w:r>
      <w:r w:rsidRPr="00B3069C">
        <w:rPr>
          <w:rFonts w:ascii="Verdana" w:eastAsia="Verdana" w:hAnsi="Verdana" w:cs="Verdana"/>
          <w:sz w:val="20"/>
          <w:szCs w:val="20"/>
          <w:lang w:val="es-ES"/>
        </w:rPr>
        <w:t>reglas</w:t>
      </w:r>
      <w:r w:rsidRPr="00B3069C">
        <w:rPr>
          <w:rFonts w:ascii="Verdana" w:eastAsia="Verdana" w:hAnsi="Verdana" w:cs="Verdana"/>
          <w:spacing w:val="-13"/>
          <w:sz w:val="20"/>
          <w:szCs w:val="20"/>
          <w:lang w:val="es-ES"/>
        </w:rPr>
        <w:t xml:space="preserve"> </w:t>
      </w:r>
      <w:r w:rsidRPr="00B3069C">
        <w:rPr>
          <w:rFonts w:ascii="Verdana" w:eastAsia="Verdana" w:hAnsi="Verdana" w:cs="Verdana"/>
          <w:sz w:val="20"/>
          <w:szCs w:val="20"/>
          <w:lang w:val="es-ES"/>
        </w:rPr>
        <w:t>especiales</w:t>
      </w:r>
      <w:r w:rsidRPr="00B3069C">
        <w:rPr>
          <w:rFonts w:ascii="Verdana" w:eastAsia="Verdana" w:hAnsi="Verdana" w:cs="Verdana"/>
          <w:spacing w:val="-12"/>
          <w:sz w:val="20"/>
          <w:szCs w:val="20"/>
          <w:lang w:val="es-ES"/>
        </w:rPr>
        <w:t xml:space="preserve"> </w:t>
      </w:r>
      <w:r w:rsidRPr="00B3069C">
        <w:rPr>
          <w:rFonts w:ascii="Verdana" w:eastAsia="Verdana" w:hAnsi="Verdana" w:cs="Verdana"/>
          <w:sz w:val="20"/>
          <w:szCs w:val="20"/>
          <w:lang w:val="es-ES"/>
        </w:rPr>
        <w:t>o</w:t>
      </w:r>
      <w:r w:rsidRPr="00B3069C">
        <w:rPr>
          <w:rFonts w:ascii="Verdana" w:eastAsia="Verdana" w:hAnsi="Verdana" w:cs="Verdana"/>
          <w:spacing w:val="-15"/>
          <w:sz w:val="20"/>
          <w:szCs w:val="20"/>
          <w:lang w:val="es-ES"/>
        </w:rPr>
        <w:t xml:space="preserve"> </w:t>
      </w:r>
      <w:r w:rsidRPr="00B3069C">
        <w:rPr>
          <w:rFonts w:ascii="Verdana" w:eastAsia="Verdana" w:hAnsi="Verdana" w:cs="Verdana"/>
          <w:sz w:val="20"/>
          <w:szCs w:val="20"/>
          <w:lang w:val="es-ES"/>
        </w:rPr>
        <w:t>regímenes</w:t>
      </w:r>
      <w:r w:rsidRPr="00B3069C">
        <w:rPr>
          <w:rFonts w:ascii="Verdana" w:eastAsia="Verdana" w:hAnsi="Verdana" w:cs="Verdana"/>
          <w:spacing w:val="-12"/>
          <w:sz w:val="20"/>
          <w:szCs w:val="20"/>
          <w:lang w:val="es-ES"/>
        </w:rPr>
        <w:t xml:space="preserve"> </w:t>
      </w:r>
      <w:r w:rsidRPr="00B3069C">
        <w:rPr>
          <w:rFonts w:ascii="Verdana" w:eastAsia="Verdana" w:hAnsi="Verdana" w:cs="Verdana"/>
          <w:sz w:val="20"/>
          <w:szCs w:val="20"/>
          <w:lang w:val="es-ES"/>
        </w:rPr>
        <w:t>exceptuados, usualmente sometidos al derecho privado.</w:t>
      </w:r>
    </w:p>
    <w:p w14:paraId="2DD617D4" w14:textId="27357FD7" w:rsidR="00AE6AFD" w:rsidRPr="00B3069C" w:rsidRDefault="00AE6AFD" w:rsidP="00B3069C">
      <w:pPr>
        <w:widowControl w:val="0"/>
        <w:autoSpaceDE w:val="0"/>
        <w:autoSpaceDN w:val="0"/>
        <w:spacing w:after="0" w:line="240" w:lineRule="auto"/>
        <w:contextualSpacing/>
        <w:jc w:val="both"/>
        <w:rPr>
          <w:rFonts w:ascii="Verdana" w:eastAsia="Verdana" w:hAnsi="Verdana" w:cs="Verdana"/>
          <w:sz w:val="20"/>
          <w:szCs w:val="20"/>
          <w:lang w:val="es-ES"/>
        </w:rPr>
      </w:pPr>
      <w:r w:rsidRPr="00B3069C">
        <w:rPr>
          <w:rFonts w:ascii="Verdana" w:eastAsia="Verdana" w:hAnsi="Verdana" w:cs="Verdana"/>
          <w:sz w:val="20"/>
          <w:szCs w:val="20"/>
          <w:lang w:val="es-ES"/>
        </w:rPr>
        <w:t>[…]</w:t>
      </w:r>
      <w:r w:rsidR="00B3069C" w:rsidRPr="00B3069C">
        <w:rPr>
          <w:rFonts w:ascii="Verdana" w:eastAsia="Verdana" w:hAnsi="Verdana" w:cs="Verdana"/>
          <w:sz w:val="20"/>
          <w:szCs w:val="20"/>
          <w:lang w:val="es-ES"/>
        </w:rPr>
        <w:t xml:space="preserve"> </w:t>
      </w:r>
      <w:r w:rsidRPr="00B3069C">
        <w:rPr>
          <w:rFonts w:ascii="Verdana" w:eastAsia="Verdana" w:hAnsi="Verdana" w:cs="Verdana"/>
          <w:sz w:val="20"/>
          <w:szCs w:val="20"/>
          <w:lang w:val="es-ES"/>
        </w:rPr>
        <w:t xml:space="preserve">De cualquier modo, se resalta que la determinación de un régimen especial surge </w:t>
      </w:r>
      <w:r w:rsidRPr="00B3069C">
        <w:rPr>
          <w:rFonts w:ascii="Verdana" w:eastAsia="Verdana" w:hAnsi="Verdana" w:cs="Verdana"/>
          <w:i/>
          <w:iCs/>
          <w:sz w:val="20"/>
          <w:szCs w:val="20"/>
          <w:lang w:val="es-ES"/>
        </w:rPr>
        <w:t>por expresa disposición legal</w:t>
      </w:r>
      <w:r w:rsidRPr="00B3069C">
        <w:rPr>
          <w:rFonts w:ascii="Verdana" w:eastAsia="Verdana" w:hAnsi="Verdana" w:cs="Verdana"/>
          <w:sz w:val="20"/>
          <w:szCs w:val="20"/>
          <w:lang w:val="es-ES"/>
        </w:rPr>
        <w:t>, ya sea por su naturaleza o situación de competencia, con lo cual tienen condiciones diferenciales respecto de la normativa de contratación pública. Esto quiere decir que no están sometidas al Estatuto General de Contratación de la Administración Pública y, por ende, sus procedimientos contractuales tienen una normativa propia para su desarrollo, esto es, el derecho privado. Esta circunstancia estará determinada en las normas de creación del régimen especial.</w:t>
      </w:r>
    </w:p>
    <w:p w14:paraId="01DBFFFA" w14:textId="095CF54A" w:rsidR="00AE6AFD" w:rsidRPr="00097831" w:rsidRDefault="00AE6AFD" w:rsidP="00B3069C">
      <w:pPr>
        <w:spacing w:after="0" w:line="240" w:lineRule="auto"/>
        <w:contextualSpacing/>
        <w:rPr>
          <w:rFonts w:ascii="Verdana" w:eastAsia="Calibri" w:hAnsi="Verdana" w:cs="Arial"/>
          <w:b/>
          <w:bCs/>
          <w:lang w:val="es-ES" w:eastAsia="es-ES"/>
        </w:rPr>
      </w:pPr>
    </w:p>
    <w:p w14:paraId="31424E8A" w14:textId="77777777" w:rsidR="00097831" w:rsidRDefault="00097831" w:rsidP="00B3069C">
      <w:pPr>
        <w:spacing w:after="0" w:line="240" w:lineRule="auto"/>
        <w:contextualSpacing/>
        <w:rPr>
          <w:rFonts w:ascii="Verdana" w:eastAsia="Calibri" w:hAnsi="Verdana" w:cs="Arial"/>
          <w:b/>
          <w:bCs/>
          <w:lang w:val="es-ES" w:eastAsia="es-ES"/>
        </w:rPr>
      </w:pPr>
      <w:r w:rsidRPr="00097831">
        <w:rPr>
          <w:rFonts w:ascii="Verdana" w:eastAsia="Calibri" w:hAnsi="Verdana" w:cs="Arial"/>
          <w:b/>
          <w:bCs/>
          <w:lang w:val="es-ES" w:eastAsia="es-ES"/>
        </w:rPr>
        <w:t>EGCAP – Ámbito de aplicación – Entidades estatales</w:t>
      </w:r>
    </w:p>
    <w:p w14:paraId="5A051192" w14:textId="77777777" w:rsidR="00B3069C" w:rsidRDefault="00B3069C" w:rsidP="00B3069C">
      <w:pPr>
        <w:spacing w:after="0" w:line="240" w:lineRule="auto"/>
        <w:contextualSpacing/>
        <w:jc w:val="both"/>
        <w:rPr>
          <w:rFonts w:ascii="Verdana" w:eastAsia="Times New Roman" w:hAnsi="Verdana" w:cs="Times New Roman"/>
          <w:lang w:val="en-CO"/>
        </w:rPr>
      </w:pPr>
    </w:p>
    <w:p w14:paraId="2B0CE7E4" w14:textId="5FF87749" w:rsidR="00AE6AFD" w:rsidRPr="00B3069C" w:rsidRDefault="00AE6AFD" w:rsidP="00B3069C">
      <w:pPr>
        <w:spacing w:after="0" w:line="240" w:lineRule="auto"/>
        <w:contextualSpacing/>
        <w:jc w:val="both"/>
        <w:rPr>
          <w:rFonts w:ascii="Verdana" w:eastAsia="Times New Roman" w:hAnsi="Verdana" w:cs="Arial"/>
          <w:sz w:val="21"/>
          <w:szCs w:val="21"/>
          <w:lang w:val="es-ES"/>
        </w:rPr>
      </w:pPr>
      <w:r w:rsidRPr="00B3069C">
        <w:rPr>
          <w:rFonts w:ascii="Verdana" w:eastAsia="Times New Roman" w:hAnsi="Verdana" w:cs="Times New Roman"/>
          <w:sz w:val="21"/>
          <w:szCs w:val="21"/>
          <w:lang w:val="en-CO"/>
        </w:rPr>
        <w:t xml:space="preserve">Ahora bien, con respecto al ámbito de aplicación del EGCAP, </w:t>
      </w:r>
      <w:r w:rsidRPr="00B3069C">
        <w:rPr>
          <w:rFonts w:ascii="Verdana" w:eastAsia="Times New Roman" w:hAnsi="Verdana" w:cs="Arial"/>
          <w:sz w:val="21"/>
          <w:szCs w:val="21"/>
          <w:lang w:val="es-ES"/>
        </w:rPr>
        <w:t xml:space="preserve">la Ley 80 de 1993 señala que rige para las </w:t>
      </w:r>
      <w:r w:rsidRPr="00B3069C">
        <w:rPr>
          <w:rFonts w:ascii="Verdana" w:eastAsia="Times New Roman" w:hAnsi="Verdana" w:cs="Arial"/>
          <w:i/>
          <w:iCs/>
          <w:sz w:val="21"/>
          <w:szCs w:val="21"/>
          <w:lang w:val="es-ES"/>
        </w:rPr>
        <w:t>Entidades Estatales</w:t>
      </w:r>
      <w:r w:rsidRPr="00B3069C">
        <w:rPr>
          <w:rFonts w:ascii="Verdana" w:eastAsia="Times New Roman" w:hAnsi="Verdana" w:cs="Arial"/>
          <w:sz w:val="21"/>
          <w:szCs w:val="21"/>
          <w:lang w:val="es-ES"/>
        </w:rPr>
        <w:t xml:space="preserve">, esto es, aquellas previstas en los literales a) y b) del numeral 1 del artículo 2 </w:t>
      </w:r>
      <w:r w:rsidRPr="00B3069C">
        <w:rPr>
          <w:rFonts w:ascii="Verdana" w:eastAsia="Times New Roman" w:hAnsi="Verdana" w:cs="Arial"/>
          <w:i/>
          <w:iCs/>
          <w:sz w:val="21"/>
          <w:szCs w:val="21"/>
          <w:lang w:val="es-ES"/>
        </w:rPr>
        <w:t>ibidem</w:t>
      </w:r>
      <w:r w:rsidRPr="00B3069C">
        <w:rPr>
          <w:rFonts w:ascii="Verdana" w:eastAsia="Times New Roman" w:hAnsi="Verdana" w:cs="Arial"/>
          <w:sz w:val="21"/>
          <w:szCs w:val="21"/>
          <w:lang w:val="es-ES"/>
        </w:rPr>
        <w:t>.</w:t>
      </w:r>
      <w:r w:rsidRPr="00B3069C">
        <w:rPr>
          <w:rFonts w:ascii="Verdana" w:eastAsia="Times New Roman" w:hAnsi="Verdana" w:cs="Arial"/>
          <w:sz w:val="21"/>
          <w:szCs w:val="21"/>
          <w:lang w:val="es-ES"/>
        </w:rPr>
        <w:t>[…]</w:t>
      </w:r>
    </w:p>
    <w:p w14:paraId="10DA1E87" w14:textId="17B2D96F" w:rsidR="00AE6AFD" w:rsidRPr="00B3069C" w:rsidRDefault="00AE6AFD" w:rsidP="00B3069C">
      <w:pPr>
        <w:spacing w:after="0" w:line="240" w:lineRule="auto"/>
        <w:contextualSpacing/>
        <w:jc w:val="both"/>
        <w:rPr>
          <w:rFonts w:ascii="Verdana" w:eastAsia="Times New Roman" w:hAnsi="Verdana" w:cs="Arial"/>
          <w:bCs/>
          <w:sz w:val="21"/>
          <w:szCs w:val="21"/>
          <w:lang w:val="es-MX"/>
        </w:rPr>
      </w:pPr>
      <w:r w:rsidRPr="00B3069C">
        <w:rPr>
          <w:rFonts w:ascii="Verdana" w:eastAsia="Times New Roman" w:hAnsi="Verdana" w:cs="Arial"/>
          <w:bCs/>
          <w:sz w:val="21"/>
          <w:szCs w:val="21"/>
          <w:lang w:val="es-MX"/>
        </w:rPr>
        <w:t xml:space="preserve">[…] </w:t>
      </w:r>
      <w:r w:rsidRPr="00B3069C">
        <w:rPr>
          <w:rFonts w:ascii="Verdana" w:eastAsia="Times New Roman" w:hAnsi="Verdana" w:cs="Arial"/>
          <w:bCs/>
          <w:sz w:val="21"/>
          <w:szCs w:val="21"/>
          <w:lang w:val="es-MX"/>
        </w:rPr>
        <w:t xml:space="preserve">el artículo segundo de la Ley 80 de 1993 estableció un </w:t>
      </w:r>
      <w:r w:rsidRPr="00B3069C">
        <w:rPr>
          <w:rFonts w:ascii="Verdana" w:eastAsia="Times New Roman" w:hAnsi="Verdana" w:cs="Arial"/>
          <w:bCs/>
          <w:i/>
          <w:iCs/>
          <w:sz w:val="21"/>
          <w:szCs w:val="21"/>
          <w:lang w:val="es-MX"/>
        </w:rPr>
        <w:t>criterio orgánico</w:t>
      </w:r>
      <w:r w:rsidRPr="00B3069C">
        <w:rPr>
          <w:rFonts w:ascii="Verdana" w:eastAsia="Times New Roman" w:hAnsi="Verdana" w:cs="Arial"/>
          <w:bCs/>
          <w:sz w:val="21"/>
          <w:szCs w:val="21"/>
          <w:lang w:val="es-MX"/>
        </w:rPr>
        <w:t xml:space="preserve"> para determinar la aplicación del EGCAP. De esta manera, la actividad contractual que adelanten las Entidades Estatalas señaladas en esta norma se regirá necesariamente por lo establecido en este Estatuto. En contraste, el ordenamiento jurídico determinará expresamente los sujetos u objetos que serán exceptuados de aplicar el EGCAP en sus procesos de contratación, caso en el cuál se regiran por las disposiciones de la norma que crea el régimen especial, el derecho privado y lo señalado en sus manuales de contratación. </w:t>
      </w:r>
    </w:p>
    <w:p w14:paraId="23981A06" w14:textId="77777777" w:rsidR="00AE6AFD" w:rsidRPr="00097831" w:rsidRDefault="00AE6AFD" w:rsidP="00B3069C">
      <w:pPr>
        <w:spacing w:after="0" w:line="276" w:lineRule="auto"/>
        <w:contextualSpacing/>
        <w:rPr>
          <w:rFonts w:ascii="Verdana" w:eastAsia="Calibri" w:hAnsi="Verdana" w:cs="Arial"/>
          <w:b/>
          <w:bCs/>
          <w:lang w:val="es-ES" w:eastAsia="es-ES"/>
        </w:rPr>
      </w:pPr>
    </w:p>
    <w:p w14:paraId="26B597A9" w14:textId="4AA18399" w:rsidR="00097831" w:rsidRPr="00097831" w:rsidRDefault="00097831" w:rsidP="00B3069C">
      <w:pPr>
        <w:spacing w:after="0" w:line="276" w:lineRule="auto"/>
        <w:contextualSpacing/>
        <w:rPr>
          <w:rFonts w:ascii="Verdana" w:eastAsia="Calibri" w:hAnsi="Verdana" w:cs="Arial"/>
          <w:b/>
          <w:bCs/>
          <w:lang w:val="es-ES" w:eastAsia="es-ES"/>
        </w:rPr>
      </w:pPr>
      <w:r w:rsidRPr="00097831">
        <w:rPr>
          <w:rFonts w:ascii="Verdana" w:eastAsia="Calibri" w:hAnsi="Verdana" w:cs="Arial"/>
          <w:b/>
          <w:bCs/>
          <w:lang w:val="es-ES" w:eastAsia="es-ES"/>
        </w:rPr>
        <w:t>DESCONCENTRACIÓN – Efectos – Régimen contractual</w:t>
      </w:r>
    </w:p>
    <w:p w14:paraId="70006779" w14:textId="77777777" w:rsidR="00B3069C" w:rsidRDefault="00B3069C" w:rsidP="00B3069C">
      <w:pPr>
        <w:spacing w:after="0" w:line="240" w:lineRule="auto"/>
        <w:contextualSpacing/>
        <w:jc w:val="both"/>
        <w:rPr>
          <w:rFonts w:ascii="Verdana" w:eastAsia="Times New Roman" w:hAnsi="Verdana" w:cs="Times New Roman"/>
          <w:sz w:val="20"/>
          <w:szCs w:val="20"/>
          <w:lang w:val="en-CO"/>
        </w:rPr>
      </w:pPr>
    </w:p>
    <w:p w14:paraId="6C5FC013" w14:textId="44B507FE" w:rsidR="00B3069C" w:rsidRPr="00B3069C" w:rsidRDefault="00B3069C" w:rsidP="00B3069C">
      <w:pPr>
        <w:spacing w:after="0" w:line="240" w:lineRule="auto"/>
        <w:contextualSpacing/>
        <w:jc w:val="both"/>
        <w:rPr>
          <w:rFonts w:ascii="Verdana" w:eastAsia="Times New Roman" w:hAnsi="Verdana" w:cs="Times New Roman"/>
          <w:sz w:val="20"/>
          <w:szCs w:val="20"/>
          <w:lang w:val="en-CO"/>
        </w:rPr>
      </w:pPr>
      <w:r w:rsidRPr="00B3069C">
        <w:rPr>
          <w:rFonts w:ascii="Verdana" w:eastAsia="Times New Roman" w:hAnsi="Verdana" w:cs="Times New Roman"/>
          <w:sz w:val="20"/>
          <w:szCs w:val="20"/>
          <w:lang w:val="en-CO"/>
        </w:rPr>
        <w:t xml:space="preserve">Como se explicó antes, los regímenes especiales o exceptuados tienen origen en la ley. En consecuencia, la desconcentración de funciones de una Entidad Estatal sometida al EGCAP no proporciona el fundamento normativo requerido para limitar la aplicación del régimen de contratación. Al desconcentrar ciertas funciones mediante la creación de los centros sociales, la Entidad ha utilizado una figura que le permite organizar sus funciones, pero que no implica la creación de una entidad exceptuada. Teniendo en cuenta que éste no es el fin, ni el efecto jurídico, de la desconcentración de funciones, los centros sociales </w:t>
      </w:r>
      <w:r w:rsidRPr="00B3069C">
        <w:rPr>
          <w:rFonts w:ascii="Verdana" w:eastAsia="Times New Roman" w:hAnsi="Verdana" w:cs="Times New Roman"/>
          <w:i/>
          <w:iCs/>
          <w:sz w:val="20"/>
          <w:szCs w:val="20"/>
          <w:lang w:val="en-CO"/>
        </w:rPr>
        <w:t>se encuentran sometidos al régimen contractual de la Entidad Estatal a la cual están subordinados</w:t>
      </w:r>
      <w:r w:rsidRPr="00B3069C">
        <w:rPr>
          <w:rFonts w:ascii="Verdana" w:eastAsia="Times New Roman" w:hAnsi="Verdana" w:cs="Times New Roman"/>
          <w:sz w:val="20"/>
          <w:szCs w:val="20"/>
          <w:lang w:val="en-CO"/>
        </w:rPr>
        <w:t xml:space="preserve"> y de la cual forman parte, de modo que deben aplicar el EGCAP. </w:t>
      </w:r>
    </w:p>
    <w:p w14:paraId="17DA591C" w14:textId="30588074" w:rsidR="00097831" w:rsidRDefault="00097831" w:rsidP="00097831">
      <w:pPr>
        <w:spacing w:after="0"/>
        <w:rPr>
          <w:rFonts w:ascii="Verdana" w:hAnsi="Verdana"/>
        </w:rPr>
      </w:pPr>
    </w:p>
    <w:p w14:paraId="2BF69B23" w14:textId="77777777" w:rsidR="00423461" w:rsidRDefault="00423461" w:rsidP="00E245AB">
      <w:pPr>
        <w:spacing w:after="0"/>
        <w:rPr>
          <w:rFonts w:ascii="Verdana" w:hAnsi="Verdana"/>
        </w:rPr>
      </w:pPr>
    </w:p>
    <w:p w14:paraId="573D07D2" w14:textId="77777777" w:rsidR="00423461" w:rsidRDefault="00423461" w:rsidP="00E245AB">
      <w:pPr>
        <w:spacing w:after="0"/>
        <w:rPr>
          <w:rFonts w:ascii="Verdana" w:hAnsi="Verdana"/>
        </w:rPr>
      </w:pPr>
    </w:p>
    <w:p w14:paraId="3FE2184B" w14:textId="2EAA52F3" w:rsidR="00E245AB" w:rsidRPr="0044528D" w:rsidRDefault="00E245AB" w:rsidP="00E245AB">
      <w:pPr>
        <w:spacing w:after="0"/>
        <w:rPr>
          <w:rFonts w:ascii="Verdana" w:hAnsi="Verdana"/>
        </w:rPr>
      </w:pPr>
      <w:r w:rsidRPr="0044528D">
        <w:rPr>
          <w:rFonts w:ascii="Verdana" w:hAnsi="Verdana"/>
        </w:rPr>
        <w:lastRenderedPageBreak/>
        <w:t xml:space="preserve">Bogotá D.C., </w:t>
      </w:r>
      <w:r w:rsidR="00674118">
        <w:rPr>
          <w:rFonts w:ascii="Verdana" w:hAnsi="Verdana"/>
        </w:rPr>
        <w:t>24 Abril 2025</w:t>
      </w:r>
    </w:p>
    <w:p w14:paraId="5FCADBF9" w14:textId="6E5C2BAF" w:rsidR="00E245AB" w:rsidRDefault="003451E6" w:rsidP="00E245AB">
      <w:pPr>
        <w:spacing w:after="0"/>
        <w:rPr>
          <w:rFonts w:ascii="Verdana" w:hAnsi="Verdana"/>
        </w:rPr>
      </w:pPr>
      <w:r>
        <w:rPr>
          <w:rFonts w:ascii="Verdana" w:eastAsia="Calibri" w:hAnsi="Verdana" w:cs="Arial"/>
          <w:b/>
          <w:bCs/>
          <w:noProof/>
          <w:color w:val="000000" w:themeColor="text1"/>
          <w:lang w:val="es-ES" w:eastAsia="es-ES_tradnl"/>
        </w:rPr>
        <w:drawing>
          <wp:anchor distT="0" distB="0" distL="114300" distR="114300" simplePos="0" relativeHeight="251658240" behindDoc="0" locked="0" layoutInCell="1" allowOverlap="1" wp14:anchorId="6A5EFF1F" wp14:editId="305339F7">
            <wp:simplePos x="0" y="0"/>
            <wp:positionH relativeFrom="column">
              <wp:posOffset>3020546</wp:posOffset>
            </wp:positionH>
            <wp:positionV relativeFrom="paragraph">
              <wp:posOffset>162635</wp:posOffset>
            </wp:positionV>
            <wp:extent cx="2581836" cy="706952"/>
            <wp:effectExtent l="0" t="0" r="0" b="4445"/>
            <wp:wrapSquare wrapText="bothSides"/>
            <wp:docPr id="561552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52141" name="Picture 5615521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81836" cy="706952"/>
                    </a:xfrm>
                    <a:prstGeom prst="rect">
                      <a:avLst/>
                    </a:prstGeom>
                  </pic:spPr>
                </pic:pic>
              </a:graphicData>
            </a:graphic>
            <wp14:sizeRelH relativeFrom="page">
              <wp14:pctWidth>0</wp14:pctWidth>
            </wp14:sizeRelH>
            <wp14:sizeRelV relativeFrom="page">
              <wp14:pctHeight>0</wp14:pctHeight>
            </wp14:sizeRelV>
          </wp:anchor>
        </w:drawing>
      </w:r>
    </w:p>
    <w:p w14:paraId="22816234" w14:textId="5F316B68" w:rsidR="001D1031" w:rsidRPr="001D1031" w:rsidRDefault="001D1031" w:rsidP="001D1031">
      <w:pPr>
        <w:spacing w:after="0" w:line="240" w:lineRule="auto"/>
        <w:jc w:val="both"/>
        <w:rPr>
          <w:rFonts w:ascii="Verdana" w:eastAsia="Calibri" w:hAnsi="Verdana" w:cs="Arial"/>
          <w:color w:val="000000" w:themeColor="text1"/>
          <w:lang w:val="es-ES" w:eastAsia="es-ES"/>
        </w:rPr>
      </w:pPr>
      <w:r w:rsidRPr="001D1031">
        <w:rPr>
          <w:rFonts w:ascii="Verdana" w:eastAsia="Calibri" w:hAnsi="Verdana" w:cs="Arial"/>
          <w:color w:val="000000" w:themeColor="text1"/>
          <w:lang w:val="es-ES" w:eastAsia="es-ES"/>
        </w:rPr>
        <w:t>Señor</w:t>
      </w:r>
    </w:p>
    <w:p w14:paraId="58A12614" w14:textId="1C2E7C2D" w:rsidR="001D1031" w:rsidRPr="001D1031" w:rsidRDefault="001D1031" w:rsidP="001D1031">
      <w:pPr>
        <w:spacing w:after="0" w:line="240" w:lineRule="auto"/>
        <w:rPr>
          <w:rFonts w:ascii="Verdana" w:eastAsia="Calibri" w:hAnsi="Verdana" w:cs="Arial"/>
          <w:color w:val="000000" w:themeColor="text1"/>
          <w:lang w:val="en-CO" w:eastAsia="es-ES_tradnl"/>
        </w:rPr>
      </w:pPr>
      <w:r w:rsidRPr="001D1031">
        <w:rPr>
          <w:rFonts w:ascii="Verdana" w:eastAsia="Calibri" w:hAnsi="Verdana" w:cs="Arial"/>
          <w:b/>
          <w:bCs/>
          <w:color w:val="000000" w:themeColor="text1"/>
          <w:lang w:val="en-CO" w:eastAsia="es-ES_tradnl"/>
        </w:rPr>
        <w:t xml:space="preserve">Luis Carlos Amado Guzmán </w:t>
      </w:r>
    </w:p>
    <w:p w14:paraId="393EA828" w14:textId="074D4EC0" w:rsidR="001D1031" w:rsidRPr="001D1031" w:rsidRDefault="001D1031" w:rsidP="001D1031">
      <w:pPr>
        <w:spacing w:after="0" w:line="240" w:lineRule="auto"/>
        <w:rPr>
          <w:rFonts w:ascii="Verdana" w:eastAsia="Calibri" w:hAnsi="Verdana" w:cs="Arial"/>
          <w:color w:val="000000" w:themeColor="text1"/>
          <w:lang w:val="es-ES" w:eastAsia="es-ES_tradnl"/>
        </w:rPr>
      </w:pPr>
      <w:r w:rsidRPr="001D1031">
        <w:rPr>
          <w:rFonts w:ascii="Verdana" w:eastAsia="Calibri" w:hAnsi="Verdana" w:cs="Arial"/>
          <w:color w:val="000000" w:themeColor="text1"/>
          <w:lang w:val="es-ES" w:eastAsia="es-ES_tradnl"/>
        </w:rPr>
        <w:t>abogado.luisc1@outlook.com</w:t>
      </w:r>
    </w:p>
    <w:p w14:paraId="33C5C6AC" w14:textId="2A54F27C" w:rsidR="001D1031" w:rsidRPr="001D1031" w:rsidRDefault="001D1031" w:rsidP="001D1031">
      <w:pPr>
        <w:spacing w:after="0" w:line="240" w:lineRule="auto"/>
        <w:rPr>
          <w:rFonts w:ascii="Verdana" w:eastAsia="Calibri" w:hAnsi="Verdana" w:cs="Arial"/>
          <w:b/>
          <w:bCs/>
          <w:color w:val="000000" w:themeColor="text1"/>
          <w:lang w:val="es-ES" w:eastAsia="es-ES_tradnl"/>
        </w:rPr>
      </w:pPr>
      <w:r w:rsidRPr="001D1031">
        <w:rPr>
          <w:rFonts w:ascii="Verdana" w:eastAsia="Calibri" w:hAnsi="Verdana" w:cs="Arial"/>
          <w:color w:val="000000" w:themeColor="text1"/>
          <w:lang w:val="es-ES" w:eastAsia="es-ES_tradnl"/>
        </w:rPr>
        <w:t>Ciudad</w:t>
      </w:r>
    </w:p>
    <w:p w14:paraId="45637A8B" w14:textId="55425FA5" w:rsidR="001D1031" w:rsidRPr="001D1031" w:rsidRDefault="001D1031" w:rsidP="001D1031">
      <w:pPr>
        <w:spacing w:after="0" w:line="240" w:lineRule="auto"/>
        <w:rPr>
          <w:rFonts w:ascii="Verdana" w:eastAsia="Calibri" w:hAnsi="Verdana" w:cs="Arial"/>
          <w:b/>
          <w:bCs/>
          <w:color w:val="000000" w:themeColor="text1"/>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D1031" w:rsidRPr="001D1031" w14:paraId="3AE0CC0C" w14:textId="77777777" w:rsidTr="00BA0327">
        <w:trPr>
          <w:trHeight w:val="190"/>
        </w:trPr>
        <w:tc>
          <w:tcPr>
            <w:tcW w:w="2689" w:type="dxa"/>
          </w:tcPr>
          <w:p w14:paraId="1460F9F8" w14:textId="77777777" w:rsidR="001D1031" w:rsidRPr="001D1031" w:rsidRDefault="001D1031" w:rsidP="001D1031">
            <w:pPr>
              <w:jc w:val="both"/>
              <w:rPr>
                <w:rFonts w:ascii="Verdana" w:eastAsia="Calibri" w:hAnsi="Verdana" w:cs="Arial"/>
                <w:b/>
                <w:bCs/>
                <w:color w:val="000000" w:themeColor="text1"/>
                <w:lang w:val="es-ES" w:eastAsia="es-ES_tradnl"/>
              </w:rPr>
            </w:pPr>
          </w:p>
        </w:tc>
        <w:tc>
          <w:tcPr>
            <w:tcW w:w="6100" w:type="dxa"/>
          </w:tcPr>
          <w:p w14:paraId="67625FE8" w14:textId="77777777" w:rsidR="001D1031" w:rsidRPr="001D1031" w:rsidRDefault="001D1031" w:rsidP="001D1031">
            <w:pPr>
              <w:jc w:val="both"/>
              <w:rPr>
                <w:rFonts w:ascii="Verdana" w:eastAsia="Calibri" w:hAnsi="Verdana" w:cs="Arial"/>
                <w:b/>
                <w:bCs/>
                <w:color w:val="000000" w:themeColor="text1"/>
                <w:lang w:val="es-ES" w:eastAsia="es-ES"/>
              </w:rPr>
            </w:pPr>
            <w:r w:rsidRPr="001D1031">
              <w:rPr>
                <w:rFonts w:ascii="Verdana" w:eastAsia="Calibri" w:hAnsi="Verdana" w:cs="Arial"/>
                <w:b/>
                <w:bCs/>
                <w:color w:val="000000" w:themeColor="text1"/>
                <w:lang w:val="es-ES" w:eastAsia="es-ES"/>
              </w:rPr>
              <w:t>Concepto C-336 de 2025</w:t>
            </w:r>
          </w:p>
          <w:p w14:paraId="440625B1" w14:textId="77777777" w:rsidR="001D1031" w:rsidRPr="001D1031" w:rsidRDefault="001D1031" w:rsidP="001D1031">
            <w:pPr>
              <w:jc w:val="both"/>
              <w:rPr>
                <w:rFonts w:ascii="Verdana" w:eastAsia="Calibri" w:hAnsi="Verdana" w:cs="Arial"/>
                <w:b/>
                <w:bCs/>
                <w:color w:val="000000" w:themeColor="text1"/>
                <w:lang w:val="es-ES" w:eastAsia="es-ES"/>
              </w:rPr>
            </w:pPr>
          </w:p>
        </w:tc>
      </w:tr>
      <w:tr w:rsidR="001D1031" w:rsidRPr="001D1031" w14:paraId="79CB53FE" w14:textId="77777777" w:rsidTr="00BA0327">
        <w:trPr>
          <w:trHeight w:val="884"/>
        </w:trPr>
        <w:tc>
          <w:tcPr>
            <w:tcW w:w="2689" w:type="dxa"/>
          </w:tcPr>
          <w:p w14:paraId="5D00AC8B" w14:textId="77777777" w:rsidR="001D1031" w:rsidRPr="001D1031" w:rsidRDefault="001D1031" w:rsidP="001D1031">
            <w:pPr>
              <w:jc w:val="both"/>
              <w:rPr>
                <w:rFonts w:ascii="Verdana" w:eastAsia="Calibri" w:hAnsi="Verdana" w:cs="Arial"/>
                <w:color w:val="000000" w:themeColor="text1"/>
                <w:lang w:val="es-ES" w:eastAsia="es-ES_tradnl"/>
              </w:rPr>
            </w:pPr>
            <w:r w:rsidRPr="001D1031">
              <w:rPr>
                <w:rFonts w:ascii="Verdana" w:eastAsia="Calibri" w:hAnsi="Verdana" w:cs="Arial"/>
                <w:b/>
                <w:color w:val="000000" w:themeColor="text1"/>
                <w:lang w:val="es-ES" w:eastAsia="es-ES_tradnl"/>
              </w:rPr>
              <w:t>Temas:</w:t>
            </w:r>
            <w:r w:rsidRPr="001D1031">
              <w:rPr>
                <w:rFonts w:ascii="Verdana" w:eastAsia="Calibri" w:hAnsi="Verdana" w:cs="Arial"/>
                <w:color w:val="000000" w:themeColor="text1"/>
                <w:lang w:val="es-ES" w:eastAsia="es-ES_tradnl"/>
              </w:rPr>
              <w:t xml:space="preserve">                   </w:t>
            </w:r>
          </w:p>
        </w:tc>
        <w:tc>
          <w:tcPr>
            <w:tcW w:w="6100" w:type="dxa"/>
          </w:tcPr>
          <w:p w14:paraId="7DE83592" w14:textId="77777777" w:rsidR="001D1031" w:rsidRPr="001D1031" w:rsidRDefault="001D1031" w:rsidP="001D1031">
            <w:pPr>
              <w:spacing w:line="276" w:lineRule="auto"/>
              <w:jc w:val="both"/>
              <w:rPr>
                <w:rFonts w:ascii="Verdana" w:eastAsia="Calibri" w:hAnsi="Verdana" w:cs="Arial"/>
                <w:lang w:val="es-ES" w:eastAsia="es-ES"/>
              </w:rPr>
            </w:pPr>
            <w:r w:rsidRPr="001D1031">
              <w:rPr>
                <w:rFonts w:ascii="Verdana" w:eastAsia="Calibri" w:hAnsi="Verdana" w:cs="Arial"/>
                <w:lang w:val="es-ES" w:eastAsia="es-ES"/>
              </w:rPr>
              <w:t>ENTIDADES EXCEPTUADAS – Régimen especial – Derecho privado / EGCAP – Ámbito de aplicación – Entidades estatales / DESCONCENTRACIÓN – Efectos – Régimen contractual</w:t>
            </w:r>
          </w:p>
          <w:p w14:paraId="505C2384" w14:textId="77777777" w:rsidR="001D1031" w:rsidRPr="001D1031" w:rsidRDefault="001D1031" w:rsidP="001D1031">
            <w:pPr>
              <w:jc w:val="both"/>
              <w:rPr>
                <w:rFonts w:ascii="Verdana" w:eastAsia="Calibri" w:hAnsi="Verdana" w:cs="Arial"/>
                <w:color w:val="000000" w:themeColor="text1"/>
                <w:lang w:val="es-ES" w:eastAsia="es-ES_tradnl"/>
              </w:rPr>
            </w:pPr>
            <w:r w:rsidRPr="001D1031">
              <w:rPr>
                <w:rFonts w:ascii="Verdana" w:eastAsia="Calibri" w:hAnsi="Verdana" w:cs="Arial"/>
                <w:lang w:val="es-ES" w:eastAsia="es-ES"/>
              </w:rPr>
              <w:t xml:space="preserve">  </w:t>
            </w:r>
          </w:p>
        </w:tc>
      </w:tr>
      <w:tr w:rsidR="001D1031" w:rsidRPr="001D1031" w14:paraId="74C74254" w14:textId="77777777" w:rsidTr="00BA0327">
        <w:tc>
          <w:tcPr>
            <w:tcW w:w="2689" w:type="dxa"/>
          </w:tcPr>
          <w:p w14:paraId="08623DB3" w14:textId="77777777" w:rsidR="001D1031" w:rsidRPr="001D1031" w:rsidRDefault="001D1031" w:rsidP="001D1031">
            <w:pPr>
              <w:jc w:val="both"/>
              <w:rPr>
                <w:rFonts w:ascii="Verdana" w:eastAsia="Calibri" w:hAnsi="Verdana" w:cs="Arial"/>
                <w:b/>
                <w:color w:val="000000" w:themeColor="text1"/>
                <w:lang w:val="es-ES" w:eastAsia="es-ES_tradnl"/>
              </w:rPr>
            </w:pPr>
            <w:r w:rsidRPr="001D1031">
              <w:rPr>
                <w:rFonts w:ascii="Verdana" w:eastAsia="Calibri" w:hAnsi="Verdana" w:cs="Arial"/>
                <w:b/>
                <w:color w:val="000000" w:themeColor="text1"/>
                <w:lang w:val="es-ES" w:eastAsia="es-ES_tradnl"/>
              </w:rPr>
              <w:t>Radicación:</w:t>
            </w:r>
            <w:r w:rsidRPr="001D1031">
              <w:rPr>
                <w:rFonts w:ascii="Verdana" w:eastAsia="Calibri" w:hAnsi="Verdana" w:cs="Arial"/>
                <w:color w:val="000000" w:themeColor="text1"/>
                <w:lang w:val="es-ES" w:eastAsia="es-ES_tradnl"/>
              </w:rPr>
              <w:t xml:space="preserve">               </w:t>
            </w:r>
          </w:p>
        </w:tc>
        <w:tc>
          <w:tcPr>
            <w:tcW w:w="6100" w:type="dxa"/>
          </w:tcPr>
          <w:p w14:paraId="3BE5AA69" w14:textId="77777777" w:rsidR="001D1031" w:rsidRPr="001D1031" w:rsidRDefault="001D1031" w:rsidP="001D1031">
            <w:pPr>
              <w:jc w:val="both"/>
              <w:rPr>
                <w:rFonts w:ascii="Verdana" w:eastAsia="Calibri" w:hAnsi="Verdana" w:cs="Arial"/>
                <w:color w:val="000000" w:themeColor="text1"/>
                <w:lang w:val="es-ES" w:eastAsia="es-ES_tradnl"/>
              </w:rPr>
            </w:pPr>
            <w:r w:rsidRPr="001D1031">
              <w:rPr>
                <w:rFonts w:ascii="Verdana" w:eastAsia="Calibri" w:hAnsi="Verdana" w:cs="Arial"/>
                <w:color w:val="000000" w:themeColor="text1"/>
                <w:lang w:val="es-ES" w:eastAsia="es-ES_tradnl"/>
              </w:rPr>
              <w:t>Respuesta a consulta con radicado No.  P20250319002679</w:t>
            </w:r>
          </w:p>
        </w:tc>
      </w:tr>
    </w:tbl>
    <w:p w14:paraId="1B487599" w14:textId="77777777" w:rsidR="001D1031" w:rsidRPr="001D1031" w:rsidRDefault="001D1031" w:rsidP="001D1031">
      <w:pPr>
        <w:spacing w:after="0" w:line="276" w:lineRule="auto"/>
        <w:jc w:val="both"/>
        <w:rPr>
          <w:rFonts w:ascii="Verdana" w:eastAsia="Calibri" w:hAnsi="Verdana" w:cs="Arial"/>
          <w:color w:val="000000" w:themeColor="text1"/>
          <w:lang w:val="es-ES" w:eastAsia="es-ES_tradnl"/>
        </w:rPr>
      </w:pPr>
    </w:p>
    <w:p w14:paraId="45D42368" w14:textId="77777777" w:rsidR="001D1031" w:rsidRPr="001D1031" w:rsidRDefault="001D1031" w:rsidP="001D1031">
      <w:pPr>
        <w:spacing w:after="0" w:line="276" w:lineRule="auto"/>
        <w:jc w:val="both"/>
        <w:rPr>
          <w:rFonts w:ascii="Verdana" w:eastAsia="Calibri" w:hAnsi="Verdana" w:cs="Arial"/>
          <w:color w:val="000000" w:themeColor="text1"/>
          <w:lang w:val="es-ES" w:eastAsia="es-ES_tradnl"/>
        </w:rPr>
      </w:pPr>
    </w:p>
    <w:p w14:paraId="765F28CA" w14:textId="77777777" w:rsidR="001D1031" w:rsidRPr="001D1031" w:rsidRDefault="001D1031" w:rsidP="001D1031">
      <w:pPr>
        <w:spacing w:after="0" w:line="276" w:lineRule="auto"/>
        <w:jc w:val="both"/>
        <w:rPr>
          <w:rFonts w:ascii="Verdana" w:eastAsia="Calibri" w:hAnsi="Verdana" w:cs="Arial"/>
          <w:color w:val="000000" w:themeColor="text1"/>
          <w:lang w:val="es-ES" w:eastAsia="es-ES"/>
        </w:rPr>
      </w:pPr>
      <w:r w:rsidRPr="001D1031">
        <w:rPr>
          <w:rFonts w:ascii="Verdana" w:eastAsia="Calibri" w:hAnsi="Verdana" w:cs="Arial"/>
          <w:color w:val="000000" w:themeColor="text1"/>
          <w:lang w:val="es-ES" w:eastAsia="es-ES"/>
        </w:rPr>
        <w:t xml:space="preserve">Estimado señor Amado: </w:t>
      </w:r>
    </w:p>
    <w:p w14:paraId="3BACCFAF" w14:textId="77777777" w:rsidR="001D1031" w:rsidRPr="001D1031" w:rsidRDefault="001D1031" w:rsidP="001D1031">
      <w:pPr>
        <w:tabs>
          <w:tab w:val="left" w:pos="3768"/>
        </w:tabs>
        <w:spacing w:after="0" w:line="276" w:lineRule="auto"/>
        <w:jc w:val="both"/>
        <w:rPr>
          <w:rFonts w:ascii="Verdana" w:eastAsia="Calibri" w:hAnsi="Verdana" w:cs="Arial"/>
          <w:color w:val="000000" w:themeColor="text1"/>
          <w:lang w:val="es-ES" w:eastAsia="es-ES"/>
        </w:rPr>
      </w:pPr>
      <w:r w:rsidRPr="001D1031">
        <w:rPr>
          <w:rFonts w:ascii="Verdana" w:eastAsia="Calibri" w:hAnsi="Verdana" w:cs="Arial"/>
          <w:color w:val="000000" w:themeColor="text1"/>
          <w:lang w:val="es-ES" w:eastAsia="es-ES"/>
        </w:rPr>
        <w:tab/>
      </w:r>
    </w:p>
    <w:p w14:paraId="6FA8419E" w14:textId="77777777" w:rsidR="001D1031" w:rsidRPr="001D1031" w:rsidRDefault="001D1031" w:rsidP="001D1031">
      <w:pPr>
        <w:spacing w:after="0" w:line="276" w:lineRule="auto"/>
        <w:jc w:val="both"/>
        <w:rPr>
          <w:rFonts w:ascii="Verdana" w:eastAsia="Calibri" w:hAnsi="Verdana" w:cs="Arial"/>
          <w:color w:val="000000" w:themeColor="text1"/>
          <w:lang w:val="es-ES" w:eastAsia="es-ES"/>
        </w:rPr>
      </w:pPr>
      <w:r w:rsidRPr="001D1031">
        <w:rPr>
          <w:rFonts w:ascii="Verdana" w:eastAsia="Calibri" w:hAnsi="Verdana" w:cs="Arial"/>
          <w:color w:val="000000" w:themeColor="text1"/>
          <w:lang w:val="es-ES" w:eastAsia="es-ES"/>
        </w:rPr>
        <w:t>En ejercicio de la competencia otorgada por los artículos 3, numeral 5º, y 11, numeral 8º, del Decreto Ley 4170 de 2011,</w:t>
      </w:r>
      <w:r w:rsidRPr="001D1031">
        <w:rPr>
          <w:rFonts w:ascii="Verdana" w:eastAsia="Arial MT" w:hAnsi="Verdana" w:cs="Arial MT"/>
          <w:color w:val="000000" w:themeColor="text1"/>
          <w:lang w:val="es-ES" w:eastAsia="es-ES"/>
        </w:rPr>
        <w:t xml:space="preserve"> </w:t>
      </w:r>
      <w:r w:rsidRPr="001D1031">
        <w:rPr>
          <w:rFonts w:ascii="Verdana" w:eastAsia="Times New Roman"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w:t>
      </w:r>
      <w:r w:rsidRPr="001D1031">
        <w:rPr>
          <w:rFonts w:ascii="Verdana" w:eastAsia="Calibri" w:hAnsi="Verdana" w:cs="Arial"/>
          <w:color w:val="000000" w:themeColor="text1"/>
          <w:lang w:val="es-ES" w:eastAsia="es-ES"/>
        </w:rPr>
        <w:t>de consulta remitida el 19 de marzo de 2025</w:t>
      </w:r>
      <w:r w:rsidRPr="001D1031">
        <w:rPr>
          <w:rFonts w:ascii="Verdana" w:eastAsia="Times New Roman" w:hAnsi="Verdana" w:cs="Arial"/>
          <w:color w:val="000000" w:themeColor="text1"/>
          <w:lang w:val="es-ES"/>
        </w:rPr>
        <w:t>, en la cual manifiesta lo siguiente:</w:t>
      </w:r>
      <w:r w:rsidRPr="001D1031">
        <w:rPr>
          <w:rFonts w:ascii="Verdana" w:eastAsia="Calibri" w:hAnsi="Verdana" w:cs="Arial"/>
          <w:color w:val="000000" w:themeColor="text1"/>
          <w:lang w:val="es-ES" w:eastAsia="es-ES"/>
        </w:rPr>
        <w:t xml:space="preserve"> </w:t>
      </w:r>
    </w:p>
    <w:p w14:paraId="24EA2A75" w14:textId="77777777" w:rsidR="001D1031" w:rsidRPr="001D1031" w:rsidRDefault="001D1031" w:rsidP="001D1031">
      <w:pPr>
        <w:spacing w:after="0" w:line="276" w:lineRule="auto"/>
        <w:jc w:val="both"/>
        <w:rPr>
          <w:rFonts w:ascii="Verdana" w:eastAsia="Calibri" w:hAnsi="Verdana" w:cs="Arial"/>
          <w:color w:val="000000" w:themeColor="text1"/>
          <w:sz w:val="24"/>
          <w:szCs w:val="24"/>
          <w:lang w:val="es-ES" w:eastAsia="es-ES"/>
        </w:rPr>
      </w:pPr>
    </w:p>
    <w:p w14:paraId="466B9F3F"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bookmarkStart w:id="1" w:name="_Hlk95313578"/>
      <w:r w:rsidRPr="001D1031">
        <w:rPr>
          <w:rFonts w:ascii="Verdana" w:eastAsia="Century Gothic" w:hAnsi="Verdana" w:cs="Century Gothic"/>
          <w:color w:val="000000" w:themeColor="text1"/>
          <w:sz w:val="20"/>
          <w:szCs w:val="20"/>
          <w:lang w:val="es-ES"/>
        </w:rPr>
        <w:t>“</w:t>
      </w:r>
      <w:r w:rsidRPr="001D1031">
        <w:rPr>
          <w:rFonts w:ascii="Verdana" w:eastAsia="Century Gothic" w:hAnsi="Verdana" w:cs="Century Gothic"/>
          <w:b/>
          <w:bCs/>
          <w:color w:val="000000" w:themeColor="text1"/>
          <w:sz w:val="20"/>
          <w:szCs w:val="20"/>
          <w:lang w:val="en-CO"/>
        </w:rPr>
        <w:t xml:space="preserve">CONTEXTO </w:t>
      </w:r>
    </w:p>
    <w:p w14:paraId="29C91E70"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(i). Corresponde a una entidad pública del orden nacional, conformada por direcciones, oficinas y áreas. </w:t>
      </w:r>
    </w:p>
    <w:p w14:paraId="23A16D68"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(ii). La enunciada entidad, dispone de una dirección a la cual se encuentran adscritos algunos Centros Sociales, constituidos y organizados a través de acto jurídico (Resolución), en la que se establece: </w:t>
      </w:r>
    </w:p>
    <w:p w14:paraId="02EEE389"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 </w:t>
      </w:r>
      <w:r w:rsidRPr="001D1031">
        <w:rPr>
          <w:rFonts w:ascii="Verdana" w:eastAsia="Century Gothic" w:hAnsi="Verdana" w:cs="Century Gothic"/>
          <w:b/>
          <w:bCs/>
          <w:color w:val="000000" w:themeColor="text1"/>
          <w:sz w:val="20"/>
          <w:szCs w:val="20"/>
          <w:lang w:val="en-CO"/>
        </w:rPr>
        <w:t>Naturaleza Jurídica</w:t>
      </w:r>
      <w:r w:rsidRPr="001D1031">
        <w:rPr>
          <w:rFonts w:ascii="Verdana" w:eastAsia="Century Gothic" w:hAnsi="Verdana" w:cs="Century Gothic"/>
          <w:color w:val="000000" w:themeColor="text1"/>
          <w:sz w:val="20"/>
          <w:szCs w:val="20"/>
          <w:lang w:val="en-CO"/>
        </w:rPr>
        <w:t xml:space="preserve">. Los centros sociales de (...), </w:t>
      </w:r>
      <w:r w:rsidRPr="001D1031">
        <w:rPr>
          <w:rFonts w:ascii="Verdana" w:eastAsia="Century Gothic" w:hAnsi="Verdana" w:cs="Century Gothic"/>
          <w:b/>
          <w:bCs/>
          <w:color w:val="000000" w:themeColor="text1"/>
          <w:sz w:val="20"/>
          <w:szCs w:val="20"/>
          <w:lang w:val="en-CO"/>
        </w:rPr>
        <w:t xml:space="preserve">son organismos desconcentrados </w:t>
      </w:r>
      <w:r w:rsidRPr="001D1031">
        <w:rPr>
          <w:rFonts w:ascii="Verdana" w:eastAsia="Century Gothic" w:hAnsi="Verdana" w:cs="Century Gothic"/>
          <w:color w:val="000000" w:themeColor="text1"/>
          <w:sz w:val="20"/>
          <w:szCs w:val="20"/>
          <w:lang w:val="en-CO"/>
        </w:rPr>
        <w:t xml:space="preserve">que dependen de la subdirección de (...), con fines exclusivamente recreativos, deportivos, culturales y sociales, </w:t>
      </w:r>
      <w:r w:rsidRPr="001D1031">
        <w:rPr>
          <w:rFonts w:ascii="Verdana" w:eastAsia="Century Gothic" w:hAnsi="Verdana" w:cs="Century Gothic"/>
          <w:b/>
          <w:bCs/>
          <w:color w:val="000000" w:themeColor="text1"/>
          <w:sz w:val="20"/>
          <w:szCs w:val="20"/>
          <w:lang w:val="en-CO"/>
        </w:rPr>
        <w:t>sin ánimo de lucro, ni propósito de repartir utilidades y/o bienes entre sus afiliados y beneficiarios</w:t>
      </w:r>
      <w:r w:rsidRPr="001D1031">
        <w:rPr>
          <w:rFonts w:ascii="Verdana" w:eastAsia="Century Gothic" w:hAnsi="Verdana" w:cs="Century Gothic"/>
          <w:color w:val="000000" w:themeColor="text1"/>
          <w:sz w:val="20"/>
          <w:szCs w:val="20"/>
          <w:lang w:val="en-CO"/>
        </w:rPr>
        <w:t xml:space="preserve">, pues unos y otros se destinarán al mejoramiento del servicio. </w:t>
      </w:r>
    </w:p>
    <w:p w14:paraId="219BAD74"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 </w:t>
      </w:r>
    </w:p>
    <w:p w14:paraId="6C59F4D6"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b/>
          <w:bCs/>
          <w:color w:val="000000" w:themeColor="text1"/>
          <w:sz w:val="20"/>
          <w:szCs w:val="20"/>
          <w:lang w:val="en-CO"/>
        </w:rPr>
        <w:t xml:space="preserve">ADMINISTRACIÓN </w:t>
      </w:r>
    </w:p>
    <w:p w14:paraId="5212A157"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b/>
          <w:bCs/>
          <w:color w:val="000000" w:themeColor="text1"/>
          <w:sz w:val="20"/>
          <w:szCs w:val="20"/>
          <w:lang w:val="en-CO"/>
        </w:rPr>
        <w:t xml:space="preserve">MÁXIMA AUTORIDAD </w:t>
      </w:r>
    </w:p>
    <w:p w14:paraId="2FC45A27"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lastRenderedPageBreak/>
        <w:t xml:space="preserve">El Director General (...) es la máxima autoridad para resolver los asuntos relacionados con los centros sociales... </w:t>
      </w:r>
    </w:p>
    <w:p w14:paraId="1AC351F4"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b/>
          <w:bCs/>
          <w:color w:val="000000" w:themeColor="text1"/>
          <w:sz w:val="20"/>
          <w:szCs w:val="20"/>
          <w:lang w:val="en-CO"/>
        </w:rPr>
        <w:t xml:space="preserve">ADMINISTRACIÓN </w:t>
      </w:r>
    </w:p>
    <w:p w14:paraId="522BB191"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Cada centro social tendrá un administrador (...) en servicio activo (...)” </w:t>
      </w:r>
    </w:p>
    <w:p w14:paraId="7147DCCB"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(iii). Los centros sociales se encuentran administrativamente adscritos a una dirección de la entidad pública, es administrado y operado por funcionarios de planta de la entidad. </w:t>
      </w:r>
    </w:p>
    <w:p w14:paraId="6CEE3EC5"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(iv). Para el mantenimiento y la prestación de los servicios, los centros sociales celebran contratos erigidos a la adquisición de bienes, servicios, productos alimenticios, abarrotes y todo aquello necesario para el funcionamiento de restaurante y zonas de esparcimiento. </w:t>
      </w:r>
    </w:p>
    <w:p w14:paraId="0AEB027B"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(v). Los contratos celebrados por los centros sociales ejecutan recursos percibidos por la cuota mensual voluntaria que aportan sus afiliados y con los réditos generados a través del alquiler de salones, discoteca y demás espacios de esparcimiento. </w:t>
      </w:r>
    </w:p>
    <w:p w14:paraId="74CAE659"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(vi). Pese a que se encuentran adscritos a una entidad pública, ésta </w:t>
      </w:r>
      <w:r w:rsidRPr="001D1031">
        <w:rPr>
          <w:rFonts w:ascii="Verdana" w:eastAsia="Century Gothic" w:hAnsi="Verdana" w:cs="Century Gothic"/>
          <w:b/>
          <w:bCs/>
          <w:color w:val="000000" w:themeColor="text1"/>
          <w:sz w:val="20"/>
          <w:szCs w:val="20"/>
          <w:lang w:val="en-CO"/>
        </w:rPr>
        <w:t>no le distribuye recursos económicos provenientes del tesoro público</w:t>
      </w:r>
      <w:r w:rsidRPr="001D1031">
        <w:rPr>
          <w:rFonts w:ascii="Verdana" w:eastAsia="Century Gothic" w:hAnsi="Verdana" w:cs="Century Gothic"/>
          <w:color w:val="000000" w:themeColor="text1"/>
          <w:sz w:val="20"/>
          <w:szCs w:val="20"/>
          <w:lang w:val="en-CO"/>
        </w:rPr>
        <w:t xml:space="preserve">. </w:t>
      </w:r>
    </w:p>
    <w:p w14:paraId="26F3D0FB"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s-ES"/>
        </w:rPr>
      </w:pPr>
      <w:r w:rsidRPr="001D1031">
        <w:rPr>
          <w:rFonts w:ascii="Verdana" w:eastAsia="Century Gothic" w:hAnsi="Verdana" w:cs="Century Gothic"/>
          <w:color w:val="000000" w:themeColor="text1"/>
          <w:sz w:val="20"/>
          <w:szCs w:val="20"/>
          <w:lang w:val="es-ES"/>
        </w:rPr>
        <w:t>[…]</w:t>
      </w:r>
    </w:p>
    <w:p w14:paraId="72A4EF58"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En virtud de lo anterior, es decir, a la naturaleza jurídica y a la dependencia funcional de los centros sociales a una entidad pública, surgen los siguientes interrogantes que a la luz de la competencia que le asiste a la Agencia Nacional de Contratación Pública, ameritan ser estudiados y conceptuados, así: </w:t>
      </w:r>
    </w:p>
    <w:p w14:paraId="3C7EEBB8"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a). Conforme a la definición prevista en el artículo 2 de la Ley 80 de 1993 ¿los centros sociales deben someterse al Estatuto General de Contratación de la Administración Pública? </w:t>
      </w:r>
    </w:p>
    <w:p w14:paraId="6C25C948"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b). ¿Los centros sociales deben ser tratados como entidad pública? </w:t>
      </w:r>
    </w:p>
    <w:p w14:paraId="00A7CE64"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c). Si la respuesta anterior es negativa, para efectos de contratación ¿Cuál es la naturaleza jurídica de los centros sociales? </w:t>
      </w:r>
    </w:p>
    <w:p w14:paraId="40A56FED"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d). De acuerdo a la naturaleza jurídica, ¿Es acertado que los centros sociales expidan un manual de contratación? </w:t>
      </w:r>
    </w:p>
    <w:p w14:paraId="25C3A746"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f). Los centros sociales ¿deben contratar en cumplimiento de las reglas del derecho común? </w:t>
      </w:r>
    </w:p>
    <w:p w14:paraId="5DF4F501"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 xml:space="preserve">g). A pesar de la administración de los recursos provenientes de las cuotas de afiliados ¿los centros sociales son susceptibles de las auditorias de control interno de la entidad? </w:t>
      </w:r>
    </w:p>
    <w:p w14:paraId="196819A2"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n-CO"/>
        </w:rPr>
      </w:pPr>
      <w:r w:rsidRPr="001D1031">
        <w:rPr>
          <w:rFonts w:ascii="Verdana" w:eastAsia="Century Gothic" w:hAnsi="Verdana" w:cs="Century Gothic"/>
          <w:color w:val="000000" w:themeColor="text1"/>
          <w:sz w:val="20"/>
          <w:szCs w:val="20"/>
          <w:lang w:val="en-CO"/>
        </w:rPr>
        <w:t>h). En caso contrario, debido a la dependencia administrativa, ¿los centros sociales deben crear su propio grupo de control interno?”</w:t>
      </w:r>
    </w:p>
    <w:p w14:paraId="49AC0F67" w14:textId="77777777" w:rsidR="001D1031" w:rsidRPr="001D1031" w:rsidRDefault="001D1031" w:rsidP="001D1031">
      <w:pPr>
        <w:spacing w:after="0" w:line="240" w:lineRule="auto"/>
        <w:ind w:left="709" w:right="709"/>
        <w:jc w:val="both"/>
        <w:rPr>
          <w:rFonts w:ascii="Verdana" w:eastAsia="Century Gothic" w:hAnsi="Verdana" w:cs="Century Gothic"/>
          <w:color w:val="000000" w:themeColor="text1"/>
          <w:sz w:val="20"/>
          <w:szCs w:val="20"/>
          <w:lang w:val="es-ES"/>
        </w:rPr>
      </w:pPr>
      <w:r w:rsidRPr="001D1031">
        <w:rPr>
          <w:rFonts w:ascii="Verdana" w:eastAsia="Century Gothic" w:hAnsi="Verdana" w:cs="Century Gothic"/>
          <w:color w:val="000000" w:themeColor="text1"/>
          <w:sz w:val="20"/>
          <w:szCs w:val="20"/>
          <w:lang w:val="es-ES"/>
        </w:rPr>
        <w:t xml:space="preserve"> </w:t>
      </w:r>
      <w:bookmarkEnd w:id="1"/>
    </w:p>
    <w:p w14:paraId="68D7BB0E" w14:textId="77777777" w:rsidR="001D1031" w:rsidRPr="001D1031" w:rsidRDefault="001D1031" w:rsidP="001D1031">
      <w:pPr>
        <w:spacing w:after="120" w:line="276" w:lineRule="auto"/>
        <w:ind w:firstLine="709"/>
        <w:jc w:val="both"/>
        <w:rPr>
          <w:rFonts w:ascii="Verdana" w:eastAsia="Calibri" w:hAnsi="Verdana" w:cs="Arial"/>
          <w:color w:val="000000" w:themeColor="text1"/>
          <w:lang w:val="es-ES" w:eastAsia="es-ES_tradnl"/>
        </w:rPr>
      </w:pPr>
      <w:r w:rsidRPr="001D103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o aspectos relacionados con la competencia de otras entidades desborda las atribuciones asignadas por el legislador extraordinario, que no concibió a Colombia Compra Eficiente como una autoridad para </w:t>
      </w:r>
      <w:r w:rsidRPr="001D1031">
        <w:rPr>
          <w:rFonts w:ascii="Verdana" w:eastAsia="Calibri" w:hAnsi="Verdana" w:cs="Arial"/>
          <w:color w:val="000000" w:themeColor="text1"/>
          <w:lang w:val="es-ES" w:eastAsia="es-ES"/>
        </w:rPr>
        <w:lastRenderedPageBreak/>
        <w:t xml:space="preserve">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D1031">
        <w:rPr>
          <w:rFonts w:ascii="Verdana" w:eastAsia="Calibri" w:hAnsi="Verdana" w:cs="Arial"/>
          <w:color w:val="000000" w:themeColor="text1"/>
          <w:lang w:val="es-ES" w:eastAsia="es-ES_tradnl"/>
        </w:rPr>
        <w:tab/>
      </w:r>
    </w:p>
    <w:p w14:paraId="373003B8" w14:textId="77777777" w:rsidR="001D1031" w:rsidRPr="001D1031" w:rsidRDefault="001D1031" w:rsidP="001D1031">
      <w:pPr>
        <w:spacing w:after="0" w:line="276" w:lineRule="auto"/>
        <w:ind w:firstLine="709"/>
        <w:jc w:val="both"/>
        <w:rPr>
          <w:rFonts w:ascii="Verdana" w:eastAsia="Calibri" w:hAnsi="Verdana" w:cs="Arial"/>
          <w:color w:val="000000" w:themeColor="text1"/>
          <w:lang w:val="es-ES" w:eastAsia="es-ES"/>
        </w:rPr>
      </w:pPr>
      <w:r w:rsidRPr="001D103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80B7872" w14:textId="77777777" w:rsidR="001D1031" w:rsidRPr="001D1031" w:rsidRDefault="001D1031" w:rsidP="001D1031">
      <w:pPr>
        <w:spacing w:after="0" w:line="276" w:lineRule="auto"/>
        <w:ind w:firstLine="709"/>
        <w:jc w:val="both"/>
        <w:rPr>
          <w:rFonts w:ascii="Verdana" w:eastAsia="Calibri" w:hAnsi="Verdana" w:cs="Arial"/>
          <w:color w:val="000000" w:themeColor="text1"/>
          <w:lang w:val="es-ES" w:eastAsia="es-ES"/>
        </w:rPr>
      </w:pPr>
    </w:p>
    <w:p w14:paraId="7B1875A4" w14:textId="77777777" w:rsidR="001D1031" w:rsidRPr="001D1031" w:rsidRDefault="001D1031" w:rsidP="001D1031">
      <w:pPr>
        <w:numPr>
          <w:ilvl w:val="0"/>
          <w:numId w:val="16"/>
        </w:num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1D1031">
        <w:rPr>
          <w:rFonts w:ascii="Verdana" w:eastAsia="Century Gothic" w:hAnsi="Verdana" w:cs="Century Gothic"/>
          <w:b/>
          <w:bCs/>
          <w:color w:val="000000" w:themeColor="text1"/>
          <w:lang w:val="es-ES"/>
        </w:rPr>
        <w:t>Problema planteado:</w:t>
      </w:r>
    </w:p>
    <w:p w14:paraId="746618AD" w14:textId="77777777" w:rsidR="001D1031" w:rsidRPr="001D1031" w:rsidRDefault="001D1031" w:rsidP="001D1031">
      <w:pPr>
        <w:tabs>
          <w:tab w:val="left" w:pos="426"/>
        </w:tabs>
        <w:spacing w:after="0" w:line="276" w:lineRule="auto"/>
        <w:jc w:val="both"/>
        <w:rPr>
          <w:rFonts w:ascii="Verdana" w:eastAsia="Century Gothic" w:hAnsi="Verdana" w:cs="Century Gothic"/>
          <w:color w:val="000000" w:themeColor="text1"/>
          <w:lang w:val="es-ES"/>
        </w:rPr>
      </w:pPr>
    </w:p>
    <w:p w14:paraId="0BCD87AE" w14:textId="77777777" w:rsidR="001D1031" w:rsidRPr="001D1031" w:rsidRDefault="001D1031" w:rsidP="001D1031">
      <w:pPr>
        <w:spacing w:after="0" w:line="276" w:lineRule="auto"/>
        <w:ind w:right="49"/>
        <w:jc w:val="both"/>
        <w:rPr>
          <w:rFonts w:ascii="Verdana" w:eastAsia="Century Gothic" w:hAnsi="Verdana" w:cs="Century Gothic"/>
          <w:color w:val="000000" w:themeColor="text1"/>
          <w:lang w:val="es-ES"/>
        </w:rPr>
      </w:pPr>
      <w:r w:rsidRPr="001D1031">
        <w:rPr>
          <w:rFonts w:ascii="Verdana" w:eastAsia="Century Gothic" w:hAnsi="Verdana" w:cs="Century Gothic"/>
          <w:color w:val="000000" w:themeColor="text1"/>
          <w:lang w:val="es-ES"/>
        </w:rPr>
        <w:t>De acuerdo con el contenido de su solicitud, esta Agencia resolverá el siguiente problema jurídico: ¿cuál es el régimen de contratación aplicable a los organismos desconcentrados de una Entidad Estatal sometida al EGCAP?</w:t>
      </w:r>
    </w:p>
    <w:p w14:paraId="66DAE82A" w14:textId="77777777" w:rsidR="001D1031" w:rsidRPr="001D1031" w:rsidRDefault="001D1031" w:rsidP="001D1031">
      <w:pPr>
        <w:spacing w:after="0" w:line="276" w:lineRule="auto"/>
        <w:jc w:val="both"/>
        <w:rPr>
          <w:rFonts w:ascii="Verdana" w:eastAsia="Calibri" w:hAnsi="Verdana" w:cs="Arial"/>
          <w:color w:val="000000" w:themeColor="text1"/>
          <w:lang w:val="es-ES"/>
        </w:rPr>
      </w:pPr>
    </w:p>
    <w:p w14:paraId="770977CF" w14:textId="77777777" w:rsidR="001D1031" w:rsidRPr="001D1031" w:rsidRDefault="001D1031" w:rsidP="001D1031">
      <w:pPr>
        <w:numPr>
          <w:ilvl w:val="0"/>
          <w:numId w:val="16"/>
        </w:numPr>
        <w:tabs>
          <w:tab w:val="left" w:pos="142"/>
          <w:tab w:val="left" w:pos="284"/>
        </w:tabs>
        <w:spacing w:after="0" w:line="276" w:lineRule="auto"/>
        <w:jc w:val="both"/>
        <w:rPr>
          <w:rFonts w:ascii="Verdana" w:eastAsia="Century Gothic" w:hAnsi="Verdana" w:cs="Century Gothic"/>
          <w:b/>
          <w:bCs/>
          <w:color w:val="000000" w:themeColor="text1"/>
          <w:lang w:val="es-ES"/>
        </w:rPr>
      </w:pPr>
      <w:r w:rsidRPr="001D1031">
        <w:rPr>
          <w:rFonts w:ascii="Verdana" w:eastAsia="Century Gothic" w:hAnsi="Verdana" w:cs="Century Gothic"/>
          <w:b/>
          <w:bCs/>
          <w:color w:val="000000" w:themeColor="text1"/>
          <w:lang w:val="es-ES"/>
        </w:rPr>
        <w:t>Respuesta:</w:t>
      </w:r>
    </w:p>
    <w:p w14:paraId="41463743" w14:textId="77777777" w:rsidR="001D1031" w:rsidRPr="001D1031" w:rsidRDefault="001D1031" w:rsidP="001D103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D1031" w:rsidRPr="001D1031" w14:paraId="559B0D03" w14:textId="77777777" w:rsidTr="00BA0327">
        <w:tc>
          <w:tcPr>
            <w:tcW w:w="9067" w:type="dxa"/>
            <w:shd w:val="clear" w:color="auto" w:fill="auto"/>
          </w:tcPr>
          <w:p w14:paraId="3DC2D0F1" w14:textId="77777777" w:rsidR="001D1031" w:rsidRPr="001D1031" w:rsidRDefault="001D1031" w:rsidP="001D1031">
            <w:pPr>
              <w:spacing w:line="276" w:lineRule="auto"/>
              <w:jc w:val="both"/>
              <w:rPr>
                <w:rFonts w:ascii="Verdana" w:eastAsia="Times New Roman" w:hAnsi="Verdana" w:cs="Arial"/>
                <w:bCs/>
                <w:lang w:val="es-MX"/>
              </w:rPr>
            </w:pPr>
            <w:r w:rsidRPr="001D1031">
              <w:rPr>
                <w:rFonts w:ascii="Verdana" w:eastAsia="Times New Roman" w:hAnsi="Verdana" w:cs="Arial"/>
                <w:bCs/>
                <w:lang w:val="es-MX"/>
              </w:rPr>
              <w:t xml:space="preserve">Según el artículo 8 de la Ley 489 de 1998, la desconcentración de funciones implica “la radicación de competencias y funciones en dependencias ubicadas fuera de la sede principal del organismo o entidad administrativa, sin perjuicio de las potestades y deberes de orientacion e instruccion que corresponde ejercer a los jefes superiores de la Administración”. </w:t>
            </w:r>
          </w:p>
          <w:p w14:paraId="75D691F4" w14:textId="77777777" w:rsidR="001D1031" w:rsidRPr="001D1031" w:rsidRDefault="001D1031" w:rsidP="001D1031">
            <w:pPr>
              <w:spacing w:before="120" w:after="120" w:line="276" w:lineRule="auto"/>
              <w:ind w:firstLine="709"/>
              <w:jc w:val="both"/>
              <w:rPr>
                <w:rFonts w:ascii="Verdana" w:eastAsia="Times New Roman" w:hAnsi="Verdana" w:cs="Arial"/>
                <w:bCs/>
                <w:lang w:val="es-MX"/>
              </w:rPr>
            </w:pPr>
            <w:r w:rsidRPr="001D1031">
              <w:rPr>
                <w:rFonts w:ascii="Verdana" w:eastAsia="Times New Roman" w:hAnsi="Verdana" w:cs="Arial"/>
                <w:bCs/>
                <w:lang w:val="es-MX"/>
              </w:rPr>
              <w:t>De acuerdo con esto, la Corte Constitucional ha señalado que la desconcentración se refiere a “</w:t>
            </w:r>
            <w:r w:rsidRPr="001D1031">
              <w:rPr>
                <w:rFonts w:ascii="Verdana" w:eastAsia="Times New Roman" w:hAnsi="Verdana" w:cs="Times New Roman"/>
              </w:rPr>
              <w:t>la transferencia de potestades para la toma de decisiones, a instancias o agencias que se encuentran subordinadas al ente central, sin que necesariamente, gocen de personería jurídica, ni presupuesto, ni reglamento administrativo propio”. En este sentido, la finalidad de esta figura es descongestionar las tareas que corresponden a las entidades para que puedan desarrollar sus asuntos administrativos en forma rápida y eficaz.</w:t>
            </w:r>
            <w:r w:rsidRPr="001D1031">
              <w:rPr>
                <w:rFonts w:ascii="Verdana" w:eastAsia="Times New Roman" w:hAnsi="Verdana" w:cs="Times New Roman"/>
                <w:lang w:val="en-CO"/>
              </w:rPr>
              <w:t xml:space="preserve"> En este sentido, </w:t>
            </w:r>
            <w:r w:rsidRPr="001D1031">
              <w:rPr>
                <w:rFonts w:ascii="Verdana" w:eastAsia="Times New Roman" w:hAnsi="Verdana" w:cs="Times New Roman"/>
              </w:rPr>
              <w:t xml:space="preserve">la jurisprudencia de dicha Corporación define la </w:t>
            </w:r>
            <w:r w:rsidRPr="001D1031">
              <w:rPr>
                <w:rFonts w:ascii="Verdana" w:eastAsia="Times New Roman" w:hAnsi="Verdana" w:cs="Times New Roman"/>
              </w:rPr>
              <w:lastRenderedPageBreak/>
              <w:t>desconcentración como la “transferencia de funciones administrativas que corresponden a órganos de una misma persona administrativa”.</w:t>
            </w:r>
          </w:p>
          <w:p w14:paraId="43AA26C4"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Conforme con lo expuesto, se evidencia que los centros sociales mencionados en su consulta hacen parte de la organización administrativa de la Entidad Estatal en cuestión. En este contexto, la desconcentración supone que ciertas funciones han sido asignadas a un organismo que continúa subordinado a las directivas de la entidad. Los centros son, entonces, producto de la implementación de una figura que busca la descongestión de funciones para la ejecución eficaz de las tareas que se encuentran a cargo de la Administración, y no de un mecanismo que permita exceptuar la aplicación del EGCAP. </w:t>
            </w:r>
          </w:p>
          <w:p w14:paraId="719E010C"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Los regímenes especiales o exceptuados tienen origen en la ley. En consecuencia, la desconcentración de funciones de una Entidad Estatal sometida al EGCAP no proporciona el fundamento normativo requerido para limitar la aplicación del régimen de contratación. Al desconcentrar ciertas funciones mediante la creación de los centros sociales, la Entidad ha utilizado una figura que le permite organizar sus funciones, pero que no implica la creación de una entidad exceptuada. Teniendo en cuenta que éste no es el fin, ni el efecto jurídico, de la desconcentración de funciones, los centros sociales </w:t>
            </w:r>
            <w:r w:rsidRPr="001D1031">
              <w:rPr>
                <w:rFonts w:ascii="Verdana" w:eastAsia="Times New Roman" w:hAnsi="Verdana" w:cs="Times New Roman"/>
                <w:i/>
                <w:iCs/>
                <w:lang w:val="en-CO"/>
              </w:rPr>
              <w:t>se encuentran sometidos al régimen contractual de la Entidad Estatal a la cual están subordinados</w:t>
            </w:r>
            <w:r w:rsidRPr="001D1031">
              <w:rPr>
                <w:rFonts w:ascii="Verdana" w:eastAsia="Times New Roman" w:hAnsi="Verdana" w:cs="Times New Roman"/>
                <w:lang w:val="en-CO"/>
              </w:rPr>
              <w:t xml:space="preserve"> y de la cual forman parte, de modo que deben aplicar el EGCAP. </w:t>
            </w:r>
          </w:p>
        </w:tc>
      </w:tr>
    </w:tbl>
    <w:p w14:paraId="384F1C68" w14:textId="77777777" w:rsidR="001D1031" w:rsidRPr="001D1031" w:rsidRDefault="001D1031" w:rsidP="001D103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E01A656" w14:textId="77777777" w:rsidR="001D1031" w:rsidRPr="001D1031" w:rsidRDefault="001D1031" w:rsidP="001D1031">
      <w:pPr>
        <w:numPr>
          <w:ilvl w:val="0"/>
          <w:numId w:val="16"/>
        </w:numPr>
        <w:tabs>
          <w:tab w:val="left" w:pos="142"/>
          <w:tab w:val="left" w:pos="284"/>
        </w:tabs>
        <w:spacing w:after="0" w:line="276" w:lineRule="auto"/>
        <w:jc w:val="both"/>
        <w:rPr>
          <w:rFonts w:ascii="Verdana" w:eastAsia="Century Gothic" w:hAnsi="Verdana" w:cs="Century Gothic"/>
          <w:b/>
          <w:bCs/>
          <w:color w:val="000000" w:themeColor="text1"/>
          <w:lang w:val="es-ES"/>
        </w:rPr>
      </w:pPr>
      <w:r w:rsidRPr="001D1031">
        <w:rPr>
          <w:rFonts w:ascii="Verdana" w:eastAsia="Century Gothic" w:hAnsi="Verdana" w:cs="Century Gothic"/>
          <w:b/>
          <w:bCs/>
          <w:color w:val="000000" w:themeColor="text1"/>
          <w:lang w:val="es-ES"/>
        </w:rPr>
        <w:t>Razones de la respuesta:</w:t>
      </w:r>
    </w:p>
    <w:p w14:paraId="305701F1" w14:textId="77777777" w:rsidR="001D1031" w:rsidRPr="001D1031" w:rsidRDefault="001D1031" w:rsidP="001D1031">
      <w:pPr>
        <w:spacing w:after="0" w:line="276" w:lineRule="auto"/>
        <w:jc w:val="both"/>
        <w:rPr>
          <w:rFonts w:ascii="Verdana" w:eastAsia="Calibri" w:hAnsi="Verdana" w:cs="Arial"/>
          <w:color w:val="000000" w:themeColor="text1"/>
          <w:lang w:val="es-ES"/>
        </w:rPr>
      </w:pPr>
    </w:p>
    <w:p w14:paraId="14F24615" w14:textId="77777777" w:rsidR="001D1031" w:rsidRPr="001D1031" w:rsidRDefault="001D1031" w:rsidP="001D1031">
      <w:pPr>
        <w:spacing w:after="0" w:line="276" w:lineRule="auto"/>
        <w:jc w:val="both"/>
        <w:rPr>
          <w:rFonts w:ascii="Verdana" w:eastAsia="Calibri" w:hAnsi="Verdana" w:cs="Arial"/>
          <w:color w:val="000000" w:themeColor="text1"/>
          <w:lang w:val="es-ES"/>
        </w:rPr>
      </w:pPr>
      <w:r w:rsidRPr="001D1031">
        <w:rPr>
          <w:rFonts w:ascii="Verdana" w:eastAsia="Calibri" w:hAnsi="Verdana" w:cs="Arial"/>
          <w:color w:val="000000" w:themeColor="text1"/>
          <w:lang w:val="es-ES"/>
        </w:rPr>
        <w:t xml:space="preserve">Lo anterior se sustenta en las siguientes consideraciones: </w:t>
      </w:r>
    </w:p>
    <w:p w14:paraId="2D774AB4" w14:textId="77777777" w:rsidR="001D1031" w:rsidRPr="001D1031" w:rsidRDefault="001D1031" w:rsidP="001D1031">
      <w:pPr>
        <w:spacing w:after="0" w:line="276" w:lineRule="auto"/>
        <w:jc w:val="both"/>
        <w:rPr>
          <w:rFonts w:ascii="Verdana" w:eastAsia="Calibri" w:hAnsi="Verdana" w:cs="Arial"/>
          <w:lang w:val="es-ES" w:eastAsia="es-ES_tradnl"/>
        </w:rPr>
      </w:pPr>
    </w:p>
    <w:p w14:paraId="5479A246" w14:textId="77777777" w:rsidR="001D1031" w:rsidRPr="001D1031" w:rsidRDefault="001D1031" w:rsidP="001D1031">
      <w:pPr>
        <w:widowControl w:val="0"/>
        <w:autoSpaceDE w:val="0"/>
        <w:autoSpaceDN w:val="0"/>
        <w:spacing w:after="0" w:line="276" w:lineRule="auto"/>
        <w:ind w:right="81"/>
        <w:jc w:val="both"/>
        <w:rPr>
          <w:rFonts w:ascii="Verdana" w:eastAsia="Verdana" w:hAnsi="Verdana" w:cs="Verdana"/>
          <w:lang w:val="es-ES"/>
        </w:rPr>
      </w:pPr>
      <w:r w:rsidRPr="001D1031">
        <w:rPr>
          <w:rFonts w:ascii="Verdana" w:eastAsia="Calibri" w:hAnsi="Verdana" w:cs="Arial"/>
          <w:color w:val="000000" w:themeColor="text1"/>
          <w:lang w:val="es-ES"/>
        </w:rPr>
        <w:t xml:space="preserve">(i) </w:t>
      </w:r>
      <w:r w:rsidRPr="001D1031">
        <w:rPr>
          <w:rFonts w:ascii="Verdana" w:eastAsia="Verdana" w:hAnsi="Verdana" w:cs="Verdana"/>
          <w:lang w:val="es-ES"/>
        </w:rPr>
        <w:t>El ordenamiento jurídico colombiano contempla como categoría única la noción de contratos estatales, pero acepta la posibilidad de que tengan regímenes jurídicos diferenciados.</w:t>
      </w:r>
      <w:r w:rsidRPr="001D1031">
        <w:rPr>
          <w:rFonts w:ascii="Verdana" w:eastAsia="Verdana" w:hAnsi="Verdana" w:cs="Verdana"/>
          <w:spacing w:val="-5"/>
          <w:lang w:val="es-ES"/>
        </w:rPr>
        <w:t xml:space="preserve"> </w:t>
      </w:r>
      <w:r w:rsidRPr="001D1031">
        <w:rPr>
          <w:rFonts w:ascii="Verdana" w:eastAsia="Verdana" w:hAnsi="Verdana" w:cs="Verdana"/>
          <w:lang w:val="es-ES"/>
        </w:rPr>
        <w:t>En</w:t>
      </w:r>
      <w:r w:rsidRPr="001D1031">
        <w:rPr>
          <w:rFonts w:ascii="Verdana" w:eastAsia="Verdana" w:hAnsi="Verdana" w:cs="Verdana"/>
          <w:spacing w:val="-10"/>
          <w:lang w:val="es-ES"/>
        </w:rPr>
        <w:t xml:space="preserve"> </w:t>
      </w:r>
      <w:r w:rsidRPr="001D1031">
        <w:rPr>
          <w:rFonts w:ascii="Verdana" w:eastAsia="Verdana" w:hAnsi="Verdana" w:cs="Verdana"/>
          <w:lang w:val="es-ES"/>
        </w:rPr>
        <w:t>consecuencia, los contratos</w:t>
      </w:r>
      <w:r w:rsidRPr="001D1031">
        <w:rPr>
          <w:rFonts w:ascii="Verdana" w:eastAsia="Verdana" w:hAnsi="Verdana" w:cs="Verdana"/>
          <w:spacing w:val="-7"/>
          <w:lang w:val="es-ES"/>
        </w:rPr>
        <w:t xml:space="preserve"> </w:t>
      </w:r>
      <w:r w:rsidRPr="001D1031">
        <w:rPr>
          <w:rFonts w:ascii="Verdana" w:eastAsia="Verdana" w:hAnsi="Verdana" w:cs="Verdana"/>
          <w:lang w:val="es-ES"/>
        </w:rPr>
        <w:t>estatales</w:t>
      </w:r>
      <w:r w:rsidRPr="001D1031">
        <w:rPr>
          <w:rFonts w:ascii="Verdana" w:eastAsia="Verdana" w:hAnsi="Verdana" w:cs="Verdana"/>
          <w:spacing w:val="-8"/>
          <w:lang w:val="es-ES"/>
        </w:rPr>
        <w:t xml:space="preserve"> pueden estar </w:t>
      </w:r>
      <w:r w:rsidRPr="001D1031">
        <w:rPr>
          <w:rFonts w:ascii="Verdana" w:eastAsia="Verdana" w:hAnsi="Verdana" w:cs="Verdana"/>
          <w:lang w:val="es-ES"/>
        </w:rPr>
        <w:t>sometidos al Estatuto General de Contratación de la Administración Pública –en adelante EGCAP- (Ley 80 de 1993, 1150 de 2007 y disposiciones complementarias), o estar sujetos a</w:t>
      </w:r>
      <w:r w:rsidRPr="001D1031">
        <w:rPr>
          <w:rFonts w:ascii="Verdana" w:eastAsia="Verdana" w:hAnsi="Verdana" w:cs="Verdana"/>
          <w:spacing w:val="-15"/>
          <w:lang w:val="es-ES"/>
        </w:rPr>
        <w:t xml:space="preserve"> </w:t>
      </w:r>
      <w:r w:rsidRPr="001D1031">
        <w:rPr>
          <w:rFonts w:ascii="Verdana" w:eastAsia="Verdana" w:hAnsi="Verdana" w:cs="Verdana"/>
          <w:lang w:val="es-ES"/>
        </w:rPr>
        <w:t>reglas</w:t>
      </w:r>
      <w:r w:rsidRPr="001D1031">
        <w:rPr>
          <w:rFonts w:ascii="Verdana" w:eastAsia="Verdana" w:hAnsi="Verdana" w:cs="Verdana"/>
          <w:spacing w:val="-13"/>
          <w:lang w:val="es-ES"/>
        </w:rPr>
        <w:t xml:space="preserve"> </w:t>
      </w:r>
      <w:r w:rsidRPr="001D1031">
        <w:rPr>
          <w:rFonts w:ascii="Verdana" w:eastAsia="Verdana" w:hAnsi="Verdana" w:cs="Verdana"/>
          <w:lang w:val="es-ES"/>
        </w:rPr>
        <w:t>especiales</w:t>
      </w:r>
      <w:r w:rsidRPr="001D1031">
        <w:rPr>
          <w:rFonts w:ascii="Verdana" w:eastAsia="Verdana" w:hAnsi="Verdana" w:cs="Verdana"/>
          <w:spacing w:val="-12"/>
          <w:lang w:val="es-ES"/>
        </w:rPr>
        <w:t xml:space="preserve"> </w:t>
      </w:r>
      <w:r w:rsidRPr="001D1031">
        <w:rPr>
          <w:rFonts w:ascii="Verdana" w:eastAsia="Verdana" w:hAnsi="Verdana" w:cs="Verdana"/>
          <w:lang w:val="es-ES"/>
        </w:rPr>
        <w:t>o</w:t>
      </w:r>
      <w:r w:rsidRPr="001D1031">
        <w:rPr>
          <w:rFonts w:ascii="Verdana" w:eastAsia="Verdana" w:hAnsi="Verdana" w:cs="Verdana"/>
          <w:spacing w:val="-15"/>
          <w:lang w:val="es-ES"/>
        </w:rPr>
        <w:t xml:space="preserve"> </w:t>
      </w:r>
      <w:r w:rsidRPr="001D1031">
        <w:rPr>
          <w:rFonts w:ascii="Verdana" w:eastAsia="Verdana" w:hAnsi="Verdana" w:cs="Verdana"/>
          <w:lang w:val="es-ES"/>
        </w:rPr>
        <w:t>regímenes</w:t>
      </w:r>
      <w:r w:rsidRPr="001D1031">
        <w:rPr>
          <w:rFonts w:ascii="Verdana" w:eastAsia="Verdana" w:hAnsi="Verdana" w:cs="Verdana"/>
          <w:spacing w:val="-12"/>
          <w:lang w:val="es-ES"/>
        </w:rPr>
        <w:t xml:space="preserve"> </w:t>
      </w:r>
      <w:r w:rsidRPr="001D1031">
        <w:rPr>
          <w:rFonts w:ascii="Verdana" w:eastAsia="Verdana" w:hAnsi="Verdana" w:cs="Verdana"/>
          <w:lang w:val="es-ES"/>
        </w:rPr>
        <w:t xml:space="preserve">exceptuados, </w:t>
      </w:r>
      <w:r w:rsidRPr="001D1031">
        <w:rPr>
          <w:rFonts w:ascii="Verdana" w:eastAsia="Verdana" w:hAnsi="Verdana" w:cs="Verdana"/>
          <w:lang w:val="es-ES"/>
        </w:rPr>
        <w:lastRenderedPageBreak/>
        <w:t>usualmente sometidos al derecho privado. Sobre esta distinción</w:t>
      </w:r>
      <w:r w:rsidRPr="001D1031">
        <w:rPr>
          <w:rFonts w:ascii="Verdana" w:eastAsia="Verdana" w:hAnsi="Verdana" w:cs="Verdana"/>
          <w:vertAlign w:val="superscript"/>
          <w:lang w:val="es-ES"/>
        </w:rPr>
        <w:footnoteReference w:id="1"/>
      </w:r>
      <w:r w:rsidRPr="001D1031">
        <w:rPr>
          <w:rFonts w:ascii="Verdana" w:eastAsia="Verdana" w:hAnsi="Verdana" w:cs="Verdana"/>
          <w:lang w:val="es-ES"/>
        </w:rPr>
        <w:t xml:space="preserve"> el</w:t>
      </w:r>
      <w:r w:rsidRPr="001D1031">
        <w:rPr>
          <w:rFonts w:ascii="Verdana" w:eastAsia="Verdana" w:hAnsi="Verdana" w:cs="Verdana"/>
          <w:spacing w:val="-3"/>
          <w:lang w:val="es-ES"/>
        </w:rPr>
        <w:t xml:space="preserve"> </w:t>
      </w:r>
      <w:r w:rsidRPr="001D1031">
        <w:rPr>
          <w:rFonts w:ascii="Verdana" w:eastAsia="Verdana" w:hAnsi="Verdana" w:cs="Verdana"/>
          <w:lang w:val="es-ES"/>
        </w:rPr>
        <w:t>Consejo</w:t>
      </w:r>
      <w:r w:rsidRPr="001D1031">
        <w:rPr>
          <w:rFonts w:ascii="Verdana" w:eastAsia="Verdana" w:hAnsi="Verdana" w:cs="Verdana"/>
          <w:spacing w:val="-1"/>
          <w:lang w:val="es-ES"/>
        </w:rPr>
        <w:t xml:space="preserve"> </w:t>
      </w:r>
      <w:r w:rsidRPr="001D1031">
        <w:rPr>
          <w:rFonts w:ascii="Verdana" w:eastAsia="Verdana" w:hAnsi="Verdana" w:cs="Verdana"/>
          <w:lang w:val="es-ES"/>
        </w:rPr>
        <w:t>de</w:t>
      </w:r>
      <w:r w:rsidRPr="001D1031">
        <w:rPr>
          <w:rFonts w:ascii="Verdana" w:eastAsia="Verdana" w:hAnsi="Verdana" w:cs="Verdana"/>
          <w:spacing w:val="-3"/>
          <w:lang w:val="es-ES"/>
        </w:rPr>
        <w:t xml:space="preserve"> </w:t>
      </w:r>
      <w:r w:rsidRPr="001D1031">
        <w:rPr>
          <w:rFonts w:ascii="Verdana" w:eastAsia="Verdana" w:hAnsi="Verdana" w:cs="Verdana"/>
          <w:lang w:val="es-ES"/>
        </w:rPr>
        <w:t>Estado ha señalado que</w:t>
      </w:r>
      <w:r w:rsidRPr="001D1031">
        <w:rPr>
          <w:rFonts w:ascii="Verdana" w:eastAsia="Verdana" w:hAnsi="Verdana" w:cs="Verdana"/>
          <w:vertAlign w:val="superscript"/>
          <w:lang w:val="es-ES"/>
        </w:rPr>
        <w:footnoteReference w:id="2"/>
      </w:r>
      <w:r w:rsidRPr="001D1031">
        <w:rPr>
          <w:rFonts w:ascii="Verdana" w:eastAsia="Verdana" w:hAnsi="Verdana" w:cs="Verdana"/>
          <w:lang w:val="es-ES"/>
        </w:rPr>
        <w:t>:</w:t>
      </w:r>
    </w:p>
    <w:p w14:paraId="59532AD3" w14:textId="77777777" w:rsidR="001D1031" w:rsidRPr="001D1031" w:rsidRDefault="001D1031" w:rsidP="001D1031">
      <w:pPr>
        <w:widowControl w:val="0"/>
        <w:autoSpaceDE w:val="0"/>
        <w:autoSpaceDN w:val="0"/>
        <w:spacing w:after="0" w:line="276" w:lineRule="auto"/>
        <w:ind w:right="620" w:firstLine="708"/>
        <w:jc w:val="both"/>
        <w:rPr>
          <w:rFonts w:ascii="Verdana" w:eastAsia="Verdana" w:hAnsi="Verdana" w:cs="Verdana"/>
          <w:lang w:val="es-ES"/>
        </w:rPr>
      </w:pPr>
    </w:p>
    <w:p w14:paraId="669EC0DC" w14:textId="77777777" w:rsidR="001D1031" w:rsidRPr="001D1031" w:rsidRDefault="001D1031" w:rsidP="001D1031">
      <w:pPr>
        <w:spacing w:after="0" w:line="240" w:lineRule="auto"/>
        <w:ind w:left="709" w:right="709"/>
        <w:jc w:val="both"/>
        <w:rPr>
          <w:rFonts w:ascii="Verdana" w:eastAsia="Times New Roman" w:hAnsi="Verdana" w:cs="Times New Roman"/>
          <w:sz w:val="21"/>
          <w:szCs w:val="21"/>
          <w:lang w:val="en-CO"/>
        </w:rPr>
      </w:pPr>
      <w:r w:rsidRPr="001D1031">
        <w:rPr>
          <w:rFonts w:ascii="Verdana" w:eastAsia="Times New Roman" w:hAnsi="Verdana" w:cs="Times New Roman"/>
          <w:sz w:val="21"/>
          <w:szCs w:val="21"/>
          <w:lang w:val="en-CO"/>
        </w:rPr>
        <w:t>“A juicio de la Sala es preciso reconocer que en las diversas regulaciones normativas sobre contratación de la administración pública, es posible identificar dos grandes categorías de actos contractuales:</w:t>
      </w:r>
    </w:p>
    <w:p w14:paraId="73599A73" w14:textId="77777777" w:rsidR="001D1031" w:rsidRPr="001D1031" w:rsidRDefault="001D1031" w:rsidP="001D1031">
      <w:pPr>
        <w:spacing w:after="0" w:line="240" w:lineRule="auto"/>
        <w:ind w:left="709" w:right="709"/>
        <w:jc w:val="both"/>
        <w:rPr>
          <w:rFonts w:ascii="Verdana" w:eastAsia="Times New Roman" w:hAnsi="Verdana" w:cs="Times New Roman"/>
          <w:sz w:val="21"/>
          <w:szCs w:val="21"/>
          <w:lang w:val="en-CO"/>
        </w:rPr>
      </w:pPr>
      <w:r w:rsidRPr="001D1031">
        <w:rPr>
          <w:rFonts w:ascii="Verdana" w:eastAsia="Times New Roman" w:hAnsi="Verdana" w:cs="Times New Roman"/>
          <w:sz w:val="21"/>
          <w:szCs w:val="21"/>
          <w:lang w:val="en-CO"/>
        </w:rPr>
        <w:t>1ª</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Contratos</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estatales,</w:t>
      </w:r>
      <w:r w:rsidRPr="001D1031">
        <w:rPr>
          <w:rFonts w:ascii="Verdana" w:eastAsia="Times New Roman" w:hAnsi="Verdana" w:cs="Times New Roman"/>
          <w:spacing w:val="-17"/>
          <w:sz w:val="21"/>
          <w:szCs w:val="21"/>
          <w:lang w:val="en-CO"/>
        </w:rPr>
        <w:t xml:space="preserve"> </w:t>
      </w:r>
      <w:r w:rsidRPr="001D1031">
        <w:rPr>
          <w:rFonts w:ascii="Verdana" w:eastAsia="Times New Roman" w:hAnsi="Verdana" w:cs="Times New Roman"/>
          <w:sz w:val="21"/>
          <w:szCs w:val="21"/>
          <w:lang w:val="en-CO"/>
        </w:rPr>
        <w:t>propiamente</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dichos,</w:t>
      </w:r>
      <w:r w:rsidRPr="001D1031">
        <w:rPr>
          <w:rFonts w:ascii="Verdana" w:eastAsia="Times New Roman" w:hAnsi="Verdana" w:cs="Times New Roman"/>
          <w:spacing w:val="-17"/>
          <w:sz w:val="21"/>
          <w:szCs w:val="21"/>
          <w:lang w:val="en-CO"/>
        </w:rPr>
        <w:t xml:space="preserve"> </w:t>
      </w:r>
      <w:r w:rsidRPr="001D1031">
        <w:rPr>
          <w:rFonts w:ascii="Verdana" w:eastAsia="Times New Roman" w:hAnsi="Verdana" w:cs="Times New Roman"/>
          <w:sz w:val="21"/>
          <w:szCs w:val="21"/>
          <w:lang w:val="en-CO"/>
        </w:rPr>
        <w:t>que</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son</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aquellos</w:t>
      </w:r>
      <w:r w:rsidRPr="001D1031">
        <w:rPr>
          <w:rFonts w:ascii="Verdana" w:eastAsia="Times New Roman" w:hAnsi="Verdana" w:cs="Times New Roman"/>
          <w:spacing w:val="-17"/>
          <w:sz w:val="21"/>
          <w:szCs w:val="21"/>
          <w:lang w:val="en-CO"/>
        </w:rPr>
        <w:t xml:space="preserve"> </w:t>
      </w:r>
      <w:r w:rsidRPr="001D1031">
        <w:rPr>
          <w:rFonts w:ascii="Verdana" w:eastAsia="Times New Roman" w:hAnsi="Verdana" w:cs="Times New Roman"/>
          <w:sz w:val="21"/>
          <w:szCs w:val="21"/>
          <w:lang w:val="en-CO"/>
        </w:rPr>
        <w:t>que</w:t>
      </w:r>
      <w:r w:rsidRPr="001D1031">
        <w:rPr>
          <w:rFonts w:ascii="Verdana" w:eastAsia="Times New Roman" w:hAnsi="Verdana" w:cs="Times New Roman"/>
          <w:spacing w:val="-18"/>
          <w:sz w:val="21"/>
          <w:szCs w:val="21"/>
          <w:lang w:val="en-CO"/>
        </w:rPr>
        <w:t xml:space="preserve"> </w:t>
      </w:r>
      <w:r w:rsidRPr="001D1031">
        <w:rPr>
          <w:rFonts w:ascii="Verdana" w:eastAsia="Times New Roman" w:hAnsi="Verdana" w:cs="Times New Roman"/>
          <w:sz w:val="21"/>
          <w:szCs w:val="21"/>
          <w:lang w:val="en-CO"/>
        </w:rPr>
        <w:t>celebran las entidades públicas a que se refiere la ley 80 de 1993, y que por ende se</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regulan</w:t>
      </w:r>
      <w:r w:rsidRPr="001D1031">
        <w:rPr>
          <w:rFonts w:ascii="Verdana" w:eastAsia="Times New Roman" w:hAnsi="Verdana" w:cs="Times New Roman"/>
          <w:spacing w:val="-9"/>
          <w:sz w:val="21"/>
          <w:szCs w:val="21"/>
          <w:lang w:val="en-CO"/>
        </w:rPr>
        <w:t xml:space="preserve"> </w:t>
      </w:r>
      <w:r w:rsidRPr="001D1031">
        <w:rPr>
          <w:rFonts w:ascii="Verdana" w:eastAsia="Times New Roman" w:hAnsi="Verdana" w:cs="Times New Roman"/>
          <w:sz w:val="21"/>
          <w:szCs w:val="21"/>
          <w:lang w:val="en-CO"/>
        </w:rPr>
        <w:t>íntegramente</w:t>
      </w:r>
      <w:r w:rsidRPr="001D1031">
        <w:rPr>
          <w:rFonts w:ascii="Verdana" w:eastAsia="Times New Roman" w:hAnsi="Verdana" w:cs="Times New Roman"/>
          <w:spacing w:val="-8"/>
          <w:sz w:val="21"/>
          <w:szCs w:val="21"/>
          <w:lang w:val="en-CO"/>
        </w:rPr>
        <w:t xml:space="preserve"> </w:t>
      </w:r>
      <w:r w:rsidRPr="001D1031">
        <w:rPr>
          <w:rFonts w:ascii="Verdana" w:eastAsia="Times New Roman" w:hAnsi="Verdana" w:cs="Times New Roman"/>
          <w:sz w:val="21"/>
          <w:szCs w:val="21"/>
          <w:lang w:val="en-CO"/>
        </w:rPr>
        <w:t>por</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el</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régimen</w:t>
      </w:r>
      <w:r w:rsidRPr="001D1031">
        <w:rPr>
          <w:rFonts w:ascii="Verdana" w:eastAsia="Times New Roman" w:hAnsi="Verdana" w:cs="Times New Roman"/>
          <w:spacing w:val="-9"/>
          <w:sz w:val="21"/>
          <w:szCs w:val="21"/>
          <w:lang w:val="en-CO"/>
        </w:rPr>
        <w:t xml:space="preserve"> </w:t>
      </w:r>
      <w:r w:rsidRPr="001D1031">
        <w:rPr>
          <w:rFonts w:ascii="Verdana" w:eastAsia="Times New Roman" w:hAnsi="Verdana" w:cs="Times New Roman"/>
          <w:sz w:val="21"/>
          <w:szCs w:val="21"/>
          <w:lang w:val="en-CO"/>
        </w:rPr>
        <w:t>establecido</w:t>
      </w:r>
      <w:r w:rsidRPr="001D1031">
        <w:rPr>
          <w:rFonts w:ascii="Verdana" w:eastAsia="Times New Roman" w:hAnsi="Verdana" w:cs="Times New Roman"/>
          <w:spacing w:val="-7"/>
          <w:sz w:val="21"/>
          <w:szCs w:val="21"/>
          <w:lang w:val="en-CO"/>
        </w:rPr>
        <w:t xml:space="preserve"> </w:t>
      </w:r>
      <w:r w:rsidRPr="001D1031">
        <w:rPr>
          <w:rFonts w:ascii="Verdana" w:eastAsia="Times New Roman" w:hAnsi="Verdana" w:cs="Times New Roman"/>
          <w:sz w:val="21"/>
          <w:szCs w:val="21"/>
          <w:lang w:val="en-CO"/>
        </w:rPr>
        <w:t>en</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esta</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ley.</w:t>
      </w:r>
      <w:r w:rsidRPr="001D1031">
        <w:rPr>
          <w:rFonts w:ascii="Verdana" w:eastAsia="Times New Roman" w:hAnsi="Verdana" w:cs="Times New Roman"/>
          <w:spacing w:val="40"/>
          <w:sz w:val="21"/>
          <w:szCs w:val="21"/>
          <w:lang w:val="en-CO"/>
        </w:rPr>
        <w:t xml:space="preserve"> </w:t>
      </w:r>
      <w:r w:rsidRPr="001D1031">
        <w:rPr>
          <w:rFonts w:ascii="Verdana" w:eastAsia="Times New Roman" w:hAnsi="Verdana" w:cs="Times New Roman"/>
          <w:sz w:val="21"/>
          <w:szCs w:val="21"/>
          <w:lang w:val="en-CO"/>
        </w:rPr>
        <w:t>Por</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regla general,</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adquieren</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este</w:t>
      </w:r>
      <w:r w:rsidRPr="001D1031">
        <w:rPr>
          <w:rFonts w:ascii="Verdana" w:eastAsia="Times New Roman" w:hAnsi="Verdana" w:cs="Times New Roman"/>
          <w:spacing w:val="-11"/>
          <w:sz w:val="21"/>
          <w:szCs w:val="21"/>
          <w:lang w:val="en-CO"/>
        </w:rPr>
        <w:t xml:space="preserve"> </w:t>
      </w:r>
      <w:r w:rsidRPr="001D1031">
        <w:rPr>
          <w:rFonts w:ascii="Verdana" w:eastAsia="Times New Roman" w:hAnsi="Verdana" w:cs="Times New Roman"/>
          <w:sz w:val="21"/>
          <w:szCs w:val="21"/>
          <w:lang w:val="en-CO"/>
        </w:rPr>
        <w:t>carácter</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en</w:t>
      </w:r>
      <w:r w:rsidRPr="001D1031">
        <w:rPr>
          <w:rFonts w:ascii="Verdana" w:eastAsia="Times New Roman" w:hAnsi="Verdana" w:cs="Times New Roman"/>
          <w:spacing w:val="-11"/>
          <w:sz w:val="21"/>
          <w:szCs w:val="21"/>
          <w:lang w:val="en-CO"/>
        </w:rPr>
        <w:t xml:space="preserve"> </w:t>
      </w:r>
      <w:r w:rsidRPr="001D1031">
        <w:rPr>
          <w:rFonts w:ascii="Verdana" w:eastAsia="Times New Roman" w:hAnsi="Verdana" w:cs="Times New Roman"/>
          <w:sz w:val="21"/>
          <w:szCs w:val="21"/>
          <w:lang w:val="en-CO"/>
        </w:rPr>
        <w:t>razón</w:t>
      </w:r>
      <w:r w:rsidRPr="001D1031">
        <w:rPr>
          <w:rFonts w:ascii="Verdana" w:eastAsia="Times New Roman" w:hAnsi="Verdana" w:cs="Times New Roman"/>
          <w:spacing w:val="-11"/>
          <w:sz w:val="21"/>
          <w:szCs w:val="21"/>
          <w:lang w:val="en-CO"/>
        </w:rPr>
        <w:t xml:space="preserve"> </w:t>
      </w:r>
      <w:r w:rsidRPr="001D1031">
        <w:rPr>
          <w:rFonts w:ascii="Verdana" w:eastAsia="Times New Roman" w:hAnsi="Verdana" w:cs="Times New Roman"/>
          <w:sz w:val="21"/>
          <w:szCs w:val="21"/>
          <w:lang w:val="en-CO"/>
        </w:rPr>
        <w:t>del</w:t>
      </w:r>
      <w:r w:rsidRPr="001D1031">
        <w:rPr>
          <w:rFonts w:ascii="Verdana" w:eastAsia="Times New Roman" w:hAnsi="Verdana" w:cs="Times New Roman"/>
          <w:spacing w:val="-11"/>
          <w:sz w:val="21"/>
          <w:szCs w:val="21"/>
          <w:lang w:val="en-CO"/>
        </w:rPr>
        <w:t xml:space="preserve"> </w:t>
      </w:r>
      <w:r w:rsidRPr="001D1031">
        <w:rPr>
          <w:rFonts w:ascii="Verdana" w:eastAsia="Times New Roman" w:hAnsi="Verdana" w:cs="Times New Roman"/>
          <w:sz w:val="21"/>
          <w:szCs w:val="21"/>
          <w:lang w:val="en-CO"/>
        </w:rPr>
        <w:t>ente</w:t>
      </w:r>
      <w:r w:rsidRPr="001D1031">
        <w:rPr>
          <w:rFonts w:ascii="Verdana" w:eastAsia="Times New Roman" w:hAnsi="Verdana" w:cs="Times New Roman"/>
          <w:spacing w:val="-11"/>
          <w:sz w:val="21"/>
          <w:szCs w:val="21"/>
          <w:lang w:val="en-CO"/>
        </w:rPr>
        <w:t xml:space="preserve"> </w:t>
      </w:r>
      <w:r w:rsidRPr="001D1031">
        <w:rPr>
          <w:rFonts w:ascii="Verdana" w:eastAsia="Times New Roman" w:hAnsi="Verdana" w:cs="Times New Roman"/>
          <w:sz w:val="21"/>
          <w:szCs w:val="21"/>
          <w:lang w:val="en-CO"/>
        </w:rPr>
        <w:t>público</w:t>
      </w:r>
      <w:r w:rsidRPr="001D1031">
        <w:rPr>
          <w:rFonts w:ascii="Verdana" w:eastAsia="Times New Roman" w:hAnsi="Verdana" w:cs="Times New Roman"/>
          <w:spacing w:val="-10"/>
          <w:sz w:val="21"/>
          <w:szCs w:val="21"/>
          <w:lang w:val="en-CO"/>
        </w:rPr>
        <w:t xml:space="preserve"> </w:t>
      </w:r>
      <w:r w:rsidRPr="001D1031">
        <w:rPr>
          <w:rFonts w:ascii="Verdana" w:eastAsia="Times New Roman" w:hAnsi="Verdana" w:cs="Times New Roman"/>
          <w:sz w:val="21"/>
          <w:szCs w:val="21"/>
          <w:lang w:val="en-CO"/>
        </w:rPr>
        <w:t>contratante,</w:t>
      </w:r>
      <w:r w:rsidRPr="001D1031">
        <w:rPr>
          <w:rFonts w:ascii="Verdana" w:eastAsia="Times New Roman" w:hAnsi="Verdana" w:cs="Times New Roman"/>
          <w:spacing w:val="-9"/>
          <w:sz w:val="21"/>
          <w:szCs w:val="21"/>
          <w:lang w:val="en-CO"/>
        </w:rPr>
        <w:t xml:space="preserve"> </w:t>
      </w:r>
      <w:r w:rsidRPr="001D1031">
        <w:rPr>
          <w:rFonts w:ascii="Verdana" w:eastAsia="Times New Roman" w:hAnsi="Verdana" w:cs="Times New Roman"/>
          <w:sz w:val="21"/>
          <w:szCs w:val="21"/>
          <w:lang w:val="en-CO"/>
        </w:rPr>
        <w:t xml:space="preserve">es decir, se definen desde el punto de vista orgánico. Las controversias que se deriven de este tipo de contratos y de los procesos de ejecución o cumplimiento serán de conocimiento de la jurisdicción contenciosa </w:t>
      </w:r>
      <w:r w:rsidRPr="001D1031">
        <w:rPr>
          <w:rFonts w:ascii="Verdana" w:eastAsia="Times New Roman" w:hAnsi="Verdana" w:cs="Times New Roman"/>
          <w:spacing w:val="-2"/>
          <w:sz w:val="21"/>
          <w:szCs w:val="21"/>
          <w:lang w:val="en-CO"/>
        </w:rPr>
        <w:t>administrativa.</w:t>
      </w:r>
    </w:p>
    <w:p w14:paraId="4F872882" w14:textId="77777777" w:rsidR="001D1031" w:rsidRPr="001D1031" w:rsidRDefault="001D1031" w:rsidP="001D1031">
      <w:pPr>
        <w:spacing w:after="0" w:line="240" w:lineRule="auto"/>
        <w:ind w:left="709" w:right="709"/>
        <w:jc w:val="both"/>
        <w:rPr>
          <w:rFonts w:ascii="Verdana" w:eastAsia="Times New Roman" w:hAnsi="Verdana" w:cs="Times New Roman"/>
          <w:sz w:val="21"/>
          <w:szCs w:val="21"/>
          <w:lang w:val="en-CO"/>
        </w:rPr>
      </w:pPr>
      <w:r w:rsidRPr="001D1031">
        <w:rPr>
          <w:rFonts w:ascii="Verdana" w:eastAsia="Times New Roman" w:hAnsi="Verdana" w:cs="Times New Roman"/>
          <w:sz w:val="21"/>
          <w:szCs w:val="21"/>
          <w:lang w:val="en-CO"/>
        </w:rPr>
        <w:t>2ª Contratos especiales sujetos a un régimen legal propio. Por regla general, el juez a quien compete conocer de sus controversias es el juez administrativo, debido a que su celebración y ejecución constituye una actividad reglada, es decir, es el ejercicio pleno de una función administrativa, de conformidad con el art. 82 del C.C.A. antes referido</w:t>
      </w:r>
      <w:r w:rsidRPr="001D1031">
        <w:rPr>
          <w:rFonts w:ascii="Verdana" w:eastAsia="Times New Roman" w:hAnsi="Verdana" w:cs="Times New Roman"/>
          <w:spacing w:val="-48"/>
          <w:sz w:val="21"/>
          <w:szCs w:val="21"/>
          <w:lang w:val="en-CO"/>
        </w:rPr>
        <w:t xml:space="preserve"> </w:t>
      </w:r>
      <w:r w:rsidRPr="001D1031">
        <w:rPr>
          <w:rFonts w:ascii="Verdana" w:eastAsia="Times New Roman" w:hAnsi="Verdana" w:cs="Times New Roman"/>
          <w:sz w:val="21"/>
          <w:szCs w:val="21"/>
          <w:lang w:val="en-CO"/>
        </w:rPr>
        <w:t>”</w:t>
      </w:r>
      <w:r w:rsidRPr="001D1031">
        <w:rPr>
          <w:rFonts w:ascii="Verdana" w:eastAsia="Times New Roman" w:hAnsi="Verdana" w:cs="Times New Roman"/>
          <w:sz w:val="21"/>
          <w:szCs w:val="21"/>
          <w:vertAlign w:val="superscript"/>
          <w:lang w:val="en-CO"/>
        </w:rPr>
        <w:footnoteReference w:id="3"/>
      </w:r>
      <w:r w:rsidRPr="001D1031">
        <w:rPr>
          <w:rFonts w:ascii="Verdana" w:eastAsia="Times New Roman" w:hAnsi="Verdana" w:cs="Times New Roman"/>
          <w:sz w:val="21"/>
          <w:szCs w:val="21"/>
          <w:lang w:val="en-CO"/>
        </w:rPr>
        <w:t>.</w:t>
      </w:r>
    </w:p>
    <w:p w14:paraId="0F29F173" w14:textId="77777777" w:rsidR="001D1031" w:rsidRPr="001D1031" w:rsidRDefault="001D1031" w:rsidP="001D1031">
      <w:pPr>
        <w:widowControl w:val="0"/>
        <w:autoSpaceDE w:val="0"/>
        <w:autoSpaceDN w:val="0"/>
        <w:spacing w:before="247" w:after="0" w:line="276" w:lineRule="auto"/>
        <w:ind w:firstLine="708"/>
        <w:jc w:val="both"/>
        <w:rPr>
          <w:rFonts w:ascii="Verdana" w:eastAsia="Verdana" w:hAnsi="Verdana" w:cs="Verdana"/>
          <w:lang w:val="es-ES"/>
        </w:rPr>
      </w:pPr>
      <w:r w:rsidRPr="001D1031">
        <w:rPr>
          <w:rFonts w:ascii="Verdana" w:eastAsia="Verdana" w:hAnsi="Verdana" w:cs="Verdana"/>
          <w:lang w:val="es-ES"/>
        </w:rPr>
        <w:t>De esta manera, el</w:t>
      </w:r>
      <w:r w:rsidRPr="001D1031">
        <w:rPr>
          <w:rFonts w:ascii="Verdana" w:eastAsia="Verdana" w:hAnsi="Verdana" w:cs="Verdana"/>
          <w:spacing w:val="-6"/>
          <w:lang w:val="es-ES"/>
        </w:rPr>
        <w:t xml:space="preserve"> </w:t>
      </w:r>
      <w:r w:rsidRPr="001D1031">
        <w:rPr>
          <w:rFonts w:ascii="Verdana" w:eastAsia="Verdana" w:hAnsi="Verdana" w:cs="Verdana"/>
          <w:lang w:val="es-ES"/>
        </w:rPr>
        <w:t>Consejo</w:t>
      </w:r>
      <w:r w:rsidRPr="001D1031">
        <w:rPr>
          <w:rFonts w:ascii="Verdana" w:eastAsia="Verdana" w:hAnsi="Verdana" w:cs="Verdana"/>
          <w:spacing w:val="-4"/>
          <w:lang w:val="es-ES"/>
        </w:rPr>
        <w:t xml:space="preserve"> </w:t>
      </w:r>
      <w:r w:rsidRPr="001D1031">
        <w:rPr>
          <w:rFonts w:ascii="Verdana" w:eastAsia="Verdana" w:hAnsi="Verdana" w:cs="Verdana"/>
          <w:lang w:val="es-ES"/>
        </w:rPr>
        <w:t>de</w:t>
      </w:r>
      <w:r w:rsidRPr="001D1031">
        <w:rPr>
          <w:rFonts w:ascii="Verdana" w:eastAsia="Verdana" w:hAnsi="Verdana" w:cs="Verdana"/>
          <w:spacing w:val="-6"/>
          <w:lang w:val="es-ES"/>
        </w:rPr>
        <w:t xml:space="preserve"> </w:t>
      </w:r>
      <w:r w:rsidRPr="001D1031">
        <w:rPr>
          <w:rFonts w:ascii="Verdana" w:eastAsia="Verdana" w:hAnsi="Verdana" w:cs="Verdana"/>
          <w:lang w:val="es-ES"/>
        </w:rPr>
        <w:t>Estado</w:t>
      </w:r>
      <w:r w:rsidRPr="001D1031">
        <w:rPr>
          <w:rFonts w:ascii="Verdana" w:eastAsia="Verdana" w:hAnsi="Verdana" w:cs="Verdana"/>
          <w:spacing w:val="-5"/>
          <w:lang w:val="es-ES"/>
        </w:rPr>
        <w:t xml:space="preserve"> </w:t>
      </w:r>
      <w:r w:rsidRPr="001D1031">
        <w:rPr>
          <w:rFonts w:ascii="Verdana" w:eastAsia="Verdana" w:hAnsi="Verdana" w:cs="Verdana"/>
          <w:lang w:val="es-ES"/>
        </w:rPr>
        <w:t>identificó</w:t>
      </w:r>
      <w:r w:rsidRPr="001D1031">
        <w:rPr>
          <w:rFonts w:ascii="Verdana" w:eastAsia="Verdana" w:hAnsi="Verdana" w:cs="Verdana"/>
          <w:spacing w:val="-4"/>
          <w:lang w:val="es-ES"/>
        </w:rPr>
        <w:t xml:space="preserve"> </w:t>
      </w:r>
      <w:r w:rsidRPr="001D1031">
        <w:rPr>
          <w:rFonts w:ascii="Verdana" w:eastAsia="Verdana" w:hAnsi="Verdana" w:cs="Verdana"/>
          <w:lang w:val="es-ES"/>
        </w:rPr>
        <w:t>la</w:t>
      </w:r>
      <w:r w:rsidRPr="001D1031">
        <w:rPr>
          <w:rFonts w:ascii="Verdana" w:eastAsia="Verdana" w:hAnsi="Verdana" w:cs="Verdana"/>
          <w:spacing w:val="-6"/>
          <w:lang w:val="es-ES"/>
        </w:rPr>
        <w:t xml:space="preserve"> </w:t>
      </w:r>
      <w:r w:rsidRPr="001D1031">
        <w:rPr>
          <w:rFonts w:ascii="Verdana" w:eastAsia="Verdana" w:hAnsi="Verdana" w:cs="Verdana"/>
          <w:lang w:val="es-ES"/>
        </w:rPr>
        <w:t>existencia</w:t>
      </w:r>
      <w:r w:rsidRPr="001D1031">
        <w:rPr>
          <w:rFonts w:ascii="Verdana" w:eastAsia="Verdana" w:hAnsi="Verdana" w:cs="Verdana"/>
          <w:spacing w:val="-4"/>
          <w:lang w:val="es-ES"/>
        </w:rPr>
        <w:t xml:space="preserve"> </w:t>
      </w:r>
      <w:r w:rsidRPr="001D1031">
        <w:rPr>
          <w:rFonts w:ascii="Verdana" w:eastAsia="Verdana" w:hAnsi="Verdana" w:cs="Verdana"/>
          <w:lang w:val="es-ES"/>
        </w:rPr>
        <w:t>del contrato estatal como</w:t>
      </w:r>
      <w:r w:rsidRPr="001D1031">
        <w:rPr>
          <w:rFonts w:ascii="Verdana" w:eastAsia="Verdana" w:hAnsi="Verdana" w:cs="Verdana"/>
          <w:spacing w:val="-6"/>
          <w:lang w:val="es-ES"/>
        </w:rPr>
        <w:t xml:space="preserve"> </w:t>
      </w:r>
      <w:r w:rsidRPr="001D1031">
        <w:rPr>
          <w:rFonts w:ascii="Verdana" w:eastAsia="Verdana" w:hAnsi="Verdana" w:cs="Verdana"/>
          <w:lang w:val="es-ES"/>
        </w:rPr>
        <w:t>un</w:t>
      </w:r>
      <w:r w:rsidRPr="001D1031">
        <w:rPr>
          <w:rFonts w:ascii="Verdana" w:eastAsia="Verdana" w:hAnsi="Verdana" w:cs="Verdana"/>
          <w:spacing w:val="-6"/>
          <w:lang w:val="es-ES"/>
        </w:rPr>
        <w:t xml:space="preserve"> </w:t>
      </w:r>
      <w:r w:rsidRPr="001D1031">
        <w:rPr>
          <w:rFonts w:ascii="Verdana" w:eastAsia="Verdana" w:hAnsi="Verdana" w:cs="Verdana"/>
          <w:lang w:val="es-ES"/>
        </w:rPr>
        <w:t>único</w:t>
      </w:r>
      <w:r w:rsidRPr="001D1031">
        <w:rPr>
          <w:rFonts w:ascii="Verdana" w:eastAsia="Verdana" w:hAnsi="Verdana" w:cs="Verdana"/>
          <w:spacing w:val="-5"/>
          <w:lang w:val="es-ES"/>
        </w:rPr>
        <w:t xml:space="preserve"> </w:t>
      </w:r>
      <w:r w:rsidRPr="001D1031">
        <w:rPr>
          <w:rFonts w:ascii="Verdana" w:eastAsia="Verdana" w:hAnsi="Verdana" w:cs="Verdana"/>
          <w:lang w:val="es-ES"/>
        </w:rPr>
        <w:t>tipo</w:t>
      </w:r>
      <w:r w:rsidRPr="001D1031">
        <w:rPr>
          <w:rFonts w:ascii="Verdana" w:eastAsia="Verdana" w:hAnsi="Verdana" w:cs="Verdana"/>
          <w:spacing w:val="-5"/>
          <w:lang w:val="es-ES"/>
        </w:rPr>
        <w:t xml:space="preserve"> </w:t>
      </w:r>
      <w:r w:rsidRPr="001D1031">
        <w:rPr>
          <w:rFonts w:ascii="Verdana" w:eastAsia="Verdana" w:hAnsi="Verdana" w:cs="Verdana"/>
          <w:lang w:val="es-ES"/>
        </w:rPr>
        <w:t>de</w:t>
      </w:r>
      <w:r w:rsidRPr="001D1031">
        <w:rPr>
          <w:rFonts w:ascii="Verdana" w:eastAsia="Verdana" w:hAnsi="Verdana" w:cs="Verdana"/>
          <w:spacing w:val="-6"/>
          <w:lang w:val="es-ES"/>
        </w:rPr>
        <w:t xml:space="preserve"> </w:t>
      </w:r>
      <w:r w:rsidRPr="001D1031">
        <w:rPr>
          <w:rFonts w:ascii="Verdana" w:eastAsia="Verdana" w:hAnsi="Verdana" w:cs="Verdana"/>
          <w:lang w:val="es-ES"/>
        </w:rPr>
        <w:t>contrato que cuenta con dos grandes categorías: (i) el contrato estatal con un régimen jurídico de derecho público-administrativo y (</w:t>
      </w:r>
      <w:proofErr w:type="spellStart"/>
      <w:r w:rsidRPr="001D1031">
        <w:rPr>
          <w:rFonts w:ascii="Verdana" w:eastAsia="Verdana" w:hAnsi="Verdana" w:cs="Verdana"/>
          <w:lang w:val="es-ES"/>
        </w:rPr>
        <w:t>ii</w:t>
      </w:r>
      <w:proofErr w:type="spellEnd"/>
      <w:r w:rsidRPr="001D1031">
        <w:rPr>
          <w:rFonts w:ascii="Verdana" w:eastAsia="Verdana" w:hAnsi="Verdana" w:cs="Verdana"/>
          <w:lang w:val="es-ES"/>
        </w:rPr>
        <w:t>) el contrato estatal con un régimen jurídico especial que, por regla general, será el derecho privado.</w:t>
      </w:r>
    </w:p>
    <w:p w14:paraId="572083AB" w14:textId="77777777" w:rsidR="001D1031" w:rsidRPr="001D1031" w:rsidRDefault="001D1031" w:rsidP="001D1031">
      <w:pPr>
        <w:widowControl w:val="0"/>
        <w:autoSpaceDE w:val="0"/>
        <w:autoSpaceDN w:val="0"/>
        <w:spacing w:before="120" w:after="0" w:line="276" w:lineRule="auto"/>
        <w:ind w:firstLine="708"/>
        <w:jc w:val="both"/>
        <w:rPr>
          <w:rFonts w:ascii="Verdana" w:eastAsia="Verdana" w:hAnsi="Verdana" w:cs="Verdana"/>
          <w:lang w:val="es-ES"/>
        </w:rPr>
      </w:pPr>
      <w:r w:rsidRPr="001D1031">
        <w:rPr>
          <w:rFonts w:ascii="Verdana" w:eastAsia="Verdana" w:hAnsi="Verdana" w:cs="Verdana"/>
          <w:lang w:val="es-ES"/>
        </w:rPr>
        <w:t>Con respecto a los regímenes especiales de contratación, se suele</w:t>
      </w:r>
      <w:r w:rsidRPr="001D1031">
        <w:rPr>
          <w:rFonts w:ascii="Verdana" w:eastAsia="Verdana" w:hAnsi="Verdana" w:cs="Verdana"/>
          <w:spacing w:val="-14"/>
          <w:lang w:val="es-ES"/>
        </w:rPr>
        <w:t xml:space="preserve"> </w:t>
      </w:r>
      <w:r w:rsidRPr="001D1031">
        <w:rPr>
          <w:rFonts w:ascii="Verdana" w:eastAsia="Verdana" w:hAnsi="Verdana" w:cs="Verdana"/>
          <w:lang w:val="es-ES"/>
        </w:rPr>
        <w:t>hacer</w:t>
      </w:r>
      <w:r w:rsidRPr="001D1031">
        <w:rPr>
          <w:rFonts w:ascii="Verdana" w:eastAsia="Verdana" w:hAnsi="Verdana" w:cs="Verdana"/>
          <w:spacing w:val="-14"/>
          <w:lang w:val="es-ES"/>
        </w:rPr>
        <w:t xml:space="preserve"> </w:t>
      </w:r>
      <w:r w:rsidRPr="001D1031">
        <w:rPr>
          <w:rFonts w:ascii="Verdana" w:eastAsia="Verdana" w:hAnsi="Verdana" w:cs="Verdana"/>
          <w:lang w:val="es-ES"/>
        </w:rPr>
        <w:t>referencia</w:t>
      </w:r>
      <w:r w:rsidRPr="001D1031">
        <w:rPr>
          <w:rFonts w:ascii="Verdana" w:eastAsia="Verdana" w:hAnsi="Verdana" w:cs="Verdana"/>
          <w:spacing w:val="-14"/>
          <w:lang w:val="es-ES"/>
        </w:rPr>
        <w:t xml:space="preserve"> </w:t>
      </w:r>
      <w:r w:rsidRPr="001D1031">
        <w:rPr>
          <w:rFonts w:ascii="Verdana" w:eastAsia="Verdana" w:hAnsi="Verdana" w:cs="Verdana"/>
          <w:lang w:val="es-ES"/>
        </w:rPr>
        <w:t>al</w:t>
      </w:r>
      <w:r w:rsidRPr="001D1031">
        <w:rPr>
          <w:rFonts w:ascii="Verdana" w:eastAsia="Verdana" w:hAnsi="Verdana" w:cs="Verdana"/>
          <w:spacing w:val="-15"/>
          <w:lang w:val="es-ES"/>
        </w:rPr>
        <w:t xml:space="preserve"> </w:t>
      </w:r>
      <w:r w:rsidRPr="001D1031">
        <w:rPr>
          <w:rFonts w:ascii="Verdana" w:eastAsia="Verdana" w:hAnsi="Verdana" w:cs="Verdana"/>
          <w:lang w:val="es-ES"/>
        </w:rPr>
        <w:t>régimen</w:t>
      </w:r>
      <w:r w:rsidRPr="001D1031">
        <w:rPr>
          <w:rFonts w:ascii="Verdana" w:eastAsia="Verdana" w:hAnsi="Verdana" w:cs="Verdana"/>
          <w:spacing w:val="-14"/>
          <w:lang w:val="es-ES"/>
        </w:rPr>
        <w:t xml:space="preserve"> </w:t>
      </w:r>
      <w:r w:rsidRPr="001D1031">
        <w:rPr>
          <w:rFonts w:ascii="Verdana" w:eastAsia="Verdana" w:hAnsi="Verdana" w:cs="Verdana"/>
          <w:lang w:val="es-ES"/>
        </w:rPr>
        <w:t>correspondiente a</w:t>
      </w:r>
      <w:r w:rsidRPr="001D1031">
        <w:rPr>
          <w:rFonts w:ascii="Verdana" w:eastAsia="Verdana" w:hAnsi="Verdana" w:cs="Verdana"/>
          <w:spacing w:val="-15"/>
          <w:lang w:val="es-ES"/>
        </w:rPr>
        <w:t xml:space="preserve"> </w:t>
      </w:r>
      <w:r w:rsidRPr="001D1031">
        <w:rPr>
          <w:rFonts w:ascii="Verdana" w:eastAsia="Verdana" w:hAnsi="Verdana" w:cs="Verdana"/>
          <w:lang w:val="es-ES"/>
        </w:rPr>
        <w:t>determinadas</w:t>
      </w:r>
      <w:r w:rsidRPr="001D1031">
        <w:rPr>
          <w:rFonts w:ascii="Verdana" w:eastAsia="Verdana" w:hAnsi="Verdana" w:cs="Verdana"/>
          <w:spacing w:val="-14"/>
          <w:lang w:val="es-ES"/>
        </w:rPr>
        <w:t xml:space="preserve"> </w:t>
      </w:r>
      <w:r w:rsidRPr="001D1031">
        <w:rPr>
          <w:rFonts w:ascii="Verdana" w:eastAsia="Verdana" w:hAnsi="Verdana" w:cs="Verdana"/>
          <w:lang w:val="es-ES"/>
        </w:rPr>
        <w:t>entidades</w:t>
      </w:r>
      <w:r w:rsidRPr="001D1031">
        <w:rPr>
          <w:rFonts w:ascii="Verdana" w:eastAsia="Verdana" w:hAnsi="Verdana" w:cs="Verdana"/>
          <w:spacing w:val="-14"/>
          <w:lang w:val="es-ES"/>
        </w:rPr>
        <w:t xml:space="preserve"> </w:t>
      </w:r>
      <w:r w:rsidRPr="001D1031">
        <w:rPr>
          <w:rFonts w:ascii="Verdana" w:eastAsia="Verdana" w:hAnsi="Verdana" w:cs="Verdana"/>
          <w:lang w:val="es-ES"/>
        </w:rPr>
        <w:t>estatales.</w:t>
      </w:r>
      <w:r w:rsidRPr="001D1031">
        <w:rPr>
          <w:rFonts w:ascii="Verdana" w:eastAsia="Verdana" w:hAnsi="Verdana" w:cs="Verdana"/>
          <w:spacing w:val="-14"/>
          <w:lang w:val="es-ES"/>
        </w:rPr>
        <w:t xml:space="preserve"> </w:t>
      </w:r>
      <w:r w:rsidRPr="001D1031">
        <w:rPr>
          <w:rFonts w:ascii="Verdana" w:eastAsia="Verdana" w:hAnsi="Verdana" w:cs="Verdana"/>
          <w:lang w:val="es-ES"/>
        </w:rPr>
        <w:t>Este es el caso de las empresas de servicios públicos domiciliarios, de conformidad con el</w:t>
      </w:r>
      <w:r w:rsidRPr="001D1031">
        <w:rPr>
          <w:rFonts w:ascii="Verdana" w:eastAsia="Verdana" w:hAnsi="Verdana" w:cs="Verdana"/>
          <w:spacing w:val="-9"/>
          <w:lang w:val="es-ES"/>
        </w:rPr>
        <w:t xml:space="preserve"> </w:t>
      </w:r>
      <w:r w:rsidRPr="001D1031">
        <w:rPr>
          <w:rFonts w:ascii="Verdana" w:eastAsia="Verdana" w:hAnsi="Verdana" w:cs="Verdana"/>
          <w:lang w:val="es-ES"/>
        </w:rPr>
        <w:t>artículo</w:t>
      </w:r>
      <w:r w:rsidRPr="001D1031">
        <w:rPr>
          <w:rFonts w:ascii="Verdana" w:eastAsia="Verdana" w:hAnsi="Verdana" w:cs="Verdana"/>
          <w:spacing w:val="-7"/>
          <w:lang w:val="es-ES"/>
        </w:rPr>
        <w:t xml:space="preserve"> </w:t>
      </w:r>
      <w:r w:rsidRPr="001D1031">
        <w:rPr>
          <w:rFonts w:ascii="Verdana" w:eastAsia="Verdana" w:hAnsi="Verdana" w:cs="Verdana"/>
          <w:lang w:val="es-ES"/>
        </w:rPr>
        <w:t>31</w:t>
      </w:r>
      <w:r w:rsidRPr="001D1031">
        <w:rPr>
          <w:rFonts w:ascii="Verdana" w:eastAsia="Verdana" w:hAnsi="Verdana" w:cs="Verdana"/>
          <w:spacing w:val="-9"/>
          <w:lang w:val="es-ES"/>
        </w:rPr>
        <w:t xml:space="preserve"> </w:t>
      </w:r>
      <w:r w:rsidRPr="001D1031">
        <w:rPr>
          <w:rFonts w:ascii="Verdana" w:eastAsia="Verdana" w:hAnsi="Verdana" w:cs="Verdana"/>
          <w:lang w:val="es-ES"/>
        </w:rPr>
        <w:t>de</w:t>
      </w:r>
      <w:r w:rsidRPr="001D1031">
        <w:rPr>
          <w:rFonts w:ascii="Verdana" w:eastAsia="Verdana" w:hAnsi="Verdana" w:cs="Verdana"/>
          <w:spacing w:val="-9"/>
          <w:lang w:val="es-ES"/>
        </w:rPr>
        <w:t xml:space="preserve"> </w:t>
      </w:r>
      <w:r w:rsidRPr="001D1031">
        <w:rPr>
          <w:rFonts w:ascii="Verdana" w:eastAsia="Verdana" w:hAnsi="Verdana" w:cs="Verdana"/>
          <w:lang w:val="es-ES"/>
        </w:rPr>
        <w:t>la</w:t>
      </w:r>
      <w:r w:rsidRPr="001D1031">
        <w:rPr>
          <w:rFonts w:ascii="Verdana" w:eastAsia="Verdana" w:hAnsi="Verdana" w:cs="Verdana"/>
          <w:spacing w:val="-9"/>
          <w:lang w:val="es-ES"/>
        </w:rPr>
        <w:t xml:space="preserve"> </w:t>
      </w:r>
      <w:r w:rsidRPr="001D1031">
        <w:rPr>
          <w:rFonts w:ascii="Verdana" w:eastAsia="Verdana" w:hAnsi="Verdana" w:cs="Verdana"/>
          <w:lang w:val="es-ES"/>
        </w:rPr>
        <w:t>Ley</w:t>
      </w:r>
      <w:r w:rsidRPr="001D1031">
        <w:rPr>
          <w:rFonts w:ascii="Verdana" w:eastAsia="Verdana" w:hAnsi="Verdana" w:cs="Verdana"/>
          <w:spacing w:val="-9"/>
          <w:lang w:val="es-ES"/>
        </w:rPr>
        <w:t xml:space="preserve"> </w:t>
      </w:r>
      <w:r w:rsidRPr="001D1031">
        <w:rPr>
          <w:rFonts w:ascii="Verdana" w:eastAsia="Verdana" w:hAnsi="Verdana" w:cs="Verdana"/>
          <w:lang w:val="es-ES"/>
        </w:rPr>
        <w:t>142</w:t>
      </w:r>
      <w:r w:rsidRPr="001D1031">
        <w:rPr>
          <w:rFonts w:ascii="Verdana" w:eastAsia="Verdana" w:hAnsi="Verdana" w:cs="Verdana"/>
          <w:spacing w:val="-9"/>
          <w:lang w:val="es-ES"/>
        </w:rPr>
        <w:t xml:space="preserve"> </w:t>
      </w:r>
      <w:r w:rsidRPr="001D1031">
        <w:rPr>
          <w:rFonts w:ascii="Verdana" w:eastAsia="Verdana" w:hAnsi="Verdana" w:cs="Verdana"/>
          <w:lang w:val="es-ES"/>
        </w:rPr>
        <w:t>de</w:t>
      </w:r>
      <w:r w:rsidRPr="001D1031">
        <w:rPr>
          <w:rFonts w:ascii="Verdana" w:eastAsia="Verdana" w:hAnsi="Verdana" w:cs="Verdana"/>
          <w:spacing w:val="-9"/>
          <w:lang w:val="es-ES"/>
        </w:rPr>
        <w:t xml:space="preserve"> </w:t>
      </w:r>
      <w:r w:rsidRPr="001D1031">
        <w:rPr>
          <w:rFonts w:ascii="Verdana" w:eastAsia="Verdana" w:hAnsi="Verdana" w:cs="Verdana"/>
          <w:lang w:val="es-ES"/>
        </w:rPr>
        <w:t>1994,</w:t>
      </w:r>
      <w:r w:rsidRPr="001D1031">
        <w:rPr>
          <w:rFonts w:ascii="Verdana" w:eastAsia="Verdana" w:hAnsi="Verdana" w:cs="Verdana"/>
          <w:spacing w:val="-8"/>
          <w:lang w:val="es-ES"/>
        </w:rPr>
        <w:t xml:space="preserve"> </w:t>
      </w:r>
      <w:r w:rsidRPr="001D1031">
        <w:rPr>
          <w:rFonts w:ascii="Verdana" w:eastAsia="Verdana" w:hAnsi="Verdana" w:cs="Verdana"/>
          <w:lang w:val="es-ES"/>
        </w:rPr>
        <w:t>de</w:t>
      </w:r>
      <w:r w:rsidRPr="001D1031">
        <w:rPr>
          <w:rFonts w:ascii="Verdana" w:eastAsia="Verdana" w:hAnsi="Verdana" w:cs="Verdana"/>
          <w:spacing w:val="-9"/>
          <w:lang w:val="es-ES"/>
        </w:rPr>
        <w:t xml:space="preserve"> </w:t>
      </w:r>
      <w:r w:rsidRPr="001D1031">
        <w:rPr>
          <w:rFonts w:ascii="Verdana" w:eastAsia="Verdana" w:hAnsi="Verdana" w:cs="Verdana"/>
          <w:lang w:val="es-ES"/>
        </w:rPr>
        <w:t>las</w:t>
      </w:r>
      <w:r w:rsidRPr="001D1031">
        <w:rPr>
          <w:rFonts w:ascii="Verdana" w:eastAsia="Verdana" w:hAnsi="Verdana" w:cs="Verdana"/>
          <w:spacing w:val="-9"/>
          <w:lang w:val="es-ES"/>
        </w:rPr>
        <w:t xml:space="preserve"> </w:t>
      </w:r>
      <w:r w:rsidRPr="001D1031">
        <w:rPr>
          <w:rFonts w:ascii="Verdana" w:eastAsia="Verdana" w:hAnsi="Verdana" w:cs="Verdana"/>
          <w:lang w:val="es-ES"/>
        </w:rPr>
        <w:t>entidades</w:t>
      </w:r>
      <w:r w:rsidRPr="001D1031">
        <w:rPr>
          <w:rFonts w:ascii="Verdana" w:eastAsia="Verdana" w:hAnsi="Verdana" w:cs="Verdana"/>
          <w:spacing w:val="-7"/>
          <w:lang w:val="es-ES"/>
        </w:rPr>
        <w:t xml:space="preserve"> </w:t>
      </w:r>
      <w:r w:rsidRPr="001D1031">
        <w:rPr>
          <w:rFonts w:ascii="Verdana" w:eastAsia="Verdana" w:hAnsi="Verdana" w:cs="Verdana"/>
          <w:lang w:val="es-ES"/>
        </w:rPr>
        <w:t>indicadas</w:t>
      </w:r>
      <w:r w:rsidRPr="001D1031">
        <w:rPr>
          <w:rFonts w:ascii="Verdana" w:eastAsia="Verdana" w:hAnsi="Verdana" w:cs="Verdana"/>
          <w:spacing w:val="-8"/>
          <w:lang w:val="es-ES"/>
        </w:rPr>
        <w:t xml:space="preserve"> </w:t>
      </w:r>
      <w:r w:rsidRPr="001D1031">
        <w:rPr>
          <w:rFonts w:ascii="Verdana" w:eastAsia="Verdana" w:hAnsi="Verdana" w:cs="Verdana"/>
          <w:lang w:val="es-ES"/>
        </w:rPr>
        <w:t>en</w:t>
      </w:r>
      <w:r w:rsidRPr="001D1031">
        <w:rPr>
          <w:rFonts w:ascii="Verdana" w:eastAsia="Verdana" w:hAnsi="Verdana" w:cs="Verdana"/>
          <w:spacing w:val="-9"/>
          <w:lang w:val="es-ES"/>
        </w:rPr>
        <w:t xml:space="preserve"> </w:t>
      </w:r>
      <w:r w:rsidRPr="001D1031">
        <w:rPr>
          <w:rFonts w:ascii="Verdana" w:eastAsia="Verdana" w:hAnsi="Verdana" w:cs="Verdana"/>
          <w:lang w:val="es-ES"/>
        </w:rPr>
        <w:t>el</w:t>
      </w:r>
      <w:r w:rsidRPr="001D1031">
        <w:rPr>
          <w:rFonts w:ascii="Verdana" w:eastAsia="Verdana" w:hAnsi="Verdana" w:cs="Verdana"/>
          <w:spacing w:val="-9"/>
          <w:lang w:val="es-ES"/>
        </w:rPr>
        <w:t xml:space="preserve"> </w:t>
      </w:r>
      <w:r w:rsidRPr="001D1031">
        <w:rPr>
          <w:rFonts w:ascii="Verdana" w:eastAsia="Verdana" w:hAnsi="Verdana" w:cs="Verdana"/>
          <w:lang w:val="es-ES"/>
        </w:rPr>
        <w:t>artículo</w:t>
      </w:r>
      <w:r w:rsidRPr="001D1031">
        <w:rPr>
          <w:rFonts w:ascii="Verdana" w:eastAsia="Verdana" w:hAnsi="Verdana" w:cs="Verdana"/>
          <w:spacing w:val="-7"/>
          <w:lang w:val="es-ES"/>
        </w:rPr>
        <w:t xml:space="preserve"> </w:t>
      </w:r>
      <w:r w:rsidRPr="001D1031">
        <w:rPr>
          <w:rFonts w:ascii="Verdana" w:eastAsia="Verdana" w:hAnsi="Verdana" w:cs="Verdana"/>
          <w:lang w:val="es-ES"/>
        </w:rPr>
        <w:t>14 de la Ley 1150 de 2007, y de las universidades estatales u oficiales, según el artículo</w:t>
      </w:r>
      <w:r w:rsidRPr="001D1031">
        <w:rPr>
          <w:rFonts w:ascii="Verdana" w:eastAsia="Verdana" w:hAnsi="Verdana" w:cs="Verdana"/>
          <w:spacing w:val="-11"/>
          <w:lang w:val="es-ES"/>
        </w:rPr>
        <w:t xml:space="preserve"> </w:t>
      </w:r>
      <w:r w:rsidRPr="001D1031">
        <w:rPr>
          <w:rFonts w:ascii="Verdana" w:eastAsia="Verdana" w:hAnsi="Verdana" w:cs="Verdana"/>
          <w:lang w:val="es-ES"/>
        </w:rPr>
        <w:t>93</w:t>
      </w:r>
      <w:r w:rsidRPr="001D1031">
        <w:rPr>
          <w:rFonts w:ascii="Verdana" w:eastAsia="Verdana" w:hAnsi="Verdana" w:cs="Verdana"/>
          <w:spacing w:val="-13"/>
          <w:lang w:val="es-ES"/>
        </w:rPr>
        <w:t xml:space="preserve"> </w:t>
      </w:r>
      <w:r w:rsidRPr="001D1031">
        <w:rPr>
          <w:rFonts w:ascii="Verdana" w:eastAsia="Verdana" w:hAnsi="Verdana" w:cs="Verdana"/>
          <w:lang w:val="es-ES"/>
        </w:rPr>
        <w:t>de</w:t>
      </w:r>
      <w:r w:rsidRPr="001D1031">
        <w:rPr>
          <w:rFonts w:ascii="Verdana" w:eastAsia="Verdana" w:hAnsi="Verdana" w:cs="Verdana"/>
          <w:spacing w:val="-13"/>
          <w:lang w:val="es-ES"/>
        </w:rPr>
        <w:t xml:space="preserve"> </w:t>
      </w:r>
      <w:r w:rsidRPr="001D1031">
        <w:rPr>
          <w:rFonts w:ascii="Verdana" w:eastAsia="Verdana" w:hAnsi="Verdana" w:cs="Verdana"/>
          <w:lang w:val="es-ES"/>
        </w:rPr>
        <w:t>la</w:t>
      </w:r>
      <w:r w:rsidRPr="001D1031">
        <w:rPr>
          <w:rFonts w:ascii="Verdana" w:eastAsia="Verdana" w:hAnsi="Verdana" w:cs="Verdana"/>
          <w:spacing w:val="-14"/>
          <w:lang w:val="es-ES"/>
        </w:rPr>
        <w:t xml:space="preserve"> </w:t>
      </w:r>
      <w:r w:rsidRPr="001D1031">
        <w:rPr>
          <w:rFonts w:ascii="Verdana" w:eastAsia="Verdana" w:hAnsi="Verdana" w:cs="Verdana"/>
          <w:lang w:val="es-ES"/>
        </w:rPr>
        <w:t>Ley</w:t>
      </w:r>
      <w:r w:rsidRPr="001D1031">
        <w:rPr>
          <w:rFonts w:ascii="Verdana" w:eastAsia="Verdana" w:hAnsi="Verdana" w:cs="Verdana"/>
          <w:spacing w:val="-13"/>
          <w:lang w:val="es-ES"/>
        </w:rPr>
        <w:t xml:space="preserve"> </w:t>
      </w:r>
      <w:r w:rsidRPr="001D1031">
        <w:rPr>
          <w:rFonts w:ascii="Verdana" w:eastAsia="Verdana" w:hAnsi="Verdana" w:cs="Verdana"/>
          <w:lang w:val="es-ES"/>
        </w:rPr>
        <w:t>30</w:t>
      </w:r>
      <w:r w:rsidRPr="001D1031">
        <w:rPr>
          <w:rFonts w:ascii="Verdana" w:eastAsia="Verdana" w:hAnsi="Verdana" w:cs="Verdana"/>
          <w:spacing w:val="-13"/>
          <w:lang w:val="es-ES"/>
        </w:rPr>
        <w:t xml:space="preserve"> </w:t>
      </w:r>
      <w:r w:rsidRPr="001D1031">
        <w:rPr>
          <w:rFonts w:ascii="Verdana" w:eastAsia="Verdana" w:hAnsi="Verdana" w:cs="Verdana"/>
          <w:lang w:val="es-ES"/>
        </w:rPr>
        <w:t>de</w:t>
      </w:r>
      <w:r w:rsidRPr="001D1031">
        <w:rPr>
          <w:rFonts w:ascii="Verdana" w:eastAsia="Verdana" w:hAnsi="Verdana" w:cs="Verdana"/>
          <w:spacing w:val="-13"/>
          <w:lang w:val="es-ES"/>
        </w:rPr>
        <w:t xml:space="preserve"> </w:t>
      </w:r>
      <w:r w:rsidRPr="001D1031">
        <w:rPr>
          <w:rFonts w:ascii="Verdana" w:eastAsia="Verdana" w:hAnsi="Verdana" w:cs="Verdana"/>
          <w:lang w:val="es-ES"/>
        </w:rPr>
        <w:t>1993,</w:t>
      </w:r>
      <w:r w:rsidRPr="001D1031">
        <w:rPr>
          <w:rFonts w:ascii="Verdana" w:eastAsia="Verdana" w:hAnsi="Verdana" w:cs="Verdana"/>
          <w:spacing w:val="-12"/>
          <w:lang w:val="es-ES"/>
        </w:rPr>
        <w:t xml:space="preserve"> </w:t>
      </w:r>
      <w:r w:rsidRPr="001D1031">
        <w:rPr>
          <w:rFonts w:ascii="Verdana" w:eastAsia="Verdana" w:hAnsi="Verdana" w:cs="Verdana"/>
          <w:lang w:val="es-ES"/>
        </w:rPr>
        <w:t>entre otras.</w:t>
      </w:r>
      <w:r w:rsidRPr="001D1031">
        <w:rPr>
          <w:rFonts w:ascii="Verdana" w:eastAsia="Verdana" w:hAnsi="Verdana" w:cs="Verdana"/>
          <w:spacing w:val="-13"/>
          <w:lang w:val="es-ES"/>
        </w:rPr>
        <w:t xml:space="preserve"> </w:t>
      </w:r>
      <w:r w:rsidRPr="001D1031">
        <w:rPr>
          <w:rFonts w:ascii="Verdana" w:eastAsia="Verdana" w:hAnsi="Verdana" w:cs="Verdana"/>
          <w:lang w:val="es-ES"/>
        </w:rPr>
        <w:t>Sin</w:t>
      </w:r>
      <w:r w:rsidRPr="001D1031">
        <w:rPr>
          <w:rFonts w:ascii="Verdana" w:eastAsia="Verdana" w:hAnsi="Verdana" w:cs="Verdana"/>
          <w:spacing w:val="-13"/>
          <w:lang w:val="es-ES"/>
        </w:rPr>
        <w:t xml:space="preserve"> </w:t>
      </w:r>
      <w:r w:rsidRPr="001D1031">
        <w:rPr>
          <w:rFonts w:ascii="Verdana" w:eastAsia="Verdana" w:hAnsi="Verdana" w:cs="Verdana"/>
          <w:lang w:val="es-ES"/>
        </w:rPr>
        <w:t>embargo,</w:t>
      </w:r>
      <w:r w:rsidRPr="001D1031">
        <w:rPr>
          <w:rFonts w:ascii="Verdana" w:eastAsia="Verdana" w:hAnsi="Verdana" w:cs="Verdana"/>
          <w:spacing w:val="-11"/>
          <w:lang w:val="es-ES"/>
        </w:rPr>
        <w:t xml:space="preserve"> </w:t>
      </w:r>
      <w:r w:rsidRPr="001D1031">
        <w:rPr>
          <w:rFonts w:ascii="Verdana" w:eastAsia="Verdana" w:hAnsi="Verdana" w:cs="Verdana"/>
          <w:lang w:val="es-ES"/>
        </w:rPr>
        <w:t xml:space="preserve">el carácter de régimen </w:t>
      </w:r>
      <w:r w:rsidRPr="001D1031">
        <w:rPr>
          <w:rFonts w:ascii="Verdana" w:eastAsia="Verdana" w:hAnsi="Verdana" w:cs="Verdana"/>
          <w:lang w:val="es-ES"/>
        </w:rPr>
        <w:lastRenderedPageBreak/>
        <w:t xml:space="preserve">especial no responde necesariamente a un criterio orgánico, sino que tiene un </w:t>
      </w:r>
      <w:r w:rsidRPr="001D1031">
        <w:rPr>
          <w:rFonts w:ascii="Verdana" w:eastAsia="Verdana" w:hAnsi="Verdana" w:cs="Verdana"/>
          <w:i/>
          <w:iCs/>
          <w:lang w:val="es-ES"/>
        </w:rPr>
        <w:t>fundamento legal</w:t>
      </w:r>
      <w:r w:rsidRPr="001D1031">
        <w:rPr>
          <w:rFonts w:ascii="Verdana" w:eastAsia="Verdana" w:hAnsi="Verdana" w:cs="Verdana"/>
          <w:lang w:val="es-ES"/>
        </w:rPr>
        <w:t xml:space="preserve"> en consideración al especial tipo de actividades que desempeñas algunas entidades. En consecuencia, los regímenes especiales no se dan exclusivamente en atención a cierto tipo de sujetos, como en el caso de las empresas industriales y comerciales del Estado (EICE), las sociedades de economía mixta (SEM), o las empresas de servicios públicos domiciliarios (ESP), empresas sociales del estado (ESE), sino también en consideración a otros factores, como el tipo de objetos contractuales. Un ejemplo de esto es el régimen jurídico establecido en el artículo 66 de la Ley 1523 de 2012</w:t>
      </w:r>
      <w:r w:rsidRPr="001D1031">
        <w:rPr>
          <w:rFonts w:ascii="Verdana" w:eastAsia="Verdana" w:hAnsi="Verdana" w:cs="Verdana"/>
          <w:vertAlign w:val="superscript"/>
          <w:lang w:val="es-ES"/>
        </w:rPr>
        <w:footnoteReference w:id="4"/>
      </w:r>
      <w:r w:rsidRPr="001D1031">
        <w:rPr>
          <w:rFonts w:ascii="Verdana" w:eastAsia="Verdana" w:hAnsi="Verdana" w:cs="Verdana"/>
          <w:lang w:val="es-ES"/>
        </w:rPr>
        <w:t xml:space="preserve"> o en el Decreto 544 de 2020, que establece un régimen de contratación del derecho privado para los contratos que tengan por objeto la adquisición en el mercado internacional de los elementos que allí se indican.</w:t>
      </w:r>
    </w:p>
    <w:p w14:paraId="15682E7C" w14:textId="77777777" w:rsidR="001D1031" w:rsidRPr="001D1031" w:rsidRDefault="001D1031" w:rsidP="001D1031">
      <w:pPr>
        <w:widowControl w:val="0"/>
        <w:autoSpaceDE w:val="0"/>
        <w:autoSpaceDN w:val="0"/>
        <w:spacing w:before="120" w:after="0" w:line="276" w:lineRule="auto"/>
        <w:ind w:firstLine="708"/>
        <w:jc w:val="both"/>
        <w:rPr>
          <w:rFonts w:ascii="Verdana" w:eastAsia="Verdana" w:hAnsi="Verdana" w:cs="Verdana"/>
          <w:sz w:val="24"/>
          <w:szCs w:val="24"/>
          <w:lang w:val="es-ES"/>
        </w:rPr>
      </w:pPr>
      <w:r w:rsidRPr="001D1031">
        <w:rPr>
          <w:rFonts w:ascii="Verdana" w:eastAsia="Verdana" w:hAnsi="Verdana" w:cs="Verdana"/>
          <w:lang w:val="es-ES"/>
        </w:rPr>
        <w:t>Con base en lo indicado, tanto los regímenes que atienden principalmente al sujeto, como aquellos relacionados con el objeto de la contratación, tienen el carácter de especiales.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están sometidos, en principio, al derecho privado, pero con algunas particularidades propias del derecho público</w:t>
      </w:r>
      <w:r w:rsidRPr="001D1031">
        <w:rPr>
          <w:rFonts w:ascii="Verdana" w:eastAsia="Verdana" w:hAnsi="Verdana" w:cs="Verdana"/>
          <w:sz w:val="24"/>
          <w:szCs w:val="24"/>
          <w:lang w:val="es-ES"/>
        </w:rPr>
        <w:t>.</w:t>
      </w:r>
    </w:p>
    <w:p w14:paraId="58CC0C15" w14:textId="77777777" w:rsidR="001D1031" w:rsidRPr="001D1031" w:rsidRDefault="001D1031" w:rsidP="001D1031">
      <w:pPr>
        <w:widowControl w:val="0"/>
        <w:autoSpaceDE w:val="0"/>
        <w:autoSpaceDN w:val="0"/>
        <w:spacing w:before="120" w:after="0" w:line="276" w:lineRule="auto"/>
        <w:ind w:firstLine="708"/>
        <w:jc w:val="both"/>
        <w:rPr>
          <w:rFonts w:ascii="Verdana" w:eastAsia="Verdana" w:hAnsi="Verdana" w:cs="Verdana"/>
          <w:lang w:val="es-ES"/>
        </w:rPr>
      </w:pPr>
      <w:r w:rsidRPr="001D1031">
        <w:rPr>
          <w:rFonts w:ascii="Verdana" w:eastAsia="Verdana" w:hAnsi="Verdana" w:cs="Verdana"/>
          <w:lang w:val="es-E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1D1031">
        <w:rPr>
          <w:rFonts w:ascii="Verdana" w:eastAsia="Verdana" w:hAnsi="Verdana" w:cs="Verdana"/>
          <w:lang w:val="es-ES"/>
        </w:rPr>
        <w:t>ii</w:t>
      </w:r>
      <w:proofErr w:type="spellEnd"/>
      <w:r w:rsidRPr="001D1031">
        <w:rPr>
          <w:rFonts w:ascii="Verdana" w:eastAsia="Verdana" w:hAnsi="Verdana" w:cs="Verdana"/>
          <w:lang w:val="es-ES"/>
        </w:rPr>
        <w:t xml:space="preserve">) flexibilizar el ejercicio de la función administrativa –como en los contratos del Banco de la República o los de ciencia y tecnología–, o </w:t>
      </w:r>
      <w:proofErr w:type="spellStart"/>
      <w:r w:rsidRPr="001D1031">
        <w:rPr>
          <w:rFonts w:ascii="Verdana" w:eastAsia="Verdana" w:hAnsi="Verdana" w:cs="Verdana"/>
          <w:lang w:val="es-ES"/>
        </w:rPr>
        <w:t>iii</w:t>
      </w:r>
      <w:proofErr w:type="spellEnd"/>
      <w:r w:rsidRPr="001D1031">
        <w:rPr>
          <w:rFonts w:ascii="Verdana" w:eastAsia="Verdana" w:hAnsi="Verdana" w:cs="Verdana"/>
          <w:lang w:val="es-ES"/>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1D1031">
        <w:rPr>
          <w:rFonts w:ascii="Verdana" w:eastAsia="Verdana" w:hAnsi="Verdana" w:cs="Verdana"/>
          <w:lang w:val="es-ES"/>
        </w:rPr>
        <w:lastRenderedPageBreak/>
        <w:t>ii</w:t>
      </w:r>
      <w:proofErr w:type="spellEnd"/>
      <w:r w:rsidRPr="001D1031">
        <w:rPr>
          <w:rFonts w:ascii="Verdana" w:eastAsia="Verdana" w:hAnsi="Verdana" w:cs="Verdana"/>
          <w:lang w:val="es-ES"/>
        </w:rPr>
        <w:t xml:space="preserve">) la asignación de un esquema legal especial, </w:t>
      </w:r>
      <w:proofErr w:type="spellStart"/>
      <w:r w:rsidRPr="001D1031">
        <w:rPr>
          <w:rFonts w:ascii="Verdana" w:eastAsia="Verdana" w:hAnsi="Verdana" w:cs="Verdana"/>
          <w:lang w:val="es-ES"/>
        </w:rPr>
        <w:t>iii</w:t>
      </w:r>
      <w:proofErr w:type="spellEnd"/>
      <w:r w:rsidRPr="001D1031">
        <w:rPr>
          <w:rFonts w:ascii="Verdana" w:eastAsia="Verdana" w:hAnsi="Verdana" w:cs="Verdana"/>
          <w:lang w:val="es-ES"/>
        </w:rPr>
        <w:t xml:space="preserve">) el objeto del contrato celebrado y </w:t>
      </w:r>
      <w:proofErr w:type="spellStart"/>
      <w:r w:rsidRPr="001D1031">
        <w:rPr>
          <w:rFonts w:ascii="Verdana" w:eastAsia="Verdana" w:hAnsi="Verdana" w:cs="Verdana"/>
          <w:lang w:val="es-ES"/>
        </w:rPr>
        <w:t>iv</w:t>
      </w:r>
      <w:proofErr w:type="spellEnd"/>
      <w:r w:rsidRPr="001D1031">
        <w:rPr>
          <w:rFonts w:ascii="Verdana" w:eastAsia="Verdana" w:hAnsi="Verdana" w:cs="Verdana"/>
          <w:lang w:val="es-ES"/>
        </w:rPr>
        <w:t>) la existencia de fondos que administran recursos públicos.</w:t>
      </w:r>
    </w:p>
    <w:p w14:paraId="26F874F2" w14:textId="77777777" w:rsidR="001D1031" w:rsidRPr="001D1031" w:rsidRDefault="001D1031" w:rsidP="001D1031">
      <w:pPr>
        <w:widowControl w:val="0"/>
        <w:autoSpaceDE w:val="0"/>
        <w:autoSpaceDN w:val="0"/>
        <w:spacing w:before="120" w:after="0" w:line="276" w:lineRule="auto"/>
        <w:ind w:firstLine="708"/>
        <w:jc w:val="both"/>
        <w:rPr>
          <w:rFonts w:ascii="Verdana" w:eastAsia="Verdana" w:hAnsi="Verdana" w:cs="Verdana"/>
          <w:lang w:val="es-ES"/>
        </w:rPr>
      </w:pPr>
      <w:r w:rsidRPr="001D1031">
        <w:rPr>
          <w:rFonts w:ascii="Verdana" w:eastAsia="Verdana" w:hAnsi="Verdana" w:cs="Verdana"/>
          <w:lang w:val="es-ES"/>
        </w:rPr>
        <w:t xml:space="preserve">De cualquier modo, se resalta que la determinación de un régimen especial surge </w:t>
      </w:r>
      <w:r w:rsidRPr="001D1031">
        <w:rPr>
          <w:rFonts w:ascii="Verdana" w:eastAsia="Verdana" w:hAnsi="Verdana" w:cs="Verdana"/>
          <w:i/>
          <w:iCs/>
          <w:lang w:val="es-ES"/>
        </w:rPr>
        <w:t>por expresa disposición legal</w:t>
      </w:r>
      <w:r w:rsidRPr="001D1031">
        <w:rPr>
          <w:rFonts w:ascii="Verdana" w:eastAsia="Verdana" w:hAnsi="Verdana" w:cs="Verdana"/>
          <w:lang w:val="es-ES"/>
        </w:rPr>
        <w:t>, ya sea por su naturaleza o situación de competencia, con lo cual tienen condiciones diferenciales respecto de la normativa de contratación pública. Esto quiere decir que no están sometidas al Estatuto General de Contratación de la Administración Pública y, por ende, sus procedimientos contractuales tienen una normativa propia para su desarrollo, esto es, el derecho privado. Esta circunstancia estará determinada en las normas de creación del régimen especial.</w:t>
      </w:r>
    </w:p>
    <w:p w14:paraId="24AB304C" w14:textId="77777777" w:rsidR="001D1031" w:rsidRPr="001D1031" w:rsidRDefault="001D1031" w:rsidP="001D1031">
      <w:pPr>
        <w:spacing w:before="120" w:after="120" w:line="276" w:lineRule="auto"/>
        <w:ind w:firstLine="709"/>
        <w:jc w:val="both"/>
        <w:rPr>
          <w:rFonts w:ascii="Verdana" w:eastAsia="Times New Roman" w:hAnsi="Verdana" w:cs="Arial"/>
          <w:bCs/>
          <w:lang w:val="en-CO"/>
        </w:rPr>
      </w:pPr>
      <w:r w:rsidRPr="001D1031">
        <w:rPr>
          <w:rFonts w:ascii="Verdana" w:eastAsia="Times New Roman" w:hAnsi="Verdana" w:cs="Arial"/>
          <w:bCs/>
          <w:lang w:val="en-CO"/>
        </w:rPr>
        <w:t xml:space="preserve">No obstante, se resalta que las </w:t>
      </w:r>
      <w:r w:rsidRPr="001D1031">
        <w:rPr>
          <w:rFonts w:ascii="Verdana" w:eastAsia="Times New Roman" w:hAnsi="Verdana" w:cs="Arial"/>
          <w:bCs/>
          <w:i/>
          <w:iCs/>
          <w:lang w:val="en-CO"/>
        </w:rPr>
        <w:t>entidades del régimen exceptuado</w:t>
      </w:r>
      <w:r w:rsidRPr="001D1031">
        <w:rPr>
          <w:rFonts w:ascii="Verdana" w:eastAsia="Times New Roman" w:hAnsi="Verdana" w:cs="Arial"/>
          <w:bCs/>
          <w:lang w:val="en-CO"/>
        </w:rPr>
        <w:t xml:space="preserve"> no se deslingan por completo de las normas de derecho público. Lo anterior, en la medida que el inciso primero del artículo 13 de la Ley 1150 de 2007 prescribe que “Las entidades estatales que por disposición legal cuenten con un régimen contractual excepcional […]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66898EB" w14:textId="77777777" w:rsidR="001D1031" w:rsidRPr="001D1031" w:rsidRDefault="001D1031" w:rsidP="001D1031">
      <w:pPr>
        <w:spacing w:after="120" w:line="276" w:lineRule="auto"/>
        <w:jc w:val="both"/>
        <w:rPr>
          <w:rFonts w:ascii="Verdana" w:eastAsia="Times New Roman" w:hAnsi="Verdana" w:cs="Arial"/>
          <w:lang w:val="es-ES"/>
        </w:rPr>
      </w:pPr>
      <w:r w:rsidRPr="001D1031">
        <w:rPr>
          <w:rFonts w:ascii="Verdana" w:eastAsia="Times New Roman" w:hAnsi="Verdana" w:cs="Times New Roman"/>
          <w:lang w:val="en-CO"/>
        </w:rPr>
        <w:t xml:space="preserve">(ii) Ahora bien, con respecto al ámbito de aplicación del EGCAP, </w:t>
      </w:r>
      <w:r w:rsidRPr="001D1031">
        <w:rPr>
          <w:rFonts w:ascii="Verdana" w:eastAsia="Times New Roman" w:hAnsi="Verdana" w:cs="Arial"/>
          <w:lang w:val="es-ES"/>
        </w:rPr>
        <w:t xml:space="preserve">la Ley 80 de 1993 señala que rige para las </w:t>
      </w:r>
      <w:r w:rsidRPr="001D1031">
        <w:rPr>
          <w:rFonts w:ascii="Verdana" w:eastAsia="Times New Roman" w:hAnsi="Verdana" w:cs="Arial"/>
          <w:i/>
          <w:iCs/>
          <w:lang w:val="es-ES"/>
        </w:rPr>
        <w:t>Entidades Estatales</w:t>
      </w:r>
      <w:r w:rsidRPr="001D1031">
        <w:rPr>
          <w:rFonts w:ascii="Verdana" w:eastAsia="Times New Roman" w:hAnsi="Verdana" w:cs="Arial"/>
          <w:lang w:val="es-ES"/>
        </w:rPr>
        <w:t xml:space="preserve">, esto es, aquellas previstas en los literales a) y b) del numeral 1 del artículo 2 </w:t>
      </w:r>
      <w:r w:rsidRPr="001D1031">
        <w:rPr>
          <w:rFonts w:ascii="Verdana" w:eastAsia="Times New Roman" w:hAnsi="Verdana" w:cs="Arial"/>
          <w:i/>
          <w:iCs/>
          <w:lang w:val="es-ES"/>
        </w:rPr>
        <w:t>ibidem</w:t>
      </w:r>
      <w:r w:rsidRPr="001D1031">
        <w:rPr>
          <w:rFonts w:ascii="Verdana" w:eastAsia="Times New Roman" w:hAnsi="Verdana" w:cs="Arial"/>
          <w:lang w:val="es-ES"/>
        </w:rPr>
        <w:t xml:space="preserve">. La norma citada define la competencia contractual en los siguientes términos: </w:t>
      </w:r>
    </w:p>
    <w:p w14:paraId="05BF49E3" w14:textId="77777777" w:rsidR="001D1031" w:rsidRPr="001D1031" w:rsidRDefault="001D1031" w:rsidP="001D1031">
      <w:pPr>
        <w:spacing w:after="120" w:line="276" w:lineRule="auto"/>
        <w:ind w:firstLine="708"/>
        <w:jc w:val="both"/>
        <w:rPr>
          <w:rFonts w:ascii="Verdana" w:eastAsia="Times New Roman" w:hAnsi="Verdana" w:cs="Arial"/>
          <w:lang w:val="es-ES"/>
        </w:rPr>
      </w:pPr>
      <w:r w:rsidRPr="001D1031">
        <w:rPr>
          <w:rFonts w:ascii="Verdana" w:eastAsia="Times New Roman"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16824D21" w14:textId="77777777" w:rsidR="001D1031" w:rsidRPr="001D1031" w:rsidRDefault="001D1031" w:rsidP="001D1031">
      <w:pPr>
        <w:spacing w:after="120" w:line="276" w:lineRule="auto"/>
        <w:ind w:firstLine="708"/>
        <w:jc w:val="both"/>
        <w:rPr>
          <w:rFonts w:ascii="Verdana" w:eastAsia="Times New Roman" w:hAnsi="Verdana" w:cs="Arial"/>
          <w:lang w:val="es-ES"/>
        </w:rPr>
      </w:pPr>
      <w:r w:rsidRPr="001D1031">
        <w:rPr>
          <w:rFonts w:ascii="Verdana" w:eastAsia="Times New Roman" w:hAnsi="Verdana" w:cs="Arial"/>
          <w:lang w:val="es-ES"/>
        </w:rPr>
        <w:t xml:space="preserve">En contraste, el literal b) rige para las autoridades que carecen de personería, pero a las que el ordenamiento les otorga “capacidad” para celebrar </w:t>
      </w:r>
      <w:r w:rsidRPr="001D1031">
        <w:rPr>
          <w:rFonts w:ascii="Verdana" w:eastAsia="Times New Roman" w:hAnsi="Verdana" w:cs="Arial"/>
          <w:lang w:val="es-ES"/>
        </w:rPr>
        <w:lastRenderedPageBreak/>
        <w:t>contratos estatales.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1D1031">
        <w:rPr>
          <w:rFonts w:ascii="Verdana" w:eastAsia="Times New Roman" w:hAnsi="Verdana" w:cs="Arial"/>
          <w:vertAlign w:val="superscript"/>
          <w:lang w:val="es-ES"/>
        </w:rPr>
        <w:footnoteReference w:id="5"/>
      </w:r>
      <w:r w:rsidRPr="001D1031">
        <w:rPr>
          <w:rFonts w:ascii="Verdana" w:eastAsia="Times New Roman" w:hAnsi="Verdana" w:cs="Arial"/>
          <w:lang w:val="es-ES"/>
        </w:rPr>
        <w:t xml:space="preserve">. </w:t>
      </w:r>
    </w:p>
    <w:p w14:paraId="1FD59F4A" w14:textId="77777777" w:rsidR="001D1031" w:rsidRPr="001D1031" w:rsidRDefault="001D1031" w:rsidP="001D1031">
      <w:pPr>
        <w:spacing w:after="120" w:line="276" w:lineRule="auto"/>
        <w:ind w:firstLine="708"/>
        <w:jc w:val="both"/>
        <w:rPr>
          <w:rFonts w:ascii="Verdana" w:eastAsia="Times New Roman" w:hAnsi="Verdana" w:cs="Arial"/>
          <w:bCs/>
          <w:lang w:val="es-MX"/>
        </w:rPr>
      </w:pPr>
      <w:r w:rsidRPr="001D1031">
        <w:rPr>
          <w:rFonts w:ascii="Verdana" w:eastAsia="Times New Roman" w:hAnsi="Verdana" w:cs="Arial"/>
          <w:lang w:val="es-ES"/>
        </w:rPr>
        <w:t xml:space="preserve">Para las entidades de los párrafos anteriores, los procesos de selección se rigen por el artículo 2 de la Ley 1150 de 2007. El </w:t>
      </w:r>
      <w:r w:rsidRPr="001D1031">
        <w:rPr>
          <w:rFonts w:ascii="Verdana" w:eastAsia="Times New Roman" w:hAnsi="Verdana" w:cs="Arial"/>
          <w:bCs/>
          <w:lang w:val="es-MX"/>
        </w:rPr>
        <w:t xml:space="preserve">numeral uno, inciso primero, dispone que “La escogencia del contratista se efectuará por </w:t>
      </w:r>
      <w:r w:rsidRPr="001D1031">
        <w:rPr>
          <w:rFonts w:ascii="Verdana" w:eastAsia="Times New Roman" w:hAnsi="Verdana" w:cs="Arial"/>
          <w:bCs/>
          <w:i/>
          <w:iCs/>
          <w:lang w:val="es-MX"/>
        </w:rPr>
        <w:t>regla general</w:t>
      </w:r>
      <w:r w:rsidRPr="001D1031">
        <w:rPr>
          <w:rFonts w:ascii="Verdana" w:eastAsia="Times New Roman" w:hAnsi="Verdana" w:cs="Arial"/>
          <w:bCs/>
          <w:lang w:val="es-MX"/>
        </w:rPr>
        <w:t xml:space="preserve"> a través de licitación pública, con las </w:t>
      </w:r>
      <w:r w:rsidRPr="001D1031">
        <w:rPr>
          <w:rFonts w:ascii="Verdana" w:eastAsia="Times New Roman" w:hAnsi="Verdana" w:cs="Arial"/>
          <w:bCs/>
          <w:i/>
          <w:iCs/>
          <w:lang w:val="es-MX"/>
        </w:rPr>
        <w:t>excepciones</w:t>
      </w:r>
      <w:r w:rsidRPr="001D1031">
        <w:rPr>
          <w:rFonts w:ascii="Verdana" w:eastAsia="Times New Roman"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1D1031">
        <w:rPr>
          <w:rFonts w:ascii="Verdana" w:eastAsia="Times New Roman" w:hAnsi="Verdana" w:cs="Arial"/>
          <w:bCs/>
          <w:vertAlign w:val="superscript"/>
          <w:lang w:val="es-MX"/>
        </w:rPr>
        <w:footnoteReference w:id="6"/>
      </w:r>
      <w:r w:rsidRPr="001D1031">
        <w:rPr>
          <w:rFonts w:ascii="Verdana" w:eastAsia="Times New Roman" w:hAnsi="Verdana" w:cs="Arial"/>
          <w:bCs/>
          <w:lang w:val="es-MX"/>
        </w:rPr>
        <w:t>. En este contexto, salvo norma especial que ordene la celebración del negocio jurídico mediante una modalidad de selección distinta, las Entidades Estatales sometidas al EGCAP deben aplicar la regla general de licitación pública</w:t>
      </w:r>
      <w:r w:rsidRPr="001D1031">
        <w:rPr>
          <w:rFonts w:ascii="Verdana" w:eastAsia="Times New Roman" w:hAnsi="Verdana" w:cs="Arial"/>
          <w:bCs/>
          <w:vertAlign w:val="superscript"/>
          <w:lang w:val="es-MX"/>
        </w:rPr>
        <w:footnoteReference w:id="7"/>
      </w:r>
      <w:r w:rsidRPr="001D1031">
        <w:rPr>
          <w:rFonts w:ascii="Verdana" w:eastAsia="Times New Roman" w:hAnsi="Verdana" w:cs="Arial"/>
          <w:bCs/>
          <w:lang w:val="es-MX"/>
        </w:rPr>
        <w:t>.</w:t>
      </w:r>
    </w:p>
    <w:p w14:paraId="614CAB7A" w14:textId="77777777" w:rsidR="001D1031" w:rsidRPr="001D1031" w:rsidRDefault="001D1031" w:rsidP="001D1031">
      <w:pPr>
        <w:spacing w:after="120" w:line="276" w:lineRule="auto"/>
        <w:ind w:firstLine="708"/>
        <w:jc w:val="both"/>
        <w:rPr>
          <w:rFonts w:ascii="Verdana" w:eastAsia="Times New Roman" w:hAnsi="Verdana" w:cs="Arial"/>
          <w:bCs/>
          <w:lang w:val="es-MX"/>
        </w:rPr>
      </w:pPr>
      <w:r w:rsidRPr="001D1031">
        <w:rPr>
          <w:rFonts w:ascii="Verdana" w:eastAsia="Times New Roman" w:hAnsi="Verdana" w:cs="Arial"/>
          <w:bCs/>
          <w:lang w:val="es-MX"/>
        </w:rPr>
        <w:lastRenderedPageBreak/>
        <w:t xml:space="preserve">Conforme con lo expuesto, el artículo segundo de la Ley 80 de 1993 estableció un </w:t>
      </w:r>
      <w:r w:rsidRPr="001D1031">
        <w:rPr>
          <w:rFonts w:ascii="Verdana" w:eastAsia="Times New Roman" w:hAnsi="Verdana" w:cs="Arial"/>
          <w:bCs/>
          <w:i/>
          <w:iCs/>
          <w:lang w:val="es-MX"/>
        </w:rPr>
        <w:t>criterio orgánico</w:t>
      </w:r>
      <w:r w:rsidRPr="001D1031">
        <w:rPr>
          <w:rFonts w:ascii="Verdana" w:eastAsia="Times New Roman" w:hAnsi="Verdana" w:cs="Arial"/>
          <w:bCs/>
          <w:lang w:val="es-MX"/>
        </w:rPr>
        <w:t xml:space="preserve"> para determinar la aplicación del EGCAP. De esta manera, la actividad contractual que adelanten las Entidades Estatalas señaladas en esta norma se regirá necesariamente por lo establecido en este Estatuto. En contraste, el ordenamiento jurídico determinará expresamente los sujetos u objetos que serán exceptuados de aplicar el EGCAP en sus procesos de contratación, caso en el cuál se regiran por las disposiciones de la norma que crea el régimen especial, el derecho privado y lo señalado en sus manuales de contratación. </w:t>
      </w:r>
    </w:p>
    <w:p w14:paraId="555B601B" w14:textId="77777777" w:rsidR="001D1031" w:rsidRPr="001D1031" w:rsidRDefault="001D1031" w:rsidP="001D1031">
      <w:pPr>
        <w:spacing w:after="120" w:line="276" w:lineRule="auto"/>
        <w:ind w:firstLine="708"/>
        <w:jc w:val="both"/>
        <w:rPr>
          <w:rFonts w:ascii="Verdana" w:eastAsia="Arial" w:hAnsi="Verdana" w:cs="Arial"/>
          <w:color w:val="000000"/>
          <w:lang w:val="es-ES"/>
        </w:rPr>
      </w:pPr>
      <w:r w:rsidRPr="001D1031">
        <w:rPr>
          <w:rFonts w:ascii="Verdana" w:eastAsia="Times New Roman" w:hAnsi="Verdana" w:cs="Arial"/>
          <w:bCs/>
          <w:lang w:val="en-CO"/>
        </w:rPr>
        <w:t xml:space="preserve">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1D1031">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1D1031">
        <w:rPr>
          <w:rFonts w:ascii="Verdana" w:eastAsia="Arial" w:hAnsi="Verdana" w:cs="Arial"/>
          <w:color w:val="000000"/>
          <w:lang w:val="es-ES"/>
        </w:rPr>
        <w:t>. Dicho de otro modo,</w:t>
      </w:r>
      <w:r w:rsidRPr="001D1031">
        <w:rPr>
          <w:rFonts w:ascii="Verdana" w:eastAsia="Arial" w:hAnsi="Verdana" w:cs="Arial"/>
          <w:i/>
          <w:iCs/>
          <w:color w:val="000000"/>
          <w:lang w:val="es-ES"/>
        </w:rPr>
        <w:t xml:space="preserve"> </w:t>
      </w:r>
      <w:r w:rsidRPr="001D1031">
        <w:rPr>
          <w:rFonts w:ascii="Verdana" w:eastAsia="Arial" w:hAnsi="Verdana" w:cs="Arial"/>
          <w:color w:val="000000"/>
          <w:lang w:val="es-ES"/>
        </w:rPr>
        <w:t>no existen contratos estatales celebrados entre particulares, ni siquiera cuando éstos han sido habilitados legalmente para el ejercicio de funciones</w:t>
      </w:r>
      <w:r w:rsidRPr="001D1031">
        <w:rPr>
          <w:rFonts w:ascii="Verdana" w:eastAsia="Arial" w:hAnsi="Verdana" w:cs="Arial"/>
          <w:color w:val="000000"/>
          <w:spacing w:val="-4"/>
          <w:lang w:val="es-ES"/>
        </w:rPr>
        <w:t xml:space="preserve"> </w:t>
      </w:r>
      <w:r w:rsidRPr="001D1031">
        <w:rPr>
          <w:rFonts w:ascii="Verdana" w:eastAsia="Arial" w:hAnsi="Verdana" w:cs="Arial"/>
          <w:color w:val="000000"/>
          <w:lang w:val="es-ES"/>
        </w:rPr>
        <w:t>públicas”</w:t>
      </w:r>
      <w:r w:rsidRPr="001D1031">
        <w:rPr>
          <w:rFonts w:ascii="Verdana" w:eastAsia="Arial" w:hAnsi="Verdana" w:cs="Arial"/>
          <w:color w:val="000000"/>
          <w:vertAlign w:val="superscript"/>
          <w:lang w:val="es-ES"/>
        </w:rPr>
        <w:footnoteReference w:id="8"/>
      </w:r>
      <w:r w:rsidRPr="001D1031">
        <w:rPr>
          <w:rFonts w:ascii="Verdana" w:eastAsia="Arial" w:hAnsi="Verdana" w:cs="Arial"/>
          <w:color w:val="000000"/>
          <w:lang w:val="es-ES"/>
        </w:rPr>
        <w:t xml:space="preserve"> [Énfasis fuera de texto].</w:t>
      </w:r>
    </w:p>
    <w:p w14:paraId="2D82BE28" w14:textId="77777777" w:rsidR="001D1031" w:rsidRPr="001D1031" w:rsidRDefault="001D1031" w:rsidP="001D1031">
      <w:pPr>
        <w:spacing w:after="120" w:line="276" w:lineRule="auto"/>
        <w:ind w:firstLine="708"/>
        <w:jc w:val="both"/>
        <w:rPr>
          <w:rFonts w:ascii="Verdana" w:eastAsia="Arial" w:hAnsi="Verdana" w:cs="Arial"/>
          <w:color w:val="000000"/>
          <w:lang w:val="es-ES"/>
        </w:rPr>
      </w:pPr>
      <w:r w:rsidRPr="001D1031">
        <w:rPr>
          <w:rFonts w:ascii="Verdana" w:eastAsia="Arial" w:hAnsi="Verdana" w:cs="Arial"/>
          <w:color w:val="000000"/>
          <w:lang w:val="es-ES"/>
        </w:rPr>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1D1031">
        <w:rPr>
          <w:rFonts w:ascii="Verdana" w:eastAsia="Arial" w:hAnsi="Verdana" w:cs="Arial"/>
          <w:color w:val="000000"/>
          <w:vertAlign w:val="superscript"/>
          <w:lang w:val="es-ES"/>
        </w:rPr>
        <w:footnoteReference w:id="9"/>
      </w:r>
      <w:r w:rsidRPr="001D1031">
        <w:rPr>
          <w:rFonts w:ascii="Verdana" w:eastAsia="Arial" w:hAnsi="Verdana" w:cs="Arial"/>
          <w:color w:val="000000"/>
          <w:lang w:val="es-ES"/>
        </w:rPr>
        <w:t xml:space="preserve">. Conforme con lo anterior, el contrato estatal es un acuerdo de </w:t>
      </w:r>
      <w:r w:rsidRPr="001D1031">
        <w:rPr>
          <w:rFonts w:ascii="Verdana" w:eastAsia="Arial" w:hAnsi="Verdana" w:cs="Arial"/>
          <w:color w:val="000000"/>
          <w:lang w:val="es-ES"/>
        </w:rPr>
        <w:lastRenderedPageBreak/>
        <w:t>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de régimen exceptuado</w:t>
      </w:r>
      <w:r w:rsidRPr="001D1031">
        <w:rPr>
          <w:rFonts w:ascii="Verdana" w:eastAsia="Arial" w:hAnsi="Verdana" w:cs="Arial"/>
          <w:color w:val="000000"/>
          <w:vertAlign w:val="superscript"/>
          <w:lang w:val="es-ES"/>
        </w:rPr>
        <w:footnoteReference w:id="10"/>
      </w:r>
      <w:r w:rsidRPr="001D1031">
        <w:rPr>
          <w:rFonts w:ascii="Verdana" w:eastAsia="Arial" w:hAnsi="Verdana" w:cs="Arial"/>
          <w:color w:val="000000"/>
          <w:lang w:val="es-ES"/>
        </w:rPr>
        <w:t>.</w:t>
      </w:r>
    </w:p>
    <w:p w14:paraId="0BC5CFEA" w14:textId="77777777" w:rsidR="001D1031" w:rsidRPr="001D1031" w:rsidRDefault="001D1031" w:rsidP="001D1031">
      <w:pPr>
        <w:spacing w:after="0" w:line="276" w:lineRule="auto"/>
        <w:jc w:val="both"/>
        <w:rPr>
          <w:rFonts w:ascii="Verdana" w:eastAsia="Times New Roman" w:hAnsi="Verdana" w:cs="Arial"/>
          <w:bCs/>
          <w:lang w:val="es-MX"/>
        </w:rPr>
      </w:pPr>
      <w:r w:rsidRPr="001D1031">
        <w:rPr>
          <w:rFonts w:ascii="Verdana" w:eastAsia="Times New Roman" w:hAnsi="Verdana" w:cs="Arial"/>
          <w:bCs/>
          <w:lang w:val="es-MX"/>
        </w:rPr>
        <w:t xml:space="preserve">(iii) Por otra parte, según el artículo 8 de la Ley 489 de 1998, la desconcentración de funciones implica “la radicación de competencias y funciones en dependencias ubicadas fuera de la sede principal del organismo o entidad administrativa, sin perjuicio de las potestades y deberes de orientacion e instruccion que corresponde ejercer a los jefes superiores de la Administración”. Por otra parte, el artículo 9 señala que, a través de la </w:t>
      </w:r>
      <w:r w:rsidRPr="001D1031">
        <w:rPr>
          <w:rFonts w:ascii="Verdana" w:eastAsia="Times New Roman" w:hAnsi="Verdana" w:cs="Arial"/>
          <w:bCs/>
          <w:i/>
          <w:iCs/>
          <w:lang w:val="es-MX"/>
        </w:rPr>
        <w:t>delegación,</w:t>
      </w:r>
      <w:r w:rsidRPr="001D1031">
        <w:rPr>
          <w:rFonts w:ascii="Verdana" w:eastAsia="Times New Roman" w:hAnsi="Verdana" w:cs="Arial"/>
          <w:bCs/>
          <w:lang w:val="es-MX"/>
        </w:rPr>
        <w:t xml:space="preserve"> una autoridad administrativa, como el jefe o representante legal de una entidad, transfiere una función a un colaborador o a otra autoridad cuyas funciones tengan un grado de correspondencia con las que se le delegan. Además, la norma enuncia algunos altos cargos del Estado, quienes solo podrán delegar sus funciones en cargos del nivel directivo o asesor del organismo del que hagan parte</w:t>
      </w:r>
      <w:r w:rsidRPr="001D1031">
        <w:rPr>
          <w:rFonts w:ascii="Verdana" w:eastAsia="Times New Roman" w:hAnsi="Verdana" w:cs="Arial"/>
          <w:bCs/>
          <w:vertAlign w:val="superscript"/>
          <w:lang w:val="es-MX"/>
        </w:rPr>
        <w:footnoteReference w:id="11"/>
      </w:r>
      <w:r w:rsidRPr="001D1031">
        <w:rPr>
          <w:rFonts w:ascii="Verdana" w:eastAsia="Times New Roman" w:hAnsi="Verdana" w:cs="Arial"/>
          <w:bCs/>
          <w:lang w:val="es-MX"/>
        </w:rPr>
        <w:t xml:space="preserve">. </w:t>
      </w:r>
    </w:p>
    <w:p w14:paraId="3EC5ED25" w14:textId="77777777" w:rsidR="001D1031" w:rsidRPr="001D1031" w:rsidRDefault="001D1031" w:rsidP="001D1031">
      <w:pPr>
        <w:spacing w:before="120" w:after="120" w:line="276" w:lineRule="auto"/>
        <w:ind w:firstLine="709"/>
        <w:jc w:val="both"/>
        <w:rPr>
          <w:rFonts w:ascii="Verdana" w:eastAsia="Times New Roman" w:hAnsi="Verdana" w:cs="Arial"/>
          <w:bCs/>
          <w:lang w:val="es-MX"/>
        </w:rPr>
      </w:pPr>
      <w:r w:rsidRPr="001D1031">
        <w:rPr>
          <w:rFonts w:ascii="Verdana" w:eastAsia="Times New Roman" w:hAnsi="Verdana" w:cs="Arial"/>
          <w:bCs/>
          <w:lang w:val="es-MX"/>
        </w:rPr>
        <w:t xml:space="preserve">De acuerdo con esto, la Corte Constitucional ha establecido como elementos constitutivos de la </w:t>
      </w:r>
      <w:r w:rsidRPr="001D1031">
        <w:rPr>
          <w:rFonts w:ascii="Verdana" w:eastAsia="Times New Roman" w:hAnsi="Verdana" w:cs="Arial"/>
          <w:bCs/>
          <w:i/>
          <w:iCs/>
          <w:lang w:val="es-MX"/>
        </w:rPr>
        <w:t>delegación</w:t>
      </w:r>
      <w:r w:rsidRPr="001D1031">
        <w:rPr>
          <w:rFonts w:ascii="Verdana" w:eastAsia="Times New Roman" w:hAnsi="Verdana" w:cs="Arial"/>
          <w:bCs/>
          <w:lang w:val="es-MX"/>
        </w:rPr>
        <w:t xml:space="preserve"> los siguientes: “(i) la transferencia de funciones de un órgano a otro; (ii) que la transferencia de funciones se realice por el órgano titular de la función; (iii) que dicha transferencia cuente con una previa autorización legal; (iv) y que el órgano que confiera la delegación pueda siempre y en cualquier momento reasumir la competencia”</w:t>
      </w:r>
      <w:r w:rsidRPr="001D1031">
        <w:rPr>
          <w:rFonts w:ascii="Verdana" w:eastAsia="Times New Roman" w:hAnsi="Verdana" w:cs="Arial"/>
          <w:bCs/>
          <w:vertAlign w:val="superscript"/>
          <w:lang w:val="es-MX"/>
        </w:rPr>
        <w:footnoteReference w:id="12"/>
      </w:r>
      <w:r w:rsidRPr="001D1031">
        <w:rPr>
          <w:rFonts w:ascii="Verdana" w:eastAsia="Times New Roman" w:hAnsi="Verdana" w:cs="Arial"/>
          <w:bCs/>
          <w:lang w:val="es-MX"/>
        </w:rPr>
        <w:t>.</w:t>
      </w:r>
    </w:p>
    <w:p w14:paraId="4A277391"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Arial"/>
          <w:bCs/>
          <w:lang w:val="es-MX"/>
        </w:rPr>
        <w:lastRenderedPageBreak/>
        <w:t xml:space="preserve">Sobre la </w:t>
      </w:r>
      <w:r w:rsidRPr="001D1031">
        <w:rPr>
          <w:rFonts w:ascii="Verdana" w:eastAsia="Times New Roman" w:hAnsi="Verdana" w:cs="Arial"/>
          <w:bCs/>
          <w:i/>
          <w:iCs/>
          <w:lang w:val="es-MX"/>
        </w:rPr>
        <w:t>desconcentación</w:t>
      </w:r>
      <w:r w:rsidRPr="001D1031">
        <w:rPr>
          <w:rFonts w:ascii="Verdana" w:eastAsia="Times New Roman" w:hAnsi="Verdana" w:cs="Arial"/>
          <w:bCs/>
          <w:lang w:val="es-MX"/>
        </w:rPr>
        <w:t>, la Corte Constitucional ha señalado que se refiere a “</w:t>
      </w:r>
      <w:r w:rsidRPr="001D1031">
        <w:rPr>
          <w:rFonts w:ascii="Verdana" w:eastAsia="Times New Roman" w:hAnsi="Verdana" w:cs="Times New Roman"/>
        </w:rPr>
        <w:t>la transferencia de potestades para la toma de decisiones, a instancias o agencias que se encuentran subordinadas al ente central, sin que necesariamente, gocen de personería jurídica, ni presupuesto, ni reglamento administrativo propio”. En este sentido, la finalidad de esta figura es descongestionar las tareas que corresponden a las entidades para que puedan desarrollar sus asuntos administrativos en forma rápida y eficaz.</w:t>
      </w:r>
      <w:r w:rsidRPr="001D1031">
        <w:rPr>
          <w:rFonts w:ascii="Verdana" w:eastAsia="Times New Roman" w:hAnsi="Verdana" w:cs="Times New Roman"/>
          <w:lang w:val="en-CO"/>
        </w:rPr>
        <w:t xml:space="preserve"> En este sentido, </w:t>
      </w:r>
      <w:r w:rsidRPr="001D1031">
        <w:rPr>
          <w:rFonts w:ascii="Verdana" w:eastAsia="Times New Roman" w:hAnsi="Verdana" w:cs="Times New Roman"/>
        </w:rPr>
        <w:t>la jurisprudencia de dicha Corporación define la desconcentración como la “transferencia de funciones administrativas que corresponden a órganos de una misma persona administrativa”.</w:t>
      </w:r>
      <w:r w:rsidRPr="001D1031">
        <w:rPr>
          <w:rFonts w:ascii="Verdana" w:eastAsia="Times New Roman" w:hAnsi="Verdana" w:cs="Times New Roman"/>
          <w:vertAlign w:val="superscript"/>
        </w:rPr>
        <w:footnoteReference w:id="13"/>
      </w:r>
    </w:p>
    <w:p w14:paraId="66895452" w14:textId="434C3DFB"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Según lo expuesto, la </w:t>
      </w:r>
      <w:r w:rsidRPr="001D1031">
        <w:rPr>
          <w:rFonts w:ascii="Verdana" w:eastAsia="Times New Roman" w:hAnsi="Verdana" w:cs="Times New Roman"/>
          <w:i/>
          <w:iCs/>
          <w:lang w:val="en-CO"/>
        </w:rPr>
        <w:t>desconcentración</w:t>
      </w:r>
      <w:r w:rsidRPr="001D1031">
        <w:rPr>
          <w:rFonts w:ascii="Verdana" w:eastAsia="Times New Roman" w:hAnsi="Verdana" w:cs="Times New Roman"/>
          <w:lang w:val="en-CO"/>
        </w:rPr>
        <w:t xml:space="preserve"> se diferencia de la delegación porque las funciones no se transfieren entre servidores que hacen parte de la Administración</w:t>
      </w:r>
      <w:r w:rsidRPr="001D1031">
        <w:rPr>
          <w:rFonts w:ascii="Verdana" w:eastAsia="Times New Roman" w:hAnsi="Verdana" w:cs="Times New Roman"/>
          <w:spacing w:val="11"/>
          <w:lang w:val="en-CO"/>
        </w:rPr>
        <w:t xml:space="preserve"> </w:t>
      </w:r>
      <w:r w:rsidRPr="001D1031">
        <w:rPr>
          <w:rFonts w:ascii="Verdana" w:eastAsia="Times New Roman" w:hAnsi="Verdana" w:cs="Times New Roman"/>
          <w:lang w:val="en-CO"/>
        </w:rPr>
        <w:t>pública,</w:t>
      </w:r>
      <w:r w:rsidRPr="001D1031">
        <w:rPr>
          <w:rFonts w:ascii="Verdana" w:eastAsia="Times New Roman" w:hAnsi="Verdana" w:cs="Times New Roman"/>
          <w:spacing w:val="8"/>
          <w:lang w:val="en-CO"/>
        </w:rPr>
        <w:t xml:space="preserve"> </w:t>
      </w:r>
      <w:r w:rsidRPr="001D1031">
        <w:rPr>
          <w:rFonts w:ascii="Verdana" w:eastAsia="Times New Roman" w:hAnsi="Verdana" w:cs="Times New Roman"/>
          <w:lang w:val="en-CO"/>
        </w:rPr>
        <w:t>sino</w:t>
      </w:r>
      <w:r w:rsidRPr="001D1031">
        <w:rPr>
          <w:rFonts w:ascii="Verdana" w:eastAsia="Times New Roman" w:hAnsi="Verdana" w:cs="Times New Roman"/>
          <w:spacing w:val="8"/>
          <w:lang w:val="en-CO"/>
        </w:rPr>
        <w:t xml:space="preserve"> </w:t>
      </w:r>
      <w:r w:rsidRPr="001D1031">
        <w:rPr>
          <w:rFonts w:ascii="Verdana" w:eastAsia="Times New Roman" w:hAnsi="Verdana" w:cs="Times New Roman"/>
          <w:lang w:val="en-CO"/>
        </w:rPr>
        <w:t>que</w:t>
      </w:r>
      <w:r w:rsidRPr="001D1031">
        <w:rPr>
          <w:rFonts w:ascii="Verdana" w:eastAsia="Times New Roman" w:hAnsi="Verdana" w:cs="Times New Roman"/>
          <w:spacing w:val="7"/>
          <w:lang w:val="en-CO"/>
        </w:rPr>
        <w:t xml:space="preserve"> </w:t>
      </w:r>
      <w:r w:rsidRPr="001D1031">
        <w:rPr>
          <w:rFonts w:ascii="Verdana" w:eastAsia="Times New Roman" w:hAnsi="Verdana" w:cs="Times New Roman"/>
          <w:lang w:val="en-CO"/>
        </w:rPr>
        <w:t>la</w:t>
      </w:r>
      <w:r w:rsidRPr="001D1031">
        <w:rPr>
          <w:rFonts w:ascii="Verdana" w:eastAsia="Times New Roman" w:hAnsi="Verdana" w:cs="Times New Roman"/>
          <w:spacing w:val="7"/>
          <w:lang w:val="en-CO"/>
        </w:rPr>
        <w:t xml:space="preserve"> </w:t>
      </w:r>
      <w:r w:rsidRPr="001D1031">
        <w:rPr>
          <w:rFonts w:ascii="Verdana" w:eastAsia="Times New Roman" w:hAnsi="Verdana" w:cs="Times New Roman"/>
          <w:lang w:val="en-CO"/>
        </w:rPr>
        <w:t>función</w:t>
      </w:r>
      <w:r w:rsidRPr="001D1031">
        <w:rPr>
          <w:rFonts w:ascii="Verdana" w:eastAsia="Times New Roman" w:hAnsi="Verdana" w:cs="Times New Roman"/>
          <w:spacing w:val="8"/>
          <w:lang w:val="en-CO"/>
        </w:rPr>
        <w:t xml:space="preserve"> </w:t>
      </w:r>
      <w:r w:rsidRPr="001D1031">
        <w:rPr>
          <w:rFonts w:ascii="Verdana" w:eastAsia="Times New Roman" w:hAnsi="Verdana" w:cs="Times New Roman"/>
          <w:lang w:val="en-CO"/>
        </w:rPr>
        <w:t>se</w:t>
      </w:r>
      <w:r w:rsidRPr="001D1031">
        <w:rPr>
          <w:rFonts w:ascii="Verdana" w:eastAsia="Times New Roman" w:hAnsi="Verdana" w:cs="Times New Roman"/>
          <w:spacing w:val="7"/>
          <w:lang w:val="en-CO"/>
        </w:rPr>
        <w:t xml:space="preserve"> </w:t>
      </w:r>
      <w:r w:rsidRPr="001D1031">
        <w:rPr>
          <w:rFonts w:ascii="Verdana" w:eastAsia="Times New Roman" w:hAnsi="Verdana" w:cs="Times New Roman"/>
          <w:lang w:val="en-CO"/>
        </w:rPr>
        <w:t>asigna</w:t>
      </w:r>
      <w:r w:rsidRPr="001D1031">
        <w:rPr>
          <w:rFonts w:ascii="Verdana" w:eastAsia="Times New Roman" w:hAnsi="Verdana" w:cs="Times New Roman"/>
          <w:spacing w:val="8"/>
          <w:lang w:val="en-CO"/>
        </w:rPr>
        <w:t xml:space="preserve"> </w:t>
      </w:r>
      <w:r w:rsidRPr="001D1031">
        <w:rPr>
          <w:rFonts w:ascii="Verdana" w:eastAsia="Times New Roman" w:hAnsi="Verdana" w:cs="Times New Roman"/>
          <w:lang w:val="en-CO"/>
        </w:rPr>
        <w:t>a</w:t>
      </w:r>
      <w:r w:rsidRPr="001D1031">
        <w:rPr>
          <w:rFonts w:ascii="Verdana" w:eastAsia="Times New Roman" w:hAnsi="Verdana" w:cs="Times New Roman"/>
          <w:spacing w:val="7"/>
          <w:lang w:val="en-CO"/>
        </w:rPr>
        <w:t xml:space="preserve"> </w:t>
      </w:r>
      <w:r w:rsidRPr="001D1031">
        <w:rPr>
          <w:rFonts w:ascii="Verdana" w:eastAsia="Times New Roman" w:hAnsi="Verdana" w:cs="Times New Roman"/>
          <w:lang w:val="en-CO"/>
        </w:rPr>
        <w:t>una</w:t>
      </w:r>
      <w:r w:rsidRPr="001D1031">
        <w:rPr>
          <w:rFonts w:ascii="Verdana" w:eastAsia="Times New Roman" w:hAnsi="Verdana" w:cs="Times New Roman"/>
          <w:spacing w:val="7"/>
          <w:lang w:val="en-CO"/>
        </w:rPr>
        <w:t xml:space="preserve"> </w:t>
      </w:r>
      <w:r w:rsidRPr="001D1031">
        <w:rPr>
          <w:rFonts w:ascii="Verdana" w:eastAsia="Times New Roman" w:hAnsi="Verdana" w:cs="Times New Roman"/>
          <w:i/>
          <w:iCs/>
          <w:lang w:val="en-CO"/>
        </w:rPr>
        <w:t>dependencia</w:t>
      </w:r>
      <w:r w:rsidRPr="001D1031">
        <w:rPr>
          <w:rFonts w:ascii="Verdana" w:eastAsia="Times New Roman" w:hAnsi="Verdana" w:cs="Times New Roman"/>
          <w:spacing w:val="10"/>
          <w:lang w:val="en-CO"/>
        </w:rPr>
        <w:t xml:space="preserve"> </w:t>
      </w:r>
      <w:r w:rsidRPr="001D1031">
        <w:rPr>
          <w:rFonts w:ascii="Verdana" w:eastAsia="Times New Roman" w:hAnsi="Verdana" w:cs="Times New Roman"/>
          <w:lang w:val="en-CO"/>
        </w:rPr>
        <w:t>de</w:t>
      </w:r>
      <w:r w:rsidRPr="001D1031">
        <w:rPr>
          <w:rFonts w:ascii="Verdana" w:eastAsia="Times New Roman" w:hAnsi="Verdana" w:cs="Times New Roman"/>
          <w:spacing w:val="6"/>
          <w:lang w:val="en-CO"/>
        </w:rPr>
        <w:t xml:space="preserve"> </w:t>
      </w:r>
      <w:r w:rsidRPr="001D1031">
        <w:rPr>
          <w:rFonts w:ascii="Verdana" w:eastAsia="Times New Roman" w:hAnsi="Verdana" w:cs="Times New Roman"/>
          <w:spacing w:val="-5"/>
          <w:lang w:val="en-CO"/>
        </w:rPr>
        <w:t xml:space="preserve">la </w:t>
      </w:r>
      <w:r w:rsidRPr="001D1031">
        <w:rPr>
          <w:rFonts w:ascii="Verdana" w:eastAsia="Times New Roman" w:hAnsi="Verdana" w:cs="Times New Roman"/>
          <w:lang w:val="en-CO"/>
        </w:rPr>
        <w:t>entidad o sedes, con responsabilidad para el jefe de este respecto de la orientación a quien asume la función</w:t>
      </w:r>
      <w:r w:rsidRPr="001D1031">
        <w:rPr>
          <w:rFonts w:ascii="Verdana" w:eastAsia="Times New Roman" w:hAnsi="Verdana" w:cs="Times New Roman"/>
          <w:vertAlign w:val="superscript"/>
          <w:lang w:val="en-CO"/>
        </w:rPr>
        <w:footnoteReference w:id="14"/>
      </w:r>
      <w:r w:rsidRPr="001D1031">
        <w:rPr>
          <w:rFonts w:ascii="Verdana" w:eastAsia="Times New Roman" w:hAnsi="Verdana" w:cs="Times New Roman"/>
          <w:lang w:val="en-CO"/>
        </w:rPr>
        <w:t xml:space="preserve">. A pesar de esta distinción, ambas figuras tienen el mismo objetivo descongestionar el aparato administrativo, así como servir de herramieta para facilitar y agilizar la gestión de sus asuntos, en beneficio de los administrados y en cumplimiento de los fines del Estado. </w:t>
      </w:r>
    </w:p>
    <w:p w14:paraId="3D74B50A"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Ahora bien, los centros sociales referidos en su consulta cuentan con las siguientes características: (i) se trata de organismos </w:t>
      </w:r>
      <w:r w:rsidRPr="001D1031">
        <w:rPr>
          <w:rFonts w:ascii="Verdana" w:eastAsia="Times New Roman" w:hAnsi="Verdana" w:cs="Times New Roman"/>
          <w:i/>
          <w:iCs/>
          <w:lang w:val="en-CO"/>
        </w:rPr>
        <w:t xml:space="preserve">desconcentrados </w:t>
      </w:r>
      <w:r w:rsidRPr="001D1031">
        <w:rPr>
          <w:rFonts w:ascii="Verdana" w:eastAsia="Times New Roman" w:hAnsi="Verdana" w:cs="Times New Roman"/>
          <w:lang w:val="en-CO"/>
        </w:rPr>
        <w:t xml:space="preserve">de una Entidad Estatal del orden nacional sometida al EGCAP, (ii) el director de la entidad es la máxima autoridad administrativa de los centros, (iii) se encuentran adscritos a una dirección de la entidad, (iv) son operados y administrados por funcionarios de planta de la Entidad Estatal, y (v) tienen la capacidad de celebrar contratos con recursos percibidos por las cuotas de sus afiliados. </w:t>
      </w:r>
    </w:p>
    <w:p w14:paraId="41522603"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Conforme con lo expuesto, se evidencia que los centros sociales hacen parte de la organización administrativa de la Entidad Estatal en cuestión. En este contexto, la desconcentración supone que ciertas funciones han sido asignadas a un organismo que continúa subordinado a las directivas de la entidad. Los centros son, entonces, producto de la implementación de una figura que busca la descongestión de funciones para la ejecución eficaz de las tareas que se </w:t>
      </w:r>
      <w:r w:rsidRPr="001D1031">
        <w:rPr>
          <w:rFonts w:ascii="Verdana" w:eastAsia="Times New Roman" w:hAnsi="Verdana" w:cs="Times New Roman"/>
          <w:lang w:val="en-CO"/>
        </w:rPr>
        <w:lastRenderedPageBreak/>
        <w:t xml:space="preserve">encuentran a cargo de la Administración, y no de un mecanismo que permita exceptuar la aplicación del EGCAP. </w:t>
      </w:r>
    </w:p>
    <w:p w14:paraId="078911B7"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 xml:space="preserve">Como se explicó antes, los regímenes especiales o exceptuados tienen origen en la ley. En consecuencia, la desconcentración de funciones de una Entidad Estatal sometida al EGCAP no proporciona el fundamento normativo requerido para limitar la aplicación del régimen de contratación. Al desconcentrar ciertas funciones mediante la creación de los centros sociales, la Entidad ha utilizado una figura que le permite organizar sus funciones, pero que no implica la creación de una entidad exceptuada. Teniendo en cuenta que éste no es el fin, ni el efecto jurídico, de la desconcentración de funciones, los centros sociales </w:t>
      </w:r>
      <w:r w:rsidRPr="001D1031">
        <w:rPr>
          <w:rFonts w:ascii="Verdana" w:eastAsia="Times New Roman" w:hAnsi="Verdana" w:cs="Times New Roman"/>
          <w:i/>
          <w:iCs/>
          <w:lang w:val="en-CO"/>
        </w:rPr>
        <w:t>se encuentran sometidos al régimen contractual de la Entidad Estatal a la cual están subordinados</w:t>
      </w:r>
      <w:r w:rsidRPr="001D1031">
        <w:rPr>
          <w:rFonts w:ascii="Verdana" w:eastAsia="Times New Roman" w:hAnsi="Verdana" w:cs="Times New Roman"/>
          <w:lang w:val="en-CO"/>
        </w:rPr>
        <w:t xml:space="preserve"> y de la cual forman parte, de modo que deben aplicar el EGCAP. </w:t>
      </w:r>
    </w:p>
    <w:p w14:paraId="30795E0B" w14:textId="77777777" w:rsidR="001D1031" w:rsidRPr="001D1031" w:rsidRDefault="001D1031" w:rsidP="001D1031">
      <w:pPr>
        <w:spacing w:after="120" w:line="276" w:lineRule="auto"/>
        <w:ind w:firstLine="708"/>
        <w:jc w:val="both"/>
        <w:rPr>
          <w:rFonts w:ascii="Verdana" w:eastAsia="Times New Roman" w:hAnsi="Verdana" w:cs="Times New Roman"/>
          <w:lang w:val="en-CO"/>
        </w:rPr>
      </w:pPr>
      <w:r w:rsidRPr="001D1031">
        <w:rPr>
          <w:rFonts w:ascii="Verdana" w:eastAsia="Times New Roman" w:hAnsi="Verdana" w:cs="Times New Roman"/>
          <w:lang w:val="en-CO"/>
        </w:rPr>
        <w:t>Ahora bien, es importante resaltar que l</w:t>
      </w:r>
      <w:r w:rsidRPr="001D1031">
        <w:rPr>
          <w:rFonts w:ascii="Verdana" w:eastAsia="Times New Roman" w:hAnsi="Verdana" w:cs="Arial"/>
          <w:bCs/>
          <w:lang w:val="en-CO"/>
        </w:rPr>
        <w:t>a contratación estatal se apoya en las normas de derecho civil y comercial, ya que la figura del contrato es transversal a todo el ordenamiento jurídico. En este sentido, las entidades estatales sometidas al EGCAP se rigen por lo dispuesto en el inciso primero del artículo 13 de la Ley 80 de 1993, el cual dispone que “se regirán por las disposiciones comerciales y civiles pertinentes, salvo en las materias particularmente reguladas en esta ley”. Esta idea también se reitera en el artículo 32 del EGCAP al considerar que “Son contratos estatales todos los actos jurídicos generadores de obligaciones que celebren las entidades a que se refiere el presente estatuto, previstos en el derecho privado o en disposiciones especiales, o derivados del ejercicio de la autonomía de la voluntad”, y en el artículo 40, según el cual “Las estipulaciones de los contratos serán las que de acuerdo con las normas civiles, comerciales y las previstas en esta ley, correspondan a su esencia y naturaleza”.</w:t>
      </w:r>
    </w:p>
    <w:p w14:paraId="3B198731" w14:textId="77777777" w:rsidR="001D1031" w:rsidRPr="001D1031" w:rsidRDefault="001D1031" w:rsidP="001D1031">
      <w:pPr>
        <w:spacing w:before="120" w:after="0" w:line="276" w:lineRule="auto"/>
        <w:ind w:firstLine="709"/>
        <w:jc w:val="both"/>
        <w:rPr>
          <w:rFonts w:ascii="Verdana" w:eastAsia="Times New Roman" w:hAnsi="Verdana" w:cs="Arial"/>
          <w:lang w:val="en-CO" w:eastAsia="es-ES"/>
        </w:rPr>
      </w:pPr>
      <w:r w:rsidRPr="001D1031">
        <w:rPr>
          <w:rFonts w:ascii="Verdana" w:eastAsia="Times New Roman" w:hAnsi="Verdana" w:cs="Arial"/>
          <w:lang w:val="en-CO" w:eastAsia="es-ES"/>
        </w:rPr>
        <w:t xml:space="preserve">Dentro de este marco, corresponde a la entidad determinar lo relacionado con sus sistemas de control interno en el caso concreto, pues esta cuestión excede el ámbito de competencia de esta Agencia en materia de contratación pública. </w:t>
      </w:r>
    </w:p>
    <w:p w14:paraId="5D64294F" w14:textId="77777777" w:rsidR="001D1031" w:rsidRPr="001D1031" w:rsidRDefault="001D1031" w:rsidP="001D1031">
      <w:pPr>
        <w:widowControl w:val="0"/>
        <w:autoSpaceDE w:val="0"/>
        <w:autoSpaceDN w:val="0"/>
        <w:spacing w:after="0" w:line="276" w:lineRule="auto"/>
        <w:jc w:val="both"/>
        <w:rPr>
          <w:rFonts w:ascii="Verdana" w:eastAsia="Calibri" w:hAnsi="Verdana" w:cs="Arial"/>
          <w:color w:val="000000" w:themeColor="text1"/>
          <w:lang w:val="es-ES"/>
        </w:rPr>
      </w:pPr>
    </w:p>
    <w:p w14:paraId="6691929D" w14:textId="47795A83" w:rsidR="001D1031" w:rsidRPr="007229FC" w:rsidRDefault="001D1031" w:rsidP="007229FC">
      <w:pPr>
        <w:pStyle w:val="ListParagraph"/>
        <w:numPr>
          <w:ilvl w:val="0"/>
          <w:numId w:val="16"/>
        </w:numPr>
        <w:tabs>
          <w:tab w:val="left" w:pos="142"/>
          <w:tab w:val="left" w:pos="284"/>
        </w:tabs>
        <w:spacing w:after="0" w:line="276" w:lineRule="auto"/>
        <w:jc w:val="both"/>
        <w:rPr>
          <w:rFonts w:ascii="Verdana" w:eastAsia="Century Gothic" w:hAnsi="Verdana" w:cs="Century Gothic"/>
          <w:b/>
          <w:bCs/>
          <w:color w:val="000000" w:themeColor="text1"/>
        </w:rPr>
      </w:pPr>
      <w:r w:rsidRPr="007229FC">
        <w:rPr>
          <w:rFonts w:ascii="Verdana" w:eastAsia="Century Gothic" w:hAnsi="Verdana" w:cs="Century Gothic"/>
          <w:b/>
          <w:bCs/>
          <w:color w:val="000000" w:themeColor="text1"/>
        </w:rPr>
        <w:t>Referencias normativas, jurisprudenciales y otras fuentes:</w:t>
      </w:r>
    </w:p>
    <w:p w14:paraId="79B285D8"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D1031" w:rsidRPr="001D1031" w14:paraId="0832B686" w14:textId="77777777" w:rsidTr="00BA0327">
        <w:trPr>
          <w:trHeight w:val="313"/>
        </w:trPr>
        <w:tc>
          <w:tcPr>
            <w:tcW w:w="8647" w:type="dxa"/>
          </w:tcPr>
          <w:p w14:paraId="50C5B67D"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Constitución Política, artículos 24, 209, 267, 352.</w:t>
            </w:r>
          </w:p>
          <w:p w14:paraId="4BF6BF89"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lastRenderedPageBreak/>
              <w:t>Ley 80 de 1993, artículos 2, 13, 24, 32 y 40.</w:t>
            </w:r>
          </w:p>
          <w:p w14:paraId="541EDAB6"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Ley 1150 de 2007, artículo 2.</w:t>
            </w:r>
          </w:p>
          <w:p w14:paraId="3EB96031"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Ley 489 de 1998, artículos 8 y 9.</w:t>
            </w:r>
          </w:p>
          <w:p w14:paraId="68AC1D1A"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Ley 1150 de 2007, artículo 13.</w:t>
            </w:r>
          </w:p>
          <w:p w14:paraId="2DE55E77"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Corte Constitucional, Sentencia C-561 de 1999, M.P. Dr. Alfredo Beltrán Sierra.</w:t>
            </w:r>
          </w:p>
          <w:p w14:paraId="5365C3E9"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Corte Constitucional, Sentencia C-036 de 2005. M.P. Humberto Antonio Sierra Porto.</w:t>
            </w:r>
          </w:p>
          <w:p w14:paraId="0219A2D5"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Consejo de Estado. Sección Tercera, auto del 30 de enero de 2008, Rad. 32.867, M.P. Mauricio Fajardo Gómez.</w:t>
            </w:r>
          </w:p>
          <w:p w14:paraId="2C88690C" w14:textId="77777777" w:rsidR="001D1031" w:rsidRPr="001D1031" w:rsidRDefault="001D1031" w:rsidP="001D1031">
            <w:pPr>
              <w:widowControl w:val="0"/>
              <w:numPr>
                <w:ilvl w:val="0"/>
                <w:numId w:val="17"/>
              </w:numPr>
              <w:tabs>
                <w:tab w:val="left" w:pos="817"/>
              </w:tabs>
              <w:autoSpaceDE w:val="0"/>
              <w:autoSpaceDN w:val="0"/>
              <w:spacing w:before="3" w:line="357" w:lineRule="auto"/>
              <w:ind w:right="101"/>
              <w:jc w:val="both"/>
              <w:rPr>
                <w:rFonts w:ascii="Verdana" w:eastAsia="Verdana" w:hAnsi="Verdana" w:cs="Verdana"/>
                <w:lang w:val="es-ES"/>
              </w:rPr>
            </w:pPr>
            <w:r w:rsidRPr="001D1031">
              <w:rPr>
                <w:rFonts w:ascii="Verdana" w:eastAsia="Verdana" w:hAnsi="Verdana" w:cs="Verdana"/>
                <w:lang w:val="es-ES"/>
              </w:rPr>
              <w:t>Consejo de Estado. Sección Tercera. Sentencia del 4 de abril de 2002, C.P. Alier E. Hernández Enríquez, Rad. 1999-0290-01 (17.244).</w:t>
            </w:r>
          </w:p>
        </w:tc>
      </w:tr>
    </w:tbl>
    <w:p w14:paraId="1C90EFE6"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p>
    <w:p w14:paraId="7F500D63" w14:textId="77777777" w:rsidR="001D1031" w:rsidRPr="001D1031" w:rsidRDefault="001D1031" w:rsidP="001D1031">
      <w:pPr>
        <w:numPr>
          <w:ilvl w:val="0"/>
          <w:numId w:val="16"/>
        </w:numPr>
        <w:tabs>
          <w:tab w:val="left" w:pos="142"/>
          <w:tab w:val="left" w:pos="284"/>
        </w:tabs>
        <w:spacing w:after="0" w:line="276" w:lineRule="auto"/>
        <w:jc w:val="both"/>
        <w:rPr>
          <w:rFonts w:ascii="Verdana" w:eastAsia="Century Gothic" w:hAnsi="Verdana" w:cs="Century Gothic"/>
          <w:b/>
          <w:bCs/>
          <w:color w:val="000000" w:themeColor="text1"/>
          <w:lang w:val="es-ES"/>
        </w:rPr>
      </w:pPr>
      <w:r w:rsidRPr="001D1031">
        <w:rPr>
          <w:rFonts w:ascii="Verdana" w:eastAsia="Century Gothic" w:hAnsi="Verdana" w:cs="Century Gothic"/>
          <w:b/>
          <w:bCs/>
          <w:color w:val="000000" w:themeColor="text1"/>
          <w:lang w:val="es-ES"/>
        </w:rPr>
        <w:t>Doctrina de la Agencia Nacional de Contratación Pública:</w:t>
      </w:r>
    </w:p>
    <w:p w14:paraId="3D1E9011"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p>
    <w:p w14:paraId="5889B4D1"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shd w:val="clear" w:color="auto" w:fill="FFFFFF"/>
          <w:lang w:val="en-CO"/>
        </w:rPr>
      </w:pPr>
      <w:r w:rsidRPr="001D1031">
        <w:rPr>
          <w:rFonts w:ascii="Verdana" w:eastAsia="Times New Roman" w:hAnsi="Verdana" w:cs="Arial"/>
          <w:shd w:val="clear" w:color="auto" w:fill="FFFFFF"/>
          <w:lang w:val="es-ES"/>
        </w:rPr>
        <w:t>La Agencia Nacional de Contratación Pública – Colombia Compra Eficiente se ha pronunciado</w:t>
      </w:r>
      <w:r w:rsidRPr="001D1031">
        <w:rPr>
          <w:rFonts w:ascii="Verdana" w:eastAsia="Times New Roman" w:hAnsi="Verdana" w:cs="Arial"/>
          <w:shd w:val="clear" w:color="auto" w:fill="FFFFFF"/>
          <w:lang w:val="en-CO"/>
        </w:rPr>
        <w:t xml:space="preserve"> sobre el ámbito de aplicación del EGCAP y las entidades exceptuadas en los conceptos C-147 del 17 de marzo de 2020, C-157 del 17 de marzo de 2020, C-191 del 16 de marzo de 2020 y C-168 del 31 de marzo de 2020, C-158 del 3 de abril de 2020, C-717 del 21 de enero de 2022, C-004 del 22 de enero de 2024, C-459 del 18 de septiembre de 2024 y C-863 de 17 de diciembre de 2024, C-998 de 18 de diciembre 2024 y </w:t>
      </w:r>
      <w:r w:rsidRPr="001D1031">
        <w:rPr>
          <w:rFonts w:ascii="Verdana" w:eastAsia="Times New Roman" w:hAnsi="Verdana" w:cs="Times New Roman"/>
          <w:lang w:val="en-CO"/>
        </w:rPr>
        <w:t>C-196 del 25 de marzo de 2025,</w:t>
      </w:r>
      <w:r w:rsidRPr="001D1031">
        <w:rPr>
          <w:rFonts w:ascii="Verdana" w:eastAsia="Times New Roman" w:hAnsi="Verdana" w:cs="Arial"/>
          <w:shd w:val="clear" w:color="auto" w:fill="FFFFFF"/>
          <w:lang w:val="en-CO"/>
        </w:rPr>
        <w:t xml:space="preserve"> entre otros.</w:t>
      </w:r>
      <w:r w:rsidRPr="001D1031">
        <w:rPr>
          <w:rFonts w:ascii="Verdana" w:eastAsia="Times New Roman" w:hAnsi="Verdana" w:cs="Times New Roman"/>
          <w:lang w:val="en-CO"/>
        </w:rPr>
        <w:t xml:space="preserve"> Estos </w:t>
      </w:r>
      <w:r w:rsidRPr="001D1031">
        <w:rPr>
          <w:rFonts w:ascii="Verdana" w:eastAsia="Times New Roman" w:hAnsi="Verdana" w:cs="Arial"/>
          <w:shd w:val="clear" w:color="auto" w:fill="FFFFFF"/>
          <w:lang w:val="en-CO"/>
        </w:rPr>
        <w:t>se encuentran disponibles</w:t>
      </w:r>
      <w:r w:rsidRPr="001D1031">
        <w:rPr>
          <w:rFonts w:ascii="Verdana" w:eastAsia="Times New Roman" w:hAnsi="Verdana" w:cs="Arial"/>
          <w:color w:val="000000" w:themeColor="text1"/>
          <w:shd w:val="clear" w:color="auto" w:fill="FFFFFF"/>
          <w:lang w:val="es-ES"/>
        </w:rPr>
        <w:t xml:space="preserve"> para consulta en el Sistema de relatoría de la Agencia, al cual puede accederse a través del siguiente enlace: </w:t>
      </w:r>
      <w:hyperlink r:id="rId11" w:history="1">
        <w:r w:rsidRPr="001D1031">
          <w:rPr>
            <w:rFonts w:ascii="Verdana" w:eastAsia="Times New Roman" w:hAnsi="Verdana" w:cs="Arial"/>
            <w:color w:val="0000FF"/>
            <w:u w:val="single"/>
            <w:shd w:val="clear" w:color="auto" w:fill="FFFFFF"/>
            <w:lang w:val="es-ES"/>
          </w:rPr>
          <w:t>https://relatoria.colombiacompra.gov.co/busqueda/conceptos</w:t>
        </w:r>
      </w:hyperlink>
      <w:r w:rsidRPr="001D1031">
        <w:rPr>
          <w:rFonts w:ascii="Verdana" w:eastAsia="Times New Roman" w:hAnsi="Verdana" w:cs="Times New Roman"/>
          <w:color w:val="0000FF"/>
          <w:u w:val="single"/>
          <w:lang w:val="es-ES"/>
        </w:rPr>
        <w:t>.</w:t>
      </w:r>
      <w:r w:rsidRPr="001D1031">
        <w:rPr>
          <w:rFonts w:ascii="Verdana" w:eastAsia="Times New Roman" w:hAnsi="Verdana" w:cs="Arial"/>
          <w:color w:val="000000" w:themeColor="text1"/>
          <w:shd w:val="clear" w:color="auto" w:fill="FFFFFF"/>
          <w:lang w:val="es-ES"/>
        </w:rPr>
        <w:t xml:space="preserve">  </w:t>
      </w:r>
    </w:p>
    <w:p w14:paraId="35EA8B32"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shd w:val="clear" w:color="auto" w:fill="FFFFFF"/>
          <w:lang w:val="es-ES"/>
        </w:rPr>
      </w:pPr>
    </w:p>
    <w:p w14:paraId="01EACBC5"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r w:rsidRPr="001D1031">
        <w:rPr>
          <w:rFonts w:ascii="Verdana" w:eastAsia="Times New Roman" w:hAnsi="Verdana" w:cs="Times New Roman"/>
          <w:lang w:val="es-ES"/>
        </w:rPr>
        <w:t>Le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Original URL: https://www.colombiacompra.gov.co/manuales-guias-y-pliegos-tipo/manuales-y-guias/cartilla-para-incentivar-y-fortalecer-el-acceso-las. Click or tap if you trust this link." w:history="1">
        <w:r w:rsidRPr="001D1031">
          <w:rPr>
            <w:rFonts w:ascii="Verdana" w:eastAsia="Times New Roman" w:hAnsi="Verdana" w:cs="Arial"/>
            <w:color w:val="0000FF"/>
            <w:u w:val="single"/>
            <w:shd w:val="clear" w:color="auto" w:fill="FFFFFF"/>
            <w:lang w:val="es-ES"/>
          </w:rPr>
          <w:t xml:space="preserve">Cartilla para incentivar y fortalecer el acceso a las compras y </w:t>
        </w:r>
        <w:r w:rsidRPr="001D1031">
          <w:rPr>
            <w:rFonts w:ascii="Verdana" w:eastAsia="Times New Roman" w:hAnsi="Verdana" w:cs="Arial"/>
            <w:color w:val="0000FF"/>
            <w:u w:val="single"/>
            <w:shd w:val="clear" w:color="auto" w:fill="FFFFFF"/>
            <w:lang w:val="es-ES"/>
          </w:rPr>
          <w:lastRenderedPageBreak/>
          <w:t>contratación pública de los pueblos y comunidades étnicas en Colombia | Colombia Compra Eficiente | Agencia Nacional de Contratación Pública</w:t>
        </w:r>
      </w:hyperlink>
    </w:p>
    <w:p w14:paraId="2797E670"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p>
    <w:p w14:paraId="09700E11"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r w:rsidRPr="001D1031">
        <w:rPr>
          <w:rFonts w:ascii="Verdana" w:eastAsia="Times New Roman" w:hAnsi="Verdana" w:cs="Arial"/>
          <w:color w:val="000000" w:themeColor="text1"/>
          <w:shd w:val="clear" w:color="auto" w:fill="FFFFFF"/>
          <w:lang w:val="es-ES"/>
        </w:rPr>
        <w:t>De otra parte, informamos que, con el objetivo de garantizar un conocimiento adecuado de las </w:t>
      </w:r>
      <w:r w:rsidRPr="001D1031">
        <w:rPr>
          <w:rFonts w:ascii="Verdana" w:eastAsia="Times New Roman" w:hAnsi="Verdana" w:cs="Arial"/>
          <w:b/>
          <w:color w:val="000000" w:themeColor="text1"/>
          <w:shd w:val="clear" w:color="auto" w:fill="FFFFFF"/>
          <w:lang w:val="es-ES"/>
        </w:rPr>
        <w:t>modificaciones y/o actualizaciones realizadas a los Documentos Tipo</w:t>
      </w:r>
      <w:r w:rsidRPr="001D1031">
        <w:rPr>
          <w:rFonts w:ascii="Verdana" w:eastAsia="Times New Roman" w:hAnsi="Verdana" w:cs="Arial"/>
          <w:color w:val="000000" w:themeColor="text1"/>
          <w:shd w:val="clear" w:color="auto" w:fill="FFFFFF"/>
          <w:lang w:val="es-ES"/>
        </w:rPr>
        <w:t>, hemos programado una serie de </w:t>
      </w:r>
      <w:r w:rsidRPr="001D1031">
        <w:rPr>
          <w:rFonts w:ascii="Verdana" w:eastAsia="Times New Roman" w:hAnsi="Verdana" w:cs="Arial"/>
          <w:b/>
          <w:color w:val="000000" w:themeColor="text1"/>
          <w:shd w:val="clear" w:color="auto" w:fill="FFFFFF"/>
          <w:lang w:val="es-ES"/>
        </w:rPr>
        <w:t>capacitaciones </w:t>
      </w:r>
      <w:r w:rsidRPr="001D1031">
        <w:rPr>
          <w:rFonts w:ascii="Verdana" w:eastAsia="Times New Roman" w:hAnsi="Verdana" w:cs="Arial"/>
          <w:color w:val="000000" w:themeColor="text1"/>
          <w:shd w:val="clear" w:color="auto" w:fill="FFFFFF"/>
          <w:lang w:val="es-ES"/>
        </w:rPr>
        <w:t>dirigidas a todos los actores involucrados en los procesos de selección. Podrá conocer la programación y realizar su inscripción a estas capacitaciones a través del siguiente enlace: </w:t>
      </w:r>
      <w:hyperlink r:id="rId13" w:tgtFrame="_blank" w:tooltip="Original URL: https://www.colombiacompra.gov.co/ciudadanos/calendario. Click or tap if you trust this link." w:history="1">
        <w:r w:rsidRPr="001D1031">
          <w:rPr>
            <w:rFonts w:ascii="Verdana" w:eastAsia="Times New Roman" w:hAnsi="Verdana" w:cs="Arial"/>
            <w:color w:val="0000FF"/>
            <w:u w:val="single"/>
            <w:shd w:val="clear" w:color="auto" w:fill="FFFFFF"/>
            <w:lang w:val="es-ES"/>
          </w:rPr>
          <w:t>Calendario | Colombia Compra Eficiente | Agencia Nacional de Contratación Pública</w:t>
        </w:r>
      </w:hyperlink>
    </w:p>
    <w:p w14:paraId="2AD84F36"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p>
    <w:p w14:paraId="47638476"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r w:rsidRPr="001D1031">
        <w:rPr>
          <w:rFonts w:ascii="Verdana" w:eastAsia="Times New Roman" w:hAnsi="Verdana" w:cs="Arial"/>
          <w:color w:val="000000" w:themeColor="text1"/>
          <w:shd w:val="clear" w:color="auto" w:fill="FFFFFF"/>
          <w:lang w:val="es-ES"/>
        </w:rPr>
        <w:t>También, le contamos que ya publicamos </w:t>
      </w:r>
      <w:r w:rsidRPr="001D1031">
        <w:rPr>
          <w:rFonts w:ascii="Verdana" w:eastAsia="Times New Roman" w:hAnsi="Verdana" w:cs="Arial"/>
          <w:b/>
          <w:color w:val="000000" w:themeColor="text1"/>
          <w:shd w:val="clear" w:color="auto" w:fill="FFFFFF"/>
          <w:lang w:val="es-ES"/>
        </w:rPr>
        <w:t>la nueva Guía de Contratación Pública Sostenible y Socialmente Responsable</w:t>
      </w:r>
      <w:r w:rsidRPr="001D1031">
        <w:rPr>
          <w:rFonts w:ascii="Verdana" w:eastAsia="Times New Roman" w:hAnsi="Verdana" w:cs="Arial"/>
          <w:color w:val="000000" w:themeColor="text1"/>
          <w:shd w:val="clear" w:color="auto" w:fill="FFFFFF"/>
          <w:lang w:val="es-ES"/>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Original URL: https://www.colombiacompra.gov.co/manuales-guias-y-pliegos-tipo/manuales-y-guias/guia-de-contratacion-publica-sostenible-y-socialmente. Click or tap if you trust this link." w:history="1">
        <w:r w:rsidRPr="001D1031">
          <w:rPr>
            <w:rFonts w:ascii="Verdana" w:eastAsia="Times New Roman" w:hAnsi="Verdana" w:cs="Arial"/>
            <w:color w:val="0000FF"/>
            <w:u w:val="single"/>
            <w:shd w:val="clear" w:color="auto" w:fill="FFFFFF"/>
            <w:lang w:val="es-ES"/>
          </w:rPr>
          <w:t>Guía de Contratación Pública Sostenible y Socialmente Responsable | Colombia Compra Eficiente | Agencia Nacional de Contratación Pública</w:t>
        </w:r>
      </w:hyperlink>
    </w:p>
    <w:p w14:paraId="4FDD8566"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FF0000"/>
          <w:shd w:val="clear" w:color="auto" w:fill="FFFFFF"/>
          <w:lang w:val="es-ES"/>
        </w:rPr>
      </w:pPr>
    </w:p>
    <w:p w14:paraId="00536E6E" w14:textId="77777777" w:rsidR="001D1031" w:rsidRPr="001D1031" w:rsidRDefault="001D1031" w:rsidP="001D1031">
      <w:pPr>
        <w:spacing w:after="0" w:line="240" w:lineRule="auto"/>
        <w:jc w:val="both"/>
        <w:rPr>
          <w:rFonts w:ascii="Verdana" w:eastAsia="Times New Roman" w:hAnsi="Verdana" w:cs="Times New Roman"/>
          <w:lang w:val="es-ES"/>
        </w:rPr>
      </w:pPr>
      <w:r w:rsidRPr="001D1031">
        <w:rPr>
          <w:rFonts w:ascii="Verdana" w:eastAsia="Times New Roman" w:hAnsi="Verdana" w:cs="Times New Roman"/>
          <w:lang w:val="es-ES"/>
        </w:rPr>
        <w:t xml:space="preserve">Por último, lo invitamos a seguirnos en las redes sociales en las cuales se difunde información institucional: </w:t>
      </w:r>
    </w:p>
    <w:p w14:paraId="1BC0134E" w14:textId="77777777" w:rsidR="001D1031" w:rsidRPr="001D1031" w:rsidRDefault="001D1031" w:rsidP="001D1031">
      <w:pPr>
        <w:spacing w:after="0" w:line="240" w:lineRule="auto"/>
        <w:jc w:val="both"/>
        <w:rPr>
          <w:rFonts w:ascii="Verdana" w:eastAsia="Times New Roman" w:hAnsi="Verdana" w:cs="Times New Roman"/>
          <w:lang w:val="es-ES"/>
        </w:rPr>
      </w:pPr>
    </w:p>
    <w:p w14:paraId="32B16AA9" w14:textId="77777777" w:rsidR="001D1031" w:rsidRPr="001D1031" w:rsidRDefault="001D1031" w:rsidP="001D1031">
      <w:pPr>
        <w:spacing w:after="0" w:line="240" w:lineRule="auto"/>
        <w:jc w:val="both"/>
        <w:rPr>
          <w:rFonts w:ascii="Verdana" w:eastAsia="Times New Roman" w:hAnsi="Verdana" w:cs="Times New Roman"/>
          <w:lang w:val="es-ES"/>
        </w:rPr>
      </w:pPr>
      <w:r w:rsidRPr="001D1031">
        <w:rPr>
          <w:rFonts w:ascii="Verdana" w:eastAsia="Times New Roman" w:hAnsi="Verdana" w:cs="Times New Roman"/>
          <w:lang w:val="es-ES"/>
        </w:rPr>
        <w:t xml:space="preserve">Twitter: </w:t>
      </w:r>
      <w:r w:rsidRPr="001D1031">
        <w:rPr>
          <w:rFonts w:ascii="Verdana" w:eastAsia="Times New Roman" w:hAnsi="Verdana" w:cs="Arial"/>
          <w:color w:val="0000FF"/>
          <w:u w:val="single"/>
          <w:shd w:val="clear" w:color="auto" w:fill="FFFFFF"/>
          <w:lang w:val="es-ES"/>
        </w:rPr>
        <w:t>@colombiacompra</w:t>
      </w:r>
      <w:r w:rsidRPr="001D1031">
        <w:rPr>
          <w:rFonts w:ascii="Verdana" w:eastAsia="Times New Roman" w:hAnsi="Verdana" w:cs="Times New Roman"/>
          <w:color w:val="4472C4" w:themeColor="accent1"/>
          <w:lang w:val="es-ES"/>
        </w:rPr>
        <w:t xml:space="preserve"> </w:t>
      </w:r>
    </w:p>
    <w:p w14:paraId="5B5596A8" w14:textId="77777777" w:rsidR="001D1031" w:rsidRPr="001D1031" w:rsidRDefault="001D1031" w:rsidP="001D1031">
      <w:pPr>
        <w:spacing w:after="0" w:line="240" w:lineRule="auto"/>
        <w:jc w:val="both"/>
        <w:rPr>
          <w:rFonts w:ascii="Verdana" w:eastAsia="Times New Roman" w:hAnsi="Verdana" w:cs="Times New Roman"/>
          <w:lang w:val="es-ES"/>
        </w:rPr>
      </w:pPr>
      <w:r w:rsidRPr="001D1031">
        <w:rPr>
          <w:rFonts w:ascii="Verdana" w:eastAsia="Times New Roman" w:hAnsi="Verdana" w:cs="Times New Roman"/>
          <w:lang w:val="es-ES"/>
        </w:rPr>
        <w:t xml:space="preserve">Facebook: </w:t>
      </w:r>
      <w:proofErr w:type="spellStart"/>
      <w:r w:rsidRPr="001D1031">
        <w:rPr>
          <w:rFonts w:ascii="Verdana" w:eastAsia="Times New Roman" w:hAnsi="Verdana" w:cs="Arial"/>
          <w:color w:val="0000FF"/>
          <w:u w:val="single"/>
          <w:shd w:val="clear" w:color="auto" w:fill="FFFFFF"/>
          <w:lang w:val="es-ES"/>
        </w:rPr>
        <w:t>ColombiaCompraEficiente</w:t>
      </w:r>
      <w:proofErr w:type="spellEnd"/>
    </w:p>
    <w:p w14:paraId="7D818CE2" w14:textId="77777777" w:rsidR="001D1031" w:rsidRPr="001D1031" w:rsidRDefault="001D1031" w:rsidP="001D1031">
      <w:pPr>
        <w:spacing w:after="0" w:line="240" w:lineRule="auto"/>
        <w:jc w:val="both"/>
        <w:rPr>
          <w:rFonts w:ascii="Verdana" w:eastAsia="Times New Roman" w:hAnsi="Verdana" w:cs="Times New Roman"/>
          <w:lang w:val="es-ES"/>
        </w:rPr>
      </w:pPr>
      <w:r w:rsidRPr="001D1031">
        <w:rPr>
          <w:rFonts w:ascii="Verdana" w:eastAsia="Times New Roman" w:hAnsi="Verdana" w:cs="Times New Roman"/>
          <w:lang w:val="es-ES"/>
        </w:rPr>
        <w:t xml:space="preserve">LinkedIn: </w:t>
      </w:r>
      <w:r w:rsidRPr="001D1031">
        <w:rPr>
          <w:rFonts w:ascii="Verdana" w:eastAsia="Times New Roman" w:hAnsi="Verdana" w:cs="Arial"/>
          <w:color w:val="0000FF"/>
          <w:u w:val="single"/>
          <w:shd w:val="clear" w:color="auto" w:fill="FFFFFF"/>
          <w:lang w:val="es-ES"/>
        </w:rPr>
        <w:t xml:space="preserve">Agencia Nacional de Contratación Pública - Colombia Compra Eficiente </w:t>
      </w:r>
      <w:r w:rsidRPr="001D1031">
        <w:rPr>
          <w:rFonts w:ascii="Verdana" w:eastAsia="Times New Roman" w:hAnsi="Verdana" w:cs="Times New Roman"/>
          <w:lang w:val="es-ES"/>
        </w:rPr>
        <w:t xml:space="preserve">Instagram: </w:t>
      </w:r>
      <w:r w:rsidRPr="001D1031">
        <w:rPr>
          <w:rFonts w:ascii="Verdana" w:eastAsia="Times New Roman" w:hAnsi="Verdana" w:cs="Arial"/>
          <w:color w:val="0000FF"/>
          <w:u w:val="single"/>
          <w:shd w:val="clear" w:color="auto" w:fill="FFFFFF"/>
          <w:lang w:val="es-ES"/>
        </w:rPr>
        <w:t>@colombiacompraeficiente_cce</w:t>
      </w:r>
    </w:p>
    <w:p w14:paraId="6E06C2D8"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p>
    <w:p w14:paraId="146DC558"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r w:rsidRPr="001D1031">
        <w:rPr>
          <w:rFonts w:ascii="Verdana" w:eastAsia="Times New Roman"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2387199" w14:textId="77777777" w:rsidR="001D1031" w:rsidRPr="001D1031" w:rsidRDefault="001D1031" w:rsidP="001D1031">
      <w:pPr>
        <w:widowControl w:val="0"/>
        <w:autoSpaceDE w:val="0"/>
        <w:autoSpaceDN w:val="0"/>
        <w:spacing w:after="0" w:line="276" w:lineRule="auto"/>
        <w:jc w:val="both"/>
        <w:rPr>
          <w:rFonts w:ascii="Verdana" w:eastAsia="Times New Roman" w:hAnsi="Verdana" w:cs="Arial"/>
          <w:color w:val="000000" w:themeColor="text1"/>
          <w:lang w:val="es-ES"/>
        </w:rPr>
      </w:pPr>
    </w:p>
    <w:p w14:paraId="5A6AD000" w14:textId="2631B7B6" w:rsidR="001D1031" w:rsidRDefault="001D1031" w:rsidP="001D1031">
      <w:pPr>
        <w:spacing w:after="0" w:line="240" w:lineRule="auto"/>
        <w:rPr>
          <w:rFonts w:ascii="Verdana" w:eastAsia="Times New Roman" w:hAnsi="Verdana" w:cs="Arial"/>
          <w:color w:val="000000" w:themeColor="text1"/>
          <w:lang w:val="es-ES" w:eastAsia="es-CO"/>
        </w:rPr>
      </w:pPr>
      <w:r w:rsidRPr="001D1031">
        <w:rPr>
          <w:rFonts w:ascii="Verdana" w:eastAsia="Times New Roman" w:hAnsi="Verdana" w:cs="Arial"/>
          <w:color w:val="000000" w:themeColor="text1"/>
          <w:lang w:val="es-ES" w:eastAsia="es-CO"/>
        </w:rPr>
        <w:t xml:space="preserve">Atentamente, </w:t>
      </w:r>
    </w:p>
    <w:p w14:paraId="5BC98620" w14:textId="50E77B10" w:rsidR="00097831" w:rsidRPr="001D1031" w:rsidRDefault="00097831" w:rsidP="00097831">
      <w:pPr>
        <w:spacing w:after="0" w:line="240" w:lineRule="auto"/>
        <w:jc w:val="center"/>
        <w:rPr>
          <w:rFonts w:ascii="Verdana" w:eastAsia="Times New Roman" w:hAnsi="Verdana" w:cs="Arial"/>
          <w:color w:val="000000" w:themeColor="text1"/>
          <w:lang w:val="es-ES" w:eastAsia="es-CO"/>
        </w:rPr>
      </w:pPr>
      <w:r w:rsidRPr="002C3AD6">
        <w:rPr>
          <w:rFonts w:ascii="Century Gothic" w:hAnsi="Century Gothic"/>
          <w:noProof/>
        </w:rPr>
        <w:lastRenderedPageBreak/>
        <w:drawing>
          <wp:inline distT="0" distB="0" distL="0" distR="0" wp14:anchorId="5B68F35F" wp14:editId="644D663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4EBA6C89" w14:textId="77777777" w:rsidR="001D1031" w:rsidRPr="001D1031" w:rsidRDefault="001D1031" w:rsidP="001D1031">
      <w:pPr>
        <w:spacing w:after="0" w:line="276" w:lineRule="auto"/>
        <w:jc w:val="center"/>
        <w:rPr>
          <w:rFonts w:ascii="Verdana" w:eastAsia="Times New Roman" w:hAnsi="Verdana" w:cs="Arial"/>
          <w:color w:val="000000" w:themeColor="text1"/>
          <w:sz w:val="24"/>
          <w:szCs w:val="24"/>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D1031" w:rsidRPr="001D1031" w14:paraId="24188183" w14:textId="77777777" w:rsidTr="00BA0327">
        <w:trPr>
          <w:trHeight w:val="315"/>
        </w:trPr>
        <w:tc>
          <w:tcPr>
            <w:tcW w:w="893" w:type="dxa"/>
            <w:vAlign w:val="center"/>
            <w:hideMark/>
          </w:tcPr>
          <w:p w14:paraId="60E2AA1F" w14:textId="77777777" w:rsidR="001D1031" w:rsidRPr="001D1031" w:rsidRDefault="001D1031" w:rsidP="001D1031">
            <w:pPr>
              <w:contextualSpacing/>
              <w:rPr>
                <w:rFonts w:ascii="Verdana" w:eastAsia="Times New Roman" w:hAnsi="Verdana" w:cs="Arial"/>
                <w:sz w:val="16"/>
                <w:szCs w:val="16"/>
                <w:lang w:val="es-ES" w:eastAsia="es-ES"/>
              </w:rPr>
            </w:pPr>
            <w:r w:rsidRPr="001D1031">
              <w:rPr>
                <w:rFonts w:ascii="Verdana" w:eastAsia="Times New Roman"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A545BE" w14:textId="77777777" w:rsidR="001D1031" w:rsidRPr="001D1031" w:rsidRDefault="001D1031" w:rsidP="001D1031">
            <w:pPr>
              <w:contextualSpacing/>
              <w:rPr>
                <w:rFonts w:ascii="Verdana" w:eastAsia="Arial" w:hAnsi="Verdana" w:cs="Arial"/>
                <w:color w:val="000000" w:themeColor="text1"/>
                <w:sz w:val="16"/>
                <w:szCs w:val="16"/>
                <w:lang w:val="es-ES"/>
              </w:rPr>
            </w:pPr>
            <w:r w:rsidRPr="001D1031">
              <w:rPr>
                <w:rFonts w:ascii="Verdana" w:eastAsia="Arial" w:hAnsi="Verdana" w:cs="Arial"/>
                <w:color w:val="000000" w:themeColor="text1"/>
                <w:sz w:val="16"/>
                <w:szCs w:val="16"/>
                <w:lang w:val="es-ES"/>
              </w:rPr>
              <w:t>Anamaría Bonilla Prieto</w:t>
            </w:r>
          </w:p>
          <w:p w14:paraId="49718C19" w14:textId="77777777" w:rsidR="001D1031" w:rsidRPr="001D1031" w:rsidRDefault="001D1031" w:rsidP="001D1031">
            <w:pPr>
              <w:contextualSpacing/>
              <w:rPr>
                <w:rFonts w:ascii="Verdana" w:eastAsia="Arial" w:hAnsi="Verdana" w:cs="Arial"/>
                <w:sz w:val="16"/>
                <w:szCs w:val="16"/>
                <w:lang w:val="es-ES"/>
              </w:rPr>
            </w:pPr>
            <w:r w:rsidRPr="001D1031">
              <w:rPr>
                <w:rFonts w:ascii="Verdana" w:eastAsia="Arial" w:hAnsi="Verdana" w:cs="Arial"/>
                <w:color w:val="000000" w:themeColor="text1"/>
                <w:sz w:val="16"/>
                <w:szCs w:val="16"/>
                <w:lang w:val="es-ES"/>
              </w:rPr>
              <w:t xml:space="preserve">Contratista de la Subdirección </w:t>
            </w:r>
            <w:r w:rsidRPr="001D1031">
              <w:rPr>
                <w:rFonts w:ascii="Verdana" w:eastAsia="Arial" w:hAnsi="Verdana" w:cs="Arial"/>
                <w:sz w:val="16"/>
                <w:szCs w:val="16"/>
                <w:lang w:val="es-ES"/>
              </w:rPr>
              <w:t>de Gestión Contractual</w:t>
            </w:r>
          </w:p>
        </w:tc>
      </w:tr>
      <w:tr w:rsidR="001D1031" w:rsidRPr="001D1031" w14:paraId="7C640D5C" w14:textId="77777777" w:rsidTr="00BA0327">
        <w:trPr>
          <w:trHeight w:val="330"/>
        </w:trPr>
        <w:tc>
          <w:tcPr>
            <w:tcW w:w="893" w:type="dxa"/>
            <w:vAlign w:val="center"/>
            <w:hideMark/>
          </w:tcPr>
          <w:p w14:paraId="5B2D3DAE" w14:textId="77777777" w:rsidR="001D1031" w:rsidRPr="001D1031" w:rsidRDefault="001D1031" w:rsidP="001D1031">
            <w:pPr>
              <w:contextualSpacing/>
              <w:rPr>
                <w:rFonts w:ascii="Verdana" w:eastAsia="Times New Roman" w:hAnsi="Verdana" w:cs="Arial"/>
                <w:sz w:val="16"/>
                <w:szCs w:val="16"/>
                <w:lang w:val="es-ES" w:eastAsia="es-ES"/>
              </w:rPr>
            </w:pPr>
            <w:r w:rsidRPr="001D1031">
              <w:rPr>
                <w:rFonts w:ascii="Verdana" w:eastAsia="Times New Roman"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A413CD" w14:textId="4A95B0BA" w:rsidR="001D1031" w:rsidRPr="001D1031" w:rsidRDefault="001D1031" w:rsidP="001D1031">
            <w:pPr>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Juan Carlos</w:t>
            </w:r>
            <w:r w:rsidR="00F02BA0">
              <w:rPr>
                <w:rFonts w:ascii="Verdana" w:eastAsia="Times New Roman" w:hAnsi="Verdana" w:cs="Arial"/>
                <w:sz w:val="16"/>
                <w:szCs w:val="16"/>
                <w:lang w:val="es-ES" w:eastAsia="es-ES_tradnl"/>
              </w:rPr>
              <w:t xml:space="preserve"> González </w:t>
            </w:r>
          </w:p>
          <w:p w14:paraId="3E988646" w14:textId="77777777" w:rsidR="001D1031" w:rsidRPr="001D1031" w:rsidRDefault="001D1031" w:rsidP="001D1031">
            <w:pPr>
              <w:contextualSpacing/>
              <w:textAlignment w:val="baseline"/>
              <w:rPr>
                <w:rFonts w:ascii="Verdana" w:eastAsia="Times New Roman" w:hAnsi="Verdana" w:cs="Segoe UI"/>
                <w:sz w:val="16"/>
                <w:szCs w:val="16"/>
                <w:lang w:val="es-ES" w:eastAsia="es-CO"/>
              </w:rPr>
            </w:pPr>
            <w:r w:rsidRPr="001D1031">
              <w:rPr>
                <w:rFonts w:ascii="Verdana" w:eastAsia="Times New Roman" w:hAnsi="Verdana" w:cs="Arial"/>
                <w:sz w:val="16"/>
                <w:szCs w:val="16"/>
                <w:lang w:val="es-ES" w:eastAsia="es-CO"/>
              </w:rPr>
              <w:t>Contratista de la Subdirección de Gestión Contractual </w:t>
            </w:r>
          </w:p>
        </w:tc>
      </w:tr>
      <w:tr w:rsidR="001D1031" w:rsidRPr="001D1031" w14:paraId="57A30EA9" w14:textId="77777777" w:rsidTr="00BA0327">
        <w:trPr>
          <w:trHeight w:val="300"/>
        </w:trPr>
        <w:tc>
          <w:tcPr>
            <w:tcW w:w="893" w:type="dxa"/>
            <w:vAlign w:val="center"/>
          </w:tcPr>
          <w:p w14:paraId="25616BC6" w14:textId="77777777" w:rsidR="001D1031" w:rsidRPr="001D1031" w:rsidRDefault="001D1031" w:rsidP="001D1031">
            <w:pPr>
              <w:contextualSpacing/>
              <w:rPr>
                <w:rFonts w:ascii="Verdana" w:eastAsia="Times New Roman" w:hAnsi="Verdana" w:cs="Arial"/>
                <w:sz w:val="16"/>
                <w:szCs w:val="16"/>
                <w:lang w:val="es-ES" w:eastAsia="es-ES"/>
              </w:rPr>
            </w:pPr>
            <w:r w:rsidRPr="001D1031">
              <w:rPr>
                <w:rFonts w:ascii="Verdana" w:eastAsia="Times New Roman"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704D65" w14:textId="77777777" w:rsidR="001D1031" w:rsidRPr="001D1031" w:rsidRDefault="001D1031" w:rsidP="001D1031">
            <w:pPr>
              <w:contextualSpacing/>
              <w:rPr>
                <w:rFonts w:ascii="Verdana" w:eastAsia="Calibri" w:hAnsi="Verdana" w:cs="Arial"/>
                <w:sz w:val="16"/>
                <w:szCs w:val="16"/>
                <w:lang w:val="es-ES" w:eastAsia="es-ES"/>
              </w:rPr>
            </w:pPr>
            <w:r w:rsidRPr="001D1031">
              <w:rPr>
                <w:rFonts w:ascii="Verdana" w:eastAsia="Calibri" w:hAnsi="Verdana" w:cs="Arial"/>
                <w:sz w:val="16"/>
                <w:szCs w:val="16"/>
                <w:lang w:val="es-ES" w:eastAsia="es-ES"/>
              </w:rPr>
              <w:t>Carolina Quintero Gacharná</w:t>
            </w:r>
          </w:p>
          <w:p w14:paraId="6055D396" w14:textId="77777777" w:rsidR="001D1031" w:rsidRPr="001D1031" w:rsidRDefault="001D1031" w:rsidP="001D1031">
            <w:pPr>
              <w:contextualSpacing/>
              <w:rPr>
                <w:rFonts w:ascii="Verdana" w:eastAsia="Calibri" w:hAnsi="Verdana" w:cs="Arial"/>
                <w:sz w:val="16"/>
                <w:szCs w:val="16"/>
                <w:lang w:val="es-ES" w:eastAsia="es-ES"/>
              </w:rPr>
            </w:pPr>
            <w:r w:rsidRPr="001D1031">
              <w:rPr>
                <w:rFonts w:ascii="Verdana" w:eastAsia="Calibri" w:hAnsi="Verdana" w:cs="Arial"/>
                <w:sz w:val="16"/>
                <w:szCs w:val="16"/>
                <w:lang w:val="es-ES" w:eastAsia="es-ES"/>
              </w:rPr>
              <w:t>Subdirectora de Gestión Contractual ANCP – CCE</w:t>
            </w:r>
          </w:p>
        </w:tc>
      </w:tr>
    </w:tbl>
    <w:p w14:paraId="25765C30" w14:textId="77777777" w:rsidR="001D1031" w:rsidRPr="001D1031" w:rsidRDefault="001D1031" w:rsidP="001D1031">
      <w:pPr>
        <w:spacing w:after="0" w:line="240" w:lineRule="auto"/>
        <w:rPr>
          <w:rFonts w:ascii="Verdana" w:eastAsia="Times New Roman" w:hAnsi="Verdana" w:cs="Times New Roman"/>
          <w:sz w:val="24"/>
          <w:szCs w:val="24"/>
          <w:lang w:val="es-ES"/>
        </w:rPr>
      </w:pPr>
    </w:p>
    <w:p w14:paraId="320382C1" w14:textId="77777777" w:rsidR="001D1031" w:rsidRDefault="001D1031" w:rsidP="00E245AB">
      <w:pPr>
        <w:spacing w:after="0"/>
        <w:rPr>
          <w:rFonts w:ascii="Verdana" w:hAnsi="Verdana"/>
        </w:rPr>
      </w:pPr>
    </w:p>
    <w:bookmarkEnd w:id="0"/>
    <w:p w14:paraId="038E1C55" w14:textId="77777777" w:rsidR="00F15340" w:rsidRPr="0044528D" w:rsidRDefault="00F15340" w:rsidP="00E245AB">
      <w:pPr>
        <w:spacing w:after="0"/>
        <w:rPr>
          <w:rFonts w:ascii="Verdana" w:hAnsi="Verdana"/>
        </w:rPr>
      </w:pPr>
    </w:p>
    <w:sectPr w:rsidR="00F15340"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E0D13E" w14:textId="77777777" w:rsidR="00972F44" w:rsidRDefault="00972F44" w:rsidP="004A1847">
      <w:pPr>
        <w:spacing w:after="0" w:line="240" w:lineRule="auto"/>
      </w:pPr>
      <w:r>
        <w:separator/>
      </w:r>
    </w:p>
  </w:endnote>
  <w:endnote w:type="continuationSeparator" w:id="0">
    <w:p w14:paraId="383DAF3C" w14:textId="77777777" w:rsidR="00972F44" w:rsidRDefault="00972F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Times New Roman"/>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78592" w14:textId="77777777" w:rsidR="00972F44" w:rsidRDefault="00972F44" w:rsidP="004A1847">
      <w:pPr>
        <w:spacing w:after="0" w:line="240" w:lineRule="auto"/>
      </w:pPr>
      <w:r>
        <w:separator/>
      </w:r>
    </w:p>
  </w:footnote>
  <w:footnote w:type="continuationSeparator" w:id="0">
    <w:p w14:paraId="50504E3F" w14:textId="77777777" w:rsidR="00972F44" w:rsidRDefault="00972F44" w:rsidP="004A1847">
      <w:pPr>
        <w:spacing w:after="0" w:line="240" w:lineRule="auto"/>
      </w:pPr>
      <w:r>
        <w:continuationSeparator/>
      </w:r>
    </w:p>
  </w:footnote>
  <w:footnote w:id="1">
    <w:p w14:paraId="7ABBBF4A" w14:textId="77777777" w:rsidR="001D1031" w:rsidRPr="007630E9" w:rsidRDefault="001D1031" w:rsidP="001D1031">
      <w:pPr>
        <w:spacing w:line="240" w:lineRule="auto"/>
        <w:ind w:right="622" w:firstLine="708"/>
        <w:contextualSpacing/>
        <w:jc w:val="both"/>
        <w:rPr>
          <w:rFonts w:ascii="Verdana" w:hAnsi="Verdana"/>
          <w:sz w:val="15"/>
          <w:szCs w:val="15"/>
        </w:rPr>
      </w:pPr>
      <w:r w:rsidRPr="007630E9">
        <w:rPr>
          <w:rStyle w:val="FootnoteReference"/>
          <w:rFonts w:ascii="Verdana" w:hAnsi="Verdana"/>
          <w:sz w:val="15"/>
          <w:szCs w:val="15"/>
        </w:rPr>
        <w:footnoteRef/>
      </w:r>
      <w:r w:rsidRPr="007630E9">
        <w:rPr>
          <w:rFonts w:ascii="Verdana" w:hAnsi="Verdana"/>
          <w:sz w:val="15"/>
          <w:szCs w:val="15"/>
        </w:rPr>
        <w:t>MEDINA LÓPEZ, Diego Eduardo. El derecho de los jueces: obligatoriedad del precedente constitucional, análisis de sentencias y líneas jurisprudenciales y teoría del derecho judicial. Bogotá: Legis, 2006.</w:t>
      </w:r>
    </w:p>
  </w:footnote>
  <w:footnote w:id="2">
    <w:p w14:paraId="0FA67C90" w14:textId="77777777" w:rsidR="001D1031" w:rsidRPr="007630E9" w:rsidRDefault="001D1031" w:rsidP="001D1031">
      <w:pPr>
        <w:pStyle w:val="FootnoteText"/>
        <w:ind w:firstLine="708"/>
        <w:contextualSpacing/>
        <w:jc w:val="both"/>
        <w:rPr>
          <w:rFonts w:ascii="Verdana" w:hAnsi="Verdana"/>
          <w:sz w:val="15"/>
          <w:szCs w:val="15"/>
          <w:lang w:val="es-ES"/>
        </w:rPr>
      </w:pPr>
      <w:r w:rsidRPr="007630E9">
        <w:rPr>
          <w:rStyle w:val="FootnoteReference"/>
          <w:rFonts w:ascii="Verdana" w:hAnsi="Verdana"/>
          <w:sz w:val="15"/>
          <w:szCs w:val="15"/>
        </w:rPr>
        <w:footnoteRef/>
      </w:r>
      <w:r w:rsidRPr="007630E9">
        <w:rPr>
          <w:rFonts w:ascii="Verdana" w:hAnsi="Verdana"/>
          <w:sz w:val="15"/>
          <w:szCs w:val="15"/>
        </w:rPr>
        <w:t>CONSEJO DE ESTADO. Sección Tercera. Auto del 20 de agosto de 1998. Exp. 14.202.</w:t>
      </w:r>
      <w:r w:rsidRPr="007630E9">
        <w:rPr>
          <w:rFonts w:ascii="Verdana" w:hAnsi="Verdana"/>
          <w:spacing w:val="40"/>
          <w:sz w:val="15"/>
          <w:szCs w:val="15"/>
        </w:rPr>
        <w:t xml:space="preserve"> </w:t>
      </w:r>
      <w:r w:rsidRPr="007630E9">
        <w:rPr>
          <w:rFonts w:ascii="Verdana" w:hAnsi="Verdana"/>
          <w:sz w:val="15"/>
          <w:szCs w:val="15"/>
        </w:rPr>
        <w:t>C.P. Juan de Dios Montes Bermúdez</w:t>
      </w:r>
    </w:p>
  </w:footnote>
  <w:footnote w:id="3">
    <w:p w14:paraId="01054B67" w14:textId="77777777" w:rsidR="001D1031" w:rsidRPr="007630E9" w:rsidRDefault="001D1031" w:rsidP="001D1031">
      <w:pPr>
        <w:pStyle w:val="FootnoteText"/>
        <w:ind w:firstLine="708"/>
        <w:contextualSpacing/>
        <w:jc w:val="both"/>
        <w:rPr>
          <w:rFonts w:ascii="Verdana" w:hAnsi="Verdana"/>
          <w:sz w:val="15"/>
          <w:szCs w:val="15"/>
          <w:lang w:val="es-ES"/>
        </w:rPr>
      </w:pPr>
      <w:r w:rsidRPr="007630E9">
        <w:rPr>
          <w:rStyle w:val="FootnoteReference"/>
          <w:rFonts w:ascii="Verdana" w:hAnsi="Verdana"/>
          <w:sz w:val="15"/>
          <w:szCs w:val="15"/>
        </w:rPr>
        <w:footnoteRef/>
      </w:r>
      <w:r w:rsidRPr="007630E9">
        <w:rPr>
          <w:rFonts w:ascii="Verdana" w:hAnsi="Verdana"/>
          <w:sz w:val="15"/>
          <w:szCs w:val="15"/>
          <w:lang w:val="es-ES"/>
        </w:rPr>
        <w:t xml:space="preserve">Referido en </w:t>
      </w:r>
      <w:r w:rsidRPr="007630E9">
        <w:rPr>
          <w:rFonts w:ascii="Verdana" w:hAnsi="Verdana"/>
          <w:sz w:val="15"/>
          <w:szCs w:val="15"/>
        </w:rPr>
        <w:t>Expósito</w:t>
      </w:r>
      <w:r w:rsidRPr="007630E9">
        <w:rPr>
          <w:rFonts w:ascii="Verdana" w:hAnsi="Verdana"/>
          <w:spacing w:val="-11"/>
          <w:sz w:val="15"/>
          <w:szCs w:val="15"/>
        </w:rPr>
        <w:t xml:space="preserve"> </w:t>
      </w:r>
      <w:r w:rsidRPr="007630E9">
        <w:rPr>
          <w:rFonts w:ascii="Verdana" w:hAnsi="Verdana"/>
          <w:sz w:val="15"/>
          <w:szCs w:val="15"/>
        </w:rPr>
        <w:t>Vélez,</w:t>
      </w:r>
      <w:r w:rsidRPr="007630E9">
        <w:rPr>
          <w:rFonts w:ascii="Verdana" w:hAnsi="Verdana"/>
          <w:spacing w:val="-11"/>
          <w:sz w:val="15"/>
          <w:szCs w:val="15"/>
        </w:rPr>
        <w:t xml:space="preserve"> </w:t>
      </w:r>
      <w:r w:rsidRPr="007630E9">
        <w:rPr>
          <w:rFonts w:ascii="Verdana" w:hAnsi="Verdana"/>
          <w:sz w:val="15"/>
          <w:szCs w:val="15"/>
        </w:rPr>
        <w:t>Juan</w:t>
      </w:r>
      <w:r w:rsidRPr="007630E9">
        <w:rPr>
          <w:rFonts w:ascii="Verdana" w:hAnsi="Verdana"/>
          <w:spacing w:val="-11"/>
          <w:sz w:val="15"/>
          <w:szCs w:val="15"/>
        </w:rPr>
        <w:t xml:space="preserve"> </w:t>
      </w:r>
      <w:r w:rsidRPr="007630E9">
        <w:rPr>
          <w:rFonts w:ascii="Verdana" w:hAnsi="Verdana"/>
          <w:sz w:val="15"/>
          <w:szCs w:val="15"/>
        </w:rPr>
        <w:t>Carlos.</w:t>
      </w:r>
      <w:r w:rsidRPr="007630E9">
        <w:rPr>
          <w:rFonts w:ascii="Verdana" w:hAnsi="Verdana"/>
          <w:spacing w:val="-10"/>
          <w:sz w:val="15"/>
          <w:szCs w:val="15"/>
        </w:rPr>
        <w:t xml:space="preserve"> </w:t>
      </w:r>
      <w:r w:rsidRPr="007630E9">
        <w:rPr>
          <w:rFonts w:ascii="Verdana" w:hAnsi="Verdana"/>
          <w:sz w:val="15"/>
          <w:szCs w:val="15"/>
        </w:rPr>
        <w:t>Definición</w:t>
      </w:r>
      <w:r w:rsidRPr="007630E9">
        <w:rPr>
          <w:rFonts w:ascii="Verdana" w:hAnsi="Verdana"/>
          <w:spacing w:val="-10"/>
          <w:sz w:val="15"/>
          <w:szCs w:val="15"/>
        </w:rPr>
        <w:t xml:space="preserve"> </w:t>
      </w:r>
      <w:r w:rsidRPr="007630E9">
        <w:rPr>
          <w:rFonts w:ascii="Verdana" w:hAnsi="Verdana"/>
          <w:sz w:val="15"/>
          <w:szCs w:val="15"/>
        </w:rPr>
        <w:t>de</w:t>
      </w:r>
      <w:r w:rsidRPr="007630E9">
        <w:rPr>
          <w:rFonts w:ascii="Verdana" w:hAnsi="Verdana"/>
          <w:spacing w:val="-12"/>
          <w:sz w:val="15"/>
          <w:szCs w:val="15"/>
        </w:rPr>
        <w:t xml:space="preserve"> </w:t>
      </w:r>
      <w:r w:rsidRPr="007630E9">
        <w:rPr>
          <w:rFonts w:ascii="Verdana" w:hAnsi="Verdana"/>
          <w:sz w:val="15"/>
          <w:szCs w:val="15"/>
        </w:rPr>
        <w:t>los</w:t>
      </w:r>
      <w:r w:rsidRPr="007630E9">
        <w:rPr>
          <w:rFonts w:ascii="Verdana" w:hAnsi="Verdana"/>
          <w:spacing w:val="-11"/>
          <w:sz w:val="15"/>
          <w:szCs w:val="15"/>
        </w:rPr>
        <w:t xml:space="preserve"> </w:t>
      </w:r>
      <w:r w:rsidRPr="007630E9">
        <w:rPr>
          <w:rFonts w:ascii="Verdana" w:hAnsi="Verdana"/>
          <w:sz w:val="15"/>
          <w:szCs w:val="15"/>
        </w:rPr>
        <w:t>Contratos</w:t>
      </w:r>
      <w:r w:rsidRPr="007630E9">
        <w:rPr>
          <w:rFonts w:ascii="Verdana" w:hAnsi="Verdana"/>
          <w:spacing w:val="-10"/>
          <w:sz w:val="15"/>
          <w:szCs w:val="15"/>
        </w:rPr>
        <w:t xml:space="preserve"> </w:t>
      </w:r>
      <w:r w:rsidRPr="007630E9">
        <w:rPr>
          <w:rFonts w:ascii="Verdana" w:hAnsi="Verdana"/>
          <w:sz w:val="15"/>
          <w:szCs w:val="15"/>
        </w:rPr>
        <w:t>Estatales.</w:t>
      </w:r>
      <w:r w:rsidRPr="007630E9">
        <w:rPr>
          <w:rFonts w:ascii="Verdana" w:hAnsi="Verdana"/>
          <w:spacing w:val="-10"/>
          <w:sz w:val="15"/>
          <w:szCs w:val="15"/>
        </w:rPr>
        <w:t xml:space="preserve"> </w:t>
      </w:r>
      <w:r w:rsidRPr="007630E9">
        <w:rPr>
          <w:rFonts w:ascii="Verdana" w:hAnsi="Verdana"/>
          <w:sz w:val="15"/>
          <w:szCs w:val="15"/>
        </w:rPr>
        <w:t>Contratos</w:t>
      </w:r>
      <w:r w:rsidRPr="007630E9">
        <w:rPr>
          <w:rFonts w:ascii="Verdana" w:hAnsi="Verdana"/>
          <w:spacing w:val="-10"/>
          <w:sz w:val="15"/>
          <w:szCs w:val="15"/>
        </w:rPr>
        <w:t xml:space="preserve"> </w:t>
      </w:r>
      <w:r w:rsidRPr="007630E9">
        <w:rPr>
          <w:rFonts w:ascii="Verdana" w:hAnsi="Verdana"/>
          <w:sz w:val="15"/>
          <w:szCs w:val="15"/>
        </w:rPr>
        <w:t>Estatales</w:t>
      </w:r>
      <w:r w:rsidRPr="007630E9">
        <w:rPr>
          <w:rFonts w:ascii="Verdana" w:hAnsi="Verdana"/>
          <w:spacing w:val="-10"/>
          <w:sz w:val="15"/>
          <w:szCs w:val="15"/>
        </w:rPr>
        <w:t xml:space="preserve"> </w:t>
      </w:r>
      <w:r w:rsidRPr="007630E9">
        <w:rPr>
          <w:rFonts w:ascii="Verdana" w:hAnsi="Verdana"/>
          <w:sz w:val="15"/>
          <w:szCs w:val="15"/>
        </w:rPr>
        <w:t>propiamente</w:t>
      </w:r>
      <w:r w:rsidRPr="007630E9">
        <w:rPr>
          <w:rFonts w:ascii="Verdana" w:hAnsi="Verdana"/>
          <w:spacing w:val="-10"/>
          <w:sz w:val="15"/>
          <w:szCs w:val="15"/>
        </w:rPr>
        <w:t xml:space="preserve"> </w:t>
      </w:r>
      <w:r w:rsidRPr="007630E9">
        <w:rPr>
          <w:rFonts w:ascii="Verdana" w:hAnsi="Verdana"/>
          <w:sz w:val="15"/>
          <w:szCs w:val="15"/>
        </w:rPr>
        <w:t>dichos y Contratos Estatales Especiales. Regulación del Contrato suscrito con entidades estatales. Jurisdicción Competente. En: Andrés Fernando Ospina Garzón. Los Grandes Fallos de la Jurisprudencia Administrativa Colombiana. Universidad Externado de Colombia, 2013.</w:t>
      </w:r>
    </w:p>
  </w:footnote>
  <w:footnote w:id="4">
    <w:p w14:paraId="432A4C8A" w14:textId="77777777" w:rsidR="001D1031" w:rsidRPr="007630E9" w:rsidRDefault="001D1031" w:rsidP="001D1031">
      <w:pPr>
        <w:pStyle w:val="FootnoteText"/>
        <w:ind w:firstLine="708"/>
        <w:contextualSpacing/>
        <w:jc w:val="both"/>
        <w:rPr>
          <w:rFonts w:ascii="Verdana" w:hAnsi="Verdana"/>
          <w:sz w:val="15"/>
          <w:szCs w:val="15"/>
          <w:lang w:val="en-CO"/>
        </w:rPr>
      </w:pPr>
      <w:r w:rsidRPr="007630E9">
        <w:rPr>
          <w:rStyle w:val="FootnoteReference"/>
          <w:rFonts w:ascii="Verdana" w:hAnsi="Verdana"/>
          <w:sz w:val="15"/>
          <w:szCs w:val="15"/>
        </w:rPr>
        <w:footnoteRef/>
      </w:r>
      <w:r w:rsidRPr="007630E9">
        <w:rPr>
          <w:rFonts w:ascii="Verdana" w:hAnsi="Verdana"/>
          <w:sz w:val="15"/>
          <w:szCs w:val="15"/>
        </w:rPr>
        <w:t xml:space="preserve"> </w:t>
      </w:r>
      <w:r w:rsidRPr="007630E9">
        <w:rPr>
          <w:rFonts w:ascii="Verdana" w:hAnsi="Verdana"/>
          <w:sz w:val="15"/>
          <w:szCs w:val="15"/>
          <w:lang w:val="en-CO"/>
        </w:rPr>
        <w:t xml:space="preserve">Artículo 66. Medidas especiales de contratación.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r w:rsidRPr="007630E9">
        <w:rPr>
          <w:rFonts w:ascii="Verdana" w:hAnsi="Verdana"/>
          <w:sz w:val="15"/>
          <w:szCs w:val="15"/>
          <w:u w:val="single"/>
          <w:lang w:val="en-CO"/>
        </w:rPr>
        <w:t>13</w:t>
      </w:r>
      <w:r w:rsidRPr="007630E9">
        <w:rPr>
          <w:rFonts w:ascii="Verdana" w:hAnsi="Verdana"/>
          <w:sz w:val="15"/>
          <w:szCs w:val="15"/>
          <w:lang w:val="en-CO"/>
        </w:rPr>
        <w:t xml:space="preserve"> de la Ley 1150 de 2007, y podrán contemplar cláusulas excepcionales de conformidad con lo dispuesto en los artículos </w:t>
      </w:r>
      <w:r w:rsidRPr="007630E9">
        <w:rPr>
          <w:rFonts w:ascii="Verdana" w:hAnsi="Verdana"/>
          <w:sz w:val="15"/>
          <w:szCs w:val="15"/>
          <w:u w:val="single"/>
          <w:lang w:val="en-CO"/>
        </w:rPr>
        <w:t>14</w:t>
      </w:r>
      <w:r w:rsidRPr="007630E9">
        <w:rPr>
          <w:rFonts w:ascii="Verdana" w:hAnsi="Verdana"/>
          <w:sz w:val="15"/>
          <w:szCs w:val="15"/>
          <w:lang w:val="en-CO"/>
        </w:rPr>
        <w:t xml:space="preserve"> a </w:t>
      </w:r>
      <w:r w:rsidRPr="007630E9">
        <w:rPr>
          <w:rFonts w:ascii="Verdana" w:hAnsi="Verdana"/>
          <w:sz w:val="15"/>
          <w:szCs w:val="15"/>
          <w:u w:val="single"/>
          <w:lang w:val="en-CO"/>
        </w:rPr>
        <w:t>18</w:t>
      </w:r>
      <w:r w:rsidRPr="007630E9">
        <w:rPr>
          <w:rFonts w:ascii="Verdana" w:hAnsi="Verdana"/>
          <w:sz w:val="15"/>
          <w:szCs w:val="15"/>
          <w:lang w:val="en-CO"/>
        </w:rPr>
        <w:t xml:space="preserve"> de la Ley 80 de 1993.</w:t>
      </w:r>
    </w:p>
    <w:p w14:paraId="48C724B9" w14:textId="77777777" w:rsidR="001D1031" w:rsidRPr="007630E9" w:rsidRDefault="001D1031" w:rsidP="001D1031">
      <w:pPr>
        <w:pStyle w:val="FootnoteText"/>
        <w:contextualSpacing/>
        <w:jc w:val="both"/>
        <w:rPr>
          <w:rFonts w:ascii="Verdana" w:hAnsi="Verdana"/>
          <w:sz w:val="15"/>
          <w:szCs w:val="15"/>
          <w:lang w:val="en-CO"/>
        </w:rPr>
      </w:pPr>
      <w:r w:rsidRPr="007630E9">
        <w:rPr>
          <w:rFonts w:ascii="Verdana" w:hAnsi="Verdana"/>
          <w:sz w:val="15"/>
          <w:szCs w:val="15"/>
          <w:lang w:val="en-CO"/>
        </w:rPr>
        <w:t xml:space="preserve">PARÁGRAFO. Los contratos celebrados por las entidades territoriales en virtud del artículo anterior se someterán al control fiscal dispuesto para los celebrados en el marco de la declaratoria de urgencia manifiesta contemplada en los artículos </w:t>
      </w:r>
      <w:r w:rsidRPr="007630E9">
        <w:rPr>
          <w:rFonts w:ascii="Verdana" w:hAnsi="Verdana"/>
          <w:sz w:val="15"/>
          <w:szCs w:val="15"/>
          <w:u w:val="single"/>
          <w:lang w:val="en-CO"/>
        </w:rPr>
        <w:t>42</w:t>
      </w:r>
      <w:r w:rsidRPr="007630E9">
        <w:rPr>
          <w:rFonts w:ascii="Verdana" w:hAnsi="Verdana"/>
          <w:sz w:val="15"/>
          <w:szCs w:val="15"/>
          <w:lang w:val="en-CO"/>
        </w:rPr>
        <w:t xml:space="preserve"> y </w:t>
      </w:r>
      <w:r w:rsidRPr="007630E9">
        <w:rPr>
          <w:rFonts w:ascii="Verdana" w:hAnsi="Verdana"/>
          <w:sz w:val="15"/>
          <w:szCs w:val="15"/>
          <w:u w:val="single"/>
          <w:lang w:val="en-CO"/>
        </w:rPr>
        <w:t>43</w:t>
      </w:r>
      <w:r w:rsidRPr="007630E9">
        <w:rPr>
          <w:rFonts w:ascii="Verdana" w:hAnsi="Verdana"/>
          <w:sz w:val="15"/>
          <w:szCs w:val="15"/>
          <w:lang w:val="en-CO"/>
        </w:rPr>
        <w:t xml:space="preserve"> de la Ley 80 de 1993 y demás normas que la modifiquen.</w:t>
      </w:r>
    </w:p>
  </w:footnote>
  <w:footnote w:id="5">
    <w:p w14:paraId="1AD8A34D" w14:textId="77777777" w:rsidR="001D1031" w:rsidRPr="007630E9" w:rsidRDefault="001D1031" w:rsidP="001D1031">
      <w:pPr>
        <w:pStyle w:val="FootnoteText"/>
        <w:ind w:firstLine="708"/>
        <w:contextualSpacing/>
        <w:jc w:val="both"/>
        <w:rPr>
          <w:rFonts w:ascii="Verdana" w:hAnsi="Verdana"/>
          <w:sz w:val="15"/>
          <w:szCs w:val="15"/>
        </w:rPr>
      </w:pPr>
      <w:r w:rsidRPr="007630E9">
        <w:rPr>
          <w:rStyle w:val="FootnoteReference"/>
          <w:rFonts w:ascii="Verdana" w:hAnsi="Verdana"/>
          <w:sz w:val="15"/>
          <w:szCs w:val="15"/>
        </w:rPr>
        <w:footnoteRef/>
      </w:r>
      <w:r w:rsidRPr="007630E9">
        <w:rPr>
          <w:rFonts w:ascii="Verdana" w:hAnsi="Verdana"/>
          <w:sz w:val="15"/>
          <w:szCs w:val="15"/>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03FD8F80" w14:textId="77777777" w:rsidR="001D1031" w:rsidRPr="007630E9" w:rsidRDefault="001D1031" w:rsidP="001D1031">
      <w:pPr>
        <w:pStyle w:val="FootnoteText"/>
        <w:ind w:firstLine="708"/>
        <w:contextualSpacing/>
        <w:jc w:val="both"/>
        <w:rPr>
          <w:rFonts w:ascii="Verdana" w:hAnsi="Verdana"/>
          <w:sz w:val="15"/>
          <w:szCs w:val="15"/>
        </w:rPr>
      </w:pPr>
      <w:r w:rsidRPr="007630E9">
        <w:rPr>
          <w:rFonts w:ascii="Verdana" w:hAnsi="Verdana"/>
          <w:sz w:val="15"/>
          <w:szCs w:val="15"/>
        </w:rPr>
        <w:t>[…]</w:t>
      </w:r>
    </w:p>
    <w:p w14:paraId="3176E2C4" w14:textId="77777777" w:rsidR="001D1031" w:rsidRPr="007630E9" w:rsidRDefault="001D1031" w:rsidP="001D1031">
      <w:pPr>
        <w:pStyle w:val="FootnoteText"/>
        <w:ind w:firstLine="708"/>
        <w:contextualSpacing/>
        <w:jc w:val="both"/>
        <w:rPr>
          <w:rFonts w:ascii="Verdana" w:hAnsi="Verdana"/>
          <w:sz w:val="15"/>
          <w:szCs w:val="15"/>
        </w:rPr>
      </w:pPr>
      <w:r w:rsidRPr="007630E9">
        <w:rPr>
          <w:rFonts w:ascii="Verdana" w:hAnsi="Verdana"/>
          <w:sz w:val="15"/>
          <w:szCs w:val="15"/>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38E634B2" w14:textId="77777777" w:rsidR="001D1031" w:rsidRPr="007630E9" w:rsidRDefault="001D1031" w:rsidP="001D1031">
      <w:pPr>
        <w:pStyle w:val="FootnoteText"/>
        <w:ind w:firstLine="708"/>
        <w:contextualSpacing/>
        <w:jc w:val="both"/>
        <w:rPr>
          <w:rFonts w:ascii="Verdana" w:hAnsi="Verdana"/>
          <w:sz w:val="15"/>
          <w:szCs w:val="15"/>
        </w:rPr>
      </w:pPr>
      <w:r w:rsidRPr="007630E9">
        <w:rPr>
          <w:rFonts w:ascii="Verdana" w:hAnsi="Verdana"/>
          <w:sz w:val="15"/>
          <w:szCs w:val="15"/>
        </w:rPr>
        <w:t>En todo caso, el Presidente de la República podrá celebrar contratos a nombre de la Nación”.</w:t>
      </w:r>
    </w:p>
  </w:footnote>
  <w:footnote w:id="6">
    <w:p w14:paraId="7280730B" w14:textId="77777777" w:rsidR="001D1031" w:rsidRPr="007630E9" w:rsidRDefault="001D1031" w:rsidP="001D1031">
      <w:pPr>
        <w:pStyle w:val="FootnoteText"/>
        <w:ind w:firstLine="708"/>
        <w:contextualSpacing/>
        <w:jc w:val="both"/>
        <w:rPr>
          <w:rFonts w:ascii="Verdana" w:hAnsi="Verdana" w:cs="Arial"/>
          <w:sz w:val="15"/>
          <w:szCs w:val="15"/>
        </w:rPr>
      </w:pPr>
      <w:r w:rsidRPr="007630E9">
        <w:rPr>
          <w:rStyle w:val="FootnoteReference"/>
          <w:rFonts w:ascii="Verdana" w:hAnsi="Verdana" w:cs="Arial"/>
          <w:sz w:val="15"/>
          <w:szCs w:val="15"/>
        </w:rPr>
        <w:footnoteRef/>
      </w:r>
      <w:r w:rsidRPr="007630E9">
        <w:rPr>
          <w:rFonts w:ascii="Verdana" w:hAnsi="Verdana" w:cs="Arial"/>
          <w:sz w:val="15"/>
          <w:szCs w:val="15"/>
        </w:rPr>
        <w:t xml:space="preserve"> El inciso primero de norma disponía que, conforme al principio de transparencia, “</w:t>
      </w:r>
      <w:r w:rsidRPr="007630E9">
        <w:rPr>
          <w:rFonts w:ascii="Verdana" w:hAnsi="Verdana" w:cs="Arial"/>
          <w:i/>
          <w:iCs/>
          <w:sz w:val="15"/>
          <w:szCs w:val="15"/>
        </w:rPr>
        <w:t>La escogencia del contratista se efectuará siempre a través de licitación o concurso públicos</w:t>
      </w:r>
      <w:r w:rsidRPr="007630E9">
        <w:rPr>
          <w:rFonts w:ascii="Verdana" w:hAnsi="Verdana" w:cs="Arial"/>
          <w:sz w:val="15"/>
          <w:szCs w:val="15"/>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7">
    <w:p w14:paraId="44CA59CB" w14:textId="77777777" w:rsidR="001D1031" w:rsidRPr="007630E9" w:rsidRDefault="001D1031" w:rsidP="001D1031">
      <w:pPr>
        <w:pStyle w:val="FootnoteText"/>
        <w:ind w:firstLine="708"/>
        <w:contextualSpacing/>
        <w:jc w:val="both"/>
        <w:rPr>
          <w:rFonts w:ascii="Verdana" w:hAnsi="Verdana" w:cs="Arial"/>
          <w:sz w:val="15"/>
          <w:szCs w:val="15"/>
        </w:rPr>
      </w:pPr>
      <w:r w:rsidRPr="007630E9">
        <w:rPr>
          <w:rStyle w:val="FootnoteReference"/>
          <w:rFonts w:ascii="Verdana" w:hAnsi="Verdana" w:cs="Arial"/>
          <w:sz w:val="15"/>
          <w:szCs w:val="15"/>
        </w:rPr>
        <w:footnoteRef/>
      </w:r>
      <w:r w:rsidRPr="007630E9">
        <w:rPr>
          <w:rFonts w:ascii="Verdana" w:hAnsi="Verdana" w:cs="Arial"/>
          <w:sz w:val="15"/>
          <w:szCs w:val="15"/>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7630E9">
        <w:rPr>
          <w:rFonts w:ascii="Verdana" w:hAnsi="Verdana" w:cs="Arial"/>
          <w:i/>
          <w:iCs/>
          <w:sz w:val="15"/>
          <w:szCs w:val="15"/>
        </w:rPr>
        <w:t>Presentación de la oferta de manera dinámica</w:t>
      </w:r>
      <w:r w:rsidRPr="007630E9">
        <w:rPr>
          <w:rFonts w:ascii="Verdana" w:hAnsi="Verdana" w:cs="Arial"/>
          <w:sz w:val="15"/>
          <w:szCs w:val="15"/>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8">
    <w:p w14:paraId="21E390B2" w14:textId="77777777" w:rsidR="001D1031" w:rsidRPr="007630E9" w:rsidRDefault="001D1031" w:rsidP="001D1031">
      <w:pPr>
        <w:pStyle w:val="FootnoteText"/>
        <w:ind w:right="108" w:firstLine="709"/>
        <w:contextualSpacing/>
        <w:jc w:val="both"/>
        <w:rPr>
          <w:rFonts w:ascii="Verdana" w:hAnsi="Verdana" w:cs="Arial"/>
          <w:sz w:val="15"/>
          <w:szCs w:val="15"/>
        </w:rPr>
      </w:pPr>
      <w:r w:rsidRPr="007630E9">
        <w:rPr>
          <w:rStyle w:val="FootnoteReference"/>
          <w:rFonts w:ascii="Verdana" w:hAnsi="Verdana" w:cs="Arial"/>
          <w:sz w:val="15"/>
          <w:szCs w:val="15"/>
        </w:rPr>
        <w:footnoteRef/>
      </w:r>
      <w:r w:rsidRPr="007630E9">
        <w:rPr>
          <w:rFonts w:ascii="Verdana" w:hAnsi="Verdana" w:cs="Arial"/>
          <w:sz w:val="15"/>
          <w:szCs w:val="15"/>
        </w:rPr>
        <w:t xml:space="preserve"> Consejo de Estado. Sección Tercera. Sentencia del 4 de abril de 2002, C.P. Alier E. Hernández Enríquez, Rad. 1999-0290-01 (17.244).</w:t>
      </w:r>
    </w:p>
  </w:footnote>
  <w:footnote w:id="9">
    <w:p w14:paraId="3232CF3C" w14:textId="77777777" w:rsidR="001D1031" w:rsidRPr="007630E9" w:rsidRDefault="001D1031" w:rsidP="001D1031">
      <w:pPr>
        <w:spacing w:line="240" w:lineRule="auto"/>
        <w:ind w:right="108" w:firstLine="709"/>
        <w:contextualSpacing/>
        <w:jc w:val="both"/>
        <w:rPr>
          <w:rFonts w:ascii="Verdana" w:hAnsi="Verdana" w:cs="Arial"/>
          <w:sz w:val="15"/>
          <w:szCs w:val="15"/>
        </w:rPr>
      </w:pPr>
      <w:r w:rsidRPr="007630E9">
        <w:rPr>
          <w:rStyle w:val="FootnoteReference"/>
          <w:rFonts w:ascii="Verdana" w:hAnsi="Verdana" w:cs="Arial"/>
          <w:sz w:val="15"/>
          <w:szCs w:val="15"/>
        </w:rPr>
        <w:footnoteRef/>
      </w:r>
      <w:r w:rsidRPr="007630E9">
        <w:rPr>
          <w:rFonts w:ascii="Verdana" w:hAnsi="Verdana" w:cs="Arial"/>
          <w:sz w:val="15"/>
          <w:szCs w:val="15"/>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w:t>
      </w:r>
      <w:proofErr w:type="spellStart"/>
      <w:r w:rsidRPr="007630E9">
        <w:rPr>
          <w:rFonts w:ascii="Verdana" w:hAnsi="Verdana" w:cs="Arial"/>
          <w:sz w:val="15"/>
          <w:szCs w:val="15"/>
        </w:rPr>
        <w:t>ibídem</w:t>
      </w:r>
      <w:proofErr w:type="spellEnd"/>
      <w:r w:rsidRPr="007630E9">
        <w:rPr>
          <w:rFonts w:ascii="Verdana" w:hAnsi="Verdana" w:cs="Arial"/>
          <w:sz w:val="15"/>
          <w:szCs w:val="15"/>
        </w:rPr>
        <w:t>,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7630E9">
        <w:rPr>
          <w:rFonts w:ascii="Verdana" w:hAnsi="Verdana" w:cs="Arial"/>
          <w:spacing w:val="-2"/>
          <w:sz w:val="15"/>
          <w:szCs w:val="15"/>
        </w:rPr>
        <w:t xml:space="preserve"> </w:t>
      </w:r>
      <w:r w:rsidRPr="007630E9">
        <w:rPr>
          <w:rFonts w:ascii="Verdana" w:hAnsi="Verdana" w:cs="Arial"/>
          <w:sz w:val="15"/>
          <w:szCs w:val="15"/>
        </w:rPr>
        <w:t xml:space="preserve">estatal”. </w:t>
      </w:r>
    </w:p>
  </w:footnote>
  <w:footnote w:id="10">
    <w:p w14:paraId="62451114" w14:textId="77777777" w:rsidR="001D1031" w:rsidRPr="007630E9" w:rsidRDefault="001D1031" w:rsidP="001D1031">
      <w:pPr>
        <w:pStyle w:val="FootnoteText"/>
        <w:ind w:firstLine="708"/>
        <w:contextualSpacing/>
        <w:jc w:val="both"/>
        <w:rPr>
          <w:rFonts w:ascii="Verdana" w:hAnsi="Verdana"/>
          <w:sz w:val="15"/>
          <w:szCs w:val="15"/>
          <w:lang w:val="es-CO"/>
        </w:rPr>
      </w:pPr>
      <w:r w:rsidRPr="007630E9">
        <w:rPr>
          <w:rStyle w:val="FootnoteReference"/>
          <w:rFonts w:ascii="Verdana" w:hAnsi="Verdana"/>
          <w:sz w:val="15"/>
          <w:szCs w:val="15"/>
        </w:rPr>
        <w:footnoteRef/>
      </w:r>
      <w:r w:rsidRPr="007630E9">
        <w:rPr>
          <w:rFonts w:ascii="Verdana" w:hAnsi="Verdana"/>
          <w:sz w:val="15"/>
          <w:szCs w:val="15"/>
        </w:rPr>
        <w:t xml:space="preserve"> </w:t>
      </w:r>
      <w:r w:rsidRPr="007630E9">
        <w:rPr>
          <w:rFonts w:ascii="Verdana" w:hAnsi="Verdana" w:cs="Arial"/>
          <w:sz w:val="15"/>
          <w:szCs w:val="15"/>
          <w:lang w:val="es-ES"/>
        </w:rPr>
        <w:t xml:space="preserve">Por ello, “[…] </w:t>
      </w:r>
      <w:r w:rsidRPr="007630E9">
        <w:rPr>
          <w:rFonts w:ascii="Verdana" w:hAnsi="Verdana" w:cs="Arial"/>
          <w:sz w:val="15"/>
          <w:szCs w:val="15"/>
        </w:rPr>
        <w:t xml:space="preserve">la clasificación de estatal, respecto de un determinado contrato, no determina, </w:t>
      </w:r>
      <w:r w:rsidRPr="007630E9">
        <w:rPr>
          <w:rFonts w:ascii="Verdana" w:hAnsi="Verdana" w:cs="Arial"/>
          <w:i/>
          <w:iCs/>
          <w:sz w:val="15"/>
          <w:szCs w:val="15"/>
        </w:rPr>
        <w:t>per se</w:t>
      </w:r>
      <w:r w:rsidRPr="007630E9">
        <w:rPr>
          <w:rFonts w:ascii="Verdana" w:hAnsi="Verdana" w:cs="Arial"/>
          <w:sz w:val="15"/>
          <w:szCs w:val="15"/>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7630E9">
        <w:rPr>
          <w:rFonts w:ascii="Verdana" w:hAnsi="Verdana" w:cs="Arial"/>
          <w:i/>
          <w:iCs/>
          <w:sz w:val="15"/>
          <w:szCs w:val="15"/>
        </w:rPr>
        <w:t>Ibidem</w:t>
      </w:r>
      <w:r w:rsidRPr="007630E9">
        <w:rPr>
          <w:rFonts w:ascii="Verdana" w:hAnsi="Verdana" w:cs="Arial"/>
          <w:sz w:val="15"/>
          <w:szCs w:val="15"/>
        </w:rPr>
        <w:t>).</w:t>
      </w:r>
    </w:p>
  </w:footnote>
  <w:footnote w:id="11">
    <w:p w14:paraId="0EAD15C5" w14:textId="77777777" w:rsidR="001D1031" w:rsidRPr="007630E9" w:rsidRDefault="001D1031" w:rsidP="001D1031">
      <w:pPr>
        <w:pStyle w:val="FootnoteText"/>
        <w:ind w:firstLine="708"/>
        <w:contextualSpacing/>
        <w:jc w:val="both"/>
        <w:rPr>
          <w:rFonts w:ascii="Verdana" w:hAnsi="Verdana"/>
          <w:sz w:val="15"/>
          <w:szCs w:val="15"/>
        </w:rPr>
      </w:pPr>
      <w:r w:rsidRPr="007630E9">
        <w:rPr>
          <w:rStyle w:val="FootnoteReference"/>
          <w:rFonts w:ascii="Verdana" w:hAnsi="Verdana"/>
          <w:sz w:val="15"/>
          <w:szCs w:val="15"/>
        </w:rPr>
        <w:footnoteRef/>
      </w:r>
      <w:r w:rsidRPr="007630E9">
        <w:rPr>
          <w:rFonts w:ascii="Verdana" w:hAnsi="Verdana"/>
          <w:sz w:val="15"/>
          <w:szCs w:val="15"/>
        </w:rPr>
        <w:t xml:space="preserve"> Ley 489 de 1998: “Articulo 9. Delegación. Las autoridades administrativas, en virtud de lo dispuesto en la Constitución Política y de conformidad con la presente ley, podrán mediante acto de delegación, transferir el ejercicio de funciones a sus colaboradores o a otras autoridades, con funciones afines o complementarias.</w:t>
      </w:r>
    </w:p>
    <w:p w14:paraId="2128D074" w14:textId="77777777" w:rsidR="001D1031" w:rsidRPr="007630E9" w:rsidRDefault="001D1031" w:rsidP="001D1031">
      <w:pPr>
        <w:pStyle w:val="FootnoteText"/>
        <w:contextualSpacing/>
        <w:jc w:val="both"/>
        <w:rPr>
          <w:sz w:val="15"/>
          <w:szCs w:val="15"/>
          <w:lang w:val="es-ES"/>
        </w:rPr>
      </w:pPr>
      <w:r w:rsidRPr="007630E9">
        <w:rPr>
          <w:rFonts w:ascii="Verdana" w:hAnsi="Verdana"/>
          <w:sz w:val="15"/>
          <w:szCs w:val="15"/>
        </w:rPr>
        <w:t>“Sin perjuicio de las delegaciones previstas en leyes orgánicas, en todo caso, los ministros, directores de departamento administrativo, superintendentes, representantes legales de organismos y entidades que posean una estructura independiente y autonomía administrativa podrán delegar la atención y decisión de los asuntos a ellos confiados por la ley y los actos orgánicos respectivos, en los empleados públicos de los niveles directivo y asesor vinculados al organismo correspondiente, con el propósito de dar desarrollo a los principios de la función administrativa enunciados en el artículo 209 de la Constitución Política y en la presente ley”.</w:t>
      </w:r>
    </w:p>
  </w:footnote>
  <w:footnote w:id="12">
    <w:p w14:paraId="35D1BA39" w14:textId="77777777" w:rsidR="001D1031" w:rsidRPr="007630E9" w:rsidRDefault="001D1031" w:rsidP="001D1031">
      <w:pPr>
        <w:pStyle w:val="FootnoteText"/>
        <w:ind w:firstLine="708"/>
        <w:contextualSpacing/>
        <w:rPr>
          <w:rFonts w:ascii="Verdana" w:hAnsi="Verdana"/>
          <w:sz w:val="15"/>
          <w:szCs w:val="15"/>
          <w:lang w:val="es-ES"/>
        </w:rPr>
      </w:pPr>
      <w:r w:rsidRPr="007630E9">
        <w:rPr>
          <w:rStyle w:val="FootnoteReference"/>
          <w:rFonts w:ascii="Verdana" w:hAnsi="Verdana"/>
          <w:sz w:val="15"/>
          <w:szCs w:val="15"/>
        </w:rPr>
        <w:footnoteRef/>
      </w:r>
      <w:r w:rsidRPr="007630E9">
        <w:rPr>
          <w:rFonts w:ascii="Verdana" w:hAnsi="Verdana"/>
          <w:sz w:val="15"/>
          <w:szCs w:val="15"/>
        </w:rPr>
        <w:t xml:space="preserve"> Corte Constitucional, Sentencia C-036 de 25 de enero de 2005. M.P. Humberto Antonio Sierra Porto.</w:t>
      </w:r>
    </w:p>
  </w:footnote>
  <w:footnote w:id="13">
    <w:p w14:paraId="49E1EC81" w14:textId="77777777" w:rsidR="001D1031" w:rsidRPr="007630E9" w:rsidRDefault="001D1031" w:rsidP="001D1031">
      <w:pPr>
        <w:pStyle w:val="FootnoteText"/>
        <w:ind w:firstLine="708"/>
        <w:contextualSpacing/>
        <w:jc w:val="both"/>
        <w:rPr>
          <w:rFonts w:ascii="Verdana" w:hAnsi="Verdana"/>
          <w:sz w:val="15"/>
          <w:szCs w:val="15"/>
          <w:lang w:val="es-ES"/>
        </w:rPr>
      </w:pPr>
      <w:r w:rsidRPr="007630E9">
        <w:rPr>
          <w:rStyle w:val="FootnoteReference"/>
          <w:rFonts w:ascii="Verdana" w:hAnsi="Verdana"/>
          <w:sz w:val="15"/>
          <w:szCs w:val="15"/>
        </w:rPr>
        <w:footnoteRef/>
      </w:r>
      <w:r w:rsidRPr="007630E9">
        <w:rPr>
          <w:rFonts w:ascii="Verdana" w:hAnsi="Verdana"/>
          <w:sz w:val="15"/>
          <w:szCs w:val="15"/>
        </w:rPr>
        <w:t xml:space="preserve"> </w:t>
      </w:r>
      <w:r w:rsidRPr="007630E9">
        <w:rPr>
          <w:rFonts w:ascii="Verdana" w:hAnsi="Verdana"/>
          <w:sz w:val="15"/>
          <w:szCs w:val="15"/>
          <w:lang w:val="es-ES"/>
        </w:rPr>
        <w:t>Corte Constitucional, Sentencia C-561 de 1999, MP. Dr. Alfredo Beltrán Sierra</w:t>
      </w:r>
    </w:p>
  </w:footnote>
  <w:footnote w:id="14">
    <w:p w14:paraId="7B3AFBDC" w14:textId="77777777" w:rsidR="001D1031" w:rsidRPr="007630E9" w:rsidRDefault="001D1031" w:rsidP="001D1031">
      <w:pPr>
        <w:pStyle w:val="FootnoteText"/>
        <w:ind w:firstLine="708"/>
        <w:contextualSpacing/>
        <w:jc w:val="both"/>
        <w:rPr>
          <w:sz w:val="15"/>
          <w:szCs w:val="15"/>
          <w:lang w:val="es-ES"/>
        </w:rPr>
      </w:pPr>
      <w:r w:rsidRPr="007630E9">
        <w:rPr>
          <w:rStyle w:val="FootnoteReference"/>
          <w:rFonts w:ascii="Verdana" w:hAnsi="Verdana"/>
          <w:sz w:val="15"/>
          <w:szCs w:val="15"/>
        </w:rPr>
        <w:footnoteRef/>
      </w:r>
      <w:r w:rsidRPr="007630E9">
        <w:rPr>
          <w:rFonts w:ascii="Verdana" w:hAnsi="Verdana"/>
          <w:sz w:val="15"/>
          <w:szCs w:val="15"/>
        </w:rPr>
        <w:t xml:space="preserve"> Ley</w:t>
      </w:r>
      <w:r w:rsidRPr="007630E9">
        <w:rPr>
          <w:rFonts w:ascii="Verdana" w:hAnsi="Verdana"/>
          <w:spacing w:val="-5"/>
          <w:sz w:val="15"/>
          <w:szCs w:val="15"/>
        </w:rPr>
        <w:t xml:space="preserve"> </w:t>
      </w:r>
      <w:r w:rsidRPr="007630E9">
        <w:rPr>
          <w:rFonts w:ascii="Verdana" w:hAnsi="Verdana"/>
          <w:sz w:val="15"/>
          <w:szCs w:val="15"/>
        </w:rPr>
        <w:t>489</w:t>
      </w:r>
      <w:r w:rsidRPr="007630E9">
        <w:rPr>
          <w:rFonts w:ascii="Verdana" w:hAnsi="Verdana"/>
          <w:spacing w:val="-5"/>
          <w:sz w:val="15"/>
          <w:szCs w:val="15"/>
        </w:rPr>
        <w:t xml:space="preserve"> </w:t>
      </w:r>
      <w:r w:rsidRPr="007630E9">
        <w:rPr>
          <w:rFonts w:ascii="Verdana" w:hAnsi="Verdana"/>
          <w:sz w:val="15"/>
          <w:szCs w:val="15"/>
        </w:rPr>
        <w:t>de</w:t>
      </w:r>
      <w:r w:rsidRPr="007630E9">
        <w:rPr>
          <w:rFonts w:ascii="Verdana" w:hAnsi="Verdana"/>
          <w:spacing w:val="-5"/>
          <w:sz w:val="15"/>
          <w:szCs w:val="15"/>
        </w:rPr>
        <w:t xml:space="preserve"> </w:t>
      </w:r>
      <w:r w:rsidRPr="007630E9">
        <w:rPr>
          <w:rFonts w:ascii="Verdana" w:hAnsi="Verdana"/>
          <w:sz w:val="15"/>
          <w:szCs w:val="15"/>
        </w:rPr>
        <w:t>1998:</w:t>
      </w:r>
      <w:r w:rsidRPr="007630E9">
        <w:rPr>
          <w:rFonts w:ascii="Verdana" w:hAnsi="Verdana"/>
          <w:spacing w:val="-5"/>
          <w:sz w:val="15"/>
          <w:szCs w:val="15"/>
        </w:rPr>
        <w:t xml:space="preserve"> </w:t>
      </w:r>
      <w:r w:rsidRPr="007630E9">
        <w:rPr>
          <w:rFonts w:ascii="Verdana" w:hAnsi="Verdana"/>
          <w:sz w:val="15"/>
          <w:szCs w:val="15"/>
        </w:rPr>
        <w:t>“Articulo</w:t>
      </w:r>
      <w:r w:rsidRPr="007630E9">
        <w:rPr>
          <w:rFonts w:ascii="Verdana" w:hAnsi="Verdana"/>
          <w:spacing w:val="-4"/>
          <w:sz w:val="15"/>
          <w:szCs w:val="15"/>
        </w:rPr>
        <w:t xml:space="preserve"> </w:t>
      </w:r>
      <w:r w:rsidRPr="007630E9">
        <w:rPr>
          <w:rFonts w:ascii="Verdana" w:hAnsi="Verdana"/>
          <w:sz w:val="15"/>
          <w:szCs w:val="15"/>
        </w:rPr>
        <w:t>8.</w:t>
      </w:r>
      <w:r w:rsidRPr="007630E9">
        <w:rPr>
          <w:rFonts w:ascii="Verdana" w:hAnsi="Verdana"/>
          <w:spacing w:val="-5"/>
          <w:sz w:val="15"/>
          <w:szCs w:val="15"/>
        </w:rPr>
        <w:t xml:space="preserve"> </w:t>
      </w:r>
      <w:r w:rsidRPr="007630E9">
        <w:rPr>
          <w:rFonts w:ascii="Verdana" w:hAnsi="Verdana"/>
          <w:sz w:val="15"/>
          <w:szCs w:val="15"/>
        </w:rPr>
        <w:t>Desconcentración</w:t>
      </w:r>
      <w:r w:rsidRPr="007630E9">
        <w:rPr>
          <w:rFonts w:ascii="Verdana" w:hAnsi="Verdana"/>
          <w:spacing w:val="-1"/>
          <w:sz w:val="15"/>
          <w:szCs w:val="15"/>
        </w:rPr>
        <w:t xml:space="preserve"> </w:t>
      </w:r>
      <w:r w:rsidRPr="007630E9">
        <w:rPr>
          <w:rFonts w:ascii="Verdana" w:hAnsi="Verdana"/>
          <w:sz w:val="15"/>
          <w:szCs w:val="15"/>
        </w:rPr>
        <w:t>administrativa.</w:t>
      </w:r>
      <w:r w:rsidRPr="007630E9">
        <w:rPr>
          <w:rFonts w:ascii="Verdana" w:hAnsi="Verdana"/>
          <w:spacing w:val="-2"/>
          <w:sz w:val="15"/>
          <w:szCs w:val="15"/>
        </w:rPr>
        <w:t xml:space="preserve"> </w:t>
      </w:r>
      <w:r w:rsidRPr="007630E9">
        <w:rPr>
          <w:rFonts w:ascii="Verdana" w:hAnsi="Verdana"/>
          <w:sz w:val="15"/>
          <w:szCs w:val="15"/>
        </w:rPr>
        <w:t>La</w:t>
      </w:r>
      <w:r w:rsidRPr="007630E9">
        <w:rPr>
          <w:rFonts w:ascii="Verdana" w:hAnsi="Verdana"/>
          <w:spacing w:val="-5"/>
          <w:sz w:val="15"/>
          <w:szCs w:val="15"/>
        </w:rPr>
        <w:t xml:space="preserve"> </w:t>
      </w:r>
      <w:r w:rsidRPr="007630E9">
        <w:rPr>
          <w:rFonts w:ascii="Verdana" w:hAnsi="Verdana"/>
          <w:sz w:val="15"/>
          <w:szCs w:val="15"/>
        </w:rPr>
        <w:t>desconcentración</w:t>
      </w:r>
      <w:r w:rsidRPr="007630E9">
        <w:rPr>
          <w:rFonts w:ascii="Verdana" w:hAnsi="Verdana"/>
          <w:spacing w:val="-1"/>
          <w:sz w:val="15"/>
          <w:szCs w:val="15"/>
        </w:rPr>
        <w:t xml:space="preserve"> </w:t>
      </w:r>
      <w:r w:rsidRPr="007630E9">
        <w:rPr>
          <w:rFonts w:ascii="Verdana" w:hAnsi="Verdana"/>
          <w:sz w:val="15"/>
          <w:szCs w:val="15"/>
        </w:rPr>
        <w:t>es</w:t>
      </w:r>
      <w:r w:rsidRPr="007630E9">
        <w:rPr>
          <w:rFonts w:ascii="Verdana" w:hAnsi="Verdana"/>
          <w:spacing w:val="-5"/>
          <w:sz w:val="15"/>
          <w:szCs w:val="15"/>
        </w:rPr>
        <w:t xml:space="preserve"> </w:t>
      </w:r>
      <w:r w:rsidRPr="007630E9">
        <w:rPr>
          <w:rFonts w:ascii="Verdana" w:hAnsi="Verdana"/>
          <w:sz w:val="15"/>
          <w:szCs w:val="15"/>
        </w:rPr>
        <w:t>la</w:t>
      </w:r>
      <w:r w:rsidRPr="007630E9">
        <w:rPr>
          <w:rFonts w:ascii="Verdana" w:hAnsi="Verdana"/>
          <w:spacing w:val="-5"/>
          <w:sz w:val="15"/>
          <w:szCs w:val="15"/>
        </w:rPr>
        <w:t xml:space="preserve"> </w:t>
      </w:r>
      <w:r w:rsidRPr="007630E9">
        <w:rPr>
          <w:rFonts w:ascii="Verdana" w:hAnsi="Verdana"/>
          <w:sz w:val="15"/>
          <w:szCs w:val="15"/>
        </w:rPr>
        <w:t>radicación</w:t>
      </w:r>
      <w:r w:rsidRPr="007630E9">
        <w:rPr>
          <w:rFonts w:ascii="Verdana" w:hAnsi="Verdana"/>
          <w:spacing w:val="-3"/>
          <w:sz w:val="15"/>
          <w:szCs w:val="15"/>
        </w:rPr>
        <w:t xml:space="preserve"> </w:t>
      </w:r>
      <w:r w:rsidRPr="007630E9">
        <w:rPr>
          <w:rFonts w:ascii="Verdana" w:hAnsi="Verdana"/>
          <w:sz w:val="15"/>
          <w:szCs w:val="15"/>
        </w:rPr>
        <w:t>de competencias y funciones en dependencias ubicadas fuera de la sede principal del organismo o entidad administrativa, sin</w:t>
      </w:r>
      <w:r w:rsidRPr="007630E9">
        <w:rPr>
          <w:rFonts w:ascii="Verdana" w:hAnsi="Verdana"/>
          <w:spacing w:val="-3"/>
          <w:sz w:val="15"/>
          <w:szCs w:val="15"/>
        </w:rPr>
        <w:t xml:space="preserve"> </w:t>
      </w:r>
      <w:r w:rsidRPr="007630E9">
        <w:rPr>
          <w:rFonts w:ascii="Verdana" w:hAnsi="Verdana"/>
          <w:sz w:val="15"/>
          <w:szCs w:val="15"/>
        </w:rPr>
        <w:t>perjuicio</w:t>
      </w:r>
      <w:r w:rsidRPr="007630E9">
        <w:rPr>
          <w:rFonts w:ascii="Verdana" w:hAnsi="Verdana"/>
          <w:spacing w:val="-2"/>
          <w:sz w:val="15"/>
          <w:szCs w:val="15"/>
        </w:rPr>
        <w:t xml:space="preserve"> </w:t>
      </w:r>
      <w:r w:rsidRPr="007630E9">
        <w:rPr>
          <w:rFonts w:ascii="Verdana" w:hAnsi="Verdana"/>
          <w:sz w:val="15"/>
          <w:szCs w:val="15"/>
        </w:rPr>
        <w:t>de</w:t>
      </w:r>
      <w:r w:rsidRPr="007630E9">
        <w:rPr>
          <w:rFonts w:ascii="Verdana" w:hAnsi="Verdana"/>
          <w:spacing w:val="-4"/>
          <w:sz w:val="15"/>
          <w:szCs w:val="15"/>
        </w:rPr>
        <w:t xml:space="preserve"> </w:t>
      </w:r>
      <w:r w:rsidRPr="007630E9">
        <w:rPr>
          <w:rFonts w:ascii="Verdana" w:hAnsi="Verdana"/>
          <w:sz w:val="15"/>
          <w:szCs w:val="15"/>
        </w:rPr>
        <w:t>las</w:t>
      </w:r>
      <w:r w:rsidRPr="007630E9">
        <w:rPr>
          <w:rFonts w:ascii="Verdana" w:hAnsi="Verdana"/>
          <w:spacing w:val="-4"/>
          <w:sz w:val="15"/>
          <w:szCs w:val="15"/>
        </w:rPr>
        <w:t xml:space="preserve"> </w:t>
      </w:r>
      <w:r w:rsidRPr="007630E9">
        <w:rPr>
          <w:rFonts w:ascii="Verdana" w:hAnsi="Verdana"/>
          <w:sz w:val="15"/>
          <w:szCs w:val="15"/>
        </w:rPr>
        <w:t>potestades</w:t>
      </w:r>
      <w:r w:rsidRPr="007630E9">
        <w:rPr>
          <w:rFonts w:ascii="Verdana" w:hAnsi="Verdana"/>
          <w:spacing w:val="-2"/>
          <w:sz w:val="15"/>
          <w:szCs w:val="15"/>
        </w:rPr>
        <w:t xml:space="preserve"> </w:t>
      </w:r>
      <w:r w:rsidRPr="007630E9">
        <w:rPr>
          <w:rFonts w:ascii="Verdana" w:hAnsi="Verdana"/>
          <w:sz w:val="15"/>
          <w:szCs w:val="15"/>
        </w:rPr>
        <w:t>y</w:t>
      </w:r>
      <w:r w:rsidRPr="007630E9">
        <w:rPr>
          <w:rFonts w:ascii="Verdana" w:hAnsi="Verdana"/>
          <w:spacing w:val="-4"/>
          <w:sz w:val="15"/>
          <w:szCs w:val="15"/>
        </w:rPr>
        <w:t xml:space="preserve"> </w:t>
      </w:r>
      <w:r w:rsidRPr="007630E9">
        <w:rPr>
          <w:rFonts w:ascii="Verdana" w:hAnsi="Verdana"/>
          <w:sz w:val="15"/>
          <w:szCs w:val="15"/>
        </w:rPr>
        <w:t>deberes</w:t>
      </w:r>
      <w:r w:rsidRPr="007630E9">
        <w:rPr>
          <w:rFonts w:ascii="Verdana" w:hAnsi="Verdana"/>
          <w:spacing w:val="-3"/>
          <w:sz w:val="15"/>
          <w:szCs w:val="15"/>
        </w:rPr>
        <w:t xml:space="preserve"> </w:t>
      </w:r>
      <w:r w:rsidRPr="007630E9">
        <w:rPr>
          <w:rFonts w:ascii="Verdana" w:hAnsi="Verdana"/>
          <w:sz w:val="15"/>
          <w:szCs w:val="15"/>
        </w:rPr>
        <w:t>de</w:t>
      </w:r>
      <w:r w:rsidRPr="007630E9">
        <w:rPr>
          <w:rFonts w:ascii="Verdana" w:hAnsi="Verdana"/>
          <w:spacing w:val="-4"/>
          <w:sz w:val="15"/>
          <w:szCs w:val="15"/>
        </w:rPr>
        <w:t xml:space="preserve"> </w:t>
      </w:r>
      <w:r w:rsidRPr="007630E9">
        <w:rPr>
          <w:rFonts w:ascii="Verdana" w:hAnsi="Verdana"/>
          <w:sz w:val="15"/>
          <w:szCs w:val="15"/>
        </w:rPr>
        <w:t>orientación</w:t>
      </w:r>
      <w:r w:rsidRPr="007630E9">
        <w:rPr>
          <w:rFonts w:ascii="Verdana" w:hAnsi="Verdana"/>
          <w:spacing w:val="-1"/>
          <w:sz w:val="15"/>
          <w:szCs w:val="15"/>
        </w:rPr>
        <w:t xml:space="preserve"> </w:t>
      </w:r>
      <w:r w:rsidRPr="007630E9">
        <w:rPr>
          <w:rFonts w:ascii="Verdana" w:hAnsi="Verdana"/>
          <w:sz w:val="15"/>
          <w:szCs w:val="15"/>
        </w:rPr>
        <w:t>e</w:t>
      </w:r>
      <w:r w:rsidRPr="007630E9">
        <w:rPr>
          <w:rFonts w:ascii="Verdana" w:hAnsi="Verdana"/>
          <w:spacing w:val="-4"/>
          <w:sz w:val="15"/>
          <w:szCs w:val="15"/>
        </w:rPr>
        <w:t xml:space="preserve"> </w:t>
      </w:r>
      <w:r w:rsidRPr="007630E9">
        <w:rPr>
          <w:rFonts w:ascii="Verdana" w:hAnsi="Verdana"/>
          <w:sz w:val="15"/>
          <w:szCs w:val="15"/>
        </w:rPr>
        <w:t>instrucción</w:t>
      </w:r>
      <w:r w:rsidRPr="007630E9">
        <w:rPr>
          <w:rFonts w:ascii="Verdana" w:hAnsi="Verdana"/>
          <w:spacing w:val="-1"/>
          <w:sz w:val="15"/>
          <w:szCs w:val="15"/>
        </w:rPr>
        <w:t xml:space="preserve"> </w:t>
      </w:r>
      <w:r w:rsidRPr="007630E9">
        <w:rPr>
          <w:rFonts w:ascii="Verdana" w:hAnsi="Verdana"/>
          <w:sz w:val="15"/>
          <w:szCs w:val="15"/>
        </w:rPr>
        <w:t>que</w:t>
      </w:r>
      <w:r w:rsidRPr="007630E9">
        <w:rPr>
          <w:rFonts w:ascii="Verdana" w:hAnsi="Verdana"/>
          <w:spacing w:val="-4"/>
          <w:sz w:val="15"/>
          <w:szCs w:val="15"/>
        </w:rPr>
        <w:t xml:space="preserve"> </w:t>
      </w:r>
      <w:r w:rsidRPr="007630E9">
        <w:rPr>
          <w:rFonts w:ascii="Verdana" w:hAnsi="Verdana"/>
          <w:sz w:val="15"/>
          <w:szCs w:val="15"/>
        </w:rPr>
        <w:t>corresponde</w:t>
      </w:r>
      <w:r w:rsidRPr="007630E9">
        <w:rPr>
          <w:rFonts w:ascii="Verdana" w:hAnsi="Verdana"/>
          <w:spacing w:val="-2"/>
          <w:sz w:val="15"/>
          <w:szCs w:val="15"/>
        </w:rPr>
        <w:t xml:space="preserve"> </w:t>
      </w:r>
      <w:r w:rsidRPr="007630E9">
        <w:rPr>
          <w:rFonts w:ascii="Verdana" w:hAnsi="Verdana"/>
          <w:sz w:val="15"/>
          <w:szCs w:val="15"/>
        </w:rPr>
        <w:t xml:space="preserve">ejercer a los jefes superiores de la Administración, la cual no implica delegación y podrá hacerse por territorio y por </w:t>
      </w:r>
      <w:r w:rsidRPr="007630E9">
        <w:rPr>
          <w:rFonts w:ascii="Verdana" w:hAnsi="Verdana"/>
          <w:spacing w:val="-2"/>
          <w:sz w:val="15"/>
          <w:szCs w:val="15"/>
        </w:rPr>
        <w:t>funciones”.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87"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831"/>
    <w:rsid w:val="000A683E"/>
    <w:rsid w:val="000B19B9"/>
    <w:rsid w:val="000D0334"/>
    <w:rsid w:val="000F6486"/>
    <w:rsid w:val="00125105"/>
    <w:rsid w:val="00127233"/>
    <w:rsid w:val="001511A0"/>
    <w:rsid w:val="001D1031"/>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451E6"/>
    <w:rsid w:val="00374F5E"/>
    <w:rsid w:val="00377E3E"/>
    <w:rsid w:val="003A779E"/>
    <w:rsid w:val="003D0F4D"/>
    <w:rsid w:val="003D5B0D"/>
    <w:rsid w:val="003E0499"/>
    <w:rsid w:val="003F3941"/>
    <w:rsid w:val="003F3F77"/>
    <w:rsid w:val="00406575"/>
    <w:rsid w:val="00414C74"/>
    <w:rsid w:val="00423461"/>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74118"/>
    <w:rsid w:val="006900D9"/>
    <w:rsid w:val="00706C16"/>
    <w:rsid w:val="007229FC"/>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72F44"/>
    <w:rsid w:val="00986AC5"/>
    <w:rsid w:val="009A0DFA"/>
    <w:rsid w:val="009B2D26"/>
    <w:rsid w:val="009C71FA"/>
    <w:rsid w:val="009C72E7"/>
    <w:rsid w:val="009D3058"/>
    <w:rsid w:val="009F3A13"/>
    <w:rsid w:val="00A122D3"/>
    <w:rsid w:val="00A17F13"/>
    <w:rsid w:val="00A20739"/>
    <w:rsid w:val="00A267F8"/>
    <w:rsid w:val="00A33C78"/>
    <w:rsid w:val="00A70A38"/>
    <w:rsid w:val="00AB0ADB"/>
    <w:rsid w:val="00AE6AFD"/>
    <w:rsid w:val="00B01B1A"/>
    <w:rsid w:val="00B3069C"/>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73B01"/>
    <w:rsid w:val="00DA231B"/>
    <w:rsid w:val="00DC39FC"/>
    <w:rsid w:val="00DF5254"/>
    <w:rsid w:val="00E16408"/>
    <w:rsid w:val="00E20894"/>
    <w:rsid w:val="00E245AB"/>
    <w:rsid w:val="00E2764C"/>
    <w:rsid w:val="00E27F2E"/>
    <w:rsid w:val="00E34832"/>
    <w:rsid w:val="00E50AFE"/>
    <w:rsid w:val="00E71804"/>
    <w:rsid w:val="00E75C92"/>
    <w:rsid w:val="00E771DC"/>
    <w:rsid w:val="00E8772A"/>
    <w:rsid w:val="00E90F6B"/>
    <w:rsid w:val="00E92C27"/>
    <w:rsid w:val="00EA0E3D"/>
    <w:rsid w:val="00EC38A7"/>
    <w:rsid w:val="00ED7384"/>
    <w:rsid w:val="00EE1AA8"/>
    <w:rsid w:val="00F02BA0"/>
    <w:rsid w:val="00F15340"/>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1D1031"/>
    <w:pPr>
      <w:spacing w:after="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AB96D146-3D70-4153-B468-AD45832DA8DB}"/>
</file>

<file path=docProps/app.xml><?xml version="1.0" encoding="utf-8"?>
<Properties xmlns="http://schemas.openxmlformats.org/officeDocument/2006/extended-properties" xmlns:vt="http://schemas.openxmlformats.org/officeDocument/2006/docPropsVTypes">
  <Template>Normal.dotm</Template>
  <TotalTime>0</TotalTime>
  <Pages>16</Pages>
  <Words>5044</Words>
  <Characters>28756</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2</cp:revision>
  <cp:lastPrinted>2023-01-10T21:18:00Z</cp:lastPrinted>
  <dcterms:created xsi:type="dcterms:W3CDTF">2025-04-29T21:52:00Z</dcterms:created>
  <dcterms:modified xsi:type="dcterms:W3CDTF">2025-04-29T21:52:00Z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