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E8FD0" w14:textId="77777777" w:rsidR="00603720" w:rsidRPr="00603720" w:rsidRDefault="00603720" w:rsidP="00603720">
      <w:pPr>
        <w:spacing w:after="0" w:line="240" w:lineRule="auto"/>
        <w:contextualSpacing/>
        <w:jc w:val="both"/>
        <w:rPr>
          <w:rFonts w:ascii="Arial" w:eastAsia="Times New Roman" w:hAnsi="Arial" w:cs="Arial"/>
          <w:b/>
          <w:bCs/>
          <w:lang w:val="es-ES_tradnl" w:eastAsia="es-MX"/>
        </w:rPr>
      </w:pPr>
      <w:r w:rsidRPr="00603720">
        <w:rPr>
          <w:rFonts w:ascii="Arial" w:eastAsia="Times New Roman" w:hAnsi="Arial" w:cs="Arial"/>
          <w:b/>
          <w:bCs/>
          <w:lang w:val="es-ES_tradnl" w:eastAsia="es-MX"/>
        </w:rPr>
        <w:t xml:space="preserve">REQUISITOS HABILITANTES – Concepto </w:t>
      </w:r>
    </w:p>
    <w:p w14:paraId="163FC8E6" w14:textId="77777777" w:rsidR="00603720" w:rsidRPr="00603720" w:rsidRDefault="00603720" w:rsidP="00603720">
      <w:pPr>
        <w:spacing w:after="0" w:line="240" w:lineRule="auto"/>
        <w:contextualSpacing/>
        <w:jc w:val="both"/>
        <w:rPr>
          <w:rFonts w:ascii="Arial" w:eastAsia="Times New Roman" w:hAnsi="Arial" w:cs="Arial"/>
          <w:b/>
          <w:bCs/>
          <w:sz w:val="20"/>
          <w:szCs w:val="20"/>
          <w:lang w:val="es-ES_tradnl" w:eastAsia="es-MX"/>
        </w:rPr>
      </w:pPr>
    </w:p>
    <w:p w14:paraId="280AEB16" w14:textId="77777777" w:rsidR="00603720" w:rsidRPr="00603720" w:rsidRDefault="00603720" w:rsidP="00603720">
      <w:pPr>
        <w:spacing w:after="0" w:line="240" w:lineRule="auto"/>
        <w:contextualSpacing/>
        <w:jc w:val="both"/>
        <w:rPr>
          <w:rFonts w:ascii="Arial" w:eastAsia="Calibri" w:hAnsi="Arial" w:cs="Arial"/>
          <w:sz w:val="20"/>
          <w:szCs w:val="20"/>
          <w:lang w:val="es-ES_tradnl" w:eastAsia="es-MX"/>
        </w:rPr>
      </w:pPr>
      <w:r w:rsidRPr="00603720">
        <w:rPr>
          <w:rFonts w:ascii="Arial" w:eastAsia="Calibri" w:hAnsi="Arial" w:cs="Arial"/>
          <w:sz w:val="20"/>
          <w:szCs w:val="20"/>
          <w:lang w:val="es-ES_tradnl" w:eastAsia="es-MX"/>
        </w:rPr>
        <w:t xml:space="preserve">Los </w:t>
      </w:r>
      <w:r w:rsidRPr="00603720">
        <w:rPr>
          <w:rFonts w:ascii="Arial" w:eastAsia="Calibri" w:hAnsi="Arial" w:cs="Arial"/>
          <w:i/>
          <w:iCs/>
          <w:sz w:val="20"/>
          <w:szCs w:val="20"/>
          <w:lang w:val="es-ES_tradnl" w:eastAsia="es-MX"/>
        </w:rPr>
        <w:t>requisitos habilitantes</w:t>
      </w:r>
      <w:r w:rsidRPr="00603720">
        <w:rPr>
          <w:rFonts w:ascii="Arial" w:eastAsia="Calibri" w:hAnsi="Arial" w:cs="Arial"/>
          <w:sz w:val="20"/>
          <w:szCs w:val="20"/>
          <w:lang w:val="es-ES_tradnl" w:eastAsia="es-MX"/>
        </w:rPr>
        <w:t xml:space="preserve"> se definen como aquellas exigencias de participación en los procedimientos de selección, establecidas en disposiciones normativas, de carácter legal o reglamentario, o contenidas en el acto administrativo que regula las reglas de la convocatoria – es decir, en el Pliego de Condiciones o el documento equivalente a este –. Se diferencian de los </w:t>
      </w:r>
      <w:r w:rsidRPr="00603720">
        <w:rPr>
          <w:rFonts w:ascii="Arial" w:eastAsia="Calibri" w:hAnsi="Arial" w:cs="Arial"/>
          <w:i/>
          <w:iCs/>
          <w:sz w:val="20"/>
          <w:szCs w:val="20"/>
          <w:lang w:val="es-ES_tradnl" w:eastAsia="es-MX"/>
        </w:rPr>
        <w:t>criterios de evaluación</w:t>
      </w:r>
      <w:r w:rsidRPr="00603720">
        <w:rPr>
          <w:rFonts w:ascii="Arial" w:eastAsia="Calibri" w:hAnsi="Arial" w:cs="Arial"/>
          <w:sz w:val="20"/>
          <w:szCs w:val="20"/>
          <w:lang w:val="es-ES_tradnl" w:eastAsia="es-MX"/>
        </w:rPr>
        <w:t xml:space="preserve"> – también conocidos como criterios de calificación – en que estos son los factores definidos por la Entidad Estatal para la asignación de puntaje en el momento de la comparación de las ofertas y que, a partir de su ponderación, permiten establecer el orden de elegibilidad y, por ende, la propuesta ganadora. </w:t>
      </w:r>
    </w:p>
    <w:p w14:paraId="45E96210" w14:textId="77777777" w:rsidR="00603720" w:rsidRPr="00603720" w:rsidRDefault="00603720" w:rsidP="00603720">
      <w:pPr>
        <w:spacing w:after="0" w:line="240" w:lineRule="auto"/>
        <w:contextualSpacing/>
        <w:jc w:val="both"/>
        <w:rPr>
          <w:rFonts w:ascii="Arial" w:eastAsia="Times New Roman" w:hAnsi="Arial" w:cs="Arial"/>
          <w:sz w:val="20"/>
          <w:szCs w:val="20"/>
          <w:lang w:eastAsia="es-ES_tradnl"/>
        </w:rPr>
      </w:pPr>
    </w:p>
    <w:p w14:paraId="2563ED0F" w14:textId="77777777" w:rsidR="00603720" w:rsidRPr="00603720" w:rsidRDefault="00603720" w:rsidP="00603720">
      <w:pPr>
        <w:spacing w:after="0" w:line="240" w:lineRule="auto"/>
        <w:contextualSpacing/>
        <w:jc w:val="both"/>
        <w:rPr>
          <w:rFonts w:ascii="Arial" w:eastAsia="Calibri" w:hAnsi="Arial" w:cs="Arial"/>
          <w:sz w:val="20"/>
          <w:szCs w:val="20"/>
          <w:lang w:val="es-ES_tradnl" w:eastAsia="es-MX"/>
        </w:rPr>
      </w:pPr>
      <w:r w:rsidRPr="00603720">
        <w:rPr>
          <w:rFonts w:ascii="Arial" w:eastAsia="Times New Roman" w:hAnsi="Arial" w:cs="Arial"/>
          <w:sz w:val="20"/>
          <w:szCs w:val="20"/>
          <w:lang w:eastAsia="es-ES_tradnl"/>
        </w:rPr>
        <w:t xml:space="preserve">[…] </w:t>
      </w:r>
      <w:r w:rsidRPr="00603720">
        <w:rPr>
          <w:rFonts w:ascii="Arial" w:eastAsia="Calibri" w:hAnsi="Arial" w:cs="Arial"/>
          <w:sz w:val="20"/>
          <w:szCs w:val="20"/>
          <w:lang w:val="es-ES_tradnl" w:eastAsia="es-MX"/>
        </w:rPr>
        <w:t>Específicamente, el numeral 1º del artículo referido establece que en los procesos de selección de contratistas serán objeto de verificación, como requisitos habilitantes, entre otros, los siguientes: i) la capacidad jurídica; ii) la experiencia; iii) la capacidad financiera y iv) la capacidad de organización.</w:t>
      </w:r>
    </w:p>
    <w:p w14:paraId="058A2BD9" w14:textId="77777777" w:rsidR="00603720" w:rsidRPr="00603720" w:rsidRDefault="00603720" w:rsidP="00603720">
      <w:pPr>
        <w:spacing w:after="0" w:line="240" w:lineRule="auto"/>
        <w:contextualSpacing/>
        <w:jc w:val="both"/>
        <w:rPr>
          <w:rFonts w:ascii="Arial" w:eastAsia="Calibri" w:hAnsi="Arial" w:cs="Arial"/>
          <w:sz w:val="20"/>
          <w:szCs w:val="20"/>
          <w:lang w:val="es-ES_tradnl" w:eastAsia="es-MX"/>
        </w:rPr>
      </w:pPr>
    </w:p>
    <w:p w14:paraId="20C0DDAE" w14:textId="77777777" w:rsidR="00603720" w:rsidRPr="00603720" w:rsidRDefault="00603720" w:rsidP="00603720">
      <w:pPr>
        <w:spacing w:after="0" w:line="240" w:lineRule="auto"/>
        <w:contextualSpacing/>
        <w:jc w:val="both"/>
        <w:rPr>
          <w:rFonts w:ascii="Arial" w:eastAsia="Times New Roman" w:hAnsi="Arial" w:cs="Arial"/>
          <w:b/>
          <w:bCs/>
          <w:lang w:val="es-ES_tradnl" w:eastAsia="es-MX"/>
        </w:rPr>
      </w:pPr>
      <w:r w:rsidRPr="00603720">
        <w:rPr>
          <w:rFonts w:ascii="Arial" w:eastAsia="Times New Roman" w:hAnsi="Arial" w:cs="Arial"/>
          <w:b/>
          <w:bCs/>
          <w:lang w:val="es-ES_tradnl" w:eastAsia="es-MX"/>
        </w:rPr>
        <w:t>REQUISITOS HABILITANTES – Carácter enunciativo – Artículo 5 de la Ley 1150 de 2007</w:t>
      </w:r>
    </w:p>
    <w:p w14:paraId="22051861" w14:textId="77777777" w:rsidR="00603720" w:rsidRPr="00603720" w:rsidRDefault="00603720" w:rsidP="00603720">
      <w:pPr>
        <w:spacing w:after="0" w:line="240" w:lineRule="auto"/>
        <w:contextualSpacing/>
        <w:jc w:val="both"/>
        <w:rPr>
          <w:rFonts w:ascii="Arial" w:eastAsia="Times New Roman" w:hAnsi="Arial" w:cs="Arial"/>
          <w:b/>
          <w:bCs/>
          <w:sz w:val="20"/>
          <w:szCs w:val="20"/>
          <w:lang w:val="es-ES_tradnl" w:eastAsia="es-MX"/>
        </w:rPr>
      </w:pPr>
    </w:p>
    <w:p w14:paraId="3885159C" w14:textId="77777777" w:rsidR="00603720" w:rsidRPr="00603720" w:rsidRDefault="00603720" w:rsidP="00603720">
      <w:pPr>
        <w:spacing w:after="0" w:line="240" w:lineRule="auto"/>
        <w:contextualSpacing/>
        <w:jc w:val="both"/>
        <w:rPr>
          <w:rFonts w:ascii="Arial" w:eastAsia="Times New Roman" w:hAnsi="Arial" w:cs="Arial"/>
          <w:sz w:val="20"/>
          <w:szCs w:val="20"/>
          <w:lang w:val="es-ES_tradnl" w:eastAsia="es-MX"/>
        </w:rPr>
      </w:pPr>
      <w:r w:rsidRPr="00603720">
        <w:rPr>
          <w:rFonts w:ascii="Arial" w:eastAsia="Times New Roman" w:hAnsi="Arial" w:cs="Arial"/>
          <w:sz w:val="20"/>
          <w:szCs w:val="20"/>
          <w:lang w:val="es-ES_tradnl" w:eastAsia="es-MX"/>
        </w:rPr>
        <w:t xml:space="preserve">La Agencia Nacional de Contratación Pública – Colombia Compra Eficiente ha defendido el carácter </w:t>
      </w:r>
      <w:r w:rsidRPr="00603720">
        <w:rPr>
          <w:rFonts w:ascii="Arial" w:eastAsia="Times New Roman" w:hAnsi="Arial" w:cs="Arial"/>
          <w:i/>
          <w:iCs/>
          <w:sz w:val="20"/>
          <w:szCs w:val="20"/>
          <w:lang w:val="es-ES_tradnl" w:eastAsia="es-MX"/>
        </w:rPr>
        <w:t>enunciativo</w:t>
      </w:r>
      <w:r w:rsidRPr="00603720">
        <w:rPr>
          <w:rFonts w:ascii="Arial" w:eastAsia="Times New Roman" w:hAnsi="Arial" w:cs="Arial"/>
          <w:sz w:val="20"/>
          <w:szCs w:val="20"/>
          <w:lang w:val="es-ES_tradnl" w:eastAsia="es-MX"/>
        </w:rPr>
        <w:t xml:space="preserve"> del listado de los requisitos habilitantes contenidos en el numeral 1 del artículo 5 de la Ley 1150 de 2007, en la medida en que la referida disposición, al referirse a los requisitos habilitantes, no contiene una expresión como “únicamente” o “solo”, de la que pueda colegirse la taxatividad de los requisitos mencionados.</w:t>
      </w:r>
    </w:p>
    <w:p w14:paraId="649AC960" w14:textId="77777777" w:rsidR="00603720" w:rsidRPr="00603720" w:rsidRDefault="00603720" w:rsidP="00603720">
      <w:pPr>
        <w:spacing w:after="0" w:line="240" w:lineRule="auto"/>
        <w:contextualSpacing/>
        <w:jc w:val="both"/>
        <w:rPr>
          <w:rFonts w:ascii="Arial" w:eastAsia="Times New Roman" w:hAnsi="Arial" w:cs="Arial"/>
          <w:sz w:val="20"/>
          <w:szCs w:val="20"/>
          <w:lang w:val="es-ES_tradnl" w:eastAsia="es-MX"/>
        </w:rPr>
      </w:pPr>
    </w:p>
    <w:p w14:paraId="212C6190" w14:textId="77777777" w:rsidR="00603720" w:rsidRPr="00603720" w:rsidRDefault="00603720" w:rsidP="00603720">
      <w:pPr>
        <w:spacing w:after="0" w:line="240" w:lineRule="auto"/>
        <w:contextualSpacing/>
        <w:jc w:val="both"/>
        <w:rPr>
          <w:rFonts w:ascii="Arial" w:eastAsia="Times New Roman" w:hAnsi="Arial" w:cs="Arial"/>
          <w:sz w:val="20"/>
          <w:szCs w:val="20"/>
          <w:lang w:val="es-ES_tradnl" w:eastAsia="es-MX"/>
        </w:rPr>
      </w:pPr>
      <w:r w:rsidRPr="00603720">
        <w:rPr>
          <w:rFonts w:ascii="Arial" w:eastAsia="Times New Roman" w:hAnsi="Arial" w:cs="Arial"/>
          <w:sz w:val="20"/>
          <w:szCs w:val="20"/>
          <w:lang w:val="es-ES_tradnl" w:eastAsia="es-MX"/>
        </w:rPr>
        <w:t xml:space="preserve">[…] En ese sentido, las entidades tienen autonomía para estructurar los requisitos habilitantes en los procesos que adelantan, pero tal facultad no puede ejercerse de forma arbitraria, caprichosa y, mucho menos, con el ánimo de direccionar el Proceso de Contratación o favorecer a alguno de los proponentes. Tampoco puede suceder que el ejercicio de dicha atribución se haga con desconocimiento de los límites impuestos por la normativa vigente, como, por ejemplo, el parágrafo 2 del artículo 5 de la Ley 1150 de 2007, que prohíbe exigir certificaciones de sistemas de gestión de calidad como requisito habilitante. </w:t>
      </w:r>
    </w:p>
    <w:p w14:paraId="3EA78430" w14:textId="77777777" w:rsidR="00603720" w:rsidRPr="00603720" w:rsidRDefault="00603720" w:rsidP="00603720">
      <w:pPr>
        <w:spacing w:after="0" w:line="240" w:lineRule="auto"/>
        <w:contextualSpacing/>
        <w:jc w:val="both"/>
        <w:rPr>
          <w:rFonts w:ascii="Arial" w:eastAsia="Times New Roman" w:hAnsi="Arial" w:cs="Arial"/>
          <w:sz w:val="20"/>
          <w:szCs w:val="20"/>
          <w:lang w:val="es-ES_tradnl" w:eastAsia="es-MX"/>
        </w:rPr>
      </w:pPr>
    </w:p>
    <w:p w14:paraId="3B870C17" w14:textId="77777777" w:rsidR="00603720" w:rsidRPr="00603720" w:rsidRDefault="00603720" w:rsidP="00603720">
      <w:pPr>
        <w:tabs>
          <w:tab w:val="left" w:pos="426"/>
        </w:tabs>
        <w:spacing w:after="0" w:line="240" w:lineRule="auto"/>
        <w:contextualSpacing/>
        <w:jc w:val="both"/>
        <w:rPr>
          <w:rFonts w:ascii="Arial" w:eastAsia="Times New Roman" w:hAnsi="Arial" w:cs="Arial"/>
          <w:sz w:val="20"/>
          <w:szCs w:val="20"/>
          <w:lang w:val="es-ES_tradnl" w:eastAsia="es-MX"/>
        </w:rPr>
      </w:pPr>
      <w:r w:rsidRPr="00603720">
        <w:rPr>
          <w:rFonts w:ascii="Arial" w:eastAsia="Times New Roman" w:hAnsi="Arial" w:cs="Arial"/>
          <w:sz w:val="20"/>
          <w:szCs w:val="20"/>
          <w:lang w:val="es-ES_tradnl" w:eastAsia="es-MX"/>
        </w:rPr>
        <w:t xml:space="preserve">En ese sentido, las Entidades Estatales son autónomas para definir los requisitos habilitantes, pero tal facultad debe ser ejercida procurando diseñar condiciones habilitantes de manera objetiva, de suerte que estas sirvan para determinar si los participantes del Proceso de Contratación cuentan con las capacidades que los hacen aptos para ejecutar el objeto contractual. Para esto resulta indispensable que los requisitos establecidos por la entidad, además se fijen de manera adecuada y proporcional a las características del objeto ofertado, procurando además ceñirse a la normativa que resulte aplicable. </w:t>
      </w:r>
    </w:p>
    <w:p w14:paraId="46E7A25A" w14:textId="77777777" w:rsidR="00603720" w:rsidRPr="00603720" w:rsidRDefault="00603720" w:rsidP="00603720">
      <w:pPr>
        <w:spacing w:after="0" w:line="240" w:lineRule="auto"/>
        <w:contextualSpacing/>
        <w:jc w:val="both"/>
        <w:rPr>
          <w:rFonts w:ascii="Arial" w:eastAsia="Calibri" w:hAnsi="Arial" w:cs="Arial"/>
          <w:b/>
          <w:sz w:val="20"/>
          <w:szCs w:val="20"/>
          <w:lang w:eastAsia="es-ES_tradnl"/>
        </w:rPr>
      </w:pPr>
    </w:p>
    <w:p w14:paraId="3F4C21EC" w14:textId="77777777" w:rsidR="00603720" w:rsidRPr="00603720" w:rsidRDefault="00603720" w:rsidP="00603720">
      <w:pPr>
        <w:spacing w:after="0" w:line="240" w:lineRule="auto"/>
        <w:contextualSpacing/>
        <w:jc w:val="both"/>
        <w:rPr>
          <w:rFonts w:ascii="Arial" w:eastAsia="Calibri" w:hAnsi="Arial" w:cs="Arial"/>
          <w:b/>
          <w:lang w:eastAsia="es-ES_tradnl"/>
        </w:rPr>
      </w:pPr>
      <w:r w:rsidRPr="00603720">
        <w:rPr>
          <w:rFonts w:ascii="Arial" w:eastAsia="Calibri" w:hAnsi="Arial" w:cs="Arial"/>
          <w:b/>
          <w:lang w:eastAsia="es-ES_tradnl"/>
        </w:rPr>
        <w:t xml:space="preserve">REQUISITOS HABILITANTES – Acreditación – RUP – Otros documentos </w:t>
      </w:r>
    </w:p>
    <w:p w14:paraId="66BE42A8" w14:textId="77777777" w:rsidR="00603720" w:rsidRPr="00603720" w:rsidRDefault="00603720" w:rsidP="00603720">
      <w:pPr>
        <w:spacing w:after="0" w:line="240" w:lineRule="auto"/>
        <w:contextualSpacing/>
        <w:jc w:val="both"/>
        <w:rPr>
          <w:rFonts w:ascii="Arial" w:eastAsia="Calibri" w:hAnsi="Arial" w:cs="Arial"/>
          <w:sz w:val="20"/>
          <w:szCs w:val="20"/>
          <w:lang w:eastAsia="es-ES_tradnl"/>
        </w:rPr>
      </w:pPr>
    </w:p>
    <w:p w14:paraId="2C1024C3" w14:textId="77777777" w:rsidR="00603720" w:rsidRPr="00603720" w:rsidRDefault="00603720" w:rsidP="00603720">
      <w:pPr>
        <w:spacing w:after="0" w:line="240" w:lineRule="auto"/>
        <w:contextualSpacing/>
        <w:jc w:val="both"/>
        <w:rPr>
          <w:rFonts w:ascii="Arial" w:eastAsia="Times New Roman" w:hAnsi="Arial" w:cs="Arial"/>
          <w:sz w:val="20"/>
          <w:szCs w:val="20"/>
          <w:lang w:eastAsia="es-ES_tradnl"/>
        </w:rPr>
      </w:pPr>
      <w:r w:rsidRPr="00603720">
        <w:rPr>
          <w:rFonts w:ascii="Arial" w:eastAsia="Times New Roman" w:hAnsi="Arial" w:cs="Arial"/>
          <w:sz w:val="20"/>
          <w:szCs w:val="20"/>
          <w:lang w:eastAsia="es-ES_tradnl"/>
        </w:rPr>
        <w:t xml:space="preserve">En cuanto al cumplimiento de los requisitos habilitantes, las Entidades Estatales sometidas al Estatuto General de Contratación de la Administración Pública – en adelante EGCAP -,   en virtud de lo establecido en el artículo 5 y 6 de la Ley 1150 de 2007, están obligadas a  efectuar la evaluación correspondiente teniendo en cuenta la información que reposa en el certificado del Registro Único de Proponentes –en adelante RUP–, documento que constituye plena prueba de la información que contiene, tal como lo establece el artículo 6.1 de la Ley 1150 de 2007. Por su parte, el artículo 5.1 </w:t>
      </w:r>
      <w:r w:rsidRPr="00603720">
        <w:rPr>
          <w:rFonts w:ascii="Arial" w:eastAsia="Times New Roman" w:hAnsi="Arial" w:cs="Arial"/>
          <w:sz w:val="20"/>
          <w:szCs w:val="20"/>
          <w:lang w:eastAsia="es-ES_tradnl"/>
        </w:rPr>
        <w:lastRenderedPageBreak/>
        <w:t xml:space="preserve">ibidem, al fijar los criterios que deben tener en cuenta las Entidades Estatales para garantizar la selección objetiva, dispone que las Cámaras de Comercio verificarán la información suministrada por las personas naturales o jurídicas para la inscripción en el Registro. </w:t>
      </w:r>
    </w:p>
    <w:p w14:paraId="025F1EBE" w14:textId="77777777" w:rsidR="00603720" w:rsidRPr="00603720" w:rsidRDefault="00603720" w:rsidP="00603720">
      <w:pPr>
        <w:spacing w:after="0" w:line="240" w:lineRule="auto"/>
        <w:contextualSpacing/>
        <w:jc w:val="both"/>
        <w:rPr>
          <w:rFonts w:ascii="Arial" w:eastAsia="Times New Roman" w:hAnsi="Arial" w:cs="Arial"/>
          <w:sz w:val="20"/>
          <w:szCs w:val="20"/>
          <w:lang w:eastAsia="es-ES_tradnl"/>
        </w:rPr>
      </w:pPr>
    </w:p>
    <w:p w14:paraId="162B0098" w14:textId="77777777" w:rsidR="00603720" w:rsidRPr="00603720" w:rsidRDefault="00603720" w:rsidP="00603720">
      <w:pPr>
        <w:spacing w:after="0" w:line="240" w:lineRule="auto"/>
        <w:contextualSpacing/>
        <w:jc w:val="both"/>
        <w:rPr>
          <w:rFonts w:ascii="Arial" w:eastAsia="Times New Roman" w:hAnsi="Arial" w:cs="Arial"/>
          <w:sz w:val="20"/>
          <w:szCs w:val="20"/>
          <w:lang w:eastAsia="es-ES_tradnl"/>
        </w:rPr>
      </w:pPr>
      <w:r w:rsidRPr="00603720">
        <w:rPr>
          <w:rFonts w:ascii="Arial" w:eastAsia="Times New Roman" w:hAnsi="Arial" w:cs="Arial"/>
          <w:sz w:val="20"/>
          <w:szCs w:val="20"/>
          <w:lang w:eastAsia="es-ES_tradnl"/>
        </w:rPr>
        <w:t>[…] 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p>
    <w:p w14:paraId="0AC28916" w14:textId="77777777" w:rsidR="00603720" w:rsidRPr="00603720" w:rsidRDefault="00603720" w:rsidP="00603720">
      <w:pPr>
        <w:spacing w:after="0" w:line="240" w:lineRule="auto"/>
        <w:contextualSpacing/>
        <w:jc w:val="both"/>
        <w:rPr>
          <w:rFonts w:ascii="Arial" w:eastAsia="Times New Roman" w:hAnsi="Arial" w:cs="Arial"/>
          <w:sz w:val="20"/>
          <w:szCs w:val="20"/>
          <w:lang w:eastAsia="es-ES_tradnl"/>
        </w:rPr>
      </w:pPr>
    </w:p>
    <w:p w14:paraId="6411CE82" w14:textId="77777777" w:rsidR="00603720" w:rsidRPr="00603720" w:rsidRDefault="00603720" w:rsidP="00603720">
      <w:pPr>
        <w:spacing w:after="0" w:line="240" w:lineRule="auto"/>
        <w:contextualSpacing/>
        <w:jc w:val="both"/>
        <w:rPr>
          <w:rFonts w:ascii="Arial" w:eastAsia="Times New Roman" w:hAnsi="Arial" w:cs="Arial"/>
          <w:bCs/>
          <w:sz w:val="20"/>
          <w:szCs w:val="20"/>
          <w:lang w:val="es-MX" w:eastAsia="x-none"/>
        </w:rPr>
      </w:pPr>
      <w:r w:rsidRPr="00603720">
        <w:rPr>
          <w:rFonts w:ascii="Arial" w:eastAsia="Times New Roman" w:hAnsi="Arial" w:cs="Arial"/>
          <w:sz w:val="20"/>
          <w:szCs w:val="20"/>
          <w:lang w:eastAsia="es-ES_tradnl"/>
        </w:rPr>
        <w:t xml:space="preserve">[…] </w:t>
      </w:r>
      <w:r w:rsidRPr="00603720">
        <w:rPr>
          <w:rFonts w:ascii="Arial" w:eastAsia="Times New Roman" w:hAnsi="Arial" w:cs="Arial"/>
          <w:bCs/>
          <w:sz w:val="20"/>
          <w:szCs w:val="20"/>
          <w:lang w:val="es-MX" w:eastAsia="x-none"/>
        </w:rPr>
        <w:t xml:space="preserve">En conclusión, por regla general, el cumplimiento de los requisitos habilitantes determinados por la Entidad Estatal en cada proceso de contratación, entre ellos la capacidad jurídica, se debe verificar mediante el RUP el cual constituye plena prueba de las circunstancias de las que da cuenta. No obstante, en aquellos casos en los cuales no es obligatorio estar inscrito en el RUP o los eventos en los que la Entidad Estatal considere que, por el objeto, naturaleza o especificaciones del proceso, requiere información adicional a la contenida en el RUP, la entidad debe señalar en el Pliego de Condiciones–o en la Invitación– cuál es la información que se debe acreditar, así como los documentos que tendrá como válidos para tal fin. En consecuencia, el proponente deberá ceñirse a lo dispuesto por la entidad y allegar toda información ordenada, en los términos y la forma en que hayan sido señalados. </w:t>
      </w:r>
    </w:p>
    <w:p w14:paraId="1A2C2FF0" w14:textId="77777777" w:rsidR="00603720" w:rsidRPr="00603720" w:rsidRDefault="00603720" w:rsidP="00603720">
      <w:pPr>
        <w:spacing w:after="0" w:line="240" w:lineRule="auto"/>
        <w:contextualSpacing/>
        <w:jc w:val="both"/>
        <w:rPr>
          <w:rFonts w:ascii="Arial" w:eastAsia="Times New Roman" w:hAnsi="Arial" w:cs="Arial"/>
          <w:noProof/>
          <w:sz w:val="20"/>
          <w:szCs w:val="20"/>
          <w:lang w:val="es-ES_tradnl" w:eastAsia="es-ES_tradnl"/>
        </w:rPr>
      </w:pPr>
    </w:p>
    <w:p w14:paraId="2C37D471" w14:textId="77777777" w:rsidR="00603720" w:rsidRPr="00603720" w:rsidRDefault="00603720" w:rsidP="00603720">
      <w:pPr>
        <w:spacing w:after="0" w:line="240" w:lineRule="auto"/>
        <w:contextualSpacing/>
        <w:jc w:val="both"/>
        <w:rPr>
          <w:rFonts w:ascii="Arial" w:eastAsia="Calibri" w:hAnsi="Arial" w:cs="Arial"/>
          <w:b/>
          <w:bCs/>
          <w:lang w:eastAsia="es-ES_tradnl"/>
        </w:rPr>
      </w:pPr>
      <w:r w:rsidRPr="00603720">
        <w:rPr>
          <w:rFonts w:ascii="Arial" w:eastAsia="Calibri" w:hAnsi="Arial" w:cs="Arial"/>
          <w:b/>
          <w:bCs/>
          <w:lang w:eastAsia="es-ES_tradnl"/>
        </w:rPr>
        <w:t>Capacidad jurídica – Registro Único Tributario – CIIU</w:t>
      </w:r>
    </w:p>
    <w:p w14:paraId="74DDCD1D" w14:textId="77777777" w:rsidR="00603720" w:rsidRPr="00603720" w:rsidRDefault="00603720" w:rsidP="00603720">
      <w:pPr>
        <w:spacing w:after="0" w:line="240" w:lineRule="auto"/>
        <w:contextualSpacing/>
        <w:jc w:val="both"/>
        <w:rPr>
          <w:rFonts w:ascii="Arial" w:eastAsia="Times New Roman" w:hAnsi="Arial" w:cs="Arial"/>
          <w:noProof/>
          <w:sz w:val="20"/>
          <w:szCs w:val="20"/>
          <w:lang w:val="es-ES_tradnl" w:eastAsia="es-ES_tradnl"/>
        </w:rPr>
      </w:pPr>
    </w:p>
    <w:p w14:paraId="7C12B81C" w14:textId="77777777" w:rsidR="00603720" w:rsidRPr="00603720" w:rsidRDefault="00603720" w:rsidP="00603720">
      <w:pPr>
        <w:spacing w:after="0" w:line="240" w:lineRule="auto"/>
        <w:contextualSpacing/>
        <w:jc w:val="both"/>
        <w:rPr>
          <w:rFonts w:ascii="Arial" w:eastAsia="Calibri" w:hAnsi="Arial" w:cs="Arial"/>
          <w:sz w:val="20"/>
          <w:szCs w:val="20"/>
          <w:lang w:val="es-ES_tradnl" w:eastAsia="es-ES_tradnl"/>
        </w:rPr>
      </w:pPr>
      <w:r w:rsidRPr="00603720">
        <w:rPr>
          <w:rFonts w:ascii="Arial" w:eastAsia="Calibri" w:hAnsi="Arial" w:cs="Arial"/>
          <w:sz w:val="20"/>
          <w:szCs w:val="20"/>
          <w:lang w:val="es-ES_tradnl" w:eastAsia="es-ES_tradnl"/>
        </w:rPr>
        <w:t>La capacidad jurídica es la aptitud que recae en los sujeto activos o pasivos de las relaciones jurídicas. Para efectos de las relaciones contractuales en las que uno de los extremos de la relación sea una Entidad Estatal, la capacidad jurídica es la facultad que tiene una persona natural o jurídica para celebrar contratos con una Entidad Estatal. En otras palabras, es i) la capacidad de obligarse a cumplir el objeto del contrato y ii) de no estar incursa en inhabilidades o incompatibilidades que impidan la celebración del contrato.</w:t>
      </w:r>
    </w:p>
    <w:p w14:paraId="752DFDA2" w14:textId="77777777" w:rsidR="00603720" w:rsidRPr="00603720" w:rsidRDefault="00603720" w:rsidP="00603720">
      <w:pPr>
        <w:spacing w:after="0" w:line="240" w:lineRule="auto"/>
        <w:contextualSpacing/>
        <w:jc w:val="both"/>
        <w:rPr>
          <w:rFonts w:ascii="Arial" w:eastAsia="Times New Roman" w:hAnsi="Arial" w:cs="Arial"/>
          <w:noProof/>
          <w:sz w:val="20"/>
          <w:szCs w:val="20"/>
          <w:lang w:val="es-ES_tradnl" w:eastAsia="es-ES_tradnl"/>
        </w:rPr>
      </w:pPr>
    </w:p>
    <w:p w14:paraId="00682C9D" w14:textId="77777777" w:rsidR="00603720" w:rsidRPr="00603720" w:rsidRDefault="00603720" w:rsidP="00603720">
      <w:pPr>
        <w:spacing w:after="0" w:line="240" w:lineRule="auto"/>
        <w:contextualSpacing/>
        <w:jc w:val="both"/>
        <w:rPr>
          <w:rFonts w:ascii="Arial" w:eastAsia="Times New Roman" w:hAnsi="Arial" w:cs="Arial"/>
          <w:noProof/>
          <w:sz w:val="20"/>
          <w:szCs w:val="20"/>
          <w:lang w:val="es-ES_tradnl" w:eastAsia="es-ES_tradnl"/>
        </w:rPr>
      </w:pPr>
      <w:r w:rsidRPr="00603720">
        <w:rPr>
          <w:rFonts w:ascii="Arial" w:eastAsia="Times New Roman" w:hAnsi="Arial" w:cs="Arial"/>
          <w:noProof/>
          <w:sz w:val="20"/>
          <w:szCs w:val="20"/>
          <w:lang w:val="es-ES_tradnl" w:eastAsia="es-ES_tradnl"/>
        </w:rPr>
        <w:t>[…]</w:t>
      </w:r>
    </w:p>
    <w:p w14:paraId="378420C8" w14:textId="77777777" w:rsidR="00603720" w:rsidRPr="00603720" w:rsidRDefault="00603720" w:rsidP="00603720">
      <w:pPr>
        <w:spacing w:after="0" w:line="240" w:lineRule="auto"/>
        <w:contextualSpacing/>
        <w:jc w:val="both"/>
        <w:rPr>
          <w:rFonts w:ascii="Arial" w:eastAsia="Times New Roman" w:hAnsi="Arial" w:cs="Arial"/>
          <w:noProof/>
          <w:sz w:val="20"/>
          <w:szCs w:val="20"/>
          <w:lang w:val="es-ES_tradnl" w:eastAsia="es-ES_tradnl"/>
        </w:rPr>
      </w:pPr>
    </w:p>
    <w:p w14:paraId="62EA76C4" w14:textId="77777777" w:rsidR="00603720" w:rsidRPr="00603720" w:rsidRDefault="00603720" w:rsidP="00603720">
      <w:pPr>
        <w:spacing w:after="0" w:line="240" w:lineRule="auto"/>
        <w:contextualSpacing/>
        <w:jc w:val="both"/>
        <w:rPr>
          <w:rFonts w:ascii="Arial" w:eastAsia="Calibri" w:hAnsi="Arial" w:cs="Arial"/>
          <w:sz w:val="20"/>
          <w:szCs w:val="20"/>
          <w:lang w:val="es-ES_tradnl" w:eastAsia="es-ES_tradnl"/>
        </w:rPr>
      </w:pPr>
      <w:r w:rsidRPr="00603720">
        <w:rPr>
          <w:rFonts w:ascii="Arial" w:eastAsia="Calibri" w:hAnsi="Arial" w:cs="Arial"/>
          <w:sz w:val="20"/>
          <w:szCs w:val="20"/>
          <w:lang w:val="es-ES_tradnl" w:eastAsia="es-ES_tradnl"/>
        </w:rPr>
        <w:t xml:space="preserve">Se concluye que, en el ordenamiento colombiano pueden celebrar contratos estatales las personas jurídicas que tengan dentro de su objeto social actividades relacionadas con el objeto a contratar. En el </w:t>
      </w:r>
      <w:r w:rsidRPr="00603720">
        <w:rPr>
          <w:rFonts w:ascii="Arial" w:eastAsia="Times New Roman" w:hAnsi="Arial" w:cs="Arial"/>
          <w:color w:val="000000" w:themeColor="text1"/>
          <w:sz w:val="20"/>
          <w:szCs w:val="20"/>
          <w:lang w:val="es-ES_tradnl" w:eastAsia="es-ES_tradnl"/>
        </w:rPr>
        <w:t xml:space="preserve">RUES, administrado por las cámaras de comercio se encuentra el listado de las actividades económicas que conforman el objeto de las empresas, según los códigos de la Clasificación Industrial Internacional Uniforme (CIIU), en virtud de lo dispuesto en el artículo 11 de la Ley 590 de 2000 y el artículo 166 del Decreto 019 de 2012, por lo cual las Entidades Estatales pueden corroborar a través de este documento si la persona jurídica puede o no ejecutar el objeto contractual. </w:t>
      </w:r>
    </w:p>
    <w:p w14:paraId="57DB2AD2" w14:textId="77777777" w:rsidR="00603720" w:rsidRPr="00603720" w:rsidRDefault="00603720" w:rsidP="00603720">
      <w:pPr>
        <w:spacing w:after="0" w:line="240" w:lineRule="auto"/>
        <w:contextualSpacing/>
        <w:jc w:val="both"/>
        <w:rPr>
          <w:rFonts w:ascii="Arial" w:eastAsia="Times New Roman" w:hAnsi="Arial" w:cs="Arial"/>
          <w:noProof/>
          <w:sz w:val="20"/>
          <w:szCs w:val="20"/>
          <w:lang w:val="es-ES_tradnl" w:eastAsia="es-ES_tradnl"/>
        </w:rPr>
      </w:pPr>
    </w:p>
    <w:p w14:paraId="0E06B087" w14:textId="77777777" w:rsidR="00603720" w:rsidRPr="00603720" w:rsidRDefault="00603720" w:rsidP="00603720">
      <w:pPr>
        <w:spacing w:after="0" w:line="240" w:lineRule="auto"/>
        <w:contextualSpacing/>
        <w:jc w:val="both"/>
        <w:rPr>
          <w:rFonts w:ascii="Arial" w:eastAsia="Times New Roman" w:hAnsi="Arial" w:cs="Arial"/>
          <w:sz w:val="20"/>
          <w:szCs w:val="20"/>
          <w:lang w:eastAsia="es-ES_tradnl"/>
        </w:rPr>
      </w:pPr>
      <w:r w:rsidRPr="00603720">
        <w:rPr>
          <w:rFonts w:ascii="Arial" w:eastAsia="Times New Roman" w:hAnsi="Arial" w:cs="Arial"/>
          <w:sz w:val="20"/>
          <w:szCs w:val="20"/>
          <w:lang w:eastAsia="es-ES_tradnl"/>
        </w:rPr>
        <w:t>De</w:t>
      </w:r>
      <w:r w:rsidRPr="00603720">
        <w:rPr>
          <w:rFonts w:ascii="Arial" w:eastAsia="Times New Roman" w:hAnsi="Arial" w:cs="Arial"/>
          <w:spacing w:val="-6"/>
          <w:sz w:val="20"/>
          <w:szCs w:val="20"/>
          <w:lang w:eastAsia="es-ES_tradnl"/>
        </w:rPr>
        <w:t xml:space="preserve"> </w:t>
      </w:r>
      <w:r w:rsidRPr="00603720">
        <w:rPr>
          <w:rFonts w:ascii="Arial" w:eastAsia="Times New Roman" w:hAnsi="Arial" w:cs="Arial"/>
          <w:sz w:val="20"/>
          <w:szCs w:val="20"/>
          <w:lang w:eastAsia="es-ES_tradnl"/>
        </w:rPr>
        <w:t>acuerdo</w:t>
      </w:r>
      <w:r w:rsidRPr="00603720">
        <w:rPr>
          <w:rFonts w:ascii="Arial" w:eastAsia="Times New Roman" w:hAnsi="Arial" w:cs="Arial"/>
          <w:spacing w:val="-5"/>
          <w:sz w:val="20"/>
          <w:szCs w:val="20"/>
          <w:lang w:eastAsia="es-ES_tradnl"/>
        </w:rPr>
        <w:t xml:space="preserve"> </w:t>
      </w:r>
      <w:r w:rsidRPr="00603720">
        <w:rPr>
          <w:rFonts w:ascii="Arial" w:eastAsia="Times New Roman" w:hAnsi="Arial" w:cs="Arial"/>
          <w:sz w:val="20"/>
          <w:szCs w:val="20"/>
          <w:lang w:eastAsia="es-ES_tradnl"/>
        </w:rPr>
        <w:t>con</w:t>
      </w:r>
      <w:r w:rsidRPr="00603720">
        <w:rPr>
          <w:rFonts w:ascii="Arial" w:eastAsia="Times New Roman" w:hAnsi="Arial" w:cs="Arial"/>
          <w:spacing w:val="-6"/>
          <w:sz w:val="20"/>
          <w:szCs w:val="20"/>
          <w:lang w:eastAsia="es-ES_tradnl"/>
        </w:rPr>
        <w:t xml:space="preserve"> </w:t>
      </w:r>
      <w:r w:rsidRPr="00603720">
        <w:rPr>
          <w:rFonts w:ascii="Arial" w:eastAsia="Times New Roman" w:hAnsi="Arial" w:cs="Arial"/>
          <w:sz w:val="20"/>
          <w:szCs w:val="20"/>
          <w:lang w:eastAsia="es-ES_tradnl"/>
        </w:rPr>
        <w:t>lo</w:t>
      </w:r>
      <w:r w:rsidRPr="00603720">
        <w:rPr>
          <w:rFonts w:ascii="Arial" w:eastAsia="Times New Roman" w:hAnsi="Arial" w:cs="Arial"/>
          <w:spacing w:val="-5"/>
          <w:sz w:val="20"/>
          <w:szCs w:val="20"/>
          <w:lang w:eastAsia="es-ES_tradnl"/>
        </w:rPr>
        <w:t xml:space="preserve"> </w:t>
      </w:r>
      <w:r w:rsidRPr="00603720">
        <w:rPr>
          <w:rFonts w:ascii="Arial" w:eastAsia="Times New Roman" w:hAnsi="Arial" w:cs="Arial"/>
          <w:sz w:val="20"/>
          <w:szCs w:val="20"/>
          <w:lang w:eastAsia="es-ES_tradnl"/>
        </w:rPr>
        <w:t>anterior,</w:t>
      </w:r>
      <w:r w:rsidRPr="00603720">
        <w:rPr>
          <w:rFonts w:ascii="Arial" w:eastAsia="Times New Roman" w:hAnsi="Arial" w:cs="Arial"/>
          <w:spacing w:val="-6"/>
          <w:sz w:val="20"/>
          <w:szCs w:val="20"/>
          <w:lang w:eastAsia="es-ES_tradnl"/>
        </w:rPr>
        <w:t xml:space="preserve"> </w:t>
      </w:r>
      <w:r w:rsidRPr="00603720">
        <w:rPr>
          <w:rFonts w:ascii="Arial" w:eastAsia="Times New Roman" w:hAnsi="Arial" w:cs="Arial"/>
          <w:sz w:val="20"/>
          <w:szCs w:val="20"/>
          <w:lang w:eastAsia="es-ES_tradnl"/>
        </w:rPr>
        <w:t>la</w:t>
      </w:r>
      <w:r w:rsidRPr="00603720">
        <w:rPr>
          <w:rFonts w:ascii="Arial" w:eastAsia="Times New Roman" w:hAnsi="Arial" w:cs="Arial"/>
          <w:spacing w:val="-5"/>
          <w:sz w:val="20"/>
          <w:szCs w:val="20"/>
          <w:lang w:eastAsia="es-ES_tradnl"/>
        </w:rPr>
        <w:t xml:space="preserve"> </w:t>
      </w:r>
      <w:r w:rsidRPr="00603720">
        <w:rPr>
          <w:rFonts w:ascii="Arial" w:eastAsia="Times New Roman" w:hAnsi="Arial" w:cs="Arial"/>
          <w:sz w:val="20"/>
          <w:szCs w:val="20"/>
          <w:lang w:eastAsia="es-ES_tradnl"/>
        </w:rPr>
        <w:t>inscripción</w:t>
      </w:r>
      <w:r w:rsidRPr="00603720">
        <w:rPr>
          <w:rFonts w:ascii="Arial" w:eastAsia="Times New Roman" w:hAnsi="Arial" w:cs="Arial"/>
          <w:spacing w:val="-6"/>
          <w:sz w:val="20"/>
          <w:szCs w:val="20"/>
          <w:lang w:eastAsia="es-ES_tradnl"/>
        </w:rPr>
        <w:t xml:space="preserve"> </w:t>
      </w:r>
      <w:r w:rsidRPr="00603720">
        <w:rPr>
          <w:rFonts w:ascii="Arial" w:eastAsia="Times New Roman" w:hAnsi="Arial" w:cs="Arial"/>
          <w:sz w:val="20"/>
          <w:szCs w:val="20"/>
          <w:lang w:eastAsia="es-ES_tradnl"/>
        </w:rPr>
        <w:t>en</w:t>
      </w:r>
      <w:r w:rsidRPr="00603720">
        <w:rPr>
          <w:rFonts w:ascii="Arial" w:eastAsia="Times New Roman" w:hAnsi="Arial" w:cs="Arial"/>
          <w:spacing w:val="-5"/>
          <w:sz w:val="20"/>
          <w:szCs w:val="20"/>
          <w:lang w:eastAsia="es-ES_tradnl"/>
        </w:rPr>
        <w:t xml:space="preserve"> </w:t>
      </w:r>
      <w:r w:rsidRPr="00603720">
        <w:rPr>
          <w:rFonts w:ascii="Arial" w:eastAsia="Times New Roman" w:hAnsi="Arial" w:cs="Arial"/>
          <w:sz w:val="20"/>
          <w:szCs w:val="20"/>
          <w:lang w:eastAsia="es-ES_tradnl"/>
        </w:rPr>
        <w:t>el</w:t>
      </w:r>
      <w:r w:rsidRPr="00603720">
        <w:rPr>
          <w:rFonts w:ascii="Arial" w:eastAsia="Times New Roman" w:hAnsi="Arial" w:cs="Arial"/>
          <w:spacing w:val="-6"/>
          <w:sz w:val="20"/>
          <w:szCs w:val="20"/>
          <w:lang w:eastAsia="es-ES_tradnl"/>
        </w:rPr>
        <w:t xml:space="preserve"> </w:t>
      </w:r>
      <w:r w:rsidRPr="00603720">
        <w:rPr>
          <w:rFonts w:ascii="Arial" w:eastAsia="Times New Roman" w:hAnsi="Arial" w:cs="Arial"/>
          <w:sz w:val="20"/>
          <w:szCs w:val="20"/>
          <w:lang w:eastAsia="es-ES_tradnl"/>
        </w:rPr>
        <w:t>RUT</w:t>
      </w:r>
      <w:r w:rsidRPr="00603720">
        <w:rPr>
          <w:rFonts w:ascii="Arial" w:eastAsia="Times New Roman" w:hAnsi="Arial" w:cs="Arial"/>
          <w:spacing w:val="-5"/>
          <w:sz w:val="20"/>
          <w:szCs w:val="20"/>
          <w:lang w:eastAsia="es-ES_tradnl"/>
        </w:rPr>
        <w:t xml:space="preserve"> </w:t>
      </w:r>
      <w:r w:rsidRPr="00603720">
        <w:rPr>
          <w:rFonts w:ascii="Arial" w:eastAsia="Times New Roman" w:hAnsi="Arial" w:cs="Arial"/>
          <w:sz w:val="20"/>
          <w:szCs w:val="20"/>
          <w:lang w:eastAsia="es-ES_tradnl"/>
        </w:rPr>
        <w:t>es</w:t>
      </w:r>
      <w:r w:rsidRPr="00603720">
        <w:rPr>
          <w:rFonts w:ascii="Arial" w:eastAsia="Times New Roman" w:hAnsi="Arial" w:cs="Arial"/>
          <w:spacing w:val="-6"/>
          <w:sz w:val="20"/>
          <w:szCs w:val="20"/>
          <w:lang w:eastAsia="es-ES_tradnl"/>
        </w:rPr>
        <w:t xml:space="preserve"> </w:t>
      </w:r>
      <w:r w:rsidRPr="00603720">
        <w:rPr>
          <w:rFonts w:ascii="Arial" w:eastAsia="Times New Roman" w:hAnsi="Arial" w:cs="Arial"/>
          <w:sz w:val="20"/>
          <w:szCs w:val="20"/>
          <w:lang w:eastAsia="es-ES_tradnl"/>
        </w:rPr>
        <w:t>una</w:t>
      </w:r>
      <w:r w:rsidRPr="00603720">
        <w:rPr>
          <w:rFonts w:ascii="Arial" w:eastAsia="Times New Roman" w:hAnsi="Arial" w:cs="Arial"/>
          <w:spacing w:val="-5"/>
          <w:sz w:val="20"/>
          <w:szCs w:val="20"/>
          <w:lang w:eastAsia="es-ES_tradnl"/>
        </w:rPr>
        <w:t xml:space="preserve"> </w:t>
      </w:r>
      <w:r w:rsidRPr="00603720">
        <w:rPr>
          <w:rFonts w:ascii="Arial" w:eastAsia="Times New Roman" w:hAnsi="Arial" w:cs="Arial"/>
          <w:sz w:val="20"/>
          <w:szCs w:val="20"/>
          <w:lang w:eastAsia="es-ES_tradnl"/>
        </w:rPr>
        <w:t>obligación</w:t>
      </w:r>
      <w:r w:rsidRPr="00603720">
        <w:rPr>
          <w:rFonts w:ascii="Arial" w:eastAsia="Times New Roman" w:hAnsi="Arial" w:cs="Arial"/>
          <w:spacing w:val="-6"/>
          <w:sz w:val="20"/>
          <w:szCs w:val="20"/>
          <w:lang w:eastAsia="es-ES_tradnl"/>
        </w:rPr>
        <w:t xml:space="preserve"> </w:t>
      </w:r>
      <w:r w:rsidRPr="00603720">
        <w:rPr>
          <w:rFonts w:ascii="Arial" w:eastAsia="Times New Roman" w:hAnsi="Arial" w:cs="Arial"/>
          <w:sz w:val="20"/>
          <w:szCs w:val="20"/>
          <w:lang w:eastAsia="es-ES_tradnl"/>
        </w:rPr>
        <w:t>que</w:t>
      </w:r>
      <w:r w:rsidRPr="00603720">
        <w:rPr>
          <w:rFonts w:ascii="Arial" w:eastAsia="Times New Roman" w:hAnsi="Arial" w:cs="Arial"/>
          <w:spacing w:val="-5"/>
          <w:sz w:val="20"/>
          <w:szCs w:val="20"/>
          <w:lang w:eastAsia="es-ES_tradnl"/>
        </w:rPr>
        <w:t xml:space="preserve"> </w:t>
      </w:r>
      <w:r w:rsidRPr="00603720">
        <w:rPr>
          <w:rFonts w:ascii="Arial" w:eastAsia="Times New Roman" w:hAnsi="Arial" w:cs="Arial"/>
          <w:sz w:val="20"/>
          <w:szCs w:val="20"/>
          <w:lang w:eastAsia="es-ES_tradnl"/>
        </w:rPr>
        <w:t>asiste a las personas naturales y jurídicas, y que, tratándose de comerciantes, supone concordancia con las</w:t>
      </w:r>
      <w:r w:rsidRPr="00603720">
        <w:rPr>
          <w:rFonts w:ascii="Arial" w:eastAsia="Times New Roman" w:hAnsi="Arial" w:cs="Arial"/>
          <w:spacing w:val="1"/>
          <w:sz w:val="20"/>
          <w:szCs w:val="20"/>
          <w:lang w:eastAsia="es-ES_tradnl"/>
        </w:rPr>
        <w:t xml:space="preserve"> </w:t>
      </w:r>
      <w:r w:rsidRPr="00603720">
        <w:rPr>
          <w:rFonts w:ascii="Arial" w:eastAsia="Times New Roman" w:hAnsi="Arial" w:cs="Arial"/>
          <w:spacing w:val="-1"/>
          <w:sz w:val="20"/>
          <w:szCs w:val="20"/>
          <w:lang w:eastAsia="es-ES_tradnl"/>
        </w:rPr>
        <w:t>actividades</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pacing w:val="-1"/>
          <w:sz w:val="20"/>
          <w:szCs w:val="20"/>
          <w:lang w:eastAsia="es-ES_tradnl"/>
        </w:rPr>
        <w:t>que</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pacing w:val="-1"/>
          <w:sz w:val="20"/>
          <w:szCs w:val="20"/>
          <w:lang w:eastAsia="es-ES_tradnl"/>
        </w:rPr>
        <w:t>en</w:t>
      </w:r>
      <w:r w:rsidRPr="00603720">
        <w:rPr>
          <w:rFonts w:ascii="Arial" w:eastAsia="Times New Roman" w:hAnsi="Arial" w:cs="Arial"/>
          <w:spacing w:val="-14"/>
          <w:sz w:val="20"/>
          <w:szCs w:val="20"/>
          <w:lang w:eastAsia="es-ES_tradnl"/>
        </w:rPr>
        <w:t xml:space="preserve"> </w:t>
      </w:r>
      <w:r w:rsidRPr="00603720">
        <w:rPr>
          <w:rFonts w:ascii="Arial" w:eastAsia="Times New Roman" w:hAnsi="Arial" w:cs="Arial"/>
          <w:spacing w:val="-1"/>
          <w:sz w:val="20"/>
          <w:szCs w:val="20"/>
          <w:lang w:eastAsia="es-ES_tradnl"/>
        </w:rPr>
        <w:t>el</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pacing w:val="-1"/>
          <w:sz w:val="20"/>
          <w:szCs w:val="20"/>
          <w:lang w:eastAsia="es-ES_tradnl"/>
        </w:rPr>
        <w:t>marco</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pacing w:val="-1"/>
          <w:sz w:val="20"/>
          <w:szCs w:val="20"/>
          <w:lang w:eastAsia="es-ES_tradnl"/>
        </w:rPr>
        <w:t>de</w:t>
      </w:r>
      <w:r w:rsidRPr="00603720">
        <w:rPr>
          <w:rFonts w:ascii="Arial" w:eastAsia="Times New Roman" w:hAnsi="Arial" w:cs="Arial"/>
          <w:spacing w:val="-14"/>
          <w:sz w:val="20"/>
          <w:szCs w:val="20"/>
          <w:lang w:eastAsia="es-ES_tradnl"/>
        </w:rPr>
        <w:t xml:space="preserve"> </w:t>
      </w:r>
      <w:r w:rsidRPr="00603720">
        <w:rPr>
          <w:rFonts w:ascii="Arial" w:eastAsia="Times New Roman" w:hAnsi="Arial" w:cs="Arial"/>
          <w:spacing w:val="-1"/>
          <w:sz w:val="20"/>
          <w:szCs w:val="20"/>
          <w:lang w:eastAsia="es-ES_tradnl"/>
        </w:rPr>
        <w:t>las</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pacing w:val="-1"/>
          <w:sz w:val="20"/>
          <w:szCs w:val="20"/>
          <w:lang w:eastAsia="es-ES_tradnl"/>
        </w:rPr>
        <w:t>cuales</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pacing w:val="-1"/>
          <w:sz w:val="20"/>
          <w:szCs w:val="20"/>
          <w:lang w:eastAsia="es-ES_tradnl"/>
        </w:rPr>
        <w:t>se</w:t>
      </w:r>
      <w:r w:rsidRPr="00603720">
        <w:rPr>
          <w:rFonts w:ascii="Arial" w:eastAsia="Times New Roman" w:hAnsi="Arial" w:cs="Arial"/>
          <w:spacing w:val="-14"/>
          <w:sz w:val="20"/>
          <w:szCs w:val="20"/>
          <w:lang w:eastAsia="es-ES_tradnl"/>
        </w:rPr>
        <w:t xml:space="preserve"> </w:t>
      </w:r>
      <w:r w:rsidRPr="00603720">
        <w:rPr>
          <w:rFonts w:ascii="Arial" w:eastAsia="Times New Roman" w:hAnsi="Arial" w:cs="Arial"/>
          <w:spacing w:val="-1"/>
          <w:sz w:val="20"/>
          <w:szCs w:val="20"/>
          <w:lang w:eastAsia="es-ES_tradnl"/>
        </w:rPr>
        <w:t>ejerce</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pacing w:val="-1"/>
          <w:sz w:val="20"/>
          <w:szCs w:val="20"/>
          <w:lang w:eastAsia="es-ES_tradnl"/>
        </w:rPr>
        <w:t>el</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pacing w:val="-1"/>
          <w:sz w:val="20"/>
          <w:szCs w:val="20"/>
          <w:lang w:eastAsia="es-ES_tradnl"/>
        </w:rPr>
        <w:t>comercio.</w:t>
      </w:r>
      <w:r w:rsidRPr="00603720">
        <w:rPr>
          <w:rFonts w:ascii="Arial" w:eastAsia="Times New Roman" w:hAnsi="Arial" w:cs="Arial"/>
          <w:spacing w:val="-14"/>
          <w:sz w:val="20"/>
          <w:szCs w:val="20"/>
          <w:lang w:eastAsia="es-ES_tradnl"/>
        </w:rPr>
        <w:t xml:space="preserve"> </w:t>
      </w:r>
      <w:r w:rsidRPr="00603720">
        <w:rPr>
          <w:rFonts w:ascii="Arial" w:eastAsia="Times New Roman" w:hAnsi="Arial" w:cs="Arial"/>
          <w:sz w:val="20"/>
          <w:szCs w:val="20"/>
          <w:lang w:eastAsia="es-ES_tradnl"/>
        </w:rPr>
        <w:t>No</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z w:val="20"/>
          <w:szCs w:val="20"/>
          <w:lang w:eastAsia="es-ES_tradnl"/>
        </w:rPr>
        <w:t>obstante,</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z w:val="20"/>
          <w:szCs w:val="20"/>
          <w:lang w:eastAsia="es-ES_tradnl"/>
        </w:rPr>
        <w:t>estima</w:t>
      </w:r>
      <w:r w:rsidRPr="00603720">
        <w:rPr>
          <w:rFonts w:ascii="Arial" w:eastAsia="Times New Roman" w:hAnsi="Arial" w:cs="Arial"/>
          <w:spacing w:val="-14"/>
          <w:sz w:val="20"/>
          <w:szCs w:val="20"/>
          <w:lang w:eastAsia="es-ES_tradnl"/>
        </w:rPr>
        <w:t xml:space="preserve"> </w:t>
      </w:r>
      <w:r w:rsidRPr="00603720">
        <w:rPr>
          <w:rFonts w:ascii="Arial" w:eastAsia="Times New Roman" w:hAnsi="Arial" w:cs="Arial"/>
          <w:sz w:val="20"/>
          <w:szCs w:val="20"/>
          <w:lang w:eastAsia="es-ES_tradnl"/>
        </w:rPr>
        <w:t>esta</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z w:val="20"/>
          <w:szCs w:val="20"/>
          <w:lang w:eastAsia="es-ES_tradnl"/>
        </w:rPr>
        <w:t>Agencia</w:t>
      </w:r>
      <w:r w:rsidRPr="00603720">
        <w:rPr>
          <w:rFonts w:ascii="Arial" w:eastAsia="Times New Roman" w:hAnsi="Arial" w:cs="Arial"/>
          <w:spacing w:val="-59"/>
          <w:sz w:val="20"/>
          <w:szCs w:val="20"/>
          <w:lang w:eastAsia="es-ES_tradnl"/>
        </w:rPr>
        <w:t xml:space="preserve"> </w:t>
      </w:r>
      <w:r w:rsidRPr="00603720">
        <w:rPr>
          <w:rFonts w:ascii="Arial" w:eastAsia="Times New Roman" w:hAnsi="Arial" w:cs="Arial"/>
          <w:sz w:val="20"/>
          <w:szCs w:val="20"/>
          <w:lang w:eastAsia="es-ES_tradnl"/>
        </w:rPr>
        <w:t>que ello no necesariamente condiciona la capacidad jurídica del proponente para obligarse en el</w:t>
      </w:r>
      <w:r w:rsidRPr="00603720">
        <w:rPr>
          <w:rFonts w:ascii="Arial" w:eastAsia="Times New Roman" w:hAnsi="Arial" w:cs="Arial"/>
          <w:spacing w:val="-60"/>
          <w:sz w:val="20"/>
          <w:szCs w:val="20"/>
          <w:lang w:eastAsia="es-ES_tradnl"/>
        </w:rPr>
        <w:t xml:space="preserve"> </w:t>
      </w:r>
      <w:r w:rsidRPr="00603720">
        <w:rPr>
          <w:rFonts w:ascii="Arial" w:eastAsia="Times New Roman" w:hAnsi="Arial" w:cs="Arial"/>
          <w:sz w:val="20"/>
          <w:szCs w:val="20"/>
          <w:lang w:eastAsia="es-ES_tradnl"/>
        </w:rPr>
        <w:t>marco de un contrato estatal y ejecutar el mismo, en la medida que se trata de una obligación</w:t>
      </w:r>
      <w:r w:rsidRPr="00603720">
        <w:rPr>
          <w:rFonts w:ascii="Arial" w:eastAsia="Times New Roman" w:hAnsi="Arial" w:cs="Arial"/>
          <w:spacing w:val="1"/>
          <w:sz w:val="20"/>
          <w:szCs w:val="20"/>
          <w:lang w:eastAsia="es-ES_tradnl"/>
        </w:rPr>
        <w:t xml:space="preserve"> </w:t>
      </w:r>
      <w:r w:rsidRPr="00603720">
        <w:rPr>
          <w:rFonts w:ascii="Arial" w:eastAsia="Times New Roman" w:hAnsi="Arial" w:cs="Arial"/>
          <w:sz w:val="20"/>
          <w:szCs w:val="20"/>
          <w:lang w:eastAsia="es-ES_tradnl"/>
        </w:rPr>
        <w:t>tributaria</w:t>
      </w:r>
      <w:r w:rsidRPr="00603720">
        <w:rPr>
          <w:rFonts w:ascii="Arial" w:eastAsia="Times New Roman" w:hAnsi="Arial" w:cs="Arial"/>
          <w:spacing w:val="-14"/>
          <w:sz w:val="20"/>
          <w:szCs w:val="20"/>
          <w:lang w:eastAsia="es-ES_tradnl"/>
        </w:rPr>
        <w:t xml:space="preserve"> </w:t>
      </w:r>
      <w:r w:rsidRPr="00603720">
        <w:rPr>
          <w:rFonts w:ascii="Arial" w:eastAsia="Times New Roman" w:hAnsi="Arial" w:cs="Arial"/>
          <w:sz w:val="20"/>
          <w:szCs w:val="20"/>
          <w:lang w:eastAsia="es-ES_tradnl"/>
        </w:rPr>
        <w:t>que</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z w:val="20"/>
          <w:szCs w:val="20"/>
          <w:lang w:eastAsia="es-ES_tradnl"/>
        </w:rPr>
        <w:t>solo</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z w:val="20"/>
          <w:szCs w:val="20"/>
          <w:lang w:eastAsia="es-ES_tradnl"/>
        </w:rPr>
        <w:t>condicionará</w:t>
      </w:r>
      <w:r w:rsidRPr="00603720">
        <w:rPr>
          <w:rFonts w:ascii="Arial" w:eastAsia="Times New Roman" w:hAnsi="Arial" w:cs="Arial"/>
          <w:spacing w:val="-16"/>
          <w:sz w:val="20"/>
          <w:szCs w:val="20"/>
          <w:lang w:eastAsia="es-ES_tradnl"/>
        </w:rPr>
        <w:t xml:space="preserve"> </w:t>
      </w:r>
      <w:r w:rsidRPr="00603720">
        <w:rPr>
          <w:rFonts w:ascii="Arial" w:eastAsia="Times New Roman" w:hAnsi="Arial" w:cs="Arial"/>
          <w:sz w:val="20"/>
          <w:szCs w:val="20"/>
          <w:lang w:eastAsia="es-ES_tradnl"/>
        </w:rPr>
        <w:t>la</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z w:val="20"/>
          <w:szCs w:val="20"/>
          <w:lang w:eastAsia="es-ES_tradnl"/>
        </w:rPr>
        <w:t>capacidad</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z w:val="20"/>
          <w:szCs w:val="20"/>
          <w:lang w:eastAsia="es-ES_tradnl"/>
        </w:rPr>
        <w:t>jurídica</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z w:val="20"/>
          <w:szCs w:val="20"/>
          <w:lang w:eastAsia="es-ES_tradnl"/>
        </w:rPr>
        <w:t>en</w:t>
      </w:r>
      <w:r w:rsidRPr="00603720">
        <w:rPr>
          <w:rFonts w:ascii="Arial" w:eastAsia="Times New Roman" w:hAnsi="Arial" w:cs="Arial"/>
          <w:spacing w:val="-16"/>
          <w:sz w:val="20"/>
          <w:szCs w:val="20"/>
          <w:lang w:eastAsia="es-ES_tradnl"/>
        </w:rPr>
        <w:t xml:space="preserve"> </w:t>
      </w:r>
      <w:r w:rsidRPr="00603720">
        <w:rPr>
          <w:rFonts w:ascii="Arial" w:eastAsia="Times New Roman" w:hAnsi="Arial" w:cs="Arial"/>
          <w:sz w:val="20"/>
          <w:szCs w:val="20"/>
          <w:lang w:eastAsia="es-ES_tradnl"/>
        </w:rPr>
        <w:t>el</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z w:val="20"/>
          <w:szCs w:val="20"/>
          <w:lang w:eastAsia="es-ES_tradnl"/>
        </w:rPr>
        <w:t>caso</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z w:val="20"/>
          <w:szCs w:val="20"/>
          <w:lang w:eastAsia="es-ES_tradnl"/>
        </w:rPr>
        <w:t>en</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z w:val="20"/>
          <w:szCs w:val="20"/>
          <w:lang w:eastAsia="es-ES_tradnl"/>
        </w:rPr>
        <w:t>el</w:t>
      </w:r>
      <w:r w:rsidRPr="00603720">
        <w:rPr>
          <w:rFonts w:ascii="Arial" w:eastAsia="Times New Roman" w:hAnsi="Arial" w:cs="Arial"/>
          <w:spacing w:val="-16"/>
          <w:sz w:val="20"/>
          <w:szCs w:val="20"/>
          <w:lang w:eastAsia="es-ES_tradnl"/>
        </w:rPr>
        <w:t xml:space="preserve"> </w:t>
      </w:r>
      <w:r w:rsidRPr="00603720">
        <w:rPr>
          <w:rFonts w:ascii="Arial" w:eastAsia="Times New Roman" w:hAnsi="Arial" w:cs="Arial"/>
          <w:sz w:val="20"/>
          <w:szCs w:val="20"/>
          <w:lang w:eastAsia="es-ES_tradnl"/>
        </w:rPr>
        <w:t>que</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z w:val="20"/>
          <w:szCs w:val="20"/>
          <w:lang w:eastAsia="es-ES_tradnl"/>
        </w:rPr>
        <w:t>se</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z w:val="20"/>
          <w:szCs w:val="20"/>
          <w:lang w:eastAsia="es-ES_tradnl"/>
        </w:rPr>
        <w:t>trate</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z w:val="20"/>
          <w:szCs w:val="20"/>
          <w:lang w:eastAsia="es-ES_tradnl"/>
        </w:rPr>
        <w:t>de</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z w:val="20"/>
          <w:szCs w:val="20"/>
          <w:lang w:eastAsia="es-ES_tradnl"/>
        </w:rPr>
        <w:t>una</w:t>
      </w:r>
      <w:r w:rsidRPr="00603720">
        <w:rPr>
          <w:rFonts w:ascii="Arial" w:eastAsia="Times New Roman" w:hAnsi="Arial" w:cs="Arial"/>
          <w:spacing w:val="-15"/>
          <w:sz w:val="20"/>
          <w:szCs w:val="20"/>
          <w:lang w:eastAsia="es-ES_tradnl"/>
        </w:rPr>
        <w:t xml:space="preserve"> </w:t>
      </w:r>
      <w:r w:rsidRPr="00603720">
        <w:rPr>
          <w:rFonts w:ascii="Arial" w:eastAsia="Times New Roman" w:hAnsi="Arial" w:cs="Arial"/>
          <w:sz w:val="20"/>
          <w:szCs w:val="20"/>
          <w:lang w:eastAsia="es-ES_tradnl"/>
        </w:rPr>
        <w:t>actividad</w:t>
      </w:r>
      <w:r w:rsidRPr="00603720">
        <w:rPr>
          <w:rFonts w:ascii="Arial" w:eastAsia="Times New Roman" w:hAnsi="Arial" w:cs="Arial"/>
          <w:spacing w:val="-59"/>
          <w:sz w:val="20"/>
          <w:szCs w:val="20"/>
          <w:lang w:eastAsia="es-ES_tradnl"/>
        </w:rPr>
        <w:t xml:space="preserve"> </w:t>
      </w:r>
      <w:r w:rsidRPr="00603720">
        <w:rPr>
          <w:rFonts w:ascii="Arial" w:eastAsia="Times New Roman" w:hAnsi="Arial" w:cs="Arial"/>
          <w:sz w:val="20"/>
          <w:szCs w:val="20"/>
          <w:lang w:eastAsia="es-ES_tradnl"/>
        </w:rPr>
        <w:t>que</w:t>
      </w:r>
      <w:r w:rsidRPr="00603720">
        <w:rPr>
          <w:rFonts w:ascii="Arial" w:eastAsia="Times New Roman" w:hAnsi="Arial" w:cs="Arial"/>
          <w:spacing w:val="-5"/>
          <w:sz w:val="20"/>
          <w:szCs w:val="20"/>
          <w:lang w:eastAsia="es-ES_tradnl"/>
        </w:rPr>
        <w:t xml:space="preserve"> </w:t>
      </w:r>
      <w:r w:rsidRPr="00603720">
        <w:rPr>
          <w:rFonts w:ascii="Arial" w:eastAsia="Times New Roman" w:hAnsi="Arial" w:cs="Arial"/>
          <w:sz w:val="20"/>
          <w:szCs w:val="20"/>
          <w:lang w:eastAsia="es-ES_tradnl"/>
        </w:rPr>
        <w:t>solo</w:t>
      </w:r>
      <w:r w:rsidRPr="00603720">
        <w:rPr>
          <w:rFonts w:ascii="Arial" w:eastAsia="Times New Roman" w:hAnsi="Arial" w:cs="Arial"/>
          <w:spacing w:val="-4"/>
          <w:sz w:val="20"/>
          <w:szCs w:val="20"/>
          <w:lang w:eastAsia="es-ES_tradnl"/>
        </w:rPr>
        <w:t xml:space="preserve"> </w:t>
      </w:r>
      <w:r w:rsidRPr="00603720">
        <w:rPr>
          <w:rFonts w:ascii="Arial" w:eastAsia="Times New Roman" w:hAnsi="Arial" w:cs="Arial"/>
          <w:sz w:val="20"/>
          <w:szCs w:val="20"/>
          <w:lang w:eastAsia="es-ES_tradnl"/>
        </w:rPr>
        <w:t>pueda</w:t>
      </w:r>
      <w:r w:rsidRPr="00603720">
        <w:rPr>
          <w:rFonts w:ascii="Arial" w:eastAsia="Times New Roman" w:hAnsi="Arial" w:cs="Arial"/>
          <w:spacing w:val="-4"/>
          <w:sz w:val="20"/>
          <w:szCs w:val="20"/>
          <w:lang w:eastAsia="es-ES_tradnl"/>
        </w:rPr>
        <w:t xml:space="preserve"> </w:t>
      </w:r>
      <w:r w:rsidRPr="00603720">
        <w:rPr>
          <w:rFonts w:ascii="Arial" w:eastAsia="Times New Roman" w:hAnsi="Arial" w:cs="Arial"/>
          <w:sz w:val="20"/>
          <w:szCs w:val="20"/>
          <w:lang w:eastAsia="es-ES_tradnl"/>
        </w:rPr>
        <w:t>ser</w:t>
      </w:r>
      <w:r w:rsidRPr="00603720">
        <w:rPr>
          <w:rFonts w:ascii="Arial" w:eastAsia="Times New Roman" w:hAnsi="Arial" w:cs="Arial"/>
          <w:spacing w:val="-4"/>
          <w:sz w:val="20"/>
          <w:szCs w:val="20"/>
          <w:lang w:eastAsia="es-ES_tradnl"/>
        </w:rPr>
        <w:t xml:space="preserve"> </w:t>
      </w:r>
      <w:r w:rsidRPr="00603720">
        <w:rPr>
          <w:rFonts w:ascii="Arial" w:eastAsia="Times New Roman" w:hAnsi="Arial" w:cs="Arial"/>
          <w:sz w:val="20"/>
          <w:szCs w:val="20"/>
          <w:lang w:eastAsia="es-ES_tradnl"/>
        </w:rPr>
        <w:t>ejercida</w:t>
      </w:r>
      <w:r w:rsidRPr="00603720">
        <w:rPr>
          <w:rFonts w:ascii="Arial" w:eastAsia="Times New Roman" w:hAnsi="Arial" w:cs="Arial"/>
          <w:spacing w:val="-4"/>
          <w:sz w:val="20"/>
          <w:szCs w:val="20"/>
          <w:lang w:eastAsia="es-ES_tradnl"/>
        </w:rPr>
        <w:t xml:space="preserve"> </w:t>
      </w:r>
      <w:r w:rsidRPr="00603720">
        <w:rPr>
          <w:rFonts w:ascii="Arial" w:eastAsia="Times New Roman" w:hAnsi="Arial" w:cs="Arial"/>
          <w:sz w:val="20"/>
          <w:szCs w:val="20"/>
          <w:lang w:eastAsia="es-ES_tradnl"/>
        </w:rPr>
        <w:t>previa</w:t>
      </w:r>
      <w:r w:rsidRPr="00603720">
        <w:rPr>
          <w:rFonts w:ascii="Arial" w:eastAsia="Times New Roman" w:hAnsi="Arial" w:cs="Arial"/>
          <w:spacing w:val="-4"/>
          <w:sz w:val="20"/>
          <w:szCs w:val="20"/>
          <w:lang w:eastAsia="es-ES_tradnl"/>
        </w:rPr>
        <w:t xml:space="preserve"> </w:t>
      </w:r>
      <w:r w:rsidRPr="00603720">
        <w:rPr>
          <w:rFonts w:ascii="Arial" w:eastAsia="Times New Roman" w:hAnsi="Arial" w:cs="Arial"/>
          <w:sz w:val="20"/>
          <w:szCs w:val="20"/>
          <w:lang w:eastAsia="es-ES_tradnl"/>
        </w:rPr>
        <w:t>inscripción</w:t>
      </w:r>
      <w:r w:rsidRPr="00603720">
        <w:rPr>
          <w:rFonts w:ascii="Arial" w:eastAsia="Times New Roman" w:hAnsi="Arial" w:cs="Arial"/>
          <w:spacing w:val="-5"/>
          <w:sz w:val="20"/>
          <w:szCs w:val="20"/>
          <w:lang w:eastAsia="es-ES_tradnl"/>
        </w:rPr>
        <w:t xml:space="preserve"> </w:t>
      </w:r>
      <w:r w:rsidRPr="00603720">
        <w:rPr>
          <w:rFonts w:ascii="Arial" w:eastAsia="Times New Roman" w:hAnsi="Arial" w:cs="Arial"/>
          <w:sz w:val="20"/>
          <w:szCs w:val="20"/>
          <w:lang w:eastAsia="es-ES_tradnl"/>
        </w:rPr>
        <w:t>en</w:t>
      </w:r>
      <w:r w:rsidRPr="00603720">
        <w:rPr>
          <w:rFonts w:ascii="Arial" w:eastAsia="Times New Roman" w:hAnsi="Arial" w:cs="Arial"/>
          <w:spacing w:val="-4"/>
          <w:sz w:val="20"/>
          <w:szCs w:val="20"/>
          <w:lang w:eastAsia="es-ES_tradnl"/>
        </w:rPr>
        <w:t xml:space="preserve"> </w:t>
      </w:r>
      <w:r w:rsidRPr="00603720">
        <w:rPr>
          <w:rFonts w:ascii="Arial" w:eastAsia="Times New Roman" w:hAnsi="Arial" w:cs="Arial"/>
          <w:sz w:val="20"/>
          <w:szCs w:val="20"/>
          <w:lang w:eastAsia="es-ES_tradnl"/>
        </w:rPr>
        <w:t>el</w:t>
      </w:r>
      <w:r w:rsidRPr="00603720">
        <w:rPr>
          <w:rFonts w:ascii="Arial" w:eastAsia="Times New Roman" w:hAnsi="Arial" w:cs="Arial"/>
          <w:spacing w:val="-4"/>
          <w:sz w:val="20"/>
          <w:szCs w:val="20"/>
          <w:lang w:eastAsia="es-ES_tradnl"/>
        </w:rPr>
        <w:t xml:space="preserve"> </w:t>
      </w:r>
      <w:r w:rsidRPr="00603720">
        <w:rPr>
          <w:rFonts w:ascii="Arial" w:eastAsia="Times New Roman" w:hAnsi="Arial" w:cs="Arial"/>
          <w:sz w:val="20"/>
          <w:szCs w:val="20"/>
          <w:lang w:eastAsia="es-ES_tradnl"/>
        </w:rPr>
        <w:t>RUT,</w:t>
      </w:r>
      <w:r w:rsidRPr="00603720">
        <w:rPr>
          <w:rFonts w:ascii="Arial" w:eastAsia="Times New Roman" w:hAnsi="Arial" w:cs="Arial"/>
          <w:spacing w:val="-4"/>
          <w:sz w:val="20"/>
          <w:szCs w:val="20"/>
          <w:lang w:eastAsia="es-ES_tradnl"/>
        </w:rPr>
        <w:t xml:space="preserve"> </w:t>
      </w:r>
      <w:r w:rsidRPr="00603720">
        <w:rPr>
          <w:rFonts w:ascii="Arial" w:eastAsia="Times New Roman" w:hAnsi="Arial" w:cs="Arial"/>
          <w:sz w:val="20"/>
          <w:szCs w:val="20"/>
          <w:lang w:eastAsia="es-ES_tradnl"/>
        </w:rPr>
        <w:t>asunto</w:t>
      </w:r>
      <w:r w:rsidRPr="00603720">
        <w:rPr>
          <w:rFonts w:ascii="Arial" w:eastAsia="Times New Roman" w:hAnsi="Arial" w:cs="Arial"/>
          <w:spacing w:val="-4"/>
          <w:sz w:val="20"/>
          <w:szCs w:val="20"/>
          <w:lang w:eastAsia="es-ES_tradnl"/>
        </w:rPr>
        <w:t xml:space="preserve"> </w:t>
      </w:r>
      <w:r w:rsidRPr="00603720">
        <w:rPr>
          <w:rFonts w:ascii="Arial" w:eastAsia="Times New Roman" w:hAnsi="Arial" w:cs="Arial"/>
          <w:sz w:val="20"/>
          <w:szCs w:val="20"/>
          <w:lang w:eastAsia="es-ES_tradnl"/>
        </w:rPr>
        <w:t>regido</w:t>
      </w:r>
      <w:r w:rsidRPr="00603720">
        <w:rPr>
          <w:rFonts w:ascii="Arial" w:eastAsia="Times New Roman" w:hAnsi="Arial" w:cs="Arial"/>
          <w:spacing w:val="-4"/>
          <w:sz w:val="20"/>
          <w:szCs w:val="20"/>
          <w:lang w:eastAsia="es-ES_tradnl"/>
        </w:rPr>
        <w:t xml:space="preserve"> </w:t>
      </w:r>
      <w:r w:rsidRPr="00603720">
        <w:rPr>
          <w:rFonts w:ascii="Arial" w:eastAsia="Times New Roman" w:hAnsi="Arial" w:cs="Arial"/>
          <w:sz w:val="20"/>
          <w:szCs w:val="20"/>
          <w:lang w:eastAsia="es-ES_tradnl"/>
        </w:rPr>
        <w:t>por</w:t>
      </w:r>
      <w:r w:rsidRPr="00603720">
        <w:rPr>
          <w:rFonts w:ascii="Arial" w:eastAsia="Times New Roman" w:hAnsi="Arial" w:cs="Arial"/>
          <w:spacing w:val="-5"/>
          <w:sz w:val="20"/>
          <w:szCs w:val="20"/>
          <w:lang w:eastAsia="es-ES_tradnl"/>
        </w:rPr>
        <w:t xml:space="preserve"> </w:t>
      </w:r>
      <w:r w:rsidRPr="00603720">
        <w:rPr>
          <w:rFonts w:ascii="Arial" w:eastAsia="Times New Roman" w:hAnsi="Arial" w:cs="Arial"/>
          <w:sz w:val="20"/>
          <w:szCs w:val="20"/>
          <w:lang w:eastAsia="es-ES_tradnl"/>
        </w:rPr>
        <w:t>normas</w:t>
      </w:r>
      <w:r w:rsidRPr="00603720">
        <w:rPr>
          <w:rFonts w:ascii="Arial" w:eastAsia="Times New Roman" w:hAnsi="Arial" w:cs="Arial"/>
          <w:spacing w:val="-4"/>
          <w:sz w:val="20"/>
          <w:szCs w:val="20"/>
          <w:lang w:eastAsia="es-ES_tradnl"/>
        </w:rPr>
        <w:t xml:space="preserve"> </w:t>
      </w:r>
      <w:r w:rsidRPr="00603720">
        <w:rPr>
          <w:rFonts w:ascii="Arial" w:eastAsia="Times New Roman" w:hAnsi="Arial" w:cs="Arial"/>
          <w:sz w:val="20"/>
          <w:szCs w:val="20"/>
          <w:lang w:eastAsia="es-ES_tradnl"/>
        </w:rPr>
        <w:t>tributarias.</w:t>
      </w:r>
    </w:p>
    <w:p w14:paraId="31AEF6A6" w14:textId="77777777" w:rsidR="00603720" w:rsidRPr="00603720" w:rsidRDefault="00603720" w:rsidP="00603720">
      <w:pPr>
        <w:spacing w:after="0" w:line="240" w:lineRule="auto"/>
        <w:contextualSpacing/>
        <w:jc w:val="both"/>
        <w:rPr>
          <w:rFonts w:ascii="Arial" w:eastAsia="Times New Roman" w:hAnsi="Arial" w:cs="Arial"/>
          <w:sz w:val="20"/>
          <w:szCs w:val="20"/>
          <w:lang w:eastAsia="es-ES_tradnl"/>
        </w:rPr>
      </w:pPr>
    </w:p>
    <w:p w14:paraId="2038FC59" w14:textId="77777777" w:rsidR="00603720" w:rsidRPr="00603720" w:rsidRDefault="00603720" w:rsidP="00603720">
      <w:pPr>
        <w:spacing w:after="0" w:line="240" w:lineRule="auto"/>
        <w:contextualSpacing/>
        <w:jc w:val="both"/>
        <w:rPr>
          <w:rFonts w:ascii="Arial" w:eastAsia="Times New Roman" w:hAnsi="Arial" w:cs="Arial"/>
          <w:sz w:val="20"/>
          <w:szCs w:val="20"/>
          <w:lang w:eastAsia="es-ES_tradnl"/>
        </w:rPr>
      </w:pPr>
      <w:r w:rsidRPr="00603720">
        <w:rPr>
          <w:rFonts w:ascii="Arial" w:eastAsia="Times New Roman" w:hAnsi="Arial" w:cs="Arial"/>
          <w:sz w:val="20"/>
          <w:szCs w:val="20"/>
          <w:lang w:eastAsia="es-ES_tradnl"/>
        </w:rPr>
        <w:lastRenderedPageBreak/>
        <w:t>Conforme a lo anterior, la validez de exigir la inscripción en el RUT de determinados</w:t>
      </w:r>
      <w:r w:rsidRPr="00603720">
        <w:rPr>
          <w:rFonts w:ascii="Arial" w:eastAsia="Times New Roman" w:hAnsi="Arial" w:cs="Arial"/>
          <w:spacing w:val="1"/>
          <w:sz w:val="20"/>
          <w:szCs w:val="20"/>
          <w:lang w:eastAsia="es-ES_tradnl"/>
        </w:rPr>
        <w:t xml:space="preserve"> </w:t>
      </w:r>
      <w:r w:rsidRPr="00603720">
        <w:rPr>
          <w:rFonts w:ascii="Arial" w:eastAsia="Times New Roman" w:hAnsi="Arial" w:cs="Arial"/>
          <w:sz w:val="20"/>
          <w:szCs w:val="20"/>
          <w:lang w:eastAsia="es-ES_tradnl"/>
        </w:rPr>
        <w:t>códigos</w:t>
      </w:r>
      <w:r w:rsidRPr="00603720">
        <w:rPr>
          <w:rFonts w:ascii="Arial" w:eastAsia="Times New Roman" w:hAnsi="Arial" w:cs="Arial"/>
          <w:spacing w:val="-6"/>
          <w:sz w:val="20"/>
          <w:szCs w:val="20"/>
          <w:lang w:eastAsia="es-ES_tradnl"/>
        </w:rPr>
        <w:t xml:space="preserve"> </w:t>
      </w:r>
      <w:r w:rsidRPr="00603720">
        <w:rPr>
          <w:rFonts w:ascii="Arial" w:eastAsia="Times New Roman" w:hAnsi="Arial" w:cs="Arial"/>
          <w:sz w:val="20"/>
          <w:szCs w:val="20"/>
          <w:lang w:eastAsia="es-ES_tradnl"/>
        </w:rPr>
        <w:t>o</w:t>
      </w:r>
      <w:r w:rsidRPr="00603720">
        <w:rPr>
          <w:rFonts w:ascii="Arial" w:eastAsia="Times New Roman" w:hAnsi="Arial" w:cs="Arial"/>
          <w:spacing w:val="-6"/>
          <w:sz w:val="20"/>
          <w:szCs w:val="20"/>
          <w:lang w:eastAsia="es-ES_tradnl"/>
        </w:rPr>
        <w:t xml:space="preserve"> </w:t>
      </w:r>
      <w:r w:rsidRPr="00603720">
        <w:rPr>
          <w:rFonts w:ascii="Arial" w:eastAsia="Times New Roman" w:hAnsi="Arial" w:cs="Arial"/>
          <w:sz w:val="20"/>
          <w:szCs w:val="20"/>
          <w:lang w:eastAsia="es-ES_tradnl"/>
        </w:rPr>
        <w:t>actividades</w:t>
      </w:r>
      <w:r w:rsidRPr="00603720">
        <w:rPr>
          <w:rFonts w:ascii="Arial" w:eastAsia="Times New Roman" w:hAnsi="Arial" w:cs="Arial"/>
          <w:spacing w:val="-6"/>
          <w:sz w:val="20"/>
          <w:szCs w:val="20"/>
          <w:lang w:eastAsia="es-ES_tradnl"/>
        </w:rPr>
        <w:t xml:space="preserve"> </w:t>
      </w:r>
      <w:r w:rsidRPr="00603720">
        <w:rPr>
          <w:rFonts w:ascii="Arial" w:eastAsia="Times New Roman" w:hAnsi="Arial" w:cs="Arial"/>
          <w:sz w:val="20"/>
          <w:szCs w:val="20"/>
          <w:lang w:eastAsia="es-ES_tradnl"/>
        </w:rPr>
        <w:t>asociados</w:t>
      </w:r>
      <w:r w:rsidRPr="00603720">
        <w:rPr>
          <w:rFonts w:ascii="Arial" w:eastAsia="Times New Roman" w:hAnsi="Arial" w:cs="Arial"/>
          <w:spacing w:val="-6"/>
          <w:sz w:val="20"/>
          <w:szCs w:val="20"/>
          <w:lang w:eastAsia="es-ES_tradnl"/>
        </w:rPr>
        <w:t xml:space="preserve"> </w:t>
      </w:r>
      <w:r w:rsidRPr="00603720">
        <w:rPr>
          <w:rFonts w:ascii="Arial" w:eastAsia="Times New Roman" w:hAnsi="Arial" w:cs="Arial"/>
          <w:sz w:val="20"/>
          <w:szCs w:val="20"/>
          <w:lang w:eastAsia="es-ES_tradnl"/>
        </w:rPr>
        <w:t>al</w:t>
      </w:r>
      <w:r w:rsidRPr="00603720">
        <w:rPr>
          <w:rFonts w:ascii="Arial" w:eastAsia="Times New Roman" w:hAnsi="Arial" w:cs="Arial"/>
          <w:spacing w:val="-6"/>
          <w:sz w:val="20"/>
          <w:szCs w:val="20"/>
          <w:lang w:eastAsia="es-ES_tradnl"/>
        </w:rPr>
        <w:t xml:space="preserve"> </w:t>
      </w:r>
      <w:r w:rsidRPr="00603720">
        <w:rPr>
          <w:rFonts w:ascii="Arial" w:eastAsia="Times New Roman" w:hAnsi="Arial" w:cs="Arial"/>
          <w:sz w:val="20"/>
          <w:szCs w:val="20"/>
          <w:lang w:eastAsia="es-ES_tradnl"/>
        </w:rPr>
        <w:t>objeto</w:t>
      </w:r>
      <w:r w:rsidRPr="00603720">
        <w:rPr>
          <w:rFonts w:ascii="Arial" w:eastAsia="Times New Roman" w:hAnsi="Arial" w:cs="Arial"/>
          <w:spacing w:val="-6"/>
          <w:sz w:val="20"/>
          <w:szCs w:val="20"/>
          <w:lang w:eastAsia="es-ES_tradnl"/>
        </w:rPr>
        <w:t xml:space="preserve"> </w:t>
      </w:r>
      <w:r w:rsidRPr="00603720">
        <w:rPr>
          <w:rFonts w:ascii="Arial" w:eastAsia="Times New Roman" w:hAnsi="Arial" w:cs="Arial"/>
          <w:sz w:val="20"/>
          <w:szCs w:val="20"/>
          <w:lang w:eastAsia="es-ES_tradnl"/>
        </w:rPr>
        <w:t>contractual</w:t>
      </w:r>
      <w:r w:rsidRPr="00603720">
        <w:rPr>
          <w:rFonts w:ascii="Arial" w:eastAsia="Times New Roman" w:hAnsi="Arial" w:cs="Arial"/>
          <w:spacing w:val="-5"/>
          <w:sz w:val="20"/>
          <w:szCs w:val="20"/>
          <w:lang w:eastAsia="es-ES_tradnl"/>
        </w:rPr>
        <w:t xml:space="preserve"> </w:t>
      </w:r>
      <w:r w:rsidRPr="00603720">
        <w:rPr>
          <w:rFonts w:ascii="Arial" w:eastAsia="Times New Roman" w:hAnsi="Arial" w:cs="Arial"/>
          <w:sz w:val="20"/>
          <w:szCs w:val="20"/>
          <w:lang w:eastAsia="es-ES_tradnl"/>
        </w:rPr>
        <w:t>como</w:t>
      </w:r>
      <w:r w:rsidRPr="00603720">
        <w:rPr>
          <w:rFonts w:ascii="Arial" w:eastAsia="Times New Roman" w:hAnsi="Arial" w:cs="Arial"/>
          <w:spacing w:val="-6"/>
          <w:sz w:val="20"/>
          <w:szCs w:val="20"/>
          <w:lang w:eastAsia="es-ES_tradnl"/>
        </w:rPr>
        <w:t xml:space="preserve"> </w:t>
      </w:r>
      <w:r w:rsidRPr="00603720">
        <w:rPr>
          <w:rFonts w:ascii="Arial" w:eastAsia="Times New Roman" w:hAnsi="Arial" w:cs="Arial"/>
          <w:sz w:val="20"/>
          <w:szCs w:val="20"/>
          <w:lang w:eastAsia="es-ES_tradnl"/>
        </w:rPr>
        <w:t>requisito</w:t>
      </w:r>
      <w:r w:rsidRPr="00603720">
        <w:rPr>
          <w:rFonts w:ascii="Arial" w:eastAsia="Times New Roman" w:hAnsi="Arial" w:cs="Arial"/>
          <w:spacing w:val="-6"/>
          <w:sz w:val="20"/>
          <w:szCs w:val="20"/>
          <w:lang w:eastAsia="es-ES_tradnl"/>
        </w:rPr>
        <w:t xml:space="preserve"> </w:t>
      </w:r>
      <w:r w:rsidRPr="00603720">
        <w:rPr>
          <w:rFonts w:ascii="Arial" w:eastAsia="Times New Roman" w:hAnsi="Arial" w:cs="Arial"/>
          <w:sz w:val="20"/>
          <w:szCs w:val="20"/>
          <w:lang w:eastAsia="es-ES_tradnl"/>
        </w:rPr>
        <w:t>para</w:t>
      </w:r>
      <w:r w:rsidRPr="00603720">
        <w:rPr>
          <w:rFonts w:ascii="Arial" w:eastAsia="Times New Roman" w:hAnsi="Arial" w:cs="Arial"/>
          <w:spacing w:val="-6"/>
          <w:sz w:val="20"/>
          <w:szCs w:val="20"/>
          <w:lang w:eastAsia="es-ES_tradnl"/>
        </w:rPr>
        <w:t xml:space="preserve"> </w:t>
      </w:r>
      <w:r w:rsidRPr="00603720">
        <w:rPr>
          <w:rFonts w:ascii="Arial" w:eastAsia="Times New Roman" w:hAnsi="Arial" w:cs="Arial"/>
          <w:sz w:val="20"/>
          <w:szCs w:val="20"/>
          <w:lang w:eastAsia="es-ES_tradnl"/>
        </w:rPr>
        <w:t>acreditar</w:t>
      </w:r>
      <w:r w:rsidRPr="00603720">
        <w:rPr>
          <w:rFonts w:ascii="Arial" w:eastAsia="Times New Roman" w:hAnsi="Arial" w:cs="Arial"/>
          <w:spacing w:val="-6"/>
          <w:sz w:val="20"/>
          <w:szCs w:val="20"/>
          <w:lang w:eastAsia="es-ES_tradnl"/>
        </w:rPr>
        <w:t xml:space="preserve"> </w:t>
      </w:r>
      <w:r w:rsidRPr="00603720">
        <w:rPr>
          <w:rFonts w:ascii="Arial" w:eastAsia="Times New Roman" w:hAnsi="Arial" w:cs="Arial"/>
          <w:sz w:val="20"/>
          <w:szCs w:val="20"/>
          <w:lang w:eastAsia="es-ES_tradnl"/>
        </w:rPr>
        <w:t>la</w:t>
      </w:r>
      <w:r w:rsidRPr="00603720">
        <w:rPr>
          <w:rFonts w:ascii="Arial" w:eastAsia="Times New Roman" w:hAnsi="Arial" w:cs="Arial"/>
          <w:spacing w:val="-6"/>
          <w:sz w:val="20"/>
          <w:szCs w:val="20"/>
          <w:lang w:eastAsia="es-ES_tradnl"/>
        </w:rPr>
        <w:t xml:space="preserve"> </w:t>
      </w:r>
      <w:r w:rsidRPr="00603720">
        <w:rPr>
          <w:rFonts w:ascii="Arial" w:eastAsia="Times New Roman" w:hAnsi="Arial" w:cs="Arial"/>
          <w:sz w:val="20"/>
          <w:szCs w:val="20"/>
          <w:lang w:eastAsia="es-ES_tradnl"/>
        </w:rPr>
        <w:t>capacidad jurídica, depende en primera medida de lo impuesto por las normas tributarias y comerciales, de</w:t>
      </w:r>
      <w:r w:rsidRPr="00603720">
        <w:rPr>
          <w:rFonts w:ascii="Arial" w:eastAsia="Times New Roman" w:hAnsi="Arial" w:cs="Arial"/>
          <w:spacing w:val="1"/>
          <w:sz w:val="20"/>
          <w:szCs w:val="20"/>
          <w:lang w:eastAsia="es-ES_tradnl"/>
        </w:rPr>
        <w:t xml:space="preserve"> </w:t>
      </w:r>
      <w:r w:rsidRPr="00603720">
        <w:rPr>
          <w:rFonts w:ascii="Arial" w:eastAsia="Times New Roman" w:hAnsi="Arial" w:cs="Arial"/>
          <w:sz w:val="20"/>
          <w:szCs w:val="20"/>
          <w:lang w:eastAsia="es-ES_tradnl"/>
        </w:rPr>
        <w:t>suerte</w:t>
      </w:r>
      <w:r w:rsidRPr="00603720">
        <w:rPr>
          <w:rFonts w:ascii="Arial" w:eastAsia="Times New Roman" w:hAnsi="Arial" w:cs="Arial"/>
          <w:spacing w:val="28"/>
          <w:sz w:val="20"/>
          <w:szCs w:val="20"/>
          <w:lang w:eastAsia="es-ES_tradnl"/>
        </w:rPr>
        <w:t xml:space="preserve"> </w:t>
      </w:r>
      <w:r w:rsidRPr="00603720">
        <w:rPr>
          <w:rFonts w:ascii="Arial" w:eastAsia="Times New Roman" w:hAnsi="Arial" w:cs="Arial"/>
          <w:sz w:val="20"/>
          <w:szCs w:val="20"/>
          <w:lang w:eastAsia="es-ES_tradnl"/>
        </w:rPr>
        <w:t>que,</w:t>
      </w:r>
      <w:r w:rsidRPr="00603720">
        <w:rPr>
          <w:rFonts w:ascii="Arial" w:eastAsia="Times New Roman" w:hAnsi="Arial" w:cs="Arial"/>
          <w:spacing w:val="28"/>
          <w:sz w:val="20"/>
          <w:szCs w:val="20"/>
          <w:lang w:eastAsia="es-ES_tradnl"/>
        </w:rPr>
        <w:t xml:space="preserve"> </w:t>
      </w:r>
      <w:r w:rsidRPr="00603720">
        <w:rPr>
          <w:rFonts w:ascii="Arial" w:eastAsia="Times New Roman" w:hAnsi="Arial" w:cs="Arial"/>
          <w:sz w:val="20"/>
          <w:szCs w:val="20"/>
          <w:lang w:eastAsia="es-ES_tradnl"/>
        </w:rPr>
        <w:t>si</w:t>
      </w:r>
      <w:r w:rsidRPr="00603720">
        <w:rPr>
          <w:rFonts w:ascii="Arial" w:eastAsia="Times New Roman" w:hAnsi="Arial" w:cs="Arial"/>
          <w:spacing w:val="28"/>
          <w:sz w:val="20"/>
          <w:szCs w:val="20"/>
          <w:lang w:eastAsia="es-ES_tradnl"/>
        </w:rPr>
        <w:t xml:space="preserve"> </w:t>
      </w:r>
      <w:r w:rsidRPr="00603720">
        <w:rPr>
          <w:rFonts w:ascii="Arial" w:eastAsia="Times New Roman" w:hAnsi="Arial" w:cs="Arial"/>
          <w:sz w:val="20"/>
          <w:szCs w:val="20"/>
          <w:lang w:eastAsia="es-ES_tradnl"/>
        </w:rPr>
        <w:t>tal</w:t>
      </w:r>
      <w:r w:rsidRPr="00603720">
        <w:rPr>
          <w:rFonts w:ascii="Arial" w:eastAsia="Times New Roman" w:hAnsi="Arial" w:cs="Arial"/>
          <w:spacing w:val="28"/>
          <w:sz w:val="20"/>
          <w:szCs w:val="20"/>
          <w:lang w:eastAsia="es-ES_tradnl"/>
        </w:rPr>
        <w:t xml:space="preserve"> </w:t>
      </w:r>
      <w:r w:rsidRPr="00603720">
        <w:rPr>
          <w:rFonts w:ascii="Arial" w:eastAsia="Times New Roman" w:hAnsi="Arial" w:cs="Arial"/>
          <w:sz w:val="20"/>
          <w:szCs w:val="20"/>
          <w:lang w:eastAsia="es-ES_tradnl"/>
        </w:rPr>
        <w:t>normativa</w:t>
      </w:r>
      <w:r w:rsidRPr="00603720">
        <w:rPr>
          <w:rFonts w:ascii="Arial" w:eastAsia="Times New Roman" w:hAnsi="Arial" w:cs="Arial"/>
          <w:spacing w:val="28"/>
          <w:sz w:val="20"/>
          <w:szCs w:val="20"/>
          <w:lang w:eastAsia="es-ES_tradnl"/>
        </w:rPr>
        <w:t xml:space="preserve"> </w:t>
      </w:r>
      <w:r w:rsidRPr="00603720">
        <w:rPr>
          <w:rFonts w:ascii="Arial" w:eastAsia="Times New Roman" w:hAnsi="Arial" w:cs="Arial"/>
          <w:sz w:val="20"/>
          <w:szCs w:val="20"/>
          <w:lang w:eastAsia="es-ES_tradnl"/>
        </w:rPr>
        <w:t>indica</w:t>
      </w:r>
      <w:r w:rsidRPr="00603720">
        <w:rPr>
          <w:rFonts w:ascii="Arial" w:eastAsia="Times New Roman" w:hAnsi="Arial" w:cs="Arial"/>
          <w:spacing w:val="28"/>
          <w:sz w:val="20"/>
          <w:szCs w:val="20"/>
          <w:lang w:eastAsia="es-ES_tradnl"/>
        </w:rPr>
        <w:t xml:space="preserve"> </w:t>
      </w:r>
      <w:r w:rsidRPr="00603720">
        <w:rPr>
          <w:rFonts w:ascii="Arial" w:eastAsia="Times New Roman" w:hAnsi="Arial" w:cs="Arial"/>
          <w:sz w:val="20"/>
          <w:szCs w:val="20"/>
          <w:lang w:eastAsia="es-ES_tradnl"/>
        </w:rPr>
        <w:t>la</w:t>
      </w:r>
      <w:r w:rsidRPr="00603720">
        <w:rPr>
          <w:rFonts w:ascii="Arial" w:eastAsia="Times New Roman" w:hAnsi="Arial" w:cs="Arial"/>
          <w:spacing w:val="28"/>
          <w:sz w:val="20"/>
          <w:szCs w:val="20"/>
          <w:lang w:eastAsia="es-ES_tradnl"/>
        </w:rPr>
        <w:t xml:space="preserve"> </w:t>
      </w:r>
      <w:r w:rsidRPr="00603720">
        <w:rPr>
          <w:rFonts w:ascii="Arial" w:eastAsia="Times New Roman" w:hAnsi="Arial" w:cs="Arial"/>
          <w:sz w:val="20"/>
          <w:szCs w:val="20"/>
          <w:lang w:eastAsia="es-ES_tradnl"/>
        </w:rPr>
        <w:t>obligatoriedad</w:t>
      </w:r>
      <w:r w:rsidRPr="00603720">
        <w:rPr>
          <w:rFonts w:ascii="Arial" w:eastAsia="Times New Roman" w:hAnsi="Arial" w:cs="Arial"/>
          <w:spacing w:val="28"/>
          <w:sz w:val="20"/>
          <w:szCs w:val="20"/>
          <w:lang w:eastAsia="es-ES_tradnl"/>
        </w:rPr>
        <w:t xml:space="preserve"> </w:t>
      </w:r>
      <w:r w:rsidRPr="00603720">
        <w:rPr>
          <w:rFonts w:ascii="Arial" w:eastAsia="Times New Roman" w:hAnsi="Arial" w:cs="Arial"/>
          <w:sz w:val="20"/>
          <w:szCs w:val="20"/>
          <w:lang w:eastAsia="es-ES_tradnl"/>
        </w:rPr>
        <w:t>del</w:t>
      </w:r>
      <w:r w:rsidRPr="00603720">
        <w:rPr>
          <w:rFonts w:ascii="Arial" w:eastAsia="Times New Roman" w:hAnsi="Arial" w:cs="Arial"/>
          <w:spacing w:val="28"/>
          <w:sz w:val="20"/>
          <w:szCs w:val="20"/>
          <w:lang w:eastAsia="es-ES_tradnl"/>
        </w:rPr>
        <w:t xml:space="preserve"> </w:t>
      </w:r>
      <w:r w:rsidRPr="00603720">
        <w:rPr>
          <w:rFonts w:ascii="Arial" w:eastAsia="Times New Roman" w:hAnsi="Arial" w:cs="Arial"/>
          <w:sz w:val="20"/>
          <w:szCs w:val="20"/>
          <w:lang w:eastAsia="es-ES_tradnl"/>
        </w:rPr>
        <w:t>RUT</w:t>
      </w:r>
      <w:r w:rsidRPr="00603720">
        <w:rPr>
          <w:rFonts w:ascii="Arial" w:eastAsia="Times New Roman" w:hAnsi="Arial" w:cs="Arial"/>
          <w:spacing w:val="28"/>
          <w:sz w:val="20"/>
          <w:szCs w:val="20"/>
          <w:lang w:eastAsia="es-ES_tradnl"/>
        </w:rPr>
        <w:t xml:space="preserve"> </w:t>
      </w:r>
      <w:r w:rsidRPr="00603720">
        <w:rPr>
          <w:rFonts w:ascii="Arial" w:eastAsia="Times New Roman" w:hAnsi="Arial" w:cs="Arial"/>
          <w:sz w:val="20"/>
          <w:szCs w:val="20"/>
          <w:lang w:eastAsia="es-ES_tradnl"/>
        </w:rPr>
        <w:t>para</w:t>
      </w:r>
      <w:r w:rsidRPr="00603720">
        <w:rPr>
          <w:rFonts w:ascii="Arial" w:eastAsia="Times New Roman" w:hAnsi="Arial" w:cs="Arial"/>
          <w:spacing w:val="28"/>
          <w:sz w:val="20"/>
          <w:szCs w:val="20"/>
          <w:lang w:eastAsia="es-ES_tradnl"/>
        </w:rPr>
        <w:t xml:space="preserve"> </w:t>
      </w:r>
      <w:r w:rsidRPr="00603720">
        <w:rPr>
          <w:rFonts w:ascii="Arial" w:eastAsia="Times New Roman" w:hAnsi="Arial" w:cs="Arial"/>
          <w:sz w:val="20"/>
          <w:szCs w:val="20"/>
          <w:lang w:eastAsia="es-ES_tradnl"/>
        </w:rPr>
        <w:t>ejercer</w:t>
      </w:r>
      <w:r w:rsidRPr="00603720">
        <w:rPr>
          <w:rFonts w:ascii="Arial" w:eastAsia="Times New Roman" w:hAnsi="Arial" w:cs="Arial"/>
          <w:spacing w:val="28"/>
          <w:sz w:val="20"/>
          <w:szCs w:val="20"/>
          <w:lang w:eastAsia="es-ES_tradnl"/>
        </w:rPr>
        <w:t xml:space="preserve"> </w:t>
      </w:r>
      <w:r w:rsidRPr="00603720">
        <w:rPr>
          <w:rFonts w:ascii="Arial" w:eastAsia="Times New Roman" w:hAnsi="Arial" w:cs="Arial"/>
          <w:sz w:val="20"/>
          <w:szCs w:val="20"/>
          <w:lang w:eastAsia="es-ES_tradnl"/>
        </w:rPr>
        <w:t>la</w:t>
      </w:r>
      <w:r w:rsidRPr="00603720">
        <w:rPr>
          <w:rFonts w:ascii="Arial" w:eastAsia="Times New Roman" w:hAnsi="Arial" w:cs="Arial"/>
          <w:spacing w:val="28"/>
          <w:sz w:val="20"/>
          <w:szCs w:val="20"/>
          <w:lang w:eastAsia="es-ES_tradnl"/>
        </w:rPr>
        <w:t xml:space="preserve"> </w:t>
      </w:r>
      <w:r w:rsidRPr="00603720">
        <w:rPr>
          <w:rFonts w:ascii="Arial" w:eastAsia="Times New Roman" w:hAnsi="Arial" w:cs="Arial"/>
          <w:sz w:val="20"/>
          <w:szCs w:val="20"/>
          <w:lang w:eastAsia="es-ES_tradnl"/>
        </w:rPr>
        <w:t>actividad correspondiente, podría resultar valido el referido requisito. En todo caso, también es necesario</w:t>
      </w:r>
      <w:r w:rsidRPr="00603720">
        <w:rPr>
          <w:rFonts w:ascii="Arial" w:eastAsia="Times New Roman" w:hAnsi="Arial" w:cs="Arial"/>
          <w:spacing w:val="-59"/>
          <w:sz w:val="20"/>
          <w:szCs w:val="20"/>
          <w:lang w:eastAsia="es-ES_tradnl"/>
        </w:rPr>
        <w:t xml:space="preserve"> </w:t>
      </w:r>
      <w:r w:rsidRPr="00603720">
        <w:rPr>
          <w:rFonts w:ascii="Arial" w:eastAsia="Times New Roman" w:hAnsi="Arial" w:cs="Arial"/>
          <w:sz w:val="20"/>
          <w:szCs w:val="20"/>
          <w:lang w:eastAsia="es-ES_tradnl"/>
        </w:rPr>
        <w:t>verificar las particulares condiciones de la persona proponente a efectos de determinar</w:t>
      </w:r>
      <w:r w:rsidRPr="00603720">
        <w:rPr>
          <w:rFonts w:ascii="Arial" w:eastAsia="Times New Roman" w:hAnsi="Arial" w:cs="Arial"/>
          <w:spacing w:val="1"/>
          <w:sz w:val="20"/>
          <w:szCs w:val="20"/>
          <w:lang w:eastAsia="es-ES_tradnl"/>
        </w:rPr>
        <w:t xml:space="preserve"> </w:t>
      </w:r>
      <w:r w:rsidRPr="00603720">
        <w:rPr>
          <w:rFonts w:ascii="Arial" w:eastAsia="Times New Roman" w:hAnsi="Arial" w:cs="Arial"/>
          <w:sz w:val="20"/>
          <w:szCs w:val="20"/>
          <w:lang w:eastAsia="es-ES_tradnl"/>
        </w:rPr>
        <w:t>si atención a las mismas se encuentra obligado a estar inscrito en RUT en los términos exigidos</w:t>
      </w:r>
      <w:r w:rsidRPr="00603720">
        <w:rPr>
          <w:rFonts w:ascii="Arial" w:eastAsia="Times New Roman" w:hAnsi="Arial" w:cs="Arial"/>
          <w:spacing w:val="-59"/>
          <w:sz w:val="20"/>
          <w:szCs w:val="20"/>
          <w:lang w:eastAsia="es-ES_tradnl"/>
        </w:rPr>
        <w:t xml:space="preserve"> </w:t>
      </w:r>
      <w:r w:rsidRPr="00603720">
        <w:rPr>
          <w:rFonts w:ascii="Arial" w:eastAsia="Times New Roman" w:hAnsi="Arial" w:cs="Arial"/>
          <w:sz w:val="20"/>
          <w:szCs w:val="20"/>
          <w:lang w:eastAsia="es-ES_tradnl"/>
        </w:rPr>
        <w:t>o</w:t>
      </w:r>
      <w:r w:rsidRPr="00603720">
        <w:rPr>
          <w:rFonts w:ascii="Arial" w:eastAsia="Times New Roman" w:hAnsi="Arial" w:cs="Arial"/>
          <w:spacing w:val="-1"/>
          <w:sz w:val="20"/>
          <w:szCs w:val="20"/>
          <w:lang w:eastAsia="es-ES_tradnl"/>
        </w:rPr>
        <w:t xml:space="preserve"> </w:t>
      </w:r>
      <w:r w:rsidRPr="00603720">
        <w:rPr>
          <w:rFonts w:ascii="Arial" w:eastAsia="Times New Roman" w:hAnsi="Arial" w:cs="Arial"/>
          <w:sz w:val="20"/>
          <w:szCs w:val="20"/>
          <w:lang w:eastAsia="es-ES_tradnl"/>
        </w:rPr>
        <w:t>si</w:t>
      </w:r>
      <w:r w:rsidRPr="00603720">
        <w:rPr>
          <w:rFonts w:ascii="Arial" w:eastAsia="Times New Roman" w:hAnsi="Arial" w:cs="Arial"/>
          <w:spacing w:val="-1"/>
          <w:sz w:val="20"/>
          <w:szCs w:val="20"/>
          <w:lang w:eastAsia="es-ES_tradnl"/>
        </w:rPr>
        <w:t xml:space="preserve"> </w:t>
      </w:r>
      <w:r w:rsidRPr="00603720">
        <w:rPr>
          <w:rFonts w:ascii="Arial" w:eastAsia="Times New Roman" w:hAnsi="Arial" w:cs="Arial"/>
          <w:sz w:val="20"/>
          <w:szCs w:val="20"/>
          <w:lang w:eastAsia="es-ES_tradnl"/>
        </w:rPr>
        <w:t>ello</w:t>
      </w:r>
      <w:r w:rsidRPr="00603720">
        <w:rPr>
          <w:rFonts w:ascii="Arial" w:eastAsia="Times New Roman" w:hAnsi="Arial" w:cs="Arial"/>
          <w:spacing w:val="-2"/>
          <w:sz w:val="20"/>
          <w:szCs w:val="20"/>
          <w:lang w:eastAsia="es-ES_tradnl"/>
        </w:rPr>
        <w:t xml:space="preserve"> </w:t>
      </w:r>
      <w:r w:rsidRPr="00603720">
        <w:rPr>
          <w:rFonts w:ascii="Arial" w:eastAsia="Times New Roman" w:hAnsi="Arial" w:cs="Arial"/>
          <w:sz w:val="20"/>
          <w:szCs w:val="20"/>
          <w:lang w:eastAsia="es-ES_tradnl"/>
        </w:rPr>
        <w:t>supone</w:t>
      </w:r>
      <w:r w:rsidRPr="00603720">
        <w:rPr>
          <w:rFonts w:ascii="Arial" w:eastAsia="Times New Roman" w:hAnsi="Arial" w:cs="Arial"/>
          <w:spacing w:val="-1"/>
          <w:sz w:val="20"/>
          <w:szCs w:val="20"/>
          <w:lang w:eastAsia="es-ES_tradnl"/>
        </w:rPr>
        <w:t xml:space="preserve"> </w:t>
      </w:r>
      <w:r w:rsidRPr="00603720">
        <w:rPr>
          <w:rFonts w:ascii="Arial" w:eastAsia="Times New Roman" w:hAnsi="Arial" w:cs="Arial"/>
          <w:sz w:val="20"/>
          <w:szCs w:val="20"/>
          <w:lang w:eastAsia="es-ES_tradnl"/>
        </w:rPr>
        <w:t>un</w:t>
      </w:r>
      <w:r w:rsidRPr="00603720">
        <w:rPr>
          <w:rFonts w:ascii="Arial" w:eastAsia="Times New Roman" w:hAnsi="Arial" w:cs="Arial"/>
          <w:spacing w:val="-1"/>
          <w:sz w:val="20"/>
          <w:szCs w:val="20"/>
          <w:lang w:eastAsia="es-ES_tradnl"/>
        </w:rPr>
        <w:t xml:space="preserve"> </w:t>
      </w:r>
      <w:r w:rsidRPr="00603720">
        <w:rPr>
          <w:rFonts w:ascii="Arial" w:eastAsia="Times New Roman" w:hAnsi="Arial" w:cs="Arial"/>
          <w:sz w:val="20"/>
          <w:szCs w:val="20"/>
          <w:lang w:eastAsia="es-ES_tradnl"/>
        </w:rPr>
        <w:t>impedimento</w:t>
      </w:r>
      <w:r w:rsidRPr="00603720">
        <w:rPr>
          <w:rFonts w:ascii="Arial" w:eastAsia="Times New Roman" w:hAnsi="Arial" w:cs="Arial"/>
          <w:spacing w:val="-2"/>
          <w:sz w:val="20"/>
          <w:szCs w:val="20"/>
          <w:lang w:eastAsia="es-ES_tradnl"/>
        </w:rPr>
        <w:t xml:space="preserve"> </w:t>
      </w:r>
      <w:r w:rsidRPr="00603720">
        <w:rPr>
          <w:rFonts w:ascii="Arial" w:eastAsia="Times New Roman" w:hAnsi="Arial" w:cs="Arial"/>
          <w:sz w:val="20"/>
          <w:szCs w:val="20"/>
          <w:lang w:eastAsia="es-ES_tradnl"/>
        </w:rPr>
        <w:t>para</w:t>
      </w:r>
      <w:r w:rsidRPr="00603720">
        <w:rPr>
          <w:rFonts w:ascii="Arial" w:eastAsia="Times New Roman" w:hAnsi="Arial" w:cs="Arial"/>
          <w:spacing w:val="-1"/>
          <w:sz w:val="20"/>
          <w:szCs w:val="20"/>
          <w:lang w:eastAsia="es-ES_tradnl"/>
        </w:rPr>
        <w:t xml:space="preserve"> </w:t>
      </w:r>
      <w:r w:rsidRPr="00603720">
        <w:rPr>
          <w:rFonts w:ascii="Arial" w:eastAsia="Times New Roman" w:hAnsi="Arial" w:cs="Arial"/>
          <w:sz w:val="20"/>
          <w:szCs w:val="20"/>
          <w:lang w:eastAsia="es-ES_tradnl"/>
        </w:rPr>
        <w:t>ejecutar</w:t>
      </w:r>
      <w:r w:rsidRPr="00603720">
        <w:rPr>
          <w:rFonts w:ascii="Arial" w:eastAsia="Times New Roman" w:hAnsi="Arial" w:cs="Arial"/>
          <w:spacing w:val="-1"/>
          <w:sz w:val="20"/>
          <w:szCs w:val="20"/>
          <w:lang w:eastAsia="es-ES_tradnl"/>
        </w:rPr>
        <w:t xml:space="preserve"> </w:t>
      </w:r>
      <w:r w:rsidRPr="00603720">
        <w:rPr>
          <w:rFonts w:ascii="Arial" w:eastAsia="Times New Roman" w:hAnsi="Arial" w:cs="Arial"/>
          <w:sz w:val="20"/>
          <w:szCs w:val="20"/>
          <w:lang w:eastAsia="es-ES_tradnl"/>
        </w:rPr>
        <w:t>el</w:t>
      </w:r>
      <w:r w:rsidRPr="00603720">
        <w:rPr>
          <w:rFonts w:ascii="Arial" w:eastAsia="Times New Roman" w:hAnsi="Arial" w:cs="Arial"/>
          <w:spacing w:val="-2"/>
          <w:sz w:val="20"/>
          <w:szCs w:val="20"/>
          <w:lang w:eastAsia="es-ES_tradnl"/>
        </w:rPr>
        <w:t xml:space="preserve"> </w:t>
      </w:r>
      <w:r w:rsidRPr="00603720">
        <w:rPr>
          <w:rFonts w:ascii="Arial" w:eastAsia="Times New Roman" w:hAnsi="Arial" w:cs="Arial"/>
          <w:sz w:val="20"/>
          <w:szCs w:val="20"/>
          <w:lang w:eastAsia="es-ES_tradnl"/>
        </w:rPr>
        <w:t>contrato.</w:t>
      </w:r>
    </w:p>
    <w:p w14:paraId="1B8A2B27" w14:textId="77777777" w:rsidR="00603720" w:rsidRDefault="00603720">
      <w:pPr>
        <w:rPr>
          <w:rFonts w:ascii="Arial" w:eastAsia="Calibri" w:hAnsi="Arial" w:cs="Arial"/>
          <w:bCs/>
          <w:lang w:val="es-ES_tradnl" w:eastAsia="es-ES_tradnl"/>
        </w:rPr>
      </w:pPr>
      <w:r>
        <w:rPr>
          <w:rFonts w:ascii="Arial" w:eastAsia="Calibri" w:hAnsi="Arial" w:cs="Arial"/>
          <w:bCs/>
          <w:lang w:val="es-ES_tradnl" w:eastAsia="es-ES_tradnl"/>
        </w:rPr>
        <w:br w:type="page"/>
      </w:r>
    </w:p>
    <w:p w14:paraId="7F380BC9" w14:textId="7620D491" w:rsidR="00E468F0" w:rsidRDefault="00E468F0" w:rsidP="00E468F0">
      <w:pPr>
        <w:spacing w:after="0" w:line="240" w:lineRule="auto"/>
        <w:contextualSpacing/>
        <w:rPr>
          <w:rFonts w:ascii="Arial" w:eastAsia="Calibri" w:hAnsi="Arial" w:cs="Arial"/>
          <w:bCs/>
          <w:lang w:val="es-ES_tradnl" w:eastAsia="es-ES_tradnl"/>
        </w:rPr>
      </w:pPr>
      <w:r w:rsidRPr="009B713A">
        <w:rPr>
          <w:rFonts w:ascii="Arial" w:eastAsia="Calibri" w:hAnsi="Arial" w:cs="Arial"/>
          <w:bCs/>
          <w:lang w:val="es-ES_tradnl" w:eastAsia="es-ES_tradnl"/>
        </w:rPr>
        <w:lastRenderedPageBreak/>
        <w:t>Bogotá D.C., </w:t>
      </w:r>
      <w:r w:rsidR="00502E57">
        <w:rPr>
          <w:rFonts w:ascii="Arial" w:eastAsia="Calibri" w:hAnsi="Arial" w:cs="Arial"/>
          <w:bCs/>
          <w:lang w:val="es-ES_tradnl" w:eastAsia="es-ES_tradnl"/>
        </w:rPr>
        <w:t>18 de agosto de 2023</w:t>
      </w:r>
    </w:p>
    <w:p w14:paraId="0F5380F9" w14:textId="77777777" w:rsidR="00E35D47" w:rsidRPr="009B713A" w:rsidRDefault="00E35D47" w:rsidP="00E468F0">
      <w:pPr>
        <w:spacing w:after="0" w:line="240" w:lineRule="auto"/>
        <w:contextualSpacing/>
        <w:rPr>
          <w:rFonts w:ascii="Arial" w:eastAsia="Calibri" w:hAnsi="Arial" w:cs="Arial"/>
          <w:bCs/>
          <w:lang w:val="es-ES_tradnl" w:eastAsia="es-ES_tradnl"/>
        </w:rPr>
      </w:pPr>
    </w:p>
    <w:p w14:paraId="58652348" w14:textId="52196CD8" w:rsidR="00E468F0" w:rsidRPr="009B713A" w:rsidRDefault="00E35D47" w:rsidP="00E35D47">
      <w:pPr>
        <w:spacing w:after="0" w:line="240" w:lineRule="auto"/>
        <w:contextualSpacing/>
        <w:jc w:val="right"/>
        <w:rPr>
          <w:rFonts w:ascii="Arial" w:eastAsia="Times New Roman" w:hAnsi="Arial" w:cs="Arial"/>
          <w:noProof/>
          <w:lang w:val="es-ES_tradnl" w:eastAsia="es-ES_tradnl"/>
        </w:rPr>
      </w:pPr>
      <w:r w:rsidRPr="00E35D47">
        <w:rPr>
          <w:rFonts w:ascii="Arial" w:eastAsia="Times New Roman" w:hAnsi="Arial" w:cs="Arial"/>
          <w:noProof/>
          <w:lang w:val="es-ES_tradnl" w:eastAsia="es-ES_tradnl"/>
        </w:rPr>
        <w:drawing>
          <wp:inline distT="0" distB="0" distL="0" distR="0" wp14:anchorId="34717AAD" wp14:editId="31849C9E">
            <wp:extent cx="3001297" cy="838200"/>
            <wp:effectExtent l="0" t="0" r="8890" b="0"/>
            <wp:docPr id="17506719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671925" name=""/>
                    <pic:cNvPicPr/>
                  </pic:nvPicPr>
                  <pic:blipFill>
                    <a:blip r:embed="rId10"/>
                    <a:stretch>
                      <a:fillRect/>
                    </a:stretch>
                  </pic:blipFill>
                  <pic:spPr>
                    <a:xfrm>
                      <a:off x="0" y="0"/>
                      <a:ext cx="3007581" cy="839955"/>
                    </a:xfrm>
                    <a:prstGeom prst="rect">
                      <a:avLst/>
                    </a:prstGeom>
                  </pic:spPr>
                </pic:pic>
              </a:graphicData>
            </a:graphic>
          </wp:inline>
        </w:drawing>
      </w:r>
    </w:p>
    <w:p w14:paraId="3B077765" w14:textId="77777777" w:rsidR="00E468F0" w:rsidRPr="009B713A" w:rsidRDefault="00E468F0" w:rsidP="00E468F0">
      <w:pPr>
        <w:spacing w:after="0" w:line="240" w:lineRule="auto"/>
        <w:contextualSpacing/>
        <w:jc w:val="both"/>
        <w:rPr>
          <w:rFonts w:ascii="Arial" w:eastAsia="Calibri" w:hAnsi="Arial" w:cs="Arial"/>
          <w:lang w:val="es-ES" w:eastAsia="es-ES_tradnl"/>
        </w:rPr>
      </w:pPr>
      <w:r w:rsidRPr="009B713A">
        <w:rPr>
          <w:rFonts w:ascii="Arial" w:eastAsia="Calibri" w:hAnsi="Arial" w:cs="Arial"/>
          <w:lang w:val="es-ES" w:eastAsia="es-ES_tradnl"/>
        </w:rPr>
        <w:t>Señor</w:t>
      </w:r>
    </w:p>
    <w:p w14:paraId="287C294C" w14:textId="77777777" w:rsidR="00E468F0" w:rsidRPr="009B713A" w:rsidRDefault="00E468F0" w:rsidP="00E468F0">
      <w:pPr>
        <w:spacing w:after="0" w:line="240" w:lineRule="auto"/>
        <w:contextualSpacing/>
        <w:rPr>
          <w:rFonts w:ascii="Arial" w:eastAsia="Calibri" w:hAnsi="Arial" w:cs="Arial"/>
          <w:b/>
          <w:bCs/>
          <w:lang w:val="es-ES" w:eastAsia="es-ES_tradnl"/>
        </w:rPr>
      </w:pPr>
      <w:r w:rsidRPr="009B713A">
        <w:rPr>
          <w:rFonts w:ascii="Arial" w:eastAsia="Calibri" w:hAnsi="Arial" w:cs="Arial"/>
          <w:b/>
          <w:bCs/>
          <w:lang w:val="es-ES" w:eastAsia="es-ES_tradnl"/>
        </w:rPr>
        <w:t>Pedro Alejandro Ariza Rubiano</w:t>
      </w:r>
    </w:p>
    <w:p w14:paraId="3E4906A7" w14:textId="77777777" w:rsidR="00E468F0" w:rsidRPr="009B713A" w:rsidRDefault="00E468F0" w:rsidP="00E468F0">
      <w:pPr>
        <w:spacing w:after="0" w:line="240" w:lineRule="auto"/>
        <w:contextualSpacing/>
        <w:rPr>
          <w:rFonts w:ascii="Arial" w:eastAsia="Calibri" w:hAnsi="Arial" w:cs="Arial"/>
          <w:lang w:val="es-ES_tradnl" w:eastAsia="es-ES_tradnl"/>
        </w:rPr>
      </w:pPr>
      <w:r w:rsidRPr="009B713A">
        <w:rPr>
          <w:rFonts w:ascii="Arial" w:eastAsia="Calibri" w:hAnsi="Arial" w:cs="Arial"/>
          <w:bCs/>
          <w:lang w:val="es-ES_tradnl" w:eastAsia="es-ES_tradnl"/>
        </w:rPr>
        <w:t>Bucaramanga, Santander</w:t>
      </w:r>
    </w:p>
    <w:p w14:paraId="1290F76F" w14:textId="77777777" w:rsidR="00E468F0" w:rsidRPr="009B713A" w:rsidRDefault="00E468F0" w:rsidP="00E468F0">
      <w:pPr>
        <w:spacing w:after="0" w:line="240" w:lineRule="auto"/>
        <w:contextualSpacing/>
        <w:rPr>
          <w:rFonts w:ascii="Arial" w:eastAsia="Calibri" w:hAnsi="Arial" w:cs="Arial"/>
          <w:lang w:val="es-ES_tradnl" w:eastAsia="es-ES_tradnl"/>
        </w:rPr>
      </w:pPr>
    </w:p>
    <w:p w14:paraId="5E710ABB" w14:textId="77777777" w:rsidR="00E468F0" w:rsidRPr="009B713A" w:rsidRDefault="00E468F0" w:rsidP="00E468F0">
      <w:pPr>
        <w:spacing w:after="0" w:line="240" w:lineRule="auto"/>
        <w:contextualSpacing/>
        <w:rPr>
          <w:rFonts w:ascii="Arial" w:eastAsia="Calibri" w:hAnsi="Arial" w:cs="Arial"/>
          <w:lang w:val="es-ES_tradnl" w:eastAsia="es-ES_tradnl"/>
        </w:rPr>
      </w:pPr>
    </w:p>
    <w:p w14:paraId="31B5849F" w14:textId="77777777" w:rsidR="00E468F0" w:rsidRPr="009B713A" w:rsidRDefault="00E468F0" w:rsidP="00E468F0">
      <w:pPr>
        <w:spacing w:after="0" w:line="240" w:lineRule="auto"/>
        <w:ind w:left="2694"/>
        <w:contextualSpacing/>
        <w:rPr>
          <w:rFonts w:ascii="Arial" w:eastAsia="Calibri" w:hAnsi="Arial" w:cs="Arial"/>
          <w:b/>
          <w:bCs/>
          <w:lang w:val="es-ES" w:eastAsia="es-ES_tradnl"/>
        </w:rPr>
      </w:pPr>
      <w:r w:rsidRPr="009B713A">
        <w:rPr>
          <w:rFonts w:ascii="Arial" w:eastAsia="Calibri" w:hAnsi="Arial" w:cs="Arial"/>
          <w:b/>
          <w:bCs/>
          <w:lang w:val="es-ES" w:eastAsia="es-ES_tradnl"/>
        </w:rPr>
        <w:t>Concepto C-337 de 2023</w:t>
      </w:r>
    </w:p>
    <w:p w14:paraId="1BAD95B1" w14:textId="77777777" w:rsidR="00E468F0" w:rsidRPr="009B713A" w:rsidRDefault="00E468F0" w:rsidP="00E468F0">
      <w:pPr>
        <w:spacing w:after="0" w:line="240" w:lineRule="auto"/>
        <w:contextualSpacing/>
        <w:jc w:val="both"/>
        <w:rPr>
          <w:rFonts w:ascii="Arial" w:eastAsia="Calibri" w:hAnsi="Arial"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E468F0" w:rsidRPr="009B713A" w14:paraId="677A2F7E" w14:textId="77777777" w:rsidTr="00052C34">
        <w:trPr>
          <w:jc w:val="right"/>
        </w:trPr>
        <w:tc>
          <w:tcPr>
            <w:tcW w:w="1838" w:type="dxa"/>
          </w:tcPr>
          <w:p w14:paraId="6D54572D" w14:textId="77777777" w:rsidR="00E468F0" w:rsidRPr="009B713A" w:rsidRDefault="00E468F0" w:rsidP="00E468F0">
            <w:pPr>
              <w:contextualSpacing/>
              <w:jc w:val="center"/>
              <w:rPr>
                <w:rFonts w:ascii="Arial" w:eastAsia="Calibri" w:hAnsi="Arial" w:cs="Arial"/>
                <w:lang w:val="es-ES_tradnl" w:eastAsia="es-ES_tradnl"/>
              </w:rPr>
            </w:pPr>
            <w:r w:rsidRPr="009B713A">
              <w:rPr>
                <w:rFonts w:ascii="Arial" w:eastAsia="Calibri" w:hAnsi="Arial" w:cs="Arial"/>
                <w:b/>
                <w:lang w:val="es-ES_tradnl" w:eastAsia="es-ES_tradnl"/>
              </w:rPr>
              <w:t>Temas:</w:t>
            </w:r>
          </w:p>
        </w:tc>
        <w:tc>
          <w:tcPr>
            <w:tcW w:w="6237" w:type="dxa"/>
          </w:tcPr>
          <w:p w14:paraId="57A15C2C" w14:textId="77777777" w:rsidR="00E468F0" w:rsidRPr="009B713A" w:rsidRDefault="00E468F0" w:rsidP="00E468F0">
            <w:pPr>
              <w:contextualSpacing/>
              <w:jc w:val="both"/>
              <w:rPr>
                <w:rFonts w:ascii="Arial" w:eastAsia="Calibri" w:hAnsi="Arial" w:cs="Arial"/>
                <w:lang w:eastAsia="es-ES_tradnl"/>
              </w:rPr>
            </w:pPr>
            <w:r w:rsidRPr="009B713A">
              <w:rPr>
                <w:rFonts w:ascii="Arial" w:eastAsia="Times New Roman" w:hAnsi="Arial" w:cs="Arial"/>
                <w:lang w:val="es-ES_tradnl" w:eastAsia="es-MX"/>
              </w:rPr>
              <w:t xml:space="preserve">REQUISITOS HABILITANTES – Concepto / REQUISITOS HABILITANTES – Carácter enunciativo – Artículo 5 de la Ley 1150 de 2007 / </w:t>
            </w:r>
            <w:r w:rsidRPr="009B713A">
              <w:rPr>
                <w:rFonts w:ascii="Arial" w:eastAsia="Calibri" w:hAnsi="Arial" w:cs="Arial"/>
                <w:lang w:eastAsia="es-ES_tradnl"/>
              </w:rPr>
              <w:t>Requisitos Habilitantes – Acreditación – RUP – Otros documentos / Capacidad jurídica – Registro Único Tributario – CIIU</w:t>
            </w:r>
          </w:p>
          <w:p w14:paraId="6459E384" w14:textId="77777777" w:rsidR="00E468F0" w:rsidRPr="009B713A" w:rsidRDefault="00E468F0" w:rsidP="00E468F0">
            <w:pPr>
              <w:contextualSpacing/>
              <w:jc w:val="both"/>
              <w:rPr>
                <w:rFonts w:ascii="Arial" w:eastAsia="Times New Roman" w:hAnsi="Arial" w:cs="Arial"/>
                <w:lang w:val="es-ES_tradnl" w:eastAsia="es-ES_tradnl"/>
              </w:rPr>
            </w:pPr>
          </w:p>
        </w:tc>
      </w:tr>
      <w:tr w:rsidR="00E468F0" w:rsidRPr="009B713A" w14:paraId="19923D02" w14:textId="77777777" w:rsidTr="00052C34">
        <w:trPr>
          <w:jc w:val="right"/>
        </w:trPr>
        <w:tc>
          <w:tcPr>
            <w:tcW w:w="1838" w:type="dxa"/>
          </w:tcPr>
          <w:p w14:paraId="557CEE3B" w14:textId="77777777" w:rsidR="00E468F0" w:rsidRPr="009B713A" w:rsidRDefault="00E468F0" w:rsidP="00E468F0">
            <w:pPr>
              <w:contextualSpacing/>
              <w:jc w:val="center"/>
              <w:rPr>
                <w:rFonts w:ascii="Arial" w:eastAsia="Calibri" w:hAnsi="Arial" w:cs="Arial"/>
                <w:b/>
                <w:lang w:val="es-ES" w:eastAsia="es-ES_tradnl"/>
              </w:rPr>
            </w:pPr>
            <w:r w:rsidRPr="009B713A">
              <w:rPr>
                <w:rFonts w:ascii="Arial" w:eastAsia="Calibri" w:hAnsi="Arial" w:cs="Arial"/>
                <w:b/>
                <w:lang w:val="es-ES" w:eastAsia="es-ES_tradnl"/>
              </w:rPr>
              <w:t>Radicación:</w:t>
            </w:r>
          </w:p>
        </w:tc>
        <w:tc>
          <w:tcPr>
            <w:tcW w:w="6237" w:type="dxa"/>
          </w:tcPr>
          <w:p w14:paraId="34CC3822" w14:textId="77777777" w:rsidR="00E468F0" w:rsidRPr="009B713A" w:rsidRDefault="00E468F0" w:rsidP="00E468F0">
            <w:pPr>
              <w:contextualSpacing/>
              <w:jc w:val="both"/>
              <w:rPr>
                <w:rFonts w:ascii="Arial" w:eastAsia="Calibri" w:hAnsi="Arial" w:cs="Arial"/>
                <w:lang w:val="es-ES" w:eastAsia="es-ES_tradnl"/>
              </w:rPr>
            </w:pPr>
            <w:r w:rsidRPr="009B713A">
              <w:rPr>
                <w:rFonts w:ascii="Arial" w:eastAsia="Calibri" w:hAnsi="Arial" w:cs="Arial"/>
                <w:lang w:val="es-ES" w:eastAsia="es-ES_tradnl"/>
              </w:rPr>
              <w:t xml:space="preserve">Respuesta a consulta </w:t>
            </w:r>
            <w:r w:rsidRPr="009B713A">
              <w:rPr>
                <w:rFonts w:ascii="Arial" w:eastAsia="Times New Roman" w:hAnsi="Arial" w:cs="Arial"/>
                <w:lang w:eastAsia="es-ES_tradnl"/>
              </w:rPr>
              <w:t>P20230705012955</w:t>
            </w:r>
          </w:p>
        </w:tc>
      </w:tr>
    </w:tbl>
    <w:p w14:paraId="1A3B223D" w14:textId="77777777" w:rsidR="00E468F0" w:rsidRPr="009B713A" w:rsidRDefault="00E468F0" w:rsidP="00E468F0">
      <w:pPr>
        <w:spacing w:after="0" w:line="276" w:lineRule="auto"/>
        <w:jc w:val="both"/>
        <w:rPr>
          <w:rFonts w:ascii="Arial" w:eastAsia="Calibri" w:hAnsi="Arial" w:cs="Arial"/>
          <w:lang w:val="es-ES_tradnl" w:eastAsia="es-ES_tradnl"/>
        </w:rPr>
      </w:pPr>
    </w:p>
    <w:p w14:paraId="699D2D96" w14:textId="77777777" w:rsidR="00E468F0" w:rsidRPr="009B713A" w:rsidRDefault="00E468F0" w:rsidP="00E468F0">
      <w:pPr>
        <w:spacing w:after="0" w:line="276" w:lineRule="auto"/>
        <w:jc w:val="both"/>
        <w:rPr>
          <w:rFonts w:ascii="Arial" w:eastAsia="Calibri" w:hAnsi="Arial" w:cs="Arial"/>
          <w:lang w:val="es-ES_tradnl" w:eastAsia="es-ES_tradnl"/>
        </w:rPr>
      </w:pPr>
    </w:p>
    <w:p w14:paraId="4DEAD2DF" w14:textId="77777777" w:rsidR="00E468F0" w:rsidRPr="009B713A" w:rsidRDefault="00E468F0" w:rsidP="00E468F0">
      <w:pPr>
        <w:spacing w:after="0" w:line="276" w:lineRule="auto"/>
        <w:jc w:val="both"/>
        <w:rPr>
          <w:rFonts w:ascii="Arial" w:eastAsia="Calibri" w:hAnsi="Arial" w:cs="Arial"/>
          <w:bCs/>
          <w:lang w:val="es-ES_tradnl" w:eastAsia="es-ES_tradnl"/>
        </w:rPr>
      </w:pPr>
      <w:r w:rsidRPr="009B713A">
        <w:rPr>
          <w:rFonts w:ascii="Arial" w:eastAsia="Calibri" w:hAnsi="Arial" w:cs="Arial"/>
          <w:lang w:val="es-ES_tradnl" w:eastAsia="es-ES_tradnl"/>
        </w:rPr>
        <w:t xml:space="preserve">Estimado señor </w:t>
      </w:r>
      <w:r w:rsidRPr="009B713A">
        <w:rPr>
          <w:rFonts w:ascii="Arial" w:eastAsia="Calibri" w:hAnsi="Arial" w:cs="Arial"/>
          <w:bCs/>
          <w:lang w:val="es-ES_tradnl" w:eastAsia="es-ES_tradnl"/>
        </w:rPr>
        <w:t>Ariza Rubiano:</w:t>
      </w:r>
    </w:p>
    <w:p w14:paraId="44A886C2" w14:textId="77777777" w:rsidR="00E468F0" w:rsidRPr="009B713A" w:rsidRDefault="00E468F0" w:rsidP="00E468F0">
      <w:pPr>
        <w:spacing w:after="0" w:line="276" w:lineRule="auto"/>
        <w:jc w:val="both"/>
        <w:rPr>
          <w:rFonts w:ascii="Arial" w:eastAsia="Calibri" w:hAnsi="Arial" w:cs="Arial"/>
          <w:lang w:val="es-ES_tradnl" w:eastAsia="es-ES_tradnl"/>
        </w:rPr>
      </w:pPr>
    </w:p>
    <w:p w14:paraId="1046A0D6" w14:textId="77777777" w:rsidR="00E468F0" w:rsidRPr="009B713A" w:rsidRDefault="00E468F0" w:rsidP="00E468F0">
      <w:pPr>
        <w:spacing w:after="0" w:line="276" w:lineRule="auto"/>
        <w:jc w:val="both"/>
        <w:rPr>
          <w:rFonts w:ascii="Arial" w:eastAsia="Calibri" w:hAnsi="Arial" w:cs="Arial"/>
          <w:lang w:val="es-ES" w:eastAsia="es-ES_tradnl"/>
        </w:rPr>
      </w:pPr>
      <w:r w:rsidRPr="009B713A">
        <w:rPr>
          <w:rFonts w:ascii="Arial" w:eastAsia="Calibri" w:hAnsi="Arial" w:cs="Arial"/>
          <w:lang w:val="es-ES" w:eastAsia="es-ES_tradnl"/>
        </w:rPr>
        <w:t>En ejercicio de la competencia otorgada por el numeral 8° del artículo 11 y el numeral 5° del artículo 3 del Decreto Ley 4170 de 2011</w:t>
      </w:r>
      <w:r w:rsidRPr="009B713A">
        <w:rPr>
          <w:rFonts w:ascii="Arial" w:eastAsia="Calibri" w:hAnsi="Arial" w:cs="Arial"/>
          <w:lang w:eastAsia="es-ES_tradnl"/>
        </w:rPr>
        <w:t xml:space="preserve">, </w:t>
      </w:r>
      <w:r w:rsidRPr="009B713A">
        <w:rPr>
          <w:rFonts w:ascii="Arial" w:eastAsia="Times New Roman" w:hAnsi="Arial" w:cs="Arial"/>
          <w:lang w:eastAsia="es-ES_tradnl"/>
        </w:rPr>
        <w:t>así como lo establecido en la Resolución 1707 de 2018 expedida por esta Entidad</w:t>
      </w:r>
      <w:r w:rsidRPr="009B713A">
        <w:rPr>
          <w:rFonts w:ascii="Arial" w:eastAsia="Calibri" w:hAnsi="Arial" w:cs="Arial"/>
          <w:lang w:val="es-ES" w:eastAsia="es-ES_tradnl"/>
        </w:rPr>
        <w:t>, la Agencia Nacional de Contratación Pública ― Colombia Compra Eficiente responde su consulta del 5 de julio de 2023.</w:t>
      </w:r>
    </w:p>
    <w:p w14:paraId="0094FBDA" w14:textId="77777777" w:rsidR="00E468F0" w:rsidRPr="009B713A" w:rsidRDefault="00E468F0" w:rsidP="00E468F0">
      <w:pPr>
        <w:spacing w:after="0" w:line="276" w:lineRule="auto"/>
        <w:jc w:val="both"/>
        <w:rPr>
          <w:rFonts w:ascii="Arial" w:eastAsia="Calibri" w:hAnsi="Arial" w:cs="Arial"/>
          <w:b/>
          <w:lang w:val="es-ES_tradnl" w:eastAsia="es-ES_tradnl"/>
        </w:rPr>
      </w:pPr>
    </w:p>
    <w:p w14:paraId="6E8E7FF5" w14:textId="77777777" w:rsidR="00E468F0" w:rsidRPr="009B713A" w:rsidRDefault="00E468F0" w:rsidP="00E468F0">
      <w:pPr>
        <w:numPr>
          <w:ilvl w:val="0"/>
          <w:numId w:val="6"/>
        </w:numPr>
        <w:tabs>
          <w:tab w:val="left" w:pos="0"/>
          <w:tab w:val="left" w:pos="142"/>
          <w:tab w:val="left" w:pos="284"/>
        </w:tabs>
        <w:spacing w:after="0" w:line="276" w:lineRule="auto"/>
        <w:ind w:left="0" w:firstLine="0"/>
        <w:jc w:val="both"/>
        <w:rPr>
          <w:rFonts w:ascii="Arial" w:eastAsia="Calibri" w:hAnsi="Arial" w:cs="Arial"/>
          <w:b/>
          <w:lang w:val="es-ES_tradnl"/>
        </w:rPr>
      </w:pPr>
      <w:r w:rsidRPr="009B713A">
        <w:rPr>
          <w:rFonts w:ascii="Arial" w:eastAsia="Calibri" w:hAnsi="Arial" w:cs="Arial"/>
          <w:b/>
          <w:lang w:val="es-ES_tradnl"/>
        </w:rPr>
        <w:t xml:space="preserve">Problema planteado </w:t>
      </w:r>
    </w:p>
    <w:p w14:paraId="6BCFC8D2" w14:textId="77777777" w:rsidR="00E468F0" w:rsidRPr="009B713A" w:rsidRDefault="00E468F0" w:rsidP="00E468F0">
      <w:pPr>
        <w:spacing w:after="0" w:line="276" w:lineRule="auto"/>
        <w:jc w:val="both"/>
        <w:rPr>
          <w:rFonts w:ascii="Arial" w:eastAsia="Times New Roman" w:hAnsi="Arial" w:cs="Arial"/>
          <w:lang w:eastAsia="es-ES_tradnl"/>
        </w:rPr>
      </w:pPr>
    </w:p>
    <w:p w14:paraId="1D581E8C" w14:textId="77777777" w:rsidR="00E468F0" w:rsidRPr="009B713A" w:rsidRDefault="00E468F0" w:rsidP="00E468F0">
      <w:pPr>
        <w:spacing w:after="0" w:line="276" w:lineRule="auto"/>
        <w:jc w:val="both"/>
        <w:rPr>
          <w:rFonts w:ascii="Arial" w:eastAsia="Times New Roman" w:hAnsi="Arial" w:cs="Arial"/>
          <w:lang w:eastAsia="es-ES_tradnl"/>
        </w:rPr>
      </w:pPr>
      <w:r w:rsidRPr="009B713A">
        <w:rPr>
          <w:rFonts w:ascii="Arial" w:eastAsia="Times New Roman" w:hAnsi="Arial" w:cs="Arial"/>
          <w:lang w:eastAsia="es-ES_tradnl"/>
        </w:rPr>
        <w:t xml:space="preserve">Usted formula la siguiente consulta: </w:t>
      </w:r>
    </w:p>
    <w:p w14:paraId="589896E2" w14:textId="77777777" w:rsidR="00E468F0" w:rsidRPr="009B713A" w:rsidRDefault="00E468F0" w:rsidP="00E468F0">
      <w:pPr>
        <w:spacing w:after="0" w:line="276" w:lineRule="auto"/>
        <w:jc w:val="both"/>
        <w:rPr>
          <w:rFonts w:ascii="Arial" w:eastAsia="Times New Roman" w:hAnsi="Arial" w:cs="Arial"/>
          <w:lang w:val="es-ES_tradnl" w:eastAsia="es-ES_tradnl"/>
        </w:rPr>
      </w:pPr>
    </w:p>
    <w:p w14:paraId="70E13484" w14:textId="77777777" w:rsidR="00E468F0" w:rsidRPr="009B713A" w:rsidRDefault="00E468F0" w:rsidP="00E468F0">
      <w:pPr>
        <w:spacing w:after="0" w:line="240" w:lineRule="auto"/>
        <w:ind w:left="709" w:right="709"/>
        <w:jc w:val="both"/>
        <w:rPr>
          <w:rFonts w:ascii="Arial" w:eastAsia="Times New Roman" w:hAnsi="Arial" w:cs="Arial"/>
          <w:sz w:val="20"/>
          <w:szCs w:val="20"/>
          <w:lang w:eastAsia="es-ES_tradnl"/>
        </w:rPr>
      </w:pPr>
      <w:r w:rsidRPr="009B713A">
        <w:rPr>
          <w:rFonts w:ascii="Arial" w:eastAsia="Times New Roman" w:hAnsi="Arial" w:cs="Arial"/>
          <w:sz w:val="20"/>
          <w:szCs w:val="20"/>
          <w:lang w:eastAsia="es-ES_tradnl"/>
        </w:rPr>
        <w:t>“Solicito amablemente concepto de la agencia nacional de contratacion publica frente al RUT como requisito habilitante en los siguientes terminos:</w:t>
      </w:r>
    </w:p>
    <w:p w14:paraId="0AA892AF" w14:textId="77777777" w:rsidR="00E468F0" w:rsidRPr="009B713A" w:rsidRDefault="00E468F0" w:rsidP="00E468F0">
      <w:pPr>
        <w:spacing w:after="0" w:line="240" w:lineRule="auto"/>
        <w:ind w:left="709" w:right="709"/>
        <w:jc w:val="both"/>
        <w:rPr>
          <w:rFonts w:ascii="Arial" w:eastAsia="Times New Roman" w:hAnsi="Arial" w:cs="Arial"/>
          <w:sz w:val="20"/>
          <w:szCs w:val="20"/>
          <w:lang w:eastAsia="es-ES_tradnl"/>
        </w:rPr>
      </w:pPr>
    </w:p>
    <w:p w14:paraId="000FF841" w14:textId="77777777" w:rsidR="00E468F0" w:rsidRPr="009B713A" w:rsidRDefault="00E468F0" w:rsidP="00E468F0">
      <w:pPr>
        <w:spacing w:after="0" w:line="240" w:lineRule="auto"/>
        <w:ind w:left="709" w:right="709"/>
        <w:jc w:val="both"/>
        <w:rPr>
          <w:rFonts w:ascii="Arial" w:eastAsia="Times New Roman" w:hAnsi="Arial" w:cs="Arial"/>
          <w:sz w:val="20"/>
          <w:szCs w:val="20"/>
          <w:lang w:eastAsia="es-ES_tradnl"/>
        </w:rPr>
      </w:pPr>
      <w:r w:rsidRPr="009B713A">
        <w:rPr>
          <w:rFonts w:ascii="Arial" w:eastAsia="Times New Roman" w:hAnsi="Arial" w:cs="Arial"/>
          <w:sz w:val="20"/>
          <w:szCs w:val="20"/>
          <w:lang w:eastAsia="es-ES_tradnl"/>
        </w:rPr>
        <w:t>1. Puede exigirse el rut simplemente con su mera existencia? para efectos de corroborar el regimen tributario y si es obligado a IVA.</w:t>
      </w:r>
    </w:p>
    <w:p w14:paraId="7FB37D52" w14:textId="77777777" w:rsidR="00E468F0" w:rsidRPr="009B713A" w:rsidRDefault="00E468F0" w:rsidP="00E468F0">
      <w:pPr>
        <w:spacing w:after="0" w:line="240" w:lineRule="auto"/>
        <w:ind w:left="709" w:right="709"/>
        <w:jc w:val="both"/>
        <w:rPr>
          <w:rFonts w:ascii="Arial" w:eastAsia="Times New Roman" w:hAnsi="Arial" w:cs="Arial"/>
          <w:sz w:val="20"/>
          <w:szCs w:val="20"/>
          <w:lang w:eastAsia="es-ES_tradnl"/>
        </w:rPr>
      </w:pPr>
    </w:p>
    <w:p w14:paraId="23DBBD56" w14:textId="77777777" w:rsidR="00E468F0" w:rsidRPr="009B713A" w:rsidRDefault="00E468F0" w:rsidP="00E468F0">
      <w:pPr>
        <w:spacing w:after="0" w:line="240" w:lineRule="auto"/>
        <w:ind w:left="709" w:right="709"/>
        <w:jc w:val="both"/>
        <w:rPr>
          <w:rFonts w:ascii="Arial" w:eastAsia="Times New Roman" w:hAnsi="Arial" w:cs="Arial"/>
          <w:sz w:val="20"/>
          <w:szCs w:val="20"/>
          <w:lang w:eastAsia="es-ES_tradnl"/>
        </w:rPr>
      </w:pPr>
      <w:r w:rsidRPr="009B713A">
        <w:rPr>
          <w:rFonts w:ascii="Arial" w:eastAsia="Times New Roman" w:hAnsi="Arial" w:cs="Arial"/>
          <w:sz w:val="20"/>
          <w:szCs w:val="20"/>
          <w:lang w:eastAsia="es-ES_tradnl"/>
        </w:rPr>
        <w:t>2. Puede exigirse dentro de requisitos habilitantes sea juridicos o financieros, que el RUT tenga determinados codigos CIIU?</w:t>
      </w:r>
    </w:p>
    <w:p w14:paraId="3FFB47CF" w14:textId="77777777" w:rsidR="00E468F0" w:rsidRPr="009B713A" w:rsidRDefault="00E468F0" w:rsidP="00E468F0">
      <w:pPr>
        <w:spacing w:after="0" w:line="240" w:lineRule="auto"/>
        <w:ind w:left="709" w:right="709"/>
        <w:jc w:val="both"/>
        <w:rPr>
          <w:rFonts w:ascii="Arial" w:eastAsia="Times New Roman" w:hAnsi="Arial" w:cs="Arial"/>
          <w:sz w:val="20"/>
          <w:szCs w:val="20"/>
          <w:lang w:eastAsia="es-ES_tradnl"/>
        </w:rPr>
      </w:pPr>
    </w:p>
    <w:p w14:paraId="25FEB98D" w14:textId="77777777" w:rsidR="00E468F0" w:rsidRPr="009B713A" w:rsidRDefault="00E468F0" w:rsidP="00E468F0">
      <w:pPr>
        <w:spacing w:after="0" w:line="240" w:lineRule="auto"/>
        <w:ind w:left="709" w:right="709"/>
        <w:jc w:val="both"/>
        <w:rPr>
          <w:rFonts w:ascii="Arial" w:eastAsia="Times New Roman" w:hAnsi="Arial" w:cs="Arial"/>
          <w:sz w:val="20"/>
          <w:szCs w:val="20"/>
          <w:lang w:eastAsia="es-ES_tradnl"/>
        </w:rPr>
      </w:pPr>
      <w:r w:rsidRPr="009B713A">
        <w:rPr>
          <w:rFonts w:ascii="Arial" w:eastAsia="Times New Roman" w:hAnsi="Arial" w:cs="Arial"/>
          <w:sz w:val="20"/>
          <w:szCs w:val="20"/>
          <w:lang w:eastAsia="es-ES_tradnl"/>
        </w:rPr>
        <w:lastRenderedPageBreak/>
        <w:t>En criterio del suscrito no es valido la exigencia del segundo punto desde la naturaleza del RUT en el estatuto tributario ARTÍCULO 555-2. REGISTRO ÚNICO TRIBUTARIO - RUT. &lt;*Texto sustituido según el artículo 20 de la Ley 2010 de 2019&gt; &lt;Artículo adicionado por el artículo 19 de la Ley 863 de 2003. El nuevo texto es el siguiente:&gt; El Registro Unico Tributario, RUT, administrado por la Dirección de Impuestos y Aduanas Nacionales, constituye el mecanismo único para identificar, ubicar y clasificar las personas y entidades que tengan la calidad de contribuyentes declarantes del impuesto”.</w:t>
      </w:r>
    </w:p>
    <w:p w14:paraId="38211889" w14:textId="77777777" w:rsidR="00E468F0" w:rsidRPr="009B713A" w:rsidRDefault="00E468F0" w:rsidP="00E468F0">
      <w:pPr>
        <w:spacing w:after="0" w:line="276" w:lineRule="auto"/>
        <w:jc w:val="both"/>
        <w:rPr>
          <w:rFonts w:ascii="Arial" w:eastAsia="Times New Roman" w:hAnsi="Arial" w:cs="Arial"/>
          <w:szCs w:val="24"/>
          <w:lang w:val="es-ES_tradnl" w:eastAsia="es-ES_tradnl"/>
        </w:rPr>
      </w:pPr>
    </w:p>
    <w:p w14:paraId="68B71017" w14:textId="77777777" w:rsidR="00E468F0" w:rsidRPr="009B713A" w:rsidRDefault="00E468F0" w:rsidP="00E468F0">
      <w:pPr>
        <w:numPr>
          <w:ilvl w:val="0"/>
          <w:numId w:val="6"/>
        </w:numPr>
        <w:tabs>
          <w:tab w:val="left" w:pos="0"/>
          <w:tab w:val="left" w:pos="284"/>
        </w:tabs>
        <w:spacing w:after="0" w:line="276" w:lineRule="auto"/>
        <w:ind w:left="0" w:firstLine="0"/>
        <w:jc w:val="both"/>
        <w:rPr>
          <w:rFonts w:ascii="Arial" w:eastAsia="Calibri" w:hAnsi="Arial" w:cs="Arial"/>
          <w:b/>
          <w:lang w:val="es-ES_tradnl"/>
        </w:rPr>
      </w:pPr>
      <w:r w:rsidRPr="009B713A">
        <w:rPr>
          <w:rFonts w:ascii="Arial" w:eastAsia="Calibri" w:hAnsi="Arial" w:cs="Arial"/>
          <w:b/>
          <w:lang w:val="es-ES_tradnl"/>
        </w:rPr>
        <w:t>Consideraciones</w:t>
      </w:r>
    </w:p>
    <w:p w14:paraId="51F137C4" w14:textId="77777777" w:rsidR="00E468F0" w:rsidRPr="009B713A" w:rsidRDefault="00E468F0" w:rsidP="00E468F0">
      <w:pPr>
        <w:tabs>
          <w:tab w:val="left" w:pos="0"/>
          <w:tab w:val="left" w:pos="284"/>
        </w:tabs>
        <w:spacing w:after="0" w:line="276" w:lineRule="auto"/>
        <w:jc w:val="both"/>
        <w:rPr>
          <w:rFonts w:ascii="Arial" w:eastAsia="Calibri" w:hAnsi="Arial" w:cs="Arial"/>
          <w:b/>
          <w:lang w:val="es-ES_tradnl"/>
        </w:rPr>
      </w:pPr>
    </w:p>
    <w:p w14:paraId="2DF54C3F" w14:textId="77777777" w:rsidR="00E468F0" w:rsidRPr="009B713A" w:rsidRDefault="00E468F0" w:rsidP="00E468F0">
      <w:pPr>
        <w:spacing w:after="120" w:line="276" w:lineRule="auto"/>
        <w:jc w:val="both"/>
        <w:rPr>
          <w:rFonts w:ascii="Arial" w:eastAsia="Times New Roman" w:hAnsi="Arial" w:cs="Arial"/>
          <w:lang w:val="es-ES" w:eastAsia="es-ES_tradnl"/>
        </w:rPr>
      </w:pPr>
      <w:r w:rsidRPr="009B713A">
        <w:rPr>
          <w:rFonts w:ascii="Arial" w:eastAsia="Times New Roman" w:hAnsi="Arial" w:cs="Arial"/>
          <w:lang w:eastAsia="es-ES_tradn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0" w:name="_Hlk61701014"/>
      <w:bookmarkStart w:id="1" w:name="_Hlk62136649"/>
      <w:r w:rsidRPr="009B713A">
        <w:rPr>
          <w:rFonts w:ascii="Arial" w:eastAsia="Times New Roman" w:hAnsi="Arial" w:cs="Arial"/>
          <w:lang w:eastAsia="es-ES_tradnl"/>
        </w:rPr>
        <w:t xml:space="preserve"> </w:t>
      </w:r>
      <w:r w:rsidRPr="009B713A">
        <w:rPr>
          <w:rFonts w:ascii="Arial" w:eastAsia="Times New Roman" w:hAnsi="Arial" w:cs="Arial"/>
          <w:lang w:val="es-ES" w:eastAsia="es-ES_tradnl"/>
        </w:rPr>
        <w:t xml:space="preserve">Es necesario tener en cuenta que </w:t>
      </w:r>
      <w:bookmarkStart w:id="2" w:name="_Hlk61026958"/>
      <w:r w:rsidRPr="009B713A">
        <w:rPr>
          <w:rFonts w:ascii="Arial" w:eastAsia="Times New Roman" w:hAnsi="Arial" w:cs="Arial"/>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9B713A">
        <w:rPr>
          <w:rFonts w:ascii="Arial" w:eastAsia="Times New Roman" w:hAnsi="Arial" w:cs="Arial"/>
          <w:lang w:eastAsia="es-ES_tradnl"/>
        </w:rPr>
        <w:t xml:space="preserve"> de todos los partícipes de la contratación estatal.</w:t>
      </w:r>
    </w:p>
    <w:p w14:paraId="367AD1E6" w14:textId="77777777" w:rsidR="00E468F0" w:rsidRPr="009B713A" w:rsidRDefault="00E468F0" w:rsidP="00E468F0">
      <w:pPr>
        <w:spacing w:after="120" w:line="276" w:lineRule="auto"/>
        <w:ind w:firstLine="708"/>
        <w:jc w:val="both"/>
        <w:rPr>
          <w:rFonts w:ascii="Arial" w:eastAsia="Times New Roman" w:hAnsi="Arial" w:cs="Arial"/>
          <w:lang w:val="es-ES" w:eastAsia="es-ES_tradnl"/>
        </w:rPr>
      </w:pPr>
      <w:r w:rsidRPr="009B713A">
        <w:rPr>
          <w:rFonts w:ascii="Arial" w:eastAsia="Times New Roman" w:hAnsi="Arial" w:cs="Arial"/>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9B713A">
        <w:rPr>
          <w:rFonts w:ascii="Arial" w:eastAsia="Times New Roman" w:hAnsi="Arial" w:cs="Arial"/>
          <w:vertAlign w:val="superscript"/>
          <w:lang w:val="es-ES" w:eastAsia="es-ES_tradnl"/>
        </w:rPr>
        <w:footnoteReference w:id="1"/>
      </w:r>
      <w:r w:rsidRPr="009B713A">
        <w:rPr>
          <w:rFonts w:ascii="Arial" w:eastAsia="Times New Roman" w:hAnsi="Arial" w:cs="Arial"/>
          <w:lang w:val="es-ES" w:eastAsia="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2"/>
      <w:r w:rsidRPr="009B713A">
        <w:rPr>
          <w:rFonts w:ascii="Arial" w:eastAsia="Times New Roman" w:hAnsi="Arial" w:cs="Arial"/>
          <w:lang w:val="es-ES" w:eastAsia="es-ES_tradnl"/>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0"/>
    </w:p>
    <w:bookmarkEnd w:id="1"/>
    <w:p w14:paraId="20D32332" w14:textId="697152B0" w:rsidR="00E468F0" w:rsidRPr="009B713A" w:rsidRDefault="00E468F0" w:rsidP="00E468F0">
      <w:pPr>
        <w:tabs>
          <w:tab w:val="left" w:pos="426"/>
        </w:tabs>
        <w:spacing w:after="120" w:line="276" w:lineRule="auto"/>
        <w:jc w:val="both"/>
        <w:rPr>
          <w:rFonts w:ascii="Arial" w:eastAsia="Times New Roman" w:hAnsi="Arial" w:cs="Arial"/>
          <w:bCs/>
          <w:lang w:val="es-ES" w:eastAsia="es-ES_tradnl"/>
        </w:rPr>
      </w:pPr>
      <w:r w:rsidRPr="009B713A">
        <w:rPr>
          <w:rFonts w:ascii="Arial" w:eastAsia="Times New Roman" w:hAnsi="Arial" w:cs="Arial"/>
          <w:lang w:eastAsia="es-ES_tradnl"/>
        </w:rPr>
        <w:tab/>
      </w:r>
      <w:r w:rsidRPr="009B713A">
        <w:rPr>
          <w:rFonts w:ascii="Arial" w:eastAsia="Times New Roman" w:hAnsi="Arial" w:cs="Arial"/>
          <w:lang w:eastAsia="es-ES_tradnl"/>
        </w:rPr>
        <w:tab/>
        <w:t xml:space="preserve">Sin perjuicio de lo anterior, la Subdirección –dentro de los límites de sus atribuciones, esto es, haciendo abstracción del caso particular expuesto por el peticionario– </w:t>
      </w:r>
      <w:r w:rsidRPr="009B713A">
        <w:rPr>
          <w:rFonts w:ascii="Arial" w:eastAsia="Times New Roman" w:hAnsi="Arial" w:cs="Arial"/>
          <w:lang w:eastAsia="es-ES_tradnl"/>
        </w:rPr>
        <w:lastRenderedPageBreak/>
        <w:t xml:space="preserve">resolverá la consulta conforme a las normas generales en materia de contratación estatal. Con este objetivo se analizarán </w:t>
      </w:r>
      <w:r w:rsidRPr="009B713A">
        <w:rPr>
          <w:rFonts w:ascii="Arial" w:eastAsia="Calibri" w:hAnsi="Arial" w:cs="Arial"/>
          <w:lang w:val="es-ES" w:eastAsia="es-ES_tradnl"/>
        </w:rPr>
        <w:t>los siguientes temas</w:t>
      </w:r>
      <w:r w:rsidRPr="009B713A">
        <w:rPr>
          <w:rFonts w:ascii="Arial" w:eastAsia="Times New Roman" w:hAnsi="Arial" w:cs="Arial"/>
          <w:lang w:val="es-ES" w:eastAsia="es-ES_tradnl"/>
        </w:rPr>
        <w:t xml:space="preserve">: </w:t>
      </w:r>
      <w:r w:rsidRPr="009B713A">
        <w:rPr>
          <w:rFonts w:ascii="Arial" w:eastAsia="Calibri" w:hAnsi="Arial" w:cs="Arial"/>
          <w:lang w:val="es-ES_tradnl" w:eastAsia="es-MX"/>
        </w:rPr>
        <w:t xml:space="preserve">i) determinación de los requisitos habilitantes en los </w:t>
      </w:r>
      <w:r w:rsidR="00AF57D3" w:rsidRPr="009B713A">
        <w:rPr>
          <w:rFonts w:ascii="Arial" w:eastAsia="Calibri" w:hAnsi="Arial" w:cs="Arial"/>
          <w:lang w:val="es-ES_tradnl" w:eastAsia="es-MX"/>
        </w:rPr>
        <w:t xml:space="preserve">Procesos </w:t>
      </w:r>
      <w:r w:rsidRPr="009B713A">
        <w:rPr>
          <w:rFonts w:ascii="Arial" w:eastAsia="Calibri" w:hAnsi="Arial" w:cs="Arial"/>
          <w:lang w:val="es-ES_tradnl" w:eastAsia="es-MX"/>
        </w:rPr>
        <w:t xml:space="preserve">de </w:t>
      </w:r>
      <w:r w:rsidR="00AF57D3" w:rsidRPr="009B713A">
        <w:rPr>
          <w:rFonts w:ascii="Arial" w:eastAsia="Calibri" w:hAnsi="Arial" w:cs="Arial"/>
          <w:lang w:val="es-ES_tradnl" w:eastAsia="es-MX"/>
        </w:rPr>
        <w:t>Contratación</w:t>
      </w:r>
      <w:r w:rsidRPr="009B713A">
        <w:rPr>
          <w:rFonts w:ascii="Arial" w:eastAsia="Calibri" w:hAnsi="Arial" w:cs="Arial"/>
          <w:lang w:val="es-ES_tradnl" w:eastAsia="es-MX"/>
        </w:rPr>
        <w:t>; ii) el Registro Único de Proponente –RUP–y otros documentos que acreditan el cumplimiento de requisitos habilitantes y; iii) la capacidad jurídica como requisito habilitante y su forma de acreditación.</w:t>
      </w:r>
    </w:p>
    <w:p w14:paraId="5EFA094F" w14:textId="77777777" w:rsidR="00E468F0" w:rsidRPr="009B713A" w:rsidRDefault="00E468F0" w:rsidP="00E468F0">
      <w:pPr>
        <w:spacing w:after="0" w:line="276" w:lineRule="auto"/>
        <w:ind w:firstLine="709"/>
        <w:jc w:val="both"/>
        <w:rPr>
          <w:rFonts w:ascii="Arial" w:eastAsia="Calibri" w:hAnsi="Arial" w:cs="Arial"/>
          <w:lang w:val="es-ES" w:eastAsia="es-ES_tradnl"/>
        </w:rPr>
      </w:pPr>
      <w:r w:rsidRPr="009B713A">
        <w:rPr>
          <w:rFonts w:ascii="Arial" w:eastAsia="Calibri" w:hAnsi="Arial" w:cs="Arial"/>
          <w:lang w:val="es-ES" w:eastAsia="es-ES_tradnl"/>
        </w:rPr>
        <w:t>La Agencia Nacional de Contratación Pública – Colombia Compra Eficiente,</w:t>
      </w:r>
      <w:r w:rsidRPr="009B713A">
        <w:rPr>
          <w:rFonts w:ascii="Arial" w:eastAsia="Calibri" w:hAnsi="Arial" w:cs="Arial"/>
          <w:lang w:val="es-ES_tradnl" w:eastAsia="es-MX"/>
        </w:rPr>
        <w:t xml:space="preserve"> en los conceptos del 15 de noviembre, del 28 de noviembre, 16 de diciembre de 2019 –radicados No. 2201913000008520, 4201912000007329 y 2201913000009295–, así como en los conceptos C-120 del 3 de marzo de 2020, C-204 del 31 de marzo de 2020, C-099 del 6 de abril de 2020, C-195 del 13 de abril de 2020, C-013 del 17 de abril de 2020, C-330 del 27 de mayo de 2020, C-396 de 16 de julio de 2020, C-142 del 30 de marzo de 2022, entre otros, analizó la naturaleza de los requisitos habilitantes y  el carácter enunciativo de los mencionados en el artículo 5-1 de la Ley 1150 de 2007</w:t>
      </w:r>
      <w:r w:rsidRPr="009B713A">
        <w:rPr>
          <w:rFonts w:ascii="Arial" w:eastAsia="Calibri" w:hAnsi="Arial" w:cs="Arial"/>
          <w:vertAlign w:val="superscript"/>
          <w:lang w:val="es-ES" w:eastAsia="es-ES_tradnl"/>
        </w:rPr>
        <w:footnoteReference w:id="2"/>
      </w:r>
      <w:r w:rsidRPr="009B713A">
        <w:rPr>
          <w:rFonts w:ascii="Arial" w:eastAsia="Calibri" w:hAnsi="Arial" w:cs="Arial"/>
          <w:lang w:val="es-ES" w:eastAsia="es-ES_tradnl"/>
        </w:rPr>
        <w:t xml:space="preserve">. Las tesis expuestas en estos conceptos se reiteran a continuación y se complementan en lo pertinente, teniendo en cuenta los interrogantes planteados. </w:t>
      </w:r>
    </w:p>
    <w:p w14:paraId="3943F4DD" w14:textId="77777777" w:rsidR="00E468F0" w:rsidRPr="009B713A" w:rsidRDefault="00E468F0" w:rsidP="00E468F0">
      <w:pPr>
        <w:spacing w:after="0" w:line="276" w:lineRule="auto"/>
        <w:ind w:firstLine="709"/>
        <w:jc w:val="both"/>
        <w:rPr>
          <w:rFonts w:ascii="Arial" w:eastAsia="Calibri" w:hAnsi="Arial" w:cs="Arial"/>
          <w:lang w:val="es-ES" w:eastAsia="es-ES_tradnl"/>
        </w:rPr>
      </w:pPr>
    </w:p>
    <w:p w14:paraId="7F15A1F7" w14:textId="77777777" w:rsidR="00E468F0" w:rsidRPr="009B713A" w:rsidRDefault="00E468F0" w:rsidP="00E468F0">
      <w:pPr>
        <w:spacing w:after="0" w:line="276" w:lineRule="auto"/>
        <w:jc w:val="both"/>
        <w:rPr>
          <w:rFonts w:ascii="Arial" w:eastAsia="Times New Roman" w:hAnsi="Arial" w:cs="Arial"/>
          <w:b/>
          <w:bCs/>
          <w:lang w:val="es-ES_tradnl" w:eastAsia="es-MX"/>
        </w:rPr>
      </w:pPr>
      <w:bookmarkStart w:id="3" w:name="_Hlk117695077"/>
      <w:r w:rsidRPr="009B713A">
        <w:rPr>
          <w:rFonts w:ascii="Arial" w:eastAsia="Times New Roman" w:hAnsi="Arial" w:cs="Arial"/>
          <w:b/>
          <w:bCs/>
          <w:lang w:val="es-ES_tradnl" w:eastAsia="es-MX"/>
        </w:rPr>
        <w:t>2.1. Determinación de los requisitos habilitantes en los Procesos de Contratación</w:t>
      </w:r>
    </w:p>
    <w:p w14:paraId="7BF37F35" w14:textId="77777777" w:rsidR="00E468F0" w:rsidRPr="009B713A" w:rsidRDefault="00E468F0" w:rsidP="00E468F0">
      <w:pPr>
        <w:spacing w:after="0" w:line="276" w:lineRule="auto"/>
        <w:jc w:val="both"/>
        <w:rPr>
          <w:rFonts w:ascii="Arial" w:eastAsia="Times New Roman" w:hAnsi="Arial" w:cs="Arial"/>
          <w:b/>
          <w:bCs/>
          <w:lang w:val="es-ES_tradnl" w:eastAsia="es-MX"/>
        </w:rPr>
      </w:pPr>
    </w:p>
    <w:p w14:paraId="47640578" w14:textId="77777777" w:rsidR="00E468F0" w:rsidRPr="009B713A" w:rsidRDefault="00E468F0" w:rsidP="00E468F0">
      <w:pPr>
        <w:spacing w:after="120" w:line="276" w:lineRule="auto"/>
        <w:jc w:val="both"/>
        <w:rPr>
          <w:rFonts w:ascii="Arial" w:eastAsia="Calibri" w:hAnsi="Arial" w:cs="Arial"/>
          <w:lang w:val="es-ES_tradnl" w:eastAsia="es-MX"/>
        </w:rPr>
      </w:pPr>
      <w:bookmarkStart w:id="4" w:name="_Hlk99546562"/>
      <w:r w:rsidRPr="009B713A">
        <w:rPr>
          <w:rFonts w:ascii="Arial" w:eastAsia="Calibri" w:hAnsi="Arial" w:cs="Arial"/>
          <w:lang w:val="es-ES_tradnl" w:eastAsia="es-MX"/>
        </w:rPr>
        <w:t xml:space="preserve">Los </w:t>
      </w:r>
      <w:r w:rsidRPr="009B713A">
        <w:rPr>
          <w:rFonts w:ascii="Arial" w:eastAsia="Calibri" w:hAnsi="Arial" w:cs="Arial"/>
          <w:i/>
          <w:iCs/>
          <w:lang w:val="es-ES_tradnl" w:eastAsia="es-MX"/>
        </w:rPr>
        <w:t>requisitos habilitantes</w:t>
      </w:r>
      <w:r w:rsidRPr="009B713A">
        <w:rPr>
          <w:rFonts w:ascii="Arial" w:eastAsia="Calibri" w:hAnsi="Arial" w:cs="Arial"/>
          <w:lang w:val="es-ES_tradnl" w:eastAsia="es-MX"/>
        </w:rPr>
        <w:t xml:space="preserve"> se definen como aquellas exigencias de participación en los procedimientos de selección, establecidas en disposiciones normativas, de carácter legal o reglamentario, o contenidas en el acto administrativo que regula las reglas de la convocatoria – es decir, en el Pliego de Condiciones o el documento equivalente a este –. Se diferencian de los </w:t>
      </w:r>
      <w:r w:rsidRPr="009B713A">
        <w:rPr>
          <w:rFonts w:ascii="Arial" w:eastAsia="Calibri" w:hAnsi="Arial" w:cs="Arial"/>
          <w:i/>
          <w:iCs/>
          <w:lang w:val="es-ES_tradnl" w:eastAsia="es-MX"/>
        </w:rPr>
        <w:t>criterios de evaluación</w:t>
      </w:r>
      <w:r w:rsidRPr="009B713A">
        <w:rPr>
          <w:rFonts w:ascii="Arial" w:eastAsia="Calibri" w:hAnsi="Arial" w:cs="Arial"/>
          <w:lang w:val="es-ES_tradnl" w:eastAsia="es-MX"/>
        </w:rPr>
        <w:t xml:space="preserve"> – también conocidos como criterios de calificación – en que estos son los factores definidos por la Entidad Estatal para la asignación de puntaje en el momento de la comparación de las ofertas y que, a partir de su ponderación, permiten establecer el orden de elegibilidad y, por ende, la propuesta ganadora. </w:t>
      </w:r>
    </w:p>
    <w:bookmarkEnd w:id="4"/>
    <w:p w14:paraId="6332B81D" w14:textId="77777777" w:rsidR="00E468F0" w:rsidRPr="009B713A" w:rsidRDefault="00E468F0" w:rsidP="00E468F0">
      <w:pPr>
        <w:spacing w:after="120" w:line="276" w:lineRule="auto"/>
        <w:ind w:firstLine="708"/>
        <w:jc w:val="both"/>
        <w:rPr>
          <w:rFonts w:ascii="Arial" w:eastAsia="Calibri" w:hAnsi="Arial" w:cs="Arial"/>
          <w:lang w:val="es-ES_tradnl" w:eastAsia="es-MX"/>
        </w:rPr>
      </w:pPr>
      <w:r w:rsidRPr="009B713A">
        <w:rPr>
          <w:rFonts w:ascii="Arial" w:eastAsia="Calibri" w:hAnsi="Arial" w:cs="Arial"/>
          <w:lang w:val="es-ES_tradnl" w:eastAsia="es-MX"/>
        </w:rPr>
        <w:t>Los requisitos habilitantes constituyen los requerimientos mínimos con los que deben cumplir los proponentes para poder participar en el procedimiento de selección, razón por la que los mismos no se valoran con un puntaje tendiente a determinar el orden de escogencia, sino que se analizan como criterios previos a la evaluación en sentido estricto, de manera que quienes no los reúnan no pueden continuar en el procedimiento de selección, es decir, incurren en causal de rechazo. Esto sin perjuicio del derecho que tienen los oferentes de subsanar los defectos que se presenten en la prueba de tales requisitos, de conformidad con el artículo 5, parágrafos 1º al 4º, de la Ley 1150 de 2007.</w:t>
      </w:r>
    </w:p>
    <w:p w14:paraId="2BCE237A" w14:textId="77777777" w:rsidR="00E468F0" w:rsidRPr="009B713A" w:rsidRDefault="00E468F0" w:rsidP="00E468F0">
      <w:pPr>
        <w:spacing w:after="120" w:line="276" w:lineRule="auto"/>
        <w:ind w:firstLine="708"/>
        <w:jc w:val="both"/>
        <w:rPr>
          <w:rFonts w:ascii="Arial" w:eastAsia="Calibri" w:hAnsi="Arial" w:cs="Arial"/>
          <w:lang w:val="es-ES_tradnl" w:eastAsia="es-MX"/>
        </w:rPr>
      </w:pPr>
      <w:r w:rsidRPr="009B713A">
        <w:rPr>
          <w:rFonts w:ascii="Arial" w:eastAsia="Calibri" w:hAnsi="Arial" w:cs="Arial"/>
          <w:lang w:val="es-ES_tradnl" w:eastAsia="es-MX"/>
        </w:rPr>
        <w:lastRenderedPageBreak/>
        <w:t xml:space="preserve">El mencionado artículo dispone que se considera: “[…]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 </w:t>
      </w:r>
    </w:p>
    <w:p w14:paraId="1E33CB3A" w14:textId="77777777" w:rsidR="00E468F0" w:rsidRPr="009B713A" w:rsidRDefault="00E468F0" w:rsidP="00E468F0">
      <w:pPr>
        <w:spacing w:after="0" w:line="276" w:lineRule="auto"/>
        <w:ind w:firstLine="709"/>
        <w:contextualSpacing/>
        <w:jc w:val="both"/>
        <w:rPr>
          <w:rFonts w:ascii="Arial" w:eastAsia="Calibri" w:hAnsi="Arial" w:cs="Arial"/>
          <w:lang w:val="es-ES_tradnl" w:eastAsia="es-MX"/>
        </w:rPr>
      </w:pPr>
      <w:r w:rsidRPr="009B713A">
        <w:rPr>
          <w:rFonts w:ascii="Arial" w:eastAsia="Calibri" w:hAnsi="Arial" w:cs="Arial"/>
          <w:lang w:val="es-ES_tradnl" w:eastAsia="es-MX"/>
        </w:rPr>
        <w:t xml:space="preserve">Específicamente, el numeral 1º del artículo referido establece que en los procesos de selección de contratistas serán objeto de verificación, como requisitos habilitantes, entre otros, los siguientes: i) la capacidad jurídica; ii) la experiencia; iii) la capacidad financiera y iv) la capacidad de organización. En efecto, la normativa citada dispone: </w:t>
      </w:r>
    </w:p>
    <w:p w14:paraId="4408239F" w14:textId="77777777" w:rsidR="00E468F0" w:rsidRPr="009B713A" w:rsidRDefault="00E468F0" w:rsidP="00E468F0">
      <w:pPr>
        <w:spacing w:after="0" w:line="276" w:lineRule="auto"/>
        <w:ind w:firstLine="709"/>
        <w:jc w:val="both"/>
        <w:rPr>
          <w:rFonts w:ascii="Arial" w:eastAsia="Calibri" w:hAnsi="Arial" w:cs="Arial"/>
          <w:lang w:val="es-ES_tradnl" w:eastAsia="es-MX"/>
        </w:rPr>
      </w:pPr>
    </w:p>
    <w:p w14:paraId="074B6368" w14:textId="77777777" w:rsidR="00E468F0" w:rsidRPr="009B713A" w:rsidRDefault="00E468F0" w:rsidP="00E468F0">
      <w:pPr>
        <w:spacing w:after="0" w:line="240" w:lineRule="auto"/>
        <w:ind w:left="709" w:right="709"/>
        <w:contextualSpacing/>
        <w:jc w:val="both"/>
        <w:rPr>
          <w:rFonts w:ascii="Arial" w:eastAsia="Calibri" w:hAnsi="Arial" w:cs="Arial"/>
          <w:sz w:val="20"/>
          <w:szCs w:val="20"/>
          <w:lang w:val="es-ES_tradnl" w:eastAsia="es-MX"/>
        </w:rPr>
      </w:pPr>
      <w:r w:rsidRPr="009B713A">
        <w:rPr>
          <w:rFonts w:ascii="Arial" w:eastAsia="Calibri" w:hAnsi="Arial" w:cs="Arial"/>
          <w:sz w:val="20"/>
          <w:szCs w:val="20"/>
          <w:lang w:val="es-ES_tradnl" w:eastAsia="es-MX"/>
        </w:rPr>
        <w:t xml:space="preserve">“Artículo 5. De la Selección Objetiva. </w:t>
      </w:r>
    </w:p>
    <w:p w14:paraId="72313BAF" w14:textId="77777777" w:rsidR="00E468F0" w:rsidRPr="009B713A" w:rsidRDefault="00E468F0" w:rsidP="00E468F0">
      <w:pPr>
        <w:spacing w:after="0" w:line="240" w:lineRule="auto"/>
        <w:ind w:left="709" w:right="709"/>
        <w:contextualSpacing/>
        <w:jc w:val="both"/>
        <w:rPr>
          <w:rFonts w:ascii="Arial" w:eastAsia="Calibri" w:hAnsi="Arial" w:cs="Arial"/>
          <w:sz w:val="20"/>
          <w:szCs w:val="20"/>
          <w:lang w:val="es-ES_tradnl" w:eastAsia="es-MX"/>
        </w:rPr>
      </w:pPr>
    </w:p>
    <w:p w14:paraId="65CB9D89" w14:textId="77777777" w:rsidR="00E468F0" w:rsidRPr="009B713A" w:rsidRDefault="00E468F0" w:rsidP="00E468F0">
      <w:pPr>
        <w:spacing w:after="0" w:line="240" w:lineRule="auto"/>
        <w:ind w:left="709" w:right="709"/>
        <w:contextualSpacing/>
        <w:jc w:val="both"/>
        <w:rPr>
          <w:rFonts w:ascii="Arial" w:eastAsia="Calibri" w:hAnsi="Arial" w:cs="Arial"/>
          <w:sz w:val="20"/>
          <w:szCs w:val="20"/>
          <w:lang w:val="es-ES_tradnl" w:eastAsia="es-MX"/>
        </w:rPr>
      </w:pPr>
      <w:r w:rsidRPr="009B713A">
        <w:rPr>
          <w:rFonts w:ascii="Arial" w:eastAsia="Calibri" w:hAnsi="Arial" w:cs="Arial"/>
          <w:sz w:val="20"/>
          <w:szCs w:val="20"/>
          <w:lang w:val="es-ES_tradnl" w:eastAsia="es-MX"/>
        </w:rPr>
        <w:t>[…]</w:t>
      </w:r>
    </w:p>
    <w:p w14:paraId="4F677F70" w14:textId="77777777" w:rsidR="00E468F0" w:rsidRPr="009B713A" w:rsidRDefault="00E468F0" w:rsidP="00E468F0">
      <w:pPr>
        <w:spacing w:after="0" w:line="240" w:lineRule="auto"/>
        <w:ind w:left="709" w:right="709"/>
        <w:contextualSpacing/>
        <w:jc w:val="both"/>
        <w:rPr>
          <w:rFonts w:ascii="Arial" w:eastAsia="Calibri" w:hAnsi="Arial" w:cs="Arial"/>
          <w:sz w:val="20"/>
          <w:szCs w:val="20"/>
          <w:lang w:val="es-ES_tradnl"/>
        </w:rPr>
      </w:pPr>
    </w:p>
    <w:p w14:paraId="5090D064" w14:textId="77777777" w:rsidR="00E468F0" w:rsidRPr="009B713A" w:rsidRDefault="00E468F0" w:rsidP="00E468F0">
      <w:pPr>
        <w:spacing w:after="0" w:line="240" w:lineRule="auto"/>
        <w:ind w:left="709" w:right="709"/>
        <w:contextualSpacing/>
        <w:jc w:val="both"/>
        <w:rPr>
          <w:rFonts w:ascii="Arial" w:eastAsia="Calibri" w:hAnsi="Arial" w:cs="Arial"/>
          <w:sz w:val="20"/>
          <w:szCs w:val="20"/>
          <w:lang w:val="es-ES_tradnl"/>
        </w:rPr>
      </w:pPr>
      <w:r w:rsidRPr="009B713A">
        <w:rPr>
          <w:rFonts w:ascii="Arial" w:eastAsia="Calibri" w:hAnsi="Arial" w:cs="Arial"/>
          <w:sz w:val="20"/>
          <w:szCs w:val="20"/>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5E976AF6" w14:textId="77777777" w:rsidR="00E468F0" w:rsidRPr="009B713A" w:rsidRDefault="00E468F0" w:rsidP="00E468F0">
      <w:pPr>
        <w:spacing w:after="0" w:line="276" w:lineRule="auto"/>
        <w:ind w:left="709" w:right="709"/>
        <w:contextualSpacing/>
        <w:jc w:val="both"/>
        <w:rPr>
          <w:rFonts w:ascii="Arial" w:eastAsia="Calibri" w:hAnsi="Arial" w:cs="Arial"/>
          <w:lang w:val="es-ES_tradnl"/>
        </w:rPr>
      </w:pPr>
    </w:p>
    <w:p w14:paraId="71EF4903" w14:textId="77777777" w:rsidR="00E468F0" w:rsidRPr="009B713A" w:rsidRDefault="00E468F0" w:rsidP="00E468F0">
      <w:pPr>
        <w:spacing w:after="120" w:line="276" w:lineRule="auto"/>
        <w:ind w:firstLine="708"/>
        <w:jc w:val="both"/>
        <w:rPr>
          <w:rFonts w:ascii="Arial" w:eastAsia="Times New Roman" w:hAnsi="Arial" w:cs="Arial"/>
          <w:highlight w:val="cyan"/>
          <w:lang w:val="es-ES_tradnl" w:eastAsia="es-MX"/>
        </w:rPr>
      </w:pPr>
      <w:bookmarkStart w:id="5" w:name="_Hlk99547809"/>
      <w:bookmarkStart w:id="6" w:name="_Hlk99546625"/>
      <w:r w:rsidRPr="009B713A">
        <w:rPr>
          <w:rFonts w:ascii="Arial" w:eastAsia="Times New Roman" w:hAnsi="Arial" w:cs="Arial"/>
          <w:lang w:val="es-ES_tradnl" w:eastAsia="es-MX"/>
        </w:rPr>
        <w:t xml:space="preserve">La Agencia Nacional de Contratación Pública – Colombia Compra Eficiente ha defendido el carácter </w:t>
      </w:r>
      <w:bookmarkStart w:id="7" w:name="_Hlk99547799"/>
      <w:r w:rsidRPr="009B713A">
        <w:rPr>
          <w:rFonts w:ascii="Arial" w:eastAsia="Times New Roman" w:hAnsi="Arial" w:cs="Arial"/>
          <w:i/>
          <w:iCs/>
          <w:lang w:val="es-ES_tradnl" w:eastAsia="es-MX"/>
        </w:rPr>
        <w:t>enunciativo</w:t>
      </w:r>
      <w:r w:rsidRPr="009B713A">
        <w:rPr>
          <w:rFonts w:ascii="Arial" w:eastAsia="Times New Roman" w:hAnsi="Arial" w:cs="Arial"/>
          <w:lang w:val="es-ES_tradnl" w:eastAsia="es-MX"/>
        </w:rPr>
        <w:t xml:space="preserve"> del listado de los requisitos habilitantes contenidos en el numeral 1 del artículo 5 de la Ley 1150 de 2007, en la medida en que la referida disposición, al referirse a los requisitos habilitantes, no contiene una expresión como “únicamente” o “solo”, de la que pueda colegirse la taxatividad de los requisitos mencionados. </w:t>
      </w:r>
      <w:bookmarkEnd w:id="5"/>
      <w:bookmarkEnd w:id="7"/>
      <w:r w:rsidRPr="009B713A">
        <w:rPr>
          <w:rFonts w:ascii="Arial" w:eastAsia="Times New Roman" w:hAnsi="Arial" w:cs="Arial"/>
          <w:lang w:val="es-ES_tradnl" w:eastAsia="es-MX"/>
        </w:rPr>
        <w:t>Esta conclusión además se apoya en una la lectura integral de las normas que regulan la contratación estatal, en virtud de la cual es posible evidenciar que existen otras condiciones que deben cumplirse para la contratación con Entidades Públicas, de las que derivan requisitos habilitantes, como sucede, por ejemplo, con la capacidad residual a la que se refiere el artículo 6º, parágrafo 1, de la Ley 1150 de 2007</w:t>
      </w:r>
      <w:bookmarkEnd w:id="6"/>
      <w:r w:rsidRPr="009B713A">
        <w:rPr>
          <w:rFonts w:ascii="Arial" w:eastAsia="Times New Roman" w:hAnsi="Arial" w:cs="Arial"/>
          <w:vertAlign w:val="superscript"/>
          <w:lang w:val="es-ES_tradnl" w:eastAsia="es-MX"/>
        </w:rPr>
        <w:footnoteReference w:id="3"/>
      </w:r>
      <w:r w:rsidRPr="009B713A">
        <w:rPr>
          <w:rFonts w:ascii="Arial" w:eastAsia="Times New Roman" w:hAnsi="Arial" w:cs="Arial"/>
          <w:lang w:val="es-ES_tradnl" w:eastAsia="es-MX"/>
        </w:rPr>
        <w:t xml:space="preserve">. </w:t>
      </w:r>
    </w:p>
    <w:p w14:paraId="03D0FCA4" w14:textId="77777777" w:rsidR="00E468F0" w:rsidRPr="009B713A" w:rsidRDefault="00E468F0" w:rsidP="00E468F0">
      <w:pPr>
        <w:spacing w:after="120" w:line="276" w:lineRule="auto"/>
        <w:ind w:firstLine="709"/>
        <w:jc w:val="both"/>
        <w:rPr>
          <w:rFonts w:ascii="Arial" w:eastAsia="Times New Roman" w:hAnsi="Arial" w:cs="Arial"/>
          <w:lang w:val="es-ES_tradnl" w:eastAsia="es-MX"/>
        </w:rPr>
      </w:pPr>
      <w:r w:rsidRPr="009B713A">
        <w:rPr>
          <w:rFonts w:ascii="Arial" w:eastAsia="Times New Roman" w:hAnsi="Arial" w:cs="Arial"/>
          <w:lang w:val="es-ES_tradnl" w:eastAsia="es-MX"/>
        </w:rPr>
        <w:lastRenderedPageBreak/>
        <w:t>Por otro lado, en el “Manual para determinar y verificar los requisitos habilitantes en los Procesos de Contratación”</w:t>
      </w:r>
      <w:r w:rsidRPr="009B713A">
        <w:rPr>
          <w:rFonts w:ascii="Arial" w:eastAsia="Calibri" w:hAnsi="Arial" w:cs="Arial"/>
          <w:lang w:val="es-ES_tradnl" w:eastAsia="es-MX"/>
        </w:rPr>
        <w:t>,</w:t>
      </w:r>
      <w:r w:rsidRPr="009B713A">
        <w:rPr>
          <w:rFonts w:ascii="Arial" w:eastAsia="Times New Roman" w:hAnsi="Arial" w:cs="Arial"/>
          <w:lang w:val="es-ES_tradnl" w:eastAsia="es-MX"/>
        </w:rPr>
        <w:t xml:space="preserve"> expedido por la </w:t>
      </w:r>
      <w:r w:rsidRPr="009B713A">
        <w:rPr>
          <w:rFonts w:ascii="Arial" w:eastAsia="Calibri" w:hAnsi="Arial" w:cs="Arial"/>
          <w:lang w:val="es-ES_tradnl" w:eastAsia="es-MX"/>
        </w:rPr>
        <w:t>Agencia Nacional de Contratación Pública – Colombia Compra Eficiente</w:t>
      </w:r>
      <w:r w:rsidRPr="009B713A">
        <w:rPr>
          <w:rFonts w:ascii="Arial" w:eastAsia="Times New Roman" w:hAnsi="Arial" w:cs="Arial"/>
          <w:lang w:val="es-ES_tradnl" w:eastAsia="es-MX"/>
        </w:rPr>
        <w:t xml:space="preserve"> se determinaron los parámetros para establecer, acreditar y subsanar los requisitos habilitantes. Allí también se precisó que estos tienen como fin primordial medir “la aptitud del proponente para participar en un proceso de contratación como oferente y están referidos a su capacidad jurídica, financiera, organizacional y su experiencia”. De acuerdo con el Manual, su propósito consiste en “establecer unas condiciones mínimas para los proponentes de tal manera que la Entidad Estatal sólo evalúe las ofertas de aquellos que están en condiciones de cumplir con el objeto del Proceso de Contratación”. Así las cosas,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0378DF7F" w14:textId="77777777" w:rsidR="00E468F0" w:rsidRPr="009B713A" w:rsidRDefault="00E468F0" w:rsidP="00E468F0">
      <w:pPr>
        <w:spacing w:after="120" w:line="276" w:lineRule="auto"/>
        <w:ind w:firstLine="709"/>
        <w:jc w:val="both"/>
        <w:rPr>
          <w:rFonts w:ascii="Arial" w:eastAsia="Times New Roman" w:hAnsi="Arial" w:cs="Arial"/>
          <w:lang w:val="es-ES_tradnl" w:eastAsia="es-MX"/>
        </w:rPr>
      </w:pPr>
      <w:r w:rsidRPr="009B713A">
        <w:rPr>
          <w:rFonts w:ascii="Arial" w:eastAsia="Times New Roman" w:hAnsi="Arial" w:cs="Arial"/>
          <w:lang w:val="es-ES_tradnl" w:eastAsia="es-MX"/>
        </w:rPr>
        <w:t>Al respecto,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4F22BC4A" w14:textId="77777777" w:rsidR="00E468F0" w:rsidRPr="009B713A" w:rsidRDefault="00E468F0" w:rsidP="00E468F0">
      <w:pPr>
        <w:tabs>
          <w:tab w:val="left" w:pos="426"/>
        </w:tabs>
        <w:spacing w:after="120" w:line="276" w:lineRule="auto"/>
        <w:ind w:firstLine="709"/>
        <w:jc w:val="both"/>
        <w:rPr>
          <w:rFonts w:ascii="Arial" w:eastAsia="Times New Roman" w:hAnsi="Arial" w:cs="Arial"/>
          <w:lang w:val="es-ES_tradnl" w:eastAsia="es-MX"/>
        </w:rPr>
      </w:pPr>
      <w:bookmarkStart w:id="8" w:name="_Hlk99548027"/>
      <w:r w:rsidRPr="009B713A">
        <w:rPr>
          <w:rFonts w:ascii="Arial" w:eastAsia="Times New Roman" w:hAnsi="Arial" w:cs="Arial"/>
          <w:lang w:val="es-ES_tradnl" w:eastAsia="es-MX"/>
        </w:rPr>
        <w:t xml:space="preserve">En ese sentido, si bien </w:t>
      </w:r>
      <w:r w:rsidRPr="009B713A">
        <w:rPr>
          <w:rFonts w:ascii="Arial" w:eastAsia="Calibri" w:hAnsi="Arial" w:cs="Arial"/>
          <w:lang w:val="es-ES_tradnl" w:eastAsia="es-MX"/>
        </w:rPr>
        <w:t xml:space="preserve">la Ley 1150 de 2007 estableció unos requisitos habilitantes para los proponentes –la capacidad jurídica, las condiciones de experiencia, la capacidad financiera y la capacidad de organización–, estos no son taxativos. </w:t>
      </w:r>
      <w:bookmarkStart w:id="9" w:name="_Hlk34917473"/>
      <w:r w:rsidRPr="009B713A">
        <w:rPr>
          <w:rFonts w:ascii="Arial" w:eastAsia="Times New Roman" w:hAnsi="Arial" w:cs="Arial"/>
          <w:lang w:val="es-ES_tradnl" w:eastAsia="es-MX"/>
        </w:rPr>
        <w:t xml:space="preserve">En consecuencia, corresponde a las Entidades Estatales, durante la etapa de planeación del contrato estatal, estudiar y </w:t>
      </w:r>
      <w:r w:rsidRPr="009B713A">
        <w:rPr>
          <w:rFonts w:ascii="Arial" w:eastAsia="Times New Roman" w:hAnsi="Arial" w:cs="Arial"/>
          <w:bCs/>
          <w:iCs/>
          <w:lang w:val="es-ES_tradnl" w:eastAsia="es-MX"/>
        </w:rPr>
        <w:t>determinar</w:t>
      </w:r>
      <w:r w:rsidRPr="009B713A">
        <w:rPr>
          <w:rFonts w:ascii="Arial" w:eastAsia="Times New Roman" w:hAnsi="Arial" w:cs="Arial"/>
          <w:lang w:val="es-ES_tradnl" w:eastAsia="es-MX"/>
        </w:rPr>
        <w:t xml:space="preserve"> los requisitos habilitantes que establecerán en los Pliegos de Condiciones, los cuales deben fijarse de forma adecuada y proporcional. </w:t>
      </w:r>
    </w:p>
    <w:bookmarkEnd w:id="8"/>
    <w:p w14:paraId="029E42B8" w14:textId="77777777" w:rsidR="00E468F0" w:rsidRPr="009B713A" w:rsidRDefault="00E468F0" w:rsidP="00E468F0">
      <w:pPr>
        <w:tabs>
          <w:tab w:val="left" w:pos="426"/>
        </w:tabs>
        <w:spacing w:after="120" w:line="276" w:lineRule="auto"/>
        <w:ind w:firstLine="709"/>
        <w:jc w:val="both"/>
        <w:rPr>
          <w:rFonts w:ascii="Arial" w:eastAsia="Times New Roman" w:hAnsi="Arial" w:cs="Arial"/>
          <w:lang w:val="es-ES_tradnl" w:eastAsia="es-MX"/>
        </w:rPr>
      </w:pPr>
      <w:r w:rsidRPr="009B713A">
        <w:rPr>
          <w:rFonts w:ascii="Arial" w:eastAsia="Times New Roman" w:hAnsi="Arial" w:cs="Arial"/>
          <w:lang w:val="es-ES_tradnl" w:eastAsia="es-MX"/>
        </w:rPr>
        <w:t>El Decreto 1082 de 2015 en su artículo 2.2.1.1.1.6.2 reglamenta los requisitos habilitantes, estableciendo que estos deben ser señalados en los Pliegos de Condiciones o en la invitación</w:t>
      </w:r>
      <w:r w:rsidRPr="009B713A">
        <w:rPr>
          <w:rFonts w:ascii="Arial" w:eastAsia="Times New Roman" w:hAnsi="Arial" w:cs="Arial"/>
          <w:vertAlign w:val="superscript"/>
          <w:lang w:val="es-ES_tradnl" w:eastAsia="es-MX"/>
        </w:rPr>
        <w:footnoteReference w:id="4"/>
      </w:r>
      <w:r w:rsidRPr="009B713A">
        <w:rPr>
          <w:rFonts w:ascii="Arial" w:eastAsia="Times New Roman" w:hAnsi="Arial" w:cs="Arial"/>
          <w:lang w:val="es-ES_tradnl" w:eastAsia="es-MX"/>
        </w:rPr>
        <w:t xml:space="preserve">, lo cual es concordante con el numeral 5 del artículo 2.2.1.1.2.1.3, en el </w:t>
      </w:r>
      <w:r w:rsidRPr="009B713A">
        <w:rPr>
          <w:rFonts w:ascii="Arial" w:eastAsia="Times New Roman" w:hAnsi="Arial" w:cs="Arial"/>
          <w:lang w:val="es-ES_tradnl" w:eastAsia="es-MX"/>
        </w:rPr>
        <w:lastRenderedPageBreak/>
        <w:t>que se establece como uno de los componentes mínimos de los Pliegos de Condiciones</w:t>
      </w:r>
      <w:r w:rsidRPr="009B713A">
        <w:rPr>
          <w:rFonts w:ascii="Arial" w:hAnsi="Arial" w:cs="Arial"/>
          <w:color w:val="000000"/>
        </w:rPr>
        <w:t xml:space="preserve"> a las reglas aplicables a la presentación y evaluación de las ofertas, entre las que se inscriben las relativas a la acreditación de las condiciones habilitantes. </w:t>
      </w:r>
      <w:r w:rsidRPr="009B713A">
        <w:rPr>
          <w:rFonts w:ascii="Arial" w:eastAsia="Times New Roman" w:hAnsi="Arial" w:cs="Arial"/>
          <w:lang w:val="es-ES_tradnl" w:eastAsia="es-MX"/>
        </w:rPr>
        <w:t xml:space="preserve">Establece además el artículo 2.2.1.1.1.6.2 que la determinación de los requisitos habilitantes debe ser realizada en función de criterios como el riesgo del Proceso de Contratación, el valor del contrato, el análisis del sector económico respectivo y el conocimiento de fondo de los posibles oferentes desde la perspectiva comercial. </w:t>
      </w:r>
    </w:p>
    <w:p w14:paraId="0C724C89" w14:textId="77777777" w:rsidR="00E468F0" w:rsidRPr="009B713A" w:rsidRDefault="00E468F0" w:rsidP="00E468F0">
      <w:pPr>
        <w:tabs>
          <w:tab w:val="left" w:pos="426"/>
        </w:tabs>
        <w:spacing w:after="120" w:line="276" w:lineRule="auto"/>
        <w:ind w:firstLine="709"/>
        <w:jc w:val="both"/>
        <w:rPr>
          <w:rFonts w:ascii="Arial" w:eastAsia="Times New Roman" w:hAnsi="Arial" w:cs="Arial"/>
          <w:lang w:val="es-ES_tradnl" w:eastAsia="es-MX"/>
        </w:rPr>
      </w:pPr>
      <w:r w:rsidRPr="009B713A">
        <w:rPr>
          <w:rFonts w:ascii="Arial" w:eastAsia="Times New Roman" w:hAnsi="Arial" w:cs="Arial"/>
          <w:lang w:val="es-ES_tradnl" w:eastAsia="es-MX"/>
        </w:rPr>
        <w:t xml:space="preserve">Los mencionados criterios deben ser aplicados de manera tal que de la ponderación de los mismos resulten requisitos que permitan medir la aptitud de los oferentes para cumplir con el contrato y que, además de ser proporcionales y adecuados al objeto del contrato, no limiten la participación en el Proceso de Selección. En ese sentido, las entidades tienen autonomía para estructurar los requisitos habilitantes en los procesos que adelantan, pero tal facultad no puede ejercerse de forma arbitraria, caprichosa y, mucho menos, con el ánimo de direccionar el Proceso de Contratación o favorecer a alguno de los proponentes. Tampoco puede suceder que el ejercicio de dicha atribución se haga con desconocimiento de los límites impuestos por la normativa vigente, como, por ejemplo, el parágrafo 2 del artículo 5 de la Ley 1150 de 2007, que prohíbe exigir certificaciones de sistemas de gestión de calidad como requisito habilitante. </w:t>
      </w:r>
    </w:p>
    <w:p w14:paraId="17EEE663" w14:textId="1C68320D" w:rsidR="00E468F0" w:rsidRPr="009B713A" w:rsidRDefault="00E468F0" w:rsidP="00E468F0">
      <w:pPr>
        <w:tabs>
          <w:tab w:val="left" w:pos="426"/>
        </w:tabs>
        <w:spacing w:before="120" w:after="0" w:line="276" w:lineRule="auto"/>
        <w:ind w:firstLine="709"/>
        <w:jc w:val="both"/>
        <w:rPr>
          <w:rFonts w:ascii="Arial" w:eastAsia="Times New Roman" w:hAnsi="Arial" w:cs="Arial"/>
          <w:lang w:val="es-ES_tradnl" w:eastAsia="es-MX"/>
        </w:rPr>
      </w:pPr>
      <w:bookmarkStart w:id="10" w:name="_Hlk99547936"/>
      <w:r w:rsidRPr="009B713A">
        <w:rPr>
          <w:rFonts w:ascii="Arial" w:eastAsia="Times New Roman" w:hAnsi="Arial" w:cs="Arial"/>
          <w:lang w:val="es-ES_tradnl" w:eastAsia="es-MX"/>
        </w:rPr>
        <w:t xml:space="preserve">En ese sentido, las Entidades Estatales son autónomas para definir los requisitos habilitantes, pero tal facultad debe ser ejercida procurando diseñar condiciones habilitantes de manera objetiva, de suerte que estas sirvan para determinar si los participantes del </w:t>
      </w:r>
      <w:r w:rsidR="00450E0E" w:rsidRPr="009B713A">
        <w:rPr>
          <w:rFonts w:ascii="Arial" w:eastAsia="Times New Roman" w:hAnsi="Arial" w:cs="Arial"/>
          <w:lang w:val="es-ES_tradnl" w:eastAsia="es-MX"/>
        </w:rPr>
        <w:t xml:space="preserve">Proceso de Contratación </w:t>
      </w:r>
      <w:r w:rsidRPr="009B713A">
        <w:rPr>
          <w:rFonts w:ascii="Arial" w:eastAsia="Times New Roman" w:hAnsi="Arial" w:cs="Arial"/>
          <w:lang w:val="es-ES_tradnl" w:eastAsia="es-MX"/>
        </w:rPr>
        <w:t xml:space="preserve">cuentan con las capacidades que los hacen aptos para ejecutar el objeto contractual. Para esto resulta indispensable que los requisitos establecidos por la entidad, además se fijen de manera adecuada y proporcional a las características del objeto ofertado, procurando además ceñirse a la normativa que resulte aplicable. </w:t>
      </w:r>
    </w:p>
    <w:bookmarkEnd w:id="9"/>
    <w:bookmarkEnd w:id="10"/>
    <w:p w14:paraId="43091A6E" w14:textId="77777777" w:rsidR="00E468F0" w:rsidRPr="009B713A" w:rsidRDefault="00E468F0" w:rsidP="00E468F0">
      <w:pPr>
        <w:spacing w:after="0" w:line="276" w:lineRule="auto"/>
        <w:contextualSpacing/>
        <w:jc w:val="both"/>
        <w:rPr>
          <w:rFonts w:ascii="Arial" w:eastAsia="Calibri" w:hAnsi="Arial" w:cs="Arial"/>
          <w:bCs/>
          <w:lang w:val="es-ES_tradnl" w:eastAsia="es-MX"/>
        </w:rPr>
      </w:pPr>
    </w:p>
    <w:p w14:paraId="4F47BA93" w14:textId="77777777" w:rsidR="00E468F0" w:rsidRPr="009B713A" w:rsidRDefault="00E468F0" w:rsidP="00E468F0">
      <w:pPr>
        <w:spacing w:after="0" w:line="276" w:lineRule="auto"/>
        <w:contextualSpacing/>
        <w:jc w:val="both"/>
        <w:rPr>
          <w:rFonts w:ascii="Arial" w:eastAsia="Calibri" w:hAnsi="Arial" w:cs="Arial"/>
        </w:rPr>
      </w:pPr>
      <w:r w:rsidRPr="009B713A">
        <w:rPr>
          <w:rFonts w:ascii="Arial" w:eastAsia="Calibri" w:hAnsi="Arial" w:cs="Arial"/>
          <w:b/>
        </w:rPr>
        <w:t>2.2. El Registro Único de Proponente –RUP–y otros documentos que acrediten el cumplimiento de requisitos habilitantes</w:t>
      </w:r>
    </w:p>
    <w:p w14:paraId="0DCD7C03" w14:textId="77777777" w:rsidR="00E468F0" w:rsidRPr="009B713A" w:rsidRDefault="00E468F0" w:rsidP="00E468F0">
      <w:pPr>
        <w:spacing w:after="0" w:line="276" w:lineRule="auto"/>
        <w:contextualSpacing/>
        <w:jc w:val="both"/>
        <w:rPr>
          <w:rFonts w:ascii="Arial" w:hAnsi="Arial" w:cs="Arial"/>
        </w:rPr>
      </w:pPr>
    </w:p>
    <w:p w14:paraId="1F1B3411" w14:textId="77777777" w:rsidR="00E468F0" w:rsidRPr="009B713A" w:rsidRDefault="00E468F0" w:rsidP="00E468F0">
      <w:pPr>
        <w:spacing w:after="120" w:line="276" w:lineRule="auto"/>
        <w:jc w:val="both"/>
        <w:rPr>
          <w:rFonts w:ascii="Arial" w:hAnsi="Arial" w:cs="Arial"/>
        </w:rPr>
      </w:pPr>
      <w:bookmarkStart w:id="11" w:name="_Hlk99548176"/>
      <w:r w:rsidRPr="009B713A">
        <w:rPr>
          <w:rFonts w:ascii="Arial" w:hAnsi="Arial" w:cs="Arial"/>
        </w:rPr>
        <w:t>En cuanto al cumplimiento de los requisitos habilitantes, las Entidades Estatales sometidas al Estatuto General de Contratación de la Administración Pública – en adelante EGCAP -,   en virtud de lo establecido en el artículo 5 y 6 de la Ley 1150 de 2007, están obligadas a  efectuar la evaluación correspondiente teniendo en cuenta la información que reposa en el certificado del Registro Único de Proponentes –en adelante RUP–, documento que constituye plena prueba de la información que contiene</w:t>
      </w:r>
      <w:r w:rsidRPr="009B713A">
        <w:rPr>
          <w:rFonts w:ascii="Arial" w:hAnsi="Arial" w:cs="Arial"/>
          <w:vertAlign w:val="superscript"/>
        </w:rPr>
        <w:footnoteReference w:id="5"/>
      </w:r>
      <w:r w:rsidRPr="009B713A">
        <w:rPr>
          <w:rFonts w:ascii="Arial" w:hAnsi="Arial" w:cs="Arial"/>
        </w:rPr>
        <w:t xml:space="preserve">, tal como lo establece el artículo </w:t>
      </w:r>
      <w:r w:rsidRPr="009B713A">
        <w:rPr>
          <w:rFonts w:ascii="Arial" w:hAnsi="Arial" w:cs="Arial"/>
        </w:rPr>
        <w:lastRenderedPageBreak/>
        <w:t xml:space="preserve">6.1 de la Ley 1150 de 2007. Por su parte, el artículo 5.1 ibidem, al fijar los criterios que deben tener en cuenta las Entidades Estatales para garantizar la selección objetiva, dispone que las Cámaras de Comercio verificarán la información suministrada por las personas naturales o jurídicas para la inscripción en el Registro. </w:t>
      </w:r>
    </w:p>
    <w:bookmarkEnd w:id="11"/>
    <w:p w14:paraId="71A933C2" w14:textId="77777777" w:rsidR="00E468F0" w:rsidRPr="009B713A" w:rsidRDefault="00E468F0" w:rsidP="00E468F0">
      <w:pPr>
        <w:spacing w:after="120" w:line="276" w:lineRule="auto"/>
        <w:ind w:firstLine="708"/>
        <w:jc w:val="both"/>
        <w:rPr>
          <w:rFonts w:ascii="Arial" w:hAnsi="Arial" w:cs="Arial"/>
        </w:rPr>
      </w:pPr>
      <w:r w:rsidRPr="009B713A">
        <w:rPr>
          <w:rFonts w:ascii="Arial" w:hAnsi="Arial" w:cs="Arial"/>
        </w:rPr>
        <w:t>Dicha información debe tenerse en cuenta por las entidades en los Procedimientos de Contratación en los que es exigible el RUP</w:t>
      </w:r>
      <w:r w:rsidRPr="009B713A">
        <w:rPr>
          <w:rFonts w:ascii="Arial" w:hAnsi="Arial" w:cs="Arial"/>
          <w:vertAlign w:val="superscript"/>
        </w:rPr>
        <w:footnoteReference w:id="6"/>
      </w:r>
      <w:r w:rsidRPr="009B713A">
        <w:rPr>
          <w:rFonts w:ascii="Arial" w:hAnsi="Arial" w:cs="Arial"/>
        </w:rPr>
        <w:t>. Así las cosas, la capacidad jurídica y las condiciones de experiencia, capacidad financiera y de organización de los proponentes deberán ser verificadas exclusivamente a través del RUP, pues de acuerdo con lo expuesto, este documento es plena prueba de la información financiera, de experiencia y de capacidad acreditada por la persona natural o jurídica</w:t>
      </w:r>
      <w:r w:rsidRPr="009B713A">
        <w:rPr>
          <w:rFonts w:ascii="Arial" w:hAnsi="Arial" w:cs="Arial"/>
          <w:vertAlign w:val="superscript"/>
        </w:rPr>
        <w:footnoteReference w:id="7"/>
      </w:r>
      <w:r w:rsidRPr="009B713A">
        <w:rPr>
          <w:rFonts w:ascii="Arial" w:hAnsi="Arial" w:cs="Arial"/>
        </w:rPr>
        <w:t xml:space="preserve">. </w:t>
      </w:r>
    </w:p>
    <w:p w14:paraId="0333938A" w14:textId="77777777" w:rsidR="00E468F0" w:rsidRPr="009B713A" w:rsidRDefault="00E468F0" w:rsidP="00E468F0">
      <w:pPr>
        <w:spacing w:after="120" w:line="276" w:lineRule="auto"/>
        <w:ind w:firstLine="709"/>
        <w:jc w:val="both"/>
        <w:rPr>
          <w:rFonts w:ascii="Arial" w:hAnsi="Arial" w:cs="Arial"/>
        </w:rPr>
      </w:pPr>
      <w:bookmarkStart w:id="12" w:name="_Hlk99548308"/>
      <w:r w:rsidRPr="009B713A">
        <w:rPr>
          <w:rFonts w:ascii="Arial" w:hAnsi="Arial" w:cs="Arial"/>
        </w:rPr>
        <w:t>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bookmarkEnd w:id="12"/>
      <w:r w:rsidRPr="009B713A">
        <w:rPr>
          <w:rFonts w:ascii="Arial" w:hAnsi="Arial" w:cs="Arial"/>
          <w:vertAlign w:val="superscript"/>
        </w:rPr>
        <w:footnoteReference w:id="8"/>
      </w:r>
      <w:r w:rsidRPr="009B713A">
        <w:rPr>
          <w:rFonts w:ascii="Arial" w:hAnsi="Arial" w:cs="Arial"/>
        </w:rPr>
        <w:t xml:space="preserve">. </w:t>
      </w:r>
      <w:r w:rsidRPr="009B713A">
        <w:rPr>
          <w:rFonts w:ascii="Arial" w:hAnsi="Arial" w:cs="Arial"/>
          <w:lang w:val="es-ES_tradnl"/>
        </w:rPr>
        <w:t xml:space="preserve">Estas excepciones son taxativas y se rigen por una interpretación restrictiva. Así lo dispone el artículo 2.2.1.1.1.5.1 del Decreto 1082 de 2015, al prescribir que la inscripción en el RUP es imperativa para los sujetos mencionados </w:t>
      </w:r>
      <w:r w:rsidRPr="009B713A">
        <w:rPr>
          <w:rFonts w:ascii="Arial" w:hAnsi="Arial" w:cs="Arial"/>
          <w:lang w:val="es-ES_tradnl"/>
        </w:rPr>
        <w:lastRenderedPageBreak/>
        <w:t xml:space="preserve">en el primer inciso del artículo 6 de la Ley 1150 de 2007, salvo las excepciones previstas de forma taxativa en la ley. </w:t>
      </w:r>
      <w:r w:rsidRPr="009B713A">
        <w:rPr>
          <w:rFonts w:ascii="Arial" w:hAnsi="Arial" w:cs="Arial"/>
        </w:rPr>
        <w:t>Adicionalmente, en el numeral 6.1. del artículo 6 de la Ley 1150 de 2007 establece que cuando sea necesario verificar requisitos o información que no reposa en RUP, la entidad podrá solicitar información adicional solo para complementar la información contenida en el RUP</w:t>
      </w:r>
      <w:r w:rsidRPr="009B713A">
        <w:rPr>
          <w:rFonts w:ascii="Arial" w:hAnsi="Arial" w:cs="Arial"/>
          <w:vertAlign w:val="superscript"/>
        </w:rPr>
        <w:footnoteReference w:id="9"/>
      </w:r>
      <w:r w:rsidRPr="009B713A">
        <w:rPr>
          <w:rFonts w:ascii="Arial" w:hAnsi="Arial" w:cs="Arial"/>
        </w:rPr>
        <w:t>.</w:t>
      </w:r>
    </w:p>
    <w:p w14:paraId="6CAFC48F" w14:textId="77777777" w:rsidR="00E468F0" w:rsidRPr="009B713A" w:rsidRDefault="00E468F0" w:rsidP="00E468F0">
      <w:pPr>
        <w:spacing w:after="120" w:line="276" w:lineRule="auto"/>
        <w:ind w:firstLine="709"/>
        <w:jc w:val="both"/>
        <w:rPr>
          <w:rFonts w:ascii="Arial" w:eastAsia="Calibri" w:hAnsi="Arial" w:cs="Arial"/>
          <w:lang w:val="es-ES"/>
        </w:rPr>
      </w:pPr>
      <w:r w:rsidRPr="009B713A">
        <w:rPr>
          <w:rFonts w:ascii="Arial" w:eastAsia="Calibri" w:hAnsi="Arial" w:cs="Arial"/>
          <w:lang w:val="es-ES"/>
        </w:rPr>
        <w:t>Por tanto, las entidades que se rigen por el EGCAP, como regla general deben tener en cuenta el certificado del RUP en la determinación y evaluación de los requisitos habilitantes. Por su parte, las entidades exceptuadas de dicho régimen no están obligadas a utilizar el RUP, precisamente por ser un registro propio de los contratos sometidos al EGCAP. Sin embargo, dicha excepcionalidad no es óbice para que voluntariamente puedan solicitarlo como uno de los medios mediante los cuales los proponentes pueden acreditar algunos de los requisitos exigidos en los procesos de contratación que adelanten, previa inclusión y adecuación dentro de sus manuales de contratación o en sus procesos contractuales.</w:t>
      </w:r>
    </w:p>
    <w:p w14:paraId="2E14A155" w14:textId="77777777" w:rsidR="00E468F0" w:rsidRPr="009B713A" w:rsidRDefault="00E468F0" w:rsidP="00E468F0">
      <w:pPr>
        <w:spacing w:after="0" w:line="276" w:lineRule="auto"/>
        <w:ind w:firstLine="709"/>
        <w:contextualSpacing/>
        <w:jc w:val="both"/>
        <w:rPr>
          <w:rFonts w:ascii="Arial" w:eastAsia="Times New Roman" w:hAnsi="Arial" w:cs="Arial"/>
          <w:bCs/>
          <w:lang w:val="es-MX" w:eastAsia="x-none"/>
        </w:rPr>
      </w:pPr>
      <w:bookmarkStart w:id="13" w:name="_Hlk99548433"/>
      <w:r w:rsidRPr="009B713A">
        <w:rPr>
          <w:rFonts w:ascii="Arial" w:eastAsia="Times New Roman" w:hAnsi="Arial" w:cs="Arial"/>
          <w:bCs/>
          <w:lang w:val="es-MX" w:eastAsia="x-none"/>
        </w:rPr>
        <w:t xml:space="preserve">En conclusión, por regla general, el cumplimiento de los requisitos habilitantes determinados por la Entidad Estatal en cada proceso de contratación, entre ellos la capacidad jurídica, se debe verificar mediante el RUP el cual constituye plena prueba de las circunstancias de las que da cuenta. No obstante, en aquellos casos en los cuales no es obligatorio estar inscrito en el RUP o los eventos en los que la Entidad Estatal considere que, por el objeto, naturaleza o especificaciones del proceso, requiere información adicional a la contenida en el RUP, la entidad debe señalar en el Pliego de Condiciones–o en la Invitación– cuál es la información que se debe acreditar, así como los documentos que tendrá como válidos para tal fin. En consecuencia, el proponente deberá ceñirse a lo dispuesto por la entidad y allegar toda información ordenada, en los términos y la forma en que hayan sido señalados. </w:t>
      </w:r>
    </w:p>
    <w:bookmarkEnd w:id="13"/>
    <w:p w14:paraId="687DFC57" w14:textId="77777777" w:rsidR="00E468F0" w:rsidRPr="009B713A" w:rsidRDefault="00E468F0" w:rsidP="00E468F0">
      <w:pPr>
        <w:spacing w:after="0" w:line="276" w:lineRule="auto"/>
        <w:contextualSpacing/>
        <w:jc w:val="both"/>
        <w:rPr>
          <w:rFonts w:ascii="Arial" w:eastAsia="Calibri" w:hAnsi="Arial" w:cs="Arial"/>
          <w:bCs/>
          <w:lang w:val="es-ES_tradnl" w:eastAsia="es-MX"/>
        </w:rPr>
      </w:pPr>
    </w:p>
    <w:p w14:paraId="444673DE" w14:textId="77777777" w:rsidR="00E468F0" w:rsidRPr="009B713A" w:rsidRDefault="00E468F0" w:rsidP="00E468F0">
      <w:pPr>
        <w:spacing w:after="0" w:line="276" w:lineRule="auto"/>
        <w:contextualSpacing/>
        <w:jc w:val="both"/>
        <w:rPr>
          <w:rFonts w:ascii="Arial" w:eastAsia="Calibri" w:hAnsi="Arial" w:cs="Arial"/>
          <w:b/>
          <w:lang w:val="es-ES_tradnl" w:eastAsia="es-ES_tradnl"/>
        </w:rPr>
      </w:pPr>
      <w:r w:rsidRPr="009B713A">
        <w:rPr>
          <w:rFonts w:ascii="Arial" w:eastAsia="Calibri" w:hAnsi="Arial" w:cs="Arial"/>
          <w:b/>
        </w:rPr>
        <w:t xml:space="preserve">2.3. La capacidad jurídica como requisito habilitante y su acreditación </w:t>
      </w:r>
    </w:p>
    <w:p w14:paraId="5DD7D274" w14:textId="77777777" w:rsidR="00E468F0" w:rsidRPr="009B713A" w:rsidRDefault="00E468F0" w:rsidP="00E468F0">
      <w:pPr>
        <w:tabs>
          <w:tab w:val="left" w:pos="0"/>
        </w:tabs>
        <w:spacing w:after="0" w:line="276" w:lineRule="auto"/>
        <w:jc w:val="both"/>
        <w:rPr>
          <w:rFonts w:ascii="Arial" w:eastAsia="Calibri" w:hAnsi="Arial" w:cs="Arial"/>
          <w:b/>
          <w:lang w:val="es-ES_tradnl" w:eastAsia="es-ES_tradnl"/>
        </w:rPr>
      </w:pPr>
    </w:p>
    <w:p w14:paraId="3BB19EEE" w14:textId="77777777" w:rsidR="00E468F0" w:rsidRPr="009B713A" w:rsidRDefault="00E468F0" w:rsidP="00E468F0">
      <w:pPr>
        <w:spacing w:after="120" w:line="276" w:lineRule="auto"/>
        <w:jc w:val="both"/>
        <w:rPr>
          <w:rFonts w:ascii="Arial" w:eastAsia="Calibri" w:hAnsi="Arial" w:cs="Arial"/>
          <w:lang w:val="es-ES_tradnl" w:eastAsia="es-ES_tradnl"/>
        </w:rPr>
      </w:pPr>
      <w:r w:rsidRPr="009B713A">
        <w:rPr>
          <w:rFonts w:ascii="Arial" w:eastAsia="Calibri" w:hAnsi="Arial" w:cs="Arial"/>
          <w:lang w:val="es-ES_tradnl" w:eastAsia="es-ES_tradnl"/>
        </w:rPr>
        <w:t>La capacidad jurídica es la aptitud que recae en los sujeto activos o pasivos de las relaciones jurídicas</w:t>
      </w:r>
      <w:r w:rsidRPr="009B713A">
        <w:rPr>
          <w:rFonts w:ascii="Arial" w:eastAsia="Calibri" w:hAnsi="Arial" w:cs="Arial"/>
          <w:vertAlign w:val="superscript"/>
          <w:lang w:val="es-ES_tradnl" w:eastAsia="es-ES_tradnl"/>
        </w:rPr>
        <w:footnoteReference w:id="10"/>
      </w:r>
      <w:r w:rsidRPr="009B713A">
        <w:rPr>
          <w:rFonts w:ascii="Arial" w:eastAsia="Calibri" w:hAnsi="Arial" w:cs="Arial"/>
          <w:lang w:val="es-ES_tradnl" w:eastAsia="es-ES_tradnl"/>
        </w:rPr>
        <w:t>. Para efectos de las relaciones contractuales en las que uno de los extremos de la relación sea una Entidad Estatal, la capacidad jurídica es la facultad que tiene una persona natural o jurídica para celebrar contratos con una Entidad Estatal. En otras palabras, es i) la capacidad de obligarse a cumplir el objeto del contrato y ii) de no estar incursa en inhabilidades o incompatibilidades que impidan la celebración del contrato.</w:t>
      </w:r>
    </w:p>
    <w:p w14:paraId="282AF4CB" w14:textId="77777777" w:rsidR="00E468F0" w:rsidRPr="009B713A" w:rsidRDefault="00E468F0" w:rsidP="00E468F0">
      <w:pPr>
        <w:spacing w:after="120" w:line="276" w:lineRule="auto"/>
        <w:ind w:firstLine="709"/>
        <w:jc w:val="both"/>
        <w:rPr>
          <w:rFonts w:ascii="Arial" w:eastAsia="Calibri" w:hAnsi="Arial" w:cs="Arial"/>
          <w:lang w:val="es-ES_tradnl" w:eastAsia="es-ES_tradnl"/>
        </w:rPr>
      </w:pPr>
      <w:r w:rsidRPr="009B713A">
        <w:rPr>
          <w:rFonts w:ascii="Arial" w:eastAsia="Calibri" w:hAnsi="Arial" w:cs="Arial"/>
          <w:lang w:val="es-ES_tradnl" w:eastAsia="es-ES_tradnl"/>
        </w:rPr>
        <w:lastRenderedPageBreak/>
        <w:t>Para efectos de la aplicación de la aplicación del EGCAP, la capacidad para contratar la tienen las personas consideradas legalmente capaces en las disposiciones vigentes</w:t>
      </w:r>
      <w:r w:rsidRPr="009B713A">
        <w:rPr>
          <w:rFonts w:ascii="Arial" w:eastAsia="Calibri" w:hAnsi="Arial" w:cs="Arial"/>
          <w:vertAlign w:val="superscript"/>
          <w:lang w:val="es-ES_tradnl" w:eastAsia="es-ES_tradnl"/>
        </w:rPr>
        <w:footnoteReference w:id="11"/>
      </w:r>
      <w:r w:rsidRPr="009B713A">
        <w:rPr>
          <w:rFonts w:ascii="Arial" w:eastAsia="Times New Roman" w:hAnsi="Arial" w:cs="Arial"/>
          <w:lang w:eastAsia="es-ES_tradnl"/>
        </w:rPr>
        <w:t>, así como otras formas asociativas. En efecto, el artículo 6 de la Ley 80 de 1993 establece que “[p]ueden celebrar contratos con las entidades estatales las personas consideradas legalmente capaces en las disposiciones vigentes […]”, así como también dispone que podrán hacerlo “[…] los consorcios y uniones temporales”.</w:t>
      </w:r>
    </w:p>
    <w:p w14:paraId="12FDCB8B" w14:textId="77777777" w:rsidR="00E468F0" w:rsidRPr="009B713A" w:rsidRDefault="00E468F0" w:rsidP="00E468F0">
      <w:pPr>
        <w:spacing w:after="120" w:line="276" w:lineRule="auto"/>
        <w:ind w:firstLine="709"/>
        <w:jc w:val="both"/>
        <w:rPr>
          <w:rFonts w:ascii="Arial" w:eastAsia="Calibri" w:hAnsi="Arial" w:cs="Arial"/>
          <w:lang w:val="es-ES_tradnl" w:eastAsia="es-ES_tradnl"/>
        </w:rPr>
      </w:pPr>
      <w:r w:rsidRPr="009B713A">
        <w:rPr>
          <w:rFonts w:ascii="Arial" w:eastAsia="Calibri" w:hAnsi="Arial" w:cs="Arial"/>
          <w:lang w:val="es-ES_tradnl" w:eastAsia="es-ES_tradnl"/>
        </w:rPr>
        <w:t>Las personas naturales que tienen capacidad jurídica para contratar son los mayores de edad, a menos que por disposición expresa se encuentren limitados por decisión judicial, como la interdicción judicial, y que no estén incursas en inhabilidades, incompatibilidades o prohibiciones para contratar derivadas de la ley. Respecto de las personas jurídicas, la capacidad jurídica hace referencia a la posibilidad que tienen para adelantar actividades en el marco de su objeto social, las facultades que le han sido otorgadas al representante legal y a la ausencia de inhabilidades, incompatibilidades o prohibiciones para contratar, derivadas de la ley.</w:t>
      </w:r>
    </w:p>
    <w:p w14:paraId="2D764506" w14:textId="77777777" w:rsidR="00E468F0" w:rsidRPr="009B713A" w:rsidRDefault="00E468F0" w:rsidP="00E468F0">
      <w:pPr>
        <w:spacing w:after="0" w:line="276" w:lineRule="auto"/>
        <w:ind w:firstLine="709"/>
        <w:contextualSpacing/>
        <w:jc w:val="both"/>
        <w:rPr>
          <w:rFonts w:ascii="Arial" w:eastAsia="Calibri" w:hAnsi="Arial" w:cs="Arial"/>
          <w:lang w:val="es-ES_tradnl" w:eastAsia="es-ES_tradnl"/>
        </w:rPr>
      </w:pPr>
      <w:r w:rsidRPr="009B713A">
        <w:rPr>
          <w:rFonts w:ascii="Arial" w:eastAsia="Calibri" w:hAnsi="Arial" w:cs="Arial"/>
          <w:lang w:val="es-ES_tradnl" w:eastAsia="es-ES_tradnl"/>
        </w:rPr>
        <w:t>Ahora bien, en el marco de los procesos de selección, las Entidades Estatales deben solicitar a los proponentes toda la información necesaria para conocer su idoneidad en la ejecución del contrato a celebrar, que le permita verificar su honestidad e integridad en el manejo de los recursos públicos que involucra la contratación estatal. El Consejo de Estado ha exhortado a las Entidades Estatales para conocer la calidad en la que actúa el proponente, así</w:t>
      </w:r>
      <w:r w:rsidRPr="009B713A">
        <w:rPr>
          <w:rFonts w:ascii="Arial" w:eastAsia="Calibri" w:hAnsi="Arial" w:cs="Arial"/>
          <w:vertAlign w:val="superscript"/>
          <w:lang w:val="es-ES_tradnl" w:eastAsia="es-ES_tradnl"/>
        </w:rPr>
        <w:footnoteReference w:id="12"/>
      </w:r>
      <w:r w:rsidRPr="009B713A">
        <w:rPr>
          <w:rFonts w:ascii="Arial" w:eastAsia="Calibri" w:hAnsi="Arial" w:cs="Arial"/>
          <w:lang w:val="es-ES_tradnl" w:eastAsia="es-ES_tradnl"/>
        </w:rPr>
        <w:t>:</w:t>
      </w:r>
    </w:p>
    <w:p w14:paraId="2D42D37E" w14:textId="77777777" w:rsidR="00E468F0" w:rsidRPr="009B713A" w:rsidRDefault="00E468F0" w:rsidP="00E468F0">
      <w:pPr>
        <w:spacing w:after="0" w:line="276" w:lineRule="auto"/>
        <w:ind w:firstLine="709"/>
        <w:contextualSpacing/>
        <w:jc w:val="both"/>
        <w:rPr>
          <w:rFonts w:ascii="Arial" w:eastAsia="Calibri" w:hAnsi="Arial" w:cs="Arial"/>
          <w:lang w:val="es-ES_tradnl" w:eastAsia="es-ES_tradnl"/>
        </w:rPr>
      </w:pPr>
    </w:p>
    <w:p w14:paraId="77B85A38" w14:textId="77777777" w:rsidR="00E468F0" w:rsidRPr="009B713A" w:rsidRDefault="00E468F0" w:rsidP="00E468F0">
      <w:pPr>
        <w:widowControl w:val="0"/>
        <w:autoSpaceDE w:val="0"/>
        <w:autoSpaceDN w:val="0"/>
        <w:spacing w:after="0" w:line="240" w:lineRule="auto"/>
        <w:ind w:left="709" w:right="709"/>
        <w:contextualSpacing/>
        <w:jc w:val="both"/>
        <w:rPr>
          <w:rFonts w:ascii="Arial" w:eastAsia="Arial" w:hAnsi="Arial" w:cs="Arial"/>
          <w:sz w:val="20"/>
          <w:szCs w:val="20"/>
          <w:lang w:val="es-ES" w:eastAsia="es-ES" w:bidi="es-ES"/>
        </w:rPr>
      </w:pPr>
      <w:r w:rsidRPr="009B713A">
        <w:rPr>
          <w:rFonts w:ascii="Arial" w:eastAsia="Arial" w:hAnsi="Arial" w:cs="Arial"/>
          <w:sz w:val="20"/>
          <w:szCs w:val="20"/>
          <w:lang w:val="es-ES" w:eastAsia="es-ES" w:bidi="es-ES"/>
        </w:rPr>
        <w:t>“No duda la Sala en afirmar que la anterior disposición conlleva un deber calificado para las entidades estatales, cuyo presupuesto es la buena fe (y como se verá, el principio de precaución), consistente en una carga de conocimiento que las obliga a determinar la calidad con la que actúa el proponente o contratista, esto es, persona natural o jurídica, o sucursal de una sociedad extranjera, si pertenece o no a un grupo empresarial, si se trata de una filial o subsidiaria, la composición de su capital, si cotiza o no en bolsa, si es una empresa familiar, la idoneidad personal y profesional de sus representantes legales, entre otros aspectos, así como el origen lícito de los fondos que empleará en la ejecución del objeto contratado, los cuales, por supuesto, no pueden provenir de actividades delictivas en general, o ser el producto de actos de corrupción, en</w:t>
      </w:r>
      <w:r w:rsidRPr="009B713A">
        <w:rPr>
          <w:rFonts w:ascii="Arial" w:eastAsia="Arial" w:hAnsi="Arial" w:cs="Arial"/>
          <w:spacing w:val="-11"/>
          <w:sz w:val="20"/>
          <w:szCs w:val="20"/>
          <w:lang w:val="es-ES" w:eastAsia="es-ES" w:bidi="es-ES"/>
        </w:rPr>
        <w:t xml:space="preserve"> </w:t>
      </w:r>
      <w:r w:rsidRPr="009B713A">
        <w:rPr>
          <w:rFonts w:ascii="Arial" w:eastAsia="Arial" w:hAnsi="Arial" w:cs="Arial"/>
          <w:sz w:val="20"/>
          <w:szCs w:val="20"/>
          <w:lang w:val="es-ES" w:eastAsia="es-ES" w:bidi="es-ES"/>
        </w:rPr>
        <w:t>particular”.</w:t>
      </w:r>
    </w:p>
    <w:p w14:paraId="766A0130" w14:textId="77777777" w:rsidR="00E468F0" w:rsidRPr="009B713A" w:rsidRDefault="00E468F0" w:rsidP="00E468F0">
      <w:pPr>
        <w:widowControl w:val="0"/>
        <w:autoSpaceDE w:val="0"/>
        <w:autoSpaceDN w:val="0"/>
        <w:spacing w:after="0" w:line="276" w:lineRule="auto"/>
        <w:contextualSpacing/>
        <w:rPr>
          <w:rFonts w:ascii="Arial" w:eastAsia="Arial" w:hAnsi="Arial" w:cs="Arial"/>
          <w:lang w:val="es-ES" w:eastAsia="es-ES" w:bidi="es-ES"/>
        </w:rPr>
      </w:pPr>
    </w:p>
    <w:p w14:paraId="5BBC8F8A" w14:textId="77777777" w:rsidR="00E468F0" w:rsidRPr="009B713A" w:rsidRDefault="00E468F0" w:rsidP="00E468F0">
      <w:pPr>
        <w:spacing w:after="120" w:line="276" w:lineRule="auto"/>
        <w:ind w:firstLine="709"/>
        <w:jc w:val="both"/>
        <w:rPr>
          <w:rFonts w:ascii="Arial" w:eastAsia="Times New Roman" w:hAnsi="Arial" w:cs="Arial"/>
          <w:color w:val="000000" w:themeColor="text1"/>
          <w:lang w:val="es-ES_tradnl" w:eastAsia="es-ES_tradnl"/>
        </w:rPr>
      </w:pPr>
      <w:r w:rsidRPr="009B713A">
        <w:rPr>
          <w:rFonts w:ascii="Arial" w:eastAsia="Times New Roman" w:hAnsi="Arial" w:cs="Arial"/>
          <w:color w:val="000000" w:themeColor="text1"/>
          <w:lang w:val="es-ES_tradnl" w:eastAsia="es-ES_tradnl"/>
        </w:rPr>
        <w:t xml:space="preserve">Teniendo en cuenta el objeto de consulta de este concepto se debe señalar que, en su calidad de comerciantes, los proponentes deben estar inscritos en el Registro Único Empresarial y Social – en adelante RUES– administrado por las cámaras de comercio. En </w:t>
      </w:r>
      <w:r w:rsidRPr="009B713A">
        <w:rPr>
          <w:rFonts w:ascii="Arial" w:eastAsia="Times New Roman" w:hAnsi="Arial" w:cs="Arial"/>
          <w:color w:val="000000" w:themeColor="text1"/>
          <w:lang w:val="es-ES_tradnl" w:eastAsia="es-ES_tradnl"/>
        </w:rPr>
        <w:lastRenderedPageBreak/>
        <w:t>dicho documento se encuentra el listado de las actividades económicas que conforman el objeto de las empresas, según los códigos de la Clasificación Industrial Internacional Uniforme (CIIU), en virtud de lo dispuesto en el artículo 11 de la Ley 590 de 2000</w:t>
      </w:r>
      <w:r w:rsidRPr="009B713A">
        <w:rPr>
          <w:rFonts w:ascii="Arial" w:eastAsia="Times New Roman" w:hAnsi="Arial" w:cs="Arial"/>
          <w:color w:val="000000" w:themeColor="text1"/>
          <w:vertAlign w:val="superscript"/>
          <w:lang w:val="es-ES_tradnl" w:eastAsia="es-ES_tradnl"/>
        </w:rPr>
        <w:footnoteReference w:id="13"/>
      </w:r>
      <w:r w:rsidRPr="009B713A">
        <w:rPr>
          <w:rFonts w:ascii="Arial" w:eastAsia="Times New Roman" w:hAnsi="Arial" w:cs="Arial"/>
          <w:color w:val="000000" w:themeColor="text1"/>
          <w:lang w:val="es-ES_tradnl" w:eastAsia="es-ES_tradnl"/>
        </w:rPr>
        <w:t xml:space="preserve"> y el artículo 166 del Decreto 019 de 2012</w:t>
      </w:r>
      <w:r w:rsidRPr="009B713A">
        <w:rPr>
          <w:rFonts w:ascii="Arial" w:eastAsia="Times New Roman" w:hAnsi="Arial" w:cs="Arial"/>
          <w:color w:val="000000" w:themeColor="text1"/>
          <w:vertAlign w:val="superscript"/>
          <w:lang w:val="es-ES_tradnl" w:eastAsia="es-ES_tradnl"/>
        </w:rPr>
        <w:footnoteReference w:id="14"/>
      </w:r>
      <w:r w:rsidRPr="009B713A">
        <w:rPr>
          <w:rFonts w:ascii="Arial" w:eastAsia="Times New Roman" w:hAnsi="Arial" w:cs="Arial"/>
          <w:color w:val="000000" w:themeColor="text1"/>
          <w:lang w:val="es-ES_tradnl" w:eastAsia="es-ES_tradnl"/>
        </w:rPr>
        <w:t>.</w:t>
      </w:r>
    </w:p>
    <w:p w14:paraId="6BDB79C5" w14:textId="77777777" w:rsidR="00E468F0" w:rsidRPr="009B713A" w:rsidRDefault="00E468F0" w:rsidP="00E468F0">
      <w:pPr>
        <w:spacing w:after="120" w:line="276" w:lineRule="auto"/>
        <w:ind w:firstLine="709"/>
        <w:jc w:val="both"/>
        <w:rPr>
          <w:rFonts w:ascii="Arial" w:eastAsia="Calibri" w:hAnsi="Arial" w:cs="Arial"/>
          <w:lang w:val="es-ES_tradnl" w:eastAsia="es-ES_tradnl"/>
        </w:rPr>
      </w:pPr>
      <w:r w:rsidRPr="009B713A">
        <w:rPr>
          <w:rFonts w:ascii="Arial" w:eastAsia="Calibri" w:hAnsi="Arial" w:cs="Arial"/>
          <w:lang w:val="es-ES_tradnl" w:eastAsia="es-ES_tradnl"/>
        </w:rPr>
        <w:t xml:space="preserve">Se concluye que, en el ordenamiento colombiano pueden celebrar contratos estatales las personas jurídicas que tengan dentro de su objeto social actividades relacionadas con el objeto a contratar. En el </w:t>
      </w:r>
      <w:r w:rsidRPr="009B713A">
        <w:rPr>
          <w:rFonts w:ascii="Arial" w:eastAsia="Times New Roman" w:hAnsi="Arial" w:cs="Arial"/>
          <w:color w:val="000000" w:themeColor="text1"/>
          <w:lang w:val="es-ES_tradnl" w:eastAsia="es-ES_tradnl"/>
        </w:rPr>
        <w:t>RUES, administrado por las cámaras de comercio se encuentra el listado de las actividades económicas que conforman el objeto de las empresas, según los códigos de la Clasificación Industrial Internacional Uniforme (CIIU), en virtud de lo dispuesto en el artículo 11 de la Ley 590 de 2000</w:t>
      </w:r>
      <w:r w:rsidRPr="009B713A">
        <w:rPr>
          <w:rFonts w:ascii="Arial" w:eastAsia="Times New Roman" w:hAnsi="Arial" w:cs="Arial"/>
          <w:color w:val="000000" w:themeColor="text1"/>
          <w:vertAlign w:val="superscript"/>
          <w:lang w:val="es-ES_tradnl" w:eastAsia="es-ES_tradnl"/>
        </w:rPr>
        <w:footnoteReference w:id="15"/>
      </w:r>
      <w:r w:rsidRPr="009B713A">
        <w:rPr>
          <w:rFonts w:ascii="Arial" w:eastAsia="Times New Roman" w:hAnsi="Arial" w:cs="Arial"/>
          <w:color w:val="000000" w:themeColor="text1"/>
          <w:lang w:val="es-ES_tradnl" w:eastAsia="es-ES_tradnl"/>
        </w:rPr>
        <w:t xml:space="preserve"> y el artículo 166 del </w:t>
      </w:r>
      <w:r w:rsidRPr="009B713A">
        <w:rPr>
          <w:rFonts w:ascii="Arial" w:eastAsia="Times New Roman" w:hAnsi="Arial" w:cs="Arial"/>
          <w:color w:val="000000" w:themeColor="text1"/>
          <w:lang w:val="es-ES_tradnl" w:eastAsia="es-ES_tradnl"/>
        </w:rPr>
        <w:lastRenderedPageBreak/>
        <w:t xml:space="preserve">Decreto 019 de 2012, por lo cual las Entidades Estatales pueden corroborar a través de este documento si la persona jurídica puede o no ejecutar el objeto contractual. </w:t>
      </w:r>
    </w:p>
    <w:p w14:paraId="5DDB7632" w14:textId="5821518C" w:rsidR="00E468F0" w:rsidRPr="009B713A" w:rsidRDefault="00E468F0" w:rsidP="00E468F0">
      <w:pPr>
        <w:spacing w:after="120" w:line="276" w:lineRule="auto"/>
        <w:ind w:firstLine="709"/>
        <w:jc w:val="both"/>
        <w:rPr>
          <w:rFonts w:ascii="Arial" w:eastAsia="Times New Roman" w:hAnsi="Arial" w:cs="Arial"/>
          <w:lang w:eastAsia="es-ES_tradnl"/>
        </w:rPr>
      </w:pPr>
      <w:r w:rsidRPr="009B713A">
        <w:rPr>
          <w:rFonts w:ascii="Arial" w:eastAsia="Times New Roman" w:hAnsi="Arial" w:cs="Arial"/>
          <w:lang w:eastAsia="es-ES_tradnl"/>
        </w:rPr>
        <w:t>En cuanto a la presentación del Registro Único Tributario – en adelante RUT– para la acreditación</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de la capacidad jurídica es menester indicar que, dicho registro, regulado</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por el artículo 555-2 del Estatuto Tributario</w:t>
      </w:r>
      <w:r w:rsidRPr="009B713A">
        <w:rPr>
          <w:rFonts w:ascii="Arial" w:eastAsia="Times New Roman" w:hAnsi="Arial" w:cs="Arial"/>
          <w:vertAlign w:val="superscript"/>
          <w:lang w:eastAsia="es-ES_tradnl"/>
        </w:rPr>
        <w:t>9</w:t>
      </w:r>
      <w:r w:rsidRPr="009B713A">
        <w:rPr>
          <w:rFonts w:ascii="Arial" w:eastAsia="Times New Roman" w:hAnsi="Arial" w:cs="Arial"/>
          <w:lang w:eastAsia="es-ES_tradnl"/>
        </w:rPr>
        <w:t>,</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es un mecanismo para identificar, ubicar y</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clasificar las personas y entidades que tengan la calidad de contribuyentes declarantes del</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impuesto</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sobre</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la</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renta</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y</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no</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contribuyentes</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declarantes</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de</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ingresos</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y</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patrimonio;</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los</w:t>
      </w:r>
      <w:r w:rsidRPr="009B713A">
        <w:rPr>
          <w:rFonts w:ascii="Arial" w:eastAsia="Times New Roman" w:hAnsi="Arial" w:cs="Arial"/>
          <w:spacing w:val="-59"/>
          <w:lang w:eastAsia="es-ES_tradnl"/>
        </w:rPr>
        <w:t xml:space="preserve"> </w:t>
      </w:r>
      <w:r w:rsidRPr="009B713A">
        <w:rPr>
          <w:rFonts w:ascii="Arial" w:eastAsia="Times New Roman" w:hAnsi="Arial" w:cs="Arial"/>
          <w:lang w:eastAsia="es-ES_tradnl"/>
        </w:rPr>
        <w:t>responsables del Régimen Común y los pertenecientes al régimen simplificado; los agentes</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retenedores; los importadores, exportadores y demás usuarios aduaneros, y los demás</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sujetos de obligaciones administradas por la Dirección de Impuestos y Aduanas Nacionales,</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 xml:space="preserve">respecto de los cuales esta requiera su inscripción. En concordancia con esto, en el </w:t>
      </w:r>
      <w:r w:rsidR="00473C27" w:rsidRPr="009B713A">
        <w:rPr>
          <w:rFonts w:ascii="Arial" w:eastAsia="Times New Roman" w:hAnsi="Arial" w:cs="Arial"/>
          <w:lang w:eastAsia="es-ES_tradnl"/>
        </w:rPr>
        <w:t>Capítulo</w:t>
      </w:r>
      <w:r w:rsidR="00473C27" w:rsidRPr="009B713A">
        <w:rPr>
          <w:rFonts w:ascii="Arial" w:eastAsia="Times New Roman" w:hAnsi="Arial" w:cs="Arial"/>
          <w:spacing w:val="-59"/>
          <w:lang w:eastAsia="es-ES_tradnl"/>
        </w:rPr>
        <w:t xml:space="preserve"> </w:t>
      </w:r>
      <w:r w:rsidR="00473C27">
        <w:rPr>
          <w:rFonts w:ascii="Arial" w:eastAsia="Times New Roman" w:hAnsi="Arial" w:cs="Arial"/>
          <w:spacing w:val="-59"/>
          <w:lang w:eastAsia="es-ES_tradnl"/>
        </w:rPr>
        <w:t>2</w:t>
      </w:r>
      <w:r w:rsidRPr="009B713A">
        <w:rPr>
          <w:rFonts w:ascii="Arial" w:eastAsia="Times New Roman" w:hAnsi="Arial" w:cs="Arial"/>
          <w:lang w:eastAsia="es-ES_tradnl"/>
        </w:rPr>
        <w:t>,</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Título</w:t>
      </w:r>
      <w:r w:rsidRPr="009B713A">
        <w:rPr>
          <w:rFonts w:ascii="Arial" w:eastAsia="Times New Roman" w:hAnsi="Arial" w:cs="Arial"/>
          <w:spacing w:val="-14"/>
          <w:lang w:eastAsia="es-ES_tradnl"/>
        </w:rPr>
        <w:t xml:space="preserve"> </w:t>
      </w:r>
      <w:r w:rsidRPr="009B713A">
        <w:rPr>
          <w:rFonts w:ascii="Arial" w:eastAsia="Times New Roman" w:hAnsi="Arial" w:cs="Arial"/>
          <w:lang w:eastAsia="es-ES_tradnl"/>
        </w:rPr>
        <w:t>1,</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Parte</w:t>
      </w:r>
      <w:r w:rsidRPr="009B713A">
        <w:rPr>
          <w:rFonts w:ascii="Arial" w:eastAsia="Times New Roman" w:hAnsi="Arial" w:cs="Arial"/>
          <w:spacing w:val="-14"/>
          <w:lang w:eastAsia="es-ES_tradnl"/>
        </w:rPr>
        <w:t xml:space="preserve"> </w:t>
      </w:r>
      <w:r w:rsidRPr="009B713A">
        <w:rPr>
          <w:rFonts w:ascii="Arial" w:eastAsia="Times New Roman" w:hAnsi="Arial" w:cs="Arial"/>
          <w:lang w:eastAsia="es-ES_tradnl"/>
        </w:rPr>
        <w:t>6</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del</w:t>
      </w:r>
      <w:r w:rsidRPr="009B713A">
        <w:rPr>
          <w:rFonts w:ascii="Arial" w:eastAsia="Times New Roman" w:hAnsi="Arial" w:cs="Arial"/>
          <w:spacing w:val="-14"/>
          <w:lang w:eastAsia="es-ES_tradnl"/>
        </w:rPr>
        <w:t xml:space="preserve"> </w:t>
      </w:r>
      <w:r w:rsidRPr="009B713A">
        <w:rPr>
          <w:rFonts w:ascii="Arial" w:eastAsia="Times New Roman" w:hAnsi="Arial" w:cs="Arial"/>
          <w:lang w:eastAsia="es-ES_tradnl"/>
        </w:rPr>
        <w:t>Libro</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1</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del</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Decreto</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1625</w:t>
      </w:r>
      <w:r w:rsidRPr="009B713A">
        <w:rPr>
          <w:rFonts w:ascii="Arial" w:eastAsia="Times New Roman" w:hAnsi="Arial" w:cs="Arial"/>
          <w:spacing w:val="-14"/>
          <w:lang w:eastAsia="es-ES_tradnl"/>
        </w:rPr>
        <w:t xml:space="preserve"> </w:t>
      </w:r>
      <w:r w:rsidRPr="009B713A">
        <w:rPr>
          <w:rFonts w:ascii="Arial" w:eastAsia="Times New Roman" w:hAnsi="Arial" w:cs="Arial"/>
          <w:lang w:eastAsia="es-ES_tradnl"/>
        </w:rPr>
        <w:t>de</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2016,</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específicamente</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el</w:t>
      </w:r>
      <w:r w:rsidRPr="009B713A">
        <w:rPr>
          <w:rFonts w:ascii="Arial" w:eastAsia="Times New Roman" w:hAnsi="Arial" w:cs="Arial"/>
          <w:spacing w:val="-14"/>
          <w:lang w:eastAsia="es-ES_tradnl"/>
        </w:rPr>
        <w:t xml:space="preserve"> </w:t>
      </w:r>
      <w:r w:rsidRPr="009B713A">
        <w:rPr>
          <w:rFonts w:ascii="Arial" w:eastAsia="Times New Roman" w:hAnsi="Arial" w:cs="Arial"/>
          <w:lang w:eastAsia="es-ES_tradnl"/>
        </w:rPr>
        <w:t>artículo</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1.6.1.2.1.,</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indica obligación de inscripción en el RUT</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así: “Deberán cumplir con la obligación formal de</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inscribirse en el Registro Único Tributario - RUT: 1. Las personas naturales sin residencia en</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Colombia y las sociedades y entidades extranjeras por cada establecimiento permanente o</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sucursal</w:t>
      </w:r>
      <w:r w:rsidRPr="009B713A">
        <w:rPr>
          <w:rFonts w:ascii="Arial" w:eastAsia="Times New Roman" w:hAnsi="Arial" w:cs="Arial"/>
          <w:spacing w:val="-2"/>
          <w:lang w:eastAsia="es-ES_tradnl"/>
        </w:rPr>
        <w:t xml:space="preserve"> </w:t>
      </w:r>
      <w:r w:rsidRPr="009B713A">
        <w:rPr>
          <w:rFonts w:ascii="Arial" w:eastAsia="Times New Roman" w:hAnsi="Arial" w:cs="Arial"/>
          <w:lang w:eastAsia="es-ES_tradnl"/>
        </w:rPr>
        <w:t>que</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tengan</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en</w:t>
      </w:r>
      <w:r w:rsidRPr="009B713A">
        <w:rPr>
          <w:rFonts w:ascii="Arial" w:eastAsia="Times New Roman" w:hAnsi="Arial" w:cs="Arial"/>
          <w:spacing w:val="-2"/>
          <w:lang w:eastAsia="es-ES_tradnl"/>
        </w:rPr>
        <w:t xml:space="preserve"> </w:t>
      </w:r>
      <w:r w:rsidRPr="009B713A">
        <w:rPr>
          <w:rFonts w:ascii="Arial" w:eastAsia="Times New Roman" w:hAnsi="Arial" w:cs="Arial"/>
          <w:lang w:eastAsia="es-ES_tradnl"/>
        </w:rPr>
        <w:t>el</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territorio</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nacional;</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w:t>
      </w:r>
    </w:p>
    <w:p w14:paraId="47525147" w14:textId="6EA18F90" w:rsidR="00E468F0" w:rsidRPr="009B713A" w:rsidRDefault="00E468F0" w:rsidP="00E468F0">
      <w:pPr>
        <w:spacing w:after="120" w:line="276" w:lineRule="auto"/>
        <w:ind w:firstLine="708"/>
        <w:jc w:val="both"/>
        <w:rPr>
          <w:rFonts w:ascii="Arial" w:eastAsia="Times New Roman" w:hAnsi="Arial" w:cs="Arial"/>
          <w:lang w:eastAsia="es-ES_tradnl"/>
        </w:rPr>
      </w:pPr>
      <w:r w:rsidRPr="009B713A">
        <w:rPr>
          <w:rFonts w:ascii="Arial" w:eastAsia="Times New Roman" w:hAnsi="Arial" w:cs="Arial"/>
          <w:lang w:eastAsia="es-ES_tradnl"/>
        </w:rPr>
        <w:t>De</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acuerdo</w:t>
      </w:r>
      <w:r w:rsidRPr="009B713A">
        <w:rPr>
          <w:rFonts w:ascii="Arial" w:eastAsia="Times New Roman" w:hAnsi="Arial" w:cs="Arial"/>
          <w:spacing w:val="-5"/>
          <w:lang w:eastAsia="es-ES_tradnl"/>
        </w:rPr>
        <w:t xml:space="preserve"> </w:t>
      </w:r>
      <w:r w:rsidRPr="009B713A">
        <w:rPr>
          <w:rFonts w:ascii="Arial" w:eastAsia="Times New Roman" w:hAnsi="Arial" w:cs="Arial"/>
          <w:lang w:eastAsia="es-ES_tradnl"/>
        </w:rPr>
        <w:t>con</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lo</w:t>
      </w:r>
      <w:r w:rsidRPr="009B713A">
        <w:rPr>
          <w:rFonts w:ascii="Arial" w:eastAsia="Times New Roman" w:hAnsi="Arial" w:cs="Arial"/>
          <w:spacing w:val="-5"/>
          <w:lang w:eastAsia="es-ES_tradnl"/>
        </w:rPr>
        <w:t xml:space="preserve"> </w:t>
      </w:r>
      <w:r w:rsidRPr="009B713A">
        <w:rPr>
          <w:rFonts w:ascii="Arial" w:eastAsia="Times New Roman" w:hAnsi="Arial" w:cs="Arial"/>
          <w:lang w:eastAsia="es-ES_tradnl"/>
        </w:rPr>
        <w:t>anterior,</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la</w:t>
      </w:r>
      <w:r w:rsidRPr="009B713A">
        <w:rPr>
          <w:rFonts w:ascii="Arial" w:eastAsia="Times New Roman" w:hAnsi="Arial" w:cs="Arial"/>
          <w:spacing w:val="-5"/>
          <w:lang w:eastAsia="es-ES_tradnl"/>
        </w:rPr>
        <w:t xml:space="preserve"> </w:t>
      </w:r>
      <w:r w:rsidRPr="009B713A">
        <w:rPr>
          <w:rFonts w:ascii="Arial" w:eastAsia="Times New Roman" w:hAnsi="Arial" w:cs="Arial"/>
          <w:lang w:eastAsia="es-ES_tradnl"/>
        </w:rPr>
        <w:t>inscripción</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en</w:t>
      </w:r>
      <w:r w:rsidRPr="009B713A">
        <w:rPr>
          <w:rFonts w:ascii="Arial" w:eastAsia="Times New Roman" w:hAnsi="Arial" w:cs="Arial"/>
          <w:spacing w:val="-5"/>
          <w:lang w:eastAsia="es-ES_tradnl"/>
        </w:rPr>
        <w:t xml:space="preserve"> </w:t>
      </w:r>
      <w:r w:rsidRPr="009B713A">
        <w:rPr>
          <w:rFonts w:ascii="Arial" w:eastAsia="Times New Roman" w:hAnsi="Arial" w:cs="Arial"/>
          <w:lang w:eastAsia="es-ES_tradnl"/>
        </w:rPr>
        <w:t>el</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RUT</w:t>
      </w:r>
      <w:r w:rsidRPr="009B713A">
        <w:rPr>
          <w:rFonts w:ascii="Arial" w:eastAsia="Times New Roman" w:hAnsi="Arial" w:cs="Arial"/>
          <w:spacing w:val="-5"/>
          <w:lang w:eastAsia="es-ES_tradnl"/>
        </w:rPr>
        <w:t xml:space="preserve"> </w:t>
      </w:r>
      <w:r w:rsidRPr="009B713A">
        <w:rPr>
          <w:rFonts w:ascii="Arial" w:eastAsia="Times New Roman" w:hAnsi="Arial" w:cs="Arial"/>
          <w:lang w:eastAsia="es-ES_tradnl"/>
        </w:rPr>
        <w:t>es</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una</w:t>
      </w:r>
      <w:r w:rsidRPr="009B713A">
        <w:rPr>
          <w:rFonts w:ascii="Arial" w:eastAsia="Times New Roman" w:hAnsi="Arial" w:cs="Arial"/>
          <w:spacing w:val="-5"/>
          <w:lang w:eastAsia="es-ES_tradnl"/>
        </w:rPr>
        <w:t xml:space="preserve"> </w:t>
      </w:r>
      <w:r w:rsidRPr="009B713A">
        <w:rPr>
          <w:rFonts w:ascii="Arial" w:eastAsia="Times New Roman" w:hAnsi="Arial" w:cs="Arial"/>
          <w:lang w:eastAsia="es-ES_tradnl"/>
        </w:rPr>
        <w:t>obligación</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que</w:t>
      </w:r>
      <w:r w:rsidRPr="009B713A">
        <w:rPr>
          <w:rFonts w:ascii="Arial" w:eastAsia="Times New Roman" w:hAnsi="Arial" w:cs="Arial"/>
          <w:spacing w:val="-5"/>
          <w:lang w:eastAsia="es-ES_tradnl"/>
        </w:rPr>
        <w:t xml:space="preserve"> </w:t>
      </w:r>
      <w:r w:rsidR="000D3424">
        <w:rPr>
          <w:rFonts w:ascii="Arial" w:eastAsia="Times New Roman" w:hAnsi="Arial" w:cs="Arial"/>
          <w:lang w:eastAsia="es-ES_tradnl"/>
        </w:rPr>
        <w:t>asiste a</w:t>
      </w:r>
      <w:r w:rsidRPr="009B713A">
        <w:rPr>
          <w:rFonts w:ascii="Arial" w:eastAsia="Times New Roman" w:hAnsi="Arial" w:cs="Arial"/>
          <w:lang w:eastAsia="es-ES_tradnl"/>
        </w:rPr>
        <w:t xml:space="preserve"> las personas naturales</w:t>
      </w:r>
      <w:r w:rsidR="000D3424">
        <w:rPr>
          <w:rFonts w:ascii="Arial" w:eastAsia="Times New Roman" w:hAnsi="Arial" w:cs="Arial"/>
          <w:lang w:eastAsia="es-ES_tradnl"/>
        </w:rPr>
        <w:t xml:space="preserve"> y jurídicas</w:t>
      </w:r>
      <w:r w:rsidRPr="009B713A">
        <w:rPr>
          <w:rFonts w:ascii="Arial" w:eastAsia="Times New Roman" w:hAnsi="Arial" w:cs="Arial"/>
          <w:lang w:eastAsia="es-ES_tradnl"/>
        </w:rPr>
        <w:t>, y que, tratándose de comerciantes, supone concordancia con las</w:t>
      </w:r>
      <w:r w:rsidRPr="009B713A">
        <w:rPr>
          <w:rFonts w:ascii="Arial" w:eastAsia="Times New Roman" w:hAnsi="Arial" w:cs="Arial"/>
          <w:spacing w:val="1"/>
          <w:lang w:eastAsia="es-ES_tradnl"/>
        </w:rPr>
        <w:t xml:space="preserve"> </w:t>
      </w:r>
      <w:r w:rsidRPr="009B713A">
        <w:rPr>
          <w:rFonts w:ascii="Arial" w:eastAsia="Times New Roman" w:hAnsi="Arial" w:cs="Arial"/>
          <w:spacing w:val="-1"/>
          <w:lang w:eastAsia="es-ES_tradnl"/>
        </w:rPr>
        <w:t>actividades</w:t>
      </w:r>
      <w:r w:rsidRPr="009B713A">
        <w:rPr>
          <w:rFonts w:ascii="Arial" w:eastAsia="Times New Roman" w:hAnsi="Arial" w:cs="Arial"/>
          <w:spacing w:val="-15"/>
          <w:lang w:eastAsia="es-ES_tradnl"/>
        </w:rPr>
        <w:t xml:space="preserve"> </w:t>
      </w:r>
      <w:r w:rsidRPr="009B713A">
        <w:rPr>
          <w:rFonts w:ascii="Arial" w:eastAsia="Times New Roman" w:hAnsi="Arial" w:cs="Arial"/>
          <w:spacing w:val="-1"/>
          <w:lang w:eastAsia="es-ES_tradnl"/>
        </w:rPr>
        <w:t>que</w:t>
      </w:r>
      <w:r w:rsidRPr="009B713A">
        <w:rPr>
          <w:rFonts w:ascii="Arial" w:eastAsia="Times New Roman" w:hAnsi="Arial" w:cs="Arial"/>
          <w:spacing w:val="-15"/>
          <w:lang w:eastAsia="es-ES_tradnl"/>
        </w:rPr>
        <w:t xml:space="preserve"> </w:t>
      </w:r>
      <w:r w:rsidRPr="009B713A">
        <w:rPr>
          <w:rFonts w:ascii="Arial" w:eastAsia="Times New Roman" w:hAnsi="Arial" w:cs="Arial"/>
          <w:spacing w:val="-1"/>
          <w:lang w:eastAsia="es-ES_tradnl"/>
        </w:rPr>
        <w:t>en</w:t>
      </w:r>
      <w:r w:rsidRPr="009B713A">
        <w:rPr>
          <w:rFonts w:ascii="Arial" w:eastAsia="Times New Roman" w:hAnsi="Arial" w:cs="Arial"/>
          <w:spacing w:val="-14"/>
          <w:lang w:eastAsia="es-ES_tradnl"/>
        </w:rPr>
        <w:t xml:space="preserve"> </w:t>
      </w:r>
      <w:r w:rsidRPr="009B713A">
        <w:rPr>
          <w:rFonts w:ascii="Arial" w:eastAsia="Times New Roman" w:hAnsi="Arial" w:cs="Arial"/>
          <w:spacing w:val="-1"/>
          <w:lang w:eastAsia="es-ES_tradnl"/>
        </w:rPr>
        <w:t>el</w:t>
      </w:r>
      <w:r w:rsidRPr="009B713A">
        <w:rPr>
          <w:rFonts w:ascii="Arial" w:eastAsia="Times New Roman" w:hAnsi="Arial" w:cs="Arial"/>
          <w:spacing w:val="-15"/>
          <w:lang w:eastAsia="es-ES_tradnl"/>
        </w:rPr>
        <w:t xml:space="preserve"> </w:t>
      </w:r>
      <w:r w:rsidRPr="009B713A">
        <w:rPr>
          <w:rFonts w:ascii="Arial" w:eastAsia="Times New Roman" w:hAnsi="Arial" w:cs="Arial"/>
          <w:spacing w:val="-1"/>
          <w:lang w:eastAsia="es-ES_tradnl"/>
        </w:rPr>
        <w:t>marco</w:t>
      </w:r>
      <w:r w:rsidRPr="009B713A">
        <w:rPr>
          <w:rFonts w:ascii="Arial" w:eastAsia="Times New Roman" w:hAnsi="Arial" w:cs="Arial"/>
          <w:spacing w:val="-15"/>
          <w:lang w:eastAsia="es-ES_tradnl"/>
        </w:rPr>
        <w:t xml:space="preserve"> </w:t>
      </w:r>
      <w:r w:rsidRPr="009B713A">
        <w:rPr>
          <w:rFonts w:ascii="Arial" w:eastAsia="Times New Roman" w:hAnsi="Arial" w:cs="Arial"/>
          <w:spacing w:val="-1"/>
          <w:lang w:eastAsia="es-ES_tradnl"/>
        </w:rPr>
        <w:t>de</w:t>
      </w:r>
      <w:r w:rsidRPr="009B713A">
        <w:rPr>
          <w:rFonts w:ascii="Arial" w:eastAsia="Times New Roman" w:hAnsi="Arial" w:cs="Arial"/>
          <w:spacing w:val="-14"/>
          <w:lang w:eastAsia="es-ES_tradnl"/>
        </w:rPr>
        <w:t xml:space="preserve"> </w:t>
      </w:r>
      <w:r w:rsidRPr="009B713A">
        <w:rPr>
          <w:rFonts w:ascii="Arial" w:eastAsia="Times New Roman" w:hAnsi="Arial" w:cs="Arial"/>
          <w:spacing w:val="-1"/>
          <w:lang w:eastAsia="es-ES_tradnl"/>
        </w:rPr>
        <w:t>las</w:t>
      </w:r>
      <w:r w:rsidRPr="009B713A">
        <w:rPr>
          <w:rFonts w:ascii="Arial" w:eastAsia="Times New Roman" w:hAnsi="Arial" w:cs="Arial"/>
          <w:spacing w:val="-15"/>
          <w:lang w:eastAsia="es-ES_tradnl"/>
        </w:rPr>
        <w:t xml:space="preserve"> </w:t>
      </w:r>
      <w:r w:rsidRPr="009B713A">
        <w:rPr>
          <w:rFonts w:ascii="Arial" w:eastAsia="Times New Roman" w:hAnsi="Arial" w:cs="Arial"/>
          <w:spacing w:val="-1"/>
          <w:lang w:eastAsia="es-ES_tradnl"/>
        </w:rPr>
        <w:t>cuales</w:t>
      </w:r>
      <w:r w:rsidRPr="009B713A">
        <w:rPr>
          <w:rFonts w:ascii="Arial" w:eastAsia="Times New Roman" w:hAnsi="Arial" w:cs="Arial"/>
          <w:spacing w:val="-15"/>
          <w:lang w:eastAsia="es-ES_tradnl"/>
        </w:rPr>
        <w:t xml:space="preserve"> </w:t>
      </w:r>
      <w:r w:rsidRPr="009B713A">
        <w:rPr>
          <w:rFonts w:ascii="Arial" w:eastAsia="Times New Roman" w:hAnsi="Arial" w:cs="Arial"/>
          <w:spacing w:val="-1"/>
          <w:lang w:eastAsia="es-ES_tradnl"/>
        </w:rPr>
        <w:t>se</w:t>
      </w:r>
      <w:r w:rsidRPr="009B713A">
        <w:rPr>
          <w:rFonts w:ascii="Arial" w:eastAsia="Times New Roman" w:hAnsi="Arial" w:cs="Arial"/>
          <w:spacing w:val="-14"/>
          <w:lang w:eastAsia="es-ES_tradnl"/>
        </w:rPr>
        <w:t xml:space="preserve"> </w:t>
      </w:r>
      <w:r w:rsidRPr="009B713A">
        <w:rPr>
          <w:rFonts w:ascii="Arial" w:eastAsia="Times New Roman" w:hAnsi="Arial" w:cs="Arial"/>
          <w:spacing w:val="-1"/>
          <w:lang w:eastAsia="es-ES_tradnl"/>
        </w:rPr>
        <w:t>ejerce</w:t>
      </w:r>
      <w:r w:rsidRPr="009B713A">
        <w:rPr>
          <w:rFonts w:ascii="Arial" w:eastAsia="Times New Roman" w:hAnsi="Arial" w:cs="Arial"/>
          <w:spacing w:val="-15"/>
          <w:lang w:eastAsia="es-ES_tradnl"/>
        </w:rPr>
        <w:t xml:space="preserve"> </w:t>
      </w:r>
      <w:r w:rsidRPr="009B713A">
        <w:rPr>
          <w:rFonts w:ascii="Arial" w:eastAsia="Times New Roman" w:hAnsi="Arial" w:cs="Arial"/>
          <w:spacing w:val="-1"/>
          <w:lang w:eastAsia="es-ES_tradnl"/>
        </w:rPr>
        <w:t>el</w:t>
      </w:r>
      <w:r w:rsidRPr="009B713A">
        <w:rPr>
          <w:rFonts w:ascii="Arial" w:eastAsia="Times New Roman" w:hAnsi="Arial" w:cs="Arial"/>
          <w:spacing w:val="-15"/>
          <w:lang w:eastAsia="es-ES_tradnl"/>
        </w:rPr>
        <w:t xml:space="preserve"> </w:t>
      </w:r>
      <w:r w:rsidRPr="009B713A">
        <w:rPr>
          <w:rFonts w:ascii="Arial" w:eastAsia="Times New Roman" w:hAnsi="Arial" w:cs="Arial"/>
          <w:spacing w:val="-1"/>
          <w:lang w:eastAsia="es-ES_tradnl"/>
        </w:rPr>
        <w:t>comercio.</w:t>
      </w:r>
      <w:r w:rsidRPr="009B713A">
        <w:rPr>
          <w:rFonts w:ascii="Arial" w:eastAsia="Times New Roman" w:hAnsi="Arial" w:cs="Arial"/>
          <w:spacing w:val="-14"/>
          <w:lang w:eastAsia="es-ES_tradnl"/>
        </w:rPr>
        <w:t xml:space="preserve"> </w:t>
      </w:r>
      <w:r w:rsidRPr="009B713A">
        <w:rPr>
          <w:rFonts w:ascii="Arial" w:eastAsia="Times New Roman" w:hAnsi="Arial" w:cs="Arial"/>
          <w:lang w:eastAsia="es-ES_tradnl"/>
        </w:rPr>
        <w:t>No</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obstante,</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estima</w:t>
      </w:r>
      <w:r w:rsidRPr="009B713A">
        <w:rPr>
          <w:rFonts w:ascii="Arial" w:eastAsia="Times New Roman" w:hAnsi="Arial" w:cs="Arial"/>
          <w:spacing w:val="-14"/>
          <w:lang w:eastAsia="es-ES_tradnl"/>
        </w:rPr>
        <w:t xml:space="preserve"> </w:t>
      </w:r>
      <w:r w:rsidRPr="009B713A">
        <w:rPr>
          <w:rFonts w:ascii="Arial" w:eastAsia="Times New Roman" w:hAnsi="Arial" w:cs="Arial"/>
          <w:lang w:eastAsia="es-ES_tradnl"/>
        </w:rPr>
        <w:t>esta</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Agencia</w:t>
      </w:r>
      <w:r w:rsidRPr="009B713A">
        <w:rPr>
          <w:rFonts w:ascii="Arial" w:eastAsia="Times New Roman" w:hAnsi="Arial" w:cs="Arial"/>
          <w:spacing w:val="-59"/>
          <w:lang w:eastAsia="es-ES_tradnl"/>
        </w:rPr>
        <w:t xml:space="preserve"> </w:t>
      </w:r>
      <w:r w:rsidRPr="009B713A">
        <w:rPr>
          <w:rFonts w:ascii="Arial" w:eastAsia="Times New Roman" w:hAnsi="Arial" w:cs="Arial"/>
          <w:lang w:eastAsia="es-ES_tradnl"/>
        </w:rPr>
        <w:t>que ello no necesariamente condiciona la capacidad jurídica del proponente para obligarse en el</w:t>
      </w:r>
      <w:r w:rsidRPr="009B713A">
        <w:rPr>
          <w:rFonts w:ascii="Arial" w:eastAsia="Times New Roman" w:hAnsi="Arial" w:cs="Arial"/>
          <w:spacing w:val="-60"/>
          <w:lang w:eastAsia="es-ES_tradnl"/>
        </w:rPr>
        <w:t xml:space="preserve"> </w:t>
      </w:r>
      <w:r w:rsidRPr="009B713A">
        <w:rPr>
          <w:rFonts w:ascii="Arial" w:eastAsia="Times New Roman" w:hAnsi="Arial" w:cs="Arial"/>
          <w:lang w:eastAsia="es-ES_tradnl"/>
        </w:rPr>
        <w:t>marco de un contrato estatal y ejecutar el mismo, en la medida que se trata de una obligación</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tributaria</w:t>
      </w:r>
      <w:r w:rsidRPr="009B713A">
        <w:rPr>
          <w:rFonts w:ascii="Arial" w:eastAsia="Times New Roman" w:hAnsi="Arial" w:cs="Arial"/>
          <w:spacing w:val="-14"/>
          <w:lang w:eastAsia="es-ES_tradnl"/>
        </w:rPr>
        <w:t xml:space="preserve"> </w:t>
      </w:r>
      <w:r w:rsidRPr="009B713A">
        <w:rPr>
          <w:rFonts w:ascii="Arial" w:eastAsia="Times New Roman" w:hAnsi="Arial" w:cs="Arial"/>
          <w:lang w:eastAsia="es-ES_tradnl"/>
        </w:rPr>
        <w:t>que</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solo</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condicionará</w:t>
      </w:r>
      <w:r w:rsidRPr="009B713A">
        <w:rPr>
          <w:rFonts w:ascii="Arial" w:eastAsia="Times New Roman" w:hAnsi="Arial" w:cs="Arial"/>
          <w:spacing w:val="-16"/>
          <w:lang w:eastAsia="es-ES_tradnl"/>
        </w:rPr>
        <w:t xml:space="preserve"> </w:t>
      </w:r>
      <w:r w:rsidRPr="009B713A">
        <w:rPr>
          <w:rFonts w:ascii="Arial" w:eastAsia="Times New Roman" w:hAnsi="Arial" w:cs="Arial"/>
          <w:lang w:eastAsia="es-ES_tradnl"/>
        </w:rPr>
        <w:t>la</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capacidad</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jurídica</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en</w:t>
      </w:r>
      <w:r w:rsidRPr="009B713A">
        <w:rPr>
          <w:rFonts w:ascii="Arial" w:eastAsia="Times New Roman" w:hAnsi="Arial" w:cs="Arial"/>
          <w:spacing w:val="-16"/>
          <w:lang w:eastAsia="es-ES_tradnl"/>
        </w:rPr>
        <w:t xml:space="preserve"> </w:t>
      </w:r>
      <w:r w:rsidRPr="009B713A">
        <w:rPr>
          <w:rFonts w:ascii="Arial" w:eastAsia="Times New Roman" w:hAnsi="Arial" w:cs="Arial"/>
          <w:lang w:eastAsia="es-ES_tradnl"/>
        </w:rPr>
        <w:t>el</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caso</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en</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el</w:t>
      </w:r>
      <w:r w:rsidRPr="009B713A">
        <w:rPr>
          <w:rFonts w:ascii="Arial" w:eastAsia="Times New Roman" w:hAnsi="Arial" w:cs="Arial"/>
          <w:spacing w:val="-16"/>
          <w:lang w:eastAsia="es-ES_tradnl"/>
        </w:rPr>
        <w:t xml:space="preserve"> </w:t>
      </w:r>
      <w:r w:rsidRPr="009B713A">
        <w:rPr>
          <w:rFonts w:ascii="Arial" w:eastAsia="Times New Roman" w:hAnsi="Arial" w:cs="Arial"/>
          <w:lang w:eastAsia="es-ES_tradnl"/>
        </w:rPr>
        <w:t>que</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se</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trate</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de</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una</w:t>
      </w:r>
      <w:r w:rsidRPr="009B713A">
        <w:rPr>
          <w:rFonts w:ascii="Arial" w:eastAsia="Times New Roman" w:hAnsi="Arial" w:cs="Arial"/>
          <w:spacing w:val="-15"/>
          <w:lang w:eastAsia="es-ES_tradnl"/>
        </w:rPr>
        <w:t xml:space="preserve"> </w:t>
      </w:r>
      <w:r w:rsidRPr="009B713A">
        <w:rPr>
          <w:rFonts w:ascii="Arial" w:eastAsia="Times New Roman" w:hAnsi="Arial" w:cs="Arial"/>
          <w:lang w:eastAsia="es-ES_tradnl"/>
        </w:rPr>
        <w:t>actividad</w:t>
      </w:r>
      <w:r w:rsidRPr="009B713A">
        <w:rPr>
          <w:rFonts w:ascii="Arial" w:eastAsia="Times New Roman" w:hAnsi="Arial" w:cs="Arial"/>
          <w:spacing w:val="-59"/>
          <w:lang w:eastAsia="es-ES_tradnl"/>
        </w:rPr>
        <w:t xml:space="preserve"> </w:t>
      </w:r>
      <w:r w:rsidRPr="009B713A">
        <w:rPr>
          <w:rFonts w:ascii="Arial" w:eastAsia="Times New Roman" w:hAnsi="Arial" w:cs="Arial"/>
          <w:lang w:eastAsia="es-ES_tradnl"/>
        </w:rPr>
        <w:t>que</w:t>
      </w:r>
      <w:r w:rsidRPr="009B713A">
        <w:rPr>
          <w:rFonts w:ascii="Arial" w:eastAsia="Times New Roman" w:hAnsi="Arial" w:cs="Arial"/>
          <w:spacing w:val="-5"/>
          <w:lang w:eastAsia="es-ES_tradnl"/>
        </w:rPr>
        <w:t xml:space="preserve"> </w:t>
      </w:r>
      <w:r w:rsidRPr="009B713A">
        <w:rPr>
          <w:rFonts w:ascii="Arial" w:eastAsia="Times New Roman" w:hAnsi="Arial" w:cs="Arial"/>
          <w:lang w:eastAsia="es-ES_tradnl"/>
        </w:rPr>
        <w:t>solo</w:t>
      </w:r>
      <w:r w:rsidRPr="009B713A">
        <w:rPr>
          <w:rFonts w:ascii="Arial" w:eastAsia="Times New Roman" w:hAnsi="Arial" w:cs="Arial"/>
          <w:spacing w:val="-4"/>
          <w:lang w:eastAsia="es-ES_tradnl"/>
        </w:rPr>
        <w:t xml:space="preserve"> </w:t>
      </w:r>
      <w:r w:rsidRPr="009B713A">
        <w:rPr>
          <w:rFonts w:ascii="Arial" w:eastAsia="Times New Roman" w:hAnsi="Arial" w:cs="Arial"/>
          <w:lang w:eastAsia="es-ES_tradnl"/>
        </w:rPr>
        <w:t>pueda</w:t>
      </w:r>
      <w:r w:rsidRPr="009B713A">
        <w:rPr>
          <w:rFonts w:ascii="Arial" w:eastAsia="Times New Roman" w:hAnsi="Arial" w:cs="Arial"/>
          <w:spacing w:val="-4"/>
          <w:lang w:eastAsia="es-ES_tradnl"/>
        </w:rPr>
        <w:t xml:space="preserve"> </w:t>
      </w:r>
      <w:r w:rsidRPr="009B713A">
        <w:rPr>
          <w:rFonts w:ascii="Arial" w:eastAsia="Times New Roman" w:hAnsi="Arial" w:cs="Arial"/>
          <w:lang w:eastAsia="es-ES_tradnl"/>
        </w:rPr>
        <w:t>ser</w:t>
      </w:r>
      <w:r w:rsidRPr="009B713A">
        <w:rPr>
          <w:rFonts w:ascii="Arial" w:eastAsia="Times New Roman" w:hAnsi="Arial" w:cs="Arial"/>
          <w:spacing w:val="-4"/>
          <w:lang w:eastAsia="es-ES_tradnl"/>
        </w:rPr>
        <w:t xml:space="preserve"> </w:t>
      </w:r>
      <w:r w:rsidRPr="009B713A">
        <w:rPr>
          <w:rFonts w:ascii="Arial" w:eastAsia="Times New Roman" w:hAnsi="Arial" w:cs="Arial"/>
          <w:lang w:eastAsia="es-ES_tradnl"/>
        </w:rPr>
        <w:t>ejercida</w:t>
      </w:r>
      <w:r w:rsidRPr="009B713A">
        <w:rPr>
          <w:rFonts w:ascii="Arial" w:eastAsia="Times New Roman" w:hAnsi="Arial" w:cs="Arial"/>
          <w:spacing w:val="-4"/>
          <w:lang w:eastAsia="es-ES_tradnl"/>
        </w:rPr>
        <w:t xml:space="preserve"> </w:t>
      </w:r>
      <w:r w:rsidRPr="009B713A">
        <w:rPr>
          <w:rFonts w:ascii="Arial" w:eastAsia="Times New Roman" w:hAnsi="Arial" w:cs="Arial"/>
          <w:lang w:eastAsia="es-ES_tradnl"/>
        </w:rPr>
        <w:t>previa</w:t>
      </w:r>
      <w:r w:rsidRPr="009B713A">
        <w:rPr>
          <w:rFonts w:ascii="Arial" w:eastAsia="Times New Roman" w:hAnsi="Arial" w:cs="Arial"/>
          <w:spacing w:val="-4"/>
          <w:lang w:eastAsia="es-ES_tradnl"/>
        </w:rPr>
        <w:t xml:space="preserve"> </w:t>
      </w:r>
      <w:r w:rsidRPr="009B713A">
        <w:rPr>
          <w:rFonts w:ascii="Arial" w:eastAsia="Times New Roman" w:hAnsi="Arial" w:cs="Arial"/>
          <w:lang w:eastAsia="es-ES_tradnl"/>
        </w:rPr>
        <w:t>inscripción</w:t>
      </w:r>
      <w:r w:rsidRPr="009B713A">
        <w:rPr>
          <w:rFonts w:ascii="Arial" w:eastAsia="Times New Roman" w:hAnsi="Arial" w:cs="Arial"/>
          <w:spacing w:val="-5"/>
          <w:lang w:eastAsia="es-ES_tradnl"/>
        </w:rPr>
        <w:t xml:space="preserve"> </w:t>
      </w:r>
      <w:r w:rsidRPr="009B713A">
        <w:rPr>
          <w:rFonts w:ascii="Arial" w:eastAsia="Times New Roman" w:hAnsi="Arial" w:cs="Arial"/>
          <w:lang w:eastAsia="es-ES_tradnl"/>
        </w:rPr>
        <w:t>en</w:t>
      </w:r>
      <w:r w:rsidRPr="009B713A">
        <w:rPr>
          <w:rFonts w:ascii="Arial" w:eastAsia="Times New Roman" w:hAnsi="Arial" w:cs="Arial"/>
          <w:spacing w:val="-4"/>
          <w:lang w:eastAsia="es-ES_tradnl"/>
        </w:rPr>
        <w:t xml:space="preserve"> </w:t>
      </w:r>
      <w:r w:rsidRPr="009B713A">
        <w:rPr>
          <w:rFonts w:ascii="Arial" w:eastAsia="Times New Roman" w:hAnsi="Arial" w:cs="Arial"/>
          <w:lang w:eastAsia="es-ES_tradnl"/>
        </w:rPr>
        <w:t>el</w:t>
      </w:r>
      <w:r w:rsidRPr="009B713A">
        <w:rPr>
          <w:rFonts w:ascii="Arial" w:eastAsia="Times New Roman" w:hAnsi="Arial" w:cs="Arial"/>
          <w:spacing w:val="-4"/>
          <w:lang w:eastAsia="es-ES_tradnl"/>
        </w:rPr>
        <w:t xml:space="preserve"> </w:t>
      </w:r>
      <w:r w:rsidRPr="009B713A">
        <w:rPr>
          <w:rFonts w:ascii="Arial" w:eastAsia="Times New Roman" w:hAnsi="Arial" w:cs="Arial"/>
          <w:lang w:eastAsia="es-ES_tradnl"/>
        </w:rPr>
        <w:t>RUT,</w:t>
      </w:r>
      <w:r w:rsidRPr="009B713A">
        <w:rPr>
          <w:rFonts w:ascii="Arial" w:eastAsia="Times New Roman" w:hAnsi="Arial" w:cs="Arial"/>
          <w:spacing w:val="-4"/>
          <w:lang w:eastAsia="es-ES_tradnl"/>
        </w:rPr>
        <w:t xml:space="preserve"> </w:t>
      </w:r>
      <w:r w:rsidRPr="009B713A">
        <w:rPr>
          <w:rFonts w:ascii="Arial" w:eastAsia="Times New Roman" w:hAnsi="Arial" w:cs="Arial"/>
          <w:lang w:eastAsia="es-ES_tradnl"/>
        </w:rPr>
        <w:t>asunto</w:t>
      </w:r>
      <w:r w:rsidRPr="009B713A">
        <w:rPr>
          <w:rFonts w:ascii="Arial" w:eastAsia="Times New Roman" w:hAnsi="Arial" w:cs="Arial"/>
          <w:spacing w:val="-4"/>
          <w:lang w:eastAsia="es-ES_tradnl"/>
        </w:rPr>
        <w:t xml:space="preserve"> </w:t>
      </w:r>
      <w:r w:rsidRPr="009B713A">
        <w:rPr>
          <w:rFonts w:ascii="Arial" w:eastAsia="Times New Roman" w:hAnsi="Arial" w:cs="Arial"/>
          <w:lang w:eastAsia="es-ES_tradnl"/>
        </w:rPr>
        <w:t>regido</w:t>
      </w:r>
      <w:r w:rsidRPr="009B713A">
        <w:rPr>
          <w:rFonts w:ascii="Arial" w:eastAsia="Times New Roman" w:hAnsi="Arial" w:cs="Arial"/>
          <w:spacing w:val="-4"/>
          <w:lang w:eastAsia="es-ES_tradnl"/>
        </w:rPr>
        <w:t xml:space="preserve"> </w:t>
      </w:r>
      <w:r w:rsidRPr="009B713A">
        <w:rPr>
          <w:rFonts w:ascii="Arial" w:eastAsia="Times New Roman" w:hAnsi="Arial" w:cs="Arial"/>
          <w:lang w:eastAsia="es-ES_tradnl"/>
        </w:rPr>
        <w:t>por</w:t>
      </w:r>
      <w:r w:rsidRPr="009B713A">
        <w:rPr>
          <w:rFonts w:ascii="Arial" w:eastAsia="Times New Roman" w:hAnsi="Arial" w:cs="Arial"/>
          <w:spacing w:val="-5"/>
          <w:lang w:eastAsia="es-ES_tradnl"/>
        </w:rPr>
        <w:t xml:space="preserve"> </w:t>
      </w:r>
      <w:r w:rsidRPr="009B713A">
        <w:rPr>
          <w:rFonts w:ascii="Arial" w:eastAsia="Times New Roman" w:hAnsi="Arial" w:cs="Arial"/>
          <w:lang w:eastAsia="es-ES_tradnl"/>
        </w:rPr>
        <w:t>normas</w:t>
      </w:r>
      <w:r w:rsidRPr="009B713A">
        <w:rPr>
          <w:rFonts w:ascii="Arial" w:eastAsia="Times New Roman" w:hAnsi="Arial" w:cs="Arial"/>
          <w:spacing w:val="-4"/>
          <w:lang w:eastAsia="es-ES_tradnl"/>
        </w:rPr>
        <w:t xml:space="preserve"> </w:t>
      </w:r>
      <w:r w:rsidRPr="009B713A">
        <w:rPr>
          <w:rFonts w:ascii="Arial" w:eastAsia="Times New Roman" w:hAnsi="Arial" w:cs="Arial"/>
          <w:lang w:eastAsia="es-ES_tradnl"/>
        </w:rPr>
        <w:t>tributarias.</w:t>
      </w:r>
    </w:p>
    <w:p w14:paraId="3C04E6F6" w14:textId="0F64D93A" w:rsidR="00E468F0" w:rsidRPr="009B713A" w:rsidRDefault="00E468F0" w:rsidP="00E468F0">
      <w:pPr>
        <w:spacing w:after="0" w:line="276" w:lineRule="auto"/>
        <w:ind w:firstLine="709"/>
        <w:jc w:val="both"/>
        <w:rPr>
          <w:rFonts w:ascii="Arial" w:eastAsia="Times New Roman" w:hAnsi="Arial" w:cs="Arial"/>
          <w:sz w:val="24"/>
          <w:szCs w:val="24"/>
          <w:lang w:eastAsia="es-ES_tradnl"/>
        </w:rPr>
      </w:pPr>
      <w:r w:rsidRPr="009B713A">
        <w:rPr>
          <w:rFonts w:ascii="Arial" w:eastAsia="Times New Roman" w:hAnsi="Arial" w:cs="Arial"/>
          <w:lang w:eastAsia="es-ES_tradnl"/>
        </w:rPr>
        <w:t>Conforme a lo anterior, la validez de exigir la inscripción en el RUT de determinados</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códigos</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o</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actividades</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asociados</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al</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objeto</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contractual</w:t>
      </w:r>
      <w:r w:rsidRPr="009B713A">
        <w:rPr>
          <w:rFonts w:ascii="Arial" w:eastAsia="Times New Roman" w:hAnsi="Arial" w:cs="Arial"/>
          <w:spacing w:val="-5"/>
          <w:lang w:eastAsia="es-ES_tradnl"/>
        </w:rPr>
        <w:t xml:space="preserve"> </w:t>
      </w:r>
      <w:r w:rsidRPr="009B713A">
        <w:rPr>
          <w:rFonts w:ascii="Arial" w:eastAsia="Times New Roman" w:hAnsi="Arial" w:cs="Arial"/>
          <w:lang w:eastAsia="es-ES_tradnl"/>
        </w:rPr>
        <w:t>como</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requisito</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para</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acreditar</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la</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capacidad jurídica, depende en primera medida de lo impuesto por la</w:t>
      </w:r>
      <w:r w:rsidR="007F703C">
        <w:rPr>
          <w:rFonts w:ascii="Arial" w:eastAsia="Times New Roman" w:hAnsi="Arial" w:cs="Arial"/>
          <w:lang w:eastAsia="es-ES_tradnl"/>
        </w:rPr>
        <w:t>s</w:t>
      </w:r>
      <w:r w:rsidRPr="009B713A">
        <w:rPr>
          <w:rFonts w:ascii="Arial" w:eastAsia="Times New Roman" w:hAnsi="Arial" w:cs="Arial"/>
          <w:lang w:eastAsia="es-ES_tradnl"/>
        </w:rPr>
        <w:t xml:space="preserve"> norma</w:t>
      </w:r>
      <w:r w:rsidR="007F703C">
        <w:rPr>
          <w:rFonts w:ascii="Arial" w:eastAsia="Times New Roman" w:hAnsi="Arial" w:cs="Arial"/>
          <w:lang w:eastAsia="es-ES_tradnl"/>
        </w:rPr>
        <w:t>s</w:t>
      </w:r>
      <w:r w:rsidRPr="009B713A">
        <w:rPr>
          <w:rFonts w:ascii="Arial" w:eastAsia="Times New Roman" w:hAnsi="Arial" w:cs="Arial"/>
          <w:lang w:eastAsia="es-ES_tradnl"/>
        </w:rPr>
        <w:t xml:space="preserve"> tributarias y comerciales, de</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suerte</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que,</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si</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tal</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normativa</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indica</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la</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obligatoriedad</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del</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RUT</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para</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ejercer</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la</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actividad</w:t>
      </w:r>
      <w:r w:rsidRPr="009B713A">
        <w:rPr>
          <w:rFonts w:ascii="Arial" w:eastAsia="Times New Roman" w:hAnsi="Arial" w:cs="Arial"/>
          <w:szCs w:val="24"/>
          <w:lang w:eastAsia="es-ES_tradnl"/>
        </w:rPr>
        <w:t xml:space="preserve"> correspondiente, podría resultar valido el referido requisito. En todo caso, también es necesario</w:t>
      </w:r>
      <w:r w:rsidRPr="009B713A">
        <w:rPr>
          <w:rFonts w:ascii="Arial" w:eastAsia="Times New Roman" w:hAnsi="Arial" w:cs="Arial"/>
          <w:spacing w:val="-59"/>
          <w:szCs w:val="24"/>
          <w:lang w:eastAsia="es-ES_tradnl"/>
        </w:rPr>
        <w:t xml:space="preserve"> </w:t>
      </w:r>
      <w:r w:rsidRPr="009B713A">
        <w:rPr>
          <w:rFonts w:ascii="Arial" w:eastAsia="Times New Roman" w:hAnsi="Arial" w:cs="Arial"/>
          <w:szCs w:val="24"/>
          <w:lang w:eastAsia="es-ES_tradnl"/>
        </w:rPr>
        <w:t>verificar las particulares condiciones de la persona proponente a efectos de determinar</w:t>
      </w:r>
      <w:r w:rsidRPr="009B713A">
        <w:rPr>
          <w:rFonts w:ascii="Arial" w:eastAsia="Times New Roman" w:hAnsi="Arial" w:cs="Arial"/>
          <w:spacing w:val="1"/>
          <w:szCs w:val="24"/>
          <w:lang w:eastAsia="es-ES_tradnl"/>
        </w:rPr>
        <w:t xml:space="preserve"> </w:t>
      </w:r>
      <w:r w:rsidRPr="009B713A">
        <w:rPr>
          <w:rFonts w:ascii="Arial" w:eastAsia="Times New Roman" w:hAnsi="Arial" w:cs="Arial"/>
          <w:szCs w:val="24"/>
          <w:lang w:eastAsia="es-ES_tradnl"/>
        </w:rPr>
        <w:t>si atención a las mismas se encuentra obligado a estar inscrito en RUT en los términos exigidos</w:t>
      </w:r>
      <w:r w:rsidRPr="009B713A">
        <w:rPr>
          <w:rFonts w:ascii="Arial" w:eastAsia="Times New Roman" w:hAnsi="Arial" w:cs="Arial"/>
          <w:spacing w:val="-59"/>
          <w:szCs w:val="24"/>
          <w:lang w:eastAsia="es-ES_tradnl"/>
        </w:rPr>
        <w:t xml:space="preserve"> </w:t>
      </w:r>
      <w:r w:rsidRPr="009B713A">
        <w:rPr>
          <w:rFonts w:ascii="Arial" w:eastAsia="Times New Roman" w:hAnsi="Arial" w:cs="Arial"/>
          <w:szCs w:val="24"/>
          <w:lang w:eastAsia="es-ES_tradnl"/>
        </w:rPr>
        <w:t>o</w:t>
      </w:r>
      <w:r w:rsidRPr="009B713A">
        <w:rPr>
          <w:rFonts w:ascii="Arial" w:eastAsia="Times New Roman" w:hAnsi="Arial" w:cs="Arial"/>
          <w:spacing w:val="-1"/>
          <w:szCs w:val="24"/>
          <w:lang w:eastAsia="es-ES_tradnl"/>
        </w:rPr>
        <w:t xml:space="preserve"> </w:t>
      </w:r>
      <w:r w:rsidRPr="009B713A">
        <w:rPr>
          <w:rFonts w:ascii="Arial" w:eastAsia="Times New Roman" w:hAnsi="Arial" w:cs="Arial"/>
          <w:szCs w:val="24"/>
          <w:lang w:eastAsia="es-ES_tradnl"/>
        </w:rPr>
        <w:t>si</w:t>
      </w:r>
      <w:r w:rsidRPr="009B713A">
        <w:rPr>
          <w:rFonts w:ascii="Arial" w:eastAsia="Times New Roman" w:hAnsi="Arial" w:cs="Arial"/>
          <w:spacing w:val="-1"/>
          <w:szCs w:val="24"/>
          <w:lang w:eastAsia="es-ES_tradnl"/>
        </w:rPr>
        <w:t xml:space="preserve"> </w:t>
      </w:r>
      <w:r w:rsidRPr="009B713A">
        <w:rPr>
          <w:rFonts w:ascii="Arial" w:eastAsia="Times New Roman" w:hAnsi="Arial" w:cs="Arial"/>
          <w:szCs w:val="24"/>
          <w:lang w:eastAsia="es-ES_tradnl"/>
        </w:rPr>
        <w:t>ello</w:t>
      </w:r>
      <w:r w:rsidRPr="009B713A">
        <w:rPr>
          <w:rFonts w:ascii="Arial" w:eastAsia="Times New Roman" w:hAnsi="Arial" w:cs="Arial"/>
          <w:spacing w:val="-2"/>
          <w:szCs w:val="24"/>
          <w:lang w:eastAsia="es-ES_tradnl"/>
        </w:rPr>
        <w:t xml:space="preserve"> </w:t>
      </w:r>
      <w:r w:rsidRPr="009B713A">
        <w:rPr>
          <w:rFonts w:ascii="Arial" w:eastAsia="Times New Roman" w:hAnsi="Arial" w:cs="Arial"/>
          <w:szCs w:val="24"/>
          <w:lang w:eastAsia="es-ES_tradnl"/>
        </w:rPr>
        <w:t>supone</w:t>
      </w:r>
      <w:r w:rsidRPr="009B713A">
        <w:rPr>
          <w:rFonts w:ascii="Arial" w:eastAsia="Times New Roman" w:hAnsi="Arial" w:cs="Arial"/>
          <w:spacing w:val="-1"/>
          <w:szCs w:val="24"/>
          <w:lang w:eastAsia="es-ES_tradnl"/>
        </w:rPr>
        <w:t xml:space="preserve"> </w:t>
      </w:r>
      <w:r w:rsidRPr="009B713A">
        <w:rPr>
          <w:rFonts w:ascii="Arial" w:eastAsia="Times New Roman" w:hAnsi="Arial" w:cs="Arial"/>
          <w:szCs w:val="24"/>
          <w:lang w:eastAsia="es-ES_tradnl"/>
        </w:rPr>
        <w:t>un</w:t>
      </w:r>
      <w:r w:rsidRPr="009B713A">
        <w:rPr>
          <w:rFonts w:ascii="Arial" w:eastAsia="Times New Roman" w:hAnsi="Arial" w:cs="Arial"/>
          <w:spacing w:val="-1"/>
          <w:szCs w:val="24"/>
          <w:lang w:eastAsia="es-ES_tradnl"/>
        </w:rPr>
        <w:t xml:space="preserve"> </w:t>
      </w:r>
      <w:r w:rsidRPr="009B713A">
        <w:rPr>
          <w:rFonts w:ascii="Arial" w:eastAsia="Times New Roman" w:hAnsi="Arial" w:cs="Arial"/>
          <w:szCs w:val="24"/>
          <w:lang w:eastAsia="es-ES_tradnl"/>
        </w:rPr>
        <w:t>impedimento</w:t>
      </w:r>
      <w:r w:rsidRPr="009B713A">
        <w:rPr>
          <w:rFonts w:ascii="Arial" w:eastAsia="Times New Roman" w:hAnsi="Arial" w:cs="Arial"/>
          <w:spacing w:val="-2"/>
          <w:szCs w:val="24"/>
          <w:lang w:eastAsia="es-ES_tradnl"/>
        </w:rPr>
        <w:t xml:space="preserve"> </w:t>
      </w:r>
      <w:r w:rsidRPr="009B713A">
        <w:rPr>
          <w:rFonts w:ascii="Arial" w:eastAsia="Times New Roman" w:hAnsi="Arial" w:cs="Arial"/>
          <w:szCs w:val="24"/>
          <w:lang w:eastAsia="es-ES_tradnl"/>
        </w:rPr>
        <w:t>para</w:t>
      </w:r>
      <w:r w:rsidRPr="009B713A">
        <w:rPr>
          <w:rFonts w:ascii="Arial" w:eastAsia="Times New Roman" w:hAnsi="Arial" w:cs="Arial"/>
          <w:spacing w:val="-1"/>
          <w:szCs w:val="24"/>
          <w:lang w:eastAsia="es-ES_tradnl"/>
        </w:rPr>
        <w:t xml:space="preserve"> </w:t>
      </w:r>
      <w:r w:rsidRPr="009B713A">
        <w:rPr>
          <w:rFonts w:ascii="Arial" w:eastAsia="Times New Roman" w:hAnsi="Arial" w:cs="Arial"/>
          <w:szCs w:val="24"/>
          <w:lang w:eastAsia="es-ES_tradnl"/>
        </w:rPr>
        <w:t>ejecutar</w:t>
      </w:r>
      <w:r w:rsidRPr="009B713A">
        <w:rPr>
          <w:rFonts w:ascii="Arial" w:eastAsia="Times New Roman" w:hAnsi="Arial" w:cs="Arial"/>
          <w:spacing w:val="-1"/>
          <w:szCs w:val="24"/>
          <w:lang w:eastAsia="es-ES_tradnl"/>
        </w:rPr>
        <w:t xml:space="preserve"> </w:t>
      </w:r>
      <w:r w:rsidRPr="009B713A">
        <w:rPr>
          <w:rFonts w:ascii="Arial" w:eastAsia="Times New Roman" w:hAnsi="Arial" w:cs="Arial"/>
          <w:szCs w:val="24"/>
          <w:lang w:eastAsia="es-ES_tradnl"/>
        </w:rPr>
        <w:t>el</w:t>
      </w:r>
      <w:r w:rsidRPr="009B713A">
        <w:rPr>
          <w:rFonts w:ascii="Arial" w:eastAsia="Times New Roman" w:hAnsi="Arial" w:cs="Arial"/>
          <w:spacing w:val="-2"/>
          <w:szCs w:val="24"/>
          <w:lang w:eastAsia="es-ES_tradnl"/>
        </w:rPr>
        <w:t xml:space="preserve"> </w:t>
      </w:r>
      <w:r w:rsidRPr="009B713A">
        <w:rPr>
          <w:rFonts w:ascii="Arial" w:eastAsia="Times New Roman" w:hAnsi="Arial" w:cs="Arial"/>
          <w:szCs w:val="24"/>
          <w:lang w:eastAsia="es-ES_tradnl"/>
        </w:rPr>
        <w:t>contrato.</w:t>
      </w:r>
    </w:p>
    <w:p w14:paraId="231D40DD" w14:textId="77777777" w:rsidR="00E468F0" w:rsidRPr="009B713A" w:rsidRDefault="00E468F0" w:rsidP="00E468F0">
      <w:pPr>
        <w:spacing w:after="0" w:line="276" w:lineRule="auto"/>
        <w:ind w:firstLine="709"/>
        <w:jc w:val="both"/>
        <w:rPr>
          <w:rFonts w:ascii="Arial" w:eastAsia="Times New Roman" w:hAnsi="Arial" w:cs="Arial"/>
          <w:sz w:val="24"/>
          <w:szCs w:val="24"/>
          <w:lang w:eastAsia="es-ES_tradnl"/>
        </w:rPr>
      </w:pPr>
    </w:p>
    <w:p w14:paraId="344E1B6D" w14:textId="77777777" w:rsidR="00E468F0" w:rsidRPr="009B713A" w:rsidRDefault="00E468F0" w:rsidP="00E468F0">
      <w:pPr>
        <w:tabs>
          <w:tab w:val="left" w:pos="0"/>
        </w:tabs>
        <w:spacing w:after="0" w:line="276" w:lineRule="auto"/>
        <w:jc w:val="both"/>
        <w:rPr>
          <w:rFonts w:ascii="Arial" w:eastAsia="Calibri" w:hAnsi="Arial" w:cs="Arial"/>
          <w:b/>
          <w:szCs w:val="24"/>
          <w:lang w:val="es-ES_tradnl" w:eastAsia="es-ES_tradnl"/>
        </w:rPr>
      </w:pPr>
      <w:r w:rsidRPr="009B713A">
        <w:rPr>
          <w:rFonts w:ascii="Arial" w:eastAsia="Calibri" w:hAnsi="Arial" w:cs="Arial"/>
          <w:b/>
          <w:szCs w:val="24"/>
          <w:lang w:val="es-ES_tradnl" w:eastAsia="es-ES_tradnl"/>
        </w:rPr>
        <w:t>3. Respuesta</w:t>
      </w:r>
    </w:p>
    <w:p w14:paraId="337F06D4" w14:textId="77777777" w:rsidR="00E468F0" w:rsidRPr="009B713A" w:rsidRDefault="00E468F0" w:rsidP="00E468F0">
      <w:pPr>
        <w:tabs>
          <w:tab w:val="left" w:pos="0"/>
        </w:tabs>
        <w:spacing w:after="0" w:line="276" w:lineRule="auto"/>
        <w:jc w:val="both"/>
        <w:rPr>
          <w:rFonts w:ascii="Arial" w:eastAsia="Calibri" w:hAnsi="Arial" w:cs="Arial"/>
          <w:szCs w:val="24"/>
          <w:lang w:val="es-ES_tradnl" w:eastAsia="es-ES_tradnl"/>
        </w:rPr>
      </w:pPr>
    </w:p>
    <w:p w14:paraId="2B35D1E0" w14:textId="77777777" w:rsidR="00E468F0" w:rsidRPr="009B713A" w:rsidRDefault="00E468F0" w:rsidP="00E468F0">
      <w:pPr>
        <w:spacing w:after="0" w:line="240" w:lineRule="auto"/>
        <w:ind w:left="709" w:right="709"/>
        <w:jc w:val="both"/>
        <w:rPr>
          <w:rFonts w:ascii="Arial" w:eastAsia="Times New Roman" w:hAnsi="Arial" w:cs="Arial"/>
          <w:sz w:val="20"/>
          <w:szCs w:val="20"/>
          <w:lang w:eastAsia="es-ES_tradnl"/>
        </w:rPr>
      </w:pPr>
      <w:r w:rsidRPr="009B713A">
        <w:rPr>
          <w:rFonts w:ascii="Arial" w:eastAsia="Times New Roman" w:hAnsi="Arial" w:cs="Arial"/>
          <w:sz w:val="20"/>
          <w:szCs w:val="20"/>
          <w:lang w:eastAsia="es-ES_tradnl"/>
        </w:rPr>
        <w:t>“Solicito amablemente concepto de la agencia nacional de contratacion publica frente al RUT como requisito habilitante en los siguientes terminos:</w:t>
      </w:r>
    </w:p>
    <w:p w14:paraId="4AC15691" w14:textId="77777777" w:rsidR="00E468F0" w:rsidRPr="009B713A" w:rsidRDefault="00E468F0" w:rsidP="00E468F0">
      <w:pPr>
        <w:spacing w:after="0" w:line="240" w:lineRule="auto"/>
        <w:ind w:left="709" w:right="709"/>
        <w:jc w:val="both"/>
        <w:rPr>
          <w:rFonts w:ascii="Arial" w:eastAsia="Times New Roman" w:hAnsi="Arial" w:cs="Arial"/>
          <w:sz w:val="20"/>
          <w:szCs w:val="20"/>
          <w:lang w:eastAsia="es-ES_tradnl"/>
        </w:rPr>
      </w:pPr>
    </w:p>
    <w:p w14:paraId="7622CA7F" w14:textId="77777777" w:rsidR="00E468F0" w:rsidRPr="009B713A" w:rsidRDefault="00E468F0" w:rsidP="00E468F0">
      <w:pPr>
        <w:spacing w:after="0" w:line="240" w:lineRule="auto"/>
        <w:ind w:left="709" w:right="709"/>
        <w:jc w:val="both"/>
        <w:rPr>
          <w:rFonts w:ascii="Arial" w:eastAsia="Times New Roman" w:hAnsi="Arial" w:cs="Arial"/>
          <w:sz w:val="20"/>
          <w:szCs w:val="20"/>
          <w:lang w:eastAsia="es-ES_tradnl"/>
        </w:rPr>
      </w:pPr>
      <w:r w:rsidRPr="009B713A">
        <w:rPr>
          <w:rFonts w:ascii="Arial" w:eastAsia="Times New Roman" w:hAnsi="Arial" w:cs="Arial"/>
          <w:sz w:val="20"/>
          <w:szCs w:val="20"/>
          <w:lang w:eastAsia="es-ES_tradnl"/>
        </w:rPr>
        <w:lastRenderedPageBreak/>
        <w:t>1. Puede exigirse el rut simplemente con su mera existencia? para efectos de corroborar el regimen tributario y si es obligado a IVA.</w:t>
      </w:r>
    </w:p>
    <w:p w14:paraId="2FBF5177" w14:textId="77777777" w:rsidR="00E468F0" w:rsidRPr="009B713A" w:rsidRDefault="00E468F0" w:rsidP="00E468F0">
      <w:pPr>
        <w:spacing w:after="0" w:line="240" w:lineRule="auto"/>
        <w:ind w:left="709" w:right="709"/>
        <w:jc w:val="both"/>
        <w:rPr>
          <w:rFonts w:ascii="Arial" w:eastAsia="Times New Roman" w:hAnsi="Arial" w:cs="Arial"/>
          <w:sz w:val="20"/>
          <w:szCs w:val="20"/>
          <w:lang w:eastAsia="es-ES_tradnl"/>
        </w:rPr>
      </w:pPr>
    </w:p>
    <w:p w14:paraId="59A5084A" w14:textId="77777777" w:rsidR="00E468F0" w:rsidRPr="009B713A" w:rsidRDefault="00E468F0" w:rsidP="00E468F0">
      <w:pPr>
        <w:spacing w:after="0" w:line="240" w:lineRule="auto"/>
        <w:ind w:left="709" w:right="709"/>
        <w:jc w:val="both"/>
        <w:rPr>
          <w:rFonts w:ascii="Arial" w:eastAsia="Times New Roman" w:hAnsi="Arial" w:cs="Arial"/>
          <w:sz w:val="20"/>
          <w:szCs w:val="20"/>
          <w:lang w:eastAsia="es-ES_tradnl"/>
        </w:rPr>
      </w:pPr>
      <w:r w:rsidRPr="009B713A">
        <w:rPr>
          <w:rFonts w:ascii="Arial" w:eastAsia="Times New Roman" w:hAnsi="Arial" w:cs="Arial"/>
          <w:sz w:val="20"/>
          <w:szCs w:val="20"/>
          <w:lang w:eastAsia="es-ES_tradnl"/>
        </w:rPr>
        <w:t>2. Puede exigirse dentro de requisitos habilitantes sea juridicos o financieros, que el RUT tenga determinados codigos CIIU?</w:t>
      </w:r>
    </w:p>
    <w:p w14:paraId="2B3BD25B" w14:textId="77777777" w:rsidR="00E468F0" w:rsidRPr="009B713A" w:rsidRDefault="00E468F0" w:rsidP="00E468F0">
      <w:pPr>
        <w:spacing w:after="0" w:line="240" w:lineRule="auto"/>
        <w:ind w:left="709" w:right="709"/>
        <w:jc w:val="both"/>
        <w:rPr>
          <w:rFonts w:ascii="Arial" w:eastAsia="Times New Roman" w:hAnsi="Arial" w:cs="Arial"/>
          <w:sz w:val="20"/>
          <w:szCs w:val="20"/>
          <w:lang w:eastAsia="es-ES_tradnl"/>
        </w:rPr>
      </w:pPr>
    </w:p>
    <w:p w14:paraId="3101ADDF" w14:textId="77777777" w:rsidR="00E468F0" w:rsidRPr="009B713A" w:rsidRDefault="00E468F0" w:rsidP="00E468F0">
      <w:pPr>
        <w:spacing w:after="0" w:line="240" w:lineRule="auto"/>
        <w:ind w:left="709" w:right="709"/>
        <w:jc w:val="both"/>
        <w:rPr>
          <w:rFonts w:ascii="Arial" w:eastAsia="Times New Roman" w:hAnsi="Arial" w:cs="Arial"/>
          <w:sz w:val="20"/>
          <w:szCs w:val="20"/>
          <w:lang w:eastAsia="es-ES_tradnl"/>
        </w:rPr>
      </w:pPr>
      <w:r w:rsidRPr="009B713A">
        <w:rPr>
          <w:rFonts w:ascii="Arial" w:eastAsia="Times New Roman" w:hAnsi="Arial" w:cs="Arial"/>
          <w:sz w:val="20"/>
          <w:szCs w:val="20"/>
          <w:lang w:eastAsia="es-ES_tradnl"/>
        </w:rPr>
        <w:t>En criterio del suscrito no es valido la exigencia del segundo punto desde la naturaleza del RUT en el estatuto tributario ARTÍCULO 555-2. REGISTRO ÚNICO TRIBUTARIO - RUT. &lt;*Texto sustituido según el artículo 20 de la Ley 2010 de 2019&gt; &lt;Artículo adicionado por el artículo 19 de la Ley 863 de 2003. El nuevo texto es el siguiente:&gt; El Registro Unico Tributario, RUT, administrado por la Dirección de Impuestos y Aduanas Nacionales, constituye el mecanismo único para identificar, ubicar y clasificar las personas y entidades que tengan la calidad de contribuyentes declarantes del impuesto”.</w:t>
      </w:r>
    </w:p>
    <w:p w14:paraId="2878226C" w14:textId="77777777" w:rsidR="00E468F0" w:rsidRPr="009B713A" w:rsidRDefault="00E468F0" w:rsidP="00E468F0">
      <w:pPr>
        <w:spacing w:after="0" w:line="240" w:lineRule="auto"/>
        <w:ind w:left="709" w:right="709"/>
        <w:jc w:val="both"/>
        <w:rPr>
          <w:rFonts w:ascii="Arial" w:eastAsia="Calibri" w:hAnsi="Arial" w:cs="Arial"/>
          <w:sz w:val="21"/>
          <w:szCs w:val="21"/>
          <w:lang w:eastAsia="es-ES_tradnl"/>
        </w:rPr>
      </w:pPr>
    </w:p>
    <w:p w14:paraId="23CD5DFB" w14:textId="3703BDB3" w:rsidR="00E468F0" w:rsidRPr="009B713A" w:rsidRDefault="00E468F0" w:rsidP="00E468F0">
      <w:pPr>
        <w:spacing w:after="120" w:line="276" w:lineRule="auto"/>
        <w:jc w:val="both"/>
        <w:rPr>
          <w:rFonts w:ascii="Arial" w:eastAsia="Times New Roman" w:hAnsi="Arial" w:cs="Arial"/>
          <w:lang w:val="es-ES" w:eastAsia="es-ES_tradnl"/>
        </w:rPr>
      </w:pPr>
      <w:r w:rsidRPr="009B713A">
        <w:rPr>
          <w:rFonts w:ascii="Arial" w:eastAsia="Times New Roman" w:hAnsi="Arial" w:cs="Arial"/>
          <w:lang w:val="es-ES" w:eastAsia="es-ES_tradnl"/>
        </w:rPr>
        <w:t>En ejercicio de las competencias establecidas en los artículos 3, numeral 5° y 11, numeral 8° del Decreto</w:t>
      </w:r>
      <w:r w:rsidR="00130AF7">
        <w:rPr>
          <w:rFonts w:ascii="Arial" w:eastAsia="Times New Roman" w:hAnsi="Arial" w:cs="Arial"/>
          <w:lang w:val="es-ES" w:eastAsia="es-ES_tradnl"/>
        </w:rPr>
        <w:t xml:space="preserve"> Ley</w:t>
      </w:r>
      <w:r w:rsidRPr="009B713A">
        <w:rPr>
          <w:rFonts w:ascii="Arial" w:eastAsia="Times New Roman" w:hAnsi="Arial" w:cs="Arial"/>
          <w:lang w:val="es-ES" w:eastAsia="es-ES_tradnl"/>
        </w:rPr>
        <w:t xml:space="preserve"> 4170 de 2011, la Agencia Nacional de Contratación Pública – Colombia Compra Eficiente solo tiene competencia para responder solicitudes sobre la aplicación de normas de carácter general en materia de compras y contratación pública. En ese sentido, esta Agencia no tiene competencia para </w:t>
      </w:r>
      <w:r w:rsidRPr="009B713A">
        <w:rPr>
          <w:rFonts w:ascii="Arial" w:eastAsia="Times New Roman" w:hAnsi="Arial" w:cs="Arial"/>
          <w:lang w:eastAsia="es-ES_tradnl"/>
        </w:rPr>
        <w:t>brindar asesorías, ni para expedir lineamientos sobre los requisitos habilitantes que puede exigir una Entidad Estatal en sus Procesos de Contratación.</w:t>
      </w:r>
      <w:r w:rsidRPr="009B713A">
        <w:rPr>
          <w:rFonts w:ascii="Arial" w:eastAsia="Times New Roman" w:hAnsi="Arial" w:cs="Arial"/>
          <w:lang w:val="es-ES" w:eastAsia="es-ES_tradnl"/>
        </w:rPr>
        <w:t xml:space="preserve"> </w:t>
      </w:r>
    </w:p>
    <w:p w14:paraId="189B2A5F" w14:textId="02CD8EE0" w:rsidR="00E468F0" w:rsidRPr="009B713A" w:rsidRDefault="00E468F0" w:rsidP="00E468F0">
      <w:pPr>
        <w:spacing w:after="120" w:line="276" w:lineRule="auto"/>
        <w:ind w:firstLine="708"/>
        <w:jc w:val="both"/>
        <w:rPr>
          <w:rFonts w:ascii="Arial" w:eastAsia="Times New Roman" w:hAnsi="Arial" w:cs="Arial"/>
          <w:highlight w:val="cyan"/>
          <w:lang w:val="es-ES_tradnl" w:eastAsia="es-MX"/>
        </w:rPr>
      </w:pPr>
      <w:r w:rsidRPr="009B713A">
        <w:rPr>
          <w:rFonts w:ascii="Arial" w:eastAsia="Times New Roman" w:hAnsi="Arial" w:cs="Arial"/>
          <w:lang w:eastAsia="es-ES_tradnl"/>
        </w:rPr>
        <w:t>No obstante, conforme a lo expuesto</w:t>
      </w:r>
      <w:r w:rsidR="00D73C36">
        <w:rPr>
          <w:rFonts w:ascii="Arial" w:eastAsia="Times New Roman" w:hAnsi="Arial" w:cs="Arial"/>
          <w:lang w:eastAsia="es-ES_tradnl"/>
        </w:rPr>
        <w:t xml:space="preserve"> en este concepto</w:t>
      </w:r>
      <w:r w:rsidRPr="009B713A">
        <w:rPr>
          <w:rFonts w:ascii="Arial" w:eastAsia="Times New Roman" w:hAnsi="Arial" w:cs="Arial"/>
          <w:lang w:eastAsia="es-ES_tradnl"/>
        </w:rPr>
        <w:t xml:space="preserve">, </w:t>
      </w:r>
      <w:r w:rsidR="009532BC">
        <w:rPr>
          <w:rFonts w:ascii="Arial" w:eastAsia="Times New Roman" w:hAnsi="Arial" w:cs="Arial"/>
          <w:lang w:val="es-ES_tradnl" w:eastAsia="es-MX"/>
        </w:rPr>
        <w:t>esta Agencia</w:t>
      </w:r>
      <w:r w:rsidRPr="009B713A">
        <w:rPr>
          <w:rFonts w:ascii="Arial" w:eastAsia="Times New Roman" w:hAnsi="Arial" w:cs="Arial"/>
          <w:lang w:val="es-ES_tradnl" w:eastAsia="es-MX"/>
        </w:rPr>
        <w:t xml:space="preserve"> ha defendido el carácter </w:t>
      </w:r>
      <w:r w:rsidRPr="009B713A">
        <w:rPr>
          <w:rFonts w:ascii="Arial" w:eastAsia="Times New Roman" w:hAnsi="Arial" w:cs="Arial"/>
          <w:i/>
          <w:iCs/>
          <w:lang w:val="es-ES_tradnl" w:eastAsia="es-MX"/>
        </w:rPr>
        <w:t>enunciativo</w:t>
      </w:r>
      <w:r w:rsidRPr="009B713A">
        <w:rPr>
          <w:rFonts w:ascii="Arial" w:eastAsia="Times New Roman" w:hAnsi="Arial" w:cs="Arial"/>
          <w:lang w:val="es-ES_tradnl" w:eastAsia="es-MX"/>
        </w:rPr>
        <w:t xml:space="preserve"> del listado de los requisitos habilitantes contenidos en el numeral 1 del artículo 5 de la Ley 1150 de 2007, en la medida en que la referida disposición, al referirse a los requisitos habilitantes, no contiene una expresión como “únicamente” o “solo”, de la que pueda colegirse la taxatividad de los requisitos mencionados. Esta conclusión además se apoya en la lectura integral de las normas que regulan la contratación estatal, en virtud de la cual es posible evidenciar que existen otras condiciones que deben cumplirse para la contratación con Entidades Públicas, de las que derivan requisitos habilitantes, como sucede, por ejemplo, con la capacidad residual a la que se refiere el artículo 6º, parágrafo 1, de la Ley 1150 de 2007. </w:t>
      </w:r>
    </w:p>
    <w:p w14:paraId="13B53D3B" w14:textId="51CE2FD6" w:rsidR="00E468F0" w:rsidRPr="009B713A" w:rsidRDefault="00A467C1" w:rsidP="00E468F0">
      <w:pPr>
        <w:spacing w:after="120" w:line="276" w:lineRule="auto"/>
        <w:ind w:firstLine="708"/>
        <w:jc w:val="both"/>
        <w:rPr>
          <w:rFonts w:ascii="Arial" w:eastAsia="Times New Roman" w:hAnsi="Arial" w:cs="Arial"/>
          <w:lang w:val="es-ES_tradnl" w:eastAsia="es-MX"/>
        </w:rPr>
      </w:pPr>
      <w:r>
        <w:rPr>
          <w:rFonts w:ascii="Arial" w:eastAsia="Times New Roman" w:hAnsi="Arial" w:cs="Arial"/>
          <w:lang w:val="es-ES_tradnl" w:eastAsia="es-MX"/>
        </w:rPr>
        <w:t>Así las cosas, s</w:t>
      </w:r>
      <w:r w:rsidR="00E468F0" w:rsidRPr="009B713A">
        <w:rPr>
          <w:rFonts w:ascii="Arial" w:eastAsia="Times New Roman" w:hAnsi="Arial" w:cs="Arial"/>
          <w:lang w:val="es-ES_tradnl" w:eastAsia="es-MX"/>
        </w:rPr>
        <w:t xml:space="preserve">i bien </w:t>
      </w:r>
      <w:r w:rsidR="00E468F0" w:rsidRPr="009B713A">
        <w:rPr>
          <w:rFonts w:ascii="Arial" w:eastAsia="Calibri" w:hAnsi="Arial" w:cs="Arial"/>
          <w:lang w:val="es-ES_tradnl" w:eastAsia="es-MX"/>
        </w:rPr>
        <w:t xml:space="preserve">la Ley 1150 de 2007 estableció unos requisitos habilitantes para los proponentes –la capacidad jurídica, las condiciones de experiencia, la capacidad financiera y la capacidad de organización–, estos no son taxativos. </w:t>
      </w:r>
      <w:r w:rsidR="00E468F0" w:rsidRPr="009B713A">
        <w:rPr>
          <w:rFonts w:ascii="Arial" w:eastAsia="Times New Roman" w:hAnsi="Arial" w:cs="Arial"/>
          <w:lang w:val="es-ES_tradnl" w:eastAsia="es-MX"/>
        </w:rPr>
        <w:t xml:space="preserve">En consecuencia, corresponde a las Entidades Estatales, durante la etapa de planeación del contrato estatal, estudiar y </w:t>
      </w:r>
      <w:r w:rsidR="00E468F0" w:rsidRPr="009B713A">
        <w:rPr>
          <w:rFonts w:ascii="Arial" w:eastAsia="Times New Roman" w:hAnsi="Arial" w:cs="Arial"/>
          <w:bCs/>
          <w:iCs/>
          <w:lang w:val="es-ES_tradnl" w:eastAsia="es-MX"/>
        </w:rPr>
        <w:t>determinar</w:t>
      </w:r>
      <w:r w:rsidR="00E468F0" w:rsidRPr="009B713A">
        <w:rPr>
          <w:rFonts w:ascii="Arial" w:eastAsia="Times New Roman" w:hAnsi="Arial" w:cs="Arial"/>
          <w:lang w:val="es-ES_tradnl" w:eastAsia="es-MX"/>
        </w:rPr>
        <w:t xml:space="preserve"> los requisitos habilitantes que establecerán en los Pliegos de Condiciones, los cuales deben fijarse de forma adecuada y proporcional.</w:t>
      </w:r>
    </w:p>
    <w:p w14:paraId="2AFAB52F" w14:textId="36727CCC" w:rsidR="00E468F0" w:rsidRPr="009B713A" w:rsidRDefault="00E468F0" w:rsidP="00E468F0">
      <w:pPr>
        <w:tabs>
          <w:tab w:val="left" w:pos="426"/>
        </w:tabs>
        <w:spacing w:after="120" w:line="276" w:lineRule="auto"/>
        <w:ind w:firstLine="709"/>
        <w:jc w:val="both"/>
        <w:rPr>
          <w:rFonts w:ascii="Arial" w:eastAsia="Times New Roman" w:hAnsi="Arial" w:cs="Arial"/>
          <w:lang w:val="es-ES_tradnl" w:eastAsia="es-MX"/>
        </w:rPr>
      </w:pPr>
      <w:r w:rsidRPr="009B713A">
        <w:rPr>
          <w:rFonts w:ascii="Arial" w:eastAsia="Times New Roman" w:hAnsi="Arial" w:cs="Arial"/>
          <w:lang w:val="es-ES_tradnl" w:eastAsia="es-MX"/>
        </w:rPr>
        <w:t xml:space="preserve">En ese sentido, las Entidades Estatales son autónomas para definir los requisitos habilitantes, pero tal facultad debe ser ejercida procurando diseñar condiciones habilitantes de manera objetiva, de suerte que estas sirvan para determinar si los participantes del </w:t>
      </w:r>
      <w:r w:rsidR="00707E21" w:rsidRPr="009B713A">
        <w:rPr>
          <w:rFonts w:ascii="Arial" w:eastAsia="Times New Roman" w:hAnsi="Arial" w:cs="Arial"/>
          <w:lang w:val="es-ES_tradnl" w:eastAsia="es-MX"/>
        </w:rPr>
        <w:lastRenderedPageBreak/>
        <w:t xml:space="preserve">Proceso </w:t>
      </w:r>
      <w:r w:rsidRPr="009B713A">
        <w:rPr>
          <w:rFonts w:ascii="Arial" w:eastAsia="Times New Roman" w:hAnsi="Arial" w:cs="Arial"/>
          <w:lang w:val="es-ES_tradnl" w:eastAsia="es-MX"/>
        </w:rPr>
        <w:t xml:space="preserve">de </w:t>
      </w:r>
      <w:r w:rsidR="00707E21" w:rsidRPr="009B713A">
        <w:rPr>
          <w:rFonts w:ascii="Arial" w:eastAsia="Times New Roman" w:hAnsi="Arial" w:cs="Arial"/>
          <w:lang w:val="es-ES_tradnl" w:eastAsia="es-MX"/>
        </w:rPr>
        <w:t xml:space="preserve">Contratación </w:t>
      </w:r>
      <w:r w:rsidRPr="009B713A">
        <w:rPr>
          <w:rFonts w:ascii="Arial" w:eastAsia="Times New Roman" w:hAnsi="Arial" w:cs="Arial"/>
          <w:lang w:val="es-ES_tradnl" w:eastAsia="es-MX"/>
        </w:rPr>
        <w:t xml:space="preserve">cuentan con las capacidades que los hacen aptos para ejecutar el objeto contractual. Para esto resulta indispensable que los requisitos establecidos por la entidad, además se fijen de manera adecuada y proporcional a las características del objeto ofertado, procurando además ceñirse a la normativa que resulte aplicable. </w:t>
      </w:r>
    </w:p>
    <w:p w14:paraId="6F05A11E" w14:textId="60958C3B" w:rsidR="00E468F0" w:rsidRPr="009B713A" w:rsidRDefault="00E468F0" w:rsidP="00E468F0">
      <w:pPr>
        <w:spacing w:after="120" w:line="276" w:lineRule="auto"/>
        <w:ind w:firstLine="708"/>
        <w:jc w:val="both"/>
        <w:rPr>
          <w:rFonts w:ascii="Arial" w:eastAsia="Times New Roman" w:hAnsi="Arial" w:cs="Arial"/>
          <w:lang w:eastAsia="es-ES_tradnl"/>
        </w:rPr>
      </w:pPr>
      <w:r w:rsidRPr="009B713A">
        <w:rPr>
          <w:rFonts w:ascii="Arial" w:eastAsia="Times New Roman" w:hAnsi="Arial" w:cs="Arial"/>
          <w:lang w:eastAsia="es-ES_tradnl"/>
        </w:rPr>
        <w:t xml:space="preserve">Ahora bien, de acuerdo con los artículos 5 y 6 de la Ley 1150 de 2007, las Entidades Estatales están </w:t>
      </w:r>
      <w:r w:rsidR="00F9700B" w:rsidRPr="009B713A">
        <w:rPr>
          <w:rFonts w:ascii="Arial" w:eastAsia="Times New Roman" w:hAnsi="Arial" w:cs="Arial"/>
          <w:lang w:eastAsia="es-ES_tradnl"/>
        </w:rPr>
        <w:t xml:space="preserve">obligadas </w:t>
      </w:r>
      <w:r w:rsidR="00F9700B">
        <w:rPr>
          <w:rFonts w:ascii="Arial" w:eastAsia="Times New Roman" w:hAnsi="Arial" w:cs="Arial"/>
          <w:lang w:eastAsia="es-ES_tradnl"/>
        </w:rPr>
        <w:t>a</w:t>
      </w:r>
      <w:r w:rsidR="00E87A7D">
        <w:rPr>
          <w:rFonts w:ascii="Arial" w:eastAsia="Times New Roman" w:hAnsi="Arial" w:cs="Arial"/>
          <w:lang w:eastAsia="es-ES_tradnl"/>
        </w:rPr>
        <w:t xml:space="preserve"> verificar </w:t>
      </w:r>
      <w:r w:rsidRPr="009B713A">
        <w:rPr>
          <w:rFonts w:ascii="Arial" w:eastAsia="Times New Roman" w:hAnsi="Arial" w:cs="Arial"/>
          <w:lang w:eastAsia="es-ES_tradnl"/>
        </w:rPr>
        <w:t>el cumplimiento de los requisitos habilitantes, entre ellos la capacidad jurídica en un proceso de selección, por regla general, mediante el RUP, cuando este certificado sea exigible de acuerdo con la ley. En consecuencia, en los eventos en que este certificado es exigible no será posible que los oferentes acrediten mediante documentos distintos a este registro la capacidad jurídica, la experiencia, la capacidad financiera y la capacidad de organización.</w:t>
      </w:r>
    </w:p>
    <w:p w14:paraId="4602DBF5" w14:textId="3ACA6801" w:rsidR="00E468F0" w:rsidRPr="009B713A" w:rsidRDefault="00E468F0" w:rsidP="00E468F0">
      <w:pPr>
        <w:spacing w:after="120" w:line="276" w:lineRule="auto"/>
        <w:ind w:firstLine="708"/>
        <w:jc w:val="both"/>
        <w:rPr>
          <w:rFonts w:ascii="Arial" w:eastAsia="Times New Roman" w:hAnsi="Arial" w:cs="Arial"/>
          <w:lang w:eastAsia="es-ES_tradnl"/>
        </w:rPr>
      </w:pPr>
      <w:r w:rsidRPr="009B713A">
        <w:rPr>
          <w:rFonts w:ascii="Arial" w:eastAsia="Times New Roman" w:hAnsi="Arial" w:cs="Arial"/>
          <w:lang w:eastAsia="es-ES_tradnl"/>
        </w:rPr>
        <w:t xml:space="preserve">Sin perjuicio de lo anterior, en los eventos en que no es obligatorio el RUP, o cuando por las características del objeto a contratar y con la finalidad de verificar </w:t>
      </w:r>
      <w:r w:rsidR="00872340">
        <w:rPr>
          <w:rFonts w:ascii="Arial" w:eastAsia="Times New Roman" w:hAnsi="Arial" w:cs="Arial"/>
          <w:lang w:eastAsia="es-ES_tradnl"/>
        </w:rPr>
        <w:t>alguna condición</w:t>
      </w:r>
      <w:r w:rsidRPr="009B713A">
        <w:rPr>
          <w:rFonts w:ascii="Arial" w:eastAsia="Times New Roman" w:hAnsi="Arial" w:cs="Arial"/>
          <w:lang w:eastAsia="es-ES_tradnl"/>
        </w:rPr>
        <w:t xml:space="preserve"> del proponente se requieran verificar información adicional a la contenida en el RUP, las </w:t>
      </w:r>
      <w:r w:rsidR="00DD71A0" w:rsidRPr="009B713A">
        <w:rPr>
          <w:rFonts w:ascii="Arial" w:eastAsia="Times New Roman" w:hAnsi="Arial" w:cs="Arial"/>
          <w:lang w:eastAsia="es-ES_tradnl"/>
        </w:rPr>
        <w:t xml:space="preserve">Entidades Estatales </w:t>
      </w:r>
      <w:r w:rsidRPr="009B713A">
        <w:rPr>
          <w:rFonts w:ascii="Arial" w:eastAsia="Times New Roman" w:hAnsi="Arial" w:cs="Arial"/>
          <w:lang w:eastAsia="es-ES_tradnl"/>
        </w:rPr>
        <w:t xml:space="preserve">deben hacer la verificación de forma directa. En ambos supuestos, la </w:t>
      </w:r>
      <w:r w:rsidR="00A73873" w:rsidRPr="009B713A">
        <w:rPr>
          <w:rFonts w:ascii="Arial" w:eastAsia="Times New Roman" w:hAnsi="Arial" w:cs="Arial"/>
          <w:lang w:eastAsia="es-ES_tradnl"/>
        </w:rPr>
        <w:t xml:space="preserve">Entidad Estatal </w:t>
      </w:r>
      <w:r w:rsidRPr="009B713A">
        <w:rPr>
          <w:rFonts w:ascii="Arial" w:eastAsia="Times New Roman" w:hAnsi="Arial" w:cs="Arial"/>
          <w:lang w:eastAsia="es-ES_tradnl"/>
        </w:rPr>
        <w:t xml:space="preserve">debe establecer en el </w:t>
      </w:r>
      <w:r w:rsidR="00A73873" w:rsidRPr="009B713A">
        <w:rPr>
          <w:rFonts w:ascii="Arial" w:eastAsia="Times New Roman" w:hAnsi="Arial" w:cs="Arial"/>
          <w:lang w:eastAsia="es-ES_tradnl"/>
        </w:rPr>
        <w:t xml:space="preserve">Pliego </w:t>
      </w:r>
      <w:r w:rsidRPr="009B713A">
        <w:rPr>
          <w:rFonts w:ascii="Arial" w:eastAsia="Times New Roman" w:hAnsi="Arial" w:cs="Arial"/>
          <w:lang w:eastAsia="es-ES_tradnl"/>
        </w:rPr>
        <w:t xml:space="preserve">de </w:t>
      </w:r>
      <w:r w:rsidR="00A73873" w:rsidRPr="009B713A">
        <w:rPr>
          <w:rFonts w:ascii="Arial" w:eastAsia="Times New Roman" w:hAnsi="Arial" w:cs="Arial"/>
          <w:lang w:eastAsia="es-ES_tradnl"/>
        </w:rPr>
        <w:t xml:space="preserve">Condiciones </w:t>
      </w:r>
      <w:r w:rsidRPr="009B713A">
        <w:rPr>
          <w:rFonts w:ascii="Arial" w:eastAsia="Times New Roman" w:hAnsi="Arial" w:cs="Arial"/>
          <w:lang w:eastAsia="es-ES_tradnl"/>
        </w:rPr>
        <w:t xml:space="preserve">o la invitación los documentos que exigirá a los proponentes para acreditar dichos requisitos, procurando que los mismos sean adecuados y proporcionales a los mismos. En estos eventos, el proponente deberá acreditar el cumplimiento de los requisitos de la forma determinada por la entidad, so pena de que su oferta sea rechazada por no acreditar las condiciones para participar en el Proceso de Contratación. </w:t>
      </w:r>
    </w:p>
    <w:p w14:paraId="76BD1ABF" w14:textId="77777777" w:rsidR="00E468F0" w:rsidRPr="009B713A" w:rsidRDefault="00E468F0" w:rsidP="00E468F0">
      <w:pPr>
        <w:spacing w:after="120" w:line="276" w:lineRule="auto"/>
        <w:ind w:firstLine="708"/>
        <w:jc w:val="both"/>
        <w:rPr>
          <w:rFonts w:ascii="Arial" w:eastAsia="Calibri" w:hAnsi="Arial" w:cs="Arial"/>
          <w:lang w:val="es-ES_tradnl" w:eastAsia="es-ES_tradnl"/>
        </w:rPr>
      </w:pPr>
      <w:r w:rsidRPr="009B713A">
        <w:rPr>
          <w:rFonts w:ascii="Arial" w:eastAsia="Times New Roman" w:hAnsi="Arial" w:cs="Arial"/>
          <w:lang w:eastAsia="es-ES_tradnl"/>
        </w:rPr>
        <w:t xml:space="preserve">Finalmente, es menester indicar que, en </w:t>
      </w:r>
      <w:r w:rsidRPr="009B713A">
        <w:rPr>
          <w:rFonts w:ascii="Arial" w:eastAsia="Calibri" w:hAnsi="Arial" w:cs="Arial"/>
          <w:lang w:val="es-ES_tradnl" w:eastAsia="es-ES_tradnl"/>
        </w:rPr>
        <w:t xml:space="preserve">el ordenamiento colombiano, pueden celebrar contratos estatales las personas jurídicas que tengan dentro de su objeto social actividades relacionadas con el objeto a contratar. En el </w:t>
      </w:r>
      <w:r w:rsidRPr="009B713A">
        <w:rPr>
          <w:rFonts w:ascii="Arial" w:eastAsia="Times New Roman" w:hAnsi="Arial" w:cs="Arial"/>
          <w:color w:val="000000" w:themeColor="text1"/>
          <w:lang w:val="es-ES_tradnl" w:eastAsia="es-ES_tradnl"/>
        </w:rPr>
        <w:t>RUES, administrado por las cámaras de comercio se encuentra el listado de las actividades económicas que conforman el objeto de las empresas, según los códigos de la Clasificación Industrial Internacional Uniforme (CIIU), en virtud de lo dispuesto en el artículo 11 de la Ley 590 de 2000</w:t>
      </w:r>
      <w:r w:rsidRPr="009B713A">
        <w:rPr>
          <w:rFonts w:ascii="Arial" w:eastAsia="Times New Roman" w:hAnsi="Arial" w:cs="Arial"/>
          <w:color w:val="000000" w:themeColor="text1"/>
          <w:vertAlign w:val="superscript"/>
          <w:lang w:val="es-ES_tradnl" w:eastAsia="es-ES_tradnl"/>
        </w:rPr>
        <w:footnoteReference w:id="16"/>
      </w:r>
      <w:r w:rsidRPr="009B713A">
        <w:rPr>
          <w:rFonts w:ascii="Arial" w:eastAsia="Times New Roman" w:hAnsi="Arial" w:cs="Arial"/>
          <w:color w:val="000000" w:themeColor="text1"/>
          <w:lang w:val="es-ES_tradnl" w:eastAsia="es-ES_tradnl"/>
        </w:rPr>
        <w:t xml:space="preserve"> y el artículo 166 del Decreto 019 de 2012, por lo cual las Entidades Estatales pueden corroborar a través de este documento si la persona jurídica puede o no ejecutar el objeto contractual. </w:t>
      </w:r>
    </w:p>
    <w:p w14:paraId="4FB7FBEF" w14:textId="5225DDCF" w:rsidR="00E468F0" w:rsidRPr="009B713A" w:rsidRDefault="00E468F0" w:rsidP="00E468F0">
      <w:pPr>
        <w:spacing w:after="0" w:line="276" w:lineRule="auto"/>
        <w:ind w:firstLine="709"/>
        <w:jc w:val="both"/>
        <w:rPr>
          <w:rFonts w:ascii="Arial" w:eastAsia="Times New Roman" w:hAnsi="Arial" w:cs="Arial"/>
          <w:sz w:val="24"/>
          <w:szCs w:val="24"/>
          <w:lang w:eastAsia="es-ES_tradnl"/>
        </w:rPr>
      </w:pPr>
      <w:r w:rsidRPr="009B713A">
        <w:rPr>
          <w:rFonts w:ascii="Arial" w:eastAsia="Times New Roman" w:hAnsi="Arial" w:cs="Arial"/>
          <w:lang w:eastAsia="es-ES_tradnl"/>
        </w:rPr>
        <w:lastRenderedPageBreak/>
        <w:t>En cuanto a la presentación del Registro Único Tributario – en adelante RUT– para la acreditación</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 xml:space="preserve">de la capacidad jurídica es </w:t>
      </w:r>
      <w:r w:rsidR="00C63D19">
        <w:rPr>
          <w:rFonts w:ascii="Arial" w:eastAsia="Times New Roman" w:hAnsi="Arial" w:cs="Arial"/>
          <w:lang w:eastAsia="es-ES_tradnl"/>
        </w:rPr>
        <w:t>necesario recordar</w:t>
      </w:r>
      <w:r w:rsidRPr="009B713A">
        <w:rPr>
          <w:rFonts w:ascii="Arial" w:eastAsia="Times New Roman" w:hAnsi="Arial" w:cs="Arial"/>
          <w:lang w:eastAsia="es-ES_tradnl"/>
        </w:rPr>
        <w:t xml:space="preserve"> que, dicho registro, regulado</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por el artículo 555-2 del Estatuto Tributario</w:t>
      </w:r>
      <w:r w:rsidRPr="009B713A">
        <w:rPr>
          <w:rFonts w:ascii="Arial" w:eastAsia="Times New Roman" w:hAnsi="Arial" w:cs="Arial"/>
          <w:vertAlign w:val="superscript"/>
          <w:lang w:eastAsia="es-ES_tradnl"/>
        </w:rPr>
        <w:t>9</w:t>
      </w:r>
      <w:r w:rsidRPr="009B713A">
        <w:rPr>
          <w:rFonts w:ascii="Arial" w:eastAsia="Times New Roman" w:hAnsi="Arial" w:cs="Arial"/>
          <w:lang w:eastAsia="es-ES_tradnl"/>
        </w:rPr>
        <w:t>,</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es un mecanismo para identificar, ubicar y</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clasificar las personas y entidades que tengan la calidad de contribuyentes declarantes del</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impuesto</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sobre</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la</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renta</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y</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no</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contribuyentes</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declarantes</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de</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ingresos</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y</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patrimonio;</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los</w:t>
      </w:r>
      <w:r w:rsidRPr="009B713A">
        <w:rPr>
          <w:rFonts w:ascii="Arial" w:eastAsia="Times New Roman" w:hAnsi="Arial" w:cs="Arial"/>
          <w:spacing w:val="-59"/>
          <w:lang w:eastAsia="es-ES_tradnl"/>
        </w:rPr>
        <w:t xml:space="preserve"> </w:t>
      </w:r>
      <w:r w:rsidRPr="009B713A">
        <w:rPr>
          <w:rFonts w:ascii="Arial" w:eastAsia="Times New Roman" w:hAnsi="Arial" w:cs="Arial"/>
          <w:lang w:eastAsia="es-ES_tradnl"/>
        </w:rPr>
        <w:t>responsables del Régimen Común y los pertenecientes al régimen simplificado; los agentes</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retenedores; los importadores, exportadores y demás usuarios aduaneros, y los demás</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sujetos de obligaciones administradas por la Dirección de Impuestos y Aduanas Nacionales,</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respecto de los cuales esta requiera su inscripción. Conforme a lo expuesto en este concepto, la validez de exigir la inscripción en el RUT de determinados</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códigos</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o</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actividades</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asociados</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al</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objeto</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contractual</w:t>
      </w:r>
      <w:r w:rsidRPr="009B713A">
        <w:rPr>
          <w:rFonts w:ascii="Arial" w:eastAsia="Times New Roman" w:hAnsi="Arial" w:cs="Arial"/>
          <w:spacing w:val="-5"/>
          <w:lang w:eastAsia="es-ES_tradnl"/>
        </w:rPr>
        <w:t xml:space="preserve"> </w:t>
      </w:r>
      <w:r w:rsidRPr="009B713A">
        <w:rPr>
          <w:rFonts w:ascii="Arial" w:eastAsia="Times New Roman" w:hAnsi="Arial" w:cs="Arial"/>
          <w:lang w:eastAsia="es-ES_tradnl"/>
        </w:rPr>
        <w:t>como</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requisito</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para</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acreditar</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la</w:t>
      </w:r>
      <w:r w:rsidRPr="009B713A">
        <w:rPr>
          <w:rFonts w:ascii="Arial" w:eastAsia="Times New Roman" w:hAnsi="Arial" w:cs="Arial"/>
          <w:spacing w:val="-6"/>
          <w:lang w:eastAsia="es-ES_tradnl"/>
        </w:rPr>
        <w:t xml:space="preserve"> </w:t>
      </w:r>
      <w:r w:rsidRPr="009B713A">
        <w:rPr>
          <w:rFonts w:ascii="Arial" w:eastAsia="Times New Roman" w:hAnsi="Arial" w:cs="Arial"/>
          <w:lang w:eastAsia="es-ES_tradnl"/>
        </w:rPr>
        <w:t>capacidad jurídica, depende en primera medida de lo impuesto por la norma tributarias y comerciales, de</w:t>
      </w:r>
      <w:r w:rsidRPr="009B713A">
        <w:rPr>
          <w:rFonts w:ascii="Arial" w:eastAsia="Times New Roman" w:hAnsi="Arial" w:cs="Arial"/>
          <w:spacing w:val="1"/>
          <w:lang w:eastAsia="es-ES_tradnl"/>
        </w:rPr>
        <w:t xml:space="preserve"> </w:t>
      </w:r>
      <w:r w:rsidRPr="009B713A">
        <w:rPr>
          <w:rFonts w:ascii="Arial" w:eastAsia="Times New Roman" w:hAnsi="Arial" w:cs="Arial"/>
          <w:lang w:eastAsia="es-ES_tradnl"/>
        </w:rPr>
        <w:t>suerte</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que,</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si</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tal</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normativa</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indica</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la</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obligatoriedad</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del</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RUT</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para</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ejercer</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la</w:t>
      </w:r>
      <w:r w:rsidRPr="009B713A">
        <w:rPr>
          <w:rFonts w:ascii="Arial" w:eastAsia="Times New Roman" w:hAnsi="Arial" w:cs="Arial"/>
          <w:spacing w:val="28"/>
          <w:lang w:eastAsia="es-ES_tradnl"/>
        </w:rPr>
        <w:t xml:space="preserve"> </w:t>
      </w:r>
      <w:r w:rsidRPr="009B713A">
        <w:rPr>
          <w:rFonts w:ascii="Arial" w:eastAsia="Times New Roman" w:hAnsi="Arial" w:cs="Arial"/>
          <w:lang w:eastAsia="es-ES_tradnl"/>
        </w:rPr>
        <w:t>actividad</w:t>
      </w:r>
      <w:r w:rsidRPr="009B713A">
        <w:rPr>
          <w:rFonts w:ascii="Arial" w:eastAsia="Times New Roman" w:hAnsi="Arial" w:cs="Arial"/>
          <w:szCs w:val="24"/>
          <w:lang w:eastAsia="es-ES_tradnl"/>
        </w:rPr>
        <w:t xml:space="preserve"> correspondiente, podría resultar valido el referido requisito. En todo caso, también es necesario</w:t>
      </w:r>
      <w:r w:rsidRPr="009B713A">
        <w:rPr>
          <w:rFonts w:ascii="Arial" w:eastAsia="Times New Roman" w:hAnsi="Arial" w:cs="Arial"/>
          <w:spacing w:val="-59"/>
          <w:szCs w:val="24"/>
          <w:lang w:eastAsia="es-ES_tradnl"/>
        </w:rPr>
        <w:t xml:space="preserve"> </w:t>
      </w:r>
      <w:r w:rsidRPr="009B713A">
        <w:rPr>
          <w:rFonts w:ascii="Arial" w:eastAsia="Times New Roman" w:hAnsi="Arial" w:cs="Arial"/>
          <w:szCs w:val="24"/>
          <w:lang w:eastAsia="es-ES_tradnl"/>
        </w:rPr>
        <w:t>verificar las particulares condiciones de la persona proponente a efectos de determinar</w:t>
      </w:r>
      <w:r w:rsidRPr="009B713A">
        <w:rPr>
          <w:rFonts w:ascii="Arial" w:eastAsia="Times New Roman" w:hAnsi="Arial" w:cs="Arial"/>
          <w:spacing w:val="1"/>
          <w:szCs w:val="24"/>
          <w:lang w:eastAsia="es-ES_tradnl"/>
        </w:rPr>
        <w:t xml:space="preserve"> </w:t>
      </w:r>
      <w:r w:rsidRPr="009B713A">
        <w:rPr>
          <w:rFonts w:ascii="Arial" w:eastAsia="Times New Roman" w:hAnsi="Arial" w:cs="Arial"/>
          <w:szCs w:val="24"/>
          <w:lang w:eastAsia="es-ES_tradnl"/>
        </w:rPr>
        <w:t>si atención a las mismas se encuentra obligado a estar inscrito en RUT en los términos exigidos</w:t>
      </w:r>
      <w:r w:rsidRPr="009B713A">
        <w:rPr>
          <w:rFonts w:ascii="Arial" w:eastAsia="Times New Roman" w:hAnsi="Arial" w:cs="Arial"/>
          <w:spacing w:val="-59"/>
          <w:szCs w:val="24"/>
          <w:lang w:eastAsia="es-ES_tradnl"/>
        </w:rPr>
        <w:t xml:space="preserve"> </w:t>
      </w:r>
      <w:r w:rsidRPr="009B713A">
        <w:rPr>
          <w:rFonts w:ascii="Arial" w:eastAsia="Times New Roman" w:hAnsi="Arial" w:cs="Arial"/>
          <w:szCs w:val="24"/>
          <w:lang w:eastAsia="es-ES_tradnl"/>
        </w:rPr>
        <w:t>o</w:t>
      </w:r>
      <w:r w:rsidRPr="009B713A">
        <w:rPr>
          <w:rFonts w:ascii="Arial" w:eastAsia="Times New Roman" w:hAnsi="Arial" w:cs="Arial"/>
          <w:spacing w:val="-1"/>
          <w:szCs w:val="24"/>
          <w:lang w:eastAsia="es-ES_tradnl"/>
        </w:rPr>
        <w:t xml:space="preserve"> </w:t>
      </w:r>
      <w:r w:rsidRPr="009B713A">
        <w:rPr>
          <w:rFonts w:ascii="Arial" w:eastAsia="Times New Roman" w:hAnsi="Arial" w:cs="Arial"/>
          <w:szCs w:val="24"/>
          <w:lang w:eastAsia="es-ES_tradnl"/>
        </w:rPr>
        <w:t>si</w:t>
      </w:r>
      <w:r w:rsidRPr="009B713A">
        <w:rPr>
          <w:rFonts w:ascii="Arial" w:eastAsia="Times New Roman" w:hAnsi="Arial" w:cs="Arial"/>
          <w:spacing w:val="-1"/>
          <w:szCs w:val="24"/>
          <w:lang w:eastAsia="es-ES_tradnl"/>
        </w:rPr>
        <w:t xml:space="preserve"> </w:t>
      </w:r>
      <w:r w:rsidRPr="009B713A">
        <w:rPr>
          <w:rFonts w:ascii="Arial" w:eastAsia="Times New Roman" w:hAnsi="Arial" w:cs="Arial"/>
          <w:szCs w:val="24"/>
          <w:lang w:eastAsia="es-ES_tradnl"/>
        </w:rPr>
        <w:t>ello</w:t>
      </w:r>
      <w:r w:rsidRPr="009B713A">
        <w:rPr>
          <w:rFonts w:ascii="Arial" w:eastAsia="Times New Roman" w:hAnsi="Arial" w:cs="Arial"/>
          <w:spacing w:val="-2"/>
          <w:szCs w:val="24"/>
          <w:lang w:eastAsia="es-ES_tradnl"/>
        </w:rPr>
        <w:t xml:space="preserve"> </w:t>
      </w:r>
      <w:r w:rsidRPr="009B713A">
        <w:rPr>
          <w:rFonts w:ascii="Arial" w:eastAsia="Times New Roman" w:hAnsi="Arial" w:cs="Arial"/>
          <w:szCs w:val="24"/>
          <w:lang w:eastAsia="es-ES_tradnl"/>
        </w:rPr>
        <w:t>supone</w:t>
      </w:r>
      <w:r w:rsidRPr="009B713A">
        <w:rPr>
          <w:rFonts w:ascii="Arial" w:eastAsia="Times New Roman" w:hAnsi="Arial" w:cs="Arial"/>
          <w:spacing w:val="-1"/>
          <w:szCs w:val="24"/>
          <w:lang w:eastAsia="es-ES_tradnl"/>
        </w:rPr>
        <w:t xml:space="preserve"> </w:t>
      </w:r>
      <w:r w:rsidRPr="009B713A">
        <w:rPr>
          <w:rFonts w:ascii="Arial" w:eastAsia="Times New Roman" w:hAnsi="Arial" w:cs="Arial"/>
          <w:szCs w:val="24"/>
          <w:lang w:eastAsia="es-ES_tradnl"/>
        </w:rPr>
        <w:t>un</w:t>
      </w:r>
      <w:r w:rsidRPr="009B713A">
        <w:rPr>
          <w:rFonts w:ascii="Arial" w:eastAsia="Times New Roman" w:hAnsi="Arial" w:cs="Arial"/>
          <w:spacing w:val="-1"/>
          <w:szCs w:val="24"/>
          <w:lang w:eastAsia="es-ES_tradnl"/>
        </w:rPr>
        <w:t xml:space="preserve"> </w:t>
      </w:r>
      <w:r w:rsidRPr="009B713A">
        <w:rPr>
          <w:rFonts w:ascii="Arial" w:eastAsia="Times New Roman" w:hAnsi="Arial" w:cs="Arial"/>
          <w:szCs w:val="24"/>
          <w:lang w:eastAsia="es-ES_tradnl"/>
        </w:rPr>
        <w:t>impedimento</w:t>
      </w:r>
      <w:r w:rsidRPr="009B713A">
        <w:rPr>
          <w:rFonts w:ascii="Arial" w:eastAsia="Times New Roman" w:hAnsi="Arial" w:cs="Arial"/>
          <w:spacing w:val="-2"/>
          <w:szCs w:val="24"/>
          <w:lang w:eastAsia="es-ES_tradnl"/>
        </w:rPr>
        <w:t xml:space="preserve"> </w:t>
      </w:r>
      <w:r w:rsidRPr="009B713A">
        <w:rPr>
          <w:rFonts w:ascii="Arial" w:eastAsia="Times New Roman" w:hAnsi="Arial" w:cs="Arial"/>
          <w:szCs w:val="24"/>
          <w:lang w:eastAsia="es-ES_tradnl"/>
        </w:rPr>
        <w:t>para</w:t>
      </w:r>
      <w:r w:rsidRPr="009B713A">
        <w:rPr>
          <w:rFonts w:ascii="Arial" w:eastAsia="Times New Roman" w:hAnsi="Arial" w:cs="Arial"/>
          <w:spacing w:val="-1"/>
          <w:szCs w:val="24"/>
          <w:lang w:eastAsia="es-ES_tradnl"/>
        </w:rPr>
        <w:t xml:space="preserve"> </w:t>
      </w:r>
      <w:r w:rsidRPr="009B713A">
        <w:rPr>
          <w:rFonts w:ascii="Arial" w:eastAsia="Times New Roman" w:hAnsi="Arial" w:cs="Arial"/>
          <w:szCs w:val="24"/>
          <w:lang w:eastAsia="es-ES_tradnl"/>
        </w:rPr>
        <w:t>ejecutar</w:t>
      </w:r>
      <w:r w:rsidRPr="009B713A">
        <w:rPr>
          <w:rFonts w:ascii="Arial" w:eastAsia="Times New Roman" w:hAnsi="Arial" w:cs="Arial"/>
          <w:spacing w:val="-1"/>
          <w:szCs w:val="24"/>
          <w:lang w:eastAsia="es-ES_tradnl"/>
        </w:rPr>
        <w:t xml:space="preserve"> </w:t>
      </w:r>
      <w:r w:rsidRPr="009B713A">
        <w:rPr>
          <w:rFonts w:ascii="Arial" w:eastAsia="Times New Roman" w:hAnsi="Arial" w:cs="Arial"/>
          <w:szCs w:val="24"/>
          <w:lang w:eastAsia="es-ES_tradnl"/>
        </w:rPr>
        <w:t>el</w:t>
      </w:r>
      <w:r w:rsidRPr="009B713A">
        <w:rPr>
          <w:rFonts w:ascii="Arial" w:eastAsia="Times New Roman" w:hAnsi="Arial" w:cs="Arial"/>
          <w:spacing w:val="-2"/>
          <w:szCs w:val="24"/>
          <w:lang w:eastAsia="es-ES_tradnl"/>
        </w:rPr>
        <w:t xml:space="preserve"> </w:t>
      </w:r>
      <w:r w:rsidRPr="009B713A">
        <w:rPr>
          <w:rFonts w:ascii="Arial" w:eastAsia="Times New Roman" w:hAnsi="Arial" w:cs="Arial"/>
          <w:szCs w:val="24"/>
          <w:lang w:eastAsia="es-ES_tradnl"/>
        </w:rPr>
        <w:t>contrato.</w:t>
      </w:r>
    </w:p>
    <w:p w14:paraId="6048E50D" w14:textId="77777777" w:rsidR="00E468F0" w:rsidRPr="009B713A" w:rsidRDefault="00E468F0" w:rsidP="00E468F0">
      <w:pPr>
        <w:spacing w:after="0" w:line="276" w:lineRule="auto"/>
        <w:jc w:val="both"/>
        <w:rPr>
          <w:rFonts w:ascii="Arial" w:eastAsia="Times New Roman" w:hAnsi="Arial" w:cs="Arial"/>
          <w:lang w:val="es-ES_tradnl" w:eastAsia="es-ES_tradnl"/>
        </w:rPr>
      </w:pPr>
    </w:p>
    <w:p w14:paraId="67880CC5" w14:textId="77777777" w:rsidR="00E468F0" w:rsidRPr="009B713A" w:rsidRDefault="00E468F0" w:rsidP="00E468F0">
      <w:pPr>
        <w:spacing w:after="0" w:line="276" w:lineRule="auto"/>
        <w:jc w:val="both"/>
        <w:rPr>
          <w:rFonts w:ascii="Arial" w:eastAsia="Times New Roman" w:hAnsi="Arial" w:cs="Arial"/>
          <w:lang w:val="es-ES_tradnl" w:eastAsia="es-ES_tradnl"/>
        </w:rPr>
      </w:pPr>
      <w:r w:rsidRPr="009B713A">
        <w:rPr>
          <w:rFonts w:ascii="Arial" w:eastAsia="Times New Roman" w:hAnsi="Arial" w:cs="Arial"/>
          <w:lang w:val="es-ES_tradnl"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95ED4BB" w14:textId="77777777" w:rsidR="00E468F0" w:rsidRPr="009B713A" w:rsidRDefault="00E468F0" w:rsidP="00E468F0">
      <w:pPr>
        <w:spacing w:after="0" w:line="276" w:lineRule="auto"/>
        <w:jc w:val="both"/>
        <w:rPr>
          <w:rFonts w:ascii="Arial" w:eastAsia="Times New Roman" w:hAnsi="Arial" w:cs="Arial"/>
          <w:lang w:val="es-ES_tradnl" w:eastAsia="es-CO"/>
        </w:rPr>
      </w:pPr>
    </w:p>
    <w:p w14:paraId="7613EABD" w14:textId="77777777" w:rsidR="00E468F0" w:rsidRPr="009B713A" w:rsidRDefault="00E468F0" w:rsidP="00E468F0">
      <w:pPr>
        <w:spacing w:after="0" w:line="276" w:lineRule="auto"/>
        <w:jc w:val="both"/>
        <w:rPr>
          <w:rFonts w:ascii="Arial" w:eastAsia="Times New Roman" w:hAnsi="Arial" w:cs="Arial"/>
          <w:lang w:val="es-ES_tradnl" w:eastAsia="es-CO"/>
        </w:rPr>
      </w:pPr>
      <w:r w:rsidRPr="009B713A">
        <w:rPr>
          <w:rFonts w:ascii="Arial" w:eastAsia="Times New Roman" w:hAnsi="Arial" w:cs="Arial"/>
          <w:lang w:val="es-ES_tradnl" w:eastAsia="es-CO"/>
        </w:rPr>
        <w:t>Atentamente,</w:t>
      </w:r>
    </w:p>
    <w:p w14:paraId="75214892" w14:textId="5F3B1D77" w:rsidR="00E468F0" w:rsidRPr="00AB0D52" w:rsidRDefault="003E22D4" w:rsidP="00AB0D52">
      <w:pPr>
        <w:spacing w:before="240" w:after="120" w:line="240" w:lineRule="auto"/>
        <w:jc w:val="center"/>
        <w:rPr>
          <w:rFonts w:ascii="Arial" w:eastAsia="Calibri" w:hAnsi="Arial" w:cs="Arial"/>
          <w:sz w:val="16"/>
          <w:szCs w:val="16"/>
          <w:lang w:eastAsia="es-ES_tradnl"/>
        </w:rPr>
      </w:pPr>
      <w:r>
        <w:rPr>
          <w:noProof/>
        </w:rPr>
        <w:drawing>
          <wp:inline distT="0" distB="0" distL="0" distR="0" wp14:anchorId="79E636B8" wp14:editId="0FCE2CEE">
            <wp:extent cx="2964815" cy="1138555"/>
            <wp:effectExtent l="0" t="0" r="6985" b="4445"/>
            <wp:docPr id="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64815" cy="1138555"/>
                    </a:xfrm>
                    <a:prstGeom prst="rect">
                      <a:avLst/>
                    </a:prstGeom>
                    <a:noFill/>
                    <a:ln>
                      <a:noFill/>
                    </a:ln>
                  </pic:spPr>
                </pic:pic>
              </a:graphicData>
            </a:graphic>
          </wp:inline>
        </w:drawing>
      </w: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E468F0" w:rsidRPr="00AB0D52" w14:paraId="1E5843B4" w14:textId="77777777" w:rsidTr="00052C34">
        <w:trPr>
          <w:trHeight w:val="286"/>
        </w:trPr>
        <w:tc>
          <w:tcPr>
            <w:tcW w:w="817" w:type="dxa"/>
            <w:vAlign w:val="center"/>
          </w:tcPr>
          <w:p w14:paraId="18EA093E" w14:textId="77777777" w:rsidR="00E468F0" w:rsidRPr="00AB0D52" w:rsidRDefault="00E468F0" w:rsidP="00AB0D52">
            <w:pPr>
              <w:rPr>
                <w:rFonts w:ascii="Arial" w:eastAsia="Times New Roman" w:hAnsi="Arial" w:cs="Arial"/>
                <w:sz w:val="16"/>
                <w:szCs w:val="16"/>
                <w:lang w:eastAsia="es-ES_tradnl"/>
              </w:rPr>
            </w:pPr>
            <w:r w:rsidRPr="00AB0D52">
              <w:rPr>
                <w:rFonts w:ascii="Arial" w:eastAsia="Times New Roman" w:hAnsi="Arial" w:cs="Arial"/>
                <w:sz w:val="16"/>
                <w:szCs w:val="16"/>
                <w:lang w:eastAsia="es-ES_tradnl"/>
              </w:rPr>
              <w:t>Elaboró:</w:t>
            </w:r>
          </w:p>
        </w:tc>
        <w:tc>
          <w:tcPr>
            <w:tcW w:w="4445" w:type="dxa"/>
            <w:tcBorders>
              <w:bottom w:val="dotted" w:sz="4" w:space="0" w:color="7F7F7F"/>
            </w:tcBorders>
            <w:vAlign w:val="center"/>
          </w:tcPr>
          <w:p w14:paraId="65716145" w14:textId="77777777" w:rsidR="00E468F0" w:rsidRPr="00AB0D52" w:rsidRDefault="00E468F0" w:rsidP="00AB0D52">
            <w:pPr>
              <w:textAlignment w:val="baseline"/>
              <w:rPr>
                <w:rFonts w:ascii="Arial" w:eastAsia="Times New Roman" w:hAnsi="Arial" w:cs="Arial"/>
                <w:sz w:val="16"/>
                <w:szCs w:val="16"/>
                <w:lang w:eastAsia="es-CO"/>
              </w:rPr>
            </w:pPr>
            <w:r w:rsidRPr="00AB0D52">
              <w:rPr>
                <w:rFonts w:ascii="Arial" w:eastAsia="Times New Roman" w:hAnsi="Arial" w:cs="Arial"/>
                <w:sz w:val="16"/>
                <w:szCs w:val="16"/>
                <w:lang w:eastAsia="es-CO"/>
              </w:rPr>
              <w:t>Diana Lucia Saavedra Castañeda </w:t>
            </w:r>
          </w:p>
          <w:p w14:paraId="49AD746D" w14:textId="77777777" w:rsidR="00E468F0" w:rsidRPr="00AB0D52" w:rsidRDefault="00E468F0" w:rsidP="00AB0D52">
            <w:pPr>
              <w:textAlignment w:val="baseline"/>
              <w:rPr>
                <w:rFonts w:ascii="Arial" w:eastAsia="Times New Roman" w:hAnsi="Arial" w:cs="Arial"/>
                <w:sz w:val="16"/>
                <w:szCs w:val="16"/>
                <w:lang w:eastAsia="es-CO"/>
              </w:rPr>
            </w:pPr>
            <w:r w:rsidRPr="00AB0D52">
              <w:rPr>
                <w:rFonts w:ascii="Arial" w:eastAsia="Times New Roman" w:hAnsi="Arial" w:cs="Arial"/>
                <w:sz w:val="16"/>
                <w:szCs w:val="16"/>
                <w:lang w:eastAsia="es-CO"/>
              </w:rPr>
              <w:t>Contratista de la Subdirección de Gestión Contractual </w:t>
            </w:r>
          </w:p>
        </w:tc>
      </w:tr>
      <w:tr w:rsidR="00E468F0" w:rsidRPr="00AB0D52" w14:paraId="2611D1A6" w14:textId="77777777" w:rsidTr="00052C34">
        <w:trPr>
          <w:trHeight w:val="286"/>
        </w:trPr>
        <w:tc>
          <w:tcPr>
            <w:tcW w:w="817" w:type="dxa"/>
            <w:vAlign w:val="center"/>
          </w:tcPr>
          <w:p w14:paraId="3B2A1C85" w14:textId="77777777" w:rsidR="00E468F0" w:rsidRPr="00AB0D52" w:rsidRDefault="00E468F0" w:rsidP="00AB0D52">
            <w:pPr>
              <w:rPr>
                <w:rFonts w:ascii="Arial" w:eastAsia="Times New Roman" w:hAnsi="Arial" w:cs="Arial"/>
                <w:sz w:val="16"/>
                <w:szCs w:val="16"/>
                <w:lang w:eastAsia="es-ES_tradnl"/>
              </w:rPr>
            </w:pPr>
            <w:r w:rsidRPr="00AB0D52">
              <w:rPr>
                <w:rFonts w:ascii="Arial" w:eastAsia="Times New Roman" w:hAnsi="Arial" w:cs="Arial"/>
                <w:sz w:val="16"/>
                <w:szCs w:val="16"/>
                <w:lang w:eastAsia="es-ES_tradnl"/>
              </w:rPr>
              <w:t>Revisó:</w:t>
            </w:r>
          </w:p>
        </w:tc>
        <w:tc>
          <w:tcPr>
            <w:tcW w:w="4445" w:type="dxa"/>
            <w:tcBorders>
              <w:bottom w:val="dotted" w:sz="4" w:space="0" w:color="7F7F7F"/>
            </w:tcBorders>
            <w:vAlign w:val="center"/>
          </w:tcPr>
          <w:p w14:paraId="5994E2C5" w14:textId="795613DA" w:rsidR="00E468F0" w:rsidRPr="00AB0D52" w:rsidRDefault="00E468F0" w:rsidP="00AB0D52">
            <w:pPr>
              <w:textAlignment w:val="baseline"/>
              <w:rPr>
                <w:rFonts w:ascii="Arial" w:eastAsia="Times New Roman" w:hAnsi="Arial" w:cs="Arial"/>
                <w:sz w:val="16"/>
                <w:szCs w:val="16"/>
                <w:lang w:eastAsia="es-ES_tradnl"/>
              </w:rPr>
            </w:pPr>
            <w:r w:rsidRPr="00AB0D52">
              <w:rPr>
                <w:rFonts w:ascii="Arial" w:eastAsia="Times New Roman" w:hAnsi="Arial" w:cs="Arial"/>
                <w:sz w:val="16"/>
                <w:szCs w:val="16"/>
                <w:lang w:eastAsia="es-CO"/>
              </w:rPr>
              <w:t xml:space="preserve">Juan David </w:t>
            </w:r>
            <w:r w:rsidR="009B713A" w:rsidRPr="00AB0D52">
              <w:rPr>
                <w:rFonts w:ascii="Arial" w:eastAsia="Times New Roman" w:hAnsi="Arial" w:cs="Arial"/>
                <w:sz w:val="16"/>
                <w:szCs w:val="16"/>
                <w:lang w:eastAsia="es-CO"/>
              </w:rPr>
              <w:t>Cárdenas</w:t>
            </w:r>
            <w:r w:rsidRPr="00AB0D52">
              <w:rPr>
                <w:rFonts w:ascii="Arial" w:eastAsia="Times New Roman" w:hAnsi="Arial" w:cs="Arial"/>
                <w:sz w:val="16"/>
                <w:szCs w:val="16"/>
                <w:lang w:eastAsia="es-CO"/>
              </w:rPr>
              <w:t xml:space="preserve"> Cabezas </w:t>
            </w:r>
          </w:p>
          <w:p w14:paraId="3FCC9235" w14:textId="77777777" w:rsidR="00E468F0" w:rsidRPr="00AB0D52" w:rsidRDefault="00E468F0" w:rsidP="00AB0D52">
            <w:pPr>
              <w:textAlignment w:val="baseline"/>
              <w:rPr>
                <w:rFonts w:ascii="Arial" w:eastAsia="Times New Roman" w:hAnsi="Arial" w:cs="Arial"/>
                <w:sz w:val="16"/>
                <w:szCs w:val="16"/>
                <w:lang w:eastAsia="es-CO"/>
              </w:rPr>
            </w:pPr>
            <w:r w:rsidRPr="00AB0D52">
              <w:rPr>
                <w:rFonts w:ascii="Arial" w:eastAsia="Times New Roman" w:hAnsi="Arial" w:cs="Arial"/>
                <w:sz w:val="16"/>
                <w:szCs w:val="16"/>
                <w:lang w:eastAsia="es-CO"/>
              </w:rPr>
              <w:t>Contratista de la Subdirección de Gestión Contractual </w:t>
            </w:r>
          </w:p>
        </w:tc>
      </w:tr>
      <w:tr w:rsidR="00E468F0" w:rsidRPr="00AB0D52" w14:paraId="1FB93C52" w14:textId="77777777" w:rsidTr="00052C34">
        <w:trPr>
          <w:trHeight w:val="299"/>
        </w:trPr>
        <w:tc>
          <w:tcPr>
            <w:tcW w:w="817" w:type="dxa"/>
            <w:vAlign w:val="center"/>
          </w:tcPr>
          <w:p w14:paraId="14A49158" w14:textId="77777777" w:rsidR="00E468F0" w:rsidRPr="00AB0D52" w:rsidRDefault="00E468F0" w:rsidP="00AB0D52">
            <w:pPr>
              <w:rPr>
                <w:rFonts w:ascii="Arial" w:eastAsia="Times New Roman" w:hAnsi="Arial" w:cs="Arial"/>
                <w:sz w:val="16"/>
                <w:szCs w:val="16"/>
                <w:lang w:eastAsia="es-ES_tradnl"/>
              </w:rPr>
            </w:pPr>
            <w:r w:rsidRPr="00AB0D52">
              <w:rPr>
                <w:rFonts w:ascii="Arial" w:eastAsia="Times New Roman" w:hAnsi="Arial" w:cs="Arial"/>
                <w:sz w:val="16"/>
                <w:szCs w:val="16"/>
                <w:lang w:eastAsia="es-ES_tradnl"/>
              </w:rPr>
              <w:t>Aprobó:</w:t>
            </w:r>
          </w:p>
        </w:tc>
        <w:tc>
          <w:tcPr>
            <w:tcW w:w="4445" w:type="dxa"/>
            <w:tcBorders>
              <w:top w:val="dotted" w:sz="4" w:space="0" w:color="7F7F7F"/>
              <w:bottom w:val="dotted" w:sz="4" w:space="0" w:color="7F7F7F"/>
            </w:tcBorders>
            <w:vAlign w:val="center"/>
          </w:tcPr>
          <w:p w14:paraId="08688DC0" w14:textId="77777777" w:rsidR="00E468F0" w:rsidRPr="00AB0D52" w:rsidRDefault="00E468F0" w:rsidP="00AB0D52">
            <w:pPr>
              <w:rPr>
                <w:rFonts w:ascii="Arial" w:eastAsia="Times New Roman" w:hAnsi="Arial" w:cs="Arial"/>
                <w:sz w:val="16"/>
                <w:szCs w:val="16"/>
                <w:lang w:eastAsia="es-ES_tradnl"/>
              </w:rPr>
            </w:pPr>
            <w:r w:rsidRPr="00AB0D52">
              <w:rPr>
                <w:rFonts w:ascii="Arial" w:eastAsia="Times New Roman" w:hAnsi="Arial" w:cs="Arial"/>
                <w:sz w:val="16"/>
                <w:szCs w:val="16"/>
                <w:lang w:eastAsia="es-ES_tradnl"/>
              </w:rPr>
              <w:t>Nohelia Del Carmen Zawady Palacio</w:t>
            </w:r>
          </w:p>
          <w:p w14:paraId="2E12BBBE" w14:textId="77777777" w:rsidR="00E468F0" w:rsidRPr="00AB0D52" w:rsidRDefault="00E468F0" w:rsidP="00AB0D52">
            <w:pPr>
              <w:rPr>
                <w:rFonts w:ascii="Arial" w:eastAsia="Times New Roman" w:hAnsi="Arial" w:cs="Arial"/>
                <w:sz w:val="16"/>
                <w:szCs w:val="16"/>
                <w:lang w:eastAsia="es-ES_tradnl"/>
              </w:rPr>
            </w:pPr>
            <w:r w:rsidRPr="00AB0D52">
              <w:rPr>
                <w:rFonts w:ascii="Arial" w:eastAsia="Times New Roman" w:hAnsi="Arial" w:cs="Arial"/>
                <w:sz w:val="16"/>
                <w:szCs w:val="16"/>
                <w:lang w:eastAsia="es-ES_tradnl"/>
              </w:rPr>
              <w:t xml:space="preserve">Subdirectora de Gestión Contractual ANCP – CCE </w:t>
            </w:r>
          </w:p>
        </w:tc>
      </w:tr>
    </w:tbl>
    <w:p w14:paraId="204BD688" w14:textId="77777777" w:rsidR="00E468F0" w:rsidRPr="00AB0D52" w:rsidRDefault="00E468F0" w:rsidP="00AB0D52">
      <w:pPr>
        <w:tabs>
          <w:tab w:val="left" w:pos="3795"/>
        </w:tabs>
        <w:spacing w:after="0" w:line="240" w:lineRule="auto"/>
        <w:rPr>
          <w:rFonts w:ascii="Arial" w:eastAsia="Times New Roman" w:hAnsi="Arial" w:cs="Arial"/>
          <w:sz w:val="16"/>
          <w:szCs w:val="16"/>
          <w:lang w:val="es-ES_tradnl" w:eastAsia="es-ES_tradnl"/>
        </w:rPr>
      </w:pPr>
    </w:p>
    <w:p w14:paraId="1871D07D" w14:textId="77777777" w:rsidR="00E468F0" w:rsidRPr="00AB0D52" w:rsidRDefault="00E468F0" w:rsidP="00AB0D52">
      <w:pPr>
        <w:spacing w:after="0" w:line="240" w:lineRule="auto"/>
        <w:rPr>
          <w:rFonts w:ascii="Arial" w:eastAsia="Times New Roman" w:hAnsi="Arial" w:cs="Arial"/>
          <w:sz w:val="16"/>
          <w:szCs w:val="16"/>
          <w:lang w:eastAsia="es-ES_tradnl"/>
        </w:rPr>
      </w:pPr>
    </w:p>
    <w:bookmarkEnd w:id="3"/>
    <w:p w14:paraId="6157FDE9" w14:textId="77777777" w:rsidR="00E468F0" w:rsidRPr="00AB0D52" w:rsidRDefault="00E468F0" w:rsidP="00AB0D52">
      <w:pPr>
        <w:spacing w:after="0" w:line="240" w:lineRule="auto"/>
        <w:rPr>
          <w:rFonts w:ascii="Arial" w:eastAsia="Times New Roman" w:hAnsi="Arial" w:cs="Arial"/>
          <w:sz w:val="16"/>
          <w:szCs w:val="16"/>
          <w:lang w:eastAsia="es-ES_tradnl"/>
        </w:rPr>
      </w:pPr>
    </w:p>
    <w:p w14:paraId="0F293BF4" w14:textId="07B4BDD2" w:rsidR="00127233" w:rsidRPr="009B713A" w:rsidRDefault="00127233" w:rsidP="004C39C3">
      <w:pPr>
        <w:rPr>
          <w:rFonts w:ascii="Arial" w:hAnsi="Arial" w:cs="Arial"/>
        </w:rPr>
      </w:pPr>
    </w:p>
    <w:sectPr w:rsidR="00127233" w:rsidRPr="009B713A" w:rsidSect="00923EEF">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637CA" w14:textId="77777777" w:rsidR="00F204AB" w:rsidRDefault="00F204AB" w:rsidP="004A1847">
      <w:pPr>
        <w:spacing w:after="0" w:line="240" w:lineRule="auto"/>
      </w:pPr>
      <w:r>
        <w:separator/>
      </w:r>
    </w:p>
  </w:endnote>
  <w:endnote w:type="continuationSeparator" w:id="0">
    <w:p w14:paraId="2E7F87DC" w14:textId="77777777" w:rsidR="00F204AB" w:rsidRDefault="00F204A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15351" w14:textId="77777777" w:rsidR="00F204AB" w:rsidRDefault="00F204AB" w:rsidP="004A1847">
      <w:pPr>
        <w:spacing w:after="0" w:line="240" w:lineRule="auto"/>
      </w:pPr>
      <w:r>
        <w:separator/>
      </w:r>
    </w:p>
  </w:footnote>
  <w:footnote w:type="continuationSeparator" w:id="0">
    <w:p w14:paraId="02F5A66A" w14:textId="77777777" w:rsidR="00F204AB" w:rsidRDefault="00F204AB" w:rsidP="004A1847">
      <w:pPr>
        <w:spacing w:after="0" w:line="240" w:lineRule="auto"/>
      </w:pPr>
      <w:r>
        <w:continuationSeparator/>
      </w:r>
    </w:p>
  </w:footnote>
  <w:footnote w:id="1">
    <w:p w14:paraId="310D743B" w14:textId="77777777" w:rsidR="00E468F0" w:rsidRPr="00B208E1" w:rsidRDefault="00E468F0" w:rsidP="00A467F8">
      <w:pPr>
        <w:pStyle w:val="Textonotapie"/>
        <w:ind w:firstLine="708"/>
        <w:contextualSpacing/>
        <w:jc w:val="both"/>
        <w:rPr>
          <w:rFonts w:ascii="Arial" w:eastAsia="Calibri" w:hAnsi="Arial" w:cs="Arial"/>
          <w:sz w:val="14"/>
          <w:szCs w:val="14"/>
          <w:lang w:val="es-ES" w:eastAsia="es-ES_tradnl"/>
        </w:rPr>
      </w:pPr>
      <w:r w:rsidRPr="00B208E1">
        <w:rPr>
          <w:rFonts w:ascii="Arial" w:eastAsia="Calibri" w:hAnsi="Arial" w:cs="Arial"/>
          <w:sz w:val="14"/>
          <w:szCs w:val="14"/>
          <w:vertAlign w:val="superscript"/>
          <w:lang w:val="es-ES" w:eastAsia="es-ES_tradnl"/>
        </w:rPr>
        <w:footnoteRef/>
      </w:r>
      <w:r w:rsidRPr="00B208E1">
        <w:rPr>
          <w:rFonts w:ascii="Arial" w:eastAsia="Calibri" w:hAnsi="Arial" w:cs="Arial"/>
          <w:sz w:val="14"/>
          <w:szCs w:val="14"/>
          <w:lang w:val="es-ES" w:eastAsia="es-ES_tradnl"/>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18A8FEBF" w14:textId="77777777" w:rsidR="00A467F8" w:rsidRPr="00B208E1" w:rsidRDefault="00A467F8" w:rsidP="00A467F8">
      <w:pPr>
        <w:pStyle w:val="Textonotapie"/>
        <w:ind w:firstLine="708"/>
        <w:contextualSpacing/>
        <w:jc w:val="both"/>
        <w:rPr>
          <w:rFonts w:ascii="Arial" w:hAnsi="Arial" w:cs="Arial"/>
          <w:sz w:val="14"/>
          <w:szCs w:val="14"/>
          <w:lang w:val="es-ES"/>
        </w:rPr>
      </w:pPr>
    </w:p>
  </w:footnote>
  <w:footnote w:id="2">
    <w:p w14:paraId="6C30C1B7" w14:textId="77777777" w:rsidR="00E468F0" w:rsidRPr="00B208E1" w:rsidRDefault="00E468F0" w:rsidP="00A467F8">
      <w:pPr>
        <w:pStyle w:val="Textonotapie"/>
        <w:ind w:firstLine="708"/>
        <w:contextualSpacing/>
        <w:jc w:val="both"/>
        <w:rPr>
          <w:rFonts w:ascii="Arial" w:hAnsi="Arial" w:cs="Arial"/>
          <w:sz w:val="14"/>
          <w:szCs w:val="14"/>
          <w:shd w:val="clear" w:color="auto" w:fill="E6E6E6"/>
        </w:rPr>
      </w:pPr>
      <w:r w:rsidRPr="00B208E1">
        <w:rPr>
          <w:rFonts w:ascii="Arial" w:hAnsi="Arial" w:cs="Arial"/>
          <w:sz w:val="14"/>
          <w:szCs w:val="14"/>
          <w:vertAlign w:val="superscript"/>
        </w:rPr>
        <w:footnoteRef/>
      </w:r>
      <w:r w:rsidRPr="00B208E1">
        <w:rPr>
          <w:rFonts w:ascii="Arial" w:hAnsi="Arial" w:cs="Arial"/>
          <w:sz w:val="14"/>
          <w:szCs w:val="14"/>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B208E1">
          <w:rPr>
            <w:rStyle w:val="Hipervnculo"/>
            <w:rFonts w:ascii="Arial" w:hAnsi="Arial" w:cs="Arial"/>
            <w:sz w:val="14"/>
            <w:szCs w:val="14"/>
          </w:rPr>
          <w:t>https://relatoria.colombiacompra.gov.co/busqueda/conceptos</w:t>
        </w:r>
      </w:hyperlink>
      <w:r w:rsidRPr="00B208E1">
        <w:rPr>
          <w:rFonts w:ascii="Arial" w:hAnsi="Arial" w:cs="Arial"/>
          <w:sz w:val="14"/>
          <w:szCs w:val="14"/>
          <w:shd w:val="clear" w:color="auto" w:fill="E6E6E6"/>
        </w:rPr>
        <w:t xml:space="preserve"> </w:t>
      </w:r>
    </w:p>
    <w:p w14:paraId="40388970" w14:textId="77777777" w:rsidR="00A467F8" w:rsidRPr="00B208E1" w:rsidRDefault="00A467F8" w:rsidP="00A467F8">
      <w:pPr>
        <w:pStyle w:val="Textonotapie"/>
        <w:ind w:firstLine="708"/>
        <w:contextualSpacing/>
        <w:jc w:val="both"/>
        <w:rPr>
          <w:rFonts w:ascii="Arial" w:hAnsi="Arial" w:cs="Arial"/>
          <w:sz w:val="14"/>
          <w:szCs w:val="14"/>
        </w:rPr>
      </w:pPr>
    </w:p>
  </w:footnote>
  <w:footnote w:id="3">
    <w:p w14:paraId="258471DC" w14:textId="77777777" w:rsidR="00E468F0" w:rsidRPr="00B208E1" w:rsidRDefault="00E468F0" w:rsidP="00A467F8">
      <w:pPr>
        <w:pStyle w:val="NormalWeb"/>
        <w:spacing w:after="0" w:line="240" w:lineRule="auto"/>
        <w:ind w:firstLine="709"/>
        <w:contextualSpacing/>
        <w:jc w:val="both"/>
        <w:rPr>
          <w:rFonts w:ascii="Arial" w:hAnsi="Arial" w:cs="Arial"/>
          <w:sz w:val="14"/>
          <w:szCs w:val="14"/>
        </w:rPr>
      </w:pPr>
      <w:r w:rsidRPr="00B208E1">
        <w:rPr>
          <w:rStyle w:val="Refdenotaalpie"/>
          <w:rFonts w:ascii="Arial" w:hAnsi="Arial" w:cs="Arial"/>
          <w:sz w:val="14"/>
          <w:szCs w:val="14"/>
        </w:rPr>
        <w:footnoteRef/>
      </w:r>
      <w:r w:rsidRPr="00B208E1">
        <w:rPr>
          <w:rFonts w:ascii="Arial" w:hAnsi="Arial" w:cs="Arial"/>
          <w:sz w:val="14"/>
          <w:szCs w:val="14"/>
        </w:rPr>
        <w:t xml:space="preserve"> </w:t>
      </w:r>
      <w:r w:rsidRPr="00B208E1">
        <w:rPr>
          <w:rFonts w:ascii="Arial" w:hAnsi="Arial" w:cs="Arial"/>
          <w:sz w:val="14"/>
          <w:szCs w:val="14"/>
          <w:lang w:val="es-ES"/>
        </w:rPr>
        <w:t>“</w:t>
      </w:r>
      <w:r w:rsidRPr="00B208E1">
        <w:rPr>
          <w:rFonts w:ascii="Arial" w:hAnsi="Arial" w:cs="Arial"/>
          <w:sz w:val="14"/>
          <w:szCs w:val="14"/>
        </w:rPr>
        <w:t xml:space="preserve">Para poder participar en los procesos de selección de los contratos de obra, la capacidad residual del proponente o K de contratación deberá ser igual o superior al que la entidad haya establecido para el efecto en los pliegos de condiciones. </w:t>
      </w:r>
    </w:p>
    <w:p w14:paraId="4DA730EA" w14:textId="77777777" w:rsidR="00E468F0" w:rsidRPr="00B208E1" w:rsidRDefault="00E468F0" w:rsidP="00A467F8">
      <w:pPr>
        <w:spacing w:after="0" w:line="240" w:lineRule="auto"/>
        <w:ind w:firstLine="709"/>
        <w:contextualSpacing/>
        <w:jc w:val="both"/>
        <w:rPr>
          <w:rFonts w:ascii="Arial" w:hAnsi="Arial" w:cs="Arial"/>
          <w:sz w:val="14"/>
          <w:szCs w:val="14"/>
        </w:rPr>
      </w:pPr>
      <w:r w:rsidRPr="00B208E1">
        <w:rPr>
          <w:rFonts w:ascii="Arial" w:hAnsi="Arial" w:cs="Arial"/>
          <w:sz w:val="14"/>
          <w:szCs w:val="14"/>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5F48E2D6" w14:textId="77777777" w:rsidR="00A467F8" w:rsidRPr="00B208E1" w:rsidRDefault="00A467F8" w:rsidP="00A467F8">
      <w:pPr>
        <w:spacing w:after="0" w:line="240" w:lineRule="auto"/>
        <w:ind w:firstLine="709"/>
        <w:contextualSpacing/>
        <w:jc w:val="both"/>
        <w:rPr>
          <w:rFonts w:ascii="Arial" w:hAnsi="Arial" w:cs="Arial"/>
          <w:sz w:val="14"/>
          <w:szCs w:val="14"/>
        </w:rPr>
      </w:pPr>
    </w:p>
  </w:footnote>
  <w:footnote w:id="4">
    <w:p w14:paraId="220C6D6E" w14:textId="770303F3" w:rsidR="00E468F0" w:rsidRPr="00B208E1" w:rsidRDefault="00E468F0" w:rsidP="00A467F8">
      <w:pPr>
        <w:pStyle w:val="NormalWeb"/>
        <w:spacing w:after="0" w:line="240" w:lineRule="auto"/>
        <w:ind w:firstLine="709"/>
        <w:contextualSpacing/>
        <w:jc w:val="both"/>
        <w:rPr>
          <w:rFonts w:ascii="Arial" w:hAnsi="Arial" w:cs="Arial"/>
          <w:sz w:val="14"/>
          <w:szCs w:val="14"/>
          <w:lang w:val="es-ES"/>
        </w:rPr>
      </w:pPr>
      <w:r w:rsidRPr="00B208E1">
        <w:rPr>
          <w:rStyle w:val="Refdenotaalpie"/>
          <w:rFonts w:ascii="Arial" w:hAnsi="Arial" w:cs="Arial"/>
          <w:sz w:val="14"/>
          <w:szCs w:val="14"/>
        </w:rPr>
        <w:footnoteRef/>
      </w:r>
      <w:r w:rsidRPr="00B208E1">
        <w:rPr>
          <w:rStyle w:val="Refdenotaalpie"/>
          <w:rFonts w:ascii="Arial" w:hAnsi="Arial" w:cs="Arial"/>
          <w:sz w:val="14"/>
          <w:szCs w:val="14"/>
        </w:rPr>
        <w:t xml:space="preserve"> </w:t>
      </w:r>
      <w:r w:rsidR="00B8507C" w:rsidRPr="00B208E1">
        <w:rPr>
          <w:rStyle w:val="Refdenotaalpie"/>
          <w:rFonts w:ascii="Arial" w:hAnsi="Arial" w:cs="Arial"/>
          <w:sz w:val="14"/>
          <w:szCs w:val="14"/>
        </w:rPr>
        <w:t>“</w:t>
      </w:r>
      <w:r w:rsidRPr="00B208E1">
        <w:rPr>
          <w:rFonts w:ascii="Arial" w:hAnsi="Arial" w:cs="Arial"/>
          <w:sz w:val="14"/>
          <w:szCs w:val="14"/>
          <w:lang w:val="es-ES"/>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51CEE86E" w14:textId="4CD20C79" w:rsidR="00E468F0" w:rsidRPr="00B208E1" w:rsidRDefault="00E468F0" w:rsidP="00A467F8">
      <w:pPr>
        <w:pStyle w:val="NormalWeb"/>
        <w:spacing w:after="0" w:line="240" w:lineRule="auto"/>
        <w:ind w:firstLine="709"/>
        <w:contextualSpacing/>
        <w:jc w:val="both"/>
        <w:rPr>
          <w:rFonts w:ascii="Arial" w:hAnsi="Arial" w:cs="Arial"/>
          <w:sz w:val="14"/>
          <w:szCs w:val="14"/>
          <w:lang w:val="es-ES"/>
        </w:rPr>
      </w:pPr>
      <w:r w:rsidRPr="00B208E1">
        <w:rPr>
          <w:rFonts w:ascii="Arial" w:hAnsi="Arial" w:cs="Arial"/>
          <w:sz w:val="14"/>
          <w:szCs w:val="14"/>
          <w:lang w:val="es-ES"/>
        </w:rPr>
        <w:t>Parágrafo Transitorio. </w:t>
      </w:r>
      <w:hyperlink r:id="rId2" w:tgtFrame="_blank" w:history="1"/>
      <w:r w:rsidRPr="00B208E1">
        <w:rPr>
          <w:rFonts w:ascii="Arial" w:hAnsi="Arial" w:cs="Arial"/>
          <w:sz w:val="14"/>
          <w:szCs w:val="14"/>
          <w:lang w:val="es-ES"/>
        </w:rPr>
        <w:t>De conformidad con los parágrafos transitorios de los artículos 2.2.1.1.1.5.2. y 2.2.1.1.1.5.6., yen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w:t>
      </w:r>
    </w:p>
    <w:p w14:paraId="09B7AB24" w14:textId="247F669B" w:rsidR="00E468F0" w:rsidRPr="00B208E1" w:rsidRDefault="00E468F0" w:rsidP="00A467F8">
      <w:pPr>
        <w:pStyle w:val="NormalWeb"/>
        <w:spacing w:after="0" w:line="240" w:lineRule="auto"/>
        <w:ind w:firstLine="709"/>
        <w:contextualSpacing/>
        <w:jc w:val="both"/>
        <w:rPr>
          <w:rFonts w:ascii="Arial" w:hAnsi="Arial" w:cs="Arial"/>
          <w:sz w:val="14"/>
          <w:szCs w:val="14"/>
          <w:lang w:val="es-ES"/>
        </w:rPr>
      </w:pPr>
      <w:r w:rsidRPr="00B208E1">
        <w:rPr>
          <w:rFonts w:ascii="Arial" w:hAnsi="Arial" w:cs="Arial"/>
          <w:sz w:val="14"/>
          <w:szCs w:val="14"/>
          <w:lang w:val="es-ES"/>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índicadores, teniendo en cuenta el mejor año fiscal que se refleje en el regístro de cada proponente​.</w:t>
      </w:r>
    </w:p>
    <w:p w14:paraId="6615EC82" w14:textId="77777777" w:rsidR="00A467F8" w:rsidRPr="00B208E1" w:rsidRDefault="00A467F8" w:rsidP="00A467F8">
      <w:pPr>
        <w:pStyle w:val="NormalWeb"/>
        <w:spacing w:after="0" w:line="240" w:lineRule="auto"/>
        <w:ind w:firstLine="709"/>
        <w:contextualSpacing/>
        <w:jc w:val="both"/>
        <w:rPr>
          <w:rFonts w:ascii="Arial" w:hAnsi="Arial" w:cs="Arial"/>
          <w:sz w:val="14"/>
          <w:szCs w:val="14"/>
          <w:lang w:val="es-ES"/>
        </w:rPr>
      </w:pPr>
    </w:p>
    <w:p w14:paraId="662D3C1F" w14:textId="77777777" w:rsidR="00E468F0" w:rsidRPr="00B208E1" w:rsidRDefault="00E468F0" w:rsidP="00A467F8">
      <w:pPr>
        <w:pStyle w:val="NormalWeb"/>
        <w:spacing w:after="0" w:line="240" w:lineRule="auto"/>
        <w:ind w:firstLine="709"/>
        <w:contextualSpacing/>
        <w:jc w:val="both"/>
        <w:rPr>
          <w:rStyle w:val="Refdenotaalpie"/>
          <w:rFonts w:ascii="Arial" w:hAnsi="Arial" w:cs="Arial"/>
          <w:sz w:val="14"/>
          <w:szCs w:val="14"/>
        </w:rPr>
      </w:pPr>
    </w:p>
  </w:footnote>
  <w:footnote w:id="5">
    <w:p w14:paraId="70686C5E" w14:textId="35A5E892" w:rsidR="00E468F0" w:rsidRPr="00B208E1" w:rsidRDefault="00E468F0" w:rsidP="00A467F8">
      <w:pPr>
        <w:pStyle w:val="Textonotapie"/>
        <w:ind w:firstLine="709"/>
        <w:contextualSpacing/>
        <w:jc w:val="both"/>
        <w:rPr>
          <w:rFonts w:ascii="Arial" w:hAnsi="Arial" w:cs="Arial"/>
          <w:sz w:val="14"/>
          <w:szCs w:val="14"/>
        </w:rPr>
      </w:pPr>
      <w:r w:rsidRPr="00B208E1">
        <w:rPr>
          <w:rStyle w:val="Refdenotaalpie"/>
          <w:rFonts w:ascii="Arial" w:hAnsi="Arial" w:cs="Arial"/>
          <w:sz w:val="14"/>
          <w:szCs w:val="14"/>
        </w:rPr>
        <w:footnoteRef/>
      </w:r>
      <w:r w:rsidRPr="00B208E1">
        <w:rPr>
          <w:rFonts w:ascii="Arial" w:hAnsi="Arial" w:cs="Arial"/>
          <w:sz w:val="14"/>
          <w:szCs w:val="14"/>
        </w:rPr>
        <w:t xml:space="preserve"> Ley 1150 de 2007: </w:t>
      </w:r>
      <w:r w:rsidR="00B8507C" w:rsidRPr="00B208E1">
        <w:rPr>
          <w:rFonts w:ascii="Arial" w:hAnsi="Arial" w:cs="Arial"/>
          <w:sz w:val="14"/>
          <w:szCs w:val="14"/>
        </w:rPr>
        <w:t>“</w:t>
      </w:r>
      <w:r w:rsidRPr="00B208E1">
        <w:rPr>
          <w:rFonts w:ascii="Arial" w:hAnsi="Arial" w:cs="Arial"/>
          <w:sz w:val="14"/>
          <w:szCs w:val="14"/>
        </w:rPr>
        <w:t>Artículo 6. De la verificación de las condiciones de los proponentes.</w:t>
      </w:r>
    </w:p>
    <w:p w14:paraId="71123CB2" w14:textId="77777777" w:rsidR="00E468F0" w:rsidRPr="00B208E1" w:rsidRDefault="00E468F0" w:rsidP="00A467F8">
      <w:pPr>
        <w:pStyle w:val="Textonotapie"/>
        <w:ind w:firstLine="709"/>
        <w:contextualSpacing/>
        <w:jc w:val="both"/>
        <w:rPr>
          <w:rFonts w:ascii="Arial" w:hAnsi="Arial" w:cs="Arial"/>
          <w:sz w:val="14"/>
          <w:szCs w:val="14"/>
          <w:lang w:eastAsia="es-CO"/>
        </w:rPr>
      </w:pPr>
      <w:r w:rsidRPr="00B208E1">
        <w:rPr>
          <w:rFonts w:ascii="Arial" w:hAnsi="Arial" w:cs="Arial"/>
          <w:sz w:val="14"/>
          <w:szCs w:val="14"/>
          <w:lang w:eastAsia="es-CO"/>
        </w:rPr>
        <w:t>[…]</w:t>
      </w:r>
    </w:p>
    <w:p w14:paraId="63AF5DE4" w14:textId="232A3AC2" w:rsidR="00E468F0" w:rsidRPr="00B208E1" w:rsidRDefault="0073118B" w:rsidP="00A467F8">
      <w:pPr>
        <w:pStyle w:val="Textonotapie"/>
        <w:ind w:firstLine="709"/>
        <w:contextualSpacing/>
        <w:jc w:val="both"/>
        <w:rPr>
          <w:rFonts w:ascii="Arial" w:hAnsi="Arial" w:cs="Arial"/>
          <w:sz w:val="14"/>
          <w:szCs w:val="14"/>
          <w:lang w:eastAsia="es-CO"/>
        </w:rPr>
      </w:pPr>
      <w:r w:rsidRPr="00B208E1">
        <w:rPr>
          <w:rFonts w:ascii="Arial" w:hAnsi="Arial" w:cs="Arial"/>
          <w:sz w:val="14"/>
          <w:szCs w:val="14"/>
          <w:lang w:eastAsia="es-CO"/>
        </w:rPr>
        <w:t>“</w:t>
      </w:r>
      <w:r w:rsidR="00E468F0" w:rsidRPr="00B208E1">
        <w:rPr>
          <w:rFonts w:ascii="Arial" w:hAnsi="Arial" w:cs="Arial"/>
          <w:sz w:val="14"/>
          <w:szCs w:val="14"/>
          <w:lang w:eastAsia="es-CO"/>
        </w:rPr>
        <w:t>6.1. […]</w:t>
      </w:r>
    </w:p>
    <w:p w14:paraId="59B1DCF4" w14:textId="4118DDD0" w:rsidR="00E468F0" w:rsidRPr="00B208E1" w:rsidRDefault="0073118B" w:rsidP="00A467F8">
      <w:pPr>
        <w:pStyle w:val="Textonotapie"/>
        <w:ind w:firstLine="709"/>
        <w:contextualSpacing/>
        <w:jc w:val="both"/>
        <w:rPr>
          <w:rFonts w:ascii="Arial" w:hAnsi="Arial" w:cs="Arial"/>
          <w:sz w:val="14"/>
          <w:szCs w:val="14"/>
          <w:lang w:eastAsia="es-CO"/>
        </w:rPr>
      </w:pPr>
      <w:r w:rsidRPr="00B208E1">
        <w:rPr>
          <w:rFonts w:ascii="Arial" w:hAnsi="Arial" w:cs="Arial"/>
          <w:sz w:val="14"/>
          <w:szCs w:val="14"/>
          <w:lang w:eastAsia="es-CO"/>
        </w:rPr>
        <w:t>“</w:t>
      </w:r>
      <w:r w:rsidR="00E468F0" w:rsidRPr="00B208E1">
        <w:rPr>
          <w:rFonts w:ascii="Arial" w:hAnsi="Arial" w:cs="Arial"/>
          <w:sz w:val="14"/>
          <w:szCs w:val="14"/>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1776506A" w14:textId="31356A61" w:rsidR="00E468F0" w:rsidRPr="00B208E1" w:rsidRDefault="00E468F0" w:rsidP="00A467F8">
      <w:pPr>
        <w:pStyle w:val="Textonotapie"/>
        <w:ind w:firstLine="709"/>
        <w:contextualSpacing/>
        <w:jc w:val="both"/>
        <w:rPr>
          <w:rFonts w:ascii="Arial" w:hAnsi="Arial" w:cs="Arial"/>
          <w:sz w:val="14"/>
          <w:szCs w:val="14"/>
          <w:lang w:eastAsia="es-CO"/>
        </w:rPr>
      </w:pPr>
      <w:r w:rsidRPr="00B208E1">
        <w:rPr>
          <w:rFonts w:ascii="Arial" w:hAnsi="Arial" w:cs="Arial"/>
          <w:sz w:val="14"/>
          <w:szCs w:val="14"/>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30F7A8D5" w14:textId="6CA444D3" w:rsidR="00E468F0" w:rsidRPr="00B208E1" w:rsidRDefault="00E468F0" w:rsidP="00A467F8">
      <w:pPr>
        <w:pStyle w:val="Textonotapie"/>
        <w:ind w:firstLine="709"/>
        <w:contextualSpacing/>
        <w:jc w:val="both"/>
        <w:rPr>
          <w:rFonts w:ascii="Arial" w:hAnsi="Arial" w:cs="Arial"/>
          <w:sz w:val="14"/>
          <w:szCs w:val="14"/>
          <w:lang w:eastAsia="es-CO"/>
        </w:rPr>
      </w:pPr>
      <w:r w:rsidRPr="00B208E1">
        <w:rPr>
          <w:rFonts w:ascii="Arial" w:hAnsi="Arial" w:cs="Arial"/>
          <w:sz w:val="14"/>
          <w:szCs w:val="14"/>
          <w:lang w:eastAsia="es-CO"/>
        </w:rPr>
        <w:t>[…]</w:t>
      </w:r>
      <w:r w:rsidR="0073118B" w:rsidRPr="00B208E1">
        <w:rPr>
          <w:rFonts w:ascii="Arial" w:hAnsi="Arial" w:cs="Arial"/>
          <w:sz w:val="14"/>
          <w:szCs w:val="14"/>
          <w:lang w:eastAsia="es-CO"/>
        </w:rPr>
        <w:t>”</w:t>
      </w:r>
      <w:r w:rsidRPr="00B208E1">
        <w:rPr>
          <w:rFonts w:ascii="Arial" w:hAnsi="Arial" w:cs="Arial"/>
          <w:sz w:val="14"/>
          <w:szCs w:val="14"/>
          <w:lang w:eastAsia="es-CO"/>
        </w:rPr>
        <w:t>.</w:t>
      </w:r>
    </w:p>
    <w:p w14:paraId="2814C14E" w14:textId="77777777" w:rsidR="00E468F0" w:rsidRPr="00B208E1" w:rsidRDefault="00E468F0" w:rsidP="00A467F8">
      <w:pPr>
        <w:pStyle w:val="Textonotapie"/>
        <w:ind w:firstLine="709"/>
        <w:contextualSpacing/>
        <w:jc w:val="both"/>
        <w:rPr>
          <w:rFonts w:ascii="Arial" w:hAnsi="Arial" w:cs="Arial"/>
          <w:sz w:val="14"/>
          <w:szCs w:val="14"/>
          <w:lang w:val="es-ES"/>
        </w:rPr>
      </w:pPr>
    </w:p>
  </w:footnote>
  <w:footnote w:id="6">
    <w:p w14:paraId="3F48A394" w14:textId="52A85B43" w:rsidR="00E468F0" w:rsidRPr="00B208E1" w:rsidRDefault="00E468F0" w:rsidP="00A467F8">
      <w:pPr>
        <w:pStyle w:val="Textonotapie"/>
        <w:ind w:firstLine="709"/>
        <w:contextualSpacing/>
        <w:jc w:val="both"/>
        <w:rPr>
          <w:rFonts w:ascii="Arial" w:hAnsi="Arial" w:cs="Arial"/>
          <w:sz w:val="14"/>
          <w:szCs w:val="14"/>
          <w:lang w:eastAsia="es-CO"/>
        </w:rPr>
      </w:pPr>
      <w:r w:rsidRPr="00B208E1">
        <w:rPr>
          <w:rStyle w:val="Refdenotaalpie"/>
          <w:rFonts w:ascii="Arial" w:hAnsi="Arial" w:cs="Arial"/>
          <w:sz w:val="14"/>
          <w:szCs w:val="14"/>
        </w:rPr>
        <w:footnoteRef/>
      </w:r>
      <w:r w:rsidRPr="00B208E1">
        <w:rPr>
          <w:rFonts w:ascii="Arial" w:hAnsi="Arial" w:cs="Arial"/>
          <w:sz w:val="14"/>
          <w:szCs w:val="14"/>
        </w:rPr>
        <w:t xml:space="preserve"> Ley 1150 de 2007: </w:t>
      </w:r>
      <w:r w:rsidR="00B8507C" w:rsidRPr="00B208E1">
        <w:rPr>
          <w:rFonts w:ascii="Arial" w:hAnsi="Arial" w:cs="Arial"/>
          <w:sz w:val="14"/>
          <w:szCs w:val="14"/>
        </w:rPr>
        <w:t>“</w:t>
      </w:r>
      <w:r w:rsidRPr="00B208E1">
        <w:rPr>
          <w:rFonts w:ascii="Arial" w:hAnsi="Arial" w:cs="Arial"/>
          <w:sz w:val="14"/>
          <w:szCs w:val="14"/>
        </w:rPr>
        <w:t>Artículo 5. De la selección objetiva.</w:t>
      </w:r>
      <w:r w:rsidRPr="00B208E1">
        <w:rPr>
          <w:rFonts w:ascii="Arial" w:hAnsi="Arial" w:cs="Arial"/>
          <w:sz w:val="14"/>
          <w:szCs w:val="14"/>
          <w:lang w:eastAsia="es-CO"/>
        </w:rPr>
        <w:t xml:space="preserve"> </w:t>
      </w:r>
    </w:p>
    <w:p w14:paraId="60B8413A" w14:textId="77777777" w:rsidR="00E468F0" w:rsidRPr="00B208E1" w:rsidRDefault="00E468F0" w:rsidP="00A467F8">
      <w:pPr>
        <w:pStyle w:val="Textonotapie"/>
        <w:ind w:firstLine="709"/>
        <w:contextualSpacing/>
        <w:jc w:val="both"/>
        <w:rPr>
          <w:rFonts w:ascii="Arial" w:hAnsi="Arial" w:cs="Arial"/>
          <w:sz w:val="14"/>
          <w:szCs w:val="14"/>
          <w:lang w:eastAsia="es-CO"/>
        </w:rPr>
      </w:pPr>
      <w:r w:rsidRPr="00B208E1">
        <w:rPr>
          <w:rFonts w:ascii="Arial" w:hAnsi="Arial" w:cs="Arial"/>
          <w:sz w:val="14"/>
          <w:szCs w:val="14"/>
          <w:lang w:eastAsia="es-CO"/>
        </w:rPr>
        <w:t>[…]</w:t>
      </w:r>
    </w:p>
    <w:p w14:paraId="17AB2D75" w14:textId="7A2960E8" w:rsidR="00E468F0" w:rsidRPr="00B208E1" w:rsidRDefault="0073118B" w:rsidP="00A467F8">
      <w:pPr>
        <w:pStyle w:val="Textonotapie"/>
        <w:ind w:firstLine="709"/>
        <w:contextualSpacing/>
        <w:jc w:val="both"/>
        <w:rPr>
          <w:rFonts w:ascii="Arial" w:hAnsi="Arial" w:cs="Arial"/>
          <w:sz w:val="14"/>
          <w:szCs w:val="14"/>
          <w:lang w:val="es-ES"/>
        </w:rPr>
      </w:pPr>
      <w:r w:rsidRPr="00B208E1">
        <w:rPr>
          <w:rFonts w:ascii="Arial" w:hAnsi="Arial" w:cs="Arial"/>
          <w:sz w:val="14"/>
          <w:szCs w:val="14"/>
          <w:lang w:eastAsia="es-CO"/>
        </w:rPr>
        <w:t>“</w:t>
      </w:r>
      <w:r w:rsidR="00E468F0" w:rsidRPr="00B208E1">
        <w:rPr>
          <w:rFonts w:ascii="Arial" w:hAnsi="Arial" w:cs="Arial"/>
          <w:sz w:val="14"/>
          <w:szCs w:val="14"/>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B208E1">
        <w:rPr>
          <w:rFonts w:ascii="Arial" w:hAnsi="Arial" w:cs="Arial"/>
          <w:sz w:val="14"/>
          <w:szCs w:val="14"/>
          <w:lang w:eastAsia="es-CO"/>
        </w:rPr>
        <w:t>”</w:t>
      </w:r>
      <w:r w:rsidR="00E468F0" w:rsidRPr="00B208E1">
        <w:rPr>
          <w:rFonts w:ascii="Arial" w:hAnsi="Arial" w:cs="Arial"/>
          <w:sz w:val="14"/>
          <w:szCs w:val="14"/>
          <w:lang w:eastAsia="es-CO"/>
        </w:rPr>
        <w:t>.</w:t>
      </w:r>
    </w:p>
    <w:p w14:paraId="1CFB9DC0" w14:textId="77777777" w:rsidR="00E468F0" w:rsidRPr="00B208E1" w:rsidRDefault="00E468F0" w:rsidP="00A467F8">
      <w:pPr>
        <w:pStyle w:val="Textonotapie"/>
        <w:ind w:firstLine="709"/>
        <w:contextualSpacing/>
        <w:jc w:val="both"/>
        <w:rPr>
          <w:rFonts w:ascii="Arial" w:hAnsi="Arial" w:cs="Arial"/>
          <w:sz w:val="14"/>
          <w:szCs w:val="14"/>
          <w:lang w:val="es-ES"/>
        </w:rPr>
      </w:pPr>
    </w:p>
  </w:footnote>
  <w:footnote w:id="7">
    <w:p w14:paraId="7BDF83B9" w14:textId="6FDFCEC4" w:rsidR="00E468F0" w:rsidRPr="00B208E1" w:rsidRDefault="00E468F0" w:rsidP="00A467F8">
      <w:pPr>
        <w:pStyle w:val="Textonotapie"/>
        <w:ind w:firstLine="709"/>
        <w:contextualSpacing/>
        <w:jc w:val="both"/>
        <w:rPr>
          <w:rFonts w:ascii="Arial" w:hAnsi="Arial" w:cs="Arial"/>
          <w:sz w:val="14"/>
          <w:szCs w:val="14"/>
        </w:rPr>
      </w:pPr>
      <w:r w:rsidRPr="00B208E1">
        <w:rPr>
          <w:rStyle w:val="Refdenotaalpie"/>
          <w:rFonts w:ascii="Arial" w:hAnsi="Arial" w:cs="Arial"/>
          <w:sz w:val="14"/>
          <w:szCs w:val="14"/>
        </w:rPr>
        <w:footnoteRef/>
      </w:r>
      <w:r w:rsidRPr="00B208E1">
        <w:rPr>
          <w:rFonts w:ascii="Arial" w:hAnsi="Arial" w:cs="Arial"/>
          <w:sz w:val="14"/>
          <w:szCs w:val="14"/>
        </w:rPr>
        <w:t xml:space="preserve"> </w:t>
      </w:r>
      <w:r w:rsidRPr="00B208E1">
        <w:rPr>
          <w:rFonts w:ascii="Arial" w:hAnsi="Arial" w:cs="Arial"/>
          <w:sz w:val="14"/>
          <w:szCs w:val="14"/>
          <w:lang w:eastAsia="es-CO"/>
        </w:rPr>
        <w:t xml:space="preserve">Consejo de Estado. Sección Tercera. Subsección A. Sentencia del 12 de febrero de 2014. Exp. 31.753. C.P. Mauricio Fajardo Gómez: </w:t>
      </w:r>
      <w:r w:rsidR="00B8507C" w:rsidRPr="00B208E1">
        <w:rPr>
          <w:rFonts w:ascii="Arial" w:hAnsi="Arial" w:cs="Arial"/>
          <w:sz w:val="14"/>
          <w:szCs w:val="14"/>
          <w:lang w:eastAsia="es-CO"/>
        </w:rPr>
        <w:t>“</w:t>
      </w:r>
      <w:r w:rsidRPr="00B208E1">
        <w:rPr>
          <w:rFonts w:ascii="Arial" w:hAnsi="Arial" w:cs="Arial"/>
          <w:sz w:val="14"/>
          <w:szCs w:val="14"/>
          <w:lang w:eastAsia="es-CO"/>
        </w:rPr>
        <w:t>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r w:rsidR="0073118B" w:rsidRPr="00B208E1">
        <w:rPr>
          <w:rFonts w:ascii="Arial" w:hAnsi="Arial" w:cs="Arial"/>
          <w:sz w:val="14"/>
          <w:szCs w:val="14"/>
          <w:lang w:eastAsia="es-CO"/>
        </w:rPr>
        <w:t>”</w:t>
      </w:r>
      <w:r w:rsidRPr="00B208E1">
        <w:rPr>
          <w:rFonts w:ascii="Arial" w:hAnsi="Arial" w:cs="Arial"/>
          <w:sz w:val="14"/>
          <w:szCs w:val="14"/>
          <w:lang w:eastAsia="es-CO"/>
        </w:rPr>
        <w:t>.</w:t>
      </w:r>
    </w:p>
    <w:p w14:paraId="48CD3A28" w14:textId="77777777" w:rsidR="00E468F0" w:rsidRPr="00B208E1" w:rsidRDefault="00E468F0" w:rsidP="00A467F8">
      <w:pPr>
        <w:pStyle w:val="Textonotapie"/>
        <w:ind w:firstLine="709"/>
        <w:contextualSpacing/>
        <w:jc w:val="both"/>
        <w:rPr>
          <w:rFonts w:ascii="Arial" w:hAnsi="Arial" w:cs="Arial"/>
          <w:sz w:val="14"/>
          <w:szCs w:val="14"/>
          <w:lang w:val="es-ES"/>
        </w:rPr>
      </w:pPr>
    </w:p>
  </w:footnote>
  <w:footnote w:id="8">
    <w:p w14:paraId="043CE461" w14:textId="068C5291" w:rsidR="00E468F0" w:rsidRPr="00B208E1" w:rsidRDefault="00E468F0" w:rsidP="00A467F8">
      <w:pPr>
        <w:pStyle w:val="Textonotapie"/>
        <w:ind w:firstLine="709"/>
        <w:contextualSpacing/>
        <w:jc w:val="both"/>
        <w:rPr>
          <w:rFonts w:ascii="Arial" w:hAnsi="Arial" w:cs="Arial"/>
          <w:sz w:val="14"/>
          <w:szCs w:val="14"/>
          <w:lang w:eastAsia="es-CO"/>
        </w:rPr>
      </w:pPr>
      <w:r w:rsidRPr="00B208E1">
        <w:rPr>
          <w:rStyle w:val="Refdenotaalpie"/>
          <w:rFonts w:ascii="Arial" w:hAnsi="Arial" w:cs="Arial"/>
          <w:sz w:val="14"/>
          <w:szCs w:val="14"/>
        </w:rPr>
        <w:footnoteRef/>
      </w:r>
      <w:r w:rsidRPr="00B208E1">
        <w:rPr>
          <w:rFonts w:ascii="Arial" w:hAnsi="Arial" w:cs="Arial"/>
          <w:sz w:val="14"/>
          <w:szCs w:val="14"/>
        </w:rPr>
        <w:t xml:space="preserve"> </w:t>
      </w:r>
      <w:r w:rsidRPr="00B208E1">
        <w:rPr>
          <w:rFonts w:ascii="Arial" w:hAnsi="Arial" w:cs="Arial"/>
          <w:sz w:val="14"/>
          <w:szCs w:val="14"/>
          <w:lang w:eastAsia="es-CO"/>
        </w:rPr>
        <w:t xml:space="preserve">Ley 1150 de 2007: </w:t>
      </w:r>
      <w:r w:rsidR="00B8507C" w:rsidRPr="00B208E1">
        <w:rPr>
          <w:rFonts w:ascii="Arial" w:hAnsi="Arial" w:cs="Arial"/>
          <w:sz w:val="14"/>
          <w:szCs w:val="14"/>
          <w:lang w:eastAsia="es-CO"/>
        </w:rPr>
        <w:t>“</w:t>
      </w:r>
      <w:r w:rsidRPr="00B208E1">
        <w:rPr>
          <w:rFonts w:ascii="Arial" w:hAnsi="Arial" w:cs="Arial"/>
          <w:sz w:val="14"/>
          <w:szCs w:val="14"/>
          <w:lang w:eastAsia="es-CO"/>
        </w:rPr>
        <w:t xml:space="preserve">Artículo 6.  De la verificación de las condiciones de los proponentes. </w:t>
      </w:r>
    </w:p>
    <w:p w14:paraId="2F121A88" w14:textId="77777777" w:rsidR="00E468F0" w:rsidRPr="00B208E1" w:rsidRDefault="00E468F0" w:rsidP="00A467F8">
      <w:pPr>
        <w:pStyle w:val="Textonotapie"/>
        <w:ind w:firstLine="709"/>
        <w:contextualSpacing/>
        <w:jc w:val="both"/>
        <w:rPr>
          <w:rFonts w:ascii="Arial" w:hAnsi="Arial" w:cs="Arial"/>
          <w:sz w:val="14"/>
          <w:szCs w:val="14"/>
          <w:lang w:eastAsia="es-CO"/>
        </w:rPr>
      </w:pPr>
      <w:r w:rsidRPr="00B208E1">
        <w:rPr>
          <w:rFonts w:ascii="Arial" w:hAnsi="Arial" w:cs="Arial"/>
          <w:sz w:val="14"/>
          <w:szCs w:val="14"/>
          <w:lang w:eastAsia="es-CO"/>
        </w:rPr>
        <w:t xml:space="preserve">[...] </w:t>
      </w:r>
    </w:p>
    <w:p w14:paraId="64909D35" w14:textId="3C268B53" w:rsidR="00E468F0" w:rsidRPr="00B208E1" w:rsidRDefault="0073118B" w:rsidP="00A467F8">
      <w:pPr>
        <w:pStyle w:val="Textonotapie"/>
        <w:ind w:firstLine="709"/>
        <w:contextualSpacing/>
        <w:jc w:val="both"/>
        <w:rPr>
          <w:rFonts w:ascii="Arial" w:hAnsi="Arial" w:cs="Arial"/>
          <w:sz w:val="14"/>
          <w:szCs w:val="14"/>
          <w:lang w:eastAsia="es-CO"/>
        </w:rPr>
      </w:pPr>
      <w:r w:rsidRPr="00B208E1">
        <w:rPr>
          <w:rFonts w:ascii="Arial" w:hAnsi="Arial" w:cs="Arial"/>
          <w:sz w:val="14"/>
          <w:szCs w:val="14"/>
          <w:lang w:eastAsia="es-CO"/>
        </w:rPr>
        <w:t>“</w:t>
      </w:r>
      <w:r w:rsidR="00E468F0" w:rsidRPr="00B208E1">
        <w:rPr>
          <w:rFonts w:ascii="Arial" w:hAnsi="Arial" w:cs="Arial"/>
          <w:sz w:val="14"/>
          <w:szCs w:val="14"/>
          <w:lang w:eastAsia="es-CO"/>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1AEBF73D" w14:textId="162F0010" w:rsidR="00E468F0" w:rsidRPr="00B208E1" w:rsidRDefault="00E468F0" w:rsidP="00A467F8">
      <w:pPr>
        <w:pStyle w:val="Textonotapie"/>
        <w:ind w:firstLine="709"/>
        <w:contextualSpacing/>
        <w:jc w:val="both"/>
        <w:rPr>
          <w:rFonts w:ascii="Arial" w:hAnsi="Arial" w:cs="Arial"/>
          <w:sz w:val="14"/>
          <w:szCs w:val="14"/>
          <w:lang w:eastAsia="es-CO"/>
        </w:rPr>
      </w:pPr>
      <w:r w:rsidRPr="00B208E1">
        <w:rPr>
          <w:rFonts w:ascii="Arial" w:hAnsi="Arial" w:cs="Arial"/>
          <w:sz w:val="14"/>
          <w:szCs w:val="14"/>
          <w:lang w:eastAsia="es-CO"/>
        </w:rPr>
        <w:t>[...]</w:t>
      </w:r>
      <w:r w:rsidR="0073118B" w:rsidRPr="00B208E1">
        <w:rPr>
          <w:rFonts w:ascii="Arial" w:hAnsi="Arial" w:cs="Arial"/>
          <w:sz w:val="14"/>
          <w:szCs w:val="14"/>
          <w:lang w:eastAsia="es-CO"/>
        </w:rPr>
        <w:t>”</w:t>
      </w:r>
      <w:r w:rsidRPr="00B208E1">
        <w:rPr>
          <w:rFonts w:ascii="Arial" w:hAnsi="Arial" w:cs="Arial"/>
          <w:sz w:val="14"/>
          <w:szCs w:val="14"/>
          <w:lang w:eastAsia="es-CO"/>
        </w:rPr>
        <w:t xml:space="preserve">. </w:t>
      </w:r>
    </w:p>
    <w:p w14:paraId="697891BC" w14:textId="77777777" w:rsidR="00E468F0" w:rsidRPr="00B208E1" w:rsidRDefault="00E468F0" w:rsidP="00A467F8">
      <w:pPr>
        <w:pStyle w:val="Textonotapie"/>
        <w:ind w:firstLine="709"/>
        <w:contextualSpacing/>
        <w:jc w:val="both"/>
        <w:rPr>
          <w:rFonts w:ascii="Arial" w:hAnsi="Arial" w:cs="Arial"/>
          <w:sz w:val="14"/>
          <w:szCs w:val="14"/>
        </w:rPr>
      </w:pPr>
    </w:p>
  </w:footnote>
  <w:footnote w:id="9">
    <w:p w14:paraId="517BCA70" w14:textId="7B771AAB" w:rsidR="00E468F0" w:rsidRPr="00B208E1" w:rsidRDefault="00E468F0" w:rsidP="00A467F8">
      <w:pPr>
        <w:pStyle w:val="Textonotapie"/>
        <w:ind w:firstLine="709"/>
        <w:contextualSpacing/>
        <w:jc w:val="both"/>
        <w:rPr>
          <w:rFonts w:ascii="Arial" w:hAnsi="Arial" w:cs="Arial"/>
          <w:sz w:val="14"/>
          <w:szCs w:val="14"/>
          <w:lang w:eastAsia="es-CO"/>
        </w:rPr>
      </w:pPr>
      <w:r w:rsidRPr="00B208E1">
        <w:rPr>
          <w:rStyle w:val="Refdenotaalpie"/>
          <w:rFonts w:ascii="Arial" w:hAnsi="Arial" w:cs="Arial"/>
          <w:sz w:val="14"/>
          <w:szCs w:val="14"/>
        </w:rPr>
        <w:footnoteRef/>
      </w:r>
      <w:r w:rsidRPr="00B208E1">
        <w:rPr>
          <w:rFonts w:ascii="Arial" w:hAnsi="Arial" w:cs="Arial"/>
          <w:sz w:val="14"/>
          <w:szCs w:val="14"/>
        </w:rPr>
        <w:t xml:space="preserve"> </w:t>
      </w:r>
      <w:r w:rsidRPr="00B208E1">
        <w:rPr>
          <w:rFonts w:ascii="Arial" w:hAnsi="Arial" w:cs="Arial"/>
          <w:sz w:val="14"/>
          <w:szCs w:val="14"/>
          <w:lang w:eastAsia="es-CO"/>
        </w:rPr>
        <w:t xml:space="preserve"> </w:t>
      </w:r>
      <w:r w:rsidR="00B8507C" w:rsidRPr="00B208E1">
        <w:rPr>
          <w:rFonts w:ascii="Arial" w:hAnsi="Arial" w:cs="Arial"/>
          <w:sz w:val="14"/>
          <w:szCs w:val="14"/>
          <w:lang w:eastAsia="es-CO"/>
        </w:rPr>
        <w:t>“</w:t>
      </w:r>
      <w:r w:rsidRPr="00B208E1">
        <w:rPr>
          <w:rFonts w:ascii="Arial" w:hAnsi="Arial" w:cs="Arial"/>
          <w:sz w:val="14"/>
          <w:szCs w:val="14"/>
          <w:lang w:eastAsia="es-CO"/>
        </w:rPr>
        <w:t>6.1. [...] No obstante lo anterior, sólo en aquellos casos en que por las características del objeto a contratar se requiera la verificación de requisitos del proponente adicionales a los contenidos en el Registro, la entidad podrá hacer tal verificación en forma directa</w:t>
      </w:r>
      <w:r w:rsidR="0073118B" w:rsidRPr="00B208E1">
        <w:rPr>
          <w:rFonts w:ascii="Arial" w:hAnsi="Arial" w:cs="Arial"/>
          <w:sz w:val="14"/>
          <w:szCs w:val="14"/>
          <w:lang w:eastAsia="es-CO"/>
        </w:rPr>
        <w:t>”</w:t>
      </w:r>
      <w:r w:rsidRPr="00B208E1">
        <w:rPr>
          <w:rFonts w:ascii="Arial" w:hAnsi="Arial" w:cs="Arial"/>
          <w:sz w:val="14"/>
          <w:szCs w:val="14"/>
          <w:lang w:eastAsia="es-CO"/>
        </w:rPr>
        <w:t>.</w:t>
      </w:r>
    </w:p>
    <w:p w14:paraId="15120F2B" w14:textId="77777777" w:rsidR="00E468F0" w:rsidRPr="00B208E1" w:rsidRDefault="00E468F0" w:rsidP="00A467F8">
      <w:pPr>
        <w:pStyle w:val="Textonotapie"/>
        <w:ind w:firstLine="709"/>
        <w:contextualSpacing/>
        <w:jc w:val="both"/>
        <w:rPr>
          <w:rFonts w:ascii="Arial" w:hAnsi="Arial" w:cs="Arial"/>
          <w:sz w:val="14"/>
          <w:szCs w:val="14"/>
          <w:lang w:eastAsia="es-CO"/>
        </w:rPr>
      </w:pPr>
    </w:p>
  </w:footnote>
  <w:footnote w:id="10">
    <w:p w14:paraId="5D198258" w14:textId="77777777" w:rsidR="00E468F0" w:rsidRPr="00B208E1" w:rsidRDefault="00E468F0" w:rsidP="00A467F8">
      <w:pPr>
        <w:pStyle w:val="Textonotapie"/>
        <w:ind w:firstLine="720"/>
        <w:contextualSpacing/>
        <w:jc w:val="both"/>
        <w:rPr>
          <w:rFonts w:ascii="Arial" w:hAnsi="Arial" w:cs="Arial"/>
          <w:color w:val="000000" w:themeColor="text1"/>
          <w:sz w:val="14"/>
          <w:szCs w:val="14"/>
        </w:rPr>
      </w:pPr>
      <w:r w:rsidRPr="00B208E1">
        <w:rPr>
          <w:rStyle w:val="Refdenotaalpie"/>
          <w:rFonts w:ascii="Arial" w:hAnsi="Arial" w:cs="Arial"/>
          <w:color w:val="000000" w:themeColor="text1"/>
          <w:sz w:val="14"/>
          <w:szCs w:val="14"/>
        </w:rPr>
        <w:footnoteRef/>
      </w:r>
      <w:r w:rsidRPr="00B208E1">
        <w:rPr>
          <w:rFonts w:ascii="Arial" w:hAnsi="Arial" w:cs="Arial"/>
          <w:color w:val="000000" w:themeColor="text1"/>
          <w:sz w:val="14"/>
          <w:szCs w:val="14"/>
        </w:rPr>
        <w:t xml:space="preserve"> Corte Constitucional. Sala Plena. Sentencia C 178 de 29 de abril de 1996. Magistrado Ponente: Antonio Barrera Carbonell. Expediente No. D-974. </w:t>
      </w:r>
    </w:p>
    <w:p w14:paraId="36AA471B" w14:textId="77777777" w:rsidR="00E468F0" w:rsidRPr="00B208E1" w:rsidRDefault="00E468F0" w:rsidP="00A467F8">
      <w:pPr>
        <w:pStyle w:val="Textonotapie"/>
        <w:ind w:firstLine="720"/>
        <w:contextualSpacing/>
        <w:jc w:val="both"/>
        <w:rPr>
          <w:rFonts w:ascii="Arial" w:hAnsi="Arial" w:cs="Arial"/>
          <w:color w:val="000000" w:themeColor="text1"/>
          <w:sz w:val="14"/>
          <w:szCs w:val="14"/>
          <w:lang w:val="es-CO"/>
        </w:rPr>
      </w:pPr>
    </w:p>
  </w:footnote>
  <w:footnote w:id="11">
    <w:p w14:paraId="3D76A82E" w14:textId="77777777" w:rsidR="00E468F0" w:rsidRPr="00B208E1" w:rsidRDefault="00E468F0" w:rsidP="00A467F8">
      <w:pPr>
        <w:spacing w:after="0" w:line="240" w:lineRule="auto"/>
        <w:ind w:firstLine="420"/>
        <w:contextualSpacing/>
        <w:jc w:val="both"/>
        <w:rPr>
          <w:rFonts w:ascii="Arial" w:hAnsi="Arial" w:cs="Arial"/>
          <w:color w:val="000000" w:themeColor="text1"/>
          <w:sz w:val="14"/>
          <w:szCs w:val="14"/>
        </w:rPr>
      </w:pPr>
      <w:r w:rsidRPr="00B208E1">
        <w:rPr>
          <w:rStyle w:val="Refdenotaalpie"/>
          <w:rFonts w:ascii="Arial" w:hAnsi="Arial" w:cs="Arial"/>
          <w:color w:val="000000" w:themeColor="text1"/>
          <w:sz w:val="14"/>
          <w:szCs w:val="14"/>
        </w:rPr>
        <w:footnoteRef/>
      </w:r>
      <w:r w:rsidRPr="00B208E1">
        <w:rPr>
          <w:rFonts w:ascii="Arial" w:hAnsi="Arial" w:cs="Arial"/>
          <w:color w:val="000000" w:themeColor="text1"/>
          <w:sz w:val="14"/>
          <w:szCs w:val="14"/>
        </w:rPr>
        <w:t xml:space="preserve"> “Artículo 6o. De la capacidad para contratar. Pueden celebrar contratos con las entidades estatales las personas consideradas legalmente capaces en las disposiciones vigentes”.</w:t>
      </w:r>
    </w:p>
    <w:p w14:paraId="0C1ED098" w14:textId="77777777" w:rsidR="00E468F0" w:rsidRPr="00B208E1" w:rsidRDefault="00E468F0" w:rsidP="00A467F8">
      <w:pPr>
        <w:pStyle w:val="Textonotapie"/>
        <w:contextualSpacing/>
        <w:jc w:val="both"/>
        <w:rPr>
          <w:rFonts w:ascii="Arial" w:hAnsi="Arial" w:cs="Arial"/>
          <w:color w:val="000000" w:themeColor="text1"/>
          <w:sz w:val="14"/>
          <w:szCs w:val="14"/>
        </w:rPr>
      </w:pPr>
    </w:p>
  </w:footnote>
  <w:footnote w:id="12">
    <w:p w14:paraId="15350F91" w14:textId="77777777" w:rsidR="00E468F0" w:rsidRPr="00B208E1" w:rsidRDefault="00E468F0" w:rsidP="00A467F8">
      <w:pPr>
        <w:pStyle w:val="Textonotapie"/>
        <w:ind w:firstLine="408"/>
        <w:contextualSpacing/>
        <w:jc w:val="both"/>
        <w:rPr>
          <w:rFonts w:ascii="Arial" w:hAnsi="Arial" w:cs="Arial"/>
          <w:color w:val="000000" w:themeColor="text1"/>
          <w:sz w:val="14"/>
          <w:szCs w:val="14"/>
        </w:rPr>
      </w:pPr>
      <w:r w:rsidRPr="00B208E1">
        <w:rPr>
          <w:rStyle w:val="Refdenotaalpie"/>
          <w:rFonts w:ascii="Arial" w:hAnsi="Arial" w:cs="Arial"/>
          <w:color w:val="000000" w:themeColor="text1"/>
          <w:sz w:val="14"/>
          <w:szCs w:val="14"/>
        </w:rPr>
        <w:footnoteRef/>
      </w:r>
      <w:r w:rsidRPr="00B208E1">
        <w:rPr>
          <w:rFonts w:ascii="Arial" w:hAnsi="Arial" w:cs="Arial"/>
          <w:color w:val="000000" w:themeColor="text1"/>
          <w:sz w:val="14"/>
          <w:szCs w:val="14"/>
        </w:rPr>
        <w:t xml:space="preserve"> Consejo de Estado. Sala de Consulta y Servicio Civil. Consejero Ponente: Álvaro Namén Vargas. Bogotá, 10 de agosto de 2015. Radicación número: 11001-03-06-000-2015-00118-00(2.260).</w:t>
      </w:r>
    </w:p>
    <w:p w14:paraId="2FA2F7EE" w14:textId="77777777" w:rsidR="00E468F0" w:rsidRPr="00B208E1" w:rsidRDefault="00E468F0" w:rsidP="00A467F8">
      <w:pPr>
        <w:pStyle w:val="Textonotapie"/>
        <w:ind w:firstLine="408"/>
        <w:contextualSpacing/>
        <w:jc w:val="both"/>
        <w:rPr>
          <w:rFonts w:ascii="Arial" w:hAnsi="Arial" w:cs="Arial"/>
          <w:color w:val="000000" w:themeColor="text1"/>
          <w:sz w:val="14"/>
          <w:szCs w:val="14"/>
          <w:lang w:val="es-CO"/>
        </w:rPr>
      </w:pPr>
    </w:p>
  </w:footnote>
  <w:footnote w:id="13">
    <w:p w14:paraId="1A0E3F87" w14:textId="765DA581" w:rsidR="00E468F0" w:rsidRPr="00B208E1" w:rsidRDefault="00E468F0" w:rsidP="00A467F8">
      <w:pPr>
        <w:pStyle w:val="Textonotapie"/>
        <w:ind w:firstLine="709"/>
        <w:contextualSpacing/>
        <w:jc w:val="both"/>
        <w:rPr>
          <w:rFonts w:ascii="Arial" w:hAnsi="Arial" w:cs="Arial"/>
          <w:color w:val="000000" w:themeColor="text1"/>
          <w:sz w:val="14"/>
          <w:szCs w:val="14"/>
          <w:lang w:val="es-ES"/>
        </w:rPr>
      </w:pPr>
      <w:r w:rsidRPr="00B208E1">
        <w:rPr>
          <w:rStyle w:val="Refdenotaalpie"/>
          <w:rFonts w:ascii="Arial" w:hAnsi="Arial" w:cs="Arial"/>
          <w:color w:val="000000" w:themeColor="text1"/>
          <w:sz w:val="14"/>
          <w:szCs w:val="14"/>
        </w:rPr>
        <w:footnoteRef/>
      </w:r>
      <w:r w:rsidRPr="00B208E1">
        <w:rPr>
          <w:rFonts w:ascii="Arial" w:hAnsi="Arial" w:cs="Arial"/>
          <w:color w:val="000000" w:themeColor="text1"/>
          <w:sz w:val="14"/>
          <w:szCs w:val="14"/>
        </w:rPr>
        <w:t xml:space="preserve"> </w:t>
      </w:r>
      <w:r w:rsidRPr="00B208E1">
        <w:rPr>
          <w:rFonts w:ascii="Arial" w:hAnsi="Arial" w:cs="Arial"/>
          <w:color w:val="000000" w:themeColor="text1"/>
          <w:sz w:val="14"/>
          <w:szCs w:val="14"/>
          <w:lang w:val="es-ES"/>
        </w:rPr>
        <w:t xml:space="preserve">Esta norma establece: </w:t>
      </w:r>
      <w:r w:rsidR="00B8507C" w:rsidRPr="00B208E1">
        <w:rPr>
          <w:rFonts w:ascii="Arial" w:hAnsi="Arial" w:cs="Arial"/>
          <w:color w:val="000000" w:themeColor="text1"/>
          <w:sz w:val="14"/>
          <w:szCs w:val="14"/>
          <w:lang w:val="es-ES"/>
        </w:rPr>
        <w:t>“</w:t>
      </w:r>
      <w:r w:rsidRPr="00B208E1">
        <w:rPr>
          <w:rFonts w:ascii="Arial" w:hAnsi="Arial" w:cs="Arial"/>
          <w:color w:val="000000" w:themeColor="text1"/>
          <w:sz w:val="14"/>
          <w:szCs w:val="14"/>
          <w:lang w:val="es-ES"/>
        </w:rPr>
        <w:t>Con el propósito de reducir los trámites ante el Estado, el registro mercantil y el registro único de proponentes se integrarán en el Registro Único Empresarial, a cargo de las Cámaras de Comercio, el cual tendrá validez general para todos los trámites, gestiones y obligaciones, sin perjuicio de lo previsto en las disposiciones especiales sobre materias tributarias, arancelarias y sanitarias.</w:t>
      </w:r>
    </w:p>
    <w:p w14:paraId="2FA7DE42" w14:textId="67CDEA14" w:rsidR="00E468F0" w:rsidRPr="00B208E1" w:rsidRDefault="00E468F0" w:rsidP="00A467F8">
      <w:pPr>
        <w:pStyle w:val="Textonotapie"/>
        <w:ind w:firstLine="709"/>
        <w:contextualSpacing/>
        <w:jc w:val="both"/>
        <w:rPr>
          <w:rFonts w:ascii="Arial" w:hAnsi="Arial" w:cs="Arial"/>
          <w:color w:val="000000" w:themeColor="text1"/>
          <w:sz w:val="14"/>
          <w:szCs w:val="14"/>
          <w:lang w:val="es-ES"/>
        </w:rPr>
      </w:pPr>
      <w:r w:rsidRPr="00B208E1">
        <w:rPr>
          <w:rFonts w:ascii="Arial" w:hAnsi="Arial" w:cs="Arial"/>
          <w:color w:val="000000" w:themeColor="text1"/>
          <w:sz w:val="14"/>
          <w:szCs w:val="14"/>
          <w:lang w:val="es-ES"/>
        </w:rPr>
        <w:t>Atendiendo criterios de eficacia, economía, buena fe, simplificación y facilitación de la actividad empresarial, la Superintendencia de Industria y Comercio, regulará la organización y funcionamiento del Registro Único Empresarial, garantizando que, específicamente, se reduzcan los trámites, requisitos, e información a cargo de las micro, pequeñas y medianas empresas, y que todas las gestiones se puedan adelantar, además, por internet y otras formas electrónicas.</w:t>
      </w:r>
    </w:p>
    <w:p w14:paraId="56065700" w14:textId="6199E239" w:rsidR="00E468F0" w:rsidRPr="00B208E1" w:rsidRDefault="00E468F0" w:rsidP="00A467F8">
      <w:pPr>
        <w:pStyle w:val="Textonotapie"/>
        <w:ind w:firstLine="709"/>
        <w:contextualSpacing/>
        <w:jc w:val="both"/>
        <w:rPr>
          <w:rFonts w:ascii="Arial" w:hAnsi="Arial" w:cs="Arial"/>
          <w:color w:val="000000" w:themeColor="text1"/>
          <w:sz w:val="14"/>
          <w:szCs w:val="14"/>
          <w:lang w:val="es-ES"/>
        </w:rPr>
      </w:pPr>
      <w:r w:rsidRPr="00B208E1">
        <w:rPr>
          <w:rFonts w:ascii="Arial" w:hAnsi="Arial" w:cs="Arial"/>
          <w:color w:val="000000" w:themeColor="text1"/>
          <w:sz w:val="14"/>
          <w:szCs w:val="14"/>
          <w:lang w:val="es-ES"/>
        </w:rPr>
        <w:t>PARÁGRAFO. La regulación que realice la Superintendencia de Industria y Comercio deberá, en todo caso, hacerse en armonía con las disposiciones estatutarias y con las contenidas en códigos, respecto de los registros de que trata el presente artículo</w:t>
      </w:r>
      <w:r w:rsidR="0073118B" w:rsidRPr="00B208E1">
        <w:rPr>
          <w:rFonts w:ascii="Arial" w:hAnsi="Arial" w:cs="Arial"/>
          <w:color w:val="000000" w:themeColor="text1"/>
          <w:sz w:val="14"/>
          <w:szCs w:val="14"/>
          <w:lang w:val="es-ES"/>
        </w:rPr>
        <w:t>”</w:t>
      </w:r>
      <w:r w:rsidRPr="00B208E1">
        <w:rPr>
          <w:rFonts w:ascii="Arial" w:hAnsi="Arial" w:cs="Arial"/>
          <w:color w:val="000000" w:themeColor="text1"/>
          <w:sz w:val="14"/>
          <w:szCs w:val="14"/>
          <w:lang w:val="es-ES"/>
        </w:rPr>
        <w:t>.</w:t>
      </w:r>
    </w:p>
    <w:p w14:paraId="4C4490B6" w14:textId="77777777" w:rsidR="00E468F0" w:rsidRPr="00B208E1" w:rsidRDefault="00E468F0" w:rsidP="00A467F8">
      <w:pPr>
        <w:pStyle w:val="Textonotapie"/>
        <w:ind w:firstLine="709"/>
        <w:contextualSpacing/>
        <w:jc w:val="both"/>
        <w:rPr>
          <w:rFonts w:ascii="Arial" w:hAnsi="Arial" w:cs="Arial"/>
          <w:color w:val="000000" w:themeColor="text1"/>
          <w:sz w:val="14"/>
          <w:szCs w:val="14"/>
        </w:rPr>
      </w:pPr>
    </w:p>
  </w:footnote>
  <w:footnote w:id="14">
    <w:p w14:paraId="7D707DAA" w14:textId="6C8AD0F6" w:rsidR="00E468F0" w:rsidRPr="00B208E1" w:rsidRDefault="00E468F0" w:rsidP="00A467F8">
      <w:pPr>
        <w:pStyle w:val="Textonotapie"/>
        <w:ind w:firstLine="709"/>
        <w:contextualSpacing/>
        <w:jc w:val="both"/>
        <w:rPr>
          <w:rFonts w:ascii="Arial" w:hAnsi="Arial" w:cs="Arial"/>
          <w:color w:val="000000" w:themeColor="text1"/>
          <w:sz w:val="14"/>
          <w:szCs w:val="14"/>
          <w:lang w:val="es-ES"/>
        </w:rPr>
      </w:pPr>
      <w:r w:rsidRPr="00B208E1">
        <w:rPr>
          <w:rStyle w:val="Refdenotaalpie"/>
          <w:rFonts w:ascii="Arial" w:hAnsi="Arial" w:cs="Arial"/>
          <w:color w:val="000000" w:themeColor="text1"/>
          <w:sz w:val="14"/>
          <w:szCs w:val="14"/>
        </w:rPr>
        <w:footnoteRef/>
      </w:r>
      <w:r w:rsidRPr="00B208E1">
        <w:rPr>
          <w:rFonts w:ascii="Arial" w:hAnsi="Arial" w:cs="Arial"/>
          <w:color w:val="000000" w:themeColor="text1"/>
          <w:sz w:val="14"/>
          <w:szCs w:val="14"/>
        </w:rPr>
        <w:t xml:space="preserve"> Según esta disposición: </w:t>
      </w:r>
      <w:r w:rsidR="00B8507C" w:rsidRPr="00B208E1">
        <w:rPr>
          <w:rFonts w:ascii="Arial" w:hAnsi="Arial" w:cs="Arial"/>
          <w:color w:val="000000" w:themeColor="text1"/>
          <w:sz w:val="14"/>
          <w:szCs w:val="14"/>
          <w:lang w:val="es-ES"/>
        </w:rPr>
        <w:t>“</w:t>
      </w:r>
      <w:r w:rsidRPr="00B208E1">
        <w:rPr>
          <w:rFonts w:ascii="Arial" w:hAnsi="Arial" w:cs="Arial"/>
          <w:color w:val="000000" w:themeColor="text1"/>
          <w:sz w:val="14"/>
          <w:szCs w:val="14"/>
          <w:lang w:val="es-ES"/>
        </w:rPr>
        <w:t>Al Registro Único Empresarial (RUE) de que trata el artículo 11 de la Ley 590 de 2000, que integró el Registro Mercantil y el Registro Único de Proponentes, se incorporarán e integrarán las operaciones del Registro de Entidades sin Ánimo de Lucro creado por el Decreto 2150 de 1995, del Registro Nacional Público de las personas naturales y jurídicas que ejerzan la actividad de vendedores de Juegos de Suerte y Azar de que trata la Ley 643 de 2001, del Registro Público de Veedurías Ciudadanas de que trata la Ley 850 de 2003, del Registro Nacional de Turismo de que trata la Ley 1101 de 2006, del Registro de Entidades Extranjeras de Derecho Privado sin Ánimo de Lucro con domicilio en el exterior que establezcan negocios permanentes en Colombia de que trata el Decreto 2893 de 2011, y del Registro de la Economía Solidaria de que trata la Ley 454 de 1998, que en lo sucesivo se denominará Registro Único Empresarial y Social -RUES-, el cual será administrado por las Cámaras de Comercio atendiendo a criterios de eficiencia, economía y buena fe, para brindar al Estado, a la sociedad en general, a los empresarios, a los contratistas, a las entidades de economía solidaria y a las entidades sin ánimo de lucro una herramienta confiable de información unificada tanto en el orden nacional como en el internacional.</w:t>
      </w:r>
    </w:p>
    <w:p w14:paraId="5F91E402" w14:textId="3B98A8C1" w:rsidR="00E468F0" w:rsidRPr="00B208E1" w:rsidRDefault="0073118B" w:rsidP="00A467F8">
      <w:pPr>
        <w:pStyle w:val="Textonotapie"/>
        <w:ind w:firstLine="709"/>
        <w:contextualSpacing/>
        <w:jc w:val="both"/>
        <w:rPr>
          <w:rFonts w:ascii="Arial" w:hAnsi="Arial" w:cs="Arial"/>
          <w:color w:val="000000" w:themeColor="text1"/>
          <w:sz w:val="14"/>
          <w:szCs w:val="14"/>
          <w:lang w:val="es-ES"/>
        </w:rPr>
      </w:pPr>
      <w:r w:rsidRPr="00B208E1">
        <w:rPr>
          <w:rFonts w:ascii="Arial" w:hAnsi="Arial" w:cs="Arial"/>
          <w:color w:val="000000" w:themeColor="text1"/>
          <w:sz w:val="14"/>
          <w:szCs w:val="14"/>
          <w:lang w:val="es-ES"/>
        </w:rPr>
        <w:t>“</w:t>
      </w:r>
      <w:r w:rsidR="00E468F0" w:rsidRPr="00B208E1">
        <w:rPr>
          <w:rFonts w:ascii="Arial" w:hAnsi="Arial" w:cs="Arial"/>
          <w:color w:val="000000" w:themeColor="text1"/>
          <w:sz w:val="14"/>
          <w:szCs w:val="14"/>
          <w:lang w:val="es-ES"/>
        </w:rPr>
        <w:t>Con el objeto de mantener la actualización del registro y garantizar la eficacia del mismo, la inscripción en los registros que integran el Registro Único Empresarial y Social, y el titular del registro renovará anualmente dentro de los tres primeros meses de cada año. El organismo que ejerza el control y vigilancia de las cámaras de comercio establecerá los formatos y la información requerida para inscripción en el registro y la renovación de la misma. Los registros mercantil y de proponentes continuarán renovándose de acuerdo con las reglas vigentes.</w:t>
      </w:r>
    </w:p>
    <w:p w14:paraId="7AE5074D" w14:textId="041DF434" w:rsidR="00E468F0" w:rsidRPr="00B208E1" w:rsidRDefault="0073118B" w:rsidP="00A467F8">
      <w:pPr>
        <w:pStyle w:val="Textonotapie"/>
        <w:ind w:firstLine="709"/>
        <w:contextualSpacing/>
        <w:jc w:val="both"/>
        <w:rPr>
          <w:rFonts w:ascii="Arial" w:hAnsi="Arial" w:cs="Arial"/>
          <w:color w:val="000000" w:themeColor="text1"/>
          <w:sz w:val="14"/>
          <w:szCs w:val="14"/>
          <w:lang w:val="es-ES"/>
        </w:rPr>
      </w:pPr>
      <w:r w:rsidRPr="00B208E1">
        <w:rPr>
          <w:rFonts w:ascii="Arial" w:hAnsi="Arial" w:cs="Arial"/>
          <w:color w:val="000000" w:themeColor="text1"/>
          <w:sz w:val="14"/>
          <w:szCs w:val="14"/>
          <w:lang w:val="es-ES"/>
        </w:rPr>
        <w:t>“</w:t>
      </w:r>
      <w:r w:rsidR="00E468F0" w:rsidRPr="00B208E1">
        <w:rPr>
          <w:rFonts w:ascii="Arial" w:hAnsi="Arial" w:cs="Arial"/>
          <w:color w:val="000000" w:themeColor="text1"/>
          <w:sz w:val="14"/>
          <w:szCs w:val="14"/>
          <w:lang w:val="es-ES"/>
        </w:rPr>
        <w:t>El organismo que ejerza el control y vigilancia de las cámaras de comercio regulará la integración e implementación del Registro Único Empresarial y Social, garantizando que, específicamente, se reduzcan los trámites, requisitos e información a cargo de todos los usuarios de los registros públicos y que todas las gestiones se puedan adelantar, además, por internet y otras formas electrónicas. La regulación que realice la autoridad competente deberá, en todo caso, hacerse en armonía con las disposiciones estatutarias y con las contenidas en códigos, respecto de los registros de que trata el presente artículo.</w:t>
      </w:r>
    </w:p>
    <w:p w14:paraId="3F56085D" w14:textId="615F1C84" w:rsidR="00E468F0" w:rsidRPr="00B208E1" w:rsidRDefault="0073118B" w:rsidP="00A467F8">
      <w:pPr>
        <w:pStyle w:val="Textonotapie"/>
        <w:ind w:firstLine="709"/>
        <w:contextualSpacing/>
        <w:jc w:val="both"/>
        <w:rPr>
          <w:rFonts w:ascii="Arial" w:hAnsi="Arial" w:cs="Arial"/>
          <w:color w:val="000000" w:themeColor="text1"/>
          <w:sz w:val="14"/>
          <w:szCs w:val="14"/>
          <w:lang w:val="es-ES"/>
        </w:rPr>
      </w:pPr>
      <w:r w:rsidRPr="00B208E1">
        <w:rPr>
          <w:rFonts w:ascii="Arial" w:hAnsi="Arial" w:cs="Arial"/>
          <w:color w:val="000000" w:themeColor="text1"/>
          <w:sz w:val="14"/>
          <w:szCs w:val="14"/>
          <w:lang w:val="es-ES"/>
        </w:rPr>
        <w:t>“</w:t>
      </w:r>
      <w:r w:rsidR="00E468F0" w:rsidRPr="00B208E1">
        <w:rPr>
          <w:rFonts w:ascii="Arial" w:hAnsi="Arial" w:cs="Arial"/>
          <w:color w:val="000000" w:themeColor="text1"/>
          <w:sz w:val="14"/>
          <w:szCs w:val="14"/>
          <w:lang w:val="es-ES"/>
        </w:rPr>
        <w:t>Los derechos por la prestación de los servicios registrales serán los previstos por la ley para el registro mercantil, el registro único de proponentes y el registro de entidades sin ánimo de lucro, según el caso. Las Cámaras de Comercio no podrán cobrar derechos de inscripción y renovación sobre los registros que se le trasladan en virtud del presente decreto-ley y que a la vigencia del mismo no los causan.</w:t>
      </w:r>
    </w:p>
    <w:p w14:paraId="628BA722" w14:textId="57938531" w:rsidR="00E468F0" w:rsidRPr="00B208E1" w:rsidRDefault="0073118B" w:rsidP="00A467F8">
      <w:pPr>
        <w:pStyle w:val="Textonotapie"/>
        <w:ind w:firstLine="709"/>
        <w:contextualSpacing/>
        <w:jc w:val="both"/>
        <w:rPr>
          <w:rFonts w:ascii="Arial" w:hAnsi="Arial" w:cs="Arial"/>
          <w:color w:val="000000" w:themeColor="text1"/>
          <w:sz w:val="14"/>
          <w:szCs w:val="14"/>
          <w:lang w:val="es-ES"/>
        </w:rPr>
      </w:pPr>
      <w:r w:rsidRPr="00B208E1">
        <w:rPr>
          <w:rFonts w:ascii="Arial" w:hAnsi="Arial" w:cs="Arial"/>
          <w:color w:val="000000" w:themeColor="text1"/>
          <w:sz w:val="14"/>
          <w:szCs w:val="14"/>
          <w:lang w:val="es-ES"/>
        </w:rPr>
        <w:t>“</w:t>
      </w:r>
      <w:r w:rsidR="00E468F0" w:rsidRPr="00B208E1">
        <w:rPr>
          <w:rFonts w:ascii="Arial" w:hAnsi="Arial" w:cs="Arial"/>
          <w:color w:val="000000" w:themeColor="text1"/>
          <w:sz w:val="14"/>
          <w:szCs w:val="14"/>
          <w:lang w:val="es-ES"/>
        </w:rPr>
        <w:t>Los ingresos provenientes de los registros públicos y los bienes adquiridos con éstos, continuarán afectos a las funciones atribuidas a las Cámaras de Comercio por la ley o por el Gobierno Nacional en aplicación del numeral 12 del artículo 86 del Código de Comercio. En ningún caso los recursos de origen público podrán destinarse para sufragar operaciones o gastos privados de las Cámaras de Comercio. Los registros públicos que se le trasladan a las Cámaras de Comercio serán asumidos por éstas a partir del primero (1o.) de marzo de 2012</w:t>
      </w:r>
      <w:r w:rsidRPr="00B208E1">
        <w:rPr>
          <w:rFonts w:ascii="Arial" w:hAnsi="Arial" w:cs="Arial"/>
          <w:color w:val="000000" w:themeColor="text1"/>
          <w:sz w:val="14"/>
          <w:szCs w:val="14"/>
          <w:lang w:val="es-ES"/>
        </w:rPr>
        <w:t>”</w:t>
      </w:r>
      <w:r w:rsidR="00E468F0" w:rsidRPr="00B208E1">
        <w:rPr>
          <w:rFonts w:ascii="Arial" w:hAnsi="Arial" w:cs="Arial"/>
          <w:color w:val="000000" w:themeColor="text1"/>
          <w:sz w:val="14"/>
          <w:szCs w:val="14"/>
          <w:lang w:val="es-ES"/>
        </w:rPr>
        <w:t>.</w:t>
      </w:r>
    </w:p>
    <w:p w14:paraId="2297AAE8" w14:textId="77777777" w:rsidR="00E468F0" w:rsidRPr="00B208E1" w:rsidRDefault="00E468F0" w:rsidP="00A467F8">
      <w:pPr>
        <w:pStyle w:val="Textonotapie"/>
        <w:ind w:firstLine="709"/>
        <w:contextualSpacing/>
        <w:jc w:val="both"/>
        <w:rPr>
          <w:rFonts w:ascii="Arial" w:hAnsi="Arial" w:cs="Arial"/>
          <w:color w:val="000000" w:themeColor="text1"/>
          <w:sz w:val="14"/>
          <w:szCs w:val="14"/>
        </w:rPr>
      </w:pPr>
    </w:p>
  </w:footnote>
  <w:footnote w:id="15">
    <w:p w14:paraId="2F843ACF" w14:textId="09660B35" w:rsidR="00E468F0" w:rsidRPr="00B208E1" w:rsidRDefault="00E468F0" w:rsidP="00A467F8">
      <w:pPr>
        <w:pStyle w:val="Textonotapie"/>
        <w:ind w:firstLine="709"/>
        <w:contextualSpacing/>
        <w:jc w:val="both"/>
        <w:rPr>
          <w:rFonts w:ascii="Arial" w:hAnsi="Arial" w:cs="Arial"/>
          <w:color w:val="000000" w:themeColor="text1"/>
          <w:sz w:val="14"/>
          <w:szCs w:val="14"/>
          <w:lang w:val="es-ES"/>
        </w:rPr>
      </w:pPr>
      <w:r w:rsidRPr="00B208E1">
        <w:rPr>
          <w:rStyle w:val="Refdenotaalpie"/>
          <w:rFonts w:ascii="Arial" w:hAnsi="Arial" w:cs="Arial"/>
          <w:color w:val="000000" w:themeColor="text1"/>
          <w:sz w:val="14"/>
          <w:szCs w:val="14"/>
        </w:rPr>
        <w:footnoteRef/>
      </w:r>
      <w:r w:rsidRPr="00B208E1">
        <w:rPr>
          <w:rFonts w:ascii="Arial" w:hAnsi="Arial" w:cs="Arial"/>
          <w:color w:val="000000" w:themeColor="text1"/>
          <w:sz w:val="14"/>
          <w:szCs w:val="14"/>
        </w:rPr>
        <w:t xml:space="preserve"> </w:t>
      </w:r>
      <w:r w:rsidRPr="00B208E1">
        <w:rPr>
          <w:rFonts w:ascii="Arial" w:hAnsi="Arial" w:cs="Arial"/>
          <w:color w:val="000000" w:themeColor="text1"/>
          <w:sz w:val="14"/>
          <w:szCs w:val="14"/>
          <w:lang w:val="es-ES"/>
        </w:rPr>
        <w:t xml:space="preserve">Esta norma establece: </w:t>
      </w:r>
      <w:r w:rsidR="00B8507C" w:rsidRPr="00B208E1">
        <w:rPr>
          <w:rFonts w:ascii="Arial" w:hAnsi="Arial" w:cs="Arial"/>
          <w:color w:val="000000" w:themeColor="text1"/>
          <w:sz w:val="14"/>
          <w:szCs w:val="14"/>
          <w:lang w:val="es-ES"/>
        </w:rPr>
        <w:t>“</w:t>
      </w:r>
      <w:r w:rsidRPr="00B208E1">
        <w:rPr>
          <w:rFonts w:ascii="Arial" w:hAnsi="Arial" w:cs="Arial"/>
          <w:color w:val="000000" w:themeColor="text1"/>
          <w:sz w:val="14"/>
          <w:szCs w:val="14"/>
          <w:lang w:val="es-ES"/>
        </w:rPr>
        <w:t>Con el propósito de reducir los trámites ante el Estado, el registro mercantil y el registro único de proponentes se integrarán en el Registro Único Empresarial, a cargo de las Cámaras de Comercio, el cual tendrá validez general para todos los trámites, gestiones y obligaciones, sin perjuicio de lo previsto en las disposiciones especiales sobre materias tributarias, arancelarias y sanitarias.</w:t>
      </w:r>
    </w:p>
    <w:p w14:paraId="7ED0D756" w14:textId="77777777" w:rsidR="00E468F0" w:rsidRPr="00B208E1" w:rsidRDefault="00E468F0" w:rsidP="00A467F8">
      <w:pPr>
        <w:pStyle w:val="Textonotapie"/>
        <w:ind w:firstLine="709"/>
        <w:contextualSpacing/>
        <w:jc w:val="both"/>
        <w:rPr>
          <w:rFonts w:ascii="Arial" w:hAnsi="Arial" w:cs="Arial"/>
          <w:color w:val="000000" w:themeColor="text1"/>
          <w:sz w:val="14"/>
          <w:szCs w:val="14"/>
          <w:lang w:val="es-ES"/>
        </w:rPr>
      </w:pPr>
      <w:r w:rsidRPr="00B208E1">
        <w:rPr>
          <w:rFonts w:ascii="Arial" w:hAnsi="Arial" w:cs="Arial"/>
          <w:color w:val="000000" w:themeColor="text1"/>
          <w:sz w:val="14"/>
          <w:szCs w:val="14"/>
          <w:lang w:val="es-ES"/>
        </w:rPr>
        <w:t>Atendiendo criterios de eficacia, economía, buena fe, simplificación y facilitación de la actividad empresarial, la Superintendencia de Industria y Comercio, regulará la organización y funcionamiento del Registro Único Empresarial, garantizando que, específicamente, se reduzcan los trámites, requisitos, e información a cargo de las micro, pequeñas y medianas empresas, y que todas las gestiones se puedan adelantar, además, por internet y otras formas electrónicas.</w:t>
      </w:r>
    </w:p>
    <w:p w14:paraId="71F44F4D" w14:textId="58D992D5" w:rsidR="00E468F0" w:rsidRPr="00B208E1" w:rsidRDefault="00E468F0" w:rsidP="00A467F8">
      <w:pPr>
        <w:pStyle w:val="Textonotapie"/>
        <w:ind w:firstLine="709"/>
        <w:contextualSpacing/>
        <w:jc w:val="both"/>
        <w:rPr>
          <w:rFonts w:ascii="Arial" w:hAnsi="Arial" w:cs="Arial"/>
          <w:color w:val="000000" w:themeColor="text1"/>
          <w:sz w:val="14"/>
          <w:szCs w:val="14"/>
          <w:lang w:val="es-ES"/>
        </w:rPr>
      </w:pPr>
      <w:r w:rsidRPr="00B208E1">
        <w:rPr>
          <w:rFonts w:ascii="Arial" w:hAnsi="Arial" w:cs="Arial"/>
          <w:color w:val="000000" w:themeColor="text1"/>
          <w:sz w:val="14"/>
          <w:szCs w:val="14"/>
          <w:lang w:val="es-ES"/>
        </w:rPr>
        <w:t>PARÁGRAFO. La regulación que realice la Superintendencia de Industria y Comercio deberá, en todo caso, hacerse en armonía con las disposiciones estatutarias y con las contenidas en códigos, respecto de los registros de que trata el presente artículo</w:t>
      </w:r>
      <w:r w:rsidR="0073118B" w:rsidRPr="00B208E1">
        <w:rPr>
          <w:rFonts w:ascii="Arial" w:hAnsi="Arial" w:cs="Arial"/>
          <w:color w:val="000000" w:themeColor="text1"/>
          <w:sz w:val="14"/>
          <w:szCs w:val="14"/>
          <w:lang w:val="es-ES"/>
        </w:rPr>
        <w:t>”</w:t>
      </w:r>
      <w:r w:rsidRPr="00B208E1">
        <w:rPr>
          <w:rFonts w:ascii="Arial" w:hAnsi="Arial" w:cs="Arial"/>
          <w:color w:val="000000" w:themeColor="text1"/>
          <w:sz w:val="14"/>
          <w:szCs w:val="14"/>
          <w:lang w:val="es-ES"/>
        </w:rPr>
        <w:t>.</w:t>
      </w:r>
    </w:p>
    <w:p w14:paraId="44932B1E" w14:textId="77777777" w:rsidR="00E468F0" w:rsidRPr="00B208E1" w:rsidRDefault="00E468F0" w:rsidP="00A467F8">
      <w:pPr>
        <w:pStyle w:val="Textonotapie"/>
        <w:ind w:firstLine="709"/>
        <w:contextualSpacing/>
        <w:jc w:val="both"/>
        <w:rPr>
          <w:rFonts w:ascii="Arial" w:hAnsi="Arial" w:cs="Arial"/>
          <w:color w:val="000000" w:themeColor="text1"/>
          <w:sz w:val="14"/>
          <w:szCs w:val="14"/>
        </w:rPr>
      </w:pPr>
    </w:p>
  </w:footnote>
  <w:footnote w:id="16">
    <w:p w14:paraId="5CE9F856" w14:textId="6D387A5F" w:rsidR="00E468F0" w:rsidRPr="00B208E1" w:rsidRDefault="00E468F0" w:rsidP="00A467F8">
      <w:pPr>
        <w:pStyle w:val="Textonotapie"/>
        <w:ind w:firstLine="709"/>
        <w:contextualSpacing/>
        <w:jc w:val="both"/>
        <w:rPr>
          <w:rFonts w:ascii="Arial" w:hAnsi="Arial" w:cs="Arial"/>
          <w:color w:val="000000" w:themeColor="text1"/>
          <w:sz w:val="14"/>
          <w:szCs w:val="14"/>
          <w:lang w:val="es-ES"/>
        </w:rPr>
      </w:pPr>
      <w:r w:rsidRPr="00B208E1">
        <w:rPr>
          <w:rStyle w:val="Refdenotaalpie"/>
          <w:rFonts w:ascii="Arial" w:hAnsi="Arial" w:cs="Arial"/>
          <w:color w:val="000000" w:themeColor="text1"/>
          <w:sz w:val="14"/>
          <w:szCs w:val="14"/>
        </w:rPr>
        <w:footnoteRef/>
      </w:r>
      <w:r w:rsidRPr="00B208E1">
        <w:rPr>
          <w:rFonts w:ascii="Arial" w:hAnsi="Arial" w:cs="Arial"/>
          <w:color w:val="000000" w:themeColor="text1"/>
          <w:sz w:val="14"/>
          <w:szCs w:val="14"/>
        </w:rPr>
        <w:t xml:space="preserve"> </w:t>
      </w:r>
      <w:r w:rsidRPr="00B208E1">
        <w:rPr>
          <w:rFonts w:ascii="Arial" w:hAnsi="Arial" w:cs="Arial"/>
          <w:color w:val="000000" w:themeColor="text1"/>
          <w:sz w:val="14"/>
          <w:szCs w:val="14"/>
          <w:lang w:val="es-ES"/>
        </w:rPr>
        <w:t xml:space="preserve">Esta norma establece: </w:t>
      </w:r>
      <w:r w:rsidR="00B8507C" w:rsidRPr="00B208E1">
        <w:rPr>
          <w:rFonts w:ascii="Arial" w:hAnsi="Arial" w:cs="Arial"/>
          <w:color w:val="000000" w:themeColor="text1"/>
          <w:sz w:val="14"/>
          <w:szCs w:val="14"/>
          <w:lang w:val="es-ES"/>
        </w:rPr>
        <w:t>“</w:t>
      </w:r>
      <w:r w:rsidRPr="00B208E1">
        <w:rPr>
          <w:rFonts w:ascii="Arial" w:hAnsi="Arial" w:cs="Arial"/>
          <w:color w:val="000000" w:themeColor="text1"/>
          <w:sz w:val="14"/>
          <w:szCs w:val="14"/>
          <w:lang w:val="es-ES"/>
        </w:rPr>
        <w:t>Con el propósito de reducir los trámites ante el Estado, el registro mercantil y el registro único de proponentes se integrarán en el Registro Único Empresarial, a cargo de las Cámaras de Comercio, el cual tendrá validez general para todos los trámites, gestiones y obligaciones, sin perjuicio de lo previsto en las disposiciones especiales sobre materias tributarias, arancelarias y sanitarias.</w:t>
      </w:r>
    </w:p>
    <w:p w14:paraId="16E8DE4D" w14:textId="77777777" w:rsidR="00E468F0" w:rsidRPr="00B208E1" w:rsidRDefault="00E468F0" w:rsidP="00A467F8">
      <w:pPr>
        <w:pStyle w:val="Textonotapie"/>
        <w:ind w:firstLine="709"/>
        <w:contextualSpacing/>
        <w:jc w:val="both"/>
        <w:rPr>
          <w:rFonts w:ascii="Arial" w:hAnsi="Arial" w:cs="Arial"/>
          <w:color w:val="000000" w:themeColor="text1"/>
          <w:sz w:val="14"/>
          <w:szCs w:val="14"/>
          <w:lang w:val="es-ES"/>
        </w:rPr>
      </w:pPr>
      <w:r w:rsidRPr="00B208E1">
        <w:rPr>
          <w:rFonts w:ascii="Arial" w:hAnsi="Arial" w:cs="Arial"/>
          <w:color w:val="000000" w:themeColor="text1"/>
          <w:sz w:val="14"/>
          <w:szCs w:val="14"/>
          <w:lang w:val="es-ES"/>
        </w:rPr>
        <w:t>Atendiendo criterios de eficacia, economía, buena fe, simplificación y facilitación de la actividad empresarial, la Superintendencia de Industria y Comercio, regulará la organización y funcionamiento del Registro Único Empresarial, garantizando que, específicamente, se reduzcan los trámites, requisitos, e información a cargo de las micro, pequeñas y medianas empresas, y que todas las gestiones se puedan adelantar, además, por internet y otras formas electrónicas.</w:t>
      </w:r>
    </w:p>
    <w:p w14:paraId="7EA4E864" w14:textId="77777777" w:rsidR="00E468F0" w:rsidRPr="00B208E1" w:rsidRDefault="00E468F0" w:rsidP="00A467F8">
      <w:pPr>
        <w:pStyle w:val="Textonotapie"/>
        <w:ind w:firstLine="709"/>
        <w:contextualSpacing/>
        <w:jc w:val="both"/>
        <w:rPr>
          <w:rFonts w:ascii="Arial" w:hAnsi="Arial" w:cs="Arial"/>
          <w:color w:val="000000" w:themeColor="text1"/>
          <w:sz w:val="14"/>
          <w:szCs w:val="14"/>
          <w:lang w:val="es-ES"/>
        </w:rPr>
      </w:pPr>
    </w:p>
    <w:p w14:paraId="17743BEB" w14:textId="7516FC44" w:rsidR="00E468F0" w:rsidRPr="00B208E1" w:rsidRDefault="00E468F0" w:rsidP="00A467F8">
      <w:pPr>
        <w:pStyle w:val="Textonotapie"/>
        <w:ind w:firstLine="709"/>
        <w:contextualSpacing/>
        <w:jc w:val="both"/>
        <w:rPr>
          <w:rFonts w:ascii="Arial" w:hAnsi="Arial" w:cs="Arial"/>
          <w:color w:val="000000" w:themeColor="text1"/>
          <w:sz w:val="14"/>
          <w:szCs w:val="14"/>
          <w:lang w:val="es-ES"/>
        </w:rPr>
      </w:pPr>
      <w:r w:rsidRPr="00B208E1">
        <w:rPr>
          <w:rFonts w:ascii="Arial" w:hAnsi="Arial" w:cs="Arial"/>
          <w:color w:val="000000" w:themeColor="text1"/>
          <w:sz w:val="14"/>
          <w:szCs w:val="14"/>
          <w:lang w:val="es-ES"/>
        </w:rPr>
        <w:t>PARÁGRAFO. La regulación que realice la Superintendencia de Industria y Comercio deberá, en todo caso, hacerse en armonía con las disposiciones estatutarias y con las contenidas en códigos, respecto de los registros de que trata el presente artículo</w:t>
      </w:r>
      <w:r w:rsidR="0073118B" w:rsidRPr="00B208E1">
        <w:rPr>
          <w:rFonts w:ascii="Arial" w:hAnsi="Arial" w:cs="Arial"/>
          <w:color w:val="000000" w:themeColor="text1"/>
          <w:sz w:val="14"/>
          <w:szCs w:val="14"/>
          <w:lang w:val="es-ES"/>
        </w:rPr>
        <w:t>”</w:t>
      </w:r>
      <w:r w:rsidRPr="00B208E1">
        <w:rPr>
          <w:rFonts w:ascii="Arial" w:hAnsi="Arial" w:cs="Arial"/>
          <w:color w:val="000000" w:themeColor="text1"/>
          <w:sz w:val="14"/>
          <w:szCs w:val="14"/>
          <w:lang w:val="es-ES"/>
        </w:rPr>
        <w:t>.</w:t>
      </w:r>
    </w:p>
    <w:p w14:paraId="612B55F3" w14:textId="77777777" w:rsidR="00E468F0" w:rsidRPr="00B208E1" w:rsidRDefault="00E468F0" w:rsidP="00A467F8">
      <w:pPr>
        <w:pStyle w:val="Textonotapie"/>
        <w:ind w:firstLine="709"/>
        <w:contextualSpacing/>
        <w:jc w:val="both"/>
        <w:rPr>
          <w:rFonts w:ascii="Arial" w:hAnsi="Arial" w:cs="Arial"/>
          <w:color w:val="000000" w:themeColor="text1"/>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65505171">
    <w:abstractNumId w:val="3"/>
  </w:num>
  <w:num w:numId="2" w16cid:durableId="475613641">
    <w:abstractNumId w:val="1"/>
  </w:num>
  <w:num w:numId="3" w16cid:durableId="318047919">
    <w:abstractNumId w:val="2"/>
  </w:num>
  <w:num w:numId="4" w16cid:durableId="446476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6893064">
    <w:abstractNumId w:val="1"/>
  </w:num>
  <w:num w:numId="6" w16cid:durableId="662590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520F1"/>
    <w:rsid w:val="000A683E"/>
    <w:rsid w:val="000B19B9"/>
    <w:rsid w:val="000D0334"/>
    <w:rsid w:val="000D3424"/>
    <w:rsid w:val="000F1A76"/>
    <w:rsid w:val="000F6486"/>
    <w:rsid w:val="00125105"/>
    <w:rsid w:val="00127233"/>
    <w:rsid w:val="00130AF7"/>
    <w:rsid w:val="001438B3"/>
    <w:rsid w:val="001E4177"/>
    <w:rsid w:val="002951A0"/>
    <w:rsid w:val="002962BC"/>
    <w:rsid w:val="002A093D"/>
    <w:rsid w:val="002A452A"/>
    <w:rsid w:val="002A49AC"/>
    <w:rsid w:val="002A64FD"/>
    <w:rsid w:val="002C7A84"/>
    <w:rsid w:val="003448F4"/>
    <w:rsid w:val="003A779E"/>
    <w:rsid w:val="003D0F4D"/>
    <w:rsid w:val="003E0499"/>
    <w:rsid w:val="003E22D4"/>
    <w:rsid w:val="003F3941"/>
    <w:rsid w:val="00400548"/>
    <w:rsid w:val="00450E0E"/>
    <w:rsid w:val="00473C27"/>
    <w:rsid w:val="004A1847"/>
    <w:rsid w:val="004A305D"/>
    <w:rsid w:val="004C39C3"/>
    <w:rsid w:val="004F21C4"/>
    <w:rsid w:val="004F685F"/>
    <w:rsid w:val="00502E57"/>
    <w:rsid w:val="005566E8"/>
    <w:rsid w:val="00574867"/>
    <w:rsid w:val="005C5CDC"/>
    <w:rsid w:val="005D476C"/>
    <w:rsid w:val="00603720"/>
    <w:rsid w:val="006219F8"/>
    <w:rsid w:val="00665D70"/>
    <w:rsid w:val="006D29A1"/>
    <w:rsid w:val="00706C16"/>
    <w:rsid w:val="00707E21"/>
    <w:rsid w:val="0073118B"/>
    <w:rsid w:val="00756841"/>
    <w:rsid w:val="007649AB"/>
    <w:rsid w:val="007833AC"/>
    <w:rsid w:val="007B7171"/>
    <w:rsid w:val="007C3DC2"/>
    <w:rsid w:val="007E5497"/>
    <w:rsid w:val="007F703C"/>
    <w:rsid w:val="00806F5F"/>
    <w:rsid w:val="00820278"/>
    <w:rsid w:val="00872340"/>
    <w:rsid w:val="008843B6"/>
    <w:rsid w:val="00891928"/>
    <w:rsid w:val="008A446D"/>
    <w:rsid w:val="008C2964"/>
    <w:rsid w:val="008F0EA7"/>
    <w:rsid w:val="00923EEF"/>
    <w:rsid w:val="009419F9"/>
    <w:rsid w:val="009532BC"/>
    <w:rsid w:val="00961B09"/>
    <w:rsid w:val="00965334"/>
    <w:rsid w:val="0097093E"/>
    <w:rsid w:val="009B713A"/>
    <w:rsid w:val="009C71FA"/>
    <w:rsid w:val="009C72E7"/>
    <w:rsid w:val="00A17F13"/>
    <w:rsid w:val="00A20739"/>
    <w:rsid w:val="00A33C78"/>
    <w:rsid w:val="00A467C1"/>
    <w:rsid w:val="00A467F8"/>
    <w:rsid w:val="00A719B1"/>
    <w:rsid w:val="00A73873"/>
    <w:rsid w:val="00AB0ADB"/>
    <w:rsid w:val="00AB0D52"/>
    <w:rsid w:val="00AC2BC8"/>
    <w:rsid w:val="00AF57D3"/>
    <w:rsid w:val="00B208E1"/>
    <w:rsid w:val="00B72CD3"/>
    <w:rsid w:val="00B72FFF"/>
    <w:rsid w:val="00B8507C"/>
    <w:rsid w:val="00B917B5"/>
    <w:rsid w:val="00BD7F72"/>
    <w:rsid w:val="00C04FB3"/>
    <w:rsid w:val="00C330EB"/>
    <w:rsid w:val="00C63D19"/>
    <w:rsid w:val="00C754BE"/>
    <w:rsid w:val="00CB6357"/>
    <w:rsid w:val="00CC1B26"/>
    <w:rsid w:val="00D423A2"/>
    <w:rsid w:val="00D63AC2"/>
    <w:rsid w:val="00D7383B"/>
    <w:rsid w:val="00D73C36"/>
    <w:rsid w:val="00DA231B"/>
    <w:rsid w:val="00DD71A0"/>
    <w:rsid w:val="00E16408"/>
    <w:rsid w:val="00E20894"/>
    <w:rsid w:val="00E245AB"/>
    <w:rsid w:val="00E35D47"/>
    <w:rsid w:val="00E468F0"/>
    <w:rsid w:val="00E50AFE"/>
    <w:rsid w:val="00E771DC"/>
    <w:rsid w:val="00E8772A"/>
    <w:rsid w:val="00E87A7D"/>
    <w:rsid w:val="00E90F6B"/>
    <w:rsid w:val="00E92C27"/>
    <w:rsid w:val="00EA0E3D"/>
    <w:rsid w:val="00EE1AA8"/>
    <w:rsid w:val="00F204AB"/>
    <w:rsid w:val="00F31EDC"/>
    <w:rsid w:val="00F5664F"/>
    <w:rsid w:val="00F76AFC"/>
    <w:rsid w:val="00F9700B"/>
    <w:rsid w:val="00FB5DD1"/>
    <w:rsid w:val="00FC2B5D"/>
    <w:rsid w:val="00FF1449"/>
    <w:rsid w:val="5411EC76"/>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NormalWeb">
    <w:name w:val="Normal (Web)"/>
    <w:basedOn w:val="Normal"/>
    <w:uiPriority w:val="99"/>
    <w:semiHidden/>
    <w:unhideWhenUsed/>
    <w:rsid w:val="00E468F0"/>
    <w:rPr>
      <w:rFonts w:ascii="Times New Roman" w:hAnsi="Times New Roman" w:cs="Times New Roman"/>
      <w:sz w:val="24"/>
      <w:szCs w:val="24"/>
    </w:rPr>
  </w:style>
  <w:style w:type="table" w:customStyle="1" w:styleId="Tablaconcuadrcula1">
    <w:name w:val="Tabla con cuadrícula1"/>
    <w:basedOn w:val="Tablanormal"/>
    <w:next w:val="Tablaconcuadrcula"/>
    <w:uiPriority w:val="59"/>
    <w:rsid w:val="00E468F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E468F0"/>
    <w:pPr>
      <w:spacing w:line="240" w:lineRule="exact"/>
    </w:pPr>
    <w:rPr>
      <w:vertAlign w:val="superscript"/>
    </w:rPr>
  </w:style>
  <w:style w:type="character" w:styleId="Refdecomentario">
    <w:name w:val="annotation reference"/>
    <w:basedOn w:val="Fuentedeprrafopredeter"/>
    <w:uiPriority w:val="99"/>
    <w:semiHidden/>
    <w:unhideWhenUsed/>
    <w:rsid w:val="00E468F0"/>
    <w:rPr>
      <w:sz w:val="16"/>
      <w:szCs w:val="16"/>
    </w:rPr>
  </w:style>
  <w:style w:type="paragraph" w:styleId="Textocomentario">
    <w:name w:val="annotation text"/>
    <w:basedOn w:val="Normal"/>
    <w:link w:val="TextocomentarioCar"/>
    <w:uiPriority w:val="99"/>
    <w:unhideWhenUsed/>
    <w:rsid w:val="00E468F0"/>
    <w:pPr>
      <w:spacing w:after="0" w:line="240" w:lineRule="auto"/>
    </w:pPr>
    <w:rPr>
      <w:rFonts w:ascii="Times New Roman" w:eastAsia="Times New Roman" w:hAnsi="Times New Roman" w:cs="Times New Roman"/>
      <w:sz w:val="20"/>
      <w:szCs w:val="20"/>
      <w:lang w:eastAsia="es-ES_tradnl"/>
    </w:rPr>
  </w:style>
  <w:style w:type="character" w:customStyle="1" w:styleId="TextocomentarioCar">
    <w:name w:val="Texto comentario Car"/>
    <w:basedOn w:val="Fuentedeprrafopredeter"/>
    <w:link w:val="Textocomentario"/>
    <w:uiPriority w:val="99"/>
    <w:rsid w:val="00E468F0"/>
    <w:rPr>
      <w:rFonts w:ascii="Times New Roman" w:eastAsia="Times New Roman" w:hAnsi="Times New Roman" w:cs="Times New Roman"/>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s://colaboracion.dnp.gov.co/CDT/Normatividad/DECRETO%20579%20DEL%2031%20DE%20MAYO%20DE%202021.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cabc2350-70b2-4dba-bb42-96a3175f4d5a"/>
    <ds:schemaRef ds:uri="http://schemas.microsoft.com/office/2006/documentManagement/types"/>
    <ds:schemaRef ds:uri="http://purl.org/dc/terms/"/>
    <ds:schemaRef ds:uri="http://purl.org/dc/dcmitype/"/>
    <ds:schemaRef ds:uri="http://schemas.microsoft.com/office/2006/metadata/properties"/>
    <ds:schemaRef ds:uri="http://schemas.openxmlformats.org/package/2006/metadata/core-properties"/>
    <ds:schemaRef ds:uri="8ae15d26-076e-464e-81a7-6f76a0fb3917"/>
    <ds:schemaRef ds:uri="http://schemas.microsoft.com/office/infopath/2007/PartnerControls"/>
    <ds:schemaRef ds:uri="http://www.w3.org/XML/1998/namespace"/>
    <ds:schemaRef ds:uri="http://purl.org/dc/elements/1.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3FD44CD-56C6-4B94-A08A-86E08B9D580A}"/>
</file>

<file path=docProps/app.xml><?xml version="1.0" encoding="utf-8"?>
<Properties xmlns="http://schemas.openxmlformats.org/officeDocument/2006/extended-properties" xmlns:vt="http://schemas.openxmlformats.org/officeDocument/2006/docPropsVTypes">
  <Template>Normal</Template>
  <TotalTime>29</TotalTime>
  <Pages>17</Pages>
  <Words>6223</Words>
  <Characters>34231</Characters>
  <Application>Microsoft Office Word</Application>
  <DocSecurity>0</DocSecurity>
  <Lines>285</Lines>
  <Paragraphs>80</Paragraphs>
  <ScaleCrop>false</ScaleCrop>
  <Company/>
  <LinksUpToDate>false</LinksUpToDate>
  <CharactersWithSpaces>40374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7</cp:revision>
  <cp:lastPrinted>2023-01-10T21:18:00Z</cp:lastPrinted>
  <dcterms:created xsi:type="dcterms:W3CDTF">2023-08-18T22:37:00Z</dcterms:created>
  <dcterms:modified xsi:type="dcterms:W3CDTF">2023-08-19T04:04:00Z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