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F57B6" w14:textId="77777777" w:rsidR="00C956B8" w:rsidRPr="00582F1F" w:rsidRDefault="00C956B8" w:rsidP="00C956B8">
      <w:pPr>
        <w:spacing w:after="0"/>
        <w:rPr>
          <w:rFonts w:ascii="Verdana" w:hAnsi="Verdana"/>
          <w:sz w:val="24"/>
          <w:szCs w:val="24"/>
        </w:rPr>
      </w:pPr>
      <w:bookmarkStart w:id="0" w:name="_Hlk143780582"/>
      <w:r w:rsidRPr="00582F1F">
        <w:rPr>
          <w:rFonts w:ascii="Verdana" w:hAnsi="Verdana"/>
          <w:b/>
          <w:bCs/>
          <w:color w:val="000000"/>
        </w:rPr>
        <w:t xml:space="preserve">DOCUMENTOS TIPO – Fundamento normativo – Obligatoriedad </w:t>
      </w:r>
    </w:p>
    <w:p w14:paraId="45D49425" w14:textId="77777777" w:rsidR="00C956B8" w:rsidRPr="00C865D4" w:rsidRDefault="00C956B8" w:rsidP="00C956B8">
      <w:pPr>
        <w:spacing w:after="0" w:line="276" w:lineRule="auto"/>
        <w:jc w:val="both"/>
        <w:rPr>
          <w:rFonts w:ascii="Verdana" w:eastAsia="Calibri" w:hAnsi="Verdana" w:cs="Arial"/>
          <w:b/>
          <w:bCs/>
          <w:lang w:val="es-ES_tradnl"/>
        </w:rPr>
      </w:pPr>
    </w:p>
    <w:p w14:paraId="07441DAC" w14:textId="77777777" w:rsidR="00C956B8" w:rsidRPr="00582F1F" w:rsidRDefault="00C956B8" w:rsidP="00C956B8">
      <w:pPr>
        <w:spacing w:after="0" w:line="276" w:lineRule="auto"/>
        <w:jc w:val="both"/>
        <w:rPr>
          <w:rFonts w:ascii="Verdana" w:hAnsi="Verdana" w:cs="Arial"/>
          <w:sz w:val="20"/>
          <w:szCs w:val="20"/>
          <w:lang w:val="es-ES"/>
        </w:rPr>
      </w:pPr>
      <w:r w:rsidRPr="00582F1F">
        <w:rPr>
          <w:rFonts w:ascii="Verdana"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5B32F4DF" w14:textId="77777777" w:rsidR="00C956B8" w:rsidRPr="00C865D4" w:rsidRDefault="00C956B8" w:rsidP="00C956B8">
      <w:pPr>
        <w:spacing w:after="0" w:line="276" w:lineRule="auto"/>
        <w:jc w:val="both"/>
        <w:rPr>
          <w:rFonts w:ascii="Verdana" w:eastAsia="Calibri" w:hAnsi="Verdana" w:cs="Arial"/>
          <w:b/>
          <w:bCs/>
          <w:lang w:val="es-ES_tradnl"/>
        </w:rPr>
      </w:pPr>
    </w:p>
    <w:p w14:paraId="4CE9015A" w14:textId="77777777" w:rsidR="00C956B8" w:rsidRDefault="00C956B8" w:rsidP="00C956B8">
      <w:pPr>
        <w:spacing w:after="0" w:line="276" w:lineRule="auto"/>
        <w:jc w:val="both"/>
        <w:rPr>
          <w:rFonts w:ascii="Verdana" w:eastAsia="Calibri" w:hAnsi="Verdana" w:cs="Arial"/>
          <w:b/>
          <w:bCs/>
          <w:lang w:val="es-ES_tradnl"/>
        </w:rPr>
      </w:pPr>
      <w:r w:rsidRPr="00C865D4">
        <w:rPr>
          <w:rFonts w:ascii="Verdana" w:eastAsia="Calibri" w:hAnsi="Verdana" w:cs="Arial"/>
          <w:b/>
          <w:bCs/>
          <w:lang w:val="es-ES_tradnl"/>
        </w:rPr>
        <w:t>DOCUMENTOS TIPO –</w:t>
      </w:r>
      <w:r>
        <w:rPr>
          <w:rFonts w:ascii="Verdana" w:eastAsia="Calibri" w:hAnsi="Verdana" w:cs="Arial"/>
          <w:b/>
          <w:bCs/>
          <w:lang w:val="es-ES_tradnl"/>
        </w:rPr>
        <w:t xml:space="preserve"> Infraestructura social – Cultura, recreación y deporte</w:t>
      </w:r>
    </w:p>
    <w:p w14:paraId="21E5BA94" w14:textId="77777777" w:rsidR="00C956B8" w:rsidRDefault="00C956B8" w:rsidP="00C956B8">
      <w:pPr>
        <w:spacing w:after="0" w:line="276" w:lineRule="auto"/>
        <w:jc w:val="both"/>
        <w:rPr>
          <w:rFonts w:ascii="Verdana" w:eastAsia="Calibri" w:hAnsi="Verdana" w:cs="Arial"/>
          <w:b/>
          <w:bCs/>
          <w:lang w:val="es-ES_tradnl"/>
        </w:rPr>
      </w:pPr>
    </w:p>
    <w:p w14:paraId="0533944A" w14:textId="77777777" w:rsidR="00C956B8" w:rsidRPr="00E4165E" w:rsidRDefault="00C956B8" w:rsidP="00C956B8">
      <w:pPr>
        <w:tabs>
          <w:tab w:val="left" w:pos="709"/>
        </w:tabs>
        <w:spacing w:after="0" w:line="240" w:lineRule="auto"/>
        <w:jc w:val="both"/>
        <w:rPr>
          <w:rFonts w:ascii="Verdana" w:eastAsia="Calibri" w:hAnsi="Verdana" w:cs="Arial"/>
          <w:sz w:val="20"/>
          <w:szCs w:val="20"/>
          <w:lang w:val="es-ES"/>
        </w:rPr>
      </w:pPr>
      <w:r w:rsidRPr="00E4165E">
        <w:rPr>
          <w:rFonts w:ascii="Verdana" w:eastAsia="Calibri" w:hAnsi="Verdana" w:cs="Arial"/>
          <w:sz w:val="20"/>
          <w:szCs w:val="20"/>
          <w:lang w:val="es-ES"/>
        </w:rPr>
        <w:t xml:space="preserve">En consecuencia, en materia de infraestructura social debe tenerse en cuenta que existen dos (2) clases de documentos tipo que se integran en cada proceso: i) los documentos </w:t>
      </w:r>
      <w:r w:rsidRPr="00E4165E">
        <w:rPr>
          <w:rFonts w:ascii="Verdana" w:eastAsia="Calibri" w:hAnsi="Verdana" w:cs="Arial"/>
          <w:i/>
          <w:sz w:val="20"/>
          <w:szCs w:val="20"/>
          <w:lang w:val="es-ES"/>
        </w:rPr>
        <w:t>transversales</w:t>
      </w:r>
      <w:r w:rsidRPr="00E4165E">
        <w:rPr>
          <w:rFonts w:ascii="Verdana" w:eastAsia="Calibri" w:hAnsi="Verdana" w:cs="Arial"/>
          <w:sz w:val="20"/>
          <w:szCs w:val="20"/>
          <w:lang w:val="es-ES"/>
        </w:rPr>
        <w:t xml:space="preserve"> a todos los sectores de infraestructura social, es decir, el documento base, los anexos, los formatos, los formularios y las matrices adoptados mediante la Resolución No. 219 de 2021; y </w:t>
      </w:r>
      <w:proofErr w:type="spellStart"/>
      <w:r w:rsidRPr="00E4165E">
        <w:rPr>
          <w:rFonts w:ascii="Verdana" w:eastAsia="Calibri" w:hAnsi="Verdana" w:cs="Arial"/>
          <w:sz w:val="20"/>
          <w:szCs w:val="20"/>
          <w:lang w:val="es-ES"/>
        </w:rPr>
        <w:t>ii</w:t>
      </w:r>
      <w:proofErr w:type="spellEnd"/>
      <w:r w:rsidRPr="00E4165E">
        <w:rPr>
          <w:rFonts w:ascii="Verdana" w:eastAsia="Calibri" w:hAnsi="Verdana" w:cs="Arial"/>
          <w:sz w:val="20"/>
          <w:szCs w:val="20"/>
          <w:lang w:val="es-ES"/>
        </w:rPr>
        <w:t xml:space="preserve">) los documentos tipo </w:t>
      </w:r>
      <w:r w:rsidRPr="00E4165E">
        <w:rPr>
          <w:rFonts w:ascii="Verdana" w:eastAsia="Calibri" w:hAnsi="Verdana" w:cs="Arial"/>
          <w:i/>
          <w:sz w:val="20"/>
          <w:szCs w:val="20"/>
          <w:lang w:val="es-ES"/>
        </w:rPr>
        <w:t>complementarios</w:t>
      </w:r>
      <w:r w:rsidRPr="00E4165E">
        <w:rPr>
          <w:rFonts w:ascii="Verdana" w:eastAsia="Calibri" w:hAnsi="Verdana" w:cs="Arial"/>
          <w:iCs/>
          <w:sz w:val="20"/>
          <w:szCs w:val="20"/>
          <w:lang w:val="es-ES"/>
        </w:rPr>
        <w:t>,</w:t>
      </w:r>
      <w:r w:rsidRPr="00E4165E">
        <w:rPr>
          <w:rFonts w:ascii="Verdana" w:eastAsia="Calibri" w:hAnsi="Verdana" w:cs="Arial"/>
          <w:i/>
          <w:sz w:val="20"/>
          <w:szCs w:val="20"/>
          <w:lang w:val="es-ES"/>
        </w:rPr>
        <w:t xml:space="preserve"> </w:t>
      </w:r>
      <w:r w:rsidRPr="00E4165E">
        <w:rPr>
          <w:rFonts w:ascii="Verdana" w:eastAsia="Calibri" w:hAnsi="Verdana" w:cs="Arial"/>
          <w:sz w:val="20"/>
          <w:szCs w:val="20"/>
          <w:lang w:val="es-ES"/>
        </w:rPr>
        <w:t xml:space="preserve">referentes a la matriz de experiencia y el glosario, los cuales han sido adoptados en la resolución para cada sector específico. </w:t>
      </w:r>
    </w:p>
    <w:p w14:paraId="26CC8A2A" w14:textId="77777777" w:rsidR="00C956B8" w:rsidRPr="00E4165E" w:rsidRDefault="00C956B8" w:rsidP="00C956B8">
      <w:pPr>
        <w:pStyle w:val="Prrafodelista"/>
        <w:spacing w:line="240" w:lineRule="auto"/>
        <w:rPr>
          <w:rFonts w:ascii="Verdana" w:eastAsia="Calibri" w:hAnsi="Verdana" w:cs="Arial"/>
          <w:sz w:val="20"/>
          <w:szCs w:val="20"/>
        </w:rPr>
      </w:pPr>
    </w:p>
    <w:p w14:paraId="0FDD3857" w14:textId="77777777" w:rsidR="00C956B8" w:rsidRPr="00E4165E" w:rsidRDefault="00C956B8" w:rsidP="00C956B8">
      <w:pPr>
        <w:spacing w:after="0" w:line="240" w:lineRule="auto"/>
        <w:jc w:val="both"/>
        <w:rPr>
          <w:rFonts w:ascii="Verdana" w:hAnsi="Verdana"/>
          <w:sz w:val="20"/>
          <w:szCs w:val="20"/>
          <w:lang w:val="es-ES"/>
        </w:rPr>
      </w:pPr>
      <w:r w:rsidRPr="00E4165E">
        <w:rPr>
          <w:rFonts w:ascii="Verdana" w:eastAsia="Calibri" w:hAnsi="Verdana" w:cs="Arial"/>
          <w:sz w:val="20"/>
          <w:szCs w:val="20"/>
          <w:lang w:val="es-ES"/>
        </w:rPr>
        <w:t xml:space="preserve">En este orden de ideas, la Agencia expidió la Resolución 454 de 2021 del 16 de diciembre de 2021, “Por la cual se adoptan los documentos tipo complementarios para los procesos de licitación de obra pública de infraestructura social relacionados con el sector cultura, recreación y deporte”. </w:t>
      </w:r>
      <w:r w:rsidRPr="00E4165E">
        <w:rPr>
          <w:rFonts w:ascii="Verdana" w:hAnsi="Verdana"/>
          <w:sz w:val="20"/>
          <w:szCs w:val="20"/>
          <w:lang w:val="es-ES"/>
        </w:rPr>
        <w:t xml:space="preserve">Esta Resolución, en el artículo 2, adopta el </w:t>
      </w:r>
      <w:r w:rsidRPr="00E4165E">
        <w:rPr>
          <w:rFonts w:ascii="Verdana" w:hAnsi="Verdana"/>
          <w:sz w:val="20"/>
          <w:szCs w:val="20"/>
        </w:rPr>
        <w:t>"</w:t>
      </w:r>
      <w:r w:rsidRPr="00E4165E">
        <w:rPr>
          <w:rFonts w:ascii="Verdana" w:hAnsi="Verdana"/>
          <w:i/>
          <w:iCs/>
          <w:sz w:val="20"/>
          <w:szCs w:val="20"/>
          <w:lang w:val="es-ES"/>
        </w:rPr>
        <w:t>Anexo -Glosario</w:t>
      </w:r>
      <w:r w:rsidRPr="00E4165E">
        <w:rPr>
          <w:rFonts w:ascii="Verdana" w:hAnsi="Verdana"/>
          <w:i/>
          <w:iCs/>
          <w:sz w:val="20"/>
          <w:szCs w:val="20"/>
        </w:rPr>
        <w:t>"</w:t>
      </w:r>
      <w:r w:rsidRPr="00E4165E">
        <w:rPr>
          <w:rFonts w:ascii="Verdana" w:hAnsi="Verdana"/>
          <w:i/>
          <w:iCs/>
          <w:sz w:val="20"/>
          <w:szCs w:val="20"/>
          <w:lang w:val="es-ES"/>
        </w:rPr>
        <w:t xml:space="preserve"> y la </w:t>
      </w:r>
      <w:r w:rsidRPr="00E4165E">
        <w:rPr>
          <w:rFonts w:ascii="Verdana" w:hAnsi="Verdana"/>
          <w:i/>
          <w:iCs/>
          <w:sz w:val="20"/>
          <w:szCs w:val="20"/>
        </w:rPr>
        <w:t>"Matriz – Experiencia”</w:t>
      </w:r>
      <w:r w:rsidRPr="00E4165E">
        <w:rPr>
          <w:rFonts w:ascii="Verdana" w:hAnsi="Verdana"/>
          <w:i/>
          <w:iCs/>
          <w:sz w:val="20"/>
          <w:szCs w:val="20"/>
          <w:lang w:val="es-ES"/>
        </w:rPr>
        <w:t xml:space="preserve"> </w:t>
      </w:r>
      <w:r w:rsidRPr="00E4165E">
        <w:rPr>
          <w:rFonts w:ascii="Verdana" w:hAnsi="Verdana"/>
          <w:sz w:val="20"/>
          <w:szCs w:val="20"/>
          <w:lang w:val="es-ES"/>
        </w:rPr>
        <w:t xml:space="preserve">para proyectos de infraestructura social para el sector de </w:t>
      </w:r>
      <w:r w:rsidRPr="00E4165E">
        <w:rPr>
          <w:rFonts w:ascii="Verdana" w:hAnsi="Verdana"/>
          <w:bCs/>
          <w:sz w:val="20"/>
          <w:szCs w:val="20"/>
          <w:lang w:val="es-ES"/>
        </w:rPr>
        <w:t xml:space="preserve">cultura, recreación y deporte. </w:t>
      </w:r>
      <w:r w:rsidRPr="00E4165E">
        <w:rPr>
          <w:rFonts w:ascii="Verdana" w:hAnsi="Verdana"/>
          <w:sz w:val="20"/>
          <w:szCs w:val="20"/>
          <w:lang w:val="es-ES"/>
        </w:rPr>
        <w:t xml:space="preserve">Estos dos (2) documentos definen el alcance para ese sector específicamente. </w:t>
      </w:r>
    </w:p>
    <w:p w14:paraId="34C7153B" w14:textId="77777777" w:rsidR="00C956B8" w:rsidRDefault="00C956B8" w:rsidP="00C956B8">
      <w:pPr>
        <w:spacing w:after="0" w:line="276" w:lineRule="auto"/>
        <w:jc w:val="both"/>
        <w:rPr>
          <w:rFonts w:ascii="Verdana" w:eastAsia="Calibri" w:hAnsi="Verdana" w:cs="Arial"/>
          <w:b/>
          <w:bCs/>
          <w:lang w:val="es-ES_tradnl"/>
        </w:rPr>
      </w:pPr>
    </w:p>
    <w:p w14:paraId="5486580B" w14:textId="77777777" w:rsidR="00C956B8" w:rsidRPr="00C6066A" w:rsidRDefault="00C956B8" w:rsidP="00C956B8">
      <w:pPr>
        <w:spacing w:after="0" w:line="276" w:lineRule="auto"/>
        <w:jc w:val="both"/>
        <w:rPr>
          <w:rFonts w:ascii="Verdana" w:eastAsia="Calibri" w:hAnsi="Verdana" w:cs="Arial"/>
          <w:b/>
          <w:bCs/>
          <w:lang w:val="es-ES_tradnl"/>
        </w:rPr>
      </w:pPr>
      <w:r w:rsidRPr="00C6066A">
        <w:rPr>
          <w:rFonts w:ascii="Verdana" w:eastAsia="Calibri" w:hAnsi="Verdana" w:cs="Arial"/>
          <w:b/>
          <w:bCs/>
          <w:lang w:val="es-ES_tradnl"/>
        </w:rPr>
        <w:t xml:space="preserve">COMBINACIÓN DE EXPERIENCIA − Documentos tipo − Infraestructura </w:t>
      </w:r>
      <w:r>
        <w:rPr>
          <w:rFonts w:ascii="Verdana" w:eastAsia="Calibri" w:hAnsi="Verdana" w:cs="Arial"/>
          <w:b/>
          <w:bCs/>
          <w:lang w:val="es-ES_tradnl"/>
        </w:rPr>
        <w:t>Social</w:t>
      </w:r>
      <w:r w:rsidRPr="00C6066A">
        <w:rPr>
          <w:rFonts w:ascii="Verdana" w:eastAsia="Calibri" w:hAnsi="Verdana" w:cs="Arial"/>
          <w:b/>
          <w:bCs/>
          <w:lang w:val="es-ES_tradnl"/>
        </w:rPr>
        <w:t xml:space="preserve"> – Actividad principal y secundaria</w:t>
      </w:r>
      <w:r>
        <w:rPr>
          <w:rFonts w:ascii="Verdana" w:eastAsia="Calibri" w:hAnsi="Verdana" w:cs="Arial"/>
          <w:b/>
          <w:bCs/>
          <w:lang w:val="es-ES_tradnl"/>
        </w:rPr>
        <w:t xml:space="preserve"> </w:t>
      </w:r>
      <w:r w:rsidRPr="00C6066A">
        <w:rPr>
          <w:rFonts w:ascii="Verdana" w:eastAsia="Calibri" w:hAnsi="Verdana" w:cs="Arial"/>
          <w:b/>
          <w:bCs/>
          <w:lang w:val="es-ES_tradnl"/>
        </w:rPr>
        <w:t>–</w:t>
      </w:r>
      <w:r>
        <w:rPr>
          <w:rFonts w:ascii="Verdana" w:eastAsia="Calibri" w:hAnsi="Verdana" w:cs="Arial"/>
          <w:b/>
          <w:bCs/>
          <w:lang w:val="es-ES_tradnl"/>
        </w:rPr>
        <w:t xml:space="preserve"> Reglas</w:t>
      </w:r>
    </w:p>
    <w:p w14:paraId="40EC6F25" w14:textId="77777777" w:rsidR="00C956B8" w:rsidRPr="008A55D0" w:rsidRDefault="00C956B8" w:rsidP="00C956B8">
      <w:pPr>
        <w:tabs>
          <w:tab w:val="left" w:pos="0"/>
        </w:tabs>
        <w:spacing w:after="0" w:line="240" w:lineRule="auto"/>
        <w:ind w:left="11"/>
        <w:jc w:val="both"/>
        <w:rPr>
          <w:rFonts w:ascii="Century Gothic" w:eastAsia="Calibri" w:hAnsi="Century Gothic" w:cs="Arial"/>
          <w:b/>
          <w:bCs/>
          <w:color w:val="000000"/>
          <w:kern w:val="2"/>
          <w:lang w:val="es-ES_tradnl"/>
          <w14:ligatures w14:val="standardContextual"/>
        </w:rPr>
      </w:pPr>
    </w:p>
    <w:p w14:paraId="4970AD6A" w14:textId="77777777" w:rsidR="00C956B8" w:rsidRPr="008A55D0" w:rsidRDefault="00C956B8" w:rsidP="00C956B8">
      <w:pPr>
        <w:spacing w:after="120" w:line="240" w:lineRule="auto"/>
        <w:jc w:val="both"/>
        <w:rPr>
          <w:rFonts w:ascii="Century Gothic" w:eastAsia="Calibri" w:hAnsi="Century Gothic" w:cs="Arial"/>
          <w:color w:val="000000"/>
          <w:kern w:val="2"/>
          <w:sz w:val="20"/>
          <w:szCs w:val="20"/>
          <w:lang w:val="es-MX"/>
          <w14:ligatures w14:val="standardContextual"/>
        </w:rPr>
      </w:pPr>
      <w:r w:rsidRPr="008A55D0">
        <w:rPr>
          <w:rFonts w:ascii="Century Gothic" w:eastAsia="Calibri" w:hAnsi="Century Gothic" w:cs="Arial"/>
          <w:color w:val="000000"/>
          <w:kern w:val="2"/>
          <w:sz w:val="20"/>
          <w:szCs w:val="20"/>
          <w:lang w:val="es-MX"/>
          <w14:ligatures w14:val="standardContextual"/>
        </w:rPr>
        <w:t>[…]</w:t>
      </w:r>
    </w:p>
    <w:p w14:paraId="02B9A696" w14:textId="77777777" w:rsidR="00C956B8" w:rsidRPr="00E4165E" w:rsidRDefault="00C956B8" w:rsidP="00C956B8">
      <w:pPr>
        <w:spacing w:after="0" w:line="240" w:lineRule="auto"/>
        <w:jc w:val="both"/>
        <w:rPr>
          <w:rFonts w:ascii="Verdana" w:hAnsi="Verdana"/>
          <w:sz w:val="20"/>
          <w:szCs w:val="20"/>
        </w:rPr>
      </w:pPr>
      <w:r w:rsidRPr="00E4165E">
        <w:rPr>
          <w:rFonts w:ascii="Verdana" w:hAnsi="Verdana"/>
          <w:sz w:val="20"/>
          <w:szCs w:val="20"/>
        </w:rPr>
        <w:t xml:space="preserve">Conforma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una misma matriz de experiencia de infraestructura social, </w:t>
      </w:r>
      <w:proofErr w:type="spellStart"/>
      <w:r w:rsidRPr="00E4165E">
        <w:rPr>
          <w:rFonts w:ascii="Verdana" w:hAnsi="Verdana"/>
          <w:sz w:val="20"/>
          <w:szCs w:val="20"/>
        </w:rPr>
        <w:t>ii</w:t>
      </w:r>
      <w:proofErr w:type="spellEnd"/>
      <w:r w:rsidRPr="00E4165E">
        <w:rPr>
          <w:rFonts w:ascii="Verdana" w:hAnsi="Verdana"/>
          <w:sz w:val="20"/>
          <w:szCs w:val="20"/>
        </w:rPr>
        <w:t xml:space="preserve">) cuando en un </w:t>
      </w:r>
      <w:r w:rsidRPr="00E4165E">
        <w:rPr>
          <w:rFonts w:ascii="Verdana" w:hAnsi="Verdana"/>
          <w:sz w:val="20"/>
          <w:szCs w:val="20"/>
        </w:rPr>
        <w:lastRenderedPageBreak/>
        <w:t xml:space="preserve">mismo proyecto se incorporen actividades de infraestructura educativa, salud o cultura, recreación y deporte, o </w:t>
      </w:r>
      <w:proofErr w:type="spellStart"/>
      <w:r w:rsidRPr="00E4165E">
        <w:rPr>
          <w:rFonts w:ascii="Verdana" w:hAnsi="Verdana"/>
          <w:sz w:val="20"/>
          <w:szCs w:val="20"/>
        </w:rPr>
        <w:t>iii</w:t>
      </w:r>
      <w:proofErr w:type="spellEnd"/>
      <w:r w:rsidRPr="00E4165E">
        <w:rPr>
          <w:rFonts w:ascii="Verdana" w:hAnsi="Verdana"/>
          <w:sz w:val="20"/>
          <w:szCs w:val="20"/>
        </w:rPr>
        <w:t>) cuando en un Proceso de Contratación aplican matrices de experiencia de otros Documentos Tipo y la Entidad considera conveniente incluir dicha experiencia.</w:t>
      </w:r>
    </w:p>
    <w:p w14:paraId="27386B43" w14:textId="77777777" w:rsidR="00C956B8" w:rsidRPr="00046C98" w:rsidRDefault="00C956B8" w:rsidP="00C956B8">
      <w:pPr>
        <w:spacing w:after="0" w:line="276" w:lineRule="auto"/>
        <w:jc w:val="both"/>
        <w:rPr>
          <w:rFonts w:ascii="Verdana" w:hAnsi="Verdana" w:cs="Arial"/>
          <w:sz w:val="20"/>
          <w:szCs w:val="20"/>
          <w:lang w:val="es-ES"/>
        </w:rPr>
      </w:pPr>
    </w:p>
    <w:p w14:paraId="3A77A79C" w14:textId="77777777" w:rsidR="00C956B8" w:rsidRDefault="00C956B8" w:rsidP="00C956B8">
      <w:pPr>
        <w:spacing w:after="0" w:line="240" w:lineRule="auto"/>
        <w:rPr>
          <w:rFonts w:ascii="Arial" w:eastAsia="Calibri" w:hAnsi="Arial" w:cs="Arial"/>
          <w:b/>
          <w:color w:val="000000"/>
          <w:highlight w:val="yellow"/>
          <w:lang w:eastAsia="es-ES_tradnl"/>
        </w:rPr>
      </w:pPr>
    </w:p>
    <w:p w14:paraId="1B65D3FB" w14:textId="77777777" w:rsidR="00C956B8" w:rsidRDefault="00C956B8" w:rsidP="00C956B8">
      <w:pPr>
        <w:spacing w:after="0" w:line="240" w:lineRule="auto"/>
        <w:rPr>
          <w:rFonts w:ascii="Arial" w:eastAsia="Calibri" w:hAnsi="Arial" w:cs="Arial"/>
          <w:b/>
          <w:color w:val="000000"/>
          <w:highlight w:val="yellow"/>
          <w:lang w:eastAsia="es-ES_tradnl"/>
        </w:rPr>
      </w:pPr>
    </w:p>
    <w:p w14:paraId="2C820287" w14:textId="77777777" w:rsidR="00C956B8" w:rsidRDefault="00C956B8" w:rsidP="00C956B8">
      <w:pPr>
        <w:spacing w:after="0" w:line="240" w:lineRule="auto"/>
        <w:rPr>
          <w:rFonts w:ascii="Arial" w:eastAsia="Calibri" w:hAnsi="Arial" w:cs="Arial"/>
          <w:b/>
          <w:color w:val="000000"/>
          <w:highlight w:val="yellow"/>
          <w:lang w:eastAsia="es-ES_tradnl"/>
        </w:rPr>
      </w:pPr>
    </w:p>
    <w:p w14:paraId="12A7AD51" w14:textId="77777777" w:rsidR="00C956B8" w:rsidRDefault="00C956B8" w:rsidP="00C956B8">
      <w:pPr>
        <w:spacing w:after="0" w:line="240" w:lineRule="auto"/>
        <w:rPr>
          <w:rFonts w:ascii="Arial" w:eastAsia="Calibri" w:hAnsi="Arial" w:cs="Arial"/>
          <w:b/>
          <w:color w:val="000000"/>
          <w:highlight w:val="yellow"/>
          <w:lang w:eastAsia="es-ES_tradnl"/>
        </w:rPr>
      </w:pPr>
    </w:p>
    <w:p w14:paraId="45B0BFB6" w14:textId="77777777" w:rsidR="00C956B8" w:rsidRDefault="00C956B8" w:rsidP="00C956B8">
      <w:pPr>
        <w:spacing w:after="0" w:line="240" w:lineRule="auto"/>
        <w:rPr>
          <w:rFonts w:ascii="Arial" w:eastAsia="Calibri" w:hAnsi="Arial" w:cs="Arial"/>
          <w:b/>
          <w:color w:val="000000"/>
          <w:highlight w:val="yellow"/>
          <w:lang w:eastAsia="es-ES_tradnl"/>
        </w:rPr>
      </w:pPr>
    </w:p>
    <w:p w14:paraId="28B7874E" w14:textId="77777777" w:rsidR="00C956B8" w:rsidRDefault="00C956B8" w:rsidP="00C956B8">
      <w:pPr>
        <w:spacing w:after="0" w:line="240" w:lineRule="auto"/>
        <w:rPr>
          <w:rFonts w:ascii="Arial" w:eastAsia="Calibri" w:hAnsi="Arial" w:cs="Arial"/>
          <w:b/>
          <w:color w:val="000000"/>
          <w:highlight w:val="yellow"/>
          <w:lang w:eastAsia="es-ES_tradnl"/>
        </w:rPr>
      </w:pPr>
    </w:p>
    <w:p w14:paraId="23CE7B2D" w14:textId="77777777" w:rsidR="00C956B8" w:rsidRDefault="00C956B8" w:rsidP="00C956B8">
      <w:pPr>
        <w:spacing w:after="0" w:line="240" w:lineRule="auto"/>
        <w:rPr>
          <w:rFonts w:ascii="Arial" w:eastAsia="Calibri" w:hAnsi="Arial" w:cs="Arial"/>
          <w:b/>
          <w:color w:val="000000"/>
          <w:highlight w:val="yellow"/>
          <w:lang w:eastAsia="es-ES_tradnl"/>
        </w:rPr>
      </w:pPr>
    </w:p>
    <w:p w14:paraId="43583DE5" w14:textId="77777777" w:rsidR="00C956B8" w:rsidRDefault="00C956B8" w:rsidP="00C956B8">
      <w:pPr>
        <w:spacing w:after="0" w:line="240" w:lineRule="auto"/>
        <w:rPr>
          <w:rFonts w:ascii="Arial" w:eastAsia="Calibri" w:hAnsi="Arial" w:cs="Arial"/>
          <w:b/>
          <w:color w:val="000000"/>
          <w:highlight w:val="yellow"/>
          <w:lang w:eastAsia="es-ES_tradnl"/>
        </w:rPr>
      </w:pPr>
    </w:p>
    <w:p w14:paraId="2B4B5E26" w14:textId="77777777" w:rsidR="00C956B8" w:rsidRDefault="00C956B8" w:rsidP="00C956B8">
      <w:pPr>
        <w:spacing w:after="0" w:line="240" w:lineRule="auto"/>
        <w:rPr>
          <w:rFonts w:ascii="Arial" w:eastAsia="Calibri" w:hAnsi="Arial" w:cs="Arial"/>
          <w:b/>
          <w:color w:val="000000"/>
          <w:highlight w:val="yellow"/>
          <w:lang w:eastAsia="es-ES_tradnl"/>
        </w:rPr>
      </w:pPr>
    </w:p>
    <w:p w14:paraId="0567971F" w14:textId="77777777" w:rsidR="00C956B8" w:rsidRDefault="00C956B8" w:rsidP="00C956B8">
      <w:pPr>
        <w:spacing w:after="0" w:line="240" w:lineRule="auto"/>
        <w:rPr>
          <w:rFonts w:ascii="Arial" w:eastAsia="Calibri" w:hAnsi="Arial" w:cs="Arial"/>
          <w:b/>
          <w:color w:val="000000"/>
          <w:highlight w:val="yellow"/>
          <w:lang w:eastAsia="es-ES_tradnl"/>
        </w:rPr>
      </w:pPr>
    </w:p>
    <w:p w14:paraId="721D4664" w14:textId="77777777" w:rsidR="00C956B8" w:rsidRDefault="00C956B8" w:rsidP="00C956B8">
      <w:pPr>
        <w:spacing w:after="0" w:line="240" w:lineRule="auto"/>
        <w:rPr>
          <w:rFonts w:ascii="Arial" w:eastAsia="Calibri" w:hAnsi="Arial" w:cs="Arial"/>
          <w:b/>
          <w:color w:val="000000"/>
          <w:highlight w:val="yellow"/>
          <w:lang w:eastAsia="es-ES_tradnl"/>
        </w:rPr>
      </w:pPr>
    </w:p>
    <w:p w14:paraId="68226B21" w14:textId="77777777" w:rsidR="00C956B8" w:rsidRDefault="00C956B8" w:rsidP="00C956B8">
      <w:pPr>
        <w:spacing w:after="0" w:line="240" w:lineRule="auto"/>
        <w:rPr>
          <w:rFonts w:ascii="Arial" w:eastAsia="Calibri" w:hAnsi="Arial" w:cs="Arial"/>
          <w:b/>
          <w:color w:val="000000"/>
          <w:highlight w:val="yellow"/>
          <w:lang w:eastAsia="es-ES_tradnl"/>
        </w:rPr>
      </w:pPr>
    </w:p>
    <w:p w14:paraId="0B74B41F" w14:textId="77777777" w:rsidR="00C956B8" w:rsidRDefault="00C956B8" w:rsidP="00C956B8">
      <w:pPr>
        <w:spacing w:after="0" w:line="240" w:lineRule="auto"/>
        <w:rPr>
          <w:rFonts w:ascii="Arial" w:eastAsia="Calibri" w:hAnsi="Arial" w:cs="Arial"/>
          <w:b/>
          <w:color w:val="000000"/>
          <w:highlight w:val="yellow"/>
          <w:lang w:eastAsia="es-ES_tradnl"/>
        </w:rPr>
      </w:pPr>
    </w:p>
    <w:p w14:paraId="172EC8A7" w14:textId="77777777" w:rsidR="00C956B8" w:rsidRDefault="00C956B8" w:rsidP="00C956B8">
      <w:pPr>
        <w:spacing w:after="0" w:line="240" w:lineRule="auto"/>
        <w:rPr>
          <w:rFonts w:ascii="Arial" w:eastAsia="Calibri" w:hAnsi="Arial" w:cs="Arial"/>
          <w:b/>
          <w:color w:val="000000"/>
          <w:highlight w:val="yellow"/>
          <w:lang w:eastAsia="es-ES_tradnl"/>
        </w:rPr>
      </w:pPr>
    </w:p>
    <w:p w14:paraId="78D47BC4" w14:textId="77777777" w:rsidR="00C956B8" w:rsidRDefault="00C956B8" w:rsidP="00C956B8">
      <w:pPr>
        <w:spacing w:after="0" w:line="240" w:lineRule="auto"/>
        <w:rPr>
          <w:rFonts w:ascii="Arial" w:eastAsia="Calibri" w:hAnsi="Arial" w:cs="Arial"/>
          <w:b/>
          <w:color w:val="000000"/>
          <w:highlight w:val="yellow"/>
          <w:lang w:eastAsia="es-ES_tradnl"/>
        </w:rPr>
      </w:pPr>
    </w:p>
    <w:p w14:paraId="0A9D0AE3" w14:textId="77777777" w:rsidR="00C956B8" w:rsidRDefault="00C956B8" w:rsidP="00C956B8">
      <w:pPr>
        <w:spacing w:after="0" w:line="240" w:lineRule="auto"/>
        <w:rPr>
          <w:rFonts w:ascii="Arial" w:eastAsia="Calibri" w:hAnsi="Arial" w:cs="Arial"/>
          <w:b/>
          <w:color w:val="000000"/>
          <w:highlight w:val="yellow"/>
          <w:lang w:eastAsia="es-ES_tradnl"/>
        </w:rPr>
      </w:pPr>
    </w:p>
    <w:p w14:paraId="45B76388" w14:textId="77777777" w:rsidR="00C956B8" w:rsidRDefault="00C956B8" w:rsidP="00C956B8">
      <w:pPr>
        <w:spacing w:after="0" w:line="240" w:lineRule="auto"/>
        <w:rPr>
          <w:rFonts w:ascii="Arial" w:eastAsia="Calibri" w:hAnsi="Arial" w:cs="Arial"/>
          <w:b/>
          <w:color w:val="000000"/>
          <w:highlight w:val="yellow"/>
          <w:lang w:eastAsia="es-ES_tradnl"/>
        </w:rPr>
      </w:pPr>
    </w:p>
    <w:p w14:paraId="277233AC" w14:textId="77777777" w:rsidR="00C956B8" w:rsidRDefault="00C956B8" w:rsidP="00C956B8">
      <w:pPr>
        <w:spacing w:after="0" w:line="240" w:lineRule="auto"/>
        <w:rPr>
          <w:rFonts w:ascii="Arial" w:eastAsia="Calibri" w:hAnsi="Arial" w:cs="Arial"/>
          <w:b/>
          <w:color w:val="000000"/>
          <w:highlight w:val="yellow"/>
          <w:lang w:eastAsia="es-ES_tradnl"/>
        </w:rPr>
      </w:pPr>
    </w:p>
    <w:p w14:paraId="63350A19" w14:textId="77777777" w:rsidR="00C956B8" w:rsidRDefault="00C956B8" w:rsidP="00C956B8">
      <w:pPr>
        <w:spacing w:after="0" w:line="240" w:lineRule="auto"/>
        <w:rPr>
          <w:rFonts w:ascii="Arial" w:eastAsia="Calibri" w:hAnsi="Arial" w:cs="Arial"/>
          <w:b/>
          <w:color w:val="000000"/>
          <w:highlight w:val="yellow"/>
          <w:lang w:eastAsia="es-ES_tradnl"/>
        </w:rPr>
      </w:pPr>
    </w:p>
    <w:p w14:paraId="04D15F44" w14:textId="77777777" w:rsidR="00C956B8" w:rsidRDefault="00C956B8" w:rsidP="00C956B8">
      <w:pPr>
        <w:spacing w:after="0" w:line="240" w:lineRule="auto"/>
        <w:rPr>
          <w:rFonts w:ascii="Arial" w:eastAsia="Calibri" w:hAnsi="Arial" w:cs="Arial"/>
          <w:b/>
          <w:color w:val="000000"/>
          <w:highlight w:val="yellow"/>
          <w:lang w:eastAsia="es-ES_tradnl"/>
        </w:rPr>
      </w:pPr>
    </w:p>
    <w:p w14:paraId="6F4062AE" w14:textId="77777777" w:rsidR="00C956B8" w:rsidRDefault="00C956B8" w:rsidP="00C956B8">
      <w:pPr>
        <w:spacing w:after="0" w:line="240" w:lineRule="auto"/>
        <w:rPr>
          <w:rFonts w:ascii="Arial" w:eastAsia="Calibri" w:hAnsi="Arial" w:cs="Arial"/>
          <w:b/>
          <w:color w:val="000000"/>
          <w:highlight w:val="yellow"/>
          <w:lang w:eastAsia="es-ES_tradnl"/>
        </w:rPr>
      </w:pPr>
    </w:p>
    <w:p w14:paraId="1416A925" w14:textId="77777777" w:rsidR="00C956B8" w:rsidRDefault="00C956B8" w:rsidP="00C956B8">
      <w:pPr>
        <w:spacing w:after="0" w:line="240" w:lineRule="auto"/>
        <w:rPr>
          <w:rFonts w:ascii="Arial" w:eastAsia="Calibri" w:hAnsi="Arial" w:cs="Arial"/>
          <w:b/>
          <w:color w:val="000000"/>
          <w:highlight w:val="yellow"/>
          <w:lang w:eastAsia="es-ES_tradnl"/>
        </w:rPr>
      </w:pPr>
    </w:p>
    <w:p w14:paraId="4463B4B3" w14:textId="77777777" w:rsidR="00C956B8" w:rsidRDefault="00C956B8" w:rsidP="00C956B8">
      <w:pPr>
        <w:spacing w:after="0" w:line="240" w:lineRule="auto"/>
        <w:rPr>
          <w:rFonts w:ascii="Arial" w:eastAsia="Calibri" w:hAnsi="Arial" w:cs="Arial"/>
          <w:b/>
          <w:color w:val="000000"/>
          <w:highlight w:val="yellow"/>
          <w:lang w:eastAsia="es-ES_tradnl"/>
        </w:rPr>
      </w:pPr>
    </w:p>
    <w:p w14:paraId="40182313" w14:textId="77777777" w:rsidR="00C956B8" w:rsidRDefault="00C956B8" w:rsidP="00C956B8">
      <w:pPr>
        <w:spacing w:after="0" w:line="240" w:lineRule="auto"/>
        <w:rPr>
          <w:rFonts w:ascii="Arial" w:eastAsia="Calibri" w:hAnsi="Arial" w:cs="Arial"/>
          <w:b/>
          <w:color w:val="000000"/>
          <w:highlight w:val="yellow"/>
          <w:lang w:eastAsia="es-ES_tradnl"/>
        </w:rPr>
      </w:pPr>
    </w:p>
    <w:p w14:paraId="790666E4" w14:textId="77777777" w:rsidR="00C956B8" w:rsidRDefault="00C956B8" w:rsidP="00C956B8">
      <w:pPr>
        <w:spacing w:after="0" w:line="240" w:lineRule="auto"/>
        <w:rPr>
          <w:rFonts w:ascii="Arial" w:eastAsia="Calibri" w:hAnsi="Arial" w:cs="Arial"/>
          <w:b/>
          <w:color w:val="000000"/>
          <w:highlight w:val="yellow"/>
          <w:lang w:eastAsia="es-ES_tradnl"/>
        </w:rPr>
      </w:pPr>
    </w:p>
    <w:p w14:paraId="05A6349D" w14:textId="4683E2F1" w:rsidR="00213EB8" w:rsidRDefault="00213EB8">
      <w:pPr>
        <w:rPr>
          <w:rFonts w:ascii="Arial" w:eastAsia="Calibri" w:hAnsi="Arial" w:cs="Arial"/>
          <w:b/>
          <w:color w:val="000000"/>
          <w:highlight w:val="yellow"/>
          <w:lang w:eastAsia="es-ES_tradnl"/>
        </w:rPr>
      </w:pPr>
      <w:r>
        <w:rPr>
          <w:rFonts w:ascii="Arial" w:eastAsia="Calibri" w:hAnsi="Arial" w:cs="Arial"/>
          <w:b/>
          <w:color w:val="000000"/>
          <w:highlight w:val="yellow"/>
          <w:lang w:eastAsia="es-ES_tradnl"/>
        </w:rPr>
        <w:br w:type="page"/>
      </w:r>
    </w:p>
    <w:p w14:paraId="53CE719F" w14:textId="78DD9265" w:rsidR="00C956B8" w:rsidRDefault="00C956B8" w:rsidP="00C956B8">
      <w:pPr>
        <w:spacing w:after="0" w:line="240" w:lineRule="auto"/>
        <w:rPr>
          <w:rFonts w:ascii="Verdana" w:eastAsia="Geomanist Light" w:hAnsi="Verdana" w:cs="Arial"/>
          <w:lang w:val="es-MX"/>
        </w:rPr>
      </w:pPr>
      <w:r w:rsidRPr="009322DA">
        <w:rPr>
          <w:rFonts w:ascii="Verdana" w:eastAsia="Geomanist Light" w:hAnsi="Verdana" w:cs="Arial"/>
          <w:lang w:val="es-MX"/>
        </w:rPr>
        <w:lastRenderedPageBreak/>
        <w:t>Bogotá D.C., </w:t>
      </w:r>
      <w:r w:rsidR="00C93F9D">
        <w:rPr>
          <w:rFonts w:ascii="Verdana" w:eastAsia="Geomanist Light" w:hAnsi="Verdana" w:cs="Arial"/>
          <w:lang w:val="es-MX"/>
        </w:rPr>
        <w:t>25 de abril de 2025</w:t>
      </w:r>
    </w:p>
    <w:p w14:paraId="0B4BF252" w14:textId="35670789" w:rsidR="00C93F9D" w:rsidRDefault="00C93F9D" w:rsidP="00C956B8">
      <w:pPr>
        <w:spacing w:after="0" w:line="240" w:lineRule="auto"/>
        <w:rPr>
          <w:rFonts w:ascii="Verdana" w:eastAsia="Geomanist Light" w:hAnsi="Verdana" w:cs="Arial"/>
          <w:lang w:val="es-MX"/>
        </w:rPr>
      </w:pPr>
    </w:p>
    <w:p w14:paraId="31E9CF95" w14:textId="0A4E1AC4" w:rsidR="00C956B8" w:rsidRPr="00C865D4" w:rsidRDefault="00C956B8" w:rsidP="00CD78A0">
      <w:pPr>
        <w:spacing w:after="0" w:line="240" w:lineRule="auto"/>
        <w:jc w:val="right"/>
        <w:rPr>
          <w:rFonts w:ascii="Verdana" w:eastAsia="Calibri" w:hAnsi="Verdana" w:cs="Arial"/>
          <w:lang w:val="es-MX" w:eastAsia="es-ES"/>
        </w:rPr>
      </w:pPr>
    </w:p>
    <w:p w14:paraId="0C1D04C3" w14:textId="4C98D7C7" w:rsidR="00CD78A0" w:rsidRDefault="00582F1F" w:rsidP="00C956B8">
      <w:pPr>
        <w:spacing w:after="0" w:line="240" w:lineRule="auto"/>
        <w:rPr>
          <w:rFonts w:ascii="Verdana" w:eastAsia="Calibri" w:hAnsi="Verdana" w:cs="Arial"/>
          <w:lang w:val="es-ES" w:eastAsia="es-ES"/>
        </w:rPr>
      </w:pPr>
      <w:r w:rsidRPr="00C93F9D">
        <w:rPr>
          <w:rFonts w:ascii="Verdana" w:eastAsia="Calibri" w:hAnsi="Verdana" w:cs="Arial"/>
          <w:noProof/>
          <w:lang w:val="es-MX" w:eastAsia="es-ES"/>
        </w:rPr>
        <w:drawing>
          <wp:anchor distT="0" distB="0" distL="114300" distR="114300" simplePos="0" relativeHeight="251659264" behindDoc="0" locked="0" layoutInCell="1" allowOverlap="1" wp14:anchorId="2F63BC26" wp14:editId="1E9AD24C">
            <wp:simplePos x="0" y="0"/>
            <wp:positionH relativeFrom="margin">
              <wp:align>right</wp:align>
            </wp:positionH>
            <wp:positionV relativeFrom="paragraph">
              <wp:posOffset>6985</wp:posOffset>
            </wp:positionV>
            <wp:extent cx="2905125" cy="1017270"/>
            <wp:effectExtent l="0" t="0" r="9525" b="0"/>
            <wp:wrapSquare wrapText="bothSides"/>
            <wp:docPr id="584621252"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21252"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905125" cy="1017270"/>
                    </a:xfrm>
                    <a:prstGeom prst="rect">
                      <a:avLst/>
                    </a:prstGeom>
                  </pic:spPr>
                </pic:pic>
              </a:graphicData>
            </a:graphic>
            <wp14:sizeRelH relativeFrom="margin">
              <wp14:pctWidth>0</wp14:pctWidth>
            </wp14:sizeRelH>
            <wp14:sizeRelV relativeFrom="margin">
              <wp14:pctHeight>0</wp14:pctHeight>
            </wp14:sizeRelV>
          </wp:anchor>
        </w:drawing>
      </w:r>
    </w:p>
    <w:p w14:paraId="1C711C9A" w14:textId="77777777" w:rsidR="00CD78A0" w:rsidRDefault="00CD78A0" w:rsidP="00C956B8">
      <w:pPr>
        <w:spacing w:after="0" w:line="240" w:lineRule="auto"/>
        <w:rPr>
          <w:rFonts w:ascii="Verdana" w:eastAsia="Calibri" w:hAnsi="Verdana" w:cs="Arial"/>
          <w:lang w:val="es-ES" w:eastAsia="es-ES"/>
        </w:rPr>
      </w:pPr>
    </w:p>
    <w:p w14:paraId="71CD5367" w14:textId="504C5BF8" w:rsidR="00C956B8" w:rsidRPr="00C865D4" w:rsidRDefault="00C956B8" w:rsidP="00C956B8">
      <w:pPr>
        <w:spacing w:after="0" w:line="240" w:lineRule="auto"/>
        <w:rPr>
          <w:rFonts w:ascii="Verdana" w:hAnsi="Verdana"/>
        </w:rPr>
      </w:pPr>
      <w:r w:rsidRPr="00C865D4">
        <w:rPr>
          <w:rFonts w:ascii="Verdana" w:eastAsia="Calibri" w:hAnsi="Verdana" w:cs="Arial"/>
          <w:lang w:val="es-ES" w:eastAsia="es-ES"/>
        </w:rPr>
        <w:t>Señor</w:t>
      </w:r>
      <w:r>
        <w:rPr>
          <w:rFonts w:ascii="Verdana" w:eastAsia="Calibri" w:hAnsi="Verdana" w:cs="Arial"/>
          <w:lang w:val="es-ES" w:eastAsia="es-ES"/>
        </w:rPr>
        <w:t>a</w:t>
      </w:r>
    </w:p>
    <w:p w14:paraId="6D05932C" w14:textId="77777777" w:rsidR="00C956B8" w:rsidRDefault="00C956B8" w:rsidP="00C956B8">
      <w:pPr>
        <w:spacing w:after="0" w:line="240" w:lineRule="auto"/>
        <w:rPr>
          <w:rFonts w:ascii="Verdana" w:eastAsia="Calibri" w:hAnsi="Verdana" w:cs="Arial"/>
          <w:b/>
          <w:bCs/>
          <w:lang w:eastAsia="es-ES_tradnl"/>
        </w:rPr>
      </w:pPr>
      <w:r>
        <w:rPr>
          <w:rFonts w:ascii="Verdana" w:eastAsia="Calibri" w:hAnsi="Verdana" w:cs="Arial"/>
          <w:b/>
          <w:bCs/>
          <w:lang w:eastAsia="es-ES_tradnl"/>
        </w:rPr>
        <w:t>María Paula Guio</w:t>
      </w:r>
    </w:p>
    <w:p w14:paraId="09EBE976" w14:textId="77777777" w:rsidR="00C956B8" w:rsidRDefault="00C956B8" w:rsidP="00C956B8">
      <w:pPr>
        <w:spacing w:after="0" w:line="240" w:lineRule="auto"/>
        <w:rPr>
          <w:rFonts w:ascii="Verdana" w:eastAsia="Calibri" w:hAnsi="Verdana" w:cs="Arial"/>
          <w:lang w:eastAsia="es-ES_tradnl"/>
        </w:rPr>
      </w:pPr>
      <w:r>
        <w:rPr>
          <w:rFonts w:ascii="Verdana" w:eastAsia="Calibri" w:hAnsi="Verdana" w:cs="Arial"/>
          <w:lang w:eastAsia="es-ES_tradnl"/>
        </w:rPr>
        <w:t>GM Ingeniería y Concreto S.A.S</w:t>
      </w:r>
    </w:p>
    <w:p w14:paraId="3A680BB0" w14:textId="77777777" w:rsidR="00C956B8" w:rsidRPr="00301106" w:rsidRDefault="00C956B8" w:rsidP="00C956B8">
      <w:pPr>
        <w:spacing w:after="0" w:line="240" w:lineRule="auto"/>
        <w:rPr>
          <w:rFonts w:ascii="Verdana" w:eastAsia="Calibri" w:hAnsi="Verdana" w:cs="Arial"/>
          <w:lang w:val="es-ES_tradnl" w:eastAsia="es-ES_tradnl"/>
        </w:rPr>
      </w:pPr>
      <w:r w:rsidRPr="00301106">
        <w:rPr>
          <w:rFonts w:ascii="Verdana" w:eastAsia="Calibri" w:hAnsi="Verdana" w:cs="Arial"/>
          <w:lang w:val="es-ES_tradnl" w:eastAsia="es-ES_tradnl"/>
        </w:rPr>
        <w:t>Bogotá D.C</w:t>
      </w:r>
    </w:p>
    <w:p w14:paraId="44954524" w14:textId="77777777" w:rsidR="00C956B8" w:rsidRDefault="00C956B8" w:rsidP="00C956B8">
      <w:pPr>
        <w:spacing w:after="0" w:line="240" w:lineRule="auto"/>
        <w:rPr>
          <w:rFonts w:ascii="Verdana" w:eastAsia="Calibri" w:hAnsi="Verdana" w:cs="Arial"/>
          <w:b/>
          <w:bCs/>
          <w:lang w:val="es-ES_tradnl" w:eastAsia="es-ES_tradnl"/>
        </w:rPr>
      </w:pPr>
    </w:p>
    <w:p w14:paraId="0263396D" w14:textId="77777777" w:rsidR="00CD78A0" w:rsidRDefault="00CD78A0" w:rsidP="00C956B8">
      <w:pPr>
        <w:spacing w:after="0" w:line="240" w:lineRule="auto"/>
        <w:rPr>
          <w:rFonts w:ascii="Verdana" w:eastAsia="Calibri" w:hAnsi="Verdana" w:cs="Arial"/>
          <w:b/>
          <w:bCs/>
          <w:lang w:val="es-ES_tradnl" w:eastAsia="es-ES_tradnl"/>
        </w:rPr>
      </w:pPr>
    </w:p>
    <w:p w14:paraId="6BAF736B" w14:textId="77777777" w:rsidR="00CD78A0" w:rsidRPr="00C865D4" w:rsidRDefault="00CD78A0" w:rsidP="00C956B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956B8" w:rsidRPr="00C865D4" w14:paraId="120A8A0D" w14:textId="77777777" w:rsidTr="009C56EE">
        <w:trPr>
          <w:trHeight w:val="229"/>
        </w:trPr>
        <w:tc>
          <w:tcPr>
            <w:tcW w:w="2689" w:type="dxa"/>
          </w:tcPr>
          <w:p w14:paraId="2D8A46A1" w14:textId="77777777" w:rsidR="00C956B8" w:rsidRPr="00C865D4" w:rsidRDefault="00C956B8" w:rsidP="009C56EE">
            <w:pPr>
              <w:jc w:val="both"/>
              <w:rPr>
                <w:rFonts w:ascii="Verdana" w:eastAsia="Calibri" w:hAnsi="Verdana" w:cs="Arial"/>
                <w:b/>
                <w:bCs/>
                <w:lang w:val="es-ES_tradnl" w:eastAsia="es-ES_tradnl"/>
              </w:rPr>
            </w:pPr>
          </w:p>
        </w:tc>
        <w:tc>
          <w:tcPr>
            <w:tcW w:w="6100" w:type="dxa"/>
          </w:tcPr>
          <w:p w14:paraId="2CC44C15" w14:textId="77777777" w:rsidR="00C956B8" w:rsidRPr="00C865D4" w:rsidRDefault="00C956B8" w:rsidP="009C56EE">
            <w:pPr>
              <w:jc w:val="both"/>
              <w:rPr>
                <w:rFonts w:ascii="Verdana" w:eastAsia="Calibri" w:hAnsi="Verdana" w:cs="Arial"/>
                <w:b/>
                <w:bCs/>
                <w:lang w:val="es-ES" w:eastAsia="es-ES"/>
              </w:rPr>
            </w:pPr>
            <w:r w:rsidRPr="00C865D4">
              <w:rPr>
                <w:rFonts w:ascii="Verdana" w:eastAsia="Calibri" w:hAnsi="Verdana" w:cs="Arial"/>
                <w:b/>
                <w:bCs/>
                <w:lang w:val="es-ES" w:eastAsia="es-ES"/>
              </w:rPr>
              <w:t>Concepto C-</w:t>
            </w:r>
            <w:r>
              <w:rPr>
                <w:rFonts w:ascii="Verdana" w:eastAsia="Calibri" w:hAnsi="Verdana" w:cs="Arial"/>
                <w:b/>
                <w:bCs/>
                <w:lang w:val="es-ES" w:eastAsia="es-ES"/>
              </w:rPr>
              <w:t>337</w:t>
            </w:r>
            <w:r w:rsidRPr="00C865D4">
              <w:rPr>
                <w:rFonts w:ascii="Verdana" w:eastAsia="Calibri" w:hAnsi="Verdana" w:cs="Arial"/>
                <w:b/>
                <w:bCs/>
                <w:lang w:val="es-ES" w:eastAsia="es-ES"/>
              </w:rPr>
              <w:t xml:space="preserve"> de 2025</w:t>
            </w:r>
          </w:p>
          <w:p w14:paraId="01A780F3" w14:textId="77777777" w:rsidR="00C956B8" w:rsidRPr="00C865D4" w:rsidRDefault="00C956B8" w:rsidP="009C56EE">
            <w:pPr>
              <w:jc w:val="both"/>
              <w:rPr>
                <w:rFonts w:ascii="Verdana" w:eastAsia="Calibri" w:hAnsi="Verdana" w:cs="Arial"/>
                <w:b/>
                <w:bCs/>
                <w:lang w:val="es-ES" w:eastAsia="es-ES"/>
              </w:rPr>
            </w:pPr>
          </w:p>
        </w:tc>
      </w:tr>
      <w:tr w:rsidR="00C956B8" w:rsidRPr="00F16C30" w14:paraId="21118C81" w14:textId="77777777" w:rsidTr="009C56EE">
        <w:trPr>
          <w:trHeight w:val="884"/>
        </w:trPr>
        <w:tc>
          <w:tcPr>
            <w:tcW w:w="2689" w:type="dxa"/>
          </w:tcPr>
          <w:p w14:paraId="395EC8CD" w14:textId="77777777" w:rsidR="00C956B8" w:rsidRPr="00C865D4" w:rsidRDefault="00C956B8" w:rsidP="009C56EE">
            <w:pPr>
              <w:jc w:val="both"/>
              <w:rPr>
                <w:rFonts w:ascii="Verdana" w:eastAsia="Calibri" w:hAnsi="Verdana" w:cs="Arial"/>
                <w:lang w:val="es-ES_tradnl" w:eastAsia="es-ES_tradnl"/>
              </w:rPr>
            </w:pPr>
            <w:r w:rsidRPr="00C865D4">
              <w:rPr>
                <w:rFonts w:ascii="Verdana" w:eastAsia="Calibri" w:hAnsi="Verdana" w:cs="Arial"/>
                <w:b/>
                <w:lang w:val="es-ES_tradnl" w:eastAsia="es-ES_tradnl"/>
              </w:rPr>
              <w:t>Temas:</w:t>
            </w:r>
            <w:r w:rsidRPr="00C865D4">
              <w:rPr>
                <w:rFonts w:ascii="Verdana" w:eastAsia="Calibri" w:hAnsi="Verdana" w:cs="Arial"/>
                <w:lang w:val="es-ES_tradnl" w:eastAsia="es-ES_tradnl"/>
              </w:rPr>
              <w:t xml:space="preserve">                   </w:t>
            </w:r>
          </w:p>
        </w:tc>
        <w:tc>
          <w:tcPr>
            <w:tcW w:w="6100" w:type="dxa"/>
          </w:tcPr>
          <w:p w14:paraId="044A28AC" w14:textId="77777777" w:rsidR="00C956B8" w:rsidRPr="00C6066A" w:rsidRDefault="00C956B8" w:rsidP="009C56EE">
            <w:pPr>
              <w:spacing w:line="276" w:lineRule="auto"/>
              <w:jc w:val="both"/>
              <w:rPr>
                <w:rFonts w:ascii="Verdana" w:eastAsia="Calibri" w:hAnsi="Verdana" w:cs="Arial"/>
                <w:lang w:val="es-ES_tradnl"/>
              </w:rPr>
            </w:pPr>
            <w:r w:rsidRPr="00F16C30">
              <w:rPr>
                <w:rFonts w:ascii="Verdana" w:eastAsia="Calibri" w:hAnsi="Verdana" w:cs="Arial"/>
                <w:bCs/>
                <w:lang w:val="es-ES_tradnl" w:eastAsia="es-ES_tradnl"/>
              </w:rPr>
              <w:t xml:space="preserve">DOCUMENTOS TIPO – Fundamento normativo – Obligatoriedad / </w:t>
            </w:r>
            <w:r w:rsidRPr="00C6066A">
              <w:rPr>
                <w:rFonts w:ascii="Verdana" w:eastAsia="Calibri" w:hAnsi="Verdana" w:cs="Arial"/>
                <w:lang w:val="es-ES_tradnl"/>
              </w:rPr>
              <w:t>DOCUMENTOS TIPO – Infraestructura social – Cultura, recreación y deporte / COMBINACIÓN DE EXPERIENCIA − Documentos tipo − Infraestructura Social – Actividad principal y secundaria</w:t>
            </w:r>
          </w:p>
          <w:p w14:paraId="2C06EF28" w14:textId="77777777" w:rsidR="00C956B8" w:rsidRPr="00F16C30" w:rsidRDefault="00C956B8" w:rsidP="009C56EE">
            <w:pPr>
              <w:jc w:val="both"/>
              <w:rPr>
                <w:rFonts w:ascii="Verdana" w:eastAsia="Calibri" w:hAnsi="Verdana" w:cs="Arial"/>
                <w:bCs/>
                <w:lang w:val="es-ES" w:eastAsia="es-ES"/>
              </w:rPr>
            </w:pPr>
          </w:p>
        </w:tc>
      </w:tr>
      <w:tr w:rsidR="00C956B8" w:rsidRPr="00C865D4" w14:paraId="2DE3B8EB" w14:textId="77777777" w:rsidTr="009C56EE">
        <w:tc>
          <w:tcPr>
            <w:tcW w:w="2689" w:type="dxa"/>
          </w:tcPr>
          <w:p w14:paraId="3947E277" w14:textId="77777777" w:rsidR="00C956B8" w:rsidRPr="00C865D4" w:rsidRDefault="00C956B8" w:rsidP="009C56EE">
            <w:pPr>
              <w:jc w:val="both"/>
              <w:rPr>
                <w:rFonts w:ascii="Verdana" w:eastAsia="Calibri" w:hAnsi="Verdana" w:cs="Arial"/>
                <w:b/>
                <w:lang w:val="es-ES_tradnl" w:eastAsia="es-ES_tradnl"/>
              </w:rPr>
            </w:pPr>
            <w:r w:rsidRPr="00C865D4">
              <w:rPr>
                <w:rFonts w:ascii="Verdana" w:eastAsia="Calibri" w:hAnsi="Verdana" w:cs="Arial"/>
                <w:b/>
                <w:lang w:val="es-ES_tradnl" w:eastAsia="es-ES_tradnl"/>
              </w:rPr>
              <w:t>Radicación:</w:t>
            </w:r>
            <w:r w:rsidRPr="00C865D4">
              <w:rPr>
                <w:rFonts w:ascii="Verdana" w:eastAsia="Calibri" w:hAnsi="Verdana" w:cs="Arial"/>
                <w:lang w:val="es-ES_tradnl" w:eastAsia="es-ES_tradnl"/>
              </w:rPr>
              <w:t xml:space="preserve">               </w:t>
            </w:r>
          </w:p>
        </w:tc>
        <w:tc>
          <w:tcPr>
            <w:tcW w:w="6100" w:type="dxa"/>
          </w:tcPr>
          <w:p w14:paraId="15C7D283" w14:textId="4D6C5D13" w:rsidR="00C956B8" w:rsidRPr="00C865D4" w:rsidRDefault="00C956B8" w:rsidP="00213EB8">
            <w:pPr>
              <w:ind w:left="717" w:hanging="708"/>
              <w:jc w:val="both"/>
              <w:rPr>
                <w:rFonts w:ascii="Verdana" w:eastAsia="Calibri" w:hAnsi="Verdana" w:cs="Arial"/>
                <w:lang w:val="es-ES_tradnl" w:eastAsia="es-ES_tradnl"/>
              </w:rPr>
            </w:pPr>
            <w:r w:rsidRPr="00C865D4">
              <w:rPr>
                <w:rFonts w:ascii="Verdana" w:eastAsia="Calibri" w:hAnsi="Verdana" w:cs="Arial"/>
                <w:lang w:val="es-ES_tradnl" w:eastAsia="es-ES_tradnl"/>
              </w:rPr>
              <w:t>Respuesta a consulta con radicado No.</w:t>
            </w:r>
            <w:r w:rsidR="00582F1F">
              <w:rPr>
                <w:rFonts w:ascii="Verdana" w:eastAsia="Calibri" w:hAnsi="Verdana" w:cs="Arial"/>
                <w:lang w:val="es-ES_tradnl" w:eastAsia="es-ES_tradnl"/>
              </w:rPr>
              <w:t xml:space="preserve"> </w:t>
            </w:r>
            <w:r w:rsidRPr="00301106">
              <w:rPr>
                <w:rFonts w:ascii="Verdana" w:eastAsia="Calibri" w:hAnsi="Verdana" w:cs="Arial"/>
                <w:lang w:val="es-ES_tradnl" w:eastAsia="es-ES_tradnl"/>
              </w:rPr>
              <w:t>P20250319002678</w:t>
            </w:r>
          </w:p>
        </w:tc>
      </w:tr>
    </w:tbl>
    <w:p w14:paraId="1439D43C" w14:textId="77777777" w:rsidR="00C956B8" w:rsidRPr="00C865D4" w:rsidRDefault="00C956B8" w:rsidP="00C956B8">
      <w:pPr>
        <w:spacing w:after="0" w:line="240" w:lineRule="auto"/>
        <w:jc w:val="both"/>
        <w:rPr>
          <w:rFonts w:ascii="Verdana" w:eastAsia="Calibri" w:hAnsi="Verdana" w:cs="Arial"/>
          <w:lang w:val="es-ES_tradnl" w:eastAsia="es-ES_tradnl"/>
        </w:rPr>
      </w:pPr>
    </w:p>
    <w:p w14:paraId="098FB281" w14:textId="77777777" w:rsidR="00C956B8" w:rsidRPr="00C865D4" w:rsidRDefault="00C956B8" w:rsidP="00C956B8">
      <w:pPr>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Estimad</w:t>
      </w:r>
      <w:r>
        <w:rPr>
          <w:rFonts w:ascii="Verdana" w:eastAsia="Calibri" w:hAnsi="Verdana" w:cs="Arial"/>
          <w:lang w:val="es-ES" w:eastAsia="es-ES"/>
        </w:rPr>
        <w:t>a señora Guio</w:t>
      </w:r>
      <w:r w:rsidRPr="00C865D4">
        <w:rPr>
          <w:rFonts w:ascii="Verdana" w:eastAsia="Calibri" w:hAnsi="Verdana" w:cs="Arial"/>
          <w:lang w:val="es-ES" w:eastAsia="es-ES"/>
        </w:rPr>
        <w:t xml:space="preserve">: </w:t>
      </w:r>
    </w:p>
    <w:p w14:paraId="68BFB4E2" w14:textId="77777777" w:rsidR="00C956B8" w:rsidRPr="00C865D4" w:rsidRDefault="00C956B8" w:rsidP="00C956B8">
      <w:pPr>
        <w:tabs>
          <w:tab w:val="left" w:pos="3768"/>
        </w:tabs>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ab/>
      </w:r>
    </w:p>
    <w:p w14:paraId="1D8B40E2" w14:textId="77777777" w:rsidR="00C956B8" w:rsidRPr="00C865D4" w:rsidRDefault="00C956B8" w:rsidP="00C956B8">
      <w:pPr>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En ejercicio de la competencia otorgada por los artículos 3, numeral 5º, y 11, numeral 8º, del Decreto Ley 4170 de 2011,</w:t>
      </w:r>
      <w:r w:rsidRPr="00C865D4">
        <w:rPr>
          <w:rFonts w:ascii="Verdana" w:eastAsia="Arial MT" w:hAnsi="Verdana" w:cs="Arial MT"/>
          <w:lang w:val="es-ES" w:eastAsia="es-ES"/>
        </w:rPr>
        <w:t xml:space="preserve"> </w:t>
      </w:r>
      <w:r w:rsidRPr="00C865D4">
        <w:rPr>
          <w:rFonts w:ascii="Verdana" w:hAnsi="Verdana" w:cs="Arial"/>
        </w:rPr>
        <w:t xml:space="preserve">así como lo establecido en el artículo 4 de la Resolución 1707 de 2018 expedida por esta Entidad, </w:t>
      </w:r>
      <w:r w:rsidRPr="00C865D4">
        <w:rPr>
          <w:rFonts w:ascii="Verdana" w:eastAsia="Calibri" w:hAnsi="Verdana" w:cs="Arial"/>
          <w:lang w:val="es-ES" w:eastAsia="es-ES"/>
        </w:rPr>
        <w:t xml:space="preserve">la Agencia Nacional de Contratación Pública – Colombia Compra Eficiente– responde su solicitud de consulta del </w:t>
      </w:r>
      <w:r>
        <w:rPr>
          <w:rFonts w:ascii="Verdana" w:eastAsia="Calibri" w:hAnsi="Verdana" w:cs="Arial"/>
          <w:lang w:val="es-ES" w:eastAsia="es-ES"/>
        </w:rPr>
        <w:t>19</w:t>
      </w:r>
      <w:r w:rsidRPr="00C865D4">
        <w:rPr>
          <w:rFonts w:ascii="Verdana" w:eastAsia="Calibri" w:hAnsi="Verdana" w:cs="Arial"/>
          <w:lang w:val="es-ES" w:eastAsia="es-ES"/>
        </w:rPr>
        <w:t xml:space="preserve"> de </w:t>
      </w:r>
      <w:r>
        <w:rPr>
          <w:rFonts w:ascii="Verdana" w:eastAsia="Calibri" w:hAnsi="Verdana" w:cs="Arial"/>
          <w:lang w:val="es-ES" w:eastAsia="es-ES"/>
        </w:rPr>
        <w:t>marzo</w:t>
      </w:r>
      <w:r w:rsidRPr="00C865D4">
        <w:rPr>
          <w:rFonts w:ascii="Verdana" w:eastAsia="Calibri" w:hAnsi="Verdana" w:cs="Arial"/>
          <w:lang w:val="es-ES" w:eastAsia="es-ES"/>
        </w:rPr>
        <w:t xml:space="preserve"> de 2025, en la cual manifiesta lo siguiente: </w:t>
      </w:r>
    </w:p>
    <w:p w14:paraId="0244DE78" w14:textId="77777777" w:rsidR="00C956B8" w:rsidRPr="00C865D4" w:rsidRDefault="00C956B8" w:rsidP="00C956B8">
      <w:pPr>
        <w:tabs>
          <w:tab w:val="left" w:pos="142"/>
          <w:tab w:val="left" w:pos="284"/>
        </w:tabs>
        <w:spacing w:after="0" w:line="276" w:lineRule="auto"/>
        <w:jc w:val="both"/>
        <w:rPr>
          <w:rFonts w:ascii="Verdana" w:eastAsia="Century Gothic" w:hAnsi="Verdana" w:cs="Century Gothic"/>
          <w:b/>
          <w:bCs/>
        </w:rPr>
      </w:pPr>
    </w:p>
    <w:p w14:paraId="27175632" w14:textId="77777777" w:rsidR="00C956B8" w:rsidRDefault="00C956B8" w:rsidP="00C956B8">
      <w:pPr>
        <w:spacing w:after="0" w:line="240" w:lineRule="auto"/>
        <w:ind w:left="709" w:right="709"/>
        <w:jc w:val="both"/>
        <w:rPr>
          <w:rFonts w:ascii="Verdana" w:eastAsia="Century Gothic" w:hAnsi="Verdana" w:cs="Century Gothic"/>
          <w:sz w:val="21"/>
          <w:szCs w:val="21"/>
        </w:rPr>
      </w:pPr>
      <w:r>
        <w:rPr>
          <w:rFonts w:ascii="Verdana" w:eastAsia="Century Gothic" w:hAnsi="Verdana" w:cs="Century Gothic"/>
          <w:sz w:val="21"/>
          <w:szCs w:val="21"/>
          <w:lang w:val="es-ES"/>
        </w:rPr>
        <w:t>“</w:t>
      </w:r>
      <w:r w:rsidRPr="00301106">
        <w:rPr>
          <w:rFonts w:ascii="Verdana" w:eastAsia="Century Gothic" w:hAnsi="Verdana" w:cs="Century Gothic"/>
          <w:sz w:val="21"/>
          <w:szCs w:val="21"/>
        </w:rPr>
        <w:t>aclarar el criterio que deben seguir las entidades para determinar la actividad secundaria dentro de las combinaciones de experiencia previstas en los pliegos tipo.</w:t>
      </w:r>
    </w:p>
    <w:p w14:paraId="45528346" w14:textId="77777777" w:rsidR="00C956B8" w:rsidRDefault="00C956B8" w:rsidP="00C956B8">
      <w:pPr>
        <w:spacing w:after="0" w:line="240" w:lineRule="auto"/>
        <w:ind w:left="709" w:right="709"/>
        <w:jc w:val="both"/>
        <w:rPr>
          <w:rFonts w:ascii="Verdana" w:eastAsia="Century Gothic" w:hAnsi="Verdana" w:cs="Century Gothic"/>
          <w:sz w:val="21"/>
          <w:szCs w:val="21"/>
        </w:rPr>
      </w:pPr>
    </w:p>
    <w:p w14:paraId="0982ED60" w14:textId="77777777" w:rsidR="00C956B8" w:rsidRDefault="00C956B8" w:rsidP="00C956B8">
      <w:pPr>
        <w:spacing w:after="0" w:line="240" w:lineRule="auto"/>
        <w:ind w:left="709" w:right="709"/>
        <w:jc w:val="both"/>
        <w:rPr>
          <w:rFonts w:ascii="Verdana" w:eastAsia="Century Gothic" w:hAnsi="Verdana" w:cs="Century Gothic"/>
          <w:sz w:val="21"/>
          <w:szCs w:val="21"/>
        </w:rPr>
      </w:pPr>
      <w:r w:rsidRPr="00301106">
        <w:rPr>
          <w:rFonts w:ascii="Verdana" w:eastAsia="Century Gothic" w:hAnsi="Verdana" w:cs="Century Gothic"/>
          <w:sz w:val="21"/>
          <w:szCs w:val="21"/>
        </w:rPr>
        <w:t xml:space="preserve">En particular, requerimos precisar si, en un proceso cuyo objeto contractual corresponde a "Mantenimiento y Adecuaciones en una </w:t>
      </w:r>
      <w:r w:rsidRPr="00301106">
        <w:rPr>
          <w:rFonts w:ascii="Verdana" w:eastAsia="Century Gothic" w:hAnsi="Verdana" w:cs="Century Gothic"/>
          <w:sz w:val="21"/>
          <w:szCs w:val="21"/>
        </w:rPr>
        <w:lastRenderedPageBreak/>
        <w:t>Infraestructura Cultural", resulta procedente exigir experiencia secundaria en actividades como "Redes Hidrosanitarias" o "Baterías Sanitarias" o "Unidades Sanitarias", cuando tales conceptos no están expresamente contemplados en la definición del objeto y alcance contractual, pero sí aparecen</w:t>
      </w:r>
      <w:r>
        <w:rPr>
          <w:rFonts w:ascii="Verdana" w:eastAsia="Century Gothic" w:hAnsi="Verdana" w:cs="Century Gothic"/>
          <w:sz w:val="21"/>
          <w:szCs w:val="21"/>
        </w:rPr>
        <w:t xml:space="preserve"> dentro de las actividades del proyecto</w:t>
      </w:r>
    </w:p>
    <w:p w14:paraId="7ED92049" w14:textId="77777777" w:rsidR="00C956B8" w:rsidRDefault="00C956B8" w:rsidP="00C956B8">
      <w:pPr>
        <w:spacing w:after="0" w:line="240" w:lineRule="auto"/>
        <w:ind w:left="709" w:right="709"/>
        <w:jc w:val="both"/>
        <w:rPr>
          <w:rFonts w:ascii="Verdana" w:eastAsia="Century Gothic" w:hAnsi="Verdana" w:cs="Century Gothic"/>
          <w:sz w:val="21"/>
          <w:szCs w:val="21"/>
        </w:rPr>
      </w:pPr>
    </w:p>
    <w:p w14:paraId="6AB89B5C" w14:textId="77777777" w:rsidR="00C956B8" w:rsidRDefault="00C956B8" w:rsidP="00C956B8">
      <w:pPr>
        <w:spacing w:after="0" w:line="240" w:lineRule="auto"/>
        <w:ind w:left="709" w:right="709"/>
        <w:jc w:val="both"/>
        <w:rPr>
          <w:rFonts w:ascii="Verdana" w:eastAsia="Century Gothic" w:hAnsi="Verdana" w:cs="Century Gothic"/>
          <w:sz w:val="21"/>
          <w:szCs w:val="21"/>
        </w:rPr>
      </w:pPr>
      <w:r>
        <w:rPr>
          <w:rFonts w:ascii="Verdana" w:eastAsia="Century Gothic" w:hAnsi="Verdana" w:cs="Century Gothic"/>
          <w:sz w:val="21"/>
          <w:szCs w:val="21"/>
        </w:rPr>
        <w:t xml:space="preserve">(…)”. </w:t>
      </w:r>
    </w:p>
    <w:p w14:paraId="472D0897" w14:textId="77777777" w:rsidR="00C956B8" w:rsidRPr="00C865D4" w:rsidRDefault="00C956B8" w:rsidP="00C956B8">
      <w:pPr>
        <w:spacing w:after="0" w:line="276" w:lineRule="auto"/>
        <w:jc w:val="both"/>
        <w:rPr>
          <w:rFonts w:ascii="Verdana" w:eastAsia="Calibri" w:hAnsi="Verdana" w:cs="Arial"/>
          <w:lang w:val="es-ES" w:eastAsia="es-ES"/>
        </w:rPr>
      </w:pPr>
    </w:p>
    <w:p w14:paraId="25AF5F79" w14:textId="77777777" w:rsidR="00C956B8" w:rsidRPr="00C865D4" w:rsidRDefault="00C956B8" w:rsidP="00C956B8">
      <w:pPr>
        <w:numPr>
          <w:ilvl w:val="0"/>
          <w:numId w:val="19"/>
        </w:numPr>
        <w:tabs>
          <w:tab w:val="left" w:pos="142"/>
          <w:tab w:val="left" w:pos="284"/>
        </w:tabs>
        <w:spacing w:after="0" w:line="276" w:lineRule="auto"/>
        <w:jc w:val="both"/>
        <w:rPr>
          <w:rFonts w:ascii="Verdana" w:eastAsia="Century Gothic" w:hAnsi="Verdana" w:cs="Century Gothic"/>
          <w:b/>
          <w:bCs/>
        </w:rPr>
      </w:pPr>
      <w:r w:rsidRPr="00C865D4">
        <w:rPr>
          <w:rFonts w:ascii="Verdana" w:eastAsia="Century Gothic" w:hAnsi="Verdana" w:cs="Century Gothic"/>
          <w:b/>
          <w:bCs/>
        </w:rPr>
        <w:t>Problema planteado:</w:t>
      </w:r>
    </w:p>
    <w:p w14:paraId="53EE7DE5" w14:textId="77777777" w:rsidR="00C956B8" w:rsidRPr="00C865D4" w:rsidRDefault="00C956B8" w:rsidP="00C956B8">
      <w:pPr>
        <w:tabs>
          <w:tab w:val="left" w:pos="426"/>
        </w:tabs>
        <w:spacing w:after="0" w:line="276" w:lineRule="auto"/>
        <w:jc w:val="both"/>
        <w:rPr>
          <w:rFonts w:ascii="Verdana" w:eastAsia="Century Gothic" w:hAnsi="Verdana" w:cs="Century Gothic"/>
          <w:lang w:val="es-ES"/>
        </w:rPr>
      </w:pPr>
    </w:p>
    <w:p w14:paraId="7F60AB54" w14:textId="77777777" w:rsidR="00C956B8" w:rsidRPr="00C865D4" w:rsidRDefault="00C956B8" w:rsidP="00C956B8">
      <w:pPr>
        <w:spacing w:after="0" w:line="276" w:lineRule="auto"/>
        <w:jc w:val="both"/>
        <w:rPr>
          <w:rFonts w:ascii="Verdana" w:eastAsia="Calibri" w:hAnsi="Verdana" w:cs="Arial"/>
          <w:bCs/>
          <w:lang w:val="es-ES_tradnl" w:eastAsia="es-ES_tradnl"/>
        </w:rPr>
      </w:pPr>
      <w:r w:rsidRPr="00C6066A">
        <w:rPr>
          <w:rFonts w:ascii="Verdana" w:eastAsia="Century Gothic" w:hAnsi="Verdana" w:cs="Century Gothic"/>
        </w:rPr>
        <w:t xml:space="preserve">De acuerdo con el contenido de su solicitud, esta Agencia resolverá el siguiente problema jurídico: </w:t>
      </w:r>
      <w:r w:rsidRPr="00C6066A">
        <w:rPr>
          <w:rFonts w:ascii="Verdana" w:eastAsia="Calibri" w:hAnsi="Verdana" w:cs="Arial"/>
          <w:bCs/>
          <w:lang w:val="es-ES_tradnl" w:eastAsia="es-ES_tradnl"/>
        </w:rPr>
        <w:t>¿Cómo opera la combinación de experiencia entre dos (2) actividades contenidas en la Matriz – Experiencia de los documentos tipo complementarios del sector de infraestructura de cultura, recreación y deporte?</w:t>
      </w:r>
      <w:r w:rsidRPr="00C865D4">
        <w:rPr>
          <w:rFonts w:ascii="Verdana" w:eastAsia="Calibri" w:hAnsi="Verdana" w:cs="Arial"/>
          <w:bCs/>
          <w:lang w:val="es-ES_tradnl" w:eastAsia="es-ES_tradnl"/>
        </w:rPr>
        <w:t xml:space="preserve"> </w:t>
      </w:r>
    </w:p>
    <w:p w14:paraId="3A99C05C" w14:textId="77777777" w:rsidR="00C956B8" w:rsidRPr="00C865D4" w:rsidRDefault="00C956B8" w:rsidP="00C956B8">
      <w:pPr>
        <w:spacing w:after="0" w:line="276" w:lineRule="auto"/>
        <w:jc w:val="both"/>
        <w:rPr>
          <w:rFonts w:ascii="Verdana" w:eastAsia="Century Gothic" w:hAnsi="Verdana" w:cs="Century Gothic"/>
        </w:rPr>
      </w:pPr>
    </w:p>
    <w:p w14:paraId="3775533A" w14:textId="77777777" w:rsidR="00C956B8" w:rsidRPr="00C865D4" w:rsidRDefault="00C956B8" w:rsidP="00C956B8">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C865D4">
        <w:rPr>
          <w:rFonts w:ascii="Verdana" w:eastAsia="Century Gothic" w:hAnsi="Verdana" w:cs="Century Gothic"/>
          <w:b/>
          <w:bCs/>
          <w:lang w:val="es-ES"/>
        </w:rPr>
        <w:t>Respuestas:</w:t>
      </w:r>
    </w:p>
    <w:p w14:paraId="2B06AEB0" w14:textId="77777777" w:rsidR="00C956B8" w:rsidRPr="00C865D4" w:rsidRDefault="00C956B8" w:rsidP="00C956B8">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956B8" w:rsidRPr="00C865D4" w14:paraId="68139835" w14:textId="77777777" w:rsidTr="009C56EE">
        <w:trPr>
          <w:trHeight w:val="40"/>
        </w:trPr>
        <w:tc>
          <w:tcPr>
            <w:tcW w:w="8828" w:type="dxa"/>
            <w:tcBorders>
              <w:top w:val="dotted" w:sz="4" w:space="0" w:color="auto"/>
              <w:left w:val="dotted" w:sz="4" w:space="0" w:color="auto"/>
              <w:bottom w:val="dotted" w:sz="4" w:space="0" w:color="auto"/>
              <w:right w:val="dotted" w:sz="4" w:space="0" w:color="auto"/>
            </w:tcBorders>
          </w:tcPr>
          <w:p w14:paraId="3A686EE1" w14:textId="77777777" w:rsidR="00C956B8" w:rsidRPr="00E4165E" w:rsidRDefault="00C956B8" w:rsidP="009C56EE">
            <w:pPr>
              <w:jc w:val="both"/>
              <w:rPr>
                <w:rFonts w:ascii="Verdana" w:hAnsi="Verdana"/>
              </w:rPr>
            </w:pPr>
            <w:r w:rsidRPr="00E4165E">
              <w:rPr>
                <w:rFonts w:ascii="Verdana" w:hAnsi="Verdana"/>
              </w:rPr>
              <w:t xml:space="preserve">La “Matriz – Experiencia” del sector de cultura, recreación y deporte, contiene la actividad 1.2 “Proyectos de terminación y/o mejoramiento y/o remodelación y/o </w:t>
            </w:r>
            <w:r w:rsidRPr="00E4165E">
              <w:rPr>
                <w:rFonts w:ascii="Verdana" w:hAnsi="Verdana"/>
                <w:b/>
                <w:bCs/>
                <w:u w:val="single"/>
              </w:rPr>
              <w:t>adecuación</w:t>
            </w:r>
            <w:r w:rsidRPr="00E4165E">
              <w:rPr>
                <w:rFonts w:ascii="Verdana" w:hAnsi="Verdana"/>
              </w:rPr>
              <w:t xml:space="preserve"> y/o modificación y/o </w:t>
            </w:r>
            <w:r w:rsidRPr="00E4165E">
              <w:rPr>
                <w:rFonts w:ascii="Verdana" w:hAnsi="Verdana"/>
                <w:b/>
                <w:bCs/>
                <w:u w:val="single"/>
              </w:rPr>
              <w:t>mantenimiento</w:t>
            </w:r>
            <w:r w:rsidRPr="00E4165E">
              <w:rPr>
                <w:rFonts w:ascii="Verdana" w:hAnsi="Verdana"/>
              </w:rPr>
              <w:t xml:space="preserve"> </w:t>
            </w:r>
            <w:r w:rsidRPr="00E4165E">
              <w:rPr>
                <w:rFonts w:ascii="Verdana" w:hAnsi="Verdana"/>
                <w:b/>
                <w:bCs/>
                <w:u w:val="single"/>
              </w:rPr>
              <w:t>de infraestructura cultural”</w:t>
            </w:r>
            <w:r w:rsidRPr="00E4165E">
              <w:rPr>
                <w:rFonts w:ascii="Verdana" w:hAnsi="Verdana"/>
              </w:rPr>
              <w:t>. (negrilla y subraya fuera de texto)</w:t>
            </w:r>
          </w:p>
          <w:p w14:paraId="53727884" w14:textId="77777777" w:rsidR="00C956B8" w:rsidRPr="00E4165E" w:rsidRDefault="00C956B8" w:rsidP="009C56EE">
            <w:pPr>
              <w:ind w:right="474"/>
              <w:jc w:val="both"/>
              <w:rPr>
                <w:rFonts w:ascii="Verdana" w:hAnsi="Verdana"/>
                <w:i/>
                <w:iCs/>
              </w:rPr>
            </w:pPr>
            <w:r w:rsidRPr="00E4165E">
              <w:rPr>
                <w:rFonts w:ascii="Verdana" w:hAnsi="Verdana"/>
                <w:i/>
                <w:iCs/>
              </w:rPr>
              <w:tab/>
            </w:r>
            <w:r w:rsidRPr="00E4165E">
              <w:rPr>
                <w:rFonts w:ascii="Verdana" w:hAnsi="Verdana"/>
                <w:i/>
                <w:iCs/>
              </w:rPr>
              <w:tab/>
            </w:r>
            <w:r w:rsidRPr="00E4165E">
              <w:rPr>
                <w:rFonts w:ascii="Verdana" w:hAnsi="Verdana"/>
                <w:i/>
                <w:iCs/>
              </w:rPr>
              <w:tab/>
            </w:r>
            <w:r w:rsidRPr="00E4165E">
              <w:rPr>
                <w:rFonts w:ascii="Verdana" w:hAnsi="Verdana"/>
                <w:i/>
                <w:iCs/>
              </w:rPr>
              <w:tab/>
            </w:r>
            <w:r w:rsidRPr="00E4165E">
              <w:rPr>
                <w:rFonts w:ascii="Verdana" w:hAnsi="Verdana"/>
                <w:i/>
                <w:iCs/>
              </w:rPr>
              <w:tab/>
            </w:r>
            <w:r w:rsidRPr="00E4165E">
              <w:rPr>
                <w:rFonts w:ascii="Verdana" w:hAnsi="Verdana"/>
                <w:i/>
                <w:iCs/>
              </w:rPr>
              <w:tab/>
            </w:r>
            <w:r w:rsidRPr="00E4165E">
              <w:rPr>
                <w:rFonts w:ascii="Verdana" w:hAnsi="Verdana"/>
                <w:i/>
                <w:iCs/>
              </w:rPr>
              <w:tab/>
            </w:r>
            <w:r w:rsidRPr="00E4165E">
              <w:rPr>
                <w:rFonts w:ascii="Verdana" w:hAnsi="Verdana"/>
                <w:i/>
                <w:iCs/>
              </w:rPr>
              <w:tab/>
            </w:r>
          </w:p>
          <w:p w14:paraId="6986446E" w14:textId="77777777" w:rsidR="00C956B8" w:rsidRPr="00E4165E" w:rsidRDefault="00C956B8" w:rsidP="009C56EE">
            <w:pPr>
              <w:jc w:val="both"/>
              <w:rPr>
                <w:rFonts w:ascii="Verdana" w:hAnsi="Verdana"/>
              </w:rPr>
            </w:pPr>
            <w:r w:rsidRPr="00E4165E">
              <w:rPr>
                <w:rFonts w:ascii="Verdana" w:hAnsi="Verdana"/>
              </w:rPr>
              <w:t>Por otra parte, la otra actividad por la que se indaga corresponde a la prevista en el numeral 1.7 de la Matriz – Experiencia del sector que se ha venido comentando. Esta actividad, corresponde a “Proyectos de construcción y/o mantenimiento y/o adecuación y/</w:t>
            </w:r>
            <w:proofErr w:type="spellStart"/>
            <w:r w:rsidRPr="00E4165E">
              <w:rPr>
                <w:rFonts w:ascii="Verdana" w:hAnsi="Verdana"/>
              </w:rPr>
              <w:t>o</w:t>
            </w:r>
            <w:proofErr w:type="spellEnd"/>
            <w:r w:rsidRPr="00E4165E">
              <w:rPr>
                <w:rFonts w:ascii="Verdana" w:hAnsi="Verdana"/>
              </w:rPr>
              <w:t xml:space="preserve"> optimización y/o mejoramiento y/o intervención de </w:t>
            </w:r>
            <w:r w:rsidRPr="00E4165E">
              <w:rPr>
                <w:rFonts w:ascii="Verdana" w:hAnsi="Verdana"/>
                <w:b/>
                <w:bCs/>
                <w:u w:val="single"/>
              </w:rPr>
              <w:t>baterías sanitarias y/o redes hidrosanitarias</w:t>
            </w:r>
            <w:r w:rsidRPr="00E4165E">
              <w:rPr>
                <w:rFonts w:ascii="Verdana" w:hAnsi="Verdana"/>
              </w:rPr>
              <w:t xml:space="preserve"> y/o redes contra incendios de infraestructura cultural (Negrilla y subraya fuera de texto).</w:t>
            </w:r>
          </w:p>
          <w:p w14:paraId="5EFC200D" w14:textId="77777777" w:rsidR="00C956B8" w:rsidRPr="00E4165E" w:rsidRDefault="00C956B8" w:rsidP="009C56EE">
            <w:pPr>
              <w:ind w:right="474"/>
              <w:jc w:val="both"/>
              <w:rPr>
                <w:rFonts w:ascii="Verdana" w:hAnsi="Verdana"/>
              </w:rPr>
            </w:pPr>
            <w:r w:rsidRPr="00E4165E">
              <w:rPr>
                <w:rFonts w:ascii="Verdana" w:hAnsi="Verdana"/>
              </w:rPr>
              <w:tab/>
            </w:r>
            <w:r w:rsidRPr="00E4165E">
              <w:rPr>
                <w:rFonts w:ascii="Verdana" w:hAnsi="Verdana"/>
              </w:rPr>
              <w:tab/>
            </w:r>
            <w:r w:rsidRPr="00E4165E">
              <w:rPr>
                <w:rFonts w:ascii="Verdana" w:hAnsi="Verdana"/>
              </w:rPr>
              <w:tab/>
            </w:r>
            <w:r w:rsidRPr="00E4165E">
              <w:rPr>
                <w:rFonts w:ascii="Verdana" w:hAnsi="Verdana"/>
              </w:rPr>
              <w:tab/>
            </w:r>
            <w:r w:rsidRPr="00E4165E">
              <w:rPr>
                <w:rFonts w:ascii="Verdana" w:hAnsi="Verdana"/>
              </w:rPr>
              <w:tab/>
            </w:r>
            <w:r w:rsidRPr="00E4165E">
              <w:rPr>
                <w:rFonts w:ascii="Verdana" w:hAnsi="Verdana"/>
              </w:rPr>
              <w:tab/>
            </w:r>
            <w:r w:rsidRPr="00E4165E">
              <w:rPr>
                <w:rFonts w:ascii="Verdana" w:hAnsi="Verdana"/>
              </w:rPr>
              <w:tab/>
            </w:r>
          </w:p>
          <w:p w14:paraId="096688BD" w14:textId="77777777" w:rsidR="00C956B8" w:rsidRPr="00E4165E" w:rsidRDefault="00C956B8" w:rsidP="009C56EE">
            <w:pPr>
              <w:jc w:val="both"/>
              <w:rPr>
                <w:rFonts w:ascii="Verdana" w:eastAsia="Calibri" w:hAnsi="Verdana" w:cs="Arial"/>
                <w:lang w:val="es-ES_tradnl"/>
              </w:rPr>
            </w:pPr>
            <w:r w:rsidRPr="00E4165E">
              <w:rPr>
                <w:rFonts w:ascii="Verdana" w:hAnsi="Verdana"/>
              </w:rPr>
              <w:t>Para combinar las actividades señalas, debe tenerse en cuenta que, la Matriz – Experiencia del documento tipo complementario del sector de infraestructura de cultura, recreación y deporte, establece dentro de las “Reglas para definir la experiencia exigible en el proceso de contratación” lo siguiente:</w:t>
            </w:r>
          </w:p>
          <w:p w14:paraId="3D98715C" w14:textId="77777777" w:rsidR="00C956B8" w:rsidRDefault="00C956B8" w:rsidP="009C56EE">
            <w:pPr>
              <w:jc w:val="both"/>
              <w:rPr>
                <w:rFonts w:ascii="Verdana" w:eastAsia="Calibri" w:hAnsi="Verdana" w:cs="Arial"/>
                <w:lang w:val="es-ES_tradnl"/>
              </w:rPr>
            </w:pPr>
          </w:p>
          <w:p w14:paraId="1C41A0D4" w14:textId="77777777" w:rsidR="00C956B8" w:rsidRDefault="00C956B8" w:rsidP="009C56EE">
            <w:pPr>
              <w:pStyle w:val="Prrafodelista"/>
              <w:ind w:right="474"/>
              <w:jc w:val="both"/>
              <w:rPr>
                <w:rFonts w:ascii="Verdana" w:hAnsi="Verdana"/>
                <w:i/>
                <w:iCs/>
              </w:rPr>
            </w:pPr>
            <w:r>
              <w:rPr>
                <w:rFonts w:ascii="Verdana" w:hAnsi="Verdana"/>
                <w:i/>
                <w:iCs/>
              </w:rPr>
              <w:t>“</w:t>
            </w:r>
            <w:r w:rsidRPr="00B4205B">
              <w:rPr>
                <w:rFonts w:ascii="Verdana" w:hAnsi="Verdana"/>
                <w:i/>
                <w:iCs/>
                <w:lang w:val="es-CO"/>
              </w:rPr>
              <w:t xml:space="preserve">vi) Cuando el objeto del proceso de contratación </w:t>
            </w:r>
            <w:proofErr w:type="gramStart"/>
            <w:r w:rsidRPr="00B4205B">
              <w:rPr>
                <w:rFonts w:ascii="Verdana" w:hAnsi="Verdana"/>
                <w:i/>
                <w:iCs/>
                <w:lang w:val="es-CO"/>
              </w:rPr>
              <w:t>contemple</w:t>
            </w:r>
            <w:proofErr w:type="gramEnd"/>
            <w:r w:rsidRPr="00B4205B">
              <w:rPr>
                <w:rFonts w:ascii="Verdana" w:hAnsi="Verdana"/>
                <w:i/>
                <w:iCs/>
                <w:lang w:val="es-CO"/>
              </w:rPr>
              <w:t xml:space="preserve"> la ejecución de dos o más “Actividades a Contratar” (ej.: 1.1 y 2.1), </w:t>
            </w:r>
            <w:r w:rsidRPr="00B4205B">
              <w:rPr>
                <w:rFonts w:ascii="Verdana" w:hAnsi="Verdana"/>
                <w:i/>
                <w:iCs/>
                <w:lang w:val="es-CO"/>
              </w:rPr>
              <w:lastRenderedPageBreak/>
              <w:t>la entidad procederá de acuerdo con lo indicado en el Documento Base en relación con la combinación de experiencia</w:t>
            </w:r>
            <w:r>
              <w:rPr>
                <w:rFonts w:ascii="Verdana" w:hAnsi="Verdana"/>
                <w:i/>
                <w:iCs/>
              </w:rPr>
              <w:t>”</w:t>
            </w:r>
            <w:r w:rsidRPr="00B4205B">
              <w:rPr>
                <w:rFonts w:ascii="Verdana" w:hAnsi="Verdana"/>
                <w:i/>
                <w:iCs/>
                <w:lang w:val="es-CO"/>
              </w:rPr>
              <w:t>.</w:t>
            </w:r>
          </w:p>
          <w:p w14:paraId="1CC3A6A8" w14:textId="77777777" w:rsidR="00C956B8" w:rsidRDefault="00C956B8" w:rsidP="009C56EE">
            <w:pPr>
              <w:pStyle w:val="Prrafodelista"/>
              <w:ind w:right="474"/>
              <w:jc w:val="both"/>
              <w:rPr>
                <w:rFonts w:ascii="Verdana" w:hAnsi="Verdana"/>
                <w:i/>
                <w:iCs/>
              </w:rPr>
            </w:pPr>
          </w:p>
          <w:p w14:paraId="18DD3301" w14:textId="77777777" w:rsidR="00C956B8" w:rsidRDefault="00C956B8" w:rsidP="009C56EE">
            <w:pPr>
              <w:jc w:val="both"/>
              <w:rPr>
                <w:rFonts w:ascii="Verdana" w:hAnsi="Verdana"/>
              </w:rPr>
            </w:pPr>
            <w:r w:rsidRPr="00E4165E">
              <w:rPr>
                <w:rFonts w:ascii="Verdana" w:hAnsi="Verdana"/>
              </w:rPr>
              <w:t xml:space="preserve">De esta forma, según se indica cuando el objeto de contratación contemple la ejecución de dos (2) o más actividades, en este caso previstas en la Matriz – Experiencia del sector cultura, recreación y deporte, se aplicará lo dispuesto en el documento base. Concretamente, el numeral 3.5.1 “CARACTERÍSTICAS DE LOS CONTRATOS PRESENTADOS PARA ACREDITAR LA EXPERIENCIA EXIGIDA”, en el que se indican las reglas que deben tener en cuenta las entidades estatales y los particulares en caso de que se soliciten combinaciones de diferentes actividades a contratar de una misma o de diferentes matrices de experiencia. </w:t>
            </w:r>
          </w:p>
          <w:p w14:paraId="78FA7B23" w14:textId="77777777" w:rsidR="00C956B8" w:rsidRPr="00E4165E" w:rsidRDefault="00C956B8" w:rsidP="009C56EE">
            <w:pPr>
              <w:jc w:val="both"/>
              <w:rPr>
                <w:rFonts w:ascii="Verdana" w:hAnsi="Verdana"/>
              </w:rPr>
            </w:pPr>
          </w:p>
          <w:p w14:paraId="3C52DC62" w14:textId="77777777" w:rsidR="00C956B8" w:rsidRPr="00E4165E" w:rsidRDefault="00C956B8" w:rsidP="009C56EE">
            <w:pPr>
              <w:jc w:val="both"/>
              <w:rPr>
                <w:rFonts w:ascii="Verdana" w:hAnsi="Verdana"/>
              </w:rPr>
            </w:pPr>
            <w:r w:rsidRPr="00E4165E">
              <w:rPr>
                <w:rFonts w:ascii="Verdana" w:hAnsi="Verdana"/>
              </w:rPr>
              <w:t xml:space="preserve">Conforma </w:t>
            </w:r>
            <w:r>
              <w:rPr>
                <w:rFonts w:ascii="Verdana" w:hAnsi="Verdana"/>
              </w:rPr>
              <w:t xml:space="preserve">la </w:t>
            </w:r>
            <w:r w:rsidRPr="00E4165E">
              <w:rPr>
                <w:rFonts w:ascii="Verdana" w:hAnsi="Verdana"/>
              </w:rPr>
              <w:t>regla de combinación de la experiencia</w:t>
            </w:r>
            <w:r>
              <w:rPr>
                <w:rFonts w:ascii="Verdana" w:hAnsi="Verdana"/>
              </w:rPr>
              <w:t>, contenida en el numeral 3.5.1</w:t>
            </w:r>
            <w:r w:rsidRPr="00E4165E">
              <w:rPr>
                <w:rFonts w:ascii="Verdana" w:hAnsi="Verdana"/>
              </w:rPr>
              <w:t xml:space="preserve">,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una misma matriz de experiencia de infraestructura social, </w:t>
            </w:r>
            <w:proofErr w:type="spellStart"/>
            <w:r w:rsidRPr="00E4165E">
              <w:rPr>
                <w:rFonts w:ascii="Verdana" w:hAnsi="Verdana"/>
              </w:rPr>
              <w:t>ii</w:t>
            </w:r>
            <w:proofErr w:type="spellEnd"/>
            <w:r w:rsidRPr="00E4165E">
              <w:rPr>
                <w:rFonts w:ascii="Verdana" w:hAnsi="Verdana"/>
              </w:rPr>
              <w:t xml:space="preserve">) cuando en un mismo proyecto se incorporen actividades de infraestructura educativa, salud o cultura, recreación y deporte, o </w:t>
            </w:r>
            <w:proofErr w:type="spellStart"/>
            <w:r w:rsidRPr="00E4165E">
              <w:rPr>
                <w:rFonts w:ascii="Verdana" w:hAnsi="Verdana"/>
              </w:rPr>
              <w:t>iii</w:t>
            </w:r>
            <w:proofErr w:type="spellEnd"/>
            <w:r w:rsidRPr="00E4165E">
              <w:rPr>
                <w:rFonts w:ascii="Verdana" w:hAnsi="Verdana"/>
              </w:rPr>
              <w:t>) cuando en un Proceso de Contratación aplican matrices de experiencia de otros Documentos Tipo y la Entidad considera conveniente incluir dicha experiencia.</w:t>
            </w:r>
          </w:p>
          <w:p w14:paraId="51DD8061" w14:textId="77777777" w:rsidR="00C956B8" w:rsidRPr="00C9551E" w:rsidRDefault="00C956B8" w:rsidP="009C56EE">
            <w:pPr>
              <w:jc w:val="both"/>
              <w:rPr>
                <w:rFonts w:ascii="Verdana" w:hAnsi="Verdana"/>
              </w:rPr>
            </w:pPr>
          </w:p>
          <w:p w14:paraId="3992EED7" w14:textId="77777777" w:rsidR="00C956B8" w:rsidRPr="00E4165E" w:rsidRDefault="00C956B8" w:rsidP="009C56EE">
            <w:pPr>
              <w:spacing w:after="120" w:line="276" w:lineRule="auto"/>
              <w:jc w:val="both"/>
              <w:rPr>
                <w:rFonts w:ascii="Verdana" w:hAnsi="Verdana"/>
              </w:rPr>
            </w:pPr>
            <w:r w:rsidRPr="00E4165E">
              <w:rPr>
                <w:rFonts w:ascii="Verdana" w:hAnsi="Verdana"/>
              </w:rPr>
              <w:t xml:space="preserve">Una vez definida la actividad 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las matrices de experiencia de los documentos tipo de infraestructura social, o </w:t>
            </w:r>
            <w:proofErr w:type="spellStart"/>
            <w:r w:rsidRPr="00E4165E">
              <w:rPr>
                <w:rFonts w:ascii="Verdana" w:hAnsi="Verdana"/>
              </w:rPr>
              <w:t>ii</w:t>
            </w:r>
            <w:proofErr w:type="spellEnd"/>
            <w:r w:rsidRPr="00E4165E">
              <w:rPr>
                <w:rFonts w:ascii="Verdana" w:hAnsi="Verdana"/>
              </w:rPr>
              <w:t xml:space="preserve">) solicitando experiencia general y específica de la actividad principal, y requiriendo la experiencia específica correspondiente a la respectiva matriz de experiencia para el caso de las actividades secundarias –salvo que la matriz aplicable no contemple experiencia específica para determinada actividad secundaria, caso en el cual se podrá solicitar la experiencia general–. La experiencia exigible </w:t>
            </w:r>
            <w:r w:rsidRPr="00E4165E">
              <w:rPr>
                <w:rFonts w:ascii="Verdana" w:hAnsi="Verdana"/>
              </w:rPr>
              <w:lastRenderedPageBreak/>
              <w:t xml:space="preserve">para las actividades principal y </w:t>
            </w:r>
            <w:proofErr w:type="gramStart"/>
            <w:r w:rsidRPr="00E4165E">
              <w:rPr>
                <w:rFonts w:ascii="Verdana" w:hAnsi="Verdana"/>
              </w:rPr>
              <w:t>secundaria,</w:t>
            </w:r>
            <w:proofErr w:type="gramEnd"/>
            <w:r w:rsidRPr="00E4165E">
              <w:rPr>
                <w:rFonts w:ascii="Verdana" w:hAnsi="Verdana"/>
              </w:rPr>
              <w:t xml:space="preserve"> debe ser definida en función de los rangos de cuantías aplicables al respectivo proceso de contratación. En todo caso, la entidad contratante no puede incluir más de 2 combinaciones de experiencia adicionales a la prevista para la actividad principal.</w:t>
            </w:r>
          </w:p>
          <w:p w14:paraId="54E193A2" w14:textId="77777777" w:rsidR="00C956B8" w:rsidRDefault="00C956B8" w:rsidP="009C56EE">
            <w:pPr>
              <w:pStyle w:val="Prrafodelista"/>
              <w:jc w:val="both"/>
              <w:rPr>
                <w:rFonts w:ascii="Verdana" w:hAnsi="Verdana"/>
              </w:rPr>
            </w:pPr>
          </w:p>
          <w:p w14:paraId="6CE98C69" w14:textId="77777777" w:rsidR="00C956B8" w:rsidRPr="00E4165E" w:rsidRDefault="00C956B8" w:rsidP="009C56EE">
            <w:pPr>
              <w:jc w:val="both"/>
              <w:rPr>
                <w:rFonts w:ascii="Verdana" w:hAnsi="Verdana"/>
              </w:rPr>
            </w:pPr>
            <w:r w:rsidRPr="00E4165E">
              <w:rPr>
                <w:rFonts w:ascii="Verdana" w:hAnsi="Verdana"/>
              </w:rPr>
              <w:t>La experiencia exigible para las actividades principal y secundaria debe ser definida en función de los rangos de cuantías aplicables al respectivo proceso de contratación. En caso de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p>
          <w:p w14:paraId="56BC7AD3" w14:textId="77777777" w:rsidR="00C956B8" w:rsidRPr="00642A77" w:rsidRDefault="00C956B8" w:rsidP="009C56EE">
            <w:pPr>
              <w:jc w:val="both"/>
              <w:rPr>
                <w:rFonts w:ascii="Verdana" w:hAnsi="Verdana"/>
              </w:rPr>
            </w:pPr>
          </w:p>
          <w:p w14:paraId="17C0D309" w14:textId="77777777" w:rsidR="00C956B8" w:rsidRPr="00E4165E" w:rsidRDefault="00C956B8" w:rsidP="009C56EE">
            <w:pPr>
              <w:jc w:val="both"/>
              <w:rPr>
                <w:rFonts w:ascii="Verdana" w:hAnsi="Verdana"/>
              </w:rPr>
            </w:pPr>
            <w:r w:rsidRPr="00E4165E">
              <w:rPr>
                <w:rFonts w:ascii="Verdana" w:hAnsi="Verdana"/>
              </w:rPr>
              <w:t xml:space="preserve">Lo anterior implica que, para el caso de la actividad principal, deberá tenerse en cuenta el 100% del Presupuesto Oficial, y para la(s) actividad(es) secundaria(s), la acreditación frente al Presupuesto Oficial deberá realizarse de forma proporcional, conforme al valor de cada actividad secundaria. En todo caso, la entidad contratante no puede incluir más de 2 combinaciones de experiencia adicionales a la prevista para la actividad principal. </w:t>
            </w:r>
          </w:p>
          <w:p w14:paraId="5B6CC6B3" w14:textId="77777777" w:rsidR="00C956B8" w:rsidRPr="00642A77" w:rsidRDefault="00C956B8" w:rsidP="009C56EE">
            <w:pPr>
              <w:jc w:val="both"/>
              <w:rPr>
                <w:rFonts w:ascii="Verdana" w:hAnsi="Verdana"/>
              </w:rPr>
            </w:pPr>
          </w:p>
          <w:p w14:paraId="770FB756" w14:textId="77777777" w:rsidR="00C956B8" w:rsidRPr="00E4165E" w:rsidRDefault="00C956B8" w:rsidP="009C56EE">
            <w:pPr>
              <w:jc w:val="both"/>
              <w:rPr>
                <w:rFonts w:ascii="Verdana" w:hAnsi="Verdana"/>
              </w:rPr>
            </w:pPr>
            <w:r w:rsidRPr="00E4165E">
              <w:rPr>
                <w:rFonts w:ascii="Verdana" w:hAnsi="Verdana"/>
              </w:rPr>
              <w:t>Si en la actividad secundaria se solicita la experiencia específica, y esta contempla más de un requisito, 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p w14:paraId="30F9572D" w14:textId="77777777" w:rsidR="00C956B8" w:rsidRPr="00642A77" w:rsidRDefault="00C956B8" w:rsidP="009C56EE">
            <w:pPr>
              <w:jc w:val="both"/>
              <w:rPr>
                <w:rFonts w:ascii="Verdana" w:hAnsi="Verdana"/>
              </w:rPr>
            </w:pPr>
          </w:p>
          <w:p w14:paraId="689239C7" w14:textId="77777777" w:rsidR="00C956B8" w:rsidRPr="00E4165E" w:rsidRDefault="00C956B8" w:rsidP="009C56EE">
            <w:pPr>
              <w:jc w:val="both"/>
              <w:rPr>
                <w:rFonts w:ascii="Verdana" w:hAnsi="Verdana"/>
              </w:rPr>
            </w:pPr>
            <w:r w:rsidRPr="00E4165E">
              <w:rPr>
                <w:rFonts w:ascii="Verdana" w:hAnsi="Verdana"/>
              </w:rPr>
              <w:t xml:space="preserve">En el evento que la entidad opte por exigir experiencia específica para las actividades distintas a la actividad principal, deberá incluir la nota que se señala en el numeral v). </w:t>
            </w:r>
          </w:p>
          <w:p w14:paraId="4CBF7EBA" w14:textId="77777777" w:rsidR="00C956B8" w:rsidRPr="00642A77" w:rsidRDefault="00C956B8" w:rsidP="009C56EE">
            <w:pPr>
              <w:jc w:val="both"/>
              <w:rPr>
                <w:rFonts w:ascii="Verdana" w:hAnsi="Verdana"/>
              </w:rPr>
            </w:pPr>
          </w:p>
          <w:p w14:paraId="696D93F0" w14:textId="77777777" w:rsidR="00C956B8" w:rsidRPr="00E4165E" w:rsidRDefault="00C956B8" w:rsidP="009C56EE">
            <w:pPr>
              <w:jc w:val="both"/>
              <w:rPr>
                <w:rFonts w:ascii="Verdana" w:hAnsi="Verdana"/>
              </w:rPr>
            </w:pPr>
            <w:r w:rsidRPr="00E4165E">
              <w:rPr>
                <w:rFonts w:ascii="Verdana" w:hAnsi="Verdana"/>
              </w:rPr>
              <w:lastRenderedPageBreak/>
              <w:t>Finalmente, es pertinente señalar que las reglas transcritas prescriben que en el evento en que el proceso de contratación se estructure por lotes o grupos, la entidad establecerá la experiencia de cada uno de ellos, de acuerdo con las actividades definidas en la Matriz de Experiencia aplicable.</w:t>
            </w:r>
          </w:p>
          <w:p w14:paraId="2BD14D62" w14:textId="77777777" w:rsidR="00C956B8" w:rsidRPr="00642A77" w:rsidRDefault="00C956B8" w:rsidP="009C56EE">
            <w:pPr>
              <w:pStyle w:val="Prrafodelista"/>
              <w:rPr>
                <w:rFonts w:ascii="Verdana" w:hAnsi="Verdana"/>
              </w:rPr>
            </w:pPr>
          </w:p>
          <w:p w14:paraId="1792715C" w14:textId="77777777" w:rsidR="00C956B8" w:rsidRPr="00F16C30" w:rsidRDefault="00C956B8" w:rsidP="009C56EE">
            <w:pPr>
              <w:jc w:val="both"/>
              <w:rPr>
                <w:rFonts w:ascii="Verdana" w:hAnsi="Verdana"/>
              </w:rPr>
            </w:pPr>
            <w:r w:rsidRPr="00E4165E">
              <w:rPr>
                <w:rFonts w:ascii="Verdana" w:hAnsi="Verdana"/>
              </w:rPr>
              <w:t xml:space="preserve">Conforme con lo indicado in extenso, de acuerdo con la regla prevista en el numeral i) del numeral 3.5.2 “Características de los contratos presentados para acreditar la experiencia exigida, contenida en el documento tipo de licitación de obra pública de infraestructura social, es posible llevar a cabo la combinación de experiencia bien sea de la misma matriz del sector o de otra matriz de experiencia de otro sector distinto al de infraestructura social, que haya sido adoptada por la Agencia Nacional de Contratación Pública – Colombia Compra Eficiente, siempre y cuando la entidad, determine cual será la actividad principal y cual o cuales las actividades secundarias, donde deberá dar estricto cumplimiento a las condiciones contenidas en el numeral señalado. </w:t>
            </w:r>
          </w:p>
        </w:tc>
      </w:tr>
    </w:tbl>
    <w:p w14:paraId="52C31586" w14:textId="77777777" w:rsidR="00C956B8" w:rsidRPr="00C865D4" w:rsidRDefault="00C956B8" w:rsidP="00C956B8">
      <w:pPr>
        <w:tabs>
          <w:tab w:val="left" w:pos="142"/>
          <w:tab w:val="left" w:pos="284"/>
        </w:tabs>
        <w:spacing w:after="0" w:line="276" w:lineRule="auto"/>
        <w:jc w:val="both"/>
        <w:rPr>
          <w:rFonts w:ascii="Verdana" w:eastAsia="Century Gothic" w:hAnsi="Verdana" w:cs="Century Gothic"/>
          <w:b/>
          <w:bCs/>
          <w:lang w:val="es-ES"/>
        </w:rPr>
      </w:pPr>
    </w:p>
    <w:p w14:paraId="211DA194" w14:textId="77777777" w:rsidR="00C956B8" w:rsidRPr="00C865D4" w:rsidRDefault="00C956B8" w:rsidP="00C956B8">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C865D4">
        <w:rPr>
          <w:rFonts w:ascii="Verdana" w:eastAsia="Century Gothic" w:hAnsi="Verdana" w:cs="Century Gothic"/>
          <w:b/>
          <w:bCs/>
          <w:lang w:val="es-ES"/>
        </w:rPr>
        <w:t>Razones de la respuesta:</w:t>
      </w:r>
    </w:p>
    <w:p w14:paraId="08CC73D3" w14:textId="77777777" w:rsidR="00C956B8" w:rsidRPr="00C865D4" w:rsidRDefault="00C956B8" w:rsidP="00C956B8">
      <w:pPr>
        <w:spacing w:after="0" w:line="276" w:lineRule="auto"/>
        <w:jc w:val="both"/>
        <w:rPr>
          <w:rFonts w:ascii="Verdana" w:eastAsia="Calibri" w:hAnsi="Verdana" w:cs="Arial"/>
          <w:lang w:val="es-ES"/>
        </w:rPr>
      </w:pPr>
    </w:p>
    <w:p w14:paraId="26841CF4" w14:textId="77777777" w:rsidR="00C956B8" w:rsidRPr="00C865D4" w:rsidRDefault="00C956B8" w:rsidP="00C956B8">
      <w:pPr>
        <w:spacing w:after="0" w:line="276" w:lineRule="auto"/>
        <w:jc w:val="both"/>
        <w:rPr>
          <w:rFonts w:ascii="Verdana" w:eastAsia="Calibri" w:hAnsi="Verdana" w:cs="Arial"/>
          <w:lang w:val="es-ES"/>
        </w:rPr>
      </w:pPr>
      <w:r w:rsidRPr="00C865D4">
        <w:rPr>
          <w:rFonts w:ascii="Verdana" w:eastAsia="Calibri" w:hAnsi="Verdana" w:cs="Arial"/>
          <w:lang w:val="es-ES"/>
        </w:rPr>
        <w:t xml:space="preserve">Lo anterior se sustenta en las siguientes consideraciones: </w:t>
      </w:r>
    </w:p>
    <w:p w14:paraId="35577211" w14:textId="77777777" w:rsidR="00C956B8" w:rsidRPr="00C865D4" w:rsidRDefault="00C956B8" w:rsidP="00C956B8">
      <w:pPr>
        <w:spacing w:after="0" w:line="276" w:lineRule="auto"/>
        <w:jc w:val="both"/>
        <w:rPr>
          <w:rFonts w:ascii="Verdana" w:eastAsia="Calibri" w:hAnsi="Verdana" w:cs="Arial"/>
          <w:lang w:val="es-ES"/>
        </w:rPr>
      </w:pPr>
    </w:p>
    <w:p w14:paraId="76BFBD34" w14:textId="77777777" w:rsidR="00C956B8" w:rsidRPr="00E925EE" w:rsidRDefault="00C956B8" w:rsidP="00C956B8">
      <w:pPr>
        <w:pStyle w:val="Prrafodelista"/>
        <w:numPr>
          <w:ilvl w:val="0"/>
          <w:numId w:val="17"/>
        </w:numPr>
        <w:spacing w:after="0" w:line="276" w:lineRule="auto"/>
        <w:contextualSpacing w:val="0"/>
        <w:jc w:val="both"/>
        <w:rPr>
          <w:rFonts w:ascii="Verdana" w:hAnsi="Verdana" w:cs="Arial"/>
        </w:rPr>
      </w:pPr>
      <w:bookmarkStart w:id="1" w:name="_Hlk113022941"/>
      <w:r w:rsidRPr="00E925EE">
        <w:rPr>
          <w:rFonts w:ascii="Verdana" w:hAnsi="Verdana" w:cs="Arial"/>
        </w:rPr>
        <w:t xml:space="preserve">El artículo 1 de la Ley 2022 de 2020 </w:t>
      </w:r>
      <w:r>
        <w:rPr>
          <w:rFonts w:ascii="Verdana" w:hAnsi="Verdana" w:cs="Arial"/>
        </w:rPr>
        <w:t>“</w:t>
      </w:r>
      <w:r w:rsidRPr="00E925EE">
        <w:rPr>
          <w:rFonts w:ascii="Verdana" w:hAnsi="Verdana" w:cs="Arial"/>
        </w:rPr>
        <w:t>Por la cual modifica el artículo 4 de la Ley 1882 de 2018 y se dictan otras disposiciones</w:t>
      </w:r>
      <w:r>
        <w:rPr>
          <w:rFonts w:ascii="Verdana" w:hAnsi="Verdana" w:cs="Arial"/>
        </w:rPr>
        <w:t>”</w:t>
      </w:r>
      <w:r w:rsidRPr="00E925EE">
        <w:rPr>
          <w:rFonts w:ascii="Verdana" w:hAnsi="Verdana" w:cs="Arial"/>
        </w:rPr>
        <w:t xml:space="preserve"> otorga a la Agencia Nacional de Contratación Pública –</w:t>
      </w:r>
      <w:r>
        <w:rPr>
          <w:rFonts w:ascii="Verdana" w:hAnsi="Verdana" w:cs="Arial"/>
        </w:rPr>
        <w:t xml:space="preserve"> </w:t>
      </w:r>
      <w:r w:rsidRPr="00E925EE">
        <w:rPr>
          <w:rFonts w:ascii="Verdana" w:hAnsi="Verdana" w:cs="Arial"/>
        </w:rPr>
        <w:t>Colombia Compra Eficiente la competencia para adoptar los documentos tipo que serán de obligatorio cumplimiento en la actividad contractual de todas las entidades sometidas al Estatuto General de la Administración Pública.</w:t>
      </w:r>
    </w:p>
    <w:p w14:paraId="34CA7B96" w14:textId="77777777" w:rsidR="00C956B8" w:rsidRPr="00C865D4" w:rsidRDefault="00C956B8" w:rsidP="00C956B8">
      <w:pPr>
        <w:spacing w:after="0" w:line="276" w:lineRule="auto"/>
        <w:ind w:left="720"/>
        <w:jc w:val="both"/>
        <w:rPr>
          <w:rFonts w:ascii="Verdana" w:eastAsia="Calibri" w:hAnsi="Verdana" w:cs="Arial"/>
          <w:lang w:val="es-ES_tradnl" w:eastAsia="es-ES"/>
        </w:rPr>
      </w:pPr>
    </w:p>
    <w:p w14:paraId="56F40188" w14:textId="77777777" w:rsidR="00C956B8" w:rsidRDefault="00C956B8" w:rsidP="00C956B8">
      <w:pPr>
        <w:numPr>
          <w:ilvl w:val="0"/>
          <w:numId w:val="17"/>
        </w:numPr>
        <w:spacing w:after="0" w:line="276" w:lineRule="auto"/>
        <w:jc w:val="both"/>
        <w:rPr>
          <w:rFonts w:ascii="Verdana" w:hAnsi="Verdana" w:cs="Arial"/>
          <w:lang w:val="es-ES"/>
        </w:rPr>
      </w:pPr>
      <w:r w:rsidRPr="00C865D4">
        <w:rPr>
          <w:rFonts w:ascii="Verdana" w:hAnsi="Verdana" w:cs="Arial"/>
          <w:lang w:val="es-ES"/>
        </w:rPr>
        <w:t xml:space="preserve">Con sustento en esta competencia, esta Agencia ha expedido diversos grupos de </w:t>
      </w:r>
      <w:r>
        <w:rPr>
          <w:rFonts w:ascii="Verdana" w:hAnsi="Verdana" w:cs="Arial"/>
          <w:lang w:val="es-ES"/>
        </w:rPr>
        <w:t>d</w:t>
      </w:r>
      <w:r w:rsidRPr="00C865D4">
        <w:rPr>
          <w:rFonts w:ascii="Verdana" w:hAnsi="Verdana" w:cs="Arial"/>
          <w:lang w:val="es-ES"/>
        </w:rPr>
        <w:t xml:space="preserve">ocumentos </w:t>
      </w:r>
      <w:r>
        <w:rPr>
          <w:rFonts w:ascii="Verdana" w:hAnsi="Verdana" w:cs="Arial"/>
          <w:lang w:val="es-ES"/>
        </w:rPr>
        <w:t>t</w:t>
      </w:r>
      <w:r w:rsidRPr="00C865D4">
        <w:rPr>
          <w:rFonts w:ascii="Verdana" w:hAnsi="Verdana" w:cs="Arial"/>
          <w:lang w:val="es-ES"/>
        </w:rPr>
        <w:t xml:space="preserve">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w:t>
      </w:r>
      <w:r>
        <w:rPr>
          <w:rFonts w:ascii="Verdana" w:hAnsi="Verdana" w:cs="Arial"/>
          <w:lang w:val="es-ES"/>
        </w:rPr>
        <w:t>d</w:t>
      </w:r>
      <w:r w:rsidRPr="00C865D4">
        <w:rPr>
          <w:rFonts w:ascii="Verdana" w:hAnsi="Verdana" w:cs="Arial"/>
          <w:lang w:val="es-ES"/>
        </w:rPr>
        <w:t xml:space="preserve">ocumentos </w:t>
      </w:r>
      <w:r>
        <w:rPr>
          <w:rFonts w:ascii="Verdana" w:hAnsi="Verdana" w:cs="Arial"/>
          <w:lang w:val="es-ES"/>
        </w:rPr>
        <w:t>t</w:t>
      </w:r>
      <w:r w:rsidRPr="00C865D4">
        <w:rPr>
          <w:rFonts w:ascii="Verdana" w:hAnsi="Verdana" w:cs="Arial"/>
          <w:lang w:val="es-ES"/>
        </w:rPr>
        <w:t xml:space="preserve">ipo se han expedido para las modalidades de selección de </w:t>
      </w:r>
      <w:r w:rsidRPr="00C865D4">
        <w:rPr>
          <w:rFonts w:ascii="Verdana" w:hAnsi="Verdana" w:cs="Arial"/>
          <w:lang w:val="es-ES"/>
        </w:rPr>
        <w:lastRenderedPageBreak/>
        <w:t>licitación pública, selección abreviada de menor cuantía, mínima cuantía, concurso de méritos y contratación directa.</w:t>
      </w:r>
    </w:p>
    <w:p w14:paraId="69EBA8A7" w14:textId="77777777" w:rsidR="00C956B8" w:rsidRDefault="00C956B8" w:rsidP="00C956B8">
      <w:pPr>
        <w:pStyle w:val="Prrafodelista"/>
        <w:rPr>
          <w:rFonts w:ascii="Verdana" w:hAnsi="Verdana" w:cs="Arial"/>
        </w:rPr>
      </w:pPr>
    </w:p>
    <w:p w14:paraId="10B1FE3D" w14:textId="77777777" w:rsidR="00C956B8" w:rsidRPr="004F418D" w:rsidRDefault="00C956B8" w:rsidP="00C956B8">
      <w:pPr>
        <w:pStyle w:val="Prrafodelista"/>
        <w:numPr>
          <w:ilvl w:val="0"/>
          <w:numId w:val="20"/>
        </w:numPr>
        <w:tabs>
          <w:tab w:val="left" w:pos="709"/>
        </w:tabs>
        <w:spacing w:after="0" w:line="276" w:lineRule="auto"/>
        <w:contextualSpacing w:val="0"/>
        <w:jc w:val="both"/>
        <w:rPr>
          <w:rFonts w:ascii="Verdana" w:eastAsia="Calibri" w:hAnsi="Verdana" w:cs="Arial"/>
        </w:rPr>
      </w:pPr>
      <w:r w:rsidRPr="004F418D">
        <w:rPr>
          <w:rFonts w:ascii="Verdana" w:hAnsi="Verdana" w:cs="Arial"/>
        </w:rPr>
        <w:t xml:space="preserve">En relación con su solicitud, debe indicarse que, </w:t>
      </w:r>
      <w:r w:rsidRPr="004F418D">
        <w:rPr>
          <w:rFonts w:ascii="Verdana" w:eastAsia="Calibri" w:hAnsi="Verdana" w:cs="Arial"/>
          <w:lang w:val="es-MX"/>
        </w:rPr>
        <w:t xml:space="preserve">la Agencia Nacional de Contratación Pública – Colombia Compra </w:t>
      </w:r>
      <w:r w:rsidRPr="004F418D">
        <w:rPr>
          <w:rFonts w:ascii="Verdana" w:eastAsia="Calibri" w:hAnsi="Verdana" w:cs="Arial"/>
        </w:rPr>
        <w:t xml:space="preserve">Eficiente expidió la Resolución 219 </w:t>
      </w:r>
      <w:r w:rsidRPr="004F418D">
        <w:rPr>
          <w:rFonts w:ascii="Verdana" w:eastAsia="Calibri" w:hAnsi="Verdana" w:cs="Arial"/>
          <w:bCs/>
        </w:rPr>
        <w:t xml:space="preserve">del 6 de agosto </w:t>
      </w:r>
      <w:r w:rsidRPr="004F418D">
        <w:rPr>
          <w:rFonts w:ascii="Verdana" w:eastAsia="Calibri" w:hAnsi="Verdana" w:cs="Arial"/>
        </w:rPr>
        <w:t xml:space="preserve">de 2021, </w:t>
      </w:r>
      <w:r w:rsidRPr="004F418D">
        <w:rPr>
          <w:rFonts w:ascii="Verdana" w:eastAsia="Calibri" w:hAnsi="Verdana" w:cs="Arial"/>
          <w:i/>
          <w:iCs/>
        </w:rPr>
        <w:t xml:space="preserve">“Por la cual se adoptan los documentos tipo para los procesos de licitación de obra pública de infraestructura social”. </w:t>
      </w:r>
      <w:r w:rsidRPr="004F418D">
        <w:rPr>
          <w:rFonts w:ascii="Verdana" w:eastAsia="Calibri" w:hAnsi="Verdana" w:cs="Arial"/>
        </w:rPr>
        <w:t xml:space="preserve">Mediante esa Resolución, </w:t>
      </w:r>
      <w:r w:rsidRPr="004F418D">
        <w:rPr>
          <w:rFonts w:ascii="Verdana" w:eastAsia="Calibri" w:hAnsi="Verdana" w:cs="Arial"/>
          <w:bCs/>
        </w:rPr>
        <w:t xml:space="preserve">se adoptaron los documentos tipo que aplican </w:t>
      </w:r>
      <w:r w:rsidRPr="004F418D">
        <w:rPr>
          <w:rFonts w:ascii="Verdana" w:eastAsia="Calibri" w:hAnsi="Verdana" w:cs="Arial"/>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17732F66" w14:textId="77777777" w:rsidR="00C956B8" w:rsidRPr="004F418D" w:rsidRDefault="00C956B8" w:rsidP="00C956B8">
      <w:pPr>
        <w:tabs>
          <w:tab w:val="left" w:pos="709"/>
        </w:tabs>
        <w:spacing w:after="0" w:line="276" w:lineRule="auto"/>
        <w:ind w:left="720"/>
        <w:jc w:val="both"/>
        <w:rPr>
          <w:rFonts w:ascii="Verdana" w:eastAsia="Calibri" w:hAnsi="Verdana" w:cs="Arial"/>
          <w:lang w:val="es-ES"/>
        </w:rPr>
      </w:pPr>
    </w:p>
    <w:p w14:paraId="38EE093D" w14:textId="77777777" w:rsidR="00C956B8" w:rsidRDefault="00C956B8" w:rsidP="00C956B8">
      <w:pPr>
        <w:pStyle w:val="Prrafodelista"/>
        <w:numPr>
          <w:ilvl w:val="0"/>
          <w:numId w:val="20"/>
        </w:numPr>
        <w:tabs>
          <w:tab w:val="left" w:pos="709"/>
        </w:tabs>
        <w:spacing w:after="0" w:line="276" w:lineRule="auto"/>
        <w:contextualSpacing w:val="0"/>
        <w:jc w:val="both"/>
        <w:rPr>
          <w:rFonts w:ascii="Verdana" w:eastAsia="Calibri" w:hAnsi="Verdana" w:cs="Arial"/>
        </w:rPr>
      </w:pPr>
      <w:r w:rsidRPr="00296635">
        <w:rPr>
          <w:rFonts w:ascii="Verdana" w:eastAsia="Calibri" w:hAnsi="Verdana" w:cs="Arial"/>
        </w:rPr>
        <w:t xml:space="preserve">En consecuencia, en materia de infraestructura social debe tenerse en cuenta que existen dos (2) clases de documentos tipo que se integran en cada proceso: i) los documentos </w:t>
      </w:r>
      <w:r w:rsidRPr="00296635">
        <w:rPr>
          <w:rFonts w:ascii="Verdana" w:eastAsia="Calibri" w:hAnsi="Verdana" w:cs="Arial"/>
          <w:i/>
        </w:rPr>
        <w:t>transversales</w:t>
      </w:r>
      <w:r w:rsidRPr="00296635">
        <w:rPr>
          <w:rFonts w:ascii="Verdana" w:eastAsia="Calibri" w:hAnsi="Verdana" w:cs="Arial"/>
        </w:rPr>
        <w:t xml:space="preserve"> a todos los sectores de infraestructura social, es decir, el documento base, los anexos, los formatos, los formularios y las matrices adoptados mediante la Resolución No. 219 de 2021; y </w:t>
      </w:r>
      <w:proofErr w:type="spellStart"/>
      <w:r w:rsidRPr="00296635">
        <w:rPr>
          <w:rFonts w:ascii="Verdana" w:eastAsia="Calibri" w:hAnsi="Verdana" w:cs="Arial"/>
        </w:rPr>
        <w:t>ii</w:t>
      </w:r>
      <w:proofErr w:type="spellEnd"/>
      <w:r w:rsidRPr="00296635">
        <w:rPr>
          <w:rFonts w:ascii="Verdana" w:eastAsia="Calibri" w:hAnsi="Verdana" w:cs="Arial"/>
        </w:rPr>
        <w:t xml:space="preserve">) los documentos tipo </w:t>
      </w:r>
      <w:r w:rsidRPr="00296635">
        <w:rPr>
          <w:rFonts w:ascii="Verdana" w:eastAsia="Calibri" w:hAnsi="Verdana" w:cs="Arial"/>
          <w:i/>
        </w:rPr>
        <w:t>complementarios</w:t>
      </w:r>
      <w:r w:rsidRPr="00296635">
        <w:rPr>
          <w:rFonts w:ascii="Verdana" w:eastAsia="Calibri" w:hAnsi="Verdana" w:cs="Arial"/>
          <w:iCs/>
        </w:rPr>
        <w:t>,</w:t>
      </w:r>
      <w:r w:rsidRPr="00296635">
        <w:rPr>
          <w:rFonts w:ascii="Verdana" w:eastAsia="Calibri" w:hAnsi="Verdana" w:cs="Arial"/>
          <w:i/>
        </w:rPr>
        <w:t xml:space="preserve"> </w:t>
      </w:r>
      <w:r w:rsidRPr="00296635">
        <w:rPr>
          <w:rFonts w:ascii="Verdana" w:eastAsia="Calibri" w:hAnsi="Verdana" w:cs="Arial"/>
        </w:rPr>
        <w:t xml:space="preserve">referentes a la matriz de experiencia y el glosario, los cuales han sido adoptados en la resolución para cada sector específico. </w:t>
      </w:r>
    </w:p>
    <w:p w14:paraId="1EE530F2" w14:textId="77777777" w:rsidR="00C956B8" w:rsidRPr="00296635" w:rsidRDefault="00C956B8" w:rsidP="00C956B8">
      <w:pPr>
        <w:pStyle w:val="Prrafodelista"/>
        <w:rPr>
          <w:rFonts w:ascii="Verdana" w:eastAsia="Calibri" w:hAnsi="Verdana" w:cs="Arial"/>
        </w:rPr>
      </w:pPr>
    </w:p>
    <w:p w14:paraId="599367D7" w14:textId="77777777" w:rsidR="00C956B8" w:rsidRPr="00FA3FAB" w:rsidRDefault="00C956B8" w:rsidP="00C956B8">
      <w:pPr>
        <w:pStyle w:val="Prrafodelista"/>
        <w:numPr>
          <w:ilvl w:val="0"/>
          <w:numId w:val="20"/>
        </w:numPr>
        <w:spacing w:after="0"/>
        <w:contextualSpacing w:val="0"/>
        <w:jc w:val="both"/>
        <w:rPr>
          <w:rFonts w:ascii="Verdana" w:hAnsi="Verdana"/>
        </w:rPr>
      </w:pPr>
      <w:r w:rsidRPr="00187DFA">
        <w:rPr>
          <w:rFonts w:ascii="Verdana" w:eastAsia="Calibri" w:hAnsi="Verdana" w:cs="Arial"/>
        </w:rPr>
        <w:t xml:space="preserve">En este orden de ideas, la Agencia expidió la Resolución 454 de 2021 del 16 de diciembre de 2021, “Por la cual se adoptan los documentos tipo complementarios para los procesos de licitación de obra pública de infraestructura social relacionados con el sector cultura, recreación y deporte”. </w:t>
      </w:r>
      <w:r w:rsidRPr="00187DFA">
        <w:rPr>
          <w:rFonts w:ascii="Verdana" w:hAnsi="Verdana"/>
        </w:rPr>
        <w:t>Esta Resolución, en el artículo 2, adopta el "</w:t>
      </w:r>
      <w:r w:rsidRPr="00187DFA">
        <w:rPr>
          <w:rFonts w:ascii="Verdana" w:hAnsi="Verdana"/>
          <w:i/>
          <w:iCs/>
        </w:rPr>
        <w:t xml:space="preserve">Anexo -Glosario" y la "Matriz – Experiencia” </w:t>
      </w:r>
      <w:r w:rsidRPr="00187DFA">
        <w:rPr>
          <w:rFonts w:ascii="Verdana" w:hAnsi="Verdana"/>
        </w:rPr>
        <w:t xml:space="preserve">para proyectos de infraestructura social para el sector de </w:t>
      </w:r>
      <w:r w:rsidRPr="00187DFA">
        <w:rPr>
          <w:rFonts w:ascii="Verdana" w:hAnsi="Verdana"/>
          <w:bCs/>
        </w:rPr>
        <w:t xml:space="preserve">cultura, recreación y deporte. </w:t>
      </w:r>
      <w:r w:rsidRPr="00187DFA">
        <w:rPr>
          <w:rFonts w:ascii="Verdana" w:hAnsi="Verdana"/>
        </w:rPr>
        <w:t>Estos dos (2) documentos definen el alcance para ese sector específicamente.</w:t>
      </w:r>
      <w:r w:rsidRPr="00FA3FAB">
        <w:rPr>
          <w:rFonts w:ascii="Verdana" w:hAnsi="Verdana"/>
        </w:rPr>
        <w:t xml:space="preserve"> </w:t>
      </w:r>
    </w:p>
    <w:p w14:paraId="0703783A" w14:textId="77777777" w:rsidR="00C956B8" w:rsidRPr="00187DFA" w:rsidRDefault="00C956B8" w:rsidP="00C956B8">
      <w:pPr>
        <w:pStyle w:val="Prrafodelista"/>
        <w:spacing w:after="0"/>
        <w:contextualSpacing w:val="0"/>
        <w:jc w:val="both"/>
        <w:rPr>
          <w:rFonts w:ascii="Verdana" w:hAnsi="Verdana"/>
        </w:rPr>
      </w:pPr>
    </w:p>
    <w:p w14:paraId="2B2809BC" w14:textId="77777777" w:rsidR="00C956B8" w:rsidRPr="00187DFA" w:rsidRDefault="00C956B8" w:rsidP="00C956B8">
      <w:pPr>
        <w:pStyle w:val="Prrafodelista"/>
        <w:numPr>
          <w:ilvl w:val="0"/>
          <w:numId w:val="20"/>
        </w:numPr>
        <w:spacing w:after="0"/>
        <w:contextualSpacing w:val="0"/>
        <w:jc w:val="both"/>
        <w:rPr>
          <w:rFonts w:ascii="Verdana" w:hAnsi="Verdana"/>
        </w:rPr>
      </w:pPr>
      <w:r w:rsidRPr="00187DFA">
        <w:rPr>
          <w:rFonts w:ascii="Verdana" w:eastAsia="Calibri" w:hAnsi="Verdana" w:cs="Arial"/>
          <w:color w:val="0D0D0D"/>
          <w:lang w:val="es-MX"/>
        </w:rPr>
        <w:lastRenderedPageBreak/>
        <w:t xml:space="preserve">La “Matriz – Experiencia Sector Cultura, Recreación y Deporte”, adoptada mediante la Resolución 454 del 16 de diciembre de 2021, </w:t>
      </w:r>
      <w:r w:rsidRPr="00187DFA">
        <w:rPr>
          <w:rFonts w:ascii="Verdana" w:hAnsi="Verdana" w:cs="Arial"/>
        </w:rPr>
        <w:t>se divide en dos (2) tipos de obras: (i) Obras en infraestructura cultural (</w:t>
      </w:r>
      <w:proofErr w:type="spellStart"/>
      <w:r w:rsidRPr="00187DFA">
        <w:rPr>
          <w:rFonts w:ascii="Verdana" w:hAnsi="Verdana" w:cs="Arial"/>
        </w:rPr>
        <w:t>ii</w:t>
      </w:r>
      <w:proofErr w:type="spellEnd"/>
      <w:r w:rsidRPr="00187DFA">
        <w:rPr>
          <w:rFonts w:ascii="Verdana" w:hAnsi="Verdana" w:cs="Arial"/>
        </w:rPr>
        <w:t xml:space="preserve">) Obras en infraestructura recreo-deportiva. Tales obras a su vez se subdividen en una serie de actividades a contratar. </w:t>
      </w:r>
      <w:r w:rsidRPr="00187DFA">
        <w:rPr>
          <w:rFonts w:ascii="Verdana" w:hAnsi="Verdana"/>
        </w:rPr>
        <w:t xml:space="preserve">A su vez, en la "Matriz – Experiencia para proyectos de infraestructura social para el sector de </w:t>
      </w:r>
      <w:r w:rsidRPr="00187DFA">
        <w:rPr>
          <w:rFonts w:ascii="Verdana" w:hAnsi="Verdana"/>
          <w:bCs/>
        </w:rPr>
        <w:t>cultura, recreación y deporte</w:t>
      </w:r>
      <w:r w:rsidRPr="00187DFA">
        <w:rPr>
          <w:rFonts w:ascii="Verdana" w:hAnsi="Verdana"/>
        </w:rPr>
        <w:t xml:space="preserve">" se establece cada una de las actividades a contratar que hacen parte de un tipo o grupo de infraestructura, los cuales contemplan las condiciones y requerimientos de experiencia general y específica. </w:t>
      </w:r>
    </w:p>
    <w:p w14:paraId="3A0A41C5" w14:textId="77777777" w:rsidR="00C956B8" w:rsidRPr="00FA3FAB" w:rsidRDefault="00C956B8" w:rsidP="00C956B8">
      <w:pPr>
        <w:spacing w:after="0" w:line="240" w:lineRule="auto"/>
        <w:jc w:val="both"/>
        <w:rPr>
          <w:rFonts w:ascii="Verdana" w:hAnsi="Verdana"/>
        </w:rPr>
      </w:pPr>
    </w:p>
    <w:p w14:paraId="3689FF8E" w14:textId="77777777" w:rsidR="00C956B8" w:rsidRPr="00301106" w:rsidRDefault="00C956B8" w:rsidP="00C956B8">
      <w:pPr>
        <w:pStyle w:val="Prrafodelista"/>
        <w:numPr>
          <w:ilvl w:val="0"/>
          <w:numId w:val="20"/>
        </w:numPr>
        <w:spacing w:after="0"/>
        <w:jc w:val="both"/>
        <w:rPr>
          <w:rFonts w:ascii="Verdana" w:eastAsia="Calibri" w:hAnsi="Verdana" w:cs="Arial"/>
          <w:lang w:val="es-ES_tradnl"/>
        </w:rPr>
      </w:pPr>
      <w:r w:rsidRPr="00187DFA">
        <w:rPr>
          <w:rFonts w:ascii="Verdana" w:hAnsi="Verdana"/>
        </w:rPr>
        <w:t xml:space="preserve">Concretamente, para dar respuesta a su consulta relacionada con </w:t>
      </w:r>
      <w:r>
        <w:rPr>
          <w:rFonts w:ascii="Verdana" w:hAnsi="Verdana"/>
        </w:rPr>
        <w:t>la combinación de experiencia entre actividades de la Matriz – Experiencia de los documentos tipo complementarios del sector de infraestructura de cultura, recreación y deporte, debe indicarse lo siguiente.</w:t>
      </w:r>
      <w:r w:rsidRPr="00187DFA">
        <w:rPr>
          <w:rFonts w:ascii="Verdana" w:hAnsi="Verdana"/>
        </w:rPr>
        <w:t xml:space="preserve"> </w:t>
      </w:r>
      <w:bookmarkEnd w:id="1"/>
    </w:p>
    <w:p w14:paraId="671DAE05" w14:textId="77777777" w:rsidR="00C956B8" w:rsidRPr="00301106" w:rsidRDefault="00C956B8" w:rsidP="00C956B8">
      <w:pPr>
        <w:pStyle w:val="Prrafodelista"/>
        <w:rPr>
          <w:rFonts w:ascii="Verdana" w:eastAsia="Calibri" w:hAnsi="Verdana" w:cs="Arial"/>
          <w:lang w:val="es-ES_tradnl"/>
        </w:rPr>
      </w:pPr>
    </w:p>
    <w:p w14:paraId="78A9E1EF" w14:textId="77777777" w:rsidR="00C956B8" w:rsidRPr="00DA4767" w:rsidRDefault="00C956B8" w:rsidP="00C956B8">
      <w:pPr>
        <w:pStyle w:val="Prrafodelista"/>
        <w:numPr>
          <w:ilvl w:val="0"/>
          <w:numId w:val="20"/>
        </w:numPr>
        <w:spacing w:after="0"/>
        <w:jc w:val="both"/>
        <w:rPr>
          <w:rFonts w:ascii="Verdana" w:hAnsi="Verdana"/>
        </w:rPr>
      </w:pPr>
      <w:r>
        <w:rPr>
          <w:rFonts w:ascii="Verdana" w:hAnsi="Verdana"/>
        </w:rPr>
        <w:t>La “M</w:t>
      </w:r>
      <w:r w:rsidRPr="00DA4767">
        <w:rPr>
          <w:rFonts w:ascii="Verdana" w:hAnsi="Verdana"/>
        </w:rPr>
        <w:t xml:space="preserve">atriz </w:t>
      </w:r>
      <w:r>
        <w:rPr>
          <w:rFonts w:ascii="Verdana" w:hAnsi="Verdana"/>
        </w:rPr>
        <w:t xml:space="preserve">– Experiencia” </w:t>
      </w:r>
      <w:r w:rsidRPr="00DA4767">
        <w:rPr>
          <w:rFonts w:ascii="Verdana" w:hAnsi="Verdana"/>
        </w:rPr>
        <w:t>del sector de cultura, recreación y deporte</w:t>
      </w:r>
      <w:r>
        <w:rPr>
          <w:rFonts w:ascii="Verdana" w:hAnsi="Verdana"/>
        </w:rPr>
        <w:t>, contiene la actividad 1.2 “P</w:t>
      </w:r>
      <w:r w:rsidRPr="00DA4767">
        <w:rPr>
          <w:rFonts w:ascii="Verdana" w:hAnsi="Verdana"/>
        </w:rPr>
        <w:t xml:space="preserve">royectos de terminación y/o mejoramiento y/o remodelación y/o </w:t>
      </w:r>
      <w:r w:rsidRPr="00DA4767">
        <w:rPr>
          <w:rFonts w:ascii="Verdana" w:hAnsi="Verdana"/>
          <w:b/>
          <w:bCs/>
          <w:u w:val="single"/>
        </w:rPr>
        <w:t>adecuación</w:t>
      </w:r>
      <w:r w:rsidRPr="00DA4767">
        <w:rPr>
          <w:rFonts w:ascii="Verdana" w:hAnsi="Verdana"/>
        </w:rPr>
        <w:t xml:space="preserve"> y/o modificación y/o </w:t>
      </w:r>
      <w:r w:rsidRPr="00DA4767">
        <w:rPr>
          <w:rFonts w:ascii="Verdana" w:hAnsi="Verdana"/>
          <w:b/>
          <w:bCs/>
          <w:u w:val="single"/>
        </w:rPr>
        <w:t>mantenimiento</w:t>
      </w:r>
      <w:r w:rsidRPr="00DA4767">
        <w:rPr>
          <w:rFonts w:ascii="Verdana" w:hAnsi="Verdana"/>
        </w:rPr>
        <w:t xml:space="preserve"> </w:t>
      </w:r>
      <w:r w:rsidRPr="00DA4767">
        <w:rPr>
          <w:rFonts w:ascii="Verdana" w:hAnsi="Verdana"/>
          <w:b/>
          <w:bCs/>
          <w:u w:val="single"/>
        </w:rPr>
        <w:t>de infraestructura cultural</w:t>
      </w:r>
      <w:r>
        <w:rPr>
          <w:rFonts w:ascii="Verdana" w:hAnsi="Verdana"/>
          <w:b/>
          <w:bCs/>
          <w:u w:val="single"/>
        </w:rPr>
        <w:t>”</w:t>
      </w:r>
      <w:r w:rsidRPr="00DA4767">
        <w:rPr>
          <w:rFonts w:ascii="Verdana" w:hAnsi="Verdana"/>
        </w:rPr>
        <w:t>. (negrilla y subraya fuera de texto)</w:t>
      </w:r>
    </w:p>
    <w:p w14:paraId="284D9226" w14:textId="77777777" w:rsidR="00C956B8" w:rsidRPr="00DA4767" w:rsidRDefault="00C956B8" w:rsidP="00C956B8">
      <w:pPr>
        <w:pStyle w:val="Prrafodelista"/>
        <w:spacing w:after="0"/>
        <w:jc w:val="both"/>
        <w:rPr>
          <w:rFonts w:ascii="Verdana" w:hAnsi="Verdana"/>
        </w:rPr>
      </w:pPr>
    </w:p>
    <w:p w14:paraId="42EC8D40" w14:textId="77777777" w:rsidR="00C956B8" w:rsidRDefault="00C956B8" w:rsidP="00C956B8">
      <w:pPr>
        <w:pStyle w:val="Prrafodelista"/>
        <w:numPr>
          <w:ilvl w:val="0"/>
          <w:numId w:val="20"/>
        </w:numPr>
        <w:spacing w:after="0"/>
        <w:jc w:val="both"/>
        <w:rPr>
          <w:rFonts w:ascii="Verdana" w:hAnsi="Verdana"/>
        </w:rPr>
      </w:pPr>
      <w:r>
        <w:rPr>
          <w:rFonts w:ascii="Verdana" w:hAnsi="Verdana"/>
        </w:rPr>
        <w:t xml:space="preserve">Para esa actividad, </w:t>
      </w:r>
      <w:r w:rsidRPr="00DA4767">
        <w:rPr>
          <w:rFonts w:ascii="Verdana" w:hAnsi="Verdana"/>
        </w:rPr>
        <w:t xml:space="preserve">se determina que para acreditar la experiencia general se aceptaran proyectos de </w:t>
      </w:r>
      <w:r>
        <w:rPr>
          <w:rFonts w:ascii="Verdana" w:hAnsi="Verdana"/>
        </w:rPr>
        <w:t>“C</w:t>
      </w:r>
      <w:r w:rsidRPr="00DA4767">
        <w:rPr>
          <w:rFonts w:ascii="Verdana" w:hAnsi="Verdana"/>
        </w:rPr>
        <w:t>onstrucción y/o terminación y/o ampliación y/o remodelación y/o reforzamiento y/o adecuación y/o mantenimiento y/o mejoramiento y/o modificación de edificaciones</w:t>
      </w:r>
      <w:r>
        <w:rPr>
          <w:rFonts w:ascii="Verdana" w:hAnsi="Verdana"/>
        </w:rPr>
        <w:t xml:space="preserve">”. Por su parte, en relación con la </w:t>
      </w:r>
      <w:r w:rsidRPr="00DA4767">
        <w:rPr>
          <w:rFonts w:ascii="Verdana" w:hAnsi="Verdana"/>
        </w:rPr>
        <w:t xml:space="preserve">experiencia especifica se determina </w:t>
      </w:r>
      <w:r>
        <w:rPr>
          <w:rFonts w:ascii="Verdana" w:hAnsi="Verdana"/>
        </w:rPr>
        <w:t xml:space="preserve">su acreditación de la </w:t>
      </w:r>
      <w:r w:rsidRPr="00DA4767">
        <w:rPr>
          <w:rFonts w:ascii="Verdana" w:hAnsi="Verdana"/>
        </w:rPr>
        <w:t xml:space="preserve">siguiente manera: </w:t>
      </w:r>
      <w:r w:rsidRPr="00DA4767">
        <w:rPr>
          <w:rFonts w:ascii="Verdana" w:hAnsi="Verdana"/>
        </w:rPr>
        <w:tab/>
      </w:r>
      <w:r w:rsidRPr="00DA4767">
        <w:rPr>
          <w:rFonts w:ascii="Verdana" w:hAnsi="Verdana"/>
        </w:rPr>
        <w:tab/>
      </w:r>
    </w:p>
    <w:p w14:paraId="07F3BB1A" w14:textId="77777777" w:rsidR="00C956B8" w:rsidRPr="00C6066A" w:rsidRDefault="00C956B8" w:rsidP="00C956B8">
      <w:pPr>
        <w:spacing w:after="0"/>
        <w:jc w:val="both"/>
        <w:rPr>
          <w:rFonts w:ascii="Verdana" w:hAnsi="Verdana"/>
        </w:rPr>
      </w:pPr>
      <w:r w:rsidRPr="00C6066A">
        <w:rPr>
          <w:rFonts w:ascii="Verdana" w:hAnsi="Verdana"/>
        </w:rPr>
        <w:tab/>
      </w:r>
      <w:r w:rsidRPr="00C6066A">
        <w:rPr>
          <w:rFonts w:ascii="Verdana" w:hAnsi="Verdana"/>
        </w:rPr>
        <w:tab/>
      </w:r>
      <w:r w:rsidRPr="00C6066A">
        <w:rPr>
          <w:rFonts w:ascii="Verdana" w:hAnsi="Verdana"/>
        </w:rPr>
        <w:tab/>
      </w:r>
      <w:r w:rsidRPr="00C6066A">
        <w:rPr>
          <w:rFonts w:ascii="Verdana" w:hAnsi="Verdana"/>
        </w:rPr>
        <w:tab/>
      </w:r>
      <w:r w:rsidRPr="00C6066A">
        <w:rPr>
          <w:rFonts w:ascii="Verdana" w:hAnsi="Verdana"/>
        </w:rPr>
        <w:tab/>
      </w:r>
    </w:p>
    <w:p w14:paraId="2C5D88AC" w14:textId="77777777" w:rsidR="00C956B8" w:rsidRPr="00DA4767" w:rsidRDefault="00C956B8" w:rsidP="00C956B8">
      <w:pPr>
        <w:pStyle w:val="Prrafodelista"/>
        <w:spacing w:after="0"/>
        <w:ind w:right="474"/>
        <w:jc w:val="both"/>
        <w:rPr>
          <w:rFonts w:ascii="Verdana" w:hAnsi="Verdana"/>
          <w:i/>
          <w:iCs/>
        </w:rPr>
      </w:pPr>
      <w:r w:rsidRPr="00DA4767">
        <w:rPr>
          <w:rFonts w:ascii="Verdana" w:hAnsi="Verdana"/>
          <w:i/>
          <w:iCs/>
        </w:rPr>
        <w:t>“Por lo menos uno (1) de los contratos válidos aportados como experiencia general deben contemplar un área intervenida o construida igual o superior al (F%) del total de metros cuadrados del proceso de selección, el cual corresponde a [la entidad indicará los metros cuadrados a construir o intervenir para el proceso de selección].”</w:t>
      </w:r>
      <w:r w:rsidRPr="00DA4767">
        <w:rPr>
          <w:rFonts w:ascii="Verdana" w:hAnsi="Verdana"/>
          <w:i/>
          <w:iCs/>
        </w:rPr>
        <w:tab/>
      </w:r>
      <w:r w:rsidRPr="00DA4767">
        <w:rPr>
          <w:rFonts w:ascii="Verdana" w:hAnsi="Verdana"/>
          <w:i/>
          <w:iCs/>
        </w:rPr>
        <w:tab/>
      </w:r>
      <w:r w:rsidRPr="00DA4767">
        <w:rPr>
          <w:rFonts w:ascii="Verdana" w:hAnsi="Verdana"/>
          <w:i/>
          <w:iCs/>
        </w:rPr>
        <w:tab/>
      </w:r>
      <w:r w:rsidRPr="00DA4767">
        <w:rPr>
          <w:rFonts w:ascii="Verdana" w:hAnsi="Verdana"/>
          <w:i/>
          <w:iCs/>
        </w:rPr>
        <w:tab/>
      </w:r>
      <w:r w:rsidRPr="00DA4767">
        <w:rPr>
          <w:rFonts w:ascii="Verdana" w:hAnsi="Verdana"/>
          <w:i/>
          <w:iCs/>
        </w:rPr>
        <w:tab/>
      </w:r>
      <w:r w:rsidRPr="00DA4767">
        <w:rPr>
          <w:rFonts w:ascii="Verdana" w:hAnsi="Verdana"/>
          <w:i/>
          <w:iCs/>
        </w:rPr>
        <w:tab/>
      </w:r>
      <w:r w:rsidRPr="00DA4767">
        <w:rPr>
          <w:rFonts w:ascii="Verdana" w:hAnsi="Verdana"/>
          <w:i/>
          <w:iCs/>
        </w:rPr>
        <w:tab/>
      </w:r>
      <w:r w:rsidRPr="00DA4767">
        <w:rPr>
          <w:rFonts w:ascii="Verdana" w:hAnsi="Verdana"/>
          <w:i/>
          <w:iCs/>
        </w:rPr>
        <w:tab/>
      </w:r>
      <w:r w:rsidRPr="00DA4767">
        <w:rPr>
          <w:rFonts w:ascii="Verdana" w:hAnsi="Verdana"/>
          <w:i/>
          <w:iCs/>
        </w:rPr>
        <w:tab/>
      </w:r>
      <w:r w:rsidRPr="00DA4767">
        <w:rPr>
          <w:rFonts w:ascii="Verdana" w:hAnsi="Verdana"/>
          <w:i/>
          <w:iCs/>
        </w:rPr>
        <w:tab/>
      </w:r>
    </w:p>
    <w:p w14:paraId="1B50F91E" w14:textId="77777777" w:rsidR="00C956B8" w:rsidRPr="00DA4767" w:rsidRDefault="00C956B8" w:rsidP="00C956B8">
      <w:pPr>
        <w:pStyle w:val="Prrafodelista"/>
        <w:numPr>
          <w:ilvl w:val="0"/>
          <w:numId w:val="20"/>
        </w:numPr>
        <w:spacing w:after="0"/>
        <w:jc w:val="both"/>
        <w:rPr>
          <w:rFonts w:ascii="Verdana" w:hAnsi="Verdana"/>
        </w:rPr>
      </w:pPr>
      <w:r>
        <w:rPr>
          <w:rFonts w:ascii="Verdana" w:hAnsi="Verdana"/>
        </w:rPr>
        <w:lastRenderedPageBreak/>
        <w:t xml:space="preserve">Por otra parte, la otra actividad por la que se indaga corresponde a la prevista en el numeral </w:t>
      </w:r>
      <w:r w:rsidRPr="00DA4767">
        <w:rPr>
          <w:rFonts w:ascii="Verdana" w:hAnsi="Verdana"/>
        </w:rPr>
        <w:t>1.7</w:t>
      </w:r>
      <w:r>
        <w:rPr>
          <w:rFonts w:ascii="Verdana" w:hAnsi="Verdana"/>
        </w:rPr>
        <w:t xml:space="preserve"> de la Matriz – Experiencia del sector que se ha venido comentando. Esta actividad, corresponde a “P</w:t>
      </w:r>
      <w:r w:rsidRPr="00DA4767">
        <w:rPr>
          <w:rFonts w:ascii="Verdana" w:hAnsi="Verdana"/>
        </w:rPr>
        <w:t>royectos de construcción y/o mantenimiento y/o adecuación y/</w:t>
      </w:r>
      <w:proofErr w:type="spellStart"/>
      <w:r w:rsidRPr="00DA4767">
        <w:rPr>
          <w:rFonts w:ascii="Verdana" w:hAnsi="Verdana"/>
        </w:rPr>
        <w:t>o</w:t>
      </w:r>
      <w:proofErr w:type="spellEnd"/>
      <w:r w:rsidRPr="00DA4767">
        <w:rPr>
          <w:rFonts w:ascii="Verdana" w:hAnsi="Verdana"/>
        </w:rPr>
        <w:t xml:space="preserve"> optimización y/o mejoramiento y/o intervención de </w:t>
      </w:r>
      <w:r w:rsidRPr="00DA4767">
        <w:rPr>
          <w:rFonts w:ascii="Verdana" w:hAnsi="Verdana"/>
          <w:b/>
          <w:bCs/>
          <w:u w:val="single"/>
        </w:rPr>
        <w:t>baterías sanitarias y/o redes hidrosanitarias</w:t>
      </w:r>
      <w:r w:rsidRPr="00DA4767">
        <w:rPr>
          <w:rFonts w:ascii="Verdana" w:hAnsi="Verdana"/>
        </w:rPr>
        <w:t xml:space="preserve"> y/o redes contra incendios de infraestructura cultural (Negrilla y subraya fuera de texto).</w:t>
      </w:r>
    </w:p>
    <w:p w14:paraId="0C71A415" w14:textId="77777777" w:rsidR="00C956B8" w:rsidRPr="00DA4767" w:rsidRDefault="00C956B8" w:rsidP="00C956B8">
      <w:pPr>
        <w:pStyle w:val="Prrafodelista"/>
        <w:spacing w:after="0"/>
        <w:jc w:val="both"/>
        <w:rPr>
          <w:rFonts w:ascii="Verdana" w:hAnsi="Verdana"/>
        </w:rPr>
      </w:pPr>
    </w:p>
    <w:p w14:paraId="7EB0653C" w14:textId="77777777" w:rsidR="00C956B8" w:rsidRPr="00DA4767" w:rsidRDefault="00C956B8" w:rsidP="00C956B8">
      <w:pPr>
        <w:pStyle w:val="Prrafodelista"/>
        <w:spacing w:after="0"/>
        <w:jc w:val="both"/>
        <w:rPr>
          <w:rFonts w:ascii="Verdana" w:hAnsi="Verdana"/>
        </w:rPr>
      </w:pPr>
      <w:r>
        <w:rPr>
          <w:rFonts w:ascii="Verdana" w:hAnsi="Verdana"/>
        </w:rPr>
        <w:t xml:space="preserve">En relación con la actividad señalada, la Matriz – Experiencia dispone </w:t>
      </w:r>
      <w:r w:rsidRPr="00DA4767">
        <w:rPr>
          <w:rFonts w:ascii="Verdana" w:hAnsi="Verdana"/>
        </w:rPr>
        <w:t xml:space="preserve">para acreditar la experiencia general </w:t>
      </w:r>
      <w:r>
        <w:rPr>
          <w:rFonts w:ascii="Verdana" w:hAnsi="Verdana"/>
        </w:rPr>
        <w:t xml:space="preserve">que </w:t>
      </w:r>
      <w:r w:rsidRPr="00DA4767">
        <w:rPr>
          <w:rFonts w:ascii="Verdana" w:hAnsi="Verdana"/>
        </w:rPr>
        <w:t xml:space="preserve">se aceptaran contratos relacionados con </w:t>
      </w:r>
      <w:r>
        <w:rPr>
          <w:rFonts w:ascii="Verdana" w:hAnsi="Verdana"/>
        </w:rPr>
        <w:t>“</w:t>
      </w:r>
      <w:r w:rsidRPr="00DA4767">
        <w:rPr>
          <w:rFonts w:ascii="Verdana" w:hAnsi="Verdana"/>
        </w:rPr>
        <w:t>construcción y/o instalación y/</w:t>
      </w:r>
      <w:proofErr w:type="spellStart"/>
      <w:r w:rsidRPr="00DA4767">
        <w:rPr>
          <w:rFonts w:ascii="Verdana" w:hAnsi="Verdana"/>
        </w:rPr>
        <w:t>o</w:t>
      </w:r>
      <w:proofErr w:type="spellEnd"/>
      <w:r w:rsidRPr="00DA4767">
        <w:rPr>
          <w:rFonts w:ascii="Verdana" w:hAnsi="Verdana"/>
        </w:rPr>
        <w:t xml:space="preserve"> optimización y/o mejoramiento y/o adecuación y/o reforzamiento y/o rehabilitación y/o mantenimiento y/o ampliación de redes hidrosanitarias o baterías o unidades sanitarias</w:t>
      </w:r>
      <w:r>
        <w:rPr>
          <w:rFonts w:ascii="Verdana" w:hAnsi="Verdana"/>
        </w:rPr>
        <w:t>”</w:t>
      </w:r>
      <w:r w:rsidRPr="00DA4767">
        <w:rPr>
          <w:rFonts w:ascii="Verdana" w:hAnsi="Verdana"/>
        </w:rPr>
        <w:t xml:space="preserve">.  Adicionalmente se establece </w:t>
      </w:r>
      <w:r>
        <w:rPr>
          <w:rFonts w:ascii="Verdana" w:hAnsi="Verdana"/>
        </w:rPr>
        <w:t>en una nota que también, “(s)</w:t>
      </w:r>
      <w:proofErr w:type="spellStart"/>
      <w:r w:rsidRPr="00DA4767">
        <w:rPr>
          <w:rFonts w:ascii="Verdana" w:hAnsi="Verdana"/>
        </w:rPr>
        <w:t>erán</w:t>
      </w:r>
      <w:proofErr w:type="spellEnd"/>
      <w:r w:rsidRPr="00DA4767">
        <w:rPr>
          <w:rFonts w:ascii="Verdana" w:hAnsi="Verdana"/>
        </w:rPr>
        <w:t xml:space="preserve"> válidos también los contratos que correspondan o contemplen la CONSTRUCCIÓN Y/O INSTALACIÓN Y/O OPTIMIZACIÓN Y/O MEJORAMIENTO Y/O ADECUACIÓN Y/O REFORZAMIENTO Y/O REHABILITACIÓN Y/O MANTENIMIENTO Y/O AMPLIACIÓN de redes contra incendio</w:t>
      </w:r>
      <w:r>
        <w:rPr>
          <w:rFonts w:ascii="Verdana" w:hAnsi="Verdana"/>
        </w:rPr>
        <w:t>”.</w:t>
      </w:r>
      <w:r w:rsidRPr="00DA4767">
        <w:rPr>
          <w:rFonts w:ascii="Verdana" w:hAnsi="Verdana"/>
        </w:rPr>
        <w:tab/>
      </w:r>
      <w:r>
        <w:rPr>
          <w:rFonts w:ascii="Verdana" w:hAnsi="Verdana"/>
        </w:rPr>
        <w:t>Ahora bien, e</w:t>
      </w:r>
      <w:r w:rsidRPr="00DA4767">
        <w:rPr>
          <w:rFonts w:ascii="Verdana" w:hAnsi="Verdana"/>
        </w:rPr>
        <w:t>n relación con las exigencias para acreditar la experiencia especifica se determina</w:t>
      </w:r>
      <w:r>
        <w:rPr>
          <w:rFonts w:ascii="Verdana" w:hAnsi="Verdana"/>
        </w:rPr>
        <w:t xml:space="preserve"> </w:t>
      </w:r>
      <w:r w:rsidRPr="00DA4767">
        <w:rPr>
          <w:rFonts w:ascii="Verdana" w:hAnsi="Verdana"/>
        </w:rPr>
        <w:t xml:space="preserve">lo siguiente: </w:t>
      </w:r>
    </w:p>
    <w:p w14:paraId="5028A40F" w14:textId="77777777" w:rsidR="00C956B8" w:rsidRPr="00DA4767" w:rsidRDefault="00C956B8" w:rsidP="00C956B8">
      <w:pPr>
        <w:pStyle w:val="Prrafodelista"/>
        <w:spacing w:after="0"/>
        <w:ind w:right="474"/>
        <w:jc w:val="both"/>
        <w:rPr>
          <w:rFonts w:ascii="Verdana" w:hAnsi="Verdana"/>
          <w:i/>
          <w:iCs/>
        </w:rPr>
      </w:pPr>
    </w:p>
    <w:p w14:paraId="422AB7A1" w14:textId="77777777" w:rsidR="00C956B8" w:rsidRPr="00DA4767" w:rsidRDefault="00C956B8" w:rsidP="00C956B8">
      <w:pPr>
        <w:pStyle w:val="Prrafodelista"/>
        <w:spacing w:after="0"/>
        <w:ind w:right="474"/>
        <w:jc w:val="both"/>
        <w:rPr>
          <w:rFonts w:ascii="Verdana" w:hAnsi="Verdana"/>
        </w:rPr>
      </w:pPr>
      <w:r w:rsidRPr="00DA4767">
        <w:rPr>
          <w:rFonts w:ascii="Verdana" w:hAnsi="Verdana"/>
          <w:i/>
          <w:iCs/>
        </w:rPr>
        <w:t>“Por lo menos uno (1) de los contratos válidos aportados como experiencia general debe corresponder mínimo al 50% del presupuesto oficial del presente proceso de selección.</w:t>
      </w:r>
      <w:r w:rsidRPr="00DA4767">
        <w:rPr>
          <w:rFonts w:ascii="Verdana" w:hAnsi="Verdana"/>
        </w:rPr>
        <w:tab/>
      </w:r>
      <w:r w:rsidRPr="00DA4767">
        <w:rPr>
          <w:rFonts w:ascii="Verdana" w:hAnsi="Verdana"/>
        </w:rPr>
        <w:tab/>
      </w:r>
      <w:r w:rsidRPr="00DA4767">
        <w:rPr>
          <w:rFonts w:ascii="Verdana" w:hAnsi="Verdana"/>
        </w:rPr>
        <w:tab/>
      </w:r>
      <w:r w:rsidRPr="00DA4767">
        <w:rPr>
          <w:rFonts w:ascii="Verdana" w:hAnsi="Verdana"/>
        </w:rPr>
        <w:tab/>
      </w:r>
      <w:r w:rsidRPr="00DA4767">
        <w:rPr>
          <w:rFonts w:ascii="Verdana" w:hAnsi="Verdana"/>
        </w:rPr>
        <w:tab/>
      </w:r>
      <w:r w:rsidRPr="00DA4767">
        <w:rPr>
          <w:rFonts w:ascii="Verdana" w:hAnsi="Verdana"/>
        </w:rPr>
        <w:tab/>
      </w:r>
      <w:r w:rsidRPr="00DA4767">
        <w:rPr>
          <w:rFonts w:ascii="Verdana" w:hAnsi="Verdana"/>
        </w:rPr>
        <w:tab/>
      </w:r>
      <w:r w:rsidRPr="00DA4767">
        <w:rPr>
          <w:rFonts w:ascii="Verdana" w:hAnsi="Verdana"/>
        </w:rPr>
        <w:tab/>
      </w:r>
      <w:r w:rsidRPr="00DA4767">
        <w:rPr>
          <w:rFonts w:ascii="Verdana" w:hAnsi="Verdana"/>
        </w:rPr>
        <w:tab/>
      </w:r>
    </w:p>
    <w:p w14:paraId="7BD36FB4" w14:textId="77777777" w:rsidR="00C956B8" w:rsidRPr="00DA4767" w:rsidRDefault="00C956B8" w:rsidP="00C956B8">
      <w:pPr>
        <w:pStyle w:val="Prrafodelista"/>
        <w:numPr>
          <w:ilvl w:val="0"/>
          <w:numId w:val="20"/>
        </w:numPr>
        <w:spacing w:after="0"/>
        <w:jc w:val="both"/>
        <w:rPr>
          <w:rFonts w:ascii="Verdana" w:eastAsia="Calibri" w:hAnsi="Verdana" w:cs="Arial"/>
          <w:lang w:val="es-ES_tradnl"/>
        </w:rPr>
      </w:pPr>
      <w:r>
        <w:rPr>
          <w:rFonts w:ascii="Verdana" w:hAnsi="Verdana"/>
        </w:rPr>
        <w:t>Para combinar las actividades señalas con anterioridad, debe tenerse en cuenta que, la Matriz – Experiencia del documento tipo complementario del sector de infraestructura de cultura, recreación y deporte, -donde se encuentran las actividades que son objeto de su consulta- establece dentro de las “Reglas para definir la experiencia exigible en el proceso de contratación” lo siguiente:</w:t>
      </w:r>
    </w:p>
    <w:p w14:paraId="797152E2" w14:textId="77777777" w:rsidR="00C956B8" w:rsidRDefault="00C956B8" w:rsidP="00C956B8">
      <w:pPr>
        <w:spacing w:after="0"/>
        <w:jc w:val="both"/>
        <w:rPr>
          <w:rFonts w:ascii="Verdana" w:eastAsia="Calibri" w:hAnsi="Verdana" w:cs="Arial"/>
          <w:lang w:val="es-ES_tradnl"/>
        </w:rPr>
      </w:pPr>
    </w:p>
    <w:p w14:paraId="0B85AA1B" w14:textId="77777777" w:rsidR="00C956B8" w:rsidRDefault="00C956B8" w:rsidP="00C956B8">
      <w:pPr>
        <w:pStyle w:val="Prrafodelista"/>
        <w:spacing w:after="0"/>
        <w:ind w:right="474"/>
        <w:jc w:val="both"/>
        <w:rPr>
          <w:rFonts w:ascii="Verdana" w:hAnsi="Verdana"/>
          <w:i/>
          <w:iCs/>
        </w:rPr>
      </w:pPr>
      <w:r>
        <w:rPr>
          <w:rFonts w:ascii="Verdana" w:hAnsi="Verdana"/>
          <w:i/>
          <w:iCs/>
        </w:rPr>
        <w:t>“</w:t>
      </w:r>
      <w:r w:rsidRPr="00B4205B">
        <w:rPr>
          <w:rFonts w:ascii="Verdana" w:hAnsi="Verdana"/>
          <w:i/>
          <w:iCs/>
          <w:lang w:val="es-CO"/>
        </w:rPr>
        <w:t xml:space="preserve">vi) Cuando el objeto del proceso de contratación </w:t>
      </w:r>
      <w:proofErr w:type="gramStart"/>
      <w:r w:rsidRPr="00B4205B">
        <w:rPr>
          <w:rFonts w:ascii="Verdana" w:hAnsi="Verdana"/>
          <w:i/>
          <w:iCs/>
          <w:lang w:val="es-CO"/>
        </w:rPr>
        <w:t>contemple</w:t>
      </w:r>
      <w:proofErr w:type="gramEnd"/>
      <w:r w:rsidRPr="00B4205B">
        <w:rPr>
          <w:rFonts w:ascii="Verdana" w:hAnsi="Verdana"/>
          <w:i/>
          <w:iCs/>
          <w:lang w:val="es-CO"/>
        </w:rPr>
        <w:t xml:space="preserve"> la ejecución de dos o más “Actividades a Contratar” (ej.: 1.1 y 2.1), la entidad procederá de acuerdo con lo indicado en el Documento Base en relación con la combinación de experiencia</w:t>
      </w:r>
      <w:r>
        <w:rPr>
          <w:rFonts w:ascii="Verdana" w:hAnsi="Verdana"/>
          <w:i/>
          <w:iCs/>
        </w:rPr>
        <w:t>”</w:t>
      </w:r>
      <w:r w:rsidRPr="00B4205B">
        <w:rPr>
          <w:rFonts w:ascii="Verdana" w:hAnsi="Verdana"/>
          <w:i/>
          <w:iCs/>
          <w:lang w:val="es-CO"/>
        </w:rPr>
        <w:t>.</w:t>
      </w:r>
    </w:p>
    <w:p w14:paraId="21DB86FB" w14:textId="77777777" w:rsidR="00C956B8" w:rsidRDefault="00C956B8" w:rsidP="00C956B8">
      <w:pPr>
        <w:pStyle w:val="Prrafodelista"/>
        <w:spacing w:after="0"/>
        <w:ind w:right="474"/>
        <w:jc w:val="both"/>
        <w:rPr>
          <w:rFonts w:ascii="Verdana" w:hAnsi="Verdana"/>
          <w:i/>
          <w:iCs/>
        </w:rPr>
      </w:pPr>
    </w:p>
    <w:p w14:paraId="7DD6155C" w14:textId="77777777" w:rsidR="00C956B8" w:rsidRDefault="00C956B8" w:rsidP="00C956B8">
      <w:pPr>
        <w:pStyle w:val="Prrafodelista"/>
        <w:numPr>
          <w:ilvl w:val="0"/>
          <w:numId w:val="20"/>
        </w:numPr>
        <w:spacing w:after="0"/>
        <w:contextualSpacing w:val="0"/>
        <w:jc w:val="both"/>
        <w:rPr>
          <w:rFonts w:ascii="Verdana" w:hAnsi="Verdana"/>
        </w:rPr>
      </w:pPr>
      <w:r w:rsidRPr="00B4205B">
        <w:rPr>
          <w:rFonts w:ascii="Verdana" w:hAnsi="Verdana"/>
        </w:rPr>
        <w:t xml:space="preserve">De esta forma, según se indica cuando el objeto de contratación contemple la ejecución de dos </w:t>
      </w:r>
      <w:r>
        <w:rPr>
          <w:rFonts w:ascii="Verdana" w:hAnsi="Verdana"/>
        </w:rPr>
        <w:t xml:space="preserve">(2) </w:t>
      </w:r>
      <w:r w:rsidRPr="00B4205B">
        <w:rPr>
          <w:rFonts w:ascii="Verdana" w:hAnsi="Verdana"/>
        </w:rPr>
        <w:t>o más actividades, en este caso previstas en la Matriz – Experiencia del sector cultura, recreación y deporte, se aplicará lo dispuesto en el documento base</w:t>
      </w:r>
      <w:r>
        <w:rPr>
          <w:rFonts w:ascii="Verdana" w:hAnsi="Verdana"/>
        </w:rPr>
        <w:t>.</w:t>
      </w:r>
      <w:r w:rsidRPr="00B4205B">
        <w:rPr>
          <w:rFonts w:ascii="Verdana" w:hAnsi="Verdana"/>
        </w:rPr>
        <w:t xml:space="preserve"> </w:t>
      </w:r>
      <w:r>
        <w:rPr>
          <w:rFonts w:ascii="Verdana" w:hAnsi="Verdana"/>
        </w:rPr>
        <w:t>C</w:t>
      </w:r>
      <w:r w:rsidRPr="00B4205B">
        <w:rPr>
          <w:rFonts w:ascii="Verdana" w:hAnsi="Verdana"/>
        </w:rPr>
        <w:t>oncretamente, el numeral 3.5.1 “CARACTERÍSTICAS DE LOS CONTRATOS PRESENTADOS PARA ACREDITAR LA EXPERIENCIA EXIGIDA</w:t>
      </w:r>
      <w:r>
        <w:rPr>
          <w:rFonts w:ascii="Verdana" w:hAnsi="Verdana"/>
        </w:rPr>
        <w:t xml:space="preserve">”, en el que se indican </w:t>
      </w:r>
      <w:r w:rsidRPr="00B4205B">
        <w:rPr>
          <w:rFonts w:ascii="Verdana" w:hAnsi="Verdana"/>
        </w:rPr>
        <w:t>las reglas que deben tener en cuenta las entidades estatales y los particulares en caso de que se soliciten combinaciones de diferentes actividades a contratar de una misma o de diferentes matrices de experienci</w:t>
      </w:r>
      <w:r>
        <w:rPr>
          <w:rFonts w:ascii="Verdana" w:hAnsi="Verdana"/>
        </w:rPr>
        <w:t>a. Al respecto, el numeral señala lo siguiente:</w:t>
      </w:r>
    </w:p>
    <w:p w14:paraId="18FE63E2" w14:textId="77777777" w:rsidR="00C956B8" w:rsidRDefault="00C956B8" w:rsidP="00C956B8">
      <w:pPr>
        <w:pStyle w:val="Prrafodelista"/>
        <w:spacing w:after="0"/>
        <w:contextualSpacing w:val="0"/>
        <w:jc w:val="both"/>
        <w:rPr>
          <w:rFonts w:ascii="Verdana" w:hAnsi="Verdana"/>
        </w:rPr>
      </w:pPr>
    </w:p>
    <w:p w14:paraId="724A9982" w14:textId="77777777" w:rsidR="00C956B8" w:rsidRPr="00B4205B" w:rsidRDefault="00C956B8" w:rsidP="00C956B8">
      <w:pPr>
        <w:spacing w:after="120" w:line="276" w:lineRule="auto"/>
        <w:ind w:left="709" w:right="709" w:hanging="1"/>
        <w:jc w:val="both"/>
        <w:rPr>
          <w:rFonts w:ascii="Arial" w:eastAsia="Times New Roman" w:hAnsi="Arial" w:cs="Arial"/>
          <w:color w:val="000000"/>
          <w:sz w:val="20"/>
          <w:szCs w:val="20"/>
          <w:highlight w:val="lightGray"/>
          <w:lang w:eastAsia="es-ES"/>
        </w:rPr>
      </w:pPr>
      <w:r w:rsidRPr="00B4205B">
        <w:rPr>
          <w:rFonts w:ascii="Arial" w:eastAsia="Times New Roman" w:hAnsi="Arial" w:cs="Arial"/>
          <w:color w:val="000000"/>
          <w:sz w:val="20"/>
          <w:szCs w:val="20"/>
          <w:highlight w:val="lightGray"/>
          <w:lang w:eastAsia="es-ES"/>
        </w:rPr>
        <w:t>i) [En el caso que eventualmente se soliciten combinaciones de diferentes actividades a contratar con una misma o diferentes matrices de experiencia, la Entidad en esta sección identificará y definirá la actividad principal o de mayor relevancia y la actividad secundaria o accesoria a la principal, de acuerdo con las características del proyecto en particular. La Entidad podrá analizar la relevancia en función del valor de las actividades en el Presupuesto Oficial o por la complejidad técnica, para lo cual establecerá:</w:t>
      </w:r>
    </w:p>
    <w:p w14:paraId="32F00A36" w14:textId="77777777" w:rsidR="00C956B8" w:rsidRPr="00B4205B" w:rsidRDefault="00C956B8" w:rsidP="00C956B8">
      <w:pPr>
        <w:spacing w:after="120" w:line="276" w:lineRule="auto"/>
        <w:ind w:left="709" w:right="709"/>
        <w:jc w:val="both"/>
        <w:rPr>
          <w:rFonts w:ascii="Arial" w:eastAsia="Times New Roman" w:hAnsi="Arial" w:cs="Arial"/>
          <w:color w:val="000000"/>
          <w:sz w:val="20"/>
          <w:szCs w:val="20"/>
          <w:highlight w:val="lightGray"/>
          <w:lang w:eastAsia="es-ES"/>
        </w:rPr>
      </w:pPr>
      <w:r w:rsidRPr="00B4205B">
        <w:rPr>
          <w:rFonts w:ascii="Arial" w:eastAsia="Times New Roman" w:hAnsi="Arial" w:cs="Arial"/>
          <w:b/>
          <w:bCs/>
          <w:color w:val="000000"/>
          <w:sz w:val="20"/>
          <w:szCs w:val="20"/>
          <w:highlight w:val="lightGray"/>
          <w:lang w:eastAsia="es-ES"/>
        </w:rPr>
        <w:t>Actividad Principal:</w:t>
      </w:r>
      <w:r w:rsidRPr="00B4205B">
        <w:rPr>
          <w:rFonts w:ascii="Arial" w:eastAsia="Times New Roman" w:hAnsi="Arial" w:cs="Arial"/>
          <w:color w:val="000000"/>
          <w:sz w:val="20"/>
          <w:szCs w:val="20"/>
          <w:highlight w:val="lightGray"/>
          <w:lang w:eastAsia="es-ES"/>
        </w:rPr>
        <w:t xml:space="preserve"> [La Entidad identificará y definirá la actividad a contratar principal aplicable en el Proceso de Contratación de acuerdo con la respectiva matriz de experiencia. Para esta actividad principal se solicitará la experiencia general y específica de la respectiva actividad a contratar de mayor relevancia.]</w:t>
      </w:r>
    </w:p>
    <w:p w14:paraId="3DC4885E" w14:textId="77777777" w:rsidR="00C956B8" w:rsidRPr="00B4205B" w:rsidRDefault="00C956B8" w:rsidP="00C956B8">
      <w:pPr>
        <w:spacing w:after="120" w:line="276" w:lineRule="auto"/>
        <w:ind w:left="709" w:right="709"/>
        <w:jc w:val="both"/>
        <w:rPr>
          <w:rFonts w:ascii="Arial" w:eastAsia="Times New Roman" w:hAnsi="Arial" w:cs="Arial"/>
          <w:sz w:val="20"/>
          <w:szCs w:val="20"/>
          <w:highlight w:val="lightGray"/>
          <w:lang w:eastAsia="es-ES"/>
        </w:rPr>
      </w:pPr>
      <w:r w:rsidRPr="00B4205B">
        <w:rPr>
          <w:rFonts w:ascii="Arial" w:eastAsia="Times New Roman" w:hAnsi="Arial" w:cs="Arial"/>
          <w:color w:val="000000"/>
          <w:sz w:val="20"/>
          <w:szCs w:val="20"/>
          <w:highlight w:val="lightGray"/>
          <w:lang w:eastAsia="es-ES"/>
        </w:rPr>
        <w:t>[La Entidad deberá establecer como actividad principal alguna de las “actividades a contratar” definidas en la matriz de experiencia de infraestructura social aplicab</w:t>
      </w:r>
      <w:r w:rsidRPr="00B4205B">
        <w:rPr>
          <w:rFonts w:ascii="Arial" w:eastAsia="Times New Roman" w:hAnsi="Arial" w:cs="Arial"/>
          <w:sz w:val="20"/>
          <w:szCs w:val="20"/>
          <w:highlight w:val="lightGray"/>
          <w:lang w:eastAsia="es-ES"/>
        </w:rPr>
        <w:t xml:space="preserve">le]. </w:t>
      </w:r>
    </w:p>
    <w:p w14:paraId="37B05451" w14:textId="77777777" w:rsidR="00C956B8" w:rsidRPr="00B4205B" w:rsidRDefault="00C956B8" w:rsidP="00C956B8">
      <w:pPr>
        <w:spacing w:after="120" w:line="276" w:lineRule="auto"/>
        <w:ind w:left="709" w:right="709"/>
        <w:jc w:val="both"/>
        <w:rPr>
          <w:rFonts w:ascii="Arial" w:eastAsia="Times New Roman" w:hAnsi="Arial" w:cs="Arial"/>
          <w:color w:val="000000"/>
          <w:sz w:val="20"/>
          <w:szCs w:val="20"/>
          <w:highlight w:val="lightGray"/>
          <w:lang w:eastAsia="es-ES"/>
        </w:rPr>
      </w:pPr>
      <w:r w:rsidRPr="00B4205B">
        <w:rPr>
          <w:rFonts w:ascii="Arial" w:eastAsia="Times New Roman" w:hAnsi="Arial" w:cs="Arial"/>
          <w:b/>
          <w:color w:val="000000"/>
          <w:sz w:val="20"/>
          <w:szCs w:val="20"/>
          <w:highlight w:val="lightGray"/>
          <w:lang w:eastAsia="es-ES"/>
        </w:rPr>
        <w:t>Actividad Secundaria</w:t>
      </w:r>
      <w:r w:rsidRPr="00B4205B">
        <w:rPr>
          <w:rFonts w:ascii="Arial" w:eastAsia="Times New Roman" w:hAnsi="Arial" w:cs="Arial"/>
          <w:color w:val="000000"/>
          <w:sz w:val="20"/>
          <w:szCs w:val="20"/>
          <w:highlight w:val="lightGray"/>
          <w:lang w:eastAsia="es-ES"/>
        </w:rPr>
        <w:t xml:space="preserve"> (1): [La Entidad definirá la actividad secundaria o accesoria aplicable en el Proceso de Contratación de acuerdo con la matriz de experiencia aplicable, ya sea cuando: i) en un mismo proyecto se incluyen otras actividades definidas en una misma matriz de experiencia </w:t>
      </w:r>
      <w:r w:rsidRPr="00B4205B">
        <w:rPr>
          <w:rFonts w:ascii="Arial" w:eastAsia="Times New Roman" w:hAnsi="Arial" w:cs="Arial"/>
          <w:sz w:val="20"/>
          <w:szCs w:val="20"/>
          <w:highlight w:val="lightGray"/>
          <w:lang w:eastAsia="es-ES"/>
        </w:rPr>
        <w:t xml:space="preserve">de infraestructura social, </w:t>
      </w:r>
      <w:proofErr w:type="spellStart"/>
      <w:r w:rsidRPr="00B4205B">
        <w:rPr>
          <w:rFonts w:ascii="Arial" w:eastAsia="Times New Roman" w:hAnsi="Arial" w:cs="Arial"/>
          <w:sz w:val="20"/>
          <w:szCs w:val="20"/>
          <w:highlight w:val="lightGray"/>
          <w:lang w:eastAsia="es-ES"/>
        </w:rPr>
        <w:t>ii</w:t>
      </w:r>
      <w:proofErr w:type="spellEnd"/>
      <w:r w:rsidRPr="00B4205B">
        <w:rPr>
          <w:rFonts w:ascii="Arial" w:eastAsia="Times New Roman" w:hAnsi="Arial" w:cs="Arial"/>
          <w:sz w:val="20"/>
          <w:szCs w:val="20"/>
          <w:highlight w:val="lightGray"/>
          <w:lang w:eastAsia="es-ES"/>
        </w:rPr>
        <w:t>) cuando en un mismo proyecto se incorporen actividades de infraestructura educativa, salud o cultura</w:t>
      </w:r>
      <w:r w:rsidRPr="00B4205B">
        <w:rPr>
          <w:rFonts w:ascii="Arial" w:eastAsia="Times New Roman" w:hAnsi="Arial" w:cs="Arial"/>
          <w:color w:val="000000"/>
          <w:sz w:val="20"/>
          <w:szCs w:val="20"/>
          <w:highlight w:val="lightGray"/>
          <w:lang w:eastAsia="es-ES"/>
        </w:rPr>
        <w:t xml:space="preserve">, recreación y deporte, o </w:t>
      </w:r>
      <w:proofErr w:type="spellStart"/>
      <w:r w:rsidRPr="00B4205B">
        <w:rPr>
          <w:rFonts w:ascii="Arial" w:eastAsia="Times New Roman" w:hAnsi="Arial" w:cs="Arial"/>
          <w:color w:val="000000"/>
          <w:sz w:val="20"/>
          <w:szCs w:val="20"/>
          <w:highlight w:val="lightGray"/>
          <w:lang w:eastAsia="es-ES"/>
        </w:rPr>
        <w:t>iii</w:t>
      </w:r>
      <w:proofErr w:type="spellEnd"/>
      <w:r w:rsidRPr="00B4205B">
        <w:rPr>
          <w:rFonts w:ascii="Arial" w:eastAsia="Times New Roman" w:hAnsi="Arial" w:cs="Arial"/>
          <w:color w:val="000000"/>
          <w:sz w:val="20"/>
          <w:szCs w:val="20"/>
          <w:highlight w:val="lightGray"/>
          <w:lang w:eastAsia="es-ES"/>
        </w:rPr>
        <w:t xml:space="preserve">) cuando en un Proceso de Contratación aplican matrices de experiencia de otros Documentos Tipo y la Entidad considera conveniente incluir dicha experiencia, como por ejemplo: las “Matrices de Experiencia” de los Documentos Tipo de licitación de obra pública de infraestructura de transporte o de licitación de obra pública de infraestructura de agua potable y saneamiento básico.]  </w:t>
      </w:r>
    </w:p>
    <w:p w14:paraId="029F7CEC" w14:textId="77777777" w:rsidR="00C956B8" w:rsidRPr="00B4205B" w:rsidRDefault="00C956B8" w:rsidP="00C956B8">
      <w:pPr>
        <w:spacing w:after="120" w:line="276" w:lineRule="auto"/>
        <w:ind w:left="709" w:right="709"/>
        <w:jc w:val="both"/>
        <w:rPr>
          <w:rFonts w:ascii="Arial" w:eastAsia="Times New Roman" w:hAnsi="Arial" w:cs="Arial"/>
          <w:color w:val="000000"/>
          <w:sz w:val="20"/>
          <w:szCs w:val="20"/>
          <w:highlight w:val="lightGray"/>
          <w:lang w:eastAsia="es-ES"/>
        </w:rPr>
      </w:pPr>
      <w:r w:rsidRPr="00B4205B">
        <w:rPr>
          <w:rFonts w:ascii="Arial" w:eastAsia="Times New Roman" w:hAnsi="Arial" w:cs="Arial"/>
          <w:b/>
          <w:color w:val="000000"/>
          <w:sz w:val="20"/>
          <w:szCs w:val="20"/>
          <w:highlight w:val="lightGray"/>
          <w:lang w:eastAsia="es-ES"/>
        </w:rPr>
        <w:lastRenderedPageBreak/>
        <w:t>Actividad Secundaria (2):</w:t>
      </w:r>
      <w:r w:rsidRPr="00B4205B">
        <w:rPr>
          <w:rFonts w:ascii="Arial" w:eastAsia="Times New Roman" w:hAnsi="Arial" w:cs="Arial"/>
          <w:color w:val="000000"/>
          <w:sz w:val="20"/>
          <w:szCs w:val="20"/>
          <w:highlight w:val="lightGray"/>
          <w:lang w:eastAsia="es-ES"/>
        </w:rPr>
        <w:t xml:space="preserve"> [La Entidad diligenciará la experiencia aplicable a esta actividad secundaria de acuerdo con los lineamientos previstos en el párrafo anterior, en caso de que aplique y si considera conveniente incluir dicha experiencia]</w:t>
      </w:r>
    </w:p>
    <w:p w14:paraId="3B8826E0" w14:textId="77777777" w:rsidR="00C956B8" w:rsidRPr="00B4205B" w:rsidRDefault="00C956B8" w:rsidP="00C956B8">
      <w:pPr>
        <w:spacing w:after="120" w:line="276" w:lineRule="auto"/>
        <w:ind w:left="709" w:right="709"/>
        <w:jc w:val="both"/>
        <w:rPr>
          <w:rFonts w:ascii="Arial" w:eastAsia="Times New Roman" w:hAnsi="Arial" w:cs="Arial"/>
          <w:color w:val="000000"/>
          <w:sz w:val="20"/>
          <w:szCs w:val="20"/>
          <w:highlight w:val="lightGray"/>
          <w:lang w:eastAsia="es-ES"/>
        </w:rPr>
      </w:pPr>
      <w:r w:rsidRPr="00B4205B">
        <w:rPr>
          <w:rFonts w:ascii="Arial" w:eastAsia="Times New Roman" w:hAnsi="Arial" w:cs="Arial"/>
          <w:color w:val="000000"/>
          <w:sz w:val="20"/>
          <w:szCs w:val="20"/>
          <w:highlight w:val="lightGray"/>
          <w:lang w:eastAsia="es-ES"/>
        </w:rPr>
        <w:t>En caso de que se combinen diferentes actividades, la Entidad en este espacio definirá los requisitos de experiencia exigibles conforme</w:t>
      </w:r>
      <w:r w:rsidRPr="00B4205B">
        <w:rPr>
          <w:rFonts w:ascii="Arial" w:eastAsia="Times New Roman" w:hAnsi="Arial" w:cs="Arial"/>
          <w:color w:val="000000"/>
          <w:sz w:val="20"/>
          <w:szCs w:val="20"/>
          <w:shd w:val="clear" w:color="auto" w:fill="C0C0C0"/>
          <w:lang w:val="es-MX" w:eastAsia="es-CO"/>
        </w:rPr>
        <w:t xml:space="preserve"> </w:t>
      </w:r>
      <w:r w:rsidRPr="00B4205B">
        <w:rPr>
          <w:rFonts w:ascii="Arial" w:eastAsia="Times New Roman" w:hAnsi="Arial" w:cs="Arial"/>
          <w:color w:val="000000"/>
          <w:sz w:val="20"/>
          <w:szCs w:val="20"/>
          <w:highlight w:val="lightGray"/>
          <w:lang w:val="es-MX" w:eastAsia="es-ES"/>
        </w:rPr>
        <w:t>con la matriz de experiencia aplicable</w:t>
      </w:r>
      <w:r w:rsidRPr="00B4205B">
        <w:rPr>
          <w:rFonts w:ascii="Arial" w:eastAsia="Times New Roman" w:hAnsi="Arial" w:cs="Arial"/>
          <w:color w:val="000000"/>
          <w:sz w:val="20"/>
          <w:szCs w:val="20"/>
          <w:highlight w:val="lightGray"/>
          <w:lang w:eastAsia="es-ES"/>
        </w:rPr>
        <w:t xml:space="preserve">, optando por una de las siguientes alternativas: </w:t>
      </w:r>
    </w:p>
    <w:p w14:paraId="7148419B" w14:textId="77777777" w:rsidR="00C956B8" w:rsidRPr="00B4205B" w:rsidRDefault="00C956B8" w:rsidP="00C956B8">
      <w:pPr>
        <w:spacing w:after="120" w:line="276" w:lineRule="auto"/>
        <w:ind w:left="709" w:right="709" w:hanging="1"/>
        <w:jc w:val="both"/>
        <w:rPr>
          <w:rFonts w:ascii="Arial" w:eastAsia="Times New Roman" w:hAnsi="Arial" w:cs="Arial"/>
          <w:color w:val="000000"/>
          <w:sz w:val="20"/>
          <w:szCs w:val="20"/>
          <w:highlight w:val="lightGray"/>
          <w:lang w:eastAsia="es-ES"/>
        </w:rPr>
      </w:pPr>
      <w:r w:rsidRPr="00B4205B">
        <w:rPr>
          <w:rFonts w:ascii="Arial" w:eastAsia="Times New Roman" w:hAnsi="Arial" w:cs="Arial"/>
          <w:color w:val="000000"/>
          <w:sz w:val="20"/>
          <w:szCs w:val="20"/>
          <w:highlight w:val="lightGray"/>
          <w:lang w:eastAsia="es-ES"/>
        </w:rPr>
        <w:t>a)</w:t>
      </w:r>
      <w:r w:rsidRPr="00B4205B">
        <w:rPr>
          <w:rFonts w:ascii="Arial" w:eastAsia="Times New Roman" w:hAnsi="Arial" w:cs="Arial"/>
          <w:color w:val="000000"/>
          <w:sz w:val="20"/>
          <w:szCs w:val="20"/>
          <w:highlight w:val="lightGray"/>
          <w:lang w:eastAsia="es-ES"/>
        </w:rPr>
        <w:tab/>
        <w:t xml:space="preserve">No solicitar experiencia para la actividad secundaria, sino únicamente la experiencia de la actividad principal, siempre que esta se trate de una de las actividades definidas en las matrices de experiencia de infraestructura social; o </w:t>
      </w:r>
    </w:p>
    <w:p w14:paraId="7C09CD2B" w14:textId="77777777" w:rsidR="00C956B8" w:rsidRPr="00B4205B" w:rsidRDefault="00C956B8" w:rsidP="00C956B8">
      <w:pPr>
        <w:spacing w:after="120" w:line="276" w:lineRule="auto"/>
        <w:ind w:left="709" w:right="709" w:hanging="1"/>
        <w:jc w:val="both"/>
        <w:rPr>
          <w:rFonts w:ascii="Arial" w:eastAsia="Times New Roman" w:hAnsi="Arial" w:cs="Arial"/>
          <w:color w:val="000000"/>
          <w:sz w:val="20"/>
          <w:szCs w:val="20"/>
          <w:highlight w:val="lightGray"/>
          <w:lang w:eastAsia="es-ES"/>
        </w:rPr>
      </w:pPr>
      <w:r w:rsidRPr="00B4205B">
        <w:rPr>
          <w:rFonts w:ascii="Arial" w:eastAsia="Times New Roman" w:hAnsi="Arial" w:cs="Arial"/>
          <w:color w:val="000000"/>
          <w:sz w:val="20"/>
          <w:szCs w:val="20"/>
          <w:highlight w:val="lightGray"/>
          <w:lang w:eastAsia="es-ES"/>
        </w:rPr>
        <w:t>b)</w:t>
      </w:r>
      <w:r w:rsidRPr="00B4205B">
        <w:rPr>
          <w:rFonts w:ascii="Arial" w:eastAsia="Times New Roman" w:hAnsi="Arial" w:cs="Arial"/>
          <w:color w:val="000000"/>
          <w:sz w:val="20"/>
          <w:szCs w:val="20"/>
          <w:highlight w:val="lightGray"/>
          <w:lang w:eastAsia="es-ES"/>
        </w:rPr>
        <w:tab/>
        <w:t>Solicitar la experiencia general y específica de la “actividad a contratar” de la actividad principal y para las demás actividades secundarias a contratar requerir la experiencia general</w:t>
      </w:r>
      <w:r w:rsidRPr="00B4205B" w:rsidDel="00B96632">
        <w:rPr>
          <w:rFonts w:ascii="Arial" w:eastAsia="Times New Roman" w:hAnsi="Arial" w:cs="Arial"/>
          <w:color w:val="000000"/>
          <w:sz w:val="20"/>
          <w:szCs w:val="20"/>
          <w:highlight w:val="lightGray"/>
          <w:lang w:eastAsia="es-ES"/>
        </w:rPr>
        <w:t xml:space="preserve"> </w:t>
      </w:r>
      <w:r w:rsidRPr="00B4205B">
        <w:rPr>
          <w:rFonts w:ascii="Arial" w:eastAsia="Times New Roman" w:hAnsi="Arial" w:cs="Arial"/>
          <w:color w:val="000000"/>
          <w:sz w:val="20"/>
          <w:szCs w:val="20"/>
          <w:highlight w:val="lightGray"/>
          <w:lang w:eastAsia="es-ES"/>
        </w:rPr>
        <w:t xml:space="preserve">o específica. Esto significa que la Entidad, de acuerdo con el alcance del proyecto decidirá cuál experiencia pedirá para la actividad secundaria. En el evento en que la matriz de experiencia no contemple experiencia específica para la actividad secundaria, se solicitará la experiencia general. En todo caso en la actividad secundaria no será posible exigir la experiencia general y la específica, sino solo una de ellas. </w:t>
      </w:r>
    </w:p>
    <w:p w14:paraId="1F10E030" w14:textId="77777777" w:rsidR="00C956B8" w:rsidRPr="00B4205B" w:rsidRDefault="00C956B8" w:rsidP="00C956B8">
      <w:pPr>
        <w:spacing w:after="120" w:line="276" w:lineRule="auto"/>
        <w:ind w:left="709" w:right="709"/>
        <w:jc w:val="both"/>
        <w:rPr>
          <w:rFonts w:ascii="Arial" w:eastAsia="Times New Roman" w:hAnsi="Arial" w:cs="Arial"/>
          <w:color w:val="000000"/>
          <w:sz w:val="20"/>
          <w:szCs w:val="20"/>
          <w:highlight w:val="lightGray"/>
          <w:lang w:eastAsia="es-ES"/>
        </w:rPr>
      </w:pPr>
      <w:r w:rsidRPr="00B4205B">
        <w:rPr>
          <w:rFonts w:ascii="Arial" w:eastAsia="Times New Roman" w:hAnsi="Arial" w:cs="Arial"/>
          <w:color w:val="000000"/>
          <w:sz w:val="20"/>
          <w:szCs w:val="20"/>
          <w:highlight w:val="lightGray"/>
          <w:lang w:eastAsia="es-ES"/>
        </w:rPr>
        <w:t>Para la actividad secundaria en caso de requerirse la experiencia específica, se entenderá en el contexto de la experiencia general solicitada en dicha actividad.</w:t>
      </w:r>
    </w:p>
    <w:p w14:paraId="657544C3" w14:textId="77777777" w:rsidR="00C956B8" w:rsidRPr="00B4205B" w:rsidRDefault="00C956B8" w:rsidP="00C956B8">
      <w:pPr>
        <w:spacing w:after="120" w:line="276" w:lineRule="auto"/>
        <w:ind w:left="709" w:right="709" w:hanging="1"/>
        <w:jc w:val="both"/>
        <w:rPr>
          <w:rFonts w:ascii="Arial" w:eastAsia="Times New Roman" w:hAnsi="Arial" w:cs="Arial"/>
          <w:color w:val="000000"/>
          <w:sz w:val="20"/>
          <w:szCs w:val="20"/>
          <w:highlight w:val="lightGray"/>
          <w:lang w:eastAsia="es-ES"/>
        </w:rPr>
      </w:pPr>
      <w:proofErr w:type="spellStart"/>
      <w:r w:rsidRPr="00B4205B">
        <w:rPr>
          <w:rFonts w:ascii="Arial" w:eastAsia="Times New Roman" w:hAnsi="Arial" w:cs="Arial"/>
          <w:color w:val="000000"/>
          <w:sz w:val="20"/>
          <w:szCs w:val="20"/>
          <w:highlight w:val="lightGray"/>
          <w:lang w:eastAsia="es-ES"/>
        </w:rPr>
        <w:t>ii</w:t>
      </w:r>
      <w:proofErr w:type="spellEnd"/>
      <w:r w:rsidRPr="00B4205B">
        <w:rPr>
          <w:rFonts w:ascii="Arial" w:eastAsia="Times New Roman" w:hAnsi="Arial" w:cs="Arial"/>
          <w:color w:val="000000"/>
          <w:sz w:val="20"/>
          <w:szCs w:val="20"/>
          <w:highlight w:val="lightGray"/>
          <w:lang w:eastAsia="es-ES"/>
        </w:rPr>
        <w:t xml:space="preserve">) La experiencia exigible para estas actividades (principal o secundaria) se definirá en función de los rangos de cuantías aplicables al Proceso de Contratación. En el caso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prueba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 </w:t>
      </w:r>
    </w:p>
    <w:p w14:paraId="5EDBD6F0" w14:textId="77777777" w:rsidR="00C956B8" w:rsidRPr="00B4205B" w:rsidRDefault="00C956B8" w:rsidP="00C956B8">
      <w:pPr>
        <w:spacing w:after="120" w:line="276" w:lineRule="auto"/>
        <w:ind w:left="709" w:right="709" w:hanging="1"/>
        <w:jc w:val="both"/>
        <w:rPr>
          <w:rFonts w:ascii="Arial" w:eastAsia="Times New Roman" w:hAnsi="Arial" w:cs="Arial"/>
          <w:color w:val="000000"/>
          <w:sz w:val="20"/>
          <w:szCs w:val="20"/>
          <w:highlight w:val="lightGray"/>
          <w:lang w:eastAsia="es-ES"/>
        </w:rPr>
      </w:pPr>
      <w:proofErr w:type="spellStart"/>
      <w:r w:rsidRPr="00B4205B">
        <w:rPr>
          <w:rFonts w:ascii="Arial" w:eastAsia="Times New Roman" w:hAnsi="Arial" w:cs="Arial"/>
          <w:color w:val="000000"/>
          <w:sz w:val="20"/>
          <w:szCs w:val="20"/>
          <w:highlight w:val="lightGray"/>
          <w:lang w:eastAsia="es-ES"/>
        </w:rPr>
        <w:t>iii</w:t>
      </w:r>
      <w:proofErr w:type="spellEnd"/>
      <w:r w:rsidRPr="00B4205B">
        <w:rPr>
          <w:rFonts w:ascii="Arial" w:eastAsia="Times New Roman" w:hAnsi="Arial" w:cs="Arial"/>
          <w:color w:val="000000"/>
          <w:sz w:val="20"/>
          <w:szCs w:val="20"/>
          <w:highlight w:val="lightGray"/>
          <w:lang w:eastAsia="es-ES"/>
        </w:rPr>
        <w:t>) La Entidad no podrá incluir más de dos (2) combinaciones de experiencia adicionales a la prevista para la actividad principal. Esto significa que la Entidad solicitará la experiencia general y la específica de la actividad principal y máximo dos (2) experiencias, general o específica, para las actividades secundarias aplicables al Proceso de Contratación.</w:t>
      </w:r>
    </w:p>
    <w:p w14:paraId="32D196D2" w14:textId="77777777" w:rsidR="00C956B8" w:rsidRPr="00B4205B" w:rsidRDefault="00C956B8" w:rsidP="00C956B8">
      <w:pPr>
        <w:spacing w:after="120" w:line="276" w:lineRule="auto"/>
        <w:ind w:left="709" w:right="709" w:hanging="1"/>
        <w:jc w:val="both"/>
        <w:rPr>
          <w:rFonts w:ascii="Arial" w:eastAsia="Times New Roman" w:hAnsi="Arial" w:cs="Arial"/>
          <w:color w:val="000000"/>
          <w:sz w:val="20"/>
          <w:szCs w:val="20"/>
          <w:highlight w:val="lightGray"/>
          <w:lang w:eastAsia="es-ES"/>
        </w:rPr>
      </w:pPr>
      <w:proofErr w:type="spellStart"/>
      <w:r w:rsidRPr="00B4205B">
        <w:rPr>
          <w:rFonts w:ascii="Arial" w:eastAsia="Times New Roman" w:hAnsi="Arial" w:cs="Arial"/>
          <w:color w:val="000000"/>
          <w:sz w:val="20"/>
          <w:szCs w:val="20"/>
          <w:highlight w:val="lightGray"/>
          <w:lang w:eastAsia="es-ES"/>
        </w:rPr>
        <w:lastRenderedPageBreak/>
        <w:t>iv</w:t>
      </w:r>
      <w:proofErr w:type="spellEnd"/>
      <w:r w:rsidRPr="00B4205B">
        <w:rPr>
          <w:rFonts w:ascii="Arial" w:eastAsia="Times New Roman" w:hAnsi="Arial" w:cs="Arial"/>
          <w:color w:val="000000"/>
          <w:sz w:val="20"/>
          <w:szCs w:val="20"/>
          <w:highlight w:val="lightGray"/>
          <w:lang w:eastAsia="es-ES"/>
        </w:rPr>
        <w:t>)Si en la actividad secundaria se solicita la experiencia específica y ésta contempla más de un requisito, la Entidad escogerá solo el que sea de mayor relevancia para el proyecto a ejecutar.</w:t>
      </w:r>
    </w:p>
    <w:p w14:paraId="2D93C3C4" w14:textId="77777777" w:rsidR="00C956B8" w:rsidRPr="00B4205B" w:rsidRDefault="00C956B8" w:rsidP="00C956B8">
      <w:pPr>
        <w:spacing w:after="120" w:line="276" w:lineRule="auto"/>
        <w:ind w:left="709" w:right="709" w:hanging="1"/>
        <w:jc w:val="both"/>
        <w:rPr>
          <w:rFonts w:ascii="Arial" w:eastAsia="Times New Roman" w:hAnsi="Arial" w:cs="Arial"/>
          <w:color w:val="000000"/>
          <w:sz w:val="20"/>
          <w:szCs w:val="20"/>
          <w:highlight w:val="lightGray"/>
          <w:lang w:eastAsia="es-ES"/>
        </w:rPr>
      </w:pPr>
      <w:r w:rsidRPr="00B4205B">
        <w:rPr>
          <w:rFonts w:ascii="Arial" w:eastAsia="Times New Roman" w:hAnsi="Arial" w:cs="Arial"/>
          <w:color w:val="000000"/>
          <w:sz w:val="20"/>
          <w:szCs w:val="20"/>
          <w:highlight w:val="lightGray"/>
          <w:lang w:eastAsia="es-ES"/>
        </w:rPr>
        <w:t>v) En los casos en que la Entidad opte por la exigencia de la experiencia específica para las actividades distintas a la actividad principal, se deberá incluir la siguiente nota:</w:t>
      </w:r>
    </w:p>
    <w:p w14:paraId="18CA0900" w14:textId="77777777" w:rsidR="00C956B8" w:rsidRPr="00B4205B" w:rsidRDefault="00C956B8" w:rsidP="00C956B8">
      <w:pPr>
        <w:spacing w:after="120" w:line="276" w:lineRule="auto"/>
        <w:ind w:left="709" w:right="709"/>
        <w:jc w:val="both"/>
        <w:rPr>
          <w:rFonts w:ascii="Arial" w:eastAsia="Times New Roman" w:hAnsi="Arial" w:cs="Arial"/>
          <w:color w:val="000000"/>
          <w:sz w:val="20"/>
          <w:szCs w:val="20"/>
          <w:highlight w:val="lightGray"/>
          <w:lang w:eastAsia="es-ES"/>
        </w:rPr>
      </w:pPr>
      <w:r w:rsidRPr="00B4205B">
        <w:rPr>
          <w:rFonts w:ascii="Arial" w:eastAsia="Times New Roman" w:hAnsi="Arial" w:cs="Arial"/>
          <w:color w:val="000000"/>
          <w:sz w:val="20"/>
          <w:szCs w:val="20"/>
          <w:highlight w:val="lightGray"/>
          <w:lang w:eastAsia="es-ES"/>
        </w:rPr>
        <w:t>“Nota: Para el caso de experiencias combinadas un Proponente podrá acreditar experiencia en una o más actividades con un contrato o con contratos distintos”.</w:t>
      </w:r>
    </w:p>
    <w:p w14:paraId="19C813D4" w14:textId="77777777" w:rsidR="00C956B8" w:rsidRPr="00B4205B" w:rsidRDefault="00C956B8" w:rsidP="00C956B8">
      <w:pPr>
        <w:spacing w:after="120" w:line="276" w:lineRule="auto"/>
        <w:ind w:left="709" w:right="709" w:hanging="1"/>
        <w:jc w:val="both"/>
        <w:rPr>
          <w:rFonts w:ascii="Arial" w:eastAsia="Times New Roman" w:hAnsi="Arial" w:cs="Arial"/>
          <w:color w:val="000000"/>
          <w:sz w:val="20"/>
          <w:szCs w:val="20"/>
          <w:highlight w:val="lightGray"/>
          <w:lang w:eastAsia="es-ES"/>
        </w:rPr>
      </w:pPr>
      <w:r w:rsidRPr="00B4205B">
        <w:rPr>
          <w:rFonts w:ascii="Arial" w:eastAsia="Times New Roman" w:hAnsi="Arial" w:cs="Arial"/>
          <w:color w:val="000000"/>
          <w:sz w:val="20"/>
          <w:szCs w:val="20"/>
          <w:highlight w:val="lightGray"/>
          <w:lang w:eastAsia="es-ES"/>
        </w:rPr>
        <w:t>vi) [En los Procesos de Contratación estructurados por lotes o por grupos, la Entidad establecerá la experiencia de cada uno de ellos de acuerdo con las actividades definidas en la matriz de experiencia aplicable]</w:t>
      </w:r>
    </w:p>
    <w:p w14:paraId="2BAD62CA" w14:textId="77777777" w:rsidR="00C956B8" w:rsidRPr="00B4205B" w:rsidRDefault="00C956B8" w:rsidP="00C956B8">
      <w:pPr>
        <w:spacing w:after="0" w:line="276" w:lineRule="auto"/>
        <w:ind w:left="709" w:right="709"/>
        <w:jc w:val="both"/>
        <w:rPr>
          <w:rFonts w:ascii="Arial" w:eastAsia="Times New Roman" w:hAnsi="Arial" w:cs="Arial"/>
          <w:color w:val="000000"/>
          <w:sz w:val="20"/>
          <w:szCs w:val="20"/>
          <w:lang w:eastAsia="es-ES"/>
        </w:rPr>
      </w:pPr>
      <w:r w:rsidRPr="00B4205B">
        <w:rPr>
          <w:rFonts w:ascii="Arial" w:eastAsia="Times New Roman" w:hAnsi="Arial" w:cs="Arial"/>
          <w:color w:val="000000"/>
          <w:sz w:val="20"/>
          <w:szCs w:val="20"/>
          <w:highlight w:val="lightGray"/>
          <w:lang w:eastAsia="es-ES"/>
        </w:rPr>
        <w:t>La experiencia que deberá acreditar el Proponente será la establecida por la Entidad de forma independiente para cada uno de los lotes o grupos de acuerdo con las actividades definidas en la matriz de experiencia aplicable en el respectivo proyecto de infraestructura social, en el literal A de esta sección].</w:t>
      </w:r>
    </w:p>
    <w:p w14:paraId="35B3B0C2" w14:textId="77777777" w:rsidR="00C956B8" w:rsidRDefault="00C956B8" w:rsidP="00C956B8">
      <w:pPr>
        <w:spacing w:after="0"/>
        <w:jc w:val="both"/>
        <w:rPr>
          <w:rFonts w:ascii="Verdana" w:hAnsi="Verdana"/>
        </w:rPr>
      </w:pPr>
    </w:p>
    <w:p w14:paraId="4990BFFE" w14:textId="77777777" w:rsidR="00C956B8" w:rsidRDefault="00C956B8" w:rsidP="00C956B8">
      <w:pPr>
        <w:pStyle w:val="Prrafodelista"/>
        <w:numPr>
          <w:ilvl w:val="0"/>
          <w:numId w:val="20"/>
        </w:numPr>
        <w:spacing w:after="0"/>
        <w:jc w:val="both"/>
        <w:rPr>
          <w:rFonts w:ascii="Verdana" w:hAnsi="Verdana"/>
        </w:rPr>
      </w:pPr>
      <w:r w:rsidRPr="00B4205B">
        <w:rPr>
          <w:rFonts w:ascii="Verdana" w:hAnsi="Verdana"/>
          <w:lang w:val="es-CO"/>
        </w:rPr>
        <w:t xml:space="preserve">Como se advierte, </w:t>
      </w:r>
      <w:bookmarkStart w:id="2" w:name="_Hlk109396275"/>
      <w:r w:rsidRPr="00B4205B">
        <w:rPr>
          <w:rFonts w:ascii="Verdana" w:hAnsi="Verdana"/>
          <w:lang w:val="es-CO"/>
        </w:rPr>
        <w:t>en los documentos tipo se reguló de forma pormenorizada y con suficiencia las reglas para la combinación de diferentes actividades a contratar de una misma</w:t>
      </w:r>
      <w:r>
        <w:rPr>
          <w:rFonts w:ascii="Verdana" w:hAnsi="Verdana"/>
        </w:rPr>
        <w:t xml:space="preserve"> matriz de experiencia de infraestructura social, o de otro sector de infraestructura social,</w:t>
      </w:r>
      <w:r w:rsidRPr="00B4205B">
        <w:rPr>
          <w:rFonts w:ascii="Verdana" w:hAnsi="Verdana"/>
          <w:lang w:val="es-CO"/>
        </w:rPr>
        <w:t xml:space="preserve"> o de diferentes matrices de experiencia</w:t>
      </w:r>
      <w:r>
        <w:rPr>
          <w:rFonts w:ascii="Verdana" w:hAnsi="Verdana"/>
        </w:rPr>
        <w:t xml:space="preserve"> </w:t>
      </w:r>
      <w:r w:rsidRPr="00B4205B">
        <w:rPr>
          <w:rFonts w:ascii="Verdana" w:hAnsi="Verdana"/>
          <w:lang w:val="es-CO"/>
        </w:rPr>
        <w:t>de otros documentos tipo adoptados por esta Agencia.</w:t>
      </w:r>
    </w:p>
    <w:p w14:paraId="512251FB" w14:textId="77777777" w:rsidR="00C956B8" w:rsidRPr="00B4205B" w:rsidRDefault="00C956B8" w:rsidP="00C956B8">
      <w:pPr>
        <w:pStyle w:val="Prrafodelista"/>
        <w:spacing w:after="0"/>
        <w:jc w:val="both"/>
        <w:rPr>
          <w:rFonts w:ascii="Verdana" w:hAnsi="Verdana"/>
          <w:lang w:val="es-CO"/>
        </w:rPr>
      </w:pPr>
    </w:p>
    <w:p w14:paraId="2CAFFACD" w14:textId="77777777" w:rsidR="00C956B8" w:rsidRDefault="00C956B8" w:rsidP="00C956B8">
      <w:pPr>
        <w:pStyle w:val="Prrafodelista"/>
        <w:numPr>
          <w:ilvl w:val="0"/>
          <w:numId w:val="20"/>
        </w:numPr>
        <w:spacing w:after="0"/>
        <w:jc w:val="both"/>
        <w:rPr>
          <w:rFonts w:ascii="Verdana" w:hAnsi="Verdana"/>
        </w:rPr>
      </w:pPr>
      <w:r w:rsidRPr="00B4205B">
        <w:rPr>
          <w:rFonts w:ascii="Verdana" w:hAnsi="Verdana"/>
          <w:lang w:val="es-CO"/>
        </w:rPr>
        <w:t xml:space="preserve">Conforma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w:t>
      </w:r>
      <w:bookmarkStart w:id="3" w:name="_Hlk109293655"/>
      <w:bookmarkEnd w:id="2"/>
      <w:r w:rsidRPr="00B4205B">
        <w:rPr>
          <w:rFonts w:ascii="Verdana" w:hAnsi="Verdana"/>
          <w:lang w:val="es-CO"/>
        </w:rPr>
        <w:t xml:space="preserve">i) en un mismo proyecto se incluyen otras actividades definidas en </w:t>
      </w:r>
      <w:r>
        <w:rPr>
          <w:rFonts w:ascii="Verdana" w:hAnsi="Verdana"/>
        </w:rPr>
        <w:t>una misma matriz de e</w:t>
      </w:r>
      <w:proofErr w:type="spellStart"/>
      <w:r w:rsidRPr="00B4205B">
        <w:rPr>
          <w:rFonts w:ascii="Verdana" w:hAnsi="Verdana"/>
          <w:lang w:val="es-CO"/>
        </w:rPr>
        <w:t>xperiencia</w:t>
      </w:r>
      <w:proofErr w:type="spellEnd"/>
      <w:r w:rsidRPr="00B4205B">
        <w:rPr>
          <w:rFonts w:ascii="Verdana" w:hAnsi="Verdana"/>
          <w:lang w:val="es-CO"/>
        </w:rPr>
        <w:t xml:space="preserve"> de </w:t>
      </w:r>
      <w:r>
        <w:rPr>
          <w:rFonts w:ascii="Verdana" w:hAnsi="Verdana"/>
        </w:rPr>
        <w:t xml:space="preserve">infraestructura social, </w:t>
      </w:r>
      <w:proofErr w:type="spellStart"/>
      <w:r w:rsidRPr="00B4205B">
        <w:rPr>
          <w:rFonts w:ascii="Verdana" w:hAnsi="Verdana"/>
          <w:lang w:val="es-CO"/>
        </w:rPr>
        <w:t>ii</w:t>
      </w:r>
      <w:proofErr w:type="spellEnd"/>
      <w:r w:rsidRPr="00B4205B">
        <w:rPr>
          <w:rFonts w:ascii="Verdana" w:hAnsi="Verdana"/>
          <w:lang w:val="es-CO"/>
        </w:rPr>
        <w:t xml:space="preserve">) </w:t>
      </w:r>
      <w:r w:rsidRPr="00C9551E">
        <w:rPr>
          <w:rFonts w:ascii="Verdana" w:hAnsi="Verdana"/>
        </w:rPr>
        <w:t xml:space="preserve">cuando en un mismo proyecto se incorporen actividades de infraestructura educativa, salud o cultura, recreación y deporte, o </w:t>
      </w:r>
      <w:proofErr w:type="spellStart"/>
      <w:r w:rsidRPr="00C9551E">
        <w:rPr>
          <w:rFonts w:ascii="Verdana" w:hAnsi="Verdana"/>
        </w:rPr>
        <w:t>iii</w:t>
      </w:r>
      <w:proofErr w:type="spellEnd"/>
      <w:r w:rsidRPr="00C9551E">
        <w:rPr>
          <w:rFonts w:ascii="Verdana" w:hAnsi="Verdana"/>
        </w:rPr>
        <w:t xml:space="preserve">) cuando en un Proceso de Contratación aplican matrices de </w:t>
      </w:r>
      <w:r w:rsidRPr="00C9551E">
        <w:rPr>
          <w:rFonts w:ascii="Verdana" w:hAnsi="Verdana"/>
        </w:rPr>
        <w:lastRenderedPageBreak/>
        <w:t>experiencia de otros Documentos Tipo y la Entidad considera conveniente incluir dicha experiencia</w:t>
      </w:r>
      <w:r>
        <w:rPr>
          <w:rFonts w:ascii="Verdana" w:hAnsi="Verdana"/>
        </w:rPr>
        <w:t>.</w:t>
      </w:r>
    </w:p>
    <w:p w14:paraId="76356489" w14:textId="77777777" w:rsidR="00C956B8" w:rsidRPr="00C9551E" w:rsidRDefault="00C956B8" w:rsidP="00C956B8">
      <w:pPr>
        <w:spacing w:after="0"/>
        <w:jc w:val="both"/>
        <w:rPr>
          <w:rFonts w:ascii="Verdana" w:hAnsi="Verdana"/>
        </w:rPr>
      </w:pPr>
    </w:p>
    <w:p w14:paraId="795EC258" w14:textId="77777777" w:rsidR="00C956B8" w:rsidRPr="00C9551E" w:rsidRDefault="00C956B8" w:rsidP="00C956B8">
      <w:pPr>
        <w:pStyle w:val="Prrafodelista"/>
        <w:numPr>
          <w:ilvl w:val="0"/>
          <w:numId w:val="20"/>
        </w:numPr>
        <w:spacing w:after="120" w:line="276" w:lineRule="auto"/>
        <w:jc w:val="both"/>
        <w:rPr>
          <w:rFonts w:ascii="Verdana" w:hAnsi="Verdana"/>
        </w:rPr>
      </w:pPr>
      <w:r w:rsidRPr="00C9551E">
        <w:rPr>
          <w:rFonts w:ascii="Verdana" w:hAnsi="Verdana"/>
        </w:rPr>
        <w:t xml:space="preserve">Una vez definida la actividad 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las matrices de experiencia de los documentos tipo de infraestructura social, o </w:t>
      </w:r>
      <w:proofErr w:type="spellStart"/>
      <w:r w:rsidRPr="00C9551E">
        <w:rPr>
          <w:rFonts w:ascii="Verdana" w:hAnsi="Verdana"/>
        </w:rPr>
        <w:t>ii</w:t>
      </w:r>
      <w:proofErr w:type="spellEnd"/>
      <w:r w:rsidRPr="00C9551E">
        <w:rPr>
          <w:rFonts w:ascii="Verdana" w:hAnsi="Verdana"/>
        </w:rPr>
        <w:t xml:space="preserve">) solicitando experiencia general y específica de la actividad principal, y requiriendo la experiencia específica correspondiente a la respectiva matriz de experiencia para el caso de las actividades secundarias –salvo que la matriz aplicable no contemple experiencia específica para determinada actividad secundaria, caso en el cual se podrá solicitar la experiencia general–. La experiencia exigible para las actividades principal y </w:t>
      </w:r>
      <w:proofErr w:type="gramStart"/>
      <w:r w:rsidRPr="00C9551E">
        <w:rPr>
          <w:rFonts w:ascii="Verdana" w:hAnsi="Verdana"/>
        </w:rPr>
        <w:t>secundaria,</w:t>
      </w:r>
      <w:proofErr w:type="gramEnd"/>
      <w:r w:rsidRPr="00C9551E">
        <w:rPr>
          <w:rFonts w:ascii="Verdana" w:hAnsi="Verdana"/>
        </w:rPr>
        <w:t xml:space="preserve"> debe ser definida en función de los rangos de cuantías aplicables al respectivo proceso de contratación. En todo caso, la entidad contratante no puede incluir más de 2 combinaciones de experiencia adicionales a la prevista para la actividad principal.</w:t>
      </w:r>
    </w:p>
    <w:p w14:paraId="43529D6F" w14:textId="77777777" w:rsidR="00C956B8" w:rsidRDefault="00C956B8" w:rsidP="00C956B8">
      <w:pPr>
        <w:pStyle w:val="Prrafodelista"/>
        <w:spacing w:after="0"/>
        <w:jc w:val="both"/>
        <w:rPr>
          <w:rFonts w:ascii="Verdana" w:hAnsi="Verdana"/>
        </w:rPr>
      </w:pPr>
    </w:p>
    <w:p w14:paraId="536E81B7" w14:textId="77777777" w:rsidR="00C956B8" w:rsidRDefault="00C956B8" w:rsidP="00C956B8">
      <w:pPr>
        <w:pStyle w:val="Prrafodelista"/>
        <w:numPr>
          <w:ilvl w:val="0"/>
          <w:numId w:val="20"/>
        </w:numPr>
        <w:spacing w:after="0"/>
        <w:jc w:val="both"/>
        <w:rPr>
          <w:rFonts w:ascii="Verdana" w:hAnsi="Verdana"/>
        </w:rPr>
      </w:pPr>
      <w:r w:rsidRPr="00B4205B">
        <w:rPr>
          <w:rFonts w:ascii="Verdana" w:hAnsi="Verdana"/>
        </w:rPr>
        <w:t>La experiencia exigible para las actividades principal y secundaria debe ser definida en función de los rangos de cuantías aplicables al respectivo proceso de contratación. En caso de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p>
    <w:p w14:paraId="517333E1" w14:textId="77777777" w:rsidR="00C956B8" w:rsidRPr="00642A77" w:rsidRDefault="00C956B8" w:rsidP="00C956B8">
      <w:pPr>
        <w:spacing w:after="0"/>
        <w:jc w:val="both"/>
        <w:rPr>
          <w:rFonts w:ascii="Verdana" w:hAnsi="Verdana"/>
        </w:rPr>
      </w:pPr>
    </w:p>
    <w:p w14:paraId="4B9A15E1" w14:textId="77777777" w:rsidR="00C956B8" w:rsidRDefault="00C956B8" w:rsidP="00C956B8">
      <w:pPr>
        <w:pStyle w:val="Prrafodelista"/>
        <w:numPr>
          <w:ilvl w:val="0"/>
          <w:numId w:val="20"/>
        </w:numPr>
        <w:spacing w:after="0"/>
        <w:jc w:val="both"/>
        <w:rPr>
          <w:rFonts w:ascii="Verdana" w:hAnsi="Verdana"/>
        </w:rPr>
      </w:pPr>
      <w:r w:rsidRPr="00642A77">
        <w:rPr>
          <w:rFonts w:ascii="Verdana" w:hAnsi="Verdana"/>
        </w:rPr>
        <w:t xml:space="preserve">Lo anterior implica que, para el caso de la actividad principal, deberá tenerse en cuenta el 100% del Presupuesto Oficial, y para la(s) </w:t>
      </w:r>
      <w:r w:rsidRPr="00642A77">
        <w:rPr>
          <w:rFonts w:ascii="Verdana" w:hAnsi="Verdana"/>
        </w:rPr>
        <w:lastRenderedPageBreak/>
        <w:t xml:space="preserve">actividad(es) secundaria(s), la acreditación frente al Presupuesto Oficial deberá realizarse de forma proporcional, conforme al valor de cada actividad secundaria. En todo caso, la entidad contratante no puede incluir más de 2 combinaciones de experiencia adicionales a la prevista para la actividad principal. </w:t>
      </w:r>
    </w:p>
    <w:p w14:paraId="71463C17" w14:textId="77777777" w:rsidR="00C956B8" w:rsidRPr="00642A77" w:rsidRDefault="00C956B8" w:rsidP="00C956B8">
      <w:pPr>
        <w:spacing w:after="0"/>
        <w:jc w:val="both"/>
        <w:rPr>
          <w:rFonts w:ascii="Verdana" w:hAnsi="Verdana"/>
        </w:rPr>
      </w:pPr>
    </w:p>
    <w:p w14:paraId="2E7C3904" w14:textId="77777777" w:rsidR="00C956B8" w:rsidRDefault="00C956B8" w:rsidP="00C956B8">
      <w:pPr>
        <w:pStyle w:val="Prrafodelista"/>
        <w:numPr>
          <w:ilvl w:val="0"/>
          <w:numId w:val="20"/>
        </w:numPr>
        <w:spacing w:after="0"/>
        <w:jc w:val="both"/>
        <w:rPr>
          <w:rFonts w:ascii="Verdana" w:hAnsi="Verdana"/>
        </w:rPr>
      </w:pPr>
      <w:bookmarkStart w:id="4" w:name="_Hlk99446177"/>
      <w:bookmarkEnd w:id="3"/>
      <w:r w:rsidRPr="00642A77">
        <w:rPr>
          <w:rFonts w:ascii="Verdana" w:hAnsi="Verdana"/>
          <w:lang w:val="es-CO"/>
        </w:rPr>
        <w:t xml:space="preserve">Si en la actividad secundaria se solicita la experiencia específica, y esta contempla más de un requisito, </w:t>
      </w:r>
      <w:bookmarkStart w:id="5" w:name="_Hlk109294879"/>
      <w:r w:rsidRPr="00642A77">
        <w:rPr>
          <w:rFonts w:ascii="Verdana" w:hAnsi="Verdana"/>
        </w:rPr>
        <w:t>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p w14:paraId="6EA40F43" w14:textId="77777777" w:rsidR="00C956B8" w:rsidRPr="00642A77" w:rsidRDefault="00C956B8" w:rsidP="00C956B8">
      <w:pPr>
        <w:spacing w:after="0"/>
        <w:jc w:val="both"/>
        <w:rPr>
          <w:rFonts w:ascii="Verdana" w:hAnsi="Verdana"/>
        </w:rPr>
      </w:pPr>
    </w:p>
    <w:bookmarkEnd w:id="4"/>
    <w:bookmarkEnd w:id="5"/>
    <w:p w14:paraId="26EA821D" w14:textId="77777777" w:rsidR="00C956B8" w:rsidRDefault="00C956B8" w:rsidP="00C956B8">
      <w:pPr>
        <w:pStyle w:val="Prrafodelista"/>
        <w:numPr>
          <w:ilvl w:val="0"/>
          <w:numId w:val="20"/>
        </w:numPr>
        <w:spacing w:after="0"/>
        <w:jc w:val="both"/>
        <w:rPr>
          <w:rFonts w:ascii="Verdana" w:hAnsi="Verdana"/>
        </w:rPr>
      </w:pPr>
      <w:r w:rsidRPr="00642A77">
        <w:rPr>
          <w:rFonts w:ascii="Verdana" w:hAnsi="Verdana"/>
          <w:lang w:val="es-CO"/>
        </w:rPr>
        <w:t xml:space="preserve">En el evento que la entidad opte por exigir experiencia específica para las actividades distintas a la actividad principal, deberá incluir la nota que se señala en el numeral v). </w:t>
      </w:r>
    </w:p>
    <w:p w14:paraId="0D8E6748" w14:textId="77777777" w:rsidR="00C956B8" w:rsidRPr="00642A77" w:rsidRDefault="00C956B8" w:rsidP="00C956B8">
      <w:pPr>
        <w:spacing w:after="0"/>
        <w:jc w:val="both"/>
        <w:rPr>
          <w:rFonts w:ascii="Verdana" w:hAnsi="Verdana"/>
        </w:rPr>
      </w:pPr>
    </w:p>
    <w:p w14:paraId="2B1CF958" w14:textId="77777777" w:rsidR="00C956B8" w:rsidRDefault="00C956B8" w:rsidP="00C956B8">
      <w:pPr>
        <w:pStyle w:val="Prrafodelista"/>
        <w:numPr>
          <w:ilvl w:val="0"/>
          <w:numId w:val="20"/>
        </w:numPr>
        <w:spacing w:after="0"/>
        <w:jc w:val="both"/>
        <w:rPr>
          <w:rFonts w:ascii="Verdana" w:hAnsi="Verdana"/>
        </w:rPr>
      </w:pPr>
      <w:r w:rsidRPr="00642A77">
        <w:rPr>
          <w:rFonts w:ascii="Verdana" w:hAnsi="Verdana"/>
          <w:lang w:val="es-CO"/>
        </w:rPr>
        <w:t>Finalmente, es pertinente señalar que las reglas transcritas prescriben que en el evento en que el proceso de contratación se estructure por lotes o grupos, la entidad establecerá la experiencia de cada uno de ellos, de acuerdo con las actividades definidas en la Matriz de Experiencia aplicable.</w:t>
      </w:r>
    </w:p>
    <w:p w14:paraId="119663B0" w14:textId="77777777" w:rsidR="00C956B8" w:rsidRPr="00642A77" w:rsidRDefault="00C956B8" w:rsidP="00C956B8">
      <w:pPr>
        <w:pStyle w:val="Prrafodelista"/>
        <w:rPr>
          <w:rFonts w:ascii="Verdana" w:hAnsi="Verdana"/>
        </w:rPr>
      </w:pPr>
    </w:p>
    <w:p w14:paraId="517B0BB0" w14:textId="77777777" w:rsidR="00C956B8" w:rsidRDefault="00C956B8" w:rsidP="00C956B8">
      <w:pPr>
        <w:pStyle w:val="Prrafodelista"/>
        <w:numPr>
          <w:ilvl w:val="0"/>
          <w:numId w:val="20"/>
        </w:numPr>
        <w:spacing w:after="0"/>
        <w:jc w:val="both"/>
        <w:rPr>
          <w:rFonts w:ascii="Verdana" w:hAnsi="Verdana"/>
        </w:rPr>
      </w:pPr>
      <w:r w:rsidRPr="00642A77">
        <w:rPr>
          <w:rFonts w:ascii="Verdana" w:hAnsi="Verdana"/>
        </w:rPr>
        <w:t xml:space="preserve">Conforme con lo indicado in extenso, de acuerdo con la regla prevista en el numeral i) del numeral 3.5.2 “Características de los contratos presentados para acreditar la experiencia exigida, contenida en el documento tipo de licitación de obra pública de infraestructura social, es posible llevar a cabo la combinación de experiencia bien sea de la misma matriz del sector o de otra matriz de experiencia de otro sector distinto al de infraestructura social, que haya sido adoptada por la Agencia Nacional de Contratación Pública – Colombia Compra Eficiente, siempre y cuando la entidad, determine cual será la actividad principal y cual o cuales las actividades secundarias, donde deberá dar estricto cumplimiento a las condiciones </w:t>
      </w:r>
      <w:r>
        <w:rPr>
          <w:rFonts w:ascii="Verdana" w:hAnsi="Verdana"/>
        </w:rPr>
        <w:t xml:space="preserve">contenidas en el numeral señalado. </w:t>
      </w:r>
    </w:p>
    <w:p w14:paraId="787C33FA" w14:textId="77777777" w:rsidR="00C956B8" w:rsidRPr="00642A77" w:rsidRDefault="00C956B8" w:rsidP="00C956B8">
      <w:pPr>
        <w:spacing w:after="0"/>
        <w:jc w:val="both"/>
        <w:rPr>
          <w:rFonts w:ascii="Verdana" w:hAnsi="Verdana"/>
        </w:rPr>
      </w:pPr>
    </w:p>
    <w:p w14:paraId="4FE3043E" w14:textId="77777777" w:rsidR="00C956B8" w:rsidRPr="00C865D4" w:rsidRDefault="00C956B8" w:rsidP="00C956B8">
      <w:pPr>
        <w:numPr>
          <w:ilvl w:val="0"/>
          <w:numId w:val="19"/>
        </w:numPr>
        <w:tabs>
          <w:tab w:val="left" w:pos="142"/>
          <w:tab w:val="left" w:pos="284"/>
        </w:tabs>
        <w:spacing w:after="0" w:line="276" w:lineRule="auto"/>
        <w:ind w:left="357" w:hanging="357"/>
        <w:jc w:val="both"/>
        <w:rPr>
          <w:rFonts w:ascii="Verdana" w:eastAsia="Century Gothic" w:hAnsi="Verdana" w:cs="Century Gothic"/>
          <w:b/>
          <w:bCs/>
          <w:lang w:val="es-ES_tradnl"/>
        </w:rPr>
      </w:pPr>
      <w:r w:rsidRPr="00C865D4">
        <w:rPr>
          <w:rFonts w:ascii="Verdana" w:eastAsia="Century Gothic" w:hAnsi="Verdana" w:cs="Century Gothic"/>
          <w:b/>
          <w:bCs/>
          <w:lang w:val="es-ES_tradnl"/>
        </w:rPr>
        <w:t>Referencias normativas, jurisprudenciales y otras fuentes:</w:t>
      </w:r>
    </w:p>
    <w:p w14:paraId="53269344" w14:textId="77777777" w:rsidR="00C956B8" w:rsidRPr="00C865D4" w:rsidRDefault="00C956B8" w:rsidP="00C956B8">
      <w:pPr>
        <w:spacing w:after="0"/>
        <w:ind w:left="-15840"/>
        <w:jc w:val="both"/>
        <w:rPr>
          <w:rFonts w:ascii="Verdana" w:eastAsia="Calibri" w:hAnsi="Verdana" w:cs="Arial"/>
          <w:b/>
          <w:bCs/>
        </w:rPr>
      </w:pPr>
      <w:r w:rsidRPr="00C865D4">
        <w:rPr>
          <w:rFonts w:ascii="Verdana" w:eastAsia="Calibri" w:hAnsi="Verdana" w:cs="Arial"/>
          <w:b/>
          <w:bCs/>
        </w:rPr>
        <w:lastRenderedPageBreak/>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C956B8" w:rsidRPr="00C865D4" w14:paraId="21078977" w14:textId="77777777" w:rsidTr="009C56EE">
        <w:trPr>
          <w:trHeight w:val="870"/>
        </w:trPr>
        <w:tc>
          <w:tcPr>
            <w:tcW w:w="8647" w:type="dxa"/>
            <w:tcBorders>
              <w:top w:val="dotted" w:sz="4" w:space="0" w:color="auto"/>
              <w:left w:val="dotted" w:sz="4" w:space="0" w:color="auto"/>
              <w:bottom w:val="dotted" w:sz="4" w:space="0" w:color="auto"/>
              <w:right w:val="dotted" w:sz="4" w:space="0" w:color="auto"/>
            </w:tcBorders>
          </w:tcPr>
          <w:p w14:paraId="09EC8241" w14:textId="77777777" w:rsidR="00C956B8" w:rsidRPr="00C865D4" w:rsidRDefault="00C956B8" w:rsidP="009C56EE">
            <w:pPr>
              <w:ind w:left="720"/>
              <w:contextualSpacing/>
              <w:jc w:val="both"/>
              <w:rPr>
                <w:rFonts w:ascii="Verdana" w:eastAsia="Calibri" w:hAnsi="Verdana" w:cs="Arial"/>
                <w:bCs/>
              </w:rPr>
            </w:pPr>
          </w:p>
          <w:p w14:paraId="514DB654" w14:textId="77777777" w:rsidR="00C956B8" w:rsidRPr="00C865D4" w:rsidRDefault="00C956B8" w:rsidP="00C956B8">
            <w:pPr>
              <w:widowControl w:val="0"/>
              <w:numPr>
                <w:ilvl w:val="0"/>
                <w:numId w:val="18"/>
              </w:numPr>
              <w:autoSpaceDE w:val="0"/>
              <w:autoSpaceDN w:val="0"/>
              <w:spacing w:line="276" w:lineRule="auto"/>
              <w:ind w:left="714" w:hanging="357"/>
              <w:jc w:val="both"/>
              <w:rPr>
                <w:rFonts w:ascii="Verdana" w:eastAsia="Calibri" w:hAnsi="Verdana" w:cs="Arial"/>
                <w:lang w:val="es-ES_tradnl"/>
              </w:rPr>
            </w:pPr>
            <w:r w:rsidRPr="00C865D4">
              <w:rPr>
                <w:rFonts w:ascii="Verdana" w:eastAsia="Calibri" w:hAnsi="Verdana" w:cs="Arial"/>
                <w:lang w:val="es-ES_tradnl"/>
              </w:rPr>
              <w:t xml:space="preserve">Ley 2022 de 2020, artículo 1. </w:t>
            </w:r>
          </w:p>
          <w:p w14:paraId="2D588FA1" w14:textId="77777777" w:rsidR="00C956B8" w:rsidRPr="00C865D4" w:rsidRDefault="00C956B8" w:rsidP="00C956B8">
            <w:pPr>
              <w:widowControl w:val="0"/>
              <w:numPr>
                <w:ilvl w:val="0"/>
                <w:numId w:val="18"/>
              </w:numPr>
              <w:autoSpaceDE w:val="0"/>
              <w:autoSpaceDN w:val="0"/>
              <w:spacing w:line="276" w:lineRule="auto"/>
              <w:jc w:val="both"/>
              <w:rPr>
                <w:rFonts w:ascii="Verdana" w:eastAsia="Calibri" w:hAnsi="Verdana" w:cs="Arial"/>
              </w:rPr>
            </w:pPr>
            <w:r w:rsidRPr="00C865D4">
              <w:rPr>
                <w:rFonts w:ascii="Verdana" w:eastAsia="Calibri" w:hAnsi="Verdana" w:cs="Arial"/>
              </w:rPr>
              <w:t>Ley 1150 de 2007, artículo 2.</w:t>
            </w:r>
          </w:p>
          <w:p w14:paraId="398AE888" w14:textId="77777777" w:rsidR="00C956B8" w:rsidRPr="00C865D4" w:rsidRDefault="00C956B8" w:rsidP="00C956B8">
            <w:pPr>
              <w:widowControl w:val="0"/>
              <w:numPr>
                <w:ilvl w:val="0"/>
                <w:numId w:val="18"/>
              </w:numPr>
              <w:autoSpaceDE w:val="0"/>
              <w:autoSpaceDN w:val="0"/>
              <w:spacing w:line="276" w:lineRule="auto"/>
              <w:contextualSpacing/>
              <w:jc w:val="both"/>
              <w:rPr>
                <w:rFonts w:ascii="Verdana" w:hAnsi="Verdana" w:cs="Arial"/>
              </w:rPr>
            </w:pPr>
            <w:r w:rsidRPr="00C865D4">
              <w:rPr>
                <w:rFonts w:ascii="Verdana" w:eastAsia="Calibri" w:hAnsi="Verdana" w:cs="Arial"/>
                <w:lang w:val="es-ES_tradnl"/>
              </w:rPr>
              <w:t xml:space="preserve">Documentos Tipo. Disponibles en: </w:t>
            </w:r>
            <w:hyperlink r:id="rId11" w:history="1">
              <w:r w:rsidRPr="00C865D4">
                <w:rPr>
                  <w:rFonts w:ascii="Verdana" w:eastAsia="Calibri" w:hAnsi="Verdana" w:cs="Arial"/>
                  <w:color w:val="0000FF"/>
                  <w:u w:val="single"/>
                  <w:lang w:val="es-ES_tradnl"/>
                </w:rPr>
                <w:t>https://www.colombiacompra.gov.co/documentos-tipo/documentos-tipo</w:t>
              </w:r>
            </w:hyperlink>
            <w:r w:rsidRPr="00C865D4">
              <w:rPr>
                <w:rFonts w:ascii="Verdana" w:eastAsia="Calibri" w:hAnsi="Verdana" w:cs="Arial"/>
                <w:lang w:val="es-ES_tradnl"/>
              </w:rPr>
              <w:t>.</w:t>
            </w:r>
          </w:p>
        </w:tc>
      </w:tr>
    </w:tbl>
    <w:p w14:paraId="39316ED3" w14:textId="77777777" w:rsidR="00C956B8" w:rsidRPr="00C865D4" w:rsidRDefault="00C956B8" w:rsidP="00C956B8">
      <w:pPr>
        <w:tabs>
          <w:tab w:val="left" w:pos="142"/>
          <w:tab w:val="left" w:pos="284"/>
        </w:tabs>
        <w:spacing w:after="0" w:line="276" w:lineRule="auto"/>
        <w:jc w:val="both"/>
        <w:rPr>
          <w:rFonts w:ascii="Verdana" w:eastAsia="Calibri" w:hAnsi="Verdana" w:cs="Arial"/>
        </w:rPr>
      </w:pPr>
    </w:p>
    <w:p w14:paraId="38757144" w14:textId="77777777" w:rsidR="00C956B8" w:rsidRPr="00C865D4" w:rsidRDefault="00C956B8" w:rsidP="00C956B8">
      <w:pPr>
        <w:tabs>
          <w:tab w:val="left" w:pos="142"/>
          <w:tab w:val="left" w:pos="284"/>
        </w:tabs>
        <w:spacing w:after="0" w:line="276" w:lineRule="auto"/>
        <w:jc w:val="both"/>
        <w:rPr>
          <w:rFonts w:ascii="Verdana" w:eastAsia="Century Gothic" w:hAnsi="Verdana" w:cs="Century Gothic"/>
          <w:b/>
          <w:bCs/>
          <w:lang w:val="es-ES"/>
        </w:rPr>
      </w:pPr>
      <w:r w:rsidRPr="00C865D4">
        <w:rPr>
          <w:rFonts w:ascii="Verdana" w:eastAsia="Calibri" w:hAnsi="Verdana" w:cs="Arial"/>
          <w:b/>
          <w:bCs/>
        </w:rPr>
        <w:t>5</w:t>
      </w:r>
      <w:r w:rsidRPr="00C865D4">
        <w:rPr>
          <w:rFonts w:ascii="Verdana" w:eastAsia="Calibri" w:hAnsi="Verdana" w:cs="Arial"/>
        </w:rPr>
        <w:t>.</w:t>
      </w:r>
      <w:r w:rsidRPr="00C865D4">
        <w:rPr>
          <w:rFonts w:ascii="Verdana" w:eastAsia="Century Gothic" w:hAnsi="Verdana" w:cs="Century Gothic"/>
          <w:b/>
          <w:bCs/>
          <w:lang w:val="es-ES"/>
        </w:rPr>
        <w:t>Doctrina de la Agencia Nacional de Contratación Pública:</w:t>
      </w:r>
    </w:p>
    <w:p w14:paraId="0C8704AA" w14:textId="77777777" w:rsidR="00C956B8" w:rsidRPr="00C865D4" w:rsidRDefault="00C956B8" w:rsidP="00C956B8">
      <w:pPr>
        <w:widowControl w:val="0"/>
        <w:autoSpaceDE w:val="0"/>
        <w:autoSpaceDN w:val="0"/>
        <w:spacing w:after="0" w:line="276" w:lineRule="auto"/>
        <w:jc w:val="both"/>
        <w:rPr>
          <w:rFonts w:ascii="Verdana" w:eastAsia="Calibri" w:hAnsi="Verdana" w:cs="Arial"/>
        </w:rPr>
      </w:pPr>
    </w:p>
    <w:p w14:paraId="32CAA1C2" w14:textId="77777777" w:rsidR="00C956B8" w:rsidRPr="00A55AD6" w:rsidRDefault="00C956B8" w:rsidP="00C956B8">
      <w:pPr>
        <w:spacing w:after="0" w:line="276" w:lineRule="auto"/>
        <w:jc w:val="both"/>
        <w:rPr>
          <w:rFonts w:ascii="Verdana" w:eastAsia="Calibri" w:hAnsi="Verdana" w:cs="Arial"/>
          <w:lang w:val="es-ES"/>
        </w:rPr>
      </w:pPr>
      <w:r w:rsidRPr="00CB28F6">
        <w:rPr>
          <w:rFonts w:ascii="Verdana" w:eastAsia="Calibri" w:hAnsi="Verdana" w:cs="Arial"/>
          <w:shd w:val="clear" w:color="auto" w:fill="FFFFFF"/>
          <w:lang w:val="es-ES"/>
        </w:rPr>
        <w:t>La Agencia Nacional de Contratación Pública – Colombia Compra Eficiente se pronunció</w:t>
      </w:r>
      <w:r>
        <w:t xml:space="preserve"> </w:t>
      </w:r>
      <w:r w:rsidRPr="000D2E60">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w:t>
      </w:r>
      <w:r>
        <w:rPr>
          <w:rFonts w:ascii="Verdana" w:eastAsia="Calibri" w:hAnsi="Verdana" w:cs="Arial"/>
          <w:shd w:val="clear" w:color="auto" w:fill="FFFFFF"/>
          <w:lang w:val="es-ES"/>
        </w:rPr>
        <w:t>C-231 del 30 de junio de 2023, C-587 del 23 de octubre de 2024,</w:t>
      </w:r>
      <w:r>
        <w:rPr>
          <w:rFonts w:ascii="Verdana" w:eastAsia="Calibri" w:hAnsi="Verdana" w:cs="Arial"/>
          <w:shd w:val="clear" w:color="auto" w:fill="FFFFFF"/>
          <w:lang w:val="es-ES"/>
        </w:rPr>
        <w:tab/>
        <w:t>C-636 del 1 de noviembre de 2024, C-777 del 9 de diciembre de 2024,</w:t>
      </w:r>
      <w:r w:rsidRPr="000D2E60">
        <w:rPr>
          <w:rFonts w:ascii="Verdana" w:eastAsia="Calibri" w:hAnsi="Verdana" w:cs="Arial"/>
          <w:shd w:val="clear" w:color="auto" w:fill="FFFFFF"/>
          <w:lang w:val="es-ES"/>
        </w:rPr>
        <w:t xml:space="preserve"> </w:t>
      </w:r>
      <w:r>
        <w:rPr>
          <w:rFonts w:ascii="Verdana" w:eastAsia="Calibri" w:hAnsi="Verdana" w:cs="Arial"/>
          <w:shd w:val="clear" w:color="auto" w:fill="FFFFFF"/>
          <w:lang w:val="es-ES"/>
        </w:rPr>
        <w:t xml:space="preserve">C-971 del 21 de enero de 2025,  </w:t>
      </w:r>
      <w:r w:rsidRPr="000D2E60">
        <w:rPr>
          <w:rFonts w:ascii="Verdana" w:eastAsia="Calibri" w:hAnsi="Verdana" w:cs="Arial"/>
          <w:shd w:val="clear" w:color="auto" w:fill="FFFFFF"/>
          <w:lang w:val="es-ES"/>
        </w:rPr>
        <w:t>entre otros.</w:t>
      </w:r>
      <w:r w:rsidRPr="00CB28F6">
        <w:rPr>
          <w:rFonts w:ascii="Verdana" w:eastAsia="Calibri" w:hAnsi="Verdana" w:cs="Arial"/>
          <w:shd w:val="clear" w:color="auto" w:fill="FFFFFF"/>
          <w:lang w:val="es-ES"/>
        </w:rPr>
        <w:t xml:space="preserve"> </w:t>
      </w:r>
      <w:r w:rsidRPr="00A55AD6">
        <w:rPr>
          <w:rFonts w:ascii="Verdana" w:eastAsia="Calibri" w:hAnsi="Verdana" w:cs="Arial"/>
          <w:shd w:val="clear" w:color="auto" w:fill="FFFFFF"/>
          <w:lang w:val="es-ES"/>
        </w:rPr>
        <w:t>Es</w:t>
      </w:r>
      <w:r w:rsidRPr="00A55AD6">
        <w:rPr>
          <w:rFonts w:ascii="Verdana" w:eastAsia="Calibri" w:hAnsi="Verdana" w:cs="Times New Roman"/>
        </w:rPr>
        <w:t>tos y otros conceptos se encuentran disponibles para consulta en el Sistema de relatoría de la Agencia, al cual se puede acceder a través del siguiente enlace:</w:t>
      </w:r>
      <w:r w:rsidRPr="00A55AD6">
        <w:rPr>
          <w:rFonts w:ascii="Verdana" w:eastAsia="Calibri" w:hAnsi="Verdana" w:cs="Arial"/>
          <w:shd w:val="clear" w:color="auto" w:fill="FFFFFF"/>
          <w:lang w:val="es-ES"/>
        </w:rPr>
        <w:t xml:space="preserve"> </w:t>
      </w:r>
      <w:hyperlink r:id="rId12" w:history="1">
        <w:r w:rsidRPr="00A55AD6">
          <w:rPr>
            <w:rFonts w:ascii="Verdana" w:eastAsia="Calibri" w:hAnsi="Verdana" w:cs="Arial"/>
            <w:color w:val="0563C1"/>
            <w:u w:val="single"/>
            <w:shd w:val="clear" w:color="auto" w:fill="FFFFFF"/>
            <w:lang w:val="es-ES"/>
          </w:rPr>
          <w:t>https://relatoria.colombiacompra.gov.co/busqueda/conceptos</w:t>
        </w:r>
      </w:hyperlink>
      <w:r w:rsidRPr="00A55AD6">
        <w:rPr>
          <w:rFonts w:ascii="Verdana" w:eastAsia="Calibri" w:hAnsi="Verdana" w:cs="Arial"/>
          <w:color w:val="FF0000"/>
          <w:shd w:val="clear" w:color="auto" w:fill="FFFFFF"/>
          <w:lang w:val="es-ES"/>
        </w:rPr>
        <w:t xml:space="preserve">. </w:t>
      </w:r>
    </w:p>
    <w:p w14:paraId="22AC6B91" w14:textId="77777777" w:rsidR="00C956B8" w:rsidRDefault="00C956B8" w:rsidP="00C956B8">
      <w:pPr>
        <w:widowControl w:val="0"/>
        <w:autoSpaceDE w:val="0"/>
        <w:autoSpaceDN w:val="0"/>
        <w:spacing w:after="0" w:line="276" w:lineRule="auto"/>
        <w:jc w:val="both"/>
        <w:rPr>
          <w:rFonts w:ascii="Verdana" w:eastAsia="Times New Roman" w:hAnsi="Verdana" w:cs="Arial"/>
          <w:shd w:val="clear" w:color="auto" w:fill="FFFFFF"/>
          <w:lang w:val="es-ES"/>
        </w:rPr>
      </w:pPr>
    </w:p>
    <w:p w14:paraId="4BA75638" w14:textId="77777777" w:rsidR="00C956B8" w:rsidRPr="00267A0A" w:rsidRDefault="00C956B8" w:rsidP="00C956B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Pr>
          <w:rFonts w:ascii="Verdana" w:eastAsia="Calibri" w:hAnsi="Verdana" w:cs="Arial"/>
          <w:kern w:val="2"/>
          <w:shd w:val="clear" w:color="auto" w:fill="FFFFFF"/>
          <w:lang w:val="es-ES_tradnl"/>
          <w14:ligatures w14:val="standardContextual"/>
        </w:rPr>
        <w:t>Por otra parte, l</w:t>
      </w:r>
      <w:r w:rsidRPr="00267A0A">
        <w:rPr>
          <w:rFonts w:ascii="Verdana" w:eastAsia="Calibri" w:hAnsi="Verdana" w:cs="Arial"/>
          <w:kern w:val="2"/>
          <w:shd w:val="clear" w:color="auto" w:fill="FFFFFF"/>
          <w:lang w:val="es-ES_tradnl"/>
          <w14:ligatures w14:val="standardContextual"/>
        </w:rPr>
        <w:t>a Agencia Nacional de Contratación Pública – Colombia Compra Eficiente se</w:t>
      </w:r>
      <w:r w:rsidRPr="00267A0A">
        <w:rPr>
          <w:rFonts w:ascii="Aptos" w:eastAsia="Aptos" w:hAnsi="Aptos" w:cs="Times New Roman"/>
          <w:kern w:val="2"/>
          <w14:ligatures w14:val="standardContextual"/>
        </w:rPr>
        <w:t xml:space="preserve"> </w:t>
      </w:r>
      <w:r w:rsidRPr="00267A0A">
        <w:rPr>
          <w:rFonts w:ascii="Verdana" w:eastAsia="Calibri" w:hAnsi="Verdana" w:cs="Arial"/>
          <w:kern w:val="2"/>
          <w:shd w:val="clear" w:color="auto" w:fill="FFFFFF"/>
          <w:lang w:val="es-ES_tradnl"/>
          <w14:ligatures w14:val="standardContextual"/>
        </w:rPr>
        <w:t>pronunció</w:t>
      </w:r>
      <w:r w:rsidRPr="00267A0A">
        <w:rPr>
          <w:rFonts w:ascii="Aptos" w:eastAsia="Aptos" w:hAnsi="Aptos" w:cs="Times New Roman"/>
          <w:kern w:val="2"/>
          <w:lang w:val="es-ES_tradnl"/>
          <w14:ligatures w14:val="standardContextual"/>
        </w:rPr>
        <w:t xml:space="preserve"> </w:t>
      </w:r>
      <w:r w:rsidRPr="00267A0A">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w:t>
      </w:r>
      <w:r w:rsidRPr="00267A0A">
        <w:rPr>
          <w:rFonts w:ascii="Verdana" w:eastAsia="Calibri" w:hAnsi="Verdana" w:cs="Arial"/>
          <w:kern w:val="2"/>
          <w:shd w:val="clear" w:color="auto" w:fill="FFFFFF"/>
          <w:lang w:val="es-ES"/>
          <w14:ligatures w14:val="standardContextual"/>
        </w:rPr>
        <w:lastRenderedPageBreak/>
        <w:t xml:space="preserve">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C-195 del 1 de agosto de 2024, </w:t>
      </w:r>
      <w:r>
        <w:rPr>
          <w:rFonts w:ascii="Verdana" w:eastAsia="Calibri" w:hAnsi="Verdana" w:cs="Arial"/>
          <w:kern w:val="2"/>
          <w:shd w:val="clear" w:color="auto" w:fill="FFFFFF"/>
          <w:lang w:val="es-ES"/>
          <w14:ligatures w14:val="standardContextual"/>
        </w:rPr>
        <w:t xml:space="preserve">C-790 del 12 de diciembre de 2024, </w:t>
      </w:r>
      <w:r w:rsidRPr="00267A0A">
        <w:rPr>
          <w:rFonts w:ascii="Verdana" w:eastAsia="Calibri" w:hAnsi="Verdana" w:cs="Arial"/>
          <w:kern w:val="2"/>
          <w:shd w:val="clear" w:color="auto" w:fill="FFFFFF"/>
          <w:lang w:val="es-ES"/>
          <w14:ligatures w14:val="standardContextual"/>
        </w:rPr>
        <w:t xml:space="preserve">C-971 del 21 de enero de 2025, </w:t>
      </w:r>
      <w:r>
        <w:rPr>
          <w:rFonts w:ascii="Verdana" w:eastAsia="Calibri" w:hAnsi="Verdana" w:cs="Arial"/>
          <w:kern w:val="2"/>
          <w:shd w:val="clear" w:color="auto" w:fill="FFFFFF"/>
          <w:lang w:val="es-ES"/>
          <w14:ligatures w14:val="standardContextual"/>
        </w:rPr>
        <w:t xml:space="preserve">C-064 del 27 de marzo de 2025, </w:t>
      </w:r>
      <w:r w:rsidRPr="00267A0A">
        <w:rPr>
          <w:rFonts w:ascii="Verdana" w:eastAsia="Calibri" w:hAnsi="Verdana" w:cs="Arial"/>
          <w:kern w:val="2"/>
          <w:shd w:val="clear" w:color="auto" w:fill="FFFFFF"/>
          <w:lang w:val="es-ES"/>
          <w14:ligatures w14:val="standardContextual"/>
        </w:rPr>
        <w:t>entre otros</w:t>
      </w:r>
      <w:r w:rsidRPr="00267A0A">
        <w:rPr>
          <w:rFonts w:ascii="Verdana" w:eastAsia="Calibri" w:hAnsi="Verdana" w:cs="Arial"/>
          <w:kern w:val="2"/>
          <w:shd w:val="clear" w:color="auto" w:fill="FFFFFF"/>
          <w:lang w:val="es-ES_tradnl"/>
          <w14:ligatures w14:val="standardContextual"/>
        </w:rPr>
        <w:t xml:space="preserve">. </w:t>
      </w:r>
      <w:r w:rsidRPr="00267A0A">
        <w:rPr>
          <w:rFonts w:ascii="Aptos" w:eastAsia="Aptos" w:hAnsi="Aptos" w:cs="Times New Roman"/>
          <w:kern w:val="2"/>
          <w:lang w:val="es-ES_tradnl"/>
          <w14:ligatures w14:val="standardContextual"/>
        </w:rPr>
        <w:t xml:space="preserve"> </w:t>
      </w:r>
    </w:p>
    <w:p w14:paraId="6DA37330" w14:textId="77777777" w:rsidR="00C956B8" w:rsidRPr="00C865D4" w:rsidRDefault="00C956B8" w:rsidP="00C956B8">
      <w:pPr>
        <w:widowControl w:val="0"/>
        <w:autoSpaceDE w:val="0"/>
        <w:autoSpaceDN w:val="0"/>
        <w:spacing w:after="0" w:line="276" w:lineRule="auto"/>
        <w:jc w:val="both"/>
        <w:rPr>
          <w:rFonts w:ascii="Verdana" w:eastAsia="Times New Roman" w:hAnsi="Verdana" w:cs="Arial"/>
          <w:shd w:val="clear" w:color="auto" w:fill="FFFFFF"/>
          <w:lang w:val="es-ES"/>
        </w:rPr>
      </w:pPr>
    </w:p>
    <w:p w14:paraId="3286F844" w14:textId="77777777" w:rsidR="00C956B8" w:rsidRPr="00C865D4" w:rsidRDefault="00C956B8" w:rsidP="00C956B8">
      <w:pPr>
        <w:widowControl w:val="0"/>
        <w:autoSpaceDE w:val="0"/>
        <w:autoSpaceDN w:val="0"/>
        <w:spacing w:after="0" w:line="276" w:lineRule="auto"/>
        <w:jc w:val="both"/>
        <w:rPr>
          <w:rFonts w:ascii="Verdana" w:eastAsia="Times New Roman" w:hAnsi="Verdana" w:cs="Arial"/>
          <w:shd w:val="clear" w:color="auto" w:fill="FFFFFF"/>
          <w:lang w:val="es-ES"/>
        </w:rPr>
      </w:pPr>
      <w:r w:rsidRPr="00C865D4">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C865D4">
          <w:rPr>
            <w:rFonts w:ascii="Verdana" w:eastAsia="Calibri" w:hAnsi="Verdana" w:cs="Arial"/>
            <w:color w:val="000000" w:themeColor="text1"/>
            <w:u w:val="single"/>
            <w:shd w:val="clear" w:color="auto" w:fill="FFFFFF"/>
          </w:rPr>
          <w:t>https://relatoria.colombiacompra.gov.co/</w:t>
        </w:r>
      </w:hyperlink>
      <w:r w:rsidRPr="00C865D4">
        <w:rPr>
          <w:rFonts w:ascii="Verdana" w:eastAsia="Calibri" w:hAnsi="Verdana" w:cs="Arial"/>
          <w:color w:val="000000" w:themeColor="text1"/>
          <w:shd w:val="clear" w:color="auto" w:fill="FFFFFF"/>
        </w:rPr>
        <w:t> .</w:t>
      </w:r>
    </w:p>
    <w:p w14:paraId="7EEF1E0B" w14:textId="77777777" w:rsidR="00C956B8" w:rsidRPr="00C865D4" w:rsidRDefault="00C956B8" w:rsidP="00C956B8">
      <w:pPr>
        <w:spacing w:after="0" w:line="240" w:lineRule="auto"/>
        <w:jc w:val="both"/>
        <w:rPr>
          <w:rFonts w:ascii="Verdana" w:eastAsia="Calibri" w:hAnsi="Verdana" w:cs="Arial"/>
          <w:color w:val="000000" w:themeColor="text1"/>
          <w:shd w:val="clear" w:color="auto" w:fill="FFFFFF"/>
        </w:rPr>
      </w:pPr>
    </w:p>
    <w:p w14:paraId="366087EE" w14:textId="77777777" w:rsidR="00C956B8" w:rsidRPr="00C865D4" w:rsidRDefault="00C956B8" w:rsidP="00C956B8">
      <w:pPr>
        <w:shd w:val="clear" w:color="auto" w:fill="FFFFFF"/>
        <w:spacing w:line="240" w:lineRule="auto"/>
        <w:jc w:val="both"/>
        <w:rPr>
          <w:rFonts w:ascii="Verdana" w:hAnsi="Verdana"/>
          <w:color w:val="212121"/>
        </w:rPr>
      </w:pPr>
      <w:r w:rsidRPr="00C865D4">
        <w:rPr>
          <w:rFonts w:ascii="Verdana" w:hAnsi="Verdana"/>
          <w:color w:val="000000"/>
        </w:rPr>
        <w:t>Te informamos que ya se encuentra disponible la </w:t>
      </w:r>
      <w:r w:rsidRPr="00C865D4">
        <w:rPr>
          <w:rFonts w:ascii="Verdana" w:hAnsi="Verdana"/>
          <w:b/>
          <w:bCs/>
          <w:color w:val="000000"/>
        </w:rPr>
        <w:t>Cartilla para incentivar y fortalecer el acceso a las compras y contratación pública de los pueblos y comunidades étnicas en Colombia.</w:t>
      </w:r>
      <w:r w:rsidRPr="00C865D4">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ooltip="Original URL:&#10;https://www.colombiacompra.gov.co/manuales-guias-y-pliegos-tipo/manuales-y-guias/cartilla-para-incentivar-y-fortalecer-el-acceso-las&#10;&#10;Click to follow link." w:history="1">
        <w:r w:rsidRPr="00C865D4">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304B79B9" w14:textId="77777777" w:rsidR="00C956B8" w:rsidRPr="00C865D4" w:rsidRDefault="00C956B8" w:rsidP="00C956B8">
      <w:pPr>
        <w:jc w:val="both"/>
        <w:rPr>
          <w:rFonts w:ascii="Verdana" w:hAnsi="Verdana"/>
          <w:color w:val="212121"/>
        </w:rPr>
      </w:pPr>
      <w:r w:rsidRPr="00C865D4">
        <w:rPr>
          <w:rFonts w:ascii="Verdana" w:hAnsi="Verdana"/>
          <w:color w:val="000000"/>
        </w:rPr>
        <w:t>De otra parte, te informamos que, con el objetivo de garantizar un conocimiento adecuado de las </w:t>
      </w:r>
      <w:r w:rsidRPr="00C865D4">
        <w:rPr>
          <w:rFonts w:ascii="Verdana" w:hAnsi="Verdana"/>
          <w:b/>
          <w:bCs/>
          <w:color w:val="000000"/>
        </w:rPr>
        <w:t>modificaciones y/o actualizaciones realizadas a los Documentos Tipo</w:t>
      </w:r>
      <w:r w:rsidRPr="00C865D4">
        <w:rPr>
          <w:rFonts w:ascii="Verdana" w:hAnsi="Verdana"/>
          <w:color w:val="000000"/>
        </w:rPr>
        <w:t>, hemos programado una serie de </w:t>
      </w:r>
      <w:r w:rsidRPr="00C865D4">
        <w:rPr>
          <w:rFonts w:ascii="Verdana" w:hAnsi="Verdana"/>
          <w:b/>
          <w:bCs/>
          <w:color w:val="000000"/>
        </w:rPr>
        <w:t>capacitaciones </w:t>
      </w:r>
      <w:r w:rsidRPr="00C865D4">
        <w:rPr>
          <w:rFonts w:ascii="Verdana" w:hAnsi="Verdana"/>
          <w:color w:val="000000"/>
        </w:rPr>
        <w:t>dirigidas a todos los actores involucrados en los procesos de selección. Podrás conocer la programación y realizar tu inscripción a estas capacitaciones a través del siguiente enlace: </w:t>
      </w:r>
      <w:hyperlink r:id="rId15" w:tooltip="Original URL:&#10;https://www.colombiacompra.gov.co/ciudadanos/calendario&#10;&#10;Click to follow link." w:history="1">
        <w:r w:rsidRPr="00C865D4">
          <w:rPr>
            <w:rFonts w:ascii="Verdana" w:hAnsi="Verdana"/>
            <w:color w:val="467886"/>
            <w:u w:val="single"/>
          </w:rPr>
          <w:t>Calendario | Colombia Compra Eficiente | Agencia Nacional de Contratación Pública</w:t>
        </w:r>
      </w:hyperlink>
    </w:p>
    <w:p w14:paraId="5A8973E4" w14:textId="77777777" w:rsidR="00C956B8" w:rsidRPr="00C865D4" w:rsidRDefault="00C956B8" w:rsidP="00C956B8">
      <w:pPr>
        <w:spacing w:after="0"/>
        <w:jc w:val="both"/>
        <w:rPr>
          <w:rFonts w:ascii="Verdana" w:hAnsi="Verdana"/>
          <w:color w:val="212121"/>
        </w:rPr>
      </w:pPr>
      <w:r w:rsidRPr="00C865D4">
        <w:rPr>
          <w:rFonts w:ascii="Verdana" w:hAnsi="Verdana"/>
          <w:color w:val="000000"/>
        </w:rPr>
        <w:lastRenderedPageBreak/>
        <w:t>También, te contamos que ya publicamos </w:t>
      </w:r>
      <w:r w:rsidRPr="00C865D4">
        <w:rPr>
          <w:rFonts w:ascii="Verdana" w:hAnsi="Verdana"/>
          <w:b/>
          <w:bCs/>
          <w:color w:val="000000"/>
        </w:rPr>
        <w:t>la nueva Guía de Contratación Pública Sostenible y Socialmente Responsable</w:t>
      </w:r>
      <w:r w:rsidRPr="00C865D4">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ooltip="Original URL:&#10;https://www.colombiacompra.gov.co/manuales-guias-y-pliegos-tipo/manuales-y-guias/guia-de-contratacion-publica-sostenible-y-socialmente&#10;&#10;Click to follow link." w:history="1">
        <w:r w:rsidRPr="00C865D4">
          <w:rPr>
            <w:rFonts w:ascii="Verdana" w:hAnsi="Verdana"/>
            <w:color w:val="467886"/>
            <w:u w:val="single"/>
          </w:rPr>
          <w:t>Guía de Contratación Pública Sostenible y Socialmente Responsable | Colombia Compra Eficiente | Agencia Nacional de Contratación Pública</w:t>
        </w:r>
      </w:hyperlink>
    </w:p>
    <w:p w14:paraId="662FC8D1" w14:textId="77777777" w:rsidR="00C956B8" w:rsidRPr="00C865D4" w:rsidRDefault="00C956B8" w:rsidP="00C956B8">
      <w:pPr>
        <w:spacing w:after="0"/>
        <w:jc w:val="both"/>
        <w:rPr>
          <w:rFonts w:ascii="Verdana" w:hAnsi="Verdana"/>
          <w:color w:val="212121"/>
        </w:rPr>
      </w:pPr>
    </w:p>
    <w:p w14:paraId="5237F5B5" w14:textId="77777777" w:rsidR="00C956B8" w:rsidRPr="00C865D4" w:rsidRDefault="00C956B8" w:rsidP="00C956B8">
      <w:pPr>
        <w:spacing w:after="0" w:line="240" w:lineRule="auto"/>
        <w:jc w:val="both"/>
        <w:rPr>
          <w:rFonts w:ascii="Calibri" w:eastAsia="Calibri" w:hAnsi="Calibri" w:cs="Times New Roman"/>
        </w:rPr>
      </w:pPr>
      <w:r w:rsidRPr="00C865D4">
        <w:rPr>
          <w:rFonts w:ascii="Verdana" w:hAnsi="Verdana"/>
        </w:rPr>
        <w:t xml:space="preserve">Por último, lo invitamos a seguirnos en las redes sociales en las cuales se difunde información institucional: </w:t>
      </w:r>
    </w:p>
    <w:p w14:paraId="47D9FD4A" w14:textId="77777777" w:rsidR="00C956B8" w:rsidRPr="00C865D4" w:rsidRDefault="00C956B8" w:rsidP="00C956B8">
      <w:pPr>
        <w:spacing w:after="0" w:line="240" w:lineRule="auto"/>
        <w:jc w:val="both"/>
        <w:rPr>
          <w:rFonts w:ascii="Verdana" w:hAnsi="Verdana"/>
        </w:rPr>
      </w:pPr>
    </w:p>
    <w:p w14:paraId="10D6E63D" w14:textId="77777777" w:rsidR="00C956B8" w:rsidRPr="00C865D4" w:rsidRDefault="00C956B8" w:rsidP="00C956B8">
      <w:pPr>
        <w:spacing w:after="0" w:line="240" w:lineRule="auto"/>
        <w:jc w:val="both"/>
        <w:rPr>
          <w:rFonts w:ascii="Verdana" w:hAnsi="Verdana"/>
        </w:rPr>
      </w:pPr>
      <w:r w:rsidRPr="00C865D4">
        <w:rPr>
          <w:rFonts w:ascii="Verdana" w:hAnsi="Verdana"/>
        </w:rPr>
        <w:t xml:space="preserve">Twitter: </w:t>
      </w:r>
      <w:r w:rsidRPr="00C865D4">
        <w:rPr>
          <w:rFonts w:ascii="Verdana" w:eastAsia="Calibri" w:hAnsi="Verdana" w:cs="Times New Roman"/>
          <w:color w:val="4472C4" w:themeColor="accent1"/>
          <w:u w:val="single"/>
        </w:rPr>
        <w:t>@colombiacompra</w:t>
      </w:r>
      <w:r w:rsidRPr="00C865D4">
        <w:rPr>
          <w:rFonts w:ascii="Verdana" w:eastAsia="Calibri" w:hAnsi="Verdana" w:cs="Times New Roman"/>
          <w:color w:val="4472C4" w:themeColor="accent1"/>
        </w:rPr>
        <w:t xml:space="preserve"> </w:t>
      </w:r>
    </w:p>
    <w:p w14:paraId="1F4B6A49" w14:textId="77777777" w:rsidR="00C956B8" w:rsidRPr="00C865D4" w:rsidRDefault="00C956B8" w:rsidP="00C956B8">
      <w:pPr>
        <w:spacing w:after="0" w:line="240" w:lineRule="auto"/>
        <w:jc w:val="both"/>
        <w:rPr>
          <w:rFonts w:ascii="Verdana" w:hAnsi="Verdana"/>
        </w:rPr>
      </w:pPr>
      <w:r w:rsidRPr="00C865D4">
        <w:rPr>
          <w:rFonts w:ascii="Verdana" w:hAnsi="Verdana"/>
        </w:rPr>
        <w:t xml:space="preserve">Facebook: </w:t>
      </w:r>
      <w:proofErr w:type="spellStart"/>
      <w:r w:rsidRPr="00C865D4">
        <w:rPr>
          <w:rFonts w:ascii="Verdana" w:eastAsia="Calibri" w:hAnsi="Verdana" w:cs="Times New Roman"/>
          <w:color w:val="4472C4" w:themeColor="accent1"/>
          <w:u w:val="single"/>
        </w:rPr>
        <w:t>ColombiaCompraEficiente</w:t>
      </w:r>
      <w:proofErr w:type="spellEnd"/>
    </w:p>
    <w:p w14:paraId="2B3927DF" w14:textId="77777777" w:rsidR="00C956B8" w:rsidRPr="00C865D4" w:rsidRDefault="00C956B8" w:rsidP="00C956B8">
      <w:pPr>
        <w:spacing w:after="0" w:line="240" w:lineRule="auto"/>
        <w:jc w:val="both"/>
        <w:rPr>
          <w:rFonts w:ascii="Verdana" w:hAnsi="Verdana"/>
        </w:rPr>
      </w:pPr>
      <w:r w:rsidRPr="00C865D4">
        <w:rPr>
          <w:rFonts w:ascii="Verdana" w:hAnsi="Verdana"/>
        </w:rPr>
        <w:t xml:space="preserve">LinkedIn: </w:t>
      </w:r>
      <w:r w:rsidRPr="00C865D4">
        <w:rPr>
          <w:rFonts w:ascii="Verdana" w:eastAsia="Calibri" w:hAnsi="Verdana" w:cs="Times New Roman"/>
          <w:color w:val="4472C4" w:themeColor="accent1"/>
          <w:u w:val="single"/>
        </w:rPr>
        <w:t>Agencia Nacional de Contratación Pública - Colombia Compra Eficiente</w:t>
      </w:r>
      <w:r w:rsidRPr="00C865D4">
        <w:rPr>
          <w:rFonts w:ascii="Verdana" w:eastAsia="Calibri" w:hAnsi="Verdana" w:cs="Times New Roman"/>
          <w:color w:val="4472C4" w:themeColor="accent1"/>
        </w:rPr>
        <w:t xml:space="preserve"> </w:t>
      </w:r>
      <w:r w:rsidRPr="00C865D4">
        <w:rPr>
          <w:rFonts w:ascii="Verdana" w:hAnsi="Verdana"/>
        </w:rPr>
        <w:t xml:space="preserve">Instagram: </w:t>
      </w:r>
      <w:r w:rsidRPr="00C865D4">
        <w:rPr>
          <w:rFonts w:ascii="Verdana" w:eastAsia="Calibri" w:hAnsi="Verdana" w:cs="Times New Roman"/>
          <w:color w:val="4472C4" w:themeColor="accent1"/>
          <w:u w:val="single"/>
        </w:rPr>
        <w:t>@colombiacompraeficiente_cce</w:t>
      </w:r>
    </w:p>
    <w:p w14:paraId="4ABB5613" w14:textId="77777777" w:rsidR="00C956B8" w:rsidRPr="00C865D4" w:rsidRDefault="00C956B8" w:rsidP="00C956B8">
      <w:pPr>
        <w:widowControl w:val="0"/>
        <w:autoSpaceDE w:val="0"/>
        <w:autoSpaceDN w:val="0"/>
        <w:spacing w:after="0" w:line="276" w:lineRule="auto"/>
        <w:jc w:val="both"/>
        <w:rPr>
          <w:rFonts w:ascii="Verdana" w:hAnsi="Verdana"/>
        </w:rPr>
      </w:pPr>
    </w:p>
    <w:p w14:paraId="0FE1FC5C" w14:textId="77777777" w:rsidR="00C956B8" w:rsidRPr="00C865D4" w:rsidRDefault="00C956B8" w:rsidP="00C956B8">
      <w:pPr>
        <w:widowControl w:val="0"/>
        <w:autoSpaceDE w:val="0"/>
        <w:autoSpaceDN w:val="0"/>
        <w:spacing w:after="0" w:line="276" w:lineRule="auto"/>
        <w:jc w:val="both"/>
        <w:rPr>
          <w:rFonts w:ascii="Verdana" w:eastAsia="Calibri" w:hAnsi="Verdana" w:cs="Arial"/>
          <w:lang w:val="es-ES_tradnl"/>
        </w:rPr>
      </w:pPr>
      <w:r w:rsidRPr="00C865D4">
        <w:rPr>
          <w:rFonts w:ascii="Verdana" w:eastAsia="Calibri" w:hAnsi="Verdana" w:cs="Arial"/>
        </w:rPr>
        <w:t>Este concepto tiene el alcance previsto en el artículo 28 del Código de Procedimiento Administrativo y de lo Contencioso Administrativo.</w:t>
      </w:r>
    </w:p>
    <w:p w14:paraId="6B9B06A6" w14:textId="77777777" w:rsidR="00C956B8" w:rsidRPr="00C865D4" w:rsidRDefault="00C956B8" w:rsidP="00C956B8">
      <w:pPr>
        <w:widowControl w:val="0"/>
        <w:autoSpaceDE w:val="0"/>
        <w:autoSpaceDN w:val="0"/>
        <w:spacing w:after="0" w:line="276" w:lineRule="auto"/>
        <w:jc w:val="both"/>
        <w:rPr>
          <w:rFonts w:ascii="Verdana" w:eastAsia="Calibri" w:hAnsi="Verdana" w:cs="Arial"/>
        </w:rPr>
      </w:pPr>
    </w:p>
    <w:p w14:paraId="7D79EEBD" w14:textId="7FA60704" w:rsidR="00C956B8" w:rsidRPr="00CD78A0" w:rsidRDefault="00C956B8" w:rsidP="00CD78A0">
      <w:pPr>
        <w:spacing w:after="0" w:line="240" w:lineRule="auto"/>
        <w:rPr>
          <w:rFonts w:ascii="Verdana" w:eastAsia="Calibri" w:hAnsi="Verdana" w:cs="Arial"/>
          <w:lang w:eastAsia="es-CO"/>
        </w:rPr>
      </w:pPr>
      <w:r w:rsidRPr="00C865D4">
        <w:rPr>
          <w:rFonts w:ascii="Verdana" w:eastAsia="Times New Roman" w:hAnsi="Verdana" w:cs="Arial"/>
          <w:lang w:eastAsia="es-CO"/>
        </w:rPr>
        <w:t>Atentamente,</w:t>
      </w:r>
      <w:r w:rsidRPr="00C865D4">
        <w:rPr>
          <w:rFonts w:ascii="Verdana" w:eastAsia="Calibri" w:hAnsi="Verdana" w:cs="Arial"/>
          <w:lang w:eastAsia="es-CO"/>
        </w:rPr>
        <w:t xml:space="preserve"> </w:t>
      </w:r>
    </w:p>
    <w:p w14:paraId="49C8B202" w14:textId="73F13602" w:rsidR="00C956B8" w:rsidRPr="00C865D4" w:rsidRDefault="00CD78A0" w:rsidP="00C956B8">
      <w:pPr>
        <w:tabs>
          <w:tab w:val="left" w:pos="1320"/>
        </w:tabs>
        <w:jc w:val="center"/>
        <w:rPr>
          <w:rFonts w:ascii="Century Gothic" w:hAnsi="Century Gothic"/>
        </w:rPr>
      </w:pPr>
      <w:r w:rsidRPr="004D5C25">
        <w:rPr>
          <w:rFonts w:ascii="Century Gothic" w:hAnsi="Century Gothic"/>
          <w:noProof/>
        </w:rPr>
        <w:drawing>
          <wp:inline distT="0" distB="0" distL="0" distR="0" wp14:anchorId="07B1DE32" wp14:editId="4B3EC5C2">
            <wp:extent cx="2314855" cy="993781"/>
            <wp:effectExtent l="0" t="0" r="952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323610" cy="997540"/>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C956B8" w:rsidRPr="00C865D4" w14:paraId="0E622DE1" w14:textId="77777777" w:rsidTr="009C56EE">
        <w:trPr>
          <w:trHeight w:val="323"/>
        </w:trPr>
        <w:tc>
          <w:tcPr>
            <w:tcW w:w="1041" w:type="dxa"/>
            <w:vAlign w:val="center"/>
            <w:hideMark/>
          </w:tcPr>
          <w:p w14:paraId="3361DF8D" w14:textId="77777777" w:rsidR="00C956B8" w:rsidRPr="00C865D4" w:rsidRDefault="00C956B8" w:rsidP="009C56EE">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4CCA027B" w14:textId="30B63A7E" w:rsidR="00C956B8" w:rsidRPr="00C865D4" w:rsidRDefault="00C956B8" w:rsidP="009C56EE">
            <w:pPr>
              <w:rPr>
                <w:rFonts w:ascii="Verdana" w:eastAsia="Arial" w:hAnsi="Verdana" w:cs="Arial"/>
                <w:sz w:val="16"/>
                <w:szCs w:val="16"/>
                <w:lang w:val="es-ES"/>
              </w:rPr>
            </w:pPr>
            <w:r w:rsidRPr="00C865D4">
              <w:rPr>
                <w:rFonts w:ascii="Verdana" w:eastAsia="Arial" w:hAnsi="Verdana" w:cs="Arial"/>
                <w:sz w:val="16"/>
                <w:szCs w:val="16"/>
                <w:lang w:val="es-ES"/>
              </w:rPr>
              <w:t xml:space="preserve">Carlos Mario </w:t>
            </w:r>
            <w:r w:rsidR="00124F19" w:rsidRPr="00C865D4">
              <w:rPr>
                <w:rFonts w:ascii="Verdana" w:eastAsia="Arial" w:hAnsi="Verdana" w:cs="Arial"/>
                <w:sz w:val="16"/>
                <w:szCs w:val="16"/>
                <w:lang w:val="es-ES"/>
              </w:rPr>
              <w:t>Castrillón</w:t>
            </w:r>
            <w:r w:rsidRPr="00C865D4">
              <w:rPr>
                <w:rFonts w:ascii="Verdana" w:eastAsia="Arial" w:hAnsi="Verdana" w:cs="Arial"/>
                <w:sz w:val="16"/>
                <w:szCs w:val="16"/>
                <w:lang w:val="es-ES"/>
              </w:rPr>
              <w:t xml:space="preserve"> Endo </w:t>
            </w:r>
          </w:p>
          <w:p w14:paraId="7CCE15DA" w14:textId="77777777" w:rsidR="00C956B8" w:rsidRPr="00C865D4" w:rsidRDefault="00C956B8" w:rsidP="009C56EE">
            <w:pPr>
              <w:rPr>
                <w:rFonts w:ascii="Verdana" w:eastAsia="Arial" w:hAnsi="Verdana" w:cs="Arial"/>
                <w:sz w:val="16"/>
                <w:szCs w:val="16"/>
                <w:lang w:val="es-ES_tradnl"/>
              </w:rPr>
            </w:pPr>
            <w:r w:rsidRPr="00C865D4">
              <w:rPr>
                <w:rFonts w:ascii="Verdana" w:eastAsia="Arial" w:hAnsi="Verdana" w:cs="Arial"/>
                <w:sz w:val="16"/>
                <w:szCs w:val="16"/>
                <w:lang w:val="es-ES_tradnl"/>
              </w:rPr>
              <w:t>Contratista de la Subdirección de Gestión Contractual</w:t>
            </w:r>
          </w:p>
          <w:p w14:paraId="09293EFD" w14:textId="77777777" w:rsidR="00C956B8" w:rsidRPr="00C865D4" w:rsidRDefault="00C956B8" w:rsidP="009C56EE">
            <w:pPr>
              <w:rPr>
                <w:rFonts w:ascii="Verdana" w:eastAsia="Arial" w:hAnsi="Verdana" w:cs="Arial"/>
                <w:sz w:val="16"/>
                <w:szCs w:val="16"/>
                <w:lang w:val="es-ES_tradnl"/>
              </w:rPr>
            </w:pPr>
          </w:p>
        </w:tc>
      </w:tr>
      <w:tr w:rsidR="00C956B8" w:rsidRPr="00C865D4" w14:paraId="65F10289" w14:textId="77777777" w:rsidTr="009C56EE">
        <w:trPr>
          <w:trHeight w:val="338"/>
        </w:trPr>
        <w:tc>
          <w:tcPr>
            <w:tcW w:w="1041" w:type="dxa"/>
            <w:vAlign w:val="center"/>
            <w:hideMark/>
          </w:tcPr>
          <w:p w14:paraId="6786CC87" w14:textId="77777777" w:rsidR="00C956B8" w:rsidRPr="00C865D4" w:rsidRDefault="00C956B8" w:rsidP="009C56EE">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3961554C" w14:textId="77777777" w:rsidR="00C956B8" w:rsidRDefault="00C956B8" w:rsidP="009C56EE">
            <w:pPr>
              <w:jc w:val="both"/>
              <w:rPr>
                <w:rFonts w:ascii="Verdana" w:hAnsi="Verdana"/>
                <w:sz w:val="16"/>
                <w:szCs w:val="16"/>
                <w:lang w:val="es-ES"/>
              </w:rPr>
            </w:pPr>
            <w:r>
              <w:rPr>
                <w:rFonts w:ascii="Verdana" w:hAnsi="Verdana"/>
                <w:sz w:val="16"/>
                <w:szCs w:val="16"/>
                <w:lang w:val="es-ES"/>
              </w:rPr>
              <w:t>Alexandra Rodríguez Motta</w:t>
            </w:r>
          </w:p>
          <w:p w14:paraId="661220EB" w14:textId="77777777" w:rsidR="00C956B8" w:rsidRPr="004F418D" w:rsidRDefault="00C956B8" w:rsidP="009C56EE">
            <w:pPr>
              <w:jc w:val="both"/>
              <w:rPr>
                <w:sz w:val="16"/>
                <w:szCs w:val="16"/>
                <w:lang w:val="es-ES"/>
              </w:rPr>
            </w:pPr>
            <w:r>
              <w:rPr>
                <w:rFonts w:ascii="Verdana" w:hAnsi="Verdana"/>
                <w:sz w:val="16"/>
                <w:szCs w:val="16"/>
                <w:lang w:val="es-ES"/>
              </w:rPr>
              <w:t>Contratista de la Subdirección de Gestión Contractual</w:t>
            </w:r>
          </w:p>
          <w:p w14:paraId="6085CF2E" w14:textId="77777777" w:rsidR="00C956B8" w:rsidRDefault="00C956B8" w:rsidP="009C56EE">
            <w:pPr>
              <w:textAlignment w:val="baseline"/>
              <w:rPr>
                <w:rFonts w:ascii="Verdana" w:eastAsia="Times New Roman" w:hAnsi="Verdana" w:cs="Segoe UI"/>
                <w:sz w:val="16"/>
                <w:szCs w:val="16"/>
                <w:lang w:val="es-ES_tradnl" w:eastAsia="es-ES_tradnl"/>
              </w:rPr>
            </w:pPr>
            <w:r>
              <w:rPr>
                <w:rFonts w:ascii="Verdana" w:eastAsia="Times New Roman" w:hAnsi="Verdana" w:cs="Segoe UI"/>
                <w:sz w:val="16"/>
                <w:szCs w:val="16"/>
                <w:lang w:val="es-ES_tradnl" w:eastAsia="es-ES_tradnl"/>
              </w:rPr>
              <w:t>Martha Alicia Romero Vargas</w:t>
            </w:r>
          </w:p>
          <w:p w14:paraId="086A0290" w14:textId="77777777" w:rsidR="00C956B8" w:rsidRPr="00C865D4" w:rsidRDefault="00C956B8" w:rsidP="009C56EE">
            <w:pPr>
              <w:textAlignment w:val="baseline"/>
              <w:rPr>
                <w:rFonts w:ascii="Verdana" w:eastAsia="Times New Roman" w:hAnsi="Verdana" w:cs="Segoe UI"/>
                <w:sz w:val="16"/>
                <w:szCs w:val="16"/>
                <w:lang w:val="es-ES_tradnl" w:eastAsia="es-ES_tradnl"/>
              </w:rPr>
            </w:pPr>
            <w:r>
              <w:rPr>
                <w:rFonts w:ascii="Verdana" w:eastAsia="Times New Roman" w:hAnsi="Verdana" w:cs="Segoe UI"/>
                <w:sz w:val="16"/>
                <w:szCs w:val="16"/>
                <w:lang w:val="es-ES_tradnl" w:eastAsia="es-ES_tradnl"/>
              </w:rPr>
              <w:t xml:space="preserve">Gestor T1-15 de la Subdirección de </w:t>
            </w:r>
            <w:r w:rsidRPr="00C865D4">
              <w:rPr>
                <w:rFonts w:ascii="Verdana" w:eastAsia="Calibri" w:hAnsi="Verdana" w:cs="Arial"/>
                <w:sz w:val="16"/>
                <w:szCs w:val="16"/>
                <w:lang w:val="es-ES_tradnl" w:eastAsia="es-ES"/>
              </w:rPr>
              <w:t>Gestión Contractual</w:t>
            </w:r>
          </w:p>
        </w:tc>
      </w:tr>
      <w:tr w:rsidR="00C956B8" w:rsidRPr="00C865D4" w14:paraId="2257744E" w14:textId="77777777" w:rsidTr="009C56EE">
        <w:trPr>
          <w:trHeight w:val="308"/>
        </w:trPr>
        <w:tc>
          <w:tcPr>
            <w:tcW w:w="1041" w:type="dxa"/>
            <w:vAlign w:val="center"/>
          </w:tcPr>
          <w:p w14:paraId="69FB32C2" w14:textId="77777777" w:rsidR="00C956B8" w:rsidRPr="00C865D4" w:rsidRDefault="00C956B8" w:rsidP="009C56EE">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64D73961" w14:textId="77777777" w:rsidR="00C956B8" w:rsidRPr="00C865D4" w:rsidRDefault="00C956B8" w:rsidP="009C56EE">
            <w:pPr>
              <w:rPr>
                <w:rFonts w:ascii="Verdana" w:eastAsia="Calibri" w:hAnsi="Verdana" w:cs="Arial"/>
                <w:sz w:val="16"/>
                <w:szCs w:val="16"/>
                <w:lang w:val="es-ES" w:eastAsia="es-ES"/>
              </w:rPr>
            </w:pPr>
            <w:r w:rsidRPr="00C865D4">
              <w:rPr>
                <w:rFonts w:ascii="Verdana" w:eastAsia="Calibri" w:hAnsi="Verdana" w:cs="Arial"/>
                <w:sz w:val="16"/>
                <w:szCs w:val="16"/>
                <w:lang w:val="es-ES" w:eastAsia="es-ES"/>
              </w:rPr>
              <w:t xml:space="preserve">Carolina Quintero </w:t>
            </w:r>
            <w:proofErr w:type="spellStart"/>
            <w:r w:rsidRPr="00C865D4">
              <w:rPr>
                <w:rFonts w:ascii="Verdana" w:eastAsia="Calibri" w:hAnsi="Verdana" w:cs="Arial"/>
                <w:sz w:val="16"/>
                <w:szCs w:val="16"/>
                <w:lang w:val="es-ES" w:eastAsia="es-ES"/>
              </w:rPr>
              <w:t>Gacharná</w:t>
            </w:r>
            <w:proofErr w:type="spellEnd"/>
          </w:p>
          <w:p w14:paraId="2FC13693" w14:textId="77777777" w:rsidR="00C956B8" w:rsidRPr="00C865D4" w:rsidRDefault="00C956B8" w:rsidP="009C56EE">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Subdirectora de Gestión Contractual ANCP – CCE</w:t>
            </w:r>
          </w:p>
        </w:tc>
      </w:tr>
      <w:bookmarkEnd w:id="0"/>
    </w:tbl>
    <w:p w14:paraId="3900974D" w14:textId="77777777" w:rsidR="003D5B0D" w:rsidRPr="00EF2999" w:rsidRDefault="003D5B0D" w:rsidP="00EF2999"/>
    <w:sectPr w:rsidR="003D5B0D" w:rsidRPr="00EF299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605F" w14:textId="77777777" w:rsidR="00CD78A0" w:rsidRDefault="00CD78A0">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E59F1" w14:textId="77777777" w:rsidR="00CD78A0" w:rsidRDefault="00CD78A0">
    <w:pPr>
      <w:pStyle w:val="Encabezado"/>
    </w:pPr>
  </w:p>
  <w:p w14:paraId="6BA64CF9" w14:textId="77777777" w:rsidR="00CD78A0" w:rsidRDefault="00CD78A0">
    <w:pPr>
      <w:pStyle w:val="Encabezado"/>
    </w:pPr>
  </w:p>
  <w:p w14:paraId="70DEA509" w14:textId="77777777" w:rsidR="00CD78A0" w:rsidRDefault="00CD78A0">
    <w:pPr>
      <w:pStyle w:val="Encabezado"/>
    </w:pPr>
  </w:p>
  <w:p w14:paraId="2AC9EEAB" w14:textId="77777777" w:rsidR="00CD78A0" w:rsidRDefault="00CD78A0">
    <w:pPr>
      <w:pStyle w:val="Encabezado"/>
    </w:pPr>
  </w:p>
  <w:p w14:paraId="435F4D03" w14:textId="286E4E98"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4E2440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29003605" o:spid="_x0000_i1025" type="#_x0000_t75" style="width:11.25pt;height:11.25pt;visibility:visible;mso-wrap-style:square">
            <v:imagedata r:id="rId1" o:title=""/>
          </v:shape>
        </w:pict>
      </mc:Choice>
      <mc:Fallback>
        <w:drawing>
          <wp:inline distT="0" distB="0" distL="0" distR="0" wp14:anchorId="742C9069" wp14:editId="742C906A">
            <wp:extent cx="142875" cy="142875"/>
            <wp:effectExtent l="0" t="0" r="0" b="0"/>
            <wp:docPr id="529003605" name="Imagen 52900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4F617D71"/>
    <w:multiLevelType w:val="hybridMultilevel"/>
    <w:tmpl w:val="9042CD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1"/>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2"/>
  </w:num>
  <w:num w:numId="18" w16cid:durableId="827985604">
    <w:abstractNumId w:val="9"/>
  </w:num>
  <w:num w:numId="19" w16cid:durableId="341274352">
    <w:abstractNumId w:val="0"/>
  </w:num>
  <w:num w:numId="20" w16cid:durableId="9085411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4F19"/>
    <w:rsid w:val="00125105"/>
    <w:rsid w:val="00127233"/>
    <w:rsid w:val="0013271D"/>
    <w:rsid w:val="00134EF1"/>
    <w:rsid w:val="001511A0"/>
    <w:rsid w:val="001E4177"/>
    <w:rsid w:val="001F7DC6"/>
    <w:rsid w:val="00213EB8"/>
    <w:rsid w:val="002421BB"/>
    <w:rsid w:val="0025796E"/>
    <w:rsid w:val="002707A2"/>
    <w:rsid w:val="002951A0"/>
    <w:rsid w:val="002962BC"/>
    <w:rsid w:val="002A093D"/>
    <w:rsid w:val="002A0DD0"/>
    <w:rsid w:val="002A49AC"/>
    <w:rsid w:val="002A64FD"/>
    <w:rsid w:val="002B6BBC"/>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4686"/>
    <w:rsid w:val="005566E8"/>
    <w:rsid w:val="00574867"/>
    <w:rsid w:val="00582F1F"/>
    <w:rsid w:val="00591460"/>
    <w:rsid w:val="005A06D4"/>
    <w:rsid w:val="005B3816"/>
    <w:rsid w:val="005C3777"/>
    <w:rsid w:val="005C5CDC"/>
    <w:rsid w:val="005D476C"/>
    <w:rsid w:val="006219F8"/>
    <w:rsid w:val="00665D70"/>
    <w:rsid w:val="006900D9"/>
    <w:rsid w:val="00706C16"/>
    <w:rsid w:val="00756841"/>
    <w:rsid w:val="007649AB"/>
    <w:rsid w:val="00771D0C"/>
    <w:rsid w:val="007833AC"/>
    <w:rsid w:val="00797B44"/>
    <w:rsid w:val="007B268C"/>
    <w:rsid w:val="007B7171"/>
    <w:rsid w:val="007C0C0F"/>
    <w:rsid w:val="007C3DC2"/>
    <w:rsid w:val="007E5497"/>
    <w:rsid w:val="00806F5F"/>
    <w:rsid w:val="00820278"/>
    <w:rsid w:val="00867F95"/>
    <w:rsid w:val="0087764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754BE"/>
    <w:rsid w:val="00C76B1C"/>
    <w:rsid w:val="00C93F9D"/>
    <w:rsid w:val="00C956B8"/>
    <w:rsid w:val="00CB6357"/>
    <w:rsid w:val="00CC1B26"/>
    <w:rsid w:val="00CD78A0"/>
    <w:rsid w:val="00D423A2"/>
    <w:rsid w:val="00D520D8"/>
    <w:rsid w:val="00D63AC2"/>
    <w:rsid w:val="00D7383B"/>
    <w:rsid w:val="00DA231B"/>
    <w:rsid w:val="00DC39FC"/>
    <w:rsid w:val="00DF5254"/>
    <w:rsid w:val="00E12478"/>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EE67D7"/>
    <w:rsid w:val="00EF2999"/>
    <w:rsid w:val="00F31EDC"/>
    <w:rsid w:val="00F462B3"/>
    <w:rsid w:val="00F5664F"/>
    <w:rsid w:val="00F666C4"/>
    <w:rsid w:val="00F76AFC"/>
    <w:rsid w:val="00FA47C0"/>
    <w:rsid w:val="00FB5DD1"/>
    <w:rsid w:val="00FC2B5D"/>
    <w:rsid w:val="00FC64AC"/>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C95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BF80E2-E4E5-49FF-AC9C-5DE5EC148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9d85dbaf-23eb-4e57-a637-93dcacc8b1a1"/>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5994</Words>
  <Characters>32972</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2025-04-28T15:42:00Z</dcterms:created>
  <dcterms:modified xsi:type="dcterms:W3CDTF">2025-04-28T15:42:00Z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