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B3C82F" w14:textId="77777777" w:rsidR="00B33A3B" w:rsidRPr="003376DC" w:rsidRDefault="00B33A3B" w:rsidP="00B33A3B">
      <w:pPr>
        <w:tabs>
          <w:tab w:val="left" w:pos="426"/>
        </w:tabs>
        <w:spacing w:line="240" w:lineRule="auto"/>
        <w:jc w:val="both"/>
        <w:rPr>
          <w:rFonts w:ascii="Century Gothic" w:eastAsia="Calibri" w:hAnsi="Century Gothic" w:cs="Arial"/>
          <w:b/>
          <w:bCs/>
          <w:color w:val="000000" w:themeColor="text1"/>
          <w:lang w:val="es-ES" w:eastAsia="es-ES"/>
        </w:rPr>
      </w:pPr>
      <w:bookmarkStart w:id="0" w:name="_Hlk143780582"/>
      <w:r w:rsidRPr="003376DC">
        <w:rPr>
          <w:rFonts w:ascii="Century Gothic" w:eastAsia="Calibri" w:hAnsi="Century Gothic" w:cs="Arial"/>
          <w:b/>
          <w:bCs/>
          <w:color w:val="000000" w:themeColor="text1"/>
          <w:lang w:val="es-ES" w:eastAsia="es-ES"/>
        </w:rPr>
        <w:t xml:space="preserve">MIPYMES – Decreto 1860 de 2021 – Artículo 5 – Convocatorias limitadas territorialmente – Vigencia </w:t>
      </w:r>
    </w:p>
    <w:p w14:paraId="0A136A26" w14:textId="77777777" w:rsidR="00B33A3B" w:rsidRPr="003376DC" w:rsidRDefault="00B33A3B" w:rsidP="00B33A3B">
      <w:pPr>
        <w:tabs>
          <w:tab w:val="left" w:pos="426"/>
        </w:tabs>
        <w:spacing w:line="240" w:lineRule="auto"/>
        <w:jc w:val="both"/>
        <w:rPr>
          <w:rFonts w:ascii="Century Gothic" w:eastAsia="Calibri" w:hAnsi="Century Gothic" w:cs="Arial"/>
          <w:color w:val="000000" w:themeColor="text1"/>
          <w:lang w:val="es-ES" w:eastAsia="es-ES"/>
        </w:rPr>
      </w:pPr>
    </w:p>
    <w:p w14:paraId="25DBFAB0" w14:textId="77777777" w:rsidR="00B33A3B" w:rsidRPr="003376DC" w:rsidRDefault="00B33A3B" w:rsidP="00B33A3B">
      <w:pPr>
        <w:tabs>
          <w:tab w:val="left" w:pos="426"/>
        </w:tabs>
        <w:spacing w:line="240" w:lineRule="auto"/>
        <w:jc w:val="both"/>
        <w:rPr>
          <w:rFonts w:ascii="Century Gothic" w:eastAsia="Calibri" w:hAnsi="Century Gothic" w:cs="Arial"/>
          <w:color w:val="000000" w:themeColor="text1"/>
          <w:lang w:val="es-ES" w:eastAsia="es-ES"/>
        </w:rPr>
      </w:pPr>
      <w:r w:rsidRPr="003376DC">
        <w:rPr>
          <w:rFonts w:ascii="Century Gothic" w:eastAsia="Calibri" w:hAnsi="Century Gothic" w:cs="Arial"/>
          <w:color w:val="000000" w:themeColor="text1"/>
          <w:lang w:val="es-ES" w:eastAsia="es-ES"/>
        </w:rPr>
        <w:t xml:space="preserve">Luego de explicar las reglas incluidas en la nueva regulación de la promoción del desarrollo en la contratación estatal, previstas en el artículo 34 de la Ley 2069 de 2020, y habiendo aclarado que dicha norma modificó el artículo 12 de la Ley 1150 de 2007, conviene preguntarse qué sucedió con la vigencia del artículo 2.2.1.2.4.2.2. del Decreto 1082 de 2015, que, hasta la expedición de la Ley 2069 de 2020, regía las convocatorias limitadas a </w:t>
      </w:r>
      <w:proofErr w:type="spellStart"/>
      <w:r w:rsidRPr="003376DC">
        <w:rPr>
          <w:rFonts w:ascii="Century Gothic" w:eastAsia="Calibri" w:hAnsi="Century Gothic" w:cs="Arial"/>
          <w:color w:val="000000" w:themeColor="text1"/>
          <w:lang w:val="es-ES" w:eastAsia="es-ES"/>
        </w:rPr>
        <w:t>mipymes</w:t>
      </w:r>
      <w:proofErr w:type="spellEnd"/>
      <w:r w:rsidRPr="003376DC">
        <w:rPr>
          <w:rFonts w:ascii="Century Gothic" w:eastAsia="Calibri" w:hAnsi="Century Gothic" w:cs="Arial"/>
          <w:color w:val="000000" w:themeColor="text1"/>
          <w:lang w:val="es-ES" w:eastAsia="es-ES"/>
        </w:rPr>
        <w:t>. En opinión de esta Agencia, dicho artículo del Decreto reglamentario perdió vigencia, porque su contenido era contrario al del artículo 34 de la Ley 2069 de 2020. En tal sentido, operó la pérdida de fuerza ejecutoria, de conformidad con el artículo 91, numeral 2, de la Ley 1437 de 2011, que establece que los actos administrativos – categoría que, como es sabido, incluye los decretos reglamentarios– dejan de ser obligatorios o decaen “Cuando desaparezcan sus fundamentos de hecho o de derecho”.</w:t>
      </w:r>
    </w:p>
    <w:p w14:paraId="032D0556" w14:textId="77777777" w:rsidR="00B33A3B" w:rsidRPr="003376DC" w:rsidRDefault="00B33A3B" w:rsidP="00B33A3B">
      <w:pPr>
        <w:tabs>
          <w:tab w:val="left" w:pos="426"/>
        </w:tabs>
        <w:spacing w:line="240" w:lineRule="auto"/>
        <w:jc w:val="both"/>
        <w:rPr>
          <w:rFonts w:ascii="Century Gothic" w:eastAsia="Calibri" w:hAnsi="Century Gothic" w:cs="Arial"/>
          <w:color w:val="000000" w:themeColor="text1"/>
          <w:lang w:val="es-ES" w:eastAsia="es-ES"/>
        </w:rPr>
      </w:pPr>
      <w:r w:rsidRPr="003376DC">
        <w:rPr>
          <w:rFonts w:ascii="Century Gothic" w:eastAsia="Calibri" w:hAnsi="Century Gothic" w:cs="Arial"/>
          <w:color w:val="000000" w:themeColor="text1"/>
          <w:lang w:val="es-ES" w:eastAsia="es-ES"/>
        </w:rPr>
        <w:t>Lo anterior quedó reafirmado con la expedición del Decreto 1860 de 24 de diciembre de 2021, reglamento que modificó, entre otros aspectos, la Subsección</w:t>
      </w:r>
      <w:r w:rsidRPr="003376DC">
        <w:rPr>
          <w:rFonts w:ascii="Arial" w:eastAsia="Calibri" w:hAnsi="Arial" w:cs="Arial"/>
          <w:color w:val="000000" w:themeColor="text1"/>
          <w:lang w:val="es-ES" w:eastAsia="es-ES"/>
        </w:rPr>
        <w:t> </w:t>
      </w:r>
      <w:r w:rsidRPr="003376DC">
        <w:rPr>
          <w:rFonts w:ascii="Century Gothic" w:eastAsia="Calibri" w:hAnsi="Century Gothic" w:cs="Arial"/>
          <w:color w:val="000000" w:themeColor="text1"/>
          <w:lang w:val="es-ES" w:eastAsia="es-ES"/>
        </w:rPr>
        <w:t>5</w:t>
      </w:r>
      <w:r w:rsidRPr="003376DC">
        <w:rPr>
          <w:rFonts w:ascii="Arial" w:eastAsia="Calibri" w:hAnsi="Arial" w:cs="Arial"/>
          <w:color w:val="000000" w:themeColor="text1"/>
          <w:lang w:val="es-ES" w:eastAsia="es-ES"/>
        </w:rPr>
        <w:t> </w:t>
      </w:r>
      <w:r w:rsidRPr="003376DC">
        <w:rPr>
          <w:rFonts w:ascii="Century Gothic" w:eastAsia="Calibri" w:hAnsi="Century Gothic" w:cs="Arial"/>
          <w:color w:val="000000" w:themeColor="text1"/>
          <w:lang w:val="es-ES" w:eastAsia="es-ES"/>
        </w:rPr>
        <w:t>de la Secci</w:t>
      </w:r>
      <w:r w:rsidRPr="003376DC">
        <w:rPr>
          <w:rFonts w:ascii="Century Gothic" w:eastAsia="Calibri" w:hAnsi="Century Gothic" w:cs="Century Gothic"/>
          <w:color w:val="000000" w:themeColor="text1"/>
          <w:lang w:val="es-ES" w:eastAsia="es-ES"/>
        </w:rPr>
        <w:t>ó</w:t>
      </w:r>
      <w:r w:rsidRPr="003376DC">
        <w:rPr>
          <w:rFonts w:ascii="Century Gothic" w:eastAsia="Calibri" w:hAnsi="Century Gothic" w:cs="Arial"/>
          <w:color w:val="000000" w:themeColor="text1"/>
          <w:lang w:val="es-ES" w:eastAsia="es-ES"/>
        </w:rPr>
        <w:t>n 1 del Cap</w:t>
      </w:r>
      <w:r w:rsidRPr="003376DC">
        <w:rPr>
          <w:rFonts w:ascii="Century Gothic" w:eastAsia="Calibri" w:hAnsi="Century Gothic" w:cs="Century Gothic"/>
          <w:color w:val="000000" w:themeColor="text1"/>
          <w:lang w:val="es-ES" w:eastAsia="es-ES"/>
        </w:rPr>
        <w:t>í</w:t>
      </w:r>
      <w:r w:rsidRPr="003376DC">
        <w:rPr>
          <w:rFonts w:ascii="Century Gothic" w:eastAsia="Calibri" w:hAnsi="Century Gothic" w:cs="Arial"/>
          <w:color w:val="000000" w:themeColor="text1"/>
          <w:lang w:val="es-ES" w:eastAsia="es-ES"/>
        </w:rPr>
        <w:t>tulo 2 del T</w:t>
      </w:r>
      <w:r w:rsidRPr="003376DC">
        <w:rPr>
          <w:rFonts w:ascii="Century Gothic" w:eastAsia="Calibri" w:hAnsi="Century Gothic" w:cs="Century Gothic"/>
          <w:color w:val="000000" w:themeColor="text1"/>
          <w:lang w:val="es-ES" w:eastAsia="es-ES"/>
        </w:rPr>
        <w:t>í</w:t>
      </w:r>
      <w:r w:rsidRPr="003376DC">
        <w:rPr>
          <w:rFonts w:ascii="Century Gothic" w:eastAsia="Calibri" w:hAnsi="Century Gothic" w:cs="Arial"/>
          <w:color w:val="000000" w:themeColor="text1"/>
          <w:lang w:val="es-ES" w:eastAsia="es-ES"/>
        </w:rPr>
        <w:t>tulo 1 de la Parte 2 del Libro 2 y los art</w:t>
      </w:r>
      <w:r w:rsidRPr="003376DC">
        <w:rPr>
          <w:rFonts w:ascii="Century Gothic" w:eastAsia="Calibri" w:hAnsi="Century Gothic" w:cs="Century Gothic"/>
          <w:color w:val="000000" w:themeColor="text1"/>
          <w:lang w:val="es-ES" w:eastAsia="es-ES"/>
        </w:rPr>
        <w:t>í</w:t>
      </w:r>
      <w:r w:rsidRPr="003376DC">
        <w:rPr>
          <w:rFonts w:ascii="Century Gothic" w:eastAsia="Calibri" w:hAnsi="Century Gothic" w:cs="Arial"/>
          <w:color w:val="000000" w:themeColor="text1"/>
          <w:lang w:val="es-ES" w:eastAsia="es-ES"/>
        </w:rPr>
        <w:t xml:space="preserve">culos 2.2.1.2.4.2.2. y 2.2.1.2.4.2.3. y siguientes del Decreto 1082 de 2015, </w:t>
      </w:r>
      <w:r w:rsidRPr="003376DC">
        <w:rPr>
          <w:rFonts w:ascii="Century Gothic" w:eastAsia="Calibri" w:hAnsi="Century Gothic" w:cs="Century Gothic"/>
          <w:color w:val="000000" w:themeColor="text1"/>
          <w:lang w:val="es-ES" w:eastAsia="es-ES"/>
        </w:rPr>
        <w:t>Ú</w:t>
      </w:r>
      <w:r w:rsidRPr="003376DC">
        <w:rPr>
          <w:rFonts w:ascii="Century Gothic" w:eastAsia="Calibri" w:hAnsi="Century Gothic" w:cs="Arial"/>
          <w:color w:val="000000" w:themeColor="text1"/>
          <w:lang w:val="es-ES" w:eastAsia="es-ES"/>
        </w:rPr>
        <w:t>nico Reglamentario del Sector Administrativo de Planeaci</w:t>
      </w:r>
      <w:r w:rsidRPr="003376DC">
        <w:rPr>
          <w:rFonts w:ascii="Century Gothic" w:eastAsia="Calibri" w:hAnsi="Century Gothic" w:cs="Century Gothic"/>
          <w:color w:val="000000" w:themeColor="text1"/>
          <w:lang w:val="es-ES" w:eastAsia="es-ES"/>
        </w:rPr>
        <w:t>ó</w:t>
      </w:r>
      <w:r w:rsidRPr="003376DC">
        <w:rPr>
          <w:rFonts w:ascii="Century Gothic" w:eastAsia="Calibri" w:hAnsi="Century Gothic" w:cs="Arial"/>
          <w:color w:val="000000" w:themeColor="text1"/>
          <w:lang w:val="es-ES" w:eastAsia="es-ES"/>
        </w:rPr>
        <w:t>n Nacional, modificaci</w:t>
      </w:r>
      <w:r w:rsidRPr="003376DC">
        <w:rPr>
          <w:rFonts w:ascii="Century Gothic" w:eastAsia="Calibri" w:hAnsi="Century Gothic" w:cs="Century Gothic"/>
          <w:color w:val="000000" w:themeColor="text1"/>
          <w:lang w:val="es-ES" w:eastAsia="es-ES"/>
        </w:rPr>
        <w:t>ó</w:t>
      </w:r>
      <w:r w:rsidRPr="003376DC">
        <w:rPr>
          <w:rFonts w:ascii="Century Gothic" w:eastAsia="Calibri" w:hAnsi="Century Gothic" w:cs="Arial"/>
          <w:color w:val="000000" w:themeColor="text1"/>
          <w:lang w:val="es-ES" w:eastAsia="es-ES"/>
        </w:rPr>
        <w:t>n que entrar</w:t>
      </w:r>
      <w:r w:rsidRPr="003376DC">
        <w:rPr>
          <w:rFonts w:ascii="Century Gothic" w:eastAsia="Calibri" w:hAnsi="Century Gothic" w:cs="Century Gothic"/>
          <w:color w:val="000000" w:themeColor="text1"/>
          <w:lang w:val="es-ES" w:eastAsia="es-ES"/>
        </w:rPr>
        <w:t>á</w:t>
      </w:r>
      <w:r w:rsidRPr="003376DC">
        <w:rPr>
          <w:rFonts w:ascii="Century Gothic" w:eastAsia="Calibri" w:hAnsi="Century Gothic" w:cs="Arial"/>
          <w:color w:val="000000" w:themeColor="text1"/>
          <w:lang w:val="es-ES" w:eastAsia="es-ES"/>
        </w:rPr>
        <w:t xml:space="preserve"> a regir a partir del 24 de marzo de 2022, seg</w:t>
      </w:r>
      <w:r w:rsidRPr="003376DC">
        <w:rPr>
          <w:rFonts w:ascii="Century Gothic" w:eastAsia="Calibri" w:hAnsi="Century Gothic" w:cs="Century Gothic"/>
          <w:color w:val="000000" w:themeColor="text1"/>
          <w:lang w:val="es-ES" w:eastAsia="es-ES"/>
        </w:rPr>
        <w:t>ú</w:t>
      </w:r>
      <w:r w:rsidRPr="003376DC">
        <w:rPr>
          <w:rFonts w:ascii="Century Gothic" w:eastAsia="Calibri" w:hAnsi="Century Gothic" w:cs="Arial"/>
          <w:color w:val="000000" w:themeColor="text1"/>
          <w:lang w:val="es-ES" w:eastAsia="es-ES"/>
        </w:rPr>
        <w:t>n lo dispone el art</w:t>
      </w:r>
      <w:r w:rsidRPr="003376DC">
        <w:rPr>
          <w:rFonts w:ascii="Century Gothic" w:eastAsia="Calibri" w:hAnsi="Century Gothic" w:cs="Century Gothic"/>
          <w:color w:val="000000" w:themeColor="text1"/>
          <w:lang w:val="es-ES" w:eastAsia="es-ES"/>
        </w:rPr>
        <w:t>í</w:t>
      </w:r>
      <w:r w:rsidRPr="003376DC">
        <w:rPr>
          <w:rFonts w:ascii="Century Gothic" w:eastAsia="Calibri" w:hAnsi="Century Gothic" w:cs="Arial"/>
          <w:color w:val="000000" w:themeColor="text1"/>
          <w:lang w:val="es-ES" w:eastAsia="es-ES"/>
        </w:rPr>
        <w:t xml:space="preserve">culo 8 de la nueva norma reglamentaria de las convocatorias limitadas a las </w:t>
      </w:r>
      <w:proofErr w:type="spellStart"/>
      <w:r w:rsidRPr="003376DC">
        <w:rPr>
          <w:rFonts w:ascii="Century Gothic" w:eastAsia="Calibri" w:hAnsi="Century Gothic" w:cs="Arial"/>
          <w:color w:val="000000" w:themeColor="text1"/>
          <w:lang w:val="es-ES" w:eastAsia="es-ES"/>
        </w:rPr>
        <w:t>mipymes</w:t>
      </w:r>
      <w:proofErr w:type="spellEnd"/>
      <w:r w:rsidRPr="003376DC">
        <w:rPr>
          <w:rFonts w:ascii="Century Gothic" w:eastAsia="Calibri" w:hAnsi="Century Gothic" w:cs="Arial"/>
          <w:color w:val="000000" w:themeColor="text1"/>
          <w:lang w:val="es-ES" w:eastAsia="es-ES"/>
        </w:rPr>
        <w:t xml:space="preserve"> que sometió la vigencia de los cambios al transcurso del periodo de 3 meses siguientes a la expedición del decreto.</w:t>
      </w:r>
    </w:p>
    <w:p w14:paraId="71326E16" w14:textId="77777777" w:rsidR="00B33A3B" w:rsidRPr="003376DC" w:rsidRDefault="00B33A3B" w:rsidP="00B33A3B">
      <w:pPr>
        <w:tabs>
          <w:tab w:val="left" w:pos="426"/>
        </w:tabs>
        <w:spacing w:line="240" w:lineRule="auto"/>
        <w:jc w:val="both"/>
        <w:rPr>
          <w:rFonts w:ascii="Century Gothic" w:eastAsia="Calibri" w:hAnsi="Century Gothic" w:cs="Arial"/>
          <w:color w:val="000000" w:themeColor="text1"/>
          <w:lang w:val="es-ES" w:eastAsia="es-ES"/>
        </w:rPr>
      </w:pPr>
    </w:p>
    <w:p w14:paraId="36B62487" w14:textId="77777777" w:rsidR="00B33A3B" w:rsidRPr="003376DC" w:rsidRDefault="00B33A3B" w:rsidP="00B33A3B">
      <w:pPr>
        <w:tabs>
          <w:tab w:val="left" w:pos="426"/>
        </w:tabs>
        <w:spacing w:line="240" w:lineRule="auto"/>
        <w:jc w:val="both"/>
        <w:rPr>
          <w:rFonts w:ascii="Century Gothic" w:eastAsia="Calibri" w:hAnsi="Century Gothic" w:cs="Arial"/>
          <w:b/>
          <w:bCs/>
          <w:color w:val="000000" w:themeColor="text1"/>
          <w:lang w:val="es-ES" w:eastAsia="es-ES"/>
        </w:rPr>
      </w:pPr>
      <w:r w:rsidRPr="003376DC">
        <w:rPr>
          <w:rFonts w:ascii="Century Gothic" w:eastAsia="Calibri" w:hAnsi="Century Gothic" w:cs="Arial"/>
          <w:b/>
          <w:bCs/>
          <w:color w:val="000000" w:themeColor="text1"/>
          <w:lang w:val="es-ES" w:eastAsia="es-ES"/>
        </w:rPr>
        <w:t xml:space="preserve">CONVOCATORIAS LIMITADAS A MIPYMES NACIONALES – Limitación territorial – Relevancia del domicilio de la </w:t>
      </w:r>
      <w:proofErr w:type="spellStart"/>
      <w:r w:rsidRPr="003376DC">
        <w:rPr>
          <w:rFonts w:ascii="Century Gothic" w:eastAsia="Calibri" w:hAnsi="Century Gothic" w:cs="Arial"/>
          <w:b/>
          <w:bCs/>
          <w:color w:val="000000" w:themeColor="text1"/>
          <w:lang w:val="es-ES" w:eastAsia="es-ES"/>
        </w:rPr>
        <w:t>Mipymes</w:t>
      </w:r>
      <w:proofErr w:type="spellEnd"/>
    </w:p>
    <w:p w14:paraId="04A4140E" w14:textId="77777777" w:rsidR="00B33A3B" w:rsidRPr="003376DC" w:rsidRDefault="00B33A3B" w:rsidP="00B33A3B">
      <w:pPr>
        <w:tabs>
          <w:tab w:val="left" w:pos="426"/>
        </w:tabs>
        <w:spacing w:line="240" w:lineRule="auto"/>
        <w:jc w:val="both"/>
        <w:rPr>
          <w:rFonts w:ascii="Century Gothic" w:eastAsia="Calibri" w:hAnsi="Century Gothic" w:cs="Arial"/>
          <w:color w:val="000000" w:themeColor="text1"/>
          <w:lang w:val="es-ES" w:eastAsia="es-ES"/>
        </w:rPr>
      </w:pPr>
    </w:p>
    <w:p w14:paraId="25A21BBA" w14:textId="77777777" w:rsidR="00B33A3B" w:rsidRPr="003376DC" w:rsidRDefault="00B33A3B" w:rsidP="00B33A3B">
      <w:pPr>
        <w:jc w:val="both"/>
        <w:rPr>
          <w:rFonts w:ascii="Century Gothic" w:eastAsia="Calibri" w:hAnsi="Century Gothic" w:cs="Arial"/>
          <w:color w:val="000000" w:themeColor="text1"/>
          <w:lang w:val="es-ES" w:eastAsia="es-ES"/>
        </w:rPr>
      </w:pPr>
      <w:r w:rsidRPr="003376DC">
        <w:rPr>
          <w:rFonts w:ascii="Century Gothic" w:eastAsia="Calibri" w:hAnsi="Century Gothic" w:cs="Arial"/>
          <w:color w:val="000000" w:themeColor="text1"/>
          <w:lang w:val="es-ES" w:eastAsia="es-ES"/>
        </w:rPr>
        <w:t>Ahora bien, el artículo 2.2.1.2.4.2.3. del Decreto 1082 de 2015, modificado por el artículo 5 del Decreto 1860 de 2021 se refiere a las “</w:t>
      </w:r>
      <w:proofErr w:type="spellStart"/>
      <w:r w:rsidRPr="003376DC">
        <w:rPr>
          <w:rFonts w:ascii="Century Gothic" w:eastAsia="Calibri" w:hAnsi="Century Gothic" w:cs="Arial"/>
          <w:color w:val="000000" w:themeColor="text1"/>
          <w:lang w:val="es-ES" w:eastAsia="es-ES"/>
        </w:rPr>
        <w:t>mipyme</w:t>
      </w:r>
      <w:proofErr w:type="spellEnd"/>
      <w:r w:rsidRPr="003376DC">
        <w:rPr>
          <w:rFonts w:ascii="Century Gothic" w:eastAsia="Calibri" w:hAnsi="Century Gothic" w:cs="Arial"/>
          <w:color w:val="000000" w:themeColor="text1"/>
          <w:lang w:val="es-ES" w:eastAsia="es-ES"/>
        </w:rPr>
        <w:t xml:space="preserve"> colombianas que tengan domicilio en los departamentos o municipios en donde se va a ejecutar el contrato”. Esta precisión es importante, pues el incentivo previsto en la norma únicamente aplica en el lugar de ejecución del contratado en el que la </w:t>
      </w:r>
      <w:proofErr w:type="spellStart"/>
      <w:r w:rsidRPr="003376DC">
        <w:rPr>
          <w:rFonts w:ascii="Century Gothic" w:eastAsia="Calibri" w:hAnsi="Century Gothic" w:cs="Arial"/>
          <w:color w:val="000000" w:themeColor="text1"/>
          <w:lang w:val="es-ES" w:eastAsia="es-ES"/>
        </w:rPr>
        <w:t>Mipyme</w:t>
      </w:r>
      <w:proofErr w:type="spellEnd"/>
      <w:r w:rsidRPr="003376DC">
        <w:rPr>
          <w:rFonts w:ascii="Century Gothic" w:eastAsia="Calibri" w:hAnsi="Century Gothic" w:cs="Arial"/>
          <w:color w:val="000000" w:themeColor="text1"/>
          <w:lang w:val="es-ES" w:eastAsia="es-ES"/>
        </w:rPr>
        <w:t xml:space="preserve"> tiene su “domicilio”, y no en donde tiene sucursales, agencias o establecimientos de comercio. Para explicar las implicaciones del artículo, en primera instancia, debe analizarse el alcance del término “domicilio” que, para el caso de las sociedades, se constituye en uno de los atributos de su personalidad que, de acuerdo con el ordenamiento jurídico colombiano, son aquellas propiedades o </w:t>
      </w:r>
      <w:r w:rsidRPr="003376DC">
        <w:rPr>
          <w:rFonts w:ascii="Century Gothic" w:eastAsia="Calibri" w:hAnsi="Century Gothic" w:cs="Arial"/>
          <w:color w:val="000000" w:themeColor="text1"/>
          <w:lang w:val="es-ES" w:eastAsia="es-ES"/>
        </w:rPr>
        <w:lastRenderedPageBreak/>
        <w:t>características de identidad propias de las personas, sean naturales o jurídicas, como titulares de derecho. En esta línea, este término es definido por el Código Civil en el artículo 76, el cual lo concibe como la residencia acompañada real o presuntivamente del ánimo de permanecer en ella, lo cual, para el caso de las sociedades se interpreta como el sitio donde éstas tienen el asiento principal de sus negocios.</w:t>
      </w:r>
    </w:p>
    <w:p w14:paraId="570E82B7" w14:textId="77777777" w:rsidR="00B33A3B" w:rsidRPr="003376DC" w:rsidRDefault="00B33A3B" w:rsidP="00B33A3B">
      <w:pPr>
        <w:jc w:val="both"/>
        <w:rPr>
          <w:rFonts w:ascii="Century Gothic" w:eastAsia="Calibri" w:hAnsi="Century Gothic" w:cs="Arial"/>
          <w:b/>
          <w:bCs/>
          <w:color w:val="000000" w:themeColor="text1"/>
          <w:lang w:val="es-ES" w:eastAsia="es-ES"/>
        </w:rPr>
      </w:pPr>
    </w:p>
    <w:p w14:paraId="62B97FA5" w14:textId="77777777" w:rsidR="00B33A3B" w:rsidRPr="003376DC" w:rsidRDefault="00B33A3B" w:rsidP="00B33A3B">
      <w:pPr>
        <w:jc w:val="both"/>
        <w:rPr>
          <w:rFonts w:ascii="Century Gothic" w:eastAsia="Calibri" w:hAnsi="Century Gothic" w:cs="Arial"/>
          <w:b/>
          <w:bCs/>
          <w:color w:val="000000" w:themeColor="text1"/>
          <w:lang w:val="es-ES" w:eastAsia="es-ES"/>
        </w:rPr>
      </w:pPr>
      <w:r w:rsidRPr="003376DC">
        <w:rPr>
          <w:rFonts w:ascii="Century Gothic" w:eastAsia="Calibri" w:hAnsi="Century Gothic" w:cs="Arial"/>
          <w:b/>
          <w:bCs/>
          <w:color w:val="000000" w:themeColor="text1"/>
          <w:lang w:val="es-ES" w:eastAsia="es-ES"/>
        </w:rPr>
        <w:t xml:space="preserve">CONVOCATORIAS LIMITADAS A MIPYMES NACIONALES – Limitación territorial – Tiempo mínimo de constitución </w:t>
      </w:r>
    </w:p>
    <w:p w14:paraId="0162BCA1" w14:textId="77777777" w:rsidR="00B33A3B" w:rsidRPr="00D17400" w:rsidRDefault="00B33A3B" w:rsidP="00B33A3B">
      <w:pPr>
        <w:jc w:val="both"/>
        <w:rPr>
          <w:rFonts w:ascii="Century Gothic" w:eastAsia="Calibri" w:hAnsi="Century Gothic" w:cs="Arial"/>
          <w:color w:val="000000" w:themeColor="text1"/>
          <w:lang w:val="es-ES" w:eastAsia="es-ES"/>
        </w:rPr>
      </w:pPr>
    </w:p>
    <w:p w14:paraId="43EB1E3E" w14:textId="77777777" w:rsidR="00B33A3B" w:rsidRDefault="00B33A3B" w:rsidP="00B33A3B">
      <w:pPr>
        <w:jc w:val="both"/>
        <w:rPr>
          <w:rFonts w:ascii="Century Gothic" w:eastAsia="Calibri" w:hAnsi="Century Gothic" w:cs="Arial"/>
          <w:color w:val="000000" w:themeColor="text1"/>
          <w:lang w:val="es-ES" w:eastAsia="es-ES"/>
        </w:rPr>
      </w:pPr>
      <w:r w:rsidRPr="00D17400">
        <w:rPr>
          <w:rFonts w:ascii="Century Gothic" w:eastAsia="Calibri" w:hAnsi="Century Gothic" w:cs="Arial"/>
          <w:color w:val="000000" w:themeColor="text1"/>
          <w:lang w:val="es-ES" w:eastAsia="es-ES"/>
        </w:rPr>
        <w:t xml:space="preserve">En atención a la consulta remitida, es imperioso señalar conforme lo expuesto en el numeral 2.3 del presente concepto, el artículo 2.2.1.2.4.2.2. para que proceda la limitación que el valor del proceso de contratación sea “menor a ciento veinticinco mil dólares de los Estados Unidos de América”; que al menos dos (2) </w:t>
      </w:r>
      <w:proofErr w:type="spellStart"/>
      <w:r w:rsidRPr="00D17400">
        <w:rPr>
          <w:rFonts w:ascii="Century Gothic" w:eastAsia="Calibri" w:hAnsi="Century Gothic" w:cs="Arial"/>
          <w:color w:val="000000" w:themeColor="text1"/>
          <w:lang w:val="es-ES" w:eastAsia="es-ES"/>
        </w:rPr>
        <w:t>Mipymes</w:t>
      </w:r>
      <w:proofErr w:type="spellEnd"/>
      <w:r w:rsidRPr="00D17400">
        <w:rPr>
          <w:rFonts w:ascii="Century Gothic" w:eastAsia="Calibri" w:hAnsi="Century Gothic" w:cs="Arial"/>
          <w:color w:val="000000" w:themeColor="text1"/>
          <w:lang w:val="es-ES" w:eastAsia="es-ES"/>
        </w:rPr>
        <w:t xml:space="preserve"> colombianas presenten a la entidad la solicitud de limitar el proceso contractual; y que dicha solicitud se haga por lo menos un día (1) hábil antes de la expedición del acto administrativo de apertura del Proceso de Contratación. Además, la norma señala que, una vez concurran todos los requisitos señalados anteriormente y siempre que cuenten con mínimo un (1) año de existencia. Así las cosas, es claro que el término de un (1) año que exige la norma se predica respecto del tiempo mínimo de constitución que debe tener la </w:t>
      </w:r>
      <w:proofErr w:type="spellStart"/>
      <w:r w:rsidRPr="00D17400">
        <w:rPr>
          <w:rFonts w:ascii="Century Gothic" w:eastAsia="Calibri" w:hAnsi="Century Gothic" w:cs="Arial"/>
          <w:color w:val="000000" w:themeColor="text1"/>
          <w:lang w:val="es-ES" w:eastAsia="es-ES"/>
        </w:rPr>
        <w:t>Mipyme</w:t>
      </w:r>
      <w:proofErr w:type="spellEnd"/>
      <w:r w:rsidRPr="00D17400">
        <w:rPr>
          <w:rFonts w:ascii="Century Gothic" w:eastAsia="Calibri" w:hAnsi="Century Gothic" w:cs="Arial"/>
          <w:color w:val="000000" w:themeColor="text1"/>
          <w:lang w:val="es-ES" w:eastAsia="es-ES"/>
        </w:rPr>
        <w:t xml:space="preserve"> interesada en participar en el Proceso de Contratación, no obstante, dicho término de no se exige respecto del tiempo en que el domicilio de la </w:t>
      </w:r>
      <w:proofErr w:type="spellStart"/>
      <w:r w:rsidRPr="00D17400">
        <w:rPr>
          <w:rFonts w:ascii="Century Gothic" w:eastAsia="Calibri" w:hAnsi="Century Gothic" w:cs="Arial"/>
          <w:color w:val="000000" w:themeColor="text1"/>
          <w:lang w:val="es-ES" w:eastAsia="es-ES"/>
        </w:rPr>
        <w:t>Mipyme</w:t>
      </w:r>
      <w:proofErr w:type="spellEnd"/>
      <w:r w:rsidRPr="00D17400">
        <w:rPr>
          <w:rFonts w:ascii="Century Gothic" w:eastAsia="Calibri" w:hAnsi="Century Gothic" w:cs="Arial"/>
          <w:color w:val="000000" w:themeColor="text1"/>
          <w:lang w:val="es-ES" w:eastAsia="es-ES"/>
        </w:rPr>
        <w:t xml:space="preserve"> se encuentra en un determinado lugar.</w:t>
      </w:r>
    </w:p>
    <w:p w14:paraId="2DF3FB61" w14:textId="77777777" w:rsidR="00B33A3B" w:rsidRDefault="00B33A3B" w:rsidP="00B33A3B">
      <w:pPr>
        <w:jc w:val="both"/>
        <w:rPr>
          <w:rFonts w:ascii="Century Gothic" w:eastAsia="Calibri" w:hAnsi="Century Gothic" w:cs="Arial"/>
          <w:color w:val="000000" w:themeColor="text1"/>
          <w:lang w:val="es-ES" w:eastAsia="es-ES"/>
        </w:rPr>
      </w:pPr>
    </w:p>
    <w:p w14:paraId="03FF88CA" w14:textId="77777777" w:rsidR="00B33A3B" w:rsidRPr="00AA3576" w:rsidRDefault="00B33A3B" w:rsidP="00B33A3B">
      <w:pPr>
        <w:jc w:val="both"/>
        <w:rPr>
          <w:rFonts w:ascii="Century Gothic" w:eastAsia="Geomanist Light" w:hAnsi="Century Gothic" w:cs="Arial"/>
          <w:color w:val="000000" w:themeColor="text1"/>
        </w:rPr>
      </w:pPr>
      <w:r w:rsidRPr="00AA3576">
        <w:rPr>
          <w:rFonts w:ascii="Century Gothic" w:eastAsia="Geomanist Light" w:hAnsi="Century Gothic" w:cs="Arial"/>
          <w:b/>
          <w:bCs/>
          <w:color w:val="000000" w:themeColor="text1"/>
        </w:rPr>
        <w:t>LOTES O SEGMENTOS – Ley 2069 de 2020 – Artículo 33</w:t>
      </w:r>
      <w:r w:rsidRPr="00AA3576">
        <w:rPr>
          <w:rFonts w:ascii="Century Gothic" w:eastAsia="Geomanist Light" w:hAnsi="Century Gothic" w:cs="Arial"/>
          <w:color w:val="000000" w:themeColor="text1"/>
        </w:rPr>
        <w:t> </w:t>
      </w:r>
    </w:p>
    <w:p w14:paraId="7D2F6AF8" w14:textId="77777777" w:rsidR="00B33A3B" w:rsidRPr="00AA3576" w:rsidRDefault="00B33A3B" w:rsidP="00B33A3B">
      <w:pPr>
        <w:jc w:val="both"/>
        <w:rPr>
          <w:rFonts w:ascii="Century Gothic" w:eastAsia="Geomanist Light" w:hAnsi="Century Gothic" w:cs="Arial"/>
          <w:color w:val="000000" w:themeColor="text1"/>
        </w:rPr>
      </w:pPr>
      <w:r w:rsidRPr="00AA3576">
        <w:rPr>
          <w:rFonts w:ascii="Century Gothic" w:eastAsia="Geomanist Light" w:hAnsi="Century Gothic" w:cs="Arial"/>
          <w:color w:val="000000" w:themeColor="text1"/>
        </w:rPr>
        <w:t> </w:t>
      </w:r>
    </w:p>
    <w:p w14:paraId="1F27B823" w14:textId="77777777" w:rsidR="00B33A3B" w:rsidRPr="00AA3576" w:rsidRDefault="00B33A3B" w:rsidP="00B33A3B">
      <w:pPr>
        <w:jc w:val="both"/>
        <w:rPr>
          <w:rFonts w:ascii="Century Gothic" w:eastAsia="Geomanist Light" w:hAnsi="Century Gothic" w:cs="Arial"/>
          <w:color w:val="000000" w:themeColor="text1"/>
        </w:rPr>
      </w:pPr>
      <w:r w:rsidRPr="00AA3576">
        <w:rPr>
          <w:rFonts w:ascii="Century Gothic" w:eastAsia="Geomanist Light" w:hAnsi="Century Gothic" w:cs="Arial"/>
          <w:color w:val="000000" w:themeColor="text1"/>
        </w:rPr>
        <w:t xml:space="preserve">[…] con la reciente expedición del Decreto 142 del de 2023 se reglamentó la disposición contenida en el numeral 6 del artículo 33 de la Ley 2069 de 2020  Con el fin de cumplir el mandato legal indicado, el artículo 2 del Decreto 0142 de 2023 modificó el artículo 2.2.1.1.1.4.1 del Decreto 1082 de 2015, para instar a las entidades públicas para que, desde la configuración del Plan Anual de Adquisiciones, propendan por planear su contratación de tal manera que promueva el adelantamiento de procesos de contratación por lotes o segmentos, a fin de promover la participación de las </w:t>
      </w:r>
      <w:proofErr w:type="spellStart"/>
      <w:r w:rsidRPr="00AA3576">
        <w:rPr>
          <w:rFonts w:ascii="Century Gothic" w:eastAsia="Geomanist Light" w:hAnsi="Century Gothic" w:cs="Arial"/>
          <w:color w:val="000000" w:themeColor="text1"/>
        </w:rPr>
        <w:t>Mipymes</w:t>
      </w:r>
      <w:proofErr w:type="spellEnd"/>
      <w:r w:rsidRPr="00AA3576">
        <w:rPr>
          <w:rFonts w:ascii="Century Gothic" w:eastAsia="Geomanist Light" w:hAnsi="Century Gothic" w:cs="Arial"/>
          <w:color w:val="000000" w:themeColor="text1"/>
        </w:rPr>
        <w:t xml:space="preserve"> en los procesos de contratación. En concordancia con lo anterior, el artículo 6 del Decreto 142 de 2023, adicionó el 2.2.1.2.4.2.19 al Decreto 1082 de 2015, ratificando en el reglamento el deber de las </w:t>
      </w:r>
      <w:r w:rsidRPr="00AA3576">
        <w:rPr>
          <w:rFonts w:ascii="Century Gothic" w:eastAsia="Geomanist Light" w:hAnsi="Century Gothic" w:cs="Arial"/>
          <w:color w:val="000000" w:themeColor="text1"/>
        </w:rPr>
        <w:lastRenderedPageBreak/>
        <w:t>entidades estatales de promover la división de procesos de contratación en lotes o segmentos, ya establecido de manera expresa en el numeral 6 del artículo 33 de la Ley 2069 de 2020. </w:t>
      </w:r>
    </w:p>
    <w:p w14:paraId="51CFDCEC" w14:textId="77777777" w:rsidR="00B33A3B" w:rsidRDefault="00B33A3B" w:rsidP="00B33A3B">
      <w:pPr>
        <w:jc w:val="both"/>
        <w:rPr>
          <w:rFonts w:ascii="Century Gothic" w:eastAsia="Geomanist Light" w:hAnsi="Century Gothic" w:cs="Arial"/>
          <w:color w:val="000000" w:themeColor="text1"/>
        </w:rPr>
      </w:pPr>
      <w:r w:rsidRPr="00AA3576">
        <w:rPr>
          <w:rFonts w:ascii="Century Gothic" w:eastAsia="Geomanist Light" w:hAnsi="Century Gothic" w:cs="Arial"/>
          <w:color w:val="000000" w:themeColor="text1"/>
        </w:rPr>
        <w:t> </w:t>
      </w:r>
    </w:p>
    <w:p w14:paraId="5398EF2B" w14:textId="77777777" w:rsidR="00B33A3B" w:rsidRDefault="00B33A3B" w:rsidP="00E245AB">
      <w:pPr>
        <w:spacing w:after="0"/>
        <w:rPr>
          <w:rFonts w:ascii="Verdana" w:hAnsi="Verdana"/>
        </w:rPr>
      </w:pPr>
    </w:p>
    <w:p w14:paraId="52460291" w14:textId="77777777" w:rsidR="00B33A3B" w:rsidRDefault="00B33A3B" w:rsidP="00E245AB">
      <w:pPr>
        <w:spacing w:after="0"/>
        <w:rPr>
          <w:rFonts w:ascii="Verdana" w:hAnsi="Verdana"/>
        </w:rPr>
      </w:pPr>
    </w:p>
    <w:p w14:paraId="5DFD5C6D" w14:textId="77777777" w:rsidR="00B33A3B" w:rsidRDefault="00B33A3B" w:rsidP="00E245AB">
      <w:pPr>
        <w:spacing w:after="0"/>
        <w:rPr>
          <w:rFonts w:ascii="Verdana" w:hAnsi="Verdana"/>
        </w:rPr>
      </w:pPr>
    </w:p>
    <w:p w14:paraId="4A1FE01B" w14:textId="77777777" w:rsidR="00B33A3B" w:rsidRDefault="00B33A3B" w:rsidP="00E245AB">
      <w:pPr>
        <w:spacing w:after="0"/>
        <w:rPr>
          <w:rFonts w:ascii="Verdana" w:hAnsi="Verdana"/>
        </w:rPr>
      </w:pPr>
    </w:p>
    <w:p w14:paraId="4C12B578" w14:textId="77777777" w:rsidR="00B33A3B" w:rsidRDefault="00B33A3B" w:rsidP="00E245AB">
      <w:pPr>
        <w:spacing w:after="0"/>
        <w:rPr>
          <w:rFonts w:ascii="Verdana" w:hAnsi="Verdana"/>
        </w:rPr>
      </w:pPr>
    </w:p>
    <w:p w14:paraId="20427AD9" w14:textId="77777777" w:rsidR="00B33A3B" w:rsidRDefault="00B33A3B" w:rsidP="00E245AB">
      <w:pPr>
        <w:spacing w:after="0"/>
        <w:rPr>
          <w:rFonts w:ascii="Verdana" w:hAnsi="Verdana"/>
        </w:rPr>
      </w:pPr>
    </w:p>
    <w:p w14:paraId="2377F811" w14:textId="77777777" w:rsidR="00B33A3B" w:rsidRDefault="00B33A3B" w:rsidP="00E245AB">
      <w:pPr>
        <w:spacing w:after="0"/>
        <w:rPr>
          <w:rFonts w:ascii="Verdana" w:hAnsi="Verdana"/>
        </w:rPr>
      </w:pPr>
    </w:p>
    <w:p w14:paraId="277B8605" w14:textId="77777777" w:rsidR="00B33A3B" w:rsidRDefault="00B33A3B" w:rsidP="00E245AB">
      <w:pPr>
        <w:spacing w:after="0"/>
        <w:rPr>
          <w:rFonts w:ascii="Verdana" w:hAnsi="Verdana"/>
        </w:rPr>
      </w:pPr>
    </w:p>
    <w:p w14:paraId="1F46AEC0" w14:textId="77777777" w:rsidR="00B33A3B" w:rsidRDefault="00B33A3B" w:rsidP="00E245AB">
      <w:pPr>
        <w:spacing w:after="0"/>
        <w:rPr>
          <w:rFonts w:ascii="Verdana" w:hAnsi="Verdana"/>
        </w:rPr>
      </w:pPr>
    </w:p>
    <w:p w14:paraId="3116A9FA" w14:textId="77777777" w:rsidR="00B33A3B" w:rsidRDefault="00B33A3B" w:rsidP="00E245AB">
      <w:pPr>
        <w:spacing w:after="0"/>
        <w:rPr>
          <w:rFonts w:ascii="Verdana" w:hAnsi="Verdana"/>
        </w:rPr>
      </w:pPr>
    </w:p>
    <w:p w14:paraId="4C595A0E" w14:textId="77777777" w:rsidR="00B33A3B" w:rsidRDefault="00B33A3B" w:rsidP="00E245AB">
      <w:pPr>
        <w:spacing w:after="0"/>
        <w:rPr>
          <w:rFonts w:ascii="Verdana" w:hAnsi="Verdana"/>
        </w:rPr>
      </w:pPr>
    </w:p>
    <w:p w14:paraId="3820DE64" w14:textId="77777777" w:rsidR="00B33A3B" w:rsidRDefault="00B33A3B" w:rsidP="00E245AB">
      <w:pPr>
        <w:spacing w:after="0"/>
        <w:rPr>
          <w:rFonts w:ascii="Verdana" w:hAnsi="Verdana"/>
        </w:rPr>
      </w:pPr>
    </w:p>
    <w:p w14:paraId="0AFC2E13" w14:textId="77777777" w:rsidR="00B33A3B" w:rsidRDefault="00B33A3B" w:rsidP="00E245AB">
      <w:pPr>
        <w:spacing w:after="0"/>
        <w:rPr>
          <w:rFonts w:ascii="Verdana" w:hAnsi="Verdana"/>
        </w:rPr>
      </w:pPr>
    </w:p>
    <w:p w14:paraId="61AFB02E" w14:textId="77777777" w:rsidR="00B33A3B" w:rsidRDefault="00B33A3B" w:rsidP="00E245AB">
      <w:pPr>
        <w:spacing w:after="0"/>
        <w:rPr>
          <w:rFonts w:ascii="Verdana" w:hAnsi="Verdana"/>
        </w:rPr>
      </w:pPr>
    </w:p>
    <w:p w14:paraId="1A264915" w14:textId="77777777" w:rsidR="00B33A3B" w:rsidRDefault="00B33A3B" w:rsidP="00E245AB">
      <w:pPr>
        <w:spacing w:after="0"/>
        <w:rPr>
          <w:rFonts w:ascii="Verdana" w:hAnsi="Verdana"/>
        </w:rPr>
      </w:pPr>
    </w:p>
    <w:p w14:paraId="1038DE3D" w14:textId="77777777" w:rsidR="00B33A3B" w:rsidRDefault="00B33A3B" w:rsidP="00E245AB">
      <w:pPr>
        <w:spacing w:after="0"/>
        <w:rPr>
          <w:rFonts w:ascii="Verdana" w:hAnsi="Verdana"/>
        </w:rPr>
      </w:pPr>
    </w:p>
    <w:p w14:paraId="0AD56487" w14:textId="77777777" w:rsidR="00B33A3B" w:rsidRDefault="00B33A3B" w:rsidP="00E245AB">
      <w:pPr>
        <w:spacing w:after="0"/>
        <w:rPr>
          <w:rFonts w:ascii="Verdana" w:hAnsi="Verdana"/>
        </w:rPr>
      </w:pPr>
    </w:p>
    <w:p w14:paraId="02EA2D0F" w14:textId="77777777" w:rsidR="00B33A3B" w:rsidRDefault="00B33A3B" w:rsidP="00E245AB">
      <w:pPr>
        <w:spacing w:after="0"/>
        <w:rPr>
          <w:rFonts w:ascii="Verdana" w:hAnsi="Verdana"/>
        </w:rPr>
      </w:pPr>
    </w:p>
    <w:p w14:paraId="690AC479" w14:textId="77777777" w:rsidR="00B33A3B" w:rsidRDefault="00B33A3B" w:rsidP="00E245AB">
      <w:pPr>
        <w:spacing w:after="0"/>
        <w:rPr>
          <w:rFonts w:ascii="Verdana" w:hAnsi="Verdana"/>
        </w:rPr>
      </w:pPr>
    </w:p>
    <w:p w14:paraId="3CE6B0F2" w14:textId="77777777" w:rsidR="00B33A3B" w:rsidRDefault="00B33A3B" w:rsidP="00E245AB">
      <w:pPr>
        <w:spacing w:after="0"/>
        <w:rPr>
          <w:rFonts w:ascii="Verdana" w:hAnsi="Verdana"/>
        </w:rPr>
      </w:pPr>
    </w:p>
    <w:p w14:paraId="3742B814" w14:textId="77777777" w:rsidR="00B33A3B" w:rsidRDefault="00B33A3B" w:rsidP="00E245AB">
      <w:pPr>
        <w:spacing w:after="0"/>
        <w:rPr>
          <w:rFonts w:ascii="Verdana" w:hAnsi="Verdana"/>
        </w:rPr>
      </w:pPr>
    </w:p>
    <w:p w14:paraId="379F2658" w14:textId="77777777" w:rsidR="00B33A3B" w:rsidRDefault="00B33A3B" w:rsidP="00E245AB">
      <w:pPr>
        <w:spacing w:after="0"/>
        <w:rPr>
          <w:rFonts w:ascii="Verdana" w:hAnsi="Verdana"/>
        </w:rPr>
      </w:pPr>
    </w:p>
    <w:p w14:paraId="5364CF9D" w14:textId="77777777" w:rsidR="00B33A3B" w:rsidRDefault="00B33A3B" w:rsidP="00E245AB">
      <w:pPr>
        <w:spacing w:after="0"/>
        <w:rPr>
          <w:rFonts w:ascii="Verdana" w:hAnsi="Verdana"/>
        </w:rPr>
      </w:pPr>
    </w:p>
    <w:p w14:paraId="399E1C02" w14:textId="77777777" w:rsidR="00B33A3B" w:rsidRDefault="00B33A3B" w:rsidP="00E245AB">
      <w:pPr>
        <w:spacing w:after="0"/>
        <w:rPr>
          <w:rFonts w:ascii="Verdana" w:hAnsi="Verdana"/>
        </w:rPr>
      </w:pPr>
    </w:p>
    <w:p w14:paraId="3CE7A729" w14:textId="77777777" w:rsidR="00B33A3B" w:rsidRDefault="00B33A3B" w:rsidP="00E245AB">
      <w:pPr>
        <w:spacing w:after="0"/>
        <w:rPr>
          <w:rFonts w:ascii="Verdana" w:hAnsi="Verdana"/>
        </w:rPr>
      </w:pPr>
    </w:p>
    <w:p w14:paraId="33AB718A" w14:textId="77777777" w:rsidR="00B33A3B" w:rsidRDefault="00B33A3B" w:rsidP="00E245AB">
      <w:pPr>
        <w:spacing w:after="0"/>
        <w:rPr>
          <w:rFonts w:ascii="Verdana" w:hAnsi="Verdana"/>
        </w:rPr>
      </w:pPr>
    </w:p>
    <w:p w14:paraId="5FC130AD" w14:textId="77777777" w:rsidR="00B33A3B" w:rsidRDefault="00B33A3B" w:rsidP="00E245AB">
      <w:pPr>
        <w:spacing w:after="0"/>
        <w:rPr>
          <w:rFonts w:ascii="Verdana" w:hAnsi="Verdana"/>
        </w:rPr>
      </w:pPr>
    </w:p>
    <w:p w14:paraId="5AA599C1" w14:textId="77777777" w:rsidR="00B33A3B" w:rsidRDefault="00B33A3B" w:rsidP="00E245AB">
      <w:pPr>
        <w:spacing w:after="0"/>
        <w:rPr>
          <w:rFonts w:ascii="Verdana" w:hAnsi="Verdana"/>
        </w:rPr>
      </w:pPr>
    </w:p>
    <w:p w14:paraId="09C721DA" w14:textId="77777777" w:rsidR="00B33A3B" w:rsidRDefault="00B33A3B" w:rsidP="00E245AB">
      <w:pPr>
        <w:spacing w:after="0"/>
        <w:rPr>
          <w:rFonts w:ascii="Verdana" w:hAnsi="Verdana"/>
        </w:rPr>
      </w:pPr>
    </w:p>
    <w:p w14:paraId="067C84F6" w14:textId="77777777" w:rsidR="00B33A3B" w:rsidRDefault="00B33A3B" w:rsidP="00E245AB">
      <w:pPr>
        <w:spacing w:after="0"/>
        <w:rPr>
          <w:rFonts w:ascii="Verdana" w:hAnsi="Verdana"/>
        </w:rPr>
      </w:pPr>
    </w:p>
    <w:p w14:paraId="59B4B968" w14:textId="77777777" w:rsidR="00B33A3B" w:rsidRDefault="00B33A3B" w:rsidP="00E245AB">
      <w:pPr>
        <w:spacing w:after="0"/>
        <w:rPr>
          <w:rFonts w:ascii="Verdana" w:hAnsi="Verdana"/>
        </w:rPr>
      </w:pPr>
    </w:p>
    <w:p w14:paraId="0FDA7486" w14:textId="77777777" w:rsidR="00B33A3B" w:rsidRDefault="00B33A3B" w:rsidP="00E245AB">
      <w:pPr>
        <w:spacing w:after="0"/>
        <w:rPr>
          <w:rFonts w:ascii="Verdana" w:hAnsi="Verdana"/>
        </w:rPr>
      </w:pPr>
    </w:p>
    <w:p w14:paraId="40A1BF4E" w14:textId="77777777" w:rsidR="00B33A3B" w:rsidRDefault="00B33A3B" w:rsidP="00E245AB">
      <w:pPr>
        <w:spacing w:after="0"/>
        <w:rPr>
          <w:rFonts w:ascii="Verdana" w:hAnsi="Verdana"/>
        </w:rPr>
      </w:pPr>
    </w:p>
    <w:p w14:paraId="422B0121" w14:textId="77777777" w:rsidR="00B33A3B" w:rsidRDefault="00B33A3B" w:rsidP="00E245AB">
      <w:pPr>
        <w:spacing w:after="0"/>
        <w:rPr>
          <w:rFonts w:ascii="Verdana" w:hAnsi="Verdana"/>
        </w:rPr>
      </w:pPr>
    </w:p>
    <w:p w14:paraId="2C9DF176" w14:textId="77777777" w:rsidR="00B33A3B" w:rsidRDefault="00B33A3B" w:rsidP="00E245AB">
      <w:pPr>
        <w:spacing w:after="0"/>
        <w:rPr>
          <w:rFonts w:ascii="Verdana" w:hAnsi="Verdana"/>
        </w:rPr>
      </w:pPr>
    </w:p>
    <w:p w14:paraId="6C5F14F4" w14:textId="77777777" w:rsidR="00B33A3B" w:rsidRDefault="00B33A3B" w:rsidP="00E245AB">
      <w:pPr>
        <w:spacing w:after="0"/>
        <w:rPr>
          <w:rFonts w:ascii="Verdana" w:hAnsi="Verdana"/>
        </w:rPr>
      </w:pPr>
    </w:p>
    <w:p w14:paraId="3FE2184B" w14:textId="424501B3" w:rsidR="00E245AB" w:rsidRPr="0044528D" w:rsidRDefault="00E245AB" w:rsidP="00E245AB">
      <w:pPr>
        <w:spacing w:after="0"/>
        <w:rPr>
          <w:rFonts w:ascii="Verdana" w:hAnsi="Verdana"/>
        </w:rPr>
      </w:pPr>
      <w:r w:rsidRPr="0044528D">
        <w:rPr>
          <w:rFonts w:ascii="Verdana" w:hAnsi="Verdana"/>
        </w:rPr>
        <w:t xml:space="preserve">Bogotá D.C., </w:t>
      </w:r>
      <w:r w:rsidR="00891928" w:rsidRPr="0044528D">
        <w:rPr>
          <w:rFonts w:ascii="Verdana" w:hAnsi="Verdana"/>
        </w:rPr>
        <w:t>[Día] [</w:t>
      </w:r>
      <w:proofErr w:type="spellStart"/>
      <w:r w:rsidR="00891928" w:rsidRPr="0044528D">
        <w:rPr>
          <w:rFonts w:ascii="Verdana" w:hAnsi="Verdana"/>
        </w:rPr>
        <w:t>Mes</w:t>
      </w:r>
      <w:r w:rsidR="00E413EA">
        <w:rPr>
          <w:rFonts w:ascii="Verdana" w:hAnsi="Verdana"/>
        </w:rPr>
        <w:t>.</w:t>
      </w:r>
      <w:r w:rsidR="00891928" w:rsidRPr="0044528D">
        <w:rPr>
          <w:rFonts w:ascii="Verdana" w:hAnsi="Verdana"/>
        </w:rPr>
        <w:t>NombreCapitalizado</w:t>
      </w:r>
      <w:proofErr w:type="spellEnd"/>
      <w:r w:rsidR="00891928" w:rsidRPr="0044528D">
        <w:rPr>
          <w:rFonts w:ascii="Verdana" w:hAnsi="Verdana"/>
        </w:rPr>
        <w:t>] [Año]</w:t>
      </w:r>
      <w:r w:rsidR="00891928" w:rsidRPr="0044528D">
        <w:rPr>
          <w:rFonts w:ascii="Verdana" w:hAnsi="Verdana"/>
        </w:rPr>
        <w:tab/>
      </w:r>
    </w:p>
    <w:p w14:paraId="5FCADBF9" w14:textId="77777777" w:rsidR="00E245AB" w:rsidRPr="0044528D" w:rsidRDefault="00E245AB" w:rsidP="00E245AB">
      <w:pPr>
        <w:spacing w:after="0"/>
        <w:rPr>
          <w:rFonts w:ascii="Verdana" w:hAnsi="Verdana"/>
        </w:rPr>
      </w:pPr>
    </w:p>
    <w:p w14:paraId="243F120B" w14:textId="77777777" w:rsidR="00B90119" w:rsidRPr="00B90119" w:rsidRDefault="00B90119" w:rsidP="00B90119">
      <w:pPr>
        <w:spacing w:after="0" w:line="240" w:lineRule="auto"/>
        <w:jc w:val="both"/>
        <w:rPr>
          <w:rFonts w:ascii="Century Gothic" w:eastAsia="Calibri" w:hAnsi="Century Gothic" w:cs="Arial"/>
          <w:bCs/>
          <w:lang w:val="es-MX" w:eastAsia="es-ES_tradnl"/>
        </w:rPr>
      </w:pPr>
      <w:r w:rsidRPr="00B90119">
        <w:rPr>
          <w:rFonts w:ascii="Century Gothic" w:eastAsia="Calibri" w:hAnsi="Century Gothic" w:cs="Arial"/>
          <w:bCs/>
          <w:lang w:val="es-MX" w:eastAsia="es-ES_tradnl"/>
        </w:rPr>
        <w:t>Señora</w:t>
      </w:r>
    </w:p>
    <w:p w14:paraId="22A3E3D9" w14:textId="77777777" w:rsidR="00B90119" w:rsidRPr="00B90119" w:rsidRDefault="00B90119" w:rsidP="00B90119">
      <w:pPr>
        <w:spacing w:after="0" w:line="240" w:lineRule="auto"/>
        <w:rPr>
          <w:rFonts w:ascii="Century Gothic" w:eastAsia="Calibri" w:hAnsi="Century Gothic" w:cs="Arial"/>
          <w:b/>
          <w:lang w:eastAsia="es-ES_tradnl"/>
        </w:rPr>
      </w:pPr>
      <w:r w:rsidRPr="00B90119">
        <w:rPr>
          <w:rFonts w:ascii="Century Gothic" w:eastAsia="Calibri" w:hAnsi="Century Gothic" w:cs="Arial"/>
          <w:b/>
          <w:lang w:eastAsia="es-ES_tradnl"/>
        </w:rPr>
        <w:t>Angie Milena Ruiz Valencia</w:t>
      </w:r>
    </w:p>
    <w:p w14:paraId="0468C9FC" w14:textId="77777777" w:rsidR="00B90119" w:rsidRPr="00B90119" w:rsidRDefault="00000000" w:rsidP="00B90119">
      <w:pPr>
        <w:spacing w:after="0" w:line="240" w:lineRule="auto"/>
        <w:rPr>
          <w:rFonts w:ascii="Century Gothic" w:eastAsia="Calibri" w:hAnsi="Century Gothic" w:cs="Arial"/>
          <w:bCs/>
          <w:lang w:eastAsia="es-ES_tradnl"/>
        </w:rPr>
      </w:pPr>
      <w:hyperlink r:id="rId11" w:history="1">
        <w:r w:rsidR="00B90119" w:rsidRPr="00B90119">
          <w:rPr>
            <w:rFonts w:ascii="Century Gothic" w:eastAsia="Calibri" w:hAnsi="Century Gothic" w:cs="Arial"/>
            <w:bCs/>
            <w:color w:val="0563C1" w:themeColor="hyperlink"/>
            <w:u w:val="single"/>
            <w:lang w:eastAsia="es-ES_tradnl"/>
          </w:rPr>
          <w:t>abogadosruizgiraldo@hotmail.com</w:t>
        </w:r>
      </w:hyperlink>
      <w:r w:rsidR="00B90119" w:rsidRPr="00B90119">
        <w:rPr>
          <w:rFonts w:ascii="Century Gothic" w:eastAsia="Calibri" w:hAnsi="Century Gothic" w:cs="Arial"/>
          <w:bCs/>
          <w:lang w:eastAsia="es-ES_tradnl"/>
        </w:rPr>
        <w:t xml:space="preserve"> </w:t>
      </w:r>
    </w:p>
    <w:p w14:paraId="43198D55" w14:textId="77777777" w:rsidR="00B90119" w:rsidRPr="00B90119" w:rsidRDefault="00B90119" w:rsidP="00B90119">
      <w:pPr>
        <w:spacing w:after="0" w:line="240" w:lineRule="auto"/>
        <w:rPr>
          <w:rFonts w:ascii="Century Gothic" w:eastAsia="Calibri" w:hAnsi="Century Gothic" w:cs="Arial"/>
          <w:b/>
          <w:bCs/>
          <w:color w:val="000000"/>
          <w:lang w:val="es-ES_tradnl" w:eastAsia="es-ES_tradnl"/>
        </w:rPr>
      </w:pPr>
      <w:r w:rsidRPr="00B90119">
        <w:rPr>
          <w:rFonts w:ascii="Century Gothic" w:eastAsia="Calibri" w:hAnsi="Century Gothic" w:cs="Arial"/>
          <w:bCs/>
          <w:lang w:val="es-MX" w:eastAsia="es-ES_tradnl"/>
        </w:rPr>
        <w:t>Bogotá D.C</w:t>
      </w:r>
    </w:p>
    <w:p w14:paraId="7D6AE853" w14:textId="77777777" w:rsidR="00B90119" w:rsidRDefault="00B90119" w:rsidP="00B90119">
      <w:pPr>
        <w:spacing w:after="0" w:line="240" w:lineRule="auto"/>
        <w:rPr>
          <w:rFonts w:ascii="Century Gothic" w:eastAsia="Calibri" w:hAnsi="Century Gothic" w:cs="Arial"/>
          <w:b/>
          <w:bCs/>
          <w:color w:val="000000"/>
          <w:lang w:val="es-ES_tradnl" w:eastAsia="es-ES_tradnl"/>
        </w:rPr>
      </w:pPr>
    </w:p>
    <w:p w14:paraId="406E5C03" w14:textId="5F5D1440" w:rsidR="00281E32" w:rsidRPr="00B90119" w:rsidRDefault="00281E32" w:rsidP="00281E32">
      <w:pPr>
        <w:spacing w:after="0" w:line="240" w:lineRule="auto"/>
        <w:jc w:val="right"/>
        <w:rPr>
          <w:rFonts w:ascii="Century Gothic" w:eastAsia="Calibri" w:hAnsi="Century Gothic" w:cs="Arial"/>
          <w:b/>
          <w:bCs/>
          <w:color w:val="000000"/>
          <w:lang w:val="es-ES_tradnl" w:eastAsia="es-ES_tradnl"/>
        </w:rPr>
      </w:pPr>
      <w:r w:rsidRPr="00281E32">
        <w:rPr>
          <w:rFonts w:ascii="Century Gothic" w:eastAsia="Calibri" w:hAnsi="Century Gothic" w:cs="Arial"/>
          <w:b/>
          <w:bCs/>
          <w:color w:val="000000"/>
          <w:lang w:val="es-ES_tradnl" w:eastAsia="es-ES_tradnl"/>
        </w:rPr>
        <w:drawing>
          <wp:inline distT="0" distB="0" distL="0" distR="0" wp14:anchorId="10DED3F6" wp14:editId="4F764FBF">
            <wp:extent cx="3330229" cy="1074513"/>
            <wp:effectExtent l="0" t="0" r="3810" b="0"/>
            <wp:docPr id="15993731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373133" name=""/>
                    <pic:cNvPicPr/>
                  </pic:nvPicPr>
                  <pic:blipFill>
                    <a:blip r:embed="rId12"/>
                    <a:stretch>
                      <a:fillRect/>
                    </a:stretch>
                  </pic:blipFill>
                  <pic:spPr>
                    <a:xfrm>
                      <a:off x="0" y="0"/>
                      <a:ext cx="3330229" cy="1074513"/>
                    </a:xfrm>
                    <a:prstGeom prst="rect">
                      <a:avLst/>
                    </a:prstGeom>
                  </pic:spPr>
                </pic:pic>
              </a:graphicData>
            </a:graphic>
          </wp:inline>
        </w:drawing>
      </w: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B90119" w:rsidRPr="00B90119" w14:paraId="59656DD1" w14:textId="77777777" w:rsidTr="00912A82">
        <w:trPr>
          <w:trHeight w:val="884"/>
        </w:trPr>
        <w:tc>
          <w:tcPr>
            <w:tcW w:w="2689" w:type="dxa"/>
          </w:tcPr>
          <w:p w14:paraId="095FB68F" w14:textId="77777777" w:rsidR="00B90119" w:rsidRPr="00B90119" w:rsidRDefault="00B90119" w:rsidP="00B90119">
            <w:pPr>
              <w:jc w:val="both"/>
              <w:rPr>
                <w:rFonts w:ascii="Century Gothic" w:eastAsia="Calibri" w:hAnsi="Century Gothic" w:cs="Arial"/>
                <w:b/>
                <w:bCs/>
                <w:color w:val="7030A0"/>
                <w:lang w:val="es-ES_tradnl" w:eastAsia="es-ES_tradnl"/>
              </w:rPr>
            </w:pPr>
          </w:p>
        </w:tc>
        <w:tc>
          <w:tcPr>
            <w:tcW w:w="6242" w:type="dxa"/>
          </w:tcPr>
          <w:p w14:paraId="37EB4FE9" w14:textId="77777777" w:rsidR="00B90119" w:rsidRPr="00B90119" w:rsidRDefault="00B90119" w:rsidP="00B90119">
            <w:pPr>
              <w:jc w:val="both"/>
              <w:rPr>
                <w:rFonts w:ascii="Century Gothic" w:eastAsia="Calibri" w:hAnsi="Century Gothic" w:cs="Arial"/>
                <w:b/>
                <w:lang w:val="es-MX" w:eastAsia="es-ES_tradnl"/>
              </w:rPr>
            </w:pPr>
            <w:r w:rsidRPr="00B90119">
              <w:rPr>
                <w:rFonts w:ascii="Century Gothic" w:eastAsia="Calibri" w:hAnsi="Century Gothic" w:cs="Arial"/>
                <w:b/>
                <w:lang w:val="es-MX" w:eastAsia="es-ES_tradnl"/>
              </w:rPr>
              <w:t>Concepto C- 338 de 2024</w:t>
            </w:r>
          </w:p>
        </w:tc>
      </w:tr>
      <w:tr w:rsidR="00B90119" w:rsidRPr="00B90119" w14:paraId="65B13868" w14:textId="77777777" w:rsidTr="00912A82">
        <w:trPr>
          <w:trHeight w:val="884"/>
        </w:trPr>
        <w:tc>
          <w:tcPr>
            <w:tcW w:w="2689" w:type="dxa"/>
          </w:tcPr>
          <w:p w14:paraId="2332D267" w14:textId="77777777" w:rsidR="00B90119" w:rsidRPr="00B90119" w:rsidRDefault="00B90119" w:rsidP="00B90119">
            <w:pPr>
              <w:jc w:val="both"/>
              <w:rPr>
                <w:rFonts w:ascii="Century Gothic" w:eastAsia="Calibri" w:hAnsi="Century Gothic" w:cs="Arial"/>
                <w:bCs/>
                <w:lang w:val="es-MX" w:eastAsia="es-ES_tradnl"/>
              </w:rPr>
            </w:pPr>
            <w:r w:rsidRPr="00B90119">
              <w:rPr>
                <w:rFonts w:ascii="Century Gothic" w:eastAsia="Calibri" w:hAnsi="Century Gothic" w:cs="Arial"/>
                <w:bCs/>
                <w:lang w:val="es-MX" w:eastAsia="es-ES_tradnl"/>
              </w:rPr>
              <w:t xml:space="preserve">Temas:                   </w:t>
            </w:r>
          </w:p>
        </w:tc>
        <w:tc>
          <w:tcPr>
            <w:tcW w:w="6242" w:type="dxa"/>
          </w:tcPr>
          <w:p w14:paraId="39307B7F" w14:textId="62981E19" w:rsidR="005B158C" w:rsidRPr="00B90119" w:rsidRDefault="00B90119" w:rsidP="005B158C">
            <w:pPr>
              <w:spacing w:line="276" w:lineRule="auto"/>
              <w:jc w:val="both"/>
              <w:rPr>
                <w:rFonts w:ascii="Century Gothic" w:eastAsia="Times New Roman" w:hAnsi="Century Gothic" w:cs="Arial"/>
                <w:color w:val="000000"/>
                <w:lang w:eastAsia="es-CO"/>
              </w:rPr>
            </w:pPr>
            <w:r w:rsidRPr="00B90119">
              <w:rPr>
                <w:rFonts w:ascii="Century Gothic" w:eastAsia="Calibri" w:hAnsi="Century Gothic" w:cs="Arial"/>
                <w:bCs/>
                <w:lang w:eastAsia="es-ES_tradnl"/>
              </w:rPr>
              <w:t xml:space="preserve">LEY DE EMPRENDIMIENTO – Ley 2069 de 2020 – Vigencia / MIPYMES – Artículo 34 de la Ley 2069 de 2020 – artículo 5 del Decreto 1860 de 2021 </w:t>
            </w:r>
          </w:p>
          <w:p w14:paraId="7C4106DD" w14:textId="77777777" w:rsidR="00B90119" w:rsidRPr="00B90119" w:rsidRDefault="00B90119" w:rsidP="005B158C">
            <w:pPr>
              <w:spacing w:line="276" w:lineRule="auto"/>
              <w:jc w:val="both"/>
              <w:rPr>
                <w:rFonts w:ascii="Century Gothic" w:eastAsia="Calibri" w:hAnsi="Century Gothic" w:cs="Arial"/>
                <w:bCs/>
                <w:lang w:eastAsia="es-ES_tradnl"/>
              </w:rPr>
            </w:pPr>
          </w:p>
        </w:tc>
      </w:tr>
      <w:tr w:rsidR="00B90119" w:rsidRPr="00B90119" w14:paraId="37CED597" w14:textId="77777777" w:rsidTr="00912A82">
        <w:tc>
          <w:tcPr>
            <w:tcW w:w="2689" w:type="dxa"/>
          </w:tcPr>
          <w:p w14:paraId="5ACDCBD1" w14:textId="77777777" w:rsidR="00B90119" w:rsidRPr="00B90119" w:rsidRDefault="00B90119" w:rsidP="00B90119">
            <w:pPr>
              <w:jc w:val="both"/>
              <w:rPr>
                <w:rFonts w:ascii="Century Gothic" w:eastAsia="Calibri" w:hAnsi="Century Gothic" w:cs="Arial"/>
                <w:bCs/>
                <w:lang w:val="es-MX" w:eastAsia="es-ES_tradnl"/>
              </w:rPr>
            </w:pPr>
          </w:p>
        </w:tc>
        <w:tc>
          <w:tcPr>
            <w:tcW w:w="6242" w:type="dxa"/>
          </w:tcPr>
          <w:p w14:paraId="2410E931" w14:textId="77777777" w:rsidR="00B90119" w:rsidRPr="00B90119" w:rsidRDefault="00B90119" w:rsidP="00B90119">
            <w:pPr>
              <w:jc w:val="both"/>
              <w:rPr>
                <w:rFonts w:ascii="Century Gothic" w:eastAsia="Calibri" w:hAnsi="Century Gothic" w:cs="Arial"/>
                <w:bCs/>
                <w:lang w:val="es-MX" w:eastAsia="es-ES_tradnl"/>
              </w:rPr>
            </w:pPr>
            <w:r w:rsidRPr="00B90119">
              <w:rPr>
                <w:rFonts w:ascii="Century Gothic" w:eastAsia="Calibri" w:hAnsi="Century Gothic" w:cs="Arial"/>
                <w:bCs/>
                <w:lang w:val="es-MX" w:eastAsia="es-ES_tradnl"/>
              </w:rPr>
              <w:t xml:space="preserve">Respuesta a consulta con radicado No. </w:t>
            </w:r>
            <w:r w:rsidRPr="00B90119">
              <w:rPr>
                <w:rFonts w:ascii="Century Gothic" w:eastAsia="Calibri" w:hAnsi="Century Gothic" w:cs="Arial"/>
                <w:bCs/>
                <w:lang w:eastAsia="es-ES_tradnl"/>
              </w:rPr>
              <w:t>P20240715007175</w:t>
            </w:r>
          </w:p>
        </w:tc>
      </w:tr>
    </w:tbl>
    <w:p w14:paraId="2C345D2C" w14:textId="77777777" w:rsidR="00B90119" w:rsidRPr="00B90119" w:rsidRDefault="00B90119" w:rsidP="00B90119">
      <w:pPr>
        <w:spacing w:after="0" w:line="276" w:lineRule="auto"/>
        <w:jc w:val="both"/>
        <w:rPr>
          <w:rFonts w:ascii="Century Gothic" w:eastAsia="Calibri" w:hAnsi="Century Gothic" w:cs="Arial"/>
          <w:color w:val="000000"/>
          <w:lang w:val="es-ES_tradnl" w:eastAsia="es-ES_tradnl"/>
        </w:rPr>
      </w:pPr>
    </w:p>
    <w:p w14:paraId="6FE729F6" w14:textId="77777777" w:rsidR="00B90119" w:rsidRPr="00B90119" w:rsidRDefault="00B90119" w:rsidP="00B90119">
      <w:pPr>
        <w:spacing w:after="0" w:line="276" w:lineRule="auto"/>
        <w:jc w:val="both"/>
        <w:rPr>
          <w:rFonts w:ascii="Century Gothic" w:eastAsia="Calibri" w:hAnsi="Century Gothic" w:cs="Arial"/>
          <w:bCs/>
          <w:lang w:val="es-MX" w:eastAsia="es-ES_tradnl"/>
        </w:rPr>
      </w:pPr>
      <w:r w:rsidRPr="00B90119">
        <w:rPr>
          <w:rFonts w:ascii="Century Gothic" w:eastAsia="Calibri" w:hAnsi="Century Gothic" w:cs="Arial"/>
          <w:bCs/>
          <w:lang w:val="es-MX" w:eastAsia="es-ES_tradnl"/>
        </w:rPr>
        <w:t xml:space="preserve">Estimada señora Ruiz: </w:t>
      </w:r>
    </w:p>
    <w:p w14:paraId="1241BF6D" w14:textId="77777777" w:rsidR="00B90119" w:rsidRPr="00B90119" w:rsidRDefault="00B90119" w:rsidP="00B90119">
      <w:pPr>
        <w:tabs>
          <w:tab w:val="left" w:pos="3768"/>
        </w:tabs>
        <w:spacing w:after="0" w:line="276" w:lineRule="auto"/>
        <w:jc w:val="both"/>
        <w:rPr>
          <w:rFonts w:ascii="Century Gothic" w:eastAsia="Calibri" w:hAnsi="Century Gothic" w:cs="Arial"/>
          <w:color w:val="000000" w:themeColor="text1"/>
          <w:lang w:val="es-ES" w:eastAsia="es-ES"/>
        </w:rPr>
      </w:pPr>
      <w:r w:rsidRPr="00B90119">
        <w:rPr>
          <w:rFonts w:ascii="Century Gothic" w:eastAsia="Calibri" w:hAnsi="Century Gothic" w:cs="Arial"/>
          <w:color w:val="000000" w:themeColor="text1"/>
          <w:lang w:val="es-ES" w:eastAsia="es-ES"/>
        </w:rPr>
        <w:tab/>
      </w:r>
    </w:p>
    <w:p w14:paraId="7F597237" w14:textId="77777777" w:rsidR="00B90119" w:rsidRPr="00B90119" w:rsidRDefault="00B90119" w:rsidP="00B90119">
      <w:pPr>
        <w:spacing w:after="0" w:line="276" w:lineRule="auto"/>
        <w:jc w:val="both"/>
        <w:rPr>
          <w:rFonts w:ascii="Century Gothic" w:eastAsia="Calibri" w:hAnsi="Century Gothic" w:cs="Arial"/>
          <w:lang w:val="es-ES" w:eastAsia="es-ES"/>
        </w:rPr>
      </w:pPr>
      <w:r w:rsidRPr="00B90119">
        <w:rPr>
          <w:rFonts w:ascii="Century Gothic" w:eastAsia="Calibri" w:hAnsi="Century Gothic" w:cs="Arial"/>
          <w:color w:val="000000" w:themeColor="text1"/>
          <w:lang w:val="es-ES" w:eastAsia="es-ES"/>
        </w:rPr>
        <w:t>En ejercicio de la competencia otorgada por los artículos 3, numeral 5º, y 11, numeral 8º, del Decreto Ley 4170 de 2011,</w:t>
      </w:r>
      <w:r w:rsidRPr="00B90119">
        <w:rPr>
          <w:rFonts w:ascii="Century Gothic" w:eastAsia="Arial MT" w:hAnsi="Century Gothic" w:cs="Arial MT"/>
          <w:lang w:val="es-ES" w:eastAsia="es-ES"/>
        </w:rPr>
        <w:t xml:space="preserve"> </w:t>
      </w:r>
      <w:r w:rsidRPr="00B90119">
        <w:rPr>
          <w:rFonts w:ascii="Century Gothic" w:hAnsi="Century Gothic" w:cs="Arial"/>
        </w:rPr>
        <w:t xml:space="preserve">así como lo establecido en el artículo 4 de la Resolución 1707 de 2018 expedida por esta Entidad, </w:t>
      </w:r>
      <w:r w:rsidRPr="00B90119">
        <w:rPr>
          <w:rFonts w:ascii="Century Gothic" w:eastAsia="Calibri" w:hAnsi="Century Gothic" w:cs="Arial"/>
          <w:lang w:val="es-ES" w:eastAsia="es-ES"/>
        </w:rPr>
        <w:t xml:space="preserve">la Agencia Nacional de Contratación Pública – Colombia Compra Eficiente– responde su solicitud de consulta de fecha 15 de julio de 2024, en la cual manifiesta lo siguiente: </w:t>
      </w:r>
    </w:p>
    <w:p w14:paraId="257F9BF9" w14:textId="77777777" w:rsidR="00B90119" w:rsidRPr="00B90119" w:rsidRDefault="00B90119" w:rsidP="00B90119">
      <w:pPr>
        <w:tabs>
          <w:tab w:val="left" w:pos="142"/>
          <w:tab w:val="left" w:pos="284"/>
        </w:tabs>
        <w:spacing w:line="276" w:lineRule="auto"/>
        <w:contextualSpacing/>
        <w:jc w:val="both"/>
        <w:rPr>
          <w:rFonts w:ascii="Century Gothic" w:eastAsia="Century Gothic" w:hAnsi="Century Gothic" w:cs="Century Gothic"/>
          <w:b/>
          <w:bCs/>
          <w:sz w:val="20"/>
          <w:szCs w:val="20"/>
          <w:lang w:val="es-ES"/>
        </w:rPr>
      </w:pPr>
    </w:p>
    <w:p w14:paraId="2B8F59D4" w14:textId="77777777" w:rsidR="00B90119" w:rsidRPr="00B90119" w:rsidRDefault="00B90119" w:rsidP="00B90119">
      <w:pPr>
        <w:ind w:left="709" w:right="616"/>
        <w:jc w:val="both"/>
        <w:rPr>
          <w:rFonts w:ascii="Century Gothic" w:eastAsia="Century Gothic" w:hAnsi="Century Gothic" w:cs="Century Gothic"/>
          <w:sz w:val="20"/>
          <w:szCs w:val="20"/>
        </w:rPr>
      </w:pPr>
      <w:bookmarkStart w:id="1" w:name="_Hlk95313578"/>
      <w:r w:rsidRPr="00B90119">
        <w:rPr>
          <w:rFonts w:ascii="Century Gothic" w:eastAsia="Century Gothic" w:hAnsi="Century Gothic" w:cs="Century Gothic"/>
          <w:sz w:val="20"/>
          <w:szCs w:val="20"/>
          <w:lang w:val="es-ES"/>
        </w:rPr>
        <w:t>“</w:t>
      </w:r>
      <w:bookmarkEnd w:id="1"/>
      <w:r w:rsidRPr="00B90119">
        <w:rPr>
          <w:rFonts w:ascii="Century Gothic" w:eastAsia="Century Gothic" w:hAnsi="Century Gothic" w:cs="Century Gothic"/>
          <w:sz w:val="20"/>
          <w:szCs w:val="20"/>
        </w:rPr>
        <w:t>[…] ¿debe existir limitación a Mipymes a procesos de contratación que son sin erogación para el municipio, y no cuentan con un CDP?</w:t>
      </w:r>
    </w:p>
    <w:p w14:paraId="3575E099" w14:textId="77777777" w:rsidR="00B90119" w:rsidRPr="00B90119" w:rsidRDefault="00B90119" w:rsidP="00B90119">
      <w:pPr>
        <w:ind w:left="709" w:right="616"/>
        <w:jc w:val="both"/>
        <w:rPr>
          <w:rFonts w:ascii="Century Gothic" w:eastAsia="Century Gothic" w:hAnsi="Century Gothic" w:cs="Century Gothic"/>
          <w:sz w:val="20"/>
          <w:szCs w:val="20"/>
        </w:rPr>
      </w:pPr>
      <w:r w:rsidRPr="00B90119">
        <w:rPr>
          <w:rFonts w:ascii="Century Gothic" w:eastAsia="Century Gothic" w:hAnsi="Century Gothic" w:cs="Century Gothic"/>
          <w:sz w:val="20"/>
          <w:szCs w:val="20"/>
        </w:rPr>
        <w:t>Puede limitarse un proceso de contratación cuando su cuantía es a CERO PESOS”</w:t>
      </w:r>
      <w:r w:rsidRPr="00B90119">
        <w:rPr>
          <w:rFonts w:ascii="Century Gothic" w:eastAsia="Century Gothic" w:hAnsi="Century Gothic" w:cs="Century Gothic"/>
          <w:sz w:val="20"/>
          <w:szCs w:val="20"/>
          <w:lang w:val="es-ES"/>
        </w:rPr>
        <w:t xml:space="preserve"> [sic]</w:t>
      </w:r>
    </w:p>
    <w:p w14:paraId="06362B79" w14:textId="77777777" w:rsidR="00B90119" w:rsidRPr="00B90119" w:rsidRDefault="00B90119" w:rsidP="00B90119">
      <w:pPr>
        <w:tabs>
          <w:tab w:val="left" w:pos="142"/>
          <w:tab w:val="left" w:pos="284"/>
        </w:tabs>
        <w:spacing w:line="276" w:lineRule="auto"/>
        <w:contextualSpacing/>
        <w:jc w:val="both"/>
        <w:rPr>
          <w:rFonts w:ascii="Century Gothic" w:eastAsia="Century Gothic" w:hAnsi="Century Gothic" w:cs="Century Gothic"/>
          <w:b/>
          <w:bCs/>
          <w:lang w:val="es-ES"/>
        </w:rPr>
      </w:pPr>
    </w:p>
    <w:p w14:paraId="672E64EC" w14:textId="77777777" w:rsidR="00B90119" w:rsidRPr="00B90119" w:rsidRDefault="00B90119" w:rsidP="00B90119">
      <w:pPr>
        <w:spacing w:after="120" w:line="276" w:lineRule="auto"/>
        <w:ind w:firstLine="709"/>
        <w:jc w:val="both"/>
        <w:rPr>
          <w:rFonts w:ascii="Century Gothic" w:eastAsia="Calibri" w:hAnsi="Century Gothic" w:cs="Arial"/>
          <w:color w:val="000000"/>
          <w:lang w:val="es-ES_tradnl" w:eastAsia="es-ES_tradnl"/>
        </w:rPr>
      </w:pPr>
      <w:r w:rsidRPr="00B90119">
        <w:rPr>
          <w:rFonts w:ascii="Century Gothic" w:eastAsia="Calibri" w:hAnsi="Century Gothic"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B90119">
        <w:rPr>
          <w:rFonts w:ascii="Century Gothic" w:eastAsia="Calibri" w:hAnsi="Century Gothic" w:cs="Arial"/>
          <w:color w:val="000000"/>
          <w:lang w:val="es-ES"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90119">
        <w:rPr>
          <w:rFonts w:ascii="Century Gothic" w:eastAsia="Calibri" w:hAnsi="Century Gothic" w:cs="Arial"/>
          <w:color w:val="000000"/>
          <w:lang w:val="es-ES_tradnl" w:eastAsia="es-ES_tradnl"/>
        </w:rPr>
        <w:tab/>
      </w:r>
    </w:p>
    <w:p w14:paraId="04254BAA" w14:textId="34058404" w:rsidR="00B90119" w:rsidRPr="00B90119" w:rsidRDefault="00B90119" w:rsidP="00520E27">
      <w:pPr>
        <w:spacing w:after="0" w:line="276" w:lineRule="auto"/>
        <w:ind w:firstLine="709"/>
        <w:jc w:val="both"/>
        <w:rPr>
          <w:rFonts w:ascii="Century Gothic" w:eastAsia="Calibri" w:hAnsi="Century Gothic" w:cs="Arial"/>
          <w:color w:val="000000"/>
          <w:lang w:val="es-ES" w:eastAsia="es-ES"/>
        </w:rPr>
      </w:pPr>
      <w:r w:rsidRPr="00B90119">
        <w:rPr>
          <w:rFonts w:ascii="Century Gothic" w:eastAsia="Calibri" w:hAnsi="Century Gothic"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B90119">
        <w:rPr>
          <w:rFonts w:ascii="Century Gothic" w:eastAsia="Calibri" w:hAnsi="Century Gothic" w:cs="Arial"/>
          <w:color w:val="7030A0"/>
          <w:lang w:val="es-ES" w:eastAsia="es-ES"/>
        </w:rPr>
        <w:t xml:space="preserve"> </w:t>
      </w:r>
      <w:r w:rsidRPr="00B90119">
        <w:rPr>
          <w:rFonts w:ascii="Century Gothic" w:eastAsia="Calibri" w:hAnsi="Century Gothic" w:cs="Arial"/>
          <w:color w:val="000000"/>
          <w:lang w:val="es-ES" w:eastAsia="es-ES"/>
        </w:rPr>
        <w:t>problema</w:t>
      </w:r>
      <w:r w:rsidRPr="00B90119">
        <w:rPr>
          <w:rFonts w:ascii="Century Gothic" w:eastAsia="Calibri" w:hAnsi="Century Gothic" w:cs="Arial"/>
          <w:color w:val="7030A0"/>
          <w:lang w:val="es-ES" w:eastAsia="es-ES"/>
        </w:rPr>
        <w:t xml:space="preserve"> </w:t>
      </w:r>
      <w:r w:rsidRPr="00B90119">
        <w:rPr>
          <w:rFonts w:ascii="Century Gothic" w:eastAsia="Calibri" w:hAnsi="Century Gothic" w:cs="Arial"/>
          <w:color w:val="000000"/>
          <w:lang w:val="es-ES" w:eastAsia="es-ES"/>
        </w:rPr>
        <w:t>jurídico</w:t>
      </w:r>
      <w:r w:rsidRPr="00B90119">
        <w:rPr>
          <w:rFonts w:ascii="Century Gothic" w:eastAsia="Calibri" w:hAnsi="Century Gothic" w:cs="Arial"/>
          <w:color w:val="7030A0"/>
          <w:lang w:val="es-ES" w:eastAsia="es-ES"/>
        </w:rPr>
        <w:t xml:space="preserve"> </w:t>
      </w:r>
      <w:r w:rsidRPr="00B90119">
        <w:rPr>
          <w:rFonts w:ascii="Century Gothic" w:eastAsia="Calibri" w:hAnsi="Century Gothic" w:cs="Arial"/>
          <w:color w:val="000000"/>
          <w:lang w:val="es-ES" w:eastAsia="es-ES"/>
        </w:rPr>
        <w:t xml:space="preserve">de su consulta. </w:t>
      </w:r>
    </w:p>
    <w:p w14:paraId="25D45FF2" w14:textId="77777777" w:rsidR="00B90119" w:rsidRPr="00B90119" w:rsidRDefault="00B90119" w:rsidP="00B90119">
      <w:pPr>
        <w:spacing w:after="0" w:line="276" w:lineRule="auto"/>
        <w:ind w:firstLine="709"/>
        <w:jc w:val="both"/>
        <w:rPr>
          <w:rFonts w:ascii="Century Gothic" w:eastAsia="Calibri" w:hAnsi="Century Gothic" w:cs="Arial"/>
          <w:color w:val="000000"/>
          <w:lang w:val="es-ES" w:eastAsia="es-ES"/>
        </w:rPr>
      </w:pPr>
    </w:p>
    <w:p w14:paraId="5F71A0AD" w14:textId="77777777" w:rsidR="00B90119" w:rsidRPr="00B90119" w:rsidRDefault="00B90119" w:rsidP="00B90119">
      <w:pPr>
        <w:numPr>
          <w:ilvl w:val="0"/>
          <w:numId w:val="16"/>
        </w:numPr>
        <w:tabs>
          <w:tab w:val="left" w:pos="142"/>
          <w:tab w:val="left" w:pos="284"/>
        </w:tabs>
        <w:spacing w:after="0" w:line="276" w:lineRule="auto"/>
        <w:ind w:left="0" w:firstLine="0"/>
        <w:contextualSpacing/>
        <w:jc w:val="both"/>
        <w:rPr>
          <w:rFonts w:ascii="Century Gothic" w:eastAsia="Century Gothic" w:hAnsi="Century Gothic" w:cs="Century Gothic"/>
          <w:b/>
          <w:bCs/>
          <w:lang w:val="es-ES"/>
        </w:rPr>
      </w:pPr>
      <w:r w:rsidRPr="00B90119">
        <w:rPr>
          <w:rFonts w:ascii="Century Gothic" w:eastAsia="Century Gothic" w:hAnsi="Century Gothic" w:cs="Century Gothic"/>
          <w:b/>
          <w:bCs/>
          <w:lang w:val="es-ES"/>
        </w:rPr>
        <w:t>Problema planteado:</w:t>
      </w:r>
    </w:p>
    <w:p w14:paraId="252DFDEB" w14:textId="77777777" w:rsidR="00B90119" w:rsidRPr="00B90119" w:rsidRDefault="00B90119" w:rsidP="00B90119">
      <w:pPr>
        <w:tabs>
          <w:tab w:val="left" w:pos="426"/>
        </w:tabs>
        <w:spacing w:after="0" w:line="276" w:lineRule="auto"/>
        <w:jc w:val="both"/>
        <w:rPr>
          <w:rFonts w:ascii="Century Gothic" w:eastAsia="Century Gothic" w:hAnsi="Century Gothic" w:cs="Century Gothic"/>
          <w:lang w:val="es-ES"/>
        </w:rPr>
      </w:pPr>
    </w:p>
    <w:p w14:paraId="7072D784" w14:textId="77777777" w:rsidR="00B90119" w:rsidRPr="00B90119" w:rsidRDefault="00B90119" w:rsidP="00B90119">
      <w:pPr>
        <w:tabs>
          <w:tab w:val="left" w:pos="426"/>
        </w:tabs>
        <w:spacing w:after="0" w:line="276" w:lineRule="auto"/>
        <w:jc w:val="both"/>
        <w:rPr>
          <w:rFonts w:ascii="Century Gothic" w:eastAsia="Century Gothic" w:hAnsi="Century Gothic" w:cs="Century Gothic"/>
          <w:lang w:val="es-ES"/>
        </w:rPr>
      </w:pPr>
    </w:p>
    <w:p w14:paraId="276620A6" w14:textId="206AD4FE" w:rsidR="00B90119" w:rsidRPr="00B90119" w:rsidRDefault="00B90119" w:rsidP="00520E27">
      <w:pPr>
        <w:spacing w:after="0" w:line="240" w:lineRule="auto"/>
        <w:ind w:left="709" w:right="709"/>
        <w:jc w:val="both"/>
        <w:rPr>
          <w:rFonts w:ascii="Century Gothic" w:eastAsia="Century Gothic" w:hAnsi="Century Gothic" w:cs="Century Gothic"/>
        </w:rPr>
      </w:pPr>
      <w:r w:rsidRPr="00B90119">
        <w:rPr>
          <w:rFonts w:ascii="Century Gothic" w:eastAsia="Century Gothic" w:hAnsi="Century Gothic" w:cs="Century Gothic"/>
        </w:rPr>
        <w:t xml:space="preserve">De acuerdo con el contenido de su solicitud, esta Agencia resolverá los siguientes problemas jurídico: </w:t>
      </w:r>
      <w:r w:rsidR="004C3162">
        <w:rPr>
          <w:rFonts w:ascii="Century Gothic" w:eastAsia="Century Gothic" w:hAnsi="Century Gothic" w:cs="Century Gothic"/>
        </w:rPr>
        <w:t>¿</w:t>
      </w:r>
      <w:r w:rsidRPr="00B90119">
        <w:rPr>
          <w:rFonts w:ascii="Century Gothic" w:eastAsia="Times New Roman" w:hAnsi="Century Gothic" w:cs="Arial"/>
          <w:color w:val="000000"/>
          <w:lang w:eastAsia="es-CO"/>
        </w:rPr>
        <w:t>Es posible limitar un Proceso de Contratación cuando la cuantía de este corresponde a Cero (0) pesos</w:t>
      </w:r>
      <w:r w:rsidRPr="00B90119">
        <w:rPr>
          <w:rFonts w:ascii="Century Gothic" w:eastAsia="Century Gothic" w:hAnsi="Century Gothic" w:cs="Century Gothic"/>
        </w:rPr>
        <w:t>?</w:t>
      </w:r>
    </w:p>
    <w:p w14:paraId="13FF404C" w14:textId="77777777" w:rsidR="00B90119" w:rsidRPr="00B90119" w:rsidRDefault="00B90119" w:rsidP="00B90119">
      <w:pPr>
        <w:spacing w:after="0" w:line="276" w:lineRule="auto"/>
        <w:jc w:val="both"/>
        <w:rPr>
          <w:rFonts w:ascii="Century Gothic" w:eastAsia="Century Gothic" w:hAnsi="Century Gothic" w:cs="Century Gothic"/>
        </w:rPr>
      </w:pPr>
    </w:p>
    <w:p w14:paraId="42525BBB" w14:textId="77777777" w:rsidR="00B90119" w:rsidRPr="00B90119" w:rsidRDefault="00B90119" w:rsidP="00B90119">
      <w:pPr>
        <w:numPr>
          <w:ilvl w:val="0"/>
          <w:numId w:val="16"/>
        </w:numPr>
        <w:tabs>
          <w:tab w:val="left" w:pos="142"/>
          <w:tab w:val="left" w:pos="284"/>
        </w:tabs>
        <w:spacing w:after="0" w:line="276" w:lineRule="auto"/>
        <w:ind w:left="0" w:firstLine="0"/>
        <w:jc w:val="both"/>
        <w:rPr>
          <w:rFonts w:ascii="Century Gothic" w:eastAsia="Century Gothic" w:hAnsi="Century Gothic" w:cs="Century Gothic"/>
          <w:b/>
          <w:bCs/>
          <w:lang w:val="es-ES"/>
        </w:rPr>
      </w:pPr>
      <w:r w:rsidRPr="00B90119">
        <w:rPr>
          <w:rFonts w:ascii="Century Gothic" w:eastAsia="Century Gothic" w:hAnsi="Century Gothic" w:cs="Century Gothic"/>
          <w:b/>
          <w:bCs/>
          <w:lang w:val="es-ES"/>
        </w:rPr>
        <w:t>Respuesta:</w:t>
      </w:r>
    </w:p>
    <w:p w14:paraId="6C95F0A5" w14:textId="77777777" w:rsidR="00B90119" w:rsidRPr="00B90119" w:rsidRDefault="00B90119" w:rsidP="00B90119">
      <w:pPr>
        <w:tabs>
          <w:tab w:val="left" w:pos="142"/>
          <w:tab w:val="left" w:pos="284"/>
        </w:tabs>
        <w:spacing w:after="0" w:line="276" w:lineRule="auto"/>
        <w:jc w:val="both"/>
        <w:rPr>
          <w:rFonts w:ascii="Century Gothic" w:eastAsia="Century Gothic" w:hAnsi="Century Gothic" w:cs="Century Gothic"/>
          <w:b/>
          <w:bCs/>
          <w:lang w:val="es-ES"/>
        </w:rPr>
      </w:pPr>
    </w:p>
    <w:p w14:paraId="4F3DD05E" w14:textId="77777777" w:rsidR="00B90119" w:rsidRPr="00B90119" w:rsidRDefault="00B90119" w:rsidP="00B90119">
      <w:pPr>
        <w:tabs>
          <w:tab w:val="left" w:pos="142"/>
          <w:tab w:val="left" w:pos="284"/>
        </w:tabs>
        <w:spacing w:after="0" w:line="276" w:lineRule="auto"/>
        <w:jc w:val="both"/>
        <w:rPr>
          <w:rFonts w:ascii="Century Gothic" w:eastAsia="Century Gothic" w:hAnsi="Century Gothic"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90119" w:rsidRPr="00B90119" w14:paraId="2B234D65" w14:textId="77777777" w:rsidTr="00912A82">
        <w:tc>
          <w:tcPr>
            <w:tcW w:w="8828" w:type="dxa"/>
            <w:shd w:val="clear" w:color="auto" w:fill="auto"/>
          </w:tcPr>
          <w:p w14:paraId="0B1304F2" w14:textId="77777777" w:rsidR="005B158C" w:rsidRDefault="005B158C" w:rsidP="00B90119">
            <w:pPr>
              <w:spacing w:line="276" w:lineRule="auto"/>
              <w:contextualSpacing/>
              <w:jc w:val="both"/>
              <w:rPr>
                <w:rFonts w:ascii="Century Gothic" w:hAnsi="Century Gothic" w:cs="Arial"/>
                <w:color w:val="000000"/>
              </w:rPr>
            </w:pPr>
          </w:p>
          <w:p w14:paraId="42106A62" w14:textId="248FFEB6" w:rsidR="005B158C" w:rsidRDefault="005B158C" w:rsidP="00B90119">
            <w:pPr>
              <w:spacing w:line="276" w:lineRule="auto"/>
              <w:contextualSpacing/>
              <w:jc w:val="both"/>
              <w:rPr>
                <w:rFonts w:ascii="Century Gothic" w:hAnsi="Century Gothic" w:cs="Arial"/>
                <w:color w:val="000000"/>
              </w:rPr>
            </w:pPr>
            <w:r>
              <w:rPr>
                <w:rFonts w:ascii="Century Gothic" w:hAnsi="Century Gothic" w:cs="Arial"/>
                <w:color w:val="000000"/>
              </w:rPr>
              <w:t xml:space="preserve">Al respecto,  el artículo 2.2.1.2.4.2.1 del Decreto 1082 de 2015, estableció que las </w:t>
            </w:r>
            <w:bookmarkStart w:id="2" w:name="2.2.1.2.4.2.1"/>
            <w:bookmarkEnd w:id="2"/>
            <w:r>
              <w:rPr>
                <w:rFonts w:ascii="Century Gothic" w:hAnsi="Century Gothic" w:cs="Arial"/>
                <w:color w:val="000000"/>
              </w:rPr>
              <w:t>E</w:t>
            </w:r>
            <w:r w:rsidRPr="005B158C">
              <w:rPr>
                <w:rFonts w:ascii="Century Gothic" w:hAnsi="Century Gothic" w:cs="Arial"/>
                <w:color w:val="000000"/>
              </w:rPr>
              <w:t>ntidad</w:t>
            </w:r>
            <w:r w:rsidR="005B463A">
              <w:rPr>
                <w:rFonts w:ascii="Century Gothic" w:hAnsi="Century Gothic" w:cs="Arial"/>
                <w:color w:val="000000"/>
              </w:rPr>
              <w:t>es</w:t>
            </w:r>
            <w:r w:rsidRPr="005B158C">
              <w:rPr>
                <w:rFonts w:ascii="Century Gothic" w:hAnsi="Century Gothic" w:cs="Arial"/>
                <w:color w:val="000000"/>
              </w:rPr>
              <w:t xml:space="preserve"> Estatal</w:t>
            </w:r>
            <w:r w:rsidR="005B463A">
              <w:rPr>
                <w:rFonts w:ascii="Century Gothic" w:hAnsi="Century Gothic" w:cs="Arial"/>
                <w:color w:val="000000"/>
              </w:rPr>
              <w:t>es</w:t>
            </w:r>
            <w:r w:rsidRPr="005B158C">
              <w:rPr>
                <w:rFonts w:ascii="Century Gothic" w:hAnsi="Century Gothic" w:cs="Arial"/>
                <w:color w:val="000000"/>
              </w:rPr>
              <w:t xml:space="preserve"> </w:t>
            </w:r>
            <w:r>
              <w:rPr>
                <w:rFonts w:ascii="Century Gothic" w:hAnsi="Century Gothic" w:cs="Arial"/>
                <w:color w:val="000000"/>
              </w:rPr>
              <w:t>“</w:t>
            </w:r>
            <w:r w:rsidRPr="005B158C">
              <w:rPr>
                <w:rFonts w:ascii="Century Gothic" w:hAnsi="Century Gothic" w:cs="Arial"/>
                <w:color w:val="000000"/>
              </w:rPr>
              <w:t>debe</w:t>
            </w:r>
            <w:r w:rsidR="005B463A">
              <w:rPr>
                <w:rFonts w:ascii="Century Gothic" w:hAnsi="Century Gothic" w:cs="Arial"/>
                <w:color w:val="000000"/>
              </w:rPr>
              <w:t>n</w:t>
            </w:r>
            <w:r w:rsidRPr="005B158C">
              <w:rPr>
                <w:rFonts w:ascii="Century Gothic" w:hAnsi="Century Gothic" w:cs="Arial"/>
                <w:color w:val="000000"/>
              </w:rPr>
              <w:t xml:space="preserve"> establecer en los pliegos de condiciones para la contratación, dentro de los criterios de calificación de las propuestas, los incentivos para los bienes, servicios y oferentes nacionales o aquellos considerados nacionales con ocasión de la existencia de trato nacional.</w:t>
            </w:r>
            <w:r>
              <w:rPr>
                <w:rFonts w:ascii="Century Gothic" w:hAnsi="Century Gothic" w:cs="Arial"/>
                <w:color w:val="000000"/>
              </w:rPr>
              <w:t xml:space="preserve"> (…)”; en ese sentido, el artículo 2.2.1.2.4.2.2 de la norma ibidem señala de forma taxativa los requisitos que deben cumplir las Entidades Estatales para establecer una limitación a favor de las Mipymes dentro del proceso de contratación .</w:t>
            </w:r>
          </w:p>
          <w:p w14:paraId="4EDA017F" w14:textId="77777777" w:rsidR="005B158C" w:rsidRDefault="005B158C" w:rsidP="00B90119">
            <w:pPr>
              <w:spacing w:line="276" w:lineRule="auto"/>
              <w:contextualSpacing/>
              <w:jc w:val="both"/>
              <w:rPr>
                <w:rFonts w:ascii="Century Gothic" w:hAnsi="Century Gothic" w:cs="Arial"/>
                <w:color w:val="000000"/>
              </w:rPr>
            </w:pPr>
          </w:p>
          <w:p w14:paraId="1516B7FB" w14:textId="4AF7EDD5" w:rsidR="005B158C" w:rsidRDefault="005B158C" w:rsidP="005B158C">
            <w:pPr>
              <w:spacing w:line="276" w:lineRule="auto"/>
              <w:jc w:val="both"/>
              <w:rPr>
                <w:rFonts w:ascii="Century Gothic" w:hAnsi="Century Gothic" w:cs="Arial"/>
                <w:color w:val="000000"/>
              </w:rPr>
            </w:pPr>
            <w:r>
              <w:rPr>
                <w:rFonts w:ascii="Century Gothic" w:hAnsi="Century Gothic" w:cs="Arial"/>
                <w:color w:val="000000"/>
              </w:rPr>
              <w:lastRenderedPageBreak/>
              <w:t xml:space="preserve">En ese orden de ideas, la norma previamente señalada indica que será procedente la limitación a favor de las Mipymes </w:t>
            </w:r>
            <w:r w:rsidR="009F3101">
              <w:rPr>
                <w:rFonts w:ascii="Century Gothic" w:hAnsi="Century Gothic" w:cs="Arial"/>
                <w:color w:val="000000"/>
              </w:rPr>
              <w:t xml:space="preserve"> Colombianas </w:t>
            </w:r>
            <w:r>
              <w:rPr>
                <w:rFonts w:ascii="Century Gothic" w:hAnsi="Century Gothic" w:cs="Arial"/>
                <w:color w:val="000000"/>
              </w:rPr>
              <w:t>con un año de constitución cuando</w:t>
            </w:r>
            <w:r w:rsidR="009F3101">
              <w:rPr>
                <w:rFonts w:ascii="Century Gothic" w:hAnsi="Century Gothic" w:cs="Arial"/>
                <w:color w:val="000000"/>
              </w:rPr>
              <w:t xml:space="preserve"> concurran los siguientes requisitos</w:t>
            </w:r>
            <w:r>
              <w:rPr>
                <w:rFonts w:ascii="Century Gothic" w:hAnsi="Century Gothic" w:cs="Arial"/>
                <w:color w:val="000000"/>
              </w:rPr>
              <w:t>:</w:t>
            </w:r>
          </w:p>
          <w:p w14:paraId="1A1715F3" w14:textId="77777777" w:rsidR="005B158C" w:rsidRDefault="005B158C" w:rsidP="005B158C">
            <w:pPr>
              <w:spacing w:line="276" w:lineRule="auto"/>
              <w:jc w:val="both"/>
              <w:rPr>
                <w:rFonts w:ascii="Century Gothic" w:hAnsi="Century Gothic" w:cs="Arial"/>
                <w:color w:val="000000"/>
                <w:lang w:val="es-ES"/>
              </w:rPr>
            </w:pPr>
          </w:p>
          <w:p w14:paraId="2E3062F5" w14:textId="379906F3" w:rsidR="005B158C" w:rsidRPr="005B158C" w:rsidRDefault="005B158C" w:rsidP="005B158C">
            <w:pPr>
              <w:spacing w:line="276" w:lineRule="auto"/>
              <w:jc w:val="both"/>
              <w:rPr>
                <w:rFonts w:ascii="Century Gothic" w:hAnsi="Century Gothic" w:cs="Arial"/>
                <w:color w:val="000000"/>
                <w:lang w:val="es-ES"/>
              </w:rPr>
            </w:pPr>
            <w:r>
              <w:rPr>
                <w:rFonts w:ascii="Century Gothic" w:hAnsi="Century Gothic" w:cs="Arial"/>
                <w:color w:val="000000"/>
                <w:lang w:val="es-ES"/>
              </w:rPr>
              <w:t xml:space="preserve">“(…) </w:t>
            </w:r>
            <w:r w:rsidRPr="005B158C">
              <w:rPr>
                <w:rFonts w:ascii="Century Gothic" w:hAnsi="Century Gothic" w:cs="Arial"/>
                <w:color w:val="000000"/>
                <w:lang w:val="es-ES"/>
              </w:rPr>
              <w:t>1. El valor del Proceso de Contratación sea menor a ciento veinticinco mil dólares de los Estados Unidos de América (US$125.000), liquidados con la tasa de cambio que para el efecto determina cada dos años el Ministerio de Comercio, Industria y Turismo.</w:t>
            </w:r>
          </w:p>
          <w:p w14:paraId="11512D78" w14:textId="77777777" w:rsidR="005B158C" w:rsidRPr="005B158C" w:rsidRDefault="005B158C" w:rsidP="005B158C">
            <w:pPr>
              <w:spacing w:line="276" w:lineRule="auto"/>
              <w:contextualSpacing/>
              <w:jc w:val="both"/>
              <w:rPr>
                <w:rFonts w:ascii="Century Gothic" w:hAnsi="Century Gothic" w:cs="Arial"/>
                <w:color w:val="000000"/>
              </w:rPr>
            </w:pPr>
            <w:r w:rsidRPr="005B158C">
              <w:rPr>
                <w:rFonts w:ascii="Century Gothic" w:hAnsi="Century Gothic" w:cs="Arial"/>
                <w:color w:val="000000"/>
              </w:rPr>
              <w:t> </w:t>
            </w:r>
          </w:p>
          <w:p w14:paraId="724A0D9D" w14:textId="77777777" w:rsidR="005B158C" w:rsidRDefault="005B158C" w:rsidP="005B158C">
            <w:pPr>
              <w:spacing w:line="276" w:lineRule="auto"/>
              <w:contextualSpacing/>
              <w:jc w:val="both"/>
              <w:rPr>
                <w:rFonts w:ascii="Century Gothic" w:hAnsi="Century Gothic" w:cs="Arial"/>
                <w:color w:val="000000"/>
              </w:rPr>
            </w:pPr>
            <w:bookmarkStart w:id="3" w:name="2.2.1.2.4.2.2.2"/>
            <w:bookmarkEnd w:id="3"/>
            <w:r w:rsidRPr="005B158C">
              <w:rPr>
                <w:rFonts w:ascii="Century Gothic" w:hAnsi="Century Gothic" w:cs="Arial"/>
                <w:color w:val="000000"/>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w:t>
            </w:r>
          </w:p>
          <w:p w14:paraId="778ED7BD" w14:textId="77777777" w:rsidR="005B158C" w:rsidRPr="005B158C" w:rsidRDefault="005B158C" w:rsidP="005B158C">
            <w:pPr>
              <w:spacing w:line="276" w:lineRule="auto"/>
              <w:contextualSpacing/>
              <w:jc w:val="both"/>
              <w:rPr>
                <w:rFonts w:ascii="Century Gothic" w:hAnsi="Century Gothic" w:cs="Arial"/>
                <w:color w:val="000000"/>
              </w:rPr>
            </w:pPr>
          </w:p>
          <w:p w14:paraId="4E0822B5" w14:textId="47843DB1" w:rsidR="005B158C" w:rsidRDefault="005B158C" w:rsidP="00B90119">
            <w:pPr>
              <w:spacing w:line="276" w:lineRule="auto"/>
              <w:contextualSpacing/>
              <w:jc w:val="both"/>
              <w:rPr>
                <w:rFonts w:ascii="Century Gothic" w:hAnsi="Century Gothic" w:cs="Arial"/>
                <w:color w:val="000000"/>
              </w:rPr>
            </w:pPr>
            <w:r w:rsidRPr="005B158C">
              <w:rPr>
                <w:rFonts w:ascii="Century Gothic" w:hAnsi="Century Gothic" w:cs="Arial"/>
                <w:color w:val="000000"/>
              </w:rPr>
              <w:t>Tratándose de personas jurídicas, las solicitudes solo las podrán realizar Mipyme, cuyo objeto social les permita ejecutar el contrato relacionado con el proceso contractual.</w:t>
            </w:r>
            <w:r>
              <w:rPr>
                <w:rFonts w:ascii="Century Gothic" w:hAnsi="Century Gothic" w:cs="Arial"/>
                <w:color w:val="000000"/>
              </w:rPr>
              <w:t xml:space="preserve"> (…)”</w:t>
            </w:r>
            <w:r>
              <w:rPr>
                <w:rStyle w:val="Refdenotaalpie"/>
                <w:rFonts w:ascii="Century Gothic" w:hAnsi="Century Gothic" w:cs="Arial"/>
                <w:color w:val="000000"/>
              </w:rPr>
              <w:footnoteReference w:id="1"/>
            </w:r>
          </w:p>
          <w:p w14:paraId="26FF3574" w14:textId="77777777" w:rsidR="005B158C" w:rsidRDefault="005B158C" w:rsidP="00B90119">
            <w:pPr>
              <w:spacing w:line="276" w:lineRule="auto"/>
              <w:contextualSpacing/>
              <w:jc w:val="both"/>
              <w:rPr>
                <w:rFonts w:ascii="Century Gothic" w:hAnsi="Century Gothic" w:cs="Arial"/>
                <w:color w:val="000000"/>
              </w:rPr>
            </w:pPr>
          </w:p>
          <w:p w14:paraId="26D89DE2" w14:textId="2C566054" w:rsidR="00540333" w:rsidRDefault="005B158C" w:rsidP="00B90119">
            <w:pPr>
              <w:spacing w:line="276" w:lineRule="auto"/>
              <w:contextualSpacing/>
              <w:jc w:val="both"/>
              <w:rPr>
                <w:rFonts w:ascii="Century Gothic" w:hAnsi="Century Gothic" w:cs="Arial"/>
                <w:color w:val="000000"/>
                <w:lang w:val="es-ES"/>
              </w:rPr>
            </w:pPr>
            <w:r>
              <w:rPr>
                <w:rFonts w:ascii="Century Gothic" w:hAnsi="Century Gothic" w:cs="Arial"/>
                <w:color w:val="000000"/>
              </w:rPr>
              <w:t xml:space="preserve">De tal manera que, </w:t>
            </w:r>
            <w:r w:rsidR="00AC50B6">
              <w:rPr>
                <w:rFonts w:ascii="Century Gothic" w:hAnsi="Century Gothic" w:cs="Arial"/>
                <w:color w:val="000000"/>
              </w:rPr>
              <w:t xml:space="preserve">le corresponderá a la Entidad contratante </w:t>
            </w:r>
            <w:r w:rsidR="00B90119" w:rsidRPr="00B90119">
              <w:rPr>
                <w:rFonts w:ascii="Century Gothic" w:eastAsia="Calibri" w:hAnsi="Century Gothic" w:cs="Arial"/>
                <w:lang w:val="es-ES_tradnl" w:eastAsia="es-MX"/>
              </w:rPr>
              <w:t xml:space="preserve">evaluar </w:t>
            </w:r>
            <w:r w:rsidR="00AC50B6">
              <w:rPr>
                <w:rFonts w:ascii="Century Gothic" w:eastAsia="Calibri" w:hAnsi="Century Gothic" w:cs="Arial"/>
                <w:lang w:val="es-ES_tradnl" w:eastAsia="es-MX"/>
              </w:rPr>
              <w:t xml:space="preserve">el cumplimiento de los requisitos señalados en </w:t>
            </w:r>
            <w:proofErr w:type="gramStart"/>
            <w:r w:rsidR="00B90119" w:rsidRPr="00B90119">
              <w:rPr>
                <w:rFonts w:ascii="Century Gothic" w:eastAsia="Calibri" w:hAnsi="Century Gothic" w:cs="Arial"/>
                <w:lang w:val="es-ES_tradnl" w:eastAsia="es-MX"/>
              </w:rPr>
              <w:t>la</w:t>
            </w:r>
            <w:r w:rsidR="00AC50B6">
              <w:rPr>
                <w:rFonts w:ascii="Century Gothic" w:eastAsia="Calibri" w:hAnsi="Century Gothic" w:cs="Arial"/>
                <w:lang w:val="es-ES_tradnl" w:eastAsia="es-MX"/>
              </w:rPr>
              <w:t>s</w:t>
            </w:r>
            <w:r w:rsidR="00B90119" w:rsidRPr="00B90119">
              <w:rPr>
                <w:rFonts w:ascii="Century Gothic" w:eastAsia="Calibri" w:hAnsi="Century Gothic" w:cs="Arial"/>
                <w:lang w:val="es-ES_tradnl" w:eastAsia="es-MX"/>
              </w:rPr>
              <w:t xml:space="preserve"> </w:t>
            </w:r>
            <w:r w:rsidR="00B90119" w:rsidRPr="00B90119">
              <w:rPr>
                <w:rFonts w:ascii="Century Gothic" w:hAnsi="Century Gothic" w:cs="Arial"/>
                <w:color w:val="000000"/>
              </w:rPr>
              <w:t xml:space="preserve"> convocatorias</w:t>
            </w:r>
            <w:proofErr w:type="gramEnd"/>
            <w:r w:rsidR="00B90119" w:rsidRPr="00B90119">
              <w:rPr>
                <w:rFonts w:ascii="Century Gothic" w:hAnsi="Century Gothic" w:cs="Arial"/>
                <w:color w:val="000000"/>
              </w:rPr>
              <w:t xml:space="preserve"> a </w:t>
            </w:r>
            <w:proofErr w:type="spellStart"/>
            <w:r w:rsidR="00B90119" w:rsidRPr="00B90119">
              <w:rPr>
                <w:rFonts w:ascii="Century Gothic" w:hAnsi="Century Gothic" w:cs="Arial"/>
                <w:color w:val="000000"/>
              </w:rPr>
              <w:t>Mipymes</w:t>
            </w:r>
            <w:proofErr w:type="spellEnd"/>
            <w:r w:rsidR="00B90119" w:rsidRPr="00B90119">
              <w:rPr>
                <w:rFonts w:ascii="Century Gothic" w:hAnsi="Century Gothic" w:cs="Arial"/>
                <w:color w:val="000000"/>
              </w:rPr>
              <w:t xml:space="preserve"> en</w:t>
            </w:r>
            <w:r w:rsidR="00AC50B6">
              <w:rPr>
                <w:rFonts w:ascii="Century Gothic" w:hAnsi="Century Gothic" w:cs="Arial"/>
                <w:color w:val="000000"/>
              </w:rPr>
              <w:t xml:space="preserve"> los</w:t>
            </w:r>
            <w:r w:rsidR="00B90119" w:rsidRPr="00B90119">
              <w:rPr>
                <w:rFonts w:ascii="Century Gothic" w:hAnsi="Century Gothic" w:cs="Arial"/>
                <w:color w:val="000000"/>
              </w:rPr>
              <w:t xml:space="preserve"> Proceso</w:t>
            </w:r>
            <w:r w:rsidR="00AC50B6">
              <w:rPr>
                <w:rFonts w:ascii="Century Gothic" w:hAnsi="Century Gothic" w:cs="Arial"/>
                <w:color w:val="000000"/>
              </w:rPr>
              <w:t xml:space="preserve">s </w:t>
            </w:r>
            <w:r w:rsidR="00B90119" w:rsidRPr="00B90119">
              <w:rPr>
                <w:rFonts w:ascii="Century Gothic" w:hAnsi="Century Gothic" w:cs="Arial"/>
                <w:color w:val="000000"/>
              </w:rPr>
              <w:t>de Contratación</w:t>
            </w:r>
            <w:r w:rsidR="00AC50B6">
              <w:rPr>
                <w:rFonts w:ascii="Century Gothic" w:hAnsi="Century Gothic" w:cs="Arial"/>
                <w:color w:val="000000"/>
              </w:rPr>
              <w:t xml:space="preserve"> que adelante la entidad estatal</w:t>
            </w:r>
            <w:r w:rsidR="005B463A">
              <w:rPr>
                <w:rFonts w:ascii="Century Gothic" w:hAnsi="Century Gothic" w:cs="Arial"/>
                <w:color w:val="000000"/>
              </w:rPr>
              <w:t xml:space="preserve">, en especial si el </w:t>
            </w:r>
            <w:r w:rsidR="005B463A" w:rsidRPr="005B158C">
              <w:rPr>
                <w:rFonts w:ascii="Century Gothic" w:hAnsi="Century Gothic" w:cs="Arial"/>
                <w:color w:val="000000"/>
                <w:lang w:val="es-ES"/>
              </w:rPr>
              <w:t xml:space="preserve">valor del Proceso de Contratación </w:t>
            </w:r>
            <w:r w:rsidR="004C3162">
              <w:rPr>
                <w:rFonts w:ascii="Century Gothic" w:hAnsi="Century Gothic" w:cs="Arial"/>
                <w:color w:val="000000"/>
                <w:lang w:val="es-ES"/>
              </w:rPr>
              <w:t>para efectos fiscales es</w:t>
            </w:r>
            <w:r w:rsidR="005B463A" w:rsidRPr="005B158C">
              <w:rPr>
                <w:rFonts w:ascii="Century Gothic" w:hAnsi="Century Gothic" w:cs="Arial"/>
                <w:color w:val="000000"/>
                <w:lang w:val="es-ES"/>
              </w:rPr>
              <w:t xml:space="preserve"> menor a ciento veinticinco mil dólares de los Estados Unidos de América (US$125.000</w:t>
            </w:r>
            <w:r w:rsidR="00540333">
              <w:rPr>
                <w:rFonts w:ascii="Century Gothic" w:hAnsi="Century Gothic" w:cs="Arial"/>
                <w:color w:val="000000"/>
                <w:lang w:val="es-ES"/>
              </w:rPr>
              <w:t>, relacionados con los contratos de tracto sucesivo a largos periodos de tiempo en el cual la cuantía es indeterminada.</w:t>
            </w:r>
            <w:r w:rsidR="004C3162">
              <w:rPr>
                <w:rFonts w:ascii="Century Gothic" w:hAnsi="Century Gothic" w:cs="Arial"/>
                <w:color w:val="000000"/>
                <w:lang w:val="es-ES"/>
              </w:rPr>
              <w:t xml:space="preserve"> </w:t>
            </w:r>
          </w:p>
          <w:p w14:paraId="76C04CB5" w14:textId="3AAE6A9D" w:rsidR="00540333" w:rsidRDefault="00540333" w:rsidP="00B90119">
            <w:pPr>
              <w:spacing w:line="276" w:lineRule="auto"/>
              <w:contextualSpacing/>
              <w:jc w:val="both"/>
              <w:rPr>
                <w:rFonts w:ascii="Century Gothic" w:hAnsi="Century Gothic" w:cs="Arial"/>
                <w:color w:val="000000"/>
                <w:lang w:val="es-ES"/>
              </w:rPr>
            </w:pPr>
          </w:p>
          <w:p w14:paraId="4C8A8985" w14:textId="1308ED04" w:rsidR="00AE720E" w:rsidRDefault="00AE720E" w:rsidP="00AE720E">
            <w:pPr>
              <w:spacing w:line="276" w:lineRule="auto"/>
              <w:contextualSpacing/>
              <w:jc w:val="both"/>
              <w:rPr>
                <w:rFonts w:ascii="Century Gothic" w:hAnsi="Century Gothic" w:cs="Arial"/>
                <w:color w:val="000000"/>
              </w:rPr>
            </w:pPr>
            <w:r>
              <w:rPr>
                <w:rFonts w:ascii="Century Gothic" w:hAnsi="Century Gothic" w:cs="Arial"/>
                <w:color w:val="000000"/>
              </w:rPr>
              <w:t xml:space="preserve">En los casos de los procesos cuya </w:t>
            </w:r>
            <w:r w:rsidR="000F1405">
              <w:rPr>
                <w:rFonts w:ascii="Century Gothic" w:hAnsi="Century Gothic" w:cs="Arial"/>
                <w:color w:val="000000"/>
              </w:rPr>
              <w:t>cuantía e</w:t>
            </w:r>
            <w:r>
              <w:rPr>
                <w:rFonts w:ascii="Century Gothic" w:hAnsi="Century Gothic" w:cs="Arial"/>
                <w:color w:val="000000"/>
              </w:rPr>
              <w:t>s indeterminada y se fije para efectos fiscales, le corresponderá a la entidad contratante determinar si se ajusta a estos presupuestos normativos previamente señalado en el artículo 2.2.1.2.4.2.2 y para lo cual deberán motivar su decisión, atendiendo a los principios de la contratación estatal, función administrativa y dando aplicación al artículo 44 de la ley 1437 de 2011.</w:t>
            </w:r>
          </w:p>
          <w:p w14:paraId="21F8A677" w14:textId="77777777" w:rsidR="006D108B" w:rsidRDefault="006D108B" w:rsidP="00AE720E">
            <w:pPr>
              <w:spacing w:line="276" w:lineRule="auto"/>
              <w:contextualSpacing/>
              <w:jc w:val="both"/>
              <w:rPr>
                <w:rFonts w:ascii="Century Gothic" w:hAnsi="Century Gothic" w:cs="Arial"/>
                <w:color w:val="000000"/>
              </w:rPr>
            </w:pPr>
          </w:p>
          <w:p w14:paraId="4C921B9A" w14:textId="310175E0" w:rsidR="006D108B" w:rsidRDefault="006D108B" w:rsidP="00AE720E">
            <w:pPr>
              <w:spacing w:line="276" w:lineRule="auto"/>
              <w:contextualSpacing/>
              <w:jc w:val="both"/>
              <w:rPr>
                <w:rFonts w:ascii="Century Gothic" w:hAnsi="Century Gothic" w:cs="Arial"/>
                <w:color w:val="000000"/>
              </w:rPr>
            </w:pPr>
            <w:r>
              <w:rPr>
                <w:rFonts w:ascii="Century Gothic" w:hAnsi="Century Gothic" w:cs="Arial"/>
                <w:color w:val="000000"/>
              </w:rPr>
              <w:lastRenderedPageBreak/>
              <w:t xml:space="preserve">En este sentido, el Consejo de estado se ha pronunciado </w:t>
            </w:r>
            <w:r w:rsidR="00ED65A7">
              <w:rPr>
                <w:rFonts w:ascii="Century Gothic" w:hAnsi="Century Gothic" w:cs="Arial"/>
                <w:color w:val="000000"/>
              </w:rPr>
              <w:t>sobre la definición de contrato con cuantía indeterminada pero determinable, así:</w:t>
            </w:r>
          </w:p>
          <w:p w14:paraId="6C1DD2EF" w14:textId="77777777" w:rsidR="006D108B" w:rsidRDefault="006D108B" w:rsidP="00AE720E">
            <w:pPr>
              <w:spacing w:line="276" w:lineRule="auto"/>
              <w:contextualSpacing/>
              <w:jc w:val="both"/>
              <w:rPr>
                <w:rFonts w:ascii="Century Gothic" w:hAnsi="Century Gothic" w:cs="Arial"/>
                <w:color w:val="000000"/>
              </w:rPr>
            </w:pPr>
          </w:p>
          <w:p w14:paraId="4D3010B9" w14:textId="0D932402" w:rsidR="006D108B" w:rsidRPr="006D108B" w:rsidRDefault="006D108B" w:rsidP="006D108B">
            <w:pPr>
              <w:spacing w:line="276" w:lineRule="auto"/>
              <w:ind w:left="602" w:right="1078"/>
              <w:contextualSpacing/>
              <w:jc w:val="both"/>
              <w:rPr>
                <w:rFonts w:ascii="Century Gothic" w:hAnsi="Century Gothic" w:cs="Arial"/>
                <w:color w:val="000000"/>
                <w:sz w:val="20"/>
                <w:szCs w:val="20"/>
              </w:rPr>
            </w:pPr>
            <w:r>
              <w:rPr>
                <w:rFonts w:ascii="Century Gothic" w:hAnsi="Century Gothic" w:cs="Arial"/>
                <w:color w:val="000000"/>
                <w:sz w:val="20"/>
                <w:szCs w:val="20"/>
              </w:rPr>
              <w:t xml:space="preserve">“[…] </w:t>
            </w:r>
            <w:r w:rsidRPr="006D108B">
              <w:rPr>
                <w:rFonts w:ascii="Century Gothic" w:hAnsi="Century Gothic" w:cs="Arial"/>
                <w:color w:val="000000"/>
                <w:sz w:val="20"/>
                <w:szCs w:val="20"/>
              </w:rPr>
              <w:t>el valor de un contrato puede ser determinado o indeterminado pero determinable (estimado). ¿Qué significa valor determinado y valor indeterminado pero determinable?  El valor determinado es aquel valor real del contrato, y el valor indeterminado pero determinable es aquel valor estimado que solo se concreta, es decir se conoce su valor real cuando se ejecute la totalidad del objeto contractual15.  El concepto de valor indeterminado pero determinable ha tenido aplicación primordialmente en los contratos de obra pública, en especial cuando se pacta como forma de pago del valor del contrato la modalidad de precios unitarios. En estos contratos el valor pactado es un estimativo, pero el valor real es el que resulta una vez se ha terminado la ejecución del contrato. Sin embargo, pese a que en estos contratos se fije un valor estimado, este debe obedecer a estudios previos que determinen de la manera más exacta posible las cantidades de obra. No pueden pactarse cantidades de obra de manera indeterminada sin fijar las reglas claras para determinarlo. Además, las variaciones del valor estimado respecto del valor final deben ser mínimas.</w:t>
            </w:r>
            <w:r>
              <w:rPr>
                <w:rFonts w:ascii="Century Gothic" w:hAnsi="Century Gothic" w:cs="Arial"/>
                <w:color w:val="000000"/>
                <w:sz w:val="20"/>
                <w:szCs w:val="20"/>
              </w:rPr>
              <w:t>”</w:t>
            </w:r>
            <w:r w:rsidR="00ED65A7">
              <w:rPr>
                <w:rStyle w:val="Refdenotaalpie"/>
                <w:rFonts w:ascii="Century Gothic" w:hAnsi="Century Gothic" w:cs="Arial"/>
                <w:color w:val="000000"/>
                <w:sz w:val="20"/>
                <w:szCs w:val="20"/>
              </w:rPr>
              <w:footnoteReference w:id="2"/>
            </w:r>
            <w:r w:rsidRPr="006D108B">
              <w:rPr>
                <w:rFonts w:ascii="Century Gothic" w:hAnsi="Century Gothic" w:cs="Arial"/>
                <w:color w:val="000000"/>
                <w:sz w:val="20"/>
                <w:szCs w:val="20"/>
              </w:rPr>
              <w:t xml:space="preserve"> </w:t>
            </w:r>
          </w:p>
          <w:p w14:paraId="503CEE30" w14:textId="77777777" w:rsidR="00AE720E" w:rsidRDefault="00AE720E" w:rsidP="00B90119">
            <w:pPr>
              <w:spacing w:line="276" w:lineRule="auto"/>
              <w:contextualSpacing/>
              <w:jc w:val="both"/>
              <w:rPr>
                <w:rFonts w:ascii="Century Gothic" w:hAnsi="Century Gothic" w:cs="Arial"/>
                <w:color w:val="000000"/>
                <w:lang w:val="es-ES"/>
              </w:rPr>
            </w:pPr>
          </w:p>
          <w:p w14:paraId="757FEE52" w14:textId="77777777" w:rsidR="00ED65A7" w:rsidRDefault="00ED65A7" w:rsidP="00B90119">
            <w:pPr>
              <w:spacing w:line="276" w:lineRule="auto"/>
              <w:contextualSpacing/>
              <w:jc w:val="both"/>
              <w:rPr>
                <w:rFonts w:ascii="Century Gothic" w:hAnsi="Century Gothic" w:cs="Arial"/>
                <w:color w:val="000000"/>
                <w:lang w:val="es-ES"/>
              </w:rPr>
            </w:pPr>
          </w:p>
          <w:p w14:paraId="64B946D6" w14:textId="65947628" w:rsidR="00ED65A7" w:rsidRPr="00ED65A7" w:rsidRDefault="00ED65A7" w:rsidP="00ED65A7">
            <w:pPr>
              <w:spacing w:line="276" w:lineRule="auto"/>
              <w:contextualSpacing/>
              <w:jc w:val="both"/>
              <w:rPr>
                <w:rFonts w:ascii="Century Gothic" w:hAnsi="Century Gothic" w:cs="Arial"/>
                <w:color w:val="000000"/>
                <w:lang w:val="es-ES"/>
              </w:rPr>
            </w:pPr>
            <w:r>
              <w:rPr>
                <w:rFonts w:ascii="Century Gothic" w:hAnsi="Century Gothic" w:cs="Arial"/>
                <w:color w:val="000000"/>
                <w:lang w:val="es-ES"/>
              </w:rPr>
              <w:t xml:space="preserve">Aunado a lo anterior, en </w:t>
            </w:r>
            <w:r w:rsidRPr="00ED65A7">
              <w:rPr>
                <w:rFonts w:ascii="Century Gothic" w:hAnsi="Century Gothic" w:cs="Arial"/>
                <w:color w:val="000000"/>
                <w:lang w:val="es-ES"/>
              </w:rPr>
              <w:t xml:space="preserve">Concepto de Sala de Consulta C.E. 1439 de 2002 </w:t>
            </w:r>
            <w:r>
              <w:rPr>
                <w:rFonts w:ascii="Century Gothic" w:hAnsi="Century Gothic" w:cs="Arial"/>
                <w:color w:val="000000"/>
                <w:lang w:val="es-ES"/>
              </w:rPr>
              <w:t xml:space="preserve">del </w:t>
            </w:r>
            <w:r w:rsidRPr="00ED65A7">
              <w:rPr>
                <w:rFonts w:ascii="Century Gothic" w:hAnsi="Century Gothic" w:cs="Arial"/>
                <w:color w:val="000000"/>
                <w:lang w:val="es-ES"/>
              </w:rPr>
              <w:t>Consejo de Estado - Sala de Consulta y Servicio Civil, se aclara en lo ateniente al tema tratado, lo siguiente:</w:t>
            </w:r>
          </w:p>
          <w:p w14:paraId="44B8DB9B" w14:textId="77777777" w:rsidR="00ED65A7" w:rsidRDefault="00ED65A7" w:rsidP="00ED65A7">
            <w:pPr>
              <w:spacing w:line="276" w:lineRule="auto"/>
              <w:contextualSpacing/>
              <w:jc w:val="both"/>
              <w:rPr>
                <w:rFonts w:ascii="Century Gothic" w:hAnsi="Century Gothic" w:cs="Arial"/>
                <w:b/>
                <w:bCs/>
                <w:color w:val="000000"/>
              </w:rPr>
            </w:pPr>
          </w:p>
          <w:p w14:paraId="24550D5C" w14:textId="76D0886F" w:rsidR="00ED65A7" w:rsidRPr="00ED65A7" w:rsidRDefault="00ED65A7" w:rsidP="00ED65A7">
            <w:pPr>
              <w:spacing w:line="276" w:lineRule="auto"/>
              <w:ind w:left="602" w:right="1078"/>
              <w:contextualSpacing/>
              <w:jc w:val="both"/>
              <w:rPr>
                <w:rFonts w:ascii="Century Gothic" w:hAnsi="Century Gothic" w:cs="Arial"/>
                <w:color w:val="000000"/>
                <w:sz w:val="20"/>
                <w:szCs w:val="20"/>
              </w:rPr>
            </w:pPr>
            <w:r>
              <w:rPr>
                <w:rFonts w:ascii="Century Gothic" w:hAnsi="Century Gothic" w:cs="Arial"/>
                <w:color w:val="000000"/>
                <w:sz w:val="20"/>
                <w:szCs w:val="20"/>
              </w:rPr>
              <w:t xml:space="preserve">“[…] </w:t>
            </w:r>
            <w:r w:rsidRPr="00ED65A7">
              <w:rPr>
                <w:rFonts w:ascii="Century Gothic" w:hAnsi="Century Gothic" w:cs="Arial"/>
                <w:color w:val="000000"/>
                <w:sz w:val="20"/>
                <w:szCs w:val="20"/>
              </w:rPr>
              <w:t xml:space="preserve">en los contratos a precio indeterminado pero determinable por el procedimiento establecido en el mismo contrato (precios unitarios, administración delegada o reembolso de gastos), la cláusula del valor en el </w:t>
            </w:r>
            <w:proofErr w:type="gramStart"/>
            <w:r w:rsidRPr="00ED65A7">
              <w:rPr>
                <w:rFonts w:ascii="Century Gothic" w:hAnsi="Century Gothic" w:cs="Arial"/>
                <w:color w:val="000000"/>
                <w:sz w:val="20"/>
                <w:szCs w:val="20"/>
              </w:rPr>
              <w:t>mismo,</w:t>
            </w:r>
            <w:proofErr w:type="gramEnd"/>
            <w:r w:rsidRPr="00ED65A7">
              <w:rPr>
                <w:rFonts w:ascii="Century Gothic" w:hAnsi="Century Gothic" w:cs="Arial"/>
                <w:color w:val="000000"/>
                <w:sz w:val="20"/>
                <w:szCs w:val="20"/>
              </w:rPr>
              <w:t xml:space="preserve"> apenas sirve como indicativo de un monto estimado hecho por las partes, pero no tiene valor vinculante u obligacional, pues el verdadero valor del contrato se establecerá una vez se concluya su objeto. En estos eventos, tal cláusula sólo cumple la función de realizar un cálculo estimado del costo probable, esto es, ese estimativo necesario para elaborar presupuesto o para efectos fiscales; pero el valor real del contrato que genera obligaciones mutuas sólo se determinará cuando se ejecute la obra y, aplicando el procedimiento establecido, se establezca tal costo.</w:t>
            </w:r>
            <w:r>
              <w:rPr>
                <w:rFonts w:ascii="Century Gothic" w:hAnsi="Century Gothic" w:cs="Arial"/>
                <w:color w:val="000000"/>
                <w:sz w:val="20"/>
                <w:szCs w:val="20"/>
              </w:rPr>
              <w:t>”</w:t>
            </w:r>
          </w:p>
          <w:p w14:paraId="769D5044" w14:textId="32DF6AE4" w:rsidR="00ED65A7" w:rsidRPr="00ED65A7" w:rsidRDefault="00ED65A7" w:rsidP="00B90119">
            <w:pPr>
              <w:spacing w:line="276" w:lineRule="auto"/>
              <w:contextualSpacing/>
              <w:jc w:val="both"/>
              <w:rPr>
                <w:rFonts w:ascii="Century Gothic" w:hAnsi="Century Gothic" w:cs="Arial"/>
                <w:color w:val="000000"/>
              </w:rPr>
            </w:pPr>
          </w:p>
          <w:p w14:paraId="000524F1" w14:textId="449553AA" w:rsidR="004C3162" w:rsidRDefault="00AE720E" w:rsidP="00B90119">
            <w:pPr>
              <w:spacing w:line="276" w:lineRule="auto"/>
              <w:contextualSpacing/>
              <w:jc w:val="both"/>
              <w:rPr>
                <w:rFonts w:ascii="Century Gothic" w:hAnsi="Century Gothic" w:cs="Arial"/>
                <w:color w:val="000000"/>
                <w:lang w:val="es-ES"/>
              </w:rPr>
            </w:pPr>
            <w:r>
              <w:rPr>
                <w:rFonts w:ascii="Century Gothic" w:hAnsi="Century Gothic" w:cs="Arial"/>
                <w:color w:val="000000"/>
                <w:lang w:val="es-ES"/>
              </w:rPr>
              <w:lastRenderedPageBreak/>
              <w:t>Ahora bien, a</w:t>
            </w:r>
            <w:r w:rsidR="004C3162">
              <w:rPr>
                <w:rFonts w:ascii="Century Gothic" w:hAnsi="Century Gothic" w:cs="Arial"/>
                <w:color w:val="000000"/>
                <w:lang w:val="es-ES"/>
              </w:rPr>
              <w:t xml:space="preserve">unque </w:t>
            </w:r>
            <w:r w:rsidR="00540333">
              <w:rPr>
                <w:rFonts w:ascii="Century Gothic" w:hAnsi="Century Gothic" w:cs="Arial"/>
                <w:color w:val="000000"/>
                <w:lang w:val="es-ES"/>
              </w:rPr>
              <w:t xml:space="preserve">hay contratos de cuantía indeterminada debido a la complejidad de la prestación a través de los años y modalidad, </w:t>
            </w:r>
            <w:r w:rsidR="004C3162">
              <w:rPr>
                <w:rFonts w:ascii="Century Gothic" w:hAnsi="Century Gothic" w:cs="Arial"/>
                <w:color w:val="000000"/>
                <w:lang w:val="es-ES"/>
              </w:rPr>
              <w:t xml:space="preserve">no </w:t>
            </w:r>
            <w:r w:rsidR="00540333">
              <w:rPr>
                <w:rFonts w:ascii="Century Gothic" w:hAnsi="Century Gothic" w:cs="Arial"/>
                <w:color w:val="000000"/>
                <w:lang w:val="es-ES"/>
              </w:rPr>
              <w:t xml:space="preserve">quiere decir dicha prestación no tengan </w:t>
            </w:r>
            <w:r w:rsidR="004C3162">
              <w:rPr>
                <w:rFonts w:ascii="Century Gothic" w:hAnsi="Century Gothic" w:cs="Arial"/>
                <w:color w:val="000000"/>
                <w:lang w:val="es-ES"/>
              </w:rPr>
              <w:t>un valor económico</w:t>
            </w:r>
            <w:r w:rsidR="00540333">
              <w:rPr>
                <w:rFonts w:ascii="Century Gothic" w:hAnsi="Century Gothic" w:cs="Arial"/>
                <w:color w:val="000000"/>
                <w:lang w:val="es-ES"/>
              </w:rPr>
              <w:t>; en ese caso,</w:t>
            </w:r>
            <w:r w:rsidR="004C3162">
              <w:rPr>
                <w:rFonts w:ascii="Century Gothic" w:hAnsi="Century Gothic" w:cs="Arial"/>
                <w:color w:val="000000"/>
                <w:lang w:val="es-ES"/>
              </w:rPr>
              <w:t xml:space="preserve"> la</w:t>
            </w:r>
            <w:r w:rsidR="00540333">
              <w:rPr>
                <w:rFonts w:ascii="Century Gothic" w:hAnsi="Century Gothic" w:cs="Arial"/>
                <w:color w:val="000000"/>
                <w:lang w:val="es-ES"/>
              </w:rPr>
              <w:t xml:space="preserve"> entidad estatal realiza</w:t>
            </w:r>
            <w:r w:rsidR="004C3162">
              <w:rPr>
                <w:rFonts w:ascii="Century Gothic" w:hAnsi="Century Gothic" w:cs="Arial"/>
                <w:color w:val="000000"/>
                <w:lang w:val="es-ES"/>
              </w:rPr>
              <w:t xml:space="preserve"> </w:t>
            </w:r>
            <w:r w:rsidR="00540333">
              <w:rPr>
                <w:rFonts w:ascii="Century Gothic" w:hAnsi="Century Gothic" w:cs="Arial"/>
                <w:color w:val="000000"/>
                <w:lang w:val="es-ES"/>
              </w:rPr>
              <w:t>un</w:t>
            </w:r>
            <w:r w:rsidR="004C3162">
              <w:rPr>
                <w:rFonts w:ascii="Century Gothic" w:hAnsi="Century Gothic" w:cs="Arial"/>
                <w:color w:val="000000"/>
                <w:lang w:val="es-ES"/>
              </w:rPr>
              <w:t xml:space="preserve"> análisis financiero prospectivo o proyectado </w:t>
            </w:r>
            <w:r w:rsidR="00540333">
              <w:rPr>
                <w:rFonts w:ascii="Century Gothic" w:hAnsi="Century Gothic" w:cs="Arial"/>
                <w:color w:val="000000"/>
                <w:lang w:val="es-ES"/>
              </w:rPr>
              <w:t xml:space="preserve">a los años del plazo para establecer el </w:t>
            </w:r>
            <w:r w:rsidR="004C3162">
              <w:rPr>
                <w:rFonts w:ascii="Century Gothic" w:hAnsi="Century Gothic" w:cs="Arial"/>
                <w:color w:val="000000"/>
                <w:lang w:val="es-ES"/>
              </w:rPr>
              <w:t>valor</w:t>
            </w:r>
            <w:r w:rsidR="00540333">
              <w:rPr>
                <w:rFonts w:ascii="Century Gothic" w:hAnsi="Century Gothic" w:cs="Arial"/>
                <w:color w:val="000000"/>
                <w:lang w:val="es-ES"/>
              </w:rPr>
              <w:t xml:space="preserve"> proyectado</w:t>
            </w:r>
            <w:r w:rsidR="004C3162">
              <w:rPr>
                <w:rFonts w:ascii="Century Gothic" w:hAnsi="Century Gothic" w:cs="Arial"/>
                <w:color w:val="000000"/>
                <w:lang w:val="es-ES"/>
              </w:rPr>
              <w:t>, por lo que no será un proceso sin cuantía</w:t>
            </w:r>
            <w:r w:rsidR="00540333">
              <w:rPr>
                <w:rFonts w:ascii="Century Gothic" w:hAnsi="Century Gothic" w:cs="Arial"/>
                <w:color w:val="000000"/>
                <w:lang w:val="es-ES"/>
              </w:rPr>
              <w:t>. Contrario sensu, existen</w:t>
            </w:r>
            <w:r w:rsidR="004C3162">
              <w:rPr>
                <w:rFonts w:ascii="Century Gothic" w:hAnsi="Century Gothic" w:cs="Arial"/>
                <w:color w:val="000000"/>
                <w:lang w:val="es-ES"/>
              </w:rPr>
              <w:t xml:space="preserve"> otros procedimientos contractuales</w:t>
            </w:r>
            <w:r w:rsidR="00540333">
              <w:rPr>
                <w:rFonts w:ascii="Century Gothic" w:hAnsi="Century Gothic" w:cs="Arial"/>
                <w:color w:val="000000"/>
                <w:lang w:val="es-ES"/>
              </w:rPr>
              <w:t xml:space="preserve"> que son sin compromiso presupuestal por lo que no tienen disponibilidad ni registro, no es de su naturaleza disponer de dichos recursos </w:t>
            </w:r>
            <w:r>
              <w:rPr>
                <w:rFonts w:ascii="Century Gothic" w:hAnsi="Century Gothic" w:cs="Arial"/>
                <w:color w:val="000000"/>
                <w:lang w:val="es-ES"/>
              </w:rPr>
              <w:t xml:space="preserve">o aportes </w:t>
            </w:r>
            <w:r w:rsidR="00540333">
              <w:rPr>
                <w:rFonts w:ascii="Century Gothic" w:hAnsi="Century Gothic" w:cs="Arial"/>
                <w:color w:val="000000"/>
                <w:lang w:val="es-ES"/>
              </w:rPr>
              <w:t>para su trámite o perfeccionamiento,</w:t>
            </w:r>
            <w:r w:rsidR="004C3162">
              <w:rPr>
                <w:rFonts w:ascii="Century Gothic" w:hAnsi="Century Gothic" w:cs="Arial"/>
                <w:color w:val="000000"/>
                <w:lang w:val="es-ES"/>
              </w:rPr>
              <w:t xml:space="preserve"> como</w:t>
            </w:r>
            <w:r w:rsidR="00540333">
              <w:rPr>
                <w:rFonts w:ascii="Century Gothic" w:hAnsi="Century Gothic" w:cs="Arial"/>
                <w:color w:val="000000"/>
                <w:lang w:val="es-ES"/>
              </w:rPr>
              <w:t xml:space="preserve"> es el caso de</w:t>
            </w:r>
            <w:r w:rsidR="004C3162">
              <w:rPr>
                <w:rFonts w:ascii="Century Gothic" w:hAnsi="Century Gothic" w:cs="Arial"/>
                <w:color w:val="000000"/>
                <w:lang w:val="es-ES"/>
              </w:rPr>
              <w:t xml:space="preserve"> los memorandos de entendimientos o los convenios marcos </w:t>
            </w:r>
            <w:r w:rsidR="00540333">
              <w:rPr>
                <w:rFonts w:ascii="Century Gothic" w:hAnsi="Century Gothic" w:cs="Arial"/>
                <w:color w:val="000000"/>
                <w:lang w:val="es-ES"/>
              </w:rPr>
              <w:t xml:space="preserve">cuyo objeto es aunar esfuerzos conjuntos </w:t>
            </w:r>
            <w:r>
              <w:rPr>
                <w:rFonts w:ascii="Century Gothic" w:hAnsi="Century Gothic" w:cs="Arial"/>
                <w:color w:val="000000"/>
                <w:lang w:val="es-ES"/>
              </w:rPr>
              <w:t>misionales a temas varios, los cuales pueden ser sujetos de contratos derivados y específicos y en estos si va inmersa los aportes o disponibilidades presupuestales, y serán estos los que si tengan cuantía.</w:t>
            </w:r>
          </w:p>
          <w:p w14:paraId="64E06110" w14:textId="77777777" w:rsidR="004C3162" w:rsidRDefault="004C3162" w:rsidP="00B90119">
            <w:pPr>
              <w:spacing w:line="276" w:lineRule="auto"/>
              <w:contextualSpacing/>
              <w:jc w:val="both"/>
              <w:rPr>
                <w:rFonts w:ascii="Century Gothic" w:hAnsi="Century Gothic" w:cs="Arial"/>
                <w:color w:val="000000"/>
              </w:rPr>
            </w:pPr>
          </w:p>
          <w:p w14:paraId="7900B4C1" w14:textId="44EE5E4E" w:rsidR="00B90119" w:rsidRPr="00B90119" w:rsidRDefault="00B90119" w:rsidP="00AE720E">
            <w:pPr>
              <w:spacing w:line="276" w:lineRule="auto"/>
              <w:contextualSpacing/>
              <w:jc w:val="both"/>
              <w:rPr>
                <w:rFonts w:ascii="Century Gothic" w:eastAsia="Calibri" w:hAnsi="Century Gothic" w:cs="Arial"/>
                <w:lang w:val="es-ES_tradnl" w:eastAsia="es-MX"/>
              </w:rPr>
            </w:pPr>
            <w:r w:rsidRPr="00B90119">
              <w:rPr>
                <w:rFonts w:ascii="Century Gothic" w:hAnsi="Century Gothic" w:cs="Arial"/>
                <w:color w:val="000000"/>
              </w:rPr>
              <w:t xml:space="preserve"> </w:t>
            </w:r>
            <w:r w:rsidR="00AE720E">
              <w:rPr>
                <w:rFonts w:ascii="Century Gothic" w:eastAsia="Calibri" w:hAnsi="Century Gothic" w:cs="Arial"/>
                <w:lang w:eastAsia="es-MX"/>
              </w:rPr>
              <w:t>Finalmente</w:t>
            </w:r>
            <w:r w:rsidRPr="00B90119">
              <w:rPr>
                <w:rFonts w:ascii="Century Gothic" w:eastAsia="Calibri" w:hAnsi="Century Gothic" w:cs="Arial"/>
                <w:lang w:eastAsia="es-MX"/>
              </w:rPr>
              <w:t>, la decisión de limitar o no una convocatoria a Mipymes es una facultad discrecional, de manera que la entidad contratante valorará si es oportuno y conveniente adoptarla</w:t>
            </w:r>
            <w:r w:rsidR="005B463A">
              <w:rPr>
                <w:rFonts w:ascii="Century Gothic" w:eastAsia="Calibri" w:hAnsi="Century Gothic" w:cs="Arial"/>
                <w:lang w:eastAsia="es-MX"/>
              </w:rPr>
              <w:t xml:space="preserve"> teniendo en cuenta </w:t>
            </w:r>
            <w:r w:rsidR="00AE720E">
              <w:rPr>
                <w:rFonts w:ascii="Century Gothic" w:eastAsia="Calibri" w:hAnsi="Century Gothic" w:cs="Arial"/>
                <w:lang w:eastAsia="es-MX"/>
              </w:rPr>
              <w:t xml:space="preserve">no desbordar o exceder lo preceptuado en </w:t>
            </w:r>
            <w:r w:rsidR="005B463A">
              <w:rPr>
                <w:rFonts w:ascii="Century Gothic" w:eastAsia="Calibri" w:hAnsi="Century Gothic" w:cs="Arial"/>
                <w:lang w:eastAsia="es-MX"/>
              </w:rPr>
              <w:t>el artículo 2.2.1.2.4.2.2 del Decreto 1082 del 2015</w:t>
            </w:r>
            <w:r w:rsidRPr="00B90119">
              <w:rPr>
                <w:rFonts w:ascii="Century Gothic" w:eastAsia="Calibri" w:hAnsi="Century Gothic" w:cs="Arial"/>
                <w:lang w:eastAsia="es-MX"/>
              </w:rPr>
              <w:t>. No obstante, aunque la discrecionalidad implica una elección administrativa, no puede ser una decisión irracional o arbitraria. Por ello, el ordenamiento impone una carga de motivación en el ejercicio de este tipo de facultades, pues –teniendo en cuenta la remisión del artículo 77 de la Ley 80 de 1993 a las normas que rigen los procedimientos y actuaciones en la función administrativa– el artículo 44 de la Ley 1437 de 2011 dispone que “En la medida en que el contenido de una decisión de carácter general o particular sea discrecional, debe ser adecuada a los fines de la norma que la autoriza, y proporcional a los hechos que le sirven de causa”.</w:t>
            </w:r>
          </w:p>
        </w:tc>
      </w:tr>
    </w:tbl>
    <w:p w14:paraId="045CEA25" w14:textId="77777777" w:rsidR="00B90119" w:rsidRPr="00B90119" w:rsidRDefault="00B90119" w:rsidP="00B90119">
      <w:pPr>
        <w:tabs>
          <w:tab w:val="left" w:pos="142"/>
          <w:tab w:val="left" w:pos="284"/>
        </w:tabs>
        <w:spacing w:after="0" w:line="276" w:lineRule="auto"/>
        <w:jc w:val="both"/>
        <w:rPr>
          <w:rFonts w:ascii="Century Gothic" w:eastAsia="Century Gothic" w:hAnsi="Century Gothic" w:cs="Century Gothic"/>
          <w:b/>
          <w:bCs/>
          <w:lang w:val="es-ES"/>
        </w:rPr>
      </w:pPr>
    </w:p>
    <w:p w14:paraId="7B8F47BB" w14:textId="77777777" w:rsidR="00B90119" w:rsidRPr="00B90119" w:rsidRDefault="00B90119" w:rsidP="00B90119">
      <w:pPr>
        <w:numPr>
          <w:ilvl w:val="0"/>
          <w:numId w:val="16"/>
        </w:numPr>
        <w:tabs>
          <w:tab w:val="left" w:pos="142"/>
          <w:tab w:val="left" w:pos="284"/>
        </w:tabs>
        <w:spacing w:after="0" w:line="276" w:lineRule="auto"/>
        <w:ind w:left="0" w:firstLine="0"/>
        <w:jc w:val="both"/>
        <w:rPr>
          <w:rFonts w:ascii="Century Gothic" w:eastAsia="Century Gothic" w:hAnsi="Century Gothic" w:cs="Century Gothic"/>
          <w:b/>
          <w:bCs/>
          <w:lang w:val="es-ES"/>
        </w:rPr>
      </w:pPr>
      <w:r w:rsidRPr="00B90119">
        <w:rPr>
          <w:rFonts w:ascii="Century Gothic" w:eastAsia="Century Gothic" w:hAnsi="Century Gothic" w:cs="Century Gothic"/>
          <w:b/>
          <w:bCs/>
          <w:lang w:val="es-ES"/>
        </w:rPr>
        <w:t>Razones de la respuesta:</w:t>
      </w:r>
    </w:p>
    <w:p w14:paraId="42BFDD46" w14:textId="77777777" w:rsidR="00B90119" w:rsidRPr="00B90119" w:rsidRDefault="00B90119" w:rsidP="00B90119">
      <w:pPr>
        <w:spacing w:after="0" w:line="276" w:lineRule="auto"/>
        <w:jc w:val="both"/>
        <w:rPr>
          <w:rFonts w:ascii="Century Gothic" w:eastAsia="Calibri" w:hAnsi="Century Gothic" w:cs="Arial"/>
          <w:color w:val="7030A0"/>
          <w:lang w:val="es-ES"/>
        </w:rPr>
      </w:pPr>
    </w:p>
    <w:p w14:paraId="5598A883" w14:textId="77777777" w:rsidR="00B90119" w:rsidRPr="00B90119" w:rsidRDefault="00B90119" w:rsidP="00B90119">
      <w:pPr>
        <w:spacing w:after="0" w:line="276" w:lineRule="auto"/>
        <w:jc w:val="both"/>
        <w:rPr>
          <w:rFonts w:ascii="Century Gothic" w:eastAsia="Calibri" w:hAnsi="Century Gothic" w:cs="Arial"/>
          <w:lang w:val="es-ES"/>
        </w:rPr>
      </w:pPr>
      <w:r w:rsidRPr="00B90119">
        <w:rPr>
          <w:rFonts w:ascii="Century Gothic" w:eastAsia="Calibri" w:hAnsi="Century Gothic" w:cs="Arial"/>
          <w:lang w:val="es-ES"/>
        </w:rPr>
        <w:t xml:space="preserve">Lo anterior se sustenta en las siguientes consideraciones: </w:t>
      </w:r>
    </w:p>
    <w:p w14:paraId="5C857A83" w14:textId="77777777" w:rsidR="00B90119" w:rsidRPr="000F1405" w:rsidRDefault="00B90119" w:rsidP="00B90119">
      <w:pPr>
        <w:spacing w:after="0" w:line="276" w:lineRule="auto"/>
        <w:ind w:left="720"/>
        <w:contextualSpacing/>
        <w:jc w:val="both"/>
        <w:rPr>
          <w:rFonts w:ascii="Century Gothic" w:eastAsia="Calibri" w:hAnsi="Century Gothic" w:cs="Arial"/>
          <w:color w:val="000000" w:themeColor="text1"/>
        </w:rPr>
      </w:pPr>
    </w:p>
    <w:p w14:paraId="0CAF895E" w14:textId="77777777" w:rsidR="009F3101" w:rsidRPr="000F1405" w:rsidRDefault="009F3101" w:rsidP="009F3101">
      <w:pPr>
        <w:numPr>
          <w:ilvl w:val="0"/>
          <w:numId w:val="18"/>
        </w:numPr>
        <w:spacing w:after="120" w:line="276" w:lineRule="auto"/>
        <w:contextualSpacing/>
        <w:jc w:val="both"/>
        <w:rPr>
          <w:rFonts w:ascii="Century Gothic" w:hAnsi="Century Gothic" w:cs="Arial"/>
          <w:bCs/>
        </w:rPr>
      </w:pPr>
      <w:r w:rsidRPr="000F1405">
        <w:rPr>
          <w:rFonts w:ascii="Century Gothic" w:hAnsi="Century Gothic" w:cs="Arial"/>
          <w:bCs/>
        </w:rPr>
        <w:t xml:space="preserve">La Ley 2069 de 2020 guarda congruencia con el “ Pacto por el emprendimiento, la formalización y la productividad ” del Plan Nacional de Desarrollo 2018-2022, pues impulsa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w:t>
      </w:r>
      <w:r w:rsidRPr="000F1405">
        <w:rPr>
          <w:rFonts w:ascii="Century Gothic" w:hAnsi="Century Gothic" w:cs="Arial"/>
          <w:bCs/>
        </w:rPr>
        <w:lastRenderedPageBreak/>
        <w:t>iniciativas, generando mayor desarrollo social, creación de las empresas y mejoras tanto en la productividad como en la competitividad. De esta manera, la ley en comento también concreta la “ Política de formalización empresarial” del Documento CONPES 3956 del 8 de enero de 2019</w:t>
      </w:r>
      <w:r w:rsidRPr="000F1405">
        <w:rPr>
          <w:rStyle w:val="Refdenotaalpie"/>
          <w:rFonts w:ascii="Century Gothic" w:hAnsi="Century Gothic" w:cs="Arial"/>
          <w:bCs/>
        </w:rPr>
        <w:footnoteReference w:id="3"/>
      </w:r>
      <w:r w:rsidRPr="000F1405">
        <w:rPr>
          <w:rFonts w:ascii="Century Gothic" w:hAnsi="Century Gothic" w:cs="Arial"/>
          <w:bCs/>
        </w:rPr>
        <w:t>.</w:t>
      </w:r>
    </w:p>
    <w:p w14:paraId="4535996A" w14:textId="77777777" w:rsidR="009F3101" w:rsidRPr="000F1405" w:rsidRDefault="009F3101" w:rsidP="009F3101">
      <w:pPr>
        <w:numPr>
          <w:ilvl w:val="0"/>
          <w:numId w:val="18"/>
        </w:numPr>
        <w:spacing w:after="120" w:line="276" w:lineRule="auto"/>
        <w:contextualSpacing/>
        <w:jc w:val="both"/>
        <w:rPr>
          <w:rFonts w:ascii="Century Gothic" w:hAnsi="Century Gothic" w:cs="Arial"/>
          <w:bCs/>
        </w:rPr>
      </w:pPr>
      <w:r w:rsidRPr="000F1405">
        <w:rPr>
          <w:rFonts w:ascii="Century Gothic" w:hAnsi="Century Gothic" w:cs="Arial"/>
          <w:bCs/>
        </w:rPr>
        <w:t>En ese sentido, la Ley 2069  de 2020 contiene normas que modifican algunos aspectos de la contratación estatal para promover el emprendimiento. Concretamente, aquellas se encuentran en el Capítulo III – artículos 30 al 36 – . En su orden, tales artículos consagran: i) reglas sobre la participación de las mipymes en el procedimiento de mínima cuantía, ii ) criterios diferenciales para mipymes en el sistema de compras públicas, iii ) criterios diferenciales para emprendimientos y empresas de mujeres en el sistema de compras públicas, iv )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w:t>
      </w:r>
    </w:p>
    <w:p w14:paraId="344B4F2D" w14:textId="07A4A371" w:rsidR="009F3101" w:rsidRPr="000F1405" w:rsidRDefault="009F3101" w:rsidP="009F3101">
      <w:pPr>
        <w:numPr>
          <w:ilvl w:val="0"/>
          <w:numId w:val="18"/>
        </w:numPr>
        <w:spacing w:after="120" w:line="276" w:lineRule="auto"/>
        <w:contextualSpacing/>
        <w:jc w:val="both"/>
        <w:rPr>
          <w:rFonts w:ascii="Century Gothic" w:hAnsi="Century Gothic" w:cs="Arial"/>
          <w:bCs/>
        </w:rPr>
      </w:pPr>
      <w:r w:rsidRPr="000F1405">
        <w:rPr>
          <w:rFonts w:ascii="Century Gothic" w:hAnsi="Century Gothic"/>
        </w:rPr>
        <w:t>En ese orden, se puede afirmar que las mismas buscan fomentar la actividad de las empresas que, por su tamaño o capacidad económica, no podrían competir en condiciones de igualdad con aquellas que cuentan con grandes capitales y plantas de personal. De esta manera, no solo estas pequeñas unidades de explotación económica se hacen visibles dentro del mercado de bienes y servicios requeridos por las entidades públicas, sino que se promueve de manera directa el crecimiento de las regiones en las que se desarrolla tal actividad económica.</w:t>
      </w:r>
    </w:p>
    <w:p w14:paraId="482938C1" w14:textId="7D2811E7" w:rsidR="009F3101" w:rsidRPr="000F1405" w:rsidRDefault="009F3101" w:rsidP="009F3101">
      <w:pPr>
        <w:numPr>
          <w:ilvl w:val="0"/>
          <w:numId w:val="18"/>
        </w:numPr>
        <w:spacing w:after="120" w:line="276" w:lineRule="auto"/>
        <w:contextualSpacing/>
        <w:jc w:val="both"/>
        <w:rPr>
          <w:rFonts w:ascii="Century Gothic" w:hAnsi="Century Gothic" w:cs="Arial"/>
          <w:bCs/>
        </w:rPr>
      </w:pPr>
      <w:r w:rsidRPr="000F1405">
        <w:rPr>
          <w:rFonts w:ascii="Century Gothic" w:hAnsi="Century Gothic" w:cs="Arial"/>
          <w:bCs/>
        </w:rPr>
        <w:t xml:space="preserve">Ahora bien, el artículo 33 de la Ley 2069 de 2020 modificó el artículo 12 de la Ley 590 de 2000, el cual regula la promoción del acceso de las Mipymes al mercado de compras públicas. Dicha disposición consagra una serie de deberes que incumben, no solo a las entidades estatales que aplican el Estatuto General de Contratación de la Administración Pública, sino también a las que tienen regímenes de contratación exceptuados, los patrimonios </w:t>
      </w:r>
      <w:r w:rsidRPr="000F1405">
        <w:rPr>
          <w:rFonts w:ascii="Century Gothic" w:hAnsi="Century Gothic" w:cs="Arial"/>
          <w:bCs/>
        </w:rPr>
        <w:lastRenderedPageBreak/>
        <w:t xml:space="preserve">autónomos constituidos por entidades estatales y los particulares que ejecuten recursos públicos. </w:t>
      </w:r>
    </w:p>
    <w:p w14:paraId="5AD48443" w14:textId="23904133" w:rsidR="009F3101" w:rsidRPr="000F1405" w:rsidRDefault="009F3101" w:rsidP="00B90119">
      <w:pPr>
        <w:numPr>
          <w:ilvl w:val="0"/>
          <w:numId w:val="18"/>
        </w:numPr>
        <w:spacing w:after="120" w:line="276" w:lineRule="auto"/>
        <w:contextualSpacing/>
        <w:jc w:val="both"/>
        <w:rPr>
          <w:rFonts w:ascii="Century Gothic" w:hAnsi="Century Gothic" w:cs="Arial"/>
          <w:bCs/>
        </w:rPr>
      </w:pPr>
    </w:p>
    <w:p w14:paraId="7F07BB40" w14:textId="77777777" w:rsidR="00B90119" w:rsidRPr="000F1405" w:rsidRDefault="00B90119" w:rsidP="00B90119">
      <w:pPr>
        <w:numPr>
          <w:ilvl w:val="0"/>
          <w:numId w:val="18"/>
        </w:numPr>
        <w:spacing w:after="120" w:line="276" w:lineRule="auto"/>
        <w:contextualSpacing/>
        <w:jc w:val="both"/>
        <w:rPr>
          <w:rFonts w:ascii="Century Gothic" w:hAnsi="Century Gothic" w:cs="Arial"/>
          <w:bCs/>
        </w:rPr>
      </w:pPr>
      <w:r w:rsidRPr="000F1405">
        <w:rPr>
          <w:rFonts w:ascii="Century Gothic" w:eastAsia="Calibri" w:hAnsi="Century Gothic" w:cs="Arial"/>
          <w:bCs/>
          <w:lang w:val="es-ES_tradnl" w:eastAsia="es-MX"/>
        </w:rPr>
        <w:t>Sin perjuicio de lo anterior, con</w:t>
      </w:r>
      <w:r w:rsidRPr="000F1405">
        <w:rPr>
          <w:rFonts w:ascii="Century Gothic" w:hAnsi="Century Gothic" w:cs="Arial"/>
          <w:bCs/>
          <w:color w:val="000000" w:themeColor="text1"/>
          <w:lang w:val="es-MX" w:eastAsia="es-MX"/>
        </w:rPr>
        <w:t xml:space="preserve"> la reciente expedición del Decreto 142 del de 2023</w:t>
      </w:r>
      <w:r w:rsidRPr="000F1405">
        <w:rPr>
          <w:rFonts w:ascii="Century Gothic" w:hAnsi="Century Gothic"/>
          <w:vertAlign w:val="superscript"/>
          <w:lang w:val="es-MX" w:eastAsia="es-MX"/>
        </w:rPr>
        <w:footnoteReference w:id="4"/>
      </w:r>
      <w:r w:rsidRPr="000F1405">
        <w:rPr>
          <w:rFonts w:ascii="Century Gothic" w:hAnsi="Century Gothic" w:cs="Arial"/>
          <w:bCs/>
          <w:color w:val="000000" w:themeColor="text1"/>
          <w:lang w:val="es-MX" w:eastAsia="es-MX"/>
        </w:rPr>
        <w:t xml:space="preserve"> se reglamentó la disposición contenida en el numeral 6 del artículo 33 de la Ley 2069 de 2020</w:t>
      </w:r>
      <w:r w:rsidRPr="000F1405">
        <w:rPr>
          <w:rFonts w:ascii="Century Gothic" w:hAnsi="Century Gothic" w:cs="Arial"/>
          <w:bCs/>
          <w:color w:val="000000" w:themeColor="text1"/>
          <w:vertAlign w:val="superscript"/>
          <w:lang w:val="es-MX" w:eastAsia="es-MX"/>
        </w:rPr>
        <w:footnoteReference w:id="5"/>
      </w:r>
      <w:r w:rsidRPr="000F1405">
        <w:rPr>
          <w:rFonts w:ascii="Century Gothic" w:hAnsi="Century Gothic" w:cs="Arial"/>
          <w:bCs/>
          <w:color w:val="000000" w:themeColor="text1"/>
          <w:lang w:val="es-MX" w:eastAsia="es-MX"/>
        </w:rPr>
        <w:t xml:space="preserve">. Con el fin de cumplir el mandato legal indicado, el artículo 2 del Decreto 0142 de 2023 modificó el artículo </w:t>
      </w:r>
      <w:r w:rsidRPr="000F1405">
        <w:rPr>
          <w:rFonts w:ascii="Century Gothic" w:hAnsi="Century Gothic" w:cs="Arial"/>
          <w:bCs/>
          <w:color w:val="000000"/>
        </w:rPr>
        <w:t>2.2.1.1.1.4.1</w:t>
      </w:r>
      <w:r w:rsidRPr="000F1405">
        <w:rPr>
          <w:rFonts w:ascii="Century Gothic" w:hAnsi="Century Gothic" w:cs="Arial"/>
          <w:bCs/>
          <w:color w:val="000000" w:themeColor="text1"/>
          <w:lang w:val="es-MX" w:eastAsia="es-MX"/>
        </w:rPr>
        <w:t xml:space="preserve"> </w:t>
      </w:r>
      <w:r w:rsidRPr="000F1405">
        <w:rPr>
          <w:rFonts w:ascii="Century Gothic" w:hAnsi="Century Gothic" w:cs="Arial"/>
          <w:bCs/>
          <w:color w:val="000000"/>
        </w:rPr>
        <w:t>del Decreto 1082 de 2015</w:t>
      </w:r>
      <w:r w:rsidRPr="000F1405">
        <w:rPr>
          <w:rFonts w:ascii="Century Gothic" w:hAnsi="Century Gothic"/>
          <w:color w:val="000000"/>
          <w:vertAlign w:val="superscript"/>
        </w:rPr>
        <w:footnoteReference w:id="6"/>
      </w:r>
      <w:r w:rsidRPr="000F1405">
        <w:rPr>
          <w:rFonts w:ascii="Century Gothic" w:hAnsi="Century Gothic" w:cs="Arial"/>
          <w:bCs/>
          <w:i/>
          <w:iCs/>
          <w:color w:val="000000"/>
        </w:rPr>
        <w:t xml:space="preserve">, </w:t>
      </w:r>
      <w:r w:rsidRPr="000F1405">
        <w:rPr>
          <w:rFonts w:ascii="Century Gothic" w:hAnsi="Century Gothic" w:cs="Arial"/>
          <w:bCs/>
          <w:color w:val="000000"/>
        </w:rPr>
        <w:t xml:space="preserve">para </w:t>
      </w:r>
      <w:r w:rsidRPr="000F1405">
        <w:rPr>
          <w:rFonts w:ascii="Century Gothic" w:hAnsi="Century Gothic" w:cs="Arial"/>
          <w:bCs/>
        </w:rPr>
        <w:t>instar a las entidades públicas para que, desde la configuración del Plan Anual de Adquisiciones, propendan por planear su contratación de tal manera que promueva el adelantamiento de procesos de contratación por lotes o segmentos, a fin de promover la participación de las Mipymes en los procesos de contratación. En concordancia con lo anterior,</w:t>
      </w:r>
      <w:r w:rsidRPr="000F1405">
        <w:rPr>
          <w:rFonts w:ascii="Century Gothic" w:hAnsi="Century Gothic" w:cs="Arial"/>
          <w:bCs/>
          <w:i/>
          <w:iCs/>
        </w:rPr>
        <w:t xml:space="preserve"> </w:t>
      </w:r>
      <w:r w:rsidRPr="000F1405">
        <w:rPr>
          <w:rFonts w:ascii="Century Gothic" w:hAnsi="Century Gothic" w:cs="Arial"/>
          <w:bCs/>
        </w:rPr>
        <w:t xml:space="preserve">el artículo 6 del Decreto 142 de 2023, adicionó el </w:t>
      </w:r>
      <w:r w:rsidRPr="000F1405">
        <w:rPr>
          <w:rFonts w:ascii="Century Gothic" w:hAnsi="Century Gothic" w:cs="Arial"/>
          <w:bCs/>
          <w:color w:val="000000"/>
        </w:rPr>
        <w:t>2.2.1.2.4.2.19 </w:t>
      </w:r>
      <w:r w:rsidRPr="000F1405">
        <w:rPr>
          <w:rFonts w:ascii="Century Gothic" w:hAnsi="Century Gothic" w:cs="Arial"/>
          <w:bCs/>
          <w:iCs/>
          <w:color w:val="000000"/>
        </w:rPr>
        <w:t>al Decreto 1082 de 2015</w:t>
      </w:r>
      <w:r w:rsidRPr="000F1405">
        <w:rPr>
          <w:rFonts w:ascii="Century Gothic" w:hAnsi="Century Gothic" w:cs="Arial"/>
          <w:bCs/>
          <w:i/>
          <w:iCs/>
          <w:color w:val="000000"/>
        </w:rPr>
        <w:t xml:space="preserve">, </w:t>
      </w:r>
      <w:r w:rsidRPr="000F1405">
        <w:rPr>
          <w:rFonts w:ascii="Century Gothic" w:hAnsi="Century Gothic" w:cs="Arial"/>
          <w:bCs/>
          <w:color w:val="000000"/>
        </w:rPr>
        <w:t xml:space="preserve">ratificando en el reglamento el deber de las entidades estatales de promover la división de </w:t>
      </w:r>
      <w:r w:rsidRPr="000F1405">
        <w:rPr>
          <w:rFonts w:ascii="Century Gothic" w:eastAsia="Times New Roman" w:hAnsi="Century Gothic" w:cs="Arial"/>
          <w:bCs/>
          <w:color w:val="000000"/>
          <w:lang w:eastAsia="es-CO"/>
        </w:rPr>
        <w:t xml:space="preserve">procesos de contratación en lotes o segmentos, ya establecido de manera expresa en el </w:t>
      </w:r>
      <w:r w:rsidRPr="000F1405">
        <w:rPr>
          <w:rFonts w:ascii="Century Gothic" w:hAnsi="Century Gothic" w:cs="Arial"/>
          <w:bCs/>
          <w:color w:val="000000" w:themeColor="text1"/>
          <w:lang w:val="es-MX" w:eastAsia="es-MX"/>
        </w:rPr>
        <w:t>numeral 6 del artículo 33 de la Ley 2069 de 2020. Esta última</w:t>
      </w:r>
      <w:r w:rsidRPr="000F1405">
        <w:rPr>
          <w:rFonts w:ascii="Century Gothic" w:hAnsi="Century Gothic" w:cs="Arial"/>
          <w:bCs/>
          <w:color w:val="000000"/>
        </w:rPr>
        <w:t xml:space="preserve"> obedece al siguiente tenor:  </w:t>
      </w:r>
    </w:p>
    <w:p w14:paraId="66A7749E" w14:textId="77777777" w:rsidR="00B90119" w:rsidRPr="000F1405" w:rsidRDefault="00B90119" w:rsidP="00B90119">
      <w:pPr>
        <w:spacing w:after="0" w:line="276" w:lineRule="auto"/>
        <w:ind w:firstLine="709"/>
        <w:jc w:val="both"/>
        <w:rPr>
          <w:rFonts w:ascii="Century Gothic" w:hAnsi="Century Gothic"/>
          <w:b/>
          <w:bCs/>
          <w:color w:val="333333"/>
          <w:shd w:val="clear" w:color="auto" w:fill="FFFFFF"/>
        </w:rPr>
      </w:pPr>
    </w:p>
    <w:p w14:paraId="4131C0AB" w14:textId="77777777" w:rsidR="00B90119" w:rsidRPr="00B90119" w:rsidRDefault="00B90119" w:rsidP="00520E27">
      <w:pPr>
        <w:spacing w:after="120" w:line="240" w:lineRule="auto"/>
        <w:ind w:left="1416" w:right="709"/>
        <w:contextualSpacing/>
        <w:jc w:val="both"/>
        <w:rPr>
          <w:rFonts w:ascii="Century Gothic" w:eastAsia="Times New Roman" w:hAnsi="Century Gothic" w:cs="Arial"/>
          <w:color w:val="000000"/>
          <w:sz w:val="20"/>
          <w:szCs w:val="20"/>
          <w:lang w:eastAsia="es-CO"/>
        </w:rPr>
      </w:pPr>
      <w:r w:rsidRPr="000F1405">
        <w:rPr>
          <w:rFonts w:ascii="Century Gothic" w:eastAsia="Times New Roman" w:hAnsi="Century Gothic" w:cs="Arial"/>
          <w:color w:val="000000"/>
          <w:sz w:val="20"/>
          <w:szCs w:val="20"/>
          <w:lang w:eastAsia="es-CO"/>
        </w:rPr>
        <w:lastRenderedPageBreak/>
        <w:t>“Artículo 2.2.1.2.4.2.19. </w:t>
      </w:r>
      <w:r w:rsidRPr="000F1405">
        <w:rPr>
          <w:rFonts w:ascii="Century Gothic" w:eastAsia="Times New Roman" w:hAnsi="Century Gothic" w:cs="Arial"/>
          <w:i/>
          <w:iCs/>
          <w:color w:val="000000"/>
          <w:sz w:val="20"/>
          <w:szCs w:val="20"/>
          <w:lang w:eastAsia="es-CO"/>
        </w:rPr>
        <w:t>División en lotes o segmentos. </w:t>
      </w:r>
      <w:r w:rsidRPr="000F1405">
        <w:rPr>
          <w:rFonts w:ascii="Century Gothic" w:eastAsia="Times New Roman" w:hAnsi="Century Gothic" w:cs="Arial"/>
          <w:color w:val="000000"/>
          <w:sz w:val="20"/>
          <w:szCs w:val="20"/>
          <w:lang w:eastAsia="es-CO"/>
        </w:rPr>
        <w:t>Las entidades</w:t>
      </w:r>
      <w:r w:rsidRPr="00B90119">
        <w:rPr>
          <w:rFonts w:ascii="Century Gothic" w:eastAsia="Times New Roman" w:hAnsi="Century Gothic" w:cs="Arial"/>
          <w:color w:val="000000"/>
          <w:sz w:val="20"/>
          <w:szCs w:val="20"/>
          <w:lang w:eastAsia="es-CO"/>
        </w:rPr>
        <w:t xml:space="preserve"> estatales promoverán la división de procesos de contratación en lotes o segmentos que faciliten la participación de las Mipymes atendiendo a criterios tales como: i) el tipo de entregable, ii) el valor del contrato y iii) el ámbito geográfico de la entrega. Para el efecto: las entidades estatales deberán tener en cuenta el análisis del sector económico y de los oferentes en los términos establecidos en el artículo 2.2.1.1.1.6.1. de presente decreto. </w:t>
      </w:r>
    </w:p>
    <w:p w14:paraId="2CB92FD9" w14:textId="77777777" w:rsidR="00B90119" w:rsidRPr="00B90119" w:rsidRDefault="00B90119" w:rsidP="00520E27">
      <w:pPr>
        <w:spacing w:after="120" w:line="240" w:lineRule="auto"/>
        <w:ind w:left="1416" w:right="709"/>
        <w:contextualSpacing/>
        <w:jc w:val="both"/>
        <w:rPr>
          <w:rFonts w:ascii="Century Gothic" w:eastAsia="Times New Roman" w:hAnsi="Century Gothic" w:cs="Arial"/>
          <w:color w:val="000000"/>
          <w:sz w:val="20"/>
          <w:szCs w:val="20"/>
          <w:lang w:eastAsia="es-CO"/>
        </w:rPr>
      </w:pPr>
      <w:r w:rsidRPr="00B90119">
        <w:rPr>
          <w:rFonts w:ascii="Century Gothic" w:eastAsia="Times New Roman" w:hAnsi="Century Gothic" w:cs="Arial"/>
          <w:color w:val="000000"/>
          <w:sz w:val="20"/>
          <w:szCs w:val="20"/>
          <w:lang w:eastAsia="es-CO"/>
        </w:rPr>
        <w:t>[…]  </w:t>
      </w:r>
    </w:p>
    <w:p w14:paraId="576D557F" w14:textId="77777777" w:rsidR="00B90119" w:rsidRPr="00B90119" w:rsidRDefault="00B90119" w:rsidP="00520E27">
      <w:pPr>
        <w:spacing w:after="120" w:line="240" w:lineRule="auto"/>
        <w:ind w:left="1416" w:right="709"/>
        <w:contextualSpacing/>
        <w:jc w:val="both"/>
        <w:rPr>
          <w:rFonts w:ascii="Century Gothic" w:eastAsia="Times New Roman" w:hAnsi="Century Gothic" w:cs="Arial"/>
          <w:color w:val="000000"/>
          <w:sz w:val="20"/>
          <w:szCs w:val="20"/>
          <w:lang w:eastAsia="es-CO"/>
        </w:rPr>
      </w:pPr>
      <w:r w:rsidRPr="00B90119">
        <w:rPr>
          <w:rFonts w:ascii="Century Gothic" w:eastAsia="Times New Roman" w:hAnsi="Century Gothic" w:cs="Arial"/>
          <w:color w:val="000000"/>
          <w:sz w:val="20"/>
          <w:szCs w:val="20"/>
          <w:lang w:eastAsia="es-CO"/>
        </w:rPr>
        <w:t>Las entidades estatales podrán incluir en el pliego de condiciones mecanismos o reglas que limiten el número de lotes que se adjudican a un mismo proponente, con el fin de evitar que se concentre la contratación, sobre la base de criterios objetivos y no discriminatorios. La decisión de no adjudicar un contrato en lotes o segmentos podrá obedecer entre otras razones, a que mediante este mecanismo se pueda restringir la competencia o que la segmentación del mercado pueda conducir a que la ejecución del contrato sea imposible desde el punto de vista técnico o económico. </w:t>
      </w:r>
    </w:p>
    <w:p w14:paraId="1875D5C9" w14:textId="77777777" w:rsidR="00B90119" w:rsidRPr="00B90119" w:rsidRDefault="00B90119" w:rsidP="00520E27">
      <w:pPr>
        <w:spacing w:after="0" w:line="240" w:lineRule="auto"/>
        <w:ind w:left="1416" w:right="709"/>
        <w:contextualSpacing/>
        <w:jc w:val="both"/>
        <w:rPr>
          <w:rFonts w:ascii="Arial" w:eastAsia="Times New Roman" w:hAnsi="Arial" w:cs="Arial"/>
          <w:color w:val="000000"/>
          <w:sz w:val="21"/>
          <w:szCs w:val="21"/>
          <w:lang w:eastAsia="es-CO"/>
        </w:rPr>
      </w:pPr>
      <w:r w:rsidRPr="00B90119">
        <w:rPr>
          <w:rFonts w:ascii="Century Gothic" w:eastAsia="Times New Roman" w:hAnsi="Century Gothic" w:cs="Arial"/>
          <w:color w:val="000000"/>
          <w:sz w:val="20"/>
          <w:szCs w:val="20"/>
          <w:lang w:eastAsia="es-CO"/>
        </w:rPr>
        <w:t>Parágrafo. En los Procesos de Contratación adelantados por lotes o grupos deberá aplicarse lo regulado en el artículo 2.2.1.2.4.2.2. del presente Decreto, tornando en consideración el valor del Proceso de Contratación imputable al respectivo lote en el que se solicite su aplicación. De igual manera será aplicable lo previsto en el artículo 2.2.1.2.4.2.3. a partir del lugar de ejecución del contrato asociado al respectivo lote o segmento”</w:t>
      </w:r>
      <w:r w:rsidRPr="00B90119">
        <w:rPr>
          <w:rFonts w:ascii="Arial" w:eastAsia="Times New Roman" w:hAnsi="Arial" w:cs="Arial"/>
          <w:color w:val="000000"/>
          <w:sz w:val="21"/>
          <w:szCs w:val="21"/>
          <w:lang w:eastAsia="es-CO"/>
        </w:rPr>
        <w:t>. </w:t>
      </w:r>
    </w:p>
    <w:p w14:paraId="7B974207" w14:textId="77777777" w:rsidR="00B90119" w:rsidRPr="00B90119" w:rsidRDefault="00B90119" w:rsidP="00B90119">
      <w:pPr>
        <w:spacing w:after="0" w:line="276" w:lineRule="auto"/>
        <w:ind w:firstLine="709"/>
        <w:jc w:val="both"/>
        <w:rPr>
          <w:rFonts w:ascii="Arial" w:hAnsi="Arial" w:cs="Arial"/>
        </w:rPr>
      </w:pPr>
    </w:p>
    <w:p w14:paraId="74CD07B7" w14:textId="77777777" w:rsidR="00B90119" w:rsidRPr="00B90119" w:rsidRDefault="00B90119" w:rsidP="00B90119">
      <w:pPr>
        <w:numPr>
          <w:ilvl w:val="0"/>
          <w:numId w:val="18"/>
        </w:numPr>
        <w:spacing w:after="120" w:line="276" w:lineRule="auto"/>
        <w:contextualSpacing/>
        <w:jc w:val="both"/>
        <w:rPr>
          <w:rFonts w:ascii="Century Gothic" w:hAnsi="Century Gothic" w:cs="Arial"/>
        </w:rPr>
      </w:pPr>
      <w:r w:rsidRPr="00B90119">
        <w:rPr>
          <w:rFonts w:ascii="Century Gothic" w:hAnsi="Century Gothic" w:cs="Arial"/>
          <w:color w:val="000000"/>
        </w:rPr>
        <w:t>Como se observa, el primer inciso de la norma establece los criterios que pueden tener en cuenta las entidades públicas para dividir los procesos por lotes o segmentos como lo son: i) el tipo de entregable, ii) el valor del contrato y (iii) el ámbito geográfico de la entrega</w:t>
      </w:r>
      <w:r w:rsidRPr="00B90119">
        <w:rPr>
          <w:rFonts w:ascii="Century Gothic" w:hAnsi="Century Gothic" w:cs="Arial"/>
        </w:rPr>
        <w:t xml:space="preserve">. Estos criterios se disponen, con el fin de facilitar la participación de las Mipymes en los procesos de contratación. </w:t>
      </w:r>
      <w:r w:rsidRPr="00B90119">
        <w:rPr>
          <w:rFonts w:ascii="Century Gothic" w:eastAsia="Times New Roman" w:hAnsi="Century Gothic" w:cs="Arial"/>
          <w:color w:val="000000"/>
          <w:lang w:eastAsia="es-CO"/>
        </w:rPr>
        <w:t>Asimismo, la norma señala que, para dar cumplimiento a lo indicado, las</w:t>
      </w:r>
      <w:r w:rsidRPr="00B90119">
        <w:rPr>
          <w:rFonts w:ascii="Century Gothic" w:hAnsi="Century Gothic" w:cs="Arial"/>
          <w:color w:val="000000"/>
        </w:rPr>
        <w:t xml:space="preserve"> entidades estatales deberán tener en cuenta el análisis del sector económico y de los oferentes en los términos establecidos en el artículo 2.2.1.1.1.6.1 del Decreto 1082 de 2015. </w:t>
      </w:r>
    </w:p>
    <w:p w14:paraId="78ADFD60" w14:textId="77777777" w:rsidR="00B90119" w:rsidRPr="00B90119" w:rsidRDefault="00B90119" w:rsidP="00B90119">
      <w:pPr>
        <w:numPr>
          <w:ilvl w:val="0"/>
          <w:numId w:val="18"/>
        </w:numPr>
        <w:spacing w:after="120" w:line="276" w:lineRule="auto"/>
        <w:contextualSpacing/>
        <w:jc w:val="both"/>
        <w:rPr>
          <w:rFonts w:ascii="Century Gothic" w:eastAsia="Times New Roman" w:hAnsi="Century Gothic" w:cs="Arial"/>
          <w:color w:val="000000"/>
          <w:lang w:eastAsia="es-CO"/>
        </w:rPr>
      </w:pPr>
      <w:r w:rsidRPr="00B90119">
        <w:rPr>
          <w:rFonts w:ascii="Century Gothic" w:hAnsi="Century Gothic" w:cs="Arial"/>
        </w:rPr>
        <w:t xml:space="preserve">Por su parte, el cuarto inciso de la disposición, habilita a las entidades públicas para que incluyan en los pliegos de condiciones mecanismos y reglas que limiten el número de lotes que pueden ser adjudicados a un mismo oferente. En relación con este aspecto, se considera que, como la norma no determina que los </w:t>
      </w:r>
      <w:r w:rsidRPr="00B90119">
        <w:rPr>
          <w:rFonts w:ascii="Century Gothic" w:hAnsi="Century Gothic" w:cs="Arial"/>
          <w:i/>
          <w:iCs/>
        </w:rPr>
        <w:t>mecanismos y reglas</w:t>
      </w:r>
      <w:r w:rsidRPr="00B90119">
        <w:rPr>
          <w:rFonts w:ascii="Century Gothic" w:hAnsi="Century Gothic" w:cs="Arial"/>
        </w:rPr>
        <w:t xml:space="preserve"> que pueden establecer las entidades para limitar el número de lotes a adjudicarse a un mismo oferente, solo proceda respecto de los lotes o segmentos de un mismo proceso de contratación, la </w:t>
      </w:r>
      <w:r w:rsidRPr="00B90119">
        <w:rPr>
          <w:rFonts w:ascii="Century Gothic" w:eastAsia="Times New Roman" w:hAnsi="Century Gothic" w:cs="Arial"/>
          <w:color w:val="000000"/>
          <w:lang w:eastAsia="es-CO"/>
        </w:rPr>
        <w:t xml:space="preserve">restricción puede incluirse en relación con todos </w:t>
      </w:r>
      <w:r w:rsidRPr="00B90119">
        <w:rPr>
          <w:rFonts w:ascii="Century Gothic" w:eastAsia="Times New Roman" w:hAnsi="Century Gothic" w:cs="Arial"/>
          <w:color w:val="000000"/>
          <w:lang w:eastAsia="es-CO"/>
        </w:rPr>
        <w:lastRenderedPageBreak/>
        <w:t xml:space="preserve">los lotes o segmentos de los diferentes procesos de selección que adelante la entidad estatal. </w:t>
      </w:r>
    </w:p>
    <w:p w14:paraId="45DE3C7E" w14:textId="77777777" w:rsidR="00B90119" w:rsidRPr="00B90119" w:rsidRDefault="00B90119" w:rsidP="00B90119">
      <w:pPr>
        <w:numPr>
          <w:ilvl w:val="0"/>
          <w:numId w:val="18"/>
        </w:numPr>
        <w:spacing w:after="120" w:line="276" w:lineRule="auto"/>
        <w:contextualSpacing/>
        <w:jc w:val="both"/>
        <w:rPr>
          <w:rFonts w:ascii="Century Gothic" w:hAnsi="Century Gothic" w:cs="Arial"/>
        </w:rPr>
      </w:pPr>
      <w:r w:rsidRPr="00B90119">
        <w:rPr>
          <w:rFonts w:ascii="Century Gothic" w:eastAsia="Times New Roman" w:hAnsi="Century Gothic" w:cs="Arial"/>
          <w:color w:val="000000"/>
          <w:lang w:eastAsia="es-CO"/>
        </w:rPr>
        <w:t xml:space="preserve">De esta forma, la entidad estatal podrá limitar el número de lotes de los que puede resultar adjudicatario un mismo proponente, considerando los segmentos de los distintos procesos de selección que se encuentre adelantando. Esto, </w:t>
      </w:r>
      <w:r w:rsidRPr="00B90119">
        <w:rPr>
          <w:rFonts w:ascii="Century Gothic" w:hAnsi="Century Gothic" w:cs="Arial"/>
          <w:i/>
          <w:iCs/>
        </w:rPr>
        <w:t>“con la finalidad de evitar que se concentre la contratación”</w:t>
      </w:r>
      <w:r w:rsidRPr="00B90119">
        <w:rPr>
          <w:rFonts w:ascii="Century Gothic" w:hAnsi="Century Gothic" w:cs="Arial"/>
        </w:rPr>
        <w:t xml:space="preserve"> en un solo oferente, y siempre y cuando esta restricción se realice sobre la base de criterios objetivos y no discriminatorios. </w:t>
      </w:r>
    </w:p>
    <w:p w14:paraId="4AAD4D33" w14:textId="77777777" w:rsidR="003C2A16" w:rsidRDefault="00B90119" w:rsidP="00B90119">
      <w:pPr>
        <w:numPr>
          <w:ilvl w:val="0"/>
          <w:numId w:val="18"/>
        </w:numPr>
        <w:spacing w:after="120" w:line="276" w:lineRule="auto"/>
        <w:contextualSpacing/>
        <w:jc w:val="both"/>
        <w:rPr>
          <w:rFonts w:ascii="Century Gothic" w:eastAsia="Times New Roman" w:hAnsi="Century Gothic" w:cs="Arial"/>
          <w:color w:val="000000"/>
          <w:lang w:eastAsia="es-CO"/>
        </w:rPr>
      </w:pPr>
      <w:r w:rsidRPr="00B90119">
        <w:rPr>
          <w:rFonts w:ascii="Century Gothic" w:eastAsia="Times New Roman" w:hAnsi="Century Gothic" w:cs="Arial"/>
          <w:color w:val="000000"/>
          <w:lang w:eastAsia="es-CO"/>
        </w:rPr>
        <w:t xml:space="preserve">Conforme a lo anterior, le corresponde a la entidad estatal en ejercicio de su autonomía y discrecionalidad que le confiere el artículo 2.2.1.2.4.2.19 del Decreto 1082 de 2015, determinar en los pliegos de condiciones para los procesos estructurados por lotes o segmentos, si un proponente puede resultar adjudicatario en uno o varios de los lotes o segmentos en los que se dividen los distinto procesos de contratación que se encuentra adelantando. </w:t>
      </w:r>
    </w:p>
    <w:p w14:paraId="79C387E9" w14:textId="14CAFF35" w:rsidR="00B90119" w:rsidRPr="00B90119" w:rsidRDefault="00B90119" w:rsidP="00B90119">
      <w:pPr>
        <w:numPr>
          <w:ilvl w:val="0"/>
          <w:numId w:val="18"/>
        </w:numPr>
        <w:spacing w:after="120" w:line="276" w:lineRule="auto"/>
        <w:contextualSpacing/>
        <w:jc w:val="both"/>
        <w:rPr>
          <w:rFonts w:ascii="Century Gothic" w:eastAsia="Times New Roman" w:hAnsi="Century Gothic" w:cs="Arial"/>
          <w:color w:val="000000"/>
          <w:lang w:eastAsia="es-CO"/>
        </w:rPr>
      </w:pPr>
      <w:r w:rsidRPr="00B90119">
        <w:rPr>
          <w:rFonts w:ascii="Century Gothic" w:eastAsia="Times New Roman" w:hAnsi="Century Gothic" w:cs="Arial"/>
          <w:color w:val="000000"/>
          <w:lang w:eastAsia="es-CO"/>
        </w:rPr>
        <w:t xml:space="preserve">Esto supone la posibilidad de que la entidad estatal establezca en el pliego de condiciones reglas y/o causales de rechazo, dirigidas a excluir garantizar a evitar que se concentre la contratación en un único proponente.  </w:t>
      </w:r>
      <w:r w:rsidRPr="00B90119">
        <w:rPr>
          <w:rFonts w:ascii="Century Gothic" w:hAnsi="Century Gothic" w:cs="Arial"/>
        </w:rPr>
        <w:t xml:space="preserve">Además, el inciso en comento establece que, la decisión de la entidad </w:t>
      </w:r>
      <w:r w:rsidRPr="00B90119">
        <w:rPr>
          <w:rFonts w:ascii="Century Gothic" w:eastAsia="Times New Roman" w:hAnsi="Century Gothic" w:cs="Arial"/>
          <w:color w:val="000000"/>
          <w:lang w:eastAsia="es-CO"/>
        </w:rPr>
        <w:t>de no adjudicar un contrato puede obedecer −entre otras razones− a que: i) mediante este mecanismo se pueda restringir la competencia o ii) que la segmentación del mercado pueda conducir a que la ejecución del contrato sea imposible desde el punto de vista técnico o económico.</w:t>
      </w:r>
    </w:p>
    <w:p w14:paraId="1350753B" w14:textId="77777777" w:rsidR="003C2A16" w:rsidRDefault="00B90119" w:rsidP="00B90119">
      <w:pPr>
        <w:numPr>
          <w:ilvl w:val="0"/>
          <w:numId w:val="18"/>
        </w:numPr>
        <w:shd w:val="clear" w:color="auto" w:fill="FFFFFF"/>
        <w:spacing w:after="120" w:line="276" w:lineRule="auto"/>
        <w:contextualSpacing/>
        <w:jc w:val="both"/>
        <w:rPr>
          <w:rFonts w:ascii="Century Gothic" w:hAnsi="Century Gothic" w:cs="Arial"/>
        </w:rPr>
      </w:pPr>
      <w:r w:rsidRPr="00B90119">
        <w:rPr>
          <w:rFonts w:ascii="Century Gothic" w:hAnsi="Century Gothic" w:cs="Arial"/>
        </w:rPr>
        <w:t xml:space="preserve">Por otra parte, el parágrafo de la norma menciona que, en los procesos de contratación adelantados por lotes o grupos deberá aplicarse lo regulado en el artículo </w:t>
      </w:r>
      <w:r w:rsidRPr="00B90119">
        <w:rPr>
          <w:rFonts w:ascii="Century Gothic" w:hAnsi="Century Gothic" w:cs="Arial"/>
          <w:color w:val="000000"/>
        </w:rPr>
        <w:t>2.2.1.2.4.2.2</w:t>
      </w:r>
      <w:r w:rsidRPr="00B90119">
        <w:rPr>
          <w:color w:val="000000"/>
          <w:vertAlign w:val="superscript"/>
        </w:rPr>
        <w:footnoteReference w:id="7"/>
      </w:r>
      <w:r w:rsidRPr="00B90119">
        <w:rPr>
          <w:rFonts w:ascii="Century Gothic" w:hAnsi="Century Gothic" w:cs="Arial"/>
          <w:color w:val="000000"/>
        </w:rPr>
        <w:t xml:space="preserve"> </w:t>
      </w:r>
      <w:r w:rsidRPr="00B90119">
        <w:rPr>
          <w:rFonts w:ascii="Century Gothic" w:hAnsi="Century Gothic" w:cs="Arial"/>
          <w:i/>
          <w:iCs/>
          <w:color w:val="000000"/>
        </w:rPr>
        <w:t>“convocatorias limitadas a Mipymes”</w:t>
      </w:r>
      <w:r w:rsidRPr="00B90119">
        <w:rPr>
          <w:rFonts w:ascii="Century Gothic" w:hAnsi="Century Gothic" w:cs="Arial"/>
          <w:color w:val="000000"/>
        </w:rPr>
        <w:t xml:space="preserve"> del Decreto </w:t>
      </w:r>
      <w:r w:rsidRPr="00B90119">
        <w:rPr>
          <w:rFonts w:ascii="Century Gothic" w:hAnsi="Century Gothic" w:cs="Arial"/>
          <w:color w:val="000000"/>
        </w:rPr>
        <w:lastRenderedPageBreak/>
        <w:t xml:space="preserve">1082 de 2015, tomando en consideración el valor del Proceso de Contratación imputable al respectivo lote en el que se solicite su aplicación. En relación con el aspecto señalado, es pertinente mencionar que, el numeral uno del artículo 2.2.1.2.4.2.2, establece como requisitos para limitar convocatorias a Mipymes que el valor del Proceso de Contratación sea menor a ciento veinticinco mil dólares de los Estados Unidos de América (US$125.000), liquidados con la tasa de cambio que para el efecto determina cada dos años el Ministerio de Comercio, Industria y Turismo. No obstante, de acuerdo con el parágrafo del </w:t>
      </w:r>
      <w:r w:rsidRPr="00B90119">
        <w:rPr>
          <w:rFonts w:ascii="Century Gothic" w:eastAsia="Times New Roman" w:hAnsi="Century Gothic" w:cs="Arial"/>
          <w:color w:val="000000"/>
          <w:lang w:eastAsia="es-CO"/>
        </w:rPr>
        <w:t xml:space="preserve">artículo 2.2.1.2.4.2.19, cuando el proceso se adelante por lotes el valor de los </w:t>
      </w:r>
      <w:r w:rsidRPr="00B90119">
        <w:rPr>
          <w:rFonts w:ascii="Century Gothic" w:hAnsi="Century Gothic" w:cs="Arial"/>
          <w:color w:val="000000"/>
        </w:rPr>
        <w:t>(US$125.000) debe establecerse en relación con el segmento, y no respecto del valor total del proceso de contratación −que se establecería con la sumatoria de todos los lotes o segmentos−.</w:t>
      </w:r>
    </w:p>
    <w:p w14:paraId="5D41E330" w14:textId="6ADC73FA" w:rsidR="00B90119" w:rsidRPr="000F1405" w:rsidRDefault="003C2A16" w:rsidP="00B90119">
      <w:pPr>
        <w:numPr>
          <w:ilvl w:val="0"/>
          <w:numId w:val="18"/>
        </w:numPr>
        <w:shd w:val="clear" w:color="auto" w:fill="FFFFFF"/>
        <w:spacing w:after="120" w:line="276" w:lineRule="auto"/>
        <w:contextualSpacing/>
        <w:jc w:val="both"/>
        <w:rPr>
          <w:rFonts w:ascii="Century Gothic" w:hAnsi="Century Gothic" w:cs="Arial"/>
        </w:rPr>
      </w:pPr>
      <w:r>
        <w:rPr>
          <w:rFonts w:ascii="Century Gothic" w:hAnsi="Century Gothic" w:cs="Arial"/>
        </w:rPr>
        <w:t>E</w:t>
      </w:r>
      <w:r w:rsidR="00B90119" w:rsidRPr="00B90119">
        <w:rPr>
          <w:rFonts w:ascii="Century Gothic" w:hAnsi="Century Gothic" w:cs="Arial"/>
        </w:rPr>
        <w:t xml:space="preserve">s pertinente mencionar que, el parágrafo en comento dispone que, en los procesos </w:t>
      </w:r>
      <w:r w:rsidR="00B90119" w:rsidRPr="000F1405">
        <w:rPr>
          <w:rFonts w:ascii="Century Gothic" w:hAnsi="Century Gothic" w:cs="Arial"/>
        </w:rPr>
        <w:t>adelantados por lotes o grupos, también, se aplicará lo previsto en el artículo 2.2.1.2.4.2.3. del Decreto 1082 de 2015</w:t>
      </w:r>
      <w:r w:rsidR="00B90119" w:rsidRPr="000F1405">
        <w:rPr>
          <w:rFonts w:ascii="Century Gothic" w:hAnsi="Century Gothic"/>
          <w:vertAlign w:val="superscript"/>
        </w:rPr>
        <w:footnoteReference w:id="8"/>
      </w:r>
      <w:r w:rsidR="00B90119" w:rsidRPr="000F1405">
        <w:rPr>
          <w:rFonts w:ascii="Century Gothic" w:hAnsi="Century Gothic" w:cs="Arial"/>
        </w:rPr>
        <w:t>, a partir del lugar de ejecución del contrato asociado al respectivo lote o segmento. </w:t>
      </w:r>
    </w:p>
    <w:p w14:paraId="6384193F" w14:textId="57C984FC" w:rsidR="003C2A16" w:rsidRPr="000F1405" w:rsidRDefault="003C2A16" w:rsidP="00B90119">
      <w:pPr>
        <w:numPr>
          <w:ilvl w:val="0"/>
          <w:numId w:val="18"/>
        </w:numPr>
        <w:shd w:val="clear" w:color="auto" w:fill="FFFFFF"/>
        <w:spacing w:after="120" w:line="276" w:lineRule="auto"/>
        <w:contextualSpacing/>
        <w:jc w:val="both"/>
        <w:rPr>
          <w:rFonts w:ascii="Century Gothic" w:hAnsi="Century Gothic" w:cs="Arial"/>
        </w:rPr>
      </w:pPr>
      <w:r w:rsidRPr="000F1405">
        <w:rPr>
          <w:rFonts w:ascii="Century Gothic" w:hAnsi="Century Gothic" w:cs="Arial"/>
        </w:rPr>
        <w:t>Para concluir, le corresponde a la entidad contratante estudiar la viabilida</w:t>
      </w:r>
      <w:r w:rsidR="000F1405">
        <w:rPr>
          <w:rFonts w:ascii="Century Gothic" w:hAnsi="Century Gothic" w:cs="Arial"/>
        </w:rPr>
        <w:t xml:space="preserve">d </w:t>
      </w:r>
      <w:r w:rsidRPr="000F1405">
        <w:rPr>
          <w:rFonts w:ascii="Century Gothic" w:hAnsi="Century Gothic" w:cs="Arial"/>
        </w:rPr>
        <w:t>e limitar los procesos de contratación a Mipymes cuando exista convergencia de los requisitos señalados en el artículo 2.2.1.2.4.2.</w:t>
      </w:r>
      <w:r w:rsidR="00BD48B2" w:rsidRPr="000F1405">
        <w:rPr>
          <w:rFonts w:ascii="Century Gothic" w:hAnsi="Century Gothic" w:cs="Arial"/>
        </w:rPr>
        <w:t>2</w:t>
      </w:r>
      <w:r w:rsidRPr="000F1405">
        <w:rPr>
          <w:rFonts w:ascii="Century Gothic" w:hAnsi="Century Gothic" w:cs="Arial"/>
        </w:rPr>
        <w:t xml:space="preserve"> del Decreto 1082 de 2015, así mismo, estas deben promover la  segmentación de los procesos de contratación, a fin de facilitar la participación de las Mipymes atendiendo a criterios tales como: i) el tipo de entregable, ii) el valor del contrato y iii) el ámbito geográfico de la entrega.</w:t>
      </w:r>
    </w:p>
    <w:p w14:paraId="4D3ABF2A" w14:textId="5516FAE5" w:rsidR="003C2A16" w:rsidRPr="000F1405" w:rsidRDefault="003C2A16" w:rsidP="003C2A16">
      <w:pPr>
        <w:shd w:val="clear" w:color="auto" w:fill="FFFFFF"/>
        <w:spacing w:after="120" w:line="276" w:lineRule="auto"/>
        <w:ind w:left="720"/>
        <w:contextualSpacing/>
        <w:jc w:val="both"/>
        <w:rPr>
          <w:rFonts w:ascii="Century Gothic" w:hAnsi="Century Gothic" w:cs="Arial"/>
        </w:rPr>
      </w:pPr>
    </w:p>
    <w:p w14:paraId="29343C70" w14:textId="33614717" w:rsidR="00BD48B2" w:rsidRPr="000F1405" w:rsidRDefault="003C2A16" w:rsidP="00BD48B2">
      <w:pPr>
        <w:shd w:val="clear" w:color="auto" w:fill="FFFFFF"/>
        <w:spacing w:after="120" w:line="276" w:lineRule="auto"/>
        <w:ind w:left="720"/>
        <w:contextualSpacing/>
        <w:jc w:val="both"/>
        <w:rPr>
          <w:rFonts w:ascii="Century Gothic" w:hAnsi="Century Gothic" w:cs="Arial"/>
        </w:rPr>
      </w:pPr>
      <w:r w:rsidRPr="000F1405">
        <w:rPr>
          <w:rFonts w:ascii="Century Gothic" w:hAnsi="Century Gothic" w:cs="Arial"/>
        </w:rPr>
        <w:t xml:space="preserve">Es por esto que, </w:t>
      </w:r>
      <w:r w:rsidR="00BD48B2" w:rsidRPr="000F1405">
        <w:rPr>
          <w:rFonts w:ascii="Century Gothic" w:hAnsi="Century Gothic" w:cs="Arial"/>
        </w:rPr>
        <w:t>cuando el proceso de contratación sea por lotes o grupos deberá aplicarse de forma lo regulado en el artículo 2.2.1.2.4.2.2. de la norma ibidem,  ya que se toma en consideración el valor del Proceso de Contratación imputable al respectivo lote en el que se solicite su aplicación.</w:t>
      </w:r>
    </w:p>
    <w:p w14:paraId="288F8A39" w14:textId="77777777" w:rsidR="00B90119" w:rsidRPr="000F1405" w:rsidRDefault="00B90119" w:rsidP="00B90119">
      <w:pPr>
        <w:widowControl w:val="0"/>
        <w:autoSpaceDE w:val="0"/>
        <w:autoSpaceDN w:val="0"/>
        <w:spacing w:after="0" w:line="276" w:lineRule="auto"/>
        <w:jc w:val="both"/>
        <w:rPr>
          <w:rFonts w:ascii="Century Gothic" w:hAnsi="Century Gothic" w:cs="Arial"/>
        </w:rPr>
      </w:pPr>
    </w:p>
    <w:p w14:paraId="25B66222" w14:textId="77777777" w:rsidR="00B90119" w:rsidRPr="000F1405" w:rsidRDefault="00B90119" w:rsidP="00B90119">
      <w:pPr>
        <w:numPr>
          <w:ilvl w:val="0"/>
          <w:numId w:val="16"/>
        </w:numPr>
        <w:tabs>
          <w:tab w:val="left" w:pos="142"/>
          <w:tab w:val="left" w:pos="284"/>
        </w:tabs>
        <w:spacing w:after="0" w:line="276" w:lineRule="auto"/>
        <w:ind w:left="0" w:firstLine="0"/>
        <w:jc w:val="both"/>
        <w:rPr>
          <w:rFonts w:ascii="Century Gothic" w:eastAsia="Century Gothic" w:hAnsi="Century Gothic" w:cs="Century Gothic"/>
          <w:b/>
          <w:bCs/>
          <w:lang w:val="es-ES"/>
        </w:rPr>
      </w:pPr>
      <w:r w:rsidRPr="000F1405">
        <w:rPr>
          <w:rFonts w:ascii="Century Gothic" w:eastAsia="Century Gothic" w:hAnsi="Century Gothic" w:cs="Century Gothic"/>
          <w:b/>
          <w:bCs/>
          <w:lang w:val="es-ES"/>
        </w:rPr>
        <w:t>Referencias normativas, jurisprudenciales y otras fuentes:</w:t>
      </w:r>
    </w:p>
    <w:p w14:paraId="60DF7962" w14:textId="77777777" w:rsidR="00B90119" w:rsidRPr="000F1405" w:rsidRDefault="00B90119" w:rsidP="00B90119">
      <w:pPr>
        <w:widowControl w:val="0"/>
        <w:autoSpaceDE w:val="0"/>
        <w:autoSpaceDN w:val="0"/>
        <w:spacing w:after="0" w:line="276" w:lineRule="auto"/>
        <w:jc w:val="both"/>
        <w:rPr>
          <w:rFonts w:ascii="Century Gothic" w:hAnsi="Century Gothic"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90119" w:rsidRPr="000F1405" w14:paraId="0B79C340" w14:textId="77777777" w:rsidTr="00912A82">
        <w:trPr>
          <w:trHeight w:val="870"/>
        </w:trPr>
        <w:tc>
          <w:tcPr>
            <w:tcW w:w="8647" w:type="dxa"/>
          </w:tcPr>
          <w:p w14:paraId="784085EE" w14:textId="77777777" w:rsidR="00B90119" w:rsidRPr="000F1405" w:rsidRDefault="00B90119" w:rsidP="00B90119">
            <w:pPr>
              <w:widowControl w:val="0"/>
              <w:numPr>
                <w:ilvl w:val="0"/>
                <w:numId w:val="17"/>
              </w:numPr>
              <w:tabs>
                <w:tab w:val="left" w:pos="8419"/>
              </w:tabs>
              <w:autoSpaceDE w:val="0"/>
              <w:autoSpaceDN w:val="0"/>
              <w:spacing w:after="120" w:line="276" w:lineRule="auto"/>
              <w:jc w:val="both"/>
              <w:rPr>
                <w:rFonts w:ascii="Century Gothic" w:eastAsia="Calibri" w:hAnsi="Century Gothic" w:cs="Arial"/>
                <w:color w:val="000000"/>
                <w:lang w:val="es-ES"/>
              </w:rPr>
            </w:pPr>
            <w:r w:rsidRPr="000F1405">
              <w:rPr>
                <w:rFonts w:ascii="Century Gothic" w:eastAsia="Calibri" w:hAnsi="Century Gothic" w:cs="Arial"/>
                <w:color w:val="000000"/>
                <w:lang w:val="es-ES"/>
              </w:rPr>
              <w:lastRenderedPageBreak/>
              <w:t>Ley 80 de 1993</w:t>
            </w:r>
          </w:p>
          <w:p w14:paraId="5E5EF9CA" w14:textId="77777777" w:rsidR="00B90119" w:rsidRPr="000F1405" w:rsidRDefault="00B90119" w:rsidP="00B90119">
            <w:pPr>
              <w:widowControl w:val="0"/>
              <w:numPr>
                <w:ilvl w:val="0"/>
                <w:numId w:val="17"/>
              </w:numPr>
              <w:tabs>
                <w:tab w:val="left" w:pos="8419"/>
              </w:tabs>
              <w:autoSpaceDE w:val="0"/>
              <w:autoSpaceDN w:val="0"/>
              <w:spacing w:after="120" w:line="276" w:lineRule="auto"/>
              <w:jc w:val="both"/>
              <w:rPr>
                <w:rFonts w:ascii="Century Gothic" w:eastAsia="Calibri" w:hAnsi="Century Gothic" w:cs="Arial"/>
                <w:color w:val="000000"/>
                <w:lang w:val="es-ES"/>
              </w:rPr>
            </w:pPr>
            <w:r w:rsidRPr="000F1405">
              <w:rPr>
                <w:rFonts w:ascii="Century Gothic" w:eastAsia="Calibri" w:hAnsi="Century Gothic" w:cs="Arial"/>
                <w:color w:val="000000"/>
                <w:lang w:val="es-ES"/>
              </w:rPr>
              <w:t>Ley 1150 de 2007</w:t>
            </w:r>
          </w:p>
          <w:p w14:paraId="7CA19DCF" w14:textId="77777777" w:rsidR="00B90119" w:rsidRPr="000F1405" w:rsidRDefault="00B90119" w:rsidP="00B90119">
            <w:pPr>
              <w:widowControl w:val="0"/>
              <w:numPr>
                <w:ilvl w:val="0"/>
                <w:numId w:val="17"/>
              </w:numPr>
              <w:tabs>
                <w:tab w:val="left" w:pos="8419"/>
              </w:tabs>
              <w:autoSpaceDE w:val="0"/>
              <w:autoSpaceDN w:val="0"/>
              <w:spacing w:after="120" w:line="276" w:lineRule="auto"/>
              <w:jc w:val="both"/>
              <w:rPr>
                <w:rFonts w:ascii="Century Gothic" w:eastAsia="Calibri" w:hAnsi="Century Gothic" w:cs="Arial"/>
                <w:color w:val="000000"/>
                <w:lang w:val="es-ES"/>
              </w:rPr>
            </w:pPr>
            <w:r w:rsidRPr="000F1405">
              <w:rPr>
                <w:rFonts w:ascii="Century Gothic" w:hAnsi="Century Gothic" w:cs="Arial"/>
              </w:rPr>
              <w:t xml:space="preserve">Artículo </w:t>
            </w:r>
            <w:r w:rsidRPr="000F1405">
              <w:rPr>
                <w:rFonts w:ascii="Century Gothic" w:hAnsi="Century Gothic" w:cs="Arial"/>
                <w:color w:val="000000"/>
              </w:rPr>
              <w:t xml:space="preserve">2.2.1.2.4.2.2 </w:t>
            </w:r>
            <w:r w:rsidRPr="000F1405">
              <w:rPr>
                <w:rFonts w:ascii="Century Gothic" w:eastAsia="Calibri" w:hAnsi="Century Gothic" w:cs="Arial"/>
                <w:color w:val="000000"/>
                <w:lang w:val="es-ES"/>
              </w:rPr>
              <w:t>Decreto Único Reglamentario 1082 de 2015</w:t>
            </w:r>
          </w:p>
          <w:p w14:paraId="5F300FD3" w14:textId="77777777" w:rsidR="00B90119" w:rsidRPr="000F1405" w:rsidRDefault="00B90119" w:rsidP="00B90119">
            <w:pPr>
              <w:widowControl w:val="0"/>
              <w:numPr>
                <w:ilvl w:val="0"/>
                <w:numId w:val="17"/>
              </w:numPr>
              <w:autoSpaceDE w:val="0"/>
              <w:autoSpaceDN w:val="0"/>
              <w:spacing w:after="120" w:line="276" w:lineRule="auto"/>
              <w:jc w:val="both"/>
              <w:rPr>
                <w:rFonts w:ascii="Century Gothic" w:eastAsia="Calibri" w:hAnsi="Century Gothic" w:cs="Arial"/>
                <w:color w:val="000000"/>
                <w:lang w:val="es-ES"/>
              </w:rPr>
            </w:pPr>
            <w:r w:rsidRPr="000F1405">
              <w:rPr>
                <w:rFonts w:ascii="Century Gothic" w:eastAsia="Calibri" w:hAnsi="Century Gothic" w:cs="Arial"/>
                <w:color w:val="000000"/>
                <w:lang w:val="es-ES"/>
              </w:rPr>
              <w:t xml:space="preserve">Jurisprudencia del Consejo de Estado. Disponible en: </w:t>
            </w:r>
            <w:hyperlink r:id="rId13" w:history="1">
              <w:r w:rsidRPr="000F1405">
                <w:rPr>
                  <w:rFonts w:ascii="Century Gothic" w:eastAsia="Calibri" w:hAnsi="Century Gothic"/>
                  <w:color w:val="000000"/>
                  <w:lang w:val="es-ES"/>
                </w:rPr>
                <w:t>https://relatoria.colombiacompra.gov.co/providencias-consejo-de-estado/</w:t>
              </w:r>
            </w:hyperlink>
            <w:r w:rsidRPr="000F1405">
              <w:rPr>
                <w:rFonts w:ascii="Century Gothic" w:eastAsia="Calibri" w:hAnsi="Century Gothic" w:cs="Arial"/>
                <w:color w:val="000000"/>
                <w:lang w:val="es-ES"/>
              </w:rPr>
              <w:t xml:space="preserve"> </w:t>
            </w:r>
          </w:p>
          <w:p w14:paraId="51DBF4C8" w14:textId="77777777" w:rsidR="00B90119" w:rsidRPr="000F1405" w:rsidRDefault="00B90119" w:rsidP="00B90119">
            <w:pPr>
              <w:widowControl w:val="0"/>
              <w:numPr>
                <w:ilvl w:val="0"/>
                <w:numId w:val="17"/>
              </w:numPr>
              <w:autoSpaceDE w:val="0"/>
              <w:autoSpaceDN w:val="0"/>
              <w:spacing w:after="120" w:line="276" w:lineRule="auto"/>
              <w:jc w:val="both"/>
              <w:rPr>
                <w:rFonts w:ascii="Century Gothic" w:eastAsia="Calibri" w:hAnsi="Century Gothic" w:cs="Arial"/>
                <w:color w:val="000000"/>
                <w:lang w:val="es-ES"/>
              </w:rPr>
            </w:pPr>
            <w:r w:rsidRPr="000F1405">
              <w:rPr>
                <w:rFonts w:ascii="Century Gothic" w:eastAsia="Calibri" w:hAnsi="Century Gothic" w:cs="Arial"/>
                <w:color w:val="000000"/>
                <w:lang w:val="es-ES"/>
              </w:rPr>
              <w:t xml:space="preserve">Guías y manuales expedidos por la ANCP-CCE. Disponible en: </w:t>
            </w:r>
            <w:hyperlink r:id="rId14" w:history="1">
              <w:r w:rsidRPr="000F1405">
                <w:rPr>
                  <w:rFonts w:ascii="Century Gothic" w:eastAsia="Calibri" w:hAnsi="Century Gothic"/>
                  <w:color w:val="000000"/>
                  <w:lang w:val="es-ES"/>
                </w:rPr>
                <w:t>https://www.colombiacompra.gov.co/manuales-guias-y-pliegos-tipo/manuales-y-guias</w:t>
              </w:r>
            </w:hyperlink>
            <w:r w:rsidRPr="000F1405">
              <w:rPr>
                <w:rFonts w:ascii="Century Gothic" w:eastAsia="Calibri" w:hAnsi="Century Gothic" w:cs="Arial"/>
                <w:color w:val="000000"/>
                <w:lang w:val="es-ES"/>
              </w:rPr>
              <w:t xml:space="preserve"> </w:t>
            </w:r>
          </w:p>
          <w:p w14:paraId="7E4A8268" w14:textId="77777777" w:rsidR="00B90119" w:rsidRPr="000F1405" w:rsidRDefault="00B90119" w:rsidP="00B90119">
            <w:pPr>
              <w:widowControl w:val="0"/>
              <w:autoSpaceDE w:val="0"/>
              <w:autoSpaceDN w:val="0"/>
              <w:spacing w:after="120" w:line="276" w:lineRule="auto"/>
              <w:ind w:left="360"/>
              <w:jc w:val="both"/>
              <w:rPr>
                <w:rFonts w:ascii="Century Gothic" w:hAnsi="Century Gothic" w:cs="Arial"/>
              </w:rPr>
            </w:pPr>
          </w:p>
        </w:tc>
      </w:tr>
    </w:tbl>
    <w:p w14:paraId="254A7431" w14:textId="77777777" w:rsidR="00B90119" w:rsidRPr="000F1405" w:rsidRDefault="00B90119" w:rsidP="00B90119">
      <w:pPr>
        <w:widowControl w:val="0"/>
        <w:autoSpaceDE w:val="0"/>
        <w:autoSpaceDN w:val="0"/>
        <w:spacing w:after="0" w:line="276" w:lineRule="auto"/>
        <w:jc w:val="both"/>
        <w:rPr>
          <w:rFonts w:ascii="Century Gothic" w:hAnsi="Century Gothic" w:cs="Arial"/>
        </w:rPr>
      </w:pPr>
    </w:p>
    <w:p w14:paraId="345852F2" w14:textId="77777777" w:rsidR="00B90119" w:rsidRPr="000F1405" w:rsidRDefault="00B90119" w:rsidP="00B90119">
      <w:pPr>
        <w:numPr>
          <w:ilvl w:val="0"/>
          <w:numId w:val="16"/>
        </w:numPr>
        <w:tabs>
          <w:tab w:val="left" w:pos="142"/>
          <w:tab w:val="left" w:pos="284"/>
        </w:tabs>
        <w:spacing w:after="0" w:line="276" w:lineRule="auto"/>
        <w:ind w:left="0" w:firstLine="0"/>
        <w:jc w:val="both"/>
        <w:rPr>
          <w:rFonts w:ascii="Century Gothic" w:eastAsia="Century Gothic" w:hAnsi="Century Gothic" w:cs="Century Gothic"/>
          <w:b/>
          <w:bCs/>
          <w:lang w:val="es-ES"/>
        </w:rPr>
      </w:pPr>
      <w:r w:rsidRPr="000F1405">
        <w:rPr>
          <w:rFonts w:ascii="Century Gothic" w:eastAsia="Century Gothic" w:hAnsi="Century Gothic" w:cs="Century Gothic"/>
          <w:b/>
          <w:bCs/>
          <w:lang w:val="es-ES"/>
        </w:rPr>
        <w:t>Doctrina de la Agencia Nacional de Contratación Pública:</w:t>
      </w:r>
    </w:p>
    <w:p w14:paraId="3DDEFA93" w14:textId="77777777" w:rsidR="00B90119" w:rsidRPr="00B90119" w:rsidRDefault="00B90119" w:rsidP="00B90119">
      <w:pPr>
        <w:widowControl w:val="0"/>
        <w:autoSpaceDE w:val="0"/>
        <w:autoSpaceDN w:val="0"/>
        <w:spacing w:after="0" w:line="276" w:lineRule="auto"/>
        <w:jc w:val="both"/>
        <w:rPr>
          <w:rFonts w:ascii="Century Gothic" w:hAnsi="Century Gothic" w:cs="Arial"/>
        </w:rPr>
      </w:pPr>
    </w:p>
    <w:p w14:paraId="2E3FC081" w14:textId="77777777" w:rsidR="00B90119" w:rsidRPr="00B90119" w:rsidRDefault="00B90119" w:rsidP="00B90119">
      <w:pPr>
        <w:widowControl w:val="0"/>
        <w:autoSpaceDE w:val="0"/>
        <w:autoSpaceDN w:val="0"/>
        <w:spacing w:after="0" w:line="276" w:lineRule="auto"/>
        <w:jc w:val="both"/>
        <w:rPr>
          <w:rFonts w:ascii="Century Gothic" w:hAnsi="Century Gothic"/>
        </w:rPr>
      </w:pPr>
      <w:r w:rsidRPr="00B90119">
        <w:rPr>
          <w:rFonts w:ascii="Century Gothic" w:eastAsia="Calibri" w:hAnsi="Century Gothic" w:cs="Arial"/>
          <w:color w:val="000000"/>
        </w:rPr>
        <w:t>L</w:t>
      </w:r>
      <w:r w:rsidRPr="00B90119">
        <w:rPr>
          <w:rFonts w:ascii="Century Gothic" w:eastAsia="Calibri" w:hAnsi="Century Gothic" w:cs="Arial"/>
          <w:color w:val="000000"/>
          <w:lang w:val="es-ES"/>
        </w:rPr>
        <w:t>a Agencia Nacional de Contratación Pública – Colombia Compra Eficiente, en los Conceptos número Conceptos</w:t>
      </w:r>
      <w:r w:rsidRPr="00B90119">
        <w:t xml:space="preserve"> </w:t>
      </w:r>
      <w:r w:rsidRPr="00B90119">
        <w:rPr>
          <w:rFonts w:ascii="Century Gothic" w:eastAsia="Calibri" w:hAnsi="Century Gothic" w:cs="Arial"/>
          <w:color w:val="000000"/>
        </w:rPr>
        <w:t xml:space="preserve">Concepto </w:t>
      </w:r>
      <w:r w:rsidRPr="00B90119">
        <w:rPr>
          <w:rFonts w:ascii="Century Gothic" w:eastAsia="Calibri" w:hAnsi="Century Gothic" w:cs="Arial"/>
          <w:bCs/>
          <w:color w:val="000000" w:themeColor="text1"/>
          <w:lang w:val="es-ES_tradnl"/>
        </w:rPr>
        <w:t>-670 del 19 de octubre de 2022, C-951 del 18 de enero de 2022, C-598 del 22 de septiembre de 2022, C-670 del 19 de octubre de 2022, C-113 del 12 de mayo de 2023, C-194 del 18 de mayo de 2023 y C-064 del 5 de junio de 2023</w:t>
      </w:r>
      <w:r w:rsidRPr="00B90119">
        <w:rPr>
          <w:rFonts w:ascii="Century Gothic" w:eastAsia="Calibri" w:hAnsi="Century Gothic" w:cs="Arial"/>
          <w:color w:val="000000"/>
          <w:lang w:val="es-ES"/>
        </w:rPr>
        <w:t xml:space="preserve">, entre otros. </w:t>
      </w:r>
      <w:r w:rsidRPr="00B90119">
        <w:rPr>
          <w:rFonts w:ascii="Century Gothic" w:hAnsi="Century Gothic"/>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5" w:tgtFrame="_blank" w:tooltip="Dirección URL original: https://relatoria.colombiacompra.gov.co/. Haga clic o pulse si confía en este vínculo." w:history="1">
        <w:r w:rsidRPr="00B90119">
          <w:rPr>
            <w:rFonts w:ascii="Century Gothic" w:hAnsi="Century Gothic"/>
            <w:color w:val="0563C1" w:themeColor="hyperlink"/>
            <w:u w:val="single"/>
          </w:rPr>
          <w:t>https://relatoria.colombiacompra.gov.co/</w:t>
        </w:r>
      </w:hyperlink>
      <w:r w:rsidRPr="00B90119">
        <w:rPr>
          <w:rFonts w:ascii="Century Gothic" w:hAnsi="Century Gothic"/>
        </w:rPr>
        <w:t> . Te invitamos también a revisar la tercera edición del  Boletín de Relatoría de 2024 en el cual podrás consultar en detalle el marco normativo de documentos tipo: </w:t>
      </w:r>
      <w:hyperlink r:id="rId16" w:tgtFrame="_blank" w:tooltip="Dirección URL original: https://www.colombiacompra.gov.co/sites/cce_public/files/files_2020/boletin_de_realtoria_iii.pdf. Haga clic o pulse si confía en este vínculo." w:history="1">
        <w:r w:rsidRPr="00B90119">
          <w:rPr>
            <w:rFonts w:ascii="Century Gothic" w:hAnsi="Century Gothic"/>
            <w:color w:val="0563C1" w:themeColor="hyperlink"/>
            <w:u w:val="single"/>
          </w:rPr>
          <w:t>https://www.colombiacompra.gov.co/sites/cce_public/files/files_2020/boletin_de_realtoria_iii.pdf</w:t>
        </w:r>
      </w:hyperlink>
      <w:r w:rsidRPr="00B90119">
        <w:rPr>
          <w:rFonts w:ascii="Century Gothic" w:hAnsi="Century Gothic"/>
        </w:rPr>
        <w:t>.</w:t>
      </w:r>
    </w:p>
    <w:p w14:paraId="5EC8EC4E" w14:textId="77777777" w:rsidR="00B90119" w:rsidRPr="00B90119" w:rsidRDefault="00B90119" w:rsidP="00B90119">
      <w:pPr>
        <w:widowControl w:val="0"/>
        <w:autoSpaceDE w:val="0"/>
        <w:autoSpaceDN w:val="0"/>
        <w:spacing w:after="0" w:line="276" w:lineRule="auto"/>
        <w:jc w:val="both"/>
        <w:rPr>
          <w:rFonts w:ascii="Century Gothic" w:hAnsi="Century Gothic"/>
        </w:rPr>
      </w:pPr>
    </w:p>
    <w:p w14:paraId="5D1E4533" w14:textId="77777777" w:rsidR="00B90119" w:rsidRPr="00B90119" w:rsidRDefault="00B90119" w:rsidP="00B90119">
      <w:pPr>
        <w:widowControl w:val="0"/>
        <w:autoSpaceDE w:val="0"/>
        <w:autoSpaceDN w:val="0"/>
        <w:spacing w:after="0" w:line="276" w:lineRule="auto"/>
        <w:jc w:val="both"/>
        <w:rPr>
          <w:rFonts w:ascii="Century Gothic" w:hAnsi="Century Gothic"/>
        </w:rPr>
      </w:pPr>
      <w:r w:rsidRPr="00B90119">
        <w:rPr>
          <w:rFonts w:ascii="Century Gothic" w:hAnsi="Century Gothic"/>
        </w:rPr>
        <w:t>De otra parte, te informamos que entre el 15 al 29 de agosto de 2024 estará disponible para comentarios la Guía para Promover la Participación de las MIPYMES en los Procesos de Compra y Contratación Pública. Esta nueva versión desarrolla  lineamientos para la aplicación de los incentivos regulados por normas como la Ley 2069 de 2020 y los decretos 1860 de 2021, 142 de 2023 y el 874 de 2024. Te invitamos a participar dejando tus observaciones en los siguientes enlaces: </w:t>
      </w:r>
      <w:hyperlink r:id="rId17" w:tgtFrame="_blank" w:tooltip="Dirección URL original: https://www.sucop.gov.co/entidades/colombiacompra/Normativa?IDNorma=17363. Haga clic o pulse si confía en este vínculo." w:history="1">
        <w:r w:rsidRPr="00B90119">
          <w:rPr>
            <w:rFonts w:ascii="Century Gothic" w:hAnsi="Century Gothic"/>
            <w:color w:val="0563C1" w:themeColor="hyperlink"/>
            <w:u w:val="single"/>
          </w:rPr>
          <w:t>https://www.sucop.gov.co/entidades/colombiacompra/Normativa?IDN</w:t>
        </w:r>
        <w:r w:rsidRPr="00B90119">
          <w:rPr>
            <w:rFonts w:ascii="Century Gothic" w:hAnsi="Century Gothic"/>
            <w:color w:val="0563C1" w:themeColor="hyperlink"/>
            <w:u w:val="single"/>
          </w:rPr>
          <w:lastRenderedPageBreak/>
          <w:t>orma=17363</w:t>
        </w:r>
      </w:hyperlink>
      <w:r w:rsidRPr="00B90119">
        <w:rPr>
          <w:rFonts w:ascii="Century Gothic" w:hAnsi="Century Gothic"/>
        </w:rPr>
        <w:t> y </w:t>
      </w:r>
      <w:hyperlink r:id="rId18" w:tgtFrame="_blank" w:tooltip="Dirección URL original: https://www.colombiacompra.gov.co/content/convocatorias. Haga clic o pulse si confía en este vínculo." w:history="1">
        <w:r w:rsidRPr="00B90119">
          <w:rPr>
            <w:rFonts w:ascii="Century Gothic" w:hAnsi="Century Gothic"/>
            <w:color w:val="0563C1" w:themeColor="hyperlink"/>
            <w:u w:val="single"/>
          </w:rPr>
          <w:t>https://www.colombiacompra.gov.co/content/convocatorias</w:t>
        </w:r>
      </w:hyperlink>
      <w:r w:rsidRPr="00B90119">
        <w:rPr>
          <w:rFonts w:ascii="Century Gothic" w:hAnsi="Century Gothic"/>
        </w:rPr>
        <w:t> .</w:t>
      </w:r>
    </w:p>
    <w:p w14:paraId="6D519FB3" w14:textId="77777777" w:rsidR="00B90119" w:rsidRPr="00B90119" w:rsidRDefault="00B90119" w:rsidP="00B90119">
      <w:pPr>
        <w:widowControl w:val="0"/>
        <w:autoSpaceDE w:val="0"/>
        <w:autoSpaceDN w:val="0"/>
        <w:spacing w:after="0" w:line="276" w:lineRule="auto"/>
        <w:jc w:val="both"/>
        <w:rPr>
          <w:rFonts w:ascii="Century Gothic" w:hAnsi="Century Gothic" w:cs="Arial"/>
          <w:color w:val="7030A0"/>
          <w:shd w:val="clear" w:color="auto" w:fill="FFFFFF"/>
          <w:lang w:val="es-ES"/>
        </w:rPr>
      </w:pPr>
    </w:p>
    <w:p w14:paraId="6F687EA0" w14:textId="77777777" w:rsidR="00B90119" w:rsidRPr="00B90119" w:rsidRDefault="00B90119" w:rsidP="00B90119">
      <w:pPr>
        <w:spacing w:after="0" w:line="240" w:lineRule="auto"/>
        <w:jc w:val="both"/>
        <w:rPr>
          <w:rFonts w:ascii="Century Gothic" w:hAnsi="Century Gothic"/>
        </w:rPr>
      </w:pPr>
      <w:r w:rsidRPr="00B90119">
        <w:rPr>
          <w:rFonts w:ascii="Century Gothic" w:hAnsi="Century Gothic"/>
        </w:rPr>
        <w:t xml:space="preserve">Por último, lo invitamos a seguirnos en las redes sociales en las cuales se difunde información institucional: </w:t>
      </w:r>
    </w:p>
    <w:p w14:paraId="16CEAFD9" w14:textId="77777777" w:rsidR="00B90119" w:rsidRPr="00B90119" w:rsidRDefault="00B90119" w:rsidP="00B90119">
      <w:pPr>
        <w:spacing w:after="0" w:line="240" w:lineRule="auto"/>
        <w:jc w:val="both"/>
        <w:rPr>
          <w:rFonts w:ascii="Century Gothic" w:hAnsi="Century Gothic"/>
        </w:rPr>
      </w:pPr>
    </w:p>
    <w:p w14:paraId="123CC4B8" w14:textId="77777777" w:rsidR="00B90119" w:rsidRPr="00B90119" w:rsidRDefault="00B90119" w:rsidP="00B90119">
      <w:pPr>
        <w:spacing w:after="0" w:line="240" w:lineRule="auto"/>
        <w:jc w:val="both"/>
        <w:rPr>
          <w:rFonts w:ascii="Century Gothic" w:hAnsi="Century Gothic"/>
        </w:rPr>
      </w:pPr>
      <w:r w:rsidRPr="00B90119">
        <w:rPr>
          <w:rFonts w:ascii="Century Gothic" w:hAnsi="Century Gothic"/>
        </w:rPr>
        <w:t xml:space="preserve">Twitter: </w:t>
      </w:r>
      <w:r w:rsidRPr="00B90119">
        <w:rPr>
          <w:rFonts w:ascii="Century Gothic" w:hAnsi="Century Gothic"/>
          <w:color w:val="4472C4" w:themeColor="accent1"/>
          <w:u w:val="single"/>
        </w:rPr>
        <w:t>@colombiacompra</w:t>
      </w:r>
      <w:r w:rsidRPr="00B90119">
        <w:rPr>
          <w:rFonts w:ascii="Century Gothic" w:hAnsi="Century Gothic"/>
          <w:color w:val="4472C4" w:themeColor="accent1"/>
        </w:rPr>
        <w:t xml:space="preserve"> </w:t>
      </w:r>
    </w:p>
    <w:p w14:paraId="405372C1" w14:textId="77777777" w:rsidR="00B90119" w:rsidRPr="00B90119" w:rsidRDefault="00B90119" w:rsidP="00B90119">
      <w:pPr>
        <w:spacing w:after="0" w:line="240" w:lineRule="auto"/>
        <w:jc w:val="both"/>
        <w:rPr>
          <w:rFonts w:ascii="Century Gothic" w:hAnsi="Century Gothic"/>
        </w:rPr>
      </w:pPr>
      <w:r w:rsidRPr="00B90119">
        <w:rPr>
          <w:rFonts w:ascii="Century Gothic" w:hAnsi="Century Gothic"/>
        </w:rPr>
        <w:t xml:space="preserve">Facebook: </w:t>
      </w:r>
      <w:r w:rsidRPr="00B90119">
        <w:rPr>
          <w:rFonts w:ascii="Century Gothic" w:hAnsi="Century Gothic"/>
          <w:color w:val="4472C4" w:themeColor="accent1"/>
          <w:u w:val="single"/>
        </w:rPr>
        <w:t>ColombiaCompraEficiente</w:t>
      </w:r>
    </w:p>
    <w:p w14:paraId="5C661A85" w14:textId="77777777" w:rsidR="00B90119" w:rsidRPr="00B90119" w:rsidRDefault="00B90119" w:rsidP="00B90119">
      <w:pPr>
        <w:spacing w:after="0" w:line="240" w:lineRule="auto"/>
        <w:jc w:val="both"/>
        <w:rPr>
          <w:rFonts w:ascii="Century Gothic" w:hAnsi="Century Gothic"/>
        </w:rPr>
      </w:pPr>
      <w:r w:rsidRPr="00B90119">
        <w:rPr>
          <w:rFonts w:ascii="Century Gothic" w:hAnsi="Century Gothic"/>
        </w:rPr>
        <w:t xml:space="preserve">LinkedIn: </w:t>
      </w:r>
      <w:r w:rsidRPr="00B90119">
        <w:rPr>
          <w:rFonts w:ascii="Century Gothic" w:hAnsi="Century Gothic"/>
          <w:color w:val="4472C4" w:themeColor="accent1"/>
          <w:u w:val="single"/>
        </w:rPr>
        <w:t>Agencia Nacional de Contratación Pública - Colombia Compra Eficiente</w:t>
      </w:r>
      <w:r w:rsidRPr="00B90119">
        <w:rPr>
          <w:rFonts w:ascii="Century Gothic" w:hAnsi="Century Gothic"/>
          <w:color w:val="4472C4" w:themeColor="accent1"/>
        </w:rPr>
        <w:t xml:space="preserve"> </w:t>
      </w:r>
      <w:r w:rsidRPr="00B90119">
        <w:rPr>
          <w:rFonts w:ascii="Century Gothic" w:hAnsi="Century Gothic"/>
        </w:rPr>
        <w:t xml:space="preserve">Instagram: </w:t>
      </w:r>
      <w:r w:rsidRPr="00B90119">
        <w:rPr>
          <w:rFonts w:ascii="Century Gothic" w:hAnsi="Century Gothic"/>
          <w:color w:val="4472C4" w:themeColor="accent1"/>
          <w:u w:val="single"/>
        </w:rPr>
        <w:t>@colombiacompraeficiente_cce</w:t>
      </w:r>
    </w:p>
    <w:p w14:paraId="54145A4C" w14:textId="77777777" w:rsidR="00B90119" w:rsidRPr="00B90119" w:rsidRDefault="00B90119" w:rsidP="00B90119">
      <w:pPr>
        <w:widowControl w:val="0"/>
        <w:autoSpaceDE w:val="0"/>
        <w:autoSpaceDN w:val="0"/>
        <w:spacing w:after="0" w:line="276" w:lineRule="auto"/>
        <w:jc w:val="both"/>
        <w:rPr>
          <w:rFonts w:ascii="Century Gothic" w:hAnsi="Century Gothic" w:cs="Arial"/>
        </w:rPr>
      </w:pPr>
    </w:p>
    <w:p w14:paraId="2BD90AB9" w14:textId="77777777" w:rsidR="00B90119" w:rsidRPr="00B90119" w:rsidRDefault="00B90119" w:rsidP="00B90119">
      <w:pPr>
        <w:widowControl w:val="0"/>
        <w:autoSpaceDE w:val="0"/>
        <w:autoSpaceDN w:val="0"/>
        <w:spacing w:after="0" w:line="276" w:lineRule="auto"/>
        <w:jc w:val="both"/>
        <w:rPr>
          <w:rFonts w:ascii="Century Gothic" w:hAnsi="Century Gothic" w:cs="Arial"/>
          <w:lang w:val="es-ES_tradnl"/>
        </w:rPr>
      </w:pPr>
      <w:r w:rsidRPr="00B90119">
        <w:rPr>
          <w:rFonts w:ascii="Century Gothic" w:hAnsi="Century Gothic" w:cs="Arial"/>
        </w:rPr>
        <w:t xml:space="preserve">Este concepto tiene el alcance previsto en el artículo 28 del Código de Procedimiento Administrativo y de lo Contencioso Administrativo </w:t>
      </w:r>
      <w:r w:rsidRPr="00B90119">
        <w:rPr>
          <w:rFonts w:ascii="Century Gothic" w:hAnsi="Century Gothic" w:cs="Arial"/>
          <w:lang w:val="es-ES_tradnl"/>
        </w:rPr>
        <w:t>y las expresiones aquí utilizadas con mayúscula inicial deben ser entendidas con el significado que les otorga el artículo 2.2.1.1.1.3.1. del Decreto 1082 de 2015.</w:t>
      </w:r>
    </w:p>
    <w:p w14:paraId="407D3160" w14:textId="77777777" w:rsidR="00B90119" w:rsidRPr="00B90119" w:rsidRDefault="00B90119" w:rsidP="00B90119">
      <w:pPr>
        <w:widowControl w:val="0"/>
        <w:autoSpaceDE w:val="0"/>
        <w:autoSpaceDN w:val="0"/>
        <w:spacing w:after="0" w:line="276" w:lineRule="auto"/>
        <w:jc w:val="both"/>
        <w:rPr>
          <w:rFonts w:ascii="Century Gothic" w:hAnsi="Century Gothic" w:cs="Arial"/>
        </w:rPr>
      </w:pPr>
    </w:p>
    <w:p w14:paraId="1DDC055F" w14:textId="77777777" w:rsidR="00B90119" w:rsidRPr="00B90119" w:rsidRDefault="00B90119" w:rsidP="00B90119">
      <w:pPr>
        <w:spacing w:after="0" w:line="240" w:lineRule="auto"/>
        <w:rPr>
          <w:rFonts w:ascii="Century Gothic" w:hAnsi="Century Gothic" w:cs="Arial"/>
          <w:lang w:eastAsia="es-CO"/>
        </w:rPr>
      </w:pPr>
      <w:r w:rsidRPr="00B90119">
        <w:rPr>
          <w:rFonts w:ascii="Century Gothic" w:eastAsia="Times New Roman" w:hAnsi="Century Gothic" w:cs="Arial"/>
          <w:lang w:eastAsia="es-CO"/>
        </w:rPr>
        <w:t>Atentamente,</w:t>
      </w:r>
      <w:r w:rsidRPr="00B90119">
        <w:rPr>
          <w:rFonts w:ascii="Century Gothic" w:hAnsi="Century Gothic" w:cs="Arial"/>
          <w:lang w:eastAsia="es-CO"/>
        </w:rPr>
        <w:t xml:space="preserve"> </w:t>
      </w:r>
    </w:p>
    <w:p w14:paraId="1CC6CAA8" w14:textId="77777777" w:rsidR="00B90119" w:rsidRPr="00B90119" w:rsidRDefault="00B90119" w:rsidP="00B90119">
      <w:pPr>
        <w:spacing w:line="276" w:lineRule="auto"/>
        <w:jc w:val="center"/>
        <w:rPr>
          <w:rFonts w:ascii="Century Gothic" w:hAnsi="Century Gothic"/>
          <w:noProof/>
        </w:rPr>
      </w:pPr>
    </w:p>
    <w:p w14:paraId="11594AE7" w14:textId="7DD1849C" w:rsidR="00B90119" w:rsidRPr="00B90119" w:rsidRDefault="00281E32" w:rsidP="00B90119">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69D95CE4" wp14:editId="52CD795C">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90119" w:rsidRPr="00B90119" w14:paraId="5B942228" w14:textId="77777777" w:rsidTr="3CB291BD">
        <w:trPr>
          <w:trHeight w:val="315"/>
        </w:trPr>
        <w:tc>
          <w:tcPr>
            <w:tcW w:w="893" w:type="dxa"/>
            <w:vAlign w:val="center"/>
            <w:hideMark/>
          </w:tcPr>
          <w:p w14:paraId="299B386A" w14:textId="77777777" w:rsidR="00B90119" w:rsidRPr="00B90119" w:rsidRDefault="00B90119" w:rsidP="00B90119">
            <w:pPr>
              <w:contextualSpacing/>
              <w:rPr>
                <w:rFonts w:ascii="Century Gothic" w:hAnsi="Century Gothic" w:cs="Arial"/>
                <w:sz w:val="16"/>
                <w:szCs w:val="16"/>
                <w:lang w:val="es-ES_tradnl"/>
              </w:rPr>
            </w:pPr>
            <w:r w:rsidRPr="00B90119">
              <w:rPr>
                <w:rFonts w:ascii="Century Gothic" w:hAnsi="Century Gothic" w:cs="Arial"/>
                <w:sz w:val="16"/>
                <w:szCs w:val="16"/>
                <w:lang w:val="es-ES_tradnl"/>
              </w:rPr>
              <w:t>Elaboró:</w:t>
            </w:r>
          </w:p>
        </w:tc>
        <w:tc>
          <w:tcPr>
            <w:tcW w:w="5628" w:type="dxa"/>
            <w:tcBorders>
              <w:top w:val="nil"/>
              <w:left w:val="nil"/>
              <w:bottom w:val="dotted" w:sz="4" w:space="0" w:color="7F7F7F" w:themeColor="text1" w:themeTint="80"/>
              <w:right w:val="nil"/>
            </w:tcBorders>
            <w:vAlign w:val="center"/>
            <w:hideMark/>
          </w:tcPr>
          <w:p w14:paraId="42D012B3" w14:textId="77777777" w:rsidR="00B90119" w:rsidRPr="00B90119" w:rsidRDefault="00B90119" w:rsidP="3CB291BD">
            <w:pPr>
              <w:contextualSpacing/>
              <w:rPr>
                <w:rFonts w:ascii="Century Gothic" w:hAnsi="Century Gothic" w:cs="Arial"/>
                <w:sz w:val="16"/>
                <w:szCs w:val="16"/>
                <w:lang w:val="es-ES"/>
              </w:rPr>
            </w:pPr>
            <w:r w:rsidRPr="3CB291BD">
              <w:rPr>
                <w:rFonts w:ascii="Century Gothic" w:hAnsi="Century Gothic" w:cs="Arial"/>
                <w:sz w:val="16"/>
                <w:szCs w:val="16"/>
                <w:lang w:val="es-ES"/>
              </w:rPr>
              <w:t xml:space="preserve">Diana Carolina Blanco Rodriguez </w:t>
            </w:r>
          </w:p>
          <w:p w14:paraId="436A2ED9" w14:textId="77777777" w:rsidR="00B90119" w:rsidRPr="00B90119" w:rsidRDefault="00B90119" w:rsidP="00B90119">
            <w:pPr>
              <w:contextualSpacing/>
              <w:rPr>
                <w:rFonts w:ascii="Century Gothic" w:hAnsi="Century Gothic" w:cs="Arial"/>
                <w:sz w:val="16"/>
                <w:szCs w:val="16"/>
                <w:lang w:val="es-ES_tradnl"/>
              </w:rPr>
            </w:pPr>
            <w:r w:rsidRPr="00B90119">
              <w:rPr>
                <w:rFonts w:ascii="Century Gothic" w:hAnsi="Century Gothic"/>
                <w:sz w:val="16"/>
                <w:szCs w:val="16"/>
                <w:lang w:val="es-ES_tradnl"/>
              </w:rPr>
              <w:t>Contratista de la Subdirección de Gestión Contractual</w:t>
            </w:r>
          </w:p>
        </w:tc>
      </w:tr>
      <w:tr w:rsidR="00B90119" w:rsidRPr="00B90119" w14:paraId="2D21D18A" w14:textId="77777777" w:rsidTr="3CB291BD">
        <w:trPr>
          <w:trHeight w:val="330"/>
        </w:trPr>
        <w:tc>
          <w:tcPr>
            <w:tcW w:w="893" w:type="dxa"/>
            <w:vAlign w:val="center"/>
            <w:hideMark/>
          </w:tcPr>
          <w:p w14:paraId="5CEF44E0" w14:textId="77777777" w:rsidR="00B90119" w:rsidRPr="00B90119" w:rsidRDefault="00B90119" w:rsidP="00B90119">
            <w:pPr>
              <w:contextualSpacing/>
              <w:rPr>
                <w:rFonts w:ascii="Century Gothic" w:hAnsi="Century Gothic" w:cs="Arial"/>
                <w:sz w:val="16"/>
                <w:szCs w:val="16"/>
                <w:lang w:val="es-ES_tradnl"/>
              </w:rPr>
            </w:pPr>
            <w:r w:rsidRPr="00B90119">
              <w:rPr>
                <w:rFonts w:ascii="Century Gothic" w:hAnsi="Century Gothic" w:cs="Arial"/>
                <w:sz w:val="16"/>
                <w:szCs w:val="16"/>
                <w:lang w:val="es-ES_tradnl"/>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232383D" w14:textId="77777777" w:rsidR="00B90119" w:rsidRPr="00B90119" w:rsidRDefault="00B90119" w:rsidP="00B90119">
            <w:pPr>
              <w:contextualSpacing/>
              <w:textAlignment w:val="baseline"/>
              <w:rPr>
                <w:rFonts w:ascii="Century Gothic" w:hAnsi="Century Gothic" w:cs="Times New Roman"/>
                <w:sz w:val="16"/>
                <w:szCs w:val="16"/>
                <w:lang w:val="es-ES_tradnl"/>
              </w:rPr>
            </w:pPr>
            <w:r w:rsidRPr="00B90119">
              <w:rPr>
                <w:rFonts w:ascii="Century Gothic" w:hAnsi="Century Gothic" w:cs="Times New Roman"/>
                <w:sz w:val="16"/>
                <w:szCs w:val="16"/>
                <w:lang w:val="es-ES_tradnl"/>
              </w:rPr>
              <w:t>Cielo Victoria González Meza</w:t>
            </w:r>
          </w:p>
          <w:p w14:paraId="3BA46775" w14:textId="77777777" w:rsidR="00B90119" w:rsidRPr="00B90119" w:rsidRDefault="00B90119" w:rsidP="00B90119">
            <w:pPr>
              <w:contextualSpacing/>
              <w:textAlignment w:val="baseline"/>
              <w:rPr>
                <w:rFonts w:ascii="Century Gothic" w:hAnsi="Century Gothic" w:cs="Arial"/>
                <w:sz w:val="16"/>
                <w:szCs w:val="16"/>
                <w:lang w:val="es-ES_tradnl"/>
              </w:rPr>
            </w:pPr>
            <w:r w:rsidRPr="00B90119">
              <w:rPr>
                <w:rFonts w:ascii="Century Gothic" w:hAnsi="Century Gothic" w:cs="Times New Roman"/>
                <w:sz w:val="16"/>
                <w:szCs w:val="16"/>
                <w:lang w:val="es-ES_tradnl"/>
              </w:rPr>
              <w:t>Contratista de la Subdirección de Gestión Contractual </w:t>
            </w:r>
          </w:p>
        </w:tc>
      </w:tr>
      <w:tr w:rsidR="00B90119" w:rsidRPr="00B90119" w14:paraId="1CBA7835" w14:textId="77777777" w:rsidTr="3CB291BD">
        <w:trPr>
          <w:trHeight w:val="300"/>
        </w:trPr>
        <w:tc>
          <w:tcPr>
            <w:tcW w:w="893" w:type="dxa"/>
            <w:vAlign w:val="center"/>
          </w:tcPr>
          <w:p w14:paraId="05707367" w14:textId="77777777" w:rsidR="00B90119" w:rsidRPr="00B90119" w:rsidRDefault="00B90119" w:rsidP="00B90119">
            <w:pPr>
              <w:contextualSpacing/>
              <w:rPr>
                <w:rFonts w:ascii="Century Gothic" w:hAnsi="Century Gothic" w:cs="Arial"/>
                <w:sz w:val="16"/>
                <w:szCs w:val="16"/>
                <w:lang w:val="es-ES_tradnl"/>
              </w:rPr>
            </w:pPr>
            <w:r w:rsidRPr="00B90119">
              <w:rPr>
                <w:rFonts w:ascii="Century Gothic" w:hAnsi="Century Gothic" w:cs="Arial"/>
                <w:sz w:val="16"/>
                <w:szCs w:val="16"/>
                <w:lang w:val="es-ES_tradnl"/>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607E8D8" w14:textId="77777777" w:rsidR="00B90119" w:rsidRPr="00B90119" w:rsidRDefault="00B90119" w:rsidP="3CB291BD">
            <w:pPr>
              <w:contextualSpacing/>
              <w:rPr>
                <w:rFonts w:ascii="Century Gothic" w:hAnsi="Century Gothic" w:cs="Arial"/>
                <w:sz w:val="16"/>
                <w:szCs w:val="16"/>
                <w:lang w:val="es-ES"/>
              </w:rPr>
            </w:pPr>
            <w:r w:rsidRPr="3CB291BD">
              <w:rPr>
                <w:rFonts w:ascii="Century Gothic" w:hAnsi="Century Gothic" w:cs="Arial"/>
                <w:sz w:val="16"/>
                <w:szCs w:val="16"/>
                <w:lang w:val="es-ES"/>
              </w:rPr>
              <w:t xml:space="preserve">Carolina Quintero </w:t>
            </w:r>
            <w:proofErr w:type="spellStart"/>
            <w:r w:rsidRPr="3CB291BD">
              <w:rPr>
                <w:rFonts w:ascii="Century Gothic" w:hAnsi="Century Gothic" w:cs="Arial"/>
                <w:sz w:val="16"/>
                <w:szCs w:val="16"/>
                <w:lang w:val="es-ES"/>
              </w:rPr>
              <w:t>Gacharná</w:t>
            </w:r>
            <w:proofErr w:type="spellEnd"/>
          </w:p>
          <w:p w14:paraId="387C89AD" w14:textId="77777777" w:rsidR="00B90119" w:rsidRPr="00B90119" w:rsidRDefault="00B90119" w:rsidP="00B90119">
            <w:pPr>
              <w:contextualSpacing/>
              <w:rPr>
                <w:rFonts w:ascii="Century Gothic" w:hAnsi="Century Gothic" w:cs="Arial"/>
                <w:sz w:val="16"/>
                <w:szCs w:val="16"/>
                <w:lang w:val="es-ES_tradnl"/>
              </w:rPr>
            </w:pPr>
            <w:r w:rsidRPr="00B90119">
              <w:rPr>
                <w:rFonts w:ascii="Century Gothic" w:hAnsi="Century Gothic" w:cs="Arial"/>
                <w:sz w:val="16"/>
                <w:szCs w:val="16"/>
                <w:lang w:val="es-ES_tradnl"/>
              </w:rPr>
              <w:t>Subdirectora de Gestión Contractual ANCP – CCE</w:t>
            </w:r>
          </w:p>
        </w:tc>
      </w:tr>
    </w:tbl>
    <w:p w14:paraId="38A2523C" w14:textId="77777777" w:rsidR="00B90119" w:rsidRPr="00B90119" w:rsidRDefault="00B90119" w:rsidP="00B90119">
      <w:pPr>
        <w:spacing w:after="0" w:line="240" w:lineRule="auto"/>
        <w:rPr>
          <w:rFonts w:ascii="Verdana" w:eastAsia="Times New Roman" w:hAnsi="Verdana" w:cs="Arial"/>
          <w:sz w:val="24"/>
          <w:szCs w:val="24"/>
          <w:lang w:eastAsia="es-ES"/>
        </w:rPr>
      </w:pPr>
    </w:p>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A5C83E" w14:textId="77777777" w:rsidR="001A472E" w:rsidRDefault="001A472E" w:rsidP="004A1847">
      <w:pPr>
        <w:spacing w:after="0" w:line="240" w:lineRule="auto"/>
      </w:pPr>
      <w:r>
        <w:separator/>
      </w:r>
    </w:p>
  </w:endnote>
  <w:endnote w:type="continuationSeparator" w:id="0">
    <w:p w14:paraId="040B0C13" w14:textId="77777777" w:rsidR="001A472E" w:rsidRDefault="001A472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A8C516" w14:textId="77777777" w:rsidR="001A472E" w:rsidRDefault="001A472E" w:rsidP="004A1847">
      <w:pPr>
        <w:spacing w:after="0" w:line="240" w:lineRule="auto"/>
      </w:pPr>
      <w:r>
        <w:separator/>
      </w:r>
    </w:p>
  </w:footnote>
  <w:footnote w:type="continuationSeparator" w:id="0">
    <w:p w14:paraId="7480ECD3" w14:textId="77777777" w:rsidR="001A472E" w:rsidRDefault="001A472E" w:rsidP="004A1847">
      <w:pPr>
        <w:spacing w:after="0" w:line="240" w:lineRule="auto"/>
      </w:pPr>
      <w:r>
        <w:continuationSeparator/>
      </w:r>
    </w:p>
  </w:footnote>
  <w:footnote w:id="1">
    <w:p w14:paraId="3F3D0D34" w14:textId="44167A32" w:rsidR="005B158C" w:rsidRPr="000F1405" w:rsidRDefault="005B158C">
      <w:pPr>
        <w:pStyle w:val="Textonotapie"/>
        <w:rPr>
          <w:sz w:val="14"/>
          <w:szCs w:val="14"/>
        </w:rPr>
      </w:pPr>
      <w:r w:rsidRPr="000F1405">
        <w:rPr>
          <w:rStyle w:val="Refdenotaalpie"/>
          <w:sz w:val="14"/>
          <w:szCs w:val="14"/>
        </w:rPr>
        <w:footnoteRef/>
      </w:r>
      <w:r w:rsidRPr="000F1405">
        <w:rPr>
          <w:sz w:val="14"/>
          <w:szCs w:val="14"/>
        </w:rPr>
        <w:t xml:space="preserve"> </w:t>
      </w:r>
      <w:r w:rsidRPr="000F1405">
        <w:rPr>
          <w:rFonts w:ascii="Century Gothic" w:hAnsi="Century Gothic" w:cs="Arial"/>
          <w:color w:val="000000"/>
          <w:sz w:val="14"/>
          <w:szCs w:val="14"/>
        </w:rPr>
        <w:t>Artículo 2.2.1.2.4.2.2 del Decreto 1082 de 2015</w:t>
      </w:r>
    </w:p>
  </w:footnote>
  <w:footnote w:id="2">
    <w:p w14:paraId="60D90C2F" w14:textId="775BAB48" w:rsidR="00ED65A7" w:rsidRPr="000F1405" w:rsidRDefault="00ED65A7">
      <w:pPr>
        <w:pStyle w:val="Textonotapie"/>
        <w:rPr>
          <w:rFonts w:ascii="Century Gothic" w:hAnsi="Century Gothic"/>
          <w:sz w:val="14"/>
          <w:szCs w:val="14"/>
        </w:rPr>
      </w:pPr>
      <w:r w:rsidRPr="000F1405">
        <w:rPr>
          <w:rStyle w:val="Refdenotaalpie"/>
          <w:rFonts w:ascii="Century Gothic" w:hAnsi="Century Gothic"/>
          <w:sz w:val="14"/>
          <w:szCs w:val="14"/>
        </w:rPr>
        <w:footnoteRef/>
      </w:r>
      <w:r w:rsidRPr="000F1405">
        <w:rPr>
          <w:rFonts w:ascii="Century Gothic" w:hAnsi="Century Gothic"/>
          <w:sz w:val="14"/>
          <w:szCs w:val="14"/>
        </w:rPr>
        <w:t xml:space="preserve"> Sentencia Consejo de Estado 11001-03-06-000-2018-00034-00 del seis (06) de junio de dos mil dieciocho (2018). </w:t>
      </w:r>
    </w:p>
  </w:footnote>
  <w:footnote w:id="3">
    <w:p w14:paraId="707321EC" w14:textId="77777777" w:rsidR="009F3101" w:rsidRPr="000F1405" w:rsidRDefault="009F3101" w:rsidP="000F1405">
      <w:pPr>
        <w:pStyle w:val="Textonotapie"/>
        <w:jc w:val="both"/>
        <w:rPr>
          <w:rFonts w:ascii="Century Gothic" w:hAnsi="Century Gothic"/>
          <w:sz w:val="14"/>
          <w:szCs w:val="14"/>
          <w:lang w:val="es-ES"/>
        </w:rPr>
      </w:pPr>
      <w:r w:rsidRPr="000F1405">
        <w:rPr>
          <w:rStyle w:val="Refdenotaalpie"/>
          <w:rFonts w:ascii="Century Gothic" w:hAnsi="Century Gothic"/>
          <w:sz w:val="14"/>
          <w:szCs w:val="14"/>
        </w:rPr>
        <w:footnoteRef/>
      </w:r>
      <w:r w:rsidRPr="000F1405">
        <w:rPr>
          <w:rFonts w:ascii="Century Gothic" w:hAnsi="Century Gothic"/>
          <w:sz w:val="14"/>
          <w:szCs w:val="14"/>
        </w:rPr>
        <w:t xml:space="preserve"> </w:t>
      </w:r>
      <w:r w:rsidRPr="000F1405">
        <w:rPr>
          <w:rFonts w:ascii="Century Gothic" w:hAnsi="Century Gothic"/>
          <w:sz w:val="14"/>
          <w:szCs w:val="14"/>
          <w:lang w:val="es-CO"/>
        </w:rPr>
        <w:t xml:space="preserve">Esta política se justifica en la medida que: </w:t>
      </w:r>
      <w:proofErr w:type="gramStart"/>
      <w:r w:rsidRPr="000F1405">
        <w:rPr>
          <w:rFonts w:ascii="Century Gothic" w:hAnsi="Century Gothic"/>
          <w:sz w:val="14"/>
          <w:szCs w:val="14"/>
          <w:lang w:val="es-CO"/>
        </w:rPr>
        <w:t>“ Cuando</w:t>
      </w:r>
      <w:proofErr w:type="gramEnd"/>
      <w:r w:rsidRPr="000F1405">
        <w:rPr>
          <w:rFonts w:ascii="Century Gothic" w:hAnsi="Century Gothic"/>
          <w:sz w:val="14"/>
          <w:szCs w:val="14"/>
          <w:lang w:val="es-CO"/>
        </w:rPr>
        <w:t xml:space="preserve"> una empresa decide ser formal se generan beneficios para la sociedad más allá de los que la empresa recibe (externalidades positivas). Estos beneficios [ </w:t>
      </w:r>
      <w:proofErr w:type="gramStart"/>
      <w:r w:rsidRPr="000F1405">
        <w:rPr>
          <w:rFonts w:ascii="Century Gothic" w:hAnsi="Century Gothic"/>
          <w:sz w:val="14"/>
          <w:szCs w:val="14"/>
          <w:lang w:val="es-CO"/>
        </w:rPr>
        <w:t>… ]</w:t>
      </w:r>
      <w:proofErr w:type="gramEnd"/>
      <w:r w:rsidRPr="000F1405">
        <w:rPr>
          <w:rFonts w:ascii="Century Gothic" w:hAnsi="Century Gothic"/>
          <w:sz w:val="14"/>
          <w:szCs w:val="14"/>
          <w:lang w:val="es-CO"/>
        </w:rPr>
        <w:t xml:space="preserve">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w:t>
      </w:r>
      <w:r w:rsidRPr="000F1405">
        <w:rPr>
          <w:rFonts w:ascii="Verdana" w:hAnsi="Verdana"/>
          <w:sz w:val="16"/>
          <w:szCs w:val="16"/>
          <w:lang w:val="es-CO"/>
        </w:rPr>
        <w:t xml:space="preserve"> </w:t>
      </w:r>
      <w:r w:rsidRPr="000F1405">
        <w:rPr>
          <w:rFonts w:ascii="Century Gothic" w:hAnsi="Century Gothic"/>
          <w:sz w:val="14"/>
          <w:szCs w:val="14"/>
          <w:lang w:val="es-CO"/>
        </w:rPr>
        <w:t xml:space="preserve">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w:t>
      </w:r>
      <w:proofErr w:type="gramStart"/>
      <w:r w:rsidRPr="000F1405">
        <w:rPr>
          <w:rFonts w:ascii="Century Gothic" w:hAnsi="Century Gothic"/>
          <w:sz w:val="14"/>
          <w:szCs w:val="14"/>
          <w:lang w:val="es-CO"/>
        </w:rPr>
        <w:t>ilegales ”</w:t>
      </w:r>
      <w:proofErr w:type="gramEnd"/>
      <w:r w:rsidRPr="000F1405">
        <w:rPr>
          <w:rFonts w:ascii="Century Gothic" w:hAnsi="Century Gothic"/>
          <w:sz w:val="14"/>
          <w:szCs w:val="14"/>
          <w:lang w:val="es-CO"/>
        </w:rPr>
        <w:t xml:space="preserve"> (Cfr. CONSEJO NACIONAL DE POLÍTICA ECONÓMICA Y SOCIAL. Documento 3956 del 8 de enero de 2019: </w:t>
      </w:r>
      <w:proofErr w:type="gramStart"/>
      <w:r w:rsidRPr="000F1405">
        <w:rPr>
          <w:rFonts w:ascii="Century Gothic" w:hAnsi="Century Gothic"/>
          <w:sz w:val="14"/>
          <w:szCs w:val="14"/>
          <w:lang w:val="es-CO"/>
        </w:rPr>
        <w:t>“ Política</w:t>
      </w:r>
      <w:proofErr w:type="gramEnd"/>
      <w:r w:rsidRPr="000F1405">
        <w:rPr>
          <w:rFonts w:ascii="Century Gothic" w:hAnsi="Century Gothic"/>
          <w:sz w:val="14"/>
          <w:szCs w:val="14"/>
          <w:lang w:val="es-CO"/>
        </w:rPr>
        <w:t xml:space="preserve"> de formalización empresarial ” . Archivo consultado el 8 de febrero de 2021 en la página web https://colaboracion.dnp.gov.co/CDT/Conpes/Econ%C3%B3micos/3956.pdf).</w:t>
      </w:r>
    </w:p>
  </w:footnote>
  <w:footnote w:id="4">
    <w:p w14:paraId="35796D73" w14:textId="77777777" w:rsidR="00B90119" w:rsidRPr="00D518E0" w:rsidRDefault="00B90119" w:rsidP="00B90119">
      <w:pPr>
        <w:pStyle w:val="Textonotapie"/>
        <w:ind w:firstLine="709"/>
        <w:jc w:val="both"/>
        <w:rPr>
          <w:rFonts w:ascii="Century Gothic" w:hAnsi="Century Gothic" w:cs="Arial"/>
          <w:sz w:val="14"/>
          <w:szCs w:val="14"/>
          <w:lang w:val="es-CO"/>
        </w:rPr>
      </w:pPr>
      <w:r w:rsidRPr="000F1405">
        <w:rPr>
          <w:rStyle w:val="Refdenotaalpie"/>
          <w:rFonts w:ascii="Century Gothic" w:hAnsi="Century Gothic" w:cs="Arial"/>
          <w:sz w:val="14"/>
          <w:szCs w:val="14"/>
        </w:rPr>
        <w:footnoteRef/>
      </w:r>
      <w:r w:rsidRPr="000F1405">
        <w:rPr>
          <w:rFonts w:ascii="Century Gothic" w:hAnsi="Century Gothic" w:cs="Arial"/>
          <w:sz w:val="14"/>
          <w:szCs w:val="14"/>
        </w:rPr>
        <w:t xml:space="preserve"> </w:t>
      </w:r>
      <w:r w:rsidRPr="000F1405">
        <w:rPr>
          <w:rFonts w:ascii="Century Gothic" w:hAnsi="Century Gothic" w:cs="Arial"/>
          <w:sz w:val="14"/>
          <w:szCs w:val="14"/>
          <w:lang w:eastAsia="es-MX"/>
        </w:rPr>
        <w:t xml:space="preserve">“Por el cual se modifica y adiciona el Decreto 1082 de 2015, Único Reglamentario del Sector Administrativo de Planeación Nacional para promover el acceso al sistema de Compras Públicas de las Mipymes, las Cooperativas y demás entidades de la economía solidaria, se incorporan criterios sociales y ambientales en los Procesos de Contratación de las Entidades Estatales, se incluye el Título de emprendimiento comunal y se dictan otras disposiciones”. </w:t>
      </w:r>
    </w:p>
  </w:footnote>
  <w:footnote w:id="5">
    <w:p w14:paraId="0E689345" w14:textId="77777777" w:rsidR="00B90119" w:rsidRPr="00D518E0" w:rsidRDefault="00B90119" w:rsidP="00B90119">
      <w:pPr>
        <w:pStyle w:val="Textonotapie"/>
        <w:ind w:firstLine="708"/>
        <w:rPr>
          <w:rFonts w:ascii="Century Gothic" w:hAnsi="Century Gothic"/>
          <w:sz w:val="14"/>
          <w:szCs w:val="14"/>
        </w:rPr>
      </w:pPr>
    </w:p>
    <w:p w14:paraId="5CE68446" w14:textId="77777777" w:rsidR="00B90119" w:rsidRPr="00D518E0" w:rsidRDefault="00B90119" w:rsidP="00B90119">
      <w:pPr>
        <w:pStyle w:val="Textonotapie"/>
        <w:ind w:firstLine="708"/>
        <w:jc w:val="both"/>
        <w:rPr>
          <w:rFonts w:ascii="Century Gothic" w:hAnsi="Century Gothic"/>
          <w:sz w:val="14"/>
          <w:szCs w:val="14"/>
        </w:rPr>
      </w:pPr>
      <w:r w:rsidRPr="00D518E0">
        <w:rPr>
          <w:rStyle w:val="Refdenotaalpie"/>
          <w:rFonts w:ascii="Century Gothic" w:hAnsi="Century Gothic"/>
          <w:sz w:val="14"/>
          <w:szCs w:val="14"/>
        </w:rPr>
        <w:footnoteRef/>
      </w:r>
      <w:r w:rsidRPr="00D518E0">
        <w:rPr>
          <w:rFonts w:ascii="Century Gothic" w:hAnsi="Century Gothic"/>
          <w:sz w:val="14"/>
          <w:szCs w:val="14"/>
        </w:rPr>
        <w:t xml:space="preserve"> Decreto 2069 de 2020: “Artículo 33. PROMOCIÓN DEL ACCESO DE LAS MIPYMES AL MERCADO DE COMPRAS PÚBLICAS. Modifíquese el artículo 12 de la Ley 590 de 2000, el cual quedará así:  </w:t>
      </w:r>
    </w:p>
    <w:p w14:paraId="126D52D7" w14:textId="77777777" w:rsidR="00B90119" w:rsidRPr="00D518E0" w:rsidRDefault="00B90119" w:rsidP="00B90119">
      <w:pPr>
        <w:pStyle w:val="Textonotapie"/>
        <w:ind w:firstLine="708"/>
        <w:jc w:val="both"/>
        <w:rPr>
          <w:rFonts w:ascii="Century Gothic" w:hAnsi="Century Gothic"/>
          <w:sz w:val="14"/>
          <w:szCs w:val="14"/>
        </w:rPr>
      </w:pPr>
      <w:r w:rsidRPr="00D518E0">
        <w:rPr>
          <w:rFonts w:ascii="Century Gothic" w:hAnsi="Century Gothic"/>
          <w:sz w:val="14"/>
          <w:szCs w:val="14"/>
        </w:rPr>
        <w:t xml:space="preserve">"Artículo 12. Promoción del acceso de las MIPYMES al mercado de Compras Públicas. Con el fin de promover el acceso de las MIPYMES al mercado de Compras Públicas, las Entidades Estatales indistintamente de su régimen de contratación, los patrimonios autónomos constituidos por Entidades Estatales y los particulares que ejecuten recursos públicos: </w:t>
      </w:r>
    </w:p>
    <w:p w14:paraId="070FBAAE" w14:textId="77777777" w:rsidR="00B90119" w:rsidRPr="00D518E0" w:rsidRDefault="00B90119" w:rsidP="00B90119">
      <w:pPr>
        <w:pStyle w:val="Textonotapie"/>
        <w:ind w:firstLine="708"/>
        <w:jc w:val="both"/>
        <w:rPr>
          <w:rFonts w:ascii="Century Gothic" w:hAnsi="Century Gothic"/>
          <w:sz w:val="14"/>
          <w:szCs w:val="14"/>
        </w:rPr>
      </w:pPr>
      <w:r w:rsidRPr="00D518E0">
        <w:rPr>
          <w:rFonts w:ascii="Century Gothic" w:hAnsi="Century Gothic"/>
          <w:sz w:val="14"/>
          <w:szCs w:val="14"/>
        </w:rPr>
        <w:t>[…]</w:t>
      </w:r>
    </w:p>
    <w:p w14:paraId="01795E03" w14:textId="77777777" w:rsidR="00B90119" w:rsidRPr="00D518E0" w:rsidRDefault="00B90119" w:rsidP="00B90119">
      <w:pPr>
        <w:pStyle w:val="Textonotapie"/>
        <w:ind w:firstLine="708"/>
        <w:jc w:val="both"/>
        <w:rPr>
          <w:rFonts w:ascii="Century Gothic" w:hAnsi="Century Gothic" w:cs="Arial"/>
          <w:color w:val="000000"/>
          <w:sz w:val="14"/>
          <w:szCs w:val="14"/>
        </w:rPr>
      </w:pPr>
      <w:r w:rsidRPr="00D518E0">
        <w:rPr>
          <w:rFonts w:ascii="Century Gothic" w:hAnsi="Century Gothic" w:cs="Arial"/>
          <w:color w:val="000000"/>
          <w:sz w:val="14"/>
          <w:szCs w:val="14"/>
        </w:rPr>
        <w:t>6. Promoverán la división del Proceso de Contratación en lotes o segmentos que faciliten la participación de las MIPYMES en el Proceso de Contratación […]”.</w:t>
      </w:r>
    </w:p>
    <w:p w14:paraId="2818406E" w14:textId="77777777" w:rsidR="00B90119" w:rsidRPr="00D518E0" w:rsidRDefault="00B90119" w:rsidP="00B90119">
      <w:pPr>
        <w:pStyle w:val="Textonotapie"/>
        <w:ind w:firstLine="708"/>
        <w:rPr>
          <w:rFonts w:ascii="Century Gothic" w:hAnsi="Century Gothic"/>
          <w:sz w:val="14"/>
          <w:szCs w:val="14"/>
        </w:rPr>
      </w:pPr>
      <w:r w:rsidRPr="00D518E0">
        <w:rPr>
          <w:rFonts w:ascii="Century Gothic" w:hAnsi="Century Gothic" w:cs="Arial"/>
          <w:color w:val="000000"/>
          <w:sz w:val="14"/>
          <w:szCs w:val="14"/>
        </w:rPr>
        <w:t xml:space="preserve">  </w:t>
      </w:r>
      <w:r w:rsidRPr="00D518E0">
        <w:rPr>
          <w:rFonts w:ascii="Century Gothic" w:hAnsi="Century Gothic"/>
          <w:sz w:val="14"/>
          <w:szCs w:val="14"/>
        </w:rPr>
        <w:t xml:space="preserve"> </w:t>
      </w:r>
    </w:p>
  </w:footnote>
  <w:footnote w:id="6">
    <w:p w14:paraId="456C7D4D" w14:textId="77777777" w:rsidR="00B90119" w:rsidRPr="00D518E0" w:rsidRDefault="00B90119" w:rsidP="00B90119">
      <w:pPr>
        <w:pStyle w:val="NormalWeb"/>
        <w:spacing w:after="0"/>
        <w:ind w:firstLine="709"/>
        <w:jc w:val="both"/>
        <w:rPr>
          <w:rFonts w:ascii="Century Gothic" w:hAnsi="Century Gothic" w:cs="Arial"/>
          <w:sz w:val="14"/>
          <w:szCs w:val="14"/>
        </w:rPr>
      </w:pPr>
      <w:r w:rsidRPr="00D518E0">
        <w:rPr>
          <w:rStyle w:val="Refdenotaalpie"/>
          <w:rFonts w:ascii="Century Gothic" w:hAnsi="Century Gothic" w:cs="Arial"/>
          <w:sz w:val="14"/>
          <w:szCs w:val="14"/>
        </w:rPr>
        <w:footnoteRef/>
      </w:r>
      <w:r w:rsidRPr="00D518E0">
        <w:rPr>
          <w:rFonts w:ascii="Century Gothic" w:hAnsi="Century Gothic" w:cs="Arial"/>
          <w:sz w:val="14"/>
          <w:szCs w:val="14"/>
        </w:rPr>
        <w:t xml:space="preserve"> Decreto 1082 de 2015 −modificado por el artículo 2 del Decreto 142 de 2023−: “Artículo 2.2.1.1.1.4.1. </w:t>
      </w:r>
      <w:r w:rsidRPr="00D518E0">
        <w:rPr>
          <w:rFonts w:ascii="Century Gothic" w:hAnsi="Century Gothic" w:cs="Arial"/>
          <w:i/>
          <w:iCs/>
          <w:sz w:val="14"/>
          <w:szCs w:val="14"/>
        </w:rPr>
        <w:t>Plan Anual de Adquisiciones. </w:t>
      </w:r>
      <w:r w:rsidRPr="00D518E0">
        <w:rPr>
          <w:rFonts w:ascii="Century Gothic" w:hAnsi="Century Gothic" w:cs="Arial"/>
          <w:sz w:val="14"/>
          <w:szCs w:val="14"/>
        </w:rPr>
        <w:t>Las entidades estatales deben elaborar un Plan Anual de Adquisiciones, el cual debe contener la lista de bienes, obras y servicios que pretenden adquirir durante el año. En el Plan Anual de Adquisiciones, la Entidad Estatal debe señalar como mínimo la necesidad y cuando conoce el bien, obra o servicio que satisface esa necesidad debe identificarlo utilizando el</w:t>
      </w:r>
      <w:r w:rsidRPr="00D075D3">
        <w:rPr>
          <w:rFonts w:ascii="Century Gothic" w:hAnsi="Century Gothic" w:cs="Arial"/>
          <w:sz w:val="16"/>
          <w:szCs w:val="16"/>
        </w:rPr>
        <w:t xml:space="preserve"> </w:t>
      </w:r>
      <w:r w:rsidRPr="00D518E0">
        <w:rPr>
          <w:rFonts w:ascii="Century Gothic" w:hAnsi="Century Gothic" w:cs="Arial"/>
          <w:sz w:val="14"/>
          <w:szCs w:val="14"/>
        </w:rPr>
        <w:t>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w:t>
      </w:r>
    </w:p>
    <w:p w14:paraId="6E0FC0EF" w14:textId="77777777" w:rsidR="00B90119" w:rsidRPr="00D518E0" w:rsidRDefault="00B90119" w:rsidP="00B90119">
      <w:pPr>
        <w:spacing w:after="0" w:line="240" w:lineRule="auto"/>
        <w:ind w:firstLine="708"/>
        <w:jc w:val="both"/>
        <w:rPr>
          <w:rFonts w:ascii="Century Gothic" w:eastAsia="Times New Roman" w:hAnsi="Century Gothic" w:cs="Arial"/>
          <w:sz w:val="14"/>
          <w:szCs w:val="14"/>
          <w:lang w:eastAsia="es-CO"/>
        </w:rPr>
      </w:pPr>
      <w:r w:rsidRPr="00D518E0">
        <w:rPr>
          <w:rFonts w:ascii="Century Gothic" w:eastAsia="Times New Roman" w:hAnsi="Century Gothic" w:cs="Arial"/>
          <w:sz w:val="14"/>
          <w:szCs w:val="14"/>
          <w:lang w:eastAsia="es-CO"/>
        </w:rPr>
        <w:t>Las entidades estatales deberán planear su contratación de manera que se promueva la división de Procesos de Contratación en lotes o segmentos en los que se facilite la participación de las Mipymes. </w:t>
      </w:r>
    </w:p>
    <w:p w14:paraId="6D697DC4" w14:textId="77777777" w:rsidR="00B90119" w:rsidRPr="00D518E0" w:rsidRDefault="00B90119" w:rsidP="00B90119">
      <w:pPr>
        <w:spacing w:after="0" w:line="240" w:lineRule="auto"/>
        <w:ind w:firstLine="708"/>
        <w:jc w:val="both"/>
        <w:rPr>
          <w:rFonts w:ascii="Century Gothic" w:eastAsia="Times New Roman" w:hAnsi="Century Gothic" w:cs="Arial"/>
          <w:sz w:val="14"/>
          <w:szCs w:val="14"/>
          <w:lang w:eastAsia="es-CO"/>
        </w:rPr>
      </w:pPr>
      <w:r w:rsidRPr="00D518E0">
        <w:rPr>
          <w:rFonts w:ascii="Century Gothic" w:eastAsia="Times New Roman" w:hAnsi="Century Gothic" w:cs="Arial"/>
          <w:sz w:val="14"/>
          <w:szCs w:val="14"/>
          <w:lang w:eastAsia="es-CO"/>
        </w:rPr>
        <w:t>Dentro de estas Mipymes se encuentran entre otras, las cooperativas de acuerdo con los requisitos del artículo 23 de la Ley 2069 de 2020 o las que se constituyan como entidades de economía solidaria de acuerdo con los requisitos del artículo 6° de la Ley 454 de 1998 o la norma que las modifique o sustituya. </w:t>
      </w:r>
    </w:p>
    <w:p w14:paraId="030ACC9B" w14:textId="77777777" w:rsidR="00B90119" w:rsidRPr="00D518E0" w:rsidRDefault="00B90119" w:rsidP="00B90119">
      <w:pPr>
        <w:spacing w:after="0" w:line="240" w:lineRule="auto"/>
        <w:ind w:firstLine="708"/>
        <w:jc w:val="both"/>
        <w:rPr>
          <w:rFonts w:ascii="Century Gothic" w:eastAsia="Times New Roman" w:hAnsi="Century Gothic" w:cs="Arial"/>
          <w:sz w:val="14"/>
          <w:szCs w:val="14"/>
          <w:lang w:eastAsia="es-CO"/>
        </w:rPr>
      </w:pPr>
      <w:r w:rsidRPr="00D518E0">
        <w:rPr>
          <w:rFonts w:ascii="Century Gothic" w:eastAsia="Times New Roman" w:hAnsi="Century Gothic" w:cs="Arial"/>
          <w:sz w:val="14"/>
          <w:szCs w:val="14"/>
          <w:lang w:eastAsia="es-CO"/>
        </w:rPr>
        <w:t>Las asociaciones conformadas por sujetos de especial protección constitucional, asociaciones de pequeños productores locales y productores locales agropecuarios cuyos sistemas productivos pertenezcan a la Agricultura Campesina, Familiar y Comunitaria podrán ser clasificadas como Mipymes en los términos previstos en el artículo 23 de la Ley 2069 de 2020, el artículo 2° de la Ley 590 de 2000 y por el Decreto número 957 de 2019 o las normas que los modifiquen”. </w:t>
      </w:r>
    </w:p>
    <w:p w14:paraId="50580849" w14:textId="77777777" w:rsidR="00B90119" w:rsidRPr="00D075D3" w:rsidRDefault="00B90119" w:rsidP="00B90119">
      <w:pPr>
        <w:pStyle w:val="Textonotapie"/>
        <w:jc w:val="both"/>
        <w:rPr>
          <w:rFonts w:ascii="Century Gothic" w:hAnsi="Century Gothic" w:cs="Arial"/>
          <w:sz w:val="16"/>
          <w:szCs w:val="16"/>
          <w:lang w:val="es-CO"/>
        </w:rPr>
      </w:pPr>
    </w:p>
  </w:footnote>
  <w:footnote w:id="7">
    <w:p w14:paraId="5C42B847" w14:textId="77777777" w:rsidR="00B90119" w:rsidRPr="00D518E0" w:rsidRDefault="00B90119" w:rsidP="00B90119">
      <w:pPr>
        <w:pStyle w:val="NormalWeb"/>
        <w:shd w:val="clear" w:color="auto" w:fill="FFFFFF"/>
        <w:spacing w:after="0"/>
        <w:ind w:firstLine="708"/>
        <w:jc w:val="both"/>
        <w:rPr>
          <w:rFonts w:ascii="Century Gothic" w:hAnsi="Century Gothic" w:cs="Arial"/>
          <w:sz w:val="14"/>
          <w:szCs w:val="14"/>
        </w:rPr>
      </w:pPr>
      <w:r w:rsidRPr="00D518E0">
        <w:rPr>
          <w:rStyle w:val="Refdenotaalpie"/>
          <w:rFonts w:ascii="Century Gothic" w:hAnsi="Century Gothic" w:cs="Arial"/>
          <w:sz w:val="14"/>
          <w:szCs w:val="14"/>
        </w:rPr>
        <w:footnoteRef/>
      </w:r>
      <w:r w:rsidRPr="00D518E0">
        <w:rPr>
          <w:rFonts w:ascii="Century Gothic" w:hAnsi="Century Gothic" w:cs="Arial"/>
          <w:sz w:val="14"/>
          <w:szCs w:val="14"/>
        </w:rPr>
        <w:t xml:space="preserve"> Decreto 1082 de 2015: “Artículo 2.2.1.2.4.2.2. Convocatorias limitadas a Mípyme.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w:t>
      </w:r>
    </w:p>
    <w:p w14:paraId="06A471E2" w14:textId="77777777" w:rsidR="00B90119" w:rsidRPr="00D518E0" w:rsidRDefault="00B90119" w:rsidP="00B90119">
      <w:pPr>
        <w:shd w:val="clear" w:color="auto" w:fill="FFFFFF"/>
        <w:spacing w:after="0" w:line="240" w:lineRule="auto"/>
        <w:ind w:firstLine="708"/>
        <w:jc w:val="both"/>
        <w:rPr>
          <w:rFonts w:ascii="Century Gothic" w:eastAsia="Times New Roman" w:hAnsi="Century Gothic" w:cs="Arial"/>
          <w:sz w:val="14"/>
          <w:szCs w:val="14"/>
          <w:lang w:eastAsia="es-CO"/>
        </w:rPr>
      </w:pPr>
      <w:r w:rsidRPr="00D518E0">
        <w:rPr>
          <w:rFonts w:ascii="Century Gothic" w:eastAsia="Times New Roman" w:hAnsi="Century Gothic" w:cs="Arial"/>
          <w:sz w:val="14"/>
          <w:szCs w:val="14"/>
          <w:lang w:eastAsia="es-CO"/>
        </w:rPr>
        <w:t>1. El valor del Proceso de Contratación sea menor a ciento veinticinco mil dólares de los Estados Unidos de América (US$125.000), liquidados con la tasa de cambio que para el efecto determina cada dos años el Ministerio de Comercio, Industria y Turismo.</w:t>
      </w:r>
    </w:p>
    <w:p w14:paraId="6DB1A8C4" w14:textId="77777777" w:rsidR="00B90119" w:rsidRPr="00D518E0" w:rsidRDefault="00B90119" w:rsidP="00B90119">
      <w:pPr>
        <w:shd w:val="clear" w:color="auto" w:fill="FFFFFF"/>
        <w:spacing w:after="0" w:line="240" w:lineRule="auto"/>
        <w:ind w:firstLine="708"/>
        <w:jc w:val="both"/>
        <w:rPr>
          <w:rFonts w:ascii="Century Gothic" w:eastAsia="Times New Roman" w:hAnsi="Century Gothic" w:cs="Arial"/>
          <w:sz w:val="14"/>
          <w:szCs w:val="14"/>
          <w:lang w:eastAsia="es-CO"/>
        </w:rPr>
      </w:pPr>
      <w:r w:rsidRPr="00D518E0">
        <w:rPr>
          <w:rFonts w:ascii="Century Gothic" w:eastAsia="Times New Roman" w:hAnsi="Century Gothic" w:cs="Arial"/>
          <w:sz w:val="14"/>
          <w:szCs w:val="14"/>
          <w:lang w:eastAsia="es-CO"/>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w:t>
      </w:r>
    </w:p>
    <w:p w14:paraId="53A453D9" w14:textId="77777777" w:rsidR="00B90119" w:rsidRPr="00D518E0" w:rsidRDefault="00B90119" w:rsidP="00B90119">
      <w:pPr>
        <w:shd w:val="clear" w:color="auto" w:fill="FFFFFF"/>
        <w:spacing w:after="0" w:line="240" w:lineRule="auto"/>
        <w:ind w:firstLine="708"/>
        <w:jc w:val="both"/>
        <w:rPr>
          <w:rFonts w:ascii="Century Gothic" w:eastAsia="Times New Roman" w:hAnsi="Century Gothic" w:cs="Arial"/>
          <w:sz w:val="14"/>
          <w:szCs w:val="14"/>
          <w:lang w:eastAsia="es-CO"/>
        </w:rPr>
      </w:pPr>
      <w:r w:rsidRPr="00D518E0">
        <w:rPr>
          <w:rFonts w:ascii="Century Gothic" w:eastAsia="Times New Roman" w:hAnsi="Century Gothic" w:cs="Arial"/>
          <w:sz w:val="14"/>
          <w:szCs w:val="14"/>
          <w:lang w:eastAsia="es-CO"/>
        </w:rPr>
        <w:t>Tratándose de personas jurídicas, las solicitudes solo las podrán realizar Mipyme, cuyo objeto social les permita ejecutar el contrato relacionado con el proceso contractual.</w:t>
      </w:r>
    </w:p>
    <w:p w14:paraId="6231945B" w14:textId="77777777" w:rsidR="00B90119" w:rsidRPr="00D518E0" w:rsidRDefault="00B90119" w:rsidP="00B90119">
      <w:pPr>
        <w:shd w:val="clear" w:color="auto" w:fill="FFFFFF"/>
        <w:spacing w:after="0" w:line="240" w:lineRule="auto"/>
        <w:ind w:firstLine="708"/>
        <w:jc w:val="both"/>
        <w:rPr>
          <w:rFonts w:ascii="Century Gothic" w:hAnsi="Century Gothic" w:cs="Arial"/>
          <w:sz w:val="14"/>
          <w:szCs w:val="14"/>
        </w:rPr>
      </w:pPr>
      <w:r w:rsidRPr="00D518E0">
        <w:rPr>
          <w:rFonts w:ascii="Century Gothic" w:eastAsia="Times New Roman" w:hAnsi="Century Gothic" w:cs="Arial"/>
          <w:sz w:val="14"/>
          <w:szCs w:val="14"/>
          <w:lang w:eastAsia="es-CO"/>
        </w:rPr>
        <w:t>PARÁGRAFO. Las cooperativas y demás entidades de economía solidaria, siempre que tengan la calidad de Mípyme, podrán solicitar y participar en las convocatorias limitadas en las mismas condiciones dispuestas en el presente artículo”.</w:t>
      </w:r>
    </w:p>
  </w:footnote>
  <w:footnote w:id="8">
    <w:p w14:paraId="23154FCF" w14:textId="77777777" w:rsidR="00B90119" w:rsidRPr="00D075D3" w:rsidRDefault="00B90119" w:rsidP="00B90119">
      <w:pPr>
        <w:pStyle w:val="Textonotapie"/>
        <w:ind w:firstLine="708"/>
        <w:jc w:val="both"/>
        <w:rPr>
          <w:rFonts w:ascii="Century Gothic" w:hAnsi="Century Gothic" w:cs="Arial"/>
          <w:sz w:val="16"/>
          <w:szCs w:val="16"/>
          <w:lang w:val="es-CO"/>
        </w:rPr>
      </w:pPr>
      <w:r w:rsidRPr="00D518E0">
        <w:rPr>
          <w:rStyle w:val="Refdenotaalpie"/>
          <w:rFonts w:ascii="Century Gothic" w:hAnsi="Century Gothic" w:cs="Arial"/>
          <w:sz w:val="14"/>
          <w:szCs w:val="14"/>
        </w:rPr>
        <w:footnoteRef/>
      </w:r>
      <w:r w:rsidRPr="00D518E0">
        <w:rPr>
          <w:rFonts w:ascii="Century Gothic" w:hAnsi="Century Gothic" w:cs="Arial"/>
          <w:sz w:val="14"/>
          <w:szCs w:val="14"/>
        </w:rPr>
        <w:t xml:space="preserve"> Decreto 1082 de 2015: “</w:t>
      </w:r>
      <w:r w:rsidRPr="00D518E0">
        <w:rPr>
          <w:rFonts w:ascii="Century Gothic" w:hAnsi="Century Gothic" w:cs="Arial"/>
          <w:sz w:val="14"/>
          <w:szCs w:val="14"/>
          <w:lang w:val="es-CO"/>
        </w:rPr>
        <w:t>Artículo 2.2.1.2.4.2.3. Limitaciones territoriales. De conformidad con el parágrafo </w:t>
      </w:r>
      <w:hyperlink r:id="rId1" w:anchor="12.p1" w:history="1">
        <w:r w:rsidRPr="00D518E0">
          <w:rPr>
            <w:rFonts w:ascii="Century Gothic" w:hAnsi="Century Gothic" w:cs="Arial"/>
            <w:sz w:val="14"/>
            <w:szCs w:val="14"/>
            <w:lang w:val="es-CO"/>
          </w:rPr>
          <w:t>1 </w:t>
        </w:r>
      </w:hyperlink>
      <w:r w:rsidRPr="00D518E0">
        <w:rPr>
          <w:rFonts w:ascii="Century Gothic" w:hAnsi="Century Gothic" w:cs="Arial"/>
          <w:sz w:val="14"/>
          <w:szCs w:val="14"/>
          <w:lang w:val="es-CO"/>
        </w:rPr>
        <w:t>del artículo </w:t>
      </w:r>
      <w:hyperlink r:id="rId2" w:anchor="12" w:history="1">
        <w:r w:rsidRPr="00D518E0">
          <w:rPr>
            <w:rFonts w:ascii="Century Gothic" w:hAnsi="Century Gothic" w:cs="Arial"/>
            <w:sz w:val="14"/>
            <w:szCs w:val="14"/>
            <w:lang w:val="es-CO"/>
          </w:rPr>
          <w:t>12 </w:t>
        </w:r>
      </w:hyperlink>
      <w:r w:rsidRPr="00D518E0">
        <w:rPr>
          <w:rFonts w:ascii="Century Gothic" w:hAnsi="Century Gothic" w:cs="Arial"/>
          <w:sz w:val="14"/>
          <w:szCs w:val="14"/>
          <w:lang w:val="es-CO"/>
        </w:rPr>
        <w:t>de la Ley 1150 de 2007, las Entidades Estatales, independientemente de su régimen de contratación, los patrimonios autónomos constituidos por Entidades Estatales y los particulares que ejecuten recursos públicos, pueden realizar convocatorias limitadas a Mipyme colombianas que tengan domicilio en los departamentos o municipios en donde se va a ejecutar el contrato. Cada Mipyme deberá acreditar su domicilio con los documentos a los que se refiere el siguiente artículo”.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0"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98475919">
    <w:abstractNumId w:val="6"/>
  </w:num>
  <w:num w:numId="2" w16cid:durableId="1452550820">
    <w:abstractNumId w:val="2"/>
  </w:num>
  <w:num w:numId="3" w16cid:durableId="1496258202">
    <w:abstractNumId w:val="4"/>
  </w:num>
  <w:num w:numId="4" w16cid:durableId="4655130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3296745">
    <w:abstractNumId w:val="2"/>
  </w:num>
  <w:num w:numId="6" w16cid:durableId="1684043577">
    <w:abstractNumId w:val="14"/>
  </w:num>
  <w:num w:numId="7" w16cid:durableId="48723800">
    <w:abstractNumId w:val="5"/>
  </w:num>
  <w:num w:numId="8" w16cid:durableId="1395155519">
    <w:abstractNumId w:val="13"/>
  </w:num>
  <w:num w:numId="9" w16cid:durableId="318575961">
    <w:abstractNumId w:val="7"/>
  </w:num>
  <w:num w:numId="10" w16cid:durableId="332605807">
    <w:abstractNumId w:val="12"/>
  </w:num>
  <w:num w:numId="11" w16cid:durableId="1699774389">
    <w:abstractNumId w:val="8"/>
  </w:num>
  <w:num w:numId="12" w16cid:durableId="1119303418">
    <w:abstractNumId w:val="1"/>
  </w:num>
  <w:num w:numId="13" w16cid:durableId="81419004">
    <w:abstractNumId w:val="3"/>
  </w:num>
  <w:num w:numId="14" w16cid:durableId="701902017">
    <w:abstractNumId w:val="15"/>
  </w:num>
  <w:num w:numId="15" w16cid:durableId="1719743978">
    <w:abstractNumId w:val="11"/>
  </w:num>
  <w:num w:numId="16" w16cid:durableId="192504231">
    <w:abstractNumId w:val="0"/>
  </w:num>
  <w:num w:numId="17" w16cid:durableId="708653934">
    <w:abstractNumId w:val="9"/>
  </w:num>
  <w:num w:numId="18" w16cid:durableId="124356515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4938"/>
    <w:rsid w:val="000A683E"/>
    <w:rsid w:val="000B19B9"/>
    <w:rsid w:val="000D0334"/>
    <w:rsid w:val="000F1405"/>
    <w:rsid w:val="000F6486"/>
    <w:rsid w:val="00125105"/>
    <w:rsid w:val="00127233"/>
    <w:rsid w:val="00166AFE"/>
    <w:rsid w:val="001A1BFE"/>
    <w:rsid w:val="001A472E"/>
    <w:rsid w:val="001E4177"/>
    <w:rsid w:val="001F7DC6"/>
    <w:rsid w:val="002421BB"/>
    <w:rsid w:val="0025796E"/>
    <w:rsid w:val="002707A2"/>
    <w:rsid w:val="00281E32"/>
    <w:rsid w:val="002951A0"/>
    <w:rsid w:val="002962BC"/>
    <w:rsid w:val="002A093D"/>
    <w:rsid w:val="002A0DD0"/>
    <w:rsid w:val="002A49AC"/>
    <w:rsid w:val="002A64FD"/>
    <w:rsid w:val="002C7A84"/>
    <w:rsid w:val="002E4FD9"/>
    <w:rsid w:val="00322A85"/>
    <w:rsid w:val="00324168"/>
    <w:rsid w:val="003448F4"/>
    <w:rsid w:val="00374F5E"/>
    <w:rsid w:val="00377E3E"/>
    <w:rsid w:val="003A26D1"/>
    <w:rsid w:val="003A779E"/>
    <w:rsid w:val="003C2A16"/>
    <w:rsid w:val="003C3DC0"/>
    <w:rsid w:val="003C4B20"/>
    <w:rsid w:val="003D0F4D"/>
    <w:rsid w:val="003D5B0D"/>
    <w:rsid w:val="003E0499"/>
    <w:rsid w:val="003F3941"/>
    <w:rsid w:val="00406575"/>
    <w:rsid w:val="0042722E"/>
    <w:rsid w:val="0044528D"/>
    <w:rsid w:val="004A1847"/>
    <w:rsid w:val="004A305D"/>
    <w:rsid w:val="004C3162"/>
    <w:rsid w:val="004F21C4"/>
    <w:rsid w:val="004F685F"/>
    <w:rsid w:val="005142B9"/>
    <w:rsid w:val="00520E27"/>
    <w:rsid w:val="00540333"/>
    <w:rsid w:val="005566E8"/>
    <w:rsid w:val="00574867"/>
    <w:rsid w:val="00591460"/>
    <w:rsid w:val="00592628"/>
    <w:rsid w:val="00597CDF"/>
    <w:rsid w:val="005B158C"/>
    <w:rsid w:val="005B463A"/>
    <w:rsid w:val="005B6859"/>
    <w:rsid w:val="005C3777"/>
    <w:rsid w:val="005C5CDC"/>
    <w:rsid w:val="005D476C"/>
    <w:rsid w:val="00610812"/>
    <w:rsid w:val="006219F8"/>
    <w:rsid w:val="00650FF7"/>
    <w:rsid w:val="00661963"/>
    <w:rsid w:val="00665D70"/>
    <w:rsid w:val="00671DAC"/>
    <w:rsid w:val="006900D9"/>
    <w:rsid w:val="006D108B"/>
    <w:rsid w:val="006D12F8"/>
    <w:rsid w:val="00706C16"/>
    <w:rsid w:val="007428B6"/>
    <w:rsid w:val="00756841"/>
    <w:rsid w:val="007649AB"/>
    <w:rsid w:val="00771D0C"/>
    <w:rsid w:val="007833AC"/>
    <w:rsid w:val="00784A39"/>
    <w:rsid w:val="007B268C"/>
    <w:rsid w:val="007B7171"/>
    <w:rsid w:val="007C0C0F"/>
    <w:rsid w:val="007C3DC2"/>
    <w:rsid w:val="007E5497"/>
    <w:rsid w:val="00806F5F"/>
    <w:rsid w:val="00820278"/>
    <w:rsid w:val="008843B6"/>
    <w:rsid w:val="00891928"/>
    <w:rsid w:val="008A446D"/>
    <w:rsid w:val="008B6256"/>
    <w:rsid w:val="008D180B"/>
    <w:rsid w:val="008F0EA7"/>
    <w:rsid w:val="00923EEF"/>
    <w:rsid w:val="009419F9"/>
    <w:rsid w:val="0095685E"/>
    <w:rsid w:val="00961B09"/>
    <w:rsid w:val="00965334"/>
    <w:rsid w:val="00966A13"/>
    <w:rsid w:val="0097093E"/>
    <w:rsid w:val="009A0DFA"/>
    <w:rsid w:val="009B2D26"/>
    <w:rsid w:val="009C4836"/>
    <w:rsid w:val="009C71FA"/>
    <w:rsid w:val="009C72E7"/>
    <w:rsid w:val="009D3058"/>
    <w:rsid w:val="009F3101"/>
    <w:rsid w:val="009F3A13"/>
    <w:rsid w:val="00A122D3"/>
    <w:rsid w:val="00A17F13"/>
    <w:rsid w:val="00A20739"/>
    <w:rsid w:val="00A33C78"/>
    <w:rsid w:val="00A974C9"/>
    <w:rsid w:val="00AB0ADB"/>
    <w:rsid w:val="00AC50B6"/>
    <w:rsid w:val="00AE720E"/>
    <w:rsid w:val="00B01B1A"/>
    <w:rsid w:val="00B33A3B"/>
    <w:rsid w:val="00B72CD3"/>
    <w:rsid w:val="00B72FFF"/>
    <w:rsid w:val="00B90119"/>
    <w:rsid w:val="00BC3D36"/>
    <w:rsid w:val="00BD48B2"/>
    <w:rsid w:val="00BD7F72"/>
    <w:rsid w:val="00C04FB3"/>
    <w:rsid w:val="00C330EB"/>
    <w:rsid w:val="00C43FF8"/>
    <w:rsid w:val="00C754BE"/>
    <w:rsid w:val="00C76B1C"/>
    <w:rsid w:val="00C957FA"/>
    <w:rsid w:val="00CB6357"/>
    <w:rsid w:val="00CC1B26"/>
    <w:rsid w:val="00D423A2"/>
    <w:rsid w:val="00D518E0"/>
    <w:rsid w:val="00D520D8"/>
    <w:rsid w:val="00D63AC2"/>
    <w:rsid w:val="00D7383B"/>
    <w:rsid w:val="00DA231B"/>
    <w:rsid w:val="00DA23A0"/>
    <w:rsid w:val="00DC39FC"/>
    <w:rsid w:val="00DE04BF"/>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D65A7"/>
    <w:rsid w:val="00EE1AA8"/>
    <w:rsid w:val="00F16AB7"/>
    <w:rsid w:val="00F31EDC"/>
    <w:rsid w:val="00F462B3"/>
    <w:rsid w:val="00F5664F"/>
    <w:rsid w:val="00F666C4"/>
    <w:rsid w:val="00F76AFC"/>
    <w:rsid w:val="00FA47C0"/>
    <w:rsid w:val="00FB5DD1"/>
    <w:rsid w:val="00FC2B5D"/>
    <w:rsid w:val="00FF1449"/>
    <w:rsid w:val="3CB291B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2">
    <w:name w:val="heading 2"/>
    <w:basedOn w:val="Normal"/>
    <w:next w:val="Normal"/>
    <w:link w:val="Ttulo2Car"/>
    <w:uiPriority w:val="9"/>
    <w:semiHidden/>
    <w:unhideWhenUsed/>
    <w:qFormat/>
    <w:rsid w:val="00ED65A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90119"/>
    <w:pPr>
      <w:spacing w:line="240" w:lineRule="exact"/>
    </w:pPr>
    <w:rPr>
      <w:vertAlign w:val="superscript"/>
    </w:rPr>
  </w:style>
  <w:style w:type="character" w:styleId="Refdecomentario">
    <w:name w:val="annotation reference"/>
    <w:basedOn w:val="Fuentedeprrafopredeter"/>
    <w:uiPriority w:val="99"/>
    <w:semiHidden/>
    <w:unhideWhenUsed/>
    <w:rsid w:val="00AC50B6"/>
    <w:rPr>
      <w:sz w:val="16"/>
      <w:szCs w:val="16"/>
    </w:rPr>
  </w:style>
  <w:style w:type="paragraph" w:styleId="Textocomentario">
    <w:name w:val="annotation text"/>
    <w:basedOn w:val="Normal"/>
    <w:link w:val="TextocomentarioCar"/>
    <w:uiPriority w:val="99"/>
    <w:semiHidden/>
    <w:unhideWhenUsed/>
    <w:rsid w:val="00AC50B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C50B6"/>
    <w:rPr>
      <w:sz w:val="20"/>
      <w:szCs w:val="20"/>
    </w:rPr>
  </w:style>
  <w:style w:type="paragraph" w:styleId="Asuntodelcomentario">
    <w:name w:val="annotation subject"/>
    <w:basedOn w:val="Textocomentario"/>
    <w:next w:val="Textocomentario"/>
    <w:link w:val="AsuntodelcomentarioCar"/>
    <w:uiPriority w:val="99"/>
    <w:semiHidden/>
    <w:unhideWhenUsed/>
    <w:rsid w:val="00AC50B6"/>
    <w:rPr>
      <w:b/>
      <w:bCs/>
    </w:rPr>
  </w:style>
  <w:style w:type="character" w:customStyle="1" w:styleId="AsuntodelcomentarioCar">
    <w:name w:val="Asunto del comentario Car"/>
    <w:basedOn w:val="TextocomentarioCar"/>
    <w:link w:val="Asuntodelcomentario"/>
    <w:uiPriority w:val="99"/>
    <w:semiHidden/>
    <w:rsid w:val="00AC50B6"/>
    <w:rPr>
      <w:b/>
      <w:bCs/>
      <w:sz w:val="20"/>
      <w:szCs w:val="20"/>
    </w:rPr>
  </w:style>
  <w:style w:type="paragraph" w:styleId="Textodeglobo">
    <w:name w:val="Balloon Text"/>
    <w:basedOn w:val="Normal"/>
    <w:link w:val="TextodegloboCar"/>
    <w:uiPriority w:val="99"/>
    <w:semiHidden/>
    <w:unhideWhenUsed/>
    <w:rsid w:val="005B463A"/>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5B463A"/>
    <w:rPr>
      <w:rFonts w:ascii="Times New Roman" w:hAnsi="Times New Roman" w:cs="Times New Roman"/>
      <w:sz w:val="18"/>
      <w:szCs w:val="18"/>
    </w:rPr>
  </w:style>
  <w:style w:type="character" w:customStyle="1" w:styleId="Ttulo2Car">
    <w:name w:val="Título 2 Car"/>
    <w:basedOn w:val="Fuentedeprrafopredeter"/>
    <w:link w:val="Ttulo2"/>
    <w:uiPriority w:val="9"/>
    <w:semiHidden/>
    <w:rsid w:val="00ED65A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360667487">
      <w:bodyDiv w:val="1"/>
      <w:marLeft w:val="0"/>
      <w:marRight w:val="0"/>
      <w:marTop w:val="0"/>
      <w:marBottom w:val="0"/>
      <w:divBdr>
        <w:top w:val="none" w:sz="0" w:space="0" w:color="auto"/>
        <w:left w:val="none" w:sz="0" w:space="0" w:color="auto"/>
        <w:bottom w:val="none" w:sz="0" w:space="0" w:color="auto"/>
        <w:right w:val="none" w:sz="0" w:space="0" w:color="auto"/>
      </w:divBdr>
    </w:div>
    <w:div w:id="393117242">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43583480">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01268165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698265510">
      <w:bodyDiv w:val="1"/>
      <w:marLeft w:val="0"/>
      <w:marRight w:val="0"/>
      <w:marTop w:val="0"/>
      <w:marBottom w:val="0"/>
      <w:divBdr>
        <w:top w:val="none" w:sz="0" w:space="0" w:color="auto"/>
        <w:left w:val="none" w:sz="0" w:space="0" w:color="auto"/>
        <w:bottom w:val="none" w:sz="0" w:space="0" w:color="auto"/>
        <w:right w:val="none" w:sz="0" w:space="0" w:color="auto"/>
      </w:divBdr>
    </w:div>
    <w:div w:id="170664157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providencias-consejo-de-estado/" TargetMode="External"/><Relationship Id="rId18" Type="http://schemas.openxmlformats.org/officeDocument/2006/relationships/hyperlink" Target="https://nam02.safelinks.protection.outlook.com/?url=https%3A%2F%2Fwww.colombiacompra.gov.co%2Fcontent%2Fconvocatorias&amp;data=05%7C02%7Cdiana.blanco%40colombiacompra.gov.co%7C5aad36a736844ec87b2108dcc1fa4639%7C7b09041e245149d08cb179d5e3d8c1be%7C0%7C0%7C638598527917629752%7CUnknown%7CTWFpbGZsb3d8eyJWIjoiMC4wLjAwMDAiLCJQIjoiV2luMzIiLCJBTiI6Ik1haWwiLCJXVCI6Mn0%3D%7C0%7C%7C%7C&amp;sdata=GAoolGTP3EMvLbuuOcIZqK0EZWu5uKjFqn0sXmbw3fk%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nam02.safelinks.protection.outlook.com/?url=https%3A%2F%2Fwww.sucop.gov.co%2Fentidades%2Fcolombiacompra%2FNormativa%3FIDNorma%3D17363&amp;data=05%7C02%7Cdiana.blanco%40colombiacompra.gov.co%7C5aad36a736844ec87b2108dcc1fa4639%7C7b09041e245149d08cb179d5e3d8c1be%7C0%7C0%7C638598527917618092%7CUnknown%7CTWFpbGZsb3d8eyJWIjoiMC4wLjAwMDAiLCJQIjoiV2luMzIiLCJBTiI6Ik1haWwiLCJXVCI6Mn0%3D%7C0%7C%7C%7C&amp;sdata=yYI6pLYvTWdnmrbsoZcAtOD%2FG7cu%2Bo6Par2iYCSaq4g%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ites%2Fcce_public%2Ffiles%2Ffiles_2020%2Fboletin_de_realtoria_iii.pdf&amp;data=05%7C02%7Cdiana.blanco%40colombiacompra.gov.co%7C5aad36a736844ec87b2108dcc1fa4639%7C7b09041e245149d08cb179d5e3d8c1be%7C0%7C0%7C638598527917605093%7CUnknown%7CTWFpbGZsb3d8eyJWIjoiMC4wLjAwMDAiLCJQIjoiV2luMzIiLCJBTiI6Ik1haWwiLCJXVCI6Mn0%3D%7C0%7C%7C%7C&amp;sdata=GC1x4nLNGPX5zoV2M4K11reL8XIUFpjc0LcVId%2FHtgY%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bogadosruizgiraldo@hotmail.com" TargetMode="External"/><Relationship Id="rId5" Type="http://schemas.openxmlformats.org/officeDocument/2006/relationships/numbering" Target="numbering.xml"/><Relationship Id="rId15" Type="http://schemas.openxmlformats.org/officeDocument/2006/relationships/hyperlink" Target="https://nam02.safelinks.protection.outlook.com/?url=https%3A%2F%2Frelatoria.colombiacompra.gov.co%2F&amp;data=05%7C02%7Cdiana.blanco%40colombiacompra.gov.co%7C5aad36a736844ec87b2108dcc1fa4639%7C7b09041e245149d08cb179d5e3d8c1be%7C0%7C0%7C638598527917590308%7CUnknown%7CTWFpbGZsb3d8eyJWIjoiMC4wLjAwMDAiLCJQIjoiV2luMzIiLCJBTiI6Ik1haWwiLCJXVCI6Mn0%3D%7C0%7C%7C%7C&amp;sdata=20bTO%2BV9qR58r83wa63pBfbKVVpQa4CxfO3WRNMrKeM%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manuales-guias-y-pliegos-tipo/manuales-y-guias"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funcionpublica.gov.co/sisjur/home/Norma1.jsp?i=25678" TargetMode="External"/><Relationship Id="rId1" Type="http://schemas.openxmlformats.org/officeDocument/2006/relationships/hyperlink" Target="https://www.funcionpublica.gov.co/sisjur/home/Norma1.jsp?i=2567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7501B2-9555-4583-BDAD-C1904F1B0A0F}"/>
</file>

<file path=customXml/itemProps2.xml><?xml version="1.0" encoding="utf-8"?>
<ds:datastoreItem xmlns:ds="http://schemas.openxmlformats.org/officeDocument/2006/customXml" ds:itemID="{C1304246-C671-7845-8933-575735EA0E0B}">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15</Pages>
  <Words>4736</Words>
  <Characters>26050</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Carolina Blanco Rodriguez</cp:lastModifiedBy>
  <cp:revision>5</cp:revision>
  <cp:lastPrinted>2023-01-10T21:18:00Z</cp:lastPrinted>
  <dcterms:created xsi:type="dcterms:W3CDTF">2024-08-28T20:50:00Z</dcterms:created>
  <dcterms:modified xsi:type="dcterms:W3CDTF">2024-09-02T22:25:00Z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