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77681E" w14:textId="1D44C20D" w:rsidR="00040B7D" w:rsidRDefault="00040B7D" w:rsidP="00F35FA5">
      <w:pPr>
        <w:spacing w:before="0" w:after="0"/>
        <w:jc w:val="right"/>
        <w:rPr>
          <w:rFonts w:ascii="Arial" w:hAnsi="Arial" w:cs="Arial"/>
          <w:b/>
          <w:bCs/>
          <w:color w:val="000000" w:themeColor="text1"/>
          <w:sz w:val="16"/>
          <w:szCs w:val="16"/>
          <w:lang w:val="es-ES" w:eastAsia="es-ES"/>
        </w:rPr>
      </w:pPr>
      <w:bookmarkStart w:id="0" w:name="_GoBack"/>
      <w:bookmarkEnd w:id="0"/>
      <w:r w:rsidRPr="00040B7D">
        <w:rPr>
          <w:rFonts w:ascii="Arial" w:hAnsi="Arial" w:cs="Arial"/>
          <w:b/>
          <w:bCs/>
          <w:color w:val="000000" w:themeColor="text1"/>
          <w:sz w:val="16"/>
          <w:szCs w:val="16"/>
          <w:lang w:val="es-ES" w:eastAsia="es-ES"/>
        </w:rPr>
        <w:t>CCE-DES-FM-17</w:t>
      </w:r>
    </w:p>
    <w:p w14:paraId="71D54104" w14:textId="77777777" w:rsidR="00F35FA5" w:rsidRPr="00F35FA5" w:rsidRDefault="00F35FA5" w:rsidP="00F35FA5">
      <w:pPr>
        <w:spacing w:before="0" w:after="0"/>
        <w:jc w:val="right"/>
        <w:rPr>
          <w:rFonts w:ascii="Arial" w:eastAsia="Calibri" w:hAnsi="Arial" w:cs="Arial"/>
          <w:b/>
          <w:bCs/>
          <w:color w:val="000000" w:themeColor="text1"/>
          <w:sz w:val="16"/>
          <w:szCs w:val="16"/>
          <w:lang w:val="es-ES"/>
        </w:rPr>
      </w:pPr>
    </w:p>
    <w:p w14:paraId="0937850E" w14:textId="3E4F01E9" w:rsidR="00040B7D" w:rsidRPr="00040B7D" w:rsidRDefault="00040B7D" w:rsidP="00F35FA5">
      <w:pPr>
        <w:spacing w:before="0" w:after="0"/>
        <w:rPr>
          <w:rFonts w:ascii="Arial" w:hAnsi="Arial" w:cs="Arial"/>
          <w:b/>
          <w:bCs/>
          <w:color w:val="000000" w:themeColor="text1"/>
          <w:sz w:val="22"/>
          <w:lang w:val="es-ES"/>
        </w:rPr>
      </w:pPr>
      <w:r w:rsidRPr="00040B7D">
        <w:rPr>
          <w:rFonts w:ascii="Arial" w:eastAsia="Calibri" w:hAnsi="Arial" w:cs="Arial"/>
          <w:b/>
          <w:color w:val="000000" w:themeColor="text1"/>
          <w:sz w:val="22"/>
          <w:lang w:val="es-ES"/>
        </w:rPr>
        <w:t xml:space="preserve">SECOP </w:t>
      </w:r>
      <w:r w:rsidR="0034624B">
        <w:rPr>
          <w:rFonts w:ascii="Arial" w:eastAsia="Calibri" w:hAnsi="Arial" w:cs="Arial"/>
          <w:b/>
          <w:color w:val="000000" w:themeColor="text1"/>
          <w:sz w:val="22"/>
          <w:lang w:val="es-ES"/>
        </w:rPr>
        <w:t>–</w:t>
      </w:r>
      <w:r w:rsidR="0034624B" w:rsidRPr="00040B7D">
        <w:rPr>
          <w:rFonts w:ascii="Arial" w:eastAsia="Calibri" w:hAnsi="Arial" w:cs="Arial"/>
          <w:b/>
          <w:color w:val="000000" w:themeColor="text1"/>
          <w:sz w:val="22"/>
          <w:lang w:val="es-ES"/>
        </w:rPr>
        <w:t xml:space="preserve"> </w:t>
      </w:r>
      <w:r w:rsidRPr="00040B7D">
        <w:rPr>
          <w:rFonts w:ascii="Arial" w:eastAsia="Calibri" w:hAnsi="Arial" w:cs="Arial"/>
          <w:b/>
          <w:color w:val="000000" w:themeColor="text1"/>
          <w:sz w:val="22"/>
          <w:lang w:val="es-ES"/>
        </w:rPr>
        <w:t xml:space="preserve">Principio publicidad </w:t>
      </w:r>
      <w:r w:rsidR="0034624B">
        <w:rPr>
          <w:rFonts w:ascii="Arial" w:eastAsia="Calibri" w:hAnsi="Arial" w:cs="Arial"/>
          <w:b/>
          <w:color w:val="000000" w:themeColor="text1"/>
          <w:sz w:val="22"/>
          <w:lang w:val="es-ES"/>
        </w:rPr>
        <w:t>–</w:t>
      </w:r>
      <w:r w:rsidRPr="00040B7D">
        <w:rPr>
          <w:rFonts w:ascii="Arial" w:eastAsia="Calibri" w:hAnsi="Arial" w:cs="Arial"/>
          <w:b/>
          <w:color w:val="000000" w:themeColor="text1"/>
          <w:sz w:val="22"/>
          <w:lang w:val="es-ES"/>
        </w:rPr>
        <w:t xml:space="preserve"> Acceso a la información pública</w:t>
      </w:r>
    </w:p>
    <w:p w14:paraId="31F823EF" w14:textId="77777777" w:rsidR="00040B7D" w:rsidRPr="00040B7D" w:rsidRDefault="00040B7D" w:rsidP="00F35FA5">
      <w:pPr>
        <w:spacing w:before="0" w:after="0"/>
        <w:rPr>
          <w:rFonts w:ascii="Arial" w:hAnsi="Arial" w:cs="Arial"/>
          <w:color w:val="000000" w:themeColor="text1"/>
          <w:sz w:val="20"/>
          <w:szCs w:val="20"/>
          <w:lang w:val="es-ES"/>
        </w:rPr>
      </w:pPr>
    </w:p>
    <w:p w14:paraId="178743FF" w14:textId="77777777" w:rsidR="00040B7D" w:rsidRPr="00040B7D" w:rsidRDefault="00040B7D" w:rsidP="009F0D45">
      <w:pPr>
        <w:spacing w:before="0" w:after="0" w:line="240" w:lineRule="auto"/>
        <w:rPr>
          <w:rFonts w:ascii="Arial" w:hAnsi="Arial" w:cs="Arial"/>
          <w:color w:val="000000" w:themeColor="text1"/>
          <w:sz w:val="20"/>
          <w:szCs w:val="20"/>
          <w:lang w:val="es-ES"/>
        </w:rPr>
      </w:pPr>
      <w:r w:rsidRPr="00040B7D">
        <w:rPr>
          <w:rFonts w:ascii="Arial" w:hAnsi="Arial" w:cs="Arial"/>
          <w:color w:val="000000" w:themeColor="text1"/>
          <w:sz w:val="20"/>
          <w:szCs w:val="20"/>
          <w:lang w:val="es-ES"/>
        </w:rPr>
        <w:t>El principio de publicidad impone a las autoridades administrativas el deber de dar a conocer sus actos, contratos y decisiones, para que se divulguen y eventualmente se controlen las actuaciones.</w:t>
      </w:r>
    </w:p>
    <w:p w14:paraId="3B483BA5" w14:textId="36D39397" w:rsidR="00040B7D" w:rsidRDefault="00040B7D" w:rsidP="009F0D45">
      <w:pPr>
        <w:spacing w:before="0" w:after="0" w:line="240" w:lineRule="auto"/>
        <w:rPr>
          <w:rFonts w:ascii="Arial" w:hAnsi="Arial" w:cs="Arial"/>
          <w:color w:val="000000" w:themeColor="text1"/>
          <w:sz w:val="20"/>
          <w:szCs w:val="20"/>
          <w:lang w:val="es-ES"/>
        </w:rPr>
      </w:pPr>
      <w:r w:rsidRPr="00040B7D">
        <w:rPr>
          <w:rFonts w:ascii="Arial" w:hAnsi="Arial" w:cs="Arial"/>
          <w:color w:val="000000" w:themeColor="text1"/>
          <w:sz w:val="20"/>
          <w:szCs w:val="20"/>
          <w:lang w:val="es-ES"/>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p>
    <w:p w14:paraId="6DD1E1D8" w14:textId="11ECF8DB" w:rsidR="00423036" w:rsidRPr="00040B7D" w:rsidRDefault="00423036" w:rsidP="009F0D45">
      <w:pPr>
        <w:spacing w:before="0" w:line="240" w:lineRule="auto"/>
        <w:rPr>
          <w:rFonts w:ascii="Arial" w:hAnsi="Arial" w:cs="Arial"/>
          <w:color w:val="000000" w:themeColor="text1"/>
          <w:sz w:val="20"/>
          <w:szCs w:val="20"/>
          <w:lang w:val="es-ES"/>
        </w:rPr>
      </w:pPr>
      <w:r>
        <w:rPr>
          <w:rFonts w:ascii="Arial" w:hAnsi="Arial" w:cs="Arial"/>
          <w:color w:val="000000" w:themeColor="text1"/>
          <w:sz w:val="20"/>
          <w:szCs w:val="20"/>
          <w:lang w:val="es-ES"/>
        </w:rPr>
        <w:t>[…]</w:t>
      </w:r>
    </w:p>
    <w:p w14:paraId="1680C73F" w14:textId="0707CF18" w:rsidR="00423036" w:rsidRPr="00423036" w:rsidRDefault="00423036" w:rsidP="009F0D45">
      <w:pPr>
        <w:spacing w:before="0" w:after="0" w:line="240" w:lineRule="auto"/>
        <w:rPr>
          <w:rFonts w:ascii="Arial" w:hAnsi="Arial" w:cs="Arial"/>
          <w:color w:val="000000" w:themeColor="text1"/>
          <w:sz w:val="20"/>
          <w:szCs w:val="20"/>
          <w:lang w:val="es-ES"/>
        </w:rPr>
      </w:pPr>
      <w:r w:rsidRPr="00423036">
        <w:rPr>
          <w:rFonts w:ascii="Arial" w:hAnsi="Arial" w:cs="Arial"/>
          <w:color w:val="000000" w:themeColor="text1"/>
          <w:sz w:val="20"/>
          <w:szCs w:val="20"/>
          <w:lang w:val="es-ES"/>
        </w:rPr>
        <w:t>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w:t>
      </w:r>
    </w:p>
    <w:p w14:paraId="04F8F265" w14:textId="77777777" w:rsidR="00040B7D" w:rsidRPr="00040B7D" w:rsidRDefault="00040B7D" w:rsidP="009F0D45">
      <w:pPr>
        <w:spacing w:before="0" w:after="0"/>
        <w:rPr>
          <w:rFonts w:ascii="Arial" w:hAnsi="Arial" w:cs="Arial"/>
          <w:color w:val="000000" w:themeColor="text1"/>
          <w:sz w:val="20"/>
          <w:szCs w:val="20"/>
          <w:lang w:val="es-ES"/>
        </w:rPr>
      </w:pPr>
    </w:p>
    <w:p w14:paraId="5D77B022" w14:textId="594D128C" w:rsidR="00040B7D" w:rsidRPr="00040B7D" w:rsidRDefault="00040B7D" w:rsidP="009F0D45">
      <w:pPr>
        <w:spacing w:before="0" w:after="0"/>
        <w:rPr>
          <w:rFonts w:ascii="Arial" w:hAnsi="Arial" w:cs="Arial"/>
          <w:b/>
          <w:bCs/>
          <w:color w:val="000000" w:themeColor="text1"/>
          <w:sz w:val="22"/>
          <w:lang w:val="es-ES"/>
        </w:rPr>
      </w:pPr>
      <w:r w:rsidRPr="00040B7D">
        <w:rPr>
          <w:rFonts w:ascii="Arial" w:hAnsi="Arial" w:cs="Arial"/>
          <w:b/>
          <w:bCs/>
          <w:color w:val="000000" w:themeColor="text1"/>
          <w:sz w:val="22"/>
          <w:lang w:val="es-ES"/>
        </w:rPr>
        <w:t xml:space="preserve">SECOP I </w:t>
      </w:r>
      <w:r w:rsidR="0034624B">
        <w:rPr>
          <w:rFonts w:ascii="Arial" w:hAnsi="Arial" w:cs="Arial"/>
          <w:b/>
          <w:bCs/>
          <w:color w:val="000000" w:themeColor="text1"/>
          <w:sz w:val="22"/>
          <w:lang w:val="es-ES"/>
        </w:rPr>
        <w:t>–</w:t>
      </w:r>
      <w:r w:rsidRPr="00040B7D">
        <w:rPr>
          <w:rFonts w:ascii="Arial" w:hAnsi="Arial" w:cs="Arial"/>
          <w:b/>
          <w:bCs/>
          <w:color w:val="000000" w:themeColor="text1"/>
          <w:sz w:val="22"/>
          <w:lang w:val="es-ES"/>
        </w:rPr>
        <w:t xml:space="preserve"> Finalidad</w:t>
      </w:r>
    </w:p>
    <w:p w14:paraId="53ACDEF8" w14:textId="77777777" w:rsidR="00040B7D" w:rsidRPr="00040B7D" w:rsidRDefault="00040B7D" w:rsidP="009F0D45">
      <w:pPr>
        <w:spacing w:before="0" w:after="0"/>
        <w:rPr>
          <w:rFonts w:ascii="Arial" w:hAnsi="Arial" w:cs="Arial"/>
          <w:color w:val="000000" w:themeColor="text1"/>
          <w:sz w:val="20"/>
          <w:szCs w:val="20"/>
          <w:lang w:val="es-ES"/>
        </w:rPr>
      </w:pPr>
    </w:p>
    <w:p w14:paraId="29F2A909" w14:textId="2DF34FB3" w:rsidR="00040B7D" w:rsidRPr="00040B7D" w:rsidRDefault="00040B7D" w:rsidP="009F0D45">
      <w:pPr>
        <w:spacing w:before="0" w:after="0" w:line="240" w:lineRule="auto"/>
        <w:rPr>
          <w:rFonts w:ascii="Arial" w:hAnsi="Arial" w:cs="Arial"/>
          <w:color w:val="000000" w:themeColor="text1"/>
          <w:sz w:val="20"/>
          <w:szCs w:val="20"/>
          <w:lang w:val="es-ES"/>
        </w:rPr>
      </w:pPr>
      <w:r w:rsidRPr="00040B7D">
        <w:rPr>
          <w:rFonts w:ascii="Arial" w:hAnsi="Arial" w:cs="Arial"/>
          <w:color w:val="000000" w:themeColor="text1"/>
          <w:sz w:val="20"/>
          <w:szCs w:val="20"/>
          <w:lang w:val="es-ES"/>
        </w:rPr>
        <w:t xml:space="preserve">La Agencia Nacional de Contratación Pública </w:t>
      </w:r>
      <w:r w:rsidR="00B557BD">
        <w:rPr>
          <w:rFonts w:ascii="Arial" w:hAnsi="Arial" w:cs="Arial"/>
          <w:color w:val="000000" w:themeColor="text1"/>
          <w:sz w:val="20"/>
          <w:szCs w:val="20"/>
          <w:lang w:val="es-ES"/>
        </w:rPr>
        <w:t>–</w:t>
      </w:r>
      <w:r w:rsidRPr="00040B7D">
        <w:rPr>
          <w:rFonts w:ascii="Arial" w:hAnsi="Arial" w:cs="Arial"/>
          <w:color w:val="000000" w:themeColor="text1"/>
          <w:sz w:val="20"/>
          <w:szCs w:val="20"/>
          <w:lang w:val="es-ES"/>
        </w:rPr>
        <w:t xml:space="preserve"> Colombia Compra Eficiente tiene como función la administración del SECOP, por lo cual se desarrolló la primera versión  </w:t>
      </w:r>
      <w:r w:rsidR="00B557BD">
        <w:rPr>
          <w:rFonts w:ascii="Arial" w:hAnsi="Arial" w:cs="Arial"/>
          <w:color w:val="000000" w:themeColor="text1"/>
          <w:sz w:val="20"/>
          <w:szCs w:val="20"/>
          <w:lang w:val="es-ES"/>
        </w:rPr>
        <w:t>–</w:t>
      </w:r>
      <w:r w:rsidRPr="00040B7D">
        <w:rPr>
          <w:rFonts w:ascii="Arial" w:hAnsi="Arial" w:cs="Arial"/>
          <w:color w:val="000000" w:themeColor="text1"/>
          <w:sz w:val="20"/>
          <w:szCs w:val="20"/>
          <w:lang w:val="es-ES"/>
        </w:rPr>
        <w:t>SECOP I</w:t>
      </w:r>
      <w:r w:rsidR="00B557BD">
        <w:rPr>
          <w:rFonts w:ascii="Arial" w:hAnsi="Arial" w:cs="Arial"/>
          <w:color w:val="000000" w:themeColor="text1"/>
          <w:sz w:val="20"/>
          <w:szCs w:val="20"/>
          <w:lang w:val="es-ES"/>
        </w:rPr>
        <w:t>–</w:t>
      </w:r>
      <w:r w:rsidRPr="00040B7D">
        <w:rPr>
          <w:rFonts w:ascii="Arial" w:hAnsi="Arial" w:cs="Arial"/>
          <w:color w:val="000000" w:themeColor="text1"/>
          <w:sz w:val="20"/>
          <w:szCs w:val="20"/>
          <w:lang w:val="es-ES"/>
        </w:rPr>
        <w:t xml:space="preserve">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D4B890C" w14:textId="77777777" w:rsidR="00040B7D" w:rsidRPr="00040B7D" w:rsidRDefault="00040B7D" w:rsidP="009F0D45">
      <w:pPr>
        <w:spacing w:before="0" w:after="0"/>
        <w:rPr>
          <w:rFonts w:ascii="Arial" w:hAnsi="Arial" w:cs="Arial"/>
          <w:color w:val="000000" w:themeColor="text1"/>
          <w:sz w:val="20"/>
          <w:szCs w:val="20"/>
          <w:lang w:val="es-ES"/>
        </w:rPr>
      </w:pPr>
    </w:p>
    <w:p w14:paraId="35D575D7" w14:textId="6A45487D" w:rsidR="00040B7D" w:rsidRPr="00040B7D" w:rsidRDefault="00040B7D" w:rsidP="009F0D45">
      <w:pPr>
        <w:spacing w:before="0" w:after="0"/>
        <w:rPr>
          <w:rFonts w:ascii="Arial" w:hAnsi="Arial" w:cs="Arial"/>
          <w:b/>
          <w:bCs/>
          <w:color w:val="000000" w:themeColor="text1"/>
          <w:sz w:val="22"/>
          <w:lang w:val="es-ES"/>
        </w:rPr>
      </w:pPr>
      <w:r w:rsidRPr="00040B7D">
        <w:rPr>
          <w:rFonts w:ascii="Arial" w:hAnsi="Arial" w:cs="Arial"/>
          <w:b/>
          <w:bCs/>
          <w:color w:val="000000" w:themeColor="text1"/>
          <w:sz w:val="22"/>
          <w:lang w:val="es-ES"/>
        </w:rPr>
        <w:t xml:space="preserve">SECOP II </w:t>
      </w:r>
      <w:r w:rsidR="00B557BD">
        <w:rPr>
          <w:rFonts w:ascii="Arial" w:hAnsi="Arial" w:cs="Arial"/>
          <w:b/>
          <w:bCs/>
          <w:color w:val="000000" w:themeColor="text1"/>
          <w:sz w:val="22"/>
          <w:lang w:val="es-ES"/>
        </w:rPr>
        <w:t>–</w:t>
      </w:r>
      <w:r w:rsidRPr="00040B7D">
        <w:rPr>
          <w:rFonts w:ascii="Arial" w:hAnsi="Arial" w:cs="Arial"/>
          <w:b/>
          <w:bCs/>
          <w:color w:val="000000" w:themeColor="text1"/>
          <w:sz w:val="22"/>
          <w:lang w:val="es-ES"/>
        </w:rPr>
        <w:t xml:space="preserve"> Finalidad</w:t>
      </w:r>
    </w:p>
    <w:p w14:paraId="591682D5" w14:textId="77777777" w:rsidR="00040B7D" w:rsidRPr="00040B7D" w:rsidRDefault="00040B7D" w:rsidP="009F0D45">
      <w:pPr>
        <w:spacing w:before="0" w:after="0"/>
        <w:rPr>
          <w:rFonts w:ascii="Arial" w:hAnsi="Arial" w:cs="Arial"/>
          <w:color w:val="000000" w:themeColor="text1"/>
          <w:sz w:val="20"/>
          <w:szCs w:val="20"/>
          <w:lang w:val="es-ES"/>
        </w:rPr>
      </w:pPr>
    </w:p>
    <w:p w14:paraId="4FA61B64" w14:textId="77777777" w:rsidR="00040B7D" w:rsidRPr="00040B7D" w:rsidRDefault="00040B7D">
      <w:pPr>
        <w:spacing w:before="0" w:line="240" w:lineRule="auto"/>
        <w:rPr>
          <w:rFonts w:ascii="Arial" w:hAnsi="Arial" w:cs="Arial"/>
          <w:color w:val="000000" w:themeColor="text1"/>
          <w:sz w:val="20"/>
          <w:szCs w:val="20"/>
          <w:lang w:val="es-ES"/>
        </w:rPr>
      </w:pPr>
      <w:r w:rsidRPr="00040B7D">
        <w:rPr>
          <w:rFonts w:ascii="Arial" w:hAnsi="Arial" w:cs="Arial"/>
          <w:color w:val="000000" w:themeColor="text1"/>
          <w:sz w:val="20"/>
          <w:szCs w:val="20"/>
          <w:lang w:val="es-ES"/>
        </w:rPr>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3275A864" w14:textId="77777777" w:rsidR="00040B7D" w:rsidRPr="00040B7D" w:rsidRDefault="00040B7D" w:rsidP="009F0D45">
      <w:pPr>
        <w:spacing w:before="0" w:after="0" w:line="240" w:lineRule="auto"/>
        <w:rPr>
          <w:rFonts w:ascii="Arial" w:hAnsi="Arial" w:cs="Arial"/>
          <w:color w:val="000000" w:themeColor="text1"/>
          <w:sz w:val="20"/>
          <w:szCs w:val="20"/>
          <w:lang w:val="es-ES"/>
        </w:rPr>
      </w:pPr>
      <w:r w:rsidRPr="00040B7D">
        <w:rPr>
          <w:rFonts w:ascii="Arial" w:hAnsi="Arial" w:cs="Arial"/>
          <w:color w:val="000000" w:themeColor="text1"/>
          <w:sz w:val="20"/>
          <w:szCs w:val="20"/>
          <w:lang w:val="es-ES"/>
        </w:rPr>
        <w:t>En un primer momento, esto es, antes del año 2020, el SECOP II solo era obligatorio, en general, para la rama ejecutiva del nivel nacional y Bogotá, y todavía era opcional para los municipios y departamentos. Esto en razón al proyecto interno de despliegue de la plataforma, que incluye una transición mediante formaciones teóricas y prácticas y capacitaciones virtuales y presenciales, que finaliza con la deshabilitación del SECOP I, con el propósito de que las entidades adopten la plataforma y conozcan su funcionamiento.</w:t>
      </w:r>
    </w:p>
    <w:p w14:paraId="4AEA69B9" w14:textId="77777777" w:rsidR="00040B7D" w:rsidRPr="00040B7D" w:rsidRDefault="00040B7D" w:rsidP="009F0D45">
      <w:pPr>
        <w:spacing w:before="0" w:after="0"/>
        <w:rPr>
          <w:rFonts w:ascii="Arial" w:hAnsi="Arial" w:cs="Arial"/>
          <w:color w:val="000000" w:themeColor="text1"/>
          <w:sz w:val="20"/>
          <w:szCs w:val="20"/>
          <w:lang w:val="es-ES"/>
        </w:rPr>
      </w:pPr>
    </w:p>
    <w:p w14:paraId="1DE6BD71" w14:textId="0365CBC0" w:rsidR="00040B7D" w:rsidRPr="00481BD6" w:rsidRDefault="00040B7D" w:rsidP="009F0D45">
      <w:pPr>
        <w:pStyle w:val="Prrafodelista"/>
        <w:spacing w:before="0" w:after="0"/>
        <w:ind w:left="0"/>
        <w:rPr>
          <w:rFonts w:ascii="Arial" w:eastAsia="Calibri" w:hAnsi="Arial" w:cs="Arial"/>
          <w:b/>
          <w:color w:val="000000" w:themeColor="text1"/>
          <w:sz w:val="22"/>
          <w:szCs w:val="20"/>
        </w:rPr>
      </w:pPr>
      <w:r w:rsidRPr="00481BD6">
        <w:rPr>
          <w:rFonts w:ascii="Arial" w:eastAsia="Calibri" w:hAnsi="Arial" w:cs="Arial"/>
          <w:b/>
          <w:color w:val="000000" w:themeColor="text1"/>
          <w:sz w:val="22"/>
          <w:szCs w:val="20"/>
        </w:rPr>
        <w:lastRenderedPageBreak/>
        <w:t xml:space="preserve">SECOP – Publicidad </w:t>
      </w:r>
      <w:r w:rsidRPr="00481BD6">
        <w:rPr>
          <w:rFonts w:ascii="Arial" w:eastAsia="Calibri" w:hAnsi="Arial" w:cs="Arial"/>
          <w:b/>
          <w:color w:val="000000" w:themeColor="text1"/>
          <w:sz w:val="22"/>
          <w:szCs w:val="20"/>
        </w:rPr>
        <w:softHyphen/>
        <w:t xml:space="preserve">– Contratos fiduciarios </w:t>
      </w:r>
      <w:r w:rsidR="00B557BD">
        <w:rPr>
          <w:rFonts w:ascii="Arial" w:eastAsia="Calibri" w:hAnsi="Arial" w:cs="Arial"/>
          <w:b/>
          <w:color w:val="000000" w:themeColor="text1"/>
          <w:sz w:val="22"/>
          <w:szCs w:val="20"/>
        </w:rPr>
        <w:t>– C</w:t>
      </w:r>
      <w:r w:rsidRPr="00481BD6">
        <w:rPr>
          <w:rFonts w:ascii="Arial" w:eastAsia="Calibri" w:hAnsi="Arial" w:cs="Arial"/>
          <w:b/>
          <w:color w:val="000000" w:themeColor="text1"/>
          <w:sz w:val="22"/>
          <w:szCs w:val="20"/>
        </w:rPr>
        <w:t>ontratación derivada</w:t>
      </w:r>
    </w:p>
    <w:p w14:paraId="37FE6CB8" w14:textId="77777777" w:rsidR="00040B7D" w:rsidRPr="00481BD6" w:rsidRDefault="00040B7D" w:rsidP="009F0D45">
      <w:pPr>
        <w:pStyle w:val="Prrafodelista"/>
        <w:spacing w:before="0" w:after="0"/>
        <w:ind w:left="0"/>
        <w:rPr>
          <w:rFonts w:ascii="Arial" w:eastAsia="Calibri" w:hAnsi="Arial" w:cs="Arial"/>
          <w:color w:val="000000" w:themeColor="text1"/>
          <w:sz w:val="20"/>
          <w:szCs w:val="20"/>
        </w:rPr>
      </w:pPr>
    </w:p>
    <w:p w14:paraId="369DB26D" w14:textId="111C4ED5" w:rsidR="00040B7D" w:rsidRDefault="00040B7D" w:rsidP="009F0D45">
      <w:pPr>
        <w:spacing w:before="0" w:after="0" w:line="240" w:lineRule="auto"/>
        <w:rPr>
          <w:rFonts w:ascii="Arial" w:eastAsia="Calibri" w:hAnsi="Arial" w:cs="Arial"/>
          <w:color w:val="000000" w:themeColor="text1"/>
          <w:sz w:val="20"/>
          <w:szCs w:val="20"/>
          <w:lang w:val="es-ES"/>
        </w:rPr>
      </w:pPr>
      <w:r w:rsidRPr="00040B7D">
        <w:rPr>
          <w:rFonts w:ascii="Arial" w:eastAsia="Calibri" w:hAnsi="Arial" w:cs="Arial"/>
          <w:color w:val="000000" w:themeColor="text1"/>
          <w:sz w:val="20"/>
          <w:szCs w:val="20"/>
          <w:lang w:val="es-ES"/>
        </w:rPr>
        <w:t xml:space="preserve">[…] </w:t>
      </w:r>
      <w:r w:rsidR="00923F53">
        <w:rPr>
          <w:rFonts w:ascii="Arial" w:eastAsia="Calibri" w:hAnsi="Arial" w:cs="Arial"/>
          <w:color w:val="000000" w:themeColor="text1"/>
          <w:sz w:val="20"/>
          <w:szCs w:val="20"/>
          <w:lang w:val="es-ES"/>
        </w:rPr>
        <w:t>L</w:t>
      </w:r>
      <w:r w:rsidR="00923F53" w:rsidRPr="00923F53">
        <w:rPr>
          <w:rFonts w:ascii="Arial" w:eastAsia="Calibri" w:hAnsi="Arial" w:cs="Arial"/>
          <w:color w:val="000000" w:themeColor="text1"/>
          <w:sz w:val="20"/>
          <w:szCs w:val="20"/>
          <w:lang w:val="es-ES"/>
        </w:rPr>
        <w:t xml:space="preserve">os contratos fiduciarios deberán ser publicados por la </w:t>
      </w:r>
      <w:r w:rsidR="00B557BD" w:rsidRPr="00923F53">
        <w:rPr>
          <w:rFonts w:ascii="Arial" w:eastAsia="Calibri" w:hAnsi="Arial" w:cs="Arial"/>
          <w:color w:val="000000" w:themeColor="text1"/>
          <w:sz w:val="20"/>
          <w:szCs w:val="20"/>
          <w:lang w:val="es-ES"/>
        </w:rPr>
        <w:t xml:space="preserve">entidad estatal </w:t>
      </w:r>
      <w:r w:rsidR="00923F53" w:rsidRPr="00923F53">
        <w:rPr>
          <w:rFonts w:ascii="Arial" w:eastAsia="Calibri" w:hAnsi="Arial" w:cs="Arial"/>
          <w:color w:val="000000" w:themeColor="text1"/>
          <w:sz w:val="20"/>
          <w:szCs w:val="20"/>
          <w:lang w:val="es-ES"/>
        </w:rPr>
        <w:t xml:space="preserve">que los suscriba, de acuerdo con el régimen jurídico aplicable al contrato y según lo visto en párrafos precedentes. La misma suerte corre la «contratación derivada» que deberá ser publicada en el SECOP por la </w:t>
      </w:r>
      <w:r w:rsidR="00625113">
        <w:rPr>
          <w:rFonts w:ascii="Arial" w:eastAsia="Calibri" w:hAnsi="Arial" w:cs="Arial"/>
          <w:color w:val="000000" w:themeColor="text1"/>
          <w:sz w:val="20"/>
          <w:szCs w:val="20"/>
          <w:lang w:val="es-ES"/>
        </w:rPr>
        <w:t>entidad estatal</w:t>
      </w:r>
      <w:r w:rsidR="00923F53" w:rsidRPr="00923F53">
        <w:rPr>
          <w:rFonts w:ascii="Arial" w:eastAsia="Calibri" w:hAnsi="Arial" w:cs="Arial"/>
          <w:color w:val="000000" w:themeColor="text1"/>
          <w:sz w:val="20"/>
          <w:szCs w:val="20"/>
          <w:lang w:val="es-ES"/>
        </w:rPr>
        <w:t xml:space="preserve">, con la intervención de la fiducia para efectos de la firma del contrato. Ello obedece al hecho de que las normas legales y reglamentarias analizadas en el aparte 2.1 de este concepto identifican como sujeto obligado a publicar en el SECOP a la </w:t>
      </w:r>
      <w:r w:rsidR="00625113">
        <w:rPr>
          <w:rFonts w:ascii="Arial" w:eastAsia="Calibri" w:hAnsi="Arial" w:cs="Arial"/>
          <w:color w:val="000000" w:themeColor="text1"/>
          <w:sz w:val="20"/>
          <w:szCs w:val="20"/>
          <w:lang w:val="es-ES"/>
        </w:rPr>
        <w:t>entidad estatal</w:t>
      </w:r>
      <w:r w:rsidR="00923F53" w:rsidRPr="00923F53">
        <w:rPr>
          <w:rFonts w:ascii="Arial" w:eastAsia="Calibri" w:hAnsi="Arial" w:cs="Arial"/>
          <w:color w:val="000000" w:themeColor="text1"/>
          <w:sz w:val="20"/>
          <w:szCs w:val="20"/>
          <w:lang w:val="es-ES"/>
        </w:rPr>
        <w:t>.</w:t>
      </w:r>
    </w:p>
    <w:p w14:paraId="1549D0FA" w14:textId="77777777" w:rsidR="00923F53" w:rsidRPr="00481BD6" w:rsidRDefault="00923F53" w:rsidP="009F0D45">
      <w:pPr>
        <w:spacing w:before="0" w:after="0" w:line="240" w:lineRule="auto"/>
        <w:rPr>
          <w:rFonts w:ascii="Arial" w:hAnsi="Arial" w:cs="Arial"/>
          <w:color w:val="000000" w:themeColor="text1"/>
          <w:sz w:val="20"/>
          <w:szCs w:val="20"/>
          <w:lang w:val="es-ES"/>
        </w:rPr>
      </w:pPr>
    </w:p>
    <w:p w14:paraId="5ADA7E73" w14:textId="6FB12051" w:rsidR="00923F53" w:rsidRPr="00481BD6" w:rsidRDefault="00923F53" w:rsidP="009F0D45">
      <w:pPr>
        <w:pStyle w:val="Prrafodelista"/>
        <w:spacing w:before="0" w:after="0"/>
        <w:ind w:left="0"/>
        <w:rPr>
          <w:rFonts w:ascii="Arial" w:eastAsia="Calibri" w:hAnsi="Arial" w:cs="Arial"/>
          <w:b/>
          <w:color w:val="000000" w:themeColor="text1"/>
          <w:sz w:val="22"/>
          <w:szCs w:val="20"/>
        </w:rPr>
      </w:pPr>
      <w:r w:rsidRPr="00481BD6">
        <w:rPr>
          <w:rFonts w:ascii="Arial" w:eastAsia="Calibri" w:hAnsi="Arial" w:cs="Arial"/>
          <w:b/>
          <w:color w:val="000000" w:themeColor="text1"/>
          <w:sz w:val="22"/>
          <w:szCs w:val="20"/>
        </w:rPr>
        <w:t>SECOP –</w:t>
      </w:r>
      <w:r w:rsidR="00F23CC3">
        <w:rPr>
          <w:rFonts w:ascii="Arial" w:eastAsia="Calibri" w:hAnsi="Arial" w:cs="Arial"/>
          <w:b/>
          <w:color w:val="000000" w:themeColor="text1"/>
          <w:sz w:val="22"/>
          <w:szCs w:val="20"/>
        </w:rPr>
        <w:t xml:space="preserve"> Circular Externa 002 de 2019 </w:t>
      </w:r>
      <w:r w:rsidR="00F23CC3" w:rsidRPr="00481BD6">
        <w:rPr>
          <w:rFonts w:ascii="Arial" w:eastAsia="Calibri" w:hAnsi="Arial" w:cs="Arial"/>
          <w:b/>
          <w:color w:val="000000" w:themeColor="text1"/>
          <w:sz w:val="22"/>
          <w:szCs w:val="20"/>
        </w:rPr>
        <w:t>–</w:t>
      </w:r>
      <w:r w:rsidR="00F23CC3">
        <w:rPr>
          <w:rFonts w:ascii="Arial" w:eastAsia="Calibri" w:hAnsi="Arial" w:cs="Arial"/>
          <w:b/>
          <w:color w:val="000000" w:themeColor="text1"/>
          <w:sz w:val="22"/>
          <w:szCs w:val="20"/>
        </w:rPr>
        <w:t xml:space="preserve"> Duplicidad de información</w:t>
      </w:r>
    </w:p>
    <w:p w14:paraId="5AD2C26F" w14:textId="1F28F2A2" w:rsidR="00040B7D" w:rsidRPr="009F0D45" w:rsidRDefault="00040B7D" w:rsidP="009F0D45">
      <w:pPr>
        <w:spacing w:before="0" w:after="0"/>
        <w:rPr>
          <w:rFonts w:ascii="Arial" w:hAnsi="Arial" w:cs="Arial"/>
          <w:color w:val="000000" w:themeColor="text1"/>
          <w:sz w:val="20"/>
          <w:szCs w:val="20"/>
          <w:lang w:val="es-MX"/>
        </w:rPr>
      </w:pPr>
    </w:p>
    <w:p w14:paraId="56703D96" w14:textId="006ADFDF" w:rsidR="00923F53" w:rsidRPr="00923F53" w:rsidRDefault="00923F53">
      <w:pPr>
        <w:spacing w:before="0" w:line="240" w:lineRule="auto"/>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w:t>
      </w:r>
      <w:r w:rsidRPr="00923F53">
        <w:rPr>
          <w:rFonts w:ascii="Arial" w:eastAsia="Calibri" w:hAnsi="Arial" w:cs="Arial"/>
          <w:color w:val="000000" w:themeColor="text1"/>
          <w:sz w:val="20"/>
          <w:szCs w:val="20"/>
          <w:lang w:val="es-ES"/>
        </w:rPr>
        <w:t xml:space="preserve">sta Subdirección no desconoce que las entidades estatales y las fiduciarias en el manejo de sus relaciones contractuales pueden acordar que el cargue de la información al SECOP lo haga directamente la </w:t>
      </w:r>
      <w:r w:rsidR="00625113">
        <w:rPr>
          <w:rFonts w:ascii="Arial" w:eastAsia="Calibri" w:hAnsi="Arial" w:cs="Arial"/>
          <w:color w:val="000000" w:themeColor="text1"/>
          <w:sz w:val="20"/>
          <w:szCs w:val="20"/>
          <w:lang w:val="es-ES"/>
        </w:rPr>
        <w:t>entidad estatal</w:t>
      </w:r>
      <w:r w:rsidRPr="00923F53">
        <w:rPr>
          <w:rFonts w:ascii="Arial" w:eastAsia="Calibri" w:hAnsi="Arial" w:cs="Arial"/>
          <w:color w:val="000000" w:themeColor="text1"/>
          <w:sz w:val="20"/>
          <w:szCs w:val="20"/>
          <w:lang w:val="es-ES"/>
        </w:rPr>
        <w:t xml:space="preserve">, o la fiduciaria en calidad de vocera del patrimonio autónomo. </w:t>
      </w:r>
    </w:p>
    <w:p w14:paraId="2AF797C8" w14:textId="77E658FA" w:rsidR="00923F53" w:rsidRPr="00923F53" w:rsidRDefault="009F0D45">
      <w:pPr>
        <w:spacing w:before="0" w:line="240" w:lineRule="auto"/>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w:t>
      </w:r>
    </w:p>
    <w:p w14:paraId="00F0EDC6" w14:textId="6ECD6472" w:rsidR="00923F53" w:rsidRPr="00923F53" w:rsidRDefault="00923F53" w:rsidP="009F0D45">
      <w:pPr>
        <w:spacing w:before="0" w:after="0" w:line="240" w:lineRule="auto"/>
        <w:rPr>
          <w:rFonts w:ascii="Arial" w:eastAsia="Calibri" w:hAnsi="Arial" w:cs="Arial"/>
          <w:color w:val="000000" w:themeColor="text1"/>
          <w:sz w:val="20"/>
          <w:szCs w:val="20"/>
          <w:lang w:val="es-ES"/>
        </w:rPr>
      </w:pPr>
      <w:r w:rsidRPr="00923F53">
        <w:rPr>
          <w:rFonts w:ascii="Arial" w:eastAsia="Calibri" w:hAnsi="Arial" w:cs="Arial"/>
          <w:color w:val="000000" w:themeColor="text1"/>
          <w:sz w:val="20"/>
          <w:szCs w:val="20"/>
          <w:lang w:val="es-ES"/>
        </w:rPr>
        <w:t xml:space="preserve">Es por lo anterior que la «contratación derivada» de los contratos de fiducia deberá realizarse por la </w:t>
      </w:r>
      <w:r w:rsidR="00625113">
        <w:rPr>
          <w:rFonts w:ascii="Arial" w:eastAsia="Calibri" w:hAnsi="Arial" w:cs="Arial"/>
          <w:color w:val="000000" w:themeColor="text1"/>
          <w:sz w:val="20"/>
          <w:szCs w:val="20"/>
          <w:lang w:val="es-ES"/>
        </w:rPr>
        <w:t>entidad estatal</w:t>
      </w:r>
      <w:r w:rsidRPr="00923F53">
        <w:rPr>
          <w:rFonts w:ascii="Arial" w:eastAsia="Calibri" w:hAnsi="Arial" w:cs="Arial"/>
          <w:color w:val="000000" w:themeColor="text1"/>
          <w:sz w:val="20"/>
          <w:szCs w:val="20"/>
          <w:lang w:val="es-ES"/>
        </w:rPr>
        <w:t xml:space="preserve"> fideicomitente, con intervención de la fiduciaria para efectos de la firma del contrato, o por la fiduciaria que actúe como vocero de los patrimonios autónomos en calidad de contratante. Es decir, se debe optar por una de las opciones con el objetivo de evitar la duplicidad de la información.</w:t>
      </w:r>
    </w:p>
    <w:p w14:paraId="6279F710" w14:textId="6DC22243" w:rsidR="00040B7D" w:rsidRDefault="00040B7D" w:rsidP="009F0D45">
      <w:pPr>
        <w:spacing w:before="0" w:after="0"/>
        <w:rPr>
          <w:rFonts w:ascii="Arial" w:hAnsi="Arial" w:cs="Arial"/>
          <w:color w:val="000000" w:themeColor="text1"/>
          <w:sz w:val="22"/>
          <w:lang w:val="es-ES"/>
        </w:rPr>
      </w:pPr>
    </w:p>
    <w:p w14:paraId="4BA96897" w14:textId="0B9EB5B1" w:rsidR="00DA7A1A" w:rsidRDefault="00DA7A1A" w:rsidP="009F0D45">
      <w:pPr>
        <w:spacing w:before="0" w:after="0"/>
        <w:rPr>
          <w:rFonts w:ascii="Arial" w:eastAsia="Calibri" w:hAnsi="Arial" w:cs="Arial"/>
          <w:b/>
          <w:color w:val="000000" w:themeColor="text1"/>
          <w:sz w:val="22"/>
          <w:szCs w:val="20"/>
          <w:lang w:val="es-ES"/>
        </w:rPr>
      </w:pPr>
      <w:r w:rsidRPr="00DA7A1A">
        <w:rPr>
          <w:rFonts w:ascii="Arial" w:eastAsia="Calibri" w:hAnsi="Arial" w:cs="Arial"/>
          <w:b/>
          <w:color w:val="000000" w:themeColor="text1"/>
          <w:sz w:val="22"/>
          <w:szCs w:val="20"/>
          <w:lang w:val="es-ES"/>
        </w:rPr>
        <w:t xml:space="preserve">CONTRATOS FIDUCIARIOS </w:t>
      </w:r>
      <w:r w:rsidR="00B557BD" w:rsidRPr="009F0D45">
        <w:rPr>
          <w:rFonts w:ascii="Arial" w:eastAsia="Calibri" w:hAnsi="Arial" w:cs="Arial"/>
          <w:b/>
          <w:color w:val="000000" w:themeColor="text1"/>
          <w:sz w:val="22"/>
          <w:szCs w:val="20"/>
          <w:lang w:val="es-ES"/>
        </w:rPr>
        <w:t>– Contratación derivada</w:t>
      </w:r>
      <w:r>
        <w:rPr>
          <w:rFonts w:ascii="Arial" w:eastAsia="Calibri" w:hAnsi="Arial" w:cs="Arial"/>
          <w:b/>
          <w:color w:val="000000" w:themeColor="text1"/>
          <w:sz w:val="22"/>
          <w:szCs w:val="20"/>
          <w:lang w:val="es-ES"/>
        </w:rPr>
        <w:t xml:space="preserve"> </w:t>
      </w:r>
      <w:r w:rsidRPr="00DA7A1A">
        <w:rPr>
          <w:rFonts w:ascii="Arial" w:eastAsia="Calibri" w:hAnsi="Arial" w:cs="Arial"/>
          <w:b/>
          <w:color w:val="000000" w:themeColor="text1"/>
          <w:sz w:val="22"/>
          <w:szCs w:val="20"/>
          <w:lang w:val="es-ES"/>
        </w:rPr>
        <w:t>–</w:t>
      </w:r>
      <w:r w:rsidR="00B557BD">
        <w:rPr>
          <w:rFonts w:ascii="Arial" w:eastAsia="Calibri" w:hAnsi="Arial" w:cs="Arial"/>
          <w:b/>
          <w:color w:val="000000" w:themeColor="text1"/>
          <w:sz w:val="22"/>
          <w:szCs w:val="20"/>
          <w:lang w:val="es-ES"/>
        </w:rPr>
        <w:t xml:space="preserve"> </w:t>
      </w:r>
      <w:r>
        <w:rPr>
          <w:rFonts w:ascii="Arial" w:eastAsia="Calibri" w:hAnsi="Arial" w:cs="Arial"/>
          <w:b/>
          <w:color w:val="000000" w:themeColor="text1"/>
          <w:sz w:val="22"/>
          <w:szCs w:val="20"/>
          <w:lang w:val="es-ES"/>
        </w:rPr>
        <w:t xml:space="preserve">SECOP </w:t>
      </w:r>
      <w:r w:rsidR="00B557BD">
        <w:rPr>
          <w:rFonts w:ascii="Arial" w:eastAsia="Calibri" w:hAnsi="Arial" w:cs="Arial"/>
          <w:b/>
          <w:color w:val="000000" w:themeColor="text1"/>
          <w:sz w:val="22"/>
          <w:szCs w:val="20"/>
          <w:lang w:val="es-ES"/>
        </w:rPr>
        <w:t>–</w:t>
      </w:r>
      <w:r>
        <w:rPr>
          <w:rFonts w:ascii="Arial" w:eastAsia="Calibri" w:hAnsi="Arial" w:cs="Arial"/>
          <w:b/>
          <w:color w:val="000000" w:themeColor="text1"/>
          <w:sz w:val="22"/>
          <w:szCs w:val="20"/>
          <w:lang w:val="es-ES"/>
        </w:rPr>
        <w:t xml:space="preserve"> </w:t>
      </w:r>
      <w:r w:rsidR="00B557BD">
        <w:rPr>
          <w:rFonts w:ascii="Arial" w:eastAsia="Calibri" w:hAnsi="Arial" w:cs="Arial"/>
          <w:b/>
          <w:color w:val="000000" w:themeColor="text1"/>
          <w:sz w:val="22"/>
          <w:szCs w:val="20"/>
          <w:lang w:val="es-ES"/>
        </w:rPr>
        <w:t xml:space="preserve">Publicidad </w:t>
      </w:r>
    </w:p>
    <w:p w14:paraId="5433A0E2" w14:textId="5BAFD697" w:rsidR="00DA7A1A" w:rsidRPr="009F0D45" w:rsidRDefault="00DA7A1A" w:rsidP="009F0D45">
      <w:pPr>
        <w:spacing w:before="0" w:after="0"/>
        <w:rPr>
          <w:rFonts w:ascii="Arial" w:eastAsia="Calibri" w:hAnsi="Arial" w:cs="Arial"/>
          <w:b/>
          <w:color w:val="000000" w:themeColor="text1"/>
          <w:sz w:val="20"/>
          <w:szCs w:val="20"/>
          <w:lang w:val="es-ES"/>
        </w:rPr>
      </w:pPr>
    </w:p>
    <w:p w14:paraId="3AD87CDF" w14:textId="2006A283" w:rsidR="00DA7A1A" w:rsidRPr="00DA7A1A" w:rsidRDefault="00DA7A1A">
      <w:pPr>
        <w:spacing w:before="0" w:line="240" w:lineRule="auto"/>
        <w:rPr>
          <w:rFonts w:ascii="Arial" w:eastAsia="Calibri" w:hAnsi="Arial" w:cs="Arial"/>
          <w:color w:val="000000" w:themeColor="text1"/>
          <w:sz w:val="20"/>
          <w:szCs w:val="20"/>
          <w:lang w:val="es-ES"/>
        </w:rPr>
      </w:pPr>
      <w:r w:rsidRPr="00DA7A1A">
        <w:rPr>
          <w:rFonts w:ascii="Arial" w:eastAsia="Calibri" w:hAnsi="Arial" w:cs="Arial"/>
          <w:color w:val="000000" w:themeColor="text1"/>
          <w:sz w:val="20"/>
          <w:szCs w:val="20"/>
          <w:lang w:val="es-ES"/>
        </w:rPr>
        <w:t xml:space="preserve">En relación con la plataforma en particular, SECOP I o SECOP II, debe decirse que, como consecuencia de que la obligación legal de publicar en el SECOP es de la </w:t>
      </w:r>
      <w:r w:rsidR="00625113">
        <w:rPr>
          <w:rFonts w:ascii="Arial" w:eastAsia="Calibri" w:hAnsi="Arial" w:cs="Arial"/>
          <w:color w:val="000000" w:themeColor="text1"/>
          <w:sz w:val="20"/>
          <w:szCs w:val="20"/>
          <w:lang w:val="es-ES"/>
        </w:rPr>
        <w:t>entidad estatal</w:t>
      </w:r>
      <w:r w:rsidRPr="00DA7A1A">
        <w:rPr>
          <w:rFonts w:ascii="Arial" w:eastAsia="Calibri" w:hAnsi="Arial" w:cs="Arial"/>
          <w:color w:val="000000" w:themeColor="text1"/>
          <w:sz w:val="20"/>
          <w:szCs w:val="20"/>
          <w:lang w:val="es-ES"/>
        </w:rPr>
        <w:t xml:space="preserve">, sin importar si la publicación la realiza la fiduciaria o la entidad, la plataforma que deberá utilizarse será aquella en la cual la </w:t>
      </w:r>
      <w:r w:rsidR="00625113">
        <w:rPr>
          <w:rFonts w:ascii="Arial" w:eastAsia="Calibri" w:hAnsi="Arial" w:cs="Arial"/>
          <w:color w:val="000000" w:themeColor="text1"/>
          <w:sz w:val="20"/>
          <w:szCs w:val="20"/>
          <w:lang w:val="es-ES"/>
        </w:rPr>
        <w:t>entidad estatal</w:t>
      </w:r>
      <w:r w:rsidRPr="00DA7A1A">
        <w:rPr>
          <w:rFonts w:ascii="Arial" w:eastAsia="Calibri" w:hAnsi="Arial" w:cs="Arial"/>
          <w:color w:val="000000" w:themeColor="text1"/>
          <w:sz w:val="20"/>
          <w:szCs w:val="20"/>
          <w:lang w:val="es-ES"/>
        </w:rPr>
        <w:t xml:space="preserve"> se encuentre obligada a publicar. </w:t>
      </w:r>
    </w:p>
    <w:p w14:paraId="1E3B3D73" w14:textId="77777777" w:rsidR="00DA7A1A" w:rsidRPr="00DA7A1A" w:rsidRDefault="00DA7A1A" w:rsidP="009F0D45">
      <w:pPr>
        <w:spacing w:before="0" w:after="0" w:line="240" w:lineRule="auto"/>
        <w:rPr>
          <w:rFonts w:ascii="Arial" w:eastAsia="Calibri" w:hAnsi="Arial" w:cs="Arial"/>
          <w:color w:val="000000" w:themeColor="text1"/>
          <w:sz w:val="20"/>
          <w:szCs w:val="20"/>
          <w:lang w:val="es-ES"/>
        </w:rPr>
      </w:pPr>
      <w:r w:rsidRPr="00DA7A1A">
        <w:rPr>
          <w:rFonts w:ascii="Arial" w:eastAsia="Calibri" w:hAnsi="Arial" w:cs="Arial"/>
          <w:color w:val="000000" w:themeColor="text1"/>
          <w:sz w:val="20"/>
          <w:szCs w:val="20"/>
          <w:lang w:val="es-ES"/>
        </w:rPr>
        <w:t xml:space="preserve">Así las cosas, en relación con los contratos fiduciarios suscritos con entidades estatales obligadas en el 2020 a publicar en el SECOP II, la fiduciaria deberá publicar en esa plataforma el contrato y la actividad contractual derivada y, como resulta lógico, para aquellas entidades estatales obligadas aún a publicar en el SECOP I, la fiduciaria publicará en esta otra plataforma como lo ordena con toda claridad la Circular Externa Única de esta entidad. </w:t>
      </w:r>
    </w:p>
    <w:p w14:paraId="4AA152FA" w14:textId="77777777" w:rsidR="00DA7A1A" w:rsidRDefault="00DA7A1A" w:rsidP="009F0D45">
      <w:pPr>
        <w:spacing w:before="0" w:after="0"/>
        <w:rPr>
          <w:rFonts w:ascii="Arial" w:hAnsi="Arial" w:cs="Arial"/>
          <w:color w:val="000000" w:themeColor="text1"/>
          <w:sz w:val="22"/>
          <w:lang w:val="es-ES"/>
        </w:rPr>
      </w:pPr>
    </w:p>
    <w:p w14:paraId="04BBF488" w14:textId="2513A331" w:rsidR="00F23CC3" w:rsidRDefault="00A601B4" w:rsidP="009F0D45">
      <w:pPr>
        <w:pStyle w:val="Prrafodelista"/>
        <w:spacing w:before="0" w:after="0" w:line="240" w:lineRule="auto"/>
        <w:ind w:left="0"/>
        <w:rPr>
          <w:rFonts w:ascii="Arial" w:eastAsia="Calibri" w:hAnsi="Arial" w:cs="Arial"/>
          <w:b/>
          <w:color w:val="000000" w:themeColor="text1"/>
          <w:sz w:val="22"/>
          <w:szCs w:val="20"/>
        </w:rPr>
      </w:pPr>
      <w:r w:rsidRPr="00DA7A1A">
        <w:rPr>
          <w:rFonts w:ascii="Arial" w:eastAsia="Calibri" w:hAnsi="Arial" w:cs="Arial"/>
          <w:b/>
          <w:color w:val="000000" w:themeColor="text1"/>
          <w:sz w:val="22"/>
          <w:szCs w:val="20"/>
          <w:lang w:val="es-ES"/>
        </w:rPr>
        <w:t xml:space="preserve">CONTRATOS FIDUCIARIOS </w:t>
      </w:r>
      <w:r>
        <w:rPr>
          <w:rFonts w:ascii="Arial" w:eastAsia="Calibri" w:hAnsi="Arial" w:cs="Arial"/>
          <w:b/>
          <w:color w:val="000000" w:themeColor="text1"/>
          <w:sz w:val="22"/>
          <w:szCs w:val="20"/>
        </w:rPr>
        <w:t>– C</w:t>
      </w:r>
      <w:r w:rsidRPr="00481BD6">
        <w:rPr>
          <w:rFonts w:ascii="Arial" w:eastAsia="Calibri" w:hAnsi="Arial" w:cs="Arial"/>
          <w:b/>
          <w:color w:val="000000" w:themeColor="text1"/>
          <w:sz w:val="22"/>
          <w:szCs w:val="20"/>
        </w:rPr>
        <w:t>ontratación derivada</w:t>
      </w:r>
      <w:r>
        <w:rPr>
          <w:rFonts w:ascii="Arial" w:eastAsia="Calibri" w:hAnsi="Arial" w:cs="Arial"/>
          <w:b/>
          <w:color w:val="000000" w:themeColor="text1"/>
          <w:sz w:val="22"/>
          <w:szCs w:val="20"/>
        </w:rPr>
        <w:t xml:space="preserve"> –</w:t>
      </w:r>
      <w:r w:rsidR="00F23CC3">
        <w:rPr>
          <w:rFonts w:ascii="Arial" w:eastAsia="Calibri" w:hAnsi="Arial" w:cs="Arial"/>
          <w:b/>
          <w:color w:val="000000" w:themeColor="text1"/>
          <w:sz w:val="22"/>
          <w:szCs w:val="20"/>
        </w:rPr>
        <w:t xml:space="preserve"> Adjudicación </w:t>
      </w:r>
      <w:r w:rsidR="00F23CC3" w:rsidRPr="00481BD6">
        <w:rPr>
          <w:rFonts w:ascii="Arial" w:eastAsia="Calibri" w:hAnsi="Arial" w:cs="Arial"/>
          <w:b/>
          <w:color w:val="000000" w:themeColor="text1"/>
          <w:sz w:val="22"/>
          <w:szCs w:val="20"/>
        </w:rPr>
        <w:t>–</w:t>
      </w:r>
      <w:r w:rsidR="007A6CC9">
        <w:rPr>
          <w:rFonts w:ascii="Arial" w:eastAsia="Calibri" w:hAnsi="Arial" w:cs="Arial"/>
          <w:b/>
          <w:color w:val="000000" w:themeColor="text1"/>
          <w:sz w:val="22"/>
          <w:szCs w:val="20"/>
        </w:rPr>
        <w:t xml:space="preserve"> Suscripción del Contrato </w:t>
      </w:r>
    </w:p>
    <w:p w14:paraId="62BF7F32" w14:textId="77777777" w:rsidR="00F23CC3" w:rsidRPr="009F0D45" w:rsidRDefault="00F23CC3" w:rsidP="009F0D45">
      <w:pPr>
        <w:pStyle w:val="Prrafodelista"/>
        <w:spacing w:before="0" w:after="0"/>
        <w:ind w:left="0"/>
        <w:rPr>
          <w:rFonts w:ascii="Arial" w:eastAsia="Calibri" w:hAnsi="Arial" w:cs="Arial"/>
          <w:b/>
          <w:color w:val="000000" w:themeColor="text1"/>
          <w:sz w:val="20"/>
          <w:szCs w:val="20"/>
        </w:rPr>
      </w:pPr>
    </w:p>
    <w:p w14:paraId="6FB22A66" w14:textId="53F46A49" w:rsidR="00F23CC3" w:rsidRPr="00F23CC3" w:rsidRDefault="00F23CC3" w:rsidP="009F0D45">
      <w:pPr>
        <w:spacing w:before="0" w:after="0" w:line="240" w:lineRule="auto"/>
        <w:rPr>
          <w:rFonts w:ascii="Arial" w:eastAsia="Calibri" w:hAnsi="Arial" w:cs="Arial"/>
          <w:color w:val="000000" w:themeColor="text1"/>
          <w:sz w:val="20"/>
          <w:szCs w:val="20"/>
          <w:lang w:val="es-ES"/>
        </w:rPr>
      </w:pPr>
      <w:r w:rsidRPr="00F23CC3">
        <w:rPr>
          <w:rFonts w:ascii="Arial" w:eastAsia="Calibri" w:hAnsi="Arial" w:cs="Arial"/>
          <w:color w:val="000000" w:themeColor="text1"/>
          <w:sz w:val="20"/>
          <w:szCs w:val="20"/>
          <w:lang w:val="es-ES"/>
        </w:rPr>
        <w:t xml:space="preserve">De conformidad con las normas reglamentarias vigentes, a la sociedad fiduciaria se le puede encomendar la suscripción del contrato y la ejecución de todos los trámites desde la planeación y hasta el vencimiento de las garantías o las condiciones de disposición final o recuperación ambiental, salvo la adjudicación de los contratos que no puede ser delegada como consecuencia de la prohibición expresa contenida en el artículo 30 numeral 5 de la Ley 80 de 1993.  </w:t>
      </w:r>
    </w:p>
    <w:p w14:paraId="66B35E55" w14:textId="0A36C257" w:rsidR="00F23CC3" w:rsidRDefault="00F23CC3" w:rsidP="009F0D45">
      <w:pPr>
        <w:spacing w:before="0" w:after="0"/>
        <w:rPr>
          <w:rFonts w:ascii="Arial" w:hAnsi="Arial" w:cs="Arial"/>
          <w:color w:val="000000" w:themeColor="text1"/>
          <w:sz w:val="22"/>
          <w:lang w:val="es-ES"/>
        </w:rPr>
      </w:pPr>
    </w:p>
    <w:p w14:paraId="71CA46D0" w14:textId="77777777" w:rsidR="00F23CC3" w:rsidRPr="00040B7D" w:rsidRDefault="00F23CC3" w:rsidP="009F0D45">
      <w:pPr>
        <w:spacing w:before="0" w:after="0"/>
        <w:rPr>
          <w:rFonts w:ascii="Arial" w:hAnsi="Arial" w:cs="Arial"/>
          <w:color w:val="000000" w:themeColor="text1"/>
          <w:sz w:val="22"/>
          <w:lang w:val="es-ES"/>
        </w:rPr>
      </w:pPr>
    </w:p>
    <w:p w14:paraId="7C07F960" w14:textId="6BA6C7E1" w:rsidR="00040B7D" w:rsidRPr="00481BD6" w:rsidRDefault="00040B7D" w:rsidP="009F0D45">
      <w:pPr>
        <w:pStyle w:val="Default"/>
        <w:spacing w:line="276" w:lineRule="auto"/>
        <w:rPr>
          <w:rFonts w:eastAsia="Calibri"/>
          <w:color w:val="000000" w:themeColor="text1"/>
          <w:sz w:val="20"/>
        </w:rPr>
      </w:pPr>
      <w:r w:rsidRPr="00481BD6">
        <w:rPr>
          <w:color w:val="000000" w:themeColor="text1"/>
          <w:sz w:val="22"/>
        </w:rPr>
        <w:lastRenderedPageBreak/>
        <w:t xml:space="preserve">Bogotá D.C., </w:t>
      </w:r>
      <w:r w:rsidR="00AB2C03">
        <w:rPr>
          <w:b/>
          <w:sz w:val="22"/>
        </w:rPr>
        <w:t>16/06/2020 Hora 18:55:32 s</w:t>
      </w:r>
    </w:p>
    <w:p w14:paraId="58F6CC8A" w14:textId="15A3E460" w:rsidR="00040B7D" w:rsidRDefault="00040B7D" w:rsidP="009F0D45">
      <w:pPr>
        <w:spacing w:before="0" w:after="0"/>
        <w:jc w:val="right"/>
        <w:rPr>
          <w:rFonts w:ascii="Arial" w:hAnsi="Arial" w:cs="Arial"/>
          <w:b/>
          <w:noProof/>
          <w:sz w:val="22"/>
          <w:lang w:val="es-ES"/>
        </w:rPr>
      </w:pPr>
      <w:r w:rsidRPr="00040B7D">
        <w:rPr>
          <w:rFonts w:ascii="Arial" w:hAnsi="Arial" w:cs="Arial"/>
          <w:b/>
          <w:color w:val="000000" w:themeColor="text1"/>
          <w:sz w:val="22"/>
          <w:lang w:val="es-ES"/>
        </w:rPr>
        <w:t xml:space="preserve">N° Radicado: </w:t>
      </w:r>
      <w:r w:rsidR="00AB2C03">
        <w:rPr>
          <w:rFonts w:ascii="Arial" w:hAnsi="Arial" w:cs="Arial"/>
          <w:b/>
          <w:noProof/>
          <w:sz w:val="22"/>
          <w:lang w:val="es-ES"/>
        </w:rPr>
        <w:t>2202013000005078</w:t>
      </w:r>
    </w:p>
    <w:p w14:paraId="75222B06" w14:textId="77777777" w:rsidR="00E633DC" w:rsidRPr="00040B7D" w:rsidRDefault="00E633DC" w:rsidP="008F3A87">
      <w:pPr>
        <w:spacing w:before="0" w:after="0"/>
        <w:rPr>
          <w:rFonts w:ascii="Arial" w:hAnsi="Arial" w:cs="Arial"/>
          <w:b/>
          <w:color w:val="000000" w:themeColor="text1"/>
          <w:sz w:val="22"/>
          <w:lang w:val="es-ES"/>
        </w:rPr>
      </w:pPr>
    </w:p>
    <w:p w14:paraId="0F119CEF" w14:textId="45B69429" w:rsidR="00040B7D" w:rsidRDefault="00040B7D" w:rsidP="009F0D45">
      <w:pPr>
        <w:spacing w:before="0" w:after="0"/>
        <w:rPr>
          <w:rFonts w:ascii="Arial" w:eastAsia="Calibri" w:hAnsi="Arial" w:cs="Arial"/>
          <w:color w:val="000000" w:themeColor="text1"/>
          <w:sz w:val="22"/>
          <w:lang w:val="es-ES"/>
        </w:rPr>
      </w:pPr>
      <w:r w:rsidRPr="00040B7D">
        <w:rPr>
          <w:rFonts w:ascii="Arial" w:eastAsia="Calibri" w:hAnsi="Arial" w:cs="Arial"/>
          <w:color w:val="000000" w:themeColor="text1"/>
          <w:sz w:val="22"/>
          <w:lang w:val="es-ES"/>
        </w:rPr>
        <w:t>Señor</w:t>
      </w:r>
    </w:p>
    <w:p w14:paraId="085EB639" w14:textId="4DB1B69B" w:rsidR="00E633DC" w:rsidRDefault="00625113" w:rsidP="009F0D45">
      <w:pPr>
        <w:spacing w:before="0" w:after="0"/>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Camilo Alejandro Parra</w:t>
      </w:r>
    </w:p>
    <w:p w14:paraId="6F55614E" w14:textId="4AA6F16D" w:rsidR="00E633DC" w:rsidRPr="00E633DC" w:rsidRDefault="00E633DC" w:rsidP="009F0D45">
      <w:pPr>
        <w:spacing w:before="0" w:after="0"/>
        <w:rPr>
          <w:rFonts w:ascii="Arial" w:eastAsia="Calibri" w:hAnsi="Arial" w:cs="Arial"/>
          <w:bCs/>
          <w:color w:val="000000" w:themeColor="text1"/>
          <w:sz w:val="22"/>
          <w:lang w:val="es-ES"/>
        </w:rPr>
      </w:pPr>
      <w:r>
        <w:rPr>
          <w:rFonts w:ascii="Arial" w:eastAsia="Calibri" w:hAnsi="Arial" w:cs="Arial"/>
          <w:bCs/>
          <w:color w:val="000000" w:themeColor="text1"/>
          <w:sz w:val="22"/>
          <w:lang w:val="es-ES"/>
        </w:rPr>
        <w:t>Bogotá D.C.</w:t>
      </w:r>
    </w:p>
    <w:p w14:paraId="4A03938E" w14:textId="77777777" w:rsidR="00E633DC" w:rsidRDefault="00E633DC" w:rsidP="009F0D45">
      <w:pPr>
        <w:spacing w:before="0" w:after="0"/>
        <w:rPr>
          <w:rFonts w:ascii="Arial" w:eastAsia="Calibri" w:hAnsi="Arial" w:cs="Arial"/>
          <w:b/>
          <w:color w:val="000000" w:themeColor="text1"/>
          <w:sz w:val="22"/>
          <w:lang w:val="es-ES"/>
        </w:rPr>
      </w:pPr>
    </w:p>
    <w:p w14:paraId="66A93EA7" w14:textId="7D68512F" w:rsidR="00040B7D" w:rsidRPr="00040B7D" w:rsidRDefault="00040B7D" w:rsidP="009F0D45">
      <w:pPr>
        <w:spacing w:before="0" w:after="0"/>
        <w:rPr>
          <w:rFonts w:ascii="Arial" w:eastAsia="Calibri" w:hAnsi="Arial" w:cs="Arial"/>
          <w:color w:val="000000" w:themeColor="text1"/>
          <w:sz w:val="22"/>
          <w:lang w:val="es-ES"/>
        </w:rPr>
      </w:pPr>
    </w:p>
    <w:p w14:paraId="05D58468" w14:textId="4CF2A740" w:rsidR="00040B7D" w:rsidRPr="00040B7D" w:rsidRDefault="00625113" w:rsidP="009F0D45">
      <w:pPr>
        <w:spacing w:before="0" w:after="0"/>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                                            </w:t>
      </w:r>
      <w:r w:rsidR="00040B7D" w:rsidRPr="00040B7D">
        <w:rPr>
          <w:rFonts w:ascii="Arial" w:eastAsia="Calibri" w:hAnsi="Arial" w:cs="Arial"/>
          <w:b/>
          <w:color w:val="000000" w:themeColor="text1"/>
          <w:sz w:val="22"/>
          <w:lang w:val="es-ES"/>
        </w:rPr>
        <w:t xml:space="preserve">Concepto C </w:t>
      </w:r>
      <w:r w:rsidR="00E633DC" w:rsidRPr="00481BD6">
        <w:rPr>
          <w:rFonts w:ascii="Arial" w:eastAsia="Calibri" w:hAnsi="Arial" w:cs="Arial"/>
          <w:b/>
          <w:color w:val="000000" w:themeColor="text1"/>
          <w:sz w:val="22"/>
          <w:szCs w:val="20"/>
        </w:rPr>
        <w:t>–</w:t>
      </w:r>
      <w:r w:rsidR="00E633DC">
        <w:rPr>
          <w:rFonts w:ascii="Arial" w:eastAsia="Calibri" w:hAnsi="Arial" w:cs="Arial"/>
          <w:b/>
          <w:color w:val="000000" w:themeColor="text1"/>
          <w:sz w:val="22"/>
          <w:szCs w:val="20"/>
        </w:rPr>
        <w:t xml:space="preserve"> 339</w:t>
      </w:r>
      <w:r w:rsidR="00E633DC" w:rsidRPr="00481BD6">
        <w:rPr>
          <w:rFonts w:ascii="Arial" w:eastAsia="Calibri" w:hAnsi="Arial" w:cs="Arial"/>
          <w:b/>
          <w:color w:val="000000" w:themeColor="text1"/>
          <w:sz w:val="22"/>
          <w:szCs w:val="20"/>
        </w:rPr>
        <w:t xml:space="preserve"> </w:t>
      </w:r>
      <w:r w:rsidR="00040B7D" w:rsidRPr="00040B7D">
        <w:rPr>
          <w:rFonts w:ascii="Arial" w:eastAsia="Calibri" w:hAnsi="Arial" w:cs="Arial"/>
          <w:b/>
          <w:color w:val="000000" w:themeColor="text1"/>
          <w:sz w:val="22"/>
          <w:lang w:val="es-ES"/>
        </w:rPr>
        <w:t>de 2020</w:t>
      </w:r>
    </w:p>
    <w:p w14:paraId="6B45474C" w14:textId="77777777" w:rsidR="00040B7D" w:rsidRPr="00040B7D" w:rsidRDefault="00040B7D" w:rsidP="009F0D45">
      <w:pPr>
        <w:spacing w:before="0" w:after="0"/>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40B7D" w:rsidRPr="00D34654" w14:paraId="00F19B08" w14:textId="77777777" w:rsidTr="00520A28">
        <w:tc>
          <w:tcPr>
            <w:tcW w:w="2689" w:type="dxa"/>
            <w:hideMark/>
          </w:tcPr>
          <w:p w14:paraId="5BCD0D51" w14:textId="77777777" w:rsidR="00040B7D" w:rsidRPr="008F3A87" w:rsidRDefault="00040B7D" w:rsidP="00AB081F">
            <w:pPr>
              <w:spacing w:before="0" w:after="120" w:line="276" w:lineRule="auto"/>
              <w:rPr>
                <w:rFonts w:ascii="Arial" w:eastAsia="Calibri" w:hAnsi="Arial" w:cs="Arial"/>
                <w:color w:val="000000" w:themeColor="text1"/>
                <w:sz w:val="22"/>
                <w:lang w:val="es-ES"/>
              </w:rPr>
            </w:pPr>
            <w:r w:rsidRPr="008F3A87">
              <w:rPr>
                <w:rFonts w:ascii="Arial" w:eastAsia="Calibri" w:hAnsi="Arial" w:cs="Arial"/>
                <w:b/>
                <w:color w:val="000000" w:themeColor="text1"/>
                <w:sz w:val="22"/>
                <w:lang w:val="es-ES"/>
              </w:rPr>
              <w:t>Temas:</w:t>
            </w:r>
            <w:r w:rsidRPr="008F3A87">
              <w:rPr>
                <w:rFonts w:ascii="Arial" w:eastAsia="Calibri" w:hAnsi="Arial" w:cs="Arial"/>
                <w:color w:val="000000" w:themeColor="text1"/>
                <w:sz w:val="22"/>
                <w:lang w:val="es-ES"/>
              </w:rPr>
              <w:t xml:space="preserve">           </w:t>
            </w:r>
          </w:p>
          <w:p w14:paraId="6484CD0B" w14:textId="77777777" w:rsidR="00040B7D" w:rsidRPr="008F3A87" w:rsidRDefault="00040B7D" w:rsidP="00AB081F">
            <w:pPr>
              <w:spacing w:before="0" w:after="120" w:line="276" w:lineRule="auto"/>
              <w:rPr>
                <w:rFonts w:ascii="Arial" w:eastAsia="Calibri" w:hAnsi="Arial" w:cs="Arial"/>
                <w:color w:val="000000" w:themeColor="text1"/>
                <w:sz w:val="22"/>
                <w:lang w:val="es-ES"/>
              </w:rPr>
            </w:pPr>
            <w:r w:rsidRPr="008F3A87">
              <w:rPr>
                <w:rFonts w:ascii="Arial" w:eastAsia="Calibri" w:hAnsi="Arial" w:cs="Arial"/>
                <w:color w:val="000000" w:themeColor="text1"/>
                <w:sz w:val="22"/>
                <w:lang w:val="es-ES"/>
              </w:rPr>
              <w:t xml:space="preserve">                           </w:t>
            </w:r>
          </w:p>
        </w:tc>
        <w:tc>
          <w:tcPr>
            <w:tcW w:w="6237" w:type="dxa"/>
            <w:hideMark/>
          </w:tcPr>
          <w:p w14:paraId="55BAF90F" w14:textId="22ABE5AD" w:rsidR="00040B7D" w:rsidRPr="008F3A87" w:rsidRDefault="008F3A87" w:rsidP="00AB081F">
            <w:pPr>
              <w:spacing w:before="0" w:after="120" w:line="276" w:lineRule="auto"/>
              <w:rPr>
                <w:rFonts w:ascii="Arial" w:eastAsia="Calibri" w:hAnsi="Arial" w:cs="Arial"/>
                <w:bCs/>
                <w:color w:val="000000" w:themeColor="text1"/>
                <w:sz w:val="22"/>
                <w:lang w:val="es-ES"/>
              </w:rPr>
            </w:pPr>
            <w:r w:rsidRPr="008F3A87">
              <w:rPr>
                <w:rFonts w:ascii="Arial" w:eastAsia="Calibri" w:hAnsi="Arial" w:cs="Arial"/>
                <w:bCs/>
                <w:color w:val="000000" w:themeColor="text1"/>
                <w:sz w:val="22"/>
                <w:lang w:val="es-ES"/>
              </w:rPr>
              <w:t xml:space="preserve">SECOP – Principio publicidad – Acceso a la información pública / </w:t>
            </w:r>
            <w:r w:rsidR="00B44540" w:rsidRPr="008F3A87">
              <w:rPr>
                <w:rFonts w:ascii="Arial" w:eastAsia="Calibri" w:hAnsi="Arial" w:cs="Arial"/>
                <w:bCs/>
                <w:color w:val="000000" w:themeColor="text1"/>
                <w:sz w:val="22"/>
                <w:lang w:val="es-ES"/>
              </w:rPr>
              <w:t xml:space="preserve">SECOP I ─ Finalidad / SECOP II ─ Finalidad / </w:t>
            </w:r>
            <w:r w:rsidRPr="008F3A87">
              <w:rPr>
                <w:rFonts w:ascii="Arial" w:eastAsia="Calibri" w:hAnsi="Arial" w:cs="Arial"/>
                <w:bCs/>
                <w:color w:val="000000" w:themeColor="text1"/>
                <w:sz w:val="22"/>
                <w:lang w:val="es-ES"/>
              </w:rPr>
              <w:t>SECOP – Publicidad – Contratos fiduciarios – Contratación derivada / SECOP – Circular Externa 002 de 2019 – Duplicidad de información / CONTRATOS FIDUCIARIOS – Contratación derivada – SECOP – Publicidad / CONTRATOS FIDUCIARIOS – Contratación derivada – Adjudicación – Suscripción del Contrato.</w:t>
            </w:r>
          </w:p>
        </w:tc>
      </w:tr>
      <w:tr w:rsidR="00040B7D" w:rsidRPr="008F3A87" w14:paraId="01BA20FC" w14:textId="77777777" w:rsidTr="00520A28">
        <w:tc>
          <w:tcPr>
            <w:tcW w:w="2689" w:type="dxa"/>
          </w:tcPr>
          <w:p w14:paraId="4FD52892" w14:textId="77777777" w:rsidR="00040B7D" w:rsidRPr="008F3A87" w:rsidRDefault="00040B7D" w:rsidP="00AB081F">
            <w:pPr>
              <w:spacing w:before="0" w:after="120" w:line="276" w:lineRule="auto"/>
              <w:rPr>
                <w:rFonts w:ascii="Arial" w:eastAsia="Calibri" w:hAnsi="Arial" w:cs="Arial"/>
                <w:b/>
                <w:color w:val="000000" w:themeColor="text1"/>
                <w:sz w:val="22"/>
                <w:lang w:val="es-ES"/>
              </w:rPr>
            </w:pPr>
            <w:r w:rsidRPr="008F3A87">
              <w:rPr>
                <w:rFonts w:ascii="Arial" w:eastAsia="Calibri" w:hAnsi="Arial" w:cs="Arial"/>
                <w:b/>
                <w:color w:val="000000" w:themeColor="text1"/>
                <w:sz w:val="22"/>
                <w:lang w:val="es-ES"/>
              </w:rPr>
              <w:t>Radicación:</w:t>
            </w:r>
            <w:r w:rsidRPr="008F3A87">
              <w:rPr>
                <w:rFonts w:ascii="Arial" w:eastAsia="Calibri" w:hAnsi="Arial" w:cs="Arial"/>
                <w:color w:val="000000" w:themeColor="text1"/>
                <w:sz w:val="22"/>
                <w:lang w:val="es-ES"/>
              </w:rPr>
              <w:t xml:space="preserve">                              </w:t>
            </w:r>
          </w:p>
        </w:tc>
        <w:tc>
          <w:tcPr>
            <w:tcW w:w="6237" w:type="dxa"/>
          </w:tcPr>
          <w:p w14:paraId="3F823864" w14:textId="233D8729" w:rsidR="00040B7D" w:rsidRPr="008F3A87" w:rsidRDefault="00040B7D" w:rsidP="00AB081F">
            <w:pPr>
              <w:spacing w:before="0" w:after="120" w:line="276" w:lineRule="auto"/>
              <w:rPr>
                <w:rFonts w:ascii="Arial" w:eastAsia="Calibri" w:hAnsi="Arial" w:cs="Arial"/>
                <w:bCs/>
                <w:color w:val="000000" w:themeColor="text1"/>
                <w:sz w:val="22"/>
                <w:lang w:val="es-ES"/>
              </w:rPr>
            </w:pPr>
            <w:r w:rsidRPr="008F3A87">
              <w:rPr>
                <w:rFonts w:ascii="Arial" w:eastAsia="Calibri" w:hAnsi="Arial" w:cs="Arial"/>
                <w:bCs/>
                <w:color w:val="000000" w:themeColor="text1"/>
                <w:sz w:val="22"/>
                <w:lang w:val="es-ES"/>
              </w:rPr>
              <w:t>Respuesta a consulta # 420201</w:t>
            </w:r>
            <w:r w:rsidR="00DD6700">
              <w:rPr>
                <w:rFonts w:ascii="Arial" w:eastAsia="Calibri" w:hAnsi="Arial" w:cs="Arial"/>
                <w:bCs/>
                <w:color w:val="000000" w:themeColor="text1"/>
                <w:sz w:val="22"/>
                <w:lang w:val="es-ES"/>
              </w:rPr>
              <w:t>3</w:t>
            </w:r>
            <w:r w:rsidRPr="008F3A87">
              <w:rPr>
                <w:rFonts w:ascii="Arial" w:eastAsia="Calibri" w:hAnsi="Arial" w:cs="Arial"/>
                <w:bCs/>
                <w:color w:val="000000" w:themeColor="text1"/>
                <w:sz w:val="22"/>
                <w:lang w:val="es-ES"/>
              </w:rPr>
              <w:t>00000</w:t>
            </w:r>
            <w:r w:rsidR="00E633DC" w:rsidRPr="008F3A87">
              <w:rPr>
                <w:rFonts w:ascii="Arial" w:eastAsia="Calibri" w:hAnsi="Arial" w:cs="Arial"/>
                <w:bCs/>
                <w:color w:val="000000" w:themeColor="text1"/>
                <w:sz w:val="22"/>
                <w:lang w:val="es-ES"/>
              </w:rPr>
              <w:t>3437</w:t>
            </w:r>
          </w:p>
        </w:tc>
      </w:tr>
    </w:tbl>
    <w:p w14:paraId="5C90100E" w14:textId="77777777" w:rsidR="00040B7D" w:rsidRPr="008F3A87" w:rsidRDefault="00040B7D" w:rsidP="00AB081F">
      <w:pPr>
        <w:spacing w:before="0"/>
        <w:rPr>
          <w:rFonts w:ascii="Arial" w:eastAsia="Calibri" w:hAnsi="Arial" w:cs="Arial"/>
          <w:color w:val="000000" w:themeColor="text1"/>
          <w:sz w:val="22"/>
          <w:lang w:val="es-ES"/>
        </w:rPr>
      </w:pPr>
    </w:p>
    <w:p w14:paraId="1DC4BEE2" w14:textId="768599DC" w:rsidR="00040B7D" w:rsidRPr="008F3A87" w:rsidRDefault="00040B7D" w:rsidP="009F0D45">
      <w:pPr>
        <w:spacing w:before="0" w:after="0"/>
        <w:rPr>
          <w:rFonts w:ascii="Arial" w:eastAsia="Calibri" w:hAnsi="Arial" w:cs="Arial"/>
          <w:color w:val="000000" w:themeColor="text1"/>
          <w:sz w:val="22"/>
          <w:lang w:val="es-ES"/>
        </w:rPr>
      </w:pPr>
      <w:r w:rsidRPr="008F3A87">
        <w:rPr>
          <w:rFonts w:ascii="Arial" w:eastAsia="Calibri" w:hAnsi="Arial" w:cs="Arial"/>
          <w:color w:val="000000" w:themeColor="text1"/>
          <w:sz w:val="22"/>
          <w:lang w:val="es-ES"/>
        </w:rPr>
        <w:t>Estimad</w:t>
      </w:r>
      <w:r w:rsidR="002D79E9" w:rsidRPr="008F3A87">
        <w:rPr>
          <w:rFonts w:ascii="Arial" w:eastAsia="Calibri" w:hAnsi="Arial" w:cs="Arial"/>
          <w:color w:val="000000" w:themeColor="text1"/>
          <w:sz w:val="22"/>
          <w:lang w:val="es-ES"/>
        </w:rPr>
        <w:t>o</w:t>
      </w:r>
      <w:r w:rsidRPr="008F3A87">
        <w:rPr>
          <w:rFonts w:ascii="Arial" w:eastAsia="Calibri" w:hAnsi="Arial" w:cs="Arial"/>
          <w:color w:val="000000" w:themeColor="text1"/>
          <w:sz w:val="22"/>
          <w:lang w:val="es-ES"/>
        </w:rPr>
        <w:t xml:space="preserve"> señor </w:t>
      </w:r>
      <w:r w:rsidR="002D79E9" w:rsidRPr="008F3A87">
        <w:rPr>
          <w:rFonts w:ascii="Arial" w:eastAsia="Calibri" w:hAnsi="Arial" w:cs="Arial"/>
          <w:color w:val="000000" w:themeColor="text1"/>
          <w:sz w:val="22"/>
          <w:lang w:val="es-ES"/>
        </w:rPr>
        <w:t>Parra</w:t>
      </w:r>
      <w:r w:rsidRPr="008F3A87">
        <w:rPr>
          <w:rFonts w:ascii="Arial" w:eastAsia="Calibri" w:hAnsi="Arial" w:cs="Arial"/>
          <w:color w:val="000000" w:themeColor="text1"/>
          <w:sz w:val="22"/>
          <w:lang w:val="es-ES"/>
        </w:rPr>
        <w:t>,</w:t>
      </w:r>
    </w:p>
    <w:p w14:paraId="1FDBADC2" w14:textId="77777777" w:rsidR="00040B7D" w:rsidRPr="00DD6700" w:rsidRDefault="00040B7D" w:rsidP="009F0D45">
      <w:pPr>
        <w:spacing w:before="0" w:after="0"/>
        <w:rPr>
          <w:rFonts w:ascii="Arial" w:eastAsia="Calibri" w:hAnsi="Arial" w:cs="Arial"/>
          <w:color w:val="000000" w:themeColor="text1"/>
          <w:sz w:val="22"/>
          <w:lang w:val="es-ES"/>
        </w:rPr>
      </w:pPr>
    </w:p>
    <w:p w14:paraId="49A5B428" w14:textId="545451F0" w:rsidR="00040B7D" w:rsidRPr="00040B7D" w:rsidRDefault="00040B7D" w:rsidP="009F0D45">
      <w:pPr>
        <w:spacing w:before="0" w:after="0"/>
        <w:ind w:right="49"/>
        <w:rPr>
          <w:rFonts w:ascii="Arial" w:eastAsia="Calibri" w:hAnsi="Arial" w:cs="Arial"/>
          <w:color w:val="000000" w:themeColor="text1"/>
          <w:sz w:val="22"/>
          <w:lang w:val="es-ES"/>
        </w:rPr>
      </w:pPr>
      <w:r w:rsidRPr="00040B7D">
        <w:rPr>
          <w:rFonts w:ascii="Arial" w:eastAsia="Calibri" w:hAnsi="Arial" w:cs="Arial"/>
          <w:color w:val="000000" w:themeColor="text1"/>
          <w:sz w:val="22"/>
          <w:lang w:val="es-ES"/>
        </w:rPr>
        <w:t xml:space="preserve">La Agencia Nacional de Contratación Pública </w:t>
      </w:r>
      <w:r w:rsidR="00625113">
        <w:rPr>
          <w:rFonts w:ascii="Arial" w:eastAsia="Calibri" w:hAnsi="Arial" w:cs="Arial"/>
          <w:color w:val="000000" w:themeColor="text1"/>
          <w:sz w:val="22"/>
          <w:lang w:val="es-ES"/>
        </w:rPr>
        <w:t xml:space="preserve">– </w:t>
      </w:r>
      <w:r w:rsidRPr="00040B7D">
        <w:rPr>
          <w:rFonts w:ascii="Arial" w:eastAsia="Calibri" w:hAnsi="Arial" w:cs="Arial"/>
          <w:color w:val="000000" w:themeColor="text1"/>
          <w:sz w:val="22"/>
          <w:lang w:val="es-ES"/>
        </w:rPr>
        <w:t xml:space="preserve">Colombia Compra Eficiente responde su consulta del </w:t>
      </w:r>
      <w:r w:rsidR="002D79E9">
        <w:rPr>
          <w:rFonts w:ascii="Arial" w:eastAsia="Calibri" w:hAnsi="Arial" w:cs="Arial"/>
          <w:color w:val="000000" w:themeColor="text1"/>
          <w:sz w:val="22"/>
          <w:lang w:val="es-ES"/>
        </w:rPr>
        <w:t>6</w:t>
      </w:r>
      <w:r w:rsidRPr="00040B7D">
        <w:rPr>
          <w:rFonts w:ascii="Arial" w:eastAsia="Calibri" w:hAnsi="Arial" w:cs="Arial"/>
          <w:color w:val="000000" w:themeColor="text1"/>
          <w:sz w:val="22"/>
          <w:lang w:val="es-ES"/>
        </w:rPr>
        <w:t xml:space="preserve"> de </w:t>
      </w:r>
      <w:r w:rsidR="002D79E9">
        <w:rPr>
          <w:rFonts w:ascii="Arial" w:eastAsia="Calibri" w:hAnsi="Arial" w:cs="Arial"/>
          <w:color w:val="000000" w:themeColor="text1"/>
          <w:sz w:val="22"/>
          <w:lang w:val="es-ES"/>
        </w:rPr>
        <w:t>mayo</w:t>
      </w:r>
      <w:r w:rsidRPr="00040B7D">
        <w:rPr>
          <w:rFonts w:ascii="Arial" w:eastAsia="Calibri" w:hAnsi="Arial" w:cs="Arial"/>
          <w:color w:val="000000" w:themeColor="text1"/>
          <w:sz w:val="22"/>
          <w:lang w:val="es-ES"/>
        </w:rPr>
        <w:t xml:space="preserve"> de 2020, en ejercicio de la competencia otorgada por el numeral 8 del artículo 11 y el numeral 5 del artículo 3 del Decreto Ley 4170 de 2011. </w:t>
      </w:r>
    </w:p>
    <w:p w14:paraId="74FD43B6" w14:textId="77777777" w:rsidR="00040B7D" w:rsidRPr="00040B7D" w:rsidRDefault="00040B7D" w:rsidP="009F0D45">
      <w:pPr>
        <w:spacing w:before="0" w:after="0"/>
        <w:rPr>
          <w:rFonts w:ascii="Arial" w:eastAsia="Calibri" w:hAnsi="Arial" w:cs="Arial"/>
          <w:color w:val="000000" w:themeColor="text1"/>
          <w:sz w:val="22"/>
          <w:lang w:val="es-ES"/>
        </w:rPr>
      </w:pPr>
    </w:p>
    <w:p w14:paraId="331B8D83" w14:textId="21367A92" w:rsidR="00040B7D" w:rsidRPr="00955D93" w:rsidRDefault="00040B7D" w:rsidP="009F0D45">
      <w:pPr>
        <w:pStyle w:val="Prrafodelista"/>
        <w:numPr>
          <w:ilvl w:val="0"/>
          <w:numId w:val="10"/>
        </w:numPr>
        <w:tabs>
          <w:tab w:val="left" w:pos="284"/>
        </w:tabs>
        <w:spacing w:before="0" w:after="0"/>
        <w:rPr>
          <w:rFonts w:ascii="Arial" w:eastAsia="Calibri" w:hAnsi="Arial" w:cs="Arial"/>
          <w:b/>
          <w:color w:val="000000" w:themeColor="text1"/>
          <w:sz w:val="22"/>
        </w:rPr>
      </w:pPr>
      <w:r w:rsidRPr="00955D93">
        <w:rPr>
          <w:rFonts w:ascii="Arial" w:eastAsia="Calibri" w:hAnsi="Arial" w:cs="Arial"/>
          <w:b/>
          <w:color w:val="000000" w:themeColor="text1"/>
          <w:sz w:val="22"/>
        </w:rPr>
        <w:t xml:space="preserve">Problemas planteados </w:t>
      </w:r>
    </w:p>
    <w:p w14:paraId="43109FC0" w14:textId="77777777" w:rsidR="00040B7D" w:rsidRPr="00481BD6" w:rsidRDefault="00040B7D" w:rsidP="009F0D45">
      <w:pPr>
        <w:tabs>
          <w:tab w:val="left" w:pos="426"/>
        </w:tabs>
        <w:spacing w:before="0" w:after="0"/>
        <w:rPr>
          <w:rFonts w:ascii="Arial" w:eastAsia="Calibri" w:hAnsi="Arial" w:cs="Arial"/>
          <w:b/>
          <w:color w:val="000000" w:themeColor="text1"/>
          <w:sz w:val="22"/>
        </w:rPr>
      </w:pPr>
    </w:p>
    <w:p w14:paraId="7DB84A53" w14:textId="599978F2" w:rsidR="00F92F3B" w:rsidRDefault="00F92F3B">
      <w:pPr>
        <w:tabs>
          <w:tab w:val="left" w:pos="426"/>
        </w:tabs>
        <w:spacing w:before="0"/>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Después de realizar algunas consideraciones sobre los contratos </w:t>
      </w:r>
      <w:r w:rsidR="00411A54">
        <w:rPr>
          <w:rFonts w:ascii="Arial" w:eastAsia="Calibri" w:hAnsi="Arial" w:cs="Arial"/>
          <w:color w:val="000000" w:themeColor="text1"/>
          <w:sz w:val="22"/>
          <w:lang w:val="es-ES"/>
        </w:rPr>
        <w:t>de</w:t>
      </w:r>
      <w:r>
        <w:rPr>
          <w:rFonts w:ascii="Arial" w:eastAsia="Calibri" w:hAnsi="Arial" w:cs="Arial"/>
          <w:color w:val="000000" w:themeColor="text1"/>
          <w:sz w:val="22"/>
          <w:lang w:val="es-ES"/>
        </w:rPr>
        <w:t xml:space="preserve"> </w:t>
      </w:r>
      <w:r w:rsidR="00411A54">
        <w:rPr>
          <w:rFonts w:ascii="Arial" w:eastAsia="Calibri" w:hAnsi="Arial" w:cs="Arial"/>
          <w:color w:val="000000" w:themeColor="text1"/>
          <w:sz w:val="22"/>
          <w:lang w:val="es-ES"/>
        </w:rPr>
        <w:t xml:space="preserve">las </w:t>
      </w:r>
      <w:r>
        <w:rPr>
          <w:rFonts w:ascii="Arial" w:eastAsia="Calibri" w:hAnsi="Arial" w:cs="Arial"/>
          <w:color w:val="000000" w:themeColor="text1"/>
          <w:sz w:val="22"/>
          <w:lang w:val="es-ES"/>
        </w:rPr>
        <w:t xml:space="preserve">entidades estatales </w:t>
      </w:r>
      <w:r w:rsidR="00411A54">
        <w:rPr>
          <w:rFonts w:ascii="Arial" w:eastAsia="Calibri" w:hAnsi="Arial" w:cs="Arial"/>
          <w:color w:val="000000" w:themeColor="text1"/>
          <w:sz w:val="22"/>
          <w:lang w:val="es-ES"/>
        </w:rPr>
        <w:t>con</w:t>
      </w:r>
      <w:r>
        <w:rPr>
          <w:rFonts w:ascii="Arial" w:eastAsia="Calibri" w:hAnsi="Arial" w:cs="Arial"/>
          <w:color w:val="000000" w:themeColor="text1"/>
          <w:sz w:val="22"/>
          <w:lang w:val="es-ES"/>
        </w:rPr>
        <w:t xml:space="preserve"> </w:t>
      </w:r>
      <w:r w:rsidR="00411A54">
        <w:rPr>
          <w:rFonts w:ascii="Arial" w:eastAsia="Calibri" w:hAnsi="Arial" w:cs="Arial"/>
          <w:color w:val="000000" w:themeColor="text1"/>
          <w:sz w:val="22"/>
          <w:lang w:val="es-ES"/>
        </w:rPr>
        <w:t xml:space="preserve">las </w:t>
      </w:r>
      <w:r>
        <w:rPr>
          <w:rFonts w:ascii="Arial" w:eastAsia="Calibri" w:hAnsi="Arial" w:cs="Arial"/>
          <w:color w:val="000000" w:themeColor="text1"/>
          <w:sz w:val="22"/>
          <w:lang w:val="es-ES"/>
        </w:rPr>
        <w:t xml:space="preserve">fiduciarias, la contratación derivada de esta relación, y </w:t>
      </w:r>
      <w:r w:rsidR="00411A54">
        <w:rPr>
          <w:rFonts w:ascii="Arial" w:eastAsia="Calibri" w:hAnsi="Arial" w:cs="Arial"/>
          <w:color w:val="000000" w:themeColor="text1"/>
          <w:sz w:val="22"/>
          <w:lang w:val="es-ES"/>
        </w:rPr>
        <w:t>algunas circulares externas de la entidad</w:t>
      </w:r>
      <w:r>
        <w:rPr>
          <w:rFonts w:ascii="Arial" w:eastAsia="Calibri" w:hAnsi="Arial" w:cs="Arial"/>
          <w:color w:val="000000" w:themeColor="text1"/>
          <w:sz w:val="22"/>
          <w:lang w:val="es-ES"/>
        </w:rPr>
        <w:t xml:space="preserve">, usted plantea las siguientes </w:t>
      </w:r>
      <w:r w:rsidR="00625113">
        <w:rPr>
          <w:rFonts w:ascii="Arial" w:eastAsia="Calibri" w:hAnsi="Arial" w:cs="Arial"/>
          <w:color w:val="000000" w:themeColor="text1"/>
          <w:sz w:val="22"/>
          <w:lang w:val="es-ES"/>
        </w:rPr>
        <w:t>preguntas</w:t>
      </w:r>
      <w:r>
        <w:rPr>
          <w:rFonts w:ascii="Arial" w:eastAsia="Calibri" w:hAnsi="Arial" w:cs="Arial"/>
          <w:color w:val="000000" w:themeColor="text1"/>
          <w:sz w:val="22"/>
          <w:lang w:val="es-ES"/>
        </w:rPr>
        <w:t xml:space="preserve">: </w:t>
      </w:r>
    </w:p>
    <w:p w14:paraId="56112F60" w14:textId="6FC1D4D9" w:rsidR="00EA242F" w:rsidRPr="009F0D45" w:rsidRDefault="00411A54" w:rsidP="009F0D45">
      <w:pPr>
        <w:tabs>
          <w:tab w:val="left" w:pos="426"/>
        </w:tabs>
        <w:spacing w:before="0"/>
        <w:rPr>
          <w:rFonts w:ascii="Arial" w:eastAsia="Calibri" w:hAnsi="Arial" w:cs="Arial"/>
          <w:color w:val="000000" w:themeColor="text1"/>
          <w:sz w:val="22"/>
          <w:szCs w:val="22"/>
          <w:lang w:val="es-ES"/>
        </w:rPr>
      </w:pPr>
      <w:bookmarkStart w:id="1" w:name="_Hlk43122512"/>
      <w:r w:rsidRPr="009F0D45">
        <w:rPr>
          <w:rFonts w:ascii="Arial" w:eastAsia="Calibri" w:hAnsi="Arial" w:cs="Arial"/>
          <w:color w:val="000000" w:themeColor="text1"/>
          <w:sz w:val="22"/>
          <w:szCs w:val="22"/>
          <w:lang w:val="es-ES"/>
        </w:rPr>
        <w:t xml:space="preserve">i) </w:t>
      </w:r>
      <w:r w:rsidR="00F92F3B" w:rsidRPr="009F0D45">
        <w:rPr>
          <w:rFonts w:ascii="Arial" w:eastAsia="Calibri" w:hAnsi="Arial" w:cs="Arial"/>
          <w:color w:val="000000" w:themeColor="text1"/>
          <w:sz w:val="22"/>
          <w:szCs w:val="22"/>
          <w:lang w:val="es-ES"/>
        </w:rPr>
        <w:t>¿Cuáles son</w:t>
      </w:r>
      <w:r w:rsidR="00F92F3B" w:rsidRPr="009F0D45">
        <w:rPr>
          <w:sz w:val="22"/>
          <w:szCs w:val="22"/>
          <w:lang w:val="es-ES"/>
        </w:rPr>
        <w:t xml:space="preserve"> </w:t>
      </w:r>
      <w:r w:rsidR="00F92F3B" w:rsidRPr="009F0D45">
        <w:rPr>
          <w:rFonts w:ascii="Arial" w:eastAsia="Calibri" w:hAnsi="Arial" w:cs="Arial"/>
          <w:color w:val="000000" w:themeColor="text1"/>
          <w:sz w:val="22"/>
          <w:szCs w:val="22"/>
          <w:lang w:val="es-ES"/>
        </w:rPr>
        <w:t>los fundamentos de derecho para que una Entidad Pública se pueda negar a publicar la Contratación derivada que</w:t>
      </w:r>
      <w:r w:rsidR="00010CF2" w:rsidRPr="009F0D45">
        <w:rPr>
          <w:rFonts w:ascii="Arial" w:eastAsia="Calibri" w:hAnsi="Arial" w:cs="Arial"/>
          <w:color w:val="000000" w:themeColor="text1"/>
          <w:sz w:val="22"/>
          <w:szCs w:val="22"/>
          <w:lang w:val="es-ES"/>
        </w:rPr>
        <w:t>,</w:t>
      </w:r>
      <w:r w:rsidR="00F92F3B" w:rsidRPr="009F0D45">
        <w:rPr>
          <w:rFonts w:ascii="Arial" w:eastAsia="Calibri" w:hAnsi="Arial" w:cs="Arial"/>
          <w:color w:val="000000" w:themeColor="text1"/>
          <w:sz w:val="22"/>
          <w:szCs w:val="22"/>
          <w:lang w:val="es-ES"/>
        </w:rPr>
        <w:t xml:space="preserve"> dicho sea de paso</w:t>
      </w:r>
      <w:r w:rsidR="00010CF2" w:rsidRPr="009F0D45">
        <w:rPr>
          <w:rFonts w:ascii="Arial" w:eastAsia="Calibri" w:hAnsi="Arial" w:cs="Arial"/>
          <w:color w:val="000000" w:themeColor="text1"/>
          <w:sz w:val="22"/>
          <w:szCs w:val="22"/>
          <w:lang w:val="es-ES"/>
        </w:rPr>
        <w:t>,</w:t>
      </w:r>
      <w:r w:rsidR="00F92F3B" w:rsidRPr="009F0D45">
        <w:rPr>
          <w:rFonts w:ascii="Arial" w:eastAsia="Calibri" w:hAnsi="Arial" w:cs="Arial"/>
          <w:color w:val="000000" w:themeColor="text1"/>
          <w:sz w:val="22"/>
          <w:szCs w:val="22"/>
          <w:lang w:val="es-ES"/>
        </w:rPr>
        <w:t xml:space="preserve"> se ejecuta con</w:t>
      </w:r>
      <w:r w:rsidR="00010CF2" w:rsidRPr="009F0D45">
        <w:rPr>
          <w:rFonts w:ascii="Arial" w:eastAsia="Calibri" w:hAnsi="Arial" w:cs="Arial"/>
          <w:color w:val="000000" w:themeColor="text1"/>
          <w:sz w:val="22"/>
          <w:szCs w:val="22"/>
          <w:lang w:val="es-ES"/>
        </w:rPr>
        <w:t xml:space="preserve"> cargo a</w:t>
      </w:r>
      <w:r w:rsidR="00F92F3B" w:rsidRPr="009F0D45">
        <w:rPr>
          <w:rFonts w:ascii="Arial" w:eastAsia="Calibri" w:hAnsi="Arial" w:cs="Arial"/>
          <w:color w:val="000000" w:themeColor="text1"/>
          <w:sz w:val="22"/>
          <w:szCs w:val="22"/>
          <w:lang w:val="es-ES"/>
        </w:rPr>
        <w:t xml:space="preserve"> recursos </w:t>
      </w:r>
      <w:r w:rsidR="00010CF2" w:rsidRPr="009F0D45">
        <w:rPr>
          <w:rFonts w:ascii="Arial" w:eastAsia="Calibri" w:hAnsi="Arial" w:cs="Arial"/>
          <w:color w:val="000000" w:themeColor="text1"/>
          <w:sz w:val="22"/>
          <w:szCs w:val="22"/>
          <w:lang w:val="es-ES"/>
        </w:rPr>
        <w:t>públicos</w:t>
      </w:r>
      <w:r w:rsidR="00F92F3B" w:rsidRPr="009F0D45">
        <w:rPr>
          <w:rFonts w:ascii="Arial" w:eastAsia="Calibri" w:hAnsi="Arial" w:cs="Arial"/>
          <w:color w:val="000000" w:themeColor="text1"/>
          <w:sz w:val="22"/>
          <w:szCs w:val="22"/>
          <w:lang w:val="es-ES"/>
        </w:rPr>
        <w:t xml:space="preserve">? </w:t>
      </w:r>
      <w:r w:rsidR="00010CF2" w:rsidRPr="009F0D45">
        <w:rPr>
          <w:rFonts w:ascii="Arial" w:eastAsia="Calibri" w:hAnsi="Arial" w:cs="Arial"/>
          <w:color w:val="000000" w:themeColor="text1"/>
          <w:sz w:val="22"/>
          <w:szCs w:val="22"/>
          <w:lang w:val="es-ES"/>
        </w:rPr>
        <w:t>¿No se trataría de la omisión de un deber legal que impone el Decreto 1082 de 2015 cuando expresa que «Artículo 2.</w:t>
      </w:r>
      <w:r w:rsidR="00F92F3B" w:rsidRPr="009F0D45">
        <w:rPr>
          <w:rFonts w:ascii="Arial" w:eastAsia="Calibri" w:hAnsi="Arial" w:cs="Arial"/>
          <w:color w:val="000000" w:themeColor="text1"/>
          <w:sz w:val="22"/>
          <w:szCs w:val="22"/>
          <w:lang w:val="es-ES"/>
        </w:rPr>
        <w:t xml:space="preserve">2.1.1.1.7.1. Publicidad en el SECOP. La Entidad Estatal está obligada a publicar en el SECOP los Documentos del Proceso y los actos </w:t>
      </w:r>
      <w:r w:rsidR="00F92F3B" w:rsidRPr="009F0D45">
        <w:rPr>
          <w:rFonts w:ascii="Arial" w:eastAsia="Calibri" w:hAnsi="Arial" w:cs="Arial"/>
          <w:color w:val="000000" w:themeColor="text1"/>
          <w:sz w:val="22"/>
          <w:szCs w:val="22"/>
          <w:lang w:val="es-ES"/>
        </w:rPr>
        <w:lastRenderedPageBreak/>
        <w:t xml:space="preserve">administrativos del Proceso de </w:t>
      </w:r>
      <w:r w:rsidR="00EA242F" w:rsidRPr="009F0D45">
        <w:rPr>
          <w:rFonts w:ascii="Arial" w:eastAsia="Calibri" w:hAnsi="Arial" w:cs="Arial"/>
          <w:color w:val="000000" w:themeColor="text1"/>
          <w:sz w:val="22"/>
          <w:szCs w:val="22"/>
          <w:lang w:val="es-ES"/>
        </w:rPr>
        <w:t>Contratación</w:t>
      </w:r>
      <w:r w:rsidR="00F92F3B" w:rsidRPr="009F0D45">
        <w:rPr>
          <w:rFonts w:ascii="Arial" w:eastAsia="Calibri" w:hAnsi="Arial" w:cs="Arial"/>
          <w:color w:val="000000" w:themeColor="text1"/>
          <w:sz w:val="22"/>
          <w:szCs w:val="22"/>
          <w:lang w:val="es-ES"/>
        </w:rPr>
        <w:t xml:space="preserve">, dentro de los tres (3) </w:t>
      </w:r>
      <w:r w:rsidR="00EA242F" w:rsidRPr="009F0D45">
        <w:rPr>
          <w:rFonts w:ascii="Arial" w:eastAsia="Calibri" w:hAnsi="Arial" w:cs="Arial"/>
          <w:color w:val="000000" w:themeColor="text1"/>
          <w:sz w:val="22"/>
          <w:szCs w:val="22"/>
          <w:lang w:val="es-ES"/>
        </w:rPr>
        <w:t>días</w:t>
      </w:r>
      <w:r w:rsidR="00F92F3B" w:rsidRPr="009F0D45">
        <w:rPr>
          <w:rFonts w:ascii="Arial" w:eastAsia="Calibri" w:hAnsi="Arial" w:cs="Arial"/>
          <w:color w:val="000000" w:themeColor="text1"/>
          <w:sz w:val="22"/>
          <w:szCs w:val="22"/>
          <w:lang w:val="es-ES"/>
        </w:rPr>
        <w:t xml:space="preserve"> siguientes a su </w:t>
      </w:r>
      <w:r w:rsidR="00EA242F" w:rsidRPr="009F0D45">
        <w:rPr>
          <w:rFonts w:ascii="Arial" w:eastAsia="Calibri" w:hAnsi="Arial" w:cs="Arial"/>
          <w:color w:val="000000" w:themeColor="text1"/>
          <w:sz w:val="22"/>
          <w:szCs w:val="22"/>
          <w:lang w:val="es-ES"/>
        </w:rPr>
        <w:t>expedición</w:t>
      </w:r>
      <w:r w:rsidR="00F92F3B" w:rsidRPr="009F0D45">
        <w:rPr>
          <w:rFonts w:ascii="Arial" w:eastAsia="Calibri" w:hAnsi="Arial" w:cs="Arial"/>
          <w:color w:val="000000" w:themeColor="text1"/>
          <w:sz w:val="22"/>
          <w:szCs w:val="22"/>
          <w:lang w:val="es-ES"/>
        </w:rPr>
        <w:t xml:space="preserve">. La oferta que debe ser publicada es la del adjudicatario del Proceso de </w:t>
      </w:r>
      <w:r w:rsidR="00EA242F" w:rsidRPr="009F0D45">
        <w:rPr>
          <w:rFonts w:ascii="Arial" w:eastAsia="Calibri" w:hAnsi="Arial" w:cs="Arial"/>
          <w:color w:val="000000" w:themeColor="text1"/>
          <w:sz w:val="22"/>
          <w:szCs w:val="22"/>
          <w:lang w:val="es-ES"/>
        </w:rPr>
        <w:t>Contratación</w:t>
      </w:r>
      <w:r w:rsidR="00F92F3B" w:rsidRPr="009F0D45">
        <w:rPr>
          <w:rFonts w:ascii="Arial" w:eastAsia="Calibri" w:hAnsi="Arial" w:cs="Arial"/>
          <w:color w:val="000000" w:themeColor="text1"/>
          <w:sz w:val="22"/>
          <w:szCs w:val="22"/>
          <w:lang w:val="es-ES"/>
        </w:rPr>
        <w:t>. Los documentos de las operaciones que se realicen en bolsa de productos no tienen que ser publicados en el SECOP?</w:t>
      </w:r>
    </w:p>
    <w:p w14:paraId="0607D069" w14:textId="4A5E6DF0" w:rsidR="00EA242F" w:rsidRPr="009F0D45" w:rsidRDefault="00411A54" w:rsidP="009F0D45">
      <w:pPr>
        <w:tabs>
          <w:tab w:val="left" w:pos="426"/>
        </w:tabs>
        <w:spacing w:before="0"/>
        <w:rPr>
          <w:rFonts w:ascii="Arial" w:eastAsia="Calibri" w:hAnsi="Arial" w:cs="Arial"/>
          <w:color w:val="000000" w:themeColor="text1"/>
          <w:sz w:val="22"/>
          <w:szCs w:val="22"/>
          <w:lang w:val="es-ES"/>
        </w:rPr>
      </w:pPr>
      <w:bookmarkStart w:id="2" w:name="_Hlk43123761"/>
      <w:bookmarkEnd w:id="1"/>
      <w:r w:rsidRPr="009F0D45">
        <w:rPr>
          <w:rFonts w:ascii="Arial" w:eastAsia="Calibri" w:hAnsi="Arial" w:cs="Arial"/>
          <w:color w:val="000000" w:themeColor="text1"/>
          <w:sz w:val="22"/>
          <w:szCs w:val="22"/>
          <w:lang w:val="es-ES"/>
        </w:rPr>
        <w:t xml:space="preserve">ii) </w:t>
      </w:r>
      <w:r w:rsidR="00EA242F" w:rsidRPr="009F0D45">
        <w:rPr>
          <w:rFonts w:ascii="Arial" w:eastAsia="Calibri" w:hAnsi="Arial" w:cs="Arial"/>
          <w:color w:val="000000" w:themeColor="text1"/>
          <w:sz w:val="22"/>
          <w:szCs w:val="22"/>
          <w:lang w:val="es-ES"/>
        </w:rPr>
        <w:t>¿Cuándo la entidad pública se niega a realizar la publicación de la Contratación derivada realizada, la fiduciaria debe realizar la publicación en el SECOP I como ordena el numeral 1.8., de la Circular Externa Única de Colombia Compra Eficiente en el SECOP II como da a entender a manera de conclusión la circular externa No. 0</w:t>
      </w:r>
      <w:r w:rsidR="00C05A5B">
        <w:rPr>
          <w:rFonts w:ascii="Arial" w:eastAsia="Calibri" w:hAnsi="Arial" w:cs="Arial"/>
          <w:color w:val="000000" w:themeColor="text1"/>
          <w:sz w:val="22"/>
          <w:szCs w:val="22"/>
          <w:lang w:val="es-ES"/>
        </w:rPr>
        <w:t>2</w:t>
      </w:r>
      <w:r w:rsidR="00EA242F" w:rsidRPr="009F0D45">
        <w:rPr>
          <w:rFonts w:ascii="Arial" w:eastAsia="Calibri" w:hAnsi="Arial" w:cs="Arial"/>
          <w:color w:val="000000" w:themeColor="text1"/>
          <w:sz w:val="22"/>
          <w:szCs w:val="22"/>
          <w:lang w:val="es-ES"/>
        </w:rPr>
        <w:t xml:space="preserve"> de 2019?</w:t>
      </w:r>
      <w:bookmarkEnd w:id="2"/>
    </w:p>
    <w:p w14:paraId="2E98E181" w14:textId="2A8E87A5" w:rsidR="00321A65" w:rsidRPr="009F0D45" w:rsidRDefault="00411A54" w:rsidP="009F0D45">
      <w:pPr>
        <w:tabs>
          <w:tab w:val="left" w:pos="426"/>
        </w:tabs>
        <w:spacing w:before="0"/>
        <w:rPr>
          <w:rFonts w:ascii="Arial" w:eastAsia="Calibri" w:hAnsi="Arial" w:cs="Arial"/>
          <w:color w:val="000000" w:themeColor="text1"/>
          <w:sz w:val="22"/>
          <w:lang w:val="es-ES"/>
        </w:rPr>
      </w:pPr>
      <w:r w:rsidRPr="009F0D45">
        <w:rPr>
          <w:rFonts w:ascii="Arial" w:eastAsia="Calibri" w:hAnsi="Arial" w:cs="Arial"/>
          <w:color w:val="000000" w:themeColor="text1"/>
          <w:sz w:val="22"/>
          <w:szCs w:val="22"/>
          <w:lang w:val="es-ES"/>
        </w:rPr>
        <w:t xml:space="preserve">iii) </w:t>
      </w:r>
      <w:r w:rsidR="00EA242F" w:rsidRPr="009F0D45">
        <w:rPr>
          <w:rFonts w:ascii="Arial" w:eastAsia="Calibri" w:hAnsi="Arial" w:cs="Arial"/>
          <w:color w:val="000000" w:themeColor="text1"/>
          <w:sz w:val="22"/>
          <w:szCs w:val="22"/>
          <w:lang w:val="es-ES"/>
        </w:rPr>
        <w:t xml:space="preserve">Si la </w:t>
      </w:r>
      <w:r w:rsidR="00495098">
        <w:rPr>
          <w:rFonts w:ascii="Arial" w:eastAsia="Calibri" w:hAnsi="Arial" w:cs="Arial"/>
          <w:color w:val="000000" w:themeColor="text1"/>
          <w:sz w:val="22"/>
          <w:szCs w:val="22"/>
          <w:lang w:val="es-ES"/>
        </w:rPr>
        <w:t>f</w:t>
      </w:r>
      <w:r w:rsidR="00EA242F" w:rsidRPr="009F0D45">
        <w:rPr>
          <w:rFonts w:ascii="Arial" w:eastAsia="Calibri" w:hAnsi="Arial" w:cs="Arial"/>
          <w:color w:val="000000" w:themeColor="text1"/>
          <w:sz w:val="22"/>
          <w:szCs w:val="22"/>
          <w:lang w:val="es-ES"/>
        </w:rPr>
        <w:t xml:space="preserve">iduciaria debe realizar la publicación en el SECOP II y resulta que ha sido instruida para realizar una convocatoria pública con el objeto de seleccionar un oferente para un determinado bien o servicio, ¿Quién debe realizar el proceso junto con todas sus etapas de manera transaccional en el SECOP II, la Entidad Estatal (Fideicomitente) o la Fiduciaria? </w:t>
      </w:r>
    </w:p>
    <w:p w14:paraId="6DA1885D" w14:textId="0435160A" w:rsidR="00040B7D" w:rsidRPr="009F0D45" w:rsidRDefault="00411A54" w:rsidP="009F0D45">
      <w:pPr>
        <w:tabs>
          <w:tab w:val="left" w:pos="426"/>
        </w:tabs>
        <w:spacing w:before="0" w:after="0"/>
        <w:rPr>
          <w:rFonts w:ascii="Arial" w:eastAsia="Calibri" w:hAnsi="Arial" w:cs="Arial"/>
          <w:color w:val="000000" w:themeColor="text1"/>
          <w:sz w:val="22"/>
          <w:lang w:val="es-ES"/>
        </w:rPr>
      </w:pPr>
      <w:r w:rsidRPr="009F0D45">
        <w:rPr>
          <w:rFonts w:ascii="Arial" w:eastAsia="Calibri" w:hAnsi="Arial" w:cs="Arial"/>
          <w:color w:val="000000" w:themeColor="text1"/>
          <w:sz w:val="22"/>
          <w:szCs w:val="22"/>
          <w:lang w:val="es-ES"/>
        </w:rPr>
        <w:t xml:space="preserve">iv) </w:t>
      </w:r>
      <w:r w:rsidR="00EA242F" w:rsidRPr="009F0D45">
        <w:rPr>
          <w:rFonts w:ascii="Arial" w:eastAsia="Calibri" w:hAnsi="Arial" w:cs="Arial"/>
          <w:color w:val="000000" w:themeColor="text1"/>
          <w:sz w:val="22"/>
          <w:szCs w:val="22"/>
          <w:lang w:val="es-ES"/>
        </w:rPr>
        <w:t>¿La Fiduciaria tiene potestad de selección y adjudicación dentro de las convocatorias pública</w:t>
      </w:r>
      <w:r w:rsidR="002D235A">
        <w:rPr>
          <w:rFonts w:ascii="Arial" w:eastAsia="Calibri" w:hAnsi="Arial" w:cs="Arial"/>
          <w:color w:val="000000" w:themeColor="text1"/>
          <w:sz w:val="22"/>
          <w:szCs w:val="22"/>
          <w:lang w:val="es-ES"/>
        </w:rPr>
        <w:t>s</w:t>
      </w:r>
      <w:r w:rsidR="00EA242F" w:rsidRPr="009F0D45">
        <w:rPr>
          <w:rFonts w:ascii="Arial" w:eastAsia="Calibri" w:hAnsi="Arial" w:cs="Arial"/>
          <w:color w:val="000000" w:themeColor="text1"/>
          <w:sz w:val="22"/>
          <w:szCs w:val="22"/>
          <w:lang w:val="es-ES"/>
        </w:rPr>
        <w:t xml:space="preserve"> que realice? </w:t>
      </w:r>
    </w:p>
    <w:p w14:paraId="788A88DD" w14:textId="77777777" w:rsidR="00955D93" w:rsidRDefault="00955D93" w:rsidP="009F0D45">
      <w:pPr>
        <w:tabs>
          <w:tab w:val="left" w:pos="426"/>
        </w:tabs>
        <w:spacing w:before="0" w:after="0"/>
        <w:rPr>
          <w:rFonts w:ascii="Arial" w:eastAsia="Calibri" w:hAnsi="Arial" w:cs="Arial"/>
          <w:color w:val="000000" w:themeColor="text1"/>
          <w:sz w:val="21"/>
          <w:szCs w:val="21"/>
          <w:lang w:val="es-ES"/>
        </w:rPr>
      </w:pPr>
    </w:p>
    <w:p w14:paraId="68F93EA9" w14:textId="240467D5" w:rsidR="00040B7D" w:rsidRPr="00955D93" w:rsidRDefault="00040B7D" w:rsidP="009F0D45">
      <w:pPr>
        <w:pStyle w:val="Prrafodelista"/>
        <w:numPr>
          <w:ilvl w:val="0"/>
          <w:numId w:val="10"/>
        </w:numPr>
        <w:tabs>
          <w:tab w:val="left" w:pos="426"/>
        </w:tabs>
        <w:spacing w:before="0" w:after="0"/>
        <w:rPr>
          <w:rFonts w:ascii="Arial" w:eastAsia="Calibri" w:hAnsi="Arial" w:cs="Arial"/>
          <w:b/>
          <w:color w:val="000000" w:themeColor="text1"/>
          <w:sz w:val="22"/>
        </w:rPr>
      </w:pPr>
      <w:r w:rsidRPr="00955D93">
        <w:rPr>
          <w:rFonts w:ascii="Arial" w:eastAsia="Calibri" w:hAnsi="Arial" w:cs="Arial"/>
          <w:b/>
          <w:color w:val="000000" w:themeColor="text1"/>
          <w:sz w:val="22"/>
        </w:rPr>
        <w:t>Consideraciones</w:t>
      </w:r>
    </w:p>
    <w:p w14:paraId="3CE5C25F" w14:textId="33C7B807" w:rsidR="00040B7D" w:rsidRDefault="00040B7D" w:rsidP="009F0D45">
      <w:pPr>
        <w:spacing w:before="0" w:after="0"/>
        <w:rPr>
          <w:rFonts w:ascii="Arial" w:hAnsi="Arial" w:cs="Arial"/>
          <w:color w:val="000000" w:themeColor="text1"/>
          <w:sz w:val="22"/>
        </w:rPr>
      </w:pPr>
    </w:p>
    <w:p w14:paraId="0FEBB1F3" w14:textId="05DFA256" w:rsidR="009F0D45" w:rsidRDefault="009F0D45" w:rsidP="009F0D45">
      <w:pPr>
        <w:spacing w:before="0" w:after="0"/>
        <w:rPr>
          <w:rFonts w:ascii="Arial" w:hAnsi="Arial" w:cs="Arial"/>
          <w:color w:val="000000" w:themeColor="text1"/>
          <w:sz w:val="22"/>
          <w:lang w:val="es-ES"/>
        </w:rPr>
      </w:pPr>
      <w:r w:rsidRPr="009F0D45">
        <w:rPr>
          <w:rFonts w:ascii="Arial" w:hAnsi="Arial" w:cs="Arial"/>
          <w:color w:val="000000" w:themeColor="text1"/>
          <w:sz w:val="22"/>
          <w:lang w:val="es-ES"/>
        </w:rPr>
        <w:t>A efectos de resolver sus preguntas se hará un análisis</w:t>
      </w:r>
      <w:r>
        <w:rPr>
          <w:rFonts w:ascii="Arial" w:hAnsi="Arial" w:cs="Arial"/>
          <w:color w:val="000000" w:themeColor="text1"/>
          <w:sz w:val="22"/>
          <w:lang w:val="es-ES"/>
        </w:rPr>
        <w:t xml:space="preserve"> general sobre la publicidad de la actividad contractual en el SECOP, en segundo lugar, se pondrá de presente la obligación de algunas entidades para publicar en el SECOP II y las características principales de esta plataforma, para culminar con el análisis </w:t>
      </w:r>
      <w:r w:rsidR="00E01EC8">
        <w:rPr>
          <w:rFonts w:ascii="Arial" w:hAnsi="Arial" w:cs="Arial"/>
          <w:color w:val="000000" w:themeColor="text1"/>
          <w:sz w:val="22"/>
          <w:lang w:val="es-ES"/>
        </w:rPr>
        <w:t xml:space="preserve">la publicidad de los contratos de fiducia y la contratación derivada. </w:t>
      </w:r>
    </w:p>
    <w:p w14:paraId="5A4A87A5" w14:textId="77777777" w:rsidR="009F0D45" w:rsidRPr="009F0D45" w:rsidRDefault="009F0D45" w:rsidP="009F0D45">
      <w:pPr>
        <w:spacing w:before="0" w:after="0"/>
        <w:rPr>
          <w:rFonts w:ascii="Arial" w:hAnsi="Arial" w:cs="Arial"/>
          <w:color w:val="000000" w:themeColor="text1"/>
          <w:sz w:val="22"/>
          <w:lang w:val="es-ES"/>
        </w:rPr>
      </w:pPr>
    </w:p>
    <w:p w14:paraId="65489095" w14:textId="590BD4A9" w:rsidR="00E01EC8" w:rsidRDefault="009F0D45" w:rsidP="008F3A87">
      <w:pPr>
        <w:spacing w:before="0"/>
        <w:ind w:firstLine="708"/>
        <w:rPr>
          <w:rFonts w:ascii="Arial" w:hAnsi="Arial" w:cs="Arial"/>
          <w:color w:val="000000" w:themeColor="text1"/>
          <w:sz w:val="22"/>
          <w:lang w:val="es-ES"/>
        </w:rPr>
      </w:pPr>
      <w:r w:rsidRPr="00040B7D">
        <w:rPr>
          <w:rFonts w:ascii="Arial" w:hAnsi="Arial" w:cs="Arial"/>
          <w:color w:val="000000" w:themeColor="text1"/>
          <w:sz w:val="22"/>
          <w:lang w:val="es-ES"/>
        </w:rPr>
        <w:t xml:space="preserve">La Agencia Nacional de Contratación Pública </w:t>
      </w:r>
      <w:r>
        <w:rPr>
          <w:rFonts w:ascii="Arial" w:hAnsi="Arial" w:cs="Arial"/>
          <w:color w:val="000000" w:themeColor="text1"/>
          <w:sz w:val="22"/>
          <w:lang w:val="es-ES"/>
        </w:rPr>
        <w:t>–</w:t>
      </w:r>
      <w:r w:rsidRPr="00040B7D">
        <w:rPr>
          <w:rFonts w:ascii="Arial" w:hAnsi="Arial" w:cs="Arial"/>
          <w:color w:val="000000" w:themeColor="text1"/>
          <w:sz w:val="22"/>
          <w:lang w:val="es-ES"/>
        </w:rPr>
        <w:t xml:space="preserve"> Colombia Compra Eficiente,</w:t>
      </w:r>
      <w:r w:rsidR="00E01EC8">
        <w:rPr>
          <w:rFonts w:ascii="Arial" w:hAnsi="Arial" w:cs="Arial"/>
          <w:color w:val="000000" w:themeColor="text1"/>
          <w:sz w:val="22"/>
          <w:lang w:val="es-ES"/>
        </w:rPr>
        <w:t xml:space="preserve"> estudió los asuntos relacionados con la publicidad en el SECOP</w:t>
      </w:r>
      <w:r w:rsidRPr="00040B7D">
        <w:rPr>
          <w:rFonts w:ascii="Arial" w:hAnsi="Arial" w:cs="Arial"/>
          <w:color w:val="000000" w:themeColor="text1"/>
          <w:sz w:val="22"/>
          <w:lang w:val="es-ES"/>
        </w:rPr>
        <w:t xml:space="preserve"> en la consulta No. 4201913000005397 del 9 de agosto de 2019, posición reiterada en las siguientes consultas: 4201912000006611 del 25 de septiembre de 2019, 4201913000006847 del 4 de octubre de 2019, </w:t>
      </w:r>
      <w:r w:rsidRPr="009F0D45">
        <w:rPr>
          <w:rFonts w:ascii="Arial" w:hAnsi="Arial" w:cs="Arial"/>
          <w:color w:val="000000" w:themeColor="text1"/>
          <w:sz w:val="22"/>
          <w:lang w:val="es-ES"/>
        </w:rPr>
        <w:t>4201912000007828 del 13 de noviembre de 2019</w:t>
      </w:r>
      <w:r>
        <w:rPr>
          <w:rFonts w:ascii="Arial" w:hAnsi="Arial" w:cs="Arial"/>
          <w:color w:val="000000" w:themeColor="text1"/>
          <w:sz w:val="22"/>
          <w:lang w:val="es-ES"/>
        </w:rPr>
        <w:t xml:space="preserve"> y </w:t>
      </w:r>
      <w:r w:rsidRPr="00040B7D">
        <w:rPr>
          <w:rFonts w:ascii="Arial" w:hAnsi="Arial" w:cs="Arial"/>
          <w:color w:val="000000" w:themeColor="text1"/>
          <w:sz w:val="22"/>
          <w:lang w:val="es-ES"/>
        </w:rPr>
        <w:t>4201912000007762 del 18 de noviembre de 2019</w:t>
      </w:r>
      <w:r>
        <w:rPr>
          <w:rFonts w:ascii="Arial" w:hAnsi="Arial" w:cs="Arial"/>
          <w:color w:val="000000" w:themeColor="text1"/>
          <w:sz w:val="22"/>
          <w:lang w:val="es-ES"/>
        </w:rPr>
        <w:t xml:space="preserve">, así como en el </w:t>
      </w:r>
      <w:r w:rsidRPr="00040B7D">
        <w:rPr>
          <w:rFonts w:ascii="Arial" w:hAnsi="Arial" w:cs="Arial"/>
          <w:color w:val="000000" w:themeColor="text1"/>
          <w:sz w:val="22"/>
          <w:lang w:val="es-ES"/>
        </w:rPr>
        <w:t xml:space="preserve"> </w:t>
      </w:r>
      <w:r>
        <w:rPr>
          <w:rFonts w:ascii="Arial" w:hAnsi="Arial" w:cs="Arial"/>
          <w:color w:val="000000" w:themeColor="text1"/>
          <w:sz w:val="22"/>
          <w:lang w:val="es-ES"/>
        </w:rPr>
        <w:t xml:space="preserve"> </w:t>
      </w:r>
      <w:r w:rsidRPr="009F0D45">
        <w:rPr>
          <w:rFonts w:ascii="Arial" w:hAnsi="Arial" w:cs="Arial"/>
          <w:color w:val="000000" w:themeColor="text1"/>
          <w:sz w:val="22"/>
          <w:lang w:val="es-ES"/>
        </w:rPr>
        <w:t xml:space="preserve">concepto unificado CU-003 </w:t>
      </w:r>
      <w:r w:rsidR="00E01EC8">
        <w:rPr>
          <w:rFonts w:ascii="Arial" w:hAnsi="Arial" w:cs="Arial"/>
          <w:color w:val="000000" w:themeColor="text1"/>
          <w:sz w:val="22"/>
          <w:lang w:val="es-ES"/>
        </w:rPr>
        <w:t>del 15 de enero de 2020</w:t>
      </w:r>
      <w:r w:rsidRPr="009F0D45">
        <w:rPr>
          <w:rFonts w:ascii="Arial" w:hAnsi="Arial" w:cs="Arial"/>
          <w:color w:val="000000" w:themeColor="text1"/>
          <w:sz w:val="22"/>
          <w:lang w:val="es-ES"/>
        </w:rPr>
        <w:t xml:space="preserve"> y en el </w:t>
      </w:r>
      <w:r w:rsidRPr="00632A38">
        <w:rPr>
          <w:rFonts w:ascii="Arial" w:hAnsi="Arial" w:cs="Arial"/>
          <w:color w:val="000000" w:themeColor="text1"/>
          <w:sz w:val="22"/>
          <w:lang w:val="es-ES"/>
        </w:rPr>
        <w:t>concepto C-237 de 2020</w:t>
      </w:r>
      <w:r w:rsidR="00E01EC8">
        <w:rPr>
          <w:rFonts w:ascii="Arial" w:hAnsi="Arial" w:cs="Arial"/>
          <w:color w:val="000000" w:themeColor="text1"/>
          <w:sz w:val="22"/>
          <w:lang w:val="es-ES"/>
        </w:rPr>
        <w:t xml:space="preserve"> del 27 de abril de 2020</w:t>
      </w:r>
      <w:r w:rsidRPr="00632A38">
        <w:rPr>
          <w:rFonts w:ascii="Arial" w:hAnsi="Arial" w:cs="Arial"/>
          <w:color w:val="000000" w:themeColor="text1"/>
          <w:sz w:val="22"/>
          <w:lang w:val="es-ES"/>
        </w:rPr>
        <w:t xml:space="preserve">. </w:t>
      </w:r>
    </w:p>
    <w:p w14:paraId="399F915E" w14:textId="2D63C1D0" w:rsidR="00E01EC8" w:rsidRDefault="00E01EC8" w:rsidP="008F3A87">
      <w:pPr>
        <w:spacing w:before="0"/>
        <w:ind w:firstLine="708"/>
        <w:rPr>
          <w:rFonts w:ascii="Arial" w:hAnsi="Arial" w:cs="Arial"/>
          <w:color w:val="000000" w:themeColor="text1"/>
          <w:sz w:val="22"/>
          <w:lang w:val="es-ES"/>
        </w:rPr>
      </w:pPr>
      <w:r w:rsidRPr="00040B7D">
        <w:rPr>
          <w:rFonts w:ascii="Arial" w:hAnsi="Arial" w:cs="Arial"/>
          <w:color w:val="000000" w:themeColor="text1"/>
          <w:sz w:val="22"/>
          <w:lang w:val="es-ES"/>
        </w:rPr>
        <w:t>La Agencia Nacional de Contratación Pública ─ Colombia Compra Eficiente, estudi</w:t>
      </w:r>
      <w:r>
        <w:rPr>
          <w:rFonts w:ascii="Arial" w:hAnsi="Arial" w:cs="Arial"/>
          <w:color w:val="000000" w:themeColor="text1"/>
          <w:sz w:val="22"/>
          <w:lang w:val="es-ES"/>
        </w:rPr>
        <w:t>ó</w:t>
      </w:r>
      <w:r w:rsidRPr="00040B7D">
        <w:rPr>
          <w:rFonts w:ascii="Arial" w:hAnsi="Arial" w:cs="Arial"/>
          <w:color w:val="000000" w:themeColor="text1"/>
          <w:sz w:val="22"/>
          <w:lang w:val="es-ES"/>
        </w:rPr>
        <w:t xml:space="preserve"> por primera vez </w:t>
      </w:r>
      <w:r>
        <w:rPr>
          <w:rFonts w:ascii="Arial" w:hAnsi="Arial" w:cs="Arial"/>
          <w:color w:val="000000" w:themeColor="text1"/>
          <w:sz w:val="22"/>
          <w:lang w:val="es-ES"/>
        </w:rPr>
        <w:t xml:space="preserve">la obligatoriedad de la plataforma SECOP II </w:t>
      </w:r>
      <w:r w:rsidRPr="00040B7D">
        <w:rPr>
          <w:rFonts w:ascii="Arial" w:hAnsi="Arial" w:cs="Arial"/>
          <w:color w:val="000000" w:themeColor="text1"/>
          <w:sz w:val="22"/>
          <w:lang w:val="es-ES"/>
        </w:rPr>
        <w:t>en la consulta</w:t>
      </w:r>
      <w:r>
        <w:rPr>
          <w:rFonts w:ascii="Arial" w:hAnsi="Arial" w:cs="Arial"/>
          <w:color w:val="000000" w:themeColor="text1"/>
          <w:sz w:val="22"/>
          <w:lang w:val="es-ES"/>
        </w:rPr>
        <w:t xml:space="preserve"> de</w:t>
      </w:r>
      <w:r w:rsidRPr="00040B7D">
        <w:rPr>
          <w:rFonts w:ascii="Arial" w:hAnsi="Arial" w:cs="Arial"/>
          <w:color w:val="000000" w:themeColor="text1"/>
          <w:sz w:val="22"/>
          <w:lang w:val="es-ES"/>
        </w:rPr>
        <w:t xml:space="preserve"> radicado No. 4201912000007253 del 4 de diciembre de 2019, posición reiterada en las siguientes consultas: 4201912000007289 del 4 de diciembre de 2019, C ─ 014 </w:t>
      </w:r>
      <w:r>
        <w:rPr>
          <w:rFonts w:ascii="Arial" w:hAnsi="Arial" w:cs="Arial"/>
          <w:color w:val="000000" w:themeColor="text1"/>
          <w:sz w:val="22"/>
          <w:lang w:val="es-ES"/>
        </w:rPr>
        <w:t>del 24 de marzo de 2020</w:t>
      </w:r>
      <w:r w:rsidRPr="00040B7D">
        <w:rPr>
          <w:rFonts w:ascii="Arial" w:hAnsi="Arial" w:cs="Arial"/>
          <w:color w:val="000000" w:themeColor="text1"/>
          <w:sz w:val="22"/>
          <w:lang w:val="es-ES"/>
        </w:rPr>
        <w:t xml:space="preserve"> y C ─ 046 de</w:t>
      </w:r>
      <w:r>
        <w:rPr>
          <w:rFonts w:ascii="Arial" w:hAnsi="Arial" w:cs="Arial"/>
          <w:color w:val="000000" w:themeColor="text1"/>
          <w:sz w:val="22"/>
          <w:lang w:val="es-ES"/>
        </w:rPr>
        <w:t>l 19 de febrero de</w:t>
      </w:r>
      <w:r w:rsidRPr="00040B7D">
        <w:rPr>
          <w:rFonts w:ascii="Arial" w:hAnsi="Arial" w:cs="Arial"/>
          <w:color w:val="000000" w:themeColor="text1"/>
          <w:sz w:val="22"/>
          <w:lang w:val="es-ES"/>
        </w:rPr>
        <w:t xml:space="preserve"> 2020. </w:t>
      </w:r>
    </w:p>
    <w:p w14:paraId="166E3BBA" w14:textId="77777777" w:rsidR="008F3A87" w:rsidRDefault="00E01EC8" w:rsidP="008F3A87">
      <w:pPr>
        <w:spacing w:before="0"/>
        <w:ind w:firstLine="708"/>
        <w:rPr>
          <w:rFonts w:ascii="Arial" w:hAnsi="Arial" w:cs="Arial"/>
          <w:color w:val="000000" w:themeColor="text1"/>
          <w:sz w:val="22"/>
          <w:lang w:val="es-ES"/>
        </w:rPr>
      </w:pPr>
      <w:r w:rsidRPr="00040B7D">
        <w:rPr>
          <w:rFonts w:ascii="Arial" w:hAnsi="Arial" w:cs="Arial"/>
          <w:color w:val="000000" w:themeColor="text1"/>
          <w:sz w:val="22"/>
          <w:lang w:val="es-ES"/>
        </w:rPr>
        <w:lastRenderedPageBreak/>
        <w:t>La Agencia Nacional de Contratación Pública ─ Colombia Compra Eficiente</w:t>
      </w:r>
      <w:r>
        <w:rPr>
          <w:rFonts w:ascii="Arial" w:hAnsi="Arial" w:cs="Arial"/>
          <w:color w:val="000000" w:themeColor="text1"/>
          <w:sz w:val="22"/>
          <w:lang w:val="es-ES"/>
        </w:rPr>
        <w:t xml:space="preserve"> se pronunció sobre la </w:t>
      </w:r>
      <w:r w:rsidRPr="009F0D45">
        <w:rPr>
          <w:rFonts w:ascii="Arial" w:hAnsi="Arial" w:cs="Arial"/>
          <w:color w:val="000000" w:themeColor="text1"/>
          <w:sz w:val="22"/>
          <w:lang w:val="es-ES"/>
        </w:rPr>
        <w:t>facultad</w:t>
      </w:r>
      <w:r>
        <w:rPr>
          <w:rFonts w:ascii="Arial" w:hAnsi="Arial" w:cs="Arial"/>
          <w:color w:val="000000" w:themeColor="text1"/>
          <w:sz w:val="22"/>
          <w:lang w:val="es-ES"/>
        </w:rPr>
        <w:t xml:space="preserve"> de las fiduciarias para adelantar procedimientos de selección en la consulta radicado No. </w:t>
      </w:r>
      <w:r w:rsidRPr="00C94866">
        <w:rPr>
          <w:rFonts w:ascii="Arial" w:hAnsi="Arial" w:cs="Arial"/>
          <w:color w:val="000000" w:themeColor="text1"/>
          <w:sz w:val="22"/>
          <w:lang w:val="es-ES"/>
        </w:rPr>
        <w:t>4201913000004277</w:t>
      </w:r>
      <w:r>
        <w:rPr>
          <w:rFonts w:ascii="Arial" w:hAnsi="Arial" w:cs="Arial"/>
          <w:color w:val="000000" w:themeColor="text1"/>
          <w:sz w:val="22"/>
          <w:lang w:val="es-ES"/>
        </w:rPr>
        <w:t xml:space="preserve"> de 6 de julio de 2019 y </w:t>
      </w:r>
      <w:r w:rsidRPr="00316AA1">
        <w:rPr>
          <w:rFonts w:ascii="Arial" w:hAnsi="Arial" w:cs="Arial"/>
          <w:color w:val="000000" w:themeColor="text1"/>
          <w:sz w:val="22"/>
          <w:lang w:val="es-ES"/>
        </w:rPr>
        <w:t>4201913000006019</w:t>
      </w:r>
      <w:r>
        <w:rPr>
          <w:rFonts w:ascii="Arial" w:hAnsi="Arial" w:cs="Arial"/>
          <w:color w:val="000000" w:themeColor="text1"/>
          <w:sz w:val="22"/>
          <w:lang w:val="es-ES"/>
        </w:rPr>
        <w:t xml:space="preserve"> de 30 de septiembre de 2019. </w:t>
      </w:r>
    </w:p>
    <w:p w14:paraId="6B7BE614" w14:textId="5854F8AF" w:rsidR="00E01EC8" w:rsidRPr="00040B7D" w:rsidRDefault="008F3A87" w:rsidP="009F0D45">
      <w:pPr>
        <w:spacing w:before="0"/>
        <w:rPr>
          <w:rFonts w:ascii="Arial" w:hAnsi="Arial" w:cs="Arial"/>
          <w:color w:val="000000" w:themeColor="text1"/>
          <w:sz w:val="22"/>
          <w:lang w:val="es-ES"/>
        </w:rPr>
      </w:pPr>
      <w:r>
        <w:rPr>
          <w:rFonts w:ascii="Arial" w:hAnsi="Arial" w:cs="Arial"/>
          <w:color w:val="000000" w:themeColor="text1"/>
          <w:sz w:val="22"/>
          <w:lang w:val="es-ES"/>
        </w:rPr>
        <w:t>Las tesis expuestas en esos conceptos se desarrollan a continuación</w:t>
      </w:r>
      <w:r w:rsidR="00E01EC8">
        <w:rPr>
          <w:rFonts w:ascii="Arial" w:hAnsi="Arial" w:cs="Arial"/>
          <w:color w:val="000000" w:themeColor="text1"/>
          <w:sz w:val="22"/>
          <w:lang w:val="es-ES"/>
        </w:rPr>
        <w:t>.</w:t>
      </w:r>
    </w:p>
    <w:p w14:paraId="56A9F41E" w14:textId="77777777" w:rsidR="009F0D45" w:rsidRPr="009F0D45" w:rsidRDefault="009F0D45" w:rsidP="009F0D45">
      <w:pPr>
        <w:spacing w:before="0" w:after="0"/>
        <w:rPr>
          <w:rFonts w:ascii="Arial" w:hAnsi="Arial" w:cs="Arial"/>
          <w:color w:val="000000" w:themeColor="text1"/>
          <w:sz w:val="22"/>
          <w:lang w:val="es-ES"/>
        </w:rPr>
      </w:pPr>
    </w:p>
    <w:p w14:paraId="555E7C58" w14:textId="767F8785" w:rsidR="00040B7D" w:rsidRPr="00040B7D" w:rsidRDefault="00040B7D" w:rsidP="009F0D45">
      <w:pPr>
        <w:spacing w:before="0" w:after="0"/>
        <w:rPr>
          <w:rFonts w:ascii="Arial" w:hAnsi="Arial" w:cs="Arial"/>
          <w:b/>
          <w:bCs/>
          <w:color w:val="000000" w:themeColor="text1"/>
          <w:sz w:val="22"/>
          <w:lang w:val="es-ES"/>
        </w:rPr>
      </w:pPr>
      <w:r w:rsidRPr="00040B7D">
        <w:rPr>
          <w:rFonts w:ascii="Arial" w:hAnsi="Arial" w:cs="Arial"/>
          <w:b/>
          <w:bCs/>
          <w:color w:val="000000" w:themeColor="text1"/>
          <w:sz w:val="22"/>
          <w:lang w:val="es-ES"/>
        </w:rPr>
        <w:t xml:space="preserve">2.1. Publicidad de la actividad contractual en el </w:t>
      </w:r>
      <w:r w:rsidR="00F0112F" w:rsidRPr="00040B7D">
        <w:rPr>
          <w:rFonts w:ascii="Arial" w:hAnsi="Arial" w:cs="Arial"/>
          <w:b/>
          <w:bCs/>
          <w:color w:val="000000" w:themeColor="text1"/>
          <w:sz w:val="22"/>
          <w:lang w:val="es-ES"/>
        </w:rPr>
        <w:t>sistema electrónico de contratación pública</w:t>
      </w:r>
      <w:r w:rsidRPr="00040B7D">
        <w:rPr>
          <w:rFonts w:ascii="Arial" w:hAnsi="Arial" w:cs="Arial"/>
          <w:b/>
          <w:bCs/>
          <w:color w:val="000000" w:themeColor="text1"/>
          <w:sz w:val="22"/>
          <w:lang w:val="es-ES"/>
        </w:rPr>
        <w:t xml:space="preserve"> </w:t>
      </w:r>
      <w:r w:rsidR="00F0112F">
        <w:rPr>
          <w:rFonts w:ascii="Arial" w:hAnsi="Arial" w:cs="Arial"/>
          <w:b/>
          <w:bCs/>
          <w:color w:val="000000" w:themeColor="text1"/>
          <w:sz w:val="22"/>
          <w:lang w:val="es-ES"/>
        </w:rPr>
        <w:t>–</w:t>
      </w:r>
      <w:r w:rsidR="003231A7">
        <w:rPr>
          <w:rFonts w:ascii="Arial" w:hAnsi="Arial" w:cs="Arial"/>
          <w:b/>
          <w:bCs/>
          <w:color w:val="000000" w:themeColor="text1"/>
          <w:sz w:val="22"/>
          <w:lang w:val="es-ES"/>
        </w:rPr>
        <w:t xml:space="preserve"> </w:t>
      </w:r>
      <w:r w:rsidRPr="00040B7D">
        <w:rPr>
          <w:rFonts w:ascii="Arial" w:hAnsi="Arial" w:cs="Arial"/>
          <w:b/>
          <w:bCs/>
          <w:color w:val="000000" w:themeColor="text1"/>
          <w:sz w:val="22"/>
          <w:lang w:val="es-ES"/>
        </w:rPr>
        <w:t>SECOP</w:t>
      </w:r>
    </w:p>
    <w:p w14:paraId="24D520E6" w14:textId="77777777" w:rsidR="00040B7D" w:rsidRPr="00040B7D" w:rsidRDefault="00040B7D" w:rsidP="009F0D45">
      <w:pPr>
        <w:spacing w:before="0" w:after="0"/>
        <w:rPr>
          <w:rFonts w:ascii="Arial" w:hAnsi="Arial" w:cs="Arial"/>
          <w:color w:val="000000" w:themeColor="text1"/>
          <w:sz w:val="22"/>
          <w:lang w:val="es-ES"/>
        </w:rPr>
      </w:pPr>
    </w:p>
    <w:p w14:paraId="2362B739" w14:textId="77777777" w:rsidR="00040B7D" w:rsidRPr="00040B7D" w:rsidRDefault="00040B7D" w:rsidP="009F0D45">
      <w:pPr>
        <w:spacing w:before="0" w:after="0"/>
        <w:rPr>
          <w:rFonts w:ascii="Arial" w:hAnsi="Arial" w:cs="Arial"/>
          <w:color w:val="000000" w:themeColor="text1"/>
          <w:sz w:val="22"/>
          <w:lang w:val="es-ES"/>
        </w:rPr>
      </w:pPr>
      <w:r w:rsidRPr="00040B7D">
        <w:rPr>
          <w:rFonts w:ascii="Arial" w:hAnsi="Arial" w:cs="Arial"/>
          <w:color w:val="000000" w:themeColor="text1"/>
          <w:sz w:val="22"/>
          <w:lang w:val="es-ES"/>
        </w:rPr>
        <w:t xml:space="preserve">Para la Corte Constitucional, el principio de publicidad es la garantía que tienen las personas de conocer las actuaciones judiciales y administrativas y con base en ese conocimiento tener la posibilidad de exigir que se cumplan conforme a la ley: </w:t>
      </w:r>
    </w:p>
    <w:p w14:paraId="1D1BBEA8" w14:textId="77777777" w:rsidR="00040B7D" w:rsidRPr="00040B7D" w:rsidRDefault="00040B7D" w:rsidP="009F0D45">
      <w:pPr>
        <w:spacing w:before="0" w:after="0"/>
        <w:rPr>
          <w:rFonts w:ascii="Arial" w:hAnsi="Arial" w:cs="Arial"/>
          <w:color w:val="000000" w:themeColor="text1"/>
          <w:sz w:val="22"/>
          <w:lang w:val="es-ES"/>
        </w:rPr>
      </w:pPr>
    </w:p>
    <w:p w14:paraId="2F75D7CC" w14:textId="6AC31B08" w:rsidR="00040B7D" w:rsidRPr="00040B7D" w:rsidRDefault="00040B7D" w:rsidP="00321A65">
      <w:pPr>
        <w:spacing w:before="0" w:line="240" w:lineRule="auto"/>
        <w:ind w:left="709" w:right="709"/>
        <w:rPr>
          <w:rFonts w:ascii="Arial" w:hAnsi="Arial" w:cs="Arial"/>
          <w:color w:val="000000" w:themeColor="text1"/>
          <w:sz w:val="21"/>
          <w:szCs w:val="21"/>
          <w:lang w:val="es-ES"/>
        </w:rPr>
      </w:pPr>
      <w:r w:rsidRPr="00040B7D">
        <w:rPr>
          <w:rFonts w:ascii="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6E47052" w14:textId="77777777" w:rsidR="00040B7D" w:rsidRPr="00040B7D" w:rsidRDefault="00040B7D" w:rsidP="009F0D45">
      <w:pPr>
        <w:spacing w:before="0" w:after="0" w:line="240" w:lineRule="auto"/>
        <w:ind w:left="709" w:right="709"/>
        <w:rPr>
          <w:rFonts w:ascii="Arial" w:hAnsi="Arial" w:cs="Arial"/>
          <w:color w:val="000000" w:themeColor="text1"/>
          <w:sz w:val="22"/>
          <w:lang w:val="es-ES"/>
        </w:rPr>
      </w:pPr>
      <w:r w:rsidRPr="00040B7D">
        <w:rPr>
          <w:rFonts w:ascii="Arial" w:hAnsi="Arial" w:cs="Arial"/>
          <w:color w:val="000000" w:themeColor="text1"/>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481BD6">
        <w:rPr>
          <w:rStyle w:val="Refdenotaalpie"/>
          <w:rFonts w:ascii="Arial" w:hAnsi="Arial" w:cs="Arial"/>
          <w:color w:val="000000" w:themeColor="text1"/>
          <w:sz w:val="21"/>
          <w:szCs w:val="21"/>
        </w:rPr>
        <w:footnoteReference w:id="1"/>
      </w:r>
      <w:r w:rsidRPr="00040B7D">
        <w:rPr>
          <w:rFonts w:ascii="Arial" w:hAnsi="Arial" w:cs="Arial"/>
          <w:color w:val="000000" w:themeColor="text1"/>
          <w:sz w:val="21"/>
          <w:szCs w:val="21"/>
          <w:lang w:val="es-ES"/>
        </w:rPr>
        <w:t>.</w:t>
      </w:r>
    </w:p>
    <w:p w14:paraId="14B5D102" w14:textId="77777777" w:rsidR="00040B7D" w:rsidRPr="00040B7D" w:rsidRDefault="00040B7D" w:rsidP="009F0D45">
      <w:pPr>
        <w:spacing w:before="0" w:after="0"/>
        <w:rPr>
          <w:rFonts w:ascii="Arial" w:hAnsi="Arial" w:cs="Arial"/>
          <w:color w:val="000000" w:themeColor="text1"/>
          <w:sz w:val="22"/>
          <w:lang w:val="es-ES"/>
        </w:rPr>
      </w:pPr>
    </w:p>
    <w:p w14:paraId="4C54191C" w14:textId="774287C0" w:rsidR="00040B7D" w:rsidRDefault="00040B7D">
      <w:pPr>
        <w:spacing w:before="0"/>
        <w:ind w:firstLine="709"/>
        <w:rPr>
          <w:rFonts w:ascii="Arial" w:hAnsi="Arial" w:cs="Arial"/>
          <w:color w:val="000000" w:themeColor="text1"/>
          <w:sz w:val="22"/>
          <w:lang w:val="es-ES"/>
        </w:rPr>
      </w:pPr>
      <w:r w:rsidRPr="00040B7D">
        <w:rPr>
          <w:rFonts w:ascii="Arial" w:hAnsi="Arial" w:cs="Arial"/>
          <w:color w:val="000000" w:themeColor="text1"/>
          <w:sz w:val="22"/>
          <w:lang w:val="es-ES"/>
        </w:rPr>
        <w:t>El principio de publicidad impone a las autoridades administrativas el deber de dar a conocer sus actos, contratos y decisiones, para que se divulguen y eventualmente se controlen las actuaciones.</w:t>
      </w:r>
      <w:r w:rsidR="00273423">
        <w:rPr>
          <w:rFonts w:ascii="Arial" w:hAnsi="Arial" w:cs="Arial"/>
          <w:color w:val="000000" w:themeColor="text1"/>
          <w:sz w:val="22"/>
          <w:lang w:val="es-ES"/>
        </w:rPr>
        <w:t xml:space="preserve"> Para estos efectos, e</w:t>
      </w:r>
      <w:r w:rsidRPr="00040B7D">
        <w:rPr>
          <w:rFonts w:ascii="Arial" w:hAnsi="Arial" w:cs="Arial"/>
          <w:color w:val="000000" w:themeColor="text1"/>
          <w:sz w:val="22"/>
          <w:lang w:val="es-ES"/>
        </w:rPr>
        <w:t xml:space="preserve">l literal c) del artículo 3 de la Ley 1150 de 2007 establece que el </w:t>
      </w:r>
      <w:r w:rsidR="003231A7" w:rsidRPr="00040B7D">
        <w:rPr>
          <w:rFonts w:ascii="Arial" w:hAnsi="Arial" w:cs="Arial"/>
          <w:color w:val="000000" w:themeColor="text1"/>
          <w:sz w:val="22"/>
          <w:lang w:val="es-ES"/>
        </w:rPr>
        <w:t xml:space="preserve">sistema electrónico para la contratación pública </w:t>
      </w:r>
      <w:r w:rsidR="003231A7">
        <w:rPr>
          <w:rFonts w:ascii="Arial" w:hAnsi="Arial" w:cs="Arial"/>
          <w:color w:val="000000" w:themeColor="text1"/>
          <w:sz w:val="22"/>
          <w:lang w:val="es-ES"/>
        </w:rPr>
        <w:t>–</w:t>
      </w:r>
      <w:r w:rsidRPr="00040B7D">
        <w:rPr>
          <w:rFonts w:ascii="Arial" w:hAnsi="Arial" w:cs="Arial"/>
          <w:color w:val="000000" w:themeColor="text1"/>
          <w:sz w:val="22"/>
          <w:lang w:val="es-ES"/>
        </w:rPr>
        <w:t>SECOP</w:t>
      </w:r>
      <w:r w:rsidR="003231A7">
        <w:rPr>
          <w:rFonts w:ascii="Arial" w:hAnsi="Arial" w:cs="Arial"/>
          <w:color w:val="000000" w:themeColor="text1"/>
          <w:sz w:val="22"/>
          <w:lang w:val="es-ES"/>
        </w:rPr>
        <w:t>–</w:t>
      </w:r>
      <w:r w:rsidRPr="00040B7D">
        <w:rPr>
          <w:rFonts w:ascii="Arial" w:hAnsi="Arial" w:cs="Arial"/>
          <w:color w:val="000000" w:themeColor="text1"/>
          <w:sz w:val="22"/>
          <w:lang w:val="es-ES"/>
        </w:rPr>
        <w:t xml:space="preserve"> «contará con la información oficial de la contratación realizada con dineros públicos, para lo cual establecerá los patrones a que haya lugar y se encargará de su difusión a través de canales electrónicos»</w:t>
      </w:r>
      <w:r w:rsidRPr="00481BD6">
        <w:rPr>
          <w:rStyle w:val="Refdenotaalpie"/>
          <w:rFonts w:ascii="Arial" w:hAnsi="Arial" w:cs="Arial"/>
          <w:color w:val="000000" w:themeColor="text1"/>
          <w:sz w:val="22"/>
        </w:rPr>
        <w:footnoteReference w:id="2"/>
      </w:r>
      <w:r w:rsidRPr="00040B7D">
        <w:rPr>
          <w:rFonts w:ascii="Arial" w:hAnsi="Arial" w:cs="Arial"/>
          <w:color w:val="000000" w:themeColor="text1"/>
          <w:sz w:val="22"/>
          <w:lang w:val="es-ES"/>
        </w:rPr>
        <w:t>.</w:t>
      </w:r>
    </w:p>
    <w:p w14:paraId="51542EA6" w14:textId="7C3B44BE" w:rsidR="00040B7D" w:rsidRPr="00040B7D" w:rsidRDefault="00832BFA" w:rsidP="00AB081F">
      <w:pPr>
        <w:spacing w:before="0"/>
        <w:ind w:firstLine="709"/>
        <w:rPr>
          <w:rFonts w:ascii="Arial" w:hAnsi="Arial" w:cs="Arial"/>
          <w:color w:val="000000" w:themeColor="text1"/>
          <w:sz w:val="22"/>
          <w:lang w:val="es-ES"/>
        </w:rPr>
      </w:pPr>
      <w:r w:rsidRPr="00832BFA">
        <w:rPr>
          <w:rFonts w:ascii="Arial" w:hAnsi="Arial" w:cs="Arial"/>
          <w:color w:val="000000" w:themeColor="text1"/>
          <w:sz w:val="22"/>
          <w:lang w:val="es-MX"/>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832BFA">
        <w:rPr>
          <w:rFonts w:ascii="Arial" w:hAnsi="Arial" w:cs="Arial"/>
          <w:color w:val="000000" w:themeColor="text1"/>
          <w:sz w:val="22"/>
          <w:vertAlign w:val="superscript"/>
          <w:lang w:val="es-MX"/>
        </w:rPr>
        <w:footnoteReference w:id="3"/>
      </w:r>
      <w:r w:rsidRPr="00832BFA">
        <w:rPr>
          <w:rFonts w:ascii="Arial" w:hAnsi="Arial" w:cs="Arial"/>
          <w:color w:val="000000" w:themeColor="text1"/>
          <w:sz w:val="22"/>
          <w:lang w:val="es-MX"/>
        </w:rPr>
        <w:t>. El principio de transparencia en la información alude al deber de los sujetos de proporcionar y facilitar el acceso a la misma en los términos más amplios posibles, y a través de los medios y procedimientos que establezca la ley</w:t>
      </w:r>
      <w:r w:rsidR="00040B7D" w:rsidRPr="00040B7D">
        <w:rPr>
          <w:rFonts w:ascii="Arial" w:hAnsi="Arial" w:cs="Arial"/>
          <w:color w:val="000000" w:themeColor="text1"/>
          <w:sz w:val="22"/>
          <w:lang w:val="es-ES"/>
        </w:rPr>
        <w:t>.</w:t>
      </w:r>
    </w:p>
    <w:p w14:paraId="258E6A3A" w14:textId="5B512EA2" w:rsidR="00040B7D" w:rsidRPr="00040B7D" w:rsidRDefault="00040B7D" w:rsidP="00AB081F">
      <w:pPr>
        <w:spacing w:before="0"/>
        <w:ind w:firstLine="709"/>
        <w:rPr>
          <w:rFonts w:ascii="Arial" w:hAnsi="Arial" w:cs="Arial"/>
          <w:color w:val="000000" w:themeColor="text1"/>
          <w:sz w:val="22"/>
          <w:lang w:val="es-ES"/>
        </w:rPr>
      </w:pPr>
      <w:r w:rsidRPr="00040B7D">
        <w:rPr>
          <w:rFonts w:ascii="Arial" w:hAnsi="Arial" w:cs="Arial"/>
          <w:color w:val="000000" w:themeColor="text1"/>
          <w:sz w:val="22"/>
          <w:lang w:val="es-ES"/>
        </w:rPr>
        <w:t xml:space="preserve">La ley citada establece, en el literal e) del artículo 9, que los sujetos obligados, que son todas </w:t>
      </w:r>
      <w:r w:rsidRPr="009F0D45">
        <w:rPr>
          <w:rFonts w:ascii="Arial" w:hAnsi="Arial" w:cs="Arial"/>
          <w:color w:val="000000" w:themeColor="text1"/>
          <w:sz w:val="22"/>
          <w:lang w:val="es-ES"/>
        </w:rPr>
        <w:t>las entidades públicas</w:t>
      </w:r>
      <w:r w:rsidRPr="00040B7D">
        <w:rPr>
          <w:rFonts w:ascii="Arial" w:hAnsi="Arial" w:cs="Arial"/>
          <w:color w:val="000000" w:themeColor="text1"/>
          <w:sz w:val="22"/>
          <w:lang w:val="es-ES"/>
        </w:rPr>
        <w:t>, deben publicar la información relativa a su contratación</w:t>
      </w:r>
      <w:r w:rsidR="00273423" w:rsidRPr="00481BD6">
        <w:rPr>
          <w:rStyle w:val="Refdenotaalpie"/>
          <w:rFonts w:ascii="Arial" w:hAnsi="Arial" w:cs="Arial"/>
          <w:color w:val="000000" w:themeColor="text1"/>
          <w:sz w:val="22"/>
        </w:rPr>
        <w:footnoteReference w:id="4"/>
      </w:r>
      <w:r w:rsidRPr="00040B7D">
        <w:rPr>
          <w:rFonts w:ascii="Arial" w:hAnsi="Arial" w:cs="Arial"/>
          <w:color w:val="000000" w:themeColor="text1"/>
          <w:sz w:val="22"/>
          <w:lang w:val="es-ES"/>
        </w:rPr>
        <w:t xml:space="preserve">. Esta obligación fue desarrollada por el Decreto Único Reglamentario 1081 de 2015, el cual dispuso que la publicación de la información contractual de los sujetos obligados, que </w:t>
      </w:r>
      <w:r w:rsidRPr="00040B7D">
        <w:rPr>
          <w:rFonts w:ascii="Arial" w:hAnsi="Arial" w:cs="Arial"/>
          <w:color w:val="000000" w:themeColor="text1"/>
          <w:sz w:val="22"/>
          <w:lang w:val="es-ES"/>
        </w:rPr>
        <w:lastRenderedPageBreak/>
        <w:t xml:space="preserve">contratan con cargo a recursos públicos, debe hacerse en el Sistema Electrónico de Contratación Pública </w:t>
      </w:r>
      <w:r w:rsidR="00832BFA">
        <w:rPr>
          <w:rFonts w:ascii="Arial" w:hAnsi="Arial" w:cs="Arial"/>
          <w:color w:val="000000" w:themeColor="text1"/>
          <w:sz w:val="22"/>
          <w:lang w:val="es-ES"/>
        </w:rPr>
        <w:t>–</w:t>
      </w:r>
      <w:r w:rsidRPr="00040B7D">
        <w:rPr>
          <w:rFonts w:ascii="Arial" w:hAnsi="Arial" w:cs="Arial"/>
          <w:color w:val="000000" w:themeColor="text1"/>
          <w:sz w:val="22"/>
          <w:lang w:val="es-ES"/>
        </w:rPr>
        <w:t xml:space="preserve"> SECOP</w:t>
      </w:r>
      <w:r w:rsidR="00273423" w:rsidRPr="00481BD6">
        <w:rPr>
          <w:rStyle w:val="Refdenotaalpie"/>
          <w:rFonts w:ascii="Arial" w:hAnsi="Arial" w:cs="Arial"/>
          <w:color w:val="000000" w:themeColor="text1"/>
          <w:sz w:val="22"/>
        </w:rPr>
        <w:footnoteReference w:id="5"/>
      </w:r>
      <w:r w:rsidRPr="00040B7D">
        <w:rPr>
          <w:rFonts w:ascii="Arial" w:hAnsi="Arial" w:cs="Arial"/>
          <w:color w:val="000000" w:themeColor="text1"/>
          <w:sz w:val="22"/>
          <w:lang w:val="es-ES"/>
        </w:rPr>
        <w:t>.</w:t>
      </w:r>
    </w:p>
    <w:p w14:paraId="638DF754" w14:textId="7728A1D4" w:rsidR="00040B7D" w:rsidRPr="00040B7D" w:rsidRDefault="00040B7D" w:rsidP="00AB081F">
      <w:pPr>
        <w:spacing w:before="0"/>
        <w:ind w:firstLine="709"/>
        <w:rPr>
          <w:rFonts w:ascii="Arial" w:hAnsi="Arial" w:cs="Arial"/>
          <w:color w:val="000000" w:themeColor="text1"/>
          <w:sz w:val="22"/>
          <w:lang w:val="es-ES"/>
        </w:rPr>
      </w:pPr>
      <w:r w:rsidRPr="00040B7D">
        <w:rPr>
          <w:rFonts w:ascii="Arial" w:hAnsi="Arial" w:cs="Arial"/>
          <w:color w:val="000000" w:themeColor="text1"/>
          <w:sz w:val="22"/>
          <w:lang w:val="es-ES"/>
        </w:rPr>
        <w:t>Asimismo, de acuerdo con el literal g) del artículo 11 de la misma Ley, todos los destinatarios de la ley de transparencia deben garantizar la publicidad de «</w:t>
      </w:r>
      <w:r w:rsidR="00CD6CE3">
        <w:rPr>
          <w:rFonts w:ascii="Arial" w:hAnsi="Arial" w:cs="Arial"/>
          <w:color w:val="000000" w:themeColor="text1"/>
          <w:sz w:val="22"/>
          <w:lang w:val="es-ES"/>
        </w:rPr>
        <w:t xml:space="preserve">[…] </w:t>
      </w:r>
      <w:r w:rsidRPr="00040B7D">
        <w:rPr>
          <w:rFonts w:ascii="Arial" w:hAnsi="Arial" w:cs="Arial"/>
          <w:color w:val="000000" w:themeColor="text1"/>
          <w:sz w:val="22"/>
          <w:lang w:val="es-ES"/>
        </w:rPr>
        <w:t>sus procedimientos, lineamientos, políticas en materia de adquisiciones y compras, así como todos los datos de adjudicación y ejecución de contratos, incluidos concursos y licitaciones», y esta información también debe estar en el SECOP.</w:t>
      </w:r>
    </w:p>
    <w:p w14:paraId="56CA36EF" w14:textId="32245063" w:rsidR="00040B7D" w:rsidRPr="00040B7D" w:rsidRDefault="00040B7D" w:rsidP="00AB081F">
      <w:pPr>
        <w:spacing w:before="0"/>
        <w:ind w:firstLine="709"/>
        <w:rPr>
          <w:rFonts w:ascii="Arial" w:hAnsi="Arial" w:cs="Arial"/>
          <w:color w:val="000000" w:themeColor="text1"/>
          <w:sz w:val="22"/>
          <w:lang w:val="es-ES"/>
        </w:rPr>
      </w:pPr>
      <w:r w:rsidRPr="00040B7D">
        <w:rPr>
          <w:rFonts w:ascii="Arial" w:hAnsi="Arial" w:cs="Arial"/>
          <w:color w:val="000000" w:themeColor="text1"/>
          <w:sz w:val="22"/>
          <w:lang w:val="es-ES"/>
        </w:rPr>
        <w:t xml:space="preserve">Para el año 2013, la Agencia Nacional de Contratación Pública ─ Colombia Compra Eficiente, mediante la Circular Externa No 1 del 21 de junio de 2013, recopilada en la Circular Externa Única, recordó a todas </w:t>
      </w:r>
      <w:r w:rsidRPr="009F0D45">
        <w:rPr>
          <w:rFonts w:ascii="Arial" w:hAnsi="Arial" w:cs="Arial"/>
          <w:color w:val="000000" w:themeColor="text1"/>
          <w:sz w:val="22"/>
          <w:lang w:val="es-ES"/>
        </w:rPr>
        <w:t>las entidades del Estado</w:t>
      </w:r>
      <w:r w:rsidRPr="00040B7D">
        <w:rPr>
          <w:rFonts w:ascii="Arial" w:hAnsi="Arial" w:cs="Arial"/>
          <w:color w:val="000000" w:themeColor="text1"/>
          <w:sz w:val="22"/>
          <w:lang w:val="es-ES"/>
        </w:rPr>
        <w:t xml:space="preserve"> el deber de publicar oportunamente su actividad contractual en el SECOP, sin distinción de su régimen jurídico, naturaleza jurídica o la pertenencia a una u otra rama del poder público</w:t>
      </w:r>
      <w:r w:rsidRPr="00481BD6">
        <w:rPr>
          <w:rStyle w:val="Refdenotaalpie"/>
          <w:rFonts w:ascii="Arial" w:hAnsi="Arial" w:cs="Arial"/>
          <w:color w:val="000000" w:themeColor="text1"/>
          <w:sz w:val="22"/>
        </w:rPr>
        <w:footnoteReference w:id="6"/>
      </w:r>
      <w:r w:rsidRPr="00040B7D">
        <w:rPr>
          <w:rFonts w:ascii="Arial" w:hAnsi="Arial" w:cs="Arial"/>
          <w:color w:val="000000" w:themeColor="text1"/>
          <w:sz w:val="22"/>
          <w:lang w:val="es-ES"/>
        </w:rPr>
        <w:t xml:space="preserve">. </w:t>
      </w:r>
    </w:p>
    <w:p w14:paraId="3E2B688F" w14:textId="5AF3422C" w:rsidR="00BE3F62" w:rsidRDefault="00A479F3" w:rsidP="009F0D45">
      <w:pPr>
        <w:spacing w:before="0" w:after="0"/>
        <w:ind w:firstLine="709"/>
        <w:rPr>
          <w:rFonts w:ascii="Arial" w:hAnsi="Arial" w:cs="Arial"/>
          <w:color w:val="000000" w:themeColor="text1"/>
          <w:sz w:val="22"/>
          <w:lang w:val="es-ES"/>
        </w:rPr>
      </w:pPr>
      <w:r>
        <w:rPr>
          <w:rFonts w:ascii="Arial" w:hAnsi="Arial" w:cs="Arial"/>
          <w:color w:val="000000" w:themeColor="text1"/>
          <w:sz w:val="22"/>
          <w:lang w:val="es-ES"/>
        </w:rPr>
        <w:t>El artículo 2.2.1.1.1.7.1. del Decreto 1082 de 2015 determina que «La Entidad Estatal está obligada a publicar en el SECOP</w:t>
      </w:r>
      <w:r w:rsidRPr="00481BD6">
        <w:rPr>
          <w:rFonts w:ascii="Arial" w:hAnsi="Arial" w:cs="Arial"/>
          <w:color w:val="000000" w:themeColor="text1"/>
          <w:sz w:val="22"/>
          <w:lang w:val="es-ES"/>
        </w:rPr>
        <w:t xml:space="preserve"> los Documentos del Proceso y los actos administrativos del Proceso de Contratación, dentro de los tres (3) días siguientes a su expedición […]».</w:t>
      </w:r>
      <w:r w:rsidR="00273423">
        <w:rPr>
          <w:rFonts w:ascii="Arial" w:hAnsi="Arial" w:cs="Arial"/>
          <w:color w:val="000000" w:themeColor="text1"/>
          <w:sz w:val="22"/>
          <w:lang w:val="es-ES"/>
        </w:rPr>
        <w:t xml:space="preserve"> </w:t>
      </w:r>
      <w:r w:rsidRPr="00B44540">
        <w:rPr>
          <w:rFonts w:ascii="Arial" w:hAnsi="Arial" w:cs="Arial"/>
          <w:color w:val="000000" w:themeColor="text1"/>
          <w:sz w:val="22"/>
          <w:lang w:val="es-ES"/>
        </w:rPr>
        <w:t>El término «Entidad Estatal» para efectos del Decreto 1082 de 2015 se encuentra definido 2.2.1.1.1.3.1. y remite para ellos al artículo 2 de la Ley 80 de 1993 y los artículos 10</w:t>
      </w:r>
      <w:r w:rsidR="00CD6CE3">
        <w:rPr>
          <w:rFonts w:ascii="Arial" w:hAnsi="Arial" w:cs="Arial"/>
          <w:color w:val="000000" w:themeColor="text1"/>
          <w:sz w:val="22"/>
          <w:lang w:val="es-ES"/>
        </w:rPr>
        <w:t>,</w:t>
      </w:r>
      <w:r w:rsidRPr="00B44540">
        <w:rPr>
          <w:rFonts w:ascii="Arial" w:hAnsi="Arial" w:cs="Arial"/>
          <w:color w:val="000000" w:themeColor="text1"/>
          <w:sz w:val="22"/>
          <w:lang w:val="es-ES"/>
        </w:rPr>
        <w:t xml:space="preserve"> 14 y 24 de la Ley 1150 de 2007</w:t>
      </w:r>
      <w:r w:rsidR="00BE3F62" w:rsidRPr="00B44540">
        <w:rPr>
          <w:rFonts w:ascii="Arial" w:hAnsi="Arial" w:cs="Arial"/>
          <w:color w:val="000000" w:themeColor="text1"/>
          <w:sz w:val="22"/>
          <w:lang w:val="es-ES"/>
        </w:rPr>
        <w:t>, así como aquellas otras entidades que por disposición legal deban cumplir con el Estatuto General de Contratación. En ese orden de ideas, los sujetos obligados</w:t>
      </w:r>
      <w:r w:rsidR="008D4628" w:rsidRPr="00B44540">
        <w:rPr>
          <w:rFonts w:ascii="Arial" w:hAnsi="Arial" w:cs="Arial"/>
          <w:color w:val="000000" w:themeColor="text1"/>
          <w:sz w:val="22"/>
          <w:lang w:val="es-ES"/>
        </w:rPr>
        <w:t xml:space="preserve"> a publicar en el SECOP</w:t>
      </w:r>
      <w:r w:rsidR="00BE3F62" w:rsidRPr="00B44540">
        <w:rPr>
          <w:rFonts w:ascii="Arial" w:hAnsi="Arial" w:cs="Arial"/>
          <w:color w:val="000000" w:themeColor="text1"/>
          <w:sz w:val="22"/>
          <w:lang w:val="es-ES"/>
        </w:rPr>
        <w:t xml:space="preserve"> son las entidades estatales, bien sea en el sentido del Estatuto General de Contratación de la Administración Pública</w:t>
      </w:r>
      <w:r w:rsidR="00CD6CE3">
        <w:rPr>
          <w:rFonts w:ascii="Arial" w:hAnsi="Arial" w:cs="Arial"/>
          <w:color w:val="000000" w:themeColor="text1"/>
          <w:sz w:val="22"/>
          <w:lang w:val="es-ES"/>
        </w:rPr>
        <w:t xml:space="preserve"> y el </w:t>
      </w:r>
      <w:r w:rsidR="00CD6CE3" w:rsidRPr="00B44540">
        <w:rPr>
          <w:rFonts w:ascii="Arial" w:hAnsi="Arial" w:cs="Arial"/>
          <w:color w:val="000000" w:themeColor="text1"/>
          <w:sz w:val="22"/>
          <w:lang w:val="es-ES"/>
        </w:rPr>
        <w:t>Decreto 1082 de 2015</w:t>
      </w:r>
      <w:r w:rsidR="00BE3F62" w:rsidRPr="00B44540">
        <w:rPr>
          <w:rFonts w:ascii="Arial" w:hAnsi="Arial" w:cs="Arial"/>
          <w:color w:val="000000" w:themeColor="text1"/>
          <w:sz w:val="22"/>
          <w:lang w:val="es-ES"/>
        </w:rPr>
        <w:t>, o en el sentido más amplio de</w:t>
      </w:r>
      <w:r w:rsidR="00273423">
        <w:rPr>
          <w:rFonts w:ascii="Arial" w:hAnsi="Arial" w:cs="Arial"/>
          <w:color w:val="000000" w:themeColor="text1"/>
          <w:sz w:val="22"/>
          <w:lang w:val="es-ES"/>
        </w:rPr>
        <w:t xml:space="preserve"> la</w:t>
      </w:r>
      <w:r w:rsidR="00BE3F62" w:rsidRPr="00B44540">
        <w:rPr>
          <w:rFonts w:ascii="Arial" w:hAnsi="Arial" w:cs="Arial"/>
          <w:color w:val="000000" w:themeColor="text1"/>
          <w:sz w:val="22"/>
          <w:lang w:val="es-ES"/>
        </w:rPr>
        <w:t xml:space="preserve"> </w:t>
      </w:r>
      <w:r w:rsidR="00273423">
        <w:rPr>
          <w:rFonts w:ascii="Arial" w:hAnsi="Arial" w:cs="Arial"/>
          <w:color w:val="000000" w:themeColor="text1"/>
          <w:sz w:val="22"/>
          <w:lang w:val="es-ES"/>
        </w:rPr>
        <w:t>Ley</w:t>
      </w:r>
      <w:r w:rsidR="00BE3F62" w:rsidRPr="00B44540">
        <w:rPr>
          <w:rFonts w:ascii="Arial" w:hAnsi="Arial" w:cs="Arial"/>
          <w:color w:val="000000" w:themeColor="text1"/>
          <w:sz w:val="22"/>
          <w:lang w:val="es-ES"/>
        </w:rPr>
        <w:t xml:space="preserve"> 1712 de 2015.</w:t>
      </w:r>
      <w:r w:rsidR="00BE3F62">
        <w:rPr>
          <w:rFonts w:ascii="Arial" w:hAnsi="Arial" w:cs="Arial"/>
          <w:color w:val="000000" w:themeColor="text1"/>
          <w:sz w:val="22"/>
          <w:lang w:val="es-ES"/>
        </w:rPr>
        <w:t xml:space="preserve"> </w:t>
      </w:r>
    </w:p>
    <w:p w14:paraId="5B859A62" w14:textId="77777777" w:rsidR="00576C61" w:rsidRDefault="00576C61" w:rsidP="009F0D45">
      <w:pPr>
        <w:spacing w:before="0" w:after="0"/>
        <w:rPr>
          <w:rFonts w:ascii="Arial" w:hAnsi="Arial" w:cs="Arial"/>
          <w:color w:val="000000" w:themeColor="text1"/>
          <w:sz w:val="22"/>
          <w:lang w:val="es-ES"/>
        </w:rPr>
      </w:pPr>
    </w:p>
    <w:p w14:paraId="54C5AC91" w14:textId="238C6183" w:rsidR="00040B7D" w:rsidRPr="00040B7D" w:rsidRDefault="00040B7D" w:rsidP="009F0D45">
      <w:pPr>
        <w:spacing w:before="0" w:after="0"/>
        <w:rPr>
          <w:rFonts w:ascii="Arial" w:hAnsi="Arial" w:cs="Arial"/>
          <w:b/>
          <w:bCs/>
          <w:color w:val="000000" w:themeColor="text1"/>
          <w:sz w:val="22"/>
          <w:lang w:val="es-ES"/>
        </w:rPr>
      </w:pPr>
      <w:r w:rsidRPr="00040B7D">
        <w:rPr>
          <w:rFonts w:ascii="Arial" w:hAnsi="Arial" w:cs="Arial"/>
          <w:b/>
          <w:bCs/>
          <w:color w:val="000000" w:themeColor="text1"/>
          <w:sz w:val="22"/>
          <w:lang w:val="es-ES"/>
        </w:rPr>
        <w:t xml:space="preserve">2.2. Obligatoriedad del uso de la plataforma SECOP II para el año 2020 </w:t>
      </w:r>
    </w:p>
    <w:p w14:paraId="3E7A159C" w14:textId="77777777" w:rsidR="00040B7D" w:rsidRPr="00040B7D" w:rsidRDefault="00040B7D" w:rsidP="009F0D45">
      <w:pPr>
        <w:spacing w:before="0" w:after="0"/>
        <w:rPr>
          <w:rFonts w:ascii="Arial" w:hAnsi="Arial" w:cs="Arial"/>
          <w:color w:val="000000" w:themeColor="text1"/>
          <w:sz w:val="22"/>
          <w:lang w:val="es-ES"/>
        </w:rPr>
      </w:pPr>
    </w:p>
    <w:p w14:paraId="330D1915" w14:textId="77777777" w:rsidR="00040B7D" w:rsidRPr="00040B7D" w:rsidRDefault="00040B7D" w:rsidP="00E01EC8">
      <w:pPr>
        <w:spacing w:before="0"/>
        <w:rPr>
          <w:rFonts w:ascii="Arial" w:hAnsi="Arial" w:cs="Arial"/>
          <w:color w:val="000000" w:themeColor="text1"/>
          <w:sz w:val="22"/>
          <w:lang w:val="es-ES"/>
        </w:rPr>
      </w:pPr>
      <w:r w:rsidRPr="00040B7D">
        <w:rPr>
          <w:rFonts w:ascii="Arial" w:hAnsi="Arial" w:cs="Arial"/>
          <w:color w:val="000000" w:themeColor="text1"/>
          <w:sz w:val="22"/>
          <w:lang w:val="es-ES"/>
        </w:rPr>
        <w:t>La Agencia Nacional de Contratación Pública ─ Colombia Compra Eficiente tiene como función la administración del SECOP</w:t>
      </w:r>
      <w:r w:rsidRPr="00481BD6">
        <w:rPr>
          <w:rStyle w:val="Refdenotaalpie"/>
          <w:rFonts w:ascii="Arial" w:hAnsi="Arial" w:cs="Arial"/>
          <w:color w:val="000000" w:themeColor="text1"/>
          <w:sz w:val="22"/>
        </w:rPr>
        <w:footnoteReference w:id="7"/>
      </w:r>
      <w:r w:rsidRPr="00040B7D">
        <w:rPr>
          <w:rFonts w:ascii="Arial" w:hAnsi="Arial" w:cs="Arial"/>
          <w:color w:val="000000" w:themeColor="text1"/>
          <w:sz w:val="22"/>
          <w:lang w:val="es-ES"/>
        </w:rPr>
        <w:t>, por lo cual se desarrolló la primera versión  ─SECOP I─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1887FC0B" w14:textId="77777777" w:rsidR="00040B7D" w:rsidRPr="00040B7D" w:rsidRDefault="00040B7D" w:rsidP="00AB081F">
      <w:pPr>
        <w:spacing w:before="0"/>
        <w:ind w:firstLine="709"/>
        <w:rPr>
          <w:rFonts w:ascii="Arial" w:hAnsi="Arial" w:cs="Arial"/>
          <w:color w:val="000000" w:themeColor="text1"/>
          <w:sz w:val="22"/>
          <w:lang w:val="es-ES"/>
        </w:rPr>
      </w:pPr>
      <w:r w:rsidRPr="00040B7D">
        <w:rPr>
          <w:rFonts w:ascii="Arial" w:hAnsi="Arial" w:cs="Arial"/>
          <w:color w:val="000000" w:themeColor="text1"/>
          <w:sz w:val="22"/>
          <w:lang w:val="es-ES"/>
        </w:rPr>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300510B2" w14:textId="5B9BA1C6" w:rsidR="00A95265" w:rsidRPr="00040B7D" w:rsidRDefault="00040B7D" w:rsidP="00AB081F">
      <w:pPr>
        <w:spacing w:before="0"/>
        <w:ind w:firstLine="709"/>
        <w:rPr>
          <w:rFonts w:ascii="Arial" w:hAnsi="Arial" w:cs="Arial"/>
          <w:color w:val="000000" w:themeColor="text1"/>
          <w:sz w:val="22"/>
          <w:lang w:val="es-ES"/>
        </w:rPr>
      </w:pPr>
      <w:r w:rsidRPr="00040B7D">
        <w:rPr>
          <w:rFonts w:ascii="Arial" w:hAnsi="Arial" w:cs="Arial"/>
          <w:color w:val="000000" w:themeColor="text1"/>
          <w:sz w:val="22"/>
          <w:lang w:val="es-ES"/>
        </w:rPr>
        <w:t xml:space="preserve">En un primer momento, esto es, antes del año 2020, el SECOP II solo era obligatorio, en general, para la rama ejecutiva del nivel nacional y Bogotá, y todavía era opcional para los municipios y departamentos. Esto </w:t>
      </w:r>
      <w:r w:rsidR="00576C61">
        <w:rPr>
          <w:rFonts w:ascii="Arial" w:hAnsi="Arial" w:cs="Arial"/>
          <w:color w:val="000000" w:themeColor="text1"/>
          <w:sz w:val="22"/>
          <w:lang w:val="es-ES"/>
        </w:rPr>
        <w:t>como consecuencia del</w:t>
      </w:r>
      <w:r w:rsidRPr="00040B7D">
        <w:rPr>
          <w:rFonts w:ascii="Arial" w:hAnsi="Arial" w:cs="Arial"/>
          <w:color w:val="000000" w:themeColor="text1"/>
          <w:sz w:val="22"/>
          <w:lang w:val="es-ES"/>
        </w:rPr>
        <w:t xml:space="preserve"> proyecto interno de despliegue de la plataforma, que incluye una transición mediante formaciones teóricas y prácticas y capacitaciones virtuales y presenciales, que finaliza con la deshabilitación del SECOP I, con el propósito de que las entidades adopten la plataforma y conozcan su funcionamiento.</w:t>
      </w:r>
    </w:p>
    <w:p w14:paraId="3FA65EBD" w14:textId="2EDF4B47" w:rsidR="00040B7D" w:rsidRPr="00040B7D" w:rsidRDefault="00040B7D" w:rsidP="009F0D45">
      <w:pPr>
        <w:spacing w:before="0" w:after="0"/>
        <w:ind w:firstLine="709"/>
        <w:rPr>
          <w:rFonts w:ascii="Arial" w:hAnsi="Arial" w:cs="Arial"/>
          <w:color w:val="000000" w:themeColor="text1"/>
          <w:sz w:val="22"/>
          <w:lang w:val="es-ES"/>
        </w:rPr>
      </w:pPr>
      <w:r w:rsidRPr="00040B7D">
        <w:rPr>
          <w:rFonts w:ascii="Arial" w:hAnsi="Arial" w:cs="Arial"/>
          <w:color w:val="000000" w:themeColor="text1"/>
          <w:sz w:val="22"/>
          <w:lang w:val="es-ES"/>
        </w:rPr>
        <w:t xml:space="preserve">Ahora, </w:t>
      </w:r>
      <w:r w:rsidR="00576C61">
        <w:rPr>
          <w:rFonts w:ascii="Arial" w:hAnsi="Arial" w:cs="Arial"/>
          <w:color w:val="000000" w:themeColor="text1"/>
          <w:sz w:val="22"/>
          <w:lang w:val="es-ES"/>
        </w:rPr>
        <w:t>habida</w:t>
      </w:r>
      <w:r w:rsidRPr="00040B7D">
        <w:rPr>
          <w:rFonts w:ascii="Arial" w:hAnsi="Arial" w:cs="Arial"/>
          <w:color w:val="000000" w:themeColor="text1"/>
          <w:sz w:val="22"/>
          <w:lang w:val="es-ES"/>
        </w:rPr>
        <w:t xml:space="preserve"> cuenta</w:t>
      </w:r>
      <w:r w:rsidR="00576C61">
        <w:rPr>
          <w:rFonts w:ascii="Arial" w:hAnsi="Arial" w:cs="Arial"/>
          <w:color w:val="000000" w:themeColor="text1"/>
          <w:sz w:val="22"/>
          <w:lang w:val="es-ES"/>
        </w:rPr>
        <w:t xml:space="preserve"> de</w:t>
      </w:r>
      <w:r w:rsidRPr="00040B7D">
        <w:rPr>
          <w:rFonts w:ascii="Arial" w:hAnsi="Arial" w:cs="Arial"/>
          <w:color w:val="000000" w:themeColor="text1"/>
          <w:sz w:val="22"/>
          <w:lang w:val="es-ES"/>
        </w:rPr>
        <w:t xml:space="preserve"> que la Agencia Nacional de Contratación Pública ─ Colombia Compra Eficiente realizó el despliegue del SECOP II a nivel territorial en el 2018 y 2019, se expidió la Circular Externa No. 1 del 22 de agosto de 2019 sobre la obligatoriedad del uso del SECOP II en el 2020, que dispone: </w:t>
      </w:r>
    </w:p>
    <w:p w14:paraId="6C8D3FD7" w14:textId="77777777" w:rsidR="00040B7D" w:rsidRPr="00040B7D" w:rsidRDefault="00040B7D" w:rsidP="009F0D45">
      <w:pPr>
        <w:spacing w:before="0" w:after="0"/>
        <w:rPr>
          <w:rFonts w:ascii="Arial" w:hAnsi="Arial" w:cs="Arial"/>
          <w:color w:val="000000" w:themeColor="text1"/>
          <w:sz w:val="22"/>
          <w:lang w:val="es-ES"/>
        </w:rPr>
      </w:pPr>
    </w:p>
    <w:p w14:paraId="01D70A61" w14:textId="77777777" w:rsidR="00040B7D" w:rsidRPr="00040B7D" w:rsidRDefault="00040B7D" w:rsidP="009F0D45">
      <w:pPr>
        <w:spacing w:before="0" w:after="0" w:line="240" w:lineRule="auto"/>
        <w:ind w:left="709" w:right="709"/>
        <w:rPr>
          <w:rFonts w:ascii="Arial" w:hAnsi="Arial" w:cs="Arial"/>
          <w:color w:val="000000" w:themeColor="text1"/>
          <w:sz w:val="21"/>
          <w:szCs w:val="21"/>
          <w:lang w:val="es-ES"/>
        </w:rPr>
      </w:pPr>
      <w:r w:rsidRPr="00040B7D">
        <w:rPr>
          <w:rFonts w:ascii="Arial" w:hAnsi="Arial" w:cs="Arial"/>
          <w:color w:val="000000" w:themeColor="text1"/>
          <w:sz w:val="21"/>
          <w:szCs w:val="21"/>
          <w:lang w:val="es-ES"/>
        </w:rPr>
        <w:t xml:space="preserve">A partir del 1 de enero de 2020, todos los procesos de contratación de las entidades relacionadas en el Anexo 1 de esta circular deberán gestionarse, </w:t>
      </w:r>
      <w:r w:rsidRPr="00040B7D">
        <w:rPr>
          <w:rFonts w:ascii="Arial" w:hAnsi="Arial" w:cs="Arial"/>
          <w:color w:val="000000" w:themeColor="text1"/>
          <w:sz w:val="21"/>
          <w:szCs w:val="21"/>
          <w:lang w:val="es-ES"/>
        </w:rPr>
        <w:lastRenderedPageBreak/>
        <w:t>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 cuantía).</w:t>
      </w:r>
    </w:p>
    <w:p w14:paraId="31B5D4AD" w14:textId="77777777" w:rsidR="00040B7D" w:rsidRPr="00040B7D" w:rsidRDefault="00040B7D" w:rsidP="009F0D45">
      <w:pPr>
        <w:spacing w:before="0" w:after="0"/>
        <w:rPr>
          <w:rFonts w:ascii="Arial" w:hAnsi="Arial" w:cs="Arial"/>
          <w:color w:val="000000" w:themeColor="text1"/>
          <w:sz w:val="22"/>
          <w:lang w:val="es-ES"/>
        </w:rPr>
      </w:pPr>
    </w:p>
    <w:p w14:paraId="27ACB57C" w14:textId="5BCA8598" w:rsidR="00040B7D" w:rsidRPr="00481BD6" w:rsidRDefault="00040B7D" w:rsidP="00AB081F">
      <w:pPr>
        <w:spacing w:before="0"/>
        <w:ind w:firstLine="708"/>
        <w:rPr>
          <w:rFonts w:ascii="Arial" w:eastAsia="Calibri" w:hAnsi="Arial" w:cs="Arial"/>
          <w:color w:val="000000" w:themeColor="text1"/>
          <w:sz w:val="22"/>
          <w:lang w:val="es-ES"/>
        </w:rPr>
      </w:pPr>
      <w:r w:rsidRPr="00040B7D">
        <w:rPr>
          <w:rFonts w:ascii="Arial" w:hAnsi="Arial" w:cs="Arial"/>
          <w:color w:val="000000" w:themeColor="text1"/>
          <w:sz w:val="22"/>
          <w:lang w:val="es-ES"/>
        </w:rPr>
        <w:t xml:space="preserve">Posteriormente, mediante la Circular Externa No. 2 del 23 de diciembre de 2019 se dispuso que «[…] con el propósito de que las entidades territoriales incluidas en el Anexo 1 de la Circular Externa No. 1 de 2019 se preparen adecuadamente para adoptar el SECOP ll, y teniendo en cuenta que las nuevas administraciones públicas asumen funciones el 1 de enero de 2020, se amplía para ellas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 </w:t>
      </w:r>
      <w:r w:rsidRPr="00481BD6">
        <w:rPr>
          <w:rFonts w:ascii="Arial" w:eastAsia="Calibri" w:hAnsi="Arial" w:cs="Arial"/>
          <w:color w:val="000000" w:themeColor="text1"/>
          <w:sz w:val="22"/>
          <w:lang w:val="es-ES"/>
        </w:rPr>
        <w:t xml:space="preserve">Con todo, </w:t>
      </w:r>
      <w:r w:rsidR="00576C61" w:rsidRPr="00481BD6">
        <w:rPr>
          <w:rFonts w:ascii="Arial" w:eastAsia="Calibri" w:hAnsi="Arial" w:cs="Arial"/>
          <w:color w:val="000000" w:themeColor="text1"/>
          <w:sz w:val="22"/>
          <w:lang w:val="es-ES"/>
        </w:rPr>
        <w:t>de acuerdo con</w:t>
      </w:r>
      <w:r w:rsidRPr="00481BD6">
        <w:rPr>
          <w:rFonts w:ascii="Arial" w:eastAsia="Calibri" w:hAnsi="Arial" w:cs="Arial"/>
          <w:color w:val="000000" w:themeColor="text1"/>
          <w:sz w:val="22"/>
          <w:lang w:val="es-ES"/>
        </w:rPr>
        <w:t xml:space="preserve">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27BB2F37" w14:textId="77777777" w:rsidR="00040B7D" w:rsidRPr="00481BD6" w:rsidRDefault="00040B7D" w:rsidP="009F0D45">
      <w:pPr>
        <w:spacing w:before="0" w:after="0"/>
        <w:ind w:firstLine="708"/>
        <w:rPr>
          <w:rFonts w:ascii="Arial" w:eastAsia="Calibri" w:hAnsi="Arial" w:cs="Arial"/>
          <w:color w:val="000000" w:themeColor="text1"/>
          <w:sz w:val="22"/>
          <w:lang w:val="es-ES"/>
        </w:rPr>
      </w:pPr>
      <w:r w:rsidRPr="00481BD6">
        <w:rPr>
          <w:rFonts w:ascii="Arial" w:eastAsia="Calibri" w:hAnsi="Arial" w:cs="Arial"/>
          <w:color w:val="000000" w:themeColor="text1"/>
          <w:sz w:val="22"/>
          <w:lang w:val="es-ES"/>
        </w:rPr>
        <w:t>Los primeros, porque no alcanzaron a ser capacitados en el uso de la plataforma SECOP II, habida cuenta que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p>
    <w:p w14:paraId="5AA329B4" w14:textId="77777777" w:rsidR="00040B7D" w:rsidRPr="00481BD6" w:rsidRDefault="00040B7D" w:rsidP="009F0D45">
      <w:pPr>
        <w:spacing w:before="0" w:after="0"/>
        <w:rPr>
          <w:rFonts w:ascii="Arial" w:hAnsi="Arial" w:cs="Arial"/>
          <w:b/>
          <w:bCs/>
          <w:color w:val="000000" w:themeColor="text1"/>
          <w:sz w:val="22"/>
          <w:lang w:val="es-ES"/>
        </w:rPr>
      </w:pPr>
    </w:p>
    <w:p w14:paraId="1211E267" w14:textId="2FEE88C2" w:rsidR="00C94866" w:rsidRDefault="00040B7D" w:rsidP="009F0D45">
      <w:pPr>
        <w:spacing w:before="0" w:after="0"/>
        <w:rPr>
          <w:rFonts w:ascii="Arial" w:hAnsi="Arial" w:cs="Arial"/>
          <w:b/>
          <w:bCs/>
          <w:color w:val="000000" w:themeColor="text1"/>
          <w:sz w:val="22"/>
          <w:lang w:val="es-ES"/>
        </w:rPr>
      </w:pPr>
      <w:r w:rsidRPr="00481BD6">
        <w:rPr>
          <w:rFonts w:ascii="Arial" w:hAnsi="Arial" w:cs="Arial"/>
          <w:b/>
          <w:bCs/>
          <w:color w:val="000000" w:themeColor="text1"/>
          <w:sz w:val="22"/>
          <w:lang w:val="es-ES"/>
        </w:rPr>
        <w:t xml:space="preserve">2.3. Publicidad de los contratos fiduciarios </w:t>
      </w:r>
    </w:p>
    <w:p w14:paraId="547DF63C" w14:textId="77777777" w:rsidR="00C94866" w:rsidRDefault="00C94866" w:rsidP="009F0D45">
      <w:pPr>
        <w:spacing w:before="0" w:after="0"/>
        <w:rPr>
          <w:rFonts w:ascii="Arial" w:hAnsi="Arial" w:cs="Arial"/>
          <w:b/>
          <w:bCs/>
          <w:color w:val="000000" w:themeColor="text1"/>
          <w:sz w:val="22"/>
          <w:lang w:val="es-ES"/>
        </w:rPr>
      </w:pPr>
    </w:p>
    <w:p w14:paraId="47761027" w14:textId="413E87C6" w:rsidR="00040B7D" w:rsidRPr="00481BD6" w:rsidRDefault="00C94866" w:rsidP="009F0D45">
      <w:pPr>
        <w:spacing w:before="0" w:after="0"/>
        <w:rPr>
          <w:rFonts w:ascii="Arial" w:eastAsia="Calibri" w:hAnsi="Arial" w:cs="Arial"/>
          <w:color w:val="000000" w:themeColor="text1"/>
          <w:sz w:val="22"/>
          <w:lang w:val="es-ES"/>
        </w:rPr>
      </w:pPr>
      <w:r>
        <w:rPr>
          <w:rFonts w:ascii="Arial" w:hAnsi="Arial" w:cs="Arial"/>
          <w:color w:val="000000" w:themeColor="text1"/>
          <w:sz w:val="22"/>
          <w:lang w:val="es-ES"/>
        </w:rPr>
        <w:t>En relación con los contratos fiduciarios, en e</w:t>
      </w:r>
      <w:r w:rsidR="00040B7D" w:rsidRPr="00481BD6">
        <w:rPr>
          <w:rFonts w:ascii="Arial" w:eastAsia="Calibri" w:hAnsi="Arial" w:cs="Arial"/>
          <w:color w:val="000000" w:themeColor="text1"/>
          <w:sz w:val="22"/>
          <w:lang w:val="es-ES"/>
        </w:rPr>
        <w:t>l literal e) de</w:t>
      </w:r>
      <w:r w:rsidR="00165D2A">
        <w:rPr>
          <w:rFonts w:ascii="Arial" w:eastAsia="Calibri" w:hAnsi="Arial" w:cs="Arial"/>
          <w:color w:val="000000" w:themeColor="text1"/>
          <w:sz w:val="22"/>
          <w:lang w:val="es-ES"/>
        </w:rPr>
        <w:t>l numeral 1.8 de</w:t>
      </w:r>
      <w:r w:rsidR="00040B7D" w:rsidRPr="00481BD6">
        <w:rPr>
          <w:rFonts w:ascii="Arial" w:eastAsia="Calibri" w:hAnsi="Arial" w:cs="Arial"/>
          <w:color w:val="000000" w:themeColor="text1"/>
          <w:sz w:val="22"/>
          <w:lang w:val="es-ES"/>
        </w:rPr>
        <w:t xml:space="preserve"> </w:t>
      </w:r>
      <w:r w:rsidR="00576C61">
        <w:rPr>
          <w:rFonts w:ascii="Arial" w:eastAsia="Calibri" w:hAnsi="Arial" w:cs="Arial"/>
          <w:color w:val="000000" w:themeColor="text1"/>
          <w:sz w:val="22"/>
          <w:lang w:val="es-ES"/>
        </w:rPr>
        <w:t>la</w:t>
      </w:r>
      <w:r w:rsidR="00040B7D" w:rsidRPr="00481BD6">
        <w:rPr>
          <w:rFonts w:ascii="Arial" w:eastAsia="Calibri" w:hAnsi="Arial" w:cs="Arial"/>
          <w:color w:val="000000" w:themeColor="text1"/>
          <w:sz w:val="22"/>
          <w:lang w:val="es-ES"/>
        </w:rPr>
        <w:t xml:space="preserve"> Circular </w:t>
      </w:r>
      <w:r w:rsidR="006E4596">
        <w:rPr>
          <w:rFonts w:ascii="Arial" w:eastAsia="Calibri" w:hAnsi="Arial" w:cs="Arial"/>
          <w:color w:val="000000" w:themeColor="text1"/>
          <w:sz w:val="22"/>
          <w:lang w:val="es-ES"/>
        </w:rPr>
        <w:t xml:space="preserve">Externa </w:t>
      </w:r>
      <w:r w:rsidR="00576C61">
        <w:rPr>
          <w:rFonts w:ascii="Arial" w:eastAsia="Calibri" w:hAnsi="Arial" w:cs="Arial"/>
          <w:color w:val="000000" w:themeColor="text1"/>
          <w:sz w:val="22"/>
          <w:lang w:val="es-ES"/>
        </w:rPr>
        <w:t xml:space="preserve">Única de Colombia Compra Eficiente </w:t>
      </w:r>
      <w:r w:rsidR="00040B7D" w:rsidRPr="00481BD6">
        <w:rPr>
          <w:rFonts w:ascii="Arial" w:eastAsia="Calibri" w:hAnsi="Arial" w:cs="Arial"/>
          <w:color w:val="000000" w:themeColor="text1"/>
          <w:sz w:val="22"/>
          <w:lang w:val="es-ES"/>
        </w:rPr>
        <w:t>establece lo siguiente:</w:t>
      </w:r>
    </w:p>
    <w:p w14:paraId="17568442" w14:textId="77777777" w:rsidR="00040B7D" w:rsidRPr="00481BD6" w:rsidRDefault="00040B7D" w:rsidP="00321A65">
      <w:pPr>
        <w:spacing w:before="0" w:line="240" w:lineRule="auto"/>
        <w:ind w:firstLine="709"/>
        <w:rPr>
          <w:rFonts w:ascii="Arial" w:eastAsia="Calibri" w:hAnsi="Arial" w:cs="Arial"/>
          <w:color w:val="000000" w:themeColor="text1"/>
          <w:sz w:val="22"/>
          <w:lang w:val="es-ES"/>
        </w:rPr>
      </w:pPr>
    </w:p>
    <w:p w14:paraId="503F0D3D" w14:textId="16EB7F17" w:rsidR="008D4628" w:rsidRDefault="00040B7D" w:rsidP="009F0D45">
      <w:pPr>
        <w:spacing w:before="0" w:after="0" w:line="240" w:lineRule="auto"/>
        <w:ind w:left="709" w:right="709"/>
        <w:rPr>
          <w:rFonts w:ascii="Arial" w:eastAsia="Calibri" w:hAnsi="Arial" w:cs="Arial"/>
          <w:color w:val="000000" w:themeColor="text1"/>
          <w:sz w:val="21"/>
          <w:szCs w:val="21"/>
          <w:lang w:val="es-ES"/>
        </w:rPr>
      </w:pPr>
      <w:r w:rsidRPr="00481BD6">
        <w:rPr>
          <w:rFonts w:ascii="Arial" w:eastAsia="Calibri" w:hAnsi="Arial" w:cs="Arial"/>
          <w:color w:val="000000" w:themeColor="text1"/>
          <w:sz w:val="21"/>
          <w:szCs w:val="21"/>
          <w:lang w:val="es-ES"/>
        </w:rPr>
        <w:t xml:space="preserve">(e) El SECOP debe contar con la información oficial de la contratación realizada con recursos públicos. </w:t>
      </w:r>
      <w:r w:rsidRPr="00481BD6">
        <w:rPr>
          <w:rFonts w:ascii="Arial" w:eastAsia="Calibri" w:hAnsi="Arial" w:cs="Arial"/>
          <w:i/>
          <w:iCs/>
          <w:color w:val="000000" w:themeColor="text1"/>
          <w:sz w:val="21"/>
          <w:szCs w:val="21"/>
          <w:lang w:val="es-ES"/>
        </w:rPr>
        <w:t>Los contratos fiduciarios entendidos como los suscritos entre la Entidad Estatal y la fiduciaria deberán ser publicados por la Entidad Estatal que lo suscriba</w:t>
      </w:r>
      <w:r w:rsidRPr="00481BD6">
        <w:rPr>
          <w:rFonts w:ascii="Arial" w:eastAsia="Calibri" w:hAnsi="Arial" w:cs="Arial"/>
          <w:color w:val="000000" w:themeColor="text1"/>
          <w:sz w:val="21"/>
          <w:szCs w:val="21"/>
          <w:lang w:val="es-ES"/>
        </w:rPr>
        <w:t xml:space="preserve">. Los contratos que realice la fiduciaria en virtud del contrato de fiducia o encargo fiduciario, es decir, la contratación derivada, </w:t>
      </w:r>
      <w:r w:rsidRPr="00481BD6">
        <w:rPr>
          <w:rFonts w:ascii="Arial" w:eastAsia="Calibri" w:hAnsi="Arial" w:cs="Arial"/>
          <w:color w:val="000000" w:themeColor="text1"/>
          <w:sz w:val="21"/>
          <w:szCs w:val="21"/>
          <w:lang w:val="es-ES"/>
        </w:rPr>
        <w:lastRenderedPageBreak/>
        <w:t>también deberán ser publicados por la Entidad Estatal con la intervención de la fiduciaria para efectos de la firma del contrato.</w:t>
      </w:r>
      <w:r w:rsidR="008D4628" w:rsidRPr="008D4628">
        <w:rPr>
          <w:rFonts w:ascii="Arial" w:eastAsia="Calibri" w:hAnsi="Arial" w:cs="Arial"/>
          <w:color w:val="000000" w:themeColor="text1"/>
          <w:sz w:val="21"/>
          <w:szCs w:val="21"/>
          <w:lang w:val="es-ES"/>
        </w:rPr>
        <w:t xml:space="preserve"> </w:t>
      </w:r>
    </w:p>
    <w:p w14:paraId="7A17074B" w14:textId="4D2A0561" w:rsidR="008D4628" w:rsidRDefault="008D4628" w:rsidP="00321A65">
      <w:pPr>
        <w:spacing w:before="0" w:line="240" w:lineRule="auto"/>
        <w:ind w:left="709" w:right="709"/>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p>
    <w:p w14:paraId="246C2499" w14:textId="5CE1D402" w:rsidR="008D4628" w:rsidRPr="008D4628" w:rsidRDefault="008D4628" w:rsidP="009F0D45">
      <w:pPr>
        <w:spacing w:before="0" w:after="0" w:line="240" w:lineRule="auto"/>
        <w:ind w:left="709" w:right="709"/>
        <w:rPr>
          <w:rFonts w:ascii="Arial" w:eastAsia="Calibri" w:hAnsi="Arial" w:cs="Arial"/>
          <w:color w:val="000000" w:themeColor="text1"/>
          <w:sz w:val="21"/>
          <w:szCs w:val="21"/>
          <w:lang w:val="es-ES"/>
        </w:rPr>
      </w:pPr>
      <w:r w:rsidRPr="008D4628">
        <w:rPr>
          <w:rFonts w:ascii="Arial" w:eastAsia="Calibri" w:hAnsi="Arial" w:cs="Arial"/>
          <w:color w:val="000000" w:themeColor="text1"/>
          <w:sz w:val="21"/>
          <w:szCs w:val="21"/>
          <w:lang w:val="es-ES"/>
        </w:rPr>
        <w:t xml:space="preserve">En el caso de que la Entidad Estatal se niegue a publicar la contratación derivada con la intervención de la fiduciaria para efectos de la firma del contrato, la fiduciaria que actúe como vocero de los patrimonios autónomos en calidad de contratante, debe publicar toda la actividad contractual derivada en el SECOP I mediante una cuenta de entidad compradora en el módulo de régimen especial. En este caso Colombia Compra Eficiente recomienda que se cree una cuenta por patrimonio autónomo con la información correspondiente de la fiduciaria en su calidad de vocero. </w:t>
      </w:r>
      <w:r w:rsidR="00FB3511">
        <w:rPr>
          <w:rFonts w:ascii="Arial" w:eastAsia="Calibri" w:hAnsi="Arial" w:cs="Arial"/>
          <w:color w:val="000000" w:themeColor="text1"/>
          <w:sz w:val="21"/>
          <w:szCs w:val="21"/>
          <w:lang w:val="es-ES"/>
        </w:rPr>
        <w:t>(Cursiva fuera de texto)</w:t>
      </w:r>
    </w:p>
    <w:p w14:paraId="601D2E75" w14:textId="3977DB16" w:rsidR="008D4628" w:rsidRDefault="008D4628" w:rsidP="009F0D45">
      <w:pPr>
        <w:spacing w:before="0" w:after="0" w:line="240" w:lineRule="auto"/>
        <w:ind w:left="709" w:right="709"/>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p>
    <w:p w14:paraId="7C7A8329" w14:textId="77777777" w:rsidR="00040B7D" w:rsidRPr="00481BD6" w:rsidRDefault="00040B7D" w:rsidP="009F0D45">
      <w:pPr>
        <w:spacing w:before="0" w:after="0"/>
        <w:ind w:firstLine="709"/>
        <w:rPr>
          <w:rFonts w:ascii="Arial" w:eastAsia="Calibri" w:hAnsi="Arial" w:cs="Arial"/>
          <w:color w:val="000000" w:themeColor="text1"/>
          <w:sz w:val="22"/>
          <w:lang w:val="es-ES"/>
        </w:rPr>
      </w:pPr>
    </w:p>
    <w:p w14:paraId="71B5B188" w14:textId="3F988B3F" w:rsidR="008D4628" w:rsidRPr="00B44540" w:rsidRDefault="00040B7D" w:rsidP="00B126EE">
      <w:pPr>
        <w:spacing w:before="0"/>
        <w:ind w:firstLine="709"/>
        <w:rPr>
          <w:rFonts w:ascii="Arial" w:hAnsi="Arial" w:cs="Arial"/>
          <w:color w:val="000000" w:themeColor="text1"/>
          <w:sz w:val="22"/>
          <w:lang w:val="es-ES"/>
        </w:rPr>
      </w:pPr>
      <w:r w:rsidRPr="00B44540">
        <w:rPr>
          <w:rFonts w:ascii="Arial" w:eastAsia="Calibri" w:hAnsi="Arial" w:cs="Arial"/>
          <w:color w:val="000000" w:themeColor="text1"/>
          <w:sz w:val="22"/>
          <w:lang w:val="es-ES"/>
        </w:rPr>
        <w:t xml:space="preserve">En </w:t>
      </w:r>
      <w:r w:rsidR="00520A28" w:rsidRPr="00B44540">
        <w:rPr>
          <w:rFonts w:ascii="Arial" w:eastAsia="Calibri" w:hAnsi="Arial" w:cs="Arial"/>
          <w:color w:val="000000" w:themeColor="text1"/>
          <w:sz w:val="22"/>
          <w:lang w:val="es-ES"/>
        </w:rPr>
        <w:t>principio</w:t>
      </w:r>
      <w:r w:rsidRPr="00B44540">
        <w:rPr>
          <w:rFonts w:ascii="Arial" w:eastAsia="Calibri" w:hAnsi="Arial" w:cs="Arial"/>
          <w:color w:val="000000" w:themeColor="text1"/>
          <w:sz w:val="22"/>
          <w:lang w:val="es-ES"/>
        </w:rPr>
        <w:t xml:space="preserve">, los contratos fiduciarios </w:t>
      </w:r>
      <w:r w:rsidR="00FB3511">
        <w:rPr>
          <w:rFonts w:ascii="Arial" w:eastAsia="Calibri" w:hAnsi="Arial" w:cs="Arial"/>
          <w:color w:val="000000" w:themeColor="text1"/>
          <w:sz w:val="22"/>
          <w:lang w:val="es-ES"/>
        </w:rPr>
        <w:t>deben publicarse</w:t>
      </w:r>
      <w:r w:rsidRPr="00B44540">
        <w:rPr>
          <w:rFonts w:ascii="Arial" w:eastAsia="Calibri" w:hAnsi="Arial" w:cs="Arial"/>
          <w:color w:val="000000" w:themeColor="text1"/>
          <w:sz w:val="22"/>
          <w:lang w:val="es-ES"/>
        </w:rPr>
        <w:t xml:space="preserve"> por la </w:t>
      </w:r>
      <w:r w:rsidR="00FB3511" w:rsidRPr="00B44540">
        <w:rPr>
          <w:rFonts w:ascii="Arial" w:eastAsia="Calibri" w:hAnsi="Arial" w:cs="Arial"/>
          <w:color w:val="000000" w:themeColor="text1"/>
          <w:sz w:val="22"/>
          <w:lang w:val="es-ES"/>
        </w:rPr>
        <w:t>entidad estatal</w:t>
      </w:r>
      <w:r w:rsidRPr="00B44540">
        <w:rPr>
          <w:rFonts w:ascii="Arial" w:eastAsia="Calibri" w:hAnsi="Arial" w:cs="Arial"/>
          <w:color w:val="000000" w:themeColor="text1"/>
          <w:sz w:val="22"/>
          <w:lang w:val="es-ES"/>
        </w:rPr>
        <w:t xml:space="preserve"> que lo</w:t>
      </w:r>
      <w:r w:rsidR="00520A28" w:rsidRPr="00B44540">
        <w:rPr>
          <w:rFonts w:ascii="Arial" w:eastAsia="Calibri" w:hAnsi="Arial" w:cs="Arial"/>
          <w:color w:val="000000" w:themeColor="text1"/>
          <w:sz w:val="22"/>
          <w:lang w:val="es-ES"/>
        </w:rPr>
        <w:t>s</w:t>
      </w:r>
      <w:r w:rsidRPr="00B44540">
        <w:rPr>
          <w:rFonts w:ascii="Arial" w:eastAsia="Calibri" w:hAnsi="Arial" w:cs="Arial"/>
          <w:color w:val="000000" w:themeColor="text1"/>
          <w:sz w:val="22"/>
          <w:lang w:val="es-ES"/>
        </w:rPr>
        <w:t xml:space="preserve"> suscriba, de acuerdo </w:t>
      </w:r>
      <w:r w:rsidR="008D4628" w:rsidRPr="00B44540">
        <w:rPr>
          <w:rFonts w:ascii="Arial" w:eastAsia="Calibri" w:hAnsi="Arial" w:cs="Arial"/>
          <w:color w:val="000000" w:themeColor="text1"/>
          <w:sz w:val="22"/>
          <w:lang w:val="es-ES"/>
        </w:rPr>
        <w:t>con el</w:t>
      </w:r>
      <w:r w:rsidRPr="00B44540">
        <w:rPr>
          <w:rFonts w:ascii="Arial" w:eastAsia="Calibri" w:hAnsi="Arial" w:cs="Arial"/>
          <w:color w:val="000000" w:themeColor="text1"/>
          <w:sz w:val="22"/>
          <w:lang w:val="es-ES"/>
        </w:rPr>
        <w:t xml:space="preserve"> régimen jurídico aplicable. </w:t>
      </w:r>
      <w:r w:rsidR="00FB3511">
        <w:rPr>
          <w:rFonts w:ascii="Arial" w:eastAsia="Calibri" w:hAnsi="Arial" w:cs="Arial"/>
          <w:color w:val="000000" w:themeColor="text1"/>
          <w:sz w:val="22"/>
          <w:lang w:val="es-ES"/>
        </w:rPr>
        <w:t>La misma obligación recae sobre</w:t>
      </w:r>
      <w:r w:rsidR="00520A28" w:rsidRPr="00B44540">
        <w:rPr>
          <w:rFonts w:ascii="Arial" w:eastAsia="Calibri" w:hAnsi="Arial" w:cs="Arial"/>
          <w:color w:val="000000" w:themeColor="text1"/>
          <w:sz w:val="22"/>
          <w:lang w:val="es-ES"/>
        </w:rPr>
        <w:t xml:space="preserve"> la «contratación derivada»</w:t>
      </w:r>
      <w:r w:rsidR="00FB3511">
        <w:rPr>
          <w:rFonts w:ascii="Arial" w:eastAsia="Calibri" w:hAnsi="Arial" w:cs="Arial"/>
          <w:color w:val="000000" w:themeColor="text1"/>
          <w:sz w:val="22"/>
          <w:lang w:val="es-ES"/>
        </w:rPr>
        <w:t>,</w:t>
      </w:r>
      <w:r w:rsidR="00520A28" w:rsidRPr="00B44540">
        <w:rPr>
          <w:rFonts w:ascii="Arial" w:eastAsia="Calibri" w:hAnsi="Arial" w:cs="Arial"/>
          <w:color w:val="000000" w:themeColor="text1"/>
          <w:sz w:val="22"/>
          <w:lang w:val="es-ES"/>
        </w:rPr>
        <w:t xml:space="preserve"> que </w:t>
      </w:r>
      <w:r w:rsidR="00FB3511">
        <w:rPr>
          <w:rFonts w:ascii="Arial" w:eastAsia="Calibri" w:hAnsi="Arial" w:cs="Arial"/>
          <w:color w:val="000000" w:themeColor="text1"/>
          <w:sz w:val="22"/>
          <w:lang w:val="es-ES"/>
        </w:rPr>
        <w:t>debe publicarse</w:t>
      </w:r>
      <w:r w:rsidR="00520A28" w:rsidRPr="00B44540">
        <w:rPr>
          <w:rFonts w:ascii="Arial" w:eastAsia="Calibri" w:hAnsi="Arial" w:cs="Arial"/>
          <w:color w:val="000000" w:themeColor="text1"/>
          <w:sz w:val="22"/>
          <w:lang w:val="es-ES"/>
        </w:rPr>
        <w:t xml:space="preserve"> en el SECOP por la </w:t>
      </w:r>
      <w:r w:rsidR="00FB3511" w:rsidRPr="00B44540">
        <w:rPr>
          <w:rFonts w:ascii="Arial" w:eastAsia="Calibri" w:hAnsi="Arial" w:cs="Arial"/>
          <w:color w:val="000000" w:themeColor="text1"/>
          <w:sz w:val="22"/>
          <w:lang w:val="es-ES"/>
        </w:rPr>
        <w:t>entidad estatal</w:t>
      </w:r>
      <w:r w:rsidR="00520A28" w:rsidRPr="00B44540">
        <w:rPr>
          <w:rFonts w:ascii="Arial" w:eastAsia="Calibri" w:hAnsi="Arial" w:cs="Arial"/>
          <w:color w:val="000000" w:themeColor="text1"/>
          <w:sz w:val="22"/>
          <w:lang w:val="es-ES"/>
        </w:rPr>
        <w:t xml:space="preserve"> con la intervención de la fiducia para efectos de la firma del contrato. </w:t>
      </w:r>
      <w:r w:rsidR="00FB3511">
        <w:rPr>
          <w:rFonts w:ascii="Arial" w:eastAsia="Calibri" w:hAnsi="Arial" w:cs="Arial"/>
          <w:color w:val="000000" w:themeColor="text1"/>
          <w:sz w:val="22"/>
          <w:lang w:val="es-ES"/>
        </w:rPr>
        <w:t>Lo anterior en la medida</w:t>
      </w:r>
      <w:r w:rsidR="008D4628" w:rsidRPr="00B44540">
        <w:rPr>
          <w:rFonts w:ascii="Arial" w:eastAsia="Calibri" w:hAnsi="Arial" w:cs="Arial"/>
          <w:color w:val="000000" w:themeColor="text1"/>
          <w:sz w:val="22"/>
          <w:lang w:val="es-ES"/>
        </w:rPr>
        <w:t xml:space="preserve"> que las normas legales y reglamentarias analizadas en el aparte 2.1 de este concepto identifican como sujeto obligado </w:t>
      </w:r>
      <w:r w:rsidR="00520A28" w:rsidRPr="00B44540">
        <w:rPr>
          <w:rFonts w:ascii="Arial" w:eastAsia="Calibri" w:hAnsi="Arial" w:cs="Arial"/>
          <w:color w:val="000000" w:themeColor="text1"/>
          <w:sz w:val="22"/>
          <w:lang w:val="es-ES"/>
        </w:rPr>
        <w:t xml:space="preserve">a publicar en el SECOP </w:t>
      </w:r>
      <w:r w:rsidR="008D4628" w:rsidRPr="00B44540">
        <w:rPr>
          <w:rFonts w:ascii="Arial" w:eastAsia="Calibri" w:hAnsi="Arial" w:cs="Arial"/>
          <w:color w:val="000000" w:themeColor="text1"/>
          <w:sz w:val="22"/>
          <w:lang w:val="es-ES"/>
        </w:rPr>
        <w:t xml:space="preserve">a la </w:t>
      </w:r>
      <w:r w:rsidR="00FB3511" w:rsidRPr="00B44540">
        <w:rPr>
          <w:rFonts w:ascii="Arial" w:eastAsia="Calibri" w:hAnsi="Arial" w:cs="Arial"/>
          <w:color w:val="000000" w:themeColor="text1"/>
          <w:sz w:val="22"/>
          <w:lang w:val="es-ES"/>
        </w:rPr>
        <w:t>entidad estatal</w:t>
      </w:r>
      <w:r w:rsidR="00520A28" w:rsidRPr="00B44540">
        <w:rPr>
          <w:rFonts w:ascii="Arial" w:eastAsia="Calibri" w:hAnsi="Arial" w:cs="Arial"/>
          <w:color w:val="000000" w:themeColor="text1"/>
          <w:sz w:val="22"/>
          <w:lang w:val="es-ES"/>
        </w:rPr>
        <w:t>.</w:t>
      </w:r>
      <w:r w:rsidR="008B3375">
        <w:rPr>
          <w:rFonts w:ascii="Arial" w:hAnsi="Arial" w:cs="Arial"/>
          <w:color w:val="000000" w:themeColor="text1"/>
          <w:sz w:val="22"/>
          <w:lang w:val="es-ES"/>
        </w:rPr>
        <w:t xml:space="preserve"> </w:t>
      </w:r>
      <w:r w:rsidR="008D4628" w:rsidRPr="00B44540">
        <w:rPr>
          <w:rFonts w:ascii="Arial" w:hAnsi="Arial" w:cs="Arial"/>
          <w:color w:val="000000" w:themeColor="text1"/>
          <w:sz w:val="22"/>
          <w:lang w:val="es-ES"/>
        </w:rPr>
        <w:t xml:space="preserve">No obstante, </w:t>
      </w:r>
      <w:r w:rsidR="008B3375">
        <w:rPr>
          <w:rFonts w:ascii="Arial" w:hAnsi="Arial" w:cs="Arial"/>
          <w:color w:val="000000" w:themeColor="text1"/>
          <w:sz w:val="22"/>
          <w:lang w:val="es-ES"/>
        </w:rPr>
        <w:t>la</w:t>
      </w:r>
      <w:r w:rsidR="008D4628" w:rsidRPr="00B44540">
        <w:rPr>
          <w:rFonts w:ascii="Arial" w:hAnsi="Arial" w:cs="Arial"/>
          <w:color w:val="000000" w:themeColor="text1"/>
          <w:sz w:val="22"/>
          <w:lang w:val="es-ES"/>
        </w:rPr>
        <w:t xml:space="preserve"> Subdirección </w:t>
      </w:r>
      <w:r w:rsidR="008B3375">
        <w:rPr>
          <w:rFonts w:ascii="Arial" w:hAnsi="Arial" w:cs="Arial"/>
          <w:color w:val="000000" w:themeColor="text1"/>
          <w:sz w:val="22"/>
          <w:lang w:val="es-ES"/>
        </w:rPr>
        <w:t>reconoce</w:t>
      </w:r>
      <w:r w:rsidR="008D4628" w:rsidRPr="00B44540">
        <w:rPr>
          <w:rFonts w:ascii="Arial" w:hAnsi="Arial" w:cs="Arial"/>
          <w:color w:val="000000" w:themeColor="text1"/>
          <w:sz w:val="22"/>
          <w:lang w:val="es-ES"/>
        </w:rPr>
        <w:t xml:space="preserve"> que las entidades estatales y las fiduciarias pueden acordar que </w:t>
      </w:r>
      <w:r w:rsidR="00B2440A">
        <w:rPr>
          <w:rFonts w:ascii="Arial" w:hAnsi="Arial" w:cs="Arial"/>
          <w:color w:val="000000" w:themeColor="text1"/>
          <w:sz w:val="22"/>
          <w:lang w:val="es-ES"/>
        </w:rPr>
        <w:t>la publicación de</w:t>
      </w:r>
      <w:r w:rsidR="008D4628" w:rsidRPr="00B44540">
        <w:rPr>
          <w:rFonts w:ascii="Arial" w:hAnsi="Arial" w:cs="Arial"/>
          <w:color w:val="000000" w:themeColor="text1"/>
          <w:sz w:val="22"/>
          <w:lang w:val="es-ES"/>
        </w:rPr>
        <w:t xml:space="preserve"> la información </w:t>
      </w:r>
      <w:r w:rsidR="00B2440A">
        <w:rPr>
          <w:rFonts w:ascii="Arial" w:hAnsi="Arial" w:cs="Arial"/>
          <w:color w:val="000000" w:themeColor="text1"/>
          <w:sz w:val="22"/>
          <w:lang w:val="es-ES"/>
        </w:rPr>
        <w:t>en e</w:t>
      </w:r>
      <w:r w:rsidR="00520A28" w:rsidRPr="00B44540">
        <w:rPr>
          <w:rFonts w:ascii="Arial" w:hAnsi="Arial" w:cs="Arial"/>
          <w:color w:val="000000" w:themeColor="text1"/>
          <w:sz w:val="22"/>
          <w:lang w:val="es-ES"/>
        </w:rPr>
        <w:t>l</w:t>
      </w:r>
      <w:r w:rsidR="008D4628" w:rsidRPr="00B44540">
        <w:rPr>
          <w:rFonts w:ascii="Arial" w:hAnsi="Arial" w:cs="Arial"/>
          <w:color w:val="000000" w:themeColor="text1"/>
          <w:sz w:val="22"/>
          <w:lang w:val="es-ES"/>
        </w:rPr>
        <w:t xml:space="preserve"> SECOP </w:t>
      </w:r>
      <w:r w:rsidR="00B126EE">
        <w:rPr>
          <w:rFonts w:ascii="Arial" w:hAnsi="Arial" w:cs="Arial"/>
          <w:color w:val="000000" w:themeColor="text1"/>
          <w:sz w:val="22"/>
          <w:lang w:val="es-ES"/>
        </w:rPr>
        <w:t>corresponda a</w:t>
      </w:r>
      <w:r w:rsidR="008D4628" w:rsidRPr="00B44540">
        <w:rPr>
          <w:rFonts w:ascii="Arial" w:hAnsi="Arial" w:cs="Arial"/>
          <w:color w:val="000000" w:themeColor="text1"/>
          <w:sz w:val="22"/>
          <w:lang w:val="es-ES"/>
        </w:rPr>
        <w:t xml:space="preserve"> </w:t>
      </w:r>
      <w:r w:rsidR="008B3375">
        <w:rPr>
          <w:rFonts w:ascii="Arial" w:hAnsi="Arial" w:cs="Arial"/>
          <w:color w:val="000000" w:themeColor="text1"/>
          <w:sz w:val="22"/>
          <w:lang w:val="es-ES"/>
        </w:rPr>
        <w:t>estas últimas</w:t>
      </w:r>
      <w:r w:rsidR="008D4628" w:rsidRPr="00B44540">
        <w:rPr>
          <w:rFonts w:ascii="Arial" w:hAnsi="Arial" w:cs="Arial"/>
          <w:color w:val="000000" w:themeColor="text1"/>
          <w:sz w:val="22"/>
          <w:lang w:val="es-ES"/>
        </w:rPr>
        <w:t xml:space="preserve"> </w:t>
      </w:r>
      <w:r w:rsidR="00B126EE">
        <w:rPr>
          <w:rFonts w:ascii="Arial" w:hAnsi="Arial" w:cs="Arial"/>
          <w:color w:val="000000" w:themeColor="text1"/>
          <w:sz w:val="22"/>
          <w:lang w:val="es-ES"/>
        </w:rPr>
        <w:t xml:space="preserve">como </w:t>
      </w:r>
      <w:r w:rsidR="008D4628" w:rsidRPr="00B44540">
        <w:rPr>
          <w:rFonts w:ascii="Arial" w:hAnsi="Arial" w:cs="Arial"/>
          <w:color w:val="000000" w:themeColor="text1"/>
          <w:sz w:val="22"/>
          <w:lang w:val="es-ES"/>
        </w:rPr>
        <w:t>vocera</w:t>
      </w:r>
      <w:r w:rsidR="00B126EE">
        <w:rPr>
          <w:rFonts w:ascii="Arial" w:hAnsi="Arial" w:cs="Arial"/>
          <w:color w:val="000000" w:themeColor="text1"/>
          <w:sz w:val="22"/>
          <w:lang w:val="es-ES"/>
        </w:rPr>
        <w:t>s</w:t>
      </w:r>
      <w:r w:rsidR="008D4628" w:rsidRPr="00B44540">
        <w:rPr>
          <w:rFonts w:ascii="Arial" w:hAnsi="Arial" w:cs="Arial"/>
          <w:color w:val="000000" w:themeColor="text1"/>
          <w:sz w:val="22"/>
          <w:lang w:val="es-ES"/>
        </w:rPr>
        <w:t xml:space="preserve"> del patrimonio autónomo. </w:t>
      </w:r>
    </w:p>
    <w:p w14:paraId="6268A983" w14:textId="111E9088" w:rsidR="008D4628" w:rsidRDefault="008B3375" w:rsidP="008D4628">
      <w:pPr>
        <w:spacing w:before="0"/>
        <w:ind w:firstLine="709"/>
        <w:rPr>
          <w:rFonts w:ascii="Arial" w:hAnsi="Arial" w:cs="Arial"/>
          <w:color w:val="000000" w:themeColor="text1"/>
          <w:sz w:val="22"/>
          <w:lang w:val="es-ES"/>
        </w:rPr>
      </w:pPr>
      <w:r>
        <w:rPr>
          <w:rFonts w:ascii="Arial" w:hAnsi="Arial" w:cs="Arial"/>
          <w:color w:val="000000" w:themeColor="text1"/>
          <w:sz w:val="22"/>
          <w:lang w:val="es-ES"/>
        </w:rPr>
        <w:t>C</w:t>
      </w:r>
      <w:r w:rsidR="008D4628" w:rsidRPr="00B44540">
        <w:rPr>
          <w:rFonts w:ascii="Arial" w:hAnsi="Arial" w:cs="Arial"/>
          <w:color w:val="000000" w:themeColor="text1"/>
          <w:sz w:val="22"/>
          <w:lang w:val="es-ES"/>
        </w:rPr>
        <w:t xml:space="preserve">on el propósito de no interferir en el manejo propio de las relaciones contractuales entre entidades estatales y fiduciarias, las instrucciones impartidas en la Circular Externa Única y en la Circular Externa 002 de 2019 por Colombia Compra Eficiente buscan garantizar: i) que se </w:t>
      </w:r>
      <w:r w:rsidR="00A0532A">
        <w:rPr>
          <w:rFonts w:ascii="Arial" w:hAnsi="Arial" w:cs="Arial"/>
          <w:color w:val="000000" w:themeColor="text1"/>
          <w:sz w:val="22"/>
          <w:lang w:val="es-ES"/>
        </w:rPr>
        <w:t xml:space="preserve">cumpla </w:t>
      </w:r>
      <w:r w:rsidR="008D4628" w:rsidRPr="00B44540">
        <w:rPr>
          <w:rFonts w:ascii="Arial" w:hAnsi="Arial" w:cs="Arial"/>
          <w:color w:val="000000" w:themeColor="text1"/>
          <w:sz w:val="22"/>
          <w:lang w:val="es-ES"/>
        </w:rPr>
        <w:t>la obligación legal de que el SECOP cuente «con la información oficial de la contratación realizada con dinero públicos» como lo ordena el artículo 3 de la Ley 1150 de 2007, ii) que no exista duplicidad en la información cargada al SECOP lo que, entre otras cosas, concreta el principio de calidad de la información previsto en el artículo 3 de la Ley 1712 de 2015.</w:t>
      </w:r>
      <w:r w:rsidR="008D4628">
        <w:rPr>
          <w:rFonts w:ascii="Arial" w:hAnsi="Arial" w:cs="Arial"/>
          <w:color w:val="000000" w:themeColor="text1"/>
          <w:sz w:val="22"/>
          <w:lang w:val="es-ES"/>
        </w:rPr>
        <w:t xml:space="preserve"> </w:t>
      </w:r>
    </w:p>
    <w:p w14:paraId="225D5922" w14:textId="3D1FC506" w:rsidR="00040B7D" w:rsidRPr="00520A28" w:rsidRDefault="00FF1267" w:rsidP="00520A28">
      <w:pPr>
        <w:spacing w:before="0"/>
        <w:ind w:firstLine="709"/>
        <w:rPr>
          <w:rFonts w:ascii="Arial" w:eastAsia="Calibri" w:hAnsi="Arial" w:cs="Arial"/>
          <w:color w:val="000000" w:themeColor="text1"/>
          <w:sz w:val="22"/>
          <w:lang w:val="es-ES"/>
        </w:rPr>
      </w:pPr>
      <w:r>
        <w:rPr>
          <w:rFonts w:ascii="Arial" w:eastAsia="Calibri" w:hAnsi="Arial" w:cs="Arial"/>
          <w:color w:val="000000" w:themeColor="text1"/>
          <w:sz w:val="22"/>
          <w:lang w:val="es-ES"/>
        </w:rPr>
        <w:t>Por lo anterior,</w:t>
      </w:r>
      <w:r w:rsidR="00B275D8">
        <w:rPr>
          <w:rFonts w:ascii="Arial" w:eastAsia="Calibri" w:hAnsi="Arial" w:cs="Arial"/>
          <w:color w:val="000000" w:themeColor="text1"/>
          <w:sz w:val="22"/>
          <w:lang w:val="es-ES"/>
        </w:rPr>
        <w:t xml:space="preserve"> </w:t>
      </w:r>
      <w:r w:rsidR="00040B7D" w:rsidRPr="00481BD6">
        <w:rPr>
          <w:rFonts w:ascii="Arial" w:eastAsia="Calibri" w:hAnsi="Arial" w:cs="Arial"/>
          <w:color w:val="000000" w:themeColor="text1"/>
          <w:sz w:val="22"/>
          <w:lang w:val="es-ES"/>
        </w:rPr>
        <w:t>la</w:t>
      </w:r>
      <w:r>
        <w:rPr>
          <w:rFonts w:ascii="Arial" w:eastAsia="Calibri" w:hAnsi="Arial" w:cs="Arial"/>
          <w:color w:val="000000" w:themeColor="text1"/>
          <w:sz w:val="22"/>
          <w:lang w:val="es-ES"/>
        </w:rPr>
        <w:t xml:space="preserve"> publicación de la</w:t>
      </w:r>
      <w:r w:rsidR="00040B7D" w:rsidRPr="00481BD6">
        <w:rPr>
          <w:rFonts w:ascii="Arial" w:eastAsia="Calibri" w:hAnsi="Arial" w:cs="Arial"/>
          <w:color w:val="000000" w:themeColor="text1"/>
          <w:sz w:val="22"/>
          <w:lang w:val="es-ES"/>
        </w:rPr>
        <w:t xml:space="preserve"> «contratación derivada» de los contratos de fiducia </w:t>
      </w:r>
      <w:r>
        <w:rPr>
          <w:rFonts w:ascii="Arial" w:eastAsia="Calibri" w:hAnsi="Arial" w:cs="Arial"/>
          <w:color w:val="000000" w:themeColor="text1"/>
          <w:sz w:val="22"/>
          <w:lang w:val="es-ES"/>
        </w:rPr>
        <w:t>corresponde a</w:t>
      </w:r>
      <w:r w:rsidR="00040B7D" w:rsidRPr="00481BD6">
        <w:rPr>
          <w:rFonts w:ascii="Arial" w:eastAsia="Calibri" w:hAnsi="Arial" w:cs="Arial"/>
          <w:color w:val="000000" w:themeColor="text1"/>
          <w:sz w:val="22"/>
          <w:lang w:val="es-ES"/>
        </w:rPr>
        <w:t xml:space="preserve"> la </w:t>
      </w:r>
      <w:r w:rsidR="008B3375" w:rsidRPr="00481BD6">
        <w:rPr>
          <w:rFonts w:ascii="Arial" w:eastAsia="Calibri" w:hAnsi="Arial" w:cs="Arial"/>
          <w:color w:val="000000" w:themeColor="text1"/>
          <w:sz w:val="22"/>
          <w:lang w:val="es-ES"/>
        </w:rPr>
        <w:t xml:space="preserve">entidad estatal </w:t>
      </w:r>
      <w:r w:rsidR="00040B7D" w:rsidRPr="00481BD6">
        <w:rPr>
          <w:rFonts w:ascii="Arial" w:eastAsia="Calibri" w:hAnsi="Arial" w:cs="Arial"/>
          <w:color w:val="000000" w:themeColor="text1"/>
          <w:sz w:val="22"/>
          <w:lang w:val="es-ES"/>
        </w:rPr>
        <w:t>fideicomitente, con intervención de la fiduciaria para efectos de la firma del contrato, o por la fiduciaria que actúe como vocer</w:t>
      </w:r>
      <w:r w:rsidR="00B126EE">
        <w:rPr>
          <w:rFonts w:ascii="Arial" w:eastAsia="Calibri" w:hAnsi="Arial" w:cs="Arial"/>
          <w:color w:val="000000" w:themeColor="text1"/>
          <w:sz w:val="22"/>
          <w:lang w:val="es-ES"/>
        </w:rPr>
        <w:t>a</w:t>
      </w:r>
      <w:r w:rsidR="00040B7D" w:rsidRPr="00481BD6">
        <w:rPr>
          <w:rFonts w:ascii="Arial" w:eastAsia="Calibri" w:hAnsi="Arial" w:cs="Arial"/>
          <w:color w:val="000000" w:themeColor="text1"/>
          <w:sz w:val="22"/>
          <w:lang w:val="es-ES"/>
        </w:rPr>
        <w:t xml:space="preserve"> de</w:t>
      </w:r>
      <w:r w:rsidR="005D1578">
        <w:rPr>
          <w:rFonts w:ascii="Arial" w:eastAsia="Calibri" w:hAnsi="Arial" w:cs="Arial"/>
          <w:color w:val="000000" w:themeColor="text1"/>
          <w:sz w:val="22"/>
          <w:lang w:val="es-ES"/>
        </w:rPr>
        <w:t>l</w:t>
      </w:r>
      <w:r w:rsidR="00040B7D" w:rsidRPr="00481BD6">
        <w:rPr>
          <w:rFonts w:ascii="Arial" w:eastAsia="Calibri" w:hAnsi="Arial" w:cs="Arial"/>
          <w:color w:val="000000" w:themeColor="text1"/>
          <w:sz w:val="22"/>
          <w:lang w:val="es-ES"/>
        </w:rPr>
        <w:t xml:space="preserve"> patrimonio autónomo en calidad de contratante. </w:t>
      </w:r>
      <w:r w:rsidR="00520A28">
        <w:rPr>
          <w:rFonts w:ascii="Arial" w:eastAsia="Calibri" w:hAnsi="Arial" w:cs="Arial"/>
          <w:color w:val="000000" w:themeColor="text1"/>
          <w:sz w:val="22"/>
          <w:lang w:val="es-ES"/>
        </w:rPr>
        <w:t>Es decir,</w:t>
      </w:r>
      <w:r w:rsidR="00040B7D" w:rsidRPr="00481BD6">
        <w:rPr>
          <w:rFonts w:ascii="Arial" w:eastAsia="Calibri" w:hAnsi="Arial" w:cs="Arial"/>
          <w:color w:val="000000" w:themeColor="text1"/>
          <w:sz w:val="22"/>
          <w:lang w:val="es-ES"/>
        </w:rPr>
        <w:t xml:space="preserve"> debe optar</w:t>
      </w:r>
      <w:r w:rsidR="008B3375">
        <w:rPr>
          <w:rFonts w:ascii="Arial" w:eastAsia="Calibri" w:hAnsi="Arial" w:cs="Arial"/>
          <w:color w:val="000000" w:themeColor="text1"/>
          <w:sz w:val="22"/>
          <w:lang w:val="es-ES"/>
        </w:rPr>
        <w:t>se</w:t>
      </w:r>
      <w:r w:rsidR="00040B7D" w:rsidRPr="00481BD6">
        <w:rPr>
          <w:rFonts w:ascii="Arial" w:eastAsia="Calibri" w:hAnsi="Arial" w:cs="Arial"/>
          <w:color w:val="000000" w:themeColor="text1"/>
          <w:sz w:val="22"/>
          <w:lang w:val="es-ES"/>
        </w:rPr>
        <w:t xml:space="preserve"> por una de las opciones</w:t>
      </w:r>
      <w:r w:rsidR="00520A28">
        <w:rPr>
          <w:rFonts w:ascii="Arial" w:eastAsia="Calibri" w:hAnsi="Arial" w:cs="Arial"/>
          <w:color w:val="000000" w:themeColor="text1"/>
          <w:sz w:val="22"/>
          <w:lang w:val="es-ES"/>
        </w:rPr>
        <w:t xml:space="preserve"> </w:t>
      </w:r>
      <w:r w:rsidR="00040B7D" w:rsidRPr="00481BD6">
        <w:rPr>
          <w:rFonts w:ascii="Arial" w:eastAsia="Calibri" w:hAnsi="Arial" w:cs="Arial"/>
          <w:color w:val="000000" w:themeColor="text1"/>
          <w:sz w:val="22"/>
          <w:lang w:val="es-ES"/>
        </w:rPr>
        <w:t xml:space="preserve">con el objetivo de evitar </w:t>
      </w:r>
      <w:r w:rsidR="005D1578">
        <w:rPr>
          <w:rFonts w:ascii="Arial" w:eastAsia="Calibri" w:hAnsi="Arial" w:cs="Arial"/>
          <w:color w:val="000000" w:themeColor="text1"/>
          <w:sz w:val="22"/>
          <w:lang w:val="es-ES"/>
        </w:rPr>
        <w:t>que la información se duplique</w:t>
      </w:r>
      <w:r w:rsidR="00040B7D" w:rsidRPr="00481BD6">
        <w:rPr>
          <w:rFonts w:ascii="Arial" w:eastAsia="Calibri" w:hAnsi="Arial" w:cs="Arial"/>
          <w:color w:val="000000" w:themeColor="text1"/>
          <w:sz w:val="22"/>
          <w:lang w:val="es-ES"/>
        </w:rPr>
        <w:t>.</w:t>
      </w:r>
    </w:p>
    <w:p w14:paraId="72313C53" w14:textId="457E9BEB" w:rsidR="00040B7D" w:rsidRDefault="00D70545" w:rsidP="009F0D45">
      <w:pPr>
        <w:spacing w:before="0" w:after="0"/>
        <w:rPr>
          <w:rFonts w:ascii="Arial" w:eastAsia="Calibri" w:hAnsi="Arial" w:cs="Arial"/>
          <w:bCs/>
          <w:color w:val="000000" w:themeColor="text1"/>
          <w:sz w:val="22"/>
          <w:lang w:val="es-ES"/>
        </w:rPr>
      </w:pPr>
      <w:r>
        <w:rPr>
          <w:rFonts w:ascii="Arial" w:eastAsia="Calibri" w:hAnsi="Arial" w:cs="Arial"/>
          <w:b/>
          <w:color w:val="000000" w:themeColor="text1"/>
          <w:sz w:val="22"/>
          <w:lang w:val="es-ES"/>
        </w:rPr>
        <w:tab/>
      </w:r>
      <w:r>
        <w:rPr>
          <w:rFonts w:ascii="Arial" w:eastAsia="Calibri" w:hAnsi="Arial" w:cs="Arial"/>
          <w:bCs/>
          <w:color w:val="000000" w:themeColor="text1"/>
          <w:sz w:val="22"/>
          <w:lang w:val="es-ES"/>
        </w:rPr>
        <w:t>En relación con la plataforma en particular</w:t>
      </w:r>
      <w:r w:rsidR="00955D93">
        <w:rPr>
          <w:rFonts w:ascii="Arial" w:eastAsia="Calibri" w:hAnsi="Arial" w:cs="Arial"/>
          <w:bCs/>
          <w:color w:val="000000" w:themeColor="text1"/>
          <w:sz w:val="22"/>
          <w:lang w:val="es-ES"/>
        </w:rPr>
        <w:t>, SECOP I o SECOP II</w:t>
      </w:r>
      <w:r>
        <w:rPr>
          <w:rFonts w:ascii="Arial" w:eastAsia="Calibri" w:hAnsi="Arial" w:cs="Arial"/>
          <w:bCs/>
          <w:color w:val="000000" w:themeColor="text1"/>
          <w:sz w:val="22"/>
          <w:lang w:val="es-ES"/>
        </w:rPr>
        <w:t xml:space="preserve">, debe </w:t>
      </w:r>
      <w:r w:rsidR="003F346A">
        <w:rPr>
          <w:rFonts w:ascii="Arial" w:eastAsia="Calibri" w:hAnsi="Arial" w:cs="Arial"/>
          <w:bCs/>
          <w:color w:val="000000" w:themeColor="text1"/>
          <w:sz w:val="22"/>
          <w:lang w:val="es-ES"/>
        </w:rPr>
        <w:t>recordarse</w:t>
      </w:r>
      <w:r>
        <w:rPr>
          <w:rFonts w:ascii="Arial" w:eastAsia="Calibri" w:hAnsi="Arial" w:cs="Arial"/>
          <w:bCs/>
          <w:color w:val="000000" w:themeColor="text1"/>
          <w:sz w:val="22"/>
          <w:lang w:val="es-ES"/>
        </w:rPr>
        <w:t xml:space="preserve"> que la obligación legal de publicar es de la entidad estatal</w:t>
      </w:r>
      <w:r w:rsidR="003F346A">
        <w:rPr>
          <w:rFonts w:ascii="Arial" w:eastAsia="Calibri" w:hAnsi="Arial" w:cs="Arial"/>
          <w:bCs/>
          <w:color w:val="000000" w:themeColor="text1"/>
          <w:sz w:val="22"/>
          <w:lang w:val="es-ES"/>
        </w:rPr>
        <w:t xml:space="preserve">. </w:t>
      </w:r>
      <w:r w:rsidR="008B3375">
        <w:rPr>
          <w:rFonts w:ascii="Arial" w:eastAsia="Calibri" w:hAnsi="Arial" w:cs="Arial"/>
          <w:bCs/>
          <w:color w:val="000000" w:themeColor="text1"/>
          <w:sz w:val="22"/>
          <w:lang w:val="es-ES"/>
        </w:rPr>
        <w:t xml:space="preserve">En </w:t>
      </w:r>
      <w:r w:rsidR="003F346A">
        <w:rPr>
          <w:rFonts w:ascii="Arial" w:eastAsia="Calibri" w:hAnsi="Arial" w:cs="Arial"/>
          <w:bCs/>
          <w:color w:val="000000" w:themeColor="text1"/>
          <w:sz w:val="22"/>
          <w:lang w:val="es-ES"/>
        </w:rPr>
        <w:t>consecuencia,</w:t>
      </w:r>
      <w:r>
        <w:rPr>
          <w:rFonts w:ascii="Arial" w:eastAsia="Calibri" w:hAnsi="Arial" w:cs="Arial"/>
          <w:bCs/>
          <w:color w:val="000000" w:themeColor="text1"/>
          <w:sz w:val="22"/>
          <w:lang w:val="es-ES"/>
        </w:rPr>
        <w:t xml:space="preserve"> </w:t>
      </w:r>
      <w:r w:rsidR="003F346A">
        <w:rPr>
          <w:rFonts w:ascii="Arial" w:eastAsia="Calibri" w:hAnsi="Arial" w:cs="Arial"/>
          <w:bCs/>
          <w:color w:val="000000" w:themeColor="text1"/>
          <w:sz w:val="22"/>
          <w:lang w:val="es-ES"/>
        </w:rPr>
        <w:t>independientemente de</w:t>
      </w:r>
      <w:r>
        <w:rPr>
          <w:rFonts w:ascii="Arial" w:eastAsia="Calibri" w:hAnsi="Arial" w:cs="Arial"/>
          <w:bCs/>
          <w:color w:val="000000" w:themeColor="text1"/>
          <w:sz w:val="22"/>
          <w:lang w:val="es-ES"/>
        </w:rPr>
        <w:t xml:space="preserve"> si </w:t>
      </w:r>
      <w:r w:rsidR="00955D93">
        <w:rPr>
          <w:rFonts w:ascii="Arial" w:eastAsia="Calibri" w:hAnsi="Arial" w:cs="Arial"/>
          <w:bCs/>
          <w:color w:val="000000" w:themeColor="text1"/>
          <w:sz w:val="22"/>
          <w:lang w:val="es-ES"/>
        </w:rPr>
        <w:t xml:space="preserve">la publicación </w:t>
      </w:r>
      <w:r>
        <w:rPr>
          <w:rFonts w:ascii="Arial" w:eastAsia="Calibri" w:hAnsi="Arial" w:cs="Arial"/>
          <w:bCs/>
          <w:color w:val="000000" w:themeColor="text1"/>
          <w:sz w:val="22"/>
          <w:lang w:val="es-ES"/>
        </w:rPr>
        <w:t>l</w:t>
      </w:r>
      <w:r w:rsidR="00955D93">
        <w:rPr>
          <w:rFonts w:ascii="Arial" w:eastAsia="Calibri" w:hAnsi="Arial" w:cs="Arial"/>
          <w:bCs/>
          <w:color w:val="000000" w:themeColor="text1"/>
          <w:sz w:val="22"/>
          <w:lang w:val="es-ES"/>
        </w:rPr>
        <w:t>a</w:t>
      </w:r>
      <w:r>
        <w:rPr>
          <w:rFonts w:ascii="Arial" w:eastAsia="Calibri" w:hAnsi="Arial" w:cs="Arial"/>
          <w:bCs/>
          <w:color w:val="000000" w:themeColor="text1"/>
          <w:sz w:val="22"/>
          <w:lang w:val="es-ES"/>
        </w:rPr>
        <w:t xml:space="preserve"> </w:t>
      </w:r>
      <w:r w:rsidR="00955D93">
        <w:rPr>
          <w:rFonts w:ascii="Arial" w:eastAsia="Calibri" w:hAnsi="Arial" w:cs="Arial"/>
          <w:bCs/>
          <w:color w:val="000000" w:themeColor="text1"/>
          <w:sz w:val="22"/>
          <w:lang w:val="es-ES"/>
        </w:rPr>
        <w:t>realiza</w:t>
      </w:r>
      <w:r>
        <w:rPr>
          <w:rFonts w:ascii="Arial" w:eastAsia="Calibri" w:hAnsi="Arial" w:cs="Arial"/>
          <w:bCs/>
          <w:color w:val="000000" w:themeColor="text1"/>
          <w:sz w:val="22"/>
          <w:lang w:val="es-ES"/>
        </w:rPr>
        <w:t xml:space="preserve"> la fiduciaria o la entidad, la plataforma </w:t>
      </w:r>
      <w:r w:rsidR="00955D93">
        <w:rPr>
          <w:rFonts w:ascii="Arial" w:eastAsia="Calibri" w:hAnsi="Arial" w:cs="Arial"/>
          <w:bCs/>
          <w:color w:val="000000" w:themeColor="text1"/>
          <w:sz w:val="22"/>
          <w:lang w:val="es-ES"/>
        </w:rPr>
        <w:lastRenderedPageBreak/>
        <w:t>que debe utilizarse</w:t>
      </w:r>
      <w:r>
        <w:rPr>
          <w:rFonts w:ascii="Arial" w:eastAsia="Calibri" w:hAnsi="Arial" w:cs="Arial"/>
          <w:bCs/>
          <w:color w:val="000000" w:themeColor="text1"/>
          <w:sz w:val="22"/>
          <w:lang w:val="es-ES"/>
        </w:rPr>
        <w:t xml:space="preserve"> </w:t>
      </w:r>
      <w:r w:rsidR="003F346A">
        <w:rPr>
          <w:rFonts w:ascii="Arial" w:eastAsia="Calibri" w:hAnsi="Arial" w:cs="Arial"/>
          <w:bCs/>
          <w:color w:val="000000" w:themeColor="text1"/>
          <w:sz w:val="22"/>
          <w:lang w:val="es-ES"/>
        </w:rPr>
        <w:t>es</w:t>
      </w:r>
      <w:r>
        <w:rPr>
          <w:rFonts w:ascii="Arial" w:eastAsia="Calibri" w:hAnsi="Arial" w:cs="Arial"/>
          <w:bCs/>
          <w:color w:val="000000" w:themeColor="text1"/>
          <w:sz w:val="22"/>
          <w:lang w:val="es-ES"/>
        </w:rPr>
        <w:t xml:space="preserve"> aquella</w:t>
      </w:r>
      <w:r w:rsidR="003F346A">
        <w:rPr>
          <w:rFonts w:ascii="Arial" w:eastAsia="Calibri" w:hAnsi="Arial" w:cs="Arial"/>
          <w:bCs/>
          <w:color w:val="000000" w:themeColor="text1"/>
          <w:sz w:val="22"/>
          <w:lang w:val="es-ES"/>
        </w:rPr>
        <w:t xml:space="preserve"> </w:t>
      </w:r>
      <w:r>
        <w:rPr>
          <w:rFonts w:ascii="Arial" w:eastAsia="Calibri" w:hAnsi="Arial" w:cs="Arial"/>
          <w:bCs/>
          <w:color w:val="000000" w:themeColor="text1"/>
          <w:sz w:val="22"/>
          <w:lang w:val="es-ES"/>
        </w:rPr>
        <w:t>en la cual la entidad se encuentr</w:t>
      </w:r>
      <w:r w:rsidR="003F346A">
        <w:rPr>
          <w:rFonts w:ascii="Arial" w:eastAsia="Calibri" w:hAnsi="Arial" w:cs="Arial"/>
          <w:bCs/>
          <w:color w:val="000000" w:themeColor="text1"/>
          <w:sz w:val="22"/>
          <w:lang w:val="es-ES"/>
        </w:rPr>
        <w:t>a</w:t>
      </w:r>
      <w:r>
        <w:rPr>
          <w:rFonts w:ascii="Arial" w:eastAsia="Calibri" w:hAnsi="Arial" w:cs="Arial"/>
          <w:bCs/>
          <w:color w:val="000000" w:themeColor="text1"/>
          <w:sz w:val="22"/>
          <w:lang w:val="es-ES"/>
        </w:rPr>
        <w:t xml:space="preserve"> obligada a publicar. </w:t>
      </w:r>
      <w:r w:rsidR="003F346A">
        <w:rPr>
          <w:rFonts w:ascii="Arial" w:eastAsia="Calibri" w:hAnsi="Arial" w:cs="Arial"/>
          <w:bCs/>
          <w:color w:val="000000" w:themeColor="text1"/>
          <w:sz w:val="22"/>
          <w:lang w:val="es-ES"/>
        </w:rPr>
        <w:t xml:space="preserve">En ese sentido, </w:t>
      </w:r>
      <w:r>
        <w:rPr>
          <w:rFonts w:ascii="Arial" w:eastAsia="Calibri" w:hAnsi="Arial" w:cs="Arial"/>
          <w:bCs/>
          <w:color w:val="000000" w:themeColor="text1"/>
          <w:sz w:val="22"/>
          <w:lang w:val="es-ES"/>
        </w:rPr>
        <w:t>la Circular</w:t>
      </w:r>
      <w:r w:rsidR="000676BC">
        <w:rPr>
          <w:rFonts w:ascii="Arial" w:eastAsia="Calibri" w:hAnsi="Arial" w:cs="Arial"/>
          <w:bCs/>
          <w:color w:val="000000" w:themeColor="text1"/>
          <w:sz w:val="22"/>
          <w:lang w:val="es-ES"/>
        </w:rPr>
        <w:t xml:space="preserve"> Externa</w:t>
      </w:r>
      <w:r w:rsidR="006F0F8A">
        <w:rPr>
          <w:rFonts w:ascii="Arial" w:eastAsia="Calibri" w:hAnsi="Arial" w:cs="Arial"/>
          <w:bCs/>
          <w:color w:val="000000" w:themeColor="text1"/>
          <w:sz w:val="22"/>
          <w:lang w:val="es-ES"/>
        </w:rPr>
        <w:t xml:space="preserve"> No.</w:t>
      </w:r>
      <w:r>
        <w:rPr>
          <w:rFonts w:ascii="Arial" w:eastAsia="Calibri" w:hAnsi="Arial" w:cs="Arial"/>
          <w:bCs/>
          <w:color w:val="000000" w:themeColor="text1"/>
          <w:sz w:val="22"/>
          <w:lang w:val="es-ES"/>
        </w:rPr>
        <w:t xml:space="preserve"> 002 de 2019 </w:t>
      </w:r>
      <w:r w:rsidR="00A0532A">
        <w:rPr>
          <w:rFonts w:ascii="Arial" w:eastAsia="Calibri" w:hAnsi="Arial" w:cs="Arial"/>
          <w:bCs/>
          <w:color w:val="000000" w:themeColor="text1"/>
          <w:sz w:val="22"/>
          <w:lang w:val="es-ES"/>
        </w:rPr>
        <w:t>dispone lo siguiente</w:t>
      </w:r>
      <w:r>
        <w:rPr>
          <w:rFonts w:ascii="Arial" w:eastAsia="Calibri" w:hAnsi="Arial" w:cs="Arial"/>
          <w:bCs/>
          <w:color w:val="000000" w:themeColor="text1"/>
          <w:sz w:val="22"/>
          <w:lang w:val="es-ES"/>
        </w:rPr>
        <w:t>:</w:t>
      </w:r>
    </w:p>
    <w:p w14:paraId="52876285" w14:textId="77777777" w:rsidR="00D70545" w:rsidRPr="00D70545" w:rsidRDefault="00D70545" w:rsidP="009F0D45">
      <w:pPr>
        <w:spacing w:before="0" w:after="0"/>
        <w:rPr>
          <w:rFonts w:ascii="Arial" w:eastAsia="Calibri" w:hAnsi="Arial" w:cs="Arial"/>
          <w:bCs/>
          <w:color w:val="000000" w:themeColor="text1"/>
          <w:sz w:val="22"/>
          <w:lang w:val="es-ES"/>
        </w:rPr>
      </w:pPr>
    </w:p>
    <w:p w14:paraId="24EC6BB0" w14:textId="7CEBEC03" w:rsidR="00D70545" w:rsidRDefault="00D70545" w:rsidP="009F0D45">
      <w:pPr>
        <w:spacing w:before="0" w:after="0" w:line="240" w:lineRule="auto"/>
        <w:ind w:left="709" w:right="709"/>
        <w:rPr>
          <w:rFonts w:ascii="Arial" w:hAnsi="Arial" w:cs="Arial"/>
          <w:sz w:val="21"/>
          <w:szCs w:val="21"/>
          <w:lang w:val="es-ES"/>
        </w:rPr>
      </w:pPr>
      <w:r>
        <w:rPr>
          <w:rFonts w:ascii="Arial" w:hAnsi="Arial" w:cs="Arial"/>
          <w:sz w:val="21"/>
          <w:szCs w:val="21"/>
          <w:lang w:val="es-ES"/>
        </w:rPr>
        <w:t xml:space="preserve">[…] </w:t>
      </w:r>
      <w:r w:rsidRPr="007A646F">
        <w:rPr>
          <w:rFonts w:ascii="Arial" w:hAnsi="Arial" w:cs="Arial"/>
          <w:sz w:val="21"/>
          <w:szCs w:val="21"/>
          <w:lang w:val="es-ES"/>
        </w:rPr>
        <w:t xml:space="preserve">No obstante, en relación </w:t>
      </w:r>
      <w:r w:rsidRPr="009F0D45">
        <w:rPr>
          <w:rFonts w:ascii="Arial" w:hAnsi="Arial" w:cs="Arial"/>
          <w:i/>
          <w:iCs/>
          <w:sz w:val="21"/>
          <w:szCs w:val="21"/>
          <w:lang w:val="es-ES"/>
        </w:rPr>
        <w:t>con los contratos fiduciarios suscritos con las entidades estatales obligadas en el 2020</w:t>
      </w:r>
      <w:r w:rsidRPr="007A646F">
        <w:rPr>
          <w:rFonts w:ascii="Arial" w:hAnsi="Arial" w:cs="Arial"/>
          <w:sz w:val="21"/>
          <w:szCs w:val="21"/>
          <w:lang w:val="es-ES"/>
        </w:rPr>
        <w:t xml:space="preserve"> deberán publicar la actividad contractual derivada de esos negocios en el SECOP ll, pero solo en caso de que la entidad pública que los contrata no lo cumpla, en la forma prevista en el numeral 1.8 de la Circular Externa </w:t>
      </w:r>
      <w:r w:rsidR="008B3375" w:rsidRPr="007A646F">
        <w:rPr>
          <w:rFonts w:ascii="Arial" w:hAnsi="Arial" w:cs="Arial"/>
          <w:sz w:val="21"/>
          <w:szCs w:val="21"/>
          <w:lang w:val="es-ES"/>
        </w:rPr>
        <w:t>Única</w:t>
      </w:r>
      <w:r w:rsidRPr="007A646F">
        <w:rPr>
          <w:rFonts w:ascii="Arial" w:hAnsi="Arial" w:cs="Arial"/>
          <w:sz w:val="21"/>
          <w:szCs w:val="21"/>
          <w:lang w:val="es-ES"/>
        </w:rPr>
        <w:t>.</w:t>
      </w:r>
      <w:r>
        <w:rPr>
          <w:rFonts w:ascii="Arial" w:hAnsi="Arial" w:cs="Arial"/>
          <w:sz w:val="21"/>
          <w:szCs w:val="21"/>
          <w:lang w:val="es-ES"/>
        </w:rPr>
        <w:t xml:space="preserve"> (</w:t>
      </w:r>
      <w:r w:rsidR="008B3375">
        <w:rPr>
          <w:rFonts w:ascii="Arial" w:hAnsi="Arial" w:cs="Arial"/>
          <w:sz w:val="21"/>
          <w:szCs w:val="21"/>
          <w:lang w:val="es-ES"/>
        </w:rPr>
        <w:t>Énfasis fuera de texto</w:t>
      </w:r>
      <w:r>
        <w:rPr>
          <w:rFonts w:ascii="Arial" w:hAnsi="Arial" w:cs="Arial"/>
          <w:sz w:val="21"/>
          <w:szCs w:val="21"/>
          <w:lang w:val="es-ES"/>
        </w:rPr>
        <w:t>)</w:t>
      </w:r>
    </w:p>
    <w:p w14:paraId="57E8E784" w14:textId="77777777" w:rsidR="00D70545" w:rsidRPr="007A646F" w:rsidRDefault="00D70545" w:rsidP="009F0D45">
      <w:pPr>
        <w:spacing w:before="0" w:after="0"/>
        <w:ind w:left="708"/>
        <w:rPr>
          <w:rFonts w:ascii="Arial" w:hAnsi="Arial" w:cs="Arial"/>
          <w:sz w:val="21"/>
          <w:szCs w:val="21"/>
          <w:lang w:val="es-ES"/>
        </w:rPr>
      </w:pPr>
    </w:p>
    <w:p w14:paraId="763DAAEC" w14:textId="1EEA4466" w:rsidR="00576C61" w:rsidRDefault="003D110D" w:rsidP="000775CE">
      <w:pPr>
        <w:spacing w:before="0"/>
        <w:ind w:firstLine="708"/>
        <w:rPr>
          <w:rFonts w:ascii="Arial" w:eastAsia="Calibri" w:hAnsi="Arial" w:cs="Arial"/>
          <w:bCs/>
          <w:color w:val="000000" w:themeColor="text1"/>
          <w:sz w:val="22"/>
          <w:lang w:val="es-ES"/>
        </w:rPr>
      </w:pPr>
      <w:r>
        <w:rPr>
          <w:rFonts w:ascii="Arial" w:eastAsia="Calibri" w:hAnsi="Arial" w:cs="Arial"/>
          <w:bCs/>
          <w:color w:val="000000" w:themeColor="text1"/>
          <w:sz w:val="22"/>
          <w:lang w:val="es-ES"/>
        </w:rPr>
        <w:t>Por lo tanto</w:t>
      </w:r>
      <w:r w:rsidR="00D70545">
        <w:rPr>
          <w:rFonts w:ascii="Arial" w:eastAsia="Calibri" w:hAnsi="Arial" w:cs="Arial"/>
          <w:bCs/>
          <w:color w:val="000000" w:themeColor="text1"/>
          <w:sz w:val="22"/>
          <w:lang w:val="es-ES"/>
        </w:rPr>
        <w:t xml:space="preserve">, </w:t>
      </w:r>
      <w:r w:rsidR="00C94866">
        <w:rPr>
          <w:rFonts w:ascii="Arial" w:eastAsia="Calibri" w:hAnsi="Arial" w:cs="Arial"/>
          <w:bCs/>
          <w:color w:val="000000" w:themeColor="text1"/>
          <w:sz w:val="22"/>
          <w:lang w:val="es-ES"/>
        </w:rPr>
        <w:t>para</w:t>
      </w:r>
      <w:r w:rsidR="00D70545">
        <w:rPr>
          <w:rFonts w:ascii="Arial" w:eastAsia="Calibri" w:hAnsi="Arial" w:cs="Arial"/>
          <w:bCs/>
          <w:color w:val="000000" w:themeColor="text1"/>
          <w:sz w:val="22"/>
          <w:lang w:val="es-ES"/>
        </w:rPr>
        <w:t xml:space="preserve"> los contratos fiduciarios suscritos con entidades estatales obligadas en el 2020 a publicar en el SECOP II, la fiduciaria deberá publicar en esa plataforma </w:t>
      </w:r>
      <w:r w:rsidR="00C16BB3">
        <w:rPr>
          <w:rFonts w:ascii="Arial" w:eastAsia="Calibri" w:hAnsi="Arial" w:cs="Arial"/>
          <w:bCs/>
          <w:color w:val="000000" w:themeColor="text1"/>
          <w:sz w:val="22"/>
          <w:lang w:val="es-ES"/>
        </w:rPr>
        <w:t xml:space="preserve">el contrato y la actividad contractual derivada </w:t>
      </w:r>
      <w:r w:rsidR="00D70545">
        <w:rPr>
          <w:rFonts w:ascii="Arial" w:eastAsia="Calibri" w:hAnsi="Arial" w:cs="Arial"/>
          <w:bCs/>
          <w:color w:val="000000" w:themeColor="text1"/>
          <w:sz w:val="22"/>
          <w:lang w:val="es-ES"/>
        </w:rPr>
        <w:t xml:space="preserve">y, como resulta lógico, para </w:t>
      </w:r>
      <w:r w:rsidR="00C94866">
        <w:rPr>
          <w:rFonts w:ascii="Arial" w:eastAsia="Calibri" w:hAnsi="Arial" w:cs="Arial"/>
          <w:bCs/>
          <w:color w:val="000000" w:themeColor="text1"/>
          <w:sz w:val="22"/>
          <w:lang w:val="es-ES"/>
        </w:rPr>
        <w:t xml:space="preserve">los contratos celebrados con </w:t>
      </w:r>
      <w:r w:rsidR="00D70545">
        <w:rPr>
          <w:rFonts w:ascii="Arial" w:eastAsia="Calibri" w:hAnsi="Arial" w:cs="Arial"/>
          <w:bCs/>
          <w:color w:val="000000" w:themeColor="text1"/>
          <w:sz w:val="22"/>
          <w:lang w:val="es-ES"/>
        </w:rPr>
        <w:t>aquellas entidades estatales obligadas</w:t>
      </w:r>
      <w:r w:rsidR="00955D93">
        <w:rPr>
          <w:rFonts w:ascii="Arial" w:eastAsia="Calibri" w:hAnsi="Arial" w:cs="Arial"/>
          <w:bCs/>
          <w:color w:val="000000" w:themeColor="text1"/>
          <w:sz w:val="22"/>
          <w:lang w:val="es-ES"/>
        </w:rPr>
        <w:t xml:space="preserve"> aún</w:t>
      </w:r>
      <w:r w:rsidR="00D70545">
        <w:rPr>
          <w:rFonts w:ascii="Arial" w:eastAsia="Calibri" w:hAnsi="Arial" w:cs="Arial"/>
          <w:bCs/>
          <w:color w:val="000000" w:themeColor="text1"/>
          <w:sz w:val="22"/>
          <w:lang w:val="es-ES"/>
        </w:rPr>
        <w:t xml:space="preserve"> a publicar en el SECOP I, la fiduciaria publicará en esta</w:t>
      </w:r>
      <w:r w:rsidR="000775CE">
        <w:rPr>
          <w:rFonts w:ascii="Arial" w:eastAsia="Calibri" w:hAnsi="Arial" w:cs="Arial"/>
          <w:bCs/>
          <w:color w:val="000000" w:themeColor="text1"/>
          <w:sz w:val="22"/>
          <w:lang w:val="es-ES"/>
        </w:rPr>
        <w:t xml:space="preserve"> otra</w:t>
      </w:r>
      <w:r w:rsidR="00D70545">
        <w:rPr>
          <w:rFonts w:ascii="Arial" w:eastAsia="Calibri" w:hAnsi="Arial" w:cs="Arial"/>
          <w:bCs/>
          <w:color w:val="000000" w:themeColor="text1"/>
          <w:sz w:val="22"/>
          <w:lang w:val="es-ES"/>
        </w:rPr>
        <w:t xml:space="preserve"> plataforma</w:t>
      </w:r>
      <w:r w:rsidR="000775CE">
        <w:rPr>
          <w:rFonts w:ascii="Arial" w:eastAsia="Calibri" w:hAnsi="Arial" w:cs="Arial"/>
          <w:bCs/>
          <w:color w:val="000000" w:themeColor="text1"/>
          <w:sz w:val="22"/>
          <w:lang w:val="es-ES"/>
        </w:rPr>
        <w:t xml:space="preserve"> como lo </w:t>
      </w:r>
      <w:r w:rsidR="008B3375">
        <w:rPr>
          <w:rFonts w:ascii="Arial" w:eastAsia="Calibri" w:hAnsi="Arial" w:cs="Arial"/>
          <w:bCs/>
          <w:color w:val="000000" w:themeColor="text1"/>
          <w:sz w:val="22"/>
          <w:lang w:val="es-ES"/>
        </w:rPr>
        <w:t>dispone</w:t>
      </w:r>
      <w:r w:rsidR="000775CE">
        <w:rPr>
          <w:rFonts w:ascii="Arial" w:eastAsia="Calibri" w:hAnsi="Arial" w:cs="Arial"/>
          <w:bCs/>
          <w:color w:val="000000" w:themeColor="text1"/>
          <w:sz w:val="22"/>
          <w:lang w:val="es-ES"/>
        </w:rPr>
        <w:t xml:space="preserve"> la Circular Externa Única de esta </w:t>
      </w:r>
      <w:r w:rsidR="008B3375">
        <w:rPr>
          <w:rFonts w:ascii="Arial" w:eastAsia="Calibri" w:hAnsi="Arial" w:cs="Arial"/>
          <w:bCs/>
          <w:color w:val="000000" w:themeColor="text1"/>
          <w:sz w:val="22"/>
          <w:lang w:val="es-ES"/>
        </w:rPr>
        <w:t>Agencia</w:t>
      </w:r>
      <w:r w:rsidR="00D70545">
        <w:rPr>
          <w:rFonts w:ascii="Arial" w:eastAsia="Calibri" w:hAnsi="Arial" w:cs="Arial"/>
          <w:bCs/>
          <w:color w:val="000000" w:themeColor="text1"/>
          <w:sz w:val="22"/>
          <w:lang w:val="es-ES"/>
        </w:rPr>
        <w:t xml:space="preserve">. </w:t>
      </w:r>
    </w:p>
    <w:p w14:paraId="12C652E3" w14:textId="12611CE0" w:rsidR="003F346A" w:rsidRPr="00481BD6" w:rsidRDefault="003F346A" w:rsidP="003F346A">
      <w:pPr>
        <w:ind w:firstLine="709"/>
        <w:rPr>
          <w:rFonts w:ascii="Arial" w:eastAsia="Calibri" w:hAnsi="Arial" w:cs="Arial"/>
          <w:color w:val="000000" w:themeColor="text1"/>
          <w:sz w:val="22"/>
          <w:lang w:val="es-ES"/>
        </w:rPr>
      </w:pPr>
      <w:r>
        <w:rPr>
          <w:rFonts w:ascii="Arial" w:eastAsia="Calibri" w:hAnsi="Arial" w:cs="Arial"/>
          <w:color w:val="000000" w:themeColor="text1"/>
          <w:sz w:val="22"/>
          <w:lang w:val="es-ES"/>
        </w:rPr>
        <w:t>De otra parte, p</w:t>
      </w:r>
      <w:r w:rsidRPr="00481BD6">
        <w:rPr>
          <w:rFonts w:ascii="Arial" w:eastAsia="Calibri" w:hAnsi="Arial" w:cs="Arial"/>
          <w:color w:val="000000" w:themeColor="text1"/>
          <w:sz w:val="22"/>
          <w:lang w:val="es-ES"/>
        </w:rPr>
        <w:t xml:space="preserve">ara el cumplimiento de </w:t>
      </w:r>
      <w:r>
        <w:rPr>
          <w:rFonts w:ascii="Arial" w:eastAsia="Calibri" w:hAnsi="Arial" w:cs="Arial"/>
          <w:color w:val="000000" w:themeColor="text1"/>
          <w:sz w:val="22"/>
          <w:lang w:val="es-ES"/>
        </w:rPr>
        <w:t>esta</w:t>
      </w:r>
      <w:r w:rsidRPr="00481BD6">
        <w:rPr>
          <w:rFonts w:ascii="Arial" w:eastAsia="Calibri" w:hAnsi="Arial" w:cs="Arial"/>
          <w:color w:val="000000" w:themeColor="text1"/>
          <w:sz w:val="22"/>
          <w:lang w:val="es-ES"/>
        </w:rPr>
        <w:t xml:space="preserve"> obligación</w:t>
      </w:r>
      <w:r>
        <w:rPr>
          <w:rFonts w:ascii="Arial" w:eastAsia="Calibri" w:hAnsi="Arial" w:cs="Arial"/>
          <w:color w:val="000000" w:themeColor="text1"/>
          <w:sz w:val="22"/>
          <w:lang w:val="es-ES"/>
        </w:rPr>
        <w:t>,</w:t>
      </w:r>
      <w:r w:rsidRPr="00481BD6">
        <w:rPr>
          <w:rFonts w:ascii="Arial" w:eastAsia="Calibri" w:hAnsi="Arial" w:cs="Arial"/>
          <w:color w:val="000000" w:themeColor="text1"/>
          <w:sz w:val="22"/>
          <w:lang w:val="es-ES"/>
        </w:rPr>
        <w:t xml:space="preserve"> se debe distinguir si el contrato a publicar está o no sometido al Régimen General de Contratación de la Administración Pública. Si lo está, «la Entidad Estatal deberá usar la funcionalidad de la modalidad de selección correspondiente», como lo dispone la Circular Externa Única de Colombia Compra Eficiente. Si no lo está, la entidad debe utilizar el módulo «Régimen Especial» del SECOP II</w:t>
      </w:r>
      <w:r w:rsidR="00944F0C">
        <w:rPr>
          <w:rFonts w:ascii="Arial" w:eastAsia="Calibri" w:hAnsi="Arial" w:cs="Arial"/>
          <w:color w:val="000000" w:themeColor="text1"/>
          <w:sz w:val="22"/>
          <w:lang w:val="es-ES"/>
        </w:rPr>
        <w:t>.</w:t>
      </w:r>
      <w:r w:rsidRPr="00481BD6">
        <w:rPr>
          <w:rFonts w:ascii="Arial" w:eastAsia="Calibri" w:hAnsi="Arial" w:cs="Arial"/>
          <w:color w:val="000000" w:themeColor="text1"/>
          <w:sz w:val="22"/>
          <w:lang w:val="es-ES"/>
        </w:rPr>
        <w:t xml:space="preserve"> </w:t>
      </w:r>
      <w:r w:rsidR="00944F0C">
        <w:rPr>
          <w:rFonts w:ascii="Arial" w:hAnsi="Arial" w:cs="Arial"/>
          <w:color w:val="000000" w:themeColor="text1"/>
          <w:sz w:val="22"/>
          <w:lang w:val="es-ES"/>
        </w:rPr>
        <w:t>P</w:t>
      </w:r>
      <w:r w:rsidRPr="00481BD6">
        <w:rPr>
          <w:rFonts w:ascii="Arial" w:hAnsi="Arial" w:cs="Arial"/>
          <w:color w:val="000000" w:themeColor="text1"/>
          <w:sz w:val="22"/>
          <w:lang w:val="es-ES"/>
        </w:rPr>
        <w:t xml:space="preserve">ara tales fines, la plataforma tiene habilitados dos módulos: i) el </w:t>
      </w:r>
      <w:r w:rsidRPr="00481BD6">
        <w:rPr>
          <w:rFonts w:ascii="Arial" w:hAnsi="Arial" w:cs="Arial"/>
          <w:i/>
          <w:iCs/>
          <w:color w:val="000000" w:themeColor="text1"/>
          <w:sz w:val="22"/>
          <w:lang w:val="es-ES"/>
        </w:rPr>
        <w:t>Módulo Régimen Especial −con ofertas−</w:t>
      </w:r>
      <w:r w:rsidRPr="00481BD6">
        <w:rPr>
          <w:rFonts w:ascii="Arial" w:hAnsi="Arial" w:cs="Arial"/>
          <w:color w:val="000000" w:themeColor="text1"/>
          <w:sz w:val="22"/>
          <w:lang w:val="es-ES"/>
        </w:rPr>
        <w:t xml:space="preserve">, dispuesto para los procesos competitivos; y ii) </w:t>
      </w:r>
      <w:r w:rsidRPr="00481BD6">
        <w:rPr>
          <w:rFonts w:ascii="Arial" w:hAnsi="Arial" w:cs="Arial"/>
          <w:i/>
          <w:iCs/>
          <w:color w:val="000000" w:themeColor="text1"/>
          <w:sz w:val="22"/>
          <w:lang w:val="es-ES"/>
        </w:rPr>
        <w:t>Módulo Régimen Especial −sin ofertas−</w:t>
      </w:r>
      <w:r w:rsidRPr="00481BD6">
        <w:rPr>
          <w:rFonts w:ascii="Arial" w:hAnsi="Arial" w:cs="Arial"/>
          <w:color w:val="000000" w:themeColor="text1"/>
          <w:sz w:val="22"/>
          <w:lang w:val="es-ES"/>
        </w:rPr>
        <w:t xml:space="preserve">, diseñado para aquellos eventos en los que no se requiere adelantar un proceso </w:t>
      </w:r>
      <w:r w:rsidR="008B3375">
        <w:rPr>
          <w:rFonts w:ascii="Arial" w:hAnsi="Arial" w:cs="Arial"/>
          <w:color w:val="000000" w:themeColor="text1"/>
          <w:sz w:val="22"/>
          <w:lang w:val="es-ES"/>
        </w:rPr>
        <w:t>con pluralidad de oferente</w:t>
      </w:r>
      <w:r w:rsidRPr="00481BD6">
        <w:rPr>
          <w:rFonts w:ascii="Arial" w:hAnsi="Arial" w:cs="Arial"/>
          <w:color w:val="000000" w:themeColor="text1"/>
          <w:sz w:val="22"/>
          <w:lang w:val="es-ES"/>
        </w:rPr>
        <w:t xml:space="preserve">. En ambos casos, </w:t>
      </w:r>
      <w:r w:rsidRPr="00481BD6">
        <w:rPr>
          <w:rFonts w:ascii="Arial" w:eastAsia="Calibri" w:hAnsi="Arial" w:cs="Arial"/>
          <w:color w:val="000000" w:themeColor="text1"/>
          <w:sz w:val="22"/>
          <w:lang w:val="es-ES"/>
        </w:rPr>
        <w:t xml:space="preserve">la entidad puede elegir si firma el contrato electrónicamente, esto es, utiliza el módulo de gestión contractual del SECOP II con registro por parte del </w:t>
      </w:r>
      <w:r w:rsidR="008B3375">
        <w:rPr>
          <w:rFonts w:ascii="Arial" w:eastAsia="Calibri" w:hAnsi="Arial" w:cs="Arial"/>
          <w:color w:val="000000" w:themeColor="text1"/>
          <w:sz w:val="22"/>
          <w:lang w:val="es-ES"/>
        </w:rPr>
        <w:t>p</w:t>
      </w:r>
      <w:r w:rsidRPr="00481BD6">
        <w:rPr>
          <w:rFonts w:ascii="Arial" w:eastAsia="Calibri" w:hAnsi="Arial" w:cs="Arial"/>
          <w:color w:val="000000" w:themeColor="text1"/>
          <w:sz w:val="22"/>
          <w:lang w:val="es-ES"/>
        </w:rPr>
        <w:t>roveedor y firma electrónica, o si firma el contrato en físico y publica los documentos de ejecución en la etapa precontractual del SECOP II «Etapa de Proceso».</w:t>
      </w:r>
    </w:p>
    <w:p w14:paraId="5D669BDD" w14:textId="329D6A68" w:rsidR="003F346A" w:rsidRPr="00481BD6" w:rsidRDefault="003F346A" w:rsidP="003F346A">
      <w:pPr>
        <w:ind w:firstLine="709"/>
        <w:rPr>
          <w:rFonts w:ascii="Arial" w:eastAsia="Calibri" w:hAnsi="Arial" w:cs="Arial"/>
          <w:color w:val="000000" w:themeColor="text1"/>
          <w:sz w:val="22"/>
          <w:lang w:val="es-ES"/>
        </w:rPr>
      </w:pPr>
      <w:r w:rsidRPr="00481BD6">
        <w:rPr>
          <w:rFonts w:ascii="Arial" w:eastAsia="Calibri" w:hAnsi="Arial" w:cs="Arial"/>
          <w:color w:val="000000" w:themeColor="text1"/>
          <w:sz w:val="22"/>
          <w:lang w:val="es-ES"/>
        </w:rPr>
        <w:t xml:space="preserve">En ese sentido, «quien firma por parte de la fiduciaria tendría que crear un usuario del SECOP II y solicitar acceso a la cuenta de la Entidad Estatal para realizar la firma electrónica. En el segundo caso, quien firma por parte de la fiduciaria suscribiría el contrato en físico y la Entidad Estatal cargaría del contrato en la fase de “Proceso”. Para poder publicar el contrato y cualquier documento de ejecución contractual en la fase “Proceso” no se debe finalizar dicha etapa, pues esta acción cierra el expediente contractual impidiendo cualquier publicación posterior», según lo expone la Circular Externa. </w:t>
      </w:r>
    </w:p>
    <w:p w14:paraId="29D1FFFA" w14:textId="097CCCF2" w:rsidR="00D8073A" w:rsidRDefault="000A1295" w:rsidP="009F0D45">
      <w:pPr>
        <w:spacing w:before="0" w:after="0"/>
        <w:ind w:firstLine="708"/>
        <w:rPr>
          <w:rFonts w:ascii="Arial" w:eastAsia="Calibri" w:hAnsi="Arial" w:cs="Arial"/>
          <w:color w:val="000000" w:themeColor="text1"/>
          <w:sz w:val="22"/>
          <w:lang w:val="es-ES"/>
        </w:rPr>
      </w:pPr>
      <w:bookmarkStart w:id="3" w:name="_Hlk43124538"/>
      <w:r>
        <w:rPr>
          <w:rFonts w:ascii="Arial" w:eastAsia="Calibri" w:hAnsi="Arial" w:cs="Arial"/>
          <w:bCs/>
          <w:color w:val="000000" w:themeColor="text1"/>
          <w:sz w:val="22"/>
          <w:lang w:val="es-ES"/>
        </w:rPr>
        <w:t xml:space="preserve">Para el caso </w:t>
      </w:r>
      <w:r w:rsidR="00890D44">
        <w:rPr>
          <w:rFonts w:ascii="Arial" w:eastAsia="Calibri" w:hAnsi="Arial" w:cs="Arial"/>
          <w:bCs/>
          <w:color w:val="000000" w:themeColor="text1"/>
          <w:sz w:val="22"/>
          <w:lang w:val="es-ES"/>
        </w:rPr>
        <w:t>en que</w:t>
      </w:r>
      <w:r>
        <w:rPr>
          <w:rFonts w:ascii="Arial" w:eastAsia="Calibri" w:hAnsi="Arial" w:cs="Arial"/>
          <w:bCs/>
          <w:color w:val="000000" w:themeColor="text1"/>
          <w:sz w:val="22"/>
          <w:lang w:val="es-ES"/>
        </w:rPr>
        <w:t xml:space="preserve"> la fiduciaria </w:t>
      </w:r>
      <w:r w:rsidR="00890D44">
        <w:rPr>
          <w:rFonts w:ascii="Arial" w:eastAsia="Calibri" w:hAnsi="Arial" w:cs="Arial"/>
          <w:bCs/>
          <w:color w:val="000000" w:themeColor="text1"/>
          <w:sz w:val="22"/>
          <w:lang w:val="es-ES"/>
        </w:rPr>
        <w:t>realice</w:t>
      </w:r>
      <w:r>
        <w:rPr>
          <w:rFonts w:ascii="Arial" w:eastAsia="Calibri" w:hAnsi="Arial" w:cs="Arial"/>
          <w:bCs/>
          <w:color w:val="000000" w:themeColor="text1"/>
          <w:sz w:val="22"/>
          <w:lang w:val="es-ES"/>
        </w:rPr>
        <w:t xml:space="preserve"> la publicación de manera directa, la Circular Externa Única </w:t>
      </w:r>
      <w:r w:rsidR="00890D44">
        <w:rPr>
          <w:rFonts w:ascii="Arial" w:eastAsia="Calibri" w:hAnsi="Arial" w:cs="Arial"/>
          <w:bCs/>
          <w:color w:val="000000" w:themeColor="text1"/>
          <w:sz w:val="22"/>
          <w:lang w:val="es-ES"/>
        </w:rPr>
        <w:t xml:space="preserve">dispone que </w:t>
      </w:r>
      <w:r>
        <w:rPr>
          <w:rFonts w:ascii="Arial" w:eastAsia="Calibri" w:hAnsi="Arial" w:cs="Arial"/>
          <w:bCs/>
          <w:color w:val="000000" w:themeColor="text1"/>
          <w:sz w:val="22"/>
          <w:lang w:val="es-ES"/>
        </w:rPr>
        <w:t>esto se hará</w:t>
      </w:r>
      <w:r>
        <w:rPr>
          <w:rFonts w:ascii="Arial" w:eastAsia="Calibri" w:hAnsi="Arial" w:cs="Arial"/>
          <w:color w:val="000000" w:themeColor="text1"/>
          <w:sz w:val="22"/>
          <w:lang w:val="es-ES"/>
        </w:rPr>
        <w:t xml:space="preserve"> «</w:t>
      </w:r>
      <w:r w:rsidRPr="00481BD6">
        <w:rPr>
          <w:rFonts w:ascii="Arial" w:eastAsia="Calibri" w:hAnsi="Arial" w:cs="Arial"/>
          <w:color w:val="000000" w:themeColor="text1"/>
          <w:sz w:val="22"/>
          <w:lang w:val="es-ES"/>
        </w:rPr>
        <w:t xml:space="preserve">mediante una cuenta de entidad compradora en </w:t>
      </w:r>
      <w:r w:rsidRPr="00481BD6">
        <w:rPr>
          <w:rFonts w:ascii="Arial" w:eastAsia="Calibri" w:hAnsi="Arial" w:cs="Arial"/>
          <w:color w:val="000000" w:themeColor="text1"/>
          <w:sz w:val="22"/>
          <w:lang w:val="es-ES"/>
        </w:rPr>
        <w:lastRenderedPageBreak/>
        <w:t>el módulo de régimen especial</w:t>
      </w:r>
      <w:r>
        <w:rPr>
          <w:rFonts w:ascii="Arial" w:eastAsia="Calibri" w:hAnsi="Arial" w:cs="Arial"/>
          <w:color w:val="000000" w:themeColor="text1"/>
          <w:sz w:val="22"/>
          <w:lang w:val="es-ES"/>
        </w:rPr>
        <w:t xml:space="preserve">. </w:t>
      </w:r>
      <w:r w:rsidRPr="000A1295">
        <w:rPr>
          <w:rFonts w:ascii="Arial" w:eastAsia="Calibri" w:hAnsi="Arial" w:cs="Arial"/>
          <w:color w:val="000000" w:themeColor="text1"/>
          <w:sz w:val="22"/>
          <w:lang w:val="es-ES"/>
        </w:rPr>
        <w:t>En este caso Colombia Compra Eficiente recomienda que se cree una cuenta por patrimonio autónomo con la información correspondiente de la fiduciaria en su calidad de vocero</w:t>
      </w:r>
      <w:r w:rsidRPr="00481BD6">
        <w:rPr>
          <w:rFonts w:ascii="Arial" w:eastAsia="Calibri" w:hAnsi="Arial" w:cs="Arial"/>
          <w:color w:val="000000" w:themeColor="text1"/>
          <w:sz w:val="22"/>
          <w:lang w:val="es-ES"/>
        </w:rPr>
        <w:t>»</w:t>
      </w:r>
      <w:bookmarkEnd w:id="3"/>
      <w:r w:rsidRPr="00481BD6">
        <w:rPr>
          <w:rStyle w:val="Refdenotaalpie"/>
          <w:rFonts w:ascii="Arial" w:eastAsia="Calibri" w:hAnsi="Arial" w:cs="Arial"/>
          <w:color w:val="000000" w:themeColor="text1"/>
          <w:sz w:val="22"/>
          <w:lang w:val="es-ES"/>
        </w:rPr>
        <w:footnoteReference w:id="8"/>
      </w:r>
      <w:r w:rsidRPr="00481BD6">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w:t>
      </w:r>
      <w:r w:rsidR="00D8073A">
        <w:rPr>
          <w:rFonts w:ascii="Arial" w:eastAsia="Calibri" w:hAnsi="Arial" w:cs="Arial"/>
          <w:color w:val="000000" w:themeColor="text1"/>
          <w:sz w:val="22"/>
          <w:lang w:val="es-ES"/>
        </w:rPr>
        <w:t xml:space="preserve">La creación de la cuenta en una u otra plataforma, SECOP I o SECOP II, como se explicó, dependerá de cuál de estas plataformas debe utilizar la </w:t>
      </w:r>
      <w:r w:rsidR="00283597">
        <w:rPr>
          <w:rFonts w:ascii="Arial" w:eastAsia="Calibri" w:hAnsi="Arial" w:cs="Arial"/>
          <w:color w:val="000000" w:themeColor="text1"/>
          <w:sz w:val="22"/>
          <w:lang w:val="es-ES"/>
        </w:rPr>
        <w:t xml:space="preserve">entidad estatal </w:t>
      </w:r>
      <w:r w:rsidR="00D8073A">
        <w:rPr>
          <w:rFonts w:ascii="Arial" w:eastAsia="Calibri" w:hAnsi="Arial" w:cs="Arial"/>
          <w:color w:val="000000" w:themeColor="text1"/>
          <w:sz w:val="22"/>
          <w:lang w:val="es-ES"/>
        </w:rPr>
        <w:t xml:space="preserve">para publicar su actividad contractual. </w:t>
      </w:r>
    </w:p>
    <w:p w14:paraId="5EA3CBCA" w14:textId="77777777" w:rsidR="00EF784D" w:rsidRDefault="00EF784D" w:rsidP="009F0D45">
      <w:pPr>
        <w:spacing w:before="0" w:after="0"/>
        <w:ind w:firstLine="708"/>
        <w:rPr>
          <w:rFonts w:ascii="Arial" w:eastAsia="Calibri" w:hAnsi="Arial" w:cs="Arial"/>
          <w:color w:val="000000" w:themeColor="text1"/>
          <w:sz w:val="22"/>
          <w:lang w:val="es-ES"/>
        </w:rPr>
      </w:pPr>
    </w:p>
    <w:p w14:paraId="4F21F51D" w14:textId="61A8059A" w:rsidR="00EF784D" w:rsidRDefault="00EF784D" w:rsidP="009F0D45">
      <w:pPr>
        <w:spacing w:before="0" w:after="0"/>
        <w:rPr>
          <w:rFonts w:ascii="Arial" w:hAnsi="Arial" w:cs="Arial"/>
          <w:b/>
          <w:bCs/>
          <w:color w:val="000000" w:themeColor="text1"/>
          <w:sz w:val="22"/>
          <w:lang w:val="es-ES"/>
        </w:rPr>
      </w:pPr>
      <w:r w:rsidRPr="00481BD6">
        <w:rPr>
          <w:rFonts w:ascii="Arial" w:hAnsi="Arial" w:cs="Arial"/>
          <w:b/>
          <w:bCs/>
          <w:color w:val="000000" w:themeColor="text1"/>
          <w:sz w:val="22"/>
          <w:lang w:val="es-ES"/>
        </w:rPr>
        <w:t>2.</w:t>
      </w:r>
      <w:r>
        <w:rPr>
          <w:rFonts w:ascii="Arial" w:hAnsi="Arial" w:cs="Arial"/>
          <w:b/>
          <w:bCs/>
          <w:color w:val="000000" w:themeColor="text1"/>
          <w:sz w:val="22"/>
          <w:lang w:val="es-ES"/>
        </w:rPr>
        <w:t>4</w:t>
      </w:r>
      <w:r w:rsidRPr="00481BD6">
        <w:rPr>
          <w:rFonts w:ascii="Arial" w:hAnsi="Arial" w:cs="Arial"/>
          <w:b/>
          <w:bCs/>
          <w:color w:val="000000" w:themeColor="text1"/>
          <w:sz w:val="22"/>
          <w:lang w:val="es-ES"/>
        </w:rPr>
        <w:t xml:space="preserve">. </w:t>
      </w:r>
      <w:r w:rsidR="0090216C" w:rsidRPr="009F0D45">
        <w:rPr>
          <w:rFonts w:ascii="Arial" w:hAnsi="Arial" w:cs="Arial"/>
          <w:b/>
          <w:bCs/>
          <w:color w:val="000000" w:themeColor="text1"/>
          <w:sz w:val="22"/>
          <w:lang w:val="es-ES"/>
        </w:rPr>
        <w:t>L</w:t>
      </w:r>
      <w:r w:rsidRPr="0090216C">
        <w:rPr>
          <w:rFonts w:ascii="Arial" w:hAnsi="Arial" w:cs="Arial"/>
          <w:b/>
          <w:bCs/>
          <w:color w:val="000000" w:themeColor="text1"/>
          <w:sz w:val="22"/>
          <w:lang w:val="es-ES"/>
        </w:rPr>
        <w:t xml:space="preserve">as </w:t>
      </w:r>
      <w:r w:rsidR="00430C52" w:rsidRPr="0090216C">
        <w:rPr>
          <w:rFonts w:ascii="Arial" w:hAnsi="Arial" w:cs="Arial"/>
          <w:b/>
          <w:bCs/>
          <w:color w:val="000000" w:themeColor="text1"/>
          <w:sz w:val="22"/>
          <w:lang w:val="es-ES"/>
        </w:rPr>
        <w:t>f</w:t>
      </w:r>
      <w:r w:rsidRPr="0090216C">
        <w:rPr>
          <w:rFonts w:ascii="Arial" w:hAnsi="Arial" w:cs="Arial"/>
          <w:b/>
          <w:bCs/>
          <w:color w:val="000000" w:themeColor="text1"/>
          <w:sz w:val="22"/>
          <w:lang w:val="es-ES"/>
        </w:rPr>
        <w:t xml:space="preserve">iduciarias </w:t>
      </w:r>
      <w:r w:rsidR="00E31CD0" w:rsidRPr="0090216C">
        <w:rPr>
          <w:rFonts w:ascii="Arial" w:hAnsi="Arial" w:cs="Arial"/>
          <w:b/>
          <w:bCs/>
          <w:color w:val="000000" w:themeColor="text1"/>
          <w:sz w:val="22"/>
          <w:lang w:val="es-ES"/>
        </w:rPr>
        <w:t xml:space="preserve">carecen de la </w:t>
      </w:r>
      <w:r w:rsidR="0090216C">
        <w:rPr>
          <w:rFonts w:ascii="Arial" w:hAnsi="Arial" w:cs="Arial"/>
          <w:b/>
          <w:bCs/>
          <w:color w:val="000000" w:themeColor="text1"/>
          <w:sz w:val="22"/>
          <w:lang w:val="es-ES"/>
        </w:rPr>
        <w:t>facultad</w:t>
      </w:r>
      <w:r w:rsidR="00E31CD0" w:rsidRPr="0090216C">
        <w:rPr>
          <w:rFonts w:ascii="Arial" w:hAnsi="Arial" w:cs="Arial"/>
          <w:b/>
          <w:bCs/>
          <w:color w:val="000000" w:themeColor="text1"/>
          <w:sz w:val="22"/>
          <w:lang w:val="es-ES"/>
        </w:rPr>
        <w:t xml:space="preserve"> </w:t>
      </w:r>
      <w:r w:rsidR="006313DC" w:rsidRPr="0090216C">
        <w:rPr>
          <w:rFonts w:ascii="Arial" w:hAnsi="Arial" w:cs="Arial"/>
          <w:b/>
          <w:bCs/>
          <w:color w:val="000000" w:themeColor="text1"/>
          <w:sz w:val="22"/>
          <w:lang w:val="es-ES"/>
        </w:rPr>
        <w:t>para</w:t>
      </w:r>
      <w:r w:rsidRPr="0090216C">
        <w:rPr>
          <w:rFonts w:ascii="Arial" w:hAnsi="Arial" w:cs="Arial"/>
          <w:b/>
          <w:bCs/>
          <w:color w:val="000000" w:themeColor="text1"/>
          <w:sz w:val="22"/>
          <w:lang w:val="es-ES"/>
        </w:rPr>
        <w:t xml:space="preserve"> seleccionar contratistas y adjudicar contratos </w:t>
      </w:r>
    </w:p>
    <w:p w14:paraId="025F4220" w14:textId="6D013F55" w:rsidR="00EF784D" w:rsidRDefault="00EF784D" w:rsidP="009F0D45">
      <w:pPr>
        <w:spacing w:before="0" w:after="0"/>
        <w:rPr>
          <w:rFonts w:ascii="Arial" w:hAnsi="Arial" w:cs="Arial"/>
          <w:color w:val="000000" w:themeColor="text1"/>
          <w:sz w:val="22"/>
          <w:lang w:val="es-ES"/>
        </w:rPr>
      </w:pPr>
    </w:p>
    <w:p w14:paraId="5B996086" w14:textId="1B0419E4" w:rsidR="00EF784D" w:rsidRDefault="00C82222" w:rsidP="00E01EC8">
      <w:pPr>
        <w:spacing w:before="0" w:after="0"/>
        <w:rPr>
          <w:rFonts w:ascii="Arial" w:hAnsi="Arial" w:cs="Arial"/>
          <w:color w:val="000000" w:themeColor="text1"/>
          <w:sz w:val="22"/>
          <w:lang w:val="es-ES"/>
        </w:rPr>
      </w:pPr>
      <w:r>
        <w:rPr>
          <w:rFonts w:ascii="Arial" w:hAnsi="Arial" w:cs="Arial"/>
          <w:color w:val="000000" w:themeColor="text1"/>
          <w:sz w:val="22"/>
          <w:lang w:val="es-ES"/>
        </w:rPr>
        <w:t xml:space="preserve">Para </w:t>
      </w:r>
      <w:r w:rsidR="00EF784D">
        <w:rPr>
          <w:rFonts w:ascii="Arial" w:hAnsi="Arial" w:cs="Arial"/>
          <w:color w:val="000000" w:themeColor="text1"/>
          <w:sz w:val="22"/>
          <w:lang w:val="es-ES"/>
        </w:rPr>
        <w:t>las entidades estatales sometidas al Estatuto General de Contratación de la Administración Pública</w:t>
      </w:r>
      <w:r>
        <w:rPr>
          <w:rFonts w:ascii="Arial" w:hAnsi="Arial" w:cs="Arial"/>
          <w:color w:val="000000" w:themeColor="text1"/>
          <w:sz w:val="22"/>
          <w:lang w:val="es-ES"/>
        </w:rPr>
        <w:t>, e</w:t>
      </w:r>
      <w:r w:rsidR="00EF784D">
        <w:rPr>
          <w:rFonts w:ascii="Arial" w:hAnsi="Arial" w:cs="Arial"/>
          <w:color w:val="000000" w:themeColor="text1"/>
          <w:sz w:val="22"/>
          <w:lang w:val="es-ES"/>
        </w:rPr>
        <w:t>l artículo 3</w:t>
      </w:r>
      <w:r w:rsidR="00A87F39">
        <w:rPr>
          <w:rFonts w:ascii="Arial" w:hAnsi="Arial" w:cs="Arial"/>
          <w:color w:val="000000" w:themeColor="text1"/>
          <w:sz w:val="22"/>
          <w:lang w:val="es-ES"/>
        </w:rPr>
        <w:t>2</w:t>
      </w:r>
      <w:r>
        <w:rPr>
          <w:rFonts w:ascii="Arial" w:hAnsi="Arial" w:cs="Arial"/>
          <w:color w:val="000000" w:themeColor="text1"/>
          <w:sz w:val="22"/>
          <w:lang w:val="es-ES"/>
        </w:rPr>
        <w:t>,</w:t>
      </w:r>
      <w:r w:rsidR="00EF784D">
        <w:rPr>
          <w:rFonts w:ascii="Arial" w:hAnsi="Arial" w:cs="Arial"/>
          <w:color w:val="000000" w:themeColor="text1"/>
          <w:sz w:val="22"/>
          <w:lang w:val="es-ES"/>
        </w:rPr>
        <w:t xml:space="preserve"> numeral 5</w:t>
      </w:r>
      <w:r>
        <w:rPr>
          <w:rFonts w:ascii="Arial" w:hAnsi="Arial" w:cs="Arial"/>
          <w:color w:val="000000" w:themeColor="text1"/>
          <w:sz w:val="22"/>
          <w:lang w:val="es-ES"/>
        </w:rPr>
        <w:t>, de la Ley 80 de 1993</w:t>
      </w:r>
      <w:r w:rsidR="00EF784D">
        <w:rPr>
          <w:rFonts w:ascii="Arial" w:hAnsi="Arial" w:cs="Arial"/>
          <w:color w:val="000000" w:themeColor="text1"/>
          <w:sz w:val="22"/>
          <w:lang w:val="es-ES"/>
        </w:rPr>
        <w:t xml:space="preserve"> </w:t>
      </w:r>
      <w:r>
        <w:rPr>
          <w:rFonts w:ascii="Arial" w:hAnsi="Arial" w:cs="Arial"/>
          <w:color w:val="000000" w:themeColor="text1"/>
          <w:sz w:val="22"/>
          <w:lang w:val="es-ES"/>
        </w:rPr>
        <w:t xml:space="preserve">define </w:t>
      </w:r>
      <w:r w:rsidR="00EF784D">
        <w:rPr>
          <w:rFonts w:ascii="Arial" w:hAnsi="Arial" w:cs="Arial"/>
          <w:color w:val="000000" w:themeColor="text1"/>
          <w:sz w:val="22"/>
          <w:lang w:val="es-ES"/>
        </w:rPr>
        <w:t xml:space="preserve">el tipo contractual de fiducia pública o encargo fiduciario. El inciso segundo del mencionado numeral prescribe lo siguiente: </w:t>
      </w:r>
    </w:p>
    <w:p w14:paraId="66B80EC8" w14:textId="3E1BEB1E" w:rsidR="00EF784D" w:rsidRDefault="00EF784D" w:rsidP="009F0D45">
      <w:pPr>
        <w:spacing w:before="0" w:after="0"/>
        <w:rPr>
          <w:rFonts w:ascii="Arial" w:hAnsi="Arial" w:cs="Arial"/>
          <w:color w:val="000000" w:themeColor="text1"/>
          <w:sz w:val="22"/>
          <w:lang w:val="es-ES"/>
        </w:rPr>
      </w:pPr>
    </w:p>
    <w:p w14:paraId="689E1521" w14:textId="2558ED8B" w:rsidR="00EF784D" w:rsidRPr="00EF784D" w:rsidRDefault="00A87F39" w:rsidP="009F0D45">
      <w:pPr>
        <w:spacing w:before="0" w:after="0" w:line="240" w:lineRule="auto"/>
        <w:ind w:left="708" w:right="758"/>
        <w:rPr>
          <w:rFonts w:ascii="Arial" w:hAnsi="Arial" w:cs="Arial"/>
          <w:color w:val="000000" w:themeColor="text1"/>
          <w:sz w:val="21"/>
          <w:szCs w:val="21"/>
          <w:lang w:val="es-ES"/>
        </w:rPr>
      </w:pPr>
      <w:r>
        <w:rPr>
          <w:rFonts w:ascii="Arial" w:hAnsi="Arial" w:cs="Arial"/>
          <w:color w:val="000000" w:themeColor="text1"/>
          <w:sz w:val="21"/>
          <w:szCs w:val="21"/>
          <w:lang w:val="es-ES"/>
        </w:rPr>
        <w:t xml:space="preserve">[…] </w:t>
      </w:r>
      <w:r w:rsidR="00EF784D" w:rsidRPr="00EF784D">
        <w:rPr>
          <w:rFonts w:ascii="Arial" w:hAnsi="Arial" w:cs="Arial"/>
          <w:color w:val="000000" w:themeColor="text1"/>
          <w:sz w:val="21"/>
          <w:szCs w:val="21"/>
          <w:lang w:val="es-ES"/>
        </w:rPr>
        <w:t>En ningún caso las entidades públicas fideicomitentes podrán delegar en las sociedades fiduciarias la adjudicación de los contratos que se celebren en desarrollo del encargo o de la fiducia pública, ni pactar su remuneración con cargo a los rendimientos del fideicomiso, salvo que éstos se encuentren presupuestados.</w:t>
      </w:r>
    </w:p>
    <w:p w14:paraId="5017BD48" w14:textId="6D8CAD4E" w:rsidR="00EF784D" w:rsidRDefault="00EF784D" w:rsidP="009F0D45">
      <w:pPr>
        <w:spacing w:before="0" w:after="0"/>
        <w:rPr>
          <w:rFonts w:ascii="Arial" w:hAnsi="Arial" w:cs="Arial"/>
          <w:color w:val="000000" w:themeColor="text1"/>
          <w:sz w:val="22"/>
          <w:lang w:val="es-ES"/>
        </w:rPr>
      </w:pPr>
    </w:p>
    <w:p w14:paraId="26D10C88" w14:textId="5D71D880" w:rsidR="000F2709" w:rsidRDefault="00EF784D" w:rsidP="00EF784D">
      <w:pPr>
        <w:spacing w:before="0"/>
        <w:rPr>
          <w:rFonts w:ascii="Arial" w:hAnsi="Arial" w:cs="Arial"/>
          <w:color w:val="000000" w:themeColor="text1"/>
          <w:sz w:val="22"/>
          <w:lang w:val="es-ES"/>
        </w:rPr>
      </w:pPr>
      <w:r>
        <w:rPr>
          <w:rFonts w:ascii="Arial" w:hAnsi="Arial" w:cs="Arial"/>
          <w:color w:val="000000" w:themeColor="text1"/>
          <w:sz w:val="22"/>
          <w:lang w:val="es-ES"/>
        </w:rPr>
        <w:tab/>
        <w:t xml:space="preserve">La prohibición </w:t>
      </w:r>
      <w:r w:rsidR="00A87F39">
        <w:rPr>
          <w:rFonts w:ascii="Arial" w:hAnsi="Arial" w:cs="Arial"/>
          <w:color w:val="000000" w:themeColor="text1"/>
          <w:sz w:val="22"/>
          <w:lang w:val="es-ES"/>
        </w:rPr>
        <w:t>citada</w:t>
      </w:r>
      <w:r>
        <w:rPr>
          <w:rFonts w:ascii="Arial" w:hAnsi="Arial" w:cs="Arial"/>
          <w:color w:val="000000" w:themeColor="text1"/>
          <w:sz w:val="22"/>
          <w:lang w:val="es-ES"/>
        </w:rPr>
        <w:t xml:space="preserve"> es categórica: las entidades estatales</w:t>
      </w:r>
      <w:r w:rsidR="00A87F39">
        <w:rPr>
          <w:rFonts w:ascii="Arial" w:hAnsi="Arial" w:cs="Arial"/>
          <w:color w:val="000000" w:themeColor="text1"/>
          <w:sz w:val="22"/>
          <w:lang w:val="es-ES"/>
        </w:rPr>
        <w:t xml:space="preserve"> sometidas al Estatuto General de Contratación no</w:t>
      </w:r>
      <w:r>
        <w:rPr>
          <w:rFonts w:ascii="Arial" w:hAnsi="Arial" w:cs="Arial"/>
          <w:color w:val="000000" w:themeColor="text1"/>
          <w:sz w:val="22"/>
          <w:lang w:val="es-ES"/>
        </w:rPr>
        <w:t xml:space="preserve"> podrán delegar en las sociedades fiduciarias la adjudicación de los contratos que se celebren en desarrollo del encargo</w:t>
      </w:r>
      <w:r w:rsidR="00A87F39">
        <w:rPr>
          <w:rFonts w:ascii="Arial" w:hAnsi="Arial" w:cs="Arial"/>
          <w:color w:val="000000" w:themeColor="text1"/>
          <w:sz w:val="22"/>
          <w:lang w:val="es-ES"/>
        </w:rPr>
        <w:t xml:space="preserve"> fiduciario</w:t>
      </w:r>
      <w:r>
        <w:rPr>
          <w:rFonts w:ascii="Arial" w:hAnsi="Arial" w:cs="Arial"/>
          <w:color w:val="000000" w:themeColor="text1"/>
          <w:sz w:val="22"/>
          <w:lang w:val="es-ES"/>
        </w:rPr>
        <w:t xml:space="preserve"> o de la fiducia pública. </w:t>
      </w:r>
      <w:r w:rsidR="000F2709">
        <w:rPr>
          <w:rFonts w:ascii="Arial" w:hAnsi="Arial" w:cs="Arial"/>
          <w:color w:val="000000" w:themeColor="text1"/>
          <w:sz w:val="22"/>
          <w:lang w:val="es-ES"/>
        </w:rPr>
        <w:t xml:space="preserve">Esta norma, se considera, tiene una razón fundamental: evitar que el contrato de fiducia pública o el encargo fiduciario sea utilizado como un mecanismo para eludir la aplicación </w:t>
      </w:r>
      <w:r w:rsidR="00A87F39">
        <w:rPr>
          <w:rFonts w:ascii="Arial" w:hAnsi="Arial" w:cs="Arial"/>
          <w:color w:val="000000" w:themeColor="text1"/>
          <w:sz w:val="22"/>
          <w:lang w:val="es-ES"/>
        </w:rPr>
        <w:t>de la Ley 80 de 1993</w:t>
      </w:r>
      <w:r w:rsidR="000F2709">
        <w:rPr>
          <w:rFonts w:ascii="Arial" w:hAnsi="Arial" w:cs="Arial"/>
          <w:color w:val="000000" w:themeColor="text1"/>
          <w:sz w:val="22"/>
          <w:lang w:val="es-ES"/>
        </w:rPr>
        <w:t xml:space="preserve">. Por lo mismo, la respuesta debe ser tajante en el sentido de que </w:t>
      </w:r>
      <w:r w:rsidR="00A87F39">
        <w:rPr>
          <w:rFonts w:ascii="Arial" w:hAnsi="Arial" w:cs="Arial"/>
          <w:color w:val="000000" w:themeColor="text1"/>
          <w:sz w:val="22"/>
          <w:lang w:val="es-ES"/>
        </w:rPr>
        <w:t>las f</w:t>
      </w:r>
      <w:r w:rsidR="000F2709">
        <w:rPr>
          <w:rFonts w:ascii="Arial" w:hAnsi="Arial" w:cs="Arial"/>
          <w:color w:val="000000" w:themeColor="text1"/>
          <w:sz w:val="22"/>
          <w:lang w:val="es-ES"/>
        </w:rPr>
        <w:t>iduciaria</w:t>
      </w:r>
      <w:r w:rsidR="00A87F39">
        <w:rPr>
          <w:rFonts w:ascii="Arial" w:hAnsi="Arial" w:cs="Arial"/>
          <w:color w:val="000000" w:themeColor="text1"/>
          <w:sz w:val="22"/>
          <w:lang w:val="es-ES"/>
        </w:rPr>
        <w:t>s</w:t>
      </w:r>
      <w:r w:rsidR="000F2709">
        <w:rPr>
          <w:rFonts w:ascii="Arial" w:hAnsi="Arial" w:cs="Arial"/>
          <w:color w:val="000000" w:themeColor="text1"/>
          <w:sz w:val="22"/>
          <w:lang w:val="es-ES"/>
        </w:rPr>
        <w:t xml:space="preserve"> </w:t>
      </w:r>
      <w:r w:rsidR="00A87F39">
        <w:rPr>
          <w:rFonts w:ascii="Arial" w:hAnsi="Arial" w:cs="Arial"/>
          <w:color w:val="000000" w:themeColor="text1"/>
          <w:sz w:val="22"/>
          <w:lang w:val="es-ES"/>
        </w:rPr>
        <w:t>carecen de la</w:t>
      </w:r>
      <w:r w:rsidR="000F2709">
        <w:rPr>
          <w:rFonts w:ascii="Arial" w:hAnsi="Arial" w:cs="Arial"/>
          <w:color w:val="000000" w:themeColor="text1"/>
          <w:sz w:val="22"/>
          <w:lang w:val="es-ES"/>
        </w:rPr>
        <w:t xml:space="preserve"> potestad de adjudicar contratos en materia de «contratación derivada» cuando la entidad pública que es parte del contrato de fiducia es una entidad estatal para los efectos de la Ley 80 de 1993 y la Ley 1150 de 2007.</w:t>
      </w:r>
    </w:p>
    <w:p w14:paraId="2B8CA1D8" w14:textId="66A30A63" w:rsidR="000F2709" w:rsidRDefault="000F2709" w:rsidP="009F0D45">
      <w:pPr>
        <w:spacing w:before="0" w:after="0"/>
        <w:rPr>
          <w:rFonts w:ascii="Arial" w:hAnsi="Arial" w:cs="Arial"/>
          <w:color w:val="000000" w:themeColor="text1"/>
          <w:sz w:val="22"/>
          <w:lang w:val="es-ES"/>
        </w:rPr>
      </w:pPr>
      <w:r>
        <w:rPr>
          <w:rFonts w:ascii="Arial" w:hAnsi="Arial" w:cs="Arial"/>
          <w:color w:val="000000" w:themeColor="text1"/>
          <w:sz w:val="22"/>
          <w:lang w:val="es-ES"/>
        </w:rPr>
        <w:tab/>
      </w:r>
      <w:r w:rsidR="00A87F39">
        <w:rPr>
          <w:rFonts w:ascii="Arial" w:hAnsi="Arial" w:cs="Arial"/>
          <w:color w:val="000000" w:themeColor="text1"/>
          <w:sz w:val="22"/>
          <w:lang w:val="es-ES"/>
        </w:rPr>
        <w:t>Con fundamento en la interpretación</w:t>
      </w:r>
      <w:r>
        <w:rPr>
          <w:rFonts w:ascii="Arial" w:hAnsi="Arial" w:cs="Arial"/>
          <w:color w:val="000000" w:themeColor="text1"/>
          <w:sz w:val="22"/>
          <w:lang w:val="es-ES"/>
        </w:rPr>
        <w:t xml:space="preserve"> literal de la norma</w:t>
      </w:r>
      <w:r w:rsidR="001A397E">
        <w:rPr>
          <w:rFonts w:ascii="Arial" w:hAnsi="Arial" w:cs="Arial"/>
          <w:color w:val="000000" w:themeColor="text1"/>
          <w:sz w:val="22"/>
          <w:lang w:val="es-ES"/>
        </w:rPr>
        <w:t>,</w:t>
      </w:r>
      <w:r>
        <w:rPr>
          <w:rFonts w:ascii="Arial" w:hAnsi="Arial" w:cs="Arial"/>
          <w:color w:val="000000" w:themeColor="text1"/>
          <w:sz w:val="22"/>
          <w:lang w:val="es-ES"/>
        </w:rPr>
        <w:t xml:space="preserve"> se observa que la prohibición del artículo 3</w:t>
      </w:r>
      <w:r w:rsidR="00A658C4">
        <w:rPr>
          <w:rFonts w:ascii="Arial" w:hAnsi="Arial" w:cs="Arial"/>
          <w:color w:val="000000" w:themeColor="text1"/>
          <w:sz w:val="22"/>
          <w:lang w:val="es-ES"/>
        </w:rPr>
        <w:t>2.</w:t>
      </w:r>
      <w:r>
        <w:rPr>
          <w:rFonts w:ascii="Arial" w:hAnsi="Arial" w:cs="Arial"/>
          <w:color w:val="000000" w:themeColor="text1"/>
          <w:sz w:val="22"/>
          <w:lang w:val="es-ES"/>
        </w:rPr>
        <w:t xml:space="preserve">5 </w:t>
      </w:r>
      <w:r w:rsidR="00A658C4">
        <w:rPr>
          <w:rFonts w:ascii="Arial" w:hAnsi="Arial" w:cs="Arial"/>
          <w:color w:val="000000" w:themeColor="text1"/>
          <w:sz w:val="22"/>
          <w:lang w:val="es-ES"/>
        </w:rPr>
        <w:t>se restringe</w:t>
      </w:r>
      <w:r>
        <w:rPr>
          <w:rFonts w:ascii="Arial" w:hAnsi="Arial" w:cs="Arial"/>
          <w:color w:val="000000" w:themeColor="text1"/>
          <w:sz w:val="22"/>
          <w:lang w:val="es-ES"/>
        </w:rPr>
        <w:t xml:space="preserve"> a la «adjudicación de los contratos». </w:t>
      </w:r>
      <w:r w:rsidR="00A658C4">
        <w:rPr>
          <w:rFonts w:ascii="Arial" w:hAnsi="Arial" w:cs="Arial"/>
          <w:color w:val="000000" w:themeColor="text1"/>
          <w:sz w:val="22"/>
          <w:lang w:val="es-ES"/>
        </w:rPr>
        <w:t>En consecuencia,</w:t>
      </w:r>
      <w:r>
        <w:rPr>
          <w:rFonts w:ascii="Arial" w:hAnsi="Arial" w:cs="Arial"/>
          <w:color w:val="000000" w:themeColor="text1"/>
          <w:sz w:val="22"/>
          <w:lang w:val="es-ES"/>
        </w:rPr>
        <w:t xml:space="preserve"> la prohibición </w:t>
      </w:r>
      <w:r w:rsidR="00A658C4">
        <w:rPr>
          <w:rFonts w:ascii="Arial" w:hAnsi="Arial" w:cs="Arial"/>
          <w:color w:val="000000" w:themeColor="text1"/>
          <w:sz w:val="22"/>
          <w:lang w:val="es-ES"/>
        </w:rPr>
        <w:t>no alcanza</w:t>
      </w:r>
      <w:r>
        <w:rPr>
          <w:rFonts w:ascii="Arial" w:hAnsi="Arial" w:cs="Arial"/>
          <w:color w:val="000000" w:themeColor="text1"/>
          <w:sz w:val="22"/>
          <w:lang w:val="es-ES"/>
        </w:rPr>
        <w:t xml:space="preserve"> los restantes aspectos de la actividad negocial.</w:t>
      </w:r>
      <w:r w:rsidR="001A397E">
        <w:rPr>
          <w:rFonts w:ascii="Arial" w:hAnsi="Arial" w:cs="Arial"/>
          <w:color w:val="000000" w:themeColor="text1"/>
          <w:sz w:val="22"/>
          <w:lang w:val="es-ES"/>
        </w:rPr>
        <w:t xml:space="preserve"> </w:t>
      </w:r>
      <w:r w:rsidR="00A658C4">
        <w:rPr>
          <w:rFonts w:ascii="Arial" w:hAnsi="Arial" w:cs="Arial"/>
          <w:color w:val="000000" w:themeColor="text1"/>
          <w:sz w:val="22"/>
          <w:lang w:val="es-ES"/>
        </w:rPr>
        <w:t xml:space="preserve">No en vano, el artículo </w:t>
      </w:r>
      <w:r w:rsidR="00A658C4" w:rsidRPr="00A658C4">
        <w:rPr>
          <w:rFonts w:ascii="Arial" w:hAnsi="Arial" w:cs="Arial"/>
          <w:color w:val="000000" w:themeColor="text1"/>
          <w:sz w:val="22"/>
          <w:lang w:val="es-ES"/>
        </w:rPr>
        <w:t>2.2.1.1.2.2.7</w:t>
      </w:r>
      <w:r w:rsidR="001A397E">
        <w:rPr>
          <w:rFonts w:ascii="Arial" w:hAnsi="Arial" w:cs="Arial"/>
          <w:color w:val="000000" w:themeColor="text1"/>
          <w:sz w:val="22"/>
          <w:lang w:val="es-ES"/>
        </w:rPr>
        <w:t xml:space="preserve"> </w:t>
      </w:r>
      <w:r w:rsidR="00A658C4">
        <w:rPr>
          <w:rFonts w:ascii="Arial" w:hAnsi="Arial" w:cs="Arial"/>
          <w:color w:val="000000" w:themeColor="text1"/>
          <w:sz w:val="22"/>
          <w:lang w:val="es-ES"/>
        </w:rPr>
        <w:t xml:space="preserve">del </w:t>
      </w:r>
      <w:r w:rsidR="001A397E">
        <w:rPr>
          <w:rFonts w:ascii="Arial" w:hAnsi="Arial" w:cs="Arial"/>
          <w:color w:val="000000" w:themeColor="text1"/>
          <w:sz w:val="22"/>
          <w:lang w:val="es-ES"/>
        </w:rPr>
        <w:t xml:space="preserve">Decreto 1082 de 2015 </w:t>
      </w:r>
      <w:r w:rsidR="00A658C4">
        <w:rPr>
          <w:rFonts w:ascii="Arial" w:hAnsi="Arial" w:cs="Arial"/>
          <w:color w:val="000000" w:themeColor="text1"/>
          <w:sz w:val="22"/>
          <w:lang w:val="es-ES"/>
        </w:rPr>
        <w:t>dispone lo</w:t>
      </w:r>
      <w:r w:rsidR="003A307E">
        <w:rPr>
          <w:rFonts w:ascii="Arial" w:hAnsi="Arial" w:cs="Arial"/>
          <w:color w:val="000000" w:themeColor="text1"/>
          <w:sz w:val="22"/>
          <w:lang w:val="es-ES"/>
        </w:rPr>
        <w:t xml:space="preserve"> siguiente</w:t>
      </w:r>
      <w:r w:rsidR="001A397E">
        <w:rPr>
          <w:rFonts w:ascii="Arial" w:hAnsi="Arial" w:cs="Arial"/>
          <w:color w:val="000000" w:themeColor="text1"/>
          <w:sz w:val="22"/>
          <w:lang w:val="es-ES"/>
        </w:rPr>
        <w:t xml:space="preserve">: </w:t>
      </w:r>
    </w:p>
    <w:p w14:paraId="609714E7" w14:textId="6CE41DC6" w:rsidR="005F49AF" w:rsidRDefault="00AC66EA" w:rsidP="009F0D45">
      <w:pPr>
        <w:spacing w:before="0" w:after="0"/>
        <w:rPr>
          <w:rFonts w:ascii="Arial" w:hAnsi="Arial" w:cs="Arial"/>
          <w:color w:val="000000" w:themeColor="text1"/>
          <w:sz w:val="22"/>
          <w:lang w:val="es-ES"/>
        </w:rPr>
      </w:pPr>
      <w:r>
        <w:rPr>
          <w:rFonts w:ascii="Arial" w:hAnsi="Arial" w:cs="Arial"/>
          <w:color w:val="000000" w:themeColor="text1"/>
          <w:sz w:val="22"/>
          <w:lang w:val="es-ES"/>
        </w:rPr>
        <w:tab/>
      </w:r>
    </w:p>
    <w:p w14:paraId="41926401" w14:textId="0448D0CC" w:rsidR="005F49AF" w:rsidRPr="005F49AF" w:rsidRDefault="005F49AF" w:rsidP="009F0D45">
      <w:pPr>
        <w:spacing w:before="0" w:after="0" w:line="240" w:lineRule="auto"/>
        <w:ind w:left="708" w:right="758"/>
        <w:rPr>
          <w:rFonts w:ascii="Arial" w:hAnsi="Arial" w:cs="Arial"/>
          <w:color w:val="000000" w:themeColor="text1"/>
          <w:sz w:val="21"/>
          <w:szCs w:val="21"/>
          <w:lang w:val="es-ES"/>
        </w:rPr>
      </w:pPr>
      <w:r w:rsidRPr="005F49AF">
        <w:rPr>
          <w:rFonts w:ascii="Arial" w:hAnsi="Arial" w:cs="Arial"/>
          <w:color w:val="000000" w:themeColor="text1"/>
          <w:sz w:val="21"/>
          <w:szCs w:val="21"/>
          <w:lang w:val="es-ES"/>
        </w:rPr>
        <w:lastRenderedPageBreak/>
        <w:t xml:space="preserve">La Entidad Estatal no puede delegar en las sociedades fiduciarias la adjudicación de los contratos que celebren en desarrollo del encargo fiduciario o de la fiducia pública </w:t>
      </w:r>
      <w:r w:rsidRPr="009F0D45">
        <w:rPr>
          <w:rFonts w:ascii="Arial" w:hAnsi="Arial" w:cs="Arial"/>
          <w:color w:val="000000" w:themeColor="text1"/>
          <w:sz w:val="21"/>
          <w:szCs w:val="21"/>
          <w:lang w:val="es-ES"/>
        </w:rPr>
        <w:t xml:space="preserve">pero </w:t>
      </w:r>
      <w:r w:rsidRPr="009F0D45">
        <w:rPr>
          <w:rFonts w:ascii="Arial" w:hAnsi="Arial" w:cs="Arial"/>
          <w:i/>
          <w:iCs/>
          <w:color w:val="000000" w:themeColor="text1"/>
          <w:sz w:val="21"/>
          <w:szCs w:val="21"/>
          <w:lang w:val="es-ES"/>
        </w:rPr>
        <w:t>sí pueden encomendar a la fiduciaria la suscripción de tales contratos y la ejecución de todos los trámites inherentes al Proceso de Contratación</w:t>
      </w:r>
      <w:r w:rsidRPr="005F49AF">
        <w:rPr>
          <w:rFonts w:ascii="Arial" w:hAnsi="Arial" w:cs="Arial"/>
          <w:color w:val="000000" w:themeColor="text1"/>
          <w:sz w:val="21"/>
          <w:szCs w:val="21"/>
          <w:lang w:val="es-ES"/>
        </w:rPr>
        <w:t>.</w:t>
      </w:r>
      <w:r w:rsidR="001A397E">
        <w:rPr>
          <w:rFonts w:ascii="Arial" w:hAnsi="Arial" w:cs="Arial"/>
          <w:color w:val="000000" w:themeColor="text1"/>
          <w:sz w:val="21"/>
          <w:szCs w:val="21"/>
          <w:lang w:val="es-ES"/>
        </w:rPr>
        <w:t xml:space="preserve"> </w:t>
      </w:r>
      <w:r w:rsidR="00A658C4">
        <w:rPr>
          <w:rFonts w:ascii="Arial" w:hAnsi="Arial" w:cs="Arial"/>
          <w:color w:val="000000" w:themeColor="text1"/>
          <w:sz w:val="21"/>
          <w:szCs w:val="21"/>
          <w:lang w:val="es-ES"/>
        </w:rPr>
        <w:t>(Énfasis fuera de texto)</w:t>
      </w:r>
    </w:p>
    <w:p w14:paraId="6D204C9E" w14:textId="77777777" w:rsidR="001A397E" w:rsidRDefault="001A397E" w:rsidP="009F0D45">
      <w:pPr>
        <w:spacing w:before="0" w:after="0"/>
        <w:rPr>
          <w:rFonts w:ascii="Arial" w:hAnsi="Arial" w:cs="Arial"/>
          <w:color w:val="000000" w:themeColor="text1"/>
          <w:sz w:val="22"/>
          <w:lang w:val="es-ES"/>
        </w:rPr>
      </w:pPr>
      <w:r>
        <w:rPr>
          <w:rFonts w:ascii="Arial" w:hAnsi="Arial" w:cs="Arial"/>
          <w:color w:val="000000" w:themeColor="text1"/>
          <w:sz w:val="22"/>
          <w:lang w:val="es-ES"/>
        </w:rPr>
        <w:t xml:space="preserve"> </w:t>
      </w:r>
    </w:p>
    <w:p w14:paraId="081C48B0" w14:textId="46B4D89A" w:rsidR="001A397E" w:rsidRDefault="003A307E" w:rsidP="009F0D45">
      <w:pPr>
        <w:spacing w:before="0" w:after="0"/>
        <w:ind w:firstLine="708"/>
        <w:rPr>
          <w:rFonts w:ascii="Arial" w:hAnsi="Arial" w:cs="Arial"/>
          <w:color w:val="000000" w:themeColor="text1"/>
          <w:sz w:val="22"/>
          <w:lang w:val="es-ES"/>
        </w:rPr>
      </w:pPr>
      <w:r>
        <w:rPr>
          <w:rFonts w:ascii="Arial" w:hAnsi="Arial" w:cs="Arial"/>
          <w:color w:val="000000" w:themeColor="text1"/>
          <w:sz w:val="22"/>
          <w:lang w:val="es-ES"/>
        </w:rPr>
        <w:t xml:space="preserve">Conforme con lo anterior en desarrollo de encargos fiduciarios o contratos de fiducia, las entidades estatales pueden encomendar a la fiduciaria la suscripción del contrato y </w:t>
      </w:r>
      <w:r w:rsidR="009734C0">
        <w:rPr>
          <w:rFonts w:ascii="Arial" w:hAnsi="Arial" w:cs="Arial"/>
          <w:color w:val="000000" w:themeColor="text1"/>
          <w:sz w:val="22"/>
          <w:lang w:val="es-ES"/>
        </w:rPr>
        <w:t>realizar</w:t>
      </w:r>
      <w:r>
        <w:rPr>
          <w:rFonts w:ascii="Arial" w:hAnsi="Arial" w:cs="Arial"/>
          <w:color w:val="000000" w:themeColor="text1"/>
          <w:sz w:val="22"/>
          <w:lang w:val="es-ES"/>
        </w:rPr>
        <w:t xml:space="preserve"> los trámites inherentes al proceso de contratación. Para integrar adecuadamente esta disposición debe recurrirse al concepto de </w:t>
      </w:r>
      <w:r w:rsidR="00A658C4">
        <w:rPr>
          <w:rFonts w:ascii="Arial" w:hAnsi="Arial" w:cs="Arial"/>
          <w:color w:val="000000" w:themeColor="text1"/>
          <w:sz w:val="22"/>
          <w:lang w:val="es-ES"/>
        </w:rPr>
        <w:t>«</w:t>
      </w:r>
      <w:r w:rsidR="001A397E">
        <w:rPr>
          <w:rFonts w:ascii="Arial" w:hAnsi="Arial" w:cs="Arial"/>
          <w:color w:val="000000" w:themeColor="text1"/>
          <w:sz w:val="22"/>
          <w:lang w:val="es-ES"/>
        </w:rPr>
        <w:t>Proceso de Contratación</w:t>
      </w:r>
      <w:r w:rsidR="00A658C4">
        <w:rPr>
          <w:rFonts w:ascii="Arial" w:hAnsi="Arial" w:cs="Arial"/>
          <w:color w:val="000000" w:themeColor="text1"/>
          <w:sz w:val="22"/>
          <w:lang w:val="es-ES"/>
        </w:rPr>
        <w:t>»</w:t>
      </w:r>
      <w:r w:rsidR="001A397E">
        <w:rPr>
          <w:rFonts w:ascii="Arial" w:hAnsi="Arial" w:cs="Arial"/>
          <w:color w:val="000000" w:themeColor="text1"/>
          <w:sz w:val="22"/>
          <w:lang w:val="es-ES"/>
        </w:rPr>
        <w:t xml:space="preserve"> definido por el </w:t>
      </w:r>
      <w:r w:rsidR="001A397E" w:rsidRPr="00632A38">
        <w:rPr>
          <w:rFonts w:ascii="Arial" w:hAnsi="Arial" w:cs="Arial"/>
          <w:color w:val="000000" w:themeColor="text1"/>
          <w:sz w:val="22"/>
          <w:lang w:val="es-ES"/>
        </w:rPr>
        <w:t xml:space="preserve">artículo 2.2.1.1.1.3.1 </w:t>
      </w:r>
      <w:r w:rsidRPr="00632A38">
        <w:rPr>
          <w:rFonts w:ascii="Arial" w:hAnsi="Arial" w:cs="Arial"/>
          <w:color w:val="000000" w:themeColor="text1"/>
          <w:sz w:val="22"/>
          <w:lang w:val="es-ES"/>
        </w:rPr>
        <w:t>del D</w:t>
      </w:r>
      <w:r>
        <w:rPr>
          <w:rFonts w:ascii="Arial" w:hAnsi="Arial" w:cs="Arial"/>
          <w:color w:val="000000" w:themeColor="text1"/>
          <w:sz w:val="22"/>
          <w:lang w:val="es-ES"/>
        </w:rPr>
        <w:t xml:space="preserve">ecreto 1082 de 2015 </w:t>
      </w:r>
      <w:r w:rsidR="001A397E">
        <w:rPr>
          <w:rFonts w:ascii="Arial" w:hAnsi="Arial" w:cs="Arial"/>
          <w:color w:val="000000" w:themeColor="text1"/>
          <w:sz w:val="22"/>
          <w:lang w:val="es-ES"/>
        </w:rPr>
        <w:t>como:</w:t>
      </w:r>
    </w:p>
    <w:p w14:paraId="65D8768D" w14:textId="77777777" w:rsidR="001A397E" w:rsidRDefault="001A397E" w:rsidP="009F0D45">
      <w:pPr>
        <w:spacing w:before="0" w:after="0"/>
        <w:rPr>
          <w:rFonts w:ascii="Arial" w:hAnsi="Arial" w:cs="Arial"/>
          <w:color w:val="000000" w:themeColor="text1"/>
          <w:sz w:val="22"/>
          <w:lang w:val="es-ES"/>
        </w:rPr>
      </w:pPr>
    </w:p>
    <w:p w14:paraId="448A2387" w14:textId="22E67466" w:rsidR="001A397E" w:rsidRPr="001A397E" w:rsidRDefault="001A397E" w:rsidP="009F0D45">
      <w:pPr>
        <w:spacing w:before="0" w:after="0" w:line="240" w:lineRule="auto"/>
        <w:ind w:left="708" w:right="758"/>
        <w:rPr>
          <w:rFonts w:ascii="Arial" w:hAnsi="Arial" w:cs="Arial"/>
          <w:color w:val="000000" w:themeColor="text1"/>
          <w:sz w:val="21"/>
          <w:szCs w:val="21"/>
          <w:lang w:val="es-ES"/>
        </w:rPr>
      </w:pPr>
      <w:r w:rsidRPr="001A397E">
        <w:rPr>
          <w:rFonts w:ascii="Arial" w:hAnsi="Arial" w:cs="Arial"/>
          <w:color w:val="000000" w:themeColor="text1"/>
          <w:sz w:val="21"/>
          <w:szCs w:val="21"/>
          <w:lang w:val="es-ES"/>
        </w:rPr>
        <w:t>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0281BB1A" w14:textId="77777777" w:rsidR="001A397E" w:rsidRPr="001A397E" w:rsidRDefault="001A397E">
      <w:pPr>
        <w:spacing w:before="0" w:after="0" w:line="240" w:lineRule="auto"/>
        <w:jc w:val="left"/>
        <w:rPr>
          <w:lang w:val="es-ES"/>
        </w:rPr>
      </w:pPr>
    </w:p>
    <w:p w14:paraId="25FFD785" w14:textId="47CF521B" w:rsidR="008A0363" w:rsidRPr="00BD38A7" w:rsidRDefault="001A397E" w:rsidP="009F0D45">
      <w:pPr>
        <w:spacing w:before="0" w:after="0"/>
        <w:ind w:firstLine="708"/>
        <w:rPr>
          <w:rFonts w:ascii="Arial" w:hAnsi="Arial" w:cs="Arial"/>
          <w:color w:val="000000" w:themeColor="text1"/>
          <w:sz w:val="22"/>
          <w:lang w:val="es-ES"/>
        </w:rPr>
      </w:pPr>
      <w:r>
        <w:rPr>
          <w:rFonts w:ascii="Arial" w:hAnsi="Arial" w:cs="Arial"/>
          <w:color w:val="000000" w:themeColor="text1"/>
          <w:sz w:val="22"/>
          <w:lang w:val="es-ES"/>
        </w:rPr>
        <w:t xml:space="preserve">En ese orden de ideas, </w:t>
      </w:r>
      <w:bookmarkStart w:id="4" w:name="_Hlk43126123"/>
      <w:r w:rsidR="00321A65">
        <w:rPr>
          <w:rFonts w:ascii="Arial" w:hAnsi="Arial" w:cs="Arial"/>
          <w:color w:val="000000" w:themeColor="text1"/>
          <w:sz w:val="22"/>
          <w:lang w:val="es-ES"/>
        </w:rPr>
        <w:t>de conformidad con</w:t>
      </w:r>
      <w:r>
        <w:rPr>
          <w:rFonts w:ascii="Arial" w:hAnsi="Arial" w:cs="Arial"/>
          <w:color w:val="000000" w:themeColor="text1"/>
          <w:sz w:val="22"/>
          <w:lang w:val="es-ES"/>
        </w:rPr>
        <w:t xml:space="preserve"> las normas vigentes, la sociedad fiduciaria</w:t>
      </w:r>
      <w:r w:rsidR="008A0363">
        <w:rPr>
          <w:rFonts w:ascii="Arial" w:hAnsi="Arial" w:cs="Arial"/>
          <w:color w:val="000000" w:themeColor="text1"/>
          <w:sz w:val="22"/>
          <w:lang w:val="es-ES"/>
        </w:rPr>
        <w:t xml:space="preserve"> </w:t>
      </w:r>
      <w:bookmarkEnd w:id="4"/>
      <w:r w:rsidR="008A0363">
        <w:rPr>
          <w:rFonts w:ascii="Arial" w:hAnsi="Arial" w:cs="Arial"/>
          <w:color w:val="000000" w:themeColor="text1"/>
          <w:sz w:val="22"/>
          <w:lang w:val="es-ES"/>
        </w:rPr>
        <w:t>puede realizar todos los trámites de la etapa de planeación, celebración y ejecución del contrato hasta el vencimiento de las garantías o las condiciones de disposición final o recuperación ambiental, salvo la adjudicación de los contratos, que no puede ser delegada, como consecuencia de la prohibición expresa contenida en el artículo 32, numeral 5, de la Ley 80 de 1993</w:t>
      </w:r>
    </w:p>
    <w:p w14:paraId="3178F345" w14:textId="77777777" w:rsidR="00EF784D" w:rsidRPr="00D70545" w:rsidRDefault="00EF784D" w:rsidP="009F0D45">
      <w:pPr>
        <w:spacing w:before="0" w:after="0"/>
        <w:rPr>
          <w:rFonts w:ascii="Arial" w:eastAsia="Calibri" w:hAnsi="Arial" w:cs="Arial"/>
          <w:bCs/>
          <w:color w:val="000000" w:themeColor="text1"/>
          <w:sz w:val="22"/>
          <w:lang w:val="es-ES"/>
        </w:rPr>
      </w:pPr>
    </w:p>
    <w:p w14:paraId="7CC1A546" w14:textId="6DBDDDF7" w:rsidR="00040B7D" w:rsidRPr="00F258C6" w:rsidRDefault="00040B7D" w:rsidP="00F258C6">
      <w:pPr>
        <w:pStyle w:val="Prrafodelista"/>
        <w:numPr>
          <w:ilvl w:val="0"/>
          <w:numId w:val="10"/>
        </w:numPr>
        <w:tabs>
          <w:tab w:val="left" w:pos="284"/>
        </w:tabs>
        <w:spacing w:before="0" w:after="0"/>
        <w:rPr>
          <w:rFonts w:ascii="Arial" w:eastAsia="Calibri" w:hAnsi="Arial" w:cs="Arial"/>
          <w:color w:val="000000" w:themeColor="text1"/>
          <w:sz w:val="22"/>
        </w:rPr>
      </w:pPr>
      <w:r w:rsidRPr="00481BD6">
        <w:rPr>
          <w:rFonts w:ascii="Arial" w:eastAsia="Calibri" w:hAnsi="Arial" w:cs="Arial"/>
          <w:b/>
          <w:color w:val="000000" w:themeColor="text1"/>
          <w:sz w:val="22"/>
        </w:rPr>
        <w:t>Respuestas</w:t>
      </w:r>
    </w:p>
    <w:p w14:paraId="50093896" w14:textId="0758A965" w:rsidR="00955D93" w:rsidRPr="009F0D45" w:rsidRDefault="006149A3" w:rsidP="009F0D45">
      <w:pPr>
        <w:tabs>
          <w:tab w:val="left" w:pos="426"/>
        </w:tabs>
        <w:spacing w:before="0" w:after="0" w:line="240" w:lineRule="auto"/>
        <w:ind w:left="709" w:right="709"/>
        <w:rPr>
          <w:rFonts w:ascii="Arial" w:eastAsia="Calibri" w:hAnsi="Arial" w:cs="Arial"/>
          <w:color w:val="000000" w:themeColor="text1"/>
          <w:sz w:val="21"/>
          <w:szCs w:val="21"/>
          <w:lang w:val="es-ES"/>
        </w:rPr>
      </w:pPr>
      <w:r w:rsidRPr="006149A3">
        <w:rPr>
          <w:rFonts w:ascii="Arial" w:eastAsia="Calibri" w:hAnsi="Arial" w:cs="Arial"/>
          <w:color w:val="000000" w:themeColor="text1"/>
          <w:sz w:val="21"/>
          <w:szCs w:val="21"/>
          <w:lang w:val="es-ES"/>
        </w:rPr>
        <w:t>i) ¿Cuáles son los fundamentos de derecho para que una Entidad Pública se pueda negar a publicar la Contratación derivada que, dicho sea de paso, se ejecuta con cargo a recursos públicos? ¿No se trataría de la omisión de un deber legal que impone el Decreto 1082 de 2015 cuando expresa que «Artículo 2.2.1.1.1.7.1. Publicidad en el SECOP. La Entidad Estatal está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479922AB" w14:textId="7E24BA9B" w:rsidR="00955D93" w:rsidRDefault="00955D93" w:rsidP="00E31CD0">
      <w:pPr>
        <w:spacing w:before="0" w:after="0"/>
        <w:rPr>
          <w:rFonts w:ascii="Arial" w:eastAsia="Calibri" w:hAnsi="Arial" w:cs="Arial"/>
          <w:color w:val="000000" w:themeColor="text1"/>
          <w:sz w:val="22"/>
          <w:lang w:val="es-ES"/>
        </w:rPr>
      </w:pPr>
    </w:p>
    <w:p w14:paraId="3FB54115" w14:textId="6AA82B9C" w:rsidR="00B126EE" w:rsidRPr="00B44540" w:rsidRDefault="00B126EE" w:rsidP="009F0D45">
      <w:pPr>
        <w:spacing w:before="0"/>
        <w:rPr>
          <w:rFonts w:ascii="Arial" w:hAnsi="Arial" w:cs="Arial"/>
          <w:color w:val="000000" w:themeColor="text1"/>
          <w:sz w:val="22"/>
          <w:lang w:val="es-ES"/>
        </w:rPr>
      </w:pPr>
      <w:r w:rsidRPr="00B44540">
        <w:rPr>
          <w:rFonts w:ascii="Arial" w:eastAsia="Calibri" w:hAnsi="Arial" w:cs="Arial"/>
          <w:color w:val="000000" w:themeColor="text1"/>
          <w:sz w:val="22"/>
          <w:lang w:val="es-ES"/>
        </w:rPr>
        <w:t xml:space="preserve">En principio, los contratos fiduciarios </w:t>
      </w:r>
      <w:r>
        <w:rPr>
          <w:rFonts w:ascii="Arial" w:eastAsia="Calibri" w:hAnsi="Arial" w:cs="Arial"/>
          <w:color w:val="000000" w:themeColor="text1"/>
          <w:sz w:val="22"/>
          <w:lang w:val="es-ES"/>
        </w:rPr>
        <w:t>deben publicarse</w:t>
      </w:r>
      <w:r w:rsidRPr="00B44540">
        <w:rPr>
          <w:rFonts w:ascii="Arial" w:eastAsia="Calibri" w:hAnsi="Arial" w:cs="Arial"/>
          <w:color w:val="000000" w:themeColor="text1"/>
          <w:sz w:val="22"/>
          <w:lang w:val="es-ES"/>
        </w:rPr>
        <w:t xml:space="preserve"> por la entidad estatal que los suscriba, de acuerdo con el régimen jurídico aplicable. </w:t>
      </w:r>
      <w:r>
        <w:rPr>
          <w:rFonts w:ascii="Arial" w:eastAsia="Calibri" w:hAnsi="Arial" w:cs="Arial"/>
          <w:color w:val="000000" w:themeColor="text1"/>
          <w:sz w:val="22"/>
          <w:lang w:val="es-ES"/>
        </w:rPr>
        <w:t>La misma obligación recae sobre</w:t>
      </w:r>
      <w:r w:rsidRPr="00B44540">
        <w:rPr>
          <w:rFonts w:ascii="Arial" w:eastAsia="Calibri" w:hAnsi="Arial" w:cs="Arial"/>
          <w:color w:val="000000" w:themeColor="text1"/>
          <w:sz w:val="22"/>
          <w:lang w:val="es-ES"/>
        </w:rPr>
        <w:t xml:space="preserve"> la «contratación derivada»</w:t>
      </w:r>
      <w:r>
        <w:rPr>
          <w:rFonts w:ascii="Arial" w:eastAsia="Calibri" w:hAnsi="Arial" w:cs="Arial"/>
          <w:color w:val="000000" w:themeColor="text1"/>
          <w:sz w:val="22"/>
          <w:lang w:val="es-ES"/>
        </w:rPr>
        <w:t>,</w:t>
      </w:r>
      <w:r w:rsidRPr="00B44540">
        <w:rPr>
          <w:rFonts w:ascii="Arial" w:eastAsia="Calibri" w:hAnsi="Arial" w:cs="Arial"/>
          <w:color w:val="000000" w:themeColor="text1"/>
          <w:sz w:val="22"/>
          <w:lang w:val="es-ES"/>
        </w:rPr>
        <w:t xml:space="preserve"> que </w:t>
      </w:r>
      <w:r>
        <w:rPr>
          <w:rFonts w:ascii="Arial" w:eastAsia="Calibri" w:hAnsi="Arial" w:cs="Arial"/>
          <w:color w:val="000000" w:themeColor="text1"/>
          <w:sz w:val="22"/>
          <w:lang w:val="es-ES"/>
        </w:rPr>
        <w:t>debe publicarse</w:t>
      </w:r>
      <w:r w:rsidRPr="00B44540">
        <w:rPr>
          <w:rFonts w:ascii="Arial" w:eastAsia="Calibri" w:hAnsi="Arial" w:cs="Arial"/>
          <w:color w:val="000000" w:themeColor="text1"/>
          <w:sz w:val="22"/>
          <w:lang w:val="es-ES"/>
        </w:rPr>
        <w:t xml:space="preserve"> en el SECOP por la entidad estatal con la intervención de la fiducia para efectos de la firma del contrato. </w:t>
      </w:r>
      <w:r>
        <w:rPr>
          <w:rFonts w:ascii="Arial" w:eastAsia="Calibri" w:hAnsi="Arial" w:cs="Arial"/>
          <w:color w:val="000000" w:themeColor="text1"/>
          <w:sz w:val="22"/>
          <w:lang w:val="es-ES"/>
        </w:rPr>
        <w:t>Lo anterior en la medida</w:t>
      </w:r>
      <w:r w:rsidRPr="00B44540">
        <w:rPr>
          <w:rFonts w:ascii="Arial" w:eastAsia="Calibri" w:hAnsi="Arial" w:cs="Arial"/>
          <w:color w:val="000000" w:themeColor="text1"/>
          <w:sz w:val="22"/>
          <w:lang w:val="es-ES"/>
        </w:rPr>
        <w:t xml:space="preserve"> que </w:t>
      </w:r>
      <w:r w:rsidRPr="00B44540">
        <w:rPr>
          <w:rFonts w:ascii="Arial" w:eastAsia="Calibri" w:hAnsi="Arial" w:cs="Arial"/>
          <w:color w:val="000000" w:themeColor="text1"/>
          <w:sz w:val="22"/>
          <w:lang w:val="es-ES"/>
        </w:rPr>
        <w:lastRenderedPageBreak/>
        <w:t>las normas legales y reglamentarias analizadas en el aparte 2.1 de este concepto identifican como sujeto obligado a publicar en el SECOP a la entidad estatal.</w:t>
      </w:r>
      <w:r>
        <w:rPr>
          <w:rFonts w:ascii="Arial" w:hAnsi="Arial" w:cs="Arial"/>
          <w:color w:val="000000" w:themeColor="text1"/>
          <w:sz w:val="22"/>
          <w:lang w:val="es-ES"/>
        </w:rPr>
        <w:t xml:space="preserve"> </w:t>
      </w:r>
      <w:r w:rsidRPr="00B44540">
        <w:rPr>
          <w:rFonts w:ascii="Arial" w:hAnsi="Arial" w:cs="Arial"/>
          <w:color w:val="000000" w:themeColor="text1"/>
          <w:sz w:val="22"/>
          <w:lang w:val="es-ES"/>
        </w:rPr>
        <w:t xml:space="preserve">No obstante, </w:t>
      </w:r>
      <w:r>
        <w:rPr>
          <w:rFonts w:ascii="Arial" w:hAnsi="Arial" w:cs="Arial"/>
          <w:color w:val="000000" w:themeColor="text1"/>
          <w:sz w:val="22"/>
          <w:lang w:val="es-ES"/>
        </w:rPr>
        <w:t>la</w:t>
      </w:r>
      <w:r w:rsidRPr="00B44540">
        <w:rPr>
          <w:rFonts w:ascii="Arial" w:hAnsi="Arial" w:cs="Arial"/>
          <w:color w:val="000000" w:themeColor="text1"/>
          <w:sz w:val="22"/>
          <w:lang w:val="es-ES"/>
        </w:rPr>
        <w:t xml:space="preserve"> Subdirección </w:t>
      </w:r>
      <w:r>
        <w:rPr>
          <w:rFonts w:ascii="Arial" w:hAnsi="Arial" w:cs="Arial"/>
          <w:color w:val="000000" w:themeColor="text1"/>
          <w:sz w:val="22"/>
          <w:lang w:val="es-ES"/>
        </w:rPr>
        <w:t>reconoce</w:t>
      </w:r>
      <w:r w:rsidRPr="00B44540">
        <w:rPr>
          <w:rFonts w:ascii="Arial" w:hAnsi="Arial" w:cs="Arial"/>
          <w:color w:val="000000" w:themeColor="text1"/>
          <w:sz w:val="22"/>
          <w:lang w:val="es-ES"/>
        </w:rPr>
        <w:t xml:space="preserve"> que las entidades estatales y las fiduciarias pueden acordar que </w:t>
      </w:r>
      <w:r w:rsidR="00B2440A">
        <w:rPr>
          <w:rFonts w:ascii="Arial" w:hAnsi="Arial" w:cs="Arial"/>
          <w:color w:val="000000" w:themeColor="text1"/>
          <w:sz w:val="22"/>
          <w:lang w:val="es-ES"/>
        </w:rPr>
        <w:t>la publicación</w:t>
      </w:r>
      <w:r w:rsidRPr="00B44540">
        <w:rPr>
          <w:rFonts w:ascii="Arial" w:hAnsi="Arial" w:cs="Arial"/>
          <w:color w:val="000000" w:themeColor="text1"/>
          <w:sz w:val="22"/>
          <w:lang w:val="es-ES"/>
        </w:rPr>
        <w:t xml:space="preserve"> de la información </w:t>
      </w:r>
      <w:r w:rsidR="00B2440A">
        <w:rPr>
          <w:rFonts w:ascii="Arial" w:hAnsi="Arial" w:cs="Arial"/>
          <w:color w:val="000000" w:themeColor="text1"/>
          <w:sz w:val="22"/>
          <w:lang w:val="es-ES"/>
        </w:rPr>
        <w:t>en e</w:t>
      </w:r>
      <w:r w:rsidRPr="00B44540">
        <w:rPr>
          <w:rFonts w:ascii="Arial" w:hAnsi="Arial" w:cs="Arial"/>
          <w:color w:val="000000" w:themeColor="text1"/>
          <w:sz w:val="22"/>
          <w:lang w:val="es-ES"/>
        </w:rPr>
        <w:t xml:space="preserve">l SECOP </w:t>
      </w:r>
      <w:r>
        <w:rPr>
          <w:rFonts w:ascii="Arial" w:hAnsi="Arial" w:cs="Arial"/>
          <w:color w:val="000000" w:themeColor="text1"/>
          <w:sz w:val="22"/>
          <w:lang w:val="es-ES"/>
        </w:rPr>
        <w:t>corresponda a</w:t>
      </w:r>
      <w:r w:rsidRPr="00B44540">
        <w:rPr>
          <w:rFonts w:ascii="Arial" w:hAnsi="Arial" w:cs="Arial"/>
          <w:color w:val="000000" w:themeColor="text1"/>
          <w:sz w:val="22"/>
          <w:lang w:val="es-ES"/>
        </w:rPr>
        <w:t xml:space="preserve"> </w:t>
      </w:r>
      <w:r>
        <w:rPr>
          <w:rFonts w:ascii="Arial" w:hAnsi="Arial" w:cs="Arial"/>
          <w:color w:val="000000" w:themeColor="text1"/>
          <w:sz w:val="22"/>
          <w:lang w:val="es-ES"/>
        </w:rPr>
        <w:t>estas últimas</w:t>
      </w:r>
      <w:r w:rsidRPr="00B44540">
        <w:rPr>
          <w:rFonts w:ascii="Arial" w:hAnsi="Arial" w:cs="Arial"/>
          <w:color w:val="000000" w:themeColor="text1"/>
          <w:sz w:val="22"/>
          <w:lang w:val="es-ES"/>
        </w:rPr>
        <w:t xml:space="preserve"> </w:t>
      </w:r>
      <w:r>
        <w:rPr>
          <w:rFonts w:ascii="Arial" w:hAnsi="Arial" w:cs="Arial"/>
          <w:color w:val="000000" w:themeColor="text1"/>
          <w:sz w:val="22"/>
          <w:lang w:val="es-ES"/>
        </w:rPr>
        <w:t xml:space="preserve">como </w:t>
      </w:r>
      <w:r w:rsidRPr="00B44540">
        <w:rPr>
          <w:rFonts w:ascii="Arial" w:hAnsi="Arial" w:cs="Arial"/>
          <w:color w:val="000000" w:themeColor="text1"/>
          <w:sz w:val="22"/>
          <w:lang w:val="es-ES"/>
        </w:rPr>
        <w:t>vocera</w:t>
      </w:r>
      <w:r>
        <w:rPr>
          <w:rFonts w:ascii="Arial" w:hAnsi="Arial" w:cs="Arial"/>
          <w:color w:val="000000" w:themeColor="text1"/>
          <w:sz w:val="22"/>
          <w:lang w:val="es-ES"/>
        </w:rPr>
        <w:t>s</w:t>
      </w:r>
      <w:r w:rsidRPr="00B44540">
        <w:rPr>
          <w:rFonts w:ascii="Arial" w:hAnsi="Arial" w:cs="Arial"/>
          <w:color w:val="000000" w:themeColor="text1"/>
          <w:sz w:val="22"/>
          <w:lang w:val="es-ES"/>
        </w:rPr>
        <w:t xml:space="preserve"> del patrimonio autónomo. </w:t>
      </w:r>
    </w:p>
    <w:p w14:paraId="278E98CC" w14:textId="4F87289C" w:rsidR="00B126EE" w:rsidRDefault="00B126EE" w:rsidP="00B126EE">
      <w:pPr>
        <w:spacing w:before="0"/>
        <w:ind w:firstLine="709"/>
        <w:rPr>
          <w:rFonts w:ascii="Arial" w:hAnsi="Arial" w:cs="Arial"/>
          <w:color w:val="000000" w:themeColor="text1"/>
          <w:sz w:val="22"/>
          <w:lang w:val="es-ES"/>
        </w:rPr>
      </w:pPr>
      <w:r>
        <w:rPr>
          <w:rFonts w:ascii="Arial" w:hAnsi="Arial" w:cs="Arial"/>
          <w:color w:val="000000" w:themeColor="text1"/>
          <w:sz w:val="22"/>
          <w:lang w:val="es-ES"/>
        </w:rPr>
        <w:t>C</w:t>
      </w:r>
      <w:r w:rsidRPr="00B44540">
        <w:rPr>
          <w:rFonts w:ascii="Arial" w:hAnsi="Arial" w:cs="Arial"/>
          <w:color w:val="000000" w:themeColor="text1"/>
          <w:sz w:val="22"/>
          <w:lang w:val="es-ES"/>
        </w:rPr>
        <w:t xml:space="preserve">on el propósito de no interferir en el manejo propio de las relaciones contractuales entre entidades estatales y fiduciarias, las instrucciones impartidas en la Circular Externa Única y en la Circular Externa 002 de 2019 por Colombia Compra Eficiente buscan garantizar: i) que </w:t>
      </w:r>
      <w:r w:rsidR="00A0532A">
        <w:rPr>
          <w:rFonts w:ascii="Arial" w:hAnsi="Arial" w:cs="Arial"/>
          <w:color w:val="000000" w:themeColor="text1"/>
          <w:sz w:val="22"/>
          <w:lang w:val="es-ES"/>
        </w:rPr>
        <w:t>se cumpla</w:t>
      </w:r>
      <w:r w:rsidRPr="00B44540">
        <w:rPr>
          <w:rFonts w:ascii="Arial" w:hAnsi="Arial" w:cs="Arial"/>
          <w:color w:val="000000" w:themeColor="text1"/>
          <w:sz w:val="22"/>
          <w:lang w:val="es-ES"/>
        </w:rPr>
        <w:t xml:space="preserve"> la obligación legal de que el SECOP cuente «con la información oficial de la contratación realizada con dinero públicos» como lo ordena el artículo 3 de la Ley 1150 de 2007, ii) que no exista duplicidad en la información cargada al SECOP lo que, entre otras cosas, concreta el principio de calidad de la información previsto en el artículo 3 de la Ley 1712 de 2015.</w:t>
      </w:r>
      <w:r>
        <w:rPr>
          <w:rFonts w:ascii="Arial" w:hAnsi="Arial" w:cs="Arial"/>
          <w:color w:val="000000" w:themeColor="text1"/>
          <w:sz w:val="22"/>
          <w:lang w:val="es-ES"/>
        </w:rPr>
        <w:t xml:space="preserve"> </w:t>
      </w:r>
    </w:p>
    <w:p w14:paraId="285F5F9B" w14:textId="5E8A032C" w:rsidR="00A0532A" w:rsidRDefault="00B126EE" w:rsidP="009F0D45">
      <w:pPr>
        <w:spacing w:before="0" w:after="0"/>
        <w:ind w:firstLine="709"/>
        <w:rPr>
          <w:rFonts w:ascii="Arial" w:hAnsi="Arial" w:cs="Arial"/>
          <w:color w:val="000000" w:themeColor="text1"/>
          <w:sz w:val="22"/>
          <w:lang w:val="es-ES"/>
        </w:rPr>
      </w:pPr>
      <w:r>
        <w:rPr>
          <w:rFonts w:ascii="Arial" w:eastAsia="Calibri" w:hAnsi="Arial" w:cs="Arial"/>
          <w:color w:val="000000" w:themeColor="text1"/>
          <w:sz w:val="22"/>
          <w:lang w:val="es-ES"/>
        </w:rPr>
        <w:t xml:space="preserve">Por lo anterior, </w:t>
      </w:r>
      <w:r w:rsidRPr="00481BD6">
        <w:rPr>
          <w:rFonts w:ascii="Arial" w:eastAsia="Calibri" w:hAnsi="Arial" w:cs="Arial"/>
          <w:color w:val="000000" w:themeColor="text1"/>
          <w:sz w:val="22"/>
          <w:lang w:val="es-ES"/>
        </w:rPr>
        <w:t>la</w:t>
      </w:r>
      <w:r>
        <w:rPr>
          <w:rFonts w:ascii="Arial" w:eastAsia="Calibri" w:hAnsi="Arial" w:cs="Arial"/>
          <w:color w:val="000000" w:themeColor="text1"/>
          <w:sz w:val="22"/>
          <w:lang w:val="es-ES"/>
        </w:rPr>
        <w:t xml:space="preserve"> publicación de la</w:t>
      </w:r>
      <w:r w:rsidRPr="00481BD6">
        <w:rPr>
          <w:rFonts w:ascii="Arial" w:eastAsia="Calibri" w:hAnsi="Arial" w:cs="Arial"/>
          <w:color w:val="000000" w:themeColor="text1"/>
          <w:sz w:val="22"/>
          <w:lang w:val="es-ES"/>
        </w:rPr>
        <w:t xml:space="preserve"> «contratación derivada» de los contratos de fiducia </w:t>
      </w:r>
      <w:r>
        <w:rPr>
          <w:rFonts w:ascii="Arial" w:eastAsia="Calibri" w:hAnsi="Arial" w:cs="Arial"/>
          <w:color w:val="000000" w:themeColor="text1"/>
          <w:sz w:val="22"/>
          <w:lang w:val="es-ES"/>
        </w:rPr>
        <w:t>corresponde a</w:t>
      </w:r>
      <w:r w:rsidRPr="00481BD6">
        <w:rPr>
          <w:rFonts w:ascii="Arial" w:eastAsia="Calibri" w:hAnsi="Arial" w:cs="Arial"/>
          <w:color w:val="000000" w:themeColor="text1"/>
          <w:sz w:val="22"/>
          <w:lang w:val="es-ES"/>
        </w:rPr>
        <w:t xml:space="preserve"> la entidad estatal fideicomitente, con intervención de la fiduciaria para efectos de la firma del contrato, o por la fiduciaria que actúe como vocer</w:t>
      </w:r>
      <w:r>
        <w:rPr>
          <w:rFonts w:ascii="Arial" w:eastAsia="Calibri" w:hAnsi="Arial" w:cs="Arial"/>
          <w:color w:val="000000" w:themeColor="text1"/>
          <w:sz w:val="22"/>
          <w:lang w:val="es-ES"/>
        </w:rPr>
        <w:t>a</w:t>
      </w:r>
      <w:r w:rsidRPr="00481BD6">
        <w:rPr>
          <w:rFonts w:ascii="Arial" w:eastAsia="Calibri" w:hAnsi="Arial" w:cs="Arial"/>
          <w:color w:val="000000" w:themeColor="text1"/>
          <w:sz w:val="22"/>
          <w:lang w:val="es-ES"/>
        </w:rPr>
        <w:t xml:space="preserve"> de</w:t>
      </w:r>
      <w:r>
        <w:rPr>
          <w:rFonts w:ascii="Arial" w:eastAsia="Calibri" w:hAnsi="Arial" w:cs="Arial"/>
          <w:color w:val="000000" w:themeColor="text1"/>
          <w:sz w:val="22"/>
          <w:lang w:val="es-ES"/>
        </w:rPr>
        <w:t>l</w:t>
      </w:r>
      <w:r w:rsidRPr="00481BD6">
        <w:rPr>
          <w:rFonts w:ascii="Arial" w:eastAsia="Calibri" w:hAnsi="Arial" w:cs="Arial"/>
          <w:color w:val="000000" w:themeColor="text1"/>
          <w:sz w:val="22"/>
          <w:lang w:val="es-ES"/>
        </w:rPr>
        <w:t xml:space="preserve"> patrimonio autónomo en calidad de contratante. </w:t>
      </w:r>
      <w:r>
        <w:rPr>
          <w:rFonts w:ascii="Arial" w:eastAsia="Calibri" w:hAnsi="Arial" w:cs="Arial"/>
          <w:color w:val="000000" w:themeColor="text1"/>
          <w:sz w:val="22"/>
          <w:lang w:val="es-ES"/>
        </w:rPr>
        <w:t>Es decir,</w:t>
      </w:r>
      <w:r w:rsidRPr="00481BD6">
        <w:rPr>
          <w:rFonts w:ascii="Arial" w:eastAsia="Calibri" w:hAnsi="Arial" w:cs="Arial"/>
          <w:color w:val="000000" w:themeColor="text1"/>
          <w:sz w:val="22"/>
          <w:lang w:val="es-ES"/>
        </w:rPr>
        <w:t xml:space="preserve"> debe optar</w:t>
      </w:r>
      <w:r>
        <w:rPr>
          <w:rFonts w:ascii="Arial" w:eastAsia="Calibri" w:hAnsi="Arial" w:cs="Arial"/>
          <w:color w:val="000000" w:themeColor="text1"/>
          <w:sz w:val="22"/>
          <w:lang w:val="es-ES"/>
        </w:rPr>
        <w:t>se</w:t>
      </w:r>
      <w:r w:rsidRPr="00481BD6">
        <w:rPr>
          <w:rFonts w:ascii="Arial" w:eastAsia="Calibri" w:hAnsi="Arial" w:cs="Arial"/>
          <w:color w:val="000000" w:themeColor="text1"/>
          <w:sz w:val="22"/>
          <w:lang w:val="es-ES"/>
        </w:rPr>
        <w:t xml:space="preserve"> por una de las opciones</w:t>
      </w:r>
      <w:r>
        <w:rPr>
          <w:rFonts w:ascii="Arial" w:eastAsia="Calibri" w:hAnsi="Arial" w:cs="Arial"/>
          <w:color w:val="000000" w:themeColor="text1"/>
          <w:sz w:val="22"/>
          <w:lang w:val="es-ES"/>
        </w:rPr>
        <w:t xml:space="preserve"> </w:t>
      </w:r>
      <w:r w:rsidRPr="00481BD6">
        <w:rPr>
          <w:rFonts w:ascii="Arial" w:eastAsia="Calibri" w:hAnsi="Arial" w:cs="Arial"/>
          <w:color w:val="000000" w:themeColor="text1"/>
          <w:sz w:val="22"/>
          <w:lang w:val="es-ES"/>
        </w:rPr>
        <w:t xml:space="preserve">con el objetivo de evitar </w:t>
      </w:r>
      <w:r>
        <w:rPr>
          <w:rFonts w:ascii="Arial" w:eastAsia="Calibri" w:hAnsi="Arial" w:cs="Arial"/>
          <w:color w:val="000000" w:themeColor="text1"/>
          <w:sz w:val="22"/>
          <w:lang w:val="es-ES"/>
        </w:rPr>
        <w:t>que la información se duplique</w:t>
      </w:r>
      <w:r w:rsidRPr="00481BD6">
        <w:rPr>
          <w:rFonts w:ascii="Arial" w:eastAsia="Calibri" w:hAnsi="Arial" w:cs="Arial"/>
          <w:color w:val="000000" w:themeColor="text1"/>
          <w:sz w:val="22"/>
          <w:lang w:val="es-ES"/>
        </w:rPr>
        <w:t>.</w:t>
      </w:r>
      <w:r w:rsidR="00520A28">
        <w:rPr>
          <w:rFonts w:ascii="Arial" w:hAnsi="Arial" w:cs="Arial"/>
          <w:color w:val="000000" w:themeColor="text1"/>
          <w:sz w:val="22"/>
          <w:lang w:val="es-ES"/>
        </w:rPr>
        <w:t xml:space="preserve"> </w:t>
      </w:r>
    </w:p>
    <w:p w14:paraId="5BB6C83F" w14:textId="77777777" w:rsidR="00955D93" w:rsidRPr="00EA242F" w:rsidRDefault="00955D93" w:rsidP="009F0D45">
      <w:pPr>
        <w:spacing w:before="0" w:after="0"/>
        <w:ind w:firstLine="709"/>
        <w:rPr>
          <w:rFonts w:ascii="Arial" w:eastAsia="Calibri" w:hAnsi="Arial" w:cs="Arial"/>
          <w:color w:val="000000" w:themeColor="text1"/>
          <w:sz w:val="21"/>
          <w:szCs w:val="21"/>
          <w:lang w:val="es-ES"/>
        </w:rPr>
      </w:pPr>
    </w:p>
    <w:p w14:paraId="0E2D1280" w14:textId="31D1DE97" w:rsidR="00955D93" w:rsidRPr="009F0D45" w:rsidRDefault="00A0532A" w:rsidP="009F0D45">
      <w:pPr>
        <w:tabs>
          <w:tab w:val="left" w:pos="426"/>
        </w:tabs>
        <w:spacing w:before="0" w:after="0" w:line="240" w:lineRule="auto"/>
        <w:ind w:left="709" w:right="709"/>
        <w:rPr>
          <w:rFonts w:ascii="Arial" w:eastAsia="Calibri" w:hAnsi="Arial" w:cs="Arial"/>
          <w:color w:val="000000" w:themeColor="text1"/>
          <w:sz w:val="21"/>
          <w:szCs w:val="21"/>
          <w:lang w:val="es-ES"/>
        </w:rPr>
      </w:pPr>
      <w:r w:rsidRPr="00A0532A">
        <w:rPr>
          <w:rFonts w:ascii="Arial" w:eastAsia="Calibri" w:hAnsi="Arial" w:cs="Arial"/>
          <w:color w:val="000000" w:themeColor="text1"/>
          <w:sz w:val="21"/>
          <w:szCs w:val="21"/>
          <w:lang w:val="es-ES"/>
        </w:rPr>
        <w:t>ii) ¿Cuándo la entidad pública se niega a realizar la publicación de la Contratación derivada realizada, la fiduciaria debe realizar la publicación en el SECOP I como ordena el numeral 1.8., de la Circular Externa Única de Colombia Compra Eficiente en el SECOP II como da a entender a manera de conclusión la circular externa No. 0</w:t>
      </w:r>
      <w:r w:rsidR="00C05A5B">
        <w:rPr>
          <w:rFonts w:ascii="Arial" w:eastAsia="Calibri" w:hAnsi="Arial" w:cs="Arial"/>
          <w:color w:val="000000" w:themeColor="text1"/>
          <w:sz w:val="21"/>
          <w:szCs w:val="21"/>
          <w:lang w:val="es-ES"/>
        </w:rPr>
        <w:t>2</w:t>
      </w:r>
      <w:r w:rsidRPr="00A0532A">
        <w:rPr>
          <w:rFonts w:ascii="Arial" w:eastAsia="Calibri" w:hAnsi="Arial" w:cs="Arial"/>
          <w:color w:val="000000" w:themeColor="text1"/>
          <w:sz w:val="21"/>
          <w:szCs w:val="21"/>
          <w:lang w:val="es-ES"/>
        </w:rPr>
        <w:t xml:space="preserve"> de 2019</w:t>
      </w:r>
      <w:r w:rsidR="00955D93" w:rsidRPr="009F0D45">
        <w:rPr>
          <w:rFonts w:ascii="Arial" w:eastAsia="Calibri" w:hAnsi="Arial" w:cs="Arial"/>
          <w:color w:val="000000" w:themeColor="text1"/>
          <w:sz w:val="21"/>
          <w:szCs w:val="21"/>
          <w:lang w:val="es-ES"/>
        </w:rPr>
        <w:t>?</w:t>
      </w:r>
    </w:p>
    <w:p w14:paraId="5E559976" w14:textId="14ED1B50" w:rsidR="00520A28" w:rsidRDefault="00520A28" w:rsidP="009F0D45">
      <w:pPr>
        <w:tabs>
          <w:tab w:val="left" w:pos="426"/>
        </w:tabs>
        <w:spacing w:before="0" w:after="0" w:line="240" w:lineRule="auto"/>
        <w:ind w:right="758"/>
        <w:rPr>
          <w:rFonts w:ascii="Arial" w:eastAsia="Calibri" w:hAnsi="Arial" w:cs="Arial"/>
          <w:color w:val="000000" w:themeColor="text1"/>
          <w:sz w:val="21"/>
          <w:szCs w:val="21"/>
          <w:lang w:val="es-ES"/>
        </w:rPr>
      </w:pPr>
    </w:p>
    <w:p w14:paraId="172806DA" w14:textId="40AE0EFA" w:rsidR="000775CE" w:rsidRDefault="00A0532A" w:rsidP="009F0D45">
      <w:pPr>
        <w:spacing w:before="0" w:after="0"/>
        <w:rPr>
          <w:rFonts w:ascii="Arial" w:eastAsia="Calibri" w:hAnsi="Arial" w:cs="Arial"/>
          <w:bCs/>
          <w:color w:val="000000" w:themeColor="text1"/>
          <w:sz w:val="22"/>
          <w:lang w:val="es-ES"/>
        </w:rPr>
      </w:pPr>
      <w:r>
        <w:rPr>
          <w:rFonts w:ascii="Arial" w:eastAsia="Calibri" w:hAnsi="Arial" w:cs="Arial"/>
          <w:bCs/>
          <w:color w:val="000000" w:themeColor="text1"/>
          <w:sz w:val="22"/>
          <w:lang w:val="es-ES"/>
        </w:rPr>
        <w:t>En relación con la plataforma en particular, SECOP I o SECOP II, debe recordarse que la obligación legal de publicar es de la entidad estatal. En consecuencia, independientemente de si la publicación la realiza la fiduciaria o la entidad, la plataforma que debe utilizarse es aquella en la cual la entidad se encuentra obligada a publicar.</w:t>
      </w:r>
      <w:r w:rsidR="003D110D">
        <w:rPr>
          <w:rFonts w:ascii="Arial" w:hAnsi="Arial" w:cs="Arial"/>
          <w:sz w:val="21"/>
          <w:szCs w:val="21"/>
          <w:lang w:val="es-ES"/>
        </w:rPr>
        <w:t xml:space="preserve"> </w:t>
      </w:r>
      <w:r w:rsidR="003D110D" w:rsidRPr="009F0D45">
        <w:rPr>
          <w:rFonts w:ascii="Arial" w:hAnsi="Arial" w:cs="Arial"/>
          <w:sz w:val="22"/>
          <w:szCs w:val="22"/>
          <w:lang w:val="es-ES"/>
        </w:rPr>
        <w:t>Por tanto</w:t>
      </w:r>
      <w:r w:rsidRPr="009F0D45">
        <w:rPr>
          <w:rFonts w:ascii="Arial" w:eastAsia="Calibri" w:hAnsi="Arial" w:cs="Arial"/>
          <w:bCs/>
          <w:color w:val="000000" w:themeColor="text1"/>
          <w:sz w:val="22"/>
          <w:szCs w:val="22"/>
          <w:lang w:val="es-ES"/>
        </w:rPr>
        <w:t>,</w:t>
      </w:r>
      <w:r w:rsidRPr="00A0532A">
        <w:rPr>
          <w:rFonts w:ascii="Arial" w:eastAsia="Calibri" w:hAnsi="Arial" w:cs="Arial"/>
          <w:bCs/>
          <w:color w:val="000000" w:themeColor="text1"/>
          <w:sz w:val="22"/>
          <w:lang w:val="es-ES"/>
        </w:rPr>
        <w:t xml:space="preserve"> para los contratos fiduciarios suscritos con entidades estatales obligadas en el 2020 a publicar en el SECOP II, la fiduciaria deberá publicar en esa plataforma el contrato y la actividad contractual derivada y, como resulta lógico, para los contratos celebrados con aquellas entidades estatales obligadas aún a publicar en el SECOP I, la fiduciaria publicará en esta otra plataforma como lo dispone la Circular Externa Única de esta Agencia</w:t>
      </w:r>
      <w:r w:rsidR="000775CE">
        <w:rPr>
          <w:rFonts w:ascii="Arial" w:eastAsia="Calibri" w:hAnsi="Arial" w:cs="Arial"/>
          <w:bCs/>
          <w:color w:val="000000" w:themeColor="text1"/>
          <w:sz w:val="22"/>
          <w:lang w:val="es-ES"/>
        </w:rPr>
        <w:t xml:space="preserve">. </w:t>
      </w:r>
    </w:p>
    <w:p w14:paraId="0CA931A6" w14:textId="77777777" w:rsidR="00520A28" w:rsidRPr="00EA242F" w:rsidRDefault="00520A28" w:rsidP="009F0D45">
      <w:pPr>
        <w:tabs>
          <w:tab w:val="left" w:pos="426"/>
        </w:tabs>
        <w:spacing w:before="0" w:after="0" w:line="240" w:lineRule="auto"/>
        <w:ind w:right="758"/>
        <w:rPr>
          <w:rFonts w:ascii="Arial" w:eastAsia="Calibri" w:hAnsi="Arial" w:cs="Arial"/>
          <w:color w:val="000000" w:themeColor="text1"/>
          <w:sz w:val="21"/>
          <w:szCs w:val="21"/>
          <w:lang w:val="es-ES"/>
        </w:rPr>
      </w:pPr>
    </w:p>
    <w:p w14:paraId="0643CF03" w14:textId="1EFB61C0" w:rsidR="00D666AA" w:rsidRPr="00F258C6" w:rsidRDefault="007C7889" w:rsidP="00F258C6">
      <w:pPr>
        <w:tabs>
          <w:tab w:val="left" w:pos="426"/>
        </w:tabs>
        <w:spacing w:before="0" w:after="0" w:line="240" w:lineRule="auto"/>
        <w:ind w:left="709" w:right="709"/>
        <w:rPr>
          <w:rFonts w:ascii="Arial" w:eastAsia="Calibri" w:hAnsi="Arial" w:cs="Arial"/>
          <w:color w:val="000000" w:themeColor="text1"/>
          <w:sz w:val="21"/>
          <w:szCs w:val="21"/>
          <w:lang w:val="es-ES"/>
        </w:rPr>
      </w:pPr>
      <w:r w:rsidRPr="007C7889">
        <w:rPr>
          <w:rFonts w:ascii="Arial" w:eastAsia="Calibri" w:hAnsi="Arial" w:cs="Arial"/>
          <w:color w:val="000000" w:themeColor="text1"/>
          <w:sz w:val="21"/>
          <w:szCs w:val="21"/>
          <w:lang w:val="es-ES"/>
        </w:rPr>
        <w:t xml:space="preserve">iii) Si la Fiduciaria debe realizar la publicación en el SECOP II y resulta que ha sido instruida para realizar una convocatoria pública con el objeto de seleccionar un oferente para un determinado bien o servicio, ¿Quién debe realizar el proceso </w:t>
      </w:r>
      <w:r w:rsidRPr="007C7889">
        <w:rPr>
          <w:rFonts w:ascii="Arial" w:eastAsia="Calibri" w:hAnsi="Arial" w:cs="Arial"/>
          <w:color w:val="000000" w:themeColor="text1"/>
          <w:sz w:val="21"/>
          <w:szCs w:val="21"/>
          <w:lang w:val="es-ES"/>
        </w:rPr>
        <w:lastRenderedPageBreak/>
        <w:t xml:space="preserve">junto con todas sus etapas de manera transaccional en el SECOP II, la Entidad Estatal (Fideicomitente) o la Fiduciaria? </w:t>
      </w:r>
      <w:r w:rsidR="00955D93" w:rsidRPr="009F0D45">
        <w:rPr>
          <w:rFonts w:ascii="Arial" w:eastAsia="Calibri" w:hAnsi="Arial" w:cs="Arial"/>
          <w:color w:val="000000" w:themeColor="text1"/>
          <w:sz w:val="21"/>
          <w:szCs w:val="21"/>
          <w:lang w:val="es-ES"/>
        </w:rPr>
        <w:t xml:space="preserve"> </w:t>
      </w:r>
    </w:p>
    <w:p w14:paraId="22C5A357" w14:textId="039D77E0" w:rsidR="00890D44" w:rsidRDefault="000A1295">
      <w:pPr>
        <w:spacing w:before="0"/>
        <w:rPr>
          <w:rFonts w:ascii="Arial" w:eastAsia="Calibri" w:hAnsi="Arial" w:cs="Arial"/>
          <w:bCs/>
          <w:color w:val="000000" w:themeColor="text1"/>
          <w:sz w:val="22"/>
          <w:lang w:val="es-ES"/>
        </w:rPr>
      </w:pPr>
      <w:r w:rsidRPr="000A1295">
        <w:rPr>
          <w:rFonts w:ascii="Arial" w:eastAsia="Calibri" w:hAnsi="Arial" w:cs="Arial"/>
          <w:bCs/>
          <w:color w:val="000000" w:themeColor="text1"/>
          <w:sz w:val="22"/>
          <w:lang w:val="es-ES"/>
        </w:rPr>
        <w:t>Como</w:t>
      </w:r>
      <w:r w:rsidR="00D8073A">
        <w:rPr>
          <w:rFonts w:ascii="Arial" w:eastAsia="Calibri" w:hAnsi="Arial" w:cs="Arial"/>
          <w:bCs/>
          <w:color w:val="000000" w:themeColor="text1"/>
          <w:sz w:val="22"/>
          <w:lang w:val="es-ES"/>
        </w:rPr>
        <w:t xml:space="preserve"> </w:t>
      </w:r>
      <w:r w:rsidR="007C7889">
        <w:rPr>
          <w:rFonts w:ascii="Arial" w:eastAsia="Calibri" w:hAnsi="Arial" w:cs="Arial"/>
          <w:bCs/>
          <w:color w:val="000000" w:themeColor="text1"/>
          <w:sz w:val="22"/>
          <w:lang w:val="es-ES"/>
        </w:rPr>
        <w:t>se explicó anteriormente,</w:t>
      </w:r>
      <w:r w:rsidRPr="000A1295">
        <w:rPr>
          <w:rFonts w:ascii="Arial" w:eastAsia="Calibri" w:hAnsi="Arial" w:cs="Arial"/>
          <w:bCs/>
          <w:color w:val="000000" w:themeColor="text1"/>
          <w:sz w:val="22"/>
          <w:lang w:val="es-ES"/>
        </w:rPr>
        <w:t xml:space="preserve"> el sujeto obligado a realizar la publicación de los contratos fiduciarios y la «contratación derivada» es la </w:t>
      </w:r>
      <w:r w:rsidR="004707D2" w:rsidRPr="000A1295">
        <w:rPr>
          <w:rFonts w:ascii="Arial" w:eastAsia="Calibri" w:hAnsi="Arial" w:cs="Arial"/>
          <w:bCs/>
          <w:color w:val="000000" w:themeColor="text1"/>
          <w:sz w:val="22"/>
          <w:lang w:val="es-ES"/>
        </w:rPr>
        <w:t>entidad estatal</w:t>
      </w:r>
      <w:r w:rsidRPr="000A1295">
        <w:rPr>
          <w:rFonts w:ascii="Arial" w:eastAsia="Calibri" w:hAnsi="Arial" w:cs="Arial"/>
          <w:bCs/>
          <w:color w:val="000000" w:themeColor="text1"/>
          <w:sz w:val="22"/>
          <w:lang w:val="es-ES"/>
        </w:rPr>
        <w:t xml:space="preserve">. No obstante, </w:t>
      </w:r>
      <w:r w:rsidR="00D8073A" w:rsidRPr="00D8073A">
        <w:rPr>
          <w:rFonts w:ascii="Arial" w:eastAsia="Calibri" w:hAnsi="Arial" w:cs="Arial"/>
          <w:bCs/>
          <w:color w:val="000000" w:themeColor="text1"/>
          <w:sz w:val="22"/>
          <w:lang w:val="es-ES"/>
        </w:rPr>
        <w:t>en el manejo de sus relaciones contractuales</w:t>
      </w:r>
      <w:r w:rsidR="00890D44">
        <w:rPr>
          <w:rFonts w:ascii="Arial" w:eastAsia="Calibri" w:hAnsi="Arial" w:cs="Arial"/>
          <w:bCs/>
          <w:color w:val="000000" w:themeColor="text1"/>
          <w:sz w:val="22"/>
          <w:lang w:val="es-ES"/>
        </w:rPr>
        <w:t>,</w:t>
      </w:r>
      <w:r w:rsidR="00D8073A" w:rsidRPr="00D8073A">
        <w:rPr>
          <w:rFonts w:ascii="Arial" w:eastAsia="Calibri" w:hAnsi="Arial" w:cs="Arial"/>
          <w:bCs/>
          <w:color w:val="000000" w:themeColor="text1"/>
          <w:sz w:val="22"/>
          <w:lang w:val="es-ES"/>
        </w:rPr>
        <w:t xml:space="preserve"> </w:t>
      </w:r>
      <w:r w:rsidR="00890D44" w:rsidRPr="00B44540">
        <w:rPr>
          <w:rFonts w:ascii="Arial" w:hAnsi="Arial" w:cs="Arial"/>
          <w:color w:val="000000" w:themeColor="text1"/>
          <w:sz w:val="22"/>
          <w:lang w:val="es-ES"/>
        </w:rPr>
        <w:t xml:space="preserve">las entidades estatales y las fiduciarias pueden acordar que </w:t>
      </w:r>
      <w:r w:rsidR="00B2440A">
        <w:rPr>
          <w:rFonts w:ascii="Arial" w:hAnsi="Arial" w:cs="Arial"/>
          <w:color w:val="000000" w:themeColor="text1"/>
          <w:sz w:val="22"/>
          <w:lang w:val="es-ES"/>
        </w:rPr>
        <w:t>publicación de</w:t>
      </w:r>
      <w:r w:rsidR="00890D44" w:rsidRPr="00B44540">
        <w:rPr>
          <w:rFonts w:ascii="Arial" w:hAnsi="Arial" w:cs="Arial"/>
          <w:color w:val="000000" w:themeColor="text1"/>
          <w:sz w:val="22"/>
          <w:lang w:val="es-ES"/>
        </w:rPr>
        <w:t xml:space="preserve"> la información </w:t>
      </w:r>
      <w:r w:rsidR="00B2440A">
        <w:rPr>
          <w:rFonts w:ascii="Arial" w:hAnsi="Arial" w:cs="Arial"/>
          <w:color w:val="000000" w:themeColor="text1"/>
          <w:sz w:val="22"/>
          <w:lang w:val="es-ES"/>
        </w:rPr>
        <w:t>en e</w:t>
      </w:r>
      <w:r w:rsidR="00890D44" w:rsidRPr="00B44540">
        <w:rPr>
          <w:rFonts w:ascii="Arial" w:hAnsi="Arial" w:cs="Arial"/>
          <w:color w:val="000000" w:themeColor="text1"/>
          <w:sz w:val="22"/>
          <w:lang w:val="es-ES"/>
        </w:rPr>
        <w:t xml:space="preserve">l SECOP </w:t>
      </w:r>
      <w:r w:rsidR="00890D44">
        <w:rPr>
          <w:rFonts w:ascii="Arial" w:hAnsi="Arial" w:cs="Arial"/>
          <w:color w:val="000000" w:themeColor="text1"/>
          <w:sz w:val="22"/>
          <w:lang w:val="es-ES"/>
        </w:rPr>
        <w:t>corresponda a</w:t>
      </w:r>
      <w:r w:rsidR="00890D44" w:rsidRPr="00B44540">
        <w:rPr>
          <w:rFonts w:ascii="Arial" w:hAnsi="Arial" w:cs="Arial"/>
          <w:color w:val="000000" w:themeColor="text1"/>
          <w:sz w:val="22"/>
          <w:lang w:val="es-ES"/>
        </w:rPr>
        <w:t xml:space="preserve"> </w:t>
      </w:r>
      <w:r w:rsidR="00890D44">
        <w:rPr>
          <w:rFonts w:ascii="Arial" w:hAnsi="Arial" w:cs="Arial"/>
          <w:color w:val="000000" w:themeColor="text1"/>
          <w:sz w:val="22"/>
          <w:lang w:val="es-ES"/>
        </w:rPr>
        <w:t>estas últimas</w:t>
      </w:r>
      <w:r w:rsidR="00890D44" w:rsidRPr="00B44540">
        <w:rPr>
          <w:rFonts w:ascii="Arial" w:hAnsi="Arial" w:cs="Arial"/>
          <w:color w:val="000000" w:themeColor="text1"/>
          <w:sz w:val="22"/>
          <w:lang w:val="es-ES"/>
        </w:rPr>
        <w:t xml:space="preserve"> </w:t>
      </w:r>
      <w:r w:rsidR="00890D44">
        <w:rPr>
          <w:rFonts w:ascii="Arial" w:hAnsi="Arial" w:cs="Arial"/>
          <w:color w:val="000000" w:themeColor="text1"/>
          <w:sz w:val="22"/>
          <w:lang w:val="es-ES"/>
        </w:rPr>
        <w:t xml:space="preserve">como </w:t>
      </w:r>
      <w:r w:rsidR="00890D44" w:rsidRPr="00B44540">
        <w:rPr>
          <w:rFonts w:ascii="Arial" w:hAnsi="Arial" w:cs="Arial"/>
          <w:color w:val="000000" w:themeColor="text1"/>
          <w:sz w:val="22"/>
          <w:lang w:val="es-ES"/>
        </w:rPr>
        <w:t>vocera</w:t>
      </w:r>
      <w:r w:rsidR="00890D44">
        <w:rPr>
          <w:rFonts w:ascii="Arial" w:hAnsi="Arial" w:cs="Arial"/>
          <w:color w:val="000000" w:themeColor="text1"/>
          <w:sz w:val="22"/>
          <w:lang w:val="es-ES"/>
        </w:rPr>
        <w:t>s</w:t>
      </w:r>
      <w:r w:rsidR="00890D44" w:rsidRPr="00B44540">
        <w:rPr>
          <w:rFonts w:ascii="Arial" w:hAnsi="Arial" w:cs="Arial"/>
          <w:color w:val="000000" w:themeColor="text1"/>
          <w:sz w:val="22"/>
          <w:lang w:val="es-ES"/>
        </w:rPr>
        <w:t xml:space="preserve"> del patrimonio autónomo. </w:t>
      </w:r>
      <w:r w:rsidR="00D8073A" w:rsidRPr="00D8073A">
        <w:rPr>
          <w:rFonts w:ascii="Arial" w:eastAsia="Calibri" w:hAnsi="Arial" w:cs="Arial"/>
          <w:bCs/>
          <w:color w:val="000000" w:themeColor="text1"/>
          <w:sz w:val="22"/>
          <w:lang w:val="es-ES"/>
        </w:rPr>
        <w:t xml:space="preserve"> </w:t>
      </w:r>
    </w:p>
    <w:p w14:paraId="20088522" w14:textId="77777777" w:rsidR="000A1295" w:rsidRPr="000A1295" w:rsidRDefault="000A1295" w:rsidP="009F0D45">
      <w:pPr>
        <w:tabs>
          <w:tab w:val="left" w:pos="426"/>
        </w:tabs>
        <w:spacing w:before="0" w:after="0" w:line="240" w:lineRule="auto"/>
        <w:ind w:right="758"/>
        <w:rPr>
          <w:rFonts w:ascii="Arial" w:eastAsia="Calibri" w:hAnsi="Arial" w:cs="Arial"/>
          <w:color w:val="000000" w:themeColor="text1"/>
          <w:sz w:val="21"/>
          <w:szCs w:val="21"/>
          <w:lang w:val="es-ES"/>
        </w:rPr>
      </w:pPr>
    </w:p>
    <w:p w14:paraId="1CA701DF" w14:textId="27F9388E" w:rsidR="00955D93" w:rsidRPr="00F258C6" w:rsidRDefault="002D235A" w:rsidP="00F258C6">
      <w:pPr>
        <w:tabs>
          <w:tab w:val="left" w:pos="426"/>
        </w:tabs>
        <w:spacing w:before="0" w:after="0" w:line="240" w:lineRule="auto"/>
        <w:ind w:left="709" w:right="709"/>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iv) </w:t>
      </w:r>
      <w:r w:rsidR="00955D93" w:rsidRPr="009F0D45">
        <w:rPr>
          <w:rFonts w:ascii="Arial" w:eastAsia="Calibri" w:hAnsi="Arial" w:cs="Arial"/>
          <w:color w:val="000000" w:themeColor="text1"/>
          <w:sz w:val="21"/>
          <w:szCs w:val="21"/>
          <w:lang w:val="es-ES"/>
        </w:rPr>
        <w:t xml:space="preserve">¿La </w:t>
      </w:r>
      <w:r w:rsidR="00D906D5">
        <w:rPr>
          <w:rFonts w:ascii="Arial" w:eastAsia="Calibri" w:hAnsi="Arial" w:cs="Arial"/>
          <w:color w:val="000000" w:themeColor="text1"/>
          <w:sz w:val="21"/>
          <w:szCs w:val="21"/>
          <w:lang w:val="es-ES"/>
        </w:rPr>
        <w:t>f</w:t>
      </w:r>
      <w:r w:rsidR="00955D93" w:rsidRPr="009F0D45">
        <w:rPr>
          <w:rFonts w:ascii="Arial" w:eastAsia="Calibri" w:hAnsi="Arial" w:cs="Arial"/>
          <w:color w:val="000000" w:themeColor="text1"/>
          <w:sz w:val="21"/>
          <w:szCs w:val="21"/>
          <w:lang w:val="es-ES"/>
        </w:rPr>
        <w:t>iduciaria tiene potestad de selección y adjudicación dentro de las convocatorias pública</w:t>
      </w:r>
      <w:r>
        <w:rPr>
          <w:rFonts w:ascii="Arial" w:eastAsia="Calibri" w:hAnsi="Arial" w:cs="Arial"/>
          <w:color w:val="000000" w:themeColor="text1"/>
          <w:sz w:val="21"/>
          <w:szCs w:val="21"/>
          <w:lang w:val="es-ES"/>
        </w:rPr>
        <w:t>s</w:t>
      </w:r>
      <w:r w:rsidR="00955D93" w:rsidRPr="009F0D45">
        <w:rPr>
          <w:rFonts w:ascii="Arial" w:eastAsia="Calibri" w:hAnsi="Arial" w:cs="Arial"/>
          <w:color w:val="000000" w:themeColor="text1"/>
          <w:sz w:val="21"/>
          <w:szCs w:val="21"/>
          <w:lang w:val="es-ES"/>
        </w:rPr>
        <w:t xml:space="preserve"> que realice? </w:t>
      </w:r>
    </w:p>
    <w:p w14:paraId="42148B5E" w14:textId="66508C40" w:rsidR="003A307E" w:rsidRPr="008F3A87" w:rsidRDefault="00632A38" w:rsidP="008F3A87">
      <w:pPr>
        <w:spacing w:before="0"/>
        <w:rPr>
          <w:rFonts w:ascii="Arial" w:hAnsi="Arial" w:cs="Arial"/>
          <w:color w:val="000000" w:themeColor="text1"/>
          <w:sz w:val="22"/>
          <w:lang w:val="es-ES"/>
        </w:rPr>
      </w:pPr>
      <w:r>
        <w:rPr>
          <w:rFonts w:ascii="Arial" w:hAnsi="Arial" w:cs="Arial"/>
          <w:color w:val="000000" w:themeColor="text1"/>
          <w:sz w:val="22"/>
          <w:lang w:val="es-ES"/>
        </w:rPr>
        <w:t xml:space="preserve">La sociedad fiduciaria puede realizar todos los trámites de la etapa de planeación, celebración y ejecución del contrato hasta el vencimiento de las garantías o las condiciones de disposición final o recuperación ambiental, salvo la adjudicación de los contratos, que no puede ser delegada, como consecuencia de la prohibición expresa contenida en el artículo 32, numeral 5, de la Ley 80 de 1993. </w:t>
      </w:r>
      <w:r w:rsidRPr="00481BD6">
        <w:rPr>
          <w:rFonts w:ascii="Arial" w:hAnsi="Arial" w:cs="Arial"/>
          <w:b/>
          <w:bCs/>
          <w:color w:val="000000" w:themeColor="text1"/>
          <w:sz w:val="22"/>
          <w:lang w:val="es-ES"/>
        </w:rPr>
        <w:t xml:space="preserve"> </w:t>
      </w:r>
    </w:p>
    <w:p w14:paraId="70100CEB" w14:textId="1EE213E4" w:rsidR="00040B7D" w:rsidRPr="00040B7D" w:rsidRDefault="00040B7D" w:rsidP="009F0D45">
      <w:pPr>
        <w:spacing w:before="0"/>
        <w:rPr>
          <w:rFonts w:ascii="Arial" w:eastAsia="Calibri" w:hAnsi="Arial" w:cs="Arial"/>
          <w:color w:val="000000" w:themeColor="text1"/>
          <w:sz w:val="22"/>
          <w:lang w:val="es-ES"/>
        </w:rPr>
      </w:pPr>
      <w:r w:rsidRPr="00040B7D">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70A8F02C" w14:textId="77777777" w:rsidR="00D34654" w:rsidRDefault="00D34654" w:rsidP="00AB081F">
      <w:pPr>
        <w:spacing w:before="0"/>
        <w:rPr>
          <w:rFonts w:ascii="Arial" w:hAnsi="Arial" w:cs="Arial"/>
          <w:color w:val="000000" w:themeColor="text1"/>
          <w:sz w:val="22"/>
          <w:lang w:eastAsia="es-CO"/>
        </w:rPr>
      </w:pPr>
    </w:p>
    <w:p w14:paraId="32CC741B" w14:textId="07375448" w:rsidR="00040B7D" w:rsidRPr="00481BD6" w:rsidRDefault="00040B7D" w:rsidP="00AB081F">
      <w:pPr>
        <w:spacing w:before="0"/>
        <w:rPr>
          <w:rFonts w:ascii="Arial" w:hAnsi="Arial" w:cs="Arial"/>
          <w:color w:val="000000" w:themeColor="text1"/>
          <w:sz w:val="22"/>
          <w:lang w:eastAsia="es-CO"/>
        </w:rPr>
      </w:pPr>
      <w:r w:rsidRPr="00481BD6">
        <w:rPr>
          <w:rFonts w:ascii="Arial" w:hAnsi="Arial" w:cs="Arial"/>
          <w:color w:val="000000" w:themeColor="text1"/>
          <w:sz w:val="22"/>
          <w:lang w:eastAsia="es-CO"/>
        </w:rPr>
        <w:t>Atentamente,</w:t>
      </w:r>
    </w:p>
    <w:p w14:paraId="688EF677" w14:textId="756B85CE" w:rsidR="00040B7D" w:rsidRPr="00481BD6" w:rsidRDefault="00D34654" w:rsidP="00AB081F">
      <w:pPr>
        <w:spacing w:before="0"/>
        <w:jc w:val="center"/>
        <w:rPr>
          <w:rFonts w:ascii="Arial" w:hAnsi="Arial" w:cs="Arial"/>
          <w:color w:val="000000" w:themeColor="text1"/>
          <w:sz w:val="22"/>
          <w:lang w:eastAsia="es-CO"/>
        </w:rPr>
      </w:pPr>
      <w:r>
        <w:rPr>
          <w:noProof/>
          <w:lang w:val="en-US" w:eastAsia="en-US"/>
        </w:rPr>
        <w:drawing>
          <wp:inline distT="0" distB="0" distL="0" distR="0" wp14:anchorId="40588C45" wp14:editId="200A1AB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40B7D" w:rsidRPr="00D34654" w14:paraId="00E59AC3" w14:textId="77777777" w:rsidTr="00520A28">
        <w:trPr>
          <w:trHeight w:val="315"/>
        </w:trPr>
        <w:tc>
          <w:tcPr>
            <w:tcW w:w="812" w:type="dxa"/>
            <w:vAlign w:val="center"/>
            <w:hideMark/>
          </w:tcPr>
          <w:p w14:paraId="4F921815" w14:textId="77777777" w:rsidR="00040B7D" w:rsidRPr="00E633DC" w:rsidRDefault="00040B7D" w:rsidP="00321A65">
            <w:pPr>
              <w:spacing w:before="0" w:after="120"/>
              <w:rPr>
                <w:rFonts w:ascii="Arial" w:hAnsi="Arial" w:cs="Arial"/>
                <w:color w:val="000000" w:themeColor="text1"/>
                <w:sz w:val="16"/>
                <w:szCs w:val="16"/>
                <w:lang w:eastAsia="es-ES"/>
              </w:rPr>
            </w:pPr>
            <w:r w:rsidRPr="00E633DC">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2B2CA33" w14:textId="2C134F3C" w:rsidR="00040B7D" w:rsidRPr="00E633DC" w:rsidRDefault="00D573C2" w:rsidP="003F650A">
            <w:pPr>
              <w:spacing w:before="0"/>
              <w:rPr>
                <w:rFonts w:ascii="Arial" w:hAnsi="Arial" w:cs="Arial"/>
                <w:color w:val="000000" w:themeColor="text1"/>
                <w:sz w:val="16"/>
                <w:szCs w:val="16"/>
                <w:lang w:val="es-ES" w:eastAsia="es-ES"/>
              </w:rPr>
            </w:pPr>
            <w:r w:rsidRPr="00E633DC">
              <w:rPr>
                <w:rFonts w:ascii="Arial" w:hAnsi="Arial" w:cs="Arial"/>
                <w:color w:val="000000" w:themeColor="text1"/>
                <w:sz w:val="16"/>
                <w:szCs w:val="16"/>
                <w:lang w:val="es-ES" w:eastAsia="es-ES"/>
              </w:rPr>
              <w:t>Sebastián Barreto Cifuentes</w:t>
            </w:r>
          </w:p>
          <w:p w14:paraId="1003E7F0" w14:textId="3431BFCF" w:rsidR="00040B7D" w:rsidRPr="00E633DC" w:rsidRDefault="00040B7D" w:rsidP="003F650A">
            <w:pPr>
              <w:spacing w:before="0"/>
              <w:rPr>
                <w:rFonts w:ascii="Arial" w:hAnsi="Arial" w:cs="Arial"/>
                <w:color w:val="000000" w:themeColor="text1"/>
                <w:sz w:val="16"/>
                <w:szCs w:val="16"/>
                <w:lang w:val="es-ES" w:eastAsia="es-ES"/>
              </w:rPr>
            </w:pPr>
            <w:r w:rsidRPr="00E633DC">
              <w:rPr>
                <w:rFonts w:ascii="Arial" w:hAnsi="Arial" w:cs="Arial"/>
                <w:color w:val="000000" w:themeColor="text1"/>
                <w:sz w:val="16"/>
                <w:szCs w:val="16"/>
                <w:lang w:val="es-ES" w:eastAsia="es-ES"/>
              </w:rPr>
              <w:t xml:space="preserve">Contratista </w:t>
            </w:r>
            <w:r w:rsidR="00A658C4">
              <w:rPr>
                <w:rFonts w:ascii="Arial" w:hAnsi="Arial" w:cs="Arial"/>
                <w:color w:val="000000" w:themeColor="text1"/>
                <w:sz w:val="16"/>
                <w:szCs w:val="16"/>
                <w:lang w:val="es-ES" w:eastAsia="es-ES"/>
              </w:rPr>
              <w:t xml:space="preserve">de la </w:t>
            </w:r>
            <w:r w:rsidRPr="00E633DC">
              <w:rPr>
                <w:rFonts w:ascii="Arial" w:hAnsi="Arial" w:cs="Arial"/>
                <w:color w:val="000000" w:themeColor="text1"/>
                <w:sz w:val="16"/>
                <w:szCs w:val="16"/>
                <w:lang w:val="es-ES" w:eastAsia="es-ES"/>
              </w:rPr>
              <w:t>Subdirección de Gestión Contractual</w:t>
            </w:r>
          </w:p>
        </w:tc>
      </w:tr>
      <w:tr w:rsidR="00040B7D" w:rsidRPr="00D34654" w14:paraId="79AD27C1" w14:textId="77777777" w:rsidTr="00520A28">
        <w:trPr>
          <w:trHeight w:val="330"/>
        </w:trPr>
        <w:tc>
          <w:tcPr>
            <w:tcW w:w="812" w:type="dxa"/>
            <w:vAlign w:val="center"/>
            <w:hideMark/>
          </w:tcPr>
          <w:p w14:paraId="036EE3A4" w14:textId="77777777" w:rsidR="00040B7D" w:rsidRPr="00E633DC" w:rsidRDefault="00040B7D" w:rsidP="00321A65">
            <w:pPr>
              <w:spacing w:before="0" w:after="120"/>
              <w:rPr>
                <w:rFonts w:ascii="Arial" w:hAnsi="Arial" w:cs="Arial"/>
                <w:color w:val="000000" w:themeColor="text1"/>
                <w:sz w:val="16"/>
                <w:szCs w:val="16"/>
                <w:lang w:eastAsia="es-ES"/>
              </w:rPr>
            </w:pPr>
            <w:r w:rsidRPr="00E633DC">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23F860" w14:textId="73983AFE" w:rsidR="00D573C2" w:rsidRPr="00E633DC" w:rsidRDefault="00A658C4" w:rsidP="003F650A">
            <w:pPr>
              <w:spacing w:before="0"/>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Juan David Montoya Penagos </w:t>
            </w:r>
          </w:p>
          <w:p w14:paraId="6AF95134" w14:textId="321C22F7" w:rsidR="00040B7D" w:rsidRPr="00E633DC" w:rsidRDefault="00A658C4" w:rsidP="003F650A">
            <w:pPr>
              <w:spacing w:before="0"/>
              <w:rPr>
                <w:rFonts w:ascii="Arial" w:hAnsi="Arial" w:cs="Arial"/>
                <w:color w:val="000000" w:themeColor="text1"/>
                <w:sz w:val="16"/>
                <w:szCs w:val="16"/>
                <w:lang w:val="es-ES" w:eastAsia="es-ES"/>
              </w:rPr>
            </w:pPr>
            <w:r w:rsidRPr="00E633DC">
              <w:rPr>
                <w:rFonts w:ascii="Arial" w:hAnsi="Arial" w:cs="Arial"/>
                <w:color w:val="000000" w:themeColor="text1"/>
                <w:sz w:val="16"/>
                <w:szCs w:val="16"/>
                <w:lang w:val="es-ES" w:eastAsia="es-ES"/>
              </w:rPr>
              <w:t xml:space="preserve">Contratista </w:t>
            </w:r>
            <w:r>
              <w:rPr>
                <w:rFonts w:ascii="Arial" w:hAnsi="Arial" w:cs="Arial"/>
                <w:color w:val="000000" w:themeColor="text1"/>
                <w:sz w:val="16"/>
                <w:szCs w:val="16"/>
                <w:lang w:val="es-ES" w:eastAsia="es-ES"/>
              </w:rPr>
              <w:t xml:space="preserve">de la </w:t>
            </w:r>
            <w:r w:rsidRPr="00E633DC">
              <w:rPr>
                <w:rFonts w:ascii="Arial" w:hAnsi="Arial" w:cs="Arial"/>
                <w:color w:val="000000" w:themeColor="text1"/>
                <w:sz w:val="16"/>
                <w:szCs w:val="16"/>
                <w:lang w:val="es-ES" w:eastAsia="es-ES"/>
              </w:rPr>
              <w:t>Subdirección de Gestión Contractual</w:t>
            </w:r>
          </w:p>
        </w:tc>
      </w:tr>
      <w:tr w:rsidR="00040B7D" w:rsidRPr="00D34654" w14:paraId="43EC2CF2" w14:textId="77777777" w:rsidTr="00520A28">
        <w:trPr>
          <w:trHeight w:val="300"/>
        </w:trPr>
        <w:tc>
          <w:tcPr>
            <w:tcW w:w="812" w:type="dxa"/>
            <w:vAlign w:val="center"/>
            <w:hideMark/>
          </w:tcPr>
          <w:p w14:paraId="02DB1EAA" w14:textId="77777777" w:rsidR="00040B7D" w:rsidRPr="00E633DC" w:rsidRDefault="00040B7D" w:rsidP="00321A65">
            <w:pPr>
              <w:spacing w:before="0" w:after="120"/>
              <w:rPr>
                <w:rFonts w:ascii="Arial" w:hAnsi="Arial" w:cs="Arial"/>
                <w:color w:val="000000" w:themeColor="text1"/>
                <w:sz w:val="16"/>
                <w:szCs w:val="16"/>
                <w:lang w:eastAsia="es-ES"/>
              </w:rPr>
            </w:pPr>
            <w:r w:rsidRPr="00E633DC">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340380" w14:textId="77777777" w:rsidR="00040B7D" w:rsidRPr="00E633DC" w:rsidRDefault="00040B7D" w:rsidP="003F650A">
            <w:pPr>
              <w:spacing w:before="0"/>
              <w:rPr>
                <w:rFonts w:ascii="Arial" w:hAnsi="Arial" w:cs="Arial"/>
                <w:color w:val="000000" w:themeColor="text1"/>
                <w:sz w:val="16"/>
                <w:szCs w:val="16"/>
                <w:lang w:val="es-ES" w:eastAsia="es-ES"/>
              </w:rPr>
            </w:pPr>
            <w:r w:rsidRPr="00E633DC">
              <w:rPr>
                <w:rFonts w:ascii="Arial" w:hAnsi="Arial" w:cs="Arial"/>
                <w:color w:val="000000" w:themeColor="text1"/>
                <w:sz w:val="16"/>
                <w:szCs w:val="16"/>
                <w:lang w:val="es-ES" w:eastAsia="es-ES"/>
              </w:rPr>
              <w:t>Fabián Gonzalo Marín Cortés</w:t>
            </w:r>
          </w:p>
          <w:p w14:paraId="057711A2" w14:textId="77777777" w:rsidR="00040B7D" w:rsidRPr="00E633DC" w:rsidRDefault="00040B7D" w:rsidP="003F650A">
            <w:pPr>
              <w:spacing w:before="0"/>
              <w:rPr>
                <w:rFonts w:ascii="Arial" w:hAnsi="Arial" w:cs="Arial"/>
                <w:color w:val="000000" w:themeColor="text1"/>
                <w:sz w:val="16"/>
                <w:szCs w:val="16"/>
                <w:lang w:val="es-ES" w:eastAsia="es-ES"/>
              </w:rPr>
            </w:pPr>
            <w:r w:rsidRPr="00E633DC">
              <w:rPr>
                <w:rFonts w:ascii="Arial" w:hAnsi="Arial" w:cs="Arial"/>
                <w:color w:val="000000" w:themeColor="text1"/>
                <w:sz w:val="16"/>
                <w:szCs w:val="16"/>
                <w:lang w:val="es-ES" w:eastAsia="es-ES"/>
              </w:rPr>
              <w:t>Subdirector de Gestión Contractual</w:t>
            </w:r>
          </w:p>
        </w:tc>
      </w:tr>
    </w:tbl>
    <w:p w14:paraId="35B56F46" w14:textId="77777777" w:rsidR="00746E08" w:rsidRPr="00040B7D" w:rsidRDefault="00746E08" w:rsidP="00AB081F">
      <w:pPr>
        <w:spacing w:before="0"/>
        <w:rPr>
          <w:lang w:val="es-ES"/>
        </w:rPr>
      </w:pPr>
      <w:bookmarkStart w:id="5" w:name="_Hlk29890381"/>
      <w:bookmarkEnd w:id="5"/>
    </w:p>
    <w:sectPr w:rsidR="00746E08" w:rsidRPr="00040B7D" w:rsidSect="002339D3">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3F43D" w14:textId="77777777" w:rsidR="006E6185" w:rsidRDefault="006E6185">
      <w:r>
        <w:separator/>
      </w:r>
    </w:p>
  </w:endnote>
  <w:endnote w:type="continuationSeparator" w:id="0">
    <w:p w14:paraId="65BE0A40" w14:textId="77777777" w:rsidR="006E6185" w:rsidRDefault="006E6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90D44" w:rsidRDefault="00890D44" w:rsidP="00322937">
    <w:pPr>
      <w:pStyle w:val="Sinespaciado"/>
      <w:jc w:val="right"/>
      <w:rPr>
        <w:rFonts w:ascii="Arial" w:hAnsi="Arial" w:cs="Arial"/>
        <w:sz w:val="18"/>
        <w:szCs w:val="18"/>
      </w:rPr>
    </w:pPr>
  </w:p>
  <w:p w14:paraId="7A3785F3" w14:textId="40553F4E" w:rsidR="00890D44" w:rsidRPr="008217B7" w:rsidRDefault="00890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0092A">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0092A">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90D44" w:rsidRDefault="00890D4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90D44" w:rsidRDefault="00890D44" w:rsidP="007B0854">
    <w:pPr>
      <w:pStyle w:val="Piedepgina"/>
      <w:jc w:val="center"/>
      <w:rPr>
        <w:lang w:val="es-ES"/>
      </w:rPr>
    </w:pPr>
  </w:p>
  <w:p w14:paraId="6C0EFC49" w14:textId="77777777" w:rsidR="00890D44" w:rsidRPr="007B0854" w:rsidRDefault="00890D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1E436" w14:textId="77777777" w:rsidR="006E6185" w:rsidRDefault="006E6185">
      <w:r>
        <w:separator/>
      </w:r>
    </w:p>
  </w:footnote>
  <w:footnote w:type="continuationSeparator" w:id="0">
    <w:p w14:paraId="42A366B5" w14:textId="77777777" w:rsidR="006E6185" w:rsidRDefault="006E6185">
      <w:r>
        <w:continuationSeparator/>
      </w:r>
    </w:p>
  </w:footnote>
  <w:footnote w:id="1">
    <w:p w14:paraId="4499B042" w14:textId="673F3608" w:rsidR="00890D44" w:rsidRDefault="00890D44" w:rsidP="00BD38A7">
      <w:pPr>
        <w:pStyle w:val="Textonotapie"/>
        <w:spacing w:before="0" w:after="0" w:line="240" w:lineRule="auto"/>
        <w:ind w:firstLine="709"/>
        <w:rPr>
          <w:rFonts w:ascii="Arial" w:hAnsi="Arial" w:cs="Arial"/>
          <w:color w:val="000000" w:themeColor="text1"/>
          <w:sz w:val="19"/>
          <w:szCs w:val="19"/>
        </w:rPr>
      </w:pPr>
      <w:r w:rsidRPr="00BD38A7">
        <w:rPr>
          <w:rStyle w:val="Refdenotaalpie"/>
          <w:rFonts w:ascii="Arial" w:hAnsi="Arial" w:cs="Arial"/>
          <w:color w:val="000000" w:themeColor="text1"/>
          <w:sz w:val="19"/>
          <w:szCs w:val="19"/>
        </w:rPr>
        <w:footnoteRef/>
      </w:r>
      <w:r w:rsidRPr="00BD38A7">
        <w:rPr>
          <w:rFonts w:ascii="Arial" w:hAnsi="Arial" w:cs="Arial"/>
          <w:color w:val="000000" w:themeColor="text1"/>
          <w:sz w:val="19"/>
          <w:szCs w:val="19"/>
        </w:rPr>
        <w:t xml:space="preserve"> Corte Constitucional. Sentencia C-341 del 4 de junio de 2014. Magistrado Ponente: Mauricio González Cuervo.</w:t>
      </w:r>
    </w:p>
    <w:p w14:paraId="7F08C411" w14:textId="77777777" w:rsidR="00890D44" w:rsidRPr="00BD38A7" w:rsidRDefault="00890D44" w:rsidP="00BD38A7">
      <w:pPr>
        <w:pStyle w:val="Textonotapie"/>
        <w:spacing w:before="0" w:after="0" w:line="240" w:lineRule="auto"/>
        <w:ind w:firstLine="709"/>
        <w:rPr>
          <w:rFonts w:ascii="Arial" w:hAnsi="Arial" w:cs="Arial"/>
          <w:color w:val="000000" w:themeColor="text1"/>
          <w:sz w:val="19"/>
          <w:szCs w:val="19"/>
        </w:rPr>
      </w:pPr>
    </w:p>
  </w:footnote>
  <w:footnote w:id="2">
    <w:p w14:paraId="570B9D41" w14:textId="77777777" w:rsidR="00890D44" w:rsidRPr="00BD38A7" w:rsidRDefault="00890D44" w:rsidP="00BD38A7">
      <w:pPr>
        <w:pStyle w:val="Textonotapie"/>
        <w:spacing w:before="0" w:after="0" w:line="240" w:lineRule="auto"/>
        <w:ind w:firstLine="709"/>
        <w:rPr>
          <w:rFonts w:ascii="Arial" w:hAnsi="Arial" w:cs="Arial"/>
          <w:color w:val="000000" w:themeColor="text1"/>
          <w:sz w:val="19"/>
          <w:szCs w:val="19"/>
        </w:rPr>
      </w:pPr>
      <w:r w:rsidRPr="00BD38A7">
        <w:rPr>
          <w:rStyle w:val="Refdenotaalpie"/>
          <w:rFonts w:ascii="Arial" w:hAnsi="Arial" w:cs="Arial"/>
          <w:color w:val="000000" w:themeColor="text1"/>
          <w:sz w:val="19"/>
          <w:szCs w:val="19"/>
        </w:rPr>
        <w:footnoteRef/>
      </w:r>
      <w:r w:rsidRPr="00BD38A7">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39CB92D" w14:textId="77777777" w:rsidR="00890D44" w:rsidRPr="00BD38A7" w:rsidRDefault="00890D44" w:rsidP="00BD38A7">
      <w:pPr>
        <w:pStyle w:val="Textonotapie"/>
        <w:spacing w:before="0" w:after="0" w:line="240" w:lineRule="auto"/>
        <w:ind w:firstLine="709"/>
        <w:rPr>
          <w:rFonts w:ascii="Arial" w:hAnsi="Arial" w:cs="Arial"/>
          <w:color w:val="000000" w:themeColor="text1"/>
          <w:sz w:val="19"/>
          <w:szCs w:val="19"/>
        </w:rPr>
      </w:pPr>
      <w:r w:rsidRPr="00BD38A7">
        <w:rPr>
          <w:rFonts w:ascii="Arial" w:hAnsi="Arial" w:cs="Arial"/>
          <w:color w:val="000000" w:themeColor="text1"/>
          <w:sz w:val="19"/>
          <w:szCs w:val="19"/>
        </w:rPr>
        <w:t>»Lo anterior, sin perjuicio de las publicaciones previstas en el numeral 3 del artículo 30 de la Ley 80 de 1993.</w:t>
      </w:r>
    </w:p>
    <w:p w14:paraId="5E78E922" w14:textId="77777777" w:rsidR="00890D44" w:rsidRPr="00BD38A7" w:rsidRDefault="00890D44" w:rsidP="00BD38A7">
      <w:pPr>
        <w:pStyle w:val="Textonotapie"/>
        <w:spacing w:before="0" w:after="0" w:line="240" w:lineRule="auto"/>
        <w:ind w:firstLine="709"/>
        <w:rPr>
          <w:rFonts w:ascii="Arial" w:hAnsi="Arial" w:cs="Arial"/>
          <w:color w:val="000000" w:themeColor="text1"/>
          <w:sz w:val="19"/>
          <w:szCs w:val="19"/>
        </w:rPr>
      </w:pPr>
      <w:r w:rsidRPr="00BD38A7">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5F94ABDF" w14:textId="77777777" w:rsidR="00890D44" w:rsidRPr="00BD38A7" w:rsidRDefault="00890D44" w:rsidP="00BD38A7">
      <w:pPr>
        <w:pStyle w:val="Textonotapie"/>
        <w:spacing w:before="0" w:after="0" w:line="240" w:lineRule="auto"/>
        <w:ind w:firstLine="709"/>
        <w:rPr>
          <w:rFonts w:ascii="Arial" w:hAnsi="Arial" w:cs="Arial"/>
          <w:color w:val="000000" w:themeColor="text1"/>
          <w:sz w:val="19"/>
          <w:szCs w:val="19"/>
        </w:rPr>
      </w:pPr>
      <w:r w:rsidRPr="00BD38A7">
        <w:rPr>
          <w:rFonts w:ascii="Arial" w:hAnsi="Arial" w:cs="Arial"/>
          <w:color w:val="000000" w:themeColor="text1"/>
          <w:sz w:val="19"/>
          <w:szCs w:val="19"/>
        </w:rPr>
        <w:t>[…]</w:t>
      </w:r>
    </w:p>
    <w:p w14:paraId="3B97992C" w14:textId="0DAA7E85" w:rsidR="00890D44" w:rsidRDefault="00890D44" w:rsidP="00BD38A7">
      <w:pPr>
        <w:pStyle w:val="Textonotapie"/>
        <w:spacing w:before="0" w:after="0" w:line="240" w:lineRule="auto"/>
        <w:ind w:firstLine="709"/>
        <w:rPr>
          <w:rFonts w:ascii="Arial" w:hAnsi="Arial" w:cs="Arial"/>
          <w:color w:val="000000" w:themeColor="text1"/>
          <w:sz w:val="19"/>
          <w:szCs w:val="19"/>
        </w:rPr>
      </w:pPr>
      <w:r w:rsidRPr="00BD38A7">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w:t>
      </w:r>
    </w:p>
    <w:p w14:paraId="60C47474" w14:textId="77777777" w:rsidR="00890D44" w:rsidRPr="00BD38A7" w:rsidRDefault="00890D44" w:rsidP="00BD38A7">
      <w:pPr>
        <w:pStyle w:val="Textonotapie"/>
        <w:spacing w:before="0" w:after="0" w:line="240" w:lineRule="auto"/>
        <w:ind w:firstLine="709"/>
        <w:rPr>
          <w:rFonts w:ascii="Arial" w:hAnsi="Arial" w:cs="Arial"/>
          <w:color w:val="000000" w:themeColor="text1"/>
          <w:sz w:val="19"/>
          <w:szCs w:val="19"/>
        </w:rPr>
      </w:pPr>
    </w:p>
  </w:footnote>
  <w:footnote w:id="3">
    <w:p w14:paraId="4AE3B20F" w14:textId="6BB4728F" w:rsidR="00890D44" w:rsidRDefault="00890D44" w:rsidP="00832BFA">
      <w:pPr>
        <w:pStyle w:val="Textonotapie"/>
        <w:spacing w:before="0" w:after="0"/>
        <w:ind w:firstLine="708"/>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49BD1C9" w14:textId="77777777" w:rsidR="00890D44" w:rsidRPr="009F0D45" w:rsidRDefault="00890D44" w:rsidP="009F0D45">
      <w:pPr>
        <w:pStyle w:val="Textonotapie"/>
        <w:spacing w:before="0" w:after="0"/>
        <w:ind w:firstLine="708"/>
        <w:rPr>
          <w:rFonts w:ascii="Arial" w:hAnsi="Arial" w:cs="Arial"/>
          <w:color w:val="000000" w:themeColor="text1"/>
          <w:sz w:val="19"/>
          <w:szCs w:val="19"/>
        </w:rPr>
      </w:pPr>
    </w:p>
  </w:footnote>
  <w:footnote w:id="4">
    <w:p w14:paraId="71C2F5DE" w14:textId="77777777" w:rsidR="00890D44" w:rsidRPr="00BD38A7" w:rsidRDefault="00890D44" w:rsidP="00273423">
      <w:pPr>
        <w:pStyle w:val="Textonotapie"/>
        <w:spacing w:before="0" w:after="0" w:line="240" w:lineRule="auto"/>
        <w:ind w:firstLine="709"/>
        <w:rPr>
          <w:rFonts w:ascii="Arial" w:hAnsi="Arial" w:cs="Arial"/>
          <w:color w:val="000000" w:themeColor="text1"/>
          <w:sz w:val="19"/>
          <w:szCs w:val="19"/>
        </w:rPr>
      </w:pPr>
      <w:r w:rsidRPr="00BD38A7">
        <w:rPr>
          <w:rStyle w:val="Refdenotaalpie"/>
          <w:rFonts w:ascii="Arial" w:hAnsi="Arial" w:cs="Arial"/>
          <w:color w:val="000000" w:themeColor="text1"/>
          <w:sz w:val="19"/>
          <w:szCs w:val="19"/>
        </w:rPr>
        <w:footnoteRef/>
      </w:r>
      <w:r w:rsidRPr="00BD38A7">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5F5F287A" w14:textId="77777777" w:rsidR="00890D44" w:rsidRDefault="00890D44" w:rsidP="00273423">
      <w:pPr>
        <w:pStyle w:val="Textonotapie"/>
        <w:spacing w:before="0" w:after="0" w:line="240" w:lineRule="auto"/>
        <w:ind w:firstLine="709"/>
        <w:rPr>
          <w:rFonts w:ascii="Arial" w:hAnsi="Arial" w:cs="Arial"/>
          <w:color w:val="000000" w:themeColor="text1"/>
          <w:sz w:val="19"/>
          <w:szCs w:val="19"/>
        </w:rPr>
      </w:pPr>
      <w:r w:rsidRPr="00BD38A7">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60A0C0A3" w14:textId="77777777" w:rsidR="00890D44" w:rsidRPr="00BD38A7" w:rsidRDefault="00890D44" w:rsidP="00273423">
      <w:pPr>
        <w:pStyle w:val="Textonotapie"/>
        <w:spacing w:before="0" w:after="0" w:line="240" w:lineRule="auto"/>
        <w:ind w:firstLine="709"/>
        <w:rPr>
          <w:rFonts w:ascii="Arial" w:hAnsi="Arial" w:cs="Arial"/>
          <w:color w:val="000000" w:themeColor="text1"/>
          <w:sz w:val="19"/>
          <w:szCs w:val="19"/>
        </w:rPr>
      </w:pPr>
    </w:p>
  </w:footnote>
  <w:footnote w:id="5">
    <w:p w14:paraId="10CF03A6" w14:textId="77777777" w:rsidR="00890D44" w:rsidRPr="00BD38A7" w:rsidRDefault="00890D44" w:rsidP="00273423">
      <w:pPr>
        <w:pStyle w:val="Textonotapie"/>
        <w:spacing w:before="0" w:after="0" w:line="240" w:lineRule="auto"/>
        <w:ind w:firstLine="709"/>
        <w:rPr>
          <w:rFonts w:ascii="Arial" w:hAnsi="Arial" w:cs="Arial"/>
          <w:color w:val="000000" w:themeColor="text1"/>
          <w:sz w:val="19"/>
          <w:szCs w:val="19"/>
        </w:rPr>
      </w:pPr>
      <w:r w:rsidRPr="00BD38A7">
        <w:rPr>
          <w:rStyle w:val="Refdenotaalpie"/>
          <w:rFonts w:ascii="Arial" w:hAnsi="Arial" w:cs="Arial"/>
          <w:color w:val="000000" w:themeColor="text1"/>
          <w:sz w:val="19"/>
          <w:szCs w:val="19"/>
        </w:rPr>
        <w:footnoteRef/>
      </w:r>
      <w:r w:rsidRPr="00BD38A7">
        <w:rPr>
          <w:rFonts w:ascii="Arial" w:hAnsi="Arial" w:cs="Arial"/>
          <w:color w:val="000000" w:themeColor="text1"/>
          <w:sz w:val="19"/>
          <w:szCs w:val="19"/>
        </w:rPr>
        <w:t xml:space="preserve"> </w:t>
      </w:r>
      <w:r w:rsidRPr="00BD38A7">
        <w:rPr>
          <w:rFonts w:ascii="Arial" w:hAnsi="Arial" w:cs="Arial"/>
          <w:color w:val="000000" w:themeColor="text1"/>
          <w:sz w:val="19"/>
          <w:szCs w:val="19"/>
          <w:lang w:val="es-ES" w:eastAsia="es-ES"/>
        </w:rPr>
        <w:t>«</w:t>
      </w:r>
      <w:r w:rsidRPr="00BD38A7">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0CBB438" w14:textId="77777777" w:rsidR="00890D44" w:rsidRPr="00BD38A7" w:rsidRDefault="00890D44" w:rsidP="00273423">
      <w:pPr>
        <w:pStyle w:val="Textonotapie"/>
        <w:spacing w:before="0" w:after="0" w:line="240" w:lineRule="auto"/>
        <w:ind w:firstLine="709"/>
        <w:rPr>
          <w:rFonts w:ascii="Arial" w:hAnsi="Arial" w:cs="Arial"/>
          <w:color w:val="000000" w:themeColor="text1"/>
          <w:sz w:val="19"/>
          <w:szCs w:val="19"/>
          <w:lang w:val="es-ES" w:eastAsia="es-ES"/>
        </w:rPr>
      </w:pPr>
      <w:r w:rsidRPr="00BD38A7">
        <w:rPr>
          <w:rFonts w:ascii="Arial" w:hAnsi="Arial" w:cs="Arial"/>
          <w:color w:val="000000" w:themeColor="text1"/>
          <w:sz w:val="19"/>
          <w:szCs w:val="19"/>
        </w:rPr>
        <w:t>[…]</w:t>
      </w:r>
    </w:p>
    <w:p w14:paraId="51CDBC08" w14:textId="77777777" w:rsidR="00890D44" w:rsidRPr="00BD38A7" w:rsidRDefault="00890D44" w:rsidP="00273423">
      <w:pPr>
        <w:pStyle w:val="Textonotapie"/>
        <w:spacing w:before="0" w:after="0" w:line="240" w:lineRule="auto"/>
        <w:ind w:firstLine="709"/>
        <w:rPr>
          <w:rFonts w:ascii="Arial" w:hAnsi="Arial" w:cs="Arial"/>
          <w:color w:val="000000" w:themeColor="text1"/>
          <w:sz w:val="19"/>
          <w:szCs w:val="19"/>
          <w:lang w:val="es-CO"/>
        </w:rPr>
      </w:pPr>
      <w:r w:rsidRPr="00BD38A7">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6">
    <w:p w14:paraId="17E6BF2E" w14:textId="77777777" w:rsidR="00890D44" w:rsidRPr="00BD38A7" w:rsidRDefault="00890D44" w:rsidP="00BD38A7">
      <w:pPr>
        <w:pStyle w:val="Textonotapie"/>
        <w:spacing w:before="0" w:after="0" w:line="240" w:lineRule="auto"/>
        <w:ind w:firstLine="709"/>
        <w:rPr>
          <w:rFonts w:ascii="Arial" w:hAnsi="Arial" w:cs="Arial"/>
          <w:color w:val="000000" w:themeColor="text1"/>
          <w:sz w:val="19"/>
          <w:szCs w:val="19"/>
        </w:rPr>
      </w:pPr>
      <w:r w:rsidRPr="00BD38A7">
        <w:rPr>
          <w:rStyle w:val="Refdenotaalpie"/>
          <w:rFonts w:ascii="Arial" w:hAnsi="Arial" w:cs="Arial"/>
          <w:color w:val="000000" w:themeColor="text1"/>
          <w:sz w:val="19"/>
          <w:szCs w:val="19"/>
        </w:rPr>
        <w:footnoteRef/>
      </w:r>
      <w:r w:rsidRPr="00BD38A7">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0A41006F" w14:textId="77777777" w:rsidR="00890D44" w:rsidRPr="00BD38A7" w:rsidRDefault="00890D44" w:rsidP="00BD38A7">
      <w:pPr>
        <w:pStyle w:val="Textonotapie"/>
        <w:spacing w:before="0" w:after="0" w:line="240" w:lineRule="auto"/>
        <w:ind w:firstLine="709"/>
        <w:rPr>
          <w:rFonts w:ascii="Arial" w:hAnsi="Arial" w:cs="Arial"/>
          <w:color w:val="000000" w:themeColor="text1"/>
          <w:sz w:val="19"/>
          <w:szCs w:val="19"/>
          <w:lang w:val="es-CO"/>
        </w:rPr>
      </w:pPr>
    </w:p>
  </w:footnote>
  <w:footnote w:id="7">
    <w:p w14:paraId="5C5D29E8" w14:textId="77777777" w:rsidR="00890D44" w:rsidRPr="00BD38A7" w:rsidRDefault="00890D44" w:rsidP="00BD38A7">
      <w:pPr>
        <w:pStyle w:val="Textonotapie"/>
        <w:spacing w:before="0" w:after="0" w:line="240" w:lineRule="auto"/>
        <w:ind w:firstLine="708"/>
        <w:rPr>
          <w:rFonts w:ascii="Arial" w:hAnsi="Arial" w:cs="Arial"/>
          <w:color w:val="000000" w:themeColor="text1"/>
          <w:sz w:val="19"/>
          <w:szCs w:val="19"/>
        </w:rPr>
      </w:pPr>
      <w:r w:rsidRPr="00BD38A7">
        <w:rPr>
          <w:rStyle w:val="Refdenotaalpie"/>
          <w:rFonts w:ascii="Arial" w:hAnsi="Arial" w:cs="Arial"/>
          <w:color w:val="000000" w:themeColor="text1"/>
          <w:sz w:val="19"/>
          <w:szCs w:val="19"/>
        </w:rPr>
        <w:footnoteRef/>
      </w:r>
      <w:r w:rsidRPr="00BD38A7">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14:paraId="7D1D91CE" w14:textId="77777777" w:rsidR="00890D44" w:rsidRPr="00BD38A7" w:rsidRDefault="00890D44" w:rsidP="00BD38A7">
      <w:pPr>
        <w:pStyle w:val="Textonotapie"/>
        <w:spacing w:before="0" w:after="0" w:line="240" w:lineRule="auto"/>
        <w:ind w:firstLine="708"/>
        <w:rPr>
          <w:rFonts w:ascii="Arial" w:hAnsi="Arial" w:cs="Arial"/>
          <w:color w:val="000000" w:themeColor="text1"/>
          <w:sz w:val="19"/>
          <w:szCs w:val="19"/>
        </w:rPr>
      </w:pPr>
      <w:r w:rsidRPr="00BD38A7">
        <w:rPr>
          <w:rFonts w:ascii="Arial" w:hAnsi="Arial" w:cs="Arial"/>
          <w:color w:val="000000" w:themeColor="text1"/>
          <w:sz w:val="19"/>
          <w:szCs w:val="19"/>
        </w:rPr>
        <w:t>[...]</w:t>
      </w:r>
    </w:p>
    <w:p w14:paraId="726F7495" w14:textId="77777777" w:rsidR="00890D44" w:rsidRPr="00BD38A7" w:rsidRDefault="00890D44" w:rsidP="00BD38A7">
      <w:pPr>
        <w:pStyle w:val="Textonotapie"/>
        <w:spacing w:before="0" w:after="0" w:line="240" w:lineRule="auto"/>
        <w:ind w:firstLine="708"/>
        <w:rPr>
          <w:rFonts w:ascii="Arial" w:hAnsi="Arial" w:cs="Arial"/>
          <w:color w:val="000000" w:themeColor="text1"/>
          <w:sz w:val="19"/>
          <w:szCs w:val="19"/>
        </w:rPr>
      </w:pPr>
      <w:r w:rsidRPr="00BD38A7">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63312AC3" w14:textId="437A35F1" w:rsidR="00890D44" w:rsidRPr="00BD38A7" w:rsidRDefault="00890D44" w:rsidP="00BD38A7">
      <w:pPr>
        <w:pStyle w:val="Textonotapie"/>
        <w:spacing w:before="0" w:after="0" w:line="240" w:lineRule="auto"/>
        <w:ind w:firstLine="708"/>
        <w:rPr>
          <w:rFonts w:ascii="Arial" w:hAnsi="Arial" w:cs="Arial"/>
          <w:color w:val="000000" w:themeColor="text1"/>
          <w:sz w:val="19"/>
          <w:szCs w:val="19"/>
        </w:rPr>
      </w:pPr>
      <w:r w:rsidRPr="00BD38A7">
        <w:rPr>
          <w:rFonts w:ascii="Arial" w:hAnsi="Arial" w:cs="Arial"/>
          <w:color w:val="000000" w:themeColor="text1"/>
          <w:sz w:val="19"/>
          <w:szCs w:val="19"/>
        </w:rPr>
        <w:t>[...]».</w:t>
      </w:r>
    </w:p>
  </w:footnote>
  <w:footnote w:id="8">
    <w:p w14:paraId="72DFD1BE" w14:textId="61281DF3" w:rsidR="00890D44" w:rsidRPr="00BD38A7" w:rsidRDefault="00890D44" w:rsidP="00BD38A7">
      <w:pPr>
        <w:pStyle w:val="Textonotapie"/>
        <w:spacing w:before="0" w:after="0" w:line="240" w:lineRule="auto"/>
        <w:ind w:firstLine="708"/>
        <w:rPr>
          <w:rFonts w:ascii="Arial" w:hAnsi="Arial" w:cs="Arial"/>
          <w:color w:val="000000" w:themeColor="text1"/>
          <w:sz w:val="19"/>
          <w:szCs w:val="19"/>
        </w:rPr>
      </w:pPr>
      <w:r w:rsidRPr="00BD38A7">
        <w:rPr>
          <w:rStyle w:val="Refdenotaalpie"/>
          <w:rFonts w:ascii="Arial" w:hAnsi="Arial" w:cs="Arial"/>
          <w:color w:val="000000" w:themeColor="text1"/>
          <w:sz w:val="19"/>
          <w:szCs w:val="19"/>
        </w:rPr>
        <w:footnoteRef/>
      </w:r>
      <w:r w:rsidRPr="00BD38A7">
        <w:rPr>
          <w:rFonts w:ascii="Arial" w:hAnsi="Arial" w:cs="Arial"/>
          <w:color w:val="000000" w:themeColor="text1"/>
          <w:sz w:val="19"/>
          <w:szCs w:val="19"/>
        </w:rPr>
        <w:t xml:space="preserve"> </w:t>
      </w:r>
      <w:r w:rsidR="006D7D70" w:rsidRPr="00BD38A7">
        <w:rPr>
          <w:rFonts w:ascii="Arial" w:hAnsi="Arial" w:cs="Arial"/>
          <w:color w:val="000000" w:themeColor="text1"/>
          <w:sz w:val="19"/>
          <w:szCs w:val="19"/>
        </w:rPr>
        <w:t>Numeral 1.8</w:t>
      </w:r>
      <w:r w:rsidR="006D7D70">
        <w:rPr>
          <w:rFonts w:ascii="Arial" w:hAnsi="Arial" w:cs="Arial"/>
          <w:color w:val="000000" w:themeColor="text1"/>
          <w:sz w:val="19"/>
          <w:szCs w:val="19"/>
        </w:rPr>
        <w:t>,</w:t>
      </w:r>
      <w:r w:rsidR="006D7D70" w:rsidRPr="00BD38A7">
        <w:rPr>
          <w:rFonts w:ascii="Arial" w:hAnsi="Arial" w:cs="Arial"/>
          <w:color w:val="000000" w:themeColor="text1"/>
          <w:sz w:val="19"/>
          <w:szCs w:val="19"/>
        </w:rPr>
        <w:t xml:space="preserve"> </w:t>
      </w:r>
      <w:r w:rsidR="006D7D70">
        <w:rPr>
          <w:rFonts w:ascii="Arial" w:hAnsi="Arial" w:cs="Arial"/>
          <w:color w:val="000000" w:themeColor="text1"/>
          <w:sz w:val="19"/>
          <w:szCs w:val="19"/>
        </w:rPr>
        <w:t>l</w:t>
      </w:r>
      <w:r w:rsidR="006D7D70" w:rsidRPr="00BD38A7">
        <w:rPr>
          <w:rFonts w:ascii="Arial" w:hAnsi="Arial" w:cs="Arial"/>
          <w:color w:val="000000" w:themeColor="text1"/>
          <w:sz w:val="19"/>
          <w:szCs w:val="19"/>
        </w:rPr>
        <w:t>iteral e)</w:t>
      </w:r>
      <w:r w:rsidR="006D7D70">
        <w:rPr>
          <w:rFonts w:ascii="Arial" w:hAnsi="Arial" w:cs="Arial"/>
          <w:color w:val="000000" w:themeColor="text1"/>
          <w:sz w:val="19"/>
          <w:szCs w:val="19"/>
        </w:rPr>
        <w:t xml:space="preserve">, de la </w:t>
      </w:r>
      <w:r w:rsidRPr="00BD38A7">
        <w:rPr>
          <w:rFonts w:ascii="Arial" w:hAnsi="Arial" w:cs="Arial"/>
          <w:color w:val="000000" w:themeColor="text1"/>
          <w:sz w:val="19"/>
          <w:szCs w:val="19"/>
        </w:rPr>
        <w:t>Circular Única Externa de Colombia Compra Eficiente.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890D44" w:rsidRDefault="00890D4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60BC73DA"/>
    <w:lvl w:ilvl="0">
      <w:start w:val="1"/>
      <w:numFmt w:val="decimal"/>
      <w:lvlText w:val="%1."/>
      <w:lvlJc w:val="left"/>
      <w:pPr>
        <w:ind w:left="6601" w:hanging="360"/>
      </w:pPr>
      <w:rPr>
        <w:b/>
        <w:bCs w:val="0"/>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B4A43B9"/>
    <w:multiLevelType w:val="hybridMultilevel"/>
    <w:tmpl w:val="B4140AD2"/>
    <w:lvl w:ilvl="0" w:tplc="B4743F10">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303A62D9"/>
    <w:multiLevelType w:val="multilevel"/>
    <w:tmpl w:val="B896C5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427B97"/>
    <w:multiLevelType w:val="hybridMultilevel"/>
    <w:tmpl w:val="B4140AD2"/>
    <w:lvl w:ilvl="0" w:tplc="B4743F10">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2086A79"/>
    <w:multiLevelType w:val="hybridMultilevel"/>
    <w:tmpl w:val="1E4246D0"/>
    <w:lvl w:ilvl="0" w:tplc="EE6C4588">
      <w:start w:val="1"/>
      <w:numFmt w:val="decimal"/>
      <w:lvlText w:val="%1."/>
      <w:lvlJc w:val="left"/>
      <w:pPr>
        <w:ind w:left="360" w:hanging="360"/>
      </w:pPr>
      <w:rPr>
        <w:rFonts w:hint="default"/>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3"/>
  </w:num>
  <w:num w:numId="3">
    <w:abstractNumId w:val="7"/>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
  </w:num>
  <w:num w:numId="9">
    <w:abstractNumId w:val="4"/>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0CF2"/>
    <w:rsid w:val="00015E80"/>
    <w:rsid w:val="00017253"/>
    <w:rsid w:val="00017337"/>
    <w:rsid w:val="000210DF"/>
    <w:rsid w:val="00025C42"/>
    <w:rsid w:val="00040B7D"/>
    <w:rsid w:val="00042137"/>
    <w:rsid w:val="0004769B"/>
    <w:rsid w:val="000505CE"/>
    <w:rsid w:val="000524AE"/>
    <w:rsid w:val="00061E28"/>
    <w:rsid w:val="000641A8"/>
    <w:rsid w:val="0006474E"/>
    <w:rsid w:val="000676BC"/>
    <w:rsid w:val="000775CE"/>
    <w:rsid w:val="00084B97"/>
    <w:rsid w:val="00087EF7"/>
    <w:rsid w:val="000942EB"/>
    <w:rsid w:val="000A1295"/>
    <w:rsid w:val="000B103F"/>
    <w:rsid w:val="000F14E8"/>
    <w:rsid w:val="000F2709"/>
    <w:rsid w:val="00102971"/>
    <w:rsid w:val="00103915"/>
    <w:rsid w:val="001155B8"/>
    <w:rsid w:val="0011766B"/>
    <w:rsid w:val="00120D67"/>
    <w:rsid w:val="00122B23"/>
    <w:rsid w:val="00122B9A"/>
    <w:rsid w:val="001248E4"/>
    <w:rsid w:val="00137FFA"/>
    <w:rsid w:val="00141B41"/>
    <w:rsid w:val="00151F08"/>
    <w:rsid w:val="00165D2A"/>
    <w:rsid w:val="00180188"/>
    <w:rsid w:val="001860E9"/>
    <w:rsid w:val="00187684"/>
    <w:rsid w:val="00190905"/>
    <w:rsid w:val="0019091C"/>
    <w:rsid w:val="00190961"/>
    <w:rsid w:val="001A0A19"/>
    <w:rsid w:val="001A0E7A"/>
    <w:rsid w:val="001A397E"/>
    <w:rsid w:val="001A7421"/>
    <w:rsid w:val="001B0444"/>
    <w:rsid w:val="001B2DAD"/>
    <w:rsid w:val="001D30D8"/>
    <w:rsid w:val="001D35A0"/>
    <w:rsid w:val="00200BB9"/>
    <w:rsid w:val="0020632A"/>
    <w:rsid w:val="002110EB"/>
    <w:rsid w:val="00211338"/>
    <w:rsid w:val="00220E20"/>
    <w:rsid w:val="002339D3"/>
    <w:rsid w:val="00234B84"/>
    <w:rsid w:val="002503AB"/>
    <w:rsid w:val="0026446D"/>
    <w:rsid w:val="00267FF9"/>
    <w:rsid w:val="00273423"/>
    <w:rsid w:val="002773DE"/>
    <w:rsid w:val="00283597"/>
    <w:rsid w:val="002914E1"/>
    <w:rsid w:val="00297FB6"/>
    <w:rsid w:val="002B14E8"/>
    <w:rsid w:val="002C4C0C"/>
    <w:rsid w:val="002D235A"/>
    <w:rsid w:val="002D79E9"/>
    <w:rsid w:val="002F4470"/>
    <w:rsid w:val="003033BA"/>
    <w:rsid w:val="0030589C"/>
    <w:rsid w:val="00316AA1"/>
    <w:rsid w:val="0032090E"/>
    <w:rsid w:val="00321A65"/>
    <w:rsid w:val="00322937"/>
    <w:rsid w:val="003231A7"/>
    <w:rsid w:val="00323674"/>
    <w:rsid w:val="003359D9"/>
    <w:rsid w:val="0034177C"/>
    <w:rsid w:val="0034624B"/>
    <w:rsid w:val="0034680A"/>
    <w:rsid w:val="00350DA7"/>
    <w:rsid w:val="00353DD5"/>
    <w:rsid w:val="00355084"/>
    <w:rsid w:val="00381F34"/>
    <w:rsid w:val="00386456"/>
    <w:rsid w:val="003901B3"/>
    <w:rsid w:val="003A0878"/>
    <w:rsid w:val="003A307E"/>
    <w:rsid w:val="003A581E"/>
    <w:rsid w:val="003B027A"/>
    <w:rsid w:val="003B267F"/>
    <w:rsid w:val="003D110D"/>
    <w:rsid w:val="003D3D9D"/>
    <w:rsid w:val="003F346A"/>
    <w:rsid w:val="003F650A"/>
    <w:rsid w:val="00411A54"/>
    <w:rsid w:val="00413C8B"/>
    <w:rsid w:val="00413C8D"/>
    <w:rsid w:val="00423036"/>
    <w:rsid w:val="00423F9F"/>
    <w:rsid w:val="00425FD7"/>
    <w:rsid w:val="00426263"/>
    <w:rsid w:val="00430C52"/>
    <w:rsid w:val="00434140"/>
    <w:rsid w:val="004422D6"/>
    <w:rsid w:val="0044490E"/>
    <w:rsid w:val="00454148"/>
    <w:rsid w:val="00463FF3"/>
    <w:rsid w:val="0046603E"/>
    <w:rsid w:val="004707D2"/>
    <w:rsid w:val="00480D03"/>
    <w:rsid w:val="00490A62"/>
    <w:rsid w:val="0049241A"/>
    <w:rsid w:val="00495098"/>
    <w:rsid w:val="004A0F49"/>
    <w:rsid w:val="004A34D2"/>
    <w:rsid w:val="004A6C90"/>
    <w:rsid w:val="004B32D7"/>
    <w:rsid w:val="004D78A7"/>
    <w:rsid w:val="0051074C"/>
    <w:rsid w:val="00513AF2"/>
    <w:rsid w:val="00520A28"/>
    <w:rsid w:val="00520EAA"/>
    <w:rsid w:val="005216C1"/>
    <w:rsid w:val="00525FE7"/>
    <w:rsid w:val="0054413A"/>
    <w:rsid w:val="005564CA"/>
    <w:rsid w:val="00557A8F"/>
    <w:rsid w:val="0056182B"/>
    <w:rsid w:val="005622EB"/>
    <w:rsid w:val="005756AA"/>
    <w:rsid w:val="00576C61"/>
    <w:rsid w:val="00581B53"/>
    <w:rsid w:val="00584E71"/>
    <w:rsid w:val="00596896"/>
    <w:rsid w:val="005B5BE2"/>
    <w:rsid w:val="005D1578"/>
    <w:rsid w:val="005D35B6"/>
    <w:rsid w:val="005D4AEF"/>
    <w:rsid w:val="005D51FA"/>
    <w:rsid w:val="005D791B"/>
    <w:rsid w:val="005F3930"/>
    <w:rsid w:val="005F49AF"/>
    <w:rsid w:val="0060092A"/>
    <w:rsid w:val="006104E4"/>
    <w:rsid w:val="00612C51"/>
    <w:rsid w:val="00614817"/>
    <w:rsid w:val="006149A3"/>
    <w:rsid w:val="006178B6"/>
    <w:rsid w:val="00625113"/>
    <w:rsid w:val="00630D7C"/>
    <w:rsid w:val="006313DC"/>
    <w:rsid w:val="00632A38"/>
    <w:rsid w:val="00633DBF"/>
    <w:rsid w:val="0064788E"/>
    <w:rsid w:val="00655371"/>
    <w:rsid w:val="00664ABF"/>
    <w:rsid w:val="00667BA5"/>
    <w:rsid w:val="0067157B"/>
    <w:rsid w:val="00672272"/>
    <w:rsid w:val="00686537"/>
    <w:rsid w:val="00697665"/>
    <w:rsid w:val="006A0EB7"/>
    <w:rsid w:val="006A7CB5"/>
    <w:rsid w:val="006A7FD0"/>
    <w:rsid w:val="006C47AA"/>
    <w:rsid w:val="006C6EE9"/>
    <w:rsid w:val="006D4819"/>
    <w:rsid w:val="006D7687"/>
    <w:rsid w:val="006D7D70"/>
    <w:rsid w:val="006E0572"/>
    <w:rsid w:val="006E170C"/>
    <w:rsid w:val="006E1E98"/>
    <w:rsid w:val="006E4596"/>
    <w:rsid w:val="006E6185"/>
    <w:rsid w:val="006F0F8A"/>
    <w:rsid w:val="00705631"/>
    <w:rsid w:val="00715EAA"/>
    <w:rsid w:val="00733BCA"/>
    <w:rsid w:val="0073441F"/>
    <w:rsid w:val="00742DD2"/>
    <w:rsid w:val="00746E08"/>
    <w:rsid w:val="00747C96"/>
    <w:rsid w:val="0075094E"/>
    <w:rsid w:val="007522E8"/>
    <w:rsid w:val="00755FA9"/>
    <w:rsid w:val="0075647A"/>
    <w:rsid w:val="007634AD"/>
    <w:rsid w:val="00775563"/>
    <w:rsid w:val="0078122E"/>
    <w:rsid w:val="00787529"/>
    <w:rsid w:val="00792E66"/>
    <w:rsid w:val="00795647"/>
    <w:rsid w:val="00796927"/>
    <w:rsid w:val="007A646F"/>
    <w:rsid w:val="007A6CC9"/>
    <w:rsid w:val="007B0854"/>
    <w:rsid w:val="007B1AD5"/>
    <w:rsid w:val="007C2357"/>
    <w:rsid w:val="007C7889"/>
    <w:rsid w:val="007D1263"/>
    <w:rsid w:val="007D6C71"/>
    <w:rsid w:val="007D7B16"/>
    <w:rsid w:val="007E1312"/>
    <w:rsid w:val="007E20BB"/>
    <w:rsid w:val="007F0C64"/>
    <w:rsid w:val="007F6B46"/>
    <w:rsid w:val="007F72CB"/>
    <w:rsid w:val="00800C47"/>
    <w:rsid w:val="0082065D"/>
    <w:rsid w:val="008217B7"/>
    <w:rsid w:val="00830303"/>
    <w:rsid w:val="0083119B"/>
    <w:rsid w:val="00832BFA"/>
    <w:rsid w:val="00836EAB"/>
    <w:rsid w:val="008420C6"/>
    <w:rsid w:val="0085092D"/>
    <w:rsid w:val="00850F79"/>
    <w:rsid w:val="00854DB7"/>
    <w:rsid w:val="00861F54"/>
    <w:rsid w:val="008632AF"/>
    <w:rsid w:val="00873796"/>
    <w:rsid w:val="008749A9"/>
    <w:rsid w:val="00881812"/>
    <w:rsid w:val="0088434E"/>
    <w:rsid w:val="00890D44"/>
    <w:rsid w:val="00896318"/>
    <w:rsid w:val="0089774F"/>
    <w:rsid w:val="008A0363"/>
    <w:rsid w:val="008B3375"/>
    <w:rsid w:val="008B3AED"/>
    <w:rsid w:val="008D4628"/>
    <w:rsid w:val="008E1C15"/>
    <w:rsid w:val="008F3A87"/>
    <w:rsid w:val="008F538E"/>
    <w:rsid w:val="0090216C"/>
    <w:rsid w:val="009037EE"/>
    <w:rsid w:val="009047C5"/>
    <w:rsid w:val="00906A56"/>
    <w:rsid w:val="00910B07"/>
    <w:rsid w:val="009173EE"/>
    <w:rsid w:val="00923F53"/>
    <w:rsid w:val="0092552C"/>
    <w:rsid w:val="009349EC"/>
    <w:rsid w:val="009428AF"/>
    <w:rsid w:val="00944F0C"/>
    <w:rsid w:val="00945F6B"/>
    <w:rsid w:val="0095385A"/>
    <w:rsid w:val="00955D93"/>
    <w:rsid w:val="00963CFF"/>
    <w:rsid w:val="00970437"/>
    <w:rsid w:val="009734C0"/>
    <w:rsid w:val="00984AB9"/>
    <w:rsid w:val="00993CC8"/>
    <w:rsid w:val="00994DF5"/>
    <w:rsid w:val="00997100"/>
    <w:rsid w:val="009B512E"/>
    <w:rsid w:val="009B5190"/>
    <w:rsid w:val="009B6580"/>
    <w:rsid w:val="009B73EA"/>
    <w:rsid w:val="009D3CF6"/>
    <w:rsid w:val="009D4945"/>
    <w:rsid w:val="009E30D4"/>
    <w:rsid w:val="009E64D5"/>
    <w:rsid w:val="009F0D45"/>
    <w:rsid w:val="009F3BE6"/>
    <w:rsid w:val="009F59C2"/>
    <w:rsid w:val="00A0532A"/>
    <w:rsid w:val="00A13886"/>
    <w:rsid w:val="00A24560"/>
    <w:rsid w:val="00A34538"/>
    <w:rsid w:val="00A37FB6"/>
    <w:rsid w:val="00A479F3"/>
    <w:rsid w:val="00A53401"/>
    <w:rsid w:val="00A601B4"/>
    <w:rsid w:val="00A658C4"/>
    <w:rsid w:val="00A6764D"/>
    <w:rsid w:val="00A757E2"/>
    <w:rsid w:val="00A8421B"/>
    <w:rsid w:val="00A87F39"/>
    <w:rsid w:val="00A95265"/>
    <w:rsid w:val="00AA08E7"/>
    <w:rsid w:val="00AA442B"/>
    <w:rsid w:val="00AA669D"/>
    <w:rsid w:val="00AB081F"/>
    <w:rsid w:val="00AB2C03"/>
    <w:rsid w:val="00AB2F14"/>
    <w:rsid w:val="00AB2FC6"/>
    <w:rsid w:val="00AB3DA0"/>
    <w:rsid w:val="00AB5C7F"/>
    <w:rsid w:val="00AC514C"/>
    <w:rsid w:val="00AC66EA"/>
    <w:rsid w:val="00AD1A73"/>
    <w:rsid w:val="00AF2A65"/>
    <w:rsid w:val="00B000D8"/>
    <w:rsid w:val="00B126EE"/>
    <w:rsid w:val="00B13EC0"/>
    <w:rsid w:val="00B22E22"/>
    <w:rsid w:val="00B2440A"/>
    <w:rsid w:val="00B275D8"/>
    <w:rsid w:val="00B44540"/>
    <w:rsid w:val="00B44E8E"/>
    <w:rsid w:val="00B525CB"/>
    <w:rsid w:val="00B557BD"/>
    <w:rsid w:val="00B56A27"/>
    <w:rsid w:val="00B63872"/>
    <w:rsid w:val="00B63CB2"/>
    <w:rsid w:val="00B64EDB"/>
    <w:rsid w:val="00B71C79"/>
    <w:rsid w:val="00B7315F"/>
    <w:rsid w:val="00B86419"/>
    <w:rsid w:val="00B91AF0"/>
    <w:rsid w:val="00B91B8E"/>
    <w:rsid w:val="00BC2704"/>
    <w:rsid w:val="00BD38A7"/>
    <w:rsid w:val="00BD78FE"/>
    <w:rsid w:val="00BE3F62"/>
    <w:rsid w:val="00BF5E9C"/>
    <w:rsid w:val="00C0469E"/>
    <w:rsid w:val="00C05A5B"/>
    <w:rsid w:val="00C16BB3"/>
    <w:rsid w:val="00C27711"/>
    <w:rsid w:val="00C42D0E"/>
    <w:rsid w:val="00C4437C"/>
    <w:rsid w:val="00C82222"/>
    <w:rsid w:val="00C8458D"/>
    <w:rsid w:val="00C94866"/>
    <w:rsid w:val="00C97AAA"/>
    <w:rsid w:val="00CB15CE"/>
    <w:rsid w:val="00CC00CD"/>
    <w:rsid w:val="00CD6CE3"/>
    <w:rsid w:val="00CF2358"/>
    <w:rsid w:val="00D01760"/>
    <w:rsid w:val="00D04563"/>
    <w:rsid w:val="00D05A67"/>
    <w:rsid w:val="00D16551"/>
    <w:rsid w:val="00D16E39"/>
    <w:rsid w:val="00D220D3"/>
    <w:rsid w:val="00D223B6"/>
    <w:rsid w:val="00D27C44"/>
    <w:rsid w:val="00D34654"/>
    <w:rsid w:val="00D35974"/>
    <w:rsid w:val="00D35FC1"/>
    <w:rsid w:val="00D53B63"/>
    <w:rsid w:val="00D573C2"/>
    <w:rsid w:val="00D60327"/>
    <w:rsid w:val="00D666AA"/>
    <w:rsid w:val="00D66EC6"/>
    <w:rsid w:val="00D70545"/>
    <w:rsid w:val="00D72E9D"/>
    <w:rsid w:val="00D8073A"/>
    <w:rsid w:val="00D82CE5"/>
    <w:rsid w:val="00D906D5"/>
    <w:rsid w:val="00D92770"/>
    <w:rsid w:val="00DA5AB1"/>
    <w:rsid w:val="00DA7A1A"/>
    <w:rsid w:val="00DC3544"/>
    <w:rsid w:val="00DC62E5"/>
    <w:rsid w:val="00DD47A2"/>
    <w:rsid w:val="00DD6700"/>
    <w:rsid w:val="00DD735D"/>
    <w:rsid w:val="00DE3119"/>
    <w:rsid w:val="00DF236B"/>
    <w:rsid w:val="00DF7086"/>
    <w:rsid w:val="00E01EC8"/>
    <w:rsid w:val="00E13AB8"/>
    <w:rsid w:val="00E25CB3"/>
    <w:rsid w:val="00E31CD0"/>
    <w:rsid w:val="00E33B62"/>
    <w:rsid w:val="00E36139"/>
    <w:rsid w:val="00E4143A"/>
    <w:rsid w:val="00E43624"/>
    <w:rsid w:val="00E54365"/>
    <w:rsid w:val="00E633DC"/>
    <w:rsid w:val="00E71E73"/>
    <w:rsid w:val="00E808C4"/>
    <w:rsid w:val="00E87733"/>
    <w:rsid w:val="00E922A2"/>
    <w:rsid w:val="00EA242F"/>
    <w:rsid w:val="00EB4DB4"/>
    <w:rsid w:val="00EC77E0"/>
    <w:rsid w:val="00ED05A8"/>
    <w:rsid w:val="00EE2C9C"/>
    <w:rsid w:val="00EE59B5"/>
    <w:rsid w:val="00EF169E"/>
    <w:rsid w:val="00EF442A"/>
    <w:rsid w:val="00EF784D"/>
    <w:rsid w:val="00F0112F"/>
    <w:rsid w:val="00F04156"/>
    <w:rsid w:val="00F11955"/>
    <w:rsid w:val="00F172E0"/>
    <w:rsid w:val="00F23CC3"/>
    <w:rsid w:val="00F258C6"/>
    <w:rsid w:val="00F35FA5"/>
    <w:rsid w:val="00F428F5"/>
    <w:rsid w:val="00F71B7B"/>
    <w:rsid w:val="00F84899"/>
    <w:rsid w:val="00F859F0"/>
    <w:rsid w:val="00F90DB0"/>
    <w:rsid w:val="00F92F3B"/>
    <w:rsid w:val="00FA0BE5"/>
    <w:rsid w:val="00FB3511"/>
    <w:rsid w:val="00FD46B4"/>
    <w:rsid w:val="00FD769B"/>
    <w:rsid w:val="00FE141E"/>
    <w:rsid w:val="00FE42ED"/>
    <w:rsid w:val="00FE7664"/>
    <w:rsid w:val="00FF126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A28"/>
    <w:rPr>
      <w:rFonts w:ascii="Times New Roman" w:eastAsia="Times New Roman" w:hAnsi="Times New Roman" w:cs="Times New Roman"/>
      <w:sz w:val="24"/>
      <w:szCs w:val="24"/>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after="200"/>
      <w:ind w:left="720" w:hanging="360"/>
      <w:outlineLvl w:val="1"/>
    </w:pPr>
    <w:rPr>
      <w:rFonts w:ascii="Arial"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before="0" w:after="160" w:line="240" w:lineRule="exact"/>
      <w:jc w:val="left"/>
    </w:pPr>
    <w:rPr>
      <w:rFonts w:asciiTheme="minorHAnsi" w:eastAsiaTheme="minorHAnsi" w:hAnsiTheme="minorHAnsi" w:cstheme="minorBidi"/>
      <w:sz w:val="22"/>
      <w:szCs w:val="22"/>
      <w:vertAlign w:val="superscript"/>
      <w:lang w:val="es-CO" w:eastAsia="en-US"/>
    </w:rPr>
  </w:style>
  <w:style w:type="paragraph" w:customStyle="1" w:styleId="Default">
    <w:name w:val="Default"/>
    <w:rsid w:val="00040B7D"/>
    <w:pPr>
      <w:autoSpaceDE w:val="0"/>
      <w:autoSpaceDN w:val="0"/>
      <w:adjustRightInd w:val="0"/>
      <w:spacing w:before="0" w:after="0" w:line="240" w:lineRule="auto"/>
      <w:jc w:val="left"/>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274666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4480776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435946731">
      <w:bodyDiv w:val="1"/>
      <w:marLeft w:val="0"/>
      <w:marRight w:val="0"/>
      <w:marTop w:val="0"/>
      <w:marBottom w:val="0"/>
      <w:divBdr>
        <w:top w:val="none" w:sz="0" w:space="0" w:color="auto"/>
        <w:left w:val="none" w:sz="0" w:space="0" w:color="auto"/>
        <w:bottom w:val="none" w:sz="0" w:space="0" w:color="auto"/>
        <w:right w:val="none" w:sz="0" w:space="0" w:color="auto"/>
      </w:divBdr>
    </w:div>
    <w:div w:id="476842147">
      <w:bodyDiv w:val="1"/>
      <w:marLeft w:val="0"/>
      <w:marRight w:val="0"/>
      <w:marTop w:val="0"/>
      <w:marBottom w:val="0"/>
      <w:divBdr>
        <w:top w:val="none" w:sz="0" w:space="0" w:color="auto"/>
        <w:left w:val="none" w:sz="0" w:space="0" w:color="auto"/>
        <w:bottom w:val="none" w:sz="0" w:space="0" w:color="auto"/>
        <w:right w:val="none" w:sz="0" w:space="0" w:color="auto"/>
      </w:divBdr>
    </w:div>
    <w:div w:id="503282559">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8858685">
      <w:bodyDiv w:val="1"/>
      <w:marLeft w:val="0"/>
      <w:marRight w:val="0"/>
      <w:marTop w:val="0"/>
      <w:marBottom w:val="0"/>
      <w:divBdr>
        <w:top w:val="none" w:sz="0" w:space="0" w:color="auto"/>
        <w:left w:val="none" w:sz="0" w:space="0" w:color="auto"/>
        <w:bottom w:val="none" w:sz="0" w:space="0" w:color="auto"/>
        <w:right w:val="none" w:sz="0" w:space="0" w:color="auto"/>
      </w:divBdr>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831221782">
      <w:bodyDiv w:val="1"/>
      <w:marLeft w:val="0"/>
      <w:marRight w:val="0"/>
      <w:marTop w:val="0"/>
      <w:marBottom w:val="0"/>
      <w:divBdr>
        <w:top w:val="none" w:sz="0" w:space="0" w:color="auto"/>
        <w:left w:val="none" w:sz="0" w:space="0" w:color="auto"/>
        <w:bottom w:val="none" w:sz="0" w:space="0" w:color="auto"/>
        <w:right w:val="none" w:sz="0" w:space="0" w:color="auto"/>
      </w:divBdr>
    </w:div>
    <w:div w:id="916599710">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1010566669">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99717543">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6122007">
      <w:bodyDiv w:val="1"/>
      <w:marLeft w:val="0"/>
      <w:marRight w:val="0"/>
      <w:marTop w:val="0"/>
      <w:marBottom w:val="0"/>
      <w:divBdr>
        <w:top w:val="none" w:sz="0" w:space="0" w:color="auto"/>
        <w:left w:val="none" w:sz="0" w:space="0" w:color="auto"/>
        <w:bottom w:val="none" w:sz="0" w:space="0" w:color="auto"/>
        <w:right w:val="none" w:sz="0" w:space="0" w:color="auto"/>
      </w:divBdr>
    </w:div>
    <w:div w:id="1148478679">
      <w:bodyDiv w:val="1"/>
      <w:marLeft w:val="0"/>
      <w:marRight w:val="0"/>
      <w:marTop w:val="0"/>
      <w:marBottom w:val="0"/>
      <w:divBdr>
        <w:top w:val="none" w:sz="0" w:space="0" w:color="auto"/>
        <w:left w:val="none" w:sz="0" w:space="0" w:color="auto"/>
        <w:bottom w:val="none" w:sz="0" w:space="0" w:color="auto"/>
        <w:right w:val="none" w:sz="0" w:space="0" w:color="auto"/>
      </w:divBdr>
      <w:divsChild>
        <w:div w:id="727268958">
          <w:marLeft w:val="0"/>
          <w:marRight w:val="0"/>
          <w:marTop w:val="0"/>
          <w:marBottom w:val="0"/>
          <w:divBdr>
            <w:top w:val="none" w:sz="0" w:space="0" w:color="auto"/>
            <w:left w:val="none" w:sz="0" w:space="0" w:color="auto"/>
            <w:bottom w:val="none" w:sz="0" w:space="0" w:color="auto"/>
            <w:right w:val="none" w:sz="0" w:space="0" w:color="auto"/>
          </w:divBdr>
          <w:divsChild>
            <w:div w:id="1773747385">
              <w:marLeft w:val="0"/>
              <w:marRight w:val="0"/>
              <w:marTop w:val="0"/>
              <w:marBottom w:val="0"/>
              <w:divBdr>
                <w:top w:val="none" w:sz="0" w:space="0" w:color="auto"/>
                <w:left w:val="none" w:sz="0" w:space="0" w:color="auto"/>
                <w:bottom w:val="none" w:sz="0" w:space="0" w:color="auto"/>
                <w:right w:val="none" w:sz="0" w:space="0" w:color="auto"/>
              </w:divBdr>
              <w:divsChild>
                <w:div w:id="74738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777490">
          <w:marLeft w:val="0"/>
          <w:marRight w:val="0"/>
          <w:marTop w:val="0"/>
          <w:marBottom w:val="0"/>
          <w:divBdr>
            <w:top w:val="none" w:sz="0" w:space="0" w:color="auto"/>
            <w:left w:val="none" w:sz="0" w:space="0" w:color="auto"/>
            <w:bottom w:val="none" w:sz="0" w:space="0" w:color="auto"/>
            <w:right w:val="none" w:sz="0" w:space="0" w:color="auto"/>
          </w:divBdr>
          <w:divsChild>
            <w:div w:id="911043251">
              <w:marLeft w:val="0"/>
              <w:marRight w:val="0"/>
              <w:marTop w:val="0"/>
              <w:marBottom w:val="0"/>
              <w:divBdr>
                <w:top w:val="none" w:sz="0" w:space="0" w:color="auto"/>
                <w:left w:val="none" w:sz="0" w:space="0" w:color="auto"/>
                <w:bottom w:val="none" w:sz="0" w:space="0" w:color="auto"/>
                <w:right w:val="none" w:sz="0" w:space="0" w:color="auto"/>
              </w:divBdr>
              <w:divsChild>
                <w:div w:id="106529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72067987">
      <w:bodyDiv w:val="1"/>
      <w:marLeft w:val="0"/>
      <w:marRight w:val="0"/>
      <w:marTop w:val="0"/>
      <w:marBottom w:val="0"/>
      <w:divBdr>
        <w:top w:val="none" w:sz="0" w:space="0" w:color="auto"/>
        <w:left w:val="none" w:sz="0" w:space="0" w:color="auto"/>
        <w:bottom w:val="none" w:sz="0" w:space="0" w:color="auto"/>
        <w:right w:val="none" w:sz="0" w:space="0" w:color="auto"/>
      </w:divBdr>
    </w:div>
    <w:div w:id="123666951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6792573">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473016710">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14311223">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821266817">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890190948">
      <w:bodyDiv w:val="1"/>
      <w:marLeft w:val="0"/>
      <w:marRight w:val="0"/>
      <w:marTop w:val="0"/>
      <w:marBottom w:val="0"/>
      <w:divBdr>
        <w:top w:val="none" w:sz="0" w:space="0" w:color="auto"/>
        <w:left w:val="none" w:sz="0" w:space="0" w:color="auto"/>
        <w:bottom w:val="none" w:sz="0" w:space="0" w:color="auto"/>
        <w:right w:val="none" w:sz="0" w:space="0" w:color="auto"/>
      </w:divBdr>
    </w:div>
    <w:div w:id="1926498962">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5A033-C6CE-45D3-9687-C050EA3D770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49AD6B01-5820-41AC-BC40-E7A72C576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DA1C767-0FCA-404A-93E9-CF39A4552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15</Pages>
  <Words>5193</Words>
  <Characters>29602</Characters>
  <Application>Microsoft Office Word</Application>
  <DocSecurity>0</DocSecurity>
  <Lines>246</Lines>
  <Paragraphs>69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RESPUESTA DIRECCIÓN CONTRACTUAL</vt:lpstr>
      <vt:lpstr>RESPUESTA DIRECCIÓN CONTRACTUAL</vt:lpstr>
    </vt:vector>
  </TitlesOfParts>
  <Company/>
  <LinksUpToDate>false</LinksUpToDate>
  <CharactersWithSpaces>34726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2020-08-11T11:40:00Z</dcterms:created>
  <dcterms:modified xsi:type="dcterms:W3CDTF">2020-08-11T11:40:00Z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