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BE577" w14:textId="711EDC1B" w:rsidR="000C0444" w:rsidRPr="00AC19AC" w:rsidRDefault="002411DE" w:rsidP="000277A2">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AC19AC">
        <w:rPr>
          <w:rFonts w:ascii="Arial" w:hAnsi="Arial" w:cs="Arial"/>
          <w:b/>
          <w:color w:val="000000" w:themeColor="text1"/>
          <w:sz w:val="16"/>
          <w:szCs w:val="16"/>
          <w:lang w:val="es-ES_tradnl" w:eastAsia="es-ES"/>
        </w:rPr>
        <w:t>CCE-DES-FM-17</w:t>
      </w:r>
      <w:bookmarkStart w:id="2" w:name="_Hlk50481752"/>
      <w:bookmarkEnd w:id="0"/>
      <w:bookmarkEnd w:id="1"/>
    </w:p>
    <w:p w14:paraId="47EEE62E" w14:textId="77777777" w:rsidR="000277A2" w:rsidRPr="00AC19AC" w:rsidRDefault="000277A2" w:rsidP="000277A2">
      <w:pPr>
        <w:jc w:val="right"/>
        <w:rPr>
          <w:rFonts w:ascii="Arial" w:eastAsia="Calibri" w:hAnsi="Arial" w:cs="Arial"/>
          <w:b/>
          <w:color w:val="000000" w:themeColor="text1"/>
          <w:sz w:val="20"/>
          <w:szCs w:val="20"/>
          <w:lang w:val="es-ES_tradnl"/>
        </w:rPr>
      </w:pPr>
    </w:p>
    <w:bookmarkEnd w:id="2"/>
    <w:p w14:paraId="664197F1" w14:textId="0C70CC80" w:rsidR="00AD0852" w:rsidRPr="00AC19AC" w:rsidRDefault="00AD0852" w:rsidP="00AD0852">
      <w:pPr>
        <w:jc w:val="both"/>
        <w:rPr>
          <w:rFonts w:ascii="Arial" w:hAnsi="Arial" w:cs="Arial"/>
          <w:b/>
          <w:bCs/>
          <w:color w:val="000000" w:themeColor="text1"/>
          <w:sz w:val="22"/>
          <w:lang w:val="es-ES_tradnl"/>
        </w:rPr>
      </w:pPr>
      <w:r w:rsidRPr="00AC19AC">
        <w:rPr>
          <w:rFonts w:ascii="Arial" w:hAnsi="Arial" w:cs="Arial"/>
          <w:b/>
          <w:bCs/>
          <w:color w:val="000000" w:themeColor="text1"/>
          <w:sz w:val="22"/>
          <w:lang w:val="es-ES_tradnl"/>
        </w:rPr>
        <w:t xml:space="preserve">DOCUMENTOS TIPO – Fundamento normativo </w:t>
      </w:r>
    </w:p>
    <w:p w14:paraId="7D6EE5A5" w14:textId="77777777" w:rsidR="00AD0852" w:rsidRPr="00AC19AC" w:rsidRDefault="00AD0852" w:rsidP="00AD0852">
      <w:pPr>
        <w:jc w:val="both"/>
        <w:rPr>
          <w:rFonts w:ascii="Arial" w:eastAsia="Calibri" w:hAnsi="Arial" w:cs="Arial"/>
          <w:color w:val="000000"/>
          <w:sz w:val="20"/>
          <w:szCs w:val="20"/>
          <w:lang w:val="es-ES_tradnl"/>
        </w:rPr>
      </w:pPr>
    </w:p>
    <w:p w14:paraId="6A894E94" w14:textId="39556986" w:rsidR="0094520B" w:rsidRPr="00AC19AC" w:rsidRDefault="0094520B" w:rsidP="00AD0852">
      <w:pPr>
        <w:jc w:val="both"/>
        <w:rPr>
          <w:rFonts w:ascii="Arial" w:eastAsia="Calibri" w:hAnsi="Arial" w:cs="Arial"/>
          <w:color w:val="000000"/>
          <w:sz w:val="20"/>
          <w:szCs w:val="20"/>
          <w:lang w:val="es-ES_tradnl"/>
        </w:rPr>
      </w:pPr>
      <w:r w:rsidRPr="00AC19AC">
        <w:rPr>
          <w:rFonts w:ascii="Arial" w:hAnsi="Arial" w:cs="Arial"/>
          <w:sz w:val="22"/>
          <w:szCs w:val="22"/>
        </w:rPr>
        <w:t xml:space="preserve">[…] </w:t>
      </w:r>
      <w:r w:rsidRPr="0094520B">
        <w:rPr>
          <w:rFonts w:ascii="Arial" w:eastAsia="Calibri" w:hAnsi="Arial" w:cs="Arial"/>
          <w:color w:val="000000"/>
          <w:sz w:val="20"/>
          <w:szCs w:val="20"/>
          <w:lang w:val="es-ES_tradnl"/>
        </w:rPr>
        <w:t>el artículo 4 de la Ley 1882 de 2018 es el antecedente más relevante respecto a los documentos tipo. A partir de esta norma se determinó la obligatoriedad para todas las entidades sometidas al Estatuto General de Contratación de la Administración Pública de aplicar los documentos tipo adoptados por el Gobierno Nacional. Debe señalarse que en virtud de la Ley 1882 de 2018 se expidieron varios documentos tipo para el sector de infraestructura de transporte</w:t>
      </w:r>
      <w:r>
        <w:rPr>
          <w:rFonts w:ascii="Arial" w:eastAsia="Calibri" w:hAnsi="Arial" w:cs="Arial"/>
          <w:color w:val="000000"/>
          <w:sz w:val="20"/>
          <w:szCs w:val="20"/>
          <w:lang w:val="es-ES_tradnl"/>
        </w:rPr>
        <w:t xml:space="preserve"> </w:t>
      </w:r>
      <w:r w:rsidRPr="00AC19AC">
        <w:rPr>
          <w:rFonts w:ascii="Arial" w:hAnsi="Arial" w:cs="Arial"/>
          <w:sz w:val="22"/>
          <w:szCs w:val="22"/>
        </w:rPr>
        <w:t>[…]</w:t>
      </w:r>
    </w:p>
    <w:p w14:paraId="4477DF5D" w14:textId="77777777" w:rsidR="00AD0852" w:rsidRPr="00AC19AC" w:rsidRDefault="00AD0852" w:rsidP="00AD0852">
      <w:pPr>
        <w:jc w:val="both"/>
        <w:rPr>
          <w:rFonts w:ascii="Arial" w:eastAsia="Calibri" w:hAnsi="Arial" w:cs="Arial"/>
          <w:b/>
          <w:sz w:val="22"/>
          <w:lang w:val="es-ES_tradnl"/>
        </w:rPr>
      </w:pPr>
    </w:p>
    <w:p w14:paraId="6C503A6F" w14:textId="77777777" w:rsidR="00B02C4A" w:rsidRPr="00AC19AC" w:rsidRDefault="00B02C4A" w:rsidP="00B84866">
      <w:pPr>
        <w:jc w:val="both"/>
        <w:rPr>
          <w:rFonts w:ascii="Arial" w:eastAsia="Calibri" w:hAnsi="Arial" w:cs="Arial"/>
          <w:sz w:val="20"/>
          <w:szCs w:val="20"/>
          <w:lang w:val="es-ES_tradnl"/>
        </w:rPr>
      </w:pPr>
      <w:r w:rsidRPr="00AC19AC">
        <w:rPr>
          <w:rFonts w:ascii="Arial" w:eastAsia="Calibri" w:hAnsi="Arial" w:cs="Arial"/>
          <w:b/>
          <w:sz w:val="22"/>
          <w:lang w:val="es-ES_tradnl"/>
        </w:rPr>
        <w:t>DOCUMENTOS TIPO – Ámbito de aplicación</w:t>
      </w:r>
    </w:p>
    <w:p w14:paraId="5CDE932F" w14:textId="77777777" w:rsidR="00B02C4A" w:rsidRPr="00AC19AC" w:rsidRDefault="00B02C4A" w:rsidP="00B84866">
      <w:pPr>
        <w:jc w:val="both"/>
        <w:rPr>
          <w:rFonts w:ascii="Arial" w:eastAsia="Calibri" w:hAnsi="Arial" w:cs="Arial"/>
          <w:sz w:val="20"/>
          <w:szCs w:val="20"/>
          <w:lang w:val="es-ES_tradnl"/>
        </w:rPr>
      </w:pPr>
    </w:p>
    <w:p w14:paraId="79DB67AF" w14:textId="4B81DBD8" w:rsidR="00B02C4A" w:rsidRPr="00AC19AC" w:rsidRDefault="00B02C4A" w:rsidP="00B84866">
      <w:pPr>
        <w:jc w:val="both"/>
        <w:rPr>
          <w:rFonts w:ascii="Arial" w:eastAsia="Calibri" w:hAnsi="Arial" w:cs="Arial"/>
          <w:sz w:val="20"/>
          <w:szCs w:val="20"/>
          <w:lang w:val="es-ES_tradnl"/>
        </w:rPr>
      </w:pPr>
      <w:r w:rsidRPr="00AC19AC">
        <w:rPr>
          <w:rFonts w:ascii="Arial" w:eastAsia="Calibri" w:hAnsi="Arial" w:cs="Arial"/>
          <w:sz w:val="20"/>
          <w:szCs w:val="20"/>
          <w:lang w:val="es-ES_tradnl"/>
        </w:rPr>
        <w:t>En cuanto al ámbito de aplicación de estos documentos, es preciso explicar que cada una de estas resoluciones están relacionadas con un sector, un objeto contractual y una modalidad de selección en específico.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el documento tipo. De ser esto así, la entidad estará obligada a adelantar el proceso de contratación aplicando los documentos tipo del caso.</w:t>
      </w:r>
    </w:p>
    <w:p w14:paraId="4FDBBC98" w14:textId="3BDEE5DE" w:rsidR="00B84866" w:rsidRPr="00AC19AC" w:rsidRDefault="00B84866" w:rsidP="00B84866">
      <w:pPr>
        <w:jc w:val="both"/>
        <w:rPr>
          <w:rFonts w:ascii="Arial" w:eastAsia="Calibri" w:hAnsi="Arial" w:cs="Arial"/>
          <w:sz w:val="20"/>
          <w:szCs w:val="20"/>
          <w:lang w:val="es-ES_tradnl"/>
        </w:rPr>
      </w:pPr>
    </w:p>
    <w:p w14:paraId="5874F8A1" w14:textId="7BB8BBF6" w:rsidR="000277A2" w:rsidRPr="00AC19AC" w:rsidRDefault="000277A2" w:rsidP="00B84866">
      <w:pPr>
        <w:jc w:val="both"/>
        <w:rPr>
          <w:rFonts w:ascii="Arial" w:eastAsia="Calibri" w:hAnsi="Arial" w:cs="Arial"/>
          <w:b/>
          <w:sz w:val="22"/>
          <w:lang w:val="es-ES_tradnl"/>
        </w:rPr>
      </w:pPr>
      <w:r w:rsidRPr="00AC19AC">
        <w:rPr>
          <w:rFonts w:ascii="Arial" w:eastAsia="Calibri" w:hAnsi="Arial" w:cs="Arial"/>
          <w:b/>
          <w:sz w:val="22"/>
          <w:lang w:val="es-ES_tradnl"/>
        </w:rPr>
        <w:t>LEY 2195 DE 2022 –</w:t>
      </w:r>
      <w:r w:rsidR="00800C3D" w:rsidRPr="00AC19AC">
        <w:rPr>
          <w:rFonts w:ascii="Arial" w:eastAsia="Calibri" w:hAnsi="Arial" w:cs="Arial"/>
          <w:b/>
          <w:sz w:val="22"/>
          <w:lang w:val="es-ES_tradnl"/>
        </w:rPr>
        <w:t xml:space="preserve"> Aplicación</w:t>
      </w:r>
      <w:r w:rsidRPr="00AC19AC">
        <w:rPr>
          <w:rFonts w:ascii="Arial" w:eastAsia="Calibri" w:hAnsi="Arial" w:cs="Arial"/>
          <w:b/>
          <w:sz w:val="22"/>
          <w:lang w:val="es-ES_tradnl"/>
        </w:rPr>
        <w:t xml:space="preserve"> – </w:t>
      </w:r>
      <w:r w:rsidR="00800C3D" w:rsidRPr="00AC19AC">
        <w:rPr>
          <w:rFonts w:ascii="Arial" w:eastAsia="Calibri" w:hAnsi="Arial" w:cs="Arial"/>
          <w:b/>
          <w:sz w:val="22"/>
          <w:lang w:val="es-ES_tradnl"/>
        </w:rPr>
        <w:t>Artículo 56</w:t>
      </w:r>
    </w:p>
    <w:p w14:paraId="1A73212A" w14:textId="77777777" w:rsidR="000277A2" w:rsidRPr="00AC19AC" w:rsidRDefault="000277A2" w:rsidP="00B84866">
      <w:pPr>
        <w:jc w:val="both"/>
        <w:rPr>
          <w:rFonts w:ascii="Arial" w:eastAsia="Calibri" w:hAnsi="Arial" w:cs="Arial"/>
          <w:b/>
          <w:sz w:val="22"/>
          <w:lang w:val="es-ES_tradnl"/>
        </w:rPr>
      </w:pPr>
    </w:p>
    <w:p w14:paraId="29DD5AD8" w14:textId="28722A35" w:rsidR="00800C3D" w:rsidRPr="00AC19AC" w:rsidRDefault="00800C3D" w:rsidP="00AC37D3">
      <w:pPr>
        <w:tabs>
          <w:tab w:val="left" w:pos="0"/>
        </w:tabs>
        <w:jc w:val="both"/>
        <w:rPr>
          <w:rFonts w:ascii="Arial" w:eastAsia="Calibri" w:hAnsi="Arial" w:cs="Arial"/>
          <w:color w:val="000000"/>
          <w:sz w:val="20"/>
          <w:szCs w:val="20"/>
          <w:lang w:val="es-ES_tradnl"/>
        </w:rPr>
      </w:pPr>
      <w:r w:rsidRPr="00AC19AC">
        <w:rPr>
          <w:rFonts w:ascii="Arial" w:eastAsia="Calibri" w:hAnsi="Arial" w:cs="Arial"/>
          <w:bCs/>
          <w:sz w:val="20"/>
          <w:szCs w:val="22"/>
          <w:lang w:val="es-ES_tradnl"/>
        </w:rPr>
        <w:t xml:space="preserve">[…] </w:t>
      </w:r>
      <w:r w:rsidRPr="00AC19AC">
        <w:rPr>
          <w:rFonts w:ascii="Arial" w:eastAsia="Calibri" w:hAnsi="Arial" w:cs="Arial"/>
          <w:color w:val="000000"/>
          <w:sz w:val="20"/>
          <w:szCs w:val="20"/>
          <w:lang w:val="es-ES_tradnl"/>
        </w:rPr>
        <w:t xml:space="preserve">en virtud de la Ley 2022 de 2020, los documentos tipo expedidos por la Agencia Nacional de Contratación Pública son de aplicación obligatoria para las entidades estatales sometidas al Estatuto General de Contratación de la Administración Pública. En ese sentido, el contenido normativo de la Ley 2022 de 2020, y en su momento también la Ley 1882 de 2018, en principio, excluyen del ámbito de aplicación de los documentos tipo la contratación de entidades estatales de régimen exceptuado, por lo general, sujetas al derecho privado. </w:t>
      </w:r>
    </w:p>
    <w:p w14:paraId="205BB2A6" w14:textId="02EBD195" w:rsidR="00800C3D" w:rsidRPr="00AC19AC" w:rsidRDefault="00800C3D" w:rsidP="00AC37D3">
      <w:pPr>
        <w:jc w:val="both"/>
        <w:rPr>
          <w:rFonts w:ascii="Arial" w:eastAsia="Calibri" w:hAnsi="Arial" w:cs="Arial"/>
          <w:bCs/>
          <w:sz w:val="20"/>
          <w:szCs w:val="22"/>
          <w:lang w:val="es-ES_tradnl"/>
        </w:rPr>
      </w:pPr>
    </w:p>
    <w:p w14:paraId="7F8F16A2" w14:textId="35000061" w:rsidR="00AC37D3" w:rsidRPr="00AC19AC" w:rsidRDefault="00AC37D3" w:rsidP="00AC37D3">
      <w:pPr>
        <w:tabs>
          <w:tab w:val="left" w:pos="0"/>
        </w:tabs>
        <w:jc w:val="both"/>
        <w:rPr>
          <w:rFonts w:ascii="Arial" w:eastAsia="Calibri" w:hAnsi="Arial" w:cs="Arial"/>
          <w:color w:val="000000"/>
          <w:sz w:val="20"/>
          <w:szCs w:val="20"/>
          <w:lang w:val="es-ES_tradnl"/>
        </w:rPr>
      </w:pPr>
      <w:r w:rsidRPr="00AC19AC">
        <w:rPr>
          <w:rFonts w:ascii="Arial" w:hAnsi="Arial" w:cs="Arial"/>
          <w:sz w:val="22"/>
          <w:szCs w:val="22"/>
        </w:rPr>
        <w:t xml:space="preserve">[…] </w:t>
      </w:r>
      <w:r w:rsidRPr="00AC19AC">
        <w:rPr>
          <w:rFonts w:ascii="Arial" w:eastAsia="Calibri" w:hAnsi="Arial" w:cs="Arial"/>
          <w:color w:val="000000"/>
          <w:sz w:val="20"/>
          <w:szCs w:val="20"/>
          <w:lang w:val="es-ES_tradnl"/>
        </w:rPr>
        <w:t>No obstante, este panorama ha variado de manera sustancial con la reciente expedición de la Ley 2195 de 2022, «Por medio de la cual se adoptan medidas en materia de transparencia, prevención y lucha contra la corrupción y se dictan otras disposiciones.</w:t>
      </w:r>
      <w:r w:rsidR="008F0B35">
        <w:rPr>
          <w:rFonts w:ascii="Arial" w:eastAsia="Calibri" w:hAnsi="Arial" w:cs="Arial"/>
          <w:color w:val="000000"/>
          <w:sz w:val="20"/>
          <w:szCs w:val="20"/>
          <w:lang w:val="es-ES_tradnl"/>
        </w:rPr>
        <w:t xml:space="preserve"> </w:t>
      </w:r>
      <w:r w:rsidR="008F0B35" w:rsidRPr="00AC19AC">
        <w:rPr>
          <w:rFonts w:ascii="Arial" w:hAnsi="Arial" w:cs="Arial"/>
          <w:sz w:val="22"/>
          <w:szCs w:val="22"/>
        </w:rPr>
        <w:t xml:space="preserve">[…] </w:t>
      </w:r>
      <w:r w:rsidR="008F0B35" w:rsidRPr="008F0B35">
        <w:rPr>
          <w:rFonts w:ascii="Arial" w:eastAsia="Calibri" w:hAnsi="Arial" w:cs="Arial"/>
          <w:color w:val="000000"/>
          <w:sz w:val="20"/>
          <w:szCs w:val="20"/>
          <w:lang w:val="es-ES_tradnl"/>
        </w:rPr>
        <w:t xml:space="preserve">Entre las medidas adoptadas por la Ley mencionada se destaca el artículo 56, norma sobre la que versa la presente consulta. Esta disposición se refiere de manera expresa a los documentos tipo y a su aplicabilidad a sujetos diferentes de las entidades estatales sometidas al Estatuto General de Contratación de la Administración Pública. </w:t>
      </w:r>
      <w:r w:rsidRPr="00AC19AC">
        <w:rPr>
          <w:rFonts w:ascii="Arial" w:eastAsia="Calibri" w:hAnsi="Arial" w:cs="Arial"/>
          <w:color w:val="000000"/>
          <w:sz w:val="20"/>
          <w:szCs w:val="20"/>
          <w:lang w:val="es-ES_tradnl"/>
        </w:rPr>
        <w:t xml:space="preserve"> </w:t>
      </w:r>
    </w:p>
    <w:p w14:paraId="2BD4034B" w14:textId="77777777" w:rsidR="00AC37D3" w:rsidRPr="00AC19AC" w:rsidRDefault="00AC37D3" w:rsidP="00AC37D3">
      <w:pPr>
        <w:jc w:val="both"/>
        <w:rPr>
          <w:rFonts w:ascii="Arial" w:eastAsia="Calibri" w:hAnsi="Arial" w:cs="Arial"/>
          <w:bCs/>
          <w:sz w:val="20"/>
          <w:szCs w:val="22"/>
          <w:lang w:val="es-ES_tradnl"/>
        </w:rPr>
      </w:pPr>
    </w:p>
    <w:p w14:paraId="59003F63" w14:textId="644DEC06" w:rsidR="000277A2" w:rsidRPr="00AC19AC" w:rsidRDefault="002064A6" w:rsidP="00B84866">
      <w:pPr>
        <w:jc w:val="both"/>
        <w:rPr>
          <w:rFonts w:ascii="Arial" w:eastAsia="Calibri" w:hAnsi="Arial" w:cs="Arial"/>
          <w:bCs/>
          <w:sz w:val="20"/>
          <w:szCs w:val="22"/>
          <w:lang w:val="es-ES_tradnl"/>
        </w:rPr>
      </w:pPr>
      <w:r w:rsidRPr="00AC19AC">
        <w:rPr>
          <w:rFonts w:ascii="Arial" w:eastAsia="Calibri" w:hAnsi="Arial" w:cs="Arial"/>
          <w:bCs/>
          <w:sz w:val="20"/>
          <w:szCs w:val="22"/>
          <w:lang w:val="es-ES_tradnl"/>
        </w:rPr>
        <w:t>[…]</w:t>
      </w:r>
      <w:r w:rsidR="00E729DC" w:rsidRPr="00AC19AC">
        <w:rPr>
          <w:rFonts w:ascii="Arial" w:eastAsia="Calibri" w:hAnsi="Arial" w:cs="Arial"/>
          <w:bCs/>
          <w:sz w:val="20"/>
          <w:szCs w:val="22"/>
          <w:lang w:val="es-ES_tradnl"/>
        </w:rPr>
        <w:t xml:space="preserve">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patrimonios autónomos o iii)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mediante documentos tipo</w:t>
      </w:r>
      <w:r w:rsidRPr="00AC19AC">
        <w:rPr>
          <w:rFonts w:ascii="Arial" w:eastAsia="Calibri" w:hAnsi="Arial" w:cs="Arial"/>
          <w:bCs/>
          <w:sz w:val="20"/>
          <w:szCs w:val="22"/>
          <w:lang w:val="es-ES_tradnl"/>
        </w:rPr>
        <w:t>.</w:t>
      </w:r>
      <w:r w:rsidR="009B01D3" w:rsidRPr="00AC19AC">
        <w:rPr>
          <w:rFonts w:ascii="Arial" w:eastAsia="Calibri" w:hAnsi="Arial" w:cs="Arial"/>
          <w:bCs/>
          <w:sz w:val="20"/>
          <w:szCs w:val="22"/>
          <w:lang w:val="es-ES_tradnl"/>
        </w:rPr>
        <w:t xml:space="preserve"> [….]</w:t>
      </w:r>
      <w:r w:rsidRPr="00AC19AC">
        <w:rPr>
          <w:rFonts w:ascii="Arial" w:eastAsia="Calibri" w:hAnsi="Arial" w:cs="Arial"/>
          <w:bCs/>
          <w:sz w:val="20"/>
          <w:szCs w:val="22"/>
          <w:lang w:val="es-ES_tradnl"/>
        </w:rPr>
        <w:t xml:space="preserve">   </w:t>
      </w:r>
    </w:p>
    <w:p w14:paraId="32C69F60" w14:textId="5BCB6EEF" w:rsidR="00EE79E7" w:rsidRDefault="0070311B" w:rsidP="0070311B">
      <w:pPr>
        <w:jc w:val="right"/>
        <w:rPr>
          <w:rFonts w:ascii="Arial" w:hAnsi="Arial" w:cs="Arial"/>
          <w:b/>
          <w:color w:val="000000" w:themeColor="text1"/>
          <w:sz w:val="22"/>
          <w:lang w:val="pt-BR"/>
        </w:rPr>
      </w:pPr>
      <w:bookmarkStart w:id="3" w:name="_Hlk103862634"/>
      <w:r>
        <w:rPr>
          <w:noProof/>
        </w:rPr>
        <w:lastRenderedPageBreak/>
        <w:drawing>
          <wp:inline distT="0" distB="0" distL="0" distR="0" wp14:anchorId="266BAA1B" wp14:editId="0F48A8AF">
            <wp:extent cx="3581400" cy="9334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376" t="58261" r="33808" b="12155"/>
                    <a:stretch/>
                  </pic:blipFill>
                  <pic:spPr bwMode="auto">
                    <a:xfrm>
                      <a:off x="0" y="0"/>
                      <a:ext cx="3581400" cy="933450"/>
                    </a:xfrm>
                    <a:prstGeom prst="rect">
                      <a:avLst/>
                    </a:prstGeom>
                    <a:ln>
                      <a:noFill/>
                    </a:ln>
                    <a:extLst>
                      <a:ext uri="{53640926-AAD7-44D8-BBD7-CCE9431645EC}">
                        <a14:shadowObscured xmlns:a14="http://schemas.microsoft.com/office/drawing/2010/main"/>
                      </a:ext>
                    </a:extLst>
                  </pic:spPr>
                </pic:pic>
              </a:graphicData>
            </a:graphic>
          </wp:inline>
        </w:drawing>
      </w:r>
    </w:p>
    <w:p w14:paraId="50EE9FB5" w14:textId="72B49953" w:rsidR="00EE79E7" w:rsidRDefault="00EE79E7" w:rsidP="00B95C30">
      <w:pPr>
        <w:jc w:val="both"/>
        <w:rPr>
          <w:rFonts w:ascii="Arial" w:hAnsi="Arial" w:cs="Arial"/>
          <w:b/>
          <w:color w:val="000000" w:themeColor="text1"/>
          <w:sz w:val="22"/>
          <w:lang w:val="pt-BR"/>
        </w:rPr>
      </w:pPr>
    </w:p>
    <w:p w14:paraId="156AFCAA" w14:textId="43496771" w:rsidR="00632E28" w:rsidRDefault="00632E28" w:rsidP="00B95C30">
      <w:pPr>
        <w:jc w:val="both"/>
        <w:rPr>
          <w:rFonts w:ascii="Arial" w:hAnsi="Arial" w:cs="Arial"/>
          <w:b/>
          <w:color w:val="000000" w:themeColor="text1"/>
          <w:sz w:val="22"/>
          <w:lang w:val="pt-BR"/>
        </w:rPr>
      </w:pPr>
    </w:p>
    <w:p w14:paraId="55C007D0" w14:textId="7B043BD7" w:rsidR="00632E28" w:rsidRPr="00EE79E7" w:rsidRDefault="00632E28" w:rsidP="00632E28">
      <w:pPr>
        <w:jc w:val="both"/>
        <w:rPr>
          <w:rFonts w:ascii="Arial" w:hAnsi="Arial" w:cs="Arial"/>
          <w:bCs/>
          <w:color w:val="000000" w:themeColor="text1"/>
          <w:sz w:val="22"/>
          <w:lang w:val="pt-BR"/>
        </w:rPr>
      </w:pPr>
      <w:r w:rsidRPr="00EE79E7">
        <w:rPr>
          <w:rFonts w:ascii="Arial" w:hAnsi="Arial" w:cs="Arial"/>
          <w:bCs/>
          <w:color w:val="000000" w:themeColor="text1"/>
          <w:sz w:val="22"/>
          <w:lang w:val="pt-BR"/>
        </w:rPr>
        <w:t xml:space="preserve">Bogotá, 19 </w:t>
      </w:r>
      <w:r>
        <w:rPr>
          <w:rFonts w:ascii="Arial" w:hAnsi="Arial" w:cs="Arial"/>
          <w:bCs/>
          <w:color w:val="000000" w:themeColor="text1"/>
          <w:sz w:val="22"/>
          <w:lang w:val="pt-BR"/>
        </w:rPr>
        <w:t>M</w:t>
      </w:r>
      <w:r w:rsidRPr="00EE79E7">
        <w:rPr>
          <w:rFonts w:ascii="Arial" w:hAnsi="Arial" w:cs="Arial"/>
          <w:bCs/>
          <w:color w:val="000000" w:themeColor="text1"/>
          <w:sz w:val="22"/>
          <w:lang w:val="pt-BR"/>
        </w:rPr>
        <w:t>ayo</w:t>
      </w:r>
      <w:r w:rsidRPr="00EE79E7">
        <w:rPr>
          <w:rFonts w:ascii="Arial" w:hAnsi="Arial" w:cs="Arial"/>
          <w:bCs/>
          <w:color w:val="000000" w:themeColor="text1"/>
          <w:sz w:val="22"/>
          <w:lang w:val="pt-BR"/>
        </w:rPr>
        <w:t xml:space="preserve"> 2022</w:t>
      </w:r>
    </w:p>
    <w:p w14:paraId="42F89FFD" w14:textId="77777777" w:rsidR="00632E28" w:rsidRDefault="00632E28" w:rsidP="00632E28">
      <w:pPr>
        <w:jc w:val="both"/>
        <w:rPr>
          <w:rFonts w:ascii="Arial" w:hAnsi="Arial" w:cs="Arial"/>
          <w:b/>
          <w:color w:val="000000" w:themeColor="text1"/>
          <w:sz w:val="22"/>
          <w:lang w:val="pt-BR"/>
        </w:rPr>
      </w:pPr>
    </w:p>
    <w:p w14:paraId="72124439" w14:textId="77777777" w:rsidR="00632E28" w:rsidRPr="00AC19AC" w:rsidRDefault="00632E28" w:rsidP="00B95C30">
      <w:pPr>
        <w:jc w:val="both"/>
        <w:rPr>
          <w:rFonts w:ascii="Arial" w:hAnsi="Arial" w:cs="Arial"/>
          <w:b/>
          <w:color w:val="000000" w:themeColor="text1"/>
          <w:sz w:val="22"/>
          <w:lang w:val="pt-BR"/>
        </w:rPr>
      </w:pPr>
    </w:p>
    <w:p w14:paraId="5F5AE9EF" w14:textId="3073095F" w:rsidR="00B95C30" w:rsidRPr="00AC19AC" w:rsidRDefault="00B95C30" w:rsidP="00B95C30">
      <w:pPr>
        <w:jc w:val="both"/>
        <w:rPr>
          <w:rFonts w:ascii="Arial" w:eastAsia="Calibri" w:hAnsi="Arial" w:cs="Arial"/>
          <w:color w:val="000000" w:themeColor="text1"/>
          <w:sz w:val="22"/>
        </w:rPr>
      </w:pPr>
      <w:bookmarkStart w:id="4" w:name="_Hlk100051121"/>
      <w:r w:rsidRPr="00AC19AC">
        <w:rPr>
          <w:rFonts w:ascii="Arial" w:eastAsia="Calibri" w:hAnsi="Arial" w:cs="Arial"/>
          <w:color w:val="000000" w:themeColor="text1"/>
          <w:sz w:val="22"/>
        </w:rPr>
        <w:t>Señor</w:t>
      </w:r>
      <w:r w:rsidR="00BD7E01" w:rsidRPr="00AC19AC">
        <w:rPr>
          <w:rFonts w:ascii="Arial" w:eastAsia="Calibri" w:hAnsi="Arial" w:cs="Arial"/>
          <w:color w:val="000000" w:themeColor="text1"/>
          <w:sz w:val="22"/>
        </w:rPr>
        <w:t>a</w:t>
      </w:r>
    </w:p>
    <w:p w14:paraId="798A20AC" w14:textId="0742ADC1" w:rsidR="005F5F37" w:rsidRPr="00AC19AC" w:rsidRDefault="00BD7E01" w:rsidP="00BF4EC5">
      <w:pPr>
        <w:jc w:val="both"/>
        <w:rPr>
          <w:rFonts w:ascii="Arial" w:eastAsia="Calibri" w:hAnsi="Arial" w:cs="Arial"/>
          <w:b/>
          <w:color w:val="000000" w:themeColor="text1"/>
          <w:sz w:val="22"/>
        </w:rPr>
      </w:pPr>
      <w:r w:rsidRPr="00AC19AC">
        <w:rPr>
          <w:rFonts w:ascii="Arial" w:eastAsia="Calibri" w:hAnsi="Arial" w:cs="Arial"/>
          <w:b/>
          <w:color w:val="000000" w:themeColor="text1"/>
          <w:sz w:val="22"/>
        </w:rPr>
        <w:t>Alicia Patricia Mestra Petro</w:t>
      </w:r>
    </w:p>
    <w:p w14:paraId="411CBCE1" w14:textId="3C5A69C0" w:rsidR="00BF4EC5" w:rsidRPr="00AC19AC" w:rsidRDefault="00E803A6" w:rsidP="00BF4EC5">
      <w:pPr>
        <w:jc w:val="both"/>
        <w:rPr>
          <w:rFonts w:ascii="Arial" w:eastAsia="Calibri" w:hAnsi="Arial" w:cs="Arial"/>
          <w:bCs/>
          <w:color w:val="000000" w:themeColor="text1"/>
          <w:sz w:val="22"/>
        </w:rPr>
      </w:pPr>
      <w:r w:rsidRPr="00AC19AC">
        <w:rPr>
          <w:rFonts w:ascii="Arial" w:eastAsia="Calibri" w:hAnsi="Arial" w:cs="Arial"/>
          <w:bCs/>
          <w:color w:val="000000" w:themeColor="text1"/>
          <w:sz w:val="22"/>
        </w:rPr>
        <w:t>Bogotá D.C.</w:t>
      </w:r>
      <w:r w:rsidR="00BF4EC5" w:rsidRPr="00AC19AC">
        <w:rPr>
          <w:rFonts w:ascii="Arial" w:eastAsia="Calibri" w:hAnsi="Arial" w:cs="Arial"/>
          <w:bCs/>
          <w:color w:val="000000" w:themeColor="text1"/>
          <w:sz w:val="22"/>
        </w:rPr>
        <w:t xml:space="preserve"> </w:t>
      </w:r>
    </w:p>
    <w:p w14:paraId="4A1C8FFE" w14:textId="127AF552" w:rsidR="008120C4" w:rsidRPr="00AC19AC" w:rsidRDefault="008120C4" w:rsidP="003C0791">
      <w:pPr>
        <w:rPr>
          <w:rFonts w:ascii="Arial" w:eastAsia="Calibri" w:hAnsi="Arial" w:cs="Arial"/>
          <w:b/>
          <w:bCs/>
          <w:color w:val="000000" w:themeColor="text1"/>
          <w:sz w:val="22"/>
        </w:rPr>
      </w:pPr>
    </w:p>
    <w:p w14:paraId="122205C3" w14:textId="77777777" w:rsidR="000277A2" w:rsidRPr="00AC19AC" w:rsidRDefault="000277A2" w:rsidP="0070311B">
      <w:pPr>
        <w:jc w:val="right"/>
        <w:rPr>
          <w:rFonts w:ascii="Arial" w:eastAsia="Calibri" w:hAnsi="Arial" w:cs="Arial"/>
          <w:b/>
          <w:bCs/>
          <w:color w:val="000000" w:themeColor="text1"/>
          <w:sz w:val="22"/>
        </w:rPr>
      </w:pPr>
    </w:p>
    <w:p w14:paraId="1BD594F9" w14:textId="3D521129" w:rsidR="00B95C30" w:rsidRPr="00AC19AC" w:rsidRDefault="005B1504" w:rsidP="003C0791">
      <w:pPr>
        <w:rPr>
          <w:rFonts w:ascii="Arial" w:eastAsia="Calibri" w:hAnsi="Arial" w:cs="Arial"/>
          <w:b/>
          <w:bCs/>
          <w:color w:val="000000" w:themeColor="text1"/>
          <w:sz w:val="22"/>
          <w:lang w:val="pt-BR"/>
        </w:rPr>
      </w:pPr>
      <w:r w:rsidRPr="00AC19AC">
        <w:rPr>
          <w:rFonts w:ascii="Arial" w:eastAsia="Calibri" w:hAnsi="Arial" w:cs="Arial"/>
          <w:b/>
          <w:bCs/>
          <w:color w:val="000000" w:themeColor="text1"/>
          <w:sz w:val="22"/>
        </w:rPr>
        <w:t xml:space="preserve">                     </w:t>
      </w:r>
      <w:r w:rsidR="00923FA6" w:rsidRPr="00AC19AC">
        <w:rPr>
          <w:rFonts w:ascii="Arial" w:eastAsia="Calibri" w:hAnsi="Arial" w:cs="Arial"/>
          <w:b/>
          <w:bCs/>
          <w:color w:val="000000" w:themeColor="text1"/>
          <w:sz w:val="22"/>
        </w:rPr>
        <w:t xml:space="preserve">                      </w:t>
      </w:r>
      <w:r w:rsidRPr="00AC19AC">
        <w:rPr>
          <w:rFonts w:ascii="Arial" w:eastAsia="Calibri" w:hAnsi="Arial" w:cs="Arial"/>
          <w:b/>
          <w:bCs/>
          <w:color w:val="000000" w:themeColor="text1"/>
          <w:sz w:val="22"/>
        </w:rPr>
        <w:t xml:space="preserve"> </w:t>
      </w:r>
      <w:r w:rsidR="00023FA5" w:rsidRPr="00AC19AC">
        <w:rPr>
          <w:rFonts w:ascii="Arial" w:eastAsia="Calibri" w:hAnsi="Arial" w:cs="Arial"/>
          <w:b/>
          <w:bCs/>
          <w:color w:val="000000" w:themeColor="text1"/>
          <w:sz w:val="22"/>
          <w:lang w:val="pt-BR"/>
        </w:rPr>
        <w:t xml:space="preserve">Concepto C ‒ </w:t>
      </w:r>
      <w:r w:rsidR="00050705" w:rsidRPr="00AC19AC">
        <w:rPr>
          <w:rFonts w:ascii="Arial" w:eastAsia="Calibri" w:hAnsi="Arial" w:cs="Arial"/>
          <w:b/>
          <w:bCs/>
          <w:color w:val="000000" w:themeColor="text1"/>
          <w:sz w:val="22"/>
          <w:lang w:val="pt-BR"/>
        </w:rPr>
        <w:t>339</w:t>
      </w:r>
      <w:r w:rsidR="000277A2" w:rsidRPr="00AC19AC">
        <w:rPr>
          <w:rFonts w:ascii="Arial" w:eastAsia="Calibri" w:hAnsi="Arial" w:cs="Arial"/>
          <w:b/>
          <w:bCs/>
          <w:color w:val="000000" w:themeColor="text1"/>
          <w:sz w:val="22"/>
          <w:lang w:val="pt-BR"/>
        </w:rPr>
        <w:t xml:space="preserve"> </w:t>
      </w:r>
      <w:r w:rsidR="00275FBF" w:rsidRPr="00AC19AC">
        <w:rPr>
          <w:rFonts w:ascii="Arial" w:eastAsia="Calibri" w:hAnsi="Arial" w:cs="Arial"/>
          <w:b/>
          <w:bCs/>
          <w:color w:val="000000" w:themeColor="text1"/>
          <w:sz w:val="22"/>
          <w:lang w:val="pt-BR"/>
        </w:rPr>
        <w:t>de 202</w:t>
      </w:r>
      <w:r w:rsidR="00BF4EC5" w:rsidRPr="00AC19AC">
        <w:rPr>
          <w:rFonts w:ascii="Arial" w:eastAsia="Calibri" w:hAnsi="Arial" w:cs="Arial"/>
          <w:b/>
          <w:bCs/>
          <w:color w:val="000000" w:themeColor="text1"/>
          <w:sz w:val="22"/>
          <w:lang w:val="pt-BR"/>
        </w:rPr>
        <w:t>2</w:t>
      </w:r>
    </w:p>
    <w:p w14:paraId="7063750E" w14:textId="77777777" w:rsidR="005F5F37" w:rsidRPr="00AC19AC" w:rsidRDefault="005F5F37" w:rsidP="003C0791">
      <w:pPr>
        <w:rPr>
          <w:rFonts w:ascii="Arial" w:eastAsia="Calibri" w:hAnsi="Arial" w:cs="Arial"/>
          <w:b/>
          <w:bCs/>
          <w:color w:val="000000" w:themeColor="text1"/>
          <w:sz w:val="22"/>
          <w:lang w:val="pt-BR"/>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95C30" w:rsidRPr="00AC19AC" w14:paraId="19DFC051" w14:textId="77777777" w:rsidTr="007C2C49">
        <w:tc>
          <w:tcPr>
            <w:tcW w:w="2689" w:type="dxa"/>
          </w:tcPr>
          <w:p w14:paraId="6BC0D1AC" w14:textId="569BAEB9" w:rsidR="00B95C30" w:rsidRPr="00AC19AC" w:rsidRDefault="00B95C30" w:rsidP="00D15356">
            <w:pPr>
              <w:jc w:val="both"/>
              <w:rPr>
                <w:rFonts w:ascii="Arial" w:eastAsia="Calibri" w:hAnsi="Arial" w:cs="Arial"/>
                <w:color w:val="000000" w:themeColor="text1"/>
                <w:sz w:val="22"/>
                <w:lang w:val="es-ES_tradnl"/>
              </w:rPr>
            </w:pPr>
            <w:r w:rsidRPr="00AC19AC">
              <w:rPr>
                <w:rFonts w:ascii="Arial" w:eastAsia="Calibri" w:hAnsi="Arial" w:cs="Arial"/>
                <w:b/>
                <w:color w:val="000000" w:themeColor="text1"/>
                <w:sz w:val="22"/>
                <w:lang w:val="es-ES_tradnl"/>
              </w:rPr>
              <w:t>Temas:</w:t>
            </w:r>
            <w:r w:rsidR="005B1504" w:rsidRPr="00AC19AC">
              <w:rPr>
                <w:rFonts w:ascii="Arial" w:eastAsia="Calibri" w:hAnsi="Arial" w:cs="Arial"/>
                <w:color w:val="000000" w:themeColor="text1"/>
                <w:sz w:val="22"/>
                <w:lang w:val="es-ES_tradnl"/>
              </w:rPr>
              <w:t xml:space="preserve">                   </w:t>
            </w:r>
          </w:p>
        </w:tc>
        <w:tc>
          <w:tcPr>
            <w:tcW w:w="6100" w:type="dxa"/>
          </w:tcPr>
          <w:p w14:paraId="5F389CAF" w14:textId="330F9074" w:rsidR="00B95C30" w:rsidRPr="00AC19AC" w:rsidRDefault="00AD0852" w:rsidP="00AC37D3">
            <w:pPr>
              <w:tabs>
                <w:tab w:val="left" w:pos="0"/>
              </w:tabs>
              <w:jc w:val="both"/>
              <w:rPr>
                <w:rFonts w:ascii="Arial" w:eastAsia="Calibri" w:hAnsi="Arial" w:cs="Arial"/>
                <w:bCs/>
                <w:sz w:val="22"/>
                <w:lang w:val="es-ES_tradnl"/>
              </w:rPr>
            </w:pPr>
            <w:r w:rsidRPr="00AC19AC">
              <w:rPr>
                <w:rFonts w:ascii="Arial" w:hAnsi="Arial" w:cs="Arial"/>
                <w:bCs/>
                <w:color w:val="000000" w:themeColor="text1"/>
                <w:sz w:val="22"/>
                <w:lang w:val="es-ES_tradnl"/>
              </w:rPr>
              <w:t>DOCUMENTOS TIPO – Fundamento normativo /</w:t>
            </w:r>
            <w:r w:rsidRPr="00AC19AC">
              <w:rPr>
                <w:rFonts w:ascii="Arial" w:hAnsi="Arial" w:cs="Arial"/>
                <w:b/>
                <w:bCs/>
                <w:color w:val="000000" w:themeColor="text1"/>
                <w:sz w:val="22"/>
                <w:lang w:val="es-ES_tradnl"/>
              </w:rPr>
              <w:t xml:space="preserve"> </w:t>
            </w:r>
            <w:r w:rsidRPr="00AC19AC">
              <w:rPr>
                <w:rFonts w:ascii="Arial" w:eastAsia="Calibri" w:hAnsi="Arial" w:cs="Arial"/>
                <w:bCs/>
                <w:sz w:val="22"/>
                <w:lang w:val="es-ES_tradnl"/>
              </w:rPr>
              <w:t xml:space="preserve"> </w:t>
            </w:r>
            <w:r w:rsidR="00F90FA8" w:rsidRPr="00AC19AC">
              <w:rPr>
                <w:rFonts w:ascii="Arial" w:eastAsia="Calibri" w:hAnsi="Arial" w:cs="Arial"/>
                <w:bCs/>
                <w:sz w:val="22"/>
                <w:lang w:val="es-ES_tradnl"/>
              </w:rPr>
              <w:t xml:space="preserve">DOCUMENTOS TIPO – Ámbito de aplicación / </w:t>
            </w:r>
            <w:r w:rsidR="000277A2" w:rsidRPr="00AC19AC">
              <w:rPr>
                <w:rFonts w:ascii="Arial" w:eastAsia="Calibri" w:hAnsi="Arial" w:cs="Arial"/>
                <w:bCs/>
                <w:sz w:val="22"/>
                <w:lang w:val="es-ES_tradnl"/>
              </w:rPr>
              <w:t xml:space="preserve">LEY 2195 DE 2022 – </w:t>
            </w:r>
            <w:r w:rsidR="00AC37D3" w:rsidRPr="00AC19AC">
              <w:rPr>
                <w:rFonts w:ascii="Arial" w:eastAsia="Calibri" w:hAnsi="Arial" w:cs="Arial"/>
                <w:bCs/>
                <w:sz w:val="22"/>
                <w:lang w:val="es-ES_tradnl"/>
              </w:rPr>
              <w:t xml:space="preserve">Aplicación – </w:t>
            </w:r>
            <w:r w:rsidR="000277A2" w:rsidRPr="00AC19AC">
              <w:rPr>
                <w:rFonts w:ascii="Arial" w:eastAsia="Calibri" w:hAnsi="Arial" w:cs="Arial"/>
                <w:bCs/>
                <w:sz w:val="22"/>
                <w:lang w:val="es-ES_tradnl"/>
              </w:rPr>
              <w:t xml:space="preserve">Artículo 56 </w:t>
            </w:r>
          </w:p>
        </w:tc>
      </w:tr>
      <w:tr w:rsidR="00B95C30" w:rsidRPr="00AC19AC" w14:paraId="27CD52AB" w14:textId="77777777" w:rsidTr="007C2C49">
        <w:tc>
          <w:tcPr>
            <w:tcW w:w="2689" w:type="dxa"/>
          </w:tcPr>
          <w:p w14:paraId="37E195A1" w14:textId="017D9507" w:rsidR="00B95C30" w:rsidRPr="00AC19AC" w:rsidRDefault="00B95C30" w:rsidP="00D15356">
            <w:pPr>
              <w:spacing w:before="120"/>
              <w:jc w:val="both"/>
              <w:rPr>
                <w:rFonts w:ascii="Arial" w:eastAsia="Calibri" w:hAnsi="Arial" w:cs="Arial"/>
                <w:b/>
                <w:color w:val="000000" w:themeColor="text1"/>
                <w:sz w:val="22"/>
                <w:lang w:val="es-ES_tradnl"/>
              </w:rPr>
            </w:pPr>
            <w:r w:rsidRPr="00AC19AC">
              <w:rPr>
                <w:rFonts w:ascii="Arial" w:eastAsia="Calibri" w:hAnsi="Arial" w:cs="Arial"/>
                <w:b/>
                <w:color w:val="000000" w:themeColor="text1"/>
                <w:sz w:val="22"/>
                <w:lang w:val="es-ES_tradnl"/>
              </w:rPr>
              <w:t>Radicación:</w:t>
            </w:r>
            <w:r w:rsidR="005B1504" w:rsidRPr="00AC19AC">
              <w:rPr>
                <w:rFonts w:ascii="Arial" w:eastAsia="Calibri" w:hAnsi="Arial" w:cs="Arial"/>
                <w:color w:val="000000" w:themeColor="text1"/>
                <w:sz w:val="22"/>
                <w:lang w:val="es-ES_tradnl"/>
              </w:rPr>
              <w:t xml:space="preserve">               </w:t>
            </w:r>
          </w:p>
        </w:tc>
        <w:tc>
          <w:tcPr>
            <w:tcW w:w="6100" w:type="dxa"/>
          </w:tcPr>
          <w:p w14:paraId="09088B1B" w14:textId="677487F4" w:rsidR="00B95C30" w:rsidRPr="00AC19AC" w:rsidRDefault="00B95C30" w:rsidP="00FF7134">
            <w:pPr>
              <w:spacing w:before="120"/>
              <w:jc w:val="both"/>
              <w:rPr>
                <w:rFonts w:ascii="Arial" w:eastAsia="Calibri" w:hAnsi="Arial" w:cs="Arial"/>
                <w:color w:val="000000" w:themeColor="text1"/>
                <w:sz w:val="22"/>
                <w:lang w:val="es-ES_tradnl"/>
              </w:rPr>
            </w:pPr>
            <w:r w:rsidRPr="00AC19AC">
              <w:rPr>
                <w:rFonts w:ascii="Arial" w:eastAsia="Calibri" w:hAnsi="Arial" w:cs="Arial"/>
                <w:color w:val="000000" w:themeColor="text1"/>
                <w:sz w:val="22"/>
                <w:lang w:val="es-ES_tradnl"/>
              </w:rPr>
              <w:t>Respuesta a consulta</w:t>
            </w:r>
            <w:r w:rsidR="00F21D6D" w:rsidRPr="00AC19AC">
              <w:rPr>
                <w:rFonts w:ascii="Arial" w:eastAsia="Calibri" w:hAnsi="Arial" w:cs="Arial"/>
                <w:color w:val="000000" w:themeColor="text1"/>
                <w:sz w:val="22"/>
                <w:lang w:val="es-ES_tradnl"/>
              </w:rPr>
              <w:t xml:space="preserve"> </w:t>
            </w:r>
            <w:r w:rsidR="007F120F" w:rsidRPr="00AC19AC">
              <w:rPr>
                <w:rFonts w:ascii="Arial" w:eastAsia="Calibri" w:hAnsi="Arial" w:cs="Arial"/>
                <w:color w:val="000000" w:themeColor="text1"/>
                <w:sz w:val="22"/>
              </w:rPr>
              <w:t>P20220412003707</w:t>
            </w:r>
          </w:p>
        </w:tc>
      </w:tr>
    </w:tbl>
    <w:p w14:paraId="234C0002" w14:textId="77777777" w:rsidR="005F5F37" w:rsidRPr="00AC19AC" w:rsidRDefault="005F5F37" w:rsidP="00E77523">
      <w:pPr>
        <w:jc w:val="both"/>
        <w:rPr>
          <w:rFonts w:ascii="Arial" w:eastAsia="Calibri" w:hAnsi="Arial" w:cs="Arial"/>
          <w:color w:val="000000" w:themeColor="text1"/>
          <w:sz w:val="22"/>
          <w:lang w:val="es-ES_tradnl"/>
        </w:rPr>
      </w:pPr>
    </w:p>
    <w:p w14:paraId="1EAE5543" w14:textId="1CAC64E6" w:rsidR="00DD5B04" w:rsidRPr="00AC19AC" w:rsidRDefault="003C3339" w:rsidP="00E77523">
      <w:pPr>
        <w:spacing w:before="240"/>
        <w:jc w:val="both"/>
        <w:rPr>
          <w:rFonts w:ascii="Arial" w:eastAsia="Calibri" w:hAnsi="Arial" w:cs="Arial"/>
          <w:color w:val="000000" w:themeColor="text1"/>
          <w:sz w:val="22"/>
          <w:lang w:val="es-ES_tradnl"/>
        </w:rPr>
      </w:pPr>
      <w:r w:rsidRPr="00AC19AC">
        <w:rPr>
          <w:rFonts w:ascii="Arial" w:eastAsia="Calibri" w:hAnsi="Arial" w:cs="Arial"/>
          <w:color w:val="000000" w:themeColor="text1"/>
          <w:sz w:val="22"/>
          <w:lang w:val="es-ES_tradnl"/>
        </w:rPr>
        <w:t>Estimad</w:t>
      </w:r>
      <w:r w:rsidR="00BD7E01" w:rsidRPr="00AC19AC">
        <w:rPr>
          <w:rFonts w:ascii="Arial" w:eastAsia="Calibri" w:hAnsi="Arial" w:cs="Arial"/>
          <w:color w:val="000000" w:themeColor="text1"/>
          <w:sz w:val="22"/>
          <w:lang w:val="es-ES_tradnl"/>
        </w:rPr>
        <w:t>a</w:t>
      </w:r>
      <w:r w:rsidRPr="00AC19AC">
        <w:rPr>
          <w:rFonts w:ascii="Arial" w:eastAsia="Calibri" w:hAnsi="Arial" w:cs="Arial"/>
          <w:color w:val="000000" w:themeColor="text1"/>
          <w:sz w:val="22"/>
          <w:lang w:val="es-ES_tradnl"/>
        </w:rPr>
        <w:t xml:space="preserve"> señor</w:t>
      </w:r>
      <w:r w:rsidR="00BD7E01" w:rsidRPr="00AC19AC">
        <w:rPr>
          <w:rFonts w:ascii="Arial" w:eastAsia="Calibri" w:hAnsi="Arial" w:cs="Arial"/>
          <w:color w:val="000000" w:themeColor="text1"/>
          <w:sz w:val="22"/>
          <w:lang w:val="es-ES_tradnl"/>
        </w:rPr>
        <w:t>a</w:t>
      </w:r>
      <w:r w:rsidR="00BF4EC5" w:rsidRPr="00AC19AC">
        <w:rPr>
          <w:rFonts w:ascii="Arial" w:eastAsia="Calibri" w:hAnsi="Arial" w:cs="Arial"/>
          <w:color w:val="000000" w:themeColor="text1"/>
          <w:sz w:val="22"/>
          <w:lang w:val="es-ES_tradnl"/>
        </w:rPr>
        <w:t xml:space="preserve"> </w:t>
      </w:r>
      <w:r w:rsidR="00BD7E01" w:rsidRPr="00AC19AC">
        <w:rPr>
          <w:rFonts w:ascii="Arial" w:eastAsia="Calibri" w:hAnsi="Arial" w:cs="Arial"/>
          <w:color w:val="000000" w:themeColor="text1"/>
          <w:sz w:val="22"/>
          <w:lang w:val="es-ES_tradnl"/>
        </w:rPr>
        <w:t>Mestra</w:t>
      </w:r>
      <w:r w:rsidR="008C3FFC" w:rsidRPr="00AC19AC">
        <w:rPr>
          <w:rFonts w:ascii="Arial" w:eastAsia="Calibri" w:hAnsi="Arial" w:cs="Arial"/>
          <w:color w:val="000000" w:themeColor="text1"/>
          <w:sz w:val="22"/>
          <w:lang w:val="es-ES_tradnl"/>
        </w:rPr>
        <w:t xml:space="preserve">: </w:t>
      </w:r>
    </w:p>
    <w:p w14:paraId="0C1E0712" w14:textId="767119FE" w:rsidR="00DD5B04" w:rsidRPr="00AC19AC" w:rsidRDefault="00DD5B04" w:rsidP="00E77523">
      <w:pPr>
        <w:spacing w:before="240" w:line="276" w:lineRule="auto"/>
        <w:jc w:val="both"/>
        <w:rPr>
          <w:rFonts w:ascii="Arial" w:eastAsia="Calibri" w:hAnsi="Arial" w:cs="Arial"/>
          <w:color w:val="000000" w:themeColor="text1"/>
          <w:sz w:val="22"/>
          <w:lang w:val="es-ES_tradnl"/>
        </w:rPr>
      </w:pPr>
      <w:r w:rsidRPr="00AC19AC">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B24D49" w:rsidRPr="00AC19AC">
        <w:rPr>
          <w:rFonts w:ascii="Arial MT" w:eastAsia="Arial MT" w:hAnsi="Arial MT" w:cs="Arial MT"/>
          <w:sz w:val="22"/>
          <w:lang w:val="es-ES"/>
        </w:rPr>
        <w:t xml:space="preserve"> </w:t>
      </w:r>
      <w:r w:rsidR="00B24D49" w:rsidRPr="00AC19AC">
        <w:rPr>
          <w:rFonts w:ascii="Arial" w:eastAsia="Calibri" w:hAnsi="Arial" w:cs="Arial"/>
          <w:color w:val="000000" w:themeColor="text1"/>
          <w:sz w:val="22"/>
          <w:lang w:val="es-ES"/>
        </w:rPr>
        <w:t>y dentro de los términos establecidos en el artículo 14 de la Ley 1437 de 2011</w:t>
      </w:r>
      <w:r w:rsidR="007917AD" w:rsidRPr="00AC19AC">
        <w:rPr>
          <w:rFonts w:ascii="Arial" w:eastAsia="Calibri" w:hAnsi="Arial" w:cs="Arial"/>
          <w:color w:val="000000" w:themeColor="text1"/>
          <w:sz w:val="22"/>
          <w:lang w:val="es-ES"/>
        </w:rPr>
        <w:t>,</w:t>
      </w:r>
      <w:r w:rsidRPr="00AC19AC">
        <w:rPr>
          <w:rFonts w:ascii="Arial" w:eastAsia="Calibri" w:hAnsi="Arial" w:cs="Arial"/>
          <w:color w:val="000000" w:themeColor="text1"/>
          <w:sz w:val="22"/>
          <w:lang w:val="es-ES_tradnl"/>
        </w:rPr>
        <w:t xml:space="preserve"> la Agencia Nacional de Contratación Pública ― Colombia Compra Eficiente</w:t>
      </w:r>
      <w:r w:rsidR="00CE69CC" w:rsidRPr="00AC19AC">
        <w:rPr>
          <w:rFonts w:ascii="Arial" w:eastAsia="Calibri" w:hAnsi="Arial" w:cs="Arial"/>
          <w:color w:val="000000" w:themeColor="text1"/>
          <w:sz w:val="22"/>
          <w:lang w:val="es-ES_tradnl"/>
        </w:rPr>
        <w:t xml:space="preserve">, </w:t>
      </w:r>
      <w:r w:rsidRPr="00AC19AC">
        <w:rPr>
          <w:rFonts w:ascii="Arial" w:eastAsia="Calibri" w:hAnsi="Arial" w:cs="Arial"/>
          <w:color w:val="000000" w:themeColor="text1"/>
          <w:sz w:val="22"/>
          <w:lang w:val="es-ES_tradnl"/>
        </w:rPr>
        <w:t>responde su consulta</w:t>
      </w:r>
      <w:r w:rsidR="00E8414B" w:rsidRPr="00AC19AC">
        <w:rPr>
          <w:rFonts w:ascii="Arial" w:eastAsia="Calibri" w:hAnsi="Arial" w:cs="Arial"/>
          <w:color w:val="000000" w:themeColor="text1"/>
          <w:sz w:val="22"/>
          <w:lang w:val="es-ES_tradnl"/>
        </w:rPr>
        <w:t xml:space="preserve"> </w:t>
      </w:r>
      <w:r w:rsidRPr="00AC19AC">
        <w:rPr>
          <w:rFonts w:ascii="Arial" w:eastAsia="Calibri" w:hAnsi="Arial" w:cs="Arial"/>
          <w:color w:val="000000" w:themeColor="text1"/>
          <w:sz w:val="22"/>
          <w:lang w:val="es-ES_tradnl"/>
        </w:rPr>
        <w:t xml:space="preserve">del </w:t>
      </w:r>
      <w:r w:rsidR="008843C0" w:rsidRPr="00AC19AC">
        <w:rPr>
          <w:rFonts w:ascii="Arial" w:eastAsia="Calibri" w:hAnsi="Arial" w:cs="Arial"/>
          <w:color w:val="000000" w:themeColor="text1"/>
          <w:sz w:val="22"/>
          <w:lang w:val="es-ES_tradnl"/>
        </w:rPr>
        <w:t>12</w:t>
      </w:r>
      <w:r w:rsidR="008C3FFC" w:rsidRPr="00AC19AC">
        <w:rPr>
          <w:rFonts w:ascii="Arial" w:eastAsia="Calibri" w:hAnsi="Arial" w:cs="Arial"/>
          <w:color w:val="000000" w:themeColor="text1"/>
          <w:sz w:val="22"/>
          <w:lang w:val="es-ES_tradnl"/>
        </w:rPr>
        <w:t xml:space="preserve"> </w:t>
      </w:r>
      <w:r w:rsidR="00F21D6D" w:rsidRPr="00AC19AC">
        <w:rPr>
          <w:rFonts w:ascii="Arial" w:eastAsia="Calibri" w:hAnsi="Arial" w:cs="Arial"/>
          <w:color w:val="000000" w:themeColor="text1"/>
          <w:sz w:val="22"/>
          <w:lang w:val="es-ES_tradnl"/>
        </w:rPr>
        <w:t xml:space="preserve">de </w:t>
      </w:r>
      <w:r w:rsidR="008843C0" w:rsidRPr="00AC19AC">
        <w:rPr>
          <w:rFonts w:ascii="Arial" w:eastAsia="Calibri" w:hAnsi="Arial" w:cs="Arial"/>
          <w:color w:val="000000" w:themeColor="text1"/>
          <w:sz w:val="22"/>
          <w:lang w:val="es-ES_tradnl"/>
        </w:rPr>
        <w:t>abril</w:t>
      </w:r>
      <w:r w:rsidR="00F21D6D" w:rsidRPr="00AC19AC">
        <w:rPr>
          <w:rFonts w:ascii="Arial" w:eastAsia="Calibri" w:hAnsi="Arial" w:cs="Arial"/>
          <w:color w:val="000000" w:themeColor="text1"/>
          <w:sz w:val="22"/>
          <w:lang w:val="es-ES_tradnl"/>
        </w:rPr>
        <w:t xml:space="preserve"> </w:t>
      </w:r>
      <w:r w:rsidR="00990BC7" w:rsidRPr="00AC19AC">
        <w:rPr>
          <w:rFonts w:ascii="Arial" w:eastAsia="Calibri" w:hAnsi="Arial" w:cs="Arial"/>
          <w:color w:val="000000" w:themeColor="text1"/>
          <w:sz w:val="22"/>
          <w:lang w:val="es-ES_tradnl"/>
        </w:rPr>
        <w:t xml:space="preserve">de </w:t>
      </w:r>
      <w:r w:rsidR="00F21D6D" w:rsidRPr="00AC19AC">
        <w:rPr>
          <w:rFonts w:ascii="Arial" w:eastAsia="Calibri" w:hAnsi="Arial" w:cs="Arial"/>
          <w:color w:val="000000" w:themeColor="text1"/>
          <w:sz w:val="22"/>
          <w:lang w:val="es-ES_tradnl"/>
        </w:rPr>
        <w:t>202</w:t>
      </w:r>
      <w:r w:rsidR="00BF4EC5" w:rsidRPr="00AC19AC">
        <w:rPr>
          <w:rFonts w:ascii="Arial" w:eastAsia="Calibri" w:hAnsi="Arial" w:cs="Arial"/>
          <w:color w:val="000000" w:themeColor="text1"/>
          <w:sz w:val="22"/>
          <w:lang w:val="es-ES_tradnl"/>
        </w:rPr>
        <w:t>2</w:t>
      </w:r>
      <w:r w:rsidR="00F21D6D" w:rsidRPr="00AC19AC">
        <w:rPr>
          <w:rFonts w:ascii="Arial" w:eastAsia="Calibri" w:hAnsi="Arial" w:cs="Arial"/>
          <w:color w:val="000000" w:themeColor="text1"/>
          <w:sz w:val="22"/>
          <w:lang w:val="es-ES_tradnl"/>
        </w:rPr>
        <w:t>.</w:t>
      </w:r>
    </w:p>
    <w:p w14:paraId="224B43D3" w14:textId="213EA6B5" w:rsidR="00DD5B04" w:rsidRPr="00AC19AC" w:rsidRDefault="00DD5B04" w:rsidP="00E77523">
      <w:pPr>
        <w:pStyle w:val="Prrafodelista"/>
        <w:numPr>
          <w:ilvl w:val="0"/>
          <w:numId w:val="8"/>
        </w:numPr>
        <w:tabs>
          <w:tab w:val="left" w:pos="0"/>
          <w:tab w:val="left" w:pos="142"/>
          <w:tab w:val="left" w:pos="284"/>
        </w:tabs>
        <w:spacing w:before="240" w:line="276" w:lineRule="auto"/>
        <w:ind w:left="0" w:firstLine="0"/>
        <w:jc w:val="both"/>
        <w:rPr>
          <w:rFonts w:ascii="Arial" w:eastAsia="Calibri" w:hAnsi="Arial" w:cs="Arial"/>
          <w:b/>
          <w:color w:val="000000" w:themeColor="text1"/>
          <w:sz w:val="22"/>
          <w:lang w:val="es-ES_tradnl"/>
        </w:rPr>
      </w:pPr>
      <w:r w:rsidRPr="00AC19AC">
        <w:rPr>
          <w:rFonts w:ascii="Arial" w:eastAsia="Calibri" w:hAnsi="Arial" w:cs="Arial"/>
          <w:b/>
          <w:color w:val="000000" w:themeColor="text1"/>
          <w:sz w:val="22"/>
          <w:lang w:val="es-ES_tradnl"/>
        </w:rPr>
        <w:t xml:space="preserve">Problema planteado </w:t>
      </w:r>
    </w:p>
    <w:p w14:paraId="6DBBF65B" w14:textId="7B8E2FD6" w:rsidR="00855F52" w:rsidRPr="00AC19AC" w:rsidRDefault="00653FD4" w:rsidP="00E77523">
      <w:pPr>
        <w:spacing w:before="240" w:line="276" w:lineRule="auto"/>
        <w:jc w:val="both"/>
        <w:rPr>
          <w:rFonts w:ascii="Arial" w:hAnsi="Arial" w:cs="Arial"/>
          <w:sz w:val="22"/>
          <w:szCs w:val="22"/>
          <w:lang w:val="es-ES_tradnl"/>
        </w:rPr>
      </w:pPr>
      <w:r w:rsidRPr="00AC19AC">
        <w:rPr>
          <w:rFonts w:ascii="Arial" w:hAnsi="Arial" w:cs="Arial"/>
          <w:sz w:val="22"/>
          <w:szCs w:val="22"/>
          <w:lang w:val="es-ES_tradnl"/>
        </w:rPr>
        <w:t>Usted formula la siguiente consulta</w:t>
      </w:r>
    </w:p>
    <w:p w14:paraId="3B7980AE" w14:textId="189D6C9C" w:rsidR="00855F52" w:rsidRPr="00AC19AC" w:rsidRDefault="000037D0" w:rsidP="00E77523">
      <w:pPr>
        <w:spacing w:before="240"/>
        <w:ind w:left="709" w:right="851"/>
        <w:jc w:val="both"/>
        <w:rPr>
          <w:rFonts w:ascii="Arial" w:eastAsia="Calibri" w:hAnsi="Arial" w:cs="Arial"/>
          <w:color w:val="000000" w:themeColor="text1"/>
          <w:sz w:val="21"/>
          <w:szCs w:val="21"/>
          <w:lang w:eastAsia="es-CO"/>
        </w:rPr>
      </w:pPr>
      <w:bookmarkStart w:id="5" w:name="_Hlk99125763"/>
      <w:r w:rsidRPr="00AC19AC">
        <w:rPr>
          <w:rFonts w:ascii="Arial" w:hAnsi="Arial" w:cs="Arial"/>
          <w:iCs/>
          <w:color w:val="000000" w:themeColor="text1"/>
          <w:sz w:val="21"/>
          <w:szCs w:val="21"/>
          <w:lang w:val="es-ES_tradnl"/>
        </w:rPr>
        <w:t>«</w:t>
      </w:r>
      <w:bookmarkEnd w:id="5"/>
      <w:r w:rsidR="00855F52" w:rsidRPr="00AC19AC">
        <w:rPr>
          <w:rFonts w:ascii="Arial" w:hAnsi="Arial" w:cs="Arial"/>
          <w:sz w:val="21"/>
          <w:szCs w:val="21"/>
        </w:rPr>
        <w:t>[…]</w:t>
      </w:r>
      <w:r w:rsidR="00855F52" w:rsidRPr="00AC19AC">
        <w:rPr>
          <w:rFonts w:ascii="Arial" w:hAnsi="Arial" w:cs="Arial"/>
          <w:color w:val="000000"/>
          <w:sz w:val="21"/>
          <w:szCs w:val="21"/>
        </w:rPr>
        <w:t xml:space="preserve"> </w:t>
      </w:r>
      <w:r w:rsidR="00855F52" w:rsidRPr="00AC19AC">
        <w:rPr>
          <w:rFonts w:ascii="Arial" w:eastAsia="Calibri" w:hAnsi="Arial" w:cs="Arial"/>
          <w:color w:val="000000" w:themeColor="text1"/>
          <w:sz w:val="21"/>
          <w:szCs w:val="21"/>
          <w:lang w:eastAsia="es-CO"/>
        </w:rPr>
        <w:t xml:space="preserve">Sírvase indicar si el precepto normativo reseñado debe ser aplicado en el marco de contratos interadministrativo </w:t>
      </w:r>
      <w:r w:rsidR="0083218B" w:rsidRPr="00AC19AC">
        <w:rPr>
          <w:rFonts w:ascii="Arial" w:eastAsia="Calibri" w:hAnsi="Arial" w:cs="Arial"/>
          <w:color w:val="000000" w:themeColor="text1"/>
          <w:sz w:val="21"/>
          <w:szCs w:val="21"/>
          <w:lang w:eastAsia="es-CO"/>
        </w:rPr>
        <w:t xml:space="preserve">–sic- </w:t>
      </w:r>
      <w:r w:rsidR="00855F52" w:rsidRPr="00AC19AC">
        <w:rPr>
          <w:rFonts w:ascii="Arial" w:eastAsia="Calibri" w:hAnsi="Arial" w:cs="Arial"/>
          <w:color w:val="000000" w:themeColor="text1"/>
          <w:sz w:val="21"/>
          <w:szCs w:val="21"/>
          <w:lang w:eastAsia="es-CO"/>
        </w:rPr>
        <w:t xml:space="preserve">entre dos entidades estatales, cuya ejecución implica la creación de un patrimonio autónomo a través de cual se contratarán diversos bienes servicios y obras. </w:t>
      </w:r>
    </w:p>
    <w:p w14:paraId="5A9E4F83" w14:textId="703B6CAF" w:rsidR="00991805" w:rsidRPr="00AC19AC" w:rsidRDefault="00855F52" w:rsidP="00E77523">
      <w:pPr>
        <w:spacing w:before="240"/>
        <w:ind w:left="709" w:right="851"/>
        <w:jc w:val="both"/>
        <w:rPr>
          <w:rFonts w:ascii="Arial" w:hAnsi="Arial" w:cs="Arial"/>
          <w:color w:val="000000" w:themeColor="text1"/>
          <w:sz w:val="21"/>
          <w:szCs w:val="21"/>
          <w:lang w:val="es-ES"/>
        </w:rPr>
      </w:pPr>
      <w:r w:rsidRPr="00AC19AC">
        <w:rPr>
          <w:rFonts w:ascii="Arial" w:eastAsia="Calibri" w:hAnsi="Arial" w:cs="Arial"/>
          <w:color w:val="000000" w:themeColor="text1"/>
          <w:sz w:val="21"/>
          <w:szCs w:val="21"/>
          <w:lang w:eastAsia="es-CO"/>
        </w:rPr>
        <w:t xml:space="preserve">La información es requerida como insumo para un estudio adelantado en relación con a </w:t>
      </w:r>
      <w:r w:rsidR="0083218B" w:rsidRPr="00AC19AC">
        <w:rPr>
          <w:rFonts w:ascii="Arial" w:eastAsia="Calibri" w:hAnsi="Arial" w:cs="Arial"/>
          <w:color w:val="000000" w:themeColor="text1"/>
          <w:sz w:val="21"/>
          <w:szCs w:val="21"/>
          <w:lang w:eastAsia="es-CO"/>
        </w:rPr>
        <w:t xml:space="preserve">–sic- </w:t>
      </w:r>
      <w:r w:rsidRPr="00AC19AC">
        <w:rPr>
          <w:rFonts w:ascii="Arial" w:eastAsia="Calibri" w:hAnsi="Arial" w:cs="Arial"/>
          <w:color w:val="000000" w:themeColor="text1"/>
          <w:sz w:val="21"/>
          <w:szCs w:val="21"/>
          <w:lang w:eastAsia="es-CO"/>
        </w:rPr>
        <w:t xml:space="preserve">contratos o convenios interadministrativo </w:t>
      </w:r>
      <w:r w:rsidR="0083218B" w:rsidRPr="00AC19AC">
        <w:rPr>
          <w:rFonts w:ascii="Arial" w:eastAsia="Calibri" w:hAnsi="Arial" w:cs="Arial"/>
          <w:color w:val="000000" w:themeColor="text1"/>
          <w:sz w:val="21"/>
          <w:szCs w:val="21"/>
          <w:lang w:eastAsia="es-CO"/>
        </w:rPr>
        <w:t xml:space="preserve">–sic- </w:t>
      </w:r>
      <w:r w:rsidRPr="00AC19AC">
        <w:rPr>
          <w:rFonts w:ascii="Arial" w:eastAsia="Calibri" w:hAnsi="Arial" w:cs="Arial"/>
          <w:color w:val="000000" w:themeColor="text1"/>
          <w:sz w:val="21"/>
          <w:szCs w:val="21"/>
          <w:lang w:eastAsia="es-CO"/>
        </w:rPr>
        <w:t>entre entidades Estatales o patrimonios autónomos o con personas naturales o jurídicas de derecho privado.</w:t>
      </w:r>
      <w:r w:rsidR="00653FD4" w:rsidRPr="00AC19AC">
        <w:rPr>
          <w:rFonts w:ascii="Arial" w:eastAsia="Calibri" w:hAnsi="Arial" w:cs="Arial"/>
          <w:sz w:val="21"/>
          <w:szCs w:val="21"/>
          <w:lang w:val="es-ES"/>
        </w:rPr>
        <w:t>»</w:t>
      </w:r>
    </w:p>
    <w:p w14:paraId="7FB25649" w14:textId="2C3EEAD7" w:rsidR="00E07AAA" w:rsidRPr="00AC19AC" w:rsidRDefault="00DD5B04" w:rsidP="0083218B">
      <w:pPr>
        <w:pStyle w:val="Prrafodelista"/>
        <w:numPr>
          <w:ilvl w:val="0"/>
          <w:numId w:val="8"/>
        </w:numPr>
        <w:tabs>
          <w:tab w:val="left" w:pos="0"/>
          <w:tab w:val="left" w:pos="284"/>
        </w:tabs>
        <w:spacing w:before="240"/>
        <w:ind w:left="0" w:firstLine="0"/>
        <w:jc w:val="both"/>
        <w:rPr>
          <w:rFonts w:ascii="Arial" w:eastAsia="Calibri" w:hAnsi="Arial" w:cs="Arial"/>
          <w:b/>
          <w:color w:val="000000" w:themeColor="text1"/>
          <w:sz w:val="22"/>
          <w:lang w:val="es-ES_tradnl"/>
        </w:rPr>
      </w:pPr>
      <w:r w:rsidRPr="00AC19AC">
        <w:rPr>
          <w:rFonts w:ascii="Arial" w:eastAsia="Calibri" w:hAnsi="Arial" w:cs="Arial"/>
          <w:b/>
          <w:color w:val="000000" w:themeColor="text1"/>
          <w:sz w:val="22"/>
          <w:lang w:val="es-ES_tradnl"/>
        </w:rPr>
        <w:lastRenderedPageBreak/>
        <w:t>Consideraciones</w:t>
      </w:r>
    </w:p>
    <w:p w14:paraId="21C1A81C" w14:textId="6BFF113E" w:rsidR="00014207" w:rsidRPr="00AC19AC" w:rsidRDefault="00014207" w:rsidP="00AC19AC">
      <w:pPr>
        <w:spacing w:before="120" w:line="276" w:lineRule="auto"/>
        <w:jc w:val="both"/>
        <w:rPr>
          <w:rFonts w:ascii="Arial" w:hAnsi="Arial" w:cs="Arial"/>
          <w:bCs/>
          <w:sz w:val="22"/>
        </w:rPr>
      </w:pPr>
      <w:r w:rsidRPr="00AC19AC">
        <w:rPr>
          <w:rFonts w:ascii="Arial" w:hAnsi="Arial" w:cs="Arial"/>
          <w:sz w:val="22"/>
          <w:lang w:val="es-ES"/>
        </w:rPr>
        <w:t xml:space="preserve">Es necesario tener en cuenta que esta entidad solo tiene competencia para responder solicitudes sobre la aplicación de normas de carácter general en materia de compras y contratación pública. En ese sentido, resolver casos </w:t>
      </w:r>
      <w:r w:rsidR="005E7FC2" w:rsidRPr="00AC19AC">
        <w:rPr>
          <w:rFonts w:ascii="Arial" w:hAnsi="Arial" w:cs="Arial"/>
          <w:sz w:val="22"/>
          <w:lang w:val="es-ES"/>
        </w:rPr>
        <w:t>particulares</w:t>
      </w:r>
      <w:r w:rsidRPr="00AC19AC">
        <w:rPr>
          <w:rFonts w:ascii="Arial" w:hAnsi="Arial" w:cs="Arial"/>
          <w:sz w:val="22"/>
          <w:lang w:val="es-ES"/>
        </w:rPr>
        <w:t xml:space="preserve"> desborda las atribuciones asignadas por el legislador extraordinario, que no concibió a Colombia Compra Eficiente como una autoridad para solucionar problemas jurídicos particulares</w:t>
      </w:r>
      <w:r w:rsidR="005E7FC2" w:rsidRPr="00AC19AC">
        <w:rPr>
          <w:rFonts w:ascii="Arial" w:hAnsi="Arial" w:cs="Arial"/>
          <w:sz w:val="22"/>
          <w:lang w:val="es-ES"/>
        </w:rPr>
        <w:t xml:space="preserve"> de todos los partícipes del sistema de compra pública</w:t>
      </w:r>
      <w:r w:rsidRPr="00AC19AC">
        <w:rPr>
          <w:rFonts w:ascii="Arial" w:hAnsi="Arial" w:cs="Arial"/>
          <w:bCs/>
          <w:sz w:val="22"/>
        </w:rPr>
        <w:t>.</w:t>
      </w:r>
    </w:p>
    <w:p w14:paraId="1D5AFBBD" w14:textId="628AD5FD" w:rsidR="00014207" w:rsidRPr="00AC19AC" w:rsidRDefault="00014207" w:rsidP="00AC19AC">
      <w:pPr>
        <w:spacing w:before="120" w:line="276" w:lineRule="auto"/>
        <w:ind w:firstLine="709"/>
        <w:jc w:val="both"/>
        <w:rPr>
          <w:rFonts w:ascii="Arial" w:eastAsia="Calibri" w:hAnsi="Arial" w:cs="Arial"/>
          <w:color w:val="161616" w:themeColor="background1" w:themeShade="1A"/>
          <w:sz w:val="22"/>
          <w:szCs w:val="22"/>
          <w:lang w:val="es-ES_tradnl"/>
        </w:rPr>
      </w:pPr>
      <w:r w:rsidRPr="00AC19AC">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AC19AC">
        <w:rPr>
          <w:rStyle w:val="Refdenotaalpie"/>
          <w:rFonts w:ascii="Arial" w:hAnsi="Arial" w:cs="Arial"/>
          <w:sz w:val="22"/>
          <w:lang w:val="es-ES"/>
        </w:rPr>
        <w:footnoteReference w:id="2"/>
      </w:r>
      <w:r w:rsidRPr="00AC19AC">
        <w:rPr>
          <w:rFonts w:ascii="Arial" w:hAnsi="Arial" w:cs="Arial"/>
          <w:sz w:val="22"/>
          <w:lang w:val="es-ES"/>
        </w:rPr>
        <w:t xml:space="preserve">. Esta competencia de interpretación de normas generales, por definición, no puede extenderse a la resolución de controversias, ni a brindar asesorías sobre casos puntuales. </w:t>
      </w:r>
    </w:p>
    <w:p w14:paraId="467832AA" w14:textId="77777777" w:rsidR="00014207" w:rsidRPr="00AC19AC" w:rsidRDefault="00014207" w:rsidP="00AC19AC">
      <w:pPr>
        <w:tabs>
          <w:tab w:val="left" w:pos="426"/>
        </w:tabs>
        <w:spacing w:before="120" w:line="276" w:lineRule="auto"/>
        <w:ind w:firstLine="709"/>
        <w:jc w:val="both"/>
        <w:rPr>
          <w:rFonts w:ascii="Arial" w:hAnsi="Arial" w:cs="Arial"/>
          <w:color w:val="161616" w:themeColor="background1" w:themeShade="1A"/>
          <w:sz w:val="22"/>
          <w:szCs w:val="22"/>
          <w:lang w:val="es-ES_tradnl"/>
        </w:rPr>
      </w:pPr>
      <w:r w:rsidRPr="00AC19AC">
        <w:rPr>
          <w:rFonts w:ascii="Arial" w:eastAsia="Calibri" w:hAnsi="Arial" w:cs="Arial"/>
          <w:color w:val="161616" w:themeColor="background1" w:themeShade="1A"/>
          <w:sz w:val="22"/>
          <w:szCs w:val="22"/>
          <w:lang w:val="es-ES_tradnl"/>
        </w:rPr>
        <w:t xml:space="preserve">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 En otras palabras, los conceptos de esta Agencia tienen como objeto la interpretación de normas de carácter general, esto es, del ordenamiento jurídico en abstracto, no la resolución de controversias o la asesoría para casos concretos, de acuerdo con lo indicado respecto a las normas que otorgan competencia consultiva a esta Subdirección. Además, no son vinculantes o </w:t>
      </w:r>
      <w:r w:rsidRPr="00AC19AC">
        <w:rPr>
          <w:rFonts w:ascii="Arial" w:eastAsia="Arial" w:hAnsi="Arial" w:cs="Arial"/>
          <w:color w:val="161616" w:themeColor="background1" w:themeShade="1A"/>
          <w:sz w:val="22"/>
          <w:szCs w:val="22"/>
          <w:lang w:val="es-ES_tradnl"/>
        </w:rPr>
        <w:t>de obligatorio cumplimiento para el destinatario, sino que expresan la posición interpretativa del ente que elabora el concepto.</w:t>
      </w:r>
    </w:p>
    <w:p w14:paraId="2CE0BD83" w14:textId="33456DFC" w:rsidR="00031AD9" w:rsidRPr="00AC19AC" w:rsidRDefault="00B04A56" w:rsidP="00AC19AC">
      <w:pPr>
        <w:spacing w:before="120" w:line="276" w:lineRule="auto"/>
        <w:ind w:firstLine="709"/>
        <w:jc w:val="both"/>
        <w:rPr>
          <w:rFonts w:ascii="Arial" w:eastAsia="Calibri" w:hAnsi="Arial" w:cs="Arial"/>
          <w:sz w:val="22"/>
          <w:szCs w:val="22"/>
          <w:lang w:val="es-ES_tradnl"/>
        </w:rPr>
      </w:pPr>
      <w:r w:rsidRPr="00AC19AC">
        <w:rPr>
          <w:rFonts w:ascii="Arial" w:eastAsia="Calibri" w:hAnsi="Arial" w:cs="Arial"/>
          <w:color w:val="000000" w:themeColor="text1"/>
          <w:sz w:val="22"/>
          <w:lang w:val="es-ES_tradnl"/>
        </w:rPr>
        <w:t xml:space="preserve">Sin perjuicio de lo anterior, la Agencia –dentro de los límites de sus atribuciones– resolverá la consulta conforme a las normas generales en materia de contratación estatal. </w:t>
      </w:r>
      <w:r w:rsidRPr="00AC19AC">
        <w:rPr>
          <w:rFonts w:ascii="Arial" w:eastAsia="Calibri" w:hAnsi="Arial" w:cs="Arial"/>
          <w:sz w:val="22"/>
          <w:szCs w:val="22"/>
          <w:lang w:val="es-ES_tradnl" w:eastAsia="en-US"/>
        </w:rPr>
        <w:t>En este sentido, p</w:t>
      </w:r>
      <w:r w:rsidR="005A3A52" w:rsidRPr="00AC19AC">
        <w:rPr>
          <w:rFonts w:ascii="Arial" w:hAnsi="Arial" w:cs="Arial"/>
          <w:sz w:val="22"/>
          <w:szCs w:val="22"/>
        </w:rPr>
        <w:t>ara resolver su consulta se desarrollarán los siguientes temas:</w:t>
      </w:r>
      <w:r w:rsidR="00C3543E" w:rsidRPr="00AC19AC">
        <w:rPr>
          <w:rFonts w:ascii="Arial" w:eastAsia="Calibri" w:hAnsi="Arial" w:cs="Arial"/>
          <w:bCs/>
          <w:color w:val="000000" w:themeColor="text1"/>
          <w:sz w:val="22"/>
        </w:rPr>
        <w:t xml:space="preserve"> </w:t>
      </w:r>
      <w:r w:rsidR="00031AD9" w:rsidRPr="00AC19AC">
        <w:rPr>
          <w:rFonts w:ascii="Arial" w:eastAsia="Calibri" w:hAnsi="Arial" w:cs="Arial"/>
          <w:sz w:val="22"/>
          <w:szCs w:val="22"/>
          <w:lang w:val="es-ES_tradnl"/>
        </w:rPr>
        <w:t>i) fundamento normativo y ámbito de aplicación de los documentos tipo</w:t>
      </w:r>
      <w:r w:rsidR="00DE3F23" w:rsidRPr="00AC19AC">
        <w:rPr>
          <w:rFonts w:ascii="Arial" w:eastAsia="Calibri" w:hAnsi="Arial" w:cs="Arial"/>
          <w:sz w:val="22"/>
          <w:szCs w:val="22"/>
          <w:lang w:val="es-ES_tradnl"/>
        </w:rPr>
        <w:t>,</w:t>
      </w:r>
      <w:r w:rsidR="002C0471" w:rsidRPr="00AC19AC">
        <w:rPr>
          <w:rFonts w:ascii="Arial" w:eastAsia="Calibri" w:hAnsi="Arial" w:cs="Arial"/>
          <w:sz w:val="22"/>
          <w:szCs w:val="22"/>
          <w:lang w:val="es-ES_tradnl"/>
        </w:rPr>
        <w:t xml:space="preserve"> y</w:t>
      </w:r>
      <w:r w:rsidR="00DE3F23" w:rsidRPr="00AC19AC">
        <w:rPr>
          <w:rFonts w:ascii="Arial" w:eastAsia="Calibri" w:hAnsi="Arial" w:cs="Arial"/>
          <w:sz w:val="22"/>
          <w:szCs w:val="22"/>
          <w:lang w:val="es-ES_tradnl"/>
        </w:rPr>
        <w:t xml:space="preserve"> </w:t>
      </w:r>
      <w:r w:rsidR="00031AD9" w:rsidRPr="00AC19AC">
        <w:rPr>
          <w:rFonts w:ascii="Arial" w:eastAsia="Calibri" w:hAnsi="Arial" w:cs="Arial"/>
          <w:sz w:val="22"/>
          <w:szCs w:val="22"/>
          <w:lang w:val="es-ES_tradnl"/>
        </w:rPr>
        <w:t>ii)</w:t>
      </w:r>
      <w:r w:rsidR="00031AD9" w:rsidRPr="00AC19AC">
        <w:rPr>
          <w:rFonts w:ascii="Arial" w:hAnsi="Arial" w:cs="Arial"/>
          <w:lang w:val="es-ES_tradnl"/>
        </w:rPr>
        <w:t xml:space="preserve"> </w:t>
      </w:r>
      <w:r w:rsidR="00031AD9" w:rsidRPr="00AC19AC">
        <w:rPr>
          <w:rFonts w:ascii="Arial" w:eastAsia="Calibri" w:hAnsi="Arial" w:cs="Arial"/>
          <w:sz w:val="22"/>
          <w:szCs w:val="22"/>
          <w:lang w:val="es-ES_tradnl"/>
        </w:rPr>
        <w:t>alcance del artículo 56 de la Ley 2195 de 2022 frente a la</w:t>
      </w:r>
      <w:r w:rsidR="005E7FC2" w:rsidRPr="00AC19AC">
        <w:rPr>
          <w:rFonts w:ascii="Arial" w:eastAsia="Calibri" w:hAnsi="Arial" w:cs="Arial"/>
          <w:sz w:val="22"/>
          <w:szCs w:val="22"/>
          <w:lang w:val="es-ES_tradnl"/>
        </w:rPr>
        <w:t xml:space="preserve"> eventual</w:t>
      </w:r>
      <w:r w:rsidR="00031AD9" w:rsidRPr="00AC19AC">
        <w:rPr>
          <w:rFonts w:ascii="Arial" w:eastAsia="Calibri" w:hAnsi="Arial" w:cs="Arial"/>
          <w:sz w:val="22"/>
          <w:szCs w:val="22"/>
          <w:lang w:val="es-ES_tradnl"/>
        </w:rPr>
        <w:t xml:space="preserve"> implementación obligatoria del Estatuto General de Contratación de la Administración Pública y de los documentos tipo en la contratación de las entidades estatales exceptuadas</w:t>
      </w:r>
      <w:r w:rsidR="005E7FC2" w:rsidRPr="00AC19AC">
        <w:rPr>
          <w:rFonts w:ascii="Arial" w:eastAsia="Calibri" w:hAnsi="Arial" w:cs="Arial"/>
          <w:sz w:val="22"/>
          <w:szCs w:val="22"/>
          <w:lang w:val="es-ES_tradnl"/>
        </w:rPr>
        <w:t>, patrimonios autónomos y</w:t>
      </w:r>
      <w:r w:rsidR="00031AD9" w:rsidRPr="00AC19AC">
        <w:rPr>
          <w:rFonts w:ascii="Arial" w:eastAsia="Calibri" w:hAnsi="Arial" w:cs="Arial"/>
          <w:sz w:val="22"/>
          <w:szCs w:val="22"/>
          <w:lang w:val="es-ES_tradnl"/>
        </w:rPr>
        <w:t xml:space="preserve"> particulares</w:t>
      </w:r>
      <w:r w:rsidR="00DE3F23" w:rsidRPr="00AC19AC">
        <w:rPr>
          <w:rFonts w:ascii="Arial" w:eastAsia="Calibri" w:hAnsi="Arial" w:cs="Arial"/>
          <w:bCs/>
          <w:sz w:val="22"/>
          <w:lang w:val="es-ES_tradnl"/>
        </w:rPr>
        <w:t>.</w:t>
      </w:r>
    </w:p>
    <w:p w14:paraId="290CD33A" w14:textId="77777777" w:rsidR="00665374" w:rsidRPr="00AC19AC" w:rsidRDefault="00031AD9" w:rsidP="00AC19AC">
      <w:pPr>
        <w:spacing w:before="120" w:line="276" w:lineRule="auto"/>
        <w:ind w:firstLine="709"/>
        <w:jc w:val="both"/>
        <w:rPr>
          <w:rFonts w:ascii="Arial" w:eastAsia="Calibri" w:hAnsi="Arial" w:cs="Arial"/>
          <w:color w:val="000000"/>
          <w:sz w:val="22"/>
          <w:szCs w:val="22"/>
          <w:lang w:val="es-ES_tradnl"/>
        </w:rPr>
      </w:pPr>
      <w:r w:rsidRPr="00AC19AC">
        <w:rPr>
          <w:rFonts w:ascii="Arial" w:hAnsi="Arial" w:cs="Arial"/>
          <w:noProof/>
          <w:sz w:val="22"/>
          <w:lang w:val="es-ES_tradnl"/>
        </w:rPr>
        <w:lastRenderedPageBreak/>
        <w:t xml:space="preserve">La Agencia Nacional de Contratación Pública – Colombia Compra Eficiente se ha pronunciado sobre el ámbito de aplicación de </w:t>
      </w:r>
      <w:r w:rsidRPr="00AC19AC">
        <w:rPr>
          <w:rFonts w:ascii="Arial" w:eastAsia="Arial" w:hAnsi="Arial" w:cs="Arial"/>
          <w:sz w:val="22"/>
          <w:lang w:val="es-ES_tradnl"/>
        </w:rPr>
        <w:t xml:space="preserve">los documentos tipo en la contratación estatal, entre otros, en los siguientes conceptos: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w:t>
      </w:r>
      <w:r w:rsidR="00665374" w:rsidRPr="00AC19AC">
        <w:rPr>
          <w:rFonts w:ascii="Arial" w:eastAsia="Calibri" w:hAnsi="Arial" w:cs="Arial"/>
          <w:color w:val="000000"/>
          <w:sz w:val="22"/>
          <w:szCs w:val="22"/>
          <w:lang w:val="es-ES_tradnl"/>
        </w:rPr>
        <w:t xml:space="preserve">C-645 del 6 de noviembre de 2020, C-673 del 11 de noviembre de 2020, C-692 del 27 de noviembre de 2020, </w:t>
      </w:r>
      <w:r w:rsidRPr="00AC19AC">
        <w:rPr>
          <w:rFonts w:ascii="Arial" w:eastAsia="Arial" w:hAnsi="Arial" w:cs="Arial"/>
          <w:sz w:val="22"/>
          <w:lang w:val="es-ES_tradnl"/>
        </w:rPr>
        <w:t>C-</w:t>
      </w:r>
      <w:r w:rsidR="00665374" w:rsidRPr="00AC19AC">
        <w:rPr>
          <w:rFonts w:ascii="Arial" w:eastAsia="Arial" w:hAnsi="Arial" w:cs="Arial"/>
          <w:sz w:val="22"/>
          <w:lang w:val="es-ES_tradnl"/>
        </w:rPr>
        <w:t>713 del 2 de diciembre de 2020,</w:t>
      </w:r>
      <w:r w:rsidRPr="00AC19AC">
        <w:rPr>
          <w:rFonts w:ascii="Arial" w:eastAsia="Arial" w:hAnsi="Arial" w:cs="Arial"/>
          <w:sz w:val="22"/>
          <w:lang w:val="es-ES_tradnl"/>
        </w:rPr>
        <w:t xml:space="preserve"> C-744 del 22 de diciembre de 2020</w:t>
      </w:r>
      <w:r w:rsidR="00665374" w:rsidRPr="00AC19AC">
        <w:rPr>
          <w:rFonts w:ascii="Arial" w:eastAsia="Arial" w:hAnsi="Arial" w:cs="Arial"/>
          <w:sz w:val="22"/>
          <w:lang w:val="es-ES_tradnl"/>
        </w:rPr>
        <w:t xml:space="preserve">, </w:t>
      </w:r>
      <w:r w:rsidR="00665374" w:rsidRPr="00AC19AC">
        <w:rPr>
          <w:rFonts w:ascii="Arial" w:eastAsia="Calibri" w:hAnsi="Arial" w:cs="Arial"/>
          <w:color w:val="000000"/>
          <w:sz w:val="22"/>
          <w:szCs w:val="22"/>
          <w:lang w:val="es-ES_tradnl"/>
        </w:rPr>
        <w:t xml:space="preserve">C-778 del 18 de enero de 2021, C-021 del 22 de febrero de 2021, C-091 del 23 de marzo de 2021, C-200 del 14 de mayo de 2021, C-231 del 24 de mayo de 2021, C-267 de 2 de junio de 2021, C-370 del 28 de julio de 2021, C-380 del 29 de julio de 2021 y C-643 del 17 de noviembre de 2021. </w:t>
      </w:r>
    </w:p>
    <w:p w14:paraId="44D323E8" w14:textId="5323809D" w:rsidR="00031AD9" w:rsidRPr="00AC19AC" w:rsidRDefault="00031AD9" w:rsidP="00AC19AC">
      <w:pPr>
        <w:spacing w:before="120" w:line="276" w:lineRule="auto"/>
        <w:ind w:firstLine="709"/>
        <w:jc w:val="both"/>
        <w:rPr>
          <w:rFonts w:ascii="Arial" w:eastAsia="Calibri" w:hAnsi="Arial" w:cs="Arial"/>
          <w:noProof/>
          <w:sz w:val="22"/>
          <w:lang w:val="es-ES_tradnl"/>
        </w:rPr>
      </w:pPr>
      <w:r w:rsidRPr="00AC19AC">
        <w:rPr>
          <w:rFonts w:ascii="Arial" w:eastAsia="Arial" w:hAnsi="Arial" w:cs="Arial"/>
          <w:sz w:val="22"/>
          <w:lang w:val="es-ES_tradnl"/>
        </w:rPr>
        <w:t>De otra parte, en el concepto C-066 del 28 de enero de 2022</w:t>
      </w:r>
      <w:r w:rsidR="00665374" w:rsidRPr="00AC19AC">
        <w:rPr>
          <w:rFonts w:ascii="Arial" w:eastAsia="Arial" w:hAnsi="Arial" w:cs="Arial"/>
          <w:sz w:val="22"/>
          <w:lang w:val="es-ES_tradnl"/>
        </w:rPr>
        <w:t>,</w:t>
      </w:r>
      <w:r w:rsidR="002D1866" w:rsidRPr="00AC19AC">
        <w:rPr>
          <w:rFonts w:ascii="Arial" w:eastAsia="Arial" w:hAnsi="Arial" w:cs="Arial"/>
          <w:sz w:val="22"/>
          <w:lang w:val="es-ES_tradnl"/>
        </w:rPr>
        <w:t xml:space="preserve"> C-082 del </w:t>
      </w:r>
      <w:r w:rsidR="00650DE0" w:rsidRPr="00AC19AC">
        <w:rPr>
          <w:rFonts w:ascii="Arial" w:eastAsia="Arial" w:hAnsi="Arial" w:cs="Arial"/>
          <w:sz w:val="22"/>
          <w:lang w:val="es-ES_tradnl"/>
        </w:rPr>
        <w:t>2 de marzo de 2022</w:t>
      </w:r>
      <w:r w:rsidR="00F617C6" w:rsidRPr="00AC19AC">
        <w:rPr>
          <w:rFonts w:ascii="Arial" w:eastAsia="Arial" w:hAnsi="Arial" w:cs="Arial"/>
          <w:sz w:val="22"/>
          <w:lang w:val="es-ES_tradnl"/>
        </w:rPr>
        <w:t xml:space="preserve">, C-065 del </w:t>
      </w:r>
      <w:r w:rsidR="00014207" w:rsidRPr="00AC19AC">
        <w:rPr>
          <w:rFonts w:ascii="Arial" w:eastAsia="Arial" w:hAnsi="Arial" w:cs="Arial"/>
          <w:sz w:val="22"/>
          <w:lang w:val="es-ES_tradnl"/>
        </w:rPr>
        <w:t>9</w:t>
      </w:r>
      <w:r w:rsidR="00F617C6" w:rsidRPr="00AC19AC">
        <w:rPr>
          <w:rFonts w:ascii="Arial" w:eastAsia="Arial" w:hAnsi="Arial" w:cs="Arial"/>
          <w:sz w:val="22"/>
          <w:lang w:val="es-ES_tradnl"/>
        </w:rPr>
        <w:t xml:space="preserve"> de marzo de 2022, C-086 del 1</w:t>
      </w:r>
      <w:r w:rsidR="00014207" w:rsidRPr="00AC19AC">
        <w:rPr>
          <w:rFonts w:ascii="Arial" w:eastAsia="Arial" w:hAnsi="Arial" w:cs="Arial"/>
          <w:sz w:val="22"/>
          <w:lang w:val="es-ES_tradnl"/>
        </w:rPr>
        <w:t>5</w:t>
      </w:r>
      <w:r w:rsidR="00F617C6" w:rsidRPr="00AC19AC">
        <w:rPr>
          <w:rFonts w:ascii="Arial" w:eastAsia="Arial" w:hAnsi="Arial" w:cs="Arial"/>
          <w:sz w:val="22"/>
          <w:lang w:val="es-ES_tradnl"/>
        </w:rPr>
        <w:t xml:space="preserve"> de marzo de 2022, C-089 del 22 de marzo de 2022,</w:t>
      </w:r>
      <w:r w:rsidR="00665374" w:rsidRPr="00AC19AC">
        <w:rPr>
          <w:rFonts w:ascii="Arial" w:eastAsia="Arial" w:hAnsi="Arial" w:cs="Arial"/>
          <w:sz w:val="22"/>
          <w:lang w:val="es-ES_tradnl"/>
        </w:rPr>
        <w:t xml:space="preserve"> C-110 del 23 de marzo de 2022</w:t>
      </w:r>
      <w:r w:rsidR="0008649B" w:rsidRPr="00AC19AC">
        <w:rPr>
          <w:rFonts w:ascii="Arial" w:eastAsia="Arial" w:hAnsi="Arial" w:cs="Arial"/>
          <w:sz w:val="22"/>
          <w:lang w:val="es-ES_tradnl"/>
        </w:rPr>
        <w:t>,</w:t>
      </w:r>
      <w:r w:rsidR="00F617C6" w:rsidRPr="00AC19AC">
        <w:rPr>
          <w:rFonts w:ascii="Arial" w:eastAsia="Arial" w:hAnsi="Arial" w:cs="Arial"/>
          <w:sz w:val="22"/>
          <w:lang w:val="es-ES_tradnl"/>
        </w:rPr>
        <w:t xml:space="preserve"> C-160 del </w:t>
      </w:r>
      <w:r w:rsidR="0008649B" w:rsidRPr="00AC19AC">
        <w:rPr>
          <w:rFonts w:ascii="Arial" w:eastAsia="Arial" w:hAnsi="Arial" w:cs="Arial"/>
          <w:sz w:val="22"/>
          <w:lang w:val="es-ES_tradnl"/>
        </w:rPr>
        <w:t>5</w:t>
      </w:r>
      <w:r w:rsidR="00F617C6" w:rsidRPr="00AC19AC">
        <w:rPr>
          <w:rFonts w:ascii="Arial" w:eastAsia="Arial" w:hAnsi="Arial" w:cs="Arial"/>
          <w:sz w:val="22"/>
          <w:lang w:val="es-ES_tradnl"/>
        </w:rPr>
        <w:t xml:space="preserve"> de abril de 2022</w:t>
      </w:r>
      <w:r w:rsidR="0008649B" w:rsidRPr="00AC19AC">
        <w:rPr>
          <w:rFonts w:ascii="Arial" w:eastAsia="Arial" w:hAnsi="Arial" w:cs="Arial"/>
          <w:sz w:val="22"/>
          <w:lang w:val="es-ES_tradnl"/>
        </w:rPr>
        <w:t>, C-168 del 5 de abril de 2022</w:t>
      </w:r>
      <w:r w:rsidR="00334B73" w:rsidRPr="00AC19AC">
        <w:rPr>
          <w:rFonts w:ascii="Arial" w:eastAsia="Arial" w:hAnsi="Arial" w:cs="Arial"/>
          <w:sz w:val="22"/>
          <w:lang w:val="es-ES_tradnl"/>
        </w:rPr>
        <w:t xml:space="preserve"> y C-197 del 12 de abril de 2022,</w:t>
      </w:r>
      <w:r w:rsidRPr="00AC19AC">
        <w:rPr>
          <w:rFonts w:ascii="Arial" w:eastAsia="Arial" w:hAnsi="Arial" w:cs="Arial"/>
          <w:sz w:val="22"/>
          <w:lang w:val="es-ES_tradnl"/>
        </w:rPr>
        <w:t xml:space="preserve"> la Agencia se refirió al alcance de lo dispuesto en el artículo 56 de la Ley 2195 de 2022. Algunas de las ideas expuestas en dichas oportunidades se retoman y complementan a continuación para desarrollar la tesis del presente concepto.    </w:t>
      </w:r>
    </w:p>
    <w:p w14:paraId="361A7647" w14:textId="55FB1F9E" w:rsidR="00031AD9" w:rsidRPr="00AC19AC" w:rsidRDefault="00031AD9" w:rsidP="00E77523">
      <w:pPr>
        <w:spacing w:before="240" w:line="276" w:lineRule="auto"/>
        <w:jc w:val="both"/>
        <w:rPr>
          <w:rFonts w:ascii="Arial" w:eastAsia="Arial" w:hAnsi="Arial" w:cs="Arial"/>
          <w:b/>
          <w:bCs/>
          <w:sz w:val="22"/>
          <w:lang w:val="es-ES_tradnl"/>
        </w:rPr>
      </w:pPr>
      <w:r w:rsidRPr="00AC19AC">
        <w:rPr>
          <w:rFonts w:ascii="Arial" w:eastAsia="Arial" w:hAnsi="Arial" w:cs="Arial"/>
          <w:b/>
          <w:bCs/>
          <w:sz w:val="22"/>
          <w:lang w:val="es-ES_tradnl"/>
        </w:rPr>
        <w:t xml:space="preserve">2.1. Fundamento normativo y ámbito de aplicación de los documentos tipo </w:t>
      </w:r>
    </w:p>
    <w:p w14:paraId="6DC40FC6" w14:textId="77777777" w:rsidR="00E22F82" w:rsidRPr="00AC19AC" w:rsidRDefault="00E22F82" w:rsidP="00E22F82">
      <w:pPr>
        <w:spacing w:line="276" w:lineRule="auto"/>
        <w:jc w:val="both"/>
        <w:rPr>
          <w:rFonts w:ascii="Arial" w:eastAsia="Calibri" w:hAnsi="Arial" w:cs="Arial"/>
          <w:sz w:val="22"/>
          <w:lang w:val="es-ES_tradnl"/>
        </w:rPr>
      </w:pPr>
    </w:p>
    <w:p w14:paraId="30385650" w14:textId="71874737" w:rsidR="00031AD9" w:rsidRPr="00AC19AC" w:rsidRDefault="00031AD9" w:rsidP="00AC19AC">
      <w:pPr>
        <w:spacing w:line="276" w:lineRule="auto"/>
        <w:jc w:val="both"/>
        <w:rPr>
          <w:rFonts w:ascii="Arial" w:eastAsia="Calibri" w:hAnsi="Arial" w:cs="Arial"/>
          <w:sz w:val="22"/>
          <w:lang w:val="es-ES_tradnl"/>
        </w:rPr>
      </w:pPr>
      <w:r w:rsidRPr="00AC19AC">
        <w:rPr>
          <w:rFonts w:ascii="Arial" w:eastAsia="Calibri" w:hAnsi="Arial" w:cs="Arial"/>
          <w:sz w:val="22"/>
          <w:lang w:val="es-ES_tradnl"/>
        </w:rPr>
        <w:t>La adopción de los documentos tipo obligatorios en el ordenamiento jurídico colombiano se incluyó por primera vez en el parágrafo 3 del artículo 2 de la Ley 1150 de 2007</w:t>
      </w:r>
      <w:r w:rsidRPr="00AC19AC">
        <w:rPr>
          <w:rStyle w:val="Refdenotaalpie"/>
          <w:rFonts w:ascii="Arial" w:eastAsia="Calibri" w:hAnsi="Arial" w:cs="Arial"/>
        </w:rPr>
        <w:footnoteReference w:id="3"/>
      </w:r>
      <w:r w:rsidRPr="00AC19AC">
        <w:rPr>
          <w:rFonts w:ascii="Arial" w:eastAsia="Calibri" w:hAnsi="Arial" w:cs="Arial"/>
          <w:sz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7C5410B4" w14:textId="77777777" w:rsidR="00031AD9" w:rsidRPr="00AC19AC" w:rsidRDefault="00031AD9" w:rsidP="00AC19AC">
      <w:pPr>
        <w:spacing w:before="120" w:line="276" w:lineRule="auto"/>
        <w:ind w:firstLine="709"/>
        <w:jc w:val="both"/>
        <w:rPr>
          <w:rFonts w:ascii="Arial" w:eastAsia="Calibri" w:hAnsi="Arial" w:cs="Arial"/>
          <w:sz w:val="22"/>
          <w:lang w:val="es-ES_tradnl"/>
        </w:rPr>
      </w:pPr>
      <w:r w:rsidRPr="00AC19AC">
        <w:rPr>
          <w:rFonts w:ascii="Arial" w:eastAsia="Calibri" w:hAnsi="Arial" w:cs="Arial"/>
          <w:sz w:val="22"/>
          <w:lang w:val="es-ES_tradnl"/>
        </w:rPr>
        <w:t xml:space="preserve">Debido a lo anterior, el artículo 4 de la Ley 1882 de 2018 es el antecedente más relevante respecto a los documentos tipo. A partir de esta norma se determinó la obligatoriedad para todas las entidades sometidas al Estatuto General de Contratación de la Administración Pública de aplicar los documentos tipo adoptados por el Gobierno Nacional. Debe señalarse que en virtud de la Ley 1882 de 2018 se expidieron varios documentos tipo para el sector de infraestructura de transporte y, por tanto, es importante explicar el proceso previsto en dicho cuerpo normativo. </w:t>
      </w:r>
    </w:p>
    <w:p w14:paraId="4011BAD5" w14:textId="77777777" w:rsidR="00031AD9" w:rsidRPr="00AC19AC" w:rsidRDefault="00031AD9" w:rsidP="00AC19AC">
      <w:pPr>
        <w:spacing w:before="120" w:line="276" w:lineRule="auto"/>
        <w:ind w:firstLine="708"/>
        <w:jc w:val="both"/>
        <w:rPr>
          <w:rFonts w:ascii="Arial" w:eastAsia="Calibri" w:hAnsi="Arial" w:cs="Arial"/>
          <w:sz w:val="22"/>
          <w:lang w:val="es-ES_tradnl"/>
        </w:rPr>
      </w:pPr>
      <w:r w:rsidRPr="00AC19AC">
        <w:rPr>
          <w:rFonts w:ascii="Arial" w:eastAsia="Calibri" w:hAnsi="Arial" w:cs="Arial"/>
          <w:sz w:val="22"/>
          <w:lang w:val="es-ES_tradnl"/>
        </w:rPr>
        <w:lastRenderedPageBreak/>
        <w:t>El artículo 4 de la Ley 1882 de 2018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Contratación que adelantaran</w:t>
      </w:r>
      <w:r w:rsidRPr="00AC19AC">
        <w:rPr>
          <w:rStyle w:val="Refdenotaalpie"/>
          <w:rFonts w:ascii="Arial" w:eastAsia="Calibri" w:hAnsi="Arial" w:cs="Arial"/>
        </w:rPr>
        <w:footnoteReference w:id="4"/>
      </w:r>
      <w:r w:rsidRPr="00AC19AC">
        <w:rPr>
          <w:rFonts w:ascii="Arial" w:eastAsia="Calibri" w:hAnsi="Arial" w:cs="Arial"/>
          <w:sz w:val="22"/>
          <w:lang w:val="es-ES_tradnl"/>
        </w:rPr>
        <w:t>.</w:t>
      </w:r>
    </w:p>
    <w:p w14:paraId="03395786" w14:textId="0BCDF081" w:rsidR="00031AD9" w:rsidRPr="00AC19AC" w:rsidRDefault="00031AD9" w:rsidP="00AC19AC">
      <w:pPr>
        <w:spacing w:before="120" w:line="276" w:lineRule="auto"/>
        <w:jc w:val="both"/>
        <w:rPr>
          <w:rFonts w:ascii="Arial" w:eastAsia="Calibri" w:hAnsi="Arial" w:cs="Arial"/>
          <w:sz w:val="22"/>
          <w:lang w:val="es-ES_tradnl"/>
        </w:rPr>
      </w:pPr>
      <w:r w:rsidRPr="00AC19AC">
        <w:rPr>
          <w:rFonts w:ascii="Arial" w:eastAsia="Calibri" w:hAnsi="Arial" w:cs="Arial"/>
          <w:sz w:val="22"/>
          <w:lang w:val="es-ES_tradnl"/>
        </w:rPr>
        <w:tab/>
        <w:t>As</w:t>
      </w:r>
      <w:r w:rsidR="00285ACD" w:rsidRPr="00AC19AC">
        <w:rPr>
          <w:rFonts w:ascii="Arial" w:eastAsia="Calibri" w:hAnsi="Arial" w:cs="Arial"/>
          <w:sz w:val="22"/>
          <w:lang w:val="es-ES_tradnl"/>
        </w:rPr>
        <w:t xml:space="preserve">í </w:t>
      </w:r>
      <w:r w:rsidRPr="00AC19AC">
        <w:rPr>
          <w:rFonts w:ascii="Arial" w:eastAsia="Calibri" w:hAnsi="Arial" w:cs="Arial"/>
          <w:sz w:val="22"/>
          <w:lang w:val="es-ES_tradnl"/>
        </w:rPr>
        <w:t xml:space="preserve">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49DF507F" w14:textId="77777777" w:rsidR="00031AD9" w:rsidRPr="00AC19AC" w:rsidRDefault="00031AD9" w:rsidP="00AC19AC">
      <w:pPr>
        <w:spacing w:before="120" w:line="276" w:lineRule="auto"/>
        <w:jc w:val="both"/>
        <w:rPr>
          <w:rFonts w:ascii="Arial" w:eastAsia="Calibri" w:hAnsi="Arial" w:cs="Arial"/>
          <w:sz w:val="22"/>
          <w:lang w:val="es-ES_tradnl"/>
        </w:rPr>
      </w:pPr>
      <w:r w:rsidRPr="00AC19AC">
        <w:rPr>
          <w:rFonts w:ascii="Arial" w:eastAsia="Calibri" w:hAnsi="Arial" w:cs="Arial"/>
          <w:sz w:val="22"/>
          <w:lang w:val="es-ES_tradnl"/>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17200769" w14:textId="77777777" w:rsidR="00031AD9" w:rsidRPr="00AC19AC" w:rsidRDefault="00031AD9" w:rsidP="00AC19AC">
      <w:pPr>
        <w:spacing w:before="120" w:line="276" w:lineRule="auto"/>
        <w:jc w:val="both"/>
        <w:rPr>
          <w:rFonts w:ascii="Arial" w:eastAsia="Calibri" w:hAnsi="Arial" w:cs="Arial"/>
          <w:sz w:val="22"/>
          <w:lang w:val="es-ES_tradnl"/>
        </w:rPr>
      </w:pPr>
      <w:r w:rsidRPr="00AC19AC">
        <w:rPr>
          <w:rFonts w:ascii="Arial" w:eastAsia="Calibri" w:hAnsi="Arial" w:cs="Arial"/>
          <w:sz w:val="22"/>
          <w:lang w:val="es-ES_tradnl"/>
        </w:rPr>
        <w:lastRenderedPageBreak/>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6" w:name="_Hlk48665985"/>
      <w:r w:rsidRPr="00AC19AC">
        <w:rPr>
          <w:rFonts w:ascii="Arial" w:eastAsia="Calibri" w:hAnsi="Arial" w:cs="Arial"/>
          <w:sz w:val="22"/>
          <w:lang w:val="es-ES_tradnl"/>
        </w:rPr>
        <w:t>y los criterios de escogencia, elementos propios del procedimiento de selección del contratista, materia en la que existe reserva de ley y que no se encuentra atribuida a la regulación de las entidades territoriales</w:t>
      </w:r>
      <w:bookmarkEnd w:id="6"/>
      <w:r w:rsidRPr="00AC19AC">
        <w:rPr>
          <w:rFonts w:ascii="Arial" w:eastAsia="Calibri" w:hAnsi="Arial" w:cs="Arial"/>
          <w:sz w:val="22"/>
          <w:lang w:val="es-ES_tradnl"/>
        </w:rPr>
        <w:t>. De igual manera, se establece que esta autonomía se garantiza con la identificación autónoma de sus necesidades y la configuración de los elementos del contrato</w:t>
      </w:r>
      <w:r w:rsidRPr="00AC19AC">
        <w:rPr>
          <w:rStyle w:val="Refdenotaalpie"/>
          <w:rFonts w:ascii="Arial" w:eastAsia="Calibri" w:hAnsi="Arial" w:cs="Arial"/>
        </w:rPr>
        <w:footnoteReference w:id="5"/>
      </w:r>
      <w:r w:rsidRPr="00AC19AC">
        <w:rPr>
          <w:rFonts w:ascii="Arial" w:eastAsia="Calibri" w:hAnsi="Arial" w:cs="Arial"/>
          <w:sz w:val="22"/>
          <w:lang w:val="es-ES_tradnl"/>
        </w:rPr>
        <w:t>.</w:t>
      </w:r>
    </w:p>
    <w:p w14:paraId="42C90782" w14:textId="09993D22" w:rsidR="00031AD9" w:rsidRPr="00AC19AC" w:rsidRDefault="00031AD9" w:rsidP="00AC19AC">
      <w:pPr>
        <w:spacing w:before="120" w:line="276" w:lineRule="auto"/>
        <w:jc w:val="both"/>
        <w:rPr>
          <w:rFonts w:ascii="Arial" w:eastAsia="Calibri" w:hAnsi="Arial" w:cs="Arial"/>
          <w:sz w:val="22"/>
          <w:lang w:val="es-ES_tradnl"/>
        </w:rPr>
      </w:pPr>
      <w:r w:rsidRPr="00AC19AC">
        <w:rPr>
          <w:rFonts w:ascii="Arial" w:eastAsia="Calibri" w:hAnsi="Arial" w:cs="Arial"/>
          <w:sz w:val="22"/>
          <w:lang w:val="es-ES_tradnl"/>
        </w:rPr>
        <w:tab/>
        <w:t xml:space="preserve">De este modo, los documentos tipo no afectan la autonomía de las entidades territoriales. Lo anterior, debido a que la definición de los requisitos habilitantes y de aspectos técnicos de la escogencia del contratista en los Procesos de Contratación, son </w:t>
      </w:r>
      <w:r w:rsidR="00E22F82" w:rsidRPr="00AC19AC">
        <w:rPr>
          <w:rFonts w:ascii="Arial" w:eastAsia="Calibri" w:hAnsi="Arial" w:cs="Arial"/>
          <w:sz w:val="22"/>
          <w:lang w:val="es-ES_tradnl"/>
        </w:rPr>
        <w:t xml:space="preserve">contenidos </w:t>
      </w:r>
      <w:r w:rsidRPr="00AC19AC">
        <w:rPr>
          <w:rFonts w:ascii="Arial" w:eastAsia="Calibri" w:hAnsi="Arial" w:cs="Arial"/>
          <w:sz w:val="22"/>
          <w:lang w:val="es-ES_tradnl"/>
        </w:rPr>
        <w:t>en los que el legislador tiene amplia libertad de configuración normativa y, por tanto, puede atribuir dicha regulación al Gobierno Nacional. Ahora, dicha autonomía se materializa cuando las entidades territoriales deciden iniciar una convocatoria para satisfacer sus necesidades para la adquisición de un bien, obra o servicio, y además se incluyen en la minuta del contrato las condiciones particulares del negocio jurídico a celebrar.</w:t>
      </w:r>
    </w:p>
    <w:p w14:paraId="3531E131" w14:textId="4701879E" w:rsidR="00031AD9" w:rsidRPr="00AC19AC" w:rsidRDefault="00031AD9" w:rsidP="00AC19AC">
      <w:pPr>
        <w:spacing w:before="120" w:line="276" w:lineRule="auto"/>
        <w:jc w:val="both"/>
        <w:rPr>
          <w:rFonts w:ascii="Arial" w:eastAsia="Calibri" w:hAnsi="Arial" w:cs="Arial"/>
          <w:sz w:val="22"/>
          <w:szCs w:val="22"/>
          <w:lang w:val="es-ES_tradnl" w:eastAsia="en-US"/>
        </w:rPr>
      </w:pPr>
      <w:r w:rsidRPr="00AC19AC">
        <w:rPr>
          <w:rFonts w:ascii="Arial" w:eastAsia="Calibri" w:hAnsi="Arial" w:cs="Arial"/>
          <w:sz w:val="22"/>
          <w:szCs w:val="22"/>
          <w:lang w:val="es-ES_tradnl"/>
        </w:rPr>
        <w:tab/>
      </w:r>
      <w:r w:rsidR="00285ACD" w:rsidRPr="00AC19AC">
        <w:rPr>
          <w:rFonts w:ascii="Arial" w:eastAsia="Calibri" w:hAnsi="Arial" w:cs="Arial"/>
          <w:color w:val="000000"/>
          <w:sz w:val="22"/>
          <w:szCs w:val="22"/>
          <w:lang w:val="es-ES"/>
        </w:rPr>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AC19AC">
        <w:rPr>
          <w:rFonts w:ascii="Arial" w:eastAsia="Calibri" w:hAnsi="Arial" w:cs="Arial"/>
          <w:sz w:val="22"/>
          <w:szCs w:val="22"/>
          <w:lang w:val="es-ES_tradnl" w:eastAsia="en-U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 2019, relacionado con los documentos tipo para los procesos de selección de licitación de obra pública de infraestructura de transporte. Luego se expidió el Decreto 2096 </w:t>
      </w:r>
      <w:r w:rsidR="00285ACD" w:rsidRPr="00AC19AC">
        <w:rPr>
          <w:rFonts w:ascii="Arial" w:eastAsia="Calibri" w:hAnsi="Arial" w:cs="Arial"/>
          <w:sz w:val="22"/>
          <w:szCs w:val="22"/>
          <w:lang w:val="es-ES"/>
        </w:rPr>
        <w:t>del 21 de noviembre de 2019</w:t>
      </w:r>
      <w:r w:rsidRPr="00AC19AC">
        <w:rPr>
          <w:rFonts w:ascii="Arial" w:eastAsia="Calibri" w:hAnsi="Arial" w:cs="Arial"/>
          <w:sz w:val="22"/>
          <w:szCs w:val="22"/>
          <w:lang w:val="es-ES_tradnl" w:eastAsia="en-US"/>
        </w:rPr>
        <w:t xml:space="preserve">, que permitió el desarrollo de los documentos tipo para los pliegos de condiciones de los procesos de obras públicas de infraestructura de transporte que se adelantaran por la modalidad de selección abreviada de menor cuantía. </w:t>
      </w:r>
    </w:p>
    <w:p w14:paraId="5598DBE8" w14:textId="77777777" w:rsidR="00031AD9" w:rsidRPr="00AC19AC" w:rsidRDefault="00031AD9" w:rsidP="00AC19AC">
      <w:pPr>
        <w:spacing w:before="120" w:line="276" w:lineRule="auto"/>
        <w:ind w:firstLine="708"/>
        <w:jc w:val="both"/>
        <w:rPr>
          <w:rFonts w:ascii="Arial" w:eastAsia="Calibri" w:hAnsi="Arial" w:cs="Arial"/>
          <w:sz w:val="22"/>
          <w:szCs w:val="22"/>
          <w:lang w:val="es-ES_tradnl"/>
        </w:rPr>
      </w:pPr>
      <w:r w:rsidRPr="00AC19AC">
        <w:rPr>
          <w:rFonts w:ascii="Arial" w:eastAsia="Calibri" w:hAnsi="Arial" w:cs="Arial"/>
          <w:sz w:val="22"/>
          <w:szCs w:val="22"/>
          <w:lang w:val="es-ES_tradnl" w:eastAsia="en-US"/>
        </w:rPr>
        <w:lastRenderedPageBreak/>
        <w:t>Finalmente, se profirió el Decreto 594 de 2020, frente a los documentos tipo para los contratos de obra pública</w:t>
      </w:r>
      <w:r w:rsidRPr="00AC19AC" w:rsidDel="00A434AB">
        <w:rPr>
          <w:rFonts w:ascii="Arial" w:eastAsia="Calibri" w:hAnsi="Arial" w:cs="Arial"/>
          <w:sz w:val="22"/>
          <w:szCs w:val="22"/>
          <w:lang w:val="es-ES_tradnl" w:eastAsia="en-US"/>
        </w:rPr>
        <w:t xml:space="preserve"> </w:t>
      </w:r>
      <w:r w:rsidRPr="00AC19AC">
        <w:rPr>
          <w:rFonts w:ascii="Arial" w:eastAsia="Calibri" w:hAnsi="Arial" w:cs="Arial"/>
          <w:sz w:val="22"/>
          <w:szCs w:val="22"/>
          <w:lang w:val="es-ES_tradnl" w:eastAsia="en-US"/>
        </w:rPr>
        <w:t xml:space="preserve">de infraestructura de transporte que se surtieran por la modalidad de mínima cuantía. Estos documentos fueron implementados y desarrollados por la Agencia Nacional de Contratación Pública </w:t>
      </w:r>
      <w:bookmarkStart w:id="7" w:name="_Hlk37841850"/>
      <w:r w:rsidRPr="00AC19AC">
        <w:rPr>
          <w:rFonts w:ascii="Arial" w:eastAsia="Calibri" w:hAnsi="Arial" w:cs="Arial"/>
          <w:sz w:val="22"/>
          <w:szCs w:val="22"/>
          <w:lang w:val="es-ES_tradnl" w:eastAsia="en-US"/>
        </w:rPr>
        <w:t xml:space="preserve">– Colombia Compra Eficiente, </w:t>
      </w:r>
      <w:bookmarkEnd w:id="7"/>
      <w:r w:rsidRPr="00AC19AC">
        <w:rPr>
          <w:rFonts w:ascii="Arial" w:eastAsia="Calibri" w:hAnsi="Arial" w:cs="Arial"/>
          <w:sz w:val="22"/>
          <w:szCs w:val="22"/>
          <w:lang w:val="es-ES_tradnl" w:eastAsia="en-US"/>
        </w:rPr>
        <w:t>por medio de la Resolución 1798 de 2019 –derogada por la Resolución 045 de 2020–, la Resolución 044 de 2020 y la Resolución 094 de 2020.</w:t>
      </w:r>
    </w:p>
    <w:p w14:paraId="64393B94" w14:textId="4B97BF1B" w:rsidR="00031AD9" w:rsidRPr="00AC19AC" w:rsidRDefault="00031AD9" w:rsidP="00AC19AC">
      <w:pPr>
        <w:pStyle w:val="Normal11pt"/>
        <w:spacing w:before="120" w:line="276" w:lineRule="auto"/>
        <w:ind w:left="0" w:firstLine="709"/>
        <w:rPr>
          <w:rFonts w:eastAsia="Calibri"/>
          <w:color w:val="auto"/>
        </w:rPr>
      </w:pPr>
      <w:r w:rsidRPr="00AC19AC">
        <w:rPr>
          <w:rFonts w:eastAsia="Calibri"/>
          <w:color w:val="auto"/>
        </w:rPr>
        <w:t>Con posterioridad a la adopción de los anteriores documentos tipo, se expidió la Ley 2022 de</w:t>
      </w:r>
      <w:r w:rsidR="00285ACD" w:rsidRPr="00AC19AC">
        <w:rPr>
          <w:rFonts w:eastAsia="Calibri"/>
          <w:color w:val="auto"/>
        </w:rPr>
        <w:t xml:space="preserve">l </w:t>
      </w:r>
      <w:r w:rsidR="00285ACD" w:rsidRPr="00AC19AC">
        <w:rPr>
          <w:rFonts w:eastAsia="Calibri"/>
          <w:lang w:val="es-ES"/>
        </w:rPr>
        <w:t>22 de julio de 2020</w:t>
      </w:r>
      <w:r w:rsidRPr="00AC19AC">
        <w:rPr>
          <w:rFonts w:eastAsia="Calibri"/>
          <w:color w:val="auto"/>
        </w:rPr>
        <w:t>, norma que modificó el parágrafo 7 del artículo 2 de la Ley 1150 de 2007, que había sido adicionado por la Ley 1882 de 2018</w:t>
      </w:r>
      <w:r w:rsidRPr="00AC19AC">
        <w:rPr>
          <w:rStyle w:val="Refdenotaalpie"/>
          <w:rFonts w:eastAsia="Calibri"/>
        </w:rPr>
        <w:footnoteReference w:id="6"/>
      </w:r>
      <w:r w:rsidRPr="00AC19AC">
        <w:rPr>
          <w:rFonts w:eastAsia="Calibri"/>
          <w:color w:val="auto"/>
        </w:rPr>
        <w:t xml:space="preserve">. Con esta modificación, si bien se mantuvo el mandato de aplicación obligatoria de los documentos tipo por parte de las entidades sometidas al Estatuto General de Contratación de la Administración Pública, se atribuyó, específicamente, a la </w:t>
      </w:r>
      <w:r w:rsidRPr="00AC19AC">
        <w:rPr>
          <w:rFonts w:eastAsia="Calibri"/>
          <w:color w:val="auto"/>
          <w:lang w:eastAsia="en-US"/>
        </w:rPr>
        <w:t xml:space="preserve">Agencia Nacional de Contratación Pública – Colombia Compra Eficiente la competencia para su adopción. </w:t>
      </w:r>
      <w:r w:rsidRPr="00AC19AC">
        <w:rPr>
          <w:rFonts w:eastAsia="Calibri"/>
          <w:color w:val="auto"/>
        </w:rPr>
        <w:t>En este marco, con la finalidad de realizar un desarrollo armónico y ajustado a la ley que otorgó esta competencia, esta Agencia emitió la Resolución 160 de 2020 «Por la cual se adopta el procedimiento para implementar los documentos tipo y se define el sistema para su revisión». As</w:t>
      </w:r>
      <w:r w:rsidR="00285ACD" w:rsidRPr="00AC19AC">
        <w:rPr>
          <w:rFonts w:eastAsia="Calibri"/>
          <w:color w:val="auto"/>
        </w:rPr>
        <w:t xml:space="preserve">í </w:t>
      </w:r>
      <w:r w:rsidRPr="00AC19AC">
        <w:rPr>
          <w:rFonts w:eastAsia="Calibri"/>
          <w:color w:val="auto"/>
        </w:rPr>
        <w:t xml:space="preserve">mismo, con fundamento en dicha Ley, se profirió la Resolución 240 de 2020, «Por la cual se actualizan los Documentos Tipo para los procesos de selección de licitación de obra pública de infraestructura de transporte y se deroga la Resolución 0045 de 2020». </w:t>
      </w:r>
    </w:p>
    <w:p w14:paraId="02AF96FA" w14:textId="77777777" w:rsidR="00031AD9" w:rsidRPr="00AC19AC" w:rsidRDefault="00031AD9" w:rsidP="00AC19AC">
      <w:pPr>
        <w:pStyle w:val="Normal11pt"/>
        <w:spacing w:before="120" w:line="276" w:lineRule="auto"/>
        <w:ind w:left="0" w:firstLine="709"/>
        <w:rPr>
          <w:rFonts w:eastAsia="Calibri"/>
          <w:color w:val="auto"/>
        </w:rPr>
      </w:pPr>
      <w:r w:rsidRPr="00AC19AC">
        <w:rPr>
          <w:rFonts w:eastAsia="Calibri"/>
          <w:color w:val="auto"/>
        </w:rPr>
        <w:lastRenderedPageBreak/>
        <w:t>De igual manera, se expidió la Resolución 241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253FB21D" w14:textId="1D7B36E1" w:rsidR="00031AD9" w:rsidRPr="00AC19AC" w:rsidRDefault="00031AD9" w:rsidP="00AC19AC">
      <w:pPr>
        <w:pStyle w:val="Normal11pt"/>
        <w:spacing w:before="120" w:line="276" w:lineRule="auto"/>
        <w:ind w:left="0" w:firstLine="709"/>
        <w:rPr>
          <w:color w:val="auto"/>
        </w:rPr>
      </w:pPr>
      <w:r w:rsidRPr="00AC19AC">
        <w:rPr>
          <w:rFonts w:eastAsia="Calibri"/>
          <w:color w:val="auto"/>
        </w:rPr>
        <w:t xml:space="preserve">A los actos administrativos mencionados se suman: i) la Resolución 193 de 2021, </w:t>
      </w:r>
      <w:r w:rsidRPr="00AC19AC">
        <w:rPr>
          <w:color w:val="auto"/>
        </w:rPr>
        <w:t>«Por la cual se adoptan los documentos tipo para los procesos de selección de concurso de méritos, para contratar la consultoría de estudios de ingeniería de infraestructura de transporte»,</w:t>
      </w:r>
      <w:r w:rsidRPr="00AC19AC">
        <w:rPr>
          <w:rFonts w:eastAsia="Calibri"/>
          <w:color w:val="auto"/>
        </w:rPr>
        <w:t xml:space="preserve"> ii) la Resolución 219 de 2020,</w:t>
      </w:r>
      <w:r w:rsidRPr="00AC19AC">
        <w:rPr>
          <w:color w:val="auto"/>
        </w:rPr>
        <w:t xml:space="preserve"> «Por la cual se adoptan los documentos tipo para los procesos de licitación de obra pública de infraestructura social», iii) la Resolución 220 de 2021, «Por la cual se adoptan los documentos tipo complementarios para los procesos de licitación de obra pública de infraestructura social relacionados con el sector educativo», iv) </w:t>
      </w:r>
      <w:r w:rsidR="00F84A63" w:rsidRPr="00AC19AC">
        <w:rPr>
          <w:rFonts w:eastAsia="Arial"/>
          <w:bCs/>
          <w:lang w:bidi="es-ES"/>
        </w:rPr>
        <w:t>la Resolución 304 del 2021</w:t>
      </w:r>
      <w:r w:rsidR="00F84A63" w:rsidRPr="00AC19AC">
        <w:rPr>
          <w:rFonts w:eastAsia="Arial"/>
          <w:lang w:bidi="es-ES"/>
        </w:rPr>
        <w:t xml:space="preserve"> </w:t>
      </w:r>
      <w:r w:rsidR="00F84A63" w:rsidRPr="00AC19AC">
        <w:rPr>
          <w:rFonts w:eastAsia="Arial"/>
          <w:bCs/>
          <w:lang w:bidi="es-ES"/>
        </w:rPr>
        <w:t>«Por la cual se modifican los Documentos Tipo adoptados por la Agencia Nacional de Contratación Pública – Colombia Compra Eficiente»</w:t>
      </w:r>
      <w:r w:rsidRPr="00AC19AC">
        <w:rPr>
          <w:color w:val="auto"/>
        </w:rPr>
        <w:t>, v)</w:t>
      </w:r>
      <w:r w:rsidR="00F84A63" w:rsidRPr="00AC19AC">
        <w:rPr>
          <w:color w:val="auto"/>
        </w:rPr>
        <w:t xml:space="preserve"> la Resolución 392 de 2021, «Por la cual se adoptan los documentos tipo complementarios para los procesos de licitación de obra pública de infraestructura social relacionados con el sector salud»</w:t>
      </w:r>
      <w:r w:rsidR="00285ACD" w:rsidRPr="00AC19AC">
        <w:rPr>
          <w:rFonts w:eastAsia="Arial"/>
          <w:bCs/>
          <w:lang w:bidi="es-ES"/>
        </w:rPr>
        <w:t xml:space="preserve">, y vi) </w:t>
      </w:r>
      <w:r w:rsidRPr="00AC19AC">
        <w:rPr>
          <w:color w:val="auto"/>
        </w:rPr>
        <w:t xml:space="preserve">la Resolución 454 de 2021, «Por la cual se adoptan los documentos tipo complementarios para los procesos de licitación de obra pública de infraestructura social relacionados con el sector cultura, recreación y deporte». </w:t>
      </w:r>
    </w:p>
    <w:p w14:paraId="13C256B7" w14:textId="21855F4F" w:rsidR="00F84A63" w:rsidRPr="00AC19AC" w:rsidRDefault="00F84A63" w:rsidP="00AC19AC">
      <w:pPr>
        <w:pStyle w:val="Normal11pt"/>
        <w:spacing w:before="120" w:line="276" w:lineRule="auto"/>
        <w:ind w:left="0" w:firstLine="709"/>
        <w:rPr>
          <w:color w:val="auto"/>
        </w:rPr>
      </w:pPr>
      <w:r w:rsidRPr="00AC19AC">
        <w:rPr>
          <w:rFonts w:eastAsia="Calibri"/>
        </w:rPr>
        <w:t xml:space="preserve">Las resoluciones señaladas </w:t>
      </w:r>
      <w:r w:rsidRPr="00AC19AC">
        <w:rPr>
          <w:bdr w:val="none" w:sz="0" w:space="0" w:color="auto" w:frame="1"/>
        </w:rPr>
        <w:t>reiteran el alcance de la obligatoriedad de los documentos tipo en la materia</w:t>
      </w:r>
      <w:r w:rsidRPr="00AC19AC">
        <w:rPr>
          <w:rFonts w:eastAsia="Calibri"/>
        </w:rPr>
        <w:t xml:space="preserve"> y establecen parámetros obligatorios para las entidades estatales cuya contratación se rija por el Estatuto General de Contratación de la Administración Pública, siempre que las actividades que se contraten estén incluidas en la «Matriz 1 – Experiencia», de acuerdo con el documento tipo a aplicar. </w:t>
      </w:r>
      <w:r w:rsidRPr="00AC19AC">
        <w:rPr>
          <w:rFonts w:eastAsia="Calibri"/>
          <w:color w:val="000000" w:themeColor="text1"/>
        </w:rPr>
        <w:t>Así, para determinar el ámbito de aplicación de los documentos tipo debe acudirse a la «Matriz 1 – Experiencia», en la que se contemplan las clases de obra aplicables al sector, sean de infraestructura de transporte, agua potable y saneamiento básico o infraestructura social.</w:t>
      </w:r>
    </w:p>
    <w:p w14:paraId="17A0CC58" w14:textId="77777777" w:rsidR="00031AD9" w:rsidRPr="00AC19AC" w:rsidRDefault="00031AD9" w:rsidP="00AC19AC">
      <w:pPr>
        <w:pStyle w:val="Normal11pt"/>
        <w:spacing w:before="120" w:line="276" w:lineRule="auto"/>
        <w:ind w:left="0" w:firstLine="709"/>
        <w:rPr>
          <w:color w:val="auto"/>
        </w:rPr>
      </w:pPr>
      <w:r w:rsidRPr="00AC19AC">
        <w:rPr>
          <w:color w:val="auto"/>
        </w:rPr>
        <w:t xml:space="preserve">En cuanto al ámbito de aplicación de estos documentos, es preciso explicar que cada una de estas resoluciones está relacionada con un sector, un objeto contractual y una modalidad de selección específica. Esto de tal manera que las entidades estatales regidas por el Estatuto General de Contratación de la Administración Pública, al momento de </w:t>
      </w:r>
      <w:r w:rsidRPr="00AC19AC">
        <w:rPr>
          <w:color w:val="auto"/>
        </w:rPr>
        <w:lastRenderedPageBreak/>
        <w:t xml:space="preserve">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aquellos. De ser esto así, la entidad estará obligada a adelantar el proceso de contratación aplicando los documentos tipo del caso. </w:t>
      </w:r>
    </w:p>
    <w:p w14:paraId="0ECC133B" w14:textId="27E920EC" w:rsidR="00031AD9" w:rsidRPr="00AC19AC" w:rsidRDefault="00031AD9" w:rsidP="00E22F82">
      <w:pPr>
        <w:spacing w:before="120" w:line="276" w:lineRule="auto"/>
        <w:ind w:firstLine="708"/>
        <w:jc w:val="both"/>
        <w:rPr>
          <w:rFonts w:ascii="Arial" w:hAnsi="Arial" w:cs="Arial"/>
          <w:sz w:val="22"/>
          <w:shd w:val="clear" w:color="auto" w:fill="FFFFFF"/>
          <w:lang w:val="es-ES_tradnl"/>
        </w:rPr>
      </w:pPr>
      <w:r w:rsidRPr="00AC19AC">
        <w:rPr>
          <w:rFonts w:ascii="Arial" w:hAnsi="Arial" w:cs="Arial"/>
          <w:sz w:val="22"/>
          <w:shd w:val="clear" w:color="auto" w:fill="FFFFFF"/>
          <w:lang w:val="es-ES_tradnl"/>
        </w:rPr>
        <w:t>Es importante advertir que</w:t>
      </w:r>
      <w:r w:rsidR="00F84A63" w:rsidRPr="00AC19AC">
        <w:rPr>
          <w:rFonts w:ascii="Arial" w:hAnsi="Arial" w:cs="Arial"/>
          <w:sz w:val="22"/>
          <w:shd w:val="clear" w:color="auto" w:fill="FFFFFF"/>
          <w:lang w:val="es-ES_tradnl"/>
        </w:rPr>
        <w:t>, como se mencionó en los apartes anteriores,</w:t>
      </w:r>
      <w:r w:rsidRPr="00AC19AC">
        <w:rPr>
          <w:rFonts w:ascii="Arial" w:hAnsi="Arial" w:cs="Arial"/>
          <w:sz w:val="22"/>
          <w:shd w:val="clear" w:color="auto" w:fill="FFFFFF"/>
          <w:lang w:val="es-ES_tradnl"/>
        </w:rPr>
        <w:t xml:space="preserve"> todas las resoluciones mediante las que se han adoptado documentos tipo consagran la regla de la inalterabilidad. Esta prohibición consiste en que las entidades estatales no pueden incluir o modificar en los </w:t>
      </w:r>
      <w:r w:rsidRPr="00AC19AC">
        <w:rPr>
          <w:rFonts w:ascii="Arial" w:hAnsi="Arial" w:cs="Arial"/>
          <w:i/>
          <w:iCs/>
          <w:sz w:val="22"/>
          <w:shd w:val="clear" w:color="auto" w:fill="FFFFFF"/>
          <w:lang w:val="es-ES_tradnl"/>
        </w:rPr>
        <w:t>Documentos del Proceso</w:t>
      </w:r>
      <w:r w:rsidRPr="00AC19AC">
        <w:rPr>
          <w:rFonts w:ascii="Arial" w:hAnsi="Arial" w:cs="Arial"/>
          <w:sz w:val="22"/>
          <w:shd w:val="clear" w:color="auto" w:fill="FFFFFF"/>
          <w:lang w:val="es-ES_tradnl"/>
        </w:rPr>
        <w:t xml:space="preserve"> los requisitos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6B1693D" w14:textId="77777777" w:rsidR="004E40A3" w:rsidRPr="00AC19AC" w:rsidRDefault="004E40A3" w:rsidP="004E40A3">
      <w:pPr>
        <w:spacing w:before="120" w:line="276" w:lineRule="auto"/>
        <w:ind w:firstLine="709"/>
        <w:jc w:val="both"/>
        <w:rPr>
          <w:rFonts w:ascii="Arial" w:eastAsia="Calibri" w:hAnsi="Arial" w:cs="Arial"/>
          <w:color w:val="000000"/>
          <w:sz w:val="22"/>
          <w:szCs w:val="22"/>
          <w:lang w:val="es-ES" w:eastAsia="es-ES"/>
        </w:rPr>
      </w:pPr>
      <w:r w:rsidRPr="00AC19AC">
        <w:rPr>
          <w:rFonts w:ascii="Arial" w:eastAsia="Calibri" w:hAnsi="Arial" w:cs="Arial"/>
          <w:color w:val="000000"/>
          <w:sz w:val="22"/>
          <w:szCs w:val="22"/>
          <w:lang w:val="es-ES" w:eastAsia="es-ES"/>
        </w:rPr>
        <w:t xml:space="preserve">En síntesis, hasta el momento se han expedido los siguientes documentos tipo que son obligatorios para todas las entidades sometidas al Estatuto General de Contratación de la Administración Pública: </w:t>
      </w:r>
    </w:p>
    <w:p w14:paraId="2F1F08B3" w14:textId="77777777" w:rsidR="004E40A3" w:rsidRPr="00AC19AC" w:rsidRDefault="004E40A3" w:rsidP="004E40A3">
      <w:pPr>
        <w:spacing w:before="120" w:line="276" w:lineRule="auto"/>
        <w:ind w:firstLine="709"/>
        <w:jc w:val="both"/>
        <w:rPr>
          <w:rFonts w:ascii="Arial" w:eastAsia="Calibri" w:hAnsi="Arial" w:cs="Arial"/>
          <w:color w:val="000000"/>
          <w:sz w:val="22"/>
          <w:szCs w:val="22"/>
          <w:lang w:val="es-ES" w:eastAsia="es-ES"/>
        </w:rPr>
      </w:pPr>
      <w:r w:rsidRPr="00AC19AC">
        <w:rPr>
          <w:rFonts w:ascii="Arial" w:eastAsia="Calibri" w:hAnsi="Arial" w:cs="Arial"/>
          <w:color w:val="000000"/>
          <w:sz w:val="22"/>
          <w:szCs w:val="22"/>
          <w:lang w:val="es-ES" w:eastAsia="es-ES"/>
        </w:rPr>
        <w:t xml:space="preserve">i) Documentos tipo para licitación de obra pública de infraestructura de transporte –versión 1–, obligatorios para los procesos cuyo aviso de convocatoria se haya publicado desde el 1 de abril de 2019. </w:t>
      </w:r>
    </w:p>
    <w:p w14:paraId="549D9610" w14:textId="77777777" w:rsidR="004E40A3" w:rsidRPr="00AC19AC" w:rsidRDefault="004E40A3" w:rsidP="004E40A3">
      <w:pPr>
        <w:spacing w:before="120" w:line="276" w:lineRule="auto"/>
        <w:ind w:firstLine="709"/>
        <w:jc w:val="both"/>
        <w:rPr>
          <w:rFonts w:ascii="Arial" w:eastAsia="Calibri" w:hAnsi="Arial" w:cs="Arial"/>
          <w:color w:val="000000"/>
          <w:sz w:val="22"/>
          <w:szCs w:val="22"/>
          <w:lang w:val="es-ES" w:eastAsia="es-ES"/>
        </w:rPr>
      </w:pPr>
      <w:r w:rsidRPr="00AC19AC">
        <w:rPr>
          <w:rFonts w:ascii="Arial" w:eastAsia="Calibri" w:hAnsi="Arial" w:cs="Arial"/>
          <w:color w:val="000000"/>
          <w:sz w:val="22"/>
          <w:szCs w:val="22"/>
          <w:lang w:val="es-ES" w:eastAsia="es-ES"/>
        </w:rPr>
        <w:t>ii) Documentos tipo para licitación de obra pública de infraestructura de transporte –versión 2–, obligatorios para los procesos cuyo aviso de convocatoria se haya publicado desde el 10 de marzo de 2020.</w:t>
      </w:r>
    </w:p>
    <w:p w14:paraId="3C92D840" w14:textId="77777777" w:rsidR="004E40A3" w:rsidRPr="00AC19AC" w:rsidRDefault="004E40A3" w:rsidP="004E40A3">
      <w:pPr>
        <w:spacing w:before="120" w:line="276" w:lineRule="auto"/>
        <w:ind w:firstLine="709"/>
        <w:jc w:val="both"/>
        <w:rPr>
          <w:rFonts w:ascii="Arial" w:eastAsia="Calibri" w:hAnsi="Arial" w:cs="Arial"/>
          <w:color w:val="000000"/>
          <w:sz w:val="22"/>
          <w:szCs w:val="22"/>
          <w:lang w:val="es-ES" w:eastAsia="es-ES"/>
        </w:rPr>
      </w:pPr>
      <w:r w:rsidRPr="00AC19AC">
        <w:rPr>
          <w:rFonts w:ascii="Arial" w:eastAsia="Calibri" w:hAnsi="Arial" w:cs="Arial"/>
          <w:color w:val="000000"/>
          <w:sz w:val="22"/>
          <w:szCs w:val="22"/>
          <w:lang w:val="es-ES" w:eastAsia="es-ES"/>
        </w:rPr>
        <w:t>iii) Documentos tipo para licitación de obra pública de infraestructura de transporte –versión 3–, obligatorios para los procesos cuyo aviso de convocatoria se haya publicado desde el 1 de enero de 2021.</w:t>
      </w:r>
    </w:p>
    <w:p w14:paraId="687EF36D" w14:textId="77777777" w:rsidR="004E40A3" w:rsidRPr="00AC19AC" w:rsidRDefault="004E40A3" w:rsidP="004E40A3">
      <w:pPr>
        <w:spacing w:before="120" w:line="276" w:lineRule="auto"/>
        <w:ind w:firstLine="709"/>
        <w:jc w:val="both"/>
        <w:rPr>
          <w:rFonts w:ascii="Arial" w:eastAsia="Calibri" w:hAnsi="Arial" w:cs="Arial"/>
          <w:color w:val="000000"/>
          <w:sz w:val="22"/>
          <w:szCs w:val="22"/>
          <w:lang w:val="es-ES" w:eastAsia="es-ES"/>
        </w:rPr>
      </w:pPr>
      <w:r w:rsidRPr="00AC19AC">
        <w:rPr>
          <w:rFonts w:ascii="Arial" w:eastAsia="Calibri" w:hAnsi="Arial" w:cs="Arial"/>
          <w:color w:val="000000"/>
          <w:sz w:val="22"/>
          <w:szCs w:val="22"/>
          <w:lang w:val="es-ES" w:eastAsia="es-ES"/>
        </w:rPr>
        <w:t>iv) Documentos tipo para procesos de selección abreviada de menor cuantía de infraestructura de transporte –versión 1–, obligatorios para los procesos cuyo aviso de convocatoria se haya publicado desde el 17 de febrero de 2020.</w:t>
      </w:r>
    </w:p>
    <w:p w14:paraId="694D972E" w14:textId="77777777" w:rsidR="004E40A3" w:rsidRPr="00AC19AC" w:rsidRDefault="004E40A3" w:rsidP="004E40A3">
      <w:pPr>
        <w:spacing w:before="120" w:line="276" w:lineRule="auto"/>
        <w:ind w:firstLine="709"/>
        <w:jc w:val="both"/>
        <w:rPr>
          <w:rFonts w:ascii="Arial" w:eastAsia="Calibri" w:hAnsi="Arial" w:cs="Arial"/>
          <w:color w:val="000000"/>
          <w:sz w:val="22"/>
          <w:szCs w:val="22"/>
          <w:lang w:val="es-ES" w:eastAsia="es-ES"/>
        </w:rPr>
      </w:pPr>
      <w:r w:rsidRPr="00AC19AC">
        <w:rPr>
          <w:rFonts w:ascii="Arial" w:eastAsia="Calibri" w:hAnsi="Arial" w:cs="Arial"/>
          <w:color w:val="000000"/>
          <w:sz w:val="22"/>
          <w:szCs w:val="22"/>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60AD9FD8" w14:textId="77777777" w:rsidR="004E40A3" w:rsidRPr="00AC19AC" w:rsidRDefault="004E40A3" w:rsidP="004E40A3">
      <w:pPr>
        <w:spacing w:before="120" w:line="276" w:lineRule="auto"/>
        <w:ind w:firstLine="709"/>
        <w:jc w:val="both"/>
        <w:rPr>
          <w:rFonts w:ascii="Arial" w:eastAsia="Calibri" w:hAnsi="Arial" w:cs="Arial"/>
          <w:color w:val="000000"/>
          <w:sz w:val="22"/>
          <w:szCs w:val="22"/>
          <w:lang w:val="es-ES" w:eastAsia="es-ES"/>
        </w:rPr>
      </w:pPr>
      <w:r w:rsidRPr="00AC19AC">
        <w:rPr>
          <w:rFonts w:ascii="Arial" w:eastAsia="Calibri" w:hAnsi="Arial" w:cs="Arial"/>
          <w:color w:val="000000"/>
          <w:sz w:val="22"/>
          <w:szCs w:val="22"/>
          <w:lang w:val="es-ES" w:eastAsia="es-ES"/>
        </w:rPr>
        <w:t>vi) Documentos tipo para procesos de mínima cuantía de infraestructura de transporte, obligatorios para los procesos cuya invitación pública se haya publicado a partir del 10 de junio de 2020.</w:t>
      </w:r>
    </w:p>
    <w:p w14:paraId="7FD9FD07" w14:textId="77777777" w:rsidR="004E40A3" w:rsidRPr="00AC19AC" w:rsidRDefault="004E40A3" w:rsidP="004E40A3">
      <w:pPr>
        <w:spacing w:before="120" w:line="276" w:lineRule="auto"/>
        <w:ind w:firstLine="709"/>
        <w:jc w:val="both"/>
        <w:rPr>
          <w:rFonts w:ascii="Arial" w:eastAsia="Calibri" w:hAnsi="Arial" w:cs="Arial"/>
          <w:color w:val="000000"/>
          <w:sz w:val="22"/>
          <w:szCs w:val="22"/>
          <w:lang w:val="es-ES" w:eastAsia="es-ES"/>
        </w:rPr>
      </w:pPr>
      <w:r w:rsidRPr="00AC19AC">
        <w:rPr>
          <w:rFonts w:ascii="Arial" w:eastAsia="Calibri" w:hAnsi="Arial" w:cs="Arial"/>
          <w:color w:val="000000"/>
          <w:sz w:val="22"/>
          <w:szCs w:val="22"/>
          <w:lang w:val="es-ES" w:eastAsia="es-ES"/>
        </w:rPr>
        <w:lastRenderedPageBreak/>
        <w:t>vii) Documentos tipo para procesos de concurso de méritos para contratar la interventoría de obras públicas de infraestructura de transporte, obligatorios para los procesos cuyo aviso de convocatoria se haya publicado desde el 1 de enero de 2021.</w:t>
      </w:r>
    </w:p>
    <w:p w14:paraId="68CCF465" w14:textId="77777777" w:rsidR="004E40A3" w:rsidRPr="00AC19AC" w:rsidRDefault="004E40A3" w:rsidP="004E40A3">
      <w:pPr>
        <w:spacing w:before="120" w:line="276" w:lineRule="auto"/>
        <w:ind w:firstLine="709"/>
        <w:jc w:val="both"/>
        <w:rPr>
          <w:rFonts w:ascii="Arial" w:eastAsia="Calibri" w:hAnsi="Arial" w:cs="Arial"/>
          <w:color w:val="000000"/>
          <w:sz w:val="22"/>
          <w:szCs w:val="22"/>
          <w:lang w:val="es-ES" w:eastAsia="es-ES"/>
        </w:rPr>
      </w:pPr>
      <w:r w:rsidRPr="00AC19AC">
        <w:rPr>
          <w:rFonts w:ascii="Arial" w:eastAsia="Calibri" w:hAnsi="Arial" w:cs="Arial"/>
          <w:color w:val="000000"/>
          <w:sz w:val="22"/>
          <w:szCs w:val="22"/>
          <w:lang w:val="es-ES" w:eastAsia="es-ES"/>
        </w:rPr>
        <w:t>viii) Documentos tipo para procesos de licitación pública para obras de infraestructura de agua potable y saneamiento básico, obligatorios para los procesos cuyo aviso de convocatoria se haya publicado desde el 11 de diciembre de 2020.</w:t>
      </w:r>
    </w:p>
    <w:p w14:paraId="19C8B477" w14:textId="77777777" w:rsidR="004E40A3" w:rsidRPr="00AC19AC" w:rsidRDefault="004E40A3" w:rsidP="004E40A3">
      <w:pPr>
        <w:spacing w:before="120" w:line="276" w:lineRule="auto"/>
        <w:ind w:firstLine="709"/>
        <w:jc w:val="both"/>
        <w:rPr>
          <w:rFonts w:ascii="Arial" w:eastAsia="Calibri" w:hAnsi="Arial" w:cs="Arial"/>
          <w:color w:val="000000"/>
          <w:sz w:val="22"/>
          <w:szCs w:val="22"/>
          <w:lang w:val="es-ES" w:eastAsia="es-ES"/>
        </w:rPr>
      </w:pPr>
      <w:r w:rsidRPr="00AC19AC">
        <w:rPr>
          <w:rFonts w:ascii="Arial" w:eastAsia="Calibri" w:hAnsi="Arial" w:cs="Arial"/>
          <w:color w:val="000000"/>
          <w:sz w:val="22"/>
          <w:szCs w:val="22"/>
          <w:lang w:val="es-ES" w:eastAsia="es-ES"/>
        </w:rPr>
        <w:t>ix)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43BFF0AD" w14:textId="77777777" w:rsidR="004E40A3" w:rsidRPr="00AC19AC" w:rsidRDefault="004E40A3" w:rsidP="004E40A3">
      <w:pPr>
        <w:spacing w:before="120" w:line="276" w:lineRule="auto"/>
        <w:ind w:firstLine="709"/>
        <w:jc w:val="both"/>
        <w:rPr>
          <w:rFonts w:ascii="Arial" w:eastAsia="Calibri" w:hAnsi="Arial" w:cs="Arial"/>
          <w:color w:val="000000"/>
          <w:sz w:val="22"/>
          <w:szCs w:val="22"/>
          <w:lang w:val="es-ES" w:eastAsia="es-ES"/>
        </w:rPr>
      </w:pPr>
      <w:r w:rsidRPr="00AC19AC">
        <w:rPr>
          <w:rFonts w:ascii="Arial" w:eastAsia="Calibri" w:hAnsi="Arial" w:cs="Arial"/>
          <w:color w:val="000000"/>
          <w:sz w:val="22"/>
          <w:szCs w:val="22"/>
          <w:lang w:val="es-ES" w:eastAsia="es-ES"/>
        </w:rPr>
        <w:t>x) Documentos tipo para procesos de gestión catastral con enfoque multipropósito que se celebren a través de contratos interadministrativos, a partir del 1 de febrero de 2021.</w:t>
      </w:r>
    </w:p>
    <w:p w14:paraId="35810693" w14:textId="77777777" w:rsidR="004E40A3" w:rsidRPr="00AC19AC" w:rsidRDefault="004E40A3" w:rsidP="004E40A3">
      <w:pPr>
        <w:spacing w:before="120" w:after="120" w:line="276" w:lineRule="auto"/>
        <w:ind w:firstLine="709"/>
        <w:jc w:val="both"/>
        <w:rPr>
          <w:rFonts w:ascii="Arial" w:eastAsia="Calibri" w:hAnsi="Arial" w:cs="Arial"/>
          <w:color w:val="000000"/>
          <w:sz w:val="22"/>
          <w:szCs w:val="22"/>
          <w:lang w:val="es-ES" w:eastAsia="es-ES"/>
        </w:rPr>
      </w:pPr>
      <w:r w:rsidRPr="00AC19AC">
        <w:rPr>
          <w:rFonts w:ascii="Arial" w:eastAsia="Calibri" w:hAnsi="Arial" w:cs="Arial"/>
          <w:color w:val="000000"/>
          <w:sz w:val="22"/>
          <w:szCs w:val="22"/>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31E5F432" w14:textId="77777777" w:rsidR="004E40A3" w:rsidRPr="00AC19AC" w:rsidRDefault="004E40A3" w:rsidP="004E40A3">
      <w:pPr>
        <w:spacing w:after="120" w:line="276" w:lineRule="auto"/>
        <w:ind w:firstLine="708"/>
        <w:jc w:val="both"/>
        <w:rPr>
          <w:rFonts w:ascii="Arial" w:eastAsia="Calibri" w:hAnsi="Arial" w:cs="Arial"/>
          <w:sz w:val="22"/>
          <w:szCs w:val="22"/>
          <w:lang w:val="es-ES_tradnl"/>
        </w:rPr>
      </w:pPr>
      <w:r w:rsidRPr="00AC19AC">
        <w:rPr>
          <w:rFonts w:ascii="Arial" w:eastAsia="Calibri" w:hAnsi="Arial" w:cs="Arial"/>
          <w:color w:val="000000"/>
          <w:sz w:val="22"/>
          <w:szCs w:val="22"/>
          <w:lang w:val="es-ES" w:eastAsia="es-ES"/>
        </w:rPr>
        <w:t xml:space="preserve">xii) Documentos tipo para procesos de licitación de obra pública de infraestructura social, que </w:t>
      </w:r>
      <w:r w:rsidRPr="00AC19AC">
        <w:rPr>
          <w:rFonts w:ascii="Arial" w:hAnsi="Arial" w:cs="Arial"/>
          <w:sz w:val="22"/>
          <w:szCs w:val="22"/>
          <w:lang w:val="es-ES_tradnl"/>
        </w:rPr>
        <w:t>entrarán a regir de acuerdo con los términos establecidos en el artículo 6 de la Resolución 219 de 2021 −modificado por el artículo 1 de la Resolución 336 del 2 de noviembre de 2021−</w:t>
      </w:r>
      <w:r w:rsidRPr="00AC19AC">
        <w:rPr>
          <w:rFonts w:ascii="Arial" w:eastAsia="Calibri" w:hAnsi="Arial" w:cs="Arial"/>
          <w:sz w:val="22"/>
          <w:szCs w:val="22"/>
          <w:lang w:val="es-ES_tradnl"/>
        </w:rPr>
        <w:t>.</w:t>
      </w:r>
    </w:p>
    <w:p w14:paraId="5DD5DDE1" w14:textId="77777777" w:rsidR="004E40A3" w:rsidRPr="00AC19AC" w:rsidRDefault="004E40A3" w:rsidP="004E40A3">
      <w:pPr>
        <w:spacing w:after="120" w:line="276" w:lineRule="auto"/>
        <w:ind w:firstLine="708"/>
        <w:jc w:val="both"/>
        <w:rPr>
          <w:rFonts w:ascii="Arial" w:eastAsia="Calibri" w:hAnsi="Arial" w:cs="Arial"/>
          <w:sz w:val="22"/>
          <w:szCs w:val="22"/>
          <w:lang w:val="es-ES_tradnl"/>
        </w:rPr>
      </w:pPr>
      <w:r w:rsidRPr="00AC19AC">
        <w:rPr>
          <w:rFonts w:ascii="Arial" w:eastAsia="Calibri" w:hAnsi="Arial" w:cs="Arial"/>
          <w:color w:val="000000"/>
          <w:sz w:val="22"/>
          <w:szCs w:val="22"/>
          <w:lang w:val="es-ES" w:eastAsia="es-ES"/>
        </w:rPr>
        <w:t xml:space="preserve">xiii) Documentos tipo complementarios para los procesos de licitación de obra pública de infraestructura social relacionados con el sector educativo, que </w:t>
      </w:r>
      <w:r w:rsidRPr="00AC19AC">
        <w:rPr>
          <w:rFonts w:ascii="Arial" w:hAnsi="Arial" w:cs="Arial"/>
          <w:sz w:val="22"/>
          <w:szCs w:val="22"/>
          <w:lang w:val="es-ES_tradnl"/>
        </w:rPr>
        <w:t>entrarán a regir de acuerdo con los términos establecidos en el artículo 6 de la Resolución 219 de 2021 −modificado por el artículo 1 de la Resolución 336 del 2 de noviembre de 2021−.</w:t>
      </w:r>
    </w:p>
    <w:p w14:paraId="70ADF805" w14:textId="77777777" w:rsidR="004E40A3" w:rsidRPr="00AC19AC" w:rsidRDefault="004E40A3" w:rsidP="004E40A3">
      <w:pPr>
        <w:spacing w:after="120" w:line="276" w:lineRule="auto"/>
        <w:ind w:firstLine="708"/>
        <w:jc w:val="both"/>
        <w:rPr>
          <w:rFonts w:ascii="Arial" w:eastAsia="Calibri" w:hAnsi="Arial" w:cs="Arial"/>
          <w:sz w:val="22"/>
          <w:szCs w:val="22"/>
          <w:lang w:val="es-ES_tradnl"/>
        </w:rPr>
      </w:pPr>
      <w:r w:rsidRPr="00AC19AC">
        <w:rPr>
          <w:rFonts w:ascii="Arial" w:eastAsia="Calibri" w:hAnsi="Arial" w:cs="Arial"/>
          <w:color w:val="000000"/>
          <w:sz w:val="22"/>
          <w:szCs w:val="22"/>
          <w:lang w:val="es-ES" w:eastAsia="es-ES"/>
        </w:rPr>
        <w:t xml:space="preserve">xiv) Documentos tipo complementarios para los procesos de licitación de obra pública de infraestructura social relacionados con el sector salud, que entrarán a regir </w:t>
      </w:r>
      <w:r w:rsidRPr="00AC19AC">
        <w:rPr>
          <w:rFonts w:ascii="Arial" w:hAnsi="Arial" w:cs="Arial"/>
          <w:sz w:val="22"/>
          <w:szCs w:val="22"/>
          <w:lang w:val="es-ES_tradnl"/>
        </w:rPr>
        <w:t>de acuerdo con los términos establecidos en el artículo 6 de la Resolución 219 de 2021 −modificado por el artículo 1 de la Resolución 336 del 2 de noviembre de 2021− y en el artículo 4 de la Resolución 392 de 18 de noviembre de 2021</w:t>
      </w:r>
      <w:r w:rsidRPr="00AC19AC">
        <w:rPr>
          <w:rFonts w:ascii="Arial" w:eastAsia="Calibri" w:hAnsi="Arial" w:cs="Arial"/>
          <w:sz w:val="22"/>
          <w:szCs w:val="22"/>
          <w:lang w:val="es-ES_tradnl"/>
        </w:rPr>
        <w:t>.</w:t>
      </w:r>
    </w:p>
    <w:p w14:paraId="5D10DE9C" w14:textId="36C1AF37" w:rsidR="004E40A3" w:rsidRPr="00AC19AC" w:rsidRDefault="004E40A3" w:rsidP="004E40A3">
      <w:pPr>
        <w:spacing w:after="120" w:line="276" w:lineRule="auto"/>
        <w:ind w:firstLine="708"/>
        <w:jc w:val="both"/>
        <w:rPr>
          <w:rFonts w:ascii="Arial" w:eastAsia="Calibri" w:hAnsi="Arial" w:cs="Arial"/>
          <w:sz w:val="22"/>
          <w:szCs w:val="22"/>
          <w:lang w:val="es-ES_tradnl"/>
        </w:rPr>
      </w:pPr>
      <w:r w:rsidRPr="00AC19AC">
        <w:rPr>
          <w:rFonts w:ascii="Arial" w:eastAsia="Calibri" w:hAnsi="Arial" w:cs="Arial"/>
          <w:sz w:val="22"/>
          <w:szCs w:val="22"/>
          <w:lang w:val="es-ES_tradnl"/>
        </w:rPr>
        <w:t xml:space="preserve">xv) </w:t>
      </w:r>
      <w:r w:rsidRPr="00AC19AC">
        <w:rPr>
          <w:rFonts w:ascii="Arial" w:eastAsia="Calibri" w:hAnsi="Arial" w:cs="Arial"/>
          <w:color w:val="000000"/>
          <w:sz w:val="22"/>
          <w:szCs w:val="22"/>
          <w:lang w:val="es-ES" w:eastAsia="es-ES"/>
        </w:rPr>
        <w:t>Documentos tipo complementarios para los procesos de licitación de obra pública de infraestructura social relacionados con el sector cultura, recreación y deporte</w:t>
      </w:r>
      <w:r w:rsidRPr="00AC19AC">
        <w:rPr>
          <w:rFonts w:ascii="Arial" w:eastAsia="Calibri" w:hAnsi="Arial" w:cs="Arial"/>
          <w:sz w:val="22"/>
          <w:szCs w:val="22"/>
          <w:lang w:val="es-ES_tradnl"/>
        </w:rPr>
        <w:t xml:space="preserve">, </w:t>
      </w:r>
      <w:r w:rsidRPr="00AC19AC">
        <w:rPr>
          <w:rFonts w:ascii="Arial" w:eastAsia="Calibri" w:hAnsi="Arial" w:cs="Arial"/>
          <w:color w:val="000000"/>
          <w:sz w:val="22"/>
          <w:szCs w:val="22"/>
          <w:lang w:val="es-ES" w:eastAsia="es-ES"/>
        </w:rPr>
        <w:t xml:space="preserve">que entrarán a regir </w:t>
      </w:r>
      <w:r w:rsidRPr="00AC19AC">
        <w:rPr>
          <w:rFonts w:ascii="Arial" w:hAnsi="Arial" w:cs="Arial"/>
          <w:sz w:val="22"/>
          <w:szCs w:val="22"/>
          <w:lang w:val="es-ES_tradnl"/>
        </w:rPr>
        <w:t>de acuerdo con los términos establecidos en el artículo 4 de la Resolución 454 de 2021</w:t>
      </w:r>
      <w:r w:rsidR="00910FF7" w:rsidRPr="00AC19AC">
        <w:rPr>
          <w:rStyle w:val="Refdenotaalpie"/>
          <w:rFonts w:ascii="Arial" w:hAnsi="Arial" w:cs="Arial"/>
          <w:sz w:val="22"/>
          <w:szCs w:val="22"/>
          <w:lang w:val="es-ES_tradnl"/>
        </w:rPr>
        <w:footnoteReference w:id="7"/>
      </w:r>
      <w:r w:rsidR="00910FF7" w:rsidRPr="00AC19AC">
        <w:rPr>
          <w:rFonts w:ascii="Arial" w:hAnsi="Arial" w:cs="Arial"/>
          <w:sz w:val="22"/>
          <w:szCs w:val="22"/>
          <w:lang w:val="es-ES_tradnl"/>
        </w:rPr>
        <w:t>.</w:t>
      </w:r>
    </w:p>
    <w:p w14:paraId="6B38FE2E" w14:textId="77777777" w:rsidR="004E40A3" w:rsidRPr="00AC19AC" w:rsidRDefault="004E40A3" w:rsidP="004E40A3">
      <w:pPr>
        <w:shd w:val="clear" w:color="auto" w:fill="FFFFFF"/>
        <w:spacing w:line="276" w:lineRule="auto"/>
        <w:ind w:firstLine="709"/>
        <w:jc w:val="both"/>
        <w:textAlignment w:val="baseline"/>
        <w:rPr>
          <w:rFonts w:ascii="Arial" w:eastAsia="Calibri" w:hAnsi="Arial" w:cs="Arial"/>
          <w:color w:val="000000"/>
          <w:sz w:val="22"/>
          <w:szCs w:val="22"/>
          <w:bdr w:val="none" w:sz="0" w:space="0" w:color="auto" w:frame="1"/>
          <w:lang w:val="es-ES_tradnl"/>
        </w:rPr>
      </w:pPr>
      <w:r w:rsidRPr="00AC19AC">
        <w:rPr>
          <w:rFonts w:ascii="Arial" w:eastAsia="Calibri" w:hAnsi="Arial" w:cs="Arial"/>
          <w:sz w:val="22"/>
          <w:szCs w:val="22"/>
        </w:rPr>
        <w:t xml:space="preserve">De acuerdo con lo expuesto, </w:t>
      </w:r>
      <w:r w:rsidRPr="00AC19AC">
        <w:rPr>
          <w:rFonts w:ascii="Arial" w:eastAsia="Calibri" w:hAnsi="Arial" w:cs="Arial"/>
          <w:color w:val="000000"/>
          <w:sz w:val="22"/>
          <w:szCs w:val="22"/>
          <w:bdr w:val="none" w:sz="0" w:space="0" w:color="auto" w:frame="1"/>
        </w:rPr>
        <w:t xml:space="preserve">los documentos tipo adoptados son obligatorios para las entidades estatales cuyos contratos se rijan por el Estatuto General de la Contratación de la Administración Pública, que adelanten procesos de contratación mediante la </w:t>
      </w:r>
      <w:r w:rsidRPr="00AC19AC">
        <w:rPr>
          <w:rFonts w:ascii="Arial" w:eastAsia="Calibri" w:hAnsi="Arial" w:cs="Arial"/>
          <w:color w:val="000000"/>
          <w:sz w:val="22"/>
          <w:szCs w:val="22"/>
          <w:bdr w:val="none" w:sz="0" w:space="0" w:color="auto" w:frame="1"/>
        </w:rPr>
        <w:lastRenderedPageBreak/>
        <w:t xml:space="preserve">modalidad que establecen los documentos tipo para cada sector y teniendo en cuenta el ámbito de aplicación determinado en la Matriz de Experiencia de cada documento tipo. </w:t>
      </w:r>
      <w:r w:rsidRPr="00AC19AC">
        <w:rPr>
          <w:rFonts w:ascii="Arial" w:eastAsia="Calibri" w:hAnsi="Arial" w:cs="Arial"/>
          <w:color w:val="000000"/>
          <w:sz w:val="22"/>
          <w:szCs w:val="22"/>
          <w:bdr w:val="none" w:sz="0" w:space="0" w:color="auto" w:frame="1"/>
          <w:lang w:val="es-ES_tradnl"/>
        </w:rPr>
        <w:t xml:space="preserve">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el documento tipo. De ser esto así, la entidad estará obligada a adelantar el proceso de contratación aplicando los documentos tipo del caso. </w:t>
      </w:r>
    </w:p>
    <w:p w14:paraId="18427A85" w14:textId="01EEC7F5" w:rsidR="00031AD9" w:rsidRPr="00AC19AC" w:rsidRDefault="00031AD9" w:rsidP="00AC19AC">
      <w:pPr>
        <w:pStyle w:val="Normal11pt"/>
        <w:spacing w:before="120" w:line="276" w:lineRule="auto"/>
        <w:ind w:left="0" w:firstLine="709"/>
        <w:rPr>
          <w:rFonts w:eastAsia="Calibri"/>
          <w:color w:val="auto"/>
          <w:lang w:eastAsia="en-US"/>
        </w:rPr>
      </w:pPr>
      <w:r w:rsidRPr="00AC19AC">
        <w:rPr>
          <w:rFonts w:eastAsia="Calibri"/>
          <w:color w:val="auto"/>
        </w:rPr>
        <w:t>Por último, cabe aclarar que la Agencia Nacional de Contratación Pública sigue avanzando en nuevos documentos tipo. Sin embargo, debe tenerse en cuenta que estos exigen un minucioso desarrollo en el cual se consideran las observaciones de las entidades técnicas y especializadas con la finalidad de adoptar documentos tipo que contengan las mejores prácticas contractuales que procuren el adecuado desarrollo de los principios que rigen la contratación pública.</w:t>
      </w:r>
    </w:p>
    <w:p w14:paraId="75C4D22E" w14:textId="1CFFA4CF" w:rsidR="00031AD9" w:rsidRPr="00AC19AC" w:rsidRDefault="00031AD9" w:rsidP="00E77523">
      <w:pPr>
        <w:tabs>
          <w:tab w:val="left" w:pos="0"/>
        </w:tabs>
        <w:spacing w:before="240" w:line="276" w:lineRule="auto"/>
        <w:jc w:val="both"/>
        <w:rPr>
          <w:rFonts w:ascii="Arial" w:eastAsia="Calibri" w:hAnsi="Arial" w:cs="Arial"/>
          <w:b/>
          <w:sz w:val="22"/>
          <w:lang w:val="es-ES_tradnl"/>
        </w:rPr>
      </w:pPr>
      <w:r w:rsidRPr="00AC19AC">
        <w:rPr>
          <w:rFonts w:ascii="Arial" w:eastAsia="Calibri" w:hAnsi="Arial" w:cs="Arial"/>
          <w:b/>
          <w:sz w:val="22"/>
          <w:lang w:val="es-ES_tradnl"/>
        </w:rPr>
        <w:t xml:space="preserve">2.2. </w:t>
      </w:r>
      <w:bookmarkStart w:id="8" w:name="_Hlk95322387"/>
      <w:r w:rsidRPr="00AC19AC">
        <w:rPr>
          <w:rFonts w:ascii="Arial" w:eastAsia="Calibri" w:hAnsi="Arial" w:cs="Arial"/>
          <w:b/>
          <w:sz w:val="22"/>
          <w:lang w:val="es-ES_tradnl"/>
        </w:rPr>
        <w:t>Análisis del art</w:t>
      </w:r>
      <w:r w:rsidR="00103474" w:rsidRPr="00AC19AC">
        <w:rPr>
          <w:rFonts w:ascii="Arial" w:eastAsia="Calibri" w:hAnsi="Arial" w:cs="Arial"/>
          <w:b/>
          <w:sz w:val="22"/>
          <w:lang w:val="es-ES_tradnl"/>
        </w:rPr>
        <w:t xml:space="preserve">ículo 56 de la Ley 2195 de 2022 y </w:t>
      </w:r>
      <w:r w:rsidR="004E40A3" w:rsidRPr="00AC19AC">
        <w:rPr>
          <w:rFonts w:ascii="Arial" w:eastAsia="Calibri" w:hAnsi="Arial" w:cs="Arial"/>
          <w:b/>
          <w:sz w:val="22"/>
          <w:lang w:val="es-ES_tradnl"/>
        </w:rPr>
        <w:t xml:space="preserve">la eventual </w:t>
      </w:r>
      <w:r w:rsidR="00103474" w:rsidRPr="00AC19AC">
        <w:rPr>
          <w:rFonts w:ascii="Arial" w:eastAsia="Calibri" w:hAnsi="Arial" w:cs="Arial"/>
          <w:b/>
          <w:sz w:val="22"/>
          <w:lang w:val="es-ES_tradnl"/>
        </w:rPr>
        <w:t>a</w:t>
      </w:r>
      <w:r w:rsidRPr="00AC19AC">
        <w:rPr>
          <w:rFonts w:ascii="Arial" w:eastAsia="Calibri" w:hAnsi="Arial" w:cs="Arial"/>
          <w:b/>
          <w:sz w:val="22"/>
          <w:lang w:val="es-ES_tradnl"/>
        </w:rPr>
        <w:t>plicación obligatoria del Estatuto General de Contratación de la Administración Pública y de los documentos tipo en la contratación de las entidades estatales exceptuadas</w:t>
      </w:r>
      <w:r w:rsidR="004E40A3" w:rsidRPr="00AC19AC">
        <w:rPr>
          <w:rFonts w:ascii="Arial" w:eastAsia="Calibri" w:hAnsi="Arial" w:cs="Arial"/>
          <w:b/>
          <w:sz w:val="22"/>
          <w:lang w:val="es-ES_tradnl"/>
        </w:rPr>
        <w:t>, de los patrimonios autónomos y</w:t>
      </w:r>
      <w:r w:rsidRPr="00AC19AC">
        <w:rPr>
          <w:rFonts w:ascii="Arial" w:eastAsia="Calibri" w:hAnsi="Arial" w:cs="Arial"/>
          <w:b/>
          <w:sz w:val="22"/>
          <w:lang w:val="es-ES_tradnl"/>
        </w:rPr>
        <w:t xml:space="preserve"> de los particulares </w:t>
      </w:r>
      <w:bookmarkEnd w:id="8"/>
    </w:p>
    <w:p w14:paraId="1AC028D9" w14:textId="77777777" w:rsidR="00031AD9" w:rsidRPr="00AC19AC" w:rsidRDefault="00031AD9" w:rsidP="00E77523">
      <w:pPr>
        <w:tabs>
          <w:tab w:val="left" w:pos="0"/>
        </w:tabs>
        <w:spacing w:before="240" w:line="276" w:lineRule="auto"/>
        <w:jc w:val="both"/>
        <w:rPr>
          <w:rFonts w:ascii="Arial" w:eastAsia="Calibri" w:hAnsi="Arial" w:cs="Arial"/>
          <w:bCs/>
          <w:sz w:val="22"/>
          <w:lang w:val="es-ES_tradnl"/>
        </w:rPr>
      </w:pPr>
      <w:r w:rsidRPr="00AC19AC">
        <w:rPr>
          <w:rFonts w:ascii="Arial" w:eastAsia="Calibri" w:hAnsi="Arial" w:cs="Arial"/>
          <w:bCs/>
          <w:sz w:val="22"/>
          <w:lang w:val="es-ES_tradnl"/>
        </w:rPr>
        <w:t xml:space="preserve">Conforme se explicó en el acápite anterior, en virtud de la Ley 2022 de 2020, los documentos tipo expedidos por la Agencia Nacional de Contratación Pública son de aplicación obligatoria para las entidades estatales sometidas al Estatuto General de Contratación de la Administración Pública. En ese sentido, el contenido normativo de la Ley 2022 de 2020, y en su momento también la Ley 1882 de 2018 excluían del ámbito de aplicación de los documentos tipo la contratación de entidades estatales de régimen exceptuado, por lo general, sujetas al derecho privado. </w:t>
      </w:r>
    </w:p>
    <w:p w14:paraId="58EBC34E" w14:textId="77777777" w:rsidR="00031AD9" w:rsidRPr="00AC19AC" w:rsidRDefault="00031AD9" w:rsidP="00AC19AC">
      <w:pPr>
        <w:tabs>
          <w:tab w:val="left" w:pos="0"/>
        </w:tabs>
        <w:spacing w:before="120" w:line="276" w:lineRule="auto"/>
        <w:jc w:val="both"/>
        <w:rPr>
          <w:rFonts w:ascii="Arial" w:eastAsia="Calibri" w:hAnsi="Arial" w:cs="Arial"/>
          <w:bCs/>
          <w:sz w:val="22"/>
          <w:lang w:val="es-ES_tradnl"/>
        </w:rPr>
      </w:pPr>
      <w:r w:rsidRPr="00AC19AC">
        <w:rPr>
          <w:rFonts w:ascii="Arial" w:eastAsia="Calibri" w:hAnsi="Arial" w:cs="Arial"/>
          <w:b/>
          <w:sz w:val="22"/>
          <w:lang w:val="es-ES_tradnl"/>
        </w:rPr>
        <w:tab/>
      </w:r>
      <w:r w:rsidRPr="00AC19AC">
        <w:rPr>
          <w:rFonts w:ascii="Arial" w:eastAsia="Calibri" w:hAnsi="Arial" w:cs="Arial"/>
          <w:bCs/>
          <w:sz w:val="22"/>
          <w:lang w:val="es-ES_tradnl"/>
        </w:rPr>
        <w:t xml:space="preserve">No obstante, este panorama ha variado con la reciente expedición de la Ley 2195 de 2022, «Por medio de la cual se adoptan medidas en materia de transparencia, prevención y lucha contra la corrupción y se dictan otras disposiciones». De conformidad con su artículo 1, esta norma tiene por objeto la adopción de diferentes medidas tendientes a prevenir los actos de corrupción, reforzar la articulación de las entidades del Estado y a recuperar los daños ocasionados por la corrupción, promoviendo la cultura de la legalidad e integridad. </w:t>
      </w:r>
    </w:p>
    <w:p w14:paraId="74DA6986" w14:textId="2F3CFEEC" w:rsidR="00031AD9" w:rsidRPr="00AC19AC" w:rsidRDefault="00031AD9" w:rsidP="00AC19AC">
      <w:pPr>
        <w:tabs>
          <w:tab w:val="left" w:pos="0"/>
        </w:tabs>
        <w:spacing w:before="120" w:line="276" w:lineRule="auto"/>
        <w:jc w:val="both"/>
        <w:rPr>
          <w:rFonts w:ascii="Arial" w:eastAsia="Calibri" w:hAnsi="Arial" w:cs="Arial"/>
          <w:bCs/>
          <w:sz w:val="22"/>
          <w:lang w:val="es-ES_tradnl"/>
        </w:rPr>
      </w:pPr>
      <w:r w:rsidRPr="00AC19AC">
        <w:rPr>
          <w:rFonts w:ascii="Arial" w:eastAsia="Calibri" w:hAnsi="Arial" w:cs="Arial"/>
          <w:bCs/>
          <w:sz w:val="22"/>
          <w:lang w:val="es-ES_tradnl"/>
        </w:rPr>
        <w:tab/>
        <w:t xml:space="preserve">Entre las medidas adoptadas por la Ley mencionada se destaca el artículo 56, norma sobre la que versa la presente consulta. Esta disposición se refiere de manera expresa a los documentos tipo y a su aplicabilidad a sujetos diferentes de las entidades estatales </w:t>
      </w:r>
      <w:r w:rsidRPr="00AC19AC">
        <w:rPr>
          <w:rFonts w:ascii="Arial" w:eastAsia="Calibri" w:hAnsi="Arial" w:cs="Arial"/>
          <w:bCs/>
          <w:sz w:val="22"/>
          <w:lang w:val="es-ES_tradnl"/>
        </w:rPr>
        <w:lastRenderedPageBreak/>
        <w:t>sometidas al Estatuto General de Contratación de la Administración Pública. El tenor literal de este precepto prescribe lo siguiente:</w:t>
      </w:r>
    </w:p>
    <w:p w14:paraId="7A0F3D40" w14:textId="77777777" w:rsidR="00031AD9" w:rsidRPr="00AC19AC" w:rsidRDefault="00031AD9" w:rsidP="00E77523">
      <w:pPr>
        <w:tabs>
          <w:tab w:val="left" w:pos="0"/>
        </w:tabs>
        <w:spacing w:before="240"/>
        <w:ind w:left="709" w:right="709"/>
        <w:jc w:val="both"/>
        <w:rPr>
          <w:rFonts w:ascii="Arial" w:hAnsi="Arial" w:cs="Arial"/>
          <w:sz w:val="21"/>
          <w:szCs w:val="21"/>
          <w:lang w:val="es-ES_tradnl"/>
        </w:rPr>
      </w:pPr>
      <w:r w:rsidRPr="00AC19AC">
        <w:rPr>
          <w:rFonts w:ascii="Arial" w:hAnsi="Arial" w:cs="Arial"/>
          <w:sz w:val="21"/>
          <w:szCs w:val="21"/>
          <w:lang w:val="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7F64E601" w14:textId="61C8C74E" w:rsidR="00031AD9" w:rsidRPr="00AC19AC" w:rsidRDefault="00031AD9" w:rsidP="00467707">
      <w:pPr>
        <w:tabs>
          <w:tab w:val="left" w:pos="0"/>
        </w:tabs>
        <w:spacing w:before="240"/>
        <w:ind w:left="709" w:right="709"/>
        <w:jc w:val="both"/>
        <w:rPr>
          <w:rFonts w:ascii="Arial" w:hAnsi="Arial" w:cs="Arial"/>
          <w:sz w:val="21"/>
          <w:szCs w:val="21"/>
          <w:lang w:val="es-ES_tradnl"/>
        </w:rPr>
      </w:pPr>
      <w:r w:rsidRPr="00AC19AC">
        <w:rPr>
          <w:rFonts w:ascii="Arial" w:hAnsi="Arial" w:cs="Arial"/>
          <w:sz w:val="21"/>
          <w:szCs w:val="21"/>
          <w:lang w:val="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02D8964E" w14:textId="6E92E4FB" w:rsidR="00031AD9" w:rsidRPr="00AC19AC" w:rsidRDefault="00031AD9" w:rsidP="00467707">
      <w:pPr>
        <w:tabs>
          <w:tab w:val="left" w:pos="0"/>
        </w:tabs>
        <w:spacing w:before="240"/>
        <w:ind w:left="709" w:right="709"/>
        <w:jc w:val="both"/>
        <w:rPr>
          <w:rFonts w:ascii="Arial" w:eastAsia="Calibri" w:hAnsi="Arial" w:cs="Arial"/>
          <w:bCs/>
          <w:sz w:val="21"/>
          <w:szCs w:val="21"/>
          <w:lang w:val="es-ES_tradnl"/>
        </w:rPr>
      </w:pPr>
      <w:r w:rsidRPr="00AC19AC">
        <w:rPr>
          <w:rFonts w:ascii="Arial" w:hAnsi="Arial" w:cs="Arial"/>
          <w:sz w:val="21"/>
          <w:szCs w:val="21"/>
          <w:lang w:val="es-ES_tradnl"/>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AC19AC">
        <w:rPr>
          <w:rFonts w:ascii="Arial" w:hAnsi="Arial" w:cs="Arial"/>
          <w:i/>
          <w:iCs/>
          <w:sz w:val="21"/>
          <w:szCs w:val="21"/>
          <w:lang w:val="es-ES_tradnl"/>
        </w:rPr>
        <w:t>giro ordinario</w:t>
      </w:r>
      <w:r w:rsidRPr="00AC19AC">
        <w:rPr>
          <w:rFonts w:ascii="Arial" w:hAnsi="Arial" w:cs="Arial"/>
          <w:sz w:val="21"/>
          <w:szCs w:val="21"/>
          <w:lang w:val="es-ES_tradnl"/>
        </w:rPr>
        <w:t>. En estos casos, en los manuales de contratación de estas entidades, se fomentará como buena práctica la aplicación de los pliegos tipo.</w:t>
      </w:r>
    </w:p>
    <w:p w14:paraId="1B7ABD49" w14:textId="146775BC" w:rsidR="00031AD9" w:rsidRPr="00AC19AC" w:rsidRDefault="00031AD9" w:rsidP="00E77523">
      <w:pPr>
        <w:tabs>
          <w:tab w:val="left" w:pos="0"/>
        </w:tabs>
        <w:spacing w:before="240" w:line="276" w:lineRule="auto"/>
        <w:jc w:val="both"/>
        <w:rPr>
          <w:rFonts w:ascii="Arial" w:eastAsia="Calibri" w:hAnsi="Arial" w:cs="Arial"/>
          <w:bCs/>
          <w:sz w:val="22"/>
          <w:lang w:val="es-ES_tradnl"/>
        </w:rPr>
      </w:pPr>
      <w:r w:rsidRPr="00AC19AC">
        <w:rPr>
          <w:rFonts w:ascii="Arial" w:eastAsia="Calibri" w:hAnsi="Arial" w:cs="Arial"/>
          <w:bCs/>
          <w:sz w:val="22"/>
          <w:lang w:val="es-ES_tradnl"/>
        </w:rPr>
        <w:tab/>
        <w:t xml:space="preserve">Las implicaciones de lo establecido en esta norma son variadas y se presentan en múltiples ámbitos de la actividad contractual de las entidades estatales, que como consecuencia de la entrada en vigor de la disposición en cita, ven alterado su régimen jurídico. Es por esto por lo que una interpretación adecuada de esta disposición, orientada a establecer con precisión el alcance de sus efectos, exige detenerse sobre ciertos aspectos que, a juicio de esta Agencia, resulta indispensable analizar para la comprensión de la norma materia de consulta, los cuales se desarrollan a continuación.     </w:t>
      </w:r>
    </w:p>
    <w:p w14:paraId="4EBC67D2" w14:textId="77777777" w:rsidR="00031AD9" w:rsidRPr="00AC19AC" w:rsidRDefault="00031AD9" w:rsidP="00E77523">
      <w:pPr>
        <w:tabs>
          <w:tab w:val="left" w:pos="426"/>
        </w:tabs>
        <w:spacing w:before="240" w:line="276" w:lineRule="auto"/>
        <w:jc w:val="both"/>
        <w:rPr>
          <w:rFonts w:ascii="Arial" w:eastAsia="Calibri" w:hAnsi="Arial" w:cs="Arial"/>
          <w:b/>
          <w:i/>
          <w:iCs/>
          <w:sz w:val="22"/>
          <w:lang w:val="es-ES_tradnl"/>
        </w:rPr>
      </w:pPr>
      <w:r w:rsidRPr="00AC19AC">
        <w:rPr>
          <w:rFonts w:ascii="Arial" w:eastAsia="Calibri" w:hAnsi="Arial" w:cs="Arial"/>
          <w:b/>
          <w:iCs/>
          <w:sz w:val="22"/>
          <w:lang w:val="es-ES_tradnl"/>
        </w:rPr>
        <w:t>2.2.1.</w:t>
      </w:r>
      <w:r w:rsidRPr="00AC19AC">
        <w:rPr>
          <w:rFonts w:ascii="Arial" w:eastAsia="Calibri" w:hAnsi="Arial" w:cs="Arial"/>
          <w:b/>
          <w:i/>
          <w:iCs/>
          <w:sz w:val="22"/>
          <w:lang w:val="es-ES_tradnl"/>
        </w:rPr>
        <w:t xml:space="preserve"> </w:t>
      </w:r>
      <w:r w:rsidRPr="00AC19AC">
        <w:rPr>
          <w:rFonts w:ascii="Arial" w:eastAsia="Calibri" w:hAnsi="Arial" w:cs="Arial"/>
          <w:b/>
          <w:sz w:val="22"/>
          <w:lang w:val="es-ES_tradnl"/>
        </w:rPr>
        <w:t>Ámbito de aplicación y finalidad de la norma</w:t>
      </w:r>
    </w:p>
    <w:p w14:paraId="2CE7B603" w14:textId="1662554B" w:rsidR="00031AD9" w:rsidRPr="00AC19AC" w:rsidRDefault="00031AD9" w:rsidP="00E77523">
      <w:pPr>
        <w:tabs>
          <w:tab w:val="left" w:pos="0"/>
        </w:tabs>
        <w:spacing w:before="240" w:line="276" w:lineRule="auto"/>
        <w:jc w:val="both"/>
        <w:rPr>
          <w:rFonts w:ascii="Arial" w:eastAsia="Calibri" w:hAnsi="Arial" w:cs="Arial"/>
          <w:bCs/>
          <w:sz w:val="22"/>
          <w:lang w:val="es-ES_tradnl"/>
        </w:rPr>
      </w:pPr>
      <w:r w:rsidRPr="00AC19AC">
        <w:rPr>
          <w:rFonts w:ascii="Arial" w:eastAsia="Calibri" w:hAnsi="Arial" w:cs="Arial"/>
          <w:bCs/>
          <w:sz w:val="22"/>
          <w:lang w:val="es-ES_tradnl"/>
        </w:rPr>
        <w:t xml:space="preserve">Como se desprende de la parte inicial de la norma citada, </w:t>
      </w:r>
      <w:r w:rsidR="004136F2" w:rsidRPr="00AC19AC">
        <w:rPr>
          <w:rFonts w:ascii="Arial" w:eastAsia="Calibri" w:hAnsi="Arial" w:cs="Arial"/>
          <w:bCs/>
          <w:sz w:val="22"/>
          <w:szCs w:val="22"/>
          <w:lang w:val="es-ES_tradnl"/>
        </w:rPr>
        <w:t>esta</w:t>
      </w:r>
      <w:r w:rsidR="00467707" w:rsidRPr="00AC19AC">
        <w:rPr>
          <w:rFonts w:ascii="Arial" w:eastAsia="Calibri" w:hAnsi="Arial" w:cs="Arial"/>
          <w:bCs/>
          <w:sz w:val="22"/>
          <w:szCs w:val="22"/>
          <w:lang w:val="es-ES_tradnl"/>
        </w:rPr>
        <w:t xml:space="preserve"> se refiere a los contratos, convenios interadministrativos o de cualquier otra índole, celebrados entre entidades estatales sometidas al EGCAP con entidades estatales exceptuadas, patrimonios autónomos, personas naturales o jurídicas de derecho privado.</w:t>
      </w:r>
      <w:r w:rsidRPr="00AC19AC">
        <w:rPr>
          <w:rFonts w:ascii="Arial" w:eastAsia="Calibri" w:hAnsi="Arial" w:cs="Arial"/>
          <w:bCs/>
          <w:sz w:val="22"/>
          <w:lang w:val="es-ES_tradnl"/>
        </w:rPr>
        <w:t xml:space="preserve"> En ese sentido, este primer inciso formula un mandato dirigido a las entidades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w:t>
      </w:r>
    </w:p>
    <w:p w14:paraId="503E58F2" w14:textId="77777777" w:rsidR="00031AD9" w:rsidRPr="00AC19AC" w:rsidRDefault="00031AD9" w:rsidP="00AC19AC">
      <w:pPr>
        <w:tabs>
          <w:tab w:val="left" w:pos="0"/>
        </w:tabs>
        <w:spacing w:before="120" w:line="276" w:lineRule="auto"/>
        <w:jc w:val="both"/>
        <w:rPr>
          <w:rFonts w:ascii="Arial" w:eastAsia="Calibri" w:hAnsi="Arial" w:cs="Arial"/>
          <w:bCs/>
          <w:sz w:val="22"/>
          <w:lang w:val="es-ES_tradnl"/>
        </w:rPr>
      </w:pPr>
      <w:r w:rsidRPr="00AC19AC">
        <w:rPr>
          <w:rFonts w:ascii="Arial" w:eastAsia="Calibri" w:hAnsi="Arial" w:cs="Arial"/>
          <w:bCs/>
          <w:sz w:val="22"/>
          <w:lang w:val="es-ES_tradnl"/>
        </w:rPr>
        <w:lastRenderedPageBreak/>
        <w:tab/>
        <w:t xml:space="preserve">De acuerdo con esto,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02E71D2D" w14:textId="1BED86A9" w:rsidR="00031AD9" w:rsidRPr="00AC19AC" w:rsidRDefault="00031AD9" w:rsidP="00AC19AC">
      <w:pPr>
        <w:tabs>
          <w:tab w:val="left" w:pos="0"/>
        </w:tabs>
        <w:spacing w:before="120" w:line="276" w:lineRule="auto"/>
        <w:jc w:val="both"/>
        <w:rPr>
          <w:rFonts w:ascii="Arial" w:eastAsia="Calibri" w:hAnsi="Arial" w:cs="Arial"/>
          <w:bCs/>
          <w:sz w:val="22"/>
          <w:lang w:val="es-ES_tradnl"/>
        </w:rPr>
      </w:pPr>
      <w:r w:rsidRPr="00AC19AC">
        <w:rPr>
          <w:rFonts w:ascii="Arial" w:eastAsia="Calibri" w:hAnsi="Arial" w:cs="Arial"/>
          <w:bCs/>
          <w:sz w:val="22"/>
          <w:lang w:val="es-ES_tradnl"/>
        </w:rPr>
        <w:tab/>
        <w:t xml:space="preserve">Antes de la expedición del artículo 56 </w:t>
      </w:r>
      <w:r w:rsidRPr="00AC19AC">
        <w:rPr>
          <w:rFonts w:ascii="Arial" w:eastAsia="Calibri" w:hAnsi="Arial" w:cs="Arial"/>
          <w:bCs/>
          <w:i/>
          <w:iCs/>
          <w:sz w:val="22"/>
          <w:lang w:val="es-ES_tradnl"/>
        </w:rPr>
        <w:t>ibídem</w:t>
      </w:r>
      <w:r w:rsidR="00113FF2" w:rsidRPr="00AC19AC">
        <w:rPr>
          <w:rFonts w:ascii="Arial" w:eastAsia="Calibri" w:hAnsi="Arial" w:cs="Arial"/>
          <w:bCs/>
          <w:i/>
          <w:iCs/>
          <w:sz w:val="22"/>
          <w:lang w:val="es-ES_tradnl"/>
        </w:rPr>
        <w:t>,</w:t>
      </w:r>
      <w:r w:rsidRPr="00AC19AC">
        <w:rPr>
          <w:rFonts w:ascii="Arial" w:eastAsia="Calibri" w:hAnsi="Arial" w:cs="Arial"/>
          <w:bCs/>
          <w:sz w:val="22"/>
          <w:lang w:val="es-ES_tradnl"/>
        </w:rPr>
        <w:t xml:space="preserve"> la Ley 2022 de 2020 ya había establecido el mandato de aplicación obligatoria de los documentos tipo, atribuyendo a esta a Agencia la competencia para expedirlos. Dicha Ley restringe su aplicación en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w:t>
      </w:r>
      <w:r w:rsidR="00113FF2" w:rsidRPr="00AC19AC">
        <w:rPr>
          <w:rFonts w:ascii="Arial" w:eastAsia="Calibri" w:hAnsi="Arial" w:cs="Arial"/>
          <w:bCs/>
          <w:sz w:val="22"/>
          <w:lang w:val="es-ES_tradnl"/>
        </w:rPr>
        <w:t>0</w:t>
      </w:r>
      <w:r w:rsidRPr="00AC19AC">
        <w:rPr>
          <w:rFonts w:ascii="Arial" w:eastAsia="Calibri" w:hAnsi="Arial" w:cs="Arial"/>
          <w:bCs/>
          <w:sz w:val="22"/>
          <w:lang w:val="es-ES_tradnl"/>
        </w:rPr>
        <w:t>, incluso tratándose de obras o servicios para cuya contratación hubieren documentos tipo vigentes, como</w:t>
      </w:r>
      <w:r w:rsidR="00CE2A62" w:rsidRPr="00AC19AC">
        <w:rPr>
          <w:rFonts w:ascii="Arial" w:eastAsia="Calibri" w:hAnsi="Arial" w:cs="Arial"/>
          <w:bCs/>
          <w:sz w:val="22"/>
          <w:lang w:val="es-ES_tradnl"/>
        </w:rPr>
        <w:t xml:space="preserve"> </w:t>
      </w:r>
      <w:r w:rsidRPr="00AC19AC">
        <w:rPr>
          <w:rFonts w:ascii="Arial" w:eastAsia="Calibri" w:hAnsi="Arial" w:cs="Arial"/>
          <w:bCs/>
          <w:sz w:val="22"/>
          <w:lang w:val="es-ES_tradnl"/>
        </w:rPr>
        <w:t xml:space="preserve">quiera que la aplicación de estos solo era procedente cuando el régimen de la entidad contratante </w:t>
      </w:r>
      <w:r w:rsidR="00113FF2" w:rsidRPr="00AC19AC">
        <w:rPr>
          <w:rFonts w:ascii="Arial" w:eastAsia="Calibri" w:hAnsi="Arial" w:cs="Arial"/>
          <w:bCs/>
          <w:sz w:val="22"/>
          <w:lang w:val="es-ES_tradnl"/>
        </w:rPr>
        <w:t xml:space="preserve">fuera </w:t>
      </w:r>
      <w:r w:rsidRPr="00AC19AC">
        <w:rPr>
          <w:rFonts w:ascii="Arial" w:eastAsia="Calibri" w:hAnsi="Arial" w:cs="Arial"/>
          <w:bCs/>
          <w:sz w:val="22"/>
          <w:lang w:val="es-ES_tradnl"/>
        </w:rPr>
        <w:t xml:space="preserve">el EGCAP, toda vez que el parágrafo 7 del artículo 2 de la Ley 1150 de 2007 solo se refiere a la obligación de aplicar los documentos tipo en los Procesos de Contratación que adelanten las entidades sometidas al EGCAP. </w:t>
      </w:r>
    </w:p>
    <w:p w14:paraId="7756F1FB" w14:textId="77777777" w:rsidR="00031AD9" w:rsidRPr="00AC19AC" w:rsidRDefault="00031AD9" w:rsidP="00AC19AC">
      <w:pPr>
        <w:tabs>
          <w:tab w:val="left" w:pos="0"/>
        </w:tabs>
        <w:spacing w:before="120" w:line="276" w:lineRule="auto"/>
        <w:jc w:val="both"/>
        <w:rPr>
          <w:rFonts w:ascii="Arial" w:eastAsia="Calibri" w:hAnsi="Arial" w:cs="Arial"/>
          <w:bCs/>
          <w:sz w:val="22"/>
          <w:lang w:val="es-ES_tradnl"/>
        </w:rPr>
      </w:pPr>
      <w:r w:rsidRPr="00AC19AC">
        <w:rPr>
          <w:rFonts w:ascii="Arial" w:eastAsia="Calibri" w:hAnsi="Arial" w:cs="Arial"/>
          <w:bCs/>
          <w:sz w:val="22"/>
          <w:lang w:val="es-ES_tradnl"/>
        </w:rPr>
        <w:tab/>
        <w:t>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5D8E1196" w14:textId="77777777" w:rsidR="00031AD9" w:rsidRPr="00AC19AC" w:rsidRDefault="00031AD9" w:rsidP="00AC19AC">
      <w:pPr>
        <w:tabs>
          <w:tab w:val="left" w:pos="0"/>
        </w:tabs>
        <w:spacing w:before="120" w:line="276" w:lineRule="auto"/>
        <w:jc w:val="both"/>
        <w:rPr>
          <w:rFonts w:ascii="Arial" w:eastAsia="Calibri" w:hAnsi="Arial" w:cs="Arial"/>
          <w:bCs/>
          <w:sz w:val="22"/>
          <w:lang w:val="es-ES_tradnl"/>
        </w:rPr>
      </w:pPr>
      <w:r w:rsidRPr="00AC19AC">
        <w:rPr>
          <w:rFonts w:ascii="Arial" w:eastAsia="Calibri" w:hAnsi="Arial" w:cs="Arial"/>
          <w:bCs/>
          <w:sz w:val="22"/>
          <w:lang w:val="es-ES_tradnl"/>
        </w:rPr>
        <w:tab/>
        <w:t xml:space="preserve">En este escenario, </w:t>
      </w:r>
      <w:bookmarkStart w:id="9" w:name="_Hlk99351345"/>
      <w:r w:rsidRPr="00AC19AC">
        <w:rPr>
          <w:rFonts w:ascii="Arial" w:eastAsia="Calibri" w:hAnsi="Arial" w:cs="Arial"/>
          <w:bCs/>
          <w:sz w:val="22"/>
          <w:lang w:val="es-ES_tradnl"/>
        </w:rPr>
        <w:t xml:space="preserve">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patrimonios autónomos o iii) con personas naturales o jurídicas de derecho privado, tenga que hacerlo aplicando documentos tipo. Los efectos del primer inciso del artículo 56 se proyectarían entonces a los contratos o convenios que se deban celebrar con estos sujetos, </w:t>
      </w:r>
      <w:r w:rsidRPr="00AC19AC">
        <w:rPr>
          <w:rFonts w:ascii="Arial" w:eastAsia="Calibri" w:hAnsi="Arial" w:cs="Arial"/>
          <w:bCs/>
          <w:sz w:val="22"/>
          <w:lang w:val="es-ES_tradnl"/>
        </w:rPr>
        <w:lastRenderedPageBreak/>
        <w:t xml:space="preserve">cuyos objetos comprendan la adquisición de bienes, obras o servicios, que, al tenor de lo dispuesto en el apartado normativo bajo examen, deberán celebrarse mediante documentos tipo.      </w:t>
      </w:r>
    </w:p>
    <w:bookmarkEnd w:id="9"/>
    <w:p w14:paraId="2E458B86" w14:textId="556EEBA5" w:rsidR="00031AD9" w:rsidRPr="00AC19AC" w:rsidRDefault="00031AD9" w:rsidP="00AC19AC">
      <w:pPr>
        <w:tabs>
          <w:tab w:val="left" w:pos="0"/>
        </w:tabs>
        <w:spacing w:before="120" w:line="276" w:lineRule="auto"/>
        <w:jc w:val="both"/>
        <w:rPr>
          <w:rFonts w:ascii="Arial" w:eastAsia="Calibri" w:hAnsi="Arial" w:cs="Arial"/>
          <w:bCs/>
          <w:sz w:val="22"/>
          <w:lang w:val="es-ES_tradnl"/>
        </w:rPr>
      </w:pPr>
      <w:r w:rsidRPr="00AC19AC">
        <w:rPr>
          <w:rFonts w:ascii="Arial" w:eastAsia="Calibri" w:hAnsi="Arial" w:cs="Arial"/>
          <w:bCs/>
          <w:sz w:val="22"/>
          <w:lang w:val="es-ES_tradnl"/>
        </w:rPr>
        <w:tab/>
        <w:t>Sin perjuicio de lo anterior, solo es posible comprender los efectos de lo dispuesto en el artículo 56 de la Ley 2195 de 202</w:t>
      </w:r>
      <w:r w:rsidR="00825491" w:rsidRPr="00AC19AC">
        <w:rPr>
          <w:rFonts w:ascii="Arial" w:eastAsia="Calibri" w:hAnsi="Arial" w:cs="Arial"/>
          <w:bCs/>
          <w:sz w:val="22"/>
          <w:lang w:val="es-ES_tradnl"/>
        </w:rPr>
        <w:t>2</w:t>
      </w:r>
      <w:r w:rsidRPr="00AC19AC">
        <w:rPr>
          <w:rFonts w:ascii="Arial" w:eastAsia="Calibri" w:hAnsi="Arial" w:cs="Arial"/>
          <w:bCs/>
          <w:sz w:val="22"/>
          <w:lang w:val="es-ES_tradnl"/>
        </w:rPr>
        <w:t xml:space="preserve"> cuando se interpretan en conjunto todos sus componentes. Esto comoquiera que, a lo anterior se le suman las implicaciones de lo ordenado por el segundo inciso de la norma, en referencia a los procedimientos de selección y contratos que deban celebrarse en desarrollo de los negocios a los que se refiere el primer inciso, en los que, además de la aplicación de los documentos tipo, se dispone la aplicación del EGCAP. </w:t>
      </w:r>
    </w:p>
    <w:p w14:paraId="3D0659F7" w14:textId="04E02920" w:rsidR="00031AD9" w:rsidRPr="00AC19AC" w:rsidRDefault="00031AD9" w:rsidP="00AC19AC">
      <w:pPr>
        <w:tabs>
          <w:tab w:val="left" w:pos="0"/>
        </w:tabs>
        <w:spacing w:before="120" w:line="276" w:lineRule="auto"/>
        <w:jc w:val="both"/>
        <w:rPr>
          <w:rFonts w:ascii="Arial" w:eastAsia="Calibri" w:hAnsi="Arial" w:cs="Arial"/>
          <w:bCs/>
          <w:sz w:val="22"/>
          <w:lang w:val="es-ES_tradnl"/>
        </w:rPr>
      </w:pPr>
      <w:r w:rsidRPr="00AC19AC">
        <w:rPr>
          <w:rFonts w:ascii="Arial" w:eastAsia="Calibri" w:hAnsi="Arial" w:cs="Arial"/>
          <w:bCs/>
          <w:sz w:val="22"/>
          <w:lang w:val="es-ES_tradnl"/>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r w:rsidRPr="00AC19AC">
        <w:rPr>
          <w:rFonts w:ascii="Arial" w:eastAsia="Calibri" w:hAnsi="Arial" w:cs="Arial"/>
          <w:bCs/>
          <w:i/>
          <w:iCs/>
          <w:sz w:val="22"/>
          <w:lang w:val="es-ES_tradnl"/>
        </w:rPr>
        <w:t xml:space="preserve">ejusdem, </w:t>
      </w:r>
      <w:r w:rsidRPr="00AC19AC">
        <w:rPr>
          <w:rFonts w:ascii="Arial" w:eastAsia="Calibri" w:hAnsi="Arial" w:cs="Arial"/>
          <w:bCs/>
          <w:sz w:val="22"/>
          <w:lang w:val="es-ES_tradnl"/>
        </w:rPr>
        <w:t>si,</w:t>
      </w:r>
      <w:r w:rsidRPr="00AC19AC">
        <w:rPr>
          <w:rFonts w:ascii="Arial" w:eastAsia="Calibri" w:hAnsi="Arial" w:cs="Arial"/>
          <w:bCs/>
          <w:i/>
          <w:iCs/>
          <w:sz w:val="22"/>
          <w:lang w:val="es-ES_tradnl"/>
        </w:rPr>
        <w:t xml:space="preserve"> </w:t>
      </w:r>
      <w:r w:rsidRPr="00AC19AC">
        <w:rPr>
          <w:rFonts w:ascii="Arial" w:eastAsia="Calibri" w:hAnsi="Arial" w:cs="Arial"/>
          <w:bCs/>
          <w:sz w:val="22"/>
          <w:lang w:val="es-ES_tradnl"/>
        </w:rPr>
        <w:t xml:space="preserve">en efecto, deben subcontratar bienes, obras o servicios, en cumplimiento de un contrato o convenio con una entidad estatal sometida a la Ley 80 de 1993, deberá adelantar el procedimiento de selección, así como celebrar el respectivo contrato, implementando los documentos tipo  y aplicando las disposiciones del EGCAP. </w:t>
      </w:r>
    </w:p>
    <w:p w14:paraId="37B61ABE" w14:textId="77777777" w:rsidR="00031AD9" w:rsidRPr="00AC19AC" w:rsidRDefault="00031AD9" w:rsidP="00AC19AC">
      <w:pPr>
        <w:tabs>
          <w:tab w:val="left" w:pos="0"/>
        </w:tabs>
        <w:spacing w:before="120" w:line="276" w:lineRule="auto"/>
        <w:jc w:val="both"/>
        <w:rPr>
          <w:rFonts w:ascii="Arial" w:eastAsia="Calibri" w:hAnsi="Arial" w:cs="Arial"/>
          <w:bCs/>
          <w:sz w:val="22"/>
          <w:lang w:val="es-ES_tradnl"/>
        </w:rPr>
      </w:pPr>
      <w:r w:rsidRPr="00AC19AC">
        <w:rPr>
          <w:rFonts w:ascii="Arial" w:eastAsia="Calibri" w:hAnsi="Arial" w:cs="Arial"/>
          <w:bCs/>
          <w:sz w:val="22"/>
          <w:lang w:val="es-ES_tradnl"/>
        </w:rPr>
        <w:tab/>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entidades de régimen especial», como uno de los propósitos de la Ley.  Conforme se indica en la justificación jurídica del proyecto ley, este: </w:t>
      </w:r>
    </w:p>
    <w:p w14:paraId="25A16519" w14:textId="0253CCB4" w:rsidR="00AA42E3" w:rsidRPr="00AC19AC" w:rsidRDefault="00031AD9" w:rsidP="00CE2A62">
      <w:pPr>
        <w:tabs>
          <w:tab w:val="left" w:pos="0"/>
        </w:tabs>
        <w:spacing w:before="240"/>
        <w:ind w:left="709" w:right="709"/>
        <w:jc w:val="both"/>
        <w:rPr>
          <w:rFonts w:ascii="Arial" w:eastAsia="Calibri" w:hAnsi="Arial" w:cs="Arial"/>
          <w:bCs/>
          <w:sz w:val="21"/>
          <w:szCs w:val="21"/>
          <w:lang w:val="es-ES_tradnl"/>
        </w:rPr>
      </w:pPr>
      <w:r w:rsidRPr="00AC19AC">
        <w:rPr>
          <w:rFonts w:ascii="Arial" w:eastAsia="Calibri" w:hAnsi="Arial" w:cs="Arial"/>
          <w:bCs/>
          <w:sz w:val="21"/>
          <w:szCs w:val="21"/>
          <w:lang w:val="es-ES_tradnl"/>
        </w:rPr>
        <w:t xml:space="preserve">«[…]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w:t>
      </w:r>
      <w:r w:rsidRPr="00AC19AC">
        <w:rPr>
          <w:rFonts w:ascii="Arial" w:eastAsia="Calibri" w:hAnsi="Arial" w:cs="Arial"/>
          <w:bCs/>
          <w:sz w:val="21"/>
          <w:szCs w:val="21"/>
          <w:lang w:val="es-ES_tradnl"/>
        </w:rPr>
        <w:lastRenderedPageBreak/>
        <w:t>contratos realizados en dichos negocios jurídicos deben regirse por las normas de contratación pública»</w:t>
      </w:r>
      <w:r w:rsidRPr="00AC19AC">
        <w:rPr>
          <w:rStyle w:val="Refdenotaalpie"/>
          <w:rFonts w:ascii="Arial" w:eastAsia="Calibri" w:hAnsi="Arial" w:cs="Arial"/>
          <w:sz w:val="21"/>
          <w:szCs w:val="21"/>
        </w:rPr>
        <w:footnoteReference w:id="8"/>
      </w:r>
      <w:r w:rsidRPr="00AC19AC">
        <w:rPr>
          <w:rFonts w:ascii="Arial" w:eastAsia="Calibri" w:hAnsi="Arial" w:cs="Arial"/>
          <w:bCs/>
          <w:sz w:val="21"/>
          <w:szCs w:val="21"/>
          <w:lang w:val="es-ES_tradnl"/>
        </w:rPr>
        <w:t xml:space="preserve">. </w:t>
      </w:r>
    </w:p>
    <w:p w14:paraId="593E1767" w14:textId="63E0B78E" w:rsidR="002402A8" w:rsidRPr="00AC19AC" w:rsidRDefault="00031AD9" w:rsidP="00E77523">
      <w:pPr>
        <w:tabs>
          <w:tab w:val="left" w:pos="0"/>
        </w:tabs>
        <w:spacing w:before="240" w:line="276" w:lineRule="auto"/>
        <w:jc w:val="both"/>
        <w:rPr>
          <w:rFonts w:ascii="Arial" w:eastAsia="Calibri" w:hAnsi="Arial" w:cs="Arial"/>
          <w:bCs/>
          <w:sz w:val="22"/>
          <w:lang w:val="es-ES_tradnl"/>
        </w:rPr>
      </w:pPr>
      <w:r w:rsidRPr="00AC19AC">
        <w:rPr>
          <w:rFonts w:ascii="Arial" w:eastAsia="Calibri" w:hAnsi="Arial" w:cs="Arial"/>
          <w:bCs/>
          <w:sz w:val="22"/>
          <w:lang w:val="es-ES_tradnl"/>
        </w:rPr>
        <w:tab/>
        <w:t xml:space="preserve">De lo anterior se desprende que el propósito del legislador con la expedición de la norma objeto de consulta, tal como se ha explicado, es que las entidades estatales que tienen como régimen </w:t>
      </w:r>
      <w:r w:rsidR="00113FF2" w:rsidRPr="00AC19AC">
        <w:rPr>
          <w:rFonts w:ascii="Arial" w:eastAsia="Calibri" w:hAnsi="Arial" w:cs="Arial"/>
          <w:bCs/>
          <w:sz w:val="22"/>
          <w:lang w:val="es-ES_tradnl"/>
        </w:rPr>
        <w:t xml:space="preserve">contractual </w:t>
      </w:r>
      <w:r w:rsidRPr="00AC19AC">
        <w:rPr>
          <w:rFonts w:ascii="Arial" w:eastAsia="Calibri" w:hAnsi="Arial" w:cs="Arial"/>
          <w:bCs/>
          <w:sz w:val="22"/>
          <w:lang w:val="es-ES_tradnl"/>
        </w:rPr>
        <w:t xml:space="preserve">el EGCAP no puedan eludir su aplicación, ni la de los documentos tipo que resulten obligatorios, celebrando convenios o contratos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obras o servicios, siempre que exista documento tipo en el sector en el que se adelanta la contratación.  </w:t>
      </w:r>
    </w:p>
    <w:p w14:paraId="5FC7E762" w14:textId="39B84423" w:rsidR="00031AD9" w:rsidRPr="00AC19AC" w:rsidRDefault="00031AD9" w:rsidP="00E77523">
      <w:pPr>
        <w:tabs>
          <w:tab w:val="left" w:pos="0"/>
        </w:tabs>
        <w:spacing w:before="240" w:line="276" w:lineRule="auto"/>
        <w:jc w:val="both"/>
        <w:rPr>
          <w:rFonts w:ascii="Arial" w:eastAsia="Calibri" w:hAnsi="Arial" w:cs="Arial"/>
          <w:bCs/>
          <w:sz w:val="22"/>
          <w:lang w:val="es-ES_tradnl"/>
        </w:rPr>
      </w:pPr>
      <w:r w:rsidRPr="00AC19AC">
        <w:rPr>
          <w:rFonts w:ascii="Arial" w:eastAsia="Calibri" w:hAnsi="Arial" w:cs="Arial"/>
          <w:b/>
          <w:i/>
          <w:iCs/>
          <w:sz w:val="22"/>
          <w:lang w:val="es-ES_tradnl"/>
        </w:rPr>
        <w:t>2.2.2.</w:t>
      </w:r>
      <w:r w:rsidRPr="00AC19AC">
        <w:rPr>
          <w:rFonts w:ascii="Arial" w:eastAsia="Calibri" w:hAnsi="Arial" w:cs="Arial"/>
          <w:bCs/>
          <w:sz w:val="22"/>
          <w:lang w:val="es-ES_tradnl"/>
        </w:rPr>
        <w:t xml:space="preserve"> </w:t>
      </w:r>
      <w:r w:rsidRPr="00AC19AC">
        <w:rPr>
          <w:rFonts w:ascii="Arial" w:eastAsia="Calibri" w:hAnsi="Arial" w:cs="Arial"/>
          <w:b/>
          <w:sz w:val="22"/>
          <w:lang w:val="es-ES_tradnl"/>
        </w:rPr>
        <w:t>Aplicación prevalente del Estatuto General de Contratación de la Administración Pública por parte entidades exceptuadas. Aparente tensión con el literal c) del artículo 2, numeral 4, de la Ley 1150 de 2007.</w:t>
      </w:r>
    </w:p>
    <w:p w14:paraId="130493D7" w14:textId="77777777" w:rsidR="00031AD9" w:rsidRPr="00AC19AC" w:rsidRDefault="00031AD9" w:rsidP="00E77523">
      <w:pPr>
        <w:tabs>
          <w:tab w:val="left" w:pos="0"/>
        </w:tabs>
        <w:spacing w:before="240" w:line="276" w:lineRule="auto"/>
        <w:jc w:val="both"/>
        <w:rPr>
          <w:rFonts w:ascii="Arial" w:eastAsia="Calibri" w:hAnsi="Arial" w:cs="Arial"/>
          <w:bCs/>
          <w:sz w:val="22"/>
          <w:lang w:val="es-ES_tradnl"/>
        </w:rPr>
      </w:pPr>
      <w:r w:rsidRPr="00AC19AC">
        <w:rPr>
          <w:rFonts w:ascii="Arial" w:eastAsia="Calibri" w:hAnsi="Arial" w:cs="Arial"/>
          <w:bCs/>
          <w:sz w:val="22"/>
          <w:lang w:val="es-ES_tradnl"/>
        </w:rPr>
        <w:t>En este punto es necesario analizar los efectos del artículo 56 de la Ley 2195 de 2022, respecto de lo dispuesto en el artículo 2, numeral 4, de la Ley 1150 de 2007, particularmente, de lo establecido en el tercer inciso del literal c)</w:t>
      </w:r>
      <w:r w:rsidRPr="00AC19AC">
        <w:rPr>
          <w:rStyle w:val="Refdenotaalpie"/>
          <w:rFonts w:ascii="Arial" w:eastAsia="Calibri" w:hAnsi="Arial" w:cs="Arial"/>
        </w:rPr>
        <w:footnoteReference w:id="9"/>
      </w:r>
      <w:r w:rsidRPr="00AC19AC">
        <w:rPr>
          <w:rFonts w:ascii="Arial" w:eastAsia="Calibri" w:hAnsi="Arial" w:cs="Arial"/>
          <w:bCs/>
          <w:sz w:val="22"/>
          <w:lang w:val="es-ES_tradnl"/>
        </w:rPr>
        <w:t xml:space="preserve">. Lo anterior por cuanto </w:t>
      </w:r>
      <w:r w:rsidRPr="00AC19AC">
        <w:rPr>
          <w:rFonts w:ascii="Arial" w:eastAsia="Calibri" w:hAnsi="Arial" w:cs="Arial"/>
          <w:bCs/>
          <w:sz w:val="22"/>
          <w:lang w:val="es-ES_tradnl"/>
        </w:rPr>
        <w:lastRenderedPageBreak/>
        <w:t xml:space="preserve">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 en los que se imponía el derecho privado. En ese sentido, en este último evento el tercer inciso del literal c) del artículo 2-4 de la Ley 1150 de 2007, daba pie a la aplicación de normas de derecho privado, lo que evidencia una aparente tensión entre este y el artículo 56 de la Ley 2195 de 2022, en lo que se refiere al régimen aplicable en estas situaciones, comoquiera que en estos eventos, al tenor de lo dispuesto en esta última norma, deben aplicarse el EGCAP y los documentos tipo. </w:t>
      </w:r>
    </w:p>
    <w:p w14:paraId="31A84E89" w14:textId="77777777" w:rsidR="00031AD9" w:rsidRPr="00AC19AC" w:rsidRDefault="00031AD9" w:rsidP="00AC19AC">
      <w:pPr>
        <w:tabs>
          <w:tab w:val="left" w:pos="0"/>
        </w:tabs>
        <w:spacing w:before="120" w:line="276" w:lineRule="auto"/>
        <w:jc w:val="both"/>
        <w:rPr>
          <w:rFonts w:ascii="Arial" w:eastAsia="Calibri" w:hAnsi="Arial" w:cs="Arial"/>
          <w:bCs/>
          <w:sz w:val="22"/>
          <w:lang w:val="es-ES_tradnl"/>
        </w:rPr>
      </w:pPr>
      <w:r w:rsidRPr="00AC19AC">
        <w:rPr>
          <w:rFonts w:ascii="Arial" w:eastAsia="Calibri" w:hAnsi="Arial" w:cs="Arial"/>
          <w:bCs/>
          <w:sz w:val="22"/>
          <w:lang w:val="es-ES_tradnl"/>
        </w:rPr>
        <w:tab/>
        <w:t xml:space="preserve">Esto supone una aparente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establecen diferentes consecuencias jurídicas, ya que mientras que la primera norma dispone la aplicación del derecho privado, la última impone la aplicación de documentos tipo y del EGCAP. Esta aparente contradicción, necesariamente debe ser resuelta en favor del artículo 56 de la Ley 2195 de 2022, cuya aplicación debe ser privilegiada, al ser esta la norma expedida más recientemente. </w:t>
      </w:r>
    </w:p>
    <w:p w14:paraId="20D9B6C9" w14:textId="6A235720" w:rsidR="00031AD9" w:rsidRPr="00AC19AC" w:rsidRDefault="00031AD9" w:rsidP="00AC19AC">
      <w:pPr>
        <w:tabs>
          <w:tab w:val="left" w:pos="0"/>
        </w:tabs>
        <w:spacing w:before="120" w:line="276" w:lineRule="auto"/>
        <w:jc w:val="both"/>
        <w:rPr>
          <w:rFonts w:ascii="Arial" w:eastAsia="Calibri" w:hAnsi="Arial" w:cs="Arial"/>
          <w:bCs/>
          <w:sz w:val="22"/>
          <w:lang w:val="es-ES_tradnl"/>
        </w:rPr>
      </w:pPr>
      <w:r w:rsidRPr="00AC19AC">
        <w:rPr>
          <w:rFonts w:ascii="Arial" w:eastAsia="Calibri" w:hAnsi="Arial" w:cs="Arial"/>
          <w:bCs/>
          <w:sz w:val="22"/>
          <w:lang w:val="es-ES_tradnl"/>
        </w:rPr>
        <w:tab/>
        <w:t>En efecto, tratándose de disposiciones de igual jerarquía normativa</w:t>
      </w:r>
      <w:r w:rsidRPr="00AC19AC">
        <w:rPr>
          <w:rStyle w:val="Refdenotaalpie"/>
          <w:rFonts w:ascii="Arial" w:eastAsia="Calibri" w:hAnsi="Arial" w:cs="Arial"/>
        </w:rPr>
        <w:footnoteReference w:id="10"/>
      </w:r>
      <w:r w:rsidR="00825491" w:rsidRPr="00AC19AC">
        <w:rPr>
          <w:rFonts w:ascii="Arial" w:eastAsia="Calibri" w:hAnsi="Arial" w:cs="Arial"/>
          <w:bCs/>
          <w:sz w:val="22"/>
          <w:lang w:val="es-ES_tradnl"/>
        </w:rPr>
        <w:t xml:space="preserve"> </w:t>
      </w:r>
      <w:r w:rsidRPr="00AC19AC">
        <w:rPr>
          <w:rFonts w:ascii="Arial" w:eastAsia="Calibri" w:hAnsi="Arial" w:cs="Arial"/>
          <w:bCs/>
          <w:sz w:val="22"/>
          <w:lang w:val="es-ES_tradnl"/>
        </w:rPr>
        <w:t xml:space="preserve">–ambas son leyes ordinarias–, que coinciden en su ámbito de aplicación, debe colegirse que, en lo que </w:t>
      </w:r>
      <w:r w:rsidRPr="00AC19AC">
        <w:rPr>
          <w:rFonts w:ascii="Arial" w:eastAsia="Calibri" w:hAnsi="Arial" w:cs="Arial"/>
          <w:bCs/>
          <w:sz w:val="22"/>
          <w:lang w:val="es-ES_tradnl"/>
        </w:rPr>
        <w:lastRenderedPageBreak/>
        <w:t xml:space="preserve">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De acuerdo con lo expuesto, los efectos de esta modificación no solo se proyectan a la celebración propiamente dicha del contrato o convenio entre la entidad sometida y la exceptuada, sino que se extienden a todos los contratos y procedimientos de selección que adelanten estos últimos en desarrollo de la relación primigenia, en los que deberán aplicarse el EGCAP y los documentos tipo vigentes. </w:t>
      </w:r>
    </w:p>
    <w:p w14:paraId="5B460EC4" w14:textId="77777777" w:rsidR="00031AD9" w:rsidRPr="00AC19AC" w:rsidRDefault="00031AD9" w:rsidP="00AC19AC">
      <w:pPr>
        <w:tabs>
          <w:tab w:val="left" w:pos="0"/>
        </w:tabs>
        <w:spacing w:before="120" w:line="276" w:lineRule="auto"/>
        <w:jc w:val="both"/>
        <w:rPr>
          <w:rFonts w:ascii="Arial" w:eastAsia="Calibri" w:hAnsi="Arial" w:cs="Arial"/>
          <w:bCs/>
          <w:sz w:val="22"/>
          <w:lang w:val="es-ES_tradnl"/>
        </w:rPr>
      </w:pPr>
      <w:r w:rsidRPr="00AC19AC">
        <w:rPr>
          <w:rFonts w:ascii="Arial" w:eastAsia="Calibri" w:hAnsi="Arial" w:cs="Arial"/>
          <w:bCs/>
          <w:sz w:val="22"/>
          <w:lang w:val="es-ES_tradnl"/>
        </w:rPr>
        <w:tab/>
        <w:t xml:space="preserve">En tales términos, de lo analizado hasta aquí es posible concluir que un efecto importante de la norma bajo estudio es la ampliación del ámbito de aplicación de los documentos tipo, al hacerlos obligatorios para unos sujetos que, en principio, de acuerdo con la Ley 2022 de 2020, no estarían sometidos a esos documentos. Para complementar esta medida, la disposición además hace extensiva la aplicación del EGCAP a esto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w:t>
      </w:r>
    </w:p>
    <w:p w14:paraId="29B15590" w14:textId="30087DB5" w:rsidR="00031AD9" w:rsidRPr="00AC19AC" w:rsidRDefault="00031AD9" w:rsidP="00AC19AC">
      <w:pPr>
        <w:tabs>
          <w:tab w:val="left" w:pos="0"/>
        </w:tabs>
        <w:spacing w:before="120" w:line="276" w:lineRule="auto"/>
        <w:jc w:val="both"/>
        <w:rPr>
          <w:rFonts w:ascii="Arial" w:eastAsia="Calibri" w:hAnsi="Arial" w:cs="Arial"/>
          <w:bCs/>
          <w:sz w:val="22"/>
          <w:lang w:val="es-ES_tradnl"/>
        </w:rPr>
      </w:pPr>
      <w:r w:rsidRPr="00AC19AC">
        <w:rPr>
          <w:rFonts w:ascii="Arial" w:eastAsia="Calibri" w:hAnsi="Arial" w:cs="Arial"/>
          <w:bCs/>
          <w:sz w:val="22"/>
          <w:lang w:val="es-ES_tradnl"/>
        </w:rPr>
        <w:tab/>
        <w:t xml:space="preserve">En este punto conviene precisar que, de conformidad con el artículo 56, el hecho de que una entidad exceptuada, un patrimonio autónomo, una persona natural o una persona jurídica, tenga suscrito un contrato o convenio con una entidad sometida al EGCAP, no significa que mute su régimen jurídico de manera permanente. Al respecto, de una lectura conjunta de los incisos primero y segundo se desprende que estos introducen el mandato de aplicación obligatoria del EGCAP por parte de los mencionados sujetos de régimen de derecho privado solo en lo referido a la subcontratación de bienes, obras y servicios relacionados con un contrato o convenio suscrito con una entidad sometida al EGCAP, siempre que exista documento tipo </w:t>
      </w:r>
      <w:r w:rsidR="00113FF2" w:rsidRPr="00AC19AC">
        <w:rPr>
          <w:rFonts w:ascii="Arial" w:eastAsia="Calibri" w:hAnsi="Arial" w:cs="Arial"/>
          <w:bCs/>
          <w:sz w:val="22"/>
          <w:lang w:val="es-ES_tradnl"/>
        </w:rPr>
        <w:t>aplicable al objeto contractual</w:t>
      </w:r>
      <w:r w:rsidRPr="00AC19AC">
        <w:rPr>
          <w:rFonts w:ascii="Arial" w:eastAsia="Calibri" w:hAnsi="Arial" w:cs="Arial"/>
          <w:bCs/>
          <w:sz w:val="22"/>
          <w:lang w:val="es-ES_tradnl"/>
        </w:rPr>
        <w:t xml:space="preserve"> que se planea contratar. Esto significa que los contratos no relacionados con los compromisos adquiridos con la entidad sometida al EGCAP no tendrían que aplicar el régimen contractual público ni los documentos tipo, salvo que quieran hacerlo como una buena práctica de contratación. </w:t>
      </w:r>
    </w:p>
    <w:p w14:paraId="02A2DE71" w14:textId="0CA5CF95" w:rsidR="002813C6" w:rsidRPr="00AC19AC" w:rsidRDefault="00031AD9" w:rsidP="00AC19AC">
      <w:pPr>
        <w:tabs>
          <w:tab w:val="left" w:pos="0"/>
        </w:tabs>
        <w:spacing w:before="120" w:line="276" w:lineRule="auto"/>
        <w:jc w:val="both"/>
        <w:rPr>
          <w:rFonts w:ascii="Arial" w:eastAsia="Calibri" w:hAnsi="Arial" w:cs="Arial"/>
          <w:bCs/>
          <w:sz w:val="22"/>
          <w:lang w:val="es-ES_tradnl"/>
        </w:rPr>
      </w:pPr>
      <w:r w:rsidRPr="00AC19AC">
        <w:rPr>
          <w:rFonts w:ascii="Arial" w:eastAsia="Calibri" w:hAnsi="Arial" w:cs="Arial"/>
          <w:bCs/>
          <w:sz w:val="22"/>
          <w:lang w:val="es-ES_tradnl"/>
        </w:rPr>
        <w:tab/>
        <w:t>De acuerdo con esto, respecto de la aplicación del EGCAP por parte de entidades exceptuadas</w:t>
      </w:r>
      <w:r w:rsidR="003F4C8B" w:rsidRPr="00AC19AC">
        <w:rPr>
          <w:rFonts w:ascii="Arial" w:eastAsia="Calibri" w:hAnsi="Arial" w:cs="Arial"/>
          <w:bCs/>
          <w:sz w:val="22"/>
          <w:lang w:val="es-ES_tradnl"/>
        </w:rPr>
        <w:t>, patrimonios autónomos</w:t>
      </w:r>
      <w:r w:rsidRPr="00AC19AC">
        <w:rPr>
          <w:rFonts w:ascii="Arial" w:eastAsia="Calibri" w:hAnsi="Arial" w:cs="Arial"/>
          <w:bCs/>
          <w:sz w:val="22"/>
          <w:lang w:val="es-ES_tradnl"/>
        </w:rPr>
        <w:t xml:space="preserve"> y particulares, es necesario recalcar que, conforme se interpreta de la redacción de la norma, esta solo es obligatoria en los casos en los que el objeto contractual derivado que se pretende contratar esté cobijado y sometido a algún documento tipo. Esto significa que la aplicación del EGCAP solo será forzosa cuando existe </w:t>
      </w:r>
      <w:r w:rsidRPr="00AC19AC">
        <w:rPr>
          <w:rFonts w:ascii="Arial" w:eastAsia="Calibri" w:hAnsi="Arial" w:cs="Arial"/>
          <w:bCs/>
          <w:sz w:val="22"/>
          <w:lang w:val="es-ES_tradnl"/>
        </w:rPr>
        <w:lastRenderedPageBreak/>
        <w:t xml:space="preserve">un documento tipo que contempla bienes, obras y servicios dentro de las que se subsume la actividad a contratar por parte de la entidad de régimen especial, patrimonio autónomo o particular. </w:t>
      </w:r>
    </w:p>
    <w:p w14:paraId="65ACAD18" w14:textId="77777777" w:rsidR="002813C6" w:rsidRPr="00AC19AC" w:rsidRDefault="002813C6" w:rsidP="00AC19AC">
      <w:pPr>
        <w:spacing w:before="120" w:line="276" w:lineRule="auto"/>
        <w:ind w:firstLine="709"/>
        <w:jc w:val="both"/>
        <w:rPr>
          <w:rFonts w:ascii="Arial" w:eastAsia="Calibri" w:hAnsi="Arial" w:cs="Arial"/>
          <w:color w:val="0D0D0D"/>
          <w:sz w:val="22"/>
          <w:szCs w:val="22"/>
          <w:lang w:val="es-MX"/>
        </w:rPr>
      </w:pPr>
      <w:r w:rsidRPr="00AC19AC">
        <w:rPr>
          <w:rFonts w:ascii="Arial" w:eastAsia="Calibri" w:hAnsi="Arial" w:cs="Arial"/>
          <w:bCs/>
          <w:sz w:val="22"/>
          <w:lang w:val="es-ES_tradnl"/>
        </w:rPr>
        <w:t xml:space="preserve">Para ello, </w:t>
      </w:r>
      <w:r w:rsidRPr="00AC19AC">
        <w:rPr>
          <w:rFonts w:ascii="Arial" w:eastAsia="Calibri" w:hAnsi="Arial" w:cs="Arial"/>
          <w:color w:val="0D0D0D"/>
          <w:sz w:val="22"/>
          <w:szCs w:val="22"/>
          <w:lang w:val="es-MX"/>
        </w:rPr>
        <w:t>los documentos tipo establecen un grupo de documentos, conformados por un documento base, anexos, matrices, formatos y formularios, que sirven tanto a las entidades para elaborar los documentos del proceso, como a los proponentes para conformar y presentar sus ofertas.</w:t>
      </w:r>
    </w:p>
    <w:p w14:paraId="2C794EEE" w14:textId="35EC66E7" w:rsidR="002813C6" w:rsidRPr="00AC19AC" w:rsidRDefault="002813C6" w:rsidP="004136F2">
      <w:pPr>
        <w:spacing w:before="120" w:line="276" w:lineRule="auto"/>
        <w:ind w:firstLine="709"/>
        <w:jc w:val="both"/>
        <w:rPr>
          <w:rFonts w:ascii="Arial" w:eastAsia="Calibri" w:hAnsi="Arial" w:cs="Arial"/>
          <w:color w:val="0D0D0D"/>
          <w:sz w:val="22"/>
          <w:szCs w:val="22"/>
          <w:lang w:val="es-MX"/>
        </w:rPr>
      </w:pPr>
      <w:r w:rsidRPr="00AC19AC">
        <w:rPr>
          <w:rFonts w:ascii="Arial" w:eastAsia="Calibri" w:hAnsi="Arial" w:cs="Arial"/>
          <w:color w:val="0D0D0D"/>
          <w:sz w:val="22"/>
          <w:szCs w:val="22"/>
          <w:lang w:val="es-MX"/>
        </w:rPr>
        <w:t>Ahora bien, uno de los elementos comunes a los diferentes documentos tipo es la «Matriz</w:t>
      </w:r>
      <w:r w:rsidR="003F4C8B" w:rsidRPr="00AC19AC">
        <w:rPr>
          <w:rFonts w:ascii="Arial" w:eastAsia="Calibri" w:hAnsi="Arial" w:cs="Arial"/>
          <w:color w:val="0D0D0D"/>
          <w:sz w:val="22"/>
          <w:szCs w:val="22"/>
          <w:lang w:val="es-MX"/>
        </w:rPr>
        <w:t xml:space="preserve"> de</w:t>
      </w:r>
      <w:r w:rsidRPr="00AC19AC">
        <w:rPr>
          <w:rFonts w:ascii="Arial" w:eastAsia="Calibri" w:hAnsi="Arial" w:cs="Arial"/>
          <w:color w:val="0D0D0D"/>
          <w:sz w:val="22"/>
          <w:szCs w:val="22"/>
          <w:lang w:val="es-MX"/>
        </w:rPr>
        <w:t xml:space="preserve"> Experiencia». Esta consta de unas celdas en las que se describe la experiencia requerida en relación con el objeto a contratar, definiendo además qué tipo de actividades relacionadas con cada sector deben acogerse a los pliegos tipo. Por otro lado, encontramos el «Anexo – Glosario», </w:t>
      </w:r>
      <w:r w:rsidR="003F4C8B" w:rsidRPr="00AC19AC">
        <w:rPr>
          <w:rFonts w:ascii="Arial" w:eastAsia="Calibri" w:hAnsi="Arial" w:cs="Arial"/>
          <w:color w:val="0D0D0D"/>
          <w:sz w:val="22"/>
          <w:szCs w:val="22"/>
          <w:lang w:val="es-MX"/>
        </w:rPr>
        <w:t>de cada documento tipo,</w:t>
      </w:r>
      <w:r w:rsidRPr="00AC19AC">
        <w:rPr>
          <w:rFonts w:ascii="Arial" w:eastAsia="Calibri" w:hAnsi="Arial" w:cs="Arial"/>
          <w:color w:val="0D0D0D"/>
          <w:sz w:val="22"/>
          <w:szCs w:val="22"/>
          <w:lang w:val="es-MX"/>
        </w:rPr>
        <w:t xml:space="preserve"> contiene las definiciones de los términos usados en los documentos del proceso. Utilizando estos dos documentos, </w:t>
      </w:r>
      <w:r w:rsidR="003F4C8B" w:rsidRPr="00AC19AC">
        <w:rPr>
          <w:rFonts w:ascii="Arial" w:eastAsia="Calibri" w:hAnsi="Arial" w:cs="Arial"/>
          <w:color w:val="0D0D0D"/>
          <w:sz w:val="22"/>
          <w:szCs w:val="22"/>
          <w:lang w:val="es-MX"/>
        </w:rPr>
        <w:t>quien adelanta el procedimiento de selección</w:t>
      </w:r>
      <w:r w:rsidRPr="00AC19AC">
        <w:rPr>
          <w:rFonts w:ascii="Arial" w:eastAsia="Calibri" w:hAnsi="Arial" w:cs="Arial"/>
          <w:color w:val="0D0D0D"/>
          <w:sz w:val="22"/>
          <w:szCs w:val="22"/>
          <w:lang w:val="es-MX"/>
        </w:rPr>
        <w:t xml:space="preserve"> puede definir si el objeto a contratarse debe emplear los documentos tipo adoptados por esta Agencia.</w:t>
      </w:r>
    </w:p>
    <w:p w14:paraId="44D5D8CD" w14:textId="2785F094" w:rsidR="002813C6" w:rsidRPr="00AC19AC" w:rsidRDefault="002813C6" w:rsidP="00AC19AC">
      <w:pPr>
        <w:spacing w:before="120" w:line="276" w:lineRule="auto"/>
        <w:ind w:firstLine="709"/>
        <w:jc w:val="both"/>
        <w:rPr>
          <w:rFonts w:ascii="Arial" w:eastAsia="Calibri" w:hAnsi="Arial" w:cs="Arial"/>
          <w:color w:val="0D0D0D"/>
          <w:sz w:val="22"/>
          <w:szCs w:val="22"/>
          <w:lang w:val="es-MX"/>
        </w:rPr>
      </w:pPr>
      <w:r w:rsidRPr="00AC19AC">
        <w:rPr>
          <w:rFonts w:ascii="Arial" w:eastAsia="Calibri" w:hAnsi="Arial" w:cs="Arial"/>
          <w:color w:val="0D0D0D"/>
          <w:sz w:val="22"/>
          <w:szCs w:val="22"/>
          <w:lang w:val="es-MX"/>
        </w:rPr>
        <w:t xml:space="preserve">Conforme a lo anterior, la Matriz </w:t>
      </w:r>
      <w:r w:rsidR="003F4C8B" w:rsidRPr="00AC19AC">
        <w:rPr>
          <w:rFonts w:ascii="Arial" w:eastAsia="Calibri" w:hAnsi="Arial" w:cs="Arial"/>
          <w:color w:val="0D0D0D"/>
          <w:sz w:val="22"/>
          <w:szCs w:val="22"/>
          <w:lang w:val="es-MX"/>
        </w:rPr>
        <w:t>de experiencia</w:t>
      </w:r>
      <w:r w:rsidRPr="00AC19AC">
        <w:rPr>
          <w:rFonts w:ascii="Arial" w:eastAsia="Calibri" w:hAnsi="Arial" w:cs="Arial"/>
          <w:color w:val="0D0D0D"/>
          <w:sz w:val="22"/>
          <w:szCs w:val="22"/>
          <w:lang w:val="es-MX"/>
        </w:rPr>
        <w:t xml:space="preserve"> cumple una doble función: </w:t>
      </w:r>
      <w:r w:rsidR="003F4C8B" w:rsidRPr="00AC19AC">
        <w:rPr>
          <w:rFonts w:ascii="Arial" w:eastAsia="Calibri" w:hAnsi="Arial" w:cs="Arial"/>
          <w:color w:val="0D0D0D"/>
          <w:sz w:val="22"/>
          <w:szCs w:val="22"/>
          <w:lang w:val="es-MX"/>
        </w:rPr>
        <w:t>p</w:t>
      </w:r>
      <w:r w:rsidRPr="00AC19AC">
        <w:rPr>
          <w:rFonts w:ascii="Arial" w:eastAsia="Calibri" w:hAnsi="Arial" w:cs="Arial"/>
          <w:color w:val="0D0D0D"/>
          <w:sz w:val="22"/>
          <w:szCs w:val="22"/>
          <w:lang w:val="es-MX"/>
        </w:rPr>
        <w:t>or un lado, sirve para estandarizar las condiciones de experiencia. De otro lado, dicha matriz permite determinar el ámbito de aplicación de los documentos tipo respecto de objetos contractuales asociados, ya que son las actividades descritas en esta las que</w:t>
      </w:r>
      <w:r w:rsidR="003F4C8B" w:rsidRPr="00AC19AC">
        <w:rPr>
          <w:rFonts w:ascii="Arial" w:eastAsia="Calibri" w:hAnsi="Arial" w:cs="Arial"/>
          <w:color w:val="0D0D0D"/>
          <w:sz w:val="22"/>
          <w:szCs w:val="22"/>
          <w:lang w:val="es-MX"/>
        </w:rPr>
        <w:t xml:space="preserve"> </w:t>
      </w:r>
      <w:r w:rsidRPr="00AC19AC">
        <w:rPr>
          <w:rFonts w:ascii="Arial" w:eastAsia="Calibri" w:hAnsi="Arial" w:cs="Arial"/>
          <w:color w:val="0D0D0D"/>
          <w:sz w:val="22"/>
          <w:szCs w:val="22"/>
          <w:lang w:val="es-MX"/>
        </w:rPr>
        <w:t>deben contratarse aplicando documentos tipo.</w:t>
      </w:r>
    </w:p>
    <w:p w14:paraId="45C4DFA1" w14:textId="4499E09D" w:rsidR="002813C6" w:rsidRPr="00AC19AC" w:rsidRDefault="002813C6" w:rsidP="00AC19AC">
      <w:pPr>
        <w:tabs>
          <w:tab w:val="left" w:pos="0"/>
        </w:tabs>
        <w:spacing w:before="120" w:line="276" w:lineRule="auto"/>
        <w:ind w:firstLine="709"/>
        <w:jc w:val="both"/>
        <w:rPr>
          <w:rFonts w:ascii="Arial" w:eastAsia="Calibri" w:hAnsi="Arial" w:cs="Arial"/>
          <w:bCs/>
          <w:sz w:val="22"/>
          <w:lang w:val="es-ES_tradnl"/>
        </w:rPr>
      </w:pPr>
      <w:r w:rsidRPr="00AC19AC">
        <w:rPr>
          <w:rFonts w:ascii="Arial" w:eastAsia="Calibri" w:hAnsi="Arial" w:cs="Arial"/>
          <w:color w:val="0D0D0D"/>
          <w:sz w:val="22"/>
          <w:szCs w:val="22"/>
          <w:lang w:val="es-MX"/>
        </w:rPr>
        <w:t xml:space="preserve">De esta manera, para saber a qué actividades se deben aplicar los documentos tipo expedidos por esta Agencia, </w:t>
      </w:r>
      <w:r w:rsidR="003F4C8B" w:rsidRPr="00AC19AC">
        <w:rPr>
          <w:rFonts w:ascii="Arial" w:eastAsia="Calibri" w:hAnsi="Arial" w:cs="Arial"/>
          <w:color w:val="0D0D0D"/>
          <w:sz w:val="22"/>
          <w:szCs w:val="22"/>
          <w:lang w:val="es-MX"/>
        </w:rPr>
        <w:t>quien adelanta el procedimiento de selección</w:t>
      </w:r>
      <w:r w:rsidRPr="00AC19AC">
        <w:rPr>
          <w:rFonts w:ascii="Arial" w:eastAsia="Calibri" w:hAnsi="Arial" w:cs="Arial"/>
          <w:color w:val="0D0D0D"/>
          <w:sz w:val="22"/>
          <w:szCs w:val="22"/>
          <w:lang w:val="es-MX"/>
        </w:rPr>
        <w:t xml:space="preserve"> debe verificar los </w:t>
      </w:r>
      <w:r w:rsidR="003F4C8B" w:rsidRPr="00AC19AC">
        <w:rPr>
          <w:rFonts w:ascii="Arial" w:eastAsia="Calibri" w:hAnsi="Arial" w:cs="Arial"/>
          <w:color w:val="0D0D0D"/>
          <w:sz w:val="22"/>
          <w:szCs w:val="22"/>
          <w:lang w:val="es-MX"/>
        </w:rPr>
        <w:t xml:space="preserve">documentos tipo </w:t>
      </w:r>
      <w:r w:rsidRPr="00AC19AC">
        <w:rPr>
          <w:rFonts w:ascii="Arial" w:eastAsia="Calibri" w:hAnsi="Arial" w:cs="Arial"/>
          <w:color w:val="0D0D0D"/>
          <w:sz w:val="22"/>
          <w:szCs w:val="22"/>
          <w:lang w:val="es-MX"/>
        </w:rPr>
        <w:t xml:space="preserve">que se hayan expedido para la modalidad de selección </w:t>
      </w:r>
      <w:r w:rsidR="003F4C8B" w:rsidRPr="00AC19AC">
        <w:rPr>
          <w:rFonts w:ascii="Arial" w:eastAsia="Calibri" w:hAnsi="Arial" w:cs="Arial"/>
          <w:color w:val="0D0D0D"/>
          <w:sz w:val="22"/>
          <w:szCs w:val="22"/>
          <w:lang w:val="es-MX"/>
        </w:rPr>
        <w:t>aplicable</w:t>
      </w:r>
      <w:r w:rsidRPr="00AC19AC">
        <w:rPr>
          <w:rFonts w:ascii="Arial" w:eastAsia="Calibri" w:hAnsi="Arial" w:cs="Arial"/>
          <w:color w:val="0D0D0D"/>
          <w:sz w:val="22"/>
          <w:szCs w:val="22"/>
          <w:lang w:val="es-MX"/>
        </w:rPr>
        <w:t xml:space="preserve">, subsumiendo el objeto a contratar en los tipos de proyectos </w:t>
      </w:r>
      <w:r w:rsidR="00A21BA9" w:rsidRPr="00AC19AC">
        <w:rPr>
          <w:rFonts w:ascii="Arial" w:eastAsia="Calibri" w:hAnsi="Arial" w:cs="Arial"/>
          <w:color w:val="0D0D0D"/>
          <w:sz w:val="22"/>
          <w:szCs w:val="22"/>
          <w:lang w:val="es-MX"/>
        </w:rPr>
        <w:t>o actividades</w:t>
      </w:r>
      <w:r w:rsidRPr="00AC19AC">
        <w:rPr>
          <w:rFonts w:ascii="Arial" w:eastAsia="Calibri" w:hAnsi="Arial" w:cs="Arial"/>
          <w:color w:val="0D0D0D"/>
          <w:sz w:val="22"/>
          <w:szCs w:val="22"/>
          <w:lang w:val="es-MX"/>
        </w:rPr>
        <w:t xml:space="preserve"> a contratarse</w:t>
      </w:r>
      <w:r w:rsidR="00A21BA9" w:rsidRPr="00AC19AC">
        <w:rPr>
          <w:rFonts w:ascii="Arial" w:eastAsia="Calibri" w:hAnsi="Arial" w:cs="Arial"/>
          <w:color w:val="0D0D0D"/>
          <w:sz w:val="22"/>
          <w:szCs w:val="22"/>
          <w:lang w:val="es-MX"/>
        </w:rPr>
        <w:t>, de acuerdo con las actividades señaladas en la matriz de experiencia</w:t>
      </w:r>
      <w:r w:rsidRPr="00AC19AC">
        <w:rPr>
          <w:rFonts w:ascii="Arial" w:eastAsia="Calibri" w:hAnsi="Arial" w:cs="Arial"/>
          <w:color w:val="0D0D0D"/>
          <w:sz w:val="22"/>
          <w:szCs w:val="22"/>
          <w:lang w:val="es-MX"/>
        </w:rPr>
        <w:t>. De esta manera, si el objeto contractual a ejecutar se encuadra materialmente dentro de alguno de los tipos actividades concretas señaladas en cada una de las matrices de experiencia, se tendrán que aplicar los documentos tipo, mientras que en el caso contrario no será forzosa su aplicación. En este sentido, en los documentos base de los documentos tipo</w:t>
      </w:r>
      <w:r w:rsidRPr="00AC19AC">
        <w:rPr>
          <w:rFonts w:ascii="Arial" w:eastAsia="Calibri" w:hAnsi="Arial" w:cs="Arial"/>
          <w:sz w:val="22"/>
          <w:szCs w:val="22"/>
          <w:lang w:val="es-MX"/>
        </w:rPr>
        <w:t>, se indica que la entidad establecerá las condiciones de experiencia, tanto general como específica en las actividades que van a contratar. En este contexto, la entidad no podrá incluir condiciones distintas a las previstas en la matriz de experiencia y, por tanto, deberá transcribir textualmente lo indicado en ésta.</w:t>
      </w:r>
    </w:p>
    <w:p w14:paraId="132C3F6B" w14:textId="74718792" w:rsidR="00031AD9" w:rsidRPr="00AC19AC" w:rsidRDefault="006A6AA7" w:rsidP="00AC19AC">
      <w:pPr>
        <w:tabs>
          <w:tab w:val="left" w:pos="0"/>
        </w:tabs>
        <w:spacing w:before="120" w:line="276" w:lineRule="auto"/>
        <w:ind w:firstLine="426"/>
        <w:jc w:val="both"/>
        <w:rPr>
          <w:rFonts w:ascii="Arial" w:eastAsia="Calibri" w:hAnsi="Arial" w:cs="Arial"/>
          <w:bCs/>
          <w:sz w:val="22"/>
          <w:lang w:val="es-ES_tradnl"/>
        </w:rPr>
      </w:pPr>
      <w:r w:rsidRPr="00AC19AC">
        <w:rPr>
          <w:rFonts w:ascii="Arial" w:eastAsia="Calibri" w:hAnsi="Arial" w:cs="Arial"/>
          <w:bCs/>
          <w:sz w:val="22"/>
          <w:lang w:val="es-ES_tradnl"/>
        </w:rPr>
        <w:tab/>
      </w:r>
      <w:r w:rsidR="0035406D" w:rsidRPr="00AC19AC">
        <w:rPr>
          <w:rFonts w:ascii="Arial" w:eastAsia="Calibri" w:hAnsi="Arial" w:cs="Arial"/>
          <w:bCs/>
          <w:sz w:val="22"/>
          <w:lang w:val="es-ES_tradnl"/>
        </w:rPr>
        <w:t>Bajo este contexto, p</w:t>
      </w:r>
      <w:r w:rsidR="00031AD9" w:rsidRPr="00AC19AC">
        <w:rPr>
          <w:rFonts w:ascii="Arial" w:eastAsia="Calibri" w:hAnsi="Arial" w:cs="Arial"/>
          <w:bCs/>
          <w:sz w:val="22"/>
          <w:lang w:val="es-ES_tradnl"/>
        </w:rPr>
        <w:t>or ejemplo, si en cumplimiento de un convenio con una entidad sometida al EGCAP, un</w:t>
      </w:r>
      <w:r w:rsidR="00113FF2" w:rsidRPr="00AC19AC">
        <w:rPr>
          <w:rFonts w:ascii="Arial" w:eastAsia="Calibri" w:hAnsi="Arial" w:cs="Arial"/>
          <w:bCs/>
          <w:sz w:val="22"/>
          <w:lang w:val="es-ES_tradnl"/>
        </w:rPr>
        <w:t>a</w:t>
      </w:r>
      <w:r w:rsidR="00031AD9" w:rsidRPr="00AC19AC">
        <w:rPr>
          <w:rFonts w:ascii="Arial" w:eastAsia="Calibri" w:hAnsi="Arial" w:cs="Arial"/>
          <w:bCs/>
          <w:sz w:val="22"/>
          <w:lang w:val="es-ES_tradnl"/>
        </w:rPr>
        <w:t xml:space="preserve"> </w:t>
      </w:r>
      <w:r w:rsidR="00113FF2" w:rsidRPr="00AC19AC">
        <w:rPr>
          <w:rFonts w:ascii="Arial" w:eastAsia="Calibri" w:hAnsi="Arial" w:cs="Arial"/>
          <w:bCs/>
          <w:sz w:val="22"/>
          <w:lang w:val="es-ES_tradnl"/>
        </w:rPr>
        <w:t xml:space="preserve">entidad exceptuada </w:t>
      </w:r>
      <w:r w:rsidR="00031AD9" w:rsidRPr="00AC19AC">
        <w:rPr>
          <w:rFonts w:ascii="Arial" w:eastAsia="Calibri" w:hAnsi="Arial" w:cs="Arial"/>
          <w:bCs/>
          <w:sz w:val="22"/>
          <w:lang w:val="es-ES_tradnl"/>
        </w:rPr>
        <w:t xml:space="preserve">debe contratar el desarrollo de un software o la compra de unos buses, no estará obligado a </w:t>
      </w:r>
      <w:r w:rsidRPr="00AC19AC">
        <w:rPr>
          <w:rFonts w:ascii="Arial" w:eastAsia="Calibri" w:hAnsi="Arial" w:cs="Arial"/>
          <w:bCs/>
          <w:sz w:val="22"/>
          <w:lang w:val="es-ES_tradnl"/>
        </w:rPr>
        <w:t xml:space="preserve">regirse </w:t>
      </w:r>
      <w:r w:rsidR="00031AD9" w:rsidRPr="00AC19AC">
        <w:rPr>
          <w:rFonts w:ascii="Arial" w:eastAsia="Calibri" w:hAnsi="Arial" w:cs="Arial"/>
          <w:bCs/>
          <w:sz w:val="22"/>
          <w:lang w:val="es-ES_tradnl"/>
        </w:rPr>
        <w:t xml:space="preserve">por el EGCAP, al no </w:t>
      </w:r>
      <w:r w:rsidRPr="00AC19AC">
        <w:rPr>
          <w:rFonts w:ascii="Arial" w:eastAsia="Calibri" w:hAnsi="Arial" w:cs="Arial"/>
          <w:bCs/>
          <w:sz w:val="22"/>
          <w:lang w:val="es-ES_tradnl"/>
        </w:rPr>
        <w:t xml:space="preserve">estar </w:t>
      </w:r>
      <w:r w:rsidR="00031AD9" w:rsidRPr="00AC19AC">
        <w:rPr>
          <w:rFonts w:ascii="Arial" w:eastAsia="Calibri" w:hAnsi="Arial" w:cs="Arial"/>
          <w:bCs/>
          <w:sz w:val="22"/>
          <w:lang w:val="es-ES_tradnl"/>
        </w:rPr>
        <w:t>estos objetos cobijados por los documentos tipo vigentes, mientras que si lo que requiere es el mantenimiento o la rehabilitación de una vía secundaría, por el contrario</w:t>
      </w:r>
      <w:r w:rsidRPr="00AC19AC">
        <w:rPr>
          <w:rFonts w:ascii="Arial" w:eastAsia="Calibri" w:hAnsi="Arial" w:cs="Arial"/>
          <w:bCs/>
          <w:sz w:val="22"/>
          <w:lang w:val="es-ES_tradnl"/>
        </w:rPr>
        <w:t>,</w:t>
      </w:r>
      <w:r w:rsidR="00031AD9" w:rsidRPr="00AC19AC">
        <w:rPr>
          <w:rFonts w:ascii="Arial" w:eastAsia="Calibri" w:hAnsi="Arial" w:cs="Arial"/>
          <w:bCs/>
          <w:sz w:val="22"/>
          <w:lang w:val="es-ES_tradnl"/>
        </w:rPr>
        <w:t xml:space="preserve"> sí estará sometido </w:t>
      </w:r>
      <w:r w:rsidR="00031AD9" w:rsidRPr="00AC19AC">
        <w:rPr>
          <w:rFonts w:ascii="Arial" w:eastAsia="Calibri" w:hAnsi="Arial" w:cs="Arial"/>
          <w:bCs/>
          <w:sz w:val="22"/>
          <w:lang w:val="es-ES_tradnl"/>
        </w:rPr>
        <w:lastRenderedPageBreak/>
        <w:t xml:space="preserve">al EGCAP, al estar tales actividades incluidas dentro de los documentos tipo de infraestructura de transporte. Esto por supuesto puede cambiar si la Agencia, en el futuro, adopta más documentos tipo que incluyan los objetos mencionados. </w:t>
      </w:r>
    </w:p>
    <w:p w14:paraId="6C900AAB" w14:textId="19830908" w:rsidR="0035406D" w:rsidRPr="00AC19AC" w:rsidRDefault="0080548F" w:rsidP="00AC19AC">
      <w:pPr>
        <w:tabs>
          <w:tab w:val="left" w:pos="0"/>
        </w:tabs>
        <w:spacing w:before="120" w:line="276" w:lineRule="auto"/>
        <w:ind w:firstLine="709"/>
        <w:jc w:val="both"/>
        <w:rPr>
          <w:rFonts w:ascii="Arial" w:eastAsia="Calibri" w:hAnsi="Arial" w:cs="Arial"/>
          <w:bCs/>
          <w:sz w:val="22"/>
          <w:lang w:val="es-ES_tradnl"/>
        </w:rPr>
      </w:pPr>
      <w:r w:rsidRPr="00AC19AC">
        <w:rPr>
          <w:rFonts w:ascii="Arial" w:eastAsia="Calibri" w:hAnsi="Arial" w:cs="Arial"/>
          <w:bCs/>
          <w:sz w:val="22"/>
          <w:lang w:val="es-ES_tradnl"/>
        </w:rPr>
        <w:t>En tal sentido</w:t>
      </w:r>
      <w:r w:rsidR="0035406D" w:rsidRPr="00AC19AC">
        <w:rPr>
          <w:rFonts w:ascii="Arial" w:eastAsia="Calibri" w:hAnsi="Arial" w:cs="Arial"/>
          <w:bCs/>
          <w:sz w:val="22"/>
          <w:lang w:val="es-ES_tradnl"/>
        </w:rPr>
        <w:t xml:space="preserve">, </w:t>
      </w:r>
      <w:r w:rsidR="0035406D" w:rsidRPr="00AC19AC">
        <w:rPr>
          <w:rFonts w:ascii="Arial" w:hAnsi="Arial" w:cs="Arial"/>
          <w:sz w:val="22"/>
          <w:szCs w:val="22"/>
        </w:rPr>
        <w:t xml:space="preserve">debe advertirse que es </w:t>
      </w:r>
      <w:r w:rsidR="006A6AA7" w:rsidRPr="00AC19AC">
        <w:rPr>
          <w:rFonts w:ascii="Arial" w:hAnsi="Arial" w:cs="Arial"/>
          <w:sz w:val="22"/>
          <w:szCs w:val="22"/>
        </w:rPr>
        <w:t>el encargado de adelantar el procedimiento de selección</w:t>
      </w:r>
      <w:r w:rsidR="0035406D" w:rsidRPr="00AC19AC">
        <w:rPr>
          <w:rFonts w:ascii="Arial" w:hAnsi="Arial" w:cs="Arial"/>
          <w:sz w:val="22"/>
          <w:szCs w:val="22"/>
        </w:rPr>
        <w:t xml:space="preserve">, al momento de adelantar sus actividades de planeación de cada proceso contractual, quien debe determinar si de acuerdo con las particularidades del contrato a ejecutar, este encaja o no dentro de alguna de las actividades de la matriz </w:t>
      </w:r>
      <w:r w:rsidR="006A6AA7" w:rsidRPr="00AC19AC">
        <w:rPr>
          <w:rFonts w:ascii="Arial" w:hAnsi="Arial" w:cs="Arial"/>
          <w:sz w:val="22"/>
          <w:szCs w:val="22"/>
        </w:rPr>
        <w:t>de experiencia</w:t>
      </w:r>
      <w:r w:rsidR="0035406D" w:rsidRPr="00AC19AC">
        <w:rPr>
          <w:rFonts w:ascii="Arial" w:hAnsi="Arial" w:cs="Arial"/>
          <w:sz w:val="22"/>
          <w:szCs w:val="22"/>
        </w:rPr>
        <w:t xml:space="preserve">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p>
    <w:p w14:paraId="6A043097" w14:textId="581FEA1A" w:rsidR="00235D5E" w:rsidRPr="00AC19AC" w:rsidRDefault="0080548F" w:rsidP="00AC19AC">
      <w:pPr>
        <w:tabs>
          <w:tab w:val="left" w:pos="0"/>
        </w:tabs>
        <w:spacing w:before="120" w:line="276" w:lineRule="auto"/>
        <w:ind w:firstLine="709"/>
        <w:jc w:val="both"/>
        <w:rPr>
          <w:rFonts w:ascii="Arial" w:eastAsia="Calibri" w:hAnsi="Arial" w:cs="Arial"/>
          <w:bCs/>
          <w:sz w:val="22"/>
          <w:szCs w:val="22"/>
          <w:lang w:val="es-ES_tradnl"/>
        </w:rPr>
      </w:pPr>
      <w:r w:rsidRPr="00AC19AC">
        <w:rPr>
          <w:rFonts w:ascii="Arial" w:eastAsia="Calibri" w:hAnsi="Arial" w:cs="Arial"/>
          <w:bCs/>
          <w:sz w:val="22"/>
          <w:szCs w:val="22"/>
          <w:lang w:val="es-ES_tradnl"/>
        </w:rPr>
        <w:t>Finalmente, s</w:t>
      </w:r>
      <w:r w:rsidR="00FF0DF5" w:rsidRPr="00AC19AC">
        <w:rPr>
          <w:rFonts w:ascii="Arial" w:eastAsia="Calibri" w:hAnsi="Arial" w:cs="Arial"/>
          <w:bCs/>
          <w:sz w:val="22"/>
          <w:szCs w:val="22"/>
          <w:lang w:val="es-ES_tradnl"/>
        </w:rPr>
        <w:t xml:space="preserve">in perjuicio de lo anterior, es importante tener en cuenta que, el parágrafo del artículo en comento, exceptúa de la aplicación de lo señalado en los dos primeros incisos a las Instituciones de Educación Superior públicas, las empresas sociales del Estado, las sociedades de economía mixta y las empresas industriales y comerciales del Estado, únicamente, en la contratación relacionada con el giro ordinario de sus asuntos, por lo que no tendrían que aplicar de manera obligatoria documentos tipo ni el EGCAP. No obstante, la norma dispone el deber de fomentar en los manuales de contratación la aplicación de los pliegos tipo, a modo de buena práctica contractual. </w:t>
      </w:r>
    </w:p>
    <w:p w14:paraId="49375CFA" w14:textId="084B3719" w:rsidR="00D633AC" w:rsidRPr="00AC19AC" w:rsidRDefault="004177A6" w:rsidP="00FF0DF5">
      <w:pPr>
        <w:tabs>
          <w:tab w:val="left" w:pos="0"/>
        </w:tabs>
        <w:spacing w:before="240"/>
        <w:jc w:val="both"/>
        <w:rPr>
          <w:rFonts w:ascii="Arial" w:eastAsia="Calibri" w:hAnsi="Arial" w:cs="Arial"/>
          <w:b/>
          <w:color w:val="000000" w:themeColor="text1"/>
          <w:sz w:val="22"/>
          <w:lang w:val="es-ES_tradnl"/>
        </w:rPr>
      </w:pPr>
      <w:r w:rsidRPr="00AC19AC">
        <w:rPr>
          <w:rFonts w:ascii="Arial" w:eastAsia="Calibri" w:hAnsi="Arial" w:cs="Arial"/>
          <w:b/>
          <w:color w:val="000000" w:themeColor="text1"/>
          <w:sz w:val="22"/>
          <w:lang w:val="es-ES_tradnl"/>
        </w:rPr>
        <w:t>3</w:t>
      </w:r>
      <w:r w:rsidR="00B011A9" w:rsidRPr="00AC19AC">
        <w:rPr>
          <w:rFonts w:ascii="Arial" w:eastAsia="Calibri" w:hAnsi="Arial" w:cs="Arial"/>
          <w:b/>
          <w:color w:val="000000" w:themeColor="text1"/>
          <w:sz w:val="22"/>
          <w:lang w:val="es-ES_tradnl"/>
        </w:rPr>
        <w:t xml:space="preserve">. </w:t>
      </w:r>
      <w:r w:rsidR="00DD5B04" w:rsidRPr="00AC19AC">
        <w:rPr>
          <w:rFonts w:ascii="Arial" w:eastAsia="Calibri" w:hAnsi="Arial" w:cs="Arial"/>
          <w:b/>
          <w:color w:val="000000" w:themeColor="text1"/>
          <w:sz w:val="22"/>
          <w:lang w:val="es-ES_tradnl"/>
        </w:rPr>
        <w:t>Respuesta</w:t>
      </w:r>
    </w:p>
    <w:p w14:paraId="5A83B937" w14:textId="77777777" w:rsidR="00120D3F" w:rsidRPr="00AC19AC" w:rsidRDefault="00120D3F" w:rsidP="00120D3F">
      <w:pPr>
        <w:spacing w:before="240"/>
        <w:ind w:left="709" w:right="851"/>
        <w:jc w:val="both"/>
        <w:rPr>
          <w:rFonts w:ascii="Arial" w:eastAsia="Calibri" w:hAnsi="Arial" w:cs="Arial"/>
          <w:color w:val="000000" w:themeColor="text1"/>
          <w:sz w:val="21"/>
          <w:szCs w:val="21"/>
          <w:lang w:eastAsia="es-CO"/>
        </w:rPr>
      </w:pPr>
      <w:r w:rsidRPr="00AC19AC">
        <w:rPr>
          <w:rFonts w:ascii="Arial" w:hAnsi="Arial" w:cs="Arial"/>
          <w:iCs/>
          <w:color w:val="000000" w:themeColor="text1"/>
          <w:sz w:val="21"/>
          <w:szCs w:val="21"/>
          <w:lang w:val="es-ES_tradnl"/>
        </w:rPr>
        <w:t>«</w:t>
      </w:r>
      <w:r w:rsidRPr="00AC19AC">
        <w:rPr>
          <w:rFonts w:ascii="Arial" w:hAnsi="Arial" w:cs="Arial"/>
          <w:sz w:val="21"/>
          <w:szCs w:val="21"/>
        </w:rPr>
        <w:t>[…]</w:t>
      </w:r>
      <w:r w:rsidRPr="00AC19AC">
        <w:rPr>
          <w:rFonts w:ascii="Arial" w:hAnsi="Arial" w:cs="Arial"/>
          <w:color w:val="000000"/>
          <w:sz w:val="21"/>
          <w:szCs w:val="21"/>
        </w:rPr>
        <w:t xml:space="preserve"> </w:t>
      </w:r>
      <w:r w:rsidRPr="00AC19AC">
        <w:rPr>
          <w:rFonts w:ascii="Arial" w:eastAsia="Calibri" w:hAnsi="Arial" w:cs="Arial"/>
          <w:color w:val="000000" w:themeColor="text1"/>
          <w:sz w:val="21"/>
          <w:szCs w:val="21"/>
          <w:lang w:eastAsia="es-CO"/>
        </w:rPr>
        <w:t xml:space="preserve">Sírvase indicar si el precepto normativo reseñado debe ser aplicado en el marco de contratos interadministrativo –sic- entre dos entidades estatales, cuya ejecución implica la creación de un patrimonio autónomo a través de cual se contratarán diversos bienes servicios y obras. </w:t>
      </w:r>
    </w:p>
    <w:p w14:paraId="37ABDE70" w14:textId="0A654A0D" w:rsidR="0073000A" w:rsidRPr="00AC19AC" w:rsidRDefault="00120D3F" w:rsidP="00120D3F">
      <w:pPr>
        <w:spacing w:before="240"/>
        <w:ind w:left="709" w:right="618"/>
        <w:jc w:val="both"/>
        <w:rPr>
          <w:rFonts w:ascii="Arial" w:hAnsi="Arial" w:cs="Arial"/>
          <w:color w:val="000000" w:themeColor="text1"/>
          <w:sz w:val="22"/>
          <w:szCs w:val="22"/>
          <w:lang w:val="es-ES"/>
        </w:rPr>
      </w:pPr>
      <w:r w:rsidRPr="00AC19AC">
        <w:rPr>
          <w:rFonts w:ascii="Arial" w:eastAsia="Calibri" w:hAnsi="Arial" w:cs="Arial"/>
          <w:color w:val="000000" w:themeColor="text1"/>
          <w:sz w:val="21"/>
          <w:szCs w:val="21"/>
          <w:lang w:eastAsia="es-CO"/>
        </w:rPr>
        <w:t>La información es requerida como insumo para un estudio adelantado en relación con a –sic- contratos o convenios interadministrativo –sic- entre entidades Estatales o patrimonios autónomos o con personas naturales o jurídicas de derecho privado.</w:t>
      </w:r>
      <w:r w:rsidRPr="00AC19AC">
        <w:rPr>
          <w:rFonts w:ascii="Arial" w:eastAsia="Calibri" w:hAnsi="Arial" w:cs="Arial"/>
          <w:sz w:val="21"/>
          <w:szCs w:val="21"/>
          <w:lang w:val="es-ES"/>
        </w:rPr>
        <w:t>»</w:t>
      </w:r>
      <w:r w:rsidR="00031AD9" w:rsidRPr="00AC19AC">
        <w:rPr>
          <w:rFonts w:ascii="Arial" w:hAnsi="Arial" w:cs="Arial"/>
          <w:color w:val="000000" w:themeColor="text1"/>
          <w:sz w:val="22"/>
          <w:szCs w:val="22"/>
          <w:lang w:val="es-ES"/>
        </w:rPr>
        <w:t xml:space="preserve"> </w:t>
      </w:r>
    </w:p>
    <w:p w14:paraId="21F9DC2D" w14:textId="52FE3366" w:rsidR="00674478" w:rsidRPr="00AC19AC" w:rsidRDefault="0073000A" w:rsidP="00674478">
      <w:pPr>
        <w:tabs>
          <w:tab w:val="left" w:pos="0"/>
        </w:tabs>
        <w:spacing w:before="240" w:line="276" w:lineRule="auto"/>
        <w:jc w:val="both"/>
        <w:rPr>
          <w:rFonts w:ascii="Arial" w:eastAsia="Calibri" w:hAnsi="Arial" w:cs="Arial"/>
          <w:bCs/>
          <w:sz w:val="22"/>
        </w:rPr>
      </w:pPr>
      <w:r w:rsidRPr="00AC19AC">
        <w:rPr>
          <w:rFonts w:ascii="Arial" w:eastAsia="Calibri" w:hAnsi="Arial" w:cs="Arial"/>
          <w:bCs/>
          <w:sz w:val="22"/>
        </w:rPr>
        <w:t xml:space="preserve">De conformidad con las consideraciones expuestas en este concepto, es posible concluir que el artículo 56 de la Ley 2195 de 2022 </w:t>
      </w:r>
      <w:r w:rsidR="00674478" w:rsidRPr="00AC19AC">
        <w:rPr>
          <w:rFonts w:ascii="Arial" w:hAnsi="Arial" w:cs="Arial"/>
          <w:sz w:val="22"/>
          <w:szCs w:val="22"/>
          <w:lang w:val="es-ES"/>
        </w:rPr>
        <w:t xml:space="preserve">amplió el ámbito de aplicación de los documentos tipo, disponiendo su aplicación obligatoria por parte de entidades estatales de régimen especial, patrimonios autónomos, personas naturales y jurídicas de derecho privado, en los casos en los que deban contratar objetos contractuales cobijados por los documentos tipo vigentes, en cumplimiento de compromisos derivados de convenios o contratos </w:t>
      </w:r>
      <w:r w:rsidR="00910FF7" w:rsidRPr="00AC19AC">
        <w:rPr>
          <w:rFonts w:ascii="Arial" w:hAnsi="Arial" w:cs="Arial"/>
          <w:sz w:val="22"/>
          <w:szCs w:val="22"/>
          <w:lang w:val="es-ES"/>
        </w:rPr>
        <w:t xml:space="preserve">celebrados </w:t>
      </w:r>
      <w:r w:rsidR="00674478" w:rsidRPr="00AC19AC">
        <w:rPr>
          <w:rFonts w:ascii="Arial" w:hAnsi="Arial" w:cs="Arial"/>
          <w:sz w:val="22"/>
          <w:szCs w:val="22"/>
          <w:lang w:val="es-ES"/>
        </w:rPr>
        <w:t xml:space="preserve">con entidades </w:t>
      </w:r>
      <w:r w:rsidR="00417AB3" w:rsidRPr="00AC19AC">
        <w:rPr>
          <w:rFonts w:ascii="Arial" w:hAnsi="Arial" w:cs="Arial"/>
          <w:sz w:val="22"/>
          <w:szCs w:val="22"/>
          <w:lang w:val="es-ES"/>
        </w:rPr>
        <w:t xml:space="preserve">estatales </w:t>
      </w:r>
      <w:r w:rsidR="00674478" w:rsidRPr="00AC19AC">
        <w:rPr>
          <w:rFonts w:ascii="Arial" w:hAnsi="Arial" w:cs="Arial"/>
          <w:sz w:val="22"/>
          <w:szCs w:val="22"/>
          <w:lang w:val="es-ES"/>
        </w:rPr>
        <w:t>sometidas a la Ley 80 de 1993. Conforme a la norma indicada, en estos procesos, además deberá aplicarse el Estatuto General de Contratación de la Administración Pública.</w:t>
      </w:r>
    </w:p>
    <w:p w14:paraId="7337F818" w14:textId="279B9FE6" w:rsidR="0073000A" w:rsidRPr="00AC19AC" w:rsidRDefault="0073000A" w:rsidP="00AC19AC">
      <w:pPr>
        <w:tabs>
          <w:tab w:val="left" w:pos="0"/>
        </w:tabs>
        <w:spacing w:before="120" w:line="276" w:lineRule="auto"/>
        <w:ind w:firstLine="709"/>
        <w:jc w:val="both"/>
        <w:rPr>
          <w:rFonts w:ascii="Arial" w:eastAsia="Calibri" w:hAnsi="Arial" w:cs="Arial"/>
          <w:bCs/>
          <w:sz w:val="22"/>
        </w:rPr>
      </w:pPr>
      <w:r w:rsidRPr="00AC19AC">
        <w:rPr>
          <w:rFonts w:ascii="Arial" w:eastAsia="Calibri" w:hAnsi="Arial" w:cs="Arial"/>
          <w:bCs/>
          <w:sz w:val="22"/>
        </w:rPr>
        <w:lastRenderedPageBreak/>
        <w:t xml:space="preserve">Esta postura se estima adecuada y se ajusta al propósito de la norma en la medida en que, como se explicó, </w:t>
      </w:r>
      <w:r w:rsidRPr="00AC19AC">
        <w:rPr>
          <w:rFonts w:ascii="Arial" w:eastAsia="Calibri" w:hAnsi="Arial" w:cs="Arial"/>
          <w:bCs/>
          <w:sz w:val="22"/>
          <w:lang w:val="es-ES_tradnl"/>
        </w:rPr>
        <w:t xml:space="preserve">un efecto importante de esta norma es la ampliación del ámbito de aplicación de los documentos tipo, al hacerlos obligatorios para unos sujetos que, en principio, de acuerdo con la Ley 2022 de 2020, no estarían sometidos a </w:t>
      </w:r>
      <w:r w:rsidR="00D81718" w:rsidRPr="00AC19AC">
        <w:rPr>
          <w:rFonts w:ascii="Arial" w:eastAsia="Calibri" w:hAnsi="Arial" w:cs="Arial"/>
          <w:bCs/>
          <w:sz w:val="22"/>
          <w:lang w:val="es-ES_tradnl"/>
        </w:rPr>
        <w:t>ellos</w:t>
      </w:r>
      <w:r w:rsidRPr="00AC19AC">
        <w:rPr>
          <w:rFonts w:ascii="Arial" w:eastAsia="Calibri" w:hAnsi="Arial" w:cs="Arial"/>
          <w:bCs/>
          <w:sz w:val="22"/>
        </w:rPr>
        <w:t xml:space="preserve">. </w:t>
      </w:r>
    </w:p>
    <w:p w14:paraId="35A03E4D" w14:textId="771FF831" w:rsidR="00D91570" w:rsidRPr="00AC19AC" w:rsidRDefault="00D91570" w:rsidP="00AC19AC">
      <w:pPr>
        <w:tabs>
          <w:tab w:val="left" w:pos="0"/>
        </w:tabs>
        <w:spacing w:before="120" w:line="276" w:lineRule="auto"/>
        <w:ind w:firstLine="709"/>
        <w:jc w:val="both"/>
        <w:rPr>
          <w:rFonts w:ascii="Arial" w:eastAsia="Calibri" w:hAnsi="Arial" w:cs="Arial"/>
          <w:bCs/>
          <w:sz w:val="22"/>
          <w:szCs w:val="22"/>
          <w:lang w:val="es-ES_tradnl"/>
        </w:rPr>
      </w:pPr>
      <w:r w:rsidRPr="00AC19AC">
        <w:rPr>
          <w:rFonts w:ascii="Arial" w:eastAsia="Calibri" w:hAnsi="Arial" w:cs="Arial"/>
          <w:bCs/>
          <w:sz w:val="22"/>
          <w:szCs w:val="22"/>
          <w:lang w:val="es-ES_tradnl"/>
        </w:rPr>
        <w:t xml:space="preserve">Lo anterior, sin perjuicio de las excepciones establecidas en el parágrafo del artículo en comento, que exceptúa de la aplicación de lo señalado en los dos primeros incisos a las Instituciones de Educación Superior públicas, las empresas sociales del Estado, las sociedades de economía mixta y las empresas industriales y comerciales del Estado, únicamente, en la contratación relacionada con el giro ordinario de sus asuntos, por lo que no tendrían que aplicar de manera obligatoria documentos tipo ni el EGCAP. No obstante, la norma dispone el deber de fomentar en los manuales de contratación la aplicación de los pliegos tipo, a modo de buena práctica contractual. </w:t>
      </w:r>
    </w:p>
    <w:p w14:paraId="584E613A" w14:textId="5D7B3557" w:rsidR="00D91570" w:rsidRPr="00AC19AC" w:rsidRDefault="00D91570" w:rsidP="00AC19AC">
      <w:pPr>
        <w:spacing w:before="120" w:line="276" w:lineRule="auto"/>
        <w:ind w:firstLine="709"/>
        <w:jc w:val="both"/>
        <w:rPr>
          <w:rFonts w:ascii="Arial" w:eastAsia="Calibri" w:hAnsi="Arial" w:cs="Arial"/>
          <w:sz w:val="22"/>
          <w:szCs w:val="22"/>
          <w:lang w:val="es-MX"/>
        </w:rPr>
      </w:pPr>
      <w:r w:rsidRPr="00AC19AC">
        <w:rPr>
          <w:rFonts w:ascii="Arial" w:eastAsia="Calibri" w:hAnsi="Arial" w:cs="Arial"/>
          <w:sz w:val="22"/>
          <w:szCs w:val="22"/>
          <w:lang w:val="es-ES" w:eastAsia="es-ES" w:bidi="es-ES"/>
        </w:rPr>
        <w:t xml:space="preserve">En tal sentido, siempre que se den los presupuestos anteriormente mencionados para la aplicación del mandato establecido en </w:t>
      </w:r>
      <w:r w:rsidRPr="00AC19AC">
        <w:rPr>
          <w:rFonts w:ascii="Arial" w:eastAsia="Calibri" w:hAnsi="Arial" w:cs="Arial"/>
          <w:bCs/>
          <w:sz w:val="22"/>
        </w:rPr>
        <w:t xml:space="preserve">el artículo 56 de la Ley 2195 de 2022, </w:t>
      </w:r>
      <w:r w:rsidR="00B427D0" w:rsidRPr="00AC19AC">
        <w:rPr>
          <w:rFonts w:ascii="Arial" w:eastAsia="Calibri" w:hAnsi="Arial" w:cs="Arial"/>
          <w:bCs/>
          <w:sz w:val="22"/>
        </w:rPr>
        <w:t xml:space="preserve">procederá la aplicación de los documentos tipo. De esta manera, </w:t>
      </w:r>
      <w:r w:rsidRPr="00AC19AC">
        <w:rPr>
          <w:rFonts w:ascii="Arial" w:eastAsia="Calibri" w:hAnsi="Arial" w:cs="Arial"/>
          <w:sz w:val="22"/>
          <w:szCs w:val="22"/>
          <w:lang w:val="es-ES" w:eastAsia="es-ES" w:bidi="es-ES"/>
        </w:rPr>
        <w:t xml:space="preserve">se precisa que los diferentes documentos tipo expedidos por esta Agencia, se deberán adoptar </w:t>
      </w:r>
      <w:r w:rsidRPr="00AC19AC">
        <w:rPr>
          <w:rFonts w:ascii="Arial" w:eastAsia="Calibri" w:hAnsi="Arial" w:cs="Arial"/>
          <w:color w:val="000000"/>
          <w:sz w:val="22"/>
          <w:szCs w:val="22"/>
          <w:shd w:val="clear" w:color="auto" w:fill="FFFFFF"/>
          <w:lang w:val="es-MX"/>
        </w:rPr>
        <w:t xml:space="preserve">siempre que el objeto esté relacionado con alguna de las actividades mencionadas en la «Matriz </w:t>
      </w:r>
      <w:r w:rsidR="00910FF7" w:rsidRPr="00AC19AC">
        <w:rPr>
          <w:rFonts w:ascii="Arial" w:eastAsia="Calibri" w:hAnsi="Arial" w:cs="Arial"/>
          <w:color w:val="000000"/>
          <w:sz w:val="22"/>
          <w:szCs w:val="22"/>
          <w:shd w:val="clear" w:color="auto" w:fill="FFFFFF"/>
          <w:lang w:val="es-MX"/>
        </w:rPr>
        <w:t>de</w:t>
      </w:r>
      <w:r w:rsidRPr="00AC19AC">
        <w:rPr>
          <w:rFonts w:ascii="Arial" w:eastAsia="Calibri" w:hAnsi="Arial" w:cs="Arial"/>
          <w:color w:val="000000"/>
          <w:sz w:val="22"/>
          <w:szCs w:val="22"/>
          <w:shd w:val="clear" w:color="auto" w:fill="FFFFFF"/>
          <w:lang w:val="es-MX"/>
        </w:rPr>
        <w:t xml:space="preserve"> Experiencia»</w:t>
      </w:r>
      <w:r w:rsidR="000A2115" w:rsidRPr="00AC19AC">
        <w:rPr>
          <w:rFonts w:ascii="Arial" w:eastAsia="Calibri" w:hAnsi="Arial" w:cs="Arial"/>
          <w:color w:val="000000"/>
          <w:sz w:val="22"/>
          <w:szCs w:val="22"/>
          <w:shd w:val="clear" w:color="auto" w:fill="FFFFFF"/>
          <w:lang w:val="es-MX"/>
        </w:rPr>
        <w:t xml:space="preserve"> de cada documento tipo</w:t>
      </w:r>
      <w:r w:rsidRPr="00AC19AC">
        <w:rPr>
          <w:rFonts w:ascii="Arial" w:eastAsia="Calibri" w:hAnsi="Arial" w:cs="Arial"/>
          <w:color w:val="000000"/>
          <w:sz w:val="22"/>
          <w:szCs w:val="22"/>
          <w:shd w:val="clear" w:color="auto" w:fill="FFFFFF"/>
          <w:lang w:val="es-MX"/>
        </w:rPr>
        <w:t xml:space="preserve">. Por tanto, </w:t>
      </w:r>
      <w:r w:rsidRPr="00AC19AC">
        <w:rPr>
          <w:rFonts w:ascii="Arial" w:eastAsia="Arial" w:hAnsi="Arial" w:cs="Arial"/>
          <w:color w:val="000000"/>
          <w:sz w:val="22"/>
          <w:szCs w:val="22"/>
          <w:lang w:val="es-ES" w:eastAsia="es-ES" w:bidi="es-ES"/>
        </w:rPr>
        <w:t xml:space="preserve">le corresponde </w:t>
      </w:r>
      <w:r w:rsidR="00910FF7" w:rsidRPr="00AC19AC">
        <w:rPr>
          <w:rFonts w:ascii="Arial" w:eastAsia="Arial" w:hAnsi="Arial" w:cs="Arial"/>
          <w:color w:val="000000"/>
          <w:sz w:val="22"/>
          <w:szCs w:val="22"/>
          <w:lang w:val="es-ES" w:eastAsia="es-ES" w:bidi="es-ES"/>
        </w:rPr>
        <w:t xml:space="preserve">al encargado de adelantar el procedimiento de selección </w:t>
      </w:r>
      <w:r w:rsidRPr="00AC19AC">
        <w:rPr>
          <w:rFonts w:ascii="Arial" w:eastAsia="Arial" w:hAnsi="Arial" w:cs="Arial"/>
          <w:color w:val="000000"/>
          <w:sz w:val="22"/>
          <w:szCs w:val="22"/>
          <w:lang w:val="es-ES" w:eastAsia="es-ES" w:bidi="es-ES"/>
        </w:rPr>
        <w:t xml:space="preserve">identificar de manera preliminar el tipo de actividad sobre la cual recae el objeto a contratar, acorde con lo señalado en la </w:t>
      </w:r>
      <w:r w:rsidRPr="00AC19AC">
        <w:rPr>
          <w:rFonts w:ascii="Arial" w:eastAsia="Calibri" w:hAnsi="Arial" w:cs="Arial"/>
          <w:sz w:val="22"/>
          <w:szCs w:val="22"/>
          <w:lang w:val="es-MX"/>
        </w:rPr>
        <w:t xml:space="preserve">«Matriz </w:t>
      </w:r>
      <w:r w:rsidR="00910FF7" w:rsidRPr="00AC19AC">
        <w:rPr>
          <w:rFonts w:ascii="Arial" w:eastAsia="Calibri" w:hAnsi="Arial" w:cs="Arial"/>
          <w:sz w:val="22"/>
          <w:szCs w:val="22"/>
          <w:lang w:val="es-MX"/>
        </w:rPr>
        <w:t>de</w:t>
      </w:r>
      <w:r w:rsidRPr="00AC19AC">
        <w:rPr>
          <w:rFonts w:ascii="Arial" w:eastAsia="Calibri" w:hAnsi="Arial" w:cs="Arial"/>
          <w:sz w:val="22"/>
          <w:szCs w:val="22"/>
          <w:lang w:val="es-MX"/>
        </w:rPr>
        <w:t xml:space="preserve"> Experiencia», en la que se contemplan las clases de obra aplicables al sector, sean de infraestructura de transporte, agua potable y saneamiento básico o infraestructura social</w:t>
      </w:r>
      <w:r w:rsidR="00B427D0" w:rsidRPr="00AC19AC">
        <w:rPr>
          <w:rFonts w:ascii="Arial" w:eastAsia="Calibri" w:hAnsi="Arial" w:cs="Arial"/>
          <w:color w:val="000000" w:themeColor="text1"/>
          <w:sz w:val="22"/>
          <w:szCs w:val="22"/>
          <w:lang w:val="es-ES_tradnl" w:eastAsia="es-ES"/>
        </w:rPr>
        <w:t xml:space="preserve">, de acuerdo con lo explicado en las consideraciones. Además, se precisa que los documentos tipo adoptados hasta la actualidad se pueden consultar en el siguiente enlace: </w:t>
      </w:r>
      <w:hyperlink r:id="rId12" w:history="1">
        <w:r w:rsidR="00B427D0" w:rsidRPr="00AC19AC">
          <w:rPr>
            <w:rFonts w:eastAsia="Calibri"/>
            <w:color w:val="000000" w:themeColor="text1"/>
          </w:rPr>
          <w:t>https://www.colombiacompra.gov.co/documentos-tipo/documentos-tipo</w:t>
        </w:r>
      </w:hyperlink>
      <w:r w:rsidR="00B427D0" w:rsidRPr="00AC19AC">
        <w:rPr>
          <w:rFonts w:ascii="Arial" w:eastAsia="Calibri" w:hAnsi="Arial" w:cs="Arial"/>
          <w:color w:val="000000" w:themeColor="text1"/>
          <w:sz w:val="22"/>
          <w:szCs w:val="22"/>
          <w:lang w:val="es-ES_tradnl" w:eastAsia="es-ES"/>
        </w:rPr>
        <w:t>.</w:t>
      </w:r>
    </w:p>
    <w:p w14:paraId="17773849" w14:textId="7F78FB75" w:rsidR="00B21AD4" w:rsidRPr="00AC19AC" w:rsidRDefault="00D91570" w:rsidP="00AC19AC">
      <w:pPr>
        <w:spacing w:before="120" w:after="120" w:line="276" w:lineRule="auto"/>
        <w:ind w:firstLine="709"/>
        <w:jc w:val="both"/>
        <w:rPr>
          <w:rFonts w:ascii="Arial" w:hAnsi="Arial" w:cs="Arial"/>
          <w:sz w:val="22"/>
          <w:szCs w:val="22"/>
        </w:rPr>
      </w:pPr>
      <w:r w:rsidRPr="00AC19AC">
        <w:rPr>
          <w:rFonts w:ascii="Arial" w:eastAsia="Calibri" w:hAnsi="Arial" w:cs="Arial"/>
          <w:sz w:val="22"/>
          <w:szCs w:val="22"/>
          <w:lang w:val="es-MX"/>
        </w:rPr>
        <w:t>E</w:t>
      </w:r>
      <w:r w:rsidRPr="00AC19AC">
        <w:rPr>
          <w:rFonts w:ascii="Arial" w:eastAsia="Calibri" w:hAnsi="Arial" w:cs="Arial"/>
          <w:color w:val="000000"/>
          <w:sz w:val="22"/>
          <w:szCs w:val="22"/>
        </w:rPr>
        <w:t>n todo caso</w:t>
      </w:r>
      <w:r w:rsidRPr="00AC19AC">
        <w:rPr>
          <w:rFonts w:ascii="Arial" w:hAnsi="Arial" w:cs="Arial"/>
          <w:sz w:val="22"/>
          <w:szCs w:val="22"/>
        </w:rPr>
        <w:t xml:space="preserve">, debe advertirse que es </w:t>
      </w:r>
      <w:r w:rsidR="00B427D0" w:rsidRPr="00AC19AC">
        <w:rPr>
          <w:rFonts w:ascii="Arial" w:hAnsi="Arial" w:cs="Arial"/>
          <w:sz w:val="22"/>
          <w:szCs w:val="22"/>
        </w:rPr>
        <w:t>el encargado de adelantar el procedimiento de selección</w:t>
      </w:r>
      <w:r w:rsidRPr="00AC19AC">
        <w:rPr>
          <w:rFonts w:ascii="Arial" w:hAnsi="Arial" w:cs="Arial"/>
          <w:sz w:val="22"/>
          <w:szCs w:val="22"/>
        </w:rPr>
        <w:t xml:space="preserve">, al momento de adelantar sus actividades de planeación de cada proceso contractual, quien debe determinar si de acuerdo con las particularidades del contrato a ejecutar, este se encuadra o no dentro de alguna de las actividades de la matriz </w:t>
      </w:r>
      <w:r w:rsidR="00B427D0" w:rsidRPr="00AC19AC">
        <w:rPr>
          <w:rFonts w:ascii="Arial" w:hAnsi="Arial" w:cs="Arial"/>
          <w:sz w:val="22"/>
          <w:szCs w:val="22"/>
        </w:rPr>
        <w:t>de experiencia</w:t>
      </w:r>
      <w:r w:rsidRPr="00AC19AC">
        <w:rPr>
          <w:rFonts w:ascii="Arial" w:hAnsi="Arial" w:cs="Arial"/>
          <w:sz w:val="22"/>
          <w:szCs w:val="22"/>
        </w:rPr>
        <w:t xml:space="preserve"> de cada documento tipo, y si en consecuencia deben aplicarse o no determinados documentos tipo. </w:t>
      </w:r>
    </w:p>
    <w:p w14:paraId="056816F7" w14:textId="36C087E7" w:rsidR="00D40F8B" w:rsidRPr="00AC19AC" w:rsidRDefault="00DD5B04" w:rsidP="00E77523">
      <w:pPr>
        <w:widowControl w:val="0"/>
        <w:autoSpaceDE w:val="0"/>
        <w:autoSpaceDN w:val="0"/>
        <w:spacing w:before="240" w:line="276" w:lineRule="auto"/>
        <w:jc w:val="both"/>
        <w:rPr>
          <w:rFonts w:ascii="Arial" w:hAnsi="Arial" w:cs="Arial"/>
          <w:sz w:val="22"/>
          <w:szCs w:val="22"/>
          <w:lang w:val="es-ES_tradnl" w:bidi="es-ES"/>
        </w:rPr>
      </w:pPr>
      <w:r w:rsidRPr="00AC19AC">
        <w:rPr>
          <w:rFonts w:ascii="Arial" w:hAnsi="Arial" w:cs="Arial"/>
          <w:color w:val="000000" w:themeColor="text1"/>
          <w:sz w:val="22"/>
          <w:szCs w:val="22"/>
          <w:lang w:val="es-ES_tradnl"/>
        </w:rPr>
        <w:t>Este concepto tiene el alcance previsto en el artículo 28 del</w:t>
      </w:r>
      <w:r w:rsidRPr="00AC19AC">
        <w:rPr>
          <w:rFonts w:ascii="Arial" w:hAnsi="Arial" w:cs="Arial"/>
          <w:color w:val="000000" w:themeColor="text1"/>
          <w:sz w:val="22"/>
          <w:lang w:val="es-ES_tradnl"/>
        </w:rPr>
        <w:t xml:space="preserve"> Código de Procedimiento Administrativo y de</w:t>
      </w:r>
      <w:r w:rsidR="00D40F8B" w:rsidRPr="00AC19AC">
        <w:rPr>
          <w:rFonts w:ascii="Arial" w:hAnsi="Arial" w:cs="Arial"/>
          <w:color w:val="000000" w:themeColor="text1"/>
          <w:sz w:val="22"/>
          <w:lang w:val="es-ES_tradnl"/>
        </w:rPr>
        <w:t xml:space="preserve"> lo Contencioso Administrativo.</w:t>
      </w:r>
    </w:p>
    <w:p w14:paraId="6F54E9C9" w14:textId="77777777" w:rsidR="00003233" w:rsidRPr="00AC19AC" w:rsidRDefault="00003233" w:rsidP="00D40F8B">
      <w:pPr>
        <w:spacing w:before="120" w:line="276" w:lineRule="auto"/>
        <w:jc w:val="both"/>
        <w:rPr>
          <w:rFonts w:ascii="Arial" w:hAnsi="Arial" w:cs="Arial"/>
          <w:color w:val="000000" w:themeColor="text1"/>
          <w:sz w:val="22"/>
          <w:lang w:val="es-ES_tradnl"/>
        </w:rPr>
      </w:pPr>
    </w:p>
    <w:p w14:paraId="349855C9" w14:textId="5A23DEC6" w:rsidR="00D40F8B"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C19AC">
        <w:rPr>
          <w:rFonts w:ascii="Arial" w:hAnsi="Arial" w:cs="Arial"/>
          <w:color w:val="000000" w:themeColor="text1"/>
          <w:sz w:val="22"/>
          <w:szCs w:val="22"/>
          <w:lang w:val="es-ES_tradnl"/>
        </w:rPr>
        <w:t>Atentamente,</w:t>
      </w:r>
    </w:p>
    <w:p w14:paraId="2D2631EA" w14:textId="2D55ABA3" w:rsidR="00063EA2" w:rsidRDefault="00063EA2"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4AA64695" w14:textId="67EEAF13" w:rsidR="00063EA2" w:rsidRDefault="00063EA2"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4ABF49CA" w14:textId="52B6CD28" w:rsidR="00063EA2" w:rsidRDefault="00063EA2"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827DBF">
        <w:rPr>
          <w:rFonts w:ascii="Arial" w:hAnsi="Arial" w:cs="Arial"/>
          <w:noProof/>
          <w:color w:val="000000" w:themeColor="text1"/>
          <w:sz w:val="22"/>
        </w:rPr>
        <w:lastRenderedPageBreak/>
        <w:drawing>
          <wp:anchor distT="0" distB="0" distL="114300" distR="114300" simplePos="0" relativeHeight="251659264" behindDoc="0" locked="0" layoutInCell="1" allowOverlap="1" wp14:anchorId="19B96C67" wp14:editId="04BD1C2F">
            <wp:simplePos x="0" y="0"/>
            <wp:positionH relativeFrom="margin">
              <wp:posOffset>1485900</wp:posOffset>
            </wp:positionH>
            <wp:positionV relativeFrom="paragraph">
              <wp:posOffset>0</wp:posOffset>
            </wp:positionV>
            <wp:extent cx="2193290" cy="930910"/>
            <wp:effectExtent l="0" t="0" r="0" b="2540"/>
            <wp:wrapSquare wrapText="bothSides"/>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193290" cy="930910"/>
                    </a:xfrm>
                    <a:prstGeom prst="rect">
                      <a:avLst/>
                    </a:prstGeom>
                  </pic:spPr>
                </pic:pic>
              </a:graphicData>
            </a:graphic>
            <wp14:sizeRelH relativeFrom="page">
              <wp14:pctWidth>0</wp14:pctWidth>
            </wp14:sizeRelH>
            <wp14:sizeRelV relativeFrom="page">
              <wp14:pctHeight>0</wp14:pctHeight>
            </wp14:sizeRelV>
          </wp:anchor>
        </w:drawing>
      </w:r>
    </w:p>
    <w:p w14:paraId="3E1BEB26" w14:textId="77777777" w:rsidR="00063EA2" w:rsidRPr="00AC19AC" w:rsidRDefault="00063EA2"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06BCF2" w14:textId="1F11D3D9" w:rsidR="00496AF2" w:rsidRDefault="00496AF2" w:rsidP="00AD5EC3">
      <w:pPr>
        <w:pStyle w:val="NormalWeb"/>
        <w:spacing w:before="0" w:beforeAutospacing="0" w:after="0" w:afterAutospacing="0" w:line="276" w:lineRule="auto"/>
        <w:jc w:val="center"/>
        <w:rPr>
          <w:rFonts w:ascii="Arial" w:hAnsi="Arial" w:cs="Arial"/>
          <w:color w:val="000000" w:themeColor="text1"/>
          <w:sz w:val="22"/>
          <w:szCs w:val="22"/>
          <w:lang w:val="es-ES_tradnl"/>
        </w:rPr>
      </w:pPr>
    </w:p>
    <w:p w14:paraId="571AEB64" w14:textId="7F6AEEA4" w:rsidR="00063EA2" w:rsidRDefault="00063EA2" w:rsidP="00AD5EC3">
      <w:pPr>
        <w:pStyle w:val="NormalWeb"/>
        <w:spacing w:before="0" w:beforeAutospacing="0" w:after="0" w:afterAutospacing="0" w:line="276" w:lineRule="auto"/>
        <w:jc w:val="center"/>
        <w:rPr>
          <w:rFonts w:ascii="Arial" w:hAnsi="Arial" w:cs="Arial"/>
          <w:color w:val="000000" w:themeColor="text1"/>
          <w:sz w:val="22"/>
          <w:szCs w:val="22"/>
          <w:lang w:val="es-ES_tradnl"/>
        </w:rPr>
      </w:pPr>
    </w:p>
    <w:p w14:paraId="44521159" w14:textId="62903E66" w:rsidR="00063EA2" w:rsidRPr="00AC19AC" w:rsidRDefault="00063EA2" w:rsidP="00AD5EC3">
      <w:pPr>
        <w:pStyle w:val="NormalWeb"/>
        <w:spacing w:before="0" w:beforeAutospacing="0" w:after="0" w:afterAutospacing="0" w:line="276" w:lineRule="auto"/>
        <w:jc w:val="center"/>
        <w:rPr>
          <w:rFonts w:ascii="Arial" w:hAnsi="Arial" w:cs="Arial"/>
          <w:color w:val="000000" w:themeColor="text1"/>
          <w:sz w:val="22"/>
          <w:szCs w:val="22"/>
          <w:lang w:val="es-ES_tradnl"/>
        </w:rPr>
      </w:pP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496AF2" w:rsidRPr="00AC19AC" w14:paraId="4416311F" w14:textId="77777777" w:rsidTr="000F5D7A">
        <w:trPr>
          <w:trHeight w:val="286"/>
        </w:trPr>
        <w:tc>
          <w:tcPr>
            <w:tcW w:w="817" w:type="dxa"/>
            <w:vAlign w:val="center"/>
          </w:tcPr>
          <w:p w14:paraId="460FFEBD" w14:textId="77777777" w:rsidR="00496AF2" w:rsidRPr="00AC19AC" w:rsidRDefault="00496AF2" w:rsidP="000F5D7A">
            <w:pPr>
              <w:rPr>
                <w:rFonts w:ascii="Arial" w:hAnsi="Arial" w:cs="Arial"/>
                <w:sz w:val="16"/>
                <w:szCs w:val="16"/>
                <w:lang w:eastAsia="es-ES"/>
              </w:rPr>
            </w:pPr>
            <w:r w:rsidRPr="00AC19AC">
              <w:rPr>
                <w:rFonts w:ascii="Arial" w:hAnsi="Arial" w:cs="Arial"/>
                <w:sz w:val="16"/>
                <w:szCs w:val="16"/>
                <w:lang w:eastAsia="es-ES"/>
              </w:rPr>
              <w:t>Elaboró:</w:t>
            </w:r>
          </w:p>
        </w:tc>
        <w:tc>
          <w:tcPr>
            <w:tcW w:w="4445" w:type="dxa"/>
            <w:tcBorders>
              <w:bottom w:val="dotted" w:sz="4" w:space="0" w:color="7F7F7F"/>
            </w:tcBorders>
            <w:vAlign w:val="center"/>
          </w:tcPr>
          <w:p w14:paraId="6EAC72B9" w14:textId="77777777" w:rsidR="00496AF2" w:rsidRPr="00AC19AC" w:rsidRDefault="00496AF2" w:rsidP="000F5D7A">
            <w:pPr>
              <w:rPr>
                <w:rFonts w:ascii="Arial" w:hAnsi="Arial" w:cs="Arial"/>
                <w:sz w:val="16"/>
                <w:szCs w:val="16"/>
                <w:lang w:eastAsia="es-ES"/>
              </w:rPr>
            </w:pPr>
            <w:r w:rsidRPr="00AC19AC">
              <w:rPr>
                <w:rFonts w:ascii="Arial" w:hAnsi="Arial" w:cs="Arial"/>
                <w:sz w:val="16"/>
                <w:szCs w:val="16"/>
                <w:lang w:eastAsia="es-ES"/>
              </w:rPr>
              <w:t xml:space="preserve">Diana Fabiola Herrera Hernández </w:t>
            </w:r>
          </w:p>
          <w:p w14:paraId="68BA09C8" w14:textId="77777777" w:rsidR="00496AF2" w:rsidRPr="00AC19AC" w:rsidRDefault="00496AF2" w:rsidP="000F5D7A">
            <w:pPr>
              <w:rPr>
                <w:rFonts w:ascii="Arial" w:hAnsi="Arial" w:cs="Arial"/>
                <w:sz w:val="16"/>
                <w:szCs w:val="16"/>
                <w:lang w:eastAsia="es-ES"/>
              </w:rPr>
            </w:pPr>
            <w:r w:rsidRPr="00AC19AC">
              <w:rPr>
                <w:rFonts w:ascii="Arial" w:hAnsi="Arial" w:cs="Arial"/>
                <w:sz w:val="16"/>
                <w:szCs w:val="16"/>
                <w:lang w:eastAsia="es-ES"/>
              </w:rPr>
              <w:t>Contratista de la Subdirección de Gestión Contractual</w:t>
            </w:r>
          </w:p>
        </w:tc>
      </w:tr>
      <w:tr w:rsidR="00496AF2" w:rsidRPr="00AC19AC" w14:paraId="0C114EBB" w14:textId="77777777" w:rsidTr="000F5D7A">
        <w:trPr>
          <w:trHeight w:val="299"/>
        </w:trPr>
        <w:tc>
          <w:tcPr>
            <w:tcW w:w="817" w:type="dxa"/>
            <w:vAlign w:val="center"/>
          </w:tcPr>
          <w:p w14:paraId="22674895" w14:textId="77777777" w:rsidR="00496AF2" w:rsidRPr="00AC19AC" w:rsidRDefault="00496AF2" w:rsidP="000F5D7A">
            <w:pPr>
              <w:rPr>
                <w:rFonts w:ascii="Arial" w:hAnsi="Arial" w:cs="Arial"/>
                <w:sz w:val="16"/>
                <w:szCs w:val="16"/>
                <w:lang w:eastAsia="es-ES"/>
              </w:rPr>
            </w:pPr>
            <w:r w:rsidRPr="00AC19AC">
              <w:rPr>
                <w:rFonts w:ascii="Arial" w:hAnsi="Arial" w:cs="Arial"/>
                <w:sz w:val="16"/>
                <w:szCs w:val="16"/>
                <w:lang w:eastAsia="es-ES"/>
              </w:rPr>
              <w:t>Revisó:</w:t>
            </w:r>
          </w:p>
        </w:tc>
        <w:tc>
          <w:tcPr>
            <w:tcW w:w="4445" w:type="dxa"/>
            <w:tcBorders>
              <w:top w:val="dotted" w:sz="4" w:space="0" w:color="7F7F7F"/>
              <w:bottom w:val="dotted" w:sz="4" w:space="0" w:color="7F7F7F"/>
            </w:tcBorders>
            <w:vAlign w:val="center"/>
          </w:tcPr>
          <w:p w14:paraId="20553135" w14:textId="77777777" w:rsidR="00496AF2" w:rsidRPr="00AC19AC" w:rsidRDefault="00496AF2" w:rsidP="00496AF2">
            <w:pPr>
              <w:rPr>
                <w:rFonts w:ascii="Arial" w:hAnsi="Arial" w:cs="Arial"/>
                <w:sz w:val="16"/>
                <w:szCs w:val="16"/>
                <w:lang w:eastAsia="es-ES"/>
              </w:rPr>
            </w:pPr>
            <w:r w:rsidRPr="00AC19AC">
              <w:rPr>
                <w:rFonts w:ascii="Arial" w:hAnsi="Arial" w:cs="Arial"/>
                <w:sz w:val="16"/>
                <w:szCs w:val="16"/>
                <w:lang w:eastAsia="es-ES"/>
              </w:rPr>
              <w:t>Sebastián Ramírez Grisales</w:t>
            </w:r>
          </w:p>
          <w:p w14:paraId="26970E6E" w14:textId="7F4D82BC" w:rsidR="00496AF2" w:rsidRPr="00AC19AC" w:rsidRDefault="00496AF2" w:rsidP="00496AF2">
            <w:pPr>
              <w:rPr>
                <w:rFonts w:ascii="Arial" w:hAnsi="Arial" w:cs="Arial"/>
                <w:sz w:val="16"/>
                <w:szCs w:val="16"/>
                <w:lang w:eastAsia="es-ES"/>
              </w:rPr>
            </w:pPr>
            <w:r w:rsidRPr="00AC19AC">
              <w:rPr>
                <w:rFonts w:ascii="Arial" w:hAnsi="Arial" w:cs="Arial"/>
                <w:sz w:val="16"/>
                <w:szCs w:val="16"/>
                <w:lang w:eastAsia="es-ES"/>
              </w:rPr>
              <w:t>Contratista de la Subdirección de Gestión Contractual</w:t>
            </w:r>
          </w:p>
        </w:tc>
      </w:tr>
      <w:tr w:rsidR="00496AF2" w:rsidRPr="00776161" w14:paraId="094660E5" w14:textId="77777777" w:rsidTr="000F5D7A">
        <w:trPr>
          <w:trHeight w:val="272"/>
        </w:trPr>
        <w:tc>
          <w:tcPr>
            <w:tcW w:w="817" w:type="dxa"/>
            <w:vAlign w:val="center"/>
          </w:tcPr>
          <w:p w14:paraId="0F061B54" w14:textId="77777777" w:rsidR="00496AF2" w:rsidRPr="00AC19AC" w:rsidRDefault="00496AF2" w:rsidP="000F5D7A">
            <w:pPr>
              <w:rPr>
                <w:rFonts w:ascii="Arial" w:hAnsi="Arial" w:cs="Arial"/>
                <w:sz w:val="16"/>
                <w:szCs w:val="16"/>
                <w:lang w:eastAsia="es-ES"/>
              </w:rPr>
            </w:pPr>
            <w:r w:rsidRPr="00AC19AC">
              <w:rPr>
                <w:rFonts w:ascii="Arial" w:hAnsi="Arial" w:cs="Arial"/>
                <w:sz w:val="16"/>
                <w:szCs w:val="16"/>
                <w:lang w:eastAsia="es-ES"/>
              </w:rPr>
              <w:t>Aprobó:</w:t>
            </w:r>
          </w:p>
        </w:tc>
        <w:tc>
          <w:tcPr>
            <w:tcW w:w="4445" w:type="dxa"/>
            <w:tcBorders>
              <w:top w:val="dotted" w:sz="4" w:space="0" w:color="7F7F7F"/>
              <w:bottom w:val="dotted" w:sz="4" w:space="0" w:color="7F7F7F"/>
            </w:tcBorders>
            <w:vAlign w:val="center"/>
          </w:tcPr>
          <w:p w14:paraId="78530C40" w14:textId="77777777" w:rsidR="00496AF2" w:rsidRPr="00AC19AC" w:rsidRDefault="00496AF2" w:rsidP="000F5D7A">
            <w:pPr>
              <w:rPr>
                <w:rFonts w:ascii="Arial" w:hAnsi="Arial" w:cs="Arial"/>
                <w:sz w:val="16"/>
                <w:szCs w:val="16"/>
                <w:lang w:eastAsia="es-ES"/>
              </w:rPr>
            </w:pPr>
            <w:r w:rsidRPr="00AC19AC">
              <w:rPr>
                <w:rFonts w:ascii="Arial" w:hAnsi="Arial" w:cs="Arial"/>
                <w:sz w:val="16"/>
                <w:szCs w:val="16"/>
                <w:lang w:eastAsia="es-ES"/>
              </w:rPr>
              <w:t>Jorge Augusto Tirado Navarro</w:t>
            </w:r>
          </w:p>
          <w:p w14:paraId="2509EFEF" w14:textId="77777777" w:rsidR="00496AF2" w:rsidRPr="00AC19AC" w:rsidRDefault="00496AF2" w:rsidP="000F5D7A">
            <w:pPr>
              <w:rPr>
                <w:rFonts w:ascii="Arial" w:hAnsi="Arial" w:cs="Arial"/>
                <w:sz w:val="16"/>
                <w:szCs w:val="16"/>
                <w:lang w:eastAsia="es-ES"/>
              </w:rPr>
            </w:pPr>
            <w:r w:rsidRPr="00AC19AC">
              <w:rPr>
                <w:rFonts w:ascii="Arial" w:hAnsi="Arial" w:cs="Arial"/>
                <w:sz w:val="16"/>
                <w:szCs w:val="16"/>
                <w:lang w:eastAsia="es-ES"/>
              </w:rPr>
              <w:t>Subdirector de Gestión Contractual ANCP – CCE</w:t>
            </w:r>
          </w:p>
        </w:tc>
      </w:tr>
    </w:tbl>
    <w:p w14:paraId="789A2343" w14:textId="77777777" w:rsidR="00496AF2" w:rsidRDefault="00496AF2" w:rsidP="00496AF2">
      <w:pPr>
        <w:jc w:val="both"/>
        <w:rPr>
          <w:rFonts w:ascii="Arial" w:hAnsi="Arial" w:cs="Arial"/>
          <w:color w:val="000000" w:themeColor="text1"/>
          <w:sz w:val="16"/>
          <w:szCs w:val="16"/>
          <w:lang w:val="es-ES_tradnl" w:eastAsia="es-ES"/>
        </w:rPr>
      </w:pPr>
    </w:p>
    <w:p w14:paraId="4C47ABD0" w14:textId="77777777" w:rsidR="00496AF2" w:rsidRDefault="00496AF2" w:rsidP="00496AF2">
      <w:pPr>
        <w:jc w:val="both"/>
        <w:rPr>
          <w:rFonts w:ascii="Arial" w:hAnsi="Arial" w:cs="Arial"/>
          <w:color w:val="000000" w:themeColor="text1"/>
          <w:sz w:val="16"/>
          <w:szCs w:val="16"/>
          <w:lang w:val="es-ES_tradnl" w:eastAsia="es-ES"/>
        </w:rPr>
      </w:pPr>
    </w:p>
    <w:p w14:paraId="39E2ECD0" w14:textId="2F603222" w:rsidR="00496AF2" w:rsidRDefault="00496AF2" w:rsidP="00496AF2">
      <w:pPr>
        <w:pStyle w:val="NormalWeb"/>
        <w:spacing w:before="0" w:beforeAutospacing="0" w:after="0" w:afterAutospacing="0" w:line="276" w:lineRule="auto"/>
        <w:rPr>
          <w:rFonts w:ascii="Arial" w:hAnsi="Arial" w:cs="Arial"/>
          <w:color w:val="000000" w:themeColor="text1"/>
          <w:sz w:val="22"/>
          <w:szCs w:val="22"/>
          <w:lang w:val="es-ES_tradnl"/>
        </w:rPr>
      </w:pPr>
    </w:p>
    <w:p w14:paraId="62A9C657" w14:textId="77777777" w:rsidR="00453A53" w:rsidRDefault="00453A53" w:rsidP="00215B8E">
      <w:pPr>
        <w:jc w:val="both"/>
        <w:rPr>
          <w:rFonts w:ascii="Arial" w:hAnsi="Arial" w:cs="Arial"/>
          <w:lang w:val="es-ES_tradnl"/>
        </w:rPr>
      </w:pPr>
    </w:p>
    <w:p w14:paraId="3F7284BE" w14:textId="3AD023D9" w:rsidR="008351F8" w:rsidRPr="009D3964" w:rsidRDefault="008351F8" w:rsidP="00215B8E">
      <w:pPr>
        <w:jc w:val="both"/>
        <w:rPr>
          <w:rFonts w:ascii="Arial" w:hAnsi="Arial" w:cs="Arial"/>
          <w:lang w:val="es-ES_tradnl"/>
        </w:rPr>
      </w:pPr>
    </w:p>
    <w:bookmarkEnd w:id="3"/>
    <w:bookmarkEnd w:id="4"/>
    <w:p w14:paraId="4D3D318F" w14:textId="77777777" w:rsidR="00FC710F" w:rsidRPr="009D3964" w:rsidRDefault="00FC710F">
      <w:pPr>
        <w:jc w:val="both"/>
        <w:rPr>
          <w:rFonts w:ascii="Arial" w:hAnsi="Arial" w:cs="Arial"/>
          <w:lang w:val="es-ES_tradnl"/>
        </w:rPr>
      </w:pPr>
    </w:p>
    <w:sectPr w:rsidR="00FC710F" w:rsidRPr="009D3964" w:rsidSect="00AC19AC">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59A7D" w14:textId="77777777" w:rsidR="007A08F2" w:rsidRDefault="007A08F2">
      <w:r>
        <w:separator/>
      </w:r>
    </w:p>
  </w:endnote>
  <w:endnote w:type="continuationSeparator" w:id="0">
    <w:p w14:paraId="5392688A" w14:textId="77777777" w:rsidR="007A08F2" w:rsidRDefault="007A08F2">
      <w:r>
        <w:continuationSeparator/>
      </w:r>
    </w:p>
  </w:endnote>
  <w:endnote w:type="continuationNotice" w:id="1">
    <w:p w14:paraId="403F316F" w14:textId="77777777" w:rsidR="007A08F2" w:rsidRDefault="007A08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012E96">
      <w:rPr>
        <w:rFonts w:ascii="Arial" w:hAnsi="Arial" w:cs="Arial"/>
        <w:b/>
        <w:bCs/>
        <w:noProof/>
        <w:color w:val="7F7F7F"/>
        <w:sz w:val="16"/>
        <w:szCs w:val="16"/>
      </w:rPr>
      <w:t>21</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012E96">
      <w:rPr>
        <w:rFonts w:ascii="Arial" w:hAnsi="Arial" w:cs="Arial"/>
        <w:b/>
        <w:bCs/>
        <w:noProof/>
        <w:color w:val="7F7F7F"/>
        <w:sz w:val="16"/>
        <w:szCs w:val="16"/>
      </w:rPr>
      <w:t>21</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B0D74" w14:textId="77777777" w:rsidR="007A08F2" w:rsidRDefault="007A08F2">
      <w:r>
        <w:separator/>
      </w:r>
    </w:p>
  </w:footnote>
  <w:footnote w:type="continuationSeparator" w:id="0">
    <w:p w14:paraId="24A2B075" w14:textId="77777777" w:rsidR="007A08F2" w:rsidRDefault="007A08F2">
      <w:r>
        <w:continuationSeparator/>
      </w:r>
    </w:p>
  </w:footnote>
  <w:footnote w:type="continuationNotice" w:id="1">
    <w:p w14:paraId="23FD7271" w14:textId="77777777" w:rsidR="007A08F2" w:rsidRDefault="007A08F2"/>
  </w:footnote>
  <w:footnote w:id="2">
    <w:p w14:paraId="0C3C75A8" w14:textId="77777777" w:rsidR="00014207" w:rsidRPr="004102D2" w:rsidRDefault="00014207" w:rsidP="00012E96">
      <w:pPr>
        <w:pStyle w:val="Textonotapie"/>
        <w:ind w:firstLine="709"/>
        <w:jc w:val="both"/>
        <w:rPr>
          <w:rFonts w:ascii="Arial" w:hAnsi="Arial" w:cs="Arial"/>
          <w:sz w:val="19"/>
          <w:szCs w:val="19"/>
        </w:rPr>
      </w:pPr>
      <w:r w:rsidRPr="004102D2">
        <w:rPr>
          <w:rStyle w:val="Refdenotaalpie"/>
          <w:rFonts w:ascii="Arial" w:hAnsi="Arial" w:cs="Arial"/>
          <w:sz w:val="19"/>
          <w:szCs w:val="19"/>
        </w:rPr>
        <w:footnoteRef/>
      </w:r>
      <w:r w:rsidRPr="004102D2">
        <w:rPr>
          <w:rFonts w:ascii="Arial" w:hAnsi="Arial" w:cs="Arial"/>
          <w:sz w:val="19"/>
          <w:szCs w:val="19"/>
        </w:rPr>
        <w:t xml:space="preserve"> </w:t>
      </w:r>
      <w:r w:rsidRPr="00F223B3">
        <w:rPr>
          <w:rFonts w:ascii="Arial" w:hAnsi="Arial" w:cs="Arial"/>
          <w:sz w:val="19"/>
          <w:szCs w:val="19"/>
        </w:rPr>
        <w:t xml:space="preserve">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F223B3">
        <w:rPr>
          <w:rFonts w:ascii="Arial" w:hAnsi="Arial" w:cs="Arial"/>
          <w:i/>
          <w:iCs/>
          <w:sz w:val="19"/>
          <w:szCs w:val="19"/>
        </w:rPr>
        <w:t xml:space="preserve">ibidem </w:t>
      </w:r>
      <w:r w:rsidRPr="00F223B3">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32FD0B6F" w14:textId="77777777" w:rsidR="00031AD9" w:rsidRPr="00640E20" w:rsidRDefault="00031AD9" w:rsidP="00012E96">
      <w:pPr>
        <w:pStyle w:val="Textonotapie"/>
        <w:ind w:firstLine="709"/>
        <w:jc w:val="both"/>
        <w:rPr>
          <w:rFonts w:ascii="Arial" w:hAnsi="Arial" w:cs="Arial"/>
          <w:color w:val="000000" w:themeColor="text1"/>
          <w:sz w:val="19"/>
          <w:szCs w:val="19"/>
          <w:lang w:val="es-CO"/>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w:t>
      </w:r>
      <w:r w:rsidRPr="00640E20">
        <w:rPr>
          <w:rFonts w:ascii="Arial" w:hAnsi="Arial" w:cs="Arial"/>
          <w:color w:val="000000" w:themeColor="text1"/>
          <w:sz w:val="19"/>
          <w:szCs w:val="19"/>
        </w:rPr>
        <w:t>as técnicas uniformes y de común utilización por parte de las entidades».</w:t>
      </w:r>
    </w:p>
  </w:footnote>
  <w:footnote w:id="4">
    <w:p w14:paraId="30AC710D" w14:textId="77777777" w:rsidR="00031AD9" w:rsidRPr="00640E20" w:rsidRDefault="00031AD9" w:rsidP="00012E96">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w:t>
      </w:r>
      <w:r w:rsidRPr="00A83DE5">
        <w:rPr>
          <w:rFonts w:ascii="Arial" w:hAnsi="Arial" w:cs="Arial"/>
          <w:color w:val="000000" w:themeColor="text1"/>
          <w:sz w:val="19"/>
          <w:szCs w:val="19"/>
          <w:lang w:val="es-CO"/>
        </w:rPr>
        <w:t>Ley 1882 de 2018: «Artículo 4.</w:t>
      </w:r>
      <w:r w:rsidRPr="00640E20">
        <w:rPr>
          <w:rFonts w:ascii="Arial" w:hAnsi="Arial" w:cs="Arial"/>
          <w:color w:val="000000" w:themeColor="text1"/>
          <w:sz w:val="19"/>
          <w:szCs w:val="19"/>
          <w:lang w:val="es-CO"/>
        </w:rPr>
        <w:t xml:space="preserve"> </w:t>
      </w:r>
      <w:r w:rsidRPr="00640E20">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279BD63" w14:textId="77777777" w:rsidR="00031AD9" w:rsidRPr="00640E20" w:rsidRDefault="00031AD9" w:rsidP="00012E96">
      <w:pPr>
        <w:pStyle w:val="Textonotapie"/>
        <w:ind w:firstLine="709"/>
        <w:jc w:val="both"/>
        <w:rPr>
          <w:rFonts w:ascii="Arial" w:hAnsi="Arial" w:cs="Arial"/>
          <w:color w:val="000000" w:themeColor="text1"/>
          <w:sz w:val="19"/>
          <w:szCs w:val="19"/>
          <w:lang w:val="es-CO"/>
        </w:rPr>
      </w:pPr>
      <w:r w:rsidRPr="00640E20">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14:paraId="73636B9C" w14:textId="77777777" w:rsidR="00031AD9" w:rsidRPr="00640E20" w:rsidRDefault="00031AD9" w:rsidP="00012E96">
      <w:pPr>
        <w:pStyle w:val="Textonotapie"/>
        <w:ind w:firstLine="709"/>
        <w:jc w:val="both"/>
        <w:rPr>
          <w:rFonts w:ascii="Arial" w:hAnsi="Arial" w:cs="Arial"/>
          <w:color w:val="000000" w:themeColor="text1"/>
          <w:sz w:val="19"/>
          <w:szCs w:val="19"/>
          <w:lang w:val="es-CO"/>
        </w:rPr>
      </w:pPr>
      <w:r w:rsidRPr="00640E20">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footnote>
  <w:footnote w:id="5">
    <w:p w14:paraId="2E212F40" w14:textId="10FF83E7" w:rsidR="00031AD9" w:rsidRPr="00640E20" w:rsidRDefault="00031AD9" w:rsidP="00012E96">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w:t>
      </w:r>
      <w:r w:rsidRPr="00640E20">
        <w:rPr>
          <w:rFonts w:ascii="Arial" w:hAnsi="Arial" w:cs="Arial"/>
          <w:color w:val="000000" w:themeColor="text1"/>
          <w:sz w:val="19"/>
          <w:szCs w:val="19"/>
        </w:rPr>
        <w:t>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6">
    <w:p w14:paraId="4A1E6A63" w14:textId="77777777" w:rsidR="00031AD9" w:rsidRPr="00012E96" w:rsidRDefault="00031AD9" w:rsidP="00012E96">
      <w:pPr>
        <w:pStyle w:val="NormalWeb"/>
        <w:spacing w:before="0" w:beforeAutospacing="0" w:after="0" w:afterAutospacing="0"/>
        <w:ind w:firstLine="709"/>
        <w:jc w:val="both"/>
        <w:rPr>
          <w:rFonts w:ascii="Arial" w:hAnsi="Arial" w:cs="Arial"/>
          <w:color w:val="000000" w:themeColor="text1"/>
          <w:sz w:val="19"/>
          <w:szCs w:val="19"/>
        </w:rPr>
      </w:pPr>
      <w:r w:rsidRPr="00285ACD">
        <w:rPr>
          <w:rStyle w:val="Refdenotaalpie"/>
          <w:rFonts w:ascii="Arial" w:hAnsi="Arial" w:cs="Arial"/>
          <w:sz w:val="19"/>
          <w:szCs w:val="19"/>
        </w:rPr>
        <w:footnoteRef/>
      </w:r>
      <w:r w:rsidRPr="00285ACD">
        <w:rPr>
          <w:rFonts w:ascii="Arial" w:hAnsi="Arial" w:cs="Arial"/>
          <w:color w:val="000000" w:themeColor="text1"/>
          <w:sz w:val="19"/>
          <w:szCs w:val="19"/>
        </w:rPr>
        <w:t xml:space="preserve"> </w:t>
      </w:r>
      <w:r w:rsidRPr="00012E96">
        <w:rPr>
          <w:rFonts w:ascii="Arial" w:hAnsi="Arial" w:cs="Arial"/>
          <w:color w:val="000000" w:themeColor="text1"/>
          <w:sz w:val="19"/>
          <w:szCs w:val="19"/>
        </w:rPr>
        <w:t>Ley 2022 de 2020: «</w:t>
      </w:r>
      <w:r w:rsidRPr="00012E96">
        <w:rPr>
          <w:rStyle w:val="Textoennegrita"/>
          <w:rFonts w:ascii="Arial" w:hAnsi="Arial" w:cs="Arial"/>
          <w:b w:val="0"/>
          <w:color w:val="000000" w:themeColor="text1"/>
          <w:sz w:val="19"/>
          <w:szCs w:val="19"/>
        </w:rPr>
        <w:t>Artículo 1º.</w:t>
      </w:r>
      <w:r w:rsidRPr="00012E96">
        <w:rPr>
          <w:rFonts w:ascii="Arial" w:hAnsi="Arial" w:cs="Arial"/>
          <w:color w:val="000000" w:themeColor="text1"/>
          <w:sz w:val="19"/>
          <w:szCs w:val="19"/>
        </w:rPr>
        <w:t> Modifíquese el artículo 4º de la Ley 1882 de 2018, el cual quedará así: </w:t>
      </w:r>
    </w:p>
    <w:p w14:paraId="0BE44464" w14:textId="77777777" w:rsidR="00031AD9" w:rsidRPr="00012E96" w:rsidRDefault="00031AD9" w:rsidP="00012E96">
      <w:pPr>
        <w:pStyle w:val="NormalWeb"/>
        <w:spacing w:before="0" w:beforeAutospacing="0" w:after="0" w:afterAutospacing="0"/>
        <w:ind w:firstLine="709"/>
        <w:jc w:val="both"/>
        <w:rPr>
          <w:rFonts w:ascii="Arial" w:hAnsi="Arial" w:cs="Arial"/>
          <w:color w:val="000000" w:themeColor="text1"/>
          <w:sz w:val="19"/>
          <w:szCs w:val="19"/>
        </w:rPr>
      </w:pPr>
      <w:r w:rsidRPr="00012E96">
        <w:rPr>
          <w:rStyle w:val="Textoennegrita"/>
          <w:rFonts w:ascii="Arial" w:hAnsi="Arial" w:cs="Arial"/>
          <w:b w:val="0"/>
          <w:color w:val="000000" w:themeColor="text1"/>
          <w:sz w:val="19"/>
          <w:szCs w:val="19"/>
        </w:rPr>
        <w:t>»Artículo 4º.</w:t>
      </w:r>
      <w:r w:rsidRPr="00012E96">
        <w:rPr>
          <w:rFonts w:ascii="Arial" w:hAnsi="Arial" w:cs="Arial"/>
          <w:color w:val="000000" w:themeColor="text1"/>
          <w:sz w:val="19"/>
          <w:szCs w:val="19"/>
        </w:rPr>
        <w:t> Adiciónese el siguiente parágrafo al artículo 2º de la Ley 1150 de 2007. </w:t>
      </w:r>
    </w:p>
    <w:p w14:paraId="4F205D6F" w14:textId="77777777" w:rsidR="00031AD9" w:rsidRPr="00285ACD" w:rsidRDefault="00031AD9" w:rsidP="00012E96">
      <w:pPr>
        <w:pStyle w:val="NormalWeb"/>
        <w:spacing w:before="0" w:beforeAutospacing="0" w:after="0" w:afterAutospacing="0"/>
        <w:ind w:firstLine="709"/>
        <w:jc w:val="both"/>
        <w:rPr>
          <w:rFonts w:ascii="Arial" w:hAnsi="Arial" w:cs="Arial"/>
          <w:color w:val="000000" w:themeColor="text1"/>
          <w:sz w:val="19"/>
          <w:szCs w:val="19"/>
        </w:rPr>
      </w:pPr>
      <w:r w:rsidRPr="00012E96">
        <w:rPr>
          <w:rStyle w:val="Textoennegrita"/>
          <w:rFonts w:ascii="Arial" w:hAnsi="Arial" w:cs="Arial"/>
          <w:b w:val="0"/>
          <w:color w:val="000000" w:themeColor="text1"/>
          <w:sz w:val="19"/>
          <w:szCs w:val="19"/>
        </w:rPr>
        <w:t>»Parágrafo 7º.</w:t>
      </w:r>
      <w:r w:rsidRPr="00012E96">
        <w:rPr>
          <w:rFonts w:ascii="Arial" w:hAnsi="Arial" w:cs="Arial"/>
          <w:color w:val="000000" w:themeColor="text1"/>
          <w:sz w:val="19"/>
          <w:szCs w:val="19"/>
        </w:rPr>
        <w:t> La Agencia Nacional de Contratación Pública Colombia Compra Eficiente o quien haga sus veces,</w:t>
      </w:r>
      <w:r w:rsidRPr="00285ACD">
        <w:rPr>
          <w:rFonts w:ascii="Arial" w:hAnsi="Arial" w:cs="Arial"/>
          <w:color w:val="000000" w:themeColor="text1"/>
          <w:sz w:val="19"/>
          <w:szCs w:val="19"/>
        </w:rPr>
        <w:t xml:space="preserve"> adoptará documentos tipo que serán de obligatorio cumplimiento en la actividad contractual de todas las entidades sometidas al Estatuto General de Contratación de la Administración Pública. </w:t>
      </w:r>
    </w:p>
    <w:p w14:paraId="27AD5281" w14:textId="77777777" w:rsidR="00031AD9" w:rsidRPr="00285ACD" w:rsidRDefault="00031AD9" w:rsidP="00012E96">
      <w:pPr>
        <w:pStyle w:val="NormalWeb"/>
        <w:spacing w:before="0" w:beforeAutospacing="0" w:after="0" w:afterAutospacing="0"/>
        <w:ind w:firstLine="709"/>
        <w:jc w:val="both"/>
        <w:rPr>
          <w:rFonts w:ascii="Arial" w:hAnsi="Arial" w:cs="Arial"/>
          <w:color w:val="000000" w:themeColor="text1"/>
          <w:sz w:val="19"/>
          <w:szCs w:val="19"/>
        </w:rPr>
      </w:pPr>
      <w:r w:rsidRPr="00285ACD">
        <w:rPr>
          <w:rFonts w:ascii="Arial" w:hAnsi="Arial" w:cs="Arial"/>
          <w:color w:val="000000" w:themeColor="text1"/>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3F42D6E9" w14:textId="77777777" w:rsidR="00031AD9" w:rsidRPr="00285ACD" w:rsidRDefault="00031AD9" w:rsidP="00012E96">
      <w:pPr>
        <w:pStyle w:val="NormalWeb"/>
        <w:spacing w:before="0" w:beforeAutospacing="0" w:after="0" w:afterAutospacing="0"/>
        <w:ind w:firstLine="709"/>
        <w:jc w:val="both"/>
        <w:rPr>
          <w:rFonts w:ascii="Arial" w:hAnsi="Arial" w:cs="Arial"/>
          <w:color w:val="000000" w:themeColor="text1"/>
          <w:sz w:val="19"/>
          <w:szCs w:val="19"/>
        </w:rPr>
      </w:pPr>
      <w:r w:rsidRPr="00285ACD">
        <w:rPr>
          <w:rFonts w:ascii="Arial" w:hAnsi="Arial" w:cs="Arial"/>
          <w:color w:val="000000" w:themeColor="text1"/>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023B7D64" w14:textId="77777777" w:rsidR="00031AD9" w:rsidRPr="00285ACD" w:rsidRDefault="00031AD9" w:rsidP="00012E96">
      <w:pPr>
        <w:pStyle w:val="NormalWeb"/>
        <w:spacing w:before="0" w:beforeAutospacing="0" w:after="0" w:afterAutospacing="0"/>
        <w:ind w:firstLine="709"/>
        <w:jc w:val="both"/>
        <w:rPr>
          <w:rFonts w:ascii="Arial" w:hAnsi="Arial" w:cs="Arial"/>
          <w:color w:val="000000" w:themeColor="text1"/>
          <w:sz w:val="19"/>
          <w:szCs w:val="19"/>
        </w:rPr>
      </w:pPr>
      <w:r w:rsidRPr="00285ACD">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3F462983" w14:textId="77777777" w:rsidR="00031AD9" w:rsidRPr="00640E20" w:rsidRDefault="00031AD9" w:rsidP="00012E96">
      <w:pPr>
        <w:pStyle w:val="NormalWeb"/>
        <w:spacing w:before="0" w:beforeAutospacing="0" w:after="0" w:afterAutospacing="0"/>
        <w:ind w:firstLine="709"/>
        <w:jc w:val="both"/>
        <w:rPr>
          <w:rFonts w:ascii="Arial" w:hAnsi="Arial" w:cs="Arial"/>
          <w:color w:val="000000" w:themeColor="text1"/>
          <w:sz w:val="19"/>
          <w:szCs w:val="19"/>
        </w:rPr>
      </w:pPr>
      <w:r w:rsidRPr="00285ACD">
        <w:rPr>
          <w:rFonts w:ascii="Arial" w:hAnsi="Arial" w:cs="Arial"/>
          <w:color w:val="000000" w:themeColor="text1"/>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7">
    <w:p w14:paraId="3F6B9BAF" w14:textId="60A91817" w:rsidR="00910FF7" w:rsidRPr="00AC19AC" w:rsidRDefault="00910FF7" w:rsidP="00AC19AC">
      <w:pPr>
        <w:pStyle w:val="Textonotapie"/>
        <w:ind w:firstLine="708"/>
        <w:jc w:val="both"/>
        <w:rPr>
          <w:rFonts w:ascii="Arial" w:hAnsi="Arial" w:cs="Arial"/>
          <w:sz w:val="19"/>
          <w:szCs w:val="19"/>
        </w:rPr>
      </w:pPr>
      <w:r w:rsidRPr="00AC19AC">
        <w:rPr>
          <w:rStyle w:val="Refdenotaalpie"/>
          <w:rFonts w:ascii="Arial" w:hAnsi="Arial" w:cs="Arial"/>
          <w:sz w:val="19"/>
          <w:szCs w:val="19"/>
        </w:rPr>
        <w:footnoteRef/>
      </w:r>
      <w:r w:rsidRPr="00AC19AC">
        <w:rPr>
          <w:rFonts w:ascii="Arial" w:hAnsi="Arial" w:cs="Arial"/>
          <w:sz w:val="19"/>
          <w:szCs w:val="19"/>
        </w:rPr>
        <w:t xml:space="preserve"> Dichos documentos tipo pueden consultarse en el siguiente enlace: </w:t>
      </w:r>
      <w:r w:rsidR="00EE570D" w:rsidRPr="00AC19AC">
        <w:rPr>
          <w:rFonts w:ascii="Arial" w:hAnsi="Arial" w:cs="Arial"/>
          <w:sz w:val="19"/>
          <w:szCs w:val="19"/>
        </w:rPr>
        <w:t>https://www.colombiacompra.gov.co/documentos-tipo/documentos-tipo</w:t>
      </w:r>
    </w:p>
  </w:footnote>
  <w:footnote w:id="8">
    <w:p w14:paraId="01B36BAD" w14:textId="6B185306" w:rsidR="00031AD9" w:rsidRPr="00B06FD5" w:rsidRDefault="00031AD9" w:rsidP="00012E96">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 CONGRESO DE LA REPÚBLICA. Gaceta Nº 1677 del 23 de noviembre de 2021. Justificación jurídica del Proyecto de Ley</w:t>
      </w:r>
      <w:r w:rsidR="00012E96">
        <w:rPr>
          <w:rFonts w:ascii="Arial" w:hAnsi="Arial" w:cs="Arial"/>
          <w:color w:val="000000" w:themeColor="text1"/>
          <w:sz w:val="19"/>
          <w:szCs w:val="19"/>
        </w:rPr>
        <w:t xml:space="preserve"> No. 226 de 2021 Cámara. p. 15.</w:t>
      </w:r>
    </w:p>
  </w:footnote>
  <w:footnote w:id="9">
    <w:p w14:paraId="5B36713C" w14:textId="77777777" w:rsidR="00031AD9" w:rsidRPr="00640E20" w:rsidRDefault="00031AD9" w:rsidP="00012E96">
      <w:pPr>
        <w:pStyle w:val="NormalWeb"/>
        <w:spacing w:before="0" w:beforeAutospacing="0" w:after="0" w:afterAutospacing="0"/>
        <w:ind w:firstLine="708"/>
        <w:jc w:val="both"/>
        <w:rPr>
          <w:rFonts w:ascii="Arial" w:hAnsi="Arial" w:cs="Arial"/>
          <w:color w:val="000000"/>
          <w:sz w:val="19"/>
          <w:szCs w:val="19"/>
        </w:rPr>
      </w:pPr>
      <w:r w:rsidRPr="00012E96">
        <w:rPr>
          <w:rStyle w:val="Refdenotaalpie"/>
          <w:rFonts w:ascii="Arial" w:hAnsi="Arial" w:cs="Arial"/>
          <w:b/>
          <w:sz w:val="19"/>
          <w:szCs w:val="19"/>
        </w:rPr>
        <w:footnoteRef/>
      </w:r>
      <w:r w:rsidRPr="00012E96">
        <w:rPr>
          <w:rFonts w:ascii="Arial" w:hAnsi="Arial" w:cs="Arial"/>
          <w:b/>
          <w:sz w:val="19"/>
          <w:szCs w:val="19"/>
        </w:rPr>
        <w:t xml:space="preserve"> «</w:t>
      </w:r>
      <w:r w:rsidRPr="00012E96">
        <w:rPr>
          <w:rStyle w:val="Textoennegrita"/>
          <w:rFonts w:ascii="Arial" w:hAnsi="Arial" w:cs="Arial"/>
          <w:b w:val="0"/>
          <w:color w:val="000000"/>
          <w:sz w:val="19"/>
          <w:szCs w:val="19"/>
        </w:rPr>
        <w:t>Artículo 2°.</w:t>
      </w:r>
      <w:r w:rsidRPr="00012E96">
        <w:rPr>
          <w:rStyle w:val="nfasis"/>
          <w:rFonts w:ascii="Arial" w:hAnsi="Arial" w:cs="Arial"/>
          <w:color w:val="000000"/>
          <w:sz w:val="19"/>
          <w:szCs w:val="19"/>
        </w:rPr>
        <w:t>De</w:t>
      </w:r>
      <w:r w:rsidRPr="00B06FD5">
        <w:rPr>
          <w:rStyle w:val="nfasis"/>
          <w:rFonts w:ascii="Arial" w:hAnsi="Arial" w:cs="Arial"/>
          <w:color w:val="000000"/>
          <w:sz w:val="19"/>
          <w:szCs w:val="19"/>
        </w:rPr>
        <w:t xml:space="preserve"> las modalidades de selección. </w:t>
      </w:r>
      <w:r w:rsidRPr="00B06FD5">
        <w:rPr>
          <w:rFonts w:ascii="Arial" w:hAnsi="Arial" w:cs="Arial"/>
          <w:color w:val="000000"/>
          <w:sz w:val="19"/>
          <w:szCs w:val="19"/>
        </w:rPr>
        <w:t xml:space="preserve">La escogencia del contratista se efectuará con arreglo a las modalidades de selección de licitación pública, selección abreviada, concurso de méritos y contratación directa, con base en las siguientes reglas:  </w:t>
      </w:r>
    </w:p>
    <w:p w14:paraId="52A2FD24" w14:textId="77777777" w:rsidR="00031AD9" w:rsidRPr="00640E20" w:rsidRDefault="00031AD9" w:rsidP="00012E96">
      <w:pPr>
        <w:pStyle w:val="NormalWeb"/>
        <w:spacing w:before="0" w:beforeAutospacing="0" w:after="0" w:afterAutospacing="0"/>
        <w:ind w:firstLine="708"/>
        <w:jc w:val="both"/>
        <w:rPr>
          <w:rFonts w:ascii="Arial" w:hAnsi="Arial" w:cs="Arial"/>
          <w:color w:val="000000"/>
          <w:sz w:val="19"/>
          <w:szCs w:val="19"/>
        </w:rPr>
      </w:pPr>
      <w:r w:rsidRPr="00640E20">
        <w:rPr>
          <w:rFonts w:ascii="Arial" w:hAnsi="Arial" w:cs="Arial"/>
          <w:color w:val="000000"/>
          <w:sz w:val="19"/>
          <w:szCs w:val="19"/>
        </w:rPr>
        <w:t>[…]</w:t>
      </w:r>
    </w:p>
    <w:p w14:paraId="51D61F99" w14:textId="77777777" w:rsidR="00031AD9" w:rsidRPr="00640E20" w:rsidRDefault="00031AD9" w:rsidP="00012E96">
      <w:pPr>
        <w:pStyle w:val="NormalWeb"/>
        <w:spacing w:before="0" w:beforeAutospacing="0" w:after="0" w:afterAutospacing="0"/>
        <w:ind w:firstLine="708"/>
        <w:jc w:val="both"/>
        <w:rPr>
          <w:rFonts w:ascii="Arial" w:hAnsi="Arial" w:cs="Arial"/>
          <w:color w:val="000000"/>
          <w:sz w:val="19"/>
          <w:szCs w:val="19"/>
        </w:rPr>
      </w:pPr>
      <w:r w:rsidRPr="00640E20">
        <w:rPr>
          <w:rFonts w:ascii="Arial" w:hAnsi="Arial" w:cs="Arial"/>
          <w:color w:val="000000"/>
          <w:sz w:val="19"/>
          <w:szCs w:val="19"/>
        </w:rPr>
        <w:t>»4. Contratación directa</w:t>
      </w:r>
      <w:r w:rsidRPr="00640E20">
        <w:rPr>
          <w:rFonts w:ascii="Arial" w:hAnsi="Arial" w:cs="Arial"/>
          <w:b/>
          <w:bCs/>
          <w:color w:val="000000"/>
          <w:sz w:val="19"/>
          <w:szCs w:val="19"/>
        </w:rPr>
        <w:t>. </w:t>
      </w:r>
      <w:r w:rsidRPr="00640E20">
        <w:rPr>
          <w:rFonts w:ascii="Arial" w:hAnsi="Arial" w:cs="Arial"/>
          <w:color w:val="000000"/>
          <w:sz w:val="19"/>
          <w:szCs w:val="19"/>
        </w:rPr>
        <w:t>La modalidad de selección de contratación directa, solamente procederá en los siguientes casos: </w:t>
      </w:r>
    </w:p>
    <w:p w14:paraId="1E872267" w14:textId="77777777" w:rsidR="00031AD9" w:rsidRPr="00640E20" w:rsidRDefault="00031AD9" w:rsidP="00012E96">
      <w:pPr>
        <w:jc w:val="both"/>
        <w:rPr>
          <w:rFonts w:ascii="Arial" w:hAnsi="Arial" w:cs="Arial"/>
          <w:color w:val="000000"/>
          <w:sz w:val="19"/>
          <w:szCs w:val="19"/>
          <w:lang w:eastAsia="es-CO"/>
        </w:rPr>
      </w:pPr>
      <w:r w:rsidRPr="00640E20">
        <w:rPr>
          <w:rFonts w:ascii="Arial" w:hAnsi="Arial" w:cs="Arial"/>
          <w:color w:val="000000"/>
          <w:sz w:val="19"/>
          <w:szCs w:val="19"/>
          <w:lang w:eastAsia="es-CO"/>
        </w:rPr>
        <w:t>  […]  </w:t>
      </w:r>
    </w:p>
    <w:p w14:paraId="413F7986" w14:textId="77777777" w:rsidR="00031AD9" w:rsidRPr="00640E20" w:rsidRDefault="00031AD9" w:rsidP="00012E96">
      <w:pPr>
        <w:ind w:firstLine="708"/>
        <w:jc w:val="both"/>
        <w:rPr>
          <w:rFonts w:ascii="Arial" w:hAnsi="Arial" w:cs="Arial"/>
          <w:color w:val="000000"/>
          <w:sz w:val="19"/>
          <w:szCs w:val="19"/>
          <w:lang w:eastAsia="es-CO"/>
        </w:rPr>
      </w:pPr>
      <w:r w:rsidRPr="00640E20">
        <w:rPr>
          <w:rFonts w:ascii="Arial" w:hAnsi="Arial" w:cs="Arial"/>
          <w:color w:val="000000"/>
          <w:sz w:val="19"/>
          <w:szCs w:val="19"/>
          <w:lang w:eastAsia="es-CO"/>
        </w:rPr>
        <w:t>»c) Contratos interadministrativos, siempre que las obligaciones derivadas del mismo tengan relación directa con el objeto de la entidad ejecutora señalado en la ley o en sus reglamentos.  </w:t>
      </w:r>
    </w:p>
    <w:p w14:paraId="3B25D4AF" w14:textId="77777777" w:rsidR="00031AD9" w:rsidRPr="00640E20" w:rsidRDefault="00031AD9" w:rsidP="00012E96">
      <w:pPr>
        <w:jc w:val="both"/>
        <w:rPr>
          <w:rFonts w:ascii="Arial" w:hAnsi="Arial" w:cs="Arial"/>
          <w:color w:val="000000"/>
          <w:sz w:val="19"/>
          <w:szCs w:val="19"/>
          <w:lang w:eastAsia="es-CO"/>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355D1099" w14:textId="77777777" w:rsidR="00031AD9" w:rsidRPr="00640E20" w:rsidRDefault="00031AD9" w:rsidP="00012E96">
      <w:pPr>
        <w:jc w:val="both"/>
        <w:rPr>
          <w:rFonts w:ascii="Arial" w:hAnsi="Arial" w:cs="Arial"/>
          <w:color w:val="000000"/>
          <w:sz w:val="19"/>
          <w:szCs w:val="19"/>
          <w:lang w:eastAsia="es-CO"/>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4E527AF3" w14:textId="77777777" w:rsidR="00031AD9" w:rsidRPr="00640E20" w:rsidRDefault="00031AD9" w:rsidP="00012E96">
      <w:pPr>
        <w:jc w:val="both"/>
        <w:rPr>
          <w:rFonts w:ascii="Arial" w:hAnsi="Arial" w:cs="Arial"/>
          <w:color w:val="000000"/>
          <w:sz w:val="19"/>
          <w:szCs w:val="19"/>
          <w:lang w:eastAsia="es-CO"/>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4D438D0D" w14:textId="4F9E2FF6" w:rsidR="00031AD9" w:rsidRPr="00640E20" w:rsidRDefault="00031AD9" w:rsidP="00012E96">
      <w:pPr>
        <w:jc w:val="both"/>
        <w:rPr>
          <w:rFonts w:ascii="Arial" w:hAnsi="Arial" w:cs="Arial"/>
          <w:sz w:val="19"/>
          <w:szCs w:val="19"/>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t>»Estarán exceptuados de la figura del contrato interadministrativo, los contratos de seguro de las entidades estatales</w:t>
      </w:r>
      <w:r w:rsidR="002813C6">
        <w:rPr>
          <w:rFonts w:ascii="Arial" w:hAnsi="Arial" w:cs="Arial"/>
          <w:color w:val="000000"/>
          <w:sz w:val="19"/>
          <w:szCs w:val="19"/>
          <w:lang w:eastAsia="es-CO"/>
        </w:rPr>
        <w:t xml:space="preserve"> </w:t>
      </w:r>
      <w:r w:rsidRPr="00640E20">
        <w:rPr>
          <w:rFonts w:ascii="Arial" w:hAnsi="Arial" w:cs="Arial"/>
          <w:color w:val="000000"/>
          <w:sz w:val="19"/>
          <w:szCs w:val="19"/>
          <w:lang w:eastAsia="es-CO"/>
        </w:rPr>
        <w:t>[…]». </w:t>
      </w:r>
      <w:r w:rsidRPr="00640E20">
        <w:rPr>
          <w:rFonts w:ascii="Arial" w:hAnsi="Arial" w:cs="Arial"/>
          <w:sz w:val="19"/>
          <w:szCs w:val="19"/>
        </w:rPr>
        <w:t xml:space="preserve"> </w:t>
      </w:r>
    </w:p>
  </w:footnote>
  <w:footnote w:id="10">
    <w:p w14:paraId="3386FE38" w14:textId="77777777" w:rsidR="00031AD9" w:rsidRPr="00640E20" w:rsidRDefault="00031AD9" w:rsidP="00012E96">
      <w:pPr>
        <w:pStyle w:val="Textonotapie"/>
        <w:ind w:firstLine="708"/>
        <w:jc w:val="both"/>
        <w:rPr>
          <w:rFonts w:ascii="Arial" w:hAnsi="Arial" w:cs="Arial"/>
          <w:sz w:val="19"/>
          <w:szCs w:val="19"/>
          <w:lang w:val="es-CO"/>
        </w:rPr>
      </w:pPr>
      <w:r w:rsidRPr="00E858D2">
        <w:rPr>
          <w:rStyle w:val="Refdenotaalpie"/>
          <w:rFonts w:ascii="Arial" w:hAnsi="Arial" w:cs="Arial"/>
          <w:sz w:val="19"/>
          <w:szCs w:val="19"/>
        </w:rPr>
        <w:footnoteRef/>
      </w:r>
      <w:r w:rsidRPr="00640E20">
        <w:rPr>
          <w:rFonts w:ascii="Arial" w:hAnsi="Arial" w:cs="Arial"/>
          <w:sz w:val="19"/>
          <w:szCs w:val="19"/>
        </w:rPr>
        <w:t xml:space="preserve"> Este es uno de los casos típicos de antinomias que ha identificado la doctrina, que al respecto ha señalado: «Segundo caso: antinomias entre normas provenientes de dos fuentes distintas, pero del mismo tipo (por ejemplo, dos leyes estatales ordinarias) Ahora bien, dos fuentes del mismo tipo por lo general habrán sido promulgadas o emanadas en momentos distintos. En estos casos, la antinomia se resuelve dando la preferencia a la norma más reciente en el tiempo. La norma sucesiva debe ser aplicada, la anterior debe considerarse abrogada, ya no en vigencia […] Este modo de razonar constituye aplicación del principio cronológico: la norma sucesiva abroga la precedente («</w:t>
      </w:r>
      <w:r w:rsidRPr="00640E20">
        <w:rPr>
          <w:rFonts w:ascii="Arial" w:hAnsi="Arial" w:cs="Arial"/>
          <w:i/>
          <w:iCs/>
          <w:sz w:val="19"/>
          <w:szCs w:val="19"/>
        </w:rPr>
        <w:t>lex posterior derogat legi priori</w:t>
      </w:r>
      <w:r w:rsidRPr="00640E20">
        <w:rPr>
          <w:rFonts w:ascii="Arial" w:hAnsi="Arial" w:cs="Arial"/>
          <w:sz w:val="19"/>
          <w:szCs w:val="19"/>
        </w:rPr>
        <w:t xml:space="preserve">»)». GUASTINI, Ricardo. La interpretación de los documentos normativos. Trad. Cesar E. Moreno Primera Edición, Centro Iberoamericano de Investigaciones Jurídicas y Sociales: Derecho Global Editores, México, 2018. pp. 423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7847B1C0" w:rsidR="00E2520A" w:rsidRDefault="00E2520A">
    <w:pPr>
      <w:pStyle w:val="Encabezado"/>
    </w:pPr>
  </w:p>
  <w:p w14:paraId="2A80E31D" w14:textId="184E2E56" w:rsidR="00E2520A" w:rsidRDefault="00496AF2">
    <w:r>
      <w:rPr>
        <w:noProof/>
        <w:lang w:eastAsia="es-CO"/>
      </w:rPr>
      <w:drawing>
        <wp:anchor distT="0" distB="0" distL="114300" distR="114300" simplePos="0" relativeHeight="251659264" behindDoc="1" locked="0" layoutInCell="1" allowOverlap="1" wp14:anchorId="0FF83FFE" wp14:editId="5CE01BD8">
          <wp:simplePos x="0" y="0"/>
          <wp:positionH relativeFrom="margin">
            <wp:align>right</wp:align>
          </wp:positionH>
          <wp:positionV relativeFrom="paragraph">
            <wp:posOffset>158088</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BE9C96" w14:textId="489F09F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42F300C"/>
    <w:multiLevelType w:val="multilevel"/>
    <w:tmpl w:val="0846C6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9"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2"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4" w15:restartNumberingAfterBreak="0">
    <w:nsid w:val="2F422EAE"/>
    <w:multiLevelType w:val="multilevel"/>
    <w:tmpl w:val="1570C2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0"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4"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6"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68057737">
    <w:abstractNumId w:val="17"/>
  </w:num>
  <w:num w:numId="2" w16cid:durableId="856583929">
    <w:abstractNumId w:val="15"/>
  </w:num>
  <w:num w:numId="3" w16cid:durableId="429931377">
    <w:abstractNumId w:val="24"/>
  </w:num>
  <w:num w:numId="4" w16cid:durableId="750784264">
    <w:abstractNumId w:val="29"/>
  </w:num>
  <w:num w:numId="5" w16cid:durableId="1035889748">
    <w:abstractNumId w:val="33"/>
  </w:num>
  <w:num w:numId="6" w16cid:durableId="4090962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6774175">
    <w:abstractNumId w:val="30"/>
  </w:num>
  <w:num w:numId="8" w16cid:durableId="175266667">
    <w:abstractNumId w:val="3"/>
  </w:num>
  <w:num w:numId="9" w16cid:durableId="1898591321">
    <w:abstractNumId w:val="9"/>
  </w:num>
  <w:num w:numId="10" w16cid:durableId="6965904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05061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57636054">
    <w:abstractNumId w:val="16"/>
  </w:num>
  <w:num w:numId="13" w16cid:durableId="1454516859">
    <w:abstractNumId w:val="22"/>
  </w:num>
  <w:num w:numId="14" w16cid:durableId="235434561">
    <w:abstractNumId w:val="12"/>
  </w:num>
  <w:num w:numId="15" w16cid:durableId="247540391">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2210429">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32092450">
    <w:abstractNumId w:val="35"/>
  </w:num>
  <w:num w:numId="18" w16cid:durableId="1871606800">
    <w:abstractNumId w:val="25"/>
  </w:num>
  <w:num w:numId="19" w16cid:durableId="320668250">
    <w:abstractNumId w:val="8"/>
  </w:num>
  <w:num w:numId="20" w16cid:durableId="350227430">
    <w:abstractNumId w:val="36"/>
  </w:num>
  <w:num w:numId="21" w16cid:durableId="1824008182">
    <w:abstractNumId w:val="27"/>
  </w:num>
  <w:num w:numId="22" w16cid:durableId="525949698">
    <w:abstractNumId w:val="11"/>
  </w:num>
  <w:num w:numId="23" w16cid:durableId="422383615">
    <w:abstractNumId w:val="10"/>
  </w:num>
  <w:num w:numId="24" w16cid:durableId="966348752">
    <w:abstractNumId w:val="31"/>
  </w:num>
  <w:num w:numId="25" w16cid:durableId="1681275763">
    <w:abstractNumId w:val="19"/>
  </w:num>
  <w:num w:numId="26" w16cid:durableId="1906378696">
    <w:abstractNumId w:val="34"/>
  </w:num>
  <w:num w:numId="27" w16cid:durableId="589854749">
    <w:abstractNumId w:val="38"/>
  </w:num>
  <w:num w:numId="28" w16cid:durableId="1995065669">
    <w:abstractNumId w:val="23"/>
  </w:num>
  <w:num w:numId="29" w16cid:durableId="1476488792">
    <w:abstractNumId w:val="2"/>
  </w:num>
  <w:num w:numId="30" w16cid:durableId="1142892698">
    <w:abstractNumId w:val="26"/>
  </w:num>
  <w:num w:numId="31" w16cid:durableId="2036491751">
    <w:abstractNumId w:val="20"/>
  </w:num>
  <w:num w:numId="32" w16cid:durableId="450130451">
    <w:abstractNumId w:val="28"/>
  </w:num>
  <w:num w:numId="33" w16cid:durableId="1530217068">
    <w:abstractNumId w:val="37"/>
  </w:num>
  <w:num w:numId="34" w16cid:durableId="894124879">
    <w:abstractNumId w:val="18"/>
  </w:num>
  <w:num w:numId="35" w16cid:durableId="1674987944">
    <w:abstractNumId w:val="1"/>
  </w:num>
  <w:num w:numId="36" w16cid:durableId="3351586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023095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135140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79457118">
    <w:abstractNumId w:val="6"/>
  </w:num>
  <w:num w:numId="40" w16cid:durableId="17478723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96244442">
    <w:abstractNumId w:val="14"/>
    <w:lvlOverride w:ilvl="0"/>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pt-BR" w:vendorID="64" w:dllVersion="4096" w:nlCheck="1" w:checkStyle="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31A8"/>
    <w:rsid w:val="00003233"/>
    <w:rsid w:val="000037D0"/>
    <w:rsid w:val="00003C5C"/>
    <w:rsid w:val="000040D7"/>
    <w:rsid w:val="00004556"/>
    <w:rsid w:val="000051AF"/>
    <w:rsid w:val="00005958"/>
    <w:rsid w:val="000059D3"/>
    <w:rsid w:val="0000600A"/>
    <w:rsid w:val="00006081"/>
    <w:rsid w:val="000060D0"/>
    <w:rsid w:val="00006D78"/>
    <w:rsid w:val="000075EA"/>
    <w:rsid w:val="00007750"/>
    <w:rsid w:val="000077FD"/>
    <w:rsid w:val="00007E37"/>
    <w:rsid w:val="00010408"/>
    <w:rsid w:val="00010C40"/>
    <w:rsid w:val="000112B4"/>
    <w:rsid w:val="00011DCC"/>
    <w:rsid w:val="00012532"/>
    <w:rsid w:val="00012B9E"/>
    <w:rsid w:val="00012E96"/>
    <w:rsid w:val="00012FBA"/>
    <w:rsid w:val="00013C6B"/>
    <w:rsid w:val="0001406B"/>
    <w:rsid w:val="00014207"/>
    <w:rsid w:val="000143F8"/>
    <w:rsid w:val="00014624"/>
    <w:rsid w:val="000147ED"/>
    <w:rsid w:val="00015B44"/>
    <w:rsid w:val="00016081"/>
    <w:rsid w:val="000165AC"/>
    <w:rsid w:val="00016651"/>
    <w:rsid w:val="00016881"/>
    <w:rsid w:val="000171A2"/>
    <w:rsid w:val="00017B65"/>
    <w:rsid w:val="00020158"/>
    <w:rsid w:val="000207E0"/>
    <w:rsid w:val="00020D87"/>
    <w:rsid w:val="00020F8F"/>
    <w:rsid w:val="00021A95"/>
    <w:rsid w:val="00021C0A"/>
    <w:rsid w:val="00021F62"/>
    <w:rsid w:val="0002256F"/>
    <w:rsid w:val="0002296A"/>
    <w:rsid w:val="00023DAE"/>
    <w:rsid w:val="00023FA5"/>
    <w:rsid w:val="00024592"/>
    <w:rsid w:val="00024896"/>
    <w:rsid w:val="000258A6"/>
    <w:rsid w:val="00026092"/>
    <w:rsid w:val="000263F0"/>
    <w:rsid w:val="00026407"/>
    <w:rsid w:val="000264F6"/>
    <w:rsid w:val="00026608"/>
    <w:rsid w:val="00026B36"/>
    <w:rsid w:val="0002738B"/>
    <w:rsid w:val="00027545"/>
    <w:rsid w:val="00027787"/>
    <w:rsid w:val="000277A2"/>
    <w:rsid w:val="000278D2"/>
    <w:rsid w:val="00031384"/>
    <w:rsid w:val="000315E1"/>
    <w:rsid w:val="00031AD9"/>
    <w:rsid w:val="0003236E"/>
    <w:rsid w:val="00033295"/>
    <w:rsid w:val="0003339A"/>
    <w:rsid w:val="00034134"/>
    <w:rsid w:val="000341F2"/>
    <w:rsid w:val="00034651"/>
    <w:rsid w:val="000351F2"/>
    <w:rsid w:val="00035224"/>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C09"/>
    <w:rsid w:val="00046EDB"/>
    <w:rsid w:val="0004716A"/>
    <w:rsid w:val="00047316"/>
    <w:rsid w:val="00047385"/>
    <w:rsid w:val="000473E8"/>
    <w:rsid w:val="000504DE"/>
    <w:rsid w:val="00050705"/>
    <w:rsid w:val="00051074"/>
    <w:rsid w:val="0005211A"/>
    <w:rsid w:val="00052B79"/>
    <w:rsid w:val="00052B86"/>
    <w:rsid w:val="00052EA0"/>
    <w:rsid w:val="000536E3"/>
    <w:rsid w:val="00053EDA"/>
    <w:rsid w:val="00054252"/>
    <w:rsid w:val="0005474D"/>
    <w:rsid w:val="00055CB9"/>
    <w:rsid w:val="00056F66"/>
    <w:rsid w:val="0005702F"/>
    <w:rsid w:val="00057661"/>
    <w:rsid w:val="0005779C"/>
    <w:rsid w:val="00061D06"/>
    <w:rsid w:val="00062289"/>
    <w:rsid w:val="0006294B"/>
    <w:rsid w:val="00062CDD"/>
    <w:rsid w:val="00063EA2"/>
    <w:rsid w:val="00063FA5"/>
    <w:rsid w:val="000640AF"/>
    <w:rsid w:val="00064940"/>
    <w:rsid w:val="00064CAE"/>
    <w:rsid w:val="00064DB7"/>
    <w:rsid w:val="00064FA7"/>
    <w:rsid w:val="00065195"/>
    <w:rsid w:val="00070AF1"/>
    <w:rsid w:val="000714DE"/>
    <w:rsid w:val="0007254F"/>
    <w:rsid w:val="00073C30"/>
    <w:rsid w:val="00074305"/>
    <w:rsid w:val="00074B2A"/>
    <w:rsid w:val="00075108"/>
    <w:rsid w:val="00075B3E"/>
    <w:rsid w:val="00076456"/>
    <w:rsid w:val="00076604"/>
    <w:rsid w:val="0007779B"/>
    <w:rsid w:val="000777E7"/>
    <w:rsid w:val="0007790A"/>
    <w:rsid w:val="0008017B"/>
    <w:rsid w:val="00080287"/>
    <w:rsid w:val="00080ACD"/>
    <w:rsid w:val="000811ED"/>
    <w:rsid w:val="00081284"/>
    <w:rsid w:val="0008191B"/>
    <w:rsid w:val="00081D62"/>
    <w:rsid w:val="00081E36"/>
    <w:rsid w:val="000820A1"/>
    <w:rsid w:val="000820CE"/>
    <w:rsid w:val="00082B74"/>
    <w:rsid w:val="00083099"/>
    <w:rsid w:val="00083EDC"/>
    <w:rsid w:val="00083EE6"/>
    <w:rsid w:val="000847C0"/>
    <w:rsid w:val="00084873"/>
    <w:rsid w:val="00084B97"/>
    <w:rsid w:val="0008510E"/>
    <w:rsid w:val="000856DE"/>
    <w:rsid w:val="00085F17"/>
    <w:rsid w:val="00085FB3"/>
    <w:rsid w:val="0008649B"/>
    <w:rsid w:val="0008686B"/>
    <w:rsid w:val="00086B2A"/>
    <w:rsid w:val="00086ED2"/>
    <w:rsid w:val="000914D6"/>
    <w:rsid w:val="00091569"/>
    <w:rsid w:val="00092DCA"/>
    <w:rsid w:val="000935F8"/>
    <w:rsid w:val="00093C51"/>
    <w:rsid w:val="000942EB"/>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15"/>
    <w:rsid w:val="000A2128"/>
    <w:rsid w:val="000A362F"/>
    <w:rsid w:val="000A367A"/>
    <w:rsid w:val="000A3B49"/>
    <w:rsid w:val="000A41BA"/>
    <w:rsid w:val="000A446A"/>
    <w:rsid w:val="000A5AAF"/>
    <w:rsid w:val="000A5F97"/>
    <w:rsid w:val="000A648E"/>
    <w:rsid w:val="000A73BB"/>
    <w:rsid w:val="000A7EF4"/>
    <w:rsid w:val="000B0A15"/>
    <w:rsid w:val="000B0DF3"/>
    <w:rsid w:val="000B103F"/>
    <w:rsid w:val="000B10D0"/>
    <w:rsid w:val="000B1437"/>
    <w:rsid w:val="000B1470"/>
    <w:rsid w:val="000B2B86"/>
    <w:rsid w:val="000B3051"/>
    <w:rsid w:val="000B419B"/>
    <w:rsid w:val="000B4716"/>
    <w:rsid w:val="000B5781"/>
    <w:rsid w:val="000B5891"/>
    <w:rsid w:val="000B6E4B"/>
    <w:rsid w:val="000B7122"/>
    <w:rsid w:val="000C0185"/>
    <w:rsid w:val="000C0444"/>
    <w:rsid w:val="000C0960"/>
    <w:rsid w:val="000C0F81"/>
    <w:rsid w:val="000C128D"/>
    <w:rsid w:val="000C17A3"/>
    <w:rsid w:val="000C1D4B"/>
    <w:rsid w:val="000C3260"/>
    <w:rsid w:val="000C3616"/>
    <w:rsid w:val="000C3803"/>
    <w:rsid w:val="000C3B77"/>
    <w:rsid w:val="000C4F49"/>
    <w:rsid w:val="000C5861"/>
    <w:rsid w:val="000C639D"/>
    <w:rsid w:val="000C67BB"/>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0B3C"/>
    <w:rsid w:val="000E22CF"/>
    <w:rsid w:val="000E2977"/>
    <w:rsid w:val="000E2B36"/>
    <w:rsid w:val="000E300F"/>
    <w:rsid w:val="000E30AC"/>
    <w:rsid w:val="000E3B46"/>
    <w:rsid w:val="000E3E11"/>
    <w:rsid w:val="000E4596"/>
    <w:rsid w:val="000E5399"/>
    <w:rsid w:val="000E5768"/>
    <w:rsid w:val="000E5843"/>
    <w:rsid w:val="000E6139"/>
    <w:rsid w:val="000E6B73"/>
    <w:rsid w:val="000E6BE1"/>
    <w:rsid w:val="000E7E0B"/>
    <w:rsid w:val="000F078A"/>
    <w:rsid w:val="000F122D"/>
    <w:rsid w:val="000F1450"/>
    <w:rsid w:val="000F14E8"/>
    <w:rsid w:val="000F1BBD"/>
    <w:rsid w:val="000F2739"/>
    <w:rsid w:val="000F3138"/>
    <w:rsid w:val="000F3D39"/>
    <w:rsid w:val="000F4403"/>
    <w:rsid w:val="000F4C3F"/>
    <w:rsid w:val="000F4E17"/>
    <w:rsid w:val="000F636A"/>
    <w:rsid w:val="000F6578"/>
    <w:rsid w:val="000F70CD"/>
    <w:rsid w:val="000F79F9"/>
    <w:rsid w:val="000F7ABD"/>
    <w:rsid w:val="000F7E8F"/>
    <w:rsid w:val="000F7FBB"/>
    <w:rsid w:val="001000FB"/>
    <w:rsid w:val="00101134"/>
    <w:rsid w:val="00102605"/>
    <w:rsid w:val="00102686"/>
    <w:rsid w:val="00102745"/>
    <w:rsid w:val="001032E3"/>
    <w:rsid w:val="00103361"/>
    <w:rsid w:val="00103474"/>
    <w:rsid w:val="00103855"/>
    <w:rsid w:val="00103915"/>
    <w:rsid w:val="00103EA0"/>
    <w:rsid w:val="001046B8"/>
    <w:rsid w:val="00104F1C"/>
    <w:rsid w:val="001051E5"/>
    <w:rsid w:val="00105A74"/>
    <w:rsid w:val="00105ACB"/>
    <w:rsid w:val="00105AEF"/>
    <w:rsid w:val="00106259"/>
    <w:rsid w:val="001065E4"/>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52"/>
    <w:rsid w:val="00113975"/>
    <w:rsid w:val="00113CFC"/>
    <w:rsid w:val="00113FEA"/>
    <w:rsid w:val="00113FF2"/>
    <w:rsid w:val="00114324"/>
    <w:rsid w:val="00114A22"/>
    <w:rsid w:val="00114E9D"/>
    <w:rsid w:val="0011507B"/>
    <w:rsid w:val="00115D13"/>
    <w:rsid w:val="00116328"/>
    <w:rsid w:val="001169FD"/>
    <w:rsid w:val="001174C9"/>
    <w:rsid w:val="00117C82"/>
    <w:rsid w:val="00117E69"/>
    <w:rsid w:val="00120D3F"/>
    <w:rsid w:val="00121103"/>
    <w:rsid w:val="0012156A"/>
    <w:rsid w:val="00121BAB"/>
    <w:rsid w:val="00121E3C"/>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8B9"/>
    <w:rsid w:val="00137FD1"/>
    <w:rsid w:val="00137FFA"/>
    <w:rsid w:val="00140109"/>
    <w:rsid w:val="0014029B"/>
    <w:rsid w:val="00140A4F"/>
    <w:rsid w:val="001413AB"/>
    <w:rsid w:val="001432AF"/>
    <w:rsid w:val="00144335"/>
    <w:rsid w:val="0014502F"/>
    <w:rsid w:val="00145282"/>
    <w:rsid w:val="001453B0"/>
    <w:rsid w:val="001454D9"/>
    <w:rsid w:val="00145534"/>
    <w:rsid w:val="00145D8E"/>
    <w:rsid w:val="00146083"/>
    <w:rsid w:val="001462F7"/>
    <w:rsid w:val="001466F0"/>
    <w:rsid w:val="00146B60"/>
    <w:rsid w:val="00147798"/>
    <w:rsid w:val="00150005"/>
    <w:rsid w:val="00151B99"/>
    <w:rsid w:val="001521B2"/>
    <w:rsid w:val="00152288"/>
    <w:rsid w:val="00152EDD"/>
    <w:rsid w:val="00153491"/>
    <w:rsid w:val="0015361C"/>
    <w:rsid w:val="0015372F"/>
    <w:rsid w:val="00153A05"/>
    <w:rsid w:val="00153A18"/>
    <w:rsid w:val="00153BFB"/>
    <w:rsid w:val="0015407E"/>
    <w:rsid w:val="0015448E"/>
    <w:rsid w:val="00154A6F"/>
    <w:rsid w:val="00155D08"/>
    <w:rsid w:val="00156BE5"/>
    <w:rsid w:val="00156FDB"/>
    <w:rsid w:val="00157232"/>
    <w:rsid w:val="00160401"/>
    <w:rsid w:val="00160D4E"/>
    <w:rsid w:val="00161E62"/>
    <w:rsid w:val="00161F1C"/>
    <w:rsid w:val="0016200B"/>
    <w:rsid w:val="00163D7A"/>
    <w:rsid w:val="00164281"/>
    <w:rsid w:val="00164AF1"/>
    <w:rsid w:val="001654DF"/>
    <w:rsid w:val="00167503"/>
    <w:rsid w:val="001676A9"/>
    <w:rsid w:val="00167A15"/>
    <w:rsid w:val="00167A50"/>
    <w:rsid w:val="00167D66"/>
    <w:rsid w:val="00167DF5"/>
    <w:rsid w:val="00170001"/>
    <w:rsid w:val="0017145A"/>
    <w:rsid w:val="0017171B"/>
    <w:rsid w:val="00172198"/>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9CD"/>
    <w:rsid w:val="00182F01"/>
    <w:rsid w:val="00184F27"/>
    <w:rsid w:val="001850E6"/>
    <w:rsid w:val="0018519B"/>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3F7E"/>
    <w:rsid w:val="001946AE"/>
    <w:rsid w:val="001946D5"/>
    <w:rsid w:val="00194E8C"/>
    <w:rsid w:val="001962EC"/>
    <w:rsid w:val="001963DD"/>
    <w:rsid w:val="001965DB"/>
    <w:rsid w:val="00196DC9"/>
    <w:rsid w:val="001A0236"/>
    <w:rsid w:val="001A0AF8"/>
    <w:rsid w:val="001A18D5"/>
    <w:rsid w:val="001A1D4A"/>
    <w:rsid w:val="001A3011"/>
    <w:rsid w:val="001A325B"/>
    <w:rsid w:val="001A3FC3"/>
    <w:rsid w:val="001A4A08"/>
    <w:rsid w:val="001A4DAF"/>
    <w:rsid w:val="001A66DF"/>
    <w:rsid w:val="001A67D0"/>
    <w:rsid w:val="001A687E"/>
    <w:rsid w:val="001A6BF1"/>
    <w:rsid w:val="001A7591"/>
    <w:rsid w:val="001A75B1"/>
    <w:rsid w:val="001B0366"/>
    <w:rsid w:val="001B0444"/>
    <w:rsid w:val="001B096B"/>
    <w:rsid w:val="001B0F9F"/>
    <w:rsid w:val="001B123C"/>
    <w:rsid w:val="001B1A0D"/>
    <w:rsid w:val="001B1BF1"/>
    <w:rsid w:val="001B2456"/>
    <w:rsid w:val="001B40C7"/>
    <w:rsid w:val="001B449C"/>
    <w:rsid w:val="001B4AA2"/>
    <w:rsid w:val="001B4ADE"/>
    <w:rsid w:val="001B5C86"/>
    <w:rsid w:val="001B5EF8"/>
    <w:rsid w:val="001C037A"/>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70FB"/>
    <w:rsid w:val="001E780A"/>
    <w:rsid w:val="001F07D6"/>
    <w:rsid w:val="001F0FA0"/>
    <w:rsid w:val="001F1349"/>
    <w:rsid w:val="001F1863"/>
    <w:rsid w:val="001F232D"/>
    <w:rsid w:val="001F2356"/>
    <w:rsid w:val="001F2A68"/>
    <w:rsid w:val="001F35AE"/>
    <w:rsid w:val="001F39EA"/>
    <w:rsid w:val="001F4773"/>
    <w:rsid w:val="001F5008"/>
    <w:rsid w:val="001F512D"/>
    <w:rsid w:val="001F56AA"/>
    <w:rsid w:val="001F58AA"/>
    <w:rsid w:val="001F5EF6"/>
    <w:rsid w:val="001F657F"/>
    <w:rsid w:val="001F6FB6"/>
    <w:rsid w:val="001F7978"/>
    <w:rsid w:val="001F7A0E"/>
    <w:rsid w:val="0020022E"/>
    <w:rsid w:val="002004AC"/>
    <w:rsid w:val="0020054E"/>
    <w:rsid w:val="00200B51"/>
    <w:rsid w:val="00201F1E"/>
    <w:rsid w:val="0020299B"/>
    <w:rsid w:val="00202E44"/>
    <w:rsid w:val="002037AA"/>
    <w:rsid w:val="00203FE3"/>
    <w:rsid w:val="002042D8"/>
    <w:rsid w:val="00204515"/>
    <w:rsid w:val="00204BF5"/>
    <w:rsid w:val="00204D91"/>
    <w:rsid w:val="00204D9B"/>
    <w:rsid w:val="00204E6B"/>
    <w:rsid w:val="002058D4"/>
    <w:rsid w:val="00205BAA"/>
    <w:rsid w:val="0020632A"/>
    <w:rsid w:val="002064A6"/>
    <w:rsid w:val="0020697F"/>
    <w:rsid w:val="00210430"/>
    <w:rsid w:val="0021096F"/>
    <w:rsid w:val="002110EB"/>
    <w:rsid w:val="00211338"/>
    <w:rsid w:val="00211342"/>
    <w:rsid w:val="00211388"/>
    <w:rsid w:val="0021148C"/>
    <w:rsid w:val="00211694"/>
    <w:rsid w:val="0021201A"/>
    <w:rsid w:val="00213A1F"/>
    <w:rsid w:val="00213C63"/>
    <w:rsid w:val="00214502"/>
    <w:rsid w:val="00214741"/>
    <w:rsid w:val="0021539A"/>
    <w:rsid w:val="00215793"/>
    <w:rsid w:val="00215852"/>
    <w:rsid w:val="00215B8E"/>
    <w:rsid w:val="00216264"/>
    <w:rsid w:val="002168B8"/>
    <w:rsid w:val="002176B6"/>
    <w:rsid w:val="0021792D"/>
    <w:rsid w:val="00217C33"/>
    <w:rsid w:val="00217DB8"/>
    <w:rsid w:val="0022032A"/>
    <w:rsid w:val="002221CE"/>
    <w:rsid w:val="00222BE8"/>
    <w:rsid w:val="00223102"/>
    <w:rsid w:val="002232CB"/>
    <w:rsid w:val="00224022"/>
    <w:rsid w:val="00226055"/>
    <w:rsid w:val="0022613F"/>
    <w:rsid w:val="00226236"/>
    <w:rsid w:val="00226DF9"/>
    <w:rsid w:val="002270C9"/>
    <w:rsid w:val="00227710"/>
    <w:rsid w:val="00227A8B"/>
    <w:rsid w:val="0023146B"/>
    <w:rsid w:val="002315A0"/>
    <w:rsid w:val="00231CE0"/>
    <w:rsid w:val="00231DBA"/>
    <w:rsid w:val="00231EC7"/>
    <w:rsid w:val="00232A6C"/>
    <w:rsid w:val="00232E15"/>
    <w:rsid w:val="00233079"/>
    <w:rsid w:val="0023382C"/>
    <w:rsid w:val="00233977"/>
    <w:rsid w:val="00233C58"/>
    <w:rsid w:val="00233C71"/>
    <w:rsid w:val="002345B6"/>
    <w:rsid w:val="00234B84"/>
    <w:rsid w:val="00235D5E"/>
    <w:rsid w:val="00236016"/>
    <w:rsid w:val="00237065"/>
    <w:rsid w:val="00237589"/>
    <w:rsid w:val="0023758D"/>
    <w:rsid w:val="002375A7"/>
    <w:rsid w:val="0024019A"/>
    <w:rsid w:val="002402A8"/>
    <w:rsid w:val="002411DE"/>
    <w:rsid w:val="0024131D"/>
    <w:rsid w:val="002413B5"/>
    <w:rsid w:val="002415B8"/>
    <w:rsid w:val="00241618"/>
    <w:rsid w:val="00242D62"/>
    <w:rsid w:val="00243057"/>
    <w:rsid w:val="002431D7"/>
    <w:rsid w:val="00243257"/>
    <w:rsid w:val="00243434"/>
    <w:rsid w:val="00244058"/>
    <w:rsid w:val="00244F9A"/>
    <w:rsid w:val="00245718"/>
    <w:rsid w:val="00245E07"/>
    <w:rsid w:val="0024729C"/>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57C83"/>
    <w:rsid w:val="002604AA"/>
    <w:rsid w:val="0026129B"/>
    <w:rsid w:val="00261560"/>
    <w:rsid w:val="00261715"/>
    <w:rsid w:val="00261CF9"/>
    <w:rsid w:val="00261EC0"/>
    <w:rsid w:val="0026231B"/>
    <w:rsid w:val="00263101"/>
    <w:rsid w:val="00263201"/>
    <w:rsid w:val="00263A37"/>
    <w:rsid w:val="00263D59"/>
    <w:rsid w:val="00263EAE"/>
    <w:rsid w:val="00264409"/>
    <w:rsid w:val="002653A6"/>
    <w:rsid w:val="0026608D"/>
    <w:rsid w:val="002661F1"/>
    <w:rsid w:val="002663BA"/>
    <w:rsid w:val="002664B7"/>
    <w:rsid w:val="00266CB5"/>
    <w:rsid w:val="002711A4"/>
    <w:rsid w:val="00271F13"/>
    <w:rsid w:val="002721E2"/>
    <w:rsid w:val="00274DB5"/>
    <w:rsid w:val="00275BB1"/>
    <w:rsid w:val="00275FBF"/>
    <w:rsid w:val="00276373"/>
    <w:rsid w:val="00277933"/>
    <w:rsid w:val="00277F13"/>
    <w:rsid w:val="00277F8D"/>
    <w:rsid w:val="00277FA7"/>
    <w:rsid w:val="00280F3D"/>
    <w:rsid w:val="0028106A"/>
    <w:rsid w:val="002813C6"/>
    <w:rsid w:val="00281EB4"/>
    <w:rsid w:val="00282C21"/>
    <w:rsid w:val="0028308E"/>
    <w:rsid w:val="002834E9"/>
    <w:rsid w:val="0028396F"/>
    <w:rsid w:val="00283A52"/>
    <w:rsid w:val="00283C5E"/>
    <w:rsid w:val="00283E26"/>
    <w:rsid w:val="0028428F"/>
    <w:rsid w:val="00284CFC"/>
    <w:rsid w:val="0028565E"/>
    <w:rsid w:val="00285832"/>
    <w:rsid w:val="00285969"/>
    <w:rsid w:val="00285ACD"/>
    <w:rsid w:val="0028663B"/>
    <w:rsid w:val="00286CEC"/>
    <w:rsid w:val="002871A9"/>
    <w:rsid w:val="00287B7E"/>
    <w:rsid w:val="00290781"/>
    <w:rsid w:val="002912D3"/>
    <w:rsid w:val="00291784"/>
    <w:rsid w:val="002929BB"/>
    <w:rsid w:val="00292E64"/>
    <w:rsid w:val="002932BA"/>
    <w:rsid w:val="00293669"/>
    <w:rsid w:val="00294368"/>
    <w:rsid w:val="00294B78"/>
    <w:rsid w:val="00295646"/>
    <w:rsid w:val="00295949"/>
    <w:rsid w:val="0029624A"/>
    <w:rsid w:val="00296922"/>
    <w:rsid w:val="0029697C"/>
    <w:rsid w:val="00297098"/>
    <w:rsid w:val="002A05D4"/>
    <w:rsid w:val="002A09FF"/>
    <w:rsid w:val="002A0C01"/>
    <w:rsid w:val="002A0E60"/>
    <w:rsid w:val="002A1A58"/>
    <w:rsid w:val="002A1B02"/>
    <w:rsid w:val="002A1C53"/>
    <w:rsid w:val="002A28FC"/>
    <w:rsid w:val="002A2B44"/>
    <w:rsid w:val="002A2EA5"/>
    <w:rsid w:val="002A3842"/>
    <w:rsid w:val="002A3D94"/>
    <w:rsid w:val="002A4736"/>
    <w:rsid w:val="002A4B1C"/>
    <w:rsid w:val="002A4BDD"/>
    <w:rsid w:val="002A4CC8"/>
    <w:rsid w:val="002A4DBB"/>
    <w:rsid w:val="002A6AFB"/>
    <w:rsid w:val="002A6E3A"/>
    <w:rsid w:val="002A733D"/>
    <w:rsid w:val="002A774A"/>
    <w:rsid w:val="002A7E5C"/>
    <w:rsid w:val="002A7F6D"/>
    <w:rsid w:val="002B020D"/>
    <w:rsid w:val="002B1342"/>
    <w:rsid w:val="002B1B22"/>
    <w:rsid w:val="002B27C8"/>
    <w:rsid w:val="002B2A7F"/>
    <w:rsid w:val="002B330B"/>
    <w:rsid w:val="002B39BE"/>
    <w:rsid w:val="002B4039"/>
    <w:rsid w:val="002B438C"/>
    <w:rsid w:val="002B48DB"/>
    <w:rsid w:val="002B4B34"/>
    <w:rsid w:val="002B508E"/>
    <w:rsid w:val="002B541A"/>
    <w:rsid w:val="002B6407"/>
    <w:rsid w:val="002B6416"/>
    <w:rsid w:val="002B6459"/>
    <w:rsid w:val="002B64D2"/>
    <w:rsid w:val="002B73B0"/>
    <w:rsid w:val="002C0471"/>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A1D"/>
    <w:rsid w:val="002C6F77"/>
    <w:rsid w:val="002C704D"/>
    <w:rsid w:val="002D0845"/>
    <w:rsid w:val="002D0933"/>
    <w:rsid w:val="002D0F58"/>
    <w:rsid w:val="002D1866"/>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45F6"/>
    <w:rsid w:val="002F692F"/>
    <w:rsid w:val="002F69BE"/>
    <w:rsid w:val="002F7B66"/>
    <w:rsid w:val="00300CB4"/>
    <w:rsid w:val="00300DE7"/>
    <w:rsid w:val="00300E24"/>
    <w:rsid w:val="0030101C"/>
    <w:rsid w:val="003033BA"/>
    <w:rsid w:val="003043A3"/>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190"/>
    <w:rsid w:val="003125E0"/>
    <w:rsid w:val="00312606"/>
    <w:rsid w:val="0031271D"/>
    <w:rsid w:val="0031336A"/>
    <w:rsid w:val="00313447"/>
    <w:rsid w:val="00313748"/>
    <w:rsid w:val="00313EA3"/>
    <w:rsid w:val="0031496A"/>
    <w:rsid w:val="00315457"/>
    <w:rsid w:val="003161A4"/>
    <w:rsid w:val="00316955"/>
    <w:rsid w:val="0031720A"/>
    <w:rsid w:val="0031749B"/>
    <w:rsid w:val="003174E5"/>
    <w:rsid w:val="00317C9D"/>
    <w:rsid w:val="00317CD2"/>
    <w:rsid w:val="00317D99"/>
    <w:rsid w:val="0032078D"/>
    <w:rsid w:val="003209BE"/>
    <w:rsid w:val="00320A6E"/>
    <w:rsid w:val="00320F34"/>
    <w:rsid w:val="0032137B"/>
    <w:rsid w:val="003214F7"/>
    <w:rsid w:val="00321BD6"/>
    <w:rsid w:val="00321FA3"/>
    <w:rsid w:val="003227D3"/>
    <w:rsid w:val="00322937"/>
    <w:rsid w:val="00322A46"/>
    <w:rsid w:val="00322A84"/>
    <w:rsid w:val="00323881"/>
    <w:rsid w:val="00323B73"/>
    <w:rsid w:val="003254F5"/>
    <w:rsid w:val="00325D98"/>
    <w:rsid w:val="0032682A"/>
    <w:rsid w:val="00327A5C"/>
    <w:rsid w:val="0033092C"/>
    <w:rsid w:val="0033122A"/>
    <w:rsid w:val="003315AC"/>
    <w:rsid w:val="00331932"/>
    <w:rsid w:val="00333A88"/>
    <w:rsid w:val="00333FFB"/>
    <w:rsid w:val="00334B73"/>
    <w:rsid w:val="00335B15"/>
    <w:rsid w:val="00335B21"/>
    <w:rsid w:val="00335D3F"/>
    <w:rsid w:val="00336104"/>
    <w:rsid w:val="00336729"/>
    <w:rsid w:val="00336AB1"/>
    <w:rsid w:val="0033726D"/>
    <w:rsid w:val="00337362"/>
    <w:rsid w:val="00337807"/>
    <w:rsid w:val="00337CA8"/>
    <w:rsid w:val="00337EAD"/>
    <w:rsid w:val="0034125B"/>
    <w:rsid w:val="0034177C"/>
    <w:rsid w:val="00342345"/>
    <w:rsid w:val="00342B56"/>
    <w:rsid w:val="00342C27"/>
    <w:rsid w:val="003430C8"/>
    <w:rsid w:val="003432C8"/>
    <w:rsid w:val="003434B3"/>
    <w:rsid w:val="00343536"/>
    <w:rsid w:val="00343EFB"/>
    <w:rsid w:val="003443DF"/>
    <w:rsid w:val="00344760"/>
    <w:rsid w:val="00344A64"/>
    <w:rsid w:val="0034680A"/>
    <w:rsid w:val="00346C62"/>
    <w:rsid w:val="0034778E"/>
    <w:rsid w:val="003501E2"/>
    <w:rsid w:val="00350A59"/>
    <w:rsid w:val="00351E10"/>
    <w:rsid w:val="003525E7"/>
    <w:rsid w:val="0035273A"/>
    <w:rsid w:val="00352D59"/>
    <w:rsid w:val="003533F4"/>
    <w:rsid w:val="003536F6"/>
    <w:rsid w:val="00353DD5"/>
    <w:rsid w:val="0035406D"/>
    <w:rsid w:val="00354A64"/>
    <w:rsid w:val="00355131"/>
    <w:rsid w:val="00355462"/>
    <w:rsid w:val="00356438"/>
    <w:rsid w:val="00356687"/>
    <w:rsid w:val="00356D22"/>
    <w:rsid w:val="00357107"/>
    <w:rsid w:val="003609C4"/>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3827"/>
    <w:rsid w:val="00373971"/>
    <w:rsid w:val="00373F04"/>
    <w:rsid w:val="0037401C"/>
    <w:rsid w:val="00374A1E"/>
    <w:rsid w:val="0037507B"/>
    <w:rsid w:val="003759D1"/>
    <w:rsid w:val="00375C7C"/>
    <w:rsid w:val="003762F6"/>
    <w:rsid w:val="00377027"/>
    <w:rsid w:val="00377135"/>
    <w:rsid w:val="00380272"/>
    <w:rsid w:val="00380355"/>
    <w:rsid w:val="00380576"/>
    <w:rsid w:val="003805DB"/>
    <w:rsid w:val="003813F4"/>
    <w:rsid w:val="0038152A"/>
    <w:rsid w:val="00382BAD"/>
    <w:rsid w:val="00383A8D"/>
    <w:rsid w:val="00384CD6"/>
    <w:rsid w:val="00384DF1"/>
    <w:rsid w:val="00384FF3"/>
    <w:rsid w:val="00386456"/>
    <w:rsid w:val="003865A9"/>
    <w:rsid w:val="00387642"/>
    <w:rsid w:val="003903B6"/>
    <w:rsid w:val="00390F32"/>
    <w:rsid w:val="0039135E"/>
    <w:rsid w:val="0039200F"/>
    <w:rsid w:val="0039319C"/>
    <w:rsid w:val="003938CD"/>
    <w:rsid w:val="00393CAE"/>
    <w:rsid w:val="003945DC"/>
    <w:rsid w:val="003945F4"/>
    <w:rsid w:val="00394EB5"/>
    <w:rsid w:val="003953B4"/>
    <w:rsid w:val="0039615F"/>
    <w:rsid w:val="00396675"/>
    <w:rsid w:val="00396A29"/>
    <w:rsid w:val="00397FF0"/>
    <w:rsid w:val="003A0878"/>
    <w:rsid w:val="003A10DE"/>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5118"/>
    <w:rsid w:val="003C622C"/>
    <w:rsid w:val="003C6D53"/>
    <w:rsid w:val="003C73C7"/>
    <w:rsid w:val="003D0195"/>
    <w:rsid w:val="003D03F3"/>
    <w:rsid w:val="003D050B"/>
    <w:rsid w:val="003D0B98"/>
    <w:rsid w:val="003D0C3C"/>
    <w:rsid w:val="003D0DE5"/>
    <w:rsid w:val="003D1351"/>
    <w:rsid w:val="003D21C1"/>
    <w:rsid w:val="003D3707"/>
    <w:rsid w:val="003D3B15"/>
    <w:rsid w:val="003D3B2E"/>
    <w:rsid w:val="003D484D"/>
    <w:rsid w:val="003D49CB"/>
    <w:rsid w:val="003D4BD6"/>
    <w:rsid w:val="003D5960"/>
    <w:rsid w:val="003D6412"/>
    <w:rsid w:val="003D6B8F"/>
    <w:rsid w:val="003D7566"/>
    <w:rsid w:val="003D7708"/>
    <w:rsid w:val="003E08B3"/>
    <w:rsid w:val="003E09BB"/>
    <w:rsid w:val="003E159D"/>
    <w:rsid w:val="003E20EA"/>
    <w:rsid w:val="003E210C"/>
    <w:rsid w:val="003E2913"/>
    <w:rsid w:val="003E2F55"/>
    <w:rsid w:val="003E317C"/>
    <w:rsid w:val="003E34DB"/>
    <w:rsid w:val="003E3833"/>
    <w:rsid w:val="003E3902"/>
    <w:rsid w:val="003E3AF9"/>
    <w:rsid w:val="003E412A"/>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4B0"/>
    <w:rsid w:val="003F0F7F"/>
    <w:rsid w:val="003F300D"/>
    <w:rsid w:val="003F391F"/>
    <w:rsid w:val="003F4599"/>
    <w:rsid w:val="003F45E1"/>
    <w:rsid w:val="003F4C8B"/>
    <w:rsid w:val="003F4F6C"/>
    <w:rsid w:val="003F516A"/>
    <w:rsid w:val="003F559E"/>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54B1"/>
    <w:rsid w:val="00405792"/>
    <w:rsid w:val="0040602B"/>
    <w:rsid w:val="00407A7A"/>
    <w:rsid w:val="00407ABC"/>
    <w:rsid w:val="00407F1E"/>
    <w:rsid w:val="00410A88"/>
    <w:rsid w:val="00411317"/>
    <w:rsid w:val="00411A9E"/>
    <w:rsid w:val="00411D88"/>
    <w:rsid w:val="0041214C"/>
    <w:rsid w:val="0041259F"/>
    <w:rsid w:val="00412B4D"/>
    <w:rsid w:val="00412BBF"/>
    <w:rsid w:val="00412C51"/>
    <w:rsid w:val="00413262"/>
    <w:rsid w:val="0041329C"/>
    <w:rsid w:val="004136F2"/>
    <w:rsid w:val="004139F4"/>
    <w:rsid w:val="00413FFA"/>
    <w:rsid w:val="00414246"/>
    <w:rsid w:val="0041475B"/>
    <w:rsid w:val="00414760"/>
    <w:rsid w:val="00414C2F"/>
    <w:rsid w:val="00414D9A"/>
    <w:rsid w:val="00415194"/>
    <w:rsid w:val="00415816"/>
    <w:rsid w:val="00415B88"/>
    <w:rsid w:val="00415D32"/>
    <w:rsid w:val="004160A2"/>
    <w:rsid w:val="004166CB"/>
    <w:rsid w:val="00416879"/>
    <w:rsid w:val="00417089"/>
    <w:rsid w:val="004170D7"/>
    <w:rsid w:val="004177A6"/>
    <w:rsid w:val="00417AB3"/>
    <w:rsid w:val="00417EFD"/>
    <w:rsid w:val="004200EE"/>
    <w:rsid w:val="004209D2"/>
    <w:rsid w:val="00420D6E"/>
    <w:rsid w:val="00421BD2"/>
    <w:rsid w:val="00421E00"/>
    <w:rsid w:val="00421FCB"/>
    <w:rsid w:val="00421FF6"/>
    <w:rsid w:val="00422DCA"/>
    <w:rsid w:val="00423F9F"/>
    <w:rsid w:val="0042499B"/>
    <w:rsid w:val="00424FEC"/>
    <w:rsid w:val="00425C43"/>
    <w:rsid w:val="00426C69"/>
    <w:rsid w:val="004273FA"/>
    <w:rsid w:val="00430186"/>
    <w:rsid w:val="00430730"/>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2AA"/>
    <w:rsid w:val="004507BD"/>
    <w:rsid w:val="00450846"/>
    <w:rsid w:val="00450B1A"/>
    <w:rsid w:val="004510BD"/>
    <w:rsid w:val="0045159C"/>
    <w:rsid w:val="00451A52"/>
    <w:rsid w:val="00451FC8"/>
    <w:rsid w:val="0045271D"/>
    <w:rsid w:val="00452755"/>
    <w:rsid w:val="00452803"/>
    <w:rsid w:val="004529C6"/>
    <w:rsid w:val="00452EAD"/>
    <w:rsid w:val="004531D5"/>
    <w:rsid w:val="004533D1"/>
    <w:rsid w:val="004534D1"/>
    <w:rsid w:val="00453A53"/>
    <w:rsid w:val="00454548"/>
    <w:rsid w:val="00454582"/>
    <w:rsid w:val="00454717"/>
    <w:rsid w:val="00455047"/>
    <w:rsid w:val="00455354"/>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61D"/>
    <w:rsid w:val="004638E2"/>
    <w:rsid w:val="00463E31"/>
    <w:rsid w:val="00464030"/>
    <w:rsid w:val="004647F8"/>
    <w:rsid w:val="004647FB"/>
    <w:rsid w:val="00465456"/>
    <w:rsid w:val="00465677"/>
    <w:rsid w:val="00465AC3"/>
    <w:rsid w:val="00466616"/>
    <w:rsid w:val="00466A0C"/>
    <w:rsid w:val="00467707"/>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2BB3"/>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05E"/>
    <w:rsid w:val="0049114B"/>
    <w:rsid w:val="004912A8"/>
    <w:rsid w:val="00491577"/>
    <w:rsid w:val="0049196E"/>
    <w:rsid w:val="0049241A"/>
    <w:rsid w:val="00492C1F"/>
    <w:rsid w:val="00492E4C"/>
    <w:rsid w:val="00493B2C"/>
    <w:rsid w:val="00493E04"/>
    <w:rsid w:val="004940E3"/>
    <w:rsid w:val="004942DE"/>
    <w:rsid w:val="0049530F"/>
    <w:rsid w:val="00495980"/>
    <w:rsid w:val="00496664"/>
    <w:rsid w:val="00496786"/>
    <w:rsid w:val="0049695B"/>
    <w:rsid w:val="00496AF2"/>
    <w:rsid w:val="00496D8F"/>
    <w:rsid w:val="00497463"/>
    <w:rsid w:val="00497B15"/>
    <w:rsid w:val="00497BA8"/>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163F"/>
    <w:rsid w:val="004B2197"/>
    <w:rsid w:val="004B298A"/>
    <w:rsid w:val="004B578D"/>
    <w:rsid w:val="004B5BE7"/>
    <w:rsid w:val="004B5E2D"/>
    <w:rsid w:val="004B5ED5"/>
    <w:rsid w:val="004B6793"/>
    <w:rsid w:val="004B6C07"/>
    <w:rsid w:val="004B74D3"/>
    <w:rsid w:val="004B76D3"/>
    <w:rsid w:val="004B788E"/>
    <w:rsid w:val="004B79B3"/>
    <w:rsid w:val="004B7E5D"/>
    <w:rsid w:val="004C0DD8"/>
    <w:rsid w:val="004C22F7"/>
    <w:rsid w:val="004C2B27"/>
    <w:rsid w:val="004C3929"/>
    <w:rsid w:val="004C3D09"/>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58DE"/>
    <w:rsid w:val="004D6041"/>
    <w:rsid w:val="004D61E1"/>
    <w:rsid w:val="004D6826"/>
    <w:rsid w:val="004D6D5E"/>
    <w:rsid w:val="004E023F"/>
    <w:rsid w:val="004E0742"/>
    <w:rsid w:val="004E0C64"/>
    <w:rsid w:val="004E0F6B"/>
    <w:rsid w:val="004E1545"/>
    <w:rsid w:val="004E1F1C"/>
    <w:rsid w:val="004E2A35"/>
    <w:rsid w:val="004E40A3"/>
    <w:rsid w:val="004E40CE"/>
    <w:rsid w:val="004E4465"/>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7D0"/>
    <w:rsid w:val="004F4B65"/>
    <w:rsid w:val="004F4DA2"/>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5DCB"/>
    <w:rsid w:val="005075CA"/>
    <w:rsid w:val="0051074C"/>
    <w:rsid w:val="00510DE9"/>
    <w:rsid w:val="005111E2"/>
    <w:rsid w:val="00511231"/>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065"/>
    <w:rsid w:val="00520899"/>
    <w:rsid w:val="00520922"/>
    <w:rsid w:val="005209FC"/>
    <w:rsid w:val="00520E50"/>
    <w:rsid w:val="005224E5"/>
    <w:rsid w:val="005226BE"/>
    <w:rsid w:val="005235ED"/>
    <w:rsid w:val="00523903"/>
    <w:rsid w:val="005239B6"/>
    <w:rsid w:val="00523C45"/>
    <w:rsid w:val="00524165"/>
    <w:rsid w:val="005242BA"/>
    <w:rsid w:val="005246E7"/>
    <w:rsid w:val="00524FD2"/>
    <w:rsid w:val="00525621"/>
    <w:rsid w:val="00525B2E"/>
    <w:rsid w:val="00526431"/>
    <w:rsid w:val="005265D8"/>
    <w:rsid w:val="00527C6B"/>
    <w:rsid w:val="00527E57"/>
    <w:rsid w:val="00530405"/>
    <w:rsid w:val="00530522"/>
    <w:rsid w:val="005305E5"/>
    <w:rsid w:val="00530F38"/>
    <w:rsid w:val="00531F26"/>
    <w:rsid w:val="0053277C"/>
    <w:rsid w:val="005327C0"/>
    <w:rsid w:val="00533101"/>
    <w:rsid w:val="005336C5"/>
    <w:rsid w:val="00533CA9"/>
    <w:rsid w:val="00533DA7"/>
    <w:rsid w:val="005342A3"/>
    <w:rsid w:val="005346AD"/>
    <w:rsid w:val="00534C25"/>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F3F"/>
    <w:rsid w:val="005551AA"/>
    <w:rsid w:val="005564CA"/>
    <w:rsid w:val="005568EA"/>
    <w:rsid w:val="00557140"/>
    <w:rsid w:val="00557DE4"/>
    <w:rsid w:val="0056058C"/>
    <w:rsid w:val="00560C87"/>
    <w:rsid w:val="00560EF9"/>
    <w:rsid w:val="00560F51"/>
    <w:rsid w:val="00561249"/>
    <w:rsid w:val="0056182B"/>
    <w:rsid w:val="00561AF3"/>
    <w:rsid w:val="00561E0B"/>
    <w:rsid w:val="00562141"/>
    <w:rsid w:val="00562D86"/>
    <w:rsid w:val="005642EC"/>
    <w:rsid w:val="00564704"/>
    <w:rsid w:val="00564712"/>
    <w:rsid w:val="00564E95"/>
    <w:rsid w:val="005657A8"/>
    <w:rsid w:val="00565952"/>
    <w:rsid w:val="00565D27"/>
    <w:rsid w:val="00566866"/>
    <w:rsid w:val="005670A5"/>
    <w:rsid w:val="00567106"/>
    <w:rsid w:val="00567723"/>
    <w:rsid w:val="00567AB8"/>
    <w:rsid w:val="00567C02"/>
    <w:rsid w:val="005707F7"/>
    <w:rsid w:val="00570A26"/>
    <w:rsid w:val="0057170B"/>
    <w:rsid w:val="0057221F"/>
    <w:rsid w:val="00572539"/>
    <w:rsid w:val="0057337D"/>
    <w:rsid w:val="00573504"/>
    <w:rsid w:val="00574708"/>
    <w:rsid w:val="00574D81"/>
    <w:rsid w:val="005756AA"/>
    <w:rsid w:val="00575FB1"/>
    <w:rsid w:val="00576233"/>
    <w:rsid w:val="005763C8"/>
    <w:rsid w:val="0057696F"/>
    <w:rsid w:val="005771B1"/>
    <w:rsid w:val="005774FE"/>
    <w:rsid w:val="0058040C"/>
    <w:rsid w:val="00580918"/>
    <w:rsid w:val="00580D6D"/>
    <w:rsid w:val="005813DE"/>
    <w:rsid w:val="00581796"/>
    <w:rsid w:val="00581B45"/>
    <w:rsid w:val="00582480"/>
    <w:rsid w:val="00582763"/>
    <w:rsid w:val="0058290E"/>
    <w:rsid w:val="00582CAB"/>
    <w:rsid w:val="00583121"/>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2B56"/>
    <w:rsid w:val="00593F75"/>
    <w:rsid w:val="005940A0"/>
    <w:rsid w:val="00594233"/>
    <w:rsid w:val="0059429A"/>
    <w:rsid w:val="00595FDD"/>
    <w:rsid w:val="00596AF7"/>
    <w:rsid w:val="00596CCE"/>
    <w:rsid w:val="00597E38"/>
    <w:rsid w:val="005A1976"/>
    <w:rsid w:val="005A1D75"/>
    <w:rsid w:val="005A2120"/>
    <w:rsid w:val="005A2501"/>
    <w:rsid w:val="005A2C80"/>
    <w:rsid w:val="005A3066"/>
    <w:rsid w:val="005A3457"/>
    <w:rsid w:val="005A3A52"/>
    <w:rsid w:val="005A3B35"/>
    <w:rsid w:val="005A3C4B"/>
    <w:rsid w:val="005A3E5A"/>
    <w:rsid w:val="005A43F3"/>
    <w:rsid w:val="005A496F"/>
    <w:rsid w:val="005A4A56"/>
    <w:rsid w:val="005A5A3D"/>
    <w:rsid w:val="005A5C25"/>
    <w:rsid w:val="005A6035"/>
    <w:rsid w:val="005A6B75"/>
    <w:rsid w:val="005A6E00"/>
    <w:rsid w:val="005A718A"/>
    <w:rsid w:val="005B09BE"/>
    <w:rsid w:val="005B12B2"/>
    <w:rsid w:val="005B143B"/>
    <w:rsid w:val="005B1504"/>
    <w:rsid w:val="005B1E45"/>
    <w:rsid w:val="005B21C4"/>
    <w:rsid w:val="005B2A28"/>
    <w:rsid w:val="005B3621"/>
    <w:rsid w:val="005B4948"/>
    <w:rsid w:val="005B501D"/>
    <w:rsid w:val="005B54CC"/>
    <w:rsid w:val="005B6AE8"/>
    <w:rsid w:val="005B74AD"/>
    <w:rsid w:val="005B7E96"/>
    <w:rsid w:val="005C0429"/>
    <w:rsid w:val="005C084F"/>
    <w:rsid w:val="005C0EE9"/>
    <w:rsid w:val="005C1716"/>
    <w:rsid w:val="005C1954"/>
    <w:rsid w:val="005C1C0B"/>
    <w:rsid w:val="005C1D53"/>
    <w:rsid w:val="005C2011"/>
    <w:rsid w:val="005C36CF"/>
    <w:rsid w:val="005C3EA3"/>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1FA"/>
    <w:rsid w:val="005D53E8"/>
    <w:rsid w:val="005D5A26"/>
    <w:rsid w:val="005D5A9D"/>
    <w:rsid w:val="005D6651"/>
    <w:rsid w:val="005D691D"/>
    <w:rsid w:val="005D6A72"/>
    <w:rsid w:val="005D7035"/>
    <w:rsid w:val="005D749F"/>
    <w:rsid w:val="005D791B"/>
    <w:rsid w:val="005D7CF2"/>
    <w:rsid w:val="005D7F92"/>
    <w:rsid w:val="005E0D7B"/>
    <w:rsid w:val="005E1595"/>
    <w:rsid w:val="005E181F"/>
    <w:rsid w:val="005E1F1D"/>
    <w:rsid w:val="005E273D"/>
    <w:rsid w:val="005E3278"/>
    <w:rsid w:val="005E363B"/>
    <w:rsid w:val="005E3760"/>
    <w:rsid w:val="005E3B0D"/>
    <w:rsid w:val="005E5BDF"/>
    <w:rsid w:val="005E6EA5"/>
    <w:rsid w:val="005E7FC2"/>
    <w:rsid w:val="005F041F"/>
    <w:rsid w:val="005F1216"/>
    <w:rsid w:val="005F1819"/>
    <w:rsid w:val="005F1D7D"/>
    <w:rsid w:val="005F1D89"/>
    <w:rsid w:val="005F305B"/>
    <w:rsid w:val="005F3361"/>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D0C"/>
    <w:rsid w:val="00622470"/>
    <w:rsid w:val="00622725"/>
    <w:rsid w:val="006231AA"/>
    <w:rsid w:val="00623482"/>
    <w:rsid w:val="00623AC2"/>
    <w:rsid w:val="00623FF7"/>
    <w:rsid w:val="006240EF"/>
    <w:rsid w:val="0062471F"/>
    <w:rsid w:val="00624C21"/>
    <w:rsid w:val="00625A26"/>
    <w:rsid w:val="00625F38"/>
    <w:rsid w:val="006266D7"/>
    <w:rsid w:val="00626D42"/>
    <w:rsid w:val="00626EE3"/>
    <w:rsid w:val="006274AD"/>
    <w:rsid w:val="00627532"/>
    <w:rsid w:val="00627B9F"/>
    <w:rsid w:val="006302AA"/>
    <w:rsid w:val="006310C3"/>
    <w:rsid w:val="0063161E"/>
    <w:rsid w:val="0063167C"/>
    <w:rsid w:val="00631A31"/>
    <w:rsid w:val="00631BB5"/>
    <w:rsid w:val="00631DD0"/>
    <w:rsid w:val="0063295C"/>
    <w:rsid w:val="00632E28"/>
    <w:rsid w:val="00633367"/>
    <w:rsid w:val="00633DBF"/>
    <w:rsid w:val="00634122"/>
    <w:rsid w:val="00634C03"/>
    <w:rsid w:val="006355B6"/>
    <w:rsid w:val="00635D83"/>
    <w:rsid w:val="00635E32"/>
    <w:rsid w:val="006365DE"/>
    <w:rsid w:val="00636BE4"/>
    <w:rsid w:val="0063746C"/>
    <w:rsid w:val="00637802"/>
    <w:rsid w:val="00637836"/>
    <w:rsid w:val="00637C26"/>
    <w:rsid w:val="00637F44"/>
    <w:rsid w:val="00640659"/>
    <w:rsid w:val="00641078"/>
    <w:rsid w:val="00641242"/>
    <w:rsid w:val="00642A32"/>
    <w:rsid w:val="006433D5"/>
    <w:rsid w:val="00646B20"/>
    <w:rsid w:val="00646D0F"/>
    <w:rsid w:val="0064708F"/>
    <w:rsid w:val="00647936"/>
    <w:rsid w:val="00647A36"/>
    <w:rsid w:val="00647DCC"/>
    <w:rsid w:val="00647EFA"/>
    <w:rsid w:val="00647F14"/>
    <w:rsid w:val="00650027"/>
    <w:rsid w:val="00650DE0"/>
    <w:rsid w:val="00651B9C"/>
    <w:rsid w:val="00651C47"/>
    <w:rsid w:val="00651D98"/>
    <w:rsid w:val="00652854"/>
    <w:rsid w:val="00652D2C"/>
    <w:rsid w:val="00652E70"/>
    <w:rsid w:val="0065303A"/>
    <w:rsid w:val="00653091"/>
    <w:rsid w:val="0065339A"/>
    <w:rsid w:val="00653469"/>
    <w:rsid w:val="00653FD4"/>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374"/>
    <w:rsid w:val="00665968"/>
    <w:rsid w:val="00665BF7"/>
    <w:rsid w:val="00666178"/>
    <w:rsid w:val="0066639E"/>
    <w:rsid w:val="00666473"/>
    <w:rsid w:val="00666C72"/>
    <w:rsid w:val="00666E6C"/>
    <w:rsid w:val="0066707F"/>
    <w:rsid w:val="00667ED8"/>
    <w:rsid w:val="0067064C"/>
    <w:rsid w:val="00670B20"/>
    <w:rsid w:val="00670E12"/>
    <w:rsid w:val="00672971"/>
    <w:rsid w:val="00672DE7"/>
    <w:rsid w:val="00672E80"/>
    <w:rsid w:val="006739E4"/>
    <w:rsid w:val="00673ECF"/>
    <w:rsid w:val="0067426B"/>
    <w:rsid w:val="00674478"/>
    <w:rsid w:val="00674A1B"/>
    <w:rsid w:val="006754F8"/>
    <w:rsid w:val="00676127"/>
    <w:rsid w:val="00676AED"/>
    <w:rsid w:val="006776AC"/>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A05"/>
    <w:rsid w:val="00697665"/>
    <w:rsid w:val="00697C9A"/>
    <w:rsid w:val="00697E68"/>
    <w:rsid w:val="006A0274"/>
    <w:rsid w:val="006A24B9"/>
    <w:rsid w:val="006A2A43"/>
    <w:rsid w:val="006A2BF1"/>
    <w:rsid w:val="006A2F9A"/>
    <w:rsid w:val="006A34E4"/>
    <w:rsid w:val="006A3A5A"/>
    <w:rsid w:val="006A44CF"/>
    <w:rsid w:val="006A457D"/>
    <w:rsid w:val="006A4749"/>
    <w:rsid w:val="006A55EE"/>
    <w:rsid w:val="006A575B"/>
    <w:rsid w:val="006A59DE"/>
    <w:rsid w:val="006A63EB"/>
    <w:rsid w:val="006A6655"/>
    <w:rsid w:val="006A6AA7"/>
    <w:rsid w:val="006A6B0B"/>
    <w:rsid w:val="006A6BF9"/>
    <w:rsid w:val="006A6F85"/>
    <w:rsid w:val="006A7CB5"/>
    <w:rsid w:val="006A7FD0"/>
    <w:rsid w:val="006B025C"/>
    <w:rsid w:val="006B16D3"/>
    <w:rsid w:val="006B2534"/>
    <w:rsid w:val="006B2CB2"/>
    <w:rsid w:val="006B347D"/>
    <w:rsid w:val="006B3E19"/>
    <w:rsid w:val="006B4488"/>
    <w:rsid w:val="006B671C"/>
    <w:rsid w:val="006B67AC"/>
    <w:rsid w:val="006B6A25"/>
    <w:rsid w:val="006B7285"/>
    <w:rsid w:val="006B786A"/>
    <w:rsid w:val="006B7E4E"/>
    <w:rsid w:val="006C003A"/>
    <w:rsid w:val="006C2454"/>
    <w:rsid w:val="006C2551"/>
    <w:rsid w:val="006C3746"/>
    <w:rsid w:val="006C37CA"/>
    <w:rsid w:val="006C40B7"/>
    <w:rsid w:val="006C40D2"/>
    <w:rsid w:val="006C5B15"/>
    <w:rsid w:val="006C5D32"/>
    <w:rsid w:val="006C5DCB"/>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130"/>
    <w:rsid w:val="006E155A"/>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6A47"/>
    <w:rsid w:val="006F772B"/>
    <w:rsid w:val="006F78DC"/>
    <w:rsid w:val="00700D5F"/>
    <w:rsid w:val="0070138A"/>
    <w:rsid w:val="0070157E"/>
    <w:rsid w:val="007030D4"/>
    <w:rsid w:val="0070311B"/>
    <w:rsid w:val="0070317C"/>
    <w:rsid w:val="00703279"/>
    <w:rsid w:val="00703B61"/>
    <w:rsid w:val="00703B97"/>
    <w:rsid w:val="00703E11"/>
    <w:rsid w:val="00704102"/>
    <w:rsid w:val="0070461C"/>
    <w:rsid w:val="00705631"/>
    <w:rsid w:val="00705818"/>
    <w:rsid w:val="00705F62"/>
    <w:rsid w:val="0070773F"/>
    <w:rsid w:val="00707903"/>
    <w:rsid w:val="00707ED3"/>
    <w:rsid w:val="007101B7"/>
    <w:rsid w:val="00710668"/>
    <w:rsid w:val="007110F4"/>
    <w:rsid w:val="007112B1"/>
    <w:rsid w:val="0071130F"/>
    <w:rsid w:val="0071261E"/>
    <w:rsid w:val="00712714"/>
    <w:rsid w:val="007128E3"/>
    <w:rsid w:val="007129AB"/>
    <w:rsid w:val="00712B63"/>
    <w:rsid w:val="007130E7"/>
    <w:rsid w:val="00713526"/>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21BFF"/>
    <w:rsid w:val="00722FD8"/>
    <w:rsid w:val="007236C4"/>
    <w:rsid w:val="00723B59"/>
    <w:rsid w:val="00724635"/>
    <w:rsid w:val="0072554B"/>
    <w:rsid w:val="00725AFD"/>
    <w:rsid w:val="00725F81"/>
    <w:rsid w:val="00726603"/>
    <w:rsid w:val="00727DDC"/>
    <w:rsid w:val="0073000A"/>
    <w:rsid w:val="00730CD6"/>
    <w:rsid w:val="00730F74"/>
    <w:rsid w:val="0073114B"/>
    <w:rsid w:val="00734414"/>
    <w:rsid w:val="00734952"/>
    <w:rsid w:val="00734990"/>
    <w:rsid w:val="00734FF5"/>
    <w:rsid w:val="00735761"/>
    <w:rsid w:val="00735B78"/>
    <w:rsid w:val="00735DA7"/>
    <w:rsid w:val="007367B7"/>
    <w:rsid w:val="007368B4"/>
    <w:rsid w:val="007378E0"/>
    <w:rsid w:val="00737C5C"/>
    <w:rsid w:val="0074026F"/>
    <w:rsid w:val="00740529"/>
    <w:rsid w:val="00740A6C"/>
    <w:rsid w:val="00741358"/>
    <w:rsid w:val="00741626"/>
    <w:rsid w:val="00742332"/>
    <w:rsid w:val="00742886"/>
    <w:rsid w:val="00742DD2"/>
    <w:rsid w:val="007437C6"/>
    <w:rsid w:val="007439EE"/>
    <w:rsid w:val="007441A2"/>
    <w:rsid w:val="00744B15"/>
    <w:rsid w:val="00744E80"/>
    <w:rsid w:val="00745035"/>
    <w:rsid w:val="0074531C"/>
    <w:rsid w:val="00745547"/>
    <w:rsid w:val="007459D0"/>
    <w:rsid w:val="0074623A"/>
    <w:rsid w:val="00746420"/>
    <w:rsid w:val="00746E04"/>
    <w:rsid w:val="00746E08"/>
    <w:rsid w:val="00746E3D"/>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3BAC"/>
    <w:rsid w:val="00754A0B"/>
    <w:rsid w:val="007552DB"/>
    <w:rsid w:val="00755658"/>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228A"/>
    <w:rsid w:val="00762440"/>
    <w:rsid w:val="007629B7"/>
    <w:rsid w:val="00762E60"/>
    <w:rsid w:val="007634AD"/>
    <w:rsid w:val="00766ECC"/>
    <w:rsid w:val="007672F3"/>
    <w:rsid w:val="007676A9"/>
    <w:rsid w:val="007677B5"/>
    <w:rsid w:val="007678B1"/>
    <w:rsid w:val="00770317"/>
    <w:rsid w:val="007708A8"/>
    <w:rsid w:val="00772275"/>
    <w:rsid w:val="00773350"/>
    <w:rsid w:val="00773484"/>
    <w:rsid w:val="007734E4"/>
    <w:rsid w:val="0077380D"/>
    <w:rsid w:val="0077393F"/>
    <w:rsid w:val="00773BC8"/>
    <w:rsid w:val="0077466F"/>
    <w:rsid w:val="007752B7"/>
    <w:rsid w:val="007759A8"/>
    <w:rsid w:val="00775D98"/>
    <w:rsid w:val="00776161"/>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7AD"/>
    <w:rsid w:val="00791C32"/>
    <w:rsid w:val="00791E08"/>
    <w:rsid w:val="00791FF0"/>
    <w:rsid w:val="007923D0"/>
    <w:rsid w:val="0079302C"/>
    <w:rsid w:val="007930D3"/>
    <w:rsid w:val="0079381F"/>
    <w:rsid w:val="00793B2E"/>
    <w:rsid w:val="007943FC"/>
    <w:rsid w:val="007948F5"/>
    <w:rsid w:val="00795647"/>
    <w:rsid w:val="007963F6"/>
    <w:rsid w:val="00796418"/>
    <w:rsid w:val="00796485"/>
    <w:rsid w:val="00796576"/>
    <w:rsid w:val="00796E80"/>
    <w:rsid w:val="007979AD"/>
    <w:rsid w:val="00797A9C"/>
    <w:rsid w:val="007A08F2"/>
    <w:rsid w:val="007A0EAB"/>
    <w:rsid w:val="007A2341"/>
    <w:rsid w:val="007A38A1"/>
    <w:rsid w:val="007A3967"/>
    <w:rsid w:val="007A3BBE"/>
    <w:rsid w:val="007A4766"/>
    <w:rsid w:val="007A5816"/>
    <w:rsid w:val="007A5947"/>
    <w:rsid w:val="007B00D8"/>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2C49"/>
    <w:rsid w:val="007C312A"/>
    <w:rsid w:val="007C3570"/>
    <w:rsid w:val="007C3F3B"/>
    <w:rsid w:val="007C4241"/>
    <w:rsid w:val="007C55FF"/>
    <w:rsid w:val="007C6339"/>
    <w:rsid w:val="007C6EC5"/>
    <w:rsid w:val="007C7C43"/>
    <w:rsid w:val="007C7C63"/>
    <w:rsid w:val="007C7F0D"/>
    <w:rsid w:val="007D0D03"/>
    <w:rsid w:val="007D1134"/>
    <w:rsid w:val="007D20CF"/>
    <w:rsid w:val="007D23F7"/>
    <w:rsid w:val="007D2566"/>
    <w:rsid w:val="007D2C18"/>
    <w:rsid w:val="007D2D74"/>
    <w:rsid w:val="007D333D"/>
    <w:rsid w:val="007D3395"/>
    <w:rsid w:val="007D3693"/>
    <w:rsid w:val="007D3C6D"/>
    <w:rsid w:val="007D409B"/>
    <w:rsid w:val="007D481A"/>
    <w:rsid w:val="007D5402"/>
    <w:rsid w:val="007D5648"/>
    <w:rsid w:val="007D58C5"/>
    <w:rsid w:val="007D5DE8"/>
    <w:rsid w:val="007D7503"/>
    <w:rsid w:val="007D7CFC"/>
    <w:rsid w:val="007D7FFC"/>
    <w:rsid w:val="007E0812"/>
    <w:rsid w:val="007E16A4"/>
    <w:rsid w:val="007E18DF"/>
    <w:rsid w:val="007E2A04"/>
    <w:rsid w:val="007E2C36"/>
    <w:rsid w:val="007E342A"/>
    <w:rsid w:val="007E350D"/>
    <w:rsid w:val="007E5C4A"/>
    <w:rsid w:val="007E64D4"/>
    <w:rsid w:val="007E66E9"/>
    <w:rsid w:val="007E69F2"/>
    <w:rsid w:val="007E7432"/>
    <w:rsid w:val="007E74BF"/>
    <w:rsid w:val="007F120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5F90"/>
    <w:rsid w:val="007F616E"/>
    <w:rsid w:val="007F665F"/>
    <w:rsid w:val="007F6B46"/>
    <w:rsid w:val="007F72CB"/>
    <w:rsid w:val="007F736A"/>
    <w:rsid w:val="007F7635"/>
    <w:rsid w:val="007F785F"/>
    <w:rsid w:val="007F7AF6"/>
    <w:rsid w:val="007F7E36"/>
    <w:rsid w:val="00800681"/>
    <w:rsid w:val="00800C3D"/>
    <w:rsid w:val="00800E6D"/>
    <w:rsid w:val="008014D9"/>
    <w:rsid w:val="0080150F"/>
    <w:rsid w:val="0080153A"/>
    <w:rsid w:val="00801A2A"/>
    <w:rsid w:val="00802041"/>
    <w:rsid w:val="008022C9"/>
    <w:rsid w:val="00802C0C"/>
    <w:rsid w:val="00802F9E"/>
    <w:rsid w:val="00803700"/>
    <w:rsid w:val="00803D9D"/>
    <w:rsid w:val="0080548F"/>
    <w:rsid w:val="008059C6"/>
    <w:rsid w:val="00805AD7"/>
    <w:rsid w:val="00805BD6"/>
    <w:rsid w:val="00805DE3"/>
    <w:rsid w:val="00807666"/>
    <w:rsid w:val="00807C35"/>
    <w:rsid w:val="00807F69"/>
    <w:rsid w:val="008100EC"/>
    <w:rsid w:val="008100F7"/>
    <w:rsid w:val="00810206"/>
    <w:rsid w:val="00811898"/>
    <w:rsid w:val="008120C4"/>
    <w:rsid w:val="008124D8"/>
    <w:rsid w:val="0081323E"/>
    <w:rsid w:val="00813A7B"/>
    <w:rsid w:val="00813F04"/>
    <w:rsid w:val="00814B72"/>
    <w:rsid w:val="00814D2F"/>
    <w:rsid w:val="00814D88"/>
    <w:rsid w:val="00815A07"/>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CE"/>
    <w:rsid w:val="00825240"/>
    <w:rsid w:val="00825491"/>
    <w:rsid w:val="00825B43"/>
    <w:rsid w:val="0082629D"/>
    <w:rsid w:val="00827203"/>
    <w:rsid w:val="0082767A"/>
    <w:rsid w:val="00827CC0"/>
    <w:rsid w:val="00831026"/>
    <w:rsid w:val="0083119B"/>
    <w:rsid w:val="00831654"/>
    <w:rsid w:val="00831BAE"/>
    <w:rsid w:val="0083218B"/>
    <w:rsid w:val="00832216"/>
    <w:rsid w:val="00832CD0"/>
    <w:rsid w:val="00833430"/>
    <w:rsid w:val="00834128"/>
    <w:rsid w:val="0083417F"/>
    <w:rsid w:val="00835143"/>
    <w:rsid w:val="008351F8"/>
    <w:rsid w:val="00835741"/>
    <w:rsid w:val="00836404"/>
    <w:rsid w:val="00836E74"/>
    <w:rsid w:val="00836EAB"/>
    <w:rsid w:val="00837673"/>
    <w:rsid w:val="00837937"/>
    <w:rsid w:val="00837D82"/>
    <w:rsid w:val="00840893"/>
    <w:rsid w:val="008409EC"/>
    <w:rsid w:val="00840E88"/>
    <w:rsid w:val="0084195A"/>
    <w:rsid w:val="00842234"/>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B6D"/>
    <w:rsid w:val="00847FFA"/>
    <w:rsid w:val="0085092D"/>
    <w:rsid w:val="00850D82"/>
    <w:rsid w:val="00850F79"/>
    <w:rsid w:val="0085100B"/>
    <w:rsid w:val="0085304C"/>
    <w:rsid w:val="00853973"/>
    <w:rsid w:val="00853B5D"/>
    <w:rsid w:val="008548CA"/>
    <w:rsid w:val="00855F52"/>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33B"/>
    <w:rsid w:val="00866495"/>
    <w:rsid w:val="008666DA"/>
    <w:rsid w:val="00866931"/>
    <w:rsid w:val="00866FEF"/>
    <w:rsid w:val="00867512"/>
    <w:rsid w:val="0087033C"/>
    <w:rsid w:val="00870B44"/>
    <w:rsid w:val="008712E8"/>
    <w:rsid w:val="008715ED"/>
    <w:rsid w:val="008717D8"/>
    <w:rsid w:val="00871E3C"/>
    <w:rsid w:val="0087213A"/>
    <w:rsid w:val="00872B54"/>
    <w:rsid w:val="00872D89"/>
    <w:rsid w:val="00872F97"/>
    <w:rsid w:val="00873863"/>
    <w:rsid w:val="0087392A"/>
    <w:rsid w:val="00874607"/>
    <w:rsid w:val="00874915"/>
    <w:rsid w:val="00874B89"/>
    <w:rsid w:val="008752DA"/>
    <w:rsid w:val="00875403"/>
    <w:rsid w:val="00875434"/>
    <w:rsid w:val="00876215"/>
    <w:rsid w:val="0087646C"/>
    <w:rsid w:val="00876815"/>
    <w:rsid w:val="00877932"/>
    <w:rsid w:val="008808C7"/>
    <w:rsid w:val="0088106B"/>
    <w:rsid w:val="0088107D"/>
    <w:rsid w:val="008812E2"/>
    <w:rsid w:val="0088168A"/>
    <w:rsid w:val="00881E64"/>
    <w:rsid w:val="00882A3F"/>
    <w:rsid w:val="00882E39"/>
    <w:rsid w:val="008843C0"/>
    <w:rsid w:val="008850E3"/>
    <w:rsid w:val="008850EB"/>
    <w:rsid w:val="00886DF2"/>
    <w:rsid w:val="00886FB9"/>
    <w:rsid w:val="00887080"/>
    <w:rsid w:val="00887BC5"/>
    <w:rsid w:val="00887C79"/>
    <w:rsid w:val="008907CC"/>
    <w:rsid w:val="00890F8E"/>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5C08"/>
    <w:rsid w:val="0089606D"/>
    <w:rsid w:val="00896129"/>
    <w:rsid w:val="008965DF"/>
    <w:rsid w:val="0089774F"/>
    <w:rsid w:val="00897875"/>
    <w:rsid w:val="00897B8F"/>
    <w:rsid w:val="008A00D8"/>
    <w:rsid w:val="008A00D9"/>
    <w:rsid w:val="008A07D5"/>
    <w:rsid w:val="008A2527"/>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3D8"/>
    <w:rsid w:val="008B0862"/>
    <w:rsid w:val="008B088C"/>
    <w:rsid w:val="008B1BF5"/>
    <w:rsid w:val="008B2268"/>
    <w:rsid w:val="008B263F"/>
    <w:rsid w:val="008B47A6"/>
    <w:rsid w:val="008B6649"/>
    <w:rsid w:val="008B672C"/>
    <w:rsid w:val="008B7611"/>
    <w:rsid w:val="008C036D"/>
    <w:rsid w:val="008C0743"/>
    <w:rsid w:val="008C0B4C"/>
    <w:rsid w:val="008C11F0"/>
    <w:rsid w:val="008C1DBA"/>
    <w:rsid w:val="008C20B8"/>
    <w:rsid w:val="008C24E7"/>
    <w:rsid w:val="008C2500"/>
    <w:rsid w:val="008C2792"/>
    <w:rsid w:val="008C2CAC"/>
    <w:rsid w:val="008C3E2A"/>
    <w:rsid w:val="008C3FFC"/>
    <w:rsid w:val="008C45BD"/>
    <w:rsid w:val="008C4621"/>
    <w:rsid w:val="008C4B19"/>
    <w:rsid w:val="008C5295"/>
    <w:rsid w:val="008C568F"/>
    <w:rsid w:val="008C62D4"/>
    <w:rsid w:val="008C6B89"/>
    <w:rsid w:val="008C6DE3"/>
    <w:rsid w:val="008D18AA"/>
    <w:rsid w:val="008D1A16"/>
    <w:rsid w:val="008D1A2A"/>
    <w:rsid w:val="008D29B1"/>
    <w:rsid w:val="008D2EB5"/>
    <w:rsid w:val="008D35D9"/>
    <w:rsid w:val="008D3B85"/>
    <w:rsid w:val="008D4527"/>
    <w:rsid w:val="008D462D"/>
    <w:rsid w:val="008D51F2"/>
    <w:rsid w:val="008D66CA"/>
    <w:rsid w:val="008D69B1"/>
    <w:rsid w:val="008D7338"/>
    <w:rsid w:val="008E0012"/>
    <w:rsid w:val="008E0DF7"/>
    <w:rsid w:val="008E0FAD"/>
    <w:rsid w:val="008E1347"/>
    <w:rsid w:val="008E16E0"/>
    <w:rsid w:val="008E1836"/>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0737"/>
    <w:rsid w:val="008F0B35"/>
    <w:rsid w:val="008F1056"/>
    <w:rsid w:val="008F2E8D"/>
    <w:rsid w:val="008F3374"/>
    <w:rsid w:val="008F387B"/>
    <w:rsid w:val="008F3DD9"/>
    <w:rsid w:val="008F4814"/>
    <w:rsid w:val="008F4B91"/>
    <w:rsid w:val="008F4DA6"/>
    <w:rsid w:val="008F538E"/>
    <w:rsid w:val="008F59B4"/>
    <w:rsid w:val="008F5A20"/>
    <w:rsid w:val="008F5ABA"/>
    <w:rsid w:val="008F6CF9"/>
    <w:rsid w:val="008F76AB"/>
    <w:rsid w:val="008F7905"/>
    <w:rsid w:val="008F7989"/>
    <w:rsid w:val="009026AF"/>
    <w:rsid w:val="009028E8"/>
    <w:rsid w:val="00902E5C"/>
    <w:rsid w:val="0090350D"/>
    <w:rsid w:val="009039EB"/>
    <w:rsid w:val="009046E5"/>
    <w:rsid w:val="009047C5"/>
    <w:rsid w:val="009058D1"/>
    <w:rsid w:val="00905C04"/>
    <w:rsid w:val="00906BE2"/>
    <w:rsid w:val="009070AA"/>
    <w:rsid w:val="00910683"/>
    <w:rsid w:val="00910E00"/>
    <w:rsid w:val="00910FF7"/>
    <w:rsid w:val="009116CE"/>
    <w:rsid w:val="00911714"/>
    <w:rsid w:val="00911A5B"/>
    <w:rsid w:val="009136D4"/>
    <w:rsid w:val="00914B9A"/>
    <w:rsid w:val="00914C3F"/>
    <w:rsid w:val="00914F33"/>
    <w:rsid w:val="009153F6"/>
    <w:rsid w:val="00915FCE"/>
    <w:rsid w:val="00916AFE"/>
    <w:rsid w:val="00916FC8"/>
    <w:rsid w:val="009170D3"/>
    <w:rsid w:val="0091759C"/>
    <w:rsid w:val="009178BC"/>
    <w:rsid w:val="00917910"/>
    <w:rsid w:val="00920026"/>
    <w:rsid w:val="0092032F"/>
    <w:rsid w:val="009203E2"/>
    <w:rsid w:val="00921304"/>
    <w:rsid w:val="00921805"/>
    <w:rsid w:val="00921BA7"/>
    <w:rsid w:val="00923396"/>
    <w:rsid w:val="00923F56"/>
    <w:rsid w:val="00923FA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49F9"/>
    <w:rsid w:val="009451CE"/>
    <w:rsid w:val="0094520B"/>
    <w:rsid w:val="009460F9"/>
    <w:rsid w:val="00946A24"/>
    <w:rsid w:val="009470D4"/>
    <w:rsid w:val="00947337"/>
    <w:rsid w:val="009512FA"/>
    <w:rsid w:val="00951E57"/>
    <w:rsid w:val="00953018"/>
    <w:rsid w:val="009533E2"/>
    <w:rsid w:val="00953554"/>
    <w:rsid w:val="0095385A"/>
    <w:rsid w:val="00953928"/>
    <w:rsid w:val="009540F0"/>
    <w:rsid w:val="00955906"/>
    <w:rsid w:val="00955978"/>
    <w:rsid w:val="00957010"/>
    <w:rsid w:val="009574FE"/>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F47"/>
    <w:rsid w:val="009631BD"/>
    <w:rsid w:val="00964138"/>
    <w:rsid w:val="00964B3F"/>
    <w:rsid w:val="00964C98"/>
    <w:rsid w:val="00964E0A"/>
    <w:rsid w:val="00966214"/>
    <w:rsid w:val="00971441"/>
    <w:rsid w:val="009715D4"/>
    <w:rsid w:val="00971AC8"/>
    <w:rsid w:val="00972470"/>
    <w:rsid w:val="009739A9"/>
    <w:rsid w:val="00973AA2"/>
    <w:rsid w:val="00973DF6"/>
    <w:rsid w:val="0097494E"/>
    <w:rsid w:val="00974B58"/>
    <w:rsid w:val="00975DA3"/>
    <w:rsid w:val="009761ED"/>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C77"/>
    <w:rsid w:val="00990345"/>
    <w:rsid w:val="00990701"/>
    <w:rsid w:val="0099090B"/>
    <w:rsid w:val="00990BC7"/>
    <w:rsid w:val="0099119C"/>
    <w:rsid w:val="0099137A"/>
    <w:rsid w:val="00991805"/>
    <w:rsid w:val="0099211C"/>
    <w:rsid w:val="00993B78"/>
    <w:rsid w:val="0099483A"/>
    <w:rsid w:val="00995119"/>
    <w:rsid w:val="009953AD"/>
    <w:rsid w:val="00995503"/>
    <w:rsid w:val="0099583D"/>
    <w:rsid w:val="00995B7C"/>
    <w:rsid w:val="00996992"/>
    <w:rsid w:val="00996E1E"/>
    <w:rsid w:val="00997392"/>
    <w:rsid w:val="0099747C"/>
    <w:rsid w:val="0099771C"/>
    <w:rsid w:val="009A01E4"/>
    <w:rsid w:val="009A0917"/>
    <w:rsid w:val="009A0A33"/>
    <w:rsid w:val="009A0A35"/>
    <w:rsid w:val="009A0A44"/>
    <w:rsid w:val="009A1351"/>
    <w:rsid w:val="009A2435"/>
    <w:rsid w:val="009A3253"/>
    <w:rsid w:val="009A35DC"/>
    <w:rsid w:val="009A38AB"/>
    <w:rsid w:val="009A3CFB"/>
    <w:rsid w:val="009A3D47"/>
    <w:rsid w:val="009A476F"/>
    <w:rsid w:val="009A4D63"/>
    <w:rsid w:val="009A5356"/>
    <w:rsid w:val="009A5468"/>
    <w:rsid w:val="009A5D99"/>
    <w:rsid w:val="009A608C"/>
    <w:rsid w:val="009A60D1"/>
    <w:rsid w:val="009A6CA7"/>
    <w:rsid w:val="009A6FDF"/>
    <w:rsid w:val="009A76D6"/>
    <w:rsid w:val="009B01D3"/>
    <w:rsid w:val="009B199E"/>
    <w:rsid w:val="009B27AC"/>
    <w:rsid w:val="009B2E29"/>
    <w:rsid w:val="009B3163"/>
    <w:rsid w:val="009B422F"/>
    <w:rsid w:val="009B46BC"/>
    <w:rsid w:val="009B4D1A"/>
    <w:rsid w:val="009B558B"/>
    <w:rsid w:val="009B6801"/>
    <w:rsid w:val="009B68DD"/>
    <w:rsid w:val="009B6D21"/>
    <w:rsid w:val="009B7266"/>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E95"/>
    <w:rsid w:val="009E16DA"/>
    <w:rsid w:val="009E1CD4"/>
    <w:rsid w:val="009E20DC"/>
    <w:rsid w:val="009E2391"/>
    <w:rsid w:val="009E476A"/>
    <w:rsid w:val="009E4E05"/>
    <w:rsid w:val="009E52D9"/>
    <w:rsid w:val="009E56FF"/>
    <w:rsid w:val="009E5CB1"/>
    <w:rsid w:val="009E5E56"/>
    <w:rsid w:val="009E61EA"/>
    <w:rsid w:val="009E6990"/>
    <w:rsid w:val="009E6FEE"/>
    <w:rsid w:val="009F060F"/>
    <w:rsid w:val="009F0781"/>
    <w:rsid w:val="009F0850"/>
    <w:rsid w:val="009F11B2"/>
    <w:rsid w:val="009F1BDF"/>
    <w:rsid w:val="009F1EAE"/>
    <w:rsid w:val="009F29A5"/>
    <w:rsid w:val="009F369D"/>
    <w:rsid w:val="009F36FE"/>
    <w:rsid w:val="009F46A9"/>
    <w:rsid w:val="009F4F25"/>
    <w:rsid w:val="009F59C2"/>
    <w:rsid w:val="009F61DE"/>
    <w:rsid w:val="009F7263"/>
    <w:rsid w:val="009F76EA"/>
    <w:rsid w:val="009F78EB"/>
    <w:rsid w:val="009F7D10"/>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091"/>
    <w:rsid w:val="00A12355"/>
    <w:rsid w:val="00A12384"/>
    <w:rsid w:val="00A127A3"/>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1BA9"/>
    <w:rsid w:val="00A22025"/>
    <w:rsid w:val="00A22498"/>
    <w:rsid w:val="00A22571"/>
    <w:rsid w:val="00A23023"/>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006F"/>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1BF"/>
    <w:rsid w:val="00A46574"/>
    <w:rsid w:val="00A4657A"/>
    <w:rsid w:val="00A467C4"/>
    <w:rsid w:val="00A4777D"/>
    <w:rsid w:val="00A500B1"/>
    <w:rsid w:val="00A51520"/>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5CC5"/>
    <w:rsid w:val="00A668BA"/>
    <w:rsid w:val="00A66FA7"/>
    <w:rsid w:val="00A677F6"/>
    <w:rsid w:val="00A67E16"/>
    <w:rsid w:val="00A703CC"/>
    <w:rsid w:val="00A70C5C"/>
    <w:rsid w:val="00A71EA7"/>
    <w:rsid w:val="00A730AD"/>
    <w:rsid w:val="00A733D2"/>
    <w:rsid w:val="00A73855"/>
    <w:rsid w:val="00A73D64"/>
    <w:rsid w:val="00A73FEA"/>
    <w:rsid w:val="00A74216"/>
    <w:rsid w:val="00A744B4"/>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20CB"/>
    <w:rsid w:val="00A82342"/>
    <w:rsid w:val="00A83BEF"/>
    <w:rsid w:val="00A841E1"/>
    <w:rsid w:val="00A84443"/>
    <w:rsid w:val="00A8487F"/>
    <w:rsid w:val="00A848FC"/>
    <w:rsid w:val="00A849A3"/>
    <w:rsid w:val="00A84A0E"/>
    <w:rsid w:val="00A84D7C"/>
    <w:rsid w:val="00A851FD"/>
    <w:rsid w:val="00A86E0B"/>
    <w:rsid w:val="00A9069B"/>
    <w:rsid w:val="00A90F12"/>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3D7B"/>
    <w:rsid w:val="00AA42A0"/>
    <w:rsid w:val="00AA42E3"/>
    <w:rsid w:val="00AA442B"/>
    <w:rsid w:val="00AA46A4"/>
    <w:rsid w:val="00AA5687"/>
    <w:rsid w:val="00AA5779"/>
    <w:rsid w:val="00AA58A1"/>
    <w:rsid w:val="00AA61C7"/>
    <w:rsid w:val="00AA669D"/>
    <w:rsid w:val="00AA66ED"/>
    <w:rsid w:val="00AA6780"/>
    <w:rsid w:val="00AA6BE1"/>
    <w:rsid w:val="00AA7416"/>
    <w:rsid w:val="00AA7A60"/>
    <w:rsid w:val="00AA7B42"/>
    <w:rsid w:val="00AB041C"/>
    <w:rsid w:val="00AB14E8"/>
    <w:rsid w:val="00AB17EC"/>
    <w:rsid w:val="00AB19AF"/>
    <w:rsid w:val="00AB1B1D"/>
    <w:rsid w:val="00AB2080"/>
    <w:rsid w:val="00AB2216"/>
    <w:rsid w:val="00AB2C0A"/>
    <w:rsid w:val="00AB358D"/>
    <w:rsid w:val="00AB37A1"/>
    <w:rsid w:val="00AB3BAD"/>
    <w:rsid w:val="00AB3CFD"/>
    <w:rsid w:val="00AB40C6"/>
    <w:rsid w:val="00AB49BC"/>
    <w:rsid w:val="00AB4DEE"/>
    <w:rsid w:val="00AB4E32"/>
    <w:rsid w:val="00AB579A"/>
    <w:rsid w:val="00AB5BC4"/>
    <w:rsid w:val="00AB5DB2"/>
    <w:rsid w:val="00AB724B"/>
    <w:rsid w:val="00AB726C"/>
    <w:rsid w:val="00AB72B4"/>
    <w:rsid w:val="00AC01FD"/>
    <w:rsid w:val="00AC02AA"/>
    <w:rsid w:val="00AC0537"/>
    <w:rsid w:val="00AC0A84"/>
    <w:rsid w:val="00AC19AC"/>
    <w:rsid w:val="00AC264D"/>
    <w:rsid w:val="00AC2A0B"/>
    <w:rsid w:val="00AC2BEC"/>
    <w:rsid w:val="00AC2BEE"/>
    <w:rsid w:val="00AC2E53"/>
    <w:rsid w:val="00AC37D3"/>
    <w:rsid w:val="00AC484F"/>
    <w:rsid w:val="00AC4A42"/>
    <w:rsid w:val="00AC4B20"/>
    <w:rsid w:val="00AC4D8F"/>
    <w:rsid w:val="00AC56F2"/>
    <w:rsid w:val="00AC5B83"/>
    <w:rsid w:val="00AC6886"/>
    <w:rsid w:val="00AC71C3"/>
    <w:rsid w:val="00AD0852"/>
    <w:rsid w:val="00AD0DA5"/>
    <w:rsid w:val="00AD1499"/>
    <w:rsid w:val="00AD1EFA"/>
    <w:rsid w:val="00AD2072"/>
    <w:rsid w:val="00AD2808"/>
    <w:rsid w:val="00AD2DBD"/>
    <w:rsid w:val="00AD2FBF"/>
    <w:rsid w:val="00AD416B"/>
    <w:rsid w:val="00AD455D"/>
    <w:rsid w:val="00AD463C"/>
    <w:rsid w:val="00AD46A2"/>
    <w:rsid w:val="00AD47E8"/>
    <w:rsid w:val="00AD4F60"/>
    <w:rsid w:val="00AD5044"/>
    <w:rsid w:val="00AD5114"/>
    <w:rsid w:val="00AD5EC3"/>
    <w:rsid w:val="00AD6236"/>
    <w:rsid w:val="00AD67E6"/>
    <w:rsid w:val="00AD7619"/>
    <w:rsid w:val="00AD7770"/>
    <w:rsid w:val="00AE04A1"/>
    <w:rsid w:val="00AE0D1C"/>
    <w:rsid w:val="00AE1772"/>
    <w:rsid w:val="00AE1990"/>
    <w:rsid w:val="00AE2523"/>
    <w:rsid w:val="00AE25E8"/>
    <w:rsid w:val="00AE2AD4"/>
    <w:rsid w:val="00AE2CA7"/>
    <w:rsid w:val="00AE2F1D"/>
    <w:rsid w:val="00AE4B2B"/>
    <w:rsid w:val="00AE586F"/>
    <w:rsid w:val="00AE5A78"/>
    <w:rsid w:val="00AE6582"/>
    <w:rsid w:val="00AE6DC5"/>
    <w:rsid w:val="00AE7686"/>
    <w:rsid w:val="00AE799A"/>
    <w:rsid w:val="00AF078E"/>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796"/>
    <w:rsid w:val="00B011A9"/>
    <w:rsid w:val="00B024ED"/>
    <w:rsid w:val="00B02C4A"/>
    <w:rsid w:val="00B02EB3"/>
    <w:rsid w:val="00B02FCB"/>
    <w:rsid w:val="00B033F8"/>
    <w:rsid w:val="00B03C1E"/>
    <w:rsid w:val="00B04400"/>
    <w:rsid w:val="00B04835"/>
    <w:rsid w:val="00B04A56"/>
    <w:rsid w:val="00B05A55"/>
    <w:rsid w:val="00B05DE1"/>
    <w:rsid w:val="00B06595"/>
    <w:rsid w:val="00B10109"/>
    <w:rsid w:val="00B1053C"/>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557C"/>
    <w:rsid w:val="00B155DC"/>
    <w:rsid w:val="00B15766"/>
    <w:rsid w:val="00B158F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1AD4"/>
    <w:rsid w:val="00B228D1"/>
    <w:rsid w:val="00B22C58"/>
    <w:rsid w:val="00B22E22"/>
    <w:rsid w:val="00B22F5F"/>
    <w:rsid w:val="00B23813"/>
    <w:rsid w:val="00B23FD9"/>
    <w:rsid w:val="00B24591"/>
    <w:rsid w:val="00B245D5"/>
    <w:rsid w:val="00B24C36"/>
    <w:rsid w:val="00B24D49"/>
    <w:rsid w:val="00B24F94"/>
    <w:rsid w:val="00B25126"/>
    <w:rsid w:val="00B25A52"/>
    <w:rsid w:val="00B25B0A"/>
    <w:rsid w:val="00B25FC3"/>
    <w:rsid w:val="00B26CC4"/>
    <w:rsid w:val="00B27026"/>
    <w:rsid w:val="00B27875"/>
    <w:rsid w:val="00B3008D"/>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46F"/>
    <w:rsid w:val="00B40B47"/>
    <w:rsid w:val="00B41D39"/>
    <w:rsid w:val="00B422C0"/>
    <w:rsid w:val="00B426CA"/>
    <w:rsid w:val="00B426E1"/>
    <w:rsid w:val="00B427D0"/>
    <w:rsid w:val="00B4298E"/>
    <w:rsid w:val="00B437F8"/>
    <w:rsid w:val="00B4387A"/>
    <w:rsid w:val="00B44260"/>
    <w:rsid w:val="00B44746"/>
    <w:rsid w:val="00B44854"/>
    <w:rsid w:val="00B453FE"/>
    <w:rsid w:val="00B458D0"/>
    <w:rsid w:val="00B46120"/>
    <w:rsid w:val="00B47040"/>
    <w:rsid w:val="00B4792C"/>
    <w:rsid w:val="00B50CAE"/>
    <w:rsid w:val="00B512AD"/>
    <w:rsid w:val="00B5196C"/>
    <w:rsid w:val="00B525CB"/>
    <w:rsid w:val="00B52697"/>
    <w:rsid w:val="00B53E7C"/>
    <w:rsid w:val="00B54D8F"/>
    <w:rsid w:val="00B55857"/>
    <w:rsid w:val="00B55C69"/>
    <w:rsid w:val="00B56851"/>
    <w:rsid w:val="00B56A6A"/>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C72"/>
    <w:rsid w:val="00B81964"/>
    <w:rsid w:val="00B81E6F"/>
    <w:rsid w:val="00B82123"/>
    <w:rsid w:val="00B8225B"/>
    <w:rsid w:val="00B82BB5"/>
    <w:rsid w:val="00B83182"/>
    <w:rsid w:val="00B84684"/>
    <w:rsid w:val="00B84866"/>
    <w:rsid w:val="00B848DF"/>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392"/>
    <w:rsid w:val="00B973C6"/>
    <w:rsid w:val="00B97691"/>
    <w:rsid w:val="00B976C7"/>
    <w:rsid w:val="00BA0C54"/>
    <w:rsid w:val="00BA1382"/>
    <w:rsid w:val="00BA1EFD"/>
    <w:rsid w:val="00BA20D8"/>
    <w:rsid w:val="00BA22FC"/>
    <w:rsid w:val="00BA2F30"/>
    <w:rsid w:val="00BA4771"/>
    <w:rsid w:val="00BA4DA4"/>
    <w:rsid w:val="00BA5027"/>
    <w:rsid w:val="00BA665B"/>
    <w:rsid w:val="00BA7370"/>
    <w:rsid w:val="00BA778B"/>
    <w:rsid w:val="00BB0888"/>
    <w:rsid w:val="00BB0DF1"/>
    <w:rsid w:val="00BB0E9B"/>
    <w:rsid w:val="00BB2729"/>
    <w:rsid w:val="00BB2841"/>
    <w:rsid w:val="00BB300F"/>
    <w:rsid w:val="00BB32C9"/>
    <w:rsid w:val="00BB35C5"/>
    <w:rsid w:val="00BB43A7"/>
    <w:rsid w:val="00BB47D0"/>
    <w:rsid w:val="00BB4C8E"/>
    <w:rsid w:val="00BB57ED"/>
    <w:rsid w:val="00BB65C3"/>
    <w:rsid w:val="00BB662E"/>
    <w:rsid w:val="00BB67A9"/>
    <w:rsid w:val="00BB6C01"/>
    <w:rsid w:val="00BB7942"/>
    <w:rsid w:val="00BB7CD1"/>
    <w:rsid w:val="00BC0F33"/>
    <w:rsid w:val="00BC14A7"/>
    <w:rsid w:val="00BC1611"/>
    <w:rsid w:val="00BC1632"/>
    <w:rsid w:val="00BC17CC"/>
    <w:rsid w:val="00BC229E"/>
    <w:rsid w:val="00BC23C0"/>
    <w:rsid w:val="00BC2898"/>
    <w:rsid w:val="00BC2928"/>
    <w:rsid w:val="00BC2AA9"/>
    <w:rsid w:val="00BC2BB1"/>
    <w:rsid w:val="00BC34A3"/>
    <w:rsid w:val="00BC3FF9"/>
    <w:rsid w:val="00BC4834"/>
    <w:rsid w:val="00BC4A97"/>
    <w:rsid w:val="00BC5A25"/>
    <w:rsid w:val="00BC5FDD"/>
    <w:rsid w:val="00BC68B4"/>
    <w:rsid w:val="00BC6C2D"/>
    <w:rsid w:val="00BC7B9A"/>
    <w:rsid w:val="00BD00A9"/>
    <w:rsid w:val="00BD0140"/>
    <w:rsid w:val="00BD02CC"/>
    <w:rsid w:val="00BD1675"/>
    <w:rsid w:val="00BD2063"/>
    <w:rsid w:val="00BD33D9"/>
    <w:rsid w:val="00BD38C5"/>
    <w:rsid w:val="00BD3A59"/>
    <w:rsid w:val="00BD3CF1"/>
    <w:rsid w:val="00BD3DEA"/>
    <w:rsid w:val="00BD3E97"/>
    <w:rsid w:val="00BD40E4"/>
    <w:rsid w:val="00BD4563"/>
    <w:rsid w:val="00BD52FE"/>
    <w:rsid w:val="00BD62CF"/>
    <w:rsid w:val="00BD67B2"/>
    <w:rsid w:val="00BD6A07"/>
    <w:rsid w:val="00BD78AB"/>
    <w:rsid w:val="00BD78FE"/>
    <w:rsid w:val="00BD7A91"/>
    <w:rsid w:val="00BD7E01"/>
    <w:rsid w:val="00BE0149"/>
    <w:rsid w:val="00BE0767"/>
    <w:rsid w:val="00BE12D7"/>
    <w:rsid w:val="00BE1372"/>
    <w:rsid w:val="00BE1775"/>
    <w:rsid w:val="00BE17A2"/>
    <w:rsid w:val="00BE18DA"/>
    <w:rsid w:val="00BE26C0"/>
    <w:rsid w:val="00BE3442"/>
    <w:rsid w:val="00BE45DF"/>
    <w:rsid w:val="00BE47B2"/>
    <w:rsid w:val="00BE48C7"/>
    <w:rsid w:val="00BE4F66"/>
    <w:rsid w:val="00BE4F8C"/>
    <w:rsid w:val="00BE5238"/>
    <w:rsid w:val="00BE5D35"/>
    <w:rsid w:val="00BE6074"/>
    <w:rsid w:val="00BE67A2"/>
    <w:rsid w:val="00BE7257"/>
    <w:rsid w:val="00BF020D"/>
    <w:rsid w:val="00BF1DD2"/>
    <w:rsid w:val="00BF23A3"/>
    <w:rsid w:val="00BF28DB"/>
    <w:rsid w:val="00BF2A7E"/>
    <w:rsid w:val="00BF3331"/>
    <w:rsid w:val="00BF3A45"/>
    <w:rsid w:val="00BF436F"/>
    <w:rsid w:val="00BF4EC5"/>
    <w:rsid w:val="00BF5723"/>
    <w:rsid w:val="00BF5C05"/>
    <w:rsid w:val="00BF60C8"/>
    <w:rsid w:val="00BF6FC6"/>
    <w:rsid w:val="00BF73E1"/>
    <w:rsid w:val="00BF7C52"/>
    <w:rsid w:val="00BF7F99"/>
    <w:rsid w:val="00C00713"/>
    <w:rsid w:val="00C009A0"/>
    <w:rsid w:val="00C01BA3"/>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0A6"/>
    <w:rsid w:val="00C15A85"/>
    <w:rsid w:val="00C1641B"/>
    <w:rsid w:val="00C165FC"/>
    <w:rsid w:val="00C176D5"/>
    <w:rsid w:val="00C2082C"/>
    <w:rsid w:val="00C20832"/>
    <w:rsid w:val="00C209F7"/>
    <w:rsid w:val="00C20EB0"/>
    <w:rsid w:val="00C21005"/>
    <w:rsid w:val="00C2183B"/>
    <w:rsid w:val="00C220B6"/>
    <w:rsid w:val="00C229E0"/>
    <w:rsid w:val="00C22D7C"/>
    <w:rsid w:val="00C22DDE"/>
    <w:rsid w:val="00C2338B"/>
    <w:rsid w:val="00C233CE"/>
    <w:rsid w:val="00C23661"/>
    <w:rsid w:val="00C236AE"/>
    <w:rsid w:val="00C237DD"/>
    <w:rsid w:val="00C238F4"/>
    <w:rsid w:val="00C23924"/>
    <w:rsid w:val="00C23A99"/>
    <w:rsid w:val="00C245EE"/>
    <w:rsid w:val="00C24AE1"/>
    <w:rsid w:val="00C24B8D"/>
    <w:rsid w:val="00C24BD7"/>
    <w:rsid w:val="00C252CC"/>
    <w:rsid w:val="00C25813"/>
    <w:rsid w:val="00C27143"/>
    <w:rsid w:val="00C27490"/>
    <w:rsid w:val="00C27A55"/>
    <w:rsid w:val="00C27D37"/>
    <w:rsid w:val="00C27FB2"/>
    <w:rsid w:val="00C302E5"/>
    <w:rsid w:val="00C309E8"/>
    <w:rsid w:val="00C32017"/>
    <w:rsid w:val="00C325CD"/>
    <w:rsid w:val="00C3322E"/>
    <w:rsid w:val="00C337F5"/>
    <w:rsid w:val="00C33B90"/>
    <w:rsid w:val="00C34350"/>
    <w:rsid w:val="00C34B5F"/>
    <w:rsid w:val="00C3543E"/>
    <w:rsid w:val="00C358D4"/>
    <w:rsid w:val="00C36785"/>
    <w:rsid w:val="00C36845"/>
    <w:rsid w:val="00C3711C"/>
    <w:rsid w:val="00C37256"/>
    <w:rsid w:val="00C37A7B"/>
    <w:rsid w:val="00C37CFF"/>
    <w:rsid w:val="00C37FFE"/>
    <w:rsid w:val="00C40B50"/>
    <w:rsid w:val="00C41457"/>
    <w:rsid w:val="00C41858"/>
    <w:rsid w:val="00C419E3"/>
    <w:rsid w:val="00C419F4"/>
    <w:rsid w:val="00C41E6A"/>
    <w:rsid w:val="00C421A3"/>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4640"/>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1CBB"/>
    <w:rsid w:val="00C71E2A"/>
    <w:rsid w:val="00C733BA"/>
    <w:rsid w:val="00C74F3F"/>
    <w:rsid w:val="00C760DC"/>
    <w:rsid w:val="00C800AB"/>
    <w:rsid w:val="00C8082B"/>
    <w:rsid w:val="00C81A88"/>
    <w:rsid w:val="00C81AEC"/>
    <w:rsid w:val="00C81D46"/>
    <w:rsid w:val="00C820AD"/>
    <w:rsid w:val="00C82298"/>
    <w:rsid w:val="00C82F91"/>
    <w:rsid w:val="00C833B4"/>
    <w:rsid w:val="00C84284"/>
    <w:rsid w:val="00C84E33"/>
    <w:rsid w:val="00C853E0"/>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7BF"/>
    <w:rsid w:val="00C93877"/>
    <w:rsid w:val="00C93D8C"/>
    <w:rsid w:val="00C946CC"/>
    <w:rsid w:val="00C959BD"/>
    <w:rsid w:val="00C95F44"/>
    <w:rsid w:val="00C96D1B"/>
    <w:rsid w:val="00C97106"/>
    <w:rsid w:val="00C97684"/>
    <w:rsid w:val="00CA0031"/>
    <w:rsid w:val="00CA0413"/>
    <w:rsid w:val="00CA043A"/>
    <w:rsid w:val="00CA04F8"/>
    <w:rsid w:val="00CA1691"/>
    <w:rsid w:val="00CA2314"/>
    <w:rsid w:val="00CA2E65"/>
    <w:rsid w:val="00CA2EA1"/>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205D"/>
    <w:rsid w:val="00CD2A22"/>
    <w:rsid w:val="00CD2B50"/>
    <w:rsid w:val="00CD3AD3"/>
    <w:rsid w:val="00CD41FE"/>
    <w:rsid w:val="00CD4506"/>
    <w:rsid w:val="00CD520B"/>
    <w:rsid w:val="00CD592E"/>
    <w:rsid w:val="00CD5982"/>
    <w:rsid w:val="00CD5A1A"/>
    <w:rsid w:val="00CD6054"/>
    <w:rsid w:val="00CD7EFA"/>
    <w:rsid w:val="00CE020E"/>
    <w:rsid w:val="00CE0566"/>
    <w:rsid w:val="00CE16A9"/>
    <w:rsid w:val="00CE1CD4"/>
    <w:rsid w:val="00CE23FE"/>
    <w:rsid w:val="00CE2761"/>
    <w:rsid w:val="00CE2A62"/>
    <w:rsid w:val="00CE2B49"/>
    <w:rsid w:val="00CE314E"/>
    <w:rsid w:val="00CE3D5C"/>
    <w:rsid w:val="00CE3E14"/>
    <w:rsid w:val="00CE44C7"/>
    <w:rsid w:val="00CE53CC"/>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897"/>
    <w:rsid w:val="00CF4AF7"/>
    <w:rsid w:val="00CF4D20"/>
    <w:rsid w:val="00CF55DF"/>
    <w:rsid w:val="00CF6180"/>
    <w:rsid w:val="00CF64F6"/>
    <w:rsid w:val="00CF73F8"/>
    <w:rsid w:val="00CF7928"/>
    <w:rsid w:val="00CF7CA2"/>
    <w:rsid w:val="00D00A8E"/>
    <w:rsid w:val="00D00DE0"/>
    <w:rsid w:val="00D00F79"/>
    <w:rsid w:val="00D012BF"/>
    <w:rsid w:val="00D01760"/>
    <w:rsid w:val="00D0368E"/>
    <w:rsid w:val="00D03D2D"/>
    <w:rsid w:val="00D03E7B"/>
    <w:rsid w:val="00D0401A"/>
    <w:rsid w:val="00D04750"/>
    <w:rsid w:val="00D047E0"/>
    <w:rsid w:val="00D04B9F"/>
    <w:rsid w:val="00D04FFB"/>
    <w:rsid w:val="00D05153"/>
    <w:rsid w:val="00D058E9"/>
    <w:rsid w:val="00D0612A"/>
    <w:rsid w:val="00D06A0E"/>
    <w:rsid w:val="00D06D40"/>
    <w:rsid w:val="00D1060D"/>
    <w:rsid w:val="00D10E7C"/>
    <w:rsid w:val="00D11182"/>
    <w:rsid w:val="00D1137B"/>
    <w:rsid w:val="00D11807"/>
    <w:rsid w:val="00D11DB3"/>
    <w:rsid w:val="00D12D82"/>
    <w:rsid w:val="00D1306E"/>
    <w:rsid w:val="00D134CD"/>
    <w:rsid w:val="00D13CE5"/>
    <w:rsid w:val="00D13D98"/>
    <w:rsid w:val="00D14B5F"/>
    <w:rsid w:val="00D14E13"/>
    <w:rsid w:val="00D14F23"/>
    <w:rsid w:val="00D15356"/>
    <w:rsid w:val="00D16054"/>
    <w:rsid w:val="00D160AA"/>
    <w:rsid w:val="00D16740"/>
    <w:rsid w:val="00D16A8B"/>
    <w:rsid w:val="00D16E39"/>
    <w:rsid w:val="00D17951"/>
    <w:rsid w:val="00D17AD8"/>
    <w:rsid w:val="00D17B53"/>
    <w:rsid w:val="00D2104A"/>
    <w:rsid w:val="00D21302"/>
    <w:rsid w:val="00D213F1"/>
    <w:rsid w:val="00D21BB5"/>
    <w:rsid w:val="00D21FFC"/>
    <w:rsid w:val="00D223A3"/>
    <w:rsid w:val="00D223B6"/>
    <w:rsid w:val="00D223E8"/>
    <w:rsid w:val="00D22DC8"/>
    <w:rsid w:val="00D24ECD"/>
    <w:rsid w:val="00D2522A"/>
    <w:rsid w:val="00D2531C"/>
    <w:rsid w:val="00D255F3"/>
    <w:rsid w:val="00D26C21"/>
    <w:rsid w:val="00D2742F"/>
    <w:rsid w:val="00D2754F"/>
    <w:rsid w:val="00D27912"/>
    <w:rsid w:val="00D279D9"/>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73A8"/>
    <w:rsid w:val="00D375FF"/>
    <w:rsid w:val="00D379A5"/>
    <w:rsid w:val="00D401BE"/>
    <w:rsid w:val="00D4043A"/>
    <w:rsid w:val="00D40A8E"/>
    <w:rsid w:val="00D40AB0"/>
    <w:rsid w:val="00D40DB0"/>
    <w:rsid w:val="00D40F8B"/>
    <w:rsid w:val="00D41858"/>
    <w:rsid w:val="00D41D4B"/>
    <w:rsid w:val="00D422DB"/>
    <w:rsid w:val="00D42A83"/>
    <w:rsid w:val="00D42AC2"/>
    <w:rsid w:val="00D4498E"/>
    <w:rsid w:val="00D4515F"/>
    <w:rsid w:val="00D451E8"/>
    <w:rsid w:val="00D45B21"/>
    <w:rsid w:val="00D4636B"/>
    <w:rsid w:val="00D466C9"/>
    <w:rsid w:val="00D467D8"/>
    <w:rsid w:val="00D47275"/>
    <w:rsid w:val="00D4767B"/>
    <w:rsid w:val="00D50AEF"/>
    <w:rsid w:val="00D50C39"/>
    <w:rsid w:val="00D51E15"/>
    <w:rsid w:val="00D52B7E"/>
    <w:rsid w:val="00D52E2F"/>
    <w:rsid w:val="00D52F59"/>
    <w:rsid w:val="00D53E3E"/>
    <w:rsid w:val="00D55279"/>
    <w:rsid w:val="00D55904"/>
    <w:rsid w:val="00D5616F"/>
    <w:rsid w:val="00D57940"/>
    <w:rsid w:val="00D60327"/>
    <w:rsid w:val="00D61526"/>
    <w:rsid w:val="00D61F81"/>
    <w:rsid w:val="00D623A9"/>
    <w:rsid w:val="00D62BE6"/>
    <w:rsid w:val="00D630E3"/>
    <w:rsid w:val="00D633AC"/>
    <w:rsid w:val="00D63766"/>
    <w:rsid w:val="00D63912"/>
    <w:rsid w:val="00D63923"/>
    <w:rsid w:val="00D6451B"/>
    <w:rsid w:val="00D64B57"/>
    <w:rsid w:val="00D65DEA"/>
    <w:rsid w:val="00D65DFE"/>
    <w:rsid w:val="00D67BC7"/>
    <w:rsid w:val="00D701F1"/>
    <w:rsid w:val="00D705D3"/>
    <w:rsid w:val="00D70E00"/>
    <w:rsid w:val="00D71014"/>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01"/>
    <w:rsid w:val="00D7692B"/>
    <w:rsid w:val="00D76A19"/>
    <w:rsid w:val="00D76CBD"/>
    <w:rsid w:val="00D7734F"/>
    <w:rsid w:val="00D8044C"/>
    <w:rsid w:val="00D805D6"/>
    <w:rsid w:val="00D8075E"/>
    <w:rsid w:val="00D80860"/>
    <w:rsid w:val="00D80D4C"/>
    <w:rsid w:val="00D8166D"/>
    <w:rsid w:val="00D81718"/>
    <w:rsid w:val="00D8184D"/>
    <w:rsid w:val="00D81A7B"/>
    <w:rsid w:val="00D8223C"/>
    <w:rsid w:val="00D82B57"/>
    <w:rsid w:val="00D82CE5"/>
    <w:rsid w:val="00D8342C"/>
    <w:rsid w:val="00D85494"/>
    <w:rsid w:val="00D8582C"/>
    <w:rsid w:val="00D85D61"/>
    <w:rsid w:val="00D8616D"/>
    <w:rsid w:val="00D8711B"/>
    <w:rsid w:val="00D87384"/>
    <w:rsid w:val="00D90683"/>
    <w:rsid w:val="00D91570"/>
    <w:rsid w:val="00D915C8"/>
    <w:rsid w:val="00D92251"/>
    <w:rsid w:val="00D9261C"/>
    <w:rsid w:val="00D9310B"/>
    <w:rsid w:val="00D93299"/>
    <w:rsid w:val="00D93726"/>
    <w:rsid w:val="00D93DD3"/>
    <w:rsid w:val="00D93F3E"/>
    <w:rsid w:val="00D9405B"/>
    <w:rsid w:val="00D94942"/>
    <w:rsid w:val="00D95145"/>
    <w:rsid w:val="00D967CB"/>
    <w:rsid w:val="00D96EE0"/>
    <w:rsid w:val="00D97BD1"/>
    <w:rsid w:val="00DA06B8"/>
    <w:rsid w:val="00DA286D"/>
    <w:rsid w:val="00DA2969"/>
    <w:rsid w:val="00DA29B7"/>
    <w:rsid w:val="00DA41EB"/>
    <w:rsid w:val="00DA4842"/>
    <w:rsid w:val="00DA5989"/>
    <w:rsid w:val="00DA5AB1"/>
    <w:rsid w:val="00DA5F9D"/>
    <w:rsid w:val="00DA69B2"/>
    <w:rsid w:val="00DA6A7B"/>
    <w:rsid w:val="00DA735F"/>
    <w:rsid w:val="00DA7462"/>
    <w:rsid w:val="00DA777E"/>
    <w:rsid w:val="00DA7AD0"/>
    <w:rsid w:val="00DB02D7"/>
    <w:rsid w:val="00DB03CC"/>
    <w:rsid w:val="00DB12D4"/>
    <w:rsid w:val="00DB14F0"/>
    <w:rsid w:val="00DB1745"/>
    <w:rsid w:val="00DB1AFF"/>
    <w:rsid w:val="00DB219A"/>
    <w:rsid w:val="00DB3165"/>
    <w:rsid w:val="00DB4292"/>
    <w:rsid w:val="00DB5196"/>
    <w:rsid w:val="00DB5C03"/>
    <w:rsid w:val="00DB68BB"/>
    <w:rsid w:val="00DB6E46"/>
    <w:rsid w:val="00DB7117"/>
    <w:rsid w:val="00DB7760"/>
    <w:rsid w:val="00DB7DD4"/>
    <w:rsid w:val="00DB7E44"/>
    <w:rsid w:val="00DC00B4"/>
    <w:rsid w:val="00DC037A"/>
    <w:rsid w:val="00DC0954"/>
    <w:rsid w:val="00DC15BA"/>
    <w:rsid w:val="00DC18CD"/>
    <w:rsid w:val="00DC1A68"/>
    <w:rsid w:val="00DC30B8"/>
    <w:rsid w:val="00DC32C6"/>
    <w:rsid w:val="00DC3720"/>
    <w:rsid w:val="00DC478F"/>
    <w:rsid w:val="00DC62E5"/>
    <w:rsid w:val="00DC6AB9"/>
    <w:rsid w:val="00DC6F33"/>
    <w:rsid w:val="00DC729E"/>
    <w:rsid w:val="00DC7349"/>
    <w:rsid w:val="00DD118B"/>
    <w:rsid w:val="00DD14D8"/>
    <w:rsid w:val="00DD1599"/>
    <w:rsid w:val="00DD177F"/>
    <w:rsid w:val="00DD1B03"/>
    <w:rsid w:val="00DD2772"/>
    <w:rsid w:val="00DD2A62"/>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E0159"/>
    <w:rsid w:val="00DE04C7"/>
    <w:rsid w:val="00DE064A"/>
    <w:rsid w:val="00DE0755"/>
    <w:rsid w:val="00DE082D"/>
    <w:rsid w:val="00DE1410"/>
    <w:rsid w:val="00DE1ED0"/>
    <w:rsid w:val="00DE3119"/>
    <w:rsid w:val="00DE3F23"/>
    <w:rsid w:val="00DE3FF0"/>
    <w:rsid w:val="00DE4105"/>
    <w:rsid w:val="00DE5189"/>
    <w:rsid w:val="00DE6230"/>
    <w:rsid w:val="00DE7108"/>
    <w:rsid w:val="00DE78D1"/>
    <w:rsid w:val="00DF0263"/>
    <w:rsid w:val="00DF0EB4"/>
    <w:rsid w:val="00DF1E36"/>
    <w:rsid w:val="00DF1FDB"/>
    <w:rsid w:val="00DF236B"/>
    <w:rsid w:val="00DF2A91"/>
    <w:rsid w:val="00DF2F82"/>
    <w:rsid w:val="00DF3747"/>
    <w:rsid w:val="00DF3889"/>
    <w:rsid w:val="00DF3C32"/>
    <w:rsid w:val="00DF3CC9"/>
    <w:rsid w:val="00DF4451"/>
    <w:rsid w:val="00DF49FF"/>
    <w:rsid w:val="00DF4FFB"/>
    <w:rsid w:val="00DF5236"/>
    <w:rsid w:val="00DF5D32"/>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7BA"/>
    <w:rsid w:val="00E05E70"/>
    <w:rsid w:val="00E0631A"/>
    <w:rsid w:val="00E064BC"/>
    <w:rsid w:val="00E07225"/>
    <w:rsid w:val="00E07AAA"/>
    <w:rsid w:val="00E07B7A"/>
    <w:rsid w:val="00E1002B"/>
    <w:rsid w:val="00E1079C"/>
    <w:rsid w:val="00E109DD"/>
    <w:rsid w:val="00E11229"/>
    <w:rsid w:val="00E114CA"/>
    <w:rsid w:val="00E11CF0"/>
    <w:rsid w:val="00E12E62"/>
    <w:rsid w:val="00E132D5"/>
    <w:rsid w:val="00E1397F"/>
    <w:rsid w:val="00E13AB8"/>
    <w:rsid w:val="00E13D8F"/>
    <w:rsid w:val="00E1482E"/>
    <w:rsid w:val="00E155D3"/>
    <w:rsid w:val="00E16382"/>
    <w:rsid w:val="00E16572"/>
    <w:rsid w:val="00E1699C"/>
    <w:rsid w:val="00E16E75"/>
    <w:rsid w:val="00E1746D"/>
    <w:rsid w:val="00E2012A"/>
    <w:rsid w:val="00E205A2"/>
    <w:rsid w:val="00E20BA4"/>
    <w:rsid w:val="00E20C24"/>
    <w:rsid w:val="00E22F82"/>
    <w:rsid w:val="00E23137"/>
    <w:rsid w:val="00E231B0"/>
    <w:rsid w:val="00E23980"/>
    <w:rsid w:val="00E241E9"/>
    <w:rsid w:val="00E2510E"/>
    <w:rsid w:val="00E2520A"/>
    <w:rsid w:val="00E253EB"/>
    <w:rsid w:val="00E257C3"/>
    <w:rsid w:val="00E25CB3"/>
    <w:rsid w:val="00E25DA4"/>
    <w:rsid w:val="00E25DBC"/>
    <w:rsid w:val="00E26CB8"/>
    <w:rsid w:val="00E26FCF"/>
    <w:rsid w:val="00E27165"/>
    <w:rsid w:val="00E27226"/>
    <w:rsid w:val="00E3044A"/>
    <w:rsid w:val="00E3189C"/>
    <w:rsid w:val="00E31A4A"/>
    <w:rsid w:val="00E31C43"/>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40430"/>
    <w:rsid w:val="00E40690"/>
    <w:rsid w:val="00E40AEB"/>
    <w:rsid w:val="00E4143A"/>
    <w:rsid w:val="00E41A5D"/>
    <w:rsid w:val="00E424C8"/>
    <w:rsid w:val="00E4251D"/>
    <w:rsid w:val="00E42F41"/>
    <w:rsid w:val="00E43D00"/>
    <w:rsid w:val="00E44128"/>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0FCD"/>
    <w:rsid w:val="00E724E7"/>
    <w:rsid w:val="00E729DC"/>
    <w:rsid w:val="00E72B41"/>
    <w:rsid w:val="00E7343E"/>
    <w:rsid w:val="00E7347B"/>
    <w:rsid w:val="00E73D03"/>
    <w:rsid w:val="00E7471C"/>
    <w:rsid w:val="00E7498A"/>
    <w:rsid w:val="00E7514E"/>
    <w:rsid w:val="00E75B34"/>
    <w:rsid w:val="00E77523"/>
    <w:rsid w:val="00E77AF5"/>
    <w:rsid w:val="00E8029A"/>
    <w:rsid w:val="00E803A6"/>
    <w:rsid w:val="00E81653"/>
    <w:rsid w:val="00E823F9"/>
    <w:rsid w:val="00E82C1F"/>
    <w:rsid w:val="00E82EEA"/>
    <w:rsid w:val="00E83671"/>
    <w:rsid w:val="00E8414B"/>
    <w:rsid w:val="00E84A71"/>
    <w:rsid w:val="00E8544B"/>
    <w:rsid w:val="00E8554E"/>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750"/>
    <w:rsid w:val="00EB0A89"/>
    <w:rsid w:val="00EB0B22"/>
    <w:rsid w:val="00EB1573"/>
    <w:rsid w:val="00EB1650"/>
    <w:rsid w:val="00EB17CA"/>
    <w:rsid w:val="00EB1910"/>
    <w:rsid w:val="00EB1D24"/>
    <w:rsid w:val="00EB209B"/>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497"/>
    <w:rsid w:val="00EC26F1"/>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3F96"/>
    <w:rsid w:val="00EE5350"/>
    <w:rsid w:val="00EE5454"/>
    <w:rsid w:val="00EE570D"/>
    <w:rsid w:val="00EE58B8"/>
    <w:rsid w:val="00EE59B5"/>
    <w:rsid w:val="00EE5CF6"/>
    <w:rsid w:val="00EE5D1D"/>
    <w:rsid w:val="00EE5FB7"/>
    <w:rsid w:val="00EE666A"/>
    <w:rsid w:val="00EE6A1A"/>
    <w:rsid w:val="00EE79E7"/>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1657"/>
    <w:rsid w:val="00F01E67"/>
    <w:rsid w:val="00F021B7"/>
    <w:rsid w:val="00F02744"/>
    <w:rsid w:val="00F02BFD"/>
    <w:rsid w:val="00F02D25"/>
    <w:rsid w:val="00F0435D"/>
    <w:rsid w:val="00F04580"/>
    <w:rsid w:val="00F047E7"/>
    <w:rsid w:val="00F04ECA"/>
    <w:rsid w:val="00F05DC2"/>
    <w:rsid w:val="00F06E19"/>
    <w:rsid w:val="00F06F84"/>
    <w:rsid w:val="00F076E7"/>
    <w:rsid w:val="00F07AA1"/>
    <w:rsid w:val="00F105AE"/>
    <w:rsid w:val="00F10618"/>
    <w:rsid w:val="00F1108B"/>
    <w:rsid w:val="00F11768"/>
    <w:rsid w:val="00F11951"/>
    <w:rsid w:val="00F11BA8"/>
    <w:rsid w:val="00F12259"/>
    <w:rsid w:val="00F12262"/>
    <w:rsid w:val="00F12AF8"/>
    <w:rsid w:val="00F12C52"/>
    <w:rsid w:val="00F14352"/>
    <w:rsid w:val="00F148B7"/>
    <w:rsid w:val="00F14BE9"/>
    <w:rsid w:val="00F14EA9"/>
    <w:rsid w:val="00F15505"/>
    <w:rsid w:val="00F15BFF"/>
    <w:rsid w:val="00F17105"/>
    <w:rsid w:val="00F20A0B"/>
    <w:rsid w:val="00F213A0"/>
    <w:rsid w:val="00F217AB"/>
    <w:rsid w:val="00F21A51"/>
    <w:rsid w:val="00F21D54"/>
    <w:rsid w:val="00F21D6D"/>
    <w:rsid w:val="00F21EF4"/>
    <w:rsid w:val="00F227B8"/>
    <w:rsid w:val="00F23113"/>
    <w:rsid w:val="00F23255"/>
    <w:rsid w:val="00F23393"/>
    <w:rsid w:val="00F23759"/>
    <w:rsid w:val="00F23CB5"/>
    <w:rsid w:val="00F245A1"/>
    <w:rsid w:val="00F24644"/>
    <w:rsid w:val="00F24ABF"/>
    <w:rsid w:val="00F256FD"/>
    <w:rsid w:val="00F259F1"/>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1E8"/>
    <w:rsid w:val="00F3570C"/>
    <w:rsid w:val="00F368FF"/>
    <w:rsid w:val="00F37068"/>
    <w:rsid w:val="00F37F3F"/>
    <w:rsid w:val="00F40201"/>
    <w:rsid w:val="00F404A9"/>
    <w:rsid w:val="00F40992"/>
    <w:rsid w:val="00F40A99"/>
    <w:rsid w:val="00F40AEC"/>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47B3B"/>
    <w:rsid w:val="00F50183"/>
    <w:rsid w:val="00F50D92"/>
    <w:rsid w:val="00F51765"/>
    <w:rsid w:val="00F51A51"/>
    <w:rsid w:val="00F51CB4"/>
    <w:rsid w:val="00F52324"/>
    <w:rsid w:val="00F52950"/>
    <w:rsid w:val="00F52C9D"/>
    <w:rsid w:val="00F52E39"/>
    <w:rsid w:val="00F533F1"/>
    <w:rsid w:val="00F55679"/>
    <w:rsid w:val="00F561E3"/>
    <w:rsid w:val="00F565E6"/>
    <w:rsid w:val="00F56AFA"/>
    <w:rsid w:val="00F575E2"/>
    <w:rsid w:val="00F579FF"/>
    <w:rsid w:val="00F600E0"/>
    <w:rsid w:val="00F600FD"/>
    <w:rsid w:val="00F605EC"/>
    <w:rsid w:val="00F60F60"/>
    <w:rsid w:val="00F612CE"/>
    <w:rsid w:val="00F617C6"/>
    <w:rsid w:val="00F624A7"/>
    <w:rsid w:val="00F62AB6"/>
    <w:rsid w:val="00F63984"/>
    <w:rsid w:val="00F65A3C"/>
    <w:rsid w:val="00F66282"/>
    <w:rsid w:val="00F67D8B"/>
    <w:rsid w:val="00F70961"/>
    <w:rsid w:val="00F70A8F"/>
    <w:rsid w:val="00F70F18"/>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5A86"/>
    <w:rsid w:val="00F76C11"/>
    <w:rsid w:val="00F77021"/>
    <w:rsid w:val="00F775CB"/>
    <w:rsid w:val="00F77E61"/>
    <w:rsid w:val="00F814B2"/>
    <w:rsid w:val="00F815AC"/>
    <w:rsid w:val="00F82CA5"/>
    <w:rsid w:val="00F83200"/>
    <w:rsid w:val="00F83B33"/>
    <w:rsid w:val="00F83CAE"/>
    <w:rsid w:val="00F840BF"/>
    <w:rsid w:val="00F8415D"/>
    <w:rsid w:val="00F8427A"/>
    <w:rsid w:val="00F843DF"/>
    <w:rsid w:val="00F84899"/>
    <w:rsid w:val="00F848AB"/>
    <w:rsid w:val="00F84A0A"/>
    <w:rsid w:val="00F84A63"/>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0FA8"/>
    <w:rsid w:val="00F9167D"/>
    <w:rsid w:val="00F91CB2"/>
    <w:rsid w:val="00F9289C"/>
    <w:rsid w:val="00F93DBC"/>
    <w:rsid w:val="00F93E41"/>
    <w:rsid w:val="00F94644"/>
    <w:rsid w:val="00F95075"/>
    <w:rsid w:val="00F9537B"/>
    <w:rsid w:val="00F95567"/>
    <w:rsid w:val="00F963FC"/>
    <w:rsid w:val="00FA015F"/>
    <w:rsid w:val="00FA0FAC"/>
    <w:rsid w:val="00FA1DA2"/>
    <w:rsid w:val="00FA3414"/>
    <w:rsid w:val="00FA347A"/>
    <w:rsid w:val="00FA39D7"/>
    <w:rsid w:val="00FA3CDE"/>
    <w:rsid w:val="00FA49B7"/>
    <w:rsid w:val="00FA5043"/>
    <w:rsid w:val="00FA6F8B"/>
    <w:rsid w:val="00FA7A30"/>
    <w:rsid w:val="00FB033F"/>
    <w:rsid w:val="00FB12E3"/>
    <w:rsid w:val="00FB1570"/>
    <w:rsid w:val="00FB193B"/>
    <w:rsid w:val="00FB1FBC"/>
    <w:rsid w:val="00FB27B7"/>
    <w:rsid w:val="00FB2C36"/>
    <w:rsid w:val="00FB3444"/>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CF4"/>
    <w:rsid w:val="00FC6A39"/>
    <w:rsid w:val="00FC6E50"/>
    <w:rsid w:val="00FC710F"/>
    <w:rsid w:val="00FC79AB"/>
    <w:rsid w:val="00FC7BE7"/>
    <w:rsid w:val="00FC7DAC"/>
    <w:rsid w:val="00FD04AE"/>
    <w:rsid w:val="00FD086B"/>
    <w:rsid w:val="00FD1890"/>
    <w:rsid w:val="00FD1994"/>
    <w:rsid w:val="00FD21A9"/>
    <w:rsid w:val="00FD2AC8"/>
    <w:rsid w:val="00FD2CA6"/>
    <w:rsid w:val="00FD3508"/>
    <w:rsid w:val="00FD393C"/>
    <w:rsid w:val="00FD43BB"/>
    <w:rsid w:val="00FD4AF3"/>
    <w:rsid w:val="00FD556A"/>
    <w:rsid w:val="00FD5A69"/>
    <w:rsid w:val="00FD6F3C"/>
    <w:rsid w:val="00FD798D"/>
    <w:rsid w:val="00FD7BD8"/>
    <w:rsid w:val="00FD7FB9"/>
    <w:rsid w:val="00FE100E"/>
    <w:rsid w:val="00FE141E"/>
    <w:rsid w:val="00FE144E"/>
    <w:rsid w:val="00FE1689"/>
    <w:rsid w:val="00FE1768"/>
    <w:rsid w:val="00FE24F4"/>
    <w:rsid w:val="00FE2560"/>
    <w:rsid w:val="00FE35D0"/>
    <w:rsid w:val="00FE4058"/>
    <w:rsid w:val="00FE41AC"/>
    <w:rsid w:val="00FE42E2"/>
    <w:rsid w:val="00FE42ED"/>
    <w:rsid w:val="00FE4C6D"/>
    <w:rsid w:val="00FE55A7"/>
    <w:rsid w:val="00FE55E6"/>
    <w:rsid w:val="00FE56D5"/>
    <w:rsid w:val="00FE5C5A"/>
    <w:rsid w:val="00FE6432"/>
    <w:rsid w:val="00FE6517"/>
    <w:rsid w:val="00FE72A0"/>
    <w:rsid w:val="00FF0050"/>
    <w:rsid w:val="00FF045F"/>
    <w:rsid w:val="00FF0712"/>
    <w:rsid w:val="00FF0976"/>
    <w:rsid w:val="00FF0DF5"/>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00A"/>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customStyle="1" w:styleId="Mencinsinresolver4">
    <w:name w:val="Mención sin resolver4"/>
    <w:basedOn w:val="Fuentedeprrafopredeter"/>
    <w:uiPriority w:val="99"/>
    <w:semiHidden/>
    <w:unhideWhenUsed/>
    <w:rsid w:val="002B4039"/>
    <w:rPr>
      <w:color w:val="605E5C"/>
      <w:shd w:val="clear" w:color="auto" w:fill="E1DFDD"/>
    </w:rPr>
  </w:style>
  <w:style w:type="character" w:styleId="Mencinsinresolver">
    <w:name w:val="Unresolved Mention"/>
    <w:basedOn w:val="Fuentedeprrafopredeter"/>
    <w:uiPriority w:val="99"/>
    <w:semiHidden/>
    <w:unhideWhenUsed/>
    <w:rsid w:val="00B427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9094643">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9355292">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01903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242409">
      <w:bodyDiv w:val="1"/>
      <w:marLeft w:val="0"/>
      <w:marRight w:val="0"/>
      <w:marTop w:val="0"/>
      <w:marBottom w:val="0"/>
      <w:divBdr>
        <w:top w:val="none" w:sz="0" w:space="0" w:color="auto"/>
        <w:left w:val="none" w:sz="0" w:space="0" w:color="auto"/>
        <w:bottom w:val="none" w:sz="0" w:space="0" w:color="auto"/>
        <w:right w:val="none" w:sz="0" w:space="0" w:color="auto"/>
      </w:divBdr>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documentos-tipo/documentos-tip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34B2E869-4597-4F79-A348-3AA1CDEE0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9E9F6D-B325-4FE5-8D23-463F083DFBCF}">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21</Pages>
  <Words>8146</Words>
  <Characters>44809</Characters>
  <Application>Microsoft Office Word</Application>
  <DocSecurity>0</DocSecurity>
  <Lines>373</Lines>
  <Paragraphs>105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3</cp:revision>
  <cp:lastPrinted>2020-01-30T15:05:00Z</cp:lastPrinted>
  <dcterms:created xsi:type="dcterms:W3CDTF">2022-06-21T20:22:00Z</dcterms:created>
  <dcterms:modified xsi:type="dcterms:W3CDTF">2022-06-21T20:23:00Z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